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spacing w:before="6"/>
        <w:rPr>
          <w:rFonts w:ascii="Times New Roman"/>
          <w:sz w:val="27"/>
        </w:rPr>
      </w:pPr>
    </w:p>
    <w:p>
      <w:pPr>
        <w:pStyle w:val="Heading3"/>
        <w:spacing w:before="100"/>
        <w:ind w:left="424" w:right="551"/>
      </w:pPr>
      <w:bookmarkStart w:name="seriec_400_esp" w:id="1"/>
      <w:bookmarkEnd w:id="1"/>
      <w:r>
        <w:rPr>
          <w:b w:val="0"/>
        </w:rPr>
      </w:r>
      <w:r>
        <w:rPr/>
        <w:t>CORTE INTERAMERICANA DE DERECHOS HUMANOS</w:t>
      </w:r>
    </w:p>
    <w:p>
      <w:pPr>
        <w:pStyle w:val="BodyText"/>
        <w:rPr>
          <w:b/>
          <w:sz w:val="24"/>
        </w:rPr>
      </w:pPr>
    </w:p>
    <w:p>
      <w:pPr>
        <w:spacing w:before="194"/>
        <w:ind w:left="427" w:right="551" w:firstLine="0"/>
        <w:jc w:val="center"/>
        <w:rPr>
          <w:b/>
          <w:sz w:val="20"/>
        </w:rPr>
      </w:pPr>
      <w:r>
        <w:rPr>
          <w:b/>
          <w:sz w:val="20"/>
        </w:rPr>
        <w:t>CASO COMUNIDADES INDÍGENAS MIEMBROS DE LA ASOCIACIÓN LHAKA HONHAT (NUESTRA TIERRA) VS. ARGENTINA</w:t>
      </w:r>
    </w:p>
    <w:p>
      <w:pPr>
        <w:pStyle w:val="BodyText"/>
        <w:rPr>
          <w:b/>
        </w:rPr>
      </w:pPr>
    </w:p>
    <w:p>
      <w:pPr>
        <w:spacing w:line="243" w:lineRule="exact" w:before="0"/>
        <w:ind w:left="427" w:right="543" w:firstLine="0"/>
        <w:jc w:val="center"/>
        <w:rPr>
          <w:b/>
          <w:sz w:val="20"/>
        </w:rPr>
      </w:pPr>
      <w:r>
        <w:rPr>
          <w:b/>
          <w:sz w:val="20"/>
        </w:rPr>
        <w:t>SENTENCIA DE 6 DE FEBRERO DE 2020</w:t>
      </w:r>
    </w:p>
    <w:p>
      <w:pPr>
        <w:pStyle w:val="Heading4"/>
        <w:spacing w:line="243" w:lineRule="exact"/>
        <w:ind w:left="427" w:right="546"/>
        <w:jc w:val="center"/>
        <w:rPr>
          <w:i/>
        </w:rPr>
      </w:pPr>
      <w:r>
        <w:rPr>
          <w:i/>
        </w:rPr>
        <w:t>(Fondo, Reparaciones y Costas)</w:t>
      </w:r>
    </w:p>
    <w:p>
      <w:pPr>
        <w:pStyle w:val="BodyText"/>
        <w:rPr>
          <w:b/>
          <w:i/>
          <w:sz w:val="24"/>
        </w:rPr>
      </w:pPr>
    </w:p>
    <w:p>
      <w:pPr>
        <w:pStyle w:val="BodyText"/>
        <w:rPr>
          <w:b/>
          <w:i/>
          <w:sz w:val="24"/>
        </w:rPr>
      </w:pPr>
    </w:p>
    <w:p>
      <w:pPr>
        <w:spacing w:line="242" w:lineRule="auto" w:before="146"/>
        <w:ind w:left="122" w:right="0" w:firstLine="0"/>
        <w:jc w:val="left"/>
        <w:rPr>
          <w:i/>
          <w:sz w:val="20"/>
        </w:rPr>
      </w:pPr>
      <w:r>
        <w:rPr>
          <w:sz w:val="20"/>
        </w:rPr>
        <w:t>En el caso </w:t>
      </w:r>
      <w:r>
        <w:rPr>
          <w:i/>
          <w:sz w:val="20"/>
        </w:rPr>
        <w:t>Comunidades indígenas miembros de la Asociación Lhaka Honhat (Nuestra </w:t>
      </w:r>
      <w:r>
        <w:rPr>
          <w:i/>
          <w:sz w:val="20"/>
        </w:rPr>
        <w:t>Tierra) Vs. Argentina,</w:t>
      </w:r>
    </w:p>
    <w:p>
      <w:pPr>
        <w:pStyle w:val="BodyText"/>
        <w:rPr>
          <w:i/>
          <w:sz w:val="24"/>
        </w:rPr>
      </w:pPr>
    </w:p>
    <w:p>
      <w:pPr>
        <w:pStyle w:val="BodyText"/>
        <w:spacing w:before="190"/>
        <w:ind w:left="122"/>
      </w:pPr>
      <w:r>
        <w:rPr/>
        <w:t>la Corte Interamericana de Derechos Humanos (en adelante también “la Corte Interamericana”, “la Corte” o “el Tribunal”), integrada por los siguientes Jueces</w:t>
      </w:r>
      <w:r>
        <w:rPr>
          <w:position w:val="7"/>
          <w:sz w:val="13"/>
        </w:rPr>
        <w:t>*</w:t>
      </w:r>
      <w:r>
        <w:rPr/>
        <w:t>:</w:t>
      </w:r>
    </w:p>
    <w:p>
      <w:pPr>
        <w:pStyle w:val="BodyText"/>
        <w:spacing w:before="10"/>
        <w:rPr>
          <w:sz w:val="19"/>
        </w:rPr>
      </w:pPr>
    </w:p>
    <w:p>
      <w:pPr>
        <w:pStyle w:val="BodyText"/>
        <w:ind w:left="122"/>
      </w:pPr>
      <w:r>
        <w:rPr/>
        <w:t>Elizabeth Odio Benito, Presidenta</w:t>
      </w:r>
    </w:p>
    <w:p>
      <w:pPr>
        <w:pStyle w:val="BodyText"/>
        <w:spacing w:before="1"/>
        <w:ind w:left="122" w:right="4006"/>
      </w:pPr>
      <w:r>
        <w:rPr/>
        <w:t>L. Patricio Pazmiño Freire, Vicepresidente; Eduardo Vio Grossi, Juez;</w:t>
      </w:r>
    </w:p>
    <w:p>
      <w:pPr>
        <w:pStyle w:val="BodyText"/>
        <w:ind w:left="122" w:right="4786"/>
      </w:pPr>
      <w:r>
        <w:rPr/>
        <w:t>Humberto Antonio Sierra Porto, Juez; Eduardo Ferrer Mac-Gregor Poisot, Juez, y Ricardo Pérez Manrique, Juez</w:t>
      </w:r>
    </w:p>
    <w:p>
      <w:pPr>
        <w:pStyle w:val="BodyText"/>
        <w:spacing w:before="11"/>
        <w:rPr>
          <w:sz w:val="19"/>
        </w:rPr>
      </w:pPr>
    </w:p>
    <w:p>
      <w:pPr>
        <w:pStyle w:val="BodyText"/>
        <w:ind w:left="122"/>
      </w:pPr>
      <w:r>
        <w:rPr/>
        <w:t>presente, además,</w:t>
      </w:r>
    </w:p>
    <w:p>
      <w:pPr>
        <w:pStyle w:val="BodyText"/>
      </w:pPr>
    </w:p>
    <w:p>
      <w:pPr>
        <w:pStyle w:val="BodyText"/>
        <w:spacing w:before="1"/>
        <w:ind w:left="122"/>
      </w:pPr>
      <w:r>
        <w:rPr/>
        <w:t>Pablo Saavedra Alessandri, Secretario,</w:t>
      </w:r>
    </w:p>
    <w:p>
      <w:pPr>
        <w:pStyle w:val="BodyText"/>
        <w:spacing w:before="10"/>
        <w:rPr>
          <w:sz w:val="19"/>
        </w:rPr>
      </w:pPr>
    </w:p>
    <w:p>
      <w:pPr>
        <w:pStyle w:val="BodyText"/>
        <w:spacing w:before="1"/>
        <w:ind w:left="122" w:right="238"/>
        <w:jc w:val="both"/>
      </w:pPr>
      <w:r>
        <w:rPr/>
        <w:t>de</w:t>
      </w:r>
      <w:r>
        <w:rPr>
          <w:spacing w:val="-19"/>
        </w:rPr>
        <w:t> </w:t>
      </w:r>
      <w:r>
        <w:rPr/>
        <w:t>conformidad</w:t>
      </w:r>
      <w:r>
        <w:rPr>
          <w:spacing w:val="-19"/>
        </w:rPr>
        <w:t> </w:t>
      </w:r>
      <w:r>
        <w:rPr/>
        <w:t>con</w:t>
      </w:r>
      <w:r>
        <w:rPr>
          <w:spacing w:val="-19"/>
        </w:rPr>
        <w:t> </w:t>
      </w:r>
      <w:r>
        <w:rPr/>
        <w:t>los</w:t>
      </w:r>
      <w:r>
        <w:rPr>
          <w:spacing w:val="-16"/>
        </w:rPr>
        <w:t> </w:t>
      </w:r>
      <w:r>
        <w:rPr/>
        <w:t>artículos</w:t>
      </w:r>
      <w:r>
        <w:rPr>
          <w:spacing w:val="-18"/>
        </w:rPr>
        <w:t> </w:t>
      </w:r>
      <w:r>
        <w:rPr/>
        <w:t>62.3</w:t>
      </w:r>
      <w:r>
        <w:rPr>
          <w:spacing w:val="-18"/>
        </w:rPr>
        <w:t> </w:t>
      </w:r>
      <w:r>
        <w:rPr/>
        <w:t>y</w:t>
      </w:r>
      <w:r>
        <w:rPr>
          <w:spacing w:val="-18"/>
        </w:rPr>
        <w:t> </w:t>
      </w:r>
      <w:r>
        <w:rPr/>
        <w:t>63.1</w:t>
      </w:r>
      <w:r>
        <w:rPr>
          <w:spacing w:val="-18"/>
        </w:rPr>
        <w:t> </w:t>
      </w:r>
      <w:r>
        <w:rPr/>
        <w:t>de</w:t>
      </w:r>
      <w:r>
        <w:rPr>
          <w:spacing w:val="-21"/>
        </w:rPr>
        <w:t> </w:t>
      </w:r>
      <w:r>
        <w:rPr/>
        <w:t>la</w:t>
      </w:r>
      <w:r>
        <w:rPr>
          <w:spacing w:val="-20"/>
        </w:rPr>
        <w:t> </w:t>
      </w:r>
      <w:r>
        <w:rPr/>
        <w:t>Convención</w:t>
      </w:r>
      <w:r>
        <w:rPr>
          <w:spacing w:val="-19"/>
        </w:rPr>
        <w:t> </w:t>
      </w:r>
      <w:r>
        <w:rPr/>
        <w:t>Americana</w:t>
      </w:r>
      <w:r>
        <w:rPr>
          <w:spacing w:val="-18"/>
        </w:rPr>
        <w:t> </w:t>
      </w:r>
      <w:r>
        <w:rPr/>
        <w:t>sobre</w:t>
      </w:r>
      <w:r>
        <w:rPr>
          <w:spacing w:val="-19"/>
        </w:rPr>
        <w:t> </w:t>
      </w:r>
      <w:r>
        <w:rPr/>
        <w:t>Derechos Humanos (en adelante también “Convención Americana” o “Convención”) y con los artículos 31, 32, 65 y 67 del Reglamento de la Corte (en adelante también “el Reglamento”), dicta la presente Sentencia que se estructura en el siguiente</w:t>
      </w:r>
      <w:r>
        <w:rPr>
          <w:spacing w:val="-30"/>
        </w:rPr>
        <w:t> </w:t>
      </w:r>
      <w:r>
        <w:rPr/>
        <w:t>orden: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5"/>
        </w:rPr>
      </w:pPr>
      <w:r>
        <w:rPr/>
        <w:pict>
          <v:line style="position:absolute;mso-position-horizontal-relative:page;mso-position-vertical-relative:paragraph;z-index:0;mso-wrap-distance-left:0;mso-wrap-distance-right:0" from="85.103996pt,11.541477pt" to="229.123996pt,11.541477pt" stroked="true" strokeweight=".71997pt" strokecolor="#000000">
            <v:stroke dashstyle="solid"/>
            <w10:wrap type="topAndBottom"/>
          </v:line>
        </w:pict>
      </w:r>
    </w:p>
    <w:p>
      <w:pPr>
        <w:pStyle w:val="ListParagraph"/>
        <w:numPr>
          <w:ilvl w:val="0"/>
          <w:numId w:val="1"/>
        </w:numPr>
        <w:tabs>
          <w:tab w:pos="829" w:val="left" w:leader="none"/>
          <w:tab w:pos="830" w:val="left" w:leader="none"/>
        </w:tabs>
        <w:spacing w:line="240" w:lineRule="auto" w:before="71" w:after="0"/>
        <w:ind w:left="122" w:right="236" w:firstLine="0"/>
        <w:jc w:val="left"/>
        <w:rPr>
          <w:sz w:val="16"/>
        </w:rPr>
      </w:pPr>
      <w:r>
        <w:rPr>
          <w:sz w:val="16"/>
        </w:rPr>
        <w:t>El</w:t>
      </w:r>
      <w:r>
        <w:rPr>
          <w:spacing w:val="-4"/>
          <w:sz w:val="16"/>
        </w:rPr>
        <w:t> </w:t>
      </w:r>
      <w:r>
        <w:rPr>
          <w:sz w:val="16"/>
        </w:rPr>
        <w:t>Juez</w:t>
      </w:r>
      <w:r>
        <w:rPr>
          <w:spacing w:val="-4"/>
          <w:sz w:val="16"/>
        </w:rPr>
        <w:t> </w:t>
      </w:r>
      <w:r>
        <w:rPr>
          <w:sz w:val="16"/>
        </w:rPr>
        <w:t>Eugenio</w:t>
      </w:r>
      <w:r>
        <w:rPr>
          <w:spacing w:val="-5"/>
          <w:sz w:val="16"/>
        </w:rPr>
        <w:t> </w:t>
      </w:r>
      <w:r>
        <w:rPr>
          <w:sz w:val="16"/>
        </w:rPr>
        <w:t>Raúl</w:t>
      </w:r>
      <w:r>
        <w:rPr>
          <w:spacing w:val="-4"/>
          <w:sz w:val="16"/>
        </w:rPr>
        <w:t> </w:t>
      </w:r>
      <w:r>
        <w:rPr>
          <w:sz w:val="16"/>
        </w:rPr>
        <w:t>Zaffaroni,</w:t>
      </w:r>
      <w:r>
        <w:rPr>
          <w:spacing w:val="-5"/>
          <w:sz w:val="16"/>
        </w:rPr>
        <w:t> </w:t>
      </w:r>
      <w:r>
        <w:rPr>
          <w:sz w:val="16"/>
        </w:rPr>
        <w:t>de</w:t>
      </w:r>
      <w:r>
        <w:rPr>
          <w:spacing w:val="-5"/>
          <w:sz w:val="16"/>
        </w:rPr>
        <w:t> </w:t>
      </w:r>
      <w:r>
        <w:rPr>
          <w:sz w:val="16"/>
        </w:rPr>
        <w:t>nacionalidad</w:t>
      </w:r>
      <w:r>
        <w:rPr>
          <w:spacing w:val="-5"/>
          <w:sz w:val="16"/>
        </w:rPr>
        <w:t> </w:t>
      </w:r>
      <w:r>
        <w:rPr>
          <w:sz w:val="16"/>
        </w:rPr>
        <w:t>argentina,</w:t>
      </w:r>
      <w:r>
        <w:rPr>
          <w:spacing w:val="-5"/>
          <w:sz w:val="16"/>
        </w:rPr>
        <w:t> </w:t>
      </w:r>
      <w:r>
        <w:rPr>
          <w:sz w:val="16"/>
        </w:rPr>
        <w:t>no</w:t>
      </w:r>
      <w:r>
        <w:rPr>
          <w:spacing w:val="-5"/>
          <w:sz w:val="16"/>
        </w:rPr>
        <w:t> </w:t>
      </w:r>
      <w:r>
        <w:rPr>
          <w:sz w:val="16"/>
        </w:rPr>
        <w:t>participó</w:t>
      </w:r>
      <w:r>
        <w:rPr>
          <w:spacing w:val="-5"/>
          <w:sz w:val="16"/>
        </w:rPr>
        <w:t> </w:t>
      </w:r>
      <w:r>
        <w:rPr>
          <w:sz w:val="16"/>
        </w:rPr>
        <w:t>en</w:t>
      </w:r>
      <w:r>
        <w:rPr>
          <w:spacing w:val="-6"/>
          <w:sz w:val="16"/>
        </w:rPr>
        <w:t> </w:t>
      </w:r>
      <w:r>
        <w:rPr>
          <w:sz w:val="16"/>
        </w:rPr>
        <w:t>la</w:t>
      </w:r>
      <w:r>
        <w:rPr>
          <w:spacing w:val="-4"/>
          <w:sz w:val="16"/>
        </w:rPr>
        <w:t> </w:t>
      </w:r>
      <w:r>
        <w:rPr>
          <w:sz w:val="16"/>
        </w:rPr>
        <w:t>tramitación</w:t>
      </w:r>
      <w:r>
        <w:rPr>
          <w:spacing w:val="-6"/>
          <w:sz w:val="16"/>
        </w:rPr>
        <w:t> </w:t>
      </w:r>
      <w:r>
        <w:rPr>
          <w:sz w:val="16"/>
        </w:rPr>
        <w:t>del</w:t>
      </w:r>
      <w:r>
        <w:rPr>
          <w:spacing w:val="-4"/>
          <w:sz w:val="16"/>
        </w:rPr>
        <w:t> </w:t>
      </w:r>
      <w:r>
        <w:rPr>
          <w:sz w:val="16"/>
        </w:rPr>
        <w:t>presente caso ni en la deliberación y firma de esta Sentencia, de conformidad con lo dispuesto en los artículos 19.1 </w:t>
      </w:r>
      <w:r>
        <w:rPr>
          <w:spacing w:val="32"/>
          <w:sz w:val="16"/>
        </w:rPr>
        <w:t> </w:t>
      </w:r>
      <w:r>
        <w:rPr>
          <w:sz w:val="16"/>
        </w:rPr>
        <w:t>y</w:t>
      </w:r>
    </w:p>
    <w:p>
      <w:pPr>
        <w:spacing w:before="0"/>
        <w:ind w:left="122" w:right="0" w:firstLine="0"/>
        <w:jc w:val="left"/>
        <w:rPr>
          <w:sz w:val="16"/>
        </w:rPr>
      </w:pPr>
      <w:r>
        <w:rPr>
          <w:sz w:val="16"/>
        </w:rPr>
        <w:t>19.2 del Reglamento de la Corte.</w:t>
      </w:r>
    </w:p>
    <w:p>
      <w:pPr>
        <w:spacing w:after="0"/>
        <w:jc w:val="left"/>
        <w:rPr>
          <w:sz w:val="16"/>
        </w:rPr>
        <w:sectPr>
          <w:footerReference w:type="default" r:id="rId5"/>
          <w:type w:val="continuous"/>
          <w:pgSz w:w="12240" w:h="15840"/>
          <w:pgMar w:footer="1000" w:top="1500" w:bottom="1200" w:left="1580" w:right="1460"/>
          <w:pgNumType w:start="1"/>
        </w:sectPr>
      </w:pPr>
    </w:p>
    <w:p>
      <w:pPr>
        <w:pStyle w:val="Heading3"/>
        <w:spacing w:before="75"/>
        <w:ind w:left="0"/>
      </w:pPr>
      <w:r>
        <w:rPr/>
        <w:t>TABLA DE CONTENIDO</w:t>
      </w:r>
    </w:p>
    <w:p>
      <w:pPr>
        <w:spacing w:after="0"/>
        <w:sectPr>
          <w:pgSz w:w="12240" w:h="15840"/>
          <w:pgMar w:header="0" w:footer="1000" w:top="1320" w:bottom="1433" w:left="1600" w:right="1600"/>
        </w:sectPr>
      </w:pPr>
    </w:p>
    <w:sdt>
      <w:sdtPr>
        <w:docPartObj>
          <w:docPartGallery w:val="Table of Contents"/>
          <w:docPartUnique/>
        </w:docPartObj>
      </w:sdtPr>
      <w:sdtEndPr/>
      <w:sdtContent>
        <w:p>
          <w:pPr>
            <w:pStyle w:val="TOC2"/>
            <w:numPr>
              <w:ilvl w:val="0"/>
              <w:numId w:val="2"/>
            </w:numPr>
            <w:tabs>
              <w:tab w:pos="323" w:val="left" w:leader="none"/>
              <w:tab w:pos="8929" w:val="right" w:leader="dot"/>
            </w:tabs>
            <w:spacing w:line="240" w:lineRule="auto" w:before="195" w:after="0"/>
            <w:ind w:left="322" w:right="0" w:hanging="220"/>
            <w:jc w:val="left"/>
            <w:rPr>
              <w:rFonts w:ascii="Calibri Light" w:hAnsi="Calibri Light"/>
              <w:b w:val="0"/>
              <w:sz w:val="24"/>
            </w:rPr>
          </w:pPr>
          <w:hyperlink w:history="true" w:anchor="_bookmark1">
            <w:r>
              <w:rPr/>
              <w:t>INTRODUCCIÓN DE LA CAUSA Y OBJETO DE</w:t>
            </w:r>
            <w:r>
              <w:rPr>
                <w:spacing w:val="-5"/>
              </w:rPr>
              <w:t> </w:t>
            </w:r>
            <w:r>
              <w:rPr/>
              <w:t>LA</w:t>
            </w:r>
            <w:r>
              <w:rPr>
                <w:spacing w:val="-1"/>
              </w:rPr>
              <w:t> </w:t>
            </w:r>
            <w:r>
              <w:rPr/>
              <w:t>CONTROVERSIA</w:t>
            </w:r>
            <w:r>
              <w:rPr>
                <w:rFonts w:ascii="Calibri Light" w:hAnsi="Calibri Light"/>
                <w:b w:val="0"/>
                <w:sz w:val="24"/>
              </w:rPr>
              <w:tab/>
              <w:t>5</w:t>
            </w:r>
          </w:hyperlink>
        </w:p>
        <w:p>
          <w:pPr>
            <w:pStyle w:val="TOC2"/>
            <w:numPr>
              <w:ilvl w:val="0"/>
              <w:numId w:val="2"/>
            </w:numPr>
            <w:tabs>
              <w:tab w:pos="426" w:val="left" w:leader="none"/>
              <w:tab w:pos="8827" w:val="right" w:leader="dot"/>
            </w:tabs>
            <w:spacing w:line="240" w:lineRule="auto" w:before="352" w:after="0"/>
            <w:ind w:left="425" w:right="5" w:hanging="323"/>
            <w:jc w:val="left"/>
            <w:rPr>
              <w:rFonts w:ascii="Calibri Light"/>
              <w:b w:val="0"/>
              <w:sz w:val="24"/>
            </w:rPr>
          </w:pPr>
          <w:hyperlink w:history="true" w:anchor="_bookmark2">
            <w:r>
              <w:rPr/>
              <w:t>PROCEDIMIENTO ANTE</w:t>
            </w:r>
            <w:r>
              <w:rPr>
                <w:spacing w:val="-2"/>
              </w:rPr>
              <w:t> </w:t>
            </w:r>
            <w:r>
              <w:rPr/>
              <w:t>LA</w:t>
            </w:r>
            <w:r>
              <w:rPr>
                <w:spacing w:val="-1"/>
              </w:rPr>
              <w:t> </w:t>
            </w:r>
            <w:r>
              <w:rPr/>
              <w:t>CORTE</w:t>
            </w:r>
            <w:r>
              <w:rPr>
                <w:rFonts w:ascii="Calibri Light"/>
                <w:b w:val="0"/>
                <w:sz w:val="24"/>
              </w:rPr>
              <w:tab/>
              <w:t>7</w:t>
            </w:r>
          </w:hyperlink>
        </w:p>
        <w:p>
          <w:pPr>
            <w:pStyle w:val="TOC2"/>
            <w:numPr>
              <w:ilvl w:val="0"/>
              <w:numId w:val="2"/>
            </w:numPr>
            <w:tabs>
              <w:tab w:pos="506" w:val="left" w:leader="none"/>
              <w:tab w:pos="8826" w:val="right" w:leader="dot"/>
            </w:tabs>
            <w:spacing w:line="240" w:lineRule="auto" w:before="294" w:after="0"/>
            <w:ind w:left="505" w:right="7" w:hanging="403"/>
            <w:jc w:val="left"/>
          </w:pPr>
          <w:hyperlink w:history="true" w:anchor="_bookmark4">
            <w:r>
              <w:rPr>
                <w:spacing w:val="-5"/>
              </w:rPr>
              <w:t>COMPETENCIA</w:t>
              <w:tab/>
            </w:r>
            <w:r>
              <w:rPr/>
              <w:t>10</w:t>
            </w:r>
          </w:hyperlink>
        </w:p>
        <w:p>
          <w:pPr>
            <w:pStyle w:val="TOC2"/>
            <w:numPr>
              <w:ilvl w:val="0"/>
              <w:numId w:val="2"/>
            </w:numPr>
            <w:tabs>
              <w:tab w:pos="465" w:val="left" w:leader="none"/>
              <w:tab w:pos="8826" w:val="right" w:leader="dot"/>
            </w:tabs>
            <w:spacing w:line="240" w:lineRule="auto" w:before="284" w:after="0"/>
            <w:ind w:left="464" w:right="7" w:hanging="362"/>
            <w:jc w:val="left"/>
          </w:pPr>
          <w:hyperlink w:history="true" w:anchor="_bookmark6">
            <w:r>
              <w:rPr/>
              <w:t>CONSIDERACIONES</w:t>
            </w:r>
            <w:r>
              <w:rPr>
                <w:spacing w:val="-1"/>
              </w:rPr>
              <w:t> </w:t>
            </w:r>
            <w:r>
              <w:rPr/>
              <w:t>PREVIAS</w:t>
              <w:tab/>
              <w:t>10</w:t>
            </w:r>
          </w:hyperlink>
        </w:p>
        <w:p>
          <w:pPr>
            <w:pStyle w:val="TOC3"/>
            <w:numPr>
              <w:ilvl w:val="0"/>
              <w:numId w:val="3"/>
            </w:numPr>
            <w:tabs>
              <w:tab w:pos="544" w:val="left" w:leader="none"/>
              <w:tab w:pos="8928" w:val="right" w:leader="dot"/>
            </w:tabs>
            <w:spacing w:line="240" w:lineRule="auto" w:before="30" w:after="0"/>
            <w:ind w:left="543" w:right="0" w:hanging="300"/>
            <w:jc w:val="left"/>
            <w:rPr>
              <w:i w:val="0"/>
            </w:rPr>
          </w:pPr>
          <w:hyperlink w:history="true" w:anchor="_bookmark7">
            <w:r>
              <w:rPr>
                <w:i/>
              </w:rPr>
              <w:t>Sobre los hechos posteriores al 26 de enero de 2012</w:t>
            </w:r>
            <w:r>
              <w:rPr>
                <w:i w:val="0"/>
              </w:rPr>
              <w:tab/>
              <w:t>10</w:t>
            </w:r>
          </w:hyperlink>
        </w:p>
        <w:p>
          <w:pPr>
            <w:pStyle w:val="TOC5"/>
            <w:numPr>
              <w:ilvl w:val="1"/>
              <w:numId w:val="3"/>
            </w:numPr>
            <w:tabs>
              <w:tab w:pos="717" w:val="left" w:leader="none"/>
              <w:tab w:pos="8933" w:val="right" w:leader="dot"/>
            </w:tabs>
            <w:spacing w:line="240" w:lineRule="auto" w:before="33" w:after="0"/>
            <w:ind w:left="716" w:right="0" w:hanging="394"/>
            <w:jc w:val="left"/>
            <w:rPr>
              <w:b w:val="0"/>
              <w:i w:val="0"/>
            </w:rPr>
          </w:pPr>
          <w:hyperlink w:history="true" w:anchor="_bookmark8">
            <w:r>
              <w:rPr>
                <w:i/>
              </w:rPr>
              <w:t>Alegatos de las partes y</w:t>
            </w:r>
            <w:r>
              <w:rPr>
                <w:i/>
                <w:spacing w:val="1"/>
              </w:rPr>
              <w:t> </w:t>
            </w:r>
            <w:r>
              <w:rPr>
                <w:i/>
              </w:rPr>
              <w:t>la</w:t>
            </w:r>
            <w:r>
              <w:rPr>
                <w:i/>
                <w:spacing w:val="-1"/>
              </w:rPr>
              <w:t> </w:t>
            </w:r>
            <w:r>
              <w:rPr>
                <w:i/>
              </w:rPr>
              <w:t>Comisión</w:t>
            </w:r>
            <w:r>
              <w:rPr>
                <w:b w:val="0"/>
                <w:i w:val="0"/>
              </w:rPr>
              <w:tab/>
              <w:t>10</w:t>
            </w:r>
          </w:hyperlink>
        </w:p>
        <w:p>
          <w:pPr>
            <w:pStyle w:val="TOC5"/>
            <w:numPr>
              <w:ilvl w:val="1"/>
              <w:numId w:val="3"/>
            </w:numPr>
            <w:tabs>
              <w:tab w:pos="717" w:val="left" w:leader="none"/>
              <w:tab w:pos="8933" w:val="right" w:leader="dot"/>
            </w:tabs>
            <w:spacing w:line="240" w:lineRule="auto" w:before="33" w:after="0"/>
            <w:ind w:left="716" w:right="0" w:hanging="394"/>
            <w:jc w:val="left"/>
            <w:rPr>
              <w:b w:val="0"/>
              <w:i w:val="0"/>
            </w:rPr>
          </w:pPr>
          <w:hyperlink w:history="true" w:anchor="_bookmark9">
            <w:r>
              <w:rPr>
                <w:i/>
              </w:rPr>
              <w:t>Consideraciones de</w:t>
            </w:r>
            <w:r>
              <w:rPr>
                <w:i/>
                <w:spacing w:val="2"/>
              </w:rPr>
              <w:t> </w:t>
            </w:r>
            <w:r>
              <w:rPr>
                <w:i/>
              </w:rPr>
              <w:t>la</w:t>
            </w:r>
            <w:r>
              <w:rPr>
                <w:i/>
                <w:spacing w:val="-1"/>
              </w:rPr>
              <w:t> </w:t>
            </w:r>
            <w:r>
              <w:rPr>
                <w:i/>
              </w:rPr>
              <w:t>Corte</w:t>
            </w:r>
            <w:r>
              <w:rPr>
                <w:b w:val="0"/>
                <w:i w:val="0"/>
              </w:rPr>
              <w:tab/>
              <w:t>11</w:t>
            </w:r>
          </w:hyperlink>
        </w:p>
        <w:p>
          <w:pPr>
            <w:pStyle w:val="TOC3"/>
            <w:numPr>
              <w:ilvl w:val="0"/>
              <w:numId w:val="3"/>
            </w:numPr>
            <w:tabs>
              <w:tab w:pos="542" w:val="left" w:leader="none"/>
              <w:tab w:pos="8928" w:val="right" w:leader="dot"/>
            </w:tabs>
            <w:spacing w:line="240" w:lineRule="auto" w:before="33" w:after="0"/>
            <w:ind w:left="541" w:right="0" w:hanging="298"/>
            <w:jc w:val="left"/>
            <w:rPr>
              <w:i w:val="0"/>
            </w:rPr>
          </w:pPr>
          <w:hyperlink w:history="true" w:anchor="_bookmark10">
            <w:r>
              <w:rPr>
                <w:i/>
              </w:rPr>
              <w:t>Sobre la determinación de las presuntas víctimas</w:t>
            </w:r>
            <w:r>
              <w:rPr>
                <w:i w:val="0"/>
              </w:rPr>
              <w:tab/>
              <w:t>12</w:t>
            </w:r>
          </w:hyperlink>
        </w:p>
        <w:p>
          <w:pPr>
            <w:pStyle w:val="TOC5"/>
            <w:numPr>
              <w:ilvl w:val="1"/>
              <w:numId w:val="3"/>
            </w:numPr>
            <w:tabs>
              <w:tab w:pos="715" w:val="left" w:leader="none"/>
              <w:tab w:pos="8933" w:val="right" w:leader="dot"/>
            </w:tabs>
            <w:spacing w:line="240" w:lineRule="auto" w:before="33" w:after="0"/>
            <w:ind w:left="714" w:right="0" w:hanging="392"/>
            <w:jc w:val="left"/>
            <w:rPr>
              <w:b w:val="0"/>
              <w:i w:val="0"/>
            </w:rPr>
          </w:pPr>
          <w:hyperlink w:history="true" w:anchor="_bookmark11">
            <w:r>
              <w:rPr>
                <w:i/>
              </w:rPr>
              <w:t>Alegatos de las partes y</w:t>
            </w:r>
            <w:r>
              <w:rPr>
                <w:i/>
                <w:spacing w:val="1"/>
              </w:rPr>
              <w:t> </w:t>
            </w:r>
            <w:r>
              <w:rPr>
                <w:i/>
              </w:rPr>
              <w:t>la</w:t>
            </w:r>
            <w:r>
              <w:rPr>
                <w:i/>
                <w:spacing w:val="-1"/>
              </w:rPr>
              <w:t> </w:t>
            </w:r>
            <w:r>
              <w:rPr>
                <w:i/>
              </w:rPr>
              <w:t>Comisión</w:t>
            </w:r>
            <w:r>
              <w:rPr>
                <w:b w:val="0"/>
                <w:i w:val="0"/>
              </w:rPr>
              <w:tab/>
              <w:t>12</w:t>
            </w:r>
          </w:hyperlink>
        </w:p>
        <w:p>
          <w:pPr>
            <w:pStyle w:val="TOC5"/>
            <w:numPr>
              <w:ilvl w:val="1"/>
              <w:numId w:val="3"/>
            </w:numPr>
            <w:tabs>
              <w:tab w:pos="715" w:val="left" w:leader="none"/>
              <w:tab w:pos="8933" w:val="right" w:leader="dot"/>
            </w:tabs>
            <w:spacing w:line="240" w:lineRule="auto" w:before="31" w:after="0"/>
            <w:ind w:left="714" w:right="0" w:hanging="392"/>
            <w:jc w:val="left"/>
            <w:rPr>
              <w:b w:val="0"/>
              <w:i w:val="0"/>
            </w:rPr>
          </w:pPr>
          <w:hyperlink w:history="true" w:anchor="_bookmark12">
            <w:r>
              <w:rPr>
                <w:i/>
              </w:rPr>
              <w:t>Consideraciones de</w:t>
            </w:r>
            <w:r>
              <w:rPr>
                <w:i/>
                <w:spacing w:val="2"/>
              </w:rPr>
              <w:t> </w:t>
            </w:r>
            <w:r>
              <w:rPr>
                <w:i/>
              </w:rPr>
              <w:t>la</w:t>
            </w:r>
            <w:r>
              <w:rPr>
                <w:i/>
                <w:spacing w:val="-1"/>
              </w:rPr>
              <w:t> </w:t>
            </w:r>
            <w:r>
              <w:rPr>
                <w:i/>
              </w:rPr>
              <w:t>Corte</w:t>
            </w:r>
            <w:r>
              <w:rPr>
                <w:b w:val="0"/>
                <w:i w:val="0"/>
              </w:rPr>
              <w:tab/>
              <w:t>13</w:t>
            </w:r>
          </w:hyperlink>
        </w:p>
        <w:p>
          <w:pPr>
            <w:pStyle w:val="TOC2"/>
            <w:numPr>
              <w:ilvl w:val="0"/>
              <w:numId w:val="2"/>
            </w:numPr>
            <w:tabs>
              <w:tab w:pos="367" w:val="left" w:leader="none"/>
              <w:tab w:pos="8826" w:val="right" w:leader="dot"/>
            </w:tabs>
            <w:spacing w:line="240" w:lineRule="auto" w:before="285" w:after="0"/>
            <w:ind w:left="366" w:right="7" w:hanging="264"/>
            <w:jc w:val="left"/>
          </w:pPr>
          <w:hyperlink w:history="true" w:anchor="_bookmark14">
            <w:r>
              <w:rPr/>
              <w:t>PRUEBA</w:t>
              <w:tab/>
              <w:t>15</w:t>
            </w:r>
          </w:hyperlink>
        </w:p>
        <w:p>
          <w:pPr>
            <w:pStyle w:val="TOC3"/>
            <w:numPr>
              <w:ilvl w:val="1"/>
              <w:numId w:val="2"/>
            </w:numPr>
            <w:tabs>
              <w:tab w:pos="544" w:val="left" w:leader="none"/>
              <w:tab w:pos="8928" w:val="right" w:leader="dot"/>
            </w:tabs>
            <w:spacing w:line="240" w:lineRule="auto" w:before="33" w:after="0"/>
            <w:ind w:left="543" w:right="0" w:hanging="300"/>
            <w:jc w:val="left"/>
            <w:rPr>
              <w:i w:val="0"/>
            </w:rPr>
          </w:pPr>
          <w:hyperlink w:history="true" w:anchor="_bookmark15">
            <w:r>
              <w:rPr>
                <w:i/>
              </w:rPr>
              <w:t>Admisibilidad de la</w:t>
            </w:r>
            <w:r>
              <w:rPr>
                <w:i/>
                <w:spacing w:val="-1"/>
              </w:rPr>
              <w:t> </w:t>
            </w:r>
            <w:r>
              <w:rPr>
                <w:i/>
              </w:rPr>
              <w:t>prueba</w:t>
            </w:r>
            <w:r>
              <w:rPr>
                <w:i/>
                <w:spacing w:val="-1"/>
              </w:rPr>
              <w:t> </w:t>
            </w:r>
            <w:r>
              <w:rPr>
                <w:i/>
              </w:rPr>
              <w:t>documental</w:t>
            </w:r>
            <w:r>
              <w:rPr>
                <w:i w:val="0"/>
              </w:rPr>
              <w:tab/>
              <w:t>15</w:t>
            </w:r>
          </w:hyperlink>
        </w:p>
        <w:p>
          <w:pPr>
            <w:pStyle w:val="TOC3"/>
            <w:numPr>
              <w:ilvl w:val="1"/>
              <w:numId w:val="2"/>
            </w:numPr>
            <w:tabs>
              <w:tab w:pos="542" w:val="left" w:leader="none"/>
              <w:tab w:pos="8928" w:val="right" w:leader="dot"/>
            </w:tabs>
            <w:spacing w:line="240" w:lineRule="auto" w:before="33" w:after="0"/>
            <w:ind w:left="541" w:right="0" w:hanging="298"/>
            <w:jc w:val="left"/>
            <w:rPr>
              <w:i w:val="0"/>
            </w:rPr>
          </w:pPr>
          <w:hyperlink w:history="true" w:anchor="_bookmark16">
            <w:r>
              <w:rPr>
                <w:i/>
              </w:rPr>
              <w:t>Admisibilidad de la prueba testimonial</w:t>
            </w:r>
            <w:r>
              <w:rPr>
                <w:i/>
                <w:spacing w:val="-1"/>
              </w:rPr>
              <w:t> </w:t>
            </w:r>
            <w:r>
              <w:rPr>
                <w:i/>
              </w:rPr>
              <w:t>y pericial</w:t>
            </w:r>
            <w:r>
              <w:rPr>
                <w:i w:val="0"/>
              </w:rPr>
              <w:tab/>
              <w:t>17</w:t>
            </w:r>
          </w:hyperlink>
        </w:p>
        <w:p>
          <w:pPr>
            <w:pStyle w:val="TOC2"/>
            <w:numPr>
              <w:ilvl w:val="0"/>
              <w:numId w:val="2"/>
            </w:numPr>
            <w:tabs>
              <w:tab w:pos="465" w:val="left" w:leader="none"/>
              <w:tab w:pos="8826" w:val="right" w:leader="dot"/>
            </w:tabs>
            <w:spacing w:line="240" w:lineRule="auto" w:before="283" w:after="0"/>
            <w:ind w:left="464" w:right="7" w:hanging="362"/>
            <w:jc w:val="left"/>
          </w:pPr>
          <w:hyperlink w:history="true" w:anchor="_bookmark18">
            <w:r>
              <w:rPr/>
              <w:t>HECHOS</w:t>
              <w:tab/>
              <w:t>17</w:t>
            </w:r>
          </w:hyperlink>
        </w:p>
        <w:p>
          <w:pPr>
            <w:pStyle w:val="TOC3"/>
            <w:numPr>
              <w:ilvl w:val="0"/>
              <w:numId w:val="4"/>
            </w:numPr>
            <w:tabs>
              <w:tab w:pos="544" w:val="left" w:leader="none"/>
              <w:tab w:pos="8928" w:val="right" w:leader="dot"/>
            </w:tabs>
            <w:spacing w:line="240" w:lineRule="auto" w:before="33" w:after="0"/>
            <w:ind w:left="543" w:right="0" w:hanging="300"/>
            <w:jc w:val="left"/>
            <w:rPr>
              <w:i w:val="0"/>
            </w:rPr>
          </w:pPr>
          <w:hyperlink w:history="true" w:anchor="_bookmark19">
            <w:r>
              <w:rPr>
                <w:i/>
              </w:rPr>
              <w:t>Introducción: Población indígena y criolla en los lotes 14</w:t>
            </w:r>
            <w:r>
              <w:rPr>
                <w:i/>
                <w:spacing w:val="-8"/>
              </w:rPr>
              <w:t> </w:t>
            </w:r>
            <w:r>
              <w:rPr>
                <w:i/>
              </w:rPr>
              <w:t>y 55</w:t>
            </w:r>
            <w:r>
              <w:rPr>
                <w:i w:val="0"/>
              </w:rPr>
              <w:tab/>
              <w:t>18</w:t>
            </w:r>
          </w:hyperlink>
        </w:p>
        <w:p>
          <w:pPr>
            <w:pStyle w:val="TOC3"/>
            <w:numPr>
              <w:ilvl w:val="0"/>
              <w:numId w:val="4"/>
            </w:numPr>
            <w:tabs>
              <w:tab w:pos="542" w:val="left" w:leader="none"/>
              <w:tab w:pos="8928" w:val="right" w:leader="dot"/>
            </w:tabs>
            <w:spacing w:line="240" w:lineRule="auto" w:before="33" w:after="0"/>
            <w:ind w:left="541" w:right="0" w:hanging="298"/>
            <w:jc w:val="left"/>
            <w:rPr>
              <w:i w:val="0"/>
            </w:rPr>
          </w:pPr>
          <w:hyperlink w:history="true" w:anchor="_bookmark20">
            <w:r>
              <w:rPr>
                <w:i/>
              </w:rPr>
              <w:t>Legislación general pertinente respecto a</w:t>
            </w:r>
            <w:r>
              <w:rPr>
                <w:i/>
                <w:spacing w:val="-4"/>
              </w:rPr>
              <w:t> </w:t>
            </w:r>
            <w:r>
              <w:rPr>
                <w:i/>
              </w:rPr>
              <w:t>tierras indígenas</w:t>
            </w:r>
            <w:r>
              <w:rPr>
                <w:i w:val="0"/>
              </w:rPr>
              <w:tab/>
              <w:t>21</w:t>
            </w:r>
          </w:hyperlink>
        </w:p>
        <w:p>
          <w:pPr>
            <w:pStyle w:val="TOC3"/>
            <w:numPr>
              <w:ilvl w:val="0"/>
              <w:numId w:val="4"/>
            </w:numPr>
            <w:tabs>
              <w:tab w:pos="534" w:val="left" w:leader="none"/>
              <w:tab w:pos="8928" w:val="right" w:leader="dot"/>
            </w:tabs>
            <w:spacing w:line="240" w:lineRule="auto" w:before="33" w:after="0"/>
            <w:ind w:left="534" w:right="0" w:hanging="291"/>
            <w:jc w:val="left"/>
            <w:rPr>
              <w:i w:val="0"/>
            </w:rPr>
          </w:pPr>
          <w:hyperlink w:history="true" w:anchor="_bookmark21">
            <w:r>
              <w:rPr>
                <w:i/>
              </w:rPr>
              <w:t>Reclamos territoriales indígenas en el</w:t>
            </w:r>
            <w:r>
              <w:rPr>
                <w:i/>
                <w:spacing w:val="-2"/>
              </w:rPr>
              <w:t> </w:t>
            </w:r>
            <w:r>
              <w:rPr>
                <w:i/>
              </w:rPr>
              <w:t>caso</w:t>
            </w:r>
            <w:r>
              <w:rPr>
                <w:i w:val="0"/>
              </w:rPr>
              <w:tab/>
              <w:t>24</w:t>
            </w:r>
          </w:hyperlink>
        </w:p>
        <w:p>
          <w:pPr>
            <w:pStyle w:val="TOC5"/>
            <w:numPr>
              <w:ilvl w:val="1"/>
              <w:numId w:val="4"/>
            </w:numPr>
            <w:tabs>
              <w:tab w:pos="707" w:val="left" w:leader="none"/>
            </w:tabs>
            <w:spacing w:line="240" w:lineRule="auto" w:before="33" w:after="0"/>
            <w:ind w:left="322" w:right="0" w:firstLine="0"/>
            <w:jc w:val="left"/>
            <w:rPr>
              <w:b w:val="0"/>
              <w:i w:val="0"/>
            </w:rPr>
          </w:pPr>
          <w:hyperlink w:history="true" w:anchor="_bookmark22">
            <w:r>
              <w:rPr>
                <w:i/>
              </w:rPr>
              <w:t>Primera fase (antes de 1999): primeros reclamos y compromisos de titulación</w:t>
            </w:r>
            <w:r>
              <w:rPr>
                <w:i/>
                <w:spacing w:val="-1"/>
              </w:rPr>
              <w:t> </w:t>
            </w:r>
            <w:r>
              <w:rPr>
                <w:b w:val="0"/>
                <w:i w:val="0"/>
              </w:rPr>
              <w:t>24</w:t>
            </w:r>
          </w:hyperlink>
        </w:p>
        <w:p>
          <w:pPr>
            <w:pStyle w:val="TOC5"/>
            <w:numPr>
              <w:ilvl w:val="1"/>
              <w:numId w:val="4"/>
            </w:numPr>
            <w:tabs>
              <w:tab w:pos="741" w:val="left" w:leader="none"/>
              <w:tab w:pos="8933" w:val="right" w:leader="dot"/>
            </w:tabs>
            <w:spacing w:line="276" w:lineRule="auto" w:before="31" w:after="0"/>
            <w:ind w:left="322" w:right="98" w:firstLine="0"/>
            <w:jc w:val="left"/>
            <w:rPr>
              <w:b w:val="0"/>
              <w:i w:val="0"/>
            </w:rPr>
          </w:pPr>
          <w:hyperlink w:history="true" w:anchor="_bookmark23">
            <w:r>
              <w:rPr>
                <w:i/>
              </w:rPr>
              <w:t>Segunda fase (1999-2004): intentos de parcelaciones individuales y oposición</w:t>
            </w:r>
          </w:hyperlink>
          <w:r>
            <w:rPr>
              <w:i/>
            </w:rPr>
            <w:t> </w:t>
          </w:r>
          <w:hyperlink w:history="true" w:anchor="_bookmark23">
            <w:r>
              <w:rPr/>
              <w:t>indígena</w:t>
            </w:r>
            <w:r>
              <w:rPr>
                <w:b w:val="0"/>
                <w:i w:val="0"/>
              </w:rPr>
              <w:tab/>
              <w:t>26</w:t>
            </w:r>
          </w:hyperlink>
        </w:p>
        <w:p>
          <w:pPr>
            <w:pStyle w:val="TOC5"/>
            <w:numPr>
              <w:ilvl w:val="1"/>
              <w:numId w:val="4"/>
            </w:numPr>
            <w:tabs>
              <w:tab w:pos="755" w:val="left" w:leader="none"/>
              <w:tab w:pos="8933" w:val="right" w:leader="dot"/>
            </w:tabs>
            <w:spacing w:line="276" w:lineRule="auto" w:before="0" w:after="0"/>
            <w:ind w:left="322" w:right="99" w:firstLine="0"/>
            <w:jc w:val="left"/>
            <w:rPr>
              <w:b w:val="0"/>
              <w:i w:val="0"/>
            </w:rPr>
          </w:pPr>
          <w:hyperlink w:history="true" w:anchor="_bookmark24">
            <w:r>
              <w:rPr>
                <w:i/>
              </w:rPr>
              <w:t>Tercera fase (2005-2006): Creación de la Unidad Ejecutora Provincial (UEP),</w:t>
            </w:r>
          </w:hyperlink>
          <w:r>
            <w:rPr>
              <w:i/>
            </w:rPr>
            <w:t> </w:t>
          </w:r>
          <w:hyperlink w:history="true" w:anchor="_bookmark24">
            <w:r>
              <w:rPr/>
              <w:t>referéndum y</w:t>
            </w:r>
            <w:r>
              <w:rPr>
                <w:spacing w:val="-1"/>
              </w:rPr>
              <w:t> </w:t>
            </w:r>
            <w:r>
              <w:rPr/>
              <w:t>acciones</w:t>
            </w:r>
            <w:r>
              <w:rPr>
                <w:spacing w:val="1"/>
              </w:rPr>
              <w:t> </w:t>
            </w:r>
            <w:r>
              <w:rPr/>
              <w:t>posteriores</w:t>
            </w:r>
            <w:r>
              <w:rPr>
                <w:b w:val="0"/>
                <w:i w:val="0"/>
              </w:rPr>
              <w:tab/>
              <w:t>27</w:t>
            </w:r>
          </w:hyperlink>
        </w:p>
        <w:p>
          <w:pPr>
            <w:pStyle w:val="TOC5"/>
            <w:numPr>
              <w:ilvl w:val="1"/>
              <w:numId w:val="5"/>
            </w:numPr>
            <w:tabs>
              <w:tab w:pos="772" w:val="left" w:leader="none"/>
              <w:tab w:pos="8933" w:val="right" w:leader="dot"/>
            </w:tabs>
            <w:spacing w:line="240" w:lineRule="auto" w:before="0" w:after="0"/>
            <w:ind w:left="771" w:right="0" w:hanging="449"/>
            <w:jc w:val="left"/>
            <w:rPr>
              <w:b w:val="0"/>
              <w:i w:val="0"/>
            </w:rPr>
          </w:pPr>
          <w:hyperlink w:history="true" w:anchor="_bookmark25">
            <w:r>
              <w:rPr>
                <w:i/>
              </w:rPr>
              <w:t>Cuarta fase (a partir de 2007)</w:t>
            </w:r>
            <w:r>
              <w:rPr>
                <w:b w:val="0"/>
                <w:i w:val="0"/>
              </w:rPr>
              <w:tab/>
              <w:t>29</w:t>
            </w:r>
          </w:hyperlink>
        </w:p>
        <w:p>
          <w:pPr>
            <w:pStyle w:val="TOC7"/>
            <w:numPr>
              <w:ilvl w:val="2"/>
              <w:numId w:val="5"/>
            </w:numPr>
            <w:tabs>
              <w:tab w:pos="1089" w:val="left" w:leader="none"/>
              <w:tab w:pos="8933" w:val="right" w:leader="dot"/>
            </w:tabs>
            <w:spacing w:line="240" w:lineRule="auto" w:before="33" w:after="0"/>
            <w:ind w:left="1088" w:right="0" w:hanging="547"/>
            <w:jc w:val="left"/>
            <w:rPr>
              <w:i w:val="0"/>
            </w:rPr>
          </w:pPr>
          <w:hyperlink w:history="true" w:anchor="_bookmark26">
            <w:r>
              <w:rPr>
                <w:i/>
              </w:rPr>
              <w:t>Acta –Acuerdo de octubre de 2007 y actos para</w:t>
            </w:r>
            <w:r>
              <w:rPr>
                <w:i/>
                <w:spacing w:val="-15"/>
              </w:rPr>
              <w:t> </w:t>
            </w:r>
            <w:r>
              <w:rPr>
                <w:i/>
              </w:rPr>
              <w:t>su</w:t>
            </w:r>
            <w:r>
              <w:rPr>
                <w:i/>
                <w:spacing w:val="-1"/>
              </w:rPr>
              <w:t> </w:t>
            </w:r>
            <w:r>
              <w:rPr>
                <w:i/>
              </w:rPr>
              <w:t>implementación</w:t>
            </w:r>
            <w:r>
              <w:rPr>
                <w:i w:val="0"/>
              </w:rPr>
              <w:tab/>
              <w:t>29</w:t>
            </w:r>
          </w:hyperlink>
        </w:p>
        <w:p>
          <w:pPr>
            <w:pStyle w:val="TOC7"/>
            <w:numPr>
              <w:ilvl w:val="2"/>
              <w:numId w:val="5"/>
            </w:numPr>
            <w:tabs>
              <w:tab w:pos="1089" w:val="left" w:leader="none"/>
              <w:tab w:pos="8933" w:val="right" w:leader="dot"/>
            </w:tabs>
            <w:spacing w:line="240" w:lineRule="auto" w:before="30" w:after="0"/>
            <w:ind w:left="1088" w:right="0" w:hanging="547"/>
            <w:jc w:val="left"/>
            <w:rPr>
              <w:i w:val="0"/>
            </w:rPr>
          </w:pPr>
          <w:hyperlink w:history="true" w:anchor="_bookmark27">
            <w:r>
              <w:rPr>
                <w:i/>
              </w:rPr>
              <w:t>Decreto 2398 de 2012 y</w:t>
            </w:r>
            <w:r>
              <w:rPr>
                <w:i/>
                <w:spacing w:val="-6"/>
              </w:rPr>
              <w:t> </w:t>
            </w:r>
            <w:r>
              <w:rPr>
                <w:i/>
              </w:rPr>
              <w:t>actos</w:t>
            </w:r>
            <w:r>
              <w:rPr>
                <w:i/>
                <w:spacing w:val="-2"/>
              </w:rPr>
              <w:t> </w:t>
            </w:r>
            <w:r>
              <w:rPr>
                <w:i/>
              </w:rPr>
              <w:t>posteriores</w:t>
            </w:r>
            <w:r>
              <w:rPr>
                <w:i w:val="0"/>
              </w:rPr>
              <w:tab/>
              <w:t>30</w:t>
            </w:r>
          </w:hyperlink>
        </w:p>
        <w:p>
          <w:pPr>
            <w:pStyle w:val="TOC7"/>
            <w:numPr>
              <w:ilvl w:val="2"/>
              <w:numId w:val="5"/>
            </w:numPr>
            <w:tabs>
              <w:tab w:pos="1089" w:val="left" w:leader="none"/>
              <w:tab w:pos="8933" w:val="right" w:leader="dot"/>
            </w:tabs>
            <w:spacing w:line="240" w:lineRule="auto" w:before="32" w:after="0"/>
            <w:ind w:left="1088" w:right="0" w:hanging="547"/>
            <w:jc w:val="left"/>
            <w:rPr>
              <w:i w:val="0"/>
            </w:rPr>
          </w:pPr>
          <w:hyperlink w:history="true" w:anchor="_bookmark28">
            <w:r>
              <w:rPr>
                <w:i/>
              </w:rPr>
              <w:t>Decreto 1498 de 2014 y</w:t>
            </w:r>
            <w:r>
              <w:rPr>
                <w:i/>
                <w:spacing w:val="-6"/>
              </w:rPr>
              <w:t> </w:t>
            </w:r>
            <w:r>
              <w:rPr>
                <w:i/>
              </w:rPr>
              <w:t>actos</w:t>
            </w:r>
            <w:r>
              <w:rPr>
                <w:i/>
                <w:spacing w:val="-2"/>
              </w:rPr>
              <w:t> </w:t>
            </w:r>
            <w:r>
              <w:rPr>
                <w:i/>
              </w:rPr>
              <w:t>posteriores</w:t>
            </w:r>
            <w:r>
              <w:rPr>
                <w:i w:val="0"/>
              </w:rPr>
              <w:tab/>
              <w:t>30</w:t>
            </w:r>
          </w:hyperlink>
        </w:p>
        <w:p>
          <w:pPr>
            <w:pStyle w:val="TOC3"/>
            <w:numPr>
              <w:ilvl w:val="0"/>
              <w:numId w:val="4"/>
            </w:numPr>
            <w:tabs>
              <w:tab w:pos="554" w:val="left" w:leader="none"/>
              <w:tab w:pos="8928" w:val="right" w:leader="dot"/>
            </w:tabs>
            <w:spacing w:line="240" w:lineRule="auto" w:before="32" w:after="0"/>
            <w:ind w:left="553" w:right="0" w:hanging="310"/>
            <w:jc w:val="left"/>
            <w:rPr>
              <w:i w:val="0"/>
            </w:rPr>
          </w:pPr>
          <w:hyperlink w:history="true" w:anchor="_bookmark29">
            <w:r>
              <w:rPr>
                <w:i/>
              </w:rPr>
              <w:t>Obras, actividades y proyectos sobre el</w:t>
            </w:r>
            <w:r>
              <w:rPr>
                <w:i/>
                <w:spacing w:val="-4"/>
              </w:rPr>
              <w:t> </w:t>
            </w:r>
            <w:r>
              <w:rPr>
                <w:i/>
              </w:rPr>
              <w:t>territorio</w:t>
            </w:r>
            <w:r>
              <w:rPr>
                <w:i/>
                <w:spacing w:val="-2"/>
              </w:rPr>
              <w:t> </w:t>
            </w:r>
            <w:r>
              <w:rPr>
                <w:i/>
              </w:rPr>
              <w:t>reclamado</w:t>
            </w:r>
            <w:r>
              <w:rPr>
                <w:i w:val="0"/>
              </w:rPr>
              <w:tab/>
              <w:t>33</w:t>
            </w:r>
          </w:hyperlink>
        </w:p>
        <w:p>
          <w:pPr>
            <w:pStyle w:val="TOC3"/>
            <w:numPr>
              <w:ilvl w:val="0"/>
              <w:numId w:val="4"/>
            </w:numPr>
            <w:tabs>
              <w:tab w:pos="527" w:val="left" w:leader="none"/>
              <w:tab w:pos="8928" w:val="right" w:leader="dot"/>
            </w:tabs>
            <w:spacing w:line="240" w:lineRule="auto" w:before="32" w:after="0"/>
            <w:ind w:left="526" w:right="0" w:hanging="283"/>
            <w:jc w:val="left"/>
            <w:rPr>
              <w:i w:val="0"/>
            </w:rPr>
          </w:pPr>
          <w:hyperlink w:history="true" w:anchor="_bookmark30">
            <w:r>
              <w:rPr>
                <w:i/>
              </w:rPr>
              <w:t>Acciones administrativas y judiciales iniciadas en</w:t>
            </w:r>
            <w:r>
              <w:rPr>
                <w:i/>
                <w:spacing w:val="-2"/>
              </w:rPr>
              <w:t> </w:t>
            </w:r>
            <w:r>
              <w:rPr>
                <w:i/>
              </w:rPr>
              <w:t>el caso</w:t>
            </w:r>
            <w:r>
              <w:rPr>
                <w:i w:val="0"/>
              </w:rPr>
              <w:tab/>
              <w:t>34</w:t>
            </w:r>
          </w:hyperlink>
        </w:p>
        <w:p>
          <w:pPr>
            <w:pStyle w:val="TOC2"/>
            <w:numPr>
              <w:ilvl w:val="0"/>
              <w:numId w:val="2"/>
            </w:numPr>
            <w:tabs>
              <w:tab w:pos="563" w:val="left" w:leader="none"/>
              <w:tab w:pos="8826" w:val="right" w:leader="dot"/>
            </w:tabs>
            <w:spacing w:line="240" w:lineRule="auto" w:before="284" w:after="0"/>
            <w:ind w:left="562" w:right="7" w:hanging="460"/>
            <w:jc w:val="left"/>
          </w:pPr>
          <w:hyperlink w:history="true" w:anchor="_bookmark32">
            <w:r>
              <w:rPr/>
              <w:t>FONDO</w:t>
              <w:tab/>
              <w:t>34</w:t>
            </w:r>
          </w:hyperlink>
        </w:p>
        <w:p>
          <w:pPr>
            <w:pStyle w:val="TOC2"/>
            <w:numPr>
              <w:ilvl w:val="1"/>
              <w:numId w:val="6"/>
            </w:numPr>
            <w:tabs>
              <w:tab w:pos="690" w:val="left" w:leader="none"/>
              <w:tab w:pos="8933" w:val="right" w:leader="dot"/>
            </w:tabs>
            <w:spacing w:line="240" w:lineRule="auto" w:before="282" w:after="0"/>
            <w:ind w:left="690" w:right="0" w:hanging="588"/>
            <w:jc w:val="left"/>
            <w:rPr>
              <w:rFonts w:ascii="Calibri Light" w:hAnsi="Calibri Light"/>
              <w:b w:val="0"/>
              <w:sz w:val="24"/>
            </w:rPr>
          </w:pPr>
          <w:hyperlink w:history="true" w:anchor="_bookmark34">
            <w:r>
              <w:rPr/>
              <w:t>DERECHO DE PROPIEDAD</w:t>
            </w:r>
            <w:r>
              <w:rPr>
                <w:spacing w:val="-1"/>
              </w:rPr>
              <w:t> </w:t>
            </w:r>
            <w:r>
              <w:rPr/>
              <w:t>COMUNITARIA</w:t>
            </w:r>
            <w:r>
              <w:rPr>
                <w:spacing w:val="-2"/>
              </w:rPr>
              <w:t> </w:t>
            </w:r>
            <w:r>
              <w:rPr/>
              <w:t>INDÍGENA</w:t>
            </w:r>
            <w:r>
              <w:rPr>
                <w:rFonts w:ascii="Calibri Light" w:hAnsi="Calibri Light"/>
                <w:b w:val="0"/>
                <w:sz w:val="24"/>
              </w:rPr>
              <w:tab/>
              <w:t>35</w:t>
            </w:r>
          </w:hyperlink>
        </w:p>
        <w:p>
          <w:pPr>
            <w:pStyle w:val="TOC3"/>
            <w:numPr>
              <w:ilvl w:val="2"/>
              <w:numId w:val="6"/>
            </w:numPr>
            <w:tabs>
              <w:tab w:pos="544" w:val="left" w:leader="none"/>
              <w:tab w:pos="8928" w:val="right" w:leader="dot"/>
            </w:tabs>
            <w:spacing w:line="240" w:lineRule="auto" w:before="44" w:after="0"/>
            <w:ind w:left="243" w:right="0" w:firstLine="0"/>
            <w:jc w:val="left"/>
            <w:rPr>
              <w:i w:val="0"/>
            </w:rPr>
          </w:pPr>
          <w:hyperlink w:history="true" w:anchor="_bookmark35">
            <w:r>
              <w:rPr>
                <w:i/>
              </w:rPr>
              <w:t>Consideraciones generales sobre la</w:t>
            </w:r>
            <w:r>
              <w:rPr>
                <w:i/>
                <w:spacing w:val="-1"/>
              </w:rPr>
              <w:t> </w:t>
            </w:r>
            <w:r>
              <w:rPr>
                <w:i/>
              </w:rPr>
              <w:t>propiedad</w:t>
            </w:r>
            <w:r>
              <w:rPr>
                <w:i/>
                <w:spacing w:val="-2"/>
              </w:rPr>
              <w:t> </w:t>
            </w:r>
            <w:r>
              <w:rPr>
                <w:i/>
              </w:rPr>
              <w:t>comunitaria</w:t>
            </w:r>
            <w:r>
              <w:rPr>
                <w:i w:val="0"/>
              </w:rPr>
              <w:tab/>
              <w:t>35</w:t>
            </w:r>
          </w:hyperlink>
        </w:p>
        <w:p>
          <w:pPr>
            <w:pStyle w:val="TOC3"/>
            <w:numPr>
              <w:ilvl w:val="2"/>
              <w:numId w:val="6"/>
            </w:numPr>
            <w:tabs>
              <w:tab w:pos="542" w:val="left" w:leader="none"/>
              <w:tab w:pos="8928" w:val="right" w:leader="dot"/>
            </w:tabs>
            <w:spacing w:line="240" w:lineRule="auto" w:before="30" w:after="0"/>
            <w:ind w:left="541" w:right="0" w:hanging="298"/>
            <w:jc w:val="left"/>
            <w:rPr>
              <w:i w:val="0"/>
            </w:rPr>
          </w:pPr>
          <w:hyperlink w:history="true" w:anchor="_bookmark36">
            <w:r>
              <w:rPr>
                <w:i/>
              </w:rPr>
              <w:t>Reconocimiento y determinación de la</w:t>
            </w:r>
            <w:r>
              <w:rPr>
                <w:i/>
                <w:spacing w:val="-1"/>
              </w:rPr>
              <w:t> </w:t>
            </w:r>
            <w:r>
              <w:rPr>
                <w:i/>
              </w:rPr>
              <w:t>propiedad</w:t>
            </w:r>
            <w:r>
              <w:rPr>
                <w:i/>
                <w:spacing w:val="-2"/>
              </w:rPr>
              <w:t> </w:t>
            </w:r>
            <w:r>
              <w:rPr>
                <w:i/>
              </w:rPr>
              <w:t>comunitaria</w:t>
            </w:r>
            <w:r>
              <w:rPr>
                <w:i w:val="0"/>
              </w:rPr>
              <w:tab/>
              <w:t>39</w:t>
            </w:r>
          </w:hyperlink>
        </w:p>
        <w:p>
          <w:pPr>
            <w:pStyle w:val="TOC5"/>
            <w:numPr>
              <w:ilvl w:val="3"/>
              <w:numId w:val="6"/>
            </w:numPr>
            <w:tabs>
              <w:tab w:pos="715" w:val="left" w:leader="none"/>
              <w:tab w:pos="8933" w:val="right" w:leader="dot"/>
            </w:tabs>
            <w:spacing w:line="240" w:lineRule="auto" w:before="33" w:after="0"/>
            <w:ind w:left="714" w:right="0" w:hanging="392"/>
            <w:jc w:val="left"/>
            <w:rPr>
              <w:b w:val="0"/>
              <w:i w:val="0"/>
            </w:rPr>
          </w:pPr>
          <w:hyperlink w:history="true" w:anchor="_bookmark37">
            <w:r>
              <w:rPr>
                <w:i/>
              </w:rPr>
              <w:t>Argumentos de la Comisión y de</w:t>
            </w:r>
            <w:r>
              <w:rPr>
                <w:i/>
                <w:spacing w:val="1"/>
              </w:rPr>
              <w:t> </w:t>
            </w:r>
            <w:r>
              <w:rPr>
                <w:i/>
              </w:rPr>
              <w:t>las</w:t>
            </w:r>
            <w:r>
              <w:rPr>
                <w:i/>
                <w:spacing w:val="-2"/>
              </w:rPr>
              <w:t> </w:t>
            </w:r>
            <w:r>
              <w:rPr>
                <w:i/>
              </w:rPr>
              <w:t>partes</w:t>
            </w:r>
            <w:r>
              <w:rPr>
                <w:b w:val="0"/>
                <w:i w:val="0"/>
              </w:rPr>
              <w:tab/>
              <w:t>40</w:t>
            </w:r>
          </w:hyperlink>
        </w:p>
        <w:p>
          <w:pPr>
            <w:pStyle w:val="TOC5"/>
            <w:numPr>
              <w:ilvl w:val="3"/>
              <w:numId w:val="6"/>
            </w:numPr>
            <w:tabs>
              <w:tab w:pos="715" w:val="left" w:leader="none"/>
              <w:tab w:pos="8933" w:val="right" w:leader="dot"/>
            </w:tabs>
            <w:spacing w:line="240" w:lineRule="auto" w:before="33" w:after="0"/>
            <w:ind w:left="714" w:right="0" w:hanging="392"/>
            <w:jc w:val="left"/>
            <w:rPr>
              <w:b w:val="0"/>
              <w:i w:val="0"/>
            </w:rPr>
          </w:pPr>
          <w:hyperlink w:history="true" w:anchor="_bookmark38">
            <w:r>
              <w:rPr>
                <w:i/>
              </w:rPr>
              <w:t>Consideraciones de</w:t>
            </w:r>
            <w:r>
              <w:rPr>
                <w:i/>
                <w:spacing w:val="2"/>
              </w:rPr>
              <w:t> </w:t>
            </w:r>
            <w:r>
              <w:rPr>
                <w:i/>
              </w:rPr>
              <w:t>la</w:t>
            </w:r>
            <w:r>
              <w:rPr>
                <w:i/>
                <w:spacing w:val="-1"/>
              </w:rPr>
              <w:t> </w:t>
            </w:r>
            <w:r>
              <w:rPr>
                <w:i/>
              </w:rPr>
              <w:t>Corte</w:t>
            </w:r>
            <w:r>
              <w:rPr>
                <w:b w:val="0"/>
                <w:i w:val="0"/>
              </w:rPr>
              <w:tab/>
              <w:t>44</w:t>
            </w:r>
          </w:hyperlink>
        </w:p>
        <w:p>
          <w:pPr>
            <w:pStyle w:val="TOC7"/>
            <w:numPr>
              <w:ilvl w:val="4"/>
              <w:numId w:val="6"/>
            </w:numPr>
            <w:tabs>
              <w:tab w:pos="1086" w:val="left" w:leader="none"/>
              <w:tab w:pos="8933" w:val="right" w:leader="dot"/>
            </w:tabs>
            <w:spacing w:line="240" w:lineRule="auto" w:before="33" w:after="0"/>
            <w:ind w:left="1085" w:right="0" w:hanging="544"/>
            <w:jc w:val="left"/>
            <w:rPr>
              <w:i w:val="0"/>
            </w:rPr>
          </w:pPr>
          <w:hyperlink w:history="true" w:anchor="_bookmark39">
            <w:r>
              <w:rPr>
                <w:i/>
              </w:rPr>
              <w:t>Aclaración sobre los actos estatales en el caso y el</w:t>
            </w:r>
            <w:r>
              <w:rPr>
                <w:i/>
                <w:spacing w:val="-13"/>
              </w:rPr>
              <w:t> </w:t>
            </w:r>
            <w:r>
              <w:rPr>
                <w:i/>
              </w:rPr>
              <w:t>examen</w:t>
            </w:r>
            <w:r>
              <w:rPr>
                <w:i/>
                <w:spacing w:val="-1"/>
              </w:rPr>
              <w:t> </w:t>
            </w:r>
            <w:r>
              <w:rPr>
                <w:i/>
              </w:rPr>
              <w:t>correspondiente</w:t>
            </w:r>
            <w:r>
              <w:rPr>
                <w:i w:val="0"/>
              </w:rPr>
              <w:tab/>
              <w:t>44</w:t>
            </w:r>
          </w:hyperlink>
        </w:p>
        <w:p>
          <w:pPr>
            <w:pStyle w:val="TOC7"/>
            <w:numPr>
              <w:ilvl w:val="4"/>
              <w:numId w:val="6"/>
            </w:numPr>
            <w:tabs>
              <w:tab w:pos="1086" w:val="left" w:leader="none"/>
              <w:tab w:pos="8933" w:val="right" w:leader="dot"/>
            </w:tabs>
            <w:spacing w:line="240" w:lineRule="auto" w:before="33" w:after="0"/>
            <w:ind w:left="1085" w:right="0" w:hanging="544"/>
            <w:jc w:val="left"/>
            <w:rPr>
              <w:i w:val="0"/>
            </w:rPr>
          </w:pPr>
          <w:hyperlink w:history="true" w:anchor="_bookmark40">
            <w:r>
              <w:rPr>
                <w:i/>
              </w:rPr>
              <w:t>Actos realizados para el reconocimiento de</w:t>
            </w:r>
            <w:r>
              <w:rPr>
                <w:i/>
                <w:spacing w:val="-6"/>
              </w:rPr>
              <w:t> </w:t>
            </w:r>
            <w:r>
              <w:rPr>
                <w:i/>
              </w:rPr>
              <w:t>la</w:t>
            </w:r>
            <w:r>
              <w:rPr>
                <w:i/>
                <w:spacing w:val="-2"/>
              </w:rPr>
              <w:t> </w:t>
            </w:r>
            <w:r>
              <w:rPr>
                <w:i/>
              </w:rPr>
              <w:t>propiedad</w:t>
            </w:r>
            <w:r>
              <w:rPr>
                <w:i w:val="0"/>
              </w:rPr>
              <w:tab/>
              <w:t>46</w:t>
            </w:r>
          </w:hyperlink>
        </w:p>
        <w:p>
          <w:pPr>
            <w:pStyle w:val="TOC9"/>
            <w:tabs>
              <w:tab w:pos="8933" w:val="right" w:leader="dot"/>
            </w:tabs>
            <w:spacing w:before="31"/>
            <w:ind w:left="761" w:firstLine="0"/>
            <w:rPr>
              <w:i w:val="0"/>
            </w:rPr>
          </w:pPr>
          <w:hyperlink w:history="true" w:anchor="_bookmark41">
            <w:r>
              <w:rPr>
                <w:i/>
              </w:rPr>
              <w:t>B.2.2.1 Antes</w:t>
            </w:r>
            <w:r>
              <w:rPr>
                <w:i/>
                <w:spacing w:val="-3"/>
              </w:rPr>
              <w:t> </w:t>
            </w:r>
            <w:r>
              <w:rPr>
                <w:i/>
              </w:rPr>
              <w:t>de</w:t>
            </w:r>
            <w:r>
              <w:rPr>
                <w:i/>
                <w:spacing w:val="-2"/>
              </w:rPr>
              <w:t> </w:t>
            </w:r>
            <w:r>
              <w:rPr>
                <w:i/>
              </w:rPr>
              <w:t>1999</w:t>
            </w:r>
            <w:r>
              <w:rPr>
                <w:i w:val="0"/>
              </w:rPr>
              <w:tab/>
              <w:t>46</w:t>
            </w:r>
          </w:hyperlink>
        </w:p>
        <w:p>
          <w:pPr>
            <w:pStyle w:val="TOC9"/>
            <w:tabs>
              <w:tab w:pos="8933" w:val="right" w:leader="dot"/>
            </w:tabs>
            <w:spacing w:before="33"/>
            <w:ind w:left="761" w:firstLine="0"/>
            <w:rPr>
              <w:i w:val="0"/>
            </w:rPr>
          </w:pPr>
          <w:hyperlink w:history="true" w:anchor="_bookmark42">
            <w:r>
              <w:rPr>
                <w:i/>
              </w:rPr>
              <w:t>B.2.2.2 Entre 1999</w:t>
            </w:r>
            <w:r>
              <w:rPr>
                <w:i/>
                <w:spacing w:val="-4"/>
              </w:rPr>
              <w:t> </w:t>
            </w:r>
            <w:r>
              <w:rPr>
                <w:i/>
              </w:rPr>
              <w:t>y</w:t>
            </w:r>
            <w:r>
              <w:rPr>
                <w:i/>
                <w:spacing w:val="-3"/>
              </w:rPr>
              <w:t> </w:t>
            </w:r>
            <w:r>
              <w:rPr>
                <w:i/>
              </w:rPr>
              <w:t>2004</w:t>
            </w:r>
            <w:r>
              <w:rPr>
                <w:i w:val="0"/>
              </w:rPr>
              <w:tab/>
              <w:t>47</w:t>
            </w:r>
          </w:hyperlink>
        </w:p>
        <w:p>
          <w:pPr>
            <w:pStyle w:val="TOC9"/>
            <w:tabs>
              <w:tab w:pos="8933" w:val="right" w:leader="dot"/>
            </w:tabs>
            <w:spacing w:before="33"/>
            <w:ind w:left="761" w:firstLine="0"/>
            <w:rPr>
              <w:i w:val="0"/>
            </w:rPr>
          </w:pPr>
          <w:hyperlink w:history="true" w:anchor="_bookmark43">
            <w:r>
              <w:rPr>
                <w:i/>
              </w:rPr>
              <w:t>B.2.2.3 2005</w:t>
            </w:r>
            <w:r>
              <w:rPr>
                <w:i/>
                <w:spacing w:val="-3"/>
              </w:rPr>
              <w:t> </w:t>
            </w:r>
            <w:r>
              <w:rPr>
                <w:i/>
              </w:rPr>
              <w:t>y</w:t>
            </w:r>
            <w:r>
              <w:rPr>
                <w:i/>
                <w:spacing w:val="-3"/>
              </w:rPr>
              <w:t> </w:t>
            </w:r>
            <w:r>
              <w:rPr>
                <w:i/>
              </w:rPr>
              <w:t>2006</w:t>
            </w:r>
            <w:r>
              <w:rPr>
                <w:i w:val="0"/>
              </w:rPr>
              <w:tab/>
              <w:t>48</w:t>
            </w:r>
          </w:hyperlink>
        </w:p>
        <w:p>
          <w:pPr>
            <w:pStyle w:val="TOC9"/>
            <w:numPr>
              <w:ilvl w:val="3"/>
              <w:numId w:val="7"/>
            </w:numPr>
            <w:tabs>
              <w:tab w:pos="1487" w:val="left" w:leader="none"/>
              <w:tab w:pos="8933" w:val="right" w:leader="dot"/>
            </w:tabs>
            <w:spacing w:line="240" w:lineRule="auto" w:before="33" w:after="0"/>
            <w:ind w:left="1486" w:right="0" w:hanging="724"/>
            <w:jc w:val="left"/>
            <w:rPr>
              <w:i w:val="0"/>
            </w:rPr>
          </w:pPr>
          <w:hyperlink w:history="true" w:anchor="_bookmark44">
            <w:r>
              <w:rPr>
                <w:i/>
              </w:rPr>
              <w:t>El proceso de acuerdos a partir</w:t>
            </w:r>
            <w:r>
              <w:rPr>
                <w:i/>
                <w:spacing w:val="-5"/>
              </w:rPr>
              <w:t> </w:t>
            </w:r>
            <w:r>
              <w:rPr>
                <w:i/>
              </w:rPr>
              <w:t>de</w:t>
            </w:r>
            <w:r>
              <w:rPr>
                <w:i/>
                <w:spacing w:val="-2"/>
              </w:rPr>
              <w:t> </w:t>
            </w:r>
            <w:r>
              <w:rPr>
                <w:i/>
              </w:rPr>
              <w:t>2007</w:t>
            </w:r>
            <w:r>
              <w:rPr>
                <w:i w:val="0"/>
              </w:rPr>
              <w:tab/>
              <w:t>48</w:t>
            </w:r>
          </w:hyperlink>
        </w:p>
        <w:p>
          <w:pPr>
            <w:pStyle w:val="ListParagraph"/>
            <w:numPr>
              <w:ilvl w:val="4"/>
              <w:numId w:val="7"/>
            </w:numPr>
            <w:tabs>
              <w:tab w:pos="1887" w:val="left" w:leader="none"/>
              <w:tab w:pos="8933" w:val="right" w:leader="dot"/>
            </w:tabs>
            <w:spacing w:line="240" w:lineRule="auto" w:before="33" w:after="0"/>
            <w:ind w:left="1886" w:right="0" w:hanging="904"/>
            <w:jc w:val="left"/>
            <w:rPr>
              <w:sz w:val="18"/>
            </w:rPr>
          </w:pPr>
          <w:hyperlink w:history="true" w:anchor="_bookmark45">
            <w:r>
              <w:rPr>
                <w:sz w:val="18"/>
              </w:rPr>
              <w:t>El diálogo con la</w:t>
            </w:r>
            <w:r>
              <w:rPr>
                <w:spacing w:val="-2"/>
                <w:sz w:val="18"/>
              </w:rPr>
              <w:t> </w:t>
            </w:r>
            <w:r>
              <w:rPr>
                <w:sz w:val="18"/>
              </w:rPr>
              <w:t>población</w:t>
            </w:r>
            <w:r>
              <w:rPr>
                <w:spacing w:val="-1"/>
                <w:sz w:val="18"/>
              </w:rPr>
              <w:t> </w:t>
            </w:r>
            <w:r>
              <w:rPr>
                <w:sz w:val="18"/>
              </w:rPr>
              <w:t>criolla</w:t>
              <w:tab/>
              <w:t>49</w:t>
            </w:r>
          </w:hyperlink>
        </w:p>
        <w:p>
          <w:pPr>
            <w:pStyle w:val="ListParagraph"/>
            <w:numPr>
              <w:ilvl w:val="4"/>
              <w:numId w:val="7"/>
            </w:numPr>
            <w:tabs>
              <w:tab w:pos="1887" w:val="left" w:leader="none"/>
              <w:tab w:pos="8932" w:val="right" w:leader="dot"/>
            </w:tabs>
            <w:spacing w:line="240" w:lineRule="auto" w:before="75" w:after="0"/>
            <w:ind w:left="1886" w:right="0" w:hanging="904"/>
            <w:jc w:val="left"/>
            <w:rPr>
              <w:sz w:val="18"/>
            </w:rPr>
          </w:pPr>
          <w:hyperlink w:history="true" w:anchor="_bookmark46">
            <w:r>
              <w:rPr>
                <w:sz w:val="18"/>
              </w:rPr>
              <w:t>El proceso seguido en</w:t>
            </w:r>
            <w:r>
              <w:rPr>
                <w:spacing w:val="-1"/>
                <w:sz w:val="18"/>
              </w:rPr>
              <w:t> </w:t>
            </w:r>
            <w:r>
              <w:rPr>
                <w:sz w:val="18"/>
              </w:rPr>
              <w:t>el</w:t>
            </w:r>
            <w:r>
              <w:rPr>
                <w:spacing w:val="-1"/>
                <w:sz w:val="18"/>
              </w:rPr>
              <w:t> </w:t>
            </w:r>
            <w:r>
              <w:rPr>
                <w:sz w:val="18"/>
              </w:rPr>
              <w:t>caso</w:t>
              <w:tab/>
              <w:t>50</w:t>
            </w:r>
          </w:hyperlink>
        </w:p>
        <w:p>
          <w:pPr>
            <w:pStyle w:val="TOC7"/>
            <w:numPr>
              <w:ilvl w:val="2"/>
              <w:numId w:val="7"/>
            </w:numPr>
            <w:tabs>
              <w:tab w:pos="1086" w:val="left" w:leader="none"/>
              <w:tab w:pos="8933" w:val="right" w:leader="dot"/>
            </w:tabs>
            <w:spacing w:line="240" w:lineRule="auto" w:before="33" w:after="0"/>
            <w:ind w:left="1085" w:right="0" w:hanging="544"/>
            <w:jc w:val="left"/>
            <w:rPr>
              <w:i w:val="0"/>
            </w:rPr>
          </w:pPr>
          <w:hyperlink w:history="true" w:anchor="_bookmark47">
            <w:r>
              <w:rPr>
                <w:i/>
              </w:rPr>
              <w:t>Evaluación de la conducta</w:t>
            </w:r>
            <w:r>
              <w:rPr>
                <w:i/>
                <w:spacing w:val="-4"/>
              </w:rPr>
              <w:t> </w:t>
            </w:r>
            <w:r>
              <w:rPr>
                <w:i/>
              </w:rPr>
              <w:t>estatal</w:t>
            </w:r>
            <w:r>
              <w:rPr>
                <w:i/>
                <w:spacing w:val="-2"/>
              </w:rPr>
              <w:t> </w:t>
            </w:r>
            <w:r>
              <w:rPr>
                <w:i/>
              </w:rPr>
              <w:t>seguida</w:t>
            </w:r>
            <w:r>
              <w:rPr>
                <w:i w:val="0"/>
              </w:rPr>
              <w:tab/>
              <w:t>53</w:t>
            </w:r>
          </w:hyperlink>
        </w:p>
        <w:p>
          <w:pPr>
            <w:pStyle w:val="TOC9"/>
            <w:numPr>
              <w:ilvl w:val="3"/>
              <w:numId w:val="8"/>
            </w:numPr>
            <w:tabs>
              <w:tab w:pos="1487" w:val="left" w:leader="none"/>
              <w:tab w:pos="8933" w:val="right" w:leader="dot"/>
            </w:tabs>
            <w:spacing w:line="240" w:lineRule="auto" w:before="32" w:after="0"/>
            <w:ind w:left="1486" w:right="0" w:hanging="724"/>
            <w:jc w:val="left"/>
            <w:rPr>
              <w:i w:val="0"/>
            </w:rPr>
          </w:pPr>
          <w:hyperlink w:history="true" w:anchor="_bookmark48">
            <w:r>
              <w:rPr>
                <w:i/>
              </w:rPr>
              <w:t>Aducida afectación a la personalidad jurídica en</w:t>
            </w:r>
            <w:r>
              <w:rPr>
                <w:i/>
                <w:spacing w:val="-11"/>
              </w:rPr>
              <w:t> </w:t>
            </w:r>
            <w:r>
              <w:rPr>
                <w:i/>
              </w:rPr>
              <w:t>el</w:t>
            </w:r>
            <w:r>
              <w:rPr>
                <w:i/>
                <w:spacing w:val="-1"/>
              </w:rPr>
              <w:t> </w:t>
            </w:r>
            <w:r>
              <w:rPr>
                <w:i/>
              </w:rPr>
              <w:t>caso</w:t>
            </w:r>
            <w:r>
              <w:rPr>
                <w:i w:val="0"/>
              </w:rPr>
              <w:tab/>
              <w:t>54</w:t>
            </w:r>
          </w:hyperlink>
        </w:p>
        <w:p>
          <w:pPr>
            <w:pStyle w:val="TOC9"/>
            <w:numPr>
              <w:ilvl w:val="3"/>
              <w:numId w:val="8"/>
            </w:numPr>
            <w:tabs>
              <w:tab w:pos="1487" w:val="left" w:leader="none"/>
              <w:tab w:pos="8933" w:val="right" w:leader="dot"/>
            </w:tabs>
            <w:spacing w:line="240" w:lineRule="auto" w:before="32" w:after="0"/>
            <w:ind w:left="1486" w:right="0" w:hanging="724"/>
            <w:jc w:val="left"/>
            <w:rPr>
              <w:i w:val="0"/>
            </w:rPr>
          </w:pPr>
          <w:hyperlink w:history="true" w:anchor="_bookmark49">
            <w:r>
              <w:rPr>
                <w:i/>
              </w:rPr>
              <w:t>Incidencia del derecho</w:t>
            </w:r>
            <w:r>
              <w:rPr>
                <w:i/>
                <w:spacing w:val="-1"/>
              </w:rPr>
              <w:t> </w:t>
            </w:r>
            <w:r>
              <w:rPr>
                <w:i/>
              </w:rPr>
              <w:t>interno</w:t>
            </w:r>
            <w:r>
              <w:rPr>
                <w:i w:val="0"/>
              </w:rPr>
              <w:tab/>
              <w:t>55</w:t>
            </w:r>
          </w:hyperlink>
        </w:p>
        <w:p>
          <w:pPr>
            <w:pStyle w:val="TOC9"/>
            <w:numPr>
              <w:ilvl w:val="3"/>
              <w:numId w:val="8"/>
            </w:numPr>
            <w:tabs>
              <w:tab w:pos="1487" w:val="left" w:leader="none"/>
              <w:tab w:pos="8933" w:val="right" w:leader="dot"/>
            </w:tabs>
            <w:spacing w:line="240" w:lineRule="auto" w:before="32" w:after="0"/>
            <w:ind w:left="1486" w:right="0" w:hanging="724"/>
            <w:jc w:val="left"/>
            <w:rPr>
              <w:i w:val="0"/>
            </w:rPr>
          </w:pPr>
          <w:hyperlink w:history="true" w:anchor="_bookmark50">
            <w:r>
              <w:rPr>
                <w:i/>
              </w:rPr>
              <w:t>Conclusión sobre el reconocimiento y determinación de</w:t>
            </w:r>
            <w:r>
              <w:rPr>
                <w:i/>
                <w:spacing w:val="-11"/>
              </w:rPr>
              <w:t> </w:t>
            </w:r>
            <w:r>
              <w:rPr>
                <w:i/>
              </w:rPr>
              <w:t>la</w:t>
            </w:r>
            <w:r>
              <w:rPr>
                <w:i/>
                <w:spacing w:val="-2"/>
              </w:rPr>
              <w:t> </w:t>
            </w:r>
            <w:r>
              <w:rPr>
                <w:i/>
              </w:rPr>
              <w:t>propiedad</w:t>
            </w:r>
            <w:r>
              <w:rPr>
                <w:i w:val="0"/>
              </w:rPr>
              <w:tab/>
              <w:t>58</w:t>
            </w:r>
          </w:hyperlink>
        </w:p>
        <w:p>
          <w:pPr>
            <w:pStyle w:val="TOC3"/>
            <w:numPr>
              <w:ilvl w:val="2"/>
              <w:numId w:val="6"/>
            </w:numPr>
            <w:tabs>
              <w:tab w:pos="561" w:val="left" w:leader="none"/>
              <w:tab w:pos="8928" w:val="right" w:leader="dot"/>
            </w:tabs>
            <w:spacing w:line="273" w:lineRule="auto" w:before="32" w:after="0"/>
            <w:ind w:left="243" w:right="102" w:firstLine="0"/>
            <w:jc w:val="left"/>
            <w:rPr>
              <w:i w:val="0"/>
            </w:rPr>
          </w:pPr>
          <w:hyperlink w:history="true" w:anchor="_bookmark51">
            <w:r>
              <w:rPr>
                <w:i/>
              </w:rPr>
              <w:t>Derecho a la participación en relación con proyectos u obras sobre la propiedad</w:t>
            </w:r>
          </w:hyperlink>
          <w:r>
            <w:rPr>
              <w:i/>
            </w:rPr>
            <w:t> </w:t>
          </w:r>
          <w:hyperlink w:history="true" w:anchor="_bookmark51">
            <w:r>
              <w:rPr/>
              <w:t>comunitaria</w:t>
            </w:r>
            <w:r>
              <w:rPr>
                <w:i w:val="0"/>
              </w:rPr>
              <w:tab/>
              <w:t>59</w:t>
            </w:r>
          </w:hyperlink>
        </w:p>
        <w:p>
          <w:pPr>
            <w:pStyle w:val="TOC5"/>
            <w:numPr>
              <w:ilvl w:val="3"/>
              <w:numId w:val="6"/>
            </w:numPr>
            <w:tabs>
              <w:tab w:pos="707" w:val="left" w:leader="none"/>
              <w:tab w:pos="8933" w:val="right" w:leader="dot"/>
            </w:tabs>
            <w:spacing w:line="240" w:lineRule="auto" w:before="2" w:after="0"/>
            <w:ind w:left="706" w:right="0" w:hanging="384"/>
            <w:jc w:val="left"/>
            <w:rPr>
              <w:b w:val="0"/>
              <w:i w:val="0"/>
            </w:rPr>
          </w:pPr>
          <w:hyperlink w:history="true" w:anchor="_bookmark52">
            <w:r>
              <w:rPr>
                <w:i/>
              </w:rPr>
              <w:t>Argumentos de la Comisión y de</w:t>
            </w:r>
            <w:r>
              <w:rPr>
                <w:i/>
                <w:spacing w:val="1"/>
              </w:rPr>
              <w:t> </w:t>
            </w:r>
            <w:r>
              <w:rPr>
                <w:i/>
              </w:rPr>
              <w:t>las</w:t>
            </w:r>
            <w:r>
              <w:rPr>
                <w:i/>
                <w:spacing w:val="-2"/>
              </w:rPr>
              <w:t> </w:t>
            </w:r>
            <w:r>
              <w:rPr>
                <w:i/>
              </w:rPr>
              <w:t>partes</w:t>
            </w:r>
            <w:r>
              <w:rPr>
                <w:b w:val="0"/>
                <w:i w:val="0"/>
              </w:rPr>
              <w:tab/>
              <w:t>59</w:t>
            </w:r>
          </w:hyperlink>
        </w:p>
        <w:p>
          <w:pPr>
            <w:pStyle w:val="TOC5"/>
            <w:numPr>
              <w:ilvl w:val="3"/>
              <w:numId w:val="6"/>
            </w:numPr>
            <w:tabs>
              <w:tab w:pos="707" w:val="left" w:leader="none"/>
              <w:tab w:pos="8933" w:val="right" w:leader="dot"/>
            </w:tabs>
            <w:spacing w:line="240" w:lineRule="auto" w:before="33" w:after="0"/>
            <w:ind w:left="706" w:right="0" w:hanging="384"/>
            <w:jc w:val="left"/>
            <w:rPr>
              <w:b w:val="0"/>
              <w:i w:val="0"/>
            </w:rPr>
          </w:pPr>
          <w:hyperlink w:history="true" w:anchor="_bookmark53">
            <w:r>
              <w:rPr>
                <w:i/>
              </w:rPr>
              <w:t>Consideraciones de</w:t>
            </w:r>
            <w:r>
              <w:rPr>
                <w:i/>
                <w:spacing w:val="2"/>
              </w:rPr>
              <w:t> </w:t>
            </w:r>
            <w:r>
              <w:rPr>
                <w:i/>
              </w:rPr>
              <w:t>la</w:t>
            </w:r>
            <w:r>
              <w:rPr>
                <w:i/>
                <w:spacing w:val="-1"/>
              </w:rPr>
              <w:t> </w:t>
            </w:r>
            <w:r>
              <w:rPr>
                <w:i/>
              </w:rPr>
              <w:t>Corte</w:t>
            </w:r>
            <w:r>
              <w:rPr>
                <w:b w:val="0"/>
                <w:i w:val="0"/>
              </w:rPr>
              <w:tab/>
              <w:t>60</w:t>
            </w:r>
          </w:hyperlink>
        </w:p>
        <w:p>
          <w:pPr>
            <w:pStyle w:val="TOC7"/>
            <w:numPr>
              <w:ilvl w:val="4"/>
              <w:numId w:val="6"/>
            </w:numPr>
            <w:tabs>
              <w:tab w:pos="1089" w:val="left" w:leader="none"/>
              <w:tab w:pos="8933" w:val="right" w:leader="dot"/>
            </w:tabs>
            <w:spacing w:line="240" w:lineRule="auto" w:before="33" w:after="0"/>
            <w:ind w:left="1088" w:right="0" w:hanging="547"/>
            <w:jc w:val="left"/>
            <w:rPr>
              <w:i w:val="0"/>
            </w:rPr>
          </w:pPr>
          <w:hyperlink w:history="true" w:anchor="_bookmark54">
            <w:r>
              <w:rPr>
                <w:i/>
              </w:rPr>
              <w:t>Ruta</w:t>
            </w:r>
            <w:r>
              <w:rPr>
                <w:i/>
                <w:spacing w:val="-2"/>
              </w:rPr>
              <w:t> </w:t>
            </w:r>
            <w:r>
              <w:rPr>
                <w:i/>
              </w:rPr>
              <w:t>provincial</w:t>
            </w:r>
            <w:r>
              <w:rPr>
                <w:i/>
                <w:spacing w:val="-1"/>
              </w:rPr>
              <w:t> </w:t>
            </w:r>
            <w:r>
              <w:rPr>
                <w:i/>
              </w:rPr>
              <w:t>54</w:t>
            </w:r>
            <w:r>
              <w:rPr>
                <w:i w:val="0"/>
              </w:rPr>
              <w:tab/>
              <w:t>62</w:t>
            </w:r>
          </w:hyperlink>
        </w:p>
        <w:p>
          <w:pPr>
            <w:pStyle w:val="TOC7"/>
            <w:numPr>
              <w:ilvl w:val="4"/>
              <w:numId w:val="6"/>
            </w:numPr>
            <w:tabs>
              <w:tab w:pos="1089" w:val="left" w:leader="none"/>
              <w:tab w:pos="8933" w:val="right" w:leader="dot"/>
            </w:tabs>
            <w:spacing w:line="240" w:lineRule="auto" w:before="33" w:after="0"/>
            <w:ind w:left="1088" w:right="0" w:hanging="547"/>
            <w:jc w:val="left"/>
            <w:rPr>
              <w:i w:val="0"/>
            </w:rPr>
          </w:pPr>
          <w:hyperlink w:history="true" w:anchor="_bookmark55">
            <w:r>
              <w:rPr>
                <w:i/>
              </w:rPr>
              <w:t>Puente internacional y</w:t>
            </w:r>
            <w:r>
              <w:rPr>
                <w:i/>
                <w:spacing w:val="-7"/>
              </w:rPr>
              <w:t> </w:t>
            </w:r>
            <w:r>
              <w:rPr>
                <w:i/>
              </w:rPr>
              <w:t>obras</w:t>
            </w:r>
            <w:r>
              <w:rPr>
                <w:i/>
                <w:spacing w:val="-3"/>
              </w:rPr>
              <w:t> </w:t>
            </w:r>
            <w:r>
              <w:rPr>
                <w:i/>
              </w:rPr>
              <w:t>conexas</w:t>
            </w:r>
            <w:r>
              <w:rPr>
                <w:i w:val="0"/>
              </w:rPr>
              <w:tab/>
              <w:t>63</w:t>
            </w:r>
          </w:hyperlink>
        </w:p>
        <w:p>
          <w:pPr>
            <w:pStyle w:val="TOC8"/>
            <w:numPr>
              <w:ilvl w:val="4"/>
              <w:numId w:val="6"/>
            </w:numPr>
            <w:tabs>
              <w:tab w:pos="1089" w:val="left" w:leader="none"/>
              <w:tab w:pos="8933" w:val="right" w:leader="dot"/>
            </w:tabs>
            <w:spacing w:line="240" w:lineRule="auto" w:before="30" w:after="0"/>
            <w:ind w:left="1088" w:right="0" w:hanging="547"/>
            <w:jc w:val="left"/>
            <w:rPr>
              <w:b w:val="0"/>
              <w:i w:val="0"/>
              <w:sz w:val="18"/>
            </w:rPr>
          </w:pPr>
          <w:hyperlink w:history="true" w:anchor="_bookmark56">
            <w:r>
              <w:rPr>
                <w:b w:val="0"/>
                <w:i/>
                <w:sz w:val="18"/>
              </w:rPr>
              <w:t>Conclusión</w:t>
            </w:r>
            <w:r>
              <w:rPr>
                <w:b w:val="0"/>
                <w:i w:val="0"/>
                <w:sz w:val="18"/>
              </w:rPr>
              <w:tab/>
              <w:t>64</w:t>
            </w:r>
          </w:hyperlink>
        </w:p>
        <w:p>
          <w:pPr>
            <w:pStyle w:val="TOC2"/>
            <w:numPr>
              <w:ilvl w:val="1"/>
              <w:numId w:val="9"/>
            </w:numPr>
            <w:tabs>
              <w:tab w:pos="693" w:val="left" w:leader="none"/>
              <w:tab w:pos="8786" w:val="right" w:leader="dot"/>
            </w:tabs>
            <w:spacing w:line="276" w:lineRule="auto" w:before="284" w:after="0"/>
            <w:ind w:left="102" w:right="102" w:firstLine="0"/>
            <w:jc w:val="right"/>
          </w:pPr>
          <w:hyperlink w:history="true" w:anchor="_bookmark58">
            <w:r>
              <w:rPr/>
              <w:t>DERECHOS DE CIRCULACIÓN Y DE RESIDENCIA, A UN MEDIO AMBIENTE</w:t>
            </w:r>
            <w:r>
              <w:rPr>
                <w:spacing w:val="6"/>
              </w:rPr>
              <w:t> </w:t>
            </w:r>
            <w:r>
              <w:rPr/>
              <w:t>SANO, A</w:t>
            </w:r>
          </w:hyperlink>
          <w:r>
            <w:rPr/>
            <w:t> </w:t>
          </w:r>
          <w:hyperlink w:history="true" w:anchor="_bookmark58">
            <w:r>
              <w:rPr/>
              <w:t>UNA ALIMENTACIÓN ADECUADA, AL AGUA Y A PARTICIPAR EN LA VIDA</w:t>
            </w:r>
            <w:r>
              <w:rPr>
                <w:spacing w:val="29"/>
              </w:rPr>
              <w:t> </w:t>
            </w:r>
            <w:r>
              <w:rPr/>
              <w:t>CULTURAL</w:t>
            </w:r>
            <w:r>
              <w:rPr>
                <w:spacing w:val="8"/>
              </w:rPr>
              <w:t> </w:t>
            </w:r>
            <w:r>
              <w:rPr/>
              <w:t>EN</w:t>
            </w:r>
          </w:hyperlink>
          <w:r>
            <w:rPr/>
            <w:t> </w:t>
          </w:r>
          <w:hyperlink w:history="true" w:anchor="_bookmark58">
            <w:r>
              <w:rPr/>
              <w:t>RELACIÓN CON LAS OBLIGACIONES DE RESPETAR Y GARANTIZAR LOS DERECHOS</w:t>
            </w:r>
            <w:r>
              <w:rPr>
                <w:spacing w:val="-25"/>
              </w:rPr>
              <w:t> </w:t>
            </w:r>
            <w:r>
              <w:rPr>
                <w:rFonts w:ascii="Calibri Light" w:hAnsi="Calibri Light"/>
                <w:b w:val="0"/>
                <w:sz w:val="24"/>
              </w:rPr>
              <w:t>... 64</w:t>
            </w:r>
          </w:hyperlink>
          <w:r>
            <w:rPr>
              <w:rFonts w:ascii="Calibri Light" w:hAnsi="Calibri Light"/>
              <w:b w:val="0"/>
              <w:sz w:val="24"/>
            </w:rPr>
            <w:t> </w:t>
          </w:r>
          <w:hyperlink w:history="true" w:anchor="_bookmark59">
            <w:r>
              <w:rPr>
                <w:i/>
              </w:rPr>
              <w:t>A) Argumentos de</w:t>
            </w:r>
            <w:r>
              <w:rPr>
                <w:i/>
                <w:spacing w:val="2"/>
              </w:rPr>
              <w:t> </w:t>
            </w:r>
            <w:r>
              <w:rPr>
                <w:i/>
              </w:rPr>
              <w:t>las partes</w:t>
            </w:r>
            <w:r>
              <w:rPr/>
              <w:tab/>
              <w:t>64</w:t>
            </w:r>
          </w:hyperlink>
        </w:p>
        <w:p>
          <w:pPr>
            <w:pStyle w:val="TOC3"/>
            <w:numPr>
              <w:ilvl w:val="0"/>
              <w:numId w:val="10"/>
            </w:numPr>
            <w:tabs>
              <w:tab w:pos="542" w:val="left" w:leader="none"/>
              <w:tab w:pos="8928" w:val="right" w:leader="dot"/>
            </w:tabs>
            <w:spacing w:line="240" w:lineRule="auto" w:before="0" w:after="0"/>
            <w:ind w:left="541" w:right="0" w:hanging="298"/>
            <w:jc w:val="left"/>
            <w:rPr>
              <w:i w:val="0"/>
            </w:rPr>
          </w:pPr>
          <w:hyperlink w:history="true" w:anchor="_bookmark60">
            <w:r>
              <w:rPr>
                <w:i/>
              </w:rPr>
              <w:t>Consideraciones de</w:t>
            </w:r>
            <w:r>
              <w:rPr>
                <w:i/>
                <w:spacing w:val="2"/>
              </w:rPr>
              <w:t> </w:t>
            </w:r>
            <w:r>
              <w:rPr>
                <w:i/>
              </w:rPr>
              <w:t>la</w:t>
            </w:r>
            <w:r>
              <w:rPr>
                <w:i/>
                <w:spacing w:val="-1"/>
              </w:rPr>
              <w:t> </w:t>
            </w:r>
            <w:r>
              <w:rPr>
                <w:i/>
              </w:rPr>
              <w:t>Corte</w:t>
            </w:r>
            <w:r>
              <w:rPr>
                <w:i w:val="0"/>
              </w:rPr>
              <w:tab/>
              <w:t>67</w:t>
            </w:r>
          </w:hyperlink>
        </w:p>
        <w:p>
          <w:pPr>
            <w:pStyle w:val="TOC5"/>
            <w:numPr>
              <w:ilvl w:val="1"/>
              <w:numId w:val="10"/>
            </w:numPr>
            <w:tabs>
              <w:tab w:pos="719" w:val="left" w:leader="none"/>
              <w:tab w:pos="8933" w:val="right" w:leader="dot"/>
            </w:tabs>
            <w:spacing w:line="276" w:lineRule="auto" w:before="33" w:after="0"/>
            <w:ind w:left="322" w:right="101" w:firstLine="0"/>
            <w:jc w:val="left"/>
            <w:rPr>
              <w:b w:val="0"/>
              <w:i w:val="0"/>
            </w:rPr>
          </w:pPr>
          <w:hyperlink w:history="true" w:anchor="_bookmark61">
            <w:r>
              <w:rPr>
                <w:i/>
              </w:rPr>
              <w:t>Los derechos a un medio ambiente sano, a la alimentación adecuada, al agua y a</w:t>
            </w:r>
          </w:hyperlink>
          <w:r>
            <w:rPr>
              <w:i/>
            </w:rPr>
            <w:t> </w:t>
          </w:r>
          <w:hyperlink w:history="true" w:anchor="_bookmark61">
            <w:r>
              <w:rPr/>
              <w:t>participar en la</w:t>
            </w:r>
            <w:r>
              <w:rPr>
                <w:spacing w:val="-3"/>
              </w:rPr>
              <w:t> </w:t>
            </w:r>
            <w:r>
              <w:rPr/>
              <w:t>vida</w:t>
            </w:r>
            <w:r>
              <w:rPr>
                <w:spacing w:val="-1"/>
              </w:rPr>
              <w:t> </w:t>
            </w:r>
            <w:r>
              <w:rPr/>
              <w:t>cultural</w:t>
            </w:r>
            <w:r>
              <w:rPr>
                <w:b w:val="0"/>
                <w:i w:val="0"/>
              </w:rPr>
              <w:tab/>
              <w:t>69</w:t>
            </w:r>
          </w:hyperlink>
        </w:p>
        <w:p>
          <w:pPr>
            <w:pStyle w:val="TOC7"/>
            <w:numPr>
              <w:ilvl w:val="2"/>
              <w:numId w:val="10"/>
            </w:numPr>
            <w:tabs>
              <w:tab w:pos="1086" w:val="left" w:leader="none"/>
              <w:tab w:pos="8933" w:val="right" w:leader="dot"/>
            </w:tabs>
            <w:spacing w:line="217" w:lineRule="exact" w:before="0" w:after="0"/>
            <w:ind w:left="541" w:right="0" w:firstLine="0"/>
            <w:jc w:val="left"/>
            <w:rPr>
              <w:i w:val="0"/>
            </w:rPr>
          </w:pPr>
          <w:hyperlink w:history="true" w:anchor="_bookmark62">
            <w:r>
              <w:rPr>
                <w:i/>
              </w:rPr>
              <w:t>Reconocimiento normativo y</w:t>
            </w:r>
            <w:r>
              <w:rPr>
                <w:i/>
                <w:spacing w:val="-6"/>
              </w:rPr>
              <w:t> </w:t>
            </w:r>
            <w:r>
              <w:rPr>
                <w:i/>
              </w:rPr>
              <w:t>contenido</w:t>
            </w:r>
            <w:r>
              <w:rPr>
                <w:i/>
                <w:spacing w:val="-1"/>
              </w:rPr>
              <w:t> </w:t>
            </w:r>
            <w:r>
              <w:rPr>
                <w:i/>
              </w:rPr>
              <w:t>relevante</w:t>
            </w:r>
            <w:r>
              <w:rPr>
                <w:i w:val="0"/>
              </w:rPr>
              <w:tab/>
              <w:t>69</w:t>
            </w:r>
          </w:hyperlink>
        </w:p>
        <w:p>
          <w:pPr>
            <w:pStyle w:val="TOC9"/>
            <w:numPr>
              <w:ilvl w:val="3"/>
              <w:numId w:val="10"/>
            </w:numPr>
            <w:tabs>
              <w:tab w:pos="1487" w:val="left" w:leader="none"/>
              <w:tab w:pos="8933" w:val="right" w:leader="dot"/>
            </w:tabs>
            <w:spacing w:line="240" w:lineRule="auto" w:before="33" w:after="0"/>
            <w:ind w:left="1486" w:right="0" w:hanging="724"/>
            <w:jc w:val="left"/>
            <w:rPr>
              <w:i w:val="0"/>
            </w:rPr>
          </w:pPr>
          <w:hyperlink w:history="true" w:anchor="_bookmark63">
            <w:r>
              <w:rPr>
                <w:i/>
              </w:rPr>
              <w:t>El derecho a un medio</w:t>
            </w:r>
            <w:r>
              <w:rPr>
                <w:i/>
                <w:spacing w:val="-2"/>
              </w:rPr>
              <w:t> </w:t>
            </w:r>
            <w:r>
              <w:rPr>
                <w:i/>
              </w:rPr>
              <w:t>ambiente</w:t>
            </w:r>
            <w:r>
              <w:rPr>
                <w:i/>
                <w:spacing w:val="-2"/>
              </w:rPr>
              <w:t> </w:t>
            </w:r>
            <w:r>
              <w:rPr>
                <w:i/>
              </w:rPr>
              <w:t>sano</w:t>
            </w:r>
            <w:r>
              <w:rPr>
                <w:i w:val="0"/>
              </w:rPr>
              <w:tab/>
              <w:t>69</w:t>
            </w:r>
          </w:hyperlink>
        </w:p>
        <w:p>
          <w:pPr>
            <w:pStyle w:val="TOC9"/>
            <w:numPr>
              <w:ilvl w:val="3"/>
              <w:numId w:val="10"/>
            </w:numPr>
            <w:tabs>
              <w:tab w:pos="1487" w:val="left" w:leader="none"/>
              <w:tab w:pos="8933" w:val="right" w:leader="dot"/>
            </w:tabs>
            <w:spacing w:line="240" w:lineRule="auto" w:before="32" w:after="0"/>
            <w:ind w:left="1486" w:right="0" w:hanging="724"/>
            <w:jc w:val="left"/>
            <w:rPr>
              <w:i w:val="0"/>
            </w:rPr>
          </w:pPr>
          <w:hyperlink w:history="true" w:anchor="_bookmark64">
            <w:r>
              <w:rPr>
                <w:i/>
              </w:rPr>
              <w:t>El derecho a la</w:t>
            </w:r>
            <w:r>
              <w:rPr>
                <w:i/>
                <w:spacing w:val="-3"/>
              </w:rPr>
              <w:t> </w:t>
            </w:r>
            <w:r>
              <w:rPr>
                <w:i/>
              </w:rPr>
              <w:t>alimentación</w:t>
            </w:r>
            <w:r>
              <w:rPr>
                <w:i/>
                <w:spacing w:val="-1"/>
              </w:rPr>
              <w:t> </w:t>
            </w:r>
            <w:r>
              <w:rPr>
                <w:i/>
              </w:rPr>
              <w:t>adecuada</w:t>
            </w:r>
            <w:r>
              <w:rPr>
                <w:i w:val="0"/>
              </w:rPr>
              <w:tab/>
              <w:t>73</w:t>
            </w:r>
          </w:hyperlink>
        </w:p>
        <w:p>
          <w:pPr>
            <w:pStyle w:val="TOC9"/>
            <w:numPr>
              <w:ilvl w:val="3"/>
              <w:numId w:val="10"/>
            </w:numPr>
            <w:tabs>
              <w:tab w:pos="1487" w:val="left" w:leader="none"/>
              <w:tab w:pos="8933" w:val="right" w:leader="dot"/>
            </w:tabs>
            <w:spacing w:line="240" w:lineRule="auto" w:before="32" w:after="0"/>
            <w:ind w:left="1486" w:right="0" w:hanging="724"/>
            <w:jc w:val="left"/>
            <w:rPr>
              <w:i w:val="0"/>
            </w:rPr>
          </w:pPr>
          <w:hyperlink w:history="true" w:anchor="_bookmark65">
            <w:r>
              <w:rPr>
                <w:i/>
              </w:rPr>
              <w:t>El derecho al</w:t>
            </w:r>
            <w:r>
              <w:rPr>
                <w:i/>
                <w:spacing w:val="-1"/>
              </w:rPr>
              <w:t> </w:t>
            </w:r>
            <w:r>
              <w:rPr>
                <w:i/>
              </w:rPr>
              <w:t>agua</w:t>
            </w:r>
            <w:r>
              <w:rPr>
                <w:i w:val="0"/>
              </w:rPr>
              <w:tab/>
              <w:t>77</w:t>
            </w:r>
          </w:hyperlink>
        </w:p>
        <w:p>
          <w:pPr>
            <w:pStyle w:val="TOC9"/>
            <w:numPr>
              <w:ilvl w:val="3"/>
              <w:numId w:val="10"/>
            </w:numPr>
            <w:tabs>
              <w:tab w:pos="1487" w:val="left" w:leader="none"/>
              <w:tab w:pos="8933" w:val="right" w:leader="dot"/>
            </w:tabs>
            <w:spacing w:line="240" w:lineRule="auto" w:before="32" w:after="0"/>
            <w:ind w:left="1486" w:right="0" w:hanging="724"/>
            <w:jc w:val="left"/>
            <w:rPr>
              <w:i w:val="0"/>
            </w:rPr>
          </w:pPr>
          <w:hyperlink w:history="true" w:anchor="_bookmark66">
            <w:r>
              <w:rPr>
                <w:i/>
              </w:rPr>
              <w:t>El derecho a participar en la</w:t>
            </w:r>
            <w:r>
              <w:rPr>
                <w:i/>
                <w:spacing w:val="-5"/>
              </w:rPr>
              <w:t> </w:t>
            </w:r>
            <w:r>
              <w:rPr>
                <w:i/>
              </w:rPr>
              <w:t>vida</w:t>
            </w:r>
            <w:r>
              <w:rPr>
                <w:i/>
                <w:spacing w:val="-2"/>
              </w:rPr>
              <w:t> </w:t>
            </w:r>
            <w:r>
              <w:rPr>
                <w:i/>
              </w:rPr>
              <w:t>cultural</w:t>
            </w:r>
            <w:r>
              <w:rPr>
                <w:i w:val="0"/>
              </w:rPr>
              <w:tab/>
              <w:t>81</w:t>
            </w:r>
          </w:hyperlink>
        </w:p>
        <w:p>
          <w:pPr>
            <w:pStyle w:val="TOC7"/>
            <w:numPr>
              <w:ilvl w:val="2"/>
              <w:numId w:val="10"/>
            </w:numPr>
            <w:tabs>
              <w:tab w:pos="1088" w:val="left" w:leader="none"/>
              <w:tab w:pos="8933" w:val="right" w:leader="dot"/>
            </w:tabs>
            <w:spacing w:line="273" w:lineRule="auto" w:before="32" w:after="0"/>
            <w:ind w:left="541" w:right="104" w:firstLine="0"/>
            <w:jc w:val="left"/>
            <w:rPr>
              <w:i w:val="0"/>
            </w:rPr>
          </w:pPr>
          <w:hyperlink w:history="true" w:anchor="_bookmark67">
            <w:r>
              <w:rPr>
                <w:i/>
              </w:rPr>
              <w:t>Interdependencia entre los derechos a un ambiente sano, a la alimentación adecuada,</w:t>
            </w:r>
          </w:hyperlink>
          <w:r>
            <w:rPr>
              <w:i/>
            </w:rPr>
            <w:t> </w:t>
          </w:r>
          <w:hyperlink w:history="true" w:anchor="_bookmark67">
            <w:r>
              <w:rPr/>
              <w:t>al agua y a la identidad cultural y especificidades en relación con</w:t>
            </w:r>
            <w:r>
              <w:rPr>
                <w:spacing w:val="-20"/>
              </w:rPr>
              <w:t> </w:t>
            </w:r>
            <w:r>
              <w:rPr/>
              <w:t>pueblos</w:t>
            </w:r>
            <w:r>
              <w:rPr>
                <w:spacing w:val="-2"/>
              </w:rPr>
              <w:t> </w:t>
            </w:r>
            <w:r>
              <w:rPr/>
              <w:t>indígenas</w:t>
            </w:r>
            <w:r>
              <w:rPr>
                <w:i w:val="0"/>
              </w:rPr>
              <w:tab/>
              <w:t>85</w:t>
            </w:r>
          </w:hyperlink>
        </w:p>
        <w:p>
          <w:pPr>
            <w:pStyle w:val="TOC5"/>
            <w:numPr>
              <w:ilvl w:val="1"/>
              <w:numId w:val="11"/>
            </w:numPr>
            <w:tabs>
              <w:tab w:pos="779" w:val="left" w:leader="none"/>
              <w:tab w:pos="8933" w:val="right" w:leader="dot"/>
            </w:tabs>
            <w:spacing w:line="240" w:lineRule="auto" w:before="2" w:after="0"/>
            <w:ind w:left="778" w:right="0" w:hanging="456"/>
            <w:jc w:val="left"/>
            <w:rPr>
              <w:b w:val="0"/>
              <w:i w:val="0"/>
            </w:rPr>
          </w:pPr>
          <w:hyperlink w:history="true" w:anchor="_bookmark68">
            <w:r>
              <w:rPr>
                <w:i/>
              </w:rPr>
              <w:t>Hechos relevantes del caso y análisis de la</w:t>
            </w:r>
            <w:r>
              <w:rPr>
                <w:i/>
                <w:spacing w:val="-7"/>
              </w:rPr>
              <w:t> </w:t>
            </w:r>
            <w:r>
              <w:rPr>
                <w:i/>
              </w:rPr>
              <w:t>responsabilidad</w:t>
            </w:r>
            <w:r>
              <w:rPr>
                <w:i/>
                <w:spacing w:val="-2"/>
              </w:rPr>
              <w:t> </w:t>
            </w:r>
            <w:r>
              <w:rPr>
                <w:i/>
              </w:rPr>
              <w:t>estatal</w:t>
            </w:r>
            <w:r>
              <w:rPr>
                <w:b w:val="0"/>
                <w:i w:val="0"/>
              </w:rPr>
              <w:tab/>
              <w:t>90</w:t>
            </w:r>
          </w:hyperlink>
        </w:p>
        <w:p>
          <w:pPr>
            <w:pStyle w:val="TOC8"/>
            <w:numPr>
              <w:ilvl w:val="2"/>
              <w:numId w:val="11"/>
            </w:numPr>
            <w:tabs>
              <w:tab w:pos="1086" w:val="left" w:leader="none"/>
              <w:tab w:pos="8933" w:val="right" w:leader="dot"/>
            </w:tabs>
            <w:spacing w:line="240" w:lineRule="auto" w:before="33" w:after="0"/>
            <w:ind w:left="1085" w:right="0" w:hanging="544"/>
            <w:jc w:val="left"/>
            <w:rPr>
              <w:b w:val="0"/>
              <w:i w:val="0"/>
              <w:sz w:val="18"/>
            </w:rPr>
          </w:pPr>
          <w:hyperlink w:history="true" w:anchor="_bookmark69">
            <w:r>
              <w:rPr>
                <w:b w:val="0"/>
                <w:i/>
                <w:sz w:val="18"/>
              </w:rPr>
              <w:t>Hechos</w:t>
            </w:r>
            <w:r>
              <w:rPr>
                <w:b w:val="0"/>
                <w:i w:val="0"/>
                <w:sz w:val="18"/>
              </w:rPr>
              <w:tab/>
              <w:t>90</w:t>
            </w:r>
          </w:hyperlink>
        </w:p>
        <w:p>
          <w:pPr>
            <w:pStyle w:val="TOC9"/>
            <w:numPr>
              <w:ilvl w:val="3"/>
              <w:numId w:val="11"/>
            </w:numPr>
            <w:tabs>
              <w:tab w:pos="1487" w:val="left" w:leader="none"/>
              <w:tab w:pos="8933" w:val="right" w:leader="dot"/>
            </w:tabs>
            <w:spacing w:line="240" w:lineRule="auto" w:before="32" w:after="0"/>
            <w:ind w:left="1486" w:right="0" w:hanging="724"/>
            <w:jc w:val="left"/>
            <w:rPr>
              <w:i w:val="0"/>
            </w:rPr>
          </w:pPr>
          <w:hyperlink w:history="true" w:anchor="_bookmark70">
            <w:r>
              <w:rPr>
                <w:i/>
              </w:rPr>
              <w:t>Ganado, tala ilegal</w:t>
            </w:r>
            <w:r>
              <w:rPr>
                <w:i/>
                <w:spacing w:val="-7"/>
              </w:rPr>
              <w:t> </w:t>
            </w:r>
            <w:r>
              <w:rPr>
                <w:i/>
              </w:rPr>
              <w:t>y</w:t>
            </w:r>
            <w:r>
              <w:rPr>
                <w:i/>
                <w:spacing w:val="-2"/>
              </w:rPr>
              <w:t> </w:t>
            </w:r>
            <w:r>
              <w:rPr>
                <w:i/>
              </w:rPr>
              <w:t>alambrados</w:t>
            </w:r>
            <w:r>
              <w:rPr>
                <w:i w:val="0"/>
              </w:rPr>
              <w:tab/>
              <w:t>90</w:t>
            </w:r>
          </w:hyperlink>
        </w:p>
        <w:p>
          <w:pPr>
            <w:pStyle w:val="TOC9"/>
            <w:numPr>
              <w:ilvl w:val="3"/>
              <w:numId w:val="11"/>
            </w:numPr>
            <w:tabs>
              <w:tab w:pos="1487" w:val="left" w:leader="none"/>
              <w:tab w:pos="8933" w:val="right" w:leader="dot"/>
            </w:tabs>
            <w:spacing w:line="240" w:lineRule="auto" w:before="32" w:after="0"/>
            <w:ind w:left="1486" w:right="0" w:hanging="724"/>
            <w:jc w:val="left"/>
            <w:rPr>
              <w:i w:val="0"/>
            </w:rPr>
          </w:pPr>
          <w:hyperlink w:history="true" w:anchor="_bookmark71">
            <w:r>
              <w:rPr>
                <w:i/>
              </w:rPr>
              <w:t>Acciones desarrolladas por</w:t>
            </w:r>
            <w:r>
              <w:rPr>
                <w:i/>
                <w:spacing w:val="-5"/>
              </w:rPr>
              <w:t> </w:t>
            </w:r>
            <w:r>
              <w:rPr>
                <w:i/>
              </w:rPr>
              <w:t>el</w:t>
            </w:r>
            <w:r>
              <w:rPr>
                <w:i/>
                <w:spacing w:val="-1"/>
              </w:rPr>
              <w:t> </w:t>
            </w:r>
            <w:r>
              <w:rPr>
                <w:i/>
              </w:rPr>
              <w:t>Estado</w:t>
            </w:r>
            <w:r>
              <w:rPr>
                <w:i w:val="0"/>
              </w:rPr>
              <w:tab/>
              <w:t>93</w:t>
            </w:r>
          </w:hyperlink>
        </w:p>
        <w:p>
          <w:pPr>
            <w:pStyle w:val="TOC7"/>
            <w:numPr>
              <w:ilvl w:val="2"/>
              <w:numId w:val="11"/>
            </w:numPr>
            <w:tabs>
              <w:tab w:pos="1086" w:val="left" w:leader="none"/>
              <w:tab w:pos="8933" w:val="right" w:leader="dot"/>
            </w:tabs>
            <w:spacing w:line="240" w:lineRule="auto" w:before="30" w:after="0"/>
            <w:ind w:left="1085" w:right="0" w:hanging="544"/>
            <w:jc w:val="left"/>
            <w:rPr>
              <w:i w:val="0"/>
            </w:rPr>
          </w:pPr>
          <w:hyperlink w:history="true" w:anchor="_bookmark72">
            <w:r>
              <w:rPr>
                <w:i/>
              </w:rPr>
              <w:t>Análisis de la</w:t>
            </w:r>
            <w:r>
              <w:rPr>
                <w:i/>
                <w:spacing w:val="-4"/>
              </w:rPr>
              <w:t> </w:t>
            </w:r>
            <w:r>
              <w:rPr>
                <w:i/>
              </w:rPr>
              <w:t>responsabilidad</w:t>
            </w:r>
            <w:r>
              <w:rPr>
                <w:i/>
                <w:spacing w:val="-1"/>
              </w:rPr>
              <w:t> </w:t>
            </w:r>
            <w:r>
              <w:rPr>
                <w:i/>
              </w:rPr>
              <w:t>estatal</w:t>
            </w:r>
            <w:r>
              <w:rPr>
                <w:i w:val="0"/>
              </w:rPr>
              <w:tab/>
              <w:t>95</w:t>
            </w:r>
          </w:hyperlink>
        </w:p>
        <w:p>
          <w:pPr>
            <w:pStyle w:val="TOC2"/>
            <w:numPr>
              <w:ilvl w:val="1"/>
              <w:numId w:val="9"/>
            </w:numPr>
            <w:tabs>
              <w:tab w:pos="688" w:val="left" w:leader="none"/>
              <w:tab w:pos="8933" w:val="right" w:leader="dot"/>
            </w:tabs>
            <w:spacing w:line="276" w:lineRule="auto" w:before="285" w:after="0"/>
            <w:ind w:left="102" w:right="98" w:firstLine="0"/>
            <w:jc w:val="both"/>
            <w:rPr>
              <w:rFonts w:ascii="Calibri Light" w:hAnsi="Calibri Light"/>
              <w:b w:val="0"/>
              <w:sz w:val="24"/>
            </w:rPr>
          </w:pPr>
          <w:hyperlink w:history="true" w:anchor="_bookmark74">
            <w:r>
              <w:rPr/>
              <w:t>DERECHOS</w:t>
            </w:r>
            <w:r>
              <w:rPr>
                <w:spacing w:val="-6"/>
              </w:rPr>
              <w:t> </w:t>
            </w:r>
            <w:r>
              <w:rPr/>
              <w:t>A</w:t>
            </w:r>
            <w:r>
              <w:rPr>
                <w:spacing w:val="-5"/>
              </w:rPr>
              <w:t> </w:t>
            </w:r>
            <w:r>
              <w:rPr/>
              <w:t>LAS</w:t>
            </w:r>
            <w:r>
              <w:rPr>
                <w:spacing w:val="-8"/>
              </w:rPr>
              <w:t> </w:t>
            </w:r>
            <w:r>
              <w:rPr/>
              <w:t>GARANTIAS</w:t>
            </w:r>
            <w:r>
              <w:rPr>
                <w:spacing w:val="-6"/>
              </w:rPr>
              <w:t> </w:t>
            </w:r>
            <w:r>
              <w:rPr/>
              <w:t>Y</w:t>
            </w:r>
            <w:r>
              <w:rPr>
                <w:spacing w:val="-6"/>
              </w:rPr>
              <w:t> </w:t>
            </w:r>
            <w:r>
              <w:rPr/>
              <w:t>PROTECCIÓN</w:t>
            </w:r>
            <w:r>
              <w:rPr>
                <w:spacing w:val="-6"/>
              </w:rPr>
              <w:t> </w:t>
            </w:r>
            <w:r>
              <w:rPr/>
              <w:t>JUDICIALES</w:t>
            </w:r>
            <w:r>
              <w:rPr>
                <w:spacing w:val="-6"/>
              </w:rPr>
              <w:t> </w:t>
            </w:r>
            <w:r>
              <w:rPr/>
              <w:t>EN</w:t>
            </w:r>
            <w:r>
              <w:rPr>
                <w:spacing w:val="-6"/>
              </w:rPr>
              <w:t> </w:t>
            </w:r>
            <w:r>
              <w:rPr/>
              <w:t>RELACIÓN</w:t>
            </w:r>
            <w:r>
              <w:rPr>
                <w:spacing w:val="-4"/>
              </w:rPr>
              <w:t> </w:t>
            </w:r>
            <w:r>
              <w:rPr/>
              <w:t>CON</w:t>
            </w:r>
            <w:r>
              <w:rPr>
                <w:spacing w:val="-4"/>
              </w:rPr>
              <w:t> </w:t>
            </w:r>
            <w:r>
              <w:rPr/>
              <w:t>LAS</w:t>
            </w:r>
          </w:hyperlink>
          <w:r>
            <w:rPr/>
            <w:t> </w:t>
          </w:r>
          <w:hyperlink w:history="true" w:anchor="_bookmark74">
            <w:r>
              <w:rPr/>
              <w:t>OBLIGACIONES DE RESPETAR Y GARANTIZAR LOS DERECHOS RESPECTO A ACCIONES</w:t>
            </w:r>
          </w:hyperlink>
          <w:r>
            <w:rPr/>
            <w:t> </w:t>
          </w:r>
          <w:hyperlink w:history="true" w:anchor="_bookmark74">
            <w:r>
              <w:rPr/>
              <w:t>JUDICIALES PRESENTADAS POR</w:t>
            </w:r>
            <w:r>
              <w:rPr>
                <w:spacing w:val="-2"/>
              </w:rPr>
              <w:t> </w:t>
            </w:r>
            <w:r>
              <w:rPr/>
              <w:t>LHAKA</w:t>
            </w:r>
            <w:r>
              <w:rPr>
                <w:spacing w:val="-1"/>
              </w:rPr>
              <w:t> </w:t>
            </w:r>
            <w:r>
              <w:rPr/>
              <w:t>HONHAT</w:t>
            </w:r>
            <w:r>
              <w:rPr>
                <w:rFonts w:ascii="Calibri Light" w:hAnsi="Calibri Light"/>
                <w:b w:val="0"/>
                <w:sz w:val="24"/>
              </w:rPr>
              <w:tab/>
              <w:t>99</w:t>
            </w:r>
          </w:hyperlink>
        </w:p>
        <w:p>
          <w:pPr>
            <w:pStyle w:val="TOC3"/>
            <w:numPr>
              <w:ilvl w:val="2"/>
              <w:numId w:val="9"/>
            </w:numPr>
            <w:tabs>
              <w:tab w:pos="544" w:val="left" w:leader="none"/>
              <w:tab w:pos="8928" w:val="right" w:leader="dot"/>
            </w:tabs>
            <w:spacing w:line="217" w:lineRule="exact" w:before="0" w:after="0"/>
            <w:ind w:left="543" w:right="0" w:hanging="300"/>
            <w:jc w:val="left"/>
            <w:rPr>
              <w:i w:val="0"/>
            </w:rPr>
          </w:pPr>
          <w:hyperlink w:history="true" w:anchor="_bookmark75">
            <w:r>
              <w:rPr>
                <w:i/>
              </w:rPr>
              <w:t>Argumentos de</w:t>
            </w:r>
            <w:r>
              <w:rPr>
                <w:i/>
                <w:spacing w:val="1"/>
              </w:rPr>
              <w:t> </w:t>
            </w:r>
            <w:r>
              <w:rPr>
                <w:i/>
              </w:rPr>
              <w:t>las partes</w:t>
            </w:r>
            <w:r>
              <w:rPr>
                <w:i w:val="0"/>
              </w:rPr>
              <w:tab/>
              <w:t>100</w:t>
            </w:r>
          </w:hyperlink>
        </w:p>
        <w:p>
          <w:pPr>
            <w:pStyle w:val="TOC3"/>
            <w:numPr>
              <w:ilvl w:val="2"/>
              <w:numId w:val="9"/>
            </w:numPr>
            <w:tabs>
              <w:tab w:pos="542" w:val="left" w:leader="none"/>
              <w:tab w:pos="8928" w:val="right" w:leader="dot"/>
            </w:tabs>
            <w:spacing w:line="240" w:lineRule="auto" w:before="33" w:after="0"/>
            <w:ind w:left="541" w:right="0" w:hanging="298"/>
            <w:jc w:val="left"/>
            <w:rPr>
              <w:i w:val="0"/>
            </w:rPr>
          </w:pPr>
          <w:hyperlink w:history="true" w:anchor="_bookmark76">
            <w:r>
              <w:rPr>
                <w:i/>
              </w:rPr>
              <w:t>Consideraciones de</w:t>
            </w:r>
            <w:r>
              <w:rPr>
                <w:i/>
                <w:spacing w:val="2"/>
              </w:rPr>
              <w:t> </w:t>
            </w:r>
            <w:r>
              <w:rPr>
                <w:i/>
              </w:rPr>
              <w:t>la</w:t>
            </w:r>
            <w:r>
              <w:rPr>
                <w:i/>
                <w:spacing w:val="-1"/>
              </w:rPr>
              <w:t> </w:t>
            </w:r>
            <w:r>
              <w:rPr>
                <w:i/>
              </w:rPr>
              <w:t>Corte</w:t>
            </w:r>
            <w:r>
              <w:rPr>
                <w:i w:val="0"/>
              </w:rPr>
              <w:tab/>
              <w:t>101</w:t>
            </w:r>
          </w:hyperlink>
        </w:p>
        <w:p>
          <w:pPr>
            <w:pStyle w:val="TOC5"/>
            <w:numPr>
              <w:ilvl w:val="3"/>
              <w:numId w:val="9"/>
            </w:numPr>
            <w:tabs>
              <w:tab w:pos="779" w:val="left" w:leader="none"/>
              <w:tab w:pos="8933" w:val="right" w:leader="dot"/>
            </w:tabs>
            <w:spacing w:line="240" w:lineRule="auto" w:before="33" w:after="0"/>
            <w:ind w:left="778" w:right="0" w:hanging="456"/>
            <w:jc w:val="left"/>
            <w:rPr>
              <w:b w:val="0"/>
              <w:i w:val="0"/>
            </w:rPr>
          </w:pPr>
          <w:hyperlink w:history="true" w:anchor="_bookmark77">
            <w:r>
              <w:rPr>
                <w:i/>
              </w:rPr>
              <w:t>Consideraciones</w:t>
            </w:r>
            <w:r>
              <w:rPr>
                <w:i/>
                <w:spacing w:val="1"/>
              </w:rPr>
              <w:t> </w:t>
            </w:r>
            <w:r>
              <w:rPr>
                <w:i/>
              </w:rPr>
              <w:t>generales</w:t>
            </w:r>
            <w:r>
              <w:rPr>
                <w:b w:val="0"/>
                <w:i w:val="0"/>
              </w:rPr>
              <w:tab/>
              <w:t>101</w:t>
            </w:r>
          </w:hyperlink>
        </w:p>
        <w:p>
          <w:pPr>
            <w:pStyle w:val="TOC5"/>
            <w:numPr>
              <w:ilvl w:val="1"/>
              <w:numId w:val="12"/>
            </w:numPr>
            <w:tabs>
              <w:tab w:pos="715" w:val="left" w:leader="none"/>
              <w:tab w:pos="8933" w:val="right" w:leader="dot"/>
            </w:tabs>
            <w:spacing w:line="240" w:lineRule="auto" w:before="33" w:after="0"/>
            <w:ind w:left="714" w:right="0" w:hanging="392"/>
            <w:jc w:val="left"/>
            <w:rPr>
              <w:b w:val="0"/>
              <w:i w:val="0"/>
            </w:rPr>
          </w:pPr>
          <w:hyperlink w:history="true" w:anchor="_bookmark78">
            <w:r>
              <w:rPr>
                <w:i/>
              </w:rPr>
              <w:t>Examen de las circunstancias</w:t>
            </w:r>
            <w:r>
              <w:rPr>
                <w:i/>
                <w:spacing w:val="1"/>
              </w:rPr>
              <w:t> </w:t>
            </w:r>
            <w:r>
              <w:rPr>
                <w:i/>
              </w:rPr>
              <w:t>del caso</w:t>
            </w:r>
            <w:r>
              <w:rPr>
                <w:b w:val="0"/>
                <w:i w:val="0"/>
              </w:rPr>
              <w:tab/>
              <w:t>102</w:t>
            </w:r>
          </w:hyperlink>
        </w:p>
        <w:p>
          <w:pPr>
            <w:pStyle w:val="TOC7"/>
            <w:numPr>
              <w:ilvl w:val="2"/>
              <w:numId w:val="12"/>
            </w:numPr>
            <w:tabs>
              <w:tab w:pos="1086" w:val="left" w:leader="none"/>
              <w:tab w:pos="8933" w:val="right" w:leader="dot"/>
            </w:tabs>
            <w:spacing w:line="240" w:lineRule="auto" w:before="30" w:after="0"/>
            <w:ind w:left="1085" w:right="0" w:hanging="544"/>
            <w:jc w:val="left"/>
            <w:rPr>
              <w:i w:val="0"/>
            </w:rPr>
          </w:pPr>
          <w:hyperlink w:history="true" w:anchor="_bookmark79">
            <w:r>
              <w:rPr>
                <w:i/>
              </w:rPr>
              <w:t>Acción de amparo respecto a la construcción del</w:t>
            </w:r>
            <w:r>
              <w:rPr>
                <w:i/>
                <w:spacing w:val="-9"/>
              </w:rPr>
              <w:t> </w:t>
            </w:r>
            <w:r>
              <w:rPr>
                <w:i/>
              </w:rPr>
              <w:t>puente</w:t>
            </w:r>
            <w:r>
              <w:rPr>
                <w:i/>
                <w:spacing w:val="-2"/>
              </w:rPr>
              <w:t> </w:t>
            </w:r>
            <w:r>
              <w:rPr>
                <w:i/>
              </w:rPr>
              <w:t>internacional</w:t>
            </w:r>
            <w:r>
              <w:rPr>
                <w:i w:val="0"/>
              </w:rPr>
              <w:tab/>
              <w:t>102</w:t>
            </w:r>
          </w:hyperlink>
        </w:p>
        <w:p>
          <w:pPr>
            <w:pStyle w:val="TOC7"/>
            <w:numPr>
              <w:ilvl w:val="2"/>
              <w:numId w:val="12"/>
            </w:numPr>
            <w:tabs>
              <w:tab w:pos="1086" w:val="left" w:leader="none"/>
              <w:tab w:pos="8933" w:val="right" w:leader="dot"/>
            </w:tabs>
            <w:spacing w:line="240" w:lineRule="auto" w:before="32" w:after="0"/>
            <w:ind w:left="1085" w:right="0" w:hanging="544"/>
            <w:jc w:val="left"/>
            <w:rPr>
              <w:i w:val="0"/>
            </w:rPr>
          </w:pPr>
          <w:hyperlink w:history="true" w:anchor="_bookmark80">
            <w:r>
              <w:rPr>
                <w:i/>
              </w:rPr>
              <w:t>Acciones sobre el Decreto 461/99 y la</w:t>
            </w:r>
            <w:r>
              <w:rPr>
                <w:i/>
                <w:spacing w:val="-8"/>
              </w:rPr>
              <w:t> </w:t>
            </w:r>
            <w:r>
              <w:rPr>
                <w:i/>
              </w:rPr>
              <w:t>Resolución</w:t>
            </w:r>
            <w:r>
              <w:rPr>
                <w:i/>
                <w:spacing w:val="-1"/>
              </w:rPr>
              <w:t> </w:t>
            </w:r>
            <w:r>
              <w:rPr>
                <w:i/>
              </w:rPr>
              <w:t>423/99</w:t>
            </w:r>
            <w:r>
              <w:rPr>
                <w:i w:val="0"/>
              </w:rPr>
              <w:tab/>
              <w:t>103</w:t>
            </w:r>
          </w:hyperlink>
        </w:p>
        <w:p>
          <w:pPr>
            <w:pStyle w:val="TOC7"/>
            <w:tabs>
              <w:tab w:pos="8933" w:val="right" w:leader="dot"/>
            </w:tabs>
            <w:ind w:left="541" w:firstLine="0"/>
            <w:rPr>
              <w:i w:val="0"/>
            </w:rPr>
          </w:pPr>
          <w:hyperlink w:history="true" w:anchor="_bookmark81">
            <w:r>
              <w:rPr>
                <w:i/>
              </w:rPr>
              <w:t>B.2.3. Acción judicial contra el referéndum</w:t>
            </w:r>
            <w:r>
              <w:rPr>
                <w:i/>
                <w:spacing w:val="-6"/>
              </w:rPr>
              <w:t> </w:t>
            </w:r>
            <w:r>
              <w:rPr>
                <w:i/>
              </w:rPr>
              <w:t>de</w:t>
            </w:r>
            <w:r>
              <w:rPr>
                <w:i/>
                <w:spacing w:val="-2"/>
              </w:rPr>
              <w:t> </w:t>
            </w:r>
            <w:r>
              <w:rPr>
                <w:i/>
              </w:rPr>
              <w:t>2005</w:t>
            </w:r>
            <w:r>
              <w:rPr>
                <w:i w:val="0"/>
              </w:rPr>
              <w:tab/>
              <w:t>104</w:t>
            </w:r>
          </w:hyperlink>
        </w:p>
        <w:p>
          <w:pPr>
            <w:pStyle w:val="TOC6"/>
            <w:numPr>
              <w:ilvl w:val="1"/>
              <w:numId w:val="13"/>
            </w:numPr>
            <w:tabs>
              <w:tab w:pos="779" w:val="left" w:leader="none"/>
              <w:tab w:pos="8933" w:val="right" w:leader="dot"/>
            </w:tabs>
            <w:spacing w:line="240" w:lineRule="auto" w:before="33" w:after="0"/>
            <w:ind w:left="322" w:right="0" w:firstLine="0"/>
            <w:jc w:val="left"/>
            <w:rPr>
              <w:b w:val="0"/>
              <w:i w:val="0"/>
              <w:sz w:val="18"/>
            </w:rPr>
          </w:pPr>
          <w:hyperlink w:history="true" w:anchor="_bookmark82">
            <w:r>
              <w:rPr>
                <w:i/>
                <w:sz w:val="18"/>
              </w:rPr>
              <w:t>Conclusión</w:t>
            </w:r>
            <w:r>
              <w:rPr>
                <w:b w:val="0"/>
                <w:i w:val="0"/>
                <w:sz w:val="18"/>
              </w:rPr>
              <w:tab/>
              <w:t>104</w:t>
            </w:r>
          </w:hyperlink>
        </w:p>
        <w:p>
          <w:pPr>
            <w:pStyle w:val="TOC2"/>
            <w:numPr>
              <w:ilvl w:val="0"/>
              <w:numId w:val="2"/>
            </w:numPr>
            <w:tabs>
              <w:tab w:pos="662" w:val="left" w:leader="none"/>
              <w:tab w:pos="8826" w:val="right" w:leader="dot"/>
            </w:tabs>
            <w:spacing w:line="240" w:lineRule="auto" w:before="285" w:after="0"/>
            <w:ind w:left="661" w:right="7" w:hanging="559"/>
            <w:jc w:val="left"/>
          </w:pPr>
          <w:hyperlink w:history="true" w:anchor="_bookmark84">
            <w:r>
              <w:rPr/>
              <w:t>REPARACIONES</w:t>
              <w:tab/>
              <w:t>104</w:t>
            </w:r>
          </w:hyperlink>
        </w:p>
        <w:p>
          <w:pPr>
            <w:pStyle w:val="TOC4"/>
            <w:numPr>
              <w:ilvl w:val="1"/>
              <w:numId w:val="2"/>
            </w:numPr>
            <w:tabs>
              <w:tab w:pos="544" w:val="left" w:leader="none"/>
              <w:tab w:pos="8928" w:val="right" w:leader="dot"/>
            </w:tabs>
            <w:spacing w:line="240" w:lineRule="auto" w:before="30" w:after="0"/>
            <w:ind w:left="543" w:right="0" w:hanging="300"/>
            <w:jc w:val="left"/>
            <w:rPr>
              <w:i w:val="0"/>
              <w:sz w:val="18"/>
            </w:rPr>
          </w:pPr>
          <w:hyperlink w:history="true" w:anchor="_bookmark85">
            <w:r>
              <w:rPr>
                <w:i/>
                <w:sz w:val="18"/>
              </w:rPr>
              <w:t>Parte</w:t>
            </w:r>
            <w:r>
              <w:rPr>
                <w:i/>
                <w:spacing w:val="-1"/>
                <w:sz w:val="18"/>
              </w:rPr>
              <w:t> </w:t>
            </w:r>
            <w:r>
              <w:rPr>
                <w:i/>
                <w:sz w:val="18"/>
              </w:rPr>
              <w:t>Lesionada</w:t>
            </w:r>
            <w:r>
              <w:rPr>
                <w:i w:val="0"/>
                <w:sz w:val="18"/>
              </w:rPr>
              <w:tab/>
              <w:t>105</w:t>
            </w:r>
          </w:hyperlink>
        </w:p>
        <w:p>
          <w:pPr>
            <w:pStyle w:val="TOC3"/>
            <w:numPr>
              <w:ilvl w:val="1"/>
              <w:numId w:val="2"/>
            </w:numPr>
            <w:tabs>
              <w:tab w:pos="542" w:val="left" w:leader="none"/>
              <w:tab w:pos="8928" w:val="right" w:leader="dot"/>
            </w:tabs>
            <w:spacing w:line="240" w:lineRule="auto" w:before="32" w:after="0"/>
            <w:ind w:left="541" w:right="0" w:hanging="298"/>
            <w:jc w:val="left"/>
            <w:rPr>
              <w:i w:val="0"/>
            </w:rPr>
          </w:pPr>
          <w:hyperlink w:history="true" w:anchor="_bookmark86">
            <w:r>
              <w:rPr>
                <w:i/>
              </w:rPr>
              <w:t>Medidas de restitución</w:t>
            </w:r>
            <w:r>
              <w:rPr>
                <w:i w:val="0"/>
              </w:rPr>
              <w:tab/>
              <w:t>105</w:t>
            </w:r>
          </w:hyperlink>
        </w:p>
        <w:p>
          <w:pPr>
            <w:pStyle w:val="TOC5"/>
            <w:numPr>
              <w:ilvl w:val="2"/>
              <w:numId w:val="2"/>
            </w:numPr>
            <w:tabs>
              <w:tab w:pos="715" w:val="left" w:leader="none"/>
              <w:tab w:pos="8933" w:val="right" w:leader="dot"/>
            </w:tabs>
            <w:spacing w:line="240" w:lineRule="auto" w:before="32" w:after="0"/>
            <w:ind w:left="322" w:right="0" w:firstLine="0"/>
            <w:jc w:val="left"/>
            <w:rPr>
              <w:b w:val="0"/>
              <w:i w:val="0"/>
            </w:rPr>
          </w:pPr>
          <w:hyperlink w:history="true" w:anchor="_bookmark87">
            <w:r>
              <w:rPr>
                <w:i/>
              </w:rPr>
              <w:t>Plazo para el cumplimiento de las medias de</w:t>
            </w:r>
            <w:r>
              <w:rPr>
                <w:i/>
                <w:spacing w:val="-7"/>
              </w:rPr>
              <w:t> </w:t>
            </w:r>
            <w:r>
              <w:rPr>
                <w:i/>
              </w:rPr>
              <w:t>restitución</w:t>
            </w:r>
            <w:r>
              <w:rPr>
                <w:i/>
                <w:spacing w:val="-2"/>
              </w:rPr>
              <w:t> </w:t>
            </w:r>
            <w:r>
              <w:rPr>
                <w:i/>
              </w:rPr>
              <w:t>ordenadas</w:t>
            </w:r>
            <w:r>
              <w:rPr>
                <w:b w:val="0"/>
                <w:i w:val="0"/>
              </w:rPr>
              <w:tab/>
              <w:t>108</w:t>
            </w:r>
          </w:hyperlink>
        </w:p>
        <w:p>
          <w:pPr>
            <w:pStyle w:val="TOC5"/>
            <w:numPr>
              <w:ilvl w:val="2"/>
              <w:numId w:val="2"/>
            </w:numPr>
            <w:tabs>
              <w:tab w:pos="715" w:val="left" w:leader="none"/>
              <w:tab w:pos="8933" w:val="right" w:leader="dot"/>
            </w:tabs>
            <w:spacing w:line="240" w:lineRule="auto" w:before="32" w:after="0"/>
            <w:ind w:left="714" w:right="0" w:hanging="392"/>
            <w:jc w:val="left"/>
            <w:rPr>
              <w:b w:val="0"/>
              <w:i w:val="0"/>
            </w:rPr>
          </w:pPr>
          <w:hyperlink w:history="true" w:anchor="_bookmark88">
            <w:r>
              <w:rPr>
                <w:i/>
              </w:rPr>
              <w:t>Medidas para la restitución del derecho</w:t>
            </w:r>
            <w:r>
              <w:rPr>
                <w:i/>
                <w:spacing w:val="-3"/>
              </w:rPr>
              <w:t> </w:t>
            </w:r>
            <w:r>
              <w:rPr>
                <w:i/>
              </w:rPr>
              <w:t>de propiedad</w:t>
            </w:r>
            <w:r>
              <w:rPr>
                <w:b w:val="0"/>
                <w:i w:val="0"/>
              </w:rPr>
              <w:tab/>
              <w:t>108</w:t>
            </w:r>
          </w:hyperlink>
        </w:p>
        <w:p>
          <w:pPr>
            <w:pStyle w:val="TOC7"/>
            <w:numPr>
              <w:ilvl w:val="3"/>
              <w:numId w:val="2"/>
            </w:numPr>
            <w:tabs>
              <w:tab w:pos="1086" w:val="left" w:leader="none"/>
              <w:tab w:pos="8933" w:val="right" w:leader="dot"/>
            </w:tabs>
            <w:spacing w:line="240" w:lineRule="auto" w:before="32" w:after="0"/>
            <w:ind w:left="1085" w:right="0" w:hanging="544"/>
            <w:jc w:val="left"/>
            <w:rPr>
              <w:i w:val="0"/>
            </w:rPr>
          </w:pPr>
          <w:hyperlink w:history="true" w:anchor="_bookmark89">
            <w:r>
              <w:rPr>
                <w:i/>
              </w:rPr>
              <w:t>Delimitación, demarcación</w:t>
            </w:r>
            <w:r>
              <w:rPr>
                <w:i/>
                <w:spacing w:val="-3"/>
              </w:rPr>
              <w:t> </w:t>
            </w:r>
            <w:r>
              <w:rPr>
                <w:i/>
              </w:rPr>
              <w:t>y</w:t>
            </w:r>
            <w:r>
              <w:rPr>
                <w:i/>
                <w:spacing w:val="-3"/>
              </w:rPr>
              <w:t> </w:t>
            </w:r>
            <w:r>
              <w:rPr>
                <w:i/>
              </w:rPr>
              <w:t>titulación</w:t>
            </w:r>
            <w:r>
              <w:rPr>
                <w:i w:val="0"/>
              </w:rPr>
              <w:tab/>
              <w:t>108</w:t>
            </w:r>
          </w:hyperlink>
        </w:p>
        <w:p>
          <w:pPr>
            <w:pStyle w:val="TOC7"/>
            <w:numPr>
              <w:ilvl w:val="3"/>
              <w:numId w:val="2"/>
            </w:numPr>
            <w:tabs>
              <w:tab w:pos="1086" w:val="left" w:leader="none"/>
              <w:tab w:pos="8933" w:val="right" w:leader="dot"/>
            </w:tabs>
            <w:spacing w:line="240" w:lineRule="auto" w:before="75" w:after="0"/>
            <w:ind w:left="1085" w:right="0" w:hanging="544"/>
            <w:jc w:val="left"/>
            <w:rPr>
              <w:i w:val="0"/>
            </w:rPr>
          </w:pPr>
          <w:hyperlink w:history="true" w:anchor="_bookmark90">
            <w:r>
              <w:rPr>
                <w:i/>
              </w:rPr>
              <w:t>Obligación de</w:t>
            </w:r>
            <w:r>
              <w:rPr>
                <w:i/>
                <w:spacing w:val="-2"/>
              </w:rPr>
              <w:t> </w:t>
            </w:r>
            <w:r>
              <w:rPr>
                <w:i/>
              </w:rPr>
              <w:t>consulta</w:t>
            </w:r>
            <w:r>
              <w:rPr>
                <w:i/>
                <w:spacing w:val="-2"/>
              </w:rPr>
              <w:t> </w:t>
            </w:r>
            <w:r>
              <w:rPr>
                <w:i/>
              </w:rPr>
              <w:t>previa</w:t>
            </w:r>
            <w:r>
              <w:rPr>
                <w:i w:val="0"/>
              </w:rPr>
              <w:tab/>
              <w:t>109</w:t>
            </w:r>
          </w:hyperlink>
        </w:p>
        <w:p>
          <w:pPr>
            <w:pStyle w:val="TOC7"/>
            <w:numPr>
              <w:ilvl w:val="3"/>
              <w:numId w:val="2"/>
            </w:numPr>
            <w:tabs>
              <w:tab w:pos="1086" w:val="left" w:leader="none"/>
              <w:tab w:pos="8933" w:val="right" w:leader="dot"/>
            </w:tabs>
            <w:spacing w:line="240" w:lineRule="auto" w:before="33" w:after="0"/>
            <w:ind w:left="1085" w:right="0" w:hanging="544"/>
            <w:jc w:val="left"/>
            <w:rPr>
              <w:i w:val="0"/>
            </w:rPr>
          </w:pPr>
          <w:hyperlink w:history="true" w:anchor="_bookmark91">
            <w:r>
              <w:rPr>
                <w:i/>
              </w:rPr>
              <w:t>Traslado de la</w:t>
            </w:r>
            <w:r>
              <w:rPr>
                <w:i/>
                <w:spacing w:val="-3"/>
              </w:rPr>
              <w:t> </w:t>
            </w:r>
            <w:r>
              <w:rPr>
                <w:i/>
              </w:rPr>
              <w:t>población</w:t>
            </w:r>
            <w:r>
              <w:rPr>
                <w:i/>
                <w:spacing w:val="-1"/>
              </w:rPr>
              <w:t> </w:t>
            </w:r>
            <w:r>
              <w:rPr>
                <w:i/>
              </w:rPr>
              <w:t>criolla</w:t>
            </w:r>
            <w:r>
              <w:rPr>
                <w:i w:val="0"/>
              </w:rPr>
              <w:tab/>
              <w:t>109</w:t>
            </w:r>
          </w:hyperlink>
        </w:p>
        <w:p>
          <w:pPr>
            <w:pStyle w:val="TOC5"/>
            <w:numPr>
              <w:ilvl w:val="2"/>
              <w:numId w:val="2"/>
            </w:numPr>
            <w:tabs>
              <w:tab w:pos="782" w:val="left" w:leader="none"/>
              <w:tab w:pos="8933" w:val="right" w:leader="dot"/>
            </w:tabs>
            <w:spacing w:line="276" w:lineRule="auto" w:before="32" w:after="0"/>
            <w:ind w:left="322" w:right="100" w:firstLine="0"/>
            <w:jc w:val="left"/>
            <w:rPr>
              <w:b w:val="0"/>
              <w:i w:val="0"/>
            </w:rPr>
          </w:pPr>
          <w:hyperlink w:history="true" w:anchor="_bookmark92">
            <w:r>
              <w:rPr>
                <w:i/>
              </w:rPr>
              <w:t>Medidas para la restitución de los derechos al medio ambiente sano, a la</w:t>
            </w:r>
          </w:hyperlink>
          <w:r>
            <w:rPr>
              <w:i/>
            </w:rPr>
            <w:t> </w:t>
          </w:r>
          <w:hyperlink w:history="true" w:anchor="_bookmark92">
            <w:r>
              <w:rPr/>
              <w:t>alimentación, al agua y a la identidad</w:t>
            </w:r>
            <w:r>
              <w:rPr>
                <w:spacing w:val="-2"/>
              </w:rPr>
              <w:t> </w:t>
            </w:r>
            <w:r>
              <w:rPr/>
              <w:t>cultural</w:t>
            </w:r>
            <w:r>
              <w:rPr>
                <w:b w:val="0"/>
                <w:i w:val="0"/>
              </w:rPr>
              <w:tab/>
              <w:t>110</w:t>
            </w:r>
          </w:hyperlink>
        </w:p>
        <w:p>
          <w:pPr>
            <w:pStyle w:val="TOC7"/>
            <w:tabs>
              <w:tab w:pos="8933" w:val="right" w:leader="dot"/>
            </w:tabs>
            <w:spacing w:before="0"/>
            <w:ind w:left="541" w:firstLine="0"/>
            <w:rPr>
              <w:i w:val="0"/>
            </w:rPr>
          </w:pPr>
          <w:hyperlink w:history="true" w:anchor="_bookmark93">
            <w:r>
              <w:rPr>
                <w:i/>
              </w:rPr>
              <w:t>B.3.1. Acciones dirigidas al agua, la alimentación y los</w:t>
            </w:r>
            <w:r>
              <w:rPr>
                <w:i/>
                <w:spacing w:val="-18"/>
              </w:rPr>
              <w:t> </w:t>
            </w:r>
            <w:r>
              <w:rPr>
                <w:i/>
              </w:rPr>
              <w:t>recursos</w:t>
            </w:r>
            <w:r>
              <w:rPr>
                <w:i/>
                <w:spacing w:val="-2"/>
              </w:rPr>
              <w:t> </w:t>
            </w:r>
            <w:r>
              <w:rPr>
                <w:i/>
              </w:rPr>
              <w:t>forestales</w:t>
            </w:r>
            <w:r>
              <w:rPr>
                <w:i w:val="0"/>
              </w:rPr>
              <w:tab/>
              <w:t>111</w:t>
            </w:r>
          </w:hyperlink>
        </w:p>
        <w:p>
          <w:pPr>
            <w:pStyle w:val="TOC7"/>
            <w:tabs>
              <w:tab w:pos="8933" w:val="right" w:leader="dot"/>
            </w:tabs>
            <w:ind w:left="541" w:firstLine="0"/>
            <w:rPr>
              <w:i w:val="0"/>
            </w:rPr>
          </w:pPr>
          <w:hyperlink w:history="true" w:anchor="_bookmark94">
            <w:r>
              <w:rPr>
                <w:i/>
              </w:rPr>
              <w:t>B.3.2 Fondo de Desarrollo Comunitario para la</w:t>
            </w:r>
            <w:r>
              <w:rPr>
                <w:i/>
                <w:spacing w:val="-11"/>
              </w:rPr>
              <w:t> </w:t>
            </w:r>
            <w:r>
              <w:rPr>
                <w:i/>
              </w:rPr>
              <w:t>cultura</w:t>
            </w:r>
            <w:r>
              <w:rPr>
                <w:i/>
                <w:spacing w:val="-2"/>
              </w:rPr>
              <w:t> </w:t>
            </w:r>
            <w:r>
              <w:rPr>
                <w:i/>
              </w:rPr>
              <w:t>indígena</w:t>
            </w:r>
            <w:r>
              <w:rPr>
                <w:i w:val="0"/>
              </w:rPr>
              <w:tab/>
              <w:t>112</w:t>
            </w:r>
          </w:hyperlink>
        </w:p>
        <w:p>
          <w:pPr>
            <w:pStyle w:val="TOC5"/>
            <w:numPr>
              <w:ilvl w:val="1"/>
              <w:numId w:val="13"/>
            </w:numPr>
            <w:tabs>
              <w:tab w:pos="718" w:val="left" w:leader="none"/>
              <w:tab w:pos="8933" w:val="right" w:leader="dot"/>
            </w:tabs>
            <w:spacing w:line="276" w:lineRule="auto" w:before="30" w:after="0"/>
            <w:ind w:left="322" w:right="100" w:firstLine="0"/>
            <w:jc w:val="left"/>
            <w:rPr>
              <w:b w:val="0"/>
              <w:i w:val="0"/>
            </w:rPr>
          </w:pPr>
          <w:hyperlink w:history="true" w:anchor="_bookmark95">
            <w:r>
              <w:rPr>
                <w:i/>
              </w:rPr>
              <w:t>Consideraciones adicionales, informes estatales, plan de trabajo y acciones para</w:t>
            </w:r>
          </w:hyperlink>
          <w:r>
            <w:rPr>
              <w:i/>
            </w:rPr>
            <w:t> </w:t>
          </w:r>
          <w:hyperlink w:history="true" w:anchor="_bookmark95">
            <w:r>
              <w:rPr/>
              <w:t>la supervisión de las medias ordenadas</w:t>
            </w:r>
            <w:r>
              <w:rPr>
                <w:b w:val="0"/>
                <w:i w:val="0"/>
              </w:rPr>
              <w:tab/>
              <w:t>113</w:t>
            </w:r>
          </w:hyperlink>
        </w:p>
        <w:p>
          <w:pPr>
            <w:pStyle w:val="TOC3"/>
            <w:numPr>
              <w:ilvl w:val="1"/>
              <w:numId w:val="2"/>
            </w:numPr>
            <w:tabs>
              <w:tab w:pos="534" w:val="left" w:leader="none"/>
              <w:tab w:pos="8816" w:val="right" w:leader="dot"/>
            </w:tabs>
            <w:spacing w:line="240" w:lineRule="auto" w:before="0" w:after="0"/>
            <w:ind w:left="534" w:right="0" w:hanging="291"/>
            <w:jc w:val="left"/>
            <w:rPr>
              <w:i w:val="0"/>
            </w:rPr>
          </w:pPr>
          <w:hyperlink w:history="true" w:anchor="_bookmark96">
            <w:r>
              <w:rPr>
                <w:i/>
              </w:rPr>
              <w:t>Medidas de Satisfacción</w:t>
            </w:r>
            <w:r>
              <w:rPr>
                <w:i w:val="0"/>
              </w:rPr>
              <w:tab/>
              <w:t>114</w:t>
            </w:r>
          </w:hyperlink>
        </w:p>
        <w:p>
          <w:pPr>
            <w:pStyle w:val="TOC3"/>
            <w:numPr>
              <w:ilvl w:val="1"/>
              <w:numId w:val="2"/>
            </w:numPr>
            <w:tabs>
              <w:tab w:pos="554" w:val="left" w:leader="none"/>
              <w:tab w:pos="8816" w:val="right" w:leader="dot"/>
            </w:tabs>
            <w:spacing w:line="240" w:lineRule="auto" w:before="33" w:after="0"/>
            <w:ind w:left="553" w:right="0" w:hanging="310"/>
            <w:jc w:val="left"/>
            <w:rPr>
              <w:i w:val="0"/>
            </w:rPr>
          </w:pPr>
          <w:hyperlink w:history="true" w:anchor="_bookmark97">
            <w:r>
              <w:rPr>
                <w:i/>
              </w:rPr>
              <w:t>Medidas de</w:t>
            </w:r>
            <w:r>
              <w:rPr>
                <w:i/>
                <w:spacing w:val="1"/>
              </w:rPr>
              <w:t> </w:t>
            </w:r>
            <w:r>
              <w:rPr>
                <w:i/>
              </w:rPr>
              <w:t>no</w:t>
            </w:r>
            <w:r>
              <w:rPr>
                <w:i/>
                <w:spacing w:val="-2"/>
              </w:rPr>
              <w:t> </w:t>
            </w:r>
            <w:r>
              <w:rPr>
                <w:i/>
              </w:rPr>
              <w:t>repetición</w:t>
            </w:r>
            <w:r>
              <w:rPr>
                <w:i w:val="0"/>
              </w:rPr>
              <w:tab/>
              <w:t>115</w:t>
            </w:r>
          </w:hyperlink>
        </w:p>
        <w:p>
          <w:pPr>
            <w:pStyle w:val="TOC3"/>
            <w:numPr>
              <w:ilvl w:val="1"/>
              <w:numId w:val="2"/>
            </w:numPr>
            <w:tabs>
              <w:tab w:pos="527" w:val="left" w:leader="none"/>
              <w:tab w:pos="8816" w:val="right" w:leader="dot"/>
            </w:tabs>
            <w:spacing w:line="240" w:lineRule="auto" w:before="33" w:after="0"/>
            <w:ind w:left="526" w:right="0" w:hanging="283"/>
            <w:jc w:val="left"/>
            <w:rPr>
              <w:i w:val="0"/>
            </w:rPr>
          </w:pPr>
          <w:hyperlink w:history="true" w:anchor="_bookmark98">
            <w:r>
              <w:rPr>
                <w:i/>
              </w:rPr>
              <w:t>Otras medidas solicitadas</w:t>
            </w:r>
            <w:r>
              <w:rPr>
                <w:i w:val="0"/>
              </w:rPr>
              <w:tab/>
              <w:t>118</w:t>
            </w:r>
          </w:hyperlink>
        </w:p>
        <w:p>
          <w:pPr>
            <w:pStyle w:val="TOC4"/>
            <w:numPr>
              <w:ilvl w:val="1"/>
              <w:numId w:val="2"/>
            </w:numPr>
            <w:tabs>
              <w:tab w:pos="522" w:val="left" w:leader="none"/>
              <w:tab w:pos="8816" w:val="right" w:leader="dot"/>
            </w:tabs>
            <w:spacing w:line="240" w:lineRule="auto" w:before="31" w:after="0"/>
            <w:ind w:left="522" w:right="0" w:hanging="279"/>
            <w:jc w:val="left"/>
            <w:rPr>
              <w:i w:val="0"/>
              <w:sz w:val="18"/>
            </w:rPr>
          </w:pPr>
          <w:hyperlink w:history="true" w:anchor="_bookmark99">
            <w:r>
              <w:rPr>
                <w:i/>
                <w:sz w:val="18"/>
              </w:rPr>
              <w:t>Costas y</w:t>
            </w:r>
            <w:r>
              <w:rPr>
                <w:i/>
                <w:spacing w:val="-3"/>
                <w:sz w:val="18"/>
              </w:rPr>
              <w:t> </w:t>
            </w:r>
            <w:r>
              <w:rPr>
                <w:i/>
                <w:sz w:val="18"/>
              </w:rPr>
              <w:t>gastos</w:t>
            </w:r>
            <w:r>
              <w:rPr>
                <w:i w:val="0"/>
                <w:sz w:val="18"/>
              </w:rPr>
              <w:tab/>
              <w:t>118</w:t>
            </w:r>
          </w:hyperlink>
        </w:p>
        <w:p>
          <w:pPr>
            <w:pStyle w:val="TOC3"/>
            <w:numPr>
              <w:ilvl w:val="1"/>
              <w:numId w:val="2"/>
            </w:numPr>
            <w:tabs>
              <w:tab w:pos="551" w:val="left" w:leader="none"/>
              <w:tab w:pos="8816" w:val="right" w:leader="dot"/>
            </w:tabs>
            <w:spacing w:line="240" w:lineRule="auto" w:before="33" w:after="0"/>
            <w:ind w:left="550" w:right="0" w:hanging="307"/>
            <w:jc w:val="left"/>
            <w:rPr>
              <w:i w:val="0"/>
            </w:rPr>
          </w:pPr>
          <w:hyperlink w:history="true" w:anchor="_bookmark100">
            <w:r>
              <w:rPr>
                <w:i/>
              </w:rPr>
              <w:t>Modalidad</w:t>
            </w:r>
            <w:r>
              <w:rPr>
                <w:i/>
                <w:spacing w:val="-2"/>
              </w:rPr>
              <w:t> </w:t>
            </w:r>
            <w:r>
              <w:rPr>
                <w:i/>
              </w:rPr>
              <w:t>de cumplimiento</w:t>
            </w:r>
            <w:r>
              <w:rPr>
                <w:i w:val="0"/>
              </w:rPr>
              <w:tab/>
              <w:t>119</w:t>
            </w:r>
          </w:hyperlink>
        </w:p>
        <w:p>
          <w:pPr>
            <w:pStyle w:val="TOC2"/>
            <w:numPr>
              <w:ilvl w:val="0"/>
              <w:numId w:val="2"/>
            </w:numPr>
            <w:tabs>
              <w:tab w:pos="465" w:val="left" w:leader="none"/>
              <w:tab w:pos="8826" w:val="right" w:leader="dot"/>
            </w:tabs>
            <w:spacing w:line="240" w:lineRule="auto" w:before="285" w:after="0"/>
            <w:ind w:left="464" w:right="7" w:hanging="362"/>
            <w:jc w:val="left"/>
          </w:pPr>
          <w:hyperlink w:history="true" w:anchor="_bookmark102">
            <w:r>
              <w:rPr/>
              <w:t>PUNTOS</w:t>
            </w:r>
            <w:r>
              <w:rPr>
                <w:spacing w:val="-2"/>
              </w:rPr>
              <w:t> </w:t>
            </w:r>
            <w:r>
              <w:rPr/>
              <w:t>RESOLUTIVOS</w:t>
              <w:tab/>
              <w:t>120</w:t>
            </w:r>
          </w:hyperlink>
        </w:p>
        <w:p>
          <w:pPr>
            <w:pStyle w:val="TOC1"/>
            <w:tabs>
              <w:tab w:pos="8826" w:val="right" w:leader="dot"/>
            </w:tabs>
            <w:spacing w:before="286"/>
          </w:pPr>
          <w:hyperlink w:history="true" w:anchor="_bookmark103">
            <w:r>
              <w:rPr/>
              <w:t>ANEXO I</w:t>
              <w:tab/>
              <w:t>125</w:t>
            </w:r>
          </w:hyperlink>
        </w:p>
        <w:p>
          <w:pPr>
            <w:pStyle w:val="TOC1"/>
            <w:tabs>
              <w:tab w:pos="8826" w:val="right" w:leader="dot"/>
            </w:tabs>
            <w:spacing w:before="31"/>
          </w:pPr>
          <w:hyperlink w:history="true" w:anchor="_bookmark104">
            <w:r>
              <w:rPr/>
              <w:t>ANEXO II</w:t>
              <w:tab/>
              <w:t>126</w:t>
            </w:r>
          </w:hyperlink>
        </w:p>
        <w:p>
          <w:pPr>
            <w:pStyle w:val="TOC1"/>
            <w:tabs>
              <w:tab w:pos="8826" w:val="right" w:leader="dot"/>
            </w:tabs>
          </w:pPr>
          <w:hyperlink w:history="true" w:anchor="_bookmark105">
            <w:r>
              <w:rPr/>
              <w:t>ANEXO III</w:t>
              <w:tab/>
              <w:t>127</w:t>
            </w:r>
          </w:hyperlink>
        </w:p>
        <w:p>
          <w:pPr>
            <w:pStyle w:val="TOC1"/>
            <w:tabs>
              <w:tab w:pos="8826" w:val="right" w:leader="dot"/>
            </w:tabs>
          </w:pPr>
          <w:hyperlink w:history="true" w:anchor="_bookmark106">
            <w:r>
              <w:rPr/>
              <w:t>ANEXO IV</w:t>
              <w:tab/>
              <w:t>129</w:t>
            </w:r>
          </w:hyperlink>
        </w:p>
        <w:p>
          <w:pPr>
            <w:pStyle w:val="TOC1"/>
            <w:tabs>
              <w:tab w:pos="8826" w:val="right" w:leader="dot"/>
            </w:tabs>
          </w:pPr>
          <w:hyperlink w:history="true" w:anchor="_bookmark107">
            <w:r>
              <w:rPr/>
              <w:t>ANEXO V</w:t>
              <w:tab/>
              <w:t>131</w:t>
            </w:r>
          </w:hyperlink>
        </w:p>
      </w:sdtContent>
    </w:sdt>
    <w:p>
      <w:pPr>
        <w:spacing w:after="0"/>
        <w:sectPr>
          <w:type w:val="continuous"/>
          <w:pgSz w:w="12240" w:h="15840"/>
          <w:pgMar w:top="1340" w:bottom="1433" w:left="1600" w:right="1600"/>
        </w:sectPr>
      </w:pPr>
    </w:p>
    <w:p>
      <w:pPr>
        <w:spacing w:before="113"/>
        <w:ind w:left="0" w:right="0" w:firstLine="0"/>
        <w:jc w:val="center"/>
        <w:rPr>
          <w:b/>
          <w:sz w:val="20"/>
        </w:rPr>
      </w:pPr>
      <w:bookmarkStart w:name="_bookmark0" w:id="2"/>
      <w:bookmarkEnd w:id="2"/>
      <w:r>
        <w:rPr/>
      </w:r>
      <w:r>
        <w:rPr>
          <w:b/>
          <w:w w:val="99"/>
          <w:sz w:val="20"/>
        </w:rPr>
        <w:t>I</w:t>
      </w:r>
    </w:p>
    <w:p>
      <w:pPr>
        <w:spacing w:before="1"/>
        <w:ind w:left="307" w:right="313" w:firstLine="0"/>
        <w:jc w:val="center"/>
        <w:rPr>
          <w:b/>
          <w:sz w:val="20"/>
        </w:rPr>
      </w:pPr>
      <w:bookmarkStart w:name="_bookmark1" w:id="3"/>
      <w:bookmarkEnd w:id="3"/>
      <w:r>
        <w:rPr/>
      </w:r>
      <w:r>
        <w:rPr>
          <w:b/>
          <w:sz w:val="20"/>
        </w:rPr>
        <w:t>INTRODUCCIÓN DE LA CAUSA Y OBJETO DE LA CONTROVERSIA</w:t>
      </w:r>
    </w:p>
    <w:p>
      <w:pPr>
        <w:pStyle w:val="BodyText"/>
        <w:spacing w:before="10"/>
        <w:rPr>
          <w:b/>
          <w:sz w:val="19"/>
        </w:rPr>
      </w:pPr>
    </w:p>
    <w:p>
      <w:pPr>
        <w:pStyle w:val="ListParagraph"/>
        <w:numPr>
          <w:ilvl w:val="0"/>
          <w:numId w:val="14"/>
        </w:numPr>
        <w:tabs>
          <w:tab w:pos="830" w:val="left" w:leader="none"/>
        </w:tabs>
        <w:spacing w:line="240" w:lineRule="auto" w:before="1" w:after="0"/>
        <w:ind w:left="122" w:right="122" w:hanging="12"/>
        <w:jc w:val="both"/>
        <w:rPr>
          <w:sz w:val="20"/>
        </w:rPr>
      </w:pPr>
      <w:r>
        <w:rPr>
          <w:i/>
          <w:sz w:val="20"/>
        </w:rPr>
        <w:t>El</w:t>
      </w:r>
      <w:r>
        <w:rPr>
          <w:i/>
          <w:spacing w:val="-15"/>
          <w:sz w:val="20"/>
        </w:rPr>
        <w:t> </w:t>
      </w:r>
      <w:r>
        <w:rPr>
          <w:i/>
          <w:sz w:val="20"/>
        </w:rPr>
        <w:t>caso</w:t>
      </w:r>
      <w:r>
        <w:rPr>
          <w:i/>
          <w:spacing w:val="-13"/>
          <w:sz w:val="20"/>
        </w:rPr>
        <w:t> </w:t>
      </w:r>
      <w:r>
        <w:rPr>
          <w:i/>
          <w:sz w:val="20"/>
        </w:rPr>
        <w:t>sometido</w:t>
      </w:r>
      <w:r>
        <w:rPr>
          <w:i/>
          <w:spacing w:val="-15"/>
          <w:sz w:val="20"/>
        </w:rPr>
        <w:t> </w:t>
      </w:r>
      <w:r>
        <w:rPr>
          <w:i/>
          <w:sz w:val="20"/>
        </w:rPr>
        <w:t>a</w:t>
      </w:r>
      <w:r>
        <w:rPr>
          <w:i/>
          <w:spacing w:val="-15"/>
          <w:sz w:val="20"/>
        </w:rPr>
        <w:t> </w:t>
      </w:r>
      <w:r>
        <w:rPr>
          <w:i/>
          <w:sz w:val="20"/>
        </w:rPr>
        <w:t>la</w:t>
      </w:r>
      <w:r>
        <w:rPr>
          <w:i/>
          <w:spacing w:val="-15"/>
          <w:sz w:val="20"/>
        </w:rPr>
        <w:t> </w:t>
      </w:r>
      <w:r>
        <w:rPr>
          <w:i/>
          <w:sz w:val="20"/>
        </w:rPr>
        <w:t>Corte.</w:t>
      </w:r>
      <w:r>
        <w:rPr>
          <w:i/>
          <w:spacing w:val="-13"/>
          <w:sz w:val="20"/>
        </w:rPr>
        <w:t> </w:t>
      </w:r>
      <w:r>
        <w:rPr>
          <w:sz w:val="20"/>
        </w:rPr>
        <w:t>–</w:t>
      </w:r>
      <w:r>
        <w:rPr>
          <w:spacing w:val="-15"/>
          <w:sz w:val="20"/>
        </w:rPr>
        <w:t> </w:t>
      </w:r>
      <w:r>
        <w:rPr>
          <w:sz w:val="20"/>
        </w:rPr>
        <w:t>El</w:t>
      </w:r>
      <w:r>
        <w:rPr>
          <w:spacing w:val="-15"/>
          <w:sz w:val="20"/>
        </w:rPr>
        <w:t> </w:t>
      </w:r>
      <w:r>
        <w:rPr>
          <w:sz w:val="20"/>
        </w:rPr>
        <w:t>1</w:t>
      </w:r>
      <w:r>
        <w:rPr>
          <w:spacing w:val="-15"/>
          <w:sz w:val="20"/>
        </w:rPr>
        <w:t> </w:t>
      </w:r>
      <w:r>
        <w:rPr>
          <w:sz w:val="20"/>
        </w:rPr>
        <w:t>de</w:t>
      </w:r>
      <w:r>
        <w:rPr>
          <w:spacing w:val="-14"/>
          <w:sz w:val="20"/>
        </w:rPr>
        <w:t> </w:t>
      </w:r>
      <w:r>
        <w:rPr>
          <w:sz w:val="20"/>
        </w:rPr>
        <w:t>febrero</w:t>
      </w:r>
      <w:r>
        <w:rPr>
          <w:spacing w:val="-16"/>
          <w:sz w:val="20"/>
        </w:rPr>
        <w:t> </w:t>
      </w:r>
      <w:r>
        <w:rPr>
          <w:sz w:val="20"/>
        </w:rPr>
        <w:t>de</w:t>
      </w:r>
      <w:r>
        <w:rPr>
          <w:spacing w:val="-14"/>
          <w:sz w:val="20"/>
        </w:rPr>
        <w:t> </w:t>
      </w:r>
      <w:r>
        <w:rPr>
          <w:sz w:val="20"/>
        </w:rPr>
        <w:t>2018</w:t>
      </w:r>
      <w:r>
        <w:rPr>
          <w:spacing w:val="-14"/>
          <w:sz w:val="20"/>
        </w:rPr>
        <w:t> </w:t>
      </w:r>
      <w:r>
        <w:rPr>
          <w:sz w:val="20"/>
        </w:rPr>
        <w:t>la</w:t>
      </w:r>
      <w:r>
        <w:rPr>
          <w:spacing w:val="-15"/>
          <w:sz w:val="20"/>
        </w:rPr>
        <w:t> </w:t>
      </w:r>
      <w:r>
        <w:rPr>
          <w:sz w:val="20"/>
        </w:rPr>
        <w:t>Comisión</w:t>
      </w:r>
      <w:r>
        <w:rPr>
          <w:spacing w:val="-14"/>
          <w:sz w:val="20"/>
        </w:rPr>
        <w:t> </w:t>
      </w:r>
      <w:r>
        <w:rPr>
          <w:sz w:val="20"/>
        </w:rPr>
        <w:t>Interamericana de Derechos Humanos (en adelante también “la Comisión Interamericana” o “la Comisión”)</w:t>
      </w:r>
      <w:r>
        <w:rPr>
          <w:spacing w:val="-16"/>
          <w:sz w:val="20"/>
        </w:rPr>
        <w:t> </w:t>
      </w:r>
      <w:r>
        <w:rPr>
          <w:sz w:val="20"/>
        </w:rPr>
        <w:t>sometió</w:t>
      </w:r>
      <w:r>
        <w:rPr>
          <w:spacing w:val="-17"/>
          <w:sz w:val="20"/>
        </w:rPr>
        <w:t> </w:t>
      </w:r>
      <w:r>
        <w:rPr>
          <w:sz w:val="20"/>
        </w:rPr>
        <w:t>a</w:t>
      </w:r>
      <w:r>
        <w:rPr>
          <w:spacing w:val="-16"/>
          <w:sz w:val="20"/>
        </w:rPr>
        <w:t> </w:t>
      </w:r>
      <w:r>
        <w:rPr>
          <w:sz w:val="20"/>
        </w:rPr>
        <w:t>la</w:t>
      </w:r>
      <w:r>
        <w:rPr>
          <w:spacing w:val="-13"/>
          <w:sz w:val="20"/>
        </w:rPr>
        <w:t> </w:t>
      </w:r>
      <w:r>
        <w:rPr>
          <w:sz w:val="20"/>
        </w:rPr>
        <w:t>Corte</w:t>
      </w:r>
      <w:r>
        <w:rPr>
          <w:spacing w:val="-15"/>
          <w:sz w:val="20"/>
        </w:rPr>
        <w:t> </w:t>
      </w:r>
      <w:r>
        <w:rPr>
          <w:sz w:val="20"/>
        </w:rPr>
        <w:t>el</w:t>
      </w:r>
      <w:r>
        <w:rPr>
          <w:spacing w:val="-15"/>
          <w:sz w:val="20"/>
        </w:rPr>
        <w:t> </w:t>
      </w:r>
      <w:r>
        <w:rPr>
          <w:sz w:val="20"/>
        </w:rPr>
        <w:t>caso</w:t>
      </w:r>
      <w:r>
        <w:rPr>
          <w:spacing w:val="-13"/>
          <w:sz w:val="20"/>
        </w:rPr>
        <w:t> </w:t>
      </w:r>
      <w:r>
        <w:rPr>
          <w:i/>
          <w:sz w:val="20"/>
        </w:rPr>
        <w:t>Comunidades</w:t>
      </w:r>
      <w:r>
        <w:rPr>
          <w:i/>
          <w:spacing w:val="-15"/>
          <w:sz w:val="20"/>
        </w:rPr>
        <w:t> </w:t>
      </w:r>
      <w:r>
        <w:rPr>
          <w:i/>
          <w:sz w:val="20"/>
        </w:rPr>
        <w:t>indígenas</w:t>
      </w:r>
      <w:r>
        <w:rPr>
          <w:i/>
          <w:spacing w:val="-14"/>
          <w:sz w:val="20"/>
        </w:rPr>
        <w:t> </w:t>
      </w:r>
      <w:r>
        <w:rPr>
          <w:i/>
          <w:sz w:val="20"/>
        </w:rPr>
        <w:t>miembros</w:t>
      </w:r>
      <w:r>
        <w:rPr>
          <w:i/>
          <w:spacing w:val="-14"/>
          <w:sz w:val="20"/>
        </w:rPr>
        <w:t> </w:t>
      </w:r>
      <w:r>
        <w:rPr>
          <w:i/>
          <w:sz w:val="20"/>
        </w:rPr>
        <w:t>de</w:t>
      </w:r>
      <w:r>
        <w:rPr>
          <w:i/>
          <w:spacing w:val="-17"/>
          <w:sz w:val="20"/>
        </w:rPr>
        <w:t> </w:t>
      </w:r>
      <w:r>
        <w:rPr>
          <w:i/>
          <w:sz w:val="20"/>
        </w:rPr>
        <w:t>la</w:t>
      </w:r>
      <w:r>
        <w:rPr>
          <w:i/>
          <w:spacing w:val="-16"/>
          <w:sz w:val="20"/>
        </w:rPr>
        <w:t> </w:t>
      </w:r>
      <w:r>
        <w:rPr>
          <w:i/>
          <w:sz w:val="20"/>
        </w:rPr>
        <w:t>Asociación </w:t>
      </w:r>
      <w:r>
        <w:rPr>
          <w:i/>
          <w:sz w:val="20"/>
        </w:rPr>
        <w:t>Lhaka</w:t>
      </w:r>
      <w:r>
        <w:rPr>
          <w:i/>
          <w:spacing w:val="-20"/>
          <w:sz w:val="20"/>
        </w:rPr>
        <w:t> </w:t>
      </w:r>
      <w:r>
        <w:rPr>
          <w:i/>
          <w:sz w:val="20"/>
        </w:rPr>
        <w:t>Honhat</w:t>
      </w:r>
      <w:r>
        <w:rPr>
          <w:i/>
          <w:spacing w:val="-19"/>
          <w:sz w:val="20"/>
        </w:rPr>
        <w:t> </w:t>
      </w:r>
      <w:r>
        <w:rPr>
          <w:i/>
          <w:sz w:val="20"/>
        </w:rPr>
        <w:t>(Nuestra</w:t>
      </w:r>
      <w:r>
        <w:rPr>
          <w:i/>
          <w:spacing w:val="-15"/>
          <w:sz w:val="20"/>
        </w:rPr>
        <w:t> </w:t>
      </w:r>
      <w:r>
        <w:rPr>
          <w:i/>
          <w:sz w:val="20"/>
        </w:rPr>
        <w:t>Tierra)</w:t>
      </w:r>
      <w:r>
        <w:rPr>
          <w:i/>
          <w:spacing w:val="-17"/>
          <w:sz w:val="20"/>
        </w:rPr>
        <w:t> </w:t>
      </w:r>
      <w:r>
        <w:rPr>
          <w:i/>
          <w:sz w:val="20"/>
        </w:rPr>
        <w:t>vs.</w:t>
      </w:r>
      <w:r>
        <w:rPr>
          <w:i/>
          <w:spacing w:val="-18"/>
          <w:sz w:val="20"/>
        </w:rPr>
        <w:t> </w:t>
      </w:r>
      <w:r>
        <w:rPr>
          <w:i/>
          <w:sz w:val="20"/>
        </w:rPr>
        <w:t>Argentina</w:t>
      </w:r>
      <w:r>
        <w:rPr>
          <w:sz w:val="20"/>
        </w:rPr>
        <w:t>.</w:t>
      </w:r>
      <w:r>
        <w:rPr>
          <w:spacing w:val="-20"/>
          <w:sz w:val="20"/>
        </w:rPr>
        <w:t> </w:t>
      </w:r>
      <w:r>
        <w:rPr>
          <w:sz w:val="20"/>
        </w:rPr>
        <w:t>De</w:t>
      </w:r>
      <w:r>
        <w:rPr>
          <w:spacing w:val="-19"/>
          <w:sz w:val="20"/>
        </w:rPr>
        <w:t> </w:t>
      </w:r>
      <w:r>
        <w:rPr>
          <w:sz w:val="20"/>
        </w:rPr>
        <w:t>acuerdo</w:t>
      </w:r>
      <w:r>
        <w:rPr>
          <w:spacing w:val="-21"/>
          <w:sz w:val="20"/>
        </w:rPr>
        <w:t> </w:t>
      </w:r>
      <w:r>
        <w:rPr>
          <w:sz w:val="20"/>
        </w:rPr>
        <w:t>a</w:t>
      </w:r>
      <w:r>
        <w:rPr>
          <w:spacing w:val="-18"/>
          <w:sz w:val="20"/>
        </w:rPr>
        <w:t> </w:t>
      </w:r>
      <w:r>
        <w:rPr>
          <w:sz w:val="20"/>
        </w:rPr>
        <w:t>la</w:t>
      </w:r>
      <w:r>
        <w:rPr>
          <w:spacing w:val="-20"/>
          <w:sz w:val="20"/>
        </w:rPr>
        <w:t> </w:t>
      </w:r>
      <w:r>
        <w:rPr>
          <w:sz w:val="20"/>
        </w:rPr>
        <w:t>Comisión,</w:t>
      </w:r>
      <w:r>
        <w:rPr>
          <w:spacing w:val="-15"/>
          <w:sz w:val="20"/>
        </w:rPr>
        <w:t> </w:t>
      </w:r>
      <w:r>
        <w:rPr>
          <w:sz w:val="20"/>
        </w:rPr>
        <w:t>el</w:t>
      </w:r>
      <w:r>
        <w:rPr>
          <w:spacing w:val="-17"/>
          <w:sz w:val="20"/>
        </w:rPr>
        <w:t> </w:t>
      </w:r>
      <w:r>
        <w:rPr>
          <w:sz w:val="20"/>
        </w:rPr>
        <w:t>caso</w:t>
      </w:r>
      <w:r>
        <w:rPr>
          <w:spacing w:val="-19"/>
          <w:sz w:val="20"/>
        </w:rPr>
        <w:t> </w:t>
      </w:r>
      <w:r>
        <w:rPr>
          <w:sz w:val="20"/>
        </w:rPr>
        <w:t>se</w:t>
      </w:r>
      <w:r>
        <w:rPr>
          <w:spacing w:val="-20"/>
          <w:sz w:val="20"/>
        </w:rPr>
        <w:t> </w:t>
      </w:r>
      <w:r>
        <w:rPr>
          <w:sz w:val="20"/>
        </w:rPr>
        <w:t>refiere a la presunta violación al derecho de propiedad sobre el territorio ancestral de las comunidades indígenas reunidas en la Asociación de Comunidades Aborígenes Lhaka Honhat (</w:t>
      </w:r>
      <w:r>
        <w:rPr>
          <w:i/>
          <w:sz w:val="20"/>
        </w:rPr>
        <w:t>infra</w:t>
      </w:r>
      <w:r>
        <w:rPr>
          <w:sz w:val="20"/>
        </w:rPr>
        <w:t>, párr. 61; en adelante también “Asociación Lhaka Honhat” o “Lhaka Honhat”). Indicó que, al momento en que emitió el Informe de Fondo No. 2/12 (en adelante también “Informe de Fondo”), habían “transcurrido dos décadas” desde que, en 1991, las comunidades “present[aron] la solicitud inicial de titulación”. Indicó que, pese a ello, la República Argentina (en adelante también “el Estado” o “Argentina”)</w:t>
      </w:r>
      <w:r>
        <w:rPr>
          <w:position w:val="7"/>
          <w:sz w:val="13"/>
        </w:rPr>
        <w:t>1 </w:t>
      </w:r>
      <w:r>
        <w:rPr>
          <w:sz w:val="20"/>
        </w:rPr>
        <w:t>no les</w:t>
      </w:r>
      <w:r>
        <w:rPr>
          <w:spacing w:val="-16"/>
          <w:sz w:val="20"/>
        </w:rPr>
        <w:t> </w:t>
      </w:r>
      <w:r>
        <w:rPr>
          <w:sz w:val="20"/>
        </w:rPr>
        <w:t>proveyó</w:t>
      </w:r>
      <w:r>
        <w:rPr>
          <w:spacing w:val="-17"/>
          <w:sz w:val="20"/>
        </w:rPr>
        <w:t> </w:t>
      </w:r>
      <w:r>
        <w:rPr>
          <w:sz w:val="20"/>
        </w:rPr>
        <w:t>“acceso</w:t>
      </w:r>
      <w:r>
        <w:rPr>
          <w:spacing w:val="-16"/>
          <w:sz w:val="20"/>
        </w:rPr>
        <w:t> </w:t>
      </w:r>
      <w:r>
        <w:rPr>
          <w:sz w:val="20"/>
        </w:rPr>
        <w:t>efectivo</w:t>
      </w:r>
      <w:r>
        <w:rPr>
          <w:spacing w:val="-18"/>
          <w:sz w:val="20"/>
        </w:rPr>
        <w:t> </w:t>
      </w:r>
      <w:r>
        <w:rPr>
          <w:sz w:val="20"/>
        </w:rPr>
        <w:t>al</w:t>
      </w:r>
      <w:r>
        <w:rPr>
          <w:spacing w:val="-14"/>
          <w:sz w:val="20"/>
        </w:rPr>
        <w:t> </w:t>
      </w:r>
      <w:r>
        <w:rPr>
          <w:sz w:val="20"/>
        </w:rPr>
        <w:t>título</w:t>
      </w:r>
      <w:r>
        <w:rPr>
          <w:spacing w:val="-18"/>
          <w:sz w:val="20"/>
        </w:rPr>
        <w:t> </w:t>
      </w:r>
      <w:r>
        <w:rPr>
          <w:sz w:val="20"/>
        </w:rPr>
        <w:t>de</w:t>
      </w:r>
      <w:r>
        <w:rPr>
          <w:spacing w:val="-18"/>
          <w:sz w:val="20"/>
        </w:rPr>
        <w:t> </w:t>
      </w:r>
      <w:r>
        <w:rPr>
          <w:sz w:val="20"/>
        </w:rPr>
        <w:t>propiedad</w:t>
      </w:r>
      <w:r>
        <w:rPr>
          <w:spacing w:val="-17"/>
          <w:sz w:val="20"/>
        </w:rPr>
        <w:t> </w:t>
      </w:r>
      <w:r>
        <w:rPr>
          <w:sz w:val="20"/>
        </w:rPr>
        <w:t>sobre</w:t>
      </w:r>
      <w:r>
        <w:rPr>
          <w:spacing w:val="-16"/>
          <w:sz w:val="20"/>
        </w:rPr>
        <w:t> </w:t>
      </w:r>
      <w:r>
        <w:rPr>
          <w:sz w:val="20"/>
        </w:rPr>
        <w:t>su</w:t>
      </w:r>
      <w:r>
        <w:rPr>
          <w:spacing w:val="-17"/>
          <w:sz w:val="20"/>
        </w:rPr>
        <w:t> </w:t>
      </w:r>
      <w:r>
        <w:rPr>
          <w:sz w:val="20"/>
        </w:rPr>
        <w:t>territorio</w:t>
      </w:r>
      <w:r>
        <w:rPr>
          <w:spacing w:val="-16"/>
          <w:sz w:val="20"/>
        </w:rPr>
        <w:t> </w:t>
      </w:r>
      <w:r>
        <w:rPr>
          <w:sz w:val="20"/>
        </w:rPr>
        <w:t>ancestral”.</w:t>
      </w:r>
      <w:r>
        <w:rPr>
          <w:spacing w:val="-16"/>
          <w:sz w:val="20"/>
        </w:rPr>
        <w:t> </w:t>
      </w:r>
      <w:r>
        <w:rPr>
          <w:sz w:val="20"/>
        </w:rPr>
        <w:t>La</w:t>
      </w:r>
      <w:r>
        <w:rPr>
          <w:spacing w:val="-16"/>
          <w:sz w:val="20"/>
        </w:rPr>
        <w:t> </w:t>
      </w:r>
      <w:r>
        <w:rPr>
          <w:sz w:val="20"/>
        </w:rPr>
        <w:t>tierra en</w:t>
      </w:r>
      <w:r>
        <w:rPr>
          <w:spacing w:val="-18"/>
          <w:sz w:val="20"/>
        </w:rPr>
        <w:t> </w:t>
      </w:r>
      <w:r>
        <w:rPr>
          <w:sz w:val="20"/>
        </w:rPr>
        <w:t>cuestión</w:t>
      </w:r>
      <w:r>
        <w:rPr>
          <w:spacing w:val="-18"/>
          <w:sz w:val="20"/>
        </w:rPr>
        <w:t> </w:t>
      </w:r>
      <w:r>
        <w:rPr>
          <w:sz w:val="20"/>
        </w:rPr>
        <w:t>se</w:t>
      </w:r>
      <w:r>
        <w:rPr>
          <w:spacing w:val="-20"/>
          <w:sz w:val="20"/>
        </w:rPr>
        <w:t> </w:t>
      </w:r>
      <w:r>
        <w:rPr>
          <w:sz w:val="20"/>
        </w:rPr>
        <w:t>encuentra</w:t>
      </w:r>
      <w:r>
        <w:rPr>
          <w:spacing w:val="-18"/>
          <w:sz w:val="20"/>
        </w:rPr>
        <w:t> </w:t>
      </w:r>
      <w:r>
        <w:rPr>
          <w:sz w:val="20"/>
        </w:rPr>
        <w:t>dentro</w:t>
      </w:r>
      <w:r>
        <w:rPr>
          <w:spacing w:val="-20"/>
          <w:sz w:val="20"/>
        </w:rPr>
        <w:t> </w:t>
      </w:r>
      <w:r>
        <w:rPr>
          <w:sz w:val="20"/>
        </w:rPr>
        <w:t>de</w:t>
      </w:r>
      <w:r>
        <w:rPr>
          <w:spacing w:val="-17"/>
          <w:sz w:val="20"/>
        </w:rPr>
        <w:t> </w:t>
      </w:r>
      <w:r>
        <w:rPr>
          <w:sz w:val="20"/>
        </w:rPr>
        <w:t>dos</w:t>
      </w:r>
      <w:r>
        <w:rPr>
          <w:spacing w:val="-19"/>
          <w:sz w:val="20"/>
        </w:rPr>
        <w:t> </w:t>
      </w:r>
      <w:r>
        <w:rPr>
          <w:sz w:val="20"/>
        </w:rPr>
        <w:t>inmuebles,</w:t>
      </w:r>
      <w:r>
        <w:rPr>
          <w:spacing w:val="-20"/>
          <w:sz w:val="20"/>
        </w:rPr>
        <w:t> </w:t>
      </w:r>
      <w:r>
        <w:rPr>
          <w:sz w:val="20"/>
        </w:rPr>
        <w:t>que</w:t>
      </w:r>
      <w:r>
        <w:rPr>
          <w:spacing w:val="-20"/>
          <w:sz w:val="20"/>
        </w:rPr>
        <w:t> </w:t>
      </w:r>
      <w:r>
        <w:rPr>
          <w:sz w:val="20"/>
        </w:rPr>
        <w:t>en</w:t>
      </w:r>
      <w:r>
        <w:rPr>
          <w:spacing w:val="-18"/>
          <w:sz w:val="20"/>
        </w:rPr>
        <w:t> </w:t>
      </w:r>
      <w:r>
        <w:rPr>
          <w:sz w:val="20"/>
        </w:rPr>
        <w:t>conjunto</w:t>
      </w:r>
      <w:r>
        <w:rPr>
          <w:spacing w:val="-20"/>
          <w:sz w:val="20"/>
        </w:rPr>
        <w:t> </w:t>
      </w:r>
      <w:r>
        <w:rPr>
          <w:sz w:val="20"/>
        </w:rPr>
        <w:t>tienen</w:t>
      </w:r>
      <w:r>
        <w:rPr>
          <w:spacing w:val="-18"/>
          <w:sz w:val="20"/>
        </w:rPr>
        <w:t> </w:t>
      </w:r>
      <w:r>
        <w:rPr>
          <w:sz w:val="20"/>
        </w:rPr>
        <w:t>una</w:t>
      </w:r>
      <w:r>
        <w:rPr>
          <w:spacing w:val="-18"/>
          <w:sz w:val="20"/>
        </w:rPr>
        <w:t> </w:t>
      </w:r>
      <w:r>
        <w:rPr>
          <w:sz w:val="20"/>
        </w:rPr>
        <w:t>extensión cercana a 643.000 hectáreas (ha), identificados actualmente con las matrículas catastrales</w:t>
      </w:r>
      <w:r>
        <w:rPr>
          <w:spacing w:val="-9"/>
          <w:sz w:val="20"/>
        </w:rPr>
        <w:t> </w:t>
      </w:r>
      <w:r>
        <w:rPr>
          <w:sz w:val="20"/>
        </w:rPr>
        <w:t>175</w:t>
      </w:r>
      <w:r>
        <w:rPr>
          <w:spacing w:val="-9"/>
          <w:sz w:val="20"/>
        </w:rPr>
        <w:t> </w:t>
      </w:r>
      <w:r>
        <w:rPr>
          <w:sz w:val="20"/>
        </w:rPr>
        <w:t>y</w:t>
      </w:r>
      <w:r>
        <w:rPr>
          <w:spacing w:val="-10"/>
          <w:sz w:val="20"/>
        </w:rPr>
        <w:t> </w:t>
      </w:r>
      <w:r>
        <w:rPr>
          <w:sz w:val="20"/>
        </w:rPr>
        <w:t>5557</w:t>
      </w:r>
      <w:r>
        <w:rPr>
          <w:spacing w:val="-8"/>
          <w:sz w:val="20"/>
        </w:rPr>
        <w:t> </w:t>
      </w:r>
      <w:r>
        <w:rPr>
          <w:sz w:val="20"/>
        </w:rPr>
        <w:t>del</w:t>
      </w:r>
      <w:r>
        <w:rPr>
          <w:spacing w:val="-11"/>
          <w:sz w:val="20"/>
        </w:rPr>
        <w:t> </w:t>
      </w:r>
      <w:r>
        <w:rPr>
          <w:sz w:val="20"/>
        </w:rPr>
        <w:t>Departamento</w:t>
      </w:r>
      <w:r>
        <w:rPr>
          <w:spacing w:val="-10"/>
          <w:sz w:val="20"/>
        </w:rPr>
        <w:t> </w:t>
      </w:r>
      <w:r>
        <w:rPr>
          <w:sz w:val="20"/>
        </w:rPr>
        <w:t>Rivadavia,</w:t>
      </w:r>
      <w:r>
        <w:rPr>
          <w:spacing w:val="-12"/>
          <w:sz w:val="20"/>
        </w:rPr>
        <w:t> </w:t>
      </w:r>
      <w:r>
        <w:rPr>
          <w:sz w:val="20"/>
        </w:rPr>
        <w:t>de</w:t>
      </w:r>
      <w:r>
        <w:rPr>
          <w:spacing w:val="-10"/>
          <w:sz w:val="20"/>
        </w:rPr>
        <w:t> </w:t>
      </w:r>
      <w:r>
        <w:rPr>
          <w:sz w:val="20"/>
        </w:rPr>
        <w:t>la</w:t>
      </w:r>
      <w:r>
        <w:rPr>
          <w:spacing w:val="-11"/>
          <w:sz w:val="20"/>
        </w:rPr>
        <w:t> </w:t>
      </w:r>
      <w:r>
        <w:rPr>
          <w:sz w:val="20"/>
        </w:rPr>
        <w:t>Provincia</w:t>
      </w:r>
      <w:r>
        <w:rPr>
          <w:spacing w:val="-9"/>
          <w:sz w:val="20"/>
        </w:rPr>
        <w:t> </w:t>
      </w:r>
      <w:r>
        <w:rPr>
          <w:sz w:val="20"/>
        </w:rPr>
        <w:t>de</w:t>
      </w:r>
      <w:r>
        <w:rPr>
          <w:spacing w:val="-8"/>
          <w:sz w:val="20"/>
        </w:rPr>
        <w:t> </w:t>
      </w:r>
      <w:r>
        <w:rPr>
          <w:sz w:val="20"/>
        </w:rPr>
        <w:t>Salta</w:t>
      </w:r>
      <w:r>
        <w:rPr>
          <w:spacing w:val="-3"/>
          <w:sz w:val="20"/>
        </w:rPr>
        <w:t> </w:t>
      </w:r>
      <w:r>
        <w:rPr>
          <w:sz w:val="20"/>
        </w:rPr>
        <w:t>(</w:t>
      </w:r>
      <w:r>
        <w:rPr>
          <w:i/>
          <w:sz w:val="20"/>
        </w:rPr>
        <w:t>infra</w:t>
      </w:r>
      <w:r>
        <w:rPr>
          <w:i/>
          <w:spacing w:val="-8"/>
          <w:sz w:val="20"/>
        </w:rPr>
        <w:t> </w:t>
      </w:r>
      <w:r>
        <w:rPr>
          <w:sz w:val="20"/>
        </w:rPr>
        <w:t>párr. 80; en adelante también, en referencia a ambos inmuebles, “lotes 14 y 55”). Dichos inmuebles fueron considerados formalmente, antes de 2014, como tierras “fiscales”,</w:t>
      </w:r>
      <w:r>
        <w:rPr>
          <w:spacing w:val="-39"/>
          <w:sz w:val="20"/>
        </w:rPr>
        <w:t> </w:t>
      </w:r>
      <w:r>
        <w:rPr>
          <w:sz w:val="20"/>
        </w:rPr>
        <w:t>de propiedad</w:t>
      </w:r>
      <w:r>
        <w:rPr>
          <w:spacing w:val="-15"/>
          <w:sz w:val="20"/>
        </w:rPr>
        <w:t> </w:t>
      </w:r>
      <w:r>
        <w:rPr>
          <w:sz w:val="20"/>
        </w:rPr>
        <w:t>estatal,</w:t>
      </w:r>
      <w:r>
        <w:rPr>
          <w:spacing w:val="-16"/>
          <w:sz w:val="20"/>
        </w:rPr>
        <w:t> </w:t>
      </w:r>
      <w:r>
        <w:rPr>
          <w:sz w:val="20"/>
        </w:rPr>
        <w:t>denominándose</w:t>
      </w:r>
      <w:r>
        <w:rPr>
          <w:spacing w:val="-18"/>
          <w:sz w:val="20"/>
        </w:rPr>
        <w:t> </w:t>
      </w:r>
      <w:r>
        <w:rPr>
          <w:sz w:val="20"/>
        </w:rPr>
        <w:t>“lotes</w:t>
      </w:r>
      <w:r>
        <w:rPr>
          <w:spacing w:val="-14"/>
          <w:sz w:val="20"/>
        </w:rPr>
        <w:t> </w:t>
      </w:r>
      <w:r>
        <w:rPr>
          <w:sz w:val="20"/>
        </w:rPr>
        <w:t>fiscales</w:t>
      </w:r>
      <w:r>
        <w:rPr>
          <w:spacing w:val="-17"/>
          <w:sz w:val="20"/>
        </w:rPr>
        <w:t> </w:t>
      </w:r>
      <w:r>
        <w:rPr>
          <w:sz w:val="20"/>
        </w:rPr>
        <w:t>14</w:t>
      </w:r>
      <w:r>
        <w:rPr>
          <w:spacing w:val="-15"/>
          <w:sz w:val="20"/>
        </w:rPr>
        <w:t> </w:t>
      </w:r>
      <w:r>
        <w:rPr>
          <w:sz w:val="20"/>
        </w:rPr>
        <w:t>y</w:t>
      </w:r>
      <w:r>
        <w:rPr>
          <w:spacing w:val="-16"/>
          <w:sz w:val="20"/>
        </w:rPr>
        <w:t> </w:t>
      </w:r>
      <w:r>
        <w:rPr>
          <w:sz w:val="20"/>
        </w:rPr>
        <w:t>55”.</w:t>
      </w:r>
      <w:r>
        <w:rPr>
          <w:spacing w:val="-17"/>
          <w:sz w:val="20"/>
        </w:rPr>
        <w:t> </w:t>
      </w:r>
      <w:r>
        <w:rPr>
          <w:sz w:val="20"/>
        </w:rPr>
        <w:t>En</w:t>
      </w:r>
      <w:r>
        <w:rPr>
          <w:spacing w:val="-15"/>
          <w:sz w:val="20"/>
        </w:rPr>
        <w:t> </w:t>
      </w:r>
      <w:r>
        <w:rPr>
          <w:sz w:val="20"/>
        </w:rPr>
        <w:t>2012</w:t>
      </w:r>
      <w:r>
        <w:rPr>
          <w:spacing w:val="-15"/>
          <w:sz w:val="20"/>
        </w:rPr>
        <w:t> </w:t>
      </w:r>
      <w:r>
        <w:rPr>
          <w:sz w:val="20"/>
        </w:rPr>
        <w:t>fueron</w:t>
      </w:r>
      <w:r>
        <w:rPr>
          <w:spacing w:val="-12"/>
          <w:sz w:val="20"/>
        </w:rPr>
        <w:t> </w:t>
      </w:r>
      <w:r>
        <w:rPr>
          <w:sz w:val="20"/>
        </w:rPr>
        <w:t>“asignad[os]” para</w:t>
      </w:r>
      <w:r>
        <w:rPr>
          <w:spacing w:val="-16"/>
          <w:sz w:val="20"/>
        </w:rPr>
        <w:t> </w:t>
      </w:r>
      <w:r>
        <w:rPr>
          <w:sz w:val="20"/>
        </w:rPr>
        <w:t>su</w:t>
      </w:r>
      <w:r>
        <w:rPr>
          <w:spacing w:val="-16"/>
          <w:sz w:val="20"/>
        </w:rPr>
        <w:t> </w:t>
      </w:r>
      <w:r>
        <w:rPr>
          <w:sz w:val="20"/>
        </w:rPr>
        <w:t>“posterior</w:t>
      </w:r>
      <w:r>
        <w:rPr>
          <w:spacing w:val="-17"/>
          <w:sz w:val="20"/>
        </w:rPr>
        <w:t> </w:t>
      </w:r>
      <w:r>
        <w:rPr>
          <w:sz w:val="20"/>
        </w:rPr>
        <w:t>adjudicación”</w:t>
      </w:r>
      <w:r>
        <w:rPr>
          <w:spacing w:val="-16"/>
          <w:sz w:val="20"/>
        </w:rPr>
        <w:t> </w:t>
      </w:r>
      <w:r>
        <w:rPr>
          <w:sz w:val="20"/>
        </w:rPr>
        <w:t>a</w:t>
      </w:r>
      <w:r>
        <w:rPr>
          <w:spacing w:val="-13"/>
          <w:sz w:val="20"/>
        </w:rPr>
        <w:t> </w:t>
      </w:r>
      <w:r>
        <w:rPr>
          <w:sz w:val="20"/>
        </w:rPr>
        <w:t>comunidades</w:t>
      </w:r>
      <w:r>
        <w:rPr>
          <w:spacing w:val="-17"/>
          <w:sz w:val="20"/>
        </w:rPr>
        <w:t> </w:t>
      </w:r>
      <w:r>
        <w:rPr>
          <w:sz w:val="20"/>
        </w:rPr>
        <w:t>indígenas</w:t>
      </w:r>
      <w:r>
        <w:rPr>
          <w:spacing w:val="-16"/>
          <w:sz w:val="20"/>
        </w:rPr>
        <w:t> </w:t>
      </w:r>
      <w:r>
        <w:rPr>
          <w:sz w:val="20"/>
        </w:rPr>
        <w:t>y</w:t>
      </w:r>
      <w:r>
        <w:rPr>
          <w:spacing w:val="-16"/>
          <w:sz w:val="20"/>
        </w:rPr>
        <w:t> </w:t>
      </w:r>
      <w:r>
        <w:rPr>
          <w:sz w:val="20"/>
        </w:rPr>
        <w:t>pobladores</w:t>
      </w:r>
      <w:r>
        <w:rPr>
          <w:spacing w:val="-17"/>
          <w:sz w:val="20"/>
        </w:rPr>
        <w:t> </w:t>
      </w:r>
      <w:r>
        <w:rPr>
          <w:sz w:val="20"/>
        </w:rPr>
        <w:t>no</w:t>
      </w:r>
      <w:r>
        <w:rPr>
          <w:spacing w:val="-17"/>
          <w:sz w:val="20"/>
        </w:rPr>
        <w:t> </w:t>
      </w:r>
      <w:r>
        <w:rPr>
          <w:sz w:val="20"/>
        </w:rPr>
        <w:t>indígenas</w:t>
      </w:r>
      <w:r>
        <w:rPr>
          <w:spacing w:val="-16"/>
          <w:sz w:val="20"/>
        </w:rPr>
        <w:t> </w:t>
      </w:r>
      <w:r>
        <w:rPr>
          <w:sz w:val="20"/>
        </w:rPr>
        <w:t>que habitan la zona, y en 2014 fueron “transferid[os]”, en forma indivisa, a la misma población. La Comisión sostuvo que, además de la falta de titulación, violó el derecho a la propiedad la omisión estatal de “emprender acciones efectivas de control de la deforestación del territorio indígena”, así como que el Estado llevara a cabo “obras públicas” y otorgara “concesiones para la exploración de hidrocarburos” sin cumplir requisitos de realizar estudios previos de “impacto social y ambiental” y “consultas previas, libres e informadas”. Afirmó que Argentina también violó los derechos de las comunidades “al acceso a la información y a […] participar en los asuntos susceptibles de</w:t>
      </w:r>
      <w:r>
        <w:rPr>
          <w:spacing w:val="-21"/>
          <w:sz w:val="20"/>
        </w:rPr>
        <w:t> </w:t>
      </w:r>
      <w:r>
        <w:rPr>
          <w:sz w:val="20"/>
        </w:rPr>
        <w:t>afectarles”.</w:t>
      </w:r>
      <w:r>
        <w:rPr>
          <w:spacing w:val="-18"/>
          <w:sz w:val="20"/>
        </w:rPr>
        <w:t> </w:t>
      </w:r>
      <w:r>
        <w:rPr>
          <w:sz w:val="20"/>
        </w:rPr>
        <w:t>Por</w:t>
      </w:r>
      <w:r>
        <w:rPr>
          <w:spacing w:val="-19"/>
          <w:sz w:val="20"/>
        </w:rPr>
        <w:t> </w:t>
      </w:r>
      <w:r>
        <w:rPr>
          <w:sz w:val="20"/>
        </w:rPr>
        <w:t>último,</w:t>
      </w:r>
      <w:r>
        <w:rPr>
          <w:spacing w:val="-18"/>
          <w:sz w:val="20"/>
        </w:rPr>
        <w:t> </w:t>
      </w:r>
      <w:r>
        <w:rPr>
          <w:sz w:val="20"/>
        </w:rPr>
        <w:t>“concluyó</w:t>
      </w:r>
      <w:r>
        <w:rPr>
          <w:spacing w:val="-19"/>
          <w:sz w:val="20"/>
        </w:rPr>
        <w:t> </w:t>
      </w:r>
      <w:r>
        <w:rPr>
          <w:sz w:val="20"/>
        </w:rPr>
        <w:t>la</w:t>
      </w:r>
      <w:r>
        <w:rPr>
          <w:spacing w:val="-20"/>
          <w:sz w:val="20"/>
        </w:rPr>
        <w:t> </w:t>
      </w:r>
      <w:r>
        <w:rPr>
          <w:sz w:val="20"/>
        </w:rPr>
        <w:t>violación</w:t>
      </w:r>
      <w:r>
        <w:rPr>
          <w:spacing w:val="-17"/>
          <w:sz w:val="20"/>
        </w:rPr>
        <w:t> </w:t>
      </w:r>
      <w:r>
        <w:rPr>
          <w:sz w:val="20"/>
        </w:rPr>
        <w:t>de</w:t>
      </w:r>
      <w:r>
        <w:rPr>
          <w:spacing w:val="-21"/>
          <w:sz w:val="20"/>
        </w:rPr>
        <w:t> </w:t>
      </w:r>
      <w:r>
        <w:rPr>
          <w:sz w:val="20"/>
        </w:rPr>
        <w:t>los</w:t>
      </w:r>
      <w:r>
        <w:rPr>
          <w:spacing w:val="-21"/>
          <w:sz w:val="20"/>
        </w:rPr>
        <w:t> </w:t>
      </w:r>
      <w:r>
        <w:rPr>
          <w:sz w:val="20"/>
        </w:rPr>
        <w:t>derechos</w:t>
      </w:r>
      <w:r>
        <w:rPr>
          <w:spacing w:val="-19"/>
          <w:sz w:val="20"/>
        </w:rPr>
        <w:t> </w:t>
      </w:r>
      <w:r>
        <w:rPr>
          <w:sz w:val="20"/>
        </w:rPr>
        <w:t>a</w:t>
      </w:r>
      <w:r>
        <w:rPr>
          <w:spacing w:val="-20"/>
          <w:sz w:val="20"/>
        </w:rPr>
        <w:t> </w:t>
      </w:r>
      <w:r>
        <w:rPr>
          <w:sz w:val="20"/>
        </w:rPr>
        <w:t>las</w:t>
      </w:r>
      <w:r>
        <w:rPr>
          <w:spacing w:val="-21"/>
          <w:sz w:val="20"/>
        </w:rPr>
        <w:t> </w:t>
      </w:r>
      <w:r>
        <w:rPr>
          <w:sz w:val="20"/>
        </w:rPr>
        <w:t>garantías</w:t>
      </w:r>
      <w:r>
        <w:rPr>
          <w:spacing w:val="-20"/>
          <w:sz w:val="20"/>
        </w:rPr>
        <w:t> </w:t>
      </w:r>
      <w:r>
        <w:rPr>
          <w:sz w:val="20"/>
        </w:rPr>
        <w:t>judiciales y protección judicial, debido a la falta de provisión de un procedimiento efectivo para acceder a la propiedad del territorio ancestral; así como a las variaciones sucesivas en el procedimiento administrativo aplicable a la reclamación territorial</w:t>
      </w:r>
      <w:r>
        <w:rPr>
          <w:spacing w:val="-33"/>
          <w:sz w:val="20"/>
        </w:rPr>
        <w:t> </w:t>
      </w:r>
      <w:r>
        <w:rPr>
          <w:sz w:val="20"/>
        </w:rPr>
        <w:t>indígena”.</w:t>
      </w:r>
    </w:p>
    <w:p>
      <w:pPr>
        <w:pStyle w:val="BodyText"/>
        <w:spacing w:before="11"/>
        <w:rPr>
          <w:sz w:val="19"/>
        </w:rPr>
      </w:pPr>
    </w:p>
    <w:p>
      <w:pPr>
        <w:pStyle w:val="ListParagraph"/>
        <w:numPr>
          <w:ilvl w:val="0"/>
          <w:numId w:val="14"/>
        </w:numPr>
        <w:tabs>
          <w:tab w:pos="830" w:val="left" w:leader="none"/>
        </w:tabs>
        <w:spacing w:line="240" w:lineRule="auto" w:before="0" w:after="0"/>
        <w:ind w:left="830" w:right="0" w:hanging="720"/>
        <w:jc w:val="both"/>
        <w:rPr>
          <w:sz w:val="20"/>
        </w:rPr>
      </w:pPr>
      <w:r>
        <w:rPr>
          <w:i/>
          <w:sz w:val="20"/>
        </w:rPr>
        <w:t>Trámite</w:t>
      </w:r>
      <w:r>
        <w:rPr>
          <w:i/>
          <w:spacing w:val="-7"/>
          <w:sz w:val="20"/>
        </w:rPr>
        <w:t> </w:t>
      </w:r>
      <w:r>
        <w:rPr>
          <w:i/>
          <w:sz w:val="20"/>
        </w:rPr>
        <w:t>ante</w:t>
      </w:r>
      <w:r>
        <w:rPr>
          <w:i/>
          <w:spacing w:val="-7"/>
          <w:sz w:val="20"/>
        </w:rPr>
        <w:t> </w:t>
      </w:r>
      <w:r>
        <w:rPr>
          <w:i/>
          <w:sz w:val="20"/>
        </w:rPr>
        <w:t>la</w:t>
      </w:r>
      <w:r>
        <w:rPr>
          <w:i/>
          <w:spacing w:val="-8"/>
          <w:sz w:val="20"/>
        </w:rPr>
        <w:t> </w:t>
      </w:r>
      <w:r>
        <w:rPr>
          <w:i/>
          <w:sz w:val="20"/>
        </w:rPr>
        <w:t>Comisión.</w:t>
      </w:r>
      <w:r>
        <w:rPr>
          <w:i/>
          <w:spacing w:val="-5"/>
          <w:sz w:val="20"/>
        </w:rPr>
        <w:t> </w:t>
      </w:r>
      <w:r>
        <w:rPr>
          <w:sz w:val="20"/>
        </w:rPr>
        <w:t>–</w:t>
      </w:r>
      <w:r>
        <w:rPr>
          <w:spacing w:val="-7"/>
          <w:sz w:val="20"/>
        </w:rPr>
        <w:t> </w:t>
      </w:r>
      <w:r>
        <w:rPr>
          <w:sz w:val="20"/>
        </w:rPr>
        <w:t>El</w:t>
      </w:r>
      <w:r>
        <w:rPr>
          <w:spacing w:val="-8"/>
          <w:sz w:val="20"/>
        </w:rPr>
        <w:t> </w:t>
      </w:r>
      <w:r>
        <w:rPr>
          <w:sz w:val="20"/>
        </w:rPr>
        <w:t>trámite</w:t>
      </w:r>
      <w:r>
        <w:rPr>
          <w:spacing w:val="-9"/>
          <w:sz w:val="20"/>
        </w:rPr>
        <w:t> </w:t>
      </w:r>
      <w:r>
        <w:rPr>
          <w:sz w:val="20"/>
        </w:rPr>
        <w:t>del</w:t>
      </w:r>
      <w:r>
        <w:rPr>
          <w:spacing w:val="-5"/>
          <w:sz w:val="20"/>
        </w:rPr>
        <w:t> </w:t>
      </w:r>
      <w:r>
        <w:rPr>
          <w:sz w:val="20"/>
        </w:rPr>
        <w:t>caso</w:t>
      </w:r>
      <w:r>
        <w:rPr>
          <w:spacing w:val="-7"/>
          <w:sz w:val="20"/>
        </w:rPr>
        <w:t> </w:t>
      </w:r>
      <w:r>
        <w:rPr>
          <w:sz w:val="20"/>
        </w:rPr>
        <w:t>ante</w:t>
      </w:r>
      <w:r>
        <w:rPr>
          <w:spacing w:val="-9"/>
          <w:sz w:val="20"/>
        </w:rPr>
        <w:t> </w:t>
      </w:r>
      <w:r>
        <w:rPr>
          <w:sz w:val="20"/>
        </w:rPr>
        <w:t>la</w:t>
      </w:r>
      <w:r>
        <w:rPr>
          <w:spacing w:val="-8"/>
          <w:sz w:val="20"/>
        </w:rPr>
        <w:t> </w:t>
      </w:r>
      <w:r>
        <w:rPr>
          <w:sz w:val="20"/>
        </w:rPr>
        <w:t>Comisión</w:t>
      </w:r>
      <w:r>
        <w:rPr>
          <w:spacing w:val="-7"/>
          <w:sz w:val="20"/>
        </w:rPr>
        <w:t> </w:t>
      </w:r>
      <w:r>
        <w:rPr>
          <w:sz w:val="20"/>
        </w:rPr>
        <w:t>fue</w:t>
      </w:r>
      <w:r>
        <w:rPr>
          <w:spacing w:val="-7"/>
          <w:sz w:val="20"/>
        </w:rPr>
        <w:t> </w:t>
      </w:r>
      <w:r>
        <w:rPr>
          <w:sz w:val="20"/>
        </w:rPr>
        <w:t>el</w:t>
      </w:r>
      <w:r>
        <w:rPr>
          <w:spacing w:val="-5"/>
          <w:sz w:val="20"/>
        </w:rPr>
        <w:t> </w:t>
      </w:r>
      <w:r>
        <w:rPr>
          <w:sz w:val="20"/>
        </w:rPr>
        <w:t>siguiente:</w:t>
      </w:r>
    </w:p>
    <w:p>
      <w:pPr>
        <w:pStyle w:val="BodyText"/>
        <w:spacing w:before="1"/>
      </w:pPr>
    </w:p>
    <w:p>
      <w:pPr>
        <w:pStyle w:val="ListParagraph"/>
        <w:numPr>
          <w:ilvl w:val="1"/>
          <w:numId w:val="14"/>
        </w:numPr>
        <w:tabs>
          <w:tab w:pos="550" w:val="left" w:leader="none"/>
        </w:tabs>
        <w:spacing w:line="240" w:lineRule="auto" w:before="0" w:after="0"/>
        <w:ind w:left="263" w:right="124" w:firstLine="0"/>
        <w:jc w:val="both"/>
        <w:rPr>
          <w:sz w:val="20"/>
        </w:rPr>
      </w:pPr>
      <w:r>
        <w:rPr>
          <w:i/>
          <w:sz w:val="20"/>
        </w:rPr>
        <w:t>Petición</w:t>
      </w:r>
      <w:r>
        <w:rPr>
          <w:sz w:val="20"/>
        </w:rPr>
        <w:t>. – El 4 de agosto de 1998 la Comisión recibió la petición inicial presentada por Lhaka Honhat, con el patrocinio del Centro de Estudios Legales y Sociales (CELS) y el Centro por la Justicia y el Derecho Internacional</w:t>
      </w:r>
      <w:r>
        <w:rPr>
          <w:spacing w:val="-24"/>
          <w:sz w:val="20"/>
        </w:rPr>
        <w:t> </w:t>
      </w:r>
      <w:r>
        <w:rPr>
          <w:sz w:val="20"/>
        </w:rPr>
        <w:t>(CEJIL).</w:t>
      </w:r>
    </w:p>
    <w:p>
      <w:pPr>
        <w:pStyle w:val="ListParagraph"/>
        <w:numPr>
          <w:ilvl w:val="1"/>
          <w:numId w:val="14"/>
        </w:numPr>
        <w:tabs>
          <w:tab w:pos="533" w:val="left" w:leader="none"/>
        </w:tabs>
        <w:spacing w:line="240" w:lineRule="auto" w:before="1" w:after="0"/>
        <w:ind w:left="263" w:right="117" w:firstLine="0"/>
        <w:jc w:val="both"/>
        <w:rPr>
          <w:sz w:val="20"/>
        </w:rPr>
      </w:pPr>
      <w:r>
        <w:rPr>
          <w:i/>
          <w:sz w:val="20"/>
        </w:rPr>
        <w:t>Informes</w:t>
      </w:r>
      <w:r>
        <w:rPr>
          <w:i/>
          <w:spacing w:val="-20"/>
          <w:sz w:val="20"/>
        </w:rPr>
        <w:t> </w:t>
      </w:r>
      <w:r>
        <w:rPr>
          <w:i/>
          <w:sz w:val="20"/>
        </w:rPr>
        <w:t>de</w:t>
      </w:r>
      <w:r>
        <w:rPr>
          <w:i/>
          <w:spacing w:val="-18"/>
          <w:sz w:val="20"/>
        </w:rPr>
        <w:t> </w:t>
      </w:r>
      <w:r>
        <w:rPr>
          <w:i/>
          <w:sz w:val="20"/>
        </w:rPr>
        <w:t>Admisibilidad</w:t>
      </w:r>
      <w:r>
        <w:rPr>
          <w:i/>
          <w:spacing w:val="-18"/>
          <w:sz w:val="20"/>
        </w:rPr>
        <w:t> </w:t>
      </w:r>
      <w:r>
        <w:rPr>
          <w:i/>
          <w:sz w:val="20"/>
        </w:rPr>
        <w:t>y</w:t>
      </w:r>
      <w:r>
        <w:rPr>
          <w:i/>
          <w:spacing w:val="-19"/>
          <w:sz w:val="20"/>
        </w:rPr>
        <w:t> </w:t>
      </w:r>
      <w:r>
        <w:rPr>
          <w:i/>
          <w:sz w:val="20"/>
        </w:rPr>
        <w:t>de</w:t>
      </w:r>
      <w:r>
        <w:rPr>
          <w:i/>
          <w:spacing w:val="-20"/>
          <w:sz w:val="20"/>
        </w:rPr>
        <w:t> </w:t>
      </w:r>
      <w:r>
        <w:rPr>
          <w:i/>
          <w:sz w:val="20"/>
        </w:rPr>
        <w:t>Fondo</w:t>
      </w:r>
      <w:r>
        <w:rPr>
          <w:sz w:val="20"/>
        </w:rPr>
        <w:t>.-</w:t>
      </w:r>
      <w:r>
        <w:rPr>
          <w:spacing w:val="-16"/>
          <w:sz w:val="20"/>
        </w:rPr>
        <w:t> </w:t>
      </w:r>
      <w:r>
        <w:rPr>
          <w:sz w:val="20"/>
        </w:rPr>
        <w:t>El</w:t>
      </w:r>
      <w:r>
        <w:rPr>
          <w:spacing w:val="-19"/>
          <w:sz w:val="20"/>
        </w:rPr>
        <w:t> </w:t>
      </w:r>
      <w:r>
        <w:rPr>
          <w:sz w:val="20"/>
        </w:rPr>
        <w:t>21</w:t>
      </w:r>
      <w:r>
        <w:rPr>
          <w:spacing w:val="-16"/>
          <w:sz w:val="20"/>
        </w:rPr>
        <w:t> </w:t>
      </w:r>
      <w:r>
        <w:rPr>
          <w:sz w:val="20"/>
        </w:rPr>
        <w:t>de</w:t>
      </w:r>
      <w:r>
        <w:rPr>
          <w:spacing w:val="-18"/>
          <w:sz w:val="20"/>
        </w:rPr>
        <w:t> </w:t>
      </w:r>
      <w:r>
        <w:rPr>
          <w:sz w:val="20"/>
        </w:rPr>
        <w:t>octubre</w:t>
      </w:r>
      <w:r>
        <w:rPr>
          <w:spacing w:val="-18"/>
          <w:sz w:val="20"/>
        </w:rPr>
        <w:t> </w:t>
      </w:r>
      <w:r>
        <w:rPr>
          <w:sz w:val="20"/>
        </w:rPr>
        <w:t>de</w:t>
      </w:r>
      <w:r>
        <w:rPr>
          <w:spacing w:val="-16"/>
          <w:sz w:val="20"/>
        </w:rPr>
        <w:t> </w:t>
      </w:r>
      <w:r>
        <w:rPr>
          <w:sz w:val="20"/>
        </w:rPr>
        <w:t>2006,</w:t>
      </w:r>
      <w:r>
        <w:rPr>
          <w:spacing w:val="-17"/>
          <w:sz w:val="20"/>
        </w:rPr>
        <w:t> </w:t>
      </w:r>
      <w:r>
        <w:rPr>
          <w:sz w:val="20"/>
        </w:rPr>
        <w:t>la</w:t>
      </w:r>
      <w:r>
        <w:rPr>
          <w:spacing w:val="-19"/>
          <w:sz w:val="20"/>
        </w:rPr>
        <w:t> </w:t>
      </w:r>
      <w:r>
        <w:rPr>
          <w:sz w:val="20"/>
        </w:rPr>
        <w:t>Comisión</w:t>
      </w:r>
      <w:r>
        <w:rPr>
          <w:spacing w:val="-18"/>
          <w:sz w:val="20"/>
        </w:rPr>
        <w:t> </w:t>
      </w:r>
      <w:r>
        <w:rPr>
          <w:sz w:val="20"/>
        </w:rPr>
        <w:t>aprobó el</w:t>
      </w:r>
      <w:r>
        <w:rPr>
          <w:spacing w:val="-13"/>
          <w:sz w:val="20"/>
        </w:rPr>
        <w:t> </w:t>
      </w:r>
      <w:r>
        <w:rPr>
          <w:sz w:val="20"/>
        </w:rPr>
        <w:t>Informe</w:t>
      </w:r>
      <w:r>
        <w:rPr>
          <w:spacing w:val="-10"/>
          <w:sz w:val="20"/>
        </w:rPr>
        <w:t> </w:t>
      </w:r>
      <w:r>
        <w:rPr>
          <w:sz w:val="20"/>
        </w:rPr>
        <w:t>de</w:t>
      </w:r>
      <w:r>
        <w:rPr>
          <w:spacing w:val="-12"/>
          <w:sz w:val="20"/>
        </w:rPr>
        <w:t> </w:t>
      </w:r>
      <w:r>
        <w:rPr>
          <w:sz w:val="20"/>
        </w:rPr>
        <w:t>Admisibilidad</w:t>
      </w:r>
      <w:r>
        <w:rPr>
          <w:spacing w:val="-12"/>
          <w:sz w:val="20"/>
        </w:rPr>
        <w:t> </w:t>
      </w:r>
      <w:r>
        <w:rPr>
          <w:sz w:val="20"/>
        </w:rPr>
        <w:t>No.</w:t>
      </w:r>
      <w:r>
        <w:rPr>
          <w:spacing w:val="-13"/>
          <w:sz w:val="20"/>
        </w:rPr>
        <w:t> </w:t>
      </w:r>
      <w:r>
        <w:rPr>
          <w:sz w:val="20"/>
        </w:rPr>
        <w:t>78/06,</w:t>
      </w:r>
      <w:r>
        <w:rPr>
          <w:spacing w:val="-11"/>
          <w:sz w:val="20"/>
        </w:rPr>
        <w:t> </w:t>
      </w:r>
      <w:r>
        <w:rPr>
          <w:sz w:val="20"/>
        </w:rPr>
        <w:t>declarando</w:t>
      </w:r>
      <w:r>
        <w:rPr>
          <w:spacing w:val="-9"/>
          <w:sz w:val="20"/>
        </w:rPr>
        <w:t> </w:t>
      </w:r>
      <w:r>
        <w:rPr>
          <w:sz w:val="20"/>
        </w:rPr>
        <w:t>admisible</w:t>
      </w:r>
      <w:r>
        <w:rPr>
          <w:spacing w:val="-14"/>
          <w:sz w:val="20"/>
        </w:rPr>
        <w:t> </w:t>
      </w:r>
      <w:r>
        <w:rPr>
          <w:sz w:val="20"/>
        </w:rPr>
        <w:t>la</w:t>
      </w:r>
      <w:r>
        <w:rPr>
          <w:spacing w:val="-10"/>
          <w:sz w:val="20"/>
        </w:rPr>
        <w:t> </w:t>
      </w:r>
      <w:r>
        <w:rPr>
          <w:sz w:val="20"/>
        </w:rPr>
        <w:t>petición.</w:t>
      </w:r>
      <w:r>
        <w:rPr>
          <w:spacing w:val="-11"/>
          <w:sz w:val="20"/>
        </w:rPr>
        <w:t> </w:t>
      </w:r>
      <w:r>
        <w:rPr>
          <w:sz w:val="20"/>
        </w:rPr>
        <w:t>El</w:t>
      </w:r>
      <w:r>
        <w:rPr>
          <w:spacing w:val="-12"/>
          <w:sz w:val="20"/>
        </w:rPr>
        <w:t> </w:t>
      </w:r>
      <w:r>
        <w:rPr>
          <w:sz w:val="20"/>
        </w:rPr>
        <w:t>26</w:t>
      </w:r>
      <w:r>
        <w:rPr>
          <w:spacing w:val="-12"/>
          <w:sz w:val="20"/>
        </w:rPr>
        <w:t> </w:t>
      </w:r>
      <w:r>
        <w:rPr>
          <w:sz w:val="20"/>
        </w:rPr>
        <w:t>de</w:t>
      </w:r>
      <w:r>
        <w:rPr>
          <w:spacing w:val="-12"/>
          <w:sz w:val="20"/>
        </w:rPr>
        <w:t> </w:t>
      </w:r>
      <w:r>
        <w:rPr>
          <w:sz w:val="20"/>
        </w:rPr>
        <w:t>enero</w:t>
      </w:r>
    </w:p>
    <w:p>
      <w:pPr>
        <w:pStyle w:val="BodyText"/>
      </w:pPr>
    </w:p>
    <w:p>
      <w:pPr>
        <w:pStyle w:val="BodyText"/>
      </w:pPr>
    </w:p>
    <w:p>
      <w:pPr>
        <w:pStyle w:val="BodyText"/>
      </w:pPr>
    </w:p>
    <w:p>
      <w:pPr>
        <w:pStyle w:val="BodyText"/>
      </w:pPr>
    </w:p>
    <w:p>
      <w:pPr>
        <w:pStyle w:val="BodyText"/>
        <w:rPr>
          <w:sz w:val="25"/>
        </w:rPr>
      </w:pPr>
      <w:r>
        <w:rPr/>
        <w:pict>
          <v:line style="position:absolute;mso-position-horizontal-relative:page;mso-position-vertical-relative:paragraph;z-index:1048;mso-wrap-distance-left:0;mso-wrap-distance-right:0" from="85.103996pt,17.563416pt" to="229.123996pt,17.563416pt" stroked="true" strokeweight=".71997pt" strokecolor="#000000">
            <v:stroke dashstyle="solid"/>
            <w10:wrap type="topAndBottom"/>
          </v:line>
        </w:pict>
      </w:r>
    </w:p>
    <w:p>
      <w:pPr>
        <w:tabs>
          <w:tab w:pos="829" w:val="left" w:leader="none"/>
        </w:tabs>
        <w:spacing w:line="240" w:lineRule="auto" w:before="71"/>
        <w:ind w:left="122" w:right="114" w:firstLine="0"/>
        <w:jc w:val="both"/>
        <w:rPr>
          <w:sz w:val="16"/>
        </w:rPr>
      </w:pPr>
      <w:r>
        <w:rPr>
          <w:position w:val="6"/>
          <w:sz w:val="10"/>
        </w:rPr>
        <w:t>1</w:t>
        <w:tab/>
      </w:r>
      <w:r>
        <w:rPr>
          <w:sz w:val="16"/>
        </w:rPr>
        <w:t>Argentina es un Estado federal. En el caso hubo actuaciones tanto de autoridades  </w:t>
      </w:r>
      <w:r>
        <w:rPr>
          <w:spacing w:val="4"/>
          <w:sz w:val="16"/>
        </w:rPr>
        <w:t> </w:t>
      </w:r>
      <w:r>
        <w:rPr>
          <w:sz w:val="16"/>
        </w:rPr>
        <w:t>nacionales</w:t>
      </w:r>
      <w:r>
        <w:rPr>
          <w:spacing w:val="9"/>
          <w:sz w:val="16"/>
        </w:rPr>
        <w:t> </w:t>
      </w:r>
      <w:r>
        <w:rPr>
          <w:sz w:val="16"/>
        </w:rPr>
        <w:t>como</w:t>
      </w:r>
      <w:r>
        <w:rPr>
          <w:w w:val="100"/>
          <w:sz w:val="16"/>
        </w:rPr>
        <w:t> </w:t>
      </w:r>
      <w:r>
        <w:rPr>
          <w:sz w:val="16"/>
        </w:rPr>
        <w:t>de uno de los Estados que conforman la federación, la Provincia de Salta. La referencia en esta Sentencia al “Estado” o a “Argentina”, salvo cuando expresamente se distingue, es alusiva al Estado como un conjunto unificado, que comprende a todas sus autoridades, tanto nacionales como de las entidades federativas, inclusive de la Provincia de</w:t>
      </w:r>
      <w:r>
        <w:rPr>
          <w:spacing w:val="-10"/>
          <w:sz w:val="16"/>
        </w:rPr>
        <w:t> </w:t>
      </w:r>
      <w:r>
        <w:rPr>
          <w:sz w:val="16"/>
        </w:rPr>
        <w:t>Salta.</w:t>
      </w:r>
    </w:p>
    <w:p>
      <w:pPr>
        <w:spacing w:after="0" w:line="240" w:lineRule="auto"/>
        <w:jc w:val="both"/>
        <w:rPr>
          <w:sz w:val="16"/>
        </w:rPr>
        <w:sectPr>
          <w:pgSz w:w="12240" w:h="15840"/>
          <w:pgMar w:header="0" w:footer="1000" w:top="1500" w:bottom="1200" w:left="1580" w:right="1580"/>
        </w:sectPr>
      </w:pPr>
    </w:p>
    <w:p>
      <w:pPr>
        <w:pStyle w:val="BodyText"/>
        <w:spacing w:line="242" w:lineRule="auto" w:before="76"/>
        <w:ind w:left="263" w:right="121"/>
        <w:jc w:val="both"/>
      </w:pPr>
      <w:r>
        <w:rPr/>
        <w:t>de 2012 aprobó el Informe de Fondo No. 2/12, en el cual llegó a una serie de conclusiones</w:t>
      </w:r>
      <w:r>
        <w:rPr>
          <w:position w:val="7"/>
          <w:sz w:val="13"/>
        </w:rPr>
        <w:t>2 </w:t>
      </w:r>
      <w:r>
        <w:rPr/>
        <w:t>y formuló varias recomendaciones a Argentina</w:t>
      </w:r>
      <w:r>
        <w:rPr>
          <w:position w:val="7"/>
          <w:sz w:val="13"/>
        </w:rPr>
        <w:t>3</w:t>
      </w:r>
      <w:r>
        <w:rPr/>
        <w:t>.</w:t>
      </w:r>
    </w:p>
    <w:p>
      <w:pPr>
        <w:pStyle w:val="ListParagraph"/>
        <w:numPr>
          <w:ilvl w:val="1"/>
          <w:numId w:val="14"/>
        </w:numPr>
        <w:tabs>
          <w:tab w:pos="516" w:val="left" w:leader="none"/>
        </w:tabs>
        <w:spacing w:line="240" w:lineRule="auto" w:before="0" w:after="0"/>
        <w:ind w:left="263" w:right="122" w:firstLine="0"/>
        <w:jc w:val="both"/>
        <w:rPr>
          <w:sz w:val="20"/>
        </w:rPr>
      </w:pPr>
      <w:r>
        <w:rPr>
          <w:i/>
          <w:sz w:val="20"/>
        </w:rPr>
        <w:t>Notificación</w:t>
      </w:r>
      <w:r>
        <w:rPr>
          <w:i/>
          <w:spacing w:val="-14"/>
          <w:sz w:val="20"/>
        </w:rPr>
        <w:t> </w:t>
      </w:r>
      <w:r>
        <w:rPr>
          <w:i/>
          <w:sz w:val="20"/>
        </w:rPr>
        <w:t>al</w:t>
      </w:r>
      <w:r>
        <w:rPr>
          <w:i/>
          <w:spacing w:val="-14"/>
          <w:sz w:val="20"/>
        </w:rPr>
        <w:t> </w:t>
      </w:r>
      <w:r>
        <w:rPr>
          <w:i/>
          <w:sz w:val="20"/>
        </w:rPr>
        <w:t>Estado</w:t>
      </w:r>
      <w:r>
        <w:rPr>
          <w:sz w:val="20"/>
        </w:rPr>
        <w:t>.-</w:t>
      </w:r>
      <w:r>
        <w:rPr>
          <w:spacing w:val="-14"/>
          <w:sz w:val="20"/>
        </w:rPr>
        <w:t> </w:t>
      </w:r>
      <w:r>
        <w:rPr>
          <w:sz w:val="20"/>
        </w:rPr>
        <w:t>La</w:t>
      </w:r>
      <w:r>
        <w:rPr>
          <w:spacing w:val="-14"/>
          <w:sz w:val="20"/>
        </w:rPr>
        <w:t> </w:t>
      </w:r>
      <w:r>
        <w:rPr>
          <w:sz w:val="20"/>
        </w:rPr>
        <w:t>Comisión</w:t>
      </w:r>
      <w:r>
        <w:rPr>
          <w:spacing w:val="-14"/>
          <w:sz w:val="20"/>
        </w:rPr>
        <w:t> </w:t>
      </w:r>
      <w:r>
        <w:rPr>
          <w:sz w:val="20"/>
        </w:rPr>
        <w:t>notificó</w:t>
      </w:r>
      <w:r>
        <w:rPr>
          <w:spacing w:val="-14"/>
          <w:sz w:val="20"/>
        </w:rPr>
        <w:t> </w:t>
      </w:r>
      <w:r>
        <w:rPr>
          <w:sz w:val="20"/>
        </w:rPr>
        <w:t>el</w:t>
      </w:r>
      <w:r>
        <w:rPr>
          <w:spacing w:val="-13"/>
          <w:sz w:val="20"/>
        </w:rPr>
        <w:t> </w:t>
      </w:r>
      <w:r>
        <w:rPr>
          <w:sz w:val="20"/>
        </w:rPr>
        <w:t>Informe</w:t>
      </w:r>
      <w:r>
        <w:rPr>
          <w:spacing w:val="-15"/>
          <w:sz w:val="20"/>
        </w:rPr>
        <w:t> </w:t>
      </w:r>
      <w:r>
        <w:rPr>
          <w:sz w:val="20"/>
        </w:rPr>
        <w:t>de</w:t>
      </w:r>
      <w:r>
        <w:rPr>
          <w:spacing w:val="-15"/>
          <w:sz w:val="20"/>
        </w:rPr>
        <w:t> </w:t>
      </w:r>
      <w:r>
        <w:rPr>
          <w:sz w:val="20"/>
        </w:rPr>
        <w:t>Fondo</w:t>
      </w:r>
      <w:r>
        <w:rPr>
          <w:spacing w:val="-14"/>
          <w:sz w:val="20"/>
        </w:rPr>
        <w:t> </w:t>
      </w:r>
      <w:r>
        <w:rPr>
          <w:sz w:val="20"/>
        </w:rPr>
        <w:t>al</w:t>
      </w:r>
      <w:r>
        <w:rPr>
          <w:spacing w:val="-14"/>
          <w:sz w:val="20"/>
        </w:rPr>
        <w:t> </w:t>
      </w:r>
      <w:r>
        <w:rPr>
          <w:sz w:val="20"/>
        </w:rPr>
        <w:t>Estado</w:t>
      </w:r>
      <w:r>
        <w:rPr>
          <w:spacing w:val="-15"/>
          <w:sz w:val="20"/>
        </w:rPr>
        <w:t> </w:t>
      </w:r>
      <w:r>
        <w:rPr>
          <w:sz w:val="20"/>
        </w:rPr>
        <w:t>por</w:t>
      </w:r>
      <w:r>
        <w:rPr>
          <w:spacing w:val="-15"/>
          <w:sz w:val="20"/>
        </w:rPr>
        <w:t> </w:t>
      </w:r>
      <w:r>
        <w:rPr>
          <w:sz w:val="20"/>
        </w:rPr>
        <w:t>medio de una comunicación fechada el 26 de marzo de 2012, remitida el día siguiente, otorgándole dos meses para informar sobre el cumplimiento de las</w:t>
      </w:r>
      <w:r>
        <w:rPr>
          <w:spacing w:val="-30"/>
          <w:sz w:val="20"/>
        </w:rPr>
        <w:t> </w:t>
      </w:r>
      <w:r>
        <w:rPr>
          <w:sz w:val="20"/>
        </w:rPr>
        <w:t>recomendaciones.</w:t>
      </w:r>
    </w:p>
    <w:p>
      <w:pPr>
        <w:pStyle w:val="ListParagraph"/>
        <w:numPr>
          <w:ilvl w:val="1"/>
          <w:numId w:val="14"/>
        </w:numPr>
        <w:tabs>
          <w:tab w:pos="576" w:val="left" w:leader="none"/>
        </w:tabs>
        <w:spacing w:line="240" w:lineRule="auto" w:before="3" w:after="0"/>
        <w:ind w:left="263" w:right="116" w:firstLine="0"/>
        <w:jc w:val="both"/>
        <w:rPr>
          <w:sz w:val="20"/>
        </w:rPr>
      </w:pPr>
      <w:r>
        <w:rPr>
          <w:i/>
          <w:sz w:val="20"/>
        </w:rPr>
        <w:t>Informes sobre las recomendaciones de la Comisión.- </w:t>
      </w:r>
      <w:r>
        <w:rPr>
          <w:sz w:val="20"/>
        </w:rPr>
        <w:t>El 25 de mayo de 2012 el Estado dio respuesta al Informe de Fondo. Señaló que se había trasladado el mismo a las autoridades provinciales competentes, para </w:t>
      </w:r>
      <w:r>
        <w:rPr>
          <w:spacing w:val="2"/>
          <w:sz w:val="20"/>
        </w:rPr>
        <w:t>que </w:t>
      </w:r>
      <w:r>
        <w:rPr>
          <w:sz w:val="20"/>
        </w:rPr>
        <w:t>remitieran observaciones, por lo que solicitó un plazo adicional para informar sobre las medidas adoptadas. Conforme consta en el expediente del trámite ante la Comisión, ésta otorgó 22 prórrogas al Estado,</w:t>
      </w:r>
      <w:r>
        <w:rPr>
          <w:spacing w:val="-14"/>
          <w:sz w:val="20"/>
        </w:rPr>
        <w:t> </w:t>
      </w:r>
      <w:r>
        <w:rPr>
          <w:sz w:val="20"/>
        </w:rPr>
        <w:t>siendo</w:t>
      </w:r>
      <w:r>
        <w:rPr>
          <w:spacing w:val="-14"/>
          <w:sz w:val="20"/>
        </w:rPr>
        <w:t> </w:t>
      </w:r>
      <w:r>
        <w:rPr>
          <w:sz w:val="20"/>
        </w:rPr>
        <w:t>la</w:t>
      </w:r>
      <w:r>
        <w:rPr>
          <w:spacing w:val="-15"/>
          <w:sz w:val="20"/>
        </w:rPr>
        <w:t> </w:t>
      </w:r>
      <w:r>
        <w:rPr>
          <w:sz w:val="20"/>
        </w:rPr>
        <w:t>última</w:t>
      </w:r>
      <w:r>
        <w:rPr>
          <w:spacing w:val="-12"/>
          <w:sz w:val="20"/>
        </w:rPr>
        <w:t> </w:t>
      </w:r>
      <w:r>
        <w:rPr>
          <w:sz w:val="20"/>
        </w:rPr>
        <w:t>concedida</w:t>
      </w:r>
      <w:r>
        <w:rPr>
          <w:spacing w:val="-12"/>
          <w:sz w:val="20"/>
        </w:rPr>
        <w:t> </w:t>
      </w:r>
      <w:r>
        <w:rPr>
          <w:sz w:val="20"/>
        </w:rPr>
        <w:t>el</w:t>
      </w:r>
      <w:r>
        <w:rPr>
          <w:spacing w:val="-13"/>
          <w:sz w:val="20"/>
        </w:rPr>
        <w:t> </w:t>
      </w:r>
      <w:r>
        <w:rPr>
          <w:sz w:val="20"/>
        </w:rPr>
        <w:t>1</w:t>
      </w:r>
      <w:r>
        <w:rPr>
          <w:spacing w:val="-15"/>
          <w:sz w:val="20"/>
        </w:rPr>
        <w:t> </w:t>
      </w:r>
      <w:r>
        <w:rPr>
          <w:sz w:val="20"/>
        </w:rPr>
        <w:t>de</w:t>
      </w:r>
      <w:r>
        <w:rPr>
          <w:spacing w:val="-14"/>
          <w:sz w:val="20"/>
        </w:rPr>
        <w:t> </w:t>
      </w:r>
      <w:r>
        <w:rPr>
          <w:sz w:val="20"/>
        </w:rPr>
        <w:t>noviembre</w:t>
      </w:r>
      <w:r>
        <w:rPr>
          <w:spacing w:val="-14"/>
          <w:sz w:val="20"/>
        </w:rPr>
        <w:t> </w:t>
      </w:r>
      <w:r>
        <w:rPr>
          <w:sz w:val="20"/>
        </w:rPr>
        <w:t>de</w:t>
      </w:r>
      <w:r>
        <w:rPr>
          <w:spacing w:val="-16"/>
          <w:sz w:val="20"/>
        </w:rPr>
        <w:t> </w:t>
      </w:r>
      <w:r>
        <w:rPr>
          <w:sz w:val="20"/>
        </w:rPr>
        <w:t>2017.</w:t>
      </w:r>
      <w:r>
        <w:rPr>
          <w:spacing w:val="-13"/>
          <w:sz w:val="20"/>
        </w:rPr>
        <w:t> </w:t>
      </w:r>
      <w:r>
        <w:rPr>
          <w:sz w:val="20"/>
        </w:rPr>
        <w:t>Dichas</w:t>
      </w:r>
      <w:r>
        <w:rPr>
          <w:spacing w:val="-14"/>
          <w:sz w:val="20"/>
        </w:rPr>
        <w:t> </w:t>
      </w:r>
      <w:r>
        <w:rPr>
          <w:sz w:val="20"/>
        </w:rPr>
        <w:t>prórrogas</w:t>
      </w:r>
      <w:r>
        <w:rPr>
          <w:spacing w:val="-13"/>
          <w:sz w:val="20"/>
        </w:rPr>
        <w:t> </w:t>
      </w:r>
      <w:r>
        <w:rPr>
          <w:sz w:val="20"/>
        </w:rPr>
        <w:t>fueron dadas a partir de que la Comisión observó avances en la implementación de sus recomendaciones. En ese marco, es posible destacar algunos actos. Por medio de escritos de 15 de enero y 8 de julio de 2014 el Estado presentó informes sobre las acciones y recursos dispuestos en la zona por el Estado Nacional y por la Provincia de Salta</w:t>
      </w:r>
      <w:r>
        <w:rPr>
          <w:spacing w:val="-15"/>
          <w:sz w:val="20"/>
        </w:rPr>
        <w:t> </w:t>
      </w:r>
      <w:r>
        <w:rPr>
          <w:sz w:val="20"/>
        </w:rPr>
        <w:t>(en</w:t>
      </w:r>
      <w:r>
        <w:rPr>
          <w:spacing w:val="-15"/>
          <w:sz w:val="20"/>
        </w:rPr>
        <w:t> </w:t>
      </w:r>
      <w:r>
        <w:rPr>
          <w:sz w:val="20"/>
        </w:rPr>
        <w:t>adelante</w:t>
      </w:r>
      <w:r>
        <w:rPr>
          <w:spacing w:val="-15"/>
          <w:sz w:val="20"/>
        </w:rPr>
        <w:t> </w:t>
      </w:r>
      <w:r>
        <w:rPr>
          <w:sz w:val="20"/>
        </w:rPr>
        <w:t>también</w:t>
      </w:r>
      <w:r>
        <w:rPr>
          <w:spacing w:val="-15"/>
          <w:sz w:val="20"/>
        </w:rPr>
        <w:t> </w:t>
      </w:r>
      <w:r>
        <w:rPr>
          <w:sz w:val="20"/>
        </w:rPr>
        <w:t>“Salta”</w:t>
      </w:r>
      <w:r>
        <w:rPr>
          <w:spacing w:val="-14"/>
          <w:sz w:val="20"/>
        </w:rPr>
        <w:t> </w:t>
      </w:r>
      <w:r>
        <w:rPr>
          <w:sz w:val="20"/>
        </w:rPr>
        <w:t>o</w:t>
      </w:r>
      <w:r>
        <w:rPr>
          <w:spacing w:val="-16"/>
          <w:sz w:val="20"/>
        </w:rPr>
        <w:t> </w:t>
      </w:r>
      <w:r>
        <w:rPr>
          <w:sz w:val="20"/>
        </w:rPr>
        <w:t>“la</w:t>
      </w:r>
      <w:r>
        <w:rPr>
          <w:spacing w:val="-13"/>
          <w:sz w:val="20"/>
        </w:rPr>
        <w:t> </w:t>
      </w:r>
      <w:r>
        <w:rPr>
          <w:sz w:val="20"/>
        </w:rPr>
        <w:t>Provincia”),</w:t>
      </w:r>
      <w:r>
        <w:rPr>
          <w:spacing w:val="-16"/>
          <w:sz w:val="20"/>
        </w:rPr>
        <w:t> </w:t>
      </w:r>
      <w:r>
        <w:rPr>
          <w:sz w:val="20"/>
        </w:rPr>
        <w:t>así</w:t>
      </w:r>
      <w:r>
        <w:rPr>
          <w:spacing w:val="-13"/>
          <w:sz w:val="20"/>
        </w:rPr>
        <w:t> </w:t>
      </w:r>
      <w:r>
        <w:rPr>
          <w:sz w:val="20"/>
        </w:rPr>
        <w:t>como</w:t>
      </w:r>
      <w:r>
        <w:rPr>
          <w:spacing w:val="-15"/>
          <w:sz w:val="20"/>
        </w:rPr>
        <w:t> </w:t>
      </w:r>
      <w:r>
        <w:rPr>
          <w:sz w:val="20"/>
        </w:rPr>
        <w:t>sobre</w:t>
      </w:r>
      <w:r>
        <w:rPr>
          <w:spacing w:val="-15"/>
          <w:sz w:val="20"/>
        </w:rPr>
        <w:t> </w:t>
      </w:r>
      <w:r>
        <w:rPr>
          <w:sz w:val="20"/>
        </w:rPr>
        <w:t>la</w:t>
      </w:r>
      <w:r>
        <w:rPr>
          <w:spacing w:val="-15"/>
          <w:sz w:val="20"/>
        </w:rPr>
        <w:t> </w:t>
      </w:r>
      <w:r>
        <w:rPr>
          <w:sz w:val="20"/>
        </w:rPr>
        <w:t>“ruta</w:t>
      </w:r>
      <w:r>
        <w:rPr>
          <w:spacing w:val="-15"/>
          <w:sz w:val="20"/>
        </w:rPr>
        <w:t> </w:t>
      </w:r>
      <w:r>
        <w:rPr>
          <w:sz w:val="20"/>
        </w:rPr>
        <w:t>de</w:t>
      </w:r>
      <w:r>
        <w:rPr>
          <w:spacing w:val="-16"/>
          <w:sz w:val="20"/>
        </w:rPr>
        <w:t> </w:t>
      </w:r>
      <w:r>
        <w:rPr>
          <w:sz w:val="20"/>
        </w:rPr>
        <w:t>trabajo” para cumplimentar las recomendaciones. También, el 19 de julio de 2016, Argentina informó a la Comisión sobre las medidas adoptadas y advirtió la complejidad de las mismas. El 25 de octubre de 2017 las partes y la Comisión mantuvieron una reunión de trabajo, en la cual se acordó que el Estado presentara un proyecto detallado sobre el cumplimiento de las recomendaciones. El 1 de noviembre de ese año la Comisión otorgó</w:t>
      </w:r>
      <w:r>
        <w:rPr>
          <w:spacing w:val="-7"/>
          <w:sz w:val="20"/>
        </w:rPr>
        <w:t> </w:t>
      </w:r>
      <w:r>
        <w:rPr>
          <w:sz w:val="20"/>
        </w:rPr>
        <w:t>la</w:t>
      </w:r>
      <w:r>
        <w:rPr>
          <w:spacing w:val="-3"/>
          <w:sz w:val="20"/>
        </w:rPr>
        <w:t> </w:t>
      </w:r>
      <w:r>
        <w:rPr>
          <w:sz w:val="20"/>
        </w:rPr>
        <w:t>que</w:t>
      </w:r>
      <w:r>
        <w:rPr>
          <w:spacing w:val="-7"/>
          <w:sz w:val="20"/>
        </w:rPr>
        <w:t> </w:t>
      </w:r>
      <w:r>
        <w:rPr>
          <w:sz w:val="20"/>
        </w:rPr>
        <w:t>fue</w:t>
      </w:r>
      <w:r>
        <w:rPr>
          <w:spacing w:val="-7"/>
          <w:sz w:val="20"/>
        </w:rPr>
        <w:t> </w:t>
      </w:r>
      <w:r>
        <w:rPr>
          <w:sz w:val="20"/>
        </w:rPr>
        <w:t>la</w:t>
      </w:r>
      <w:r>
        <w:rPr>
          <w:spacing w:val="-5"/>
          <w:sz w:val="20"/>
        </w:rPr>
        <w:t> </w:t>
      </w:r>
      <w:r>
        <w:rPr>
          <w:sz w:val="20"/>
        </w:rPr>
        <w:t>última</w:t>
      </w:r>
      <w:r>
        <w:rPr>
          <w:spacing w:val="-5"/>
          <w:sz w:val="20"/>
        </w:rPr>
        <w:t> </w:t>
      </w:r>
      <w:r>
        <w:rPr>
          <w:sz w:val="20"/>
        </w:rPr>
        <w:t>prórroga</w:t>
      </w:r>
      <w:r>
        <w:rPr>
          <w:spacing w:val="-5"/>
          <w:sz w:val="20"/>
        </w:rPr>
        <w:t> </w:t>
      </w:r>
      <w:r>
        <w:rPr>
          <w:sz w:val="20"/>
        </w:rPr>
        <w:t>al</w:t>
      </w:r>
      <w:r>
        <w:rPr>
          <w:spacing w:val="-3"/>
          <w:sz w:val="20"/>
        </w:rPr>
        <w:t> </w:t>
      </w:r>
      <w:r>
        <w:rPr>
          <w:sz w:val="20"/>
        </w:rPr>
        <w:t>Estado,</w:t>
      </w:r>
      <w:r>
        <w:rPr>
          <w:spacing w:val="-1"/>
          <w:sz w:val="20"/>
        </w:rPr>
        <w:t> </w:t>
      </w:r>
      <w:r>
        <w:rPr>
          <w:sz w:val="20"/>
        </w:rPr>
        <w:t>que</w:t>
      </w:r>
      <w:r>
        <w:rPr>
          <w:spacing w:val="-7"/>
          <w:sz w:val="20"/>
        </w:rPr>
        <w:t> </w:t>
      </w:r>
      <w:r>
        <w:rPr>
          <w:sz w:val="20"/>
        </w:rPr>
        <w:t>presentó</w:t>
      </w:r>
      <w:r>
        <w:rPr>
          <w:spacing w:val="-4"/>
          <w:sz w:val="20"/>
        </w:rPr>
        <w:t> </w:t>
      </w:r>
      <w:r>
        <w:rPr>
          <w:sz w:val="20"/>
        </w:rPr>
        <w:t>su</w:t>
      </w:r>
      <w:r>
        <w:rPr>
          <w:spacing w:val="-5"/>
          <w:sz w:val="20"/>
        </w:rPr>
        <w:t> </w:t>
      </w:r>
      <w:r>
        <w:rPr>
          <w:sz w:val="20"/>
        </w:rPr>
        <w:t>proyecto</w:t>
      </w:r>
      <w:r>
        <w:rPr>
          <w:spacing w:val="-7"/>
          <w:sz w:val="20"/>
        </w:rPr>
        <w:t> </w:t>
      </w:r>
      <w:r>
        <w:rPr>
          <w:sz w:val="20"/>
        </w:rPr>
        <w:t>fechado</w:t>
      </w:r>
      <w:r>
        <w:rPr>
          <w:spacing w:val="-7"/>
          <w:sz w:val="20"/>
        </w:rPr>
        <w:t> </w:t>
      </w:r>
      <w:r>
        <w:rPr>
          <w:sz w:val="20"/>
        </w:rPr>
        <w:t>el</w:t>
      </w:r>
      <w:r>
        <w:rPr>
          <w:spacing w:val="-3"/>
          <w:sz w:val="20"/>
        </w:rPr>
        <w:t> </w:t>
      </w:r>
      <w:r>
        <w:rPr>
          <w:sz w:val="20"/>
        </w:rPr>
        <w:t>24 del mismo mes, así como un nuevo informe y solicitud de prórroga, por medio de una comunicación fechada el 16 de enero de 2018. Esa solicitud fue negada. La Comisión consideró que, si bien se habían registrado avances, el proyecto estatal presentado “sólo ofreci[ó] perspectivas de implementación en un largo período de tiempo” y que no había “expectativas de implementación” de las recomendaciones en un plazo razonable.</w:t>
      </w:r>
    </w:p>
    <w:p>
      <w:pPr>
        <w:pStyle w:val="BodyText"/>
        <w:spacing w:before="11"/>
        <w:rPr>
          <w:sz w:val="19"/>
        </w:rPr>
      </w:pPr>
    </w:p>
    <w:p>
      <w:pPr>
        <w:pStyle w:val="ListParagraph"/>
        <w:numPr>
          <w:ilvl w:val="0"/>
          <w:numId w:val="14"/>
        </w:numPr>
        <w:tabs>
          <w:tab w:pos="830" w:val="left" w:leader="none"/>
        </w:tabs>
        <w:spacing w:line="240" w:lineRule="auto" w:before="0" w:after="0"/>
        <w:ind w:left="122" w:right="123" w:hanging="12"/>
        <w:jc w:val="both"/>
        <w:rPr>
          <w:sz w:val="20"/>
        </w:rPr>
      </w:pPr>
      <w:r>
        <w:rPr>
          <w:i/>
          <w:sz w:val="20"/>
        </w:rPr>
        <w:t>Sometimiento a la Corte</w:t>
      </w:r>
      <w:r>
        <w:rPr>
          <w:sz w:val="20"/>
        </w:rPr>
        <w:t>. – El 1 de febrero de 2018 la Comisión, en virtud de lo anterior, sometió el presente caso a la Corte. Designó como delegados al entonces Comisionado Luis Ernesto Vargas Silva y al Secretario Ejecutivo Paulo Abrão, así como a las señoras Elizabeth Abi-Mershed, entonces Secretaria Ejecutiva Adjunta, y Silvia Serrano Guzmán y Paulina Corominas como asesoras</w:t>
      </w:r>
      <w:r>
        <w:rPr>
          <w:spacing w:val="-17"/>
          <w:sz w:val="20"/>
        </w:rPr>
        <w:t> </w:t>
      </w:r>
      <w:r>
        <w:rPr>
          <w:sz w:val="20"/>
        </w:rPr>
        <w:t>legales.</w:t>
      </w:r>
    </w:p>
    <w:p>
      <w:pPr>
        <w:pStyle w:val="BodyText"/>
        <w:spacing w:before="3"/>
        <w:rPr>
          <w:sz w:val="9"/>
        </w:rPr>
      </w:pPr>
      <w:r>
        <w:rPr/>
        <w:pict>
          <v:line style="position:absolute;mso-position-horizontal-relative:page;mso-position-vertical-relative:paragraph;z-index:1072;mso-wrap-distance-left:0;mso-wrap-distance-right:0" from="85.103996pt,7.967197pt" to="229.123996pt,7.967197pt" stroked="true" strokeweight=".72pt" strokecolor="#000000">
            <v:stroke dashstyle="solid"/>
            <w10:wrap type="topAndBottom"/>
          </v:line>
        </w:pict>
      </w:r>
    </w:p>
    <w:p>
      <w:pPr>
        <w:tabs>
          <w:tab w:pos="829" w:val="left" w:leader="none"/>
        </w:tabs>
        <w:spacing w:before="71"/>
        <w:ind w:left="122" w:right="113" w:firstLine="0"/>
        <w:jc w:val="both"/>
        <w:rPr>
          <w:sz w:val="16"/>
        </w:rPr>
      </w:pPr>
      <w:r>
        <w:rPr>
          <w:position w:val="6"/>
          <w:sz w:val="10"/>
        </w:rPr>
        <w:t>2</w:t>
        <w:tab/>
      </w:r>
      <w:r>
        <w:rPr>
          <w:sz w:val="16"/>
        </w:rPr>
        <w:t>La Comisión Interamericana concluyó que el Estado violó, en perjuicio de las</w:t>
      </w:r>
      <w:r>
        <w:rPr>
          <w:spacing w:val="-22"/>
          <w:sz w:val="16"/>
        </w:rPr>
        <w:t> </w:t>
      </w:r>
      <w:r>
        <w:rPr>
          <w:sz w:val="16"/>
        </w:rPr>
        <w:t>comunidades</w:t>
      </w:r>
      <w:r>
        <w:rPr>
          <w:spacing w:val="-1"/>
          <w:sz w:val="16"/>
        </w:rPr>
        <w:t> </w:t>
      </w:r>
      <w:r>
        <w:rPr>
          <w:sz w:val="16"/>
        </w:rPr>
        <w:t>indígenas</w:t>
      </w:r>
      <w:r>
        <w:rPr>
          <w:w w:val="100"/>
          <w:sz w:val="16"/>
        </w:rPr>
        <w:t> </w:t>
      </w:r>
      <w:r>
        <w:rPr>
          <w:sz w:val="16"/>
        </w:rPr>
        <w:t>que</w:t>
      </w:r>
      <w:r>
        <w:rPr>
          <w:spacing w:val="-6"/>
          <w:sz w:val="16"/>
        </w:rPr>
        <w:t> </w:t>
      </w:r>
      <w:r>
        <w:rPr>
          <w:sz w:val="16"/>
        </w:rPr>
        <w:t>forman</w:t>
      </w:r>
      <w:r>
        <w:rPr>
          <w:spacing w:val="-7"/>
          <w:sz w:val="16"/>
        </w:rPr>
        <w:t> </w:t>
      </w:r>
      <w:r>
        <w:rPr>
          <w:sz w:val="16"/>
        </w:rPr>
        <w:t>parte</w:t>
      </w:r>
      <w:r>
        <w:rPr>
          <w:spacing w:val="-8"/>
          <w:sz w:val="16"/>
        </w:rPr>
        <w:t> </w:t>
      </w:r>
      <w:r>
        <w:rPr>
          <w:sz w:val="16"/>
        </w:rPr>
        <w:t>de</w:t>
      </w:r>
      <w:r>
        <w:rPr>
          <w:spacing w:val="-6"/>
          <w:sz w:val="16"/>
        </w:rPr>
        <w:t> </w:t>
      </w:r>
      <w:r>
        <w:rPr>
          <w:sz w:val="16"/>
        </w:rPr>
        <w:t>la</w:t>
      </w:r>
      <w:r>
        <w:rPr>
          <w:spacing w:val="-9"/>
          <w:sz w:val="16"/>
        </w:rPr>
        <w:t> </w:t>
      </w:r>
      <w:r>
        <w:rPr>
          <w:sz w:val="16"/>
        </w:rPr>
        <w:t>Asociación</w:t>
      </w:r>
      <w:r>
        <w:rPr>
          <w:spacing w:val="-7"/>
          <w:sz w:val="16"/>
        </w:rPr>
        <w:t> </w:t>
      </w:r>
      <w:r>
        <w:rPr>
          <w:sz w:val="16"/>
        </w:rPr>
        <w:t>Lhaka</w:t>
      </w:r>
      <w:r>
        <w:rPr>
          <w:spacing w:val="-7"/>
          <w:sz w:val="16"/>
        </w:rPr>
        <w:t> </w:t>
      </w:r>
      <w:r>
        <w:rPr>
          <w:sz w:val="16"/>
        </w:rPr>
        <w:t>Honhat,</w:t>
      </w:r>
      <w:r>
        <w:rPr>
          <w:spacing w:val="-7"/>
          <w:sz w:val="16"/>
        </w:rPr>
        <w:t> </w:t>
      </w:r>
      <w:r>
        <w:rPr>
          <w:sz w:val="16"/>
        </w:rPr>
        <w:t>los</w:t>
      </w:r>
      <w:r>
        <w:rPr>
          <w:spacing w:val="-6"/>
          <w:sz w:val="16"/>
        </w:rPr>
        <w:t> </w:t>
      </w:r>
      <w:r>
        <w:rPr>
          <w:sz w:val="16"/>
        </w:rPr>
        <w:t>siguientes</w:t>
      </w:r>
      <w:r>
        <w:rPr>
          <w:spacing w:val="-6"/>
          <w:sz w:val="16"/>
        </w:rPr>
        <w:t> </w:t>
      </w:r>
      <w:r>
        <w:rPr>
          <w:sz w:val="16"/>
        </w:rPr>
        <w:t>derechos</w:t>
      </w:r>
      <w:r>
        <w:rPr>
          <w:spacing w:val="-8"/>
          <w:sz w:val="16"/>
        </w:rPr>
        <w:t> </w:t>
      </w:r>
      <w:r>
        <w:rPr>
          <w:sz w:val="16"/>
        </w:rPr>
        <w:t>y</w:t>
      </w:r>
      <w:r>
        <w:rPr>
          <w:spacing w:val="-8"/>
          <w:sz w:val="16"/>
        </w:rPr>
        <w:t> </w:t>
      </w:r>
      <w:r>
        <w:rPr>
          <w:sz w:val="16"/>
        </w:rPr>
        <w:t>disposiciones</w:t>
      </w:r>
      <w:r>
        <w:rPr>
          <w:spacing w:val="-6"/>
          <w:sz w:val="16"/>
        </w:rPr>
        <w:t> </w:t>
      </w:r>
      <w:r>
        <w:rPr>
          <w:sz w:val="16"/>
        </w:rPr>
        <w:t>de</w:t>
      </w:r>
      <w:r>
        <w:rPr>
          <w:spacing w:val="-6"/>
          <w:sz w:val="16"/>
        </w:rPr>
        <w:t> </w:t>
      </w:r>
      <w:r>
        <w:rPr>
          <w:sz w:val="16"/>
        </w:rPr>
        <w:t>la</w:t>
      </w:r>
      <w:r>
        <w:rPr>
          <w:spacing w:val="-7"/>
          <w:sz w:val="16"/>
        </w:rPr>
        <w:t> </w:t>
      </w:r>
      <w:r>
        <w:rPr>
          <w:sz w:val="16"/>
        </w:rPr>
        <w:t>Convención,</w:t>
      </w:r>
      <w:r>
        <w:rPr>
          <w:spacing w:val="-7"/>
          <w:sz w:val="16"/>
        </w:rPr>
        <w:t> </w:t>
      </w:r>
      <w:r>
        <w:rPr>
          <w:sz w:val="16"/>
        </w:rPr>
        <w:t>en relación</w:t>
      </w:r>
      <w:r>
        <w:rPr>
          <w:spacing w:val="-4"/>
          <w:sz w:val="16"/>
        </w:rPr>
        <w:t> </w:t>
      </w:r>
      <w:r>
        <w:rPr>
          <w:sz w:val="16"/>
        </w:rPr>
        <w:t>con</w:t>
      </w:r>
      <w:r>
        <w:rPr>
          <w:spacing w:val="-5"/>
          <w:sz w:val="16"/>
        </w:rPr>
        <w:t> </w:t>
      </w:r>
      <w:r>
        <w:rPr>
          <w:sz w:val="16"/>
        </w:rPr>
        <w:t>las</w:t>
      </w:r>
      <w:r>
        <w:rPr>
          <w:spacing w:val="-6"/>
          <w:sz w:val="16"/>
        </w:rPr>
        <w:t> </w:t>
      </w:r>
      <w:r>
        <w:rPr>
          <w:sz w:val="16"/>
        </w:rPr>
        <w:t>obligaciones</w:t>
      </w:r>
      <w:r>
        <w:rPr>
          <w:spacing w:val="-3"/>
          <w:sz w:val="16"/>
        </w:rPr>
        <w:t> </w:t>
      </w:r>
      <w:r>
        <w:rPr>
          <w:sz w:val="16"/>
        </w:rPr>
        <w:t>de</w:t>
      </w:r>
      <w:r>
        <w:rPr>
          <w:spacing w:val="-3"/>
          <w:sz w:val="16"/>
        </w:rPr>
        <w:t> </w:t>
      </w:r>
      <w:r>
        <w:rPr>
          <w:sz w:val="16"/>
        </w:rPr>
        <w:t>respetar</w:t>
      </w:r>
      <w:r>
        <w:rPr>
          <w:spacing w:val="-3"/>
          <w:sz w:val="16"/>
        </w:rPr>
        <w:t> </w:t>
      </w:r>
      <w:r>
        <w:rPr>
          <w:sz w:val="16"/>
        </w:rPr>
        <w:t>y</w:t>
      </w:r>
      <w:r>
        <w:rPr>
          <w:spacing w:val="-5"/>
          <w:sz w:val="16"/>
        </w:rPr>
        <w:t> </w:t>
      </w:r>
      <w:r>
        <w:rPr>
          <w:sz w:val="16"/>
        </w:rPr>
        <w:t>garantizar</w:t>
      </w:r>
      <w:r>
        <w:rPr>
          <w:spacing w:val="-3"/>
          <w:sz w:val="16"/>
        </w:rPr>
        <w:t> </w:t>
      </w:r>
      <w:r>
        <w:rPr>
          <w:sz w:val="16"/>
        </w:rPr>
        <w:t>los</w:t>
      </w:r>
      <w:r>
        <w:rPr>
          <w:spacing w:val="-6"/>
          <w:sz w:val="16"/>
        </w:rPr>
        <w:t> </w:t>
      </w:r>
      <w:r>
        <w:rPr>
          <w:sz w:val="16"/>
        </w:rPr>
        <w:t>derechos</w:t>
      </w:r>
      <w:r>
        <w:rPr>
          <w:spacing w:val="-6"/>
          <w:sz w:val="16"/>
        </w:rPr>
        <w:t> </w:t>
      </w:r>
      <w:r>
        <w:rPr>
          <w:sz w:val="16"/>
        </w:rPr>
        <w:t>y</w:t>
      </w:r>
      <w:r>
        <w:rPr>
          <w:spacing w:val="-3"/>
          <w:sz w:val="16"/>
        </w:rPr>
        <w:t> </w:t>
      </w:r>
      <w:r>
        <w:rPr>
          <w:sz w:val="16"/>
        </w:rPr>
        <w:t>adoptar</w:t>
      </w:r>
      <w:r>
        <w:rPr>
          <w:spacing w:val="-3"/>
          <w:sz w:val="16"/>
        </w:rPr>
        <w:t> </w:t>
      </w:r>
      <w:r>
        <w:rPr>
          <w:sz w:val="16"/>
        </w:rPr>
        <w:t>disposiciones</w:t>
      </w:r>
      <w:r>
        <w:rPr>
          <w:spacing w:val="-8"/>
          <w:sz w:val="16"/>
        </w:rPr>
        <w:t> </w:t>
      </w:r>
      <w:r>
        <w:rPr>
          <w:sz w:val="16"/>
        </w:rPr>
        <w:t>de</w:t>
      </w:r>
      <w:r>
        <w:rPr>
          <w:spacing w:val="-3"/>
          <w:sz w:val="16"/>
        </w:rPr>
        <w:t> </w:t>
      </w:r>
      <w:r>
        <w:rPr>
          <w:sz w:val="16"/>
        </w:rPr>
        <w:t>derecho</w:t>
      </w:r>
      <w:r>
        <w:rPr>
          <w:spacing w:val="-3"/>
          <w:sz w:val="16"/>
        </w:rPr>
        <w:t> </w:t>
      </w:r>
      <w:r>
        <w:rPr>
          <w:sz w:val="16"/>
        </w:rPr>
        <w:t>interno establecidas en los artículos 1.1 y 2 de la Convención: el derecho a la propiedad, la libertad de pensamiento y expresión y los derechos políticos, reconocidos, respectivamente, en los artículos 21, 13 y 23; también que Argentina violó, en perjuicio de las mismas comunidades, los derechos a las garantías judiciales y a la protección judicial, contemplados, respectivamente, en los artículos 8 y 25 de la Convención Americana, en conexión con sus artículos 21 y 1.1 y, conforme luego aclaro (</w:t>
      </w:r>
      <w:r>
        <w:rPr>
          <w:i/>
          <w:sz w:val="16"/>
        </w:rPr>
        <w:t>infra </w:t>
      </w:r>
      <w:r>
        <w:rPr>
          <w:sz w:val="16"/>
        </w:rPr>
        <w:t>nota a pie de página 113) también con el artículo 2 del</w:t>
      </w:r>
      <w:r>
        <w:rPr>
          <w:spacing w:val="-5"/>
          <w:sz w:val="16"/>
        </w:rPr>
        <w:t> </w:t>
      </w:r>
      <w:r>
        <w:rPr>
          <w:sz w:val="16"/>
        </w:rPr>
        <w:t>tratado.</w:t>
      </w:r>
    </w:p>
    <w:p>
      <w:pPr>
        <w:pStyle w:val="BodyText"/>
        <w:spacing w:before="11"/>
        <w:rPr>
          <w:sz w:val="15"/>
        </w:rPr>
      </w:pPr>
    </w:p>
    <w:p>
      <w:pPr>
        <w:tabs>
          <w:tab w:pos="829" w:val="left" w:leader="none"/>
        </w:tabs>
        <w:spacing w:line="240" w:lineRule="auto" w:before="0"/>
        <w:ind w:left="122" w:right="112" w:firstLine="0"/>
        <w:jc w:val="both"/>
        <w:rPr>
          <w:sz w:val="16"/>
        </w:rPr>
      </w:pPr>
      <w:r>
        <w:rPr>
          <w:position w:val="6"/>
          <w:sz w:val="10"/>
        </w:rPr>
        <w:t>3</w:t>
        <w:tab/>
      </w:r>
      <w:r>
        <w:rPr>
          <w:sz w:val="16"/>
        </w:rPr>
        <w:t>La Comisión recomendó al Estado: “1. […] concluir prontamente la formalización del</w:t>
      </w:r>
      <w:r>
        <w:rPr>
          <w:spacing w:val="-5"/>
          <w:sz w:val="16"/>
        </w:rPr>
        <w:t> </w:t>
      </w:r>
      <w:r>
        <w:rPr>
          <w:sz w:val="16"/>
        </w:rPr>
        <w:t>proceso llevado</w:t>
      </w:r>
      <w:r>
        <w:rPr>
          <w:w w:val="100"/>
          <w:sz w:val="16"/>
        </w:rPr>
        <w:t> </w:t>
      </w:r>
      <w:r>
        <w:rPr>
          <w:sz w:val="16"/>
        </w:rPr>
        <w:t>a cabo respeto de los [l]otes […] 14 y 55, teniendo en cuenta, además de los estándares interamericanos señalados en el […I]nforme [de Fondo], los siguientes lineamientos: - [L]os peticionarios tienen el derecho a un territorio indiviso que les permita desarrollar su modo de vida nómada; las 400.000 hectáreas que el gobierno</w:t>
      </w:r>
      <w:r>
        <w:rPr>
          <w:spacing w:val="-10"/>
          <w:sz w:val="16"/>
        </w:rPr>
        <w:t> </w:t>
      </w:r>
      <w:r>
        <w:rPr>
          <w:sz w:val="16"/>
        </w:rPr>
        <w:t>ha</w:t>
      </w:r>
      <w:r>
        <w:rPr>
          <w:spacing w:val="-10"/>
          <w:sz w:val="16"/>
        </w:rPr>
        <w:t> </w:t>
      </w:r>
      <w:r>
        <w:rPr>
          <w:sz w:val="16"/>
        </w:rPr>
        <w:t>prometido</w:t>
      </w:r>
      <w:r>
        <w:rPr>
          <w:spacing w:val="-9"/>
          <w:sz w:val="16"/>
        </w:rPr>
        <w:t> </w:t>
      </w:r>
      <w:r>
        <w:rPr>
          <w:sz w:val="16"/>
        </w:rPr>
        <w:t>adjudicarles</w:t>
      </w:r>
      <w:r>
        <w:rPr>
          <w:spacing w:val="-9"/>
          <w:sz w:val="16"/>
        </w:rPr>
        <w:t> </w:t>
      </w:r>
      <w:r>
        <w:rPr>
          <w:sz w:val="16"/>
        </w:rPr>
        <w:t>debe[n]</w:t>
      </w:r>
      <w:r>
        <w:rPr>
          <w:spacing w:val="-10"/>
          <w:sz w:val="16"/>
        </w:rPr>
        <w:t> </w:t>
      </w:r>
      <w:r>
        <w:rPr>
          <w:sz w:val="16"/>
        </w:rPr>
        <w:t>ser</w:t>
      </w:r>
      <w:r>
        <w:rPr>
          <w:spacing w:val="-9"/>
          <w:sz w:val="16"/>
        </w:rPr>
        <w:t> </w:t>
      </w:r>
      <w:r>
        <w:rPr>
          <w:sz w:val="16"/>
        </w:rPr>
        <w:t>continu[as],</w:t>
      </w:r>
      <w:r>
        <w:rPr>
          <w:spacing w:val="-8"/>
          <w:sz w:val="16"/>
        </w:rPr>
        <w:t> </w:t>
      </w:r>
      <w:r>
        <w:rPr>
          <w:sz w:val="16"/>
        </w:rPr>
        <w:t>sin</w:t>
      </w:r>
      <w:r>
        <w:rPr>
          <w:spacing w:val="-10"/>
          <w:sz w:val="16"/>
        </w:rPr>
        <w:t> </w:t>
      </w:r>
      <w:r>
        <w:rPr>
          <w:sz w:val="16"/>
        </w:rPr>
        <w:t>obstáculos,</w:t>
      </w:r>
      <w:r>
        <w:rPr>
          <w:spacing w:val="-11"/>
          <w:sz w:val="16"/>
        </w:rPr>
        <w:t> </w:t>
      </w:r>
      <w:r>
        <w:rPr>
          <w:sz w:val="16"/>
        </w:rPr>
        <w:t>subdivisiones</w:t>
      </w:r>
      <w:r>
        <w:rPr>
          <w:spacing w:val="-10"/>
          <w:sz w:val="16"/>
        </w:rPr>
        <w:t> </w:t>
      </w:r>
      <w:r>
        <w:rPr>
          <w:sz w:val="16"/>
        </w:rPr>
        <w:t>ni</w:t>
      </w:r>
      <w:r>
        <w:rPr>
          <w:spacing w:val="-10"/>
          <w:sz w:val="16"/>
        </w:rPr>
        <w:t> </w:t>
      </w:r>
      <w:r>
        <w:rPr>
          <w:sz w:val="16"/>
        </w:rPr>
        <w:t>fragmentaciones, sin perjuicio de los derechos de otras comunidades. – [R]emover las cercas que han sido puestas dentro del territorio indígena.- [C]ontrolar la deforestación. 2. Otorgar reparaciones por las violaciones al derecho a la propiedad territorial y al acceso a la información derivadas del desarrollo de obras públicas sin llevar a cabo consultas previas ni estudios de impacto ambiental, y sin otorgar a las comunidades los beneficios derivados de</w:t>
      </w:r>
      <w:r>
        <w:rPr>
          <w:spacing w:val="-13"/>
          <w:sz w:val="16"/>
        </w:rPr>
        <w:t> </w:t>
      </w:r>
      <w:r>
        <w:rPr>
          <w:sz w:val="16"/>
        </w:rPr>
        <w:t>las</w:t>
      </w:r>
      <w:r>
        <w:rPr>
          <w:spacing w:val="-15"/>
          <w:sz w:val="16"/>
        </w:rPr>
        <w:t> </w:t>
      </w:r>
      <w:r>
        <w:rPr>
          <w:sz w:val="16"/>
        </w:rPr>
        <w:t>mismas.</w:t>
      </w:r>
      <w:r>
        <w:rPr>
          <w:spacing w:val="-16"/>
          <w:sz w:val="16"/>
        </w:rPr>
        <w:t> </w:t>
      </w:r>
      <w:r>
        <w:rPr>
          <w:sz w:val="16"/>
        </w:rPr>
        <w:t>3.</w:t>
      </w:r>
      <w:r>
        <w:rPr>
          <w:spacing w:val="-14"/>
          <w:sz w:val="16"/>
        </w:rPr>
        <w:t> </w:t>
      </w:r>
      <w:r>
        <w:rPr>
          <w:sz w:val="16"/>
        </w:rPr>
        <w:t>Asegurar</w:t>
      </w:r>
      <w:r>
        <w:rPr>
          <w:spacing w:val="-14"/>
          <w:sz w:val="16"/>
        </w:rPr>
        <w:t> </w:t>
      </w:r>
      <w:r>
        <w:rPr>
          <w:sz w:val="16"/>
        </w:rPr>
        <w:t>que</w:t>
      </w:r>
      <w:r>
        <w:rPr>
          <w:spacing w:val="-13"/>
          <w:sz w:val="16"/>
        </w:rPr>
        <w:t> </w:t>
      </w:r>
      <w:r>
        <w:rPr>
          <w:sz w:val="16"/>
        </w:rPr>
        <w:t>en</w:t>
      </w:r>
      <w:r>
        <w:rPr>
          <w:spacing w:val="-14"/>
          <w:sz w:val="16"/>
        </w:rPr>
        <w:t> </w:t>
      </w:r>
      <w:r>
        <w:rPr>
          <w:sz w:val="16"/>
        </w:rPr>
        <w:t>la</w:t>
      </w:r>
      <w:r>
        <w:rPr>
          <w:spacing w:val="-16"/>
          <w:sz w:val="16"/>
        </w:rPr>
        <w:t> </w:t>
      </w:r>
      <w:r>
        <w:rPr>
          <w:sz w:val="16"/>
        </w:rPr>
        <w:t>demarcación</w:t>
      </w:r>
      <w:r>
        <w:rPr>
          <w:spacing w:val="-14"/>
          <w:sz w:val="16"/>
        </w:rPr>
        <w:t> </w:t>
      </w:r>
      <w:r>
        <w:rPr>
          <w:sz w:val="16"/>
        </w:rPr>
        <w:t>del</w:t>
      </w:r>
      <w:r>
        <w:rPr>
          <w:spacing w:val="-14"/>
          <w:sz w:val="16"/>
        </w:rPr>
        <w:t> </w:t>
      </w:r>
      <w:r>
        <w:rPr>
          <w:sz w:val="16"/>
        </w:rPr>
        <w:t>territorio</w:t>
      </w:r>
      <w:r>
        <w:rPr>
          <w:spacing w:val="-15"/>
          <w:sz w:val="16"/>
        </w:rPr>
        <w:t> </w:t>
      </w:r>
      <w:r>
        <w:rPr>
          <w:sz w:val="16"/>
        </w:rPr>
        <w:t>y</w:t>
      </w:r>
      <w:r>
        <w:rPr>
          <w:spacing w:val="-12"/>
          <w:sz w:val="16"/>
        </w:rPr>
        <w:t> </w:t>
      </w:r>
      <w:r>
        <w:rPr>
          <w:sz w:val="16"/>
        </w:rPr>
        <w:t>la</w:t>
      </w:r>
      <w:r>
        <w:rPr>
          <w:spacing w:val="-14"/>
          <w:sz w:val="16"/>
        </w:rPr>
        <w:t> </w:t>
      </w:r>
      <w:r>
        <w:rPr>
          <w:sz w:val="16"/>
        </w:rPr>
        <w:t>aprobación</w:t>
      </w:r>
      <w:r>
        <w:rPr>
          <w:spacing w:val="-14"/>
          <w:sz w:val="16"/>
        </w:rPr>
        <w:t> </w:t>
      </w:r>
      <w:r>
        <w:rPr>
          <w:sz w:val="16"/>
        </w:rPr>
        <w:t>de</w:t>
      </w:r>
      <w:r>
        <w:rPr>
          <w:spacing w:val="-13"/>
          <w:sz w:val="16"/>
        </w:rPr>
        <w:t> </w:t>
      </w:r>
      <w:r>
        <w:rPr>
          <w:sz w:val="16"/>
        </w:rPr>
        <w:t>cualquier</w:t>
      </w:r>
      <w:r>
        <w:rPr>
          <w:spacing w:val="-15"/>
          <w:sz w:val="16"/>
        </w:rPr>
        <w:t> </w:t>
      </w:r>
      <w:r>
        <w:rPr>
          <w:sz w:val="16"/>
        </w:rPr>
        <w:t>futura</w:t>
      </w:r>
      <w:r>
        <w:rPr>
          <w:spacing w:val="-14"/>
          <w:sz w:val="16"/>
        </w:rPr>
        <w:t> </w:t>
      </w:r>
      <w:r>
        <w:rPr>
          <w:sz w:val="16"/>
        </w:rPr>
        <w:t>obra</w:t>
      </w:r>
      <w:r>
        <w:rPr>
          <w:spacing w:val="-16"/>
          <w:sz w:val="16"/>
        </w:rPr>
        <w:t> </w:t>
      </w:r>
      <w:r>
        <w:rPr>
          <w:sz w:val="16"/>
        </w:rPr>
        <w:t>pública o</w:t>
      </w:r>
      <w:r>
        <w:rPr>
          <w:spacing w:val="-12"/>
          <w:sz w:val="16"/>
        </w:rPr>
        <w:t> </w:t>
      </w:r>
      <w:r>
        <w:rPr>
          <w:sz w:val="16"/>
        </w:rPr>
        <w:t>concesión</w:t>
      </w:r>
      <w:r>
        <w:rPr>
          <w:spacing w:val="-13"/>
          <w:sz w:val="16"/>
        </w:rPr>
        <w:t> </w:t>
      </w:r>
      <w:r>
        <w:rPr>
          <w:sz w:val="16"/>
        </w:rPr>
        <w:t>que</w:t>
      </w:r>
      <w:r>
        <w:rPr>
          <w:spacing w:val="-14"/>
          <w:sz w:val="16"/>
        </w:rPr>
        <w:t> </w:t>
      </w:r>
      <w:r>
        <w:rPr>
          <w:sz w:val="16"/>
        </w:rPr>
        <w:t>se</w:t>
      </w:r>
      <w:r>
        <w:rPr>
          <w:spacing w:val="-13"/>
          <w:sz w:val="16"/>
        </w:rPr>
        <w:t> </w:t>
      </w:r>
      <w:r>
        <w:rPr>
          <w:sz w:val="16"/>
        </w:rPr>
        <w:t>realice</w:t>
      </w:r>
      <w:r>
        <w:rPr>
          <w:spacing w:val="-13"/>
          <w:sz w:val="16"/>
        </w:rPr>
        <w:t> </w:t>
      </w:r>
      <w:r>
        <w:rPr>
          <w:sz w:val="16"/>
        </w:rPr>
        <w:t>en</w:t>
      </w:r>
      <w:r>
        <w:rPr>
          <w:spacing w:val="-13"/>
          <w:sz w:val="16"/>
        </w:rPr>
        <w:t> </w:t>
      </w:r>
      <w:r>
        <w:rPr>
          <w:sz w:val="16"/>
        </w:rPr>
        <w:t>tierras</w:t>
      </w:r>
      <w:r>
        <w:rPr>
          <w:spacing w:val="-13"/>
          <w:sz w:val="16"/>
        </w:rPr>
        <w:t> </w:t>
      </w:r>
      <w:r>
        <w:rPr>
          <w:sz w:val="16"/>
        </w:rPr>
        <w:t>ancestrales,</w:t>
      </w:r>
      <w:r>
        <w:rPr>
          <w:spacing w:val="-13"/>
          <w:sz w:val="16"/>
        </w:rPr>
        <w:t> </w:t>
      </w:r>
      <w:r>
        <w:rPr>
          <w:sz w:val="16"/>
        </w:rPr>
        <w:t>el</w:t>
      </w:r>
      <w:r>
        <w:rPr>
          <w:spacing w:val="-13"/>
          <w:sz w:val="16"/>
        </w:rPr>
        <w:t> </w:t>
      </w:r>
      <w:r>
        <w:rPr>
          <w:sz w:val="16"/>
        </w:rPr>
        <w:t>Estado</w:t>
      </w:r>
      <w:r>
        <w:rPr>
          <w:spacing w:val="-12"/>
          <w:sz w:val="16"/>
        </w:rPr>
        <w:t> </w:t>
      </w:r>
      <w:r>
        <w:rPr>
          <w:sz w:val="16"/>
        </w:rPr>
        <w:t>lleve</w:t>
      </w:r>
      <w:r>
        <w:rPr>
          <w:spacing w:val="-13"/>
          <w:sz w:val="16"/>
        </w:rPr>
        <w:t> </w:t>
      </w:r>
      <w:r>
        <w:rPr>
          <w:sz w:val="16"/>
        </w:rPr>
        <w:t>a</w:t>
      </w:r>
      <w:r>
        <w:rPr>
          <w:spacing w:val="-13"/>
          <w:sz w:val="16"/>
        </w:rPr>
        <w:t> </w:t>
      </w:r>
      <w:r>
        <w:rPr>
          <w:sz w:val="16"/>
        </w:rPr>
        <w:t>cabo</w:t>
      </w:r>
      <w:r>
        <w:rPr>
          <w:spacing w:val="-12"/>
          <w:sz w:val="16"/>
        </w:rPr>
        <w:t> </w:t>
      </w:r>
      <w:r>
        <w:rPr>
          <w:sz w:val="16"/>
        </w:rPr>
        <w:t>consultas</w:t>
      </w:r>
      <w:r>
        <w:rPr>
          <w:spacing w:val="-13"/>
          <w:sz w:val="16"/>
        </w:rPr>
        <w:t> </w:t>
      </w:r>
      <w:r>
        <w:rPr>
          <w:sz w:val="16"/>
        </w:rPr>
        <w:t>previas,</w:t>
      </w:r>
      <w:r>
        <w:rPr>
          <w:spacing w:val="-13"/>
          <w:sz w:val="16"/>
        </w:rPr>
        <w:t> </w:t>
      </w:r>
      <w:r>
        <w:rPr>
          <w:sz w:val="16"/>
        </w:rPr>
        <w:t>informadas,</w:t>
      </w:r>
      <w:r>
        <w:rPr>
          <w:spacing w:val="-13"/>
          <w:sz w:val="16"/>
        </w:rPr>
        <w:t> </w:t>
      </w:r>
      <w:r>
        <w:rPr>
          <w:sz w:val="16"/>
        </w:rPr>
        <w:t>estudios de</w:t>
      </w:r>
      <w:r>
        <w:rPr>
          <w:spacing w:val="-12"/>
          <w:sz w:val="16"/>
        </w:rPr>
        <w:t> </w:t>
      </w:r>
      <w:r>
        <w:rPr>
          <w:sz w:val="16"/>
        </w:rPr>
        <w:t>impacto</w:t>
      </w:r>
      <w:r>
        <w:rPr>
          <w:spacing w:val="-11"/>
          <w:sz w:val="16"/>
        </w:rPr>
        <w:t> </w:t>
      </w:r>
      <w:r>
        <w:rPr>
          <w:sz w:val="16"/>
        </w:rPr>
        <w:t>ambiental</w:t>
      </w:r>
      <w:r>
        <w:rPr>
          <w:spacing w:val="-12"/>
          <w:sz w:val="16"/>
        </w:rPr>
        <w:t> </w:t>
      </w:r>
      <w:r>
        <w:rPr>
          <w:sz w:val="16"/>
        </w:rPr>
        <w:t>y</w:t>
      </w:r>
      <w:r>
        <w:rPr>
          <w:spacing w:val="-11"/>
          <w:sz w:val="16"/>
        </w:rPr>
        <w:t> </w:t>
      </w:r>
      <w:r>
        <w:rPr>
          <w:sz w:val="16"/>
        </w:rPr>
        <w:t>otorgue</w:t>
      </w:r>
      <w:r>
        <w:rPr>
          <w:spacing w:val="-9"/>
          <w:sz w:val="16"/>
        </w:rPr>
        <w:t> </w:t>
      </w:r>
      <w:r>
        <w:rPr>
          <w:sz w:val="16"/>
        </w:rPr>
        <w:t>los</w:t>
      </w:r>
      <w:r>
        <w:rPr>
          <w:spacing w:val="-12"/>
          <w:sz w:val="16"/>
        </w:rPr>
        <w:t> </w:t>
      </w:r>
      <w:r>
        <w:rPr>
          <w:sz w:val="16"/>
        </w:rPr>
        <w:t>beneficios</w:t>
      </w:r>
      <w:r>
        <w:rPr>
          <w:spacing w:val="-13"/>
          <w:sz w:val="16"/>
        </w:rPr>
        <w:t> </w:t>
      </w:r>
      <w:r>
        <w:rPr>
          <w:sz w:val="16"/>
        </w:rPr>
        <w:t>derivados,</w:t>
      </w:r>
      <w:r>
        <w:rPr>
          <w:spacing w:val="-12"/>
          <w:sz w:val="16"/>
        </w:rPr>
        <w:t> </w:t>
      </w:r>
      <w:r>
        <w:rPr>
          <w:sz w:val="16"/>
        </w:rPr>
        <w:t>de</w:t>
      </w:r>
      <w:r>
        <w:rPr>
          <w:spacing w:val="-14"/>
          <w:sz w:val="16"/>
        </w:rPr>
        <w:t> </w:t>
      </w:r>
      <w:r>
        <w:rPr>
          <w:sz w:val="16"/>
        </w:rPr>
        <w:t>conformidad</w:t>
      </w:r>
      <w:r>
        <w:rPr>
          <w:spacing w:val="-11"/>
          <w:sz w:val="16"/>
        </w:rPr>
        <w:t> </w:t>
      </w:r>
      <w:r>
        <w:rPr>
          <w:sz w:val="16"/>
        </w:rPr>
        <w:t>con</w:t>
      </w:r>
      <w:r>
        <w:rPr>
          <w:spacing w:val="-10"/>
          <w:sz w:val="16"/>
        </w:rPr>
        <w:t> </w:t>
      </w:r>
      <w:r>
        <w:rPr>
          <w:sz w:val="16"/>
        </w:rPr>
        <w:t>los</w:t>
      </w:r>
      <w:r>
        <w:rPr>
          <w:spacing w:val="-12"/>
          <w:sz w:val="16"/>
        </w:rPr>
        <w:t> </w:t>
      </w:r>
      <w:r>
        <w:rPr>
          <w:sz w:val="16"/>
        </w:rPr>
        <w:t>estándares</w:t>
      </w:r>
      <w:r>
        <w:rPr>
          <w:spacing w:val="-9"/>
          <w:sz w:val="16"/>
        </w:rPr>
        <w:t> </w:t>
      </w:r>
      <w:r>
        <w:rPr>
          <w:sz w:val="16"/>
        </w:rPr>
        <w:t>interamericanos”.</w:t>
      </w:r>
    </w:p>
    <w:p>
      <w:pPr>
        <w:spacing w:after="0" w:line="240" w:lineRule="auto"/>
        <w:jc w:val="both"/>
        <w:rPr>
          <w:sz w:val="16"/>
        </w:rPr>
        <w:sectPr>
          <w:pgSz w:w="12240" w:h="15840"/>
          <w:pgMar w:header="0" w:footer="1000" w:top="1340" w:bottom="1200" w:left="1580" w:right="1580"/>
        </w:sectPr>
      </w:pPr>
    </w:p>
    <w:p>
      <w:pPr>
        <w:pStyle w:val="ListParagraph"/>
        <w:numPr>
          <w:ilvl w:val="0"/>
          <w:numId w:val="14"/>
        </w:numPr>
        <w:tabs>
          <w:tab w:pos="830" w:val="left" w:leader="none"/>
        </w:tabs>
        <w:spacing w:line="240" w:lineRule="auto" w:before="161" w:after="0"/>
        <w:ind w:left="122" w:right="122" w:hanging="12"/>
        <w:jc w:val="both"/>
        <w:rPr>
          <w:sz w:val="20"/>
        </w:rPr>
      </w:pPr>
      <w:r>
        <w:rPr>
          <w:i/>
          <w:sz w:val="20"/>
        </w:rPr>
        <w:t>Solicitudes de la Comisión.</w:t>
      </w:r>
      <w:r>
        <w:rPr>
          <w:sz w:val="20"/>
        </w:rPr>
        <w:t>- La Comisión solicitó a este Tribunal que concluya y declare</w:t>
      </w:r>
      <w:r>
        <w:rPr>
          <w:spacing w:val="-8"/>
          <w:sz w:val="20"/>
        </w:rPr>
        <w:t> </w:t>
      </w:r>
      <w:r>
        <w:rPr>
          <w:sz w:val="20"/>
        </w:rPr>
        <w:t>la</w:t>
      </w:r>
      <w:r>
        <w:rPr>
          <w:spacing w:val="-6"/>
          <w:sz w:val="20"/>
        </w:rPr>
        <w:t> </w:t>
      </w:r>
      <w:r>
        <w:rPr>
          <w:sz w:val="20"/>
        </w:rPr>
        <w:t>responsabilidad</w:t>
      </w:r>
      <w:r>
        <w:rPr>
          <w:spacing w:val="-6"/>
          <w:sz w:val="20"/>
        </w:rPr>
        <w:t> </w:t>
      </w:r>
      <w:r>
        <w:rPr>
          <w:sz w:val="20"/>
        </w:rPr>
        <w:t>internacional</w:t>
      </w:r>
      <w:r>
        <w:rPr>
          <w:spacing w:val="-6"/>
          <w:sz w:val="20"/>
        </w:rPr>
        <w:t> </w:t>
      </w:r>
      <w:r>
        <w:rPr>
          <w:sz w:val="20"/>
        </w:rPr>
        <w:t>de</w:t>
      </w:r>
      <w:r>
        <w:rPr>
          <w:spacing w:val="-8"/>
          <w:sz w:val="20"/>
        </w:rPr>
        <w:t> </w:t>
      </w:r>
      <w:r>
        <w:rPr>
          <w:sz w:val="20"/>
        </w:rPr>
        <w:t>Argentina</w:t>
      </w:r>
      <w:r>
        <w:rPr>
          <w:spacing w:val="-6"/>
          <w:sz w:val="20"/>
        </w:rPr>
        <w:t> </w:t>
      </w:r>
      <w:r>
        <w:rPr>
          <w:sz w:val="20"/>
        </w:rPr>
        <w:t>por</w:t>
      </w:r>
      <w:r>
        <w:rPr>
          <w:spacing w:val="-8"/>
          <w:sz w:val="20"/>
        </w:rPr>
        <w:t> </w:t>
      </w:r>
      <w:r>
        <w:rPr>
          <w:sz w:val="20"/>
        </w:rPr>
        <w:t>las</w:t>
      </w:r>
      <w:r>
        <w:rPr>
          <w:spacing w:val="-7"/>
          <w:sz w:val="20"/>
        </w:rPr>
        <w:t> </w:t>
      </w:r>
      <w:r>
        <w:rPr>
          <w:sz w:val="20"/>
        </w:rPr>
        <w:t>violaciones</w:t>
      </w:r>
      <w:r>
        <w:rPr>
          <w:spacing w:val="-5"/>
          <w:sz w:val="20"/>
        </w:rPr>
        <w:t> </w:t>
      </w:r>
      <w:r>
        <w:rPr>
          <w:sz w:val="20"/>
        </w:rPr>
        <w:t>establecidas</w:t>
      </w:r>
      <w:r>
        <w:rPr>
          <w:spacing w:val="-5"/>
          <w:sz w:val="20"/>
        </w:rPr>
        <w:t> </w:t>
      </w:r>
      <w:r>
        <w:rPr>
          <w:sz w:val="20"/>
        </w:rPr>
        <w:t>en el</w:t>
      </w:r>
      <w:r>
        <w:rPr>
          <w:spacing w:val="-17"/>
          <w:sz w:val="20"/>
        </w:rPr>
        <w:t> </w:t>
      </w:r>
      <w:r>
        <w:rPr>
          <w:sz w:val="20"/>
        </w:rPr>
        <w:t>Informe</w:t>
      </w:r>
      <w:r>
        <w:rPr>
          <w:spacing w:val="-18"/>
          <w:sz w:val="20"/>
        </w:rPr>
        <w:t> </w:t>
      </w:r>
      <w:r>
        <w:rPr>
          <w:sz w:val="20"/>
        </w:rPr>
        <w:t>de</w:t>
      </w:r>
      <w:r>
        <w:rPr>
          <w:spacing w:val="-19"/>
          <w:sz w:val="20"/>
        </w:rPr>
        <w:t> </w:t>
      </w:r>
      <w:r>
        <w:rPr>
          <w:sz w:val="20"/>
        </w:rPr>
        <w:t>Fondo,</w:t>
      </w:r>
      <w:r>
        <w:rPr>
          <w:spacing w:val="-18"/>
          <w:sz w:val="20"/>
        </w:rPr>
        <w:t> </w:t>
      </w:r>
      <w:r>
        <w:rPr>
          <w:sz w:val="20"/>
        </w:rPr>
        <w:t>y</w:t>
      </w:r>
      <w:r>
        <w:rPr>
          <w:spacing w:val="-18"/>
          <w:sz w:val="20"/>
        </w:rPr>
        <w:t> </w:t>
      </w:r>
      <w:r>
        <w:rPr>
          <w:sz w:val="20"/>
        </w:rPr>
        <w:t>que</w:t>
      </w:r>
      <w:r>
        <w:rPr>
          <w:spacing w:val="-18"/>
          <w:sz w:val="20"/>
        </w:rPr>
        <w:t> </w:t>
      </w:r>
      <w:r>
        <w:rPr>
          <w:sz w:val="20"/>
        </w:rPr>
        <w:t>le</w:t>
      </w:r>
      <w:r>
        <w:rPr>
          <w:spacing w:val="-19"/>
          <w:sz w:val="20"/>
        </w:rPr>
        <w:t> </w:t>
      </w:r>
      <w:r>
        <w:rPr>
          <w:sz w:val="20"/>
        </w:rPr>
        <w:t>ordene,</w:t>
      </w:r>
      <w:r>
        <w:rPr>
          <w:spacing w:val="-18"/>
          <w:sz w:val="20"/>
        </w:rPr>
        <w:t> </w:t>
      </w:r>
      <w:r>
        <w:rPr>
          <w:sz w:val="20"/>
        </w:rPr>
        <w:t>como</w:t>
      </w:r>
      <w:r>
        <w:rPr>
          <w:spacing w:val="-19"/>
          <w:sz w:val="20"/>
        </w:rPr>
        <w:t> </w:t>
      </w:r>
      <w:r>
        <w:rPr>
          <w:sz w:val="20"/>
        </w:rPr>
        <w:t>medidas</w:t>
      </w:r>
      <w:r>
        <w:rPr>
          <w:spacing w:val="-18"/>
          <w:sz w:val="20"/>
        </w:rPr>
        <w:t> </w:t>
      </w:r>
      <w:r>
        <w:rPr>
          <w:sz w:val="20"/>
        </w:rPr>
        <w:t>de</w:t>
      </w:r>
      <w:r>
        <w:rPr>
          <w:spacing w:val="-19"/>
          <w:sz w:val="20"/>
        </w:rPr>
        <w:t> </w:t>
      </w:r>
      <w:r>
        <w:rPr>
          <w:sz w:val="20"/>
        </w:rPr>
        <w:t>reparación,</w:t>
      </w:r>
      <w:r>
        <w:rPr>
          <w:spacing w:val="-18"/>
          <w:sz w:val="20"/>
        </w:rPr>
        <w:t> </w:t>
      </w:r>
      <w:r>
        <w:rPr>
          <w:sz w:val="20"/>
        </w:rPr>
        <w:t>las</w:t>
      </w:r>
      <w:r>
        <w:rPr>
          <w:spacing w:val="-18"/>
          <w:sz w:val="20"/>
        </w:rPr>
        <w:t> </w:t>
      </w:r>
      <w:r>
        <w:rPr>
          <w:sz w:val="20"/>
        </w:rPr>
        <w:t>recomendaciones incluidas en el mismo (</w:t>
      </w:r>
      <w:r>
        <w:rPr>
          <w:i/>
          <w:sz w:val="20"/>
        </w:rPr>
        <w:t>supra </w:t>
      </w:r>
      <w:r>
        <w:rPr>
          <w:sz w:val="20"/>
        </w:rPr>
        <w:t>notas a pie de página 2 y</w:t>
      </w:r>
      <w:r>
        <w:rPr>
          <w:spacing w:val="-23"/>
          <w:sz w:val="20"/>
        </w:rPr>
        <w:t> </w:t>
      </w:r>
      <w:r>
        <w:rPr>
          <w:sz w:val="20"/>
        </w:rPr>
        <w:t>3).</w:t>
      </w:r>
    </w:p>
    <w:p>
      <w:pPr>
        <w:pStyle w:val="BodyText"/>
        <w:spacing w:before="10"/>
        <w:rPr>
          <w:sz w:val="19"/>
        </w:rPr>
      </w:pPr>
    </w:p>
    <w:p>
      <w:pPr>
        <w:pStyle w:val="Heading3"/>
        <w:ind w:left="2654" w:right="2547" w:firstLine="1740"/>
        <w:jc w:val="left"/>
      </w:pPr>
      <w:bookmarkStart w:name="_bookmark2" w:id="4"/>
      <w:bookmarkEnd w:id="4"/>
      <w:r>
        <w:rPr>
          <w:b w:val="0"/>
        </w:rPr>
      </w:r>
      <w:r>
        <w:rPr/>
        <w:t>II PROCEDIMIENTO ANTE LA CORTE</w:t>
      </w:r>
    </w:p>
    <w:p>
      <w:pPr>
        <w:pStyle w:val="BodyText"/>
        <w:rPr>
          <w:b/>
        </w:rPr>
      </w:pPr>
    </w:p>
    <w:p>
      <w:pPr>
        <w:pStyle w:val="ListParagraph"/>
        <w:numPr>
          <w:ilvl w:val="0"/>
          <w:numId w:val="14"/>
        </w:numPr>
        <w:tabs>
          <w:tab w:pos="830" w:val="left" w:leader="none"/>
        </w:tabs>
        <w:spacing w:line="240" w:lineRule="auto" w:before="1" w:after="0"/>
        <w:ind w:left="122" w:right="123" w:hanging="12"/>
        <w:jc w:val="both"/>
        <w:rPr>
          <w:sz w:val="20"/>
        </w:rPr>
      </w:pPr>
      <w:r>
        <w:rPr>
          <w:i/>
          <w:sz w:val="20"/>
        </w:rPr>
        <w:t>Notificación al Estado y a los representantes. </w:t>
      </w:r>
      <w:r>
        <w:rPr>
          <w:sz w:val="20"/>
        </w:rPr>
        <w:t>– El sometimiento del caso fue notificado al Estado y a los representantes (</w:t>
      </w:r>
      <w:r>
        <w:rPr>
          <w:i/>
          <w:sz w:val="20"/>
        </w:rPr>
        <w:t>infra </w:t>
      </w:r>
      <w:r>
        <w:rPr>
          <w:sz w:val="20"/>
        </w:rPr>
        <w:t>párr. 6) el 7 de febrero de</w:t>
      </w:r>
      <w:r>
        <w:rPr>
          <w:spacing w:val="-26"/>
          <w:sz w:val="20"/>
        </w:rPr>
        <w:t> </w:t>
      </w:r>
      <w:r>
        <w:rPr>
          <w:sz w:val="20"/>
        </w:rPr>
        <w:t>2018.</w:t>
      </w:r>
    </w:p>
    <w:p>
      <w:pPr>
        <w:pStyle w:val="BodyText"/>
        <w:spacing w:before="1"/>
      </w:pPr>
    </w:p>
    <w:p>
      <w:pPr>
        <w:pStyle w:val="ListParagraph"/>
        <w:numPr>
          <w:ilvl w:val="0"/>
          <w:numId w:val="14"/>
        </w:numPr>
        <w:tabs>
          <w:tab w:pos="830" w:val="left" w:leader="none"/>
        </w:tabs>
        <w:spacing w:line="240" w:lineRule="auto" w:before="0" w:after="0"/>
        <w:ind w:left="122" w:right="114" w:hanging="12"/>
        <w:jc w:val="both"/>
        <w:rPr>
          <w:sz w:val="20"/>
        </w:rPr>
      </w:pPr>
      <w:r>
        <w:rPr>
          <w:i/>
          <w:sz w:val="20"/>
        </w:rPr>
        <w:t>Escrito de solicitudes, argumentos y pruebas. </w:t>
      </w:r>
      <w:r>
        <w:rPr>
          <w:sz w:val="20"/>
        </w:rPr>
        <w:t>– El 25 de mayo 2018 el CELS y Lhaka Honhat (en adelante, en referencia a ambas entidades, “los representantes”) presentaron su escrito de solicitudes, argumentos y pruebas (en adelante “escrito de solicitudes y argumentos”), conforme a los artículos 25 y 40 del Reglamento. Coincidieron con las conclusiones de la Comisión sobre artículos convencionales vulnerados (</w:t>
      </w:r>
      <w:r>
        <w:rPr>
          <w:i/>
          <w:sz w:val="20"/>
        </w:rPr>
        <w:t>supra </w:t>
      </w:r>
      <w:r>
        <w:rPr>
          <w:sz w:val="20"/>
        </w:rPr>
        <w:t>nota a pie de página 2). Además, alegaron la violación al derecho al reconocimiento de la personalidad jurídica, a la libertad de asociación, a la libertad de circulación y de residencia y a los derechos a la identidad cultural, a la alimentación adecuada (en adelante también “derecho a la alimentación”) y a un medio ambiente sano (en adelante también “derecho al ambiente sano”), que adujeron contenidos en el artículo 26 de la Convención. Solicitaron que se ordene al Estado diversas medidas de reparación y el reintegro de costas y</w:t>
      </w:r>
      <w:r>
        <w:rPr>
          <w:spacing w:val="-17"/>
          <w:sz w:val="20"/>
        </w:rPr>
        <w:t> </w:t>
      </w:r>
      <w:r>
        <w:rPr>
          <w:sz w:val="20"/>
        </w:rPr>
        <w:t>gastos.</w:t>
      </w:r>
    </w:p>
    <w:p>
      <w:pPr>
        <w:pStyle w:val="BodyText"/>
        <w:spacing w:before="10"/>
        <w:rPr>
          <w:sz w:val="19"/>
        </w:rPr>
      </w:pPr>
    </w:p>
    <w:p>
      <w:pPr>
        <w:pStyle w:val="ListParagraph"/>
        <w:numPr>
          <w:ilvl w:val="0"/>
          <w:numId w:val="14"/>
        </w:numPr>
        <w:tabs>
          <w:tab w:pos="830" w:val="left" w:leader="none"/>
        </w:tabs>
        <w:spacing w:line="240" w:lineRule="auto" w:before="0" w:after="0"/>
        <w:ind w:left="122" w:right="124" w:hanging="12"/>
        <w:jc w:val="both"/>
        <w:rPr>
          <w:sz w:val="20"/>
        </w:rPr>
      </w:pPr>
      <w:r>
        <w:rPr>
          <w:i/>
          <w:sz w:val="20"/>
        </w:rPr>
        <w:t>Escrito de contestación. </w:t>
      </w:r>
      <w:r>
        <w:rPr>
          <w:sz w:val="20"/>
        </w:rPr>
        <w:t>– El 4 de septiembre de 2018 el Estado presentó su escrito de excepción preliminar, contestación al sometimiento del caso y de observaciones al escrito de solicitudes, argumentos y pruebas (en adelante “contestación”). Opuso un argumento que denominó “excepción preliminar” (</w:t>
      </w:r>
      <w:r>
        <w:rPr>
          <w:i/>
          <w:sz w:val="20"/>
        </w:rPr>
        <w:t>infra </w:t>
      </w:r>
      <w:r>
        <w:rPr>
          <w:sz w:val="20"/>
        </w:rPr>
        <w:t>párr. 15), negó las violaciones alegadas y respondió a las solicitudes de</w:t>
      </w:r>
      <w:r>
        <w:rPr>
          <w:spacing w:val="-34"/>
          <w:sz w:val="20"/>
        </w:rPr>
        <w:t> </w:t>
      </w:r>
      <w:r>
        <w:rPr>
          <w:sz w:val="20"/>
        </w:rPr>
        <w:t>reparación.</w:t>
      </w:r>
    </w:p>
    <w:p>
      <w:pPr>
        <w:pStyle w:val="BodyText"/>
      </w:pPr>
    </w:p>
    <w:p>
      <w:pPr>
        <w:pStyle w:val="ListParagraph"/>
        <w:numPr>
          <w:ilvl w:val="0"/>
          <w:numId w:val="14"/>
        </w:numPr>
        <w:tabs>
          <w:tab w:pos="830" w:val="left" w:leader="none"/>
        </w:tabs>
        <w:spacing w:line="240" w:lineRule="auto" w:before="0" w:after="0"/>
        <w:ind w:left="122" w:right="121" w:hanging="12"/>
        <w:jc w:val="both"/>
        <w:rPr>
          <w:sz w:val="20"/>
        </w:rPr>
      </w:pPr>
      <w:r>
        <w:rPr>
          <w:i/>
          <w:sz w:val="20"/>
        </w:rPr>
        <w:t>Audiencia Pública. </w:t>
      </w:r>
      <w:r>
        <w:rPr>
          <w:sz w:val="20"/>
        </w:rPr>
        <w:t>– El 8 de febrero de 2019 el entonces Presidente de la Corte</w:t>
      </w:r>
      <w:r>
        <w:rPr>
          <w:position w:val="7"/>
          <w:sz w:val="13"/>
        </w:rPr>
        <w:t>4 </w:t>
      </w:r>
      <w:r>
        <w:rPr>
          <w:sz w:val="20"/>
        </w:rPr>
        <w:t>(en</w:t>
      </w:r>
      <w:r>
        <w:rPr>
          <w:spacing w:val="-9"/>
          <w:sz w:val="20"/>
        </w:rPr>
        <w:t> </w:t>
      </w:r>
      <w:r>
        <w:rPr>
          <w:sz w:val="20"/>
        </w:rPr>
        <w:t>adelante,</w:t>
      </w:r>
      <w:r>
        <w:rPr>
          <w:spacing w:val="-8"/>
          <w:sz w:val="20"/>
        </w:rPr>
        <w:t> </w:t>
      </w:r>
      <w:r>
        <w:rPr>
          <w:sz w:val="20"/>
        </w:rPr>
        <w:t>“el</w:t>
      </w:r>
      <w:r>
        <w:rPr>
          <w:spacing w:val="-7"/>
          <w:sz w:val="20"/>
        </w:rPr>
        <w:t> </w:t>
      </w:r>
      <w:r>
        <w:rPr>
          <w:sz w:val="20"/>
        </w:rPr>
        <w:t>Presidente”)</w:t>
      </w:r>
      <w:r>
        <w:rPr>
          <w:spacing w:val="-8"/>
          <w:sz w:val="20"/>
        </w:rPr>
        <w:t> </w:t>
      </w:r>
      <w:r>
        <w:rPr>
          <w:sz w:val="20"/>
        </w:rPr>
        <w:t>emitió</w:t>
      </w:r>
      <w:r>
        <w:rPr>
          <w:spacing w:val="-9"/>
          <w:sz w:val="20"/>
        </w:rPr>
        <w:t> </w:t>
      </w:r>
      <w:r>
        <w:rPr>
          <w:sz w:val="20"/>
        </w:rPr>
        <w:t>una</w:t>
      </w:r>
      <w:r>
        <w:rPr>
          <w:spacing w:val="-10"/>
          <w:sz w:val="20"/>
        </w:rPr>
        <w:t> </w:t>
      </w:r>
      <w:r>
        <w:rPr>
          <w:sz w:val="20"/>
        </w:rPr>
        <w:t>Resolución</w:t>
      </w:r>
      <w:r>
        <w:rPr>
          <w:spacing w:val="-10"/>
          <w:sz w:val="20"/>
        </w:rPr>
        <w:t> </w:t>
      </w:r>
      <w:r>
        <w:rPr>
          <w:sz w:val="20"/>
        </w:rPr>
        <w:t>mediante</w:t>
      </w:r>
      <w:r>
        <w:rPr>
          <w:spacing w:val="-12"/>
          <w:sz w:val="20"/>
        </w:rPr>
        <w:t> </w:t>
      </w:r>
      <w:r>
        <w:rPr>
          <w:sz w:val="20"/>
        </w:rPr>
        <w:t>la</w:t>
      </w:r>
      <w:r>
        <w:rPr>
          <w:spacing w:val="-2"/>
          <w:sz w:val="20"/>
        </w:rPr>
        <w:t> </w:t>
      </w:r>
      <w:r>
        <w:rPr>
          <w:sz w:val="20"/>
        </w:rPr>
        <w:t>que</w:t>
      </w:r>
      <w:r>
        <w:rPr>
          <w:spacing w:val="-9"/>
          <w:sz w:val="20"/>
        </w:rPr>
        <w:t> </w:t>
      </w:r>
      <w:r>
        <w:rPr>
          <w:sz w:val="20"/>
        </w:rPr>
        <w:t>convocó</w:t>
      </w:r>
      <w:r>
        <w:rPr>
          <w:spacing w:val="-10"/>
          <w:sz w:val="20"/>
        </w:rPr>
        <w:t> </w:t>
      </w:r>
      <w:r>
        <w:rPr>
          <w:sz w:val="20"/>
        </w:rPr>
        <w:t>al</w:t>
      </w:r>
      <w:r>
        <w:rPr>
          <w:spacing w:val="-10"/>
          <w:sz w:val="20"/>
        </w:rPr>
        <w:t> </w:t>
      </w:r>
      <w:r>
        <w:rPr>
          <w:sz w:val="20"/>
        </w:rPr>
        <w:t>Estado, a los representantes y a la Comisión Interamericana a una audiencia pública respecto a la aducida “excepción preliminar” y los eventuales fondo, reparaciones y costas, para escuchar los alegatos y observaciones finales orales de las partes y de la Comisión, respectivamente. Además, convocó a declarar en esa audiencia a dos personas integrantes de comunidades indígenas, propuestas por los representantes, y a dos peritas, una propuesta por el Estado y otra por la Comisión. Asimismo, ordenó recibir declaraciones ante fedatario público (affidávits) de ocho declarantes propuestos por el Estado:</w:t>
      </w:r>
      <w:r>
        <w:rPr>
          <w:spacing w:val="-8"/>
          <w:sz w:val="20"/>
        </w:rPr>
        <w:t> </w:t>
      </w:r>
      <w:r>
        <w:rPr>
          <w:sz w:val="20"/>
        </w:rPr>
        <w:t>cinco</w:t>
      </w:r>
      <w:r>
        <w:rPr>
          <w:spacing w:val="-8"/>
          <w:sz w:val="20"/>
        </w:rPr>
        <w:t> </w:t>
      </w:r>
      <w:r>
        <w:rPr>
          <w:sz w:val="20"/>
        </w:rPr>
        <w:t>personas</w:t>
      </w:r>
      <w:r>
        <w:rPr>
          <w:spacing w:val="-7"/>
          <w:sz w:val="20"/>
        </w:rPr>
        <w:t> </w:t>
      </w:r>
      <w:r>
        <w:rPr>
          <w:sz w:val="20"/>
        </w:rPr>
        <w:t>integrantes</w:t>
      </w:r>
      <w:r>
        <w:rPr>
          <w:spacing w:val="-7"/>
          <w:sz w:val="20"/>
        </w:rPr>
        <w:t> </w:t>
      </w:r>
      <w:r>
        <w:rPr>
          <w:sz w:val="20"/>
        </w:rPr>
        <w:t>de</w:t>
      </w:r>
      <w:r>
        <w:rPr>
          <w:spacing w:val="-8"/>
          <w:sz w:val="20"/>
        </w:rPr>
        <w:t> </w:t>
      </w:r>
      <w:r>
        <w:rPr>
          <w:sz w:val="20"/>
        </w:rPr>
        <w:t>comunidades</w:t>
      </w:r>
      <w:r>
        <w:rPr>
          <w:spacing w:val="-7"/>
          <w:sz w:val="20"/>
        </w:rPr>
        <w:t> </w:t>
      </w:r>
      <w:r>
        <w:rPr>
          <w:sz w:val="20"/>
        </w:rPr>
        <w:t>indígenas</w:t>
      </w:r>
      <w:r>
        <w:rPr>
          <w:spacing w:val="-7"/>
          <w:sz w:val="20"/>
        </w:rPr>
        <w:t> </w:t>
      </w:r>
      <w:r>
        <w:rPr>
          <w:sz w:val="20"/>
        </w:rPr>
        <w:t>presuntas</w:t>
      </w:r>
      <w:r>
        <w:rPr>
          <w:spacing w:val="-7"/>
          <w:sz w:val="20"/>
        </w:rPr>
        <w:t> </w:t>
      </w:r>
      <w:r>
        <w:rPr>
          <w:sz w:val="20"/>
        </w:rPr>
        <w:t>víctimas</w:t>
      </w:r>
      <w:r>
        <w:rPr>
          <w:spacing w:val="1"/>
          <w:sz w:val="20"/>
        </w:rPr>
        <w:t> </w:t>
      </w:r>
      <w:r>
        <w:rPr>
          <w:sz w:val="20"/>
        </w:rPr>
        <w:t>y</w:t>
      </w:r>
      <w:r>
        <w:rPr>
          <w:spacing w:val="-9"/>
          <w:sz w:val="20"/>
        </w:rPr>
        <w:t> </w:t>
      </w:r>
      <w:r>
        <w:rPr>
          <w:sz w:val="20"/>
        </w:rPr>
        <w:t>tres testigos,</w:t>
      </w:r>
      <w:r>
        <w:rPr>
          <w:spacing w:val="-11"/>
          <w:sz w:val="20"/>
        </w:rPr>
        <w:t> </w:t>
      </w:r>
      <w:r>
        <w:rPr>
          <w:sz w:val="20"/>
        </w:rPr>
        <w:t>así</w:t>
      </w:r>
      <w:r>
        <w:rPr>
          <w:spacing w:val="-10"/>
          <w:sz w:val="20"/>
        </w:rPr>
        <w:t> </w:t>
      </w:r>
      <w:r>
        <w:rPr>
          <w:sz w:val="20"/>
        </w:rPr>
        <w:t>como</w:t>
      </w:r>
      <w:r>
        <w:rPr>
          <w:spacing w:val="-10"/>
          <w:sz w:val="20"/>
        </w:rPr>
        <w:t> </w:t>
      </w:r>
      <w:r>
        <w:rPr>
          <w:sz w:val="20"/>
        </w:rPr>
        <w:t>también</w:t>
      </w:r>
      <w:r>
        <w:rPr>
          <w:spacing w:val="-12"/>
          <w:sz w:val="20"/>
        </w:rPr>
        <w:t> </w:t>
      </w:r>
      <w:r>
        <w:rPr>
          <w:sz w:val="20"/>
        </w:rPr>
        <w:t>de</w:t>
      </w:r>
      <w:r>
        <w:rPr>
          <w:spacing w:val="-12"/>
          <w:sz w:val="20"/>
        </w:rPr>
        <w:t> </w:t>
      </w:r>
      <w:r>
        <w:rPr>
          <w:sz w:val="20"/>
        </w:rPr>
        <w:t>una</w:t>
      </w:r>
      <w:r>
        <w:rPr>
          <w:spacing w:val="-12"/>
          <w:sz w:val="20"/>
        </w:rPr>
        <w:t> </w:t>
      </w:r>
      <w:r>
        <w:rPr>
          <w:sz w:val="20"/>
        </w:rPr>
        <w:t>perita</w:t>
      </w:r>
      <w:r>
        <w:rPr>
          <w:spacing w:val="-12"/>
          <w:sz w:val="20"/>
        </w:rPr>
        <w:t> </w:t>
      </w:r>
      <w:r>
        <w:rPr>
          <w:sz w:val="20"/>
        </w:rPr>
        <w:t>y</w:t>
      </w:r>
      <w:r>
        <w:rPr>
          <w:spacing w:val="-11"/>
          <w:sz w:val="20"/>
        </w:rPr>
        <w:t> </w:t>
      </w:r>
      <w:r>
        <w:rPr>
          <w:sz w:val="20"/>
        </w:rPr>
        <w:t>un</w:t>
      </w:r>
      <w:r>
        <w:rPr>
          <w:spacing w:val="-12"/>
          <w:sz w:val="20"/>
        </w:rPr>
        <w:t> </w:t>
      </w:r>
      <w:r>
        <w:rPr>
          <w:sz w:val="20"/>
        </w:rPr>
        <w:t>perito,</w:t>
      </w:r>
      <w:r>
        <w:rPr>
          <w:spacing w:val="-11"/>
          <w:sz w:val="20"/>
        </w:rPr>
        <w:t> </w:t>
      </w:r>
      <w:r>
        <w:rPr>
          <w:sz w:val="20"/>
        </w:rPr>
        <w:t>propuestos</w:t>
      </w:r>
      <w:r>
        <w:rPr>
          <w:spacing w:val="-11"/>
          <w:sz w:val="20"/>
        </w:rPr>
        <w:t> </w:t>
      </w:r>
      <w:r>
        <w:rPr>
          <w:sz w:val="20"/>
        </w:rPr>
        <w:t>por</w:t>
      </w:r>
      <w:r>
        <w:rPr>
          <w:spacing w:val="-7"/>
          <w:sz w:val="20"/>
        </w:rPr>
        <w:t> </w:t>
      </w:r>
      <w:r>
        <w:rPr>
          <w:sz w:val="20"/>
        </w:rPr>
        <w:t>los</w:t>
      </w:r>
      <w:r>
        <w:rPr>
          <w:spacing w:val="-11"/>
          <w:sz w:val="20"/>
        </w:rPr>
        <w:t> </w:t>
      </w:r>
      <w:r>
        <w:rPr>
          <w:sz w:val="20"/>
        </w:rPr>
        <w:t>representantes. La</w:t>
      </w:r>
      <w:r>
        <w:rPr>
          <w:spacing w:val="-6"/>
          <w:sz w:val="20"/>
        </w:rPr>
        <w:t> </w:t>
      </w:r>
      <w:r>
        <w:rPr>
          <w:sz w:val="20"/>
        </w:rPr>
        <w:t>audiencia</w:t>
      </w:r>
      <w:r>
        <w:rPr>
          <w:spacing w:val="-2"/>
          <w:sz w:val="20"/>
        </w:rPr>
        <w:t> </w:t>
      </w:r>
      <w:r>
        <w:rPr>
          <w:sz w:val="20"/>
        </w:rPr>
        <w:t>se</w:t>
      </w:r>
      <w:r>
        <w:rPr>
          <w:spacing w:val="-5"/>
          <w:sz w:val="20"/>
        </w:rPr>
        <w:t> </w:t>
      </w:r>
      <w:r>
        <w:rPr>
          <w:sz w:val="20"/>
        </w:rPr>
        <w:t>celebró</w:t>
      </w:r>
      <w:r>
        <w:rPr>
          <w:spacing w:val="-4"/>
          <w:sz w:val="20"/>
        </w:rPr>
        <w:t> </w:t>
      </w:r>
      <w:r>
        <w:rPr>
          <w:sz w:val="20"/>
        </w:rPr>
        <w:t>el</w:t>
      </w:r>
      <w:r>
        <w:rPr>
          <w:spacing w:val="-5"/>
          <w:sz w:val="20"/>
        </w:rPr>
        <w:t> </w:t>
      </w:r>
      <w:r>
        <w:rPr>
          <w:sz w:val="20"/>
        </w:rPr>
        <w:t>14</w:t>
      </w:r>
      <w:r>
        <w:rPr>
          <w:spacing w:val="-5"/>
          <w:sz w:val="20"/>
        </w:rPr>
        <w:t> </w:t>
      </w:r>
      <w:r>
        <w:rPr>
          <w:sz w:val="20"/>
        </w:rPr>
        <w:t>de</w:t>
      </w:r>
      <w:r>
        <w:rPr>
          <w:spacing w:val="-7"/>
          <w:sz w:val="20"/>
        </w:rPr>
        <w:t> </w:t>
      </w:r>
      <w:r>
        <w:rPr>
          <w:sz w:val="20"/>
        </w:rPr>
        <w:t>marzo</w:t>
      </w:r>
      <w:r>
        <w:rPr>
          <w:spacing w:val="-7"/>
          <w:sz w:val="20"/>
        </w:rPr>
        <w:t> </w:t>
      </w:r>
      <w:r>
        <w:rPr>
          <w:sz w:val="20"/>
        </w:rPr>
        <w:t>de</w:t>
      </w:r>
      <w:r>
        <w:rPr>
          <w:spacing w:val="-7"/>
          <w:sz w:val="20"/>
        </w:rPr>
        <w:t> </w:t>
      </w:r>
      <w:r>
        <w:rPr>
          <w:sz w:val="20"/>
        </w:rPr>
        <w:t>2019</w:t>
      </w:r>
      <w:r>
        <w:rPr>
          <w:spacing w:val="2"/>
          <w:sz w:val="20"/>
        </w:rPr>
        <w:t> </w:t>
      </w:r>
      <w:r>
        <w:rPr>
          <w:sz w:val="20"/>
        </w:rPr>
        <w:t>en</w:t>
      </w:r>
      <w:r>
        <w:rPr>
          <w:spacing w:val="-5"/>
          <w:sz w:val="20"/>
        </w:rPr>
        <w:t> </w:t>
      </w:r>
      <w:r>
        <w:rPr>
          <w:sz w:val="20"/>
        </w:rPr>
        <w:t>la</w:t>
      </w:r>
      <w:r>
        <w:rPr>
          <w:spacing w:val="-5"/>
          <w:sz w:val="20"/>
        </w:rPr>
        <w:t> </w:t>
      </w:r>
      <w:r>
        <w:rPr>
          <w:sz w:val="20"/>
        </w:rPr>
        <w:t>sede</w:t>
      </w:r>
      <w:r>
        <w:rPr>
          <w:spacing w:val="-7"/>
          <w:sz w:val="20"/>
        </w:rPr>
        <w:t> </w:t>
      </w:r>
      <w:r>
        <w:rPr>
          <w:sz w:val="20"/>
        </w:rPr>
        <w:t>de</w:t>
      </w:r>
      <w:r>
        <w:rPr>
          <w:spacing w:val="-7"/>
          <w:sz w:val="20"/>
        </w:rPr>
        <w:t> </w:t>
      </w:r>
      <w:r>
        <w:rPr>
          <w:sz w:val="20"/>
        </w:rPr>
        <w:t>la</w:t>
      </w:r>
      <w:r>
        <w:rPr>
          <w:spacing w:val="-5"/>
          <w:sz w:val="20"/>
        </w:rPr>
        <w:t> </w:t>
      </w:r>
      <w:r>
        <w:rPr>
          <w:sz w:val="20"/>
        </w:rPr>
        <w:t>Corte,</w:t>
      </w:r>
      <w:r>
        <w:rPr>
          <w:spacing w:val="-1"/>
          <w:sz w:val="20"/>
        </w:rPr>
        <w:t> </w:t>
      </w:r>
      <w:r>
        <w:rPr>
          <w:sz w:val="20"/>
        </w:rPr>
        <w:t>durante</w:t>
      </w:r>
      <w:r>
        <w:rPr>
          <w:spacing w:val="-6"/>
          <w:sz w:val="20"/>
        </w:rPr>
        <w:t> </w:t>
      </w:r>
      <w:r>
        <w:rPr>
          <w:sz w:val="20"/>
        </w:rPr>
        <w:t>su</w:t>
      </w:r>
      <w:r>
        <w:rPr>
          <w:spacing w:val="-4"/>
          <w:sz w:val="20"/>
        </w:rPr>
        <w:t> </w:t>
      </w:r>
      <w:r>
        <w:rPr>
          <w:sz w:val="20"/>
        </w:rPr>
        <w:t>130º Período Ordinario de Sesiones</w:t>
      </w:r>
      <w:r>
        <w:rPr>
          <w:position w:val="7"/>
          <w:sz w:val="13"/>
        </w:rPr>
        <w:t>5</w:t>
      </w:r>
      <w:r>
        <w:rPr>
          <w:sz w:val="20"/>
        </w:rPr>
        <w:t>. En el curso de la misma, integrantes de este  </w:t>
      </w:r>
      <w:r>
        <w:rPr>
          <w:spacing w:val="38"/>
          <w:sz w:val="20"/>
        </w:rPr>
        <w:t> </w:t>
      </w:r>
      <w:r>
        <w:rPr>
          <w:sz w:val="20"/>
        </w:rPr>
        <w:t>Tribunal</w:t>
      </w:r>
    </w:p>
    <w:p>
      <w:pPr>
        <w:pStyle w:val="BodyText"/>
      </w:pPr>
    </w:p>
    <w:p>
      <w:pPr>
        <w:pStyle w:val="BodyText"/>
        <w:spacing w:before="5"/>
        <w:rPr>
          <w:sz w:val="13"/>
        </w:rPr>
      </w:pPr>
      <w:r>
        <w:rPr/>
        <w:pict>
          <v:line style="position:absolute;mso-position-horizontal-relative:page;mso-position-vertical-relative:paragraph;z-index:1096;mso-wrap-distance-left:0;mso-wrap-distance-right:0" from="85.103996pt,10.480103pt" to="229.123996pt,10.480103pt" stroked="true" strokeweight=".71997pt" strokecolor="#000000">
            <v:stroke dashstyle="solid"/>
            <w10:wrap type="topAndBottom"/>
          </v:line>
        </w:pict>
      </w:r>
    </w:p>
    <w:p>
      <w:pPr>
        <w:tabs>
          <w:tab w:pos="829" w:val="left" w:leader="none"/>
        </w:tabs>
        <w:spacing w:before="71"/>
        <w:ind w:left="122" w:right="0" w:firstLine="0"/>
        <w:jc w:val="both"/>
        <w:rPr>
          <w:sz w:val="16"/>
        </w:rPr>
      </w:pPr>
      <w:r>
        <w:rPr>
          <w:position w:val="6"/>
          <w:sz w:val="10"/>
        </w:rPr>
        <w:t>4</w:t>
        <w:tab/>
      </w:r>
      <w:r>
        <w:rPr>
          <w:sz w:val="16"/>
        </w:rPr>
        <w:t>En la fecha indicada el Juez Eduardo Ferrer Mac-Gregor Poisot era Presidente de la</w:t>
      </w:r>
      <w:r>
        <w:rPr>
          <w:spacing w:val="-24"/>
          <w:sz w:val="16"/>
        </w:rPr>
        <w:t> </w:t>
      </w:r>
      <w:r>
        <w:rPr>
          <w:sz w:val="16"/>
        </w:rPr>
        <w:t>Corte.</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5</w:t>
        <w:tab/>
      </w:r>
      <w:r>
        <w:rPr>
          <w:sz w:val="16"/>
        </w:rPr>
        <w:t>A  dicha  audiencia  concurrieron:  a)  por  la  Comisión  Interamericana:   Luis     </w:t>
      </w:r>
      <w:r>
        <w:rPr>
          <w:spacing w:val="31"/>
          <w:sz w:val="16"/>
        </w:rPr>
        <w:t> </w:t>
      </w:r>
      <w:r>
        <w:rPr>
          <w:sz w:val="16"/>
        </w:rPr>
        <w:t>Ernesto </w:t>
      </w:r>
      <w:r>
        <w:rPr>
          <w:spacing w:val="33"/>
          <w:sz w:val="16"/>
        </w:rPr>
        <w:t> </w:t>
      </w:r>
      <w:r>
        <w:rPr>
          <w:sz w:val="16"/>
        </w:rPr>
        <w:t>Vargas,</w:t>
      </w:r>
      <w:r>
        <w:rPr>
          <w:w w:val="100"/>
          <w:sz w:val="16"/>
        </w:rPr>
        <w:t> </w:t>
      </w:r>
      <w:r>
        <w:rPr>
          <w:sz w:val="16"/>
        </w:rPr>
        <w:t>Comisionado; Silvia Serrano Guzmán y Paulina Corominas, abogadas de la Secretaría Ejecutiva; b) por las presuntas víctimas: Francisco Pérez y Rogelio Segundo, miembros de Lhaka Honhat, y Diego Morales, Matías Duarte y Erika Schmidhuber Peña, del CELS, y c) por el Estado: Javier Salgado, Agente Titular, Director del Contencioso Internacional en Materia de Derechos Humanos del Ministerio de Relaciones Exteriores y Culto; Ramiro</w:t>
      </w:r>
      <w:r>
        <w:rPr>
          <w:spacing w:val="-2"/>
          <w:sz w:val="16"/>
        </w:rPr>
        <w:t> </w:t>
      </w:r>
      <w:r>
        <w:rPr>
          <w:sz w:val="16"/>
        </w:rPr>
        <w:t>Badía,</w:t>
      </w:r>
      <w:r>
        <w:rPr>
          <w:spacing w:val="-4"/>
          <w:sz w:val="16"/>
        </w:rPr>
        <w:t> </w:t>
      </w:r>
      <w:r>
        <w:rPr>
          <w:sz w:val="16"/>
        </w:rPr>
        <w:t>Agente</w:t>
      </w:r>
      <w:r>
        <w:rPr>
          <w:spacing w:val="-5"/>
          <w:sz w:val="16"/>
        </w:rPr>
        <w:t> </w:t>
      </w:r>
      <w:r>
        <w:rPr>
          <w:sz w:val="16"/>
        </w:rPr>
        <w:t>Alterno</w:t>
      </w:r>
      <w:r>
        <w:rPr>
          <w:spacing w:val="-4"/>
          <w:sz w:val="16"/>
        </w:rPr>
        <w:t> </w:t>
      </w:r>
      <w:r>
        <w:rPr>
          <w:sz w:val="16"/>
        </w:rPr>
        <w:t>y</w:t>
      </w:r>
      <w:r>
        <w:rPr>
          <w:spacing w:val="-2"/>
          <w:sz w:val="16"/>
        </w:rPr>
        <w:t> </w:t>
      </w:r>
      <w:r>
        <w:rPr>
          <w:sz w:val="16"/>
        </w:rPr>
        <w:t>Director</w:t>
      </w:r>
      <w:r>
        <w:rPr>
          <w:spacing w:val="-2"/>
          <w:sz w:val="16"/>
        </w:rPr>
        <w:t> </w:t>
      </w:r>
      <w:r>
        <w:rPr>
          <w:sz w:val="16"/>
        </w:rPr>
        <w:t>Nacional</w:t>
      </w:r>
      <w:r>
        <w:rPr>
          <w:spacing w:val="-3"/>
          <w:sz w:val="16"/>
        </w:rPr>
        <w:t> </w:t>
      </w:r>
      <w:r>
        <w:rPr>
          <w:sz w:val="16"/>
        </w:rPr>
        <w:t>de</w:t>
      </w:r>
      <w:r>
        <w:rPr>
          <w:spacing w:val="-5"/>
          <w:sz w:val="16"/>
        </w:rPr>
        <w:t> </w:t>
      </w:r>
      <w:r>
        <w:rPr>
          <w:sz w:val="16"/>
        </w:rPr>
        <w:t>Asuntos</w:t>
      </w:r>
      <w:r>
        <w:rPr>
          <w:spacing w:val="-2"/>
          <w:sz w:val="16"/>
        </w:rPr>
        <w:t> </w:t>
      </w:r>
      <w:r>
        <w:rPr>
          <w:sz w:val="16"/>
        </w:rPr>
        <w:t>Jurídicos</w:t>
      </w:r>
      <w:r>
        <w:rPr>
          <w:spacing w:val="-5"/>
          <w:sz w:val="16"/>
        </w:rPr>
        <w:t> </w:t>
      </w:r>
      <w:r>
        <w:rPr>
          <w:sz w:val="16"/>
        </w:rPr>
        <w:t>de</w:t>
      </w:r>
      <w:r>
        <w:rPr>
          <w:spacing w:val="-2"/>
          <w:sz w:val="16"/>
        </w:rPr>
        <w:t> </w:t>
      </w:r>
      <w:r>
        <w:rPr>
          <w:sz w:val="16"/>
        </w:rPr>
        <w:t>la</w:t>
      </w:r>
      <w:r>
        <w:rPr>
          <w:spacing w:val="-6"/>
          <w:sz w:val="16"/>
        </w:rPr>
        <w:t> </w:t>
      </w:r>
      <w:r>
        <w:rPr>
          <w:sz w:val="16"/>
        </w:rPr>
        <w:t>Secretaría</w:t>
      </w:r>
      <w:r>
        <w:rPr>
          <w:spacing w:val="-6"/>
          <w:sz w:val="16"/>
        </w:rPr>
        <w:t> </w:t>
      </w:r>
      <w:r>
        <w:rPr>
          <w:sz w:val="16"/>
        </w:rPr>
        <w:t>de</w:t>
      </w:r>
      <w:r>
        <w:rPr>
          <w:spacing w:val="-5"/>
          <w:sz w:val="16"/>
        </w:rPr>
        <w:t> </w:t>
      </w:r>
      <w:r>
        <w:rPr>
          <w:sz w:val="16"/>
        </w:rPr>
        <w:t>Derechos</w:t>
      </w:r>
      <w:r>
        <w:rPr>
          <w:spacing w:val="-2"/>
          <w:sz w:val="16"/>
        </w:rPr>
        <w:t> </w:t>
      </w:r>
      <w:r>
        <w:rPr>
          <w:sz w:val="16"/>
        </w:rPr>
        <w:t>Humanos y</w:t>
      </w:r>
      <w:r>
        <w:rPr>
          <w:spacing w:val="-4"/>
          <w:sz w:val="16"/>
        </w:rPr>
        <w:t> </w:t>
      </w:r>
      <w:r>
        <w:rPr>
          <w:sz w:val="16"/>
        </w:rPr>
        <w:t>Pluralismo</w:t>
      </w:r>
      <w:r>
        <w:rPr>
          <w:spacing w:val="-5"/>
          <w:sz w:val="16"/>
        </w:rPr>
        <w:t> </w:t>
      </w:r>
      <w:r>
        <w:rPr>
          <w:sz w:val="16"/>
        </w:rPr>
        <w:t>Cultural</w:t>
      </w:r>
      <w:r>
        <w:rPr>
          <w:spacing w:val="-6"/>
          <w:sz w:val="16"/>
        </w:rPr>
        <w:t> </w:t>
      </w:r>
      <w:r>
        <w:rPr>
          <w:sz w:val="16"/>
        </w:rPr>
        <w:t>de</w:t>
      </w:r>
      <w:r>
        <w:rPr>
          <w:spacing w:val="-7"/>
          <w:sz w:val="16"/>
        </w:rPr>
        <w:t> </w:t>
      </w:r>
      <w:r>
        <w:rPr>
          <w:sz w:val="16"/>
        </w:rPr>
        <w:t>la</w:t>
      </w:r>
      <w:r>
        <w:rPr>
          <w:spacing w:val="-6"/>
          <w:sz w:val="16"/>
        </w:rPr>
        <w:t> </w:t>
      </w:r>
      <w:r>
        <w:rPr>
          <w:sz w:val="16"/>
        </w:rPr>
        <w:t>Nación;</w:t>
      </w:r>
      <w:r>
        <w:rPr>
          <w:spacing w:val="-4"/>
          <w:sz w:val="16"/>
        </w:rPr>
        <w:t> </w:t>
      </w:r>
      <w:r>
        <w:rPr>
          <w:sz w:val="16"/>
        </w:rPr>
        <w:t>Siro</w:t>
      </w:r>
      <w:r>
        <w:rPr>
          <w:spacing w:val="-7"/>
          <w:sz w:val="16"/>
        </w:rPr>
        <w:t> </w:t>
      </w:r>
      <w:r>
        <w:rPr>
          <w:sz w:val="16"/>
        </w:rPr>
        <w:t>de</w:t>
      </w:r>
      <w:r>
        <w:rPr>
          <w:spacing w:val="-7"/>
          <w:sz w:val="16"/>
        </w:rPr>
        <w:t> </w:t>
      </w:r>
      <w:r>
        <w:rPr>
          <w:sz w:val="16"/>
        </w:rPr>
        <w:t>Martini,</w:t>
      </w:r>
      <w:r>
        <w:rPr>
          <w:spacing w:val="-6"/>
          <w:sz w:val="16"/>
        </w:rPr>
        <w:t> </w:t>
      </w:r>
      <w:r>
        <w:rPr>
          <w:sz w:val="16"/>
        </w:rPr>
        <w:t>Asesor</w:t>
      </w:r>
      <w:r>
        <w:rPr>
          <w:spacing w:val="-7"/>
          <w:sz w:val="16"/>
        </w:rPr>
        <w:t> </w:t>
      </w:r>
      <w:r>
        <w:rPr>
          <w:sz w:val="16"/>
        </w:rPr>
        <w:t>del</w:t>
      </w:r>
      <w:r>
        <w:rPr>
          <w:spacing w:val="-4"/>
          <w:sz w:val="16"/>
        </w:rPr>
        <w:t> </w:t>
      </w:r>
      <w:r>
        <w:rPr>
          <w:sz w:val="16"/>
        </w:rPr>
        <w:t>Ministerio</w:t>
      </w:r>
      <w:r>
        <w:rPr>
          <w:spacing w:val="-4"/>
          <w:sz w:val="16"/>
        </w:rPr>
        <w:t> </w:t>
      </w:r>
      <w:r>
        <w:rPr>
          <w:sz w:val="16"/>
        </w:rPr>
        <w:t>de</w:t>
      </w:r>
      <w:r>
        <w:rPr>
          <w:spacing w:val="-5"/>
          <w:sz w:val="16"/>
        </w:rPr>
        <w:t> </w:t>
      </w:r>
      <w:r>
        <w:rPr>
          <w:sz w:val="16"/>
        </w:rPr>
        <w:t>Justicia</w:t>
      </w:r>
      <w:r>
        <w:rPr>
          <w:spacing w:val="-6"/>
          <w:sz w:val="16"/>
        </w:rPr>
        <w:t> </w:t>
      </w:r>
      <w:r>
        <w:rPr>
          <w:sz w:val="16"/>
        </w:rPr>
        <w:t>y</w:t>
      </w:r>
      <w:r>
        <w:rPr>
          <w:spacing w:val="-4"/>
          <w:sz w:val="16"/>
        </w:rPr>
        <w:t> </w:t>
      </w:r>
      <w:r>
        <w:rPr>
          <w:sz w:val="16"/>
        </w:rPr>
        <w:t>Derechos</w:t>
      </w:r>
      <w:r>
        <w:rPr>
          <w:spacing w:val="-5"/>
          <w:sz w:val="16"/>
        </w:rPr>
        <w:t> </w:t>
      </w:r>
      <w:r>
        <w:rPr>
          <w:sz w:val="16"/>
        </w:rPr>
        <w:t>Humanos</w:t>
      </w:r>
      <w:r>
        <w:rPr>
          <w:spacing w:val="-7"/>
          <w:sz w:val="16"/>
        </w:rPr>
        <w:t> </w:t>
      </w:r>
      <w:r>
        <w:rPr>
          <w:sz w:val="16"/>
        </w:rPr>
        <w:t>de</w:t>
      </w:r>
      <w:r>
        <w:rPr>
          <w:spacing w:val="-5"/>
          <w:sz w:val="16"/>
        </w:rPr>
        <w:t> </w:t>
      </w:r>
      <w:r>
        <w:rPr>
          <w:sz w:val="16"/>
        </w:rPr>
        <w:t>la</w:t>
      </w:r>
    </w:p>
    <w:p>
      <w:pPr>
        <w:spacing w:after="0" w:line="240" w:lineRule="auto"/>
        <w:jc w:val="both"/>
        <w:rPr>
          <w:sz w:val="16"/>
        </w:rPr>
        <w:sectPr>
          <w:pgSz w:w="12240" w:h="15840"/>
          <w:pgMar w:header="0" w:footer="1000" w:top="1500" w:bottom="1200" w:left="1580" w:right="1580"/>
        </w:sectPr>
      </w:pPr>
    </w:p>
    <w:p>
      <w:pPr>
        <w:pStyle w:val="BodyText"/>
        <w:spacing w:before="76"/>
        <w:ind w:left="122" w:right="124"/>
        <w:jc w:val="both"/>
      </w:pPr>
      <w:r>
        <w:rPr/>
        <w:t>solicitaron cierta información y explicaciones a las partes y a la Comisión. Además, la Corte comunicó que había aceptado la petición de los representantes, formulada en el escrito</w:t>
      </w:r>
      <w:r>
        <w:rPr>
          <w:spacing w:val="-9"/>
        </w:rPr>
        <w:t> </w:t>
      </w:r>
      <w:r>
        <w:rPr/>
        <w:t>de</w:t>
      </w:r>
      <w:r>
        <w:rPr>
          <w:spacing w:val="-9"/>
        </w:rPr>
        <w:t> </w:t>
      </w:r>
      <w:r>
        <w:rPr/>
        <w:t>solicitudes</w:t>
      </w:r>
      <w:r>
        <w:rPr>
          <w:spacing w:val="-7"/>
        </w:rPr>
        <w:t> </w:t>
      </w:r>
      <w:r>
        <w:rPr/>
        <w:t>y</w:t>
      </w:r>
      <w:r>
        <w:rPr>
          <w:spacing w:val="-11"/>
        </w:rPr>
        <w:t> </w:t>
      </w:r>
      <w:r>
        <w:rPr/>
        <w:t>argumentos,</w:t>
      </w:r>
      <w:r>
        <w:rPr>
          <w:spacing w:val="-11"/>
        </w:rPr>
        <w:t> </w:t>
      </w:r>
      <w:r>
        <w:rPr/>
        <w:t>de</w:t>
      </w:r>
      <w:r>
        <w:rPr>
          <w:spacing w:val="-12"/>
        </w:rPr>
        <w:t> </w:t>
      </w:r>
      <w:r>
        <w:rPr/>
        <w:t>que</w:t>
      </w:r>
      <w:r>
        <w:rPr>
          <w:spacing w:val="-9"/>
        </w:rPr>
        <w:t> </w:t>
      </w:r>
      <w:r>
        <w:rPr/>
        <w:t>se</w:t>
      </w:r>
      <w:r>
        <w:rPr>
          <w:spacing w:val="-9"/>
        </w:rPr>
        <w:t> </w:t>
      </w:r>
      <w:r>
        <w:rPr/>
        <w:t>realizara</w:t>
      </w:r>
      <w:r>
        <w:rPr>
          <w:spacing w:val="-7"/>
        </w:rPr>
        <w:t> </w:t>
      </w:r>
      <w:r>
        <w:rPr/>
        <w:t>una</w:t>
      </w:r>
      <w:r>
        <w:rPr>
          <w:spacing w:val="-10"/>
        </w:rPr>
        <w:t> </w:t>
      </w:r>
      <w:r>
        <w:rPr/>
        <w:t>diligencia</w:t>
      </w:r>
      <w:r>
        <w:rPr>
          <w:spacing w:val="-9"/>
        </w:rPr>
        <w:t> </w:t>
      </w:r>
      <w:r>
        <w:rPr>
          <w:i/>
        </w:rPr>
        <w:t>in</w:t>
      </w:r>
      <w:r>
        <w:rPr>
          <w:i/>
          <w:spacing w:val="-8"/>
        </w:rPr>
        <w:t> </w:t>
      </w:r>
      <w:r>
        <w:rPr>
          <w:i/>
        </w:rPr>
        <w:t>situ</w:t>
      </w:r>
      <w:r>
        <w:rPr>
          <w:i/>
          <w:spacing w:val="-9"/>
        </w:rPr>
        <w:t> </w:t>
      </w:r>
      <w:r>
        <w:rPr/>
        <w:t>(</w:t>
      </w:r>
      <w:r>
        <w:rPr>
          <w:i/>
        </w:rPr>
        <w:t>infra</w:t>
      </w:r>
      <w:r>
        <w:rPr>
          <w:i/>
          <w:spacing w:val="-10"/>
        </w:rPr>
        <w:t> </w:t>
      </w:r>
      <w:r>
        <w:rPr/>
        <w:t>párr. 10).</w:t>
      </w:r>
    </w:p>
    <w:p>
      <w:pPr>
        <w:pStyle w:val="BodyText"/>
      </w:pPr>
    </w:p>
    <w:p>
      <w:pPr>
        <w:pStyle w:val="ListParagraph"/>
        <w:numPr>
          <w:ilvl w:val="0"/>
          <w:numId w:val="14"/>
        </w:numPr>
        <w:tabs>
          <w:tab w:pos="830" w:val="left" w:leader="none"/>
        </w:tabs>
        <w:spacing w:line="240" w:lineRule="auto" w:before="0" w:after="0"/>
        <w:ind w:left="122" w:right="122" w:firstLine="0"/>
        <w:jc w:val="both"/>
        <w:rPr>
          <w:sz w:val="20"/>
        </w:rPr>
      </w:pPr>
      <w:r>
        <w:rPr>
          <w:i/>
          <w:sz w:val="20"/>
        </w:rPr>
        <w:t>Amicus curiae.- </w:t>
      </w:r>
      <w:r>
        <w:rPr>
          <w:sz w:val="20"/>
        </w:rPr>
        <w:t>El Tribunal recibió escritos de </w:t>
      </w:r>
      <w:r>
        <w:rPr>
          <w:i/>
          <w:sz w:val="20"/>
        </w:rPr>
        <w:t>amicus curiae </w:t>
      </w:r>
      <w:r>
        <w:rPr>
          <w:sz w:val="20"/>
        </w:rPr>
        <w:t>por parte de: i) Asociación de Abogados y Abogadas de Derecho Indígena (AADI) y el Servicio Paz y Justicia</w:t>
      </w:r>
      <w:r>
        <w:rPr>
          <w:spacing w:val="-4"/>
          <w:sz w:val="20"/>
        </w:rPr>
        <w:t> </w:t>
      </w:r>
      <w:r>
        <w:rPr>
          <w:sz w:val="20"/>
        </w:rPr>
        <w:t>(SERPAJ)</w:t>
      </w:r>
      <w:r>
        <w:rPr>
          <w:position w:val="7"/>
          <w:sz w:val="13"/>
        </w:rPr>
        <w:t>6</w:t>
      </w:r>
      <w:r>
        <w:rPr>
          <w:sz w:val="20"/>
        </w:rPr>
        <w:t>,</w:t>
      </w:r>
      <w:r>
        <w:rPr>
          <w:spacing w:val="-5"/>
          <w:sz w:val="20"/>
        </w:rPr>
        <w:t> </w:t>
      </w:r>
      <w:r>
        <w:rPr>
          <w:sz w:val="20"/>
        </w:rPr>
        <w:t>ii)</w:t>
      </w:r>
      <w:r>
        <w:rPr>
          <w:spacing w:val="-4"/>
          <w:sz w:val="20"/>
        </w:rPr>
        <w:t> </w:t>
      </w:r>
      <w:r>
        <w:rPr>
          <w:sz w:val="20"/>
        </w:rPr>
        <w:t>Centro</w:t>
      </w:r>
      <w:r>
        <w:rPr>
          <w:spacing w:val="-6"/>
          <w:sz w:val="20"/>
        </w:rPr>
        <w:t> </w:t>
      </w:r>
      <w:r>
        <w:rPr>
          <w:sz w:val="20"/>
        </w:rPr>
        <w:t>de</w:t>
      </w:r>
      <w:r>
        <w:rPr>
          <w:spacing w:val="-6"/>
          <w:sz w:val="20"/>
        </w:rPr>
        <w:t> </w:t>
      </w:r>
      <w:r>
        <w:rPr>
          <w:sz w:val="20"/>
        </w:rPr>
        <w:t>Derechos</w:t>
      </w:r>
      <w:r>
        <w:rPr>
          <w:spacing w:val="-3"/>
          <w:sz w:val="20"/>
        </w:rPr>
        <w:t> </w:t>
      </w:r>
      <w:r>
        <w:rPr>
          <w:sz w:val="20"/>
        </w:rPr>
        <w:t>Humanos</w:t>
      </w:r>
      <w:r>
        <w:rPr>
          <w:spacing w:val="-5"/>
          <w:sz w:val="20"/>
        </w:rPr>
        <w:t> </w:t>
      </w:r>
      <w:r>
        <w:rPr>
          <w:sz w:val="20"/>
        </w:rPr>
        <w:t>de</w:t>
      </w:r>
      <w:r>
        <w:rPr>
          <w:spacing w:val="-6"/>
          <w:sz w:val="20"/>
        </w:rPr>
        <w:t> </w:t>
      </w:r>
      <w:r>
        <w:rPr>
          <w:sz w:val="20"/>
        </w:rPr>
        <w:t>la</w:t>
      </w:r>
      <w:r>
        <w:rPr>
          <w:spacing w:val="-4"/>
          <w:sz w:val="20"/>
        </w:rPr>
        <w:t> </w:t>
      </w:r>
      <w:r>
        <w:rPr>
          <w:sz w:val="20"/>
        </w:rPr>
        <w:t>Facultad</w:t>
      </w:r>
      <w:r>
        <w:rPr>
          <w:spacing w:val="-4"/>
          <w:sz w:val="20"/>
        </w:rPr>
        <w:t> </w:t>
      </w:r>
      <w:r>
        <w:rPr>
          <w:sz w:val="20"/>
        </w:rPr>
        <w:t>de</w:t>
      </w:r>
      <w:r>
        <w:rPr>
          <w:spacing w:val="-4"/>
          <w:sz w:val="20"/>
        </w:rPr>
        <w:t> </w:t>
      </w:r>
      <w:r>
        <w:rPr>
          <w:sz w:val="20"/>
        </w:rPr>
        <w:t>Jurisprudencia</w:t>
      </w:r>
      <w:r>
        <w:rPr>
          <w:spacing w:val="-4"/>
          <w:sz w:val="20"/>
        </w:rPr>
        <w:t> </w:t>
      </w:r>
      <w:r>
        <w:rPr>
          <w:sz w:val="20"/>
        </w:rPr>
        <w:t>de la Pontificia Universidad Católica del Ecuador</w:t>
      </w:r>
      <w:r>
        <w:rPr>
          <w:i/>
          <w:position w:val="7"/>
          <w:sz w:val="13"/>
        </w:rPr>
        <w:t>7</w:t>
      </w:r>
      <w:r>
        <w:rPr>
          <w:sz w:val="20"/>
        </w:rPr>
        <w:t>; iii) Fundación Ambiente y Recursos Naturales (FARN)</w:t>
      </w:r>
      <w:r>
        <w:rPr>
          <w:position w:val="7"/>
          <w:sz w:val="13"/>
        </w:rPr>
        <w:t>8</w:t>
      </w:r>
      <w:r>
        <w:rPr>
          <w:sz w:val="20"/>
        </w:rPr>
        <w:t>; iv) Fundación para el Debido Proceso Legal (DPLF), Clínica de Derechos Humanos de la Universidad de Ottawa, Instituto de Democracia y Derechos Humanos de la Pontificia Universidad Católica del Perú, Núcleo de Estudios en Sistemas Internacionales de Derechos Humanos de la Universidad Federal de Paraná, Clínica Internacional</w:t>
      </w:r>
      <w:r>
        <w:rPr>
          <w:spacing w:val="-8"/>
          <w:sz w:val="20"/>
        </w:rPr>
        <w:t> </w:t>
      </w:r>
      <w:r>
        <w:rPr>
          <w:sz w:val="20"/>
        </w:rPr>
        <w:t>de</w:t>
      </w:r>
      <w:r>
        <w:rPr>
          <w:spacing w:val="-10"/>
          <w:sz w:val="20"/>
        </w:rPr>
        <w:t> </w:t>
      </w:r>
      <w:r>
        <w:rPr>
          <w:sz w:val="20"/>
        </w:rPr>
        <w:t>Derechos</w:t>
      </w:r>
      <w:r>
        <w:rPr>
          <w:spacing w:val="-7"/>
          <w:sz w:val="20"/>
        </w:rPr>
        <w:t> </w:t>
      </w:r>
      <w:r>
        <w:rPr>
          <w:sz w:val="20"/>
        </w:rPr>
        <w:t>Humanos</w:t>
      </w:r>
      <w:r>
        <w:rPr>
          <w:spacing w:val="-10"/>
          <w:sz w:val="20"/>
        </w:rPr>
        <w:t> </w:t>
      </w:r>
      <w:r>
        <w:rPr>
          <w:sz w:val="20"/>
        </w:rPr>
        <w:t>de</w:t>
      </w:r>
      <w:r>
        <w:rPr>
          <w:spacing w:val="-10"/>
          <w:sz w:val="20"/>
        </w:rPr>
        <w:t> </w:t>
      </w:r>
      <w:r>
        <w:rPr>
          <w:sz w:val="20"/>
        </w:rPr>
        <w:t>la</w:t>
      </w:r>
      <w:r>
        <w:rPr>
          <w:spacing w:val="-9"/>
          <w:sz w:val="20"/>
        </w:rPr>
        <w:t> </w:t>
      </w:r>
      <w:r>
        <w:rPr>
          <w:sz w:val="20"/>
        </w:rPr>
        <w:t>Universidad</w:t>
      </w:r>
      <w:r>
        <w:rPr>
          <w:spacing w:val="-8"/>
          <w:sz w:val="20"/>
        </w:rPr>
        <w:t> </w:t>
      </w:r>
      <w:r>
        <w:rPr>
          <w:sz w:val="20"/>
        </w:rPr>
        <w:t>de</w:t>
      </w:r>
      <w:r>
        <w:rPr>
          <w:spacing w:val="-8"/>
          <w:sz w:val="20"/>
        </w:rPr>
        <w:t> </w:t>
      </w:r>
      <w:r>
        <w:rPr>
          <w:sz w:val="20"/>
        </w:rPr>
        <w:t>Guadalajara</w:t>
      </w:r>
      <w:r>
        <w:rPr>
          <w:spacing w:val="-6"/>
          <w:sz w:val="20"/>
        </w:rPr>
        <w:t> </w:t>
      </w:r>
      <w:r>
        <w:rPr>
          <w:sz w:val="20"/>
        </w:rPr>
        <w:t>y</w:t>
      </w:r>
      <w:r>
        <w:rPr>
          <w:spacing w:val="-1"/>
          <w:sz w:val="20"/>
        </w:rPr>
        <w:t> </w:t>
      </w:r>
      <w:r>
        <w:rPr>
          <w:i/>
          <w:sz w:val="20"/>
        </w:rPr>
        <w:t>O'Neill</w:t>
      </w:r>
      <w:r>
        <w:rPr>
          <w:i/>
          <w:spacing w:val="-9"/>
          <w:sz w:val="20"/>
        </w:rPr>
        <w:t> </w:t>
      </w:r>
      <w:r>
        <w:rPr>
          <w:i/>
          <w:sz w:val="20"/>
        </w:rPr>
        <w:t>Institute </w:t>
      </w:r>
      <w:r>
        <w:rPr>
          <w:i/>
          <w:sz w:val="20"/>
        </w:rPr>
        <w:t>for National and Global Health Law </w:t>
      </w:r>
      <w:r>
        <w:rPr>
          <w:sz w:val="20"/>
        </w:rPr>
        <w:t>de </w:t>
      </w:r>
      <w:r>
        <w:rPr>
          <w:i/>
          <w:sz w:val="20"/>
        </w:rPr>
        <w:t>Georgetown University Law Center</w:t>
      </w:r>
      <w:r>
        <w:rPr>
          <w:i/>
          <w:position w:val="7"/>
          <w:sz w:val="13"/>
        </w:rPr>
        <w:t>9</w:t>
      </w:r>
      <w:r>
        <w:rPr>
          <w:i/>
          <w:sz w:val="20"/>
        </w:rPr>
        <w:t>; </w:t>
      </w:r>
      <w:r>
        <w:rPr>
          <w:sz w:val="20"/>
        </w:rPr>
        <w:t>v) diversas organizaciones</w:t>
      </w:r>
      <w:r>
        <w:rPr>
          <w:spacing w:val="-13"/>
          <w:sz w:val="20"/>
        </w:rPr>
        <w:t> </w:t>
      </w:r>
      <w:r>
        <w:rPr>
          <w:sz w:val="20"/>
        </w:rPr>
        <w:t>bajo</w:t>
      </w:r>
      <w:r>
        <w:rPr>
          <w:spacing w:val="-14"/>
          <w:sz w:val="20"/>
        </w:rPr>
        <w:t> </w:t>
      </w:r>
      <w:r>
        <w:rPr>
          <w:sz w:val="20"/>
        </w:rPr>
        <w:t>la</w:t>
      </w:r>
      <w:r>
        <w:rPr>
          <w:spacing w:val="-12"/>
          <w:sz w:val="20"/>
        </w:rPr>
        <w:t> </w:t>
      </w:r>
      <w:r>
        <w:rPr>
          <w:sz w:val="20"/>
        </w:rPr>
        <w:t>coordinación</w:t>
      </w:r>
      <w:r>
        <w:rPr>
          <w:spacing w:val="-12"/>
          <w:sz w:val="20"/>
        </w:rPr>
        <w:t> </w:t>
      </w:r>
      <w:r>
        <w:rPr>
          <w:sz w:val="20"/>
        </w:rPr>
        <w:t>de</w:t>
      </w:r>
      <w:r>
        <w:rPr>
          <w:spacing w:val="-14"/>
          <w:sz w:val="20"/>
        </w:rPr>
        <w:t> </w:t>
      </w:r>
      <w:r>
        <w:rPr>
          <w:sz w:val="20"/>
        </w:rPr>
        <w:t>la</w:t>
      </w:r>
      <w:r>
        <w:rPr>
          <w:spacing w:val="-12"/>
          <w:sz w:val="20"/>
        </w:rPr>
        <w:t> </w:t>
      </w:r>
      <w:r>
        <w:rPr>
          <w:sz w:val="20"/>
        </w:rPr>
        <w:t>Secretaría</w:t>
      </w:r>
      <w:r>
        <w:rPr>
          <w:spacing w:val="-12"/>
          <w:sz w:val="20"/>
        </w:rPr>
        <w:t> </w:t>
      </w:r>
      <w:r>
        <w:rPr>
          <w:sz w:val="20"/>
        </w:rPr>
        <w:t>de</w:t>
      </w:r>
      <w:r>
        <w:rPr>
          <w:spacing w:val="-14"/>
          <w:sz w:val="20"/>
        </w:rPr>
        <w:t> </w:t>
      </w:r>
      <w:r>
        <w:rPr>
          <w:sz w:val="20"/>
        </w:rPr>
        <w:t>la</w:t>
      </w:r>
      <w:r>
        <w:rPr>
          <w:spacing w:val="-12"/>
          <w:sz w:val="20"/>
        </w:rPr>
        <w:t> </w:t>
      </w:r>
      <w:r>
        <w:rPr>
          <w:sz w:val="20"/>
        </w:rPr>
        <w:t>Red</w:t>
      </w:r>
      <w:r>
        <w:rPr>
          <w:spacing w:val="-12"/>
          <w:sz w:val="20"/>
        </w:rPr>
        <w:t> </w:t>
      </w:r>
      <w:r>
        <w:rPr>
          <w:sz w:val="20"/>
        </w:rPr>
        <w:t>Internacional</w:t>
      </w:r>
      <w:r>
        <w:rPr>
          <w:spacing w:val="-12"/>
          <w:sz w:val="20"/>
        </w:rPr>
        <w:t> </w:t>
      </w:r>
      <w:r>
        <w:rPr>
          <w:sz w:val="20"/>
        </w:rPr>
        <w:t>de</w:t>
      </w:r>
      <w:r>
        <w:rPr>
          <w:spacing w:val="-6"/>
          <w:sz w:val="20"/>
        </w:rPr>
        <w:t> </w:t>
      </w:r>
      <w:r>
        <w:rPr>
          <w:sz w:val="20"/>
        </w:rPr>
        <w:t>Derechos Económicos, Sociales y Culturales (Red-DESC)</w:t>
      </w:r>
      <w:r>
        <w:rPr>
          <w:position w:val="7"/>
          <w:sz w:val="13"/>
        </w:rPr>
        <w:t>10</w:t>
      </w:r>
      <w:r>
        <w:rPr>
          <w:sz w:val="20"/>
        </w:rPr>
        <w:t>; vi) Tierraviva a los Pueblos Indígenas del</w:t>
      </w:r>
      <w:r>
        <w:rPr>
          <w:spacing w:val="45"/>
          <w:sz w:val="20"/>
        </w:rPr>
        <w:t> </w:t>
      </w:r>
      <w:r>
        <w:rPr>
          <w:sz w:val="20"/>
        </w:rPr>
        <w:t>Chaco</w:t>
      </w:r>
      <w:r>
        <w:rPr>
          <w:spacing w:val="45"/>
          <w:sz w:val="20"/>
        </w:rPr>
        <w:t> </w:t>
      </w:r>
      <w:r>
        <w:rPr>
          <w:sz w:val="20"/>
        </w:rPr>
        <w:t>(en</w:t>
      </w:r>
      <w:r>
        <w:rPr>
          <w:spacing w:val="45"/>
          <w:sz w:val="20"/>
        </w:rPr>
        <w:t> </w:t>
      </w:r>
      <w:r>
        <w:rPr>
          <w:sz w:val="20"/>
        </w:rPr>
        <w:t>adelante</w:t>
      </w:r>
      <w:r>
        <w:rPr>
          <w:spacing w:val="43"/>
          <w:sz w:val="20"/>
        </w:rPr>
        <w:t> </w:t>
      </w:r>
      <w:r>
        <w:rPr>
          <w:sz w:val="20"/>
        </w:rPr>
        <w:t>“Tierraviva”)</w:t>
      </w:r>
      <w:r>
        <w:rPr>
          <w:position w:val="7"/>
          <w:sz w:val="13"/>
        </w:rPr>
        <w:t>11</w:t>
      </w:r>
      <w:r>
        <w:rPr>
          <w:sz w:val="20"/>
        </w:rPr>
        <w:t>;</w:t>
      </w:r>
      <w:r>
        <w:rPr>
          <w:spacing w:val="45"/>
          <w:sz w:val="20"/>
        </w:rPr>
        <w:t> </w:t>
      </w:r>
      <w:r>
        <w:rPr>
          <w:sz w:val="20"/>
        </w:rPr>
        <w:t>vii)</w:t>
      </w:r>
      <w:r>
        <w:rPr>
          <w:spacing w:val="45"/>
          <w:sz w:val="20"/>
        </w:rPr>
        <w:t> </w:t>
      </w:r>
      <w:r>
        <w:rPr>
          <w:sz w:val="20"/>
        </w:rPr>
        <w:t>Clínica</w:t>
      </w:r>
      <w:r>
        <w:rPr>
          <w:spacing w:val="44"/>
          <w:sz w:val="20"/>
        </w:rPr>
        <w:t> </w:t>
      </w:r>
      <w:r>
        <w:rPr>
          <w:sz w:val="20"/>
        </w:rPr>
        <w:t>Jurídica</w:t>
      </w:r>
      <w:r>
        <w:rPr>
          <w:spacing w:val="46"/>
          <w:sz w:val="20"/>
        </w:rPr>
        <w:t> </w:t>
      </w:r>
      <w:r>
        <w:rPr>
          <w:sz w:val="20"/>
        </w:rPr>
        <w:t>del</w:t>
      </w:r>
      <w:r>
        <w:rPr>
          <w:spacing w:val="47"/>
          <w:sz w:val="20"/>
        </w:rPr>
        <w:t> </w:t>
      </w:r>
      <w:r>
        <w:rPr>
          <w:sz w:val="20"/>
        </w:rPr>
        <w:t>Centro</w:t>
      </w:r>
      <w:r>
        <w:rPr>
          <w:spacing w:val="43"/>
          <w:sz w:val="20"/>
        </w:rPr>
        <w:t> </w:t>
      </w:r>
      <w:r>
        <w:rPr>
          <w:sz w:val="20"/>
        </w:rPr>
        <w:t>de</w:t>
      </w:r>
      <w:r>
        <w:rPr>
          <w:spacing w:val="43"/>
          <w:sz w:val="20"/>
        </w:rPr>
        <w:t> </w:t>
      </w:r>
      <w:r>
        <w:rPr>
          <w:sz w:val="20"/>
        </w:rPr>
        <w:t>Derechos</w:t>
      </w:r>
    </w:p>
    <w:p>
      <w:pPr>
        <w:pStyle w:val="BodyText"/>
        <w:spacing w:before="5"/>
        <w:rPr>
          <w:sz w:val="9"/>
        </w:rPr>
      </w:pPr>
      <w:r>
        <w:rPr/>
        <w:pict>
          <v:line style="position:absolute;mso-position-horizontal-relative:page;mso-position-vertical-relative:paragraph;z-index:1120;mso-wrap-distance-left:0;mso-wrap-distance-right:0" from="85.103996pt,8.073333pt" to="229.123996pt,8.073333pt" stroked="true" strokeweight=".72pt" strokecolor="#000000">
            <v:stroke dashstyle="solid"/>
            <w10:wrap type="topAndBottom"/>
          </v:line>
        </w:pict>
      </w:r>
    </w:p>
    <w:p>
      <w:pPr>
        <w:spacing w:before="71"/>
        <w:ind w:left="122" w:right="115" w:firstLine="0"/>
        <w:jc w:val="both"/>
        <w:rPr>
          <w:sz w:val="16"/>
        </w:rPr>
      </w:pPr>
      <w:r>
        <w:rPr>
          <w:sz w:val="16"/>
        </w:rPr>
        <w:t>Nación; Pamela Caletti, Fiscal de Estado de la Provincia de Salta, y Ana Carolina Heiz, Coordinadora General de la Fiscalía del Estado de la Provincia de Salta.</w:t>
      </w:r>
    </w:p>
    <w:p>
      <w:pPr>
        <w:pStyle w:val="BodyText"/>
        <w:spacing w:before="11"/>
        <w:rPr>
          <w:sz w:val="15"/>
        </w:rPr>
      </w:pPr>
    </w:p>
    <w:p>
      <w:pPr>
        <w:tabs>
          <w:tab w:pos="829" w:val="left" w:leader="none"/>
        </w:tabs>
        <w:spacing w:before="0"/>
        <w:ind w:left="122" w:right="111" w:firstLine="0"/>
        <w:jc w:val="both"/>
        <w:rPr>
          <w:sz w:val="16"/>
        </w:rPr>
      </w:pPr>
      <w:r>
        <w:rPr>
          <w:position w:val="6"/>
          <w:sz w:val="10"/>
        </w:rPr>
        <w:t>6</w:t>
        <w:tab/>
      </w:r>
      <w:r>
        <w:rPr>
          <w:sz w:val="16"/>
        </w:rPr>
        <w:t>El</w:t>
      </w:r>
      <w:r>
        <w:rPr>
          <w:spacing w:val="-8"/>
          <w:sz w:val="16"/>
        </w:rPr>
        <w:t> </w:t>
      </w:r>
      <w:r>
        <w:rPr>
          <w:sz w:val="16"/>
        </w:rPr>
        <w:t>documento</w:t>
      </w:r>
      <w:r>
        <w:rPr>
          <w:spacing w:val="-9"/>
          <w:sz w:val="16"/>
        </w:rPr>
        <w:t> </w:t>
      </w:r>
      <w:r>
        <w:rPr>
          <w:sz w:val="16"/>
        </w:rPr>
        <w:t>fue</w:t>
      </w:r>
      <w:r>
        <w:rPr>
          <w:spacing w:val="-9"/>
          <w:sz w:val="16"/>
        </w:rPr>
        <w:t> </w:t>
      </w:r>
      <w:r>
        <w:rPr>
          <w:sz w:val="16"/>
        </w:rPr>
        <w:t>firmado,</w:t>
      </w:r>
      <w:r>
        <w:rPr>
          <w:spacing w:val="-8"/>
          <w:sz w:val="16"/>
        </w:rPr>
        <w:t> </w:t>
      </w:r>
      <w:r>
        <w:rPr>
          <w:sz w:val="16"/>
        </w:rPr>
        <w:t>en</w:t>
      </w:r>
      <w:r>
        <w:rPr>
          <w:spacing w:val="-10"/>
          <w:sz w:val="16"/>
        </w:rPr>
        <w:t> </w:t>
      </w:r>
      <w:r>
        <w:rPr>
          <w:sz w:val="16"/>
        </w:rPr>
        <w:t>representación</w:t>
      </w:r>
      <w:r>
        <w:rPr>
          <w:spacing w:val="-6"/>
          <w:sz w:val="16"/>
        </w:rPr>
        <w:t> </w:t>
      </w:r>
      <w:r>
        <w:rPr>
          <w:sz w:val="16"/>
        </w:rPr>
        <w:t>de</w:t>
      </w:r>
      <w:r>
        <w:rPr>
          <w:spacing w:val="-7"/>
          <w:sz w:val="16"/>
        </w:rPr>
        <w:t> </w:t>
      </w:r>
      <w:r>
        <w:rPr>
          <w:sz w:val="16"/>
        </w:rPr>
        <w:t>la</w:t>
      </w:r>
      <w:r>
        <w:rPr>
          <w:spacing w:val="-10"/>
          <w:sz w:val="16"/>
        </w:rPr>
        <w:t> </w:t>
      </w:r>
      <w:r>
        <w:rPr>
          <w:sz w:val="16"/>
        </w:rPr>
        <w:t>AADI,</w:t>
      </w:r>
      <w:r>
        <w:rPr>
          <w:spacing w:val="-8"/>
          <w:sz w:val="16"/>
        </w:rPr>
        <w:t> </w:t>
      </w:r>
      <w:r>
        <w:rPr>
          <w:sz w:val="16"/>
        </w:rPr>
        <w:t>por</w:t>
      </w:r>
      <w:r>
        <w:rPr>
          <w:spacing w:val="-7"/>
          <w:sz w:val="16"/>
        </w:rPr>
        <w:t> </w:t>
      </w:r>
      <w:r>
        <w:rPr>
          <w:sz w:val="16"/>
        </w:rPr>
        <w:t>Darío</w:t>
      </w:r>
      <w:r>
        <w:rPr>
          <w:spacing w:val="-9"/>
          <w:sz w:val="16"/>
        </w:rPr>
        <w:t> </w:t>
      </w:r>
      <w:r>
        <w:rPr>
          <w:sz w:val="16"/>
        </w:rPr>
        <w:t>Rodriguez</w:t>
      </w:r>
      <w:r>
        <w:rPr>
          <w:spacing w:val="-8"/>
          <w:sz w:val="16"/>
        </w:rPr>
        <w:t> </w:t>
      </w:r>
      <w:r>
        <w:rPr>
          <w:sz w:val="16"/>
        </w:rPr>
        <w:t>Duch,</w:t>
      </w:r>
      <w:r>
        <w:rPr>
          <w:spacing w:val="-8"/>
          <w:sz w:val="16"/>
        </w:rPr>
        <w:t> </w:t>
      </w:r>
      <w:r>
        <w:rPr>
          <w:sz w:val="16"/>
        </w:rPr>
        <w:t>Presidente,</w:t>
      </w:r>
      <w:r>
        <w:rPr>
          <w:spacing w:val="-8"/>
          <w:sz w:val="16"/>
        </w:rPr>
        <w:t> </w:t>
      </w:r>
      <w:r>
        <w:rPr>
          <w:sz w:val="16"/>
        </w:rPr>
        <w:t>y</w:t>
      </w:r>
      <w:r>
        <w:rPr>
          <w:spacing w:val="-7"/>
          <w:sz w:val="16"/>
        </w:rPr>
        <w:t> </w:t>
      </w:r>
      <w:r>
        <w:rPr>
          <w:sz w:val="16"/>
        </w:rPr>
        <w:t>por</w:t>
      </w:r>
      <w:r>
        <w:rPr>
          <w:w w:val="100"/>
          <w:sz w:val="16"/>
        </w:rPr>
        <w:t> </w:t>
      </w:r>
      <w:r>
        <w:rPr>
          <w:sz w:val="16"/>
        </w:rPr>
        <w:t>parte de SERPAJ, por Adolfo Pérez Esquivel, Presidente y Premio Nobel de la Paz, Ana Almada, Luis Romero Batallano y Angelica Mendoza, Coordinadores, y Mariana Katz, abogada. Versa sobre el derecho “al reconocimiento de los territorios comunitarios a través de una figura legal</w:t>
      </w:r>
      <w:r>
        <w:rPr>
          <w:spacing w:val="-30"/>
          <w:sz w:val="16"/>
        </w:rPr>
        <w:t> </w:t>
      </w:r>
      <w:r>
        <w:rPr>
          <w:sz w:val="16"/>
        </w:rPr>
        <w:t>adecuada”.</w:t>
      </w:r>
    </w:p>
    <w:p>
      <w:pPr>
        <w:pStyle w:val="BodyText"/>
        <w:spacing w:before="11"/>
        <w:rPr>
          <w:sz w:val="15"/>
        </w:rPr>
      </w:pPr>
    </w:p>
    <w:p>
      <w:pPr>
        <w:tabs>
          <w:tab w:pos="829" w:val="left" w:leader="none"/>
        </w:tabs>
        <w:spacing w:before="0"/>
        <w:ind w:left="122" w:right="118" w:firstLine="0"/>
        <w:jc w:val="both"/>
        <w:rPr>
          <w:sz w:val="16"/>
        </w:rPr>
      </w:pPr>
      <w:r>
        <w:rPr>
          <w:position w:val="6"/>
          <w:sz w:val="10"/>
        </w:rPr>
        <w:t>7</w:t>
        <w:tab/>
      </w:r>
      <w:r>
        <w:rPr>
          <w:sz w:val="16"/>
        </w:rPr>
        <w:t>El</w:t>
      </w:r>
      <w:r>
        <w:rPr>
          <w:spacing w:val="20"/>
          <w:sz w:val="16"/>
        </w:rPr>
        <w:t> </w:t>
      </w:r>
      <w:r>
        <w:rPr>
          <w:sz w:val="16"/>
        </w:rPr>
        <w:t>escrito,</w:t>
      </w:r>
      <w:r>
        <w:rPr>
          <w:spacing w:val="19"/>
          <w:sz w:val="16"/>
        </w:rPr>
        <w:t> </w:t>
      </w:r>
      <w:r>
        <w:rPr>
          <w:sz w:val="16"/>
        </w:rPr>
        <w:t>firmado</w:t>
      </w:r>
      <w:r>
        <w:rPr>
          <w:spacing w:val="19"/>
          <w:sz w:val="16"/>
        </w:rPr>
        <w:t> </w:t>
      </w:r>
      <w:r>
        <w:rPr>
          <w:sz w:val="16"/>
        </w:rPr>
        <w:t>por</w:t>
      </w:r>
      <w:r>
        <w:rPr>
          <w:spacing w:val="19"/>
          <w:sz w:val="16"/>
        </w:rPr>
        <w:t> </w:t>
      </w:r>
      <w:r>
        <w:rPr>
          <w:sz w:val="16"/>
        </w:rPr>
        <w:t>Mario</w:t>
      </w:r>
      <w:r>
        <w:rPr>
          <w:spacing w:val="16"/>
          <w:sz w:val="16"/>
        </w:rPr>
        <w:t> </w:t>
      </w:r>
      <w:r>
        <w:rPr>
          <w:sz w:val="16"/>
        </w:rPr>
        <w:t>Melo</w:t>
      </w:r>
      <w:r>
        <w:rPr>
          <w:spacing w:val="18"/>
          <w:sz w:val="16"/>
        </w:rPr>
        <w:t> </w:t>
      </w:r>
      <w:r>
        <w:rPr>
          <w:sz w:val="16"/>
        </w:rPr>
        <w:t>Cevallos</w:t>
      </w:r>
      <w:r>
        <w:rPr>
          <w:spacing w:val="18"/>
          <w:sz w:val="16"/>
        </w:rPr>
        <w:t> </w:t>
      </w:r>
      <w:r>
        <w:rPr>
          <w:sz w:val="16"/>
        </w:rPr>
        <w:t>(Coordinador),</w:t>
      </w:r>
      <w:r>
        <w:rPr>
          <w:spacing w:val="17"/>
          <w:sz w:val="16"/>
        </w:rPr>
        <w:t> </w:t>
      </w:r>
      <w:r>
        <w:rPr>
          <w:sz w:val="16"/>
        </w:rPr>
        <w:t>José</w:t>
      </w:r>
      <w:r>
        <w:rPr>
          <w:spacing w:val="18"/>
          <w:sz w:val="16"/>
        </w:rPr>
        <w:t> </w:t>
      </w:r>
      <w:r>
        <w:rPr>
          <w:sz w:val="16"/>
        </w:rPr>
        <w:t>Valenzuela</w:t>
      </w:r>
      <w:r>
        <w:rPr>
          <w:spacing w:val="19"/>
          <w:sz w:val="16"/>
        </w:rPr>
        <w:t> </w:t>
      </w:r>
      <w:r>
        <w:rPr>
          <w:sz w:val="16"/>
        </w:rPr>
        <w:t>y</w:t>
      </w:r>
      <w:r>
        <w:rPr>
          <w:spacing w:val="19"/>
          <w:sz w:val="16"/>
        </w:rPr>
        <w:t> </w:t>
      </w:r>
      <w:r>
        <w:rPr>
          <w:sz w:val="16"/>
        </w:rPr>
        <w:t>Estefanía</w:t>
      </w:r>
      <w:r>
        <w:rPr>
          <w:spacing w:val="17"/>
          <w:sz w:val="16"/>
        </w:rPr>
        <w:t> </w:t>
      </w:r>
      <w:r>
        <w:rPr>
          <w:sz w:val="16"/>
        </w:rPr>
        <w:t>Gómez,</w:t>
      </w:r>
      <w:r>
        <w:rPr>
          <w:spacing w:val="17"/>
          <w:sz w:val="16"/>
        </w:rPr>
        <w:t> </w:t>
      </w:r>
      <w:r>
        <w:rPr>
          <w:sz w:val="16"/>
        </w:rPr>
        <w:t>se</w:t>
      </w:r>
      <w:r>
        <w:rPr>
          <w:w w:val="100"/>
          <w:sz w:val="16"/>
        </w:rPr>
        <w:t> </w:t>
      </w:r>
      <w:r>
        <w:rPr>
          <w:sz w:val="16"/>
        </w:rPr>
        <w:t>refiere al derecho de territorio ancestral de los pueblos indígenas en casos de ocupación parcial por parte de colonos.</w:t>
      </w:r>
    </w:p>
    <w:p>
      <w:pPr>
        <w:pStyle w:val="BodyText"/>
        <w:spacing w:before="11"/>
        <w:rPr>
          <w:sz w:val="15"/>
        </w:rPr>
      </w:pPr>
    </w:p>
    <w:p>
      <w:pPr>
        <w:tabs>
          <w:tab w:pos="829" w:val="left" w:leader="none"/>
        </w:tabs>
        <w:spacing w:before="0"/>
        <w:ind w:left="122" w:right="118" w:firstLine="0"/>
        <w:jc w:val="both"/>
        <w:rPr>
          <w:sz w:val="16"/>
        </w:rPr>
      </w:pPr>
      <w:r>
        <w:rPr>
          <w:position w:val="6"/>
          <w:sz w:val="10"/>
        </w:rPr>
        <w:t>8</w:t>
        <w:tab/>
      </w:r>
      <w:r>
        <w:rPr>
          <w:sz w:val="16"/>
        </w:rPr>
        <w:t>El texto fue firmado por Andrés Nápoli, Director Ejecutivo. Trata   </w:t>
      </w:r>
      <w:r>
        <w:rPr>
          <w:spacing w:val="9"/>
          <w:sz w:val="16"/>
        </w:rPr>
        <w:t> </w:t>
      </w:r>
      <w:r>
        <w:rPr>
          <w:sz w:val="16"/>
        </w:rPr>
        <w:t>sobre “aspectos relacionados</w:t>
      </w:r>
      <w:r>
        <w:rPr>
          <w:spacing w:val="16"/>
          <w:sz w:val="16"/>
        </w:rPr>
        <w:t> </w:t>
      </w:r>
      <w:r>
        <w:rPr>
          <w:sz w:val="16"/>
        </w:rPr>
        <w:t>con</w:t>
      </w:r>
      <w:r>
        <w:rPr>
          <w:w w:val="100"/>
          <w:sz w:val="16"/>
        </w:rPr>
        <w:t> </w:t>
      </w:r>
      <w:r>
        <w:rPr>
          <w:sz w:val="16"/>
        </w:rPr>
        <w:t>cuestiones de consulta, consentimiento, y evaluaciones de impacto ambiental en relación a la garantía del derecho al ambiente</w:t>
      </w:r>
      <w:r>
        <w:rPr>
          <w:spacing w:val="-5"/>
          <w:sz w:val="16"/>
        </w:rPr>
        <w:t> </w:t>
      </w:r>
      <w:r>
        <w:rPr>
          <w:sz w:val="16"/>
        </w:rPr>
        <w:t>sano”.</w:t>
      </w:r>
    </w:p>
    <w:p>
      <w:pPr>
        <w:pStyle w:val="BodyText"/>
        <w:spacing w:before="11"/>
        <w:rPr>
          <w:sz w:val="15"/>
        </w:rPr>
      </w:pPr>
    </w:p>
    <w:p>
      <w:pPr>
        <w:tabs>
          <w:tab w:pos="829" w:val="left" w:leader="none"/>
        </w:tabs>
        <w:spacing w:before="0"/>
        <w:ind w:left="122" w:right="113" w:firstLine="0"/>
        <w:jc w:val="both"/>
        <w:rPr>
          <w:sz w:val="16"/>
        </w:rPr>
      </w:pPr>
      <w:r>
        <w:rPr>
          <w:position w:val="6"/>
          <w:sz w:val="10"/>
        </w:rPr>
        <w:t>9</w:t>
        <w:tab/>
      </w:r>
      <w:r>
        <w:rPr>
          <w:sz w:val="16"/>
        </w:rPr>
        <w:t>La  presentación  fue  firmada,  en  representación  de  cada   una  de  las     </w:t>
      </w:r>
      <w:r>
        <w:rPr>
          <w:spacing w:val="7"/>
          <w:sz w:val="16"/>
        </w:rPr>
        <w:t> </w:t>
      </w:r>
      <w:r>
        <w:rPr>
          <w:sz w:val="16"/>
        </w:rPr>
        <w:t>entidades </w:t>
      </w:r>
      <w:r>
        <w:rPr>
          <w:spacing w:val="24"/>
          <w:sz w:val="16"/>
        </w:rPr>
        <w:t> </w:t>
      </w:r>
      <w:r>
        <w:rPr>
          <w:sz w:val="16"/>
        </w:rPr>
        <w:t>señaladas,</w:t>
      </w:r>
      <w:r>
        <w:rPr>
          <w:w w:val="100"/>
          <w:sz w:val="16"/>
        </w:rPr>
        <w:t> </w:t>
      </w:r>
      <w:r>
        <w:rPr>
          <w:sz w:val="16"/>
        </w:rPr>
        <w:t>respectivamente por: Katya Salazar y Daniel Cerqueira, Directora Ejecutiva y Oficial de Programa Senior; Salvador</w:t>
      </w:r>
      <w:r>
        <w:rPr>
          <w:spacing w:val="-6"/>
          <w:sz w:val="16"/>
        </w:rPr>
        <w:t> </w:t>
      </w:r>
      <w:r>
        <w:rPr>
          <w:sz w:val="16"/>
        </w:rPr>
        <w:t>Herencia</w:t>
      </w:r>
      <w:r>
        <w:rPr>
          <w:spacing w:val="-8"/>
          <w:sz w:val="16"/>
        </w:rPr>
        <w:t> </w:t>
      </w:r>
      <w:r>
        <w:rPr>
          <w:sz w:val="16"/>
        </w:rPr>
        <w:t>Carrasco,</w:t>
      </w:r>
      <w:r>
        <w:rPr>
          <w:spacing w:val="-10"/>
          <w:sz w:val="16"/>
        </w:rPr>
        <w:t> </w:t>
      </w:r>
      <w:r>
        <w:rPr>
          <w:sz w:val="16"/>
        </w:rPr>
        <w:t>Director;</w:t>
      </w:r>
      <w:r>
        <w:rPr>
          <w:spacing w:val="-6"/>
          <w:sz w:val="16"/>
        </w:rPr>
        <w:t> </w:t>
      </w:r>
      <w:r>
        <w:rPr>
          <w:sz w:val="16"/>
        </w:rPr>
        <w:t>Elizabeth</w:t>
      </w:r>
      <w:r>
        <w:rPr>
          <w:spacing w:val="-8"/>
          <w:sz w:val="16"/>
        </w:rPr>
        <w:t> </w:t>
      </w:r>
      <w:r>
        <w:rPr>
          <w:sz w:val="16"/>
        </w:rPr>
        <w:t>Salmon</w:t>
      </w:r>
      <w:r>
        <w:rPr>
          <w:spacing w:val="-8"/>
          <w:sz w:val="16"/>
        </w:rPr>
        <w:t> </w:t>
      </w:r>
      <w:r>
        <w:rPr>
          <w:sz w:val="16"/>
        </w:rPr>
        <w:t>y</w:t>
      </w:r>
      <w:r>
        <w:rPr>
          <w:spacing w:val="-6"/>
          <w:sz w:val="16"/>
        </w:rPr>
        <w:t> </w:t>
      </w:r>
      <w:r>
        <w:rPr>
          <w:sz w:val="16"/>
        </w:rPr>
        <w:t>Cristina</w:t>
      </w:r>
      <w:r>
        <w:rPr>
          <w:spacing w:val="-5"/>
          <w:sz w:val="16"/>
        </w:rPr>
        <w:t> </w:t>
      </w:r>
      <w:r>
        <w:rPr>
          <w:sz w:val="16"/>
        </w:rPr>
        <w:t>Blanco,</w:t>
      </w:r>
      <w:r>
        <w:rPr>
          <w:spacing w:val="-8"/>
          <w:sz w:val="16"/>
        </w:rPr>
        <w:t> </w:t>
      </w:r>
      <w:r>
        <w:rPr>
          <w:sz w:val="16"/>
        </w:rPr>
        <w:t>Directora</w:t>
      </w:r>
      <w:r>
        <w:rPr>
          <w:spacing w:val="-8"/>
          <w:sz w:val="16"/>
        </w:rPr>
        <w:t> </w:t>
      </w:r>
      <w:r>
        <w:rPr>
          <w:sz w:val="16"/>
        </w:rPr>
        <w:t>e</w:t>
      </w:r>
      <w:r>
        <w:rPr>
          <w:spacing w:val="-7"/>
          <w:sz w:val="16"/>
        </w:rPr>
        <w:t> </w:t>
      </w:r>
      <w:r>
        <w:rPr>
          <w:sz w:val="16"/>
        </w:rPr>
        <w:t>Investigadora</w:t>
      </w:r>
      <w:r>
        <w:rPr>
          <w:spacing w:val="-8"/>
          <w:sz w:val="16"/>
        </w:rPr>
        <w:t> </w:t>
      </w:r>
      <w:r>
        <w:rPr>
          <w:sz w:val="16"/>
        </w:rPr>
        <w:t>Principal; Melina Girardi Fachin, Coordinadora; Ángel Cabrera, Coordinador, y Andrés Constantini, Asociado. Se indicó que participaron “en la investigación, elaboración y revisión” del documento las personas nombradas, a excepción de Katya Salazar y Elizabeth Salmón, y también Quetzal Prado, Miguel Alcaraz, Verónica Luna, Lucero</w:t>
      </w:r>
      <w:r>
        <w:rPr>
          <w:spacing w:val="-5"/>
          <w:sz w:val="16"/>
        </w:rPr>
        <w:t> </w:t>
      </w:r>
      <w:r>
        <w:rPr>
          <w:sz w:val="16"/>
        </w:rPr>
        <w:t>Salazar,</w:t>
      </w:r>
      <w:r>
        <w:rPr>
          <w:spacing w:val="-5"/>
          <w:sz w:val="16"/>
        </w:rPr>
        <w:t> </w:t>
      </w:r>
      <w:r>
        <w:rPr>
          <w:sz w:val="16"/>
        </w:rPr>
        <w:t>Askur</w:t>
      </w:r>
      <w:r>
        <w:rPr>
          <w:spacing w:val="-3"/>
          <w:sz w:val="16"/>
        </w:rPr>
        <w:t> </w:t>
      </w:r>
      <w:r>
        <w:rPr>
          <w:sz w:val="16"/>
        </w:rPr>
        <w:t>Palencia</w:t>
      </w:r>
      <w:r>
        <w:rPr>
          <w:spacing w:val="-3"/>
          <w:sz w:val="16"/>
        </w:rPr>
        <w:t> </w:t>
      </w:r>
      <w:r>
        <w:rPr>
          <w:sz w:val="16"/>
        </w:rPr>
        <w:t>y</w:t>
      </w:r>
      <w:r>
        <w:rPr>
          <w:spacing w:val="-5"/>
          <w:sz w:val="16"/>
        </w:rPr>
        <w:t> </w:t>
      </w:r>
      <w:r>
        <w:rPr>
          <w:sz w:val="16"/>
        </w:rPr>
        <w:t>Sergio</w:t>
      </w:r>
      <w:r>
        <w:rPr>
          <w:spacing w:val="-5"/>
          <w:sz w:val="16"/>
        </w:rPr>
        <w:t> </w:t>
      </w:r>
      <w:r>
        <w:rPr>
          <w:sz w:val="16"/>
        </w:rPr>
        <w:t>Villa</w:t>
      </w:r>
      <w:r>
        <w:rPr>
          <w:spacing w:val="-2"/>
          <w:sz w:val="16"/>
        </w:rPr>
        <w:t> </w:t>
      </w:r>
      <w:r>
        <w:rPr>
          <w:sz w:val="16"/>
        </w:rPr>
        <w:t>(estudiantes</w:t>
      </w:r>
      <w:r>
        <w:rPr>
          <w:spacing w:val="-3"/>
          <w:sz w:val="16"/>
        </w:rPr>
        <w:t> </w:t>
      </w:r>
      <w:r>
        <w:rPr>
          <w:sz w:val="16"/>
        </w:rPr>
        <w:t>de</w:t>
      </w:r>
      <w:r>
        <w:rPr>
          <w:spacing w:val="-1"/>
          <w:sz w:val="16"/>
        </w:rPr>
        <w:t> </w:t>
      </w:r>
      <w:r>
        <w:rPr>
          <w:sz w:val="16"/>
        </w:rPr>
        <w:t>la</w:t>
      </w:r>
      <w:r>
        <w:rPr>
          <w:spacing w:val="-4"/>
          <w:sz w:val="16"/>
        </w:rPr>
        <w:t> </w:t>
      </w:r>
      <w:r>
        <w:rPr>
          <w:sz w:val="16"/>
        </w:rPr>
        <w:t>Universidad</w:t>
      </w:r>
      <w:r>
        <w:rPr>
          <w:spacing w:val="-3"/>
          <w:sz w:val="16"/>
        </w:rPr>
        <w:t> </w:t>
      </w:r>
      <w:r>
        <w:rPr>
          <w:sz w:val="16"/>
        </w:rPr>
        <w:t>de</w:t>
      </w:r>
      <w:r>
        <w:rPr>
          <w:spacing w:val="-4"/>
          <w:sz w:val="16"/>
        </w:rPr>
        <w:t> </w:t>
      </w:r>
      <w:r>
        <w:rPr>
          <w:sz w:val="16"/>
        </w:rPr>
        <w:t>Guadalajara);</w:t>
      </w:r>
      <w:r>
        <w:rPr>
          <w:spacing w:val="-5"/>
          <w:sz w:val="16"/>
        </w:rPr>
        <w:t> </w:t>
      </w:r>
      <w:r>
        <w:rPr>
          <w:sz w:val="16"/>
        </w:rPr>
        <w:t>Marina</w:t>
      </w:r>
      <w:r>
        <w:rPr>
          <w:spacing w:val="-4"/>
          <w:sz w:val="16"/>
        </w:rPr>
        <w:t> </w:t>
      </w:r>
      <w:r>
        <w:rPr>
          <w:sz w:val="16"/>
        </w:rPr>
        <w:t>Bonatto, Francisco</w:t>
      </w:r>
      <w:r>
        <w:rPr>
          <w:spacing w:val="-5"/>
          <w:sz w:val="16"/>
        </w:rPr>
        <w:t> </w:t>
      </w:r>
      <w:r>
        <w:rPr>
          <w:sz w:val="16"/>
        </w:rPr>
        <w:t>Foltran,</w:t>
      </w:r>
      <w:r>
        <w:rPr>
          <w:spacing w:val="-5"/>
          <w:sz w:val="16"/>
        </w:rPr>
        <w:t> </w:t>
      </w:r>
      <w:r>
        <w:rPr>
          <w:sz w:val="16"/>
        </w:rPr>
        <w:t>Fabio</w:t>
      </w:r>
      <w:r>
        <w:rPr>
          <w:spacing w:val="-5"/>
          <w:sz w:val="16"/>
        </w:rPr>
        <w:t> </w:t>
      </w:r>
      <w:r>
        <w:rPr>
          <w:sz w:val="16"/>
        </w:rPr>
        <w:t>Rezende</w:t>
      </w:r>
      <w:r>
        <w:rPr>
          <w:spacing w:val="-3"/>
          <w:sz w:val="16"/>
        </w:rPr>
        <w:t> </w:t>
      </w:r>
      <w:r>
        <w:rPr>
          <w:sz w:val="16"/>
        </w:rPr>
        <w:t>Braga</w:t>
      </w:r>
      <w:r>
        <w:rPr>
          <w:spacing w:val="-7"/>
          <w:sz w:val="16"/>
        </w:rPr>
        <w:t> </w:t>
      </w:r>
      <w:r>
        <w:rPr>
          <w:sz w:val="16"/>
        </w:rPr>
        <w:t>y</w:t>
      </w:r>
      <w:r>
        <w:rPr>
          <w:spacing w:val="-3"/>
          <w:sz w:val="16"/>
        </w:rPr>
        <w:t> </w:t>
      </w:r>
      <w:r>
        <w:rPr>
          <w:sz w:val="16"/>
        </w:rPr>
        <w:t>Kauan</w:t>
      </w:r>
      <w:r>
        <w:rPr>
          <w:spacing w:val="-5"/>
          <w:sz w:val="16"/>
        </w:rPr>
        <w:t> </w:t>
      </w:r>
      <w:r>
        <w:rPr>
          <w:sz w:val="16"/>
        </w:rPr>
        <w:t>Cangussú</w:t>
      </w:r>
      <w:r>
        <w:rPr>
          <w:spacing w:val="-4"/>
          <w:sz w:val="16"/>
        </w:rPr>
        <w:t> </w:t>
      </w:r>
      <w:r>
        <w:rPr>
          <w:sz w:val="16"/>
        </w:rPr>
        <w:t>(estudiantes</w:t>
      </w:r>
      <w:r>
        <w:rPr>
          <w:spacing w:val="-3"/>
          <w:sz w:val="16"/>
        </w:rPr>
        <w:t> </w:t>
      </w:r>
      <w:r>
        <w:rPr>
          <w:sz w:val="16"/>
        </w:rPr>
        <w:t>de</w:t>
      </w:r>
      <w:r>
        <w:rPr>
          <w:spacing w:val="-6"/>
          <w:sz w:val="16"/>
        </w:rPr>
        <w:t> </w:t>
      </w:r>
      <w:r>
        <w:rPr>
          <w:sz w:val="16"/>
        </w:rPr>
        <w:t>la</w:t>
      </w:r>
      <w:r>
        <w:rPr>
          <w:spacing w:val="-4"/>
          <w:sz w:val="16"/>
        </w:rPr>
        <w:t> </w:t>
      </w:r>
      <w:r>
        <w:rPr>
          <w:sz w:val="16"/>
        </w:rPr>
        <w:t>Universidad</w:t>
      </w:r>
      <w:r>
        <w:rPr>
          <w:spacing w:val="-8"/>
          <w:sz w:val="16"/>
        </w:rPr>
        <w:t> </w:t>
      </w:r>
      <w:r>
        <w:rPr>
          <w:sz w:val="16"/>
        </w:rPr>
        <w:t>Federal</w:t>
      </w:r>
      <w:r>
        <w:rPr>
          <w:spacing w:val="-7"/>
          <w:sz w:val="16"/>
        </w:rPr>
        <w:t> </w:t>
      </w:r>
      <w:r>
        <w:rPr>
          <w:spacing w:val="2"/>
          <w:sz w:val="16"/>
        </w:rPr>
        <w:t>de</w:t>
      </w:r>
      <w:r>
        <w:rPr>
          <w:spacing w:val="-3"/>
          <w:sz w:val="16"/>
        </w:rPr>
        <w:t> </w:t>
      </w:r>
      <w:r>
        <w:rPr>
          <w:sz w:val="16"/>
        </w:rPr>
        <w:t>Paraná), y Jordi Feo Valero y Shona Moreau (estudiantes de la Universidad de Ottawa). El escrito trata sobre “[e]stándares internacionales y jurisprudencia comparada sobre demarcación de territorios indígenas y [d]erechos [e]conómicos, [s]ociales, [c]ulturales y</w:t>
      </w:r>
      <w:r>
        <w:rPr>
          <w:spacing w:val="-14"/>
          <w:sz w:val="16"/>
        </w:rPr>
        <w:t> </w:t>
      </w:r>
      <w:r>
        <w:rPr>
          <w:sz w:val="16"/>
        </w:rPr>
        <w:t>[a]mbientales”.</w:t>
      </w:r>
    </w:p>
    <w:p>
      <w:pPr>
        <w:pStyle w:val="BodyText"/>
        <w:spacing w:before="11"/>
        <w:rPr>
          <w:sz w:val="15"/>
        </w:rPr>
      </w:pPr>
    </w:p>
    <w:p>
      <w:pPr>
        <w:tabs>
          <w:tab w:pos="829" w:val="left" w:leader="none"/>
        </w:tabs>
        <w:spacing w:before="0"/>
        <w:ind w:left="122" w:right="111" w:firstLine="0"/>
        <w:jc w:val="both"/>
        <w:rPr>
          <w:sz w:val="16"/>
        </w:rPr>
      </w:pPr>
      <w:r>
        <w:rPr>
          <w:position w:val="6"/>
          <w:sz w:val="10"/>
        </w:rPr>
        <w:t>10</w:t>
        <w:tab/>
      </w:r>
      <w:r>
        <w:rPr>
          <w:sz w:val="16"/>
        </w:rPr>
        <w:t>Tales</w:t>
      </w:r>
      <w:r>
        <w:rPr>
          <w:spacing w:val="-8"/>
          <w:sz w:val="16"/>
        </w:rPr>
        <w:t> </w:t>
      </w:r>
      <w:r>
        <w:rPr>
          <w:sz w:val="16"/>
        </w:rPr>
        <w:t>organizaciones</w:t>
      </w:r>
      <w:r>
        <w:rPr>
          <w:spacing w:val="-10"/>
          <w:sz w:val="16"/>
        </w:rPr>
        <w:t> </w:t>
      </w:r>
      <w:r>
        <w:rPr>
          <w:sz w:val="16"/>
        </w:rPr>
        <w:t>son:</w:t>
      </w:r>
      <w:r>
        <w:rPr>
          <w:spacing w:val="-9"/>
          <w:sz w:val="16"/>
        </w:rPr>
        <w:t> </w:t>
      </w:r>
      <w:r>
        <w:rPr>
          <w:sz w:val="16"/>
        </w:rPr>
        <w:t>Asociación</w:t>
      </w:r>
      <w:r>
        <w:rPr>
          <w:spacing w:val="-9"/>
          <w:sz w:val="16"/>
        </w:rPr>
        <w:t> </w:t>
      </w:r>
      <w:r>
        <w:rPr>
          <w:sz w:val="16"/>
        </w:rPr>
        <w:t>Civil</w:t>
      </w:r>
      <w:r>
        <w:rPr>
          <w:spacing w:val="-9"/>
          <w:sz w:val="16"/>
        </w:rPr>
        <w:t> </w:t>
      </w:r>
      <w:r>
        <w:rPr>
          <w:sz w:val="16"/>
        </w:rPr>
        <w:t>por</w:t>
      </w:r>
      <w:r>
        <w:rPr>
          <w:spacing w:val="-10"/>
          <w:sz w:val="16"/>
        </w:rPr>
        <w:t> </w:t>
      </w:r>
      <w:r>
        <w:rPr>
          <w:sz w:val="16"/>
        </w:rPr>
        <w:t>la</w:t>
      </w:r>
      <w:r>
        <w:rPr>
          <w:spacing w:val="-9"/>
          <w:sz w:val="16"/>
        </w:rPr>
        <w:t> </w:t>
      </w:r>
      <w:r>
        <w:rPr>
          <w:sz w:val="16"/>
        </w:rPr>
        <w:t>Igualdad</w:t>
      </w:r>
      <w:r>
        <w:rPr>
          <w:spacing w:val="-10"/>
          <w:sz w:val="16"/>
        </w:rPr>
        <w:t> </w:t>
      </w:r>
      <w:r>
        <w:rPr>
          <w:sz w:val="16"/>
        </w:rPr>
        <w:t>y</w:t>
      </w:r>
      <w:r>
        <w:rPr>
          <w:spacing w:val="-8"/>
          <w:sz w:val="16"/>
        </w:rPr>
        <w:t> </w:t>
      </w:r>
      <w:r>
        <w:rPr>
          <w:sz w:val="16"/>
        </w:rPr>
        <w:t>la</w:t>
      </w:r>
      <w:r>
        <w:rPr>
          <w:spacing w:val="-9"/>
          <w:sz w:val="16"/>
        </w:rPr>
        <w:t> </w:t>
      </w:r>
      <w:r>
        <w:rPr>
          <w:sz w:val="16"/>
        </w:rPr>
        <w:t>Justicia</w:t>
      </w:r>
      <w:r>
        <w:rPr>
          <w:spacing w:val="-10"/>
          <w:sz w:val="16"/>
        </w:rPr>
        <w:t> </w:t>
      </w:r>
      <w:r>
        <w:rPr>
          <w:sz w:val="16"/>
        </w:rPr>
        <w:t>(ACIJ);</w:t>
      </w:r>
      <w:r>
        <w:rPr>
          <w:spacing w:val="-7"/>
          <w:sz w:val="16"/>
        </w:rPr>
        <w:t> </w:t>
      </w:r>
      <w:r>
        <w:rPr>
          <w:i/>
          <w:sz w:val="16"/>
        </w:rPr>
        <w:t>Amnesty</w:t>
      </w:r>
      <w:r>
        <w:rPr>
          <w:i/>
          <w:spacing w:val="-8"/>
          <w:sz w:val="16"/>
        </w:rPr>
        <w:t> </w:t>
      </w:r>
      <w:r>
        <w:rPr>
          <w:i/>
          <w:sz w:val="16"/>
        </w:rPr>
        <w:t>Internacional</w:t>
      </w:r>
      <w:r>
        <w:rPr>
          <w:sz w:val="16"/>
        </w:rPr>
        <w:t>;</w:t>
      </w:r>
      <w:r>
        <w:rPr>
          <w:w w:val="100"/>
          <w:sz w:val="16"/>
        </w:rPr>
        <w:t> </w:t>
      </w:r>
      <w:r>
        <w:rPr>
          <w:sz w:val="16"/>
        </w:rPr>
        <w:t>Asociación Interamericana para la Defensa del Ambiente; Comisión Colombiana de Juristas; Dejusticia; </w:t>
      </w:r>
      <w:r>
        <w:rPr>
          <w:i/>
          <w:sz w:val="16"/>
        </w:rPr>
        <w:t>FIAN </w:t>
      </w:r>
      <w:r>
        <w:rPr>
          <w:i/>
          <w:sz w:val="16"/>
        </w:rPr>
        <w:t>International</w:t>
      </w:r>
      <w:r>
        <w:rPr>
          <w:sz w:val="16"/>
        </w:rPr>
        <w:t>;</w:t>
      </w:r>
      <w:r>
        <w:rPr>
          <w:spacing w:val="-5"/>
          <w:sz w:val="16"/>
        </w:rPr>
        <w:t> </w:t>
      </w:r>
      <w:r>
        <w:rPr>
          <w:i/>
          <w:sz w:val="16"/>
        </w:rPr>
        <w:t>International</w:t>
      </w:r>
      <w:r>
        <w:rPr>
          <w:i/>
          <w:spacing w:val="-4"/>
          <w:sz w:val="16"/>
        </w:rPr>
        <w:t> </w:t>
      </w:r>
      <w:r>
        <w:rPr>
          <w:i/>
          <w:sz w:val="16"/>
        </w:rPr>
        <w:t>Women´s</w:t>
      </w:r>
      <w:r>
        <w:rPr>
          <w:i/>
          <w:spacing w:val="-6"/>
          <w:sz w:val="16"/>
        </w:rPr>
        <w:t> </w:t>
      </w:r>
      <w:r>
        <w:rPr>
          <w:i/>
          <w:sz w:val="16"/>
        </w:rPr>
        <w:t>Rights</w:t>
      </w:r>
      <w:r>
        <w:rPr>
          <w:i/>
          <w:spacing w:val="-6"/>
          <w:sz w:val="16"/>
        </w:rPr>
        <w:t> </w:t>
      </w:r>
      <w:r>
        <w:rPr>
          <w:i/>
          <w:sz w:val="16"/>
        </w:rPr>
        <w:t>Action</w:t>
      </w:r>
      <w:r>
        <w:rPr>
          <w:i/>
          <w:spacing w:val="-5"/>
          <w:sz w:val="16"/>
        </w:rPr>
        <w:t> </w:t>
      </w:r>
      <w:r>
        <w:rPr>
          <w:i/>
          <w:sz w:val="16"/>
        </w:rPr>
        <w:t>Watch-Asia</w:t>
      </w:r>
      <w:r>
        <w:rPr>
          <w:i/>
          <w:spacing w:val="-4"/>
          <w:sz w:val="16"/>
        </w:rPr>
        <w:t> </w:t>
      </w:r>
      <w:r>
        <w:rPr>
          <w:i/>
          <w:sz w:val="16"/>
        </w:rPr>
        <w:t>Pacific</w:t>
      </w:r>
      <w:r>
        <w:rPr>
          <w:sz w:val="16"/>
        </w:rPr>
        <w:t>,</w:t>
      </w:r>
      <w:r>
        <w:rPr>
          <w:spacing w:val="-7"/>
          <w:sz w:val="16"/>
        </w:rPr>
        <w:t> </w:t>
      </w:r>
      <w:r>
        <w:rPr>
          <w:sz w:val="16"/>
        </w:rPr>
        <w:t>y</w:t>
      </w:r>
      <w:r>
        <w:rPr>
          <w:spacing w:val="-5"/>
          <w:sz w:val="16"/>
        </w:rPr>
        <w:t> </w:t>
      </w:r>
      <w:r>
        <w:rPr>
          <w:i/>
          <w:sz w:val="16"/>
        </w:rPr>
        <w:t>Minority</w:t>
      </w:r>
      <w:r>
        <w:rPr>
          <w:i/>
          <w:spacing w:val="-5"/>
          <w:sz w:val="16"/>
        </w:rPr>
        <w:t> </w:t>
      </w:r>
      <w:r>
        <w:rPr>
          <w:i/>
          <w:sz w:val="16"/>
        </w:rPr>
        <w:t>Rights</w:t>
      </w:r>
      <w:r>
        <w:rPr>
          <w:i/>
          <w:spacing w:val="-6"/>
          <w:sz w:val="16"/>
        </w:rPr>
        <w:t> </w:t>
      </w:r>
      <w:r>
        <w:rPr>
          <w:i/>
          <w:sz w:val="16"/>
        </w:rPr>
        <w:t>Group</w:t>
      </w:r>
      <w:r>
        <w:rPr>
          <w:i/>
          <w:spacing w:val="-3"/>
          <w:sz w:val="16"/>
        </w:rPr>
        <w:t> </w:t>
      </w:r>
      <w:r>
        <w:rPr>
          <w:i/>
          <w:sz w:val="16"/>
        </w:rPr>
        <w:t>International</w:t>
      </w:r>
      <w:r>
        <w:rPr>
          <w:sz w:val="16"/>
        </w:rPr>
        <w:t>. Además de Fernando Ribeiro Delgado, Coordinador del Grupo de Trabajo sobre Litigio Estratégico de la </w:t>
      </w:r>
      <w:r>
        <w:rPr>
          <w:spacing w:val="2"/>
          <w:sz w:val="16"/>
        </w:rPr>
        <w:t>Red- </w:t>
      </w:r>
      <w:r>
        <w:rPr>
          <w:sz w:val="16"/>
        </w:rPr>
        <w:t>DESC, firmaron el documento, respectivamente: Dalile Antúnez, Co-Directora; Lucy Claridge, Directora de Litigio</w:t>
      </w:r>
      <w:r>
        <w:rPr>
          <w:spacing w:val="-3"/>
          <w:sz w:val="16"/>
        </w:rPr>
        <w:t> </w:t>
      </w:r>
      <w:r>
        <w:rPr>
          <w:sz w:val="16"/>
        </w:rPr>
        <w:t>Estratégico;</w:t>
      </w:r>
      <w:r>
        <w:rPr>
          <w:spacing w:val="-5"/>
          <w:sz w:val="16"/>
        </w:rPr>
        <w:t> </w:t>
      </w:r>
      <w:r>
        <w:rPr>
          <w:sz w:val="16"/>
        </w:rPr>
        <w:t>Liliana</w:t>
      </w:r>
      <w:r>
        <w:rPr>
          <w:spacing w:val="-4"/>
          <w:sz w:val="16"/>
        </w:rPr>
        <w:t> </w:t>
      </w:r>
      <w:r>
        <w:rPr>
          <w:sz w:val="16"/>
        </w:rPr>
        <w:t>Ávila,</w:t>
      </w:r>
      <w:r>
        <w:rPr>
          <w:spacing w:val="-5"/>
          <w:sz w:val="16"/>
        </w:rPr>
        <w:t> </w:t>
      </w:r>
      <w:r>
        <w:rPr>
          <w:sz w:val="16"/>
        </w:rPr>
        <w:t>Abogada</w:t>
      </w:r>
      <w:r>
        <w:rPr>
          <w:spacing w:val="-7"/>
          <w:sz w:val="16"/>
        </w:rPr>
        <w:t> </w:t>
      </w:r>
      <w:r>
        <w:rPr>
          <w:sz w:val="16"/>
        </w:rPr>
        <w:t>Senior;</w:t>
      </w:r>
      <w:r>
        <w:rPr>
          <w:spacing w:val="-5"/>
          <w:sz w:val="16"/>
        </w:rPr>
        <w:t> </w:t>
      </w:r>
      <w:r>
        <w:rPr>
          <w:sz w:val="16"/>
        </w:rPr>
        <w:t>Gustavo</w:t>
      </w:r>
      <w:r>
        <w:rPr>
          <w:spacing w:val="-3"/>
          <w:sz w:val="16"/>
        </w:rPr>
        <w:t> </w:t>
      </w:r>
      <w:r>
        <w:rPr>
          <w:sz w:val="16"/>
        </w:rPr>
        <w:t>Gallón</w:t>
      </w:r>
      <w:r>
        <w:rPr>
          <w:spacing w:val="-5"/>
          <w:sz w:val="16"/>
        </w:rPr>
        <w:t> </w:t>
      </w:r>
      <w:r>
        <w:rPr>
          <w:sz w:val="16"/>
        </w:rPr>
        <w:t>Giraldo,</w:t>
      </w:r>
      <w:r>
        <w:rPr>
          <w:spacing w:val="-7"/>
          <w:sz w:val="16"/>
        </w:rPr>
        <w:t> </w:t>
      </w:r>
      <w:r>
        <w:rPr>
          <w:sz w:val="16"/>
        </w:rPr>
        <w:t>Director;</w:t>
      </w:r>
      <w:r>
        <w:rPr>
          <w:spacing w:val="-7"/>
          <w:sz w:val="16"/>
        </w:rPr>
        <w:t> </w:t>
      </w:r>
      <w:r>
        <w:rPr>
          <w:sz w:val="16"/>
        </w:rPr>
        <w:t>Diana</w:t>
      </w:r>
      <w:r>
        <w:rPr>
          <w:spacing w:val="-4"/>
          <w:sz w:val="16"/>
        </w:rPr>
        <w:t> </w:t>
      </w:r>
      <w:r>
        <w:rPr>
          <w:sz w:val="16"/>
        </w:rPr>
        <w:t>Guarnizo,</w:t>
      </w:r>
      <w:r>
        <w:rPr>
          <w:spacing w:val="-4"/>
          <w:sz w:val="16"/>
        </w:rPr>
        <w:t> </w:t>
      </w:r>
      <w:r>
        <w:rPr>
          <w:sz w:val="16"/>
        </w:rPr>
        <w:t>Directora de Investigaciones en Justicia Económica; Felipe Bley Folly, Abogado; Fernando Priyanthi, Director Ejecutivo; y Jennifer Castelo, Jefa Jurídica Interina. El documento trata sobre la “competencia y facultad” de la Corte para pronunciarse sobre “violaciones de los derechos garantizados por el [a]rtículo 26 de la Convención […] incluyendo los derechos a un medio ambiente sano, identidad cultural, alimentación y</w:t>
      </w:r>
      <w:r>
        <w:rPr>
          <w:spacing w:val="-30"/>
          <w:sz w:val="16"/>
        </w:rPr>
        <w:t> </w:t>
      </w:r>
      <w:r>
        <w:rPr>
          <w:sz w:val="16"/>
        </w:rPr>
        <w:t>agua”.</w:t>
      </w:r>
    </w:p>
    <w:p>
      <w:pPr>
        <w:pStyle w:val="BodyText"/>
        <w:spacing w:before="11"/>
        <w:rPr>
          <w:sz w:val="15"/>
        </w:rPr>
      </w:pPr>
    </w:p>
    <w:p>
      <w:pPr>
        <w:tabs>
          <w:tab w:pos="829" w:val="left" w:leader="none"/>
        </w:tabs>
        <w:spacing w:line="240" w:lineRule="auto" w:before="0"/>
        <w:ind w:left="122" w:right="116" w:firstLine="0"/>
        <w:jc w:val="both"/>
        <w:rPr>
          <w:sz w:val="16"/>
        </w:rPr>
      </w:pPr>
      <w:r>
        <w:rPr>
          <w:position w:val="6"/>
          <w:sz w:val="10"/>
        </w:rPr>
        <w:t>11</w:t>
        <w:tab/>
      </w:r>
      <w:r>
        <w:rPr>
          <w:sz w:val="16"/>
        </w:rPr>
        <w:t>La</w:t>
      </w:r>
      <w:r>
        <w:rPr>
          <w:spacing w:val="-11"/>
          <w:sz w:val="16"/>
        </w:rPr>
        <w:t> </w:t>
      </w:r>
      <w:r>
        <w:rPr>
          <w:sz w:val="16"/>
        </w:rPr>
        <w:t>misiva,</w:t>
      </w:r>
      <w:r>
        <w:rPr>
          <w:spacing w:val="-12"/>
          <w:sz w:val="16"/>
        </w:rPr>
        <w:t> </w:t>
      </w:r>
      <w:r>
        <w:rPr>
          <w:sz w:val="16"/>
        </w:rPr>
        <w:t>firmada</w:t>
      </w:r>
      <w:r>
        <w:rPr>
          <w:spacing w:val="-11"/>
          <w:sz w:val="16"/>
        </w:rPr>
        <w:t> </w:t>
      </w:r>
      <w:r>
        <w:rPr>
          <w:sz w:val="16"/>
        </w:rPr>
        <w:t>por</w:t>
      </w:r>
      <w:r>
        <w:rPr>
          <w:spacing w:val="-12"/>
          <w:sz w:val="16"/>
        </w:rPr>
        <w:t> </w:t>
      </w:r>
      <w:r>
        <w:rPr>
          <w:sz w:val="16"/>
        </w:rPr>
        <w:t>Rodrigo</w:t>
      </w:r>
      <w:r>
        <w:rPr>
          <w:spacing w:val="-12"/>
          <w:sz w:val="16"/>
        </w:rPr>
        <w:t> </w:t>
      </w:r>
      <w:r>
        <w:rPr>
          <w:sz w:val="16"/>
        </w:rPr>
        <w:t>Villagra</w:t>
      </w:r>
      <w:r>
        <w:rPr>
          <w:spacing w:val="-11"/>
          <w:sz w:val="16"/>
        </w:rPr>
        <w:t> </w:t>
      </w:r>
      <w:r>
        <w:rPr>
          <w:sz w:val="16"/>
        </w:rPr>
        <w:t>Carrón,</w:t>
      </w:r>
      <w:r>
        <w:rPr>
          <w:spacing w:val="-12"/>
          <w:sz w:val="16"/>
        </w:rPr>
        <w:t> </w:t>
      </w:r>
      <w:r>
        <w:rPr>
          <w:sz w:val="16"/>
        </w:rPr>
        <w:t>Julia</w:t>
      </w:r>
      <w:r>
        <w:rPr>
          <w:spacing w:val="-11"/>
          <w:sz w:val="16"/>
        </w:rPr>
        <w:t> </w:t>
      </w:r>
      <w:r>
        <w:rPr>
          <w:sz w:val="16"/>
        </w:rPr>
        <w:t>Cabello</w:t>
      </w:r>
      <w:r>
        <w:rPr>
          <w:spacing w:val="-12"/>
          <w:sz w:val="16"/>
        </w:rPr>
        <w:t> </w:t>
      </w:r>
      <w:r>
        <w:rPr>
          <w:sz w:val="16"/>
        </w:rPr>
        <w:t>Alonso</w:t>
      </w:r>
      <w:r>
        <w:rPr>
          <w:spacing w:val="-12"/>
          <w:sz w:val="16"/>
        </w:rPr>
        <w:t> </w:t>
      </w:r>
      <w:r>
        <w:rPr>
          <w:sz w:val="16"/>
        </w:rPr>
        <w:t>y</w:t>
      </w:r>
      <w:r>
        <w:rPr>
          <w:spacing w:val="-12"/>
          <w:sz w:val="16"/>
        </w:rPr>
        <w:t> </w:t>
      </w:r>
      <w:r>
        <w:rPr>
          <w:sz w:val="16"/>
        </w:rPr>
        <w:t>Oscar</w:t>
      </w:r>
      <w:r>
        <w:rPr>
          <w:spacing w:val="-10"/>
          <w:sz w:val="16"/>
        </w:rPr>
        <w:t> </w:t>
      </w:r>
      <w:r>
        <w:rPr>
          <w:sz w:val="16"/>
        </w:rPr>
        <w:t>Ayala</w:t>
      </w:r>
      <w:r>
        <w:rPr>
          <w:spacing w:val="-11"/>
          <w:sz w:val="16"/>
        </w:rPr>
        <w:t> </w:t>
      </w:r>
      <w:r>
        <w:rPr>
          <w:sz w:val="16"/>
        </w:rPr>
        <w:t>Amarilla</w:t>
      </w:r>
      <w:r>
        <w:rPr>
          <w:spacing w:val="-11"/>
          <w:sz w:val="16"/>
        </w:rPr>
        <w:t> </w:t>
      </w:r>
      <w:r>
        <w:rPr>
          <w:sz w:val="16"/>
        </w:rPr>
        <w:t>trata</w:t>
      </w:r>
      <w:r>
        <w:rPr>
          <w:spacing w:val="-11"/>
          <w:sz w:val="16"/>
        </w:rPr>
        <w:t> </w:t>
      </w:r>
      <w:r>
        <w:rPr>
          <w:sz w:val="16"/>
        </w:rPr>
        <w:t>sobre</w:t>
      </w:r>
      <w:r>
        <w:rPr>
          <w:w w:val="100"/>
          <w:sz w:val="16"/>
        </w:rPr>
        <w:t> </w:t>
      </w:r>
      <w:r>
        <w:rPr>
          <w:sz w:val="16"/>
        </w:rPr>
        <w:t>temas que fueron identificados del siguiente modo: “[e]l sentido de la tierra para los [p]ueblos indígenas en relación al reclamo de tierra de los criollos [y el r]ol de los criollos en el caso concreto”; “[e]l tiempo como factor  determinante  en  la  concreción  de  derechos  humanos”;  “[a]cuerdos  arribados  entre  las  </w:t>
      </w:r>
      <w:r>
        <w:rPr>
          <w:spacing w:val="19"/>
          <w:sz w:val="16"/>
        </w:rPr>
        <w:t> </w:t>
      </w:r>
      <w:r>
        <w:rPr>
          <w:sz w:val="16"/>
        </w:rPr>
        <w:t>partes</w:t>
      </w:r>
    </w:p>
    <w:p>
      <w:pPr>
        <w:spacing w:after="0" w:line="240" w:lineRule="auto"/>
        <w:jc w:val="both"/>
        <w:rPr>
          <w:sz w:val="16"/>
        </w:rPr>
        <w:sectPr>
          <w:pgSz w:w="12240" w:h="15840"/>
          <w:pgMar w:header="0" w:footer="1000" w:top="1340" w:bottom="1200" w:left="1580" w:right="1580"/>
        </w:sectPr>
      </w:pPr>
    </w:p>
    <w:p>
      <w:pPr>
        <w:pStyle w:val="BodyText"/>
        <w:spacing w:before="76"/>
        <w:ind w:left="122"/>
        <w:jc w:val="both"/>
      </w:pPr>
      <w:r>
        <w:rPr/>
        <w:t>Humanos de la Facultad de Derecho de la Universidad de Buenos Aires (CDH-UBA)</w:t>
      </w:r>
      <w:r>
        <w:rPr>
          <w:position w:val="7"/>
          <w:sz w:val="13"/>
        </w:rPr>
        <w:t>12</w:t>
      </w:r>
      <w:r>
        <w:rPr/>
        <w:t>, y</w:t>
      </w:r>
    </w:p>
    <w:p>
      <w:pPr>
        <w:pStyle w:val="BodyText"/>
        <w:spacing w:before="1"/>
        <w:ind w:left="122" w:right="136"/>
        <w:jc w:val="both"/>
      </w:pPr>
      <w:r>
        <w:rPr/>
        <w:t>viii) Oliver de Schutter, Profesor de la Universidad Católica de Lovaina y ex Relator Especial de las Naciones Unidas sobre el Derecho a la Alimentación (2008 – 2014)</w:t>
      </w:r>
      <w:r>
        <w:rPr>
          <w:position w:val="7"/>
          <w:sz w:val="13"/>
        </w:rPr>
        <w:t>13</w:t>
      </w:r>
      <w:r>
        <w:rPr/>
        <w:t>.</w:t>
      </w:r>
    </w:p>
    <w:p>
      <w:pPr>
        <w:pStyle w:val="BodyText"/>
      </w:pPr>
    </w:p>
    <w:p>
      <w:pPr>
        <w:pStyle w:val="ListParagraph"/>
        <w:numPr>
          <w:ilvl w:val="0"/>
          <w:numId w:val="14"/>
        </w:numPr>
        <w:tabs>
          <w:tab w:pos="830" w:val="left" w:leader="none"/>
        </w:tabs>
        <w:spacing w:line="240" w:lineRule="auto" w:before="0" w:after="0"/>
        <w:ind w:left="122" w:right="123" w:hanging="12"/>
        <w:jc w:val="both"/>
        <w:rPr>
          <w:sz w:val="20"/>
        </w:rPr>
      </w:pPr>
      <w:r>
        <w:rPr>
          <w:i/>
          <w:sz w:val="20"/>
        </w:rPr>
        <w:t>Diligencia</w:t>
      </w:r>
      <w:r>
        <w:rPr>
          <w:i/>
          <w:spacing w:val="-10"/>
          <w:sz w:val="20"/>
        </w:rPr>
        <w:t> </w:t>
      </w:r>
      <w:r>
        <w:rPr>
          <w:i/>
          <w:sz w:val="20"/>
        </w:rPr>
        <w:t>in</w:t>
      </w:r>
      <w:r>
        <w:rPr>
          <w:i/>
          <w:spacing w:val="-9"/>
          <w:sz w:val="20"/>
        </w:rPr>
        <w:t> </w:t>
      </w:r>
      <w:r>
        <w:rPr>
          <w:i/>
          <w:sz w:val="20"/>
        </w:rPr>
        <w:t>situ</w:t>
      </w:r>
      <w:r>
        <w:rPr>
          <w:sz w:val="20"/>
        </w:rPr>
        <w:t>.-</w:t>
      </w:r>
      <w:r>
        <w:rPr>
          <w:spacing w:val="-10"/>
          <w:sz w:val="20"/>
        </w:rPr>
        <w:t> </w:t>
      </w:r>
      <w:r>
        <w:rPr>
          <w:sz w:val="20"/>
        </w:rPr>
        <w:t>En</w:t>
      </w:r>
      <w:r>
        <w:rPr>
          <w:spacing w:val="-9"/>
          <w:sz w:val="20"/>
        </w:rPr>
        <w:t> </w:t>
      </w:r>
      <w:r>
        <w:rPr>
          <w:sz w:val="20"/>
        </w:rPr>
        <w:t>su</w:t>
      </w:r>
      <w:r>
        <w:rPr>
          <w:spacing w:val="-8"/>
          <w:sz w:val="20"/>
        </w:rPr>
        <w:t> </w:t>
      </w:r>
      <w:r>
        <w:rPr>
          <w:sz w:val="20"/>
        </w:rPr>
        <w:t>escrito</w:t>
      </w:r>
      <w:r>
        <w:rPr>
          <w:spacing w:val="-11"/>
          <w:sz w:val="20"/>
        </w:rPr>
        <w:t> </w:t>
      </w:r>
      <w:r>
        <w:rPr>
          <w:sz w:val="20"/>
        </w:rPr>
        <w:t>de</w:t>
      </w:r>
      <w:r>
        <w:rPr>
          <w:spacing w:val="-9"/>
          <w:sz w:val="20"/>
        </w:rPr>
        <w:t> </w:t>
      </w:r>
      <w:r>
        <w:rPr>
          <w:sz w:val="20"/>
        </w:rPr>
        <w:t>solicitudes</w:t>
      </w:r>
      <w:r>
        <w:rPr>
          <w:spacing w:val="-11"/>
          <w:sz w:val="20"/>
        </w:rPr>
        <w:t> </w:t>
      </w:r>
      <w:r>
        <w:rPr>
          <w:sz w:val="20"/>
        </w:rPr>
        <w:t>y</w:t>
      </w:r>
      <w:r>
        <w:rPr>
          <w:spacing w:val="-7"/>
          <w:sz w:val="20"/>
        </w:rPr>
        <w:t> </w:t>
      </w:r>
      <w:r>
        <w:rPr>
          <w:sz w:val="20"/>
        </w:rPr>
        <w:t>argumentos,</w:t>
      </w:r>
      <w:r>
        <w:rPr>
          <w:spacing w:val="-9"/>
          <w:sz w:val="20"/>
        </w:rPr>
        <w:t> </w:t>
      </w:r>
      <w:r>
        <w:rPr>
          <w:sz w:val="20"/>
        </w:rPr>
        <w:t>como</w:t>
      </w:r>
      <w:r>
        <w:rPr>
          <w:spacing w:val="-11"/>
          <w:sz w:val="20"/>
        </w:rPr>
        <w:t> </w:t>
      </w:r>
      <w:r>
        <w:rPr>
          <w:sz w:val="20"/>
        </w:rPr>
        <w:t>también</w:t>
      </w:r>
      <w:r>
        <w:rPr>
          <w:spacing w:val="-9"/>
          <w:sz w:val="20"/>
        </w:rPr>
        <w:t> </w:t>
      </w:r>
      <w:r>
        <w:rPr>
          <w:sz w:val="20"/>
        </w:rPr>
        <w:t>el</w:t>
      </w:r>
      <w:r>
        <w:rPr>
          <w:spacing w:val="-10"/>
          <w:sz w:val="20"/>
        </w:rPr>
        <w:t> </w:t>
      </w:r>
      <w:r>
        <w:rPr>
          <w:sz w:val="20"/>
        </w:rPr>
        <w:t>31 de octubre de 2018, los representantes solicitaron la realización de una “visita a terreno”. El 13 de noviembre de 2018, el Estado señaló que la diligencia </w:t>
      </w:r>
      <w:r>
        <w:rPr>
          <w:i/>
          <w:sz w:val="20"/>
        </w:rPr>
        <w:t>in situ </w:t>
      </w:r>
      <w:r>
        <w:rPr>
          <w:sz w:val="20"/>
        </w:rPr>
        <w:t>(en adelante</w:t>
      </w:r>
      <w:r>
        <w:rPr>
          <w:spacing w:val="-20"/>
          <w:sz w:val="20"/>
        </w:rPr>
        <w:t> </w:t>
      </w:r>
      <w:r>
        <w:rPr>
          <w:sz w:val="20"/>
        </w:rPr>
        <w:t>también</w:t>
      </w:r>
      <w:r>
        <w:rPr>
          <w:spacing w:val="-18"/>
          <w:sz w:val="20"/>
        </w:rPr>
        <w:t> </w:t>
      </w:r>
      <w:r>
        <w:rPr>
          <w:sz w:val="20"/>
        </w:rPr>
        <w:t>“la</w:t>
      </w:r>
      <w:r>
        <w:rPr>
          <w:spacing w:val="-20"/>
          <w:sz w:val="20"/>
        </w:rPr>
        <w:t> </w:t>
      </w:r>
      <w:r>
        <w:rPr>
          <w:sz w:val="20"/>
        </w:rPr>
        <w:t>visita</w:t>
      </w:r>
      <w:r>
        <w:rPr>
          <w:spacing w:val="-20"/>
          <w:sz w:val="20"/>
        </w:rPr>
        <w:t> </w:t>
      </w:r>
      <w:r>
        <w:rPr>
          <w:sz w:val="20"/>
        </w:rPr>
        <w:t>a</w:t>
      </w:r>
      <w:r>
        <w:rPr>
          <w:spacing w:val="-20"/>
          <w:sz w:val="20"/>
        </w:rPr>
        <w:t> </w:t>
      </w:r>
      <w:r>
        <w:rPr>
          <w:sz w:val="20"/>
        </w:rPr>
        <w:t>terreno”</w:t>
      </w:r>
      <w:r>
        <w:rPr>
          <w:spacing w:val="-20"/>
          <w:sz w:val="20"/>
        </w:rPr>
        <w:t> </w:t>
      </w:r>
      <w:r>
        <w:rPr>
          <w:sz w:val="20"/>
        </w:rPr>
        <w:t>o</w:t>
      </w:r>
      <w:r>
        <w:rPr>
          <w:spacing w:val="-19"/>
          <w:sz w:val="20"/>
        </w:rPr>
        <w:t> </w:t>
      </w:r>
      <w:r>
        <w:rPr>
          <w:sz w:val="20"/>
        </w:rPr>
        <w:t>“la</w:t>
      </w:r>
      <w:r>
        <w:rPr>
          <w:spacing w:val="-20"/>
          <w:sz w:val="20"/>
        </w:rPr>
        <w:t> </w:t>
      </w:r>
      <w:r>
        <w:rPr>
          <w:sz w:val="20"/>
        </w:rPr>
        <w:t>visita”)</w:t>
      </w:r>
      <w:r>
        <w:rPr>
          <w:spacing w:val="-17"/>
          <w:sz w:val="20"/>
        </w:rPr>
        <w:t> </w:t>
      </w:r>
      <w:r>
        <w:rPr>
          <w:sz w:val="20"/>
        </w:rPr>
        <w:t>era</w:t>
      </w:r>
      <w:r>
        <w:rPr>
          <w:spacing w:val="-20"/>
          <w:sz w:val="20"/>
        </w:rPr>
        <w:t> </w:t>
      </w:r>
      <w:r>
        <w:rPr>
          <w:sz w:val="20"/>
        </w:rPr>
        <w:t>de</w:t>
      </w:r>
      <w:r>
        <w:rPr>
          <w:spacing w:val="-21"/>
          <w:sz w:val="20"/>
        </w:rPr>
        <w:t> </w:t>
      </w:r>
      <w:r>
        <w:rPr>
          <w:sz w:val="20"/>
        </w:rPr>
        <w:t>suma</w:t>
      </w:r>
      <w:r>
        <w:rPr>
          <w:spacing w:val="-20"/>
          <w:sz w:val="20"/>
        </w:rPr>
        <w:t> </w:t>
      </w:r>
      <w:r>
        <w:rPr>
          <w:sz w:val="20"/>
        </w:rPr>
        <w:t>importancia</w:t>
      </w:r>
      <w:r>
        <w:rPr>
          <w:spacing w:val="-20"/>
          <w:sz w:val="20"/>
        </w:rPr>
        <w:t> </w:t>
      </w:r>
      <w:r>
        <w:rPr>
          <w:sz w:val="20"/>
        </w:rPr>
        <w:t>y</w:t>
      </w:r>
      <w:r>
        <w:rPr>
          <w:spacing w:val="-20"/>
          <w:sz w:val="20"/>
        </w:rPr>
        <w:t> </w:t>
      </w:r>
      <w:r>
        <w:rPr>
          <w:sz w:val="20"/>
        </w:rPr>
        <w:t>la</w:t>
      </w:r>
      <w:r>
        <w:rPr>
          <w:spacing w:val="-20"/>
          <w:sz w:val="20"/>
        </w:rPr>
        <w:t> </w:t>
      </w:r>
      <w:r>
        <w:rPr>
          <w:sz w:val="20"/>
        </w:rPr>
        <w:t>Comisión consideró</w:t>
      </w:r>
      <w:r>
        <w:rPr>
          <w:spacing w:val="-15"/>
          <w:sz w:val="20"/>
        </w:rPr>
        <w:t> </w:t>
      </w:r>
      <w:r>
        <w:rPr>
          <w:sz w:val="20"/>
        </w:rPr>
        <w:t>que</w:t>
      </w:r>
      <w:r>
        <w:rPr>
          <w:spacing w:val="-13"/>
          <w:sz w:val="20"/>
        </w:rPr>
        <w:t> </w:t>
      </w:r>
      <w:r>
        <w:rPr>
          <w:sz w:val="20"/>
        </w:rPr>
        <w:t>era</w:t>
      </w:r>
      <w:r>
        <w:rPr>
          <w:spacing w:val="-13"/>
          <w:sz w:val="20"/>
        </w:rPr>
        <w:t> </w:t>
      </w:r>
      <w:r>
        <w:rPr>
          <w:sz w:val="20"/>
        </w:rPr>
        <w:t>“útil</w:t>
      </w:r>
      <w:r>
        <w:rPr>
          <w:spacing w:val="-13"/>
          <w:sz w:val="20"/>
        </w:rPr>
        <w:t> </w:t>
      </w:r>
      <w:r>
        <w:rPr>
          <w:sz w:val="20"/>
        </w:rPr>
        <w:t>y</w:t>
      </w:r>
      <w:r>
        <w:rPr>
          <w:spacing w:val="-12"/>
          <w:sz w:val="20"/>
        </w:rPr>
        <w:t> </w:t>
      </w:r>
      <w:r>
        <w:rPr>
          <w:sz w:val="20"/>
        </w:rPr>
        <w:t>pertinente”.</w:t>
      </w:r>
      <w:r>
        <w:rPr>
          <w:spacing w:val="-8"/>
          <w:sz w:val="20"/>
        </w:rPr>
        <w:t> </w:t>
      </w:r>
      <w:r>
        <w:rPr>
          <w:sz w:val="20"/>
        </w:rPr>
        <w:t>La</w:t>
      </w:r>
      <w:r>
        <w:rPr>
          <w:spacing w:val="-13"/>
          <w:sz w:val="20"/>
        </w:rPr>
        <w:t> </w:t>
      </w:r>
      <w:r>
        <w:rPr>
          <w:sz w:val="20"/>
        </w:rPr>
        <w:t>Corte,</w:t>
      </w:r>
      <w:r>
        <w:rPr>
          <w:spacing w:val="-12"/>
          <w:sz w:val="20"/>
        </w:rPr>
        <w:t> </w:t>
      </w:r>
      <w:r>
        <w:rPr>
          <w:sz w:val="20"/>
        </w:rPr>
        <w:t>considerando</w:t>
      </w:r>
      <w:r>
        <w:rPr>
          <w:spacing w:val="-12"/>
          <w:sz w:val="20"/>
        </w:rPr>
        <w:t> </w:t>
      </w:r>
      <w:r>
        <w:rPr>
          <w:sz w:val="20"/>
        </w:rPr>
        <w:t>el</w:t>
      </w:r>
      <w:r>
        <w:rPr>
          <w:spacing w:val="-14"/>
          <w:sz w:val="20"/>
        </w:rPr>
        <w:t> </w:t>
      </w:r>
      <w:r>
        <w:rPr>
          <w:sz w:val="20"/>
        </w:rPr>
        <w:t>principio</w:t>
      </w:r>
      <w:r>
        <w:rPr>
          <w:spacing w:val="-12"/>
          <w:sz w:val="20"/>
        </w:rPr>
        <w:t> </w:t>
      </w:r>
      <w:r>
        <w:rPr>
          <w:sz w:val="20"/>
        </w:rPr>
        <w:t>de</w:t>
      </w:r>
      <w:r>
        <w:rPr>
          <w:spacing w:val="-15"/>
          <w:sz w:val="20"/>
        </w:rPr>
        <w:t> </w:t>
      </w:r>
      <w:r>
        <w:rPr>
          <w:sz w:val="20"/>
        </w:rPr>
        <w:t>inmediación, entendió procedente llevar a cabo la diligencia </w:t>
      </w:r>
      <w:r>
        <w:rPr>
          <w:i/>
          <w:sz w:val="20"/>
        </w:rPr>
        <w:t>in situ</w:t>
      </w:r>
      <w:r>
        <w:rPr>
          <w:sz w:val="20"/>
        </w:rPr>
        <w:t>, que fue realizada el 17 de mayo de</w:t>
      </w:r>
      <w:r>
        <w:rPr>
          <w:spacing w:val="-14"/>
          <w:sz w:val="20"/>
        </w:rPr>
        <w:t> </w:t>
      </w:r>
      <w:r>
        <w:rPr>
          <w:sz w:val="20"/>
        </w:rPr>
        <w:t>2019</w:t>
      </w:r>
      <w:r>
        <w:rPr>
          <w:position w:val="7"/>
          <w:sz w:val="13"/>
        </w:rPr>
        <w:t>14</w:t>
      </w:r>
      <w:r>
        <w:rPr>
          <w:sz w:val="20"/>
        </w:rPr>
        <w:t>.</w:t>
      </w:r>
      <w:r>
        <w:rPr>
          <w:spacing w:val="-25"/>
          <w:sz w:val="20"/>
        </w:rPr>
        <w:t> </w:t>
      </w:r>
      <w:r>
        <w:rPr>
          <w:sz w:val="20"/>
        </w:rPr>
        <w:t>Durante</w:t>
      </w:r>
      <w:r>
        <w:rPr>
          <w:spacing w:val="-14"/>
          <w:sz w:val="20"/>
        </w:rPr>
        <w:t> </w:t>
      </w:r>
      <w:r>
        <w:rPr>
          <w:sz w:val="20"/>
        </w:rPr>
        <w:t>la</w:t>
      </w:r>
      <w:r>
        <w:rPr>
          <w:spacing w:val="-10"/>
          <w:sz w:val="20"/>
        </w:rPr>
        <w:t> </w:t>
      </w:r>
      <w:r>
        <w:rPr>
          <w:sz w:val="20"/>
        </w:rPr>
        <w:t>visita,</w:t>
      </w:r>
      <w:r>
        <w:rPr>
          <w:spacing w:val="-13"/>
          <w:sz w:val="20"/>
        </w:rPr>
        <w:t> </w:t>
      </w:r>
      <w:r>
        <w:rPr>
          <w:sz w:val="20"/>
        </w:rPr>
        <w:t>en</w:t>
      </w:r>
      <w:r>
        <w:rPr>
          <w:spacing w:val="-9"/>
          <w:sz w:val="20"/>
        </w:rPr>
        <w:t> </w:t>
      </w:r>
      <w:r>
        <w:rPr>
          <w:sz w:val="20"/>
        </w:rPr>
        <w:t>la</w:t>
      </w:r>
      <w:r>
        <w:rPr>
          <w:spacing w:val="-12"/>
          <w:sz w:val="20"/>
        </w:rPr>
        <w:t> </w:t>
      </w:r>
      <w:r>
        <w:rPr>
          <w:sz w:val="20"/>
        </w:rPr>
        <w:t>localidad</w:t>
      </w:r>
      <w:r>
        <w:rPr>
          <w:spacing w:val="-12"/>
          <w:sz w:val="20"/>
        </w:rPr>
        <w:t> </w:t>
      </w:r>
      <w:r>
        <w:rPr>
          <w:sz w:val="20"/>
        </w:rPr>
        <w:t>de</w:t>
      </w:r>
      <w:r>
        <w:rPr>
          <w:spacing w:val="-14"/>
          <w:sz w:val="20"/>
        </w:rPr>
        <w:t> </w:t>
      </w:r>
      <w:r>
        <w:rPr>
          <w:sz w:val="20"/>
        </w:rPr>
        <w:t>Santa</w:t>
      </w:r>
      <w:r>
        <w:rPr>
          <w:spacing w:val="-12"/>
          <w:sz w:val="20"/>
        </w:rPr>
        <w:t> </w:t>
      </w:r>
      <w:r>
        <w:rPr>
          <w:sz w:val="20"/>
        </w:rPr>
        <w:t>María</w:t>
      </w:r>
      <w:r>
        <w:rPr>
          <w:spacing w:val="-10"/>
          <w:sz w:val="20"/>
        </w:rPr>
        <w:t> </w:t>
      </w:r>
      <w:r>
        <w:rPr>
          <w:sz w:val="20"/>
        </w:rPr>
        <w:t>se</w:t>
      </w:r>
      <w:r>
        <w:rPr>
          <w:spacing w:val="-14"/>
          <w:sz w:val="20"/>
        </w:rPr>
        <w:t> </w:t>
      </w:r>
      <w:r>
        <w:rPr>
          <w:sz w:val="20"/>
        </w:rPr>
        <w:t>llevó</w:t>
      </w:r>
      <w:r>
        <w:rPr>
          <w:spacing w:val="-12"/>
          <w:sz w:val="20"/>
        </w:rPr>
        <w:t> </w:t>
      </w:r>
      <w:r>
        <w:rPr>
          <w:sz w:val="20"/>
        </w:rPr>
        <w:t>a</w:t>
      </w:r>
      <w:r>
        <w:rPr>
          <w:spacing w:val="-10"/>
          <w:sz w:val="20"/>
        </w:rPr>
        <w:t> </w:t>
      </w:r>
      <w:r>
        <w:rPr>
          <w:sz w:val="20"/>
        </w:rPr>
        <w:t>cabo</w:t>
      </w:r>
      <w:r>
        <w:rPr>
          <w:spacing w:val="-9"/>
          <w:sz w:val="20"/>
        </w:rPr>
        <w:t> </w:t>
      </w:r>
      <w:r>
        <w:rPr>
          <w:sz w:val="20"/>
        </w:rPr>
        <w:t>una</w:t>
      </w:r>
      <w:r>
        <w:rPr>
          <w:spacing w:val="-12"/>
          <w:sz w:val="20"/>
        </w:rPr>
        <w:t> </w:t>
      </w:r>
      <w:r>
        <w:rPr>
          <w:sz w:val="20"/>
        </w:rPr>
        <w:t>asamblea de representantes de comunidades indígenas. En esa oportunidad, los mismos se pronunciaron sobre el objeto de la solicitud a la Corte. Posteriormente, se realizó un recorrido por las zonas aledañas a Santa María, a fin de observar, principalmente, la presencia</w:t>
      </w:r>
      <w:r>
        <w:rPr>
          <w:spacing w:val="-8"/>
          <w:sz w:val="20"/>
        </w:rPr>
        <w:t> </w:t>
      </w:r>
      <w:r>
        <w:rPr>
          <w:sz w:val="20"/>
        </w:rPr>
        <w:t>aducida</w:t>
      </w:r>
      <w:r>
        <w:rPr>
          <w:spacing w:val="-10"/>
          <w:sz w:val="20"/>
        </w:rPr>
        <w:t> </w:t>
      </w:r>
      <w:r>
        <w:rPr>
          <w:sz w:val="20"/>
        </w:rPr>
        <w:t>de</w:t>
      </w:r>
      <w:r>
        <w:rPr>
          <w:spacing w:val="-12"/>
          <w:sz w:val="20"/>
        </w:rPr>
        <w:t> </w:t>
      </w:r>
      <w:r>
        <w:rPr>
          <w:sz w:val="20"/>
        </w:rPr>
        <w:t>alambrados</w:t>
      </w:r>
      <w:r>
        <w:rPr>
          <w:spacing w:val="-8"/>
          <w:sz w:val="20"/>
        </w:rPr>
        <w:t> </w:t>
      </w:r>
      <w:r>
        <w:rPr>
          <w:sz w:val="20"/>
        </w:rPr>
        <w:t>y</w:t>
      </w:r>
      <w:r>
        <w:rPr>
          <w:spacing w:val="-9"/>
          <w:sz w:val="20"/>
        </w:rPr>
        <w:t> </w:t>
      </w:r>
      <w:r>
        <w:rPr>
          <w:sz w:val="20"/>
        </w:rPr>
        <w:t>ganado.</w:t>
      </w:r>
      <w:r>
        <w:rPr>
          <w:spacing w:val="-8"/>
          <w:sz w:val="20"/>
        </w:rPr>
        <w:t> </w:t>
      </w:r>
      <w:r>
        <w:rPr>
          <w:sz w:val="20"/>
        </w:rPr>
        <w:t>Después</w:t>
      </w:r>
      <w:r>
        <w:rPr>
          <w:spacing w:val="-7"/>
          <w:sz w:val="20"/>
        </w:rPr>
        <w:t> </w:t>
      </w:r>
      <w:r>
        <w:rPr>
          <w:sz w:val="20"/>
        </w:rPr>
        <w:t>la</w:t>
      </w:r>
      <w:r>
        <w:rPr>
          <w:spacing w:val="-10"/>
          <w:sz w:val="20"/>
        </w:rPr>
        <w:t> </w:t>
      </w:r>
      <w:r>
        <w:rPr>
          <w:sz w:val="20"/>
        </w:rPr>
        <w:t>delegación</w:t>
      </w:r>
      <w:r>
        <w:rPr>
          <w:spacing w:val="-9"/>
          <w:sz w:val="20"/>
        </w:rPr>
        <w:t> </w:t>
      </w:r>
      <w:r>
        <w:rPr>
          <w:sz w:val="20"/>
        </w:rPr>
        <w:t>se</w:t>
      </w:r>
      <w:r>
        <w:rPr>
          <w:spacing w:val="-9"/>
          <w:sz w:val="20"/>
        </w:rPr>
        <w:t> </w:t>
      </w:r>
      <w:r>
        <w:rPr>
          <w:sz w:val="20"/>
        </w:rPr>
        <w:t>trasladó</w:t>
      </w:r>
      <w:r>
        <w:rPr>
          <w:spacing w:val="-9"/>
          <w:sz w:val="20"/>
        </w:rPr>
        <w:t> </w:t>
      </w:r>
      <w:r>
        <w:rPr>
          <w:sz w:val="20"/>
        </w:rPr>
        <w:t>al</w:t>
      </w:r>
      <w:r>
        <w:rPr>
          <w:spacing w:val="-7"/>
          <w:sz w:val="20"/>
        </w:rPr>
        <w:t> </w:t>
      </w:r>
      <w:r>
        <w:rPr>
          <w:sz w:val="20"/>
        </w:rPr>
        <w:t>Puente Internacional Misión la Paz. Además, en la localidad de Santa Victoria Este, se llevó a cabo una reunión con representantes de familias criollas. Concluido lo anterior se observó parte de la zona en que, según señalamientos de las partes y la Comisión, se relocalizarían familias criollas. Se tomó contacto con una familia criolla relocalizada que expuso su</w:t>
      </w:r>
      <w:r>
        <w:rPr>
          <w:spacing w:val="-9"/>
          <w:sz w:val="20"/>
        </w:rPr>
        <w:t> </w:t>
      </w:r>
      <w:r>
        <w:rPr>
          <w:sz w:val="20"/>
        </w:rPr>
        <w:t>situación.</w:t>
      </w:r>
    </w:p>
    <w:p>
      <w:pPr>
        <w:pStyle w:val="BodyText"/>
        <w:spacing w:before="10"/>
        <w:rPr>
          <w:sz w:val="19"/>
        </w:rPr>
      </w:pPr>
    </w:p>
    <w:p>
      <w:pPr>
        <w:pStyle w:val="ListParagraph"/>
        <w:numPr>
          <w:ilvl w:val="0"/>
          <w:numId w:val="14"/>
        </w:numPr>
        <w:tabs>
          <w:tab w:pos="830" w:val="left" w:leader="none"/>
        </w:tabs>
        <w:spacing w:line="240" w:lineRule="auto" w:before="0" w:after="0"/>
        <w:ind w:left="122" w:right="124" w:hanging="12"/>
        <w:jc w:val="both"/>
        <w:rPr>
          <w:sz w:val="20"/>
        </w:rPr>
      </w:pPr>
      <w:r>
        <w:rPr>
          <w:i/>
          <w:sz w:val="20"/>
        </w:rPr>
        <w:t>Alegatos y observaciones finales escritos. </w:t>
      </w:r>
      <w:r>
        <w:rPr>
          <w:sz w:val="20"/>
        </w:rPr>
        <w:t>– El 3 de junio de 2019 los representantes y Argentina remitieron sus alegatos finales escritos y documentos anexos, y la Comisión allegó sus observaciones finales escritas</w:t>
      </w:r>
      <w:r>
        <w:rPr>
          <w:position w:val="7"/>
          <w:sz w:val="13"/>
        </w:rPr>
        <w:t>15</w:t>
      </w:r>
      <w:r>
        <w:rPr>
          <w:sz w:val="20"/>
        </w:rPr>
        <w:t>. Los representantes informaron</w:t>
      </w:r>
      <w:r>
        <w:rPr>
          <w:spacing w:val="-13"/>
          <w:sz w:val="20"/>
        </w:rPr>
        <w:t> </w:t>
      </w:r>
      <w:r>
        <w:rPr>
          <w:sz w:val="20"/>
        </w:rPr>
        <w:t>hechos</w:t>
      </w:r>
      <w:r>
        <w:rPr>
          <w:spacing w:val="-15"/>
          <w:sz w:val="20"/>
        </w:rPr>
        <w:t> </w:t>
      </w:r>
      <w:r>
        <w:rPr>
          <w:sz w:val="20"/>
        </w:rPr>
        <w:t>posteriores</w:t>
      </w:r>
      <w:r>
        <w:rPr>
          <w:spacing w:val="-14"/>
          <w:sz w:val="20"/>
        </w:rPr>
        <w:t> </w:t>
      </w:r>
      <w:r>
        <w:rPr>
          <w:sz w:val="20"/>
        </w:rPr>
        <w:t>a</w:t>
      </w:r>
      <w:r>
        <w:rPr>
          <w:spacing w:val="-13"/>
          <w:sz w:val="20"/>
        </w:rPr>
        <w:t> </w:t>
      </w:r>
      <w:r>
        <w:rPr>
          <w:sz w:val="20"/>
        </w:rPr>
        <w:t>la</w:t>
      </w:r>
      <w:r>
        <w:rPr>
          <w:spacing w:val="-13"/>
          <w:sz w:val="20"/>
        </w:rPr>
        <w:t> </w:t>
      </w:r>
      <w:r>
        <w:rPr>
          <w:sz w:val="20"/>
        </w:rPr>
        <w:t>presentación</w:t>
      </w:r>
      <w:r>
        <w:rPr>
          <w:spacing w:val="-13"/>
          <w:sz w:val="20"/>
        </w:rPr>
        <w:t> </w:t>
      </w:r>
      <w:r>
        <w:rPr>
          <w:sz w:val="20"/>
        </w:rPr>
        <w:t>del</w:t>
      </w:r>
      <w:r>
        <w:rPr>
          <w:spacing w:val="-14"/>
          <w:sz w:val="20"/>
        </w:rPr>
        <w:t> </w:t>
      </w:r>
      <w:r>
        <w:rPr>
          <w:sz w:val="20"/>
        </w:rPr>
        <w:t>escrito</w:t>
      </w:r>
      <w:r>
        <w:rPr>
          <w:spacing w:val="-15"/>
          <w:sz w:val="20"/>
        </w:rPr>
        <w:t> </w:t>
      </w:r>
      <w:r>
        <w:rPr>
          <w:sz w:val="20"/>
        </w:rPr>
        <w:t>de</w:t>
      </w:r>
      <w:r>
        <w:rPr>
          <w:spacing w:val="-15"/>
          <w:sz w:val="20"/>
        </w:rPr>
        <w:t> </w:t>
      </w:r>
      <w:r>
        <w:rPr>
          <w:sz w:val="20"/>
        </w:rPr>
        <w:t>solicitudes</w:t>
      </w:r>
      <w:r>
        <w:rPr>
          <w:spacing w:val="-14"/>
          <w:sz w:val="20"/>
        </w:rPr>
        <w:t> </w:t>
      </w:r>
      <w:r>
        <w:rPr>
          <w:sz w:val="20"/>
        </w:rPr>
        <w:t>y</w:t>
      </w:r>
      <w:r>
        <w:rPr>
          <w:spacing w:val="-14"/>
          <w:sz w:val="20"/>
        </w:rPr>
        <w:t> </w:t>
      </w:r>
      <w:r>
        <w:rPr>
          <w:sz w:val="20"/>
        </w:rPr>
        <w:t>argumentos: el</w:t>
      </w:r>
      <w:r>
        <w:rPr>
          <w:spacing w:val="-15"/>
          <w:sz w:val="20"/>
        </w:rPr>
        <w:t> </w:t>
      </w:r>
      <w:r>
        <w:rPr>
          <w:sz w:val="20"/>
        </w:rPr>
        <w:t>incremento</w:t>
      </w:r>
      <w:r>
        <w:rPr>
          <w:spacing w:val="-14"/>
          <w:sz w:val="20"/>
        </w:rPr>
        <w:t> </w:t>
      </w:r>
      <w:r>
        <w:rPr>
          <w:sz w:val="20"/>
        </w:rPr>
        <w:t>del</w:t>
      </w:r>
      <w:r>
        <w:rPr>
          <w:spacing w:val="-13"/>
          <w:sz w:val="20"/>
        </w:rPr>
        <w:t> </w:t>
      </w:r>
      <w:r>
        <w:rPr>
          <w:sz w:val="20"/>
        </w:rPr>
        <w:t>número</w:t>
      </w:r>
      <w:r>
        <w:rPr>
          <w:spacing w:val="-16"/>
          <w:sz w:val="20"/>
        </w:rPr>
        <w:t> </w:t>
      </w:r>
      <w:r>
        <w:rPr>
          <w:sz w:val="20"/>
        </w:rPr>
        <w:t>de</w:t>
      </w:r>
      <w:r>
        <w:rPr>
          <w:spacing w:val="-14"/>
          <w:sz w:val="20"/>
        </w:rPr>
        <w:t> </w:t>
      </w:r>
      <w:r>
        <w:rPr>
          <w:sz w:val="20"/>
        </w:rPr>
        <w:t>comunidades</w:t>
      </w:r>
      <w:r>
        <w:rPr>
          <w:spacing w:val="-13"/>
          <w:sz w:val="20"/>
        </w:rPr>
        <w:t> </w:t>
      </w:r>
      <w:r>
        <w:rPr>
          <w:sz w:val="20"/>
        </w:rPr>
        <w:t>e</w:t>
      </w:r>
      <w:r>
        <w:rPr>
          <w:spacing w:val="-16"/>
          <w:sz w:val="20"/>
        </w:rPr>
        <w:t> </w:t>
      </w:r>
      <w:r>
        <w:rPr>
          <w:sz w:val="20"/>
        </w:rPr>
        <w:t>inundaciones</w:t>
      </w:r>
      <w:r>
        <w:rPr>
          <w:spacing w:val="-11"/>
          <w:sz w:val="20"/>
        </w:rPr>
        <w:t> </w:t>
      </w:r>
      <w:r>
        <w:rPr>
          <w:sz w:val="20"/>
        </w:rPr>
        <w:t>ocurridas</w:t>
      </w:r>
      <w:r>
        <w:rPr>
          <w:spacing w:val="-13"/>
          <w:sz w:val="20"/>
        </w:rPr>
        <w:t> </w:t>
      </w:r>
      <w:r>
        <w:rPr>
          <w:sz w:val="20"/>
        </w:rPr>
        <w:t>a</w:t>
      </w:r>
      <w:r>
        <w:rPr>
          <w:spacing w:val="-15"/>
          <w:sz w:val="20"/>
        </w:rPr>
        <w:t> </w:t>
      </w:r>
      <w:r>
        <w:rPr>
          <w:sz w:val="20"/>
        </w:rPr>
        <w:t>principios</w:t>
      </w:r>
      <w:r>
        <w:rPr>
          <w:spacing w:val="-16"/>
          <w:sz w:val="20"/>
        </w:rPr>
        <w:t> </w:t>
      </w:r>
      <w:r>
        <w:rPr>
          <w:sz w:val="20"/>
        </w:rPr>
        <w:t>de</w:t>
      </w:r>
      <w:r>
        <w:rPr>
          <w:spacing w:val="-16"/>
          <w:sz w:val="20"/>
        </w:rPr>
        <w:t> </w:t>
      </w:r>
      <w:r>
        <w:rPr>
          <w:sz w:val="20"/>
        </w:rPr>
        <w:t>2019 (</w:t>
      </w:r>
      <w:r>
        <w:rPr>
          <w:i/>
          <w:sz w:val="20"/>
        </w:rPr>
        <w:t>infra </w:t>
      </w:r>
      <w:r>
        <w:rPr>
          <w:sz w:val="20"/>
        </w:rPr>
        <w:t>párrs. 24, 28 y</w:t>
      </w:r>
      <w:r>
        <w:rPr>
          <w:spacing w:val="-11"/>
          <w:sz w:val="20"/>
        </w:rPr>
        <w:t> </w:t>
      </w:r>
      <w:r>
        <w:rPr>
          <w:sz w:val="20"/>
        </w:rPr>
        <w:t>39).</w:t>
      </w:r>
    </w:p>
    <w:p>
      <w:pPr>
        <w:pStyle w:val="BodyText"/>
      </w:pPr>
    </w:p>
    <w:p>
      <w:pPr>
        <w:pStyle w:val="BodyText"/>
      </w:pPr>
    </w:p>
    <w:p>
      <w:pPr>
        <w:pStyle w:val="BodyText"/>
        <w:spacing w:before="4"/>
        <w:rPr>
          <w:sz w:val="13"/>
        </w:rPr>
      </w:pPr>
      <w:r>
        <w:rPr/>
        <w:pict>
          <v:line style="position:absolute;mso-position-horizontal-relative:page;mso-position-vertical-relative:paragraph;z-index:1144;mso-wrap-distance-left:0;mso-wrap-distance-right:0" from="85.103996pt,10.435643pt" to="229.123996pt,10.435643pt" stroked="true" strokeweight=".72pt" strokecolor="#000000">
            <v:stroke dashstyle="solid"/>
            <w10:wrap type="topAndBottom"/>
          </v:line>
        </w:pict>
      </w:r>
    </w:p>
    <w:p>
      <w:pPr>
        <w:spacing w:before="71"/>
        <w:ind w:left="122" w:right="121" w:firstLine="0"/>
        <w:jc w:val="both"/>
        <w:rPr>
          <w:sz w:val="16"/>
        </w:rPr>
      </w:pPr>
      <w:r>
        <w:rPr>
          <w:sz w:val="16"/>
        </w:rPr>
        <w:t>involucradas”; “[l]os compromisos internacionales y el presupuesto nacional”; “Estado provincial y Estado nacional”, y “[s]ujeto de derecho”.</w:t>
      </w:r>
    </w:p>
    <w:p>
      <w:pPr>
        <w:pStyle w:val="BodyText"/>
        <w:spacing w:before="11"/>
        <w:rPr>
          <w:sz w:val="15"/>
        </w:rPr>
      </w:pPr>
    </w:p>
    <w:p>
      <w:pPr>
        <w:tabs>
          <w:tab w:pos="829" w:val="left" w:leader="none"/>
        </w:tabs>
        <w:spacing w:before="0"/>
        <w:ind w:left="122" w:right="116" w:firstLine="0"/>
        <w:jc w:val="both"/>
        <w:rPr>
          <w:sz w:val="16"/>
        </w:rPr>
      </w:pPr>
      <w:r>
        <w:rPr>
          <w:position w:val="6"/>
          <w:sz w:val="10"/>
        </w:rPr>
        <w:t>12</w:t>
        <w:tab/>
      </w:r>
      <w:r>
        <w:rPr>
          <w:sz w:val="16"/>
        </w:rPr>
        <w:t>Martín Sigal (Director) y María Noel Leoni Zardo (Docente) suscribieron la carta, </w:t>
      </w:r>
      <w:r>
        <w:rPr>
          <w:spacing w:val="29"/>
          <w:sz w:val="16"/>
        </w:rPr>
        <w:t> </w:t>
      </w:r>
      <w:r>
        <w:rPr>
          <w:sz w:val="16"/>
        </w:rPr>
        <w:t>cuyos</w:t>
      </w:r>
      <w:r>
        <w:rPr>
          <w:spacing w:val="7"/>
          <w:sz w:val="16"/>
        </w:rPr>
        <w:t> </w:t>
      </w:r>
      <w:r>
        <w:rPr>
          <w:sz w:val="16"/>
        </w:rPr>
        <w:t>argumentos</w:t>
      </w:r>
      <w:r>
        <w:rPr>
          <w:w w:val="100"/>
          <w:sz w:val="16"/>
        </w:rPr>
        <w:t> </w:t>
      </w:r>
      <w:r>
        <w:rPr>
          <w:sz w:val="16"/>
        </w:rPr>
        <w:t>se refieren a la “inadecuación de la normativa federal [argentina] respecto de los estándares internacionales” en</w:t>
      </w:r>
      <w:r>
        <w:rPr>
          <w:spacing w:val="-9"/>
          <w:sz w:val="16"/>
        </w:rPr>
        <w:t> </w:t>
      </w:r>
      <w:r>
        <w:rPr>
          <w:sz w:val="16"/>
        </w:rPr>
        <w:t>cuanto</w:t>
      </w:r>
      <w:r>
        <w:rPr>
          <w:spacing w:val="-10"/>
          <w:sz w:val="16"/>
        </w:rPr>
        <w:t> </w:t>
      </w:r>
      <w:r>
        <w:rPr>
          <w:sz w:val="16"/>
        </w:rPr>
        <w:t>a</w:t>
      </w:r>
      <w:r>
        <w:rPr>
          <w:spacing w:val="-11"/>
          <w:sz w:val="16"/>
        </w:rPr>
        <w:t> </w:t>
      </w:r>
      <w:r>
        <w:rPr>
          <w:sz w:val="16"/>
        </w:rPr>
        <w:t>“los</w:t>
      </w:r>
      <w:r>
        <w:rPr>
          <w:spacing w:val="-11"/>
          <w:sz w:val="16"/>
        </w:rPr>
        <w:t> </w:t>
      </w:r>
      <w:r>
        <w:rPr>
          <w:sz w:val="16"/>
        </w:rPr>
        <w:t>derechos</w:t>
      </w:r>
      <w:r>
        <w:rPr>
          <w:spacing w:val="-13"/>
          <w:sz w:val="16"/>
        </w:rPr>
        <w:t> </w:t>
      </w:r>
      <w:r>
        <w:rPr>
          <w:sz w:val="16"/>
        </w:rPr>
        <w:t>de</w:t>
      </w:r>
      <w:r>
        <w:rPr>
          <w:spacing w:val="-11"/>
          <w:sz w:val="16"/>
        </w:rPr>
        <w:t> </w:t>
      </w:r>
      <w:r>
        <w:rPr>
          <w:sz w:val="16"/>
        </w:rPr>
        <w:t>las</w:t>
      </w:r>
      <w:r>
        <w:rPr>
          <w:spacing w:val="-8"/>
          <w:sz w:val="16"/>
        </w:rPr>
        <w:t> </w:t>
      </w:r>
      <w:r>
        <w:rPr>
          <w:sz w:val="16"/>
        </w:rPr>
        <w:t>comunidades</w:t>
      </w:r>
      <w:r>
        <w:rPr>
          <w:spacing w:val="-8"/>
          <w:sz w:val="16"/>
        </w:rPr>
        <w:t> </w:t>
      </w:r>
      <w:r>
        <w:rPr>
          <w:sz w:val="16"/>
        </w:rPr>
        <w:t>indígenas</w:t>
      </w:r>
      <w:r>
        <w:rPr>
          <w:spacing w:val="-11"/>
          <w:sz w:val="16"/>
        </w:rPr>
        <w:t> </w:t>
      </w:r>
      <w:r>
        <w:rPr>
          <w:sz w:val="16"/>
        </w:rPr>
        <w:t>a</w:t>
      </w:r>
      <w:r>
        <w:rPr>
          <w:spacing w:val="-11"/>
          <w:sz w:val="16"/>
        </w:rPr>
        <w:t> </w:t>
      </w:r>
      <w:r>
        <w:rPr>
          <w:sz w:val="16"/>
        </w:rPr>
        <w:t>obtener</w:t>
      </w:r>
      <w:r>
        <w:rPr>
          <w:spacing w:val="-10"/>
          <w:sz w:val="16"/>
        </w:rPr>
        <w:t> </w:t>
      </w:r>
      <w:r>
        <w:rPr>
          <w:sz w:val="16"/>
        </w:rPr>
        <w:t>un</w:t>
      </w:r>
      <w:r>
        <w:rPr>
          <w:spacing w:val="-12"/>
          <w:sz w:val="16"/>
        </w:rPr>
        <w:t> </w:t>
      </w:r>
      <w:r>
        <w:rPr>
          <w:sz w:val="16"/>
        </w:rPr>
        <w:t>reconocimiento</w:t>
      </w:r>
      <w:r>
        <w:rPr>
          <w:spacing w:val="-12"/>
          <w:sz w:val="16"/>
        </w:rPr>
        <w:t> </w:t>
      </w:r>
      <w:r>
        <w:rPr>
          <w:sz w:val="16"/>
        </w:rPr>
        <w:t>de</w:t>
      </w:r>
      <w:r>
        <w:rPr>
          <w:spacing w:val="-11"/>
          <w:sz w:val="16"/>
        </w:rPr>
        <w:t> </w:t>
      </w:r>
      <w:r>
        <w:rPr>
          <w:sz w:val="16"/>
        </w:rPr>
        <w:t>su</w:t>
      </w:r>
      <w:r>
        <w:rPr>
          <w:spacing w:val="-9"/>
          <w:sz w:val="16"/>
        </w:rPr>
        <w:t> </w:t>
      </w:r>
      <w:r>
        <w:rPr>
          <w:sz w:val="16"/>
        </w:rPr>
        <w:t>personería</w:t>
      </w:r>
      <w:r>
        <w:rPr>
          <w:spacing w:val="-11"/>
          <w:sz w:val="16"/>
        </w:rPr>
        <w:t> </w:t>
      </w:r>
      <w:r>
        <w:rPr>
          <w:sz w:val="16"/>
        </w:rPr>
        <w:t>jurídica y de acceder a sus</w:t>
      </w:r>
      <w:r>
        <w:rPr>
          <w:spacing w:val="-9"/>
          <w:sz w:val="16"/>
        </w:rPr>
        <w:t> </w:t>
      </w:r>
      <w:r>
        <w:rPr>
          <w:sz w:val="16"/>
        </w:rPr>
        <w:t>tierras”.</w:t>
      </w:r>
    </w:p>
    <w:p>
      <w:pPr>
        <w:pStyle w:val="BodyText"/>
        <w:spacing w:before="11"/>
        <w:rPr>
          <w:sz w:val="15"/>
        </w:rPr>
      </w:pPr>
    </w:p>
    <w:p>
      <w:pPr>
        <w:tabs>
          <w:tab w:pos="829" w:val="left" w:leader="none"/>
        </w:tabs>
        <w:spacing w:before="0"/>
        <w:ind w:left="122" w:right="0" w:firstLine="0"/>
        <w:jc w:val="both"/>
        <w:rPr>
          <w:sz w:val="16"/>
        </w:rPr>
      </w:pPr>
      <w:r>
        <w:rPr>
          <w:position w:val="6"/>
          <w:sz w:val="10"/>
        </w:rPr>
        <w:t>13</w:t>
        <w:tab/>
      </w:r>
      <w:r>
        <w:rPr>
          <w:sz w:val="16"/>
        </w:rPr>
        <w:t>El escrito trata sobre el derecho a la alimentación en el</w:t>
      </w:r>
      <w:r>
        <w:rPr>
          <w:spacing w:val="-18"/>
          <w:sz w:val="16"/>
        </w:rPr>
        <w:t> </w:t>
      </w:r>
      <w:r>
        <w:rPr>
          <w:sz w:val="16"/>
        </w:rPr>
        <w:t>caso.</w:t>
      </w:r>
    </w:p>
    <w:p>
      <w:pPr>
        <w:pStyle w:val="BodyText"/>
        <w:spacing w:before="11"/>
        <w:rPr>
          <w:sz w:val="15"/>
        </w:rPr>
      </w:pPr>
    </w:p>
    <w:p>
      <w:pPr>
        <w:tabs>
          <w:tab w:pos="829" w:val="left" w:leader="none"/>
        </w:tabs>
        <w:spacing w:before="0"/>
        <w:ind w:left="122" w:right="114" w:firstLine="0"/>
        <w:jc w:val="both"/>
        <w:rPr>
          <w:sz w:val="16"/>
        </w:rPr>
      </w:pPr>
      <w:r>
        <w:rPr>
          <w:position w:val="6"/>
          <w:sz w:val="10"/>
        </w:rPr>
        <w:t>14</w:t>
        <w:tab/>
      </w:r>
      <w:r>
        <w:rPr>
          <w:sz w:val="16"/>
        </w:rPr>
        <w:t>La</w:t>
      </w:r>
      <w:r>
        <w:rPr>
          <w:spacing w:val="15"/>
          <w:sz w:val="16"/>
        </w:rPr>
        <w:t> </w:t>
      </w:r>
      <w:r>
        <w:rPr>
          <w:sz w:val="16"/>
        </w:rPr>
        <w:t>delegación</w:t>
      </w:r>
      <w:r>
        <w:rPr>
          <w:spacing w:val="15"/>
          <w:sz w:val="16"/>
        </w:rPr>
        <w:t> </w:t>
      </w:r>
      <w:r>
        <w:rPr>
          <w:sz w:val="16"/>
        </w:rPr>
        <w:t>del</w:t>
      </w:r>
      <w:r>
        <w:rPr>
          <w:spacing w:val="15"/>
          <w:sz w:val="16"/>
        </w:rPr>
        <w:t> </w:t>
      </w:r>
      <w:r>
        <w:rPr>
          <w:sz w:val="16"/>
        </w:rPr>
        <w:t>Tribunal</w:t>
      </w:r>
      <w:r>
        <w:rPr>
          <w:spacing w:val="12"/>
          <w:sz w:val="16"/>
        </w:rPr>
        <w:t> </w:t>
      </w:r>
      <w:r>
        <w:rPr>
          <w:sz w:val="16"/>
        </w:rPr>
        <w:t>que</w:t>
      </w:r>
      <w:r>
        <w:rPr>
          <w:spacing w:val="16"/>
          <w:sz w:val="16"/>
        </w:rPr>
        <w:t> </w:t>
      </w:r>
      <w:r>
        <w:rPr>
          <w:sz w:val="16"/>
        </w:rPr>
        <w:t>efectuó</w:t>
      </w:r>
      <w:r>
        <w:rPr>
          <w:spacing w:val="16"/>
          <w:sz w:val="16"/>
        </w:rPr>
        <w:t> </w:t>
      </w:r>
      <w:r>
        <w:rPr>
          <w:sz w:val="16"/>
        </w:rPr>
        <w:t>la</w:t>
      </w:r>
      <w:r>
        <w:rPr>
          <w:spacing w:val="13"/>
          <w:sz w:val="16"/>
        </w:rPr>
        <w:t> </w:t>
      </w:r>
      <w:r>
        <w:rPr>
          <w:sz w:val="16"/>
        </w:rPr>
        <w:t>visita</w:t>
      </w:r>
      <w:r>
        <w:rPr>
          <w:spacing w:val="15"/>
          <w:sz w:val="16"/>
        </w:rPr>
        <w:t> </w:t>
      </w:r>
      <w:r>
        <w:rPr>
          <w:sz w:val="16"/>
        </w:rPr>
        <w:t>estuvo</w:t>
      </w:r>
      <w:r>
        <w:rPr>
          <w:spacing w:val="16"/>
          <w:sz w:val="16"/>
        </w:rPr>
        <w:t> </w:t>
      </w:r>
      <w:r>
        <w:rPr>
          <w:sz w:val="16"/>
        </w:rPr>
        <w:t>integrada</w:t>
      </w:r>
      <w:r>
        <w:rPr>
          <w:spacing w:val="15"/>
          <w:sz w:val="16"/>
        </w:rPr>
        <w:t> </w:t>
      </w:r>
      <w:r>
        <w:rPr>
          <w:sz w:val="16"/>
        </w:rPr>
        <w:t>por</w:t>
      </w:r>
      <w:r>
        <w:rPr>
          <w:spacing w:val="16"/>
          <w:sz w:val="16"/>
        </w:rPr>
        <w:t> </w:t>
      </w:r>
      <w:r>
        <w:rPr>
          <w:sz w:val="16"/>
        </w:rPr>
        <w:t>los</w:t>
      </w:r>
      <w:r>
        <w:rPr>
          <w:spacing w:val="13"/>
          <w:sz w:val="16"/>
        </w:rPr>
        <w:t> </w:t>
      </w:r>
      <w:r>
        <w:rPr>
          <w:sz w:val="16"/>
        </w:rPr>
        <w:t>jueces</w:t>
      </w:r>
      <w:r>
        <w:rPr>
          <w:spacing w:val="16"/>
          <w:sz w:val="16"/>
        </w:rPr>
        <w:t> </w:t>
      </w:r>
      <w:r>
        <w:rPr>
          <w:sz w:val="16"/>
        </w:rPr>
        <w:t>Humberto</w:t>
      </w:r>
      <w:r>
        <w:rPr>
          <w:spacing w:val="14"/>
          <w:sz w:val="16"/>
        </w:rPr>
        <w:t> </w:t>
      </w:r>
      <w:r>
        <w:rPr>
          <w:sz w:val="16"/>
        </w:rPr>
        <w:t>Antonio</w:t>
      </w:r>
      <w:r>
        <w:rPr>
          <w:w w:val="100"/>
          <w:sz w:val="16"/>
        </w:rPr>
        <w:t> </w:t>
      </w:r>
      <w:r>
        <w:rPr>
          <w:sz w:val="16"/>
        </w:rPr>
        <w:t>Sierra</w:t>
      </w:r>
      <w:r>
        <w:rPr>
          <w:spacing w:val="-7"/>
          <w:sz w:val="16"/>
        </w:rPr>
        <w:t> </w:t>
      </w:r>
      <w:r>
        <w:rPr>
          <w:sz w:val="16"/>
        </w:rPr>
        <w:t>Porto</w:t>
      </w:r>
      <w:r>
        <w:rPr>
          <w:spacing w:val="-10"/>
          <w:sz w:val="16"/>
        </w:rPr>
        <w:t> </w:t>
      </w:r>
      <w:r>
        <w:rPr>
          <w:sz w:val="16"/>
        </w:rPr>
        <w:t>y</w:t>
      </w:r>
      <w:r>
        <w:rPr>
          <w:spacing w:val="-5"/>
          <w:sz w:val="16"/>
        </w:rPr>
        <w:t> </w:t>
      </w:r>
      <w:r>
        <w:rPr>
          <w:sz w:val="16"/>
        </w:rPr>
        <w:t>L.</w:t>
      </w:r>
      <w:r>
        <w:rPr>
          <w:spacing w:val="-9"/>
          <w:sz w:val="16"/>
        </w:rPr>
        <w:t> </w:t>
      </w:r>
      <w:r>
        <w:rPr>
          <w:sz w:val="16"/>
        </w:rPr>
        <w:t>Patricio</w:t>
      </w:r>
      <w:r>
        <w:rPr>
          <w:spacing w:val="-8"/>
          <w:sz w:val="16"/>
        </w:rPr>
        <w:t> </w:t>
      </w:r>
      <w:r>
        <w:rPr>
          <w:sz w:val="16"/>
        </w:rPr>
        <w:t>Pazmiño</w:t>
      </w:r>
      <w:r>
        <w:rPr>
          <w:spacing w:val="-8"/>
          <w:sz w:val="16"/>
        </w:rPr>
        <w:t> </w:t>
      </w:r>
      <w:r>
        <w:rPr>
          <w:sz w:val="16"/>
        </w:rPr>
        <w:t>Freire;</w:t>
      </w:r>
      <w:r>
        <w:rPr>
          <w:spacing w:val="-9"/>
          <w:sz w:val="16"/>
        </w:rPr>
        <w:t> </w:t>
      </w:r>
      <w:r>
        <w:rPr>
          <w:sz w:val="16"/>
        </w:rPr>
        <w:t>el</w:t>
      </w:r>
      <w:r>
        <w:rPr>
          <w:spacing w:val="-9"/>
          <w:sz w:val="16"/>
        </w:rPr>
        <w:t> </w:t>
      </w:r>
      <w:r>
        <w:rPr>
          <w:sz w:val="16"/>
        </w:rPr>
        <w:t>Coordinador</w:t>
      </w:r>
      <w:r>
        <w:rPr>
          <w:spacing w:val="-8"/>
          <w:sz w:val="16"/>
        </w:rPr>
        <w:t> </w:t>
      </w:r>
      <w:r>
        <w:rPr>
          <w:sz w:val="16"/>
        </w:rPr>
        <w:t>del</w:t>
      </w:r>
      <w:r>
        <w:rPr>
          <w:spacing w:val="-12"/>
          <w:sz w:val="16"/>
        </w:rPr>
        <w:t> </w:t>
      </w:r>
      <w:r>
        <w:rPr>
          <w:sz w:val="16"/>
        </w:rPr>
        <w:t>Área</w:t>
      </w:r>
      <w:r>
        <w:rPr>
          <w:spacing w:val="-9"/>
          <w:sz w:val="16"/>
        </w:rPr>
        <w:t> </w:t>
      </w:r>
      <w:r>
        <w:rPr>
          <w:sz w:val="16"/>
        </w:rPr>
        <w:t>Legal,</w:t>
      </w:r>
      <w:r>
        <w:rPr>
          <w:spacing w:val="-7"/>
          <w:sz w:val="16"/>
        </w:rPr>
        <w:t> </w:t>
      </w:r>
      <w:r>
        <w:rPr>
          <w:sz w:val="16"/>
        </w:rPr>
        <w:t>Alexei</w:t>
      </w:r>
      <w:r>
        <w:rPr>
          <w:spacing w:val="-9"/>
          <w:sz w:val="16"/>
        </w:rPr>
        <w:t> </w:t>
      </w:r>
      <w:r>
        <w:rPr>
          <w:sz w:val="16"/>
        </w:rPr>
        <w:t>Julio</w:t>
      </w:r>
      <w:r>
        <w:rPr>
          <w:spacing w:val="-5"/>
          <w:sz w:val="16"/>
        </w:rPr>
        <w:t> </w:t>
      </w:r>
      <w:r>
        <w:rPr>
          <w:sz w:val="16"/>
        </w:rPr>
        <w:t>Estrada,</w:t>
      </w:r>
      <w:r>
        <w:rPr>
          <w:spacing w:val="-7"/>
          <w:sz w:val="16"/>
        </w:rPr>
        <w:t> </w:t>
      </w:r>
      <w:r>
        <w:rPr>
          <w:sz w:val="16"/>
        </w:rPr>
        <w:t>y</w:t>
      </w:r>
      <w:r>
        <w:rPr>
          <w:spacing w:val="-8"/>
          <w:sz w:val="16"/>
        </w:rPr>
        <w:t> </w:t>
      </w:r>
      <w:r>
        <w:rPr>
          <w:sz w:val="16"/>
        </w:rPr>
        <w:t>Agustín</w:t>
      </w:r>
      <w:r>
        <w:rPr>
          <w:spacing w:val="-7"/>
          <w:sz w:val="16"/>
        </w:rPr>
        <w:t> </w:t>
      </w:r>
      <w:r>
        <w:rPr>
          <w:sz w:val="16"/>
        </w:rPr>
        <w:t>Enrique Martin,</w:t>
      </w:r>
      <w:r>
        <w:rPr>
          <w:spacing w:val="-16"/>
          <w:sz w:val="16"/>
        </w:rPr>
        <w:t> </w:t>
      </w:r>
      <w:r>
        <w:rPr>
          <w:sz w:val="16"/>
        </w:rPr>
        <w:t>abogado</w:t>
      </w:r>
      <w:r>
        <w:rPr>
          <w:spacing w:val="-17"/>
          <w:sz w:val="16"/>
        </w:rPr>
        <w:t> </w:t>
      </w:r>
      <w:r>
        <w:rPr>
          <w:sz w:val="16"/>
        </w:rPr>
        <w:t>de</w:t>
      </w:r>
      <w:r>
        <w:rPr>
          <w:spacing w:val="-15"/>
          <w:sz w:val="16"/>
        </w:rPr>
        <w:t> </w:t>
      </w:r>
      <w:r>
        <w:rPr>
          <w:sz w:val="16"/>
        </w:rPr>
        <w:t>la</w:t>
      </w:r>
      <w:r>
        <w:rPr>
          <w:spacing w:val="-18"/>
          <w:sz w:val="16"/>
        </w:rPr>
        <w:t> </w:t>
      </w:r>
      <w:r>
        <w:rPr>
          <w:sz w:val="16"/>
        </w:rPr>
        <w:t>Secretaría</w:t>
      </w:r>
      <w:r>
        <w:rPr>
          <w:spacing w:val="-15"/>
          <w:sz w:val="16"/>
        </w:rPr>
        <w:t> </w:t>
      </w:r>
      <w:r>
        <w:rPr>
          <w:sz w:val="16"/>
        </w:rPr>
        <w:t>de</w:t>
      </w:r>
      <w:r>
        <w:rPr>
          <w:spacing w:val="-15"/>
          <w:sz w:val="16"/>
        </w:rPr>
        <w:t> </w:t>
      </w:r>
      <w:r>
        <w:rPr>
          <w:sz w:val="16"/>
        </w:rPr>
        <w:t>la</w:t>
      </w:r>
      <w:r>
        <w:rPr>
          <w:spacing w:val="-16"/>
          <w:sz w:val="16"/>
        </w:rPr>
        <w:t> </w:t>
      </w:r>
      <w:r>
        <w:rPr>
          <w:sz w:val="16"/>
        </w:rPr>
        <w:t>Corte.</w:t>
      </w:r>
      <w:r>
        <w:rPr>
          <w:spacing w:val="-16"/>
          <w:sz w:val="16"/>
        </w:rPr>
        <w:t> </w:t>
      </w:r>
      <w:r>
        <w:rPr>
          <w:sz w:val="16"/>
        </w:rPr>
        <w:t>Por</w:t>
      </w:r>
      <w:r>
        <w:rPr>
          <w:spacing w:val="-17"/>
          <w:sz w:val="16"/>
        </w:rPr>
        <w:t> </w:t>
      </w:r>
      <w:r>
        <w:rPr>
          <w:sz w:val="16"/>
        </w:rPr>
        <w:t>parte</w:t>
      </w:r>
      <w:r>
        <w:rPr>
          <w:spacing w:val="-15"/>
          <w:sz w:val="16"/>
        </w:rPr>
        <w:t> </w:t>
      </w:r>
      <w:r>
        <w:rPr>
          <w:sz w:val="16"/>
        </w:rPr>
        <w:t>del</w:t>
      </w:r>
      <w:r>
        <w:rPr>
          <w:spacing w:val="-16"/>
          <w:sz w:val="16"/>
        </w:rPr>
        <w:t> </w:t>
      </w:r>
      <w:r>
        <w:rPr>
          <w:sz w:val="16"/>
        </w:rPr>
        <w:t>Estado,</w:t>
      </w:r>
      <w:r>
        <w:rPr>
          <w:spacing w:val="-16"/>
          <w:sz w:val="16"/>
        </w:rPr>
        <w:t> </w:t>
      </w:r>
      <w:r>
        <w:rPr>
          <w:sz w:val="16"/>
        </w:rPr>
        <w:t>estuvieron</w:t>
      </w:r>
      <w:r>
        <w:rPr>
          <w:spacing w:val="-16"/>
          <w:sz w:val="16"/>
        </w:rPr>
        <w:t> </w:t>
      </w:r>
      <w:r>
        <w:rPr>
          <w:sz w:val="16"/>
        </w:rPr>
        <w:t>presentes</w:t>
      </w:r>
      <w:r>
        <w:rPr>
          <w:spacing w:val="-15"/>
          <w:sz w:val="16"/>
        </w:rPr>
        <w:t> </w:t>
      </w:r>
      <w:r>
        <w:rPr>
          <w:sz w:val="16"/>
        </w:rPr>
        <w:t>Edith</w:t>
      </w:r>
      <w:r>
        <w:rPr>
          <w:spacing w:val="-16"/>
          <w:sz w:val="16"/>
        </w:rPr>
        <w:t> </w:t>
      </w:r>
      <w:r>
        <w:rPr>
          <w:sz w:val="16"/>
        </w:rPr>
        <w:t>Azucena,</w:t>
      </w:r>
      <w:r>
        <w:rPr>
          <w:spacing w:val="-16"/>
          <w:sz w:val="16"/>
        </w:rPr>
        <w:t> </w:t>
      </w:r>
      <w:r>
        <w:rPr>
          <w:sz w:val="16"/>
        </w:rPr>
        <w:t>Ministra de</w:t>
      </w:r>
      <w:r>
        <w:rPr>
          <w:spacing w:val="-10"/>
          <w:sz w:val="16"/>
        </w:rPr>
        <w:t> </w:t>
      </w:r>
      <w:r>
        <w:rPr>
          <w:sz w:val="16"/>
        </w:rPr>
        <w:t>Asuntos</w:t>
      </w:r>
      <w:r>
        <w:rPr>
          <w:spacing w:val="-11"/>
          <w:sz w:val="16"/>
        </w:rPr>
        <w:t> </w:t>
      </w:r>
      <w:r>
        <w:rPr>
          <w:sz w:val="16"/>
        </w:rPr>
        <w:t>Indígenas</w:t>
      </w:r>
      <w:r>
        <w:rPr>
          <w:spacing w:val="-11"/>
          <w:sz w:val="16"/>
        </w:rPr>
        <w:t> </w:t>
      </w:r>
      <w:r>
        <w:rPr>
          <w:sz w:val="16"/>
        </w:rPr>
        <w:t>y</w:t>
      </w:r>
      <w:r>
        <w:rPr>
          <w:spacing w:val="-12"/>
          <w:sz w:val="16"/>
        </w:rPr>
        <w:t> </w:t>
      </w:r>
      <w:r>
        <w:rPr>
          <w:sz w:val="16"/>
        </w:rPr>
        <w:t>Desarrollo</w:t>
      </w:r>
      <w:r>
        <w:rPr>
          <w:spacing w:val="-8"/>
          <w:sz w:val="16"/>
        </w:rPr>
        <w:t> </w:t>
      </w:r>
      <w:r>
        <w:rPr>
          <w:sz w:val="16"/>
        </w:rPr>
        <w:t>Social</w:t>
      </w:r>
      <w:r>
        <w:rPr>
          <w:spacing w:val="-12"/>
          <w:sz w:val="16"/>
        </w:rPr>
        <w:t> </w:t>
      </w:r>
      <w:r>
        <w:rPr>
          <w:sz w:val="16"/>
        </w:rPr>
        <w:t>de</w:t>
      </w:r>
      <w:r>
        <w:rPr>
          <w:spacing w:val="-8"/>
          <w:sz w:val="16"/>
        </w:rPr>
        <w:t> </w:t>
      </w:r>
      <w:r>
        <w:rPr>
          <w:sz w:val="16"/>
        </w:rPr>
        <w:t>la</w:t>
      </w:r>
      <w:r>
        <w:rPr>
          <w:spacing w:val="-11"/>
          <w:sz w:val="16"/>
        </w:rPr>
        <w:t> </w:t>
      </w:r>
      <w:r>
        <w:rPr>
          <w:sz w:val="16"/>
        </w:rPr>
        <w:t>Provincia;</w:t>
      </w:r>
      <w:r>
        <w:rPr>
          <w:spacing w:val="-9"/>
          <w:sz w:val="16"/>
        </w:rPr>
        <w:t> </w:t>
      </w:r>
      <w:r>
        <w:rPr>
          <w:sz w:val="16"/>
        </w:rPr>
        <w:t>Ariel</w:t>
      </w:r>
      <w:r>
        <w:rPr>
          <w:spacing w:val="-9"/>
          <w:sz w:val="16"/>
        </w:rPr>
        <w:t> </w:t>
      </w:r>
      <w:r>
        <w:rPr>
          <w:sz w:val="16"/>
        </w:rPr>
        <w:t>Francisco</w:t>
      </w:r>
      <w:r>
        <w:rPr>
          <w:spacing w:val="-10"/>
          <w:sz w:val="16"/>
        </w:rPr>
        <w:t> </w:t>
      </w:r>
      <w:r>
        <w:rPr>
          <w:sz w:val="16"/>
        </w:rPr>
        <w:t>Sánchez,</w:t>
      </w:r>
      <w:r>
        <w:rPr>
          <w:spacing w:val="-12"/>
          <w:sz w:val="16"/>
        </w:rPr>
        <w:t> </w:t>
      </w:r>
      <w:r>
        <w:rPr>
          <w:sz w:val="16"/>
        </w:rPr>
        <w:t>Subsecretario</w:t>
      </w:r>
      <w:r>
        <w:rPr>
          <w:spacing w:val="-8"/>
          <w:sz w:val="16"/>
        </w:rPr>
        <w:t> </w:t>
      </w:r>
      <w:r>
        <w:rPr>
          <w:sz w:val="16"/>
        </w:rPr>
        <w:t>de</w:t>
      </w:r>
      <w:r>
        <w:rPr>
          <w:spacing w:val="-10"/>
          <w:sz w:val="16"/>
        </w:rPr>
        <w:t> </w:t>
      </w:r>
      <w:r>
        <w:rPr>
          <w:sz w:val="16"/>
        </w:rPr>
        <w:t>Regulación Territorial y Registro de Comunidades Indígenas; Florencia Luñis Zavaleta, Directora de Regularización de Tierras con Conflictos Comunitarios; Pamela Caletti, Fiscal de Estado de Salta; Ana Coralina Geist, Coordinadora General de esa Fiscalía; Graciela María Galindez, Escribana de Gobierno de la Provincia;</w:t>
      </w:r>
      <w:r>
        <w:rPr>
          <w:spacing w:val="-37"/>
          <w:sz w:val="16"/>
        </w:rPr>
        <w:t> </w:t>
      </w:r>
      <w:r>
        <w:rPr>
          <w:sz w:val="16"/>
        </w:rPr>
        <w:t>Jimena Psathakis, Presidenta del Instituto Nacional de Asuntos Indígenas (INAI), Ana Bourse y Juan Cruz Testa (también</w:t>
      </w:r>
      <w:r>
        <w:rPr>
          <w:spacing w:val="-4"/>
          <w:sz w:val="16"/>
        </w:rPr>
        <w:t> </w:t>
      </w:r>
      <w:r>
        <w:rPr>
          <w:sz w:val="16"/>
        </w:rPr>
        <w:t>del</w:t>
      </w:r>
      <w:r>
        <w:rPr>
          <w:spacing w:val="-3"/>
          <w:sz w:val="16"/>
        </w:rPr>
        <w:t> </w:t>
      </w:r>
      <w:r>
        <w:rPr>
          <w:sz w:val="16"/>
        </w:rPr>
        <w:t>INAI)</w:t>
      </w:r>
      <w:r>
        <w:rPr>
          <w:spacing w:val="-6"/>
          <w:sz w:val="16"/>
        </w:rPr>
        <w:t> </w:t>
      </w:r>
      <w:r>
        <w:rPr>
          <w:sz w:val="16"/>
        </w:rPr>
        <w:t>y</w:t>
      </w:r>
      <w:r>
        <w:rPr>
          <w:spacing w:val="-2"/>
          <w:sz w:val="16"/>
        </w:rPr>
        <w:t> </w:t>
      </w:r>
      <w:r>
        <w:rPr>
          <w:sz w:val="16"/>
        </w:rPr>
        <w:t>Javier</w:t>
      </w:r>
      <w:r>
        <w:rPr>
          <w:spacing w:val="-2"/>
          <w:sz w:val="16"/>
        </w:rPr>
        <w:t> </w:t>
      </w:r>
      <w:r>
        <w:rPr>
          <w:sz w:val="16"/>
        </w:rPr>
        <w:t>Salgado,</w:t>
      </w:r>
      <w:r>
        <w:rPr>
          <w:spacing w:val="-6"/>
          <w:sz w:val="16"/>
        </w:rPr>
        <w:t> </w:t>
      </w:r>
      <w:r>
        <w:rPr>
          <w:sz w:val="16"/>
        </w:rPr>
        <w:t>Director</w:t>
      </w:r>
      <w:r>
        <w:rPr>
          <w:spacing w:val="-4"/>
          <w:sz w:val="16"/>
        </w:rPr>
        <w:t> </w:t>
      </w:r>
      <w:r>
        <w:rPr>
          <w:sz w:val="16"/>
        </w:rPr>
        <w:t>del</w:t>
      </w:r>
      <w:r>
        <w:rPr>
          <w:spacing w:val="-6"/>
          <w:sz w:val="16"/>
        </w:rPr>
        <w:t> </w:t>
      </w:r>
      <w:r>
        <w:rPr>
          <w:sz w:val="16"/>
        </w:rPr>
        <w:t>Contencioso</w:t>
      </w:r>
      <w:r>
        <w:rPr>
          <w:spacing w:val="-2"/>
          <w:sz w:val="16"/>
        </w:rPr>
        <w:t> </w:t>
      </w:r>
      <w:r>
        <w:rPr>
          <w:sz w:val="16"/>
        </w:rPr>
        <w:t>Internacional</w:t>
      </w:r>
      <w:r>
        <w:rPr>
          <w:spacing w:val="-3"/>
          <w:sz w:val="16"/>
        </w:rPr>
        <w:t> </w:t>
      </w:r>
      <w:r>
        <w:rPr>
          <w:sz w:val="16"/>
        </w:rPr>
        <w:t>en</w:t>
      </w:r>
      <w:r>
        <w:rPr>
          <w:spacing w:val="-6"/>
          <w:sz w:val="16"/>
        </w:rPr>
        <w:t> </w:t>
      </w:r>
      <w:r>
        <w:rPr>
          <w:sz w:val="16"/>
        </w:rPr>
        <w:t>Materia</w:t>
      </w:r>
      <w:r>
        <w:rPr>
          <w:spacing w:val="-3"/>
          <w:sz w:val="16"/>
        </w:rPr>
        <w:t> </w:t>
      </w:r>
      <w:r>
        <w:rPr>
          <w:sz w:val="16"/>
        </w:rPr>
        <w:t>de</w:t>
      </w:r>
      <w:r>
        <w:rPr>
          <w:spacing w:val="-7"/>
          <w:sz w:val="16"/>
        </w:rPr>
        <w:t> </w:t>
      </w:r>
      <w:r>
        <w:rPr>
          <w:sz w:val="16"/>
        </w:rPr>
        <w:t>Derechos</w:t>
      </w:r>
      <w:r>
        <w:rPr>
          <w:spacing w:val="-2"/>
          <w:sz w:val="16"/>
        </w:rPr>
        <w:t> </w:t>
      </w:r>
      <w:r>
        <w:rPr>
          <w:sz w:val="16"/>
        </w:rPr>
        <w:t>Humanos del Ministerio de Relaciones Exteriores y Culto. Por la Comisión Interamericana asistió Paulina Corominas Etchegaray, Asesora Legal de la Comisión. Participaron por los representantes Francisco Pérez y Rogelio Segundo, de Lhaka Honhat; Diego Morales y Matías Duarte, del CELS, y Ezequiel María y Julián Reynoso, quienes tomaron registro</w:t>
      </w:r>
      <w:r>
        <w:rPr>
          <w:spacing w:val="-14"/>
          <w:sz w:val="16"/>
        </w:rPr>
        <w:t> </w:t>
      </w:r>
      <w:r>
        <w:rPr>
          <w:sz w:val="16"/>
        </w:rPr>
        <w:t>audiovisual.</w:t>
      </w:r>
    </w:p>
    <w:p>
      <w:pPr>
        <w:pStyle w:val="BodyText"/>
        <w:spacing w:before="11"/>
        <w:rPr>
          <w:sz w:val="15"/>
        </w:rPr>
      </w:pPr>
    </w:p>
    <w:p>
      <w:pPr>
        <w:tabs>
          <w:tab w:pos="829" w:val="left" w:leader="none"/>
        </w:tabs>
        <w:spacing w:line="240" w:lineRule="auto" w:before="0"/>
        <w:ind w:left="122" w:right="118" w:firstLine="0"/>
        <w:jc w:val="both"/>
        <w:rPr>
          <w:sz w:val="16"/>
        </w:rPr>
      </w:pPr>
      <w:r>
        <w:rPr>
          <w:position w:val="6"/>
          <w:sz w:val="10"/>
        </w:rPr>
        <w:t>15</w:t>
        <w:tab/>
      </w:r>
      <w:r>
        <w:rPr>
          <w:sz w:val="16"/>
        </w:rPr>
        <w:t>En</w:t>
      </w:r>
      <w:r>
        <w:rPr>
          <w:spacing w:val="15"/>
          <w:sz w:val="16"/>
        </w:rPr>
        <w:t> </w:t>
      </w:r>
      <w:r>
        <w:rPr>
          <w:sz w:val="16"/>
        </w:rPr>
        <w:t>la</w:t>
      </w:r>
      <w:r>
        <w:rPr>
          <w:spacing w:val="15"/>
          <w:sz w:val="16"/>
        </w:rPr>
        <w:t> </w:t>
      </w:r>
      <w:r>
        <w:rPr>
          <w:sz w:val="16"/>
        </w:rPr>
        <w:t>audiencia</w:t>
      </w:r>
      <w:r>
        <w:rPr>
          <w:spacing w:val="12"/>
          <w:sz w:val="16"/>
        </w:rPr>
        <w:t> </w:t>
      </w:r>
      <w:r>
        <w:rPr>
          <w:sz w:val="16"/>
        </w:rPr>
        <w:t>pública</w:t>
      </w:r>
      <w:r>
        <w:rPr>
          <w:spacing w:val="15"/>
          <w:sz w:val="16"/>
        </w:rPr>
        <w:t> </w:t>
      </w:r>
      <w:r>
        <w:rPr>
          <w:sz w:val="16"/>
        </w:rPr>
        <w:t>la</w:t>
      </w:r>
      <w:r>
        <w:rPr>
          <w:spacing w:val="13"/>
          <w:sz w:val="16"/>
        </w:rPr>
        <w:t> </w:t>
      </w:r>
      <w:r>
        <w:rPr>
          <w:sz w:val="16"/>
        </w:rPr>
        <w:t>Corte</w:t>
      </w:r>
      <w:r>
        <w:rPr>
          <w:spacing w:val="16"/>
          <w:sz w:val="16"/>
        </w:rPr>
        <w:t> </w:t>
      </w:r>
      <w:r>
        <w:rPr>
          <w:sz w:val="16"/>
        </w:rPr>
        <w:t>informó</w:t>
      </w:r>
      <w:r>
        <w:rPr>
          <w:spacing w:val="14"/>
          <w:sz w:val="16"/>
        </w:rPr>
        <w:t> </w:t>
      </w:r>
      <w:r>
        <w:rPr>
          <w:sz w:val="16"/>
        </w:rPr>
        <w:t>que,</w:t>
      </w:r>
      <w:r>
        <w:rPr>
          <w:spacing w:val="12"/>
          <w:sz w:val="16"/>
        </w:rPr>
        <w:t> </w:t>
      </w:r>
      <w:r>
        <w:rPr>
          <w:sz w:val="16"/>
        </w:rPr>
        <w:t>dado</w:t>
      </w:r>
      <w:r>
        <w:rPr>
          <w:spacing w:val="12"/>
          <w:sz w:val="16"/>
        </w:rPr>
        <w:t> </w:t>
      </w:r>
      <w:r>
        <w:rPr>
          <w:sz w:val="16"/>
        </w:rPr>
        <w:t>que</w:t>
      </w:r>
      <w:r>
        <w:rPr>
          <w:spacing w:val="13"/>
          <w:sz w:val="16"/>
        </w:rPr>
        <w:t> </w:t>
      </w:r>
      <w:r>
        <w:rPr>
          <w:sz w:val="16"/>
        </w:rPr>
        <w:t>se</w:t>
      </w:r>
      <w:r>
        <w:rPr>
          <w:spacing w:val="11"/>
          <w:sz w:val="16"/>
        </w:rPr>
        <w:t> </w:t>
      </w:r>
      <w:r>
        <w:rPr>
          <w:sz w:val="16"/>
        </w:rPr>
        <w:t>haría</w:t>
      </w:r>
      <w:r>
        <w:rPr>
          <w:spacing w:val="15"/>
          <w:sz w:val="16"/>
        </w:rPr>
        <w:t> </w:t>
      </w:r>
      <w:r>
        <w:rPr>
          <w:sz w:val="16"/>
        </w:rPr>
        <w:t>la</w:t>
      </w:r>
      <w:r>
        <w:rPr>
          <w:spacing w:val="13"/>
          <w:sz w:val="16"/>
        </w:rPr>
        <w:t> </w:t>
      </w:r>
      <w:r>
        <w:rPr>
          <w:sz w:val="16"/>
        </w:rPr>
        <w:t>visita</w:t>
      </w:r>
      <w:r>
        <w:rPr>
          <w:spacing w:val="15"/>
          <w:sz w:val="16"/>
        </w:rPr>
        <w:t> </w:t>
      </w:r>
      <w:r>
        <w:rPr>
          <w:sz w:val="16"/>
        </w:rPr>
        <w:t>a</w:t>
      </w:r>
      <w:r>
        <w:rPr>
          <w:spacing w:val="13"/>
          <w:sz w:val="16"/>
        </w:rPr>
        <w:t> </w:t>
      </w:r>
      <w:r>
        <w:rPr>
          <w:sz w:val="16"/>
        </w:rPr>
        <w:t>terreno,</w:t>
      </w:r>
      <w:r>
        <w:rPr>
          <w:spacing w:val="15"/>
          <w:sz w:val="16"/>
        </w:rPr>
        <w:t> </w:t>
      </w:r>
      <w:r>
        <w:rPr>
          <w:sz w:val="16"/>
        </w:rPr>
        <w:t>había</w:t>
      </w:r>
      <w:r>
        <w:rPr>
          <w:spacing w:val="15"/>
          <w:sz w:val="16"/>
        </w:rPr>
        <w:t> </w:t>
      </w:r>
      <w:r>
        <w:rPr>
          <w:sz w:val="16"/>
        </w:rPr>
        <w:t>decidido</w:t>
      </w:r>
      <w:r>
        <w:rPr>
          <w:w w:val="100"/>
          <w:sz w:val="16"/>
        </w:rPr>
        <w:t> </w:t>
      </w:r>
      <w:r>
        <w:rPr>
          <w:sz w:val="16"/>
        </w:rPr>
        <w:t>posponer el plazo fijado en la Resolución de 8 de febrero de 2019 para la presentación de alegatos y observaciones finales escritos. El 19 de marzo de 2019 se comunicó que dicho plazo vencería el 3 de</w:t>
      </w:r>
      <w:r>
        <w:rPr>
          <w:spacing w:val="-39"/>
          <w:sz w:val="16"/>
        </w:rPr>
        <w:t> </w:t>
      </w:r>
      <w:r>
        <w:rPr>
          <w:sz w:val="16"/>
        </w:rPr>
        <w:t>junio de 2019.</w:t>
      </w:r>
    </w:p>
    <w:p>
      <w:pPr>
        <w:spacing w:after="0" w:line="240" w:lineRule="auto"/>
        <w:jc w:val="both"/>
        <w:rPr>
          <w:sz w:val="16"/>
        </w:rPr>
        <w:sectPr>
          <w:pgSz w:w="12240" w:h="15840"/>
          <w:pgMar w:header="0" w:footer="1000" w:top="1340" w:bottom="1200" w:left="1580" w:right="1580"/>
        </w:sectPr>
      </w:pPr>
    </w:p>
    <w:p>
      <w:pPr>
        <w:pStyle w:val="ListParagraph"/>
        <w:numPr>
          <w:ilvl w:val="0"/>
          <w:numId w:val="14"/>
        </w:numPr>
        <w:tabs>
          <w:tab w:pos="900" w:val="left" w:leader="none"/>
        </w:tabs>
        <w:spacing w:line="242" w:lineRule="auto" w:before="76" w:after="0"/>
        <w:ind w:left="122" w:right="101" w:hanging="12"/>
        <w:jc w:val="both"/>
        <w:rPr>
          <w:sz w:val="20"/>
        </w:rPr>
      </w:pPr>
      <w:r>
        <w:rPr>
          <w:i/>
          <w:sz w:val="20"/>
        </w:rPr>
        <w:t>Deliberación del presente caso. </w:t>
      </w:r>
      <w:r>
        <w:rPr>
          <w:sz w:val="20"/>
        </w:rPr>
        <w:t>– La Corte inició la deliberación de la presente Sentencia</w:t>
      </w:r>
      <w:r>
        <w:rPr>
          <w:spacing w:val="-15"/>
          <w:sz w:val="20"/>
        </w:rPr>
        <w:t> </w:t>
      </w:r>
      <w:r>
        <w:rPr>
          <w:sz w:val="20"/>
        </w:rPr>
        <w:t>el</w:t>
      </w:r>
      <w:r>
        <w:rPr>
          <w:spacing w:val="-15"/>
          <w:sz w:val="20"/>
        </w:rPr>
        <w:t> </w:t>
      </w:r>
      <w:r>
        <w:rPr>
          <w:sz w:val="20"/>
        </w:rPr>
        <w:t>27</w:t>
      </w:r>
      <w:r>
        <w:rPr>
          <w:spacing w:val="-14"/>
          <w:sz w:val="20"/>
        </w:rPr>
        <w:t> </w:t>
      </w:r>
      <w:r>
        <w:rPr>
          <w:sz w:val="20"/>
        </w:rPr>
        <w:t>de</w:t>
      </w:r>
      <w:r>
        <w:rPr>
          <w:spacing w:val="-17"/>
          <w:sz w:val="20"/>
        </w:rPr>
        <w:t> </w:t>
      </w:r>
      <w:r>
        <w:rPr>
          <w:sz w:val="20"/>
        </w:rPr>
        <w:t>noviembre</w:t>
      </w:r>
      <w:r>
        <w:rPr>
          <w:spacing w:val="-17"/>
          <w:sz w:val="20"/>
        </w:rPr>
        <w:t> </w:t>
      </w:r>
      <w:r>
        <w:rPr>
          <w:sz w:val="20"/>
        </w:rPr>
        <w:t>de</w:t>
      </w:r>
      <w:r>
        <w:rPr>
          <w:spacing w:val="-19"/>
          <w:sz w:val="20"/>
        </w:rPr>
        <w:t> </w:t>
      </w:r>
      <w:r>
        <w:rPr>
          <w:sz w:val="20"/>
        </w:rPr>
        <w:t>2019</w:t>
      </w:r>
      <w:r>
        <w:rPr>
          <w:spacing w:val="-14"/>
          <w:sz w:val="20"/>
        </w:rPr>
        <w:t> </w:t>
      </w:r>
      <w:r>
        <w:rPr>
          <w:sz w:val="20"/>
        </w:rPr>
        <w:t>y</w:t>
      </w:r>
      <w:r>
        <w:rPr>
          <w:spacing w:val="-16"/>
          <w:sz w:val="20"/>
        </w:rPr>
        <w:t> </w:t>
      </w:r>
      <w:r>
        <w:rPr>
          <w:sz w:val="20"/>
        </w:rPr>
        <w:t>luego</w:t>
      </w:r>
      <w:r>
        <w:rPr>
          <w:spacing w:val="-16"/>
          <w:sz w:val="20"/>
        </w:rPr>
        <w:t> </w:t>
      </w:r>
      <w:r>
        <w:rPr>
          <w:sz w:val="20"/>
        </w:rPr>
        <w:t>continuó</w:t>
      </w:r>
      <w:r>
        <w:rPr>
          <w:spacing w:val="-19"/>
          <w:sz w:val="20"/>
        </w:rPr>
        <w:t> </w:t>
      </w:r>
      <w:r>
        <w:rPr>
          <w:sz w:val="20"/>
        </w:rPr>
        <w:t>a</w:t>
      </w:r>
      <w:r>
        <w:rPr>
          <w:spacing w:val="-17"/>
          <w:sz w:val="20"/>
        </w:rPr>
        <w:t> </w:t>
      </w:r>
      <w:r>
        <w:rPr>
          <w:sz w:val="20"/>
        </w:rPr>
        <w:t>partir</w:t>
      </w:r>
      <w:r>
        <w:rPr>
          <w:spacing w:val="-16"/>
          <w:sz w:val="20"/>
        </w:rPr>
        <w:t> </w:t>
      </w:r>
      <w:r>
        <w:rPr>
          <w:sz w:val="20"/>
        </w:rPr>
        <w:t>del</w:t>
      </w:r>
      <w:r>
        <w:rPr>
          <w:spacing w:val="-7"/>
          <w:sz w:val="20"/>
        </w:rPr>
        <w:t> </w:t>
      </w:r>
      <w:r>
        <w:rPr>
          <w:sz w:val="20"/>
        </w:rPr>
        <w:t>29</w:t>
      </w:r>
      <w:r>
        <w:rPr>
          <w:spacing w:val="-14"/>
          <w:sz w:val="20"/>
        </w:rPr>
        <w:t> </w:t>
      </w:r>
      <w:r>
        <w:rPr>
          <w:sz w:val="20"/>
        </w:rPr>
        <w:t>de</w:t>
      </w:r>
      <w:r>
        <w:rPr>
          <w:spacing w:val="-14"/>
          <w:sz w:val="20"/>
        </w:rPr>
        <w:t> </w:t>
      </w:r>
      <w:r>
        <w:rPr>
          <w:sz w:val="20"/>
        </w:rPr>
        <w:t>enero</w:t>
      </w:r>
      <w:r>
        <w:rPr>
          <w:spacing w:val="-16"/>
          <w:sz w:val="20"/>
        </w:rPr>
        <w:t> </w:t>
      </w:r>
      <w:r>
        <w:rPr>
          <w:sz w:val="20"/>
        </w:rPr>
        <w:t>de</w:t>
      </w:r>
      <w:r>
        <w:rPr>
          <w:spacing w:val="-19"/>
          <w:sz w:val="20"/>
        </w:rPr>
        <w:t> </w:t>
      </w:r>
      <w:r>
        <w:rPr>
          <w:sz w:val="20"/>
        </w:rPr>
        <w:t>2020.</w:t>
      </w:r>
    </w:p>
    <w:p>
      <w:pPr>
        <w:pStyle w:val="BodyText"/>
        <w:spacing w:before="7"/>
        <w:rPr>
          <w:sz w:val="19"/>
        </w:rPr>
      </w:pPr>
    </w:p>
    <w:p>
      <w:pPr>
        <w:pStyle w:val="Heading3"/>
        <w:spacing w:before="1"/>
        <w:ind w:left="3748" w:right="3721" w:hanging="7"/>
      </w:pPr>
      <w:bookmarkStart w:name="_bookmark3" w:id="5"/>
      <w:bookmarkEnd w:id="5"/>
      <w:r>
        <w:rPr>
          <w:b w:val="0"/>
        </w:rPr>
      </w:r>
      <w:r>
        <w:rPr>
          <w:spacing w:val="-6"/>
        </w:rPr>
        <w:t>III      </w:t>
      </w:r>
      <w:bookmarkStart w:name="_bookmark4" w:id="6"/>
      <w:bookmarkEnd w:id="6"/>
      <w:r>
        <w:rPr>
          <w:spacing w:val="-6"/>
        </w:rPr>
      </w:r>
      <w:r>
        <w:rPr>
          <w:spacing w:val="-5"/>
        </w:rPr>
        <w:t>COMPETENCIA</w:t>
      </w:r>
    </w:p>
    <w:p>
      <w:pPr>
        <w:pStyle w:val="BodyText"/>
        <w:spacing w:before="10"/>
        <w:rPr>
          <w:b/>
          <w:sz w:val="19"/>
        </w:rPr>
      </w:pPr>
    </w:p>
    <w:p>
      <w:pPr>
        <w:pStyle w:val="ListParagraph"/>
        <w:numPr>
          <w:ilvl w:val="0"/>
          <w:numId w:val="14"/>
        </w:numPr>
        <w:tabs>
          <w:tab w:pos="830" w:val="left" w:leader="none"/>
        </w:tabs>
        <w:spacing w:line="240" w:lineRule="auto" w:before="1" w:after="0"/>
        <w:ind w:left="122" w:right="111" w:hanging="12"/>
        <w:jc w:val="both"/>
        <w:rPr>
          <w:sz w:val="20"/>
        </w:rPr>
      </w:pPr>
      <w:r>
        <w:rPr>
          <w:sz w:val="20"/>
        </w:rPr>
        <w:t>La Corte Interamericana es competente para conocer el presente caso, en los términos del artículo 62.3 de la Convención, ya que Argentina es Estado Parte de la Convención Americana desde el 5 de septiembre de 1984 y reconoció la competencia contenciosa de la Corte en esa misma</w:t>
      </w:r>
      <w:r>
        <w:rPr>
          <w:spacing w:val="-20"/>
          <w:sz w:val="20"/>
        </w:rPr>
        <w:t> </w:t>
      </w:r>
      <w:r>
        <w:rPr>
          <w:sz w:val="20"/>
        </w:rPr>
        <w:t>fecha.</w:t>
      </w:r>
    </w:p>
    <w:p>
      <w:pPr>
        <w:pStyle w:val="BodyText"/>
        <w:spacing w:before="10"/>
        <w:rPr>
          <w:sz w:val="19"/>
        </w:rPr>
      </w:pPr>
    </w:p>
    <w:p>
      <w:pPr>
        <w:pStyle w:val="Heading3"/>
        <w:spacing w:before="1"/>
        <w:ind w:left="2897" w:right="2187" w:firstLine="1512"/>
        <w:jc w:val="left"/>
      </w:pPr>
      <w:bookmarkStart w:name="_bookmark5" w:id="7"/>
      <w:bookmarkEnd w:id="7"/>
      <w:r>
        <w:rPr>
          <w:b w:val="0"/>
        </w:rPr>
      </w:r>
      <w:r>
        <w:rPr/>
        <w:t>IV </w:t>
      </w:r>
      <w:bookmarkStart w:name="_bookmark6" w:id="8"/>
      <w:bookmarkEnd w:id="8"/>
      <w:r>
        <w:rPr/>
      </w:r>
      <w:r>
        <w:rPr/>
        <w:t>CONSIDERACIONES PREVIAS</w:t>
      </w:r>
    </w:p>
    <w:p>
      <w:pPr>
        <w:pStyle w:val="BodyText"/>
        <w:spacing w:before="10"/>
        <w:rPr>
          <w:b/>
          <w:sz w:val="19"/>
        </w:rPr>
      </w:pPr>
    </w:p>
    <w:p>
      <w:pPr>
        <w:pStyle w:val="ListParagraph"/>
        <w:numPr>
          <w:ilvl w:val="0"/>
          <w:numId w:val="14"/>
        </w:numPr>
        <w:tabs>
          <w:tab w:pos="830" w:val="left" w:leader="none"/>
        </w:tabs>
        <w:spacing w:line="240" w:lineRule="auto" w:before="1" w:after="0"/>
        <w:ind w:left="122" w:right="104" w:hanging="12"/>
        <w:jc w:val="both"/>
        <w:rPr>
          <w:sz w:val="20"/>
        </w:rPr>
      </w:pPr>
      <w:r>
        <w:rPr>
          <w:sz w:val="20"/>
        </w:rPr>
        <w:t>A continuación se efectúan, de forma previa a dar cuenta de la prueba recibida, los hechos del caso y el examen de fondo sobre el mismo, consideraciones sobre: a) la oposición del Estado a que la Corte conozca hechos posteriores al 26 de enero de 2012 y b) la determinación de las presuntas</w:t>
      </w:r>
      <w:r>
        <w:rPr>
          <w:spacing w:val="-18"/>
          <w:sz w:val="20"/>
        </w:rPr>
        <w:t> </w:t>
      </w:r>
      <w:r>
        <w:rPr>
          <w:sz w:val="20"/>
        </w:rPr>
        <w:t>víctimas.</w:t>
      </w:r>
    </w:p>
    <w:p>
      <w:pPr>
        <w:pStyle w:val="BodyText"/>
        <w:spacing w:before="1"/>
      </w:pPr>
    </w:p>
    <w:p>
      <w:pPr>
        <w:pStyle w:val="Heading4"/>
        <w:numPr>
          <w:ilvl w:val="0"/>
          <w:numId w:val="15"/>
        </w:numPr>
        <w:tabs>
          <w:tab w:pos="737" w:val="left" w:leader="none"/>
        </w:tabs>
        <w:spacing w:line="240" w:lineRule="auto" w:before="0" w:after="0"/>
        <w:ind w:left="736" w:right="0" w:hanging="331"/>
        <w:jc w:val="left"/>
        <w:rPr>
          <w:i/>
        </w:rPr>
      </w:pPr>
      <w:bookmarkStart w:name="_bookmark7" w:id="9"/>
      <w:bookmarkEnd w:id="9"/>
      <w:r>
        <w:rPr>
          <w:b w:val="0"/>
          <w:i w:val="0"/>
        </w:rPr>
      </w:r>
      <w:bookmarkStart w:name="_bookmark7" w:id="10"/>
      <w:bookmarkEnd w:id="10"/>
      <w:r>
        <w:rPr>
          <w:i/>
          <w:u w:val="thick"/>
        </w:rPr>
        <w:t>So</w:t>
      </w:r>
      <w:r>
        <w:rPr>
          <w:i/>
          <w:u w:val="thick"/>
        </w:rPr>
        <w:t>bre los hechos posteriores al 26 de enero de</w:t>
      </w:r>
      <w:r>
        <w:rPr>
          <w:i/>
          <w:spacing w:val="-21"/>
          <w:u w:val="thick"/>
        </w:rPr>
        <w:t> </w:t>
      </w:r>
      <w:r>
        <w:rPr>
          <w:i/>
          <w:u w:val="thick"/>
        </w:rPr>
        <w:t>2012</w:t>
      </w:r>
    </w:p>
    <w:p>
      <w:pPr>
        <w:pStyle w:val="BodyText"/>
        <w:rPr>
          <w:b/>
          <w:i/>
          <w:sz w:val="15"/>
        </w:rPr>
      </w:pPr>
    </w:p>
    <w:p>
      <w:pPr>
        <w:pStyle w:val="Heading4"/>
        <w:numPr>
          <w:ilvl w:val="1"/>
          <w:numId w:val="15"/>
        </w:numPr>
        <w:tabs>
          <w:tab w:pos="1125" w:val="left" w:leader="none"/>
        </w:tabs>
        <w:spacing w:line="240" w:lineRule="auto" w:before="100" w:after="0"/>
        <w:ind w:left="1124" w:right="0" w:hanging="436"/>
        <w:jc w:val="left"/>
        <w:rPr>
          <w:i/>
        </w:rPr>
      </w:pPr>
      <w:bookmarkStart w:name="_bookmark8" w:id="11"/>
      <w:bookmarkEnd w:id="11"/>
      <w:r>
        <w:rPr>
          <w:b w:val="0"/>
          <w:i w:val="0"/>
        </w:rPr>
      </w:r>
      <w:bookmarkStart w:name="_bookmark8" w:id="12"/>
      <w:bookmarkEnd w:id="12"/>
      <w:r>
        <w:rPr>
          <w:i/>
        </w:rPr>
        <w:t>A</w:t>
      </w:r>
      <w:r>
        <w:rPr>
          <w:i/>
        </w:rPr>
        <w:t>legatos de las partes y la</w:t>
      </w:r>
      <w:r>
        <w:rPr>
          <w:i/>
          <w:spacing w:val="-11"/>
        </w:rPr>
        <w:t> </w:t>
      </w:r>
      <w:r>
        <w:rPr>
          <w:i/>
        </w:rPr>
        <w:t>Comisión</w:t>
      </w:r>
    </w:p>
    <w:p>
      <w:pPr>
        <w:pStyle w:val="BodyText"/>
        <w:spacing w:before="10"/>
        <w:rPr>
          <w:b/>
          <w:i/>
          <w:sz w:val="19"/>
        </w:rPr>
      </w:pPr>
    </w:p>
    <w:p>
      <w:pPr>
        <w:pStyle w:val="ListParagraph"/>
        <w:numPr>
          <w:ilvl w:val="0"/>
          <w:numId w:val="14"/>
        </w:numPr>
        <w:tabs>
          <w:tab w:pos="830" w:val="left" w:leader="none"/>
        </w:tabs>
        <w:spacing w:line="240" w:lineRule="auto" w:before="0" w:after="0"/>
        <w:ind w:left="122" w:right="104" w:hanging="12"/>
        <w:jc w:val="both"/>
        <w:rPr>
          <w:sz w:val="20"/>
        </w:rPr>
      </w:pPr>
      <w:r>
        <w:rPr>
          <w:sz w:val="20"/>
        </w:rPr>
        <w:t>El </w:t>
      </w:r>
      <w:r>
        <w:rPr>
          <w:b/>
          <w:i/>
          <w:sz w:val="20"/>
        </w:rPr>
        <w:t>Estado </w:t>
      </w:r>
      <w:r>
        <w:rPr>
          <w:sz w:val="20"/>
        </w:rPr>
        <w:t>adujo, denominando su argumento “excepción preliminar”, la “incompetencia”</w:t>
      </w:r>
      <w:r>
        <w:rPr>
          <w:spacing w:val="-4"/>
          <w:sz w:val="20"/>
        </w:rPr>
        <w:t> </w:t>
      </w:r>
      <w:r>
        <w:rPr>
          <w:sz w:val="20"/>
        </w:rPr>
        <w:t>de</w:t>
      </w:r>
      <w:r>
        <w:rPr>
          <w:spacing w:val="-7"/>
          <w:sz w:val="20"/>
        </w:rPr>
        <w:t> </w:t>
      </w:r>
      <w:r>
        <w:rPr>
          <w:sz w:val="20"/>
        </w:rPr>
        <w:t>la</w:t>
      </w:r>
      <w:r>
        <w:rPr>
          <w:spacing w:val="-3"/>
          <w:sz w:val="20"/>
        </w:rPr>
        <w:t> </w:t>
      </w:r>
      <w:r>
        <w:rPr>
          <w:sz w:val="20"/>
        </w:rPr>
        <w:t>Corte</w:t>
      </w:r>
      <w:r>
        <w:rPr>
          <w:spacing w:val="-4"/>
          <w:sz w:val="20"/>
        </w:rPr>
        <w:t> </w:t>
      </w:r>
      <w:r>
        <w:rPr>
          <w:sz w:val="20"/>
        </w:rPr>
        <w:t>en</w:t>
      </w:r>
      <w:r>
        <w:rPr>
          <w:spacing w:val="-2"/>
          <w:sz w:val="20"/>
        </w:rPr>
        <w:t> </w:t>
      </w:r>
      <w:r>
        <w:rPr>
          <w:sz w:val="20"/>
        </w:rPr>
        <w:t>relación</w:t>
      </w:r>
      <w:r>
        <w:rPr>
          <w:spacing w:val="-3"/>
          <w:sz w:val="20"/>
        </w:rPr>
        <w:t> </w:t>
      </w:r>
      <w:r>
        <w:rPr>
          <w:sz w:val="20"/>
        </w:rPr>
        <w:t>con</w:t>
      </w:r>
      <w:r>
        <w:rPr>
          <w:spacing w:val="-5"/>
          <w:sz w:val="20"/>
        </w:rPr>
        <w:t> </w:t>
      </w:r>
      <w:r>
        <w:rPr>
          <w:sz w:val="20"/>
        </w:rPr>
        <w:t>hechos</w:t>
      </w:r>
      <w:r>
        <w:rPr>
          <w:spacing w:val="-6"/>
          <w:sz w:val="20"/>
        </w:rPr>
        <w:t> </w:t>
      </w:r>
      <w:r>
        <w:rPr>
          <w:sz w:val="20"/>
        </w:rPr>
        <w:t>posteriores</w:t>
      </w:r>
      <w:r>
        <w:rPr>
          <w:spacing w:val="-4"/>
          <w:sz w:val="20"/>
        </w:rPr>
        <w:t> </w:t>
      </w:r>
      <w:r>
        <w:rPr>
          <w:sz w:val="20"/>
        </w:rPr>
        <w:t>al</w:t>
      </w:r>
      <w:r>
        <w:rPr>
          <w:spacing w:val="-2"/>
          <w:sz w:val="20"/>
        </w:rPr>
        <w:t> </w:t>
      </w:r>
      <w:r>
        <w:rPr>
          <w:sz w:val="20"/>
        </w:rPr>
        <w:t>26</w:t>
      </w:r>
      <w:r>
        <w:rPr>
          <w:spacing w:val="-5"/>
          <w:sz w:val="20"/>
        </w:rPr>
        <w:t> </w:t>
      </w:r>
      <w:r>
        <w:rPr>
          <w:sz w:val="20"/>
        </w:rPr>
        <w:t>de</w:t>
      </w:r>
      <w:r>
        <w:rPr>
          <w:spacing w:val="-5"/>
          <w:sz w:val="20"/>
        </w:rPr>
        <w:t> </w:t>
      </w:r>
      <w:r>
        <w:rPr>
          <w:sz w:val="20"/>
        </w:rPr>
        <w:t>enero</w:t>
      </w:r>
      <w:r>
        <w:rPr>
          <w:spacing w:val="-7"/>
          <w:sz w:val="20"/>
        </w:rPr>
        <w:t> </w:t>
      </w:r>
      <w:r>
        <w:rPr>
          <w:sz w:val="20"/>
        </w:rPr>
        <w:t>de</w:t>
      </w:r>
      <w:r>
        <w:rPr>
          <w:spacing w:val="-5"/>
          <w:sz w:val="20"/>
        </w:rPr>
        <w:t> </w:t>
      </w:r>
      <w:r>
        <w:rPr>
          <w:sz w:val="20"/>
        </w:rPr>
        <w:t>2012, fecha en que se adoptó el Informe de Fondo No. 2/12. Expresó que respecto a tales hechos no se agotaron los recursos</w:t>
      </w:r>
      <w:r>
        <w:rPr>
          <w:spacing w:val="-15"/>
          <w:sz w:val="20"/>
        </w:rPr>
        <w:t> </w:t>
      </w:r>
      <w:r>
        <w:rPr>
          <w:sz w:val="20"/>
        </w:rPr>
        <w:t>internos.</w:t>
      </w:r>
    </w:p>
    <w:p>
      <w:pPr>
        <w:pStyle w:val="BodyText"/>
      </w:pPr>
    </w:p>
    <w:p>
      <w:pPr>
        <w:pStyle w:val="ListParagraph"/>
        <w:numPr>
          <w:ilvl w:val="0"/>
          <w:numId w:val="14"/>
        </w:numPr>
        <w:tabs>
          <w:tab w:pos="830" w:val="left" w:leader="none"/>
        </w:tabs>
        <w:spacing w:line="240" w:lineRule="auto" w:before="0" w:after="0"/>
        <w:ind w:left="122" w:right="101" w:hanging="12"/>
        <w:jc w:val="both"/>
        <w:rPr>
          <w:sz w:val="20"/>
        </w:rPr>
      </w:pPr>
      <w:r>
        <w:rPr>
          <w:sz w:val="20"/>
        </w:rPr>
        <w:t>Argentina hizo tal consideración en términos generales, refiriéndose a todos los hechos sucedidos después de la fecha indicada. Sin perjuicio de ello, mencionó algunos hechos a título de “ejemplo”. Lo hizo aludiendo a alegatos de los representantes que, a su vez, se refieren a tales hechos. Las circunstancias fácticas que de ese modo señaló el Estado son las siguientes: 1.- emisión del Decreto 2398/12, publicado el 25 de julio de 2012, relacionado con la adjudicación de tierra; 2.- adopción en 2013 del Protocolo Adicional de vinculación entre el Instituto Nacional de Asuntos Indígenas (INAI) y la Unidad Ejecutora Provincial (UEP), refrendado por el Decreto 2001/13, que preveía un “plan de trabajo” relacionado con la distribución del territorio; </w:t>
      </w:r>
      <w:r>
        <w:rPr>
          <w:spacing w:val="2"/>
          <w:sz w:val="20"/>
        </w:rPr>
        <w:t>3.- </w:t>
      </w:r>
      <w:r>
        <w:rPr>
          <w:sz w:val="20"/>
        </w:rPr>
        <w:t>emisión en 2014 del Decreto 1498/14, que “reconoce y transfiere” propiedad; 4.- realización de reuniones entre funcionarios los días 23 de junio (o julio) y 11 de julio de 2012, en </w:t>
      </w:r>
      <w:r>
        <w:rPr>
          <w:spacing w:val="2"/>
          <w:sz w:val="20"/>
        </w:rPr>
        <w:t>las </w:t>
      </w:r>
      <w:r>
        <w:rPr>
          <w:sz w:val="20"/>
        </w:rPr>
        <w:t>que se habría señalado la necesidad de personería jurídica de comunidades para instrumentar la</w:t>
      </w:r>
      <w:r>
        <w:rPr>
          <w:spacing w:val="-17"/>
          <w:sz w:val="20"/>
        </w:rPr>
        <w:t> </w:t>
      </w:r>
      <w:r>
        <w:rPr>
          <w:sz w:val="20"/>
        </w:rPr>
        <w:t>propiedad</w:t>
      </w:r>
      <w:r>
        <w:rPr>
          <w:spacing w:val="-15"/>
          <w:sz w:val="20"/>
        </w:rPr>
        <w:t> </w:t>
      </w:r>
      <w:r>
        <w:rPr>
          <w:sz w:val="20"/>
        </w:rPr>
        <w:t>comunitaria;</w:t>
      </w:r>
      <w:r>
        <w:rPr>
          <w:spacing w:val="-17"/>
          <w:sz w:val="20"/>
        </w:rPr>
        <w:t> </w:t>
      </w:r>
      <w:r>
        <w:rPr>
          <w:sz w:val="20"/>
        </w:rPr>
        <w:t>5.-</w:t>
      </w:r>
      <w:r>
        <w:rPr>
          <w:spacing w:val="-17"/>
          <w:sz w:val="20"/>
        </w:rPr>
        <w:t> </w:t>
      </w:r>
      <w:r>
        <w:rPr>
          <w:sz w:val="20"/>
        </w:rPr>
        <w:t>acaecimiento</w:t>
      </w:r>
      <w:r>
        <w:rPr>
          <w:spacing w:val="-17"/>
          <w:sz w:val="20"/>
        </w:rPr>
        <w:t> </w:t>
      </w:r>
      <w:r>
        <w:rPr>
          <w:sz w:val="20"/>
        </w:rPr>
        <w:t>de</w:t>
      </w:r>
      <w:r>
        <w:rPr>
          <w:spacing w:val="-16"/>
          <w:sz w:val="20"/>
        </w:rPr>
        <w:t> </w:t>
      </w:r>
      <w:r>
        <w:rPr>
          <w:sz w:val="20"/>
        </w:rPr>
        <w:t>“episodios”</w:t>
      </w:r>
      <w:r>
        <w:rPr>
          <w:spacing w:val="-17"/>
          <w:sz w:val="20"/>
        </w:rPr>
        <w:t> </w:t>
      </w:r>
      <w:r>
        <w:rPr>
          <w:sz w:val="20"/>
        </w:rPr>
        <w:t>de</w:t>
      </w:r>
      <w:r>
        <w:rPr>
          <w:spacing w:val="-19"/>
          <w:sz w:val="20"/>
        </w:rPr>
        <w:t> </w:t>
      </w:r>
      <w:r>
        <w:rPr>
          <w:sz w:val="20"/>
        </w:rPr>
        <w:t>“mediados</w:t>
      </w:r>
      <w:r>
        <w:rPr>
          <w:spacing w:val="-17"/>
          <w:sz w:val="20"/>
        </w:rPr>
        <w:t> </w:t>
      </w:r>
      <w:r>
        <w:rPr>
          <w:sz w:val="20"/>
        </w:rPr>
        <w:t>de</w:t>
      </w:r>
      <w:r>
        <w:rPr>
          <w:spacing w:val="-17"/>
          <w:sz w:val="20"/>
        </w:rPr>
        <w:t> </w:t>
      </w:r>
      <w:r>
        <w:rPr>
          <w:sz w:val="20"/>
        </w:rPr>
        <w:t>2015”</w:t>
      </w:r>
      <w:r>
        <w:rPr>
          <w:spacing w:val="-16"/>
          <w:sz w:val="20"/>
        </w:rPr>
        <w:t> </w:t>
      </w:r>
      <w:r>
        <w:rPr>
          <w:sz w:val="20"/>
        </w:rPr>
        <w:t>y</w:t>
      </w:r>
      <w:r>
        <w:rPr>
          <w:spacing w:val="-18"/>
          <w:sz w:val="20"/>
        </w:rPr>
        <w:t> </w:t>
      </w:r>
      <w:r>
        <w:rPr>
          <w:sz w:val="20"/>
        </w:rPr>
        <w:t>fines de</w:t>
      </w:r>
      <w:r>
        <w:rPr>
          <w:spacing w:val="-14"/>
          <w:sz w:val="20"/>
        </w:rPr>
        <w:t> </w:t>
      </w:r>
      <w:r>
        <w:rPr>
          <w:sz w:val="20"/>
        </w:rPr>
        <w:t>2016</w:t>
      </w:r>
      <w:r>
        <w:rPr>
          <w:spacing w:val="-8"/>
          <w:sz w:val="20"/>
        </w:rPr>
        <w:t> </w:t>
      </w:r>
      <w:r>
        <w:rPr>
          <w:sz w:val="20"/>
        </w:rPr>
        <w:t>en</w:t>
      </w:r>
      <w:r>
        <w:rPr>
          <w:spacing w:val="-13"/>
          <w:sz w:val="20"/>
        </w:rPr>
        <w:t> </w:t>
      </w:r>
      <w:r>
        <w:rPr>
          <w:sz w:val="20"/>
        </w:rPr>
        <w:t>los</w:t>
      </w:r>
      <w:r>
        <w:rPr>
          <w:spacing w:val="-12"/>
          <w:sz w:val="20"/>
        </w:rPr>
        <w:t> </w:t>
      </w:r>
      <w:r>
        <w:rPr>
          <w:sz w:val="20"/>
        </w:rPr>
        <w:t>que,</w:t>
      </w:r>
      <w:r>
        <w:rPr>
          <w:spacing w:val="-12"/>
          <w:sz w:val="20"/>
        </w:rPr>
        <w:t> </w:t>
      </w:r>
      <w:r>
        <w:rPr>
          <w:sz w:val="20"/>
        </w:rPr>
        <w:t>respectivamente,</w:t>
      </w:r>
      <w:r>
        <w:rPr>
          <w:spacing w:val="-12"/>
          <w:sz w:val="20"/>
        </w:rPr>
        <w:t> </w:t>
      </w:r>
      <w:r>
        <w:rPr>
          <w:sz w:val="20"/>
        </w:rPr>
        <w:t>un</w:t>
      </w:r>
      <w:r>
        <w:rPr>
          <w:spacing w:val="-13"/>
          <w:sz w:val="20"/>
        </w:rPr>
        <w:t> </w:t>
      </w:r>
      <w:r>
        <w:rPr>
          <w:sz w:val="20"/>
        </w:rPr>
        <w:t>agrimensor</w:t>
      </w:r>
      <w:r>
        <w:rPr>
          <w:spacing w:val="-13"/>
          <w:sz w:val="20"/>
        </w:rPr>
        <w:t> </w:t>
      </w:r>
      <w:r>
        <w:rPr>
          <w:sz w:val="20"/>
        </w:rPr>
        <w:t>habría</w:t>
      </w:r>
      <w:r>
        <w:rPr>
          <w:spacing w:val="-11"/>
          <w:sz w:val="20"/>
        </w:rPr>
        <w:t> </w:t>
      </w:r>
      <w:r>
        <w:rPr>
          <w:sz w:val="20"/>
        </w:rPr>
        <w:t>pretendido</w:t>
      </w:r>
      <w:r>
        <w:rPr>
          <w:spacing w:val="-10"/>
          <w:sz w:val="20"/>
        </w:rPr>
        <w:t> </w:t>
      </w:r>
      <w:r>
        <w:rPr>
          <w:sz w:val="20"/>
        </w:rPr>
        <w:t>ignorar</w:t>
      </w:r>
      <w:r>
        <w:rPr>
          <w:spacing w:val="-12"/>
          <w:sz w:val="20"/>
        </w:rPr>
        <w:t> </w:t>
      </w:r>
      <w:r>
        <w:rPr>
          <w:sz w:val="20"/>
        </w:rPr>
        <w:t>un</w:t>
      </w:r>
      <w:r>
        <w:rPr>
          <w:spacing w:val="-13"/>
          <w:sz w:val="20"/>
        </w:rPr>
        <w:t> </w:t>
      </w:r>
      <w:r>
        <w:rPr>
          <w:sz w:val="20"/>
        </w:rPr>
        <w:t>mapa elaborado</w:t>
      </w:r>
      <w:r>
        <w:rPr>
          <w:spacing w:val="-17"/>
          <w:sz w:val="20"/>
        </w:rPr>
        <w:t> </w:t>
      </w:r>
      <w:r>
        <w:rPr>
          <w:sz w:val="20"/>
        </w:rPr>
        <w:t>por</w:t>
      </w:r>
      <w:r>
        <w:rPr>
          <w:spacing w:val="-19"/>
          <w:sz w:val="20"/>
        </w:rPr>
        <w:t> </w:t>
      </w:r>
      <w:r>
        <w:rPr>
          <w:sz w:val="20"/>
        </w:rPr>
        <w:t>integrantes</w:t>
      </w:r>
      <w:r>
        <w:rPr>
          <w:spacing w:val="-18"/>
          <w:sz w:val="20"/>
        </w:rPr>
        <w:t> </w:t>
      </w:r>
      <w:r>
        <w:rPr>
          <w:sz w:val="20"/>
        </w:rPr>
        <w:t>de</w:t>
      </w:r>
      <w:r>
        <w:rPr>
          <w:spacing w:val="-17"/>
          <w:sz w:val="20"/>
        </w:rPr>
        <w:t> </w:t>
      </w:r>
      <w:r>
        <w:rPr>
          <w:sz w:val="20"/>
        </w:rPr>
        <w:t>comunidades</w:t>
      </w:r>
      <w:r>
        <w:rPr>
          <w:spacing w:val="-18"/>
          <w:sz w:val="20"/>
        </w:rPr>
        <w:t> </w:t>
      </w:r>
      <w:r>
        <w:rPr>
          <w:sz w:val="20"/>
        </w:rPr>
        <w:t>indígenas</w:t>
      </w:r>
      <w:r>
        <w:rPr>
          <w:spacing w:val="-11"/>
          <w:sz w:val="20"/>
        </w:rPr>
        <w:t> </w:t>
      </w:r>
      <w:r>
        <w:rPr>
          <w:sz w:val="20"/>
        </w:rPr>
        <w:t>y</w:t>
      </w:r>
      <w:r>
        <w:rPr>
          <w:spacing w:val="-16"/>
          <w:sz w:val="20"/>
        </w:rPr>
        <w:t> </w:t>
      </w:r>
      <w:r>
        <w:rPr>
          <w:sz w:val="20"/>
        </w:rPr>
        <w:t>en</w:t>
      </w:r>
      <w:r>
        <w:rPr>
          <w:spacing w:val="-18"/>
          <w:sz w:val="20"/>
        </w:rPr>
        <w:t> </w:t>
      </w:r>
      <w:r>
        <w:rPr>
          <w:sz w:val="20"/>
        </w:rPr>
        <w:t>los</w:t>
      </w:r>
      <w:r>
        <w:rPr>
          <w:spacing w:val="-18"/>
          <w:sz w:val="20"/>
        </w:rPr>
        <w:t> </w:t>
      </w:r>
      <w:r>
        <w:rPr>
          <w:sz w:val="20"/>
        </w:rPr>
        <w:t>que</w:t>
      </w:r>
      <w:r>
        <w:rPr>
          <w:spacing w:val="-18"/>
          <w:sz w:val="20"/>
        </w:rPr>
        <w:t> </w:t>
      </w:r>
      <w:r>
        <w:rPr>
          <w:sz w:val="20"/>
        </w:rPr>
        <w:t>la</w:t>
      </w:r>
      <w:r>
        <w:rPr>
          <w:spacing w:val="-18"/>
          <w:sz w:val="20"/>
        </w:rPr>
        <w:t> </w:t>
      </w:r>
      <w:r>
        <w:rPr>
          <w:sz w:val="20"/>
        </w:rPr>
        <w:t>UEP</w:t>
      </w:r>
      <w:r>
        <w:rPr>
          <w:spacing w:val="-16"/>
          <w:sz w:val="20"/>
        </w:rPr>
        <w:t> </w:t>
      </w:r>
      <w:r>
        <w:rPr>
          <w:sz w:val="20"/>
        </w:rPr>
        <w:t>habría</w:t>
      </w:r>
      <w:r>
        <w:rPr>
          <w:spacing w:val="-18"/>
          <w:sz w:val="20"/>
        </w:rPr>
        <w:t> </w:t>
      </w:r>
      <w:r>
        <w:rPr>
          <w:sz w:val="20"/>
        </w:rPr>
        <w:t>realizado trabajos sin garantizar la participación de comunidades indígenas; 6.- la adopción del “Proyecto del Gasoducto del Noreste Argentin[o] (GNEA)”, del cual los representantes indican haber tomado conocimiento en 2014, aprobado en 2015 por la Resolución provincial 16/15, y los posteriores “intentos” por detenerlo, y 7.- los aducidos “intentos de urbanización en Rancho El Ñato”, de los que los representantes manifestaron haber tomado conocimiento a fines de</w:t>
      </w:r>
      <w:r>
        <w:rPr>
          <w:spacing w:val="-20"/>
          <w:sz w:val="20"/>
        </w:rPr>
        <w:t> </w:t>
      </w:r>
      <w:r>
        <w:rPr>
          <w:sz w:val="20"/>
        </w:rPr>
        <w:t>2016.</w:t>
      </w:r>
    </w:p>
    <w:p>
      <w:pPr>
        <w:pStyle w:val="BodyText"/>
      </w:pPr>
    </w:p>
    <w:p>
      <w:pPr>
        <w:pStyle w:val="ListParagraph"/>
        <w:numPr>
          <w:ilvl w:val="0"/>
          <w:numId w:val="14"/>
        </w:numPr>
        <w:tabs>
          <w:tab w:pos="830" w:val="left" w:leader="none"/>
        </w:tabs>
        <w:spacing w:line="240" w:lineRule="auto" w:before="0" w:after="0"/>
        <w:ind w:left="122" w:right="107" w:hanging="12"/>
        <w:jc w:val="both"/>
        <w:rPr>
          <w:sz w:val="20"/>
        </w:rPr>
      </w:pPr>
      <w:r>
        <w:rPr>
          <w:sz w:val="20"/>
        </w:rPr>
        <w:t>Los </w:t>
      </w:r>
      <w:r>
        <w:rPr>
          <w:b/>
          <w:i/>
          <w:sz w:val="20"/>
        </w:rPr>
        <w:t>representantes </w:t>
      </w:r>
      <w:r>
        <w:rPr>
          <w:sz w:val="20"/>
        </w:rPr>
        <w:t>indicaron que se deben analizar todos los hechos acontecidos tras la emisión del Informe de Fondo, pues tienen relación “directa […] con lo expuesto en el</w:t>
      </w:r>
      <w:r>
        <w:rPr>
          <w:spacing w:val="-11"/>
          <w:sz w:val="20"/>
        </w:rPr>
        <w:t> </w:t>
      </w:r>
      <w:r>
        <w:rPr>
          <w:sz w:val="20"/>
        </w:rPr>
        <w:t>[mismo]”.</w:t>
      </w:r>
    </w:p>
    <w:p>
      <w:pPr>
        <w:spacing w:after="0" w:line="240" w:lineRule="auto"/>
        <w:jc w:val="both"/>
        <w:rPr>
          <w:sz w:val="20"/>
        </w:rPr>
        <w:sectPr>
          <w:footerReference w:type="default" r:id="rId6"/>
          <w:pgSz w:w="12240" w:h="15840"/>
          <w:pgMar w:footer="1000" w:header="0" w:top="1340" w:bottom="1200" w:left="1580" w:right="1600"/>
        </w:sectPr>
      </w:pPr>
    </w:p>
    <w:p>
      <w:pPr>
        <w:pStyle w:val="ListParagraph"/>
        <w:numPr>
          <w:ilvl w:val="0"/>
          <w:numId w:val="14"/>
        </w:numPr>
        <w:tabs>
          <w:tab w:pos="830" w:val="left" w:leader="none"/>
        </w:tabs>
        <w:spacing w:line="240" w:lineRule="auto" w:before="161" w:after="0"/>
        <w:ind w:left="122" w:right="129" w:hanging="12"/>
        <w:jc w:val="both"/>
        <w:rPr>
          <w:sz w:val="20"/>
        </w:rPr>
      </w:pPr>
      <w:r>
        <w:rPr>
          <w:sz w:val="20"/>
        </w:rPr>
        <w:t>La </w:t>
      </w:r>
      <w:r>
        <w:rPr>
          <w:b/>
          <w:i/>
          <w:sz w:val="20"/>
        </w:rPr>
        <w:t>Comisión </w:t>
      </w:r>
      <w:r>
        <w:rPr>
          <w:sz w:val="20"/>
        </w:rPr>
        <w:t>observó que lo aducido por el Estado no constituye una excepción preliminar, dado que refiere a una cuestión de fondo: el marco</w:t>
      </w:r>
      <w:r>
        <w:rPr>
          <w:spacing w:val="-18"/>
          <w:sz w:val="20"/>
        </w:rPr>
        <w:t> </w:t>
      </w:r>
      <w:r>
        <w:rPr>
          <w:sz w:val="20"/>
        </w:rPr>
        <w:t>fáctico.</w:t>
      </w:r>
    </w:p>
    <w:p>
      <w:pPr>
        <w:pStyle w:val="BodyText"/>
      </w:pPr>
    </w:p>
    <w:p>
      <w:pPr>
        <w:pStyle w:val="Heading4"/>
        <w:numPr>
          <w:ilvl w:val="1"/>
          <w:numId w:val="15"/>
        </w:numPr>
        <w:tabs>
          <w:tab w:pos="1125" w:val="left" w:leader="none"/>
        </w:tabs>
        <w:spacing w:line="240" w:lineRule="auto" w:before="0" w:after="0"/>
        <w:ind w:left="1124" w:right="0" w:hanging="436"/>
        <w:jc w:val="left"/>
        <w:rPr>
          <w:i/>
        </w:rPr>
      </w:pPr>
      <w:bookmarkStart w:name="_bookmark9" w:id="13"/>
      <w:bookmarkEnd w:id="13"/>
      <w:r>
        <w:rPr>
          <w:b w:val="0"/>
          <w:i w:val="0"/>
        </w:rPr>
      </w:r>
      <w:bookmarkStart w:name="_bookmark9" w:id="14"/>
      <w:bookmarkEnd w:id="14"/>
      <w:r>
        <w:rPr>
          <w:i/>
        </w:rPr>
        <w:t>Co</w:t>
      </w:r>
      <w:r>
        <w:rPr>
          <w:i/>
        </w:rPr>
        <w:t>nsideraciones de la</w:t>
      </w:r>
      <w:r>
        <w:rPr>
          <w:i/>
          <w:spacing w:val="-14"/>
        </w:rPr>
        <w:t> </w:t>
      </w:r>
      <w:r>
        <w:rPr>
          <w:i/>
        </w:rPr>
        <w:t>Corte</w:t>
      </w:r>
    </w:p>
    <w:p>
      <w:pPr>
        <w:pStyle w:val="BodyText"/>
        <w:spacing w:before="10"/>
        <w:rPr>
          <w:b/>
          <w:i/>
          <w:sz w:val="19"/>
        </w:rPr>
      </w:pPr>
    </w:p>
    <w:p>
      <w:pPr>
        <w:pStyle w:val="ListParagraph"/>
        <w:numPr>
          <w:ilvl w:val="0"/>
          <w:numId w:val="14"/>
        </w:numPr>
        <w:tabs>
          <w:tab w:pos="830" w:val="left" w:leader="none"/>
        </w:tabs>
        <w:spacing w:line="240" w:lineRule="auto" w:before="0" w:after="0"/>
        <w:ind w:left="122" w:right="130" w:firstLine="0"/>
        <w:jc w:val="both"/>
        <w:rPr>
          <w:sz w:val="20"/>
        </w:rPr>
      </w:pPr>
      <w:r>
        <w:rPr>
          <w:sz w:val="20"/>
        </w:rPr>
        <w:t>Esta</w:t>
      </w:r>
      <w:r>
        <w:rPr>
          <w:spacing w:val="-9"/>
          <w:sz w:val="20"/>
        </w:rPr>
        <w:t> </w:t>
      </w:r>
      <w:r>
        <w:rPr>
          <w:sz w:val="20"/>
        </w:rPr>
        <w:t>Corte</w:t>
      </w:r>
      <w:r>
        <w:rPr>
          <w:spacing w:val="-10"/>
          <w:sz w:val="20"/>
        </w:rPr>
        <w:t> </w:t>
      </w:r>
      <w:r>
        <w:rPr>
          <w:sz w:val="20"/>
        </w:rPr>
        <w:t>advierte</w:t>
      </w:r>
      <w:r>
        <w:rPr>
          <w:spacing w:val="-8"/>
          <w:sz w:val="20"/>
        </w:rPr>
        <w:t> </w:t>
      </w:r>
      <w:r>
        <w:rPr>
          <w:sz w:val="20"/>
        </w:rPr>
        <w:t>que</w:t>
      </w:r>
      <w:r>
        <w:rPr>
          <w:spacing w:val="-8"/>
          <w:sz w:val="20"/>
        </w:rPr>
        <w:t> </w:t>
      </w:r>
      <w:r>
        <w:rPr>
          <w:sz w:val="20"/>
        </w:rPr>
        <w:t>la</w:t>
      </w:r>
      <w:r>
        <w:rPr>
          <w:spacing w:val="-9"/>
          <w:sz w:val="20"/>
        </w:rPr>
        <w:t> </w:t>
      </w:r>
      <w:r>
        <w:rPr>
          <w:sz w:val="20"/>
        </w:rPr>
        <w:t>objeción</w:t>
      </w:r>
      <w:r>
        <w:rPr>
          <w:spacing w:val="-6"/>
          <w:sz w:val="20"/>
        </w:rPr>
        <w:t> </w:t>
      </w:r>
      <w:r>
        <w:rPr>
          <w:sz w:val="20"/>
        </w:rPr>
        <w:t>estatal</w:t>
      </w:r>
      <w:r>
        <w:rPr>
          <w:spacing w:val="-8"/>
          <w:sz w:val="20"/>
        </w:rPr>
        <w:t> </w:t>
      </w:r>
      <w:r>
        <w:rPr>
          <w:sz w:val="20"/>
        </w:rPr>
        <w:t>no</w:t>
      </w:r>
      <w:r>
        <w:rPr>
          <w:spacing w:val="-8"/>
          <w:sz w:val="20"/>
        </w:rPr>
        <w:t> </w:t>
      </w:r>
      <w:r>
        <w:rPr>
          <w:sz w:val="20"/>
        </w:rPr>
        <w:t>se</w:t>
      </w:r>
      <w:r>
        <w:rPr>
          <w:spacing w:val="-8"/>
          <w:sz w:val="20"/>
        </w:rPr>
        <w:t> </w:t>
      </w:r>
      <w:r>
        <w:rPr>
          <w:sz w:val="20"/>
        </w:rPr>
        <w:t>relaciona</w:t>
      </w:r>
      <w:r>
        <w:rPr>
          <w:spacing w:val="-6"/>
          <w:sz w:val="20"/>
        </w:rPr>
        <w:t> </w:t>
      </w:r>
      <w:r>
        <w:rPr>
          <w:sz w:val="20"/>
        </w:rPr>
        <w:t>con</w:t>
      </w:r>
      <w:r>
        <w:rPr>
          <w:spacing w:val="-8"/>
          <w:sz w:val="20"/>
        </w:rPr>
        <w:t> </w:t>
      </w:r>
      <w:r>
        <w:rPr>
          <w:sz w:val="20"/>
        </w:rPr>
        <w:t>la</w:t>
      </w:r>
      <w:r>
        <w:rPr>
          <w:spacing w:val="-7"/>
          <w:sz w:val="20"/>
        </w:rPr>
        <w:t> </w:t>
      </w:r>
      <w:r>
        <w:rPr>
          <w:sz w:val="20"/>
        </w:rPr>
        <w:t>competencia</w:t>
      </w:r>
      <w:r>
        <w:rPr>
          <w:spacing w:val="-9"/>
          <w:sz w:val="20"/>
        </w:rPr>
        <w:t> </w:t>
      </w:r>
      <w:r>
        <w:rPr>
          <w:sz w:val="20"/>
        </w:rPr>
        <w:t>de la Corte ni con requisitos de admisibilidad del caso en sí, sino con la determinación de su marco fáctico. Por ello, no configura una excepción</w:t>
      </w:r>
      <w:r>
        <w:rPr>
          <w:spacing w:val="-20"/>
          <w:sz w:val="20"/>
        </w:rPr>
        <w:t> </w:t>
      </w:r>
      <w:r>
        <w:rPr>
          <w:sz w:val="20"/>
        </w:rPr>
        <w:t>preliminar.</w:t>
      </w:r>
    </w:p>
    <w:p>
      <w:pPr>
        <w:pStyle w:val="BodyText"/>
      </w:pPr>
    </w:p>
    <w:p>
      <w:pPr>
        <w:pStyle w:val="ListParagraph"/>
        <w:numPr>
          <w:ilvl w:val="0"/>
          <w:numId w:val="14"/>
        </w:numPr>
        <w:tabs>
          <w:tab w:pos="830" w:val="left" w:leader="none"/>
        </w:tabs>
        <w:spacing w:line="237" w:lineRule="auto" w:before="0" w:after="0"/>
        <w:ind w:left="122" w:right="126" w:firstLine="0"/>
        <w:jc w:val="both"/>
        <w:rPr>
          <w:sz w:val="20"/>
        </w:rPr>
      </w:pPr>
      <w:r>
        <w:rPr>
          <w:sz w:val="20"/>
        </w:rPr>
        <w:t>Cabe recordar que, si bien el marco fáctico del caso tiene como base los hechos referidos en el Informe de Fondo, puede también integrarse por hechos supervinientes, que podrían ser remitidos al Tribunal siempre que se encontraran ligados a los hechos del caso y en cualquier estado del proceso antes de la emisión de la</w:t>
      </w:r>
      <w:r>
        <w:rPr>
          <w:spacing w:val="-28"/>
          <w:sz w:val="20"/>
        </w:rPr>
        <w:t> </w:t>
      </w:r>
      <w:r>
        <w:rPr>
          <w:sz w:val="20"/>
        </w:rPr>
        <w:t>sentencia</w:t>
      </w:r>
      <w:r>
        <w:rPr>
          <w:rFonts w:ascii="Calibri" w:hAnsi="Calibri"/>
          <w:position w:val="8"/>
          <w:sz w:val="14"/>
        </w:rPr>
        <w:t>16</w:t>
      </w:r>
      <w:r>
        <w:rPr>
          <w:sz w:val="20"/>
        </w:rPr>
        <w:t>.</w:t>
      </w:r>
    </w:p>
    <w:p>
      <w:pPr>
        <w:pStyle w:val="BodyText"/>
        <w:spacing w:before="6"/>
        <w:rPr>
          <w:sz w:val="21"/>
        </w:rPr>
      </w:pPr>
    </w:p>
    <w:p>
      <w:pPr>
        <w:pStyle w:val="ListParagraph"/>
        <w:numPr>
          <w:ilvl w:val="0"/>
          <w:numId w:val="14"/>
        </w:numPr>
        <w:tabs>
          <w:tab w:pos="830" w:val="left" w:leader="none"/>
        </w:tabs>
        <w:spacing w:line="240" w:lineRule="auto" w:before="0" w:after="0"/>
        <w:ind w:left="122" w:right="132" w:hanging="12"/>
        <w:jc w:val="both"/>
        <w:rPr>
          <w:sz w:val="20"/>
        </w:rPr>
      </w:pPr>
      <w:r>
        <w:rPr>
          <w:sz w:val="20"/>
        </w:rPr>
        <w:t>Ahora bien, el Estado no explicó de forma clara por qué debería negarse a todos los hechos posteriores al 26 de enero de 2012 el carácter de superviniente: Argentina sólo mencionó algunos ejemplos incluidos en alegatos de los</w:t>
      </w:r>
      <w:r>
        <w:rPr>
          <w:spacing w:val="-31"/>
          <w:sz w:val="20"/>
        </w:rPr>
        <w:t> </w:t>
      </w:r>
      <w:r>
        <w:rPr>
          <w:sz w:val="20"/>
        </w:rPr>
        <w:t>representantes.</w:t>
      </w:r>
    </w:p>
    <w:p>
      <w:pPr>
        <w:pStyle w:val="BodyText"/>
        <w:spacing w:before="10"/>
        <w:rPr>
          <w:sz w:val="19"/>
        </w:rPr>
      </w:pPr>
    </w:p>
    <w:p>
      <w:pPr>
        <w:pStyle w:val="ListParagraph"/>
        <w:numPr>
          <w:ilvl w:val="0"/>
          <w:numId w:val="14"/>
        </w:numPr>
        <w:tabs>
          <w:tab w:pos="830" w:val="left" w:leader="none"/>
        </w:tabs>
        <w:spacing w:line="240" w:lineRule="auto" w:before="0" w:after="0"/>
        <w:ind w:left="122" w:right="124" w:hanging="12"/>
        <w:jc w:val="both"/>
        <w:rPr>
          <w:sz w:val="20"/>
        </w:rPr>
      </w:pPr>
      <w:r>
        <w:rPr>
          <w:sz w:val="20"/>
        </w:rPr>
        <w:t>Entre tales ejemplos, el Estado se refirió a hechos relacionados con el proyecto de</w:t>
      </w:r>
      <w:r>
        <w:rPr>
          <w:spacing w:val="-16"/>
          <w:sz w:val="20"/>
        </w:rPr>
        <w:t> </w:t>
      </w:r>
      <w:r>
        <w:rPr>
          <w:sz w:val="20"/>
        </w:rPr>
        <w:t>Gasoducto</w:t>
      </w:r>
      <w:r>
        <w:rPr>
          <w:spacing w:val="-16"/>
          <w:sz w:val="20"/>
        </w:rPr>
        <w:t> </w:t>
      </w:r>
      <w:r>
        <w:rPr>
          <w:sz w:val="20"/>
        </w:rPr>
        <w:t>del</w:t>
      </w:r>
      <w:r>
        <w:rPr>
          <w:spacing w:val="-12"/>
          <w:sz w:val="20"/>
        </w:rPr>
        <w:t> </w:t>
      </w:r>
      <w:r>
        <w:rPr>
          <w:sz w:val="20"/>
        </w:rPr>
        <w:t>Noreste</w:t>
      </w:r>
      <w:r>
        <w:rPr>
          <w:spacing w:val="-16"/>
          <w:sz w:val="20"/>
        </w:rPr>
        <w:t> </w:t>
      </w:r>
      <w:r>
        <w:rPr>
          <w:sz w:val="20"/>
        </w:rPr>
        <w:t>Argentin[o]</w:t>
      </w:r>
      <w:r>
        <w:rPr>
          <w:spacing w:val="-15"/>
          <w:sz w:val="20"/>
        </w:rPr>
        <w:t> </w:t>
      </w:r>
      <w:r>
        <w:rPr>
          <w:sz w:val="20"/>
        </w:rPr>
        <w:t>(GNEA)”,</w:t>
      </w:r>
      <w:r>
        <w:rPr>
          <w:spacing w:val="-9"/>
          <w:sz w:val="20"/>
        </w:rPr>
        <w:t> </w:t>
      </w:r>
      <w:r>
        <w:rPr>
          <w:sz w:val="20"/>
        </w:rPr>
        <w:t>que</w:t>
      </w:r>
      <w:r>
        <w:rPr>
          <w:spacing w:val="-16"/>
          <w:sz w:val="20"/>
        </w:rPr>
        <w:t> </w:t>
      </w:r>
      <w:r>
        <w:rPr>
          <w:sz w:val="20"/>
        </w:rPr>
        <w:t>se</w:t>
      </w:r>
      <w:r>
        <w:rPr>
          <w:spacing w:val="-17"/>
          <w:sz w:val="20"/>
        </w:rPr>
        <w:t> </w:t>
      </w:r>
      <w:r>
        <w:rPr>
          <w:sz w:val="20"/>
        </w:rPr>
        <w:t>indicó</w:t>
      </w:r>
      <w:r>
        <w:rPr>
          <w:spacing w:val="-16"/>
          <w:sz w:val="20"/>
        </w:rPr>
        <w:t> </w:t>
      </w:r>
      <w:r>
        <w:rPr>
          <w:sz w:val="20"/>
        </w:rPr>
        <w:t>que</w:t>
      </w:r>
      <w:r>
        <w:rPr>
          <w:spacing w:val="-14"/>
          <w:sz w:val="20"/>
        </w:rPr>
        <w:t> </w:t>
      </w:r>
      <w:r>
        <w:rPr>
          <w:sz w:val="20"/>
        </w:rPr>
        <w:t>fue</w:t>
      </w:r>
      <w:r>
        <w:rPr>
          <w:spacing w:val="-14"/>
          <w:sz w:val="20"/>
        </w:rPr>
        <w:t> </w:t>
      </w:r>
      <w:r>
        <w:rPr>
          <w:sz w:val="20"/>
        </w:rPr>
        <w:t>aprobado</w:t>
      </w:r>
      <w:r>
        <w:rPr>
          <w:spacing w:val="-16"/>
          <w:sz w:val="20"/>
        </w:rPr>
        <w:t> </w:t>
      </w:r>
      <w:r>
        <w:rPr>
          <w:sz w:val="20"/>
        </w:rPr>
        <w:t>en</w:t>
      </w:r>
      <w:r>
        <w:rPr>
          <w:spacing w:val="-14"/>
          <w:sz w:val="20"/>
        </w:rPr>
        <w:t> </w:t>
      </w:r>
      <w:r>
        <w:rPr>
          <w:sz w:val="20"/>
        </w:rPr>
        <w:t>2015, así</w:t>
      </w:r>
      <w:r>
        <w:rPr>
          <w:spacing w:val="-6"/>
          <w:sz w:val="20"/>
        </w:rPr>
        <w:t> </w:t>
      </w:r>
      <w:r>
        <w:rPr>
          <w:sz w:val="20"/>
        </w:rPr>
        <w:t>como</w:t>
      </w:r>
      <w:r>
        <w:rPr>
          <w:spacing w:val="-6"/>
          <w:sz w:val="20"/>
        </w:rPr>
        <w:t> </w:t>
      </w:r>
      <w:r>
        <w:rPr>
          <w:sz w:val="20"/>
        </w:rPr>
        <w:t>también</w:t>
      </w:r>
      <w:r>
        <w:rPr>
          <w:spacing w:val="-4"/>
          <w:sz w:val="20"/>
        </w:rPr>
        <w:t> </w:t>
      </w:r>
      <w:r>
        <w:rPr>
          <w:sz w:val="20"/>
        </w:rPr>
        <w:t>a</w:t>
      </w:r>
      <w:r>
        <w:rPr>
          <w:spacing w:val="-5"/>
          <w:sz w:val="20"/>
        </w:rPr>
        <w:t> </w:t>
      </w:r>
      <w:r>
        <w:rPr>
          <w:sz w:val="20"/>
        </w:rPr>
        <w:t>aducidos</w:t>
      </w:r>
      <w:r>
        <w:rPr>
          <w:spacing w:val="-4"/>
          <w:sz w:val="20"/>
        </w:rPr>
        <w:t> </w:t>
      </w:r>
      <w:r>
        <w:rPr>
          <w:sz w:val="20"/>
        </w:rPr>
        <w:t>“intentos”</w:t>
      </w:r>
      <w:r>
        <w:rPr>
          <w:spacing w:val="-3"/>
          <w:sz w:val="20"/>
        </w:rPr>
        <w:t> </w:t>
      </w:r>
      <w:r>
        <w:rPr>
          <w:sz w:val="20"/>
        </w:rPr>
        <w:t>de</w:t>
      </w:r>
      <w:r>
        <w:rPr>
          <w:spacing w:val="-4"/>
          <w:sz w:val="20"/>
        </w:rPr>
        <w:t> </w:t>
      </w:r>
      <w:r>
        <w:rPr>
          <w:sz w:val="20"/>
        </w:rPr>
        <w:t>“urbanización”</w:t>
      </w:r>
      <w:r>
        <w:rPr>
          <w:spacing w:val="-6"/>
          <w:sz w:val="20"/>
        </w:rPr>
        <w:t> </w:t>
      </w:r>
      <w:r>
        <w:rPr>
          <w:sz w:val="20"/>
        </w:rPr>
        <w:t>de</w:t>
      </w:r>
      <w:r>
        <w:rPr>
          <w:spacing w:val="-7"/>
          <w:sz w:val="20"/>
        </w:rPr>
        <w:t> </w:t>
      </w:r>
      <w:r>
        <w:rPr>
          <w:sz w:val="20"/>
        </w:rPr>
        <w:t>un</w:t>
      </w:r>
      <w:r>
        <w:rPr>
          <w:spacing w:val="-5"/>
          <w:sz w:val="20"/>
        </w:rPr>
        <w:t> </w:t>
      </w:r>
      <w:r>
        <w:rPr>
          <w:sz w:val="20"/>
        </w:rPr>
        <w:t>lugar</w:t>
      </w:r>
      <w:r>
        <w:rPr>
          <w:spacing w:val="-6"/>
          <w:sz w:val="20"/>
        </w:rPr>
        <w:t> </w:t>
      </w:r>
      <w:r>
        <w:rPr>
          <w:sz w:val="20"/>
        </w:rPr>
        <w:t>dentro</w:t>
      </w:r>
      <w:r>
        <w:rPr>
          <w:spacing w:val="-7"/>
          <w:sz w:val="20"/>
        </w:rPr>
        <w:t> </w:t>
      </w:r>
      <w:r>
        <w:rPr>
          <w:sz w:val="20"/>
        </w:rPr>
        <w:t>de</w:t>
      </w:r>
      <w:r>
        <w:rPr>
          <w:spacing w:val="-7"/>
          <w:sz w:val="20"/>
        </w:rPr>
        <w:t> </w:t>
      </w:r>
      <w:r>
        <w:rPr>
          <w:sz w:val="20"/>
        </w:rPr>
        <w:t>la</w:t>
      </w:r>
      <w:r>
        <w:rPr>
          <w:spacing w:val="-5"/>
          <w:sz w:val="20"/>
        </w:rPr>
        <w:t> </w:t>
      </w:r>
      <w:r>
        <w:rPr>
          <w:sz w:val="20"/>
        </w:rPr>
        <w:t>zona reclamada por las comunidades indígenas, llamado “Rancho El Ñato”, que los representantes habrían conocido a fines de</w:t>
      </w:r>
      <w:r>
        <w:rPr>
          <w:spacing w:val="-14"/>
          <w:sz w:val="20"/>
        </w:rPr>
        <w:t> </w:t>
      </w:r>
      <w:r>
        <w:rPr>
          <w:sz w:val="20"/>
        </w:rPr>
        <w:t>2016.</w:t>
      </w:r>
    </w:p>
    <w:p>
      <w:pPr>
        <w:pStyle w:val="BodyText"/>
      </w:pPr>
    </w:p>
    <w:p>
      <w:pPr>
        <w:pStyle w:val="ListParagraph"/>
        <w:numPr>
          <w:ilvl w:val="0"/>
          <w:numId w:val="14"/>
        </w:numPr>
        <w:tabs>
          <w:tab w:pos="830" w:val="left" w:leader="none"/>
        </w:tabs>
        <w:spacing w:line="240" w:lineRule="auto" w:before="0" w:after="0"/>
        <w:ind w:left="122" w:right="122" w:hanging="12"/>
        <w:jc w:val="both"/>
        <w:rPr>
          <w:sz w:val="20"/>
        </w:rPr>
      </w:pPr>
      <w:r>
        <w:rPr>
          <w:sz w:val="20"/>
        </w:rPr>
        <w:t>Estos</w:t>
      </w:r>
      <w:r>
        <w:rPr>
          <w:spacing w:val="-14"/>
          <w:sz w:val="20"/>
        </w:rPr>
        <w:t> </w:t>
      </w:r>
      <w:r>
        <w:rPr>
          <w:sz w:val="20"/>
        </w:rPr>
        <w:t>hechos</w:t>
      </w:r>
      <w:r>
        <w:rPr>
          <w:spacing w:val="-14"/>
          <w:sz w:val="20"/>
        </w:rPr>
        <w:t> </w:t>
      </w:r>
      <w:r>
        <w:rPr>
          <w:sz w:val="20"/>
        </w:rPr>
        <w:t>no</w:t>
      </w:r>
      <w:r>
        <w:rPr>
          <w:spacing w:val="-12"/>
          <w:sz w:val="20"/>
        </w:rPr>
        <w:t> </w:t>
      </w:r>
      <w:r>
        <w:rPr>
          <w:sz w:val="20"/>
        </w:rPr>
        <w:t>solo</w:t>
      </w:r>
      <w:r>
        <w:rPr>
          <w:spacing w:val="-12"/>
          <w:sz w:val="20"/>
        </w:rPr>
        <w:t> </w:t>
      </w:r>
      <w:r>
        <w:rPr>
          <w:sz w:val="20"/>
        </w:rPr>
        <w:t>son</w:t>
      </w:r>
      <w:r>
        <w:rPr>
          <w:spacing w:val="-13"/>
          <w:sz w:val="20"/>
        </w:rPr>
        <w:t> </w:t>
      </w:r>
      <w:r>
        <w:rPr>
          <w:sz w:val="20"/>
        </w:rPr>
        <w:t>posteriores</w:t>
      </w:r>
      <w:r>
        <w:rPr>
          <w:spacing w:val="-14"/>
          <w:sz w:val="20"/>
        </w:rPr>
        <w:t> </w:t>
      </w:r>
      <w:r>
        <w:rPr>
          <w:sz w:val="20"/>
        </w:rPr>
        <w:t>a</w:t>
      </w:r>
      <w:r>
        <w:rPr>
          <w:spacing w:val="-11"/>
          <w:sz w:val="20"/>
        </w:rPr>
        <w:t> </w:t>
      </w:r>
      <w:r>
        <w:rPr>
          <w:sz w:val="20"/>
        </w:rPr>
        <w:t>aquellos</w:t>
      </w:r>
      <w:r>
        <w:rPr>
          <w:spacing w:val="-12"/>
          <w:sz w:val="20"/>
        </w:rPr>
        <w:t> </w:t>
      </w:r>
      <w:r>
        <w:rPr>
          <w:sz w:val="20"/>
        </w:rPr>
        <w:t>narrados</w:t>
      </w:r>
      <w:r>
        <w:rPr>
          <w:spacing w:val="-12"/>
          <w:sz w:val="20"/>
        </w:rPr>
        <w:t> </w:t>
      </w:r>
      <w:r>
        <w:rPr>
          <w:sz w:val="20"/>
        </w:rPr>
        <w:t>en</w:t>
      </w:r>
      <w:r>
        <w:rPr>
          <w:spacing w:val="-13"/>
          <w:sz w:val="20"/>
        </w:rPr>
        <w:t> </w:t>
      </w:r>
      <w:r>
        <w:rPr>
          <w:sz w:val="20"/>
        </w:rPr>
        <w:t>el</w:t>
      </w:r>
      <w:r>
        <w:rPr>
          <w:spacing w:val="-14"/>
          <w:sz w:val="20"/>
        </w:rPr>
        <w:t> </w:t>
      </w:r>
      <w:r>
        <w:rPr>
          <w:sz w:val="20"/>
        </w:rPr>
        <w:t>Informe</w:t>
      </w:r>
      <w:r>
        <w:rPr>
          <w:spacing w:val="-10"/>
          <w:sz w:val="20"/>
        </w:rPr>
        <w:t> </w:t>
      </w:r>
      <w:r>
        <w:rPr>
          <w:sz w:val="20"/>
        </w:rPr>
        <w:t>de</w:t>
      </w:r>
      <w:r>
        <w:rPr>
          <w:spacing w:val="-14"/>
          <w:sz w:val="20"/>
        </w:rPr>
        <w:t> </w:t>
      </w:r>
      <w:r>
        <w:rPr>
          <w:sz w:val="20"/>
        </w:rPr>
        <w:t>Fondo, sino que también son independientes de los mismos. En efecto, </w:t>
      </w:r>
      <w:r>
        <w:rPr>
          <w:spacing w:val="3"/>
          <w:sz w:val="20"/>
        </w:rPr>
        <w:t>el </w:t>
      </w:r>
      <w:r>
        <w:rPr>
          <w:sz w:val="20"/>
        </w:rPr>
        <w:t>Informe de Fondo mencionó</w:t>
      </w:r>
      <w:r>
        <w:rPr>
          <w:spacing w:val="-14"/>
          <w:sz w:val="20"/>
        </w:rPr>
        <w:t> </w:t>
      </w:r>
      <w:r>
        <w:rPr>
          <w:sz w:val="20"/>
        </w:rPr>
        <w:t>diversas</w:t>
      </w:r>
      <w:r>
        <w:rPr>
          <w:spacing w:val="-11"/>
          <w:sz w:val="20"/>
        </w:rPr>
        <w:t> </w:t>
      </w:r>
      <w:r>
        <w:rPr>
          <w:sz w:val="20"/>
        </w:rPr>
        <w:t>obras</w:t>
      </w:r>
      <w:r>
        <w:rPr>
          <w:spacing w:val="-13"/>
          <w:sz w:val="20"/>
        </w:rPr>
        <w:t> </w:t>
      </w:r>
      <w:r>
        <w:rPr>
          <w:sz w:val="20"/>
        </w:rPr>
        <w:t>o</w:t>
      </w:r>
      <w:r>
        <w:rPr>
          <w:spacing w:val="-14"/>
          <w:sz w:val="20"/>
        </w:rPr>
        <w:t> </w:t>
      </w:r>
      <w:r>
        <w:rPr>
          <w:sz w:val="20"/>
        </w:rPr>
        <w:t>proyectos</w:t>
      </w:r>
      <w:r>
        <w:rPr>
          <w:spacing w:val="-11"/>
          <w:sz w:val="20"/>
        </w:rPr>
        <w:t> </w:t>
      </w:r>
      <w:r>
        <w:rPr>
          <w:sz w:val="20"/>
        </w:rPr>
        <w:t>sobre</w:t>
      </w:r>
      <w:r>
        <w:rPr>
          <w:spacing w:val="-14"/>
          <w:sz w:val="20"/>
        </w:rPr>
        <w:t> </w:t>
      </w:r>
      <w:r>
        <w:rPr>
          <w:sz w:val="20"/>
        </w:rPr>
        <w:t>el</w:t>
      </w:r>
      <w:r>
        <w:rPr>
          <w:spacing w:val="-13"/>
          <w:sz w:val="20"/>
        </w:rPr>
        <w:t> </w:t>
      </w:r>
      <w:r>
        <w:rPr>
          <w:sz w:val="20"/>
        </w:rPr>
        <w:t>territorio,</w:t>
      </w:r>
      <w:r>
        <w:rPr>
          <w:spacing w:val="-13"/>
          <w:sz w:val="20"/>
        </w:rPr>
        <w:t> </w:t>
      </w:r>
      <w:r>
        <w:rPr>
          <w:sz w:val="20"/>
        </w:rPr>
        <w:t>dando</w:t>
      </w:r>
      <w:r>
        <w:rPr>
          <w:spacing w:val="-11"/>
          <w:sz w:val="20"/>
        </w:rPr>
        <w:t> </w:t>
      </w:r>
      <w:r>
        <w:rPr>
          <w:sz w:val="20"/>
        </w:rPr>
        <w:t>cuenta</w:t>
      </w:r>
      <w:r>
        <w:rPr>
          <w:spacing w:val="-12"/>
          <w:sz w:val="20"/>
        </w:rPr>
        <w:t> </w:t>
      </w:r>
      <w:r>
        <w:rPr>
          <w:sz w:val="20"/>
        </w:rPr>
        <w:t>de</w:t>
      </w:r>
      <w:r>
        <w:rPr>
          <w:spacing w:val="-14"/>
          <w:sz w:val="20"/>
        </w:rPr>
        <w:t> </w:t>
      </w:r>
      <w:r>
        <w:rPr>
          <w:sz w:val="20"/>
        </w:rPr>
        <w:t>la</w:t>
      </w:r>
      <w:r>
        <w:rPr>
          <w:spacing w:val="-12"/>
          <w:sz w:val="20"/>
        </w:rPr>
        <w:t> </w:t>
      </w:r>
      <w:r>
        <w:rPr>
          <w:sz w:val="20"/>
        </w:rPr>
        <w:t>construcción de</w:t>
      </w:r>
      <w:r>
        <w:rPr>
          <w:spacing w:val="-16"/>
          <w:sz w:val="20"/>
        </w:rPr>
        <w:t> </w:t>
      </w:r>
      <w:r>
        <w:rPr>
          <w:sz w:val="20"/>
        </w:rPr>
        <w:t>un</w:t>
      </w:r>
      <w:r>
        <w:rPr>
          <w:spacing w:val="-14"/>
          <w:sz w:val="20"/>
        </w:rPr>
        <w:t> </w:t>
      </w:r>
      <w:r>
        <w:rPr>
          <w:sz w:val="20"/>
        </w:rPr>
        <w:t>puente</w:t>
      </w:r>
      <w:r>
        <w:rPr>
          <w:spacing w:val="-16"/>
          <w:sz w:val="20"/>
        </w:rPr>
        <w:t> </w:t>
      </w:r>
      <w:r>
        <w:rPr>
          <w:sz w:val="20"/>
        </w:rPr>
        <w:t>internacional,</w:t>
      </w:r>
      <w:r>
        <w:rPr>
          <w:spacing w:val="-13"/>
          <w:sz w:val="20"/>
        </w:rPr>
        <w:t> </w:t>
      </w:r>
      <w:r>
        <w:rPr>
          <w:sz w:val="20"/>
        </w:rPr>
        <w:t>la</w:t>
      </w:r>
      <w:r>
        <w:rPr>
          <w:spacing w:val="-15"/>
          <w:sz w:val="20"/>
        </w:rPr>
        <w:t> </w:t>
      </w:r>
      <w:r>
        <w:rPr>
          <w:sz w:val="20"/>
        </w:rPr>
        <w:t>“construcción</w:t>
      </w:r>
      <w:r>
        <w:rPr>
          <w:spacing w:val="-14"/>
          <w:sz w:val="20"/>
        </w:rPr>
        <w:t> </w:t>
      </w:r>
      <w:r>
        <w:rPr>
          <w:sz w:val="20"/>
        </w:rPr>
        <w:t>y</w:t>
      </w:r>
      <w:r>
        <w:rPr>
          <w:spacing w:val="-13"/>
          <w:sz w:val="20"/>
        </w:rPr>
        <w:t> </w:t>
      </w:r>
      <w:r>
        <w:rPr>
          <w:sz w:val="20"/>
        </w:rPr>
        <w:t>ensanchamiento”</w:t>
      </w:r>
      <w:r>
        <w:rPr>
          <w:spacing w:val="-15"/>
          <w:sz w:val="20"/>
        </w:rPr>
        <w:t> </w:t>
      </w:r>
      <w:r>
        <w:rPr>
          <w:sz w:val="20"/>
        </w:rPr>
        <w:t>de</w:t>
      </w:r>
      <w:r>
        <w:rPr>
          <w:spacing w:val="-16"/>
          <w:sz w:val="20"/>
        </w:rPr>
        <w:t> </w:t>
      </w:r>
      <w:r>
        <w:rPr>
          <w:sz w:val="20"/>
        </w:rPr>
        <w:t>rutas</w:t>
      </w:r>
      <w:r>
        <w:rPr>
          <w:spacing w:val="-16"/>
          <w:sz w:val="20"/>
        </w:rPr>
        <w:t> </w:t>
      </w:r>
      <w:r>
        <w:rPr>
          <w:sz w:val="20"/>
        </w:rPr>
        <w:t>y</w:t>
      </w:r>
      <w:r>
        <w:rPr>
          <w:spacing w:val="-15"/>
          <w:sz w:val="20"/>
        </w:rPr>
        <w:t> </w:t>
      </w:r>
      <w:r>
        <w:rPr>
          <w:sz w:val="20"/>
        </w:rPr>
        <w:t>la</w:t>
      </w:r>
      <w:r>
        <w:rPr>
          <w:spacing w:val="-12"/>
          <w:sz w:val="20"/>
        </w:rPr>
        <w:t> </w:t>
      </w:r>
      <w:r>
        <w:rPr>
          <w:sz w:val="20"/>
        </w:rPr>
        <w:t>exploración de hidrocarburos. La Corte encuentra que los hechos señalados por los representantes respecto al gasoducto o a la urbanización indicada no resultan una evolución de los mismos hechos contenidos en el Informe de Fondo, ni son circunstancias complementarias a éstos que resulten en una mayor explicación de los hechos que señaló</w:t>
      </w:r>
      <w:r>
        <w:rPr>
          <w:spacing w:val="-12"/>
          <w:sz w:val="20"/>
        </w:rPr>
        <w:t> </w:t>
      </w:r>
      <w:r>
        <w:rPr>
          <w:sz w:val="20"/>
        </w:rPr>
        <w:t>la</w:t>
      </w:r>
      <w:r>
        <w:rPr>
          <w:spacing w:val="-10"/>
          <w:sz w:val="20"/>
        </w:rPr>
        <w:t> </w:t>
      </w:r>
      <w:r>
        <w:rPr>
          <w:sz w:val="20"/>
        </w:rPr>
        <w:t>Comisión.</w:t>
      </w:r>
      <w:r>
        <w:rPr>
          <w:spacing w:val="-11"/>
          <w:sz w:val="20"/>
        </w:rPr>
        <w:t> </w:t>
      </w:r>
      <w:r>
        <w:rPr>
          <w:sz w:val="20"/>
        </w:rPr>
        <w:t>Se</w:t>
      </w:r>
      <w:r>
        <w:rPr>
          <w:spacing w:val="-11"/>
          <w:sz w:val="20"/>
        </w:rPr>
        <w:t> </w:t>
      </w:r>
      <w:r>
        <w:rPr>
          <w:sz w:val="20"/>
        </w:rPr>
        <w:t>trata,</w:t>
      </w:r>
      <w:r>
        <w:rPr>
          <w:spacing w:val="-13"/>
          <w:sz w:val="20"/>
        </w:rPr>
        <w:t> </w:t>
      </w:r>
      <w:r>
        <w:rPr>
          <w:sz w:val="20"/>
        </w:rPr>
        <w:t>por</w:t>
      </w:r>
      <w:r>
        <w:rPr>
          <w:spacing w:val="-9"/>
          <w:sz w:val="20"/>
        </w:rPr>
        <w:t> </w:t>
      </w:r>
      <w:r>
        <w:rPr>
          <w:sz w:val="20"/>
        </w:rPr>
        <w:t>el</w:t>
      </w:r>
      <w:r>
        <w:rPr>
          <w:spacing w:val="-10"/>
          <w:sz w:val="20"/>
        </w:rPr>
        <w:t> </w:t>
      </w:r>
      <w:r>
        <w:rPr>
          <w:sz w:val="20"/>
        </w:rPr>
        <w:t>contrario,</w:t>
      </w:r>
      <w:r>
        <w:rPr>
          <w:spacing w:val="-13"/>
          <w:sz w:val="20"/>
        </w:rPr>
        <w:t> </w:t>
      </w:r>
      <w:r>
        <w:rPr>
          <w:sz w:val="20"/>
        </w:rPr>
        <w:t>de</w:t>
      </w:r>
      <w:r>
        <w:rPr>
          <w:spacing w:val="-12"/>
          <w:sz w:val="20"/>
        </w:rPr>
        <w:t> </w:t>
      </w:r>
      <w:r>
        <w:rPr>
          <w:sz w:val="20"/>
        </w:rPr>
        <w:t>hechos</w:t>
      </w:r>
      <w:r>
        <w:rPr>
          <w:spacing w:val="-11"/>
          <w:sz w:val="20"/>
        </w:rPr>
        <w:t> </w:t>
      </w:r>
      <w:r>
        <w:rPr>
          <w:sz w:val="20"/>
        </w:rPr>
        <w:t>que</w:t>
      </w:r>
      <w:r>
        <w:rPr>
          <w:spacing w:val="-12"/>
          <w:sz w:val="20"/>
        </w:rPr>
        <w:t> </w:t>
      </w:r>
      <w:r>
        <w:rPr>
          <w:sz w:val="20"/>
        </w:rPr>
        <w:t>si</w:t>
      </w:r>
      <w:r>
        <w:rPr>
          <w:spacing w:val="-13"/>
          <w:sz w:val="20"/>
        </w:rPr>
        <w:t> </w:t>
      </w:r>
      <w:r>
        <w:rPr>
          <w:sz w:val="20"/>
        </w:rPr>
        <w:t>bien</w:t>
      </w:r>
      <w:r>
        <w:rPr>
          <w:spacing w:val="-12"/>
          <w:sz w:val="20"/>
        </w:rPr>
        <w:t> </w:t>
      </w:r>
      <w:r>
        <w:rPr>
          <w:sz w:val="20"/>
        </w:rPr>
        <w:t>podrían</w:t>
      </w:r>
      <w:r>
        <w:rPr>
          <w:spacing w:val="-12"/>
          <w:sz w:val="20"/>
        </w:rPr>
        <w:t> </w:t>
      </w:r>
      <w:r>
        <w:rPr>
          <w:sz w:val="20"/>
        </w:rPr>
        <w:t>relacionarse con la propiedad comunitaria reclamada, o con derechos relacionados con la misma, constituirían en su caso afectaciones nuevas y distintas a las que la Comisión sometió</w:t>
      </w:r>
      <w:r>
        <w:rPr>
          <w:spacing w:val="-42"/>
          <w:sz w:val="20"/>
        </w:rPr>
        <w:t> </w:t>
      </w:r>
      <w:r>
        <w:rPr>
          <w:sz w:val="20"/>
        </w:rPr>
        <w:t>a conocimiento de la Corte. Por ello, este Tribunal entiende que los aducidos hechos vinculados a la construcción de un gasoducto en 2015 y a la urbanización de Rancho </w:t>
      </w:r>
      <w:r>
        <w:rPr>
          <w:spacing w:val="3"/>
          <w:sz w:val="20"/>
        </w:rPr>
        <w:t>El </w:t>
      </w:r>
      <w:r>
        <w:rPr>
          <w:sz w:val="20"/>
        </w:rPr>
        <w:t>Ñato no forman parte del marco fáctico del caso. Por ello, tampoco integra el marco fáctico una acción administrativa que los representantes adujeron que se presentó en julio de 2015 respecto al gasoducto. Tales circunstancias fácticas, así como las alegaciones referidas específicamente a ellas, no serán</w:t>
      </w:r>
      <w:r>
        <w:rPr>
          <w:spacing w:val="-25"/>
          <w:sz w:val="20"/>
        </w:rPr>
        <w:t> </w:t>
      </w:r>
      <w:r>
        <w:rPr>
          <w:sz w:val="20"/>
        </w:rPr>
        <w:t>analizadas.</w:t>
      </w:r>
    </w:p>
    <w:p>
      <w:pPr>
        <w:pStyle w:val="BodyText"/>
      </w:pPr>
    </w:p>
    <w:p>
      <w:pPr>
        <w:pStyle w:val="ListParagraph"/>
        <w:numPr>
          <w:ilvl w:val="0"/>
          <w:numId w:val="14"/>
        </w:numPr>
        <w:tabs>
          <w:tab w:pos="830" w:val="left" w:leader="none"/>
        </w:tabs>
        <w:spacing w:line="240" w:lineRule="auto" w:before="0" w:after="0"/>
        <w:ind w:left="122" w:right="126" w:hanging="12"/>
        <w:jc w:val="both"/>
        <w:rPr>
          <w:sz w:val="20"/>
        </w:rPr>
      </w:pPr>
      <w:r>
        <w:rPr>
          <w:sz w:val="20"/>
        </w:rPr>
        <w:t>Aunado a lo anterior, y aunque no forme parte de los “ejemplos” dados por el Estado, es propicio aclarar lo siguiente: los representantes informaron, en sus alegatos finales</w:t>
      </w:r>
      <w:r>
        <w:rPr>
          <w:spacing w:val="-5"/>
          <w:sz w:val="20"/>
        </w:rPr>
        <w:t> </w:t>
      </w:r>
      <w:r>
        <w:rPr>
          <w:sz w:val="20"/>
        </w:rPr>
        <w:t>escritos,</w:t>
      </w:r>
      <w:r>
        <w:rPr>
          <w:spacing w:val="-5"/>
          <w:sz w:val="20"/>
        </w:rPr>
        <w:t> </w:t>
      </w:r>
      <w:r>
        <w:rPr>
          <w:sz w:val="20"/>
        </w:rPr>
        <w:t>que</w:t>
      </w:r>
      <w:r>
        <w:rPr>
          <w:spacing w:val="-5"/>
          <w:sz w:val="20"/>
        </w:rPr>
        <w:t> </w:t>
      </w:r>
      <w:r>
        <w:rPr>
          <w:sz w:val="20"/>
        </w:rPr>
        <w:t>en</w:t>
      </w:r>
      <w:r>
        <w:rPr>
          <w:spacing w:val="-3"/>
          <w:sz w:val="20"/>
        </w:rPr>
        <w:t> </w:t>
      </w:r>
      <w:r>
        <w:rPr>
          <w:sz w:val="20"/>
        </w:rPr>
        <w:t>razón</w:t>
      </w:r>
      <w:r>
        <w:rPr>
          <w:spacing w:val="-5"/>
          <w:sz w:val="20"/>
        </w:rPr>
        <w:t> </w:t>
      </w:r>
      <w:r>
        <w:rPr>
          <w:sz w:val="20"/>
        </w:rPr>
        <w:t>de</w:t>
      </w:r>
      <w:r>
        <w:rPr>
          <w:spacing w:val="-7"/>
          <w:sz w:val="20"/>
        </w:rPr>
        <w:t> </w:t>
      </w:r>
      <w:r>
        <w:rPr>
          <w:sz w:val="20"/>
        </w:rPr>
        <w:t>la</w:t>
      </w:r>
      <w:r>
        <w:rPr>
          <w:spacing w:val="-4"/>
          <w:sz w:val="20"/>
        </w:rPr>
        <w:t> </w:t>
      </w:r>
      <w:r>
        <w:rPr>
          <w:sz w:val="20"/>
        </w:rPr>
        <w:t>construcción</w:t>
      </w:r>
      <w:r>
        <w:rPr>
          <w:spacing w:val="-4"/>
          <w:sz w:val="20"/>
        </w:rPr>
        <w:t> </w:t>
      </w:r>
      <w:r>
        <w:rPr>
          <w:sz w:val="20"/>
        </w:rPr>
        <w:t>“inconsulta”</w:t>
      </w:r>
      <w:r>
        <w:rPr>
          <w:spacing w:val="-4"/>
          <w:sz w:val="20"/>
        </w:rPr>
        <w:t> </w:t>
      </w:r>
      <w:r>
        <w:rPr>
          <w:sz w:val="20"/>
        </w:rPr>
        <w:t>de</w:t>
      </w:r>
      <w:r>
        <w:rPr>
          <w:spacing w:val="-5"/>
          <w:sz w:val="20"/>
        </w:rPr>
        <w:t> </w:t>
      </w:r>
      <w:r>
        <w:rPr>
          <w:sz w:val="20"/>
        </w:rPr>
        <w:t>la</w:t>
      </w:r>
      <w:r>
        <w:rPr>
          <w:spacing w:val="-4"/>
          <w:sz w:val="20"/>
        </w:rPr>
        <w:t> </w:t>
      </w:r>
      <w:r>
        <w:rPr>
          <w:sz w:val="20"/>
        </w:rPr>
        <w:t>ruta</w:t>
      </w:r>
      <w:r>
        <w:rPr>
          <w:spacing w:val="-4"/>
          <w:sz w:val="20"/>
        </w:rPr>
        <w:t> </w:t>
      </w:r>
      <w:r>
        <w:rPr>
          <w:sz w:val="20"/>
        </w:rPr>
        <w:t>54,</w:t>
      </w:r>
      <w:r>
        <w:rPr>
          <w:spacing w:val="-6"/>
          <w:sz w:val="20"/>
        </w:rPr>
        <w:t> </w:t>
      </w:r>
      <w:r>
        <w:rPr>
          <w:sz w:val="20"/>
        </w:rPr>
        <w:t>se</w:t>
      </w:r>
      <w:r>
        <w:rPr>
          <w:spacing w:val="-7"/>
          <w:sz w:val="20"/>
        </w:rPr>
        <w:t> </w:t>
      </w:r>
      <w:r>
        <w:rPr>
          <w:sz w:val="20"/>
        </w:rPr>
        <w:t>“afectó</w:t>
      </w:r>
      <w:r>
        <w:rPr>
          <w:spacing w:val="-5"/>
          <w:sz w:val="20"/>
        </w:rPr>
        <w:t> </w:t>
      </w:r>
      <w:r>
        <w:rPr>
          <w:sz w:val="20"/>
        </w:rPr>
        <w:t>el normal</w:t>
      </w:r>
      <w:r>
        <w:rPr>
          <w:spacing w:val="-8"/>
          <w:sz w:val="20"/>
        </w:rPr>
        <w:t> </w:t>
      </w:r>
      <w:r>
        <w:rPr>
          <w:sz w:val="20"/>
        </w:rPr>
        <w:t>escurrimiento</w:t>
      </w:r>
      <w:r>
        <w:rPr>
          <w:spacing w:val="-10"/>
          <w:sz w:val="20"/>
        </w:rPr>
        <w:t> </w:t>
      </w:r>
      <w:r>
        <w:rPr>
          <w:sz w:val="20"/>
        </w:rPr>
        <w:t>del</w:t>
      </w:r>
      <w:r>
        <w:rPr>
          <w:spacing w:val="-11"/>
          <w:sz w:val="20"/>
        </w:rPr>
        <w:t> </w:t>
      </w:r>
      <w:r>
        <w:rPr>
          <w:sz w:val="20"/>
        </w:rPr>
        <w:t>agua,</w:t>
      </w:r>
      <w:r>
        <w:rPr>
          <w:spacing w:val="-12"/>
          <w:sz w:val="20"/>
        </w:rPr>
        <w:t> </w:t>
      </w:r>
      <w:r>
        <w:rPr>
          <w:sz w:val="20"/>
        </w:rPr>
        <w:t>lo</w:t>
      </w:r>
      <w:r>
        <w:rPr>
          <w:spacing w:val="-10"/>
          <w:sz w:val="20"/>
        </w:rPr>
        <w:t> </w:t>
      </w:r>
      <w:r>
        <w:rPr>
          <w:sz w:val="20"/>
        </w:rPr>
        <w:t>que</w:t>
      </w:r>
      <w:r>
        <w:rPr>
          <w:spacing w:val="-10"/>
          <w:sz w:val="20"/>
        </w:rPr>
        <w:t> </w:t>
      </w:r>
      <w:r>
        <w:rPr>
          <w:sz w:val="20"/>
        </w:rPr>
        <w:t>causó</w:t>
      </w:r>
      <w:r>
        <w:rPr>
          <w:spacing w:val="-10"/>
          <w:sz w:val="20"/>
        </w:rPr>
        <w:t> </w:t>
      </w:r>
      <w:r>
        <w:rPr>
          <w:sz w:val="20"/>
        </w:rPr>
        <w:t>fuertes</w:t>
      </w:r>
      <w:r>
        <w:rPr>
          <w:spacing w:val="-10"/>
          <w:sz w:val="20"/>
        </w:rPr>
        <w:t> </w:t>
      </w:r>
      <w:r>
        <w:rPr>
          <w:sz w:val="20"/>
        </w:rPr>
        <w:t>inundaciones</w:t>
      </w:r>
      <w:r>
        <w:rPr>
          <w:spacing w:val="-12"/>
          <w:sz w:val="20"/>
        </w:rPr>
        <w:t> </w:t>
      </w:r>
      <w:r>
        <w:rPr>
          <w:sz w:val="20"/>
        </w:rPr>
        <w:t>a</w:t>
      </w:r>
      <w:r>
        <w:rPr>
          <w:spacing w:val="-9"/>
          <w:sz w:val="20"/>
        </w:rPr>
        <w:t> </w:t>
      </w:r>
      <w:r>
        <w:rPr>
          <w:sz w:val="20"/>
        </w:rPr>
        <w:t>principios</w:t>
      </w:r>
      <w:r>
        <w:rPr>
          <w:spacing w:val="-10"/>
          <w:sz w:val="20"/>
        </w:rPr>
        <w:t> </w:t>
      </w:r>
      <w:r>
        <w:rPr>
          <w:sz w:val="20"/>
        </w:rPr>
        <w:t>de</w:t>
      </w:r>
      <w:r>
        <w:rPr>
          <w:spacing w:val="-10"/>
          <w:sz w:val="20"/>
        </w:rPr>
        <w:t> </w:t>
      </w:r>
      <w:r>
        <w:rPr>
          <w:sz w:val="20"/>
        </w:rPr>
        <w:t>2019”. Los hechos sobre obras en la ruta provincial 54 sí están dentro del marco fáctico fijado en  el  Informe  de  Fondo,  pero  esto  no  abarca  circunstancias  posteriores     </w:t>
      </w:r>
      <w:r>
        <w:rPr>
          <w:spacing w:val="56"/>
          <w:sz w:val="20"/>
        </w:rPr>
        <w:t> </w:t>
      </w:r>
      <w:r>
        <w:rPr>
          <w:sz w:val="20"/>
        </w:rPr>
        <w:t>que,</w:t>
      </w:r>
    </w:p>
    <w:p>
      <w:pPr>
        <w:pStyle w:val="BodyText"/>
        <w:spacing w:before="3"/>
        <w:rPr>
          <w:sz w:val="11"/>
        </w:rPr>
      </w:pPr>
      <w:r>
        <w:rPr/>
        <w:pict>
          <v:line style="position:absolute;mso-position-horizontal-relative:page;mso-position-vertical-relative:paragraph;z-index:1168;mso-wrap-distance-left:0;mso-wrap-distance-right:0" from="85.103996pt,9.166130pt" to="229.123996pt,9.166130pt" stroked="true" strokeweight=".71997pt" strokecolor="#000000">
            <v:stroke dashstyle="solid"/>
            <w10:wrap type="topAndBottom"/>
          </v:line>
        </w:pict>
      </w:r>
    </w:p>
    <w:p>
      <w:pPr>
        <w:tabs>
          <w:tab w:pos="829" w:val="left" w:leader="none"/>
        </w:tabs>
        <w:spacing w:line="242" w:lineRule="auto" w:before="71"/>
        <w:ind w:left="122" w:right="115" w:firstLine="0"/>
        <w:jc w:val="both"/>
        <w:rPr>
          <w:sz w:val="16"/>
        </w:rPr>
      </w:pPr>
      <w:r>
        <w:rPr>
          <w:position w:val="6"/>
          <w:sz w:val="10"/>
        </w:rPr>
        <w:t>16</w:t>
        <w:tab/>
      </w:r>
      <w:r>
        <w:rPr>
          <w:i/>
          <w:sz w:val="16"/>
        </w:rPr>
        <w:t>Caso de la "Masacre de Mapiripán" Vs. Colombia</w:t>
      </w:r>
      <w:r>
        <w:rPr>
          <w:sz w:val="16"/>
        </w:rPr>
        <w:t>. Sentencia de 15 de septiembre de  </w:t>
      </w:r>
      <w:r>
        <w:rPr>
          <w:spacing w:val="51"/>
          <w:sz w:val="16"/>
        </w:rPr>
        <w:t> </w:t>
      </w:r>
      <w:r>
        <w:rPr>
          <w:sz w:val="16"/>
        </w:rPr>
        <w:t>2005. Serie</w:t>
      </w:r>
      <w:r>
        <w:rPr>
          <w:spacing w:val="10"/>
          <w:sz w:val="16"/>
        </w:rPr>
        <w:t> </w:t>
      </w:r>
      <w:r>
        <w:rPr>
          <w:sz w:val="16"/>
        </w:rPr>
        <w:t>C</w:t>
      </w:r>
      <w:r>
        <w:rPr>
          <w:w w:val="100"/>
          <w:sz w:val="16"/>
        </w:rPr>
        <w:t> </w:t>
      </w:r>
      <w:r>
        <w:rPr>
          <w:sz w:val="16"/>
        </w:rPr>
        <w:t>No.</w:t>
      </w:r>
      <w:r>
        <w:rPr>
          <w:spacing w:val="-8"/>
          <w:sz w:val="16"/>
        </w:rPr>
        <w:t> </w:t>
      </w:r>
      <w:r>
        <w:rPr>
          <w:sz w:val="16"/>
        </w:rPr>
        <w:t>134,</w:t>
      </w:r>
      <w:r>
        <w:rPr>
          <w:spacing w:val="-8"/>
          <w:sz w:val="16"/>
        </w:rPr>
        <w:t> </w:t>
      </w:r>
      <w:r>
        <w:rPr>
          <w:sz w:val="16"/>
        </w:rPr>
        <w:t>párr.</w:t>
      </w:r>
      <w:r>
        <w:rPr>
          <w:spacing w:val="-11"/>
          <w:sz w:val="16"/>
        </w:rPr>
        <w:t> </w:t>
      </w:r>
      <w:r>
        <w:rPr>
          <w:sz w:val="16"/>
        </w:rPr>
        <w:t>59,</w:t>
      </w:r>
      <w:r>
        <w:rPr>
          <w:spacing w:val="-10"/>
          <w:sz w:val="16"/>
        </w:rPr>
        <w:t> </w:t>
      </w:r>
      <w:r>
        <w:rPr>
          <w:sz w:val="16"/>
        </w:rPr>
        <w:t>y</w:t>
      </w:r>
      <w:r>
        <w:rPr>
          <w:spacing w:val="-9"/>
          <w:sz w:val="16"/>
        </w:rPr>
        <w:t> </w:t>
      </w:r>
      <w:r>
        <w:rPr>
          <w:i/>
          <w:sz w:val="16"/>
        </w:rPr>
        <w:t>Caso</w:t>
      </w:r>
      <w:r>
        <w:rPr>
          <w:i/>
          <w:spacing w:val="-11"/>
          <w:sz w:val="16"/>
        </w:rPr>
        <w:t> </w:t>
      </w:r>
      <w:r>
        <w:rPr>
          <w:i/>
          <w:sz w:val="16"/>
        </w:rPr>
        <w:t>Mujeres</w:t>
      </w:r>
      <w:r>
        <w:rPr>
          <w:i/>
          <w:spacing w:val="-9"/>
          <w:sz w:val="16"/>
        </w:rPr>
        <w:t> </w:t>
      </w:r>
      <w:r>
        <w:rPr>
          <w:i/>
          <w:sz w:val="16"/>
        </w:rPr>
        <w:t>Víctimas</w:t>
      </w:r>
      <w:r>
        <w:rPr>
          <w:i/>
          <w:spacing w:val="-9"/>
          <w:sz w:val="16"/>
        </w:rPr>
        <w:t> </w:t>
      </w:r>
      <w:r>
        <w:rPr>
          <w:i/>
          <w:sz w:val="16"/>
        </w:rPr>
        <w:t>de</w:t>
      </w:r>
      <w:r>
        <w:rPr>
          <w:i/>
          <w:spacing w:val="-7"/>
          <w:sz w:val="16"/>
        </w:rPr>
        <w:t> </w:t>
      </w:r>
      <w:r>
        <w:rPr>
          <w:i/>
          <w:sz w:val="16"/>
        </w:rPr>
        <w:t>Tortura</w:t>
      </w:r>
      <w:r>
        <w:rPr>
          <w:i/>
          <w:spacing w:val="-8"/>
          <w:sz w:val="16"/>
        </w:rPr>
        <w:t> </w:t>
      </w:r>
      <w:r>
        <w:rPr>
          <w:i/>
          <w:sz w:val="16"/>
        </w:rPr>
        <w:t>Sexual</w:t>
      </w:r>
      <w:r>
        <w:rPr>
          <w:i/>
          <w:spacing w:val="-11"/>
          <w:sz w:val="16"/>
        </w:rPr>
        <w:t> </w:t>
      </w:r>
      <w:r>
        <w:rPr>
          <w:i/>
          <w:sz w:val="16"/>
        </w:rPr>
        <w:t>en</w:t>
      </w:r>
      <w:r>
        <w:rPr>
          <w:i/>
          <w:spacing w:val="-10"/>
          <w:sz w:val="16"/>
        </w:rPr>
        <w:t> </w:t>
      </w:r>
      <w:r>
        <w:rPr>
          <w:i/>
          <w:sz w:val="16"/>
        </w:rPr>
        <w:t>Atenco</w:t>
      </w:r>
      <w:r>
        <w:rPr>
          <w:i/>
          <w:spacing w:val="-9"/>
          <w:sz w:val="16"/>
        </w:rPr>
        <w:t> </w:t>
      </w:r>
      <w:r>
        <w:rPr>
          <w:i/>
          <w:sz w:val="16"/>
        </w:rPr>
        <w:t>Vs.</w:t>
      </w:r>
      <w:r>
        <w:rPr>
          <w:i/>
          <w:spacing w:val="-10"/>
          <w:sz w:val="16"/>
        </w:rPr>
        <w:t> </w:t>
      </w:r>
      <w:r>
        <w:rPr>
          <w:i/>
          <w:sz w:val="16"/>
        </w:rPr>
        <w:t>México</w:t>
      </w:r>
      <w:r>
        <w:rPr>
          <w:sz w:val="16"/>
        </w:rPr>
        <w:t>.</w:t>
      </w:r>
      <w:r>
        <w:rPr>
          <w:spacing w:val="-8"/>
          <w:sz w:val="16"/>
        </w:rPr>
        <w:t> </w:t>
      </w:r>
      <w:r>
        <w:rPr>
          <w:i/>
          <w:sz w:val="16"/>
        </w:rPr>
        <w:t>Excepciones</w:t>
      </w:r>
      <w:r>
        <w:rPr>
          <w:i/>
          <w:spacing w:val="-9"/>
          <w:sz w:val="16"/>
        </w:rPr>
        <w:t> </w:t>
      </w:r>
      <w:r>
        <w:rPr>
          <w:i/>
          <w:sz w:val="16"/>
        </w:rPr>
        <w:t>preliminares, </w:t>
      </w:r>
      <w:r>
        <w:rPr>
          <w:i/>
          <w:sz w:val="16"/>
        </w:rPr>
        <w:t>Fondo, Reparaciones y Costas. </w:t>
      </w:r>
      <w:r>
        <w:rPr>
          <w:sz w:val="16"/>
        </w:rPr>
        <w:t>Sentencia de 28 de noviembre de 2018. Serie C No. 37, párr.</w:t>
      </w:r>
      <w:r>
        <w:rPr>
          <w:spacing w:val="-38"/>
          <w:sz w:val="16"/>
        </w:rPr>
        <w:t> </w:t>
      </w:r>
      <w:r>
        <w:rPr>
          <w:sz w:val="16"/>
        </w:rPr>
        <w:t>45.</w:t>
      </w:r>
    </w:p>
    <w:p>
      <w:pPr>
        <w:spacing w:after="0" w:line="242" w:lineRule="auto"/>
        <w:jc w:val="both"/>
        <w:rPr>
          <w:sz w:val="16"/>
        </w:rPr>
        <w:sectPr>
          <w:footerReference w:type="default" r:id="rId7"/>
          <w:pgSz w:w="12240" w:h="15840"/>
          <w:pgMar w:footer="1000" w:header="0" w:top="1500" w:bottom="1200" w:left="1580" w:right="1580"/>
          <w:pgNumType w:start="11"/>
        </w:sectPr>
      </w:pPr>
    </w:p>
    <w:p>
      <w:pPr>
        <w:pStyle w:val="BodyText"/>
        <w:spacing w:before="76"/>
        <w:ind w:left="122" w:right="123"/>
        <w:jc w:val="both"/>
      </w:pPr>
      <w:r>
        <w:rPr/>
        <w:t>eventualmente, podrían tener relación parcial con el modo en que las obras se habrían realizado.</w:t>
      </w:r>
      <w:r>
        <w:rPr>
          <w:spacing w:val="-13"/>
        </w:rPr>
        <w:t> </w:t>
      </w:r>
      <w:r>
        <w:rPr/>
        <w:t>Un</w:t>
      </w:r>
      <w:r>
        <w:rPr>
          <w:spacing w:val="-9"/>
        </w:rPr>
        <w:t> </w:t>
      </w:r>
      <w:r>
        <w:rPr/>
        <w:t>examen</w:t>
      </w:r>
      <w:r>
        <w:rPr>
          <w:spacing w:val="-10"/>
        </w:rPr>
        <w:t> </w:t>
      </w:r>
      <w:r>
        <w:rPr/>
        <w:t>de</w:t>
      </w:r>
      <w:r>
        <w:rPr>
          <w:spacing w:val="-12"/>
        </w:rPr>
        <w:t> </w:t>
      </w:r>
      <w:r>
        <w:rPr/>
        <w:t>esa</w:t>
      </w:r>
      <w:r>
        <w:rPr>
          <w:spacing w:val="-11"/>
        </w:rPr>
        <w:t> </w:t>
      </w:r>
      <w:r>
        <w:rPr/>
        <w:t>índole</w:t>
      </w:r>
      <w:r>
        <w:rPr>
          <w:spacing w:val="-12"/>
        </w:rPr>
        <w:t> </w:t>
      </w:r>
      <w:r>
        <w:rPr/>
        <w:t>sería</w:t>
      </w:r>
      <w:r>
        <w:rPr>
          <w:spacing w:val="-10"/>
        </w:rPr>
        <w:t> </w:t>
      </w:r>
      <w:r>
        <w:rPr/>
        <w:t>una</w:t>
      </w:r>
      <w:r>
        <w:rPr>
          <w:spacing w:val="-12"/>
        </w:rPr>
        <w:t> </w:t>
      </w:r>
      <w:r>
        <w:rPr/>
        <w:t>extensión</w:t>
      </w:r>
      <w:r>
        <w:rPr>
          <w:spacing w:val="-10"/>
        </w:rPr>
        <w:t> </w:t>
      </w:r>
      <w:r>
        <w:rPr/>
        <w:t>excesiva</w:t>
      </w:r>
      <w:r>
        <w:rPr>
          <w:spacing w:val="-12"/>
        </w:rPr>
        <w:t> </w:t>
      </w:r>
      <w:r>
        <w:rPr/>
        <w:t>de</w:t>
      </w:r>
      <w:r>
        <w:rPr>
          <w:spacing w:val="-14"/>
        </w:rPr>
        <w:t> </w:t>
      </w:r>
      <w:r>
        <w:rPr/>
        <w:t>los</w:t>
      </w:r>
      <w:r>
        <w:rPr>
          <w:spacing w:val="-11"/>
        </w:rPr>
        <w:t> </w:t>
      </w:r>
      <w:r>
        <w:rPr/>
        <w:t>hechos</w:t>
      </w:r>
      <w:r>
        <w:rPr>
          <w:spacing w:val="-11"/>
        </w:rPr>
        <w:t> </w:t>
      </w:r>
      <w:r>
        <w:rPr/>
        <w:t>del</w:t>
      </w:r>
      <w:r>
        <w:rPr>
          <w:spacing w:val="-10"/>
        </w:rPr>
        <w:t> </w:t>
      </w:r>
      <w:r>
        <w:rPr/>
        <w:t>caso. La</w:t>
      </w:r>
      <w:r>
        <w:rPr>
          <w:spacing w:val="-20"/>
        </w:rPr>
        <w:t> </w:t>
      </w:r>
      <w:r>
        <w:rPr/>
        <w:t>Corte,</w:t>
      </w:r>
      <w:r>
        <w:rPr>
          <w:spacing w:val="-18"/>
        </w:rPr>
        <w:t> </w:t>
      </w:r>
      <w:r>
        <w:rPr/>
        <w:t>por</w:t>
      </w:r>
      <w:r>
        <w:rPr>
          <w:spacing w:val="-21"/>
        </w:rPr>
        <w:t> </w:t>
      </w:r>
      <w:r>
        <w:rPr/>
        <w:t>tanto,</w:t>
      </w:r>
      <w:r>
        <w:rPr>
          <w:spacing w:val="-19"/>
        </w:rPr>
        <w:t> </w:t>
      </w:r>
      <w:r>
        <w:rPr/>
        <w:t>determina</w:t>
      </w:r>
      <w:r>
        <w:rPr>
          <w:spacing w:val="-20"/>
        </w:rPr>
        <w:t> </w:t>
      </w:r>
      <w:r>
        <w:rPr/>
        <w:t>que</w:t>
      </w:r>
      <w:r>
        <w:rPr>
          <w:spacing w:val="-19"/>
        </w:rPr>
        <w:t> </w:t>
      </w:r>
      <w:r>
        <w:rPr/>
        <w:t>las</w:t>
      </w:r>
      <w:r>
        <w:rPr>
          <w:spacing w:val="-18"/>
        </w:rPr>
        <w:t> </w:t>
      </w:r>
      <w:r>
        <w:rPr/>
        <w:t>inundaciones</w:t>
      </w:r>
      <w:r>
        <w:rPr>
          <w:spacing w:val="-21"/>
        </w:rPr>
        <w:t> </w:t>
      </w:r>
      <w:r>
        <w:rPr/>
        <w:t>aludidas</w:t>
      </w:r>
      <w:r>
        <w:rPr>
          <w:spacing w:val="-18"/>
        </w:rPr>
        <w:t> </w:t>
      </w:r>
      <w:r>
        <w:rPr/>
        <w:t>no</w:t>
      </w:r>
      <w:r>
        <w:rPr>
          <w:spacing w:val="-19"/>
        </w:rPr>
        <w:t> </w:t>
      </w:r>
      <w:r>
        <w:rPr/>
        <w:t>integran</w:t>
      </w:r>
      <w:r>
        <w:rPr>
          <w:spacing w:val="-16"/>
        </w:rPr>
        <w:t> </w:t>
      </w:r>
      <w:r>
        <w:rPr/>
        <w:t>el</w:t>
      </w:r>
      <w:r>
        <w:rPr>
          <w:spacing w:val="-17"/>
        </w:rPr>
        <w:t> </w:t>
      </w:r>
      <w:r>
        <w:rPr/>
        <w:t>marco</w:t>
      </w:r>
      <w:r>
        <w:rPr>
          <w:spacing w:val="-19"/>
        </w:rPr>
        <w:t> </w:t>
      </w:r>
      <w:r>
        <w:rPr/>
        <w:t>fáctico del</w:t>
      </w:r>
      <w:r>
        <w:rPr>
          <w:spacing w:val="-6"/>
        </w:rPr>
        <w:t> </w:t>
      </w:r>
      <w:r>
        <w:rPr/>
        <w:t>caso.</w:t>
      </w:r>
    </w:p>
    <w:p>
      <w:pPr>
        <w:pStyle w:val="BodyText"/>
      </w:pPr>
    </w:p>
    <w:p>
      <w:pPr>
        <w:pStyle w:val="ListParagraph"/>
        <w:numPr>
          <w:ilvl w:val="0"/>
          <w:numId w:val="14"/>
        </w:numPr>
        <w:tabs>
          <w:tab w:pos="830" w:val="left" w:leader="none"/>
        </w:tabs>
        <w:spacing w:line="240" w:lineRule="auto" w:before="0" w:after="0"/>
        <w:ind w:left="122" w:right="123" w:hanging="12"/>
        <w:jc w:val="both"/>
        <w:rPr>
          <w:sz w:val="20"/>
        </w:rPr>
      </w:pPr>
      <w:r>
        <w:rPr>
          <w:sz w:val="20"/>
        </w:rPr>
        <w:t>No corresponde, por el contrario, excluir otros hechos. El Informe de Fondo enunció diversas circunstancias relacionadas con la “[s]ituación de la propiedad comunitaria indígena”. A excepción de los hechos ya excluidos, el resto de los aludidos por el Estado (</w:t>
      </w:r>
      <w:r>
        <w:rPr>
          <w:i/>
          <w:sz w:val="20"/>
        </w:rPr>
        <w:t>supra </w:t>
      </w:r>
      <w:r>
        <w:rPr>
          <w:sz w:val="20"/>
        </w:rPr>
        <w:t>párr. 16) son actos vinculados al reconocimiento de la propiedad. En ese sentido, constituyen un desarrollo o evolución de los hechos descritos en el Informe de Fondo. Por lo tanto, se trata de hechos que integran el caso presentado a este Tribunal. Tienen, entonces, el carácter de hechos supervinientes, corresponden al marco fáctico del caso y serán</w:t>
      </w:r>
      <w:r>
        <w:rPr>
          <w:spacing w:val="-14"/>
          <w:sz w:val="20"/>
        </w:rPr>
        <w:t> </w:t>
      </w:r>
      <w:r>
        <w:rPr>
          <w:sz w:val="20"/>
        </w:rPr>
        <w:t>examinados.</w:t>
      </w:r>
    </w:p>
    <w:p>
      <w:pPr>
        <w:pStyle w:val="BodyText"/>
        <w:spacing w:before="10"/>
        <w:rPr>
          <w:sz w:val="19"/>
        </w:rPr>
      </w:pPr>
    </w:p>
    <w:p>
      <w:pPr>
        <w:pStyle w:val="ListParagraph"/>
        <w:numPr>
          <w:ilvl w:val="0"/>
          <w:numId w:val="14"/>
        </w:numPr>
        <w:tabs>
          <w:tab w:pos="830" w:val="left" w:leader="none"/>
        </w:tabs>
        <w:spacing w:line="240" w:lineRule="auto" w:before="0" w:after="0"/>
        <w:ind w:left="122" w:right="127" w:hanging="12"/>
        <w:jc w:val="both"/>
        <w:rPr>
          <w:sz w:val="20"/>
        </w:rPr>
      </w:pPr>
      <w:r>
        <w:rPr>
          <w:sz w:val="20"/>
        </w:rPr>
        <w:t>Resta aclarar que dado que los hechos supervinientes integran el marco fáctico del caso no conforman, por definición, un nuevo caso o una nueva situación presuntamente</w:t>
      </w:r>
      <w:r>
        <w:rPr>
          <w:spacing w:val="-13"/>
          <w:sz w:val="20"/>
        </w:rPr>
        <w:t> </w:t>
      </w:r>
      <w:r>
        <w:rPr>
          <w:sz w:val="20"/>
        </w:rPr>
        <w:t>violatoria</w:t>
      </w:r>
      <w:r>
        <w:rPr>
          <w:spacing w:val="-13"/>
          <w:sz w:val="20"/>
        </w:rPr>
        <w:t> </w:t>
      </w:r>
      <w:r>
        <w:rPr>
          <w:sz w:val="20"/>
        </w:rPr>
        <w:t>de</w:t>
      </w:r>
      <w:r>
        <w:rPr>
          <w:spacing w:val="-13"/>
          <w:sz w:val="20"/>
        </w:rPr>
        <w:t> </w:t>
      </w:r>
      <w:r>
        <w:rPr>
          <w:sz w:val="20"/>
        </w:rPr>
        <w:t>derechos.</w:t>
      </w:r>
      <w:r>
        <w:rPr>
          <w:spacing w:val="-12"/>
          <w:sz w:val="20"/>
        </w:rPr>
        <w:t> </w:t>
      </w:r>
      <w:r>
        <w:rPr>
          <w:sz w:val="20"/>
        </w:rPr>
        <w:t>Por</w:t>
      </w:r>
      <w:r>
        <w:rPr>
          <w:spacing w:val="-12"/>
          <w:sz w:val="20"/>
        </w:rPr>
        <w:t> </w:t>
      </w:r>
      <w:r>
        <w:rPr>
          <w:sz w:val="20"/>
        </w:rPr>
        <w:t>ello,</w:t>
      </w:r>
      <w:r>
        <w:rPr>
          <w:spacing w:val="-4"/>
          <w:sz w:val="20"/>
        </w:rPr>
        <w:t> </w:t>
      </w:r>
      <w:r>
        <w:rPr>
          <w:sz w:val="20"/>
        </w:rPr>
        <w:t>no</w:t>
      </w:r>
      <w:r>
        <w:rPr>
          <w:spacing w:val="-15"/>
          <w:sz w:val="20"/>
        </w:rPr>
        <w:t> </w:t>
      </w:r>
      <w:r>
        <w:rPr>
          <w:sz w:val="20"/>
        </w:rPr>
        <w:t>resulta</w:t>
      </w:r>
      <w:r>
        <w:rPr>
          <w:spacing w:val="-13"/>
          <w:sz w:val="20"/>
        </w:rPr>
        <w:t> </w:t>
      </w:r>
      <w:r>
        <w:rPr>
          <w:sz w:val="20"/>
        </w:rPr>
        <w:t>procedente</w:t>
      </w:r>
      <w:r>
        <w:rPr>
          <w:spacing w:val="-13"/>
          <w:sz w:val="20"/>
        </w:rPr>
        <w:t> </w:t>
      </w:r>
      <w:r>
        <w:rPr>
          <w:sz w:val="20"/>
        </w:rPr>
        <w:t>entrar</w:t>
      </w:r>
      <w:r>
        <w:rPr>
          <w:spacing w:val="-15"/>
          <w:sz w:val="20"/>
        </w:rPr>
        <w:t> </w:t>
      </w:r>
      <w:r>
        <w:rPr>
          <w:sz w:val="20"/>
        </w:rPr>
        <w:t>a</w:t>
      </w:r>
      <w:r>
        <w:rPr>
          <w:spacing w:val="-11"/>
          <w:sz w:val="20"/>
        </w:rPr>
        <w:t> </w:t>
      </w:r>
      <w:r>
        <w:rPr>
          <w:sz w:val="20"/>
        </w:rPr>
        <w:t>examinar los argumentos estatales sobre el requisito de previo agotamiento de recursos internos (</w:t>
      </w:r>
      <w:r>
        <w:rPr>
          <w:i/>
          <w:sz w:val="20"/>
        </w:rPr>
        <w:t>supra </w:t>
      </w:r>
      <w:r>
        <w:rPr>
          <w:sz w:val="20"/>
        </w:rPr>
        <w:t>párr.</w:t>
      </w:r>
      <w:r>
        <w:rPr>
          <w:spacing w:val="-6"/>
          <w:sz w:val="20"/>
        </w:rPr>
        <w:t> </w:t>
      </w:r>
      <w:r>
        <w:rPr>
          <w:sz w:val="20"/>
        </w:rPr>
        <w:t>15).</w:t>
      </w:r>
    </w:p>
    <w:p>
      <w:pPr>
        <w:pStyle w:val="BodyText"/>
      </w:pPr>
    </w:p>
    <w:p>
      <w:pPr>
        <w:pStyle w:val="Heading4"/>
        <w:numPr>
          <w:ilvl w:val="0"/>
          <w:numId w:val="15"/>
        </w:numPr>
        <w:tabs>
          <w:tab w:pos="732" w:val="left" w:leader="none"/>
        </w:tabs>
        <w:spacing w:line="240" w:lineRule="auto" w:before="0" w:after="0"/>
        <w:ind w:left="731" w:right="0" w:hanging="326"/>
        <w:jc w:val="left"/>
        <w:rPr>
          <w:i/>
        </w:rPr>
      </w:pPr>
      <w:bookmarkStart w:name="_bookmark10" w:id="15"/>
      <w:bookmarkEnd w:id="15"/>
      <w:r>
        <w:rPr>
          <w:b w:val="0"/>
          <w:i w:val="0"/>
        </w:rPr>
      </w:r>
      <w:bookmarkStart w:name="_bookmark10" w:id="16"/>
      <w:bookmarkEnd w:id="16"/>
      <w:r>
        <w:rPr>
          <w:i/>
          <w:u w:val="thick"/>
        </w:rPr>
        <w:t>S</w:t>
      </w:r>
      <w:r>
        <w:rPr>
          <w:i/>
          <w:u w:val="thick"/>
        </w:rPr>
        <w:t>obre la determinación de las presuntas</w:t>
      </w:r>
      <w:r>
        <w:rPr>
          <w:i/>
          <w:spacing w:val="-24"/>
          <w:u w:val="thick"/>
        </w:rPr>
        <w:t> </w:t>
      </w:r>
      <w:r>
        <w:rPr>
          <w:i/>
          <w:u w:val="thick"/>
        </w:rPr>
        <w:t>víctimas</w:t>
      </w:r>
    </w:p>
    <w:p>
      <w:pPr>
        <w:pStyle w:val="BodyText"/>
        <w:rPr>
          <w:b/>
          <w:i/>
          <w:sz w:val="15"/>
        </w:rPr>
      </w:pPr>
    </w:p>
    <w:p>
      <w:pPr>
        <w:pStyle w:val="ListParagraph"/>
        <w:numPr>
          <w:ilvl w:val="1"/>
          <w:numId w:val="15"/>
        </w:numPr>
        <w:tabs>
          <w:tab w:pos="1123" w:val="left" w:leader="none"/>
        </w:tabs>
        <w:spacing w:line="240" w:lineRule="auto" w:before="99" w:after="0"/>
        <w:ind w:left="1122" w:right="0" w:hanging="434"/>
        <w:jc w:val="left"/>
        <w:rPr>
          <w:b/>
          <w:i/>
          <w:sz w:val="20"/>
        </w:rPr>
      </w:pPr>
      <w:bookmarkStart w:name="_bookmark11" w:id="17"/>
      <w:bookmarkEnd w:id="17"/>
      <w:r>
        <w:rPr/>
      </w:r>
      <w:bookmarkStart w:name="_bookmark11" w:id="18"/>
      <w:bookmarkEnd w:id="18"/>
      <w:r>
        <w:rPr>
          <w:b/>
          <w:i/>
          <w:sz w:val="20"/>
        </w:rPr>
        <w:t>A</w:t>
      </w:r>
      <w:r>
        <w:rPr>
          <w:b/>
          <w:i/>
          <w:sz w:val="20"/>
        </w:rPr>
        <w:t>legatos de las partes y la</w:t>
      </w:r>
      <w:r>
        <w:rPr>
          <w:b/>
          <w:i/>
          <w:spacing w:val="-14"/>
          <w:sz w:val="20"/>
        </w:rPr>
        <w:t> </w:t>
      </w:r>
      <w:r>
        <w:rPr>
          <w:b/>
          <w:i/>
          <w:sz w:val="20"/>
        </w:rPr>
        <w:t>Comisión</w:t>
      </w:r>
    </w:p>
    <w:p>
      <w:pPr>
        <w:pStyle w:val="BodyText"/>
        <w:rPr>
          <w:b/>
          <w:i/>
        </w:rPr>
      </w:pPr>
    </w:p>
    <w:p>
      <w:pPr>
        <w:pStyle w:val="ListParagraph"/>
        <w:numPr>
          <w:ilvl w:val="0"/>
          <w:numId w:val="14"/>
        </w:numPr>
        <w:tabs>
          <w:tab w:pos="830" w:val="left" w:leader="none"/>
        </w:tabs>
        <w:spacing w:line="240" w:lineRule="auto" w:before="0" w:after="0"/>
        <w:ind w:left="122" w:right="122" w:hanging="12"/>
        <w:jc w:val="both"/>
        <w:rPr>
          <w:sz w:val="20"/>
        </w:rPr>
      </w:pPr>
      <w:r>
        <w:rPr>
          <w:sz w:val="20"/>
        </w:rPr>
        <w:t>La</w:t>
      </w:r>
      <w:r>
        <w:rPr>
          <w:spacing w:val="-7"/>
          <w:sz w:val="20"/>
        </w:rPr>
        <w:t> </w:t>
      </w:r>
      <w:r>
        <w:rPr>
          <w:b/>
          <w:i/>
          <w:sz w:val="20"/>
        </w:rPr>
        <w:t>Comisión</w:t>
      </w:r>
      <w:r>
        <w:rPr>
          <w:sz w:val="20"/>
        </w:rPr>
        <w:t>,</w:t>
      </w:r>
      <w:r>
        <w:rPr>
          <w:spacing w:val="-5"/>
          <w:sz w:val="20"/>
        </w:rPr>
        <w:t> </w:t>
      </w:r>
      <w:r>
        <w:rPr>
          <w:sz w:val="20"/>
        </w:rPr>
        <w:t>en</w:t>
      </w:r>
      <w:r>
        <w:rPr>
          <w:spacing w:val="-6"/>
          <w:sz w:val="20"/>
        </w:rPr>
        <w:t> </w:t>
      </w:r>
      <w:r>
        <w:rPr>
          <w:sz w:val="20"/>
        </w:rPr>
        <w:t>el</w:t>
      </w:r>
      <w:r>
        <w:rPr>
          <w:spacing w:val="-6"/>
          <w:sz w:val="20"/>
        </w:rPr>
        <w:t> </w:t>
      </w:r>
      <w:r>
        <w:rPr>
          <w:sz w:val="20"/>
        </w:rPr>
        <w:t>Informe</w:t>
      </w:r>
      <w:r>
        <w:rPr>
          <w:spacing w:val="-7"/>
          <w:sz w:val="20"/>
        </w:rPr>
        <w:t> </w:t>
      </w:r>
      <w:r>
        <w:rPr>
          <w:sz w:val="20"/>
        </w:rPr>
        <w:t>de</w:t>
      </w:r>
      <w:r>
        <w:rPr>
          <w:spacing w:val="-8"/>
          <w:sz w:val="20"/>
        </w:rPr>
        <w:t> </w:t>
      </w:r>
      <w:r>
        <w:rPr>
          <w:sz w:val="20"/>
        </w:rPr>
        <w:t>Fondo</w:t>
      </w:r>
      <w:r>
        <w:rPr>
          <w:spacing w:val="-5"/>
          <w:sz w:val="20"/>
        </w:rPr>
        <w:t> </w:t>
      </w:r>
      <w:r>
        <w:rPr>
          <w:sz w:val="20"/>
        </w:rPr>
        <w:t>emitido</w:t>
      </w:r>
      <w:r>
        <w:rPr>
          <w:spacing w:val="-5"/>
          <w:sz w:val="20"/>
        </w:rPr>
        <w:t> </w:t>
      </w:r>
      <w:r>
        <w:rPr>
          <w:sz w:val="20"/>
        </w:rPr>
        <w:t>el</w:t>
      </w:r>
      <w:r>
        <w:rPr>
          <w:spacing w:val="-4"/>
          <w:sz w:val="20"/>
        </w:rPr>
        <w:t> </w:t>
      </w:r>
      <w:r>
        <w:rPr>
          <w:sz w:val="20"/>
        </w:rPr>
        <w:t>26</w:t>
      </w:r>
      <w:r>
        <w:rPr>
          <w:spacing w:val="-6"/>
          <w:sz w:val="20"/>
        </w:rPr>
        <w:t> </w:t>
      </w:r>
      <w:r>
        <w:rPr>
          <w:sz w:val="20"/>
        </w:rPr>
        <w:t>de</w:t>
      </w:r>
      <w:r>
        <w:rPr>
          <w:spacing w:val="-8"/>
          <w:sz w:val="20"/>
        </w:rPr>
        <w:t> </w:t>
      </w:r>
      <w:r>
        <w:rPr>
          <w:sz w:val="20"/>
        </w:rPr>
        <w:t>enero</w:t>
      </w:r>
      <w:r>
        <w:rPr>
          <w:spacing w:val="-8"/>
          <w:sz w:val="20"/>
        </w:rPr>
        <w:t> </w:t>
      </w:r>
      <w:r>
        <w:rPr>
          <w:sz w:val="20"/>
        </w:rPr>
        <w:t>de</w:t>
      </w:r>
      <w:r>
        <w:rPr>
          <w:spacing w:val="-8"/>
          <w:sz w:val="20"/>
        </w:rPr>
        <w:t> </w:t>
      </w:r>
      <w:r>
        <w:rPr>
          <w:sz w:val="20"/>
        </w:rPr>
        <w:t>2012,</w:t>
      </w:r>
      <w:r>
        <w:rPr>
          <w:spacing w:val="2"/>
          <w:sz w:val="20"/>
        </w:rPr>
        <w:t> </w:t>
      </w:r>
      <w:r>
        <w:rPr>
          <w:sz w:val="20"/>
        </w:rPr>
        <w:t>consideró víctimas a 27 comunidades que, conforme información estatal, se encontraban</w:t>
      </w:r>
      <w:r>
        <w:rPr>
          <w:spacing w:val="-42"/>
          <w:sz w:val="20"/>
        </w:rPr>
        <w:t> </w:t>
      </w:r>
      <w:r>
        <w:rPr>
          <w:sz w:val="20"/>
        </w:rPr>
        <w:t>afiliadas a la Asociación Lhaka Honhat. Asimismo, advirtió que “el número de comunidades indígenas que habitan en los [ex l]otes fiscales 55 y 14 ha[bía] variado a lo largo del proceso”</w:t>
      </w:r>
      <w:r>
        <w:rPr>
          <w:position w:val="7"/>
          <w:sz w:val="13"/>
        </w:rPr>
        <w:t>17</w:t>
      </w:r>
      <w:r>
        <w:rPr>
          <w:sz w:val="20"/>
        </w:rPr>
        <w:t>. En sus observaciones finales escritas, la Comisión expresó que “independientemente de quiénes sean representados por la [Lhaka Honhat,] todas [las comunidades] tienen derecho legítimo sobre su territorio</w:t>
      </w:r>
      <w:r>
        <w:rPr>
          <w:spacing w:val="-28"/>
          <w:sz w:val="20"/>
        </w:rPr>
        <w:t> </w:t>
      </w:r>
      <w:r>
        <w:rPr>
          <w:sz w:val="20"/>
        </w:rPr>
        <w:t>ancestral”.</w:t>
      </w:r>
    </w:p>
    <w:p>
      <w:pPr>
        <w:pStyle w:val="BodyText"/>
      </w:pPr>
    </w:p>
    <w:p>
      <w:pPr>
        <w:pStyle w:val="ListParagraph"/>
        <w:numPr>
          <w:ilvl w:val="0"/>
          <w:numId w:val="14"/>
        </w:numPr>
        <w:tabs>
          <w:tab w:pos="830" w:val="left" w:leader="none"/>
        </w:tabs>
        <w:spacing w:line="240" w:lineRule="auto" w:before="0" w:after="0"/>
        <w:ind w:left="122" w:right="121" w:hanging="12"/>
        <w:jc w:val="both"/>
        <w:rPr>
          <w:sz w:val="20"/>
        </w:rPr>
      </w:pPr>
      <w:r>
        <w:rPr>
          <w:sz w:val="20"/>
        </w:rPr>
        <w:t>Los </w:t>
      </w:r>
      <w:r>
        <w:rPr>
          <w:b/>
          <w:i/>
          <w:sz w:val="20"/>
        </w:rPr>
        <w:t>representantes </w:t>
      </w:r>
      <w:r>
        <w:rPr>
          <w:sz w:val="20"/>
        </w:rPr>
        <w:t>afirmaron que, de conformidad con el Decreto provincial 1498/14 de 2014, el Estado había reconocido 71 comunidades como titulares de propiedad comunitaria, que para el 14 de marzo de 2018 se habían conformado otras 18,</w:t>
      </w:r>
      <w:r>
        <w:rPr>
          <w:spacing w:val="-6"/>
          <w:sz w:val="20"/>
        </w:rPr>
        <w:t> </w:t>
      </w:r>
      <w:r>
        <w:rPr>
          <w:sz w:val="20"/>
        </w:rPr>
        <w:t>y</w:t>
      </w:r>
      <w:r>
        <w:rPr>
          <w:spacing w:val="-6"/>
          <w:sz w:val="20"/>
        </w:rPr>
        <w:t> </w:t>
      </w:r>
      <w:r>
        <w:rPr>
          <w:sz w:val="20"/>
        </w:rPr>
        <w:t>que</w:t>
      </w:r>
      <w:r>
        <w:rPr>
          <w:spacing w:val="-7"/>
          <w:sz w:val="20"/>
        </w:rPr>
        <w:t> </w:t>
      </w:r>
      <w:r>
        <w:rPr>
          <w:sz w:val="20"/>
        </w:rPr>
        <w:t>el</w:t>
      </w:r>
      <w:r>
        <w:rPr>
          <w:spacing w:val="-5"/>
          <w:sz w:val="20"/>
        </w:rPr>
        <w:t> </w:t>
      </w:r>
      <w:r>
        <w:rPr>
          <w:sz w:val="20"/>
        </w:rPr>
        <w:t>25</w:t>
      </w:r>
      <w:r>
        <w:rPr>
          <w:spacing w:val="-5"/>
          <w:sz w:val="20"/>
        </w:rPr>
        <w:t> </w:t>
      </w:r>
      <w:r>
        <w:rPr>
          <w:sz w:val="20"/>
        </w:rPr>
        <w:t>de</w:t>
      </w:r>
      <w:r>
        <w:rPr>
          <w:spacing w:val="-6"/>
          <w:sz w:val="20"/>
        </w:rPr>
        <w:t> </w:t>
      </w:r>
      <w:r>
        <w:rPr>
          <w:sz w:val="20"/>
        </w:rPr>
        <w:t>abril</w:t>
      </w:r>
      <w:r>
        <w:rPr>
          <w:spacing w:val="-4"/>
          <w:sz w:val="20"/>
        </w:rPr>
        <w:t> </w:t>
      </w:r>
      <w:r>
        <w:rPr>
          <w:sz w:val="20"/>
        </w:rPr>
        <w:t>de</w:t>
      </w:r>
      <w:r>
        <w:rPr>
          <w:spacing w:val="-7"/>
          <w:sz w:val="20"/>
        </w:rPr>
        <w:t> </w:t>
      </w:r>
      <w:r>
        <w:rPr>
          <w:sz w:val="20"/>
        </w:rPr>
        <w:t>ese</w:t>
      </w:r>
      <w:r>
        <w:rPr>
          <w:spacing w:val="-7"/>
          <w:sz w:val="20"/>
        </w:rPr>
        <w:t> </w:t>
      </w:r>
      <w:r>
        <w:rPr>
          <w:sz w:val="20"/>
        </w:rPr>
        <w:t>año</w:t>
      </w:r>
      <w:r>
        <w:rPr>
          <w:spacing w:val="-7"/>
          <w:sz w:val="20"/>
        </w:rPr>
        <w:t> </w:t>
      </w:r>
      <w:r>
        <w:rPr>
          <w:sz w:val="20"/>
        </w:rPr>
        <w:t>había</w:t>
      </w:r>
      <w:r>
        <w:rPr>
          <w:spacing w:val="-5"/>
          <w:sz w:val="20"/>
        </w:rPr>
        <w:t> </w:t>
      </w:r>
      <w:r>
        <w:rPr>
          <w:sz w:val="20"/>
        </w:rPr>
        <w:t>“por</w:t>
      </w:r>
      <w:r>
        <w:rPr>
          <w:spacing w:val="-7"/>
          <w:sz w:val="20"/>
        </w:rPr>
        <w:t> </w:t>
      </w:r>
      <w:r>
        <w:rPr>
          <w:sz w:val="20"/>
        </w:rPr>
        <w:t>lo</w:t>
      </w:r>
      <w:r>
        <w:rPr>
          <w:spacing w:val="-4"/>
          <w:sz w:val="20"/>
        </w:rPr>
        <w:t> </w:t>
      </w:r>
      <w:r>
        <w:rPr>
          <w:sz w:val="20"/>
        </w:rPr>
        <w:t>menos</w:t>
      </w:r>
      <w:r>
        <w:rPr>
          <w:spacing w:val="-7"/>
          <w:sz w:val="20"/>
        </w:rPr>
        <w:t> </w:t>
      </w:r>
      <w:r>
        <w:rPr>
          <w:sz w:val="20"/>
        </w:rPr>
        <w:t>92</w:t>
      </w:r>
      <w:r>
        <w:rPr>
          <w:spacing w:val="-5"/>
          <w:sz w:val="20"/>
        </w:rPr>
        <w:t> </w:t>
      </w:r>
      <w:r>
        <w:rPr>
          <w:sz w:val="20"/>
        </w:rPr>
        <w:t>comunidades</w:t>
      </w:r>
      <w:r>
        <w:rPr>
          <w:spacing w:val="-4"/>
          <w:sz w:val="20"/>
        </w:rPr>
        <w:t> </w:t>
      </w:r>
      <w:r>
        <w:rPr>
          <w:sz w:val="20"/>
        </w:rPr>
        <w:t>que</w:t>
      </w:r>
      <w:r>
        <w:rPr>
          <w:spacing w:val="-7"/>
          <w:sz w:val="20"/>
        </w:rPr>
        <w:t> </w:t>
      </w:r>
      <w:r>
        <w:rPr>
          <w:sz w:val="20"/>
        </w:rPr>
        <w:t>luchan</w:t>
      </w:r>
      <w:r>
        <w:rPr>
          <w:spacing w:val="-5"/>
          <w:sz w:val="20"/>
        </w:rPr>
        <w:t> </w:t>
      </w:r>
      <w:r>
        <w:rPr>
          <w:sz w:val="20"/>
        </w:rPr>
        <w:t>por sus derechos”</w:t>
      </w:r>
      <w:r>
        <w:rPr>
          <w:position w:val="7"/>
          <w:sz w:val="13"/>
        </w:rPr>
        <w:t>18</w:t>
      </w:r>
      <w:r>
        <w:rPr>
          <w:sz w:val="20"/>
        </w:rPr>
        <w:t>. Explicaron que la variación se “de[be] a la naturaleza de las comunidades de fusionarse en nuevas y separarse para crear otras”. </w:t>
      </w:r>
      <w:r>
        <w:rPr>
          <w:spacing w:val="4"/>
          <w:sz w:val="20"/>
        </w:rPr>
        <w:t>El </w:t>
      </w:r>
      <w:r>
        <w:rPr>
          <w:sz w:val="20"/>
        </w:rPr>
        <w:t>3 de junio de 2019</w:t>
      </w:r>
      <w:r>
        <w:rPr>
          <w:spacing w:val="-10"/>
          <w:sz w:val="20"/>
        </w:rPr>
        <w:t> </w:t>
      </w:r>
      <w:r>
        <w:rPr>
          <w:sz w:val="20"/>
        </w:rPr>
        <w:t>presentaron</w:t>
      </w:r>
      <w:r>
        <w:rPr>
          <w:spacing w:val="-9"/>
          <w:sz w:val="20"/>
        </w:rPr>
        <w:t> </w:t>
      </w:r>
      <w:r>
        <w:rPr>
          <w:sz w:val="20"/>
        </w:rPr>
        <w:t>una</w:t>
      </w:r>
      <w:r>
        <w:rPr>
          <w:spacing w:val="-10"/>
          <w:sz w:val="20"/>
        </w:rPr>
        <w:t> </w:t>
      </w:r>
      <w:r>
        <w:rPr>
          <w:sz w:val="20"/>
        </w:rPr>
        <w:t>lista</w:t>
      </w:r>
      <w:r>
        <w:rPr>
          <w:spacing w:val="-10"/>
          <w:sz w:val="20"/>
        </w:rPr>
        <w:t> </w:t>
      </w:r>
      <w:r>
        <w:rPr>
          <w:sz w:val="20"/>
        </w:rPr>
        <w:t>actualizada</w:t>
      </w:r>
      <w:r>
        <w:rPr>
          <w:spacing w:val="-10"/>
          <w:sz w:val="20"/>
        </w:rPr>
        <w:t> </w:t>
      </w:r>
      <w:r>
        <w:rPr>
          <w:sz w:val="20"/>
        </w:rPr>
        <w:t>de</w:t>
      </w:r>
      <w:r>
        <w:rPr>
          <w:spacing w:val="-12"/>
          <w:sz w:val="20"/>
        </w:rPr>
        <w:t> </w:t>
      </w:r>
      <w:r>
        <w:rPr>
          <w:sz w:val="20"/>
        </w:rPr>
        <w:t>las</w:t>
      </w:r>
      <w:r>
        <w:rPr>
          <w:spacing w:val="-8"/>
          <w:sz w:val="20"/>
        </w:rPr>
        <w:t> </w:t>
      </w:r>
      <w:r>
        <w:rPr>
          <w:sz w:val="20"/>
        </w:rPr>
        <w:t>comunidades</w:t>
      </w:r>
      <w:r>
        <w:rPr>
          <w:spacing w:val="-11"/>
          <w:sz w:val="20"/>
        </w:rPr>
        <w:t> </w:t>
      </w:r>
      <w:r>
        <w:rPr>
          <w:sz w:val="20"/>
        </w:rPr>
        <w:t>indígenas</w:t>
      </w:r>
      <w:r>
        <w:rPr>
          <w:spacing w:val="-11"/>
          <w:sz w:val="20"/>
        </w:rPr>
        <w:t> </w:t>
      </w:r>
      <w:r>
        <w:rPr>
          <w:sz w:val="20"/>
        </w:rPr>
        <w:t>a</w:t>
      </w:r>
      <w:r>
        <w:rPr>
          <w:spacing w:val="-8"/>
          <w:sz w:val="20"/>
        </w:rPr>
        <w:t> </w:t>
      </w:r>
      <w:r>
        <w:rPr>
          <w:sz w:val="20"/>
        </w:rPr>
        <w:t>mayo</w:t>
      </w:r>
      <w:r>
        <w:rPr>
          <w:spacing w:val="-12"/>
          <w:sz w:val="20"/>
        </w:rPr>
        <w:t> </w:t>
      </w:r>
      <w:r>
        <w:rPr>
          <w:sz w:val="20"/>
        </w:rPr>
        <w:t>del</w:t>
      </w:r>
      <w:r>
        <w:rPr>
          <w:spacing w:val="-10"/>
          <w:sz w:val="20"/>
        </w:rPr>
        <w:t> </w:t>
      </w:r>
      <w:r>
        <w:rPr>
          <w:sz w:val="20"/>
        </w:rPr>
        <w:t>mismo año, identificando un total de 132 comunidades indígenas en el territorio</w:t>
      </w:r>
      <w:r>
        <w:rPr>
          <w:position w:val="7"/>
          <w:sz w:val="13"/>
        </w:rPr>
        <w:t>19</w:t>
      </w:r>
      <w:r>
        <w:rPr>
          <w:sz w:val="20"/>
        </w:rPr>
        <w:t>.  </w:t>
      </w:r>
      <w:r>
        <w:rPr>
          <w:spacing w:val="62"/>
          <w:sz w:val="20"/>
        </w:rPr>
        <w:t> </w:t>
      </w:r>
      <w:r>
        <w:rPr>
          <w:sz w:val="20"/>
        </w:rPr>
        <w:t>Aclararon</w:t>
      </w:r>
    </w:p>
    <w:p>
      <w:pPr>
        <w:pStyle w:val="BodyText"/>
        <w:rPr>
          <w:sz w:val="14"/>
        </w:rPr>
      </w:pPr>
      <w:r>
        <w:rPr/>
        <w:pict>
          <v:line style="position:absolute;mso-position-horizontal-relative:page;mso-position-vertical-relative:paragraph;z-index:1192;mso-wrap-distance-left:0;mso-wrap-distance-right:0" from="85.103996pt,10.838061pt" to="229.123996pt,10.838061pt" stroked="true" strokeweight=".72003pt" strokecolor="#000000">
            <v:stroke dashstyle="solid"/>
            <w10:wrap type="topAndBottom"/>
          </v:line>
        </w:pict>
      </w:r>
    </w:p>
    <w:p>
      <w:pPr>
        <w:tabs>
          <w:tab w:pos="829" w:val="left" w:leader="none"/>
        </w:tabs>
        <w:spacing w:before="71"/>
        <w:ind w:left="122" w:right="115" w:firstLine="0"/>
        <w:jc w:val="both"/>
        <w:rPr>
          <w:sz w:val="16"/>
        </w:rPr>
      </w:pPr>
      <w:r>
        <w:rPr>
          <w:position w:val="6"/>
          <w:sz w:val="10"/>
        </w:rPr>
        <w:t>17</w:t>
        <w:tab/>
      </w:r>
      <w:r>
        <w:rPr>
          <w:sz w:val="16"/>
        </w:rPr>
        <w:t>Explicó que “la petición inicial de 1998 aludía a 35 comunidades indígenas, mientras que</w:t>
      </w:r>
      <w:r>
        <w:rPr>
          <w:spacing w:val="28"/>
          <w:sz w:val="16"/>
        </w:rPr>
        <w:t> </w:t>
      </w:r>
      <w:r>
        <w:rPr>
          <w:sz w:val="16"/>
        </w:rPr>
        <w:t>en</w:t>
      </w:r>
      <w:r>
        <w:rPr>
          <w:spacing w:val="1"/>
          <w:sz w:val="16"/>
        </w:rPr>
        <w:t> </w:t>
      </w:r>
      <w:r>
        <w:rPr>
          <w:sz w:val="16"/>
        </w:rPr>
        <w:t>octubre</w:t>
      </w:r>
      <w:r>
        <w:rPr>
          <w:w w:val="100"/>
          <w:sz w:val="16"/>
        </w:rPr>
        <w:t> </w:t>
      </w:r>
      <w:r>
        <w:rPr>
          <w:sz w:val="16"/>
        </w:rPr>
        <w:t>de 2007 los peticionarios indicaron un total de 45 comunidades [, y que] el Estado, en febrero de 2009, se refirió a 50 comunidades y en mayo de 2011 informó sobre 47 comunidades”. Pese a ello, la Corte constató que la petición inicial aludió a “aproximadamente” 35 comunidades, sin detallarlas. Luego, en el Informe de Fondo, al aludir a las comunidades indicadas en la petición inicial, la Comisión se limitó a enumerar 21, explicando</w:t>
      </w:r>
      <w:r>
        <w:rPr>
          <w:spacing w:val="-3"/>
          <w:sz w:val="16"/>
        </w:rPr>
        <w:t> </w:t>
      </w:r>
      <w:r>
        <w:rPr>
          <w:sz w:val="16"/>
        </w:rPr>
        <w:t>que</w:t>
      </w:r>
      <w:r>
        <w:rPr>
          <w:spacing w:val="-6"/>
          <w:sz w:val="16"/>
        </w:rPr>
        <w:t> </w:t>
      </w:r>
      <w:r>
        <w:rPr>
          <w:sz w:val="16"/>
        </w:rPr>
        <w:t>de</w:t>
      </w:r>
      <w:r>
        <w:rPr>
          <w:spacing w:val="-4"/>
          <w:sz w:val="16"/>
        </w:rPr>
        <w:t> </w:t>
      </w:r>
      <w:r>
        <w:rPr>
          <w:sz w:val="16"/>
        </w:rPr>
        <w:t>las</w:t>
      </w:r>
      <w:r>
        <w:rPr>
          <w:spacing w:val="-4"/>
          <w:sz w:val="16"/>
        </w:rPr>
        <w:t> </w:t>
      </w:r>
      <w:r>
        <w:rPr>
          <w:sz w:val="16"/>
        </w:rPr>
        <w:t>mismas</w:t>
      </w:r>
      <w:r>
        <w:rPr>
          <w:spacing w:val="-4"/>
          <w:sz w:val="16"/>
        </w:rPr>
        <w:t> </w:t>
      </w:r>
      <w:r>
        <w:rPr>
          <w:sz w:val="16"/>
        </w:rPr>
        <w:t>se</w:t>
      </w:r>
      <w:r>
        <w:rPr>
          <w:spacing w:val="-4"/>
          <w:sz w:val="16"/>
        </w:rPr>
        <w:t> </w:t>
      </w:r>
      <w:r>
        <w:rPr>
          <w:sz w:val="16"/>
        </w:rPr>
        <w:t>había</w:t>
      </w:r>
      <w:r>
        <w:rPr>
          <w:spacing w:val="-4"/>
          <w:sz w:val="16"/>
        </w:rPr>
        <w:t> </w:t>
      </w:r>
      <w:r>
        <w:rPr>
          <w:sz w:val="16"/>
        </w:rPr>
        <w:t>proveído “una</w:t>
      </w:r>
      <w:r>
        <w:rPr>
          <w:spacing w:val="-2"/>
          <w:sz w:val="16"/>
        </w:rPr>
        <w:t> </w:t>
      </w:r>
      <w:r>
        <w:rPr>
          <w:sz w:val="16"/>
        </w:rPr>
        <w:t>ubicación</w:t>
      </w:r>
      <w:r>
        <w:rPr>
          <w:spacing w:val="-4"/>
          <w:sz w:val="16"/>
        </w:rPr>
        <w:t> </w:t>
      </w:r>
      <w:r>
        <w:rPr>
          <w:sz w:val="16"/>
        </w:rPr>
        <w:t>geográfica</w:t>
      </w:r>
      <w:r>
        <w:rPr>
          <w:spacing w:val="-6"/>
          <w:sz w:val="16"/>
        </w:rPr>
        <w:t> </w:t>
      </w:r>
      <w:r>
        <w:rPr>
          <w:sz w:val="16"/>
        </w:rPr>
        <w:t>precisa</w:t>
      </w:r>
      <w:r>
        <w:rPr>
          <w:spacing w:val="-4"/>
          <w:sz w:val="16"/>
        </w:rPr>
        <w:t> </w:t>
      </w:r>
      <w:r>
        <w:rPr>
          <w:sz w:val="16"/>
        </w:rPr>
        <w:t>de</w:t>
      </w:r>
      <w:r>
        <w:rPr>
          <w:spacing w:val="-4"/>
          <w:sz w:val="16"/>
        </w:rPr>
        <w:t> </w:t>
      </w:r>
      <w:r>
        <w:rPr>
          <w:sz w:val="16"/>
        </w:rPr>
        <w:t>las</w:t>
      </w:r>
      <w:r>
        <w:rPr>
          <w:spacing w:val="-6"/>
          <w:sz w:val="16"/>
        </w:rPr>
        <w:t> </w:t>
      </w:r>
      <w:r>
        <w:rPr>
          <w:sz w:val="16"/>
        </w:rPr>
        <w:t>zonas</w:t>
      </w:r>
      <w:r>
        <w:rPr>
          <w:spacing w:val="-4"/>
          <w:sz w:val="16"/>
        </w:rPr>
        <w:t> </w:t>
      </w:r>
      <w:r>
        <w:rPr>
          <w:sz w:val="16"/>
        </w:rPr>
        <w:t>de</w:t>
      </w:r>
      <w:r>
        <w:rPr>
          <w:spacing w:val="-6"/>
          <w:sz w:val="16"/>
        </w:rPr>
        <w:t> </w:t>
      </w:r>
      <w:r>
        <w:rPr>
          <w:sz w:val="16"/>
        </w:rPr>
        <w:t>recorrido”. Las</w:t>
      </w:r>
      <w:r>
        <w:rPr>
          <w:spacing w:val="-3"/>
          <w:sz w:val="16"/>
        </w:rPr>
        <w:t> </w:t>
      </w:r>
      <w:r>
        <w:rPr>
          <w:sz w:val="16"/>
        </w:rPr>
        <w:t>21</w:t>
      </w:r>
      <w:r>
        <w:rPr>
          <w:spacing w:val="-5"/>
          <w:sz w:val="16"/>
        </w:rPr>
        <w:t> </w:t>
      </w:r>
      <w:r>
        <w:rPr>
          <w:sz w:val="16"/>
        </w:rPr>
        <w:t>comunidades</w:t>
      </w:r>
      <w:r>
        <w:rPr>
          <w:spacing w:val="-5"/>
          <w:sz w:val="16"/>
        </w:rPr>
        <w:t> </w:t>
      </w:r>
      <w:r>
        <w:rPr>
          <w:sz w:val="16"/>
        </w:rPr>
        <w:t>listadas</w:t>
      </w:r>
      <w:r>
        <w:rPr>
          <w:spacing w:val="-5"/>
          <w:sz w:val="16"/>
        </w:rPr>
        <w:t> </w:t>
      </w:r>
      <w:r>
        <w:rPr>
          <w:sz w:val="16"/>
        </w:rPr>
        <w:t>en</w:t>
      </w:r>
      <w:r>
        <w:rPr>
          <w:spacing w:val="-5"/>
          <w:sz w:val="16"/>
        </w:rPr>
        <w:t> </w:t>
      </w:r>
      <w:r>
        <w:rPr>
          <w:sz w:val="16"/>
        </w:rPr>
        <w:t>el</w:t>
      </w:r>
      <w:r>
        <w:rPr>
          <w:spacing w:val="-4"/>
          <w:sz w:val="16"/>
        </w:rPr>
        <w:t> </w:t>
      </w:r>
      <w:r>
        <w:rPr>
          <w:sz w:val="16"/>
        </w:rPr>
        <w:t>Informe</w:t>
      </w:r>
      <w:r>
        <w:rPr>
          <w:spacing w:val="-5"/>
          <w:sz w:val="16"/>
        </w:rPr>
        <w:t> </w:t>
      </w:r>
      <w:r>
        <w:rPr>
          <w:sz w:val="16"/>
        </w:rPr>
        <w:t>de</w:t>
      </w:r>
      <w:r>
        <w:rPr>
          <w:spacing w:val="-5"/>
          <w:sz w:val="16"/>
        </w:rPr>
        <w:t> </w:t>
      </w:r>
      <w:r>
        <w:rPr>
          <w:sz w:val="16"/>
        </w:rPr>
        <w:t>Fondo</w:t>
      </w:r>
      <w:r>
        <w:rPr>
          <w:spacing w:val="-7"/>
          <w:sz w:val="16"/>
        </w:rPr>
        <w:t> </w:t>
      </w:r>
      <w:r>
        <w:rPr>
          <w:sz w:val="16"/>
        </w:rPr>
        <w:t>que</w:t>
      </w:r>
      <w:r>
        <w:rPr>
          <w:spacing w:val="-3"/>
          <w:sz w:val="16"/>
        </w:rPr>
        <w:t> </w:t>
      </w:r>
      <w:r>
        <w:rPr>
          <w:sz w:val="16"/>
        </w:rPr>
        <w:t>la</w:t>
      </w:r>
      <w:r>
        <w:rPr>
          <w:spacing w:val="-8"/>
          <w:sz w:val="16"/>
        </w:rPr>
        <w:t> </w:t>
      </w:r>
      <w:r>
        <w:rPr>
          <w:sz w:val="16"/>
        </w:rPr>
        <w:t>Comisión</w:t>
      </w:r>
      <w:r>
        <w:rPr>
          <w:spacing w:val="-6"/>
          <w:sz w:val="16"/>
        </w:rPr>
        <w:t> </w:t>
      </w:r>
      <w:r>
        <w:rPr>
          <w:sz w:val="16"/>
        </w:rPr>
        <w:t>entendió</w:t>
      </w:r>
      <w:r>
        <w:rPr>
          <w:spacing w:val="-5"/>
          <w:sz w:val="16"/>
        </w:rPr>
        <w:t> </w:t>
      </w:r>
      <w:r>
        <w:rPr>
          <w:sz w:val="16"/>
        </w:rPr>
        <w:t>incluidas</w:t>
      </w:r>
      <w:r>
        <w:rPr>
          <w:spacing w:val="-5"/>
          <w:sz w:val="16"/>
        </w:rPr>
        <w:t> </w:t>
      </w:r>
      <w:r>
        <w:rPr>
          <w:sz w:val="16"/>
        </w:rPr>
        <w:t>en</w:t>
      </w:r>
      <w:r>
        <w:rPr>
          <w:spacing w:val="-5"/>
          <w:sz w:val="16"/>
        </w:rPr>
        <w:t> </w:t>
      </w:r>
      <w:r>
        <w:rPr>
          <w:sz w:val="16"/>
        </w:rPr>
        <w:t>la</w:t>
      </w:r>
      <w:r>
        <w:rPr>
          <w:spacing w:val="-4"/>
          <w:sz w:val="16"/>
        </w:rPr>
        <w:t> </w:t>
      </w:r>
      <w:r>
        <w:rPr>
          <w:sz w:val="16"/>
        </w:rPr>
        <w:t>petición</w:t>
      </w:r>
      <w:r>
        <w:rPr>
          <w:spacing w:val="-4"/>
          <w:sz w:val="16"/>
        </w:rPr>
        <w:t> </w:t>
      </w:r>
      <w:r>
        <w:rPr>
          <w:sz w:val="16"/>
        </w:rPr>
        <w:t>inicial</w:t>
      </w:r>
      <w:r>
        <w:rPr>
          <w:spacing w:val="-4"/>
          <w:sz w:val="16"/>
        </w:rPr>
        <w:t> </w:t>
      </w:r>
      <w:r>
        <w:rPr>
          <w:sz w:val="16"/>
        </w:rPr>
        <w:t>y las</w:t>
      </w:r>
      <w:r>
        <w:rPr>
          <w:spacing w:val="-12"/>
          <w:sz w:val="16"/>
        </w:rPr>
        <w:t> </w:t>
      </w:r>
      <w:r>
        <w:rPr>
          <w:sz w:val="16"/>
        </w:rPr>
        <w:t>27</w:t>
      </w:r>
      <w:r>
        <w:rPr>
          <w:spacing w:val="-13"/>
          <w:sz w:val="16"/>
        </w:rPr>
        <w:t> </w:t>
      </w:r>
      <w:r>
        <w:rPr>
          <w:sz w:val="16"/>
        </w:rPr>
        <w:t>que</w:t>
      </w:r>
      <w:r>
        <w:rPr>
          <w:spacing w:val="-12"/>
          <w:sz w:val="16"/>
        </w:rPr>
        <w:t> </w:t>
      </w:r>
      <w:r>
        <w:rPr>
          <w:sz w:val="16"/>
        </w:rPr>
        <w:t>la</w:t>
      </w:r>
      <w:r>
        <w:rPr>
          <w:spacing w:val="-15"/>
          <w:sz w:val="16"/>
        </w:rPr>
        <w:t> </w:t>
      </w:r>
      <w:r>
        <w:rPr>
          <w:sz w:val="16"/>
        </w:rPr>
        <w:t>Comisión,</w:t>
      </w:r>
      <w:r>
        <w:rPr>
          <w:spacing w:val="-13"/>
          <w:sz w:val="16"/>
        </w:rPr>
        <w:t> </w:t>
      </w:r>
      <w:r>
        <w:rPr>
          <w:sz w:val="16"/>
        </w:rPr>
        <w:t>en</w:t>
      </w:r>
      <w:r>
        <w:rPr>
          <w:spacing w:val="-13"/>
          <w:sz w:val="16"/>
        </w:rPr>
        <w:t> </w:t>
      </w:r>
      <w:r>
        <w:rPr>
          <w:sz w:val="16"/>
        </w:rPr>
        <w:t>el</w:t>
      </w:r>
      <w:r>
        <w:rPr>
          <w:spacing w:val="-13"/>
          <w:sz w:val="16"/>
        </w:rPr>
        <w:t> </w:t>
      </w:r>
      <w:r>
        <w:rPr>
          <w:sz w:val="16"/>
        </w:rPr>
        <w:t>Informe</w:t>
      </w:r>
      <w:r>
        <w:rPr>
          <w:spacing w:val="-15"/>
          <w:sz w:val="16"/>
        </w:rPr>
        <w:t> </w:t>
      </w:r>
      <w:r>
        <w:rPr>
          <w:sz w:val="16"/>
        </w:rPr>
        <w:t>de</w:t>
      </w:r>
      <w:r>
        <w:rPr>
          <w:spacing w:val="-14"/>
          <w:sz w:val="16"/>
        </w:rPr>
        <w:t> </w:t>
      </w:r>
      <w:r>
        <w:rPr>
          <w:sz w:val="16"/>
        </w:rPr>
        <w:t>Fondo,</w:t>
      </w:r>
      <w:r>
        <w:rPr>
          <w:spacing w:val="-13"/>
          <w:sz w:val="16"/>
        </w:rPr>
        <w:t> </w:t>
      </w:r>
      <w:r>
        <w:rPr>
          <w:sz w:val="16"/>
        </w:rPr>
        <w:t>tuvo</w:t>
      </w:r>
      <w:r>
        <w:rPr>
          <w:spacing w:val="-11"/>
          <w:sz w:val="16"/>
        </w:rPr>
        <w:t> </w:t>
      </w:r>
      <w:r>
        <w:rPr>
          <w:sz w:val="16"/>
        </w:rPr>
        <w:t>como</w:t>
      </w:r>
      <w:r>
        <w:rPr>
          <w:spacing w:val="-14"/>
          <w:sz w:val="16"/>
        </w:rPr>
        <w:t> </w:t>
      </w:r>
      <w:r>
        <w:rPr>
          <w:sz w:val="16"/>
        </w:rPr>
        <w:t>víctimas</w:t>
      </w:r>
      <w:r>
        <w:rPr>
          <w:spacing w:val="-12"/>
          <w:sz w:val="16"/>
        </w:rPr>
        <w:t> </w:t>
      </w:r>
      <w:r>
        <w:rPr>
          <w:sz w:val="16"/>
        </w:rPr>
        <w:t>se</w:t>
      </w:r>
      <w:r>
        <w:rPr>
          <w:spacing w:val="-12"/>
          <w:sz w:val="16"/>
        </w:rPr>
        <w:t> </w:t>
      </w:r>
      <w:r>
        <w:rPr>
          <w:sz w:val="16"/>
        </w:rPr>
        <w:t>indican,</w:t>
      </w:r>
      <w:r>
        <w:rPr>
          <w:spacing w:val="-13"/>
          <w:sz w:val="16"/>
        </w:rPr>
        <w:t> </w:t>
      </w:r>
      <w:r>
        <w:rPr>
          <w:sz w:val="16"/>
        </w:rPr>
        <w:t>respectivamente,</w:t>
      </w:r>
      <w:r>
        <w:rPr>
          <w:spacing w:val="-13"/>
          <w:sz w:val="16"/>
        </w:rPr>
        <w:t> </w:t>
      </w:r>
      <w:r>
        <w:rPr>
          <w:sz w:val="16"/>
        </w:rPr>
        <w:t>en</w:t>
      </w:r>
      <w:r>
        <w:rPr>
          <w:spacing w:val="-13"/>
          <w:sz w:val="16"/>
        </w:rPr>
        <w:t> </w:t>
      </w:r>
      <w:r>
        <w:rPr>
          <w:sz w:val="16"/>
        </w:rPr>
        <w:t>los</w:t>
      </w:r>
      <w:r>
        <w:rPr>
          <w:spacing w:val="-14"/>
          <w:sz w:val="16"/>
        </w:rPr>
        <w:t> </w:t>
      </w:r>
      <w:r>
        <w:rPr>
          <w:sz w:val="16"/>
        </w:rPr>
        <w:t>Anexos I y II a esta</w:t>
      </w:r>
      <w:r>
        <w:rPr>
          <w:spacing w:val="-5"/>
          <w:sz w:val="16"/>
        </w:rPr>
        <w:t> </w:t>
      </w:r>
      <w:r>
        <w:rPr>
          <w:sz w:val="16"/>
        </w:rPr>
        <w:t>Sentencia.</w:t>
      </w:r>
    </w:p>
    <w:p>
      <w:pPr>
        <w:pStyle w:val="BodyText"/>
        <w:spacing w:before="11"/>
        <w:rPr>
          <w:sz w:val="15"/>
        </w:rPr>
      </w:pPr>
    </w:p>
    <w:p>
      <w:pPr>
        <w:tabs>
          <w:tab w:pos="829" w:val="left" w:leader="none"/>
        </w:tabs>
        <w:spacing w:before="0"/>
        <w:ind w:left="122" w:right="122" w:firstLine="0"/>
        <w:jc w:val="both"/>
        <w:rPr>
          <w:sz w:val="16"/>
        </w:rPr>
      </w:pPr>
      <w:r>
        <w:rPr>
          <w:position w:val="6"/>
          <w:sz w:val="10"/>
        </w:rPr>
        <w:t>18</w:t>
        <w:tab/>
      </w:r>
      <w:r>
        <w:rPr>
          <w:sz w:val="16"/>
        </w:rPr>
        <w:t>Las 71 comunidades indicadas en el Decreto 1498/14 y las 92 referidas en el escrito de</w:t>
      </w:r>
      <w:r>
        <w:rPr>
          <w:spacing w:val="-6"/>
          <w:sz w:val="16"/>
        </w:rPr>
        <w:t> </w:t>
      </w:r>
      <w:r>
        <w:rPr>
          <w:sz w:val="16"/>
        </w:rPr>
        <w:t>solicitudes</w:t>
      </w:r>
      <w:r>
        <w:rPr>
          <w:spacing w:val="-2"/>
          <w:sz w:val="16"/>
        </w:rPr>
        <w:t> </w:t>
      </w:r>
      <w:r>
        <w:rPr>
          <w:sz w:val="16"/>
        </w:rPr>
        <w:t>y</w:t>
      </w:r>
      <w:r>
        <w:rPr>
          <w:w w:val="100"/>
          <w:sz w:val="16"/>
        </w:rPr>
        <w:t> </w:t>
      </w:r>
      <w:r>
        <w:rPr>
          <w:sz w:val="16"/>
        </w:rPr>
        <w:t>argumentos se listan, respectivamente, en los Anexos III y IV a esta</w:t>
      </w:r>
      <w:r>
        <w:rPr>
          <w:spacing w:val="-19"/>
          <w:sz w:val="16"/>
        </w:rPr>
        <w:t> </w:t>
      </w:r>
      <w:r>
        <w:rPr>
          <w:sz w:val="16"/>
        </w:rPr>
        <w:t>Sentencia.</w:t>
      </w:r>
    </w:p>
    <w:p>
      <w:pPr>
        <w:pStyle w:val="BodyText"/>
        <w:spacing w:before="1"/>
        <w:rPr>
          <w:sz w:val="16"/>
        </w:rPr>
      </w:pPr>
    </w:p>
    <w:p>
      <w:pPr>
        <w:tabs>
          <w:tab w:pos="829" w:val="left" w:leader="none"/>
        </w:tabs>
        <w:spacing w:before="0"/>
        <w:ind w:left="122" w:right="0" w:firstLine="0"/>
        <w:jc w:val="both"/>
        <w:rPr>
          <w:sz w:val="16"/>
        </w:rPr>
      </w:pPr>
      <w:r>
        <w:rPr>
          <w:position w:val="6"/>
          <w:sz w:val="10"/>
        </w:rPr>
        <w:t>19</w:t>
        <w:tab/>
      </w:r>
      <w:r>
        <w:rPr>
          <w:sz w:val="16"/>
        </w:rPr>
        <w:t>Las 132 comunidades señaladas por los representantes se listan en el Anexo V a esta</w:t>
      </w:r>
      <w:r>
        <w:rPr>
          <w:spacing w:val="-26"/>
          <w:sz w:val="16"/>
        </w:rPr>
        <w:t> </w:t>
      </w:r>
      <w:r>
        <w:rPr>
          <w:sz w:val="16"/>
        </w:rPr>
        <w:t>Sentencia.</w:t>
      </w:r>
    </w:p>
    <w:p>
      <w:pPr>
        <w:spacing w:after="0"/>
        <w:jc w:val="both"/>
        <w:rPr>
          <w:sz w:val="16"/>
        </w:rPr>
        <w:sectPr>
          <w:pgSz w:w="12240" w:h="15840"/>
          <w:pgMar w:header="0" w:footer="1000" w:top="1340" w:bottom="1200" w:left="1580" w:right="1580"/>
        </w:sectPr>
      </w:pPr>
    </w:p>
    <w:p>
      <w:pPr>
        <w:pStyle w:val="BodyText"/>
        <w:spacing w:before="76"/>
        <w:ind w:left="122" w:right="124"/>
        <w:jc w:val="both"/>
      </w:pPr>
      <w:r>
        <w:rPr/>
        <w:t>que no se trata de “personas que no estuvieran ya incorporadas”, sino que son “las mismas que ya residían en el territorio”, pero que por diversas razones han decidido formar más comunidades.</w:t>
      </w:r>
    </w:p>
    <w:p>
      <w:pPr>
        <w:pStyle w:val="BodyText"/>
      </w:pPr>
    </w:p>
    <w:p>
      <w:pPr>
        <w:pStyle w:val="ListParagraph"/>
        <w:numPr>
          <w:ilvl w:val="0"/>
          <w:numId w:val="14"/>
        </w:numPr>
        <w:tabs>
          <w:tab w:pos="830" w:val="left" w:leader="none"/>
        </w:tabs>
        <w:spacing w:line="240" w:lineRule="auto" w:before="0" w:after="0"/>
        <w:ind w:left="122" w:right="124" w:hanging="12"/>
        <w:jc w:val="both"/>
        <w:rPr>
          <w:sz w:val="20"/>
        </w:rPr>
      </w:pPr>
      <w:r>
        <w:rPr>
          <w:sz w:val="20"/>
        </w:rPr>
        <w:t>El </w:t>
      </w:r>
      <w:r>
        <w:rPr>
          <w:b/>
          <w:i/>
          <w:sz w:val="20"/>
        </w:rPr>
        <w:t>Estado </w:t>
      </w:r>
      <w:r>
        <w:rPr>
          <w:sz w:val="20"/>
        </w:rPr>
        <w:t>adujo que “es necesario considerar la complejidad que aporta la aparición de nuevas comunidades que en un futuro no quieran ser parte de un título único y se susciten conflictos intercomunitarios por tod[a]s tener la propiedad compartida</w:t>
      </w:r>
      <w:r>
        <w:rPr>
          <w:spacing w:val="-10"/>
          <w:sz w:val="20"/>
        </w:rPr>
        <w:t> </w:t>
      </w:r>
      <w:r>
        <w:rPr>
          <w:sz w:val="20"/>
        </w:rPr>
        <w:t>y</w:t>
      </w:r>
      <w:r>
        <w:rPr>
          <w:spacing w:val="-11"/>
          <w:sz w:val="20"/>
        </w:rPr>
        <w:t> </w:t>
      </w:r>
      <w:r>
        <w:rPr>
          <w:sz w:val="20"/>
        </w:rPr>
        <w:t>el</w:t>
      </w:r>
      <w:r>
        <w:rPr>
          <w:spacing w:val="-10"/>
          <w:sz w:val="20"/>
        </w:rPr>
        <w:t> </w:t>
      </w:r>
      <w:r>
        <w:rPr>
          <w:sz w:val="20"/>
        </w:rPr>
        <w:t>uso</w:t>
      </w:r>
      <w:r>
        <w:rPr>
          <w:spacing w:val="-12"/>
          <w:sz w:val="20"/>
        </w:rPr>
        <w:t> </w:t>
      </w:r>
      <w:r>
        <w:rPr>
          <w:sz w:val="20"/>
        </w:rPr>
        <w:t>de</w:t>
      </w:r>
      <w:r>
        <w:rPr>
          <w:spacing w:val="-9"/>
          <w:sz w:val="20"/>
        </w:rPr>
        <w:t> </w:t>
      </w:r>
      <w:r>
        <w:rPr>
          <w:sz w:val="20"/>
        </w:rPr>
        <w:t>recursos</w:t>
      </w:r>
      <w:r>
        <w:rPr>
          <w:spacing w:val="-11"/>
          <w:sz w:val="20"/>
        </w:rPr>
        <w:t> </w:t>
      </w:r>
      <w:r>
        <w:rPr>
          <w:sz w:val="20"/>
        </w:rPr>
        <w:t>naturales”.</w:t>
      </w:r>
      <w:r>
        <w:rPr>
          <w:spacing w:val="-11"/>
          <w:sz w:val="20"/>
        </w:rPr>
        <w:t> </w:t>
      </w:r>
      <w:r>
        <w:rPr>
          <w:sz w:val="20"/>
        </w:rPr>
        <w:t>Argentina</w:t>
      </w:r>
      <w:r>
        <w:rPr>
          <w:spacing w:val="-10"/>
          <w:sz w:val="20"/>
        </w:rPr>
        <w:t> </w:t>
      </w:r>
      <w:r>
        <w:rPr>
          <w:sz w:val="20"/>
        </w:rPr>
        <w:t>negó</w:t>
      </w:r>
      <w:r>
        <w:rPr>
          <w:spacing w:val="-9"/>
          <w:sz w:val="20"/>
        </w:rPr>
        <w:t> </w:t>
      </w:r>
      <w:r>
        <w:rPr>
          <w:sz w:val="20"/>
        </w:rPr>
        <w:t>el</w:t>
      </w:r>
      <w:r>
        <w:rPr>
          <w:spacing w:val="-10"/>
          <w:sz w:val="20"/>
        </w:rPr>
        <w:t> </w:t>
      </w:r>
      <w:r>
        <w:rPr>
          <w:sz w:val="20"/>
        </w:rPr>
        <w:t>carácter</w:t>
      </w:r>
      <w:r>
        <w:rPr>
          <w:spacing w:val="-9"/>
          <w:sz w:val="20"/>
        </w:rPr>
        <w:t> </w:t>
      </w:r>
      <w:r>
        <w:rPr>
          <w:sz w:val="20"/>
        </w:rPr>
        <w:t>superviniente</w:t>
      </w:r>
      <w:r>
        <w:rPr>
          <w:spacing w:val="-12"/>
          <w:sz w:val="20"/>
        </w:rPr>
        <w:t> </w:t>
      </w:r>
      <w:r>
        <w:rPr>
          <w:sz w:val="20"/>
        </w:rPr>
        <w:t>del último listado de comunidades presentado por los representantes y señaló que “no le consta” la autenticidad de la</w:t>
      </w:r>
      <w:r>
        <w:rPr>
          <w:spacing w:val="-13"/>
          <w:sz w:val="20"/>
        </w:rPr>
        <w:t> </w:t>
      </w:r>
      <w:r>
        <w:rPr>
          <w:sz w:val="20"/>
        </w:rPr>
        <w:t>lista.</w:t>
      </w:r>
    </w:p>
    <w:p>
      <w:pPr>
        <w:pStyle w:val="BodyText"/>
        <w:spacing w:before="2"/>
        <w:rPr>
          <w:sz w:val="23"/>
        </w:rPr>
      </w:pPr>
    </w:p>
    <w:p>
      <w:pPr>
        <w:pStyle w:val="Heading4"/>
        <w:numPr>
          <w:ilvl w:val="1"/>
          <w:numId w:val="15"/>
        </w:numPr>
        <w:tabs>
          <w:tab w:pos="1123" w:val="left" w:leader="none"/>
        </w:tabs>
        <w:spacing w:line="240" w:lineRule="auto" w:before="0" w:after="0"/>
        <w:ind w:left="1122" w:right="0" w:hanging="434"/>
        <w:jc w:val="left"/>
        <w:rPr>
          <w:i/>
        </w:rPr>
      </w:pPr>
      <w:bookmarkStart w:name="_bookmark12" w:id="19"/>
      <w:bookmarkEnd w:id="19"/>
      <w:r>
        <w:rPr>
          <w:b w:val="0"/>
          <w:i w:val="0"/>
        </w:rPr>
      </w:r>
      <w:bookmarkStart w:name="_bookmark12" w:id="20"/>
      <w:bookmarkEnd w:id="20"/>
      <w:r>
        <w:rPr>
          <w:i/>
        </w:rPr>
        <w:t>Co</w:t>
      </w:r>
      <w:r>
        <w:rPr>
          <w:i/>
        </w:rPr>
        <w:t>nsideraciones de la</w:t>
      </w:r>
      <w:r>
        <w:rPr>
          <w:i/>
          <w:spacing w:val="-14"/>
        </w:rPr>
        <w:t> </w:t>
      </w:r>
      <w:r>
        <w:rPr>
          <w:i/>
        </w:rPr>
        <w:t>Corte</w:t>
      </w:r>
    </w:p>
    <w:p>
      <w:pPr>
        <w:pStyle w:val="BodyText"/>
        <w:rPr>
          <w:b/>
          <w:i/>
        </w:rPr>
      </w:pPr>
    </w:p>
    <w:p>
      <w:pPr>
        <w:pStyle w:val="ListParagraph"/>
        <w:numPr>
          <w:ilvl w:val="0"/>
          <w:numId w:val="14"/>
        </w:numPr>
        <w:tabs>
          <w:tab w:pos="830" w:val="left" w:leader="none"/>
        </w:tabs>
        <w:spacing w:line="240" w:lineRule="auto" w:before="0" w:after="0"/>
        <w:ind w:left="122" w:right="127" w:hanging="12"/>
        <w:jc w:val="both"/>
        <w:rPr>
          <w:sz w:val="20"/>
        </w:rPr>
      </w:pPr>
      <w:r>
        <w:rPr>
          <w:sz w:val="20"/>
        </w:rPr>
        <w:t>La </w:t>
      </w:r>
      <w:r>
        <w:rPr>
          <w:b/>
          <w:i/>
          <w:sz w:val="20"/>
        </w:rPr>
        <w:t>Corte</w:t>
      </w:r>
      <w:r>
        <w:rPr>
          <w:sz w:val="20"/>
        </w:rPr>
        <w:t>, en primer lugar, deja sentado que es procedente, en casos referidos</w:t>
      </w:r>
      <w:r>
        <w:rPr>
          <w:spacing w:val="-46"/>
          <w:sz w:val="20"/>
        </w:rPr>
        <w:t> </w:t>
      </w:r>
      <w:r>
        <w:rPr>
          <w:sz w:val="20"/>
        </w:rPr>
        <w:t>a derechos propios de pueblos indígenas, que las “comunidades” indígenas sean consideradas presuntas</w:t>
      </w:r>
      <w:r>
        <w:rPr>
          <w:spacing w:val="-11"/>
          <w:sz w:val="20"/>
        </w:rPr>
        <w:t> </w:t>
      </w:r>
      <w:r>
        <w:rPr>
          <w:sz w:val="20"/>
        </w:rPr>
        <w:t>víctimas</w:t>
      </w:r>
      <w:r>
        <w:rPr>
          <w:position w:val="7"/>
          <w:sz w:val="13"/>
        </w:rPr>
        <w:t>20</w:t>
      </w:r>
      <w:r>
        <w:rPr>
          <w:sz w:val="20"/>
        </w:rPr>
        <w:t>.</w:t>
      </w:r>
    </w:p>
    <w:p>
      <w:pPr>
        <w:pStyle w:val="BodyText"/>
      </w:pPr>
    </w:p>
    <w:p>
      <w:pPr>
        <w:pStyle w:val="ListParagraph"/>
        <w:numPr>
          <w:ilvl w:val="0"/>
          <w:numId w:val="14"/>
        </w:numPr>
        <w:tabs>
          <w:tab w:pos="830" w:val="left" w:leader="none"/>
        </w:tabs>
        <w:spacing w:line="240" w:lineRule="auto" w:before="0" w:after="0"/>
        <w:ind w:left="122" w:right="130" w:hanging="12"/>
        <w:jc w:val="both"/>
        <w:rPr>
          <w:sz w:val="20"/>
        </w:rPr>
      </w:pPr>
      <w:r>
        <w:rPr>
          <w:sz w:val="20"/>
        </w:rPr>
        <w:t>Por otra parte, si bien de acuerdo al artículo 35.1 del Reglamento el Informe de Fondo</w:t>
      </w:r>
      <w:r>
        <w:rPr>
          <w:spacing w:val="-20"/>
          <w:sz w:val="20"/>
        </w:rPr>
        <w:t> </w:t>
      </w:r>
      <w:r>
        <w:rPr>
          <w:sz w:val="20"/>
        </w:rPr>
        <w:t>debe</w:t>
      </w:r>
      <w:r>
        <w:rPr>
          <w:spacing w:val="-14"/>
          <w:sz w:val="20"/>
        </w:rPr>
        <w:t> </w:t>
      </w:r>
      <w:r>
        <w:rPr>
          <w:sz w:val="20"/>
        </w:rPr>
        <w:t>contener</w:t>
      </w:r>
      <w:r>
        <w:rPr>
          <w:spacing w:val="-17"/>
          <w:sz w:val="20"/>
        </w:rPr>
        <w:t> </w:t>
      </w:r>
      <w:r>
        <w:rPr>
          <w:sz w:val="20"/>
        </w:rPr>
        <w:t>la</w:t>
      </w:r>
      <w:r>
        <w:rPr>
          <w:spacing w:val="-18"/>
          <w:sz w:val="20"/>
        </w:rPr>
        <w:t> </w:t>
      </w:r>
      <w:r>
        <w:rPr>
          <w:sz w:val="20"/>
        </w:rPr>
        <w:t>identificación</w:t>
      </w:r>
      <w:r>
        <w:rPr>
          <w:spacing w:val="-18"/>
          <w:sz w:val="20"/>
        </w:rPr>
        <w:t> </w:t>
      </w:r>
      <w:r>
        <w:rPr>
          <w:sz w:val="20"/>
        </w:rPr>
        <w:t>de</w:t>
      </w:r>
      <w:r>
        <w:rPr>
          <w:spacing w:val="-18"/>
          <w:sz w:val="20"/>
        </w:rPr>
        <w:t> </w:t>
      </w:r>
      <w:r>
        <w:rPr>
          <w:sz w:val="20"/>
        </w:rPr>
        <w:t>las</w:t>
      </w:r>
      <w:r>
        <w:rPr>
          <w:spacing w:val="-17"/>
          <w:sz w:val="20"/>
        </w:rPr>
        <w:t> </w:t>
      </w:r>
      <w:r>
        <w:rPr>
          <w:sz w:val="20"/>
        </w:rPr>
        <w:t>presuntas</w:t>
      </w:r>
      <w:r>
        <w:rPr>
          <w:spacing w:val="-19"/>
          <w:sz w:val="20"/>
        </w:rPr>
        <w:t> </w:t>
      </w:r>
      <w:r>
        <w:rPr>
          <w:sz w:val="20"/>
        </w:rPr>
        <w:t>víctimas,</w:t>
      </w:r>
      <w:r>
        <w:rPr>
          <w:spacing w:val="-17"/>
          <w:sz w:val="20"/>
        </w:rPr>
        <w:t> </w:t>
      </w:r>
      <w:r>
        <w:rPr>
          <w:sz w:val="20"/>
        </w:rPr>
        <w:t>el</w:t>
      </w:r>
      <w:r>
        <w:rPr>
          <w:spacing w:val="-18"/>
          <w:sz w:val="20"/>
        </w:rPr>
        <w:t> </w:t>
      </w:r>
      <w:r>
        <w:rPr>
          <w:sz w:val="20"/>
        </w:rPr>
        <w:t>artículo</w:t>
      </w:r>
      <w:r>
        <w:rPr>
          <w:spacing w:val="-17"/>
          <w:sz w:val="20"/>
        </w:rPr>
        <w:t> </w:t>
      </w:r>
      <w:r>
        <w:rPr>
          <w:sz w:val="20"/>
        </w:rPr>
        <w:t>reglamentario</w:t>
      </w:r>
    </w:p>
    <w:p>
      <w:pPr>
        <w:pStyle w:val="BodyText"/>
        <w:ind w:left="122" w:right="131"/>
        <w:jc w:val="both"/>
      </w:pPr>
      <w:r>
        <w:rPr/>
        <w:t>35.2 prevé una excepción. La misma opera cuando hay “un impedimento material o práctico para identificar a presuntas víctimas en casos de violaciones masivas o colectivas a los derechos humanos”</w:t>
      </w:r>
      <w:r>
        <w:rPr>
          <w:position w:val="7"/>
          <w:sz w:val="13"/>
        </w:rPr>
        <w:t>21</w:t>
      </w:r>
      <w:r>
        <w:rPr/>
        <w:t>. Para determinar la procedencia de la excepción, este Tribunal ha evaluado las características particulares de cada caso.</w:t>
      </w:r>
    </w:p>
    <w:p>
      <w:pPr>
        <w:pStyle w:val="BodyText"/>
        <w:spacing w:before="2"/>
      </w:pPr>
    </w:p>
    <w:p>
      <w:pPr>
        <w:pStyle w:val="ListParagraph"/>
        <w:numPr>
          <w:ilvl w:val="0"/>
          <w:numId w:val="14"/>
        </w:numPr>
        <w:tabs>
          <w:tab w:pos="830" w:val="left" w:leader="none"/>
        </w:tabs>
        <w:spacing w:line="240" w:lineRule="auto" w:before="0" w:after="0"/>
        <w:ind w:left="122" w:right="122" w:hanging="12"/>
        <w:jc w:val="both"/>
        <w:rPr>
          <w:sz w:val="20"/>
        </w:rPr>
      </w:pPr>
      <w:r>
        <w:rPr>
          <w:sz w:val="20"/>
        </w:rPr>
        <w:t>Al respecto, la información presentada a la Corte indica que el número de comunidades indígenas asentadas en el territorio reclamado ha ido variando. Los representantes informaron que en junio de 2019 el número de comunidades era </w:t>
      </w:r>
      <w:r>
        <w:rPr>
          <w:spacing w:val="3"/>
          <w:sz w:val="20"/>
        </w:rPr>
        <w:t>132, </w:t>
      </w:r>
      <w:r>
        <w:rPr>
          <w:sz w:val="20"/>
        </w:rPr>
        <w:t>siendo superior al señalado en el escrito de solicitudes y argumentos. Aunque el Estado negó</w:t>
      </w:r>
      <w:r>
        <w:rPr>
          <w:spacing w:val="-7"/>
          <w:sz w:val="20"/>
        </w:rPr>
        <w:t> </w:t>
      </w:r>
      <w:r>
        <w:rPr>
          <w:sz w:val="20"/>
        </w:rPr>
        <w:t>el</w:t>
      </w:r>
      <w:r>
        <w:rPr>
          <w:spacing w:val="-5"/>
          <w:sz w:val="20"/>
        </w:rPr>
        <w:t> </w:t>
      </w:r>
      <w:r>
        <w:rPr>
          <w:sz w:val="20"/>
        </w:rPr>
        <w:t>carácter</w:t>
      </w:r>
      <w:r>
        <w:rPr>
          <w:spacing w:val="-7"/>
          <w:sz w:val="20"/>
        </w:rPr>
        <w:t> </w:t>
      </w:r>
      <w:r>
        <w:rPr>
          <w:sz w:val="20"/>
        </w:rPr>
        <w:t>superviniente</w:t>
      </w:r>
      <w:r>
        <w:rPr>
          <w:spacing w:val="-9"/>
          <w:sz w:val="20"/>
        </w:rPr>
        <w:t> </w:t>
      </w:r>
      <w:r>
        <w:rPr>
          <w:sz w:val="20"/>
        </w:rPr>
        <w:t>del</w:t>
      </w:r>
      <w:r>
        <w:rPr>
          <w:spacing w:val="-5"/>
          <w:sz w:val="20"/>
        </w:rPr>
        <w:t> </w:t>
      </w:r>
      <w:r>
        <w:rPr>
          <w:sz w:val="20"/>
        </w:rPr>
        <w:t>incremento,</w:t>
      </w:r>
      <w:r>
        <w:rPr>
          <w:spacing w:val="-6"/>
          <w:sz w:val="20"/>
        </w:rPr>
        <w:t> </w:t>
      </w:r>
      <w:r>
        <w:rPr>
          <w:sz w:val="20"/>
        </w:rPr>
        <w:t>no</w:t>
      </w:r>
      <w:r>
        <w:rPr>
          <w:spacing w:val="-9"/>
          <w:sz w:val="20"/>
        </w:rPr>
        <w:t> </w:t>
      </w:r>
      <w:r>
        <w:rPr>
          <w:sz w:val="20"/>
        </w:rPr>
        <w:t>dio</w:t>
      </w:r>
      <w:r>
        <w:rPr>
          <w:spacing w:val="-7"/>
          <w:sz w:val="20"/>
        </w:rPr>
        <w:t> </w:t>
      </w:r>
      <w:r>
        <w:rPr>
          <w:sz w:val="20"/>
        </w:rPr>
        <w:t>razones</w:t>
      </w:r>
      <w:r>
        <w:rPr>
          <w:spacing w:val="-9"/>
          <w:sz w:val="20"/>
        </w:rPr>
        <w:t> </w:t>
      </w:r>
      <w:r>
        <w:rPr>
          <w:sz w:val="20"/>
        </w:rPr>
        <w:t>para</w:t>
      </w:r>
      <w:r>
        <w:rPr>
          <w:spacing w:val="-5"/>
          <w:sz w:val="20"/>
        </w:rPr>
        <w:t> </w:t>
      </w:r>
      <w:r>
        <w:rPr>
          <w:sz w:val="20"/>
        </w:rPr>
        <w:t>ello.</w:t>
      </w:r>
      <w:r>
        <w:rPr>
          <w:spacing w:val="-4"/>
          <w:sz w:val="20"/>
        </w:rPr>
        <w:t> </w:t>
      </w:r>
      <w:r>
        <w:rPr>
          <w:sz w:val="20"/>
        </w:rPr>
        <w:t>No</w:t>
      </w:r>
      <w:r>
        <w:rPr>
          <w:spacing w:val="-9"/>
          <w:sz w:val="20"/>
        </w:rPr>
        <w:t> </w:t>
      </w:r>
      <w:r>
        <w:rPr>
          <w:sz w:val="20"/>
        </w:rPr>
        <w:t>hay</w:t>
      </w:r>
      <w:r>
        <w:rPr>
          <w:spacing w:val="-6"/>
          <w:sz w:val="20"/>
        </w:rPr>
        <w:t> </w:t>
      </w:r>
      <w:r>
        <w:rPr>
          <w:sz w:val="20"/>
        </w:rPr>
        <w:t>motivos para considerar falsa la información indicada por los representantes quienes, a su vez, aclararon que no se trata de personas nuevas, sino de las mismas personas que formaron nuevas</w:t>
      </w:r>
      <w:r>
        <w:rPr>
          <w:spacing w:val="-13"/>
          <w:sz w:val="20"/>
        </w:rPr>
        <w:t> </w:t>
      </w:r>
      <w:r>
        <w:rPr>
          <w:sz w:val="20"/>
        </w:rPr>
        <w:t>comunidades.</w:t>
      </w:r>
    </w:p>
    <w:p>
      <w:pPr>
        <w:pStyle w:val="BodyText"/>
      </w:pPr>
    </w:p>
    <w:p>
      <w:pPr>
        <w:pStyle w:val="BodyText"/>
        <w:rPr>
          <w:sz w:val="10"/>
        </w:rPr>
      </w:pPr>
      <w:r>
        <w:rPr/>
        <w:pict>
          <v:line style="position:absolute;mso-position-horizontal-relative:page;mso-position-vertical-relative:paragraph;z-index:1216;mso-wrap-distance-left:0;mso-wrap-distance-right:0" from="85.103996pt,8.417083pt" to="229.123996pt,8.417083pt" stroked="true" strokeweight=".72pt" strokecolor="#000000">
            <v:stroke dashstyle="solid"/>
            <w10:wrap type="topAndBottom"/>
          </v:line>
        </w:pict>
      </w:r>
    </w:p>
    <w:p>
      <w:pPr>
        <w:tabs>
          <w:tab w:pos="829" w:val="left" w:leader="none"/>
        </w:tabs>
        <w:spacing w:before="71"/>
        <w:ind w:left="122" w:right="112" w:firstLine="0"/>
        <w:jc w:val="both"/>
        <w:rPr>
          <w:sz w:val="16"/>
        </w:rPr>
      </w:pPr>
      <w:r>
        <w:rPr>
          <w:position w:val="6"/>
          <w:sz w:val="10"/>
        </w:rPr>
        <w:t>20</w:t>
        <w:tab/>
      </w:r>
      <w:r>
        <w:rPr>
          <w:sz w:val="16"/>
        </w:rPr>
        <w:t>Así,</w:t>
      </w:r>
      <w:r>
        <w:rPr>
          <w:spacing w:val="-5"/>
          <w:sz w:val="16"/>
        </w:rPr>
        <w:t> </w:t>
      </w:r>
      <w:r>
        <w:rPr>
          <w:sz w:val="16"/>
        </w:rPr>
        <w:t>la</w:t>
      </w:r>
      <w:r>
        <w:rPr>
          <w:spacing w:val="-7"/>
          <w:sz w:val="16"/>
        </w:rPr>
        <w:t> </w:t>
      </w:r>
      <w:r>
        <w:rPr>
          <w:sz w:val="16"/>
        </w:rPr>
        <w:t>Corte,</w:t>
      </w:r>
      <w:r>
        <w:rPr>
          <w:spacing w:val="-7"/>
          <w:sz w:val="16"/>
        </w:rPr>
        <w:t> </w:t>
      </w:r>
      <w:r>
        <w:rPr>
          <w:sz w:val="16"/>
        </w:rPr>
        <w:t>de</w:t>
      </w:r>
      <w:r>
        <w:rPr>
          <w:spacing w:val="-6"/>
          <w:sz w:val="16"/>
        </w:rPr>
        <w:t> </w:t>
      </w:r>
      <w:r>
        <w:rPr>
          <w:sz w:val="16"/>
        </w:rPr>
        <w:t>acuerdo</w:t>
      </w:r>
      <w:r>
        <w:rPr>
          <w:spacing w:val="-5"/>
          <w:sz w:val="16"/>
        </w:rPr>
        <w:t> </w:t>
      </w:r>
      <w:r>
        <w:rPr>
          <w:sz w:val="16"/>
        </w:rPr>
        <w:t>su</w:t>
      </w:r>
      <w:r>
        <w:rPr>
          <w:spacing w:val="-7"/>
          <w:sz w:val="16"/>
        </w:rPr>
        <w:t> </w:t>
      </w:r>
      <w:r>
        <w:rPr>
          <w:sz w:val="16"/>
        </w:rPr>
        <w:t>“reitera[da]</w:t>
      </w:r>
      <w:r>
        <w:rPr>
          <w:spacing w:val="-5"/>
          <w:sz w:val="16"/>
        </w:rPr>
        <w:t> </w:t>
      </w:r>
      <w:r>
        <w:rPr>
          <w:sz w:val="16"/>
        </w:rPr>
        <w:t>jurisprudencia”,</w:t>
      </w:r>
      <w:r>
        <w:rPr>
          <w:spacing w:val="-7"/>
          <w:sz w:val="16"/>
        </w:rPr>
        <w:t> </w:t>
      </w:r>
      <w:r>
        <w:rPr>
          <w:sz w:val="16"/>
        </w:rPr>
        <w:t>ha</w:t>
      </w:r>
      <w:r>
        <w:rPr>
          <w:spacing w:val="-9"/>
          <w:sz w:val="16"/>
        </w:rPr>
        <w:t> </w:t>
      </w:r>
      <w:r>
        <w:rPr>
          <w:sz w:val="16"/>
        </w:rPr>
        <w:t>indicado</w:t>
      </w:r>
      <w:r>
        <w:rPr>
          <w:spacing w:val="-5"/>
          <w:sz w:val="16"/>
        </w:rPr>
        <w:t> </w:t>
      </w:r>
      <w:r>
        <w:rPr>
          <w:sz w:val="16"/>
        </w:rPr>
        <w:t>que</w:t>
      </w:r>
      <w:r>
        <w:rPr>
          <w:spacing w:val="-8"/>
          <w:sz w:val="16"/>
        </w:rPr>
        <w:t> </w:t>
      </w:r>
      <w:r>
        <w:rPr>
          <w:sz w:val="16"/>
        </w:rPr>
        <w:t>“las</w:t>
      </w:r>
      <w:r>
        <w:rPr>
          <w:spacing w:val="-6"/>
          <w:sz w:val="16"/>
        </w:rPr>
        <w:t> </w:t>
      </w:r>
      <w:r>
        <w:rPr>
          <w:sz w:val="16"/>
        </w:rPr>
        <w:t>comunidades</w:t>
      </w:r>
      <w:r>
        <w:rPr>
          <w:spacing w:val="-3"/>
          <w:sz w:val="16"/>
        </w:rPr>
        <w:t> </w:t>
      </w:r>
      <w:r>
        <w:rPr>
          <w:sz w:val="16"/>
        </w:rPr>
        <w:t>indígenas</w:t>
      </w:r>
      <w:r>
        <w:rPr>
          <w:w w:val="100"/>
          <w:sz w:val="16"/>
        </w:rPr>
        <w:t> </w:t>
      </w:r>
      <w:r>
        <w:rPr>
          <w:sz w:val="16"/>
        </w:rPr>
        <w:t>son</w:t>
      </w:r>
      <w:r>
        <w:rPr>
          <w:spacing w:val="-9"/>
          <w:sz w:val="16"/>
        </w:rPr>
        <w:t> </w:t>
      </w:r>
      <w:r>
        <w:rPr>
          <w:sz w:val="16"/>
        </w:rPr>
        <w:t>titulares</w:t>
      </w:r>
      <w:r>
        <w:rPr>
          <w:spacing w:val="-8"/>
          <w:sz w:val="16"/>
        </w:rPr>
        <w:t> </w:t>
      </w:r>
      <w:r>
        <w:rPr>
          <w:sz w:val="16"/>
        </w:rPr>
        <w:t>de</w:t>
      </w:r>
      <w:r>
        <w:rPr>
          <w:spacing w:val="-8"/>
          <w:sz w:val="16"/>
        </w:rPr>
        <w:t> </w:t>
      </w:r>
      <w:r>
        <w:rPr>
          <w:sz w:val="16"/>
        </w:rPr>
        <w:t>derechos</w:t>
      </w:r>
      <w:r>
        <w:rPr>
          <w:spacing w:val="-11"/>
          <w:sz w:val="16"/>
        </w:rPr>
        <w:t> </w:t>
      </w:r>
      <w:r>
        <w:rPr>
          <w:sz w:val="16"/>
        </w:rPr>
        <w:t>protegidos</w:t>
      </w:r>
      <w:r>
        <w:rPr>
          <w:spacing w:val="-8"/>
          <w:sz w:val="16"/>
        </w:rPr>
        <w:t> </w:t>
      </w:r>
      <w:r>
        <w:rPr>
          <w:sz w:val="16"/>
        </w:rPr>
        <w:t>por</w:t>
      </w:r>
      <w:r>
        <w:rPr>
          <w:spacing w:val="-8"/>
          <w:sz w:val="16"/>
        </w:rPr>
        <w:t> </w:t>
      </w:r>
      <w:r>
        <w:rPr>
          <w:sz w:val="16"/>
        </w:rPr>
        <w:t>el</w:t>
      </w:r>
      <w:r>
        <w:rPr>
          <w:spacing w:val="-9"/>
          <w:sz w:val="16"/>
        </w:rPr>
        <w:t> </w:t>
      </w:r>
      <w:r>
        <w:rPr>
          <w:sz w:val="16"/>
        </w:rPr>
        <w:t>sistema</w:t>
      </w:r>
      <w:r>
        <w:rPr>
          <w:spacing w:val="-9"/>
          <w:sz w:val="16"/>
        </w:rPr>
        <w:t> </w:t>
      </w:r>
      <w:r>
        <w:rPr>
          <w:sz w:val="16"/>
        </w:rPr>
        <w:t>interamericano</w:t>
      </w:r>
      <w:r>
        <w:rPr>
          <w:spacing w:val="-10"/>
          <w:sz w:val="16"/>
        </w:rPr>
        <w:t> </w:t>
      </w:r>
      <w:r>
        <w:rPr>
          <w:sz w:val="16"/>
        </w:rPr>
        <w:t>y</w:t>
      </w:r>
      <w:r>
        <w:rPr>
          <w:spacing w:val="-10"/>
          <w:sz w:val="16"/>
        </w:rPr>
        <w:t> </w:t>
      </w:r>
      <w:r>
        <w:rPr>
          <w:sz w:val="16"/>
        </w:rPr>
        <w:t>pueden</w:t>
      </w:r>
      <w:r>
        <w:rPr>
          <w:spacing w:val="-9"/>
          <w:sz w:val="16"/>
        </w:rPr>
        <w:t> </w:t>
      </w:r>
      <w:r>
        <w:rPr>
          <w:sz w:val="16"/>
        </w:rPr>
        <w:t>presentarse</w:t>
      </w:r>
      <w:r>
        <w:rPr>
          <w:spacing w:val="-10"/>
          <w:sz w:val="16"/>
        </w:rPr>
        <w:t> </w:t>
      </w:r>
      <w:r>
        <w:rPr>
          <w:sz w:val="16"/>
        </w:rPr>
        <w:t>ante</w:t>
      </w:r>
      <w:r>
        <w:rPr>
          <w:spacing w:val="-8"/>
          <w:sz w:val="16"/>
        </w:rPr>
        <w:t> </w:t>
      </w:r>
      <w:r>
        <w:rPr>
          <w:sz w:val="16"/>
        </w:rPr>
        <w:t>éste</w:t>
      </w:r>
      <w:r>
        <w:rPr>
          <w:spacing w:val="-8"/>
          <w:sz w:val="16"/>
        </w:rPr>
        <w:t> </w:t>
      </w:r>
      <w:r>
        <w:rPr>
          <w:sz w:val="16"/>
        </w:rPr>
        <w:t>en</w:t>
      </w:r>
      <w:r>
        <w:rPr>
          <w:spacing w:val="-11"/>
          <w:sz w:val="16"/>
        </w:rPr>
        <w:t> </w:t>
      </w:r>
      <w:r>
        <w:rPr>
          <w:sz w:val="16"/>
        </w:rPr>
        <w:t>defensa de sus derechos y los de sus miembros” (</w:t>
      </w:r>
      <w:r>
        <w:rPr>
          <w:i/>
          <w:sz w:val="16"/>
        </w:rPr>
        <w:t>cfr. Titularidad de derechos de las personas jurídicas en el Sistema </w:t>
      </w:r>
      <w:r>
        <w:rPr>
          <w:i/>
          <w:sz w:val="16"/>
        </w:rPr>
        <w:t>Interamericano de Derechos Humanos (Interpretación y alcance del artículo 1.2, en relación con los artículos 1.1,</w:t>
      </w:r>
      <w:r>
        <w:rPr>
          <w:i/>
          <w:spacing w:val="-8"/>
          <w:sz w:val="16"/>
        </w:rPr>
        <w:t> </w:t>
      </w:r>
      <w:r>
        <w:rPr>
          <w:i/>
          <w:sz w:val="16"/>
        </w:rPr>
        <w:t>8,</w:t>
      </w:r>
      <w:r>
        <w:rPr>
          <w:i/>
          <w:spacing w:val="-11"/>
          <w:sz w:val="16"/>
        </w:rPr>
        <w:t> </w:t>
      </w:r>
      <w:r>
        <w:rPr>
          <w:i/>
          <w:sz w:val="16"/>
        </w:rPr>
        <w:t>11.2,</w:t>
      </w:r>
      <w:r>
        <w:rPr>
          <w:i/>
          <w:spacing w:val="-8"/>
          <w:sz w:val="16"/>
        </w:rPr>
        <w:t> </w:t>
      </w:r>
      <w:r>
        <w:rPr>
          <w:i/>
          <w:sz w:val="16"/>
        </w:rPr>
        <w:t>13,</w:t>
      </w:r>
      <w:r>
        <w:rPr>
          <w:i/>
          <w:spacing w:val="-8"/>
          <w:sz w:val="16"/>
        </w:rPr>
        <w:t> </w:t>
      </w:r>
      <w:r>
        <w:rPr>
          <w:i/>
          <w:sz w:val="16"/>
        </w:rPr>
        <w:t>16,</w:t>
      </w:r>
      <w:r>
        <w:rPr>
          <w:i/>
          <w:spacing w:val="-11"/>
          <w:sz w:val="16"/>
        </w:rPr>
        <w:t> </w:t>
      </w:r>
      <w:r>
        <w:rPr>
          <w:i/>
          <w:sz w:val="16"/>
        </w:rPr>
        <w:t>21,</w:t>
      </w:r>
      <w:r>
        <w:rPr>
          <w:i/>
          <w:spacing w:val="-11"/>
          <w:sz w:val="16"/>
        </w:rPr>
        <w:t> </w:t>
      </w:r>
      <w:r>
        <w:rPr>
          <w:i/>
          <w:sz w:val="16"/>
        </w:rPr>
        <w:t>24,</w:t>
      </w:r>
      <w:r>
        <w:rPr>
          <w:i/>
          <w:spacing w:val="-11"/>
          <w:sz w:val="16"/>
        </w:rPr>
        <w:t> </w:t>
      </w:r>
      <w:r>
        <w:rPr>
          <w:i/>
          <w:sz w:val="16"/>
        </w:rPr>
        <w:t>25,</w:t>
      </w:r>
      <w:r>
        <w:rPr>
          <w:i/>
          <w:spacing w:val="-8"/>
          <w:sz w:val="16"/>
        </w:rPr>
        <w:t> </w:t>
      </w:r>
      <w:r>
        <w:rPr>
          <w:i/>
          <w:sz w:val="16"/>
        </w:rPr>
        <w:t>29,</w:t>
      </w:r>
      <w:r>
        <w:rPr>
          <w:i/>
          <w:spacing w:val="-8"/>
          <w:sz w:val="16"/>
        </w:rPr>
        <w:t> </w:t>
      </w:r>
      <w:r>
        <w:rPr>
          <w:i/>
          <w:sz w:val="16"/>
        </w:rPr>
        <w:t>30,</w:t>
      </w:r>
      <w:r>
        <w:rPr>
          <w:i/>
          <w:spacing w:val="-11"/>
          <w:sz w:val="16"/>
        </w:rPr>
        <w:t> </w:t>
      </w:r>
      <w:r>
        <w:rPr>
          <w:i/>
          <w:sz w:val="16"/>
        </w:rPr>
        <w:t>44,</w:t>
      </w:r>
      <w:r>
        <w:rPr>
          <w:i/>
          <w:spacing w:val="-11"/>
          <w:sz w:val="16"/>
        </w:rPr>
        <w:t> </w:t>
      </w:r>
      <w:r>
        <w:rPr>
          <w:i/>
          <w:sz w:val="16"/>
        </w:rPr>
        <w:t>46,</w:t>
      </w:r>
      <w:r>
        <w:rPr>
          <w:i/>
          <w:spacing w:val="-11"/>
          <w:sz w:val="16"/>
        </w:rPr>
        <w:t> </w:t>
      </w:r>
      <w:r>
        <w:rPr>
          <w:i/>
          <w:sz w:val="16"/>
        </w:rPr>
        <w:t>y</w:t>
      </w:r>
      <w:r>
        <w:rPr>
          <w:i/>
          <w:spacing w:val="-6"/>
          <w:sz w:val="16"/>
        </w:rPr>
        <w:t> </w:t>
      </w:r>
      <w:r>
        <w:rPr>
          <w:i/>
          <w:sz w:val="16"/>
        </w:rPr>
        <w:t>62.3</w:t>
      </w:r>
      <w:r>
        <w:rPr>
          <w:i/>
          <w:spacing w:val="-9"/>
          <w:sz w:val="16"/>
        </w:rPr>
        <w:t> </w:t>
      </w:r>
      <w:r>
        <w:rPr>
          <w:i/>
          <w:sz w:val="16"/>
        </w:rPr>
        <w:t>de</w:t>
      </w:r>
      <w:r>
        <w:rPr>
          <w:i/>
          <w:spacing w:val="-7"/>
          <w:sz w:val="16"/>
        </w:rPr>
        <w:t> </w:t>
      </w:r>
      <w:r>
        <w:rPr>
          <w:i/>
          <w:sz w:val="16"/>
        </w:rPr>
        <w:t>la</w:t>
      </w:r>
      <w:r>
        <w:rPr>
          <w:i/>
          <w:spacing w:val="-9"/>
          <w:sz w:val="16"/>
        </w:rPr>
        <w:t> </w:t>
      </w:r>
      <w:r>
        <w:rPr>
          <w:i/>
          <w:sz w:val="16"/>
        </w:rPr>
        <w:t>Convención</w:t>
      </w:r>
      <w:r>
        <w:rPr>
          <w:i/>
          <w:spacing w:val="-8"/>
          <w:sz w:val="16"/>
        </w:rPr>
        <w:t> </w:t>
      </w:r>
      <w:r>
        <w:rPr>
          <w:i/>
          <w:sz w:val="16"/>
        </w:rPr>
        <w:t>Americana</w:t>
      </w:r>
      <w:r>
        <w:rPr>
          <w:i/>
          <w:spacing w:val="-8"/>
          <w:sz w:val="16"/>
        </w:rPr>
        <w:t> </w:t>
      </w:r>
      <w:r>
        <w:rPr>
          <w:i/>
          <w:sz w:val="16"/>
        </w:rPr>
        <w:t>sobre</w:t>
      </w:r>
      <w:r>
        <w:rPr>
          <w:i/>
          <w:spacing w:val="-9"/>
          <w:sz w:val="16"/>
        </w:rPr>
        <w:t> </w:t>
      </w:r>
      <w:r>
        <w:rPr>
          <w:i/>
          <w:sz w:val="16"/>
        </w:rPr>
        <w:t>Derechos</w:t>
      </w:r>
      <w:r>
        <w:rPr>
          <w:i/>
          <w:spacing w:val="-7"/>
          <w:sz w:val="16"/>
        </w:rPr>
        <w:t> </w:t>
      </w:r>
      <w:r>
        <w:rPr>
          <w:i/>
          <w:sz w:val="16"/>
        </w:rPr>
        <w:t>Humanos, así</w:t>
      </w:r>
      <w:r>
        <w:rPr>
          <w:i/>
          <w:spacing w:val="-3"/>
          <w:sz w:val="16"/>
        </w:rPr>
        <w:t> </w:t>
      </w:r>
      <w:r>
        <w:rPr>
          <w:i/>
          <w:sz w:val="16"/>
        </w:rPr>
        <w:t>como</w:t>
      </w:r>
      <w:r>
        <w:rPr>
          <w:i/>
          <w:spacing w:val="-2"/>
          <w:sz w:val="16"/>
        </w:rPr>
        <w:t> </w:t>
      </w:r>
      <w:r>
        <w:rPr>
          <w:i/>
          <w:sz w:val="16"/>
        </w:rPr>
        <w:t>del</w:t>
      </w:r>
      <w:r>
        <w:rPr>
          <w:i/>
          <w:spacing w:val="-3"/>
          <w:sz w:val="16"/>
        </w:rPr>
        <w:t> </w:t>
      </w:r>
      <w:r>
        <w:rPr>
          <w:i/>
          <w:sz w:val="16"/>
        </w:rPr>
        <w:t>artículo</w:t>
      </w:r>
      <w:r>
        <w:rPr>
          <w:i/>
          <w:spacing w:val="-4"/>
          <w:sz w:val="16"/>
        </w:rPr>
        <w:t> </w:t>
      </w:r>
      <w:r>
        <w:rPr>
          <w:i/>
          <w:sz w:val="16"/>
        </w:rPr>
        <w:t>8.1</w:t>
      </w:r>
      <w:r>
        <w:rPr>
          <w:i/>
          <w:spacing w:val="-4"/>
          <w:sz w:val="16"/>
        </w:rPr>
        <w:t> </w:t>
      </w:r>
      <w:r>
        <w:rPr>
          <w:i/>
          <w:sz w:val="16"/>
        </w:rPr>
        <w:t>A</w:t>
      </w:r>
      <w:r>
        <w:rPr>
          <w:i/>
          <w:spacing w:val="-4"/>
          <w:sz w:val="16"/>
        </w:rPr>
        <w:t> </w:t>
      </w:r>
      <w:r>
        <w:rPr>
          <w:i/>
          <w:sz w:val="16"/>
        </w:rPr>
        <w:t>y</w:t>
      </w:r>
      <w:r>
        <w:rPr>
          <w:i/>
          <w:spacing w:val="-2"/>
          <w:sz w:val="16"/>
        </w:rPr>
        <w:t> </w:t>
      </w:r>
      <w:r>
        <w:rPr>
          <w:i/>
          <w:sz w:val="16"/>
        </w:rPr>
        <w:t>B</w:t>
      </w:r>
      <w:r>
        <w:rPr>
          <w:i/>
          <w:spacing w:val="-5"/>
          <w:sz w:val="16"/>
        </w:rPr>
        <w:t> </w:t>
      </w:r>
      <w:r>
        <w:rPr>
          <w:i/>
          <w:sz w:val="16"/>
        </w:rPr>
        <w:t>del</w:t>
      </w:r>
      <w:r>
        <w:rPr>
          <w:i/>
          <w:spacing w:val="-3"/>
          <w:sz w:val="16"/>
        </w:rPr>
        <w:t> </w:t>
      </w:r>
      <w:r>
        <w:rPr>
          <w:i/>
          <w:sz w:val="16"/>
        </w:rPr>
        <w:t>Protocolo</w:t>
      </w:r>
      <w:r>
        <w:rPr>
          <w:i/>
          <w:spacing w:val="-4"/>
          <w:sz w:val="16"/>
        </w:rPr>
        <w:t> </w:t>
      </w:r>
      <w:r>
        <w:rPr>
          <w:i/>
          <w:sz w:val="16"/>
        </w:rPr>
        <w:t>de</w:t>
      </w:r>
      <w:r>
        <w:rPr>
          <w:i/>
          <w:spacing w:val="-5"/>
          <w:sz w:val="16"/>
        </w:rPr>
        <w:t> </w:t>
      </w:r>
      <w:r>
        <w:rPr>
          <w:i/>
          <w:sz w:val="16"/>
        </w:rPr>
        <w:t>San</w:t>
      </w:r>
      <w:r>
        <w:rPr>
          <w:i/>
          <w:spacing w:val="-4"/>
          <w:sz w:val="16"/>
        </w:rPr>
        <w:t> </w:t>
      </w:r>
      <w:r>
        <w:rPr>
          <w:i/>
          <w:sz w:val="16"/>
        </w:rPr>
        <w:t>Salvador).</w:t>
      </w:r>
      <w:r>
        <w:rPr>
          <w:i/>
          <w:spacing w:val="1"/>
          <w:sz w:val="16"/>
        </w:rPr>
        <w:t> </w:t>
      </w:r>
      <w:r>
        <w:rPr>
          <w:i/>
          <w:sz w:val="16"/>
        </w:rPr>
        <w:t>Opinión</w:t>
      </w:r>
      <w:r>
        <w:rPr>
          <w:i/>
          <w:spacing w:val="-4"/>
          <w:sz w:val="16"/>
        </w:rPr>
        <w:t> </w:t>
      </w:r>
      <w:r>
        <w:rPr>
          <w:i/>
          <w:sz w:val="16"/>
        </w:rPr>
        <w:t>Consultiva</w:t>
      </w:r>
      <w:r>
        <w:rPr>
          <w:i/>
          <w:spacing w:val="-3"/>
          <w:sz w:val="16"/>
        </w:rPr>
        <w:t> </w:t>
      </w:r>
      <w:r>
        <w:rPr>
          <w:i/>
          <w:sz w:val="16"/>
        </w:rPr>
        <w:t>OC-22/16</w:t>
      </w:r>
      <w:r>
        <w:rPr>
          <w:i/>
          <w:spacing w:val="-4"/>
          <w:sz w:val="16"/>
        </w:rPr>
        <w:t> </w:t>
      </w:r>
      <w:r>
        <w:rPr>
          <w:sz w:val="16"/>
        </w:rPr>
        <w:t>de</w:t>
      </w:r>
      <w:r>
        <w:rPr>
          <w:spacing w:val="-5"/>
          <w:sz w:val="16"/>
        </w:rPr>
        <w:t> </w:t>
      </w:r>
      <w:r>
        <w:rPr>
          <w:sz w:val="16"/>
        </w:rPr>
        <w:t>26</w:t>
      </w:r>
      <w:r>
        <w:rPr>
          <w:spacing w:val="-2"/>
          <w:sz w:val="16"/>
        </w:rPr>
        <w:t> </w:t>
      </w:r>
      <w:r>
        <w:rPr>
          <w:sz w:val="16"/>
        </w:rPr>
        <w:t>de</w:t>
      </w:r>
      <w:r>
        <w:rPr>
          <w:spacing w:val="-2"/>
          <w:sz w:val="16"/>
        </w:rPr>
        <w:t> </w:t>
      </w:r>
      <w:r>
        <w:rPr>
          <w:sz w:val="16"/>
        </w:rPr>
        <w:t>febrero de 2016. Serie A No. 22, párr. 72). La Corte advierte que se ha indicado que las “comunidades” indígenas presuntas víctimas en este caso pertenecen a distintos “pueblos” </w:t>
      </w:r>
      <w:r>
        <w:rPr>
          <w:i/>
          <w:sz w:val="16"/>
        </w:rPr>
        <w:t>(infra </w:t>
      </w:r>
      <w:r>
        <w:rPr>
          <w:sz w:val="16"/>
        </w:rPr>
        <w:t>párr. 47). Es útil aclarar que, aunque el</w:t>
      </w:r>
      <w:r>
        <w:rPr>
          <w:spacing w:val="-8"/>
          <w:sz w:val="16"/>
        </w:rPr>
        <w:t> </w:t>
      </w:r>
      <w:r>
        <w:rPr>
          <w:sz w:val="16"/>
        </w:rPr>
        <w:t>Estado</w:t>
      </w:r>
      <w:r>
        <w:rPr>
          <w:spacing w:val="-9"/>
          <w:sz w:val="16"/>
        </w:rPr>
        <w:t> </w:t>
      </w:r>
      <w:r>
        <w:rPr>
          <w:sz w:val="16"/>
        </w:rPr>
        <w:t>señaló</w:t>
      </w:r>
      <w:r>
        <w:rPr>
          <w:spacing w:val="-9"/>
          <w:sz w:val="16"/>
        </w:rPr>
        <w:t> </w:t>
      </w:r>
      <w:r>
        <w:rPr>
          <w:sz w:val="16"/>
        </w:rPr>
        <w:t>que</w:t>
      </w:r>
      <w:r>
        <w:rPr>
          <w:spacing w:val="-10"/>
          <w:sz w:val="16"/>
        </w:rPr>
        <w:t> </w:t>
      </w:r>
      <w:r>
        <w:rPr>
          <w:sz w:val="16"/>
        </w:rPr>
        <w:t>“pueblo</w:t>
      </w:r>
      <w:r>
        <w:rPr>
          <w:spacing w:val="-9"/>
          <w:sz w:val="16"/>
        </w:rPr>
        <w:t> </w:t>
      </w:r>
      <w:r>
        <w:rPr>
          <w:sz w:val="16"/>
        </w:rPr>
        <w:t>indígena”</w:t>
      </w:r>
      <w:r>
        <w:rPr>
          <w:spacing w:val="-9"/>
          <w:sz w:val="16"/>
        </w:rPr>
        <w:t> </w:t>
      </w:r>
      <w:r>
        <w:rPr>
          <w:sz w:val="16"/>
        </w:rPr>
        <w:t>y</w:t>
      </w:r>
      <w:r>
        <w:rPr>
          <w:spacing w:val="-7"/>
          <w:sz w:val="16"/>
        </w:rPr>
        <w:t> </w:t>
      </w:r>
      <w:r>
        <w:rPr>
          <w:sz w:val="16"/>
        </w:rPr>
        <w:t>“comunidades</w:t>
      </w:r>
      <w:r>
        <w:rPr>
          <w:spacing w:val="-9"/>
          <w:sz w:val="16"/>
        </w:rPr>
        <w:t> </w:t>
      </w:r>
      <w:r>
        <w:rPr>
          <w:sz w:val="16"/>
        </w:rPr>
        <w:t>indígenas”</w:t>
      </w:r>
      <w:r>
        <w:rPr>
          <w:spacing w:val="-9"/>
          <w:sz w:val="16"/>
        </w:rPr>
        <w:t> </w:t>
      </w:r>
      <w:r>
        <w:rPr>
          <w:sz w:val="16"/>
        </w:rPr>
        <w:t>se</w:t>
      </w:r>
      <w:r>
        <w:rPr>
          <w:spacing w:val="-9"/>
          <w:sz w:val="16"/>
        </w:rPr>
        <w:t> </w:t>
      </w:r>
      <w:r>
        <w:rPr>
          <w:sz w:val="16"/>
        </w:rPr>
        <w:t>usan</w:t>
      </w:r>
      <w:r>
        <w:rPr>
          <w:spacing w:val="-11"/>
          <w:sz w:val="16"/>
        </w:rPr>
        <w:t> </w:t>
      </w:r>
      <w:r>
        <w:rPr>
          <w:sz w:val="16"/>
        </w:rPr>
        <w:t>en</w:t>
      </w:r>
      <w:r>
        <w:rPr>
          <w:spacing w:val="-10"/>
          <w:sz w:val="16"/>
        </w:rPr>
        <w:t> </w:t>
      </w:r>
      <w:r>
        <w:rPr>
          <w:sz w:val="16"/>
        </w:rPr>
        <w:t>forma</w:t>
      </w:r>
      <w:r>
        <w:rPr>
          <w:spacing w:val="-11"/>
          <w:sz w:val="16"/>
        </w:rPr>
        <w:t> </w:t>
      </w:r>
      <w:r>
        <w:rPr>
          <w:sz w:val="16"/>
        </w:rPr>
        <w:t>indistinta</w:t>
      </w:r>
      <w:r>
        <w:rPr>
          <w:spacing w:val="-8"/>
          <w:sz w:val="16"/>
        </w:rPr>
        <w:t> </w:t>
      </w:r>
      <w:r>
        <w:rPr>
          <w:sz w:val="16"/>
        </w:rPr>
        <w:t>en</w:t>
      </w:r>
      <w:r>
        <w:rPr>
          <w:spacing w:val="-8"/>
          <w:sz w:val="16"/>
        </w:rPr>
        <w:t> </w:t>
      </w:r>
      <w:r>
        <w:rPr>
          <w:sz w:val="16"/>
        </w:rPr>
        <w:t>la</w:t>
      </w:r>
      <w:r>
        <w:rPr>
          <w:spacing w:val="-8"/>
          <w:sz w:val="16"/>
        </w:rPr>
        <w:t> </w:t>
      </w:r>
      <w:r>
        <w:rPr>
          <w:sz w:val="16"/>
        </w:rPr>
        <w:t>legislación argentina, hay legislación interna de la que parecería inferirse que se ha entendido la voz “pueblo” </w:t>
      </w:r>
      <w:r>
        <w:rPr>
          <w:spacing w:val="-3"/>
          <w:sz w:val="16"/>
        </w:rPr>
        <w:t>como  </w:t>
      </w:r>
      <w:r>
        <w:rPr>
          <w:sz w:val="16"/>
        </w:rPr>
        <w:t>abarcadora de un conjunto mayor que el que indica la palabra “comunidad” (así surge de la Resolución 328/2010 del Instituto Nacional de Asuntos Indígenas, que habla de “comunidades” como integrantes de “pueblos” (</w:t>
      </w:r>
      <w:r>
        <w:rPr>
          <w:i/>
          <w:sz w:val="16"/>
        </w:rPr>
        <w:t>infra </w:t>
      </w:r>
      <w:r>
        <w:rPr>
          <w:sz w:val="16"/>
        </w:rPr>
        <w:t>párr. 54). En similar sentido, la Declaración Americana sobre los Derechos de los Pueblos Indígenas (aprobada el 14 de junio de 2016 - AG/RES. 2888 (XLVI-O/16)), en su artículo VIII dice que “[l]as personas y comunidades indígenas tienen el derecho de pertenecer a uno o varios pueblos indígenas, de acuerdo con la identidad, tradiciones, costumbres y sistemas de pertenencia de cada pueblo. Del ejercicio de ese derecho no puede resultar discriminación de ningún tipo”. De este modo, a efectos de este caso, la Corte entiende la palabra “comunidad” como voz que designa una unidad, en cuya integración hay personas o familias identificadas como indígenas, que pertenece a un “pueblo” indígena, o a</w:t>
      </w:r>
      <w:r>
        <w:rPr>
          <w:spacing w:val="-27"/>
          <w:sz w:val="16"/>
        </w:rPr>
        <w:t> </w:t>
      </w:r>
      <w:r>
        <w:rPr>
          <w:sz w:val="16"/>
        </w:rPr>
        <w:t>varios.</w:t>
      </w:r>
    </w:p>
    <w:p>
      <w:pPr>
        <w:pStyle w:val="BodyText"/>
        <w:spacing w:before="11"/>
        <w:rPr>
          <w:sz w:val="15"/>
        </w:rPr>
      </w:pPr>
    </w:p>
    <w:p>
      <w:pPr>
        <w:tabs>
          <w:tab w:pos="829" w:val="left" w:leader="none"/>
        </w:tabs>
        <w:spacing w:line="242" w:lineRule="auto" w:before="0"/>
        <w:ind w:left="122" w:right="117" w:firstLine="0"/>
        <w:jc w:val="both"/>
        <w:rPr>
          <w:sz w:val="16"/>
        </w:rPr>
      </w:pPr>
      <w:r>
        <w:rPr>
          <w:position w:val="6"/>
          <w:sz w:val="10"/>
        </w:rPr>
        <w:t>21</w:t>
        <w:tab/>
      </w:r>
      <w:r>
        <w:rPr>
          <w:i/>
          <w:sz w:val="16"/>
        </w:rPr>
        <w:t>Caso</w:t>
      </w:r>
      <w:r>
        <w:rPr>
          <w:i/>
          <w:spacing w:val="16"/>
          <w:sz w:val="16"/>
        </w:rPr>
        <w:t> </w:t>
      </w:r>
      <w:r>
        <w:rPr>
          <w:i/>
          <w:sz w:val="16"/>
        </w:rPr>
        <w:t>Masacres</w:t>
      </w:r>
      <w:r>
        <w:rPr>
          <w:i/>
          <w:spacing w:val="18"/>
          <w:sz w:val="16"/>
        </w:rPr>
        <w:t> </w:t>
      </w:r>
      <w:r>
        <w:rPr>
          <w:i/>
          <w:sz w:val="16"/>
        </w:rPr>
        <w:t>de</w:t>
      </w:r>
      <w:r>
        <w:rPr>
          <w:i/>
          <w:spacing w:val="18"/>
          <w:sz w:val="16"/>
        </w:rPr>
        <w:t> </w:t>
      </w:r>
      <w:r>
        <w:rPr>
          <w:i/>
          <w:sz w:val="16"/>
        </w:rPr>
        <w:t>Río</w:t>
      </w:r>
      <w:r>
        <w:rPr>
          <w:i/>
          <w:spacing w:val="16"/>
          <w:sz w:val="16"/>
        </w:rPr>
        <w:t> </w:t>
      </w:r>
      <w:r>
        <w:rPr>
          <w:i/>
          <w:sz w:val="16"/>
        </w:rPr>
        <w:t>Negro</w:t>
      </w:r>
      <w:r>
        <w:rPr>
          <w:i/>
          <w:spacing w:val="16"/>
          <w:sz w:val="16"/>
        </w:rPr>
        <w:t> </w:t>
      </w:r>
      <w:r>
        <w:rPr>
          <w:i/>
          <w:sz w:val="16"/>
        </w:rPr>
        <w:t>Vs.</w:t>
      </w:r>
      <w:r>
        <w:rPr>
          <w:i/>
          <w:spacing w:val="17"/>
          <w:sz w:val="16"/>
        </w:rPr>
        <w:t> </w:t>
      </w:r>
      <w:r>
        <w:rPr>
          <w:i/>
          <w:sz w:val="16"/>
        </w:rPr>
        <w:t>Guatemala.</w:t>
      </w:r>
      <w:r>
        <w:rPr>
          <w:i/>
          <w:spacing w:val="17"/>
          <w:sz w:val="16"/>
        </w:rPr>
        <w:t> </w:t>
      </w:r>
      <w:r>
        <w:rPr>
          <w:i/>
          <w:sz w:val="16"/>
        </w:rPr>
        <w:t>Excepción</w:t>
      </w:r>
      <w:r>
        <w:rPr>
          <w:i/>
          <w:spacing w:val="17"/>
          <w:sz w:val="16"/>
        </w:rPr>
        <w:t> </w:t>
      </w:r>
      <w:r>
        <w:rPr>
          <w:i/>
          <w:sz w:val="16"/>
        </w:rPr>
        <w:t>Preliminar,</w:t>
      </w:r>
      <w:r>
        <w:rPr>
          <w:i/>
          <w:spacing w:val="17"/>
          <w:sz w:val="16"/>
        </w:rPr>
        <w:t> </w:t>
      </w:r>
      <w:r>
        <w:rPr>
          <w:i/>
          <w:sz w:val="16"/>
        </w:rPr>
        <w:t>Fondo,</w:t>
      </w:r>
      <w:r>
        <w:rPr>
          <w:i/>
          <w:spacing w:val="17"/>
          <w:sz w:val="16"/>
        </w:rPr>
        <w:t> </w:t>
      </w:r>
      <w:r>
        <w:rPr>
          <w:i/>
          <w:sz w:val="16"/>
        </w:rPr>
        <w:t>Reparaciones</w:t>
      </w:r>
      <w:r>
        <w:rPr>
          <w:i/>
          <w:spacing w:val="18"/>
          <w:sz w:val="16"/>
        </w:rPr>
        <w:t> </w:t>
      </w:r>
      <w:r>
        <w:rPr>
          <w:i/>
          <w:sz w:val="16"/>
        </w:rPr>
        <w:t>y</w:t>
      </w:r>
      <w:r>
        <w:rPr>
          <w:i/>
          <w:spacing w:val="16"/>
          <w:sz w:val="16"/>
        </w:rPr>
        <w:t> </w:t>
      </w:r>
      <w:r>
        <w:rPr>
          <w:i/>
          <w:sz w:val="16"/>
        </w:rPr>
        <w:t>Costas.</w:t>
      </w:r>
      <w:r>
        <w:rPr>
          <w:i/>
          <w:w w:val="100"/>
          <w:sz w:val="16"/>
        </w:rPr>
        <w:t> </w:t>
      </w:r>
      <w:r>
        <w:rPr>
          <w:sz w:val="16"/>
        </w:rPr>
        <w:t>Sentencia de 4 septiembre de 2012. Serie C No. 250, párr. 48, y </w:t>
      </w:r>
      <w:r>
        <w:rPr>
          <w:i/>
          <w:sz w:val="16"/>
        </w:rPr>
        <w:t>Caso Coc Max y otros (Masacre de Xamán) </w:t>
      </w:r>
      <w:r>
        <w:rPr>
          <w:i/>
          <w:sz w:val="16"/>
        </w:rPr>
        <w:t>Vs.</w:t>
      </w:r>
      <w:r>
        <w:rPr>
          <w:i/>
          <w:spacing w:val="-6"/>
          <w:sz w:val="16"/>
        </w:rPr>
        <w:t> </w:t>
      </w:r>
      <w:r>
        <w:rPr>
          <w:i/>
          <w:sz w:val="16"/>
        </w:rPr>
        <w:t>Guatemala.</w:t>
      </w:r>
      <w:r>
        <w:rPr>
          <w:i/>
          <w:spacing w:val="-4"/>
          <w:sz w:val="16"/>
        </w:rPr>
        <w:t> </w:t>
      </w:r>
      <w:r>
        <w:rPr>
          <w:i/>
          <w:sz w:val="16"/>
        </w:rPr>
        <w:t>Fondo,</w:t>
      </w:r>
      <w:r>
        <w:rPr>
          <w:i/>
          <w:spacing w:val="-6"/>
          <w:sz w:val="16"/>
        </w:rPr>
        <w:t> </w:t>
      </w:r>
      <w:r>
        <w:rPr>
          <w:i/>
          <w:sz w:val="16"/>
        </w:rPr>
        <w:t>Reparaciones</w:t>
      </w:r>
      <w:r>
        <w:rPr>
          <w:i/>
          <w:spacing w:val="-5"/>
          <w:sz w:val="16"/>
        </w:rPr>
        <w:t> </w:t>
      </w:r>
      <w:r>
        <w:rPr>
          <w:i/>
          <w:sz w:val="16"/>
        </w:rPr>
        <w:t>y</w:t>
      </w:r>
      <w:r>
        <w:rPr>
          <w:i/>
          <w:spacing w:val="-4"/>
          <w:sz w:val="16"/>
        </w:rPr>
        <w:t> </w:t>
      </w:r>
      <w:r>
        <w:rPr>
          <w:i/>
          <w:sz w:val="16"/>
        </w:rPr>
        <w:t>Costas.</w:t>
      </w:r>
      <w:r>
        <w:rPr>
          <w:i/>
          <w:spacing w:val="-4"/>
          <w:sz w:val="16"/>
        </w:rPr>
        <w:t> </w:t>
      </w:r>
      <w:r>
        <w:rPr>
          <w:sz w:val="16"/>
        </w:rPr>
        <w:t>Sentencia</w:t>
      </w:r>
      <w:r>
        <w:rPr>
          <w:spacing w:val="-6"/>
          <w:sz w:val="16"/>
        </w:rPr>
        <w:t> </w:t>
      </w:r>
      <w:r>
        <w:rPr>
          <w:sz w:val="16"/>
        </w:rPr>
        <w:t>de</w:t>
      </w:r>
      <w:r>
        <w:rPr>
          <w:spacing w:val="-7"/>
          <w:sz w:val="16"/>
        </w:rPr>
        <w:t> </w:t>
      </w:r>
      <w:r>
        <w:rPr>
          <w:sz w:val="16"/>
        </w:rPr>
        <w:t>22</w:t>
      </w:r>
      <w:r>
        <w:rPr>
          <w:spacing w:val="-4"/>
          <w:sz w:val="16"/>
        </w:rPr>
        <w:t> </w:t>
      </w:r>
      <w:r>
        <w:rPr>
          <w:sz w:val="16"/>
        </w:rPr>
        <w:t>de</w:t>
      </w:r>
      <w:r>
        <w:rPr>
          <w:spacing w:val="-5"/>
          <w:sz w:val="16"/>
        </w:rPr>
        <w:t> </w:t>
      </w:r>
      <w:r>
        <w:rPr>
          <w:sz w:val="16"/>
        </w:rPr>
        <w:t>agosto</w:t>
      </w:r>
      <w:r>
        <w:rPr>
          <w:spacing w:val="-4"/>
          <w:sz w:val="16"/>
        </w:rPr>
        <w:t> </w:t>
      </w:r>
      <w:r>
        <w:rPr>
          <w:sz w:val="16"/>
        </w:rPr>
        <w:t>de</w:t>
      </w:r>
      <w:r>
        <w:rPr>
          <w:spacing w:val="-7"/>
          <w:sz w:val="16"/>
        </w:rPr>
        <w:t> </w:t>
      </w:r>
      <w:r>
        <w:rPr>
          <w:sz w:val="16"/>
        </w:rPr>
        <w:t>2018.</w:t>
      </w:r>
      <w:r>
        <w:rPr>
          <w:spacing w:val="-6"/>
          <w:sz w:val="16"/>
        </w:rPr>
        <w:t> </w:t>
      </w:r>
      <w:r>
        <w:rPr>
          <w:sz w:val="16"/>
        </w:rPr>
        <w:t>Serie</w:t>
      </w:r>
      <w:r>
        <w:rPr>
          <w:spacing w:val="-7"/>
          <w:sz w:val="16"/>
        </w:rPr>
        <w:t> </w:t>
      </w:r>
      <w:r>
        <w:rPr>
          <w:sz w:val="16"/>
        </w:rPr>
        <w:t>C</w:t>
      </w:r>
      <w:r>
        <w:rPr>
          <w:spacing w:val="-4"/>
          <w:sz w:val="16"/>
        </w:rPr>
        <w:t> </w:t>
      </w:r>
      <w:r>
        <w:rPr>
          <w:sz w:val="16"/>
        </w:rPr>
        <w:t>No.</w:t>
      </w:r>
      <w:r>
        <w:rPr>
          <w:spacing w:val="-8"/>
          <w:sz w:val="16"/>
        </w:rPr>
        <w:t> </w:t>
      </w:r>
      <w:r>
        <w:rPr>
          <w:sz w:val="16"/>
        </w:rPr>
        <w:t>356,</w:t>
      </w:r>
      <w:r>
        <w:rPr>
          <w:spacing w:val="-6"/>
          <w:sz w:val="16"/>
        </w:rPr>
        <w:t> </w:t>
      </w:r>
      <w:r>
        <w:rPr>
          <w:sz w:val="16"/>
        </w:rPr>
        <w:t>párr.</w:t>
      </w:r>
      <w:r>
        <w:rPr>
          <w:spacing w:val="-6"/>
          <w:sz w:val="16"/>
        </w:rPr>
        <w:t> </w:t>
      </w:r>
      <w:r>
        <w:rPr>
          <w:sz w:val="16"/>
        </w:rPr>
        <w:t>16.</w:t>
      </w:r>
    </w:p>
    <w:p>
      <w:pPr>
        <w:spacing w:after="0" w:line="242" w:lineRule="auto"/>
        <w:jc w:val="both"/>
        <w:rPr>
          <w:sz w:val="16"/>
        </w:rPr>
        <w:sectPr>
          <w:pgSz w:w="12240" w:h="15840"/>
          <w:pgMar w:header="0" w:footer="1000" w:top="1340" w:bottom="1200" w:left="1580" w:right="1580"/>
        </w:sectPr>
      </w:pPr>
    </w:p>
    <w:p>
      <w:pPr>
        <w:pStyle w:val="ListParagraph"/>
        <w:numPr>
          <w:ilvl w:val="0"/>
          <w:numId w:val="14"/>
        </w:numPr>
        <w:tabs>
          <w:tab w:pos="830" w:val="left" w:leader="none"/>
        </w:tabs>
        <w:spacing w:line="240" w:lineRule="auto" w:before="76" w:after="0"/>
        <w:ind w:left="122" w:right="121" w:hanging="12"/>
        <w:jc w:val="both"/>
        <w:rPr>
          <w:sz w:val="20"/>
        </w:rPr>
      </w:pPr>
      <w:r>
        <w:rPr>
          <w:sz w:val="20"/>
        </w:rPr>
        <w:t>Se ha señalado que las variaciones de cantidad obedecen a las propias características de los pueblos involucrados, pues se trata de comunidades nómadas, cuya estructura social ancestral involucra la dinámica denominada de “fisión-fusión”</w:t>
      </w:r>
      <w:r>
        <w:rPr>
          <w:position w:val="7"/>
          <w:sz w:val="13"/>
        </w:rPr>
        <w:t>22</w:t>
      </w:r>
      <w:r>
        <w:rPr>
          <w:sz w:val="20"/>
        </w:rPr>
        <w:t>. Esto no surge solo de señalamientos de los representantes y de la Comisión, sino también de prueba pericial. Así, la perita Naharro ha dicho que “resulta muy dificultoso calcular el número exacto de comunidades, ya que esta cifra es muy cambiante, dado que los procesos de fisión y fusión de las unidades residenciales forman parte del principal repertorio social destinado a mantener la</w:t>
      </w:r>
      <w:r>
        <w:rPr>
          <w:spacing w:val="-20"/>
          <w:sz w:val="20"/>
        </w:rPr>
        <w:t> </w:t>
      </w:r>
      <w:r>
        <w:rPr>
          <w:sz w:val="20"/>
        </w:rPr>
        <w:t>convivencia”.</w:t>
      </w:r>
    </w:p>
    <w:p>
      <w:pPr>
        <w:pStyle w:val="BodyText"/>
      </w:pPr>
    </w:p>
    <w:p>
      <w:pPr>
        <w:pStyle w:val="ListParagraph"/>
        <w:numPr>
          <w:ilvl w:val="0"/>
          <w:numId w:val="14"/>
        </w:numPr>
        <w:tabs>
          <w:tab w:pos="830" w:val="left" w:leader="none"/>
        </w:tabs>
        <w:spacing w:line="240" w:lineRule="auto" w:before="0" w:after="0"/>
        <w:ind w:left="122" w:right="123" w:hanging="12"/>
        <w:jc w:val="both"/>
        <w:rPr>
          <w:sz w:val="20"/>
        </w:rPr>
      </w:pPr>
      <w:r>
        <w:rPr>
          <w:sz w:val="20"/>
        </w:rPr>
        <w:t>La</w:t>
      </w:r>
      <w:r>
        <w:rPr>
          <w:spacing w:val="-9"/>
          <w:sz w:val="20"/>
        </w:rPr>
        <w:t> </w:t>
      </w:r>
      <w:r>
        <w:rPr>
          <w:sz w:val="20"/>
        </w:rPr>
        <w:t>dificultad</w:t>
      </w:r>
      <w:r>
        <w:rPr>
          <w:spacing w:val="-8"/>
          <w:sz w:val="20"/>
        </w:rPr>
        <w:t> </w:t>
      </w:r>
      <w:r>
        <w:rPr>
          <w:sz w:val="20"/>
        </w:rPr>
        <w:t>expresada</w:t>
      </w:r>
      <w:r>
        <w:rPr>
          <w:spacing w:val="-6"/>
          <w:sz w:val="20"/>
        </w:rPr>
        <w:t> </w:t>
      </w:r>
      <w:r>
        <w:rPr>
          <w:sz w:val="20"/>
        </w:rPr>
        <w:t>se</w:t>
      </w:r>
      <w:r>
        <w:rPr>
          <w:spacing w:val="-11"/>
          <w:sz w:val="20"/>
        </w:rPr>
        <w:t> </w:t>
      </w:r>
      <w:r>
        <w:rPr>
          <w:sz w:val="20"/>
        </w:rPr>
        <w:t>vincula</w:t>
      </w:r>
      <w:r>
        <w:rPr>
          <w:spacing w:val="-5"/>
          <w:sz w:val="20"/>
        </w:rPr>
        <w:t> </w:t>
      </w:r>
      <w:r>
        <w:rPr>
          <w:sz w:val="20"/>
        </w:rPr>
        <w:t>con</w:t>
      </w:r>
      <w:r>
        <w:rPr>
          <w:spacing w:val="-8"/>
          <w:sz w:val="20"/>
        </w:rPr>
        <w:t> </w:t>
      </w:r>
      <w:r>
        <w:rPr>
          <w:sz w:val="20"/>
        </w:rPr>
        <w:t>las</w:t>
      </w:r>
      <w:r>
        <w:rPr>
          <w:spacing w:val="-9"/>
          <w:sz w:val="20"/>
        </w:rPr>
        <w:t> </w:t>
      </w:r>
      <w:r>
        <w:rPr>
          <w:sz w:val="20"/>
        </w:rPr>
        <w:t>características</w:t>
      </w:r>
      <w:r>
        <w:rPr>
          <w:spacing w:val="-10"/>
          <w:sz w:val="20"/>
        </w:rPr>
        <w:t> </w:t>
      </w:r>
      <w:r>
        <w:rPr>
          <w:sz w:val="20"/>
        </w:rPr>
        <w:t>culturales</w:t>
      </w:r>
      <w:r>
        <w:rPr>
          <w:spacing w:val="-10"/>
          <w:sz w:val="20"/>
        </w:rPr>
        <w:t> </w:t>
      </w:r>
      <w:r>
        <w:rPr>
          <w:sz w:val="20"/>
        </w:rPr>
        <w:t>propias</w:t>
      </w:r>
      <w:r>
        <w:rPr>
          <w:spacing w:val="-9"/>
          <w:sz w:val="20"/>
        </w:rPr>
        <w:t> </w:t>
      </w:r>
      <w:r>
        <w:rPr>
          <w:sz w:val="20"/>
        </w:rPr>
        <w:t>de</w:t>
      </w:r>
      <w:r>
        <w:rPr>
          <w:spacing w:val="-10"/>
          <w:sz w:val="20"/>
        </w:rPr>
        <w:t> </w:t>
      </w:r>
      <w:r>
        <w:rPr>
          <w:sz w:val="20"/>
        </w:rPr>
        <w:t>las comunidades indígenas. Esto es una situación de hecho que, como tal, resulta independiente de delimitaciones formales que pudieran establecerse por motivos pragmáticos, tales como los que se desprenden del argumento estatal sobre la “complejidad” que podría presentar la falta de determinación precisa (</w:t>
      </w:r>
      <w:r>
        <w:rPr>
          <w:i/>
          <w:sz w:val="20"/>
        </w:rPr>
        <w:t>supra </w:t>
      </w:r>
      <w:r>
        <w:rPr>
          <w:sz w:val="20"/>
        </w:rPr>
        <w:t>párr. 29). Delimitar las presuntas víctimas desconociendo las características culturales propias de las comunidades referidas sería contradictorio con la tutela de los derechos de pueblos y comunidades indígenas, que tiene por base la identidad cultural de los mismos; además,</w:t>
      </w:r>
      <w:r>
        <w:rPr>
          <w:spacing w:val="-4"/>
          <w:sz w:val="20"/>
        </w:rPr>
        <w:t> </w:t>
      </w:r>
      <w:r>
        <w:rPr>
          <w:sz w:val="20"/>
        </w:rPr>
        <w:t>podría</w:t>
      </w:r>
      <w:r>
        <w:rPr>
          <w:spacing w:val="-5"/>
          <w:sz w:val="20"/>
        </w:rPr>
        <w:t> </w:t>
      </w:r>
      <w:r>
        <w:rPr>
          <w:sz w:val="20"/>
        </w:rPr>
        <w:t>afectar</w:t>
      </w:r>
      <w:r>
        <w:rPr>
          <w:spacing w:val="-7"/>
          <w:sz w:val="20"/>
        </w:rPr>
        <w:t> </w:t>
      </w:r>
      <w:r>
        <w:rPr>
          <w:sz w:val="20"/>
        </w:rPr>
        <w:t>la</w:t>
      </w:r>
      <w:r>
        <w:rPr>
          <w:spacing w:val="-5"/>
          <w:sz w:val="20"/>
        </w:rPr>
        <w:t> </w:t>
      </w:r>
      <w:r>
        <w:rPr>
          <w:sz w:val="20"/>
        </w:rPr>
        <w:t>eficacia</w:t>
      </w:r>
      <w:r>
        <w:rPr>
          <w:spacing w:val="-5"/>
          <w:sz w:val="20"/>
        </w:rPr>
        <w:t> </w:t>
      </w:r>
      <w:r>
        <w:rPr>
          <w:sz w:val="20"/>
        </w:rPr>
        <w:t>de</w:t>
      </w:r>
      <w:r>
        <w:rPr>
          <w:spacing w:val="-7"/>
          <w:sz w:val="20"/>
        </w:rPr>
        <w:t> </w:t>
      </w:r>
      <w:r>
        <w:rPr>
          <w:sz w:val="20"/>
        </w:rPr>
        <w:t>la</w:t>
      </w:r>
      <w:r>
        <w:rPr>
          <w:spacing w:val="-5"/>
          <w:sz w:val="20"/>
        </w:rPr>
        <w:t> </w:t>
      </w:r>
      <w:r>
        <w:rPr>
          <w:sz w:val="20"/>
        </w:rPr>
        <w:t>decisión</w:t>
      </w:r>
      <w:r>
        <w:rPr>
          <w:spacing w:val="-3"/>
          <w:sz w:val="20"/>
        </w:rPr>
        <w:t> </w:t>
      </w:r>
      <w:r>
        <w:rPr>
          <w:sz w:val="20"/>
        </w:rPr>
        <w:t>de</w:t>
      </w:r>
      <w:r>
        <w:rPr>
          <w:spacing w:val="-7"/>
          <w:sz w:val="20"/>
        </w:rPr>
        <w:t> </w:t>
      </w:r>
      <w:r>
        <w:rPr>
          <w:sz w:val="20"/>
        </w:rPr>
        <w:t>la</w:t>
      </w:r>
      <w:r>
        <w:rPr>
          <w:spacing w:val="-5"/>
          <w:sz w:val="20"/>
        </w:rPr>
        <w:t> </w:t>
      </w:r>
      <w:r>
        <w:rPr>
          <w:sz w:val="20"/>
        </w:rPr>
        <w:t>Corte,</w:t>
      </w:r>
      <w:r>
        <w:rPr>
          <w:spacing w:val="-6"/>
          <w:sz w:val="20"/>
        </w:rPr>
        <w:t> </w:t>
      </w:r>
      <w:r>
        <w:rPr>
          <w:sz w:val="20"/>
        </w:rPr>
        <w:t>que</w:t>
      </w:r>
      <w:r>
        <w:rPr>
          <w:spacing w:val="-7"/>
          <w:sz w:val="20"/>
        </w:rPr>
        <w:t> </w:t>
      </w:r>
      <w:r>
        <w:rPr>
          <w:sz w:val="20"/>
        </w:rPr>
        <w:t>quedaría</w:t>
      </w:r>
      <w:r>
        <w:rPr>
          <w:spacing w:val="-5"/>
          <w:sz w:val="20"/>
        </w:rPr>
        <w:t> </w:t>
      </w:r>
      <w:r>
        <w:rPr>
          <w:sz w:val="20"/>
        </w:rPr>
        <w:t>circunscrita</w:t>
      </w:r>
      <w:r>
        <w:rPr>
          <w:spacing w:val="-5"/>
          <w:sz w:val="20"/>
        </w:rPr>
        <w:t> </w:t>
      </w:r>
      <w:r>
        <w:rPr>
          <w:sz w:val="20"/>
        </w:rPr>
        <w:t>a un conjunto de comunidades definido sobre bases meramente formales, no necesariamente correlativas a la realidad de los</w:t>
      </w:r>
      <w:r>
        <w:rPr>
          <w:spacing w:val="-21"/>
          <w:sz w:val="20"/>
        </w:rPr>
        <w:t> </w:t>
      </w:r>
      <w:r>
        <w:rPr>
          <w:sz w:val="20"/>
        </w:rPr>
        <w:t>hechos.</w:t>
      </w:r>
    </w:p>
    <w:p>
      <w:pPr>
        <w:pStyle w:val="BodyText"/>
        <w:spacing w:before="10"/>
        <w:rPr>
          <w:sz w:val="19"/>
        </w:rPr>
      </w:pPr>
    </w:p>
    <w:p>
      <w:pPr>
        <w:pStyle w:val="ListParagraph"/>
        <w:numPr>
          <w:ilvl w:val="0"/>
          <w:numId w:val="14"/>
        </w:numPr>
        <w:tabs>
          <w:tab w:pos="830" w:val="left" w:leader="none"/>
        </w:tabs>
        <w:spacing w:line="240" w:lineRule="auto" w:before="0" w:after="0"/>
        <w:ind w:left="830" w:right="0" w:hanging="720"/>
        <w:jc w:val="both"/>
        <w:rPr>
          <w:sz w:val="20"/>
        </w:rPr>
      </w:pPr>
      <w:r>
        <w:rPr>
          <w:sz w:val="20"/>
        </w:rPr>
        <w:t>Este</w:t>
      </w:r>
      <w:r>
        <w:rPr>
          <w:spacing w:val="-11"/>
          <w:sz w:val="20"/>
        </w:rPr>
        <w:t> </w:t>
      </w:r>
      <w:r>
        <w:rPr>
          <w:sz w:val="20"/>
        </w:rPr>
        <w:t>Tribunal</w:t>
      </w:r>
      <w:r>
        <w:rPr>
          <w:spacing w:val="-9"/>
          <w:sz w:val="20"/>
        </w:rPr>
        <w:t> </w:t>
      </w:r>
      <w:r>
        <w:rPr>
          <w:sz w:val="20"/>
        </w:rPr>
        <w:t>encuentra</w:t>
      </w:r>
      <w:r>
        <w:rPr>
          <w:spacing w:val="-10"/>
          <w:sz w:val="20"/>
        </w:rPr>
        <w:t> </w:t>
      </w:r>
      <w:r>
        <w:rPr>
          <w:sz w:val="20"/>
        </w:rPr>
        <w:t>que</w:t>
      </w:r>
      <w:r>
        <w:rPr>
          <w:spacing w:val="-12"/>
          <w:sz w:val="20"/>
        </w:rPr>
        <w:t> </w:t>
      </w:r>
      <w:r>
        <w:rPr>
          <w:sz w:val="20"/>
        </w:rPr>
        <w:t>el</w:t>
      </w:r>
      <w:r>
        <w:rPr>
          <w:spacing w:val="-10"/>
          <w:sz w:val="20"/>
        </w:rPr>
        <w:t> </w:t>
      </w:r>
      <w:r>
        <w:rPr>
          <w:sz w:val="20"/>
        </w:rPr>
        <w:t>caso</w:t>
      </w:r>
      <w:r>
        <w:rPr>
          <w:spacing w:val="-11"/>
          <w:sz w:val="20"/>
        </w:rPr>
        <w:t> </w:t>
      </w:r>
      <w:r>
        <w:rPr>
          <w:sz w:val="20"/>
        </w:rPr>
        <w:t>es</w:t>
      </w:r>
      <w:r>
        <w:rPr>
          <w:spacing w:val="-11"/>
          <w:sz w:val="20"/>
        </w:rPr>
        <w:t> </w:t>
      </w:r>
      <w:r>
        <w:rPr>
          <w:sz w:val="20"/>
        </w:rPr>
        <w:t>colectivo</w:t>
      </w:r>
      <w:r>
        <w:rPr>
          <w:spacing w:val="-6"/>
          <w:sz w:val="20"/>
        </w:rPr>
        <w:t> </w:t>
      </w:r>
      <w:r>
        <w:rPr>
          <w:sz w:val="20"/>
        </w:rPr>
        <w:t>y</w:t>
      </w:r>
      <w:r>
        <w:rPr>
          <w:spacing w:val="-13"/>
          <w:sz w:val="20"/>
        </w:rPr>
        <w:t> </w:t>
      </w:r>
      <w:r>
        <w:rPr>
          <w:sz w:val="20"/>
        </w:rPr>
        <w:t>que</w:t>
      </w:r>
      <w:r>
        <w:rPr>
          <w:spacing w:val="-9"/>
          <w:sz w:val="20"/>
        </w:rPr>
        <w:t> </w:t>
      </w:r>
      <w:r>
        <w:rPr>
          <w:sz w:val="20"/>
        </w:rPr>
        <w:t>resulta</w:t>
      </w:r>
      <w:r>
        <w:rPr>
          <w:spacing w:val="-12"/>
          <w:sz w:val="20"/>
        </w:rPr>
        <w:t> </w:t>
      </w:r>
      <w:r>
        <w:rPr>
          <w:sz w:val="20"/>
        </w:rPr>
        <w:t>aplicable</w:t>
      </w:r>
      <w:r>
        <w:rPr>
          <w:spacing w:val="-12"/>
          <w:sz w:val="20"/>
        </w:rPr>
        <w:t> </w:t>
      </w:r>
      <w:r>
        <w:rPr>
          <w:sz w:val="20"/>
        </w:rPr>
        <w:t>el</w:t>
      </w:r>
      <w:r>
        <w:rPr>
          <w:spacing w:val="-13"/>
          <w:sz w:val="20"/>
        </w:rPr>
        <w:t> </w:t>
      </w:r>
      <w:r>
        <w:rPr>
          <w:sz w:val="20"/>
        </w:rPr>
        <w:t>artículo</w:t>
      </w:r>
    </w:p>
    <w:p>
      <w:pPr>
        <w:pStyle w:val="BodyText"/>
        <w:spacing w:before="1"/>
        <w:ind w:left="122" w:right="121"/>
        <w:jc w:val="both"/>
      </w:pPr>
      <w:r>
        <w:rPr/>
        <w:t>35.2 del Reglamento. La Corte considera presuntas víctimas a todas las comunidades indígenas indicadas por los representantes en sus alegatos finales escritos que habitan en la tierra antes señalada como “lotes fiscales 14 y 55” y actualmente identificada con las matrículas catastrales 175 y 5557, del Departamento Rivadavia de la Provincia de Salta (</w:t>
      </w:r>
      <w:r>
        <w:rPr>
          <w:i/>
        </w:rPr>
        <w:t>supra, </w:t>
      </w:r>
      <w:r>
        <w:rPr/>
        <w:t>párr. 1 e </w:t>
      </w:r>
      <w:r>
        <w:rPr>
          <w:i/>
        </w:rPr>
        <w:t>infra</w:t>
      </w:r>
      <w:r>
        <w:rPr/>
        <w:t>, párr. 80). Las presuntas víctimas del caso son, entonces, las</w:t>
      </w:r>
      <w:r>
        <w:rPr>
          <w:spacing w:val="-16"/>
        </w:rPr>
        <w:t> </w:t>
      </w:r>
      <w:r>
        <w:rPr/>
        <w:t>132</w:t>
      </w:r>
      <w:r>
        <w:rPr>
          <w:spacing w:val="-12"/>
        </w:rPr>
        <w:t> </w:t>
      </w:r>
      <w:r>
        <w:rPr/>
        <w:t>comunidades</w:t>
      </w:r>
      <w:r>
        <w:rPr>
          <w:spacing w:val="-16"/>
        </w:rPr>
        <w:t> </w:t>
      </w:r>
      <w:r>
        <w:rPr/>
        <w:t>indígenas</w:t>
      </w:r>
      <w:r>
        <w:rPr>
          <w:spacing w:val="-16"/>
        </w:rPr>
        <w:t> </w:t>
      </w:r>
      <w:r>
        <w:rPr/>
        <w:t>indicadas</w:t>
      </w:r>
      <w:r>
        <w:rPr>
          <w:spacing w:val="-14"/>
        </w:rPr>
        <w:t> </w:t>
      </w:r>
      <w:r>
        <w:rPr/>
        <w:t>por</w:t>
      </w:r>
      <w:r>
        <w:rPr>
          <w:spacing w:val="-16"/>
        </w:rPr>
        <w:t> </w:t>
      </w:r>
      <w:r>
        <w:rPr/>
        <w:t>los</w:t>
      </w:r>
      <w:r>
        <w:rPr>
          <w:spacing w:val="-16"/>
        </w:rPr>
        <w:t> </w:t>
      </w:r>
      <w:r>
        <w:rPr/>
        <w:t>representantes</w:t>
      </w:r>
      <w:r>
        <w:rPr>
          <w:spacing w:val="-16"/>
        </w:rPr>
        <w:t> </w:t>
      </w:r>
      <w:r>
        <w:rPr/>
        <w:t>(</w:t>
      </w:r>
      <w:r>
        <w:rPr>
          <w:i/>
        </w:rPr>
        <w:t>supra</w:t>
      </w:r>
      <w:r>
        <w:rPr>
          <w:i/>
          <w:spacing w:val="-10"/>
        </w:rPr>
        <w:t> </w:t>
      </w:r>
      <w:r>
        <w:rPr/>
        <w:t>párr.</w:t>
      </w:r>
      <w:r>
        <w:rPr>
          <w:spacing w:val="-13"/>
        </w:rPr>
        <w:t> </w:t>
      </w:r>
      <w:r>
        <w:rPr/>
        <w:t>28</w:t>
      </w:r>
      <w:r>
        <w:rPr>
          <w:spacing w:val="-12"/>
        </w:rPr>
        <w:t> </w:t>
      </w:r>
      <w:r>
        <w:rPr/>
        <w:t>y</w:t>
      </w:r>
      <w:r>
        <w:rPr>
          <w:spacing w:val="-15"/>
        </w:rPr>
        <w:t> </w:t>
      </w:r>
      <w:r>
        <w:rPr/>
        <w:t>Anexo V); debe entenderse que ello abarca a las comunidades pertenecientes a los pueblos indígenas implicados en el caso (</w:t>
      </w:r>
      <w:r>
        <w:rPr>
          <w:i/>
        </w:rPr>
        <w:t>infra</w:t>
      </w:r>
      <w:r>
        <w:rPr/>
        <w:t>, párr. 47) que habiten el territorio indicado y que puedan derivarse de las 132 comunidades señaladas por acción del proceso de “fisión- fusión” referido (</w:t>
      </w:r>
      <w:r>
        <w:rPr>
          <w:i/>
        </w:rPr>
        <w:t>supra </w:t>
      </w:r>
      <w:r>
        <w:rPr/>
        <w:t>párr.</w:t>
      </w:r>
      <w:r>
        <w:rPr>
          <w:spacing w:val="-10"/>
        </w:rPr>
        <w:t> </w:t>
      </w:r>
      <w:r>
        <w:rPr/>
        <w:t>33)</w:t>
      </w:r>
      <w:r>
        <w:rPr>
          <w:position w:val="7"/>
          <w:sz w:val="13"/>
        </w:rPr>
        <w:t>23</w:t>
      </w:r>
      <w:r>
        <w:rPr/>
        <w:t>.</w:t>
      </w:r>
    </w:p>
    <w:p>
      <w:pPr>
        <w:pStyle w:val="BodyText"/>
        <w:spacing w:before="11"/>
        <w:rPr>
          <w:sz w:val="21"/>
        </w:rPr>
      </w:pPr>
    </w:p>
    <w:p>
      <w:pPr>
        <w:pStyle w:val="ListParagraph"/>
        <w:numPr>
          <w:ilvl w:val="0"/>
          <w:numId w:val="14"/>
        </w:numPr>
        <w:tabs>
          <w:tab w:pos="1082" w:val="left" w:leader="none"/>
        </w:tabs>
        <w:spacing w:line="240" w:lineRule="auto" w:before="0" w:after="0"/>
        <w:ind w:left="122" w:right="124" w:hanging="12"/>
        <w:jc w:val="both"/>
        <w:rPr>
          <w:sz w:val="20"/>
        </w:rPr>
      </w:pPr>
      <w:r>
        <w:rPr>
          <w:rFonts w:ascii="Calibri" w:hAnsi="Calibri"/>
          <w:sz w:val="22"/>
        </w:rPr>
        <w:t>E</w:t>
      </w:r>
      <w:r>
        <w:rPr>
          <w:sz w:val="20"/>
        </w:rPr>
        <w:t>s pertinente dejar sentado también que este Tribunal observa que los lotes 14 y 55 están habitados también por “criollos”, pobladores no indígenas. La Corte está impedida de pronunciarse directamente sobre los derechos de pobladores criollos, pues no son parte formal del proceso judicial internacional. No obstante, resulta innegable que son parte, en un sentido material, del conflicto sustantivo relacionado con el uso y propiedad de la tierra. Aun cuando este Tribunal no puede pronunciarse sobre sus derechos, entiende que tener en cuenta su situación resulta pertinente a efectos de analizar adecuadamente el caso que le ha sido planteado y procurar la efectividad de</w:t>
      </w:r>
      <w:r>
        <w:rPr>
          <w:spacing w:val="-32"/>
          <w:sz w:val="20"/>
        </w:rPr>
        <w:t> </w:t>
      </w:r>
      <w:r>
        <w:rPr>
          <w:sz w:val="20"/>
        </w:rPr>
        <w:t>la decisión</w:t>
      </w:r>
      <w:r>
        <w:rPr>
          <w:spacing w:val="-7"/>
          <w:sz w:val="20"/>
        </w:rPr>
        <w:t> </w:t>
      </w:r>
      <w:r>
        <w:rPr>
          <w:sz w:val="20"/>
        </w:rPr>
        <w:t>que</w:t>
      </w:r>
      <w:r>
        <w:rPr>
          <w:spacing w:val="-7"/>
          <w:sz w:val="20"/>
        </w:rPr>
        <w:t> </w:t>
      </w:r>
      <w:r>
        <w:rPr>
          <w:sz w:val="20"/>
        </w:rPr>
        <w:t>se</w:t>
      </w:r>
      <w:r>
        <w:rPr>
          <w:spacing w:val="-9"/>
          <w:sz w:val="20"/>
        </w:rPr>
        <w:t> </w:t>
      </w:r>
      <w:r>
        <w:rPr>
          <w:sz w:val="20"/>
        </w:rPr>
        <w:t>adopta</w:t>
      </w:r>
      <w:r>
        <w:rPr>
          <w:spacing w:val="-3"/>
          <w:sz w:val="20"/>
        </w:rPr>
        <w:t> </w:t>
      </w:r>
      <w:r>
        <w:rPr>
          <w:sz w:val="20"/>
        </w:rPr>
        <w:t>en</w:t>
      </w:r>
      <w:r>
        <w:rPr>
          <w:spacing w:val="-7"/>
          <w:sz w:val="20"/>
        </w:rPr>
        <w:t> </w:t>
      </w:r>
      <w:r>
        <w:rPr>
          <w:sz w:val="20"/>
        </w:rPr>
        <w:t>la</w:t>
      </w:r>
      <w:r>
        <w:rPr>
          <w:spacing w:val="-8"/>
          <w:sz w:val="20"/>
        </w:rPr>
        <w:t> </w:t>
      </w:r>
      <w:r>
        <w:rPr>
          <w:sz w:val="20"/>
        </w:rPr>
        <w:t>presente</w:t>
      </w:r>
      <w:r>
        <w:rPr>
          <w:spacing w:val="-7"/>
          <w:sz w:val="20"/>
        </w:rPr>
        <w:t> </w:t>
      </w:r>
      <w:r>
        <w:rPr>
          <w:sz w:val="20"/>
        </w:rPr>
        <w:t>Sentencia.</w:t>
      </w:r>
      <w:r>
        <w:rPr>
          <w:spacing w:val="-8"/>
          <w:sz w:val="20"/>
        </w:rPr>
        <w:t> </w:t>
      </w:r>
      <w:r>
        <w:rPr>
          <w:sz w:val="20"/>
        </w:rPr>
        <w:t>La</w:t>
      </w:r>
      <w:r>
        <w:rPr>
          <w:spacing w:val="-6"/>
          <w:sz w:val="20"/>
        </w:rPr>
        <w:t> </w:t>
      </w:r>
      <w:r>
        <w:rPr>
          <w:sz w:val="20"/>
        </w:rPr>
        <w:t>Corte</w:t>
      </w:r>
      <w:r>
        <w:rPr>
          <w:spacing w:val="-7"/>
          <w:sz w:val="20"/>
        </w:rPr>
        <w:t> </w:t>
      </w:r>
      <w:r>
        <w:rPr>
          <w:sz w:val="20"/>
        </w:rPr>
        <w:t>ha</w:t>
      </w:r>
      <w:r>
        <w:rPr>
          <w:spacing w:val="-8"/>
          <w:sz w:val="20"/>
        </w:rPr>
        <w:t> </w:t>
      </w:r>
      <w:r>
        <w:rPr>
          <w:sz w:val="20"/>
        </w:rPr>
        <w:t>procurado,</w:t>
      </w:r>
      <w:r>
        <w:rPr>
          <w:spacing w:val="-6"/>
          <w:sz w:val="20"/>
        </w:rPr>
        <w:t> </w:t>
      </w:r>
      <w:r>
        <w:rPr>
          <w:sz w:val="20"/>
        </w:rPr>
        <w:t>en</w:t>
      </w:r>
      <w:r>
        <w:rPr>
          <w:spacing w:val="-5"/>
          <w:sz w:val="20"/>
        </w:rPr>
        <w:t> </w:t>
      </w:r>
      <w:r>
        <w:rPr>
          <w:sz w:val="20"/>
        </w:rPr>
        <w:t>el</w:t>
      </w:r>
      <w:r>
        <w:rPr>
          <w:spacing w:val="-8"/>
          <w:sz w:val="20"/>
        </w:rPr>
        <w:t> </w:t>
      </w:r>
      <w:r>
        <w:rPr>
          <w:sz w:val="20"/>
        </w:rPr>
        <w:t>marco</w:t>
      </w:r>
      <w:r>
        <w:rPr>
          <w:spacing w:val="-9"/>
          <w:sz w:val="20"/>
        </w:rPr>
        <w:t> </w:t>
      </w:r>
      <w:r>
        <w:rPr>
          <w:sz w:val="20"/>
        </w:rPr>
        <w:t>de</w:t>
      </w:r>
    </w:p>
    <w:p>
      <w:pPr>
        <w:pStyle w:val="BodyText"/>
        <w:spacing w:before="1"/>
        <w:rPr>
          <w:sz w:val="21"/>
        </w:rPr>
      </w:pPr>
      <w:r>
        <w:rPr/>
        <w:pict>
          <v:line style="position:absolute;mso-position-horizontal-relative:page;mso-position-vertical-relative:paragraph;z-index:1240;mso-wrap-distance-left:0;mso-wrap-distance-right:0" from="85.103996pt,15.167355pt" to="229.123996pt,15.167355pt" stroked="true" strokeweight=".71997pt" strokecolor="#000000">
            <v:stroke dashstyle="solid"/>
            <w10:wrap type="topAndBottom"/>
          </v:line>
        </w:pict>
      </w:r>
    </w:p>
    <w:p>
      <w:pPr>
        <w:tabs>
          <w:tab w:pos="829" w:val="left" w:leader="none"/>
        </w:tabs>
        <w:spacing w:before="72"/>
        <w:ind w:left="122" w:right="116" w:firstLine="0"/>
        <w:jc w:val="both"/>
        <w:rPr>
          <w:sz w:val="16"/>
        </w:rPr>
      </w:pPr>
      <w:r>
        <w:rPr>
          <w:position w:val="6"/>
          <w:sz w:val="10"/>
        </w:rPr>
        <w:t>22</w:t>
        <w:tab/>
      </w:r>
      <w:r>
        <w:rPr>
          <w:sz w:val="16"/>
        </w:rPr>
        <w:t>La fisión-fusión consiste en que las comunidades indígenas se fusionan en nuevas comunidades</w:t>
      </w:r>
      <w:r>
        <w:rPr>
          <w:spacing w:val="2"/>
          <w:sz w:val="16"/>
        </w:rPr>
        <w:t> </w:t>
      </w:r>
      <w:r>
        <w:rPr>
          <w:sz w:val="16"/>
        </w:rPr>
        <w:t>y se</w:t>
      </w:r>
      <w:r>
        <w:rPr>
          <w:w w:val="100"/>
          <w:sz w:val="16"/>
        </w:rPr>
        <w:t> </w:t>
      </w:r>
      <w:r>
        <w:rPr>
          <w:sz w:val="16"/>
        </w:rPr>
        <w:t>separan para crear otras, por lo que la cantidad de comunidades puede cambiar con el paso del tiempo. Esta dinámica</w:t>
      </w:r>
      <w:r>
        <w:rPr>
          <w:spacing w:val="-5"/>
          <w:sz w:val="16"/>
        </w:rPr>
        <w:t> </w:t>
      </w:r>
      <w:r>
        <w:rPr>
          <w:sz w:val="16"/>
        </w:rPr>
        <w:t>de</w:t>
      </w:r>
      <w:r>
        <w:rPr>
          <w:spacing w:val="-5"/>
          <w:sz w:val="16"/>
        </w:rPr>
        <w:t> </w:t>
      </w:r>
      <w:r>
        <w:rPr>
          <w:sz w:val="16"/>
        </w:rPr>
        <w:t>los</w:t>
      </w:r>
      <w:r>
        <w:rPr>
          <w:spacing w:val="-7"/>
          <w:sz w:val="16"/>
        </w:rPr>
        <w:t> </w:t>
      </w:r>
      <w:r>
        <w:rPr>
          <w:sz w:val="16"/>
        </w:rPr>
        <w:t>pueblos</w:t>
      </w:r>
      <w:r>
        <w:rPr>
          <w:spacing w:val="-5"/>
          <w:sz w:val="16"/>
        </w:rPr>
        <w:t> </w:t>
      </w:r>
      <w:r>
        <w:rPr>
          <w:sz w:val="16"/>
        </w:rPr>
        <w:t>indígenas</w:t>
      </w:r>
      <w:r>
        <w:rPr>
          <w:spacing w:val="-5"/>
          <w:sz w:val="16"/>
        </w:rPr>
        <w:t> </w:t>
      </w:r>
      <w:r>
        <w:rPr>
          <w:sz w:val="16"/>
        </w:rPr>
        <w:t>ha</w:t>
      </w:r>
      <w:r>
        <w:rPr>
          <w:spacing w:val="-6"/>
          <w:sz w:val="16"/>
        </w:rPr>
        <w:t> </w:t>
      </w:r>
      <w:r>
        <w:rPr>
          <w:sz w:val="16"/>
        </w:rPr>
        <w:t>sido</w:t>
      </w:r>
      <w:r>
        <w:rPr>
          <w:spacing w:val="-7"/>
          <w:sz w:val="16"/>
        </w:rPr>
        <w:t> </w:t>
      </w:r>
      <w:r>
        <w:rPr>
          <w:sz w:val="16"/>
        </w:rPr>
        <w:t>reconocida</w:t>
      </w:r>
      <w:r>
        <w:rPr>
          <w:spacing w:val="-8"/>
          <w:sz w:val="16"/>
        </w:rPr>
        <w:t> </w:t>
      </w:r>
      <w:r>
        <w:rPr>
          <w:sz w:val="16"/>
        </w:rPr>
        <w:t>en</w:t>
      </w:r>
      <w:r>
        <w:rPr>
          <w:spacing w:val="-6"/>
          <w:sz w:val="16"/>
        </w:rPr>
        <w:t> </w:t>
      </w:r>
      <w:r>
        <w:rPr>
          <w:sz w:val="16"/>
        </w:rPr>
        <w:t>el</w:t>
      </w:r>
      <w:r>
        <w:rPr>
          <w:spacing w:val="-6"/>
          <w:sz w:val="16"/>
        </w:rPr>
        <w:t> </w:t>
      </w:r>
      <w:r>
        <w:rPr>
          <w:sz w:val="16"/>
        </w:rPr>
        <w:t>Informe</w:t>
      </w:r>
      <w:r>
        <w:rPr>
          <w:spacing w:val="-5"/>
          <w:sz w:val="16"/>
        </w:rPr>
        <w:t> </w:t>
      </w:r>
      <w:r>
        <w:rPr>
          <w:sz w:val="16"/>
        </w:rPr>
        <w:t>de</w:t>
      </w:r>
      <w:r>
        <w:rPr>
          <w:spacing w:val="-5"/>
          <w:sz w:val="16"/>
        </w:rPr>
        <w:t> </w:t>
      </w:r>
      <w:r>
        <w:rPr>
          <w:sz w:val="16"/>
        </w:rPr>
        <w:t>Fondo</w:t>
      </w:r>
      <w:r>
        <w:rPr>
          <w:spacing w:val="-7"/>
          <w:sz w:val="16"/>
        </w:rPr>
        <w:t> </w:t>
      </w:r>
      <w:r>
        <w:rPr>
          <w:sz w:val="16"/>
        </w:rPr>
        <w:t>2/12</w:t>
      </w:r>
      <w:r>
        <w:rPr>
          <w:spacing w:val="-6"/>
          <w:sz w:val="16"/>
        </w:rPr>
        <w:t> </w:t>
      </w:r>
      <w:r>
        <w:rPr>
          <w:sz w:val="16"/>
        </w:rPr>
        <w:t>y</w:t>
      </w:r>
      <w:r>
        <w:rPr>
          <w:spacing w:val="-4"/>
          <w:sz w:val="16"/>
        </w:rPr>
        <w:t> </w:t>
      </w:r>
      <w:r>
        <w:rPr>
          <w:sz w:val="16"/>
        </w:rPr>
        <w:t>no</w:t>
      </w:r>
      <w:r>
        <w:rPr>
          <w:spacing w:val="-4"/>
          <w:sz w:val="16"/>
        </w:rPr>
        <w:t> </w:t>
      </w:r>
      <w:r>
        <w:rPr>
          <w:sz w:val="16"/>
        </w:rPr>
        <w:t>ha</w:t>
      </w:r>
      <w:r>
        <w:rPr>
          <w:spacing w:val="-6"/>
          <w:sz w:val="16"/>
        </w:rPr>
        <w:t> </w:t>
      </w:r>
      <w:r>
        <w:rPr>
          <w:sz w:val="16"/>
        </w:rPr>
        <w:t>sido</w:t>
      </w:r>
      <w:r>
        <w:rPr>
          <w:spacing w:val="-4"/>
          <w:sz w:val="16"/>
        </w:rPr>
        <w:t> </w:t>
      </w:r>
      <w:r>
        <w:rPr>
          <w:sz w:val="16"/>
        </w:rPr>
        <w:t>controvertida.</w:t>
      </w:r>
    </w:p>
    <w:p>
      <w:pPr>
        <w:pStyle w:val="BodyText"/>
        <w:spacing w:before="12"/>
        <w:rPr>
          <w:sz w:val="15"/>
        </w:rPr>
      </w:pPr>
    </w:p>
    <w:p>
      <w:pPr>
        <w:tabs>
          <w:tab w:pos="829" w:val="left" w:leader="none"/>
        </w:tabs>
        <w:spacing w:line="240" w:lineRule="auto" w:before="0"/>
        <w:ind w:left="122" w:right="117" w:firstLine="0"/>
        <w:jc w:val="both"/>
        <w:rPr>
          <w:sz w:val="16"/>
        </w:rPr>
      </w:pPr>
      <w:r>
        <w:rPr>
          <w:position w:val="6"/>
          <w:sz w:val="10"/>
        </w:rPr>
        <w:t>23</w:t>
        <w:tab/>
      </w:r>
      <w:r>
        <w:rPr>
          <w:sz w:val="16"/>
        </w:rPr>
        <w:t>Se</w:t>
      </w:r>
      <w:r>
        <w:rPr>
          <w:spacing w:val="-3"/>
          <w:sz w:val="16"/>
        </w:rPr>
        <w:t> </w:t>
      </w:r>
      <w:r>
        <w:rPr>
          <w:sz w:val="16"/>
        </w:rPr>
        <w:t>aclara</w:t>
      </w:r>
      <w:r>
        <w:rPr>
          <w:spacing w:val="-7"/>
          <w:sz w:val="16"/>
        </w:rPr>
        <w:t> </w:t>
      </w:r>
      <w:r>
        <w:rPr>
          <w:sz w:val="16"/>
        </w:rPr>
        <w:t>que,</w:t>
      </w:r>
      <w:r>
        <w:rPr>
          <w:spacing w:val="-4"/>
          <w:sz w:val="16"/>
        </w:rPr>
        <w:t> </w:t>
      </w:r>
      <w:r>
        <w:rPr>
          <w:sz w:val="16"/>
        </w:rPr>
        <w:t>de</w:t>
      </w:r>
      <w:r>
        <w:rPr>
          <w:spacing w:val="-6"/>
          <w:sz w:val="16"/>
        </w:rPr>
        <w:t> </w:t>
      </w:r>
      <w:r>
        <w:rPr>
          <w:sz w:val="16"/>
        </w:rPr>
        <w:t>conformidad</w:t>
      </w:r>
      <w:r>
        <w:rPr>
          <w:spacing w:val="-1"/>
          <w:sz w:val="16"/>
        </w:rPr>
        <w:t> </w:t>
      </w:r>
      <w:r>
        <w:rPr>
          <w:sz w:val="16"/>
        </w:rPr>
        <w:t>al</w:t>
      </w:r>
      <w:r>
        <w:rPr>
          <w:spacing w:val="-7"/>
          <w:sz w:val="16"/>
        </w:rPr>
        <w:t> </w:t>
      </w:r>
      <w:r>
        <w:rPr>
          <w:sz w:val="16"/>
        </w:rPr>
        <w:t>principio</w:t>
      </w:r>
      <w:r>
        <w:rPr>
          <w:spacing w:val="-6"/>
          <w:sz w:val="16"/>
        </w:rPr>
        <w:t> </w:t>
      </w:r>
      <w:r>
        <w:rPr>
          <w:sz w:val="16"/>
        </w:rPr>
        <w:t>de</w:t>
      </w:r>
      <w:r>
        <w:rPr>
          <w:spacing w:val="-4"/>
          <w:sz w:val="16"/>
        </w:rPr>
        <w:t> </w:t>
      </w:r>
      <w:r>
        <w:rPr>
          <w:sz w:val="16"/>
        </w:rPr>
        <w:t>auto-adscripción</w:t>
      </w:r>
      <w:r>
        <w:rPr>
          <w:spacing w:val="-5"/>
          <w:sz w:val="16"/>
        </w:rPr>
        <w:t> </w:t>
      </w:r>
      <w:r>
        <w:rPr>
          <w:sz w:val="16"/>
        </w:rPr>
        <w:t>o</w:t>
      </w:r>
      <w:r>
        <w:rPr>
          <w:spacing w:val="-3"/>
          <w:sz w:val="16"/>
        </w:rPr>
        <w:t> </w:t>
      </w:r>
      <w:r>
        <w:rPr>
          <w:sz w:val="16"/>
        </w:rPr>
        <w:t>auto-reconocimiento</w:t>
      </w:r>
      <w:r>
        <w:rPr>
          <w:spacing w:val="-3"/>
          <w:sz w:val="16"/>
        </w:rPr>
        <w:t> </w:t>
      </w:r>
      <w:r>
        <w:rPr>
          <w:sz w:val="16"/>
        </w:rPr>
        <w:t>de</w:t>
      </w:r>
      <w:r>
        <w:rPr>
          <w:spacing w:val="-4"/>
          <w:sz w:val="16"/>
        </w:rPr>
        <w:t> </w:t>
      </w:r>
      <w:r>
        <w:rPr>
          <w:sz w:val="16"/>
        </w:rPr>
        <w:t>la</w:t>
      </w:r>
      <w:r>
        <w:rPr>
          <w:spacing w:val="-2"/>
          <w:sz w:val="16"/>
        </w:rPr>
        <w:t> </w:t>
      </w:r>
      <w:r>
        <w:rPr>
          <w:sz w:val="16"/>
        </w:rPr>
        <w:t>identidad</w:t>
      </w:r>
      <w:r>
        <w:rPr>
          <w:w w:val="100"/>
          <w:sz w:val="16"/>
        </w:rPr>
        <w:t> </w:t>
      </w:r>
      <w:r>
        <w:rPr>
          <w:sz w:val="16"/>
        </w:rPr>
        <w:t>indígena y al derecho a participar en su propia vida cultural y a su identidad cultural, que abarca sus propias formas</w:t>
      </w:r>
      <w:r>
        <w:rPr>
          <w:spacing w:val="-6"/>
          <w:sz w:val="16"/>
        </w:rPr>
        <w:t> </w:t>
      </w:r>
      <w:r>
        <w:rPr>
          <w:sz w:val="16"/>
        </w:rPr>
        <w:t>de</w:t>
      </w:r>
      <w:r>
        <w:rPr>
          <w:spacing w:val="-3"/>
          <w:sz w:val="16"/>
        </w:rPr>
        <w:t> </w:t>
      </w:r>
      <w:r>
        <w:rPr>
          <w:sz w:val="16"/>
        </w:rPr>
        <w:t>organización,</w:t>
      </w:r>
      <w:r>
        <w:rPr>
          <w:spacing w:val="-5"/>
          <w:sz w:val="16"/>
        </w:rPr>
        <w:t> </w:t>
      </w:r>
      <w:r>
        <w:rPr>
          <w:sz w:val="16"/>
        </w:rPr>
        <w:t>llegado</w:t>
      </w:r>
      <w:r>
        <w:rPr>
          <w:spacing w:val="-3"/>
          <w:sz w:val="16"/>
        </w:rPr>
        <w:t> </w:t>
      </w:r>
      <w:r>
        <w:rPr>
          <w:sz w:val="16"/>
        </w:rPr>
        <w:t>el</w:t>
      </w:r>
      <w:r>
        <w:rPr>
          <w:spacing w:val="-4"/>
          <w:sz w:val="16"/>
        </w:rPr>
        <w:t> </w:t>
      </w:r>
      <w:r>
        <w:rPr>
          <w:sz w:val="16"/>
        </w:rPr>
        <w:t>caso,</w:t>
      </w:r>
      <w:r>
        <w:rPr>
          <w:spacing w:val="-5"/>
          <w:sz w:val="16"/>
        </w:rPr>
        <w:t> </w:t>
      </w:r>
      <w:r>
        <w:rPr>
          <w:sz w:val="16"/>
        </w:rPr>
        <w:t>la</w:t>
      </w:r>
      <w:r>
        <w:rPr>
          <w:spacing w:val="-4"/>
          <w:sz w:val="16"/>
        </w:rPr>
        <w:t> </w:t>
      </w:r>
      <w:r>
        <w:rPr>
          <w:sz w:val="16"/>
        </w:rPr>
        <w:t>definición</w:t>
      </w:r>
      <w:r>
        <w:rPr>
          <w:spacing w:val="-4"/>
          <w:sz w:val="16"/>
        </w:rPr>
        <w:t> </w:t>
      </w:r>
      <w:r>
        <w:rPr>
          <w:sz w:val="16"/>
        </w:rPr>
        <w:t>de</w:t>
      </w:r>
      <w:r>
        <w:rPr>
          <w:spacing w:val="-6"/>
          <w:sz w:val="16"/>
        </w:rPr>
        <w:t> </w:t>
      </w:r>
      <w:r>
        <w:rPr>
          <w:sz w:val="16"/>
        </w:rPr>
        <w:t>qué</w:t>
      </w:r>
      <w:r>
        <w:rPr>
          <w:spacing w:val="-3"/>
          <w:sz w:val="16"/>
        </w:rPr>
        <w:t> </w:t>
      </w:r>
      <w:r>
        <w:rPr>
          <w:sz w:val="16"/>
        </w:rPr>
        <w:t>comunidades</w:t>
      </w:r>
      <w:r>
        <w:rPr>
          <w:spacing w:val="-3"/>
          <w:sz w:val="16"/>
        </w:rPr>
        <w:t> </w:t>
      </w:r>
      <w:r>
        <w:rPr>
          <w:sz w:val="16"/>
        </w:rPr>
        <w:t>se</w:t>
      </w:r>
      <w:r>
        <w:rPr>
          <w:spacing w:val="-3"/>
          <w:sz w:val="16"/>
        </w:rPr>
        <w:t> </w:t>
      </w:r>
      <w:r>
        <w:rPr>
          <w:sz w:val="16"/>
        </w:rPr>
        <w:t>desprendan</w:t>
      </w:r>
      <w:r>
        <w:rPr>
          <w:spacing w:val="-7"/>
          <w:sz w:val="16"/>
        </w:rPr>
        <w:t> </w:t>
      </w:r>
      <w:r>
        <w:rPr>
          <w:sz w:val="16"/>
        </w:rPr>
        <w:t>de</w:t>
      </w:r>
      <w:r>
        <w:rPr>
          <w:spacing w:val="-3"/>
          <w:sz w:val="16"/>
        </w:rPr>
        <w:t> </w:t>
      </w:r>
      <w:r>
        <w:rPr>
          <w:sz w:val="16"/>
        </w:rPr>
        <w:t>las</w:t>
      </w:r>
      <w:r>
        <w:rPr>
          <w:spacing w:val="-3"/>
          <w:sz w:val="16"/>
        </w:rPr>
        <w:t> </w:t>
      </w:r>
      <w:r>
        <w:rPr>
          <w:sz w:val="16"/>
        </w:rPr>
        <w:t>132</w:t>
      </w:r>
      <w:r>
        <w:rPr>
          <w:spacing w:val="-3"/>
          <w:sz w:val="16"/>
        </w:rPr>
        <w:t> </w:t>
      </w:r>
      <w:r>
        <w:rPr>
          <w:sz w:val="16"/>
        </w:rPr>
        <w:t>referidas mediante el proceso de “fisión-fusión” no corresponde a las autoridades estatales ni a esta Corte, sino al conjunto de las comunidades indígenas. Sin perjuicio de ello, las presuntas víctimas del caso no abarcan a cualquier comunidad o persona indígena que pudiere habitar el territorio en cuestión, sino solo a las 132 comunidades indicadas y, en su caso, a aquellas que deriven de esas 132 por el proceso de</w:t>
      </w:r>
      <w:r>
        <w:rPr>
          <w:spacing w:val="-27"/>
          <w:sz w:val="16"/>
        </w:rPr>
        <w:t> </w:t>
      </w:r>
      <w:r>
        <w:rPr>
          <w:sz w:val="16"/>
        </w:rPr>
        <w:t>“fisión-fusión”.</w:t>
      </w:r>
    </w:p>
    <w:p>
      <w:pPr>
        <w:spacing w:after="0" w:line="240" w:lineRule="auto"/>
        <w:jc w:val="both"/>
        <w:rPr>
          <w:sz w:val="16"/>
        </w:rPr>
        <w:sectPr>
          <w:pgSz w:w="12240" w:h="15840"/>
          <w:pgMar w:header="0" w:footer="1000" w:top="1340" w:bottom="1200" w:left="1580" w:right="1580"/>
        </w:sectPr>
      </w:pPr>
    </w:p>
    <w:p>
      <w:pPr>
        <w:pStyle w:val="BodyText"/>
        <w:spacing w:before="76"/>
        <w:ind w:left="122" w:right="125"/>
        <w:jc w:val="both"/>
      </w:pPr>
      <w:r>
        <w:rPr/>
        <w:t>las pautas procesales que rigen su actuación, escuchar a las personas criollas. Así, ha mantenido</w:t>
      </w:r>
      <w:r>
        <w:rPr>
          <w:spacing w:val="-12"/>
        </w:rPr>
        <w:t> </w:t>
      </w:r>
      <w:r>
        <w:rPr/>
        <w:t>una</w:t>
      </w:r>
      <w:r>
        <w:rPr>
          <w:spacing w:val="-11"/>
        </w:rPr>
        <w:t> </w:t>
      </w:r>
      <w:r>
        <w:rPr/>
        <w:t>reunión</w:t>
      </w:r>
      <w:r>
        <w:rPr>
          <w:spacing w:val="-8"/>
        </w:rPr>
        <w:t> </w:t>
      </w:r>
      <w:r>
        <w:rPr/>
        <w:t>con</w:t>
      </w:r>
      <w:r>
        <w:rPr>
          <w:spacing w:val="-5"/>
        </w:rPr>
        <w:t> </w:t>
      </w:r>
      <w:r>
        <w:rPr/>
        <w:t>varias</w:t>
      </w:r>
      <w:r>
        <w:rPr>
          <w:spacing w:val="-9"/>
        </w:rPr>
        <w:t> </w:t>
      </w:r>
      <w:r>
        <w:rPr/>
        <w:t>personas</w:t>
      </w:r>
      <w:r>
        <w:rPr>
          <w:spacing w:val="-8"/>
        </w:rPr>
        <w:t> </w:t>
      </w:r>
      <w:r>
        <w:rPr/>
        <w:t>representantes</w:t>
      </w:r>
      <w:r>
        <w:rPr>
          <w:spacing w:val="-12"/>
        </w:rPr>
        <w:t> </w:t>
      </w:r>
      <w:r>
        <w:rPr/>
        <w:t>de</w:t>
      </w:r>
      <w:r>
        <w:rPr>
          <w:spacing w:val="-13"/>
        </w:rPr>
        <w:t> </w:t>
      </w:r>
      <w:r>
        <w:rPr/>
        <w:t>familias</w:t>
      </w:r>
      <w:r>
        <w:rPr>
          <w:spacing w:val="-10"/>
        </w:rPr>
        <w:t> </w:t>
      </w:r>
      <w:r>
        <w:rPr/>
        <w:t>y</w:t>
      </w:r>
      <w:r>
        <w:rPr>
          <w:spacing w:val="-12"/>
        </w:rPr>
        <w:t> </w:t>
      </w:r>
      <w:r>
        <w:rPr/>
        <w:t>organizaciones criollas</w:t>
      </w:r>
      <w:r>
        <w:rPr>
          <w:spacing w:val="-6"/>
        </w:rPr>
        <w:t> </w:t>
      </w:r>
      <w:r>
        <w:rPr/>
        <w:t>en</w:t>
      </w:r>
      <w:r>
        <w:rPr>
          <w:spacing w:val="-7"/>
        </w:rPr>
        <w:t> </w:t>
      </w:r>
      <w:r>
        <w:rPr/>
        <w:t>el</w:t>
      </w:r>
      <w:r>
        <w:rPr>
          <w:spacing w:val="-8"/>
        </w:rPr>
        <w:t> </w:t>
      </w:r>
      <w:r>
        <w:rPr/>
        <w:t>marco</w:t>
      </w:r>
      <w:r>
        <w:rPr>
          <w:spacing w:val="-10"/>
        </w:rPr>
        <w:t> </w:t>
      </w:r>
      <w:r>
        <w:rPr/>
        <w:t>de</w:t>
      </w:r>
      <w:r>
        <w:rPr>
          <w:spacing w:val="-9"/>
        </w:rPr>
        <w:t> </w:t>
      </w:r>
      <w:r>
        <w:rPr/>
        <w:t>la</w:t>
      </w:r>
      <w:r>
        <w:rPr>
          <w:spacing w:val="-4"/>
        </w:rPr>
        <w:t> </w:t>
      </w:r>
      <w:r>
        <w:rPr/>
        <w:t>visita</w:t>
      </w:r>
      <w:r>
        <w:rPr>
          <w:spacing w:val="-7"/>
        </w:rPr>
        <w:t> </w:t>
      </w:r>
      <w:r>
        <w:rPr>
          <w:i/>
        </w:rPr>
        <w:t>in</w:t>
      </w:r>
      <w:r>
        <w:rPr>
          <w:i/>
          <w:spacing w:val="-7"/>
        </w:rPr>
        <w:t> </w:t>
      </w:r>
      <w:r>
        <w:rPr>
          <w:i/>
        </w:rPr>
        <w:t>situ</w:t>
      </w:r>
      <w:r>
        <w:rPr/>
        <w:t>.</w:t>
      </w:r>
      <w:r>
        <w:rPr>
          <w:spacing w:val="-6"/>
        </w:rPr>
        <w:t> </w:t>
      </w:r>
      <w:r>
        <w:rPr/>
        <w:t>Durante</w:t>
      </w:r>
      <w:r>
        <w:rPr>
          <w:spacing w:val="-7"/>
        </w:rPr>
        <w:t> </w:t>
      </w:r>
      <w:r>
        <w:rPr/>
        <w:t>la</w:t>
      </w:r>
      <w:r>
        <w:rPr>
          <w:spacing w:val="-8"/>
        </w:rPr>
        <w:t> </w:t>
      </w:r>
      <w:r>
        <w:rPr/>
        <w:t>misma,</w:t>
      </w:r>
      <w:r>
        <w:rPr>
          <w:spacing w:val="-4"/>
        </w:rPr>
        <w:t> </w:t>
      </w:r>
      <w:r>
        <w:rPr/>
        <w:t>se</w:t>
      </w:r>
      <w:r>
        <w:rPr>
          <w:spacing w:val="-8"/>
        </w:rPr>
        <w:t> </w:t>
      </w:r>
      <w:r>
        <w:rPr/>
        <w:t>refirieron</w:t>
      </w:r>
      <w:r>
        <w:rPr>
          <w:spacing w:val="-7"/>
        </w:rPr>
        <w:t> </w:t>
      </w:r>
      <w:r>
        <w:rPr/>
        <w:t>a</w:t>
      </w:r>
      <w:r>
        <w:rPr>
          <w:spacing w:val="-6"/>
        </w:rPr>
        <w:t> </w:t>
      </w:r>
      <w:r>
        <w:rPr/>
        <w:t>la</w:t>
      </w:r>
      <w:r>
        <w:rPr>
          <w:spacing w:val="-8"/>
        </w:rPr>
        <w:t> </w:t>
      </w:r>
      <w:r>
        <w:rPr/>
        <w:t>problemática territorial, exponiendo sus puntos de vista respecto del proceso de acuerdos para la localización de las personas criollas, las condiciones para avanzar en soluciones al conflicto territorial y la intervención estatal al respecto. Además, durante la misma diligencia la delegación del Tribunal recibió documentación presentada por personas criollas, y también lo hizo con posterioridad. En dicha documentación se encuentra una “propuesta” respecto a la distinción del territorio indígena y la tierra correspondiente a la población criolla. Asimismo, este Tribunal ha receptado declaraciones testimoniales escritas de personas criollas (</w:t>
      </w:r>
      <w:r>
        <w:rPr>
          <w:i/>
        </w:rPr>
        <w:t>infra </w:t>
      </w:r>
      <w:r>
        <w:rPr/>
        <w:t>párr. 45), en la que se refirieron a los hechos del caso, expresando, entre otras cuestiones, dificultades y afectaciones en el marco del proceso</w:t>
      </w:r>
      <w:r>
        <w:rPr>
          <w:spacing w:val="-15"/>
        </w:rPr>
        <w:t> </w:t>
      </w:r>
      <w:r>
        <w:rPr/>
        <w:t>de</w:t>
      </w:r>
      <w:r>
        <w:rPr>
          <w:spacing w:val="-15"/>
        </w:rPr>
        <w:t> </w:t>
      </w:r>
      <w:r>
        <w:rPr/>
        <w:t>reubicación</w:t>
      </w:r>
      <w:r>
        <w:rPr>
          <w:spacing w:val="-13"/>
        </w:rPr>
        <w:t> </w:t>
      </w:r>
      <w:r>
        <w:rPr/>
        <w:t>territorial.</w:t>
      </w:r>
      <w:r>
        <w:rPr>
          <w:spacing w:val="-14"/>
        </w:rPr>
        <w:t> </w:t>
      </w:r>
      <w:r>
        <w:rPr/>
        <w:t>La</w:t>
      </w:r>
      <w:r>
        <w:rPr>
          <w:spacing w:val="-14"/>
        </w:rPr>
        <w:t> </w:t>
      </w:r>
      <w:r>
        <w:rPr/>
        <w:t>Corte</w:t>
      </w:r>
      <w:r>
        <w:rPr>
          <w:spacing w:val="-15"/>
        </w:rPr>
        <w:t> </w:t>
      </w:r>
      <w:r>
        <w:rPr/>
        <w:t>tiene</w:t>
      </w:r>
      <w:r>
        <w:rPr>
          <w:spacing w:val="-15"/>
        </w:rPr>
        <w:t> </w:t>
      </w:r>
      <w:r>
        <w:rPr/>
        <w:t>en</w:t>
      </w:r>
      <w:r>
        <w:rPr>
          <w:spacing w:val="-13"/>
        </w:rPr>
        <w:t> </w:t>
      </w:r>
      <w:r>
        <w:rPr/>
        <w:t>cuenta</w:t>
      </w:r>
      <w:r>
        <w:rPr>
          <w:spacing w:val="-13"/>
        </w:rPr>
        <w:t> </w:t>
      </w:r>
      <w:r>
        <w:rPr/>
        <w:t>las</w:t>
      </w:r>
      <w:r>
        <w:rPr>
          <w:spacing w:val="-14"/>
        </w:rPr>
        <w:t> </w:t>
      </w:r>
      <w:r>
        <w:rPr/>
        <w:t>manifestaciones</w:t>
      </w:r>
      <w:r>
        <w:rPr>
          <w:spacing w:val="-14"/>
        </w:rPr>
        <w:t> </w:t>
      </w:r>
      <w:r>
        <w:rPr/>
        <w:t>aludidas, en particular, a fin de evaluar las acciones seguidas en el caso relacionadas con la presencia de población criolla en tierra reclamada por las comunidades indígenas y el traslado</w:t>
      </w:r>
      <w:r>
        <w:rPr>
          <w:spacing w:val="-7"/>
        </w:rPr>
        <w:t> </w:t>
      </w:r>
      <w:r>
        <w:rPr/>
        <w:t>de</w:t>
      </w:r>
      <w:r>
        <w:rPr>
          <w:spacing w:val="-9"/>
        </w:rPr>
        <w:t> </w:t>
      </w:r>
      <w:r>
        <w:rPr/>
        <w:t>dicha</w:t>
      </w:r>
      <w:r>
        <w:rPr>
          <w:spacing w:val="-7"/>
        </w:rPr>
        <w:t> </w:t>
      </w:r>
      <w:r>
        <w:rPr/>
        <w:t>población,</w:t>
      </w:r>
      <w:r>
        <w:rPr>
          <w:spacing w:val="-6"/>
        </w:rPr>
        <w:t> </w:t>
      </w:r>
      <w:r>
        <w:rPr/>
        <w:t>y</w:t>
      </w:r>
      <w:r>
        <w:rPr>
          <w:spacing w:val="-8"/>
        </w:rPr>
        <w:t> </w:t>
      </w:r>
      <w:r>
        <w:rPr/>
        <w:t>a</w:t>
      </w:r>
      <w:r>
        <w:rPr>
          <w:spacing w:val="-3"/>
        </w:rPr>
        <w:t> </w:t>
      </w:r>
      <w:r>
        <w:rPr/>
        <w:t>efectos</w:t>
      </w:r>
      <w:r>
        <w:rPr>
          <w:spacing w:val="-6"/>
        </w:rPr>
        <w:t> </w:t>
      </w:r>
      <w:r>
        <w:rPr/>
        <w:t>de</w:t>
      </w:r>
      <w:r>
        <w:rPr>
          <w:spacing w:val="-5"/>
        </w:rPr>
        <w:t> </w:t>
      </w:r>
      <w:r>
        <w:rPr/>
        <w:t>considerar</w:t>
      </w:r>
      <w:r>
        <w:rPr>
          <w:spacing w:val="-7"/>
        </w:rPr>
        <w:t> </w:t>
      </w:r>
      <w:r>
        <w:rPr/>
        <w:t>las</w:t>
      </w:r>
      <w:r>
        <w:rPr>
          <w:spacing w:val="-6"/>
        </w:rPr>
        <w:t> </w:t>
      </w:r>
      <w:r>
        <w:rPr/>
        <w:t>medidas</w:t>
      </w:r>
      <w:r>
        <w:rPr>
          <w:spacing w:val="-9"/>
        </w:rPr>
        <w:t> </w:t>
      </w:r>
      <w:r>
        <w:rPr/>
        <w:t>de</w:t>
      </w:r>
      <w:r>
        <w:rPr>
          <w:spacing w:val="-7"/>
        </w:rPr>
        <w:t> </w:t>
      </w:r>
      <w:r>
        <w:rPr/>
        <w:t>reparación</w:t>
      </w:r>
      <w:r>
        <w:rPr>
          <w:spacing w:val="-5"/>
        </w:rPr>
        <w:t> </w:t>
      </w:r>
      <w:r>
        <w:rPr>
          <w:spacing w:val="2"/>
        </w:rPr>
        <w:t>que,</w:t>
      </w:r>
      <w:r>
        <w:rPr>
          <w:spacing w:val="-8"/>
        </w:rPr>
        <w:t> </w:t>
      </w:r>
      <w:r>
        <w:rPr/>
        <w:t>al respecto, pudieran</w:t>
      </w:r>
      <w:r>
        <w:rPr>
          <w:spacing w:val="-11"/>
        </w:rPr>
        <w:t> </w:t>
      </w:r>
      <w:r>
        <w:rPr/>
        <w:t>corresponder.</w:t>
      </w:r>
    </w:p>
    <w:p>
      <w:pPr>
        <w:pStyle w:val="BodyText"/>
        <w:spacing w:before="10"/>
        <w:rPr>
          <w:sz w:val="19"/>
        </w:rPr>
      </w:pPr>
    </w:p>
    <w:p>
      <w:pPr>
        <w:pStyle w:val="Heading3"/>
        <w:ind w:left="4444" w:right="3725" w:firstLine="2"/>
      </w:pPr>
      <w:bookmarkStart w:name="_bookmark13" w:id="21"/>
      <w:bookmarkEnd w:id="21"/>
      <w:r>
        <w:rPr>
          <w:b w:val="0"/>
        </w:rPr>
      </w:r>
      <w:r>
        <w:rPr/>
        <w:t>V    </w:t>
      </w:r>
      <w:bookmarkStart w:name="_bookmark14" w:id="22"/>
      <w:bookmarkEnd w:id="22"/>
      <w:r>
        <w:rPr/>
      </w:r>
      <w:r>
        <w:rPr>
          <w:w w:val="95"/>
        </w:rPr>
        <w:t>PRUEBA</w:t>
      </w:r>
    </w:p>
    <w:p>
      <w:pPr>
        <w:pStyle w:val="BodyText"/>
        <w:spacing w:before="10"/>
        <w:rPr>
          <w:b/>
          <w:sz w:val="19"/>
        </w:rPr>
      </w:pPr>
    </w:p>
    <w:p>
      <w:pPr>
        <w:pStyle w:val="Heading4"/>
        <w:numPr>
          <w:ilvl w:val="0"/>
          <w:numId w:val="16"/>
        </w:numPr>
        <w:tabs>
          <w:tab w:pos="1367" w:val="left" w:leader="none"/>
          <w:tab w:pos="1368" w:val="left" w:leader="none"/>
        </w:tabs>
        <w:spacing w:line="240" w:lineRule="auto" w:before="0" w:after="0"/>
        <w:ind w:left="1367" w:right="0" w:hanging="962"/>
        <w:jc w:val="left"/>
        <w:rPr>
          <w:i/>
        </w:rPr>
      </w:pPr>
      <w:bookmarkStart w:name="_bookmark15" w:id="23"/>
      <w:bookmarkEnd w:id="23"/>
      <w:r>
        <w:rPr>
          <w:b w:val="0"/>
          <w:i w:val="0"/>
        </w:rPr>
      </w:r>
      <w:bookmarkStart w:name="_bookmark15" w:id="24"/>
      <w:bookmarkEnd w:id="24"/>
      <w:r>
        <w:rPr>
          <w:i/>
          <w:u w:val="thick"/>
        </w:rPr>
        <w:t>A</w:t>
      </w:r>
      <w:r>
        <w:rPr>
          <w:i/>
          <w:u w:val="thick"/>
        </w:rPr>
        <w:t>dmisibilidad de la prueba</w:t>
      </w:r>
      <w:r>
        <w:rPr>
          <w:i/>
          <w:spacing w:val="-24"/>
          <w:u w:val="thick"/>
        </w:rPr>
        <w:t> </w:t>
      </w:r>
      <w:r>
        <w:rPr>
          <w:i/>
          <w:u w:val="thick"/>
        </w:rPr>
        <w:t>documental</w:t>
      </w:r>
    </w:p>
    <w:p>
      <w:pPr>
        <w:pStyle w:val="BodyText"/>
        <w:spacing w:before="10"/>
        <w:rPr>
          <w:b/>
          <w:i/>
          <w:sz w:val="11"/>
        </w:rPr>
      </w:pPr>
    </w:p>
    <w:p>
      <w:pPr>
        <w:pStyle w:val="ListParagraph"/>
        <w:numPr>
          <w:ilvl w:val="0"/>
          <w:numId w:val="14"/>
        </w:numPr>
        <w:tabs>
          <w:tab w:pos="830" w:val="left" w:leader="none"/>
        </w:tabs>
        <w:spacing w:line="240" w:lineRule="auto" w:before="100" w:after="0"/>
        <w:ind w:left="122" w:right="125" w:hanging="12"/>
        <w:jc w:val="both"/>
        <w:rPr>
          <w:sz w:val="20"/>
        </w:rPr>
      </w:pPr>
      <w:r>
        <w:rPr>
          <w:sz w:val="20"/>
        </w:rPr>
        <w:t>La</w:t>
      </w:r>
      <w:r>
        <w:rPr>
          <w:spacing w:val="-16"/>
          <w:sz w:val="20"/>
        </w:rPr>
        <w:t> </w:t>
      </w:r>
      <w:r>
        <w:rPr>
          <w:sz w:val="20"/>
        </w:rPr>
        <w:t>Corte</w:t>
      </w:r>
      <w:r>
        <w:rPr>
          <w:spacing w:val="-15"/>
          <w:sz w:val="20"/>
        </w:rPr>
        <w:t> </w:t>
      </w:r>
      <w:r>
        <w:rPr>
          <w:sz w:val="20"/>
        </w:rPr>
        <w:t>recibió</w:t>
      </w:r>
      <w:r>
        <w:rPr>
          <w:spacing w:val="-13"/>
          <w:sz w:val="20"/>
        </w:rPr>
        <w:t> </w:t>
      </w:r>
      <w:r>
        <w:rPr>
          <w:sz w:val="20"/>
        </w:rPr>
        <w:t>diversos</w:t>
      </w:r>
      <w:r>
        <w:rPr>
          <w:spacing w:val="-15"/>
          <w:sz w:val="20"/>
        </w:rPr>
        <w:t> </w:t>
      </w:r>
      <w:r>
        <w:rPr>
          <w:sz w:val="20"/>
        </w:rPr>
        <w:t>documentos,</w:t>
      </w:r>
      <w:r>
        <w:rPr>
          <w:spacing w:val="-14"/>
          <w:sz w:val="20"/>
        </w:rPr>
        <w:t> </w:t>
      </w:r>
      <w:r>
        <w:rPr>
          <w:sz w:val="20"/>
        </w:rPr>
        <w:t>presentados</w:t>
      </w:r>
      <w:r>
        <w:rPr>
          <w:spacing w:val="-15"/>
          <w:sz w:val="20"/>
        </w:rPr>
        <w:t> </w:t>
      </w:r>
      <w:r>
        <w:rPr>
          <w:sz w:val="20"/>
        </w:rPr>
        <w:t>como</w:t>
      </w:r>
      <w:r>
        <w:rPr>
          <w:spacing w:val="-14"/>
          <w:sz w:val="20"/>
        </w:rPr>
        <w:t> </w:t>
      </w:r>
      <w:r>
        <w:rPr>
          <w:sz w:val="20"/>
        </w:rPr>
        <w:t>prueba</w:t>
      </w:r>
      <w:r>
        <w:rPr>
          <w:spacing w:val="-16"/>
          <w:sz w:val="20"/>
        </w:rPr>
        <w:t> </w:t>
      </w:r>
      <w:r>
        <w:rPr>
          <w:sz w:val="20"/>
        </w:rPr>
        <w:t>por</w:t>
      </w:r>
      <w:r>
        <w:rPr>
          <w:spacing w:val="-15"/>
          <w:sz w:val="20"/>
        </w:rPr>
        <w:t> </w:t>
      </w:r>
      <w:r>
        <w:rPr>
          <w:sz w:val="20"/>
        </w:rPr>
        <w:t>la</w:t>
      </w:r>
      <w:r>
        <w:rPr>
          <w:spacing w:val="-14"/>
          <w:sz w:val="20"/>
        </w:rPr>
        <w:t> </w:t>
      </w:r>
      <w:r>
        <w:rPr>
          <w:sz w:val="20"/>
        </w:rPr>
        <w:t>Comisión, los representantes y el Estado, adjuntos a sus escritos principales (</w:t>
      </w:r>
      <w:r>
        <w:rPr>
          <w:i/>
          <w:sz w:val="20"/>
        </w:rPr>
        <w:t>supra </w:t>
      </w:r>
      <w:r>
        <w:rPr>
          <w:sz w:val="20"/>
        </w:rPr>
        <w:t>párrs. 1, 3, 6 y 7). Asimismo, recibió documentos adjuntos a los alegatos finales escritos de los representantes y del Estado (</w:t>
      </w:r>
      <w:r>
        <w:rPr>
          <w:i/>
          <w:sz w:val="20"/>
        </w:rPr>
        <w:t>supra </w:t>
      </w:r>
      <w:r>
        <w:rPr>
          <w:sz w:val="20"/>
        </w:rPr>
        <w:t>párr. 11), dos documentos entregados durante la visita</w:t>
      </w:r>
      <w:r>
        <w:rPr>
          <w:spacing w:val="-10"/>
          <w:sz w:val="20"/>
        </w:rPr>
        <w:t> </w:t>
      </w:r>
      <w:r>
        <w:rPr>
          <w:sz w:val="20"/>
        </w:rPr>
        <w:t>a</w:t>
      </w:r>
      <w:r>
        <w:rPr>
          <w:spacing w:val="-10"/>
          <w:sz w:val="20"/>
        </w:rPr>
        <w:t> </w:t>
      </w:r>
      <w:r>
        <w:rPr>
          <w:sz w:val="20"/>
        </w:rPr>
        <w:t>terreno</w:t>
      </w:r>
      <w:r>
        <w:rPr>
          <w:spacing w:val="-11"/>
          <w:sz w:val="20"/>
        </w:rPr>
        <w:t> </w:t>
      </w:r>
      <w:r>
        <w:rPr>
          <w:sz w:val="20"/>
        </w:rPr>
        <w:t>y</w:t>
      </w:r>
      <w:r>
        <w:rPr>
          <w:spacing w:val="-9"/>
          <w:sz w:val="20"/>
        </w:rPr>
        <w:t> </w:t>
      </w:r>
      <w:r>
        <w:rPr>
          <w:sz w:val="20"/>
        </w:rPr>
        <w:t>un</w:t>
      </w:r>
      <w:r>
        <w:rPr>
          <w:spacing w:val="-9"/>
          <w:sz w:val="20"/>
        </w:rPr>
        <w:t> </w:t>
      </w:r>
      <w:r>
        <w:rPr>
          <w:sz w:val="20"/>
        </w:rPr>
        <w:t>documento</w:t>
      </w:r>
      <w:r>
        <w:rPr>
          <w:spacing w:val="-9"/>
          <w:sz w:val="20"/>
        </w:rPr>
        <w:t> </w:t>
      </w:r>
      <w:r>
        <w:rPr>
          <w:sz w:val="20"/>
        </w:rPr>
        <w:t>enviado</w:t>
      </w:r>
      <w:r>
        <w:rPr>
          <w:spacing w:val="-11"/>
          <w:sz w:val="20"/>
        </w:rPr>
        <w:t> </w:t>
      </w:r>
      <w:r>
        <w:rPr>
          <w:sz w:val="20"/>
        </w:rPr>
        <w:t>después</w:t>
      </w:r>
      <w:r>
        <w:rPr>
          <w:spacing w:val="-11"/>
          <w:sz w:val="20"/>
        </w:rPr>
        <w:t> </w:t>
      </w:r>
      <w:r>
        <w:rPr>
          <w:sz w:val="20"/>
        </w:rPr>
        <w:t>por</w:t>
      </w:r>
      <w:r>
        <w:rPr>
          <w:spacing w:val="-11"/>
          <w:sz w:val="20"/>
        </w:rPr>
        <w:t> </w:t>
      </w:r>
      <w:r>
        <w:rPr>
          <w:sz w:val="20"/>
        </w:rPr>
        <w:t>pobladores</w:t>
      </w:r>
      <w:r>
        <w:rPr>
          <w:spacing w:val="-11"/>
          <w:sz w:val="20"/>
        </w:rPr>
        <w:t> </w:t>
      </w:r>
      <w:r>
        <w:rPr>
          <w:sz w:val="20"/>
        </w:rPr>
        <w:t>criollos</w:t>
      </w:r>
      <w:r>
        <w:rPr>
          <w:spacing w:val="-9"/>
          <w:sz w:val="20"/>
        </w:rPr>
        <w:t> </w:t>
      </w:r>
      <w:r>
        <w:rPr>
          <w:sz w:val="20"/>
        </w:rPr>
        <w:t>(</w:t>
      </w:r>
      <w:r>
        <w:rPr>
          <w:i/>
          <w:sz w:val="20"/>
        </w:rPr>
        <w:t>infra</w:t>
      </w:r>
      <w:r>
        <w:rPr>
          <w:i/>
          <w:spacing w:val="-9"/>
          <w:sz w:val="20"/>
        </w:rPr>
        <w:t> </w:t>
      </w:r>
      <w:r>
        <w:rPr>
          <w:sz w:val="20"/>
        </w:rPr>
        <w:t>párrs.</w:t>
      </w:r>
      <w:r>
        <w:rPr>
          <w:spacing w:val="-11"/>
          <w:sz w:val="20"/>
        </w:rPr>
        <w:t> </w:t>
      </w:r>
      <w:r>
        <w:rPr>
          <w:sz w:val="20"/>
        </w:rPr>
        <w:t>40 y 43, y nota a pie de página 27). También fueron allegados videos sobre la visita (</w:t>
      </w:r>
      <w:r>
        <w:rPr>
          <w:i/>
          <w:sz w:val="20"/>
        </w:rPr>
        <w:t>infra </w:t>
      </w:r>
      <w:r>
        <w:rPr>
          <w:sz w:val="20"/>
        </w:rPr>
        <w:t>párr.</w:t>
      </w:r>
      <w:r>
        <w:rPr>
          <w:spacing w:val="-5"/>
          <w:sz w:val="20"/>
        </w:rPr>
        <w:t> </w:t>
      </w:r>
      <w:r>
        <w:rPr>
          <w:sz w:val="20"/>
        </w:rPr>
        <w:t>39).</w:t>
      </w:r>
    </w:p>
    <w:p>
      <w:pPr>
        <w:pStyle w:val="BodyText"/>
        <w:spacing w:before="1"/>
      </w:pPr>
    </w:p>
    <w:p>
      <w:pPr>
        <w:pStyle w:val="ListParagraph"/>
        <w:numPr>
          <w:ilvl w:val="0"/>
          <w:numId w:val="14"/>
        </w:numPr>
        <w:tabs>
          <w:tab w:pos="830" w:val="left" w:leader="none"/>
        </w:tabs>
        <w:spacing w:line="242" w:lineRule="auto" w:before="0" w:after="0"/>
        <w:ind w:left="122" w:right="124" w:hanging="12"/>
        <w:jc w:val="both"/>
        <w:rPr>
          <w:sz w:val="20"/>
        </w:rPr>
      </w:pPr>
      <w:r>
        <w:rPr>
          <w:sz w:val="20"/>
        </w:rPr>
        <w:t>Este Tribunal admite aquellos documentos presentados oportunamente por las partes y la Comisión cuya admisibilidad no fue controvertida ni objetada y cuya autenticidad no fue puesta en duda</w:t>
      </w:r>
      <w:r>
        <w:rPr>
          <w:rFonts w:ascii="Calibri" w:hAnsi="Calibri"/>
          <w:position w:val="8"/>
          <w:sz w:val="14"/>
        </w:rPr>
        <w:t>24</w:t>
      </w:r>
      <w:r>
        <w:rPr>
          <w:sz w:val="20"/>
        </w:rPr>
        <w:t>. Además, el 29 de agosto de 2019 la Corte comunicó a las partes y a la Comisión la incorporación de prueba de oficio y solicitó al Estado prueba para mejor resolver. Las partes y la Comisión no presentaron</w:t>
      </w:r>
      <w:r>
        <w:rPr>
          <w:spacing w:val="-44"/>
          <w:sz w:val="20"/>
        </w:rPr>
        <w:t> </w:t>
      </w:r>
      <w:r>
        <w:rPr>
          <w:sz w:val="20"/>
        </w:rPr>
        <w:t>objeciones a la admisibilidad de dicha documentación, que ha quedado</w:t>
      </w:r>
      <w:r>
        <w:rPr>
          <w:spacing w:val="-25"/>
          <w:sz w:val="20"/>
        </w:rPr>
        <w:t> </w:t>
      </w:r>
      <w:r>
        <w:rPr>
          <w:sz w:val="20"/>
        </w:rPr>
        <w:t>incorporada</w:t>
      </w:r>
      <w:r>
        <w:rPr>
          <w:rFonts w:ascii="Calibri" w:hAnsi="Calibri"/>
          <w:position w:val="8"/>
          <w:sz w:val="14"/>
        </w:rPr>
        <w:t>25</w:t>
      </w:r>
      <w:r>
        <w:rPr>
          <w:sz w:val="20"/>
        </w:rPr>
        <w:t>.</w:t>
      </w:r>
    </w:p>
    <w:p>
      <w:pPr>
        <w:pStyle w:val="BodyText"/>
        <w:spacing w:before="5"/>
        <w:rPr>
          <w:sz w:val="26"/>
        </w:rPr>
      </w:pPr>
      <w:r>
        <w:rPr/>
        <w:pict>
          <v:line style="position:absolute;mso-position-horizontal-relative:page;mso-position-vertical-relative:paragraph;z-index:1264;mso-wrap-distance-left:0;mso-wrap-distance-right:0" from="85.103996pt,18.405436pt" to="229.123996pt,18.405436pt" stroked="true" strokeweight=".71997pt" strokecolor="#000000">
            <v:stroke dashstyle="solid"/>
            <w10:wrap type="topAndBottom"/>
          </v:line>
        </w:pict>
      </w:r>
    </w:p>
    <w:p>
      <w:pPr>
        <w:tabs>
          <w:tab w:pos="829" w:val="left" w:leader="none"/>
        </w:tabs>
        <w:spacing w:before="71"/>
        <w:ind w:left="122" w:right="114" w:firstLine="0"/>
        <w:jc w:val="both"/>
        <w:rPr>
          <w:sz w:val="16"/>
        </w:rPr>
      </w:pPr>
      <w:r>
        <w:rPr>
          <w:position w:val="6"/>
          <w:sz w:val="10"/>
        </w:rPr>
        <w:t>24</w:t>
        <w:tab/>
      </w:r>
      <w:r>
        <w:rPr>
          <w:i/>
          <w:sz w:val="16"/>
        </w:rPr>
        <w:t>Cfr. </w:t>
      </w:r>
      <w:r>
        <w:rPr>
          <w:sz w:val="16"/>
        </w:rPr>
        <w:t>artículo 57 del Reglamento; también </w:t>
      </w:r>
      <w:r>
        <w:rPr>
          <w:i/>
          <w:sz w:val="16"/>
        </w:rPr>
        <w:t>Caso Velásquez Rodríguez Vs. Honduras. Fondo</w:t>
      </w:r>
      <w:r>
        <w:rPr>
          <w:sz w:val="16"/>
        </w:rPr>
        <w:t>.</w:t>
      </w:r>
      <w:r>
        <w:rPr>
          <w:spacing w:val="1"/>
          <w:sz w:val="16"/>
        </w:rPr>
        <w:t> </w:t>
      </w:r>
      <w:r>
        <w:rPr>
          <w:sz w:val="16"/>
        </w:rPr>
        <w:t>Sentencia</w:t>
      </w:r>
      <w:r>
        <w:rPr>
          <w:w w:val="100"/>
          <w:sz w:val="16"/>
        </w:rPr>
        <w:t> </w:t>
      </w:r>
      <w:r>
        <w:rPr>
          <w:sz w:val="16"/>
        </w:rPr>
        <w:t>de</w:t>
      </w:r>
      <w:r>
        <w:rPr>
          <w:spacing w:val="-6"/>
          <w:sz w:val="16"/>
        </w:rPr>
        <w:t> </w:t>
      </w:r>
      <w:r>
        <w:rPr>
          <w:sz w:val="16"/>
        </w:rPr>
        <w:t>29</w:t>
      </w:r>
      <w:r>
        <w:rPr>
          <w:spacing w:val="-5"/>
          <w:sz w:val="16"/>
        </w:rPr>
        <w:t> </w:t>
      </w:r>
      <w:r>
        <w:rPr>
          <w:sz w:val="16"/>
        </w:rPr>
        <w:t>de</w:t>
      </w:r>
      <w:r>
        <w:rPr>
          <w:spacing w:val="-3"/>
          <w:sz w:val="16"/>
        </w:rPr>
        <w:t> </w:t>
      </w:r>
      <w:r>
        <w:rPr>
          <w:sz w:val="16"/>
        </w:rPr>
        <w:t>julio</w:t>
      </w:r>
      <w:r>
        <w:rPr>
          <w:spacing w:val="-5"/>
          <w:sz w:val="16"/>
        </w:rPr>
        <w:t> </w:t>
      </w:r>
      <w:r>
        <w:rPr>
          <w:sz w:val="16"/>
        </w:rPr>
        <w:t>de</w:t>
      </w:r>
      <w:r>
        <w:rPr>
          <w:spacing w:val="-6"/>
          <w:sz w:val="16"/>
        </w:rPr>
        <w:t> </w:t>
      </w:r>
      <w:r>
        <w:rPr>
          <w:sz w:val="16"/>
        </w:rPr>
        <w:t>1988.</w:t>
      </w:r>
      <w:r>
        <w:rPr>
          <w:spacing w:val="-7"/>
          <w:sz w:val="16"/>
        </w:rPr>
        <w:t> </w:t>
      </w:r>
      <w:r>
        <w:rPr>
          <w:sz w:val="16"/>
        </w:rPr>
        <w:t>Serie</w:t>
      </w:r>
      <w:r>
        <w:rPr>
          <w:spacing w:val="-6"/>
          <w:sz w:val="16"/>
        </w:rPr>
        <w:t> </w:t>
      </w:r>
      <w:r>
        <w:rPr>
          <w:sz w:val="16"/>
        </w:rPr>
        <w:t>C</w:t>
      </w:r>
      <w:r>
        <w:rPr>
          <w:spacing w:val="-3"/>
          <w:sz w:val="16"/>
        </w:rPr>
        <w:t> </w:t>
      </w:r>
      <w:r>
        <w:rPr>
          <w:sz w:val="16"/>
        </w:rPr>
        <w:t>No.</w:t>
      </w:r>
      <w:r>
        <w:rPr>
          <w:spacing w:val="-5"/>
          <w:sz w:val="16"/>
        </w:rPr>
        <w:t> </w:t>
      </w:r>
      <w:r>
        <w:rPr>
          <w:sz w:val="16"/>
        </w:rPr>
        <w:t>4,</w:t>
      </w:r>
      <w:r>
        <w:rPr>
          <w:spacing w:val="-7"/>
          <w:sz w:val="16"/>
        </w:rPr>
        <w:t> </w:t>
      </w:r>
      <w:r>
        <w:rPr>
          <w:sz w:val="16"/>
        </w:rPr>
        <w:t>párr.</w:t>
      </w:r>
      <w:r>
        <w:rPr>
          <w:spacing w:val="-7"/>
          <w:sz w:val="16"/>
        </w:rPr>
        <w:t> </w:t>
      </w:r>
      <w:r>
        <w:rPr>
          <w:sz w:val="16"/>
        </w:rPr>
        <w:t>140</w:t>
      </w:r>
      <w:r>
        <w:rPr>
          <w:spacing w:val="-5"/>
          <w:sz w:val="16"/>
        </w:rPr>
        <w:t> </w:t>
      </w:r>
      <w:r>
        <w:rPr>
          <w:sz w:val="16"/>
        </w:rPr>
        <w:t>y</w:t>
      </w:r>
      <w:r>
        <w:rPr>
          <w:spacing w:val="-2"/>
          <w:sz w:val="16"/>
        </w:rPr>
        <w:t> </w:t>
      </w:r>
      <w:r>
        <w:rPr>
          <w:i/>
          <w:sz w:val="16"/>
        </w:rPr>
        <w:t>Caso</w:t>
      </w:r>
      <w:r>
        <w:rPr>
          <w:i/>
          <w:spacing w:val="-5"/>
          <w:sz w:val="16"/>
        </w:rPr>
        <w:t> </w:t>
      </w:r>
      <w:r>
        <w:rPr>
          <w:i/>
          <w:sz w:val="16"/>
        </w:rPr>
        <w:t>Gorigoitía</w:t>
      </w:r>
      <w:r>
        <w:rPr>
          <w:i/>
          <w:spacing w:val="-4"/>
          <w:sz w:val="16"/>
        </w:rPr>
        <w:t> </w:t>
      </w:r>
      <w:r>
        <w:rPr>
          <w:i/>
          <w:sz w:val="16"/>
        </w:rPr>
        <w:t>Vs.</w:t>
      </w:r>
      <w:r>
        <w:rPr>
          <w:i/>
          <w:spacing w:val="-7"/>
          <w:sz w:val="16"/>
        </w:rPr>
        <w:t> </w:t>
      </w:r>
      <w:r>
        <w:rPr>
          <w:i/>
          <w:sz w:val="16"/>
        </w:rPr>
        <w:t>Argentina.</w:t>
      </w:r>
      <w:r>
        <w:rPr>
          <w:i/>
          <w:spacing w:val="-5"/>
          <w:sz w:val="16"/>
        </w:rPr>
        <w:t> </w:t>
      </w:r>
      <w:r>
        <w:rPr>
          <w:i/>
          <w:sz w:val="16"/>
        </w:rPr>
        <w:t>Excepción</w:t>
      </w:r>
      <w:r>
        <w:rPr>
          <w:i/>
          <w:spacing w:val="-5"/>
          <w:sz w:val="16"/>
        </w:rPr>
        <w:t> </w:t>
      </w:r>
      <w:r>
        <w:rPr>
          <w:i/>
          <w:sz w:val="16"/>
        </w:rPr>
        <w:t>Preliminar,</w:t>
      </w:r>
      <w:r>
        <w:rPr>
          <w:i/>
          <w:spacing w:val="-5"/>
          <w:sz w:val="16"/>
        </w:rPr>
        <w:t> </w:t>
      </w:r>
      <w:r>
        <w:rPr>
          <w:i/>
          <w:sz w:val="16"/>
        </w:rPr>
        <w:t>Fondo, </w:t>
      </w:r>
      <w:r>
        <w:rPr>
          <w:i/>
          <w:sz w:val="16"/>
        </w:rPr>
        <w:t>Reparaciones y Costas. </w:t>
      </w:r>
      <w:r>
        <w:rPr>
          <w:sz w:val="16"/>
        </w:rPr>
        <w:t>Sentencia de 2 de septiembre de 2019. Serie C No. 382, párr. 27. Ver también, en el mismo sentido, </w:t>
      </w:r>
      <w:r>
        <w:rPr>
          <w:i/>
          <w:sz w:val="16"/>
        </w:rPr>
        <w:t>Caso Jenkins Vs. Argentina. Excepciones Preliminares, Fondo, Reparaciones y Costas. </w:t>
      </w:r>
      <w:r>
        <w:rPr>
          <w:sz w:val="16"/>
        </w:rPr>
        <w:t>Sentencia de 26 de noviembre de 2019. Serie C No. 397, párr.</w:t>
      </w:r>
      <w:r>
        <w:rPr>
          <w:spacing w:val="-22"/>
          <w:sz w:val="16"/>
        </w:rPr>
        <w:t> </w:t>
      </w:r>
      <w:r>
        <w:rPr>
          <w:sz w:val="16"/>
        </w:rPr>
        <w:t>38.</w:t>
      </w:r>
    </w:p>
    <w:p>
      <w:pPr>
        <w:pStyle w:val="BodyText"/>
        <w:rPr>
          <w:sz w:val="16"/>
        </w:rPr>
      </w:pPr>
    </w:p>
    <w:p>
      <w:pPr>
        <w:tabs>
          <w:tab w:pos="829" w:val="left" w:leader="none"/>
        </w:tabs>
        <w:spacing w:line="240" w:lineRule="auto" w:before="0"/>
        <w:ind w:left="122" w:right="114" w:firstLine="0"/>
        <w:jc w:val="both"/>
        <w:rPr>
          <w:sz w:val="16"/>
        </w:rPr>
      </w:pPr>
      <w:r>
        <w:rPr>
          <w:position w:val="6"/>
          <w:sz w:val="10"/>
        </w:rPr>
        <w:t>25</w:t>
        <w:tab/>
      </w:r>
      <w:r>
        <w:rPr>
          <w:sz w:val="16"/>
        </w:rPr>
        <w:t>Como</w:t>
      </w:r>
      <w:r>
        <w:rPr>
          <w:spacing w:val="31"/>
          <w:sz w:val="16"/>
        </w:rPr>
        <w:t> </w:t>
      </w:r>
      <w:r>
        <w:rPr>
          <w:sz w:val="16"/>
        </w:rPr>
        <w:t>prueba</w:t>
      </w:r>
      <w:r>
        <w:rPr>
          <w:spacing w:val="31"/>
          <w:sz w:val="16"/>
        </w:rPr>
        <w:t> </w:t>
      </w:r>
      <w:r>
        <w:rPr>
          <w:sz w:val="16"/>
        </w:rPr>
        <w:t>de</w:t>
      </w:r>
      <w:r>
        <w:rPr>
          <w:spacing w:val="31"/>
          <w:sz w:val="16"/>
        </w:rPr>
        <w:t> </w:t>
      </w:r>
      <w:r>
        <w:rPr>
          <w:sz w:val="16"/>
        </w:rPr>
        <w:t>oficio,</w:t>
      </w:r>
      <w:r>
        <w:rPr>
          <w:spacing w:val="30"/>
          <w:sz w:val="16"/>
        </w:rPr>
        <w:t> </w:t>
      </w:r>
      <w:r>
        <w:rPr>
          <w:sz w:val="16"/>
        </w:rPr>
        <w:t>han</w:t>
      </w:r>
      <w:r>
        <w:rPr>
          <w:spacing w:val="30"/>
          <w:sz w:val="16"/>
        </w:rPr>
        <w:t> </w:t>
      </w:r>
      <w:r>
        <w:rPr>
          <w:sz w:val="16"/>
        </w:rPr>
        <w:t>quedado</w:t>
      </w:r>
      <w:r>
        <w:rPr>
          <w:spacing w:val="31"/>
          <w:sz w:val="16"/>
        </w:rPr>
        <w:t> </w:t>
      </w:r>
      <w:r>
        <w:rPr>
          <w:sz w:val="16"/>
        </w:rPr>
        <w:t>incorporados</w:t>
      </w:r>
      <w:r>
        <w:rPr>
          <w:spacing w:val="31"/>
          <w:sz w:val="16"/>
        </w:rPr>
        <w:t> </w:t>
      </w:r>
      <w:r>
        <w:rPr>
          <w:sz w:val="16"/>
        </w:rPr>
        <w:t>los</w:t>
      </w:r>
      <w:r>
        <w:rPr>
          <w:spacing w:val="31"/>
          <w:sz w:val="16"/>
        </w:rPr>
        <w:t> </w:t>
      </w:r>
      <w:r>
        <w:rPr>
          <w:sz w:val="16"/>
        </w:rPr>
        <w:t>siguientes</w:t>
      </w:r>
      <w:r>
        <w:rPr>
          <w:spacing w:val="32"/>
          <w:sz w:val="16"/>
        </w:rPr>
        <w:t> </w:t>
      </w:r>
      <w:r>
        <w:rPr>
          <w:sz w:val="16"/>
        </w:rPr>
        <w:t>documentos:</w:t>
      </w:r>
      <w:r>
        <w:rPr>
          <w:spacing w:val="30"/>
          <w:sz w:val="16"/>
        </w:rPr>
        <w:t> </w:t>
      </w:r>
      <w:r>
        <w:rPr>
          <w:sz w:val="16"/>
        </w:rPr>
        <w:t>A)</w:t>
      </w:r>
      <w:r>
        <w:rPr>
          <w:spacing w:val="30"/>
          <w:sz w:val="16"/>
        </w:rPr>
        <w:t> </w:t>
      </w:r>
      <w:r>
        <w:rPr>
          <w:sz w:val="16"/>
        </w:rPr>
        <w:t>Jurisprudencia</w:t>
      </w:r>
      <w:r>
        <w:rPr>
          <w:w w:val="100"/>
          <w:sz w:val="16"/>
        </w:rPr>
        <w:t> </w:t>
      </w:r>
      <w:r>
        <w:rPr>
          <w:sz w:val="16"/>
        </w:rPr>
        <w:t>interna: Cámara Contencioso Administrativo Federal, Sala III, Comunidad Mapuche Trypayantu c/ EN – INAI s/ Proceso de conocimiento. Sentencia de 22 de noviembre de 2018; CSJN, Neuquén, Provincia del c/ Estado Nacional (Ministerio de Desarrollo Social - Instituto Nacional de Asuntos Indígenas) s/ impugnación de actos administrativos</w:t>
      </w:r>
      <w:r>
        <w:rPr>
          <w:spacing w:val="-6"/>
          <w:sz w:val="16"/>
        </w:rPr>
        <w:t> </w:t>
      </w:r>
      <w:r>
        <w:rPr>
          <w:sz w:val="16"/>
        </w:rPr>
        <w:t>y</w:t>
      </w:r>
      <w:r>
        <w:rPr>
          <w:spacing w:val="-3"/>
          <w:sz w:val="16"/>
        </w:rPr>
        <w:t> </w:t>
      </w:r>
      <w:r>
        <w:rPr>
          <w:sz w:val="16"/>
        </w:rPr>
        <w:t>acción</w:t>
      </w:r>
      <w:r>
        <w:rPr>
          <w:spacing w:val="-4"/>
          <w:sz w:val="16"/>
        </w:rPr>
        <w:t> </w:t>
      </w:r>
      <w:r>
        <w:rPr>
          <w:sz w:val="16"/>
        </w:rPr>
        <w:t>declarativa</w:t>
      </w:r>
      <w:r>
        <w:rPr>
          <w:spacing w:val="-4"/>
          <w:sz w:val="16"/>
        </w:rPr>
        <w:t> </w:t>
      </w:r>
      <w:r>
        <w:rPr>
          <w:sz w:val="16"/>
        </w:rPr>
        <w:t>de</w:t>
      </w:r>
      <w:r>
        <w:rPr>
          <w:spacing w:val="-6"/>
          <w:sz w:val="16"/>
        </w:rPr>
        <w:t> </w:t>
      </w:r>
      <w:r>
        <w:rPr>
          <w:sz w:val="16"/>
        </w:rPr>
        <w:t>certeza,</w:t>
      </w:r>
      <w:r>
        <w:rPr>
          <w:spacing w:val="-5"/>
          <w:sz w:val="16"/>
        </w:rPr>
        <w:t> </w:t>
      </w:r>
      <w:r>
        <w:rPr>
          <w:sz w:val="16"/>
        </w:rPr>
        <w:t>sentencia</w:t>
      </w:r>
      <w:r>
        <w:rPr>
          <w:spacing w:val="-7"/>
          <w:sz w:val="16"/>
        </w:rPr>
        <w:t> </w:t>
      </w:r>
      <w:r>
        <w:rPr>
          <w:sz w:val="16"/>
        </w:rPr>
        <w:t>del</w:t>
      </w:r>
      <w:r>
        <w:rPr>
          <w:spacing w:val="-4"/>
          <w:sz w:val="16"/>
        </w:rPr>
        <w:t> </w:t>
      </w:r>
      <w:r>
        <w:rPr>
          <w:sz w:val="16"/>
        </w:rPr>
        <w:t>11</w:t>
      </w:r>
      <w:r>
        <w:rPr>
          <w:spacing w:val="-3"/>
          <w:sz w:val="16"/>
        </w:rPr>
        <w:t> </w:t>
      </w:r>
      <w:r>
        <w:rPr>
          <w:sz w:val="16"/>
        </w:rPr>
        <w:t>de</w:t>
      </w:r>
      <w:r>
        <w:rPr>
          <w:spacing w:val="-3"/>
          <w:sz w:val="16"/>
        </w:rPr>
        <w:t> </w:t>
      </w:r>
      <w:r>
        <w:rPr>
          <w:sz w:val="16"/>
        </w:rPr>
        <w:t>septiembre</w:t>
      </w:r>
      <w:r>
        <w:rPr>
          <w:spacing w:val="-6"/>
          <w:sz w:val="16"/>
        </w:rPr>
        <w:t> </w:t>
      </w:r>
      <w:r>
        <w:rPr>
          <w:sz w:val="16"/>
        </w:rPr>
        <w:t>de</w:t>
      </w:r>
      <w:r>
        <w:rPr>
          <w:spacing w:val="-6"/>
          <w:sz w:val="16"/>
        </w:rPr>
        <w:t> </w:t>
      </w:r>
      <w:r>
        <w:rPr>
          <w:sz w:val="16"/>
        </w:rPr>
        <w:t>2018,</w:t>
      </w:r>
      <w:r>
        <w:rPr>
          <w:spacing w:val="-7"/>
          <w:sz w:val="16"/>
        </w:rPr>
        <w:t> </w:t>
      </w:r>
      <w:r>
        <w:rPr>
          <w:sz w:val="16"/>
        </w:rPr>
        <w:t>punto</w:t>
      </w:r>
      <w:r>
        <w:rPr>
          <w:spacing w:val="-3"/>
          <w:sz w:val="16"/>
        </w:rPr>
        <w:t> </w:t>
      </w:r>
      <w:r>
        <w:rPr>
          <w:sz w:val="16"/>
        </w:rPr>
        <w:t>I;</w:t>
      </w:r>
      <w:r>
        <w:rPr>
          <w:spacing w:val="-5"/>
          <w:sz w:val="16"/>
        </w:rPr>
        <w:t> </w:t>
      </w:r>
      <w:r>
        <w:rPr>
          <w:sz w:val="16"/>
        </w:rPr>
        <w:t>Comunidad Aborigen de Aguas Blancas vs. Provincia de Salta – Amparo. Sentencia de 19 de septiembre de 2016. Expte. N° CJS 37.010/14. Tomo 207:289/306; “Confederación Indígena del Neuquén c. Provincia del Neuquén s/acción de inconstitucionalidad”, 10-12-2013. B) Normativa nacional: ley 24.071; Código Civil, ley nacional 17.711; Código Civil y de Comercio, ley 26.994; ley 25.799, ley 26.160; ley 23.302; Decreto del Poder Ejecutivo Nacional (PEN) 155/89, Decreto del PEN 1122/07; Decreto del PEN 791/12; Decreto del PEN 672/2016; Resolución del INAI 587/2007; Resolución del INAI 70 - E/2016; Resolución del INAI 478/2018; Resolución</w:t>
      </w:r>
      <w:r>
        <w:rPr>
          <w:spacing w:val="15"/>
          <w:sz w:val="16"/>
        </w:rPr>
        <w:t> </w:t>
      </w:r>
      <w:r>
        <w:rPr>
          <w:sz w:val="16"/>
        </w:rPr>
        <w:t>del</w:t>
      </w:r>
      <w:r>
        <w:rPr>
          <w:spacing w:val="15"/>
          <w:sz w:val="16"/>
        </w:rPr>
        <w:t> </w:t>
      </w:r>
      <w:r>
        <w:rPr>
          <w:sz w:val="16"/>
        </w:rPr>
        <w:t>INAI</w:t>
      </w:r>
      <w:r>
        <w:rPr>
          <w:spacing w:val="14"/>
          <w:sz w:val="16"/>
        </w:rPr>
        <w:t> </w:t>
      </w:r>
      <w:r>
        <w:rPr>
          <w:sz w:val="16"/>
        </w:rPr>
        <w:t>477/2018;</w:t>
      </w:r>
      <w:r>
        <w:rPr>
          <w:spacing w:val="15"/>
          <w:sz w:val="16"/>
        </w:rPr>
        <w:t> </w:t>
      </w:r>
      <w:r>
        <w:rPr>
          <w:sz w:val="16"/>
        </w:rPr>
        <w:t>Resolución</w:t>
      </w:r>
      <w:r>
        <w:rPr>
          <w:spacing w:val="13"/>
          <w:sz w:val="16"/>
        </w:rPr>
        <w:t> </w:t>
      </w:r>
      <w:r>
        <w:rPr>
          <w:sz w:val="16"/>
        </w:rPr>
        <w:t>del</w:t>
      </w:r>
      <w:r>
        <w:rPr>
          <w:spacing w:val="15"/>
          <w:sz w:val="16"/>
        </w:rPr>
        <w:t> </w:t>
      </w:r>
      <w:r>
        <w:rPr>
          <w:sz w:val="16"/>
        </w:rPr>
        <w:t>INAI</w:t>
      </w:r>
      <w:r>
        <w:rPr>
          <w:spacing w:val="14"/>
          <w:sz w:val="16"/>
        </w:rPr>
        <w:t> </w:t>
      </w:r>
      <w:r>
        <w:rPr>
          <w:sz w:val="16"/>
        </w:rPr>
        <w:t>328/2010.</w:t>
      </w:r>
      <w:r>
        <w:rPr>
          <w:spacing w:val="15"/>
          <w:sz w:val="16"/>
        </w:rPr>
        <w:t> </w:t>
      </w:r>
      <w:r>
        <w:rPr>
          <w:sz w:val="16"/>
        </w:rPr>
        <w:t>C)</w:t>
      </w:r>
      <w:r>
        <w:rPr>
          <w:spacing w:val="16"/>
          <w:sz w:val="16"/>
        </w:rPr>
        <w:t> </w:t>
      </w:r>
      <w:r>
        <w:rPr>
          <w:sz w:val="16"/>
        </w:rPr>
        <w:t>Normativa</w:t>
      </w:r>
      <w:r>
        <w:rPr>
          <w:spacing w:val="14"/>
          <w:sz w:val="16"/>
        </w:rPr>
        <w:t> </w:t>
      </w:r>
      <w:r>
        <w:rPr>
          <w:sz w:val="16"/>
        </w:rPr>
        <w:t>de</w:t>
      </w:r>
      <w:r>
        <w:rPr>
          <w:spacing w:val="14"/>
          <w:sz w:val="16"/>
        </w:rPr>
        <w:t> </w:t>
      </w:r>
      <w:r>
        <w:rPr>
          <w:sz w:val="16"/>
        </w:rPr>
        <w:t>Salta:</w:t>
      </w:r>
      <w:r>
        <w:rPr>
          <w:spacing w:val="15"/>
          <w:sz w:val="16"/>
        </w:rPr>
        <w:t> </w:t>
      </w:r>
      <w:r>
        <w:rPr>
          <w:sz w:val="16"/>
        </w:rPr>
        <w:t>ley</w:t>
      </w:r>
      <w:r>
        <w:rPr>
          <w:spacing w:val="15"/>
          <w:sz w:val="16"/>
        </w:rPr>
        <w:t> </w:t>
      </w:r>
      <w:r>
        <w:rPr>
          <w:sz w:val="16"/>
        </w:rPr>
        <w:t>7.070</w:t>
      </w:r>
      <w:r>
        <w:rPr>
          <w:spacing w:val="15"/>
          <w:sz w:val="16"/>
        </w:rPr>
        <w:t> </w:t>
      </w:r>
      <w:r>
        <w:rPr>
          <w:sz w:val="16"/>
        </w:rPr>
        <w:t>y</w:t>
      </w:r>
      <w:r>
        <w:rPr>
          <w:spacing w:val="15"/>
          <w:sz w:val="16"/>
        </w:rPr>
        <w:t> </w:t>
      </w:r>
      <w:r>
        <w:rPr>
          <w:sz w:val="16"/>
        </w:rPr>
        <w:t>Decreto</w:t>
      </w:r>
    </w:p>
    <w:p>
      <w:pPr>
        <w:spacing w:after="0" w:line="240" w:lineRule="auto"/>
        <w:jc w:val="both"/>
        <w:rPr>
          <w:sz w:val="16"/>
        </w:rPr>
        <w:sectPr>
          <w:pgSz w:w="12240" w:h="15840"/>
          <w:pgMar w:header="0" w:footer="1000" w:top="1340" w:bottom="1200" w:left="1580" w:right="1580"/>
        </w:sectPr>
      </w:pPr>
    </w:p>
    <w:p>
      <w:pPr>
        <w:pStyle w:val="ListParagraph"/>
        <w:numPr>
          <w:ilvl w:val="0"/>
          <w:numId w:val="14"/>
        </w:numPr>
        <w:tabs>
          <w:tab w:pos="830" w:val="left" w:leader="none"/>
        </w:tabs>
        <w:spacing w:line="240" w:lineRule="auto" w:before="161" w:after="0"/>
        <w:ind w:left="122" w:right="124" w:hanging="12"/>
        <w:jc w:val="both"/>
        <w:rPr>
          <w:sz w:val="20"/>
        </w:rPr>
      </w:pPr>
      <w:r>
        <w:rPr>
          <w:sz w:val="20"/>
        </w:rPr>
        <w:t>Los </w:t>
      </w:r>
      <w:r>
        <w:rPr>
          <w:b/>
          <w:i/>
          <w:sz w:val="20"/>
        </w:rPr>
        <w:t>representantes </w:t>
      </w:r>
      <w:r>
        <w:rPr>
          <w:sz w:val="20"/>
        </w:rPr>
        <w:t>presentaron junto con sus alegatos finales escritos dos grupos de documentos: a) por una parte, un informe sobre inundaciones a inicios de 2019,</w:t>
      </w:r>
      <w:r>
        <w:rPr>
          <w:spacing w:val="-13"/>
          <w:sz w:val="20"/>
        </w:rPr>
        <w:t> </w:t>
      </w:r>
      <w:r>
        <w:rPr>
          <w:sz w:val="20"/>
        </w:rPr>
        <w:t>elaborado</w:t>
      </w:r>
      <w:r>
        <w:rPr>
          <w:spacing w:val="-14"/>
          <w:sz w:val="20"/>
        </w:rPr>
        <w:t> </w:t>
      </w:r>
      <w:r>
        <w:rPr>
          <w:sz w:val="20"/>
        </w:rPr>
        <w:t>por</w:t>
      </w:r>
      <w:r>
        <w:rPr>
          <w:spacing w:val="-14"/>
          <w:sz w:val="20"/>
        </w:rPr>
        <w:t> </w:t>
      </w:r>
      <w:r>
        <w:rPr>
          <w:sz w:val="20"/>
        </w:rPr>
        <w:t>Luis</w:t>
      </w:r>
      <w:r>
        <w:rPr>
          <w:spacing w:val="-13"/>
          <w:sz w:val="20"/>
        </w:rPr>
        <w:t> </w:t>
      </w:r>
      <w:r>
        <w:rPr>
          <w:sz w:val="20"/>
        </w:rPr>
        <w:t>María</w:t>
      </w:r>
      <w:r>
        <w:rPr>
          <w:spacing w:val="-12"/>
          <w:sz w:val="20"/>
        </w:rPr>
        <w:t> </w:t>
      </w:r>
      <w:r>
        <w:rPr>
          <w:sz w:val="20"/>
        </w:rPr>
        <w:t>de</w:t>
      </w:r>
      <w:r>
        <w:rPr>
          <w:spacing w:val="-14"/>
          <w:sz w:val="20"/>
        </w:rPr>
        <w:t> </w:t>
      </w:r>
      <w:r>
        <w:rPr>
          <w:sz w:val="20"/>
        </w:rPr>
        <w:t>la</w:t>
      </w:r>
      <w:r>
        <w:rPr>
          <w:spacing w:val="-12"/>
          <w:sz w:val="20"/>
        </w:rPr>
        <w:t> </w:t>
      </w:r>
      <w:r>
        <w:rPr>
          <w:sz w:val="20"/>
        </w:rPr>
        <w:t>Cruz,</w:t>
      </w:r>
      <w:r>
        <w:rPr>
          <w:spacing w:val="-10"/>
          <w:sz w:val="20"/>
        </w:rPr>
        <w:t> </w:t>
      </w:r>
      <w:r>
        <w:rPr>
          <w:sz w:val="20"/>
        </w:rPr>
        <w:t>junto</w:t>
      </w:r>
      <w:r>
        <w:rPr>
          <w:spacing w:val="-14"/>
          <w:sz w:val="20"/>
        </w:rPr>
        <w:t> </w:t>
      </w:r>
      <w:r>
        <w:rPr>
          <w:sz w:val="20"/>
        </w:rPr>
        <w:t>a</w:t>
      </w:r>
      <w:r>
        <w:rPr>
          <w:spacing w:val="-11"/>
          <w:sz w:val="20"/>
        </w:rPr>
        <w:t> </w:t>
      </w:r>
      <w:r>
        <w:rPr>
          <w:sz w:val="20"/>
        </w:rPr>
        <w:t>su</w:t>
      </w:r>
      <w:r>
        <w:rPr>
          <w:spacing w:val="-12"/>
          <w:sz w:val="20"/>
        </w:rPr>
        <w:t> </w:t>
      </w:r>
      <w:r>
        <w:rPr>
          <w:i/>
          <w:sz w:val="20"/>
        </w:rPr>
        <w:t>curriculum</w:t>
      </w:r>
      <w:r>
        <w:rPr>
          <w:i/>
          <w:spacing w:val="-12"/>
          <w:sz w:val="20"/>
        </w:rPr>
        <w:t> </w:t>
      </w:r>
      <w:r>
        <w:rPr>
          <w:i/>
          <w:sz w:val="20"/>
        </w:rPr>
        <w:t>vitae;</w:t>
      </w:r>
      <w:r>
        <w:rPr>
          <w:i/>
          <w:spacing w:val="-11"/>
          <w:sz w:val="20"/>
        </w:rPr>
        <w:t> </w:t>
      </w:r>
      <w:r>
        <w:rPr>
          <w:sz w:val="20"/>
        </w:rPr>
        <w:t>b)</w:t>
      </w:r>
      <w:r>
        <w:rPr>
          <w:spacing w:val="-12"/>
          <w:sz w:val="20"/>
        </w:rPr>
        <w:t> </w:t>
      </w:r>
      <w:r>
        <w:rPr>
          <w:sz w:val="20"/>
        </w:rPr>
        <w:t>por</w:t>
      </w:r>
      <w:r>
        <w:rPr>
          <w:spacing w:val="-11"/>
          <w:sz w:val="20"/>
        </w:rPr>
        <w:t> </w:t>
      </w:r>
      <w:r>
        <w:rPr>
          <w:sz w:val="20"/>
        </w:rPr>
        <w:t>otra</w:t>
      </w:r>
      <w:r>
        <w:rPr>
          <w:spacing w:val="-12"/>
          <w:sz w:val="20"/>
        </w:rPr>
        <w:t> </w:t>
      </w:r>
      <w:r>
        <w:rPr>
          <w:sz w:val="20"/>
        </w:rPr>
        <w:t>parte, un</w:t>
      </w:r>
      <w:r>
        <w:rPr>
          <w:spacing w:val="-7"/>
          <w:sz w:val="20"/>
        </w:rPr>
        <w:t> </w:t>
      </w:r>
      <w:r>
        <w:rPr>
          <w:sz w:val="20"/>
        </w:rPr>
        <w:t>listado</w:t>
      </w:r>
      <w:r>
        <w:rPr>
          <w:spacing w:val="-9"/>
          <w:sz w:val="20"/>
        </w:rPr>
        <w:t> </w:t>
      </w:r>
      <w:r>
        <w:rPr>
          <w:sz w:val="20"/>
        </w:rPr>
        <w:t>de</w:t>
      </w:r>
      <w:r>
        <w:rPr>
          <w:spacing w:val="-9"/>
          <w:sz w:val="20"/>
        </w:rPr>
        <w:t> </w:t>
      </w:r>
      <w:r>
        <w:rPr>
          <w:sz w:val="20"/>
        </w:rPr>
        <w:t>132</w:t>
      </w:r>
      <w:r>
        <w:rPr>
          <w:spacing w:val="-5"/>
          <w:sz w:val="20"/>
        </w:rPr>
        <w:t> </w:t>
      </w:r>
      <w:r>
        <w:rPr>
          <w:sz w:val="20"/>
        </w:rPr>
        <w:t>comunidades</w:t>
      </w:r>
      <w:r>
        <w:rPr>
          <w:spacing w:val="-9"/>
          <w:sz w:val="20"/>
        </w:rPr>
        <w:t> </w:t>
      </w:r>
      <w:r>
        <w:rPr>
          <w:sz w:val="20"/>
        </w:rPr>
        <w:t>indígenas</w:t>
      </w:r>
      <w:r>
        <w:rPr>
          <w:spacing w:val="-6"/>
          <w:sz w:val="20"/>
        </w:rPr>
        <w:t> </w:t>
      </w:r>
      <w:r>
        <w:rPr>
          <w:sz w:val="20"/>
        </w:rPr>
        <w:t>y</w:t>
      </w:r>
      <w:r>
        <w:rPr>
          <w:spacing w:val="-8"/>
          <w:sz w:val="20"/>
        </w:rPr>
        <w:t> </w:t>
      </w:r>
      <w:r>
        <w:rPr>
          <w:sz w:val="20"/>
        </w:rPr>
        <w:t>una</w:t>
      </w:r>
      <w:r>
        <w:rPr>
          <w:spacing w:val="-8"/>
          <w:sz w:val="20"/>
        </w:rPr>
        <w:t> </w:t>
      </w:r>
      <w:r>
        <w:rPr>
          <w:sz w:val="20"/>
        </w:rPr>
        <w:t>serie</w:t>
      </w:r>
      <w:r>
        <w:rPr>
          <w:spacing w:val="-7"/>
          <w:sz w:val="20"/>
        </w:rPr>
        <w:t> </w:t>
      </w:r>
      <w:r>
        <w:rPr>
          <w:sz w:val="20"/>
        </w:rPr>
        <w:t>de</w:t>
      </w:r>
      <w:r>
        <w:rPr>
          <w:spacing w:val="-9"/>
          <w:sz w:val="20"/>
        </w:rPr>
        <w:t> </w:t>
      </w:r>
      <w:r>
        <w:rPr>
          <w:sz w:val="20"/>
        </w:rPr>
        <w:t>documentos</w:t>
      </w:r>
      <w:r>
        <w:rPr>
          <w:spacing w:val="-6"/>
          <w:sz w:val="20"/>
        </w:rPr>
        <w:t> </w:t>
      </w:r>
      <w:r>
        <w:rPr>
          <w:sz w:val="20"/>
        </w:rPr>
        <w:t>en</w:t>
      </w:r>
      <w:r>
        <w:rPr>
          <w:spacing w:val="-5"/>
          <w:sz w:val="20"/>
        </w:rPr>
        <w:t> </w:t>
      </w:r>
      <w:r>
        <w:rPr>
          <w:sz w:val="20"/>
        </w:rPr>
        <w:t>que</w:t>
      </w:r>
      <w:r>
        <w:rPr>
          <w:spacing w:val="-9"/>
          <w:sz w:val="20"/>
        </w:rPr>
        <w:t> </w:t>
      </w:r>
      <w:r>
        <w:rPr>
          <w:sz w:val="20"/>
        </w:rPr>
        <w:t>se</w:t>
      </w:r>
      <w:r>
        <w:rPr>
          <w:spacing w:val="-9"/>
          <w:sz w:val="20"/>
        </w:rPr>
        <w:t> </w:t>
      </w:r>
      <w:r>
        <w:rPr>
          <w:sz w:val="20"/>
        </w:rPr>
        <w:t>indica</w:t>
      </w:r>
      <w:r>
        <w:rPr>
          <w:spacing w:val="-6"/>
          <w:sz w:val="20"/>
        </w:rPr>
        <w:t> </w:t>
      </w:r>
      <w:r>
        <w:rPr>
          <w:sz w:val="20"/>
        </w:rPr>
        <w:t>el nombre de comunidades y de caciques, o en que representantes de comunidades indígenas afirman que las</w:t>
      </w:r>
      <w:r>
        <w:rPr>
          <w:spacing w:val="-49"/>
          <w:sz w:val="20"/>
        </w:rPr>
        <w:t> </w:t>
      </w:r>
      <w:r>
        <w:rPr>
          <w:sz w:val="20"/>
        </w:rPr>
        <w:t>mismas están asentadas en el territorio reclamado en el caso y que apoyan a Lhaka Honhat. El 5 de junio de 2019 los representantes remitieron vídeos, fotos y audios de la Asamblea de Caciques realizada el 17 de mayo de 2019,</w:t>
      </w:r>
      <w:r>
        <w:rPr>
          <w:spacing w:val="-48"/>
          <w:sz w:val="20"/>
        </w:rPr>
        <w:t> </w:t>
      </w:r>
      <w:r>
        <w:rPr>
          <w:sz w:val="20"/>
        </w:rPr>
        <w:t>en el marco de la visita realizada por la Corte. El 18 de junio de 2019 el </w:t>
      </w:r>
      <w:r>
        <w:rPr>
          <w:b/>
          <w:i/>
          <w:sz w:val="20"/>
        </w:rPr>
        <w:t>Estado </w:t>
      </w:r>
      <w:r>
        <w:rPr>
          <w:sz w:val="20"/>
        </w:rPr>
        <w:t>consideró extemporáneo el momento en que se presentaron todos los documentos anteriores y solicitó que se rechacen. Por otra parte, durante la visita y en distintos días de junio de 2019 presentó videos sobre esa</w:t>
      </w:r>
      <w:r>
        <w:rPr>
          <w:spacing w:val="-16"/>
          <w:sz w:val="20"/>
        </w:rPr>
        <w:t> </w:t>
      </w:r>
      <w:r>
        <w:rPr>
          <w:sz w:val="20"/>
        </w:rPr>
        <w:t>diligencia</w:t>
      </w:r>
      <w:r>
        <w:rPr>
          <w:rFonts w:ascii="Calibri" w:hAnsi="Calibri"/>
          <w:position w:val="8"/>
          <w:sz w:val="14"/>
        </w:rPr>
        <w:t>26</w:t>
      </w:r>
      <w:r>
        <w:rPr>
          <w:sz w:val="20"/>
        </w:rPr>
        <w:t>.</w:t>
      </w:r>
    </w:p>
    <w:p>
      <w:pPr>
        <w:pStyle w:val="BodyText"/>
        <w:spacing w:before="5"/>
        <w:rPr>
          <w:sz w:val="21"/>
        </w:rPr>
      </w:pPr>
    </w:p>
    <w:p>
      <w:pPr>
        <w:pStyle w:val="ListParagraph"/>
        <w:numPr>
          <w:ilvl w:val="0"/>
          <w:numId w:val="14"/>
        </w:numPr>
        <w:tabs>
          <w:tab w:pos="830" w:val="left" w:leader="none"/>
        </w:tabs>
        <w:spacing w:line="242" w:lineRule="auto" w:before="0" w:after="0"/>
        <w:ind w:left="122" w:right="125" w:hanging="12"/>
        <w:jc w:val="both"/>
        <w:rPr>
          <w:sz w:val="20"/>
        </w:rPr>
      </w:pPr>
      <w:r>
        <w:rPr>
          <w:sz w:val="20"/>
        </w:rPr>
        <w:t>En primer lugar, la </w:t>
      </w:r>
      <w:r>
        <w:rPr>
          <w:b/>
          <w:i/>
          <w:sz w:val="20"/>
        </w:rPr>
        <w:t>Corte </w:t>
      </w:r>
      <w:r>
        <w:rPr>
          <w:sz w:val="20"/>
        </w:rPr>
        <w:t>recuerda que la remisión del registro audiovisual de la visita a terreno había sido solicitada a las partes por la Secretaría de la Corte el 26 de abril de 2019. Por otra parte, es la diligencia </w:t>
      </w:r>
      <w:r>
        <w:rPr>
          <w:i/>
          <w:sz w:val="20"/>
        </w:rPr>
        <w:t>in situ</w:t>
      </w:r>
      <w:r>
        <w:rPr>
          <w:sz w:val="20"/>
        </w:rPr>
        <w:t>, realizada en virtud del principio de inmediación, la medida de prueba que se tendrá en consideración. Los documentos aludidos no pueden considerarse, en sí mismos, como “prueba documental”, sino que solo cumplen una función auxiliar, tendiente a dar cuenta de lo mismo que dos Jueces de la Corte presenciaron en forma directa. Con el alcance indicado, los documentos resultan</w:t>
      </w:r>
      <w:r>
        <w:rPr>
          <w:spacing w:val="-7"/>
          <w:sz w:val="20"/>
        </w:rPr>
        <w:t> </w:t>
      </w:r>
      <w:r>
        <w:rPr>
          <w:sz w:val="20"/>
        </w:rPr>
        <w:t>útiles.</w:t>
      </w:r>
      <w:r>
        <w:rPr>
          <w:spacing w:val="-5"/>
          <w:sz w:val="20"/>
        </w:rPr>
        <w:t> </w:t>
      </w:r>
      <w:r>
        <w:rPr>
          <w:sz w:val="20"/>
        </w:rPr>
        <w:t>Por</w:t>
      </w:r>
      <w:r>
        <w:rPr>
          <w:spacing w:val="-9"/>
          <w:sz w:val="20"/>
        </w:rPr>
        <w:t> </w:t>
      </w:r>
      <w:r>
        <w:rPr>
          <w:sz w:val="20"/>
        </w:rPr>
        <w:t>lo</w:t>
      </w:r>
      <w:r>
        <w:rPr>
          <w:spacing w:val="-9"/>
          <w:sz w:val="20"/>
        </w:rPr>
        <w:t> </w:t>
      </w:r>
      <w:r>
        <w:rPr>
          <w:sz w:val="20"/>
        </w:rPr>
        <w:t>tanto,</w:t>
      </w:r>
      <w:r>
        <w:rPr>
          <w:spacing w:val="-6"/>
          <w:sz w:val="20"/>
        </w:rPr>
        <w:t> </w:t>
      </w:r>
      <w:r>
        <w:rPr>
          <w:sz w:val="20"/>
        </w:rPr>
        <w:t>este</w:t>
      </w:r>
      <w:r>
        <w:rPr>
          <w:spacing w:val="-7"/>
          <w:sz w:val="20"/>
        </w:rPr>
        <w:t> </w:t>
      </w:r>
      <w:r>
        <w:rPr>
          <w:sz w:val="20"/>
        </w:rPr>
        <w:t>Tribunal</w:t>
      </w:r>
      <w:r>
        <w:rPr>
          <w:spacing w:val="-7"/>
          <w:sz w:val="20"/>
        </w:rPr>
        <w:t> </w:t>
      </w:r>
      <w:r>
        <w:rPr>
          <w:sz w:val="20"/>
        </w:rPr>
        <w:t>admite</w:t>
      </w:r>
      <w:r>
        <w:rPr>
          <w:spacing w:val="-9"/>
          <w:sz w:val="20"/>
        </w:rPr>
        <w:t> </w:t>
      </w:r>
      <w:r>
        <w:rPr>
          <w:sz w:val="20"/>
        </w:rPr>
        <w:t>los</w:t>
      </w:r>
      <w:r>
        <w:rPr>
          <w:spacing w:val="-2"/>
          <w:sz w:val="20"/>
        </w:rPr>
        <w:t> </w:t>
      </w:r>
      <w:r>
        <w:rPr>
          <w:sz w:val="20"/>
        </w:rPr>
        <w:t>videos</w:t>
      </w:r>
      <w:r>
        <w:rPr>
          <w:spacing w:val="-6"/>
          <w:sz w:val="20"/>
        </w:rPr>
        <w:t> </w:t>
      </w:r>
      <w:r>
        <w:rPr>
          <w:sz w:val="20"/>
        </w:rPr>
        <w:t>sobre</w:t>
      </w:r>
      <w:r>
        <w:rPr>
          <w:spacing w:val="-9"/>
          <w:sz w:val="20"/>
        </w:rPr>
        <w:t> </w:t>
      </w:r>
      <w:r>
        <w:rPr>
          <w:sz w:val="20"/>
        </w:rPr>
        <w:t>la</w:t>
      </w:r>
      <w:r>
        <w:rPr>
          <w:spacing w:val="-5"/>
          <w:sz w:val="20"/>
        </w:rPr>
        <w:t> </w:t>
      </w:r>
      <w:r>
        <w:rPr>
          <w:sz w:val="20"/>
        </w:rPr>
        <w:t>visita</w:t>
      </w:r>
      <w:r>
        <w:rPr>
          <w:spacing w:val="-8"/>
          <w:sz w:val="20"/>
        </w:rPr>
        <w:t> </w:t>
      </w:r>
      <w:r>
        <w:rPr>
          <w:sz w:val="20"/>
        </w:rPr>
        <w:t>remitidos</w:t>
      </w:r>
      <w:r>
        <w:rPr>
          <w:spacing w:val="-9"/>
          <w:sz w:val="20"/>
        </w:rPr>
        <w:t> </w:t>
      </w:r>
      <w:r>
        <w:rPr>
          <w:sz w:val="20"/>
        </w:rPr>
        <w:t>por los</w:t>
      </w:r>
      <w:r>
        <w:rPr>
          <w:spacing w:val="-14"/>
          <w:sz w:val="20"/>
        </w:rPr>
        <w:t> </w:t>
      </w:r>
      <w:r>
        <w:rPr>
          <w:sz w:val="20"/>
        </w:rPr>
        <w:t>representantes</w:t>
      </w:r>
      <w:r>
        <w:rPr>
          <w:spacing w:val="-12"/>
          <w:sz w:val="20"/>
        </w:rPr>
        <w:t> </w:t>
      </w:r>
      <w:r>
        <w:rPr>
          <w:sz w:val="20"/>
        </w:rPr>
        <w:t>y</w:t>
      </w:r>
      <w:r>
        <w:rPr>
          <w:spacing w:val="-12"/>
          <w:sz w:val="20"/>
        </w:rPr>
        <w:t> </w:t>
      </w:r>
      <w:r>
        <w:rPr>
          <w:sz w:val="20"/>
        </w:rPr>
        <w:t>el</w:t>
      </w:r>
      <w:r>
        <w:rPr>
          <w:spacing w:val="-14"/>
          <w:sz w:val="20"/>
        </w:rPr>
        <w:t> </w:t>
      </w:r>
      <w:r>
        <w:rPr>
          <w:sz w:val="20"/>
        </w:rPr>
        <w:t>Estado.</w:t>
      </w:r>
      <w:r>
        <w:rPr>
          <w:spacing w:val="-14"/>
          <w:sz w:val="20"/>
        </w:rPr>
        <w:t> </w:t>
      </w:r>
      <w:r>
        <w:rPr>
          <w:sz w:val="20"/>
        </w:rPr>
        <w:t>De</w:t>
      </w:r>
      <w:r>
        <w:rPr>
          <w:spacing w:val="-15"/>
          <w:sz w:val="20"/>
        </w:rPr>
        <w:t> </w:t>
      </w:r>
      <w:r>
        <w:rPr>
          <w:sz w:val="20"/>
        </w:rPr>
        <w:t>igual</w:t>
      </w:r>
      <w:r>
        <w:rPr>
          <w:spacing w:val="-13"/>
          <w:sz w:val="20"/>
        </w:rPr>
        <w:t> </w:t>
      </w:r>
      <w:r>
        <w:rPr>
          <w:sz w:val="20"/>
        </w:rPr>
        <w:t>modo,</w:t>
      </w:r>
      <w:r>
        <w:rPr>
          <w:spacing w:val="-14"/>
          <w:sz w:val="20"/>
        </w:rPr>
        <w:t> </w:t>
      </w:r>
      <w:r>
        <w:rPr>
          <w:sz w:val="20"/>
        </w:rPr>
        <w:t>considera</w:t>
      </w:r>
      <w:r>
        <w:rPr>
          <w:spacing w:val="-13"/>
          <w:sz w:val="20"/>
        </w:rPr>
        <w:t> </w:t>
      </w:r>
      <w:r>
        <w:rPr>
          <w:sz w:val="20"/>
        </w:rPr>
        <w:t>útiles</w:t>
      </w:r>
      <w:r>
        <w:rPr>
          <w:spacing w:val="-14"/>
          <w:sz w:val="20"/>
        </w:rPr>
        <w:t> </w:t>
      </w:r>
      <w:r>
        <w:rPr>
          <w:sz w:val="20"/>
        </w:rPr>
        <w:t>los</w:t>
      </w:r>
      <w:r>
        <w:rPr>
          <w:spacing w:val="-14"/>
          <w:sz w:val="20"/>
        </w:rPr>
        <w:t> </w:t>
      </w:r>
      <w:r>
        <w:rPr>
          <w:sz w:val="20"/>
        </w:rPr>
        <w:t>documentos</w:t>
      </w:r>
      <w:r>
        <w:rPr>
          <w:spacing w:val="-12"/>
          <w:sz w:val="20"/>
        </w:rPr>
        <w:t> </w:t>
      </w:r>
      <w:r>
        <w:rPr>
          <w:sz w:val="20"/>
        </w:rPr>
        <w:t>recibidos durante la visita y los admite de conformidad con el artículo 58 del Reglamento</w:t>
      </w:r>
      <w:r>
        <w:rPr>
          <w:rFonts w:ascii="Calibri" w:hAnsi="Calibri"/>
          <w:position w:val="8"/>
          <w:sz w:val="14"/>
        </w:rPr>
        <w:t>27</w:t>
      </w:r>
      <w:r>
        <w:rPr>
          <w:sz w:val="20"/>
        </w:rPr>
        <w:t>. El segundo conjunto de documentos indicado en el párrafo anterior, remitido por los representantes con sus alegatos finales escritos, también resulta útil y queda</w:t>
      </w:r>
      <w:r>
        <w:rPr>
          <w:spacing w:val="-39"/>
          <w:sz w:val="20"/>
        </w:rPr>
        <w:t> </w:t>
      </w:r>
      <w:r>
        <w:rPr>
          <w:sz w:val="20"/>
        </w:rPr>
        <w:t>admitido.</w:t>
      </w:r>
    </w:p>
    <w:p>
      <w:pPr>
        <w:pStyle w:val="BodyText"/>
        <w:spacing w:before="8"/>
        <w:rPr>
          <w:sz w:val="19"/>
        </w:rPr>
      </w:pPr>
    </w:p>
    <w:p>
      <w:pPr>
        <w:pStyle w:val="ListParagraph"/>
        <w:numPr>
          <w:ilvl w:val="0"/>
          <w:numId w:val="14"/>
        </w:numPr>
        <w:tabs>
          <w:tab w:pos="830" w:val="left" w:leader="none"/>
        </w:tabs>
        <w:spacing w:line="240" w:lineRule="auto" w:before="0" w:after="0"/>
        <w:ind w:left="122" w:right="122" w:hanging="12"/>
        <w:jc w:val="both"/>
        <w:rPr>
          <w:sz w:val="16"/>
        </w:rPr>
      </w:pPr>
      <w:r>
        <w:rPr>
          <w:sz w:val="20"/>
        </w:rPr>
        <w:t>El</w:t>
      </w:r>
      <w:r>
        <w:rPr>
          <w:spacing w:val="-15"/>
          <w:sz w:val="20"/>
        </w:rPr>
        <w:t> </w:t>
      </w:r>
      <w:r>
        <w:rPr>
          <w:sz w:val="20"/>
        </w:rPr>
        <w:t>informe</w:t>
      </w:r>
      <w:r>
        <w:rPr>
          <w:spacing w:val="-14"/>
          <w:sz w:val="20"/>
        </w:rPr>
        <w:t> </w:t>
      </w:r>
      <w:r>
        <w:rPr>
          <w:sz w:val="20"/>
        </w:rPr>
        <w:t>de</w:t>
      </w:r>
      <w:r>
        <w:rPr>
          <w:spacing w:val="-12"/>
          <w:sz w:val="20"/>
        </w:rPr>
        <w:t> </w:t>
      </w:r>
      <w:r>
        <w:rPr>
          <w:sz w:val="20"/>
        </w:rPr>
        <w:t>Luis</w:t>
      </w:r>
      <w:r>
        <w:rPr>
          <w:spacing w:val="-13"/>
          <w:sz w:val="20"/>
        </w:rPr>
        <w:t> </w:t>
      </w:r>
      <w:r>
        <w:rPr>
          <w:sz w:val="20"/>
        </w:rPr>
        <w:t>María</w:t>
      </w:r>
      <w:r>
        <w:rPr>
          <w:spacing w:val="-8"/>
          <w:sz w:val="20"/>
        </w:rPr>
        <w:t> </w:t>
      </w:r>
      <w:r>
        <w:rPr>
          <w:sz w:val="20"/>
        </w:rPr>
        <w:t>de</w:t>
      </w:r>
      <w:r>
        <w:rPr>
          <w:spacing w:val="-14"/>
          <w:sz w:val="20"/>
        </w:rPr>
        <w:t> </w:t>
      </w:r>
      <w:r>
        <w:rPr>
          <w:sz w:val="20"/>
        </w:rPr>
        <w:t>la</w:t>
      </w:r>
      <w:r>
        <w:rPr>
          <w:spacing w:val="-12"/>
          <w:sz w:val="20"/>
        </w:rPr>
        <w:t> </w:t>
      </w:r>
      <w:r>
        <w:rPr>
          <w:sz w:val="20"/>
        </w:rPr>
        <w:t>Cruz</w:t>
      </w:r>
      <w:r>
        <w:rPr>
          <w:spacing w:val="-12"/>
          <w:sz w:val="20"/>
        </w:rPr>
        <w:t> </w:t>
      </w:r>
      <w:r>
        <w:rPr>
          <w:sz w:val="20"/>
        </w:rPr>
        <w:t>(</w:t>
      </w:r>
      <w:r>
        <w:rPr>
          <w:i/>
          <w:sz w:val="20"/>
        </w:rPr>
        <w:t>supra</w:t>
      </w:r>
      <w:r>
        <w:rPr>
          <w:i/>
          <w:spacing w:val="-12"/>
          <w:sz w:val="20"/>
        </w:rPr>
        <w:t> </w:t>
      </w:r>
      <w:r>
        <w:rPr>
          <w:sz w:val="20"/>
        </w:rPr>
        <w:t>párr.</w:t>
      </w:r>
      <w:r>
        <w:rPr>
          <w:spacing w:val="-13"/>
          <w:sz w:val="20"/>
        </w:rPr>
        <w:t> </w:t>
      </w:r>
      <w:r>
        <w:rPr>
          <w:sz w:val="20"/>
        </w:rPr>
        <w:t>39)</w:t>
      </w:r>
      <w:r>
        <w:rPr>
          <w:spacing w:val="-11"/>
          <w:sz w:val="20"/>
        </w:rPr>
        <w:t> </w:t>
      </w:r>
      <w:r>
        <w:rPr>
          <w:sz w:val="20"/>
        </w:rPr>
        <w:t>no</w:t>
      </w:r>
      <w:r>
        <w:rPr>
          <w:spacing w:val="-14"/>
          <w:sz w:val="20"/>
        </w:rPr>
        <w:t> </w:t>
      </w:r>
      <w:r>
        <w:rPr>
          <w:sz w:val="20"/>
        </w:rPr>
        <w:t>fue</w:t>
      </w:r>
      <w:r>
        <w:rPr>
          <w:spacing w:val="-13"/>
          <w:sz w:val="20"/>
        </w:rPr>
        <w:t> </w:t>
      </w:r>
      <w:r>
        <w:rPr>
          <w:sz w:val="20"/>
        </w:rPr>
        <w:t>solicitado</w:t>
      </w:r>
      <w:r>
        <w:rPr>
          <w:spacing w:val="-12"/>
          <w:sz w:val="20"/>
        </w:rPr>
        <w:t> </w:t>
      </w:r>
      <w:r>
        <w:rPr>
          <w:sz w:val="20"/>
        </w:rPr>
        <w:t>y</w:t>
      </w:r>
      <w:r>
        <w:rPr>
          <w:spacing w:val="-13"/>
          <w:sz w:val="20"/>
        </w:rPr>
        <w:t> </w:t>
      </w:r>
      <w:r>
        <w:rPr>
          <w:sz w:val="20"/>
        </w:rPr>
        <w:t>trata</w:t>
      </w:r>
      <w:r>
        <w:rPr>
          <w:spacing w:val="-12"/>
          <w:sz w:val="20"/>
        </w:rPr>
        <w:t> </w:t>
      </w:r>
      <w:r>
        <w:rPr>
          <w:sz w:val="20"/>
        </w:rPr>
        <w:t>sobre las aducidas inundaciones en 2019, un hecho que no integra el marco fáctico (</w:t>
      </w:r>
      <w:r>
        <w:rPr>
          <w:i/>
          <w:sz w:val="20"/>
        </w:rPr>
        <w:t>supra </w:t>
      </w:r>
      <w:r>
        <w:rPr>
          <w:sz w:val="20"/>
        </w:rPr>
        <w:t>párr.24). Por ello, no procede su admisión; tampoco la de su </w:t>
      </w:r>
      <w:r>
        <w:rPr>
          <w:i/>
          <w:sz w:val="20"/>
        </w:rPr>
        <w:t>curriculum</w:t>
      </w:r>
      <w:r>
        <w:rPr>
          <w:i/>
          <w:spacing w:val="-24"/>
          <w:sz w:val="20"/>
        </w:rPr>
        <w:t> </w:t>
      </w:r>
      <w:r>
        <w:rPr>
          <w:i/>
          <w:sz w:val="20"/>
        </w:rPr>
        <w:t>vitae</w:t>
      </w:r>
      <w:r>
        <w:rPr>
          <w:sz w:val="16"/>
        </w:rPr>
        <w:t>.</w:t>
      </w:r>
    </w:p>
    <w:p>
      <w:pPr>
        <w:pStyle w:val="BodyText"/>
        <w:spacing w:before="10"/>
        <w:rPr>
          <w:sz w:val="19"/>
        </w:rPr>
      </w:pPr>
    </w:p>
    <w:p>
      <w:pPr>
        <w:pStyle w:val="ListParagraph"/>
        <w:numPr>
          <w:ilvl w:val="0"/>
          <w:numId w:val="14"/>
        </w:numPr>
        <w:tabs>
          <w:tab w:pos="830" w:val="left" w:leader="none"/>
        </w:tabs>
        <w:spacing w:line="240" w:lineRule="auto" w:before="0" w:after="0"/>
        <w:ind w:left="122" w:right="122" w:hanging="12"/>
        <w:jc w:val="both"/>
        <w:rPr>
          <w:sz w:val="20"/>
        </w:rPr>
      </w:pPr>
      <w:r>
        <w:rPr>
          <w:sz w:val="20"/>
        </w:rPr>
        <w:t>Por su lado, el </w:t>
      </w:r>
      <w:r>
        <w:rPr>
          <w:b/>
          <w:i/>
          <w:sz w:val="20"/>
        </w:rPr>
        <w:t>Estado </w:t>
      </w:r>
      <w:r>
        <w:rPr>
          <w:sz w:val="20"/>
        </w:rPr>
        <w:t>presentó, el 3 de junio de 2019, junto con sus alegatos finales escritos, la Resolución 4811/96 y la Resolución 328/2010, solicitadas por este Tribunal durante la audiencia pública del 14 de marzo de 2019. Los </w:t>
      </w:r>
      <w:r>
        <w:rPr>
          <w:b/>
          <w:i/>
          <w:sz w:val="20"/>
        </w:rPr>
        <w:t>representantes</w:t>
      </w:r>
      <w:r>
        <w:rPr>
          <w:b/>
          <w:i/>
          <w:spacing w:val="52"/>
          <w:sz w:val="20"/>
        </w:rPr>
        <w:t> </w:t>
      </w:r>
      <w:r>
        <w:rPr>
          <w:sz w:val="20"/>
        </w:rPr>
        <w:t>y</w:t>
      </w:r>
    </w:p>
    <w:p>
      <w:pPr>
        <w:pStyle w:val="BodyText"/>
      </w:pPr>
    </w:p>
    <w:p>
      <w:pPr>
        <w:pStyle w:val="BodyText"/>
        <w:spacing w:before="1"/>
        <w:rPr>
          <w:sz w:val="17"/>
        </w:rPr>
      </w:pPr>
      <w:r>
        <w:rPr/>
        <w:pict>
          <v:line style="position:absolute;mso-position-horizontal-relative:page;mso-position-vertical-relative:paragraph;z-index:1288;mso-wrap-distance-left:0;mso-wrap-distance-right:0" from="85.103996pt,12.72613pt" to="229.123996pt,12.72613pt" stroked="true" strokeweight=".72pt" strokecolor="#000000">
            <v:stroke dashstyle="solid"/>
            <w10:wrap type="topAndBottom"/>
          </v:line>
        </w:pict>
      </w:r>
    </w:p>
    <w:p>
      <w:pPr>
        <w:spacing w:before="71"/>
        <w:ind w:left="122" w:right="115" w:firstLine="0"/>
        <w:jc w:val="both"/>
        <w:rPr>
          <w:sz w:val="16"/>
        </w:rPr>
      </w:pPr>
      <w:r>
        <w:rPr>
          <w:sz w:val="16"/>
        </w:rPr>
        <w:t>3505/14. Por otra parte, a solicitud de la Corte, el 5 de septiembre de 2019 el Estado remitió la Resolución Ministerial de Salta 449/1992 de 9 de diciembre de 1992 y el Decreto de Salta 3097/95.</w:t>
      </w:r>
    </w:p>
    <w:p>
      <w:pPr>
        <w:pStyle w:val="BodyText"/>
        <w:spacing w:before="11"/>
        <w:rPr>
          <w:sz w:val="15"/>
        </w:rPr>
      </w:pPr>
    </w:p>
    <w:p>
      <w:pPr>
        <w:tabs>
          <w:tab w:pos="829" w:val="left" w:leader="none"/>
        </w:tabs>
        <w:spacing w:before="0"/>
        <w:ind w:left="122" w:right="116" w:firstLine="0"/>
        <w:jc w:val="both"/>
        <w:rPr>
          <w:sz w:val="16"/>
        </w:rPr>
      </w:pPr>
      <w:r>
        <w:rPr>
          <w:position w:val="6"/>
          <w:sz w:val="10"/>
        </w:rPr>
        <w:t>26</w:t>
        <w:tab/>
      </w:r>
      <w:r>
        <w:rPr>
          <w:sz w:val="16"/>
        </w:rPr>
        <w:t>El  26  de junio  de 2019  este Tribunal  transmitió  a los representantes y  la Comisión </w:t>
      </w:r>
      <w:r>
        <w:rPr>
          <w:spacing w:val="46"/>
          <w:sz w:val="16"/>
        </w:rPr>
        <w:t> </w:t>
      </w:r>
      <w:r>
        <w:rPr>
          <w:sz w:val="16"/>
        </w:rPr>
        <w:t>los</w:t>
      </w:r>
      <w:r>
        <w:rPr>
          <w:spacing w:val="32"/>
          <w:sz w:val="16"/>
        </w:rPr>
        <w:t> </w:t>
      </w:r>
      <w:r>
        <w:rPr>
          <w:sz w:val="16"/>
        </w:rPr>
        <w:t>enlaces</w:t>
      </w:r>
      <w:r>
        <w:rPr>
          <w:w w:val="100"/>
          <w:sz w:val="16"/>
        </w:rPr>
        <w:t> </w:t>
      </w:r>
      <w:r>
        <w:rPr>
          <w:sz w:val="16"/>
        </w:rPr>
        <w:t>electrónicos de los vídeos remitidos por el Estado el 24 de ese mes. Además se señaló al Estado que no fue posible abrir un enlace. El 28 de junio siguiente Argentina presentó los videos, que fueron transmitidos a la Comisión y los representantes. Estos señalaron, el 5 de julio de 2019, problemas para entender los diálogos recogidos en los videos. El 15 del mismo mes la Comisión expresó que “no había sido posible obtener los vídeos</w:t>
      </w:r>
      <w:r>
        <w:rPr>
          <w:spacing w:val="-9"/>
          <w:sz w:val="16"/>
        </w:rPr>
        <w:t> </w:t>
      </w:r>
      <w:r>
        <w:rPr>
          <w:sz w:val="16"/>
        </w:rPr>
        <w:t>remitidos</w:t>
      </w:r>
      <w:r>
        <w:rPr>
          <w:spacing w:val="-7"/>
          <w:sz w:val="16"/>
        </w:rPr>
        <w:t> </w:t>
      </w:r>
      <w:r>
        <w:rPr>
          <w:sz w:val="16"/>
        </w:rPr>
        <w:t>mediante</w:t>
      </w:r>
      <w:r>
        <w:rPr>
          <w:spacing w:val="-7"/>
          <w:sz w:val="16"/>
        </w:rPr>
        <w:t> </w:t>
      </w:r>
      <w:r>
        <w:rPr>
          <w:sz w:val="16"/>
        </w:rPr>
        <w:t>enlaces</w:t>
      </w:r>
      <w:r>
        <w:rPr>
          <w:spacing w:val="-9"/>
          <w:sz w:val="16"/>
        </w:rPr>
        <w:t> </w:t>
      </w:r>
      <w:r>
        <w:rPr>
          <w:sz w:val="16"/>
        </w:rPr>
        <w:t>electrónicos”</w:t>
      </w:r>
      <w:r>
        <w:rPr>
          <w:spacing w:val="-9"/>
          <w:sz w:val="16"/>
        </w:rPr>
        <w:t> </w:t>
      </w:r>
      <w:r>
        <w:rPr>
          <w:sz w:val="16"/>
        </w:rPr>
        <w:t>y</w:t>
      </w:r>
      <w:r>
        <w:rPr>
          <w:spacing w:val="-6"/>
          <w:sz w:val="16"/>
        </w:rPr>
        <w:t> </w:t>
      </w:r>
      <w:r>
        <w:rPr>
          <w:sz w:val="16"/>
        </w:rPr>
        <w:t>solicitó</w:t>
      </w:r>
      <w:r>
        <w:rPr>
          <w:spacing w:val="-6"/>
          <w:sz w:val="16"/>
        </w:rPr>
        <w:t> </w:t>
      </w:r>
      <w:r>
        <w:rPr>
          <w:sz w:val="16"/>
        </w:rPr>
        <w:t>una</w:t>
      </w:r>
      <w:r>
        <w:rPr>
          <w:spacing w:val="-8"/>
          <w:sz w:val="16"/>
        </w:rPr>
        <w:t> </w:t>
      </w:r>
      <w:r>
        <w:rPr>
          <w:sz w:val="16"/>
        </w:rPr>
        <w:t>prórroga</w:t>
      </w:r>
      <w:r>
        <w:rPr>
          <w:spacing w:val="-10"/>
          <w:sz w:val="16"/>
        </w:rPr>
        <w:t> </w:t>
      </w:r>
      <w:r>
        <w:rPr>
          <w:sz w:val="16"/>
        </w:rPr>
        <w:t>de</w:t>
      </w:r>
      <w:r>
        <w:rPr>
          <w:spacing w:val="-9"/>
          <w:sz w:val="16"/>
        </w:rPr>
        <w:t> </w:t>
      </w:r>
      <w:r>
        <w:rPr>
          <w:sz w:val="16"/>
        </w:rPr>
        <w:t>tres</w:t>
      </w:r>
      <w:r>
        <w:rPr>
          <w:spacing w:val="-7"/>
          <w:sz w:val="16"/>
        </w:rPr>
        <w:t> </w:t>
      </w:r>
      <w:r>
        <w:rPr>
          <w:sz w:val="16"/>
        </w:rPr>
        <w:t>días</w:t>
      </w:r>
      <w:r>
        <w:rPr>
          <w:spacing w:val="-9"/>
          <w:sz w:val="16"/>
        </w:rPr>
        <w:t> </w:t>
      </w:r>
      <w:r>
        <w:rPr>
          <w:sz w:val="16"/>
        </w:rPr>
        <w:t>para</w:t>
      </w:r>
      <w:r>
        <w:rPr>
          <w:spacing w:val="-8"/>
          <w:sz w:val="16"/>
        </w:rPr>
        <w:t> </w:t>
      </w:r>
      <w:r>
        <w:rPr>
          <w:sz w:val="16"/>
        </w:rPr>
        <w:t>hacer</w:t>
      </w:r>
      <w:r>
        <w:rPr>
          <w:spacing w:val="-8"/>
          <w:sz w:val="16"/>
        </w:rPr>
        <w:t> </w:t>
      </w:r>
      <w:r>
        <w:rPr>
          <w:sz w:val="16"/>
        </w:rPr>
        <w:t>observaciones, a partir de la fecha en que pudieran disponer de los vídeos. El mismo día los representantes indicaron que no tenían observaciones a los vídeos presentados por el Estado, aunque y reiteraron los problemas antes referidos. El 5 de agosto de 2019 la Secretaría remitió a la Comisión nuevamente los vídeos y, respecto a las apreciaciones de los representantes, aclaró que se trataba de defectos originales de los videos que no dependían de la Secretaría. El 8 de agosto de 2019 la Comisión expresó que no tenía observaciones respecto a los</w:t>
      </w:r>
      <w:r>
        <w:rPr>
          <w:spacing w:val="-2"/>
          <w:sz w:val="16"/>
        </w:rPr>
        <w:t> </w:t>
      </w:r>
      <w:r>
        <w:rPr>
          <w:sz w:val="16"/>
        </w:rPr>
        <w:t>vídeos.</w:t>
      </w:r>
    </w:p>
    <w:p>
      <w:pPr>
        <w:pStyle w:val="BodyText"/>
        <w:spacing w:before="11"/>
        <w:rPr>
          <w:sz w:val="15"/>
        </w:rPr>
      </w:pPr>
    </w:p>
    <w:p>
      <w:pPr>
        <w:tabs>
          <w:tab w:pos="829" w:val="left" w:leader="none"/>
        </w:tabs>
        <w:spacing w:line="240" w:lineRule="auto" w:before="0"/>
        <w:ind w:left="122" w:right="117" w:firstLine="0"/>
        <w:jc w:val="both"/>
        <w:rPr>
          <w:sz w:val="16"/>
        </w:rPr>
      </w:pPr>
      <w:r>
        <w:rPr>
          <w:position w:val="6"/>
          <w:sz w:val="10"/>
        </w:rPr>
        <w:t>27</w:t>
        <w:tab/>
      </w:r>
      <w:r>
        <w:rPr>
          <w:sz w:val="16"/>
        </w:rPr>
        <w:t>Los</w:t>
      </w:r>
      <w:r>
        <w:rPr>
          <w:spacing w:val="-11"/>
          <w:sz w:val="16"/>
        </w:rPr>
        <w:t> </w:t>
      </w:r>
      <w:r>
        <w:rPr>
          <w:sz w:val="16"/>
        </w:rPr>
        <w:t>documentos</w:t>
      </w:r>
      <w:r>
        <w:rPr>
          <w:spacing w:val="-13"/>
          <w:sz w:val="16"/>
        </w:rPr>
        <w:t> </w:t>
      </w:r>
      <w:r>
        <w:rPr>
          <w:sz w:val="16"/>
        </w:rPr>
        <w:t>presentados</w:t>
      </w:r>
      <w:r>
        <w:rPr>
          <w:spacing w:val="-13"/>
          <w:sz w:val="16"/>
        </w:rPr>
        <w:t> </w:t>
      </w:r>
      <w:r>
        <w:rPr>
          <w:sz w:val="16"/>
        </w:rPr>
        <w:t>son:</w:t>
      </w:r>
      <w:r>
        <w:rPr>
          <w:spacing w:val="-9"/>
          <w:sz w:val="16"/>
        </w:rPr>
        <w:t> </w:t>
      </w:r>
      <w:r>
        <w:rPr>
          <w:sz w:val="16"/>
        </w:rPr>
        <w:t>nota</w:t>
      </w:r>
      <w:r>
        <w:rPr>
          <w:spacing w:val="-11"/>
          <w:sz w:val="16"/>
        </w:rPr>
        <w:t> </w:t>
      </w:r>
      <w:r>
        <w:rPr>
          <w:sz w:val="16"/>
        </w:rPr>
        <w:t>de</w:t>
      </w:r>
      <w:r>
        <w:rPr>
          <w:spacing w:val="-11"/>
          <w:sz w:val="16"/>
        </w:rPr>
        <w:t> </w:t>
      </w:r>
      <w:r>
        <w:rPr>
          <w:sz w:val="16"/>
        </w:rPr>
        <w:t>15</w:t>
      </w:r>
      <w:r>
        <w:rPr>
          <w:spacing w:val="-10"/>
          <w:sz w:val="16"/>
        </w:rPr>
        <w:t> </w:t>
      </w:r>
      <w:r>
        <w:rPr>
          <w:sz w:val="16"/>
        </w:rPr>
        <w:t>de</w:t>
      </w:r>
      <w:r>
        <w:rPr>
          <w:spacing w:val="-11"/>
          <w:sz w:val="16"/>
        </w:rPr>
        <w:t> </w:t>
      </w:r>
      <w:r>
        <w:rPr>
          <w:sz w:val="16"/>
        </w:rPr>
        <w:t>mayo</w:t>
      </w:r>
      <w:r>
        <w:rPr>
          <w:spacing w:val="-10"/>
          <w:sz w:val="16"/>
        </w:rPr>
        <w:t> </w:t>
      </w:r>
      <w:r>
        <w:rPr>
          <w:sz w:val="16"/>
        </w:rPr>
        <w:t>de</w:t>
      </w:r>
      <w:r>
        <w:rPr>
          <w:spacing w:val="-13"/>
          <w:sz w:val="16"/>
        </w:rPr>
        <w:t> </w:t>
      </w:r>
      <w:r>
        <w:rPr>
          <w:sz w:val="16"/>
        </w:rPr>
        <w:t>2019,</w:t>
      </w:r>
      <w:r>
        <w:rPr>
          <w:spacing w:val="-12"/>
          <w:sz w:val="16"/>
        </w:rPr>
        <w:t> </w:t>
      </w:r>
      <w:r>
        <w:rPr>
          <w:sz w:val="16"/>
        </w:rPr>
        <w:t>suscrita</w:t>
      </w:r>
      <w:r>
        <w:rPr>
          <w:spacing w:val="-9"/>
          <w:sz w:val="16"/>
        </w:rPr>
        <w:t> </w:t>
      </w:r>
      <w:r>
        <w:rPr>
          <w:sz w:val="16"/>
        </w:rPr>
        <w:t>por</w:t>
      </w:r>
      <w:r>
        <w:rPr>
          <w:spacing w:val="-12"/>
          <w:sz w:val="16"/>
        </w:rPr>
        <w:t> </w:t>
      </w:r>
      <w:r>
        <w:rPr>
          <w:sz w:val="16"/>
        </w:rPr>
        <w:t>Víctor</w:t>
      </w:r>
      <w:r>
        <w:rPr>
          <w:spacing w:val="-10"/>
          <w:sz w:val="16"/>
        </w:rPr>
        <w:t> </w:t>
      </w:r>
      <w:r>
        <w:rPr>
          <w:sz w:val="16"/>
        </w:rPr>
        <w:t>González,</w:t>
      </w:r>
      <w:r>
        <w:rPr>
          <w:spacing w:val="-10"/>
          <w:sz w:val="16"/>
        </w:rPr>
        <w:t> </w:t>
      </w:r>
      <w:r>
        <w:rPr>
          <w:sz w:val="16"/>
        </w:rPr>
        <w:t>Cacique</w:t>
      </w:r>
      <w:r>
        <w:rPr>
          <w:w w:val="100"/>
          <w:sz w:val="16"/>
        </w:rPr>
        <w:t> </w:t>
      </w:r>
      <w:r>
        <w:rPr>
          <w:sz w:val="16"/>
        </w:rPr>
        <w:t>de la Comunidad Misión La Paz y nota de 16 de mayo de 2019, suscrita por representantes y miembros de asociaciones criollas (</w:t>
      </w:r>
      <w:r>
        <w:rPr>
          <w:i/>
          <w:sz w:val="16"/>
        </w:rPr>
        <w:t>cfr. </w:t>
      </w:r>
      <w:r>
        <w:rPr>
          <w:sz w:val="16"/>
        </w:rPr>
        <w:t>expediente de fondo, fs. 1634 a 1637 y 1638 a 1639). Fueron transmitidos a las partes y a la Comisión, quienes no objetaron su</w:t>
      </w:r>
      <w:r>
        <w:rPr>
          <w:spacing w:val="-19"/>
          <w:sz w:val="16"/>
        </w:rPr>
        <w:t> </w:t>
      </w:r>
      <w:r>
        <w:rPr>
          <w:sz w:val="16"/>
        </w:rPr>
        <w:t>admisibilidad.</w:t>
      </w:r>
    </w:p>
    <w:p>
      <w:pPr>
        <w:spacing w:after="0" w:line="240" w:lineRule="auto"/>
        <w:jc w:val="both"/>
        <w:rPr>
          <w:sz w:val="16"/>
        </w:rPr>
        <w:sectPr>
          <w:pgSz w:w="12240" w:h="15840"/>
          <w:pgMar w:header="0" w:footer="1000" w:top="1500" w:bottom="1200" w:left="1580" w:right="1580"/>
        </w:sectPr>
      </w:pPr>
    </w:p>
    <w:p>
      <w:pPr>
        <w:pStyle w:val="BodyText"/>
        <w:spacing w:line="242" w:lineRule="auto" w:before="76"/>
        <w:ind w:left="122" w:right="126"/>
        <w:jc w:val="both"/>
      </w:pPr>
      <w:r>
        <w:rPr/>
        <w:t>la </w:t>
      </w:r>
      <w:r>
        <w:rPr>
          <w:b/>
          <w:i/>
        </w:rPr>
        <w:t>Comisión </w:t>
      </w:r>
      <w:r>
        <w:rPr/>
        <w:t>no se pronunciaron al respecto. La </w:t>
      </w:r>
      <w:r>
        <w:rPr>
          <w:b/>
          <w:i/>
        </w:rPr>
        <w:t>Corte </w:t>
      </w:r>
      <w:r>
        <w:rPr/>
        <w:t>admite estos documentos, en tanto fueron requeridos.</w:t>
      </w:r>
    </w:p>
    <w:p>
      <w:pPr>
        <w:pStyle w:val="BodyText"/>
        <w:spacing w:before="7"/>
        <w:rPr>
          <w:sz w:val="19"/>
        </w:rPr>
      </w:pPr>
    </w:p>
    <w:p>
      <w:pPr>
        <w:pStyle w:val="ListParagraph"/>
        <w:numPr>
          <w:ilvl w:val="0"/>
          <w:numId w:val="14"/>
        </w:numPr>
        <w:tabs>
          <w:tab w:pos="830" w:val="left" w:leader="none"/>
        </w:tabs>
        <w:spacing w:line="240" w:lineRule="auto" w:before="1" w:after="0"/>
        <w:ind w:left="122" w:right="124" w:hanging="12"/>
        <w:jc w:val="both"/>
        <w:rPr>
          <w:sz w:val="20"/>
        </w:rPr>
      </w:pPr>
      <w:r>
        <w:rPr>
          <w:sz w:val="20"/>
        </w:rPr>
        <w:t>Por último, la Corte recibió el 29 de julio de 2019 otro documento, de las siguientes “Asociaciones de Familias Criollas”: Organización de Familias Criollas (OFC), Asociación de Pequeños Productores Real Frontera, Asociación Ganadera 20 de Setiembre,</w:t>
      </w:r>
      <w:r>
        <w:rPr>
          <w:spacing w:val="-6"/>
          <w:sz w:val="20"/>
        </w:rPr>
        <w:t> </w:t>
      </w:r>
      <w:r>
        <w:rPr>
          <w:sz w:val="20"/>
        </w:rPr>
        <w:t>Asociación</w:t>
      </w:r>
      <w:r>
        <w:rPr>
          <w:spacing w:val="-8"/>
          <w:sz w:val="20"/>
        </w:rPr>
        <w:t> </w:t>
      </w:r>
      <w:r>
        <w:rPr>
          <w:sz w:val="20"/>
        </w:rPr>
        <w:t>Vecinos</w:t>
      </w:r>
      <w:r>
        <w:rPr>
          <w:spacing w:val="-9"/>
          <w:sz w:val="20"/>
        </w:rPr>
        <w:t> </w:t>
      </w:r>
      <w:r>
        <w:rPr>
          <w:sz w:val="20"/>
        </w:rPr>
        <w:t>Unidos,</w:t>
      </w:r>
      <w:r>
        <w:rPr>
          <w:spacing w:val="-7"/>
          <w:sz w:val="20"/>
        </w:rPr>
        <w:t> </w:t>
      </w:r>
      <w:r>
        <w:rPr>
          <w:sz w:val="20"/>
        </w:rPr>
        <w:t>Asociación</w:t>
      </w:r>
      <w:r>
        <w:rPr>
          <w:spacing w:val="-7"/>
          <w:sz w:val="20"/>
        </w:rPr>
        <w:t> </w:t>
      </w:r>
      <w:r>
        <w:rPr>
          <w:sz w:val="20"/>
        </w:rPr>
        <w:t>Nuestro</w:t>
      </w:r>
      <w:r>
        <w:rPr>
          <w:spacing w:val="-7"/>
          <w:sz w:val="20"/>
        </w:rPr>
        <w:t> </w:t>
      </w:r>
      <w:r>
        <w:rPr>
          <w:sz w:val="20"/>
        </w:rPr>
        <w:t>Chaco</w:t>
      </w:r>
      <w:r>
        <w:rPr>
          <w:spacing w:val="-7"/>
          <w:sz w:val="20"/>
        </w:rPr>
        <w:t> </w:t>
      </w:r>
      <w:r>
        <w:rPr>
          <w:sz w:val="20"/>
        </w:rPr>
        <w:t>y</w:t>
      </w:r>
      <w:r>
        <w:rPr>
          <w:spacing w:val="-8"/>
          <w:sz w:val="20"/>
        </w:rPr>
        <w:t> </w:t>
      </w:r>
      <w:r>
        <w:rPr>
          <w:sz w:val="20"/>
        </w:rPr>
        <w:t>“algunos</w:t>
      </w:r>
      <w:r>
        <w:rPr>
          <w:spacing w:val="-9"/>
          <w:sz w:val="20"/>
        </w:rPr>
        <w:t> </w:t>
      </w:r>
      <w:r>
        <w:rPr>
          <w:sz w:val="20"/>
        </w:rPr>
        <w:t>titulares</w:t>
      </w:r>
      <w:r>
        <w:rPr>
          <w:spacing w:val="-6"/>
          <w:sz w:val="20"/>
        </w:rPr>
        <w:t> </w:t>
      </w:r>
      <w:r>
        <w:rPr>
          <w:sz w:val="20"/>
        </w:rPr>
        <w:t>de derecho de posesión no asociados”, en el cual se expone “una propuesta integral para la resolución del […] proceso de tierras de los […] lotes […] 55 y</w:t>
      </w:r>
      <w:r>
        <w:rPr>
          <w:spacing w:val="-25"/>
          <w:sz w:val="20"/>
        </w:rPr>
        <w:t> </w:t>
      </w:r>
      <w:r>
        <w:rPr>
          <w:sz w:val="20"/>
        </w:rPr>
        <w:t>14”.</w:t>
      </w:r>
    </w:p>
    <w:p>
      <w:pPr>
        <w:pStyle w:val="BodyText"/>
        <w:spacing w:before="10"/>
        <w:rPr>
          <w:sz w:val="19"/>
        </w:rPr>
      </w:pPr>
    </w:p>
    <w:p>
      <w:pPr>
        <w:pStyle w:val="ListParagraph"/>
        <w:numPr>
          <w:ilvl w:val="0"/>
          <w:numId w:val="14"/>
        </w:numPr>
        <w:tabs>
          <w:tab w:pos="830" w:val="left" w:leader="none"/>
        </w:tabs>
        <w:spacing w:line="240" w:lineRule="auto" w:before="1" w:after="0"/>
        <w:ind w:left="122" w:right="124" w:hanging="12"/>
        <w:jc w:val="both"/>
        <w:rPr>
          <w:sz w:val="20"/>
        </w:rPr>
      </w:pPr>
      <w:r>
        <w:rPr>
          <w:sz w:val="20"/>
        </w:rPr>
        <w:t>La</w:t>
      </w:r>
      <w:r>
        <w:rPr>
          <w:spacing w:val="-11"/>
          <w:sz w:val="20"/>
        </w:rPr>
        <w:t> </w:t>
      </w:r>
      <w:r>
        <w:rPr>
          <w:b/>
          <w:i/>
          <w:sz w:val="20"/>
        </w:rPr>
        <w:t>Corte</w:t>
      </w:r>
      <w:r>
        <w:rPr>
          <w:b/>
          <w:i/>
          <w:spacing w:val="-6"/>
          <w:sz w:val="20"/>
        </w:rPr>
        <w:t> </w:t>
      </w:r>
      <w:r>
        <w:rPr>
          <w:sz w:val="20"/>
        </w:rPr>
        <w:t>nota</w:t>
      </w:r>
      <w:r>
        <w:rPr>
          <w:spacing w:val="-8"/>
          <w:sz w:val="20"/>
        </w:rPr>
        <w:t> </w:t>
      </w:r>
      <w:r>
        <w:rPr>
          <w:sz w:val="20"/>
        </w:rPr>
        <w:t>que</w:t>
      </w:r>
      <w:r>
        <w:rPr>
          <w:spacing w:val="-9"/>
          <w:sz w:val="20"/>
        </w:rPr>
        <w:t> </w:t>
      </w:r>
      <w:r>
        <w:rPr>
          <w:sz w:val="20"/>
        </w:rPr>
        <w:t>los</w:t>
      </w:r>
      <w:r>
        <w:rPr>
          <w:spacing w:val="-9"/>
          <w:sz w:val="20"/>
        </w:rPr>
        <w:t> </w:t>
      </w:r>
      <w:r>
        <w:rPr>
          <w:sz w:val="20"/>
        </w:rPr>
        <w:t>criollos</w:t>
      </w:r>
      <w:r>
        <w:rPr>
          <w:spacing w:val="-9"/>
          <w:sz w:val="20"/>
        </w:rPr>
        <w:t> </w:t>
      </w:r>
      <w:r>
        <w:rPr>
          <w:sz w:val="20"/>
        </w:rPr>
        <w:t>no</w:t>
      </w:r>
      <w:r>
        <w:rPr>
          <w:spacing w:val="-9"/>
          <w:sz w:val="20"/>
        </w:rPr>
        <w:t> </w:t>
      </w:r>
      <w:r>
        <w:rPr>
          <w:sz w:val="20"/>
        </w:rPr>
        <w:t>son</w:t>
      </w:r>
      <w:r>
        <w:rPr>
          <w:spacing w:val="-9"/>
          <w:sz w:val="20"/>
        </w:rPr>
        <w:t> </w:t>
      </w:r>
      <w:r>
        <w:rPr>
          <w:sz w:val="20"/>
        </w:rPr>
        <w:t>parte</w:t>
      </w:r>
      <w:r>
        <w:rPr>
          <w:spacing w:val="-6"/>
          <w:sz w:val="20"/>
        </w:rPr>
        <w:t> </w:t>
      </w:r>
      <w:r>
        <w:rPr>
          <w:sz w:val="20"/>
        </w:rPr>
        <w:t>formal</w:t>
      </w:r>
      <w:r>
        <w:rPr>
          <w:spacing w:val="-11"/>
          <w:sz w:val="20"/>
        </w:rPr>
        <w:t> </w:t>
      </w:r>
      <w:r>
        <w:rPr>
          <w:sz w:val="20"/>
        </w:rPr>
        <w:t>en</w:t>
      </w:r>
      <w:r>
        <w:rPr>
          <w:spacing w:val="-5"/>
          <w:sz w:val="20"/>
        </w:rPr>
        <w:t> </w:t>
      </w:r>
      <w:r>
        <w:rPr>
          <w:sz w:val="20"/>
        </w:rPr>
        <w:t>el</w:t>
      </w:r>
      <w:r>
        <w:rPr>
          <w:spacing w:val="-10"/>
          <w:sz w:val="20"/>
        </w:rPr>
        <w:t> </w:t>
      </w:r>
      <w:r>
        <w:rPr>
          <w:sz w:val="20"/>
        </w:rPr>
        <w:t>proceso</w:t>
      </w:r>
      <w:r>
        <w:rPr>
          <w:spacing w:val="-10"/>
          <w:sz w:val="20"/>
        </w:rPr>
        <w:t> </w:t>
      </w:r>
      <w:r>
        <w:rPr>
          <w:sz w:val="20"/>
        </w:rPr>
        <w:t>(</w:t>
      </w:r>
      <w:r>
        <w:rPr>
          <w:i/>
          <w:sz w:val="20"/>
        </w:rPr>
        <w:t>supra</w:t>
      </w:r>
      <w:r>
        <w:rPr>
          <w:i/>
          <w:spacing w:val="-4"/>
          <w:sz w:val="20"/>
        </w:rPr>
        <w:t> </w:t>
      </w:r>
      <w:r>
        <w:rPr>
          <w:sz w:val="20"/>
        </w:rPr>
        <w:t>párr.</w:t>
      </w:r>
      <w:r>
        <w:rPr>
          <w:spacing w:val="-8"/>
          <w:sz w:val="20"/>
        </w:rPr>
        <w:t> </w:t>
      </w:r>
      <w:r>
        <w:rPr>
          <w:sz w:val="20"/>
        </w:rPr>
        <w:t>36), pero</w:t>
      </w:r>
      <w:r>
        <w:rPr>
          <w:spacing w:val="-9"/>
          <w:sz w:val="20"/>
        </w:rPr>
        <w:t> </w:t>
      </w:r>
      <w:r>
        <w:rPr>
          <w:sz w:val="20"/>
        </w:rPr>
        <w:t>advierte</w:t>
      </w:r>
      <w:r>
        <w:rPr>
          <w:spacing w:val="-9"/>
          <w:sz w:val="20"/>
        </w:rPr>
        <w:t> </w:t>
      </w:r>
      <w:r>
        <w:rPr>
          <w:sz w:val="20"/>
        </w:rPr>
        <w:t>que</w:t>
      </w:r>
      <w:r>
        <w:rPr>
          <w:spacing w:val="-9"/>
          <w:sz w:val="20"/>
        </w:rPr>
        <w:t> </w:t>
      </w:r>
      <w:r>
        <w:rPr>
          <w:sz w:val="20"/>
        </w:rPr>
        <w:t>el</w:t>
      </w:r>
      <w:r>
        <w:rPr>
          <w:spacing w:val="-5"/>
          <w:sz w:val="20"/>
        </w:rPr>
        <w:t> </w:t>
      </w:r>
      <w:r>
        <w:rPr>
          <w:sz w:val="20"/>
        </w:rPr>
        <w:t>escrito</w:t>
      </w:r>
      <w:r>
        <w:rPr>
          <w:spacing w:val="-9"/>
          <w:sz w:val="20"/>
        </w:rPr>
        <w:t> </w:t>
      </w:r>
      <w:r>
        <w:rPr>
          <w:sz w:val="20"/>
        </w:rPr>
        <w:t>que</w:t>
      </w:r>
      <w:r>
        <w:rPr>
          <w:spacing w:val="-7"/>
          <w:sz w:val="20"/>
        </w:rPr>
        <w:t> </w:t>
      </w:r>
      <w:r>
        <w:rPr>
          <w:sz w:val="20"/>
        </w:rPr>
        <w:t>remitieron</w:t>
      </w:r>
      <w:r>
        <w:rPr>
          <w:spacing w:val="-5"/>
          <w:sz w:val="20"/>
        </w:rPr>
        <w:t> </w:t>
      </w:r>
      <w:r>
        <w:rPr>
          <w:sz w:val="20"/>
        </w:rPr>
        <w:t>resulta</w:t>
      </w:r>
      <w:r>
        <w:rPr>
          <w:spacing w:val="-8"/>
          <w:sz w:val="20"/>
        </w:rPr>
        <w:t> </w:t>
      </w:r>
      <w:r>
        <w:rPr>
          <w:sz w:val="20"/>
        </w:rPr>
        <w:t>útil.</w:t>
      </w:r>
      <w:r>
        <w:rPr>
          <w:spacing w:val="-8"/>
          <w:sz w:val="20"/>
        </w:rPr>
        <w:t> </w:t>
      </w:r>
      <w:r>
        <w:rPr>
          <w:sz w:val="20"/>
        </w:rPr>
        <w:t>Este</w:t>
      </w:r>
      <w:r>
        <w:rPr>
          <w:spacing w:val="-9"/>
          <w:sz w:val="20"/>
        </w:rPr>
        <w:t> </w:t>
      </w:r>
      <w:r>
        <w:rPr>
          <w:sz w:val="20"/>
        </w:rPr>
        <w:t>Tribunal</w:t>
      </w:r>
      <w:r>
        <w:rPr>
          <w:spacing w:val="-7"/>
          <w:sz w:val="20"/>
        </w:rPr>
        <w:t> </w:t>
      </w:r>
      <w:r>
        <w:rPr>
          <w:sz w:val="20"/>
        </w:rPr>
        <w:t>tiene</w:t>
      </w:r>
      <w:r>
        <w:rPr>
          <w:spacing w:val="-9"/>
          <w:sz w:val="20"/>
        </w:rPr>
        <w:t> </w:t>
      </w:r>
      <w:r>
        <w:rPr>
          <w:sz w:val="20"/>
        </w:rPr>
        <w:t>en</w:t>
      </w:r>
      <w:r>
        <w:rPr>
          <w:spacing w:val="-5"/>
          <w:sz w:val="20"/>
        </w:rPr>
        <w:t> </w:t>
      </w:r>
      <w:r>
        <w:rPr>
          <w:sz w:val="20"/>
        </w:rPr>
        <w:t>cuenta</w:t>
      </w:r>
      <w:r>
        <w:rPr>
          <w:spacing w:val="-8"/>
          <w:sz w:val="20"/>
        </w:rPr>
        <w:t> </w:t>
      </w:r>
      <w:r>
        <w:rPr>
          <w:sz w:val="20"/>
        </w:rPr>
        <w:t>las particulares circunstancias que presenta este caso, en cuanto a la implicancia de la población</w:t>
      </w:r>
      <w:r>
        <w:rPr>
          <w:spacing w:val="-5"/>
          <w:sz w:val="20"/>
        </w:rPr>
        <w:t> </w:t>
      </w:r>
      <w:r>
        <w:rPr>
          <w:sz w:val="20"/>
        </w:rPr>
        <w:t>criolla</w:t>
      </w:r>
      <w:r>
        <w:rPr>
          <w:spacing w:val="-8"/>
          <w:sz w:val="20"/>
        </w:rPr>
        <w:t> </w:t>
      </w:r>
      <w:r>
        <w:rPr>
          <w:sz w:val="20"/>
        </w:rPr>
        <w:t>respecto</w:t>
      </w:r>
      <w:r>
        <w:rPr>
          <w:spacing w:val="-9"/>
          <w:sz w:val="20"/>
        </w:rPr>
        <w:t> </w:t>
      </w:r>
      <w:r>
        <w:rPr>
          <w:sz w:val="20"/>
        </w:rPr>
        <w:t>a</w:t>
      </w:r>
      <w:r>
        <w:rPr>
          <w:spacing w:val="-8"/>
          <w:sz w:val="20"/>
        </w:rPr>
        <w:t> </w:t>
      </w:r>
      <w:r>
        <w:rPr>
          <w:sz w:val="20"/>
        </w:rPr>
        <w:t>aspectos</w:t>
      </w:r>
      <w:r>
        <w:rPr>
          <w:spacing w:val="-9"/>
          <w:sz w:val="20"/>
        </w:rPr>
        <w:t> </w:t>
      </w:r>
      <w:r>
        <w:rPr>
          <w:sz w:val="20"/>
        </w:rPr>
        <w:t>debatidos,</w:t>
      </w:r>
      <w:r>
        <w:rPr>
          <w:spacing w:val="-7"/>
          <w:sz w:val="20"/>
        </w:rPr>
        <w:t> </w:t>
      </w:r>
      <w:r>
        <w:rPr>
          <w:sz w:val="20"/>
        </w:rPr>
        <w:t>así</w:t>
      </w:r>
      <w:r>
        <w:rPr>
          <w:spacing w:val="-8"/>
          <w:sz w:val="20"/>
        </w:rPr>
        <w:t> </w:t>
      </w:r>
      <w:r>
        <w:rPr>
          <w:sz w:val="20"/>
        </w:rPr>
        <w:t>como</w:t>
      </w:r>
      <w:r>
        <w:rPr>
          <w:spacing w:val="-8"/>
          <w:sz w:val="20"/>
        </w:rPr>
        <w:t> </w:t>
      </w:r>
      <w:r>
        <w:rPr>
          <w:sz w:val="20"/>
        </w:rPr>
        <w:t>que</w:t>
      </w:r>
      <w:r>
        <w:rPr>
          <w:spacing w:val="-9"/>
          <w:sz w:val="20"/>
        </w:rPr>
        <w:t> </w:t>
      </w:r>
      <w:r>
        <w:rPr>
          <w:sz w:val="20"/>
        </w:rPr>
        <w:t>hubo</w:t>
      </w:r>
      <w:r>
        <w:rPr>
          <w:spacing w:val="-9"/>
          <w:sz w:val="20"/>
        </w:rPr>
        <w:t> </w:t>
      </w:r>
      <w:r>
        <w:rPr>
          <w:sz w:val="20"/>
        </w:rPr>
        <w:t>integrantes</w:t>
      </w:r>
      <w:r>
        <w:rPr>
          <w:spacing w:val="-9"/>
          <w:sz w:val="20"/>
        </w:rPr>
        <w:t> </w:t>
      </w:r>
      <w:r>
        <w:rPr>
          <w:sz w:val="20"/>
        </w:rPr>
        <w:t>de</w:t>
      </w:r>
      <w:r>
        <w:rPr>
          <w:spacing w:val="-9"/>
          <w:sz w:val="20"/>
        </w:rPr>
        <w:t> </w:t>
      </w:r>
      <w:r>
        <w:rPr>
          <w:sz w:val="20"/>
        </w:rPr>
        <w:t>dicha población cuyos testimonios fueron escuchados, tanto mediante declaraciones escritas como en el marco de la diligencia </w:t>
      </w:r>
      <w:r>
        <w:rPr>
          <w:i/>
          <w:sz w:val="20"/>
        </w:rPr>
        <w:t>in situ</w:t>
      </w:r>
      <w:r>
        <w:rPr>
          <w:sz w:val="20"/>
        </w:rPr>
        <w:t>. Por ello, la Corte admite la presentación con base en sus facultades previstas por el artículo 58.a del</w:t>
      </w:r>
      <w:r>
        <w:rPr>
          <w:spacing w:val="-24"/>
          <w:sz w:val="20"/>
        </w:rPr>
        <w:t> </w:t>
      </w:r>
      <w:r>
        <w:rPr>
          <w:sz w:val="20"/>
        </w:rPr>
        <w:t>Reglamento</w:t>
      </w:r>
      <w:r>
        <w:rPr>
          <w:position w:val="7"/>
          <w:sz w:val="13"/>
        </w:rPr>
        <w:t>28</w:t>
      </w:r>
      <w:r>
        <w:rPr>
          <w:sz w:val="20"/>
        </w:rPr>
        <w:t>.</w:t>
      </w:r>
    </w:p>
    <w:p>
      <w:pPr>
        <w:pStyle w:val="BodyText"/>
        <w:spacing w:before="10"/>
        <w:rPr>
          <w:sz w:val="19"/>
        </w:rPr>
      </w:pPr>
    </w:p>
    <w:p>
      <w:pPr>
        <w:pStyle w:val="Heading4"/>
        <w:numPr>
          <w:ilvl w:val="0"/>
          <w:numId w:val="16"/>
        </w:numPr>
        <w:tabs>
          <w:tab w:pos="842" w:val="left" w:leader="none"/>
        </w:tabs>
        <w:spacing w:line="240" w:lineRule="auto" w:before="1" w:after="0"/>
        <w:ind w:left="842" w:right="0" w:hanging="360"/>
        <w:jc w:val="left"/>
        <w:rPr>
          <w:i/>
        </w:rPr>
      </w:pPr>
      <w:bookmarkStart w:name="_bookmark16" w:id="25"/>
      <w:bookmarkEnd w:id="25"/>
      <w:r>
        <w:rPr>
          <w:b w:val="0"/>
          <w:i w:val="0"/>
        </w:rPr>
      </w:r>
      <w:bookmarkStart w:name="_bookmark16" w:id="26"/>
      <w:bookmarkEnd w:id="26"/>
      <w:r>
        <w:rPr>
          <w:i/>
          <w:u w:val="thick"/>
        </w:rPr>
        <w:t>A</w:t>
      </w:r>
      <w:r>
        <w:rPr>
          <w:i/>
          <w:u w:val="thick"/>
        </w:rPr>
        <w:t>dmisibilidad de la prueba testimonial y</w:t>
      </w:r>
      <w:r>
        <w:rPr>
          <w:i/>
          <w:spacing w:val="-27"/>
          <w:u w:val="thick"/>
        </w:rPr>
        <w:t> </w:t>
      </w:r>
      <w:r>
        <w:rPr>
          <w:i/>
          <w:u w:val="thick"/>
        </w:rPr>
        <w:t>pericial</w:t>
      </w:r>
    </w:p>
    <w:p>
      <w:pPr>
        <w:pStyle w:val="BodyText"/>
        <w:spacing w:before="11"/>
        <w:rPr>
          <w:b/>
          <w:i/>
          <w:sz w:val="11"/>
        </w:rPr>
      </w:pPr>
    </w:p>
    <w:p>
      <w:pPr>
        <w:pStyle w:val="ListParagraph"/>
        <w:numPr>
          <w:ilvl w:val="0"/>
          <w:numId w:val="14"/>
        </w:numPr>
        <w:tabs>
          <w:tab w:pos="830" w:val="left" w:leader="none"/>
        </w:tabs>
        <w:spacing w:line="242" w:lineRule="auto" w:before="99" w:after="0"/>
        <w:ind w:left="122" w:right="122" w:hanging="12"/>
        <w:jc w:val="both"/>
        <w:rPr>
          <w:sz w:val="20"/>
        </w:rPr>
      </w:pPr>
      <w:r>
        <w:rPr>
          <w:sz w:val="20"/>
        </w:rPr>
        <w:t>La Corte escuchó en audiencia pública las declaraciones de dos caciques de comunidades indígenas, Francisco Pérez y Rogelio Segundo. Recibió también las declaraciones escritas, rendidas ante fedatario público, de Francisco Gómez, Humberto Chenes, Constantino Fortunato, Asencio Pérez y Víctor González, quienes son integrantes de comunidades indígenas, así como también de los testigos Abraham Ricalde, Zaturnio Ceballos y Oscar Dante Albornoz, pobladores criollos. Además recibió peritajes escritos, dados ante fedatario público por Nancy Adriana Yáñez Fuenzalida, Rodrigo Sebastián Solá, Norma Teresa Naharro y Emiliana Catalina Buliubasich</w:t>
      </w:r>
      <w:r>
        <w:rPr>
          <w:rFonts w:ascii="Calibri" w:hAnsi="Calibri"/>
          <w:position w:val="8"/>
          <w:sz w:val="14"/>
        </w:rPr>
        <w:t>29</w:t>
      </w:r>
      <w:r>
        <w:rPr>
          <w:sz w:val="20"/>
        </w:rPr>
        <w:t>. Las declaraciones indicadas quedan</w:t>
      </w:r>
      <w:r>
        <w:rPr>
          <w:spacing w:val="-16"/>
          <w:sz w:val="20"/>
        </w:rPr>
        <w:t> </w:t>
      </w:r>
      <w:r>
        <w:rPr>
          <w:sz w:val="20"/>
        </w:rPr>
        <w:t>admitidas.</w:t>
      </w:r>
    </w:p>
    <w:p>
      <w:pPr>
        <w:pStyle w:val="BodyText"/>
        <w:spacing w:before="8"/>
        <w:rPr>
          <w:sz w:val="19"/>
        </w:rPr>
      </w:pPr>
    </w:p>
    <w:p>
      <w:pPr>
        <w:pStyle w:val="Heading3"/>
        <w:ind w:left="4075" w:right="4074" w:hanging="2"/>
      </w:pPr>
      <w:bookmarkStart w:name="_bookmark17" w:id="27"/>
      <w:bookmarkEnd w:id="27"/>
      <w:r>
        <w:rPr>
          <w:b w:val="0"/>
        </w:rPr>
      </w:r>
      <w:r>
        <w:rPr/>
        <w:t>VI  </w:t>
      </w:r>
      <w:bookmarkStart w:name="_bookmark18" w:id="28"/>
      <w:bookmarkEnd w:id="28"/>
      <w:r>
        <w:rPr/>
      </w:r>
      <w:r>
        <w:rPr>
          <w:w w:val="95"/>
        </w:rPr>
        <w:t>HECHOS</w:t>
      </w:r>
    </w:p>
    <w:p>
      <w:pPr>
        <w:pStyle w:val="BodyText"/>
        <w:spacing w:before="10"/>
        <w:rPr>
          <w:b/>
          <w:sz w:val="19"/>
        </w:rPr>
      </w:pPr>
    </w:p>
    <w:p>
      <w:pPr>
        <w:pStyle w:val="ListParagraph"/>
        <w:numPr>
          <w:ilvl w:val="0"/>
          <w:numId w:val="14"/>
        </w:numPr>
        <w:tabs>
          <w:tab w:pos="830" w:val="left" w:leader="none"/>
        </w:tabs>
        <w:spacing w:line="240" w:lineRule="auto" w:before="0" w:after="0"/>
        <w:ind w:left="122" w:right="125" w:hanging="12"/>
        <w:jc w:val="both"/>
        <w:rPr>
          <w:sz w:val="20"/>
        </w:rPr>
      </w:pPr>
      <w:r>
        <w:rPr>
          <w:sz w:val="20"/>
        </w:rPr>
        <w:t>Los hechos del presente caso se refieren a un reclamo de propiedad de comunidades indígenas sobre tierras ubicadas en la Provincia argentina de Salta. El reclamo</w:t>
      </w:r>
      <w:r>
        <w:rPr>
          <w:spacing w:val="-6"/>
          <w:sz w:val="20"/>
        </w:rPr>
        <w:t> </w:t>
      </w:r>
      <w:r>
        <w:rPr>
          <w:sz w:val="20"/>
        </w:rPr>
        <w:t>lleva</w:t>
      </w:r>
      <w:r>
        <w:rPr>
          <w:spacing w:val="-6"/>
          <w:sz w:val="20"/>
        </w:rPr>
        <w:t> </w:t>
      </w:r>
      <w:r>
        <w:rPr>
          <w:sz w:val="20"/>
        </w:rPr>
        <w:t>cerca</w:t>
      </w:r>
      <w:r>
        <w:rPr>
          <w:spacing w:val="-6"/>
          <w:sz w:val="20"/>
        </w:rPr>
        <w:t> </w:t>
      </w:r>
      <w:r>
        <w:rPr>
          <w:sz w:val="20"/>
        </w:rPr>
        <w:t>de</w:t>
      </w:r>
      <w:r>
        <w:rPr>
          <w:spacing w:val="-7"/>
          <w:sz w:val="20"/>
        </w:rPr>
        <w:t> </w:t>
      </w:r>
      <w:r>
        <w:rPr>
          <w:sz w:val="20"/>
        </w:rPr>
        <w:t>35</w:t>
      </w:r>
      <w:r>
        <w:rPr>
          <w:spacing w:val="-7"/>
          <w:sz w:val="20"/>
        </w:rPr>
        <w:t> </w:t>
      </w:r>
      <w:r>
        <w:rPr>
          <w:sz w:val="20"/>
        </w:rPr>
        <w:t>años.</w:t>
      </w:r>
      <w:r>
        <w:rPr>
          <w:spacing w:val="-8"/>
          <w:sz w:val="20"/>
        </w:rPr>
        <w:t> </w:t>
      </w:r>
      <w:r>
        <w:rPr>
          <w:sz w:val="20"/>
        </w:rPr>
        <w:t>Durante</w:t>
      </w:r>
      <w:r>
        <w:rPr>
          <w:spacing w:val="-7"/>
          <w:sz w:val="20"/>
        </w:rPr>
        <w:t> </w:t>
      </w:r>
      <w:r>
        <w:rPr>
          <w:sz w:val="20"/>
        </w:rPr>
        <w:t>ese</w:t>
      </w:r>
      <w:r>
        <w:rPr>
          <w:spacing w:val="-7"/>
          <w:sz w:val="20"/>
        </w:rPr>
        <w:t> </w:t>
      </w:r>
      <w:r>
        <w:rPr>
          <w:sz w:val="20"/>
        </w:rPr>
        <w:t>período</w:t>
      </w:r>
      <w:r>
        <w:rPr>
          <w:spacing w:val="-7"/>
          <w:sz w:val="20"/>
        </w:rPr>
        <w:t> </w:t>
      </w:r>
      <w:r>
        <w:rPr>
          <w:sz w:val="20"/>
        </w:rPr>
        <w:t>el</w:t>
      </w:r>
      <w:r>
        <w:rPr>
          <w:spacing w:val="-5"/>
          <w:sz w:val="20"/>
        </w:rPr>
        <w:t> </w:t>
      </w:r>
      <w:r>
        <w:rPr>
          <w:sz w:val="20"/>
        </w:rPr>
        <w:t>Estado</w:t>
      </w:r>
      <w:r>
        <w:rPr>
          <w:spacing w:val="-7"/>
          <w:sz w:val="20"/>
        </w:rPr>
        <w:t> </w:t>
      </w:r>
      <w:r>
        <w:rPr>
          <w:sz w:val="20"/>
        </w:rPr>
        <w:t>adoptó</w:t>
      </w:r>
      <w:r>
        <w:rPr>
          <w:spacing w:val="-7"/>
          <w:sz w:val="20"/>
        </w:rPr>
        <w:t> </w:t>
      </w:r>
      <w:r>
        <w:rPr>
          <w:sz w:val="20"/>
        </w:rPr>
        <w:t>diversas</w:t>
      </w:r>
      <w:r>
        <w:rPr>
          <w:spacing w:val="-7"/>
          <w:sz w:val="20"/>
        </w:rPr>
        <w:t> </w:t>
      </w:r>
      <w:r>
        <w:rPr>
          <w:sz w:val="20"/>
        </w:rPr>
        <w:t>acciones y normas. Algunas de ellas, en particular en 1991, 2012 y 2014, avanzaron en el reconocimiento</w:t>
      </w:r>
      <w:r>
        <w:rPr>
          <w:spacing w:val="37"/>
          <w:sz w:val="20"/>
        </w:rPr>
        <w:t> </w:t>
      </w:r>
      <w:r>
        <w:rPr>
          <w:sz w:val="20"/>
        </w:rPr>
        <w:t>de</w:t>
      </w:r>
      <w:r>
        <w:rPr>
          <w:spacing w:val="37"/>
          <w:sz w:val="20"/>
        </w:rPr>
        <w:t> </w:t>
      </w:r>
      <w:r>
        <w:rPr>
          <w:sz w:val="20"/>
        </w:rPr>
        <w:t>la</w:t>
      </w:r>
      <w:r>
        <w:rPr>
          <w:spacing w:val="39"/>
          <w:sz w:val="20"/>
        </w:rPr>
        <w:t> </w:t>
      </w:r>
      <w:r>
        <w:rPr>
          <w:sz w:val="20"/>
        </w:rPr>
        <w:t>propiedad</w:t>
      </w:r>
      <w:r>
        <w:rPr>
          <w:spacing w:val="39"/>
          <w:sz w:val="20"/>
        </w:rPr>
        <w:t> </w:t>
      </w:r>
      <w:r>
        <w:rPr>
          <w:sz w:val="20"/>
        </w:rPr>
        <w:t>indígena.</w:t>
      </w:r>
      <w:r>
        <w:rPr>
          <w:spacing w:val="38"/>
          <w:sz w:val="20"/>
        </w:rPr>
        <w:t> </w:t>
      </w:r>
      <w:r>
        <w:rPr>
          <w:sz w:val="20"/>
        </w:rPr>
        <w:t>Como</w:t>
      </w:r>
      <w:r>
        <w:rPr>
          <w:spacing w:val="38"/>
          <w:sz w:val="20"/>
        </w:rPr>
        <w:t> </w:t>
      </w:r>
      <w:r>
        <w:rPr>
          <w:sz w:val="20"/>
        </w:rPr>
        <w:t>se</w:t>
      </w:r>
      <w:r>
        <w:rPr>
          <w:spacing w:val="40"/>
          <w:sz w:val="20"/>
        </w:rPr>
        <w:t> </w:t>
      </w:r>
      <w:r>
        <w:rPr>
          <w:sz w:val="20"/>
        </w:rPr>
        <w:t>expondrá,</w:t>
      </w:r>
      <w:r>
        <w:rPr>
          <w:spacing w:val="38"/>
          <w:sz w:val="20"/>
        </w:rPr>
        <w:t> </w:t>
      </w:r>
      <w:r>
        <w:rPr>
          <w:sz w:val="20"/>
        </w:rPr>
        <w:t>la</w:t>
      </w:r>
      <w:r>
        <w:rPr>
          <w:spacing w:val="39"/>
          <w:sz w:val="20"/>
        </w:rPr>
        <w:t> </w:t>
      </w:r>
      <w:r>
        <w:rPr>
          <w:sz w:val="20"/>
        </w:rPr>
        <w:t>implementación</w:t>
      </w:r>
      <w:r>
        <w:rPr>
          <w:spacing w:val="39"/>
          <w:sz w:val="20"/>
        </w:rPr>
        <w:t> </w:t>
      </w:r>
      <w:r>
        <w:rPr>
          <w:sz w:val="20"/>
        </w:rPr>
        <w:t>de</w:t>
      </w:r>
    </w:p>
    <w:p>
      <w:pPr>
        <w:pStyle w:val="BodyText"/>
        <w:spacing w:before="3"/>
        <w:rPr>
          <w:sz w:val="23"/>
        </w:rPr>
      </w:pPr>
      <w:r>
        <w:rPr/>
        <w:pict>
          <v:line style="position:absolute;mso-position-horizontal-relative:page;mso-position-vertical-relative:paragraph;z-index:1312;mso-wrap-distance-left:0;mso-wrap-distance-right:0" from="85.103996pt,16.469616pt" to="229.123996pt,16.469616pt" stroked="true" strokeweight=".72003pt" strokecolor="#000000">
            <v:stroke dashstyle="solid"/>
            <w10:wrap type="topAndBottom"/>
          </v:line>
        </w:pict>
      </w:r>
    </w:p>
    <w:p>
      <w:pPr>
        <w:tabs>
          <w:tab w:pos="829" w:val="left" w:leader="none"/>
        </w:tabs>
        <w:spacing w:before="71"/>
        <w:ind w:left="122" w:right="117" w:firstLine="0"/>
        <w:jc w:val="both"/>
        <w:rPr>
          <w:sz w:val="16"/>
        </w:rPr>
      </w:pPr>
      <w:r>
        <w:rPr>
          <w:position w:val="6"/>
          <w:sz w:val="10"/>
        </w:rPr>
        <w:t>28</w:t>
        <w:tab/>
      </w:r>
      <w:r>
        <w:rPr>
          <w:sz w:val="16"/>
        </w:rPr>
        <w:t>El</w:t>
      </w:r>
      <w:r>
        <w:rPr>
          <w:spacing w:val="-4"/>
          <w:sz w:val="16"/>
        </w:rPr>
        <w:t> </w:t>
      </w:r>
      <w:r>
        <w:rPr>
          <w:sz w:val="16"/>
        </w:rPr>
        <w:t>artículo</w:t>
      </w:r>
      <w:r>
        <w:rPr>
          <w:spacing w:val="-3"/>
          <w:sz w:val="16"/>
        </w:rPr>
        <w:t> </w:t>
      </w:r>
      <w:r>
        <w:rPr>
          <w:sz w:val="16"/>
        </w:rPr>
        <w:t>58</w:t>
      </w:r>
      <w:r>
        <w:rPr>
          <w:spacing w:val="-5"/>
          <w:sz w:val="16"/>
        </w:rPr>
        <w:t> </w:t>
      </w:r>
      <w:r>
        <w:rPr>
          <w:sz w:val="16"/>
        </w:rPr>
        <w:t>Reglamento</w:t>
      </w:r>
      <w:r>
        <w:rPr>
          <w:spacing w:val="-5"/>
          <w:sz w:val="16"/>
        </w:rPr>
        <w:t> </w:t>
      </w:r>
      <w:r>
        <w:rPr>
          <w:sz w:val="16"/>
        </w:rPr>
        <w:t>dice:</w:t>
      </w:r>
      <w:r>
        <w:rPr>
          <w:spacing w:val="-5"/>
          <w:sz w:val="16"/>
        </w:rPr>
        <w:t> </w:t>
      </w:r>
      <w:r>
        <w:rPr>
          <w:sz w:val="16"/>
        </w:rPr>
        <w:t>“En</w:t>
      </w:r>
      <w:r>
        <w:rPr>
          <w:spacing w:val="-5"/>
          <w:sz w:val="16"/>
        </w:rPr>
        <w:t> </w:t>
      </w:r>
      <w:r>
        <w:rPr>
          <w:sz w:val="16"/>
        </w:rPr>
        <w:t>cualquier</w:t>
      </w:r>
      <w:r>
        <w:rPr>
          <w:spacing w:val="-3"/>
          <w:sz w:val="16"/>
        </w:rPr>
        <w:t> </w:t>
      </w:r>
      <w:r>
        <w:rPr>
          <w:sz w:val="16"/>
        </w:rPr>
        <w:t>estado</w:t>
      </w:r>
      <w:r>
        <w:rPr>
          <w:spacing w:val="-3"/>
          <w:sz w:val="16"/>
        </w:rPr>
        <w:t> </w:t>
      </w:r>
      <w:r>
        <w:rPr>
          <w:sz w:val="16"/>
        </w:rPr>
        <w:t>de</w:t>
      </w:r>
      <w:r>
        <w:rPr>
          <w:spacing w:val="-3"/>
          <w:sz w:val="16"/>
        </w:rPr>
        <w:t> </w:t>
      </w:r>
      <w:r>
        <w:rPr>
          <w:sz w:val="16"/>
        </w:rPr>
        <w:t>la</w:t>
      </w:r>
      <w:r>
        <w:rPr>
          <w:spacing w:val="-4"/>
          <w:sz w:val="16"/>
        </w:rPr>
        <w:t> </w:t>
      </w:r>
      <w:r>
        <w:rPr>
          <w:sz w:val="16"/>
        </w:rPr>
        <w:t>causa</w:t>
      </w:r>
      <w:r>
        <w:rPr>
          <w:spacing w:val="-4"/>
          <w:sz w:val="16"/>
        </w:rPr>
        <w:t> </w:t>
      </w:r>
      <w:r>
        <w:rPr>
          <w:sz w:val="16"/>
        </w:rPr>
        <w:t>la</w:t>
      </w:r>
      <w:r>
        <w:rPr>
          <w:spacing w:val="-4"/>
          <w:sz w:val="16"/>
        </w:rPr>
        <w:t> </w:t>
      </w:r>
      <w:r>
        <w:rPr>
          <w:sz w:val="16"/>
        </w:rPr>
        <w:t>Corte</w:t>
      </w:r>
      <w:r>
        <w:rPr>
          <w:spacing w:val="-6"/>
          <w:sz w:val="16"/>
        </w:rPr>
        <w:t> </w:t>
      </w:r>
      <w:r>
        <w:rPr>
          <w:sz w:val="16"/>
        </w:rPr>
        <w:t>podrá:</w:t>
      </w:r>
      <w:r>
        <w:rPr>
          <w:spacing w:val="-5"/>
          <w:sz w:val="16"/>
        </w:rPr>
        <w:t> </w:t>
      </w:r>
      <w:r>
        <w:rPr>
          <w:sz w:val="16"/>
        </w:rPr>
        <w:t>a.</w:t>
      </w:r>
      <w:r>
        <w:rPr>
          <w:spacing w:val="-5"/>
          <w:sz w:val="16"/>
        </w:rPr>
        <w:t> </w:t>
      </w:r>
      <w:r>
        <w:rPr>
          <w:sz w:val="16"/>
        </w:rPr>
        <w:t>Procurar</w:t>
      </w:r>
      <w:r>
        <w:rPr>
          <w:spacing w:val="-3"/>
          <w:sz w:val="16"/>
        </w:rPr>
        <w:t> </w:t>
      </w:r>
      <w:r>
        <w:rPr>
          <w:sz w:val="16"/>
        </w:rPr>
        <w:t>de</w:t>
      </w:r>
      <w:r>
        <w:rPr>
          <w:spacing w:val="-6"/>
          <w:sz w:val="16"/>
        </w:rPr>
        <w:t> </w:t>
      </w:r>
      <w:r>
        <w:rPr>
          <w:sz w:val="16"/>
        </w:rPr>
        <w:t>oficio</w:t>
      </w:r>
      <w:r>
        <w:rPr>
          <w:w w:val="100"/>
          <w:sz w:val="16"/>
        </w:rPr>
        <w:t> </w:t>
      </w:r>
      <w:r>
        <w:rPr>
          <w:sz w:val="16"/>
        </w:rPr>
        <w:t>toda prueba que considere útil y necesaria. En particular, podrá oír en calidad de presunta víctima, testigo, perito o por otro título, a cualquier persona cuya declaración, testimonio, u opinión estime</w:t>
      </w:r>
      <w:r>
        <w:rPr>
          <w:spacing w:val="-32"/>
          <w:sz w:val="16"/>
        </w:rPr>
        <w:t> </w:t>
      </w:r>
      <w:r>
        <w:rPr>
          <w:sz w:val="16"/>
        </w:rPr>
        <w:t>pertinente”.</w:t>
      </w:r>
    </w:p>
    <w:p>
      <w:pPr>
        <w:pStyle w:val="BodyText"/>
        <w:spacing w:before="11"/>
        <w:rPr>
          <w:sz w:val="15"/>
        </w:rPr>
      </w:pPr>
    </w:p>
    <w:p>
      <w:pPr>
        <w:tabs>
          <w:tab w:pos="829" w:val="left" w:leader="none"/>
        </w:tabs>
        <w:spacing w:before="0"/>
        <w:ind w:left="122" w:right="119" w:firstLine="0"/>
        <w:jc w:val="both"/>
        <w:rPr>
          <w:sz w:val="16"/>
        </w:rPr>
      </w:pPr>
      <w:r>
        <w:rPr>
          <w:position w:val="6"/>
          <w:sz w:val="10"/>
        </w:rPr>
        <w:t>29</w:t>
        <w:tab/>
      </w:r>
      <w:r>
        <w:rPr>
          <w:sz w:val="16"/>
        </w:rPr>
        <w:t>Sobre</w:t>
      </w:r>
      <w:r>
        <w:rPr>
          <w:spacing w:val="19"/>
          <w:sz w:val="16"/>
        </w:rPr>
        <w:t> </w:t>
      </w:r>
      <w:r>
        <w:rPr>
          <w:sz w:val="16"/>
        </w:rPr>
        <w:t>las</w:t>
      </w:r>
      <w:r>
        <w:rPr>
          <w:spacing w:val="19"/>
          <w:sz w:val="16"/>
        </w:rPr>
        <w:t> </w:t>
      </w:r>
      <w:r>
        <w:rPr>
          <w:sz w:val="16"/>
        </w:rPr>
        <w:t>peritas</w:t>
      </w:r>
      <w:r>
        <w:rPr>
          <w:spacing w:val="19"/>
          <w:sz w:val="16"/>
        </w:rPr>
        <w:t> </w:t>
      </w:r>
      <w:r>
        <w:rPr>
          <w:sz w:val="16"/>
        </w:rPr>
        <w:t>Yáñez</w:t>
      </w:r>
      <w:r>
        <w:rPr>
          <w:spacing w:val="19"/>
          <w:sz w:val="16"/>
        </w:rPr>
        <w:t> </w:t>
      </w:r>
      <w:r>
        <w:rPr>
          <w:sz w:val="16"/>
        </w:rPr>
        <w:t>Fuenzalida</w:t>
      </w:r>
      <w:r>
        <w:rPr>
          <w:spacing w:val="21"/>
          <w:sz w:val="16"/>
        </w:rPr>
        <w:t> </w:t>
      </w:r>
      <w:r>
        <w:rPr>
          <w:sz w:val="16"/>
        </w:rPr>
        <w:t>y</w:t>
      </w:r>
      <w:r>
        <w:rPr>
          <w:spacing w:val="20"/>
          <w:sz w:val="16"/>
        </w:rPr>
        <w:t> </w:t>
      </w:r>
      <w:r>
        <w:rPr>
          <w:sz w:val="16"/>
        </w:rPr>
        <w:t>Buliubasich</w:t>
      </w:r>
      <w:r>
        <w:rPr>
          <w:spacing w:val="20"/>
          <w:sz w:val="16"/>
        </w:rPr>
        <w:t> </w:t>
      </w:r>
      <w:r>
        <w:rPr>
          <w:sz w:val="16"/>
        </w:rPr>
        <w:t>debe</w:t>
      </w:r>
      <w:r>
        <w:rPr>
          <w:spacing w:val="19"/>
          <w:sz w:val="16"/>
        </w:rPr>
        <w:t> </w:t>
      </w:r>
      <w:r>
        <w:rPr>
          <w:sz w:val="16"/>
        </w:rPr>
        <w:t>dejarse</w:t>
      </w:r>
      <w:r>
        <w:rPr>
          <w:spacing w:val="19"/>
          <w:sz w:val="16"/>
        </w:rPr>
        <w:t> </w:t>
      </w:r>
      <w:r>
        <w:rPr>
          <w:sz w:val="16"/>
        </w:rPr>
        <w:t>sentado</w:t>
      </w:r>
      <w:r>
        <w:rPr>
          <w:spacing w:val="22"/>
          <w:sz w:val="16"/>
        </w:rPr>
        <w:t> </w:t>
      </w:r>
      <w:r>
        <w:rPr>
          <w:sz w:val="16"/>
        </w:rPr>
        <w:t>lo</w:t>
      </w:r>
      <w:r>
        <w:rPr>
          <w:spacing w:val="20"/>
          <w:sz w:val="16"/>
        </w:rPr>
        <w:t> </w:t>
      </w:r>
      <w:r>
        <w:rPr>
          <w:sz w:val="16"/>
        </w:rPr>
        <w:t>que</w:t>
      </w:r>
      <w:r>
        <w:rPr>
          <w:spacing w:val="19"/>
          <w:sz w:val="16"/>
        </w:rPr>
        <w:t> </w:t>
      </w:r>
      <w:r>
        <w:rPr>
          <w:sz w:val="16"/>
        </w:rPr>
        <w:t>sigue.</w:t>
      </w:r>
      <w:r>
        <w:rPr>
          <w:spacing w:val="21"/>
          <w:sz w:val="16"/>
        </w:rPr>
        <w:t> </w:t>
      </w:r>
      <w:r>
        <w:rPr>
          <w:sz w:val="16"/>
        </w:rPr>
        <w:t>La</w:t>
      </w:r>
      <w:r>
        <w:rPr>
          <w:spacing w:val="21"/>
          <w:sz w:val="16"/>
        </w:rPr>
        <w:t> </w:t>
      </w:r>
      <w:r>
        <w:rPr>
          <w:sz w:val="16"/>
        </w:rPr>
        <w:t>Comisión</w:t>
      </w:r>
      <w:r>
        <w:rPr>
          <w:w w:val="100"/>
          <w:sz w:val="16"/>
        </w:rPr>
        <w:t> </w:t>
      </w:r>
      <w:r>
        <w:rPr>
          <w:sz w:val="16"/>
        </w:rPr>
        <w:t>informó</w:t>
      </w:r>
      <w:r>
        <w:rPr>
          <w:spacing w:val="-8"/>
          <w:sz w:val="16"/>
        </w:rPr>
        <w:t> </w:t>
      </w:r>
      <w:r>
        <w:rPr>
          <w:sz w:val="16"/>
        </w:rPr>
        <w:t>que</w:t>
      </w:r>
      <w:r>
        <w:rPr>
          <w:spacing w:val="-8"/>
          <w:sz w:val="16"/>
        </w:rPr>
        <w:t> </w:t>
      </w:r>
      <w:r>
        <w:rPr>
          <w:sz w:val="16"/>
        </w:rPr>
        <w:t>la</w:t>
      </w:r>
      <w:r>
        <w:rPr>
          <w:spacing w:val="-9"/>
          <w:sz w:val="16"/>
        </w:rPr>
        <w:t> </w:t>
      </w:r>
      <w:r>
        <w:rPr>
          <w:sz w:val="16"/>
        </w:rPr>
        <w:t>primera</w:t>
      </w:r>
      <w:r>
        <w:rPr>
          <w:spacing w:val="-9"/>
          <w:sz w:val="16"/>
        </w:rPr>
        <w:t> </w:t>
      </w:r>
      <w:r>
        <w:rPr>
          <w:sz w:val="16"/>
        </w:rPr>
        <w:t>no</w:t>
      </w:r>
      <w:r>
        <w:rPr>
          <w:spacing w:val="-8"/>
          <w:sz w:val="16"/>
        </w:rPr>
        <w:t> </w:t>
      </w:r>
      <w:r>
        <w:rPr>
          <w:sz w:val="16"/>
        </w:rPr>
        <w:t>podría</w:t>
      </w:r>
      <w:r>
        <w:rPr>
          <w:spacing w:val="-7"/>
          <w:sz w:val="16"/>
        </w:rPr>
        <w:t> </w:t>
      </w:r>
      <w:r>
        <w:rPr>
          <w:sz w:val="16"/>
        </w:rPr>
        <w:t>acudir</w:t>
      </w:r>
      <w:r>
        <w:rPr>
          <w:spacing w:val="-7"/>
          <w:sz w:val="16"/>
        </w:rPr>
        <w:t> </w:t>
      </w:r>
      <w:r>
        <w:rPr>
          <w:sz w:val="16"/>
        </w:rPr>
        <w:t>a</w:t>
      </w:r>
      <w:r>
        <w:rPr>
          <w:spacing w:val="-9"/>
          <w:sz w:val="16"/>
        </w:rPr>
        <w:t> </w:t>
      </w:r>
      <w:r>
        <w:rPr>
          <w:sz w:val="16"/>
        </w:rPr>
        <w:t>la</w:t>
      </w:r>
      <w:r>
        <w:rPr>
          <w:spacing w:val="-7"/>
          <w:sz w:val="16"/>
        </w:rPr>
        <w:t> </w:t>
      </w:r>
      <w:r>
        <w:rPr>
          <w:sz w:val="16"/>
        </w:rPr>
        <w:t>audiencia</w:t>
      </w:r>
      <w:r>
        <w:rPr>
          <w:spacing w:val="-10"/>
          <w:sz w:val="16"/>
        </w:rPr>
        <w:t> </w:t>
      </w:r>
      <w:r>
        <w:rPr>
          <w:sz w:val="16"/>
        </w:rPr>
        <w:t>pública.</w:t>
      </w:r>
      <w:r>
        <w:rPr>
          <w:spacing w:val="-7"/>
          <w:sz w:val="16"/>
        </w:rPr>
        <w:t> </w:t>
      </w:r>
      <w:r>
        <w:rPr>
          <w:sz w:val="16"/>
        </w:rPr>
        <w:t>El</w:t>
      </w:r>
      <w:r>
        <w:rPr>
          <w:spacing w:val="-9"/>
          <w:sz w:val="16"/>
        </w:rPr>
        <w:t> </w:t>
      </w:r>
      <w:r>
        <w:rPr>
          <w:sz w:val="16"/>
        </w:rPr>
        <w:t>4</w:t>
      </w:r>
      <w:r>
        <w:rPr>
          <w:spacing w:val="-8"/>
          <w:sz w:val="16"/>
        </w:rPr>
        <w:t> </w:t>
      </w:r>
      <w:r>
        <w:rPr>
          <w:sz w:val="16"/>
        </w:rPr>
        <w:t>de</w:t>
      </w:r>
      <w:r>
        <w:rPr>
          <w:spacing w:val="-8"/>
          <w:sz w:val="16"/>
        </w:rPr>
        <w:t> </w:t>
      </w:r>
      <w:r>
        <w:rPr>
          <w:sz w:val="16"/>
        </w:rPr>
        <w:t>marzo</w:t>
      </w:r>
      <w:r>
        <w:rPr>
          <w:spacing w:val="-10"/>
          <w:sz w:val="16"/>
        </w:rPr>
        <w:t> </w:t>
      </w:r>
      <w:r>
        <w:rPr>
          <w:sz w:val="16"/>
        </w:rPr>
        <w:t>de</w:t>
      </w:r>
      <w:r>
        <w:rPr>
          <w:spacing w:val="-8"/>
          <w:sz w:val="16"/>
        </w:rPr>
        <w:t> </w:t>
      </w:r>
      <w:r>
        <w:rPr>
          <w:sz w:val="16"/>
        </w:rPr>
        <w:t>2019,</w:t>
      </w:r>
      <w:r>
        <w:rPr>
          <w:spacing w:val="-9"/>
          <w:sz w:val="16"/>
        </w:rPr>
        <w:t> </w:t>
      </w:r>
      <w:r>
        <w:rPr>
          <w:sz w:val="16"/>
        </w:rPr>
        <w:t>siguiendo</w:t>
      </w:r>
      <w:r>
        <w:rPr>
          <w:spacing w:val="-8"/>
          <w:sz w:val="16"/>
        </w:rPr>
        <w:t> </w:t>
      </w:r>
      <w:r>
        <w:rPr>
          <w:sz w:val="16"/>
        </w:rPr>
        <w:t>instrucciones del</w:t>
      </w:r>
      <w:r>
        <w:rPr>
          <w:spacing w:val="-12"/>
          <w:sz w:val="16"/>
        </w:rPr>
        <w:t> </w:t>
      </w:r>
      <w:r>
        <w:rPr>
          <w:sz w:val="16"/>
        </w:rPr>
        <w:t>Presidente,</w:t>
      </w:r>
      <w:r>
        <w:rPr>
          <w:spacing w:val="-11"/>
          <w:sz w:val="16"/>
        </w:rPr>
        <w:t> </w:t>
      </w:r>
      <w:r>
        <w:rPr>
          <w:sz w:val="16"/>
        </w:rPr>
        <w:t>se</w:t>
      </w:r>
      <w:r>
        <w:rPr>
          <w:spacing w:val="-13"/>
          <w:sz w:val="16"/>
        </w:rPr>
        <w:t> </w:t>
      </w:r>
      <w:r>
        <w:rPr>
          <w:sz w:val="16"/>
        </w:rPr>
        <w:t>hizo</w:t>
      </w:r>
      <w:r>
        <w:rPr>
          <w:spacing w:val="-13"/>
          <w:sz w:val="16"/>
        </w:rPr>
        <w:t> </w:t>
      </w:r>
      <w:r>
        <w:rPr>
          <w:sz w:val="16"/>
        </w:rPr>
        <w:t>saber</w:t>
      </w:r>
      <w:r>
        <w:rPr>
          <w:spacing w:val="-12"/>
          <w:sz w:val="16"/>
        </w:rPr>
        <w:t> </w:t>
      </w:r>
      <w:r>
        <w:rPr>
          <w:sz w:val="16"/>
        </w:rPr>
        <w:t>a</w:t>
      </w:r>
      <w:r>
        <w:rPr>
          <w:spacing w:val="-14"/>
          <w:sz w:val="16"/>
        </w:rPr>
        <w:t> </w:t>
      </w:r>
      <w:r>
        <w:rPr>
          <w:sz w:val="16"/>
        </w:rPr>
        <w:t>la</w:t>
      </w:r>
      <w:r>
        <w:rPr>
          <w:spacing w:val="-14"/>
          <w:sz w:val="16"/>
        </w:rPr>
        <w:t> </w:t>
      </w:r>
      <w:r>
        <w:rPr>
          <w:sz w:val="16"/>
        </w:rPr>
        <w:t>Comisión</w:t>
      </w:r>
      <w:r>
        <w:rPr>
          <w:spacing w:val="-14"/>
          <w:sz w:val="16"/>
        </w:rPr>
        <w:t> </w:t>
      </w:r>
      <w:r>
        <w:rPr>
          <w:sz w:val="16"/>
        </w:rPr>
        <w:t>que</w:t>
      </w:r>
      <w:r>
        <w:rPr>
          <w:spacing w:val="-13"/>
          <w:sz w:val="16"/>
        </w:rPr>
        <w:t> </w:t>
      </w:r>
      <w:r>
        <w:rPr>
          <w:sz w:val="16"/>
        </w:rPr>
        <w:t>la</w:t>
      </w:r>
      <w:r>
        <w:rPr>
          <w:spacing w:val="-14"/>
          <w:sz w:val="16"/>
        </w:rPr>
        <w:t> </w:t>
      </w:r>
      <w:r>
        <w:rPr>
          <w:sz w:val="16"/>
        </w:rPr>
        <w:t>perita</w:t>
      </w:r>
      <w:r>
        <w:rPr>
          <w:spacing w:val="-11"/>
          <w:sz w:val="16"/>
        </w:rPr>
        <w:t> </w:t>
      </w:r>
      <w:r>
        <w:rPr>
          <w:sz w:val="16"/>
        </w:rPr>
        <w:t>Yáñez</w:t>
      </w:r>
      <w:r>
        <w:rPr>
          <w:spacing w:val="-14"/>
          <w:sz w:val="16"/>
        </w:rPr>
        <w:t> </w:t>
      </w:r>
      <w:r>
        <w:rPr>
          <w:sz w:val="16"/>
        </w:rPr>
        <w:t>Fuenzalida</w:t>
      </w:r>
      <w:r>
        <w:rPr>
          <w:spacing w:val="-14"/>
          <w:sz w:val="16"/>
        </w:rPr>
        <w:t> </w:t>
      </w:r>
      <w:r>
        <w:rPr>
          <w:sz w:val="16"/>
        </w:rPr>
        <w:t>podría</w:t>
      </w:r>
      <w:r>
        <w:rPr>
          <w:spacing w:val="-14"/>
          <w:sz w:val="16"/>
        </w:rPr>
        <w:t> </w:t>
      </w:r>
      <w:r>
        <w:rPr>
          <w:sz w:val="16"/>
        </w:rPr>
        <w:t>dar</w:t>
      </w:r>
      <w:r>
        <w:rPr>
          <w:spacing w:val="-12"/>
          <w:sz w:val="16"/>
        </w:rPr>
        <w:t> </w:t>
      </w:r>
      <w:r>
        <w:rPr>
          <w:sz w:val="16"/>
        </w:rPr>
        <w:t>su</w:t>
      </w:r>
      <w:r>
        <w:rPr>
          <w:spacing w:val="-14"/>
          <w:sz w:val="16"/>
        </w:rPr>
        <w:t> </w:t>
      </w:r>
      <w:r>
        <w:rPr>
          <w:sz w:val="16"/>
        </w:rPr>
        <w:t>declaración</w:t>
      </w:r>
      <w:r>
        <w:rPr>
          <w:spacing w:val="-14"/>
          <w:sz w:val="16"/>
        </w:rPr>
        <w:t> </w:t>
      </w:r>
      <w:r>
        <w:rPr>
          <w:sz w:val="16"/>
        </w:rPr>
        <w:t>por</w:t>
      </w:r>
      <w:r>
        <w:rPr>
          <w:spacing w:val="-10"/>
          <w:sz w:val="16"/>
        </w:rPr>
        <w:t> </w:t>
      </w:r>
      <w:r>
        <w:rPr>
          <w:sz w:val="16"/>
        </w:rPr>
        <w:t>escrito. Por</w:t>
      </w:r>
      <w:r>
        <w:rPr>
          <w:spacing w:val="-3"/>
          <w:sz w:val="16"/>
        </w:rPr>
        <w:t> </w:t>
      </w:r>
      <w:r>
        <w:rPr>
          <w:sz w:val="16"/>
        </w:rPr>
        <w:t>otra</w:t>
      </w:r>
      <w:r>
        <w:rPr>
          <w:spacing w:val="-4"/>
          <w:sz w:val="16"/>
        </w:rPr>
        <w:t> </w:t>
      </w:r>
      <w:r>
        <w:rPr>
          <w:sz w:val="16"/>
        </w:rPr>
        <w:t>parte,</w:t>
      </w:r>
      <w:r>
        <w:rPr>
          <w:spacing w:val="-3"/>
          <w:sz w:val="16"/>
        </w:rPr>
        <w:t> </w:t>
      </w:r>
      <w:r>
        <w:rPr>
          <w:sz w:val="16"/>
        </w:rPr>
        <w:t>los</w:t>
      </w:r>
      <w:r>
        <w:rPr>
          <w:spacing w:val="-4"/>
          <w:sz w:val="16"/>
        </w:rPr>
        <w:t> </w:t>
      </w:r>
      <w:r>
        <w:rPr>
          <w:sz w:val="16"/>
        </w:rPr>
        <w:t>representantes</w:t>
      </w:r>
      <w:r>
        <w:rPr>
          <w:spacing w:val="-3"/>
          <w:sz w:val="16"/>
        </w:rPr>
        <w:t> </w:t>
      </w:r>
      <w:r>
        <w:rPr>
          <w:sz w:val="16"/>
        </w:rPr>
        <w:t>ofrecieron</w:t>
      </w:r>
      <w:r>
        <w:rPr>
          <w:spacing w:val="-5"/>
          <w:sz w:val="16"/>
        </w:rPr>
        <w:t> </w:t>
      </w:r>
      <w:r>
        <w:rPr>
          <w:sz w:val="16"/>
        </w:rPr>
        <w:t>la</w:t>
      </w:r>
      <w:r>
        <w:rPr>
          <w:spacing w:val="-4"/>
          <w:sz w:val="16"/>
        </w:rPr>
        <w:t> </w:t>
      </w:r>
      <w:r>
        <w:rPr>
          <w:sz w:val="16"/>
        </w:rPr>
        <w:t>declaración</w:t>
      </w:r>
      <w:r>
        <w:rPr>
          <w:spacing w:val="-6"/>
          <w:sz w:val="16"/>
        </w:rPr>
        <w:t> </w:t>
      </w:r>
      <w:r>
        <w:rPr>
          <w:sz w:val="16"/>
        </w:rPr>
        <w:t>testimonial</w:t>
      </w:r>
      <w:r>
        <w:rPr>
          <w:spacing w:val="-2"/>
          <w:sz w:val="16"/>
        </w:rPr>
        <w:t> </w:t>
      </w:r>
      <w:r>
        <w:rPr>
          <w:sz w:val="16"/>
        </w:rPr>
        <w:t>“vía</w:t>
      </w:r>
      <w:r>
        <w:rPr>
          <w:spacing w:val="-4"/>
          <w:sz w:val="16"/>
        </w:rPr>
        <w:t> </w:t>
      </w:r>
      <w:r>
        <w:rPr>
          <w:sz w:val="16"/>
        </w:rPr>
        <w:t>affidavit”</w:t>
      </w:r>
      <w:r>
        <w:rPr>
          <w:spacing w:val="-3"/>
          <w:sz w:val="16"/>
        </w:rPr>
        <w:t> </w:t>
      </w:r>
      <w:r>
        <w:rPr>
          <w:sz w:val="16"/>
        </w:rPr>
        <w:t>de</w:t>
      </w:r>
      <w:r>
        <w:rPr>
          <w:spacing w:val="-4"/>
          <w:sz w:val="16"/>
        </w:rPr>
        <w:t> </w:t>
      </w:r>
      <w:r>
        <w:rPr>
          <w:sz w:val="16"/>
        </w:rPr>
        <w:t>la</w:t>
      </w:r>
      <w:r>
        <w:rPr>
          <w:spacing w:val="-2"/>
          <w:sz w:val="16"/>
        </w:rPr>
        <w:t> </w:t>
      </w:r>
      <w:r>
        <w:rPr>
          <w:sz w:val="16"/>
        </w:rPr>
        <w:t>señora</w:t>
      </w:r>
      <w:r>
        <w:rPr>
          <w:spacing w:val="-7"/>
          <w:sz w:val="16"/>
        </w:rPr>
        <w:t> </w:t>
      </w:r>
      <w:r>
        <w:rPr>
          <w:sz w:val="16"/>
        </w:rPr>
        <w:t>Buliubasich y</w:t>
      </w:r>
      <w:r>
        <w:rPr>
          <w:spacing w:val="-2"/>
          <w:sz w:val="16"/>
        </w:rPr>
        <w:t> </w:t>
      </w:r>
      <w:r>
        <w:rPr>
          <w:sz w:val="16"/>
        </w:rPr>
        <w:t>el</w:t>
      </w:r>
      <w:r>
        <w:rPr>
          <w:spacing w:val="-6"/>
          <w:sz w:val="16"/>
        </w:rPr>
        <w:t> </w:t>
      </w:r>
      <w:r>
        <w:rPr>
          <w:sz w:val="16"/>
        </w:rPr>
        <w:t>Estado</w:t>
      </w:r>
      <w:r>
        <w:rPr>
          <w:spacing w:val="-2"/>
          <w:sz w:val="16"/>
        </w:rPr>
        <w:t> </w:t>
      </w:r>
      <w:r>
        <w:rPr>
          <w:sz w:val="16"/>
        </w:rPr>
        <w:t>su</w:t>
      </w:r>
      <w:r>
        <w:rPr>
          <w:spacing w:val="-6"/>
          <w:sz w:val="16"/>
        </w:rPr>
        <w:t> </w:t>
      </w:r>
      <w:r>
        <w:rPr>
          <w:sz w:val="16"/>
        </w:rPr>
        <w:t>declaración</w:t>
      </w:r>
      <w:r>
        <w:rPr>
          <w:spacing w:val="-4"/>
          <w:sz w:val="16"/>
        </w:rPr>
        <w:t> </w:t>
      </w:r>
      <w:r>
        <w:rPr>
          <w:sz w:val="16"/>
        </w:rPr>
        <w:t>pericial</w:t>
      </w:r>
      <w:r>
        <w:rPr>
          <w:spacing w:val="-3"/>
          <w:sz w:val="16"/>
        </w:rPr>
        <w:t> </w:t>
      </w:r>
      <w:r>
        <w:rPr>
          <w:sz w:val="16"/>
        </w:rPr>
        <w:t>en</w:t>
      </w:r>
      <w:r>
        <w:rPr>
          <w:spacing w:val="-3"/>
          <w:sz w:val="16"/>
        </w:rPr>
        <w:t> </w:t>
      </w:r>
      <w:r>
        <w:rPr>
          <w:sz w:val="16"/>
        </w:rPr>
        <w:t>audiencia</w:t>
      </w:r>
      <w:r>
        <w:rPr>
          <w:spacing w:val="-6"/>
          <w:sz w:val="16"/>
        </w:rPr>
        <w:t> </w:t>
      </w:r>
      <w:r>
        <w:rPr>
          <w:sz w:val="16"/>
        </w:rPr>
        <w:t>pública.</w:t>
      </w:r>
      <w:r>
        <w:rPr>
          <w:spacing w:val="-4"/>
          <w:sz w:val="16"/>
        </w:rPr>
        <w:t> </w:t>
      </w:r>
      <w:r>
        <w:rPr>
          <w:sz w:val="16"/>
        </w:rPr>
        <w:t>En</w:t>
      </w:r>
      <w:r>
        <w:rPr>
          <w:spacing w:val="-4"/>
          <w:sz w:val="16"/>
        </w:rPr>
        <w:t> </w:t>
      </w:r>
      <w:r>
        <w:rPr>
          <w:sz w:val="16"/>
        </w:rPr>
        <w:t>la</w:t>
      </w:r>
      <w:r>
        <w:rPr>
          <w:spacing w:val="-3"/>
          <w:sz w:val="16"/>
        </w:rPr>
        <w:t> </w:t>
      </w:r>
      <w:r>
        <w:rPr>
          <w:sz w:val="16"/>
        </w:rPr>
        <w:t>Resolución</w:t>
      </w:r>
      <w:r>
        <w:rPr>
          <w:spacing w:val="-6"/>
          <w:sz w:val="16"/>
        </w:rPr>
        <w:t> </w:t>
      </w:r>
      <w:r>
        <w:rPr>
          <w:sz w:val="16"/>
        </w:rPr>
        <w:t>de</w:t>
      </w:r>
      <w:r>
        <w:rPr>
          <w:spacing w:val="-7"/>
          <w:sz w:val="16"/>
        </w:rPr>
        <w:t> </w:t>
      </w:r>
      <w:r>
        <w:rPr>
          <w:sz w:val="16"/>
        </w:rPr>
        <w:t>8</w:t>
      </w:r>
      <w:r>
        <w:rPr>
          <w:spacing w:val="-4"/>
          <w:sz w:val="16"/>
        </w:rPr>
        <w:t> </w:t>
      </w:r>
      <w:r>
        <w:rPr>
          <w:sz w:val="16"/>
        </w:rPr>
        <w:t>de</w:t>
      </w:r>
      <w:r>
        <w:rPr>
          <w:spacing w:val="-5"/>
          <w:sz w:val="16"/>
        </w:rPr>
        <w:t> </w:t>
      </w:r>
      <w:r>
        <w:rPr>
          <w:sz w:val="16"/>
        </w:rPr>
        <w:t>febrero</w:t>
      </w:r>
      <w:r>
        <w:rPr>
          <w:spacing w:val="-4"/>
          <w:sz w:val="16"/>
        </w:rPr>
        <w:t> </w:t>
      </w:r>
      <w:r>
        <w:rPr>
          <w:sz w:val="16"/>
        </w:rPr>
        <w:t>de</w:t>
      </w:r>
      <w:r>
        <w:rPr>
          <w:spacing w:val="-5"/>
          <w:sz w:val="16"/>
        </w:rPr>
        <w:t> </w:t>
      </w:r>
      <w:r>
        <w:rPr>
          <w:sz w:val="16"/>
        </w:rPr>
        <w:t>2019</w:t>
      </w:r>
      <w:r>
        <w:rPr>
          <w:spacing w:val="-4"/>
          <w:sz w:val="16"/>
        </w:rPr>
        <w:t> </w:t>
      </w:r>
      <w:r>
        <w:rPr>
          <w:sz w:val="16"/>
        </w:rPr>
        <w:t>(</w:t>
      </w:r>
      <w:r>
        <w:rPr>
          <w:i/>
          <w:sz w:val="16"/>
        </w:rPr>
        <w:t>supra</w:t>
      </w:r>
      <w:r>
        <w:rPr>
          <w:i/>
          <w:spacing w:val="-5"/>
          <w:sz w:val="16"/>
        </w:rPr>
        <w:t> </w:t>
      </w:r>
      <w:r>
        <w:rPr>
          <w:sz w:val="16"/>
        </w:rPr>
        <w:t>párr.</w:t>
      </w:r>
    </w:p>
    <w:p>
      <w:pPr>
        <w:pStyle w:val="ListParagraph"/>
        <w:numPr>
          <w:ilvl w:val="0"/>
          <w:numId w:val="17"/>
        </w:numPr>
        <w:tabs>
          <w:tab w:pos="357" w:val="left" w:leader="none"/>
        </w:tabs>
        <w:spacing w:line="240" w:lineRule="auto" w:before="0" w:after="0"/>
        <w:ind w:left="122" w:right="121" w:firstLine="0"/>
        <w:jc w:val="both"/>
        <w:rPr>
          <w:sz w:val="16"/>
        </w:rPr>
      </w:pPr>
      <w:r>
        <w:rPr>
          <w:sz w:val="16"/>
        </w:rPr>
        <w:t>se admitió la declaración de la señora Buliubasich como perita, para ser dada en la audiencia pública. El 6 de marzo de 2019 el Estado desistió de esta pericia. Siguiendo instrucciones del Presidente, se consultó a los representantes si mantenían interés en la declaración, a lo que el 11 de marzo de 2019 respondieron que sí, que acordaban con que fuera en carácter pericial y que no podían “tramitar” el viaje de la señora Buliubasich a Costa Rica para la audiencia. Siguiendo instrucciones del Presidente, se indicó a los representantes que podían</w:t>
      </w:r>
      <w:r>
        <w:rPr>
          <w:spacing w:val="-13"/>
          <w:sz w:val="16"/>
        </w:rPr>
        <w:t> </w:t>
      </w:r>
      <w:r>
        <w:rPr>
          <w:sz w:val="16"/>
        </w:rPr>
        <w:t>remitir</w:t>
      </w:r>
      <w:r>
        <w:rPr>
          <w:spacing w:val="-9"/>
          <w:sz w:val="16"/>
        </w:rPr>
        <w:t> </w:t>
      </w:r>
      <w:r>
        <w:rPr>
          <w:sz w:val="16"/>
        </w:rPr>
        <w:t>la</w:t>
      </w:r>
      <w:r>
        <w:rPr>
          <w:spacing w:val="-13"/>
          <w:sz w:val="16"/>
        </w:rPr>
        <w:t> </w:t>
      </w:r>
      <w:r>
        <w:rPr>
          <w:sz w:val="16"/>
        </w:rPr>
        <w:t>pericia</w:t>
      </w:r>
      <w:r>
        <w:rPr>
          <w:spacing w:val="-11"/>
          <w:sz w:val="16"/>
        </w:rPr>
        <w:t> </w:t>
      </w:r>
      <w:r>
        <w:rPr>
          <w:sz w:val="16"/>
        </w:rPr>
        <w:t>por</w:t>
      </w:r>
      <w:r>
        <w:rPr>
          <w:spacing w:val="-11"/>
          <w:sz w:val="16"/>
        </w:rPr>
        <w:t> </w:t>
      </w:r>
      <w:r>
        <w:rPr>
          <w:sz w:val="16"/>
        </w:rPr>
        <w:t>escrito,</w:t>
      </w:r>
      <w:r>
        <w:rPr>
          <w:spacing w:val="-11"/>
          <w:sz w:val="16"/>
        </w:rPr>
        <w:t> </w:t>
      </w:r>
      <w:r>
        <w:rPr>
          <w:sz w:val="16"/>
        </w:rPr>
        <w:t>lo</w:t>
      </w:r>
      <w:r>
        <w:rPr>
          <w:spacing w:val="-11"/>
          <w:sz w:val="16"/>
        </w:rPr>
        <w:t> </w:t>
      </w:r>
      <w:r>
        <w:rPr>
          <w:sz w:val="16"/>
        </w:rPr>
        <w:t>que</w:t>
      </w:r>
      <w:r>
        <w:rPr>
          <w:spacing w:val="-9"/>
          <w:sz w:val="16"/>
        </w:rPr>
        <w:t> </w:t>
      </w:r>
      <w:r>
        <w:rPr>
          <w:sz w:val="16"/>
        </w:rPr>
        <w:t>hicieron</w:t>
      </w:r>
      <w:r>
        <w:rPr>
          <w:spacing w:val="-13"/>
          <w:sz w:val="16"/>
        </w:rPr>
        <w:t> </w:t>
      </w:r>
      <w:r>
        <w:rPr>
          <w:sz w:val="16"/>
        </w:rPr>
        <w:t>el</w:t>
      </w:r>
      <w:r>
        <w:rPr>
          <w:spacing w:val="-11"/>
          <w:sz w:val="16"/>
        </w:rPr>
        <w:t> </w:t>
      </w:r>
      <w:r>
        <w:rPr>
          <w:sz w:val="16"/>
        </w:rPr>
        <w:t>1</w:t>
      </w:r>
      <w:r>
        <w:rPr>
          <w:spacing w:val="-11"/>
          <w:sz w:val="16"/>
        </w:rPr>
        <w:t> </w:t>
      </w:r>
      <w:r>
        <w:rPr>
          <w:sz w:val="16"/>
        </w:rPr>
        <w:t>de</w:t>
      </w:r>
      <w:r>
        <w:rPr>
          <w:spacing w:val="-12"/>
          <w:sz w:val="16"/>
        </w:rPr>
        <w:t> </w:t>
      </w:r>
      <w:r>
        <w:rPr>
          <w:sz w:val="16"/>
        </w:rPr>
        <w:t>abril</w:t>
      </w:r>
      <w:r>
        <w:rPr>
          <w:spacing w:val="-11"/>
          <w:sz w:val="16"/>
        </w:rPr>
        <w:t> </w:t>
      </w:r>
      <w:r>
        <w:rPr>
          <w:sz w:val="16"/>
        </w:rPr>
        <w:t>de</w:t>
      </w:r>
      <w:r>
        <w:rPr>
          <w:spacing w:val="-12"/>
          <w:sz w:val="16"/>
        </w:rPr>
        <w:t> </w:t>
      </w:r>
      <w:r>
        <w:rPr>
          <w:sz w:val="16"/>
        </w:rPr>
        <w:t>2019.</w:t>
      </w:r>
      <w:r>
        <w:rPr>
          <w:spacing w:val="-13"/>
          <w:sz w:val="16"/>
        </w:rPr>
        <w:t> </w:t>
      </w:r>
      <w:r>
        <w:rPr>
          <w:sz w:val="16"/>
        </w:rPr>
        <w:t>Dada</w:t>
      </w:r>
      <w:r>
        <w:rPr>
          <w:spacing w:val="-10"/>
          <w:sz w:val="16"/>
        </w:rPr>
        <w:t> </w:t>
      </w:r>
      <w:r>
        <w:rPr>
          <w:sz w:val="16"/>
        </w:rPr>
        <w:t>la</w:t>
      </w:r>
      <w:r>
        <w:rPr>
          <w:spacing w:val="-10"/>
          <w:sz w:val="16"/>
        </w:rPr>
        <w:t> </w:t>
      </w:r>
      <w:r>
        <w:rPr>
          <w:sz w:val="16"/>
        </w:rPr>
        <w:t>inasistencia</w:t>
      </w:r>
      <w:r>
        <w:rPr>
          <w:spacing w:val="-10"/>
          <w:sz w:val="16"/>
        </w:rPr>
        <w:t> </w:t>
      </w:r>
      <w:r>
        <w:rPr>
          <w:sz w:val="16"/>
        </w:rPr>
        <w:t>de</w:t>
      </w:r>
      <w:r>
        <w:rPr>
          <w:spacing w:val="-9"/>
          <w:sz w:val="16"/>
        </w:rPr>
        <w:t> </w:t>
      </w:r>
      <w:r>
        <w:rPr>
          <w:sz w:val="16"/>
        </w:rPr>
        <w:t>ambas</w:t>
      </w:r>
      <w:r>
        <w:rPr>
          <w:spacing w:val="-12"/>
          <w:sz w:val="16"/>
        </w:rPr>
        <w:t> </w:t>
      </w:r>
      <w:r>
        <w:rPr>
          <w:sz w:val="16"/>
        </w:rPr>
        <w:t>peritas a la audiencia, la misma se realizó solo en un día, el 14 de marzo de</w:t>
      </w:r>
      <w:r>
        <w:rPr>
          <w:spacing w:val="-25"/>
          <w:sz w:val="16"/>
        </w:rPr>
        <w:t> </w:t>
      </w:r>
      <w:r>
        <w:rPr>
          <w:sz w:val="16"/>
        </w:rPr>
        <w:t>2019.</w:t>
      </w:r>
    </w:p>
    <w:p>
      <w:pPr>
        <w:spacing w:after="0" w:line="240" w:lineRule="auto"/>
        <w:jc w:val="both"/>
        <w:rPr>
          <w:sz w:val="16"/>
        </w:rPr>
        <w:sectPr>
          <w:pgSz w:w="12240" w:h="15840"/>
          <w:pgMar w:header="0" w:footer="1000" w:top="1340" w:bottom="1200" w:left="1580" w:right="1580"/>
        </w:sectPr>
      </w:pPr>
    </w:p>
    <w:p>
      <w:pPr>
        <w:pStyle w:val="BodyText"/>
        <w:spacing w:before="76"/>
        <w:ind w:left="122" w:right="124"/>
        <w:jc w:val="both"/>
      </w:pPr>
      <w:r>
        <w:rPr/>
        <w:t>acciones relacionadas con el territorio indígena no ha concluido. Al respecto, se encuentran</w:t>
      </w:r>
      <w:r>
        <w:rPr>
          <w:spacing w:val="-3"/>
        </w:rPr>
        <w:t> </w:t>
      </w:r>
      <w:r>
        <w:rPr/>
        <w:t>entre</w:t>
      </w:r>
      <w:r>
        <w:rPr>
          <w:spacing w:val="-6"/>
        </w:rPr>
        <w:t> </w:t>
      </w:r>
      <w:r>
        <w:rPr/>
        <w:t>las</w:t>
      </w:r>
      <w:r>
        <w:rPr>
          <w:spacing w:val="-5"/>
        </w:rPr>
        <w:t> </w:t>
      </w:r>
      <w:r>
        <w:rPr/>
        <w:t>circunstancias</w:t>
      </w:r>
      <w:r>
        <w:rPr>
          <w:spacing w:val="-5"/>
        </w:rPr>
        <w:t> </w:t>
      </w:r>
      <w:r>
        <w:rPr/>
        <w:t>relevantes</w:t>
      </w:r>
      <w:r>
        <w:rPr>
          <w:spacing w:val="-5"/>
        </w:rPr>
        <w:t> </w:t>
      </w:r>
      <w:r>
        <w:rPr/>
        <w:t>la</w:t>
      </w:r>
      <w:r>
        <w:rPr>
          <w:spacing w:val="-6"/>
        </w:rPr>
        <w:t> </w:t>
      </w:r>
      <w:r>
        <w:rPr/>
        <w:t>presencia</w:t>
      </w:r>
      <w:r>
        <w:rPr>
          <w:spacing w:val="-4"/>
        </w:rPr>
        <w:t> </w:t>
      </w:r>
      <w:r>
        <w:rPr/>
        <w:t>de</w:t>
      </w:r>
      <w:r>
        <w:rPr>
          <w:spacing w:val="-6"/>
        </w:rPr>
        <w:t> </w:t>
      </w:r>
      <w:r>
        <w:rPr/>
        <w:t>población</w:t>
      </w:r>
      <w:r>
        <w:rPr>
          <w:spacing w:val="-6"/>
        </w:rPr>
        <w:t> </w:t>
      </w:r>
      <w:r>
        <w:rPr/>
        <w:t>no</w:t>
      </w:r>
      <w:r>
        <w:rPr>
          <w:spacing w:val="-8"/>
        </w:rPr>
        <w:t> </w:t>
      </w:r>
      <w:r>
        <w:rPr/>
        <w:t>indígena</w:t>
      </w:r>
      <w:r>
        <w:rPr>
          <w:spacing w:val="-4"/>
        </w:rPr>
        <w:t> </w:t>
      </w:r>
      <w:r>
        <w:rPr/>
        <w:t>en la tierra reclamada y distintas actividades sobre ella: cría de ganado, instalación de cercados y tala ilegal. Integran también el marco fáctico del caso proyectos y obras sobre dichas tierras. Además, hubo distintas acciones judiciales y administrativas relativas al caso, entre las que cabe incluir la conformación, en 1992, de la Asociación Civil Lhaka Honhat para reclamar la tierra y su solicitud, en 2017, de ser reconocida como organización indígena. Los hechos relevantes se exponen a continuación, como también en los capítulos siguientes de esta Sentencia. En lo que sigue se dará cuenta de: a) la población que habita los lotes 14 y 55; b) la legislación pertinente sobre tierra indígena; c) los reclamos territoriales indígenas en el caso; d) las obras, actividades y proyectos sobre el territorio reclamado, y e) las acciones administrativas o judiciales iniciadas en el</w:t>
      </w:r>
      <w:r>
        <w:rPr>
          <w:spacing w:val="-11"/>
        </w:rPr>
        <w:t> </w:t>
      </w:r>
      <w:r>
        <w:rPr/>
        <w:t>caso.</w:t>
      </w:r>
    </w:p>
    <w:p>
      <w:pPr>
        <w:pStyle w:val="BodyText"/>
        <w:spacing w:before="10"/>
        <w:rPr>
          <w:sz w:val="19"/>
        </w:rPr>
      </w:pPr>
    </w:p>
    <w:p>
      <w:pPr>
        <w:pStyle w:val="Heading4"/>
        <w:numPr>
          <w:ilvl w:val="1"/>
          <w:numId w:val="17"/>
        </w:numPr>
        <w:tabs>
          <w:tab w:pos="830" w:val="left" w:leader="none"/>
        </w:tabs>
        <w:spacing w:line="240" w:lineRule="auto" w:before="0" w:after="0"/>
        <w:ind w:left="830" w:right="0" w:hanging="425"/>
        <w:jc w:val="left"/>
        <w:rPr>
          <w:i/>
        </w:rPr>
      </w:pPr>
      <w:bookmarkStart w:name="_bookmark19" w:id="29"/>
      <w:bookmarkEnd w:id="29"/>
      <w:r>
        <w:rPr>
          <w:b w:val="0"/>
          <w:i w:val="0"/>
        </w:rPr>
      </w:r>
      <w:bookmarkStart w:name="_bookmark19" w:id="30"/>
      <w:bookmarkEnd w:id="30"/>
      <w:r>
        <w:rPr>
          <w:i/>
          <w:u w:val="thick"/>
        </w:rPr>
        <w:t>I</w:t>
      </w:r>
      <w:r>
        <w:rPr>
          <w:i/>
          <w:u w:val="thick"/>
        </w:rPr>
        <w:t>ntroducción: Población indígena y criolla en los lotes 14 y</w:t>
      </w:r>
      <w:r>
        <w:rPr>
          <w:i/>
          <w:spacing w:val="-28"/>
          <w:u w:val="thick"/>
        </w:rPr>
        <w:t> </w:t>
      </w:r>
      <w:r>
        <w:rPr>
          <w:i/>
          <w:u w:val="thick"/>
        </w:rPr>
        <w:t>55</w:t>
      </w:r>
    </w:p>
    <w:p>
      <w:pPr>
        <w:pStyle w:val="BodyText"/>
        <w:spacing w:before="11"/>
        <w:rPr>
          <w:b/>
          <w:i/>
          <w:sz w:val="11"/>
        </w:rPr>
      </w:pPr>
    </w:p>
    <w:p>
      <w:pPr>
        <w:pStyle w:val="ListParagraph"/>
        <w:numPr>
          <w:ilvl w:val="0"/>
          <w:numId w:val="14"/>
        </w:numPr>
        <w:tabs>
          <w:tab w:pos="830" w:val="left" w:leader="none"/>
        </w:tabs>
        <w:spacing w:line="242" w:lineRule="auto" w:before="99" w:after="0"/>
        <w:ind w:left="122" w:right="123" w:hanging="12"/>
        <w:jc w:val="both"/>
        <w:rPr>
          <w:sz w:val="20"/>
        </w:rPr>
      </w:pPr>
      <w:r>
        <w:rPr>
          <w:sz w:val="20"/>
        </w:rPr>
        <w:t>Múltiples comunidades de los pueblos indígenas Wichí (Mataco), Iyjwaja (Chorote), Komlek (Toba), Niwackle (Chulupí) y Tapy’y (Tapiete) habitan en una extensión de tierra antes considerada como lotes fiscales 14 y 55 </w:t>
      </w:r>
      <w:r>
        <w:rPr>
          <w:spacing w:val="2"/>
          <w:sz w:val="20"/>
        </w:rPr>
        <w:t>(</w:t>
      </w:r>
      <w:r>
        <w:rPr>
          <w:i/>
          <w:spacing w:val="2"/>
          <w:sz w:val="20"/>
        </w:rPr>
        <w:t>supra </w:t>
      </w:r>
      <w:r>
        <w:rPr>
          <w:sz w:val="20"/>
        </w:rPr>
        <w:t>párr. 1 e </w:t>
      </w:r>
      <w:r>
        <w:rPr>
          <w:i/>
          <w:sz w:val="20"/>
        </w:rPr>
        <w:t>infra </w:t>
      </w:r>
      <w:r>
        <w:rPr>
          <w:sz w:val="20"/>
        </w:rPr>
        <w:t>párr.</w:t>
      </w:r>
      <w:r>
        <w:rPr>
          <w:spacing w:val="-7"/>
          <w:sz w:val="20"/>
        </w:rPr>
        <w:t> </w:t>
      </w:r>
      <w:r>
        <w:rPr>
          <w:sz w:val="20"/>
        </w:rPr>
        <w:t>80),</w:t>
      </w:r>
      <w:r>
        <w:rPr>
          <w:spacing w:val="-5"/>
          <w:sz w:val="20"/>
        </w:rPr>
        <w:t> </w:t>
      </w:r>
      <w:r>
        <w:rPr>
          <w:sz w:val="20"/>
        </w:rPr>
        <w:t>en</w:t>
      </w:r>
      <w:r>
        <w:rPr>
          <w:spacing w:val="-6"/>
          <w:sz w:val="20"/>
        </w:rPr>
        <w:t> </w:t>
      </w:r>
      <w:r>
        <w:rPr>
          <w:sz w:val="20"/>
        </w:rPr>
        <w:t>el</w:t>
      </w:r>
      <w:r>
        <w:rPr>
          <w:spacing w:val="-6"/>
          <w:sz w:val="20"/>
        </w:rPr>
        <w:t> </w:t>
      </w:r>
      <w:r>
        <w:rPr>
          <w:sz w:val="20"/>
        </w:rPr>
        <w:t>Departamento</w:t>
      </w:r>
      <w:r>
        <w:rPr>
          <w:spacing w:val="-8"/>
          <w:sz w:val="20"/>
        </w:rPr>
        <w:t> </w:t>
      </w:r>
      <w:r>
        <w:rPr>
          <w:sz w:val="20"/>
        </w:rPr>
        <w:t>Rivadavia</w:t>
      </w:r>
      <w:r>
        <w:rPr>
          <w:spacing w:val="-7"/>
          <w:sz w:val="20"/>
        </w:rPr>
        <w:t> </w:t>
      </w:r>
      <w:r>
        <w:rPr>
          <w:sz w:val="20"/>
        </w:rPr>
        <w:t>de</w:t>
      </w:r>
      <w:r>
        <w:rPr>
          <w:spacing w:val="-8"/>
          <w:sz w:val="20"/>
        </w:rPr>
        <w:t> </w:t>
      </w:r>
      <w:r>
        <w:rPr>
          <w:sz w:val="20"/>
        </w:rPr>
        <w:t>la</w:t>
      </w:r>
      <w:r>
        <w:rPr>
          <w:spacing w:val="-7"/>
          <w:sz w:val="20"/>
        </w:rPr>
        <w:t> </w:t>
      </w:r>
      <w:r>
        <w:rPr>
          <w:sz w:val="20"/>
        </w:rPr>
        <w:t>Provincia</w:t>
      </w:r>
      <w:r>
        <w:rPr>
          <w:spacing w:val="-6"/>
          <w:sz w:val="20"/>
        </w:rPr>
        <w:t> </w:t>
      </w:r>
      <w:r>
        <w:rPr>
          <w:sz w:val="20"/>
        </w:rPr>
        <w:t>argentina</w:t>
      </w:r>
      <w:r>
        <w:rPr>
          <w:spacing w:val="-9"/>
          <w:sz w:val="20"/>
        </w:rPr>
        <w:t> </w:t>
      </w:r>
      <w:r>
        <w:rPr>
          <w:sz w:val="20"/>
        </w:rPr>
        <w:t>de Salta,</w:t>
      </w:r>
      <w:r>
        <w:rPr>
          <w:spacing w:val="-9"/>
          <w:sz w:val="20"/>
        </w:rPr>
        <w:t> </w:t>
      </w:r>
      <w:r>
        <w:rPr>
          <w:sz w:val="20"/>
        </w:rPr>
        <w:t>en</w:t>
      </w:r>
      <w:r>
        <w:rPr>
          <w:spacing w:val="-6"/>
          <w:sz w:val="20"/>
        </w:rPr>
        <w:t> </w:t>
      </w:r>
      <w:r>
        <w:rPr>
          <w:sz w:val="20"/>
        </w:rPr>
        <w:t>la</w:t>
      </w:r>
      <w:r>
        <w:rPr>
          <w:spacing w:val="-7"/>
          <w:sz w:val="20"/>
        </w:rPr>
        <w:t> </w:t>
      </w:r>
      <w:r>
        <w:rPr>
          <w:sz w:val="20"/>
        </w:rPr>
        <w:t>región del Chaco Salteño. Ambos lotes son colindantes y en conjunto abarcan un área aproximada de 643.000 hectáreas</w:t>
      </w:r>
      <w:r>
        <w:rPr>
          <w:rFonts w:ascii="Calibri" w:hAnsi="Calibri"/>
          <w:position w:val="8"/>
          <w:sz w:val="14"/>
        </w:rPr>
        <w:t>30</w:t>
      </w:r>
      <w:r>
        <w:rPr>
          <w:sz w:val="20"/>
        </w:rPr>
        <w:t>. La zona limita con la República de Paraguay y el Estado Plurinacional de Bolivia. Lo dicho no resulta</w:t>
      </w:r>
      <w:r>
        <w:rPr>
          <w:spacing w:val="-17"/>
          <w:sz w:val="20"/>
        </w:rPr>
        <w:t> </w:t>
      </w:r>
      <w:r>
        <w:rPr>
          <w:sz w:val="20"/>
        </w:rPr>
        <w:t>controvertido.</w:t>
      </w:r>
    </w:p>
    <w:p>
      <w:pPr>
        <w:pStyle w:val="BodyText"/>
        <w:spacing w:before="10"/>
        <w:rPr>
          <w:sz w:val="19"/>
        </w:rPr>
      </w:pPr>
    </w:p>
    <w:p>
      <w:pPr>
        <w:pStyle w:val="ListParagraph"/>
        <w:numPr>
          <w:ilvl w:val="0"/>
          <w:numId w:val="14"/>
        </w:numPr>
        <w:tabs>
          <w:tab w:pos="830" w:val="left" w:leader="none"/>
        </w:tabs>
        <w:spacing w:line="240" w:lineRule="auto" w:before="0" w:after="0"/>
        <w:ind w:left="830" w:right="0" w:hanging="720"/>
        <w:jc w:val="both"/>
        <w:rPr>
          <w:sz w:val="20"/>
        </w:rPr>
      </w:pPr>
      <w:r>
        <w:rPr>
          <w:sz w:val="20"/>
        </w:rPr>
        <w:t>A continuación se exponen mapas que ubican el área territorial</w:t>
      </w:r>
      <w:r>
        <w:rPr>
          <w:spacing w:val="-26"/>
          <w:sz w:val="20"/>
        </w:rPr>
        <w:t> </w:t>
      </w:r>
      <w:r>
        <w:rPr>
          <w:sz w:val="20"/>
        </w:rPr>
        <w:t>referida: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5"/>
        </w:rPr>
      </w:pPr>
      <w:r>
        <w:rPr/>
        <w:pict>
          <v:line style="position:absolute;mso-position-horizontal-relative:page;mso-position-vertical-relative:paragraph;z-index:1336;mso-wrap-distance-left:0;mso-wrap-distance-right:0" from="85.103996pt,11.582146pt" to="229.123996pt,11.582146pt" stroked="true" strokeweight=".72003pt" strokecolor="#000000">
            <v:stroke dashstyle="solid"/>
            <w10:wrap type="topAndBottom"/>
          </v:line>
        </w:pict>
      </w:r>
    </w:p>
    <w:p>
      <w:pPr>
        <w:tabs>
          <w:tab w:pos="829" w:val="left" w:leader="none"/>
        </w:tabs>
        <w:spacing w:line="240" w:lineRule="auto" w:before="71"/>
        <w:ind w:left="122" w:right="117" w:firstLine="0"/>
        <w:jc w:val="both"/>
        <w:rPr>
          <w:sz w:val="16"/>
        </w:rPr>
      </w:pPr>
      <w:r>
        <w:rPr>
          <w:position w:val="6"/>
          <w:sz w:val="10"/>
        </w:rPr>
        <w:t>30</w:t>
        <w:tab/>
      </w:r>
      <w:r>
        <w:rPr>
          <w:sz w:val="16"/>
        </w:rPr>
        <w:t>La</w:t>
      </w:r>
      <w:r>
        <w:rPr>
          <w:spacing w:val="28"/>
          <w:sz w:val="16"/>
        </w:rPr>
        <w:t> </w:t>
      </w:r>
      <w:r>
        <w:rPr>
          <w:sz w:val="16"/>
        </w:rPr>
        <w:t>extensión</w:t>
      </w:r>
      <w:r>
        <w:rPr>
          <w:spacing w:val="25"/>
          <w:sz w:val="16"/>
        </w:rPr>
        <w:t> </w:t>
      </w:r>
      <w:r>
        <w:rPr>
          <w:sz w:val="16"/>
        </w:rPr>
        <w:t>indicada</w:t>
      </w:r>
      <w:r>
        <w:rPr>
          <w:spacing w:val="25"/>
          <w:sz w:val="16"/>
        </w:rPr>
        <w:t> </w:t>
      </w:r>
      <w:r>
        <w:rPr>
          <w:sz w:val="16"/>
        </w:rPr>
        <w:t>no</w:t>
      </w:r>
      <w:r>
        <w:rPr>
          <w:spacing w:val="27"/>
          <w:sz w:val="16"/>
        </w:rPr>
        <w:t> </w:t>
      </w:r>
      <w:r>
        <w:rPr>
          <w:sz w:val="16"/>
        </w:rPr>
        <w:t>es</w:t>
      </w:r>
      <w:r>
        <w:rPr>
          <w:spacing w:val="24"/>
          <w:sz w:val="16"/>
        </w:rPr>
        <w:t> </w:t>
      </w:r>
      <w:r>
        <w:rPr>
          <w:sz w:val="16"/>
        </w:rPr>
        <w:t>exacta</w:t>
      </w:r>
      <w:r>
        <w:rPr>
          <w:spacing w:val="25"/>
          <w:sz w:val="16"/>
        </w:rPr>
        <w:t> </w:t>
      </w:r>
      <w:r>
        <w:rPr>
          <w:sz w:val="16"/>
        </w:rPr>
        <w:t>sino</w:t>
      </w:r>
      <w:r>
        <w:rPr>
          <w:spacing w:val="27"/>
          <w:sz w:val="16"/>
        </w:rPr>
        <w:t> </w:t>
      </w:r>
      <w:r>
        <w:rPr>
          <w:sz w:val="16"/>
        </w:rPr>
        <w:t>aproximada,</w:t>
      </w:r>
      <w:r>
        <w:rPr>
          <w:spacing w:val="25"/>
          <w:sz w:val="16"/>
        </w:rPr>
        <w:t> </w:t>
      </w:r>
      <w:r>
        <w:rPr>
          <w:sz w:val="16"/>
        </w:rPr>
        <w:t>de</w:t>
      </w:r>
      <w:r>
        <w:rPr>
          <w:spacing w:val="24"/>
          <w:sz w:val="16"/>
        </w:rPr>
        <w:t> </w:t>
      </w:r>
      <w:r>
        <w:rPr>
          <w:sz w:val="16"/>
        </w:rPr>
        <w:t>acuerdo</w:t>
      </w:r>
      <w:r>
        <w:rPr>
          <w:spacing w:val="27"/>
          <w:sz w:val="16"/>
        </w:rPr>
        <w:t> </w:t>
      </w:r>
      <w:r>
        <w:rPr>
          <w:sz w:val="16"/>
        </w:rPr>
        <w:t>a</w:t>
      </w:r>
      <w:r>
        <w:rPr>
          <w:spacing w:val="25"/>
          <w:sz w:val="16"/>
        </w:rPr>
        <w:t> </w:t>
      </w:r>
      <w:r>
        <w:rPr>
          <w:sz w:val="16"/>
        </w:rPr>
        <w:t>lo</w:t>
      </w:r>
      <w:r>
        <w:rPr>
          <w:spacing w:val="27"/>
          <w:sz w:val="16"/>
        </w:rPr>
        <w:t> </w:t>
      </w:r>
      <w:r>
        <w:rPr>
          <w:sz w:val="16"/>
        </w:rPr>
        <w:t>establecido</w:t>
      </w:r>
      <w:r>
        <w:rPr>
          <w:spacing w:val="24"/>
          <w:sz w:val="16"/>
        </w:rPr>
        <w:t> </w:t>
      </w:r>
      <w:r>
        <w:rPr>
          <w:sz w:val="16"/>
        </w:rPr>
        <w:t>por</w:t>
      </w:r>
      <w:r>
        <w:rPr>
          <w:spacing w:val="27"/>
          <w:sz w:val="16"/>
        </w:rPr>
        <w:t> </w:t>
      </w:r>
      <w:r>
        <w:rPr>
          <w:sz w:val="16"/>
        </w:rPr>
        <w:t>el</w:t>
      </w:r>
      <w:r>
        <w:rPr>
          <w:spacing w:val="25"/>
          <w:sz w:val="16"/>
        </w:rPr>
        <w:t> </w:t>
      </w:r>
      <w:r>
        <w:rPr>
          <w:sz w:val="16"/>
        </w:rPr>
        <w:t>Decreto</w:t>
      </w:r>
      <w:r>
        <w:rPr>
          <w:w w:val="100"/>
          <w:sz w:val="16"/>
        </w:rPr>
        <w:t> </w:t>
      </w:r>
      <w:r>
        <w:rPr>
          <w:sz w:val="16"/>
        </w:rPr>
        <w:t>1498/14 de Salta (</w:t>
      </w:r>
      <w:r>
        <w:rPr>
          <w:i/>
          <w:sz w:val="16"/>
        </w:rPr>
        <w:t>infra </w:t>
      </w:r>
      <w:r>
        <w:rPr>
          <w:sz w:val="16"/>
        </w:rPr>
        <w:t>párr. 80). Se aclara que toda referencia en esta Sentencia, inclusive en el Capítulo VIII sobre reparaciones, a cantidades de hectáreas correspondientes a los lotes 14 y 55, debe entenderse como alusiva a una cantidad de superficie no exacta, sino</w:t>
      </w:r>
      <w:r>
        <w:rPr>
          <w:spacing w:val="-23"/>
          <w:sz w:val="16"/>
        </w:rPr>
        <w:t> </w:t>
      </w:r>
      <w:r>
        <w:rPr>
          <w:sz w:val="16"/>
        </w:rPr>
        <w:t>aproximada.</w:t>
      </w:r>
    </w:p>
    <w:p>
      <w:pPr>
        <w:spacing w:after="0" w:line="240" w:lineRule="auto"/>
        <w:jc w:val="both"/>
        <w:rPr>
          <w:sz w:val="16"/>
        </w:rPr>
        <w:sectPr>
          <w:pgSz w:w="12240" w:h="15840"/>
          <w:pgMar w:header="0" w:footer="1000" w:top="1340" w:bottom="1200" w:left="1580" w:right="15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8"/>
        </w:rPr>
      </w:pPr>
    </w:p>
    <w:p>
      <w:pPr>
        <w:pStyle w:val="Heading2"/>
        <w:spacing w:before="56"/>
        <w:ind w:left="0" w:right="1044"/>
        <w:jc w:val="right"/>
        <w:rPr>
          <w:rFonts w:ascii="Calibri"/>
        </w:rPr>
      </w:pPr>
      <w:r>
        <w:rPr/>
        <w:drawing>
          <wp:anchor distT="0" distB="0" distL="0" distR="0" allowOverlap="1" layoutInCell="1" locked="0" behindDoc="0" simplePos="0" relativeHeight="1360">
            <wp:simplePos x="0" y="0"/>
            <wp:positionH relativeFrom="page">
              <wp:posOffset>1754758</wp:posOffset>
            </wp:positionH>
            <wp:positionV relativeFrom="paragraph">
              <wp:posOffset>-4231213</wp:posOffset>
            </wp:positionV>
            <wp:extent cx="4143883" cy="439801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4143883" cy="4398010"/>
                    </a:xfrm>
                    <a:prstGeom prst="rect">
                      <a:avLst/>
                    </a:prstGeom>
                  </pic:spPr>
                </pic:pic>
              </a:graphicData>
            </a:graphic>
          </wp:anchor>
        </w:drawing>
      </w:r>
      <w:r>
        <w:rPr>
          <w:rFonts w:ascii="Calibri"/>
        </w:rPr>
        <w:t>1.</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1"/>
        <w:rPr>
          <w:rFonts w:ascii="Calibri"/>
          <w:sz w:val="14"/>
        </w:rPr>
      </w:pPr>
    </w:p>
    <w:p>
      <w:pPr>
        <w:spacing w:before="56"/>
        <w:ind w:left="0" w:right="1817" w:firstLine="0"/>
        <w:jc w:val="right"/>
        <w:rPr>
          <w:rFonts w:ascii="Calibri"/>
          <w:sz w:val="22"/>
        </w:rPr>
      </w:pPr>
      <w:r>
        <w:rPr/>
        <w:drawing>
          <wp:anchor distT="0" distB="0" distL="0" distR="0" allowOverlap="1" layoutInCell="1" locked="0" behindDoc="1" simplePos="0" relativeHeight="268288751">
            <wp:simplePos x="0" y="0"/>
            <wp:positionH relativeFrom="page">
              <wp:posOffset>2245360</wp:posOffset>
            </wp:positionH>
            <wp:positionV relativeFrom="paragraph">
              <wp:posOffset>-3184936</wp:posOffset>
            </wp:positionV>
            <wp:extent cx="3171825" cy="3344545"/>
            <wp:effectExtent l="0" t="0" r="0" b="0"/>
            <wp:wrapNone/>
            <wp:docPr id="3" name="image2.jpeg" descr="Mapa Argentina"/>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3171825" cy="3344545"/>
                    </a:xfrm>
                    <a:prstGeom prst="rect">
                      <a:avLst/>
                    </a:prstGeom>
                  </pic:spPr>
                </pic:pic>
              </a:graphicData>
            </a:graphic>
          </wp:anchor>
        </w:drawing>
      </w:r>
      <w:r>
        <w:rPr>
          <w:rFonts w:ascii="Calibri"/>
          <w:sz w:val="22"/>
        </w:rPr>
        <w:t>2.</w:t>
      </w:r>
    </w:p>
    <w:p>
      <w:pPr>
        <w:spacing w:after="0"/>
        <w:jc w:val="right"/>
        <w:rPr>
          <w:rFonts w:ascii="Calibri"/>
          <w:sz w:val="22"/>
        </w:rPr>
        <w:sectPr>
          <w:pgSz w:w="12240" w:h="15840"/>
          <w:pgMar w:header="0" w:footer="1000" w:top="1420" w:bottom="1200" w:left="1720" w:right="172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
        <w:rPr>
          <w:rFonts w:ascii="Calibri"/>
          <w:sz w:val="27"/>
        </w:rPr>
      </w:pPr>
    </w:p>
    <w:p>
      <w:pPr>
        <w:spacing w:before="71"/>
        <w:ind w:left="0" w:right="1723" w:firstLine="0"/>
        <w:jc w:val="right"/>
        <w:rPr>
          <w:rFonts w:ascii="Calibri"/>
          <w:sz w:val="22"/>
        </w:rPr>
      </w:pPr>
      <w:r>
        <w:rPr/>
        <w:drawing>
          <wp:anchor distT="0" distB="0" distL="0" distR="0" allowOverlap="1" layoutInCell="1" locked="0" behindDoc="1" simplePos="0" relativeHeight="268288799">
            <wp:simplePos x="0" y="0"/>
            <wp:positionH relativeFrom="page">
              <wp:posOffset>2322829</wp:posOffset>
            </wp:positionH>
            <wp:positionV relativeFrom="paragraph">
              <wp:posOffset>-3007169</wp:posOffset>
            </wp:positionV>
            <wp:extent cx="3161411" cy="3211576"/>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1" cstate="print"/>
                    <a:stretch>
                      <a:fillRect/>
                    </a:stretch>
                  </pic:blipFill>
                  <pic:spPr>
                    <a:xfrm>
                      <a:off x="0" y="0"/>
                      <a:ext cx="3161411" cy="3211576"/>
                    </a:xfrm>
                    <a:prstGeom prst="rect">
                      <a:avLst/>
                    </a:prstGeom>
                  </pic:spPr>
                </pic:pic>
              </a:graphicData>
            </a:graphic>
          </wp:anchor>
        </w:drawing>
      </w:r>
      <w:r>
        <w:rPr>
          <w:rFonts w:ascii="Calibri"/>
          <w:w w:val="95"/>
          <w:position w:val="-7"/>
          <w:sz w:val="22"/>
        </w:rPr>
        <w:t>3</w:t>
      </w:r>
      <w:r>
        <w:rPr>
          <w:rFonts w:ascii="Calibri"/>
          <w:w w:val="95"/>
          <w:sz w:val="14"/>
        </w:rPr>
        <w:t>31</w:t>
      </w:r>
      <w:r>
        <w:rPr>
          <w:rFonts w:ascii="Calibri"/>
          <w:w w:val="95"/>
          <w:position w:val="-7"/>
          <w:sz w:val="22"/>
        </w:rPr>
        <w:t>.</w:t>
      </w:r>
    </w:p>
    <w:p>
      <w:pPr>
        <w:pStyle w:val="BodyText"/>
        <w:rPr>
          <w:rFonts w:ascii="Calibri"/>
          <w:sz w:val="28"/>
        </w:rPr>
      </w:pPr>
    </w:p>
    <w:p>
      <w:pPr>
        <w:pStyle w:val="ListParagraph"/>
        <w:numPr>
          <w:ilvl w:val="0"/>
          <w:numId w:val="14"/>
        </w:numPr>
        <w:tabs>
          <w:tab w:pos="830" w:val="left" w:leader="none"/>
        </w:tabs>
        <w:spacing w:line="240" w:lineRule="auto" w:before="99" w:after="0"/>
        <w:ind w:left="122" w:right="124" w:firstLine="0"/>
        <w:jc w:val="both"/>
        <w:rPr>
          <w:sz w:val="20"/>
        </w:rPr>
      </w:pPr>
      <w:r>
        <w:rPr>
          <w:sz w:val="20"/>
        </w:rPr>
        <w:t>De acuerdo con afirmaciones expuestas en los peritajes de las señoras Naharro y Buliubasich, la presencia indígena en la zona es previa a 1629 y, por tanto, anterior</w:t>
      </w:r>
      <w:r>
        <w:rPr>
          <w:spacing w:val="-32"/>
          <w:sz w:val="20"/>
        </w:rPr>
        <w:t> </w:t>
      </w:r>
      <w:r>
        <w:rPr>
          <w:sz w:val="20"/>
        </w:rPr>
        <w:t>a la</w:t>
      </w:r>
      <w:r>
        <w:rPr>
          <w:spacing w:val="-16"/>
          <w:sz w:val="20"/>
        </w:rPr>
        <w:t> </w:t>
      </w:r>
      <w:r>
        <w:rPr>
          <w:sz w:val="20"/>
        </w:rPr>
        <w:t>conformación,</w:t>
      </w:r>
      <w:r>
        <w:rPr>
          <w:spacing w:val="-15"/>
          <w:sz w:val="20"/>
        </w:rPr>
        <w:t> </w:t>
      </w:r>
      <w:r>
        <w:rPr>
          <w:sz w:val="20"/>
        </w:rPr>
        <w:t>en</w:t>
      </w:r>
      <w:r>
        <w:rPr>
          <w:spacing w:val="-13"/>
          <w:sz w:val="20"/>
        </w:rPr>
        <w:t> </w:t>
      </w:r>
      <w:r>
        <w:rPr>
          <w:sz w:val="20"/>
        </w:rPr>
        <w:t>el</w:t>
      </w:r>
      <w:r>
        <w:rPr>
          <w:spacing w:val="-14"/>
          <w:sz w:val="20"/>
        </w:rPr>
        <w:t> </w:t>
      </w:r>
      <w:r>
        <w:rPr>
          <w:sz w:val="20"/>
        </w:rPr>
        <w:t>siglo</w:t>
      </w:r>
      <w:r>
        <w:rPr>
          <w:spacing w:val="-17"/>
          <w:sz w:val="20"/>
        </w:rPr>
        <w:t> </w:t>
      </w:r>
      <w:r>
        <w:rPr>
          <w:sz w:val="20"/>
        </w:rPr>
        <w:t>XIX,</w:t>
      </w:r>
      <w:r>
        <w:rPr>
          <w:spacing w:val="-15"/>
          <w:sz w:val="20"/>
        </w:rPr>
        <w:t> </w:t>
      </w:r>
      <w:r>
        <w:rPr>
          <w:sz w:val="20"/>
        </w:rPr>
        <w:t>del</w:t>
      </w:r>
      <w:r>
        <w:rPr>
          <w:spacing w:val="-16"/>
          <w:sz w:val="20"/>
        </w:rPr>
        <w:t> </w:t>
      </w:r>
      <w:r>
        <w:rPr>
          <w:sz w:val="20"/>
        </w:rPr>
        <w:t>Estado</w:t>
      </w:r>
      <w:r>
        <w:rPr>
          <w:spacing w:val="-17"/>
          <w:sz w:val="20"/>
        </w:rPr>
        <w:t> </w:t>
      </w:r>
      <w:r>
        <w:rPr>
          <w:sz w:val="20"/>
        </w:rPr>
        <w:t>argentino.</w:t>
      </w:r>
      <w:r>
        <w:rPr>
          <w:spacing w:val="-10"/>
          <w:sz w:val="20"/>
        </w:rPr>
        <w:t> </w:t>
      </w:r>
      <w:r>
        <w:rPr>
          <w:sz w:val="20"/>
        </w:rPr>
        <w:t>El</w:t>
      </w:r>
      <w:r>
        <w:rPr>
          <w:spacing w:val="-16"/>
          <w:sz w:val="20"/>
        </w:rPr>
        <w:t> </w:t>
      </w:r>
      <w:r>
        <w:rPr>
          <w:sz w:val="20"/>
        </w:rPr>
        <w:t>primer</w:t>
      </w:r>
      <w:r>
        <w:rPr>
          <w:spacing w:val="-17"/>
          <w:sz w:val="20"/>
        </w:rPr>
        <w:t> </w:t>
      </w:r>
      <w:r>
        <w:rPr>
          <w:sz w:val="20"/>
        </w:rPr>
        <w:t>dictamen</w:t>
      </w:r>
      <w:r>
        <w:rPr>
          <w:spacing w:val="-15"/>
          <w:sz w:val="20"/>
        </w:rPr>
        <w:t> </w:t>
      </w:r>
      <w:r>
        <w:rPr>
          <w:sz w:val="20"/>
        </w:rPr>
        <w:t>pericial</w:t>
      </w:r>
      <w:r>
        <w:rPr>
          <w:spacing w:val="-10"/>
          <w:sz w:val="20"/>
        </w:rPr>
        <w:t> </w:t>
      </w:r>
      <w:r>
        <w:rPr>
          <w:sz w:val="20"/>
        </w:rPr>
        <w:t>detalló que numerosos testimonios y documentos producidos entre el siglo XVIII y principios del siglo XX “mencionan la presencia de pueblos cazadores recolectores en el área del [río] Pilcomayo”. La mayoría de la población indígena, que ha continuado en el lugar hasta la actualidad, pertenece a la etnia Wichí. Distintos estudios “muestran la importancia de la relación […] con su tierra y territorio[,] señalando la amenaza que implica</w:t>
      </w:r>
      <w:r>
        <w:rPr>
          <w:spacing w:val="-21"/>
          <w:sz w:val="20"/>
        </w:rPr>
        <w:t> </w:t>
      </w:r>
      <w:r>
        <w:rPr>
          <w:sz w:val="20"/>
        </w:rPr>
        <w:t>el</w:t>
      </w:r>
      <w:r>
        <w:rPr>
          <w:spacing w:val="-18"/>
          <w:sz w:val="20"/>
        </w:rPr>
        <w:t> </w:t>
      </w:r>
      <w:r>
        <w:rPr>
          <w:sz w:val="20"/>
        </w:rPr>
        <w:t>desarrollo</w:t>
      </w:r>
      <w:r>
        <w:rPr>
          <w:spacing w:val="-20"/>
          <w:sz w:val="20"/>
        </w:rPr>
        <w:t> </w:t>
      </w:r>
      <w:r>
        <w:rPr>
          <w:sz w:val="20"/>
        </w:rPr>
        <w:t>de</w:t>
      </w:r>
      <w:r>
        <w:rPr>
          <w:spacing w:val="-20"/>
          <w:sz w:val="20"/>
        </w:rPr>
        <w:t> </w:t>
      </w:r>
      <w:r>
        <w:rPr>
          <w:sz w:val="20"/>
        </w:rPr>
        <w:t>actividades</w:t>
      </w:r>
      <w:r>
        <w:rPr>
          <w:spacing w:val="-19"/>
          <w:sz w:val="20"/>
        </w:rPr>
        <w:t> </w:t>
      </w:r>
      <w:r>
        <w:rPr>
          <w:sz w:val="20"/>
        </w:rPr>
        <w:t>productivas</w:t>
      </w:r>
      <w:r>
        <w:rPr>
          <w:spacing w:val="-22"/>
          <w:sz w:val="20"/>
        </w:rPr>
        <w:t> </w:t>
      </w:r>
      <w:r>
        <w:rPr>
          <w:sz w:val="20"/>
        </w:rPr>
        <w:t>que</w:t>
      </w:r>
      <w:r>
        <w:rPr>
          <w:spacing w:val="-20"/>
          <w:sz w:val="20"/>
        </w:rPr>
        <w:t> </w:t>
      </w:r>
      <w:r>
        <w:rPr>
          <w:sz w:val="20"/>
        </w:rPr>
        <w:t>entran</w:t>
      </w:r>
      <w:r>
        <w:rPr>
          <w:spacing w:val="-17"/>
          <w:sz w:val="20"/>
        </w:rPr>
        <w:t> </w:t>
      </w:r>
      <w:r>
        <w:rPr>
          <w:sz w:val="20"/>
        </w:rPr>
        <w:t>en</w:t>
      </w:r>
      <w:r>
        <w:rPr>
          <w:spacing w:val="-18"/>
          <w:sz w:val="20"/>
        </w:rPr>
        <w:t> </w:t>
      </w:r>
      <w:r>
        <w:rPr>
          <w:sz w:val="20"/>
        </w:rPr>
        <w:t>contradicción</w:t>
      </w:r>
      <w:r>
        <w:rPr>
          <w:spacing w:val="-20"/>
          <w:sz w:val="20"/>
        </w:rPr>
        <w:t> </w:t>
      </w:r>
      <w:r>
        <w:rPr>
          <w:sz w:val="20"/>
        </w:rPr>
        <w:t>con</w:t>
      </w:r>
      <w:r>
        <w:rPr>
          <w:spacing w:val="-18"/>
          <w:sz w:val="20"/>
        </w:rPr>
        <w:t> </w:t>
      </w:r>
      <w:r>
        <w:rPr>
          <w:sz w:val="20"/>
        </w:rPr>
        <w:t>su</w:t>
      </w:r>
      <w:r>
        <w:rPr>
          <w:spacing w:val="-18"/>
          <w:sz w:val="20"/>
        </w:rPr>
        <w:t> </w:t>
      </w:r>
      <w:r>
        <w:rPr>
          <w:sz w:val="20"/>
        </w:rPr>
        <w:t>forma de</w:t>
      </w:r>
      <w:r>
        <w:rPr>
          <w:spacing w:val="-12"/>
          <w:sz w:val="20"/>
        </w:rPr>
        <w:t> </w:t>
      </w:r>
      <w:r>
        <w:rPr>
          <w:sz w:val="20"/>
        </w:rPr>
        <w:t>vida”.</w:t>
      </w:r>
      <w:r>
        <w:rPr>
          <w:spacing w:val="-11"/>
          <w:sz w:val="20"/>
        </w:rPr>
        <w:t> </w:t>
      </w:r>
      <w:r>
        <w:rPr>
          <w:sz w:val="20"/>
        </w:rPr>
        <w:t>Documentación</w:t>
      </w:r>
      <w:r>
        <w:rPr>
          <w:spacing w:val="-9"/>
          <w:sz w:val="20"/>
        </w:rPr>
        <w:t> </w:t>
      </w:r>
      <w:r>
        <w:rPr>
          <w:sz w:val="20"/>
        </w:rPr>
        <w:t>estatal</w:t>
      </w:r>
      <w:r>
        <w:rPr>
          <w:spacing w:val="-9"/>
          <w:sz w:val="20"/>
        </w:rPr>
        <w:t> </w:t>
      </w:r>
      <w:r>
        <w:rPr>
          <w:sz w:val="20"/>
        </w:rPr>
        <w:t>indica</w:t>
      </w:r>
      <w:r>
        <w:rPr>
          <w:spacing w:val="-11"/>
          <w:sz w:val="20"/>
        </w:rPr>
        <w:t> </w:t>
      </w:r>
      <w:r>
        <w:rPr>
          <w:sz w:val="20"/>
        </w:rPr>
        <w:t>que</w:t>
      </w:r>
      <w:r>
        <w:rPr>
          <w:spacing w:val="-12"/>
          <w:sz w:val="20"/>
        </w:rPr>
        <w:t> </w:t>
      </w:r>
      <w:r>
        <w:rPr>
          <w:sz w:val="20"/>
        </w:rPr>
        <w:t>la</w:t>
      </w:r>
      <w:r>
        <w:rPr>
          <w:spacing w:val="-10"/>
          <w:sz w:val="20"/>
        </w:rPr>
        <w:t> </w:t>
      </w:r>
      <w:r>
        <w:rPr>
          <w:sz w:val="20"/>
        </w:rPr>
        <w:t>población</w:t>
      </w:r>
      <w:r>
        <w:rPr>
          <w:spacing w:val="-9"/>
          <w:sz w:val="20"/>
        </w:rPr>
        <w:t> </w:t>
      </w:r>
      <w:r>
        <w:rPr>
          <w:sz w:val="20"/>
        </w:rPr>
        <w:t>“aborigen”</w:t>
      </w:r>
      <w:r>
        <w:rPr>
          <w:spacing w:val="-11"/>
          <w:sz w:val="20"/>
        </w:rPr>
        <w:t> </w:t>
      </w:r>
      <w:r>
        <w:rPr>
          <w:sz w:val="20"/>
        </w:rPr>
        <w:t>de</w:t>
      </w:r>
      <w:r>
        <w:rPr>
          <w:spacing w:val="-12"/>
          <w:sz w:val="20"/>
        </w:rPr>
        <w:t> </w:t>
      </w:r>
      <w:r>
        <w:rPr>
          <w:sz w:val="20"/>
        </w:rPr>
        <w:t>la</w:t>
      </w:r>
      <w:r>
        <w:rPr>
          <w:spacing w:val="-10"/>
          <w:sz w:val="20"/>
        </w:rPr>
        <w:t> </w:t>
      </w:r>
      <w:r>
        <w:rPr>
          <w:sz w:val="20"/>
        </w:rPr>
        <w:t>zona</w:t>
      </w:r>
      <w:r>
        <w:rPr>
          <w:spacing w:val="-10"/>
          <w:sz w:val="20"/>
        </w:rPr>
        <w:t> </w:t>
      </w:r>
      <w:r>
        <w:rPr>
          <w:sz w:val="20"/>
        </w:rPr>
        <w:t>pertenece a las “denominadas protoculturas chaquenses”, y que se trata de “grupos nómades o semi-nomades de economía recolectora, cazadora y</w:t>
      </w:r>
      <w:r>
        <w:rPr>
          <w:spacing w:val="-17"/>
          <w:sz w:val="20"/>
        </w:rPr>
        <w:t> </w:t>
      </w:r>
      <w:r>
        <w:rPr>
          <w:sz w:val="20"/>
        </w:rPr>
        <w:t>pescadora”</w:t>
      </w:r>
      <w:r>
        <w:rPr>
          <w:position w:val="7"/>
          <w:sz w:val="13"/>
        </w:rPr>
        <w:t>32</w:t>
      </w:r>
      <w:r>
        <w:rPr>
          <w:sz w:val="20"/>
        </w:rPr>
        <w:t>.</w:t>
      </w:r>
    </w:p>
    <w:p>
      <w:pPr>
        <w:pStyle w:val="BodyText"/>
      </w:pPr>
    </w:p>
    <w:p>
      <w:pPr>
        <w:pStyle w:val="ListParagraph"/>
        <w:numPr>
          <w:ilvl w:val="0"/>
          <w:numId w:val="14"/>
        </w:numPr>
        <w:tabs>
          <w:tab w:pos="830" w:val="left" w:leader="none"/>
        </w:tabs>
        <w:spacing w:line="240" w:lineRule="auto" w:before="0" w:after="0"/>
        <w:ind w:left="122" w:right="125" w:firstLine="0"/>
        <w:jc w:val="both"/>
        <w:rPr>
          <w:sz w:val="20"/>
        </w:rPr>
      </w:pPr>
      <w:r>
        <w:rPr>
          <w:sz w:val="20"/>
        </w:rPr>
        <w:t>El número de comunidades indígenas que se encuentran en los lotes 14 y 55 es variable,  dada  la  dinámica  constante  de  fragmentación  y  fusión  comunitaria </w:t>
      </w:r>
      <w:r>
        <w:rPr>
          <w:spacing w:val="11"/>
          <w:sz w:val="20"/>
        </w:rPr>
        <w:t> </w:t>
      </w:r>
      <w:r>
        <w:rPr>
          <w:sz w:val="20"/>
        </w:rPr>
        <w:t>que</w:t>
      </w:r>
    </w:p>
    <w:p>
      <w:pPr>
        <w:pStyle w:val="BodyText"/>
      </w:pPr>
    </w:p>
    <w:p>
      <w:pPr>
        <w:pStyle w:val="BodyText"/>
        <w:spacing w:before="10"/>
        <w:rPr>
          <w:sz w:val="24"/>
        </w:rPr>
      </w:pPr>
      <w:r>
        <w:rPr/>
        <w:pict>
          <v:line style="position:absolute;mso-position-horizontal-relative:page;mso-position-vertical-relative:paragraph;z-index:1408;mso-wrap-distance-left:0;mso-wrap-distance-right:0" from="85.103996pt,17.408270pt" to="229.123996pt,17.408270pt" stroked="true" strokeweight=".71997pt" strokecolor="#000000">
            <v:stroke dashstyle="solid"/>
            <w10:wrap type="topAndBottom"/>
          </v:line>
        </w:pict>
      </w:r>
    </w:p>
    <w:p>
      <w:pPr>
        <w:tabs>
          <w:tab w:pos="829" w:val="left" w:leader="none"/>
        </w:tabs>
        <w:spacing w:before="72"/>
        <w:ind w:left="122" w:right="113" w:firstLine="0"/>
        <w:jc w:val="both"/>
        <w:rPr>
          <w:sz w:val="16"/>
        </w:rPr>
      </w:pPr>
      <w:r>
        <w:rPr>
          <w:position w:val="6"/>
          <w:sz w:val="10"/>
        </w:rPr>
        <w:t>31</w:t>
        <w:tab/>
      </w:r>
      <w:r>
        <w:rPr>
          <w:sz w:val="16"/>
        </w:rPr>
        <w:t>La fuente del mapa 1 es el Instituto Geográfico Nacional, dependiente del Ministerio de </w:t>
      </w:r>
      <w:r>
        <w:rPr>
          <w:spacing w:val="21"/>
          <w:sz w:val="16"/>
        </w:rPr>
        <w:t> </w:t>
      </w:r>
      <w:r>
        <w:rPr>
          <w:sz w:val="16"/>
        </w:rPr>
        <w:t>Defensa</w:t>
      </w:r>
      <w:r>
        <w:rPr>
          <w:spacing w:val="4"/>
          <w:sz w:val="16"/>
        </w:rPr>
        <w:t> </w:t>
      </w:r>
      <w:r>
        <w:rPr>
          <w:sz w:val="16"/>
        </w:rPr>
        <w:t>del</w:t>
      </w:r>
      <w:r>
        <w:rPr>
          <w:w w:val="100"/>
          <w:sz w:val="16"/>
        </w:rPr>
        <w:t> </w:t>
      </w:r>
      <w:r>
        <w:rPr>
          <w:sz w:val="16"/>
        </w:rPr>
        <w:t>Gobierno de Argentina (Disponible en internet, en el sitio: https:/</w:t>
      </w:r>
      <w:hyperlink r:id="rId12">
        <w:r>
          <w:rPr>
            <w:sz w:val="16"/>
          </w:rPr>
          <w:t>/www.ign.gob.ar/AreaServicios/Descargas/MapasEscolares</w:t>
        </w:r>
      </w:hyperlink>
      <w:r>
        <w:rPr>
          <w:sz w:val="16"/>
        </w:rPr>
        <w:t>"</w:t>
      </w:r>
      <w:r>
        <w:rPr>
          <w:spacing w:val="-12"/>
          <w:sz w:val="16"/>
        </w:rPr>
        <w:t> </w:t>
      </w:r>
      <w:r>
        <w:rPr>
          <w:sz w:val="16"/>
        </w:rPr>
        <w:t>\l</w:t>
      </w:r>
      <w:r>
        <w:rPr>
          <w:spacing w:val="-17"/>
          <w:sz w:val="16"/>
        </w:rPr>
        <w:t> </w:t>
      </w:r>
      <w:r>
        <w:rPr>
          <w:sz w:val="16"/>
        </w:rPr>
        <w:t>"nanogallery/gallery2/0/6).</w:t>
      </w:r>
      <w:r>
        <w:rPr>
          <w:spacing w:val="-17"/>
          <w:sz w:val="16"/>
        </w:rPr>
        <w:t> </w:t>
      </w:r>
      <w:r>
        <w:rPr>
          <w:sz w:val="16"/>
        </w:rPr>
        <w:t>El</w:t>
      </w:r>
      <w:r>
        <w:rPr>
          <w:spacing w:val="-17"/>
          <w:sz w:val="16"/>
        </w:rPr>
        <w:t> </w:t>
      </w:r>
      <w:r>
        <w:rPr>
          <w:sz w:val="16"/>
        </w:rPr>
        <w:t>mapa</w:t>
      </w:r>
      <w:r>
        <w:rPr>
          <w:spacing w:val="-18"/>
          <w:sz w:val="16"/>
        </w:rPr>
        <w:t> </w:t>
      </w:r>
      <w:r>
        <w:rPr>
          <w:sz w:val="16"/>
        </w:rPr>
        <w:t>2</w:t>
      </w:r>
      <w:r>
        <w:rPr>
          <w:spacing w:val="-17"/>
          <w:sz w:val="16"/>
        </w:rPr>
        <w:t> </w:t>
      </w:r>
      <w:r>
        <w:rPr>
          <w:sz w:val="16"/>
        </w:rPr>
        <w:t>es un bosquejo que se inserta en la presente Sentencia a título meramente ilustrativo, por lo que no debe entenderse</w:t>
      </w:r>
      <w:r>
        <w:rPr>
          <w:spacing w:val="-5"/>
          <w:sz w:val="16"/>
        </w:rPr>
        <w:t> </w:t>
      </w:r>
      <w:r>
        <w:rPr>
          <w:sz w:val="16"/>
        </w:rPr>
        <w:t>como</w:t>
      </w:r>
      <w:r>
        <w:rPr>
          <w:spacing w:val="-2"/>
          <w:sz w:val="16"/>
        </w:rPr>
        <w:t> </w:t>
      </w:r>
      <w:r>
        <w:rPr>
          <w:sz w:val="16"/>
        </w:rPr>
        <w:t>una</w:t>
      </w:r>
      <w:r>
        <w:rPr>
          <w:spacing w:val="-6"/>
          <w:sz w:val="16"/>
        </w:rPr>
        <w:t> </w:t>
      </w:r>
      <w:r>
        <w:rPr>
          <w:sz w:val="16"/>
        </w:rPr>
        <w:t>representación</w:t>
      </w:r>
      <w:r>
        <w:rPr>
          <w:spacing w:val="-3"/>
          <w:sz w:val="16"/>
        </w:rPr>
        <w:t> </w:t>
      </w:r>
      <w:r>
        <w:rPr>
          <w:sz w:val="16"/>
        </w:rPr>
        <w:t>gráfica</w:t>
      </w:r>
      <w:r>
        <w:rPr>
          <w:spacing w:val="-5"/>
          <w:sz w:val="16"/>
        </w:rPr>
        <w:t> </w:t>
      </w:r>
      <w:r>
        <w:rPr>
          <w:sz w:val="16"/>
        </w:rPr>
        <w:t>precisa</w:t>
      </w:r>
      <w:r>
        <w:rPr>
          <w:spacing w:val="-6"/>
          <w:sz w:val="16"/>
        </w:rPr>
        <w:t> </w:t>
      </w:r>
      <w:r>
        <w:rPr>
          <w:sz w:val="16"/>
        </w:rPr>
        <w:t>de</w:t>
      </w:r>
      <w:r>
        <w:rPr>
          <w:spacing w:val="-5"/>
          <w:sz w:val="16"/>
        </w:rPr>
        <w:t> </w:t>
      </w:r>
      <w:r>
        <w:rPr>
          <w:sz w:val="16"/>
        </w:rPr>
        <w:t>la</w:t>
      </w:r>
      <w:r>
        <w:rPr>
          <w:spacing w:val="-6"/>
          <w:sz w:val="16"/>
        </w:rPr>
        <w:t> </w:t>
      </w:r>
      <w:r>
        <w:rPr>
          <w:sz w:val="16"/>
        </w:rPr>
        <w:t>extensión,</w:t>
      </w:r>
      <w:r>
        <w:rPr>
          <w:spacing w:val="-6"/>
          <w:sz w:val="16"/>
        </w:rPr>
        <w:t> </w:t>
      </w:r>
      <w:r>
        <w:rPr>
          <w:sz w:val="16"/>
        </w:rPr>
        <w:t>forma</w:t>
      </w:r>
      <w:r>
        <w:rPr>
          <w:spacing w:val="-6"/>
          <w:sz w:val="16"/>
        </w:rPr>
        <w:t> </w:t>
      </w:r>
      <w:r>
        <w:rPr>
          <w:sz w:val="16"/>
        </w:rPr>
        <w:t>o</w:t>
      </w:r>
      <w:r>
        <w:rPr>
          <w:spacing w:val="-4"/>
          <w:sz w:val="16"/>
        </w:rPr>
        <w:t> </w:t>
      </w:r>
      <w:r>
        <w:rPr>
          <w:sz w:val="16"/>
        </w:rPr>
        <w:t>límites</w:t>
      </w:r>
      <w:r>
        <w:rPr>
          <w:spacing w:val="-2"/>
          <w:sz w:val="16"/>
        </w:rPr>
        <w:t> </w:t>
      </w:r>
      <w:r>
        <w:rPr>
          <w:sz w:val="16"/>
        </w:rPr>
        <w:t>de</w:t>
      </w:r>
      <w:r>
        <w:rPr>
          <w:spacing w:val="-5"/>
          <w:sz w:val="16"/>
        </w:rPr>
        <w:t> </w:t>
      </w:r>
      <w:r>
        <w:rPr>
          <w:sz w:val="16"/>
        </w:rPr>
        <w:t>las</w:t>
      </w:r>
      <w:r>
        <w:rPr>
          <w:spacing w:val="-2"/>
          <w:sz w:val="16"/>
        </w:rPr>
        <w:t> </w:t>
      </w:r>
      <w:r>
        <w:rPr>
          <w:sz w:val="16"/>
        </w:rPr>
        <w:t>áreas</w:t>
      </w:r>
      <w:r>
        <w:rPr>
          <w:spacing w:val="-5"/>
          <w:sz w:val="16"/>
        </w:rPr>
        <w:t> </w:t>
      </w:r>
      <w:r>
        <w:rPr>
          <w:sz w:val="16"/>
        </w:rPr>
        <w:t>que</w:t>
      </w:r>
      <w:r>
        <w:rPr>
          <w:spacing w:val="-5"/>
          <w:sz w:val="16"/>
        </w:rPr>
        <w:t> </w:t>
      </w:r>
      <w:r>
        <w:rPr>
          <w:sz w:val="16"/>
        </w:rPr>
        <w:t>en</w:t>
      </w:r>
      <w:r>
        <w:rPr>
          <w:spacing w:val="-6"/>
          <w:sz w:val="16"/>
        </w:rPr>
        <w:t> </w:t>
      </w:r>
      <w:r>
        <w:rPr>
          <w:sz w:val="16"/>
        </w:rPr>
        <w:t>él</w:t>
      </w:r>
      <w:r>
        <w:rPr>
          <w:spacing w:val="-3"/>
          <w:sz w:val="16"/>
        </w:rPr>
        <w:t> </w:t>
      </w:r>
      <w:r>
        <w:rPr>
          <w:sz w:val="16"/>
        </w:rPr>
        <w:t>se señalan. El mapa 3 consta en el acervo probatorio (expediente de prueba, expediente del trámite ante la Comisión, f.</w:t>
      </w:r>
      <w:r>
        <w:rPr>
          <w:spacing w:val="-8"/>
          <w:sz w:val="16"/>
        </w:rPr>
        <w:t> </w:t>
      </w:r>
      <w:r>
        <w:rPr>
          <w:sz w:val="16"/>
        </w:rPr>
        <w:t>3.415).</w:t>
      </w:r>
    </w:p>
    <w:p>
      <w:pPr>
        <w:pStyle w:val="BodyText"/>
        <w:spacing w:before="12"/>
        <w:rPr>
          <w:sz w:val="15"/>
        </w:rPr>
      </w:pPr>
    </w:p>
    <w:p>
      <w:pPr>
        <w:tabs>
          <w:tab w:pos="829" w:val="left" w:leader="none"/>
        </w:tabs>
        <w:spacing w:line="242" w:lineRule="auto" w:before="0"/>
        <w:ind w:left="122" w:right="117" w:firstLine="0"/>
        <w:jc w:val="both"/>
        <w:rPr>
          <w:sz w:val="16"/>
        </w:rPr>
      </w:pPr>
      <w:r>
        <w:rPr>
          <w:position w:val="6"/>
          <w:sz w:val="10"/>
        </w:rPr>
        <w:t>32</w:t>
        <w:tab/>
      </w:r>
      <w:r>
        <w:rPr>
          <w:i/>
          <w:sz w:val="16"/>
        </w:rPr>
        <w:t>Cfr.</w:t>
      </w:r>
      <w:r>
        <w:rPr>
          <w:i/>
          <w:spacing w:val="18"/>
          <w:sz w:val="16"/>
        </w:rPr>
        <w:t> </w:t>
      </w:r>
      <w:r>
        <w:rPr>
          <w:sz w:val="16"/>
        </w:rPr>
        <w:t>“Antecedentes</w:t>
      </w:r>
      <w:r>
        <w:rPr>
          <w:spacing w:val="16"/>
          <w:sz w:val="16"/>
        </w:rPr>
        <w:t> </w:t>
      </w:r>
      <w:r>
        <w:rPr>
          <w:sz w:val="16"/>
        </w:rPr>
        <w:t>relativos</w:t>
      </w:r>
      <w:r>
        <w:rPr>
          <w:spacing w:val="16"/>
          <w:sz w:val="16"/>
        </w:rPr>
        <w:t> </w:t>
      </w:r>
      <w:r>
        <w:rPr>
          <w:sz w:val="16"/>
        </w:rPr>
        <w:t>a</w:t>
      </w:r>
      <w:r>
        <w:rPr>
          <w:spacing w:val="17"/>
          <w:sz w:val="16"/>
        </w:rPr>
        <w:t> </w:t>
      </w:r>
      <w:r>
        <w:rPr>
          <w:sz w:val="16"/>
        </w:rPr>
        <w:t>las</w:t>
      </w:r>
      <w:r>
        <w:rPr>
          <w:spacing w:val="18"/>
          <w:sz w:val="16"/>
        </w:rPr>
        <w:t> </w:t>
      </w:r>
      <w:r>
        <w:rPr>
          <w:sz w:val="16"/>
        </w:rPr>
        <w:t>tierras</w:t>
      </w:r>
      <w:r>
        <w:rPr>
          <w:spacing w:val="16"/>
          <w:sz w:val="16"/>
        </w:rPr>
        <w:t> </w:t>
      </w:r>
      <w:r>
        <w:rPr>
          <w:sz w:val="16"/>
        </w:rPr>
        <w:t>públicas</w:t>
      </w:r>
      <w:r>
        <w:rPr>
          <w:spacing w:val="15"/>
          <w:sz w:val="16"/>
        </w:rPr>
        <w:t> </w:t>
      </w:r>
      <w:r>
        <w:rPr>
          <w:sz w:val="16"/>
        </w:rPr>
        <w:t>del</w:t>
      </w:r>
      <w:r>
        <w:rPr>
          <w:spacing w:val="17"/>
          <w:sz w:val="16"/>
        </w:rPr>
        <w:t> </w:t>
      </w:r>
      <w:r>
        <w:rPr>
          <w:sz w:val="16"/>
        </w:rPr>
        <w:t>Lote</w:t>
      </w:r>
      <w:r>
        <w:rPr>
          <w:spacing w:val="16"/>
          <w:sz w:val="16"/>
        </w:rPr>
        <w:t> </w:t>
      </w:r>
      <w:r>
        <w:rPr>
          <w:sz w:val="16"/>
        </w:rPr>
        <w:t>Fiscal</w:t>
      </w:r>
      <w:r>
        <w:rPr>
          <w:spacing w:val="15"/>
          <w:sz w:val="16"/>
        </w:rPr>
        <w:t> </w:t>
      </w:r>
      <w:r>
        <w:rPr>
          <w:sz w:val="16"/>
        </w:rPr>
        <w:t>55.</w:t>
      </w:r>
      <w:r>
        <w:rPr>
          <w:spacing w:val="17"/>
          <w:sz w:val="16"/>
        </w:rPr>
        <w:t> </w:t>
      </w:r>
      <w:r>
        <w:rPr>
          <w:sz w:val="16"/>
        </w:rPr>
        <w:t>Área</w:t>
      </w:r>
      <w:r>
        <w:rPr>
          <w:spacing w:val="15"/>
          <w:sz w:val="16"/>
        </w:rPr>
        <w:t> </w:t>
      </w:r>
      <w:r>
        <w:rPr>
          <w:sz w:val="16"/>
        </w:rPr>
        <w:t>Pilcomayo.</w:t>
      </w:r>
      <w:r>
        <w:rPr>
          <w:spacing w:val="17"/>
          <w:sz w:val="16"/>
        </w:rPr>
        <w:t> </w:t>
      </w:r>
      <w:r>
        <w:rPr>
          <w:sz w:val="16"/>
        </w:rPr>
        <w:t>Provincia</w:t>
      </w:r>
      <w:r>
        <w:rPr>
          <w:spacing w:val="17"/>
          <w:sz w:val="16"/>
        </w:rPr>
        <w:t> </w:t>
      </w:r>
      <w:r>
        <w:rPr>
          <w:sz w:val="16"/>
        </w:rPr>
        <w:t>de</w:t>
      </w:r>
      <w:r>
        <w:rPr>
          <w:w w:val="100"/>
          <w:sz w:val="16"/>
        </w:rPr>
        <w:t> </w:t>
      </w:r>
      <w:r>
        <w:rPr>
          <w:sz w:val="16"/>
        </w:rPr>
        <w:t>Salta”.</w:t>
      </w:r>
      <w:r>
        <w:rPr>
          <w:spacing w:val="-12"/>
          <w:sz w:val="16"/>
        </w:rPr>
        <w:t> </w:t>
      </w:r>
      <w:r>
        <w:rPr>
          <w:sz w:val="16"/>
        </w:rPr>
        <w:t>Documento</w:t>
      </w:r>
      <w:r>
        <w:rPr>
          <w:spacing w:val="-12"/>
          <w:sz w:val="16"/>
        </w:rPr>
        <w:t> </w:t>
      </w:r>
      <w:r>
        <w:rPr>
          <w:sz w:val="16"/>
        </w:rPr>
        <w:t>emitido</w:t>
      </w:r>
      <w:r>
        <w:rPr>
          <w:spacing w:val="-12"/>
          <w:sz w:val="16"/>
        </w:rPr>
        <w:t> </w:t>
      </w:r>
      <w:r>
        <w:rPr>
          <w:sz w:val="16"/>
        </w:rPr>
        <w:t>por</w:t>
      </w:r>
      <w:r>
        <w:rPr>
          <w:spacing w:val="-10"/>
          <w:sz w:val="16"/>
        </w:rPr>
        <w:t> </w:t>
      </w:r>
      <w:r>
        <w:rPr>
          <w:sz w:val="16"/>
        </w:rPr>
        <w:t>el</w:t>
      </w:r>
      <w:r>
        <w:rPr>
          <w:spacing w:val="-14"/>
          <w:sz w:val="16"/>
        </w:rPr>
        <w:t> </w:t>
      </w:r>
      <w:r>
        <w:rPr>
          <w:sz w:val="16"/>
        </w:rPr>
        <w:t>Gobierno</w:t>
      </w:r>
      <w:r>
        <w:rPr>
          <w:spacing w:val="-10"/>
          <w:sz w:val="16"/>
        </w:rPr>
        <w:t> </w:t>
      </w:r>
      <w:r>
        <w:rPr>
          <w:sz w:val="16"/>
        </w:rPr>
        <w:t>de</w:t>
      </w:r>
      <w:r>
        <w:rPr>
          <w:spacing w:val="-10"/>
          <w:sz w:val="16"/>
        </w:rPr>
        <w:t> </w:t>
      </w:r>
      <w:r>
        <w:rPr>
          <w:sz w:val="16"/>
        </w:rPr>
        <w:t>la</w:t>
      </w:r>
      <w:r>
        <w:rPr>
          <w:spacing w:val="-11"/>
          <w:sz w:val="16"/>
        </w:rPr>
        <w:t> </w:t>
      </w:r>
      <w:r>
        <w:rPr>
          <w:sz w:val="16"/>
        </w:rPr>
        <w:t>Provincia</w:t>
      </w:r>
      <w:r>
        <w:rPr>
          <w:spacing w:val="-11"/>
          <w:sz w:val="16"/>
        </w:rPr>
        <w:t> </w:t>
      </w:r>
      <w:r>
        <w:rPr>
          <w:sz w:val="16"/>
        </w:rPr>
        <w:t>de</w:t>
      </w:r>
      <w:r>
        <w:rPr>
          <w:spacing w:val="-10"/>
          <w:sz w:val="16"/>
        </w:rPr>
        <w:t> </w:t>
      </w:r>
      <w:r>
        <w:rPr>
          <w:sz w:val="16"/>
        </w:rPr>
        <w:t>Salta.</w:t>
      </w:r>
      <w:r>
        <w:rPr>
          <w:spacing w:val="-12"/>
          <w:sz w:val="16"/>
        </w:rPr>
        <w:t> </w:t>
      </w:r>
      <w:r>
        <w:rPr>
          <w:sz w:val="16"/>
        </w:rPr>
        <w:t>Expediente</w:t>
      </w:r>
      <w:r>
        <w:rPr>
          <w:spacing w:val="-13"/>
          <w:sz w:val="16"/>
        </w:rPr>
        <w:t> </w:t>
      </w:r>
      <w:r>
        <w:rPr>
          <w:sz w:val="16"/>
        </w:rPr>
        <w:t>de</w:t>
      </w:r>
      <w:r>
        <w:rPr>
          <w:spacing w:val="-13"/>
          <w:sz w:val="16"/>
        </w:rPr>
        <w:t> </w:t>
      </w:r>
      <w:r>
        <w:rPr>
          <w:sz w:val="16"/>
        </w:rPr>
        <w:t>prueba,</w:t>
      </w:r>
      <w:r>
        <w:rPr>
          <w:spacing w:val="-14"/>
          <w:sz w:val="16"/>
        </w:rPr>
        <w:t> </w:t>
      </w:r>
      <w:r>
        <w:rPr>
          <w:sz w:val="16"/>
        </w:rPr>
        <w:t>anexo</w:t>
      </w:r>
      <w:r>
        <w:rPr>
          <w:spacing w:val="-12"/>
          <w:sz w:val="16"/>
        </w:rPr>
        <w:t> </w:t>
      </w:r>
      <w:r>
        <w:rPr>
          <w:sz w:val="16"/>
        </w:rPr>
        <w:t>4.A</w:t>
      </w:r>
      <w:r>
        <w:rPr>
          <w:spacing w:val="-10"/>
          <w:sz w:val="16"/>
        </w:rPr>
        <w:t> </w:t>
      </w:r>
      <w:r>
        <w:rPr>
          <w:sz w:val="16"/>
        </w:rPr>
        <w:t>al</w:t>
      </w:r>
      <w:r>
        <w:rPr>
          <w:spacing w:val="-14"/>
          <w:sz w:val="16"/>
        </w:rPr>
        <w:t> </w:t>
      </w:r>
      <w:r>
        <w:rPr>
          <w:sz w:val="16"/>
        </w:rPr>
        <w:t>escrito de solicitudes y argumentos, fs. 29.450 a</w:t>
      </w:r>
      <w:r>
        <w:rPr>
          <w:spacing w:val="-14"/>
          <w:sz w:val="16"/>
        </w:rPr>
        <w:t> </w:t>
      </w:r>
      <w:r>
        <w:rPr>
          <w:sz w:val="16"/>
        </w:rPr>
        <w:t>29.674.</w:t>
      </w:r>
    </w:p>
    <w:p>
      <w:pPr>
        <w:spacing w:after="0" w:line="242" w:lineRule="auto"/>
        <w:jc w:val="both"/>
        <w:rPr>
          <w:sz w:val="16"/>
        </w:rPr>
        <w:sectPr>
          <w:footerReference w:type="default" r:id="rId10"/>
          <w:pgSz w:w="12240" w:h="15840"/>
          <w:pgMar w:footer="1000" w:header="0" w:top="1500" w:bottom="1200" w:left="1580" w:right="1580"/>
        </w:sectPr>
      </w:pPr>
    </w:p>
    <w:p>
      <w:pPr>
        <w:pStyle w:val="BodyText"/>
        <w:spacing w:line="244" w:lineRule="auto" w:before="71"/>
        <w:ind w:left="122" w:right="126"/>
        <w:jc w:val="both"/>
      </w:pPr>
      <w:r>
        <w:rPr/>
        <w:t>caracteriza a estos pueblos (</w:t>
      </w:r>
      <w:r>
        <w:rPr>
          <w:i/>
        </w:rPr>
        <w:t>supra</w:t>
      </w:r>
      <w:r>
        <w:rPr/>
        <w:t>, párrs. 33)</w:t>
      </w:r>
      <w:r>
        <w:rPr>
          <w:rFonts w:ascii="Calibri" w:hAnsi="Calibri"/>
          <w:position w:val="8"/>
          <w:sz w:val="14"/>
        </w:rPr>
        <w:t>33</w:t>
      </w:r>
      <w:r>
        <w:rPr>
          <w:i/>
        </w:rPr>
        <w:t>. </w:t>
      </w:r>
      <w:r>
        <w:rPr/>
        <w:t>El Estado y los representantes han señalado</w:t>
      </w:r>
      <w:r>
        <w:rPr>
          <w:spacing w:val="-15"/>
        </w:rPr>
        <w:t> </w:t>
      </w:r>
      <w:r>
        <w:rPr/>
        <w:t>la</w:t>
      </w:r>
      <w:r>
        <w:rPr>
          <w:spacing w:val="-11"/>
        </w:rPr>
        <w:t> </w:t>
      </w:r>
      <w:r>
        <w:rPr/>
        <w:t>existencia</w:t>
      </w:r>
      <w:r>
        <w:rPr>
          <w:spacing w:val="-14"/>
        </w:rPr>
        <w:t> </w:t>
      </w:r>
      <w:r>
        <w:rPr/>
        <w:t>de</w:t>
      </w:r>
      <w:r>
        <w:rPr>
          <w:spacing w:val="-15"/>
        </w:rPr>
        <w:t> </w:t>
      </w:r>
      <w:r>
        <w:rPr/>
        <w:t>más</w:t>
      </w:r>
      <w:r>
        <w:rPr>
          <w:spacing w:val="-14"/>
        </w:rPr>
        <w:t> </w:t>
      </w:r>
      <w:r>
        <w:rPr/>
        <w:t>de</w:t>
      </w:r>
      <w:r>
        <w:rPr>
          <w:spacing w:val="-15"/>
        </w:rPr>
        <w:t> </w:t>
      </w:r>
      <w:r>
        <w:rPr/>
        <w:t>2.000</w:t>
      </w:r>
      <w:r>
        <w:rPr>
          <w:spacing w:val="-11"/>
        </w:rPr>
        <w:t> </w:t>
      </w:r>
      <w:r>
        <w:rPr/>
        <w:t>familias</w:t>
      </w:r>
      <w:r>
        <w:rPr>
          <w:spacing w:val="-12"/>
        </w:rPr>
        <w:t> </w:t>
      </w:r>
      <w:r>
        <w:rPr/>
        <w:t>indígenas.</w:t>
      </w:r>
      <w:r>
        <w:rPr>
          <w:spacing w:val="-25"/>
        </w:rPr>
        <w:t> </w:t>
      </w:r>
      <w:r>
        <w:rPr/>
        <w:t>Los</w:t>
      </w:r>
      <w:r>
        <w:rPr>
          <w:spacing w:val="-12"/>
        </w:rPr>
        <w:t> </w:t>
      </w:r>
      <w:r>
        <w:rPr/>
        <w:t>representantes</w:t>
      </w:r>
      <w:r>
        <w:rPr>
          <w:spacing w:val="-12"/>
        </w:rPr>
        <w:t> </w:t>
      </w:r>
      <w:r>
        <w:rPr/>
        <w:t>afirmaron que para mayo de 2018 “las comunidades indígenas comprend[ían] alrededor de 2031 familias y aproximadamente 10.155 personas”. No hay controversia en cuanto a que</w:t>
      </w:r>
      <w:r>
        <w:rPr>
          <w:spacing w:val="-39"/>
        </w:rPr>
        <w:t> </w:t>
      </w:r>
      <w:r>
        <w:rPr/>
        <w:t>se trata de comunidades pertenecientes a pueblos indígenas, ni sobre su vínculo ancestral con la tierra que habitan (</w:t>
      </w:r>
      <w:r>
        <w:rPr>
          <w:i/>
        </w:rPr>
        <w:t>infra </w:t>
      </w:r>
      <w:r>
        <w:rPr/>
        <w:t>nota a pie de página</w:t>
      </w:r>
      <w:r>
        <w:rPr>
          <w:spacing w:val="-18"/>
        </w:rPr>
        <w:t> </w:t>
      </w:r>
      <w:r>
        <w:rPr/>
        <w:t>88).</w:t>
      </w:r>
    </w:p>
    <w:p>
      <w:pPr>
        <w:pStyle w:val="BodyText"/>
        <w:spacing w:before="7"/>
        <w:rPr>
          <w:sz w:val="19"/>
        </w:rPr>
      </w:pPr>
    </w:p>
    <w:p>
      <w:pPr>
        <w:pStyle w:val="ListParagraph"/>
        <w:numPr>
          <w:ilvl w:val="0"/>
          <w:numId w:val="14"/>
        </w:numPr>
        <w:tabs>
          <w:tab w:pos="830" w:val="left" w:leader="none"/>
        </w:tabs>
        <w:spacing w:line="242" w:lineRule="auto" w:before="1" w:after="0"/>
        <w:ind w:left="122" w:right="117" w:firstLine="0"/>
        <w:jc w:val="both"/>
        <w:rPr>
          <w:sz w:val="20"/>
        </w:rPr>
      </w:pPr>
      <w:r>
        <w:rPr>
          <w:sz w:val="20"/>
        </w:rPr>
        <w:t>En la zona referida hubo presencia indígena de modo constante, y además la tierra fue ocupada, desde tiempo cercano a inicios del siglo XX</w:t>
      </w:r>
      <w:r>
        <w:rPr>
          <w:rFonts w:ascii="Calibri" w:hAnsi="Calibri"/>
          <w:position w:val="8"/>
          <w:sz w:val="14"/>
        </w:rPr>
        <w:t>34</w:t>
      </w:r>
      <w:r>
        <w:rPr>
          <w:sz w:val="20"/>
        </w:rPr>
        <w:t>, por personas identificadas</w:t>
      </w:r>
      <w:r>
        <w:rPr>
          <w:spacing w:val="-11"/>
          <w:sz w:val="20"/>
        </w:rPr>
        <w:t> </w:t>
      </w:r>
      <w:r>
        <w:rPr>
          <w:sz w:val="20"/>
        </w:rPr>
        <w:t>como</w:t>
      </w:r>
      <w:r>
        <w:rPr>
          <w:spacing w:val="-11"/>
          <w:sz w:val="20"/>
        </w:rPr>
        <w:t> </w:t>
      </w:r>
      <w:r>
        <w:rPr>
          <w:sz w:val="20"/>
        </w:rPr>
        <w:t>“criollas”,</w:t>
      </w:r>
      <w:r>
        <w:rPr>
          <w:spacing w:val="-12"/>
          <w:sz w:val="20"/>
        </w:rPr>
        <w:t> </w:t>
      </w:r>
      <w:r>
        <w:rPr>
          <w:sz w:val="20"/>
        </w:rPr>
        <w:t>es</w:t>
      </w:r>
      <w:r>
        <w:rPr>
          <w:spacing w:val="-13"/>
          <w:sz w:val="20"/>
        </w:rPr>
        <w:t> </w:t>
      </w:r>
      <w:r>
        <w:rPr>
          <w:sz w:val="20"/>
        </w:rPr>
        <w:t>decir,</w:t>
      </w:r>
      <w:r>
        <w:rPr>
          <w:spacing w:val="-7"/>
          <w:sz w:val="20"/>
        </w:rPr>
        <w:t> </w:t>
      </w:r>
      <w:r>
        <w:rPr>
          <w:sz w:val="20"/>
        </w:rPr>
        <w:t>colonos</w:t>
      </w:r>
      <w:r>
        <w:rPr>
          <w:spacing w:val="-12"/>
          <w:sz w:val="20"/>
        </w:rPr>
        <w:t> </w:t>
      </w:r>
      <w:r>
        <w:rPr>
          <w:sz w:val="20"/>
        </w:rPr>
        <w:t>no</w:t>
      </w:r>
      <w:r>
        <w:rPr>
          <w:spacing w:val="-14"/>
          <w:sz w:val="20"/>
        </w:rPr>
        <w:t> </w:t>
      </w:r>
      <w:r>
        <w:rPr>
          <w:sz w:val="20"/>
        </w:rPr>
        <w:t>indígenas.</w:t>
      </w:r>
      <w:r>
        <w:rPr>
          <w:spacing w:val="-13"/>
          <w:sz w:val="20"/>
        </w:rPr>
        <w:t> </w:t>
      </w:r>
      <w:r>
        <w:rPr>
          <w:sz w:val="20"/>
        </w:rPr>
        <w:t>En</w:t>
      </w:r>
      <w:r>
        <w:rPr>
          <w:spacing w:val="-12"/>
          <w:sz w:val="20"/>
        </w:rPr>
        <w:t> </w:t>
      </w:r>
      <w:r>
        <w:rPr>
          <w:sz w:val="20"/>
        </w:rPr>
        <w:t>1902</w:t>
      </w:r>
      <w:r>
        <w:rPr>
          <w:spacing w:val="-10"/>
          <w:sz w:val="20"/>
        </w:rPr>
        <w:t> </w:t>
      </w:r>
      <w:r>
        <w:rPr>
          <w:sz w:val="20"/>
        </w:rPr>
        <w:t>se</w:t>
      </w:r>
      <w:r>
        <w:rPr>
          <w:spacing w:val="-9"/>
          <w:sz w:val="20"/>
        </w:rPr>
        <w:t> </w:t>
      </w:r>
      <w:r>
        <w:rPr>
          <w:sz w:val="20"/>
        </w:rPr>
        <w:t>fundó</w:t>
      </w:r>
      <w:r>
        <w:rPr>
          <w:spacing w:val="-14"/>
          <w:sz w:val="20"/>
        </w:rPr>
        <w:t> </w:t>
      </w:r>
      <w:r>
        <w:rPr>
          <w:sz w:val="20"/>
        </w:rPr>
        <w:t>la</w:t>
      </w:r>
      <w:r>
        <w:rPr>
          <w:spacing w:val="-10"/>
          <w:sz w:val="20"/>
        </w:rPr>
        <w:t> </w:t>
      </w:r>
      <w:r>
        <w:rPr>
          <w:sz w:val="20"/>
        </w:rPr>
        <w:t>Colonia Buenaventura</w:t>
      </w:r>
      <w:r>
        <w:rPr>
          <w:spacing w:val="-16"/>
          <w:sz w:val="20"/>
        </w:rPr>
        <w:t> </w:t>
      </w:r>
      <w:r>
        <w:rPr>
          <w:sz w:val="20"/>
        </w:rPr>
        <w:t>y</w:t>
      </w:r>
      <w:r>
        <w:rPr>
          <w:spacing w:val="-19"/>
          <w:sz w:val="20"/>
        </w:rPr>
        <w:t> </w:t>
      </w:r>
      <w:r>
        <w:rPr>
          <w:sz w:val="20"/>
        </w:rPr>
        <w:t>el</w:t>
      </w:r>
      <w:r>
        <w:rPr>
          <w:spacing w:val="-18"/>
          <w:sz w:val="20"/>
        </w:rPr>
        <w:t> </w:t>
      </w:r>
      <w:r>
        <w:rPr>
          <w:sz w:val="20"/>
        </w:rPr>
        <w:t>gobierno</w:t>
      </w:r>
      <w:r>
        <w:rPr>
          <w:spacing w:val="-20"/>
          <w:sz w:val="20"/>
        </w:rPr>
        <w:t> </w:t>
      </w:r>
      <w:r>
        <w:rPr>
          <w:sz w:val="20"/>
        </w:rPr>
        <w:t>nacional</w:t>
      </w:r>
      <w:r>
        <w:rPr>
          <w:spacing w:val="-17"/>
          <w:sz w:val="20"/>
        </w:rPr>
        <w:t> </w:t>
      </w:r>
      <w:r>
        <w:rPr>
          <w:sz w:val="20"/>
        </w:rPr>
        <w:t>entregó</w:t>
      </w:r>
      <w:r>
        <w:rPr>
          <w:spacing w:val="-20"/>
          <w:sz w:val="20"/>
        </w:rPr>
        <w:t> </w:t>
      </w:r>
      <w:r>
        <w:rPr>
          <w:sz w:val="20"/>
        </w:rPr>
        <w:t>625</w:t>
      </w:r>
      <w:r>
        <w:rPr>
          <w:spacing w:val="-18"/>
          <w:sz w:val="20"/>
        </w:rPr>
        <w:t> </w:t>
      </w:r>
      <w:r>
        <w:rPr>
          <w:sz w:val="20"/>
        </w:rPr>
        <w:t>ha</w:t>
      </w:r>
      <w:r>
        <w:rPr>
          <w:spacing w:val="-18"/>
          <w:sz w:val="20"/>
        </w:rPr>
        <w:t> </w:t>
      </w:r>
      <w:r>
        <w:rPr>
          <w:sz w:val="20"/>
        </w:rPr>
        <w:t>a</w:t>
      </w:r>
      <w:r>
        <w:rPr>
          <w:spacing w:val="-18"/>
          <w:sz w:val="20"/>
        </w:rPr>
        <w:t> </w:t>
      </w:r>
      <w:r>
        <w:rPr>
          <w:sz w:val="20"/>
        </w:rPr>
        <w:t>familias</w:t>
      </w:r>
      <w:r>
        <w:rPr>
          <w:spacing w:val="-19"/>
          <w:sz w:val="20"/>
        </w:rPr>
        <w:t> </w:t>
      </w:r>
      <w:r>
        <w:rPr>
          <w:sz w:val="20"/>
        </w:rPr>
        <w:t>“criollas”</w:t>
      </w:r>
      <w:r>
        <w:rPr>
          <w:spacing w:val="-17"/>
          <w:sz w:val="20"/>
        </w:rPr>
        <w:t> </w:t>
      </w:r>
      <w:r>
        <w:rPr>
          <w:spacing w:val="2"/>
          <w:sz w:val="20"/>
        </w:rPr>
        <w:t>que</w:t>
      </w:r>
      <w:r>
        <w:rPr>
          <w:spacing w:val="-20"/>
          <w:sz w:val="20"/>
        </w:rPr>
        <w:t> </w:t>
      </w:r>
      <w:r>
        <w:rPr>
          <w:sz w:val="20"/>
        </w:rPr>
        <w:t>se</w:t>
      </w:r>
      <w:r>
        <w:rPr>
          <w:spacing w:val="-18"/>
          <w:sz w:val="20"/>
        </w:rPr>
        <w:t> </w:t>
      </w:r>
      <w:r>
        <w:rPr>
          <w:sz w:val="20"/>
        </w:rPr>
        <w:t>radicaron en el lugar; luego se fueron efectuando otras entregas, de superficies similares o mayores de tierra. No obstante, en 1905 el gobierno de Salta manifestó al gobierno nacional que lotes adjudicados como tierras fiscales nacionales podrían estar ubicados dentro</w:t>
      </w:r>
      <w:r>
        <w:rPr>
          <w:spacing w:val="-14"/>
          <w:sz w:val="20"/>
        </w:rPr>
        <w:t> </w:t>
      </w:r>
      <w:r>
        <w:rPr>
          <w:sz w:val="20"/>
        </w:rPr>
        <w:t>del</w:t>
      </w:r>
      <w:r>
        <w:rPr>
          <w:spacing w:val="-15"/>
          <w:sz w:val="20"/>
        </w:rPr>
        <w:t> </w:t>
      </w:r>
      <w:r>
        <w:rPr>
          <w:sz w:val="20"/>
        </w:rPr>
        <w:t>territorio</w:t>
      </w:r>
      <w:r>
        <w:rPr>
          <w:spacing w:val="-14"/>
          <w:sz w:val="20"/>
        </w:rPr>
        <w:t> </w:t>
      </w:r>
      <w:r>
        <w:rPr>
          <w:sz w:val="20"/>
        </w:rPr>
        <w:t>provincial,</w:t>
      </w:r>
      <w:r>
        <w:rPr>
          <w:spacing w:val="-13"/>
          <w:sz w:val="20"/>
        </w:rPr>
        <w:t> </w:t>
      </w:r>
      <w:r>
        <w:rPr>
          <w:sz w:val="20"/>
        </w:rPr>
        <w:t>y</w:t>
      </w:r>
      <w:r>
        <w:rPr>
          <w:spacing w:val="-13"/>
          <w:sz w:val="20"/>
        </w:rPr>
        <w:t> </w:t>
      </w:r>
      <w:r>
        <w:rPr>
          <w:sz w:val="20"/>
        </w:rPr>
        <w:t>en</w:t>
      </w:r>
      <w:r>
        <w:rPr>
          <w:spacing w:val="-13"/>
          <w:sz w:val="20"/>
        </w:rPr>
        <w:t> </w:t>
      </w:r>
      <w:r>
        <w:rPr>
          <w:sz w:val="20"/>
        </w:rPr>
        <w:t>efecto,</w:t>
      </w:r>
      <w:r>
        <w:rPr>
          <w:spacing w:val="-14"/>
          <w:sz w:val="20"/>
        </w:rPr>
        <w:t> </w:t>
      </w:r>
      <w:r>
        <w:rPr>
          <w:sz w:val="20"/>
        </w:rPr>
        <w:t>con</w:t>
      </w:r>
      <w:r>
        <w:rPr>
          <w:spacing w:val="-13"/>
          <w:sz w:val="20"/>
        </w:rPr>
        <w:t> </w:t>
      </w:r>
      <w:r>
        <w:rPr>
          <w:sz w:val="20"/>
        </w:rPr>
        <w:t>posterioridad,</w:t>
      </w:r>
      <w:r>
        <w:rPr>
          <w:spacing w:val="-14"/>
          <w:sz w:val="20"/>
        </w:rPr>
        <w:t> </w:t>
      </w:r>
      <w:r>
        <w:rPr>
          <w:sz w:val="20"/>
        </w:rPr>
        <w:t>al</w:t>
      </w:r>
      <w:r>
        <w:rPr>
          <w:spacing w:val="-9"/>
          <w:sz w:val="20"/>
        </w:rPr>
        <w:t> </w:t>
      </w:r>
      <w:r>
        <w:rPr>
          <w:sz w:val="20"/>
        </w:rPr>
        <w:t>menos</w:t>
      </w:r>
      <w:r>
        <w:rPr>
          <w:spacing w:val="-12"/>
          <w:sz w:val="20"/>
        </w:rPr>
        <w:t> </w:t>
      </w:r>
      <w:r>
        <w:rPr>
          <w:sz w:val="20"/>
        </w:rPr>
        <w:t>a</w:t>
      </w:r>
      <w:r>
        <w:rPr>
          <w:spacing w:val="-15"/>
          <w:sz w:val="20"/>
        </w:rPr>
        <w:t> </w:t>
      </w:r>
      <w:r>
        <w:rPr>
          <w:sz w:val="20"/>
        </w:rPr>
        <w:t>partir</w:t>
      </w:r>
      <w:r>
        <w:rPr>
          <w:spacing w:val="-16"/>
          <w:sz w:val="20"/>
        </w:rPr>
        <w:t> </w:t>
      </w:r>
      <w:r>
        <w:rPr>
          <w:sz w:val="20"/>
        </w:rPr>
        <w:t>de</w:t>
      </w:r>
      <w:r>
        <w:rPr>
          <w:spacing w:val="-14"/>
          <w:sz w:val="20"/>
        </w:rPr>
        <w:t> </w:t>
      </w:r>
      <w:r>
        <w:rPr>
          <w:sz w:val="20"/>
        </w:rPr>
        <w:t>1967, quedó establecida formalmente la pertenencia de la tierra a la</w:t>
      </w:r>
      <w:r>
        <w:rPr>
          <w:spacing w:val="-24"/>
          <w:sz w:val="20"/>
        </w:rPr>
        <w:t> </w:t>
      </w:r>
      <w:r>
        <w:rPr>
          <w:sz w:val="20"/>
        </w:rPr>
        <w:t>Provincia</w:t>
      </w:r>
      <w:r>
        <w:rPr>
          <w:position w:val="7"/>
          <w:sz w:val="13"/>
        </w:rPr>
        <w:t>35</w:t>
      </w:r>
      <w:r>
        <w:rPr>
          <w:sz w:val="20"/>
        </w:rPr>
        <w:t>.</w:t>
      </w:r>
    </w:p>
    <w:p>
      <w:pPr>
        <w:pStyle w:val="BodyText"/>
        <w:spacing w:before="10"/>
        <w:rPr>
          <w:sz w:val="19"/>
        </w:rPr>
      </w:pPr>
    </w:p>
    <w:p>
      <w:pPr>
        <w:pStyle w:val="ListParagraph"/>
        <w:numPr>
          <w:ilvl w:val="0"/>
          <w:numId w:val="14"/>
        </w:numPr>
        <w:tabs>
          <w:tab w:pos="830" w:val="left" w:leader="none"/>
        </w:tabs>
        <w:spacing w:line="237" w:lineRule="auto" w:before="0" w:after="0"/>
        <w:ind w:left="122" w:right="116" w:firstLine="0"/>
        <w:jc w:val="both"/>
        <w:rPr>
          <w:sz w:val="20"/>
        </w:rPr>
      </w:pPr>
      <w:r>
        <w:rPr>
          <w:sz w:val="20"/>
        </w:rPr>
        <w:t>Las partes son contestes en que el número actual de familias criollas en la zona es superior a 465. Argentina indicó que se trata de “pequeños productores de subsistencia,</w:t>
      </w:r>
      <w:r>
        <w:rPr>
          <w:spacing w:val="-21"/>
          <w:sz w:val="20"/>
        </w:rPr>
        <w:t> </w:t>
      </w:r>
      <w:r>
        <w:rPr>
          <w:sz w:val="20"/>
        </w:rPr>
        <w:t>dedicados</w:t>
      </w:r>
      <w:r>
        <w:rPr>
          <w:spacing w:val="-17"/>
          <w:sz w:val="20"/>
        </w:rPr>
        <w:t> </w:t>
      </w:r>
      <w:r>
        <w:rPr>
          <w:sz w:val="20"/>
        </w:rPr>
        <w:t>fundamentalmente</w:t>
      </w:r>
      <w:r>
        <w:rPr>
          <w:spacing w:val="-20"/>
          <w:sz w:val="20"/>
        </w:rPr>
        <w:t> </w:t>
      </w:r>
      <w:r>
        <w:rPr>
          <w:sz w:val="20"/>
        </w:rPr>
        <w:t>a</w:t>
      </w:r>
      <w:r>
        <w:rPr>
          <w:spacing w:val="-21"/>
          <w:sz w:val="20"/>
        </w:rPr>
        <w:t> </w:t>
      </w:r>
      <w:r>
        <w:rPr>
          <w:sz w:val="20"/>
        </w:rPr>
        <w:t>la</w:t>
      </w:r>
      <w:r>
        <w:rPr>
          <w:spacing w:val="-16"/>
          <w:sz w:val="20"/>
        </w:rPr>
        <w:t> </w:t>
      </w:r>
      <w:r>
        <w:rPr>
          <w:sz w:val="20"/>
        </w:rPr>
        <w:t>cría</w:t>
      </w:r>
      <w:r>
        <w:rPr>
          <w:spacing w:val="-19"/>
          <w:sz w:val="20"/>
        </w:rPr>
        <w:t> </w:t>
      </w:r>
      <w:r>
        <w:rPr>
          <w:sz w:val="20"/>
        </w:rPr>
        <w:t>de</w:t>
      </w:r>
      <w:r>
        <w:rPr>
          <w:spacing w:val="-20"/>
          <w:sz w:val="20"/>
        </w:rPr>
        <w:t> </w:t>
      </w:r>
      <w:r>
        <w:rPr>
          <w:sz w:val="20"/>
        </w:rPr>
        <w:t>ganado</w:t>
      </w:r>
      <w:r>
        <w:rPr>
          <w:spacing w:val="-20"/>
          <w:sz w:val="20"/>
        </w:rPr>
        <w:t> </w:t>
      </w:r>
      <w:r>
        <w:rPr>
          <w:sz w:val="20"/>
        </w:rPr>
        <w:t>mayor”</w:t>
      </w:r>
      <w:r>
        <w:rPr>
          <w:spacing w:val="-21"/>
          <w:sz w:val="20"/>
        </w:rPr>
        <w:t> </w:t>
      </w:r>
      <w:r>
        <w:rPr>
          <w:sz w:val="20"/>
        </w:rPr>
        <w:t>a</w:t>
      </w:r>
      <w:r>
        <w:rPr>
          <w:spacing w:val="-19"/>
          <w:sz w:val="20"/>
        </w:rPr>
        <w:t> </w:t>
      </w:r>
      <w:r>
        <w:rPr>
          <w:sz w:val="20"/>
        </w:rPr>
        <w:t>“campo</w:t>
      </w:r>
      <w:r>
        <w:rPr>
          <w:spacing w:val="-20"/>
          <w:sz w:val="20"/>
        </w:rPr>
        <w:t> </w:t>
      </w:r>
      <w:r>
        <w:rPr>
          <w:sz w:val="20"/>
        </w:rPr>
        <w:t>abierto” y, “en su mayoría”, sin contratar mano de obra. Varias familias criollas han instalado cercas de</w:t>
      </w:r>
      <w:r>
        <w:rPr>
          <w:spacing w:val="-8"/>
          <w:sz w:val="20"/>
        </w:rPr>
        <w:t> </w:t>
      </w:r>
      <w:r>
        <w:rPr>
          <w:sz w:val="20"/>
        </w:rPr>
        <w:t>alambre</w:t>
      </w:r>
      <w:r>
        <w:rPr>
          <w:rFonts w:ascii="Calibri" w:hAnsi="Calibri"/>
          <w:position w:val="8"/>
          <w:sz w:val="14"/>
        </w:rPr>
        <w:t>36</w:t>
      </w:r>
      <w:r>
        <w:rPr>
          <w:sz w:val="20"/>
        </w:rPr>
        <w:t>.</w:t>
      </w:r>
    </w:p>
    <w:p>
      <w:pPr>
        <w:pStyle w:val="Heading4"/>
        <w:numPr>
          <w:ilvl w:val="1"/>
          <w:numId w:val="17"/>
        </w:numPr>
        <w:tabs>
          <w:tab w:pos="830" w:val="left" w:leader="none"/>
        </w:tabs>
        <w:spacing w:line="240" w:lineRule="auto" w:before="213" w:after="0"/>
        <w:ind w:left="830" w:right="0" w:hanging="435"/>
        <w:jc w:val="left"/>
        <w:rPr>
          <w:i/>
        </w:rPr>
      </w:pPr>
      <w:bookmarkStart w:name="_bookmark20" w:id="31"/>
      <w:bookmarkEnd w:id="31"/>
      <w:r>
        <w:rPr>
          <w:b w:val="0"/>
          <w:i w:val="0"/>
        </w:rPr>
      </w:r>
      <w:bookmarkStart w:name="_bookmark20" w:id="32"/>
      <w:bookmarkEnd w:id="32"/>
      <w:r>
        <w:rPr>
          <w:i/>
          <w:u w:val="thick"/>
        </w:rPr>
        <w:t>Leg</w:t>
      </w:r>
      <w:r>
        <w:rPr>
          <w:i/>
          <w:u w:val="thick"/>
        </w:rPr>
        <w:t>islación general pertinente respecto a tierras</w:t>
      </w:r>
      <w:r>
        <w:rPr>
          <w:i/>
          <w:spacing w:val="-31"/>
          <w:u w:val="thick"/>
        </w:rPr>
        <w:t> </w:t>
      </w:r>
      <w:r>
        <w:rPr>
          <w:i/>
          <w:u w:val="thick"/>
        </w:rPr>
        <w:t>indígenas</w:t>
      </w:r>
    </w:p>
    <w:p>
      <w:pPr>
        <w:pStyle w:val="BodyText"/>
        <w:spacing w:before="11"/>
        <w:rPr>
          <w:b/>
          <w:i/>
          <w:sz w:val="11"/>
        </w:rPr>
      </w:pPr>
    </w:p>
    <w:p>
      <w:pPr>
        <w:pStyle w:val="ListParagraph"/>
        <w:numPr>
          <w:ilvl w:val="0"/>
          <w:numId w:val="14"/>
        </w:numPr>
        <w:tabs>
          <w:tab w:pos="830" w:val="left" w:leader="none"/>
        </w:tabs>
        <w:spacing w:line="240" w:lineRule="auto" w:before="99" w:after="0"/>
        <w:ind w:left="122" w:right="123" w:firstLine="0"/>
        <w:jc w:val="both"/>
        <w:rPr>
          <w:sz w:val="20"/>
        </w:rPr>
      </w:pPr>
      <w:r>
        <w:rPr>
          <w:sz w:val="20"/>
        </w:rPr>
        <w:t>A continuación, antes de describir las incidencias propias del reclamo territorial en el caso, se exponen regulaciones estatales pertinentes en relación con derechos de pueblos indígenas. Considerando que Argentina es un país federal y que los hechos propios del caso tienen relación con comunidades indígenas que habitan la Provincia de Salta,</w:t>
      </w:r>
      <w:r>
        <w:rPr>
          <w:spacing w:val="-16"/>
          <w:sz w:val="20"/>
        </w:rPr>
        <w:t> </w:t>
      </w:r>
      <w:r>
        <w:rPr>
          <w:sz w:val="20"/>
        </w:rPr>
        <w:t>en</w:t>
      </w:r>
      <w:r>
        <w:rPr>
          <w:spacing w:val="-15"/>
          <w:sz w:val="20"/>
        </w:rPr>
        <w:t> </w:t>
      </w:r>
      <w:r>
        <w:rPr>
          <w:sz w:val="20"/>
        </w:rPr>
        <w:t>primer</w:t>
      </w:r>
      <w:r>
        <w:rPr>
          <w:spacing w:val="-17"/>
          <w:sz w:val="20"/>
        </w:rPr>
        <w:t> </w:t>
      </w:r>
      <w:r>
        <w:rPr>
          <w:sz w:val="20"/>
        </w:rPr>
        <w:t>lugar,</w:t>
      </w:r>
      <w:r>
        <w:rPr>
          <w:spacing w:val="-17"/>
          <w:sz w:val="20"/>
        </w:rPr>
        <w:t> </w:t>
      </w:r>
      <w:r>
        <w:rPr>
          <w:sz w:val="20"/>
        </w:rPr>
        <w:t>se</w:t>
      </w:r>
      <w:r>
        <w:rPr>
          <w:spacing w:val="-17"/>
          <w:sz w:val="20"/>
        </w:rPr>
        <w:t> </w:t>
      </w:r>
      <w:r>
        <w:rPr>
          <w:sz w:val="20"/>
        </w:rPr>
        <w:t>hará</w:t>
      </w:r>
      <w:r>
        <w:rPr>
          <w:spacing w:val="-16"/>
          <w:sz w:val="20"/>
        </w:rPr>
        <w:t> </w:t>
      </w:r>
      <w:r>
        <w:rPr>
          <w:sz w:val="20"/>
        </w:rPr>
        <w:t>referencia</w:t>
      </w:r>
      <w:r>
        <w:rPr>
          <w:spacing w:val="-16"/>
          <w:sz w:val="20"/>
        </w:rPr>
        <w:t> </w:t>
      </w:r>
      <w:r>
        <w:rPr>
          <w:sz w:val="20"/>
        </w:rPr>
        <w:t>a</w:t>
      </w:r>
      <w:r>
        <w:rPr>
          <w:spacing w:val="-16"/>
          <w:sz w:val="20"/>
        </w:rPr>
        <w:t> </w:t>
      </w:r>
      <w:r>
        <w:rPr>
          <w:sz w:val="20"/>
        </w:rPr>
        <w:t>la</w:t>
      </w:r>
      <w:r>
        <w:rPr>
          <w:spacing w:val="-16"/>
          <w:sz w:val="20"/>
        </w:rPr>
        <w:t> </w:t>
      </w:r>
      <w:r>
        <w:rPr>
          <w:sz w:val="20"/>
        </w:rPr>
        <w:t>normativa</w:t>
      </w:r>
      <w:r>
        <w:rPr>
          <w:spacing w:val="-16"/>
          <w:sz w:val="20"/>
        </w:rPr>
        <w:t> </w:t>
      </w:r>
      <w:r>
        <w:rPr>
          <w:sz w:val="20"/>
        </w:rPr>
        <w:t>nacional,</w:t>
      </w:r>
      <w:r>
        <w:rPr>
          <w:spacing w:val="-17"/>
          <w:sz w:val="20"/>
        </w:rPr>
        <w:t> </w:t>
      </w:r>
      <w:r>
        <w:rPr>
          <w:sz w:val="20"/>
        </w:rPr>
        <w:t>y</w:t>
      </w:r>
      <w:r>
        <w:rPr>
          <w:spacing w:val="-14"/>
          <w:sz w:val="20"/>
        </w:rPr>
        <w:t> </w:t>
      </w:r>
      <w:r>
        <w:rPr>
          <w:sz w:val="20"/>
        </w:rPr>
        <w:t>en</w:t>
      </w:r>
      <w:r>
        <w:rPr>
          <w:spacing w:val="-15"/>
          <w:sz w:val="20"/>
        </w:rPr>
        <w:t> </w:t>
      </w:r>
      <w:r>
        <w:rPr>
          <w:sz w:val="20"/>
        </w:rPr>
        <w:t>segundo</w:t>
      </w:r>
      <w:r>
        <w:rPr>
          <w:spacing w:val="-17"/>
          <w:sz w:val="20"/>
        </w:rPr>
        <w:t> </w:t>
      </w:r>
      <w:r>
        <w:rPr>
          <w:sz w:val="20"/>
        </w:rPr>
        <w:t>término, a la de</w:t>
      </w:r>
      <w:r>
        <w:rPr>
          <w:spacing w:val="-6"/>
          <w:sz w:val="20"/>
        </w:rPr>
        <w:t> </w:t>
      </w:r>
      <w:r>
        <w:rPr>
          <w:sz w:val="20"/>
        </w:rPr>
        <w:t>Salta.</w:t>
      </w:r>
    </w:p>
    <w:p>
      <w:pPr>
        <w:pStyle w:val="BodyText"/>
      </w:pPr>
    </w:p>
    <w:p>
      <w:pPr>
        <w:pStyle w:val="BodyText"/>
      </w:pPr>
    </w:p>
    <w:p>
      <w:pPr>
        <w:pStyle w:val="BodyText"/>
        <w:spacing w:before="1"/>
        <w:rPr>
          <w:sz w:val="27"/>
        </w:rPr>
      </w:pPr>
      <w:r>
        <w:rPr/>
        <w:pict>
          <v:line style="position:absolute;mso-position-horizontal-relative:page;mso-position-vertical-relative:paragraph;z-index:1456;mso-wrap-distance-left:0;mso-wrap-distance-right:0" from="85.103996pt,18.802036pt" to="229.123996pt,18.802036pt" stroked="true" strokeweight=".72pt" strokecolor="#000000">
            <v:stroke dashstyle="solid"/>
            <w10:wrap type="topAndBottom"/>
          </v:line>
        </w:pict>
      </w:r>
    </w:p>
    <w:p>
      <w:pPr>
        <w:tabs>
          <w:tab w:pos="829" w:val="left" w:leader="none"/>
        </w:tabs>
        <w:spacing w:before="71"/>
        <w:ind w:left="122" w:right="115" w:firstLine="0"/>
        <w:jc w:val="both"/>
        <w:rPr>
          <w:sz w:val="16"/>
        </w:rPr>
      </w:pPr>
      <w:r>
        <w:rPr>
          <w:position w:val="6"/>
          <w:sz w:val="10"/>
        </w:rPr>
        <w:t>33</w:t>
        <w:tab/>
      </w:r>
      <w:r>
        <w:rPr>
          <w:sz w:val="16"/>
        </w:rPr>
        <w:t>En</w:t>
      </w:r>
      <w:r>
        <w:rPr>
          <w:spacing w:val="-14"/>
          <w:sz w:val="16"/>
        </w:rPr>
        <w:t> </w:t>
      </w:r>
      <w:r>
        <w:rPr>
          <w:sz w:val="16"/>
        </w:rPr>
        <w:t>cuanto</w:t>
      </w:r>
      <w:r>
        <w:rPr>
          <w:spacing w:val="-13"/>
          <w:sz w:val="16"/>
        </w:rPr>
        <w:t> </w:t>
      </w:r>
      <w:r>
        <w:rPr>
          <w:sz w:val="16"/>
        </w:rPr>
        <w:t>al</w:t>
      </w:r>
      <w:r>
        <w:rPr>
          <w:spacing w:val="-14"/>
          <w:sz w:val="16"/>
        </w:rPr>
        <w:t> </w:t>
      </w:r>
      <w:r>
        <w:rPr>
          <w:sz w:val="16"/>
        </w:rPr>
        <w:t>carácter</w:t>
      </w:r>
      <w:r>
        <w:rPr>
          <w:spacing w:val="-14"/>
          <w:sz w:val="16"/>
        </w:rPr>
        <w:t> </w:t>
      </w:r>
      <w:r>
        <w:rPr>
          <w:sz w:val="16"/>
        </w:rPr>
        <w:t>nómade,</w:t>
      </w:r>
      <w:r>
        <w:rPr>
          <w:spacing w:val="-16"/>
          <w:sz w:val="16"/>
        </w:rPr>
        <w:t> </w:t>
      </w:r>
      <w:r>
        <w:rPr>
          <w:sz w:val="16"/>
        </w:rPr>
        <w:t>explicó</w:t>
      </w:r>
      <w:r>
        <w:rPr>
          <w:spacing w:val="-15"/>
          <w:sz w:val="16"/>
        </w:rPr>
        <w:t> </w:t>
      </w:r>
      <w:r>
        <w:rPr>
          <w:sz w:val="16"/>
        </w:rPr>
        <w:t>la</w:t>
      </w:r>
      <w:r>
        <w:rPr>
          <w:spacing w:val="-14"/>
          <w:sz w:val="16"/>
        </w:rPr>
        <w:t> </w:t>
      </w:r>
      <w:r>
        <w:rPr>
          <w:sz w:val="16"/>
        </w:rPr>
        <w:t>perita</w:t>
      </w:r>
      <w:r>
        <w:rPr>
          <w:spacing w:val="-14"/>
          <w:sz w:val="16"/>
        </w:rPr>
        <w:t> </w:t>
      </w:r>
      <w:r>
        <w:rPr>
          <w:sz w:val="16"/>
        </w:rPr>
        <w:t>Naharro</w:t>
      </w:r>
      <w:r>
        <w:rPr>
          <w:spacing w:val="-15"/>
          <w:sz w:val="16"/>
        </w:rPr>
        <w:t> </w:t>
      </w:r>
      <w:r>
        <w:rPr>
          <w:sz w:val="16"/>
        </w:rPr>
        <w:t>“[t]radicionalmente</w:t>
      </w:r>
      <w:r>
        <w:rPr>
          <w:spacing w:val="-13"/>
          <w:sz w:val="16"/>
        </w:rPr>
        <w:t> </w:t>
      </w:r>
      <w:r>
        <w:rPr>
          <w:sz w:val="16"/>
        </w:rPr>
        <w:t>estas</w:t>
      </w:r>
      <w:r>
        <w:rPr>
          <w:spacing w:val="-15"/>
          <w:sz w:val="16"/>
        </w:rPr>
        <w:t> </w:t>
      </w:r>
      <w:r>
        <w:rPr>
          <w:sz w:val="16"/>
        </w:rPr>
        <w:t>comunidades</w:t>
      </w:r>
      <w:r>
        <w:rPr>
          <w:spacing w:val="-13"/>
          <w:sz w:val="16"/>
        </w:rPr>
        <w:t> </w:t>
      </w:r>
      <w:r>
        <w:rPr>
          <w:sz w:val="16"/>
        </w:rPr>
        <w:t>tenían</w:t>
      </w:r>
      <w:r>
        <w:rPr>
          <w:w w:val="100"/>
          <w:sz w:val="16"/>
        </w:rPr>
        <w:t> </w:t>
      </w:r>
      <w:r>
        <w:rPr>
          <w:sz w:val="16"/>
        </w:rPr>
        <w:t>recorridos</w:t>
      </w:r>
      <w:r>
        <w:rPr>
          <w:spacing w:val="-5"/>
          <w:sz w:val="16"/>
        </w:rPr>
        <w:t> </w:t>
      </w:r>
      <w:r>
        <w:rPr>
          <w:sz w:val="16"/>
        </w:rPr>
        <w:t>anuales</w:t>
      </w:r>
      <w:r>
        <w:rPr>
          <w:spacing w:val="-4"/>
          <w:sz w:val="16"/>
        </w:rPr>
        <w:t> </w:t>
      </w:r>
      <w:r>
        <w:rPr>
          <w:sz w:val="16"/>
        </w:rPr>
        <w:t>y</w:t>
      </w:r>
      <w:r>
        <w:rPr>
          <w:spacing w:val="-4"/>
          <w:sz w:val="16"/>
        </w:rPr>
        <w:t> </w:t>
      </w:r>
      <w:r>
        <w:rPr>
          <w:sz w:val="16"/>
        </w:rPr>
        <w:t>diarios”.</w:t>
      </w:r>
      <w:r>
        <w:rPr>
          <w:spacing w:val="-8"/>
          <w:sz w:val="16"/>
        </w:rPr>
        <w:t> </w:t>
      </w:r>
      <w:r>
        <w:rPr>
          <w:sz w:val="16"/>
        </w:rPr>
        <w:t>Afirmó</w:t>
      </w:r>
      <w:r>
        <w:rPr>
          <w:spacing w:val="-4"/>
          <w:sz w:val="16"/>
        </w:rPr>
        <w:t> </w:t>
      </w:r>
      <w:r>
        <w:rPr>
          <w:sz w:val="16"/>
        </w:rPr>
        <w:t>que</w:t>
      </w:r>
      <w:r>
        <w:rPr>
          <w:spacing w:val="-7"/>
          <w:sz w:val="16"/>
        </w:rPr>
        <w:t> </w:t>
      </w:r>
      <w:r>
        <w:rPr>
          <w:sz w:val="16"/>
        </w:rPr>
        <w:t>“[l]os</w:t>
      </w:r>
      <w:r>
        <w:rPr>
          <w:spacing w:val="-5"/>
          <w:sz w:val="16"/>
        </w:rPr>
        <w:t> </w:t>
      </w:r>
      <w:r>
        <w:rPr>
          <w:sz w:val="16"/>
        </w:rPr>
        <w:t>recorridos</w:t>
      </w:r>
      <w:r>
        <w:rPr>
          <w:spacing w:val="-5"/>
          <w:sz w:val="16"/>
        </w:rPr>
        <w:t> </w:t>
      </w:r>
      <w:r>
        <w:rPr>
          <w:sz w:val="16"/>
        </w:rPr>
        <w:t>anuales</w:t>
      </w:r>
      <w:r>
        <w:rPr>
          <w:spacing w:val="-2"/>
          <w:sz w:val="16"/>
        </w:rPr>
        <w:t> </w:t>
      </w:r>
      <w:r>
        <w:rPr>
          <w:sz w:val="16"/>
        </w:rPr>
        <w:t>son</w:t>
      </w:r>
      <w:r>
        <w:rPr>
          <w:spacing w:val="-3"/>
          <w:sz w:val="16"/>
        </w:rPr>
        <w:t> </w:t>
      </w:r>
      <w:r>
        <w:rPr>
          <w:sz w:val="16"/>
        </w:rPr>
        <w:t>aquellos</w:t>
      </w:r>
      <w:r>
        <w:rPr>
          <w:spacing w:val="-5"/>
          <w:sz w:val="16"/>
        </w:rPr>
        <w:t> </w:t>
      </w:r>
      <w:r>
        <w:rPr>
          <w:sz w:val="16"/>
        </w:rPr>
        <w:t>que</w:t>
      </w:r>
      <w:r>
        <w:rPr>
          <w:spacing w:val="-5"/>
          <w:sz w:val="16"/>
        </w:rPr>
        <w:t> </w:t>
      </w:r>
      <w:r>
        <w:rPr>
          <w:sz w:val="16"/>
        </w:rPr>
        <w:t>implican</w:t>
      </w:r>
      <w:r>
        <w:rPr>
          <w:spacing w:val="-4"/>
          <w:sz w:val="16"/>
        </w:rPr>
        <w:t> </w:t>
      </w:r>
      <w:r>
        <w:rPr>
          <w:sz w:val="16"/>
        </w:rPr>
        <w:t>una</w:t>
      </w:r>
      <w:r>
        <w:rPr>
          <w:spacing w:val="-3"/>
          <w:sz w:val="16"/>
        </w:rPr>
        <w:t> </w:t>
      </w:r>
      <w:r>
        <w:rPr>
          <w:sz w:val="16"/>
        </w:rPr>
        <w:t>movilización de</w:t>
      </w:r>
      <w:r>
        <w:rPr>
          <w:spacing w:val="-8"/>
          <w:sz w:val="16"/>
        </w:rPr>
        <w:t> </w:t>
      </w:r>
      <w:r>
        <w:rPr>
          <w:sz w:val="16"/>
        </w:rPr>
        <w:t>toda</w:t>
      </w:r>
      <w:r>
        <w:rPr>
          <w:spacing w:val="-11"/>
          <w:sz w:val="16"/>
        </w:rPr>
        <w:t> </w:t>
      </w:r>
      <w:r>
        <w:rPr>
          <w:sz w:val="16"/>
        </w:rPr>
        <w:t>la</w:t>
      </w:r>
      <w:r>
        <w:rPr>
          <w:spacing w:val="-11"/>
          <w:sz w:val="16"/>
        </w:rPr>
        <w:t> </w:t>
      </w:r>
      <w:r>
        <w:rPr>
          <w:sz w:val="16"/>
        </w:rPr>
        <w:t>familia</w:t>
      </w:r>
      <w:r>
        <w:rPr>
          <w:spacing w:val="-9"/>
          <w:sz w:val="16"/>
        </w:rPr>
        <w:t> </w:t>
      </w:r>
      <w:r>
        <w:rPr>
          <w:sz w:val="16"/>
        </w:rPr>
        <w:t>hacia</w:t>
      </w:r>
      <w:r>
        <w:rPr>
          <w:spacing w:val="-10"/>
          <w:sz w:val="16"/>
        </w:rPr>
        <w:t> </w:t>
      </w:r>
      <w:r>
        <w:rPr>
          <w:sz w:val="16"/>
        </w:rPr>
        <w:t>otro</w:t>
      </w:r>
      <w:r>
        <w:rPr>
          <w:spacing w:val="-10"/>
          <w:sz w:val="16"/>
        </w:rPr>
        <w:t> </w:t>
      </w:r>
      <w:r>
        <w:rPr>
          <w:sz w:val="16"/>
        </w:rPr>
        <w:t>sitio</w:t>
      </w:r>
      <w:r>
        <w:rPr>
          <w:spacing w:val="-8"/>
          <w:sz w:val="16"/>
        </w:rPr>
        <w:t> </w:t>
      </w:r>
      <w:r>
        <w:rPr>
          <w:sz w:val="16"/>
        </w:rPr>
        <w:t>de</w:t>
      </w:r>
      <w:r>
        <w:rPr>
          <w:spacing w:val="-11"/>
          <w:sz w:val="16"/>
        </w:rPr>
        <w:t> </w:t>
      </w:r>
      <w:r>
        <w:rPr>
          <w:sz w:val="16"/>
        </w:rPr>
        <w:t>asentamiento</w:t>
      </w:r>
      <w:r>
        <w:rPr>
          <w:spacing w:val="-10"/>
          <w:sz w:val="16"/>
        </w:rPr>
        <w:t> </w:t>
      </w:r>
      <w:r>
        <w:rPr>
          <w:sz w:val="16"/>
        </w:rPr>
        <w:t>desde</w:t>
      </w:r>
      <w:r>
        <w:rPr>
          <w:spacing w:val="-8"/>
          <w:sz w:val="16"/>
        </w:rPr>
        <w:t> </w:t>
      </w:r>
      <w:r>
        <w:rPr>
          <w:sz w:val="16"/>
        </w:rPr>
        <w:t>el</w:t>
      </w:r>
      <w:r>
        <w:rPr>
          <w:spacing w:val="-11"/>
          <w:sz w:val="16"/>
        </w:rPr>
        <w:t> </w:t>
      </w:r>
      <w:r>
        <w:rPr>
          <w:sz w:val="16"/>
        </w:rPr>
        <w:t>cual</w:t>
      </w:r>
      <w:r>
        <w:rPr>
          <w:spacing w:val="-9"/>
          <w:sz w:val="16"/>
        </w:rPr>
        <w:t> </w:t>
      </w:r>
      <w:r>
        <w:rPr>
          <w:sz w:val="16"/>
        </w:rPr>
        <w:t>hacer</w:t>
      </w:r>
      <w:r>
        <w:rPr>
          <w:spacing w:val="-10"/>
          <w:sz w:val="16"/>
        </w:rPr>
        <w:t> </w:t>
      </w:r>
      <w:r>
        <w:rPr>
          <w:sz w:val="16"/>
        </w:rPr>
        <w:t>las</w:t>
      </w:r>
      <w:r>
        <w:rPr>
          <w:spacing w:val="-8"/>
          <w:sz w:val="16"/>
        </w:rPr>
        <w:t> </w:t>
      </w:r>
      <w:r>
        <w:rPr>
          <w:sz w:val="16"/>
        </w:rPr>
        <w:t>incursiones</w:t>
      </w:r>
      <w:r>
        <w:rPr>
          <w:spacing w:val="-10"/>
          <w:sz w:val="16"/>
        </w:rPr>
        <w:t> </w:t>
      </w:r>
      <w:r>
        <w:rPr>
          <w:sz w:val="16"/>
        </w:rPr>
        <w:t>diarias”,</w:t>
      </w:r>
      <w:r>
        <w:rPr>
          <w:spacing w:val="-9"/>
          <w:sz w:val="16"/>
        </w:rPr>
        <w:t> </w:t>
      </w:r>
      <w:r>
        <w:rPr>
          <w:sz w:val="16"/>
        </w:rPr>
        <w:t>lo</w:t>
      </w:r>
      <w:r>
        <w:rPr>
          <w:spacing w:val="-10"/>
          <w:sz w:val="16"/>
        </w:rPr>
        <w:t> </w:t>
      </w:r>
      <w:r>
        <w:rPr>
          <w:sz w:val="16"/>
        </w:rPr>
        <w:t>que</w:t>
      </w:r>
      <w:r>
        <w:rPr>
          <w:spacing w:val="-11"/>
          <w:sz w:val="16"/>
        </w:rPr>
        <w:t> </w:t>
      </w:r>
      <w:r>
        <w:rPr>
          <w:sz w:val="16"/>
        </w:rPr>
        <w:t>es</w:t>
      </w:r>
      <w:r>
        <w:rPr>
          <w:spacing w:val="-8"/>
          <w:sz w:val="16"/>
        </w:rPr>
        <w:t> </w:t>
      </w:r>
      <w:r>
        <w:rPr>
          <w:sz w:val="16"/>
        </w:rPr>
        <w:t>menos “vigen[te]” en la actualidad “por el proceso de sedentarización relacionado a los servicios de agua, escuela, etc.”.El escrito de </w:t>
      </w:r>
      <w:r>
        <w:rPr>
          <w:i/>
          <w:sz w:val="16"/>
        </w:rPr>
        <w:t>amicus curiae </w:t>
      </w:r>
      <w:r>
        <w:rPr>
          <w:sz w:val="16"/>
        </w:rPr>
        <w:t>remitido por Tierraviva, afirma que los “colectivos humanos” de los pueblos indígenas</w:t>
      </w:r>
      <w:r>
        <w:rPr>
          <w:spacing w:val="-8"/>
          <w:sz w:val="16"/>
        </w:rPr>
        <w:t> </w:t>
      </w:r>
      <w:r>
        <w:rPr>
          <w:sz w:val="16"/>
        </w:rPr>
        <w:t>del</w:t>
      </w:r>
      <w:r>
        <w:rPr>
          <w:spacing w:val="-8"/>
          <w:sz w:val="16"/>
        </w:rPr>
        <w:t> </w:t>
      </w:r>
      <w:r>
        <w:rPr>
          <w:sz w:val="16"/>
        </w:rPr>
        <w:t>caso</w:t>
      </w:r>
      <w:r>
        <w:rPr>
          <w:spacing w:val="-8"/>
          <w:sz w:val="16"/>
        </w:rPr>
        <w:t> </w:t>
      </w:r>
      <w:r>
        <w:rPr>
          <w:sz w:val="16"/>
        </w:rPr>
        <w:t>“están</w:t>
      </w:r>
      <w:r>
        <w:rPr>
          <w:spacing w:val="-8"/>
          <w:sz w:val="16"/>
        </w:rPr>
        <w:t> </w:t>
      </w:r>
      <w:r>
        <w:rPr>
          <w:sz w:val="16"/>
        </w:rPr>
        <w:t>en</w:t>
      </w:r>
      <w:r>
        <w:rPr>
          <w:spacing w:val="-8"/>
          <w:sz w:val="16"/>
        </w:rPr>
        <w:t> </w:t>
      </w:r>
      <w:r>
        <w:rPr>
          <w:sz w:val="16"/>
        </w:rPr>
        <w:t>permanente</w:t>
      </w:r>
      <w:r>
        <w:rPr>
          <w:spacing w:val="-8"/>
          <w:sz w:val="16"/>
        </w:rPr>
        <w:t> </w:t>
      </w:r>
      <w:r>
        <w:rPr>
          <w:sz w:val="16"/>
        </w:rPr>
        <w:t>creación,</w:t>
      </w:r>
      <w:r>
        <w:rPr>
          <w:spacing w:val="-8"/>
          <w:sz w:val="16"/>
        </w:rPr>
        <w:t> </w:t>
      </w:r>
      <w:r>
        <w:rPr>
          <w:sz w:val="16"/>
        </w:rPr>
        <w:t>reproducción</w:t>
      </w:r>
      <w:r>
        <w:rPr>
          <w:spacing w:val="-8"/>
          <w:sz w:val="16"/>
        </w:rPr>
        <w:t> </w:t>
      </w:r>
      <w:r>
        <w:rPr>
          <w:sz w:val="16"/>
        </w:rPr>
        <w:t>y</w:t>
      </w:r>
      <w:r>
        <w:rPr>
          <w:spacing w:val="-8"/>
          <w:sz w:val="16"/>
        </w:rPr>
        <w:t> </w:t>
      </w:r>
      <w:r>
        <w:rPr>
          <w:sz w:val="16"/>
        </w:rPr>
        <w:t>transformación”,</w:t>
      </w:r>
      <w:r>
        <w:rPr>
          <w:spacing w:val="-8"/>
          <w:sz w:val="16"/>
        </w:rPr>
        <w:t> </w:t>
      </w:r>
      <w:r>
        <w:rPr>
          <w:sz w:val="16"/>
        </w:rPr>
        <w:t>y</w:t>
      </w:r>
      <w:r>
        <w:rPr>
          <w:spacing w:val="-9"/>
          <w:sz w:val="16"/>
        </w:rPr>
        <w:t> </w:t>
      </w:r>
      <w:r>
        <w:rPr>
          <w:sz w:val="16"/>
        </w:rPr>
        <w:t>que</w:t>
      </w:r>
      <w:r>
        <w:rPr>
          <w:spacing w:val="-8"/>
          <w:sz w:val="16"/>
        </w:rPr>
        <w:t> </w:t>
      </w:r>
      <w:r>
        <w:rPr>
          <w:sz w:val="16"/>
        </w:rPr>
        <w:t>incluyen</w:t>
      </w:r>
      <w:r>
        <w:rPr>
          <w:spacing w:val="-7"/>
          <w:sz w:val="16"/>
        </w:rPr>
        <w:t> </w:t>
      </w:r>
      <w:r>
        <w:rPr>
          <w:sz w:val="16"/>
        </w:rPr>
        <w:t>“formas</w:t>
      </w:r>
      <w:r>
        <w:rPr>
          <w:spacing w:val="-10"/>
          <w:sz w:val="16"/>
        </w:rPr>
        <w:t> </w:t>
      </w:r>
      <w:r>
        <w:rPr>
          <w:sz w:val="16"/>
        </w:rPr>
        <w:t>de organización</w:t>
      </w:r>
      <w:r>
        <w:rPr>
          <w:spacing w:val="-11"/>
          <w:sz w:val="16"/>
        </w:rPr>
        <w:t> </w:t>
      </w:r>
      <w:r>
        <w:rPr>
          <w:sz w:val="16"/>
        </w:rPr>
        <w:t>familiares,</w:t>
      </w:r>
      <w:r>
        <w:rPr>
          <w:spacing w:val="-11"/>
          <w:sz w:val="16"/>
        </w:rPr>
        <w:t> </w:t>
      </w:r>
      <w:r>
        <w:rPr>
          <w:sz w:val="16"/>
        </w:rPr>
        <w:t>comunitarias</w:t>
      </w:r>
      <w:r>
        <w:rPr>
          <w:spacing w:val="-8"/>
          <w:sz w:val="16"/>
        </w:rPr>
        <w:t> </w:t>
      </w:r>
      <w:r>
        <w:rPr>
          <w:sz w:val="16"/>
        </w:rPr>
        <w:t>y</w:t>
      </w:r>
      <w:r>
        <w:rPr>
          <w:spacing w:val="-12"/>
          <w:sz w:val="16"/>
        </w:rPr>
        <w:t> </w:t>
      </w:r>
      <w:r>
        <w:rPr>
          <w:sz w:val="16"/>
        </w:rPr>
        <w:t>por</w:t>
      </w:r>
      <w:r>
        <w:rPr>
          <w:spacing w:val="-10"/>
          <w:sz w:val="16"/>
        </w:rPr>
        <w:t> </w:t>
      </w:r>
      <w:r>
        <w:rPr>
          <w:sz w:val="16"/>
        </w:rPr>
        <w:t>pueblos</w:t>
      </w:r>
      <w:r>
        <w:rPr>
          <w:spacing w:val="-11"/>
          <w:sz w:val="16"/>
        </w:rPr>
        <w:t> </w:t>
      </w:r>
      <w:r>
        <w:rPr>
          <w:sz w:val="16"/>
        </w:rPr>
        <w:t>homogéneos”</w:t>
      </w:r>
      <w:r>
        <w:rPr>
          <w:spacing w:val="-12"/>
          <w:sz w:val="16"/>
        </w:rPr>
        <w:t> </w:t>
      </w:r>
      <w:r>
        <w:rPr>
          <w:sz w:val="16"/>
        </w:rPr>
        <w:t>y,</w:t>
      </w:r>
      <w:r>
        <w:rPr>
          <w:spacing w:val="-12"/>
          <w:sz w:val="16"/>
        </w:rPr>
        <w:t> </w:t>
      </w:r>
      <w:r>
        <w:rPr>
          <w:sz w:val="16"/>
        </w:rPr>
        <w:t>“además</w:t>
      </w:r>
      <w:r>
        <w:rPr>
          <w:spacing w:val="-11"/>
          <w:sz w:val="16"/>
        </w:rPr>
        <w:t> </w:t>
      </w:r>
      <w:r>
        <w:rPr>
          <w:sz w:val="16"/>
        </w:rPr>
        <w:t>[…]</w:t>
      </w:r>
      <w:r>
        <w:rPr>
          <w:spacing w:val="-14"/>
          <w:sz w:val="16"/>
        </w:rPr>
        <w:t> </w:t>
      </w:r>
      <w:r>
        <w:rPr>
          <w:sz w:val="16"/>
        </w:rPr>
        <w:t>redes</w:t>
      </w:r>
      <w:r>
        <w:rPr>
          <w:spacing w:val="-13"/>
          <w:sz w:val="16"/>
        </w:rPr>
        <w:t> </w:t>
      </w:r>
      <w:r>
        <w:rPr>
          <w:sz w:val="16"/>
        </w:rPr>
        <w:t>de</w:t>
      </w:r>
      <w:r>
        <w:rPr>
          <w:spacing w:val="-11"/>
          <w:sz w:val="16"/>
        </w:rPr>
        <w:t> </w:t>
      </w:r>
      <w:r>
        <w:rPr>
          <w:sz w:val="16"/>
        </w:rPr>
        <w:t>alianzas</w:t>
      </w:r>
      <w:r>
        <w:rPr>
          <w:spacing w:val="-10"/>
          <w:sz w:val="16"/>
        </w:rPr>
        <w:t> </w:t>
      </w:r>
      <w:r>
        <w:rPr>
          <w:sz w:val="16"/>
        </w:rPr>
        <w:t>parentales e intergrupales, y aún interétnicas”. El mismo documento explica que “lo que acompaña a un crecimiento demográfico es un crecimiento de poblamientos y aldeas, más permanentes o más transitorias, lo cual hace absurdo su reducción a comunidades individualmente separadas y demarcadas por límites</w:t>
      </w:r>
      <w:r>
        <w:rPr>
          <w:spacing w:val="-27"/>
          <w:sz w:val="16"/>
        </w:rPr>
        <w:t> </w:t>
      </w:r>
      <w:r>
        <w:rPr>
          <w:sz w:val="16"/>
        </w:rPr>
        <w:t>fijos”.</w:t>
      </w:r>
    </w:p>
    <w:p>
      <w:pPr>
        <w:pStyle w:val="BodyText"/>
        <w:rPr>
          <w:sz w:val="16"/>
        </w:rPr>
      </w:pPr>
    </w:p>
    <w:p>
      <w:pPr>
        <w:tabs>
          <w:tab w:pos="829" w:val="left" w:leader="none"/>
        </w:tabs>
        <w:spacing w:before="0"/>
        <w:ind w:left="122" w:right="0" w:firstLine="0"/>
        <w:jc w:val="both"/>
        <w:rPr>
          <w:sz w:val="16"/>
        </w:rPr>
      </w:pPr>
      <w:r>
        <w:rPr>
          <w:position w:val="6"/>
          <w:sz w:val="10"/>
        </w:rPr>
        <w:t>34</w:t>
        <w:tab/>
      </w:r>
      <w:r>
        <w:rPr>
          <w:sz w:val="16"/>
        </w:rPr>
        <w:t>La</w:t>
      </w:r>
      <w:r>
        <w:rPr>
          <w:spacing w:val="15"/>
          <w:sz w:val="16"/>
        </w:rPr>
        <w:t> </w:t>
      </w:r>
      <w:r>
        <w:rPr>
          <w:sz w:val="16"/>
        </w:rPr>
        <w:t>perita</w:t>
      </w:r>
      <w:r>
        <w:rPr>
          <w:spacing w:val="13"/>
          <w:sz w:val="16"/>
        </w:rPr>
        <w:t> </w:t>
      </w:r>
      <w:r>
        <w:rPr>
          <w:sz w:val="16"/>
        </w:rPr>
        <w:t>Buliubasich</w:t>
      </w:r>
      <w:r>
        <w:rPr>
          <w:spacing w:val="14"/>
          <w:sz w:val="16"/>
        </w:rPr>
        <w:t> </w:t>
      </w:r>
      <w:r>
        <w:rPr>
          <w:sz w:val="16"/>
        </w:rPr>
        <w:t>describió</w:t>
      </w:r>
      <w:r>
        <w:rPr>
          <w:spacing w:val="16"/>
          <w:sz w:val="16"/>
        </w:rPr>
        <w:t> </w:t>
      </w:r>
      <w:r>
        <w:rPr>
          <w:sz w:val="16"/>
        </w:rPr>
        <w:t>un</w:t>
      </w:r>
      <w:r>
        <w:rPr>
          <w:spacing w:val="15"/>
          <w:sz w:val="16"/>
        </w:rPr>
        <w:t> </w:t>
      </w:r>
      <w:r>
        <w:rPr>
          <w:sz w:val="16"/>
        </w:rPr>
        <w:t>proceso</w:t>
      </w:r>
      <w:r>
        <w:rPr>
          <w:spacing w:val="14"/>
          <w:sz w:val="16"/>
        </w:rPr>
        <w:t> </w:t>
      </w:r>
      <w:r>
        <w:rPr>
          <w:sz w:val="16"/>
        </w:rPr>
        <w:t>de</w:t>
      </w:r>
      <w:r>
        <w:rPr>
          <w:spacing w:val="13"/>
          <w:sz w:val="16"/>
        </w:rPr>
        <w:t> </w:t>
      </w:r>
      <w:r>
        <w:rPr>
          <w:sz w:val="16"/>
        </w:rPr>
        <w:t>“ocupación”</w:t>
      </w:r>
      <w:r>
        <w:rPr>
          <w:spacing w:val="12"/>
          <w:sz w:val="16"/>
        </w:rPr>
        <w:t> </w:t>
      </w:r>
      <w:r>
        <w:rPr>
          <w:sz w:val="16"/>
        </w:rPr>
        <w:t>de</w:t>
      </w:r>
      <w:r>
        <w:rPr>
          <w:spacing w:val="16"/>
          <w:sz w:val="16"/>
        </w:rPr>
        <w:t> </w:t>
      </w:r>
      <w:r>
        <w:rPr>
          <w:sz w:val="16"/>
        </w:rPr>
        <w:t>la</w:t>
      </w:r>
      <w:r>
        <w:rPr>
          <w:spacing w:val="13"/>
          <w:sz w:val="16"/>
        </w:rPr>
        <w:t> </w:t>
      </w:r>
      <w:r>
        <w:rPr>
          <w:sz w:val="16"/>
        </w:rPr>
        <w:t>región</w:t>
      </w:r>
      <w:r>
        <w:rPr>
          <w:spacing w:val="15"/>
          <w:sz w:val="16"/>
        </w:rPr>
        <w:t> </w:t>
      </w:r>
      <w:r>
        <w:rPr>
          <w:sz w:val="16"/>
        </w:rPr>
        <w:t>del</w:t>
      </w:r>
      <w:r>
        <w:rPr>
          <w:spacing w:val="15"/>
          <w:sz w:val="16"/>
        </w:rPr>
        <w:t> </w:t>
      </w:r>
      <w:r>
        <w:rPr>
          <w:sz w:val="16"/>
        </w:rPr>
        <w:t>Chaco</w:t>
      </w:r>
      <w:r>
        <w:rPr>
          <w:spacing w:val="16"/>
          <w:sz w:val="16"/>
        </w:rPr>
        <w:t> </w:t>
      </w:r>
      <w:r>
        <w:rPr>
          <w:sz w:val="16"/>
        </w:rPr>
        <w:t>que</w:t>
      </w:r>
      <w:r>
        <w:rPr>
          <w:spacing w:val="16"/>
          <w:sz w:val="16"/>
        </w:rPr>
        <w:t> </w:t>
      </w:r>
      <w:r>
        <w:rPr>
          <w:sz w:val="16"/>
        </w:rPr>
        <w:t>se</w:t>
      </w:r>
      <w:r>
        <w:rPr>
          <w:spacing w:val="16"/>
          <w:sz w:val="16"/>
        </w:rPr>
        <w:t> </w:t>
      </w:r>
      <w:r>
        <w:rPr>
          <w:sz w:val="16"/>
        </w:rPr>
        <w:t>dio</w:t>
      </w:r>
      <w:r>
        <w:rPr>
          <w:spacing w:val="14"/>
          <w:sz w:val="16"/>
        </w:rPr>
        <w:t> </w:t>
      </w:r>
      <w:r>
        <w:rPr>
          <w:sz w:val="16"/>
        </w:rPr>
        <w:t>entre</w:t>
      </w:r>
    </w:p>
    <w:p>
      <w:pPr>
        <w:spacing w:before="0"/>
        <w:ind w:left="122" w:right="0" w:firstLine="0"/>
        <w:jc w:val="both"/>
        <w:rPr>
          <w:sz w:val="16"/>
        </w:rPr>
      </w:pPr>
      <w:r>
        <w:rPr>
          <w:sz w:val="16"/>
        </w:rPr>
        <w:t>1884 y 1917, destacando la fundación de Colonia de Buenaventura en 1902.</w:t>
      </w:r>
    </w:p>
    <w:p>
      <w:pPr>
        <w:pStyle w:val="BodyText"/>
        <w:spacing w:before="12"/>
        <w:rPr>
          <w:sz w:val="15"/>
        </w:rPr>
      </w:pPr>
    </w:p>
    <w:p>
      <w:pPr>
        <w:tabs>
          <w:tab w:pos="829" w:val="left" w:leader="none"/>
        </w:tabs>
        <w:spacing w:before="0"/>
        <w:ind w:left="122" w:right="118" w:firstLine="0"/>
        <w:jc w:val="both"/>
        <w:rPr>
          <w:sz w:val="16"/>
        </w:rPr>
      </w:pPr>
      <w:r>
        <w:rPr>
          <w:position w:val="6"/>
          <w:sz w:val="10"/>
        </w:rPr>
        <w:t>35</w:t>
        <w:tab/>
      </w:r>
      <w:r>
        <w:rPr>
          <w:i/>
          <w:sz w:val="16"/>
        </w:rPr>
        <w:t>Cfr.</w:t>
      </w:r>
      <w:r>
        <w:rPr>
          <w:i/>
          <w:spacing w:val="18"/>
          <w:sz w:val="16"/>
        </w:rPr>
        <w:t> </w:t>
      </w:r>
      <w:r>
        <w:rPr>
          <w:sz w:val="16"/>
        </w:rPr>
        <w:t>“Antecedentes</w:t>
      </w:r>
      <w:r>
        <w:rPr>
          <w:spacing w:val="16"/>
          <w:sz w:val="16"/>
        </w:rPr>
        <w:t> </w:t>
      </w:r>
      <w:r>
        <w:rPr>
          <w:sz w:val="16"/>
        </w:rPr>
        <w:t>relativos</w:t>
      </w:r>
      <w:r>
        <w:rPr>
          <w:spacing w:val="16"/>
          <w:sz w:val="16"/>
        </w:rPr>
        <w:t> </w:t>
      </w:r>
      <w:r>
        <w:rPr>
          <w:sz w:val="16"/>
        </w:rPr>
        <w:t>a</w:t>
      </w:r>
      <w:r>
        <w:rPr>
          <w:spacing w:val="17"/>
          <w:sz w:val="16"/>
        </w:rPr>
        <w:t> </w:t>
      </w:r>
      <w:r>
        <w:rPr>
          <w:sz w:val="16"/>
        </w:rPr>
        <w:t>las</w:t>
      </w:r>
      <w:r>
        <w:rPr>
          <w:spacing w:val="18"/>
          <w:sz w:val="16"/>
        </w:rPr>
        <w:t> </w:t>
      </w:r>
      <w:r>
        <w:rPr>
          <w:sz w:val="16"/>
        </w:rPr>
        <w:t>tierras</w:t>
      </w:r>
      <w:r>
        <w:rPr>
          <w:spacing w:val="16"/>
          <w:sz w:val="16"/>
        </w:rPr>
        <w:t> </w:t>
      </w:r>
      <w:r>
        <w:rPr>
          <w:sz w:val="16"/>
        </w:rPr>
        <w:t>públicas</w:t>
      </w:r>
      <w:r>
        <w:rPr>
          <w:spacing w:val="15"/>
          <w:sz w:val="16"/>
        </w:rPr>
        <w:t> </w:t>
      </w:r>
      <w:r>
        <w:rPr>
          <w:sz w:val="16"/>
        </w:rPr>
        <w:t>del</w:t>
      </w:r>
      <w:r>
        <w:rPr>
          <w:spacing w:val="17"/>
          <w:sz w:val="16"/>
        </w:rPr>
        <w:t> </w:t>
      </w:r>
      <w:r>
        <w:rPr>
          <w:sz w:val="16"/>
        </w:rPr>
        <w:t>Lote</w:t>
      </w:r>
      <w:r>
        <w:rPr>
          <w:spacing w:val="16"/>
          <w:sz w:val="16"/>
        </w:rPr>
        <w:t> </w:t>
      </w:r>
      <w:r>
        <w:rPr>
          <w:sz w:val="16"/>
        </w:rPr>
        <w:t>Fiscal</w:t>
      </w:r>
      <w:r>
        <w:rPr>
          <w:spacing w:val="15"/>
          <w:sz w:val="16"/>
        </w:rPr>
        <w:t> </w:t>
      </w:r>
      <w:r>
        <w:rPr>
          <w:sz w:val="16"/>
        </w:rPr>
        <w:t>55.</w:t>
      </w:r>
      <w:r>
        <w:rPr>
          <w:spacing w:val="17"/>
          <w:sz w:val="16"/>
        </w:rPr>
        <w:t> </w:t>
      </w:r>
      <w:r>
        <w:rPr>
          <w:sz w:val="16"/>
        </w:rPr>
        <w:t>Área</w:t>
      </w:r>
      <w:r>
        <w:rPr>
          <w:spacing w:val="15"/>
          <w:sz w:val="16"/>
        </w:rPr>
        <w:t> </w:t>
      </w:r>
      <w:r>
        <w:rPr>
          <w:sz w:val="16"/>
        </w:rPr>
        <w:t>Pilcomayo.</w:t>
      </w:r>
      <w:r>
        <w:rPr>
          <w:spacing w:val="17"/>
          <w:sz w:val="16"/>
        </w:rPr>
        <w:t> </w:t>
      </w:r>
      <w:r>
        <w:rPr>
          <w:sz w:val="16"/>
        </w:rPr>
        <w:t>Provincia</w:t>
      </w:r>
      <w:r>
        <w:rPr>
          <w:spacing w:val="17"/>
          <w:sz w:val="16"/>
        </w:rPr>
        <w:t> </w:t>
      </w:r>
      <w:r>
        <w:rPr>
          <w:sz w:val="16"/>
        </w:rPr>
        <w:t>de</w:t>
      </w:r>
      <w:r>
        <w:rPr>
          <w:w w:val="100"/>
          <w:sz w:val="16"/>
        </w:rPr>
        <w:t> </w:t>
      </w:r>
      <w:r>
        <w:rPr>
          <w:sz w:val="16"/>
        </w:rPr>
        <w:t>Salta”.</w:t>
      </w:r>
    </w:p>
    <w:p>
      <w:pPr>
        <w:pStyle w:val="BodyText"/>
        <w:spacing w:before="11"/>
        <w:rPr>
          <w:sz w:val="15"/>
        </w:rPr>
      </w:pPr>
    </w:p>
    <w:p>
      <w:pPr>
        <w:tabs>
          <w:tab w:pos="829" w:val="left" w:leader="none"/>
        </w:tabs>
        <w:spacing w:line="240" w:lineRule="auto" w:before="1"/>
        <w:ind w:left="122" w:right="116" w:firstLine="0"/>
        <w:jc w:val="both"/>
        <w:rPr>
          <w:sz w:val="16"/>
        </w:rPr>
      </w:pPr>
      <w:r>
        <w:rPr>
          <w:position w:val="6"/>
          <w:sz w:val="10"/>
        </w:rPr>
        <w:t>36</w:t>
        <w:tab/>
      </w:r>
      <w:r>
        <w:rPr>
          <w:sz w:val="16"/>
        </w:rPr>
        <w:t>Durante la diligencia </w:t>
      </w:r>
      <w:r>
        <w:rPr>
          <w:i/>
          <w:sz w:val="16"/>
        </w:rPr>
        <w:t>in situ </w:t>
      </w:r>
      <w:r>
        <w:rPr>
          <w:sz w:val="16"/>
        </w:rPr>
        <w:t>fueron observados alambrados. La presencia de los cercados, </w:t>
      </w:r>
      <w:r>
        <w:rPr>
          <w:spacing w:val="48"/>
          <w:sz w:val="16"/>
        </w:rPr>
        <w:t> </w:t>
      </w:r>
      <w:r>
        <w:rPr>
          <w:sz w:val="16"/>
        </w:rPr>
        <w:t>así</w:t>
      </w:r>
      <w:r>
        <w:rPr>
          <w:spacing w:val="8"/>
          <w:sz w:val="16"/>
        </w:rPr>
        <w:t> </w:t>
      </w:r>
      <w:r>
        <w:rPr>
          <w:sz w:val="16"/>
        </w:rPr>
        <w:t>como</w:t>
      </w:r>
      <w:r>
        <w:rPr>
          <w:w w:val="100"/>
          <w:sz w:val="16"/>
        </w:rPr>
        <w:t> </w:t>
      </w:r>
      <w:r>
        <w:rPr>
          <w:sz w:val="16"/>
        </w:rPr>
        <w:t>que “se encuentran en territorio indígena” y que hay alambrados que pertenecen a “familias criollas”, fue indicada</w:t>
      </w:r>
      <w:r>
        <w:rPr>
          <w:spacing w:val="-3"/>
          <w:sz w:val="16"/>
        </w:rPr>
        <w:t> </w:t>
      </w:r>
      <w:r>
        <w:rPr>
          <w:sz w:val="16"/>
        </w:rPr>
        <w:t>por</w:t>
      </w:r>
      <w:r>
        <w:rPr>
          <w:spacing w:val="-4"/>
          <w:sz w:val="16"/>
        </w:rPr>
        <w:t> </w:t>
      </w:r>
      <w:r>
        <w:rPr>
          <w:sz w:val="16"/>
        </w:rPr>
        <w:t>el</w:t>
      </w:r>
      <w:r>
        <w:rPr>
          <w:spacing w:val="-5"/>
          <w:sz w:val="16"/>
        </w:rPr>
        <w:t> </w:t>
      </w:r>
      <w:r>
        <w:rPr>
          <w:sz w:val="16"/>
        </w:rPr>
        <w:t>Estado</w:t>
      </w:r>
      <w:r>
        <w:rPr>
          <w:spacing w:val="-4"/>
          <w:sz w:val="16"/>
        </w:rPr>
        <w:t> </w:t>
      </w:r>
      <w:r>
        <w:rPr>
          <w:sz w:val="16"/>
        </w:rPr>
        <w:t>en</w:t>
      </w:r>
      <w:r>
        <w:rPr>
          <w:spacing w:val="-6"/>
          <w:sz w:val="16"/>
        </w:rPr>
        <w:t> </w:t>
      </w:r>
      <w:r>
        <w:rPr>
          <w:sz w:val="16"/>
        </w:rPr>
        <w:t>su</w:t>
      </w:r>
      <w:r>
        <w:rPr>
          <w:spacing w:val="-6"/>
          <w:sz w:val="16"/>
        </w:rPr>
        <w:t> </w:t>
      </w:r>
      <w:r>
        <w:rPr>
          <w:sz w:val="16"/>
        </w:rPr>
        <w:t>contestación.</w:t>
      </w:r>
      <w:r>
        <w:rPr>
          <w:spacing w:val="-4"/>
          <w:sz w:val="16"/>
        </w:rPr>
        <w:t> </w:t>
      </w:r>
      <w:r>
        <w:rPr>
          <w:sz w:val="16"/>
        </w:rPr>
        <w:t>Ver</w:t>
      </w:r>
      <w:r>
        <w:rPr>
          <w:spacing w:val="-4"/>
          <w:sz w:val="16"/>
        </w:rPr>
        <w:t> </w:t>
      </w:r>
      <w:r>
        <w:rPr>
          <w:sz w:val="16"/>
        </w:rPr>
        <w:t>también</w:t>
      </w:r>
      <w:r>
        <w:rPr>
          <w:spacing w:val="-6"/>
          <w:sz w:val="16"/>
        </w:rPr>
        <w:t> </w:t>
      </w:r>
      <w:r>
        <w:rPr>
          <w:sz w:val="16"/>
        </w:rPr>
        <w:t>Carrasco,</w:t>
      </w:r>
      <w:r>
        <w:rPr>
          <w:spacing w:val="-6"/>
          <w:sz w:val="16"/>
        </w:rPr>
        <w:t> </w:t>
      </w:r>
      <w:r>
        <w:rPr>
          <w:sz w:val="16"/>
        </w:rPr>
        <w:t>Morita</w:t>
      </w:r>
      <w:r>
        <w:rPr>
          <w:spacing w:val="-6"/>
          <w:sz w:val="16"/>
        </w:rPr>
        <w:t> </w:t>
      </w:r>
      <w:r>
        <w:rPr>
          <w:sz w:val="16"/>
        </w:rPr>
        <w:t>y</w:t>
      </w:r>
      <w:r>
        <w:rPr>
          <w:spacing w:val="-4"/>
          <w:sz w:val="16"/>
        </w:rPr>
        <w:t> </w:t>
      </w:r>
      <w:r>
        <w:rPr>
          <w:sz w:val="16"/>
        </w:rPr>
        <w:t>Briones,</w:t>
      </w:r>
      <w:r>
        <w:rPr>
          <w:spacing w:val="-5"/>
          <w:sz w:val="16"/>
        </w:rPr>
        <w:t> </w:t>
      </w:r>
      <w:r>
        <w:rPr>
          <w:sz w:val="16"/>
        </w:rPr>
        <w:t>Claudia,</w:t>
      </w:r>
      <w:r>
        <w:rPr>
          <w:spacing w:val="-4"/>
          <w:sz w:val="16"/>
        </w:rPr>
        <w:t> </w:t>
      </w:r>
      <w:r>
        <w:rPr>
          <w:sz w:val="16"/>
        </w:rPr>
        <w:t>“La</w:t>
      </w:r>
      <w:r>
        <w:rPr>
          <w:spacing w:val="-3"/>
          <w:sz w:val="16"/>
        </w:rPr>
        <w:t> </w:t>
      </w:r>
      <w:r>
        <w:rPr>
          <w:sz w:val="16"/>
        </w:rPr>
        <w:t>tierra</w:t>
      </w:r>
      <w:r>
        <w:rPr>
          <w:spacing w:val="-6"/>
          <w:sz w:val="16"/>
        </w:rPr>
        <w:t> </w:t>
      </w:r>
      <w:r>
        <w:rPr>
          <w:sz w:val="16"/>
        </w:rPr>
        <w:t>que</w:t>
      </w:r>
      <w:r>
        <w:rPr>
          <w:spacing w:val="-5"/>
          <w:sz w:val="16"/>
        </w:rPr>
        <w:t> </w:t>
      </w:r>
      <w:r>
        <w:rPr>
          <w:sz w:val="16"/>
        </w:rPr>
        <w:t>nos quitaron” Documento IWGIA No. 18. Expediente de prueba, anexo A.5 al escrito de solicitudes y argumentos y anexo 7 al Informe de Fondo, fs. 103 a 115 y 29.676 a</w:t>
      </w:r>
      <w:r>
        <w:rPr>
          <w:spacing w:val="-20"/>
          <w:sz w:val="16"/>
        </w:rPr>
        <w:t> </w:t>
      </w:r>
      <w:r>
        <w:rPr>
          <w:sz w:val="16"/>
        </w:rPr>
        <w:t>29.704.</w:t>
      </w:r>
    </w:p>
    <w:p>
      <w:pPr>
        <w:spacing w:after="0" w:line="240" w:lineRule="auto"/>
        <w:jc w:val="both"/>
        <w:rPr>
          <w:sz w:val="16"/>
        </w:rPr>
        <w:sectPr>
          <w:footerReference w:type="default" r:id="rId13"/>
          <w:pgSz w:w="12240" w:h="15840"/>
          <w:pgMar w:footer="1000" w:header="0" w:top="1340" w:bottom="1200" w:left="1580" w:right="1580"/>
          <w:pgNumType w:start="21"/>
        </w:sectPr>
      </w:pPr>
    </w:p>
    <w:p>
      <w:pPr>
        <w:pStyle w:val="ListParagraph"/>
        <w:numPr>
          <w:ilvl w:val="0"/>
          <w:numId w:val="14"/>
        </w:numPr>
        <w:tabs>
          <w:tab w:pos="829" w:val="left" w:leader="none"/>
          <w:tab w:pos="830" w:val="left" w:leader="none"/>
        </w:tabs>
        <w:spacing w:line="242" w:lineRule="auto" w:before="76" w:after="0"/>
        <w:ind w:left="122" w:right="116" w:firstLine="0"/>
        <w:jc w:val="left"/>
        <w:rPr>
          <w:sz w:val="20"/>
        </w:rPr>
      </w:pPr>
      <w:r>
        <w:rPr>
          <w:sz w:val="20"/>
        </w:rPr>
        <w:t>La Corte advierte que a nivel nacional existen las siguientes disposiciones normativas</w:t>
      </w:r>
      <w:r>
        <w:rPr>
          <w:spacing w:val="-10"/>
          <w:sz w:val="20"/>
        </w:rPr>
        <w:t> </w:t>
      </w:r>
      <w:r>
        <w:rPr>
          <w:sz w:val="20"/>
        </w:rPr>
        <w:t>relevantes:</w:t>
      </w:r>
    </w:p>
    <w:p>
      <w:pPr>
        <w:pStyle w:val="BodyText"/>
        <w:ind w:left="263" w:right="116"/>
        <w:jc w:val="both"/>
      </w:pPr>
      <w:r>
        <w:rPr/>
        <w:t>a.-</w:t>
      </w:r>
      <w:r>
        <w:rPr>
          <w:i/>
        </w:rPr>
        <w:t>1985</w:t>
      </w:r>
      <w:r>
        <w:rPr>
          <w:i/>
          <w:spacing w:val="-13"/>
        </w:rPr>
        <w:t> </w:t>
      </w:r>
      <w:r>
        <w:rPr>
          <w:i/>
        </w:rPr>
        <w:t>y</w:t>
      </w:r>
      <w:r>
        <w:rPr>
          <w:i/>
          <w:spacing w:val="-14"/>
        </w:rPr>
        <w:t> </w:t>
      </w:r>
      <w:r>
        <w:rPr>
          <w:i/>
        </w:rPr>
        <w:t>1989.</w:t>
      </w:r>
      <w:r>
        <w:rPr>
          <w:i/>
          <w:spacing w:val="-14"/>
        </w:rPr>
        <w:t> </w:t>
      </w:r>
      <w:r>
        <w:rPr>
          <w:i/>
        </w:rPr>
        <w:t>Ley</w:t>
      </w:r>
      <w:r>
        <w:rPr>
          <w:i/>
          <w:spacing w:val="-14"/>
        </w:rPr>
        <w:t> </w:t>
      </w:r>
      <w:r>
        <w:rPr>
          <w:i/>
        </w:rPr>
        <w:t>23.302</w:t>
      </w:r>
      <w:r>
        <w:rPr>
          <w:i/>
          <w:spacing w:val="-12"/>
        </w:rPr>
        <w:t> </w:t>
      </w:r>
      <w:r>
        <w:rPr>
          <w:i/>
        </w:rPr>
        <w:t>y</w:t>
      </w:r>
      <w:r>
        <w:rPr>
          <w:i/>
          <w:spacing w:val="-14"/>
        </w:rPr>
        <w:t> </w:t>
      </w:r>
      <w:r>
        <w:rPr>
          <w:i/>
        </w:rPr>
        <w:t>Decreto</w:t>
      </w:r>
      <w:r>
        <w:rPr>
          <w:i/>
          <w:spacing w:val="-15"/>
        </w:rPr>
        <w:t> </w:t>
      </w:r>
      <w:r>
        <w:rPr>
          <w:i/>
        </w:rPr>
        <w:t>155/1989</w:t>
      </w:r>
      <w:r>
        <w:rPr/>
        <w:t>.-</w:t>
      </w:r>
      <w:r>
        <w:rPr>
          <w:spacing w:val="-13"/>
        </w:rPr>
        <w:t> </w:t>
      </w:r>
      <w:r>
        <w:rPr/>
        <w:t>La</w:t>
      </w:r>
      <w:r>
        <w:rPr>
          <w:spacing w:val="-14"/>
        </w:rPr>
        <w:t> </w:t>
      </w:r>
      <w:r>
        <w:rPr/>
        <w:t>ley</w:t>
      </w:r>
      <w:r>
        <w:rPr>
          <w:spacing w:val="-14"/>
        </w:rPr>
        <w:t> </w:t>
      </w:r>
      <w:r>
        <w:rPr/>
        <w:t>nacional</w:t>
      </w:r>
      <w:r>
        <w:rPr>
          <w:spacing w:val="-13"/>
        </w:rPr>
        <w:t> </w:t>
      </w:r>
      <w:r>
        <w:rPr/>
        <w:t>23.302</w:t>
      </w:r>
      <w:r>
        <w:rPr>
          <w:spacing w:val="-13"/>
        </w:rPr>
        <w:t> </w:t>
      </w:r>
      <w:r>
        <w:rPr/>
        <w:t>sobre</w:t>
      </w:r>
      <w:r>
        <w:rPr>
          <w:spacing w:val="-13"/>
        </w:rPr>
        <w:t> </w:t>
      </w:r>
      <w:r>
        <w:rPr>
          <w:i/>
        </w:rPr>
        <w:t>Política </w:t>
      </w:r>
      <w:r>
        <w:rPr>
          <w:i/>
        </w:rPr>
        <w:t>Indígena</w:t>
      </w:r>
      <w:r>
        <w:rPr>
          <w:i/>
          <w:spacing w:val="-12"/>
        </w:rPr>
        <w:t> </w:t>
      </w:r>
      <w:r>
        <w:rPr>
          <w:i/>
        </w:rPr>
        <w:t>y</w:t>
      </w:r>
      <w:r>
        <w:rPr>
          <w:i/>
          <w:spacing w:val="-13"/>
        </w:rPr>
        <w:t> </w:t>
      </w:r>
      <w:r>
        <w:rPr>
          <w:i/>
        </w:rPr>
        <w:t>apoyo</w:t>
      </w:r>
      <w:r>
        <w:rPr>
          <w:i/>
          <w:spacing w:val="-11"/>
        </w:rPr>
        <w:t> </w:t>
      </w:r>
      <w:r>
        <w:rPr>
          <w:i/>
        </w:rPr>
        <w:t>a</w:t>
      </w:r>
      <w:r>
        <w:rPr>
          <w:i/>
          <w:spacing w:val="-12"/>
        </w:rPr>
        <w:t> </w:t>
      </w:r>
      <w:r>
        <w:rPr>
          <w:i/>
        </w:rPr>
        <w:t>las</w:t>
      </w:r>
      <w:r>
        <w:rPr>
          <w:i/>
          <w:spacing w:val="-13"/>
        </w:rPr>
        <w:t> </w:t>
      </w:r>
      <w:r>
        <w:rPr>
          <w:i/>
        </w:rPr>
        <w:t>Comunidades</w:t>
      </w:r>
      <w:r>
        <w:rPr>
          <w:i/>
          <w:spacing w:val="-11"/>
        </w:rPr>
        <w:t> </w:t>
      </w:r>
      <w:r>
        <w:rPr>
          <w:i/>
        </w:rPr>
        <w:t>Aborígenes</w:t>
      </w:r>
      <w:r>
        <w:rPr/>
        <w:t>,</w:t>
      </w:r>
      <w:r>
        <w:rPr>
          <w:spacing w:val="-13"/>
        </w:rPr>
        <w:t> </w:t>
      </w:r>
      <w:r>
        <w:rPr/>
        <w:t>sancionada</w:t>
      </w:r>
      <w:r>
        <w:rPr>
          <w:spacing w:val="-10"/>
        </w:rPr>
        <w:t> </w:t>
      </w:r>
      <w:r>
        <w:rPr/>
        <w:t>en</w:t>
      </w:r>
      <w:r>
        <w:rPr>
          <w:spacing w:val="-9"/>
        </w:rPr>
        <w:t> </w:t>
      </w:r>
      <w:r>
        <w:rPr/>
        <w:t>1985,</w:t>
      </w:r>
      <w:r>
        <w:rPr>
          <w:spacing w:val="-11"/>
        </w:rPr>
        <w:t> </w:t>
      </w:r>
      <w:r>
        <w:rPr/>
        <w:t>creó</w:t>
      </w:r>
      <w:r>
        <w:rPr>
          <w:spacing w:val="-11"/>
        </w:rPr>
        <w:t> </w:t>
      </w:r>
      <w:r>
        <w:rPr/>
        <w:t>el</w:t>
      </w:r>
      <w:r>
        <w:rPr>
          <w:spacing w:val="-7"/>
        </w:rPr>
        <w:t> </w:t>
      </w:r>
      <w:r>
        <w:rPr/>
        <w:t>Instituto Nacional de Asuntos Indígenas (INAI)</w:t>
      </w:r>
      <w:r>
        <w:rPr>
          <w:position w:val="7"/>
          <w:sz w:val="13"/>
        </w:rPr>
        <w:t>37</w:t>
      </w:r>
      <w:r>
        <w:rPr/>
        <w:t>. En sus artículos 7 a 13 se refiere a la adjudicación de tierras fiscales en favor de comunidades indígenas existentes en el país,</w:t>
      </w:r>
      <w:r>
        <w:rPr>
          <w:spacing w:val="-14"/>
        </w:rPr>
        <w:t> </w:t>
      </w:r>
      <w:r>
        <w:rPr/>
        <w:t>previendo</w:t>
      </w:r>
      <w:r>
        <w:rPr>
          <w:spacing w:val="-12"/>
        </w:rPr>
        <w:t> </w:t>
      </w:r>
      <w:r>
        <w:rPr/>
        <w:t>que</w:t>
      </w:r>
      <w:r>
        <w:rPr>
          <w:spacing w:val="-12"/>
        </w:rPr>
        <w:t> </w:t>
      </w:r>
      <w:r>
        <w:rPr/>
        <w:t>el</w:t>
      </w:r>
      <w:r>
        <w:rPr>
          <w:spacing w:val="-12"/>
        </w:rPr>
        <w:t> </w:t>
      </w:r>
      <w:r>
        <w:rPr/>
        <w:t>INAI</w:t>
      </w:r>
      <w:r>
        <w:rPr>
          <w:spacing w:val="-12"/>
        </w:rPr>
        <w:t> </w:t>
      </w:r>
      <w:r>
        <w:rPr/>
        <w:t>elabore</w:t>
      </w:r>
      <w:r>
        <w:rPr>
          <w:spacing w:val="-12"/>
        </w:rPr>
        <w:t> </w:t>
      </w:r>
      <w:r>
        <w:rPr/>
        <w:t>“planes”</w:t>
      </w:r>
      <w:r>
        <w:rPr>
          <w:spacing w:val="-13"/>
        </w:rPr>
        <w:t> </w:t>
      </w:r>
      <w:r>
        <w:rPr/>
        <w:t>de</w:t>
      </w:r>
      <w:r>
        <w:rPr>
          <w:spacing w:val="-12"/>
        </w:rPr>
        <w:t> </w:t>
      </w:r>
      <w:r>
        <w:rPr/>
        <w:t>adjudicación</w:t>
      </w:r>
      <w:r>
        <w:rPr>
          <w:spacing w:val="-12"/>
        </w:rPr>
        <w:t> </w:t>
      </w:r>
      <w:r>
        <w:rPr/>
        <w:t>de</w:t>
      </w:r>
      <w:r>
        <w:rPr>
          <w:spacing w:val="-12"/>
        </w:rPr>
        <w:t> </w:t>
      </w:r>
      <w:r>
        <w:rPr/>
        <w:t>tierras</w:t>
      </w:r>
      <w:r>
        <w:rPr>
          <w:position w:val="7"/>
          <w:sz w:val="13"/>
        </w:rPr>
        <w:t>38</w:t>
      </w:r>
      <w:r>
        <w:rPr/>
        <w:t>.</w:t>
      </w:r>
      <w:r>
        <w:rPr>
          <w:spacing w:val="-13"/>
        </w:rPr>
        <w:t> </w:t>
      </w:r>
      <w:r>
        <w:rPr/>
        <w:t>La</w:t>
      </w:r>
      <w:r>
        <w:rPr>
          <w:spacing w:val="-13"/>
        </w:rPr>
        <w:t> </w:t>
      </w:r>
      <w:r>
        <w:rPr/>
        <w:t>ley</w:t>
      </w:r>
      <w:r>
        <w:rPr>
          <w:spacing w:val="-13"/>
        </w:rPr>
        <w:t> </w:t>
      </w:r>
      <w:r>
        <w:rPr/>
        <w:t>23.302 fue reglamentada por el Decreto 155/1989 del Poder Ejecutivo Nacional (PEN)</w:t>
      </w:r>
      <w:r>
        <w:rPr>
          <w:position w:val="7"/>
          <w:sz w:val="13"/>
        </w:rPr>
        <w:t>39</w:t>
      </w:r>
      <w:r>
        <w:rPr/>
        <w:t>, que entre sus disposiciones dice que el INAI “[i]nvitará a las provincias a adherir a la ley 23.302”. La Ley 23.302 y el Decreto 155/89 continuaron vigentes tras la reforma constitucional de</w:t>
      </w:r>
      <w:r>
        <w:rPr>
          <w:spacing w:val="-10"/>
        </w:rPr>
        <w:t> </w:t>
      </w:r>
      <w:r>
        <w:rPr/>
        <w:t>1994.</w:t>
      </w:r>
    </w:p>
    <w:p>
      <w:pPr>
        <w:pStyle w:val="BodyText"/>
        <w:spacing w:before="3"/>
        <w:ind w:left="263" w:right="116"/>
        <w:jc w:val="both"/>
      </w:pPr>
      <w:r>
        <w:rPr/>
        <w:t>b.- </w:t>
      </w:r>
      <w:r>
        <w:rPr>
          <w:i/>
        </w:rPr>
        <w:t>1992. Ley 24.071.- </w:t>
      </w:r>
      <w:r>
        <w:rPr/>
        <w:t>El 7 de abril de 1992 quedó promulgada la ley 24.071, que aprobó el Convenio 169 de la Organización Internacional del Trabajo (OIT) sobre pueblos indígenas y tribales (en adelante “Convenio 169” o “Convenio 169 de la OIT”)</w:t>
      </w:r>
      <w:r>
        <w:rPr>
          <w:position w:val="7"/>
          <w:sz w:val="13"/>
        </w:rPr>
        <w:t>40</w:t>
      </w:r>
      <w:r>
        <w:rPr/>
        <w:t>.</w:t>
      </w:r>
    </w:p>
    <w:p>
      <w:pPr>
        <w:pStyle w:val="BodyText"/>
        <w:spacing w:before="2"/>
        <w:ind w:left="263" w:right="117"/>
        <w:jc w:val="both"/>
      </w:pPr>
      <w:r>
        <w:rPr/>
        <w:t>c.- </w:t>
      </w:r>
      <w:r>
        <w:rPr>
          <w:i/>
        </w:rPr>
        <w:t>1994. Reforma de la Constitución Nacional.- </w:t>
      </w:r>
      <w:r>
        <w:rPr/>
        <w:t>El 22 de agosto de 1994 se</w:t>
      </w:r>
      <w:r>
        <w:rPr>
          <w:spacing w:val="-37"/>
        </w:rPr>
        <w:t> </w:t>
      </w:r>
      <w:r>
        <w:rPr/>
        <w:t>adoptaron modificaciones a la Constitución Nacional</w:t>
      </w:r>
      <w:r>
        <w:rPr>
          <w:position w:val="7"/>
          <w:sz w:val="13"/>
        </w:rPr>
        <w:t>41</w:t>
      </w:r>
      <w:r>
        <w:rPr/>
        <w:t>. La reforma, en lo pertinente, dotó de jerarquía</w:t>
      </w:r>
      <w:r>
        <w:rPr>
          <w:spacing w:val="-18"/>
        </w:rPr>
        <w:t> </w:t>
      </w:r>
      <w:r>
        <w:rPr/>
        <w:t>constitucional</w:t>
      </w:r>
      <w:r>
        <w:rPr>
          <w:spacing w:val="-16"/>
        </w:rPr>
        <w:t> </w:t>
      </w:r>
      <w:r>
        <w:rPr/>
        <w:t>a</w:t>
      </w:r>
      <w:r>
        <w:rPr>
          <w:spacing w:val="-18"/>
        </w:rPr>
        <w:t> </w:t>
      </w:r>
      <w:r>
        <w:rPr/>
        <w:t>instrumentos</w:t>
      </w:r>
      <w:r>
        <w:rPr>
          <w:spacing w:val="-19"/>
        </w:rPr>
        <w:t> </w:t>
      </w:r>
      <w:r>
        <w:rPr/>
        <w:t>internacionales</w:t>
      </w:r>
      <w:r>
        <w:rPr>
          <w:spacing w:val="-17"/>
        </w:rPr>
        <w:t> </w:t>
      </w:r>
      <w:r>
        <w:rPr/>
        <w:t>de</w:t>
      </w:r>
      <w:r>
        <w:rPr>
          <w:spacing w:val="-18"/>
        </w:rPr>
        <w:t> </w:t>
      </w:r>
      <w:r>
        <w:rPr/>
        <w:t>derechos</w:t>
      </w:r>
      <w:r>
        <w:rPr>
          <w:spacing w:val="-19"/>
        </w:rPr>
        <w:t> </w:t>
      </w:r>
      <w:r>
        <w:rPr/>
        <w:t>humanos,</w:t>
      </w:r>
      <w:r>
        <w:rPr>
          <w:spacing w:val="-17"/>
        </w:rPr>
        <w:t> </w:t>
      </w:r>
      <w:r>
        <w:rPr/>
        <w:t>inclusive a</w:t>
      </w:r>
      <w:r>
        <w:rPr>
          <w:spacing w:val="-12"/>
        </w:rPr>
        <w:t> </w:t>
      </w:r>
      <w:r>
        <w:rPr/>
        <w:t>la</w:t>
      </w:r>
      <w:r>
        <w:rPr>
          <w:spacing w:val="-12"/>
        </w:rPr>
        <w:t> </w:t>
      </w:r>
      <w:r>
        <w:rPr/>
        <w:t>Convención</w:t>
      </w:r>
      <w:r>
        <w:rPr>
          <w:spacing w:val="-12"/>
        </w:rPr>
        <w:t> </w:t>
      </w:r>
      <w:r>
        <w:rPr/>
        <w:t>Americana,</w:t>
      </w:r>
      <w:r>
        <w:rPr>
          <w:spacing w:val="-13"/>
        </w:rPr>
        <w:t> </w:t>
      </w:r>
      <w:r>
        <w:rPr/>
        <w:t>y</w:t>
      </w:r>
      <w:r>
        <w:rPr>
          <w:spacing w:val="-13"/>
        </w:rPr>
        <w:t> </w:t>
      </w:r>
      <w:r>
        <w:rPr/>
        <w:t>en</w:t>
      </w:r>
      <w:r>
        <w:rPr>
          <w:spacing w:val="-12"/>
        </w:rPr>
        <w:t> </w:t>
      </w:r>
      <w:r>
        <w:rPr/>
        <w:t>el</w:t>
      </w:r>
      <w:r>
        <w:rPr>
          <w:spacing w:val="-12"/>
        </w:rPr>
        <w:t> </w:t>
      </w:r>
      <w:r>
        <w:rPr/>
        <w:t>artículo</w:t>
      </w:r>
      <w:r>
        <w:rPr>
          <w:spacing w:val="-14"/>
        </w:rPr>
        <w:t> </w:t>
      </w:r>
      <w:r>
        <w:rPr/>
        <w:t>75</w:t>
      </w:r>
      <w:r>
        <w:rPr>
          <w:spacing w:val="-12"/>
        </w:rPr>
        <w:t> </w:t>
      </w:r>
      <w:r>
        <w:rPr/>
        <w:t>inciso</w:t>
      </w:r>
      <w:r>
        <w:rPr>
          <w:spacing w:val="-14"/>
        </w:rPr>
        <w:t> </w:t>
      </w:r>
      <w:r>
        <w:rPr/>
        <w:t>17</w:t>
      </w:r>
      <w:r>
        <w:rPr>
          <w:spacing w:val="-10"/>
        </w:rPr>
        <w:t> </w:t>
      </w:r>
      <w:r>
        <w:rPr/>
        <w:t>estableció</w:t>
      </w:r>
      <w:r>
        <w:rPr>
          <w:spacing w:val="-13"/>
        </w:rPr>
        <w:t> </w:t>
      </w:r>
      <w:r>
        <w:rPr/>
        <w:t>que:</w:t>
      </w:r>
      <w:r>
        <w:rPr>
          <w:spacing w:val="-12"/>
        </w:rPr>
        <w:t> </w:t>
      </w:r>
      <w:r>
        <w:rPr/>
        <w:t>“[c]orresponde al Congreso […r]econocer la preexistencia étnica y cultural de los pueblos indígenas argentinos[;…r]econocer la […] posesión y propiedad comunitarias de las tierras que tradicionalmente ocupan; y regular la entrega de otras aptas y suficientes para el desarrollo humano; ninguna de ellas será enajenable, transmisible ni susceptible de gravámenes o</w:t>
      </w:r>
      <w:r>
        <w:rPr>
          <w:spacing w:val="-10"/>
        </w:rPr>
        <w:t> </w:t>
      </w:r>
      <w:r>
        <w:rPr/>
        <w:t>embargos”.</w:t>
      </w:r>
    </w:p>
    <w:p>
      <w:pPr>
        <w:pStyle w:val="BodyText"/>
        <w:ind w:left="263" w:right="119"/>
        <w:jc w:val="both"/>
      </w:pPr>
      <w:r>
        <w:rPr/>
        <w:t>d.-</w:t>
      </w:r>
      <w:r>
        <w:rPr>
          <w:i/>
        </w:rPr>
        <w:t>2006. Ley 26.160 y sus prórrogas</w:t>
      </w:r>
      <w:r>
        <w:rPr/>
        <w:t>.- La </w:t>
      </w:r>
      <w:r>
        <w:rPr>
          <w:i/>
        </w:rPr>
        <w:t>Ley de Relevamiento Territorial de </w:t>
      </w:r>
      <w:r>
        <w:rPr>
          <w:i/>
        </w:rPr>
        <w:t>Comunidades Indígenas </w:t>
      </w:r>
      <w:r>
        <w:rPr/>
        <w:t>No. 26.160, publicada el 29 de noviembre de 2006, fue promulgada</w:t>
      </w:r>
      <w:r>
        <w:rPr>
          <w:spacing w:val="-6"/>
        </w:rPr>
        <w:t> </w:t>
      </w:r>
      <w:r>
        <w:rPr/>
        <w:t>para</w:t>
      </w:r>
      <w:r>
        <w:rPr>
          <w:spacing w:val="-5"/>
        </w:rPr>
        <w:t> </w:t>
      </w:r>
      <w:r>
        <w:rPr/>
        <w:t>dar</w:t>
      </w:r>
      <w:r>
        <w:rPr>
          <w:spacing w:val="-5"/>
        </w:rPr>
        <w:t> </w:t>
      </w:r>
      <w:r>
        <w:rPr/>
        <w:t>respuesta</w:t>
      </w:r>
      <w:r>
        <w:rPr>
          <w:spacing w:val="-6"/>
        </w:rPr>
        <w:t> </w:t>
      </w:r>
      <w:r>
        <w:rPr/>
        <w:t>a</w:t>
      </w:r>
      <w:r>
        <w:rPr>
          <w:spacing w:val="-4"/>
        </w:rPr>
        <w:t> </w:t>
      </w:r>
      <w:r>
        <w:rPr/>
        <w:t>la</w:t>
      </w:r>
      <w:r>
        <w:rPr>
          <w:spacing w:val="-6"/>
        </w:rPr>
        <w:t> </w:t>
      </w:r>
      <w:r>
        <w:rPr/>
        <w:t>situación</w:t>
      </w:r>
      <w:r>
        <w:rPr>
          <w:spacing w:val="-6"/>
        </w:rPr>
        <w:t> </w:t>
      </w:r>
      <w:r>
        <w:rPr/>
        <w:t>de</w:t>
      </w:r>
      <w:r>
        <w:rPr>
          <w:spacing w:val="-5"/>
        </w:rPr>
        <w:t> </w:t>
      </w:r>
      <w:r>
        <w:rPr/>
        <w:t>emergencia</w:t>
      </w:r>
      <w:r>
        <w:rPr>
          <w:spacing w:val="-6"/>
        </w:rPr>
        <w:t> </w:t>
      </w:r>
      <w:r>
        <w:rPr/>
        <w:t>en</w:t>
      </w:r>
      <w:r>
        <w:rPr>
          <w:spacing w:val="-6"/>
        </w:rPr>
        <w:t> </w:t>
      </w:r>
      <w:r>
        <w:rPr/>
        <w:t>materia</w:t>
      </w:r>
      <w:r>
        <w:rPr>
          <w:spacing w:val="-6"/>
        </w:rPr>
        <w:t> </w:t>
      </w:r>
      <w:r>
        <w:rPr/>
        <w:t>de</w:t>
      </w:r>
      <w:r>
        <w:rPr>
          <w:spacing w:val="-8"/>
        </w:rPr>
        <w:t> </w:t>
      </w:r>
      <w:r>
        <w:rPr/>
        <w:t>posesión</w:t>
      </w:r>
      <w:r>
        <w:rPr>
          <w:spacing w:val="-6"/>
        </w:rPr>
        <w:t> </w:t>
      </w:r>
      <w:r>
        <w:rPr/>
        <w:t>y propiedad</w:t>
      </w:r>
      <w:r>
        <w:rPr>
          <w:spacing w:val="-8"/>
        </w:rPr>
        <w:t> </w:t>
      </w:r>
      <w:r>
        <w:rPr/>
        <w:t>de</w:t>
      </w:r>
      <w:r>
        <w:rPr>
          <w:spacing w:val="-10"/>
        </w:rPr>
        <w:t> </w:t>
      </w:r>
      <w:r>
        <w:rPr/>
        <w:t>las</w:t>
      </w:r>
      <w:r>
        <w:rPr>
          <w:spacing w:val="-10"/>
        </w:rPr>
        <w:t> </w:t>
      </w:r>
      <w:r>
        <w:rPr/>
        <w:t>tierras</w:t>
      </w:r>
      <w:r>
        <w:rPr>
          <w:spacing w:val="-7"/>
        </w:rPr>
        <w:t> </w:t>
      </w:r>
      <w:r>
        <w:rPr/>
        <w:t>que</w:t>
      </w:r>
      <w:r>
        <w:rPr>
          <w:spacing w:val="-10"/>
        </w:rPr>
        <w:t> </w:t>
      </w:r>
      <w:r>
        <w:rPr/>
        <w:t>ocupan</w:t>
      </w:r>
      <w:r>
        <w:rPr>
          <w:spacing w:val="-8"/>
        </w:rPr>
        <w:t> </w:t>
      </w:r>
      <w:r>
        <w:rPr/>
        <w:t>las</w:t>
      </w:r>
      <w:r>
        <w:rPr>
          <w:spacing w:val="-7"/>
        </w:rPr>
        <w:t> </w:t>
      </w:r>
      <w:r>
        <w:rPr/>
        <w:t>comunidades</w:t>
      </w:r>
      <w:r>
        <w:rPr>
          <w:spacing w:val="-10"/>
        </w:rPr>
        <w:t> </w:t>
      </w:r>
      <w:r>
        <w:rPr/>
        <w:t>indígenas</w:t>
      </w:r>
      <w:r>
        <w:rPr>
          <w:spacing w:val="-1"/>
        </w:rPr>
        <w:t> </w:t>
      </w:r>
      <w:r>
        <w:rPr/>
        <w:t>en</w:t>
      </w:r>
      <w:r>
        <w:rPr>
          <w:spacing w:val="-8"/>
        </w:rPr>
        <w:t> </w:t>
      </w:r>
      <w:r>
        <w:rPr/>
        <w:t>territorio</w:t>
      </w:r>
      <w:r>
        <w:rPr>
          <w:spacing w:val="-10"/>
        </w:rPr>
        <w:t> </w:t>
      </w:r>
      <w:r>
        <w:rPr/>
        <w:t>argentino. En los fundamentos dados por el PEN al elevar el proyecto respectivo al Congreso se lee que el mismo busca “coadyuva[r] a las políticas que ya se están implementando pero que no alcanzan a cumplir sus objetivos de reconocimiento de la [p]ropiedad [c]omunitaria</w:t>
      </w:r>
      <w:r>
        <w:rPr>
          <w:spacing w:val="39"/>
        </w:rPr>
        <w:t> </w:t>
      </w:r>
      <w:r>
        <w:rPr/>
        <w:t>de</w:t>
      </w:r>
      <w:r>
        <w:rPr>
          <w:spacing w:val="37"/>
        </w:rPr>
        <w:t> </w:t>
      </w:r>
      <w:r>
        <w:rPr/>
        <w:t>las</w:t>
      </w:r>
      <w:r>
        <w:rPr>
          <w:spacing w:val="37"/>
        </w:rPr>
        <w:t> </w:t>
      </w:r>
      <w:r>
        <w:rPr/>
        <w:t>tierras</w:t>
      </w:r>
      <w:r>
        <w:rPr>
          <w:spacing w:val="40"/>
        </w:rPr>
        <w:t> </w:t>
      </w:r>
      <w:r>
        <w:rPr/>
        <w:t>en</w:t>
      </w:r>
      <w:r>
        <w:rPr>
          <w:spacing w:val="41"/>
        </w:rPr>
        <w:t> </w:t>
      </w:r>
      <w:r>
        <w:rPr/>
        <w:t>cabeza</w:t>
      </w:r>
      <w:r>
        <w:rPr>
          <w:spacing w:val="39"/>
        </w:rPr>
        <w:t> </w:t>
      </w:r>
      <w:r>
        <w:rPr/>
        <w:t>de</w:t>
      </w:r>
      <w:r>
        <w:rPr>
          <w:spacing w:val="37"/>
        </w:rPr>
        <w:t> </w:t>
      </w:r>
      <w:r>
        <w:rPr/>
        <w:t>las</w:t>
      </w:r>
      <w:r>
        <w:rPr>
          <w:spacing w:val="46"/>
        </w:rPr>
        <w:t> </w:t>
      </w:r>
      <w:r>
        <w:rPr/>
        <w:t>[c]omunidades”</w:t>
      </w:r>
      <w:r>
        <w:rPr>
          <w:position w:val="7"/>
          <w:sz w:val="13"/>
        </w:rPr>
        <w:t>42</w:t>
      </w:r>
      <w:r>
        <w:rPr/>
        <w:t>.</w:t>
      </w:r>
      <w:r>
        <w:rPr>
          <w:spacing w:val="38"/>
        </w:rPr>
        <w:t> </w:t>
      </w:r>
      <w:r>
        <w:rPr/>
        <w:t>El</w:t>
      </w:r>
      <w:r>
        <w:rPr>
          <w:spacing w:val="38"/>
        </w:rPr>
        <w:t> </w:t>
      </w:r>
      <w:r>
        <w:rPr/>
        <w:t>texto</w:t>
      </w:r>
      <w:r>
        <w:rPr>
          <w:spacing w:val="38"/>
        </w:rPr>
        <w:t> </w:t>
      </w:r>
      <w:r>
        <w:rPr/>
        <w:t>de</w:t>
      </w:r>
      <w:r>
        <w:rPr>
          <w:spacing w:val="37"/>
        </w:rPr>
        <w:t> </w:t>
      </w:r>
      <w:r>
        <w:rPr/>
        <w:t>la</w:t>
      </w:r>
      <w:r>
        <w:rPr>
          <w:spacing w:val="41"/>
        </w:rPr>
        <w:t> </w:t>
      </w:r>
      <w:r>
        <w:rPr/>
        <w:t>ley</w:t>
      </w:r>
    </w:p>
    <w:p>
      <w:pPr>
        <w:pStyle w:val="BodyText"/>
        <w:spacing w:before="5"/>
        <w:rPr>
          <w:sz w:val="17"/>
        </w:rPr>
      </w:pPr>
      <w:r>
        <w:rPr/>
        <w:pict>
          <v:line style="position:absolute;mso-position-horizontal-relative:page;mso-position-vertical-relative:paragraph;z-index:1480;mso-wrap-distance-left:0;mso-wrap-distance-right:0" from="85.103996pt,12.952588pt" to="229.123996pt,12.952588pt" stroked="true" strokeweight=".72pt" strokecolor="#000000">
            <v:stroke dashstyle="solid"/>
            <w10:wrap type="topAndBottom"/>
          </v:line>
        </w:pict>
      </w:r>
    </w:p>
    <w:p>
      <w:pPr>
        <w:tabs>
          <w:tab w:pos="829" w:val="left" w:leader="none"/>
        </w:tabs>
        <w:spacing w:before="71"/>
        <w:ind w:left="122" w:right="113" w:firstLine="0"/>
        <w:jc w:val="both"/>
        <w:rPr>
          <w:sz w:val="16"/>
        </w:rPr>
      </w:pPr>
      <w:r>
        <w:rPr>
          <w:position w:val="6"/>
          <w:sz w:val="10"/>
        </w:rPr>
        <w:t>37</w:t>
        <w:tab/>
      </w:r>
      <w:r>
        <w:rPr>
          <w:sz w:val="16"/>
        </w:rPr>
        <w:t>Como</w:t>
      </w:r>
      <w:r>
        <w:rPr>
          <w:spacing w:val="26"/>
          <w:sz w:val="16"/>
        </w:rPr>
        <w:t> </w:t>
      </w:r>
      <w:r>
        <w:rPr>
          <w:sz w:val="16"/>
        </w:rPr>
        <w:t>entidad</w:t>
      </w:r>
      <w:r>
        <w:rPr>
          <w:spacing w:val="24"/>
          <w:sz w:val="16"/>
        </w:rPr>
        <w:t> </w:t>
      </w:r>
      <w:r>
        <w:rPr>
          <w:sz w:val="16"/>
        </w:rPr>
        <w:t>descentralizada</w:t>
      </w:r>
      <w:r>
        <w:rPr>
          <w:spacing w:val="25"/>
          <w:sz w:val="16"/>
        </w:rPr>
        <w:t> </w:t>
      </w:r>
      <w:r>
        <w:rPr>
          <w:sz w:val="16"/>
        </w:rPr>
        <w:t>con</w:t>
      </w:r>
      <w:r>
        <w:rPr>
          <w:spacing w:val="23"/>
          <w:sz w:val="16"/>
        </w:rPr>
        <w:t> </w:t>
      </w:r>
      <w:r>
        <w:rPr>
          <w:sz w:val="16"/>
        </w:rPr>
        <w:t>participación</w:t>
      </w:r>
      <w:r>
        <w:rPr>
          <w:spacing w:val="23"/>
          <w:sz w:val="16"/>
        </w:rPr>
        <w:t> </w:t>
      </w:r>
      <w:r>
        <w:rPr>
          <w:sz w:val="16"/>
        </w:rPr>
        <w:t>indígena</w:t>
      </w:r>
      <w:r>
        <w:rPr>
          <w:spacing w:val="23"/>
          <w:sz w:val="16"/>
        </w:rPr>
        <w:t> </w:t>
      </w:r>
      <w:r>
        <w:rPr>
          <w:sz w:val="16"/>
        </w:rPr>
        <w:t>y</w:t>
      </w:r>
      <w:r>
        <w:rPr>
          <w:spacing w:val="26"/>
          <w:sz w:val="16"/>
        </w:rPr>
        <w:t> </w:t>
      </w:r>
      <w:r>
        <w:rPr>
          <w:sz w:val="16"/>
        </w:rPr>
        <w:t>dependiente</w:t>
      </w:r>
      <w:r>
        <w:rPr>
          <w:spacing w:val="26"/>
          <w:sz w:val="16"/>
        </w:rPr>
        <w:t> </w:t>
      </w:r>
      <w:r>
        <w:rPr>
          <w:sz w:val="16"/>
        </w:rPr>
        <w:t>del</w:t>
      </w:r>
      <w:r>
        <w:rPr>
          <w:spacing w:val="23"/>
          <w:sz w:val="16"/>
        </w:rPr>
        <w:t> </w:t>
      </w:r>
      <w:r>
        <w:rPr>
          <w:sz w:val="16"/>
        </w:rPr>
        <w:t>Ministerio</w:t>
      </w:r>
      <w:r>
        <w:rPr>
          <w:spacing w:val="24"/>
          <w:sz w:val="16"/>
        </w:rPr>
        <w:t> </w:t>
      </w:r>
      <w:r>
        <w:rPr>
          <w:sz w:val="16"/>
        </w:rPr>
        <w:t>de</w:t>
      </w:r>
      <w:r>
        <w:rPr>
          <w:spacing w:val="26"/>
          <w:sz w:val="16"/>
        </w:rPr>
        <w:t> </w:t>
      </w:r>
      <w:r>
        <w:rPr>
          <w:sz w:val="16"/>
        </w:rPr>
        <w:t>Salud</w:t>
      </w:r>
      <w:r>
        <w:rPr>
          <w:spacing w:val="24"/>
          <w:sz w:val="16"/>
        </w:rPr>
        <w:t> </w:t>
      </w:r>
      <w:r>
        <w:rPr>
          <w:sz w:val="16"/>
        </w:rPr>
        <w:t>y</w:t>
      </w:r>
      <w:r>
        <w:rPr>
          <w:w w:val="100"/>
          <w:sz w:val="16"/>
        </w:rPr>
        <w:t> </w:t>
      </w:r>
      <w:r>
        <w:rPr>
          <w:sz w:val="16"/>
        </w:rPr>
        <w:t>Acción</w:t>
      </w:r>
      <w:r>
        <w:rPr>
          <w:spacing w:val="-12"/>
          <w:sz w:val="16"/>
        </w:rPr>
        <w:t> </w:t>
      </w:r>
      <w:r>
        <w:rPr>
          <w:sz w:val="16"/>
        </w:rPr>
        <w:t>Social.</w:t>
      </w:r>
      <w:r>
        <w:rPr>
          <w:spacing w:val="-9"/>
          <w:sz w:val="16"/>
        </w:rPr>
        <w:t> </w:t>
      </w:r>
      <w:r>
        <w:rPr>
          <w:sz w:val="16"/>
        </w:rPr>
        <w:t>La</w:t>
      </w:r>
      <w:r>
        <w:rPr>
          <w:spacing w:val="-9"/>
          <w:sz w:val="16"/>
        </w:rPr>
        <w:t> </w:t>
      </w:r>
      <w:r>
        <w:rPr>
          <w:sz w:val="16"/>
        </w:rPr>
        <w:t>ley</w:t>
      </w:r>
      <w:r>
        <w:rPr>
          <w:spacing w:val="-10"/>
          <w:sz w:val="16"/>
        </w:rPr>
        <w:t> </w:t>
      </w:r>
      <w:r>
        <w:rPr>
          <w:sz w:val="16"/>
        </w:rPr>
        <w:t>23.302</w:t>
      </w:r>
      <w:r>
        <w:rPr>
          <w:spacing w:val="-12"/>
          <w:sz w:val="16"/>
        </w:rPr>
        <w:t> </w:t>
      </w:r>
      <w:r>
        <w:rPr>
          <w:sz w:val="16"/>
        </w:rPr>
        <w:t>fue</w:t>
      </w:r>
      <w:r>
        <w:rPr>
          <w:spacing w:val="-8"/>
          <w:sz w:val="16"/>
        </w:rPr>
        <w:t> </w:t>
      </w:r>
      <w:r>
        <w:rPr>
          <w:sz w:val="16"/>
        </w:rPr>
        <w:t>modificada</w:t>
      </w:r>
      <w:r>
        <w:rPr>
          <w:spacing w:val="-11"/>
          <w:sz w:val="16"/>
        </w:rPr>
        <w:t> </w:t>
      </w:r>
      <w:r>
        <w:rPr>
          <w:sz w:val="16"/>
        </w:rPr>
        <w:t>en</w:t>
      </w:r>
      <w:r>
        <w:rPr>
          <w:spacing w:val="-11"/>
          <w:sz w:val="16"/>
        </w:rPr>
        <w:t> </w:t>
      </w:r>
      <w:r>
        <w:rPr>
          <w:sz w:val="16"/>
        </w:rPr>
        <w:t>2003</w:t>
      </w:r>
      <w:r>
        <w:rPr>
          <w:spacing w:val="-10"/>
          <w:sz w:val="16"/>
        </w:rPr>
        <w:t> </w:t>
      </w:r>
      <w:r>
        <w:rPr>
          <w:sz w:val="16"/>
        </w:rPr>
        <w:t>por</w:t>
      </w:r>
      <w:r>
        <w:rPr>
          <w:spacing w:val="-10"/>
          <w:sz w:val="16"/>
        </w:rPr>
        <w:t> </w:t>
      </w:r>
      <w:r>
        <w:rPr>
          <w:sz w:val="16"/>
        </w:rPr>
        <w:t>la</w:t>
      </w:r>
      <w:r>
        <w:rPr>
          <w:spacing w:val="-9"/>
          <w:sz w:val="16"/>
        </w:rPr>
        <w:t> </w:t>
      </w:r>
      <w:r>
        <w:rPr>
          <w:sz w:val="16"/>
        </w:rPr>
        <w:t>ley</w:t>
      </w:r>
      <w:r>
        <w:rPr>
          <w:spacing w:val="-10"/>
          <w:sz w:val="16"/>
        </w:rPr>
        <w:t> </w:t>
      </w:r>
      <w:r>
        <w:rPr>
          <w:sz w:val="16"/>
        </w:rPr>
        <w:t>25.799,</w:t>
      </w:r>
      <w:r>
        <w:rPr>
          <w:spacing w:val="-12"/>
          <w:sz w:val="16"/>
        </w:rPr>
        <w:t> </w:t>
      </w:r>
      <w:r>
        <w:rPr>
          <w:sz w:val="16"/>
        </w:rPr>
        <w:t>en</w:t>
      </w:r>
      <w:r>
        <w:rPr>
          <w:spacing w:val="-6"/>
          <w:sz w:val="16"/>
        </w:rPr>
        <w:t> </w:t>
      </w:r>
      <w:r>
        <w:rPr>
          <w:sz w:val="16"/>
        </w:rPr>
        <w:t>aspectos</w:t>
      </w:r>
      <w:r>
        <w:rPr>
          <w:spacing w:val="-11"/>
          <w:sz w:val="16"/>
        </w:rPr>
        <w:t> </w:t>
      </w:r>
      <w:r>
        <w:rPr>
          <w:sz w:val="16"/>
        </w:rPr>
        <w:t>no</w:t>
      </w:r>
      <w:r>
        <w:rPr>
          <w:spacing w:val="-10"/>
          <w:sz w:val="16"/>
        </w:rPr>
        <w:t> </w:t>
      </w:r>
      <w:r>
        <w:rPr>
          <w:sz w:val="16"/>
        </w:rPr>
        <w:t>relevantes</w:t>
      </w:r>
      <w:r>
        <w:rPr>
          <w:spacing w:val="-10"/>
          <w:sz w:val="16"/>
        </w:rPr>
        <w:t> </w:t>
      </w:r>
      <w:r>
        <w:rPr>
          <w:sz w:val="16"/>
        </w:rPr>
        <w:t>en</w:t>
      </w:r>
      <w:r>
        <w:rPr>
          <w:spacing w:val="-9"/>
          <w:sz w:val="16"/>
        </w:rPr>
        <w:t> </w:t>
      </w:r>
      <w:r>
        <w:rPr>
          <w:sz w:val="16"/>
        </w:rPr>
        <w:t>este</w:t>
      </w:r>
      <w:r>
        <w:rPr>
          <w:spacing w:val="-10"/>
          <w:sz w:val="16"/>
        </w:rPr>
        <w:t> </w:t>
      </w:r>
      <w:r>
        <w:rPr>
          <w:sz w:val="16"/>
        </w:rPr>
        <w:t>caso.</w:t>
      </w:r>
    </w:p>
    <w:p>
      <w:pPr>
        <w:pStyle w:val="BodyText"/>
        <w:spacing w:before="11"/>
        <w:rPr>
          <w:sz w:val="15"/>
        </w:rPr>
      </w:pPr>
    </w:p>
    <w:p>
      <w:pPr>
        <w:tabs>
          <w:tab w:pos="829" w:val="left" w:leader="none"/>
        </w:tabs>
        <w:spacing w:before="0"/>
        <w:ind w:left="122" w:right="121" w:firstLine="0"/>
        <w:jc w:val="both"/>
        <w:rPr>
          <w:sz w:val="16"/>
        </w:rPr>
      </w:pPr>
      <w:r>
        <w:rPr>
          <w:position w:val="6"/>
          <w:sz w:val="10"/>
        </w:rPr>
        <w:t>38</w:t>
        <w:tab/>
      </w:r>
      <w:r>
        <w:rPr>
          <w:sz w:val="16"/>
        </w:rPr>
        <w:t>La</w:t>
      </w:r>
      <w:r>
        <w:rPr>
          <w:spacing w:val="15"/>
          <w:sz w:val="16"/>
        </w:rPr>
        <w:t> </w:t>
      </w:r>
      <w:r>
        <w:rPr>
          <w:sz w:val="16"/>
        </w:rPr>
        <w:t>ley</w:t>
      </w:r>
      <w:r>
        <w:rPr>
          <w:spacing w:val="16"/>
          <w:sz w:val="16"/>
        </w:rPr>
        <w:t> </w:t>
      </w:r>
      <w:r>
        <w:rPr>
          <w:sz w:val="16"/>
        </w:rPr>
        <w:t>no</w:t>
      </w:r>
      <w:r>
        <w:rPr>
          <w:spacing w:val="14"/>
          <w:sz w:val="16"/>
        </w:rPr>
        <w:t> </w:t>
      </w:r>
      <w:r>
        <w:rPr>
          <w:sz w:val="16"/>
        </w:rPr>
        <w:t>aborda</w:t>
      </w:r>
      <w:r>
        <w:rPr>
          <w:spacing w:val="15"/>
          <w:sz w:val="16"/>
        </w:rPr>
        <w:t> </w:t>
      </w:r>
      <w:r>
        <w:rPr>
          <w:sz w:val="16"/>
        </w:rPr>
        <w:t>la</w:t>
      </w:r>
      <w:r>
        <w:rPr>
          <w:spacing w:val="15"/>
          <w:sz w:val="16"/>
        </w:rPr>
        <w:t> </w:t>
      </w:r>
      <w:r>
        <w:rPr>
          <w:sz w:val="16"/>
        </w:rPr>
        <w:t>cuestión</w:t>
      </w:r>
      <w:r>
        <w:rPr>
          <w:spacing w:val="13"/>
          <w:sz w:val="16"/>
        </w:rPr>
        <w:t> </w:t>
      </w:r>
      <w:r>
        <w:rPr>
          <w:sz w:val="16"/>
        </w:rPr>
        <w:t>de</w:t>
      </w:r>
      <w:r>
        <w:rPr>
          <w:spacing w:val="16"/>
          <w:sz w:val="16"/>
        </w:rPr>
        <w:t> </w:t>
      </w:r>
      <w:r>
        <w:rPr>
          <w:sz w:val="16"/>
        </w:rPr>
        <w:t>tierras</w:t>
      </w:r>
      <w:r>
        <w:rPr>
          <w:spacing w:val="14"/>
          <w:sz w:val="16"/>
        </w:rPr>
        <w:t> </w:t>
      </w:r>
      <w:r>
        <w:rPr>
          <w:sz w:val="16"/>
        </w:rPr>
        <w:t>detentadas</w:t>
      </w:r>
      <w:r>
        <w:rPr>
          <w:spacing w:val="14"/>
          <w:sz w:val="16"/>
        </w:rPr>
        <w:t> </w:t>
      </w:r>
      <w:r>
        <w:rPr>
          <w:sz w:val="16"/>
        </w:rPr>
        <w:t>por</w:t>
      </w:r>
      <w:r>
        <w:rPr>
          <w:spacing w:val="14"/>
          <w:sz w:val="16"/>
        </w:rPr>
        <w:t> </w:t>
      </w:r>
      <w:r>
        <w:rPr>
          <w:sz w:val="16"/>
        </w:rPr>
        <w:t>particulares.</w:t>
      </w:r>
      <w:r>
        <w:rPr>
          <w:spacing w:val="15"/>
          <w:sz w:val="16"/>
        </w:rPr>
        <w:t> </w:t>
      </w:r>
      <w:r>
        <w:rPr>
          <w:sz w:val="16"/>
        </w:rPr>
        <w:t>La</w:t>
      </w:r>
      <w:r>
        <w:rPr>
          <w:spacing w:val="15"/>
          <w:sz w:val="16"/>
        </w:rPr>
        <w:t> </w:t>
      </w:r>
      <w:r>
        <w:rPr>
          <w:sz w:val="16"/>
        </w:rPr>
        <w:t>Corte</w:t>
      </w:r>
      <w:r>
        <w:rPr>
          <w:spacing w:val="16"/>
          <w:sz w:val="16"/>
        </w:rPr>
        <w:t> </w:t>
      </w:r>
      <w:r>
        <w:rPr>
          <w:sz w:val="16"/>
        </w:rPr>
        <w:t>no</w:t>
      </w:r>
      <w:r>
        <w:rPr>
          <w:spacing w:val="16"/>
          <w:sz w:val="16"/>
        </w:rPr>
        <w:t> </w:t>
      </w:r>
      <w:r>
        <w:rPr>
          <w:sz w:val="16"/>
        </w:rPr>
        <w:t>se</w:t>
      </w:r>
      <w:r>
        <w:rPr>
          <w:spacing w:val="14"/>
          <w:sz w:val="16"/>
        </w:rPr>
        <w:t> </w:t>
      </w:r>
      <w:r>
        <w:rPr>
          <w:sz w:val="16"/>
        </w:rPr>
        <w:t>referirá</w:t>
      </w:r>
      <w:r>
        <w:rPr>
          <w:spacing w:val="15"/>
          <w:sz w:val="16"/>
        </w:rPr>
        <w:t> </w:t>
      </w:r>
      <w:r>
        <w:rPr>
          <w:sz w:val="16"/>
        </w:rPr>
        <w:t>a</w:t>
      </w:r>
      <w:r>
        <w:rPr>
          <w:spacing w:val="14"/>
          <w:sz w:val="16"/>
        </w:rPr>
        <w:t> </w:t>
      </w:r>
      <w:r>
        <w:rPr>
          <w:sz w:val="16"/>
        </w:rPr>
        <w:t>este</w:t>
      </w:r>
      <w:r>
        <w:rPr>
          <w:w w:val="100"/>
          <w:sz w:val="16"/>
        </w:rPr>
        <w:t> </w:t>
      </w:r>
      <w:r>
        <w:rPr>
          <w:sz w:val="16"/>
        </w:rPr>
        <w:t>aspecto por no ser relevante para el</w:t>
      </w:r>
      <w:r>
        <w:rPr>
          <w:spacing w:val="-9"/>
          <w:sz w:val="16"/>
        </w:rPr>
        <w:t> </w:t>
      </w:r>
      <w:r>
        <w:rPr>
          <w:sz w:val="16"/>
        </w:rPr>
        <w:t>caso.</w:t>
      </w:r>
    </w:p>
    <w:p>
      <w:pPr>
        <w:pStyle w:val="BodyText"/>
        <w:spacing w:before="11"/>
        <w:rPr>
          <w:sz w:val="15"/>
        </w:rPr>
      </w:pPr>
    </w:p>
    <w:p>
      <w:pPr>
        <w:tabs>
          <w:tab w:pos="829" w:val="left" w:leader="none"/>
        </w:tabs>
        <w:spacing w:before="0"/>
        <w:ind w:left="122" w:right="119" w:firstLine="0"/>
        <w:jc w:val="both"/>
        <w:rPr>
          <w:sz w:val="16"/>
        </w:rPr>
      </w:pPr>
      <w:r>
        <w:rPr>
          <w:position w:val="6"/>
          <w:sz w:val="10"/>
        </w:rPr>
        <w:t>39</w:t>
        <w:tab/>
      </w:r>
      <w:r>
        <w:rPr>
          <w:sz w:val="16"/>
        </w:rPr>
        <w:t>El Decreto 155/1989 fue modificado por el Decreto 791/2012 de 23 de mayo de 2012, </w:t>
      </w:r>
      <w:r>
        <w:rPr>
          <w:spacing w:val="41"/>
          <w:sz w:val="16"/>
        </w:rPr>
        <w:t> </w:t>
      </w:r>
      <w:r>
        <w:rPr>
          <w:sz w:val="16"/>
        </w:rPr>
        <w:t>en</w:t>
      </w:r>
      <w:r>
        <w:rPr>
          <w:spacing w:val="7"/>
          <w:sz w:val="16"/>
        </w:rPr>
        <w:t> </w:t>
      </w:r>
      <w:r>
        <w:rPr>
          <w:sz w:val="16"/>
        </w:rPr>
        <w:t>aspectos</w:t>
      </w:r>
      <w:r>
        <w:rPr>
          <w:w w:val="100"/>
          <w:sz w:val="16"/>
        </w:rPr>
        <w:t> </w:t>
      </w:r>
      <w:r>
        <w:rPr>
          <w:sz w:val="16"/>
        </w:rPr>
        <w:t>no relevantes para el examen que se realiza en esta</w:t>
      </w:r>
      <w:r>
        <w:rPr>
          <w:spacing w:val="-18"/>
          <w:sz w:val="16"/>
        </w:rPr>
        <w:t> </w:t>
      </w:r>
      <w:r>
        <w:rPr>
          <w:sz w:val="16"/>
        </w:rPr>
        <w:t>Sentencia.</w:t>
      </w:r>
    </w:p>
    <w:p>
      <w:pPr>
        <w:pStyle w:val="BodyText"/>
        <w:spacing w:before="11"/>
        <w:rPr>
          <w:sz w:val="15"/>
        </w:rPr>
      </w:pPr>
    </w:p>
    <w:p>
      <w:pPr>
        <w:tabs>
          <w:tab w:pos="829" w:val="left" w:leader="none"/>
        </w:tabs>
        <w:spacing w:before="0"/>
        <w:ind w:left="122" w:right="114" w:firstLine="0"/>
        <w:jc w:val="both"/>
        <w:rPr>
          <w:sz w:val="16"/>
        </w:rPr>
      </w:pPr>
      <w:r>
        <w:rPr>
          <w:position w:val="6"/>
          <w:sz w:val="10"/>
        </w:rPr>
        <w:t>40</w:t>
        <w:tab/>
      </w:r>
      <w:r>
        <w:rPr>
          <w:sz w:val="16"/>
        </w:rPr>
        <w:t>El Convenio 169 fue ratificado el 3 de julio de 2000. Antes, en 1960, se había ratificado</w:t>
      </w:r>
      <w:r>
        <w:rPr>
          <w:spacing w:val="27"/>
          <w:sz w:val="16"/>
        </w:rPr>
        <w:t> </w:t>
      </w:r>
      <w:r>
        <w:rPr>
          <w:sz w:val="16"/>
        </w:rPr>
        <w:t>el</w:t>
      </w:r>
      <w:r>
        <w:rPr>
          <w:spacing w:val="3"/>
          <w:sz w:val="16"/>
        </w:rPr>
        <w:t> </w:t>
      </w:r>
      <w:r>
        <w:rPr>
          <w:sz w:val="16"/>
        </w:rPr>
        <w:t>Convenio</w:t>
      </w:r>
      <w:r>
        <w:rPr>
          <w:w w:val="100"/>
          <w:sz w:val="16"/>
        </w:rPr>
        <w:t> </w:t>
      </w:r>
      <w:r>
        <w:rPr>
          <w:sz w:val="16"/>
        </w:rPr>
        <w:t>107 de la OIT sobre poblaciones indígenas y tribuales. El Convenio 107 de la OIT había sido antes aprobado por Argentina mediante la ley 14.932 promulgada el 15 de diciembre de 1959. Se produjo la denuncia automática del Convenio 107 de la OIT por la ratificación del país del Convenio</w:t>
      </w:r>
      <w:r>
        <w:rPr>
          <w:spacing w:val="-28"/>
          <w:sz w:val="16"/>
        </w:rPr>
        <w:t> </w:t>
      </w:r>
      <w:r>
        <w:rPr>
          <w:sz w:val="16"/>
        </w:rPr>
        <w:t>169.</w:t>
      </w:r>
    </w:p>
    <w:p>
      <w:pPr>
        <w:pStyle w:val="BodyText"/>
        <w:spacing w:before="12"/>
        <w:rPr>
          <w:sz w:val="15"/>
        </w:rPr>
      </w:pPr>
    </w:p>
    <w:p>
      <w:pPr>
        <w:tabs>
          <w:tab w:pos="829" w:val="left" w:leader="none"/>
        </w:tabs>
        <w:spacing w:before="0"/>
        <w:ind w:left="122" w:right="118" w:firstLine="0"/>
        <w:jc w:val="both"/>
        <w:rPr>
          <w:sz w:val="16"/>
        </w:rPr>
      </w:pPr>
      <w:r>
        <w:rPr>
          <w:position w:val="6"/>
          <w:sz w:val="10"/>
        </w:rPr>
        <w:t>41</w:t>
        <w:tab/>
      </w:r>
      <w:r>
        <w:rPr>
          <w:sz w:val="16"/>
        </w:rPr>
        <w:t>Después, la ley nacional 24.430, sancionada el 15 de diciembre de 1994 y promulgada el 3</w:t>
      </w:r>
      <w:r>
        <w:rPr>
          <w:spacing w:val="-25"/>
          <w:sz w:val="16"/>
        </w:rPr>
        <w:t> </w:t>
      </w:r>
      <w:r>
        <w:rPr>
          <w:sz w:val="16"/>
        </w:rPr>
        <w:t>de</w:t>
      </w:r>
      <w:r>
        <w:rPr>
          <w:spacing w:val="-3"/>
          <w:sz w:val="16"/>
        </w:rPr>
        <w:t> </w:t>
      </w:r>
      <w:r>
        <w:rPr>
          <w:sz w:val="16"/>
        </w:rPr>
        <w:t>enero</w:t>
      </w:r>
      <w:r>
        <w:rPr>
          <w:w w:val="100"/>
          <w:sz w:val="16"/>
        </w:rPr>
        <w:t> </w:t>
      </w:r>
      <w:r>
        <w:rPr>
          <w:sz w:val="16"/>
        </w:rPr>
        <w:t>de 1995, ordenó la “publicación del texto oficial de la Constitución Nacional (sancionada en 1853 con las reformas de los años 1860, 1866, 1898, 1957 y</w:t>
      </w:r>
      <w:r>
        <w:rPr>
          <w:spacing w:val="-28"/>
          <w:sz w:val="16"/>
        </w:rPr>
        <w:t> </w:t>
      </w:r>
      <w:r>
        <w:rPr>
          <w:sz w:val="16"/>
        </w:rPr>
        <w:t>1994)”.</w:t>
      </w:r>
    </w:p>
    <w:p>
      <w:pPr>
        <w:pStyle w:val="BodyText"/>
        <w:spacing w:before="12"/>
        <w:rPr>
          <w:sz w:val="15"/>
        </w:rPr>
      </w:pPr>
    </w:p>
    <w:p>
      <w:pPr>
        <w:tabs>
          <w:tab w:pos="829" w:val="left" w:leader="none"/>
        </w:tabs>
        <w:spacing w:line="240" w:lineRule="auto" w:before="0"/>
        <w:ind w:left="122" w:right="114" w:firstLine="0"/>
        <w:jc w:val="both"/>
        <w:rPr>
          <w:sz w:val="16"/>
        </w:rPr>
      </w:pPr>
      <w:r>
        <w:rPr>
          <w:position w:val="6"/>
          <w:sz w:val="10"/>
        </w:rPr>
        <w:t>42</w:t>
        <w:tab/>
      </w:r>
      <w:r>
        <w:rPr>
          <w:sz w:val="16"/>
        </w:rPr>
        <w:t>Los fundamentos referidos señalaron que las comunidades   </w:t>
      </w:r>
      <w:r>
        <w:rPr>
          <w:spacing w:val="27"/>
          <w:sz w:val="16"/>
        </w:rPr>
        <w:t> </w:t>
      </w:r>
      <w:r>
        <w:rPr>
          <w:sz w:val="16"/>
        </w:rPr>
        <w:t>indígenas son “víctimas de desalojos</w:t>
      </w:r>
      <w:r>
        <w:rPr>
          <w:spacing w:val="13"/>
          <w:sz w:val="16"/>
        </w:rPr>
        <w:t> </w:t>
      </w:r>
      <w:r>
        <w:rPr>
          <w:sz w:val="16"/>
        </w:rPr>
        <w:t>o</w:t>
      </w:r>
      <w:r>
        <w:rPr>
          <w:w w:val="100"/>
          <w:sz w:val="16"/>
        </w:rPr>
        <w:t> </w:t>
      </w:r>
      <w:r>
        <w:rPr>
          <w:sz w:val="16"/>
        </w:rPr>
        <w:t>turbaciones</w:t>
      </w:r>
      <w:r>
        <w:rPr>
          <w:spacing w:val="-7"/>
          <w:sz w:val="16"/>
        </w:rPr>
        <w:t> </w:t>
      </w:r>
      <w:r>
        <w:rPr>
          <w:sz w:val="16"/>
        </w:rPr>
        <w:t>en</w:t>
      </w:r>
      <w:r>
        <w:rPr>
          <w:spacing w:val="-8"/>
          <w:sz w:val="16"/>
        </w:rPr>
        <w:t> </w:t>
      </w:r>
      <w:r>
        <w:rPr>
          <w:sz w:val="16"/>
        </w:rPr>
        <w:t>su</w:t>
      </w:r>
      <w:r>
        <w:rPr>
          <w:spacing w:val="-8"/>
          <w:sz w:val="16"/>
        </w:rPr>
        <w:t> </w:t>
      </w:r>
      <w:r>
        <w:rPr>
          <w:sz w:val="16"/>
        </w:rPr>
        <w:t>real</w:t>
      </w:r>
      <w:r>
        <w:rPr>
          <w:spacing w:val="-9"/>
          <w:sz w:val="16"/>
        </w:rPr>
        <w:t> </w:t>
      </w:r>
      <w:r>
        <w:rPr>
          <w:sz w:val="16"/>
        </w:rPr>
        <w:t>posesión</w:t>
      </w:r>
      <w:r>
        <w:rPr>
          <w:spacing w:val="-6"/>
          <w:sz w:val="16"/>
        </w:rPr>
        <w:t> </w:t>
      </w:r>
      <w:r>
        <w:rPr>
          <w:sz w:val="16"/>
        </w:rPr>
        <w:t>[de</w:t>
      </w:r>
      <w:r>
        <w:rPr>
          <w:spacing w:val="-5"/>
          <w:sz w:val="16"/>
        </w:rPr>
        <w:t> </w:t>
      </w:r>
      <w:r>
        <w:rPr>
          <w:sz w:val="16"/>
        </w:rPr>
        <w:t>las</w:t>
      </w:r>
      <w:r>
        <w:rPr>
          <w:spacing w:val="-7"/>
          <w:sz w:val="16"/>
        </w:rPr>
        <w:t> </w:t>
      </w:r>
      <w:r>
        <w:rPr>
          <w:sz w:val="16"/>
        </w:rPr>
        <w:t>tierras].</w:t>
      </w:r>
      <w:r>
        <w:rPr>
          <w:spacing w:val="-6"/>
          <w:sz w:val="16"/>
        </w:rPr>
        <w:t> </w:t>
      </w:r>
      <w:r>
        <w:rPr>
          <w:sz w:val="16"/>
        </w:rPr>
        <w:t>Esta</w:t>
      </w:r>
      <w:r>
        <w:rPr>
          <w:spacing w:val="-8"/>
          <w:sz w:val="16"/>
        </w:rPr>
        <w:t> </w:t>
      </w:r>
      <w:r>
        <w:rPr>
          <w:sz w:val="16"/>
        </w:rPr>
        <w:t>circunstancia</w:t>
      </w:r>
      <w:r>
        <w:rPr>
          <w:spacing w:val="-6"/>
          <w:sz w:val="16"/>
        </w:rPr>
        <w:t> </w:t>
      </w:r>
      <w:r>
        <w:rPr>
          <w:sz w:val="16"/>
        </w:rPr>
        <w:t>hace</w:t>
      </w:r>
      <w:r>
        <w:rPr>
          <w:spacing w:val="-4"/>
          <w:sz w:val="16"/>
        </w:rPr>
        <w:t> </w:t>
      </w:r>
      <w:r>
        <w:rPr>
          <w:sz w:val="16"/>
        </w:rPr>
        <w:t>que</w:t>
      </w:r>
      <w:r>
        <w:rPr>
          <w:spacing w:val="-7"/>
          <w:sz w:val="16"/>
        </w:rPr>
        <w:t> </w:t>
      </w:r>
      <w:r>
        <w:rPr>
          <w:sz w:val="16"/>
        </w:rPr>
        <w:t>las</w:t>
      </w:r>
      <w:r>
        <w:rPr>
          <w:spacing w:val="-7"/>
          <w:sz w:val="16"/>
        </w:rPr>
        <w:t> </w:t>
      </w:r>
      <w:r>
        <w:rPr>
          <w:sz w:val="16"/>
        </w:rPr>
        <w:t>soluciones</w:t>
      </w:r>
      <w:r>
        <w:rPr>
          <w:spacing w:val="-7"/>
          <w:sz w:val="16"/>
        </w:rPr>
        <w:t> </w:t>
      </w:r>
      <w:r>
        <w:rPr>
          <w:sz w:val="16"/>
        </w:rPr>
        <w:t>intentadas</w:t>
      </w:r>
      <w:r>
        <w:rPr>
          <w:spacing w:val="-5"/>
          <w:sz w:val="16"/>
        </w:rPr>
        <w:t> </w:t>
      </w:r>
      <w:r>
        <w:rPr>
          <w:sz w:val="16"/>
        </w:rPr>
        <w:t>a</w:t>
      </w:r>
      <w:r>
        <w:rPr>
          <w:spacing w:val="-6"/>
          <w:sz w:val="16"/>
        </w:rPr>
        <w:t> </w:t>
      </w:r>
      <w:r>
        <w:rPr>
          <w:sz w:val="16"/>
        </w:rPr>
        <w:t>través de las diversas políticas resulten tardías, ineficaces o meramente paliativas de una situación territorial agravada por el desalojo o la turbación sufrida por la comunidad”. Además, dieron cuenta de obstáculos frecuentes</w:t>
      </w:r>
      <w:r>
        <w:rPr>
          <w:spacing w:val="-7"/>
          <w:sz w:val="16"/>
        </w:rPr>
        <w:t> </w:t>
      </w:r>
      <w:r>
        <w:rPr>
          <w:sz w:val="16"/>
        </w:rPr>
        <w:t>de</w:t>
      </w:r>
      <w:r>
        <w:rPr>
          <w:spacing w:val="-5"/>
          <w:sz w:val="16"/>
        </w:rPr>
        <w:t> </w:t>
      </w:r>
      <w:r>
        <w:rPr>
          <w:sz w:val="16"/>
        </w:rPr>
        <w:t>las</w:t>
      </w:r>
      <w:r>
        <w:rPr>
          <w:spacing w:val="-7"/>
          <w:sz w:val="16"/>
        </w:rPr>
        <w:t> </w:t>
      </w:r>
      <w:r>
        <w:rPr>
          <w:sz w:val="16"/>
        </w:rPr>
        <w:t>comunidades</w:t>
      </w:r>
      <w:r>
        <w:rPr>
          <w:spacing w:val="-5"/>
          <w:sz w:val="16"/>
        </w:rPr>
        <w:t> </w:t>
      </w:r>
      <w:r>
        <w:rPr>
          <w:sz w:val="16"/>
        </w:rPr>
        <w:t>para</w:t>
      </w:r>
      <w:r>
        <w:rPr>
          <w:spacing w:val="-6"/>
          <w:sz w:val="16"/>
        </w:rPr>
        <w:t> </w:t>
      </w:r>
      <w:r>
        <w:rPr>
          <w:sz w:val="16"/>
        </w:rPr>
        <w:t>acceder</w:t>
      </w:r>
      <w:r>
        <w:rPr>
          <w:spacing w:val="-4"/>
          <w:sz w:val="16"/>
        </w:rPr>
        <w:t> </w:t>
      </w:r>
      <w:r>
        <w:rPr>
          <w:sz w:val="16"/>
        </w:rPr>
        <w:t>a</w:t>
      </w:r>
      <w:r>
        <w:rPr>
          <w:spacing w:val="-8"/>
          <w:sz w:val="16"/>
        </w:rPr>
        <w:t> </w:t>
      </w:r>
      <w:r>
        <w:rPr>
          <w:sz w:val="16"/>
        </w:rPr>
        <w:t>la</w:t>
      </w:r>
      <w:r>
        <w:rPr>
          <w:spacing w:val="-6"/>
          <w:sz w:val="16"/>
        </w:rPr>
        <w:t> </w:t>
      </w:r>
      <w:r>
        <w:rPr>
          <w:sz w:val="16"/>
        </w:rPr>
        <w:t>justicia.</w:t>
      </w:r>
      <w:r>
        <w:rPr>
          <w:spacing w:val="-6"/>
          <w:sz w:val="16"/>
        </w:rPr>
        <w:t> </w:t>
      </w:r>
      <w:r>
        <w:rPr>
          <w:sz w:val="16"/>
        </w:rPr>
        <w:t>En</w:t>
      </w:r>
      <w:r>
        <w:rPr>
          <w:spacing w:val="-6"/>
          <w:sz w:val="16"/>
        </w:rPr>
        <w:t> </w:t>
      </w:r>
      <w:r>
        <w:rPr>
          <w:sz w:val="16"/>
        </w:rPr>
        <w:t>ese</w:t>
      </w:r>
      <w:r>
        <w:rPr>
          <w:spacing w:val="-7"/>
          <w:sz w:val="16"/>
        </w:rPr>
        <w:t> </w:t>
      </w:r>
      <w:r>
        <w:rPr>
          <w:sz w:val="16"/>
        </w:rPr>
        <w:t>sentido,</w:t>
      </w:r>
      <w:r>
        <w:rPr>
          <w:spacing w:val="-8"/>
          <w:sz w:val="16"/>
        </w:rPr>
        <w:t> </w:t>
      </w:r>
      <w:r>
        <w:rPr>
          <w:sz w:val="16"/>
        </w:rPr>
        <w:t>explicaron</w:t>
      </w:r>
      <w:r>
        <w:rPr>
          <w:spacing w:val="-8"/>
          <w:sz w:val="16"/>
        </w:rPr>
        <w:t> </w:t>
      </w:r>
      <w:r>
        <w:rPr>
          <w:sz w:val="16"/>
        </w:rPr>
        <w:t>que</w:t>
      </w:r>
      <w:r>
        <w:rPr>
          <w:spacing w:val="-7"/>
          <w:sz w:val="16"/>
        </w:rPr>
        <w:t> </w:t>
      </w:r>
      <w:r>
        <w:rPr>
          <w:sz w:val="16"/>
        </w:rPr>
        <w:t>el</w:t>
      </w:r>
      <w:r>
        <w:rPr>
          <w:spacing w:val="-5"/>
          <w:sz w:val="16"/>
        </w:rPr>
        <w:t> </w:t>
      </w:r>
      <w:r>
        <w:rPr>
          <w:sz w:val="16"/>
        </w:rPr>
        <w:t>INAI</w:t>
      </w:r>
      <w:r>
        <w:rPr>
          <w:spacing w:val="-5"/>
          <w:sz w:val="16"/>
        </w:rPr>
        <w:t> </w:t>
      </w:r>
      <w:r>
        <w:rPr>
          <w:sz w:val="16"/>
        </w:rPr>
        <w:t>había</w:t>
      </w:r>
      <w:r>
        <w:rPr>
          <w:spacing w:val="-8"/>
          <w:sz w:val="16"/>
        </w:rPr>
        <w:t> </w:t>
      </w:r>
      <w:r>
        <w:rPr>
          <w:sz w:val="16"/>
        </w:rPr>
        <w:t>“creado un ‘Programa [de] Fortalecimiento Comunitario y Acceso a la Justicia’ [mediante la] Resolución Nro. 235/04, [por]</w:t>
      </w:r>
      <w:r>
        <w:rPr>
          <w:spacing w:val="-6"/>
          <w:sz w:val="16"/>
        </w:rPr>
        <w:t> </w:t>
      </w:r>
      <w:r>
        <w:rPr>
          <w:sz w:val="16"/>
        </w:rPr>
        <w:t>el</w:t>
      </w:r>
      <w:r>
        <w:rPr>
          <w:spacing w:val="-6"/>
          <w:sz w:val="16"/>
        </w:rPr>
        <w:t> </w:t>
      </w:r>
      <w:r>
        <w:rPr>
          <w:sz w:val="16"/>
        </w:rPr>
        <w:t>cual</w:t>
      </w:r>
      <w:r>
        <w:rPr>
          <w:spacing w:val="-3"/>
          <w:sz w:val="16"/>
        </w:rPr>
        <w:t> </w:t>
      </w:r>
      <w:r>
        <w:rPr>
          <w:sz w:val="16"/>
        </w:rPr>
        <w:t>se</w:t>
      </w:r>
      <w:r>
        <w:rPr>
          <w:spacing w:val="-5"/>
          <w:sz w:val="16"/>
        </w:rPr>
        <w:t> </w:t>
      </w:r>
      <w:r>
        <w:rPr>
          <w:sz w:val="16"/>
        </w:rPr>
        <w:t>subsidia</w:t>
      </w:r>
      <w:r>
        <w:rPr>
          <w:spacing w:val="-4"/>
          <w:sz w:val="16"/>
        </w:rPr>
        <w:t> </w:t>
      </w:r>
      <w:r>
        <w:rPr>
          <w:sz w:val="16"/>
        </w:rPr>
        <w:t>a</w:t>
      </w:r>
      <w:r>
        <w:rPr>
          <w:spacing w:val="-6"/>
          <w:sz w:val="16"/>
        </w:rPr>
        <w:t> </w:t>
      </w:r>
      <w:r>
        <w:rPr>
          <w:sz w:val="16"/>
        </w:rPr>
        <w:t>la</w:t>
      </w:r>
      <w:r>
        <w:rPr>
          <w:spacing w:val="-3"/>
          <w:sz w:val="16"/>
        </w:rPr>
        <w:t> </w:t>
      </w:r>
      <w:r>
        <w:rPr>
          <w:sz w:val="16"/>
        </w:rPr>
        <w:t>[c]omunidad</w:t>
      </w:r>
      <w:r>
        <w:rPr>
          <w:spacing w:val="-4"/>
          <w:sz w:val="16"/>
        </w:rPr>
        <w:t> </w:t>
      </w:r>
      <w:r>
        <w:rPr>
          <w:sz w:val="16"/>
        </w:rPr>
        <w:t>[i]ndígena</w:t>
      </w:r>
      <w:r>
        <w:rPr>
          <w:spacing w:val="-3"/>
          <w:sz w:val="16"/>
        </w:rPr>
        <w:t> </w:t>
      </w:r>
      <w:r>
        <w:rPr>
          <w:sz w:val="16"/>
        </w:rPr>
        <w:t>que</w:t>
      </w:r>
      <w:r>
        <w:rPr>
          <w:spacing w:val="-5"/>
          <w:sz w:val="16"/>
        </w:rPr>
        <w:t> </w:t>
      </w:r>
      <w:r>
        <w:rPr>
          <w:sz w:val="16"/>
        </w:rPr>
        <w:t>lo</w:t>
      </w:r>
      <w:r>
        <w:rPr>
          <w:spacing w:val="-7"/>
          <w:sz w:val="16"/>
        </w:rPr>
        <w:t> </w:t>
      </w:r>
      <w:r>
        <w:rPr>
          <w:sz w:val="16"/>
        </w:rPr>
        <w:t>solicite,</w:t>
      </w:r>
      <w:r>
        <w:rPr>
          <w:spacing w:val="-3"/>
          <w:sz w:val="16"/>
        </w:rPr>
        <w:t> </w:t>
      </w:r>
      <w:r>
        <w:rPr>
          <w:sz w:val="16"/>
        </w:rPr>
        <w:t>para</w:t>
      </w:r>
      <w:r>
        <w:rPr>
          <w:spacing w:val="-3"/>
          <w:sz w:val="16"/>
        </w:rPr>
        <w:t> </w:t>
      </w:r>
      <w:r>
        <w:rPr>
          <w:sz w:val="16"/>
        </w:rPr>
        <w:t>afrontar</w:t>
      </w:r>
      <w:r>
        <w:rPr>
          <w:spacing w:val="-4"/>
          <w:sz w:val="16"/>
        </w:rPr>
        <w:t> </w:t>
      </w:r>
      <w:r>
        <w:rPr>
          <w:sz w:val="16"/>
        </w:rPr>
        <w:t>los</w:t>
      </w:r>
      <w:r>
        <w:rPr>
          <w:spacing w:val="-5"/>
          <w:sz w:val="16"/>
        </w:rPr>
        <w:t> </w:t>
      </w:r>
      <w:r>
        <w:rPr>
          <w:sz w:val="16"/>
        </w:rPr>
        <w:t>gastos</w:t>
      </w:r>
      <w:r>
        <w:rPr>
          <w:spacing w:val="-5"/>
          <w:sz w:val="16"/>
        </w:rPr>
        <w:t> </w:t>
      </w:r>
      <w:r>
        <w:rPr>
          <w:sz w:val="16"/>
        </w:rPr>
        <w:t>que</w:t>
      </w:r>
      <w:r>
        <w:rPr>
          <w:spacing w:val="-5"/>
          <w:sz w:val="16"/>
        </w:rPr>
        <w:t> </w:t>
      </w:r>
      <w:r>
        <w:rPr>
          <w:sz w:val="16"/>
        </w:rPr>
        <w:t>demanden</w:t>
      </w:r>
      <w:r>
        <w:rPr>
          <w:spacing w:val="-6"/>
          <w:sz w:val="16"/>
        </w:rPr>
        <w:t> </w:t>
      </w:r>
      <w:r>
        <w:rPr>
          <w:sz w:val="16"/>
        </w:rPr>
        <w:t>la</w:t>
      </w:r>
    </w:p>
    <w:p>
      <w:pPr>
        <w:spacing w:after="0" w:line="240" w:lineRule="auto"/>
        <w:jc w:val="both"/>
        <w:rPr>
          <w:sz w:val="16"/>
        </w:rPr>
        <w:sectPr>
          <w:pgSz w:w="12240" w:h="15840"/>
          <w:pgMar w:header="0" w:footer="1000" w:top="1340" w:bottom="1200" w:left="1580" w:right="1580"/>
        </w:sectPr>
      </w:pPr>
    </w:p>
    <w:p>
      <w:pPr>
        <w:pStyle w:val="BodyText"/>
        <w:spacing w:before="76"/>
        <w:ind w:left="263" w:right="119"/>
        <w:jc w:val="both"/>
      </w:pPr>
      <w:r>
        <w:rPr/>
        <w:t>dispuso suspender la ejecución de los procedimientos y sentencias de desalojo por un plazo de cuatro años y realizar un relevamiento de los territorios indígenas con el fin de lograr su “regularización dominial”. La suspensión de desalojos indicada por la ley fue</w:t>
      </w:r>
      <w:r>
        <w:rPr>
          <w:spacing w:val="-9"/>
        </w:rPr>
        <w:t> </w:t>
      </w:r>
      <w:r>
        <w:rPr/>
        <w:t>prorrogada</w:t>
      </w:r>
      <w:r>
        <w:rPr>
          <w:spacing w:val="-5"/>
        </w:rPr>
        <w:t> </w:t>
      </w:r>
      <w:r>
        <w:rPr/>
        <w:t>en</w:t>
      </w:r>
      <w:r>
        <w:rPr>
          <w:spacing w:val="-6"/>
        </w:rPr>
        <w:t> </w:t>
      </w:r>
      <w:r>
        <w:rPr/>
        <w:t>diversas</w:t>
      </w:r>
      <w:r>
        <w:rPr>
          <w:spacing w:val="-6"/>
        </w:rPr>
        <w:t> </w:t>
      </w:r>
      <w:r>
        <w:rPr/>
        <w:t>ocasiones,</w:t>
      </w:r>
      <w:r>
        <w:rPr>
          <w:spacing w:val="-5"/>
        </w:rPr>
        <w:t> </w:t>
      </w:r>
      <w:r>
        <w:rPr/>
        <w:t>y</w:t>
      </w:r>
      <w:r>
        <w:rPr>
          <w:spacing w:val="-6"/>
        </w:rPr>
        <w:t> </w:t>
      </w:r>
      <w:r>
        <w:rPr/>
        <w:t>la</w:t>
      </w:r>
      <w:r>
        <w:rPr>
          <w:spacing w:val="-8"/>
        </w:rPr>
        <w:t> </w:t>
      </w:r>
      <w:r>
        <w:rPr/>
        <w:t>última</w:t>
      </w:r>
      <w:r>
        <w:rPr>
          <w:spacing w:val="-8"/>
        </w:rPr>
        <w:t> </w:t>
      </w:r>
      <w:r>
        <w:rPr/>
        <w:t>extendió</w:t>
      </w:r>
      <w:r>
        <w:rPr>
          <w:spacing w:val="-6"/>
        </w:rPr>
        <w:t> </w:t>
      </w:r>
      <w:r>
        <w:rPr/>
        <w:t>su</w:t>
      </w:r>
      <w:r>
        <w:rPr>
          <w:spacing w:val="-5"/>
        </w:rPr>
        <w:t> </w:t>
      </w:r>
      <w:r>
        <w:rPr/>
        <w:t>vigencia</w:t>
      </w:r>
      <w:r>
        <w:rPr>
          <w:spacing w:val="-5"/>
        </w:rPr>
        <w:t> </w:t>
      </w:r>
      <w:r>
        <w:rPr/>
        <w:t>hasta</w:t>
      </w:r>
      <w:r>
        <w:rPr>
          <w:spacing w:val="-8"/>
        </w:rPr>
        <w:t> </w:t>
      </w:r>
      <w:r>
        <w:rPr/>
        <w:t>finales</w:t>
      </w:r>
      <w:r>
        <w:rPr>
          <w:spacing w:val="-9"/>
        </w:rPr>
        <w:t> </w:t>
      </w:r>
      <w:r>
        <w:rPr/>
        <w:t>de 2021</w:t>
      </w:r>
      <w:r>
        <w:rPr>
          <w:position w:val="7"/>
          <w:sz w:val="13"/>
        </w:rPr>
        <w:t>43</w:t>
      </w:r>
      <w:r>
        <w:rPr/>
        <w:t>.</w:t>
      </w:r>
    </w:p>
    <w:p>
      <w:pPr>
        <w:pStyle w:val="BodyText"/>
        <w:ind w:left="263" w:right="119"/>
        <w:jc w:val="both"/>
      </w:pPr>
      <w:r>
        <w:rPr/>
        <w:t>e.- </w:t>
      </w:r>
      <w:r>
        <w:rPr>
          <w:i/>
        </w:rPr>
        <w:t>2010. Decreto 700/2010.- </w:t>
      </w:r>
      <w:r>
        <w:rPr/>
        <w:t>El Decreto 700/2010 del PEN, de 20 de mayo de 2010, creó una Comisión para el “análisis e instrumentación de la propiedad comunitaria indígena”,</w:t>
      </w:r>
      <w:r>
        <w:rPr>
          <w:spacing w:val="-17"/>
        </w:rPr>
        <w:t> </w:t>
      </w:r>
      <w:r>
        <w:rPr/>
        <w:t>estableciendo</w:t>
      </w:r>
      <w:r>
        <w:rPr>
          <w:spacing w:val="-15"/>
        </w:rPr>
        <w:t> </w:t>
      </w:r>
      <w:r>
        <w:rPr/>
        <w:t>como</w:t>
      </w:r>
      <w:r>
        <w:rPr>
          <w:spacing w:val="-17"/>
        </w:rPr>
        <w:t> </w:t>
      </w:r>
      <w:r>
        <w:rPr/>
        <w:t>uno</w:t>
      </w:r>
      <w:r>
        <w:rPr>
          <w:spacing w:val="-17"/>
        </w:rPr>
        <w:t> </w:t>
      </w:r>
      <w:r>
        <w:rPr/>
        <w:t>de</w:t>
      </w:r>
      <w:r>
        <w:rPr>
          <w:spacing w:val="-15"/>
        </w:rPr>
        <w:t> </w:t>
      </w:r>
      <w:r>
        <w:rPr/>
        <w:t>sus</w:t>
      </w:r>
      <w:r>
        <w:rPr>
          <w:spacing w:val="-14"/>
        </w:rPr>
        <w:t> </w:t>
      </w:r>
      <w:r>
        <w:rPr/>
        <w:t>objetivos</w:t>
      </w:r>
      <w:r>
        <w:rPr>
          <w:spacing w:val="-15"/>
        </w:rPr>
        <w:t> </w:t>
      </w:r>
      <w:r>
        <w:rPr/>
        <w:t>elaborar</w:t>
      </w:r>
      <w:r>
        <w:rPr>
          <w:spacing w:val="-17"/>
        </w:rPr>
        <w:t> </w:t>
      </w:r>
      <w:r>
        <w:rPr/>
        <w:t>“una</w:t>
      </w:r>
      <w:r>
        <w:rPr>
          <w:spacing w:val="-16"/>
        </w:rPr>
        <w:t> </w:t>
      </w:r>
      <w:r>
        <w:rPr/>
        <w:t>propuesta</w:t>
      </w:r>
      <w:r>
        <w:rPr>
          <w:spacing w:val="-16"/>
        </w:rPr>
        <w:t> </w:t>
      </w:r>
      <w:r>
        <w:rPr/>
        <w:t>normativa para instrumentar un procedimiento que efectivice la garantía constitucional del reconocimiento de la posesión y propiedad comunitaria indígena, precisando su naturaleza jurídica y</w:t>
      </w:r>
      <w:r>
        <w:rPr>
          <w:spacing w:val="-14"/>
        </w:rPr>
        <w:t> </w:t>
      </w:r>
      <w:r>
        <w:rPr/>
        <w:t>características”.</w:t>
      </w:r>
    </w:p>
    <w:p>
      <w:pPr>
        <w:pStyle w:val="BodyText"/>
        <w:ind w:left="263" w:right="122"/>
        <w:jc w:val="both"/>
      </w:pPr>
      <w:r>
        <w:rPr/>
        <w:t>f.- </w:t>
      </w:r>
      <w:r>
        <w:rPr>
          <w:i/>
        </w:rPr>
        <w:t>2010. </w:t>
      </w:r>
      <w:r>
        <w:rPr/>
        <w:t>Resolución 328/2010 del INAI: La Resolución 328/2010 del INAI, emitida el 19</w:t>
      </w:r>
      <w:r>
        <w:rPr>
          <w:spacing w:val="-5"/>
        </w:rPr>
        <w:t> </w:t>
      </w:r>
      <w:r>
        <w:rPr/>
        <w:t>de</w:t>
      </w:r>
      <w:r>
        <w:rPr>
          <w:spacing w:val="-5"/>
        </w:rPr>
        <w:t> </w:t>
      </w:r>
      <w:r>
        <w:rPr/>
        <w:t>julio</w:t>
      </w:r>
      <w:r>
        <w:rPr>
          <w:spacing w:val="-7"/>
        </w:rPr>
        <w:t> </w:t>
      </w:r>
      <w:r>
        <w:rPr/>
        <w:t>de</w:t>
      </w:r>
      <w:r>
        <w:rPr>
          <w:spacing w:val="-5"/>
        </w:rPr>
        <w:t> </w:t>
      </w:r>
      <w:r>
        <w:rPr/>
        <w:t>2010,</w:t>
      </w:r>
      <w:r>
        <w:rPr>
          <w:spacing w:val="-4"/>
        </w:rPr>
        <w:t> </w:t>
      </w:r>
      <w:r>
        <w:rPr/>
        <w:t>creó</w:t>
      </w:r>
      <w:r>
        <w:rPr>
          <w:spacing w:val="-4"/>
        </w:rPr>
        <w:t> </w:t>
      </w:r>
      <w:r>
        <w:rPr/>
        <w:t>el</w:t>
      </w:r>
      <w:r>
        <w:rPr>
          <w:spacing w:val="-5"/>
        </w:rPr>
        <w:t> </w:t>
      </w:r>
      <w:r>
        <w:rPr/>
        <w:t>Registro</w:t>
      </w:r>
      <w:r>
        <w:rPr>
          <w:spacing w:val="-4"/>
        </w:rPr>
        <w:t> </w:t>
      </w:r>
      <w:r>
        <w:rPr/>
        <w:t>Nacional</w:t>
      </w:r>
      <w:r>
        <w:rPr>
          <w:spacing w:val="-3"/>
        </w:rPr>
        <w:t> </w:t>
      </w:r>
      <w:r>
        <w:rPr/>
        <w:t>de</w:t>
      </w:r>
      <w:r>
        <w:rPr>
          <w:spacing w:val="-4"/>
        </w:rPr>
        <w:t> </w:t>
      </w:r>
      <w:r>
        <w:rPr/>
        <w:t>Organizaciones</w:t>
      </w:r>
      <w:r>
        <w:rPr>
          <w:spacing w:val="-6"/>
        </w:rPr>
        <w:t> </w:t>
      </w:r>
      <w:r>
        <w:rPr/>
        <w:t>de</w:t>
      </w:r>
      <w:r>
        <w:rPr>
          <w:spacing w:val="-5"/>
        </w:rPr>
        <w:t> </w:t>
      </w:r>
      <w:r>
        <w:rPr/>
        <w:t>Pueblos</w:t>
      </w:r>
      <w:r>
        <w:rPr>
          <w:spacing w:val="-4"/>
        </w:rPr>
        <w:t> </w:t>
      </w:r>
      <w:r>
        <w:rPr/>
        <w:t>Indígenas (Re.No.Pi.)</w:t>
      </w:r>
      <w:r>
        <w:rPr>
          <w:position w:val="7"/>
          <w:sz w:val="13"/>
        </w:rPr>
        <w:t>44</w:t>
      </w:r>
      <w:r>
        <w:rPr/>
        <w:t>.</w:t>
      </w:r>
    </w:p>
    <w:p>
      <w:pPr>
        <w:pStyle w:val="BodyText"/>
        <w:ind w:left="263" w:right="119"/>
        <w:jc w:val="both"/>
      </w:pPr>
      <w:r>
        <w:rPr/>
        <w:t>g.- </w:t>
      </w:r>
      <w:r>
        <w:rPr>
          <w:i/>
        </w:rPr>
        <w:t>2016. Código Civil y Comercial de la Nación.</w:t>
      </w:r>
      <w:r>
        <w:rPr/>
        <w:t>- El 1 de enero de 2016 entró en vigencia la ley 26.994, promulgada el 7 de octubre de 2014, que derogó los Códigos Civil y de Comercio y aprobó el Código Civil y Comercial de la Nación, de aplicación tanto</w:t>
      </w:r>
      <w:r>
        <w:rPr>
          <w:spacing w:val="-7"/>
        </w:rPr>
        <w:t> </w:t>
      </w:r>
      <w:r>
        <w:rPr/>
        <w:t>en</w:t>
      </w:r>
      <w:r>
        <w:rPr>
          <w:spacing w:val="-2"/>
        </w:rPr>
        <w:t> </w:t>
      </w:r>
      <w:r>
        <w:rPr/>
        <w:t>el</w:t>
      </w:r>
      <w:r>
        <w:rPr>
          <w:spacing w:val="-5"/>
        </w:rPr>
        <w:t> </w:t>
      </w:r>
      <w:r>
        <w:rPr/>
        <w:t>ámbito</w:t>
      </w:r>
      <w:r>
        <w:rPr>
          <w:spacing w:val="-7"/>
        </w:rPr>
        <w:t> </w:t>
      </w:r>
      <w:r>
        <w:rPr/>
        <w:t>nacional</w:t>
      </w:r>
      <w:r>
        <w:rPr>
          <w:spacing w:val="-5"/>
        </w:rPr>
        <w:t> </w:t>
      </w:r>
      <w:r>
        <w:rPr/>
        <w:t>como</w:t>
      </w:r>
      <w:r>
        <w:rPr>
          <w:spacing w:val="-7"/>
        </w:rPr>
        <w:t> </w:t>
      </w:r>
      <w:r>
        <w:rPr/>
        <w:t>provincial.</w:t>
      </w:r>
      <w:r>
        <w:rPr>
          <w:spacing w:val="1"/>
        </w:rPr>
        <w:t> </w:t>
      </w:r>
      <w:r>
        <w:rPr/>
        <w:t>El</w:t>
      </w:r>
      <w:r>
        <w:rPr>
          <w:spacing w:val="-5"/>
        </w:rPr>
        <w:t> </w:t>
      </w:r>
      <w:r>
        <w:rPr/>
        <w:t>artículo</w:t>
      </w:r>
      <w:r>
        <w:rPr>
          <w:spacing w:val="-7"/>
        </w:rPr>
        <w:t> </w:t>
      </w:r>
      <w:r>
        <w:rPr/>
        <w:t>9</w:t>
      </w:r>
      <w:r>
        <w:rPr>
          <w:spacing w:val="-5"/>
        </w:rPr>
        <w:t> </w:t>
      </w:r>
      <w:r>
        <w:rPr/>
        <w:t>de</w:t>
      </w:r>
      <w:r>
        <w:rPr>
          <w:spacing w:val="-7"/>
        </w:rPr>
        <w:t> </w:t>
      </w:r>
      <w:r>
        <w:rPr/>
        <w:t>dicha</w:t>
      </w:r>
      <w:r>
        <w:rPr>
          <w:spacing w:val="-5"/>
        </w:rPr>
        <w:t> </w:t>
      </w:r>
      <w:r>
        <w:rPr/>
        <w:t>ley</w:t>
      </w:r>
      <w:r>
        <w:rPr>
          <w:spacing w:val="-4"/>
        </w:rPr>
        <w:t> </w:t>
      </w:r>
      <w:r>
        <w:rPr/>
        <w:t>indica</w:t>
      </w:r>
      <w:r>
        <w:rPr>
          <w:spacing w:val="-6"/>
        </w:rPr>
        <w:t> </w:t>
      </w:r>
      <w:r>
        <w:rPr/>
        <w:t>que</w:t>
      </w:r>
      <w:r>
        <w:rPr>
          <w:spacing w:val="-7"/>
        </w:rPr>
        <w:t> </w:t>
      </w:r>
      <w:r>
        <w:rPr/>
        <w:t>“[l]os derechos de los pueblos indígenas, en particular la propiedad comunitaria […] serán objeto de una ley especial”, y el artículo 18 del nuevo Código establece que “las comunidades indígenas reconocidas tienen derecho a la posesión y propiedad comunitaria de las tierras que tradicionalmente ocupan y de aquellas otras aptas y suficientes</w:t>
      </w:r>
      <w:r>
        <w:rPr>
          <w:spacing w:val="-7"/>
        </w:rPr>
        <w:t> </w:t>
      </w:r>
      <w:r>
        <w:rPr/>
        <w:t>para</w:t>
      </w:r>
      <w:r>
        <w:rPr>
          <w:spacing w:val="-4"/>
        </w:rPr>
        <w:t> </w:t>
      </w:r>
      <w:r>
        <w:rPr/>
        <w:t>el</w:t>
      </w:r>
      <w:r>
        <w:rPr>
          <w:spacing w:val="-6"/>
        </w:rPr>
        <w:t> </w:t>
      </w:r>
      <w:r>
        <w:rPr/>
        <w:t>desarrollo</w:t>
      </w:r>
      <w:r>
        <w:rPr>
          <w:spacing w:val="-5"/>
        </w:rPr>
        <w:t> </w:t>
      </w:r>
      <w:r>
        <w:rPr/>
        <w:t>humano</w:t>
      </w:r>
      <w:r>
        <w:rPr>
          <w:spacing w:val="-1"/>
        </w:rPr>
        <w:t> </w:t>
      </w:r>
      <w:r>
        <w:rPr>
          <w:i/>
        </w:rPr>
        <w:t>según</w:t>
      </w:r>
      <w:r>
        <w:rPr>
          <w:i/>
          <w:spacing w:val="-6"/>
        </w:rPr>
        <w:t> </w:t>
      </w:r>
      <w:r>
        <w:rPr>
          <w:i/>
        </w:rPr>
        <w:t>lo</w:t>
      </w:r>
      <w:r>
        <w:rPr>
          <w:i/>
          <w:spacing w:val="-2"/>
        </w:rPr>
        <w:t> </w:t>
      </w:r>
      <w:r>
        <w:rPr>
          <w:i/>
        </w:rPr>
        <w:t>establezca</w:t>
      </w:r>
      <w:r>
        <w:rPr>
          <w:i/>
          <w:spacing w:val="-7"/>
        </w:rPr>
        <w:t> </w:t>
      </w:r>
      <w:r>
        <w:rPr>
          <w:i/>
        </w:rPr>
        <w:t>la</w:t>
      </w:r>
      <w:r>
        <w:rPr>
          <w:i/>
          <w:spacing w:val="-4"/>
        </w:rPr>
        <w:t> </w:t>
      </w:r>
      <w:r>
        <w:rPr>
          <w:i/>
        </w:rPr>
        <w:t>ley</w:t>
      </w:r>
      <w:r>
        <w:rPr>
          <w:i/>
          <w:spacing w:val="-3"/>
        </w:rPr>
        <w:t> </w:t>
      </w:r>
      <w:r>
        <w:rPr/>
        <w:t>de</w:t>
      </w:r>
      <w:r>
        <w:rPr>
          <w:spacing w:val="-8"/>
        </w:rPr>
        <w:t> </w:t>
      </w:r>
      <w:r>
        <w:rPr/>
        <w:t>conformidad</w:t>
      </w:r>
      <w:r>
        <w:rPr>
          <w:spacing w:val="-3"/>
        </w:rPr>
        <w:t> </w:t>
      </w:r>
      <w:r>
        <w:rPr/>
        <w:t>con</w:t>
      </w:r>
      <w:r>
        <w:rPr>
          <w:spacing w:val="-3"/>
        </w:rPr>
        <w:t> </w:t>
      </w:r>
      <w:r>
        <w:rPr/>
        <w:t>lo dispuesto por el artículo 75 inciso 17 de la Constitución Nacional” (la cursiva no es del texto</w:t>
      </w:r>
      <w:r>
        <w:rPr>
          <w:spacing w:val="-7"/>
        </w:rPr>
        <w:t> </w:t>
      </w:r>
      <w:r>
        <w:rPr/>
        <w:t>original).</w:t>
      </w:r>
    </w:p>
    <w:p>
      <w:pPr>
        <w:pStyle w:val="BodyText"/>
        <w:spacing w:before="2"/>
      </w:pPr>
    </w:p>
    <w:p>
      <w:pPr>
        <w:pStyle w:val="ListParagraph"/>
        <w:numPr>
          <w:ilvl w:val="0"/>
          <w:numId w:val="14"/>
        </w:numPr>
        <w:tabs>
          <w:tab w:pos="830" w:val="left" w:leader="none"/>
        </w:tabs>
        <w:spacing w:line="240" w:lineRule="auto" w:before="0" w:after="0"/>
        <w:ind w:left="122" w:right="115" w:firstLine="0"/>
        <w:jc w:val="both"/>
        <w:rPr>
          <w:sz w:val="20"/>
        </w:rPr>
      </w:pPr>
      <w:r>
        <w:rPr>
          <w:sz w:val="20"/>
        </w:rPr>
        <w:t>En cuanto a Salta, en 1986 la Provincia aprobó la </w:t>
      </w:r>
      <w:r>
        <w:rPr>
          <w:i/>
          <w:sz w:val="20"/>
        </w:rPr>
        <w:t>ley 6.373 de Promoción de </w:t>
      </w:r>
      <w:r>
        <w:rPr>
          <w:i/>
          <w:sz w:val="20"/>
        </w:rPr>
        <w:t>Desarrollo del Aborigen</w:t>
      </w:r>
      <w:r>
        <w:rPr>
          <w:sz w:val="20"/>
        </w:rPr>
        <w:t>, que entre sus disposiciones previó que el “Instituto Provincial del Aborigen”, establecido por la misma ley, realizaría un relevamiento de “asentamientos aborígenes”, para luego efectuar los trámites necesarios para la “adjudicación”</w:t>
      </w:r>
      <w:r>
        <w:rPr>
          <w:spacing w:val="-18"/>
          <w:sz w:val="20"/>
        </w:rPr>
        <w:t> </w:t>
      </w:r>
      <w:r>
        <w:rPr>
          <w:sz w:val="20"/>
        </w:rPr>
        <w:t>de</w:t>
      </w:r>
      <w:r>
        <w:rPr>
          <w:spacing w:val="-19"/>
          <w:sz w:val="20"/>
        </w:rPr>
        <w:t> </w:t>
      </w:r>
      <w:r>
        <w:rPr>
          <w:sz w:val="20"/>
        </w:rPr>
        <w:t>tierra</w:t>
      </w:r>
      <w:r>
        <w:rPr>
          <w:spacing w:val="-16"/>
          <w:sz w:val="20"/>
        </w:rPr>
        <w:t> </w:t>
      </w:r>
      <w:r>
        <w:rPr>
          <w:sz w:val="20"/>
        </w:rPr>
        <w:t>“en</w:t>
      </w:r>
      <w:r>
        <w:rPr>
          <w:spacing w:val="-18"/>
          <w:sz w:val="20"/>
        </w:rPr>
        <w:t> </w:t>
      </w:r>
      <w:r>
        <w:rPr>
          <w:sz w:val="20"/>
        </w:rPr>
        <w:t>propiedad”.</w:t>
      </w:r>
      <w:r>
        <w:rPr>
          <w:spacing w:val="-15"/>
          <w:sz w:val="20"/>
        </w:rPr>
        <w:t> </w:t>
      </w:r>
      <w:r>
        <w:rPr>
          <w:sz w:val="20"/>
        </w:rPr>
        <w:t>En</w:t>
      </w:r>
      <w:r>
        <w:rPr>
          <w:spacing w:val="-18"/>
          <w:sz w:val="20"/>
        </w:rPr>
        <w:t> </w:t>
      </w:r>
      <w:r>
        <w:rPr>
          <w:sz w:val="20"/>
        </w:rPr>
        <w:t>1992,</w:t>
      </w:r>
      <w:r>
        <w:rPr>
          <w:spacing w:val="-18"/>
          <w:sz w:val="20"/>
        </w:rPr>
        <w:t> </w:t>
      </w:r>
      <w:r>
        <w:rPr>
          <w:sz w:val="20"/>
        </w:rPr>
        <w:t>por</w:t>
      </w:r>
      <w:r>
        <w:rPr>
          <w:spacing w:val="-19"/>
          <w:sz w:val="20"/>
        </w:rPr>
        <w:t> </w:t>
      </w:r>
      <w:r>
        <w:rPr>
          <w:sz w:val="20"/>
        </w:rPr>
        <w:t>medio</w:t>
      </w:r>
      <w:r>
        <w:rPr>
          <w:spacing w:val="-19"/>
          <w:sz w:val="20"/>
        </w:rPr>
        <w:t> </w:t>
      </w:r>
      <w:r>
        <w:rPr>
          <w:sz w:val="20"/>
        </w:rPr>
        <w:t>de</w:t>
      </w:r>
      <w:r>
        <w:rPr>
          <w:spacing w:val="-19"/>
          <w:sz w:val="20"/>
        </w:rPr>
        <w:t> </w:t>
      </w:r>
      <w:r>
        <w:rPr>
          <w:sz w:val="20"/>
        </w:rPr>
        <w:t>la</w:t>
      </w:r>
      <w:r>
        <w:rPr>
          <w:spacing w:val="-16"/>
          <w:sz w:val="20"/>
        </w:rPr>
        <w:t> </w:t>
      </w:r>
      <w:r>
        <w:rPr>
          <w:i/>
          <w:sz w:val="20"/>
        </w:rPr>
        <w:t>ley</w:t>
      </w:r>
      <w:r>
        <w:rPr>
          <w:i/>
          <w:spacing w:val="-18"/>
          <w:sz w:val="20"/>
        </w:rPr>
        <w:t> </w:t>
      </w:r>
      <w:r>
        <w:rPr>
          <w:i/>
          <w:sz w:val="20"/>
        </w:rPr>
        <w:t>6.681</w:t>
      </w:r>
      <w:r>
        <w:rPr>
          <w:sz w:val="20"/>
        </w:rPr>
        <w:t>,</w:t>
      </w:r>
      <w:r>
        <w:rPr>
          <w:spacing w:val="-18"/>
          <w:sz w:val="20"/>
        </w:rPr>
        <w:t> </w:t>
      </w:r>
      <w:r>
        <w:rPr>
          <w:sz w:val="20"/>
        </w:rPr>
        <w:t>Salta</w:t>
      </w:r>
      <w:r>
        <w:rPr>
          <w:spacing w:val="-18"/>
          <w:sz w:val="20"/>
        </w:rPr>
        <w:t> </w:t>
      </w:r>
      <w:r>
        <w:rPr>
          <w:sz w:val="20"/>
        </w:rPr>
        <w:t>adhirió a la </w:t>
      </w:r>
      <w:r>
        <w:rPr>
          <w:i/>
          <w:sz w:val="20"/>
        </w:rPr>
        <w:t>ley nacional 23.302 sobre Política Indígena y apoyo a las Comunidades</w:t>
      </w:r>
      <w:r>
        <w:rPr>
          <w:i/>
          <w:spacing w:val="-41"/>
          <w:sz w:val="20"/>
        </w:rPr>
        <w:t> </w:t>
      </w:r>
      <w:r>
        <w:rPr>
          <w:i/>
          <w:sz w:val="20"/>
        </w:rPr>
        <w:t>Aborígenes</w:t>
      </w:r>
      <w:r>
        <w:rPr>
          <w:sz w:val="20"/>
        </w:rPr>
        <w:t>.</w:t>
      </w:r>
    </w:p>
    <w:p>
      <w:pPr>
        <w:pStyle w:val="BodyText"/>
        <w:spacing w:before="4"/>
        <w:rPr>
          <w:sz w:val="17"/>
        </w:rPr>
      </w:pPr>
      <w:r>
        <w:rPr/>
        <w:pict>
          <v:line style="position:absolute;mso-position-horizontal-relative:page;mso-position-vertical-relative:paragraph;z-index:1504;mso-wrap-distance-left:0;mso-wrap-distance-right:0" from="85.103996pt,12.887396pt" to="229.123996pt,12.887396pt" stroked="true" strokeweight=".72pt" strokecolor="#000000">
            <v:stroke dashstyle="solid"/>
            <w10:wrap type="topAndBottom"/>
          </v:line>
        </w:pict>
      </w:r>
    </w:p>
    <w:p>
      <w:pPr>
        <w:spacing w:before="71"/>
        <w:ind w:left="122" w:right="112" w:firstLine="0"/>
        <w:jc w:val="both"/>
        <w:rPr>
          <w:sz w:val="16"/>
        </w:rPr>
      </w:pPr>
      <w:r>
        <w:rPr>
          <w:sz w:val="16"/>
        </w:rPr>
        <w:t>defensa o promoción de las acciones jurídicas que tengan como objetivo la regularización dominial de las tierras […] o la defensa de la posesión, como así también todo otro tipo de acción tendiente a fortalecer la posesión territorial”. Aseveraron dichos fundamentos que “[n]o obstante lo anterior” las comunidades se encuentran en “franca desventaja” frente a la acción de terceros, y señaló que “[e]llo se manifiesta en numerosas</w:t>
      </w:r>
      <w:r>
        <w:rPr>
          <w:spacing w:val="-8"/>
          <w:sz w:val="16"/>
        </w:rPr>
        <w:t> </w:t>
      </w:r>
      <w:r>
        <w:rPr>
          <w:sz w:val="16"/>
        </w:rPr>
        <w:t>declaraciones</w:t>
      </w:r>
      <w:r>
        <w:rPr>
          <w:spacing w:val="-8"/>
          <w:sz w:val="16"/>
        </w:rPr>
        <w:t> </w:t>
      </w:r>
      <w:r>
        <w:rPr>
          <w:sz w:val="16"/>
        </w:rPr>
        <w:t>judiciales</w:t>
      </w:r>
      <w:r>
        <w:rPr>
          <w:spacing w:val="-8"/>
          <w:sz w:val="16"/>
        </w:rPr>
        <w:t> </w:t>
      </w:r>
      <w:r>
        <w:rPr>
          <w:sz w:val="16"/>
        </w:rPr>
        <w:t>de</w:t>
      </w:r>
      <w:r>
        <w:rPr>
          <w:spacing w:val="-10"/>
          <w:sz w:val="16"/>
        </w:rPr>
        <w:t> </w:t>
      </w:r>
      <w:r>
        <w:rPr>
          <w:sz w:val="16"/>
        </w:rPr>
        <w:t>rebeldía</w:t>
      </w:r>
      <w:r>
        <w:rPr>
          <w:spacing w:val="-12"/>
          <w:sz w:val="16"/>
        </w:rPr>
        <w:t> </w:t>
      </w:r>
      <w:r>
        <w:rPr>
          <w:sz w:val="16"/>
        </w:rPr>
        <w:t>en</w:t>
      </w:r>
      <w:r>
        <w:rPr>
          <w:spacing w:val="-9"/>
          <w:sz w:val="16"/>
        </w:rPr>
        <w:t> </w:t>
      </w:r>
      <w:r>
        <w:rPr>
          <w:sz w:val="16"/>
        </w:rPr>
        <w:t>diversos</w:t>
      </w:r>
      <w:r>
        <w:rPr>
          <w:spacing w:val="-11"/>
          <w:sz w:val="16"/>
        </w:rPr>
        <w:t> </w:t>
      </w:r>
      <w:r>
        <w:rPr>
          <w:sz w:val="16"/>
        </w:rPr>
        <w:t>procesos</w:t>
      </w:r>
      <w:r>
        <w:rPr>
          <w:spacing w:val="-10"/>
          <w:sz w:val="16"/>
        </w:rPr>
        <w:t> </w:t>
      </w:r>
      <w:r>
        <w:rPr>
          <w:sz w:val="16"/>
        </w:rPr>
        <w:t>de</w:t>
      </w:r>
      <w:r>
        <w:rPr>
          <w:spacing w:val="-10"/>
          <w:sz w:val="16"/>
        </w:rPr>
        <w:t> </w:t>
      </w:r>
      <w:r>
        <w:rPr>
          <w:sz w:val="16"/>
        </w:rPr>
        <w:t>desalojos</w:t>
      </w:r>
      <w:r>
        <w:rPr>
          <w:spacing w:val="-11"/>
          <w:sz w:val="16"/>
        </w:rPr>
        <w:t> </w:t>
      </w:r>
      <w:r>
        <w:rPr>
          <w:sz w:val="16"/>
        </w:rPr>
        <w:t>que</w:t>
      </w:r>
      <w:r>
        <w:rPr>
          <w:spacing w:val="-11"/>
          <w:sz w:val="16"/>
        </w:rPr>
        <w:t> </w:t>
      </w:r>
      <w:r>
        <w:rPr>
          <w:sz w:val="16"/>
        </w:rPr>
        <w:t>se</w:t>
      </w:r>
      <w:r>
        <w:rPr>
          <w:spacing w:val="-10"/>
          <w:sz w:val="16"/>
        </w:rPr>
        <w:t> </w:t>
      </w:r>
      <w:r>
        <w:rPr>
          <w:sz w:val="16"/>
        </w:rPr>
        <w:t>les</w:t>
      </w:r>
      <w:r>
        <w:rPr>
          <w:spacing w:val="-8"/>
          <w:sz w:val="16"/>
        </w:rPr>
        <w:t> </w:t>
      </w:r>
      <w:r>
        <w:rPr>
          <w:sz w:val="16"/>
        </w:rPr>
        <w:t>inicia,</w:t>
      </w:r>
      <w:r>
        <w:rPr>
          <w:spacing w:val="-9"/>
          <w:sz w:val="16"/>
        </w:rPr>
        <w:t> </w:t>
      </w:r>
      <w:r>
        <w:rPr>
          <w:sz w:val="16"/>
        </w:rPr>
        <w:t>dificultades en ejercer el derecho de defensa ante Tribunales que a veces están sumamente lejanos, notificaciones </w:t>
      </w:r>
      <w:r>
        <w:rPr>
          <w:spacing w:val="-3"/>
          <w:sz w:val="16"/>
        </w:rPr>
        <w:t>de </w:t>
      </w:r>
      <w:r>
        <w:rPr>
          <w:sz w:val="16"/>
        </w:rPr>
        <w:t>acciones judiciales que no logran interpretar, dificultad en acceder a su defensa legal o a un asesoramiento oportuno,</w:t>
      </w:r>
      <w:r>
        <w:rPr>
          <w:spacing w:val="-16"/>
          <w:sz w:val="16"/>
        </w:rPr>
        <w:t> </w:t>
      </w:r>
      <w:r>
        <w:rPr>
          <w:sz w:val="16"/>
        </w:rPr>
        <w:t>desalojos</w:t>
      </w:r>
      <w:r>
        <w:rPr>
          <w:spacing w:val="-15"/>
          <w:sz w:val="16"/>
        </w:rPr>
        <w:t> </w:t>
      </w:r>
      <w:r>
        <w:rPr>
          <w:sz w:val="16"/>
        </w:rPr>
        <w:t>de</w:t>
      </w:r>
      <w:r>
        <w:rPr>
          <w:spacing w:val="-15"/>
          <w:sz w:val="16"/>
        </w:rPr>
        <w:t> </w:t>
      </w:r>
      <w:r>
        <w:rPr>
          <w:sz w:val="16"/>
        </w:rPr>
        <w:t>hecho,</w:t>
      </w:r>
      <w:r>
        <w:rPr>
          <w:spacing w:val="-16"/>
          <w:sz w:val="16"/>
        </w:rPr>
        <w:t> </w:t>
      </w:r>
      <w:r>
        <w:rPr>
          <w:sz w:val="16"/>
        </w:rPr>
        <w:t>invasiones</w:t>
      </w:r>
      <w:r>
        <w:rPr>
          <w:spacing w:val="-15"/>
          <w:sz w:val="16"/>
        </w:rPr>
        <w:t> </w:t>
      </w:r>
      <w:r>
        <w:rPr>
          <w:sz w:val="16"/>
        </w:rPr>
        <w:t>en</w:t>
      </w:r>
      <w:r>
        <w:rPr>
          <w:spacing w:val="-16"/>
          <w:sz w:val="16"/>
        </w:rPr>
        <w:t> </w:t>
      </w:r>
      <w:r>
        <w:rPr>
          <w:sz w:val="16"/>
        </w:rPr>
        <w:t>el</w:t>
      </w:r>
      <w:r>
        <w:rPr>
          <w:spacing w:val="-16"/>
          <w:sz w:val="16"/>
        </w:rPr>
        <w:t> </w:t>
      </w:r>
      <w:r>
        <w:rPr>
          <w:sz w:val="16"/>
        </w:rPr>
        <w:t>espacio</w:t>
      </w:r>
      <w:r>
        <w:rPr>
          <w:spacing w:val="-15"/>
          <w:sz w:val="16"/>
        </w:rPr>
        <w:t> </w:t>
      </w:r>
      <w:r>
        <w:rPr>
          <w:sz w:val="16"/>
        </w:rPr>
        <w:t>territorial</w:t>
      </w:r>
      <w:r>
        <w:rPr>
          <w:spacing w:val="-14"/>
          <w:sz w:val="16"/>
        </w:rPr>
        <w:t> </w:t>
      </w:r>
      <w:r>
        <w:rPr>
          <w:sz w:val="16"/>
        </w:rPr>
        <w:t>por</w:t>
      </w:r>
      <w:r>
        <w:rPr>
          <w:spacing w:val="-14"/>
          <w:sz w:val="16"/>
        </w:rPr>
        <w:t> </w:t>
      </w:r>
      <w:r>
        <w:rPr>
          <w:sz w:val="16"/>
        </w:rPr>
        <w:t>parte</w:t>
      </w:r>
      <w:r>
        <w:rPr>
          <w:spacing w:val="-15"/>
          <w:sz w:val="16"/>
        </w:rPr>
        <w:t> </w:t>
      </w:r>
      <w:r>
        <w:rPr>
          <w:sz w:val="16"/>
        </w:rPr>
        <w:t>de</w:t>
      </w:r>
      <w:r>
        <w:rPr>
          <w:spacing w:val="-13"/>
          <w:sz w:val="16"/>
        </w:rPr>
        <w:t> </w:t>
      </w:r>
      <w:r>
        <w:rPr>
          <w:sz w:val="16"/>
        </w:rPr>
        <w:t>terceros,</w:t>
      </w:r>
      <w:r>
        <w:rPr>
          <w:spacing w:val="-16"/>
          <w:sz w:val="16"/>
        </w:rPr>
        <w:t> </w:t>
      </w:r>
      <w:r>
        <w:rPr>
          <w:sz w:val="16"/>
        </w:rPr>
        <w:t>desmonte</w:t>
      </w:r>
      <w:r>
        <w:rPr>
          <w:spacing w:val="-15"/>
          <w:sz w:val="16"/>
        </w:rPr>
        <w:t> </w:t>
      </w:r>
      <w:r>
        <w:rPr>
          <w:sz w:val="16"/>
        </w:rPr>
        <w:t>del</w:t>
      </w:r>
      <w:r>
        <w:rPr>
          <w:spacing w:val="-16"/>
          <w:sz w:val="16"/>
        </w:rPr>
        <w:t> </w:t>
      </w:r>
      <w:r>
        <w:rPr>
          <w:sz w:val="16"/>
        </w:rPr>
        <w:t>territorio, irrupciones violentas, adjudicación como simples tenedores de las tierras por parte de los organismos provinciales</w:t>
      </w:r>
      <w:r>
        <w:rPr>
          <w:spacing w:val="-3"/>
          <w:sz w:val="16"/>
        </w:rPr>
        <w:t> </w:t>
      </w:r>
      <w:r>
        <w:rPr>
          <w:sz w:val="16"/>
        </w:rPr>
        <w:t>que</w:t>
      </w:r>
      <w:r>
        <w:rPr>
          <w:spacing w:val="-6"/>
          <w:sz w:val="16"/>
        </w:rPr>
        <w:t> </w:t>
      </w:r>
      <w:r>
        <w:rPr>
          <w:sz w:val="16"/>
        </w:rPr>
        <w:t>regulan</w:t>
      </w:r>
      <w:r>
        <w:rPr>
          <w:spacing w:val="-5"/>
          <w:sz w:val="16"/>
        </w:rPr>
        <w:t> </w:t>
      </w:r>
      <w:r>
        <w:rPr>
          <w:sz w:val="16"/>
        </w:rPr>
        <w:t>el</w:t>
      </w:r>
      <w:r>
        <w:rPr>
          <w:spacing w:val="-4"/>
          <w:sz w:val="16"/>
        </w:rPr>
        <w:t> </w:t>
      </w:r>
      <w:r>
        <w:rPr>
          <w:sz w:val="16"/>
        </w:rPr>
        <w:t>acceso</w:t>
      </w:r>
      <w:r>
        <w:rPr>
          <w:spacing w:val="-3"/>
          <w:sz w:val="16"/>
        </w:rPr>
        <w:t> </w:t>
      </w:r>
      <w:r>
        <w:rPr>
          <w:sz w:val="16"/>
        </w:rPr>
        <w:t>a</w:t>
      </w:r>
      <w:r>
        <w:rPr>
          <w:spacing w:val="-4"/>
          <w:sz w:val="16"/>
        </w:rPr>
        <w:t> </w:t>
      </w:r>
      <w:r>
        <w:rPr>
          <w:sz w:val="16"/>
        </w:rPr>
        <w:t>tierras</w:t>
      </w:r>
      <w:r>
        <w:rPr>
          <w:spacing w:val="-6"/>
          <w:sz w:val="16"/>
        </w:rPr>
        <w:t> </w:t>
      </w:r>
      <w:r>
        <w:rPr>
          <w:sz w:val="16"/>
        </w:rPr>
        <w:t>fiscales,</w:t>
      </w:r>
      <w:r>
        <w:rPr>
          <w:spacing w:val="-4"/>
          <w:sz w:val="16"/>
        </w:rPr>
        <w:t> </w:t>
      </w:r>
      <w:r>
        <w:rPr>
          <w:sz w:val="16"/>
        </w:rPr>
        <w:t>traspaso</w:t>
      </w:r>
      <w:r>
        <w:rPr>
          <w:spacing w:val="-3"/>
          <w:sz w:val="16"/>
        </w:rPr>
        <w:t> </w:t>
      </w:r>
      <w:r>
        <w:rPr>
          <w:sz w:val="16"/>
        </w:rPr>
        <w:t>dominiales</w:t>
      </w:r>
      <w:r>
        <w:rPr>
          <w:spacing w:val="-3"/>
          <w:sz w:val="16"/>
        </w:rPr>
        <w:t> </w:t>
      </w:r>
      <w:r>
        <w:rPr>
          <w:sz w:val="16"/>
        </w:rPr>
        <w:t>de</w:t>
      </w:r>
      <w:r>
        <w:rPr>
          <w:spacing w:val="-3"/>
          <w:sz w:val="16"/>
        </w:rPr>
        <w:t> </w:t>
      </w:r>
      <w:r>
        <w:rPr>
          <w:sz w:val="16"/>
        </w:rPr>
        <w:t>las</w:t>
      </w:r>
      <w:r>
        <w:rPr>
          <w:spacing w:val="-3"/>
          <w:sz w:val="16"/>
        </w:rPr>
        <w:t> </w:t>
      </w:r>
      <w:r>
        <w:rPr>
          <w:sz w:val="16"/>
        </w:rPr>
        <w:t>tierras</w:t>
      </w:r>
      <w:r>
        <w:rPr>
          <w:spacing w:val="-6"/>
          <w:sz w:val="16"/>
        </w:rPr>
        <w:t> </w:t>
      </w:r>
      <w:r>
        <w:rPr>
          <w:sz w:val="16"/>
        </w:rPr>
        <w:t>que</w:t>
      </w:r>
      <w:r>
        <w:rPr>
          <w:spacing w:val="-3"/>
          <w:sz w:val="16"/>
        </w:rPr>
        <w:t> </w:t>
      </w:r>
      <w:r>
        <w:rPr>
          <w:sz w:val="16"/>
        </w:rPr>
        <w:t>siempre</w:t>
      </w:r>
      <w:r>
        <w:rPr>
          <w:spacing w:val="-6"/>
          <w:sz w:val="16"/>
        </w:rPr>
        <w:t> </w:t>
      </w:r>
      <w:r>
        <w:rPr>
          <w:sz w:val="16"/>
        </w:rPr>
        <w:t>ocuparon, dificultades de acceder a las indemnizaciones cuando el territorio es afectado por una traza de gasoducto, oleoducto,</w:t>
      </w:r>
      <w:r>
        <w:rPr>
          <w:spacing w:val="-11"/>
          <w:sz w:val="16"/>
        </w:rPr>
        <w:t> </w:t>
      </w:r>
      <w:r>
        <w:rPr>
          <w:sz w:val="16"/>
        </w:rPr>
        <w:t>estudios</w:t>
      </w:r>
      <w:r>
        <w:rPr>
          <w:spacing w:val="-12"/>
          <w:sz w:val="16"/>
        </w:rPr>
        <w:t> </w:t>
      </w:r>
      <w:r>
        <w:rPr>
          <w:sz w:val="16"/>
        </w:rPr>
        <w:t>petroleros,</w:t>
      </w:r>
      <w:r>
        <w:rPr>
          <w:spacing w:val="-9"/>
          <w:sz w:val="16"/>
        </w:rPr>
        <w:t> </w:t>
      </w:r>
      <w:r>
        <w:rPr>
          <w:sz w:val="16"/>
        </w:rPr>
        <w:t>etc”.</w:t>
      </w:r>
      <w:r>
        <w:rPr>
          <w:spacing w:val="-11"/>
          <w:sz w:val="16"/>
        </w:rPr>
        <w:t> </w:t>
      </w:r>
      <w:r>
        <w:rPr>
          <w:sz w:val="16"/>
        </w:rPr>
        <w:t>El</w:t>
      </w:r>
      <w:r>
        <w:rPr>
          <w:spacing w:val="-10"/>
          <w:sz w:val="16"/>
        </w:rPr>
        <w:t> </w:t>
      </w:r>
      <w:r>
        <w:rPr>
          <w:sz w:val="16"/>
        </w:rPr>
        <w:t>perito</w:t>
      </w:r>
      <w:r>
        <w:rPr>
          <w:spacing w:val="-11"/>
          <w:sz w:val="16"/>
        </w:rPr>
        <w:t> </w:t>
      </w:r>
      <w:r>
        <w:rPr>
          <w:sz w:val="16"/>
        </w:rPr>
        <w:t>Solá</w:t>
      </w:r>
      <w:r>
        <w:rPr>
          <w:spacing w:val="-10"/>
          <w:sz w:val="16"/>
        </w:rPr>
        <w:t> </w:t>
      </w:r>
      <w:r>
        <w:rPr>
          <w:sz w:val="16"/>
        </w:rPr>
        <w:t>destacó</w:t>
      </w:r>
      <w:r>
        <w:rPr>
          <w:spacing w:val="-9"/>
          <w:sz w:val="16"/>
        </w:rPr>
        <w:t> </w:t>
      </w:r>
      <w:r>
        <w:rPr>
          <w:sz w:val="16"/>
        </w:rPr>
        <w:t>la</w:t>
      </w:r>
      <w:r>
        <w:rPr>
          <w:spacing w:val="-10"/>
          <w:sz w:val="16"/>
        </w:rPr>
        <w:t> </w:t>
      </w:r>
      <w:r>
        <w:rPr>
          <w:sz w:val="16"/>
        </w:rPr>
        <w:t>importancia</w:t>
      </w:r>
      <w:r>
        <w:rPr>
          <w:spacing w:val="-11"/>
          <w:sz w:val="16"/>
        </w:rPr>
        <w:t> </w:t>
      </w:r>
      <w:r>
        <w:rPr>
          <w:sz w:val="16"/>
        </w:rPr>
        <w:t>de</w:t>
      </w:r>
      <w:r>
        <w:rPr>
          <w:spacing w:val="-10"/>
          <w:sz w:val="16"/>
        </w:rPr>
        <w:t> </w:t>
      </w:r>
      <w:r>
        <w:rPr>
          <w:sz w:val="16"/>
        </w:rPr>
        <w:t>la</w:t>
      </w:r>
      <w:r>
        <w:rPr>
          <w:spacing w:val="-10"/>
          <w:sz w:val="16"/>
        </w:rPr>
        <w:t> </w:t>
      </w:r>
      <w:r>
        <w:rPr>
          <w:sz w:val="16"/>
        </w:rPr>
        <w:t>ley</w:t>
      </w:r>
      <w:r>
        <w:rPr>
          <w:spacing w:val="-9"/>
          <w:sz w:val="16"/>
        </w:rPr>
        <w:t> </w:t>
      </w:r>
      <w:r>
        <w:rPr>
          <w:sz w:val="16"/>
        </w:rPr>
        <w:t>26.160</w:t>
      </w:r>
      <w:r>
        <w:rPr>
          <w:spacing w:val="-9"/>
          <w:sz w:val="16"/>
        </w:rPr>
        <w:t> </w:t>
      </w:r>
      <w:r>
        <w:rPr>
          <w:sz w:val="16"/>
        </w:rPr>
        <w:t>como</w:t>
      </w:r>
      <w:r>
        <w:rPr>
          <w:spacing w:val="-12"/>
          <w:sz w:val="16"/>
        </w:rPr>
        <w:t> </w:t>
      </w:r>
      <w:r>
        <w:rPr>
          <w:sz w:val="16"/>
        </w:rPr>
        <w:t>“herramienta” para suspender desalojos, pero indicó que el procedimiento establecido por la ley y sus reglamentaciones “concluye</w:t>
      </w:r>
      <w:r>
        <w:rPr>
          <w:spacing w:val="-10"/>
          <w:sz w:val="16"/>
        </w:rPr>
        <w:t> </w:t>
      </w:r>
      <w:r>
        <w:rPr>
          <w:sz w:val="16"/>
        </w:rPr>
        <w:t>con</w:t>
      </w:r>
      <w:r>
        <w:rPr>
          <w:spacing w:val="-12"/>
          <w:sz w:val="16"/>
        </w:rPr>
        <w:t> </w:t>
      </w:r>
      <w:r>
        <w:rPr>
          <w:sz w:val="16"/>
        </w:rPr>
        <w:t>una</w:t>
      </w:r>
      <w:r>
        <w:rPr>
          <w:spacing w:val="-11"/>
          <w:sz w:val="16"/>
        </w:rPr>
        <w:t> </w:t>
      </w:r>
      <w:r>
        <w:rPr>
          <w:sz w:val="16"/>
        </w:rPr>
        <w:t>resolución</w:t>
      </w:r>
      <w:r>
        <w:rPr>
          <w:spacing w:val="-11"/>
          <w:sz w:val="16"/>
        </w:rPr>
        <w:t> </w:t>
      </w:r>
      <w:r>
        <w:rPr>
          <w:sz w:val="16"/>
        </w:rPr>
        <w:t>administrativa”</w:t>
      </w:r>
      <w:r>
        <w:rPr>
          <w:spacing w:val="-10"/>
          <w:sz w:val="16"/>
        </w:rPr>
        <w:t> </w:t>
      </w:r>
      <w:r>
        <w:rPr>
          <w:sz w:val="16"/>
        </w:rPr>
        <w:t>que</w:t>
      </w:r>
      <w:r>
        <w:rPr>
          <w:spacing w:val="-10"/>
          <w:sz w:val="16"/>
        </w:rPr>
        <w:t> </w:t>
      </w:r>
      <w:r>
        <w:rPr>
          <w:sz w:val="16"/>
        </w:rPr>
        <w:t>no</w:t>
      </w:r>
      <w:r>
        <w:rPr>
          <w:spacing w:val="-12"/>
          <w:sz w:val="16"/>
        </w:rPr>
        <w:t> </w:t>
      </w:r>
      <w:r>
        <w:rPr>
          <w:sz w:val="16"/>
        </w:rPr>
        <w:t>es</w:t>
      </w:r>
      <w:r>
        <w:rPr>
          <w:spacing w:val="-13"/>
          <w:sz w:val="16"/>
        </w:rPr>
        <w:t> </w:t>
      </w:r>
      <w:r>
        <w:rPr>
          <w:sz w:val="16"/>
        </w:rPr>
        <w:t>apta</w:t>
      </w:r>
      <w:r>
        <w:rPr>
          <w:spacing w:val="-14"/>
          <w:sz w:val="16"/>
        </w:rPr>
        <w:t> </w:t>
      </w:r>
      <w:r>
        <w:rPr>
          <w:sz w:val="16"/>
        </w:rPr>
        <w:t>para</w:t>
      </w:r>
      <w:r>
        <w:rPr>
          <w:spacing w:val="-14"/>
          <w:sz w:val="16"/>
        </w:rPr>
        <w:t> </w:t>
      </w:r>
      <w:r>
        <w:rPr>
          <w:sz w:val="16"/>
        </w:rPr>
        <w:t>“reconoce[r]</w:t>
      </w:r>
      <w:r>
        <w:rPr>
          <w:spacing w:val="-14"/>
          <w:sz w:val="16"/>
        </w:rPr>
        <w:t> </w:t>
      </w:r>
      <w:r>
        <w:rPr>
          <w:sz w:val="16"/>
        </w:rPr>
        <w:t>títulos</w:t>
      </w:r>
      <w:r>
        <w:rPr>
          <w:spacing w:val="-10"/>
          <w:sz w:val="16"/>
        </w:rPr>
        <w:t> </w:t>
      </w:r>
      <w:r>
        <w:rPr>
          <w:sz w:val="16"/>
        </w:rPr>
        <w:t>de</w:t>
      </w:r>
      <w:r>
        <w:rPr>
          <w:spacing w:val="-13"/>
          <w:sz w:val="16"/>
        </w:rPr>
        <w:t> </w:t>
      </w:r>
      <w:r>
        <w:rPr>
          <w:sz w:val="16"/>
        </w:rPr>
        <w:t>propiedad”.</w:t>
      </w:r>
      <w:r>
        <w:rPr>
          <w:spacing w:val="-12"/>
          <w:sz w:val="16"/>
        </w:rPr>
        <w:t> </w:t>
      </w:r>
      <w:r>
        <w:rPr>
          <w:sz w:val="16"/>
        </w:rPr>
        <w:t>Lo</w:t>
      </w:r>
      <w:r>
        <w:rPr>
          <w:spacing w:val="-10"/>
          <w:sz w:val="16"/>
        </w:rPr>
        <w:t> </w:t>
      </w:r>
      <w:r>
        <w:rPr>
          <w:sz w:val="16"/>
        </w:rPr>
        <w:t>mismo se afirmó en el escrito de </w:t>
      </w:r>
      <w:r>
        <w:rPr>
          <w:i/>
          <w:sz w:val="16"/>
        </w:rPr>
        <w:t>amicus curiae </w:t>
      </w:r>
      <w:r>
        <w:rPr>
          <w:sz w:val="16"/>
        </w:rPr>
        <w:t>presentado por AADI y</w:t>
      </w:r>
      <w:r>
        <w:rPr>
          <w:spacing w:val="-19"/>
          <w:sz w:val="16"/>
        </w:rPr>
        <w:t> </w:t>
      </w:r>
      <w:r>
        <w:rPr>
          <w:sz w:val="16"/>
        </w:rPr>
        <w:t>SERPAJ.</w:t>
      </w:r>
    </w:p>
    <w:p>
      <w:pPr>
        <w:pStyle w:val="BodyText"/>
        <w:spacing w:before="11"/>
        <w:rPr>
          <w:sz w:val="15"/>
        </w:rPr>
      </w:pPr>
    </w:p>
    <w:p>
      <w:pPr>
        <w:tabs>
          <w:tab w:pos="829" w:val="left" w:leader="none"/>
        </w:tabs>
        <w:spacing w:before="0"/>
        <w:ind w:left="122" w:right="116" w:firstLine="0"/>
        <w:jc w:val="both"/>
        <w:rPr>
          <w:sz w:val="16"/>
        </w:rPr>
      </w:pPr>
      <w:r>
        <w:rPr>
          <w:position w:val="6"/>
          <w:sz w:val="10"/>
        </w:rPr>
        <w:t>43</w:t>
        <w:tab/>
      </w:r>
      <w:r>
        <w:rPr>
          <w:sz w:val="16"/>
        </w:rPr>
        <w:t>Fue  prorrogada  por  las  leyes,  26.554,  26.894  y  27.400,  publicadas  en  el     </w:t>
      </w:r>
      <w:r>
        <w:rPr>
          <w:spacing w:val="49"/>
          <w:sz w:val="16"/>
        </w:rPr>
        <w:t> </w:t>
      </w:r>
      <w:r>
        <w:rPr>
          <w:sz w:val="16"/>
        </w:rPr>
        <w:t>Boletín </w:t>
      </w:r>
      <w:r>
        <w:rPr>
          <w:spacing w:val="23"/>
          <w:sz w:val="16"/>
        </w:rPr>
        <w:t> </w:t>
      </w:r>
      <w:r>
        <w:rPr>
          <w:sz w:val="16"/>
        </w:rPr>
        <w:t>Oficial,</w:t>
      </w:r>
      <w:r>
        <w:rPr>
          <w:w w:val="100"/>
          <w:sz w:val="16"/>
        </w:rPr>
        <w:t> </w:t>
      </w:r>
      <w:r>
        <w:rPr>
          <w:sz w:val="16"/>
        </w:rPr>
        <w:t>respectivamente,</w:t>
      </w:r>
      <w:r>
        <w:rPr>
          <w:spacing w:val="-6"/>
          <w:sz w:val="16"/>
        </w:rPr>
        <w:t> </w:t>
      </w:r>
      <w:r>
        <w:rPr>
          <w:sz w:val="16"/>
        </w:rPr>
        <w:t>el</w:t>
      </w:r>
      <w:r>
        <w:rPr>
          <w:spacing w:val="-8"/>
          <w:sz w:val="16"/>
        </w:rPr>
        <w:t> </w:t>
      </w:r>
      <w:r>
        <w:rPr>
          <w:sz w:val="16"/>
        </w:rPr>
        <w:t>11</w:t>
      </w:r>
      <w:r>
        <w:rPr>
          <w:spacing w:val="-6"/>
          <w:sz w:val="16"/>
        </w:rPr>
        <w:t> </w:t>
      </w:r>
      <w:r>
        <w:rPr>
          <w:sz w:val="16"/>
        </w:rPr>
        <w:t>de</w:t>
      </w:r>
      <w:r>
        <w:rPr>
          <w:spacing w:val="-7"/>
          <w:sz w:val="16"/>
        </w:rPr>
        <w:t> </w:t>
      </w:r>
      <w:r>
        <w:rPr>
          <w:sz w:val="16"/>
        </w:rPr>
        <w:t>diciembre</w:t>
      </w:r>
      <w:r>
        <w:rPr>
          <w:spacing w:val="-5"/>
          <w:sz w:val="16"/>
        </w:rPr>
        <w:t> </w:t>
      </w:r>
      <w:r>
        <w:rPr>
          <w:sz w:val="16"/>
        </w:rPr>
        <w:t>de</w:t>
      </w:r>
      <w:r>
        <w:rPr>
          <w:spacing w:val="-7"/>
          <w:sz w:val="16"/>
        </w:rPr>
        <w:t> </w:t>
      </w:r>
      <w:r>
        <w:rPr>
          <w:sz w:val="16"/>
        </w:rPr>
        <w:t>2009,</w:t>
      </w:r>
      <w:r>
        <w:rPr>
          <w:spacing w:val="-6"/>
          <w:sz w:val="16"/>
        </w:rPr>
        <w:t> </w:t>
      </w:r>
      <w:r>
        <w:rPr>
          <w:sz w:val="16"/>
        </w:rPr>
        <w:t>el</w:t>
      </w:r>
      <w:r>
        <w:rPr>
          <w:spacing w:val="-6"/>
          <w:sz w:val="16"/>
        </w:rPr>
        <w:t> </w:t>
      </w:r>
      <w:r>
        <w:rPr>
          <w:sz w:val="16"/>
        </w:rPr>
        <w:t>21</w:t>
      </w:r>
      <w:r>
        <w:rPr>
          <w:spacing w:val="-4"/>
          <w:sz w:val="16"/>
        </w:rPr>
        <w:t> </w:t>
      </w:r>
      <w:r>
        <w:rPr>
          <w:sz w:val="16"/>
        </w:rPr>
        <w:t>de</w:t>
      </w:r>
      <w:r>
        <w:rPr>
          <w:spacing w:val="-5"/>
          <w:sz w:val="16"/>
        </w:rPr>
        <w:t> </w:t>
      </w:r>
      <w:r>
        <w:rPr>
          <w:sz w:val="16"/>
        </w:rPr>
        <w:t>octubre</w:t>
      </w:r>
      <w:r>
        <w:rPr>
          <w:spacing w:val="-7"/>
          <w:sz w:val="16"/>
        </w:rPr>
        <w:t> </w:t>
      </w:r>
      <w:r>
        <w:rPr>
          <w:sz w:val="16"/>
        </w:rPr>
        <w:t>de</w:t>
      </w:r>
      <w:r>
        <w:rPr>
          <w:spacing w:val="-7"/>
          <w:sz w:val="16"/>
        </w:rPr>
        <w:t> </w:t>
      </w:r>
      <w:r>
        <w:rPr>
          <w:sz w:val="16"/>
        </w:rPr>
        <w:t>2013</w:t>
      </w:r>
      <w:r>
        <w:rPr>
          <w:spacing w:val="-4"/>
          <w:sz w:val="16"/>
        </w:rPr>
        <w:t> </w:t>
      </w:r>
      <w:r>
        <w:rPr>
          <w:sz w:val="16"/>
        </w:rPr>
        <w:t>y</w:t>
      </w:r>
      <w:r>
        <w:rPr>
          <w:spacing w:val="-4"/>
          <w:sz w:val="16"/>
        </w:rPr>
        <w:t> </w:t>
      </w:r>
      <w:r>
        <w:rPr>
          <w:sz w:val="16"/>
        </w:rPr>
        <w:t>el</w:t>
      </w:r>
      <w:r>
        <w:rPr>
          <w:spacing w:val="-8"/>
          <w:sz w:val="16"/>
        </w:rPr>
        <w:t> </w:t>
      </w:r>
      <w:r>
        <w:rPr>
          <w:sz w:val="16"/>
        </w:rPr>
        <w:t>23</w:t>
      </w:r>
      <w:r>
        <w:rPr>
          <w:spacing w:val="-6"/>
          <w:sz w:val="16"/>
        </w:rPr>
        <w:t> </w:t>
      </w:r>
      <w:r>
        <w:rPr>
          <w:sz w:val="16"/>
        </w:rPr>
        <w:t>de</w:t>
      </w:r>
      <w:r>
        <w:rPr>
          <w:spacing w:val="-5"/>
          <w:sz w:val="16"/>
        </w:rPr>
        <w:t> </w:t>
      </w:r>
      <w:r>
        <w:rPr>
          <w:sz w:val="16"/>
        </w:rPr>
        <w:t>noviembre</w:t>
      </w:r>
      <w:r>
        <w:rPr>
          <w:spacing w:val="-7"/>
          <w:sz w:val="16"/>
        </w:rPr>
        <w:t> </w:t>
      </w:r>
      <w:r>
        <w:rPr>
          <w:sz w:val="16"/>
        </w:rPr>
        <w:t>de</w:t>
      </w:r>
      <w:r>
        <w:rPr>
          <w:spacing w:val="-7"/>
          <w:sz w:val="16"/>
        </w:rPr>
        <w:t> </w:t>
      </w:r>
      <w:r>
        <w:rPr>
          <w:sz w:val="16"/>
        </w:rPr>
        <w:t>2017.</w:t>
      </w:r>
      <w:r>
        <w:rPr>
          <w:spacing w:val="-4"/>
          <w:sz w:val="16"/>
        </w:rPr>
        <w:t> </w:t>
      </w:r>
      <w:r>
        <w:rPr>
          <w:sz w:val="16"/>
        </w:rPr>
        <w:t>La Ley</w:t>
      </w:r>
    </w:p>
    <w:p>
      <w:pPr>
        <w:spacing w:before="0"/>
        <w:ind w:left="122" w:right="117" w:firstLine="0"/>
        <w:jc w:val="both"/>
        <w:rPr>
          <w:sz w:val="16"/>
        </w:rPr>
      </w:pPr>
      <w:r>
        <w:rPr>
          <w:sz w:val="16"/>
        </w:rPr>
        <w:t>26.160 fue reglamentada por el Decreto 1122/07, publicado el 27 de agosto de 2007, que designó al INAI como Autoridad de aplicación. La Resolución 587/2007 del INAI, de 25 de octubre de 2007 creo el Programa Nacional de "Relevamiento Territorial de Comunidades Indígenas - Ejecución de la Ley Nº 26.160".</w:t>
      </w:r>
    </w:p>
    <w:p>
      <w:pPr>
        <w:pStyle w:val="BodyText"/>
        <w:spacing w:before="2"/>
        <w:rPr>
          <w:sz w:val="16"/>
        </w:rPr>
      </w:pPr>
    </w:p>
    <w:p>
      <w:pPr>
        <w:tabs>
          <w:tab w:pos="829" w:val="left" w:leader="none"/>
        </w:tabs>
        <w:spacing w:before="1"/>
        <w:ind w:left="122" w:right="121" w:firstLine="0"/>
        <w:jc w:val="both"/>
        <w:rPr>
          <w:sz w:val="16"/>
        </w:rPr>
      </w:pPr>
      <w:r>
        <w:rPr>
          <w:position w:val="6"/>
          <w:sz w:val="10"/>
        </w:rPr>
        <w:t>44</w:t>
        <w:tab/>
      </w:r>
      <w:r>
        <w:rPr>
          <w:i/>
          <w:sz w:val="16"/>
        </w:rPr>
        <w:t>Cfr</w:t>
      </w:r>
      <w:r>
        <w:rPr>
          <w:sz w:val="16"/>
        </w:rPr>
        <w:t>. Resolución 328/2019 del INAI, emitida el 19 de julio de 2010. Expediente de prueba, </w:t>
      </w:r>
      <w:r>
        <w:rPr>
          <w:spacing w:val="32"/>
          <w:sz w:val="16"/>
        </w:rPr>
        <w:t> </w:t>
      </w:r>
      <w:r>
        <w:rPr>
          <w:sz w:val="16"/>
        </w:rPr>
        <w:t>anexos</w:t>
      </w:r>
      <w:r>
        <w:rPr>
          <w:spacing w:val="5"/>
          <w:sz w:val="16"/>
        </w:rPr>
        <w:t> </w:t>
      </w:r>
      <w:r>
        <w:rPr>
          <w:sz w:val="16"/>
        </w:rPr>
        <w:t>a</w:t>
      </w:r>
      <w:r>
        <w:rPr>
          <w:w w:val="100"/>
          <w:sz w:val="16"/>
        </w:rPr>
        <w:t> </w:t>
      </w:r>
      <w:r>
        <w:rPr>
          <w:sz w:val="16"/>
        </w:rPr>
        <w:t>los alegatos finales del Estado, fs. 37.058 a</w:t>
      </w:r>
      <w:r>
        <w:rPr>
          <w:spacing w:val="-18"/>
          <w:sz w:val="16"/>
        </w:rPr>
        <w:t> </w:t>
      </w:r>
      <w:r>
        <w:rPr>
          <w:sz w:val="16"/>
        </w:rPr>
        <w:t>37.066.</w:t>
      </w:r>
    </w:p>
    <w:p>
      <w:pPr>
        <w:spacing w:after="0"/>
        <w:jc w:val="both"/>
        <w:rPr>
          <w:sz w:val="16"/>
        </w:rPr>
        <w:sectPr>
          <w:pgSz w:w="12240" w:h="15840"/>
          <w:pgMar w:header="0" w:footer="1000" w:top="1340" w:bottom="1200" w:left="1580" w:right="1580"/>
        </w:sectPr>
      </w:pPr>
    </w:p>
    <w:p>
      <w:pPr>
        <w:pStyle w:val="BodyText"/>
        <w:spacing w:before="76"/>
        <w:ind w:left="122" w:right="116"/>
        <w:jc w:val="both"/>
      </w:pPr>
      <w:r>
        <w:rPr/>
        <w:t>En</w:t>
      </w:r>
      <w:r>
        <w:rPr>
          <w:spacing w:val="-5"/>
        </w:rPr>
        <w:t> </w:t>
      </w:r>
      <w:r>
        <w:rPr/>
        <w:t>1998</w:t>
      </w:r>
      <w:r>
        <w:rPr>
          <w:spacing w:val="-5"/>
        </w:rPr>
        <w:t> </w:t>
      </w:r>
      <w:r>
        <w:rPr/>
        <w:t>se</w:t>
      </w:r>
      <w:r>
        <w:rPr>
          <w:spacing w:val="-4"/>
        </w:rPr>
        <w:t> </w:t>
      </w:r>
      <w:r>
        <w:rPr/>
        <w:t>reformó</w:t>
      </w:r>
      <w:r>
        <w:rPr>
          <w:spacing w:val="-4"/>
        </w:rPr>
        <w:t> </w:t>
      </w:r>
      <w:r>
        <w:rPr/>
        <w:t>la </w:t>
      </w:r>
      <w:r>
        <w:rPr>
          <w:i/>
        </w:rPr>
        <w:t>Constitución</w:t>
      </w:r>
      <w:r>
        <w:rPr>
          <w:i/>
          <w:spacing w:val="-5"/>
        </w:rPr>
        <w:t> </w:t>
      </w:r>
      <w:r>
        <w:rPr>
          <w:i/>
        </w:rPr>
        <w:t>de</w:t>
      </w:r>
      <w:r>
        <w:rPr>
          <w:i/>
          <w:spacing w:val="-7"/>
        </w:rPr>
        <w:t> </w:t>
      </w:r>
      <w:r>
        <w:rPr>
          <w:i/>
        </w:rPr>
        <w:t>Salta</w:t>
      </w:r>
      <w:r>
        <w:rPr/>
        <w:t>.</w:t>
      </w:r>
      <w:r>
        <w:rPr>
          <w:spacing w:val="-4"/>
        </w:rPr>
        <w:t> </w:t>
      </w:r>
      <w:r>
        <w:rPr/>
        <w:t>El</w:t>
      </w:r>
      <w:r>
        <w:rPr>
          <w:spacing w:val="-2"/>
        </w:rPr>
        <w:t> </w:t>
      </w:r>
      <w:r>
        <w:rPr/>
        <w:t>artículo</w:t>
      </w:r>
      <w:r>
        <w:rPr>
          <w:spacing w:val="-4"/>
        </w:rPr>
        <w:t> </w:t>
      </w:r>
      <w:r>
        <w:rPr/>
        <w:t>15</w:t>
      </w:r>
      <w:r>
        <w:rPr>
          <w:spacing w:val="-2"/>
        </w:rPr>
        <w:t> </w:t>
      </w:r>
      <w:r>
        <w:rPr/>
        <w:t>en</w:t>
      </w:r>
      <w:r>
        <w:rPr>
          <w:spacing w:val="-5"/>
        </w:rPr>
        <w:t> </w:t>
      </w:r>
      <w:r>
        <w:rPr/>
        <w:t>su</w:t>
      </w:r>
      <w:r>
        <w:rPr>
          <w:spacing w:val="-3"/>
        </w:rPr>
        <w:t> </w:t>
      </w:r>
      <w:r>
        <w:rPr/>
        <w:t>redacción</w:t>
      </w:r>
      <w:r>
        <w:rPr>
          <w:spacing w:val="-5"/>
        </w:rPr>
        <w:t> </w:t>
      </w:r>
      <w:r>
        <w:rPr/>
        <w:t>actual,</w:t>
      </w:r>
      <w:r>
        <w:rPr>
          <w:spacing w:val="-4"/>
        </w:rPr>
        <w:t> </w:t>
      </w:r>
      <w:r>
        <w:rPr/>
        <w:t>en</w:t>
      </w:r>
      <w:r>
        <w:rPr>
          <w:spacing w:val="-2"/>
        </w:rPr>
        <w:t> </w:t>
      </w:r>
      <w:r>
        <w:rPr/>
        <w:t>lo pertinente,</w:t>
      </w:r>
      <w:r>
        <w:rPr>
          <w:spacing w:val="-9"/>
        </w:rPr>
        <w:t> </w:t>
      </w:r>
      <w:r>
        <w:rPr/>
        <w:t>reconoce</w:t>
      </w:r>
      <w:r>
        <w:rPr>
          <w:spacing w:val="-10"/>
        </w:rPr>
        <w:t> </w:t>
      </w:r>
      <w:r>
        <w:rPr/>
        <w:t>la</w:t>
      </w:r>
      <w:r>
        <w:rPr>
          <w:spacing w:val="-9"/>
        </w:rPr>
        <w:t> </w:t>
      </w:r>
      <w:r>
        <w:rPr/>
        <w:t>“posesión</w:t>
      </w:r>
      <w:r>
        <w:rPr>
          <w:spacing w:val="-10"/>
        </w:rPr>
        <w:t> </w:t>
      </w:r>
      <w:r>
        <w:rPr/>
        <w:t>y</w:t>
      </w:r>
      <w:r>
        <w:rPr>
          <w:spacing w:val="-10"/>
        </w:rPr>
        <w:t> </w:t>
      </w:r>
      <w:r>
        <w:rPr/>
        <w:t>propiedad</w:t>
      </w:r>
      <w:r>
        <w:rPr>
          <w:spacing w:val="-8"/>
        </w:rPr>
        <w:t> </w:t>
      </w:r>
      <w:r>
        <w:rPr/>
        <w:t>comunitaria</w:t>
      </w:r>
      <w:r>
        <w:rPr>
          <w:spacing w:val="-11"/>
        </w:rPr>
        <w:t> </w:t>
      </w:r>
      <w:r>
        <w:rPr/>
        <w:t>[de</w:t>
      </w:r>
      <w:r>
        <w:rPr>
          <w:spacing w:val="-10"/>
        </w:rPr>
        <w:t> </w:t>
      </w:r>
      <w:r>
        <w:rPr/>
        <w:t>pueblos</w:t>
      </w:r>
      <w:r>
        <w:rPr>
          <w:spacing w:val="-10"/>
        </w:rPr>
        <w:t> </w:t>
      </w:r>
      <w:r>
        <w:rPr/>
        <w:t>indígenas]</w:t>
      </w:r>
      <w:r>
        <w:rPr>
          <w:spacing w:val="-11"/>
        </w:rPr>
        <w:t> </w:t>
      </w:r>
      <w:r>
        <w:rPr/>
        <w:t>de</w:t>
      </w:r>
      <w:r>
        <w:rPr>
          <w:spacing w:val="-10"/>
        </w:rPr>
        <w:t> </w:t>
      </w:r>
      <w:r>
        <w:rPr/>
        <w:t>las tierras</w:t>
      </w:r>
      <w:r>
        <w:rPr>
          <w:spacing w:val="-18"/>
        </w:rPr>
        <w:t> </w:t>
      </w:r>
      <w:r>
        <w:rPr/>
        <w:t>fiscales</w:t>
      </w:r>
      <w:r>
        <w:rPr>
          <w:spacing w:val="-18"/>
        </w:rPr>
        <w:t> </w:t>
      </w:r>
      <w:r>
        <w:rPr/>
        <w:t>que</w:t>
      </w:r>
      <w:r>
        <w:rPr>
          <w:spacing w:val="-21"/>
        </w:rPr>
        <w:t> </w:t>
      </w:r>
      <w:r>
        <w:rPr/>
        <w:t>tradicionalmente</w:t>
      </w:r>
      <w:r>
        <w:rPr>
          <w:spacing w:val="-19"/>
        </w:rPr>
        <w:t> </w:t>
      </w:r>
      <w:r>
        <w:rPr/>
        <w:t>ocupan”.</w:t>
      </w:r>
      <w:r>
        <w:rPr>
          <w:spacing w:val="-19"/>
        </w:rPr>
        <w:t> </w:t>
      </w:r>
      <w:r>
        <w:rPr/>
        <w:t>En</w:t>
      </w:r>
      <w:r>
        <w:rPr>
          <w:spacing w:val="-19"/>
        </w:rPr>
        <w:t> </w:t>
      </w:r>
      <w:r>
        <w:rPr/>
        <w:t>2000</w:t>
      </w:r>
      <w:r>
        <w:rPr>
          <w:spacing w:val="-19"/>
        </w:rPr>
        <w:t> </w:t>
      </w:r>
      <w:r>
        <w:rPr/>
        <w:t>Salta</w:t>
      </w:r>
      <w:r>
        <w:rPr>
          <w:spacing w:val="-20"/>
        </w:rPr>
        <w:t> </w:t>
      </w:r>
      <w:r>
        <w:rPr/>
        <w:t>adoptó</w:t>
      </w:r>
      <w:r>
        <w:rPr>
          <w:spacing w:val="-19"/>
        </w:rPr>
        <w:t> </w:t>
      </w:r>
      <w:r>
        <w:rPr/>
        <w:t>la</w:t>
      </w:r>
      <w:r>
        <w:rPr>
          <w:spacing w:val="-18"/>
        </w:rPr>
        <w:t> </w:t>
      </w:r>
      <w:r>
        <w:rPr>
          <w:i/>
        </w:rPr>
        <w:t>ley</w:t>
      </w:r>
      <w:r>
        <w:rPr>
          <w:i/>
          <w:spacing w:val="-20"/>
        </w:rPr>
        <w:t> </w:t>
      </w:r>
      <w:r>
        <w:rPr>
          <w:i/>
        </w:rPr>
        <w:t>7.121</w:t>
      </w:r>
      <w:r>
        <w:rPr/>
        <w:t>,</w:t>
      </w:r>
      <w:r>
        <w:rPr>
          <w:spacing w:val="-20"/>
        </w:rPr>
        <w:t> </w:t>
      </w:r>
      <w:r>
        <w:rPr/>
        <w:t>llamada </w:t>
      </w:r>
      <w:r>
        <w:rPr>
          <w:i/>
        </w:rPr>
        <w:t>De Desarrollo de los Pueblos Indígenas de Salta. </w:t>
      </w:r>
      <w:r>
        <w:rPr/>
        <w:t>Creó el Instituto Provincial de Pueblos Indígenas de Salta (IPPIS). Contiene un capítulo sobre adjudicación de tierras cuyos artículos tienen un texto similar a los artículos respectivos de la ley 6.373. En 2011 se dictó el </w:t>
      </w:r>
      <w:r>
        <w:rPr>
          <w:i/>
        </w:rPr>
        <w:t>Decreto 3459/11</w:t>
      </w:r>
      <w:r>
        <w:rPr/>
        <w:t>, por el que se aprobó un convenio de cooperación entre el Ministerio de Desarrollo Humano provincial y el INAI. En 2014, se dictó el </w:t>
      </w:r>
      <w:r>
        <w:rPr>
          <w:i/>
        </w:rPr>
        <w:t>Decreto </w:t>
      </w:r>
      <w:r>
        <w:rPr>
          <w:i/>
        </w:rPr>
        <w:t>3505/14</w:t>
      </w:r>
      <w:r>
        <w:rPr>
          <w:i/>
          <w:spacing w:val="-15"/>
        </w:rPr>
        <w:t> </w:t>
      </w:r>
      <w:r>
        <w:rPr/>
        <w:t>con</w:t>
      </w:r>
      <w:r>
        <w:rPr>
          <w:spacing w:val="-13"/>
        </w:rPr>
        <w:t> </w:t>
      </w:r>
      <w:r>
        <w:rPr/>
        <w:t>el</w:t>
      </w:r>
      <w:r>
        <w:rPr>
          <w:spacing w:val="-13"/>
        </w:rPr>
        <w:t> </w:t>
      </w:r>
      <w:r>
        <w:rPr/>
        <w:t>objetivo</w:t>
      </w:r>
      <w:r>
        <w:rPr>
          <w:spacing w:val="-15"/>
        </w:rPr>
        <w:t> </w:t>
      </w:r>
      <w:r>
        <w:rPr/>
        <w:t>de</w:t>
      </w:r>
      <w:r>
        <w:rPr>
          <w:spacing w:val="-17"/>
        </w:rPr>
        <w:t> </w:t>
      </w:r>
      <w:r>
        <w:rPr/>
        <w:t>“profundizar</w:t>
      </w:r>
      <w:r>
        <w:rPr>
          <w:spacing w:val="-17"/>
        </w:rPr>
        <w:t> </w:t>
      </w:r>
      <w:r>
        <w:rPr/>
        <w:t>el</w:t>
      </w:r>
      <w:r>
        <w:rPr>
          <w:spacing w:val="-13"/>
        </w:rPr>
        <w:t> </w:t>
      </w:r>
      <w:r>
        <w:rPr/>
        <w:t>proceso</w:t>
      </w:r>
      <w:r>
        <w:rPr>
          <w:spacing w:val="-18"/>
        </w:rPr>
        <w:t> </w:t>
      </w:r>
      <w:r>
        <w:rPr/>
        <w:t>de</w:t>
      </w:r>
      <w:r>
        <w:rPr>
          <w:spacing w:val="-15"/>
        </w:rPr>
        <w:t> </w:t>
      </w:r>
      <w:r>
        <w:rPr/>
        <w:t>regularización</w:t>
      </w:r>
      <w:r>
        <w:rPr>
          <w:spacing w:val="-15"/>
        </w:rPr>
        <w:t> </w:t>
      </w:r>
      <w:r>
        <w:rPr/>
        <w:t>[…]</w:t>
      </w:r>
      <w:r>
        <w:rPr>
          <w:spacing w:val="-11"/>
        </w:rPr>
        <w:t> </w:t>
      </w:r>
      <w:r>
        <w:rPr/>
        <w:t>con</w:t>
      </w:r>
      <w:r>
        <w:rPr>
          <w:spacing w:val="-13"/>
        </w:rPr>
        <w:t> </w:t>
      </w:r>
      <w:r>
        <w:rPr/>
        <w:t>el</w:t>
      </w:r>
      <w:r>
        <w:rPr>
          <w:spacing w:val="-15"/>
        </w:rPr>
        <w:t> </w:t>
      </w:r>
      <w:r>
        <w:rPr/>
        <w:t>propósito de</w:t>
      </w:r>
      <w:r>
        <w:rPr>
          <w:spacing w:val="-22"/>
        </w:rPr>
        <w:t> </w:t>
      </w:r>
      <w:r>
        <w:rPr/>
        <w:t>garantizar</w:t>
      </w:r>
      <w:r>
        <w:rPr>
          <w:spacing w:val="-19"/>
        </w:rPr>
        <w:t> </w:t>
      </w:r>
      <w:r>
        <w:rPr/>
        <w:t>el</w:t>
      </w:r>
      <w:r>
        <w:rPr>
          <w:spacing w:val="-18"/>
        </w:rPr>
        <w:t> </w:t>
      </w:r>
      <w:r>
        <w:rPr/>
        <w:t>reconocimiento</w:t>
      </w:r>
      <w:r>
        <w:rPr>
          <w:spacing w:val="-22"/>
        </w:rPr>
        <w:t> </w:t>
      </w:r>
      <w:r>
        <w:rPr/>
        <w:t>de</w:t>
      </w:r>
      <w:r>
        <w:rPr>
          <w:spacing w:val="-22"/>
        </w:rPr>
        <w:t> </w:t>
      </w:r>
      <w:r>
        <w:rPr/>
        <w:t>la</w:t>
      </w:r>
      <w:r>
        <w:rPr>
          <w:spacing w:val="-21"/>
        </w:rPr>
        <w:t> </w:t>
      </w:r>
      <w:r>
        <w:rPr/>
        <w:t>propiedad</w:t>
      </w:r>
      <w:r>
        <w:rPr>
          <w:spacing w:val="-20"/>
        </w:rPr>
        <w:t> </w:t>
      </w:r>
      <w:r>
        <w:rPr/>
        <w:t>de</w:t>
      </w:r>
      <w:r>
        <w:rPr>
          <w:spacing w:val="-22"/>
        </w:rPr>
        <w:t> </w:t>
      </w:r>
      <w:r>
        <w:rPr/>
        <w:t>las</w:t>
      </w:r>
      <w:r>
        <w:rPr>
          <w:spacing w:val="-19"/>
        </w:rPr>
        <w:t> </w:t>
      </w:r>
      <w:r>
        <w:rPr/>
        <w:t>comunidades”.</w:t>
      </w:r>
      <w:r>
        <w:rPr>
          <w:spacing w:val="-12"/>
        </w:rPr>
        <w:t> </w:t>
      </w:r>
      <w:r>
        <w:rPr/>
        <w:t>Dispuso</w:t>
      </w:r>
      <w:r>
        <w:rPr>
          <w:spacing w:val="-23"/>
        </w:rPr>
        <w:t> </w:t>
      </w:r>
      <w:r>
        <w:rPr/>
        <w:t>la</w:t>
      </w:r>
      <w:r>
        <w:rPr>
          <w:spacing w:val="-21"/>
        </w:rPr>
        <w:t> </w:t>
      </w:r>
      <w:r>
        <w:rPr/>
        <w:t>creación de la “Unidad Ejecutora Provincial para el Relevamiento Territorial de Comunidades Indígenas</w:t>
      </w:r>
      <w:r>
        <w:rPr>
          <w:spacing w:val="-18"/>
        </w:rPr>
        <w:t> </w:t>
      </w:r>
      <w:r>
        <w:rPr/>
        <w:t>de</w:t>
      </w:r>
      <w:r>
        <w:rPr>
          <w:spacing w:val="-17"/>
        </w:rPr>
        <w:t> </w:t>
      </w:r>
      <w:r>
        <w:rPr/>
        <w:t>la</w:t>
      </w:r>
      <w:r>
        <w:rPr>
          <w:spacing w:val="-17"/>
        </w:rPr>
        <w:t> </w:t>
      </w:r>
      <w:r>
        <w:rPr/>
        <w:t>Provincia</w:t>
      </w:r>
      <w:r>
        <w:rPr>
          <w:spacing w:val="-17"/>
        </w:rPr>
        <w:t> </w:t>
      </w:r>
      <w:r>
        <w:rPr/>
        <w:t>de</w:t>
      </w:r>
      <w:r>
        <w:rPr>
          <w:spacing w:val="-19"/>
        </w:rPr>
        <w:t> </w:t>
      </w:r>
      <w:r>
        <w:rPr/>
        <w:t>Salta</w:t>
      </w:r>
      <w:r>
        <w:rPr>
          <w:spacing w:val="-15"/>
        </w:rPr>
        <w:t> </w:t>
      </w:r>
      <w:r>
        <w:rPr/>
        <w:t>(U.E.P.Re.Te.C.I.)”,</w:t>
      </w:r>
      <w:r>
        <w:rPr>
          <w:spacing w:val="-16"/>
        </w:rPr>
        <w:t> </w:t>
      </w:r>
      <w:r>
        <w:rPr/>
        <w:t>a</w:t>
      </w:r>
      <w:r>
        <w:rPr>
          <w:spacing w:val="-17"/>
        </w:rPr>
        <w:t> </w:t>
      </w:r>
      <w:r>
        <w:rPr/>
        <w:t>fin</w:t>
      </w:r>
      <w:r>
        <w:rPr>
          <w:spacing w:val="-16"/>
        </w:rPr>
        <w:t> </w:t>
      </w:r>
      <w:r>
        <w:rPr/>
        <w:t>de</w:t>
      </w:r>
      <w:r>
        <w:rPr>
          <w:spacing w:val="-16"/>
        </w:rPr>
        <w:t> </w:t>
      </w:r>
      <w:r>
        <w:rPr/>
        <w:t>“coordinar”</w:t>
      </w:r>
      <w:r>
        <w:rPr>
          <w:spacing w:val="-18"/>
        </w:rPr>
        <w:t> </w:t>
      </w:r>
      <w:r>
        <w:rPr/>
        <w:t>acciones</w:t>
      </w:r>
      <w:r>
        <w:rPr>
          <w:spacing w:val="-16"/>
        </w:rPr>
        <w:t> </w:t>
      </w:r>
      <w:r>
        <w:rPr/>
        <w:t>entre la</w:t>
      </w:r>
      <w:r>
        <w:rPr>
          <w:spacing w:val="-11"/>
        </w:rPr>
        <w:t> </w:t>
      </w:r>
      <w:r>
        <w:rPr/>
        <w:t>Nación</w:t>
      </w:r>
      <w:r>
        <w:rPr>
          <w:spacing w:val="-11"/>
        </w:rPr>
        <w:t> </w:t>
      </w:r>
      <w:r>
        <w:rPr/>
        <w:t>y</w:t>
      </w:r>
      <w:r>
        <w:rPr>
          <w:spacing w:val="-11"/>
        </w:rPr>
        <w:t> </w:t>
      </w:r>
      <w:r>
        <w:rPr/>
        <w:t>la</w:t>
      </w:r>
      <w:r>
        <w:rPr>
          <w:spacing w:val="-11"/>
        </w:rPr>
        <w:t> </w:t>
      </w:r>
      <w:r>
        <w:rPr/>
        <w:t>Provincia</w:t>
      </w:r>
      <w:r>
        <w:rPr>
          <w:spacing w:val="-8"/>
        </w:rPr>
        <w:t> </w:t>
      </w:r>
      <w:r>
        <w:rPr/>
        <w:t>para</w:t>
      </w:r>
      <w:r>
        <w:rPr>
          <w:spacing w:val="-11"/>
        </w:rPr>
        <w:t> </w:t>
      </w:r>
      <w:r>
        <w:rPr/>
        <w:t>el</w:t>
      </w:r>
      <w:r>
        <w:rPr>
          <w:spacing w:val="-11"/>
        </w:rPr>
        <w:t> </w:t>
      </w:r>
      <w:r>
        <w:rPr/>
        <w:t>“relevamiento”</w:t>
      </w:r>
      <w:r>
        <w:rPr>
          <w:spacing w:val="-11"/>
        </w:rPr>
        <w:t> </w:t>
      </w:r>
      <w:r>
        <w:rPr/>
        <w:t>de</w:t>
      </w:r>
      <w:r>
        <w:rPr>
          <w:spacing w:val="-12"/>
        </w:rPr>
        <w:t> </w:t>
      </w:r>
      <w:r>
        <w:rPr/>
        <w:t>“tierras</w:t>
      </w:r>
      <w:r>
        <w:rPr>
          <w:spacing w:val="-11"/>
        </w:rPr>
        <w:t> </w:t>
      </w:r>
      <w:r>
        <w:rPr/>
        <w:t>ocupadas</w:t>
      </w:r>
      <w:r>
        <w:rPr>
          <w:spacing w:val="-11"/>
        </w:rPr>
        <w:t> </w:t>
      </w:r>
      <w:r>
        <w:rPr/>
        <w:t>por</w:t>
      </w:r>
      <w:r>
        <w:rPr>
          <w:spacing w:val="-11"/>
        </w:rPr>
        <w:t> </w:t>
      </w:r>
      <w:r>
        <w:rPr/>
        <w:t>las</w:t>
      </w:r>
      <w:r>
        <w:rPr>
          <w:spacing w:val="-11"/>
        </w:rPr>
        <w:t> </w:t>
      </w:r>
      <w:r>
        <w:rPr/>
        <w:t>comunidades indígenas”.</w:t>
      </w:r>
    </w:p>
    <w:p>
      <w:pPr>
        <w:pStyle w:val="Heading4"/>
        <w:numPr>
          <w:ilvl w:val="1"/>
          <w:numId w:val="17"/>
        </w:numPr>
        <w:tabs>
          <w:tab w:pos="830" w:val="left" w:leader="none"/>
        </w:tabs>
        <w:spacing w:line="240" w:lineRule="auto" w:before="194" w:after="0"/>
        <w:ind w:left="830" w:right="0" w:hanging="425"/>
        <w:jc w:val="left"/>
        <w:rPr>
          <w:i/>
        </w:rPr>
      </w:pPr>
      <w:bookmarkStart w:name="_bookmark21" w:id="33"/>
      <w:bookmarkEnd w:id="33"/>
      <w:r>
        <w:rPr>
          <w:b w:val="0"/>
          <w:i w:val="0"/>
        </w:rPr>
      </w:r>
      <w:bookmarkStart w:name="_bookmark21" w:id="34"/>
      <w:bookmarkEnd w:id="34"/>
      <w:r>
        <w:rPr>
          <w:i/>
          <w:u w:val="thick"/>
        </w:rPr>
        <w:t>Rec</w:t>
      </w:r>
      <w:r>
        <w:rPr>
          <w:i/>
          <w:u w:val="thick"/>
        </w:rPr>
        <w:t>lamos territoriales indígenas en el</w:t>
      </w:r>
      <w:r>
        <w:rPr>
          <w:i/>
          <w:spacing w:val="-22"/>
          <w:u w:val="thick"/>
        </w:rPr>
        <w:t> </w:t>
      </w:r>
      <w:r>
        <w:rPr>
          <w:i/>
          <w:u w:val="thick"/>
        </w:rPr>
        <w:t>caso</w:t>
      </w:r>
    </w:p>
    <w:p>
      <w:pPr>
        <w:pStyle w:val="BodyText"/>
        <w:spacing w:before="11"/>
        <w:rPr>
          <w:b/>
          <w:i/>
          <w:sz w:val="11"/>
        </w:rPr>
      </w:pPr>
    </w:p>
    <w:p>
      <w:pPr>
        <w:pStyle w:val="ListParagraph"/>
        <w:numPr>
          <w:ilvl w:val="0"/>
          <w:numId w:val="14"/>
        </w:numPr>
        <w:tabs>
          <w:tab w:pos="830" w:val="left" w:leader="none"/>
        </w:tabs>
        <w:spacing w:line="240" w:lineRule="auto" w:before="99" w:after="0"/>
        <w:ind w:left="122" w:right="116" w:firstLine="0"/>
        <w:jc w:val="both"/>
        <w:rPr>
          <w:sz w:val="20"/>
        </w:rPr>
      </w:pPr>
      <w:r>
        <w:rPr>
          <w:sz w:val="20"/>
        </w:rPr>
        <w:t>La Corte dará cuenta a continuación de las incidencias que siguió el reclamo indígena sobre la tierra. A efectos de una mayor claridad en la exposición, se dividirán las circunstancias acaecidas durante cerca de 35 años (contando los primeros antecedentes)</w:t>
      </w:r>
      <w:r>
        <w:rPr>
          <w:spacing w:val="-10"/>
          <w:sz w:val="20"/>
        </w:rPr>
        <w:t> </w:t>
      </w:r>
      <w:r>
        <w:rPr>
          <w:sz w:val="20"/>
        </w:rPr>
        <w:t>en</w:t>
      </w:r>
      <w:r>
        <w:rPr>
          <w:spacing w:val="-12"/>
          <w:sz w:val="20"/>
        </w:rPr>
        <w:t> </w:t>
      </w:r>
      <w:r>
        <w:rPr>
          <w:sz w:val="20"/>
        </w:rPr>
        <w:t>etapas</w:t>
      </w:r>
      <w:r>
        <w:rPr>
          <w:spacing w:val="-11"/>
          <w:sz w:val="20"/>
        </w:rPr>
        <w:t> </w:t>
      </w:r>
      <w:r>
        <w:rPr>
          <w:sz w:val="20"/>
        </w:rPr>
        <w:t>o</w:t>
      </w:r>
      <w:r>
        <w:rPr>
          <w:spacing w:val="-14"/>
          <w:sz w:val="20"/>
        </w:rPr>
        <w:t> </w:t>
      </w:r>
      <w:r>
        <w:rPr>
          <w:sz w:val="20"/>
        </w:rPr>
        <w:t>fases.</w:t>
      </w:r>
      <w:r>
        <w:rPr>
          <w:spacing w:val="-12"/>
          <w:sz w:val="20"/>
        </w:rPr>
        <w:t> </w:t>
      </w:r>
      <w:r>
        <w:rPr>
          <w:sz w:val="20"/>
        </w:rPr>
        <w:t>Las</w:t>
      </w:r>
      <w:r>
        <w:rPr>
          <w:spacing w:val="-13"/>
          <w:sz w:val="20"/>
        </w:rPr>
        <w:t> </w:t>
      </w:r>
      <w:r>
        <w:rPr>
          <w:sz w:val="20"/>
        </w:rPr>
        <w:t>mismas</w:t>
      </w:r>
      <w:r>
        <w:rPr>
          <w:spacing w:val="-11"/>
          <w:sz w:val="20"/>
        </w:rPr>
        <w:t> </w:t>
      </w:r>
      <w:r>
        <w:rPr>
          <w:sz w:val="20"/>
        </w:rPr>
        <w:t>responden,</w:t>
      </w:r>
      <w:r>
        <w:rPr>
          <w:spacing w:val="-11"/>
          <w:sz w:val="20"/>
        </w:rPr>
        <w:t> </w:t>
      </w:r>
      <w:r>
        <w:rPr>
          <w:sz w:val="20"/>
        </w:rPr>
        <w:t>conforme</w:t>
      </w:r>
      <w:r>
        <w:rPr>
          <w:spacing w:val="-14"/>
          <w:sz w:val="20"/>
        </w:rPr>
        <w:t> </w:t>
      </w:r>
      <w:r>
        <w:rPr>
          <w:sz w:val="20"/>
        </w:rPr>
        <w:t>ha</w:t>
      </w:r>
      <w:r>
        <w:rPr>
          <w:spacing w:val="-10"/>
          <w:sz w:val="20"/>
        </w:rPr>
        <w:t> </w:t>
      </w:r>
      <w:r>
        <w:rPr>
          <w:sz w:val="20"/>
        </w:rPr>
        <w:t>podido</w:t>
      </w:r>
      <w:r>
        <w:rPr>
          <w:spacing w:val="-14"/>
          <w:sz w:val="20"/>
        </w:rPr>
        <w:t> </w:t>
      </w:r>
      <w:r>
        <w:rPr>
          <w:sz w:val="20"/>
        </w:rPr>
        <w:t>notar</w:t>
      </w:r>
      <w:r>
        <w:rPr>
          <w:spacing w:val="-11"/>
          <w:sz w:val="20"/>
        </w:rPr>
        <w:t> </w:t>
      </w:r>
      <w:r>
        <w:rPr>
          <w:sz w:val="20"/>
        </w:rPr>
        <w:t>este Tribunal, a modificaciones en el tipo de políticas estatales respecto a la propiedad indígena.</w:t>
      </w:r>
      <w:r>
        <w:rPr>
          <w:spacing w:val="-18"/>
          <w:sz w:val="20"/>
        </w:rPr>
        <w:t> </w:t>
      </w:r>
      <w:r>
        <w:rPr>
          <w:sz w:val="20"/>
        </w:rPr>
        <w:t>Así,</w:t>
      </w:r>
      <w:r>
        <w:rPr>
          <w:spacing w:val="-18"/>
          <w:sz w:val="20"/>
        </w:rPr>
        <w:t> </w:t>
      </w:r>
      <w:r>
        <w:rPr>
          <w:sz w:val="20"/>
        </w:rPr>
        <w:t>se</w:t>
      </w:r>
      <w:r>
        <w:rPr>
          <w:spacing w:val="-17"/>
          <w:sz w:val="20"/>
        </w:rPr>
        <w:t> </w:t>
      </w:r>
      <w:r>
        <w:rPr>
          <w:sz w:val="20"/>
        </w:rPr>
        <w:t>expondrá:</w:t>
      </w:r>
      <w:r>
        <w:rPr>
          <w:spacing w:val="-17"/>
          <w:sz w:val="20"/>
        </w:rPr>
        <w:t> </w:t>
      </w:r>
      <w:r>
        <w:rPr>
          <w:sz w:val="20"/>
        </w:rPr>
        <w:t>a)</w:t>
      </w:r>
      <w:r>
        <w:rPr>
          <w:spacing w:val="-17"/>
          <w:sz w:val="20"/>
        </w:rPr>
        <w:t> </w:t>
      </w:r>
      <w:r>
        <w:rPr>
          <w:sz w:val="20"/>
        </w:rPr>
        <w:t>una</w:t>
      </w:r>
      <w:r>
        <w:rPr>
          <w:spacing w:val="-17"/>
          <w:sz w:val="20"/>
        </w:rPr>
        <w:t> </w:t>
      </w:r>
      <w:r>
        <w:rPr>
          <w:sz w:val="20"/>
        </w:rPr>
        <w:t>primera</w:t>
      </w:r>
      <w:r>
        <w:rPr>
          <w:spacing w:val="-17"/>
          <w:sz w:val="20"/>
        </w:rPr>
        <w:t> </w:t>
      </w:r>
      <w:r>
        <w:rPr>
          <w:sz w:val="20"/>
        </w:rPr>
        <w:t>fase</w:t>
      </w:r>
      <w:r>
        <w:rPr>
          <w:spacing w:val="-19"/>
          <w:sz w:val="20"/>
        </w:rPr>
        <w:t> </w:t>
      </w:r>
      <w:r>
        <w:rPr>
          <w:sz w:val="20"/>
        </w:rPr>
        <w:t>(antes</w:t>
      </w:r>
      <w:r>
        <w:rPr>
          <w:spacing w:val="-18"/>
          <w:sz w:val="20"/>
        </w:rPr>
        <w:t> </w:t>
      </w:r>
      <w:r>
        <w:rPr>
          <w:sz w:val="20"/>
        </w:rPr>
        <w:t>de</w:t>
      </w:r>
      <w:r>
        <w:rPr>
          <w:spacing w:val="-19"/>
          <w:sz w:val="20"/>
        </w:rPr>
        <w:t> </w:t>
      </w:r>
      <w:r>
        <w:rPr>
          <w:sz w:val="20"/>
        </w:rPr>
        <w:t>1999),</w:t>
      </w:r>
      <w:r>
        <w:rPr>
          <w:spacing w:val="-16"/>
          <w:sz w:val="20"/>
        </w:rPr>
        <w:t> </w:t>
      </w:r>
      <w:r>
        <w:rPr>
          <w:sz w:val="20"/>
        </w:rPr>
        <w:t>en</w:t>
      </w:r>
      <w:r>
        <w:rPr>
          <w:spacing w:val="-17"/>
          <w:sz w:val="20"/>
        </w:rPr>
        <w:t> </w:t>
      </w:r>
      <w:r>
        <w:rPr>
          <w:sz w:val="20"/>
        </w:rPr>
        <w:t>que</w:t>
      </w:r>
      <w:r>
        <w:rPr>
          <w:spacing w:val="-19"/>
          <w:sz w:val="20"/>
        </w:rPr>
        <w:t> </w:t>
      </w:r>
      <w:r>
        <w:rPr>
          <w:sz w:val="20"/>
        </w:rPr>
        <w:t>el</w:t>
      </w:r>
      <w:r>
        <w:rPr>
          <w:spacing w:val="-17"/>
          <w:sz w:val="20"/>
        </w:rPr>
        <w:t> </w:t>
      </w:r>
      <w:r>
        <w:rPr>
          <w:sz w:val="20"/>
        </w:rPr>
        <w:t>Estado</w:t>
      </w:r>
      <w:r>
        <w:rPr>
          <w:spacing w:val="-19"/>
          <w:sz w:val="20"/>
        </w:rPr>
        <w:t> </w:t>
      </w:r>
      <w:r>
        <w:rPr>
          <w:sz w:val="20"/>
        </w:rPr>
        <w:t>recibió los primeros reclamos y avanzó hacia un reconocimiento unificado de la propiedad; b) una segunda fase (1999 - 2004), en que la política estatal se orientó hacia un reconocimiento</w:t>
      </w:r>
      <w:r>
        <w:rPr>
          <w:spacing w:val="-10"/>
          <w:sz w:val="20"/>
        </w:rPr>
        <w:t> </w:t>
      </w:r>
      <w:r>
        <w:rPr>
          <w:sz w:val="20"/>
        </w:rPr>
        <w:t>fraccionado</w:t>
      </w:r>
      <w:r>
        <w:rPr>
          <w:spacing w:val="-10"/>
          <w:sz w:val="20"/>
        </w:rPr>
        <w:t> </w:t>
      </w:r>
      <w:r>
        <w:rPr>
          <w:sz w:val="20"/>
        </w:rPr>
        <w:t>de</w:t>
      </w:r>
      <w:r>
        <w:rPr>
          <w:spacing w:val="-8"/>
          <w:sz w:val="20"/>
        </w:rPr>
        <w:t> </w:t>
      </w:r>
      <w:r>
        <w:rPr>
          <w:sz w:val="20"/>
        </w:rPr>
        <w:t>la</w:t>
      </w:r>
      <w:r>
        <w:rPr>
          <w:spacing w:val="-9"/>
          <w:sz w:val="20"/>
        </w:rPr>
        <w:t> </w:t>
      </w:r>
      <w:r>
        <w:rPr>
          <w:sz w:val="20"/>
        </w:rPr>
        <w:t>propiedad;</w:t>
      </w:r>
      <w:r>
        <w:rPr>
          <w:spacing w:val="-6"/>
          <w:sz w:val="20"/>
        </w:rPr>
        <w:t> </w:t>
      </w:r>
      <w:r>
        <w:rPr>
          <w:sz w:val="20"/>
        </w:rPr>
        <w:t>c)</w:t>
      </w:r>
      <w:r>
        <w:rPr>
          <w:spacing w:val="-6"/>
          <w:sz w:val="20"/>
        </w:rPr>
        <w:t> </w:t>
      </w:r>
      <w:r>
        <w:rPr>
          <w:sz w:val="20"/>
        </w:rPr>
        <w:t>una</w:t>
      </w:r>
      <w:r>
        <w:rPr>
          <w:spacing w:val="-9"/>
          <w:sz w:val="20"/>
        </w:rPr>
        <w:t> </w:t>
      </w:r>
      <w:r>
        <w:rPr>
          <w:sz w:val="20"/>
        </w:rPr>
        <w:t>tercera</w:t>
      </w:r>
      <w:r>
        <w:rPr>
          <w:spacing w:val="-9"/>
          <w:sz w:val="20"/>
        </w:rPr>
        <w:t> </w:t>
      </w:r>
      <w:r>
        <w:rPr>
          <w:sz w:val="20"/>
        </w:rPr>
        <w:t>fase</w:t>
      </w:r>
      <w:r>
        <w:rPr>
          <w:spacing w:val="-11"/>
          <w:sz w:val="20"/>
        </w:rPr>
        <w:t> </w:t>
      </w:r>
      <w:r>
        <w:rPr>
          <w:sz w:val="20"/>
        </w:rPr>
        <w:t>(2005</w:t>
      </w:r>
      <w:r>
        <w:rPr>
          <w:spacing w:val="-6"/>
          <w:sz w:val="20"/>
        </w:rPr>
        <w:t> </w:t>
      </w:r>
      <w:r>
        <w:rPr>
          <w:sz w:val="20"/>
        </w:rPr>
        <w:t>y</w:t>
      </w:r>
      <w:r>
        <w:rPr>
          <w:spacing w:val="-9"/>
          <w:sz w:val="20"/>
        </w:rPr>
        <w:t> </w:t>
      </w:r>
      <w:r>
        <w:rPr>
          <w:sz w:val="20"/>
        </w:rPr>
        <w:t>2006),</w:t>
      </w:r>
      <w:r>
        <w:rPr>
          <w:spacing w:val="-9"/>
          <w:sz w:val="20"/>
        </w:rPr>
        <w:t> </w:t>
      </w:r>
      <w:r>
        <w:rPr>
          <w:sz w:val="20"/>
        </w:rPr>
        <w:t>signada por</w:t>
      </w:r>
      <w:r>
        <w:rPr>
          <w:spacing w:val="-9"/>
          <w:sz w:val="20"/>
        </w:rPr>
        <w:t> </w:t>
      </w:r>
      <w:r>
        <w:rPr>
          <w:sz w:val="20"/>
        </w:rPr>
        <w:t>la</w:t>
      </w:r>
      <w:r>
        <w:rPr>
          <w:spacing w:val="-10"/>
          <w:sz w:val="20"/>
        </w:rPr>
        <w:t> </w:t>
      </w:r>
      <w:r>
        <w:rPr>
          <w:sz w:val="20"/>
        </w:rPr>
        <w:t>realización</w:t>
      </w:r>
      <w:r>
        <w:rPr>
          <w:spacing w:val="-9"/>
          <w:sz w:val="20"/>
        </w:rPr>
        <w:t> </w:t>
      </w:r>
      <w:r>
        <w:rPr>
          <w:sz w:val="20"/>
        </w:rPr>
        <w:t>de</w:t>
      </w:r>
      <w:r>
        <w:rPr>
          <w:spacing w:val="-9"/>
          <w:sz w:val="20"/>
        </w:rPr>
        <w:t> </w:t>
      </w:r>
      <w:r>
        <w:rPr>
          <w:sz w:val="20"/>
        </w:rPr>
        <w:t>un</w:t>
      </w:r>
      <w:r>
        <w:rPr>
          <w:spacing w:val="-7"/>
          <w:sz w:val="20"/>
        </w:rPr>
        <w:t> </w:t>
      </w:r>
      <w:r>
        <w:rPr>
          <w:sz w:val="20"/>
        </w:rPr>
        <w:t>referéndum</w:t>
      </w:r>
      <w:r>
        <w:rPr>
          <w:spacing w:val="-7"/>
          <w:sz w:val="20"/>
        </w:rPr>
        <w:t> </w:t>
      </w:r>
      <w:r>
        <w:rPr>
          <w:sz w:val="20"/>
        </w:rPr>
        <w:t>respecto</w:t>
      </w:r>
      <w:r>
        <w:rPr>
          <w:spacing w:val="-9"/>
          <w:sz w:val="20"/>
        </w:rPr>
        <w:t> </w:t>
      </w:r>
      <w:r>
        <w:rPr>
          <w:sz w:val="20"/>
        </w:rPr>
        <w:t>a</w:t>
      </w:r>
      <w:r>
        <w:rPr>
          <w:spacing w:val="-10"/>
          <w:sz w:val="20"/>
        </w:rPr>
        <w:t> </w:t>
      </w:r>
      <w:r>
        <w:rPr>
          <w:sz w:val="20"/>
        </w:rPr>
        <w:t>la</w:t>
      </w:r>
      <w:r>
        <w:rPr>
          <w:spacing w:val="-10"/>
          <w:sz w:val="20"/>
        </w:rPr>
        <w:t> </w:t>
      </w:r>
      <w:r>
        <w:rPr>
          <w:sz w:val="20"/>
        </w:rPr>
        <w:t>propiedad</w:t>
      </w:r>
      <w:r>
        <w:rPr>
          <w:spacing w:val="-7"/>
          <w:sz w:val="20"/>
        </w:rPr>
        <w:t> </w:t>
      </w:r>
      <w:r>
        <w:rPr>
          <w:sz w:val="20"/>
        </w:rPr>
        <w:t>y</w:t>
      </w:r>
      <w:r>
        <w:rPr>
          <w:spacing w:val="-11"/>
          <w:sz w:val="20"/>
        </w:rPr>
        <w:t> </w:t>
      </w:r>
      <w:r>
        <w:rPr>
          <w:sz w:val="20"/>
        </w:rPr>
        <w:t>la</w:t>
      </w:r>
      <w:r>
        <w:rPr>
          <w:spacing w:val="-8"/>
          <w:sz w:val="20"/>
        </w:rPr>
        <w:t> </w:t>
      </w:r>
      <w:r>
        <w:rPr>
          <w:sz w:val="20"/>
        </w:rPr>
        <w:t>creación</w:t>
      </w:r>
      <w:r>
        <w:rPr>
          <w:spacing w:val="-9"/>
          <w:sz w:val="20"/>
        </w:rPr>
        <w:t> </w:t>
      </w:r>
      <w:r>
        <w:rPr>
          <w:sz w:val="20"/>
        </w:rPr>
        <w:t>de</w:t>
      </w:r>
      <w:r>
        <w:rPr>
          <w:spacing w:val="-12"/>
          <w:sz w:val="20"/>
        </w:rPr>
        <w:t> </w:t>
      </w:r>
      <w:r>
        <w:rPr>
          <w:sz w:val="20"/>
        </w:rPr>
        <w:t>una</w:t>
      </w:r>
      <w:r>
        <w:rPr>
          <w:spacing w:val="-8"/>
          <w:sz w:val="20"/>
        </w:rPr>
        <w:t> </w:t>
      </w:r>
      <w:r>
        <w:rPr>
          <w:sz w:val="20"/>
        </w:rPr>
        <w:t>entidad estatal específica para implementar acciones referidas a la tierra, y d) una cuarta fase (a partir de 2007), en que se desarrollan acuerdos entre criollos e indígenas y se efectúan acciones tendientes a su</w:t>
      </w:r>
      <w:r>
        <w:rPr>
          <w:spacing w:val="-22"/>
          <w:sz w:val="20"/>
        </w:rPr>
        <w:t> </w:t>
      </w:r>
      <w:r>
        <w:rPr>
          <w:sz w:val="20"/>
        </w:rPr>
        <w:t>implementación.</w:t>
      </w:r>
    </w:p>
    <w:p>
      <w:pPr>
        <w:pStyle w:val="BodyText"/>
      </w:pPr>
    </w:p>
    <w:p>
      <w:pPr>
        <w:pStyle w:val="Heading4"/>
        <w:numPr>
          <w:ilvl w:val="1"/>
          <w:numId w:val="18"/>
        </w:numPr>
        <w:tabs>
          <w:tab w:pos="1133" w:val="left" w:leader="none"/>
        </w:tabs>
        <w:spacing w:line="240" w:lineRule="auto" w:before="1" w:after="0"/>
        <w:ind w:left="688" w:right="121" w:firstLine="0"/>
        <w:jc w:val="left"/>
      </w:pPr>
      <w:bookmarkStart w:name="_bookmark22" w:id="35"/>
      <w:bookmarkEnd w:id="35"/>
      <w:r>
        <w:rPr>
          <w:b w:val="0"/>
          <w:i w:val="0"/>
        </w:rPr>
      </w:r>
      <w:bookmarkStart w:name="_bookmark22" w:id="36"/>
      <w:bookmarkEnd w:id="36"/>
      <w:r>
        <w:rPr>
          <w:i/>
        </w:rPr>
        <w:t>P</w:t>
      </w:r>
      <w:r>
        <w:rPr>
          <w:i/>
        </w:rPr>
        <w:t>rimera fase (antes de 1999): primeros reclamos y compromisos de </w:t>
      </w:r>
      <w:r>
        <w:rPr/>
        <w:t>titulación</w:t>
      </w:r>
    </w:p>
    <w:p>
      <w:pPr>
        <w:pStyle w:val="BodyText"/>
        <w:spacing w:before="3"/>
        <w:rPr>
          <w:b/>
          <w:i/>
        </w:rPr>
      </w:pPr>
    </w:p>
    <w:p>
      <w:pPr>
        <w:pStyle w:val="ListParagraph"/>
        <w:numPr>
          <w:ilvl w:val="0"/>
          <w:numId w:val="14"/>
        </w:numPr>
        <w:tabs>
          <w:tab w:pos="830" w:val="left" w:leader="none"/>
        </w:tabs>
        <w:spacing w:line="237" w:lineRule="auto" w:before="0" w:after="0"/>
        <w:ind w:left="122" w:right="119" w:firstLine="0"/>
        <w:jc w:val="both"/>
        <w:rPr>
          <w:sz w:val="20"/>
        </w:rPr>
      </w:pPr>
      <w:r>
        <w:rPr>
          <w:sz w:val="20"/>
        </w:rPr>
        <w:t>Como antecedente a los hechos del caso consta que </w:t>
      </w:r>
      <w:r>
        <w:rPr>
          <w:spacing w:val="2"/>
          <w:sz w:val="20"/>
        </w:rPr>
        <w:t>el </w:t>
      </w:r>
      <w:r>
        <w:rPr>
          <w:sz w:val="20"/>
        </w:rPr>
        <w:t>26 de junio de 1984 comunidades indígenas asentadas en los lotes 14 y 55, en una “Declaración conjunta”, solicitaron a Salta la titulación de la tierra a su favor y se opusieron a la parcelación del territorio</w:t>
      </w:r>
      <w:r>
        <w:rPr>
          <w:rFonts w:ascii="Calibri" w:hAnsi="Calibri"/>
          <w:position w:val="8"/>
          <w:sz w:val="14"/>
        </w:rPr>
        <w:t>45</w:t>
      </w:r>
      <w:r>
        <w:rPr>
          <w:sz w:val="20"/>
        </w:rPr>
        <w:t>.</w:t>
      </w:r>
    </w:p>
    <w:p>
      <w:pPr>
        <w:pStyle w:val="BodyText"/>
        <w:spacing w:before="10"/>
        <w:rPr>
          <w:sz w:val="21"/>
        </w:rPr>
      </w:pPr>
    </w:p>
    <w:p>
      <w:pPr>
        <w:pStyle w:val="ListParagraph"/>
        <w:numPr>
          <w:ilvl w:val="0"/>
          <w:numId w:val="14"/>
        </w:numPr>
        <w:tabs>
          <w:tab w:pos="830" w:val="left" w:leader="none"/>
        </w:tabs>
        <w:spacing w:line="237" w:lineRule="auto" w:before="0" w:after="0"/>
        <w:ind w:left="122" w:right="119" w:firstLine="0"/>
        <w:jc w:val="both"/>
        <w:rPr>
          <w:sz w:val="20"/>
        </w:rPr>
      </w:pPr>
      <w:r>
        <w:rPr>
          <w:sz w:val="20"/>
        </w:rPr>
        <w:t>En 1987 el Estado provincial dispuso reconocer la propiedad a “ocupantes” del lote 55, cualquiera fuera su “condición” (o sea, tanto criollos como indígenas), que cumplieran determinados</w:t>
      </w:r>
      <w:r>
        <w:rPr>
          <w:spacing w:val="-12"/>
          <w:sz w:val="20"/>
        </w:rPr>
        <w:t> </w:t>
      </w:r>
      <w:r>
        <w:rPr>
          <w:sz w:val="20"/>
        </w:rPr>
        <w:t>requisitos</w:t>
      </w:r>
      <w:r>
        <w:rPr>
          <w:rFonts w:ascii="Calibri" w:hAnsi="Calibri"/>
          <w:position w:val="8"/>
          <w:sz w:val="14"/>
        </w:rPr>
        <w:t>46</w:t>
      </w:r>
      <w:r>
        <w:rPr>
          <w:sz w:val="20"/>
        </w:rPr>
        <w:t>.</w:t>
      </w:r>
    </w:p>
    <w:p>
      <w:pPr>
        <w:pStyle w:val="BodyText"/>
        <w:spacing w:before="8"/>
        <w:rPr>
          <w:sz w:val="26"/>
        </w:rPr>
      </w:pPr>
      <w:r>
        <w:rPr/>
        <w:pict>
          <v:line style="position:absolute;mso-position-horizontal-relative:page;mso-position-vertical-relative:paragraph;z-index:1528;mso-wrap-distance-left:0;mso-wrap-distance-right:0" from="85.103996pt,18.546673pt" to="229.123996pt,18.546673pt" stroked="true" strokeweight=".71997pt" strokecolor="#000000">
            <v:stroke dashstyle="solid"/>
            <w10:wrap type="topAndBottom"/>
          </v:line>
        </w:pict>
      </w:r>
    </w:p>
    <w:p>
      <w:pPr>
        <w:tabs>
          <w:tab w:pos="829" w:val="left" w:leader="none"/>
        </w:tabs>
        <w:spacing w:before="72"/>
        <w:ind w:left="122" w:right="0" w:firstLine="0"/>
        <w:jc w:val="both"/>
        <w:rPr>
          <w:sz w:val="16"/>
        </w:rPr>
      </w:pPr>
      <w:r>
        <w:rPr>
          <w:position w:val="6"/>
          <w:sz w:val="10"/>
        </w:rPr>
        <w:t>45</w:t>
        <w:tab/>
      </w:r>
      <w:r>
        <w:rPr>
          <w:sz w:val="16"/>
        </w:rPr>
        <w:t>Publicación</w:t>
      </w:r>
      <w:r>
        <w:rPr>
          <w:spacing w:val="-9"/>
          <w:sz w:val="16"/>
        </w:rPr>
        <w:t> </w:t>
      </w:r>
      <w:r>
        <w:rPr>
          <w:sz w:val="16"/>
        </w:rPr>
        <w:t>“La</w:t>
      </w:r>
      <w:r>
        <w:rPr>
          <w:spacing w:val="-9"/>
          <w:sz w:val="16"/>
        </w:rPr>
        <w:t> </w:t>
      </w:r>
      <w:r>
        <w:rPr>
          <w:sz w:val="16"/>
        </w:rPr>
        <w:t>tierra</w:t>
      </w:r>
      <w:r>
        <w:rPr>
          <w:spacing w:val="-11"/>
          <w:sz w:val="16"/>
        </w:rPr>
        <w:t> </w:t>
      </w:r>
      <w:r>
        <w:rPr>
          <w:sz w:val="16"/>
        </w:rPr>
        <w:t>que</w:t>
      </w:r>
      <w:r>
        <w:rPr>
          <w:spacing w:val="-8"/>
          <w:sz w:val="16"/>
        </w:rPr>
        <w:t> </w:t>
      </w:r>
      <w:r>
        <w:rPr>
          <w:sz w:val="16"/>
        </w:rPr>
        <w:t>nos</w:t>
      </w:r>
      <w:r>
        <w:rPr>
          <w:spacing w:val="-10"/>
          <w:sz w:val="16"/>
        </w:rPr>
        <w:t> </w:t>
      </w:r>
      <w:r>
        <w:rPr>
          <w:sz w:val="16"/>
        </w:rPr>
        <w:t>quitaron”,</w:t>
      </w:r>
      <w:r>
        <w:rPr>
          <w:spacing w:val="-9"/>
          <w:sz w:val="16"/>
        </w:rPr>
        <w:t> </w:t>
      </w:r>
      <w:r>
        <w:rPr>
          <w:sz w:val="16"/>
        </w:rPr>
        <w:t>de</w:t>
      </w:r>
      <w:r>
        <w:rPr>
          <w:spacing w:val="-10"/>
          <w:sz w:val="16"/>
        </w:rPr>
        <w:t> </w:t>
      </w:r>
      <w:r>
        <w:rPr>
          <w:sz w:val="16"/>
        </w:rPr>
        <w:t>Morita</w:t>
      </w:r>
      <w:r>
        <w:rPr>
          <w:spacing w:val="-9"/>
          <w:sz w:val="16"/>
        </w:rPr>
        <w:t> </w:t>
      </w:r>
      <w:r>
        <w:rPr>
          <w:sz w:val="16"/>
        </w:rPr>
        <w:t>Carrasco</w:t>
      </w:r>
      <w:r>
        <w:rPr>
          <w:spacing w:val="-10"/>
          <w:sz w:val="16"/>
        </w:rPr>
        <w:t> </w:t>
      </w:r>
      <w:r>
        <w:rPr>
          <w:sz w:val="16"/>
        </w:rPr>
        <w:t>y</w:t>
      </w:r>
      <w:r>
        <w:rPr>
          <w:spacing w:val="-8"/>
          <w:sz w:val="16"/>
        </w:rPr>
        <w:t> </w:t>
      </w:r>
      <w:r>
        <w:rPr>
          <w:sz w:val="16"/>
        </w:rPr>
        <w:t>Claudia</w:t>
      </w:r>
      <w:r>
        <w:rPr>
          <w:spacing w:val="-9"/>
          <w:sz w:val="16"/>
        </w:rPr>
        <w:t> </w:t>
      </w:r>
      <w:r>
        <w:rPr>
          <w:sz w:val="16"/>
        </w:rPr>
        <w:t>Briones.</w:t>
      </w:r>
      <w:r>
        <w:rPr>
          <w:spacing w:val="-11"/>
          <w:sz w:val="16"/>
        </w:rPr>
        <w:t> </w:t>
      </w:r>
      <w:r>
        <w:rPr>
          <w:sz w:val="16"/>
        </w:rPr>
        <w:t>Documento</w:t>
      </w:r>
      <w:r>
        <w:rPr>
          <w:spacing w:val="-5"/>
          <w:sz w:val="16"/>
        </w:rPr>
        <w:t> </w:t>
      </w:r>
      <w:r>
        <w:rPr>
          <w:sz w:val="16"/>
        </w:rPr>
        <w:t>IWGIA</w:t>
      </w:r>
      <w:r>
        <w:rPr>
          <w:spacing w:val="-8"/>
          <w:sz w:val="16"/>
        </w:rPr>
        <w:t> </w:t>
      </w:r>
      <w:r>
        <w:rPr>
          <w:sz w:val="16"/>
        </w:rPr>
        <w:t>No.</w:t>
      </w:r>
    </w:p>
    <w:p>
      <w:pPr>
        <w:spacing w:before="0"/>
        <w:ind w:left="122" w:right="117" w:firstLine="0"/>
        <w:jc w:val="both"/>
        <w:rPr>
          <w:sz w:val="16"/>
        </w:rPr>
      </w:pPr>
      <w:r>
        <w:rPr>
          <w:sz w:val="16"/>
        </w:rPr>
        <w:t>18. Este hecho se produjo antes de que, el 5 de septiembre de 1984, Argentina ratificara la Convención y aceptara la competencia de la Corte. Por ello, se señala sólo como un antecedente que permite comprender los</w:t>
      </w:r>
      <w:r>
        <w:rPr>
          <w:spacing w:val="-5"/>
          <w:sz w:val="16"/>
        </w:rPr>
        <w:t> </w:t>
      </w:r>
      <w:r>
        <w:rPr>
          <w:sz w:val="16"/>
        </w:rPr>
        <w:t>hechos</w:t>
      </w:r>
      <w:r>
        <w:rPr>
          <w:spacing w:val="-7"/>
          <w:sz w:val="16"/>
        </w:rPr>
        <w:t> </w:t>
      </w:r>
      <w:r>
        <w:rPr>
          <w:sz w:val="16"/>
        </w:rPr>
        <w:t>propios</w:t>
      </w:r>
      <w:r>
        <w:rPr>
          <w:spacing w:val="-7"/>
          <w:sz w:val="16"/>
        </w:rPr>
        <w:t> </w:t>
      </w:r>
      <w:r>
        <w:rPr>
          <w:sz w:val="16"/>
        </w:rPr>
        <w:t>del</w:t>
      </w:r>
      <w:r>
        <w:rPr>
          <w:spacing w:val="-6"/>
          <w:sz w:val="16"/>
        </w:rPr>
        <w:t> </w:t>
      </w:r>
      <w:r>
        <w:rPr>
          <w:sz w:val="16"/>
        </w:rPr>
        <w:t>caso,</w:t>
      </w:r>
      <w:r>
        <w:rPr>
          <w:spacing w:val="-8"/>
          <w:sz w:val="16"/>
        </w:rPr>
        <w:t> </w:t>
      </w:r>
      <w:r>
        <w:rPr>
          <w:sz w:val="16"/>
        </w:rPr>
        <w:t>pero</w:t>
      </w:r>
      <w:r>
        <w:rPr>
          <w:spacing w:val="-7"/>
          <w:sz w:val="16"/>
        </w:rPr>
        <w:t> </w:t>
      </w:r>
      <w:r>
        <w:rPr>
          <w:sz w:val="16"/>
        </w:rPr>
        <w:t>se</w:t>
      </w:r>
      <w:r>
        <w:rPr>
          <w:spacing w:val="-7"/>
          <w:sz w:val="16"/>
        </w:rPr>
        <w:t> </w:t>
      </w:r>
      <w:r>
        <w:rPr>
          <w:sz w:val="16"/>
        </w:rPr>
        <w:t>aclara</w:t>
      </w:r>
      <w:r>
        <w:rPr>
          <w:spacing w:val="-8"/>
          <w:sz w:val="16"/>
        </w:rPr>
        <w:t> </w:t>
      </w:r>
      <w:r>
        <w:rPr>
          <w:sz w:val="16"/>
        </w:rPr>
        <w:t>que</w:t>
      </w:r>
      <w:r>
        <w:rPr>
          <w:spacing w:val="-7"/>
          <w:sz w:val="16"/>
        </w:rPr>
        <w:t> </w:t>
      </w:r>
      <w:r>
        <w:rPr>
          <w:sz w:val="16"/>
        </w:rPr>
        <w:t>este</w:t>
      </w:r>
      <w:r>
        <w:rPr>
          <w:spacing w:val="-7"/>
          <w:sz w:val="16"/>
        </w:rPr>
        <w:t> </w:t>
      </w:r>
      <w:r>
        <w:rPr>
          <w:sz w:val="16"/>
        </w:rPr>
        <w:t>Tribunal</w:t>
      </w:r>
      <w:r>
        <w:rPr>
          <w:spacing w:val="-6"/>
          <w:sz w:val="16"/>
        </w:rPr>
        <w:t> </w:t>
      </w:r>
      <w:r>
        <w:rPr>
          <w:sz w:val="16"/>
        </w:rPr>
        <w:t>no</w:t>
      </w:r>
      <w:r>
        <w:rPr>
          <w:spacing w:val="-4"/>
          <w:sz w:val="16"/>
        </w:rPr>
        <w:t> </w:t>
      </w:r>
      <w:r>
        <w:rPr>
          <w:sz w:val="16"/>
        </w:rPr>
        <w:t>evalúa</w:t>
      </w:r>
      <w:r>
        <w:rPr>
          <w:spacing w:val="-6"/>
          <w:sz w:val="16"/>
        </w:rPr>
        <w:t> </w:t>
      </w:r>
      <w:r>
        <w:rPr>
          <w:sz w:val="16"/>
        </w:rPr>
        <w:t>la</w:t>
      </w:r>
      <w:r>
        <w:rPr>
          <w:spacing w:val="-6"/>
          <w:sz w:val="16"/>
        </w:rPr>
        <w:t> </w:t>
      </w:r>
      <w:r>
        <w:rPr>
          <w:sz w:val="16"/>
        </w:rPr>
        <w:t>conducta</w:t>
      </w:r>
      <w:r>
        <w:rPr>
          <w:spacing w:val="-6"/>
          <w:sz w:val="16"/>
        </w:rPr>
        <w:t> </w:t>
      </w:r>
      <w:r>
        <w:rPr>
          <w:sz w:val="16"/>
        </w:rPr>
        <w:t>estatal</w:t>
      </w:r>
      <w:r>
        <w:rPr>
          <w:spacing w:val="-6"/>
          <w:sz w:val="16"/>
        </w:rPr>
        <w:t> </w:t>
      </w:r>
      <w:r>
        <w:rPr>
          <w:sz w:val="16"/>
        </w:rPr>
        <w:t>teniendo</w:t>
      </w:r>
      <w:r>
        <w:rPr>
          <w:spacing w:val="-7"/>
          <w:sz w:val="16"/>
        </w:rPr>
        <w:t> </w:t>
      </w:r>
      <w:r>
        <w:rPr>
          <w:sz w:val="16"/>
        </w:rPr>
        <w:t>en</w:t>
      </w:r>
      <w:r>
        <w:rPr>
          <w:spacing w:val="-6"/>
          <w:sz w:val="16"/>
        </w:rPr>
        <w:t> </w:t>
      </w:r>
      <w:r>
        <w:rPr>
          <w:sz w:val="16"/>
        </w:rPr>
        <w:t>cuenta circunstancias anteriores al 5 de septiembre de</w:t>
      </w:r>
      <w:r>
        <w:rPr>
          <w:spacing w:val="-15"/>
          <w:sz w:val="16"/>
        </w:rPr>
        <w:t> </w:t>
      </w:r>
      <w:r>
        <w:rPr>
          <w:sz w:val="16"/>
        </w:rPr>
        <w:t>1984.</w:t>
      </w:r>
    </w:p>
    <w:p>
      <w:pPr>
        <w:pStyle w:val="BodyText"/>
        <w:spacing w:before="12"/>
        <w:rPr>
          <w:sz w:val="15"/>
        </w:rPr>
      </w:pPr>
    </w:p>
    <w:p>
      <w:pPr>
        <w:tabs>
          <w:tab w:pos="829" w:val="left" w:leader="none"/>
        </w:tabs>
        <w:spacing w:line="240" w:lineRule="auto" w:before="0"/>
        <w:ind w:left="122" w:right="115" w:firstLine="0"/>
        <w:jc w:val="both"/>
        <w:rPr>
          <w:sz w:val="16"/>
        </w:rPr>
      </w:pPr>
      <w:r>
        <w:rPr>
          <w:position w:val="6"/>
          <w:sz w:val="10"/>
        </w:rPr>
        <w:t>46</w:t>
        <w:tab/>
      </w:r>
      <w:r>
        <w:rPr>
          <w:sz w:val="16"/>
        </w:rPr>
        <w:t>Esto</w:t>
      </w:r>
      <w:r>
        <w:rPr>
          <w:spacing w:val="20"/>
          <w:sz w:val="16"/>
        </w:rPr>
        <w:t> </w:t>
      </w:r>
      <w:r>
        <w:rPr>
          <w:sz w:val="16"/>
        </w:rPr>
        <w:t>se</w:t>
      </w:r>
      <w:r>
        <w:rPr>
          <w:spacing w:val="19"/>
          <w:sz w:val="16"/>
        </w:rPr>
        <w:t> </w:t>
      </w:r>
      <w:r>
        <w:rPr>
          <w:sz w:val="16"/>
        </w:rPr>
        <w:t>previó</w:t>
      </w:r>
      <w:r>
        <w:rPr>
          <w:spacing w:val="20"/>
          <w:sz w:val="16"/>
        </w:rPr>
        <w:t> </w:t>
      </w:r>
      <w:r>
        <w:rPr>
          <w:sz w:val="16"/>
        </w:rPr>
        <w:t>en</w:t>
      </w:r>
      <w:r>
        <w:rPr>
          <w:spacing w:val="18"/>
          <w:sz w:val="16"/>
        </w:rPr>
        <w:t> </w:t>
      </w:r>
      <w:r>
        <w:rPr>
          <w:sz w:val="16"/>
        </w:rPr>
        <w:t>la</w:t>
      </w:r>
      <w:r>
        <w:rPr>
          <w:spacing w:val="18"/>
          <w:sz w:val="16"/>
        </w:rPr>
        <w:t> </w:t>
      </w:r>
      <w:r>
        <w:rPr>
          <w:sz w:val="16"/>
        </w:rPr>
        <w:t>ley</w:t>
      </w:r>
      <w:r>
        <w:rPr>
          <w:spacing w:val="18"/>
          <w:sz w:val="16"/>
        </w:rPr>
        <w:t> </w:t>
      </w:r>
      <w:r>
        <w:rPr>
          <w:sz w:val="16"/>
        </w:rPr>
        <w:t>provincial</w:t>
      </w:r>
      <w:r>
        <w:rPr>
          <w:spacing w:val="21"/>
          <w:sz w:val="16"/>
        </w:rPr>
        <w:t> </w:t>
      </w:r>
      <w:r>
        <w:rPr>
          <w:sz w:val="16"/>
        </w:rPr>
        <w:t>6.469</w:t>
      </w:r>
      <w:r>
        <w:rPr>
          <w:spacing w:val="18"/>
          <w:sz w:val="16"/>
        </w:rPr>
        <w:t> </w:t>
      </w:r>
      <w:r>
        <w:rPr>
          <w:sz w:val="16"/>
        </w:rPr>
        <w:t>de</w:t>
      </w:r>
      <w:r>
        <w:rPr>
          <w:spacing w:val="17"/>
          <w:sz w:val="16"/>
        </w:rPr>
        <w:t> </w:t>
      </w:r>
      <w:r>
        <w:rPr>
          <w:sz w:val="16"/>
        </w:rPr>
        <w:t>1987</w:t>
      </w:r>
      <w:r>
        <w:rPr>
          <w:spacing w:val="20"/>
          <w:sz w:val="16"/>
        </w:rPr>
        <w:t> </w:t>
      </w:r>
      <w:r>
        <w:rPr>
          <w:sz w:val="16"/>
        </w:rPr>
        <w:t>(expediente</w:t>
      </w:r>
      <w:r>
        <w:rPr>
          <w:spacing w:val="19"/>
          <w:sz w:val="16"/>
        </w:rPr>
        <w:t> </w:t>
      </w:r>
      <w:r>
        <w:rPr>
          <w:sz w:val="16"/>
        </w:rPr>
        <w:t>de</w:t>
      </w:r>
      <w:r>
        <w:rPr>
          <w:spacing w:val="19"/>
          <w:sz w:val="16"/>
        </w:rPr>
        <w:t> </w:t>
      </w:r>
      <w:r>
        <w:rPr>
          <w:sz w:val="16"/>
        </w:rPr>
        <w:t>prueba,</w:t>
      </w:r>
      <w:r>
        <w:rPr>
          <w:spacing w:val="18"/>
          <w:sz w:val="16"/>
        </w:rPr>
        <w:t> </w:t>
      </w:r>
      <w:r>
        <w:rPr>
          <w:sz w:val="16"/>
        </w:rPr>
        <w:t>anexo</w:t>
      </w:r>
      <w:r>
        <w:rPr>
          <w:spacing w:val="17"/>
          <w:sz w:val="16"/>
        </w:rPr>
        <w:t> </w:t>
      </w:r>
      <w:r>
        <w:rPr>
          <w:sz w:val="16"/>
        </w:rPr>
        <w:t>B.3</w:t>
      </w:r>
      <w:r>
        <w:rPr>
          <w:spacing w:val="20"/>
          <w:sz w:val="16"/>
        </w:rPr>
        <w:t> </w:t>
      </w:r>
      <w:r>
        <w:rPr>
          <w:sz w:val="16"/>
        </w:rPr>
        <w:t>al</w:t>
      </w:r>
      <w:r>
        <w:rPr>
          <w:spacing w:val="18"/>
          <w:sz w:val="16"/>
        </w:rPr>
        <w:t> </w:t>
      </w:r>
      <w:r>
        <w:rPr>
          <w:sz w:val="16"/>
        </w:rPr>
        <w:t>escrito</w:t>
      </w:r>
      <w:r>
        <w:rPr>
          <w:spacing w:val="17"/>
          <w:sz w:val="16"/>
        </w:rPr>
        <w:t> </w:t>
      </w:r>
      <w:r>
        <w:rPr>
          <w:sz w:val="16"/>
        </w:rPr>
        <w:t>de</w:t>
      </w:r>
      <w:r>
        <w:rPr>
          <w:w w:val="100"/>
          <w:sz w:val="16"/>
        </w:rPr>
        <w:t> </w:t>
      </w:r>
      <w:r>
        <w:rPr>
          <w:sz w:val="16"/>
        </w:rPr>
        <w:t>solicitudes</w:t>
      </w:r>
      <w:r>
        <w:rPr>
          <w:spacing w:val="-8"/>
          <w:sz w:val="16"/>
        </w:rPr>
        <w:t> </w:t>
      </w:r>
      <w:r>
        <w:rPr>
          <w:sz w:val="16"/>
        </w:rPr>
        <w:t>y</w:t>
      </w:r>
      <w:r>
        <w:rPr>
          <w:spacing w:val="-8"/>
          <w:sz w:val="16"/>
        </w:rPr>
        <w:t> </w:t>
      </w:r>
      <w:r>
        <w:rPr>
          <w:sz w:val="16"/>
        </w:rPr>
        <w:t>argumentos,</w:t>
      </w:r>
      <w:r>
        <w:rPr>
          <w:spacing w:val="-9"/>
          <w:sz w:val="16"/>
        </w:rPr>
        <w:t> </w:t>
      </w:r>
      <w:r>
        <w:rPr>
          <w:sz w:val="16"/>
        </w:rPr>
        <w:t>fs.</w:t>
      </w:r>
      <w:r>
        <w:rPr>
          <w:spacing w:val="-11"/>
          <w:sz w:val="16"/>
        </w:rPr>
        <w:t> </w:t>
      </w:r>
      <w:r>
        <w:rPr>
          <w:sz w:val="16"/>
        </w:rPr>
        <w:t>29.738</w:t>
      </w:r>
      <w:r>
        <w:rPr>
          <w:spacing w:val="-5"/>
          <w:sz w:val="16"/>
        </w:rPr>
        <w:t> </w:t>
      </w:r>
      <w:r>
        <w:rPr>
          <w:sz w:val="16"/>
        </w:rPr>
        <w:t>a</w:t>
      </w:r>
      <w:r>
        <w:rPr>
          <w:spacing w:val="-9"/>
          <w:sz w:val="16"/>
        </w:rPr>
        <w:t> </w:t>
      </w:r>
      <w:r>
        <w:rPr>
          <w:sz w:val="16"/>
        </w:rPr>
        <w:t>29.740).</w:t>
      </w:r>
      <w:r>
        <w:rPr>
          <w:spacing w:val="-7"/>
          <w:sz w:val="16"/>
        </w:rPr>
        <w:t> </w:t>
      </w:r>
      <w:r>
        <w:rPr>
          <w:sz w:val="16"/>
        </w:rPr>
        <w:t>Surge</w:t>
      </w:r>
      <w:r>
        <w:rPr>
          <w:spacing w:val="-8"/>
          <w:sz w:val="16"/>
        </w:rPr>
        <w:t> </w:t>
      </w:r>
      <w:r>
        <w:rPr>
          <w:sz w:val="16"/>
        </w:rPr>
        <w:t>de</w:t>
      </w:r>
      <w:r>
        <w:rPr>
          <w:spacing w:val="-8"/>
          <w:sz w:val="16"/>
        </w:rPr>
        <w:t> </w:t>
      </w:r>
      <w:r>
        <w:rPr>
          <w:sz w:val="16"/>
        </w:rPr>
        <w:t>la</w:t>
      </w:r>
      <w:r>
        <w:rPr>
          <w:spacing w:val="-7"/>
          <w:sz w:val="16"/>
        </w:rPr>
        <w:t> </w:t>
      </w:r>
      <w:r>
        <w:rPr>
          <w:sz w:val="16"/>
        </w:rPr>
        <w:t>prueba</w:t>
      </w:r>
      <w:r>
        <w:rPr>
          <w:spacing w:val="-9"/>
          <w:sz w:val="16"/>
        </w:rPr>
        <w:t> </w:t>
      </w:r>
      <w:r>
        <w:rPr>
          <w:sz w:val="16"/>
        </w:rPr>
        <w:t>que</w:t>
      </w:r>
      <w:r>
        <w:rPr>
          <w:spacing w:val="-8"/>
          <w:sz w:val="16"/>
        </w:rPr>
        <w:t> </w:t>
      </w:r>
      <w:r>
        <w:rPr>
          <w:sz w:val="16"/>
        </w:rPr>
        <w:t>con</w:t>
      </w:r>
      <w:r>
        <w:rPr>
          <w:spacing w:val="-7"/>
          <w:sz w:val="16"/>
        </w:rPr>
        <w:t> </w:t>
      </w:r>
      <w:r>
        <w:rPr>
          <w:sz w:val="16"/>
        </w:rPr>
        <w:t>anterioridad</w:t>
      </w:r>
      <w:r>
        <w:rPr>
          <w:spacing w:val="-8"/>
          <w:sz w:val="16"/>
        </w:rPr>
        <w:t> </w:t>
      </w:r>
      <w:r>
        <w:rPr>
          <w:sz w:val="16"/>
        </w:rPr>
        <w:t>la</w:t>
      </w:r>
      <w:r>
        <w:rPr>
          <w:spacing w:val="-7"/>
          <w:sz w:val="16"/>
        </w:rPr>
        <w:t> </w:t>
      </w:r>
      <w:r>
        <w:rPr>
          <w:sz w:val="16"/>
        </w:rPr>
        <w:t>presencia</w:t>
      </w:r>
      <w:r>
        <w:rPr>
          <w:spacing w:val="-7"/>
          <w:sz w:val="16"/>
        </w:rPr>
        <w:t> </w:t>
      </w:r>
      <w:r>
        <w:rPr>
          <w:sz w:val="16"/>
        </w:rPr>
        <w:t>indígena en el lugar, desde el punto de vista de la legalidad formal, presentaba dos modalidades: ocupación de hecho (carencia de título legal alguno) y ocupaciones con derecho de usufructo o reserva. Durante 1971 y 1972, a partir del Decreto Provincial 2293 de 1971 de creación de “Reservas indígenas provinciales”, Salta otorgó “permisos</w:t>
      </w:r>
      <w:r>
        <w:rPr>
          <w:spacing w:val="-13"/>
          <w:sz w:val="16"/>
        </w:rPr>
        <w:t> </w:t>
      </w:r>
      <w:r>
        <w:rPr>
          <w:sz w:val="16"/>
        </w:rPr>
        <w:t>de</w:t>
      </w:r>
      <w:r>
        <w:rPr>
          <w:spacing w:val="-10"/>
          <w:sz w:val="16"/>
        </w:rPr>
        <w:t> </w:t>
      </w:r>
      <w:r>
        <w:rPr>
          <w:sz w:val="16"/>
        </w:rPr>
        <w:t>usufructo”</w:t>
      </w:r>
      <w:r>
        <w:rPr>
          <w:spacing w:val="-12"/>
          <w:sz w:val="16"/>
        </w:rPr>
        <w:t> </w:t>
      </w:r>
      <w:r>
        <w:rPr>
          <w:sz w:val="16"/>
        </w:rPr>
        <w:t>a</w:t>
      </w:r>
      <w:r>
        <w:rPr>
          <w:spacing w:val="-11"/>
          <w:sz w:val="16"/>
        </w:rPr>
        <w:t> </w:t>
      </w:r>
      <w:r>
        <w:rPr>
          <w:sz w:val="16"/>
        </w:rPr>
        <w:t>algunas</w:t>
      </w:r>
      <w:r>
        <w:rPr>
          <w:spacing w:val="-10"/>
          <w:sz w:val="16"/>
        </w:rPr>
        <w:t> </w:t>
      </w:r>
      <w:r>
        <w:rPr>
          <w:sz w:val="16"/>
        </w:rPr>
        <w:t>comunidades</w:t>
      </w:r>
      <w:r>
        <w:rPr>
          <w:spacing w:val="-13"/>
          <w:sz w:val="16"/>
        </w:rPr>
        <w:t> </w:t>
      </w:r>
      <w:r>
        <w:rPr>
          <w:sz w:val="16"/>
        </w:rPr>
        <w:t>indígenas</w:t>
      </w:r>
      <w:r>
        <w:rPr>
          <w:spacing w:val="-13"/>
          <w:sz w:val="16"/>
        </w:rPr>
        <w:t> </w:t>
      </w:r>
      <w:r>
        <w:rPr>
          <w:sz w:val="16"/>
        </w:rPr>
        <w:t>(por</w:t>
      </w:r>
      <w:r>
        <w:rPr>
          <w:spacing w:val="-12"/>
          <w:sz w:val="16"/>
        </w:rPr>
        <w:t> </w:t>
      </w:r>
      <w:r>
        <w:rPr>
          <w:sz w:val="16"/>
        </w:rPr>
        <w:t>ejemplo,</w:t>
      </w:r>
      <w:r>
        <w:rPr>
          <w:spacing w:val="-12"/>
          <w:sz w:val="16"/>
        </w:rPr>
        <w:t> </w:t>
      </w:r>
      <w:r>
        <w:rPr>
          <w:sz w:val="16"/>
        </w:rPr>
        <w:t>las</w:t>
      </w:r>
      <w:r>
        <w:rPr>
          <w:spacing w:val="-13"/>
          <w:sz w:val="16"/>
        </w:rPr>
        <w:t> </w:t>
      </w:r>
      <w:r>
        <w:rPr>
          <w:sz w:val="16"/>
        </w:rPr>
        <w:t>comunidades</w:t>
      </w:r>
      <w:r>
        <w:rPr>
          <w:spacing w:val="-13"/>
          <w:sz w:val="16"/>
        </w:rPr>
        <w:t> </w:t>
      </w:r>
      <w:r>
        <w:rPr>
          <w:sz w:val="16"/>
        </w:rPr>
        <w:t>Santa</w:t>
      </w:r>
      <w:r>
        <w:rPr>
          <w:spacing w:val="-11"/>
          <w:sz w:val="16"/>
        </w:rPr>
        <w:t> </w:t>
      </w:r>
      <w:r>
        <w:rPr>
          <w:sz w:val="16"/>
        </w:rPr>
        <w:t>María</w:t>
      </w:r>
      <w:r>
        <w:rPr>
          <w:spacing w:val="-14"/>
          <w:sz w:val="16"/>
        </w:rPr>
        <w:t> </w:t>
      </w:r>
      <w:r>
        <w:rPr>
          <w:sz w:val="16"/>
        </w:rPr>
        <w:t>y</w:t>
      </w:r>
      <w:r>
        <w:rPr>
          <w:spacing w:val="-12"/>
          <w:sz w:val="16"/>
        </w:rPr>
        <w:t> </w:t>
      </w:r>
      <w:r>
        <w:rPr>
          <w:sz w:val="16"/>
        </w:rPr>
        <w:t>Misión</w:t>
      </w:r>
    </w:p>
    <w:p>
      <w:pPr>
        <w:spacing w:after="0" w:line="240" w:lineRule="auto"/>
        <w:jc w:val="both"/>
        <w:rPr>
          <w:sz w:val="16"/>
        </w:rPr>
        <w:sectPr>
          <w:pgSz w:w="12240" w:h="15840"/>
          <w:pgMar w:header="0" w:footer="1000" w:top="1340" w:bottom="1200" w:left="1580" w:right="1580"/>
        </w:sectPr>
      </w:pPr>
    </w:p>
    <w:p>
      <w:pPr>
        <w:pStyle w:val="ListParagraph"/>
        <w:numPr>
          <w:ilvl w:val="0"/>
          <w:numId w:val="19"/>
        </w:numPr>
        <w:tabs>
          <w:tab w:pos="830" w:val="left" w:leader="none"/>
        </w:tabs>
        <w:spacing w:line="237" w:lineRule="auto" w:before="163" w:after="0"/>
        <w:ind w:left="122" w:right="119" w:firstLine="0"/>
        <w:jc w:val="both"/>
        <w:rPr>
          <w:sz w:val="20"/>
        </w:rPr>
      </w:pPr>
      <w:r>
        <w:rPr>
          <w:sz w:val="20"/>
        </w:rPr>
        <w:t>El 28 de julio de 1991, 27 comunidades indígenas asentadas en el lote 55 presentaron</w:t>
      </w:r>
      <w:r>
        <w:rPr>
          <w:spacing w:val="-6"/>
          <w:sz w:val="20"/>
        </w:rPr>
        <w:t> </w:t>
      </w:r>
      <w:r>
        <w:rPr>
          <w:sz w:val="20"/>
        </w:rPr>
        <w:t>a</w:t>
      </w:r>
      <w:r>
        <w:rPr>
          <w:spacing w:val="-5"/>
          <w:sz w:val="20"/>
        </w:rPr>
        <w:t> </w:t>
      </w:r>
      <w:r>
        <w:rPr>
          <w:sz w:val="20"/>
        </w:rPr>
        <w:t>Salta</w:t>
      </w:r>
      <w:r>
        <w:rPr>
          <w:spacing w:val="-6"/>
          <w:sz w:val="20"/>
        </w:rPr>
        <w:t> </w:t>
      </w:r>
      <w:r>
        <w:rPr>
          <w:sz w:val="20"/>
        </w:rPr>
        <w:t>un</w:t>
      </w:r>
      <w:r>
        <w:rPr>
          <w:spacing w:val="-6"/>
          <w:sz w:val="20"/>
        </w:rPr>
        <w:t> </w:t>
      </w:r>
      <w:r>
        <w:rPr>
          <w:sz w:val="20"/>
        </w:rPr>
        <w:t>reclamo</w:t>
      </w:r>
      <w:r>
        <w:rPr>
          <w:spacing w:val="-6"/>
          <w:sz w:val="20"/>
        </w:rPr>
        <w:t> </w:t>
      </w:r>
      <w:r>
        <w:rPr>
          <w:sz w:val="20"/>
        </w:rPr>
        <w:t>formal</w:t>
      </w:r>
      <w:r>
        <w:rPr>
          <w:spacing w:val="-5"/>
          <w:sz w:val="20"/>
        </w:rPr>
        <w:t> </w:t>
      </w:r>
      <w:r>
        <w:rPr>
          <w:sz w:val="20"/>
        </w:rPr>
        <w:t>para</w:t>
      </w:r>
      <w:r>
        <w:rPr>
          <w:spacing w:val="-6"/>
          <w:sz w:val="20"/>
        </w:rPr>
        <w:t> </w:t>
      </w:r>
      <w:r>
        <w:rPr>
          <w:sz w:val="20"/>
        </w:rPr>
        <w:t>la</w:t>
      </w:r>
      <w:r>
        <w:rPr>
          <w:spacing w:val="-6"/>
          <w:sz w:val="20"/>
        </w:rPr>
        <w:t> </w:t>
      </w:r>
      <w:r>
        <w:rPr>
          <w:sz w:val="20"/>
        </w:rPr>
        <w:t>“legalización</w:t>
      </w:r>
      <w:r>
        <w:rPr>
          <w:spacing w:val="-6"/>
          <w:sz w:val="20"/>
        </w:rPr>
        <w:t> </w:t>
      </w:r>
      <w:r>
        <w:rPr>
          <w:sz w:val="20"/>
        </w:rPr>
        <w:t>del</w:t>
      </w:r>
      <w:r>
        <w:rPr>
          <w:spacing w:val="-6"/>
          <w:sz w:val="20"/>
        </w:rPr>
        <w:t> </w:t>
      </w:r>
      <w:r>
        <w:rPr>
          <w:sz w:val="20"/>
        </w:rPr>
        <w:t>título</w:t>
      </w:r>
      <w:r>
        <w:rPr>
          <w:spacing w:val="-8"/>
          <w:sz w:val="20"/>
        </w:rPr>
        <w:t> </w:t>
      </w:r>
      <w:r>
        <w:rPr>
          <w:sz w:val="20"/>
        </w:rPr>
        <w:t>de</w:t>
      </w:r>
      <w:r>
        <w:rPr>
          <w:spacing w:val="-5"/>
          <w:sz w:val="20"/>
        </w:rPr>
        <w:t> </w:t>
      </w:r>
      <w:r>
        <w:rPr>
          <w:sz w:val="20"/>
        </w:rPr>
        <w:t>propiedad</w:t>
      </w:r>
      <w:r>
        <w:rPr>
          <w:spacing w:val="-6"/>
          <w:sz w:val="20"/>
        </w:rPr>
        <w:t> </w:t>
      </w:r>
      <w:r>
        <w:rPr>
          <w:sz w:val="20"/>
        </w:rPr>
        <w:t>de</w:t>
      </w:r>
      <w:r>
        <w:rPr>
          <w:spacing w:val="-8"/>
          <w:sz w:val="20"/>
        </w:rPr>
        <w:t> </w:t>
      </w:r>
      <w:r>
        <w:rPr>
          <w:sz w:val="20"/>
        </w:rPr>
        <w:t>la tierra”</w:t>
      </w:r>
      <w:r>
        <w:rPr>
          <w:rFonts w:ascii="Calibri" w:hAnsi="Calibri"/>
          <w:position w:val="8"/>
          <w:sz w:val="14"/>
        </w:rPr>
        <w:t>47</w:t>
      </w:r>
      <w:r>
        <w:rPr>
          <w:sz w:val="20"/>
        </w:rPr>
        <w:t>.</w:t>
      </w:r>
    </w:p>
    <w:p>
      <w:pPr>
        <w:pStyle w:val="BodyText"/>
        <w:spacing w:before="7"/>
        <w:rPr>
          <w:sz w:val="21"/>
        </w:rPr>
      </w:pPr>
    </w:p>
    <w:p>
      <w:pPr>
        <w:pStyle w:val="ListParagraph"/>
        <w:numPr>
          <w:ilvl w:val="0"/>
          <w:numId w:val="19"/>
        </w:numPr>
        <w:tabs>
          <w:tab w:pos="830" w:val="left" w:leader="none"/>
        </w:tabs>
        <w:spacing w:line="237" w:lineRule="auto" w:before="0" w:after="0"/>
        <w:ind w:left="122" w:right="118" w:firstLine="0"/>
        <w:jc w:val="both"/>
        <w:rPr>
          <w:sz w:val="20"/>
        </w:rPr>
      </w:pPr>
      <w:r>
        <w:rPr>
          <w:sz w:val="20"/>
        </w:rPr>
        <w:t>El</w:t>
      </w:r>
      <w:r>
        <w:rPr>
          <w:spacing w:val="-5"/>
          <w:sz w:val="20"/>
        </w:rPr>
        <w:t> </w:t>
      </w:r>
      <w:r>
        <w:rPr>
          <w:sz w:val="20"/>
        </w:rPr>
        <w:t>15</w:t>
      </w:r>
      <w:r>
        <w:rPr>
          <w:spacing w:val="-5"/>
          <w:sz w:val="20"/>
        </w:rPr>
        <w:t> </w:t>
      </w:r>
      <w:r>
        <w:rPr>
          <w:sz w:val="20"/>
        </w:rPr>
        <w:t>de</w:t>
      </w:r>
      <w:r>
        <w:rPr>
          <w:spacing w:val="-7"/>
          <w:sz w:val="20"/>
        </w:rPr>
        <w:t> </w:t>
      </w:r>
      <w:r>
        <w:rPr>
          <w:sz w:val="20"/>
        </w:rPr>
        <w:t>diciembre</w:t>
      </w:r>
      <w:r>
        <w:rPr>
          <w:spacing w:val="-7"/>
          <w:sz w:val="20"/>
        </w:rPr>
        <w:t> </w:t>
      </w:r>
      <w:r>
        <w:rPr>
          <w:sz w:val="20"/>
        </w:rPr>
        <w:t>de</w:t>
      </w:r>
      <w:r>
        <w:rPr>
          <w:spacing w:val="-7"/>
          <w:sz w:val="20"/>
        </w:rPr>
        <w:t> </w:t>
      </w:r>
      <w:r>
        <w:rPr>
          <w:sz w:val="20"/>
        </w:rPr>
        <w:t>1991</w:t>
      </w:r>
      <w:r>
        <w:rPr>
          <w:spacing w:val="-3"/>
          <w:sz w:val="20"/>
        </w:rPr>
        <w:t> </w:t>
      </w:r>
      <w:r>
        <w:rPr>
          <w:sz w:val="20"/>
        </w:rPr>
        <w:t>fue</w:t>
      </w:r>
      <w:r>
        <w:rPr>
          <w:spacing w:val="-6"/>
          <w:sz w:val="20"/>
        </w:rPr>
        <w:t> </w:t>
      </w:r>
      <w:r>
        <w:rPr>
          <w:sz w:val="20"/>
        </w:rPr>
        <w:t>dictado</w:t>
      </w:r>
      <w:r>
        <w:rPr>
          <w:spacing w:val="-7"/>
          <w:sz w:val="20"/>
        </w:rPr>
        <w:t> </w:t>
      </w:r>
      <w:r>
        <w:rPr>
          <w:sz w:val="20"/>
        </w:rPr>
        <w:t>el</w:t>
      </w:r>
      <w:r>
        <w:rPr>
          <w:spacing w:val="-5"/>
          <w:sz w:val="20"/>
        </w:rPr>
        <w:t> </w:t>
      </w:r>
      <w:r>
        <w:rPr>
          <w:sz w:val="20"/>
        </w:rPr>
        <w:t>Decreto</w:t>
      </w:r>
      <w:r>
        <w:rPr>
          <w:spacing w:val="-7"/>
          <w:sz w:val="20"/>
        </w:rPr>
        <w:t> </w:t>
      </w:r>
      <w:r>
        <w:rPr>
          <w:sz w:val="20"/>
        </w:rPr>
        <w:t>No</w:t>
      </w:r>
      <w:r>
        <w:rPr>
          <w:spacing w:val="-7"/>
          <w:sz w:val="20"/>
        </w:rPr>
        <w:t> </w:t>
      </w:r>
      <w:r>
        <w:rPr>
          <w:sz w:val="20"/>
        </w:rPr>
        <w:t>2609/91,</w:t>
      </w:r>
      <w:r>
        <w:rPr>
          <w:spacing w:val="-6"/>
          <w:sz w:val="20"/>
        </w:rPr>
        <w:t> </w:t>
      </w:r>
      <w:r>
        <w:rPr>
          <w:sz w:val="20"/>
        </w:rPr>
        <w:t>de</w:t>
      </w:r>
      <w:r>
        <w:rPr>
          <w:spacing w:val="-7"/>
          <w:sz w:val="20"/>
        </w:rPr>
        <w:t> </w:t>
      </w:r>
      <w:r>
        <w:rPr>
          <w:sz w:val="20"/>
        </w:rPr>
        <w:t>ratificación</w:t>
      </w:r>
      <w:r>
        <w:rPr>
          <w:spacing w:val="-5"/>
          <w:sz w:val="20"/>
        </w:rPr>
        <w:t> </w:t>
      </w:r>
      <w:r>
        <w:rPr>
          <w:sz w:val="20"/>
        </w:rPr>
        <w:t>de los términos de un Acta-Acuerdo del día 5 de ese mes. El Decreto estableció como obligación de la Provincia: a.- la unificación de los lotes 14 y 55 para “someterlos a un destino común”; b.- la adjudicación de “una superficie sin subdivisiones, mediante [t]ítulo [ú]nico de [p]ropiedad a las [c]omunidades</w:t>
      </w:r>
      <w:r>
        <w:rPr>
          <w:spacing w:val="-28"/>
          <w:sz w:val="20"/>
        </w:rPr>
        <w:t> </w:t>
      </w:r>
      <w:r>
        <w:rPr>
          <w:sz w:val="20"/>
        </w:rPr>
        <w:t>[indígenas]”</w:t>
      </w:r>
      <w:r>
        <w:rPr>
          <w:rFonts w:ascii="Calibri" w:hAnsi="Calibri"/>
          <w:position w:val="8"/>
          <w:sz w:val="14"/>
        </w:rPr>
        <w:t>48</w:t>
      </w:r>
      <w:r>
        <w:rPr>
          <w:sz w:val="20"/>
        </w:rPr>
        <w:t>.</w:t>
      </w:r>
    </w:p>
    <w:p>
      <w:pPr>
        <w:pStyle w:val="BodyText"/>
        <w:spacing w:before="8"/>
        <w:rPr>
          <w:sz w:val="21"/>
        </w:rPr>
      </w:pPr>
    </w:p>
    <w:p>
      <w:pPr>
        <w:pStyle w:val="ListParagraph"/>
        <w:numPr>
          <w:ilvl w:val="0"/>
          <w:numId w:val="19"/>
        </w:numPr>
        <w:tabs>
          <w:tab w:pos="830" w:val="left" w:leader="none"/>
        </w:tabs>
        <w:spacing w:line="240" w:lineRule="auto" w:before="0" w:after="0"/>
        <w:ind w:left="122" w:right="118" w:firstLine="0"/>
        <w:jc w:val="both"/>
        <w:rPr>
          <w:sz w:val="20"/>
        </w:rPr>
      </w:pPr>
      <w:r>
        <w:rPr>
          <w:sz w:val="20"/>
        </w:rPr>
        <w:t>El 9 de diciembre de 1992 se dictó la Resolución Ministerial 499, que aprobó el estatuto</w:t>
      </w:r>
      <w:r>
        <w:rPr>
          <w:spacing w:val="-8"/>
          <w:sz w:val="20"/>
        </w:rPr>
        <w:t> </w:t>
      </w:r>
      <w:r>
        <w:rPr>
          <w:sz w:val="20"/>
        </w:rPr>
        <w:t>social</w:t>
      </w:r>
      <w:r>
        <w:rPr>
          <w:spacing w:val="-6"/>
          <w:sz w:val="20"/>
        </w:rPr>
        <w:t> </w:t>
      </w:r>
      <w:r>
        <w:rPr>
          <w:sz w:val="20"/>
        </w:rPr>
        <w:t>y</w:t>
      </w:r>
      <w:r>
        <w:rPr>
          <w:spacing w:val="-7"/>
          <w:sz w:val="20"/>
        </w:rPr>
        <w:t> </w:t>
      </w:r>
      <w:r>
        <w:rPr>
          <w:sz w:val="20"/>
        </w:rPr>
        <w:t>otorgó</w:t>
      </w:r>
      <w:r>
        <w:rPr>
          <w:spacing w:val="-5"/>
          <w:sz w:val="20"/>
        </w:rPr>
        <w:t> </w:t>
      </w:r>
      <w:r>
        <w:rPr>
          <w:sz w:val="20"/>
        </w:rPr>
        <w:t>personería</w:t>
      </w:r>
      <w:r>
        <w:rPr>
          <w:spacing w:val="-7"/>
          <w:sz w:val="20"/>
        </w:rPr>
        <w:t> </w:t>
      </w:r>
      <w:r>
        <w:rPr>
          <w:sz w:val="20"/>
        </w:rPr>
        <w:t>jurídica</w:t>
      </w:r>
      <w:r>
        <w:rPr>
          <w:spacing w:val="-9"/>
          <w:sz w:val="20"/>
        </w:rPr>
        <w:t> </w:t>
      </w:r>
      <w:r>
        <w:rPr>
          <w:sz w:val="20"/>
        </w:rPr>
        <w:t>a</w:t>
      </w:r>
      <w:r>
        <w:rPr>
          <w:spacing w:val="-7"/>
          <w:sz w:val="20"/>
        </w:rPr>
        <w:t> </w:t>
      </w:r>
      <w:r>
        <w:rPr>
          <w:sz w:val="20"/>
        </w:rPr>
        <w:t>la</w:t>
      </w:r>
      <w:r>
        <w:rPr>
          <w:spacing w:val="-6"/>
          <w:sz w:val="20"/>
        </w:rPr>
        <w:t> </w:t>
      </w:r>
      <w:r>
        <w:rPr>
          <w:sz w:val="20"/>
        </w:rPr>
        <w:t>“Asociación</w:t>
      </w:r>
      <w:r>
        <w:rPr>
          <w:spacing w:val="-8"/>
          <w:sz w:val="20"/>
        </w:rPr>
        <w:t> </w:t>
      </w:r>
      <w:r>
        <w:rPr>
          <w:sz w:val="20"/>
        </w:rPr>
        <w:t>de</w:t>
      </w:r>
      <w:r>
        <w:rPr>
          <w:spacing w:val="-8"/>
          <w:sz w:val="20"/>
        </w:rPr>
        <w:t> </w:t>
      </w:r>
      <w:r>
        <w:rPr>
          <w:sz w:val="20"/>
        </w:rPr>
        <w:t>Comunidades</w:t>
      </w:r>
      <w:r>
        <w:rPr>
          <w:spacing w:val="-7"/>
          <w:sz w:val="20"/>
        </w:rPr>
        <w:t> </w:t>
      </w:r>
      <w:r>
        <w:rPr>
          <w:sz w:val="20"/>
        </w:rPr>
        <w:t>Aborígenes Lhaka</w:t>
      </w:r>
      <w:r>
        <w:rPr>
          <w:spacing w:val="-6"/>
          <w:sz w:val="20"/>
        </w:rPr>
        <w:t> </w:t>
      </w:r>
      <w:r>
        <w:rPr>
          <w:sz w:val="20"/>
        </w:rPr>
        <w:t>Honhat”.</w:t>
      </w:r>
      <w:r>
        <w:rPr>
          <w:spacing w:val="-7"/>
          <w:sz w:val="20"/>
        </w:rPr>
        <w:t> </w:t>
      </w:r>
      <w:r>
        <w:rPr>
          <w:sz w:val="20"/>
        </w:rPr>
        <w:t>La</w:t>
      </w:r>
      <w:r>
        <w:rPr>
          <w:spacing w:val="-6"/>
          <w:sz w:val="20"/>
        </w:rPr>
        <w:t> </w:t>
      </w:r>
      <w:r>
        <w:rPr>
          <w:sz w:val="20"/>
        </w:rPr>
        <w:t>misma</w:t>
      </w:r>
      <w:r>
        <w:rPr>
          <w:spacing w:val="-7"/>
          <w:sz w:val="20"/>
        </w:rPr>
        <w:t> </w:t>
      </w:r>
      <w:r>
        <w:rPr>
          <w:sz w:val="20"/>
        </w:rPr>
        <w:t>está</w:t>
      </w:r>
      <w:r>
        <w:rPr>
          <w:spacing w:val="-8"/>
          <w:sz w:val="20"/>
        </w:rPr>
        <w:t> </w:t>
      </w:r>
      <w:r>
        <w:rPr>
          <w:sz w:val="20"/>
        </w:rPr>
        <w:t>conformada</w:t>
      </w:r>
      <w:r>
        <w:rPr>
          <w:spacing w:val="-6"/>
          <w:sz w:val="20"/>
        </w:rPr>
        <w:t> </w:t>
      </w:r>
      <w:r>
        <w:rPr>
          <w:sz w:val="20"/>
        </w:rPr>
        <w:t>por</w:t>
      </w:r>
      <w:r>
        <w:rPr>
          <w:spacing w:val="-7"/>
          <w:sz w:val="20"/>
        </w:rPr>
        <w:t> </w:t>
      </w:r>
      <w:r>
        <w:rPr>
          <w:sz w:val="20"/>
        </w:rPr>
        <w:t>personas</w:t>
      </w:r>
      <w:r>
        <w:rPr>
          <w:spacing w:val="-8"/>
          <w:sz w:val="20"/>
        </w:rPr>
        <w:t> </w:t>
      </w:r>
      <w:r>
        <w:rPr>
          <w:sz w:val="20"/>
        </w:rPr>
        <w:t>habitantes</w:t>
      </w:r>
      <w:r>
        <w:rPr>
          <w:spacing w:val="-6"/>
          <w:sz w:val="20"/>
        </w:rPr>
        <w:t> </w:t>
      </w:r>
      <w:r>
        <w:rPr>
          <w:sz w:val="20"/>
        </w:rPr>
        <w:t>de</w:t>
      </w:r>
      <w:r>
        <w:rPr>
          <w:spacing w:val="-7"/>
          <w:sz w:val="20"/>
        </w:rPr>
        <w:t> </w:t>
      </w:r>
      <w:r>
        <w:rPr>
          <w:sz w:val="20"/>
        </w:rPr>
        <w:t>los</w:t>
      </w:r>
      <w:r>
        <w:rPr>
          <w:spacing w:val="-6"/>
          <w:sz w:val="20"/>
        </w:rPr>
        <w:t> </w:t>
      </w:r>
      <w:r>
        <w:rPr>
          <w:sz w:val="20"/>
        </w:rPr>
        <w:t>lotes</w:t>
      </w:r>
      <w:r>
        <w:rPr>
          <w:spacing w:val="-6"/>
          <w:sz w:val="20"/>
        </w:rPr>
        <w:t> </w:t>
      </w:r>
      <w:r>
        <w:rPr>
          <w:sz w:val="20"/>
        </w:rPr>
        <w:t>14</w:t>
      </w:r>
      <w:r>
        <w:rPr>
          <w:spacing w:val="-7"/>
          <w:sz w:val="20"/>
        </w:rPr>
        <w:t> </w:t>
      </w:r>
      <w:r>
        <w:rPr>
          <w:sz w:val="20"/>
        </w:rPr>
        <w:t>y</w:t>
      </w:r>
      <w:r>
        <w:rPr>
          <w:spacing w:val="-6"/>
          <w:sz w:val="20"/>
        </w:rPr>
        <w:t> </w:t>
      </w:r>
      <w:r>
        <w:rPr>
          <w:sz w:val="20"/>
        </w:rPr>
        <w:t>55 pertenecientes a comunidades indígenas. Tiene entre sus “fines”: “[o]btener el [t]ítulo de [p]ropiedad de la [t]ierra”; “[p]roteger el monte y el río”; “[s]upervisar y controlar la explotación de los recursos naturales renovables de la zona […] según lo establecido por las leyes pertinentes en coordinación con los organismos estatales existentes para tal fin”, y “[h]acer respetar los derechos de los pueblos aborígenes mundialmente reconocidos a usar libremente su riqueza natural y sus recursos para satisfacer sus necesidades</w:t>
      </w:r>
      <w:r>
        <w:rPr>
          <w:spacing w:val="-7"/>
          <w:sz w:val="20"/>
        </w:rPr>
        <w:t> </w:t>
      </w:r>
      <w:r>
        <w:rPr>
          <w:sz w:val="20"/>
        </w:rPr>
        <w:t>propias”</w:t>
      </w:r>
      <w:r>
        <w:rPr>
          <w:position w:val="7"/>
          <w:sz w:val="13"/>
        </w:rPr>
        <w:t>49</w:t>
      </w:r>
      <w:r>
        <w:rPr>
          <w:sz w:val="20"/>
        </w:rPr>
        <w:t>.</w:t>
      </w:r>
    </w:p>
    <w:p>
      <w:pPr>
        <w:pStyle w:val="BodyText"/>
        <w:spacing w:before="8"/>
        <w:rPr>
          <w:sz w:val="19"/>
        </w:rPr>
      </w:pPr>
    </w:p>
    <w:p>
      <w:pPr>
        <w:pStyle w:val="ListParagraph"/>
        <w:numPr>
          <w:ilvl w:val="0"/>
          <w:numId w:val="19"/>
        </w:numPr>
        <w:tabs>
          <w:tab w:pos="830" w:val="left" w:leader="none"/>
        </w:tabs>
        <w:spacing w:line="244" w:lineRule="auto" w:before="0" w:after="0"/>
        <w:ind w:left="122" w:right="117" w:firstLine="0"/>
        <w:jc w:val="both"/>
        <w:rPr>
          <w:sz w:val="20"/>
        </w:rPr>
      </w:pPr>
      <w:r>
        <w:rPr>
          <w:sz w:val="20"/>
        </w:rPr>
        <w:t>En 1995 Salta dictó el Decreto 3097/95</w:t>
      </w:r>
      <w:r>
        <w:rPr>
          <w:rFonts w:ascii="Calibri" w:hAnsi="Calibri"/>
          <w:position w:val="8"/>
          <w:sz w:val="14"/>
        </w:rPr>
        <w:t>50</w:t>
      </w:r>
      <w:r>
        <w:rPr>
          <w:sz w:val="20"/>
        </w:rPr>
        <w:t>, que aprobó recomendaciones hechas en abril de ese año por una Comisión Asesora creada en 1993 por el Decreto 18/93</w:t>
      </w:r>
      <w:r>
        <w:rPr>
          <w:rFonts w:ascii="Calibri" w:hAnsi="Calibri"/>
          <w:position w:val="8"/>
          <w:sz w:val="14"/>
        </w:rPr>
        <w:t>51</w:t>
      </w:r>
      <w:r>
        <w:rPr>
          <w:sz w:val="20"/>
        </w:rPr>
        <w:t>. Las mismas sugerían que se entregasen dos terceras partes de la superficie total de los lotes 14 y 55 a comunidades indígenas, y un tercio a poblaciones criollas. Los entonces peticionarios indicaron a la Comisión Interamericana que esto fue aceptado por las comunidades indígenas. Más adelante, en abril de 1996, fue firmada un  </w:t>
      </w:r>
      <w:r>
        <w:rPr>
          <w:spacing w:val="21"/>
          <w:sz w:val="20"/>
        </w:rPr>
        <w:t> </w:t>
      </w:r>
      <w:r>
        <w:rPr>
          <w:sz w:val="20"/>
        </w:rPr>
        <w:t>Acta-Acuerdo</w:t>
      </w:r>
    </w:p>
    <w:p>
      <w:pPr>
        <w:pStyle w:val="BodyText"/>
      </w:pPr>
    </w:p>
    <w:p>
      <w:pPr>
        <w:pStyle w:val="BodyText"/>
      </w:pPr>
    </w:p>
    <w:p>
      <w:pPr>
        <w:pStyle w:val="BodyText"/>
        <w:spacing w:before="8"/>
        <w:rPr>
          <w:sz w:val="16"/>
        </w:rPr>
      </w:pPr>
      <w:r>
        <w:rPr/>
        <w:pict>
          <v:line style="position:absolute;mso-position-horizontal-relative:page;mso-position-vertical-relative:paragraph;z-index:1552;mso-wrap-distance-left:0;mso-wrap-distance-right:0" from="85.103996pt,12.487209pt" to="229.123996pt,12.487209pt" stroked="true" strokeweight=".72pt" strokecolor="#000000">
            <v:stroke dashstyle="solid"/>
            <w10:wrap type="topAndBottom"/>
          </v:line>
        </w:pict>
      </w:r>
    </w:p>
    <w:p>
      <w:pPr>
        <w:spacing w:before="71"/>
        <w:ind w:left="122" w:right="118" w:firstLine="0"/>
        <w:jc w:val="both"/>
        <w:rPr>
          <w:sz w:val="16"/>
        </w:rPr>
      </w:pPr>
      <w:r>
        <w:rPr>
          <w:sz w:val="16"/>
        </w:rPr>
        <w:t>La</w:t>
      </w:r>
      <w:r>
        <w:rPr>
          <w:spacing w:val="-4"/>
          <w:sz w:val="16"/>
        </w:rPr>
        <w:t> </w:t>
      </w:r>
      <w:r>
        <w:rPr>
          <w:sz w:val="16"/>
        </w:rPr>
        <w:t>Paz).</w:t>
      </w:r>
      <w:r>
        <w:rPr>
          <w:spacing w:val="-5"/>
          <w:sz w:val="16"/>
        </w:rPr>
        <w:t> </w:t>
      </w:r>
      <w:r>
        <w:rPr>
          <w:sz w:val="16"/>
        </w:rPr>
        <w:t>También</w:t>
      </w:r>
      <w:r>
        <w:rPr>
          <w:spacing w:val="-4"/>
          <w:sz w:val="16"/>
        </w:rPr>
        <w:t> </w:t>
      </w:r>
      <w:r>
        <w:rPr>
          <w:sz w:val="16"/>
        </w:rPr>
        <w:t>se</w:t>
      </w:r>
      <w:r>
        <w:rPr>
          <w:spacing w:val="-3"/>
          <w:sz w:val="16"/>
        </w:rPr>
        <w:t> </w:t>
      </w:r>
      <w:r>
        <w:rPr>
          <w:sz w:val="16"/>
        </w:rPr>
        <w:t>indicó</w:t>
      </w:r>
      <w:r>
        <w:rPr>
          <w:spacing w:val="-5"/>
          <w:sz w:val="16"/>
        </w:rPr>
        <w:t> </w:t>
      </w:r>
      <w:r>
        <w:rPr>
          <w:sz w:val="16"/>
        </w:rPr>
        <w:t>que</w:t>
      </w:r>
      <w:r>
        <w:rPr>
          <w:spacing w:val="-3"/>
          <w:sz w:val="16"/>
        </w:rPr>
        <w:t> </w:t>
      </w:r>
      <w:r>
        <w:rPr>
          <w:sz w:val="16"/>
        </w:rPr>
        <w:t>respecto</w:t>
      </w:r>
      <w:r>
        <w:rPr>
          <w:spacing w:val="-3"/>
          <w:sz w:val="16"/>
        </w:rPr>
        <w:t> </w:t>
      </w:r>
      <w:r>
        <w:rPr>
          <w:sz w:val="16"/>
        </w:rPr>
        <w:t>al</w:t>
      </w:r>
      <w:r>
        <w:rPr>
          <w:spacing w:val="-4"/>
          <w:sz w:val="16"/>
        </w:rPr>
        <w:t> </w:t>
      </w:r>
      <w:r>
        <w:rPr>
          <w:sz w:val="16"/>
        </w:rPr>
        <w:t>lote</w:t>
      </w:r>
      <w:r>
        <w:rPr>
          <w:spacing w:val="-6"/>
          <w:sz w:val="16"/>
        </w:rPr>
        <w:t> </w:t>
      </w:r>
      <w:r>
        <w:rPr>
          <w:sz w:val="16"/>
        </w:rPr>
        <w:t>55</w:t>
      </w:r>
      <w:r>
        <w:rPr>
          <w:spacing w:val="-5"/>
          <w:sz w:val="16"/>
        </w:rPr>
        <w:t> </w:t>
      </w:r>
      <w:r>
        <w:rPr>
          <w:sz w:val="16"/>
        </w:rPr>
        <w:t>resultaban</w:t>
      </w:r>
      <w:r>
        <w:rPr>
          <w:spacing w:val="-5"/>
          <w:sz w:val="16"/>
        </w:rPr>
        <w:t> </w:t>
      </w:r>
      <w:r>
        <w:rPr>
          <w:sz w:val="16"/>
        </w:rPr>
        <w:t>relevantes</w:t>
      </w:r>
      <w:r>
        <w:rPr>
          <w:spacing w:val="-6"/>
          <w:sz w:val="16"/>
        </w:rPr>
        <w:t> </w:t>
      </w:r>
      <w:r>
        <w:rPr>
          <w:sz w:val="16"/>
        </w:rPr>
        <w:t>las</w:t>
      </w:r>
      <w:r>
        <w:rPr>
          <w:spacing w:val="-3"/>
          <w:sz w:val="16"/>
        </w:rPr>
        <w:t> </w:t>
      </w:r>
      <w:r>
        <w:rPr>
          <w:sz w:val="16"/>
        </w:rPr>
        <w:t>leyes</w:t>
      </w:r>
      <w:r>
        <w:rPr>
          <w:spacing w:val="-6"/>
          <w:sz w:val="16"/>
        </w:rPr>
        <w:t> </w:t>
      </w:r>
      <w:r>
        <w:rPr>
          <w:sz w:val="16"/>
        </w:rPr>
        <w:t>provinciales</w:t>
      </w:r>
      <w:r>
        <w:rPr>
          <w:spacing w:val="-3"/>
          <w:sz w:val="16"/>
        </w:rPr>
        <w:t> </w:t>
      </w:r>
      <w:r>
        <w:rPr>
          <w:sz w:val="16"/>
        </w:rPr>
        <w:t>3.844</w:t>
      </w:r>
      <w:r>
        <w:rPr>
          <w:spacing w:val="-3"/>
          <w:sz w:val="16"/>
        </w:rPr>
        <w:t> </w:t>
      </w:r>
      <w:r>
        <w:rPr>
          <w:sz w:val="16"/>
        </w:rPr>
        <w:t>y</w:t>
      </w:r>
      <w:r>
        <w:rPr>
          <w:spacing w:val="-5"/>
          <w:sz w:val="16"/>
        </w:rPr>
        <w:t> </w:t>
      </w:r>
      <w:r>
        <w:rPr>
          <w:sz w:val="16"/>
        </w:rPr>
        <w:t>4.086, de 1964 y 1965, que establecieron políticas de “colonización”, legislando “a favor de los criollos” y dictadas bajo una orientación “desarrollista integracionista”. (</w:t>
      </w:r>
      <w:r>
        <w:rPr>
          <w:i/>
          <w:sz w:val="16"/>
        </w:rPr>
        <w:t>Cfr. </w:t>
      </w:r>
      <w:r>
        <w:rPr>
          <w:sz w:val="16"/>
        </w:rPr>
        <w:t>Carrasco, Morita y Briones, Claudia, “La tierra que nos quitaron” Documento IWGIA No.</w:t>
      </w:r>
      <w:r>
        <w:rPr>
          <w:spacing w:val="-9"/>
          <w:sz w:val="16"/>
        </w:rPr>
        <w:t> </w:t>
      </w:r>
      <w:r>
        <w:rPr>
          <w:sz w:val="16"/>
        </w:rPr>
        <w:t>18.)</w:t>
      </w:r>
    </w:p>
    <w:p>
      <w:pPr>
        <w:pStyle w:val="BodyText"/>
        <w:spacing w:before="11"/>
        <w:rPr>
          <w:sz w:val="15"/>
        </w:rPr>
      </w:pPr>
    </w:p>
    <w:p>
      <w:pPr>
        <w:tabs>
          <w:tab w:pos="829" w:val="left" w:leader="none"/>
        </w:tabs>
        <w:spacing w:before="0"/>
        <w:ind w:left="122" w:right="115" w:firstLine="0"/>
        <w:jc w:val="both"/>
        <w:rPr>
          <w:sz w:val="16"/>
        </w:rPr>
      </w:pPr>
      <w:r>
        <w:rPr>
          <w:position w:val="6"/>
          <w:sz w:val="10"/>
        </w:rPr>
        <w:t>47</w:t>
        <w:tab/>
      </w:r>
      <w:r>
        <w:rPr>
          <w:i/>
          <w:sz w:val="16"/>
        </w:rPr>
        <w:t>Cfr.</w:t>
      </w:r>
      <w:r>
        <w:rPr>
          <w:i/>
          <w:spacing w:val="-9"/>
          <w:sz w:val="16"/>
        </w:rPr>
        <w:t> </w:t>
      </w:r>
      <w:r>
        <w:rPr>
          <w:sz w:val="16"/>
        </w:rPr>
        <w:t>Publicación</w:t>
      </w:r>
      <w:r>
        <w:rPr>
          <w:spacing w:val="-12"/>
          <w:sz w:val="16"/>
        </w:rPr>
        <w:t> </w:t>
      </w:r>
      <w:r>
        <w:rPr>
          <w:sz w:val="16"/>
        </w:rPr>
        <w:t>“La</w:t>
      </w:r>
      <w:r>
        <w:rPr>
          <w:spacing w:val="-11"/>
          <w:sz w:val="16"/>
        </w:rPr>
        <w:t> </w:t>
      </w:r>
      <w:r>
        <w:rPr>
          <w:sz w:val="16"/>
        </w:rPr>
        <w:t>tierra</w:t>
      </w:r>
      <w:r>
        <w:rPr>
          <w:spacing w:val="-11"/>
          <w:sz w:val="16"/>
        </w:rPr>
        <w:t> </w:t>
      </w:r>
      <w:r>
        <w:rPr>
          <w:sz w:val="16"/>
        </w:rPr>
        <w:t>que</w:t>
      </w:r>
      <w:r>
        <w:rPr>
          <w:spacing w:val="-13"/>
          <w:sz w:val="16"/>
        </w:rPr>
        <w:t> </w:t>
      </w:r>
      <w:r>
        <w:rPr>
          <w:sz w:val="16"/>
        </w:rPr>
        <w:t>nos</w:t>
      </w:r>
      <w:r>
        <w:rPr>
          <w:spacing w:val="-10"/>
          <w:sz w:val="16"/>
        </w:rPr>
        <w:t> </w:t>
      </w:r>
      <w:r>
        <w:rPr>
          <w:sz w:val="16"/>
        </w:rPr>
        <w:t>quitaron”,</w:t>
      </w:r>
      <w:r>
        <w:rPr>
          <w:spacing w:val="-12"/>
          <w:sz w:val="16"/>
        </w:rPr>
        <w:t> </w:t>
      </w:r>
      <w:r>
        <w:rPr>
          <w:sz w:val="16"/>
        </w:rPr>
        <w:t>de</w:t>
      </w:r>
      <w:r>
        <w:rPr>
          <w:spacing w:val="-10"/>
          <w:sz w:val="16"/>
        </w:rPr>
        <w:t> </w:t>
      </w:r>
      <w:r>
        <w:rPr>
          <w:sz w:val="16"/>
        </w:rPr>
        <w:t>Morita</w:t>
      </w:r>
      <w:r>
        <w:rPr>
          <w:spacing w:val="-11"/>
          <w:sz w:val="16"/>
        </w:rPr>
        <w:t> </w:t>
      </w:r>
      <w:r>
        <w:rPr>
          <w:sz w:val="16"/>
        </w:rPr>
        <w:t>Carrasco</w:t>
      </w:r>
      <w:r>
        <w:rPr>
          <w:spacing w:val="-10"/>
          <w:sz w:val="16"/>
        </w:rPr>
        <w:t> </w:t>
      </w:r>
      <w:r>
        <w:rPr>
          <w:sz w:val="16"/>
        </w:rPr>
        <w:t>y</w:t>
      </w:r>
      <w:r>
        <w:rPr>
          <w:spacing w:val="-12"/>
          <w:sz w:val="16"/>
        </w:rPr>
        <w:t> </w:t>
      </w:r>
      <w:r>
        <w:rPr>
          <w:sz w:val="16"/>
        </w:rPr>
        <w:t>Claudia</w:t>
      </w:r>
      <w:r>
        <w:rPr>
          <w:spacing w:val="-9"/>
          <w:sz w:val="16"/>
        </w:rPr>
        <w:t> </w:t>
      </w:r>
      <w:r>
        <w:rPr>
          <w:sz w:val="16"/>
        </w:rPr>
        <w:t>Briones.</w:t>
      </w:r>
      <w:r>
        <w:rPr>
          <w:spacing w:val="-11"/>
          <w:sz w:val="16"/>
        </w:rPr>
        <w:t> </w:t>
      </w:r>
      <w:r>
        <w:rPr>
          <w:sz w:val="16"/>
        </w:rPr>
        <w:t>Documento</w:t>
      </w:r>
      <w:r>
        <w:rPr>
          <w:spacing w:val="-4"/>
          <w:sz w:val="16"/>
        </w:rPr>
        <w:t> </w:t>
      </w:r>
      <w:r>
        <w:rPr>
          <w:sz w:val="16"/>
        </w:rPr>
        <w:t>IWGIA</w:t>
      </w:r>
      <w:r>
        <w:rPr>
          <w:w w:val="100"/>
          <w:sz w:val="16"/>
        </w:rPr>
        <w:t> </w:t>
      </w:r>
      <w:r>
        <w:rPr>
          <w:sz w:val="16"/>
        </w:rPr>
        <w:t>No.</w:t>
      </w:r>
      <w:r>
        <w:rPr>
          <w:spacing w:val="-1"/>
          <w:sz w:val="16"/>
        </w:rPr>
        <w:t> </w:t>
      </w:r>
      <w:r>
        <w:rPr>
          <w:sz w:val="16"/>
        </w:rPr>
        <w:t>18.</w:t>
      </w:r>
    </w:p>
    <w:p>
      <w:pPr>
        <w:pStyle w:val="BodyText"/>
        <w:spacing w:before="11"/>
        <w:rPr>
          <w:sz w:val="15"/>
        </w:rPr>
      </w:pPr>
    </w:p>
    <w:p>
      <w:pPr>
        <w:tabs>
          <w:tab w:pos="829" w:val="left" w:leader="none"/>
        </w:tabs>
        <w:spacing w:before="0"/>
        <w:ind w:left="122" w:right="114" w:firstLine="0"/>
        <w:jc w:val="both"/>
        <w:rPr>
          <w:sz w:val="16"/>
        </w:rPr>
      </w:pPr>
      <w:r>
        <w:rPr>
          <w:position w:val="6"/>
          <w:sz w:val="10"/>
        </w:rPr>
        <w:t>48</w:t>
        <w:tab/>
      </w:r>
      <w:r>
        <w:rPr>
          <w:i/>
          <w:sz w:val="16"/>
        </w:rPr>
        <w:t>Cfr. </w:t>
      </w:r>
      <w:r>
        <w:rPr>
          <w:sz w:val="16"/>
        </w:rPr>
        <w:t>Decreto 2609/91. Expediente de prueba, anexo B.6 al escrito de solicitudes y  </w:t>
      </w:r>
      <w:r>
        <w:rPr>
          <w:spacing w:val="47"/>
          <w:sz w:val="16"/>
        </w:rPr>
        <w:t> </w:t>
      </w:r>
      <w:r>
        <w:rPr>
          <w:sz w:val="16"/>
        </w:rPr>
        <w:t>argumentos,</w:t>
      </w:r>
      <w:r>
        <w:rPr>
          <w:spacing w:val="10"/>
          <w:sz w:val="16"/>
        </w:rPr>
        <w:t> </w:t>
      </w:r>
      <w:r>
        <w:rPr>
          <w:sz w:val="16"/>
        </w:rPr>
        <w:t>fs.</w:t>
      </w:r>
      <w:r>
        <w:rPr>
          <w:w w:val="100"/>
          <w:sz w:val="16"/>
        </w:rPr>
        <w:t> </w:t>
      </w:r>
      <w:r>
        <w:rPr>
          <w:sz w:val="16"/>
        </w:rPr>
        <w:t>29.782</w:t>
      </w:r>
      <w:r>
        <w:rPr>
          <w:spacing w:val="-5"/>
          <w:sz w:val="16"/>
        </w:rPr>
        <w:t> </w:t>
      </w:r>
      <w:r>
        <w:rPr>
          <w:sz w:val="16"/>
        </w:rPr>
        <w:t>y</w:t>
      </w:r>
      <w:r>
        <w:rPr>
          <w:spacing w:val="-7"/>
          <w:sz w:val="16"/>
        </w:rPr>
        <w:t> </w:t>
      </w:r>
      <w:r>
        <w:rPr>
          <w:sz w:val="16"/>
        </w:rPr>
        <w:t>29.783.</w:t>
      </w:r>
      <w:r>
        <w:rPr>
          <w:spacing w:val="-5"/>
          <w:sz w:val="16"/>
        </w:rPr>
        <w:t> </w:t>
      </w:r>
      <w:r>
        <w:rPr>
          <w:sz w:val="16"/>
        </w:rPr>
        <w:t>Es</w:t>
      </w:r>
      <w:r>
        <w:rPr>
          <w:spacing w:val="-5"/>
          <w:sz w:val="16"/>
        </w:rPr>
        <w:t> </w:t>
      </w:r>
      <w:r>
        <w:rPr>
          <w:sz w:val="16"/>
        </w:rPr>
        <w:t>importante</w:t>
      </w:r>
      <w:r>
        <w:rPr>
          <w:spacing w:val="-5"/>
          <w:sz w:val="16"/>
        </w:rPr>
        <w:t> </w:t>
      </w:r>
      <w:r>
        <w:rPr>
          <w:sz w:val="16"/>
        </w:rPr>
        <w:t>resaltar</w:t>
      </w:r>
      <w:r>
        <w:rPr>
          <w:spacing w:val="-7"/>
          <w:sz w:val="16"/>
        </w:rPr>
        <w:t> </w:t>
      </w:r>
      <w:r>
        <w:rPr>
          <w:sz w:val="16"/>
        </w:rPr>
        <w:t>que</w:t>
      </w:r>
      <w:r>
        <w:rPr>
          <w:spacing w:val="-5"/>
          <w:sz w:val="16"/>
        </w:rPr>
        <w:t> </w:t>
      </w:r>
      <w:r>
        <w:rPr>
          <w:sz w:val="16"/>
        </w:rPr>
        <w:t>el</w:t>
      </w:r>
      <w:r>
        <w:rPr>
          <w:spacing w:val="-6"/>
          <w:sz w:val="16"/>
        </w:rPr>
        <w:t> </w:t>
      </w:r>
      <w:r>
        <w:rPr>
          <w:sz w:val="16"/>
        </w:rPr>
        <w:t>Decreto</w:t>
      </w:r>
      <w:r>
        <w:rPr>
          <w:spacing w:val="-7"/>
          <w:sz w:val="16"/>
        </w:rPr>
        <w:t> </w:t>
      </w:r>
      <w:r>
        <w:rPr>
          <w:sz w:val="16"/>
        </w:rPr>
        <w:t>2609/91</w:t>
      </w:r>
      <w:r>
        <w:rPr>
          <w:spacing w:val="-5"/>
          <w:sz w:val="16"/>
        </w:rPr>
        <w:t> </w:t>
      </w:r>
      <w:r>
        <w:rPr>
          <w:sz w:val="16"/>
        </w:rPr>
        <w:t>estableció</w:t>
      </w:r>
      <w:r>
        <w:rPr>
          <w:spacing w:val="-4"/>
          <w:sz w:val="16"/>
        </w:rPr>
        <w:t> </w:t>
      </w:r>
      <w:r>
        <w:rPr>
          <w:sz w:val="16"/>
        </w:rPr>
        <w:t>la</w:t>
      </w:r>
      <w:r>
        <w:rPr>
          <w:spacing w:val="-6"/>
          <w:sz w:val="16"/>
        </w:rPr>
        <w:t> </w:t>
      </w:r>
      <w:r>
        <w:rPr>
          <w:sz w:val="16"/>
        </w:rPr>
        <w:t>suspensión,</w:t>
      </w:r>
      <w:r>
        <w:rPr>
          <w:spacing w:val="-8"/>
          <w:sz w:val="16"/>
        </w:rPr>
        <w:t> </w:t>
      </w:r>
      <w:r>
        <w:rPr>
          <w:sz w:val="16"/>
        </w:rPr>
        <w:t>hasta</w:t>
      </w:r>
      <w:r>
        <w:rPr>
          <w:spacing w:val="-6"/>
          <w:sz w:val="16"/>
        </w:rPr>
        <w:t> </w:t>
      </w:r>
      <w:r>
        <w:rPr>
          <w:sz w:val="16"/>
        </w:rPr>
        <w:t>la</w:t>
      </w:r>
      <w:r>
        <w:rPr>
          <w:spacing w:val="-6"/>
          <w:sz w:val="16"/>
        </w:rPr>
        <w:t> </w:t>
      </w:r>
      <w:r>
        <w:rPr>
          <w:sz w:val="16"/>
        </w:rPr>
        <w:t>entrega</w:t>
      </w:r>
      <w:r>
        <w:rPr>
          <w:spacing w:val="-6"/>
          <w:sz w:val="16"/>
        </w:rPr>
        <w:t> </w:t>
      </w:r>
      <w:r>
        <w:rPr>
          <w:sz w:val="16"/>
        </w:rPr>
        <w:t>de “los</w:t>
      </w:r>
      <w:r>
        <w:rPr>
          <w:spacing w:val="-3"/>
          <w:sz w:val="16"/>
        </w:rPr>
        <w:t> </w:t>
      </w:r>
      <w:r>
        <w:rPr>
          <w:sz w:val="16"/>
        </w:rPr>
        <w:t>[t]ítulos</w:t>
      </w:r>
      <w:r>
        <w:rPr>
          <w:spacing w:val="-3"/>
          <w:sz w:val="16"/>
        </w:rPr>
        <w:t> </w:t>
      </w:r>
      <w:r>
        <w:rPr>
          <w:sz w:val="16"/>
        </w:rPr>
        <w:t>[d]efinitivos</w:t>
      </w:r>
      <w:r>
        <w:rPr>
          <w:spacing w:val="-3"/>
          <w:sz w:val="16"/>
        </w:rPr>
        <w:t> </w:t>
      </w:r>
      <w:r>
        <w:rPr>
          <w:sz w:val="16"/>
        </w:rPr>
        <w:t>a</w:t>
      </w:r>
      <w:r>
        <w:rPr>
          <w:spacing w:val="-4"/>
          <w:sz w:val="16"/>
        </w:rPr>
        <w:t> </w:t>
      </w:r>
      <w:r>
        <w:rPr>
          <w:sz w:val="16"/>
        </w:rPr>
        <w:t>las</w:t>
      </w:r>
      <w:r>
        <w:rPr>
          <w:spacing w:val="-6"/>
          <w:sz w:val="16"/>
        </w:rPr>
        <w:t> </w:t>
      </w:r>
      <w:r>
        <w:rPr>
          <w:sz w:val="16"/>
        </w:rPr>
        <w:t>[c]omunidades</w:t>
      </w:r>
      <w:r>
        <w:rPr>
          <w:spacing w:val="-3"/>
          <w:sz w:val="16"/>
        </w:rPr>
        <w:t> </w:t>
      </w:r>
      <w:r>
        <w:rPr>
          <w:sz w:val="16"/>
        </w:rPr>
        <w:t>[a]borígenes</w:t>
      </w:r>
      <w:r>
        <w:rPr>
          <w:spacing w:val="-6"/>
          <w:sz w:val="16"/>
        </w:rPr>
        <w:t> </w:t>
      </w:r>
      <w:r>
        <w:rPr>
          <w:sz w:val="16"/>
        </w:rPr>
        <w:t>y</w:t>
      </w:r>
      <w:r>
        <w:rPr>
          <w:spacing w:val="-3"/>
          <w:sz w:val="16"/>
        </w:rPr>
        <w:t> </w:t>
      </w:r>
      <w:r>
        <w:rPr>
          <w:sz w:val="16"/>
        </w:rPr>
        <w:t>[c]riollas”,</w:t>
      </w:r>
      <w:r>
        <w:rPr>
          <w:spacing w:val="-7"/>
          <w:sz w:val="16"/>
        </w:rPr>
        <w:t> </w:t>
      </w:r>
      <w:r>
        <w:rPr>
          <w:sz w:val="16"/>
        </w:rPr>
        <w:t>de</w:t>
      </w:r>
      <w:r>
        <w:rPr>
          <w:spacing w:val="-3"/>
          <w:sz w:val="16"/>
        </w:rPr>
        <w:t> </w:t>
      </w:r>
      <w:r>
        <w:rPr>
          <w:sz w:val="16"/>
        </w:rPr>
        <w:t>“autorizaciones”</w:t>
      </w:r>
      <w:r>
        <w:rPr>
          <w:spacing w:val="-3"/>
          <w:sz w:val="16"/>
        </w:rPr>
        <w:t> </w:t>
      </w:r>
      <w:r>
        <w:rPr>
          <w:sz w:val="16"/>
        </w:rPr>
        <w:t>o</w:t>
      </w:r>
      <w:r>
        <w:rPr>
          <w:spacing w:val="-5"/>
          <w:sz w:val="16"/>
        </w:rPr>
        <w:t> </w:t>
      </w:r>
      <w:r>
        <w:rPr>
          <w:sz w:val="16"/>
        </w:rPr>
        <w:t>“cualquier</w:t>
      </w:r>
      <w:r>
        <w:rPr>
          <w:spacing w:val="-3"/>
          <w:sz w:val="16"/>
        </w:rPr>
        <w:t> </w:t>
      </w:r>
      <w:r>
        <w:rPr>
          <w:sz w:val="16"/>
        </w:rPr>
        <w:t>acto que implique la concesión de explotaciones forestales o agropecuarias” en los lotes</w:t>
      </w:r>
      <w:r>
        <w:rPr>
          <w:spacing w:val="-26"/>
          <w:sz w:val="16"/>
        </w:rPr>
        <w:t> </w:t>
      </w:r>
      <w:r>
        <w:rPr>
          <w:sz w:val="16"/>
        </w:rPr>
        <w:t>mencionados.</w:t>
      </w:r>
    </w:p>
    <w:p>
      <w:pPr>
        <w:pStyle w:val="BodyText"/>
        <w:spacing w:before="11"/>
        <w:rPr>
          <w:sz w:val="15"/>
        </w:rPr>
      </w:pPr>
    </w:p>
    <w:p>
      <w:pPr>
        <w:tabs>
          <w:tab w:pos="829" w:val="left" w:leader="none"/>
        </w:tabs>
        <w:spacing w:before="0"/>
        <w:ind w:left="122" w:right="117" w:firstLine="0"/>
        <w:jc w:val="both"/>
        <w:rPr>
          <w:sz w:val="16"/>
        </w:rPr>
      </w:pPr>
      <w:r>
        <w:rPr>
          <w:position w:val="6"/>
          <w:sz w:val="10"/>
        </w:rPr>
        <w:t>49</w:t>
        <w:tab/>
      </w:r>
      <w:r>
        <w:rPr>
          <w:i/>
          <w:sz w:val="16"/>
        </w:rPr>
        <w:t>Cfr.</w:t>
      </w:r>
      <w:r>
        <w:rPr>
          <w:i/>
          <w:spacing w:val="25"/>
          <w:sz w:val="16"/>
        </w:rPr>
        <w:t> </w:t>
      </w:r>
      <w:r>
        <w:rPr>
          <w:sz w:val="16"/>
        </w:rPr>
        <w:t>Estatuto</w:t>
      </w:r>
      <w:r>
        <w:rPr>
          <w:spacing w:val="25"/>
          <w:sz w:val="16"/>
        </w:rPr>
        <w:t> </w:t>
      </w:r>
      <w:r>
        <w:rPr>
          <w:sz w:val="16"/>
        </w:rPr>
        <w:t>de</w:t>
      </w:r>
      <w:r>
        <w:rPr>
          <w:spacing w:val="25"/>
          <w:sz w:val="16"/>
        </w:rPr>
        <w:t> </w:t>
      </w:r>
      <w:r>
        <w:rPr>
          <w:sz w:val="16"/>
        </w:rPr>
        <w:t>la</w:t>
      </w:r>
      <w:r>
        <w:rPr>
          <w:spacing w:val="24"/>
          <w:sz w:val="16"/>
        </w:rPr>
        <w:t> </w:t>
      </w:r>
      <w:r>
        <w:rPr>
          <w:sz w:val="16"/>
        </w:rPr>
        <w:t>Asociación</w:t>
      </w:r>
      <w:r>
        <w:rPr>
          <w:spacing w:val="24"/>
          <w:sz w:val="16"/>
        </w:rPr>
        <w:t> </w:t>
      </w:r>
      <w:r>
        <w:rPr>
          <w:sz w:val="16"/>
        </w:rPr>
        <w:t>de</w:t>
      </w:r>
      <w:r>
        <w:rPr>
          <w:spacing w:val="25"/>
          <w:sz w:val="16"/>
        </w:rPr>
        <w:t> </w:t>
      </w:r>
      <w:r>
        <w:rPr>
          <w:sz w:val="16"/>
        </w:rPr>
        <w:t>Comunidades</w:t>
      </w:r>
      <w:r>
        <w:rPr>
          <w:spacing w:val="25"/>
          <w:sz w:val="16"/>
        </w:rPr>
        <w:t> </w:t>
      </w:r>
      <w:r>
        <w:rPr>
          <w:sz w:val="16"/>
        </w:rPr>
        <w:t>Aborígenes</w:t>
      </w:r>
      <w:r>
        <w:rPr>
          <w:spacing w:val="25"/>
          <w:sz w:val="16"/>
        </w:rPr>
        <w:t> </w:t>
      </w:r>
      <w:r>
        <w:rPr>
          <w:sz w:val="16"/>
        </w:rPr>
        <w:t>Lhaka</w:t>
      </w:r>
      <w:r>
        <w:rPr>
          <w:spacing w:val="24"/>
          <w:sz w:val="16"/>
        </w:rPr>
        <w:t> </w:t>
      </w:r>
      <w:r>
        <w:rPr>
          <w:sz w:val="16"/>
        </w:rPr>
        <w:t>Honhat.</w:t>
      </w:r>
      <w:r>
        <w:rPr>
          <w:spacing w:val="24"/>
          <w:sz w:val="16"/>
        </w:rPr>
        <w:t> </w:t>
      </w:r>
      <w:r>
        <w:rPr>
          <w:sz w:val="16"/>
        </w:rPr>
        <w:t>Expediente</w:t>
      </w:r>
      <w:r>
        <w:rPr>
          <w:spacing w:val="23"/>
          <w:sz w:val="16"/>
        </w:rPr>
        <w:t> </w:t>
      </w:r>
      <w:r>
        <w:rPr>
          <w:sz w:val="16"/>
        </w:rPr>
        <w:t>de</w:t>
      </w:r>
      <w:r>
        <w:rPr>
          <w:spacing w:val="25"/>
          <w:sz w:val="16"/>
        </w:rPr>
        <w:t> </w:t>
      </w:r>
      <w:r>
        <w:rPr>
          <w:sz w:val="16"/>
        </w:rPr>
        <w:t>prueba,</w:t>
      </w:r>
      <w:r>
        <w:rPr>
          <w:w w:val="100"/>
          <w:sz w:val="16"/>
        </w:rPr>
        <w:t> </w:t>
      </w:r>
      <w:r>
        <w:rPr>
          <w:sz w:val="16"/>
        </w:rPr>
        <w:t>anexo B.7 al escrito de solicitudes y argumentos, fs. 29.785 a</w:t>
      </w:r>
      <w:r>
        <w:rPr>
          <w:spacing w:val="-21"/>
          <w:sz w:val="16"/>
        </w:rPr>
        <w:t> </w:t>
      </w:r>
      <w:r>
        <w:rPr>
          <w:sz w:val="16"/>
        </w:rPr>
        <w:t>29.791.</w:t>
      </w:r>
    </w:p>
    <w:p>
      <w:pPr>
        <w:pStyle w:val="BodyText"/>
        <w:spacing w:before="12"/>
        <w:rPr>
          <w:sz w:val="15"/>
        </w:rPr>
      </w:pPr>
    </w:p>
    <w:p>
      <w:pPr>
        <w:tabs>
          <w:tab w:pos="829" w:val="left" w:leader="none"/>
        </w:tabs>
        <w:spacing w:before="0"/>
        <w:ind w:left="122" w:right="113" w:firstLine="0"/>
        <w:jc w:val="both"/>
        <w:rPr>
          <w:sz w:val="16"/>
        </w:rPr>
      </w:pPr>
      <w:r>
        <w:rPr>
          <w:position w:val="6"/>
          <w:sz w:val="10"/>
        </w:rPr>
        <w:t>50</w:t>
        <w:tab/>
      </w:r>
      <w:r>
        <w:rPr>
          <w:i/>
          <w:sz w:val="16"/>
        </w:rPr>
        <w:t>Cfr. </w:t>
      </w:r>
      <w:r>
        <w:rPr>
          <w:sz w:val="16"/>
        </w:rPr>
        <w:t>Informe IWGIA: El Caso Lhaka Honhat. IWGIA y CELS, 2006. Expediente de prueba,</w:t>
      </w:r>
      <w:r>
        <w:rPr>
          <w:spacing w:val="-39"/>
          <w:sz w:val="16"/>
        </w:rPr>
        <w:t> </w:t>
      </w:r>
      <w:r>
        <w:rPr>
          <w:sz w:val="16"/>
        </w:rPr>
        <w:t>anexo</w:t>
      </w:r>
      <w:r>
        <w:rPr>
          <w:spacing w:val="-2"/>
          <w:sz w:val="16"/>
        </w:rPr>
        <w:t> </w:t>
      </w:r>
      <w:r>
        <w:rPr>
          <w:sz w:val="16"/>
        </w:rPr>
        <w:t>B.12</w:t>
      </w:r>
      <w:r>
        <w:rPr>
          <w:w w:val="100"/>
          <w:sz w:val="16"/>
        </w:rPr>
        <w:t> </w:t>
      </w:r>
      <w:r>
        <w:rPr>
          <w:sz w:val="16"/>
        </w:rPr>
        <w:t>al escrito de solicitudes y argumentos, fs. 30.031 a</w:t>
      </w:r>
      <w:r>
        <w:rPr>
          <w:spacing w:val="-22"/>
          <w:sz w:val="16"/>
        </w:rPr>
        <w:t> </w:t>
      </w:r>
      <w:r>
        <w:rPr>
          <w:sz w:val="16"/>
        </w:rPr>
        <w:t>30.071.</w:t>
      </w:r>
    </w:p>
    <w:p>
      <w:pPr>
        <w:pStyle w:val="BodyText"/>
        <w:spacing w:before="12"/>
        <w:rPr>
          <w:sz w:val="15"/>
        </w:rPr>
      </w:pPr>
    </w:p>
    <w:p>
      <w:pPr>
        <w:tabs>
          <w:tab w:pos="829" w:val="left" w:leader="none"/>
        </w:tabs>
        <w:spacing w:line="240" w:lineRule="auto" w:before="0"/>
        <w:ind w:left="122" w:right="115" w:firstLine="0"/>
        <w:jc w:val="both"/>
        <w:rPr>
          <w:sz w:val="16"/>
        </w:rPr>
      </w:pPr>
      <w:r>
        <w:rPr>
          <w:position w:val="6"/>
          <w:sz w:val="10"/>
        </w:rPr>
        <w:t>51</w:t>
        <w:tab/>
      </w:r>
      <w:r>
        <w:rPr>
          <w:i/>
          <w:sz w:val="16"/>
        </w:rPr>
        <w:t>Cfr.</w:t>
      </w:r>
      <w:r>
        <w:rPr>
          <w:i/>
          <w:spacing w:val="-9"/>
          <w:sz w:val="16"/>
        </w:rPr>
        <w:t> </w:t>
      </w:r>
      <w:r>
        <w:rPr>
          <w:sz w:val="16"/>
        </w:rPr>
        <w:t>Decreto</w:t>
      </w:r>
      <w:r>
        <w:rPr>
          <w:spacing w:val="-8"/>
          <w:sz w:val="16"/>
        </w:rPr>
        <w:t> </w:t>
      </w:r>
      <w:r>
        <w:rPr>
          <w:sz w:val="16"/>
        </w:rPr>
        <w:t>18/93</w:t>
      </w:r>
      <w:r>
        <w:rPr>
          <w:spacing w:val="-7"/>
          <w:sz w:val="16"/>
        </w:rPr>
        <w:t> </w:t>
      </w:r>
      <w:r>
        <w:rPr>
          <w:sz w:val="16"/>
        </w:rPr>
        <w:t>de</w:t>
      </w:r>
      <w:r>
        <w:rPr>
          <w:spacing w:val="-8"/>
          <w:sz w:val="16"/>
        </w:rPr>
        <w:t> </w:t>
      </w:r>
      <w:r>
        <w:rPr>
          <w:sz w:val="16"/>
        </w:rPr>
        <w:t>13</w:t>
      </w:r>
      <w:r>
        <w:rPr>
          <w:spacing w:val="-7"/>
          <w:sz w:val="16"/>
        </w:rPr>
        <w:t> </w:t>
      </w:r>
      <w:r>
        <w:rPr>
          <w:sz w:val="16"/>
        </w:rPr>
        <w:t>de</w:t>
      </w:r>
      <w:r>
        <w:rPr>
          <w:spacing w:val="-8"/>
          <w:sz w:val="16"/>
        </w:rPr>
        <w:t> </w:t>
      </w:r>
      <w:r>
        <w:rPr>
          <w:sz w:val="16"/>
        </w:rPr>
        <w:t>enero</w:t>
      </w:r>
      <w:r>
        <w:rPr>
          <w:spacing w:val="-10"/>
          <w:sz w:val="16"/>
        </w:rPr>
        <w:t> </w:t>
      </w:r>
      <w:r>
        <w:rPr>
          <w:sz w:val="16"/>
        </w:rPr>
        <w:t>de</w:t>
      </w:r>
      <w:r>
        <w:rPr>
          <w:spacing w:val="-11"/>
          <w:sz w:val="16"/>
        </w:rPr>
        <w:t> </w:t>
      </w:r>
      <w:r>
        <w:rPr>
          <w:sz w:val="16"/>
        </w:rPr>
        <w:t>1993.</w:t>
      </w:r>
      <w:r>
        <w:rPr>
          <w:spacing w:val="-9"/>
          <w:sz w:val="16"/>
        </w:rPr>
        <w:t> </w:t>
      </w:r>
      <w:r>
        <w:rPr>
          <w:sz w:val="16"/>
        </w:rPr>
        <w:t>Expediente</w:t>
      </w:r>
      <w:r>
        <w:rPr>
          <w:spacing w:val="-8"/>
          <w:sz w:val="16"/>
        </w:rPr>
        <w:t> </w:t>
      </w:r>
      <w:r>
        <w:rPr>
          <w:sz w:val="16"/>
        </w:rPr>
        <w:t>de</w:t>
      </w:r>
      <w:r>
        <w:rPr>
          <w:spacing w:val="-11"/>
          <w:sz w:val="16"/>
        </w:rPr>
        <w:t> </w:t>
      </w:r>
      <w:r>
        <w:rPr>
          <w:sz w:val="16"/>
        </w:rPr>
        <w:t>prueba,</w:t>
      </w:r>
      <w:r>
        <w:rPr>
          <w:spacing w:val="-7"/>
          <w:sz w:val="16"/>
        </w:rPr>
        <w:t> </w:t>
      </w:r>
      <w:r>
        <w:rPr>
          <w:sz w:val="16"/>
        </w:rPr>
        <w:t>anexo</w:t>
      </w:r>
      <w:r>
        <w:rPr>
          <w:spacing w:val="-10"/>
          <w:sz w:val="16"/>
        </w:rPr>
        <w:t> </w:t>
      </w:r>
      <w:r>
        <w:rPr>
          <w:sz w:val="16"/>
        </w:rPr>
        <w:t>B.9</w:t>
      </w:r>
      <w:r>
        <w:rPr>
          <w:spacing w:val="-7"/>
          <w:sz w:val="16"/>
        </w:rPr>
        <w:t> </w:t>
      </w:r>
      <w:r>
        <w:rPr>
          <w:sz w:val="16"/>
        </w:rPr>
        <w:t>al</w:t>
      </w:r>
      <w:r>
        <w:rPr>
          <w:spacing w:val="-9"/>
          <w:sz w:val="16"/>
        </w:rPr>
        <w:t> </w:t>
      </w:r>
      <w:r>
        <w:rPr>
          <w:sz w:val="16"/>
        </w:rPr>
        <w:t>escrito</w:t>
      </w:r>
      <w:r>
        <w:rPr>
          <w:spacing w:val="-10"/>
          <w:sz w:val="16"/>
        </w:rPr>
        <w:t> </w:t>
      </w:r>
      <w:r>
        <w:rPr>
          <w:sz w:val="16"/>
        </w:rPr>
        <w:t>de</w:t>
      </w:r>
      <w:r>
        <w:rPr>
          <w:spacing w:val="-8"/>
          <w:sz w:val="16"/>
        </w:rPr>
        <w:t> </w:t>
      </w:r>
      <w:r>
        <w:rPr>
          <w:sz w:val="16"/>
        </w:rPr>
        <w:t>solicitudes</w:t>
      </w:r>
      <w:r>
        <w:rPr>
          <w:w w:val="100"/>
          <w:sz w:val="16"/>
        </w:rPr>
        <w:t> </w:t>
      </w:r>
      <w:r>
        <w:rPr>
          <w:sz w:val="16"/>
        </w:rPr>
        <w:t>y argumentos, fs. 29.799 a 29.801. El Decreto creó una Comisión Asesora Honoraria para hacer recomendaciones sobre la “metodología adecuada” para la entrega de las tierras a comunidades indígenas y la</w:t>
      </w:r>
      <w:r>
        <w:rPr>
          <w:spacing w:val="-4"/>
          <w:sz w:val="16"/>
        </w:rPr>
        <w:t> </w:t>
      </w:r>
      <w:r>
        <w:rPr>
          <w:sz w:val="16"/>
        </w:rPr>
        <w:t>preservación</w:t>
      </w:r>
      <w:r>
        <w:rPr>
          <w:spacing w:val="-7"/>
          <w:sz w:val="16"/>
        </w:rPr>
        <w:t> </w:t>
      </w:r>
      <w:r>
        <w:rPr>
          <w:sz w:val="16"/>
        </w:rPr>
        <w:t>del</w:t>
      </w:r>
      <w:r>
        <w:rPr>
          <w:spacing w:val="-7"/>
          <w:sz w:val="16"/>
        </w:rPr>
        <w:t> </w:t>
      </w:r>
      <w:r>
        <w:rPr>
          <w:sz w:val="16"/>
        </w:rPr>
        <w:t>medio</w:t>
      </w:r>
      <w:r>
        <w:rPr>
          <w:spacing w:val="-5"/>
          <w:sz w:val="16"/>
        </w:rPr>
        <w:t> </w:t>
      </w:r>
      <w:r>
        <w:rPr>
          <w:sz w:val="16"/>
        </w:rPr>
        <w:t>ambiente.</w:t>
      </w:r>
      <w:r>
        <w:rPr>
          <w:spacing w:val="-3"/>
          <w:sz w:val="16"/>
        </w:rPr>
        <w:t> </w:t>
      </w:r>
      <w:r>
        <w:rPr>
          <w:sz w:val="16"/>
        </w:rPr>
        <w:t>Dichas</w:t>
      </w:r>
      <w:r>
        <w:rPr>
          <w:spacing w:val="-8"/>
          <w:sz w:val="16"/>
        </w:rPr>
        <w:t> </w:t>
      </w:r>
      <w:r>
        <w:rPr>
          <w:sz w:val="16"/>
        </w:rPr>
        <w:t>recomendaciones</w:t>
      </w:r>
      <w:r>
        <w:rPr>
          <w:spacing w:val="-6"/>
          <w:sz w:val="16"/>
        </w:rPr>
        <w:t> </w:t>
      </w:r>
      <w:r>
        <w:rPr>
          <w:sz w:val="16"/>
        </w:rPr>
        <w:t>fueron</w:t>
      </w:r>
      <w:r>
        <w:rPr>
          <w:spacing w:val="-7"/>
          <w:sz w:val="16"/>
        </w:rPr>
        <w:t> </w:t>
      </w:r>
      <w:r>
        <w:rPr>
          <w:sz w:val="16"/>
        </w:rPr>
        <w:t>expresadas</w:t>
      </w:r>
      <w:r>
        <w:rPr>
          <w:spacing w:val="-6"/>
          <w:sz w:val="16"/>
        </w:rPr>
        <w:t> </w:t>
      </w:r>
      <w:r>
        <w:rPr>
          <w:sz w:val="16"/>
        </w:rPr>
        <w:t>en</w:t>
      </w:r>
      <w:r>
        <w:rPr>
          <w:spacing w:val="-4"/>
          <w:sz w:val="16"/>
        </w:rPr>
        <w:t> </w:t>
      </w:r>
      <w:r>
        <w:rPr>
          <w:sz w:val="16"/>
        </w:rPr>
        <w:t>abril</w:t>
      </w:r>
      <w:r>
        <w:rPr>
          <w:spacing w:val="-9"/>
          <w:sz w:val="16"/>
        </w:rPr>
        <w:t> </w:t>
      </w:r>
      <w:r>
        <w:rPr>
          <w:sz w:val="16"/>
        </w:rPr>
        <w:t>de</w:t>
      </w:r>
      <w:r>
        <w:rPr>
          <w:spacing w:val="-6"/>
          <w:sz w:val="16"/>
        </w:rPr>
        <w:t> </w:t>
      </w:r>
      <w:r>
        <w:rPr>
          <w:sz w:val="16"/>
        </w:rPr>
        <w:t>1995,</w:t>
      </w:r>
      <w:r>
        <w:rPr>
          <w:spacing w:val="-7"/>
          <w:sz w:val="16"/>
        </w:rPr>
        <w:t> </w:t>
      </w:r>
      <w:r>
        <w:rPr>
          <w:sz w:val="16"/>
        </w:rPr>
        <w:t>pese</w:t>
      </w:r>
      <w:r>
        <w:rPr>
          <w:spacing w:val="-6"/>
          <w:sz w:val="16"/>
        </w:rPr>
        <w:t> </w:t>
      </w:r>
      <w:r>
        <w:rPr>
          <w:sz w:val="16"/>
        </w:rPr>
        <w:t>a</w:t>
      </w:r>
      <w:r>
        <w:rPr>
          <w:spacing w:val="-7"/>
          <w:sz w:val="16"/>
        </w:rPr>
        <w:t> </w:t>
      </w:r>
      <w:r>
        <w:rPr>
          <w:sz w:val="16"/>
        </w:rPr>
        <w:t>que en enero de 1993 se había previsto un plazo de 90 días (</w:t>
      </w:r>
      <w:r>
        <w:rPr>
          <w:i/>
          <w:sz w:val="16"/>
        </w:rPr>
        <w:t>cfr. </w:t>
      </w:r>
      <w:r>
        <w:rPr>
          <w:sz w:val="16"/>
        </w:rPr>
        <w:t>Resolución 120 del Ministerio de Gobierno de Salta del 5 de abril de 1993. Expediente de prueba, anexo B.10. al escrito de solicitudes y argumentos, fs. 29.802 a</w:t>
      </w:r>
      <w:r>
        <w:rPr>
          <w:spacing w:val="-9"/>
          <w:sz w:val="16"/>
        </w:rPr>
        <w:t> </w:t>
      </w:r>
      <w:r>
        <w:rPr>
          <w:sz w:val="16"/>
        </w:rPr>
        <w:t>29.804).</w:t>
      </w:r>
    </w:p>
    <w:p>
      <w:pPr>
        <w:spacing w:after="0" w:line="240" w:lineRule="auto"/>
        <w:jc w:val="both"/>
        <w:rPr>
          <w:sz w:val="16"/>
        </w:rPr>
        <w:sectPr>
          <w:pgSz w:w="12240" w:h="15840"/>
          <w:pgMar w:header="0" w:footer="1000" w:top="1500" w:bottom="1200" w:left="1580" w:right="1580"/>
        </w:sectPr>
      </w:pPr>
    </w:p>
    <w:p>
      <w:pPr>
        <w:pStyle w:val="BodyText"/>
        <w:spacing w:line="242" w:lineRule="exact" w:before="76"/>
        <w:ind w:left="122"/>
        <w:jc w:val="both"/>
      </w:pPr>
      <w:r>
        <w:rPr/>
        <w:t>entre  la  Asociación  Lhaka  Honhat  y  Salta,  acordando  “avanzar  hacia  un  plan de</w:t>
      </w:r>
    </w:p>
    <w:p>
      <w:pPr>
        <w:pStyle w:val="BodyText"/>
        <w:spacing w:line="254" w:lineRule="exact"/>
        <w:ind w:left="122"/>
        <w:jc w:val="both"/>
      </w:pPr>
      <w:r>
        <w:rPr/>
        <w:t>regularización</w:t>
      </w:r>
      <w:r>
        <w:rPr>
          <w:spacing w:val="-17"/>
        </w:rPr>
        <w:t> </w:t>
      </w:r>
      <w:r>
        <w:rPr/>
        <w:t>jurídica</w:t>
      </w:r>
      <w:r>
        <w:rPr>
          <w:spacing w:val="-18"/>
        </w:rPr>
        <w:t> </w:t>
      </w:r>
      <w:r>
        <w:rPr/>
        <w:t>de</w:t>
      </w:r>
      <w:r>
        <w:rPr>
          <w:spacing w:val="-19"/>
        </w:rPr>
        <w:t> </w:t>
      </w:r>
      <w:r>
        <w:rPr/>
        <w:t>los</w:t>
      </w:r>
      <w:r>
        <w:rPr>
          <w:spacing w:val="-16"/>
        </w:rPr>
        <w:t> </w:t>
      </w:r>
      <w:r>
        <w:rPr/>
        <w:t>asentamientos</w:t>
      </w:r>
      <w:r>
        <w:rPr>
          <w:spacing w:val="-16"/>
        </w:rPr>
        <w:t> </w:t>
      </w:r>
      <w:r>
        <w:rPr/>
        <w:t>poblacionales</w:t>
      </w:r>
      <w:r>
        <w:rPr>
          <w:spacing w:val="-18"/>
        </w:rPr>
        <w:t> </w:t>
      </w:r>
      <w:r>
        <w:rPr/>
        <w:t>de</w:t>
      </w:r>
      <w:r>
        <w:rPr>
          <w:spacing w:val="-17"/>
        </w:rPr>
        <w:t> </w:t>
      </w:r>
      <w:r>
        <w:rPr/>
        <w:t>los</w:t>
      </w:r>
      <w:r>
        <w:rPr>
          <w:spacing w:val="-16"/>
        </w:rPr>
        <w:t> </w:t>
      </w:r>
      <w:r>
        <w:rPr/>
        <w:t>lotes</w:t>
      </w:r>
      <w:r>
        <w:rPr>
          <w:spacing w:val="-16"/>
        </w:rPr>
        <w:t> </w:t>
      </w:r>
      <w:r>
        <w:rPr/>
        <w:t>fiscales</w:t>
      </w:r>
      <w:r>
        <w:rPr>
          <w:spacing w:val="-16"/>
        </w:rPr>
        <w:t> </w:t>
      </w:r>
      <w:r>
        <w:rPr/>
        <w:t>55</w:t>
      </w:r>
      <w:r>
        <w:rPr>
          <w:spacing w:val="-14"/>
        </w:rPr>
        <w:t> </w:t>
      </w:r>
      <w:r>
        <w:rPr/>
        <w:t>y</w:t>
      </w:r>
      <w:r>
        <w:rPr>
          <w:spacing w:val="-16"/>
        </w:rPr>
        <w:t> </w:t>
      </w:r>
      <w:r>
        <w:rPr/>
        <w:t>14”</w:t>
      </w:r>
      <w:r>
        <w:rPr>
          <w:rFonts w:ascii="Calibri" w:hAnsi="Calibri"/>
          <w:position w:val="8"/>
          <w:sz w:val="14"/>
        </w:rPr>
        <w:t>52</w:t>
      </w:r>
      <w:r>
        <w:rPr/>
        <w:t>.</w:t>
      </w:r>
    </w:p>
    <w:p>
      <w:pPr>
        <w:pStyle w:val="BodyText"/>
        <w:spacing w:before="6"/>
        <w:rPr>
          <w:sz w:val="21"/>
        </w:rPr>
      </w:pPr>
    </w:p>
    <w:p>
      <w:pPr>
        <w:pStyle w:val="ListParagraph"/>
        <w:numPr>
          <w:ilvl w:val="0"/>
          <w:numId w:val="19"/>
        </w:numPr>
        <w:tabs>
          <w:tab w:pos="830" w:val="left" w:leader="none"/>
        </w:tabs>
        <w:spacing w:line="240" w:lineRule="auto" w:before="0" w:after="0"/>
        <w:ind w:left="122" w:right="122" w:firstLine="0"/>
        <w:jc w:val="both"/>
        <w:rPr>
          <w:sz w:val="20"/>
        </w:rPr>
      </w:pPr>
      <w:r>
        <w:rPr>
          <w:sz w:val="20"/>
        </w:rPr>
        <w:t>En 1995 comenzó la construcción de un puente internacional en el territorio reclamado por comunidades indígenas. Los días 25 de agosto y 16 de septiembre de 1996 personas indígenas ocuparon el puente (</w:t>
      </w:r>
      <w:r>
        <w:rPr>
          <w:i/>
          <w:sz w:val="20"/>
        </w:rPr>
        <w:t>infra </w:t>
      </w:r>
      <w:r>
        <w:rPr>
          <w:sz w:val="20"/>
        </w:rPr>
        <w:t>párr. 180). El Gobernador de Salta se</w:t>
      </w:r>
      <w:r>
        <w:rPr>
          <w:spacing w:val="-9"/>
          <w:sz w:val="20"/>
        </w:rPr>
        <w:t> </w:t>
      </w:r>
      <w:r>
        <w:rPr>
          <w:sz w:val="20"/>
        </w:rPr>
        <w:t>apersonó</w:t>
      </w:r>
      <w:r>
        <w:rPr>
          <w:spacing w:val="-7"/>
          <w:sz w:val="20"/>
        </w:rPr>
        <w:t> </w:t>
      </w:r>
      <w:r>
        <w:rPr>
          <w:sz w:val="20"/>
        </w:rPr>
        <w:t>y</w:t>
      </w:r>
      <w:r>
        <w:rPr>
          <w:spacing w:val="-7"/>
          <w:sz w:val="20"/>
        </w:rPr>
        <w:t> </w:t>
      </w:r>
      <w:r>
        <w:rPr>
          <w:sz w:val="20"/>
        </w:rPr>
        <w:t>firmó</w:t>
      </w:r>
      <w:r>
        <w:rPr>
          <w:spacing w:val="-8"/>
          <w:sz w:val="20"/>
        </w:rPr>
        <w:t> </w:t>
      </w:r>
      <w:r>
        <w:rPr>
          <w:sz w:val="20"/>
        </w:rPr>
        <w:t>un</w:t>
      </w:r>
      <w:r>
        <w:rPr>
          <w:spacing w:val="-7"/>
          <w:sz w:val="20"/>
        </w:rPr>
        <w:t> </w:t>
      </w:r>
      <w:r>
        <w:rPr>
          <w:sz w:val="20"/>
        </w:rPr>
        <w:t>Acta</w:t>
      </w:r>
      <w:r>
        <w:rPr>
          <w:spacing w:val="-6"/>
          <w:sz w:val="20"/>
        </w:rPr>
        <w:t> </w:t>
      </w:r>
      <w:r>
        <w:rPr>
          <w:sz w:val="20"/>
        </w:rPr>
        <w:t>en</w:t>
      </w:r>
      <w:r>
        <w:rPr>
          <w:spacing w:val="-7"/>
          <w:sz w:val="20"/>
        </w:rPr>
        <w:t> </w:t>
      </w:r>
      <w:r>
        <w:rPr>
          <w:sz w:val="20"/>
        </w:rPr>
        <w:t>la</w:t>
      </w:r>
      <w:r>
        <w:rPr>
          <w:spacing w:val="-7"/>
          <w:sz w:val="20"/>
        </w:rPr>
        <w:t> </w:t>
      </w:r>
      <w:r>
        <w:rPr>
          <w:sz w:val="20"/>
        </w:rPr>
        <w:t>que</w:t>
      </w:r>
      <w:r>
        <w:rPr>
          <w:spacing w:val="-7"/>
          <w:sz w:val="20"/>
        </w:rPr>
        <w:t> </w:t>
      </w:r>
      <w:r>
        <w:rPr>
          <w:sz w:val="20"/>
        </w:rPr>
        <w:t>se</w:t>
      </w:r>
      <w:r>
        <w:rPr>
          <w:spacing w:val="-6"/>
          <w:sz w:val="20"/>
        </w:rPr>
        <w:t> </w:t>
      </w:r>
      <w:r>
        <w:rPr>
          <w:sz w:val="20"/>
        </w:rPr>
        <w:t>comprometió</w:t>
      </w:r>
      <w:r>
        <w:rPr>
          <w:spacing w:val="-8"/>
          <w:sz w:val="20"/>
        </w:rPr>
        <w:t> </w:t>
      </w:r>
      <w:r>
        <w:rPr>
          <w:sz w:val="20"/>
        </w:rPr>
        <w:t>a</w:t>
      </w:r>
      <w:r>
        <w:rPr>
          <w:spacing w:val="-7"/>
          <w:sz w:val="20"/>
        </w:rPr>
        <w:t> </w:t>
      </w:r>
      <w:r>
        <w:rPr>
          <w:sz w:val="20"/>
        </w:rPr>
        <w:t>la</w:t>
      </w:r>
      <w:r>
        <w:rPr>
          <w:spacing w:val="-7"/>
          <w:sz w:val="20"/>
        </w:rPr>
        <w:t> </w:t>
      </w:r>
      <w:r>
        <w:rPr>
          <w:sz w:val="20"/>
        </w:rPr>
        <w:t>emisión</w:t>
      </w:r>
      <w:r>
        <w:rPr>
          <w:spacing w:val="-7"/>
          <w:sz w:val="20"/>
        </w:rPr>
        <w:t> </w:t>
      </w:r>
      <w:r>
        <w:rPr>
          <w:sz w:val="20"/>
        </w:rPr>
        <w:t>de</w:t>
      </w:r>
      <w:r>
        <w:rPr>
          <w:spacing w:val="-8"/>
          <w:sz w:val="20"/>
        </w:rPr>
        <w:t> </w:t>
      </w:r>
      <w:r>
        <w:rPr>
          <w:sz w:val="20"/>
        </w:rPr>
        <w:t>un</w:t>
      </w:r>
      <w:r>
        <w:rPr>
          <w:spacing w:val="-7"/>
          <w:sz w:val="20"/>
        </w:rPr>
        <w:t> </w:t>
      </w:r>
      <w:r>
        <w:rPr>
          <w:sz w:val="20"/>
        </w:rPr>
        <w:t>Decreto</w:t>
      </w:r>
      <w:r>
        <w:rPr>
          <w:spacing w:val="-8"/>
          <w:sz w:val="20"/>
        </w:rPr>
        <w:t> </w:t>
      </w:r>
      <w:r>
        <w:rPr>
          <w:sz w:val="20"/>
        </w:rPr>
        <w:t>en</w:t>
      </w:r>
      <w:r>
        <w:rPr>
          <w:spacing w:val="-7"/>
          <w:sz w:val="20"/>
        </w:rPr>
        <w:t> </w:t>
      </w:r>
      <w:r>
        <w:rPr>
          <w:sz w:val="20"/>
        </w:rPr>
        <w:t>30 días, que “asegurara la adjudicación definitiva de las tierras en cuestión, fijando sus pautas y</w:t>
      </w:r>
      <w:r>
        <w:rPr>
          <w:spacing w:val="-9"/>
          <w:sz w:val="20"/>
        </w:rPr>
        <w:t> </w:t>
      </w:r>
      <w:r>
        <w:rPr>
          <w:sz w:val="20"/>
        </w:rPr>
        <w:t>lineamientos”</w:t>
      </w:r>
      <w:r>
        <w:rPr>
          <w:rFonts w:ascii="Calibri" w:hAnsi="Calibri"/>
          <w:position w:val="8"/>
          <w:sz w:val="14"/>
        </w:rPr>
        <w:t>53</w:t>
      </w:r>
      <w:r>
        <w:rPr>
          <w:sz w:val="20"/>
        </w:rPr>
        <w:t>.</w:t>
      </w:r>
    </w:p>
    <w:p>
      <w:pPr>
        <w:pStyle w:val="BodyText"/>
        <w:spacing w:before="4"/>
        <w:rPr>
          <w:sz w:val="21"/>
        </w:rPr>
      </w:pPr>
    </w:p>
    <w:p>
      <w:pPr>
        <w:pStyle w:val="ListParagraph"/>
        <w:numPr>
          <w:ilvl w:val="0"/>
          <w:numId w:val="19"/>
        </w:numPr>
        <w:tabs>
          <w:tab w:pos="830" w:val="left" w:leader="none"/>
        </w:tabs>
        <w:spacing w:line="252" w:lineRule="exact" w:before="1" w:after="0"/>
        <w:ind w:left="122" w:right="117" w:firstLine="0"/>
        <w:jc w:val="both"/>
        <w:rPr>
          <w:sz w:val="20"/>
        </w:rPr>
      </w:pPr>
      <w:r>
        <w:rPr>
          <w:sz w:val="20"/>
        </w:rPr>
        <w:t>Entre 1996 y 1998 Lhaka Honhat remitió varias comunicaciones a autoridades pidiendo que se hiciera efectiva la formalización de la propiedad</w:t>
      </w:r>
      <w:r>
        <w:rPr>
          <w:spacing w:val="-28"/>
          <w:sz w:val="20"/>
        </w:rPr>
        <w:t> </w:t>
      </w:r>
      <w:r>
        <w:rPr>
          <w:sz w:val="20"/>
        </w:rPr>
        <w:t>comunitaria</w:t>
      </w:r>
      <w:r>
        <w:rPr>
          <w:rFonts w:ascii="Calibri" w:hAnsi="Calibri"/>
          <w:position w:val="8"/>
          <w:sz w:val="14"/>
        </w:rPr>
        <w:t>54</w:t>
      </w:r>
      <w:r>
        <w:rPr>
          <w:sz w:val="20"/>
        </w:rPr>
        <w:t>.</w:t>
      </w:r>
    </w:p>
    <w:p>
      <w:pPr>
        <w:pStyle w:val="BodyText"/>
        <w:spacing w:before="9"/>
      </w:pPr>
    </w:p>
    <w:p>
      <w:pPr>
        <w:pStyle w:val="Heading4"/>
        <w:numPr>
          <w:ilvl w:val="1"/>
          <w:numId w:val="18"/>
        </w:numPr>
        <w:tabs>
          <w:tab w:pos="1135" w:val="left" w:leader="none"/>
        </w:tabs>
        <w:spacing w:line="240" w:lineRule="auto" w:before="0" w:after="0"/>
        <w:ind w:left="688" w:right="124" w:firstLine="0"/>
        <w:jc w:val="left"/>
      </w:pPr>
      <w:bookmarkStart w:name="_bookmark23" w:id="37"/>
      <w:bookmarkEnd w:id="37"/>
      <w:r>
        <w:rPr>
          <w:b w:val="0"/>
          <w:i w:val="0"/>
        </w:rPr>
      </w:r>
      <w:bookmarkStart w:name="_bookmark23" w:id="38"/>
      <w:bookmarkEnd w:id="38"/>
      <w:r>
        <w:rPr>
          <w:i/>
        </w:rPr>
        <w:t>S</w:t>
      </w:r>
      <w:r>
        <w:rPr>
          <w:i/>
        </w:rPr>
        <w:t>egunda fase (1999-2004): intentos de parcelaciones individuales y </w:t>
      </w:r>
      <w:r>
        <w:rPr/>
        <w:t>oposición</w:t>
      </w:r>
      <w:r>
        <w:rPr>
          <w:spacing w:val="-14"/>
        </w:rPr>
        <w:t> </w:t>
      </w:r>
      <w:r>
        <w:rPr/>
        <w:t>indígena</w:t>
      </w:r>
    </w:p>
    <w:p>
      <w:pPr>
        <w:pStyle w:val="BodyText"/>
        <w:spacing w:before="1"/>
        <w:rPr>
          <w:b/>
          <w:i/>
        </w:rPr>
      </w:pPr>
    </w:p>
    <w:p>
      <w:pPr>
        <w:pStyle w:val="ListParagraph"/>
        <w:numPr>
          <w:ilvl w:val="0"/>
          <w:numId w:val="19"/>
        </w:numPr>
        <w:tabs>
          <w:tab w:pos="830" w:val="left" w:leader="none"/>
        </w:tabs>
        <w:spacing w:line="242" w:lineRule="auto" w:before="0" w:after="0"/>
        <w:ind w:left="122" w:right="118" w:firstLine="0"/>
        <w:jc w:val="both"/>
        <w:rPr>
          <w:sz w:val="20"/>
        </w:rPr>
      </w:pPr>
      <w:r>
        <w:rPr>
          <w:sz w:val="20"/>
        </w:rPr>
        <w:t>El</w:t>
      </w:r>
      <w:r>
        <w:rPr>
          <w:spacing w:val="-12"/>
          <w:sz w:val="20"/>
        </w:rPr>
        <w:t> </w:t>
      </w:r>
      <w:r>
        <w:rPr>
          <w:sz w:val="20"/>
        </w:rPr>
        <w:t>8</w:t>
      </w:r>
      <w:r>
        <w:rPr>
          <w:spacing w:val="-11"/>
          <w:sz w:val="20"/>
        </w:rPr>
        <w:t> </w:t>
      </w:r>
      <w:r>
        <w:rPr>
          <w:sz w:val="20"/>
        </w:rPr>
        <w:t>de</w:t>
      </w:r>
      <w:r>
        <w:rPr>
          <w:spacing w:val="-13"/>
          <w:sz w:val="20"/>
        </w:rPr>
        <w:t> </w:t>
      </w:r>
      <w:r>
        <w:rPr>
          <w:sz w:val="20"/>
        </w:rPr>
        <w:t>noviembre</w:t>
      </w:r>
      <w:r>
        <w:rPr>
          <w:spacing w:val="-13"/>
          <w:sz w:val="20"/>
        </w:rPr>
        <w:t> </w:t>
      </w:r>
      <w:r>
        <w:rPr>
          <w:sz w:val="20"/>
        </w:rPr>
        <w:t>de</w:t>
      </w:r>
      <w:r>
        <w:rPr>
          <w:spacing w:val="-11"/>
          <w:sz w:val="20"/>
        </w:rPr>
        <w:t> </w:t>
      </w:r>
      <w:r>
        <w:rPr>
          <w:sz w:val="20"/>
        </w:rPr>
        <w:t>1999</w:t>
      </w:r>
      <w:r>
        <w:rPr>
          <w:spacing w:val="-8"/>
          <w:sz w:val="20"/>
        </w:rPr>
        <w:t> </w:t>
      </w:r>
      <w:r>
        <w:rPr>
          <w:sz w:val="20"/>
        </w:rPr>
        <w:t>la</w:t>
      </w:r>
      <w:r>
        <w:rPr>
          <w:spacing w:val="-9"/>
          <w:sz w:val="20"/>
        </w:rPr>
        <w:t> </w:t>
      </w:r>
      <w:r>
        <w:rPr>
          <w:sz w:val="20"/>
        </w:rPr>
        <w:t>Provincia</w:t>
      </w:r>
      <w:r>
        <w:rPr>
          <w:spacing w:val="-9"/>
          <w:sz w:val="20"/>
        </w:rPr>
        <w:t> </w:t>
      </w:r>
      <w:r>
        <w:rPr>
          <w:sz w:val="20"/>
        </w:rPr>
        <w:t>publicó</w:t>
      </w:r>
      <w:r>
        <w:rPr>
          <w:spacing w:val="-11"/>
          <w:sz w:val="20"/>
        </w:rPr>
        <w:t> </w:t>
      </w:r>
      <w:r>
        <w:rPr>
          <w:sz w:val="20"/>
        </w:rPr>
        <w:t>edictos,</w:t>
      </w:r>
      <w:r>
        <w:rPr>
          <w:spacing w:val="-6"/>
          <w:sz w:val="20"/>
        </w:rPr>
        <w:t> </w:t>
      </w:r>
      <w:r>
        <w:rPr>
          <w:sz w:val="20"/>
        </w:rPr>
        <w:t>en</w:t>
      </w:r>
      <w:r>
        <w:rPr>
          <w:spacing w:val="-11"/>
          <w:sz w:val="20"/>
        </w:rPr>
        <w:t> </w:t>
      </w:r>
      <w:r>
        <w:rPr>
          <w:sz w:val="20"/>
        </w:rPr>
        <w:t>virtud</w:t>
      </w:r>
      <w:r>
        <w:rPr>
          <w:spacing w:val="-11"/>
          <w:sz w:val="20"/>
        </w:rPr>
        <w:t> </w:t>
      </w:r>
      <w:r>
        <w:rPr>
          <w:sz w:val="20"/>
        </w:rPr>
        <w:t>de</w:t>
      </w:r>
      <w:r>
        <w:rPr>
          <w:spacing w:val="-13"/>
          <w:sz w:val="20"/>
        </w:rPr>
        <w:t> </w:t>
      </w:r>
      <w:r>
        <w:rPr>
          <w:sz w:val="20"/>
        </w:rPr>
        <w:t>la</w:t>
      </w:r>
      <w:r>
        <w:rPr>
          <w:spacing w:val="-9"/>
          <w:sz w:val="20"/>
        </w:rPr>
        <w:t> </w:t>
      </w:r>
      <w:r>
        <w:rPr>
          <w:sz w:val="20"/>
        </w:rPr>
        <w:t>Resolución 423/99 emitida el 2 del mismo mes, emplazando, por 15 días, a todos quienes se considerasen con derechos sobre terrenos del lote 55, puesto que se harían algunas adjudicaciones de tierras a habitantes relevados</w:t>
      </w:r>
      <w:r>
        <w:rPr>
          <w:rFonts w:ascii="Calibri" w:hAnsi="Calibri"/>
          <w:position w:val="8"/>
          <w:sz w:val="14"/>
        </w:rPr>
        <w:t>55</w:t>
      </w:r>
      <w:r>
        <w:rPr>
          <w:sz w:val="20"/>
        </w:rPr>
        <w:t>. El 24 de diciembre siguiente, mediante el Decreto 461, Salta realizó adjudicaciones de parcelas dentro del lote 55 a algunos individuos y comunidades indígenas allí</w:t>
      </w:r>
      <w:r>
        <w:rPr>
          <w:spacing w:val="-21"/>
          <w:sz w:val="20"/>
        </w:rPr>
        <w:t> </w:t>
      </w:r>
      <w:r>
        <w:rPr>
          <w:sz w:val="20"/>
        </w:rPr>
        <w:t>asentadas</w:t>
      </w:r>
      <w:r>
        <w:rPr>
          <w:rFonts w:ascii="Calibri" w:hAnsi="Calibri"/>
          <w:position w:val="8"/>
          <w:sz w:val="14"/>
        </w:rPr>
        <w:t>56</w:t>
      </w:r>
      <w:r>
        <w:rPr>
          <w:sz w:val="20"/>
        </w:rPr>
        <w:t>.</w:t>
      </w:r>
    </w:p>
    <w:p>
      <w:pPr>
        <w:pStyle w:val="BodyText"/>
        <w:spacing w:before="3"/>
        <w:rPr>
          <w:sz w:val="21"/>
        </w:rPr>
      </w:pPr>
    </w:p>
    <w:p>
      <w:pPr>
        <w:pStyle w:val="ListParagraph"/>
        <w:numPr>
          <w:ilvl w:val="0"/>
          <w:numId w:val="19"/>
        </w:numPr>
        <w:tabs>
          <w:tab w:pos="830" w:val="left" w:leader="none"/>
        </w:tabs>
        <w:spacing w:line="242" w:lineRule="auto" w:before="0" w:after="0"/>
        <w:ind w:left="122" w:right="119" w:firstLine="0"/>
        <w:jc w:val="both"/>
        <w:rPr>
          <w:sz w:val="20"/>
        </w:rPr>
      </w:pPr>
      <w:r>
        <w:rPr>
          <w:sz w:val="20"/>
        </w:rPr>
        <w:t>El</w:t>
      </w:r>
      <w:r>
        <w:rPr>
          <w:spacing w:val="-15"/>
          <w:sz w:val="20"/>
        </w:rPr>
        <w:t> </w:t>
      </w:r>
      <w:r>
        <w:rPr>
          <w:sz w:val="20"/>
        </w:rPr>
        <w:t>1</w:t>
      </w:r>
      <w:r>
        <w:rPr>
          <w:spacing w:val="-15"/>
          <w:sz w:val="20"/>
        </w:rPr>
        <w:t> </w:t>
      </w:r>
      <w:r>
        <w:rPr>
          <w:sz w:val="20"/>
        </w:rPr>
        <w:t>de</w:t>
      </w:r>
      <w:r>
        <w:rPr>
          <w:spacing w:val="-16"/>
          <w:sz w:val="20"/>
        </w:rPr>
        <w:t> </w:t>
      </w:r>
      <w:r>
        <w:rPr>
          <w:sz w:val="20"/>
        </w:rPr>
        <w:t>noviembre</w:t>
      </w:r>
      <w:r>
        <w:rPr>
          <w:spacing w:val="-16"/>
          <w:sz w:val="20"/>
        </w:rPr>
        <w:t> </w:t>
      </w:r>
      <w:r>
        <w:rPr>
          <w:sz w:val="20"/>
        </w:rPr>
        <w:t>de</w:t>
      </w:r>
      <w:r>
        <w:rPr>
          <w:spacing w:val="-16"/>
          <w:sz w:val="20"/>
        </w:rPr>
        <w:t> </w:t>
      </w:r>
      <w:r>
        <w:rPr>
          <w:sz w:val="20"/>
        </w:rPr>
        <w:t>2000,</w:t>
      </w:r>
      <w:r>
        <w:rPr>
          <w:spacing w:val="-16"/>
          <w:sz w:val="20"/>
        </w:rPr>
        <w:t> </w:t>
      </w:r>
      <w:r>
        <w:rPr>
          <w:sz w:val="20"/>
        </w:rPr>
        <w:t>se</w:t>
      </w:r>
      <w:r>
        <w:rPr>
          <w:spacing w:val="-17"/>
          <w:sz w:val="20"/>
        </w:rPr>
        <w:t> </w:t>
      </w:r>
      <w:r>
        <w:rPr>
          <w:sz w:val="20"/>
        </w:rPr>
        <w:t>acordó</w:t>
      </w:r>
      <w:r>
        <w:rPr>
          <w:spacing w:val="-16"/>
          <w:sz w:val="20"/>
        </w:rPr>
        <w:t> </w:t>
      </w:r>
      <w:r>
        <w:rPr>
          <w:sz w:val="20"/>
        </w:rPr>
        <w:t>iniciar</w:t>
      </w:r>
      <w:r>
        <w:rPr>
          <w:spacing w:val="-16"/>
          <w:sz w:val="20"/>
        </w:rPr>
        <w:t> </w:t>
      </w:r>
      <w:r>
        <w:rPr>
          <w:sz w:val="20"/>
        </w:rPr>
        <w:t>un</w:t>
      </w:r>
      <w:r>
        <w:rPr>
          <w:spacing w:val="-10"/>
          <w:sz w:val="20"/>
        </w:rPr>
        <w:t> </w:t>
      </w:r>
      <w:r>
        <w:rPr>
          <w:sz w:val="20"/>
        </w:rPr>
        <w:t>proceso</w:t>
      </w:r>
      <w:r>
        <w:rPr>
          <w:spacing w:val="-17"/>
          <w:sz w:val="20"/>
        </w:rPr>
        <w:t> </w:t>
      </w:r>
      <w:r>
        <w:rPr>
          <w:sz w:val="20"/>
        </w:rPr>
        <w:t>de</w:t>
      </w:r>
      <w:r>
        <w:rPr>
          <w:spacing w:val="-16"/>
          <w:sz w:val="20"/>
        </w:rPr>
        <w:t> </w:t>
      </w:r>
      <w:r>
        <w:rPr>
          <w:sz w:val="20"/>
        </w:rPr>
        <w:t>“conversaciones”</w:t>
      </w:r>
      <w:r>
        <w:rPr>
          <w:spacing w:val="-16"/>
          <w:sz w:val="20"/>
        </w:rPr>
        <w:t> </w:t>
      </w:r>
      <w:r>
        <w:rPr>
          <w:sz w:val="20"/>
        </w:rPr>
        <w:t>para que el Estado paralizara obras existentes en el territorio y no continuara con el proceso de entrega parcial de tierras</w:t>
      </w:r>
      <w:r>
        <w:rPr>
          <w:rFonts w:ascii="Calibri" w:hAnsi="Calibri"/>
          <w:position w:val="8"/>
          <w:sz w:val="14"/>
        </w:rPr>
        <w:t>57</w:t>
      </w:r>
      <w:r>
        <w:rPr>
          <w:sz w:val="20"/>
        </w:rPr>
        <w:t>. El 15 de diciembre del mismo año Salta presentó una propuesta</w:t>
      </w:r>
      <w:r>
        <w:rPr>
          <w:spacing w:val="-15"/>
          <w:sz w:val="20"/>
        </w:rPr>
        <w:t> </w:t>
      </w:r>
      <w:r>
        <w:rPr>
          <w:sz w:val="20"/>
        </w:rPr>
        <w:t>de</w:t>
      </w:r>
      <w:r>
        <w:rPr>
          <w:spacing w:val="-16"/>
          <w:sz w:val="20"/>
        </w:rPr>
        <w:t> </w:t>
      </w:r>
      <w:r>
        <w:rPr>
          <w:sz w:val="20"/>
        </w:rPr>
        <w:t>adjudicación</w:t>
      </w:r>
      <w:r>
        <w:rPr>
          <w:spacing w:val="-14"/>
          <w:sz w:val="20"/>
        </w:rPr>
        <w:t> </w:t>
      </w:r>
      <w:r>
        <w:rPr>
          <w:sz w:val="20"/>
        </w:rPr>
        <w:t>del</w:t>
      </w:r>
      <w:r>
        <w:rPr>
          <w:spacing w:val="-15"/>
          <w:sz w:val="20"/>
        </w:rPr>
        <w:t> </w:t>
      </w:r>
      <w:r>
        <w:rPr>
          <w:sz w:val="20"/>
        </w:rPr>
        <w:t>lote</w:t>
      </w:r>
      <w:r>
        <w:rPr>
          <w:spacing w:val="-16"/>
          <w:sz w:val="20"/>
        </w:rPr>
        <w:t> </w:t>
      </w:r>
      <w:r>
        <w:rPr>
          <w:sz w:val="20"/>
        </w:rPr>
        <w:t>55,</w:t>
      </w:r>
      <w:r>
        <w:rPr>
          <w:spacing w:val="-16"/>
          <w:sz w:val="20"/>
        </w:rPr>
        <w:t> </w:t>
      </w:r>
      <w:r>
        <w:rPr>
          <w:sz w:val="20"/>
        </w:rPr>
        <w:t>con</w:t>
      </w:r>
      <w:r>
        <w:rPr>
          <w:spacing w:val="-14"/>
          <w:sz w:val="20"/>
        </w:rPr>
        <w:t> </w:t>
      </w:r>
      <w:r>
        <w:rPr>
          <w:sz w:val="20"/>
        </w:rPr>
        <w:t>entrega</w:t>
      </w:r>
      <w:r>
        <w:rPr>
          <w:spacing w:val="-15"/>
          <w:sz w:val="20"/>
        </w:rPr>
        <w:t> </w:t>
      </w:r>
      <w:r>
        <w:rPr>
          <w:sz w:val="20"/>
        </w:rPr>
        <w:t>de</w:t>
      </w:r>
      <w:r>
        <w:rPr>
          <w:spacing w:val="-16"/>
          <w:sz w:val="20"/>
        </w:rPr>
        <w:t> </w:t>
      </w:r>
      <w:r>
        <w:rPr>
          <w:sz w:val="20"/>
        </w:rPr>
        <w:t>fracciones</w:t>
      </w:r>
      <w:r>
        <w:rPr>
          <w:spacing w:val="-16"/>
          <w:sz w:val="20"/>
        </w:rPr>
        <w:t> </w:t>
      </w:r>
      <w:r>
        <w:rPr>
          <w:sz w:val="20"/>
        </w:rPr>
        <w:t>a</w:t>
      </w:r>
      <w:r>
        <w:rPr>
          <w:spacing w:val="-15"/>
          <w:sz w:val="20"/>
        </w:rPr>
        <w:t> </w:t>
      </w:r>
      <w:r>
        <w:rPr>
          <w:sz w:val="20"/>
        </w:rPr>
        <w:t>cada</w:t>
      </w:r>
      <w:r>
        <w:rPr>
          <w:spacing w:val="-13"/>
          <w:sz w:val="20"/>
        </w:rPr>
        <w:t> </w:t>
      </w:r>
      <w:r>
        <w:rPr>
          <w:sz w:val="20"/>
        </w:rPr>
        <w:t>comunidad,</w:t>
      </w:r>
      <w:r>
        <w:rPr>
          <w:spacing w:val="-16"/>
          <w:sz w:val="20"/>
        </w:rPr>
        <w:t> </w:t>
      </w:r>
      <w:r>
        <w:rPr>
          <w:sz w:val="20"/>
        </w:rPr>
        <w:t>pero sujeta</w:t>
      </w:r>
      <w:r>
        <w:rPr>
          <w:spacing w:val="-10"/>
          <w:sz w:val="20"/>
        </w:rPr>
        <w:t> </w:t>
      </w:r>
      <w:r>
        <w:rPr>
          <w:sz w:val="20"/>
        </w:rPr>
        <w:t>a</w:t>
      </w:r>
      <w:r>
        <w:rPr>
          <w:spacing w:val="-10"/>
          <w:sz w:val="20"/>
        </w:rPr>
        <w:t> </w:t>
      </w:r>
      <w:r>
        <w:rPr>
          <w:sz w:val="20"/>
        </w:rPr>
        <w:t>la</w:t>
      </w:r>
      <w:r>
        <w:rPr>
          <w:spacing w:val="-10"/>
          <w:sz w:val="20"/>
        </w:rPr>
        <w:t> </w:t>
      </w:r>
      <w:r>
        <w:rPr>
          <w:sz w:val="20"/>
        </w:rPr>
        <w:t>personalidad</w:t>
      </w:r>
      <w:r>
        <w:rPr>
          <w:spacing w:val="-10"/>
          <w:sz w:val="20"/>
        </w:rPr>
        <w:t> </w:t>
      </w:r>
      <w:r>
        <w:rPr>
          <w:sz w:val="20"/>
        </w:rPr>
        <w:t>jurídica</w:t>
      </w:r>
      <w:r>
        <w:rPr>
          <w:spacing w:val="-11"/>
          <w:sz w:val="20"/>
        </w:rPr>
        <w:t> </w:t>
      </w:r>
      <w:r>
        <w:rPr>
          <w:sz w:val="20"/>
        </w:rPr>
        <w:t>de</w:t>
      </w:r>
      <w:r>
        <w:rPr>
          <w:spacing w:val="-12"/>
          <w:sz w:val="20"/>
        </w:rPr>
        <w:t> </w:t>
      </w:r>
      <w:r>
        <w:rPr>
          <w:sz w:val="20"/>
        </w:rPr>
        <w:t>cada</w:t>
      </w:r>
      <w:r>
        <w:rPr>
          <w:spacing w:val="-10"/>
          <w:sz w:val="20"/>
        </w:rPr>
        <w:t> </w:t>
      </w:r>
      <w:r>
        <w:rPr>
          <w:sz w:val="20"/>
        </w:rPr>
        <w:t>una.</w:t>
      </w:r>
      <w:r>
        <w:rPr>
          <w:spacing w:val="-11"/>
          <w:sz w:val="20"/>
        </w:rPr>
        <w:t> </w:t>
      </w:r>
      <w:r>
        <w:rPr>
          <w:sz w:val="20"/>
        </w:rPr>
        <w:t>El</w:t>
      </w:r>
      <w:r>
        <w:rPr>
          <w:spacing w:val="-10"/>
          <w:sz w:val="20"/>
        </w:rPr>
        <w:t> </w:t>
      </w:r>
      <w:r>
        <w:rPr>
          <w:sz w:val="20"/>
        </w:rPr>
        <w:t>6</w:t>
      </w:r>
      <w:r>
        <w:rPr>
          <w:spacing w:val="-10"/>
          <w:sz w:val="20"/>
        </w:rPr>
        <w:t> </w:t>
      </w:r>
      <w:r>
        <w:rPr>
          <w:sz w:val="20"/>
        </w:rPr>
        <w:t>de</w:t>
      </w:r>
      <w:r>
        <w:rPr>
          <w:spacing w:val="-12"/>
          <w:sz w:val="20"/>
        </w:rPr>
        <w:t> </w:t>
      </w:r>
      <w:r>
        <w:rPr>
          <w:sz w:val="20"/>
        </w:rPr>
        <w:t>febrero</w:t>
      </w:r>
      <w:r>
        <w:rPr>
          <w:spacing w:val="-11"/>
          <w:sz w:val="20"/>
        </w:rPr>
        <w:t> </w:t>
      </w:r>
      <w:r>
        <w:rPr>
          <w:sz w:val="20"/>
        </w:rPr>
        <w:t>de</w:t>
      </w:r>
      <w:r>
        <w:rPr>
          <w:spacing w:val="-12"/>
          <w:sz w:val="20"/>
        </w:rPr>
        <w:t> </w:t>
      </w:r>
      <w:r>
        <w:rPr>
          <w:sz w:val="20"/>
        </w:rPr>
        <w:t>2001</w:t>
      </w:r>
      <w:r>
        <w:rPr>
          <w:spacing w:val="-10"/>
          <w:sz w:val="20"/>
        </w:rPr>
        <w:t> </w:t>
      </w:r>
      <w:r>
        <w:rPr>
          <w:sz w:val="20"/>
        </w:rPr>
        <w:t>Lhaka</w:t>
      </w:r>
      <w:r>
        <w:rPr>
          <w:spacing w:val="-10"/>
          <w:sz w:val="20"/>
        </w:rPr>
        <w:t> </w:t>
      </w:r>
      <w:r>
        <w:rPr>
          <w:sz w:val="20"/>
        </w:rPr>
        <w:t>Honhat,</w:t>
      </w:r>
      <w:r>
        <w:rPr>
          <w:spacing w:val="-11"/>
          <w:sz w:val="20"/>
        </w:rPr>
        <w:t> </w:t>
      </w:r>
      <w:r>
        <w:rPr>
          <w:sz w:val="20"/>
        </w:rPr>
        <w:t>por medio de una carta, objetó la propuesta, aduciendo que la misma no incluía el lote 14, no preveía un título único sino   </w:t>
      </w:r>
      <w:r>
        <w:rPr>
          <w:spacing w:val="17"/>
          <w:sz w:val="20"/>
        </w:rPr>
        <w:t> </w:t>
      </w:r>
      <w:r>
        <w:rPr>
          <w:sz w:val="20"/>
        </w:rPr>
        <w:t>títulos fraccionados, sujetaba la entrega de terrenos a</w:t>
      </w:r>
    </w:p>
    <w:p>
      <w:pPr>
        <w:pStyle w:val="BodyText"/>
      </w:pPr>
    </w:p>
    <w:p>
      <w:pPr>
        <w:pStyle w:val="BodyText"/>
        <w:spacing w:before="7"/>
        <w:rPr>
          <w:sz w:val="24"/>
        </w:rPr>
      </w:pPr>
      <w:r>
        <w:rPr/>
        <w:pict>
          <v:line style="position:absolute;mso-position-horizontal-relative:page;mso-position-vertical-relative:paragraph;z-index:1576;mso-wrap-distance-left:0;mso-wrap-distance-right:0" from="85.103996pt,17.305159pt" to="229.123996pt,17.305159pt" stroked="true" strokeweight=".72pt" strokecolor="#000000">
            <v:stroke dashstyle="solid"/>
            <w10:wrap type="topAndBottom"/>
          </v:line>
        </w:pict>
      </w:r>
    </w:p>
    <w:p>
      <w:pPr>
        <w:tabs>
          <w:tab w:pos="829" w:val="left" w:leader="none"/>
        </w:tabs>
        <w:spacing w:before="71"/>
        <w:ind w:left="122" w:right="115" w:firstLine="0"/>
        <w:jc w:val="both"/>
        <w:rPr>
          <w:sz w:val="16"/>
        </w:rPr>
      </w:pPr>
      <w:r>
        <w:rPr>
          <w:position w:val="6"/>
          <w:sz w:val="10"/>
        </w:rPr>
        <w:t>52</w:t>
        <w:tab/>
      </w:r>
      <w:r>
        <w:rPr>
          <w:sz w:val="16"/>
        </w:rPr>
        <w:t>Esta</w:t>
      </w:r>
      <w:r>
        <w:rPr>
          <w:spacing w:val="32"/>
          <w:sz w:val="16"/>
        </w:rPr>
        <w:t> </w:t>
      </w:r>
      <w:r>
        <w:rPr>
          <w:sz w:val="16"/>
        </w:rPr>
        <w:t>circunstancia,</w:t>
      </w:r>
      <w:r>
        <w:rPr>
          <w:spacing w:val="32"/>
          <w:sz w:val="16"/>
        </w:rPr>
        <w:t> </w:t>
      </w:r>
      <w:r>
        <w:rPr>
          <w:sz w:val="16"/>
        </w:rPr>
        <w:t>conforme</w:t>
      </w:r>
      <w:r>
        <w:rPr>
          <w:spacing w:val="30"/>
          <w:sz w:val="16"/>
        </w:rPr>
        <w:t> </w:t>
      </w:r>
      <w:r>
        <w:rPr>
          <w:sz w:val="16"/>
        </w:rPr>
        <w:t>se</w:t>
      </w:r>
      <w:r>
        <w:rPr>
          <w:spacing w:val="31"/>
          <w:sz w:val="16"/>
        </w:rPr>
        <w:t> </w:t>
      </w:r>
      <w:r>
        <w:rPr>
          <w:sz w:val="16"/>
        </w:rPr>
        <w:t>indicó</w:t>
      </w:r>
      <w:r>
        <w:rPr>
          <w:spacing w:val="32"/>
          <w:sz w:val="16"/>
        </w:rPr>
        <w:t> </w:t>
      </w:r>
      <w:r>
        <w:rPr>
          <w:sz w:val="16"/>
        </w:rPr>
        <w:t>en</w:t>
      </w:r>
      <w:r>
        <w:rPr>
          <w:spacing w:val="30"/>
          <w:sz w:val="16"/>
        </w:rPr>
        <w:t> </w:t>
      </w:r>
      <w:r>
        <w:rPr>
          <w:sz w:val="16"/>
        </w:rPr>
        <w:t>el</w:t>
      </w:r>
      <w:r>
        <w:rPr>
          <w:spacing w:val="32"/>
          <w:sz w:val="16"/>
        </w:rPr>
        <w:t> </w:t>
      </w:r>
      <w:r>
        <w:rPr>
          <w:sz w:val="16"/>
        </w:rPr>
        <w:t>Informe</w:t>
      </w:r>
      <w:r>
        <w:rPr>
          <w:spacing w:val="31"/>
          <w:sz w:val="16"/>
        </w:rPr>
        <w:t> </w:t>
      </w:r>
      <w:r>
        <w:rPr>
          <w:sz w:val="16"/>
        </w:rPr>
        <w:t>de</w:t>
      </w:r>
      <w:r>
        <w:rPr>
          <w:spacing w:val="28"/>
          <w:sz w:val="16"/>
        </w:rPr>
        <w:t> </w:t>
      </w:r>
      <w:r>
        <w:rPr>
          <w:sz w:val="16"/>
        </w:rPr>
        <w:t>Fondo,</w:t>
      </w:r>
      <w:r>
        <w:rPr>
          <w:spacing w:val="30"/>
          <w:sz w:val="16"/>
        </w:rPr>
        <w:t> </w:t>
      </w:r>
      <w:r>
        <w:rPr>
          <w:sz w:val="16"/>
        </w:rPr>
        <w:t>fue</w:t>
      </w:r>
      <w:r>
        <w:rPr>
          <w:spacing w:val="32"/>
          <w:sz w:val="16"/>
        </w:rPr>
        <w:t> </w:t>
      </w:r>
      <w:r>
        <w:rPr>
          <w:sz w:val="16"/>
        </w:rPr>
        <w:t>referida</w:t>
      </w:r>
      <w:r>
        <w:rPr>
          <w:spacing w:val="30"/>
          <w:sz w:val="16"/>
        </w:rPr>
        <w:t> </w:t>
      </w:r>
      <w:r>
        <w:rPr>
          <w:sz w:val="16"/>
        </w:rPr>
        <w:t>en</w:t>
      </w:r>
      <w:r>
        <w:rPr>
          <w:spacing w:val="32"/>
          <w:sz w:val="16"/>
        </w:rPr>
        <w:t> </w:t>
      </w:r>
      <w:r>
        <w:rPr>
          <w:sz w:val="16"/>
        </w:rPr>
        <w:t>una</w:t>
      </w:r>
      <w:r>
        <w:rPr>
          <w:spacing w:val="30"/>
          <w:sz w:val="16"/>
        </w:rPr>
        <w:t> </w:t>
      </w:r>
      <w:r>
        <w:rPr>
          <w:sz w:val="16"/>
        </w:rPr>
        <w:t>“Resolución</w:t>
      </w:r>
      <w:r>
        <w:rPr>
          <w:w w:val="100"/>
          <w:sz w:val="16"/>
        </w:rPr>
        <w:t> </w:t>
      </w:r>
      <w:r>
        <w:rPr>
          <w:sz w:val="16"/>
        </w:rPr>
        <w:t>Defensorial”</w:t>
      </w:r>
      <w:r>
        <w:rPr>
          <w:spacing w:val="-8"/>
          <w:sz w:val="16"/>
        </w:rPr>
        <w:t> </w:t>
      </w:r>
      <w:r>
        <w:rPr>
          <w:sz w:val="16"/>
        </w:rPr>
        <w:t>de</w:t>
      </w:r>
      <w:r>
        <w:rPr>
          <w:spacing w:val="-8"/>
          <w:sz w:val="16"/>
        </w:rPr>
        <w:t> </w:t>
      </w:r>
      <w:r>
        <w:rPr>
          <w:sz w:val="16"/>
        </w:rPr>
        <w:t>11</w:t>
      </w:r>
      <w:r>
        <w:rPr>
          <w:spacing w:val="-7"/>
          <w:sz w:val="16"/>
        </w:rPr>
        <w:t> </w:t>
      </w:r>
      <w:r>
        <w:rPr>
          <w:sz w:val="16"/>
        </w:rPr>
        <w:t>de</w:t>
      </w:r>
      <w:r>
        <w:rPr>
          <w:spacing w:val="-8"/>
          <w:sz w:val="16"/>
        </w:rPr>
        <w:t> </w:t>
      </w:r>
      <w:r>
        <w:rPr>
          <w:sz w:val="16"/>
        </w:rPr>
        <w:t>agosto</w:t>
      </w:r>
      <w:r>
        <w:rPr>
          <w:spacing w:val="-8"/>
          <w:sz w:val="16"/>
        </w:rPr>
        <w:t> </w:t>
      </w:r>
      <w:r>
        <w:rPr>
          <w:sz w:val="16"/>
        </w:rPr>
        <w:t>de</w:t>
      </w:r>
      <w:r>
        <w:rPr>
          <w:spacing w:val="-8"/>
          <w:sz w:val="16"/>
        </w:rPr>
        <w:t> </w:t>
      </w:r>
      <w:r>
        <w:rPr>
          <w:sz w:val="16"/>
        </w:rPr>
        <w:t>1999,</w:t>
      </w:r>
      <w:r>
        <w:rPr>
          <w:spacing w:val="-9"/>
          <w:sz w:val="16"/>
        </w:rPr>
        <w:t> </w:t>
      </w:r>
      <w:r>
        <w:rPr>
          <w:sz w:val="16"/>
        </w:rPr>
        <w:t>de</w:t>
      </w:r>
      <w:r>
        <w:rPr>
          <w:spacing w:val="-6"/>
          <w:sz w:val="16"/>
        </w:rPr>
        <w:t> </w:t>
      </w:r>
      <w:r>
        <w:rPr>
          <w:sz w:val="16"/>
        </w:rPr>
        <w:t>acuerdo</w:t>
      </w:r>
      <w:r>
        <w:rPr>
          <w:spacing w:val="-5"/>
          <w:sz w:val="16"/>
        </w:rPr>
        <w:t> </w:t>
      </w:r>
      <w:r>
        <w:rPr>
          <w:sz w:val="16"/>
        </w:rPr>
        <w:t>a</w:t>
      </w:r>
      <w:r>
        <w:rPr>
          <w:spacing w:val="-9"/>
          <w:sz w:val="16"/>
        </w:rPr>
        <w:t> </w:t>
      </w:r>
      <w:r>
        <w:rPr>
          <w:sz w:val="16"/>
        </w:rPr>
        <w:t>documentación</w:t>
      </w:r>
      <w:r>
        <w:rPr>
          <w:spacing w:val="-7"/>
          <w:sz w:val="16"/>
        </w:rPr>
        <w:t> </w:t>
      </w:r>
      <w:r>
        <w:rPr>
          <w:sz w:val="16"/>
        </w:rPr>
        <w:t>remitida</w:t>
      </w:r>
      <w:r>
        <w:rPr>
          <w:spacing w:val="-5"/>
          <w:sz w:val="16"/>
        </w:rPr>
        <w:t> </w:t>
      </w:r>
      <w:r>
        <w:rPr>
          <w:sz w:val="16"/>
        </w:rPr>
        <w:t>a</w:t>
      </w:r>
      <w:r>
        <w:rPr>
          <w:spacing w:val="-9"/>
          <w:sz w:val="16"/>
        </w:rPr>
        <w:t> </w:t>
      </w:r>
      <w:r>
        <w:rPr>
          <w:sz w:val="16"/>
        </w:rPr>
        <w:t>la</w:t>
      </w:r>
      <w:r>
        <w:rPr>
          <w:spacing w:val="-7"/>
          <w:sz w:val="16"/>
        </w:rPr>
        <w:t> </w:t>
      </w:r>
      <w:r>
        <w:rPr>
          <w:sz w:val="16"/>
        </w:rPr>
        <w:t>Comisión</w:t>
      </w:r>
      <w:r>
        <w:rPr>
          <w:spacing w:val="-7"/>
          <w:sz w:val="16"/>
        </w:rPr>
        <w:t> </w:t>
      </w:r>
      <w:r>
        <w:rPr>
          <w:sz w:val="16"/>
        </w:rPr>
        <w:t>por</w:t>
      </w:r>
      <w:r>
        <w:rPr>
          <w:spacing w:val="-7"/>
          <w:sz w:val="16"/>
        </w:rPr>
        <w:t> </w:t>
      </w:r>
      <w:r>
        <w:rPr>
          <w:sz w:val="16"/>
        </w:rPr>
        <w:t>el</w:t>
      </w:r>
      <w:r>
        <w:rPr>
          <w:spacing w:val="-9"/>
          <w:sz w:val="16"/>
        </w:rPr>
        <w:t> </w:t>
      </w:r>
      <w:r>
        <w:rPr>
          <w:sz w:val="16"/>
        </w:rPr>
        <w:t>Defensor</w:t>
      </w:r>
      <w:r>
        <w:rPr>
          <w:spacing w:val="-7"/>
          <w:sz w:val="16"/>
        </w:rPr>
        <w:t> </w:t>
      </w:r>
      <w:r>
        <w:rPr>
          <w:sz w:val="16"/>
        </w:rPr>
        <w:t>del Pueblo, recibida el 19 de enero de 2001 por la</w:t>
      </w:r>
      <w:r>
        <w:rPr>
          <w:spacing w:val="-13"/>
          <w:sz w:val="16"/>
        </w:rPr>
        <w:t> </w:t>
      </w:r>
      <w:r>
        <w:rPr>
          <w:sz w:val="16"/>
        </w:rPr>
        <w:t>Comisión.</w:t>
      </w:r>
    </w:p>
    <w:p>
      <w:pPr>
        <w:pStyle w:val="BodyText"/>
        <w:spacing w:before="11"/>
        <w:rPr>
          <w:sz w:val="15"/>
        </w:rPr>
      </w:pPr>
    </w:p>
    <w:p>
      <w:pPr>
        <w:tabs>
          <w:tab w:pos="829" w:val="left" w:leader="none"/>
        </w:tabs>
        <w:spacing w:before="0"/>
        <w:ind w:left="122" w:right="115" w:firstLine="0"/>
        <w:jc w:val="both"/>
        <w:rPr>
          <w:sz w:val="16"/>
        </w:rPr>
      </w:pPr>
      <w:r>
        <w:rPr>
          <w:position w:val="6"/>
          <w:sz w:val="10"/>
        </w:rPr>
        <w:t>53</w:t>
        <w:tab/>
      </w:r>
      <w:r>
        <w:rPr>
          <w:sz w:val="16"/>
        </w:rPr>
        <w:t>Esta</w:t>
      </w:r>
      <w:r>
        <w:rPr>
          <w:spacing w:val="32"/>
          <w:sz w:val="16"/>
        </w:rPr>
        <w:t> </w:t>
      </w:r>
      <w:r>
        <w:rPr>
          <w:sz w:val="16"/>
        </w:rPr>
        <w:t>circunstancia,</w:t>
      </w:r>
      <w:r>
        <w:rPr>
          <w:spacing w:val="32"/>
          <w:sz w:val="16"/>
        </w:rPr>
        <w:t> </w:t>
      </w:r>
      <w:r>
        <w:rPr>
          <w:sz w:val="16"/>
        </w:rPr>
        <w:t>conforme</w:t>
      </w:r>
      <w:r>
        <w:rPr>
          <w:spacing w:val="30"/>
          <w:sz w:val="16"/>
        </w:rPr>
        <w:t> </w:t>
      </w:r>
      <w:r>
        <w:rPr>
          <w:sz w:val="16"/>
        </w:rPr>
        <w:t>se</w:t>
      </w:r>
      <w:r>
        <w:rPr>
          <w:spacing w:val="31"/>
          <w:sz w:val="16"/>
        </w:rPr>
        <w:t> </w:t>
      </w:r>
      <w:r>
        <w:rPr>
          <w:sz w:val="16"/>
        </w:rPr>
        <w:t>indicó</w:t>
      </w:r>
      <w:r>
        <w:rPr>
          <w:spacing w:val="32"/>
          <w:sz w:val="16"/>
        </w:rPr>
        <w:t> </w:t>
      </w:r>
      <w:r>
        <w:rPr>
          <w:sz w:val="16"/>
        </w:rPr>
        <w:t>en</w:t>
      </w:r>
      <w:r>
        <w:rPr>
          <w:spacing w:val="30"/>
          <w:sz w:val="16"/>
        </w:rPr>
        <w:t> </w:t>
      </w:r>
      <w:r>
        <w:rPr>
          <w:sz w:val="16"/>
        </w:rPr>
        <w:t>el</w:t>
      </w:r>
      <w:r>
        <w:rPr>
          <w:spacing w:val="32"/>
          <w:sz w:val="16"/>
        </w:rPr>
        <w:t> </w:t>
      </w:r>
      <w:r>
        <w:rPr>
          <w:sz w:val="16"/>
        </w:rPr>
        <w:t>Informe</w:t>
      </w:r>
      <w:r>
        <w:rPr>
          <w:spacing w:val="31"/>
          <w:sz w:val="16"/>
        </w:rPr>
        <w:t> </w:t>
      </w:r>
      <w:r>
        <w:rPr>
          <w:sz w:val="16"/>
        </w:rPr>
        <w:t>de</w:t>
      </w:r>
      <w:r>
        <w:rPr>
          <w:spacing w:val="28"/>
          <w:sz w:val="16"/>
        </w:rPr>
        <w:t> </w:t>
      </w:r>
      <w:r>
        <w:rPr>
          <w:sz w:val="16"/>
        </w:rPr>
        <w:t>Fondo,</w:t>
      </w:r>
      <w:r>
        <w:rPr>
          <w:spacing w:val="30"/>
          <w:sz w:val="16"/>
        </w:rPr>
        <w:t> </w:t>
      </w:r>
      <w:r>
        <w:rPr>
          <w:sz w:val="16"/>
        </w:rPr>
        <w:t>fue</w:t>
      </w:r>
      <w:r>
        <w:rPr>
          <w:spacing w:val="36"/>
          <w:sz w:val="16"/>
        </w:rPr>
        <w:t> </w:t>
      </w:r>
      <w:r>
        <w:rPr>
          <w:sz w:val="16"/>
        </w:rPr>
        <w:t>referida</w:t>
      </w:r>
      <w:r>
        <w:rPr>
          <w:spacing w:val="30"/>
          <w:sz w:val="16"/>
        </w:rPr>
        <w:t> </w:t>
      </w:r>
      <w:r>
        <w:rPr>
          <w:sz w:val="16"/>
        </w:rPr>
        <w:t>en</w:t>
      </w:r>
      <w:r>
        <w:rPr>
          <w:spacing w:val="32"/>
          <w:sz w:val="16"/>
        </w:rPr>
        <w:t> </w:t>
      </w:r>
      <w:r>
        <w:rPr>
          <w:sz w:val="16"/>
        </w:rPr>
        <w:t>una</w:t>
      </w:r>
      <w:r>
        <w:rPr>
          <w:spacing w:val="30"/>
          <w:sz w:val="16"/>
        </w:rPr>
        <w:t> </w:t>
      </w:r>
      <w:r>
        <w:rPr>
          <w:sz w:val="16"/>
        </w:rPr>
        <w:t>“Resolución</w:t>
      </w:r>
      <w:r>
        <w:rPr>
          <w:w w:val="100"/>
          <w:sz w:val="16"/>
        </w:rPr>
        <w:t> </w:t>
      </w:r>
      <w:r>
        <w:rPr>
          <w:sz w:val="16"/>
        </w:rPr>
        <w:t>Defensorial”</w:t>
      </w:r>
      <w:r>
        <w:rPr>
          <w:spacing w:val="-8"/>
          <w:sz w:val="16"/>
        </w:rPr>
        <w:t> </w:t>
      </w:r>
      <w:r>
        <w:rPr>
          <w:sz w:val="16"/>
        </w:rPr>
        <w:t>de</w:t>
      </w:r>
      <w:r>
        <w:rPr>
          <w:spacing w:val="-8"/>
          <w:sz w:val="16"/>
        </w:rPr>
        <w:t> </w:t>
      </w:r>
      <w:r>
        <w:rPr>
          <w:sz w:val="16"/>
        </w:rPr>
        <w:t>11</w:t>
      </w:r>
      <w:r>
        <w:rPr>
          <w:spacing w:val="-7"/>
          <w:sz w:val="16"/>
        </w:rPr>
        <w:t> </w:t>
      </w:r>
      <w:r>
        <w:rPr>
          <w:sz w:val="16"/>
        </w:rPr>
        <w:t>de</w:t>
      </w:r>
      <w:r>
        <w:rPr>
          <w:spacing w:val="-8"/>
          <w:sz w:val="16"/>
        </w:rPr>
        <w:t> </w:t>
      </w:r>
      <w:r>
        <w:rPr>
          <w:sz w:val="16"/>
        </w:rPr>
        <w:t>agosto</w:t>
      </w:r>
      <w:r>
        <w:rPr>
          <w:spacing w:val="-8"/>
          <w:sz w:val="16"/>
        </w:rPr>
        <w:t> </w:t>
      </w:r>
      <w:r>
        <w:rPr>
          <w:sz w:val="16"/>
        </w:rPr>
        <w:t>de</w:t>
      </w:r>
      <w:r>
        <w:rPr>
          <w:spacing w:val="-8"/>
          <w:sz w:val="16"/>
        </w:rPr>
        <w:t> </w:t>
      </w:r>
      <w:r>
        <w:rPr>
          <w:sz w:val="16"/>
        </w:rPr>
        <w:t>1999,</w:t>
      </w:r>
      <w:r>
        <w:rPr>
          <w:spacing w:val="-9"/>
          <w:sz w:val="16"/>
        </w:rPr>
        <w:t> </w:t>
      </w:r>
      <w:r>
        <w:rPr>
          <w:sz w:val="16"/>
        </w:rPr>
        <w:t>de</w:t>
      </w:r>
      <w:r>
        <w:rPr>
          <w:spacing w:val="-8"/>
          <w:sz w:val="16"/>
        </w:rPr>
        <w:t> </w:t>
      </w:r>
      <w:r>
        <w:rPr>
          <w:sz w:val="16"/>
        </w:rPr>
        <w:t>acuerdo</w:t>
      </w:r>
      <w:r>
        <w:rPr>
          <w:spacing w:val="-5"/>
          <w:sz w:val="16"/>
        </w:rPr>
        <w:t> </w:t>
      </w:r>
      <w:r>
        <w:rPr>
          <w:sz w:val="16"/>
        </w:rPr>
        <w:t>a</w:t>
      </w:r>
      <w:r>
        <w:rPr>
          <w:spacing w:val="-9"/>
          <w:sz w:val="16"/>
        </w:rPr>
        <w:t> </w:t>
      </w:r>
      <w:r>
        <w:rPr>
          <w:sz w:val="16"/>
        </w:rPr>
        <w:t>documentación</w:t>
      </w:r>
      <w:r>
        <w:rPr>
          <w:spacing w:val="-7"/>
          <w:sz w:val="16"/>
        </w:rPr>
        <w:t> </w:t>
      </w:r>
      <w:r>
        <w:rPr>
          <w:sz w:val="16"/>
        </w:rPr>
        <w:t>remitida</w:t>
      </w:r>
      <w:r>
        <w:rPr>
          <w:spacing w:val="-5"/>
          <w:sz w:val="16"/>
        </w:rPr>
        <w:t> </w:t>
      </w:r>
      <w:r>
        <w:rPr>
          <w:sz w:val="16"/>
        </w:rPr>
        <w:t>a</w:t>
      </w:r>
      <w:r>
        <w:rPr>
          <w:spacing w:val="-9"/>
          <w:sz w:val="16"/>
        </w:rPr>
        <w:t> </w:t>
      </w:r>
      <w:r>
        <w:rPr>
          <w:sz w:val="16"/>
        </w:rPr>
        <w:t>la</w:t>
      </w:r>
      <w:r>
        <w:rPr>
          <w:spacing w:val="-7"/>
          <w:sz w:val="16"/>
        </w:rPr>
        <w:t> </w:t>
      </w:r>
      <w:r>
        <w:rPr>
          <w:sz w:val="16"/>
        </w:rPr>
        <w:t>Comisión</w:t>
      </w:r>
      <w:r>
        <w:rPr>
          <w:spacing w:val="-7"/>
          <w:sz w:val="16"/>
        </w:rPr>
        <w:t> </w:t>
      </w:r>
      <w:r>
        <w:rPr>
          <w:sz w:val="16"/>
        </w:rPr>
        <w:t>por</w:t>
      </w:r>
      <w:r>
        <w:rPr>
          <w:spacing w:val="-7"/>
          <w:sz w:val="16"/>
        </w:rPr>
        <w:t> </w:t>
      </w:r>
      <w:r>
        <w:rPr>
          <w:sz w:val="16"/>
        </w:rPr>
        <w:t>el</w:t>
      </w:r>
      <w:r>
        <w:rPr>
          <w:spacing w:val="-9"/>
          <w:sz w:val="16"/>
        </w:rPr>
        <w:t> </w:t>
      </w:r>
      <w:r>
        <w:rPr>
          <w:sz w:val="16"/>
        </w:rPr>
        <w:t>Defensor</w:t>
      </w:r>
      <w:r>
        <w:rPr>
          <w:spacing w:val="-7"/>
          <w:sz w:val="16"/>
        </w:rPr>
        <w:t> </w:t>
      </w:r>
      <w:r>
        <w:rPr>
          <w:sz w:val="16"/>
        </w:rPr>
        <w:t>del Pueblo, recibida el 19 de enero de 2001 por la</w:t>
      </w:r>
      <w:r>
        <w:rPr>
          <w:spacing w:val="-12"/>
          <w:sz w:val="16"/>
        </w:rPr>
        <w:t> </w:t>
      </w:r>
      <w:r>
        <w:rPr>
          <w:sz w:val="16"/>
        </w:rPr>
        <w:t>Comisión.</w:t>
      </w:r>
    </w:p>
    <w:p>
      <w:pPr>
        <w:pStyle w:val="BodyText"/>
        <w:spacing w:before="11"/>
        <w:rPr>
          <w:sz w:val="15"/>
        </w:rPr>
      </w:pPr>
    </w:p>
    <w:p>
      <w:pPr>
        <w:tabs>
          <w:tab w:pos="829" w:val="left" w:leader="none"/>
        </w:tabs>
        <w:spacing w:before="0"/>
        <w:ind w:left="122" w:right="121" w:firstLine="0"/>
        <w:jc w:val="both"/>
        <w:rPr>
          <w:sz w:val="16"/>
        </w:rPr>
      </w:pPr>
      <w:r>
        <w:rPr>
          <w:position w:val="6"/>
          <w:sz w:val="10"/>
        </w:rPr>
        <w:t>54</w:t>
        <w:tab/>
      </w:r>
      <w:r>
        <w:rPr>
          <w:sz w:val="16"/>
        </w:rPr>
        <w:t>La</w:t>
      </w:r>
      <w:r>
        <w:rPr>
          <w:spacing w:val="16"/>
          <w:sz w:val="16"/>
        </w:rPr>
        <w:t> </w:t>
      </w:r>
      <w:r>
        <w:rPr>
          <w:sz w:val="16"/>
        </w:rPr>
        <w:t>Comisión</w:t>
      </w:r>
      <w:r>
        <w:rPr>
          <w:spacing w:val="16"/>
          <w:sz w:val="16"/>
        </w:rPr>
        <w:t> </w:t>
      </w:r>
      <w:r>
        <w:rPr>
          <w:sz w:val="16"/>
        </w:rPr>
        <w:t>Interamericana</w:t>
      </w:r>
      <w:r>
        <w:rPr>
          <w:spacing w:val="16"/>
          <w:sz w:val="16"/>
        </w:rPr>
        <w:t> </w:t>
      </w:r>
      <w:r>
        <w:rPr>
          <w:sz w:val="16"/>
        </w:rPr>
        <w:t>señaló</w:t>
      </w:r>
      <w:r>
        <w:rPr>
          <w:spacing w:val="17"/>
          <w:sz w:val="16"/>
        </w:rPr>
        <w:t> </w:t>
      </w:r>
      <w:r>
        <w:rPr>
          <w:sz w:val="16"/>
        </w:rPr>
        <w:t>que</w:t>
      </w:r>
      <w:r>
        <w:rPr>
          <w:spacing w:val="17"/>
          <w:sz w:val="16"/>
        </w:rPr>
        <w:t> </w:t>
      </w:r>
      <w:r>
        <w:rPr>
          <w:sz w:val="16"/>
        </w:rPr>
        <w:t>en</w:t>
      </w:r>
      <w:r>
        <w:rPr>
          <w:spacing w:val="13"/>
          <w:sz w:val="16"/>
        </w:rPr>
        <w:t> </w:t>
      </w:r>
      <w:r>
        <w:rPr>
          <w:sz w:val="16"/>
        </w:rPr>
        <w:t>enero</w:t>
      </w:r>
      <w:r>
        <w:rPr>
          <w:spacing w:val="17"/>
          <w:sz w:val="16"/>
        </w:rPr>
        <w:t> </w:t>
      </w:r>
      <w:r>
        <w:rPr>
          <w:sz w:val="16"/>
        </w:rPr>
        <w:t>de</w:t>
      </w:r>
      <w:r>
        <w:rPr>
          <w:spacing w:val="17"/>
          <w:sz w:val="16"/>
        </w:rPr>
        <w:t> </w:t>
      </w:r>
      <w:r>
        <w:rPr>
          <w:sz w:val="16"/>
        </w:rPr>
        <w:t>2001,</w:t>
      </w:r>
      <w:r>
        <w:rPr>
          <w:spacing w:val="13"/>
          <w:sz w:val="16"/>
        </w:rPr>
        <w:t> </w:t>
      </w:r>
      <w:r>
        <w:rPr>
          <w:sz w:val="16"/>
        </w:rPr>
        <w:t>el</w:t>
      </w:r>
      <w:r>
        <w:rPr>
          <w:spacing w:val="16"/>
          <w:sz w:val="16"/>
        </w:rPr>
        <w:t> </w:t>
      </w:r>
      <w:r>
        <w:rPr>
          <w:sz w:val="16"/>
        </w:rPr>
        <w:t>Defensor</w:t>
      </w:r>
      <w:r>
        <w:rPr>
          <w:spacing w:val="15"/>
          <w:sz w:val="16"/>
        </w:rPr>
        <w:t> </w:t>
      </w:r>
      <w:r>
        <w:rPr>
          <w:sz w:val="16"/>
        </w:rPr>
        <w:t>del</w:t>
      </w:r>
      <w:r>
        <w:rPr>
          <w:spacing w:val="16"/>
          <w:sz w:val="16"/>
        </w:rPr>
        <w:t> </w:t>
      </w:r>
      <w:r>
        <w:rPr>
          <w:sz w:val="16"/>
        </w:rPr>
        <w:t>Pueblo</w:t>
      </w:r>
      <w:r>
        <w:rPr>
          <w:spacing w:val="15"/>
          <w:sz w:val="16"/>
        </w:rPr>
        <w:t> </w:t>
      </w:r>
      <w:r>
        <w:rPr>
          <w:sz w:val="16"/>
        </w:rPr>
        <w:t>de</w:t>
      </w:r>
      <w:r>
        <w:rPr>
          <w:spacing w:val="14"/>
          <w:sz w:val="16"/>
        </w:rPr>
        <w:t> </w:t>
      </w:r>
      <w:r>
        <w:rPr>
          <w:sz w:val="16"/>
        </w:rPr>
        <w:t>la</w:t>
      </w:r>
      <w:r>
        <w:rPr>
          <w:spacing w:val="16"/>
          <w:sz w:val="16"/>
        </w:rPr>
        <w:t> </w:t>
      </w:r>
      <w:r>
        <w:rPr>
          <w:sz w:val="16"/>
        </w:rPr>
        <w:t>República</w:t>
      </w:r>
      <w:r>
        <w:rPr>
          <w:w w:val="100"/>
          <w:sz w:val="16"/>
        </w:rPr>
        <w:t> </w:t>
      </w:r>
      <w:r>
        <w:rPr>
          <w:sz w:val="16"/>
        </w:rPr>
        <w:t>Argentina remitió a la Comisión copia de 18 comunicaciones enviadas entre 1996 y 1998 al Gobernador de la Provincia de Salta, al Director del INAI, al Ministro de Gobierno y al Presidente de la Republica, entre</w:t>
      </w:r>
      <w:r>
        <w:rPr>
          <w:spacing w:val="-32"/>
          <w:sz w:val="16"/>
        </w:rPr>
        <w:t> </w:t>
      </w:r>
      <w:r>
        <w:rPr>
          <w:sz w:val="16"/>
        </w:rPr>
        <w:t>otros.</w:t>
      </w:r>
    </w:p>
    <w:p>
      <w:pPr>
        <w:pStyle w:val="BodyText"/>
        <w:spacing w:before="11"/>
        <w:rPr>
          <w:sz w:val="15"/>
        </w:rPr>
      </w:pPr>
    </w:p>
    <w:p>
      <w:pPr>
        <w:tabs>
          <w:tab w:pos="829" w:val="left" w:leader="none"/>
        </w:tabs>
        <w:spacing w:before="0"/>
        <w:ind w:left="122" w:right="118" w:firstLine="0"/>
        <w:jc w:val="both"/>
        <w:rPr>
          <w:sz w:val="16"/>
        </w:rPr>
      </w:pPr>
      <w:r>
        <w:rPr>
          <w:position w:val="6"/>
          <w:sz w:val="10"/>
        </w:rPr>
        <w:t>55</w:t>
        <w:tab/>
      </w:r>
      <w:r>
        <w:rPr>
          <w:i/>
          <w:sz w:val="16"/>
        </w:rPr>
        <w:t>Cfr.</w:t>
      </w:r>
      <w:r>
        <w:rPr>
          <w:i/>
          <w:spacing w:val="-6"/>
          <w:sz w:val="16"/>
        </w:rPr>
        <w:t> </w:t>
      </w:r>
      <w:r>
        <w:rPr>
          <w:sz w:val="16"/>
        </w:rPr>
        <w:t>Resolución</w:t>
      </w:r>
      <w:r>
        <w:rPr>
          <w:spacing w:val="-9"/>
          <w:sz w:val="16"/>
        </w:rPr>
        <w:t> </w:t>
      </w:r>
      <w:r>
        <w:rPr>
          <w:sz w:val="16"/>
        </w:rPr>
        <w:t>423</w:t>
      </w:r>
      <w:r>
        <w:rPr>
          <w:spacing w:val="-5"/>
          <w:sz w:val="16"/>
        </w:rPr>
        <w:t> </w:t>
      </w:r>
      <w:r>
        <w:rPr>
          <w:sz w:val="16"/>
        </w:rPr>
        <w:t>publicada</w:t>
      </w:r>
      <w:r>
        <w:rPr>
          <w:spacing w:val="-9"/>
          <w:sz w:val="16"/>
        </w:rPr>
        <w:t> </w:t>
      </w:r>
      <w:r>
        <w:rPr>
          <w:sz w:val="16"/>
        </w:rPr>
        <w:t>el</w:t>
      </w:r>
      <w:r>
        <w:rPr>
          <w:spacing w:val="-7"/>
          <w:sz w:val="16"/>
        </w:rPr>
        <w:t> </w:t>
      </w:r>
      <w:r>
        <w:rPr>
          <w:sz w:val="16"/>
        </w:rPr>
        <w:t>2</w:t>
      </w:r>
      <w:r>
        <w:rPr>
          <w:spacing w:val="-8"/>
          <w:sz w:val="16"/>
        </w:rPr>
        <w:t> </w:t>
      </w:r>
      <w:r>
        <w:rPr>
          <w:sz w:val="16"/>
        </w:rPr>
        <w:t>de</w:t>
      </w:r>
      <w:r>
        <w:rPr>
          <w:spacing w:val="-8"/>
          <w:sz w:val="16"/>
        </w:rPr>
        <w:t> </w:t>
      </w:r>
      <w:r>
        <w:rPr>
          <w:sz w:val="16"/>
        </w:rPr>
        <w:t>noviembre</w:t>
      </w:r>
      <w:r>
        <w:rPr>
          <w:spacing w:val="-8"/>
          <w:sz w:val="16"/>
        </w:rPr>
        <w:t> </w:t>
      </w:r>
      <w:r>
        <w:rPr>
          <w:sz w:val="16"/>
        </w:rPr>
        <w:t>de</w:t>
      </w:r>
      <w:r>
        <w:rPr>
          <w:spacing w:val="-8"/>
          <w:sz w:val="16"/>
        </w:rPr>
        <w:t> </w:t>
      </w:r>
      <w:r>
        <w:rPr>
          <w:sz w:val="16"/>
        </w:rPr>
        <w:t>1999.</w:t>
      </w:r>
      <w:r>
        <w:rPr>
          <w:spacing w:val="-7"/>
          <w:sz w:val="16"/>
        </w:rPr>
        <w:t> </w:t>
      </w:r>
      <w:r>
        <w:rPr>
          <w:sz w:val="16"/>
        </w:rPr>
        <w:t>Expediente</w:t>
      </w:r>
      <w:r>
        <w:rPr>
          <w:spacing w:val="-8"/>
          <w:sz w:val="16"/>
        </w:rPr>
        <w:t> </w:t>
      </w:r>
      <w:r>
        <w:rPr>
          <w:sz w:val="16"/>
        </w:rPr>
        <w:t>de</w:t>
      </w:r>
      <w:r>
        <w:rPr>
          <w:spacing w:val="-8"/>
          <w:sz w:val="16"/>
        </w:rPr>
        <w:t> </w:t>
      </w:r>
      <w:r>
        <w:rPr>
          <w:sz w:val="16"/>
        </w:rPr>
        <w:t>prueba,</w:t>
      </w:r>
      <w:r>
        <w:rPr>
          <w:spacing w:val="-7"/>
          <w:sz w:val="16"/>
        </w:rPr>
        <w:t> </w:t>
      </w:r>
      <w:r>
        <w:rPr>
          <w:sz w:val="16"/>
        </w:rPr>
        <w:t>anexo</w:t>
      </w:r>
      <w:r>
        <w:rPr>
          <w:spacing w:val="-8"/>
          <w:sz w:val="16"/>
        </w:rPr>
        <w:t> </w:t>
      </w:r>
      <w:r>
        <w:rPr>
          <w:sz w:val="16"/>
        </w:rPr>
        <w:t>C.2</w:t>
      </w:r>
      <w:r>
        <w:rPr>
          <w:spacing w:val="-5"/>
          <w:sz w:val="16"/>
        </w:rPr>
        <w:t> </w:t>
      </w:r>
      <w:r>
        <w:rPr>
          <w:sz w:val="16"/>
        </w:rPr>
        <w:t>al</w:t>
      </w:r>
      <w:r>
        <w:rPr>
          <w:spacing w:val="-7"/>
          <w:sz w:val="16"/>
        </w:rPr>
        <w:t> </w:t>
      </w:r>
      <w:r>
        <w:rPr>
          <w:sz w:val="16"/>
        </w:rPr>
        <w:t>escrito</w:t>
      </w:r>
      <w:r>
        <w:rPr>
          <w:w w:val="100"/>
          <w:sz w:val="16"/>
        </w:rPr>
        <w:t> </w:t>
      </w:r>
      <w:r>
        <w:rPr>
          <w:sz w:val="16"/>
        </w:rPr>
        <w:t>de solicitudes y argumentos., fs. 30.106 al</w:t>
      </w:r>
      <w:r>
        <w:rPr>
          <w:spacing w:val="-18"/>
          <w:sz w:val="16"/>
        </w:rPr>
        <w:t> </w:t>
      </w:r>
      <w:r>
        <w:rPr>
          <w:sz w:val="16"/>
        </w:rPr>
        <w:t>30.110.</w:t>
      </w:r>
    </w:p>
    <w:p>
      <w:pPr>
        <w:pStyle w:val="BodyText"/>
        <w:spacing w:before="11"/>
        <w:rPr>
          <w:sz w:val="15"/>
        </w:rPr>
      </w:pPr>
    </w:p>
    <w:p>
      <w:pPr>
        <w:tabs>
          <w:tab w:pos="829" w:val="left" w:leader="none"/>
        </w:tabs>
        <w:spacing w:before="0"/>
        <w:ind w:left="122" w:right="116" w:firstLine="0"/>
        <w:jc w:val="both"/>
        <w:rPr>
          <w:sz w:val="16"/>
        </w:rPr>
      </w:pPr>
      <w:r>
        <w:rPr>
          <w:position w:val="6"/>
          <w:sz w:val="10"/>
        </w:rPr>
        <w:t>56</w:t>
        <w:tab/>
      </w:r>
      <w:r>
        <w:rPr>
          <w:sz w:val="16"/>
        </w:rPr>
        <w:t>Así: (a) se  adjudicó en forma  comunitaria  la  propiedad de distintas  parcelas  del  lote  55  </w:t>
      </w:r>
      <w:r>
        <w:rPr>
          <w:spacing w:val="32"/>
          <w:sz w:val="16"/>
        </w:rPr>
        <w:t> </w:t>
      </w:r>
      <w:r>
        <w:rPr>
          <w:sz w:val="16"/>
        </w:rPr>
        <w:t>a</w:t>
      </w:r>
      <w:r>
        <w:rPr>
          <w:spacing w:val="40"/>
          <w:sz w:val="16"/>
        </w:rPr>
        <w:t> </w:t>
      </w:r>
      <w:r>
        <w:rPr>
          <w:sz w:val="16"/>
        </w:rPr>
        <w:t>las</w:t>
      </w:r>
      <w:r>
        <w:rPr>
          <w:w w:val="100"/>
          <w:sz w:val="16"/>
        </w:rPr>
        <w:t> </w:t>
      </w:r>
      <w:r>
        <w:rPr>
          <w:sz w:val="16"/>
        </w:rPr>
        <w:t>comunidades indígenas Molathati (1.003 ha), Madre Esperanza (781 ha), La Merced Nueva (295 ha), Nueva Esperanza (47 ha) y Bella Vista (1.682 ha); y (b) se adjudicó en forma individual la propiedad de distintas parcelas del lote 55 a tres personas, por extensiones de 1.014 ha, 758 ha y 22 ha. </w:t>
      </w:r>
      <w:r>
        <w:rPr>
          <w:i/>
          <w:sz w:val="16"/>
        </w:rPr>
        <w:t>Cfr. </w:t>
      </w:r>
      <w:r>
        <w:rPr>
          <w:sz w:val="16"/>
        </w:rPr>
        <w:t>Decreto No. 461 de Salta de 24 de diciembre de 1999. Expediente de prueba, trámite ante la Comisión, f. 4.847 y anexo C.3 al escrito de solicitudes y argumentos, fs. 30.111 a</w:t>
      </w:r>
      <w:r>
        <w:rPr>
          <w:spacing w:val="-21"/>
          <w:sz w:val="16"/>
        </w:rPr>
        <w:t> </w:t>
      </w:r>
      <w:r>
        <w:rPr>
          <w:sz w:val="16"/>
        </w:rPr>
        <w:t>30.116.</w:t>
      </w:r>
    </w:p>
    <w:p>
      <w:pPr>
        <w:pStyle w:val="BodyText"/>
        <w:spacing w:before="1"/>
        <w:rPr>
          <w:sz w:val="16"/>
        </w:rPr>
      </w:pPr>
    </w:p>
    <w:p>
      <w:pPr>
        <w:tabs>
          <w:tab w:pos="829" w:val="left" w:leader="none"/>
        </w:tabs>
        <w:spacing w:before="0"/>
        <w:ind w:left="122" w:right="122" w:firstLine="0"/>
        <w:jc w:val="both"/>
        <w:rPr>
          <w:sz w:val="16"/>
        </w:rPr>
      </w:pPr>
      <w:r>
        <w:rPr>
          <w:position w:val="6"/>
          <w:sz w:val="10"/>
        </w:rPr>
        <w:t>57</w:t>
        <w:tab/>
      </w:r>
      <w:r>
        <w:rPr>
          <w:i/>
          <w:sz w:val="16"/>
        </w:rPr>
        <w:t>Cfr.</w:t>
      </w:r>
      <w:r>
        <w:rPr>
          <w:i/>
          <w:spacing w:val="13"/>
          <w:sz w:val="16"/>
        </w:rPr>
        <w:t> </w:t>
      </w:r>
      <w:r>
        <w:rPr>
          <w:sz w:val="16"/>
        </w:rPr>
        <w:t>Acta</w:t>
      </w:r>
      <w:r>
        <w:rPr>
          <w:spacing w:val="13"/>
          <w:sz w:val="16"/>
        </w:rPr>
        <w:t> </w:t>
      </w:r>
      <w:r>
        <w:rPr>
          <w:sz w:val="16"/>
        </w:rPr>
        <w:t>de</w:t>
      </w:r>
      <w:r>
        <w:rPr>
          <w:spacing w:val="13"/>
          <w:sz w:val="16"/>
        </w:rPr>
        <w:t> </w:t>
      </w:r>
      <w:r>
        <w:rPr>
          <w:sz w:val="16"/>
        </w:rPr>
        <w:t>1</w:t>
      </w:r>
      <w:r>
        <w:rPr>
          <w:spacing w:val="12"/>
          <w:sz w:val="16"/>
        </w:rPr>
        <w:t> </w:t>
      </w:r>
      <w:r>
        <w:rPr>
          <w:sz w:val="16"/>
        </w:rPr>
        <w:t>de</w:t>
      </w:r>
      <w:r>
        <w:rPr>
          <w:spacing w:val="13"/>
          <w:sz w:val="16"/>
        </w:rPr>
        <w:t> </w:t>
      </w:r>
      <w:r>
        <w:rPr>
          <w:sz w:val="16"/>
        </w:rPr>
        <w:t>noviembre</w:t>
      </w:r>
      <w:r>
        <w:rPr>
          <w:spacing w:val="11"/>
          <w:sz w:val="16"/>
        </w:rPr>
        <w:t> </w:t>
      </w:r>
      <w:r>
        <w:rPr>
          <w:sz w:val="16"/>
        </w:rPr>
        <w:t>de</w:t>
      </w:r>
      <w:r>
        <w:rPr>
          <w:spacing w:val="13"/>
          <w:sz w:val="16"/>
        </w:rPr>
        <w:t> </w:t>
      </w:r>
      <w:r>
        <w:rPr>
          <w:sz w:val="16"/>
        </w:rPr>
        <w:t>2000.</w:t>
      </w:r>
      <w:r>
        <w:rPr>
          <w:spacing w:val="12"/>
          <w:sz w:val="16"/>
        </w:rPr>
        <w:t> </w:t>
      </w:r>
      <w:r>
        <w:rPr>
          <w:sz w:val="16"/>
        </w:rPr>
        <w:t>Expediente</w:t>
      </w:r>
      <w:r>
        <w:rPr>
          <w:spacing w:val="13"/>
          <w:sz w:val="16"/>
        </w:rPr>
        <w:t> </w:t>
      </w:r>
      <w:r>
        <w:rPr>
          <w:sz w:val="16"/>
        </w:rPr>
        <w:t>de</w:t>
      </w:r>
      <w:r>
        <w:rPr>
          <w:spacing w:val="11"/>
          <w:sz w:val="16"/>
        </w:rPr>
        <w:t> </w:t>
      </w:r>
      <w:r>
        <w:rPr>
          <w:sz w:val="16"/>
        </w:rPr>
        <w:t>prueba,</w:t>
      </w:r>
      <w:r>
        <w:rPr>
          <w:spacing w:val="12"/>
          <w:sz w:val="16"/>
        </w:rPr>
        <w:t> </w:t>
      </w:r>
      <w:r>
        <w:rPr>
          <w:sz w:val="16"/>
        </w:rPr>
        <w:t>anexo</w:t>
      </w:r>
      <w:r>
        <w:rPr>
          <w:spacing w:val="12"/>
          <w:sz w:val="16"/>
        </w:rPr>
        <w:t> </w:t>
      </w:r>
      <w:r>
        <w:rPr>
          <w:sz w:val="16"/>
        </w:rPr>
        <w:t>C.4</w:t>
      </w:r>
      <w:r>
        <w:rPr>
          <w:spacing w:val="14"/>
          <w:sz w:val="16"/>
        </w:rPr>
        <w:t> </w:t>
      </w:r>
      <w:r>
        <w:rPr>
          <w:sz w:val="16"/>
        </w:rPr>
        <w:t>al</w:t>
      </w:r>
      <w:r>
        <w:rPr>
          <w:spacing w:val="12"/>
          <w:sz w:val="16"/>
        </w:rPr>
        <w:t> </w:t>
      </w:r>
      <w:r>
        <w:rPr>
          <w:sz w:val="16"/>
        </w:rPr>
        <w:t>escrito</w:t>
      </w:r>
      <w:r>
        <w:rPr>
          <w:spacing w:val="14"/>
          <w:sz w:val="16"/>
        </w:rPr>
        <w:t> </w:t>
      </w:r>
      <w:r>
        <w:rPr>
          <w:sz w:val="16"/>
        </w:rPr>
        <w:t>de</w:t>
      </w:r>
      <w:r>
        <w:rPr>
          <w:spacing w:val="11"/>
          <w:sz w:val="16"/>
        </w:rPr>
        <w:t> </w:t>
      </w:r>
      <w:r>
        <w:rPr>
          <w:sz w:val="16"/>
        </w:rPr>
        <w:t>solicitudes</w:t>
      </w:r>
      <w:r>
        <w:rPr>
          <w:spacing w:val="13"/>
          <w:sz w:val="16"/>
        </w:rPr>
        <w:t> </w:t>
      </w:r>
      <w:r>
        <w:rPr>
          <w:sz w:val="16"/>
        </w:rPr>
        <w:t>y</w:t>
      </w:r>
      <w:r>
        <w:rPr>
          <w:w w:val="100"/>
          <w:sz w:val="16"/>
        </w:rPr>
        <w:t> </w:t>
      </w:r>
      <w:r>
        <w:rPr>
          <w:sz w:val="16"/>
        </w:rPr>
        <w:t>argumentos, fs. 30.117 y</w:t>
      </w:r>
      <w:r>
        <w:rPr>
          <w:spacing w:val="-12"/>
          <w:sz w:val="16"/>
        </w:rPr>
        <w:t> </w:t>
      </w:r>
      <w:r>
        <w:rPr>
          <w:sz w:val="16"/>
        </w:rPr>
        <w:t>30.118.</w:t>
      </w:r>
    </w:p>
    <w:p>
      <w:pPr>
        <w:spacing w:after="0"/>
        <w:jc w:val="both"/>
        <w:rPr>
          <w:sz w:val="16"/>
        </w:rPr>
        <w:sectPr>
          <w:pgSz w:w="12240" w:h="15840"/>
          <w:pgMar w:header="0" w:footer="1000" w:top="1340" w:bottom="1200" w:left="1580" w:right="1580"/>
        </w:sectPr>
      </w:pPr>
    </w:p>
    <w:p>
      <w:pPr>
        <w:pStyle w:val="BodyText"/>
        <w:spacing w:line="247" w:lineRule="auto" w:before="71"/>
        <w:ind w:left="122" w:right="119"/>
        <w:jc w:val="both"/>
      </w:pPr>
      <w:r>
        <w:rPr/>
        <w:t>acuerdos con criollos y exigía que cada comunidad obtuviera personería jurídica</w:t>
      </w:r>
      <w:r>
        <w:rPr>
          <w:rFonts w:ascii="Calibri" w:hAnsi="Calibri"/>
          <w:position w:val="8"/>
          <w:sz w:val="14"/>
        </w:rPr>
        <w:t>58</w:t>
      </w:r>
      <w:r>
        <w:rPr/>
        <w:t>. En agosto de 2001 el Estado le comunicó a la Comisión Interamericana que admitió incorporar el lote 14 en su propuesta</w:t>
      </w:r>
      <w:r>
        <w:rPr>
          <w:rFonts w:ascii="Calibri" w:hAnsi="Calibri"/>
          <w:position w:val="8"/>
          <w:sz w:val="14"/>
        </w:rPr>
        <w:t>59</w:t>
      </w:r>
      <w:r>
        <w:rPr/>
        <w:t>.</w:t>
      </w:r>
    </w:p>
    <w:p>
      <w:pPr>
        <w:pStyle w:val="BodyText"/>
        <w:spacing w:before="12"/>
      </w:pPr>
    </w:p>
    <w:p>
      <w:pPr>
        <w:pStyle w:val="ListParagraph"/>
        <w:numPr>
          <w:ilvl w:val="0"/>
          <w:numId w:val="19"/>
        </w:numPr>
        <w:tabs>
          <w:tab w:pos="830" w:val="left" w:leader="none"/>
        </w:tabs>
        <w:spacing w:line="242" w:lineRule="auto" w:before="0" w:after="0"/>
        <w:ind w:left="122" w:right="118" w:firstLine="0"/>
        <w:jc w:val="both"/>
        <w:rPr>
          <w:sz w:val="20"/>
        </w:rPr>
      </w:pPr>
      <w:r>
        <w:rPr>
          <w:sz w:val="20"/>
        </w:rPr>
        <w:t>El 22 de febrero de 2001 Salta dictó el Decreto No. 339/01, que creó una Comisión, integrada por representantes estatales, criollos y de comunidades indígenas, para completar la “cartografía” de los lotes 14 y 55 a fin de establecer con exactitud la “ubicación de las distintas comunidades indígenas y criollas”</w:t>
      </w:r>
      <w:r>
        <w:rPr>
          <w:rFonts w:ascii="Calibri" w:hAnsi="Calibri"/>
          <w:position w:val="8"/>
          <w:sz w:val="14"/>
        </w:rPr>
        <w:t>60</w:t>
      </w:r>
      <w:r>
        <w:rPr>
          <w:sz w:val="20"/>
        </w:rPr>
        <w:t>. El 26 de diciembre siguiente, Lhaka Honhat señaló a la Comisión Interamericana que la Comisión aludida no se había reunido y que las comunidades indígenas habían comenzado a efectuar por su cuenta un relevamiento poblacional y mapeo de los</w:t>
      </w:r>
      <w:r>
        <w:rPr>
          <w:spacing w:val="-17"/>
          <w:sz w:val="20"/>
        </w:rPr>
        <w:t> </w:t>
      </w:r>
      <w:r>
        <w:rPr>
          <w:sz w:val="20"/>
        </w:rPr>
        <w:t>lotes</w:t>
      </w:r>
      <w:r>
        <w:rPr>
          <w:rFonts w:ascii="Calibri" w:hAnsi="Calibri"/>
          <w:position w:val="8"/>
          <w:sz w:val="14"/>
        </w:rPr>
        <w:t>61</w:t>
      </w:r>
      <w:r>
        <w:rPr>
          <w:sz w:val="20"/>
        </w:rPr>
        <w:t>.</w:t>
      </w:r>
    </w:p>
    <w:p>
      <w:pPr>
        <w:pStyle w:val="BodyText"/>
        <w:spacing w:before="3"/>
        <w:rPr>
          <w:sz w:val="21"/>
        </w:rPr>
      </w:pPr>
    </w:p>
    <w:p>
      <w:pPr>
        <w:pStyle w:val="ListParagraph"/>
        <w:numPr>
          <w:ilvl w:val="0"/>
          <w:numId w:val="19"/>
        </w:numPr>
        <w:tabs>
          <w:tab w:pos="830" w:val="left" w:leader="none"/>
        </w:tabs>
        <w:spacing w:line="242" w:lineRule="auto" w:before="0" w:after="0"/>
        <w:ind w:left="122" w:right="117" w:firstLine="0"/>
        <w:jc w:val="both"/>
        <w:rPr>
          <w:sz w:val="20"/>
        </w:rPr>
      </w:pPr>
      <w:r>
        <w:rPr>
          <w:sz w:val="20"/>
        </w:rPr>
        <w:t>Los días 11 de septiembre de 2001, 8 de julio y 4 de junio de 2002, 5 de agosto y 9 de septiembre de 2004, los entonces peticionarios comunicaron a la Comisión Interamericana que agentes de Salta continuaban realizando mensuras y tareas de amojonamiento</w:t>
      </w:r>
      <w:r>
        <w:rPr>
          <w:spacing w:val="-4"/>
          <w:sz w:val="20"/>
        </w:rPr>
        <w:t> </w:t>
      </w:r>
      <w:r>
        <w:rPr>
          <w:sz w:val="20"/>
        </w:rPr>
        <w:t>en</w:t>
      </w:r>
      <w:r>
        <w:rPr>
          <w:spacing w:val="-3"/>
          <w:sz w:val="20"/>
        </w:rPr>
        <w:t> </w:t>
      </w:r>
      <w:r>
        <w:rPr>
          <w:sz w:val="20"/>
        </w:rPr>
        <w:t>los</w:t>
      </w:r>
      <w:r>
        <w:rPr>
          <w:spacing w:val="-5"/>
          <w:sz w:val="20"/>
        </w:rPr>
        <w:t> </w:t>
      </w:r>
      <w:r>
        <w:rPr>
          <w:sz w:val="20"/>
        </w:rPr>
        <w:t>lotes</w:t>
      </w:r>
      <w:r>
        <w:rPr>
          <w:spacing w:val="-6"/>
          <w:sz w:val="20"/>
        </w:rPr>
        <w:t> </w:t>
      </w:r>
      <w:r>
        <w:rPr>
          <w:sz w:val="20"/>
        </w:rPr>
        <w:t>14</w:t>
      </w:r>
      <w:r>
        <w:rPr>
          <w:spacing w:val="-2"/>
          <w:sz w:val="20"/>
        </w:rPr>
        <w:t> </w:t>
      </w:r>
      <w:r>
        <w:rPr>
          <w:sz w:val="20"/>
        </w:rPr>
        <w:t>y</w:t>
      </w:r>
      <w:r>
        <w:rPr>
          <w:spacing w:val="-6"/>
          <w:sz w:val="20"/>
        </w:rPr>
        <w:t> </w:t>
      </w:r>
      <w:r>
        <w:rPr>
          <w:sz w:val="20"/>
        </w:rPr>
        <w:t>55</w:t>
      </w:r>
      <w:r>
        <w:rPr>
          <w:rFonts w:ascii="Calibri" w:hAnsi="Calibri"/>
          <w:position w:val="8"/>
          <w:sz w:val="14"/>
        </w:rPr>
        <w:t>62</w:t>
      </w:r>
      <w:r>
        <w:rPr>
          <w:sz w:val="20"/>
        </w:rPr>
        <w:t>.</w:t>
      </w:r>
      <w:r>
        <w:rPr>
          <w:spacing w:val="-6"/>
          <w:sz w:val="20"/>
        </w:rPr>
        <w:t> </w:t>
      </w:r>
      <w:r>
        <w:rPr>
          <w:sz w:val="20"/>
        </w:rPr>
        <w:t>El</w:t>
      </w:r>
      <w:r>
        <w:rPr>
          <w:spacing w:val="-5"/>
          <w:sz w:val="20"/>
        </w:rPr>
        <w:t> </w:t>
      </w:r>
      <w:r>
        <w:rPr>
          <w:sz w:val="20"/>
        </w:rPr>
        <w:t>5</w:t>
      </w:r>
      <w:r>
        <w:rPr>
          <w:spacing w:val="-5"/>
          <w:sz w:val="20"/>
        </w:rPr>
        <w:t> </w:t>
      </w:r>
      <w:r>
        <w:rPr>
          <w:sz w:val="20"/>
        </w:rPr>
        <w:t>de</w:t>
      </w:r>
      <w:r>
        <w:rPr>
          <w:spacing w:val="-7"/>
          <w:sz w:val="20"/>
        </w:rPr>
        <w:t> </w:t>
      </w:r>
      <w:r>
        <w:rPr>
          <w:sz w:val="20"/>
        </w:rPr>
        <w:t>agosto</w:t>
      </w:r>
      <w:r>
        <w:rPr>
          <w:spacing w:val="-6"/>
          <w:sz w:val="20"/>
        </w:rPr>
        <w:t> </w:t>
      </w:r>
      <w:r>
        <w:rPr>
          <w:sz w:val="20"/>
        </w:rPr>
        <w:t>de</w:t>
      </w:r>
      <w:r>
        <w:rPr>
          <w:spacing w:val="-7"/>
          <w:sz w:val="20"/>
        </w:rPr>
        <w:t> </w:t>
      </w:r>
      <w:r>
        <w:rPr>
          <w:sz w:val="20"/>
        </w:rPr>
        <w:t>2004,</w:t>
      </w:r>
      <w:r>
        <w:rPr>
          <w:spacing w:val="-4"/>
          <w:sz w:val="20"/>
        </w:rPr>
        <w:t> </w:t>
      </w:r>
      <w:r>
        <w:rPr>
          <w:sz w:val="20"/>
        </w:rPr>
        <w:t>el</w:t>
      </w:r>
      <w:r>
        <w:rPr>
          <w:spacing w:val="-5"/>
          <w:sz w:val="20"/>
        </w:rPr>
        <w:t> </w:t>
      </w:r>
      <w:r>
        <w:rPr>
          <w:sz w:val="20"/>
        </w:rPr>
        <w:t>Estado</w:t>
      </w:r>
      <w:r>
        <w:rPr>
          <w:spacing w:val="-4"/>
          <w:sz w:val="20"/>
        </w:rPr>
        <w:t> </w:t>
      </w:r>
      <w:r>
        <w:rPr>
          <w:sz w:val="20"/>
        </w:rPr>
        <w:t>expresó</w:t>
      </w:r>
      <w:r>
        <w:rPr>
          <w:spacing w:val="-7"/>
          <w:sz w:val="20"/>
        </w:rPr>
        <w:t> </w:t>
      </w:r>
      <w:r>
        <w:rPr>
          <w:sz w:val="20"/>
        </w:rPr>
        <w:t>que</w:t>
      </w:r>
      <w:r>
        <w:rPr>
          <w:spacing w:val="-4"/>
          <w:sz w:val="20"/>
        </w:rPr>
        <w:t> </w:t>
      </w:r>
      <w:r>
        <w:rPr>
          <w:sz w:val="20"/>
        </w:rPr>
        <w:t>se abstendría de realizar cualquier obra pública o de infraestructura que no fuera consensuada con los peticionarios y que no se harían nuevas mensuras ni entregas parciales de tierra en los lotes</w:t>
      </w:r>
      <w:r>
        <w:rPr>
          <w:spacing w:val="-17"/>
          <w:sz w:val="20"/>
        </w:rPr>
        <w:t> </w:t>
      </w:r>
      <w:r>
        <w:rPr>
          <w:sz w:val="20"/>
        </w:rPr>
        <w:t>reclamados</w:t>
      </w:r>
      <w:r>
        <w:rPr>
          <w:rFonts w:ascii="Calibri" w:hAnsi="Calibri"/>
          <w:position w:val="8"/>
          <w:sz w:val="14"/>
        </w:rPr>
        <w:t>63</w:t>
      </w:r>
      <w:r>
        <w:rPr>
          <w:sz w:val="20"/>
        </w:rPr>
        <w:t>.</w:t>
      </w:r>
    </w:p>
    <w:p>
      <w:pPr>
        <w:pStyle w:val="BodyText"/>
        <w:spacing w:before="5"/>
        <w:rPr>
          <w:sz w:val="21"/>
        </w:rPr>
      </w:pPr>
    </w:p>
    <w:p>
      <w:pPr>
        <w:pStyle w:val="Heading4"/>
        <w:numPr>
          <w:ilvl w:val="1"/>
          <w:numId w:val="18"/>
        </w:numPr>
        <w:tabs>
          <w:tab w:pos="1116" w:val="left" w:leader="none"/>
        </w:tabs>
        <w:spacing w:line="240" w:lineRule="auto" w:before="0" w:after="0"/>
        <w:ind w:left="688" w:right="122" w:firstLine="0"/>
        <w:jc w:val="left"/>
      </w:pPr>
      <w:bookmarkStart w:name="_bookmark24" w:id="39"/>
      <w:bookmarkEnd w:id="39"/>
      <w:r>
        <w:rPr>
          <w:b w:val="0"/>
          <w:i w:val="0"/>
        </w:rPr>
      </w:r>
      <w:bookmarkStart w:name="_bookmark24" w:id="40"/>
      <w:bookmarkEnd w:id="40"/>
      <w:r>
        <w:rPr>
          <w:i/>
        </w:rPr>
        <w:t>T</w:t>
      </w:r>
      <w:r>
        <w:rPr>
          <w:i/>
        </w:rPr>
        <w:t>ercera fase (2005-2006): Creación de la Unidad Ejecutora Provincial </w:t>
      </w:r>
      <w:r>
        <w:rPr/>
        <w:t>(UEP), referéndum y acciones</w:t>
      </w:r>
      <w:r>
        <w:rPr>
          <w:spacing w:val="-22"/>
        </w:rPr>
        <w:t> </w:t>
      </w:r>
      <w:r>
        <w:rPr/>
        <w:t>posteriores</w:t>
      </w:r>
    </w:p>
    <w:p>
      <w:pPr>
        <w:pStyle w:val="BodyText"/>
        <w:spacing w:before="1"/>
        <w:rPr>
          <w:b/>
          <w:i/>
        </w:rPr>
      </w:pPr>
    </w:p>
    <w:p>
      <w:pPr>
        <w:pStyle w:val="ListParagraph"/>
        <w:numPr>
          <w:ilvl w:val="0"/>
          <w:numId w:val="19"/>
        </w:numPr>
        <w:tabs>
          <w:tab w:pos="830" w:val="left" w:leader="none"/>
        </w:tabs>
        <w:spacing w:line="250" w:lineRule="exact" w:before="0" w:after="0"/>
        <w:ind w:left="122" w:right="117" w:firstLine="0"/>
        <w:jc w:val="both"/>
        <w:rPr>
          <w:sz w:val="20"/>
        </w:rPr>
      </w:pPr>
      <w:r>
        <w:rPr>
          <w:sz w:val="20"/>
        </w:rPr>
        <w:t>El 2 de marzo de 2005, la Provincia de Salta presentó en una reunión de trabajo en</w:t>
      </w:r>
      <w:r>
        <w:rPr>
          <w:spacing w:val="-8"/>
          <w:sz w:val="20"/>
        </w:rPr>
        <w:t> </w:t>
      </w:r>
      <w:r>
        <w:rPr>
          <w:sz w:val="20"/>
        </w:rPr>
        <w:t>la</w:t>
      </w:r>
      <w:r>
        <w:rPr>
          <w:spacing w:val="-7"/>
          <w:sz w:val="20"/>
        </w:rPr>
        <w:t> </w:t>
      </w:r>
      <w:r>
        <w:rPr>
          <w:sz w:val="20"/>
        </w:rPr>
        <w:t>sede</w:t>
      </w:r>
      <w:r>
        <w:rPr>
          <w:spacing w:val="-8"/>
          <w:sz w:val="20"/>
        </w:rPr>
        <w:t> </w:t>
      </w:r>
      <w:r>
        <w:rPr>
          <w:sz w:val="20"/>
        </w:rPr>
        <w:t>de</w:t>
      </w:r>
      <w:r>
        <w:rPr>
          <w:spacing w:val="-11"/>
          <w:sz w:val="20"/>
        </w:rPr>
        <w:t> </w:t>
      </w:r>
      <w:r>
        <w:rPr>
          <w:sz w:val="20"/>
        </w:rPr>
        <w:t>la</w:t>
      </w:r>
      <w:r>
        <w:rPr>
          <w:spacing w:val="-7"/>
          <w:sz w:val="20"/>
        </w:rPr>
        <w:t> </w:t>
      </w:r>
      <w:r>
        <w:rPr>
          <w:sz w:val="20"/>
        </w:rPr>
        <w:t>Comisión</w:t>
      </w:r>
      <w:r>
        <w:rPr>
          <w:spacing w:val="-8"/>
          <w:sz w:val="20"/>
        </w:rPr>
        <w:t> </w:t>
      </w:r>
      <w:r>
        <w:rPr>
          <w:sz w:val="20"/>
        </w:rPr>
        <w:t>Interamericana,</w:t>
      </w:r>
      <w:r>
        <w:rPr>
          <w:spacing w:val="-8"/>
          <w:sz w:val="20"/>
        </w:rPr>
        <w:t> </w:t>
      </w:r>
      <w:r>
        <w:rPr>
          <w:sz w:val="20"/>
        </w:rPr>
        <w:t>una</w:t>
      </w:r>
      <w:r>
        <w:rPr>
          <w:spacing w:val="-9"/>
          <w:sz w:val="20"/>
        </w:rPr>
        <w:t> </w:t>
      </w:r>
      <w:r>
        <w:rPr>
          <w:sz w:val="20"/>
        </w:rPr>
        <w:t>propuesta</w:t>
      </w:r>
      <w:r>
        <w:rPr>
          <w:spacing w:val="-9"/>
          <w:sz w:val="20"/>
        </w:rPr>
        <w:t> </w:t>
      </w:r>
      <w:r>
        <w:rPr>
          <w:sz w:val="20"/>
        </w:rPr>
        <w:t>de</w:t>
      </w:r>
      <w:r>
        <w:rPr>
          <w:spacing w:val="-8"/>
          <w:sz w:val="20"/>
        </w:rPr>
        <w:t> </w:t>
      </w:r>
      <w:r>
        <w:rPr>
          <w:sz w:val="20"/>
        </w:rPr>
        <w:t>distribución</w:t>
      </w:r>
      <w:r>
        <w:rPr>
          <w:spacing w:val="-6"/>
          <w:sz w:val="20"/>
        </w:rPr>
        <w:t> </w:t>
      </w:r>
      <w:r>
        <w:rPr>
          <w:sz w:val="20"/>
        </w:rPr>
        <w:t>de</w:t>
      </w:r>
      <w:r>
        <w:rPr>
          <w:spacing w:val="-8"/>
          <w:sz w:val="20"/>
        </w:rPr>
        <w:t> </w:t>
      </w:r>
      <w:r>
        <w:rPr>
          <w:sz w:val="20"/>
        </w:rPr>
        <w:t>las</w:t>
      </w:r>
      <w:r>
        <w:rPr>
          <w:spacing w:val="-7"/>
          <w:sz w:val="20"/>
        </w:rPr>
        <w:t> </w:t>
      </w:r>
      <w:r>
        <w:rPr>
          <w:sz w:val="20"/>
        </w:rPr>
        <w:t>tierras</w:t>
      </w:r>
      <w:r>
        <w:rPr>
          <w:rFonts w:ascii="Calibri" w:hAnsi="Calibri"/>
          <w:position w:val="8"/>
          <w:sz w:val="14"/>
        </w:rPr>
        <w:t>64</w:t>
      </w:r>
      <w:r>
        <w:rPr>
          <w:sz w:val="20"/>
        </w:rPr>
        <w:t>.</w:t>
      </w:r>
    </w:p>
    <w:p>
      <w:pPr>
        <w:pStyle w:val="BodyText"/>
        <w:spacing w:before="6"/>
        <w:rPr>
          <w:sz w:val="15"/>
        </w:rPr>
      </w:pPr>
      <w:r>
        <w:rPr/>
        <w:pict>
          <v:line style="position:absolute;mso-position-horizontal-relative:page;mso-position-vertical-relative:paragraph;z-index:1600;mso-wrap-distance-left:0;mso-wrap-distance-right:0" from="85.103996pt,11.748413pt" to="229.123996pt,11.748413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58</w:t>
        <w:tab/>
      </w:r>
      <w:r>
        <w:rPr>
          <w:i/>
          <w:sz w:val="16"/>
        </w:rPr>
        <w:t>Cfr. </w:t>
      </w:r>
      <w:r>
        <w:rPr>
          <w:sz w:val="16"/>
        </w:rPr>
        <w:t>Comunicación de los peticionarios a la Comisión de 19 de julio de 2001 y propuesta   del</w:t>
      </w:r>
      <w:r>
        <w:rPr>
          <w:spacing w:val="6"/>
          <w:sz w:val="16"/>
        </w:rPr>
        <w:t> </w:t>
      </w:r>
      <w:r>
        <w:rPr>
          <w:sz w:val="16"/>
        </w:rPr>
        <w:t>Estado</w:t>
      </w:r>
      <w:r>
        <w:rPr>
          <w:w w:val="100"/>
          <w:sz w:val="16"/>
        </w:rPr>
        <w:t> </w:t>
      </w:r>
      <w:r>
        <w:rPr>
          <w:sz w:val="16"/>
        </w:rPr>
        <w:t>de</w:t>
      </w:r>
      <w:r>
        <w:rPr>
          <w:spacing w:val="-6"/>
          <w:sz w:val="16"/>
        </w:rPr>
        <w:t> </w:t>
      </w:r>
      <w:r>
        <w:rPr>
          <w:sz w:val="16"/>
        </w:rPr>
        <w:t>15</w:t>
      </w:r>
      <w:r>
        <w:rPr>
          <w:spacing w:val="-5"/>
          <w:sz w:val="16"/>
        </w:rPr>
        <w:t> </w:t>
      </w:r>
      <w:r>
        <w:rPr>
          <w:sz w:val="16"/>
        </w:rPr>
        <w:t>de</w:t>
      </w:r>
      <w:r>
        <w:rPr>
          <w:spacing w:val="-6"/>
          <w:sz w:val="16"/>
        </w:rPr>
        <w:t> </w:t>
      </w:r>
      <w:r>
        <w:rPr>
          <w:sz w:val="16"/>
        </w:rPr>
        <w:t>diciembre</w:t>
      </w:r>
      <w:r>
        <w:rPr>
          <w:spacing w:val="-6"/>
          <w:sz w:val="16"/>
        </w:rPr>
        <w:t> </w:t>
      </w:r>
      <w:r>
        <w:rPr>
          <w:sz w:val="16"/>
        </w:rPr>
        <w:t>de</w:t>
      </w:r>
      <w:r>
        <w:rPr>
          <w:spacing w:val="-6"/>
          <w:sz w:val="16"/>
        </w:rPr>
        <w:t> </w:t>
      </w:r>
      <w:r>
        <w:rPr>
          <w:sz w:val="16"/>
        </w:rPr>
        <w:t>2000.</w:t>
      </w:r>
      <w:r>
        <w:rPr>
          <w:spacing w:val="-5"/>
          <w:sz w:val="16"/>
        </w:rPr>
        <w:t> </w:t>
      </w:r>
      <w:r>
        <w:rPr>
          <w:sz w:val="16"/>
        </w:rPr>
        <w:t>Expediente</w:t>
      </w:r>
      <w:r>
        <w:rPr>
          <w:spacing w:val="-3"/>
          <w:sz w:val="16"/>
        </w:rPr>
        <w:t> </w:t>
      </w:r>
      <w:r>
        <w:rPr>
          <w:sz w:val="16"/>
        </w:rPr>
        <w:t>de</w:t>
      </w:r>
      <w:r>
        <w:rPr>
          <w:spacing w:val="-6"/>
          <w:sz w:val="16"/>
        </w:rPr>
        <w:t> </w:t>
      </w:r>
      <w:r>
        <w:rPr>
          <w:sz w:val="16"/>
        </w:rPr>
        <w:t>prueba,</w:t>
      </w:r>
      <w:r>
        <w:rPr>
          <w:spacing w:val="-5"/>
          <w:sz w:val="16"/>
        </w:rPr>
        <w:t> </w:t>
      </w:r>
      <w:r>
        <w:rPr>
          <w:sz w:val="16"/>
        </w:rPr>
        <w:t>anexos</w:t>
      </w:r>
      <w:r>
        <w:rPr>
          <w:spacing w:val="-6"/>
          <w:sz w:val="16"/>
        </w:rPr>
        <w:t> </w:t>
      </w:r>
      <w:r>
        <w:rPr>
          <w:sz w:val="16"/>
        </w:rPr>
        <w:t>C.10</w:t>
      </w:r>
      <w:r>
        <w:rPr>
          <w:spacing w:val="-5"/>
          <w:sz w:val="16"/>
        </w:rPr>
        <w:t> </w:t>
      </w:r>
      <w:r>
        <w:rPr>
          <w:sz w:val="16"/>
        </w:rPr>
        <w:t>y</w:t>
      </w:r>
      <w:r>
        <w:rPr>
          <w:spacing w:val="-5"/>
          <w:sz w:val="16"/>
        </w:rPr>
        <w:t> </w:t>
      </w:r>
      <w:r>
        <w:rPr>
          <w:sz w:val="16"/>
        </w:rPr>
        <w:t>C.7</w:t>
      </w:r>
      <w:r>
        <w:rPr>
          <w:spacing w:val="-3"/>
          <w:sz w:val="16"/>
        </w:rPr>
        <w:t> </w:t>
      </w:r>
      <w:r>
        <w:rPr>
          <w:sz w:val="16"/>
        </w:rPr>
        <w:t>al</w:t>
      </w:r>
      <w:r>
        <w:rPr>
          <w:spacing w:val="-7"/>
          <w:sz w:val="16"/>
        </w:rPr>
        <w:t> </w:t>
      </w:r>
      <w:r>
        <w:rPr>
          <w:sz w:val="16"/>
        </w:rPr>
        <w:t>escrito</w:t>
      </w:r>
      <w:r>
        <w:rPr>
          <w:spacing w:val="-5"/>
          <w:sz w:val="16"/>
        </w:rPr>
        <w:t> </w:t>
      </w:r>
      <w:r>
        <w:rPr>
          <w:sz w:val="16"/>
        </w:rPr>
        <w:t>de</w:t>
      </w:r>
      <w:r>
        <w:rPr>
          <w:spacing w:val="-6"/>
          <w:sz w:val="16"/>
        </w:rPr>
        <w:t> </w:t>
      </w:r>
      <w:r>
        <w:rPr>
          <w:sz w:val="16"/>
        </w:rPr>
        <w:t>solicitudes</w:t>
      </w:r>
      <w:r>
        <w:rPr>
          <w:spacing w:val="-6"/>
          <w:sz w:val="16"/>
        </w:rPr>
        <w:t> </w:t>
      </w:r>
      <w:r>
        <w:rPr>
          <w:sz w:val="16"/>
        </w:rPr>
        <w:t>y</w:t>
      </w:r>
      <w:r>
        <w:rPr>
          <w:spacing w:val="-5"/>
          <w:sz w:val="16"/>
        </w:rPr>
        <w:t> </w:t>
      </w:r>
      <w:r>
        <w:rPr>
          <w:sz w:val="16"/>
        </w:rPr>
        <w:t>argumentos, fs. 30.172 a 30.210 y 30.128 a</w:t>
      </w:r>
      <w:r>
        <w:rPr>
          <w:spacing w:val="-16"/>
          <w:sz w:val="16"/>
        </w:rPr>
        <w:t> </w:t>
      </w:r>
      <w:r>
        <w:rPr>
          <w:sz w:val="16"/>
        </w:rPr>
        <w:t>30.140.</w:t>
      </w:r>
    </w:p>
    <w:p>
      <w:pPr>
        <w:pStyle w:val="BodyText"/>
        <w:spacing w:before="12"/>
        <w:rPr>
          <w:sz w:val="15"/>
        </w:rPr>
      </w:pPr>
    </w:p>
    <w:p>
      <w:pPr>
        <w:tabs>
          <w:tab w:pos="829" w:val="left" w:leader="none"/>
        </w:tabs>
        <w:spacing w:before="0"/>
        <w:ind w:left="122" w:right="114" w:firstLine="0"/>
        <w:jc w:val="both"/>
        <w:rPr>
          <w:sz w:val="16"/>
        </w:rPr>
      </w:pPr>
      <w:r>
        <w:rPr>
          <w:position w:val="6"/>
          <w:sz w:val="10"/>
        </w:rPr>
        <w:t>59</w:t>
        <w:tab/>
      </w:r>
      <w:r>
        <w:rPr>
          <w:i/>
          <w:sz w:val="16"/>
        </w:rPr>
        <w:t>Cfr.</w:t>
      </w:r>
      <w:r>
        <w:rPr>
          <w:i/>
          <w:spacing w:val="16"/>
          <w:sz w:val="16"/>
        </w:rPr>
        <w:t> </w:t>
      </w:r>
      <w:r>
        <w:rPr>
          <w:sz w:val="16"/>
        </w:rPr>
        <w:t>Comunicación</w:t>
      </w:r>
      <w:r>
        <w:rPr>
          <w:spacing w:val="16"/>
          <w:sz w:val="16"/>
        </w:rPr>
        <w:t> </w:t>
      </w:r>
      <w:r>
        <w:rPr>
          <w:sz w:val="16"/>
        </w:rPr>
        <w:t>del</w:t>
      </w:r>
      <w:r>
        <w:rPr>
          <w:spacing w:val="16"/>
          <w:sz w:val="16"/>
        </w:rPr>
        <w:t> </w:t>
      </w:r>
      <w:r>
        <w:rPr>
          <w:sz w:val="16"/>
        </w:rPr>
        <w:t>Estado</w:t>
      </w:r>
      <w:r>
        <w:rPr>
          <w:spacing w:val="17"/>
          <w:sz w:val="16"/>
        </w:rPr>
        <w:t> </w:t>
      </w:r>
      <w:r>
        <w:rPr>
          <w:sz w:val="16"/>
        </w:rPr>
        <w:t>a</w:t>
      </w:r>
      <w:r>
        <w:rPr>
          <w:spacing w:val="16"/>
          <w:sz w:val="16"/>
        </w:rPr>
        <w:t> </w:t>
      </w:r>
      <w:r>
        <w:rPr>
          <w:sz w:val="16"/>
        </w:rPr>
        <w:t>la</w:t>
      </w:r>
      <w:r>
        <w:rPr>
          <w:spacing w:val="16"/>
          <w:sz w:val="16"/>
        </w:rPr>
        <w:t> </w:t>
      </w:r>
      <w:r>
        <w:rPr>
          <w:sz w:val="16"/>
        </w:rPr>
        <w:t>Comisión</w:t>
      </w:r>
      <w:r>
        <w:rPr>
          <w:spacing w:val="16"/>
          <w:sz w:val="16"/>
        </w:rPr>
        <w:t> </w:t>
      </w:r>
      <w:r>
        <w:rPr>
          <w:sz w:val="16"/>
        </w:rPr>
        <w:t>de</w:t>
      </w:r>
      <w:r>
        <w:rPr>
          <w:spacing w:val="17"/>
          <w:sz w:val="16"/>
        </w:rPr>
        <w:t> </w:t>
      </w:r>
      <w:r>
        <w:rPr>
          <w:sz w:val="16"/>
        </w:rPr>
        <w:t>19</w:t>
      </w:r>
      <w:r>
        <w:rPr>
          <w:spacing w:val="18"/>
          <w:sz w:val="16"/>
        </w:rPr>
        <w:t> </w:t>
      </w:r>
      <w:r>
        <w:rPr>
          <w:sz w:val="16"/>
        </w:rPr>
        <w:t>de</w:t>
      </w:r>
      <w:r>
        <w:rPr>
          <w:spacing w:val="17"/>
          <w:sz w:val="16"/>
        </w:rPr>
        <w:t> </w:t>
      </w:r>
      <w:r>
        <w:rPr>
          <w:sz w:val="16"/>
        </w:rPr>
        <w:t>septiembre</w:t>
      </w:r>
      <w:r>
        <w:rPr>
          <w:spacing w:val="14"/>
          <w:sz w:val="16"/>
        </w:rPr>
        <w:t> </w:t>
      </w:r>
      <w:r>
        <w:rPr>
          <w:sz w:val="16"/>
        </w:rPr>
        <w:t>de</w:t>
      </w:r>
      <w:r>
        <w:rPr>
          <w:spacing w:val="14"/>
          <w:sz w:val="16"/>
        </w:rPr>
        <w:t> </w:t>
      </w:r>
      <w:r>
        <w:rPr>
          <w:sz w:val="16"/>
        </w:rPr>
        <w:t>2001.</w:t>
      </w:r>
      <w:r>
        <w:rPr>
          <w:spacing w:val="16"/>
          <w:sz w:val="16"/>
        </w:rPr>
        <w:t> </w:t>
      </w:r>
      <w:r>
        <w:rPr>
          <w:sz w:val="16"/>
        </w:rPr>
        <w:t>Expediente</w:t>
      </w:r>
      <w:r>
        <w:rPr>
          <w:spacing w:val="14"/>
          <w:sz w:val="16"/>
        </w:rPr>
        <w:t> </w:t>
      </w:r>
      <w:r>
        <w:rPr>
          <w:sz w:val="16"/>
        </w:rPr>
        <w:t>de</w:t>
      </w:r>
      <w:r>
        <w:rPr>
          <w:spacing w:val="17"/>
          <w:sz w:val="16"/>
        </w:rPr>
        <w:t> </w:t>
      </w:r>
      <w:r>
        <w:rPr>
          <w:sz w:val="16"/>
        </w:rPr>
        <w:t>prueba,</w:t>
      </w:r>
      <w:r>
        <w:rPr>
          <w:w w:val="100"/>
          <w:sz w:val="16"/>
        </w:rPr>
        <w:t> </w:t>
      </w:r>
      <w:r>
        <w:rPr>
          <w:sz w:val="16"/>
        </w:rPr>
        <w:t>anexo C.8 al escrito de solicitudes y argumentos, fs. 30.141 a</w:t>
      </w:r>
      <w:r>
        <w:rPr>
          <w:spacing w:val="-21"/>
          <w:sz w:val="16"/>
        </w:rPr>
        <w:t> </w:t>
      </w:r>
      <w:r>
        <w:rPr>
          <w:sz w:val="16"/>
        </w:rPr>
        <w:t>30.168.</w:t>
      </w:r>
    </w:p>
    <w:p>
      <w:pPr>
        <w:pStyle w:val="BodyText"/>
        <w:spacing w:before="12"/>
        <w:rPr>
          <w:sz w:val="15"/>
        </w:rPr>
      </w:pPr>
    </w:p>
    <w:p>
      <w:pPr>
        <w:tabs>
          <w:tab w:pos="829" w:val="left" w:leader="none"/>
        </w:tabs>
        <w:spacing w:before="0"/>
        <w:ind w:left="122" w:right="117" w:firstLine="0"/>
        <w:jc w:val="both"/>
        <w:rPr>
          <w:sz w:val="16"/>
        </w:rPr>
      </w:pPr>
      <w:r>
        <w:rPr>
          <w:position w:val="6"/>
          <w:sz w:val="10"/>
        </w:rPr>
        <w:t>60</w:t>
        <w:tab/>
      </w:r>
      <w:r>
        <w:rPr>
          <w:i/>
          <w:sz w:val="16"/>
        </w:rPr>
        <w:t>Cfr.</w:t>
      </w:r>
      <w:r>
        <w:rPr>
          <w:i/>
          <w:spacing w:val="-14"/>
          <w:sz w:val="16"/>
        </w:rPr>
        <w:t> </w:t>
      </w:r>
      <w:r>
        <w:rPr>
          <w:sz w:val="16"/>
        </w:rPr>
        <w:t>Decreto</w:t>
      </w:r>
      <w:r>
        <w:rPr>
          <w:spacing w:val="-15"/>
          <w:sz w:val="16"/>
        </w:rPr>
        <w:t> </w:t>
      </w:r>
      <w:r>
        <w:rPr>
          <w:sz w:val="16"/>
        </w:rPr>
        <w:t>339/01</w:t>
      </w:r>
      <w:r>
        <w:rPr>
          <w:spacing w:val="-12"/>
          <w:sz w:val="16"/>
        </w:rPr>
        <w:t> </w:t>
      </w:r>
      <w:r>
        <w:rPr>
          <w:sz w:val="16"/>
        </w:rPr>
        <w:t>de</w:t>
      </w:r>
      <w:r>
        <w:rPr>
          <w:spacing w:val="-13"/>
          <w:sz w:val="16"/>
        </w:rPr>
        <w:t> </w:t>
      </w:r>
      <w:r>
        <w:rPr>
          <w:sz w:val="16"/>
        </w:rPr>
        <w:t>Salta</w:t>
      </w:r>
      <w:r>
        <w:rPr>
          <w:spacing w:val="-14"/>
          <w:sz w:val="16"/>
        </w:rPr>
        <w:t> </w:t>
      </w:r>
      <w:r>
        <w:rPr>
          <w:sz w:val="16"/>
        </w:rPr>
        <w:t>(expediente</w:t>
      </w:r>
      <w:r>
        <w:rPr>
          <w:spacing w:val="-13"/>
          <w:sz w:val="16"/>
        </w:rPr>
        <w:t> </w:t>
      </w:r>
      <w:r>
        <w:rPr>
          <w:sz w:val="16"/>
        </w:rPr>
        <w:t>de</w:t>
      </w:r>
      <w:r>
        <w:rPr>
          <w:spacing w:val="-13"/>
          <w:sz w:val="16"/>
        </w:rPr>
        <w:t> </w:t>
      </w:r>
      <w:r>
        <w:rPr>
          <w:sz w:val="16"/>
        </w:rPr>
        <w:t>prueba,</w:t>
      </w:r>
      <w:r>
        <w:rPr>
          <w:spacing w:val="-14"/>
          <w:sz w:val="16"/>
        </w:rPr>
        <w:t> </w:t>
      </w:r>
      <w:r>
        <w:rPr>
          <w:sz w:val="16"/>
        </w:rPr>
        <w:t>anexo</w:t>
      </w:r>
      <w:r>
        <w:rPr>
          <w:spacing w:val="-17"/>
          <w:sz w:val="16"/>
        </w:rPr>
        <w:t> </w:t>
      </w:r>
      <w:r>
        <w:rPr>
          <w:sz w:val="16"/>
        </w:rPr>
        <w:t>C.9</w:t>
      </w:r>
      <w:r>
        <w:rPr>
          <w:spacing w:val="-12"/>
          <w:sz w:val="16"/>
        </w:rPr>
        <w:t> </w:t>
      </w:r>
      <w:r>
        <w:rPr>
          <w:sz w:val="16"/>
        </w:rPr>
        <w:t>al</w:t>
      </w:r>
      <w:r>
        <w:rPr>
          <w:spacing w:val="-14"/>
          <w:sz w:val="16"/>
        </w:rPr>
        <w:t> </w:t>
      </w:r>
      <w:r>
        <w:rPr>
          <w:sz w:val="16"/>
        </w:rPr>
        <w:t>escrito</w:t>
      </w:r>
      <w:r>
        <w:rPr>
          <w:spacing w:val="-15"/>
          <w:sz w:val="16"/>
        </w:rPr>
        <w:t> </w:t>
      </w:r>
      <w:r>
        <w:rPr>
          <w:sz w:val="16"/>
        </w:rPr>
        <w:t>de</w:t>
      </w:r>
      <w:r>
        <w:rPr>
          <w:spacing w:val="-13"/>
          <w:sz w:val="16"/>
        </w:rPr>
        <w:t> </w:t>
      </w:r>
      <w:r>
        <w:rPr>
          <w:sz w:val="16"/>
        </w:rPr>
        <w:t>solicitudes</w:t>
      </w:r>
      <w:r>
        <w:rPr>
          <w:spacing w:val="-15"/>
          <w:sz w:val="16"/>
        </w:rPr>
        <w:t> </w:t>
      </w:r>
      <w:r>
        <w:rPr>
          <w:sz w:val="16"/>
        </w:rPr>
        <w:t>y</w:t>
      </w:r>
      <w:r>
        <w:rPr>
          <w:spacing w:val="-12"/>
          <w:sz w:val="16"/>
        </w:rPr>
        <w:t> </w:t>
      </w:r>
      <w:r>
        <w:rPr>
          <w:sz w:val="16"/>
        </w:rPr>
        <w:t>argumentos,</w:t>
      </w:r>
      <w:r>
        <w:rPr>
          <w:w w:val="100"/>
          <w:sz w:val="16"/>
        </w:rPr>
        <w:t> </w:t>
      </w:r>
      <w:r>
        <w:rPr>
          <w:sz w:val="16"/>
        </w:rPr>
        <w:t>fs. 30.169 a 30.171) y nota a la Comisión de 19 de julio de</w:t>
      </w:r>
      <w:r>
        <w:rPr>
          <w:spacing w:val="-25"/>
          <w:sz w:val="16"/>
        </w:rPr>
        <w:t> </w:t>
      </w:r>
      <w:r>
        <w:rPr>
          <w:sz w:val="16"/>
        </w:rPr>
        <w:t>2001.</w:t>
      </w:r>
    </w:p>
    <w:p>
      <w:pPr>
        <w:pStyle w:val="BodyText"/>
        <w:spacing w:before="12"/>
        <w:rPr>
          <w:sz w:val="15"/>
        </w:rPr>
      </w:pPr>
    </w:p>
    <w:p>
      <w:pPr>
        <w:tabs>
          <w:tab w:pos="829" w:val="left" w:leader="none"/>
        </w:tabs>
        <w:spacing w:before="0"/>
        <w:ind w:left="122" w:right="117" w:firstLine="0"/>
        <w:jc w:val="both"/>
        <w:rPr>
          <w:sz w:val="16"/>
        </w:rPr>
      </w:pPr>
      <w:r>
        <w:rPr>
          <w:position w:val="6"/>
          <w:sz w:val="10"/>
        </w:rPr>
        <w:t>61</w:t>
        <w:tab/>
      </w:r>
      <w:r>
        <w:rPr>
          <w:i/>
          <w:sz w:val="16"/>
        </w:rPr>
        <w:t>Cfr.</w:t>
      </w:r>
      <w:r>
        <w:rPr>
          <w:i/>
          <w:spacing w:val="-11"/>
          <w:sz w:val="16"/>
        </w:rPr>
        <w:t> </w:t>
      </w:r>
      <w:r>
        <w:rPr>
          <w:sz w:val="16"/>
        </w:rPr>
        <w:t>Comunicación</w:t>
      </w:r>
      <w:r>
        <w:rPr>
          <w:spacing w:val="-12"/>
          <w:sz w:val="16"/>
        </w:rPr>
        <w:t> </w:t>
      </w:r>
      <w:r>
        <w:rPr>
          <w:sz w:val="16"/>
        </w:rPr>
        <w:t>de</w:t>
      </w:r>
      <w:r>
        <w:rPr>
          <w:spacing w:val="-10"/>
          <w:sz w:val="16"/>
        </w:rPr>
        <w:t> </w:t>
      </w:r>
      <w:r>
        <w:rPr>
          <w:sz w:val="16"/>
        </w:rPr>
        <w:t>Lhaka</w:t>
      </w:r>
      <w:r>
        <w:rPr>
          <w:spacing w:val="-11"/>
          <w:sz w:val="16"/>
        </w:rPr>
        <w:t> </w:t>
      </w:r>
      <w:r>
        <w:rPr>
          <w:sz w:val="16"/>
        </w:rPr>
        <w:t>Honhat</w:t>
      </w:r>
      <w:r>
        <w:rPr>
          <w:spacing w:val="-12"/>
          <w:sz w:val="16"/>
        </w:rPr>
        <w:t> </w:t>
      </w:r>
      <w:r>
        <w:rPr>
          <w:sz w:val="16"/>
        </w:rPr>
        <w:t>a</w:t>
      </w:r>
      <w:r>
        <w:rPr>
          <w:spacing w:val="-11"/>
          <w:sz w:val="16"/>
        </w:rPr>
        <w:t> </w:t>
      </w:r>
      <w:r>
        <w:rPr>
          <w:sz w:val="16"/>
        </w:rPr>
        <w:t>la</w:t>
      </w:r>
      <w:r>
        <w:rPr>
          <w:spacing w:val="-11"/>
          <w:sz w:val="16"/>
        </w:rPr>
        <w:t> </w:t>
      </w:r>
      <w:r>
        <w:rPr>
          <w:sz w:val="16"/>
        </w:rPr>
        <w:t>Comisión</w:t>
      </w:r>
      <w:r>
        <w:rPr>
          <w:spacing w:val="-12"/>
          <w:sz w:val="16"/>
        </w:rPr>
        <w:t> </w:t>
      </w:r>
      <w:r>
        <w:rPr>
          <w:sz w:val="16"/>
        </w:rPr>
        <w:t>de</w:t>
      </w:r>
      <w:r>
        <w:rPr>
          <w:spacing w:val="-10"/>
          <w:sz w:val="16"/>
        </w:rPr>
        <w:t> </w:t>
      </w:r>
      <w:r>
        <w:rPr>
          <w:sz w:val="16"/>
        </w:rPr>
        <w:t>26</w:t>
      </w:r>
      <w:r>
        <w:rPr>
          <w:spacing w:val="-12"/>
          <w:sz w:val="16"/>
        </w:rPr>
        <w:t> </w:t>
      </w:r>
      <w:r>
        <w:rPr>
          <w:sz w:val="16"/>
        </w:rPr>
        <w:t>de</w:t>
      </w:r>
      <w:r>
        <w:rPr>
          <w:spacing w:val="-13"/>
          <w:sz w:val="16"/>
        </w:rPr>
        <w:t> </w:t>
      </w:r>
      <w:r>
        <w:rPr>
          <w:sz w:val="16"/>
        </w:rPr>
        <w:t>diciembre</w:t>
      </w:r>
      <w:r>
        <w:rPr>
          <w:spacing w:val="-13"/>
          <w:sz w:val="16"/>
        </w:rPr>
        <w:t> </w:t>
      </w:r>
      <w:r>
        <w:rPr>
          <w:sz w:val="16"/>
        </w:rPr>
        <w:t>de</w:t>
      </w:r>
      <w:r>
        <w:rPr>
          <w:spacing w:val="-13"/>
          <w:sz w:val="16"/>
        </w:rPr>
        <w:t> </w:t>
      </w:r>
      <w:r>
        <w:rPr>
          <w:sz w:val="16"/>
        </w:rPr>
        <w:t>2001.</w:t>
      </w:r>
      <w:r>
        <w:rPr>
          <w:spacing w:val="-12"/>
          <w:sz w:val="16"/>
        </w:rPr>
        <w:t> </w:t>
      </w:r>
      <w:r>
        <w:rPr>
          <w:sz w:val="16"/>
        </w:rPr>
        <w:t>Expediente</w:t>
      </w:r>
      <w:r>
        <w:rPr>
          <w:spacing w:val="-13"/>
          <w:sz w:val="16"/>
        </w:rPr>
        <w:t> </w:t>
      </w:r>
      <w:r>
        <w:rPr>
          <w:sz w:val="16"/>
        </w:rPr>
        <w:t>de</w:t>
      </w:r>
      <w:r>
        <w:rPr>
          <w:spacing w:val="-10"/>
          <w:sz w:val="16"/>
        </w:rPr>
        <w:t> </w:t>
      </w:r>
      <w:r>
        <w:rPr>
          <w:sz w:val="16"/>
        </w:rPr>
        <w:t>prueba,</w:t>
      </w:r>
      <w:r>
        <w:rPr>
          <w:w w:val="100"/>
          <w:sz w:val="16"/>
        </w:rPr>
        <w:t> </w:t>
      </w:r>
      <w:r>
        <w:rPr>
          <w:sz w:val="16"/>
        </w:rPr>
        <w:t>anexo C.11 a escrito de solicitudes y argumentos, fs. 30.212 a</w:t>
      </w:r>
      <w:r>
        <w:rPr>
          <w:spacing w:val="-23"/>
          <w:sz w:val="16"/>
        </w:rPr>
        <w:t> </w:t>
      </w:r>
      <w:r>
        <w:rPr>
          <w:sz w:val="16"/>
        </w:rPr>
        <w:t>30.213.</w:t>
      </w:r>
    </w:p>
    <w:p>
      <w:pPr>
        <w:pStyle w:val="BodyText"/>
        <w:spacing w:before="12"/>
        <w:rPr>
          <w:sz w:val="15"/>
        </w:rPr>
      </w:pPr>
    </w:p>
    <w:p>
      <w:pPr>
        <w:tabs>
          <w:tab w:pos="829" w:val="left" w:leader="none"/>
        </w:tabs>
        <w:spacing w:before="0"/>
        <w:ind w:left="122" w:right="113" w:firstLine="0"/>
        <w:jc w:val="both"/>
        <w:rPr>
          <w:sz w:val="16"/>
        </w:rPr>
      </w:pPr>
      <w:r>
        <w:rPr>
          <w:position w:val="6"/>
          <w:sz w:val="10"/>
        </w:rPr>
        <w:t>62</w:t>
        <w:tab/>
      </w:r>
      <w:r>
        <w:rPr>
          <w:i/>
          <w:sz w:val="16"/>
        </w:rPr>
        <w:t>Cfr. </w:t>
      </w:r>
      <w:r>
        <w:rPr>
          <w:sz w:val="16"/>
        </w:rPr>
        <w:t>Acta de eunión de 4 de junio de 2004; carta adjunta a la comunicación de los peticionarios </w:t>
      </w:r>
      <w:r>
        <w:rPr>
          <w:spacing w:val="7"/>
          <w:sz w:val="16"/>
        </w:rPr>
        <w:t> </w:t>
      </w:r>
      <w:r>
        <w:rPr>
          <w:sz w:val="16"/>
        </w:rPr>
        <w:t>a</w:t>
      </w:r>
      <w:r>
        <w:rPr>
          <w:spacing w:val="4"/>
          <w:sz w:val="16"/>
        </w:rPr>
        <w:t> </w:t>
      </w:r>
      <w:r>
        <w:rPr>
          <w:sz w:val="16"/>
        </w:rPr>
        <w:t>la</w:t>
      </w:r>
      <w:r>
        <w:rPr>
          <w:w w:val="100"/>
          <w:sz w:val="16"/>
        </w:rPr>
        <w:t> </w:t>
      </w:r>
      <w:r>
        <w:rPr>
          <w:sz w:val="16"/>
        </w:rPr>
        <w:t>Comisión,</w:t>
      </w:r>
      <w:r>
        <w:rPr>
          <w:spacing w:val="-11"/>
          <w:sz w:val="16"/>
        </w:rPr>
        <w:t> </w:t>
      </w:r>
      <w:r>
        <w:rPr>
          <w:sz w:val="16"/>
        </w:rPr>
        <w:t>recibida</w:t>
      </w:r>
      <w:r>
        <w:rPr>
          <w:spacing w:val="-10"/>
          <w:sz w:val="16"/>
        </w:rPr>
        <w:t> </w:t>
      </w:r>
      <w:r>
        <w:rPr>
          <w:sz w:val="16"/>
        </w:rPr>
        <w:t>el</w:t>
      </w:r>
      <w:r>
        <w:rPr>
          <w:spacing w:val="-11"/>
          <w:sz w:val="16"/>
        </w:rPr>
        <w:t> </w:t>
      </w:r>
      <w:r>
        <w:rPr>
          <w:sz w:val="16"/>
        </w:rPr>
        <w:t>26</w:t>
      </w:r>
      <w:r>
        <w:rPr>
          <w:spacing w:val="-9"/>
          <w:sz w:val="16"/>
        </w:rPr>
        <w:t> </w:t>
      </w:r>
      <w:r>
        <w:rPr>
          <w:sz w:val="16"/>
        </w:rPr>
        <w:t>de</w:t>
      </w:r>
      <w:r>
        <w:rPr>
          <w:spacing w:val="-7"/>
          <w:sz w:val="16"/>
        </w:rPr>
        <w:t> </w:t>
      </w:r>
      <w:r>
        <w:rPr>
          <w:sz w:val="16"/>
        </w:rPr>
        <w:t>julio</w:t>
      </w:r>
      <w:r>
        <w:rPr>
          <w:spacing w:val="-9"/>
          <w:sz w:val="16"/>
        </w:rPr>
        <w:t> </w:t>
      </w:r>
      <w:r>
        <w:rPr>
          <w:sz w:val="16"/>
        </w:rPr>
        <w:t>de</w:t>
      </w:r>
      <w:r>
        <w:rPr>
          <w:spacing w:val="-12"/>
          <w:sz w:val="16"/>
        </w:rPr>
        <w:t> </w:t>
      </w:r>
      <w:r>
        <w:rPr>
          <w:sz w:val="16"/>
        </w:rPr>
        <w:t>2002;</w:t>
      </w:r>
      <w:r>
        <w:rPr>
          <w:spacing w:val="-9"/>
          <w:sz w:val="16"/>
        </w:rPr>
        <w:t> </w:t>
      </w:r>
      <w:r>
        <w:rPr>
          <w:sz w:val="16"/>
        </w:rPr>
        <w:t>nota</w:t>
      </w:r>
      <w:r>
        <w:rPr>
          <w:spacing w:val="-10"/>
          <w:sz w:val="16"/>
        </w:rPr>
        <w:t> </w:t>
      </w:r>
      <w:r>
        <w:rPr>
          <w:sz w:val="16"/>
        </w:rPr>
        <w:t>a</w:t>
      </w:r>
      <w:r>
        <w:rPr>
          <w:spacing w:val="-10"/>
          <w:sz w:val="16"/>
        </w:rPr>
        <w:t> </w:t>
      </w:r>
      <w:r>
        <w:rPr>
          <w:sz w:val="16"/>
        </w:rPr>
        <w:t>Cancillería</w:t>
      </w:r>
      <w:r>
        <w:rPr>
          <w:spacing w:val="-10"/>
          <w:sz w:val="16"/>
        </w:rPr>
        <w:t> </w:t>
      </w:r>
      <w:r>
        <w:rPr>
          <w:sz w:val="16"/>
        </w:rPr>
        <w:t>el</w:t>
      </w:r>
      <w:r>
        <w:rPr>
          <w:spacing w:val="-8"/>
          <w:sz w:val="16"/>
        </w:rPr>
        <w:t> </w:t>
      </w:r>
      <w:r>
        <w:rPr>
          <w:sz w:val="16"/>
        </w:rPr>
        <w:t>9</w:t>
      </w:r>
      <w:r>
        <w:rPr>
          <w:spacing w:val="-9"/>
          <w:sz w:val="16"/>
        </w:rPr>
        <w:t> </w:t>
      </w:r>
      <w:r>
        <w:rPr>
          <w:sz w:val="16"/>
        </w:rPr>
        <w:t>de</w:t>
      </w:r>
      <w:r>
        <w:rPr>
          <w:spacing w:val="-10"/>
          <w:sz w:val="16"/>
        </w:rPr>
        <w:t> </w:t>
      </w:r>
      <w:r>
        <w:rPr>
          <w:sz w:val="16"/>
        </w:rPr>
        <w:t>septiembre</w:t>
      </w:r>
      <w:r>
        <w:rPr>
          <w:spacing w:val="-10"/>
          <w:sz w:val="16"/>
        </w:rPr>
        <w:t> </w:t>
      </w:r>
      <w:r>
        <w:rPr>
          <w:sz w:val="16"/>
        </w:rPr>
        <w:t>de</w:t>
      </w:r>
      <w:r>
        <w:rPr>
          <w:spacing w:val="-12"/>
          <w:sz w:val="16"/>
        </w:rPr>
        <w:t> </w:t>
      </w:r>
      <w:r>
        <w:rPr>
          <w:sz w:val="16"/>
        </w:rPr>
        <w:t>2004;</w:t>
      </w:r>
      <w:r>
        <w:rPr>
          <w:spacing w:val="-8"/>
          <w:sz w:val="16"/>
        </w:rPr>
        <w:t> </w:t>
      </w:r>
      <w:r>
        <w:rPr>
          <w:sz w:val="16"/>
        </w:rPr>
        <w:t>comunicación</w:t>
      </w:r>
      <w:r>
        <w:rPr>
          <w:spacing w:val="-8"/>
          <w:sz w:val="16"/>
        </w:rPr>
        <w:t> </w:t>
      </w:r>
      <w:r>
        <w:rPr>
          <w:sz w:val="16"/>
        </w:rPr>
        <w:t>adjunta al informe de los peticionarios a la Comisión de 14 de noviembre de 2001; comunicación de Lhaka Honhat a la Comisión de 11 de septiembre de 2001; comunicación de los peticionarios a la Comisión, recibida el 8 </w:t>
      </w:r>
      <w:r>
        <w:rPr>
          <w:spacing w:val="-3"/>
          <w:sz w:val="16"/>
        </w:rPr>
        <w:t>de </w:t>
      </w:r>
      <w:r>
        <w:rPr>
          <w:sz w:val="16"/>
        </w:rPr>
        <w:t>julio de 2002, y nota a la Comisión de 8 de julio de 2002. Expediente de prueba, anexos C.23, C.26, C.11 y C.14 al escrito de solicitudes y argumentos, fs. 30.284 a 30.286; 30.298 y 30.299; 4.317; 30.211 a</w:t>
      </w:r>
      <w:r>
        <w:rPr>
          <w:spacing w:val="9"/>
          <w:sz w:val="16"/>
        </w:rPr>
        <w:t> </w:t>
      </w:r>
      <w:r>
        <w:rPr>
          <w:sz w:val="16"/>
        </w:rPr>
        <w:t>30.213;</w:t>
      </w:r>
    </w:p>
    <w:p>
      <w:pPr>
        <w:spacing w:before="0"/>
        <w:ind w:left="122" w:right="119" w:firstLine="0"/>
        <w:jc w:val="both"/>
        <w:rPr>
          <w:sz w:val="16"/>
        </w:rPr>
      </w:pPr>
      <w:r>
        <w:rPr>
          <w:sz w:val="16"/>
        </w:rPr>
        <w:t>5.087 y 30.224 a 30.228. Es relevante destacar que el 2 de agosto de 2002 el Decreto provincial 295/02 dispuso que quienes ocupaban los lotes 14 y 55 no deberían hacer cerramientos hasta la finalización del proceso de regularización.</w:t>
      </w:r>
    </w:p>
    <w:p>
      <w:pPr>
        <w:pStyle w:val="BodyText"/>
        <w:spacing w:before="12"/>
        <w:rPr>
          <w:sz w:val="15"/>
        </w:rPr>
      </w:pPr>
    </w:p>
    <w:p>
      <w:pPr>
        <w:tabs>
          <w:tab w:pos="829" w:val="left" w:leader="none"/>
        </w:tabs>
        <w:spacing w:before="0"/>
        <w:ind w:left="122" w:right="120" w:firstLine="0"/>
        <w:jc w:val="both"/>
        <w:rPr>
          <w:sz w:val="16"/>
        </w:rPr>
      </w:pPr>
      <w:r>
        <w:rPr>
          <w:position w:val="6"/>
          <w:sz w:val="10"/>
        </w:rPr>
        <w:t>63</w:t>
        <w:tab/>
      </w:r>
      <w:r>
        <w:rPr>
          <w:i/>
          <w:sz w:val="16"/>
        </w:rPr>
        <w:t>Cfr.</w:t>
      </w:r>
      <w:r>
        <w:rPr>
          <w:i/>
          <w:spacing w:val="19"/>
          <w:sz w:val="16"/>
        </w:rPr>
        <w:t> </w:t>
      </w:r>
      <w:r>
        <w:rPr>
          <w:sz w:val="16"/>
        </w:rPr>
        <w:t>Acta</w:t>
      </w:r>
      <w:r>
        <w:rPr>
          <w:spacing w:val="16"/>
          <w:sz w:val="16"/>
        </w:rPr>
        <w:t> </w:t>
      </w:r>
      <w:r>
        <w:rPr>
          <w:sz w:val="16"/>
        </w:rPr>
        <w:t>reunión</w:t>
      </w:r>
      <w:r>
        <w:rPr>
          <w:spacing w:val="16"/>
          <w:sz w:val="16"/>
        </w:rPr>
        <w:t> </w:t>
      </w:r>
      <w:r>
        <w:rPr>
          <w:sz w:val="16"/>
        </w:rPr>
        <w:t>5</w:t>
      </w:r>
      <w:r>
        <w:rPr>
          <w:spacing w:val="17"/>
          <w:sz w:val="16"/>
        </w:rPr>
        <w:t> </w:t>
      </w:r>
      <w:r>
        <w:rPr>
          <w:sz w:val="16"/>
        </w:rPr>
        <w:t>de</w:t>
      </w:r>
      <w:r>
        <w:rPr>
          <w:spacing w:val="19"/>
          <w:sz w:val="16"/>
        </w:rPr>
        <w:t> </w:t>
      </w:r>
      <w:r>
        <w:rPr>
          <w:sz w:val="16"/>
        </w:rPr>
        <w:t>agosto</w:t>
      </w:r>
      <w:r>
        <w:rPr>
          <w:spacing w:val="17"/>
          <w:sz w:val="16"/>
        </w:rPr>
        <w:t> </w:t>
      </w:r>
      <w:r>
        <w:rPr>
          <w:sz w:val="16"/>
        </w:rPr>
        <w:t>2002.</w:t>
      </w:r>
      <w:r>
        <w:rPr>
          <w:spacing w:val="18"/>
          <w:sz w:val="16"/>
        </w:rPr>
        <w:t> </w:t>
      </w:r>
      <w:r>
        <w:rPr>
          <w:sz w:val="16"/>
        </w:rPr>
        <w:t>Expediente</w:t>
      </w:r>
      <w:r>
        <w:rPr>
          <w:spacing w:val="17"/>
          <w:sz w:val="16"/>
        </w:rPr>
        <w:t> </w:t>
      </w:r>
      <w:r>
        <w:rPr>
          <w:sz w:val="16"/>
        </w:rPr>
        <w:t>de</w:t>
      </w:r>
      <w:r>
        <w:rPr>
          <w:spacing w:val="17"/>
          <w:sz w:val="16"/>
        </w:rPr>
        <w:t> </w:t>
      </w:r>
      <w:r>
        <w:rPr>
          <w:sz w:val="16"/>
        </w:rPr>
        <w:t>prueba,</w:t>
      </w:r>
      <w:r>
        <w:rPr>
          <w:spacing w:val="18"/>
          <w:sz w:val="16"/>
        </w:rPr>
        <w:t> </w:t>
      </w:r>
      <w:r>
        <w:rPr>
          <w:sz w:val="16"/>
        </w:rPr>
        <w:t>anexo</w:t>
      </w:r>
      <w:r>
        <w:rPr>
          <w:spacing w:val="17"/>
          <w:sz w:val="16"/>
        </w:rPr>
        <w:t> </w:t>
      </w:r>
      <w:r>
        <w:rPr>
          <w:sz w:val="16"/>
        </w:rPr>
        <w:t>C.16</w:t>
      </w:r>
      <w:r>
        <w:rPr>
          <w:spacing w:val="20"/>
          <w:sz w:val="16"/>
        </w:rPr>
        <w:t> </w:t>
      </w:r>
      <w:r>
        <w:rPr>
          <w:sz w:val="16"/>
        </w:rPr>
        <w:t>al</w:t>
      </w:r>
      <w:r>
        <w:rPr>
          <w:spacing w:val="16"/>
          <w:sz w:val="16"/>
        </w:rPr>
        <w:t> </w:t>
      </w:r>
      <w:r>
        <w:rPr>
          <w:sz w:val="16"/>
        </w:rPr>
        <w:t>escrito</w:t>
      </w:r>
      <w:r>
        <w:rPr>
          <w:spacing w:val="17"/>
          <w:sz w:val="16"/>
        </w:rPr>
        <w:t> </w:t>
      </w:r>
      <w:r>
        <w:rPr>
          <w:sz w:val="16"/>
        </w:rPr>
        <w:t>de</w:t>
      </w:r>
      <w:r>
        <w:rPr>
          <w:spacing w:val="17"/>
          <w:sz w:val="16"/>
        </w:rPr>
        <w:t> </w:t>
      </w:r>
      <w:r>
        <w:rPr>
          <w:sz w:val="16"/>
        </w:rPr>
        <w:t>solicitudes</w:t>
      </w:r>
      <w:r>
        <w:rPr>
          <w:spacing w:val="19"/>
          <w:sz w:val="16"/>
        </w:rPr>
        <w:t> </w:t>
      </w:r>
      <w:r>
        <w:rPr>
          <w:sz w:val="16"/>
        </w:rPr>
        <w:t>y</w:t>
      </w:r>
      <w:r>
        <w:rPr>
          <w:w w:val="100"/>
          <w:sz w:val="16"/>
        </w:rPr>
        <w:t> </w:t>
      </w:r>
      <w:r>
        <w:rPr>
          <w:sz w:val="16"/>
        </w:rPr>
        <w:t>argumentos, fs. 30.232 a</w:t>
      </w:r>
      <w:r>
        <w:rPr>
          <w:spacing w:val="-13"/>
          <w:sz w:val="16"/>
        </w:rPr>
        <w:t> </w:t>
      </w:r>
      <w:r>
        <w:rPr>
          <w:sz w:val="16"/>
        </w:rPr>
        <w:t>30.234.</w:t>
      </w:r>
    </w:p>
    <w:p>
      <w:pPr>
        <w:pStyle w:val="BodyText"/>
        <w:spacing w:before="11"/>
        <w:rPr>
          <w:sz w:val="15"/>
        </w:rPr>
      </w:pPr>
    </w:p>
    <w:p>
      <w:pPr>
        <w:tabs>
          <w:tab w:pos="829" w:val="left" w:leader="none"/>
        </w:tabs>
        <w:spacing w:line="240" w:lineRule="auto" w:before="1"/>
        <w:ind w:left="122" w:right="115" w:firstLine="0"/>
        <w:jc w:val="both"/>
        <w:rPr>
          <w:sz w:val="16"/>
        </w:rPr>
      </w:pPr>
      <w:r>
        <w:rPr>
          <w:position w:val="6"/>
          <w:sz w:val="10"/>
        </w:rPr>
        <w:t>64</w:t>
        <w:tab/>
      </w:r>
      <w:r>
        <w:rPr>
          <w:sz w:val="16"/>
        </w:rPr>
        <w:t>De acuerdo a los representantes, la Provincia manifestó su intención de hacer una </w:t>
      </w:r>
      <w:r>
        <w:rPr>
          <w:spacing w:val="19"/>
          <w:sz w:val="16"/>
        </w:rPr>
        <w:t> </w:t>
      </w:r>
      <w:r>
        <w:rPr>
          <w:sz w:val="16"/>
        </w:rPr>
        <w:t>consulta</w:t>
      </w:r>
      <w:r>
        <w:rPr>
          <w:spacing w:val="6"/>
          <w:sz w:val="16"/>
        </w:rPr>
        <w:t> </w:t>
      </w:r>
      <w:r>
        <w:rPr>
          <w:sz w:val="16"/>
        </w:rPr>
        <w:t>popular</w:t>
      </w:r>
      <w:r>
        <w:rPr>
          <w:w w:val="100"/>
          <w:sz w:val="16"/>
        </w:rPr>
        <w:t> </w:t>
      </w:r>
      <w:r>
        <w:rPr>
          <w:sz w:val="16"/>
        </w:rPr>
        <w:t>si</w:t>
      </w:r>
      <w:r>
        <w:rPr>
          <w:spacing w:val="-4"/>
          <w:sz w:val="16"/>
        </w:rPr>
        <w:t> </w:t>
      </w:r>
      <w:r>
        <w:rPr>
          <w:sz w:val="16"/>
        </w:rPr>
        <w:t>los</w:t>
      </w:r>
      <w:r>
        <w:rPr>
          <w:spacing w:val="-6"/>
          <w:sz w:val="16"/>
        </w:rPr>
        <w:t> </w:t>
      </w:r>
      <w:r>
        <w:rPr>
          <w:sz w:val="16"/>
        </w:rPr>
        <w:t>peticionarios</w:t>
      </w:r>
      <w:r>
        <w:rPr>
          <w:spacing w:val="-6"/>
          <w:sz w:val="16"/>
        </w:rPr>
        <w:t> </w:t>
      </w:r>
      <w:r>
        <w:rPr>
          <w:sz w:val="16"/>
        </w:rPr>
        <w:t>no</w:t>
      </w:r>
      <w:r>
        <w:rPr>
          <w:spacing w:val="-5"/>
          <w:sz w:val="16"/>
        </w:rPr>
        <w:t> </w:t>
      </w:r>
      <w:r>
        <w:rPr>
          <w:sz w:val="16"/>
        </w:rPr>
        <w:t>aceptaban</w:t>
      </w:r>
      <w:r>
        <w:rPr>
          <w:spacing w:val="-5"/>
          <w:sz w:val="16"/>
        </w:rPr>
        <w:t> </w:t>
      </w:r>
      <w:r>
        <w:rPr>
          <w:sz w:val="16"/>
        </w:rPr>
        <w:t>la</w:t>
      </w:r>
      <w:r>
        <w:rPr>
          <w:spacing w:val="-4"/>
          <w:sz w:val="16"/>
        </w:rPr>
        <w:t> </w:t>
      </w:r>
      <w:r>
        <w:rPr>
          <w:sz w:val="16"/>
        </w:rPr>
        <w:t>propuesta.</w:t>
      </w:r>
      <w:r>
        <w:rPr>
          <w:spacing w:val="-5"/>
          <w:sz w:val="16"/>
        </w:rPr>
        <w:t> </w:t>
      </w:r>
      <w:r>
        <w:rPr>
          <w:sz w:val="16"/>
        </w:rPr>
        <w:t>El</w:t>
      </w:r>
      <w:r>
        <w:rPr>
          <w:spacing w:val="-6"/>
          <w:sz w:val="16"/>
        </w:rPr>
        <w:t> </w:t>
      </w:r>
      <w:r>
        <w:rPr>
          <w:sz w:val="16"/>
        </w:rPr>
        <w:t>18</w:t>
      </w:r>
      <w:r>
        <w:rPr>
          <w:spacing w:val="-5"/>
          <w:sz w:val="16"/>
        </w:rPr>
        <w:t> </w:t>
      </w:r>
      <w:r>
        <w:rPr>
          <w:sz w:val="16"/>
        </w:rPr>
        <w:t>de</w:t>
      </w:r>
      <w:r>
        <w:rPr>
          <w:spacing w:val="-6"/>
          <w:sz w:val="16"/>
        </w:rPr>
        <w:t> </w:t>
      </w:r>
      <w:r>
        <w:rPr>
          <w:sz w:val="16"/>
        </w:rPr>
        <w:t>abril</w:t>
      </w:r>
      <w:r>
        <w:rPr>
          <w:spacing w:val="-4"/>
          <w:sz w:val="16"/>
        </w:rPr>
        <w:t> </w:t>
      </w:r>
      <w:r>
        <w:rPr>
          <w:sz w:val="16"/>
        </w:rPr>
        <w:t>de</w:t>
      </w:r>
      <w:r>
        <w:rPr>
          <w:spacing w:val="-7"/>
          <w:sz w:val="16"/>
        </w:rPr>
        <w:t> </w:t>
      </w:r>
      <w:r>
        <w:rPr>
          <w:sz w:val="16"/>
        </w:rPr>
        <w:t>2005</w:t>
      </w:r>
      <w:r>
        <w:rPr>
          <w:spacing w:val="-3"/>
          <w:sz w:val="16"/>
        </w:rPr>
        <w:t> </w:t>
      </w:r>
      <w:r>
        <w:rPr>
          <w:sz w:val="16"/>
        </w:rPr>
        <w:t>Lhaka</w:t>
      </w:r>
      <w:r>
        <w:rPr>
          <w:spacing w:val="-4"/>
          <w:sz w:val="16"/>
        </w:rPr>
        <w:t> </w:t>
      </w:r>
      <w:r>
        <w:rPr>
          <w:sz w:val="16"/>
        </w:rPr>
        <w:t>Honhat</w:t>
      </w:r>
      <w:r>
        <w:rPr>
          <w:spacing w:val="-5"/>
          <w:sz w:val="16"/>
        </w:rPr>
        <w:t> </w:t>
      </w:r>
      <w:r>
        <w:rPr>
          <w:sz w:val="16"/>
        </w:rPr>
        <w:t>recibió</w:t>
      </w:r>
      <w:r>
        <w:rPr>
          <w:spacing w:val="-3"/>
          <w:sz w:val="16"/>
        </w:rPr>
        <w:t> </w:t>
      </w:r>
      <w:r>
        <w:rPr>
          <w:sz w:val="16"/>
        </w:rPr>
        <w:t>una</w:t>
      </w:r>
      <w:r>
        <w:rPr>
          <w:spacing w:val="-6"/>
          <w:sz w:val="16"/>
        </w:rPr>
        <w:t> </w:t>
      </w:r>
      <w:r>
        <w:rPr>
          <w:sz w:val="16"/>
        </w:rPr>
        <w:t>nota</w:t>
      </w:r>
      <w:r>
        <w:rPr>
          <w:spacing w:val="-6"/>
          <w:sz w:val="16"/>
        </w:rPr>
        <w:t> </w:t>
      </w:r>
      <w:r>
        <w:rPr>
          <w:sz w:val="16"/>
        </w:rPr>
        <w:t>del</w:t>
      </w:r>
      <w:r>
        <w:rPr>
          <w:spacing w:val="-6"/>
          <w:sz w:val="16"/>
        </w:rPr>
        <w:t> </w:t>
      </w:r>
      <w:r>
        <w:rPr>
          <w:sz w:val="16"/>
        </w:rPr>
        <w:t>Fiscal de Estado de Salta, por intermedio de la Cancillería, en la que daba por concluida la participación de Salta en el proceso de solución amistosa y decía que se sometería a referéndum la propuesta sobre la distribución de tierras. (</w:t>
      </w:r>
      <w:r>
        <w:rPr>
          <w:i/>
          <w:sz w:val="16"/>
        </w:rPr>
        <w:t>Cfr. </w:t>
      </w:r>
      <w:r>
        <w:rPr>
          <w:sz w:val="16"/>
        </w:rPr>
        <w:t>Propuesta de la provincia de Salta presentada en la reunión de trabajo del 2 de marzo de 2005, acta</w:t>
      </w:r>
      <w:r>
        <w:rPr>
          <w:spacing w:val="-6"/>
          <w:sz w:val="16"/>
        </w:rPr>
        <w:t> </w:t>
      </w:r>
      <w:r>
        <w:rPr>
          <w:sz w:val="16"/>
        </w:rPr>
        <w:t>de</w:t>
      </w:r>
      <w:r>
        <w:rPr>
          <w:spacing w:val="-7"/>
          <w:sz w:val="16"/>
        </w:rPr>
        <w:t> </w:t>
      </w:r>
      <w:r>
        <w:rPr>
          <w:sz w:val="16"/>
        </w:rPr>
        <w:t>reunión</w:t>
      </w:r>
      <w:r>
        <w:rPr>
          <w:spacing w:val="-6"/>
          <w:sz w:val="16"/>
        </w:rPr>
        <w:t> </w:t>
      </w:r>
      <w:r>
        <w:rPr>
          <w:sz w:val="16"/>
        </w:rPr>
        <w:t>de</w:t>
      </w:r>
      <w:r>
        <w:rPr>
          <w:spacing w:val="-7"/>
          <w:sz w:val="16"/>
        </w:rPr>
        <w:t> </w:t>
      </w:r>
      <w:r>
        <w:rPr>
          <w:sz w:val="16"/>
        </w:rPr>
        <w:t>2</w:t>
      </w:r>
      <w:r>
        <w:rPr>
          <w:spacing w:val="-4"/>
          <w:sz w:val="16"/>
        </w:rPr>
        <w:t> </w:t>
      </w:r>
      <w:r>
        <w:rPr>
          <w:sz w:val="16"/>
        </w:rPr>
        <w:t>de</w:t>
      </w:r>
      <w:r>
        <w:rPr>
          <w:spacing w:val="-7"/>
          <w:sz w:val="16"/>
        </w:rPr>
        <w:t> </w:t>
      </w:r>
      <w:r>
        <w:rPr>
          <w:sz w:val="16"/>
        </w:rPr>
        <w:t>marzo</w:t>
      </w:r>
      <w:r>
        <w:rPr>
          <w:spacing w:val="-7"/>
          <w:sz w:val="16"/>
        </w:rPr>
        <w:t> </w:t>
      </w:r>
      <w:r>
        <w:rPr>
          <w:sz w:val="16"/>
        </w:rPr>
        <w:t>de</w:t>
      </w:r>
      <w:r>
        <w:rPr>
          <w:spacing w:val="-7"/>
          <w:sz w:val="16"/>
        </w:rPr>
        <w:t> </w:t>
      </w:r>
      <w:r>
        <w:rPr>
          <w:sz w:val="16"/>
        </w:rPr>
        <w:t>2005</w:t>
      </w:r>
      <w:r>
        <w:rPr>
          <w:spacing w:val="-4"/>
          <w:sz w:val="16"/>
        </w:rPr>
        <w:t> </w:t>
      </w:r>
      <w:r>
        <w:rPr>
          <w:sz w:val="16"/>
        </w:rPr>
        <w:t>y</w:t>
      </w:r>
      <w:r>
        <w:rPr>
          <w:spacing w:val="-4"/>
          <w:sz w:val="16"/>
        </w:rPr>
        <w:t> </w:t>
      </w:r>
      <w:r>
        <w:rPr>
          <w:sz w:val="16"/>
        </w:rPr>
        <w:t>nota</w:t>
      </w:r>
      <w:r>
        <w:rPr>
          <w:spacing w:val="-6"/>
          <w:sz w:val="16"/>
        </w:rPr>
        <w:t> </w:t>
      </w:r>
      <w:r>
        <w:rPr>
          <w:sz w:val="16"/>
        </w:rPr>
        <w:t>de</w:t>
      </w:r>
      <w:r>
        <w:rPr>
          <w:spacing w:val="-7"/>
          <w:sz w:val="16"/>
        </w:rPr>
        <w:t> </w:t>
      </w:r>
      <w:r>
        <w:rPr>
          <w:sz w:val="16"/>
        </w:rPr>
        <w:t>12</w:t>
      </w:r>
      <w:r>
        <w:rPr>
          <w:spacing w:val="-7"/>
          <w:sz w:val="16"/>
        </w:rPr>
        <w:t> </w:t>
      </w:r>
      <w:r>
        <w:rPr>
          <w:sz w:val="16"/>
        </w:rPr>
        <w:t>de</w:t>
      </w:r>
      <w:r>
        <w:rPr>
          <w:spacing w:val="-5"/>
          <w:sz w:val="16"/>
        </w:rPr>
        <w:t> </w:t>
      </w:r>
      <w:r>
        <w:rPr>
          <w:sz w:val="16"/>
        </w:rPr>
        <w:t>abril</w:t>
      </w:r>
      <w:r>
        <w:rPr>
          <w:spacing w:val="-8"/>
          <w:sz w:val="16"/>
        </w:rPr>
        <w:t> </w:t>
      </w:r>
      <w:r>
        <w:rPr>
          <w:sz w:val="16"/>
        </w:rPr>
        <w:t>de</w:t>
      </w:r>
      <w:r>
        <w:rPr>
          <w:spacing w:val="-7"/>
          <w:sz w:val="16"/>
        </w:rPr>
        <w:t> </w:t>
      </w:r>
      <w:r>
        <w:rPr>
          <w:sz w:val="16"/>
        </w:rPr>
        <w:t>2005.</w:t>
      </w:r>
      <w:r>
        <w:rPr>
          <w:spacing w:val="-4"/>
          <w:sz w:val="16"/>
        </w:rPr>
        <w:t> </w:t>
      </w:r>
      <w:r>
        <w:rPr>
          <w:sz w:val="16"/>
        </w:rPr>
        <w:t>Expediente</w:t>
      </w:r>
      <w:r>
        <w:rPr>
          <w:spacing w:val="-7"/>
          <w:sz w:val="16"/>
        </w:rPr>
        <w:t> </w:t>
      </w:r>
      <w:r>
        <w:rPr>
          <w:sz w:val="16"/>
        </w:rPr>
        <w:t>de</w:t>
      </w:r>
      <w:r>
        <w:rPr>
          <w:spacing w:val="-7"/>
          <w:sz w:val="16"/>
        </w:rPr>
        <w:t> </w:t>
      </w:r>
      <w:r>
        <w:rPr>
          <w:sz w:val="16"/>
        </w:rPr>
        <w:t>prueba,</w:t>
      </w:r>
      <w:r>
        <w:rPr>
          <w:spacing w:val="-6"/>
          <w:sz w:val="16"/>
        </w:rPr>
        <w:t> </w:t>
      </w:r>
      <w:r>
        <w:rPr>
          <w:sz w:val="16"/>
        </w:rPr>
        <w:t>anexos</w:t>
      </w:r>
      <w:r>
        <w:rPr>
          <w:spacing w:val="-7"/>
          <w:sz w:val="16"/>
        </w:rPr>
        <w:t> </w:t>
      </w:r>
      <w:r>
        <w:rPr>
          <w:sz w:val="16"/>
        </w:rPr>
        <w:t>D.1,</w:t>
      </w:r>
      <w:r>
        <w:rPr>
          <w:spacing w:val="-8"/>
          <w:sz w:val="16"/>
        </w:rPr>
        <w:t> </w:t>
      </w:r>
      <w:r>
        <w:rPr>
          <w:sz w:val="16"/>
        </w:rPr>
        <w:t>D.2 y D.5 al escrito de solicitudes y argumentos, fs. 30.317 a 30.370, 30.371 a 30.372 y 30.377 a</w:t>
      </w:r>
      <w:r>
        <w:rPr>
          <w:spacing w:val="-36"/>
          <w:sz w:val="16"/>
        </w:rPr>
        <w:t> </w:t>
      </w:r>
      <w:r>
        <w:rPr>
          <w:sz w:val="16"/>
        </w:rPr>
        <w:t>30.379.)</w:t>
      </w:r>
    </w:p>
    <w:p>
      <w:pPr>
        <w:spacing w:after="0" w:line="240" w:lineRule="auto"/>
        <w:jc w:val="both"/>
        <w:rPr>
          <w:sz w:val="16"/>
        </w:rPr>
        <w:sectPr>
          <w:pgSz w:w="12240" w:h="15840"/>
          <w:pgMar w:header="0" w:footer="1000" w:top="1340" w:bottom="1200" w:left="1580" w:right="1580"/>
        </w:sectPr>
      </w:pPr>
    </w:p>
    <w:p>
      <w:pPr>
        <w:pStyle w:val="ListParagraph"/>
        <w:numPr>
          <w:ilvl w:val="0"/>
          <w:numId w:val="19"/>
        </w:numPr>
        <w:tabs>
          <w:tab w:pos="830" w:val="left" w:leader="none"/>
        </w:tabs>
        <w:spacing w:line="237" w:lineRule="auto" w:before="163" w:after="0"/>
        <w:ind w:left="122" w:right="120" w:firstLine="0"/>
        <w:jc w:val="both"/>
        <w:rPr>
          <w:sz w:val="20"/>
        </w:rPr>
      </w:pPr>
      <w:r>
        <w:rPr>
          <w:sz w:val="20"/>
        </w:rPr>
        <w:t>El</w:t>
      </w:r>
      <w:r>
        <w:rPr>
          <w:spacing w:val="-8"/>
          <w:sz w:val="20"/>
        </w:rPr>
        <w:t> </w:t>
      </w:r>
      <w:r>
        <w:rPr>
          <w:sz w:val="20"/>
        </w:rPr>
        <w:t>10</w:t>
      </w:r>
      <w:r>
        <w:rPr>
          <w:spacing w:val="-7"/>
          <w:sz w:val="20"/>
        </w:rPr>
        <w:t> </w:t>
      </w:r>
      <w:r>
        <w:rPr>
          <w:sz w:val="20"/>
        </w:rPr>
        <w:t>de</w:t>
      </w:r>
      <w:r>
        <w:rPr>
          <w:spacing w:val="-9"/>
          <w:sz w:val="20"/>
        </w:rPr>
        <w:t> </w:t>
      </w:r>
      <w:r>
        <w:rPr>
          <w:sz w:val="20"/>
        </w:rPr>
        <w:t>mayo</w:t>
      </w:r>
      <w:r>
        <w:rPr>
          <w:spacing w:val="-9"/>
          <w:sz w:val="20"/>
        </w:rPr>
        <w:t> </w:t>
      </w:r>
      <w:r>
        <w:rPr>
          <w:sz w:val="20"/>
        </w:rPr>
        <w:t>de</w:t>
      </w:r>
      <w:r>
        <w:rPr>
          <w:spacing w:val="-9"/>
          <w:sz w:val="20"/>
        </w:rPr>
        <w:t> </w:t>
      </w:r>
      <w:r>
        <w:rPr>
          <w:sz w:val="20"/>
        </w:rPr>
        <w:t>2005</w:t>
      </w:r>
      <w:r>
        <w:rPr>
          <w:spacing w:val="-7"/>
          <w:sz w:val="20"/>
        </w:rPr>
        <w:t> </w:t>
      </w:r>
      <w:r>
        <w:rPr>
          <w:sz w:val="20"/>
        </w:rPr>
        <w:t>fue</w:t>
      </w:r>
      <w:r>
        <w:rPr>
          <w:spacing w:val="-9"/>
          <w:sz w:val="20"/>
        </w:rPr>
        <w:t> </w:t>
      </w:r>
      <w:r>
        <w:rPr>
          <w:sz w:val="20"/>
        </w:rPr>
        <w:t>publicado</w:t>
      </w:r>
      <w:r>
        <w:rPr>
          <w:spacing w:val="-8"/>
          <w:sz w:val="20"/>
        </w:rPr>
        <w:t> </w:t>
      </w:r>
      <w:r>
        <w:rPr>
          <w:sz w:val="20"/>
        </w:rPr>
        <w:t>el</w:t>
      </w:r>
      <w:r>
        <w:rPr>
          <w:spacing w:val="-4"/>
          <w:sz w:val="20"/>
        </w:rPr>
        <w:t> </w:t>
      </w:r>
      <w:r>
        <w:rPr>
          <w:sz w:val="20"/>
        </w:rPr>
        <w:t>Decreto</w:t>
      </w:r>
      <w:r>
        <w:rPr>
          <w:spacing w:val="-5"/>
          <w:sz w:val="20"/>
        </w:rPr>
        <w:t> </w:t>
      </w:r>
      <w:r>
        <w:rPr>
          <w:sz w:val="20"/>
        </w:rPr>
        <w:t>provincial</w:t>
      </w:r>
      <w:r>
        <w:rPr>
          <w:spacing w:val="-7"/>
          <w:sz w:val="20"/>
        </w:rPr>
        <w:t> </w:t>
      </w:r>
      <w:r>
        <w:rPr>
          <w:sz w:val="20"/>
        </w:rPr>
        <w:t>939/05,</w:t>
      </w:r>
      <w:r>
        <w:rPr>
          <w:spacing w:val="-8"/>
          <w:sz w:val="20"/>
        </w:rPr>
        <w:t> </w:t>
      </w:r>
      <w:r>
        <w:rPr>
          <w:sz w:val="20"/>
        </w:rPr>
        <w:t>por</w:t>
      </w:r>
      <w:r>
        <w:rPr>
          <w:spacing w:val="-7"/>
          <w:sz w:val="20"/>
        </w:rPr>
        <w:t> </w:t>
      </w:r>
      <w:r>
        <w:rPr>
          <w:sz w:val="20"/>
        </w:rPr>
        <w:t>medio</w:t>
      </w:r>
      <w:r>
        <w:rPr>
          <w:spacing w:val="-9"/>
          <w:sz w:val="20"/>
        </w:rPr>
        <w:t> </w:t>
      </w:r>
      <w:r>
        <w:rPr>
          <w:sz w:val="20"/>
        </w:rPr>
        <w:t>del cual se creó la “Unidad Ejecutora Provincial - UEP” con la finalidad de ser la autoridad encargada de ejecutar la propuesta de Salta de marzo de 2005, siendo una de sus funciones identificar la zona de ocupación tradicional y de traslado de criollos, así como verificar los acuerdos de</w:t>
      </w:r>
      <w:r>
        <w:rPr>
          <w:spacing w:val="-14"/>
          <w:sz w:val="20"/>
        </w:rPr>
        <w:t> </w:t>
      </w:r>
      <w:r>
        <w:rPr>
          <w:sz w:val="20"/>
        </w:rPr>
        <w:t>relocalización</w:t>
      </w:r>
      <w:r>
        <w:rPr>
          <w:rFonts w:ascii="Calibri" w:hAnsi="Calibri"/>
          <w:position w:val="8"/>
          <w:sz w:val="14"/>
        </w:rPr>
        <w:t>65</w:t>
      </w:r>
      <w:r>
        <w:rPr>
          <w:sz w:val="20"/>
        </w:rPr>
        <w:t>.</w:t>
      </w:r>
    </w:p>
    <w:p>
      <w:pPr>
        <w:pStyle w:val="BodyText"/>
        <w:spacing w:before="5"/>
        <w:rPr>
          <w:sz w:val="21"/>
        </w:rPr>
      </w:pPr>
    </w:p>
    <w:p>
      <w:pPr>
        <w:pStyle w:val="ListParagraph"/>
        <w:numPr>
          <w:ilvl w:val="0"/>
          <w:numId w:val="19"/>
        </w:numPr>
        <w:tabs>
          <w:tab w:pos="830" w:val="left" w:leader="none"/>
        </w:tabs>
        <w:spacing w:line="240" w:lineRule="auto" w:before="0" w:after="0"/>
        <w:ind w:left="122" w:right="119" w:firstLine="0"/>
        <w:jc w:val="both"/>
        <w:rPr>
          <w:sz w:val="20"/>
        </w:rPr>
      </w:pPr>
      <w:r>
        <w:rPr>
          <w:sz w:val="20"/>
        </w:rPr>
        <w:t>En marzo de 2005, en el marco del trámite internacional del caso ante la Comisión, Salta manifestó su intención de convocar un referéndum. Entre mayo y julio de ese año diversas entidades estatales nacionales manifestaron su oposición a la consulta</w:t>
      </w:r>
      <w:r>
        <w:rPr>
          <w:rFonts w:ascii="Calibri" w:hAnsi="Calibri"/>
          <w:position w:val="8"/>
          <w:sz w:val="14"/>
        </w:rPr>
        <w:t>66</w:t>
      </w:r>
      <w:r>
        <w:rPr>
          <w:sz w:val="20"/>
        </w:rPr>
        <w:t>. No obstante, el 25 de julio de 2005 se publicó la ley provincial 7.352. La misma convocó al referéndum, para que el conjunto de la población del Departamento Rivadavia</w:t>
      </w:r>
      <w:r>
        <w:rPr>
          <w:spacing w:val="-5"/>
          <w:sz w:val="20"/>
        </w:rPr>
        <w:t> </w:t>
      </w:r>
      <w:r>
        <w:rPr>
          <w:sz w:val="20"/>
        </w:rPr>
        <w:t>habilitada</w:t>
      </w:r>
      <w:r>
        <w:rPr>
          <w:spacing w:val="-5"/>
          <w:sz w:val="20"/>
        </w:rPr>
        <w:t> </w:t>
      </w:r>
      <w:r>
        <w:rPr>
          <w:sz w:val="20"/>
        </w:rPr>
        <w:t>a</w:t>
      </w:r>
      <w:r>
        <w:rPr>
          <w:spacing w:val="-5"/>
          <w:sz w:val="20"/>
        </w:rPr>
        <w:t> </w:t>
      </w:r>
      <w:r>
        <w:rPr>
          <w:sz w:val="20"/>
        </w:rPr>
        <w:t>sufragar</w:t>
      </w:r>
      <w:r>
        <w:rPr>
          <w:spacing w:val="-6"/>
          <w:sz w:val="20"/>
        </w:rPr>
        <w:t> </w:t>
      </w:r>
      <w:r>
        <w:rPr>
          <w:sz w:val="20"/>
        </w:rPr>
        <w:t>decidiera</w:t>
      </w:r>
      <w:r>
        <w:rPr>
          <w:spacing w:val="-5"/>
          <w:sz w:val="20"/>
        </w:rPr>
        <w:t> </w:t>
      </w:r>
      <w:r>
        <w:rPr>
          <w:sz w:val="20"/>
        </w:rPr>
        <w:t>sobre</w:t>
      </w:r>
      <w:r>
        <w:rPr>
          <w:spacing w:val="-7"/>
          <w:sz w:val="20"/>
        </w:rPr>
        <w:t> </w:t>
      </w:r>
      <w:r>
        <w:rPr>
          <w:sz w:val="20"/>
        </w:rPr>
        <w:t>la</w:t>
      </w:r>
      <w:r>
        <w:rPr>
          <w:spacing w:val="-5"/>
          <w:sz w:val="20"/>
        </w:rPr>
        <w:t> </w:t>
      </w:r>
      <w:r>
        <w:rPr>
          <w:sz w:val="20"/>
        </w:rPr>
        <w:t>“entreg[a]”</w:t>
      </w:r>
      <w:r>
        <w:rPr>
          <w:spacing w:val="-6"/>
          <w:sz w:val="20"/>
        </w:rPr>
        <w:t> </w:t>
      </w:r>
      <w:r>
        <w:rPr>
          <w:sz w:val="20"/>
        </w:rPr>
        <w:t>de</w:t>
      </w:r>
      <w:r>
        <w:rPr>
          <w:spacing w:val="-7"/>
          <w:sz w:val="20"/>
        </w:rPr>
        <w:t> </w:t>
      </w:r>
      <w:r>
        <w:rPr>
          <w:sz w:val="20"/>
        </w:rPr>
        <w:t>la</w:t>
      </w:r>
      <w:r>
        <w:rPr>
          <w:spacing w:val="-5"/>
          <w:sz w:val="20"/>
        </w:rPr>
        <w:t> </w:t>
      </w:r>
      <w:r>
        <w:rPr>
          <w:sz w:val="20"/>
        </w:rPr>
        <w:t>tierra</w:t>
      </w:r>
      <w:r>
        <w:rPr>
          <w:spacing w:val="-5"/>
          <w:sz w:val="20"/>
        </w:rPr>
        <w:t> </w:t>
      </w:r>
      <w:r>
        <w:rPr>
          <w:sz w:val="20"/>
        </w:rPr>
        <w:t>de</w:t>
      </w:r>
      <w:r>
        <w:rPr>
          <w:spacing w:val="-7"/>
          <w:sz w:val="20"/>
        </w:rPr>
        <w:t> </w:t>
      </w:r>
      <w:r>
        <w:rPr>
          <w:sz w:val="20"/>
        </w:rPr>
        <w:t>los</w:t>
      </w:r>
      <w:r>
        <w:rPr>
          <w:spacing w:val="-6"/>
          <w:sz w:val="20"/>
        </w:rPr>
        <w:t> </w:t>
      </w:r>
      <w:r>
        <w:rPr>
          <w:sz w:val="20"/>
        </w:rPr>
        <w:t>lotes</w:t>
      </w:r>
      <w:r>
        <w:rPr>
          <w:spacing w:val="-6"/>
          <w:sz w:val="20"/>
        </w:rPr>
        <w:t> </w:t>
      </w:r>
      <w:r>
        <w:rPr>
          <w:sz w:val="20"/>
        </w:rPr>
        <w:t>14 y 55. En términos precisos, la ley convocó “a los electores del departamento Rivadavia para que se expidieran respondiendo por sí o por no, sobre si e[ra] su voluntad que se entreg[aran] las tierras correspondientes a los lotes fiscales 55 y 14 a sus actuales ocupantes”. El 8 de octubre de 2005, los caciques pertenecientes a Lhaka Honhat firmaron una declaración pública pidiendo la suspensión del</w:t>
      </w:r>
      <w:r>
        <w:rPr>
          <w:spacing w:val="-23"/>
          <w:sz w:val="20"/>
        </w:rPr>
        <w:t> </w:t>
      </w:r>
      <w:r>
        <w:rPr>
          <w:sz w:val="20"/>
        </w:rPr>
        <w:t>referéndum</w:t>
      </w:r>
      <w:r>
        <w:rPr>
          <w:rFonts w:ascii="Calibri" w:hAnsi="Calibri"/>
          <w:position w:val="8"/>
          <w:sz w:val="14"/>
        </w:rPr>
        <w:t>67</w:t>
      </w:r>
      <w:r>
        <w:rPr>
          <w:sz w:val="20"/>
        </w:rPr>
        <w:t>.</w:t>
      </w:r>
    </w:p>
    <w:p>
      <w:pPr>
        <w:pStyle w:val="BodyText"/>
        <w:spacing w:before="9"/>
        <w:rPr>
          <w:sz w:val="21"/>
        </w:rPr>
      </w:pPr>
    </w:p>
    <w:p>
      <w:pPr>
        <w:pStyle w:val="ListParagraph"/>
        <w:numPr>
          <w:ilvl w:val="0"/>
          <w:numId w:val="19"/>
        </w:numPr>
        <w:tabs>
          <w:tab w:pos="830" w:val="left" w:leader="none"/>
        </w:tabs>
        <w:spacing w:line="237" w:lineRule="auto" w:before="0" w:after="0"/>
        <w:ind w:left="122" w:right="122" w:firstLine="0"/>
        <w:jc w:val="both"/>
        <w:rPr>
          <w:sz w:val="20"/>
        </w:rPr>
      </w:pPr>
      <w:r>
        <w:rPr>
          <w:sz w:val="20"/>
        </w:rPr>
        <w:t>El referéndum se llevó a cabo el 23 de octubre de 2005, junto con las</w:t>
      </w:r>
      <w:r>
        <w:rPr>
          <w:spacing w:val="-29"/>
          <w:sz w:val="20"/>
        </w:rPr>
        <w:t> </w:t>
      </w:r>
      <w:r>
        <w:rPr>
          <w:sz w:val="20"/>
        </w:rPr>
        <w:t>elecciones legislativas</w:t>
      </w:r>
      <w:r>
        <w:rPr>
          <w:spacing w:val="-7"/>
          <w:sz w:val="20"/>
        </w:rPr>
        <w:t> </w:t>
      </w:r>
      <w:r>
        <w:rPr>
          <w:sz w:val="20"/>
        </w:rPr>
        <w:t>provinciales</w:t>
      </w:r>
      <w:r>
        <w:rPr>
          <w:spacing w:val="-5"/>
          <w:sz w:val="20"/>
        </w:rPr>
        <w:t> </w:t>
      </w:r>
      <w:r>
        <w:rPr>
          <w:sz w:val="20"/>
        </w:rPr>
        <w:t>y</w:t>
      </w:r>
      <w:r>
        <w:rPr>
          <w:spacing w:val="-7"/>
          <w:sz w:val="20"/>
        </w:rPr>
        <w:t> </w:t>
      </w:r>
      <w:r>
        <w:rPr>
          <w:sz w:val="20"/>
        </w:rPr>
        <w:t>nacionales.</w:t>
      </w:r>
      <w:r>
        <w:rPr>
          <w:spacing w:val="-8"/>
          <w:sz w:val="20"/>
        </w:rPr>
        <w:t> </w:t>
      </w:r>
      <w:r>
        <w:rPr>
          <w:sz w:val="20"/>
        </w:rPr>
        <w:t>La</w:t>
      </w:r>
      <w:r>
        <w:rPr>
          <w:spacing w:val="-7"/>
          <w:sz w:val="20"/>
        </w:rPr>
        <w:t> </w:t>
      </w:r>
      <w:r>
        <w:rPr>
          <w:sz w:val="20"/>
        </w:rPr>
        <w:t>boleta</w:t>
      </w:r>
      <w:r>
        <w:rPr>
          <w:spacing w:val="-4"/>
          <w:sz w:val="20"/>
        </w:rPr>
        <w:t> </w:t>
      </w:r>
      <w:r>
        <w:rPr>
          <w:sz w:val="20"/>
        </w:rPr>
        <w:t>del</w:t>
      </w:r>
      <w:r>
        <w:rPr>
          <w:spacing w:val="-6"/>
          <w:sz w:val="20"/>
        </w:rPr>
        <w:t> </w:t>
      </w:r>
      <w:r>
        <w:rPr>
          <w:sz w:val="20"/>
        </w:rPr>
        <w:t>“Sí”</w:t>
      </w:r>
      <w:r>
        <w:rPr>
          <w:spacing w:val="-7"/>
          <w:sz w:val="20"/>
        </w:rPr>
        <w:t> </w:t>
      </w:r>
      <w:r>
        <w:rPr>
          <w:sz w:val="20"/>
        </w:rPr>
        <w:t>expresaba</w:t>
      </w:r>
      <w:r>
        <w:rPr>
          <w:spacing w:val="-6"/>
          <w:sz w:val="20"/>
        </w:rPr>
        <w:t> </w:t>
      </w:r>
      <w:r>
        <w:rPr>
          <w:sz w:val="20"/>
        </w:rPr>
        <w:t>la</w:t>
      </w:r>
      <w:r>
        <w:rPr>
          <w:spacing w:val="-6"/>
          <w:sz w:val="20"/>
        </w:rPr>
        <w:t> </w:t>
      </w:r>
      <w:r>
        <w:rPr>
          <w:sz w:val="20"/>
        </w:rPr>
        <w:t>“voluntad</w:t>
      </w:r>
      <w:r>
        <w:rPr>
          <w:spacing w:val="-6"/>
          <w:sz w:val="20"/>
        </w:rPr>
        <w:t> </w:t>
      </w:r>
      <w:r>
        <w:rPr>
          <w:sz w:val="20"/>
        </w:rPr>
        <w:t>[de]</w:t>
      </w:r>
      <w:r>
        <w:rPr>
          <w:spacing w:val="-6"/>
          <w:sz w:val="20"/>
        </w:rPr>
        <w:t> </w:t>
      </w:r>
      <w:r>
        <w:rPr>
          <w:sz w:val="20"/>
        </w:rPr>
        <w:t>que se entreg[aran] las tierras correspondientes a los lotes fiscales 55 y 14 a sus actuales ocupantes, tanto aborígenes como criollos, ejecutándose las obras de infraestructura necesarias”. El “Sí” resultó mayoritario, con un 98% de los</w:t>
      </w:r>
      <w:r>
        <w:rPr>
          <w:spacing w:val="-21"/>
          <w:sz w:val="20"/>
        </w:rPr>
        <w:t> </w:t>
      </w:r>
      <w:r>
        <w:rPr>
          <w:sz w:val="20"/>
        </w:rPr>
        <w:t>votos</w:t>
      </w:r>
      <w:r>
        <w:rPr>
          <w:rFonts w:ascii="Calibri" w:hAnsi="Calibri"/>
          <w:position w:val="8"/>
          <w:sz w:val="14"/>
        </w:rPr>
        <w:t>68</w:t>
      </w:r>
      <w:r>
        <w:rPr>
          <w:sz w:val="20"/>
        </w:rPr>
        <w:t>.</w:t>
      </w:r>
    </w:p>
    <w:p>
      <w:pPr>
        <w:pStyle w:val="BodyText"/>
      </w:pPr>
    </w:p>
    <w:p>
      <w:pPr>
        <w:pStyle w:val="BodyText"/>
      </w:pPr>
    </w:p>
    <w:p>
      <w:pPr>
        <w:pStyle w:val="BodyText"/>
        <w:spacing w:before="5"/>
        <w:rPr>
          <w:sz w:val="18"/>
        </w:rPr>
      </w:pPr>
      <w:r>
        <w:rPr/>
        <w:pict>
          <v:line style="position:absolute;mso-position-horizontal-relative:page;mso-position-vertical-relative:paragraph;z-index:1624;mso-wrap-distance-left:0;mso-wrap-distance-right:0" from="85.103996pt,13.538388pt" to="229.123996pt,13.538388pt" stroked="true" strokeweight=".72pt" strokecolor="#000000">
            <v:stroke dashstyle="solid"/>
            <w10:wrap type="topAndBottom"/>
          </v:line>
        </w:pict>
      </w:r>
    </w:p>
    <w:p>
      <w:pPr>
        <w:pStyle w:val="BodyText"/>
        <w:spacing w:before="7"/>
        <w:rPr>
          <w:sz w:val="13"/>
        </w:rPr>
      </w:pPr>
    </w:p>
    <w:p>
      <w:pPr>
        <w:tabs>
          <w:tab w:pos="829" w:val="left" w:leader="none"/>
        </w:tabs>
        <w:spacing w:before="101"/>
        <w:ind w:left="122" w:right="121" w:firstLine="0"/>
        <w:jc w:val="both"/>
        <w:rPr>
          <w:sz w:val="16"/>
        </w:rPr>
      </w:pPr>
      <w:r>
        <w:rPr>
          <w:position w:val="6"/>
          <w:sz w:val="10"/>
        </w:rPr>
        <w:t>65</w:t>
        <w:tab/>
      </w:r>
      <w:r>
        <w:rPr>
          <w:i/>
          <w:sz w:val="16"/>
        </w:rPr>
        <w:t>Cfr.</w:t>
      </w:r>
      <w:r>
        <w:rPr>
          <w:i/>
          <w:spacing w:val="11"/>
          <w:sz w:val="16"/>
        </w:rPr>
        <w:t> </w:t>
      </w:r>
      <w:r>
        <w:rPr>
          <w:sz w:val="16"/>
        </w:rPr>
        <w:t>Decreto</w:t>
      </w:r>
      <w:r>
        <w:rPr>
          <w:spacing w:val="10"/>
          <w:sz w:val="16"/>
        </w:rPr>
        <w:t> </w:t>
      </w:r>
      <w:r>
        <w:rPr>
          <w:sz w:val="16"/>
        </w:rPr>
        <w:t>939</w:t>
      </w:r>
      <w:r>
        <w:rPr>
          <w:spacing w:val="13"/>
          <w:sz w:val="16"/>
        </w:rPr>
        <w:t> </w:t>
      </w:r>
      <w:r>
        <w:rPr>
          <w:sz w:val="16"/>
        </w:rPr>
        <w:t>de</w:t>
      </w:r>
      <w:r>
        <w:rPr>
          <w:spacing w:val="10"/>
          <w:sz w:val="16"/>
        </w:rPr>
        <w:t> </w:t>
      </w:r>
      <w:r>
        <w:rPr>
          <w:sz w:val="16"/>
        </w:rPr>
        <w:t>Salta</w:t>
      </w:r>
      <w:r>
        <w:rPr>
          <w:spacing w:val="14"/>
          <w:sz w:val="16"/>
        </w:rPr>
        <w:t> </w:t>
      </w:r>
      <w:r>
        <w:rPr>
          <w:sz w:val="16"/>
        </w:rPr>
        <w:t>de</w:t>
      </w:r>
      <w:r>
        <w:rPr>
          <w:spacing w:val="10"/>
          <w:sz w:val="16"/>
        </w:rPr>
        <w:t> </w:t>
      </w:r>
      <w:r>
        <w:rPr>
          <w:sz w:val="16"/>
        </w:rPr>
        <w:t>10</w:t>
      </w:r>
      <w:r>
        <w:rPr>
          <w:spacing w:val="13"/>
          <w:sz w:val="16"/>
        </w:rPr>
        <w:t> </w:t>
      </w:r>
      <w:r>
        <w:rPr>
          <w:sz w:val="16"/>
        </w:rPr>
        <w:t>de</w:t>
      </w:r>
      <w:r>
        <w:rPr>
          <w:spacing w:val="12"/>
          <w:sz w:val="16"/>
        </w:rPr>
        <w:t> </w:t>
      </w:r>
      <w:r>
        <w:rPr>
          <w:sz w:val="16"/>
        </w:rPr>
        <w:t>mayo</w:t>
      </w:r>
      <w:r>
        <w:rPr>
          <w:spacing w:val="12"/>
          <w:sz w:val="16"/>
        </w:rPr>
        <w:t> </w:t>
      </w:r>
      <w:r>
        <w:rPr>
          <w:sz w:val="16"/>
        </w:rPr>
        <w:t>de</w:t>
      </w:r>
      <w:r>
        <w:rPr>
          <w:spacing w:val="12"/>
          <w:sz w:val="16"/>
        </w:rPr>
        <w:t> </w:t>
      </w:r>
      <w:r>
        <w:rPr>
          <w:sz w:val="16"/>
        </w:rPr>
        <w:t>2005.</w:t>
      </w:r>
      <w:r>
        <w:rPr>
          <w:spacing w:val="11"/>
          <w:sz w:val="16"/>
        </w:rPr>
        <w:t> </w:t>
      </w:r>
      <w:r>
        <w:rPr>
          <w:sz w:val="16"/>
        </w:rPr>
        <w:t>Expediente</w:t>
      </w:r>
      <w:r>
        <w:rPr>
          <w:spacing w:val="14"/>
          <w:sz w:val="16"/>
        </w:rPr>
        <w:t> </w:t>
      </w:r>
      <w:r>
        <w:rPr>
          <w:sz w:val="16"/>
        </w:rPr>
        <w:t>de</w:t>
      </w:r>
      <w:r>
        <w:rPr>
          <w:spacing w:val="12"/>
          <w:sz w:val="16"/>
        </w:rPr>
        <w:t> </w:t>
      </w:r>
      <w:r>
        <w:rPr>
          <w:sz w:val="16"/>
        </w:rPr>
        <w:t>prueba,</w:t>
      </w:r>
      <w:r>
        <w:rPr>
          <w:spacing w:val="13"/>
          <w:sz w:val="16"/>
        </w:rPr>
        <w:t> </w:t>
      </w:r>
      <w:r>
        <w:rPr>
          <w:sz w:val="16"/>
        </w:rPr>
        <w:t>anexo</w:t>
      </w:r>
      <w:r>
        <w:rPr>
          <w:spacing w:val="10"/>
          <w:sz w:val="16"/>
        </w:rPr>
        <w:t> </w:t>
      </w:r>
      <w:r>
        <w:rPr>
          <w:sz w:val="16"/>
        </w:rPr>
        <w:t>D.7</w:t>
      </w:r>
      <w:r>
        <w:rPr>
          <w:spacing w:val="13"/>
          <w:sz w:val="16"/>
        </w:rPr>
        <w:t> </w:t>
      </w:r>
      <w:r>
        <w:rPr>
          <w:sz w:val="16"/>
        </w:rPr>
        <w:t>al</w:t>
      </w:r>
      <w:r>
        <w:rPr>
          <w:spacing w:val="11"/>
          <w:sz w:val="16"/>
        </w:rPr>
        <w:t> </w:t>
      </w:r>
      <w:r>
        <w:rPr>
          <w:sz w:val="16"/>
        </w:rPr>
        <w:t>escrito</w:t>
      </w:r>
      <w:r>
        <w:rPr>
          <w:spacing w:val="13"/>
          <w:sz w:val="16"/>
        </w:rPr>
        <w:t> </w:t>
      </w:r>
      <w:r>
        <w:rPr>
          <w:sz w:val="16"/>
        </w:rPr>
        <w:t>de</w:t>
      </w:r>
      <w:r>
        <w:rPr>
          <w:w w:val="100"/>
          <w:sz w:val="16"/>
        </w:rPr>
        <w:t> </w:t>
      </w:r>
      <w:r>
        <w:rPr>
          <w:sz w:val="16"/>
        </w:rPr>
        <w:t>solicitudes y argumentos, fs. 30.384 a</w:t>
      </w:r>
      <w:r>
        <w:rPr>
          <w:spacing w:val="-13"/>
          <w:sz w:val="16"/>
        </w:rPr>
        <w:t> </w:t>
      </w:r>
      <w:r>
        <w:rPr>
          <w:sz w:val="16"/>
        </w:rPr>
        <w:t>30.391.</w:t>
      </w:r>
    </w:p>
    <w:p>
      <w:pPr>
        <w:pStyle w:val="BodyText"/>
        <w:rPr>
          <w:sz w:val="16"/>
        </w:rPr>
      </w:pPr>
    </w:p>
    <w:p>
      <w:pPr>
        <w:tabs>
          <w:tab w:pos="829" w:val="left" w:leader="none"/>
        </w:tabs>
        <w:spacing w:before="0"/>
        <w:ind w:left="122" w:right="112" w:firstLine="0"/>
        <w:jc w:val="both"/>
        <w:rPr>
          <w:sz w:val="16"/>
        </w:rPr>
      </w:pPr>
      <w:r>
        <w:rPr>
          <w:position w:val="6"/>
          <w:sz w:val="10"/>
        </w:rPr>
        <w:t>66</w:t>
        <w:tab/>
      </w:r>
      <w:r>
        <w:rPr>
          <w:sz w:val="16"/>
        </w:rPr>
        <w:t>En 2005, el 2 de mayo, el INAI solicitó al Gobierno de Salta la no realización del </w:t>
      </w:r>
      <w:r>
        <w:rPr>
          <w:spacing w:val="35"/>
          <w:sz w:val="16"/>
        </w:rPr>
        <w:t> </w:t>
      </w:r>
      <w:r>
        <w:rPr>
          <w:sz w:val="16"/>
        </w:rPr>
        <w:t>referéndum,</w:t>
      </w:r>
      <w:r>
        <w:rPr>
          <w:spacing w:val="4"/>
          <w:sz w:val="16"/>
        </w:rPr>
        <w:t> </w:t>
      </w:r>
      <w:r>
        <w:rPr>
          <w:sz w:val="16"/>
        </w:rPr>
        <w:t>“toda</w:t>
      </w:r>
      <w:r>
        <w:rPr>
          <w:w w:val="100"/>
          <w:sz w:val="16"/>
        </w:rPr>
        <w:t> </w:t>
      </w:r>
      <w:r>
        <w:rPr>
          <w:sz w:val="16"/>
        </w:rPr>
        <w:t>vez</w:t>
      </w:r>
      <w:r>
        <w:rPr>
          <w:spacing w:val="-12"/>
          <w:sz w:val="16"/>
        </w:rPr>
        <w:t> </w:t>
      </w:r>
      <w:r>
        <w:rPr>
          <w:sz w:val="16"/>
        </w:rPr>
        <w:t>que</w:t>
      </w:r>
      <w:r>
        <w:rPr>
          <w:spacing w:val="-9"/>
          <w:sz w:val="16"/>
        </w:rPr>
        <w:t> </w:t>
      </w:r>
      <w:r>
        <w:rPr>
          <w:sz w:val="16"/>
        </w:rPr>
        <w:t>constituía</w:t>
      </w:r>
      <w:r>
        <w:rPr>
          <w:spacing w:val="-10"/>
          <w:sz w:val="16"/>
        </w:rPr>
        <w:t> </w:t>
      </w:r>
      <w:r>
        <w:rPr>
          <w:sz w:val="16"/>
        </w:rPr>
        <w:t>una</w:t>
      </w:r>
      <w:r>
        <w:rPr>
          <w:spacing w:val="-10"/>
          <w:sz w:val="16"/>
        </w:rPr>
        <w:t> </w:t>
      </w:r>
      <w:r>
        <w:rPr>
          <w:sz w:val="16"/>
        </w:rPr>
        <w:t>medida</w:t>
      </w:r>
      <w:r>
        <w:rPr>
          <w:spacing w:val="-13"/>
          <w:sz w:val="16"/>
        </w:rPr>
        <w:t> </w:t>
      </w:r>
      <w:r>
        <w:rPr>
          <w:sz w:val="16"/>
        </w:rPr>
        <w:t>unilateral</w:t>
      </w:r>
      <w:r>
        <w:rPr>
          <w:spacing w:val="-11"/>
          <w:sz w:val="16"/>
        </w:rPr>
        <w:t> </w:t>
      </w:r>
      <w:r>
        <w:rPr>
          <w:sz w:val="16"/>
        </w:rPr>
        <w:t>que</w:t>
      </w:r>
      <w:r>
        <w:rPr>
          <w:spacing w:val="-9"/>
          <w:sz w:val="16"/>
        </w:rPr>
        <w:t> </w:t>
      </w:r>
      <w:r>
        <w:rPr>
          <w:sz w:val="16"/>
        </w:rPr>
        <w:t>no</w:t>
      </w:r>
      <w:r>
        <w:rPr>
          <w:spacing w:val="-11"/>
          <w:sz w:val="16"/>
        </w:rPr>
        <w:t> </w:t>
      </w:r>
      <w:r>
        <w:rPr>
          <w:sz w:val="16"/>
        </w:rPr>
        <w:t>respetaba</w:t>
      </w:r>
      <w:r>
        <w:rPr>
          <w:spacing w:val="-10"/>
          <w:sz w:val="16"/>
        </w:rPr>
        <w:t> </w:t>
      </w:r>
      <w:r>
        <w:rPr>
          <w:spacing w:val="-2"/>
          <w:sz w:val="16"/>
        </w:rPr>
        <w:t>los</w:t>
      </w:r>
      <w:r>
        <w:rPr>
          <w:spacing w:val="-9"/>
          <w:sz w:val="16"/>
        </w:rPr>
        <w:t> </w:t>
      </w:r>
      <w:r>
        <w:rPr>
          <w:sz w:val="16"/>
        </w:rPr>
        <w:t>consensos</w:t>
      </w:r>
      <w:r>
        <w:rPr>
          <w:spacing w:val="-9"/>
          <w:sz w:val="16"/>
        </w:rPr>
        <w:t> </w:t>
      </w:r>
      <w:r>
        <w:rPr>
          <w:sz w:val="16"/>
        </w:rPr>
        <w:t>alcanzados</w:t>
      </w:r>
      <w:r>
        <w:rPr>
          <w:spacing w:val="-9"/>
          <w:sz w:val="16"/>
        </w:rPr>
        <w:t> </w:t>
      </w:r>
      <w:r>
        <w:rPr>
          <w:sz w:val="16"/>
        </w:rPr>
        <w:t>en</w:t>
      </w:r>
      <w:r>
        <w:rPr>
          <w:spacing w:val="-13"/>
          <w:sz w:val="16"/>
        </w:rPr>
        <w:t> </w:t>
      </w:r>
      <w:r>
        <w:rPr>
          <w:sz w:val="16"/>
        </w:rPr>
        <w:t>el</w:t>
      </w:r>
      <w:r>
        <w:rPr>
          <w:spacing w:val="-13"/>
          <w:sz w:val="16"/>
        </w:rPr>
        <w:t> </w:t>
      </w:r>
      <w:r>
        <w:rPr>
          <w:sz w:val="16"/>
        </w:rPr>
        <w:t>marco</w:t>
      </w:r>
      <w:r>
        <w:rPr>
          <w:spacing w:val="-11"/>
          <w:sz w:val="16"/>
        </w:rPr>
        <w:t> </w:t>
      </w:r>
      <w:r>
        <w:rPr>
          <w:sz w:val="16"/>
        </w:rPr>
        <w:t>de</w:t>
      </w:r>
      <w:r>
        <w:rPr>
          <w:spacing w:val="-12"/>
          <w:sz w:val="16"/>
        </w:rPr>
        <w:t> </w:t>
      </w:r>
      <w:r>
        <w:rPr>
          <w:sz w:val="16"/>
        </w:rPr>
        <w:t>la</w:t>
      </w:r>
      <w:r>
        <w:rPr>
          <w:spacing w:val="-10"/>
          <w:sz w:val="16"/>
        </w:rPr>
        <w:t> </w:t>
      </w:r>
      <w:r>
        <w:rPr>
          <w:sz w:val="16"/>
        </w:rPr>
        <w:t>solución amistosa”; el 3 de mayo la Cancillería argentina solicitó al Gobierno de Salta que revisara su decisión, ya que “esta</w:t>
      </w:r>
      <w:r>
        <w:rPr>
          <w:spacing w:val="-9"/>
          <w:sz w:val="16"/>
        </w:rPr>
        <w:t> </w:t>
      </w:r>
      <w:r>
        <w:rPr>
          <w:sz w:val="16"/>
        </w:rPr>
        <w:t>podría</w:t>
      </w:r>
      <w:r>
        <w:rPr>
          <w:spacing w:val="-9"/>
          <w:sz w:val="16"/>
        </w:rPr>
        <w:t> </w:t>
      </w:r>
      <w:r>
        <w:rPr>
          <w:sz w:val="16"/>
        </w:rPr>
        <w:t>acarrear</w:t>
      </w:r>
      <w:r>
        <w:rPr>
          <w:spacing w:val="-10"/>
          <w:sz w:val="16"/>
        </w:rPr>
        <w:t> </w:t>
      </w:r>
      <w:r>
        <w:rPr>
          <w:sz w:val="16"/>
        </w:rPr>
        <w:t>responsabilidad</w:t>
      </w:r>
      <w:r>
        <w:rPr>
          <w:spacing w:val="-8"/>
          <w:sz w:val="16"/>
        </w:rPr>
        <w:t> </w:t>
      </w:r>
      <w:r>
        <w:rPr>
          <w:sz w:val="16"/>
        </w:rPr>
        <w:t>internacional</w:t>
      </w:r>
      <w:r>
        <w:rPr>
          <w:spacing w:val="-9"/>
          <w:sz w:val="16"/>
        </w:rPr>
        <w:t> </w:t>
      </w:r>
      <w:r>
        <w:rPr>
          <w:sz w:val="16"/>
        </w:rPr>
        <w:t>del</w:t>
      </w:r>
      <w:r>
        <w:rPr>
          <w:spacing w:val="-9"/>
          <w:sz w:val="16"/>
        </w:rPr>
        <w:t> </w:t>
      </w:r>
      <w:r>
        <w:rPr>
          <w:sz w:val="16"/>
        </w:rPr>
        <w:t>Estado</w:t>
      </w:r>
      <w:r>
        <w:rPr>
          <w:spacing w:val="-8"/>
          <w:sz w:val="16"/>
        </w:rPr>
        <w:t> </w:t>
      </w:r>
      <w:r>
        <w:rPr>
          <w:sz w:val="16"/>
        </w:rPr>
        <w:t>argentino”;</w:t>
      </w:r>
      <w:r>
        <w:rPr>
          <w:spacing w:val="-8"/>
          <w:sz w:val="16"/>
        </w:rPr>
        <w:t> </w:t>
      </w:r>
      <w:r>
        <w:rPr>
          <w:sz w:val="16"/>
        </w:rPr>
        <w:t>el</w:t>
      </w:r>
      <w:r>
        <w:rPr>
          <w:spacing w:val="-9"/>
          <w:sz w:val="16"/>
        </w:rPr>
        <w:t> </w:t>
      </w:r>
      <w:r>
        <w:rPr>
          <w:sz w:val="16"/>
        </w:rPr>
        <w:t>12</w:t>
      </w:r>
      <w:r>
        <w:rPr>
          <w:spacing w:val="-8"/>
          <w:sz w:val="16"/>
        </w:rPr>
        <w:t> </w:t>
      </w:r>
      <w:r>
        <w:rPr>
          <w:sz w:val="16"/>
        </w:rPr>
        <w:t>de</w:t>
      </w:r>
      <w:r>
        <w:rPr>
          <w:spacing w:val="-8"/>
          <w:sz w:val="16"/>
        </w:rPr>
        <w:t> </w:t>
      </w:r>
      <w:r>
        <w:rPr>
          <w:sz w:val="16"/>
        </w:rPr>
        <w:t>julio</w:t>
      </w:r>
      <w:r>
        <w:rPr>
          <w:spacing w:val="-8"/>
          <w:sz w:val="16"/>
        </w:rPr>
        <w:t> </w:t>
      </w:r>
      <w:r>
        <w:rPr>
          <w:sz w:val="16"/>
        </w:rPr>
        <w:t>el</w:t>
      </w:r>
      <w:r>
        <w:rPr>
          <w:spacing w:val="-12"/>
          <w:sz w:val="16"/>
        </w:rPr>
        <w:t> </w:t>
      </w:r>
      <w:r>
        <w:rPr>
          <w:sz w:val="16"/>
        </w:rPr>
        <w:t>INAI</w:t>
      </w:r>
      <w:r>
        <w:rPr>
          <w:spacing w:val="-9"/>
          <w:sz w:val="16"/>
        </w:rPr>
        <w:t> </w:t>
      </w:r>
      <w:r>
        <w:rPr>
          <w:sz w:val="16"/>
        </w:rPr>
        <w:t>envió</w:t>
      </w:r>
      <w:r>
        <w:rPr>
          <w:spacing w:val="-8"/>
          <w:sz w:val="16"/>
        </w:rPr>
        <w:t> </w:t>
      </w:r>
      <w:r>
        <w:rPr>
          <w:sz w:val="16"/>
        </w:rPr>
        <w:t>una</w:t>
      </w:r>
      <w:r>
        <w:rPr>
          <w:spacing w:val="-9"/>
          <w:sz w:val="16"/>
        </w:rPr>
        <w:t> </w:t>
      </w:r>
      <w:r>
        <w:rPr>
          <w:sz w:val="16"/>
        </w:rPr>
        <w:t>nota al Presidente de la Cámara de Diputados de Salta, en donde indicó que “se cometería una flagrante violación inconducente</w:t>
      </w:r>
      <w:r>
        <w:rPr>
          <w:spacing w:val="-15"/>
          <w:sz w:val="16"/>
        </w:rPr>
        <w:t> </w:t>
      </w:r>
      <w:r>
        <w:rPr>
          <w:sz w:val="16"/>
        </w:rPr>
        <w:t>si</w:t>
      </w:r>
      <w:r>
        <w:rPr>
          <w:spacing w:val="-16"/>
          <w:sz w:val="16"/>
        </w:rPr>
        <w:t> </w:t>
      </w:r>
      <w:r>
        <w:rPr>
          <w:sz w:val="16"/>
        </w:rPr>
        <w:t>[los</w:t>
      </w:r>
      <w:r>
        <w:rPr>
          <w:spacing w:val="-15"/>
          <w:sz w:val="16"/>
        </w:rPr>
        <w:t> </w:t>
      </w:r>
      <w:r>
        <w:rPr>
          <w:sz w:val="16"/>
        </w:rPr>
        <w:t>derechos</w:t>
      </w:r>
      <w:r>
        <w:rPr>
          <w:spacing w:val="-18"/>
          <w:sz w:val="16"/>
        </w:rPr>
        <w:t> </w:t>
      </w:r>
      <w:r>
        <w:rPr>
          <w:sz w:val="16"/>
        </w:rPr>
        <w:t>de</w:t>
      </w:r>
      <w:r>
        <w:rPr>
          <w:spacing w:val="-15"/>
          <w:sz w:val="16"/>
        </w:rPr>
        <w:t> </w:t>
      </w:r>
      <w:r>
        <w:rPr>
          <w:sz w:val="16"/>
        </w:rPr>
        <w:t>las</w:t>
      </w:r>
      <w:r>
        <w:rPr>
          <w:spacing w:val="-15"/>
          <w:sz w:val="16"/>
        </w:rPr>
        <w:t> </w:t>
      </w:r>
      <w:r>
        <w:rPr>
          <w:sz w:val="16"/>
        </w:rPr>
        <w:t>comunidades</w:t>
      </w:r>
      <w:r>
        <w:rPr>
          <w:spacing w:val="-15"/>
          <w:sz w:val="16"/>
        </w:rPr>
        <w:t> </w:t>
      </w:r>
      <w:r>
        <w:rPr>
          <w:sz w:val="16"/>
        </w:rPr>
        <w:t>indígenas]</w:t>
      </w:r>
      <w:r>
        <w:rPr>
          <w:spacing w:val="-16"/>
          <w:sz w:val="16"/>
        </w:rPr>
        <w:t> </w:t>
      </w:r>
      <w:r>
        <w:rPr>
          <w:sz w:val="16"/>
        </w:rPr>
        <w:t>se</w:t>
      </w:r>
      <w:r>
        <w:rPr>
          <w:spacing w:val="-15"/>
          <w:sz w:val="16"/>
        </w:rPr>
        <w:t> </w:t>
      </w:r>
      <w:r>
        <w:rPr>
          <w:sz w:val="16"/>
        </w:rPr>
        <w:t>someten</w:t>
      </w:r>
      <w:r>
        <w:rPr>
          <w:spacing w:val="-16"/>
          <w:sz w:val="16"/>
        </w:rPr>
        <w:t> </w:t>
      </w:r>
      <w:r>
        <w:rPr>
          <w:sz w:val="16"/>
        </w:rPr>
        <w:t>a</w:t>
      </w:r>
      <w:r>
        <w:rPr>
          <w:spacing w:val="-16"/>
          <w:sz w:val="16"/>
        </w:rPr>
        <w:t> </w:t>
      </w:r>
      <w:r>
        <w:rPr>
          <w:sz w:val="16"/>
        </w:rPr>
        <w:t>referéndum</w:t>
      </w:r>
      <w:r>
        <w:rPr>
          <w:spacing w:val="-18"/>
          <w:sz w:val="16"/>
        </w:rPr>
        <w:t> </w:t>
      </w:r>
      <w:r>
        <w:rPr>
          <w:sz w:val="16"/>
        </w:rPr>
        <w:t>de</w:t>
      </w:r>
      <w:r>
        <w:rPr>
          <w:spacing w:val="-15"/>
          <w:sz w:val="16"/>
        </w:rPr>
        <w:t> </w:t>
      </w:r>
      <w:r>
        <w:rPr>
          <w:sz w:val="16"/>
        </w:rPr>
        <w:t>todos</w:t>
      </w:r>
      <w:r>
        <w:rPr>
          <w:spacing w:val="-15"/>
          <w:sz w:val="16"/>
        </w:rPr>
        <w:t> </w:t>
      </w:r>
      <w:r>
        <w:rPr>
          <w:sz w:val="16"/>
        </w:rPr>
        <w:t>los</w:t>
      </w:r>
      <w:r>
        <w:rPr>
          <w:spacing w:val="-18"/>
          <w:sz w:val="16"/>
        </w:rPr>
        <w:t> </w:t>
      </w:r>
      <w:r>
        <w:rPr>
          <w:sz w:val="16"/>
        </w:rPr>
        <w:t>ciudadanos del</w:t>
      </w:r>
      <w:r>
        <w:rPr>
          <w:spacing w:val="-5"/>
          <w:sz w:val="16"/>
        </w:rPr>
        <w:t> </w:t>
      </w:r>
      <w:r>
        <w:rPr>
          <w:sz w:val="16"/>
        </w:rPr>
        <w:t>Departamento</w:t>
      </w:r>
      <w:r>
        <w:rPr>
          <w:spacing w:val="-7"/>
          <w:sz w:val="16"/>
        </w:rPr>
        <w:t> </w:t>
      </w:r>
      <w:r>
        <w:rPr>
          <w:sz w:val="16"/>
        </w:rPr>
        <w:t>de</w:t>
      </w:r>
      <w:r>
        <w:rPr>
          <w:spacing w:val="-7"/>
          <w:sz w:val="16"/>
        </w:rPr>
        <w:t> </w:t>
      </w:r>
      <w:r>
        <w:rPr>
          <w:sz w:val="16"/>
        </w:rPr>
        <w:t>Rivadavia”</w:t>
      </w:r>
      <w:r>
        <w:rPr>
          <w:spacing w:val="-2"/>
          <w:sz w:val="16"/>
        </w:rPr>
        <w:t> </w:t>
      </w:r>
      <w:r>
        <w:rPr>
          <w:sz w:val="16"/>
        </w:rPr>
        <w:t>(</w:t>
      </w:r>
      <w:r>
        <w:rPr>
          <w:i/>
          <w:sz w:val="16"/>
        </w:rPr>
        <w:t>cfr</w:t>
      </w:r>
      <w:r>
        <w:rPr>
          <w:sz w:val="16"/>
        </w:rPr>
        <w:t>.</w:t>
      </w:r>
      <w:r>
        <w:rPr>
          <w:spacing w:val="-6"/>
          <w:sz w:val="16"/>
        </w:rPr>
        <w:t> </w:t>
      </w:r>
      <w:r>
        <w:rPr>
          <w:sz w:val="16"/>
        </w:rPr>
        <w:t>Notas</w:t>
      </w:r>
      <w:r>
        <w:rPr>
          <w:spacing w:val="-5"/>
          <w:sz w:val="16"/>
        </w:rPr>
        <w:t> </w:t>
      </w:r>
      <w:r>
        <w:rPr>
          <w:sz w:val="16"/>
        </w:rPr>
        <w:t>del</w:t>
      </w:r>
      <w:r>
        <w:rPr>
          <w:spacing w:val="-6"/>
          <w:sz w:val="16"/>
        </w:rPr>
        <w:t> </w:t>
      </w:r>
      <w:r>
        <w:rPr>
          <w:sz w:val="16"/>
        </w:rPr>
        <w:t>INAI</w:t>
      </w:r>
      <w:r>
        <w:rPr>
          <w:spacing w:val="-5"/>
          <w:sz w:val="16"/>
        </w:rPr>
        <w:t> </w:t>
      </w:r>
      <w:r>
        <w:rPr>
          <w:sz w:val="16"/>
        </w:rPr>
        <w:t>y</w:t>
      </w:r>
      <w:r>
        <w:rPr>
          <w:spacing w:val="-7"/>
          <w:sz w:val="16"/>
        </w:rPr>
        <w:t> </w:t>
      </w:r>
      <w:r>
        <w:rPr>
          <w:sz w:val="16"/>
        </w:rPr>
        <w:t>de</w:t>
      </w:r>
      <w:r>
        <w:rPr>
          <w:spacing w:val="-5"/>
          <w:sz w:val="16"/>
        </w:rPr>
        <w:t> </w:t>
      </w:r>
      <w:r>
        <w:rPr>
          <w:sz w:val="16"/>
        </w:rPr>
        <w:t>Cancillería</w:t>
      </w:r>
      <w:r>
        <w:rPr>
          <w:spacing w:val="-3"/>
          <w:sz w:val="16"/>
        </w:rPr>
        <w:t> </w:t>
      </w:r>
      <w:r>
        <w:rPr>
          <w:sz w:val="16"/>
        </w:rPr>
        <w:t>de</w:t>
      </w:r>
      <w:r>
        <w:rPr>
          <w:spacing w:val="-7"/>
          <w:sz w:val="16"/>
        </w:rPr>
        <w:t> </w:t>
      </w:r>
      <w:r>
        <w:rPr>
          <w:sz w:val="16"/>
        </w:rPr>
        <w:t>2</w:t>
      </w:r>
      <w:r>
        <w:rPr>
          <w:spacing w:val="-4"/>
          <w:sz w:val="16"/>
        </w:rPr>
        <w:t> </w:t>
      </w:r>
      <w:r>
        <w:rPr>
          <w:sz w:val="16"/>
        </w:rPr>
        <w:t>de</w:t>
      </w:r>
      <w:r>
        <w:rPr>
          <w:spacing w:val="-5"/>
          <w:sz w:val="16"/>
        </w:rPr>
        <w:t> </w:t>
      </w:r>
      <w:r>
        <w:rPr>
          <w:sz w:val="16"/>
        </w:rPr>
        <w:t>mayo</w:t>
      </w:r>
      <w:r>
        <w:rPr>
          <w:spacing w:val="-4"/>
          <w:sz w:val="16"/>
        </w:rPr>
        <w:t> </w:t>
      </w:r>
      <w:r>
        <w:rPr>
          <w:sz w:val="16"/>
        </w:rPr>
        <w:t>y</w:t>
      </w:r>
      <w:r>
        <w:rPr>
          <w:spacing w:val="-7"/>
          <w:sz w:val="16"/>
        </w:rPr>
        <w:t> </w:t>
      </w:r>
      <w:r>
        <w:rPr>
          <w:sz w:val="16"/>
        </w:rPr>
        <w:t>12</w:t>
      </w:r>
      <w:r>
        <w:rPr>
          <w:spacing w:val="-4"/>
          <w:sz w:val="16"/>
        </w:rPr>
        <w:t> </w:t>
      </w:r>
      <w:r>
        <w:rPr>
          <w:sz w:val="16"/>
        </w:rPr>
        <w:t>de</w:t>
      </w:r>
      <w:r>
        <w:rPr>
          <w:spacing w:val="-5"/>
          <w:sz w:val="16"/>
        </w:rPr>
        <w:t> </w:t>
      </w:r>
      <w:r>
        <w:rPr>
          <w:sz w:val="16"/>
        </w:rPr>
        <w:t>julio</w:t>
      </w:r>
      <w:r>
        <w:rPr>
          <w:spacing w:val="-4"/>
          <w:sz w:val="16"/>
        </w:rPr>
        <w:t> </w:t>
      </w:r>
      <w:r>
        <w:rPr>
          <w:sz w:val="16"/>
        </w:rPr>
        <w:t>de</w:t>
      </w:r>
      <w:r>
        <w:rPr>
          <w:spacing w:val="-2"/>
          <w:sz w:val="16"/>
        </w:rPr>
        <w:t> </w:t>
      </w:r>
      <w:r>
        <w:rPr>
          <w:sz w:val="16"/>
        </w:rPr>
        <w:t>2005,</w:t>
      </w:r>
      <w:r>
        <w:rPr>
          <w:spacing w:val="-6"/>
          <w:sz w:val="16"/>
        </w:rPr>
        <w:t> </w:t>
      </w:r>
      <w:r>
        <w:rPr>
          <w:sz w:val="16"/>
        </w:rPr>
        <w:t>y</w:t>
      </w:r>
      <w:r>
        <w:rPr>
          <w:spacing w:val="-7"/>
          <w:sz w:val="16"/>
        </w:rPr>
        <w:t> </w:t>
      </w:r>
      <w:r>
        <w:rPr>
          <w:sz w:val="16"/>
        </w:rPr>
        <w:t>de 3 de mayo de 2005, respectivamente. Expediente de prueba, anexos D.8, D.9 y D.10 al escrito de solicitudes y argumentos, fs. 30.392 a 30.394, 30.395 y 30.396, y 30.397 a 30.400). Además, el 21 de septiembre de 2005, el Gobierno Nacional hizo a llegar a la Comisión Interamericana un documento titulado “Declaración conjunta de los organismos del Estado Nacional que participan de la Mesa Ampliada del proceso de solución amistosa de la petición n° 12.094 del registro de la Comisión Interamericana de Derechos Humanos”, en el cual representantes de los Ministerios de Relaciones Exteriores y de Justicia y el INAI manifestaron su preocupación</w:t>
      </w:r>
      <w:r>
        <w:rPr>
          <w:spacing w:val="-11"/>
          <w:sz w:val="16"/>
        </w:rPr>
        <w:t> </w:t>
      </w:r>
      <w:r>
        <w:rPr>
          <w:sz w:val="16"/>
        </w:rPr>
        <w:t>por</w:t>
      </w:r>
      <w:r>
        <w:rPr>
          <w:spacing w:val="-10"/>
          <w:sz w:val="16"/>
        </w:rPr>
        <w:t> </w:t>
      </w:r>
      <w:r>
        <w:rPr>
          <w:sz w:val="16"/>
        </w:rPr>
        <w:t>el</w:t>
      </w:r>
      <w:r>
        <w:rPr>
          <w:spacing w:val="-14"/>
          <w:sz w:val="16"/>
        </w:rPr>
        <w:t> </w:t>
      </w:r>
      <w:r>
        <w:rPr>
          <w:sz w:val="16"/>
        </w:rPr>
        <w:t>estancamiento</w:t>
      </w:r>
      <w:r>
        <w:rPr>
          <w:spacing w:val="-10"/>
          <w:sz w:val="16"/>
        </w:rPr>
        <w:t> </w:t>
      </w:r>
      <w:r>
        <w:rPr>
          <w:sz w:val="16"/>
        </w:rPr>
        <w:t>del</w:t>
      </w:r>
      <w:r>
        <w:rPr>
          <w:spacing w:val="-14"/>
          <w:sz w:val="16"/>
        </w:rPr>
        <w:t> </w:t>
      </w:r>
      <w:r>
        <w:rPr>
          <w:sz w:val="16"/>
        </w:rPr>
        <w:t>proceso</w:t>
      </w:r>
      <w:r>
        <w:rPr>
          <w:spacing w:val="-12"/>
          <w:sz w:val="16"/>
        </w:rPr>
        <w:t> </w:t>
      </w:r>
      <w:r>
        <w:rPr>
          <w:sz w:val="16"/>
        </w:rPr>
        <w:t>de</w:t>
      </w:r>
      <w:r>
        <w:rPr>
          <w:spacing w:val="-10"/>
          <w:sz w:val="16"/>
        </w:rPr>
        <w:t> </w:t>
      </w:r>
      <w:r>
        <w:rPr>
          <w:sz w:val="16"/>
        </w:rPr>
        <w:t>solución</w:t>
      </w:r>
      <w:r>
        <w:rPr>
          <w:spacing w:val="-11"/>
          <w:sz w:val="16"/>
        </w:rPr>
        <w:t> </w:t>
      </w:r>
      <w:r>
        <w:rPr>
          <w:sz w:val="16"/>
        </w:rPr>
        <w:t>amistosa</w:t>
      </w:r>
      <w:r>
        <w:rPr>
          <w:spacing w:val="-11"/>
          <w:sz w:val="16"/>
        </w:rPr>
        <w:t> </w:t>
      </w:r>
      <w:r>
        <w:rPr>
          <w:sz w:val="16"/>
        </w:rPr>
        <w:t>a</w:t>
      </w:r>
      <w:r>
        <w:rPr>
          <w:spacing w:val="-14"/>
          <w:sz w:val="16"/>
        </w:rPr>
        <w:t> </w:t>
      </w:r>
      <w:r>
        <w:rPr>
          <w:sz w:val="16"/>
        </w:rPr>
        <w:t>partir</w:t>
      </w:r>
      <w:r>
        <w:rPr>
          <w:spacing w:val="-12"/>
          <w:sz w:val="16"/>
        </w:rPr>
        <w:t> </w:t>
      </w:r>
      <w:r>
        <w:rPr>
          <w:sz w:val="16"/>
        </w:rPr>
        <w:t>de</w:t>
      </w:r>
      <w:r>
        <w:rPr>
          <w:spacing w:val="-13"/>
          <w:sz w:val="16"/>
        </w:rPr>
        <w:t> </w:t>
      </w:r>
      <w:r>
        <w:rPr>
          <w:sz w:val="16"/>
        </w:rPr>
        <w:t>la</w:t>
      </w:r>
      <w:r>
        <w:rPr>
          <w:spacing w:val="-11"/>
          <w:sz w:val="16"/>
        </w:rPr>
        <w:t> </w:t>
      </w:r>
      <w:r>
        <w:rPr>
          <w:sz w:val="16"/>
        </w:rPr>
        <w:t>organización</w:t>
      </w:r>
      <w:r>
        <w:rPr>
          <w:spacing w:val="-11"/>
          <w:sz w:val="16"/>
        </w:rPr>
        <w:t> </w:t>
      </w:r>
      <w:r>
        <w:rPr>
          <w:sz w:val="16"/>
        </w:rPr>
        <w:t>del</w:t>
      </w:r>
      <w:r>
        <w:rPr>
          <w:spacing w:val="-14"/>
          <w:sz w:val="16"/>
        </w:rPr>
        <w:t> </w:t>
      </w:r>
      <w:r>
        <w:rPr>
          <w:sz w:val="16"/>
        </w:rPr>
        <w:t>referéndum y</w:t>
      </w:r>
      <w:r>
        <w:rPr>
          <w:spacing w:val="-3"/>
          <w:sz w:val="16"/>
        </w:rPr>
        <w:t> </w:t>
      </w:r>
      <w:r>
        <w:rPr>
          <w:sz w:val="16"/>
        </w:rPr>
        <w:t>solicitaban</w:t>
      </w:r>
      <w:r>
        <w:rPr>
          <w:spacing w:val="-5"/>
          <w:sz w:val="16"/>
        </w:rPr>
        <w:t> </w:t>
      </w:r>
      <w:r>
        <w:rPr>
          <w:sz w:val="16"/>
        </w:rPr>
        <w:t>al</w:t>
      </w:r>
      <w:r>
        <w:rPr>
          <w:spacing w:val="-1"/>
          <w:sz w:val="16"/>
        </w:rPr>
        <w:t> </w:t>
      </w:r>
      <w:r>
        <w:rPr>
          <w:sz w:val="16"/>
        </w:rPr>
        <w:t>Gobernador</w:t>
      </w:r>
      <w:r>
        <w:rPr>
          <w:spacing w:val="-3"/>
          <w:sz w:val="16"/>
        </w:rPr>
        <w:t> </w:t>
      </w:r>
      <w:r>
        <w:rPr>
          <w:sz w:val="16"/>
        </w:rPr>
        <w:t>de</w:t>
      </w:r>
      <w:r>
        <w:rPr>
          <w:spacing w:val="-4"/>
          <w:sz w:val="16"/>
        </w:rPr>
        <w:t> </w:t>
      </w:r>
      <w:r>
        <w:rPr>
          <w:sz w:val="16"/>
        </w:rPr>
        <w:t>la</w:t>
      </w:r>
      <w:r>
        <w:rPr>
          <w:spacing w:val="-4"/>
          <w:sz w:val="16"/>
        </w:rPr>
        <w:t> </w:t>
      </w:r>
      <w:r>
        <w:rPr>
          <w:sz w:val="16"/>
        </w:rPr>
        <w:t>Provincia</w:t>
      </w:r>
      <w:r>
        <w:rPr>
          <w:spacing w:val="-5"/>
          <w:sz w:val="16"/>
        </w:rPr>
        <w:t> </w:t>
      </w:r>
      <w:r>
        <w:rPr>
          <w:sz w:val="16"/>
        </w:rPr>
        <w:t>que</w:t>
      </w:r>
      <w:r>
        <w:rPr>
          <w:spacing w:val="-4"/>
          <w:sz w:val="16"/>
        </w:rPr>
        <w:t> </w:t>
      </w:r>
      <w:r>
        <w:rPr>
          <w:sz w:val="16"/>
        </w:rPr>
        <w:t>lo</w:t>
      </w:r>
      <w:r>
        <w:rPr>
          <w:spacing w:val="-3"/>
          <w:sz w:val="16"/>
        </w:rPr>
        <w:t> </w:t>
      </w:r>
      <w:r>
        <w:rPr>
          <w:sz w:val="16"/>
        </w:rPr>
        <w:t>suspendiera,</w:t>
      </w:r>
      <w:r>
        <w:rPr>
          <w:spacing w:val="-2"/>
          <w:sz w:val="16"/>
        </w:rPr>
        <w:t> </w:t>
      </w:r>
      <w:r>
        <w:rPr>
          <w:sz w:val="16"/>
        </w:rPr>
        <w:t>para</w:t>
      </w:r>
      <w:r>
        <w:rPr>
          <w:spacing w:val="-4"/>
          <w:sz w:val="16"/>
        </w:rPr>
        <w:t> </w:t>
      </w:r>
      <w:r>
        <w:rPr>
          <w:sz w:val="16"/>
        </w:rPr>
        <w:t>“facilitar</w:t>
      </w:r>
      <w:r>
        <w:rPr>
          <w:spacing w:val="-1"/>
          <w:sz w:val="16"/>
        </w:rPr>
        <w:t> </w:t>
      </w:r>
      <w:r>
        <w:rPr>
          <w:sz w:val="16"/>
        </w:rPr>
        <w:t>una</w:t>
      </w:r>
      <w:r>
        <w:rPr>
          <w:spacing w:val="-4"/>
          <w:sz w:val="16"/>
        </w:rPr>
        <w:t> </w:t>
      </w:r>
      <w:r>
        <w:rPr>
          <w:sz w:val="16"/>
        </w:rPr>
        <w:t>solución</w:t>
      </w:r>
      <w:r>
        <w:rPr>
          <w:spacing w:val="-6"/>
          <w:sz w:val="16"/>
        </w:rPr>
        <w:t> </w:t>
      </w:r>
      <w:r>
        <w:rPr>
          <w:sz w:val="16"/>
        </w:rPr>
        <w:t>al</w:t>
      </w:r>
      <w:r>
        <w:rPr>
          <w:spacing w:val="-2"/>
          <w:sz w:val="16"/>
        </w:rPr>
        <w:t> </w:t>
      </w:r>
      <w:r>
        <w:rPr>
          <w:sz w:val="16"/>
        </w:rPr>
        <w:t>problema”</w:t>
      </w:r>
      <w:r>
        <w:rPr>
          <w:spacing w:val="2"/>
          <w:sz w:val="16"/>
        </w:rPr>
        <w:t> </w:t>
      </w:r>
      <w:r>
        <w:rPr>
          <w:sz w:val="16"/>
        </w:rPr>
        <w:t>(Nota SG 257 de 23 de agosto de 2005. Expediente de prueba, trámite ante la Comisión, f. 5366). El 17 de agosto de 2005 el Fiscal de Estado de Salta remitió una nota a la Comisión defendiendo el referéndum como “la vía idónea</w:t>
      </w:r>
      <w:r>
        <w:rPr>
          <w:spacing w:val="-8"/>
          <w:sz w:val="16"/>
        </w:rPr>
        <w:t> </w:t>
      </w:r>
      <w:r>
        <w:rPr>
          <w:sz w:val="16"/>
        </w:rPr>
        <w:t>para</w:t>
      </w:r>
      <w:r>
        <w:rPr>
          <w:spacing w:val="-8"/>
          <w:sz w:val="16"/>
        </w:rPr>
        <w:t> </w:t>
      </w:r>
      <w:r>
        <w:rPr>
          <w:sz w:val="16"/>
        </w:rPr>
        <w:t>efectivizar</w:t>
      </w:r>
      <w:r>
        <w:rPr>
          <w:spacing w:val="-7"/>
          <w:sz w:val="16"/>
        </w:rPr>
        <w:t> </w:t>
      </w:r>
      <w:r>
        <w:rPr>
          <w:sz w:val="16"/>
        </w:rPr>
        <w:t>el</w:t>
      </w:r>
      <w:r>
        <w:rPr>
          <w:spacing w:val="-5"/>
          <w:sz w:val="16"/>
        </w:rPr>
        <w:t> </w:t>
      </w:r>
      <w:r>
        <w:rPr>
          <w:sz w:val="16"/>
        </w:rPr>
        <w:t>derecho</w:t>
      </w:r>
      <w:r>
        <w:rPr>
          <w:spacing w:val="-4"/>
          <w:sz w:val="16"/>
        </w:rPr>
        <w:t> </w:t>
      </w:r>
      <w:r>
        <w:rPr>
          <w:sz w:val="16"/>
        </w:rPr>
        <w:t>a</w:t>
      </w:r>
      <w:r>
        <w:rPr>
          <w:spacing w:val="-6"/>
          <w:sz w:val="16"/>
        </w:rPr>
        <w:t> </w:t>
      </w:r>
      <w:r>
        <w:rPr>
          <w:sz w:val="16"/>
        </w:rPr>
        <w:t>la</w:t>
      </w:r>
      <w:r>
        <w:rPr>
          <w:spacing w:val="-8"/>
          <w:sz w:val="16"/>
        </w:rPr>
        <w:t> </w:t>
      </w:r>
      <w:r>
        <w:rPr>
          <w:sz w:val="16"/>
        </w:rPr>
        <w:t>consulta</w:t>
      </w:r>
      <w:r>
        <w:rPr>
          <w:spacing w:val="-6"/>
          <w:sz w:val="16"/>
        </w:rPr>
        <w:t> </w:t>
      </w:r>
      <w:r>
        <w:rPr>
          <w:sz w:val="16"/>
        </w:rPr>
        <w:t>previa”</w:t>
      </w:r>
      <w:r>
        <w:rPr>
          <w:spacing w:val="-5"/>
          <w:sz w:val="16"/>
        </w:rPr>
        <w:t> </w:t>
      </w:r>
      <w:r>
        <w:rPr>
          <w:sz w:val="16"/>
        </w:rPr>
        <w:t>(nota</w:t>
      </w:r>
      <w:r>
        <w:rPr>
          <w:spacing w:val="-8"/>
          <w:sz w:val="16"/>
        </w:rPr>
        <w:t> </w:t>
      </w:r>
      <w:r>
        <w:rPr>
          <w:sz w:val="16"/>
        </w:rPr>
        <w:t>de</w:t>
      </w:r>
      <w:r>
        <w:rPr>
          <w:spacing w:val="-7"/>
          <w:sz w:val="16"/>
        </w:rPr>
        <w:t> </w:t>
      </w:r>
      <w:r>
        <w:rPr>
          <w:sz w:val="16"/>
        </w:rPr>
        <w:t>17</w:t>
      </w:r>
      <w:r>
        <w:rPr>
          <w:spacing w:val="-7"/>
          <w:sz w:val="16"/>
        </w:rPr>
        <w:t> </w:t>
      </w:r>
      <w:r>
        <w:rPr>
          <w:sz w:val="16"/>
        </w:rPr>
        <w:t>de</w:t>
      </w:r>
      <w:r>
        <w:rPr>
          <w:spacing w:val="-5"/>
          <w:sz w:val="16"/>
        </w:rPr>
        <w:t> </w:t>
      </w:r>
      <w:r>
        <w:rPr>
          <w:sz w:val="16"/>
        </w:rPr>
        <w:t>agosto</w:t>
      </w:r>
      <w:r>
        <w:rPr>
          <w:spacing w:val="-7"/>
          <w:sz w:val="16"/>
        </w:rPr>
        <w:t> </w:t>
      </w:r>
      <w:r>
        <w:rPr>
          <w:sz w:val="16"/>
        </w:rPr>
        <w:t>de</w:t>
      </w:r>
      <w:r>
        <w:rPr>
          <w:spacing w:val="-7"/>
          <w:sz w:val="16"/>
        </w:rPr>
        <w:t> </w:t>
      </w:r>
      <w:r>
        <w:rPr>
          <w:sz w:val="16"/>
        </w:rPr>
        <w:t>2005;</w:t>
      </w:r>
      <w:r>
        <w:rPr>
          <w:spacing w:val="-6"/>
          <w:sz w:val="16"/>
        </w:rPr>
        <w:t> </w:t>
      </w:r>
      <w:r>
        <w:rPr>
          <w:sz w:val="16"/>
        </w:rPr>
        <w:t>expediente</w:t>
      </w:r>
      <w:r>
        <w:rPr>
          <w:spacing w:val="-7"/>
          <w:sz w:val="16"/>
        </w:rPr>
        <w:t> </w:t>
      </w:r>
      <w:r>
        <w:rPr>
          <w:sz w:val="16"/>
        </w:rPr>
        <w:t>de</w:t>
      </w:r>
      <w:r>
        <w:rPr>
          <w:spacing w:val="-7"/>
          <w:sz w:val="16"/>
        </w:rPr>
        <w:t> </w:t>
      </w:r>
      <w:r>
        <w:rPr>
          <w:sz w:val="16"/>
        </w:rPr>
        <w:t>prueba, anexo D.17 al escrito de solicitudes y argumentos, fs. 30.437 a</w:t>
      </w:r>
      <w:r>
        <w:rPr>
          <w:spacing w:val="-23"/>
          <w:sz w:val="16"/>
        </w:rPr>
        <w:t> </w:t>
      </w:r>
      <w:r>
        <w:rPr>
          <w:sz w:val="16"/>
        </w:rPr>
        <w:t>30.457).</w:t>
      </w:r>
    </w:p>
    <w:p>
      <w:pPr>
        <w:pStyle w:val="BodyText"/>
        <w:spacing w:before="12"/>
        <w:rPr>
          <w:sz w:val="15"/>
        </w:rPr>
      </w:pPr>
    </w:p>
    <w:p>
      <w:pPr>
        <w:tabs>
          <w:tab w:pos="829" w:val="left" w:leader="none"/>
        </w:tabs>
        <w:spacing w:before="0"/>
        <w:ind w:left="122" w:right="0" w:firstLine="0"/>
        <w:jc w:val="both"/>
        <w:rPr>
          <w:sz w:val="16"/>
        </w:rPr>
      </w:pPr>
      <w:r>
        <w:rPr>
          <w:position w:val="6"/>
          <w:sz w:val="10"/>
        </w:rPr>
        <w:t>67</w:t>
        <w:tab/>
      </w:r>
      <w:r>
        <w:rPr>
          <w:i/>
          <w:sz w:val="16"/>
        </w:rPr>
        <w:t>Cfr.</w:t>
      </w:r>
      <w:r>
        <w:rPr>
          <w:i/>
          <w:spacing w:val="-16"/>
          <w:sz w:val="16"/>
        </w:rPr>
        <w:t> </w:t>
      </w:r>
      <w:r>
        <w:rPr>
          <w:sz w:val="16"/>
        </w:rPr>
        <w:t>Declaración</w:t>
      </w:r>
      <w:r>
        <w:rPr>
          <w:spacing w:val="-19"/>
          <w:sz w:val="16"/>
        </w:rPr>
        <w:t> </w:t>
      </w:r>
      <w:r>
        <w:rPr>
          <w:sz w:val="16"/>
        </w:rPr>
        <w:t>conjunta</w:t>
      </w:r>
      <w:r>
        <w:rPr>
          <w:spacing w:val="-16"/>
          <w:sz w:val="16"/>
        </w:rPr>
        <w:t> </w:t>
      </w:r>
      <w:r>
        <w:rPr>
          <w:sz w:val="16"/>
        </w:rPr>
        <w:t>y</w:t>
      </w:r>
      <w:r>
        <w:rPr>
          <w:spacing w:val="-17"/>
          <w:sz w:val="16"/>
        </w:rPr>
        <w:t> </w:t>
      </w:r>
      <w:r>
        <w:rPr>
          <w:sz w:val="16"/>
        </w:rPr>
        <w:t>“Petitorio”</w:t>
      </w:r>
      <w:r>
        <w:rPr>
          <w:spacing w:val="-17"/>
          <w:sz w:val="16"/>
        </w:rPr>
        <w:t> </w:t>
      </w:r>
      <w:r>
        <w:rPr>
          <w:sz w:val="16"/>
        </w:rPr>
        <w:t>presentados</w:t>
      </w:r>
      <w:r>
        <w:rPr>
          <w:spacing w:val="-15"/>
          <w:sz w:val="16"/>
        </w:rPr>
        <w:t> </w:t>
      </w:r>
      <w:r>
        <w:rPr>
          <w:sz w:val="16"/>
        </w:rPr>
        <w:t>como</w:t>
      </w:r>
      <w:r>
        <w:rPr>
          <w:spacing w:val="-15"/>
          <w:sz w:val="16"/>
        </w:rPr>
        <w:t> </w:t>
      </w:r>
      <w:r>
        <w:rPr>
          <w:sz w:val="16"/>
        </w:rPr>
        <w:t>anexos</w:t>
      </w:r>
      <w:r>
        <w:rPr>
          <w:spacing w:val="-18"/>
          <w:sz w:val="16"/>
        </w:rPr>
        <w:t> </w:t>
      </w:r>
      <w:r>
        <w:rPr>
          <w:sz w:val="16"/>
        </w:rPr>
        <w:t>a</w:t>
      </w:r>
      <w:r>
        <w:rPr>
          <w:spacing w:val="-16"/>
          <w:sz w:val="16"/>
        </w:rPr>
        <w:t> </w:t>
      </w:r>
      <w:r>
        <w:rPr>
          <w:sz w:val="16"/>
        </w:rPr>
        <w:t>la</w:t>
      </w:r>
      <w:r>
        <w:rPr>
          <w:spacing w:val="-16"/>
          <w:sz w:val="16"/>
        </w:rPr>
        <w:t> </w:t>
      </w:r>
      <w:r>
        <w:rPr>
          <w:sz w:val="16"/>
        </w:rPr>
        <w:t>comunicación</w:t>
      </w:r>
      <w:r>
        <w:rPr>
          <w:spacing w:val="-16"/>
          <w:sz w:val="16"/>
        </w:rPr>
        <w:t> </w:t>
      </w:r>
      <w:r>
        <w:rPr>
          <w:sz w:val="16"/>
        </w:rPr>
        <w:t>de</w:t>
      </w:r>
      <w:r>
        <w:rPr>
          <w:spacing w:val="-15"/>
          <w:sz w:val="16"/>
        </w:rPr>
        <w:t> </w:t>
      </w:r>
      <w:r>
        <w:rPr>
          <w:sz w:val="16"/>
        </w:rPr>
        <w:t>los</w:t>
      </w:r>
      <w:r>
        <w:rPr>
          <w:spacing w:val="-18"/>
          <w:sz w:val="16"/>
        </w:rPr>
        <w:t> </w:t>
      </w:r>
      <w:r>
        <w:rPr>
          <w:sz w:val="16"/>
        </w:rPr>
        <w:t>peticionarios</w:t>
      </w:r>
    </w:p>
    <w:p>
      <w:pPr>
        <w:spacing w:before="0"/>
        <w:ind w:left="122" w:right="0" w:firstLine="0"/>
        <w:jc w:val="both"/>
        <w:rPr>
          <w:sz w:val="16"/>
        </w:rPr>
      </w:pPr>
      <w:r>
        <w:rPr>
          <w:sz w:val="16"/>
        </w:rPr>
        <w:t>de 10 de noviembre de 2005 y acta de Lhaka Honhat de 8 de octubre de 2005. Expediente de prueba, anexo</w:t>
      </w:r>
    </w:p>
    <w:p>
      <w:pPr>
        <w:spacing w:before="0"/>
        <w:ind w:left="122" w:right="0" w:firstLine="0"/>
        <w:jc w:val="both"/>
        <w:rPr>
          <w:sz w:val="16"/>
        </w:rPr>
      </w:pPr>
      <w:r>
        <w:rPr>
          <w:sz w:val="16"/>
        </w:rPr>
        <w:t>D.21 al escrito de solicitudes y argumentos, fs. 30.472 a 30.480.</w:t>
      </w:r>
    </w:p>
    <w:p>
      <w:pPr>
        <w:pStyle w:val="BodyText"/>
        <w:spacing w:before="12"/>
        <w:rPr>
          <w:sz w:val="15"/>
        </w:rPr>
      </w:pPr>
    </w:p>
    <w:p>
      <w:pPr>
        <w:tabs>
          <w:tab w:pos="829" w:val="left" w:leader="none"/>
        </w:tabs>
        <w:spacing w:line="242" w:lineRule="auto" w:before="0"/>
        <w:ind w:left="122" w:right="119" w:firstLine="0"/>
        <w:jc w:val="both"/>
        <w:rPr>
          <w:sz w:val="16"/>
        </w:rPr>
      </w:pPr>
      <w:r>
        <w:rPr>
          <w:position w:val="6"/>
          <w:sz w:val="10"/>
        </w:rPr>
        <w:t>68</w:t>
        <w:tab/>
      </w:r>
      <w:r>
        <w:rPr>
          <w:i/>
          <w:sz w:val="16"/>
        </w:rPr>
        <w:t>Cfr.</w:t>
      </w:r>
      <w:r>
        <w:rPr>
          <w:i/>
          <w:spacing w:val="-10"/>
          <w:sz w:val="16"/>
        </w:rPr>
        <w:t> </w:t>
      </w:r>
      <w:r>
        <w:rPr>
          <w:sz w:val="16"/>
        </w:rPr>
        <w:t>Comunicación</w:t>
      </w:r>
      <w:r>
        <w:rPr>
          <w:spacing w:val="-13"/>
          <w:sz w:val="16"/>
        </w:rPr>
        <w:t> </w:t>
      </w:r>
      <w:r>
        <w:rPr>
          <w:sz w:val="16"/>
        </w:rPr>
        <w:t>de</w:t>
      </w:r>
      <w:r>
        <w:rPr>
          <w:spacing w:val="-10"/>
          <w:sz w:val="16"/>
        </w:rPr>
        <w:t> </w:t>
      </w:r>
      <w:r>
        <w:rPr>
          <w:sz w:val="16"/>
        </w:rPr>
        <w:t>los</w:t>
      </w:r>
      <w:r>
        <w:rPr>
          <w:spacing w:val="-12"/>
          <w:sz w:val="16"/>
        </w:rPr>
        <w:t> </w:t>
      </w:r>
      <w:r>
        <w:rPr>
          <w:sz w:val="16"/>
        </w:rPr>
        <w:t>peticionarios</w:t>
      </w:r>
      <w:r>
        <w:rPr>
          <w:spacing w:val="-10"/>
          <w:sz w:val="16"/>
        </w:rPr>
        <w:t> </w:t>
      </w:r>
      <w:r>
        <w:rPr>
          <w:sz w:val="16"/>
        </w:rPr>
        <w:t>a</w:t>
      </w:r>
      <w:r>
        <w:rPr>
          <w:spacing w:val="-10"/>
          <w:sz w:val="16"/>
        </w:rPr>
        <w:t> </w:t>
      </w:r>
      <w:r>
        <w:rPr>
          <w:sz w:val="16"/>
        </w:rPr>
        <w:t>la</w:t>
      </w:r>
      <w:r>
        <w:rPr>
          <w:spacing w:val="-10"/>
          <w:sz w:val="16"/>
        </w:rPr>
        <w:t> </w:t>
      </w:r>
      <w:r>
        <w:rPr>
          <w:sz w:val="16"/>
        </w:rPr>
        <w:t>Comisión</w:t>
      </w:r>
      <w:r>
        <w:rPr>
          <w:spacing w:val="-13"/>
          <w:sz w:val="16"/>
        </w:rPr>
        <w:t> </w:t>
      </w:r>
      <w:r>
        <w:rPr>
          <w:sz w:val="16"/>
        </w:rPr>
        <w:t>recibida</w:t>
      </w:r>
      <w:r>
        <w:rPr>
          <w:spacing w:val="-13"/>
          <w:sz w:val="16"/>
        </w:rPr>
        <w:t> </w:t>
      </w:r>
      <w:r>
        <w:rPr>
          <w:sz w:val="16"/>
        </w:rPr>
        <w:t>el</w:t>
      </w:r>
      <w:r>
        <w:rPr>
          <w:spacing w:val="-11"/>
          <w:sz w:val="16"/>
        </w:rPr>
        <w:t> </w:t>
      </w:r>
      <w:r>
        <w:rPr>
          <w:sz w:val="16"/>
        </w:rPr>
        <w:t>11</w:t>
      </w:r>
      <w:r>
        <w:rPr>
          <w:spacing w:val="-11"/>
          <w:sz w:val="16"/>
        </w:rPr>
        <w:t> </w:t>
      </w:r>
      <w:r>
        <w:rPr>
          <w:sz w:val="16"/>
        </w:rPr>
        <w:t>de</w:t>
      </w:r>
      <w:r>
        <w:rPr>
          <w:spacing w:val="-10"/>
          <w:sz w:val="16"/>
        </w:rPr>
        <w:t> </w:t>
      </w:r>
      <w:r>
        <w:rPr>
          <w:sz w:val="16"/>
        </w:rPr>
        <w:t>noviembre</w:t>
      </w:r>
      <w:r>
        <w:rPr>
          <w:spacing w:val="-12"/>
          <w:sz w:val="16"/>
        </w:rPr>
        <w:t> </w:t>
      </w:r>
      <w:r>
        <w:rPr>
          <w:sz w:val="16"/>
        </w:rPr>
        <w:t>de</w:t>
      </w:r>
      <w:r>
        <w:rPr>
          <w:spacing w:val="-12"/>
          <w:sz w:val="16"/>
        </w:rPr>
        <w:t> </w:t>
      </w:r>
      <w:r>
        <w:rPr>
          <w:sz w:val="16"/>
        </w:rPr>
        <w:t>2005,</w:t>
      </w:r>
      <w:r>
        <w:rPr>
          <w:spacing w:val="-11"/>
          <w:sz w:val="16"/>
        </w:rPr>
        <w:t> </w:t>
      </w:r>
      <w:r>
        <w:rPr>
          <w:sz w:val="16"/>
        </w:rPr>
        <w:t>transmitida</w:t>
      </w:r>
      <w:r>
        <w:rPr>
          <w:w w:val="100"/>
          <w:sz w:val="16"/>
        </w:rPr>
        <w:t> </w:t>
      </w:r>
      <w:r>
        <w:rPr>
          <w:sz w:val="16"/>
        </w:rPr>
        <w:t>al Estado el 31 de enero de 2006. Expediente de prueba, anexo D.28 a escrito de solicitudes y argumentos, fs. 30.533 a</w:t>
      </w:r>
      <w:r>
        <w:rPr>
          <w:spacing w:val="-10"/>
          <w:sz w:val="16"/>
        </w:rPr>
        <w:t> </w:t>
      </w:r>
      <w:r>
        <w:rPr>
          <w:sz w:val="16"/>
        </w:rPr>
        <w:t>30.544.</w:t>
      </w:r>
    </w:p>
    <w:p>
      <w:pPr>
        <w:spacing w:after="0" w:line="242" w:lineRule="auto"/>
        <w:jc w:val="both"/>
        <w:rPr>
          <w:sz w:val="16"/>
        </w:rPr>
        <w:sectPr>
          <w:pgSz w:w="12240" w:h="15840"/>
          <w:pgMar w:header="0" w:footer="1000" w:top="1500" w:bottom="1200" w:left="1580" w:right="1580"/>
        </w:sectPr>
      </w:pPr>
    </w:p>
    <w:p>
      <w:pPr>
        <w:pStyle w:val="ListParagraph"/>
        <w:numPr>
          <w:ilvl w:val="0"/>
          <w:numId w:val="19"/>
        </w:numPr>
        <w:tabs>
          <w:tab w:pos="830" w:val="left" w:leader="none"/>
        </w:tabs>
        <w:spacing w:line="237" w:lineRule="auto" w:before="78" w:after="0"/>
        <w:ind w:left="122" w:right="123" w:firstLine="0"/>
        <w:jc w:val="both"/>
        <w:rPr>
          <w:sz w:val="20"/>
        </w:rPr>
      </w:pPr>
      <w:r>
        <w:rPr>
          <w:sz w:val="20"/>
        </w:rPr>
        <w:t>Entre el 2 de diciembre de 2005 y el 19 de abril de 2006 Salta publicó disposiciones tendientes a ejecutar acciones para concretar la entrega de tierras luego de</w:t>
      </w:r>
      <w:r>
        <w:rPr>
          <w:spacing w:val="-10"/>
          <w:sz w:val="20"/>
        </w:rPr>
        <w:t> </w:t>
      </w:r>
      <w:r>
        <w:rPr>
          <w:sz w:val="20"/>
        </w:rPr>
        <w:t>los</w:t>
      </w:r>
      <w:r>
        <w:rPr>
          <w:spacing w:val="-7"/>
          <w:sz w:val="20"/>
        </w:rPr>
        <w:t> </w:t>
      </w:r>
      <w:r>
        <w:rPr>
          <w:sz w:val="20"/>
        </w:rPr>
        <w:t>resultados</w:t>
      </w:r>
      <w:r>
        <w:rPr>
          <w:spacing w:val="-10"/>
          <w:sz w:val="20"/>
        </w:rPr>
        <w:t> </w:t>
      </w:r>
      <w:r>
        <w:rPr>
          <w:sz w:val="20"/>
        </w:rPr>
        <w:t>del</w:t>
      </w:r>
      <w:r>
        <w:rPr>
          <w:spacing w:val="-6"/>
          <w:sz w:val="20"/>
        </w:rPr>
        <w:t> </w:t>
      </w:r>
      <w:r>
        <w:rPr>
          <w:sz w:val="20"/>
        </w:rPr>
        <w:t>referéndum,</w:t>
      </w:r>
      <w:r>
        <w:rPr>
          <w:spacing w:val="-6"/>
          <w:sz w:val="20"/>
        </w:rPr>
        <w:t> </w:t>
      </w:r>
      <w:r>
        <w:rPr>
          <w:sz w:val="20"/>
        </w:rPr>
        <w:t>convocando</w:t>
      </w:r>
      <w:r>
        <w:rPr>
          <w:spacing w:val="-10"/>
          <w:sz w:val="20"/>
        </w:rPr>
        <w:t> </w:t>
      </w:r>
      <w:r>
        <w:rPr>
          <w:sz w:val="20"/>
        </w:rPr>
        <w:t>a</w:t>
      </w:r>
      <w:r>
        <w:rPr>
          <w:spacing w:val="-7"/>
          <w:sz w:val="20"/>
        </w:rPr>
        <w:t> </w:t>
      </w:r>
      <w:r>
        <w:rPr>
          <w:sz w:val="20"/>
        </w:rPr>
        <w:t>familias</w:t>
      </w:r>
      <w:r>
        <w:rPr>
          <w:spacing w:val="-7"/>
          <w:sz w:val="20"/>
        </w:rPr>
        <w:t> </w:t>
      </w:r>
      <w:r>
        <w:rPr>
          <w:sz w:val="20"/>
        </w:rPr>
        <w:t>criollas</w:t>
      </w:r>
      <w:r>
        <w:rPr>
          <w:spacing w:val="-7"/>
          <w:sz w:val="20"/>
        </w:rPr>
        <w:t> </w:t>
      </w:r>
      <w:r>
        <w:rPr>
          <w:sz w:val="20"/>
        </w:rPr>
        <w:t>a</w:t>
      </w:r>
      <w:r>
        <w:rPr>
          <w:spacing w:val="-9"/>
          <w:sz w:val="20"/>
        </w:rPr>
        <w:t> </w:t>
      </w:r>
      <w:r>
        <w:rPr>
          <w:sz w:val="20"/>
        </w:rPr>
        <w:t>presentar</w:t>
      </w:r>
      <w:r>
        <w:rPr>
          <w:spacing w:val="-10"/>
          <w:sz w:val="20"/>
        </w:rPr>
        <w:t> </w:t>
      </w:r>
      <w:r>
        <w:rPr>
          <w:sz w:val="20"/>
        </w:rPr>
        <w:t>formularios para acreditar, al efecto, determinados</w:t>
      </w:r>
      <w:r>
        <w:rPr>
          <w:spacing w:val="-20"/>
          <w:sz w:val="20"/>
        </w:rPr>
        <w:t> </w:t>
      </w:r>
      <w:r>
        <w:rPr>
          <w:sz w:val="20"/>
        </w:rPr>
        <w:t>requisitos</w:t>
      </w:r>
      <w:r>
        <w:rPr>
          <w:rFonts w:ascii="Calibri" w:hAnsi="Calibri"/>
          <w:position w:val="8"/>
          <w:sz w:val="14"/>
        </w:rPr>
        <w:t>69</w:t>
      </w:r>
      <w:r>
        <w:rPr>
          <w:sz w:val="20"/>
        </w:rPr>
        <w:t>.</w:t>
      </w:r>
    </w:p>
    <w:p>
      <w:pPr>
        <w:pStyle w:val="ListParagraph"/>
        <w:numPr>
          <w:ilvl w:val="0"/>
          <w:numId w:val="19"/>
        </w:numPr>
        <w:tabs>
          <w:tab w:pos="830" w:val="left" w:leader="none"/>
        </w:tabs>
        <w:spacing w:line="240" w:lineRule="auto" w:before="213" w:after="0"/>
        <w:ind w:left="122" w:right="117" w:firstLine="0"/>
        <w:jc w:val="both"/>
        <w:rPr>
          <w:sz w:val="20"/>
        </w:rPr>
      </w:pPr>
      <w:r>
        <w:rPr>
          <w:sz w:val="20"/>
        </w:rPr>
        <w:t>Pese a lo anterior, el 14 de marzo de 2006, en una reunión entre el Secretario General</w:t>
      </w:r>
      <w:r>
        <w:rPr>
          <w:spacing w:val="-11"/>
          <w:sz w:val="20"/>
        </w:rPr>
        <w:t> </w:t>
      </w:r>
      <w:r>
        <w:rPr>
          <w:sz w:val="20"/>
        </w:rPr>
        <w:t>de</w:t>
      </w:r>
      <w:r>
        <w:rPr>
          <w:spacing w:val="-13"/>
          <w:sz w:val="20"/>
        </w:rPr>
        <w:t> </w:t>
      </w:r>
      <w:r>
        <w:rPr>
          <w:sz w:val="20"/>
        </w:rPr>
        <w:t>la</w:t>
      </w:r>
      <w:r>
        <w:rPr>
          <w:spacing w:val="-11"/>
          <w:sz w:val="20"/>
        </w:rPr>
        <w:t> </w:t>
      </w:r>
      <w:r>
        <w:rPr>
          <w:sz w:val="20"/>
        </w:rPr>
        <w:t>Gobernación</w:t>
      </w:r>
      <w:r>
        <w:rPr>
          <w:spacing w:val="-13"/>
          <w:sz w:val="20"/>
        </w:rPr>
        <w:t> </w:t>
      </w:r>
      <w:r>
        <w:rPr>
          <w:sz w:val="20"/>
        </w:rPr>
        <w:t>de</w:t>
      </w:r>
      <w:r>
        <w:rPr>
          <w:spacing w:val="-13"/>
          <w:sz w:val="20"/>
        </w:rPr>
        <w:t> </w:t>
      </w:r>
      <w:r>
        <w:rPr>
          <w:sz w:val="20"/>
        </w:rPr>
        <w:t>Salta</w:t>
      </w:r>
      <w:r>
        <w:rPr>
          <w:spacing w:val="-13"/>
          <w:sz w:val="20"/>
        </w:rPr>
        <w:t> </w:t>
      </w:r>
      <w:r>
        <w:rPr>
          <w:sz w:val="20"/>
        </w:rPr>
        <w:t>y</w:t>
      </w:r>
      <w:r>
        <w:rPr>
          <w:spacing w:val="-10"/>
          <w:sz w:val="20"/>
        </w:rPr>
        <w:t> </w:t>
      </w:r>
      <w:r>
        <w:rPr>
          <w:sz w:val="20"/>
        </w:rPr>
        <w:t>el</w:t>
      </w:r>
      <w:r>
        <w:rPr>
          <w:spacing w:val="-14"/>
          <w:sz w:val="20"/>
        </w:rPr>
        <w:t> </w:t>
      </w:r>
      <w:r>
        <w:rPr>
          <w:sz w:val="20"/>
        </w:rPr>
        <w:t>coordinador</w:t>
      </w:r>
      <w:r>
        <w:rPr>
          <w:spacing w:val="-13"/>
          <w:sz w:val="20"/>
        </w:rPr>
        <w:t> </w:t>
      </w:r>
      <w:r>
        <w:rPr>
          <w:sz w:val="20"/>
        </w:rPr>
        <w:t>general</w:t>
      </w:r>
      <w:r>
        <w:rPr>
          <w:spacing w:val="-11"/>
          <w:sz w:val="20"/>
        </w:rPr>
        <w:t> </w:t>
      </w:r>
      <w:r>
        <w:rPr>
          <w:sz w:val="20"/>
        </w:rPr>
        <w:t>de</w:t>
      </w:r>
      <w:r>
        <w:rPr>
          <w:spacing w:val="-13"/>
          <w:sz w:val="20"/>
        </w:rPr>
        <w:t> </w:t>
      </w:r>
      <w:r>
        <w:rPr>
          <w:sz w:val="20"/>
        </w:rPr>
        <w:t>Lhaka</w:t>
      </w:r>
      <w:r>
        <w:rPr>
          <w:spacing w:val="-12"/>
          <w:sz w:val="20"/>
        </w:rPr>
        <w:t> </w:t>
      </w:r>
      <w:r>
        <w:rPr>
          <w:sz w:val="20"/>
        </w:rPr>
        <w:t>Honhat,</w:t>
      </w:r>
      <w:r>
        <w:rPr>
          <w:spacing w:val="-6"/>
          <w:sz w:val="20"/>
        </w:rPr>
        <w:t> </w:t>
      </w:r>
      <w:r>
        <w:rPr>
          <w:sz w:val="20"/>
        </w:rPr>
        <w:t>se</w:t>
      </w:r>
      <w:r>
        <w:rPr>
          <w:spacing w:val="-15"/>
          <w:sz w:val="20"/>
        </w:rPr>
        <w:t> </w:t>
      </w:r>
      <w:r>
        <w:rPr>
          <w:sz w:val="20"/>
        </w:rPr>
        <w:t>acordó que</w:t>
      </w:r>
      <w:r>
        <w:rPr>
          <w:spacing w:val="-7"/>
          <w:sz w:val="20"/>
        </w:rPr>
        <w:t> </w:t>
      </w:r>
      <w:r>
        <w:rPr>
          <w:sz w:val="20"/>
        </w:rPr>
        <w:t>las</w:t>
      </w:r>
      <w:r>
        <w:rPr>
          <w:spacing w:val="-6"/>
          <w:sz w:val="20"/>
        </w:rPr>
        <w:t> </w:t>
      </w:r>
      <w:r>
        <w:rPr>
          <w:sz w:val="20"/>
        </w:rPr>
        <w:t>tierras</w:t>
      </w:r>
      <w:r>
        <w:rPr>
          <w:spacing w:val="-6"/>
          <w:sz w:val="20"/>
        </w:rPr>
        <w:t> </w:t>
      </w:r>
      <w:r>
        <w:rPr>
          <w:sz w:val="20"/>
        </w:rPr>
        <w:t>debían</w:t>
      </w:r>
      <w:r>
        <w:rPr>
          <w:spacing w:val="-4"/>
          <w:sz w:val="20"/>
        </w:rPr>
        <w:t> </w:t>
      </w:r>
      <w:r>
        <w:rPr>
          <w:sz w:val="20"/>
        </w:rPr>
        <w:t>respetar</w:t>
      </w:r>
      <w:r>
        <w:rPr>
          <w:spacing w:val="-6"/>
          <w:sz w:val="20"/>
        </w:rPr>
        <w:t> </w:t>
      </w:r>
      <w:r>
        <w:rPr>
          <w:sz w:val="20"/>
        </w:rPr>
        <w:t>la</w:t>
      </w:r>
      <w:r>
        <w:rPr>
          <w:spacing w:val="-3"/>
          <w:sz w:val="20"/>
        </w:rPr>
        <w:t> </w:t>
      </w:r>
      <w:r>
        <w:rPr>
          <w:sz w:val="20"/>
        </w:rPr>
        <w:t>ocupación</w:t>
      </w:r>
      <w:r>
        <w:rPr>
          <w:spacing w:val="-4"/>
          <w:sz w:val="20"/>
        </w:rPr>
        <w:t> </w:t>
      </w:r>
      <w:r>
        <w:rPr>
          <w:sz w:val="20"/>
        </w:rPr>
        <w:t>tradicional,</w:t>
      </w:r>
      <w:r>
        <w:rPr>
          <w:spacing w:val="-5"/>
          <w:sz w:val="20"/>
        </w:rPr>
        <w:t> </w:t>
      </w:r>
      <w:r>
        <w:rPr>
          <w:sz w:val="20"/>
        </w:rPr>
        <w:t>es</w:t>
      </w:r>
      <w:r>
        <w:rPr>
          <w:spacing w:val="-6"/>
          <w:sz w:val="20"/>
        </w:rPr>
        <w:t> </w:t>
      </w:r>
      <w:r>
        <w:rPr>
          <w:sz w:val="20"/>
        </w:rPr>
        <w:t>decir,</w:t>
      </w:r>
      <w:r>
        <w:rPr>
          <w:spacing w:val="-6"/>
          <w:sz w:val="20"/>
        </w:rPr>
        <w:t> </w:t>
      </w:r>
      <w:r>
        <w:rPr>
          <w:sz w:val="20"/>
        </w:rPr>
        <w:t>un</w:t>
      </w:r>
      <w:r>
        <w:rPr>
          <w:spacing w:val="-5"/>
          <w:sz w:val="20"/>
        </w:rPr>
        <w:t> </w:t>
      </w:r>
      <w:r>
        <w:rPr>
          <w:sz w:val="20"/>
        </w:rPr>
        <w:t>mínimo</w:t>
      </w:r>
      <w:r>
        <w:rPr>
          <w:spacing w:val="-6"/>
          <w:sz w:val="20"/>
        </w:rPr>
        <w:t> </w:t>
      </w:r>
      <w:r>
        <w:rPr>
          <w:sz w:val="20"/>
        </w:rPr>
        <w:t>de</w:t>
      </w:r>
      <w:r>
        <w:rPr>
          <w:spacing w:val="-7"/>
          <w:sz w:val="20"/>
        </w:rPr>
        <w:t> </w:t>
      </w:r>
      <w:r>
        <w:rPr>
          <w:sz w:val="20"/>
        </w:rPr>
        <w:t>400.000 ha</w:t>
      </w:r>
      <w:r>
        <w:rPr>
          <w:spacing w:val="-11"/>
          <w:sz w:val="20"/>
        </w:rPr>
        <w:t> </w:t>
      </w:r>
      <w:r>
        <w:rPr>
          <w:sz w:val="20"/>
        </w:rPr>
        <w:t>en</w:t>
      </w:r>
      <w:r>
        <w:rPr>
          <w:spacing w:val="-10"/>
          <w:sz w:val="20"/>
        </w:rPr>
        <w:t> </w:t>
      </w:r>
      <w:r>
        <w:rPr>
          <w:sz w:val="20"/>
        </w:rPr>
        <w:t>un</w:t>
      </w:r>
      <w:r>
        <w:rPr>
          <w:spacing w:val="-10"/>
          <w:sz w:val="20"/>
        </w:rPr>
        <w:t> </w:t>
      </w:r>
      <w:r>
        <w:rPr>
          <w:sz w:val="20"/>
        </w:rPr>
        <w:t>título</w:t>
      </w:r>
      <w:r>
        <w:rPr>
          <w:spacing w:val="-12"/>
          <w:sz w:val="20"/>
        </w:rPr>
        <w:t> </w:t>
      </w:r>
      <w:r>
        <w:rPr>
          <w:sz w:val="20"/>
        </w:rPr>
        <w:t>único.</w:t>
      </w:r>
      <w:r>
        <w:rPr>
          <w:spacing w:val="-12"/>
          <w:sz w:val="20"/>
        </w:rPr>
        <w:t> </w:t>
      </w:r>
      <w:r>
        <w:rPr>
          <w:sz w:val="20"/>
        </w:rPr>
        <w:t>Al</w:t>
      </w:r>
      <w:r>
        <w:rPr>
          <w:spacing w:val="-11"/>
          <w:sz w:val="20"/>
        </w:rPr>
        <w:t> </w:t>
      </w:r>
      <w:r>
        <w:rPr>
          <w:sz w:val="20"/>
        </w:rPr>
        <w:t>respecto,</w:t>
      </w:r>
      <w:r>
        <w:rPr>
          <w:spacing w:val="-12"/>
          <w:sz w:val="20"/>
        </w:rPr>
        <w:t> </w:t>
      </w:r>
      <w:r>
        <w:rPr>
          <w:sz w:val="20"/>
        </w:rPr>
        <w:t>los</w:t>
      </w:r>
      <w:r>
        <w:rPr>
          <w:spacing w:val="-10"/>
          <w:sz w:val="20"/>
        </w:rPr>
        <w:t> </w:t>
      </w:r>
      <w:r>
        <w:rPr>
          <w:sz w:val="20"/>
        </w:rPr>
        <w:t>representantes</w:t>
      </w:r>
      <w:r>
        <w:rPr>
          <w:spacing w:val="-12"/>
          <w:sz w:val="20"/>
        </w:rPr>
        <w:t> </w:t>
      </w:r>
      <w:r>
        <w:rPr>
          <w:sz w:val="20"/>
        </w:rPr>
        <w:t>indicaron</w:t>
      </w:r>
      <w:r>
        <w:rPr>
          <w:spacing w:val="-10"/>
          <w:sz w:val="20"/>
        </w:rPr>
        <w:t> </w:t>
      </w:r>
      <w:r>
        <w:rPr>
          <w:sz w:val="20"/>
        </w:rPr>
        <w:t>que</w:t>
      </w:r>
      <w:r>
        <w:rPr>
          <w:spacing w:val="-13"/>
          <w:sz w:val="20"/>
        </w:rPr>
        <w:t> </w:t>
      </w:r>
      <w:r>
        <w:rPr>
          <w:sz w:val="20"/>
        </w:rPr>
        <w:t>luego</w:t>
      </w:r>
      <w:r>
        <w:rPr>
          <w:spacing w:val="-10"/>
          <w:sz w:val="20"/>
        </w:rPr>
        <w:t> </w:t>
      </w:r>
      <w:r>
        <w:rPr>
          <w:sz w:val="20"/>
        </w:rPr>
        <w:t>del</w:t>
      </w:r>
      <w:r>
        <w:rPr>
          <w:spacing w:val="-11"/>
          <w:sz w:val="20"/>
        </w:rPr>
        <w:t> </w:t>
      </w:r>
      <w:r>
        <w:rPr>
          <w:sz w:val="20"/>
        </w:rPr>
        <w:t>mapeo</w:t>
      </w:r>
      <w:r>
        <w:rPr>
          <w:spacing w:val="-12"/>
          <w:sz w:val="20"/>
        </w:rPr>
        <w:t> </w:t>
      </w:r>
      <w:r>
        <w:rPr>
          <w:sz w:val="20"/>
        </w:rPr>
        <w:t>que se</w:t>
      </w:r>
      <w:r>
        <w:rPr>
          <w:spacing w:val="21"/>
          <w:sz w:val="20"/>
        </w:rPr>
        <w:t> </w:t>
      </w:r>
      <w:r>
        <w:rPr>
          <w:sz w:val="20"/>
        </w:rPr>
        <w:t>realizó</w:t>
      </w:r>
      <w:r>
        <w:rPr>
          <w:spacing w:val="22"/>
          <w:sz w:val="20"/>
        </w:rPr>
        <w:t> </w:t>
      </w:r>
      <w:r>
        <w:rPr>
          <w:sz w:val="20"/>
        </w:rPr>
        <w:t>a</w:t>
      </w:r>
      <w:r>
        <w:rPr>
          <w:spacing w:val="23"/>
          <w:sz w:val="20"/>
        </w:rPr>
        <w:t> </w:t>
      </w:r>
      <w:r>
        <w:rPr>
          <w:sz w:val="20"/>
        </w:rPr>
        <w:t>principios</w:t>
      </w:r>
      <w:r>
        <w:rPr>
          <w:spacing w:val="22"/>
          <w:sz w:val="20"/>
        </w:rPr>
        <w:t> </w:t>
      </w:r>
      <w:r>
        <w:rPr>
          <w:sz w:val="20"/>
        </w:rPr>
        <w:t>de</w:t>
      </w:r>
      <w:r>
        <w:rPr>
          <w:spacing w:val="19"/>
          <w:sz w:val="20"/>
        </w:rPr>
        <w:t> </w:t>
      </w:r>
      <w:r>
        <w:rPr>
          <w:sz w:val="20"/>
        </w:rPr>
        <w:t>2000,</w:t>
      </w:r>
      <w:r>
        <w:rPr>
          <w:spacing w:val="22"/>
          <w:sz w:val="20"/>
        </w:rPr>
        <w:t> </w:t>
      </w:r>
      <w:r>
        <w:rPr>
          <w:sz w:val="20"/>
        </w:rPr>
        <w:t>se</w:t>
      </w:r>
      <w:r>
        <w:rPr>
          <w:spacing w:val="21"/>
          <w:sz w:val="20"/>
        </w:rPr>
        <w:t> </w:t>
      </w:r>
      <w:r>
        <w:rPr>
          <w:sz w:val="20"/>
        </w:rPr>
        <w:t>concluyó</w:t>
      </w:r>
      <w:r>
        <w:rPr>
          <w:spacing w:val="20"/>
          <w:sz w:val="20"/>
        </w:rPr>
        <w:t> </w:t>
      </w:r>
      <w:r>
        <w:rPr>
          <w:sz w:val="20"/>
        </w:rPr>
        <w:t>que</w:t>
      </w:r>
      <w:r>
        <w:rPr>
          <w:spacing w:val="19"/>
          <w:sz w:val="20"/>
        </w:rPr>
        <w:t> </w:t>
      </w:r>
      <w:r>
        <w:rPr>
          <w:sz w:val="20"/>
        </w:rPr>
        <w:t>las</w:t>
      </w:r>
      <w:r>
        <w:rPr>
          <w:spacing w:val="25"/>
          <w:sz w:val="20"/>
        </w:rPr>
        <w:t> </w:t>
      </w:r>
      <w:r>
        <w:rPr>
          <w:sz w:val="20"/>
        </w:rPr>
        <w:t>comunidades</w:t>
      </w:r>
      <w:r>
        <w:rPr>
          <w:spacing w:val="20"/>
          <w:sz w:val="20"/>
        </w:rPr>
        <w:t> </w:t>
      </w:r>
      <w:r>
        <w:rPr>
          <w:sz w:val="20"/>
        </w:rPr>
        <w:t>utilizaban</w:t>
      </w:r>
      <w:r>
        <w:rPr>
          <w:spacing w:val="22"/>
          <w:sz w:val="20"/>
        </w:rPr>
        <w:t> </w:t>
      </w:r>
      <w:r>
        <w:rPr>
          <w:sz w:val="20"/>
        </w:rPr>
        <w:t>cerca</w:t>
      </w:r>
      <w:r>
        <w:rPr>
          <w:spacing w:val="23"/>
          <w:sz w:val="20"/>
        </w:rPr>
        <w:t> </w:t>
      </w:r>
      <w:r>
        <w:rPr>
          <w:sz w:val="20"/>
        </w:rPr>
        <w:t>de</w:t>
      </w:r>
    </w:p>
    <w:p>
      <w:pPr>
        <w:pStyle w:val="BodyText"/>
        <w:spacing w:line="250" w:lineRule="exact"/>
        <w:ind w:left="122"/>
        <w:jc w:val="both"/>
      </w:pPr>
      <w:r>
        <w:rPr/>
        <w:t>530.000 ha, pero que estas decidieron reducir su reclamo a 400.000 ha</w:t>
      </w:r>
      <w:r>
        <w:rPr>
          <w:rFonts w:ascii="Calibri"/>
          <w:position w:val="8"/>
          <w:sz w:val="14"/>
        </w:rPr>
        <w:t>70</w:t>
      </w:r>
      <w:r>
        <w:rPr/>
        <w:t>.</w:t>
      </w:r>
    </w:p>
    <w:p>
      <w:pPr>
        <w:pStyle w:val="BodyText"/>
        <w:spacing w:before="7"/>
        <w:rPr>
          <w:sz w:val="23"/>
        </w:rPr>
      </w:pPr>
    </w:p>
    <w:p>
      <w:pPr>
        <w:pStyle w:val="Heading4"/>
        <w:numPr>
          <w:ilvl w:val="1"/>
          <w:numId w:val="20"/>
        </w:numPr>
        <w:tabs>
          <w:tab w:pos="1188" w:val="left" w:leader="none"/>
        </w:tabs>
        <w:spacing w:line="240" w:lineRule="auto" w:before="0" w:after="0"/>
        <w:ind w:left="1187" w:right="0" w:hanging="499"/>
        <w:jc w:val="left"/>
        <w:rPr>
          <w:i/>
        </w:rPr>
      </w:pPr>
      <w:bookmarkStart w:name="_bookmark25" w:id="41"/>
      <w:bookmarkEnd w:id="41"/>
      <w:r>
        <w:rPr>
          <w:b w:val="0"/>
          <w:i w:val="0"/>
        </w:rPr>
      </w:r>
      <w:bookmarkStart w:name="_bookmark25" w:id="42"/>
      <w:bookmarkEnd w:id="42"/>
      <w:r>
        <w:rPr>
          <w:i/>
        </w:rPr>
        <w:t>C</w:t>
      </w:r>
      <w:r>
        <w:rPr>
          <w:i/>
        </w:rPr>
        <w:t>uarta fase (a partir de</w:t>
      </w:r>
      <w:r>
        <w:rPr>
          <w:i/>
          <w:spacing w:val="-13"/>
        </w:rPr>
        <w:t> </w:t>
      </w:r>
      <w:r>
        <w:rPr>
          <w:i/>
        </w:rPr>
        <w:t>2007)</w:t>
      </w:r>
    </w:p>
    <w:p>
      <w:pPr>
        <w:pStyle w:val="BodyText"/>
        <w:rPr>
          <w:b/>
          <w:i/>
        </w:rPr>
      </w:pPr>
    </w:p>
    <w:p>
      <w:pPr>
        <w:pStyle w:val="ListParagraph"/>
        <w:numPr>
          <w:ilvl w:val="2"/>
          <w:numId w:val="20"/>
        </w:numPr>
        <w:tabs>
          <w:tab w:pos="1582" w:val="left" w:leader="none"/>
        </w:tabs>
        <w:spacing w:line="240" w:lineRule="auto" w:before="0" w:after="0"/>
        <w:ind w:left="1581" w:right="0" w:hanging="607"/>
        <w:jc w:val="left"/>
        <w:rPr>
          <w:i/>
          <w:sz w:val="20"/>
        </w:rPr>
      </w:pPr>
      <w:bookmarkStart w:name="_bookmark26" w:id="43"/>
      <w:bookmarkEnd w:id="43"/>
      <w:r>
        <w:rPr/>
      </w:r>
      <w:bookmarkStart w:name="_bookmark26" w:id="44"/>
      <w:bookmarkEnd w:id="44"/>
      <w:r>
        <w:rPr>
          <w:i/>
          <w:sz w:val="20"/>
          <w:u w:val="single"/>
        </w:rPr>
        <w:t>A</w:t>
      </w:r>
      <w:r>
        <w:rPr>
          <w:i/>
          <w:sz w:val="20"/>
          <w:u w:val="single"/>
        </w:rPr>
        <w:t>cta –Acuerdo de octubre de 2007 y actos para su</w:t>
      </w:r>
      <w:r>
        <w:rPr>
          <w:i/>
          <w:spacing w:val="-21"/>
          <w:sz w:val="20"/>
          <w:u w:val="single"/>
        </w:rPr>
        <w:t> </w:t>
      </w:r>
      <w:r>
        <w:rPr>
          <w:i/>
          <w:sz w:val="20"/>
          <w:u w:val="single"/>
        </w:rPr>
        <w:t>implementación</w:t>
      </w:r>
    </w:p>
    <w:p>
      <w:pPr>
        <w:pStyle w:val="BodyText"/>
        <w:spacing w:before="11"/>
        <w:rPr>
          <w:i/>
          <w:sz w:val="13"/>
        </w:rPr>
      </w:pPr>
    </w:p>
    <w:p>
      <w:pPr>
        <w:pStyle w:val="ListParagraph"/>
        <w:numPr>
          <w:ilvl w:val="0"/>
          <w:numId w:val="19"/>
        </w:numPr>
        <w:tabs>
          <w:tab w:pos="830" w:val="left" w:leader="none"/>
        </w:tabs>
        <w:spacing w:line="242" w:lineRule="auto" w:before="99" w:after="0"/>
        <w:ind w:left="122" w:right="115" w:hanging="12"/>
        <w:jc w:val="both"/>
        <w:rPr>
          <w:sz w:val="20"/>
        </w:rPr>
      </w:pPr>
      <w:r>
        <w:rPr>
          <w:sz w:val="20"/>
        </w:rPr>
        <w:t>El 1 de junio y el 24 de agosto de 2007, Lhaka Honhat y la Organización de Familias Criollas (OFC) acordaron, mediante actas, la superficie del territorio que le correspondería a los pueblos indígenas (400.000 ha), la que se destinaría para reubicar a las familias criollas que fuera necesario relocalizar y cuáles serían los criterios que se aplicarían en la distribución</w:t>
      </w:r>
      <w:r>
        <w:rPr>
          <w:rFonts w:ascii="Calibri" w:hAnsi="Calibri"/>
          <w:position w:val="8"/>
          <w:sz w:val="14"/>
        </w:rPr>
        <w:t>71</w:t>
      </w:r>
      <w:r>
        <w:rPr>
          <w:sz w:val="20"/>
        </w:rPr>
        <w:t>. El 17 de octubre de 2007 se suscribió un Acta-Acuerdo, con representación de Salta y el Estado Nacional, plasmando lo anterior</w:t>
      </w:r>
      <w:r>
        <w:rPr>
          <w:rFonts w:ascii="Calibri" w:hAnsi="Calibri"/>
          <w:position w:val="8"/>
          <w:sz w:val="14"/>
        </w:rPr>
        <w:t>72</w:t>
      </w:r>
      <w:r>
        <w:rPr>
          <w:sz w:val="20"/>
        </w:rPr>
        <w:t>. El 23 del mismo</w:t>
      </w:r>
      <w:r>
        <w:rPr>
          <w:spacing w:val="-16"/>
          <w:sz w:val="20"/>
        </w:rPr>
        <w:t> </w:t>
      </w:r>
      <w:r>
        <w:rPr>
          <w:sz w:val="20"/>
        </w:rPr>
        <w:t>mes</w:t>
      </w:r>
      <w:r>
        <w:rPr>
          <w:spacing w:val="-16"/>
          <w:sz w:val="20"/>
        </w:rPr>
        <w:t> </w:t>
      </w:r>
      <w:r>
        <w:rPr>
          <w:sz w:val="20"/>
        </w:rPr>
        <w:t>Salta</w:t>
      </w:r>
      <w:r>
        <w:rPr>
          <w:spacing w:val="-16"/>
          <w:sz w:val="20"/>
        </w:rPr>
        <w:t> </w:t>
      </w:r>
      <w:r>
        <w:rPr>
          <w:sz w:val="20"/>
        </w:rPr>
        <w:t>adoptó</w:t>
      </w:r>
      <w:r>
        <w:rPr>
          <w:spacing w:val="-16"/>
          <w:sz w:val="20"/>
        </w:rPr>
        <w:t> </w:t>
      </w:r>
      <w:r>
        <w:rPr>
          <w:sz w:val="20"/>
        </w:rPr>
        <w:t>el</w:t>
      </w:r>
      <w:r>
        <w:rPr>
          <w:spacing w:val="-15"/>
          <w:sz w:val="20"/>
        </w:rPr>
        <w:t> </w:t>
      </w:r>
      <w:r>
        <w:rPr>
          <w:sz w:val="20"/>
        </w:rPr>
        <w:t>Decreto</w:t>
      </w:r>
      <w:r>
        <w:rPr>
          <w:spacing w:val="-16"/>
          <w:sz w:val="20"/>
        </w:rPr>
        <w:t> </w:t>
      </w:r>
      <w:r>
        <w:rPr>
          <w:sz w:val="20"/>
        </w:rPr>
        <w:t>2786/07</w:t>
      </w:r>
      <w:r>
        <w:rPr>
          <w:position w:val="7"/>
          <w:sz w:val="13"/>
        </w:rPr>
        <w:t>73</w:t>
      </w:r>
      <w:r>
        <w:rPr>
          <w:sz w:val="20"/>
        </w:rPr>
        <w:t>,</w:t>
      </w:r>
      <w:r>
        <w:rPr>
          <w:spacing w:val="-18"/>
          <w:sz w:val="20"/>
        </w:rPr>
        <w:t> </w:t>
      </w:r>
      <w:r>
        <w:rPr>
          <w:sz w:val="20"/>
        </w:rPr>
        <w:t>que</w:t>
      </w:r>
      <w:r>
        <w:rPr>
          <w:spacing w:val="-19"/>
          <w:sz w:val="20"/>
        </w:rPr>
        <w:t> </w:t>
      </w:r>
      <w:r>
        <w:rPr>
          <w:sz w:val="20"/>
        </w:rPr>
        <w:t>aprobó</w:t>
      </w:r>
      <w:r>
        <w:rPr>
          <w:spacing w:val="-16"/>
          <w:sz w:val="20"/>
        </w:rPr>
        <w:t> </w:t>
      </w:r>
      <w:r>
        <w:rPr>
          <w:sz w:val="20"/>
        </w:rPr>
        <w:t>formalmente</w:t>
      </w:r>
      <w:r>
        <w:rPr>
          <w:spacing w:val="-14"/>
          <w:sz w:val="20"/>
        </w:rPr>
        <w:t> </w:t>
      </w:r>
      <w:r>
        <w:rPr>
          <w:sz w:val="20"/>
        </w:rPr>
        <w:t>el</w:t>
      </w:r>
      <w:r>
        <w:rPr>
          <w:spacing w:val="-17"/>
          <w:sz w:val="20"/>
        </w:rPr>
        <w:t> </w:t>
      </w:r>
      <w:r>
        <w:rPr>
          <w:sz w:val="20"/>
        </w:rPr>
        <w:t>Acta-Acuerdo y asignó la propiedad de los lotes 14 y 55 a sus ocupantes: 400.000 ha a las comunidades indígenas y 243.000 ha a la población criolla. Este Decreto dejó sin</w:t>
      </w:r>
      <w:r>
        <w:rPr>
          <w:spacing w:val="-41"/>
          <w:sz w:val="20"/>
        </w:rPr>
        <w:t> </w:t>
      </w:r>
      <w:r>
        <w:rPr>
          <w:sz w:val="20"/>
        </w:rPr>
        <w:t>efecto la obligación de las comunidades de obtener personería jurídica para alcanzar títulos individuales,</w:t>
      </w:r>
      <w:r>
        <w:rPr>
          <w:spacing w:val="-6"/>
          <w:sz w:val="20"/>
        </w:rPr>
        <w:t> </w:t>
      </w:r>
      <w:r>
        <w:rPr>
          <w:sz w:val="20"/>
        </w:rPr>
        <w:t>que</w:t>
      </w:r>
      <w:r>
        <w:rPr>
          <w:spacing w:val="-6"/>
          <w:sz w:val="20"/>
        </w:rPr>
        <w:t> </w:t>
      </w:r>
      <w:r>
        <w:rPr>
          <w:sz w:val="20"/>
        </w:rPr>
        <w:t>había</w:t>
      </w:r>
      <w:r>
        <w:rPr>
          <w:spacing w:val="-4"/>
          <w:sz w:val="20"/>
        </w:rPr>
        <w:t> </w:t>
      </w:r>
      <w:r>
        <w:rPr>
          <w:sz w:val="20"/>
        </w:rPr>
        <w:t>sido</w:t>
      </w:r>
      <w:r>
        <w:rPr>
          <w:spacing w:val="-3"/>
          <w:sz w:val="20"/>
        </w:rPr>
        <w:t> </w:t>
      </w:r>
      <w:r>
        <w:rPr>
          <w:sz w:val="20"/>
        </w:rPr>
        <w:t>establecida</w:t>
      </w:r>
      <w:r>
        <w:rPr>
          <w:spacing w:val="-3"/>
          <w:sz w:val="20"/>
        </w:rPr>
        <w:t> </w:t>
      </w:r>
      <w:r>
        <w:rPr>
          <w:sz w:val="20"/>
        </w:rPr>
        <w:t>en</w:t>
      </w:r>
      <w:r>
        <w:rPr>
          <w:spacing w:val="-6"/>
          <w:sz w:val="20"/>
        </w:rPr>
        <w:t> </w:t>
      </w:r>
      <w:r>
        <w:rPr>
          <w:sz w:val="20"/>
        </w:rPr>
        <w:t>la</w:t>
      </w:r>
      <w:r>
        <w:rPr>
          <w:spacing w:val="-4"/>
          <w:sz w:val="20"/>
        </w:rPr>
        <w:t> </w:t>
      </w:r>
      <w:r>
        <w:rPr>
          <w:sz w:val="20"/>
        </w:rPr>
        <w:t>Resolución</w:t>
      </w:r>
      <w:r>
        <w:rPr>
          <w:spacing w:val="-4"/>
          <w:sz w:val="20"/>
        </w:rPr>
        <w:t> </w:t>
      </w:r>
      <w:r>
        <w:rPr>
          <w:sz w:val="20"/>
        </w:rPr>
        <w:t>Ministerial</w:t>
      </w:r>
      <w:r>
        <w:rPr>
          <w:spacing w:val="-6"/>
          <w:sz w:val="20"/>
        </w:rPr>
        <w:t> </w:t>
      </w:r>
      <w:r>
        <w:rPr>
          <w:sz w:val="20"/>
        </w:rPr>
        <w:t>65/06</w:t>
      </w:r>
      <w:r>
        <w:rPr>
          <w:spacing w:val="-6"/>
          <w:sz w:val="20"/>
        </w:rPr>
        <w:t> </w:t>
      </w:r>
      <w:r>
        <w:rPr>
          <w:sz w:val="20"/>
        </w:rPr>
        <w:t>que</w:t>
      </w:r>
      <w:r>
        <w:rPr>
          <w:spacing w:val="-3"/>
          <w:sz w:val="20"/>
        </w:rPr>
        <w:t> </w:t>
      </w:r>
      <w:r>
        <w:rPr>
          <w:sz w:val="20"/>
        </w:rPr>
        <w:t>tenía</w:t>
      </w:r>
      <w:r>
        <w:rPr>
          <w:spacing w:val="-6"/>
          <w:sz w:val="20"/>
        </w:rPr>
        <w:t> </w:t>
      </w:r>
      <w:r>
        <w:rPr>
          <w:sz w:val="20"/>
        </w:rPr>
        <w:t>por fin ejecutar los resultados del</w:t>
      </w:r>
      <w:r>
        <w:rPr>
          <w:spacing w:val="-18"/>
          <w:sz w:val="20"/>
        </w:rPr>
        <w:t> </w:t>
      </w:r>
      <w:r>
        <w:rPr>
          <w:sz w:val="20"/>
        </w:rPr>
        <w:t>referéndum.</w:t>
      </w:r>
    </w:p>
    <w:p>
      <w:pPr>
        <w:pStyle w:val="ListParagraph"/>
        <w:numPr>
          <w:ilvl w:val="0"/>
          <w:numId w:val="19"/>
        </w:numPr>
        <w:tabs>
          <w:tab w:pos="830" w:val="left" w:leader="none"/>
        </w:tabs>
        <w:spacing w:line="240" w:lineRule="auto" w:before="194" w:after="0"/>
        <w:ind w:left="122" w:right="117" w:hanging="12"/>
        <w:jc w:val="both"/>
        <w:rPr>
          <w:sz w:val="20"/>
        </w:rPr>
      </w:pPr>
      <w:r>
        <w:rPr>
          <w:sz w:val="20"/>
        </w:rPr>
        <w:t>El</w:t>
      </w:r>
      <w:r>
        <w:rPr>
          <w:spacing w:val="-5"/>
          <w:sz w:val="20"/>
        </w:rPr>
        <w:t> </w:t>
      </w:r>
      <w:r>
        <w:rPr>
          <w:sz w:val="20"/>
        </w:rPr>
        <w:t>28</w:t>
      </w:r>
      <w:r>
        <w:rPr>
          <w:spacing w:val="-5"/>
          <w:sz w:val="20"/>
        </w:rPr>
        <w:t> </w:t>
      </w:r>
      <w:r>
        <w:rPr>
          <w:sz w:val="20"/>
        </w:rPr>
        <w:t>de</w:t>
      </w:r>
      <w:r>
        <w:rPr>
          <w:spacing w:val="-7"/>
          <w:sz w:val="20"/>
        </w:rPr>
        <w:t> </w:t>
      </w:r>
      <w:r>
        <w:rPr>
          <w:sz w:val="20"/>
        </w:rPr>
        <w:t>octubre</w:t>
      </w:r>
      <w:r>
        <w:rPr>
          <w:spacing w:val="-5"/>
          <w:sz w:val="20"/>
        </w:rPr>
        <w:t> </w:t>
      </w:r>
      <w:r>
        <w:rPr>
          <w:sz w:val="20"/>
        </w:rPr>
        <w:t>de</w:t>
      </w:r>
      <w:r>
        <w:rPr>
          <w:spacing w:val="-7"/>
          <w:sz w:val="20"/>
        </w:rPr>
        <w:t> </w:t>
      </w:r>
      <w:r>
        <w:rPr>
          <w:sz w:val="20"/>
        </w:rPr>
        <w:t>2008</w:t>
      </w:r>
      <w:r>
        <w:rPr>
          <w:spacing w:val="-5"/>
          <w:sz w:val="20"/>
        </w:rPr>
        <w:t> </w:t>
      </w:r>
      <w:r>
        <w:rPr>
          <w:sz w:val="20"/>
        </w:rPr>
        <w:t>Salta</w:t>
      </w:r>
      <w:r>
        <w:rPr>
          <w:spacing w:val="-5"/>
          <w:sz w:val="20"/>
        </w:rPr>
        <w:t> </w:t>
      </w:r>
      <w:r>
        <w:rPr>
          <w:sz w:val="20"/>
        </w:rPr>
        <w:t>aprobó</w:t>
      </w:r>
      <w:r>
        <w:rPr>
          <w:spacing w:val="-4"/>
          <w:sz w:val="20"/>
        </w:rPr>
        <w:t> </w:t>
      </w:r>
      <w:r>
        <w:rPr>
          <w:sz w:val="20"/>
        </w:rPr>
        <w:t>el</w:t>
      </w:r>
      <w:r>
        <w:rPr>
          <w:spacing w:val="-5"/>
          <w:sz w:val="20"/>
        </w:rPr>
        <w:t> </w:t>
      </w:r>
      <w:r>
        <w:rPr>
          <w:sz w:val="20"/>
        </w:rPr>
        <w:t>Decreto</w:t>
      </w:r>
      <w:r>
        <w:rPr>
          <w:spacing w:val="-7"/>
          <w:sz w:val="20"/>
        </w:rPr>
        <w:t> </w:t>
      </w:r>
      <w:r>
        <w:rPr>
          <w:sz w:val="20"/>
        </w:rPr>
        <w:t>4705/08</w:t>
      </w:r>
      <w:r>
        <w:rPr>
          <w:spacing w:val="1"/>
          <w:sz w:val="20"/>
        </w:rPr>
        <w:t> </w:t>
      </w:r>
      <w:r>
        <w:rPr>
          <w:sz w:val="20"/>
        </w:rPr>
        <w:t>con</w:t>
      </w:r>
      <w:r>
        <w:rPr>
          <w:spacing w:val="-5"/>
          <w:sz w:val="20"/>
        </w:rPr>
        <w:t> </w:t>
      </w:r>
      <w:r>
        <w:rPr>
          <w:sz w:val="20"/>
        </w:rPr>
        <w:t>el</w:t>
      </w:r>
      <w:r>
        <w:rPr>
          <w:spacing w:val="-2"/>
          <w:sz w:val="20"/>
        </w:rPr>
        <w:t> </w:t>
      </w:r>
      <w:r>
        <w:rPr>
          <w:sz w:val="20"/>
        </w:rPr>
        <w:t>cual</w:t>
      </w:r>
      <w:r>
        <w:rPr>
          <w:spacing w:val="-5"/>
          <w:sz w:val="20"/>
        </w:rPr>
        <w:t> </w:t>
      </w:r>
      <w:r>
        <w:rPr>
          <w:sz w:val="20"/>
        </w:rPr>
        <w:t>se</w:t>
      </w:r>
      <w:r>
        <w:rPr>
          <w:spacing w:val="-7"/>
          <w:sz w:val="20"/>
        </w:rPr>
        <w:t> </w:t>
      </w:r>
      <w:r>
        <w:rPr>
          <w:sz w:val="20"/>
        </w:rPr>
        <w:t>creó</w:t>
      </w:r>
      <w:r>
        <w:rPr>
          <w:spacing w:val="-7"/>
          <w:sz w:val="20"/>
        </w:rPr>
        <w:t> </w:t>
      </w:r>
      <w:r>
        <w:rPr>
          <w:sz w:val="20"/>
        </w:rPr>
        <w:t>un equipo técnico, integrado por la UEP, para avanzar en la entrega de tierras. Más adelante, en 2009, año en que se sostuvieron una serie de reuniones entre criollos e indígenas, Salta emitió la Resolución 340/09, que establece la lista definitiva de pobladores criollos que cumplían requisitos, previamente establecidos, para acreditar</w:t>
      </w:r>
      <w:r>
        <w:rPr>
          <w:spacing w:val="-30"/>
          <w:sz w:val="20"/>
        </w:rPr>
        <w:t> </w:t>
      </w:r>
      <w:r>
        <w:rPr>
          <w:sz w:val="20"/>
        </w:rPr>
        <w:t>la ocupación de</w:t>
      </w:r>
      <w:r>
        <w:rPr>
          <w:spacing w:val="-9"/>
          <w:sz w:val="20"/>
        </w:rPr>
        <w:t> </w:t>
      </w:r>
      <w:r>
        <w:rPr>
          <w:sz w:val="20"/>
        </w:rPr>
        <w:t>tierras</w:t>
      </w:r>
      <w:r>
        <w:rPr>
          <w:rFonts w:ascii="Calibri" w:hAnsi="Calibri"/>
          <w:position w:val="8"/>
          <w:sz w:val="14"/>
        </w:rPr>
        <w:t>74</w:t>
      </w:r>
      <w:r>
        <w:rPr>
          <w:sz w:val="20"/>
        </w:rPr>
        <w:t>.</w:t>
      </w:r>
    </w:p>
    <w:p>
      <w:pPr>
        <w:pStyle w:val="BodyText"/>
      </w:pPr>
    </w:p>
    <w:p>
      <w:pPr>
        <w:pStyle w:val="BodyText"/>
      </w:pPr>
    </w:p>
    <w:p>
      <w:pPr>
        <w:pStyle w:val="BodyText"/>
        <w:spacing w:before="2"/>
        <w:rPr>
          <w:sz w:val="24"/>
        </w:rPr>
      </w:pPr>
      <w:r>
        <w:rPr/>
        <w:pict>
          <v:line style="position:absolute;mso-position-horizontal-relative:page;mso-position-vertical-relative:paragraph;z-index:1648;mso-wrap-distance-left:0;mso-wrap-distance-right:0" from="85.103996pt,17.043549pt" to="229.123996pt,17.043549pt" stroked="true" strokeweight=".71997pt" strokecolor="#000000">
            <v:stroke dashstyle="solid"/>
            <w10:wrap type="topAndBottom"/>
          </v:line>
        </w:pict>
      </w:r>
    </w:p>
    <w:p>
      <w:pPr>
        <w:tabs>
          <w:tab w:pos="829" w:val="left" w:leader="none"/>
        </w:tabs>
        <w:spacing w:before="71"/>
        <w:ind w:left="122" w:right="120" w:firstLine="0"/>
        <w:jc w:val="left"/>
        <w:rPr>
          <w:sz w:val="16"/>
        </w:rPr>
      </w:pPr>
      <w:r>
        <w:rPr>
          <w:position w:val="6"/>
          <w:sz w:val="10"/>
        </w:rPr>
        <w:t>69</w:t>
        <w:tab/>
      </w:r>
      <w:r>
        <w:rPr>
          <w:i/>
          <w:sz w:val="16"/>
        </w:rPr>
        <w:t>Cfr. </w:t>
      </w:r>
      <w:r>
        <w:rPr>
          <w:sz w:val="16"/>
        </w:rPr>
        <w:t>Decretos 2406/05 y 2407/05, y Resolución 65/06. Expediente de prueba, anexos E.1, E.2</w:t>
      </w:r>
      <w:r>
        <w:rPr>
          <w:spacing w:val="-27"/>
          <w:sz w:val="16"/>
        </w:rPr>
        <w:t> </w:t>
      </w:r>
      <w:r>
        <w:rPr>
          <w:sz w:val="16"/>
        </w:rPr>
        <w:t>y</w:t>
      </w:r>
      <w:r>
        <w:rPr>
          <w:spacing w:val="-3"/>
          <w:sz w:val="16"/>
        </w:rPr>
        <w:t> </w:t>
      </w:r>
      <w:r>
        <w:rPr>
          <w:sz w:val="16"/>
        </w:rPr>
        <w:t>E.3,</w:t>
      </w:r>
      <w:r>
        <w:rPr>
          <w:w w:val="100"/>
          <w:sz w:val="16"/>
        </w:rPr>
        <w:t> </w:t>
      </w:r>
      <w:r>
        <w:rPr>
          <w:sz w:val="16"/>
        </w:rPr>
        <w:t>fs. 30.559 a 30.561, 30.562 a 30.566 y 30.568 a 30.573,</w:t>
      </w:r>
      <w:r>
        <w:rPr>
          <w:spacing w:val="-38"/>
          <w:sz w:val="16"/>
        </w:rPr>
        <w:t> </w:t>
      </w:r>
      <w:r>
        <w:rPr>
          <w:sz w:val="16"/>
        </w:rPr>
        <w:t>respectivamente.</w:t>
      </w:r>
    </w:p>
    <w:p>
      <w:pPr>
        <w:pStyle w:val="BodyText"/>
        <w:spacing w:before="11"/>
        <w:rPr>
          <w:sz w:val="15"/>
        </w:rPr>
      </w:pPr>
    </w:p>
    <w:p>
      <w:pPr>
        <w:tabs>
          <w:tab w:pos="829" w:val="left" w:leader="none"/>
        </w:tabs>
        <w:spacing w:before="0"/>
        <w:ind w:left="122" w:right="119" w:firstLine="0"/>
        <w:jc w:val="left"/>
        <w:rPr>
          <w:sz w:val="16"/>
        </w:rPr>
      </w:pPr>
      <w:r>
        <w:rPr>
          <w:position w:val="6"/>
          <w:sz w:val="10"/>
        </w:rPr>
        <w:t>70</w:t>
        <w:tab/>
      </w:r>
      <w:r>
        <w:rPr>
          <w:i/>
          <w:sz w:val="16"/>
        </w:rPr>
        <w:t>Cfr. </w:t>
      </w:r>
      <w:r>
        <w:rPr>
          <w:color w:val="222222"/>
          <w:sz w:val="16"/>
        </w:rPr>
        <w:t>Acta de </w:t>
      </w:r>
      <w:r>
        <w:rPr>
          <w:color w:val="0D0D0D"/>
          <w:sz w:val="16"/>
        </w:rPr>
        <w:t>14 </w:t>
      </w:r>
      <w:r>
        <w:rPr>
          <w:color w:val="222222"/>
          <w:sz w:val="16"/>
        </w:rPr>
        <w:t>de </w:t>
      </w:r>
      <w:r>
        <w:rPr>
          <w:color w:val="0D0D0D"/>
          <w:sz w:val="16"/>
        </w:rPr>
        <w:t>marzo </w:t>
      </w:r>
      <w:r>
        <w:rPr>
          <w:color w:val="222222"/>
          <w:sz w:val="16"/>
        </w:rPr>
        <w:t>de 2006</w:t>
      </w:r>
      <w:r>
        <w:rPr>
          <w:color w:val="0D0D0D"/>
          <w:sz w:val="16"/>
        </w:rPr>
        <w:t>. Expediente de prueba, anexo 32 al Informe de Fondo, fs. </w:t>
      </w:r>
      <w:r>
        <w:rPr>
          <w:color w:val="0D0D0D"/>
          <w:spacing w:val="52"/>
          <w:sz w:val="16"/>
        </w:rPr>
        <w:t> </w:t>
      </w:r>
      <w:r>
        <w:rPr>
          <w:color w:val="0D0D0D"/>
          <w:sz w:val="16"/>
        </w:rPr>
        <w:t>422</w:t>
      </w:r>
      <w:r>
        <w:rPr>
          <w:color w:val="0D0D0D"/>
          <w:spacing w:val="6"/>
          <w:sz w:val="16"/>
        </w:rPr>
        <w:t> </w:t>
      </w:r>
      <w:r>
        <w:rPr>
          <w:color w:val="0D0D0D"/>
          <w:sz w:val="16"/>
        </w:rPr>
        <w:t>a</w:t>
      </w:r>
      <w:r>
        <w:rPr>
          <w:color w:val="0D0D0D"/>
          <w:w w:val="100"/>
          <w:sz w:val="16"/>
        </w:rPr>
        <w:t> </w:t>
      </w:r>
      <w:r>
        <w:rPr>
          <w:color w:val="0D0D0D"/>
          <w:sz w:val="16"/>
        </w:rPr>
        <w:t>424.</w:t>
      </w:r>
    </w:p>
    <w:p>
      <w:pPr>
        <w:pStyle w:val="BodyText"/>
        <w:spacing w:before="12"/>
        <w:rPr>
          <w:sz w:val="15"/>
        </w:rPr>
      </w:pPr>
    </w:p>
    <w:p>
      <w:pPr>
        <w:tabs>
          <w:tab w:pos="829" w:val="left" w:leader="none"/>
        </w:tabs>
        <w:spacing w:before="0"/>
        <w:ind w:left="122" w:right="123" w:firstLine="0"/>
        <w:jc w:val="left"/>
        <w:rPr>
          <w:sz w:val="16"/>
        </w:rPr>
      </w:pPr>
      <w:r>
        <w:rPr>
          <w:position w:val="6"/>
          <w:sz w:val="10"/>
        </w:rPr>
        <w:t>71</w:t>
        <w:tab/>
      </w:r>
      <w:r>
        <w:rPr>
          <w:i/>
          <w:sz w:val="16"/>
        </w:rPr>
        <w:t>Cfr. </w:t>
      </w:r>
      <w:r>
        <w:rPr>
          <w:sz w:val="16"/>
        </w:rPr>
        <w:t>Actas del 1 de junio y 24 de agosto de 2007. Expediente de prueba, anexos G.1 y G.2</w:t>
      </w:r>
      <w:r>
        <w:rPr>
          <w:spacing w:val="5"/>
          <w:sz w:val="16"/>
        </w:rPr>
        <w:t> </w:t>
      </w:r>
      <w:r>
        <w:rPr>
          <w:sz w:val="16"/>
        </w:rPr>
        <w:t>al</w:t>
      </w:r>
      <w:r>
        <w:rPr>
          <w:spacing w:val="-2"/>
          <w:sz w:val="16"/>
        </w:rPr>
        <w:t> </w:t>
      </w:r>
      <w:r>
        <w:rPr>
          <w:sz w:val="16"/>
        </w:rPr>
        <w:t>escrito</w:t>
      </w:r>
      <w:r>
        <w:rPr>
          <w:w w:val="100"/>
          <w:sz w:val="16"/>
        </w:rPr>
        <w:t> </w:t>
      </w:r>
      <w:r>
        <w:rPr>
          <w:sz w:val="16"/>
        </w:rPr>
        <w:t>de solicitudes y argumentos, fs. 30.883 a 30.884 y 30.885 a</w:t>
      </w:r>
      <w:r>
        <w:rPr>
          <w:spacing w:val="-24"/>
          <w:sz w:val="16"/>
        </w:rPr>
        <w:t> </w:t>
      </w:r>
      <w:r>
        <w:rPr>
          <w:sz w:val="16"/>
        </w:rPr>
        <w:t>30.886.</w:t>
      </w:r>
    </w:p>
    <w:p>
      <w:pPr>
        <w:pStyle w:val="BodyText"/>
        <w:spacing w:before="12"/>
        <w:rPr>
          <w:sz w:val="15"/>
        </w:rPr>
      </w:pPr>
    </w:p>
    <w:p>
      <w:pPr>
        <w:tabs>
          <w:tab w:pos="829" w:val="left" w:leader="none"/>
        </w:tabs>
        <w:spacing w:before="0"/>
        <w:ind w:left="122" w:right="121" w:firstLine="0"/>
        <w:jc w:val="left"/>
        <w:rPr>
          <w:sz w:val="16"/>
        </w:rPr>
      </w:pPr>
      <w:r>
        <w:rPr>
          <w:position w:val="6"/>
          <w:sz w:val="10"/>
        </w:rPr>
        <w:t>72</w:t>
        <w:tab/>
      </w:r>
      <w:r>
        <w:rPr>
          <w:i/>
          <w:sz w:val="16"/>
        </w:rPr>
        <w:t>Cfr. </w:t>
      </w:r>
      <w:r>
        <w:rPr>
          <w:sz w:val="16"/>
        </w:rPr>
        <w:t>Acta-Acuerdo de 17 de junio de 2007. Expediente de prueba, anexo G.3 al escrito</w:t>
      </w:r>
      <w:r>
        <w:rPr>
          <w:spacing w:val="-9"/>
          <w:sz w:val="16"/>
        </w:rPr>
        <w:t> </w:t>
      </w:r>
      <w:r>
        <w:rPr>
          <w:sz w:val="16"/>
        </w:rPr>
        <w:t>de</w:t>
      </w:r>
      <w:r>
        <w:rPr>
          <w:spacing w:val="-4"/>
          <w:sz w:val="16"/>
        </w:rPr>
        <w:t> </w:t>
      </w:r>
      <w:r>
        <w:rPr>
          <w:sz w:val="16"/>
        </w:rPr>
        <w:t>solicitudes</w:t>
      </w:r>
      <w:r>
        <w:rPr>
          <w:w w:val="100"/>
          <w:sz w:val="16"/>
        </w:rPr>
        <w:t> </w:t>
      </w:r>
      <w:r>
        <w:rPr>
          <w:sz w:val="16"/>
        </w:rPr>
        <w:t>y argumentos, fs. 30.887 a</w:t>
      </w:r>
      <w:r>
        <w:rPr>
          <w:spacing w:val="-13"/>
          <w:sz w:val="16"/>
        </w:rPr>
        <w:t> </w:t>
      </w:r>
      <w:r>
        <w:rPr>
          <w:sz w:val="16"/>
        </w:rPr>
        <w:t>30.891.</w:t>
      </w:r>
    </w:p>
    <w:p>
      <w:pPr>
        <w:pStyle w:val="BodyText"/>
        <w:spacing w:before="12"/>
        <w:rPr>
          <w:sz w:val="15"/>
        </w:rPr>
      </w:pPr>
    </w:p>
    <w:p>
      <w:pPr>
        <w:tabs>
          <w:tab w:pos="829" w:val="left" w:leader="none"/>
        </w:tabs>
        <w:spacing w:before="0"/>
        <w:ind w:left="122" w:right="111" w:firstLine="0"/>
        <w:jc w:val="left"/>
        <w:rPr>
          <w:sz w:val="16"/>
        </w:rPr>
      </w:pPr>
      <w:r>
        <w:rPr>
          <w:position w:val="6"/>
          <w:sz w:val="10"/>
        </w:rPr>
        <w:t>73</w:t>
        <w:tab/>
      </w:r>
      <w:r>
        <w:rPr>
          <w:i/>
          <w:sz w:val="16"/>
        </w:rPr>
        <w:t>Cfr. </w:t>
      </w:r>
      <w:r>
        <w:rPr>
          <w:sz w:val="16"/>
        </w:rPr>
        <w:t>Decreto 2786/07. Expediente de prueba, anexo G.5. al escrito de solicitudes y </w:t>
      </w:r>
      <w:r>
        <w:rPr>
          <w:spacing w:val="27"/>
          <w:sz w:val="16"/>
        </w:rPr>
        <w:t> </w:t>
      </w:r>
      <w:r>
        <w:rPr>
          <w:sz w:val="16"/>
        </w:rPr>
        <w:t>argumentos,</w:t>
      </w:r>
      <w:r>
        <w:rPr>
          <w:spacing w:val="5"/>
          <w:sz w:val="16"/>
        </w:rPr>
        <w:t> </w:t>
      </w:r>
      <w:r>
        <w:rPr>
          <w:sz w:val="16"/>
        </w:rPr>
        <w:t>fs-</w:t>
      </w:r>
      <w:r>
        <w:rPr>
          <w:w w:val="100"/>
          <w:sz w:val="16"/>
        </w:rPr>
        <w:t> </w:t>
      </w:r>
      <w:r>
        <w:rPr>
          <w:sz w:val="16"/>
        </w:rPr>
        <w:t>30.922 a</w:t>
      </w:r>
      <w:r>
        <w:rPr>
          <w:spacing w:val="-7"/>
          <w:sz w:val="16"/>
        </w:rPr>
        <w:t> </w:t>
      </w:r>
      <w:r>
        <w:rPr>
          <w:sz w:val="16"/>
        </w:rPr>
        <w:t>30.924.</w:t>
      </w:r>
    </w:p>
    <w:p>
      <w:pPr>
        <w:pStyle w:val="BodyText"/>
        <w:spacing w:before="2"/>
        <w:rPr>
          <w:sz w:val="16"/>
        </w:rPr>
      </w:pPr>
    </w:p>
    <w:p>
      <w:pPr>
        <w:tabs>
          <w:tab w:pos="829" w:val="left" w:leader="none"/>
        </w:tabs>
        <w:spacing w:before="0"/>
        <w:ind w:left="122" w:right="119" w:firstLine="0"/>
        <w:jc w:val="left"/>
        <w:rPr>
          <w:sz w:val="16"/>
        </w:rPr>
      </w:pPr>
      <w:r>
        <w:rPr>
          <w:position w:val="6"/>
          <w:sz w:val="10"/>
        </w:rPr>
        <w:t>74</w:t>
        <w:tab/>
      </w:r>
      <w:r>
        <w:rPr>
          <w:i/>
          <w:sz w:val="16"/>
        </w:rPr>
        <w:t>Cfr. </w:t>
      </w:r>
      <w:r>
        <w:rPr>
          <w:sz w:val="16"/>
        </w:rPr>
        <w:t>Informe 2008-2011 sobre el Proceso de regularización de tierras. Expediente de</w:t>
      </w:r>
      <w:r>
        <w:rPr>
          <w:spacing w:val="54"/>
          <w:sz w:val="16"/>
        </w:rPr>
        <w:t> </w:t>
      </w:r>
      <w:r>
        <w:rPr>
          <w:sz w:val="16"/>
        </w:rPr>
        <w:t>prueba,</w:t>
      </w:r>
      <w:r>
        <w:rPr>
          <w:spacing w:val="4"/>
          <w:sz w:val="16"/>
        </w:rPr>
        <w:t> </w:t>
      </w:r>
      <w:r>
        <w:rPr>
          <w:sz w:val="16"/>
        </w:rPr>
        <w:t>anexo</w:t>
      </w:r>
      <w:r>
        <w:rPr>
          <w:w w:val="100"/>
          <w:sz w:val="16"/>
        </w:rPr>
        <w:t> </w:t>
      </w:r>
      <w:r>
        <w:rPr>
          <w:sz w:val="16"/>
        </w:rPr>
        <w:t>40 al Informe de Fondo, fs. 488 al 515. Los requisitos fueron establecidos por Resolución</w:t>
      </w:r>
      <w:r>
        <w:rPr>
          <w:spacing w:val="-37"/>
          <w:sz w:val="16"/>
        </w:rPr>
        <w:t> </w:t>
      </w:r>
      <w:r>
        <w:rPr>
          <w:sz w:val="16"/>
        </w:rPr>
        <w:t>65/06.</w:t>
      </w:r>
    </w:p>
    <w:p>
      <w:pPr>
        <w:spacing w:after="0"/>
        <w:jc w:val="left"/>
        <w:rPr>
          <w:sz w:val="16"/>
        </w:rPr>
        <w:sectPr>
          <w:pgSz w:w="12240" w:h="15840"/>
          <w:pgMar w:header="0" w:footer="1000" w:top="1340" w:bottom="1200" w:left="1580" w:right="1580"/>
        </w:sectPr>
      </w:pPr>
    </w:p>
    <w:p>
      <w:pPr>
        <w:pStyle w:val="ListParagraph"/>
        <w:numPr>
          <w:ilvl w:val="0"/>
          <w:numId w:val="19"/>
        </w:numPr>
        <w:tabs>
          <w:tab w:pos="829" w:val="left" w:leader="none"/>
          <w:tab w:pos="830" w:val="left" w:leader="none"/>
        </w:tabs>
        <w:spacing w:line="242" w:lineRule="auto" w:before="76" w:after="0"/>
        <w:ind w:left="122" w:right="117" w:hanging="12"/>
        <w:jc w:val="left"/>
        <w:rPr>
          <w:sz w:val="20"/>
        </w:rPr>
      </w:pPr>
      <w:r>
        <w:rPr>
          <w:sz w:val="20"/>
        </w:rPr>
        <w:t>Entre 2009 y 2011 se realizaron distintas reuniones tendentes a lograr acuerdos entre comunidades indígenas y familias criollas sobre la adjudicación</w:t>
      </w:r>
      <w:r>
        <w:rPr>
          <w:spacing w:val="-29"/>
          <w:sz w:val="20"/>
        </w:rPr>
        <w:t> </w:t>
      </w:r>
      <w:r>
        <w:rPr>
          <w:sz w:val="20"/>
        </w:rPr>
        <w:t>territorial.</w:t>
      </w:r>
    </w:p>
    <w:p>
      <w:pPr>
        <w:pStyle w:val="BodyText"/>
        <w:spacing w:before="2"/>
        <w:rPr>
          <w:sz w:val="19"/>
        </w:rPr>
      </w:pPr>
    </w:p>
    <w:p>
      <w:pPr>
        <w:pStyle w:val="ListParagraph"/>
        <w:numPr>
          <w:ilvl w:val="2"/>
          <w:numId w:val="20"/>
        </w:numPr>
        <w:tabs>
          <w:tab w:pos="1582" w:val="left" w:leader="none"/>
        </w:tabs>
        <w:spacing w:line="240" w:lineRule="auto" w:before="1" w:after="0"/>
        <w:ind w:left="1581" w:right="0" w:hanging="607"/>
        <w:jc w:val="left"/>
        <w:rPr>
          <w:rFonts w:ascii="Calibri"/>
          <w:sz w:val="14"/>
        </w:rPr>
      </w:pPr>
      <w:bookmarkStart w:name="_bookmark27" w:id="45"/>
      <w:bookmarkEnd w:id="45"/>
      <w:r>
        <w:rPr/>
      </w:r>
      <w:bookmarkStart w:name="_bookmark27" w:id="46"/>
      <w:bookmarkEnd w:id="46"/>
      <w:r>
        <w:rPr>
          <w:i/>
          <w:sz w:val="20"/>
          <w:u w:val="single"/>
        </w:rPr>
        <w:t>D</w:t>
      </w:r>
      <w:r>
        <w:rPr>
          <w:i/>
          <w:sz w:val="20"/>
          <w:u w:val="single"/>
        </w:rPr>
        <w:t>ecreto 2398 de 2012 y actos</w:t>
      </w:r>
      <w:r>
        <w:rPr>
          <w:i/>
          <w:spacing w:val="-16"/>
          <w:sz w:val="20"/>
          <w:u w:val="single"/>
        </w:rPr>
        <w:t> </w:t>
      </w:r>
      <w:r>
        <w:rPr>
          <w:i/>
          <w:sz w:val="20"/>
          <w:u w:val="single"/>
        </w:rPr>
        <w:t>posteriores</w:t>
      </w:r>
      <w:r>
        <w:rPr>
          <w:rFonts w:ascii="Calibri"/>
          <w:position w:val="8"/>
          <w:sz w:val="14"/>
        </w:rPr>
        <w:t>75</w:t>
      </w:r>
    </w:p>
    <w:p>
      <w:pPr>
        <w:pStyle w:val="BodyText"/>
        <w:spacing w:before="3"/>
        <w:rPr>
          <w:rFonts w:ascii="Calibri"/>
          <w:sz w:val="13"/>
        </w:rPr>
      </w:pPr>
    </w:p>
    <w:p>
      <w:pPr>
        <w:pStyle w:val="ListParagraph"/>
        <w:numPr>
          <w:ilvl w:val="0"/>
          <w:numId w:val="19"/>
        </w:numPr>
        <w:tabs>
          <w:tab w:pos="830" w:val="left" w:leader="none"/>
        </w:tabs>
        <w:spacing w:line="240" w:lineRule="auto" w:before="99" w:after="0"/>
        <w:ind w:left="122" w:right="118" w:firstLine="0"/>
        <w:jc w:val="both"/>
        <w:rPr>
          <w:sz w:val="20"/>
        </w:rPr>
      </w:pPr>
      <w:r>
        <w:rPr>
          <w:sz w:val="20"/>
        </w:rPr>
        <w:t>El 25 de julio de 2012 Salta emitió el Decreto 2398/12, cuyo texto cita como antecedente el Informe de Fondo. Dispuso “asignar, con destino a su posterior adjudicación” 243.000 ha de los lotes 14 y 55 para las familias criollas “que hayan acreditado</w:t>
      </w:r>
      <w:r>
        <w:rPr>
          <w:spacing w:val="-16"/>
          <w:sz w:val="20"/>
        </w:rPr>
        <w:t> </w:t>
      </w:r>
      <w:r>
        <w:rPr>
          <w:sz w:val="20"/>
        </w:rPr>
        <w:t>su</w:t>
      </w:r>
      <w:r>
        <w:rPr>
          <w:spacing w:val="-15"/>
          <w:sz w:val="20"/>
        </w:rPr>
        <w:t> </w:t>
      </w:r>
      <w:r>
        <w:rPr>
          <w:sz w:val="20"/>
        </w:rPr>
        <w:t>derecho”</w:t>
      </w:r>
      <w:r>
        <w:rPr>
          <w:spacing w:val="-13"/>
          <w:sz w:val="20"/>
        </w:rPr>
        <w:t> </w:t>
      </w:r>
      <w:r>
        <w:rPr>
          <w:sz w:val="20"/>
        </w:rPr>
        <w:t>de</w:t>
      </w:r>
      <w:r>
        <w:rPr>
          <w:spacing w:val="-16"/>
          <w:sz w:val="20"/>
        </w:rPr>
        <w:t> </w:t>
      </w:r>
      <w:r>
        <w:rPr>
          <w:sz w:val="20"/>
        </w:rPr>
        <w:t>acuerdo</w:t>
      </w:r>
      <w:r>
        <w:rPr>
          <w:spacing w:val="-16"/>
          <w:sz w:val="20"/>
        </w:rPr>
        <w:t> </w:t>
      </w:r>
      <w:r>
        <w:rPr>
          <w:sz w:val="20"/>
        </w:rPr>
        <w:t>a</w:t>
      </w:r>
      <w:r>
        <w:rPr>
          <w:spacing w:val="-15"/>
          <w:sz w:val="20"/>
        </w:rPr>
        <w:t> </w:t>
      </w:r>
      <w:r>
        <w:rPr>
          <w:sz w:val="20"/>
        </w:rPr>
        <w:t>las</w:t>
      </w:r>
      <w:r>
        <w:rPr>
          <w:spacing w:val="-13"/>
          <w:sz w:val="20"/>
        </w:rPr>
        <w:t> </w:t>
      </w:r>
      <w:r>
        <w:rPr>
          <w:sz w:val="20"/>
        </w:rPr>
        <w:t>resoluciones</w:t>
      </w:r>
      <w:r>
        <w:rPr>
          <w:spacing w:val="-16"/>
          <w:sz w:val="20"/>
        </w:rPr>
        <w:t> </w:t>
      </w:r>
      <w:r>
        <w:rPr>
          <w:sz w:val="20"/>
        </w:rPr>
        <w:t>65/06</w:t>
      </w:r>
      <w:r>
        <w:rPr>
          <w:spacing w:val="-12"/>
          <w:sz w:val="20"/>
        </w:rPr>
        <w:t> </w:t>
      </w:r>
      <w:r>
        <w:rPr>
          <w:sz w:val="20"/>
        </w:rPr>
        <w:t>y</w:t>
      </w:r>
      <w:r>
        <w:rPr>
          <w:spacing w:val="-15"/>
          <w:sz w:val="20"/>
        </w:rPr>
        <w:t> </w:t>
      </w:r>
      <w:r>
        <w:rPr>
          <w:sz w:val="20"/>
        </w:rPr>
        <w:t>340/09,</w:t>
      </w:r>
      <w:r>
        <w:rPr>
          <w:spacing w:val="-16"/>
          <w:sz w:val="20"/>
        </w:rPr>
        <w:t> </w:t>
      </w:r>
      <w:r>
        <w:rPr>
          <w:sz w:val="20"/>
        </w:rPr>
        <w:t>y</w:t>
      </w:r>
      <w:r>
        <w:rPr>
          <w:spacing w:val="-13"/>
          <w:sz w:val="20"/>
        </w:rPr>
        <w:t> </w:t>
      </w:r>
      <w:r>
        <w:rPr>
          <w:sz w:val="20"/>
        </w:rPr>
        <w:t>400.000</w:t>
      </w:r>
      <w:r>
        <w:rPr>
          <w:spacing w:val="-15"/>
          <w:sz w:val="20"/>
        </w:rPr>
        <w:t> </w:t>
      </w:r>
      <w:r>
        <w:rPr>
          <w:sz w:val="20"/>
        </w:rPr>
        <w:t>ha</w:t>
      </w:r>
      <w:r>
        <w:rPr>
          <w:spacing w:val="-15"/>
          <w:sz w:val="20"/>
        </w:rPr>
        <w:t> </w:t>
      </w:r>
      <w:r>
        <w:rPr>
          <w:sz w:val="20"/>
        </w:rPr>
        <w:t>para las comunidades indígenas “en propiedad comunitaria y bajo la modalidad de título que cada una de ellas determine”. Además, dispuso la publicidad registral del destino asignado,</w:t>
      </w:r>
      <w:r>
        <w:rPr>
          <w:spacing w:val="-5"/>
          <w:sz w:val="20"/>
        </w:rPr>
        <w:t> </w:t>
      </w:r>
      <w:r>
        <w:rPr>
          <w:sz w:val="20"/>
        </w:rPr>
        <w:t>mediante</w:t>
      </w:r>
      <w:r>
        <w:rPr>
          <w:spacing w:val="-5"/>
          <w:sz w:val="20"/>
        </w:rPr>
        <w:t> </w:t>
      </w:r>
      <w:r>
        <w:rPr>
          <w:sz w:val="20"/>
        </w:rPr>
        <w:t>la</w:t>
      </w:r>
      <w:r>
        <w:rPr>
          <w:spacing w:val="-4"/>
          <w:sz w:val="20"/>
        </w:rPr>
        <w:t> </w:t>
      </w:r>
      <w:r>
        <w:rPr>
          <w:sz w:val="20"/>
        </w:rPr>
        <w:t>inscripción</w:t>
      </w:r>
      <w:r>
        <w:rPr>
          <w:spacing w:val="-4"/>
          <w:sz w:val="20"/>
        </w:rPr>
        <w:t> </w:t>
      </w:r>
      <w:r>
        <w:rPr>
          <w:sz w:val="20"/>
        </w:rPr>
        <w:t>correspondiente</w:t>
      </w:r>
      <w:r>
        <w:rPr>
          <w:spacing w:val="-5"/>
          <w:sz w:val="20"/>
        </w:rPr>
        <w:t> </w:t>
      </w:r>
      <w:r>
        <w:rPr>
          <w:sz w:val="20"/>
        </w:rPr>
        <w:t>en</w:t>
      </w:r>
      <w:r>
        <w:rPr>
          <w:spacing w:val="-2"/>
          <w:sz w:val="20"/>
        </w:rPr>
        <w:t> </w:t>
      </w:r>
      <w:r>
        <w:rPr>
          <w:sz w:val="20"/>
        </w:rPr>
        <w:t>el</w:t>
      </w:r>
      <w:r>
        <w:rPr>
          <w:spacing w:val="-4"/>
          <w:sz w:val="20"/>
        </w:rPr>
        <w:t> </w:t>
      </w:r>
      <w:r>
        <w:rPr>
          <w:sz w:val="20"/>
        </w:rPr>
        <w:t>Registro</w:t>
      </w:r>
      <w:r>
        <w:rPr>
          <w:spacing w:val="-5"/>
          <w:sz w:val="20"/>
        </w:rPr>
        <w:t> </w:t>
      </w:r>
      <w:r>
        <w:rPr>
          <w:sz w:val="20"/>
        </w:rPr>
        <w:t>de</w:t>
      </w:r>
      <w:r>
        <w:rPr>
          <w:spacing w:val="-5"/>
          <w:sz w:val="20"/>
        </w:rPr>
        <w:t> </w:t>
      </w:r>
      <w:r>
        <w:rPr>
          <w:sz w:val="20"/>
        </w:rPr>
        <w:t>la</w:t>
      </w:r>
      <w:r>
        <w:rPr>
          <w:spacing w:val="-2"/>
          <w:sz w:val="20"/>
        </w:rPr>
        <w:t> </w:t>
      </w:r>
      <w:r>
        <w:rPr>
          <w:sz w:val="20"/>
        </w:rPr>
        <w:t>Propiedad</w:t>
      </w:r>
      <w:r>
        <w:rPr>
          <w:spacing w:val="-29"/>
          <w:sz w:val="20"/>
        </w:rPr>
        <w:t> </w:t>
      </w:r>
      <w:r>
        <w:rPr>
          <w:rFonts w:ascii="Calibri" w:hAnsi="Calibri"/>
          <w:position w:val="8"/>
          <w:sz w:val="14"/>
        </w:rPr>
        <w:t>76</w:t>
      </w:r>
      <w:r>
        <w:rPr>
          <w:sz w:val="20"/>
        </w:rPr>
        <w:t>.</w:t>
      </w:r>
    </w:p>
    <w:p>
      <w:pPr>
        <w:pStyle w:val="BodyText"/>
        <w:spacing w:before="5"/>
        <w:rPr>
          <w:sz w:val="21"/>
        </w:rPr>
      </w:pPr>
    </w:p>
    <w:p>
      <w:pPr>
        <w:pStyle w:val="ListParagraph"/>
        <w:numPr>
          <w:ilvl w:val="0"/>
          <w:numId w:val="19"/>
        </w:numPr>
        <w:tabs>
          <w:tab w:pos="830" w:val="left" w:leader="none"/>
        </w:tabs>
        <w:spacing w:line="242" w:lineRule="auto" w:before="0" w:after="0"/>
        <w:ind w:left="122" w:right="125" w:firstLine="0"/>
        <w:jc w:val="both"/>
        <w:rPr>
          <w:sz w:val="20"/>
        </w:rPr>
      </w:pPr>
      <w:r>
        <w:rPr>
          <w:sz w:val="20"/>
        </w:rPr>
        <w:t>El 12 de julio de 2013 se publicó el Decreto provincial 2001/13, que incluyó un “Programa de Instrumentación de la propiedad comunitaria” que aludía a un “Plan de trabajo” para la definición de las delimitaciones territoriales con base en “talleres participativos” de indígenas y criollos</w:t>
      </w:r>
      <w:r>
        <w:rPr>
          <w:rFonts w:ascii="Calibri" w:hAnsi="Calibri"/>
          <w:position w:val="8"/>
          <w:sz w:val="14"/>
        </w:rPr>
        <w:t>77</w:t>
      </w:r>
      <w:r>
        <w:rPr>
          <w:sz w:val="20"/>
        </w:rPr>
        <w:t>. Además, en esos meses los representantes y el Estado</w:t>
      </w:r>
      <w:r>
        <w:rPr>
          <w:spacing w:val="-7"/>
          <w:sz w:val="20"/>
        </w:rPr>
        <w:t> </w:t>
      </w:r>
      <w:r>
        <w:rPr>
          <w:sz w:val="20"/>
        </w:rPr>
        <w:t>acordaron</w:t>
      </w:r>
      <w:r>
        <w:rPr>
          <w:spacing w:val="-3"/>
          <w:sz w:val="20"/>
        </w:rPr>
        <w:t> </w:t>
      </w:r>
      <w:r>
        <w:rPr>
          <w:sz w:val="20"/>
        </w:rPr>
        <w:t>que</w:t>
      </w:r>
      <w:r>
        <w:rPr>
          <w:spacing w:val="-4"/>
          <w:sz w:val="20"/>
        </w:rPr>
        <w:t> </w:t>
      </w:r>
      <w:r>
        <w:rPr>
          <w:sz w:val="20"/>
        </w:rPr>
        <w:t>se</w:t>
      </w:r>
      <w:r>
        <w:rPr>
          <w:spacing w:val="-7"/>
          <w:sz w:val="20"/>
        </w:rPr>
        <w:t> </w:t>
      </w:r>
      <w:r>
        <w:rPr>
          <w:sz w:val="20"/>
        </w:rPr>
        <w:t>tomaría</w:t>
      </w:r>
      <w:r>
        <w:rPr>
          <w:spacing w:val="-3"/>
          <w:sz w:val="20"/>
        </w:rPr>
        <w:t> </w:t>
      </w:r>
      <w:r>
        <w:rPr>
          <w:sz w:val="20"/>
        </w:rPr>
        <w:t>como</w:t>
      </w:r>
      <w:r>
        <w:rPr>
          <w:spacing w:val="-7"/>
          <w:sz w:val="20"/>
        </w:rPr>
        <w:t> </w:t>
      </w:r>
      <w:r>
        <w:rPr>
          <w:sz w:val="20"/>
        </w:rPr>
        <w:t>base</w:t>
      </w:r>
      <w:r>
        <w:rPr>
          <w:spacing w:val="-5"/>
          <w:sz w:val="20"/>
        </w:rPr>
        <w:t> </w:t>
      </w:r>
      <w:r>
        <w:rPr>
          <w:sz w:val="20"/>
        </w:rPr>
        <w:t>para</w:t>
      </w:r>
      <w:r>
        <w:rPr>
          <w:spacing w:val="-3"/>
          <w:sz w:val="20"/>
        </w:rPr>
        <w:t> </w:t>
      </w:r>
      <w:r>
        <w:rPr>
          <w:sz w:val="20"/>
        </w:rPr>
        <w:t>cualquier</w:t>
      </w:r>
      <w:r>
        <w:rPr>
          <w:spacing w:val="-4"/>
          <w:sz w:val="20"/>
        </w:rPr>
        <w:t> </w:t>
      </w:r>
      <w:r>
        <w:rPr>
          <w:sz w:val="20"/>
        </w:rPr>
        <w:t>trabajo</w:t>
      </w:r>
      <w:r>
        <w:rPr>
          <w:spacing w:val="-4"/>
          <w:sz w:val="20"/>
        </w:rPr>
        <w:t> </w:t>
      </w:r>
      <w:r>
        <w:rPr>
          <w:sz w:val="20"/>
        </w:rPr>
        <w:t>en</w:t>
      </w:r>
      <w:r>
        <w:rPr>
          <w:spacing w:val="-5"/>
          <w:sz w:val="20"/>
        </w:rPr>
        <w:t> </w:t>
      </w:r>
      <w:r>
        <w:rPr>
          <w:sz w:val="20"/>
        </w:rPr>
        <w:t>terreno</w:t>
      </w:r>
      <w:r>
        <w:rPr>
          <w:spacing w:val="-7"/>
          <w:sz w:val="20"/>
        </w:rPr>
        <w:t> </w:t>
      </w:r>
      <w:r>
        <w:rPr>
          <w:sz w:val="20"/>
        </w:rPr>
        <w:t>un</w:t>
      </w:r>
      <w:r>
        <w:rPr>
          <w:spacing w:val="-2"/>
          <w:sz w:val="20"/>
        </w:rPr>
        <w:t> </w:t>
      </w:r>
      <w:r>
        <w:rPr>
          <w:sz w:val="20"/>
        </w:rPr>
        <w:t>mapa realizado por las comunidades agrupadas en Lhaka</w:t>
      </w:r>
      <w:r>
        <w:rPr>
          <w:spacing w:val="-19"/>
          <w:sz w:val="20"/>
        </w:rPr>
        <w:t> </w:t>
      </w:r>
      <w:r>
        <w:rPr>
          <w:sz w:val="20"/>
        </w:rPr>
        <w:t>Honhat</w:t>
      </w:r>
      <w:r>
        <w:rPr>
          <w:rFonts w:ascii="Calibri" w:hAnsi="Calibri"/>
          <w:position w:val="8"/>
          <w:sz w:val="14"/>
        </w:rPr>
        <w:t>78</w:t>
      </w:r>
      <w:r>
        <w:rPr>
          <w:sz w:val="20"/>
        </w:rPr>
        <w:t>.</w:t>
      </w:r>
    </w:p>
    <w:p>
      <w:pPr>
        <w:pStyle w:val="BodyText"/>
        <w:spacing w:before="2"/>
        <w:rPr>
          <w:sz w:val="21"/>
        </w:rPr>
      </w:pPr>
    </w:p>
    <w:p>
      <w:pPr>
        <w:pStyle w:val="ListParagraph"/>
        <w:numPr>
          <w:ilvl w:val="2"/>
          <w:numId w:val="20"/>
        </w:numPr>
        <w:tabs>
          <w:tab w:pos="1582" w:val="left" w:leader="none"/>
        </w:tabs>
        <w:spacing w:line="240" w:lineRule="auto" w:before="1" w:after="0"/>
        <w:ind w:left="1581" w:right="0" w:hanging="607"/>
        <w:jc w:val="left"/>
        <w:rPr>
          <w:i/>
          <w:sz w:val="20"/>
        </w:rPr>
      </w:pPr>
      <w:bookmarkStart w:name="_bookmark28" w:id="47"/>
      <w:bookmarkEnd w:id="47"/>
      <w:r>
        <w:rPr/>
      </w:r>
      <w:bookmarkStart w:name="_bookmark28" w:id="48"/>
      <w:bookmarkEnd w:id="48"/>
      <w:r>
        <w:rPr>
          <w:i/>
          <w:sz w:val="20"/>
          <w:u w:val="single"/>
        </w:rPr>
        <w:t>D</w:t>
      </w:r>
      <w:r>
        <w:rPr>
          <w:i/>
          <w:sz w:val="20"/>
          <w:u w:val="single"/>
        </w:rPr>
        <w:t>ecreto 1498 de 2014 y actos</w:t>
      </w:r>
      <w:r>
        <w:rPr>
          <w:i/>
          <w:spacing w:val="-13"/>
          <w:sz w:val="20"/>
          <w:u w:val="single"/>
        </w:rPr>
        <w:t> </w:t>
      </w:r>
      <w:r>
        <w:rPr>
          <w:i/>
          <w:sz w:val="20"/>
          <w:u w:val="single"/>
        </w:rPr>
        <w:t>posteriores</w:t>
      </w:r>
    </w:p>
    <w:p>
      <w:pPr>
        <w:pStyle w:val="BodyText"/>
        <w:spacing w:before="11"/>
        <w:rPr>
          <w:i/>
          <w:sz w:val="11"/>
        </w:rPr>
      </w:pPr>
    </w:p>
    <w:p>
      <w:pPr>
        <w:pStyle w:val="ListParagraph"/>
        <w:numPr>
          <w:ilvl w:val="0"/>
          <w:numId w:val="19"/>
        </w:numPr>
        <w:tabs>
          <w:tab w:pos="830" w:val="left" w:leader="none"/>
        </w:tabs>
        <w:spacing w:line="240" w:lineRule="auto" w:before="99" w:after="0"/>
        <w:ind w:left="122" w:right="118" w:hanging="12"/>
        <w:jc w:val="both"/>
        <w:rPr>
          <w:sz w:val="20"/>
        </w:rPr>
      </w:pPr>
      <w:r>
        <w:rPr>
          <w:sz w:val="20"/>
        </w:rPr>
        <w:t>El 29 de mayo de 2014 Salta emitió el Decreto 1498/14, que estableció: a) “recono[cer] y transf[erir]”: i.- la “propiedad comunitaria”, a favor de 71 comunidades indígenas, de aproximadamente 400.000 ha de los “inmuebles nomenclatura catastral Matrículas</w:t>
      </w:r>
      <w:r>
        <w:rPr>
          <w:spacing w:val="-6"/>
          <w:sz w:val="20"/>
        </w:rPr>
        <w:t> </w:t>
      </w:r>
      <w:r>
        <w:rPr>
          <w:sz w:val="20"/>
        </w:rPr>
        <w:t>N°</w:t>
      </w:r>
      <w:r>
        <w:rPr>
          <w:spacing w:val="-6"/>
          <w:sz w:val="20"/>
        </w:rPr>
        <w:t> </w:t>
      </w:r>
      <w:r>
        <w:rPr>
          <w:sz w:val="20"/>
        </w:rPr>
        <w:t>175</w:t>
      </w:r>
      <w:r>
        <w:rPr>
          <w:spacing w:val="-5"/>
          <w:sz w:val="20"/>
        </w:rPr>
        <w:t> </w:t>
      </w:r>
      <w:r>
        <w:rPr>
          <w:sz w:val="20"/>
        </w:rPr>
        <w:t>y</w:t>
      </w:r>
      <w:r>
        <w:rPr>
          <w:spacing w:val="-6"/>
          <w:sz w:val="20"/>
        </w:rPr>
        <w:t> </w:t>
      </w:r>
      <w:r>
        <w:rPr>
          <w:sz w:val="20"/>
        </w:rPr>
        <w:t>5557</w:t>
      </w:r>
      <w:r>
        <w:rPr>
          <w:spacing w:val="-7"/>
          <w:sz w:val="20"/>
        </w:rPr>
        <w:t> </w:t>
      </w:r>
      <w:r>
        <w:rPr>
          <w:sz w:val="20"/>
        </w:rPr>
        <w:t>del</w:t>
      </w:r>
      <w:r>
        <w:rPr>
          <w:spacing w:val="-5"/>
          <w:sz w:val="20"/>
        </w:rPr>
        <w:t> </w:t>
      </w:r>
      <w:r>
        <w:rPr>
          <w:sz w:val="20"/>
        </w:rPr>
        <w:t>Departamento</w:t>
      </w:r>
      <w:r>
        <w:rPr>
          <w:spacing w:val="-7"/>
          <w:sz w:val="20"/>
        </w:rPr>
        <w:t> </w:t>
      </w:r>
      <w:r>
        <w:rPr>
          <w:sz w:val="20"/>
        </w:rPr>
        <w:t>Rivadavia”,</w:t>
      </w:r>
      <w:r>
        <w:rPr>
          <w:spacing w:val="-6"/>
          <w:sz w:val="20"/>
        </w:rPr>
        <w:t> </w:t>
      </w:r>
      <w:r>
        <w:rPr>
          <w:sz w:val="20"/>
        </w:rPr>
        <w:t>de</w:t>
      </w:r>
      <w:r>
        <w:rPr>
          <w:spacing w:val="-7"/>
          <w:sz w:val="20"/>
        </w:rPr>
        <w:t> </w:t>
      </w:r>
      <w:r>
        <w:rPr>
          <w:sz w:val="20"/>
        </w:rPr>
        <w:t>la</w:t>
      </w:r>
      <w:r>
        <w:rPr>
          <w:spacing w:val="-6"/>
          <w:sz w:val="20"/>
        </w:rPr>
        <w:t> </w:t>
      </w:r>
      <w:r>
        <w:rPr>
          <w:sz w:val="20"/>
        </w:rPr>
        <w:t>Provincia</w:t>
      </w:r>
      <w:r>
        <w:rPr>
          <w:spacing w:val="-3"/>
          <w:sz w:val="20"/>
        </w:rPr>
        <w:t> </w:t>
      </w:r>
      <w:r>
        <w:rPr>
          <w:sz w:val="20"/>
        </w:rPr>
        <w:t>de</w:t>
      </w:r>
      <w:r>
        <w:rPr>
          <w:spacing w:val="-9"/>
          <w:sz w:val="20"/>
        </w:rPr>
        <w:t> </w:t>
      </w:r>
      <w:r>
        <w:rPr>
          <w:sz w:val="20"/>
        </w:rPr>
        <w:t>Salta”</w:t>
      </w:r>
      <w:r>
        <w:rPr>
          <w:spacing w:val="-6"/>
          <w:sz w:val="20"/>
        </w:rPr>
        <w:t> </w:t>
      </w:r>
      <w:r>
        <w:rPr>
          <w:sz w:val="20"/>
        </w:rPr>
        <w:t>(antes</w:t>
      </w:r>
    </w:p>
    <w:p>
      <w:pPr>
        <w:pStyle w:val="BodyText"/>
      </w:pPr>
    </w:p>
    <w:p>
      <w:pPr>
        <w:pStyle w:val="BodyText"/>
      </w:pPr>
    </w:p>
    <w:p>
      <w:pPr>
        <w:pStyle w:val="BodyText"/>
      </w:pPr>
    </w:p>
    <w:p>
      <w:pPr>
        <w:pStyle w:val="BodyText"/>
      </w:pPr>
    </w:p>
    <w:p>
      <w:pPr>
        <w:pStyle w:val="BodyText"/>
      </w:pPr>
    </w:p>
    <w:p>
      <w:pPr>
        <w:pStyle w:val="BodyText"/>
        <w:spacing w:before="11"/>
        <w:rPr>
          <w:sz w:val="28"/>
        </w:rPr>
      </w:pPr>
      <w:r>
        <w:rPr/>
        <w:pict>
          <v:line style="position:absolute;mso-position-horizontal-relative:page;mso-position-vertical-relative:paragraph;z-index:1672;mso-wrap-distance-left:0;mso-wrap-distance-right:0" from="85.103996pt,19.924026pt" to="229.123996pt,19.924026pt" stroked="true" strokeweight=".72pt" strokecolor="#000000">
            <v:stroke dashstyle="solid"/>
            <w10:wrap type="topAndBottom"/>
          </v:line>
        </w:pict>
      </w:r>
    </w:p>
    <w:p>
      <w:pPr>
        <w:tabs>
          <w:tab w:pos="829" w:val="left" w:leader="none"/>
        </w:tabs>
        <w:spacing w:before="71"/>
        <w:ind w:left="122" w:right="115" w:firstLine="0"/>
        <w:jc w:val="both"/>
        <w:rPr>
          <w:sz w:val="16"/>
        </w:rPr>
      </w:pPr>
      <w:r>
        <w:rPr>
          <w:position w:val="6"/>
          <w:sz w:val="10"/>
        </w:rPr>
        <w:t>75</w:t>
        <w:tab/>
      </w:r>
      <w:r>
        <w:rPr>
          <w:sz w:val="16"/>
        </w:rPr>
        <w:t>La</w:t>
      </w:r>
      <w:r>
        <w:rPr>
          <w:spacing w:val="-8"/>
          <w:sz w:val="16"/>
        </w:rPr>
        <w:t> </w:t>
      </w:r>
      <w:r>
        <w:rPr>
          <w:sz w:val="16"/>
        </w:rPr>
        <w:t>Corte</w:t>
      </w:r>
      <w:r>
        <w:rPr>
          <w:spacing w:val="-10"/>
          <w:sz w:val="16"/>
        </w:rPr>
        <w:t> </w:t>
      </w:r>
      <w:r>
        <w:rPr>
          <w:sz w:val="16"/>
        </w:rPr>
        <w:t>deja</w:t>
      </w:r>
      <w:r>
        <w:rPr>
          <w:spacing w:val="-10"/>
          <w:sz w:val="16"/>
        </w:rPr>
        <w:t> </w:t>
      </w:r>
      <w:r>
        <w:rPr>
          <w:sz w:val="16"/>
        </w:rPr>
        <w:t>constancia</w:t>
      </w:r>
      <w:r>
        <w:rPr>
          <w:spacing w:val="-11"/>
          <w:sz w:val="16"/>
        </w:rPr>
        <w:t> </w:t>
      </w:r>
      <w:r>
        <w:rPr>
          <w:sz w:val="16"/>
        </w:rPr>
        <w:t>que</w:t>
      </w:r>
      <w:r>
        <w:rPr>
          <w:spacing w:val="-10"/>
          <w:sz w:val="16"/>
        </w:rPr>
        <w:t> </w:t>
      </w:r>
      <w:r>
        <w:rPr>
          <w:sz w:val="16"/>
        </w:rPr>
        <w:t>se</w:t>
      </w:r>
      <w:r>
        <w:rPr>
          <w:spacing w:val="-7"/>
          <w:sz w:val="16"/>
        </w:rPr>
        <w:t> </w:t>
      </w:r>
      <w:r>
        <w:rPr>
          <w:sz w:val="16"/>
        </w:rPr>
        <w:t>ha</w:t>
      </w:r>
      <w:r>
        <w:rPr>
          <w:spacing w:val="-10"/>
          <w:sz w:val="16"/>
        </w:rPr>
        <w:t> </w:t>
      </w:r>
      <w:r>
        <w:rPr>
          <w:sz w:val="16"/>
        </w:rPr>
        <w:t>informado</w:t>
      </w:r>
      <w:r>
        <w:rPr>
          <w:spacing w:val="-9"/>
          <w:sz w:val="16"/>
        </w:rPr>
        <w:t> </w:t>
      </w:r>
      <w:r>
        <w:rPr>
          <w:sz w:val="16"/>
        </w:rPr>
        <w:t>que</w:t>
      </w:r>
      <w:r>
        <w:rPr>
          <w:spacing w:val="-10"/>
          <w:sz w:val="16"/>
        </w:rPr>
        <w:t> </w:t>
      </w:r>
      <w:r>
        <w:rPr>
          <w:sz w:val="16"/>
        </w:rPr>
        <w:t>en</w:t>
      </w:r>
      <w:r>
        <w:rPr>
          <w:spacing w:val="-11"/>
          <w:sz w:val="16"/>
        </w:rPr>
        <w:t> </w:t>
      </w:r>
      <w:r>
        <w:rPr>
          <w:sz w:val="16"/>
        </w:rPr>
        <w:t>marzo</w:t>
      </w:r>
      <w:r>
        <w:rPr>
          <w:spacing w:val="-9"/>
          <w:sz w:val="16"/>
        </w:rPr>
        <w:t> </w:t>
      </w:r>
      <w:r>
        <w:rPr>
          <w:sz w:val="16"/>
        </w:rPr>
        <w:t>y</w:t>
      </w:r>
      <w:r>
        <w:rPr>
          <w:spacing w:val="-7"/>
          <w:sz w:val="16"/>
        </w:rPr>
        <w:t> </w:t>
      </w:r>
      <w:r>
        <w:rPr>
          <w:sz w:val="16"/>
        </w:rPr>
        <w:t>abril</w:t>
      </w:r>
      <w:r>
        <w:rPr>
          <w:spacing w:val="-11"/>
          <w:sz w:val="16"/>
        </w:rPr>
        <w:t> </w:t>
      </w:r>
      <w:r>
        <w:rPr>
          <w:sz w:val="16"/>
        </w:rPr>
        <w:t>de</w:t>
      </w:r>
      <w:r>
        <w:rPr>
          <w:spacing w:val="-12"/>
          <w:sz w:val="16"/>
        </w:rPr>
        <w:t> </w:t>
      </w:r>
      <w:r>
        <w:rPr>
          <w:sz w:val="16"/>
        </w:rPr>
        <w:t>2013</w:t>
      </w:r>
      <w:r>
        <w:rPr>
          <w:spacing w:val="-11"/>
          <w:sz w:val="16"/>
        </w:rPr>
        <w:t> </w:t>
      </w:r>
      <w:r>
        <w:rPr>
          <w:sz w:val="16"/>
        </w:rPr>
        <w:t>se</w:t>
      </w:r>
      <w:r>
        <w:rPr>
          <w:spacing w:val="-9"/>
          <w:sz w:val="16"/>
        </w:rPr>
        <w:t> </w:t>
      </w:r>
      <w:r>
        <w:rPr>
          <w:sz w:val="16"/>
        </w:rPr>
        <w:t>presentaron</w:t>
      </w:r>
      <w:r>
        <w:rPr>
          <w:spacing w:val="-11"/>
          <w:sz w:val="16"/>
        </w:rPr>
        <w:t> </w:t>
      </w:r>
      <w:r>
        <w:rPr>
          <w:sz w:val="16"/>
        </w:rPr>
        <w:t>en</w:t>
      </w:r>
      <w:r>
        <w:rPr>
          <w:spacing w:val="-11"/>
          <w:sz w:val="16"/>
        </w:rPr>
        <w:t> </w:t>
      </w:r>
      <w:r>
        <w:rPr>
          <w:sz w:val="16"/>
        </w:rPr>
        <w:t>la</w:t>
      </w:r>
      <w:r>
        <w:rPr>
          <w:spacing w:val="-8"/>
          <w:sz w:val="16"/>
        </w:rPr>
        <w:t> </w:t>
      </w:r>
      <w:r>
        <w:rPr>
          <w:sz w:val="16"/>
        </w:rPr>
        <w:t>zona</w:t>
      </w:r>
      <w:r>
        <w:rPr>
          <w:w w:val="100"/>
          <w:sz w:val="16"/>
        </w:rPr>
        <w:t> </w:t>
      </w:r>
      <w:r>
        <w:rPr>
          <w:sz w:val="16"/>
        </w:rPr>
        <w:t>de los lotes 14 y 55 algunos incidentes. El 27 de marzo un integrante del equipo de la organización de ASOCIANA, fundación que asesora a las comunidades, habría sido agredido por un poblador criollo. El 17 </w:t>
      </w:r>
      <w:r>
        <w:rPr>
          <w:spacing w:val="-3"/>
          <w:sz w:val="16"/>
        </w:rPr>
        <w:t>de </w:t>
      </w:r>
      <w:r>
        <w:rPr>
          <w:sz w:val="16"/>
        </w:rPr>
        <w:t>abril, 15 indígenas de La Puntana habrían resultado heridos y otros siete detenidos por parte de la fuerza pública,</w:t>
      </w:r>
      <w:r>
        <w:rPr>
          <w:spacing w:val="-6"/>
          <w:sz w:val="16"/>
        </w:rPr>
        <w:t> </w:t>
      </w:r>
      <w:r>
        <w:rPr>
          <w:sz w:val="16"/>
        </w:rPr>
        <w:t>luego</w:t>
      </w:r>
      <w:r>
        <w:rPr>
          <w:spacing w:val="-7"/>
          <w:sz w:val="16"/>
        </w:rPr>
        <w:t> </w:t>
      </w:r>
      <w:r>
        <w:rPr>
          <w:sz w:val="16"/>
        </w:rPr>
        <w:t>de</w:t>
      </w:r>
      <w:r>
        <w:rPr>
          <w:spacing w:val="-10"/>
          <w:sz w:val="16"/>
        </w:rPr>
        <w:t> </w:t>
      </w:r>
      <w:r>
        <w:rPr>
          <w:sz w:val="16"/>
        </w:rPr>
        <w:t>realizar</w:t>
      </w:r>
      <w:r>
        <w:rPr>
          <w:spacing w:val="-6"/>
          <w:sz w:val="16"/>
        </w:rPr>
        <w:t> </w:t>
      </w:r>
      <w:r>
        <w:rPr>
          <w:sz w:val="16"/>
        </w:rPr>
        <w:t>una</w:t>
      </w:r>
      <w:r>
        <w:rPr>
          <w:spacing w:val="-8"/>
          <w:sz w:val="16"/>
        </w:rPr>
        <w:t> </w:t>
      </w:r>
      <w:r>
        <w:rPr>
          <w:sz w:val="16"/>
        </w:rPr>
        <w:t>protesta</w:t>
      </w:r>
      <w:r>
        <w:rPr>
          <w:spacing w:val="-8"/>
          <w:sz w:val="16"/>
        </w:rPr>
        <w:t> </w:t>
      </w:r>
      <w:r>
        <w:rPr>
          <w:sz w:val="16"/>
        </w:rPr>
        <w:t>en</w:t>
      </w:r>
      <w:r>
        <w:rPr>
          <w:spacing w:val="-6"/>
          <w:sz w:val="16"/>
        </w:rPr>
        <w:t> </w:t>
      </w:r>
      <w:r>
        <w:rPr>
          <w:sz w:val="16"/>
        </w:rPr>
        <w:t>la</w:t>
      </w:r>
      <w:r>
        <w:rPr>
          <w:spacing w:val="-8"/>
          <w:sz w:val="16"/>
        </w:rPr>
        <w:t> </w:t>
      </w:r>
      <w:r>
        <w:rPr>
          <w:sz w:val="16"/>
        </w:rPr>
        <w:t>escuela</w:t>
      </w:r>
      <w:r>
        <w:rPr>
          <w:spacing w:val="-9"/>
          <w:sz w:val="16"/>
        </w:rPr>
        <w:t> </w:t>
      </w:r>
      <w:r>
        <w:rPr>
          <w:sz w:val="16"/>
        </w:rPr>
        <w:t>de</w:t>
      </w:r>
      <w:r>
        <w:rPr>
          <w:spacing w:val="-7"/>
          <w:sz w:val="16"/>
        </w:rPr>
        <w:t> </w:t>
      </w:r>
      <w:r>
        <w:rPr>
          <w:sz w:val="16"/>
        </w:rPr>
        <w:t>esa</w:t>
      </w:r>
      <w:r>
        <w:rPr>
          <w:spacing w:val="-8"/>
          <w:sz w:val="16"/>
        </w:rPr>
        <w:t> </w:t>
      </w:r>
      <w:r>
        <w:rPr>
          <w:sz w:val="16"/>
        </w:rPr>
        <w:t>comunidad.</w:t>
      </w:r>
      <w:r>
        <w:rPr>
          <w:spacing w:val="-6"/>
          <w:sz w:val="16"/>
        </w:rPr>
        <w:t> </w:t>
      </w:r>
      <w:r>
        <w:rPr>
          <w:sz w:val="16"/>
        </w:rPr>
        <w:t>(</w:t>
      </w:r>
      <w:r>
        <w:rPr>
          <w:i/>
          <w:sz w:val="16"/>
        </w:rPr>
        <w:t>Cfr.</w:t>
      </w:r>
      <w:r>
        <w:rPr>
          <w:i/>
          <w:spacing w:val="-8"/>
          <w:sz w:val="16"/>
        </w:rPr>
        <w:t> </w:t>
      </w:r>
      <w:r>
        <w:rPr>
          <w:sz w:val="16"/>
        </w:rPr>
        <w:t>Comunicado</w:t>
      </w:r>
      <w:r>
        <w:rPr>
          <w:spacing w:val="-9"/>
          <w:sz w:val="16"/>
        </w:rPr>
        <w:t> </w:t>
      </w:r>
      <w:r>
        <w:rPr>
          <w:sz w:val="16"/>
        </w:rPr>
        <w:t>público</w:t>
      </w:r>
      <w:r>
        <w:rPr>
          <w:spacing w:val="-6"/>
          <w:sz w:val="16"/>
        </w:rPr>
        <w:t> </w:t>
      </w:r>
      <w:r>
        <w:rPr>
          <w:sz w:val="16"/>
        </w:rPr>
        <w:t>de</w:t>
      </w:r>
      <w:r>
        <w:rPr>
          <w:spacing w:val="-7"/>
          <w:sz w:val="16"/>
        </w:rPr>
        <w:t> </w:t>
      </w:r>
      <w:r>
        <w:rPr>
          <w:sz w:val="16"/>
        </w:rPr>
        <w:t>9</w:t>
      </w:r>
      <w:r>
        <w:rPr>
          <w:spacing w:val="-6"/>
          <w:sz w:val="16"/>
        </w:rPr>
        <w:t> </w:t>
      </w:r>
      <w:r>
        <w:rPr>
          <w:sz w:val="16"/>
        </w:rPr>
        <w:t>de</w:t>
      </w:r>
      <w:r>
        <w:rPr>
          <w:spacing w:val="-7"/>
          <w:sz w:val="16"/>
        </w:rPr>
        <w:t> </w:t>
      </w:r>
      <w:r>
        <w:rPr>
          <w:sz w:val="16"/>
        </w:rPr>
        <w:t>abril de 2013 e Informe de la Comisión de Derechos Humanos de la Universidad Nacional de Salta. Expediente de prueba, anexo H.13 al escrito de solicitudes y argumentos, fs. 31.181 a 31.193.) No se han presentado ante este Tribunal argumentos de derecho relacionados con tales</w:t>
      </w:r>
      <w:r>
        <w:rPr>
          <w:spacing w:val="-17"/>
          <w:sz w:val="16"/>
        </w:rPr>
        <w:t> </w:t>
      </w:r>
      <w:r>
        <w:rPr>
          <w:sz w:val="16"/>
        </w:rPr>
        <w:t>incidentes.</w:t>
      </w:r>
    </w:p>
    <w:p>
      <w:pPr>
        <w:pStyle w:val="BodyText"/>
        <w:spacing w:before="11"/>
        <w:rPr>
          <w:sz w:val="15"/>
        </w:rPr>
      </w:pPr>
    </w:p>
    <w:p>
      <w:pPr>
        <w:tabs>
          <w:tab w:pos="829" w:val="left" w:leader="none"/>
        </w:tabs>
        <w:spacing w:before="0"/>
        <w:ind w:left="122" w:right="121" w:firstLine="0"/>
        <w:jc w:val="both"/>
        <w:rPr>
          <w:sz w:val="16"/>
        </w:rPr>
      </w:pPr>
      <w:r>
        <w:rPr>
          <w:position w:val="6"/>
          <w:sz w:val="10"/>
        </w:rPr>
        <w:t>76</w:t>
        <w:tab/>
      </w:r>
      <w:r>
        <w:rPr>
          <w:i/>
          <w:sz w:val="16"/>
        </w:rPr>
        <w:t>Cfr. </w:t>
      </w:r>
      <w:r>
        <w:rPr>
          <w:sz w:val="16"/>
        </w:rPr>
        <w:t>Decreto 2398/12. Expediente de prueba, Anexo H.8 al escrito de solicitudes y  </w:t>
      </w:r>
      <w:r>
        <w:rPr>
          <w:spacing w:val="20"/>
          <w:sz w:val="16"/>
        </w:rPr>
        <w:t> </w:t>
      </w:r>
      <w:r>
        <w:rPr>
          <w:sz w:val="16"/>
        </w:rPr>
        <w:t>argumentos,</w:t>
      </w:r>
      <w:r>
        <w:rPr>
          <w:spacing w:val="10"/>
          <w:sz w:val="16"/>
        </w:rPr>
        <w:t> </w:t>
      </w:r>
      <w:r>
        <w:rPr>
          <w:sz w:val="16"/>
        </w:rPr>
        <w:t>fs.</w:t>
      </w:r>
      <w:r>
        <w:rPr>
          <w:w w:val="100"/>
          <w:sz w:val="16"/>
        </w:rPr>
        <w:t> </w:t>
      </w:r>
      <w:r>
        <w:rPr>
          <w:sz w:val="16"/>
        </w:rPr>
        <w:t>31.161 a</w:t>
      </w:r>
      <w:r>
        <w:rPr>
          <w:spacing w:val="-8"/>
          <w:sz w:val="16"/>
        </w:rPr>
        <w:t> </w:t>
      </w:r>
      <w:r>
        <w:rPr>
          <w:sz w:val="16"/>
        </w:rPr>
        <w:t>31.163.</w:t>
      </w:r>
    </w:p>
    <w:p>
      <w:pPr>
        <w:pStyle w:val="BodyText"/>
        <w:spacing w:before="11"/>
        <w:rPr>
          <w:sz w:val="15"/>
        </w:rPr>
      </w:pPr>
    </w:p>
    <w:p>
      <w:pPr>
        <w:tabs>
          <w:tab w:pos="829" w:val="left" w:leader="none"/>
        </w:tabs>
        <w:spacing w:before="0"/>
        <w:ind w:left="122" w:right="115" w:firstLine="0"/>
        <w:jc w:val="both"/>
        <w:rPr>
          <w:sz w:val="16"/>
        </w:rPr>
      </w:pPr>
      <w:r>
        <w:rPr>
          <w:position w:val="6"/>
          <w:sz w:val="10"/>
        </w:rPr>
        <w:t>77</w:t>
        <w:tab/>
      </w:r>
      <w:r>
        <w:rPr>
          <w:sz w:val="16"/>
        </w:rPr>
        <w:t>El</w:t>
      </w:r>
      <w:r>
        <w:rPr>
          <w:spacing w:val="-4"/>
          <w:sz w:val="16"/>
        </w:rPr>
        <w:t> </w:t>
      </w:r>
      <w:r>
        <w:rPr>
          <w:sz w:val="16"/>
        </w:rPr>
        <w:t>plan</w:t>
      </w:r>
      <w:r>
        <w:rPr>
          <w:spacing w:val="-5"/>
          <w:sz w:val="16"/>
        </w:rPr>
        <w:t> </w:t>
      </w:r>
      <w:r>
        <w:rPr>
          <w:sz w:val="16"/>
        </w:rPr>
        <w:t>de</w:t>
      </w:r>
      <w:r>
        <w:rPr>
          <w:spacing w:val="-3"/>
          <w:sz w:val="16"/>
        </w:rPr>
        <w:t> </w:t>
      </w:r>
      <w:r>
        <w:rPr>
          <w:sz w:val="16"/>
        </w:rPr>
        <w:t>trabajo</w:t>
      </w:r>
      <w:r>
        <w:rPr>
          <w:spacing w:val="-3"/>
          <w:sz w:val="16"/>
        </w:rPr>
        <w:t> </w:t>
      </w:r>
      <w:r>
        <w:rPr>
          <w:sz w:val="16"/>
        </w:rPr>
        <w:t>preveía</w:t>
      </w:r>
      <w:r>
        <w:rPr>
          <w:spacing w:val="-5"/>
          <w:sz w:val="16"/>
        </w:rPr>
        <w:t> </w:t>
      </w:r>
      <w:r>
        <w:rPr>
          <w:sz w:val="16"/>
        </w:rPr>
        <w:t>la</w:t>
      </w:r>
      <w:r>
        <w:rPr>
          <w:spacing w:val="-4"/>
          <w:sz w:val="16"/>
        </w:rPr>
        <w:t> </w:t>
      </w:r>
      <w:r>
        <w:rPr>
          <w:sz w:val="16"/>
        </w:rPr>
        <w:t>incorporación</w:t>
      </w:r>
      <w:r>
        <w:rPr>
          <w:spacing w:val="-7"/>
          <w:sz w:val="16"/>
        </w:rPr>
        <w:t> </w:t>
      </w:r>
      <w:r>
        <w:rPr>
          <w:sz w:val="16"/>
        </w:rPr>
        <w:t>del</w:t>
      </w:r>
      <w:r>
        <w:rPr>
          <w:spacing w:val="-4"/>
          <w:sz w:val="16"/>
        </w:rPr>
        <w:t> </w:t>
      </w:r>
      <w:r>
        <w:rPr>
          <w:sz w:val="16"/>
        </w:rPr>
        <w:t>INAI</w:t>
      </w:r>
      <w:r>
        <w:rPr>
          <w:spacing w:val="-4"/>
          <w:sz w:val="16"/>
        </w:rPr>
        <w:t> </w:t>
      </w:r>
      <w:r>
        <w:rPr>
          <w:sz w:val="16"/>
        </w:rPr>
        <w:t>en</w:t>
      </w:r>
      <w:r>
        <w:rPr>
          <w:spacing w:val="-7"/>
          <w:sz w:val="16"/>
        </w:rPr>
        <w:t> </w:t>
      </w:r>
      <w:r>
        <w:rPr>
          <w:sz w:val="16"/>
        </w:rPr>
        <w:t>el</w:t>
      </w:r>
      <w:r>
        <w:rPr>
          <w:spacing w:val="-4"/>
          <w:sz w:val="16"/>
        </w:rPr>
        <w:t> </w:t>
      </w:r>
      <w:r>
        <w:rPr>
          <w:sz w:val="16"/>
        </w:rPr>
        <w:t>proceso</w:t>
      </w:r>
      <w:r>
        <w:rPr>
          <w:spacing w:val="-5"/>
          <w:sz w:val="16"/>
        </w:rPr>
        <w:t> </w:t>
      </w:r>
      <w:r>
        <w:rPr>
          <w:sz w:val="16"/>
        </w:rPr>
        <w:t>de</w:t>
      </w:r>
      <w:r>
        <w:rPr>
          <w:spacing w:val="-3"/>
          <w:sz w:val="16"/>
        </w:rPr>
        <w:t> </w:t>
      </w:r>
      <w:r>
        <w:rPr>
          <w:sz w:val="16"/>
        </w:rPr>
        <w:t>instrumentación</w:t>
      </w:r>
      <w:r>
        <w:rPr>
          <w:spacing w:val="-4"/>
          <w:sz w:val="16"/>
        </w:rPr>
        <w:t> </w:t>
      </w:r>
      <w:r>
        <w:rPr>
          <w:sz w:val="16"/>
        </w:rPr>
        <w:t>de</w:t>
      </w:r>
      <w:r>
        <w:rPr>
          <w:spacing w:val="-3"/>
          <w:sz w:val="16"/>
        </w:rPr>
        <w:t> </w:t>
      </w:r>
      <w:r>
        <w:rPr>
          <w:sz w:val="16"/>
        </w:rPr>
        <w:t>la</w:t>
      </w:r>
      <w:r>
        <w:rPr>
          <w:spacing w:val="-4"/>
          <w:sz w:val="16"/>
        </w:rPr>
        <w:t> </w:t>
      </w:r>
      <w:r>
        <w:rPr>
          <w:sz w:val="16"/>
        </w:rPr>
        <w:t>propiedad</w:t>
      </w:r>
      <w:r>
        <w:rPr>
          <w:w w:val="100"/>
          <w:sz w:val="16"/>
        </w:rPr>
        <w:t> </w:t>
      </w:r>
      <w:r>
        <w:rPr>
          <w:sz w:val="16"/>
        </w:rPr>
        <w:t>comunitaria y la utilización de fondos previstos por la ley nacional 26.160 (</w:t>
      </w:r>
      <w:r>
        <w:rPr>
          <w:i/>
          <w:sz w:val="16"/>
        </w:rPr>
        <w:t>supra </w:t>
      </w:r>
      <w:r>
        <w:rPr>
          <w:sz w:val="16"/>
        </w:rPr>
        <w:t>párr. 54). Establecía una periodicidad aproximada de 15 días para “talleres participativos” con las familias criollas y las comunidades indígenas, así como una metodología para definir un “mapa de superposición de territorios” y luego realizar propuestas para obtener un mapa con el límite demarcado entre territorio indígena y criollo. También previó talleres entre “vecinos criollos” para definir las parcelas para cada familia criolla (</w:t>
      </w:r>
      <w:r>
        <w:rPr>
          <w:i/>
          <w:sz w:val="16"/>
        </w:rPr>
        <w:t>cfr. </w:t>
      </w:r>
      <w:r>
        <w:rPr>
          <w:sz w:val="16"/>
        </w:rPr>
        <w:t>expediente de prueba, anexo H.24 al escrito de solicitudes y argumentos, fs. 31.258 a</w:t>
      </w:r>
      <w:r>
        <w:rPr>
          <w:spacing w:val="-24"/>
          <w:sz w:val="16"/>
        </w:rPr>
        <w:t> </w:t>
      </w:r>
      <w:r>
        <w:rPr>
          <w:sz w:val="16"/>
        </w:rPr>
        <w:t>31.282).</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78</w:t>
        <w:tab/>
      </w:r>
      <w:r>
        <w:rPr>
          <w:sz w:val="16"/>
        </w:rPr>
        <w:t>No obstante, en un acta conjunta de 17 de julio de 2013, la OFC, Lhaka Honhat y caciques</w:t>
      </w:r>
      <w:r>
        <w:rPr>
          <w:spacing w:val="-19"/>
          <w:sz w:val="16"/>
        </w:rPr>
        <w:t> </w:t>
      </w:r>
      <w:r>
        <w:rPr>
          <w:sz w:val="16"/>
        </w:rPr>
        <w:t>de</w:t>
      </w:r>
      <w:r>
        <w:rPr>
          <w:spacing w:val="-2"/>
          <w:sz w:val="16"/>
        </w:rPr>
        <w:t> </w:t>
      </w:r>
      <w:r>
        <w:rPr>
          <w:sz w:val="16"/>
        </w:rPr>
        <w:t>varias</w:t>
      </w:r>
      <w:r>
        <w:rPr>
          <w:w w:val="100"/>
          <w:sz w:val="16"/>
        </w:rPr>
        <w:t> </w:t>
      </w:r>
      <w:r>
        <w:rPr>
          <w:sz w:val="16"/>
        </w:rPr>
        <w:t>zonas</w:t>
      </w:r>
      <w:r>
        <w:rPr>
          <w:spacing w:val="-2"/>
          <w:sz w:val="16"/>
        </w:rPr>
        <w:t> </w:t>
      </w:r>
      <w:r>
        <w:rPr>
          <w:sz w:val="16"/>
        </w:rPr>
        <w:t>señalaron</w:t>
      </w:r>
      <w:r>
        <w:rPr>
          <w:spacing w:val="-4"/>
          <w:sz w:val="16"/>
        </w:rPr>
        <w:t> </w:t>
      </w:r>
      <w:r>
        <w:rPr>
          <w:sz w:val="16"/>
        </w:rPr>
        <w:t>que</w:t>
      </w:r>
      <w:r>
        <w:rPr>
          <w:spacing w:val="-2"/>
          <w:sz w:val="16"/>
        </w:rPr>
        <w:t> </w:t>
      </w:r>
      <w:r>
        <w:rPr>
          <w:sz w:val="16"/>
        </w:rPr>
        <w:t>se</w:t>
      </w:r>
      <w:r>
        <w:rPr>
          <w:spacing w:val="-5"/>
          <w:sz w:val="16"/>
        </w:rPr>
        <w:t> </w:t>
      </w:r>
      <w:r>
        <w:rPr>
          <w:sz w:val="16"/>
        </w:rPr>
        <w:t>reunían</w:t>
      </w:r>
      <w:r>
        <w:rPr>
          <w:spacing w:val="-4"/>
          <w:sz w:val="16"/>
        </w:rPr>
        <w:t> </w:t>
      </w:r>
      <w:r>
        <w:rPr>
          <w:sz w:val="16"/>
        </w:rPr>
        <w:t>“para</w:t>
      </w:r>
      <w:r>
        <w:rPr>
          <w:spacing w:val="-6"/>
          <w:sz w:val="16"/>
        </w:rPr>
        <w:t> </w:t>
      </w:r>
      <w:r>
        <w:rPr>
          <w:sz w:val="16"/>
        </w:rPr>
        <w:t>analizar</w:t>
      </w:r>
      <w:r>
        <w:rPr>
          <w:spacing w:val="-2"/>
          <w:sz w:val="16"/>
        </w:rPr>
        <w:t> </w:t>
      </w:r>
      <w:r>
        <w:rPr>
          <w:sz w:val="16"/>
        </w:rPr>
        <w:t>la</w:t>
      </w:r>
      <w:r>
        <w:rPr>
          <w:spacing w:val="-3"/>
          <w:sz w:val="16"/>
        </w:rPr>
        <w:t> </w:t>
      </w:r>
      <w:r>
        <w:rPr>
          <w:sz w:val="16"/>
        </w:rPr>
        <w:t>situación</w:t>
      </w:r>
      <w:r>
        <w:rPr>
          <w:spacing w:val="-3"/>
          <w:sz w:val="16"/>
        </w:rPr>
        <w:t> </w:t>
      </w:r>
      <w:r>
        <w:rPr>
          <w:sz w:val="16"/>
        </w:rPr>
        <w:t>de</w:t>
      </w:r>
      <w:r>
        <w:rPr>
          <w:spacing w:val="-2"/>
          <w:sz w:val="16"/>
        </w:rPr>
        <w:t> </w:t>
      </w:r>
      <w:r>
        <w:rPr>
          <w:sz w:val="16"/>
        </w:rPr>
        <w:t>inacción</w:t>
      </w:r>
      <w:r>
        <w:rPr>
          <w:spacing w:val="-4"/>
          <w:sz w:val="16"/>
        </w:rPr>
        <w:t> </w:t>
      </w:r>
      <w:r>
        <w:rPr>
          <w:sz w:val="16"/>
        </w:rPr>
        <w:t>de</w:t>
      </w:r>
      <w:r>
        <w:rPr>
          <w:spacing w:val="-2"/>
          <w:sz w:val="16"/>
        </w:rPr>
        <w:t> </w:t>
      </w:r>
      <w:r>
        <w:rPr>
          <w:sz w:val="16"/>
        </w:rPr>
        <w:t>la</w:t>
      </w:r>
      <w:r>
        <w:rPr>
          <w:spacing w:val="-1"/>
          <w:sz w:val="16"/>
        </w:rPr>
        <w:t> </w:t>
      </w:r>
      <w:r>
        <w:rPr>
          <w:sz w:val="16"/>
        </w:rPr>
        <w:t>UEP</w:t>
      </w:r>
      <w:r>
        <w:rPr>
          <w:spacing w:val="-6"/>
          <w:sz w:val="16"/>
        </w:rPr>
        <w:t> </w:t>
      </w:r>
      <w:r>
        <w:rPr>
          <w:sz w:val="16"/>
        </w:rPr>
        <w:t>y</w:t>
      </w:r>
      <w:r>
        <w:rPr>
          <w:spacing w:val="-2"/>
          <w:sz w:val="16"/>
        </w:rPr>
        <w:t> </w:t>
      </w:r>
      <w:r>
        <w:rPr>
          <w:sz w:val="16"/>
        </w:rPr>
        <w:t>la</w:t>
      </w:r>
      <w:r>
        <w:rPr>
          <w:spacing w:val="-3"/>
          <w:sz w:val="16"/>
        </w:rPr>
        <w:t> </w:t>
      </w:r>
      <w:r>
        <w:rPr>
          <w:sz w:val="16"/>
        </w:rPr>
        <w:t>falta</w:t>
      </w:r>
      <w:r>
        <w:rPr>
          <w:spacing w:val="-6"/>
          <w:sz w:val="16"/>
        </w:rPr>
        <w:t> </w:t>
      </w:r>
      <w:r>
        <w:rPr>
          <w:sz w:val="16"/>
        </w:rPr>
        <w:t>de</w:t>
      </w:r>
      <w:r>
        <w:rPr>
          <w:spacing w:val="-2"/>
          <w:sz w:val="16"/>
        </w:rPr>
        <w:t> </w:t>
      </w:r>
      <w:r>
        <w:rPr>
          <w:sz w:val="16"/>
        </w:rPr>
        <w:t>cumplimiento</w:t>
      </w:r>
      <w:r>
        <w:rPr>
          <w:spacing w:val="-2"/>
          <w:sz w:val="16"/>
        </w:rPr>
        <w:t> </w:t>
      </w:r>
      <w:r>
        <w:rPr>
          <w:sz w:val="16"/>
        </w:rPr>
        <w:t>de los</w:t>
      </w:r>
      <w:r>
        <w:rPr>
          <w:spacing w:val="-5"/>
          <w:sz w:val="16"/>
        </w:rPr>
        <w:t> </w:t>
      </w:r>
      <w:r>
        <w:rPr>
          <w:sz w:val="16"/>
        </w:rPr>
        <w:t>compromisos</w:t>
      </w:r>
      <w:r>
        <w:rPr>
          <w:spacing w:val="-7"/>
          <w:sz w:val="16"/>
        </w:rPr>
        <w:t> </w:t>
      </w:r>
      <w:r>
        <w:rPr>
          <w:sz w:val="16"/>
        </w:rPr>
        <w:t>asumidos</w:t>
      </w:r>
      <w:r>
        <w:rPr>
          <w:spacing w:val="-7"/>
          <w:sz w:val="16"/>
        </w:rPr>
        <w:t> </w:t>
      </w:r>
      <w:r>
        <w:rPr>
          <w:sz w:val="16"/>
        </w:rPr>
        <w:t>por</w:t>
      </w:r>
      <w:r>
        <w:rPr>
          <w:spacing w:val="-4"/>
          <w:sz w:val="16"/>
        </w:rPr>
        <w:t> </w:t>
      </w:r>
      <w:r>
        <w:rPr>
          <w:sz w:val="16"/>
        </w:rPr>
        <w:t>el</w:t>
      </w:r>
      <w:r>
        <w:rPr>
          <w:spacing w:val="-8"/>
          <w:sz w:val="16"/>
        </w:rPr>
        <w:t> </w:t>
      </w:r>
      <w:r>
        <w:rPr>
          <w:sz w:val="16"/>
        </w:rPr>
        <w:t>Gobernador</w:t>
      </w:r>
      <w:r>
        <w:rPr>
          <w:spacing w:val="-7"/>
          <w:sz w:val="16"/>
        </w:rPr>
        <w:t> </w:t>
      </w:r>
      <w:r>
        <w:rPr>
          <w:sz w:val="16"/>
        </w:rPr>
        <w:t>de</w:t>
      </w:r>
      <w:r>
        <w:rPr>
          <w:spacing w:val="-5"/>
          <w:sz w:val="16"/>
        </w:rPr>
        <w:t> </w:t>
      </w:r>
      <w:r>
        <w:rPr>
          <w:sz w:val="16"/>
        </w:rPr>
        <w:t>la</w:t>
      </w:r>
      <w:r>
        <w:rPr>
          <w:spacing w:val="-6"/>
          <w:sz w:val="16"/>
        </w:rPr>
        <w:t> </w:t>
      </w:r>
      <w:r>
        <w:rPr>
          <w:sz w:val="16"/>
        </w:rPr>
        <w:t>Provincia”</w:t>
      </w:r>
      <w:r>
        <w:rPr>
          <w:spacing w:val="-5"/>
          <w:sz w:val="16"/>
        </w:rPr>
        <w:t> </w:t>
      </w:r>
      <w:r>
        <w:rPr>
          <w:sz w:val="16"/>
        </w:rPr>
        <w:t>(</w:t>
      </w:r>
      <w:r>
        <w:rPr>
          <w:i/>
          <w:sz w:val="16"/>
        </w:rPr>
        <w:t>cfr.</w:t>
      </w:r>
      <w:r>
        <w:rPr>
          <w:i/>
          <w:spacing w:val="-6"/>
          <w:sz w:val="16"/>
        </w:rPr>
        <w:t> </w:t>
      </w:r>
      <w:r>
        <w:rPr>
          <w:sz w:val="16"/>
        </w:rPr>
        <w:t>Acta</w:t>
      </w:r>
      <w:r>
        <w:rPr>
          <w:spacing w:val="-6"/>
          <w:sz w:val="16"/>
        </w:rPr>
        <w:t> </w:t>
      </w:r>
      <w:r>
        <w:rPr>
          <w:sz w:val="16"/>
        </w:rPr>
        <w:t>de</w:t>
      </w:r>
      <w:r>
        <w:rPr>
          <w:spacing w:val="-7"/>
          <w:sz w:val="16"/>
        </w:rPr>
        <w:t> </w:t>
      </w:r>
      <w:r>
        <w:rPr>
          <w:sz w:val="16"/>
        </w:rPr>
        <w:t>17</w:t>
      </w:r>
      <w:r>
        <w:rPr>
          <w:spacing w:val="-7"/>
          <w:sz w:val="16"/>
        </w:rPr>
        <w:t> </w:t>
      </w:r>
      <w:r>
        <w:rPr>
          <w:sz w:val="16"/>
        </w:rPr>
        <w:t>de</w:t>
      </w:r>
      <w:r>
        <w:rPr>
          <w:spacing w:val="-7"/>
          <w:sz w:val="16"/>
        </w:rPr>
        <w:t> </w:t>
      </w:r>
      <w:r>
        <w:rPr>
          <w:sz w:val="16"/>
        </w:rPr>
        <w:t>julio</w:t>
      </w:r>
      <w:r>
        <w:rPr>
          <w:spacing w:val="-4"/>
          <w:sz w:val="16"/>
        </w:rPr>
        <w:t> </w:t>
      </w:r>
      <w:r>
        <w:rPr>
          <w:sz w:val="16"/>
        </w:rPr>
        <w:t>de</w:t>
      </w:r>
      <w:r>
        <w:rPr>
          <w:spacing w:val="-10"/>
          <w:sz w:val="16"/>
        </w:rPr>
        <w:t> </w:t>
      </w:r>
      <w:r>
        <w:rPr>
          <w:sz w:val="16"/>
        </w:rPr>
        <w:t>2013.</w:t>
      </w:r>
      <w:r>
        <w:rPr>
          <w:spacing w:val="-8"/>
          <w:sz w:val="16"/>
        </w:rPr>
        <w:t> </w:t>
      </w:r>
      <w:r>
        <w:rPr>
          <w:sz w:val="16"/>
        </w:rPr>
        <w:t>Expediente</w:t>
      </w:r>
      <w:r>
        <w:rPr>
          <w:spacing w:val="-7"/>
          <w:sz w:val="16"/>
        </w:rPr>
        <w:t> </w:t>
      </w:r>
      <w:r>
        <w:rPr>
          <w:sz w:val="16"/>
        </w:rPr>
        <w:t>de prueba, anexo H.20 al escrito de solicitudes y argumentos, fs. 31.224 a</w:t>
      </w:r>
      <w:r>
        <w:rPr>
          <w:spacing w:val="-22"/>
          <w:sz w:val="16"/>
        </w:rPr>
        <w:t> </w:t>
      </w:r>
      <w:r>
        <w:rPr>
          <w:sz w:val="16"/>
        </w:rPr>
        <w:t>31.226).</w:t>
      </w:r>
    </w:p>
    <w:p>
      <w:pPr>
        <w:spacing w:after="0" w:line="240" w:lineRule="auto"/>
        <w:jc w:val="both"/>
        <w:rPr>
          <w:sz w:val="16"/>
        </w:rPr>
        <w:sectPr>
          <w:footerReference w:type="default" r:id="rId14"/>
          <w:pgSz w:w="12240" w:h="15840"/>
          <w:pgMar w:footer="1000" w:header="0" w:top="1340" w:bottom="1200" w:left="1580" w:right="1580"/>
        </w:sectPr>
      </w:pPr>
    </w:p>
    <w:p>
      <w:pPr>
        <w:pStyle w:val="BodyText"/>
        <w:spacing w:line="247" w:lineRule="auto" w:before="71"/>
        <w:ind w:left="122" w:right="121" w:hanging="12"/>
        <w:jc w:val="both"/>
      </w:pPr>
      <w:r>
        <w:rPr/>
        <w:t>identificados como lotes fiscales 55 y 14)</w:t>
      </w:r>
      <w:r>
        <w:rPr>
          <w:rFonts w:ascii="Calibri" w:hAnsi="Calibri"/>
          <w:position w:val="8"/>
          <w:sz w:val="14"/>
        </w:rPr>
        <w:t>79</w:t>
      </w:r>
      <w:r>
        <w:rPr/>
        <w:t>, y ii.- la “propiedad en condominio” de los mismos</w:t>
      </w:r>
      <w:r>
        <w:rPr>
          <w:spacing w:val="-4"/>
        </w:rPr>
        <w:t> </w:t>
      </w:r>
      <w:r>
        <w:rPr/>
        <w:t>inmuebles</w:t>
      </w:r>
      <w:r>
        <w:rPr>
          <w:spacing w:val="-6"/>
        </w:rPr>
        <w:t> </w:t>
      </w:r>
      <w:r>
        <w:rPr/>
        <w:t>a</w:t>
      </w:r>
      <w:r>
        <w:rPr>
          <w:spacing w:val="-5"/>
        </w:rPr>
        <w:t> </w:t>
      </w:r>
      <w:r>
        <w:rPr/>
        <w:t>favor</w:t>
      </w:r>
      <w:r>
        <w:rPr>
          <w:spacing w:val="-7"/>
        </w:rPr>
        <w:t> </w:t>
      </w:r>
      <w:r>
        <w:rPr/>
        <w:t>de</w:t>
      </w:r>
      <w:r>
        <w:rPr>
          <w:spacing w:val="-7"/>
        </w:rPr>
        <w:t> </w:t>
      </w:r>
      <w:r>
        <w:rPr/>
        <w:t>múltiples</w:t>
      </w:r>
      <w:r>
        <w:rPr>
          <w:spacing w:val="-4"/>
        </w:rPr>
        <w:t> </w:t>
      </w:r>
      <w:r>
        <w:rPr/>
        <w:t>familias</w:t>
      </w:r>
      <w:r>
        <w:rPr>
          <w:spacing w:val="-4"/>
        </w:rPr>
        <w:t> </w:t>
      </w:r>
      <w:r>
        <w:rPr/>
        <w:t>criollas</w:t>
      </w:r>
      <w:r>
        <w:rPr>
          <w:rFonts w:ascii="Calibri" w:hAnsi="Calibri"/>
          <w:position w:val="8"/>
          <w:sz w:val="14"/>
        </w:rPr>
        <w:t>80</w:t>
      </w:r>
      <w:r>
        <w:rPr/>
        <w:t>;</w:t>
      </w:r>
      <w:r>
        <w:rPr>
          <w:spacing w:val="-5"/>
        </w:rPr>
        <w:t> </w:t>
      </w:r>
      <w:r>
        <w:rPr/>
        <w:t>b)</w:t>
      </w:r>
      <w:r>
        <w:rPr>
          <w:spacing w:val="-5"/>
        </w:rPr>
        <w:t> </w:t>
      </w:r>
      <w:r>
        <w:rPr/>
        <w:t>reservar</w:t>
      </w:r>
      <w:r>
        <w:rPr>
          <w:spacing w:val="-4"/>
        </w:rPr>
        <w:t> </w:t>
      </w:r>
      <w:r>
        <w:rPr/>
        <w:t>a</w:t>
      </w:r>
      <w:r>
        <w:rPr>
          <w:spacing w:val="-5"/>
        </w:rPr>
        <w:t> </w:t>
      </w:r>
      <w:r>
        <w:rPr/>
        <w:t>favor</w:t>
      </w:r>
      <w:r>
        <w:rPr>
          <w:spacing w:val="-4"/>
        </w:rPr>
        <w:t> </w:t>
      </w:r>
      <w:r>
        <w:rPr/>
        <w:t>del</w:t>
      </w:r>
      <w:r>
        <w:rPr>
          <w:spacing w:val="-5"/>
        </w:rPr>
        <w:t> </w:t>
      </w:r>
      <w:r>
        <w:rPr/>
        <w:t>Estado provincial el 6,34% de los inmuebles para “uso institucional”; c) disponer que la “determinación específica” de los territorios y lotes que correspondan a comunidades criollas</w:t>
      </w:r>
      <w:r>
        <w:rPr>
          <w:spacing w:val="-18"/>
        </w:rPr>
        <w:t> </w:t>
      </w:r>
      <w:r>
        <w:rPr/>
        <w:t>y</w:t>
      </w:r>
      <w:r>
        <w:rPr>
          <w:spacing w:val="-16"/>
        </w:rPr>
        <w:t> </w:t>
      </w:r>
      <w:r>
        <w:rPr/>
        <w:t>familias</w:t>
      </w:r>
      <w:r>
        <w:rPr>
          <w:spacing w:val="-16"/>
        </w:rPr>
        <w:t> </w:t>
      </w:r>
      <w:r>
        <w:rPr/>
        <w:t>indígenas</w:t>
      </w:r>
      <w:r>
        <w:rPr>
          <w:spacing w:val="-18"/>
        </w:rPr>
        <w:t> </w:t>
      </w:r>
      <w:r>
        <w:rPr/>
        <w:t>“y</w:t>
      </w:r>
      <w:r>
        <w:rPr>
          <w:spacing w:val="-16"/>
        </w:rPr>
        <w:t> </w:t>
      </w:r>
      <w:r>
        <w:rPr/>
        <w:t>todos</w:t>
      </w:r>
      <w:r>
        <w:rPr>
          <w:spacing w:val="-18"/>
        </w:rPr>
        <w:t> </w:t>
      </w:r>
      <w:r>
        <w:rPr/>
        <w:t>los</w:t>
      </w:r>
      <w:r>
        <w:rPr>
          <w:spacing w:val="-16"/>
        </w:rPr>
        <w:t> </w:t>
      </w:r>
      <w:r>
        <w:rPr/>
        <w:t>actos</w:t>
      </w:r>
      <w:r>
        <w:rPr>
          <w:spacing w:val="-16"/>
        </w:rPr>
        <w:t> </w:t>
      </w:r>
      <w:r>
        <w:rPr/>
        <w:t>y</w:t>
      </w:r>
      <w:r>
        <w:rPr>
          <w:spacing w:val="-18"/>
        </w:rPr>
        <w:t> </w:t>
      </w:r>
      <w:r>
        <w:rPr/>
        <w:t>trámites</w:t>
      </w:r>
      <w:r>
        <w:rPr>
          <w:spacing w:val="-16"/>
        </w:rPr>
        <w:t> </w:t>
      </w:r>
      <w:r>
        <w:rPr/>
        <w:t>necesarios</w:t>
      </w:r>
      <w:r>
        <w:rPr>
          <w:spacing w:val="-16"/>
        </w:rPr>
        <w:t> </w:t>
      </w:r>
      <w:r>
        <w:rPr/>
        <w:t>hasta</w:t>
      </w:r>
      <w:r>
        <w:rPr>
          <w:spacing w:val="-17"/>
        </w:rPr>
        <w:t> </w:t>
      </w:r>
      <w:r>
        <w:rPr/>
        <w:t>la</w:t>
      </w:r>
      <w:r>
        <w:rPr>
          <w:spacing w:val="-17"/>
        </w:rPr>
        <w:t> </w:t>
      </w:r>
      <w:r>
        <w:rPr/>
        <w:t>adjudicación y obtención de la matrícula correspondiente” se hagan a través de la</w:t>
      </w:r>
      <w:r>
        <w:rPr>
          <w:spacing w:val="-24"/>
        </w:rPr>
        <w:t> </w:t>
      </w:r>
      <w:r>
        <w:rPr/>
        <w:t>UEP.</w:t>
      </w:r>
    </w:p>
    <w:p>
      <w:pPr>
        <w:pStyle w:val="BodyText"/>
        <w:spacing w:before="5"/>
        <w:rPr>
          <w:sz w:val="19"/>
        </w:rPr>
      </w:pPr>
    </w:p>
    <w:p>
      <w:pPr>
        <w:pStyle w:val="ListParagraph"/>
        <w:numPr>
          <w:ilvl w:val="0"/>
          <w:numId w:val="19"/>
        </w:numPr>
        <w:tabs>
          <w:tab w:pos="830" w:val="left" w:leader="none"/>
        </w:tabs>
        <w:spacing w:line="242" w:lineRule="auto" w:before="0" w:after="0"/>
        <w:ind w:left="122" w:right="118" w:firstLine="0"/>
        <w:jc w:val="both"/>
        <w:rPr>
          <w:sz w:val="20"/>
        </w:rPr>
      </w:pPr>
      <w:r>
        <w:rPr>
          <w:sz w:val="20"/>
        </w:rPr>
        <w:t>En sus consideraciones, el Decreto 1498/14 señaló que para la localización específica de territorios de las comunidades y lotes de familias criollas se tendría en cuenta, “como referencia”, el mapa entregado por Lhaka Honhat a la Provincia</w:t>
      </w:r>
      <w:r>
        <w:rPr>
          <w:rFonts w:ascii="Calibri" w:hAnsi="Calibri"/>
          <w:position w:val="8"/>
          <w:sz w:val="14"/>
        </w:rPr>
        <w:t>81</w:t>
      </w:r>
      <w:r>
        <w:rPr>
          <w:sz w:val="20"/>
        </w:rPr>
        <w:t>. Una versión</w:t>
      </w:r>
      <w:r>
        <w:rPr>
          <w:spacing w:val="-8"/>
          <w:sz w:val="20"/>
        </w:rPr>
        <w:t> </w:t>
      </w:r>
      <w:r>
        <w:rPr>
          <w:sz w:val="20"/>
        </w:rPr>
        <w:t>de</w:t>
      </w:r>
      <w:r>
        <w:rPr>
          <w:spacing w:val="-9"/>
          <w:sz w:val="20"/>
        </w:rPr>
        <w:t> </w:t>
      </w:r>
      <w:r>
        <w:rPr>
          <w:sz w:val="20"/>
        </w:rPr>
        <w:t>dicho</w:t>
      </w:r>
      <w:r>
        <w:rPr>
          <w:spacing w:val="-8"/>
          <w:sz w:val="20"/>
        </w:rPr>
        <w:t> </w:t>
      </w:r>
      <w:r>
        <w:rPr>
          <w:sz w:val="20"/>
        </w:rPr>
        <w:t>mapa,</w:t>
      </w:r>
      <w:r>
        <w:rPr>
          <w:spacing w:val="-6"/>
          <w:sz w:val="20"/>
        </w:rPr>
        <w:t> </w:t>
      </w:r>
      <w:r>
        <w:rPr>
          <w:sz w:val="20"/>
        </w:rPr>
        <w:t>que</w:t>
      </w:r>
      <w:r>
        <w:rPr>
          <w:spacing w:val="-9"/>
          <w:sz w:val="20"/>
        </w:rPr>
        <w:t> </w:t>
      </w:r>
      <w:r>
        <w:rPr>
          <w:sz w:val="20"/>
        </w:rPr>
        <w:t>se</w:t>
      </w:r>
      <w:r>
        <w:rPr>
          <w:spacing w:val="-9"/>
          <w:sz w:val="20"/>
        </w:rPr>
        <w:t> </w:t>
      </w:r>
      <w:r>
        <w:rPr>
          <w:sz w:val="20"/>
        </w:rPr>
        <w:t>copia</w:t>
      </w:r>
      <w:r>
        <w:rPr>
          <w:spacing w:val="-8"/>
          <w:sz w:val="20"/>
        </w:rPr>
        <w:t> </w:t>
      </w:r>
      <w:r>
        <w:rPr>
          <w:sz w:val="20"/>
        </w:rPr>
        <w:t>a</w:t>
      </w:r>
      <w:r>
        <w:rPr>
          <w:spacing w:val="-5"/>
          <w:sz w:val="20"/>
        </w:rPr>
        <w:t> </w:t>
      </w:r>
      <w:r>
        <w:rPr>
          <w:sz w:val="20"/>
        </w:rPr>
        <w:t>continuación,</w:t>
      </w:r>
      <w:r>
        <w:rPr>
          <w:spacing w:val="-6"/>
          <w:sz w:val="20"/>
        </w:rPr>
        <w:t> </w:t>
      </w:r>
      <w:r>
        <w:rPr>
          <w:sz w:val="20"/>
        </w:rPr>
        <w:t>fue</w:t>
      </w:r>
      <w:r>
        <w:rPr>
          <w:spacing w:val="-6"/>
          <w:sz w:val="20"/>
        </w:rPr>
        <w:t> </w:t>
      </w:r>
      <w:r>
        <w:rPr>
          <w:sz w:val="20"/>
        </w:rPr>
        <w:t>remitida</w:t>
      </w:r>
      <w:r>
        <w:rPr>
          <w:spacing w:val="-8"/>
          <w:sz w:val="20"/>
        </w:rPr>
        <w:t> </w:t>
      </w:r>
      <w:r>
        <w:rPr>
          <w:sz w:val="20"/>
        </w:rPr>
        <w:t>por</w:t>
      </w:r>
      <w:r>
        <w:rPr>
          <w:spacing w:val="-7"/>
          <w:sz w:val="20"/>
        </w:rPr>
        <w:t> </w:t>
      </w:r>
      <w:r>
        <w:rPr>
          <w:sz w:val="20"/>
        </w:rPr>
        <w:t>los</w:t>
      </w:r>
      <w:r>
        <w:rPr>
          <w:spacing w:val="-9"/>
          <w:sz w:val="20"/>
        </w:rPr>
        <w:t> </w:t>
      </w:r>
      <w:r>
        <w:rPr>
          <w:sz w:val="20"/>
        </w:rPr>
        <w:t>representantes a la</w:t>
      </w:r>
      <w:r>
        <w:rPr>
          <w:spacing w:val="-9"/>
          <w:sz w:val="20"/>
        </w:rPr>
        <w:t> </w:t>
      </w:r>
      <w:r>
        <w:rPr>
          <w:sz w:val="20"/>
        </w:rPr>
        <w:t>Corte</w:t>
      </w:r>
      <w:r>
        <w:rPr>
          <w:position w:val="7"/>
          <w:sz w:val="13"/>
        </w:rPr>
        <w:t>82</w:t>
      </w:r>
      <w:r>
        <w:rPr>
          <w:sz w:val="2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26"/>
        </w:rPr>
      </w:pPr>
      <w:r>
        <w:rPr/>
        <w:pict>
          <v:line style="position:absolute;mso-position-horizontal-relative:page;mso-position-vertical-relative:paragraph;z-index:1696;mso-wrap-distance-left:0;mso-wrap-distance-right:0" from="85.103996pt,18.727713pt" to="229.123996pt,18.727713pt" stroked="true" strokeweight=".72003pt" strokecolor="#000000">
            <v:stroke dashstyle="solid"/>
            <w10:wrap type="topAndBottom"/>
          </v:line>
        </w:pict>
      </w:r>
    </w:p>
    <w:p>
      <w:pPr>
        <w:tabs>
          <w:tab w:pos="829" w:val="left" w:leader="none"/>
        </w:tabs>
        <w:spacing w:before="71"/>
        <w:ind w:left="122" w:right="118" w:firstLine="0"/>
        <w:jc w:val="both"/>
        <w:rPr>
          <w:sz w:val="16"/>
        </w:rPr>
      </w:pPr>
      <w:r>
        <w:rPr>
          <w:position w:val="6"/>
          <w:sz w:val="10"/>
        </w:rPr>
        <w:t>79</w:t>
        <w:tab/>
      </w:r>
      <w:r>
        <w:rPr>
          <w:sz w:val="16"/>
        </w:rPr>
        <w:t>Los  términos literales del articulado  del Decreto 1498/14 expresan que la    propiedad</w:t>
      </w:r>
      <w:r>
        <w:rPr>
          <w:spacing w:val="26"/>
          <w:sz w:val="16"/>
        </w:rPr>
        <w:t> </w:t>
      </w:r>
      <w:r>
        <w:rPr>
          <w:sz w:val="16"/>
        </w:rPr>
        <w:t>comunitaria</w:t>
      </w:r>
      <w:r>
        <w:rPr>
          <w:w w:val="100"/>
          <w:sz w:val="16"/>
        </w:rPr>
        <w:t> </w:t>
      </w:r>
      <w:r>
        <w:rPr>
          <w:sz w:val="16"/>
        </w:rPr>
        <w:t>abarca el 58,27% de los inmuebles con nomenclatura catastral No. 175 y 5557 del Departamento Rivadavia. En las consideraciones del Decreto se aclara que tal nomenclatura corresponde a los lotes 55 y 14, cuya superficie exacta todavía no ha sido calculada, tomándose como “referencia” la cantidad de 643.000</w:t>
      </w:r>
      <w:r>
        <w:rPr>
          <w:spacing w:val="-34"/>
          <w:sz w:val="16"/>
        </w:rPr>
        <w:t> </w:t>
      </w:r>
      <w:r>
        <w:rPr>
          <w:sz w:val="16"/>
        </w:rPr>
        <w:t>ha.</w:t>
      </w:r>
    </w:p>
    <w:p>
      <w:pPr>
        <w:pStyle w:val="BodyText"/>
        <w:spacing w:before="11"/>
        <w:rPr>
          <w:sz w:val="15"/>
        </w:rPr>
      </w:pPr>
    </w:p>
    <w:p>
      <w:pPr>
        <w:tabs>
          <w:tab w:pos="829" w:val="left" w:leader="none"/>
        </w:tabs>
        <w:spacing w:before="0"/>
        <w:ind w:left="122" w:right="111" w:firstLine="0"/>
        <w:jc w:val="both"/>
        <w:rPr>
          <w:sz w:val="16"/>
        </w:rPr>
      </w:pPr>
      <w:r>
        <w:rPr>
          <w:position w:val="6"/>
          <w:sz w:val="10"/>
        </w:rPr>
        <w:t>80</w:t>
        <w:tab/>
      </w:r>
      <w:r>
        <w:rPr>
          <w:sz w:val="16"/>
        </w:rPr>
        <w:t>No</w:t>
      </w:r>
      <w:r>
        <w:rPr>
          <w:spacing w:val="-2"/>
          <w:sz w:val="16"/>
        </w:rPr>
        <w:t> </w:t>
      </w:r>
      <w:r>
        <w:rPr>
          <w:sz w:val="16"/>
        </w:rPr>
        <w:t>queda</w:t>
      </w:r>
      <w:r>
        <w:rPr>
          <w:spacing w:val="-3"/>
          <w:sz w:val="16"/>
        </w:rPr>
        <w:t> </w:t>
      </w:r>
      <w:r>
        <w:rPr>
          <w:sz w:val="16"/>
        </w:rPr>
        <w:t>clara</w:t>
      </w:r>
      <w:r>
        <w:rPr>
          <w:spacing w:val="-3"/>
          <w:sz w:val="16"/>
        </w:rPr>
        <w:t> </w:t>
      </w:r>
      <w:r>
        <w:rPr>
          <w:sz w:val="16"/>
        </w:rPr>
        <w:t>la</w:t>
      </w:r>
      <w:r>
        <w:rPr>
          <w:spacing w:val="-3"/>
          <w:sz w:val="16"/>
        </w:rPr>
        <w:t> </w:t>
      </w:r>
      <w:r>
        <w:rPr>
          <w:sz w:val="16"/>
        </w:rPr>
        <w:t>cantidad</w:t>
      </w:r>
      <w:r>
        <w:rPr>
          <w:spacing w:val="-4"/>
          <w:sz w:val="16"/>
        </w:rPr>
        <w:t> </w:t>
      </w:r>
      <w:r>
        <w:rPr>
          <w:sz w:val="16"/>
        </w:rPr>
        <w:t>exacta</w:t>
      </w:r>
      <w:r>
        <w:rPr>
          <w:spacing w:val="-3"/>
          <w:sz w:val="16"/>
        </w:rPr>
        <w:t> </w:t>
      </w:r>
      <w:r>
        <w:rPr>
          <w:sz w:val="16"/>
        </w:rPr>
        <w:t>de</w:t>
      </w:r>
      <w:r>
        <w:rPr>
          <w:spacing w:val="-2"/>
          <w:sz w:val="16"/>
        </w:rPr>
        <w:t> </w:t>
      </w:r>
      <w:r>
        <w:rPr>
          <w:sz w:val="16"/>
        </w:rPr>
        <w:t>“familias”</w:t>
      </w:r>
      <w:r>
        <w:rPr>
          <w:spacing w:val="-2"/>
          <w:sz w:val="16"/>
        </w:rPr>
        <w:t> </w:t>
      </w:r>
      <w:r>
        <w:rPr>
          <w:sz w:val="16"/>
        </w:rPr>
        <w:t>criollas</w:t>
      </w:r>
      <w:r>
        <w:rPr>
          <w:spacing w:val="-2"/>
          <w:sz w:val="16"/>
        </w:rPr>
        <w:t> </w:t>
      </w:r>
      <w:r>
        <w:rPr>
          <w:sz w:val="16"/>
        </w:rPr>
        <w:t>contempladas</w:t>
      </w:r>
      <w:r>
        <w:rPr>
          <w:spacing w:val="-5"/>
          <w:sz w:val="16"/>
        </w:rPr>
        <w:t> </w:t>
      </w:r>
      <w:r>
        <w:rPr>
          <w:sz w:val="16"/>
        </w:rPr>
        <w:t>en</w:t>
      </w:r>
      <w:r>
        <w:rPr>
          <w:spacing w:val="-3"/>
          <w:sz w:val="16"/>
        </w:rPr>
        <w:t> </w:t>
      </w:r>
      <w:r>
        <w:rPr>
          <w:sz w:val="16"/>
        </w:rPr>
        <w:t>el</w:t>
      </w:r>
      <w:r>
        <w:rPr>
          <w:spacing w:val="-3"/>
          <w:sz w:val="16"/>
        </w:rPr>
        <w:t> </w:t>
      </w:r>
      <w:r>
        <w:rPr>
          <w:sz w:val="16"/>
        </w:rPr>
        <w:t>Decreto</w:t>
      </w:r>
      <w:r>
        <w:rPr>
          <w:spacing w:val="-4"/>
          <w:sz w:val="16"/>
        </w:rPr>
        <w:t> </w:t>
      </w:r>
      <w:r>
        <w:rPr>
          <w:sz w:val="16"/>
        </w:rPr>
        <w:t>1498/14,</w:t>
      </w:r>
      <w:r>
        <w:rPr>
          <w:spacing w:val="-6"/>
          <w:sz w:val="16"/>
        </w:rPr>
        <w:t> </w:t>
      </w:r>
      <w:r>
        <w:rPr>
          <w:sz w:val="16"/>
        </w:rPr>
        <w:t>pues</w:t>
      </w:r>
      <w:r>
        <w:rPr>
          <w:spacing w:val="-2"/>
          <w:sz w:val="16"/>
        </w:rPr>
        <w:t> </w:t>
      </w:r>
      <w:r>
        <w:rPr>
          <w:sz w:val="16"/>
        </w:rPr>
        <w:t>el</w:t>
      </w:r>
      <w:r>
        <w:rPr>
          <w:w w:val="100"/>
          <w:sz w:val="16"/>
        </w:rPr>
        <w:t> </w:t>
      </w:r>
      <w:r>
        <w:rPr>
          <w:sz w:val="16"/>
        </w:rPr>
        <w:t>detalle que hace el mismo al respecto no es por persona o familia, sino por “puestos”. Indica 382 “puestos”, señalando</w:t>
      </w:r>
      <w:r>
        <w:rPr>
          <w:spacing w:val="-9"/>
          <w:sz w:val="16"/>
        </w:rPr>
        <w:t> </w:t>
      </w:r>
      <w:r>
        <w:rPr>
          <w:sz w:val="16"/>
        </w:rPr>
        <w:t>personas</w:t>
      </w:r>
      <w:r>
        <w:rPr>
          <w:spacing w:val="-9"/>
          <w:sz w:val="16"/>
        </w:rPr>
        <w:t> </w:t>
      </w:r>
      <w:r>
        <w:rPr>
          <w:sz w:val="16"/>
        </w:rPr>
        <w:t>“solicitantes”</w:t>
      </w:r>
      <w:r>
        <w:rPr>
          <w:spacing w:val="-9"/>
          <w:sz w:val="16"/>
        </w:rPr>
        <w:t> </w:t>
      </w:r>
      <w:r>
        <w:rPr>
          <w:sz w:val="16"/>
        </w:rPr>
        <w:t>de</w:t>
      </w:r>
      <w:r>
        <w:rPr>
          <w:spacing w:val="-10"/>
          <w:sz w:val="16"/>
        </w:rPr>
        <w:t> </w:t>
      </w:r>
      <w:r>
        <w:rPr>
          <w:sz w:val="16"/>
        </w:rPr>
        <w:t>los</w:t>
      </w:r>
      <w:r>
        <w:rPr>
          <w:spacing w:val="-10"/>
          <w:sz w:val="16"/>
        </w:rPr>
        <w:t> </w:t>
      </w:r>
      <w:r>
        <w:rPr>
          <w:sz w:val="16"/>
        </w:rPr>
        <w:t>mismos.</w:t>
      </w:r>
      <w:r>
        <w:rPr>
          <w:spacing w:val="-10"/>
          <w:sz w:val="16"/>
        </w:rPr>
        <w:t> </w:t>
      </w:r>
      <w:r>
        <w:rPr>
          <w:sz w:val="16"/>
        </w:rPr>
        <w:t>De</w:t>
      </w:r>
      <w:r>
        <w:rPr>
          <w:spacing w:val="-10"/>
          <w:sz w:val="16"/>
        </w:rPr>
        <w:t> </w:t>
      </w:r>
      <w:r>
        <w:rPr>
          <w:sz w:val="16"/>
        </w:rPr>
        <w:t>la</w:t>
      </w:r>
      <w:r>
        <w:rPr>
          <w:spacing w:val="-8"/>
          <w:sz w:val="16"/>
        </w:rPr>
        <w:t> </w:t>
      </w:r>
      <w:r>
        <w:rPr>
          <w:sz w:val="16"/>
        </w:rPr>
        <w:t>lectura</w:t>
      </w:r>
      <w:r>
        <w:rPr>
          <w:spacing w:val="-8"/>
          <w:sz w:val="16"/>
        </w:rPr>
        <w:t> </w:t>
      </w:r>
      <w:r>
        <w:rPr>
          <w:sz w:val="16"/>
        </w:rPr>
        <w:t>se</w:t>
      </w:r>
      <w:r>
        <w:rPr>
          <w:spacing w:val="-9"/>
          <w:sz w:val="16"/>
        </w:rPr>
        <w:t> </w:t>
      </w:r>
      <w:r>
        <w:rPr>
          <w:sz w:val="16"/>
        </w:rPr>
        <w:t>advierte</w:t>
      </w:r>
      <w:r>
        <w:rPr>
          <w:spacing w:val="-10"/>
          <w:sz w:val="16"/>
        </w:rPr>
        <w:t> </w:t>
      </w:r>
      <w:r>
        <w:rPr>
          <w:sz w:val="16"/>
        </w:rPr>
        <w:t>que,</w:t>
      </w:r>
      <w:r>
        <w:rPr>
          <w:spacing w:val="-11"/>
          <w:sz w:val="16"/>
        </w:rPr>
        <w:t> </w:t>
      </w:r>
      <w:r>
        <w:rPr>
          <w:sz w:val="16"/>
        </w:rPr>
        <w:t>de</w:t>
      </w:r>
      <w:r>
        <w:rPr>
          <w:spacing w:val="-7"/>
          <w:sz w:val="16"/>
        </w:rPr>
        <w:t> </w:t>
      </w:r>
      <w:r>
        <w:rPr>
          <w:sz w:val="16"/>
        </w:rPr>
        <w:t>acuerdo</w:t>
      </w:r>
      <w:r>
        <w:rPr>
          <w:spacing w:val="-11"/>
          <w:sz w:val="16"/>
        </w:rPr>
        <w:t> </w:t>
      </w:r>
      <w:r>
        <w:rPr>
          <w:sz w:val="16"/>
        </w:rPr>
        <w:t>al</w:t>
      </w:r>
      <w:r>
        <w:rPr>
          <w:spacing w:val="-8"/>
          <w:sz w:val="16"/>
        </w:rPr>
        <w:t> </w:t>
      </w:r>
      <w:r>
        <w:rPr>
          <w:sz w:val="16"/>
        </w:rPr>
        <w:t>caso,</w:t>
      </w:r>
      <w:r>
        <w:rPr>
          <w:spacing w:val="-11"/>
          <w:sz w:val="16"/>
        </w:rPr>
        <w:t> </w:t>
      </w:r>
      <w:r>
        <w:rPr>
          <w:sz w:val="16"/>
        </w:rPr>
        <w:t>una</w:t>
      </w:r>
      <w:r>
        <w:rPr>
          <w:spacing w:val="-8"/>
          <w:sz w:val="16"/>
        </w:rPr>
        <w:t> </w:t>
      </w:r>
      <w:r>
        <w:rPr>
          <w:sz w:val="16"/>
        </w:rPr>
        <w:t>misma persona</w:t>
      </w:r>
      <w:r>
        <w:rPr>
          <w:spacing w:val="-8"/>
          <w:sz w:val="16"/>
        </w:rPr>
        <w:t> </w:t>
      </w:r>
      <w:r>
        <w:rPr>
          <w:sz w:val="16"/>
        </w:rPr>
        <w:t>es</w:t>
      </w:r>
      <w:r>
        <w:rPr>
          <w:spacing w:val="-7"/>
          <w:sz w:val="16"/>
        </w:rPr>
        <w:t> </w:t>
      </w:r>
      <w:r>
        <w:rPr>
          <w:sz w:val="16"/>
        </w:rPr>
        <w:t>“solicitante”</w:t>
      </w:r>
      <w:r>
        <w:rPr>
          <w:spacing w:val="-7"/>
          <w:sz w:val="16"/>
        </w:rPr>
        <w:t> </w:t>
      </w:r>
      <w:r>
        <w:rPr>
          <w:sz w:val="16"/>
        </w:rPr>
        <w:t>de</w:t>
      </w:r>
      <w:r>
        <w:rPr>
          <w:spacing w:val="-9"/>
          <w:sz w:val="16"/>
        </w:rPr>
        <w:t> </w:t>
      </w:r>
      <w:r>
        <w:rPr>
          <w:sz w:val="16"/>
        </w:rPr>
        <w:t>distintos</w:t>
      </w:r>
      <w:r>
        <w:rPr>
          <w:spacing w:val="-7"/>
          <w:sz w:val="16"/>
        </w:rPr>
        <w:t> </w:t>
      </w:r>
      <w:r>
        <w:rPr>
          <w:sz w:val="16"/>
        </w:rPr>
        <w:t>puestos</w:t>
      </w:r>
      <w:r>
        <w:rPr>
          <w:spacing w:val="-10"/>
          <w:sz w:val="16"/>
        </w:rPr>
        <w:t> </w:t>
      </w:r>
      <w:r>
        <w:rPr>
          <w:sz w:val="16"/>
        </w:rPr>
        <w:t>y</w:t>
      </w:r>
      <w:r>
        <w:rPr>
          <w:spacing w:val="-9"/>
          <w:sz w:val="16"/>
        </w:rPr>
        <w:t> </w:t>
      </w:r>
      <w:r>
        <w:rPr>
          <w:sz w:val="16"/>
        </w:rPr>
        <w:t>que,</w:t>
      </w:r>
      <w:r>
        <w:rPr>
          <w:spacing w:val="-8"/>
          <w:sz w:val="16"/>
        </w:rPr>
        <w:t> </w:t>
      </w:r>
      <w:r>
        <w:rPr>
          <w:sz w:val="16"/>
        </w:rPr>
        <w:t>a</w:t>
      </w:r>
      <w:r>
        <w:rPr>
          <w:spacing w:val="-8"/>
          <w:sz w:val="16"/>
        </w:rPr>
        <w:t> </w:t>
      </w:r>
      <w:r>
        <w:rPr>
          <w:sz w:val="16"/>
        </w:rPr>
        <w:t>su</w:t>
      </w:r>
      <w:r>
        <w:rPr>
          <w:spacing w:val="-10"/>
          <w:sz w:val="16"/>
        </w:rPr>
        <w:t> </w:t>
      </w:r>
      <w:r>
        <w:rPr>
          <w:sz w:val="16"/>
        </w:rPr>
        <w:t>vez,</w:t>
      </w:r>
      <w:r>
        <w:rPr>
          <w:spacing w:val="-11"/>
          <w:sz w:val="16"/>
        </w:rPr>
        <w:t> </w:t>
      </w:r>
      <w:r>
        <w:rPr>
          <w:sz w:val="16"/>
        </w:rPr>
        <w:t>hay</w:t>
      </w:r>
      <w:r>
        <w:rPr>
          <w:spacing w:val="-7"/>
          <w:sz w:val="16"/>
        </w:rPr>
        <w:t> </w:t>
      </w:r>
      <w:r>
        <w:rPr>
          <w:sz w:val="16"/>
        </w:rPr>
        <w:t>distintos</w:t>
      </w:r>
      <w:r>
        <w:rPr>
          <w:spacing w:val="-9"/>
          <w:sz w:val="16"/>
        </w:rPr>
        <w:t> </w:t>
      </w:r>
      <w:r>
        <w:rPr>
          <w:sz w:val="16"/>
        </w:rPr>
        <w:t>“solicitantes”</w:t>
      </w:r>
      <w:r>
        <w:rPr>
          <w:spacing w:val="-7"/>
          <w:sz w:val="16"/>
        </w:rPr>
        <w:t> </w:t>
      </w:r>
      <w:r>
        <w:rPr>
          <w:sz w:val="16"/>
        </w:rPr>
        <w:t>con</w:t>
      </w:r>
      <w:r>
        <w:rPr>
          <w:spacing w:val="-8"/>
          <w:sz w:val="16"/>
        </w:rPr>
        <w:t> </w:t>
      </w:r>
      <w:r>
        <w:rPr>
          <w:sz w:val="16"/>
        </w:rPr>
        <w:t>el</w:t>
      </w:r>
      <w:r>
        <w:rPr>
          <w:spacing w:val="-8"/>
          <w:sz w:val="16"/>
        </w:rPr>
        <w:t> </w:t>
      </w:r>
      <w:r>
        <w:rPr>
          <w:sz w:val="16"/>
        </w:rPr>
        <w:t>mismo</w:t>
      </w:r>
      <w:r>
        <w:rPr>
          <w:spacing w:val="-7"/>
          <w:sz w:val="16"/>
        </w:rPr>
        <w:t> </w:t>
      </w:r>
      <w:r>
        <w:rPr>
          <w:sz w:val="16"/>
        </w:rPr>
        <w:t>apellido, lo que hace suponer que pertenezcan a una misma</w:t>
      </w:r>
      <w:r>
        <w:rPr>
          <w:spacing w:val="-13"/>
          <w:sz w:val="16"/>
        </w:rPr>
        <w:t> </w:t>
      </w:r>
      <w:r>
        <w:rPr>
          <w:sz w:val="16"/>
        </w:rPr>
        <w:t>familia.</w:t>
      </w:r>
    </w:p>
    <w:p>
      <w:pPr>
        <w:pStyle w:val="BodyText"/>
        <w:spacing w:before="11"/>
        <w:rPr>
          <w:sz w:val="15"/>
        </w:rPr>
      </w:pPr>
    </w:p>
    <w:p>
      <w:pPr>
        <w:tabs>
          <w:tab w:pos="829" w:val="left" w:leader="none"/>
        </w:tabs>
        <w:spacing w:before="0"/>
        <w:ind w:left="122" w:right="121" w:firstLine="0"/>
        <w:jc w:val="both"/>
        <w:rPr>
          <w:sz w:val="16"/>
        </w:rPr>
      </w:pPr>
      <w:r>
        <w:rPr>
          <w:position w:val="6"/>
          <w:sz w:val="10"/>
        </w:rPr>
        <w:t>81</w:t>
        <w:tab/>
      </w:r>
      <w:r>
        <w:rPr>
          <w:i/>
          <w:sz w:val="16"/>
        </w:rPr>
        <w:t>Cfr. </w:t>
      </w:r>
      <w:r>
        <w:rPr>
          <w:sz w:val="16"/>
        </w:rPr>
        <w:t>Decreto 1498/14. Expediente de prueba, anexo H.32 al escrito de solicitudes y</w:t>
      </w:r>
      <w:r>
        <w:rPr>
          <w:spacing w:val="53"/>
          <w:sz w:val="16"/>
        </w:rPr>
        <w:t> </w:t>
      </w:r>
      <w:r>
        <w:rPr>
          <w:sz w:val="16"/>
        </w:rPr>
        <w:t>argumentos,</w:t>
      </w:r>
      <w:r>
        <w:rPr>
          <w:spacing w:val="2"/>
          <w:sz w:val="16"/>
        </w:rPr>
        <w:t> </w:t>
      </w:r>
      <w:r>
        <w:rPr>
          <w:sz w:val="16"/>
        </w:rPr>
        <w:t>fs.</w:t>
      </w:r>
      <w:r>
        <w:rPr>
          <w:w w:val="100"/>
          <w:sz w:val="16"/>
        </w:rPr>
        <w:t> </w:t>
      </w:r>
      <w:r>
        <w:rPr>
          <w:sz w:val="16"/>
        </w:rPr>
        <w:t>31.336 a</w:t>
      </w:r>
      <w:r>
        <w:rPr>
          <w:spacing w:val="-7"/>
          <w:sz w:val="16"/>
        </w:rPr>
        <w:t> </w:t>
      </w:r>
      <w:r>
        <w:rPr>
          <w:sz w:val="16"/>
        </w:rPr>
        <w:t>31.352.</w:t>
      </w:r>
    </w:p>
    <w:p>
      <w:pPr>
        <w:pStyle w:val="BodyText"/>
        <w:spacing w:before="11"/>
        <w:rPr>
          <w:sz w:val="15"/>
        </w:rPr>
      </w:pPr>
    </w:p>
    <w:p>
      <w:pPr>
        <w:tabs>
          <w:tab w:pos="801" w:val="left" w:leader="none"/>
        </w:tabs>
        <w:spacing w:line="240" w:lineRule="auto" w:before="0"/>
        <w:ind w:left="122" w:right="114" w:firstLine="0"/>
        <w:jc w:val="both"/>
        <w:rPr>
          <w:sz w:val="16"/>
        </w:rPr>
      </w:pPr>
      <w:r>
        <w:rPr>
          <w:position w:val="6"/>
          <w:sz w:val="10"/>
        </w:rPr>
        <w:t>82</w:t>
        <w:tab/>
      </w:r>
      <w:r>
        <w:rPr>
          <w:i/>
          <w:sz w:val="16"/>
        </w:rPr>
        <w:t>Cfr.</w:t>
      </w:r>
      <w:r>
        <w:rPr>
          <w:i/>
          <w:spacing w:val="16"/>
          <w:sz w:val="16"/>
        </w:rPr>
        <w:t> </w:t>
      </w:r>
      <w:r>
        <w:rPr>
          <w:sz w:val="16"/>
        </w:rPr>
        <w:t>Mapa.</w:t>
      </w:r>
      <w:r>
        <w:rPr>
          <w:spacing w:val="16"/>
          <w:sz w:val="16"/>
        </w:rPr>
        <w:t> </w:t>
      </w:r>
      <w:r>
        <w:rPr>
          <w:sz w:val="16"/>
        </w:rPr>
        <w:t>Expediente</w:t>
      </w:r>
      <w:r>
        <w:rPr>
          <w:spacing w:val="17"/>
          <w:sz w:val="16"/>
        </w:rPr>
        <w:t> </w:t>
      </w:r>
      <w:r>
        <w:rPr>
          <w:sz w:val="16"/>
        </w:rPr>
        <w:t>de</w:t>
      </w:r>
      <w:r>
        <w:rPr>
          <w:spacing w:val="17"/>
          <w:sz w:val="16"/>
        </w:rPr>
        <w:t> </w:t>
      </w:r>
      <w:r>
        <w:rPr>
          <w:sz w:val="16"/>
        </w:rPr>
        <w:t>prueba,</w:t>
      </w:r>
      <w:r>
        <w:rPr>
          <w:spacing w:val="18"/>
          <w:sz w:val="16"/>
        </w:rPr>
        <w:t> </w:t>
      </w:r>
      <w:r>
        <w:rPr>
          <w:sz w:val="16"/>
        </w:rPr>
        <w:t>anexo</w:t>
      </w:r>
      <w:r>
        <w:rPr>
          <w:spacing w:val="17"/>
          <w:sz w:val="16"/>
        </w:rPr>
        <w:t> </w:t>
      </w:r>
      <w:r>
        <w:rPr>
          <w:sz w:val="16"/>
        </w:rPr>
        <w:t>H.66</w:t>
      </w:r>
      <w:r>
        <w:rPr>
          <w:spacing w:val="20"/>
          <w:sz w:val="16"/>
        </w:rPr>
        <w:t> </w:t>
      </w:r>
      <w:r>
        <w:rPr>
          <w:sz w:val="16"/>
        </w:rPr>
        <w:t>al</w:t>
      </w:r>
      <w:r>
        <w:rPr>
          <w:spacing w:val="16"/>
          <w:sz w:val="16"/>
        </w:rPr>
        <w:t> </w:t>
      </w:r>
      <w:r>
        <w:rPr>
          <w:sz w:val="16"/>
        </w:rPr>
        <w:t>escrito</w:t>
      </w:r>
      <w:r>
        <w:rPr>
          <w:spacing w:val="15"/>
          <w:sz w:val="16"/>
        </w:rPr>
        <w:t> </w:t>
      </w:r>
      <w:r>
        <w:rPr>
          <w:sz w:val="16"/>
        </w:rPr>
        <w:t>de</w:t>
      </w:r>
      <w:r>
        <w:rPr>
          <w:spacing w:val="17"/>
          <w:sz w:val="16"/>
        </w:rPr>
        <w:t> </w:t>
      </w:r>
      <w:r>
        <w:rPr>
          <w:sz w:val="16"/>
        </w:rPr>
        <w:t>solicitudes</w:t>
      </w:r>
      <w:r>
        <w:rPr>
          <w:spacing w:val="17"/>
          <w:sz w:val="16"/>
        </w:rPr>
        <w:t> </w:t>
      </w:r>
      <w:r>
        <w:rPr>
          <w:sz w:val="16"/>
        </w:rPr>
        <w:t>y</w:t>
      </w:r>
      <w:r>
        <w:rPr>
          <w:spacing w:val="17"/>
          <w:sz w:val="16"/>
        </w:rPr>
        <w:t> </w:t>
      </w:r>
      <w:r>
        <w:rPr>
          <w:sz w:val="16"/>
        </w:rPr>
        <w:t>argumentos,</w:t>
      </w:r>
      <w:r>
        <w:rPr>
          <w:spacing w:val="16"/>
          <w:sz w:val="16"/>
        </w:rPr>
        <w:t> </w:t>
      </w:r>
      <w:r>
        <w:rPr>
          <w:sz w:val="16"/>
        </w:rPr>
        <w:t>fs.</w:t>
      </w:r>
      <w:r>
        <w:rPr>
          <w:spacing w:val="16"/>
          <w:sz w:val="16"/>
        </w:rPr>
        <w:t> </w:t>
      </w:r>
      <w:r>
        <w:rPr>
          <w:sz w:val="16"/>
        </w:rPr>
        <w:t>31.798</w:t>
      </w:r>
      <w:r>
        <w:rPr>
          <w:spacing w:val="18"/>
          <w:sz w:val="16"/>
        </w:rPr>
        <w:t> </w:t>
      </w:r>
      <w:r>
        <w:rPr>
          <w:sz w:val="16"/>
        </w:rPr>
        <w:t>a</w:t>
      </w:r>
      <w:r>
        <w:rPr>
          <w:w w:val="100"/>
          <w:sz w:val="16"/>
        </w:rPr>
        <w:t> </w:t>
      </w:r>
      <w:r>
        <w:rPr>
          <w:sz w:val="16"/>
        </w:rPr>
        <w:t>31.804. Los representantes señalaron que se trata de una versión del mapa “a abril de 2018” que muestra, según los representantes, “casi la totalidad de los criollos asentados en las 400.000 hectáreas de reclamo indígena que aún no tienen siquiera un acuerdo para ser</w:t>
      </w:r>
      <w:r>
        <w:rPr>
          <w:spacing w:val="-18"/>
          <w:sz w:val="16"/>
        </w:rPr>
        <w:t> </w:t>
      </w:r>
      <w:r>
        <w:rPr>
          <w:sz w:val="16"/>
        </w:rPr>
        <w:t>trasladado”.</w:t>
      </w:r>
    </w:p>
    <w:p>
      <w:pPr>
        <w:spacing w:after="0" w:line="240" w:lineRule="auto"/>
        <w:jc w:val="both"/>
        <w:rPr>
          <w:sz w:val="16"/>
        </w:rPr>
        <w:sectPr>
          <w:footerReference w:type="default" r:id="rId15"/>
          <w:pgSz w:w="12240" w:h="15840"/>
          <w:pgMar w:footer="1000" w:header="0" w:top="1340" w:bottom="1200" w:left="1580" w:right="1580"/>
          <w:pgNumType w:start="31"/>
        </w:sectPr>
      </w:pPr>
    </w:p>
    <w:p>
      <w:pPr>
        <w:pStyle w:val="BodyText"/>
        <w:ind w:left="775"/>
      </w:pPr>
      <w:r>
        <w:rPr/>
        <w:drawing>
          <wp:inline distT="0" distB="0" distL="0" distR="0">
            <wp:extent cx="4752370" cy="6728841"/>
            <wp:effectExtent l="0" t="0" r="0" b="0"/>
            <wp:docPr id="7" name="image4.jpeg" descr="mapa1"/>
            <wp:cNvGraphicFramePr>
              <a:graphicFrameLocks noChangeAspect="1"/>
            </wp:cNvGraphicFramePr>
            <a:graphic>
              <a:graphicData uri="http://schemas.openxmlformats.org/drawingml/2006/picture">
                <pic:pic>
                  <pic:nvPicPr>
                    <pic:cNvPr id="8" name="image4.jpeg"/>
                    <pic:cNvPicPr/>
                  </pic:nvPicPr>
                  <pic:blipFill>
                    <a:blip r:embed="rId16" cstate="print"/>
                    <a:stretch>
                      <a:fillRect/>
                    </a:stretch>
                  </pic:blipFill>
                  <pic:spPr>
                    <a:xfrm>
                      <a:off x="0" y="0"/>
                      <a:ext cx="4752370" cy="6728841"/>
                    </a:xfrm>
                    <a:prstGeom prst="rect">
                      <a:avLst/>
                    </a:prstGeom>
                  </pic:spPr>
                </pic:pic>
              </a:graphicData>
            </a:graphic>
          </wp:inline>
        </w:drawing>
      </w:r>
      <w:r>
        <w:rPr/>
      </w:r>
    </w:p>
    <w:p>
      <w:pPr>
        <w:pStyle w:val="BodyText"/>
      </w:pPr>
    </w:p>
    <w:p>
      <w:pPr>
        <w:pStyle w:val="BodyText"/>
        <w:spacing w:before="5"/>
        <w:rPr>
          <w:sz w:val="21"/>
        </w:rPr>
      </w:pPr>
    </w:p>
    <w:p>
      <w:pPr>
        <w:pStyle w:val="ListParagraph"/>
        <w:numPr>
          <w:ilvl w:val="0"/>
          <w:numId w:val="19"/>
        </w:numPr>
        <w:tabs>
          <w:tab w:pos="830" w:val="left" w:leader="none"/>
        </w:tabs>
        <w:spacing w:line="237" w:lineRule="auto" w:before="0" w:after="0"/>
        <w:ind w:left="122" w:right="115" w:firstLine="0"/>
        <w:jc w:val="both"/>
        <w:rPr>
          <w:sz w:val="20"/>
        </w:rPr>
      </w:pPr>
      <w:r>
        <w:rPr>
          <w:sz w:val="20"/>
        </w:rPr>
        <w:t>El 28 de julio de 2014 Salta emitió la Resolución 654, por la que se aprobaron convenios</w:t>
      </w:r>
      <w:r>
        <w:rPr>
          <w:spacing w:val="-9"/>
          <w:sz w:val="20"/>
        </w:rPr>
        <w:t> </w:t>
      </w:r>
      <w:r>
        <w:rPr>
          <w:sz w:val="20"/>
        </w:rPr>
        <w:t>de</w:t>
      </w:r>
      <w:r>
        <w:rPr>
          <w:spacing w:val="-9"/>
          <w:sz w:val="20"/>
        </w:rPr>
        <w:t> </w:t>
      </w:r>
      <w:r>
        <w:rPr>
          <w:sz w:val="20"/>
        </w:rPr>
        <w:t>cooperación</w:t>
      </w:r>
      <w:r>
        <w:rPr>
          <w:spacing w:val="-7"/>
          <w:sz w:val="20"/>
        </w:rPr>
        <w:t> </w:t>
      </w:r>
      <w:r>
        <w:rPr>
          <w:sz w:val="20"/>
        </w:rPr>
        <w:t>para</w:t>
      </w:r>
      <w:r>
        <w:rPr>
          <w:spacing w:val="-8"/>
          <w:sz w:val="20"/>
        </w:rPr>
        <w:t> </w:t>
      </w:r>
      <w:r>
        <w:rPr>
          <w:sz w:val="20"/>
        </w:rPr>
        <w:t>el</w:t>
      </w:r>
      <w:r>
        <w:rPr>
          <w:spacing w:val="-7"/>
          <w:sz w:val="20"/>
        </w:rPr>
        <w:t> </w:t>
      </w:r>
      <w:r>
        <w:rPr>
          <w:sz w:val="20"/>
        </w:rPr>
        <w:t>“plan</w:t>
      </w:r>
      <w:r>
        <w:rPr>
          <w:spacing w:val="-7"/>
          <w:sz w:val="20"/>
        </w:rPr>
        <w:t> </w:t>
      </w:r>
      <w:r>
        <w:rPr>
          <w:sz w:val="20"/>
        </w:rPr>
        <w:t>de</w:t>
      </w:r>
      <w:r>
        <w:rPr>
          <w:spacing w:val="-9"/>
          <w:sz w:val="20"/>
        </w:rPr>
        <w:t> </w:t>
      </w:r>
      <w:r>
        <w:rPr>
          <w:sz w:val="20"/>
        </w:rPr>
        <w:t>trabajo”</w:t>
      </w:r>
      <w:r>
        <w:rPr>
          <w:spacing w:val="-8"/>
          <w:sz w:val="20"/>
        </w:rPr>
        <w:t> </w:t>
      </w:r>
      <w:r>
        <w:rPr>
          <w:sz w:val="20"/>
        </w:rPr>
        <w:t>respecto</w:t>
      </w:r>
      <w:r>
        <w:rPr>
          <w:spacing w:val="-9"/>
          <w:sz w:val="20"/>
        </w:rPr>
        <w:t> </w:t>
      </w:r>
      <w:r>
        <w:rPr>
          <w:sz w:val="20"/>
        </w:rPr>
        <w:t>de</w:t>
      </w:r>
      <w:r>
        <w:rPr>
          <w:spacing w:val="-7"/>
          <w:sz w:val="20"/>
        </w:rPr>
        <w:t> </w:t>
      </w:r>
      <w:r>
        <w:rPr>
          <w:sz w:val="20"/>
        </w:rPr>
        <w:t>los</w:t>
      </w:r>
      <w:r>
        <w:rPr>
          <w:spacing w:val="-9"/>
          <w:sz w:val="20"/>
        </w:rPr>
        <w:t> </w:t>
      </w:r>
      <w:r>
        <w:rPr>
          <w:sz w:val="20"/>
        </w:rPr>
        <w:t>lotes</w:t>
      </w:r>
      <w:r>
        <w:rPr>
          <w:spacing w:val="-6"/>
          <w:sz w:val="20"/>
        </w:rPr>
        <w:t> </w:t>
      </w:r>
      <w:r>
        <w:rPr>
          <w:sz w:val="20"/>
        </w:rPr>
        <w:t>14</w:t>
      </w:r>
      <w:r>
        <w:rPr>
          <w:spacing w:val="1"/>
          <w:sz w:val="20"/>
        </w:rPr>
        <w:t> </w:t>
      </w:r>
      <w:r>
        <w:rPr>
          <w:sz w:val="20"/>
        </w:rPr>
        <w:t>y</w:t>
      </w:r>
      <w:r>
        <w:rPr>
          <w:spacing w:val="-8"/>
          <w:sz w:val="20"/>
        </w:rPr>
        <w:t> </w:t>
      </w:r>
      <w:r>
        <w:rPr>
          <w:sz w:val="20"/>
        </w:rPr>
        <w:t>55.</w:t>
      </w:r>
      <w:r>
        <w:rPr>
          <w:spacing w:val="-8"/>
          <w:sz w:val="20"/>
        </w:rPr>
        <w:t> </w:t>
      </w:r>
      <w:r>
        <w:rPr>
          <w:sz w:val="20"/>
        </w:rPr>
        <w:t>Dichos convenios habían sido firmados por la Secretaría de Derechos Humanos de Salta y la UEP con Lhaka Honhat y la OFC, y establecían que ambas organizaciones designaran cinco personas para que se integraran como “técnicos de campo” a la</w:t>
      </w:r>
      <w:r>
        <w:rPr>
          <w:spacing w:val="-18"/>
          <w:sz w:val="20"/>
        </w:rPr>
        <w:t> </w:t>
      </w:r>
      <w:r>
        <w:rPr>
          <w:sz w:val="20"/>
        </w:rPr>
        <w:t>UEP</w:t>
      </w:r>
      <w:r>
        <w:rPr>
          <w:rFonts w:ascii="Calibri" w:hAnsi="Calibri"/>
          <w:position w:val="8"/>
          <w:sz w:val="14"/>
        </w:rPr>
        <w:t>83</w:t>
      </w:r>
      <w:r>
        <w:rPr>
          <w:sz w:val="20"/>
        </w:rPr>
        <w:t>.</w:t>
      </w:r>
    </w:p>
    <w:p>
      <w:pPr>
        <w:pStyle w:val="BodyText"/>
        <w:spacing w:before="8"/>
        <w:rPr>
          <w:sz w:val="11"/>
        </w:rPr>
      </w:pPr>
      <w:r>
        <w:rPr/>
        <w:pict>
          <v:line style="position:absolute;mso-position-horizontal-relative:page;mso-position-vertical-relative:paragraph;z-index:1720;mso-wrap-distance-left:0;mso-wrap-distance-right:0" from="85.103996pt,9.424884pt" to="229.123996pt,9.424884pt" stroked="true" strokeweight=".71997pt" strokecolor="#000000">
            <v:stroke dashstyle="solid"/>
            <w10:wrap type="topAndBottom"/>
          </v:line>
        </w:pict>
      </w:r>
    </w:p>
    <w:p>
      <w:pPr>
        <w:tabs>
          <w:tab w:pos="829" w:val="left" w:leader="none"/>
        </w:tabs>
        <w:spacing w:before="71"/>
        <w:ind w:left="122" w:right="122" w:firstLine="0"/>
        <w:jc w:val="left"/>
        <w:rPr>
          <w:sz w:val="16"/>
        </w:rPr>
      </w:pPr>
      <w:r>
        <w:rPr>
          <w:position w:val="6"/>
          <w:sz w:val="10"/>
        </w:rPr>
        <w:t>83</w:t>
        <w:tab/>
      </w:r>
      <w:r>
        <w:rPr>
          <w:i/>
          <w:sz w:val="16"/>
        </w:rPr>
        <w:t>Cfr</w:t>
      </w:r>
      <w:r>
        <w:rPr>
          <w:sz w:val="16"/>
        </w:rPr>
        <w:t>.</w:t>
      </w:r>
      <w:r>
        <w:rPr>
          <w:spacing w:val="23"/>
          <w:sz w:val="16"/>
        </w:rPr>
        <w:t> </w:t>
      </w:r>
      <w:r>
        <w:rPr>
          <w:sz w:val="16"/>
        </w:rPr>
        <w:t>Resolución</w:t>
      </w:r>
      <w:r>
        <w:rPr>
          <w:spacing w:val="23"/>
          <w:sz w:val="16"/>
        </w:rPr>
        <w:t> </w:t>
      </w:r>
      <w:r>
        <w:rPr>
          <w:sz w:val="16"/>
        </w:rPr>
        <w:t>654</w:t>
      </w:r>
      <w:r>
        <w:rPr>
          <w:spacing w:val="25"/>
          <w:sz w:val="16"/>
        </w:rPr>
        <w:t> </w:t>
      </w:r>
      <w:r>
        <w:rPr>
          <w:sz w:val="16"/>
        </w:rPr>
        <w:t>del</w:t>
      </w:r>
      <w:r>
        <w:rPr>
          <w:spacing w:val="23"/>
          <w:sz w:val="16"/>
        </w:rPr>
        <w:t> </w:t>
      </w:r>
      <w:r>
        <w:rPr>
          <w:sz w:val="16"/>
        </w:rPr>
        <w:t>Ministerio</w:t>
      </w:r>
      <w:r>
        <w:rPr>
          <w:spacing w:val="24"/>
          <w:sz w:val="16"/>
        </w:rPr>
        <w:t> </w:t>
      </w:r>
      <w:r>
        <w:rPr>
          <w:sz w:val="16"/>
        </w:rPr>
        <w:t>de</w:t>
      </w:r>
      <w:r>
        <w:rPr>
          <w:spacing w:val="24"/>
          <w:sz w:val="16"/>
        </w:rPr>
        <w:t> </w:t>
      </w:r>
      <w:r>
        <w:rPr>
          <w:sz w:val="16"/>
        </w:rPr>
        <w:t>Derechos</w:t>
      </w:r>
      <w:r>
        <w:rPr>
          <w:spacing w:val="24"/>
          <w:sz w:val="16"/>
        </w:rPr>
        <w:t> </w:t>
      </w:r>
      <w:r>
        <w:rPr>
          <w:sz w:val="16"/>
        </w:rPr>
        <w:t>Humanos</w:t>
      </w:r>
      <w:r>
        <w:rPr>
          <w:spacing w:val="21"/>
          <w:sz w:val="16"/>
        </w:rPr>
        <w:t> </w:t>
      </w:r>
      <w:r>
        <w:rPr>
          <w:sz w:val="16"/>
        </w:rPr>
        <w:t>de</w:t>
      </w:r>
      <w:r>
        <w:rPr>
          <w:spacing w:val="26"/>
          <w:sz w:val="16"/>
        </w:rPr>
        <w:t> </w:t>
      </w:r>
      <w:r>
        <w:rPr>
          <w:sz w:val="16"/>
        </w:rPr>
        <w:t>la</w:t>
      </w:r>
      <w:r>
        <w:rPr>
          <w:spacing w:val="23"/>
          <w:sz w:val="16"/>
        </w:rPr>
        <w:t> </w:t>
      </w:r>
      <w:r>
        <w:rPr>
          <w:sz w:val="16"/>
        </w:rPr>
        <w:t>Provincia</w:t>
      </w:r>
      <w:r>
        <w:rPr>
          <w:spacing w:val="22"/>
          <w:sz w:val="16"/>
        </w:rPr>
        <w:t> </w:t>
      </w:r>
      <w:r>
        <w:rPr>
          <w:sz w:val="16"/>
        </w:rPr>
        <w:t>de</w:t>
      </w:r>
      <w:r>
        <w:rPr>
          <w:spacing w:val="24"/>
          <w:sz w:val="16"/>
        </w:rPr>
        <w:t> </w:t>
      </w:r>
      <w:r>
        <w:rPr>
          <w:sz w:val="16"/>
        </w:rPr>
        <w:t>Salta.</w:t>
      </w:r>
      <w:r>
        <w:rPr>
          <w:spacing w:val="25"/>
          <w:sz w:val="16"/>
        </w:rPr>
        <w:t> </w:t>
      </w:r>
      <w:r>
        <w:rPr>
          <w:sz w:val="16"/>
        </w:rPr>
        <w:t>Expediente</w:t>
      </w:r>
      <w:r>
        <w:rPr>
          <w:spacing w:val="24"/>
          <w:sz w:val="16"/>
        </w:rPr>
        <w:t> </w:t>
      </w:r>
      <w:r>
        <w:rPr>
          <w:sz w:val="16"/>
        </w:rPr>
        <w:t>de</w:t>
      </w:r>
      <w:r>
        <w:rPr>
          <w:w w:val="100"/>
          <w:sz w:val="16"/>
        </w:rPr>
        <w:t> </w:t>
      </w:r>
      <w:r>
        <w:rPr>
          <w:sz w:val="16"/>
        </w:rPr>
        <w:t>prueba, anexo H.34 al escrito de solicitudes y argumentos, fs. 31.357 a</w:t>
      </w:r>
      <w:r>
        <w:rPr>
          <w:spacing w:val="-23"/>
          <w:sz w:val="16"/>
        </w:rPr>
        <w:t> </w:t>
      </w:r>
      <w:r>
        <w:rPr>
          <w:sz w:val="16"/>
        </w:rPr>
        <w:t>31.366.</w:t>
      </w:r>
    </w:p>
    <w:p>
      <w:pPr>
        <w:spacing w:after="0"/>
        <w:jc w:val="left"/>
        <w:rPr>
          <w:sz w:val="16"/>
        </w:rPr>
        <w:sectPr>
          <w:pgSz w:w="12240" w:h="15840"/>
          <w:pgMar w:header="0" w:footer="1000" w:top="1420" w:bottom="1200" w:left="1580" w:right="1580"/>
        </w:sectPr>
      </w:pPr>
    </w:p>
    <w:p>
      <w:pPr>
        <w:pStyle w:val="ListParagraph"/>
        <w:numPr>
          <w:ilvl w:val="0"/>
          <w:numId w:val="19"/>
        </w:numPr>
        <w:tabs>
          <w:tab w:pos="830" w:val="left" w:leader="none"/>
        </w:tabs>
        <w:spacing w:line="237" w:lineRule="auto" w:before="163" w:after="0"/>
        <w:ind w:left="122" w:right="124" w:firstLine="0"/>
        <w:jc w:val="both"/>
        <w:rPr>
          <w:sz w:val="20"/>
        </w:rPr>
      </w:pPr>
      <w:r>
        <w:rPr>
          <w:sz w:val="20"/>
        </w:rPr>
        <w:t>El 27 de noviembre de 2014 y durante los primeros meses de 2015, las comunidades indígenas señalaron a la Comisión que persistían los retrasos de trabajo en el terreno, respecto a la demarcación y</w:t>
      </w:r>
      <w:r>
        <w:rPr>
          <w:spacing w:val="-15"/>
          <w:sz w:val="20"/>
        </w:rPr>
        <w:t> </w:t>
      </w:r>
      <w:r>
        <w:rPr>
          <w:sz w:val="20"/>
        </w:rPr>
        <w:t>titulación</w:t>
      </w:r>
      <w:r>
        <w:rPr>
          <w:rFonts w:ascii="Calibri" w:hAnsi="Calibri"/>
          <w:position w:val="8"/>
          <w:sz w:val="14"/>
        </w:rPr>
        <w:t>84</w:t>
      </w:r>
      <w:r>
        <w:rPr>
          <w:sz w:val="20"/>
        </w:rPr>
        <w:t>.</w:t>
      </w:r>
    </w:p>
    <w:p>
      <w:pPr>
        <w:pStyle w:val="BodyText"/>
        <w:spacing w:before="5"/>
        <w:rPr>
          <w:sz w:val="21"/>
        </w:rPr>
      </w:pPr>
    </w:p>
    <w:p>
      <w:pPr>
        <w:pStyle w:val="ListParagraph"/>
        <w:numPr>
          <w:ilvl w:val="0"/>
          <w:numId w:val="19"/>
        </w:numPr>
        <w:tabs>
          <w:tab w:pos="830" w:val="left" w:leader="none"/>
        </w:tabs>
        <w:spacing w:line="242" w:lineRule="auto" w:before="0" w:after="0"/>
        <w:ind w:left="122" w:right="121" w:firstLine="0"/>
        <w:jc w:val="both"/>
        <w:rPr>
          <w:sz w:val="20"/>
        </w:rPr>
      </w:pPr>
      <w:r>
        <w:rPr>
          <w:sz w:val="20"/>
        </w:rPr>
        <w:t>Desde septiembre de 2015 y hasta fines de junio de 2016, según información presentada por los representantes, no hubo recursos presupuestarios para el proceso y las obras de infraestructura necesarias para los traslados</w:t>
      </w:r>
      <w:r>
        <w:rPr>
          <w:rFonts w:ascii="Calibri" w:hAnsi="Calibri"/>
          <w:position w:val="8"/>
          <w:sz w:val="14"/>
        </w:rPr>
        <w:t>85</w:t>
      </w:r>
      <w:r>
        <w:rPr>
          <w:sz w:val="20"/>
        </w:rPr>
        <w:t>, ni información sobre la coordinación de tareas entre el Estado Nacional y la UEP. El 19 de julio de ese año el Estado informó a la Comisión Interamericana la suscripción de una serie de convenios para avanzar en la formalización de la propiedad comunitaria</w:t>
      </w:r>
      <w:r>
        <w:rPr>
          <w:spacing w:val="-25"/>
          <w:sz w:val="20"/>
        </w:rPr>
        <w:t> </w:t>
      </w:r>
      <w:r>
        <w:rPr>
          <w:sz w:val="20"/>
        </w:rPr>
        <w:t>indígena</w:t>
      </w:r>
      <w:r>
        <w:rPr>
          <w:rFonts w:ascii="Calibri" w:hAnsi="Calibri"/>
          <w:position w:val="8"/>
          <w:sz w:val="14"/>
        </w:rPr>
        <w:t>86</w:t>
      </w:r>
      <w:r>
        <w:rPr>
          <w:sz w:val="20"/>
        </w:rPr>
        <w:t>.</w:t>
      </w:r>
    </w:p>
    <w:p>
      <w:pPr>
        <w:pStyle w:val="BodyText"/>
        <w:spacing w:before="7"/>
        <w:rPr>
          <w:sz w:val="21"/>
        </w:rPr>
      </w:pPr>
    </w:p>
    <w:p>
      <w:pPr>
        <w:pStyle w:val="ListParagraph"/>
        <w:numPr>
          <w:ilvl w:val="0"/>
          <w:numId w:val="19"/>
        </w:numPr>
        <w:tabs>
          <w:tab w:pos="830" w:val="left" w:leader="none"/>
        </w:tabs>
        <w:spacing w:line="237" w:lineRule="auto" w:before="0" w:after="0"/>
        <w:ind w:left="122" w:right="117" w:firstLine="0"/>
        <w:jc w:val="both"/>
        <w:rPr>
          <w:sz w:val="20"/>
        </w:rPr>
      </w:pPr>
      <w:r>
        <w:rPr>
          <w:sz w:val="20"/>
        </w:rPr>
        <w:t>El</w:t>
      </w:r>
      <w:r>
        <w:rPr>
          <w:spacing w:val="-19"/>
          <w:sz w:val="20"/>
        </w:rPr>
        <w:t> </w:t>
      </w:r>
      <w:r>
        <w:rPr>
          <w:sz w:val="20"/>
        </w:rPr>
        <w:t>25</w:t>
      </w:r>
      <w:r>
        <w:rPr>
          <w:spacing w:val="-18"/>
          <w:sz w:val="20"/>
        </w:rPr>
        <w:t> </w:t>
      </w:r>
      <w:r>
        <w:rPr>
          <w:sz w:val="20"/>
        </w:rPr>
        <w:t>de</w:t>
      </w:r>
      <w:r>
        <w:rPr>
          <w:spacing w:val="-16"/>
          <w:sz w:val="20"/>
        </w:rPr>
        <w:t> </w:t>
      </w:r>
      <w:r>
        <w:rPr>
          <w:sz w:val="20"/>
        </w:rPr>
        <w:t>octubre</w:t>
      </w:r>
      <w:r>
        <w:rPr>
          <w:spacing w:val="-20"/>
          <w:sz w:val="20"/>
        </w:rPr>
        <w:t> </w:t>
      </w:r>
      <w:r>
        <w:rPr>
          <w:sz w:val="20"/>
        </w:rPr>
        <w:t>de</w:t>
      </w:r>
      <w:r>
        <w:rPr>
          <w:spacing w:val="-18"/>
          <w:sz w:val="20"/>
        </w:rPr>
        <w:t> </w:t>
      </w:r>
      <w:r>
        <w:rPr>
          <w:sz w:val="20"/>
        </w:rPr>
        <w:t>2017,</w:t>
      </w:r>
      <w:r>
        <w:rPr>
          <w:spacing w:val="-17"/>
          <w:sz w:val="20"/>
        </w:rPr>
        <w:t> </w:t>
      </w:r>
      <w:r>
        <w:rPr>
          <w:sz w:val="20"/>
        </w:rPr>
        <w:t>en</w:t>
      </w:r>
      <w:r>
        <w:rPr>
          <w:spacing w:val="-16"/>
          <w:sz w:val="20"/>
        </w:rPr>
        <w:t> </w:t>
      </w:r>
      <w:r>
        <w:rPr>
          <w:sz w:val="20"/>
        </w:rPr>
        <w:t>el</w:t>
      </w:r>
      <w:r>
        <w:rPr>
          <w:spacing w:val="-19"/>
          <w:sz w:val="20"/>
        </w:rPr>
        <w:t> </w:t>
      </w:r>
      <w:r>
        <w:rPr>
          <w:sz w:val="20"/>
        </w:rPr>
        <w:t>marco</w:t>
      </w:r>
      <w:r>
        <w:rPr>
          <w:spacing w:val="-20"/>
          <w:sz w:val="20"/>
        </w:rPr>
        <w:t> </w:t>
      </w:r>
      <w:r>
        <w:rPr>
          <w:sz w:val="20"/>
        </w:rPr>
        <w:t>de</w:t>
      </w:r>
      <w:r>
        <w:rPr>
          <w:spacing w:val="-18"/>
          <w:sz w:val="20"/>
        </w:rPr>
        <w:t> </w:t>
      </w:r>
      <w:r>
        <w:rPr>
          <w:sz w:val="20"/>
        </w:rPr>
        <w:t>una</w:t>
      </w:r>
      <w:r>
        <w:rPr>
          <w:spacing w:val="-19"/>
          <w:sz w:val="20"/>
        </w:rPr>
        <w:t> </w:t>
      </w:r>
      <w:r>
        <w:rPr>
          <w:sz w:val="20"/>
        </w:rPr>
        <w:t>reunión</w:t>
      </w:r>
      <w:r>
        <w:rPr>
          <w:spacing w:val="-18"/>
          <w:sz w:val="20"/>
        </w:rPr>
        <w:t> </w:t>
      </w:r>
      <w:r>
        <w:rPr>
          <w:sz w:val="20"/>
        </w:rPr>
        <w:t>de</w:t>
      </w:r>
      <w:r>
        <w:rPr>
          <w:spacing w:val="-18"/>
          <w:sz w:val="20"/>
        </w:rPr>
        <w:t> </w:t>
      </w:r>
      <w:r>
        <w:rPr>
          <w:sz w:val="20"/>
        </w:rPr>
        <w:t>trabajo</w:t>
      </w:r>
      <w:r>
        <w:rPr>
          <w:spacing w:val="-18"/>
          <w:sz w:val="20"/>
        </w:rPr>
        <w:t> </w:t>
      </w:r>
      <w:r>
        <w:rPr>
          <w:sz w:val="20"/>
        </w:rPr>
        <w:t>ante</w:t>
      </w:r>
      <w:r>
        <w:rPr>
          <w:spacing w:val="-17"/>
          <w:sz w:val="20"/>
        </w:rPr>
        <w:t> </w:t>
      </w:r>
      <w:r>
        <w:rPr>
          <w:sz w:val="20"/>
        </w:rPr>
        <w:t>la</w:t>
      </w:r>
      <w:r>
        <w:rPr>
          <w:spacing w:val="-16"/>
          <w:sz w:val="20"/>
        </w:rPr>
        <w:t> </w:t>
      </w:r>
      <w:r>
        <w:rPr>
          <w:sz w:val="20"/>
        </w:rPr>
        <w:t>Comisión, el Estado anunció un “Plan Integral de Trabajo para el Cumplimiento de las Recomendaciones [del Informe de Fondo]”. El mismo previó un plazo de ejecución total de 8</w:t>
      </w:r>
      <w:r>
        <w:rPr>
          <w:spacing w:val="-6"/>
          <w:sz w:val="20"/>
        </w:rPr>
        <w:t> </w:t>
      </w:r>
      <w:r>
        <w:rPr>
          <w:sz w:val="20"/>
        </w:rPr>
        <w:t>años</w:t>
      </w:r>
      <w:r>
        <w:rPr>
          <w:rFonts w:ascii="Calibri" w:hAnsi="Calibri"/>
          <w:position w:val="8"/>
          <w:sz w:val="14"/>
        </w:rPr>
        <w:t>87</w:t>
      </w:r>
      <w:r>
        <w:rPr>
          <w:sz w:val="20"/>
        </w:rPr>
        <w:t>.</w:t>
      </w:r>
    </w:p>
    <w:p>
      <w:pPr>
        <w:pStyle w:val="BodyText"/>
        <w:spacing w:before="8"/>
        <w:rPr>
          <w:sz w:val="21"/>
        </w:rPr>
      </w:pPr>
    </w:p>
    <w:p>
      <w:pPr>
        <w:pStyle w:val="Heading4"/>
        <w:numPr>
          <w:ilvl w:val="1"/>
          <w:numId w:val="17"/>
        </w:numPr>
        <w:tabs>
          <w:tab w:pos="746" w:val="left" w:leader="none"/>
        </w:tabs>
        <w:spacing w:line="240" w:lineRule="auto" w:before="0" w:after="0"/>
        <w:ind w:left="746" w:right="0" w:hanging="341"/>
        <w:jc w:val="left"/>
        <w:rPr>
          <w:i/>
        </w:rPr>
      </w:pPr>
      <w:bookmarkStart w:name="_bookmark29" w:id="49"/>
      <w:bookmarkEnd w:id="49"/>
      <w:r>
        <w:rPr>
          <w:b w:val="0"/>
          <w:i w:val="0"/>
        </w:rPr>
      </w:r>
      <w:bookmarkStart w:name="_bookmark29" w:id="50"/>
      <w:bookmarkEnd w:id="50"/>
      <w:r>
        <w:rPr>
          <w:i/>
          <w:u w:val="thick"/>
        </w:rPr>
        <w:t>O</w:t>
      </w:r>
      <w:r>
        <w:rPr>
          <w:i/>
          <w:u w:val="thick"/>
        </w:rPr>
        <w:t>bras, actividades y proyectos sobre el territorio</w:t>
      </w:r>
      <w:r>
        <w:rPr>
          <w:i/>
          <w:spacing w:val="-22"/>
          <w:u w:val="thick"/>
        </w:rPr>
        <w:t> </w:t>
      </w:r>
      <w:r>
        <w:rPr>
          <w:i/>
          <w:u w:val="thick"/>
        </w:rPr>
        <w:t>reclamado</w:t>
      </w:r>
    </w:p>
    <w:p>
      <w:pPr>
        <w:pStyle w:val="BodyText"/>
        <w:spacing w:before="8"/>
        <w:rPr>
          <w:b/>
          <w:i/>
          <w:sz w:val="11"/>
        </w:rPr>
      </w:pPr>
    </w:p>
    <w:p>
      <w:pPr>
        <w:pStyle w:val="ListParagraph"/>
        <w:numPr>
          <w:ilvl w:val="0"/>
          <w:numId w:val="19"/>
        </w:numPr>
        <w:tabs>
          <w:tab w:pos="830" w:val="left" w:leader="none"/>
        </w:tabs>
        <w:spacing w:line="240" w:lineRule="auto" w:before="99" w:after="0"/>
        <w:ind w:left="122" w:right="119" w:firstLine="0"/>
        <w:jc w:val="both"/>
        <w:rPr>
          <w:sz w:val="20"/>
        </w:rPr>
      </w:pPr>
      <w:r>
        <w:rPr>
          <w:sz w:val="20"/>
        </w:rPr>
        <w:t>Se ha presentado información que indica que en la zona de los lotes 14 y 55 se presentan actos de tala ilegal. Además, se ha indicado que la población criolla cría ganado</w:t>
      </w:r>
      <w:r>
        <w:rPr>
          <w:spacing w:val="-19"/>
          <w:sz w:val="20"/>
        </w:rPr>
        <w:t> </w:t>
      </w:r>
      <w:r>
        <w:rPr>
          <w:sz w:val="20"/>
        </w:rPr>
        <w:t>y</w:t>
      </w:r>
      <w:r>
        <w:rPr>
          <w:spacing w:val="-18"/>
          <w:sz w:val="20"/>
        </w:rPr>
        <w:t> </w:t>
      </w:r>
      <w:r>
        <w:rPr>
          <w:sz w:val="20"/>
        </w:rPr>
        <w:t>ha</w:t>
      </w:r>
      <w:r>
        <w:rPr>
          <w:spacing w:val="-17"/>
          <w:sz w:val="20"/>
        </w:rPr>
        <w:t> </w:t>
      </w:r>
      <w:r>
        <w:rPr>
          <w:sz w:val="20"/>
        </w:rPr>
        <w:t>instalado</w:t>
      </w:r>
      <w:r>
        <w:rPr>
          <w:spacing w:val="-19"/>
          <w:sz w:val="20"/>
        </w:rPr>
        <w:t> </w:t>
      </w:r>
      <w:r>
        <w:rPr>
          <w:sz w:val="20"/>
        </w:rPr>
        <w:t>alambrados.</w:t>
      </w:r>
      <w:r>
        <w:rPr>
          <w:spacing w:val="-19"/>
          <w:sz w:val="20"/>
        </w:rPr>
        <w:t> </w:t>
      </w:r>
      <w:r>
        <w:rPr>
          <w:sz w:val="20"/>
        </w:rPr>
        <w:t>Esta</w:t>
      </w:r>
      <w:r>
        <w:rPr>
          <w:spacing w:val="-17"/>
          <w:sz w:val="20"/>
        </w:rPr>
        <w:t> </w:t>
      </w:r>
      <w:r>
        <w:rPr>
          <w:sz w:val="20"/>
        </w:rPr>
        <w:t>información</w:t>
      </w:r>
      <w:r>
        <w:rPr>
          <w:spacing w:val="-18"/>
          <w:sz w:val="20"/>
        </w:rPr>
        <w:t> </w:t>
      </w:r>
      <w:r>
        <w:rPr>
          <w:sz w:val="20"/>
        </w:rPr>
        <w:t>se</w:t>
      </w:r>
      <w:r>
        <w:rPr>
          <w:spacing w:val="-19"/>
          <w:sz w:val="20"/>
        </w:rPr>
        <w:t> </w:t>
      </w:r>
      <w:r>
        <w:rPr>
          <w:sz w:val="20"/>
        </w:rPr>
        <w:t>detalla</w:t>
      </w:r>
      <w:r>
        <w:rPr>
          <w:spacing w:val="-17"/>
          <w:sz w:val="20"/>
        </w:rPr>
        <w:t> </w:t>
      </w:r>
      <w:r>
        <w:rPr>
          <w:sz w:val="20"/>
        </w:rPr>
        <w:t>más</w:t>
      </w:r>
      <w:r>
        <w:rPr>
          <w:spacing w:val="-14"/>
          <w:sz w:val="20"/>
        </w:rPr>
        <w:t> </w:t>
      </w:r>
      <w:r>
        <w:rPr>
          <w:sz w:val="20"/>
        </w:rPr>
        <w:t>adelante</w:t>
      </w:r>
      <w:r>
        <w:rPr>
          <w:spacing w:val="-19"/>
          <w:sz w:val="20"/>
        </w:rPr>
        <w:t> </w:t>
      </w:r>
      <w:r>
        <w:rPr>
          <w:sz w:val="20"/>
        </w:rPr>
        <w:t>(</w:t>
      </w:r>
      <w:r>
        <w:rPr>
          <w:i/>
          <w:sz w:val="20"/>
        </w:rPr>
        <w:t>infra</w:t>
      </w:r>
      <w:r>
        <w:rPr>
          <w:i/>
          <w:spacing w:val="-17"/>
          <w:sz w:val="20"/>
        </w:rPr>
        <w:t> </w:t>
      </w:r>
      <w:r>
        <w:rPr>
          <w:sz w:val="20"/>
        </w:rPr>
        <w:t>párrs. 257 a</w:t>
      </w:r>
      <w:r>
        <w:rPr>
          <w:spacing w:val="-7"/>
          <w:sz w:val="20"/>
        </w:rPr>
        <w:t> </w:t>
      </w:r>
      <w:r>
        <w:rPr>
          <w:sz w:val="20"/>
        </w:rPr>
        <w:t>266).</w:t>
      </w:r>
    </w:p>
    <w:p>
      <w:pPr>
        <w:pStyle w:val="BodyText"/>
        <w:spacing w:before="12"/>
        <w:rPr>
          <w:sz w:val="28"/>
        </w:rPr>
      </w:pPr>
      <w:r>
        <w:rPr/>
        <w:pict>
          <v:line style="position:absolute;mso-position-horizontal-relative:page;mso-position-vertical-relative:paragraph;z-index:1744;mso-wrap-distance-left:0;mso-wrap-distance-right:0" from="85.103996pt,19.946093pt" to="229.123996pt,19.946093pt" stroked="true" strokeweight=".72pt" strokecolor="#000000">
            <v:stroke dashstyle="solid"/>
            <w10:wrap type="topAndBottom"/>
          </v:line>
        </w:pict>
      </w:r>
    </w:p>
    <w:p>
      <w:pPr>
        <w:pStyle w:val="BodyText"/>
        <w:spacing w:before="7"/>
        <w:rPr>
          <w:sz w:val="13"/>
        </w:rPr>
      </w:pPr>
    </w:p>
    <w:p>
      <w:pPr>
        <w:tabs>
          <w:tab w:pos="829" w:val="left" w:leader="none"/>
        </w:tabs>
        <w:spacing w:before="101"/>
        <w:ind w:left="122" w:right="117" w:firstLine="0"/>
        <w:jc w:val="both"/>
        <w:rPr>
          <w:sz w:val="16"/>
        </w:rPr>
      </w:pPr>
      <w:r>
        <w:rPr>
          <w:position w:val="6"/>
          <w:sz w:val="10"/>
        </w:rPr>
        <w:t>84</w:t>
        <w:tab/>
      </w:r>
      <w:r>
        <w:rPr>
          <w:i/>
          <w:sz w:val="16"/>
        </w:rPr>
        <w:t>Cfr.</w:t>
      </w:r>
      <w:r>
        <w:rPr>
          <w:i/>
          <w:spacing w:val="-5"/>
          <w:sz w:val="16"/>
        </w:rPr>
        <w:t> </w:t>
      </w:r>
      <w:r>
        <w:rPr>
          <w:sz w:val="16"/>
        </w:rPr>
        <w:t>Nota</w:t>
      </w:r>
      <w:r>
        <w:rPr>
          <w:spacing w:val="-6"/>
          <w:sz w:val="16"/>
        </w:rPr>
        <w:t> </w:t>
      </w:r>
      <w:r>
        <w:rPr>
          <w:sz w:val="16"/>
        </w:rPr>
        <w:t>a</w:t>
      </w:r>
      <w:r>
        <w:rPr>
          <w:spacing w:val="-6"/>
          <w:sz w:val="16"/>
        </w:rPr>
        <w:t> </w:t>
      </w:r>
      <w:r>
        <w:rPr>
          <w:sz w:val="16"/>
        </w:rPr>
        <w:t>la</w:t>
      </w:r>
      <w:r>
        <w:rPr>
          <w:spacing w:val="-6"/>
          <w:sz w:val="16"/>
        </w:rPr>
        <w:t> </w:t>
      </w:r>
      <w:r>
        <w:rPr>
          <w:sz w:val="16"/>
        </w:rPr>
        <w:t>Comisión</w:t>
      </w:r>
      <w:r>
        <w:rPr>
          <w:spacing w:val="-6"/>
          <w:sz w:val="16"/>
        </w:rPr>
        <w:t> </w:t>
      </w:r>
      <w:r>
        <w:rPr>
          <w:sz w:val="16"/>
        </w:rPr>
        <w:t>de</w:t>
      </w:r>
      <w:r>
        <w:rPr>
          <w:spacing w:val="-5"/>
          <w:sz w:val="16"/>
        </w:rPr>
        <w:t> </w:t>
      </w:r>
      <w:r>
        <w:rPr>
          <w:sz w:val="16"/>
        </w:rPr>
        <w:t>27</w:t>
      </w:r>
      <w:r>
        <w:rPr>
          <w:spacing w:val="-7"/>
          <w:sz w:val="16"/>
        </w:rPr>
        <w:t> </w:t>
      </w:r>
      <w:r>
        <w:rPr>
          <w:sz w:val="16"/>
        </w:rPr>
        <w:t>de</w:t>
      </w:r>
      <w:r>
        <w:rPr>
          <w:spacing w:val="-5"/>
          <w:sz w:val="16"/>
        </w:rPr>
        <w:t> </w:t>
      </w:r>
      <w:r>
        <w:rPr>
          <w:sz w:val="16"/>
        </w:rPr>
        <w:t>noviembre</w:t>
      </w:r>
      <w:r>
        <w:rPr>
          <w:spacing w:val="-7"/>
          <w:sz w:val="16"/>
        </w:rPr>
        <w:t> </w:t>
      </w:r>
      <w:r>
        <w:rPr>
          <w:sz w:val="16"/>
        </w:rPr>
        <w:t>de</w:t>
      </w:r>
      <w:r>
        <w:rPr>
          <w:spacing w:val="-7"/>
          <w:sz w:val="16"/>
        </w:rPr>
        <w:t> </w:t>
      </w:r>
      <w:r>
        <w:rPr>
          <w:sz w:val="16"/>
        </w:rPr>
        <w:t>2014.</w:t>
      </w:r>
      <w:r>
        <w:rPr>
          <w:spacing w:val="-6"/>
          <w:sz w:val="16"/>
        </w:rPr>
        <w:t> </w:t>
      </w:r>
      <w:r>
        <w:rPr>
          <w:sz w:val="16"/>
        </w:rPr>
        <w:t>Expediente</w:t>
      </w:r>
      <w:r>
        <w:rPr>
          <w:spacing w:val="-5"/>
          <w:sz w:val="16"/>
        </w:rPr>
        <w:t> </w:t>
      </w:r>
      <w:r>
        <w:rPr>
          <w:sz w:val="16"/>
        </w:rPr>
        <w:t>de</w:t>
      </w:r>
      <w:r>
        <w:rPr>
          <w:spacing w:val="-5"/>
          <w:sz w:val="16"/>
        </w:rPr>
        <w:t> </w:t>
      </w:r>
      <w:r>
        <w:rPr>
          <w:sz w:val="16"/>
        </w:rPr>
        <w:t>prueba,</w:t>
      </w:r>
      <w:r>
        <w:rPr>
          <w:spacing w:val="-6"/>
          <w:sz w:val="16"/>
        </w:rPr>
        <w:t> </w:t>
      </w:r>
      <w:r>
        <w:rPr>
          <w:sz w:val="16"/>
        </w:rPr>
        <w:t>anexo</w:t>
      </w:r>
      <w:r>
        <w:rPr>
          <w:spacing w:val="-4"/>
          <w:sz w:val="16"/>
        </w:rPr>
        <w:t> </w:t>
      </w:r>
      <w:r>
        <w:rPr>
          <w:sz w:val="16"/>
        </w:rPr>
        <w:t>H.37</w:t>
      </w:r>
      <w:r>
        <w:rPr>
          <w:spacing w:val="-6"/>
          <w:sz w:val="16"/>
        </w:rPr>
        <w:t> </w:t>
      </w:r>
      <w:r>
        <w:rPr>
          <w:sz w:val="16"/>
        </w:rPr>
        <w:t>al</w:t>
      </w:r>
      <w:r>
        <w:rPr>
          <w:spacing w:val="-6"/>
          <w:sz w:val="16"/>
        </w:rPr>
        <w:t> </w:t>
      </w:r>
      <w:r>
        <w:rPr>
          <w:sz w:val="16"/>
        </w:rPr>
        <w:t>escrito</w:t>
      </w:r>
      <w:r>
        <w:rPr>
          <w:spacing w:val="-7"/>
          <w:sz w:val="16"/>
        </w:rPr>
        <w:t> </w:t>
      </w:r>
      <w:r>
        <w:rPr>
          <w:sz w:val="16"/>
        </w:rPr>
        <w:t>de</w:t>
      </w:r>
      <w:r>
        <w:rPr>
          <w:w w:val="100"/>
          <w:sz w:val="16"/>
        </w:rPr>
        <w:t> </w:t>
      </w:r>
      <w:r>
        <w:rPr>
          <w:sz w:val="16"/>
        </w:rPr>
        <w:t>solicitudes y argumentos, fs. 31.376 a</w:t>
      </w:r>
      <w:r>
        <w:rPr>
          <w:spacing w:val="-15"/>
          <w:sz w:val="16"/>
        </w:rPr>
        <w:t> </w:t>
      </w:r>
      <w:r>
        <w:rPr>
          <w:sz w:val="16"/>
        </w:rPr>
        <w:t>31.380.</w:t>
      </w:r>
    </w:p>
    <w:p>
      <w:pPr>
        <w:pStyle w:val="BodyText"/>
        <w:rPr>
          <w:sz w:val="16"/>
        </w:rPr>
      </w:pPr>
    </w:p>
    <w:p>
      <w:pPr>
        <w:tabs>
          <w:tab w:pos="829" w:val="left" w:leader="none"/>
        </w:tabs>
        <w:spacing w:before="0"/>
        <w:ind w:left="122" w:right="114" w:firstLine="0"/>
        <w:jc w:val="both"/>
        <w:rPr>
          <w:sz w:val="16"/>
        </w:rPr>
      </w:pPr>
      <w:r>
        <w:rPr>
          <w:position w:val="6"/>
          <w:sz w:val="10"/>
        </w:rPr>
        <w:t>85</w:t>
        <w:tab/>
      </w:r>
      <w:r>
        <w:rPr>
          <w:sz w:val="16"/>
        </w:rPr>
        <w:t>En</w:t>
      </w:r>
      <w:r>
        <w:rPr>
          <w:spacing w:val="20"/>
          <w:sz w:val="16"/>
        </w:rPr>
        <w:t> </w:t>
      </w:r>
      <w:r>
        <w:rPr>
          <w:sz w:val="16"/>
        </w:rPr>
        <w:t>una</w:t>
      </w:r>
      <w:r>
        <w:rPr>
          <w:spacing w:val="18"/>
          <w:sz w:val="16"/>
        </w:rPr>
        <w:t> </w:t>
      </w:r>
      <w:r>
        <w:rPr>
          <w:sz w:val="16"/>
        </w:rPr>
        <w:t>reunión</w:t>
      </w:r>
      <w:r>
        <w:rPr>
          <w:spacing w:val="18"/>
          <w:sz w:val="16"/>
        </w:rPr>
        <w:t> </w:t>
      </w:r>
      <w:r>
        <w:rPr>
          <w:sz w:val="16"/>
        </w:rPr>
        <w:t>de</w:t>
      </w:r>
      <w:r>
        <w:rPr>
          <w:spacing w:val="17"/>
          <w:sz w:val="16"/>
        </w:rPr>
        <w:t> </w:t>
      </w:r>
      <w:r>
        <w:rPr>
          <w:sz w:val="16"/>
        </w:rPr>
        <w:t>principios</w:t>
      </w:r>
      <w:r>
        <w:rPr>
          <w:spacing w:val="17"/>
          <w:sz w:val="16"/>
        </w:rPr>
        <w:t> </w:t>
      </w:r>
      <w:r>
        <w:rPr>
          <w:sz w:val="16"/>
        </w:rPr>
        <w:t>de</w:t>
      </w:r>
      <w:r>
        <w:rPr>
          <w:spacing w:val="19"/>
          <w:sz w:val="16"/>
        </w:rPr>
        <w:t> </w:t>
      </w:r>
      <w:r>
        <w:rPr>
          <w:sz w:val="16"/>
        </w:rPr>
        <w:t>marzo,</w:t>
      </w:r>
      <w:r>
        <w:rPr>
          <w:spacing w:val="18"/>
          <w:sz w:val="16"/>
        </w:rPr>
        <w:t> </w:t>
      </w:r>
      <w:r>
        <w:rPr>
          <w:sz w:val="16"/>
        </w:rPr>
        <w:t>funcionarios</w:t>
      </w:r>
      <w:r>
        <w:rPr>
          <w:spacing w:val="17"/>
          <w:sz w:val="16"/>
        </w:rPr>
        <w:t> </w:t>
      </w:r>
      <w:r>
        <w:rPr>
          <w:sz w:val="16"/>
        </w:rPr>
        <w:t>provinciales</w:t>
      </w:r>
      <w:r>
        <w:rPr>
          <w:spacing w:val="22"/>
          <w:sz w:val="16"/>
        </w:rPr>
        <w:t> </w:t>
      </w:r>
      <w:r>
        <w:rPr>
          <w:sz w:val="16"/>
        </w:rPr>
        <w:t>manifestaron</w:t>
      </w:r>
      <w:r>
        <w:rPr>
          <w:spacing w:val="16"/>
          <w:sz w:val="16"/>
        </w:rPr>
        <w:t> </w:t>
      </w:r>
      <w:r>
        <w:rPr>
          <w:sz w:val="16"/>
        </w:rPr>
        <w:t>que</w:t>
      </w:r>
      <w:r>
        <w:rPr>
          <w:spacing w:val="19"/>
          <w:sz w:val="16"/>
        </w:rPr>
        <w:t> </w:t>
      </w:r>
      <w:r>
        <w:rPr>
          <w:sz w:val="16"/>
        </w:rPr>
        <w:t>aún</w:t>
      </w:r>
      <w:r>
        <w:rPr>
          <w:spacing w:val="20"/>
          <w:sz w:val="16"/>
        </w:rPr>
        <w:t> </w:t>
      </w:r>
      <w:r>
        <w:rPr>
          <w:sz w:val="16"/>
        </w:rPr>
        <w:t>no</w:t>
      </w:r>
      <w:r>
        <w:rPr>
          <w:spacing w:val="17"/>
          <w:sz w:val="16"/>
        </w:rPr>
        <w:t> </w:t>
      </w:r>
      <w:r>
        <w:rPr>
          <w:sz w:val="16"/>
        </w:rPr>
        <w:t>estaba</w:t>
      </w:r>
      <w:r>
        <w:rPr>
          <w:w w:val="100"/>
          <w:sz w:val="16"/>
        </w:rPr>
        <w:t> </w:t>
      </w:r>
      <w:r>
        <w:rPr>
          <w:sz w:val="16"/>
        </w:rPr>
        <w:t>aprobado</w:t>
      </w:r>
      <w:r>
        <w:rPr>
          <w:spacing w:val="-4"/>
          <w:sz w:val="16"/>
        </w:rPr>
        <w:t> </w:t>
      </w:r>
      <w:r>
        <w:rPr>
          <w:sz w:val="16"/>
        </w:rPr>
        <w:t>el</w:t>
      </w:r>
      <w:r>
        <w:rPr>
          <w:spacing w:val="-4"/>
          <w:sz w:val="16"/>
        </w:rPr>
        <w:t> </w:t>
      </w:r>
      <w:r>
        <w:rPr>
          <w:sz w:val="16"/>
        </w:rPr>
        <w:t>presupuesto</w:t>
      </w:r>
      <w:r>
        <w:rPr>
          <w:spacing w:val="-4"/>
          <w:sz w:val="16"/>
        </w:rPr>
        <w:t> </w:t>
      </w:r>
      <w:r>
        <w:rPr>
          <w:sz w:val="16"/>
        </w:rPr>
        <w:t>presentado</w:t>
      </w:r>
      <w:r>
        <w:rPr>
          <w:spacing w:val="-4"/>
          <w:sz w:val="16"/>
        </w:rPr>
        <w:t> </w:t>
      </w:r>
      <w:r>
        <w:rPr>
          <w:sz w:val="16"/>
        </w:rPr>
        <w:t>al</w:t>
      </w:r>
      <w:r>
        <w:rPr>
          <w:spacing w:val="-3"/>
          <w:sz w:val="16"/>
        </w:rPr>
        <w:t> </w:t>
      </w:r>
      <w:r>
        <w:rPr>
          <w:sz w:val="16"/>
        </w:rPr>
        <w:t>Estado</w:t>
      </w:r>
      <w:r>
        <w:rPr>
          <w:spacing w:val="-4"/>
          <w:sz w:val="16"/>
        </w:rPr>
        <w:t> </w:t>
      </w:r>
      <w:r>
        <w:rPr>
          <w:sz w:val="16"/>
        </w:rPr>
        <w:t>Nacional</w:t>
      </w:r>
      <w:r>
        <w:rPr>
          <w:spacing w:val="-5"/>
          <w:sz w:val="16"/>
        </w:rPr>
        <w:t> </w:t>
      </w:r>
      <w:r>
        <w:rPr>
          <w:sz w:val="16"/>
        </w:rPr>
        <w:t>para</w:t>
      </w:r>
      <w:r>
        <w:rPr>
          <w:spacing w:val="-3"/>
          <w:sz w:val="16"/>
        </w:rPr>
        <w:t> </w:t>
      </w:r>
      <w:r>
        <w:rPr>
          <w:sz w:val="16"/>
        </w:rPr>
        <w:t>realizar</w:t>
      </w:r>
      <w:r>
        <w:rPr>
          <w:spacing w:val="-1"/>
          <w:sz w:val="16"/>
        </w:rPr>
        <w:t> </w:t>
      </w:r>
      <w:r>
        <w:rPr>
          <w:sz w:val="16"/>
        </w:rPr>
        <w:t>las</w:t>
      </w:r>
      <w:r>
        <w:rPr>
          <w:spacing w:val="-6"/>
          <w:sz w:val="16"/>
        </w:rPr>
        <w:t> </w:t>
      </w:r>
      <w:r>
        <w:rPr>
          <w:sz w:val="16"/>
        </w:rPr>
        <w:t>obras</w:t>
      </w:r>
      <w:r>
        <w:rPr>
          <w:spacing w:val="-4"/>
          <w:sz w:val="16"/>
        </w:rPr>
        <w:t> </w:t>
      </w:r>
      <w:r>
        <w:rPr>
          <w:sz w:val="16"/>
        </w:rPr>
        <w:t>para</w:t>
      </w:r>
      <w:r>
        <w:rPr>
          <w:spacing w:val="-4"/>
          <w:sz w:val="16"/>
        </w:rPr>
        <w:t> </w:t>
      </w:r>
      <w:r>
        <w:rPr>
          <w:sz w:val="16"/>
        </w:rPr>
        <w:t>el</w:t>
      </w:r>
      <w:r>
        <w:rPr>
          <w:spacing w:val="-3"/>
          <w:sz w:val="16"/>
        </w:rPr>
        <w:t> </w:t>
      </w:r>
      <w:r>
        <w:rPr>
          <w:sz w:val="16"/>
        </w:rPr>
        <w:t>traslado</w:t>
      </w:r>
      <w:r>
        <w:rPr>
          <w:spacing w:val="-4"/>
          <w:sz w:val="16"/>
        </w:rPr>
        <w:t> </w:t>
      </w:r>
      <w:r>
        <w:rPr>
          <w:sz w:val="16"/>
        </w:rPr>
        <w:t>de</w:t>
      </w:r>
      <w:r>
        <w:rPr>
          <w:spacing w:val="-2"/>
          <w:sz w:val="16"/>
        </w:rPr>
        <w:t> </w:t>
      </w:r>
      <w:r>
        <w:rPr>
          <w:sz w:val="16"/>
        </w:rPr>
        <w:t>las</w:t>
      </w:r>
      <w:r>
        <w:rPr>
          <w:spacing w:val="-6"/>
          <w:sz w:val="16"/>
        </w:rPr>
        <w:t> </w:t>
      </w:r>
      <w:r>
        <w:rPr>
          <w:sz w:val="16"/>
        </w:rPr>
        <w:t>familias criollas (</w:t>
      </w:r>
      <w:r>
        <w:rPr>
          <w:i/>
          <w:sz w:val="16"/>
        </w:rPr>
        <w:t>cfr. </w:t>
      </w:r>
      <w:r>
        <w:rPr>
          <w:sz w:val="16"/>
        </w:rPr>
        <w:t>nota de Lhaka Honhat al Ministro de Asuntos Indígenas de Salta de 27 de enero de 2016; expediente de prueba, anexo H.44 al escrito de solicitudes y argumentos, fs. 31.450 al</w:t>
      </w:r>
      <w:r>
        <w:rPr>
          <w:spacing w:val="-31"/>
          <w:sz w:val="16"/>
        </w:rPr>
        <w:t> </w:t>
      </w:r>
      <w:r>
        <w:rPr>
          <w:sz w:val="16"/>
        </w:rPr>
        <w:t>31.451).</w:t>
      </w:r>
    </w:p>
    <w:p>
      <w:pPr>
        <w:pStyle w:val="BodyText"/>
        <w:spacing w:before="12"/>
        <w:rPr>
          <w:sz w:val="15"/>
        </w:rPr>
      </w:pPr>
    </w:p>
    <w:p>
      <w:pPr>
        <w:tabs>
          <w:tab w:pos="829" w:val="left" w:leader="none"/>
        </w:tabs>
        <w:spacing w:before="0"/>
        <w:ind w:left="122" w:right="115" w:firstLine="0"/>
        <w:jc w:val="both"/>
        <w:rPr>
          <w:sz w:val="16"/>
        </w:rPr>
      </w:pPr>
      <w:r>
        <w:rPr>
          <w:position w:val="6"/>
          <w:sz w:val="10"/>
        </w:rPr>
        <w:t>86</w:t>
        <w:tab/>
      </w:r>
      <w:r>
        <w:rPr>
          <w:i/>
          <w:sz w:val="16"/>
        </w:rPr>
        <w:t>Cfr.</w:t>
      </w:r>
      <w:r>
        <w:rPr>
          <w:i/>
          <w:spacing w:val="30"/>
          <w:sz w:val="16"/>
        </w:rPr>
        <w:t> </w:t>
      </w:r>
      <w:r>
        <w:rPr>
          <w:sz w:val="16"/>
        </w:rPr>
        <w:t>Nota</w:t>
      </w:r>
      <w:r>
        <w:rPr>
          <w:spacing w:val="28"/>
          <w:sz w:val="16"/>
        </w:rPr>
        <w:t> </w:t>
      </w:r>
      <w:r>
        <w:rPr>
          <w:sz w:val="16"/>
        </w:rPr>
        <w:t>a</w:t>
      </w:r>
      <w:r>
        <w:rPr>
          <w:spacing w:val="30"/>
          <w:sz w:val="16"/>
        </w:rPr>
        <w:t> </w:t>
      </w:r>
      <w:r>
        <w:rPr>
          <w:sz w:val="16"/>
        </w:rPr>
        <w:t>la</w:t>
      </w:r>
      <w:r>
        <w:rPr>
          <w:spacing w:val="28"/>
          <w:sz w:val="16"/>
        </w:rPr>
        <w:t> </w:t>
      </w:r>
      <w:r>
        <w:rPr>
          <w:sz w:val="16"/>
        </w:rPr>
        <w:t>Comisión</w:t>
      </w:r>
      <w:r>
        <w:rPr>
          <w:spacing w:val="25"/>
          <w:sz w:val="16"/>
        </w:rPr>
        <w:t> </w:t>
      </w:r>
      <w:r>
        <w:rPr>
          <w:sz w:val="16"/>
        </w:rPr>
        <w:t>de</w:t>
      </w:r>
      <w:r>
        <w:rPr>
          <w:spacing w:val="26"/>
          <w:sz w:val="16"/>
        </w:rPr>
        <w:t> </w:t>
      </w:r>
      <w:r>
        <w:rPr>
          <w:sz w:val="16"/>
        </w:rPr>
        <w:t>4</w:t>
      </w:r>
      <w:r>
        <w:rPr>
          <w:spacing w:val="29"/>
          <w:sz w:val="16"/>
        </w:rPr>
        <w:t> </w:t>
      </w:r>
      <w:r>
        <w:rPr>
          <w:sz w:val="16"/>
        </w:rPr>
        <w:t>de</w:t>
      </w:r>
      <w:r>
        <w:rPr>
          <w:spacing w:val="28"/>
          <w:sz w:val="16"/>
        </w:rPr>
        <w:t> </w:t>
      </w:r>
      <w:r>
        <w:rPr>
          <w:sz w:val="16"/>
        </w:rPr>
        <w:t>julio</w:t>
      </w:r>
      <w:r>
        <w:rPr>
          <w:spacing w:val="29"/>
          <w:sz w:val="16"/>
        </w:rPr>
        <w:t> </w:t>
      </w:r>
      <w:r>
        <w:rPr>
          <w:sz w:val="16"/>
        </w:rPr>
        <w:t>de</w:t>
      </w:r>
      <w:r>
        <w:rPr>
          <w:spacing w:val="28"/>
          <w:sz w:val="16"/>
        </w:rPr>
        <w:t> </w:t>
      </w:r>
      <w:r>
        <w:rPr>
          <w:sz w:val="16"/>
        </w:rPr>
        <w:t>2016.</w:t>
      </w:r>
      <w:r>
        <w:rPr>
          <w:spacing w:val="27"/>
          <w:sz w:val="16"/>
        </w:rPr>
        <w:t> </w:t>
      </w:r>
      <w:r>
        <w:rPr>
          <w:sz w:val="16"/>
        </w:rPr>
        <w:t>Expediente</w:t>
      </w:r>
      <w:r>
        <w:rPr>
          <w:spacing w:val="31"/>
          <w:sz w:val="16"/>
        </w:rPr>
        <w:t> </w:t>
      </w:r>
      <w:r>
        <w:rPr>
          <w:sz w:val="16"/>
        </w:rPr>
        <w:t>de</w:t>
      </w:r>
      <w:r>
        <w:rPr>
          <w:spacing w:val="26"/>
          <w:sz w:val="16"/>
        </w:rPr>
        <w:t> </w:t>
      </w:r>
      <w:r>
        <w:rPr>
          <w:sz w:val="16"/>
        </w:rPr>
        <w:t>prueba,</w:t>
      </w:r>
      <w:r>
        <w:rPr>
          <w:spacing w:val="27"/>
          <w:sz w:val="16"/>
        </w:rPr>
        <w:t> </w:t>
      </w:r>
      <w:r>
        <w:rPr>
          <w:sz w:val="16"/>
        </w:rPr>
        <w:t>anexo</w:t>
      </w:r>
      <w:r>
        <w:rPr>
          <w:spacing w:val="29"/>
          <w:sz w:val="16"/>
        </w:rPr>
        <w:t> </w:t>
      </w:r>
      <w:r>
        <w:rPr>
          <w:sz w:val="16"/>
        </w:rPr>
        <w:t>H.46</w:t>
      </w:r>
      <w:r>
        <w:rPr>
          <w:spacing w:val="27"/>
          <w:sz w:val="16"/>
        </w:rPr>
        <w:t> </w:t>
      </w:r>
      <w:r>
        <w:rPr>
          <w:sz w:val="16"/>
        </w:rPr>
        <w:t>al</w:t>
      </w:r>
      <w:r>
        <w:rPr>
          <w:spacing w:val="30"/>
          <w:sz w:val="16"/>
        </w:rPr>
        <w:t> </w:t>
      </w:r>
      <w:r>
        <w:rPr>
          <w:sz w:val="16"/>
        </w:rPr>
        <w:t>escrito</w:t>
      </w:r>
      <w:r>
        <w:rPr>
          <w:spacing w:val="29"/>
          <w:sz w:val="16"/>
        </w:rPr>
        <w:t> </w:t>
      </w:r>
      <w:r>
        <w:rPr>
          <w:sz w:val="16"/>
        </w:rPr>
        <w:t>de</w:t>
      </w:r>
      <w:r>
        <w:rPr>
          <w:w w:val="100"/>
          <w:sz w:val="16"/>
        </w:rPr>
        <w:t> </w:t>
      </w:r>
      <w:r>
        <w:rPr>
          <w:sz w:val="16"/>
        </w:rPr>
        <w:t>solicitudes y argumentos, fs. 31.455 a 31.459. El Estado se refirió a los siguientes acuerdos: Convenio Marco de Cooperación entre el Instituto Geográfico Nacional y el Ministerio de Asuntos Indígenas y Desarrollo Comunitario de la Provincia de Salta; Convenio Marco de Colaboración entre el Ministerio del Interior, Obras Públicas</w:t>
      </w:r>
      <w:r>
        <w:rPr>
          <w:spacing w:val="-15"/>
          <w:sz w:val="16"/>
        </w:rPr>
        <w:t> </w:t>
      </w:r>
      <w:r>
        <w:rPr>
          <w:sz w:val="16"/>
        </w:rPr>
        <w:t>y</w:t>
      </w:r>
      <w:r>
        <w:rPr>
          <w:spacing w:val="-16"/>
          <w:sz w:val="16"/>
        </w:rPr>
        <w:t> </w:t>
      </w:r>
      <w:r>
        <w:rPr>
          <w:sz w:val="16"/>
        </w:rPr>
        <w:t>Vivienda,</w:t>
      </w:r>
      <w:r>
        <w:rPr>
          <w:spacing w:val="-15"/>
          <w:sz w:val="16"/>
        </w:rPr>
        <w:t> </w:t>
      </w:r>
      <w:r>
        <w:rPr>
          <w:sz w:val="16"/>
        </w:rPr>
        <w:t>la</w:t>
      </w:r>
      <w:r>
        <w:rPr>
          <w:spacing w:val="-17"/>
          <w:sz w:val="16"/>
        </w:rPr>
        <w:t> </w:t>
      </w:r>
      <w:r>
        <w:rPr>
          <w:sz w:val="16"/>
        </w:rPr>
        <w:t>Secretaría</w:t>
      </w:r>
      <w:r>
        <w:rPr>
          <w:spacing w:val="-15"/>
          <w:sz w:val="16"/>
        </w:rPr>
        <w:t> </w:t>
      </w:r>
      <w:r>
        <w:rPr>
          <w:sz w:val="16"/>
        </w:rPr>
        <w:t>de</w:t>
      </w:r>
      <w:r>
        <w:rPr>
          <w:spacing w:val="-17"/>
          <w:sz w:val="16"/>
        </w:rPr>
        <w:t> </w:t>
      </w:r>
      <w:r>
        <w:rPr>
          <w:sz w:val="16"/>
        </w:rPr>
        <w:t>Vivienda</w:t>
      </w:r>
      <w:r>
        <w:rPr>
          <w:spacing w:val="-15"/>
          <w:sz w:val="16"/>
        </w:rPr>
        <w:t> </w:t>
      </w:r>
      <w:r>
        <w:rPr>
          <w:sz w:val="16"/>
        </w:rPr>
        <w:t>y</w:t>
      </w:r>
      <w:r>
        <w:rPr>
          <w:spacing w:val="-16"/>
          <w:sz w:val="16"/>
        </w:rPr>
        <w:t> </w:t>
      </w:r>
      <w:r>
        <w:rPr>
          <w:sz w:val="16"/>
        </w:rPr>
        <w:t>Hábitat</w:t>
      </w:r>
      <w:r>
        <w:rPr>
          <w:spacing w:val="-15"/>
          <w:sz w:val="16"/>
        </w:rPr>
        <w:t> </w:t>
      </w:r>
      <w:r>
        <w:rPr>
          <w:sz w:val="16"/>
        </w:rPr>
        <w:t>y</w:t>
      </w:r>
      <w:r>
        <w:rPr>
          <w:spacing w:val="-16"/>
          <w:sz w:val="16"/>
        </w:rPr>
        <w:t> </w:t>
      </w:r>
      <w:r>
        <w:rPr>
          <w:sz w:val="16"/>
        </w:rPr>
        <w:t>la</w:t>
      </w:r>
      <w:r>
        <w:rPr>
          <w:spacing w:val="-15"/>
          <w:sz w:val="16"/>
        </w:rPr>
        <w:t> </w:t>
      </w:r>
      <w:r>
        <w:rPr>
          <w:sz w:val="16"/>
        </w:rPr>
        <w:t>Provincia</w:t>
      </w:r>
      <w:r>
        <w:rPr>
          <w:spacing w:val="-16"/>
          <w:sz w:val="16"/>
        </w:rPr>
        <w:t> </w:t>
      </w:r>
      <w:r>
        <w:rPr>
          <w:sz w:val="16"/>
        </w:rPr>
        <w:t>de</w:t>
      </w:r>
      <w:r>
        <w:rPr>
          <w:spacing w:val="-17"/>
          <w:sz w:val="16"/>
        </w:rPr>
        <w:t> </w:t>
      </w:r>
      <w:r>
        <w:rPr>
          <w:sz w:val="16"/>
        </w:rPr>
        <w:t>Salta</w:t>
      </w:r>
      <w:r>
        <w:rPr>
          <w:spacing w:val="-15"/>
          <w:sz w:val="16"/>
        </w:rPr>
        <w:t> </w:t>
      </w:r>
      <w:r>
        <w:rPr>
          <w:sz w:val="16"/>
        </w:rPr>
        <w:t>para</w:t>
      </w:r>
      <w:r>
        <w:rPr>
          <w:spacing w:val="-15"/>
          <w:sz w:val="16"/>
        </w:rPr>
        <w:t> </w:t>
      </w:r>
      <w:r>
        <w:rPr>
          <w:sz w:val="16"/>
        </w:rPr>
        <w:t>la</w:t>
      </w:r>
      <w:r>
        <w:rPr>
          <w:spacing w:val="-15"/>
          <w:sz w:val="16"/>
        </w:rPr>
        <w:t> </w:t>
      </w:r>
      <w:r>
        <w:rPr>
          <w:sz w:val="16"/>
        </w:rPr>
        <w:t>construcción</w:t>
      </w:r>
      <w:r>
        <w:rPr>
          <w:spacing w:val="-15"/>
          <w:sz w:val="16"/>
        </w:rPr>
        <w:t> </w:t>
      </w:r>
      <w:r>
        <w:rPr>
          <w:sz w:val="16"/>
        </w:rPr>
        <w:t>de</w:t>
      </w:r>
      <w:r>
        <w:rPr>
          <w:spacing w:val="-17"/>
          <w:sz w:val="16"/>
        </w:rPr>
        <w:t> </w:t>
      </w:r>
      <w:r>
        <w:rPr>
          <w:sz w:val="16"/>
        </w:rPr>
        <w:t>viviendas, urbanización de barrios vulnerables y mejoramiento del hábitat, y Convenio de Instrumentación de la Propiedad Comunitaria de las Comunidades Indígenas asentadas en los Ex Lotes 14 y 55 del Departamento Rivadavia de la Provincia de Salta, entre el INAI y el Ministerio de Asuntos Indígenas de</w:t>
      </w:r>
      <w:r>
        <w:rPr>
          <w:spacing w:val="-27"/>
          <w:sz w:val="16"/>
        </w:rPr>
        <w:t> </w:t>
      </w:r>
      <w:r>
        <w:rPr>
          <w:sz w:val="16"/>
        </w:rPr>
        <w:t>Salta.</w:t>
      </w:r>
    </w:p>
    <w:p>
      <w:pPr>
        <w:pStyle w:val="BodyText"/>
        <w:spacing w:before="12"/>
        <w:rPr>
          <w:sz w:val="15"/>
        </w:rPr>
      </w:pPr>
    </w:p>
    <w:p>
      <w:pPr>
        <w:tabs>
          <w:tab w:pos="829" w:val="left" w:leader="none"/>
        </w:tabs>
        <w:spacing w:line="240" w:lineRule="auto" w:before="0"/>
        <w:ind w:left="122" w:right="111" w:firstLine="0"/>
        <w:jc w:val="both"/>
        <w:rPr>
          <w:sz w:val="16"/>
        </w:rPr>
      </w:pPr>
      <w:r>
        <w:rPr>
          <w:position w:val="6"/>
          <w:sz w:val="10"/>
        </w:rPr>
        <w:t>87</w:t>
        <w:tab/>
      </w:r>
      <w:r>
        <w:rPr>
          <w:sz w:val="16"/>
        </w:rPr>
        <w:t>Argentina</w:t>
      </w:r>
      <w:r>
        <w:rPr>
          <w:spacing w:val="-9"/>
          <w:sz w:val="16"/>
        </w:rPr>
        <w:t> </w:t>
      </w:r>
      <w:r>
        <w:rPr>
          <w:sz w:val="16"/>
        </w:rPr>
        <w:t>aclaró</w:t>
      </w:r>
      <w:r>
        <w:rPr>
          <w:spacing w:val="-10"/>
          <w:sz w:val="16"/>
        </w:rPr>
        <w:t> </w:t>
      </w:r>
      <w:r>
        <w:rPr>
          <w:sz w:val="16"/>
        </w:rPr>
        <w:t>que</w:t>
      </w:r>
      <w:r>
        <w:rPr>
          <w:spacing w:val="-8"/>
          <w:sz w:val="16"/>
        </w:rPr>
        <w:t> </w:t>
      </w:r>
      <w:r>
        <w:rPr>
          <w:sz w:val="16"/>
        </w:rPr>
        <w:t>el</w:t>
      </w:r>
      <w:r>
        <w:rPr>
          <w:spacing w:val="-9"/>
          <w:sz w:val="16"/>
        </w:rPr>
        <w:t> </w:t>
      </w:r>
      <w:r>
        <w:rPr>
          <w:sz w:val="16"/>
        </w:rPr>
        <w:t>tiempo</w:t>
      </w:r>
      <w:r>
        <w:rPr>
          <w:spacing w:val="-10"/>
          <w:sz w:val="16"/>
        </w:rPr>
        <w:t> </w:t>
      </w:r>
      <w:r>
        <w:rPr>
          <w:sz w:val="16"/>
        </w:rPr>
        <w:t>responde,</w:t>
      </w:r>
      <w:r>
        <w:rPr>
          <w:spacing w:val="-9"/>
          <w:sz w:val="16"/>
        </w:rPr>
        <w:t> </w:t>
      </w:r>
      <w:r>
        <w:rPr>
          <w:sz w:val="16"/>
        </w:rPr>
        <w:t>“fundamentalmente”,</w:t>
      </w:r>
      <w:r>
        <w:rPr>
          <w:spacing w:val="-9"/>
          <w:sz w:val="16"/>
        </w:rPr>
        <w:t> </w:t>
      </w:r>
      <w:r>
        <w:rPr>
          <w:sz w:val="16"/>
        </w:rPr>
        <w:t>a</w:t>
      </w:r>
      <w:r>
        <w:rPr>
          <w:spacing w:val="-9"/>
          <w:sz w:val="16"/>
        </w:rPr>
        <w:t> </w:t>
      </w:r>
      <w:r>
        <w:rPr>
          <w:sz w:val="16"/>
        </w:rPr>
        <w:t>la</w:t>
      </w:r>
      <w:r>
        <w:rPr>
          <w:spacing w:val="-9"/>
          <w:sz w:val="16"/>
        </w:rPr>
        <w:t> </w:t>
      </w:r>
      <w:r>
        <w:rPr>
          <w:sz w:val="16"/>
        </w:rPr>
        <w:t>“necesidad</w:t>
      </w:r>
      <w:r>
        <w:rPr>
          <w:spacing w:val="-8"/>
          <w:sz w:val="16"/>
        </w:rPr>
        <w:t> </w:t>
      </w:r>
      <w:r>
        <w:rPr>
          <w:sz w:val="16"/>
        </w:rPr>
        <w:t>de</w:t>
      </w:r>
      <w:r>
        <w:rPr>
          <w:spacing w:val="-8"/>
          <w:sz w:val="16"/>
        </w:rPr>
        <w:t> </w:t>
      </w:r>
      <w:r>
        <w:rPr>
          <w:sz w:val="16"/>
        </w:rPr>
        <w:t>las</w:t>
      </w:r>
      <w:r>
        <w:rPr>
          <w:spacing w:val="-8"/>
          <w:sz w:val="16"/>
        </w:rPr>
        <w:t> </w:t>
      </w:r>
      <w:r>
        <w:rPr>
          <w:sz w:val="16"/>
        </w:rPr>
        <w:t>familias</w:t>
      </w:r>
      <w:r>
        <w:rPr>
          <w:spacing w:val="-8"/>
          <w:sz w:val="16"/>
        </w:rPr>
        <w:t> </w:t>
      </w:r>
      <w:r>
        <w:rPr>
          <w:sz w:val="16"/>
        </w:rPr>
        <w:t>criollas</w:t>
      </w:r>
      <w:r>
        <w:rPr>
          <w:w w:val="100"/>
          <w:sz w:val="16"/>
        </w:rPr>
        <w:t> </w:t>
      </w:r>
      <w:r>
        <w:rPr>
          <w:sz w:val="16"/>
        </w:rPr>
        <w:t>de adoptar la tecnología e incorporar los conocimientos pertinentes para lograr un adecuado manejo del ganado. Si así no fuera [...] volverían a sus antiguas prácticas de manejo de ganado a campo abierto, lo que implicaría el retorno de los animales a territorios de las comunidades”. El Plan abarca cuatro ejes: 1.- Título de</w:t>
      </w:r>
      <w:r>
        <w:rPr>
          <w:spacing w:val="-3"/>
          <w:sz w:val="16"/>
        </w:rPr>
        <w:t> </w:t>
      </w:r>
      <w:r>
        <w:rPr>
          <w:sz w:val="16"/>
        </w:rPr>
        <w:t>Propiedad;</w:t>
      </w:r>
      <w:r>
        <w:rPr>
          <w:spacing w:val="-7"/>
          <w:sz w:val="16"/>
        </w:rPr>
        <w:t> </w:t>
      </w:r>
      <w:r>
        <w:rPr>
          <w:sz w:val="16"/>
        </w:rPr>
        <w:t>2.-</w:t>
      </w:r>
      <w:r>
        <w:rPr>
          <w:spacing w:val="-5"/>
          <w:sz w:val="16"/>
        </w:rPr>
        <w:t> </w:t>
      </w:r>
      <w:r>
        <w:rPr>
          <w:sz w:val="16"/>
        </w:rPr>
        <w:t>Unidades</w:t>
      </w:r>
      <w:r>
        <w:rPr>
          <w:spacing w:val="-3"/>
          <w:sz w:val="16"/>
        </w:rPr>
        <w:t> </w:t>
      </w:r>
      <w:r>
        <w:rPr>
          <w:sz w:val="16"/>
        </w:rPr>
        <w:t>Productivas</w:t>
      </w:r>
      <w:r>
        <w:rPr>
          <w:spacing w:val="-6"/>
          <w:sz w:val="16"/>
        </w:rPr>
        <w:t> </w:t>
      </w:r>
      <w:r>
        <w:rPr>
          <w:sz w:val="16"/>
        </w:rPr>
        <w:t>para</w:t>
      </w:r>
      <w:r>
        <w:rPr>
          <w:spacing w:val="-7"/>
          <w:sz w:val="16"/>
        </w:rPr>
        <w:t> </w:t>
      </w:r>
      <w:r>
        <w:rPr>
          <w:sz w:val="16"/>
        </w:rPr>
        <w:t>Familias</w:t>
      </w:r>
      <w:r>
        <w:rPr>
          <w:spacing w:val="-3"/>
          <w:sz w:val="16"/>
        </w:rPr>
        <w:t> </w:t>
      </w:r>
      <w:r>
        <w:rPr>
          <w:sz w:val="16"/>
        </w:rPr>
        <w:t>Criollas;</w:t>
      </w:r>
      <w:r>
        <w:rPr>
          <w:spacing w:val="-4"/>
          <w:sz w:val="16"/>
        </w:rPr>
        <w:t> </w:t>
      </w:r>
      <w:r>
        <w:rPr>
          <w:sz w:val="16"/>
        </w:rPr>
        <w:t>3.-</w:t>
      </w:r>
      <w:r>
        <w:rPr>
          <w:spacing w:val="-5"/>
          <w:sz w:val="16"/>
        </w:rPr>
        <w:t> </w:t>
      </w:r>
      <w:r>
        <w:rPr>
          <w:sz w:val="16"/>
        </w:rPr>
        <w:t>Unidades</w:t>
      </w:r>
      <w:r>
        <w:rPr>
          <w:spacing w:val="-6"/>
          <w:sz w:val="16"/>
        </w:rPr>
        <w:t> </w:t>
      </w:r>
      <w:r>
        <w:rPr>
          <w:sz w:val="16"/>
        </w:rPr>
        <w:t>Domésticas</w:t>
      </w:r>
      <w:r>
        <w:rPr>
          <w:spacing w:val="-6"/>
          <w:sz w:val="16"/>
        </w:rPr>
        <w:t> </w:t>
      </w:r>
      <w:r>
        <w:rPr>
          <w:sz w:val="16"/>
        </w:rPr>
        <w:t>para</w:t>
      </w:r>
      <w:r>
        <w:rPr>
          <w:spacing w:val="-7"/>
          <w:sz w:val="16"/>
        </w:rPr>
        <w:t> </w:t>
      </w:r>
      <w:r>
        <w:rPr>
          <w:sz w:val="16"/>
        </w:rPr>
        <w:t>Familias</w:t>
      </w:r>
      <w:r>
        <w:rPr>
          <w:spacing w:val="-3"/>
          <w:sz w:val="16"/>
        </w:rPr>
        <w:t> </w:t>
      </w:r>
      <w:r>
        <w:rPr>
          <w:sz w:val="16"/>
        </w:rPr>
        <w:t>Criollas Relocalizadas; y 4.- Infraestructura Pública en zonas de reubicación. En cuanto al eje 1 prevé: en el primer año, finalizar la demarcación de las 400.000 ha de las comunidades indígenas, junto con los acuerdos </w:t>
      </w:r>
      <w:r>
        <w:rPr>
          <w:spacing w:val="-3"/>
          <w:sz w:val="16"/>
        </w:rPr>
        <w:t>de  </w:t>
      </w:r>
      <w:r>
        <w:rPr>
          <w:sz w:val="16"/>
        </w:rPr>
        <w:t>partes con las familias criollas y la ubicación definitiva de sus parcelas; en el segundo año: concluir las mensuras, escriturar y entregar títulos de propiedad a comunidades indígenas y familias criollas. En cuanto a los ejes 2, 3 y 4 prevé: i.-en dos años, lograr la relocalización definitiva de familias y ganado que ya cuentan con</w:t>
      </w:r>
      <w:r>
        <w:rPr>
          <w:spacing w:val="-12"/>
          <w:sz w:val="16"/>
        </w:rPr>
        <w:t> </w:t>
      </w:r>
      <w:r>
        <w:rPr>
          <w:sz w:val="16"/>
        </w:rPr>
        <w:t>acuerdos</w:t>
      </w:r>
      <w:r>
        <w:rPr>
          <w:spacing w:val="-15"/>
          <w:sz w:val="16"/>
        </w:rPr>
        <w:t> </w:t>
      </w:r>
      <w:r>
        <w:rPr>
          <w:sz w:val="16"/>
        </w:rPr>
        <w:t>finalizados</w:t>
      </w:r>
      <w:r>
        <w:rPr>
          <w:spacing w:val="-13"/>
          <w:sz w:val="16"/>
        </w:rPr>
        <w:t> </w:t>
      </w:r>
      <w:r>
        <w:rPr>
          <w:sz w:val="16"/>
        </w:rPr>
        <w:t>y</w:t>
      </w:r>
      <w:r>
        <w:rPr>
          <w:spacing w:val="-12"/>
          <w:sz w:val="16"/>
        </w:rPr>
        <w:t> </w:t>
      </w:r>
      <w:r>
        <w:rPr>
          <w:sz w:val="16"/>
        </w:rPr>
        <w:t>ya</w:t>
      </w:r>
      <w:r>
        <w:rPr>
          <w:spacing w:val="-14"/>
          <w:sz w:val="16"/>
        </w:rPr>
        <w:t> </w:t>
      </w:r>
      <w:r>
        <w:rPr>
          <w:sz w:val="16"/>
        </w:rPr>
        <w:t>son</w:t>
      </w:r>
      <w:r>
        <w:rPr>
          <w:spacing w:val="-14"/>
          <w:sz w:val="16"/>
        </w:rPr>
        <w:t> </w:t>
      </w:r>
      <w:r>
        <w:rPr>
          <w:sz w:val="16"/>
        </w:rPr>
        <w:t>beneficiarios</w:t>
      </w:r>
      <w:r>
        <w:rPr>
          <w:spacing w:val="-13"/>
          <w:sz w:val="16"/>
        </w:rPr>
        <w:t> </w:t>
      </w:r>
      <w:r>
        <w:rPr>
          <w:sz w:val="16"/>
        </w:rPr>
        <w:t>de</w:t>
      </w:r>
      <w:r>
        <w:rPr>
          <w:spacing w:val="-13"/>
          <w:sz w:val="16"/>
        </w:rPr>
        <w:t> </w:t>
      </w:r>
      <w:r>
        <w:rPr>
          <w:sz w:val="16"/>
        </w:rPr>
        <w:t>mensuras,</w:t>
      </w:r>
      <w:r>
        <w:rPr>
          <w:spacing w:val="-16"/>
          <w:sz w:val="16"/>
        </w:rPr>
        <w:t> </w:t>
      </w:r>
      <w:r>
        <w:rPr>
          <w:sz w:val="16"/>
        </w:rPr>
        <w:t>proyectos</w:t>
      </w:r>
      <w:r>
        <w:rPr>
          <w:spacing w:val="-13"/>
          <w:sz w:val="16"/>
        </w:rPr>
        <w:t> </w:t>
      </w:r>
      <w:r>
        <w:rPr>
          <w:sz w:val="16"/>
        </w:rPr>
        <w:t>productivos,</w:t>
      </w:r>
      <w:r>
        <w:rPr>
          <w:spacing w:val="-11"/>
          <w:sz w:val="16"/>
        </w:rPr>
        <w:t> </w:t>
      </w:r>
      <w:r>
        <w:rPr>
          <w:sz w:val="16"/>
        </w:rPr>
        <w:t>acceso</w:t>
      </w:r>
      <w:r>
        <w:rPr>
          <w:spacing w:val="-15"/>
          <w:sz w:val="16"/>
        </w:rPr>
        <w:t> </w:t>
      </w:r>
      <w:r>
        <w:rPr>
          <w:sz w:val="16"/>
        </w:rPr>
        <w:t>al</w:t>
      </w:r>
      <w:r>
        <w:rPr>
          <w:spacing w:val="-12"/>
          <w:sz w:val="16"/>
        </w:rPr>
        <w:t> </w:t>
      </w:r>
      <w:r>
        <w:rPr>
          <w:sz w:val="16"/>
        </w:rPr>
        <w:t>agua</w:t>
      </w:r>
      <w:r>
        <w:rPr>
          <w:spacing w:val="-14"/>
          <w:sz w:val="16"/>
        </w:rPr>
        <w:t> </w:t>
      </w:r>
      <w:r>
        <w:rPr>
          <w:sz w:val="16"/>
        </w:rPr>
        <w:t>y</w:t>
      </w:r>
      <w:r>
        <w:rPr>
          <w:spacing w:val="-12"/>
          <w:sz w:val="16"/>
        </w:rPr>
        <w:t> </w:t>
      </w:r>
      <w:r>
        <w:rPr>
          <w:sz w:val="16"/>
        </w:rPr>
        <w:t>vivienda; ii.- en cinco años, finalizar la relocalización de familias y ganado que cuentan con acuerdos a finalizar; iii- en ocho años: finalizar la relocalización de familias y ganado de quienes aún no se ha iniciado el relevamiento necesario</w:t>
      </w:r>
      <w:r>
        <w:rPr>
          <w:spacing w:val="-5"/>
          <w:sz w:val="16"/>
        </w:rPr>
        <w:t> </w:t>
      </w:r>
      <w:r>
        <w:rPr>
          <w:sz w:val="16"/>
        </w:rPr>
        <w:t>para</w:t>
      </w:r>
      <w:r>
        <w:rPr>
          <w:spacing w:val="-7"/>
          <w:sz w:val="16"/>
        </w:rPr>
        <w:t> </w:t>
      </w:r>
      <w:r>
        <w:rPr>
          <w:sz w:val="16"/>
        </w:rPr>
        <w:t>lograr</w:t>
      </w:r>
      <w:r>
        <w:rPr>
          <w:spacing w:val="-3"/>
          <w:sz w:val="16"/>
        </w:rPr>
        <w:t> </w:t>
      </w:r>
      <w:r>
        <w:rPr>
          <w:sz w:val="16"/>
        </w:rPr>
        <w:t>acuerdos.</w:t>
      </w:r>
      <w:r>
        <w:rPr>
          <w:spacing w:val="-2"/>
          <w:sz w:val="16"/>
        </w:rPr>
        <w:t> </w:t>
      </w:r>
      <w:r>
        <w:rPr>
          <w:i/>
          <w:sz w:val="16"/>
        </w:rPr>
        <w:t>Cfr</w:t>
      </w:r>
      <w:r>
        <w:rPr>
          <w:sz w:val="16"/>
        </w:rPr>
        <w:t>.</w:t>
      </w:r>
      <w:r>
        <w:rPr>
          <w:spacing w:val="-7"/>
          <w:sz w:val="16"/>
        </w:rPr>
        <w:t> </w:t>
      </w:r>
      <w:r>
        <w:rPr>
          <w:sz w:val="16"/>
        </w:rPr>
        <w:t>Propuesta</w:t>
      </w:r>
      <w:r>
        <w:rPr>
          <w:spacing w:val="-7"/>
          <w:sz w:val="16"/>
        </w:rPr>
        <w:t> </w:t>
      </w:r>
      <w:r>
        <w:rPr>
          <w:sz w:val="16"/>
        </w:rPr>
        <w:t>Integral</w:t>
      </w:r>
      <w:r>
        <w:rPr>
          <w:spacing w:val="-4"/>
          <w:sz w:val="16"/>
        </w:rPr>
        <w:t> </w:t>
      </w:r>
      <w:r>
        <w:rPr>
          <w:sz w:val="16"/>
        </w:rPr>
        <w:t>de</w:t>
      </w:r>
      <w:r>
        <w:rPr>
          <w:spacing w:val="-3"/>
          <w:sz w:val="16"/>
        </w:rPr>
        <w:t> </w:t>
      </w:r>
      <w:r>
        <w:rPr>
          <w:sz w:val="16"/>
        </w:rPr>
        <w:t>Trabajo</w:t>
      </w:r>
      <w:r>
        <w:rPr>
          <w:spacing w:val="-5"/>
          <w:sz w:val="16"/>
        </w:rPr>
        <w:t> </w:t>
      </w:r>
      <w:r>
        <w:rPr>
          <w:sz w:val="16"/>
        </w:rPr>
        <w:t>presentada</w:t>
      </w:r>
      <w:r>
        <w:rPr>
          <w:spacing w:val="-7"/>
          <w:sz w:val="16"/>
        </w:rPr>
        <w:t> </w:t>
      </w:r>
      <w:r>
        <w:rPr>
          <w:sz w:val="16"/>
        </w:rPr>
        <w:t>por</w:t>
      </w:r>
      <w:r>
        <w:rPr>
          <w:spacing w:val="-5"/>
          <w:sz w:val="16"/>
        </w:rPr>
        <w:t> </w:t>
      </w:r>
      <w:r>
        <w:rPr>
          <w:sz w:val="16"/>
        </w:rPr>
        <w:t>el</w:t>
      </w:r>
      <w:r>
        <w:rPr>
          <w:spacing w:val="-7"/>
          <w:sz w:val="16"/>
        </w:rPr>
        <w:t> </w:t>
      </w:r>
      <w:r>
        <w:rPr>
          <w:sz w:val="16"/>
        </w:rPr>
        <w:t>Estado</w:t>
      </w:r>
      <w:r>
        <w:rPr>
          <w:spacing w:val="-5"/>
          <w:sz w:val="16"/>
        </w:rPr>
        <w:t> </w:t>
      </w:r>
      <w:r>
        <w:rPr>
          <w:sz w:val="16"/>
        </w:rPr>
        <w:t>a</w:t>
      </w:r>
      <w:r>
        <w:rPr>
          <w:spacing w:val="-4"/>
          <w:sz w:val="16"/>
        </w:rPr>
        <w:t> </w:t>
      </w:r>
      <w:r>
        <w:rPr>
          <w:sz w:val="16"/>
        </w:rPr>
        <w:t>la</w:t>
      </w:r>
      <w:r>
        <w:rPr>
          <w:spacing w:val="-7"/>
          <w:sz w:val="16"/>
        </w:rPr>
        <w:t> </w:t>
      </w:r>
      <w:r>
        <w:rPr>
          <w:sz w:val="16"/>
        </w:rPr>
        <w:t>Comisión,</w:t>
      </w:r>
      <w:r>
        <w:rPr>
          <w:spacing w:val="-7"/>
          <w:sz w:val="16"/>
        </w:rPr>
        <w:t> </w:t>
      </w:r>
      <w:r>
        <w:rPr>
          <w:sz w:val="16"/>
        </w:rPr>
        <w:t>de 24</w:t>
      </w:r>
      <w:r>
        <w:rPr>
          <w:spacing w:val="-14"/>
          <w:sz w:val="16"/>
        </w:rPr>
        <w:t> </w:t>
      </w:r>
      <w:r>
        <w:rPr>
          <w:sz w:val="16"/>
        </w:rPr>
        <w:t>de</w:t>
      </w:r>
      <w:r>
        <w:rPr>
          <w:spacing w:val="-13"/>
          <w:sz w:val="16"/>
        </w:rPr>
        <w:t> </w:t>
      </w:r>
      <w:r>
        <w:rPr>
          <w:sz w:val="16"/>
        </w:rPr>
        <w:t>noviembre</w:t>
      </w:r>
      <w:r>
        <w:rPr>
          <w:spacing w:val="-15"/>
          <w:sz w:val="16"/>
        </w:rPr>
        <w:t> </w:t>
      </w:r>
      <w:r>
        <w:rPr>
          <w:sz w:val="16"/>
        </w:rPr>
        <w:t>de</w:t>
      </w:r>
      <w:r>
        <w:rPr>
          <w:spacing w:val="-15"/>
          <w:sz w:val="16"/>
        </w:rPr>
        <w:t> </w:t>
      </w:r>
      <w:r>
        <w:rPr>
          <w:sz w:val="16"/>
        </w:rPr>
        <w:t>2017.</w:t>
      </w:r>
      <w:r>
        <w:rPr>
          <w:spacing w:val="-12"/>
          <w:sz w:val="16"/>
        </w:rPr>
        <w:t> </w:t>
      </w:r>
      <w:r>
        <w:rPr>
          <w:sz w:val="16"/>
        </w:rPr>
        <w:t>Expediente</w:t>
      </w:r>
      <w:r>
        <w:rPr>
          <w:spacing w:val="-13"/>
          <w:sz w:val="16"/>
        </w:rPr>
        <w:t> </w:t>
      </w:r>
      <w:r>
        <w:rPr>
          <w:sz w:val="16"/>
        </w:rPr>
        <w:t>de</w:t>
      </w:r>
      <w:r>
        <w:rPr>
          <w:spacing w:val="-15"/>
          <w:sz w:val="16"/>
        </w:rPr>
        <w:t> </w:t>
      </w:r>
      <w:r>
        <w:rPr>
          <w:sz w:val="16"/>
        </w:rPr>
        <w:t>prueba,</w:t>
      </w:r>
      <w:r>
        <w:rPr>
          <w:spacing w:val="-14"/>
          <w:sz w:val="16"/>
        </w:rPr>
        <w:t> </w:t>
      </w:r>
      <w:r>
        <w:rPr>
          <w:sz w:val="16"/>
        </w:rPr>
        <w:t>anexo</w:t>
      </w:r>
      <w:r>
        <w:rPr>
          <w:spacing w:val="-12"/>
          <w:sz w:val="16"/>
        </w:rPr>
        <w:t> </w:t>
      </w:r>
      <w:r>
        <w:rPr>
          <w:sz w:val="16"/>
        </w:rPr>
        <w:t>H.59</w:t>
      </w:r>
      <w:r>
        <w:rPr>
          <w:spacing w:val="-12"/>
          <w:sz w:val="16"/>
        </w:rPr>
        <w:t> </w:t>
      </w:r>
      <w:r>
        <w:rPr>
          <w:sz w:val="16"/>
        </w:rPr>
        <w:t>al</w:t>
      </w:r>
      <w:r>
        <w:rPr>
          <w:spacing w:val="-14"/>
          <w:sz w:val="16"/>
        </w:rPr>
        <w:t> </w:t>
      </w:r>
      <w:r>
        <w:rPr>
          <w:sz w:val="16"/>
        </w:rPr>
        <w:t>escrito</w:t>
      </w:r>
      <w:r>
        <w:rPr>
          <w:spacing w:val="-15"/>
          <w:sz w:val="16"/>
        </w:rPr>
        <w:t> </w:t>
      </w:r>
      <w:r>
        <w:rPr>
          <w:sz w:val="16"/>
        </w:rPr>
        <w:t>de</w:t>
      </w:r>
      <w:r>
        <w:rPr>
          <w:spacing w:val="-13"/>
          <w:sz w:val="16"/>
        </w:rPr>
        <w:t> </w:t>
      </w:r>
      <w:r>
        <w:rPr>
          <w:sz w:val="16"/>
        </w:rPr>
        <w:t>solicitudes</w:t>
      </w:r>
      <w:r>
        <w:rPr>
          <w:spacing w:val="-13"/>
          <w:sz w:val="16"/>
        </w:rPr>
        <w:t> </w:t>
      </w:r>
      <w:r>
        <w:rPr>
          <w:sz w:val="16"/>
        </w:rPr>
        <w:t>y</w:t>
      </w:r>
      <w:r>
        <w:rPr>
          <w:spacing w:val="-12"/>
          <w:sz w:val="16"/>
        </w:rPr>
        <w:t> </w:t>
      </w:r>
      <w:r>
        <w:rPr>
          <w:sz w:val="16"/>
        </w:rPr>
        <w:t>argumentos,</w:t>
      </w:r>
      <w:r>
        <w:rPr>
          <w:spacing w:val="-14"/>
          <w:sz w:val="16"/>
        </w:rPr>
        <w:t> </w:t>
      </w:r>
      <w:r>
        <w:rPr>
          <w:sz w:val="16"/>
        </w:rPr>
        <w:t>fs.</w:t>
      </w:r>
      <w:r>
        <w:rPr>
          <w:spacing w:val="-16"/>
          <w:sz w:val="16"/>
        </w:rPr>
        <w:t> </w:t>
      </w:r>
      <w:r>
        <w:rPr>
          <w:sz w:val="16"/>
        </w:rPr>
        <w:t>31.626 a 31.649; en adelante “Propuesta Integral de</w:t>
      </w:r>
      <w:r>
        <w:rPr>
          <w:spacing w:val="-21"/>
          <w:sz w:val="16"/>
        </w:rPr>
        <w:t> </w:t>
      </w:r>
      <w:r>
        <w:rPr>
          <w:sz w:val="16"/>
        </w:rPr>
        <w:t>Trabajo”).</w:t>
      </w:r>
    </w:p>
    <w:p>
      <w:pPr>
        <w:spacing w:after="0" w:line="240" w:lineRule="auto"/>
        <w:jc w:val="both"/>
        <w:rPr>
          <w:sz w:val="16"/>
        </w:rPr>
        <w:sectPr>
          <w:pgSz w:w="12240" w:h="15840"/>
          <w:pgMar w:header="0" w:footer="1000" w:top="1500" w:bottom="1200" w:left="1580" w:right="1580"/>
        </w:sectPr>
      </w:pPr>
    </w:p>
    <w:p>
      <w:pPr>
        <w:pStyle w:val="ListParagraph"/>
        <w:numPr>
          <w:ilvl w:val="0"/>
          <w:numId w:val="19"/>
        </w:numPr>
        <w:tabs>
          <w:tab w:pos="830" w:val="left" w:leader="none"/>
        </w:tabs>
        <w:spacing w:line="240" w:lineRule="auto" w:before="161" w:after="0"/>
        <w:ind w:left="122" w:right="118" w:firstLine="0"/>
        <w:jc w:val="both"/>
        <w:rPr>
          <w:sz w:val="20"/>
        </w:rPr>
      </w:pPr>
      <w:r>
        <w:rPr>
          <w:sz w:val="20"/>
        </w:rPr>
        <w:t>También</w:t>
      </w:r>
      <w:r>
        <w:rPr>
          <w:spacing w:val="-1"/>
          <w:sz w:val="20"/>
        </w:rPr>
        <w:t> </w:t>
      </w:r>
      <w:r>
        <w:rPr>
          <w:sz w:val="20"/>
        </w:rPr>
        <w:t>se</w:t>
      </w:r>
      <w:r>
        <w:rPr>
          <w:spacing w:val="-4"/>
          <w:sz w:val="20"/>
        </w:rPr>
        <w:t> </w:t>
      </w:r>
      <w:r>
        <w:rPr>
          <w:sz w:val="20"/>
        </w:rPr>
        <w:t>exponen</w:t>
      </w:r>
      <w:r>
        <w:rPr>
          <w:spacing w:val="-3"/>
          <w:sz w:val="20"/>
        </w:rPr>
        <w:t> </w:t>
      </w:r>
      <w:r>
        <w:rPr>
          <w:sz w:val="20"/>
        </w:rPr>
        <w:t>más</w:t>
      </w:r>
      <w:r>
        <w:rPr>
          <w:spacing w:val="-5"/>
          <w:sz w:val="20"/>
        </w:rPr>
        <w:t> </w:t>
      </w:r>
      <w:r>
        <w:rPr>
          <w:sz w:val="20"/>
        </w:rPr>
        <w:t>adelante</w:t>
      </w:r>
      <w:r>
        <w:rPr>
          <w:spacing w:val="-6"/>
          <w:sz w:val="20"/>
        </w:rPr>
        <w:t> </w:t>
      </w:r>
      <w:r>
        <w:rPr>
          <w:sz w:val="20"/>
        </w:rPr>
        <w:t>(</w:t>
      </w:r>
      <w:r>
        <w:rPr>
          <w:i/>
          <w:sz w:val="20"/>
        </w:rPr>
        <w:t>infra</w:t>
      </w:r>
      <w:r>
        <w:rPr>
          <w:i/>
          <w:spacing w:val="-4"/>
          <w:sz w:val="20"/>
        </w:rPr>
        <w:t> </w:t>
      </w:r>
      <w:r>
        <w:rPr>
          <w:sz w:val="20"/>
        </w:rPr>
        <w:t>párrs.</w:t>
      </w:r>
      <w:r>
        <w:rPr>
          <w:spacing w:val="-2"/>
          <w:sz w:val="20"/>
        </w:rPr>
        <w:t> </w:t>
      </w:r>
      <w:r>
        <w:rPr>
          <w:sz w:val="20"/>
        </w:rPr>
        <w:t>177,</w:t>
      </w:r>
      <w:r>
        <w:rPr>
          <w:spacing w:val="-5"/>
          <w:sz w:val="20"/>
        </w:rPr>
        <w:t> </w:t>
      </w:r>
      <w:r>
        <w:rPr>
          <w:sz w:val="20"/>
        </w:rPr>
        <w:t>178</w:t>
      </w:r>
      <w:r>
        <w:rPr>
          <w:spacing w:val="-2"/>
          <w:sz w:val="20"/>
        </w:rPr>
        <w:t> </w:t>
      </w:r>
      <w:r>
        <w:rPr>
          <w:sz w:val="20"/>
        </w:rPr>
        <w:t>y</w:t>
      </w:r>
      <w:r>
        <w:rPr>
          <w:spacing w:val="-5"/>
          <w:sz w:val="20"/>
        </w:rPr>
        <w:t> </w:t>
      </w:r>
      <w:r>
        <w:rPr>
          <w:sz w:val="20"/>
        </w:rPr>
        <w:t>180,</w:t>
      </w:r>
      <w:r>
        <w:rPr>
          <w:spacing w:val="-5"/>
          <w:sz w:val="20"/>
        </w:rPr>
        <w:t> </w:t>
      </w:r>
      <w:r>
        <w:rPr>
          <w:sz w:val="20"/>
        </w:rPr>
        <w:t>y</w:t>
      </w:r>
      <w:r>
        <w:rPr>
          <w:spacing w:val="-2"/>
          <w:sz w:val="20"/>
        </w:rPr>
        <w:t> </w:t>
      </w:r>
      <w:r>
        <w:rPr>
          <w:sz w:val="20"/>
        </w:rPr>
        <w:t>notas</w:t>
      </w:r>
      <w:r>
        <w:rPr>
          <w:spacing w:val="-5"/>
          <w:sz w:val="20"/>
        </w:rPr>
        <w:t> </w:t>
      </w:r>
      <w:r>
        <w:rPr>
          <w:sz w:val="20"/>
        </w:rPr>
        <w:t>a</w:t>
      </w:r>
      <w:r>
        <w:rPr>
          <w:spacing w:val="-4"/>
          <w:sz w:val="20"/>
        </w:rPr>
        <w:t> </w:t>
      </w:r>
      <w:r>
        <w:rPr>
          <w:sz w:val="20"/>
        </w:rPr>
        <w:t>pie</w:t>
      </w:r>
      <w:r>
        <w:rPr>
          <w:spacing w:val="-6"/>
          <w:sz w:val="20"/>
        </w:rPr>
        <w:t> </w:t>
      </w:r>
      <w:r>
        <w:rPr>
          <w:sz w:val="20"/>
        </w:rPr>
        <w:t>de página 165 y 166) hechos y señalamientos relacionados con obras realizadas o proyectadas sobre el territorio, referidos a: a) la construcción de un puente internacional; b) la ruta nacional 86; c) la ruta provincial 54, y d) la exploración de hidrocarburos.</w:t>
      </w:r>
    </w:p>
    <w:p>
      <w:pPr>
        <w:pStyle w:val="BodyText"/>
        <w:spacing w:before="10"/>
        <w:rPr>
          <w:sz w:val="19"/>
        </w:rPr>
      </w:pPr>
    </w:p>
    <w:p>
      <w:pPr>
        <w:pStyle w:val="Heading4"/>
        <w:numPr>
          <w:ilvl w:val="1"/>
          <w:numId w:val="17"/>
        </w:numPr>
        <w:tabs>
          <w:tab w:pos="718" w:val="left" w:leader="none"/>
        </w:tabs>
        <w:spacing w:line="240" w:lineRule="auto" w:before="0" w:after="0"/>
        <w:ind w:left="717" w:right="0" w:hanging="312"/>
        <w:jc w:val="left"/>
        <w:rPr>
          <w:i/>
        </w:rPr>
      </w:pPr>
      <w:bookmarkStart w:name="_bookmark30" w:id="51"/>
      <w:bookmarkEnd w:id="51"/>
      <w:r>
        <w:rPr>
          <w:b w:val="0"/>
          <w:i w:val="0"/>
        </w:rPr>
      </w:r>
      <w:bookmarkStart w:name="_bookmark30" w:id="52"/>
      <w:bookmarkEnd w:id="52"/>
      <w:r>
        <w:rPr>
          <w:i/>
          <w:u w:val="thick"/>
        </w:rPr>
        <w:t>A</w:t>
      </w:r>
      <w:r>
        <w:rPr>
          <w:i/>
          <w:u w:val="thick"/>
        </w:rPr>
        <w:t>cciones administrativas y judiciales iniciadas en el</w:t>
      </w:r>
      <w:r>
        <w:rPr>
          <w:i/>
          <w:spacing w:val="-28"/>
          <w:u w:val="thick"/>
        </w:rPr>
        <w:t> </w:t>
      </w:r>
      <w:r>
        <w:rPr>
          <w:i/>
          <w:u w:val="thick"/>
        </w:rPr>
        <w:t>caso</w:t>
      </w:r>
    </w:p>
    <w:p>
      <w:pPr>
        <w:pStyle w:val="BodyText"/>
        <w:spacing w:before="11"/>
        <w:rPr>
          <w:b/>
          <w:i/>
          <w:sz w:val="11"/>
        </w:rPr>
      </w:pPr>
    </w:p>
    <w:p>
      <w:pPr>
        <w:pStyle w:val="ListParagraph"/>
        <w:numPr>
          <w:ilvl w:val="0"/>
          <w:numId w:val="19"/>
        </w:numPr>
        <w:tabs>
          <w:tab w:pos="830" w:val="left" w:leader="none"/>
        </w:tabs>
        <w:spacing w:line="240" w:lineRule="auto" w:before="99" w:after="0"/>
        <w:ind w:left="122" w:right="117" w:firstLine="0"/>
        <w:jc w:val="both"/>
        <w:rPr>
          <w:sz w:val="20"/>
        </w:rPr>
      </w:pPr>
      <w:r>
        <w:rPr>
          <w:sz w:val="20"/>
        </w:rPr>
        <w:t>Lhaka Honhat presentó acciones judiciales relacionadas con hechos del caso: a) el 11 de septiembre de 1995, una acción de amparo ante la Corte de Justicia de Salta (en adelante también “CJS”) solicitando la suspensión inmediata de las obras relativas al</w:t>
      </w:r>
      <w:r>
        <w:rPr>
          <w:spacing w:val="-5"/>
          <w:sz w:val="20"/>
        </w:rPr>
        <w:t> </w:t>
      </w:r>
      <w:r>
        <w:rPr>
          <w:sz w:val="20"/>
        </w:rPr>
        <w:t>puente</w:t>
      </w:r>
      <w:r>
        <w:rPr>
          <w:spacing w:val="-7"/>
          <w:sz w:val="20"/>
        </w:rPr>
        <w:t> </w:t>
      </w:r>
      <w:r>
        <w:rPr>
          <w:sz w:val="20"/>
        </w:rPr>
        <w:t>internacional</w:t>
      </w:r>
      <w:r>
        <w:rPr>
          <w:spacing w:val="-5"/>
          <w:sz w:val="20"/>
        </w:rPr>
        <w:t> </w:t>
      </w:r>
      <w:r>
        <w:rPr>
          <w:sz w:val="20"/>
        </w:rPr>
        <w:t>(</w:t>
      </w:r>
      <w:r>
        <w:rPr>
          <w:i/>
          <w:sz w:val="20"/>
        </w:rPr>
        <w:t>supra</w:t>
      </w:r>
      <w:r>
        <w:rPr>
          <w:i/>
          <w:spacing w:val="-5"/>
          <w:sz w:val="20"/>
        </w:rPr>
        <w:t> </w:t>
      </w:r>
      <w:r>
        <w:rPr>
          <w:sz w:val="20"/>
        </w:rPr>
        <w:t>párr.</w:t>
      </w:r>
      <w:r>
        <w:rPr>
          <w:spacing w:val="-6"/>
          <w:sz w:val="20"/>
        </w:rPr>
        <w:t> </w:t>
      </w:r>
      <w:r>
        <w:rPr>
          <w:sz w:val="20"/>
        </w:rPr>
        <w:t>87</w:t>
      </w:r>
      <w:r>
        <w:rPr>
          <w:spacing w:val="-2"/>
          <w:sz w:val="20"/>
        </w:rPr>
        <w:t> </w:t>
      </w:r>
      <w:r>
        <w:rPr>
          <w:sz w:val="20"/>
        </w:rPr>
        <w:t>e</w:t>
      </w:r>
      <w:r>
        <w:rPr>
          <w:spacing w:val="-7"/>
          <w:sz w:val="20"/>
        </w:rPr>
        <w:t> </w:t>
      </w:r>
      <w:r>
        <w:rPr>
          <w:i/>
          <w:sz w:val="20"/>
        </w:rPr>
        <w:t>infra</w:t>
      </w:r>
      <w:r>
        <w:rPr>
          <w:i/>
          <w:spacing w:val="-5"/>
          <w:sz w:val="20"/>
        </w:rPr>
        <w:t> </w:t>
      </w:r>
      <w:r>
        <w:rPr>
          <w:sz w:val="20"/>
        </w:rPr>
        <w:t>párr</w:t>
      </w:r>
      <w:r>
        <w:rPr>
          <w:spacing w:val="-7"/>
          <w:sz w:val="20"/>
        </w:rPr>
        <w:t> </w:t>
      </w:r>
      <w:r>
        <w:rPr>
          <w:sz w:val="20"/>
        </w:rPr>
        <w:t>180);</w:t>
      </w:r>
      <w:r>
        <w:rPr>
          <w:spacing w:val="-5"/>
          <w:sz w:val="20"/>
        </w:rPr>
        <w:t> </w:t>
      </w:r>
      <w:r>
        <w:rPr>
          <w:sz w:val="20"/>
        </w:rPr>
        <w:t>b)</w:t>
      </w:r>
      <w:r>
        <w:rPr>
          <w:spacing w:val="-4"/>
          <w:sz w:val="20"/>
        </w:rPr>
        <w:t> </w:t>
      </w:r>
      <w:r>
        <w:rPr>
          <w:sz w:val="20"/>
        </w:rPr>
        <w:t>el</w:t>
      </w:r>
      <w:r>
        <w:rPr>
          <w:spacing w:val="-5"/>
          <w:sz w:val="20"/>
        </w:rPr>
        <w:t> </w:t>
      </w:r>
      <w:r>
        <w:rPr>
          <w:sz w:val="20"/>
        </w:rPr>
        <w:t>8</w:t>
      </w:r>
      <w:r>
        <w:rPr>
          <w:spacing w:val="-5"/>
          <w:sz w:val="20"/>
        </w:rPr>
        <w:t> </w:t>
      </w:r>
      <w:r>
        <w:rPr>
          <w:sz w:val="20"/>
        </w:rPr>
        <w:t>de</w:t>
      </w:r>
      <w:r>
        <w:rPr>
          <w:spacing w:val="-7"/>
          <w:sz w:val="20"/>
        </w:rPr>
        <w:t> </w:t>
      </w:r>
      <w:r>
        <w:rPr>
          <w:sz w:val="20"/>
        </w:rPr>
        <w:t>marzo</w:t>
      </w:r>
      <w:r>
        <w:rPr>
          <w:spacing w:val="-7"/>
          <w:sz w:val="20"/>
        </w:rPr>
        <w:t> </w:t>
      </w:r>
      <w:r>
        <w:rPr>
          <w:sz w:val="20"/>
        </w:rPr>
        <w:t>de</w:t>
      </w:r>
      <w:r>
        <w:rPr>
          <w:spacing w:val="-7"/>
          <w:sz w:val="20"/>
        </w:rPr>
        <w:t> </w:t>
      </w:r>
      <w:r>
        <w:rPr>
          <w:sz w:val="20"/>
        </w:rPr>
        <w:t>2000,</w:t>
      </w:r>
      <w:r>
        <w:rPr>
          <w:spacing w:val="-6"/>
          <w:sz w:val="20"/>
        </w:rPr>
        <w:t> </w:t>
      </w:r>
      <w:r>
        <w:rPr>
          <w:sz w:val="20"/>
        </w:rPr>
        <w:t>una acción de amparo contra el Decreto 461/99 y la Resolución 423/99 (</w:t>
      </w:r>
      <w:r>
        <w:rPr>
          <w:i/>
          <w:sz w:val="20"/>
        </w:rPr>
        <w:t>supra </w:t>
      </w:r>
      <w:r>
        <w:rPr>
          <w:sz w:val="20"/>
        </w:rPr>
        <w:t>párr. 65), </w:t>
      </w:r>
      <w:r>
        <w:rPr>
          <w:spacing w:val="27"/>
          <w:sz w:val="20"/>
        </w:rPr>
        <w:t> </w:t>
      </w:r>
      <w:r>
        <w:rPr>
          <w:sz w:val="20"/>
        </w:rPr>
        <w:t>y</w:t>
      </w:r>
    </w:p>
    <w:p>
      <w:pPr>
        <w:pStyle w:val="BodyText"/>
        <w:ind w:left="122" w:right="117"/>
        <w:jc w:val="both"/>
      </w:pPr>
      <w:r>
        <w:rPr/>
        <w:t>c)</w:t>
      </w:r>
      <w:r>
        <w:rPr>
          <w:spacing w:val="-5"/>
        </w:rPr>
        <w:t> </w:t>
      </w:r>
      <w:r>
        <w:rPr/>
        <w:t>el</w:t>
      </w:r>
      <w:r>
        <w:rPr>
          <w:spacing w:val="-5"/>
        </w:rPr>
        <w:t> </w:t>
      </w:r>
      <w:r>
        <w:rPr/>
        <w:t>11</w:t>
      </w:r>
      <w:r>
        <w:rPr>
          <w:spacing w:val="-5"/>
        </w:rPr>
        <w:t> </w:t>
      </w:r>
      <w:r>
        <w:rPr/>
        <w:t>de</w:t>
      </w:r>
      <w:r>
        <w:rPr>
          <w:spacing w:val="-7"/>
        </w:rPr>
        <w:t> </w:t>
      </w:r>
      <w:r>
        <w:rPr/>
        <w:t>agosto</w:t>
      </w:r>
      <w:r>
        <w:rPr>
          <w:spacing w:val="-6"/>
        </w:rPr>
        <w:t> </w:t>
      </w:r>
      <w:r>
        <w:rPr/>
        <w:t>de</w:t>
      </w:r>
      <w:r>
        <w:rPr>
          <w:spacing w:val="-7"/>
        </w:rPr>
        <w:t> </w:t>
      </w:r>
      <w:r>
        <w:rPr/>
        <w:t>2005,</w:t>
      </w:r>
      <w:r>
        <w:rPr>
          <w:spacing w:val="-6"/>
        </w:rPr>
        <w:t> </w:t>
      </w:r>
      <w:r>
        <w:rPr/>
        <w:t>una</w:t>
      </w:r>
      <w:r>
        <w:rPr>
          <w:spacing w:val="-5"/>
        </w:rPr>
        <w:t> </w:t>
      </w:r>
      <w:r>
        <w:rPr/>
        <w:t>acción</w:t>
      </w:r>
      <w:r>
        <w:rPr>
          <w:spacing w:val="-5"/>
        </w:rPr>
        <w:t> </w:t>
      </w:r>
      <w:r>
        <w:rPr/>
        <w:t>declarativa</w:t>
      </w:r>
      <w:r>
        <w:rPr>
          <w:spacing w:val="-6"/>
        </w:rPr>
        <w:t> </w:t>
      </w:r>
      <w:r>
        <w:rPr/>
        <w:t>de</w:t>
      </w:r>
      <w:r>
        <w:rPr>
          <w:spacing w:val="-4"/>
        </w:rPr>
        <w:t> </w:t>
      </w:r>
      <w:r>
        <w:rPr/>
        <w:t>certeza</w:t>
      </w:r>
      <w:r>
        <w:rPr>
          <w:spacing w:val="-5"/>
        </w:rPr>
        <w:t> </w:t>
      </w:r>
      <w:r>
        <w:rPr/>
        <w:t>ante</w:t>
      </w:r>
      <w:r>
        <w:rPr>
          <w:spacing w:val="-7"/>
        </w:rPr>
        <w:t> </w:t>
      </w:r>
      <w:r>
        <w:rPr/>
        <w:t>la</w:t>
      </w:r>
      <w:r>
        <w:rPr>
          <w:spacing w:val="-5"/>
        </w:rPr>
        <w:t> </w:t>
      </w:r>
      <w:r>
        <w:rPr/>
        <w:t>Corte</w:t>
      </w:r>
      <w:r>
        <w:rPr>
          <w:spacing w:val="-7"/>
        </w:rPr>
        <w:t> </w:t>
      </w:r>
      <w:r>
        <w:rPr/>
        <w:t>Suprema</w:t>
      </w:r>
      <w:r>
        <w:rPr>
          <w:spacing w:val="-5"/>
        </w:rPr>
        <w:t> </w:t>
      </w:r>
      <w:r>
        <w:rPr/>
        <w:t>de Justicia de la Nación (en adelante también “CSJN”) en contra de la ley de referéndum (</w:t>
      </w:r>
      <w:r>
        <w:rPr>
          <w:i/>
        </w:rPr>
        <w:t>supra </w:t>
      </w:r>
      <w:r>
        <w:rPr/>
        <w:t>párr. 71). Las actuaciones señaladas se narran más adelante (</w:t>
      </w:r>
      <w:r>
        <w:rPr>
          <w:i/>
        </w:rPr>
        <w:t>infra </w:t>
      </w:r>
      <w:r>
        <w:rPr/>
        <w:t>párrs. 297, 300 y 303). Por otra parte, en 2017 Lhaka Honhat solicitó en sede administrativa su reconocimiento</w:t>
      </w:r>
      <w:r>
        <w:rPr>
          <w:spacing w:val="-10"/>
        </w:rPr>
        <w:t> </w:t>
      </w:r>
      <w:r>
        <w:rPr/>
        <w:t>como</w:t>
      </w:r>
      <w:r>
        <w:rPr>
          <w:spacing w:val="-7"/>
        </w:rPr>
        <w:t> </w:t>
      </w:r>
      <w:r>
        <w:rPr/>
        <w:t>organización</w:t>
      </w:r>
      <w:r>
        <w:rPr>
          <w:spacing w:val="-8"/>
        </w:rPr>
        <w:t> </w:t>
      </w:r>
      <w:r>
        <w:rPr/>
        <w:t>indígena</w:t>
      </w:r>
      <w:r>
        <w:rPr>
          <w:spacing w:val="-4"/>
        </w:rPr>
        <w:t> </w:t>
      </w:r>
      <w:r>
        <w:rPr/>
        <w:t>(</w:t>
      </w:r>
      <w:r>
        <w:rPr>
          <w:i/>
        </w:rPr>
        <w:t>infra</w:t>
      </w:r>
      <w:r>
        <w:rPr/>
        <w:t>,</w:t>
      </w:r>
      <w:r>
        <w:rPr>
          <w:spacing w:val="-9"/>
        </w:rPr>
        <w:t> </w:t>
      </w:r>
      <w:r>
        <w:rPr/>
        <w:t>nota</w:t>
      </w:r>
      <w:r>
        <w:rPr>
          <w:spacing w:val="-9"/>
        </w:rPr>
        <w:t> </w:t>
      </w:r>
      <w:r>
        <w:rPr/>
        <w:t>a</w:t>
      </w:r>
      <w:r>
        <w:rPr>
          <w:spacing w:val="-9"/>
        </w:rPr>
        <w:t> </w:t>
      </w:r>
      <w:r>
        <w:rPr/>
        <w:t>pie</w:t>
      </w:r>
      <w:r>
        <w:rPr>
          <w:spacing w:val="-10"/>
        </w:rPr>
        <w:t> </w:t>
      </w:r>
      <w:r>
        <w:rPr/>
        <w:t>de</w:t>
      </w:r>
      <w:r>
        <w:rPr>
          <w:spacing w:val="-10"/>
        </w:rPr>
        <w:t> </w:t>
      </w:r>
      <w:r>
        <w:rPr/>
        <w:t>página</w:t>
      </w:r>
      <w:r>
        <w:rPr>
          <w:spacing w:val="-9"/>
        </w:rPr>
        <w:t> </w:t>
      </w:r>
      <w:r>
        <w:rPr/>
        <w:t>148).</w:t>
      </w:r>
      <w:r>
        <w:rPr>
          <w:spacing w:val="-9"/>
        </w:rPr>
        <w:t> </w:t>
      </w:r>
      <w:r>
        <w:rPr/>
        <w:t>No</w:t>
      </w:r>
      <w:r>
        <w:rPr>
          <w:spacing w:val="-10"/>
        </w:rPr>
        <w:t> </w:t>
      </w:r>
      <w:r>
        <w:rPr/>
        <w:t>consta que esa solicitud fuera</w:t>
      </w:r>
      <w:r>
        <w:rPr>
          <w:spacing w:val="-10"/>
        </w:rPr>
        <w:t> </w:t>
      </w:r>
      <w:r>
        <w:rPr/>
        <w:t>resuelta.</w:t>
      </w:r>
    </w:p>
    <w:p>
      <w:pPr>
        <w:pStyle w:val="BodyText"/>
        <w:spacing w:before="11"/>
        <w:rPr>
          <w:sz w:val="19"/>
        </w:rPr>
      </w:pPr>
    </w:p>
    <w:p>
      <w:pPr>
        <w:pStyle w:val="Heading3"/>
        <w:spacing w:before="1"/>
        <w:ind w:left="4495" w:right="3780" w:hanging="1"/>
      </w:pPr>
      <w:bookmarkStart w:name="_bookmark31" w:id="53"/>
      <w:bookmarkEnd w:id="53"/>
      <w:r>
        <w:rPr>
          <w:b w:val="0"/>
        </w:rPr>
      </w:r>
      <w:r>
        <w:rPr/>
        <w:t>VII </w:t>
      </w:r>
      <w:bookmarkStart w:name="_bookmark32" w:id="54"/>
      <w:bookmarkEnd w:id="54"/>
      <w:r>
        <w:rPr/>
      </w:r>
      <w:r>
        <w:rPr>
          <w:spacing w:val="-1"/>
        </w:rPr>
        <w:t>FONDO</w:t>
      </w:r>
    </w:p>
    <w:p>
      <w:pPr>
        <w:pStyle w:val="BodyText"/>
        <w:spacing w:before="10"/>
        <w:rPr>
          <w:b/>
          <w:sz w:val="19"/>
        </w:rPr>
      </w:pPr>
    </w:p>
    <w:p>
      <w:pPr>
        <w:pStyle w:val="ListParagraph"/>
        <w:numPr>
          <w:ilvl w:val="0"/>
          <w:numId w:val="21"/>
        </w:numPr>
        <w:tabs>
          <w:tab w:pos="830" w:val="left" w:leader="none"/>
        </w:tabs>
        <w:spacing w:line="240" w:lineRule="auto" w:before="1" w:after="0"/>
        <w:ind w:left="122" w:right="123" w:firstLine="0"/>
        <w:jc w:val="both"/>
        <w:rPr>
          <w:sz w:val="20"/>
        </w:rPr>
      </w:pPr>
      <w:r>
        <w:rPr>
          <w:sz w:val="20"/>
        </w:rPr>
        <w:t>En el presente caso no está en debate que las comunidades indígenas hayan mantenido un vínculo ancestral con el territorio ni su derecho de propiedad sobre el mismo</w:t>
      </w:r>
      <w:r>
        <w:rPr>
          <w:position w:val="7"/>
          <w:sz w:val="13"/>
        </w:rPr>
        <w:t>88</w:t>
      </w:r>
      <w:r>
        <w:rPr>
          <w:sz w:val="20"/>
        </w:rPr>
        <w:t>, reconocido en distintos actos normativos internos. La controversia refiere a si la</w:t>
      </w:r>
      <w:r>
        <w:rPr>
          <w:spacing w:val="-8"/>
          <w:sz w:val="20"/>
        </w:rPr>
        <w:t> </w:t>
      </w:r>
      <w:r>
        <w:rPr>
          <w:sz w:val="20"/>
        </w:rPr>
        <w:t>conducta</w:t>
      </w:r>
      <w:r>
        <w:rPr>
          <w:spacing w:val="-5"/>
          <w:sz w:val="20"/>
        </w:rPr>
        <w:t> </w:t>
      </w:r>
      <w:r>
        <w:rPr>
          <w:sz w:val="20"/>
        </w:rPr>
        <w:t>estatal</w:t>
      </w:r>
      <w:r>
        <w:rPr>
          <w:spacing w:val="-7"/>
          <w:sz w:val="20"/>
        </w:rPr>
        <w:t> </w:t>
      </w:r>
      <w:r>
        <w:rPr>
          <w:sz w:val="20"/>
        </w:rPr>
        <w:t>ha</w:t>
      </w:r>
      <w:r>
        <w:rPr>
          <w:spacing w:val="-8"/>
          <w:sz w:val="20"/>
        </w:rPr>
        <w:t> </w:t>
      </w:r>
      <w:r>
        <w:rPr>
          <w:sz w:val="20"/>
        </w:rPr>
        <w:t>permitido</w:t>
      </w:r>
      <w:r>
        <w:rPr>
          <w:spacing w:val="-7"/>
          <w:sz w:val="20"/>
        </w:rPr>
        <w:t> </w:t>
      </w:r>
      <w:r>
        <w:rPr>
          <w:sz w:val="20"/>
        </w:rPr>
        <w:t>brindar</w:t>
      </w:r>
      <w:r>
        <w:rPr>
          <w:spacing w:val="-7"/>
          <w:sz w:val="20"/>
        </w:rPr>
        <w:t> </w:t>
      </w:r>
      <w:r>
        <w:rPr>
          <w:sz w:val="20"/>
        </w:rPr>
        <w:t>seguridad</w:t>
      </w:r>
      <w:r>
        <w:rPr>
          <w:spacing w:val="-7"/>
          <w:sz w:val="20"/>
        </w:rPr>
        <w:t> </w:t>
      </w:r>
      <w:r>
        <w:rPr>
          <w:sz w:val="20"/>
        </w:rPr>
        <w:t>jurídica</w:t>
      </w:r>
      <w:r>
        <w:rPr>
          <w:spacing w:val="-8"/>
          <w:sz w:val="20"/>
        </w:rPr>
        <w:t> </w:t>
      </w:r>
      <w:r>
        <w:rPr>
          <w:sz w:val="20"/>
        </w:rPr>
        <w:t>al</w:t>
      </w:r>
      <w:r>
        <w:rPr>
          <w:spacing w:val="-7"/>
          <w:sz w:val="20"/>
        </w:rPr>
        <w:t> </w:t>
      </w:r>
      <w:r>
        <w:rPr>
          <w:sz w:val="20"/>
        </w:rPr>
        <w:t>derecho</w:t>
      </w:r>
      <w:r>
        <w:rPr>
          <w:spacing w:val="-8"/>
          <w:sz w:val="20"/>
        </w:rPr>
        <w:t> </w:t>
      </w:r>
      <w:r>
        <w:rPr>
          <w:sz w:val="20"/>
        </w:rPr>
        <w:t>de</w:t>
      </w:r>
      <w:r>
        <w:rPr>
          <w:spacing w:val="-9"/>
          <w:sz w:val="20"/>
        </w:rPr>
        <w:t> </w:t>
      </w:r>
      <w:r>
        <w:rPr>
          <w:sz w:val="20"/>
        </w:rPr>
        <w:t>propiedad</w:t>
      </w:r>
      <w:r>
        <w:rPr>
          <w:spacing w:val="-7"/>
          <w:sz w:val="20"/>
        </w:rPr>
        <w:t> </w:t>
      </w:r>
      <w:r>
        <w:rPr>
          <w:sz w:val="20"/>
        </w:rPr>
        <w:t>y</w:t>
      </w:r>
      <w:r>
        <w:rPr>
          <w:spacing w:val="-6"/>
          <w:sz w:val="20"/>
        </w:rPr>
        <w:t> </w:t>
      </w:r>
      <w:r>
        <w:rPr>
          <w:sz w:val="20"/>
        </w:rPr>
        <w:t>su pleno ejercicio. Así, mientras Argentina ha indicado que ha obrado en forma diligente para</w:t>
      </w:r>
      <w:r>
        <w:rPr>
          <w:spacing w:val="-6"/>
          <w:sz w:val="20"/>
        </w:rPr>
        <w:t> </w:t>
      </w:r>
      <w:r>
        <w:rPr>
          <w:sz w:val="20"/>
        </w:rPr>
        <w:t>garantizarlo,</w:t>
      </w:r>
      <w:r>
        <w:rPr>
          <w:spacing w:val="-7"/>
          <w:sz w:val="20"/>
        </w:rPr>
        <w:t> </w:t>
      </w:r>
      <w:r>
        <w:rPr>
          <w:sz w:val="20"/>
        </w:rPr>
        <w:t>la</w:t>
      </w:r>
      <w:r>
        <w:rPr>
          <w:spacing w:val="-4"/>
          <w:sz w:val="20"/>
        </w:rPr>
        <w:t> </w:t>
      </w:r>
      <w:r>
        <w:rPr>
          <w:sz w:val="20"/>
        </w:rPr>
        <w:t>Comisión</w:t>
      </w:r>
      <w:r>
        <w:rPr>
          <w:spacing w:val="-7"/>
          <w:sz w:val="20"/>
        </w:rPr>
        <w:t> </w:t>
      </w:r>
      <w:r>
        <w:rPr>
          <w:sz w:val="20"/>
        </w:rPr>
        <w:t>y</w:t>
      </w:r>
      <w:r>
        <w:rPr>
          <w:spacing w:val="-7"/>
          <w:sz w:val="20"/>
        </w:rPr>
        <w:t> </w:t>
      </w:r>
      <w:r>
        <w:rPr>
          <w:sz w:val="20"/>
        </w:rPr>
        <w:t>los</w:t>
      </w:r>
      <w:r>
        <w:rPr>
          <w:spacing w:val="-5"/>
          <w:sz w:val="20"/>
        </w:rPr>
        <w:t> </w:t>
      </w:r>
      <w:r>
        <w:rPr>
          <w:sz w:val="20"/>
        </w:rPr>
        <w:t>representantes</w:t>
      </w:r>
      <w:r>
        <w:rPr>
          <w:spacing w:val="-7"/>
          <w:sz w:val="20"/>
        </w:rPr>
        <w:t> </w:t>
      </w:r>
      <w:r>
        <w:rPr>
          <w:sz w:val="20"/>
        </w:rPr>
        <w:t>sostienen</w:t>
      </w:r>
      <w:r>
        <w:rPr>
          <w:spacing w:val="-6"/>
          <w:sz w:val="20"/>
        </w:rPr>
        <w:t> </w:t>
      </w:r>
      <w:r>
        <w:rPr>
          <w:sz w:val="20"/>
        </w:rPr>
        <w:t>lo</w:t>
      </w:r>
      <w:r>
        <w:rPr>
          <w:spacing w:val="-8"/>
          <w:sz w:val="20"/>
        </w:rPr>
        <w:t> </w:t>
      </w:r>
      <w:r>
        <w:rPr>
          <w:sz w:val="20"/>
        </w:rPr>
        <w:t>contrario.</w:t>
      </w:r>
      <w:r>
        <w:rPr>
          <w:spacing w:val="2"/>
          <w:sz w:val="20"/>
        </w:rPr>
        <w:t> </w:t>
      </w:r>
      <w:r>
        <w:rPr>
          <w:sz w:val="20"/>
        </w:rPr>
        <w:t>Asimismo,</w:t>
      </w:r>
      <w:r>
        <w:rPr>
          <w:spacing w:val="-5"/>
          <w:sz w:val="20"/>
        </w:rPr>
        <w:t> </w:t>
      </w:r>
      <w:r>
        <w:rPr>
          <w:sz w:val="20"/>
        </w:rPr>
        <w:t>se ha señalado que actividades sobre el territorio han generado afectaciones al ambiente, a la alimentación y a la identidad cultural. En relación con esto, se han argüido violaciones</w:t>
      </w:r>
      <w:r>
        <w:rPr>
          <w:spacing w:val="-10"/>
          <w:sz w:val="20"/>
        </w:rPr>
        <w:t> </w:t>
      </w:r>
      <w:r>
        <w:rPr>
          <w:sz w:val="20"/>
        </w:rPr>
        <w:t>a</w:t>
      </w:r>
      <w:r>
        <w:rPr>
          <w:spacing w:val="-9"/>
          <w:sz w:val="20"/>
        </w:rPr>
        <w:t> </w:t>
      </w:r>
      <w:r>
        <w:rPr>
          <w:sz w:val="20"/>
        </w:rPr>
        <w:t>distintos</w:t>
      </w:r>
      <w:r>
        <w:rPr>
          <w:spacing w:val="-10"/>
          <w:sz w:val="20"/>
        </w:rPr>
        <w:t> </w:t>
      </w:r>
      <w:r>
        <w:rPr>
          <w:sz w:val="20"/>
        </w:rPr>
        <w:t>derechos</w:t>
      </w:r>
      <w:r>
        <w:rPr>
          <w:position w:val="7"/>
          <w:sz w:val="13"/>
        </w:rPr>
        <w:t>89</w:t>
      </w:r>
      <w:r>
        <w:rPr>
          <w:spacing w:val="12"/>
          <w:position w:val="7"/>
          <w:sz w:val="13"/>
        </w:rPr>
        <w:t> </w:t>
      </w:r>
      <w:r>
        <w:rPr>
          <w:sz w:val="20"/>
        </w:rPr>
        <w:t>y</w:t>
      </w:r>
      <w:r>
        <w:rPr>
          <w:spacing w:val="-10"/>
          <w:sz w:val="20"/>
        </w:rPr>
        <w:t> </w:t>
      </w:r>
      <w:r>
        <w:rPr>
          <w:sz w:val="20"/>
        </w:rPr>
        <w:t>diversas</w:t>
      </w:r>
      <w:r>
        <w:rPr>
          <w:spacing w:val="-9"/>
          <w:sz w:val="20"/>
        </w:rPr>
        <w:t> </w:t>
      </w:r>
      <w:r>
        <w:rPr>
          <w:sz w:val="20"/>
        </w:rPr>
        <w:t>situaciones</w:t>
      </w:r>
      <w:r>
        <w:rPr>
          <w:spacing w:val="-10"/>
          <w:sz w:val="20"/>
        </w:rPr>
        <w:t> </w:t>
      </w:r>
      <w:r>
        <w:rPr>
          <w:sz w:val="20"/>
        </w:rPr>
        <w:t>a</w:t>
      </w:r>
      <w:r>
        <w:rPr>
          <w:spacing w:val="-9"/>
          <w:sz w:val="20"/>
        </w:rPr>
        <w:t> </w:t>
      </w:r>
      <w:r>
        <w:rPr>
          <w:sz w:val="20"/>
        </w:rPr>
        <w:t>considerar,</w:t>
      </w:r>
      <w:r>
        <w:rPr>
          <w:spacing w:val="-10"/>
          <w:sz w:val="20"/>
        </w:rPr>
        <w:t> </w:t>
      </w:r>
      <w:r>
        <w:rPr>
          <w:sz w:val="20"/>
        </w:rPr>
        <w:t>inclusive</w:t>
      </w:r>
      <w:r>
        <w:rPr>
          <w:spacing w:val="-11"/>
          <w:sz w:val="20"/>
        </w:rPr>
        <w:t> </w:t>
      </w:r>
      <w:r>
        <w:rPr>
          <w:sz w:val="20"/>
        </w:rPr>
        <w:t>procesos judiciales.</w:t>
      </w:r>
    </w:p>
    <w:p>
      <w:pPr>
        <w:pStyle w:val="BodyText"/>
        <w:spacing w:before="10"/>
        <w:rPr>
          <w:sz w:val="19"/>
        </w:rPr>
      </w:pPr>
    </w:p>
    <w:p>
      <w:pPr>
        <w:pStyle w:val="ListParagraph"/>
        <w:numPr>
          <w:ilvl w:val="0"/>
          <w:numId w:val="21"/>
        </w:numPr>
        <w:tabs>
          <w:tab w:pos="830" w:val="left" w:leader="none"/>
        </w:tabs>
        <w:spacing w:line="240" w:lineRule="auto" w:before="1" w:after="0"/>
        <w:ind w:left="122" w:right="129" w:firstLine="0"/>
        <w:jc w:val="both"/>
        <w:rPr>
          <w:sz w:val="20"/>
        </w:rPr>
      </w:pPr>
      <w:r>
        <w:rPr>
          <w:sz w:val="20"/>
        </w:rPr>
        <w:t>Surge de los hechos ya narrados, y se señala también más adelante, que la conducta estatal ha implicado actos normativos, pero también diversas acciones y procedimientos</w:t>
      </w:r>
      <w:r>
        <w:rPr>
          <w:spacing w:val="50"/>
          <w:sz w:val="20"/>
        </w:rPr>
        <w:t> </w:t>
      </w:r>
      <w:r>
        <w:rPr>
          <w:sz w:val="20"/>
        </w:rPr>
        <w:t>tendientes</w:t>
      </w:r>
      <w:r>
        <w:rPr>
          <w:spacing w:val="50"/>
          <w:sz w:val="20"/>
        </w:rPr>
        <w:t> </w:t>
      </w:r>
      <w:r>
        <w:rPr>
          <w:sz w:val="20"/>
        </w:rPr>
        <w:t>a</w:t>
      </w:r>
      <w:r>
        <w:rPr>
          <w:spacing w:val="53"/>
          <w:sz w:val="20"/>
        </w:rPr>
        <w:t> </w:t>
      </w:r>
      <w:r>
        <w:rPr>
          <w:sz w:val="20"/>
        </w:rPr>
        <w:t>determinar</w:t>
      </w:r>
      <w:r>
        <w:rPr>
          <w:spacing w:val="50"/>
          <w:sz w:val="20"/>
        </w:rPr>
        <w:t> </w:t>
      </w:r>
      <w:r>
        <w:rPr>
          <w:sz w:val="20"/>
        </w:rPr>
        <w:t>la</w:t>
      </w:r>
      <w:r>
        <w:rPr>
          <w:spacing w:val="51"/>
          <w:sz w:val="20"/>
        </w:rPr>
        <w:t> </w:t>
      </w:r>
      <w:r>
        <w:rPr>
          <w:sz w:val="20"/>
        </w:rPr>
        <w:t>propiedad</w:t>
      </w:r>
      <w:r>
        <w:rPr>
          <w:spacing w:val="54"/>
          <w:sz w:val="20"/>
        </w:rPr>
        <w:t> </w:t>
      </w:r>
      <w:r>
        <w:rPr>
          <w:sz w:val="20"/>
        </w:rPr>
        <w:t>y</w:t>
      </w:r>
      <w:r>
        <w:rPr>
          <w:spacing w:val="50"/>
          <w:sz w:val="20"/>
        </w:rPr>
        <w:t> </w:t>
      </w:r>
      <w:r>
        <w:rPr>
          <w:sz w:val="20"/>
        </w:rPr>
        <w:t>la</w:t>
      </w:r>
      <w:r>
        <w:rPr>
          <w:spacing w:val="51"/>
          <w:sz w:val="20"/>
        </w:rPr>
        <w:t> </w:t>
      </w:r>
      <w:r>
        <w:rPr>
          <w:sz w:val="20"/>
        </w:rPr>
        <w:t>posible</w:t>
      </w:r>
      <w:r>
        <w:rPr>
          <w:spacing w:val="52"/>
          <w:sz w:val="20"/>
        </w:rPr>
        <w:t> </w:t>
      </w:r>
      <w:r>
        <w:rPr>
          <w:sz w:val="20"/>
        </w:rPr>
        <w:t>relocalización</w:t>
      </w:r>
      <w:r>
        <w:rPr>
          <w:spacing w:val="52"/>
          <w:sz w:val="20"/>
        </w:rPr>
        <w:t> </w:t>
      </w:r>
      <w:r>
        <w:rPr>
          <w:sz w:val="20"/>
        </w:rPr>
        <w:t>de</w:t>
      </w:r>
    </w:p>
    <w:p>
      <w:pPr>
        <w:pStyle w:val="BodyText"/>
        <w:spacing w:before="10"/>
        <w:rPr>
          <w:sz w:val="26"/>
        </w:rPr>
      </w:pPr>
      <w:r>
        <w:rPr/>
        <w:pict>
          <v:line style="position:absolute;mso-position-horizontal-relative:page;mso-position-vertical-relative:paragraph;z-index:1768;mso-wrap-distance-left:0;mso-wrap-distance-right:0" from="85.103996pt,18.668295pt" to="229.123996pt,18.668295pt" stroked="true" strokeweight=".72003pt" strokecolor="#000000">
            <v:stroke dashstyle="solid"/>
            <w10:wrap type="topAndBottom"/>
          </v:line>
        </w:pict>
      </w:r>
    </w:p>
    <w:p>
      <w:pPr>
        <w:tabs>
          <w:tab w:pos="829" w:val="left" w:leader="none"/>
        </w:tabs>
        <w:spacing w:before="71"/>
        <w:ind w:left="122" w:right="116" w:firstLine="0"/>
        <w:jc w:val="both"/>
        <w:rPr>
          <w:sz w:val="16"/>
        </w:rPr>
      </w:pPr>
      <w:r>
        <w:rPr>
          <w:position w:val="6"/>
          <w:sz w:val="10"/>
        </w:rPr>
        <w:t>88</w:t>
        <w:tab/>
      </w:r>
      <w:r>
        <w:rPr>
          <w:sz w:val="16"/>
        </w:rPr>
        <w:t>En</w:t>
      </w:r>
      <w:r>
        <w:rPr>
          <w:spacing w:val="19"/>
          <w:sz w:val="16"/>
        </w:rPr>
        <w:t> </w:t>
      </w:r>
      <w:r>
        <w:rPr>
          <w:sz w:val="16"/>
        </w:rPr>
        <w:t>el</w:t>
      </w:r>
      <w:r>
        <w:rPr>
          <w:spacing w:val="19"/>
          <w:sz w:val="16"/>
        </w:rPr>
        <w:t> </w:t>
      </w:r>
      <w:r>
        <w:rPr>
          <w:sz w:val="16"/>
        </w:rPr>
        <w:t>Informe</w:t>
      </w:r>
      <w:r>
        <w:rPr>
          <w:spacing w:val="18"/>
          <w:sz w:val="16"/>
        </w:rPr>
        <w:t> </w:t>
      </w:r>
      <w:r>
        <w:rPr>
          <w:sz w:val="16"/>
        </w:rPr>
        <w:t>de</w:t>
      </w:r>
      <w:r>
        <w:rPr>
          <w:spacing w:val="18"/>
          <w:sz w:val="16"/>
        </w:rPr>
        <w:t> </w:t>
      </w:r>
      <w:r>
        <w:rPr>
          <w:sz w:val="16"/>
        </w:rPr>
        <w:t>Fondo</w:t>
      </w:r>
      <w:r>
        <w:rPr>
          <w:spacing w:val="21"/>
          <w:sz w:val="16"/>
        </w:rPr>
        <w:t> </w:t>
      </w:r>
      <w:r>
        <w:rPr>
          <w:sz w:val="16"/>
        </w:rPr>
        <w:t>la</w:t>
      </w:r>
      <w:r>
        <w:rPr>
          <w:spacing w:val="17"/>
          <w:sz w:val="16"/>
        </w:rPr>
        <w:t> </w:t>
      </w:r>
      <w:r>
        <w:rPr>
          <w:sz w:val="16"/>
        </w:rPr>
        <w:t>Comisión</w:t>
      </w:r>
      <w:r>
        <w:rPr>
          <w:spacing w:val="17"/>
          <w:sz w:val="16"/>
        </w:rPr>
        <w:t> </w:t>
      </w:r>
      <w:r>
        <w:rPr>
          <w:sz w:val="16"/>
        </w:rPr>
        <w:t>expresó</w:t>
      </w:r>
      <w:r>
        <w:rPr>
          <w:spacing w:val="19"/>
          <w:sz w:val="16"/>
        </w:rPr>
        <w:t> </w:t>
      </w:r>
      <w:r>
        <w:rPr>
          <w:sz w:val="16"/>
        </w:rPr>
        <w:t>que</w:t>
      </w:r>
      <w:r>
        <w:rPr>
          <w:spacing w:val="18"/>
          <w:sz w:val="16"/>
        </w:rPr>
        <w:t> </w:t>
      </w:r>
      <w:r>
        <w:rPr>
          <w:sz w:val="16"/>
        </w:rPr>
        <w:t>tanto</w:t>
      </w:r>
      <w:r>
        <w:rPr>
          <w:spacing w:val="21"/>
          <w:sz w:val="16"/>
        </w:rPr>
        <w:t> </w:t>
      </w:r>
      <w:r>
        <w:rPr>
          <w:sz w:val="16"/>
        </w:rPr>
        <w:t>los</w:t>
      </w:r>
      <w:r>
        <w:rPr>
          <w:spacing w:val="21"/>
          <w:sz w:val="16"/>
        </w:rPr>
        <w:t> </w:t>
      </w:r>
      <w:r>
        <w:rPr>
          <w:sz w:val="16"/>
        </w:rPr>
        <w:t>entonces</w:t>
      </w:r>
      <w:r>
        <w:rPr>
          <w:spacing w:val="18"/>
          <w:sz w:val="16"/>
        </w:rPr>
        <w:t> </w:t>
      </w:r>
      <w:r>
        <w:rPr>
          <w:sz w:val="16"/>
        </w:rPr>
        <w:t>peticionarios</w:t>
      </w:r>
      <w:r>
        <w:rPr>
          <w:spacing w:val="18"/>
          <w:sz w:val="16"/>
        </w:rPr>
        <w:t> </w:t>
      </w:r>
      <w:r>
        <w:rPr>
          <w:sz w:val="16"/>
        </w:rPr>
        <w:t>como</w:t>
      </w:r>
      <w:r>
        <w:rPr>
          <w:spacing w:val="21"/>
          <w:sz w:val="16"/>
        </w:rPr>
        <w:t> </w:t>
      </w:r>
      <w:r>
        <w:rPr>
          <w:sz w:val="16"/>
        </w:rPr>
        <w:t>el</w:t>
      </w:r>
      <w:r>
        <w:rPr>
          <w:spacing w:val="17"/>
          <w:sz w:val="16"/>
        </w:rPr>
        <w:t> </w:t>
      </w:r>
      <w:r>
        <w:rPr>
          <w:sz w:val="16"/>
        </w:rPr>
        <w:t>Estado</w:t>
      </w:r>
      <w:r>
        <w:rPr>
          <w:w w:val="100"/>
          <w:sz w:val="16"/>
        </w:rPr>
        <w:t> </w:t>
      </w:r>
      <w:r>
        <w:rPr>
          <w:sz w:val="16"/>
        </w:rPr>
        <w:t>habían “reconocido expresamente que las comunidades indígenas que habitan los [l]otes […] 14 y 55 tienen derecho a la propiedad de su territorio ancestral”. En el mismo sentido, en el trámite del caso ante la Corte los representantes señalaron que el Estado “ha reconocido en innumerables ocasiones que las comunidades indígenas tienen derecho a sus territorios, por lo que este caso no versa sobre si tienen o no derechos a sus territorios sino [sobre] su efectiva materialización”. Argentina, por su parte, de modo similar, afirmó que “no existen dudas sobre el reconocimiento al derecho de propiedad de las comunidades o de su territorio de uso tradicional”.</w:t>
      </w:r>
    </w:p>
    <w:p>
      <w:pPr>
        <w:pStyle w:val="BodyText"/>
        <w:spacing w:before="1"/>
        <w:rPr>
          <w:sz w:val="16"/>
        </w:rPr>
      </w:pPr>
    </w:p>
    <w:p>
      <w:pPr>
        <w:tabs>
          <w:tab w:pos="829" w:val="left" w:leader="none"/>
        </w:tabs>
        <w:spacing w:before="1"/>
        <w:ind w:left="122" w:right="114" w:firstLine="0"/>
        <w:jc w:val="both"/>
        <w:rPr>
          <w:sz w:val="16"/>
        </w:rPr>
      </w:pPr>
      <w:r>
        <w:rPr>
          <w:position w:val="6"/>
          <w:sz w:val="10"/>
        </w:rPr>
        <w:t>89</w:t>
        <w:tab/>
      </w:r>
      <w:r>
        <w:rPr>
          <w:sz w:val="16"/>
        </w:rPr>
        <w:t>La Corte examinará todas las violaciones alegadas por la Comisión y los representantes.</w:t>
      </w:r>
      <w:r>
        <w:rPr>
          <w:spacing w:val="-29"/>
          <w:sz w:val="16"/>
        </w:rPr>
        <w:t> </w:t>
      </w:r>
      <w:r>
        <w:rPr>
          <w:sz w:val="16"/>
        </w:rPr>
        <w:t>Al</w:t>
      </w:r>
      <w:r>
        <w:rPr>
          <w:spacing w:val="-2"/>
          <w:sz w:val="16"/>
        </w:rPr>
        <w:t> </w:t>
      </w:r>
      <w:r>
        <w:rPr>
          <w:sz w:val="16"/>
        </w:rPr>
        <w:t>respecto,</w:t>
      </w:r>
      <w:r>
        <w:rPr>
          <w:w w:val="100"/>
          <w:sz w:val="16"/>
        </w:rPr>
        <w:t> </w:t>
      </w:r>
      <w:r>
        <w:rPr>
          <w:sz w:val="16"/>
        </w:rPr>
        <w:t>recuerda su jurisprudencia constante en cuanto a que “[l]as presuntas víctimas y sus representantes pueden invocar la violación de derechos distintos a los comprendidos en el Informe </w:t>
      </w:r>
      <w:r>
        <w:rPr>
          <w:spacing w:val="2"/>
          <w:sz w:val="16"/>
        </w:rPr>
        <w:t>de </w:t>
      </w:r>
      <w:r>
        <w:rPr>
          <w:sz w:val="16"/>
        </w:rPr>
        <w:t>Fondo, siempre y cuando se atengan a los hechos contenidos en dicho documento” (</w:t>
      </w:r>
      <w:r>
        <w:rPr>
          <w:i/>
          <w:sz w:val="16"/>
        </w:rPr>
        <w:t>cfr. Caso “Cinco Pensionistas” Vs. Perú. Fondo, </w:t>
      </w:r>
      <w:r>
        <w:rPr>
          <w:i/>
          <w:sz w:val="16"/>
        </w:rPr>
        <w:t>Reparaciones y Costas. </w:t>
      </w:r>
      <w:r>
        <w:rPr>
          <w:sz w:val="16"/>
        </w:rPr>
        <w:t>Sentencia de 28 de febrero de 2003. Serie C No. 98, párr. 155, y </w:t>
      </w:r>
      <w:r>
        <w:rPr>
          <w:i/>
          <w:sz w:val="16"/>
        </w:rPr>
        <w:t>Caso Girón y otro </w:t>
      </w:r>
      <w:r>
        <w:rPr>
          <w:i/>
          <w:sz w:val="16"/>
        </w:rPr>
        <w:t>Vs. Guatemala. Excepción Preliminar, Fondo, Reparaciones y Costas</w:t>
      </w:r>
      <w:r>
        <w:rPr>
          <w:sz w:val="16"/>
        </w:rPr>
        <w:t>. Sentencia de 15 de octubre de 2019. Serie C No. 390, párr.</w:t>
      </w:r>
      <w:r>
        <w:rPr>
          <w:spacing w:val="-11"/>
          <w:sz w:val="16"/>
        </w:rPr>
        <w:t> </w:t>
      </w:r>
      <w:r>
        <w:rPr>
          <w:sz w:val="16"/>
        </w:rPr>
        <w:t>94).</w:t>
      </w:r>
    </w:p>
    <w:p>
      <w:pPr>
        <w:spacing w:after="0"/>
        <w:jc w:val="both"/>
        <w:rPr>
          <w:sz w:val="16"/>
        </w:rPr>
        <w:sectPr>
          <w:pgSz w:w="12240" w:h="15840"/>
          <w:pgMar w:header="0" w:footer="1000" w:top="1500" w:bottom="1200" w:left="1580" w:right="1580"/>
        </w:sectPr>
      </w:pPr>
    </w:p>
    <w:p>
      <w:pPr>
        <w:pStyle w:val="BodyText"/>
        <w:spacing w:before="76"/>
        <w:ind w:left="122" w:right="125"/>
        <w:jc w:val="both"/>
      </w:pPr>
      <w:r>
        <w:rPr/>
        <w:t>pobladores</w:t>
      </w:r>
      <w:r>
        <w:rPr>
          <w:spacing w:val="-19"/>
        </w:rPr>
        <w:t> </w:t>
      </w:r>
      <w:r>
        <w:rPr/>
        <w:t>“criollos”,</w:t>
      </w:r>
      <w:r>
        <w:rPr>
          <w:spacing w:val="-19"/>
        </w:rPr>
        <w:t> </w:t>
      </w:r>
      <w:r>
        <w:rPr/>
        <w:t>es</w:t>
      </w:r>
      <w:r>
        <w:rPr>
          <w:spacing w:val="-19"/>
        </w:rPr>
        <w:t> </w:t>
      </w:r>
      <w:r>
        <w:rPr/>
        <w:t>decir,</w:t>
      </w:r>
      <w:r>
        <w:rPr>
          <w:spacing w:val="-21"/>
        </w:rPr>
        <w:t> </w:t>
      </w:r>
      <w:r>
        <w:rPr/>
        <w:t>no</w:t>
      </w:r>
      <w:r>
        <w:rPr>
          <w:spacing w:val="-20"/>
        </w:rPr>
        <w:t> </w:t>
      </w:r>
      <w:r>
        <w:rPr/>
        <w:t>indígenas,</w:t>
      </w:r>
      <w:r>
        <w:rPr>
          <w:spacing w:val="-22"/>
        </w:rPr>
        <w:t> </w:t>
      </w:r>
      <w:r>
        <w:rPr/>
        <w:t>que</w:t>
      </w:r>
      <w:r>
        <w:rPr>
          <w:spacing w:val="-20"/>
        </w:rPr>
        <w:t> </w:t>
      </w:r>
      <w:r>
        <w:rPr/>
        <w:t>habitan</w:t>
      </w:r>
      <w:r>
        <w:rPr>
          <w:spacing w:val="-20"/>
        </w:rPr>
        <w:t> </w:t>
      </w:r>
      <w:r>
        <w:rPr/>
        <w:t>la</w:t>
      </w:r>
      <w:r>
        <w:rPr>
          <w:spacing w:val="-21"/>
        </w:rPr>
        <w:t> </w:t>
      </w:r>
      <w:r>
        <w:rPr/>
        <w:t>zona,</w:t>
      </w:r>
      <w:r>
        <w:rPr>
          <w:spacing w:val="-21"/>
        </w:rPr>
        <w:t> </w:t>
      </w:r>
      <w:r>
        <w:rPr/>
        <w:t>y</w:t>
      </w:r>
      <w:r>
        <w:rPr>
          <w:spacing w:val="-21"/>
        </w:rPr>
        <w:t> </w:t>
      </w:r>
      <w:r>
        <w:rPr/>
        <w:t>concretar</w:t>
      </w:r>
      <w:r>
        <w:rPr>
          <w:spacing w:val="-19"/>
        </w:rPr>
        <w:t> </w:t>
      </w:r>
      <w:r>
        <w:rPr/>
        <w:t>su</w:t>
      </w:r>
      <w:r>
        <w:rPr>
          <w:spacing w:val="-20"/>
        </w:rPr>
        <w:t> </w:t>
      </w:r>
      <w:r>
        <w:rPr/>
        <w:t>traslado. A</w:t>
      </w:r>
      <w:r>
        <w:rPr>
          <w:spacing w:val="-17"/>
        </w:rPr>
        <w:t> </w:t>
      </w:r>
      <w:r>
        <w:rPr/>
        <w:t>su</w:t>
      </w:r>
      <w:r>
        <w:rPr>
          <w:spacing w:val="-17"/>
        </w:rPr>
        <w:t> </w:t>
      </w:r>
      <w:r>
        <w:rPr/>
        <w:t>vez,</w:t>
      </w:r>
      <w:r>
        <w:rPr>
          <w:spacing w:val="-16"/>
        </w:rPr>
        <w:t> </w:t>
      </w:r>
      <w:r>
        <w:rPr/>
        <w:t>han</w:t>
      </w:r>
      <w:r>
        <w:rPr>
          <w:spacing w:val="-16"/>
        </w:rPr>
        <w:t> </w:t>
      </w:r>
      <w:r>
        <w:rPr/>
        <w:t>existido</w:t>
      </w:r>
      <w:r>
        <w:rPr>
          <w:spacing w:val="-16"/>
        </w:rPr>
        <w:t> </w:t>
      </w:r>
      <w:r>
        <w:rPr/>
        <w:t>actuaciones</w:t>
      </w:r>
      <w:r>
        <w:rPr>
          <w:spacing w:val="-16"/>
        </w:rPr>
        <w:t> </w:t>
      </w:r>
      <w:r>
        <w:rPr/>
        <w:t>tendientes</w:t>
      </w:r>
      <w:r>
        <w:rPr>
          <w:spacing w:val="-16"/>
        </w:rPr>
        <w:t> </w:t>
      </w:r>
      <w:r>
        <w:rPr/>
        <w:t>a</w:t>
      </w:r>
      <w:r>
        <w:rPr>
          <w:spacing w:val="-15"/>
        </w:rPr>
        <w:t> </w:t>
      </w:r>
      <w:r>
        <w:rPr/>
        <w:t>controlar</w:t>
      </w:r>
      <w:r>
        <w:rPr>
          <w:spacing w:val="-19"/>
        </w:rPr>
        <w:t> </w:t>
      </w:r>
      <w:r>
        <w:rPr/>
        <w:t>actos</w:t>
      </w:r>
      <w:r>
        <w:rPr>
          <w:spacing w:val="-18"/>
        </w:rPr>
        <w:t> </w:t>
      </w:r>
      <w:r>
        <w:rPr/>
        <w:t>de</w:t>
      </w:r>
      <w:r>
        <w:rPr>
          <w:spacing w:val="-19"/>
        </w:rPr>
        <w:t> </w:t>
      </w:r>
      <w:r>
        <w:rPr/>
        <w:t>tala</w:t>
      </w:r>
      <w:r>
        <w:rPr>
          <w:spacing w:val="-17"/>
        </w:rPr>
        <w:t> </w:t>
      </w:r>
      <w:r>
        <w:rPr/>
        <w:t>ilegal</w:t>
      </w:r>
      <w:r>
        <w:rPr>
          <w:spacing w:val="-17"/>
        </w:rPr>
        <w:t> </w:t>
      </w:r>
      <w:r>
        <w:rPr/>
        <w:t>e</w:t>
      </w:r>
      <w:r>
        <w:rPr>
          <w:spacing w:val="-19"/>
        </w:rPr>
        <w:t> </w:t>
      </w:r>
      <w:r>
        <w:rPr/>
        <w:t>instalación de alambrados. Todo lo anterior se ha presentado a lo largo de varios </w:t>
      </w:r>
      <w:r>
        <w:rPr>
          <w:spacing w:val="2"/>
        </w:rPr>
        <w:t>años, </w:t>
      </w:r>
      <w:r>
        <w:rPr/>
        <w:t>en una extensión muy amplia de tierra, habitada por una población numerosa, conformada por criollos y múltiples comunidades indígenas pertenecientes a diversos pueblos, cuyo número, además, es variable. La actuación estatal respecto a tales circunstancias ha requerido la intervención de diversas entidades gubernamentales, provinciales y nacionales, así como la asignación de personal y de recursos presupuestarios. La Corte advierte y tiene en cuenta estas circunstancias y la importante complejidad que representan.</w:t>
      </w:r>
    </w:p>
    <w:p>
      <w:pPr>
        <w:pStyle w:val="BodyText"/>
        <w:spacing w:before="10"/>
        <w:rPr>
          <w:sz w:val="19"/>
        </w:rPr>
      </w:pPr>
    </w:p>
    <w:p>
      <w:pPr>
        <w:pStyle w:val="ListParagraph"/>
        <w:numPr>
          <w:ilvl w:val="0"/>
          <w:numId w:val="21"/>
        </w:numPr>
        <w:tabs>
          <w:tab w:pos="830" w:val="left" w:leader="none"/>
        </w:tabs>
        <w:spacing w:line="240" w:lineRule="auto" w:before="0" w:after="0"/>
        <w:ind w:left="122" w:right="121" w:firstLine="0"/>
        <w:jc w:val="both"/>
        <w:rPr>
          <w:sz w:val="20"/>
        </w:rPr>
      </w:pPr>
      <w:r>
        <w:rPr>
          <w:sz w:val="20"/>
        </w:rPr>
        <w:t>La Corte efectuará su examen del siguiente modo: 1) en primer término, se referirá al derecho de propiedad comunitaria, analizando también otros derechos que, conforme se ha aducido, han presentado relación con la propiedad en el caso: </w:t>
      </w:r>
      <w:r>
        <w:rPr>
          <w:spacing w:val="3"/>
          <w:sz w:val="20"/>
        </w:rPr>
        <w:t>a.- </w:t>
      </w:r>
      <w:r>
        <w:rPr>
          <w:sz w:val="20"/>
        </w:rPr>
        <w:t>expondrá algunas consideraciones generales sobre la propiedad comunitaria indígena y luego</w:t>
      </w:r>
      <w:r>
        <w:rPr>
          <w:spacing w:val="-16"/>
          <w:sz w:val="20"/>
        </w:rPr>
        <w:t> </w:t>
      </w:r>
      <w:r>
        <w:rPr>
          <w:sz w:val="20"/>
        </w:rPr>
        <w:t>dará</w:t>
      </w:r>
      <w:r>
        <w:rPr>
          <w:spacing w:val="-12"/>
          <w:sz w:val="20"/>
        </w:rPr>
        <w:t> </w:t>
      </w:r>
      <w:r>
        <w:rPr>
          <w:sz w:val="20"/>
        </w:rPr>
        <w:t>cuenta</w:t>
      </w:r>
      <w:r>
        <w:rPr>
          <w:spacing w:val="-15"/>
          <w:sz w:val="20"/>
        </w:rPr>
        <w:t> </w:t>
      </w:r>
      <w:r>
        <w:rPr>
          <w:sz w:val="20"/>
        </w:rPr>
        <w:t>de</w:t>
      </w:r>
      <w:r>
        <w:rPr>
          <w:spacing w:val="-16"/>
          <w:sz w:val="20"/>
        </w:rPr>
        <w:t> </w:t>
      </w:r>
      <w:r>
        <w:rPr>
          <w:sz w:val="20"/>
        </w:rPr>
        <w:t>los</w:t>
      </w:r>
      <w:r>
        <w:rPr>
          <w:spacing w:val="-14"/>
          <w:sz w:val="20"/>
        </w:rPr>
        <w:t> </w:t>
      </w:r>
      <w:r>
        <w:rPr>
          <w:sz w:val="20"/>
        </w:rPr>
        <w:t>argumentos</w:t>
      </w:r>
      <w:r>
        <w:rPr>
          <w:spacing w:val="-14"/>
          <w:sz w:val="20"/>
        </w:rPr>
        <w:t> </w:t>
      </w:r>
      <w:r>
        <w:rPr>
          <w:sz w:val="20"/>
        </w:rPr>
        <w:t>respectivos</w:t>
      </w:r>
      <w:r>
        <w:rPr>
          <w:spacing w:val="-14"/>
          <w:sz w:val="20"/>
        </w:rPr>
        <w:t> </w:t>
      </w:r>
      <w:r>
        <w:rPr>
          <w:sz w:val="20"/>
        </w:rPr>
        <w:t>de</w:t>
      </w:r>
      <w:r>
        <w:rPr>
          <w:spacing w:val="-14"/>
          <w:sz w:val="20"/>
        </w:rPr>
        <w:t> </w:t>
      </w:r>
      <w:r>
        <w:rPr>
          <w:sz w:val="20"/>
        </w:rPr>
        <w:t>la</w:t>
      </w:r>
      <w:r>
        <w:rPr>
          <w:spacing w:val="-15"/>
          <w:sz w:val="20"/>
        </w:rPr>
        <w:t> </w:t>
      </w:r>
      <w:r>
        <w:rPr>
          <w:sz w:val="20"/>
        </w:rPr>
        <w:t>Comisión</w:t>
      </w:r>
      <w:r>
        <w:rPr>
          <w:spacing w:val="-14"/>
          <w:sz w:val="20"/>
        </w:rPr>
        <w:t> </w:t>
      </w:r>
      <w:r>
        <w:rPr>
          <w:sz w:val="20"/>
        </w:rPr>
        <w:t>y</w:t>
      </w:r>
      <w:r>
        <w:rPr>
          <w:spacing w:val="-13"/>
          <w:sz w:val="20"/>
        </w:rPr>
        <w:t> </w:t>
      </w:r>
      <w:r>
        <w:rPr>
          <w:sz w:val="20"/>
        </w:rPr>
        <w:t>la</w:t>
      </w:r>
      <w:r>
        <w:rPr>
          <w:spacing w:val="-15"/>
          <w:sz w:val="20"/>
        </w:rPr>
        <w:t> </w:t>
      </w:r>
      <w:r>
        <w:rPr>
          <w:sz w:val="20"/>
        </w:rPr>
        <w:t>partes</w:t>
      </w:r>
      <w:r>
        <w:rPr>
          <w:spacing w:val="-14"/>
          <w:sz w:val="20"/>
        </w:rPr>
        <w:t> </w:t>
      </w:r>
      <w:r>
        <w:rPr>
          <w:sz w:val="20"/>
        </w:rPr>
        <w:t>y</w:t>
      </w:r>
      <w:r>
        <w:rPr>
          <w:spacing w:val="-15"/>
          <w:sz w:val="20"/>
        </w:rPr>
        <w:t> </w:t>
      </w:r>
      <w:r>
        <w:rPr>
          <w:sz w:val="20"/>
        </w:rPr>
        <w:t>del</w:t>
      </w:r>
      <w:r>
        <w:rPr>
          <w:spacing w:val="-15"/>
          <w:sz w:val="20"/>
        </w:rPr>
        <w:t> </w:t>
      </w:r>
      <w:r>
        <w:rPr>
          <w:sz w:val="20"/>
        </w:rPr>
        <w:t>análisis del Tribunal sobre: b.- el reconocimiento y determinación de la propiedad, y c.- proyectos y obras ejecutadas sobre el territorio reclamado. Más adelante, abordará: 2) los alegatos sobre violaciones a los derechos de circulación y de residencia, al medio ambiente sano, a la alimentación y a la identidad cultural, considerando también el derecho</w:t>
      </w:r>
      <w:r>
        <w:rPr>
          <w:spacing w:val="-14"/>
          <w:sz w:val="20"/>
        </w:rPr>
        <w:t> </w:t>
      </w:r>
      <w:r>
        <w:rPr>
          <w:sz w:val="20"/>
        </w:rPr>
        <w:t>al</w:t>
      </w:r>
      <w:r>
        <w:rPr>
          <w:spacing w:val="-12"/>
          <w:sz w:val="20"/>
        </w:rPr>
        <w:t> </w:t>
      </w:r>
      <w:r>
        <w:rPr>
          <w:sz w:val="20"/>
        </w:rPr>
        <w:t>agua,</w:t>
      </w:r>
      <w:r>
        <w:rPr>
          <w:spacing w:val="-13"/>
          <w:sz w:val="20"/>
        </w:rPr>
        <w:t> </w:t>
      </w:r>
      <w:r>
        <w:rPr>
          <w:sz w:val="20"/>
        </w:rPr>
        <w:t>y</w:t>
      </w:r>
      <w:r>
        <w:rPr>
          <w:spacing w:val="-13"/>
          <w:sz w:val="20"/>
        </w:rPr>
        <w:t> </w:t>
      </w:r>
      <w:r>
        <w:rPr>
          <w:sz w:val="20"/>
        </w:rPr>
        <w:t>3)</w:t>
      </w:r>
      <w:r>
        <w:rPr>
          <w:spacing w:val="-12"/>
          <w:sz w:val="20"/>
        </w:rPr>
        <w:t> </w:t>
      </w:r>
      <w:r>
        <w:rPr>
          <w:sz w:val="20"/>
        </w:rPr>
        <w:t>las</w:t>
      </w:r>
      <w:r>
        <w:rPr>
          <w:spacing w:val="-13"/>
          <w:sz w:val="20"/>
        </w:rPr>
        <w:t> </w:t>
      </w:r>
      <w:r>
        <w:rPr>
          <w:sz w:val="20"/>
        </w:rPr>
        <w:t>aducidas</w:t>
      </w:r>
      <w:r>
        <w:rPr>
          <w:spacing w:val="-13"/>
          <w:sz w:val="20"/>
        </w:rPr>
        <w:t> </w:t>
      </w:r>
      <w:r>
        <w:rPr>
          <w:sz w:val="20"/>
        </w:rPr>
        <w:t>vulneraciones</w:t>
      </w:r>
      <w:r>
        <w:rPr>
          <w:spacing w:val="-13"/>
          <w:sz w:val="20"/>
        </w:rPr>
        <w:t> </w:t>
      </w:r>
      <w:r>
        <w:rPr>
          <w:sz w:val="20"/>
        </w:rPr>
        <w:t>a</w:t>
      </w:r>
      <w:r>
        <w:rPr>
          <w:spacing w:val="-12"/>
          <w:sz w:val="20"/>
        </w:rPr>
        <w:t> </w:t>
      </w:r>
      <w:r>
        <w:rPr>
          <w:sz w:val="20"/>
        </w:rPr>
        <w:t>los</w:t>
      </w:r>
      <w:r>
        <w:rPr>
          <w:spacing w:val="-13"/>
          <w:sz w:val="20"/>
        </w:rPr>
        <w:t> </w:t>
      </w:r>
      <w:r>
        <w:rPr>
          <w:sz w:val="20"/>
        </w:rPr>
        <w:t>derechos</w:t>
      </w:r>
      <w:r>
        <w:rPr>
          <w:spacing w:val="-13"/>
          <w:sz w:val="20"/>
        </w:rPr>
        <w:t> </w:t>
      </w:r>
      <w:r>
        <w:rPr>
          <w:sz w:val="20"/>
        </w:rPr>
        <w:t>a</w:t>
      </w:r>
      <w:r>
        <w:rPr>
          <w:spacing w:val="-12"/>
          <w:sz w:val="20"/>
        </w:rPr>
        <w:t> </w:t>
      </w:r>
      <w:r>
        <w:rPr>
          <w:sz w:val="20"/>
        </w:rPr>
        <w:t>las</w:t>
      </w:r>
      <w:r>
        <w:rPr>
          <w:spacing w:val="-11"/>
          <w:sz w:val="20"/>
        </w:rPr>
        <w:t> </w:t>
      </w:r>
      <w:r>
        <w:rPr>
          <w:sz w:val="20"/>
        </w:rPr>
        <w:t>garantías</w:t>
      </w:r>
      <w:r>
        <w:rPr>
          <w:spacing w:val="-13"/>
          <w:sz w:val="20"/>
        </w:rPr>
        <w:t> </w:t>
      </w:r>
      <w:r>
        <w:rPr>
          <w:sz w:val="20"/>
        </w:rPr>
        <w:t>judiciales y a la protección judicial en relación con acciones judiciales iniciadas en el</w:t>
      </w:r>
      <w:r>
        <w:rPr>
          <w:spacing w:val="-32"/>
          <w:sz w:val="20"/>
        </w:rPr>
        <w:t> </w:t>
      </w:r>
      <w:r>
        <w:rPr>
          <w:sz w:val="20"/>
        </w:rPr>
        <w:t>caso.</w:t>
      </w:r>
    </w:p>
    <w:p>
      <w:pPr>
        <w:pStyle w:val="BodyText"/>
        <w:rPr>
          <w:sz w:val="22"/>
        </w:rPr>
      </w:pPr>
    </w:p>
    <w:p>
      <w:pPr>
        <w:pStyle w:val="Heading3"/>
        <w:ind w:right="312"/>
      </w:pPr>
      <w:bookmarkStart w:name="_bookmark33" w:id="55"/>
      <w:bookmarkEnd w:id="55"/>
      <w:r>
        <w:rPr>
          <w:b w:val="0"/>
        </w:rPr>
      </w:r>
      <w:r>
        <w:rPr/>
        <w:t>VII.1</w:t>
      </w:r>
    </w:p>
    <w:p>
      <w:pPr>
        <w:spacing w:before="1"/>
        <w:ind w:left="312" w:right="311" w:firstLine="0"/>
        <w:jc w:val="center"/>
        <w:rPr>
          <w:sz w:val="13"/>
        </w:rPr>
      </w:pPr>
      <w:bookmarkStart w:name="_bookmark34" w:id="56"/>
      <w:bookmarkEnd w:id="56"/>
      <w:r>
        <w:rPr/>
      </w:r>
      <w:r>
        <w:rPr>
          <w:b/>
          <w:sz w:val="20"/>
        </w:rPr>
        <w:t>DERECHO DE PROPIEDAD COMUNITARIA INDÍGENA</w:t>
      </w:r>
      <w:r>
        <w:rPr>
          <w:position w:val="7"/>
          <w:sz w:val="13"/>
        </w:rPr>
        <w:t>90</w:t>
      </w:r>
    </w:p>
    <w:p>
      <w:pPr>
        <w:pStyle w:val="BodyText"/>
        <w:spacing w:before="10"/>
        <w:rPr>
          <w:sz w:val="19"/>
        </w:rPr>
      </w:pPr>
    </w:p>
    <w:p>
      <w:pPr>
        <w:pStyle w:val="Heading4"/>
        <w:numPr>
          <w:ilvl w:val="1"/>
          <w:numId w:val="21"/>
        </w:numPr>
        <w:tabs>
          <w:tab w:pos="830" w:val="left" w:leader="none"/>
        </w:tabs>
        <w:spacing w:line="240" w:lineRule="auto" w:before="0" w:after="0"/>
        <w:ind w:left="830" w:right="0" w:hanging="425"/>
        <w:jc w:val="left"/>
        <w:rPr>
          <w:i/>
        </w:rPr>
      </w:pPr>
      <w:bookmarkStart w:name="_bookmark35" w:id="57"/>
      <w:bookmarkEnd w:id="57"/>
      <w:r>
        <w:rPr>
          <w:b w:val="0"/>
          <w:i w:val="0"/>
        </w:rPr>
      </w:r>
      <w:bookmarkStart w:name="_bookmark35" w:id="58"/>
      <w:bookmarkEnd w:id="58"/>
      <w:r>
        <w:rPr>
          <w:i/>
          <w:u w:val="thick"/>
        </w:rPr>
        <w:t>Con</w:t>
      </w:r>
      <w:r>
        <w:rPr>
          <w:i/>
          <w:u w:val="thick"/>
        </w:rPr>
        <w:t>sideraciones generales sobre la propiedad</w:t>
      </w:r>
      <w:r>
        <w:rPr>
          <w:i/>
          <w:spacing w:val="-29"/>
          <w:u w:val="thick"/>
        </w:rPr>
        <w:t> </w:t>
      </w:r>
      <w:r>
        <w:rPr>
          <w:i/>
          <w:u w:val="thick"/>
        </w:rPr>
        <w:t>comunitaria</w:t>
      </w:r>
    </w:p>
    <w:p>
      <w:pPr>
        <w:pStyle w:val="BodyText"/>
        <w:spacing w:before="10"/>
        <w:rPr>
          <w:b/>
          <w:i/>
          <w:sz w:val="11"/>
        </w:rPr>
      </w:pPr>
    </w:p>
    <w:p>
      <w:pPr>
        <w:pStyle w:val="ListParagraph"/>
        <w:numPr>
          <w:ilvl w:val="0"/>
          <w:numId w:val="21"/>
        </w:numPr>
        <w:tabs>
          <w:tab w:pos="830" w:val="left" w:leader="none"/>
        </w:tabs>
        <w:spacing w:line="240" w:lineRule="auto" w:before="100" w:after="0"/>
        <w:ind w:left="122" w:right="123" w:hanging="12"/>
        <w:jc w:val="both"/>
        <w:rPr>
          <w:sz w:val="20"/>
        </w:rPr>
      </w:pPr>
      <w:r>
        <w:rPr>
          <w:sz w:val="20"/>
        </w:rPr>
        <w:t>La</w:t>
      </w:r>
      <w:r>
        <w:rPr>
          <w:spacing w:val="-14"/>
          <w:sz w:val="20"/>
        </w:rPr>
        <w:t> </w:t>
      </w:r>
      <w:r>
        <w:rPr>
          <w:sz w:val="20"/>
        </w:rPr>
        <w:t>Corte</w:t>
      </w:r>
      <w:r>
        <w:rPr>
          <w:spacing w:val="-15"/>
          <w:sz w:val="20"/>
        </w:rPr>
        <w:t> </w:t>
      </w:r>
      <w:r>
        <w:rPr>
          <w:sz w:val="20"/>
        </w:rPr>
        <w:t>se</w:t>
      </w:r>
      <w:r>
        <w:rPr>
          <w:spacing w:val="-13"/>
          <w:sz w:val="20"/>
        </w:rPr>
        <w:t> </w:t>
      </w:r>
      <w:r>
        <w:rPr>
          <w:sz w:val="20"/>
        </w:rPr>
        <w:t>referirá</w:t>
      </w:r>
      <w:r>
        <w:rPr>
          <w:spacing w:val="-13"/>
          <w:sz w:val="20"/>
        </w:rPr>
        <w:t> </w:t>
      </w:r>
      <w:r>
        <w:rPr>
          <w:sz w:val="20"/>
        </w:rPr>
        <w:t>a</w:t>
      </w:r>
      <w:r>
        <w:rPr>
          <w:spacing w:val="-13"/>
          <w:sz w:val="20"/>
        </w:rPr>
        <w:t> </w:t>
      </w:r>
      <w:r>
        <w:rPr>
          <w:sz w:val="20"/>
        </w:rPr>
        <w:t>diversos</w:t>
      </w:r>
      <w:r>
        <w:rPr>
          <w:spacing w:val="-14"/>
          <w:sz w:val="20"/>
        </w:rPr>
        <w:t> </w:t>
      </w:r>
      <w:r>
        <w:rPr>
          <w:sz w:val="20"/>
        </w:rPr>
        <w:t>aspectos</w:t>
      </w:r>
      <w:r>
        <w:rPr>
          <w:spacing w:val="-12"/>
          <w:sz w:val="20"/>
        </w:rPr>
        <w:t> </w:t>
      </w:r>
      <w:r>
        <w:rPr>
          <w:sz w:val="20"/>
        </w:rPr>
        <w:t>relacionados</w:t>
      </w:r>
      <w:r>
        <w:rPr>
          <w:spacing w:val="-12"/>
          <w:sz w:val="20"/>
        </w:rPr>
        <w:t> </w:t>
      </w:r>
      <w:r>
        <w:rPr>
          <w:sz w:val="20"/>
        </w:rPr>
        <w:t>con</w:t>
      </w:r>
      <w:r>
        <w:rPr>
          <w:spacing w:val="-10"/>
          <w:sz w:val="20"/>
        </w:rPr>
        <w:t> </w:t>
      </w:r>
      <w:r>
        <w:rPr>
          <w:sz w:val="20"/>
        </w:rPr>
        <w:t>el</w:t>
      </w:r>
      <w:r>
        <w:rPr>
          <w:spacing w:val="-14"/>
          <w:sz w:val="20"/>
        </w:rPr>
        <w:t> </w:t>
      </w:r>
      <w:r>
        <w:rPr>
          <w:sz w:val="20"/>
        </w:rPr>
        <w:t>derecho</w:t>
      </w:r>
      <w:r>
        <w:rPr>
          <w:spacing w:val="-15"/>
          <w:sz w:val="20"/>
        </w:rPr>
        <w:t> </w:t>
      </w:r>
      <w:r>
        <w:rPr>
          <w:sz w:val="20"/>
        </w:rPr>
        <w:t>de</w:t>
      </w:r>
      <w:r>
        <w:rPr>
          <w:spacing w:val="-13"/>
          <w:sz w:val="20"/>
        </w:rPr>
        <w:t> </w:t>
      </w:r>
      <w:r>
        <w:rPr>
          <w:sz w:val="20"/>
        </w:rPr>
        <w:t>propiedad comunitaria o comunal. Por eso, considera útil dejar sentadas algunas consideraciones generales</w:t>
      </w:r>
      <w:r>
        <w:rPr>
          <w:spacing w:val="-11"/>
          <w:sz w:val="20"/>
        </w:rPr>
        <w:t> </w:t>
      </w:r>
      <w:r>
        <w:rPr>
          <w:sz w:val="20"/>
        </w:rPr>
        <w:t>sobre</w:t>
      </w:r>
      <w:r>
        <w:rPr>
          <w:spacing w:val="-12"/>
          <w:sz w:val="20"/>
        </w:rPr>
        <w:t> </w:t>
      </w:r>
      <w:r>
        <w:rPr>
          <w:sz w:val="20"/>
        </w:rPr>
        <w:t>dicho</w:t>
      </w:r>
      <w:r>
        <w:rPr>
          <w:spacing w:val="-9"/>
          <w:sz w:val="20"/>
        </w:rPr>
        <w:t> </w:t>
      </w:r>
      <w:r>
        <w:rPr>
          <w:sz w:val="20"/>
        </w:rPr>
        <w:t>derecho.</w:t>
      </w:r>
      <w:r>
        <w:rPr>
          <w:spacing w:val="-7"/>
          <w:sz w:val="20"/>
        </w:rPr>
        <w:t> </w:t>
      </w:r>
      <w:r>
        <w:rPr>
          <w:sz w:val="20"/>
        </w:rPr>
        <w:t>Para</w:t>
      </w:r>
      <w:r>
        <w:rPr>
          <w:spacing w:val="-8"/>
          <w:sz w:val="20"/>
        </w:rPr>
        <w:t> </w:t>
      </w:r>
      <w:r>
        <w:rPr>
          <w:sz w:val="20"/>
        </w:rPr>
        <w:t>ello,</w:t>
      </w:r>
      <w:r>
        <w:rPr>
          <w:spacing w:val="-11"/>
          <w:sz w:val="20"/>
        </w:rPr>
        <w:t> </w:t>
      </w:r>
      <w:r>
        <w:rPr>
          <w:sz w:val="20"/>
        </w:rPr>
        <w:t>dará</w:t>
      </w:r>
      <w:r>
        <w:rPr>
          <w:spacing w:val="-8"/>
          <w:sz w:val="20"/>
        </w:rPr>
        <w:t> </w:t>
      </w:r>
      <w:r>
        <w:rPr>
          <w:sz w:val="20"/>
        </w:rPr>
        <w:t>cuenta</w:t>
      </w:r>
      <w:r>
        <w:rPr>
          <w:spacing w:val="-10"/>
          <w:sz w:val="20"/>
        </w:rPr>
        <w:t> </w:t>
      </w:r>
      <w:r>
        <w:rPr>
          <w:sz w:val="20"/>
        </w:rPr>
        <w:t>de</w:t>
      </w:r>
      <w:r>
        <w:rPr>
          <w:spacing w:val="-12"/>
          <w:sz w:val="20"/>
        </w:rPr>
        <w:t> </w:t>
      </w:r>
      <w:r>
        <w:rPr>
          <w:sz w:val="20"/>
        </w:rPr>
        <w:t>algunos</w:t>
      </w:r>
      <w:r>
        <w:rPr>
          <w:spacing w:val="-11"/>
          <w:sz w:val="20"/>
        </w:rPr>
        <w:t> </w:t>
      </w:r>
      <w:r>
        <w:rPr>
          <w:sz w:val="20"/>
        </w:rPr>
        <w:t>aspectos</w:t>
      </w:r>
      <w:r>
        <w:rPr>
          <w:spacing w:val="-9"/>
          <w:sz w:val="20"/>
        </w:rPr>
        <w:t> </w:t>
      </w:r>
      <w:r>
        <w:rPr>
          <w:sz w:val="20"/>
        </w:rPr>
        <w:t>en</w:t>
      </w:r>
      <w:r>
        <w:rPr>
          <w:spacing w:val="-9"/>
          <w:sz w:val="20"/>
        </w:rPr>
        <w:t> </w:t>
      </w:r>
      <w:r>
        <w:rPr>
          <w:sz w:val="20"/>
        </w:rPr>
        <w:t>los</w:t>
      </w:r>
      <w:r>
        <w:rPr>
          <w:spacing w:val="-11"/>
          <w:sz w:val="20"/>
        </w:rPr>
        <w:t> </w:t>
      </w:r>
      <w:r>
        <w:rPr>
          <w:sz w:val="20"/>
        </w:rPr>
        <w:t>que</w:t>
      </w:r>
      <w:r>
        <w:rPr>
          <w:spacing w:val="-12"/>
          <w:sz w:val="20"/>
        </w:rPr>
        <w:t> </w:t>
      </w:r>
      <w:r>
        <w:rPr>
          <w:sz w:val="20"/>
        </w:rPr>
        <w:t>se ha ido desarrollando su</w:t>
      </w:r>
      <w:r>
        <w:rPr>
          <w:spacing w:val="-18"/>
          <w:sz w:val="20"/>
        </w:rPr>
        <w:t> </w:t>
      </w:r>
      <w:r>
        <w:rPr>
          <w:sz w:val="20"/>
        </w:rPr>
        <w:t>jurisprudencia.</w:t>
      </w:r>
    </w:p>
    <w:p>
      <w:pPr>
        <w:pStyle w:val="BodyText"/>
        <w:spacing w:before="10"/>
        <w:rPr>
          <w:sz w:val="19"/>
        </w:rPr>
      </w:pPr>
    </w:p>
    <w:p>
      <w:pPr>
        <w:pStyle w:val="ListParagraph"/>
        <w:numPr>
          <w:ilvl w:val="0"/>
          <w:numId w:val="21"/>
        </w:numPr>
        <w:tabs>
          <w:tab w:pos="830" w:val="left" w:leader="none"/>
        </w:tabs>
        <w:spacing w:line="240" w:lineRule="auto" w:before="1" w:after="0"/>
        <w:ind w:left="122" w:right="122" w:firstLine="0"/>
        <w:jc w:val="both"/>
        <w:rPr>
          <w:sz w:val="20"/>
        </w:rPr>
      </w:pPr>
      <w:r>
        <w:rPr>
          <w:sz w:val="20"/>
        </w:rPr>
        <w:t>La Corte se ha referido al contenido del derecho de propiedad comunitaria indígena</w:t>
      </w:r>
      <w:r>
        <w:rPr>
          <w:spacing w:val="-21"/>
          <w:sz w:val="20"/>
        </w:rPr>
        <w:t> </w:t>
      </w:r>
      <w:r>
        <w:rPr>
          <w:sz w:val="20"/>
        </w:rPr>
        <w:t>y</w:t>
      </w:r>
      <w:r>
        <w:rPr>
          <w:spacing w:val="-21"/>
          <w:sz w:val="20"/>
        </w:rPr>
        <w:t> </w:t>
      </w:r>
      <w:r>
        <w:rPr>
          <w:sz w:val="20"/>
        </w:rPr>
        <w:t>sus</w:t>
      </w:r>
      <w:r>
        <w:rPr>
          <w:spacing w:val="-19"/>
          <w:sz w:val="20"/>
        </w:rPr>
        <w:t> </w:t>
      </w:r>
      <w:r>
        <w:rPr>
          <w:sz w:val="20"/>
        </w:rPr>
        <w:t>implicancias.</w:t>
      </w:r>
      <w:r>
        <w:rPr>
          <w:spacing w:val="-22"/>
          <w:sz w:val="20"/>
        </w:rPr>
        <w:t> </w:t>
      </w:r>
      <w:r>
        <w:rPr>
          <w:sz w:val="20"/>
        </w:rPr>
        <w:t>Así,</w:t>
      </w:r>
      <w:r>
        <w:rPr>
          <w:spacing w:val="-19"/>
          <w:sz w:val="20"/>
        </w:rPr>
        <w:t> </w:t>
      </w:r>
      <w:r>
        <w:rPr>
          <w:sz w:val="20"/>
        </w:rPr>
        <w:t>en</w:t>
      </w:r>
      <w:r>
        <w:rPr>
          <w:spacing w:val="-20"/>
          <w:sz w:val="20"/>
        </w:rPr>
        <w:t> </w:t>
      </w:r>
      <w:r>
        <w:rPr>
          <w:sz w:val="20"/>
        </w:rPr>
        <w:t>2001,</w:t>
      </w:r>
      <w:r>
        <w:rPr>
          <w:spacing w:val="-19"/>
          <w:sz w:val="20"/>
        </w:rPr>
        <w:t> </w:t>
      </w:r>
      <w:r>
        <w:rPr>
          <w:sz w:val="20"/>
        </w:rPr>
        <w:t>respecto</w:t>
      </w:r>
      <w:r>
        <w:rPr>
          <w:spacing w:val="-22"/>
          <w:sz w:val="20"/>
        </w:rPr>
        <w:t> </w:t>
      </w:r>
      <w:r>
        <w:rPr>
          <w:sz w:val="20"/>
        </w:rPr>
        <w:t>del</w:t>
      </w:r>
      <w:r>
        <w:rPr>
          <w:spacing w:val="-18"/>
          <w:sz w:val="20"/>
        </w:rPr>
        <w:t> </w:t>
      </w:r>
      <w:r>
        <w:rPr>
          <w:sz w:val="20"/>
        </w:rPr>
        <w:t>caso</w:t>
      </w:r>
      <w:r>
        <w:rPr>
          <w:spacing w:val="-14"/>
          <w:sz w:val="20"/>
        </w:rPr>
        <w:t> </w:t>
      </w:r>
      <w:r>
        <w:rPr>
          <w:i/>
          <w:sz w:val="20"/>
        </w:rPr>
        <w:t>Comunidad</w:t>
      </w:r>
      <w:r>
        <w:rPr>
          <w:i/>
          <w:spacing w:val="-18"/>
          <w:sz w:val="20"/>
        </w:rPr>
        <w:t> </w:t>
      </w:r>
      <w:r>
        <w:rPr>
          <w:i/>
          <w:sz w:val="20"/>
        </w:rPr>
        <w:t>Mayagna</w:t>
      </w:r>
      <w:r>
        <w:rPr>
          <w:i/>
          <w:spacing w:val="-21"/>
          <w:sz w:val="20"/>
        </w:rPr>
        <w:t> </w:t>
      </w:r>
      <w:r>
        <w:rPr>
          <w:i/>
          <w:sz w:val="20"/>
        </w:rPr>
        <w:t>(Sumo) </w:t>
      </w:r>
      <w:r>
        <w:rPr>
          <w:i/>
          <w:sz w:val="20"/>
        </w:rPr>
        <w:t>Awas</w:t>
      </w:r>
      <w:r>
        <w:rPr>
          <w:i/>
          <w:spacing w:val="36"/>
          <w:sz w:val="20"/>
        </w:rPr>
        <w:t> </w:t>
      </w:r>
      <w:r>
        <w:rPr>
          <w:i/>
          <w:sz w:val="20"/>
        </w:rPr>
        <w:t>Tingni</w:t>
      </w:r>
      <w:r>
        <w:rPr>
          <w:i/>
          <w:spacing w:val="36"/>
          <w:sz w:val="20"/>
        </w:rPr>
        <w:t> </w:t>
      </w:r>
      <w:r>
        <w:rPr>
          <w:i/>
          <w:sz w:val="20"/>
        </w:rPr>
        <w:t>Vs.</w:t>
      </w:r>
      <w:r>
        <w:rPr>
          <w:i/>
          <w:spacing w:val="38"/>
          <w:sz w:val="20"/>
        </w:rPr>
        <w:t> </w:t>
      </w:r>
      <w:r>
        <w:rPr>
          <w:i/>
          <w:sz w:val="20"/>
        </w:rPr>
        <w:t>Nicaragua,</w:t>
      </w:r>
      <w:r>
        <w:rPr>
          <w:i/>
          <w:spacing w:val="37"/>
          <w:sz w:val="20"/>
        </w:rPr>
        <w:t> </w:t>
      </w:r>
      <w:r>
        <w:rPr>
          <w:sz w:val="20"/>
        </w:rPr>
        <w:t>tomando</w:t>
      </w:r>
      <w:r>
        <w:rPr>
          <w:spacing w:val="37"/>
          <w:sz w:val="20"/>
        </w:rPr>
        <w:t> </w:t>
      </w:r>
      <w:r>
        <w:rPr>
          <w:sz w:val="20"/>
        </w:rPr>
        <w:t>en</w:t>
      </w:r>
      <w:r>
        <w:rPr>
          <w:spacing w:val="37"/>
          <w:sz w:val="20"/>
        </w:rPr>
        <w:t> </w:t>
      </w:r>
      <w:r>
        <w:rPr>
          <w:sz w:val="20"/>
        </w:rPr>
        <w:t>cuenta</w:t>
      </w:r>
      <w:r>
        <w:rPr>
          <w:spacing w:val="37"/>
          <w:sz w:val="20"/>
        </w:rPr>
        <w:t> </w:t>
      </w:r>
      <w:r>
        <w:rPr>
          <w:sz w:val="20"/>
        </w:rPr>
        <w:t>diversas</w:t>
      </w:r>
      <w:r>
        <w:rPr>
          <w:spacing w:val="38"/>
          <w:sz w:val="20"/>
        </w:rPr>
        <w:t> </w:t>
      </w:r>
      <w:r>
        <w:rPr>
          <w:sz w:val="20"/>
        </w:rPr>
        <w:t>pautas</w:t>
      </w:r>
      <w:r>
        <w:rPr>
          <w:spacing w:val="36"/>
          <w:sz w:val="20"/>
        </w:rPr>
        <w:t> </w:t>
      </w:r>
      <w:r>
        <w:rPr>
          <w:sz w:val="20"/>
        </w:rPr>
        <w:t>de</w:t>
      </w:r>
      <w:r>
        <w:rPr>
          <w:spacing w:val="37"/>
          <w:sz w:val="20"/>
        </w:rPr>
        <w:t> </w:t>
      </w:r>
      <w:r>
        <w:rPr>
          <w:sz w:val="20"/>
        </w:rPr>
        <w:t>interpretación</w:t>
      </w:r>
      <w:r>
        <w:rPr>
          <w:position w:val="7"/>
          <w:sz w:val="13"/>
        </w:rPr>
        <w:t>91</w:t>
      </w:r>
      <w:r>
        <w:rPr>
          <w:sz w:val="20"/>
        </w:rPr>
        <w:t>,</w:t>
      </w:r>
    </w:p>
    <w:p>
      <w:pPr>
        <w:pStyle w:val="BodyText"/>
        <w:spacing w:before="2"/>
        <w:rPr>
          <w:sz w:val="15"/>
        </w:rPr>
      </w:pPr>
      <w:r>
        <w:rPr/>
        <w:pict>
          <v:line style="position:absolute;mso-position-horizontal-relative:page;mso-position-vertical-relative:paragraph;z-index:1792;mso-wrap-distance-left:0;mso-wrap-distance-right:0" from="85.103996pt,11.584097pt" to="229.123996pt,11.584097pt" stroked="true" strokeweight=".71997pt" strokecolor="#000000">
            <v:stroke dashstyle="solid"/>
            <w10:wrap type="topAndBottom"/>
          </v:line>
        </w:pict>
      </w:r>
    </w:p>
    <w:p>
      <w:pPr>
        <w:tabs>
          <w:tab w:pos="829" w:val="left" w:leader="none"/>
        </w:tabs>
        <w:spacing w:before="71"/>
        <w:ind w:left="122" w:right="113" w:firstLine="0"/>
        <w:jc w:val="both"/>
        <w:rPr>
          <w:sz w:val="16"/>
        </w:rPr>
      </w:pPr>
      <w:r>
        <w:rPr>
          <w:position w:val="6"/>
          <w:sz w:val="10"/>
        </w:rPr>
        <w:t>90</w:t>
        <w:tab/>
      </w:r>
      <w:r>
        <w:rPr>
          <w:sz w:val="16"/>
        </w:rPr>
        <w:t>Artículo</w:t>
      </w:r>
      <w:r>
        <w:rPr>
          <w:spacing w:val="-4"/>
          <w:sz w:val="16"/>
        </w:rPr>
        <w:t> </w:t>
      </w:r>
      <w:r>
        <w:rPr>
          <w:sz w:val="16"/>
        </w:rPr>
        <w:t>21</w:t>
      </w:r>
      <w:r>
        <w:rPr>
          <w:spacing w:val="-4"/>
          <w:sz w:val="16"/>
        </w:rPr>
        <w:t> </w:t>
      </w:r>
      <w:r>
        <w:rPr>
          <w:sz w:val="16"/>
        </w:rPr>
        <w:t>de</w:t>
      </w:r>
      <w:r>
        <w:rPr>
          <w:spacing w:val="-5"/>
          <w:sz w:val="16"/>
        </w:rPr>
        <w:t> </w:t>
      </w:r>
      <w:r>
        <w:rPr>
          <w:sz w:val="16"/>
        </w:rPr>
        <w:t>la</w:t>
      </w:r>
      <w:r>
        <w:rPr>
          <w:spacing w:val="-3"/>
          <w:sz w:val="16"/>
        </w:rPr>
        <w:t> </w:t>
      </w:r>
      <w:r>
        <w:rPr>
          <w:sz w:val="16"/>
        </w:rPr>
        <w:t>Convención.</w:t>
      </w:r>
      <w:r>
        <w:rPr>
          <w:spacing w:val="-6"/>
          <w:sz w:val="16"/>
        </w:rPr>
        <w:t> </w:t>
      </w:r>
      <w:r>
        <w:rPr>
          <w:sz w:val="16"/>
        </w:rPr>
        <w:t>En</w:t>
      </w:r>
      <w:r>
        <w:rPr>
          <w:spacing w:val="-4"/>
          <w:sz w:val="16"/>
        </w:rPr>
        <w:t> </w:t>
      </w:r>
      <w:r>
        <w:rPr>
          <w:sz w:val="16"/>
        </w:rPr>
        <w:t>este</w:t>
      </w:r>
      <w:r>
        <w:rPr>
          <w:spacing w:val="-2"/>
          <w:sz w:val="16"/>
        </w:rPr>
        <w:t> </w:t>
      </w:r>
      <w:r>
        <w:rPr>
          <w:sz w:val="16"/>
        </w:rPr>
        <w:t>apartado</w:t>
      </w:r>
      <w:r>
        <w:rPr>
          <w:spacing w:val="-2"/>
          <w:sz w:val="16"/>
        </w:rPr>
        <w:t> </w:t>
      </w:r>
      <w:r>
        <w:rPr>
          <w:sz w:val="16"/>
        </w:rPr>
        <w:t>se</w:t>
      </w:r>
      <w:r>
        <w:rPr>
          <w:spacing w:val="-5"/>
          <w:sz w:val="16"/>
        </w:rPr>
        <w:t> </w:t>
      </w:r>
      <w:r>
        <w:rPr>
          <w:sz w:val="16"/>
        </w:rPr>
        <w:t>examina,</w:t>
      </w:r>
      <w:r>
        <w:rPr>
          <w:spacing w:val="-4"/>
          <w:sz w:val="16"/>
        </w:rPr>
        <w:t> </w:t>
      </w:r>
      <w:r>
        <w:rPr>
          <w:sz w:val="16"/>
        </w:rPr>
        <w:t>en</w:t>
      </w:r>
      <w:r>
        <w:rPr>
          <w:spacing w:val="-3"/>
          <w:sz w:val="16"/>
        </w:rPr>
        <w:t> </w:t>
      </w:r>
      <w:r>
        <w:rPr>
          <w:sz w:val="16"/>
        </w:rPr>
        <w:t>conjunto</w:t>
      </w:r>
      <w:r>
        <w:rPr>
          <w:spacing w:val="-4"/>
          <w:sz w:val="16"/>
        </w:rPr>
        <w:t> </w:t>
      </w:r>
      <w:r>
        <w:rPr>
          <w:sz w:val="16"/>
        </w:rPr>
        <w:t>con</w:t>
      </w:r>
      <w:r>
        <w:rPr>
          <w:spacing w:val="-6"/>
          <w:sz w:val="16"/>
        </w:rPr>
        <w:t> </w:t>
      </w:r>
      <w:r>
        <w:rPr>
          <w:sz w:val="16"/>
        </w:rPr>
        <w:t>el</w:t>
      </w:r>
      <w:r>
        <w:rPr>
          <w:spacing w:val="-3"/>
          <w:sz w:val="16"/>
        </w:rPr>
        <w:t> </w:t>
      </w:r>
      <w:r>
        <w:rPr>
          <w:sz w:val="16"/>
        </w:rPr>
        <w:t>derecho</w:t>
      </w:r>
      <w:r>
        <w:rPr>
          <w:spacing w:val="-4"/>
          <w:sz w:val="16"/>
        </w:rPr>
        <w:t> </w:t>
      </w:r>
      <w:r>
        <w:rPr>
          <w:sz w:val="16"/>
        </w:rPr>
        <w:t>de</w:t>
      </w:r>
      <w:r>
        <w:rPr>
          <w:spacing w:val="-5"/>
          <w:sz w:val="16"/>
        </w:rPr>
        <w:t> </w:t>
      </w:r>
      <w:r>
        <w:rPr>
          <w:sz w:val="16"/>
        </w:rPr>
        <w:t>propiedad</w:t>
      </w:r>
      <w:r>
        <w:rPr>
          <w:w w:val="100"/>
          <w:sz w:val="16"/>
        </w:rPr>
        <w:t> </w:t>
      </w:r>
      <w:r>
        <w:rPr>
          <w:sz w:val="16"/>
        </w:rPr>
        <w:t>comunitaria, el derecho al reconocimiento de la personalidad jurídica, el derecho a las garantías judiciales, la libertad de pensamiento y de expresión, la libertad de asociación, los derechos políticos y el derecho a la protección judicial, reconocidos, respectivamente, en los artículos 3, 8, 13, 16, 23 y 25 de la Convención. El examen de los derechos indicados se realiza en relación con los artículos 1.1 y 2 de la Convención, que establecen,</w:t>
      </w:r>
      <w:r>
        <w:rPr>
          <w:spacing w:val="-16"/>
          <w:sz w:val="16"/>
        </w:rPr>
        <w:t> </w:t>
      </w:r>
      <w:r>
        <w:rPr>
          <w:sz w:val="16"/>
        </w:rPr>
        <w:t>respectivamente,</w:t>
      </w:r>
      <w:r>
        <w:rPr>
          <w:spacing w:val="-14"/>
          <w:sz w:val="16"/>
        </w:rPr>
        <w:t> </w:t>
      </w:r>
      <w:r>
        <w:rPr>
          <w:sz w:val="16"/>
        </w:rPr>
        <w:t>las</w:t>
      </w:r>
      <w:r>
        <w:rPr>
          <w:spacing w:val="-13"/>
          <w:sz w:val="16"/>
        </w:rPr>
        <w:t> </w:t>
      </w:r>
      <w:r>
        <w:rPr>
          <w:sz w:val="16"/>
        </w:rPr>
        <w:t>obligaciones</w:t>
      </w:r>
      <w:r>
        <w:rPr>
          <w:spacing w:val="-15"/>
          <w:sz w:val="16"/>
        </w:rPr>
        <w:t> </w:t>
      </w:r>
      <w:r>
        <w:rPr>
          <w:sz w:val="16"/>
        </w:rPr>
        <w:t>de</w:t>
      </w:r>
      <w:r>
        <w:rPr>
          <w:spacing w:val="-15"/>
          <w:sz w:val="16"/>
        </w:rPr>
        <w:t> </w:t>
      </w:r>
      <w:r>
        <w:rPr>
          <w:sz w:val="16"/>
        </w:rPr>
        <w:t>respetar</w:t>
      </w:r>
      <w:r>
        <w:rPr>
          <w:spacing w:val="-14"/>
          <w:sz w:val="16"/>
        </w:rPr>
        <w:t> </w:t>
      </w:r>
      <w:r>
        <w:rPr>
          <w:sz w:val="16"/>
        </w:rPr>
        <w:t>y</w:t>
      </w:r>
      <w:r>
        <w:rPr>
          <w:spacing w:val="-15"/>
          <w:sz w:val="16"/>
        </w:rPr>
        <w:t> </w:t>
      </w:r>
      <w:r>
        <w:rPr>
          <w:sz w:val="16"/>
        </w:rPr>
        <w:t>garantizar</w:t>
      </w:r>
      <w:r>
        <w:rPr>
          <w:spacing w:val="-12"/>
          <w:sz w:val="16"/>
        </w:rPr>
        <w:t> </w:t>
      </w:r>
      <w:r>
        <w:rPr>
          <w:sz w:val="16"/>
        </w:rPr>
        <w:t>los</w:t>
      </w:r>
      <w:r>
        <w:rPr>
          <w:spacing w:val="-15"/>
          <w:sz w:val="16"/>
        </w:rPr>
        <w:t> </w:t>
      </w:r>
      <w:r>
        <w:rPr>
          <w:sz w:val="16"/>
        </w:rPr>
        <w:t>derechos,</w:t>
      </w:r>
      <w:r>
        <w:rPr>
          <w:spacing w:val="-16"/>
          <w:sz w:val="16"/>
        </w:rPr>
        <w:t> </w:t>
      </w:r>
      <w:r>
        <w:rPr>
          <w:sz w:val="16"/>
        </w:rPr>
        <w:t>y</w:t>
      </w:r>
      <w:r>
        <w:rPr>
          <w:spacing w:val="-15"/>
          <w:sz w:val="16"/>
        </w:rPr>
        <w:t> </w:t>
      </w:r>
      <w:r>
        <w:rPr>
          <w:sz w:val="16"/>
        </w:rPr>
        <w:t>de</w:t>
      </w:r>
      <w:r>
        <w:rPr>
          <w:spacing w:val="-15"/>
          <w:sz w:val="16"/>
        </w:rPr>
        <w:t> </w:t>
      </w:r>
      <w:r>
        <w:rPr>
          <w:sz w:val="16"/>
        </w:rPr>
        <w:t>adoptar</w:t>
      </w:r>
      <w:r>
        <w:rPr>
          <w:spacing w:val="-14"/>
          <w:sz w:val="16"/>
        </w:rPr>
        <w:t> </w:t>
      </w:r>
      <w:r>
        <w:rPr>
          <w:sz w:val="16"/>
        </w:rPr>
        <w:t>disposiciones de derecho</w:t>
      </w:r>
      <w:r>
        <w:rPr>
          <w:spacing w:val="-2"/>
          <w:sz w:val="16"/>
        </w:rPr>
        <w:t> </w:t>
      </w:r>
      <w:r>
        <w:rPr>
          <w:sz w:val="16"/>
        </w:rPr>
        <w:t>interno.</w:t>
      </w:r>
    </w:p>
    <w:p>
      <w:pPr>
        <w:pStyle w:val="BodyText"/>
        <w:rPr>
          <w:sz w:val="16"/>
        </w:rPr>
      </w:pPr>
    </w:p>
    <w:p>
      <w:pPr>
        <w:tabs>
          <w:tab w:pos="829" w:val="left" w:leader="none"/>
        </w:tabs>
        <w:spacing w:line="240" w:lineRule="auto" w:before="0"/>
        <w:ind w:left="122" w:right="113" w:firstLine="0"/>
        <w:jc w:val="both"/>
        <w:rPr>
          <w:sz w:val="16"/>
        </w:rPr>
      </w:pPr>
      <w:r>
        <w:rPr>
          <w:position w:val="6"/>
          <w:sz w:val="10"/>
        </w:rPr>
        <w:t>91</w:t>
        <w:tab/>
      </w:r>
      <w:r>
        <w:rPr>
          <w:sz w:val="16"/>
        </w:rPr>
        <w:t>En esa oportunidad, se aludió a “una interpretación evolutiva de los instrumentos internacionales</w:t>
      </w:r>
      <w:r>
        <w:rPr>
          <w:spacing w:val="2"/>
          <w:sz w:val="16"/>
        </w:rPr>
        <w:t> </w:t>
      </w:r>
      <w:r>
        <w:rPr>
          <w:sz w:val="16"/>
        </w:rPr>
        <w:t>de</w:t>
      </w:r>
      <w:r>
        <w:rPr>
          <w:w w:val="100"/>
          <w:sz w:val="16"/>
        </w:rPr>
        <w:t> </w:t>
      </w:r>
      <w:r>
        <w:rPr>
          <w:sz w:val="16"/>
        </w:rPr>
        <w:t>protección</w:t>
      </w:r>
      <w:r>
        <w:rPr>
          <w:spacing w:val="-16"/>
          <w:sz w:val="16"/>
        </w:rPr>
        <w:t> </w:t>
      </w:r>
      <w:r>
        <w:rPr>
          <w:sz w:val="16"/>
        </w:rPr>
        <w:t>de</w:t>
      </w:r>
      <w:r>
        <w:rPr>
          <w:spacing w:val="-15"/>
          <w:sz w:val="16"/>
        </w:rPr>
        <w:t> </w:t>
      </w:r>
      <w:r>
        <w:rPr>
          <w:sz w:val="16"/>
        </w:rPr>
        <w:t>derechos</w:t>
      </w:r>
      <w:r>
        <w:rPr>
          <w:spacing w:val="-13"/>
          <w:sz w:val="16"/>
        </w:rPr>
        <w:t> </w:t>
      </w:r>
      <w:r>
        <w:rPr>
          <w:sz w:val="16"/>
        </w:rPr>
        <w:t>humanos,</w:t>
      </w:r>
      <w:r>
        <w:rPr>
          <w:spacing w:val="-14"/>
          <w:sz w:val="16"/>
        </w:rPr>
        <w:t> </w:t>
      </w:r>
      <w:r>
        <w:rPr>
          <w:sz w:val="16"/>
        </w:rPr>
        <w:t>tomando</w:t>
      </w:r>
      <w:r>
        <w:rPr>
          <w:spacing w:val="-12"/>
          <w:sz w:val="16"/>
        </w:rPr>
        <w:t> </w:t>
      </w:r>
      <w:r>
        <w:rPr>
          <w:sz w:val="16"/>
        </w:rPr>
        <w:t>en</w:t>
      </w:r>
      <w:r>
        <w:rPr>
          <w:spacing w:val="-16"/>
          <w:sz w:val="16"/>
        </w:rPr>
        <w:t> </w:t>
      </w:r>
      <w:r>
        <w:rPr>
          <w:sz w:val="16"/>
        </w:rPr>
        <w:t>cuenta</w:t>
      </w:r>
      <w:r>
        <w:rPr>
          <w:spacing w:val="-14"/>
          <w:sz w:val="16"/>
        </w:rPr>
        <w:t> </w:t>
      </w:r>
      <w:r>
        <w:rPr>
          <w:sz w:val="16"/>
        </w:rPr>
        <w:t>las</w:t>
      </w:r>
      <w:r>
        <w:rPr>
          <w:spacing w:val="-13"/>
          <w:sz w:val="16"/>
        </w:rPr>
        <w:t> </w:t>
      </w:r>
      <w:r>
        <w:rPr>
          <w:sz w:val="16"/>
        </w:rPr>
        <w:t>normas</w:t>
      </w:r>
      <w:r>
        <w:rPr>
          <w:spacing w:val="-13"/>
          <w:sz w:val="16"/>
        </w:rPr>
        <w:t> </w:t>
      </w:r>
      <w:r>
        <w:rPr>
          <w:sz w:val="16"/>
        </w:rPr>
        <w:t>de</w:t>
      </w:r>
      <w:r>
        <w:rPr>
          <w:spacing w:val="-13"/>
          <w:sz w:val="16"/>
        </w:rPr>
        <w:t> </w:t>
      </w:r>
      <w:r>
        <w:rPr>
          <w:sz w:val="16"/>
        </w:rPr>
        <w:t>interpretación</w:t>
      </w:r>
      <w:r>
        <w:rPr>
          <w:spacing w:val="-14"/>
          <w:sz w:val="16"/>
        </w:rPr>
        <w:t> </w:t>
      </w:r>
      <w:r>
        <w:rPr>
          <w:sz w:val="16"/>
        </w:rPr>
        <w:t>aplicables</w:t>
      </w:r>
      <w:r>
        <w:rPr>
          <w:spacing w:val="-13"/>
          <w:sz w:val="16"/>
        </w:rPr>
        <w:t> </w:t>
      </w:r>
      <w:r>
        <w:rPr>
          <w:sz w:val="16"/>
        </w:rPr>
        <w:t>y</w:t>
      </w:r>
      <w:r>
        <w:rPr>
          <w:spacing w:val="-15"/>
          <w:sz w:val="16"/>
        </w:rPr>
        <w:t> </w:t>
      </w:r>
      <w:r>
        <w:rPr>
          <w:sz w:val="16"/>
        </w:rPr>
        <w:t>de</w:t>
      </w:r>
      <w:r>
        <w:rPr>
          <w:spacing w:val="-15"/>
          <w:sz w:val="16"/>
        </w:rPr>
        <w:t> </w:t>
      </w:r>
      <w:r>
        <w:rPr>
          <w:sz w:val="16"/>
        </w:rPr>
        <w:t>conformidad con</w:t>
      </w:r>
      <w:r>
        <w:rPr>
          <w:spacing w:val="-4"/>
          <w:sz w:val="16"/>
        </w:rPr>
        <w:t> </w:t>
      </w:r>
      <w:r>
        <w:rPr>
          <w:sz w:val="16"/>
        </w:rPr>
        <w:t>el</w:t>
      </w:r>
      <w:r>
        <w:rPr>
          <w:spacing w:val="-3"/>
          <w:sz w:val="16"/>
        </w:rPr>
        <w:t> </w:t>
      </w:r>
      <w:r>
        <w:rPr>
          <w:sz w:val="16"/>
        </w:rPr>
        <w:t>artículo</w:t>
      </w:r>
      <w:r>
        <w:rPr>
          <w:spacing w:val="-4"/>
          <w:sz w:val="16"/>
        </w:rPr>
        <w:t> </w:t>
      </w:r>
      <w:r>
        <w:rPr>
          <w:sz w:val="16"/>
        </w:rPr>
        <w:t>29.b</w:t>
      </w:r>
      <w:r>
        <w:rPr>
          <w:spacing w:val="-2"/>
          <w:sz w:val="16"/>
        </w:rPr>
        <w:t> </w:t>
      </w:r>
      <w:r>
        <w:rPr>
          <w:sz w:val="16"/>
        </w:rPr>
        <w:t>de</w:t>
      </w:r>
      <w:r>
        <w:rPr>
          <w:spacing w:val="-5"/>
          <w:sz w:val="16"/>
        </w:rPr>
        <w:t> </w:t>
      </w:r>
      <w:r>
        <w:rPr>
          <w:sz w:val="16"/>
        </w:rPr>
        <w:t>la</w:t>
      </w:r>
      <w:r>
        <w:rPr>
          <w:spacing w:val="-3"/>
          <w:sz w:val="16"/>
        </w:rPr>
        <w:t> </w:t>
      </w:r>
      <w:r>
        <w:rPr>
          <w:sz w:val="16"/>
        </w:rPr>
        <w:t>Convención</w:t>
      </w:r>
      <w:r>
        <w:rPr>
          <w:spacing w:val="-2"/>
          <w:sz w:val="16"/>
        </w:rPr>
        <w:t> </w:t>
      </w:r>
      <w:r>
        <w:rPr>
          <w:sz w:val="16"/>
        </w:rPr>
        <w:t>-</w:t>
      </w:r>
      <w:r>
        <w:rPr>
          <w:spacing w:val="-4"/>
          <w:sz w:val="16"/>
        </w:rPr>
        <w:t> </w:t>
      </w:r>
      <w:r>
        <w:rPr>
          <w:sz w:val="16"/>
        </w:rPr>
        <w:t>que</w:t>
      </w:r>
      <w:r>
        <w:rPr>
          <w:spacing w:val="-2"/>
          <w:sz w:val="16"/>
        </w:rPr>
        <w:t> </w:t>
      </w:r>
      <w:r>
        <w:rPr>
          <w:sz w:val="16"/>
        </w:rPr>
        <w:t>prohíbe</w:t>
      </w:r>
      <w:r>
        <w:rPr>
          <w:spacing w:val="-2"/>
          <w:sz w:val="16"/>
        </w:rPr>
        <w:t> </w:t>
      </w:r>
      <w:r>
        <w:rPr>
          <w:sz w:val="16"/>
        </w:rPr>
        <w:t>una</w:t>
      </w:r>
      <w:r>
        <w:rPr>
          <w:spacing w:val="-3"/>
          <w:sz w:val="16"/>
        </w:rPr>
        <w:t> </w:t>
      </w:r>
      <w:r>
        <w:rPr>
          <w:sz w:val="16"/>
        </w:rPr>
        <w:t>interpretación</w:t>
      </w:r>
      <w:r>
        <w:rPr>
          <w:spacing w:val="-5"/>
          <w:sz w:val="16"/>
        </w:rPr>
        <w:t> </w:t>
      </w:r>
      <w:r>
        <w:rPr>
          <w:sz w:val="16"/>
        </w:rPr>
        <w:t>restrictiva</w:t>
      </w:r>
      <w:r>
        <w:rPr>
          <w:spacing w:val="-3"/>
          <w:sz w:val="16"/>
        </w:rPr>
        <w:t> </w:t>
      </w:r>
      <w:r>
        <w:rPr>
          <w:sz w:val="16"/>
        </w:rPr>
        <w:t>de</w:t>
      </w:r>
      <w:r>
        <w:rPr>
          <w:spacing w:val="-2"/>
          <w:sz w:val="16"/>
        </w:rPr>
        <w:t> </w:t>
      </w:r>
      <w:r>
        <w:rPr>
          <w:sz w:val="16"/>
        </w:rPr>
        <w:t>los</w:t>
      </w:r>
      <w:r>
        <w:rPr>
          <w:spacing w:val="-5"/>
          <w:sz w:val="16"/>
        </w:rPr>
        <w:t> </w:t>
      </w:r>
      <w:r>
        <w:rPr>
          <w:sz w:val="16"/>
        </w:rPr>
        <w:t>derechos”</w:t>
      </w:r>
      <w:r>
        <w:rPr>
          <w:spacing w:val="-2"/>
          <w:sz w:val="16"/>
        </w:rPr>
        <w:t> </w:t>
      </w:r>
      <w:r>
        <w:rPr>
          <w:sz w:val="16"/>
        </w:rPr>
        <w:t>(</w:t>
      </w:r>
      <w:r>
        <w:rPr>
          <w:i/>
          <w:sz w:val="16"/>
        </w:rPr>
        <w:t>Caso</w:t>
      </w:r>
      <w:r>
        <w:rPr>
          <w:i/>
          <w:spacing w:val="-2"/>
          <w:sz w:val="16"/>
        </w:rPr>
        <w:t> </w:t>
      </w:r>
      <w:r>
        <w:rPr>
          <w:i/>
          <w:sz w:val="16"/>
        </w:rPr>
        <w:t>de</w:t>
      </w:r>
      <w:r>
        <w:rPr>
          <w:i/>
          <w:spacing w:val="-5"/>
          <w:sz w:val="16"/>
        </w:rPr>
        <w:t> </w:t>
      </w:r>
      <w:r>
        <w:rPr>
          <w:i/>
          <w:sz w:val="16"/>
        </w:rPr>
        <w:t>la </w:t>
      </w:r>
      <w:r>
        <w:rPr>
          <w:i/>
          <w:sz w:val="16"/>
        </w:rPr>
        <w:t>Comunidad Mayagna (Sumo) Awas Tingni Vs. Nicaragua. Fondo, Reparaciones y Costas. </w:t>
      </w:r>
      <w:r>
        <w:rPr>
          <w:sz w:val="16"/>
        </w:rPr>
        <w:t>Sentencia de 31 de agosto</w:t>
      </w:r>
      <w:r>
        <w:rPr>
          <w:spacing w:val="-3"/>
          <w:sz w:val="16"/>
        </w:rPr>
        <w:t> </w:t>
      </w:r>
      <w:r>
        <w:rPr>
          <w:sz w:val="16"/>
        </w:rPr>
        <w:t>de</w:t>
      </w:r>
      <w:r>
        <w:rPr>
          <w:spacing w:val="-4"/>
          <w:sz w:val="16"/>
        </w:rPr>
        <w:t> </w:t>
      </w:r>
      <w:r>
        <w:rPr>
          <w:sz w:val="16"/>
        </w:rPr>
        <w:t>2001.</w:t>
      </w:r>
      <w:r>
        <w:rPr>
          <w:spacing w:val="-5"/>
          <w:sz w:val="16"/>
        </w:rPr>
        <w:t> </w:t>
      </w:r>
      <w:r>
        <w:rPr>
          <w:sz w:val="16"/>
        </w:rPr>
        <w:t>Serie</w:t>
      </w:r>
      <w:r>
        <w:rPr>
          <w:spacing w:val="-4"/>
          <w:sz w:val="16"/>
        </w:rPr>
        <w:t> </w:t>
      </w:r>
      <w:r>
        <w:rPr>
          <w:sz w:val="16"/>
        </w:rPr>
        <w:t>C</w:t>
      </w:r>
      <w:r>
        <w:rPr>
          <w:spacing w:val="-1"/>
          <w:sz w:val="16"/>
        </w:rPr>
        <w:t> </w:t>
      </w:r>
      <w:r>
        <w:rPr>
          <w:sz w:val="16"/>
        </w:rPr>
        <w:t>No.</w:t>
      </w:r>
      <w:r>
        <w:rPr>
          <w:spacing w:val="-3"/>
          <w:sz w:val="16"/>
        </w:rPr>
        <w:t> </w:t>
      </w:r>
      <w:r>
        <w:rPr>
          <w:sz w:val="16"/>
        </w:rPr>
        <w:t>79,</w:t>
      </w:r>
      <w:r>
        <w:rPr>
          <w:spacing w:val="-3"/>
          <w:sz w:val="16"/>
        </w:rPr>
        <w:t> </w:t>
      </w:r>
      <w:r>
        <w:rPr>
          <w:sz w:val="16"/>
        </w:rPr>
        <w:t>párr.</w:t>
      </w:r>
      <w:r>
        <w:rPr>
          <w:spacing w:val="-3"/>
          <w:sz w:val="16"/>
        </w:rPr>
        <w:t> </w:t>
      </w:r>
      <w:r>
        <w:rPr>
          <w:sz w:val="16"/>
        </w:rPr>
        <w:t>148).</w:t>
      </w:r>
      <w:r>
        <w:rPr>
          <w:spacing w:val="-3"/>
          <w:sz w:val="16"/>
        </w:rPr>
        <w:t> </w:t>
      </w:r>
      <w:r>
        <w:rPr>
          <w:sz w:val="16"/>
        </w:rPr>
        <w:t>Más</w:t>
      </w:r>
      <w:r>
        <w:rPr>
          <w:spacing w:val="-2"/>
          <w:sz w:val="16"/>
        </w:rPr>
        <w:t> </w:t>
      </w:r>
      <w:r>
        <w:rPr>
          <w:sz w:val="16"/>
        </w:rPr>
        <w:t>adelante,</w:t>
      </w:r>
      <w:r>
        <w:rPr>
          <w:spacing w:val="-2"/>
          <w:sz w:val="16"/>
        </w:rPr>
        <w:t> </w:t>
      </w:r>
      <w:r>
        <w:rPr>
          <w:sz w:val="16"/>
        </w:rPr>
        <w:t>en relación</w:t>
      </w:r>
      <w:r>
        <w:rPr>
          <w:spacing w:val="-2"/>
          <w:sz w:val="16"/>
        </w:rPr>
        <w:t> </w:t>
      </w:r>
      <w:r>
        <w:rPr>
          <w:sz w:val="16"/>
        </w:rPr>
        <w:t>con</w:t>
      </w:r>
      <w:r>
        <w:rPr>
          <w:spacing w:val="-3"/>
          <w:sz w:val="16"/>
        </w:rPr>
        <w:t> </w:t>
      </w:r>
      <w:r>
        <w:rPr>
          <w:sz w:val="16"/>
        </w:rPr>
        <w:t>el</w:t>
      </w:r>
      <w:r>
        <w:rPr>
          <w:spacing w:val="-2"/>
          <w:sz w:val="16"/>
        </w:rPr>
        <w:t> </w:t>
      </w:r>
      <w:r>
        <w:rPr>
          <w:sz w:val="16"/>
        </w:rPr>
        <w:t>caso </w:t>
      </w:r>
      <w:r>
        <w:rPr>
          <w:i/>
          <w:sz w:val="16"/>
        </w:rPr>
        <w:t>Yakye</w:t>
      </w:r>
      <w:r>
        <w:rPr>
          <w:i/>
          <w:spacing w:val="-4"/>
          <w:sz w:val="16"/>
        </w:rPr>
        <w:t> </w:t>
      </w:r>
      <w:r>
        <w:rPr>
          <w:i/>
          <w:sz w:val="16"/>
        </w:rPr>
        <w:t>Axa</w:t>
      </w:r>
      <w:r>
        <w:rPr>
          <w:i/>
          <w:spacing w:val="-2"/>
          <w:sz w:val="16"/>
        </w:rPr>
        <w:t> </w:t>
      </w:r>
      <w:r>
        <w:rPr>
          <w:i/>
          <w:sz w:val="16"/>
        </w:rPr>
        <w:t>Vs.</w:t>
      </w:r>
      <w:r>
        <w:rPr>
          <w:i/>
          <w:spacing w:val="-2"/>
          <w:sz w:val="16"/>
        </w:rPr>
        <w:t> </w:t>
      </w:r>
      <w:r>
        <w:rPr>
          <w:i/>
          <w:sz w:val="16"/>
        </w:rPr>
        <w:t>Paraguay</w:t>
      </w:r>
      <w:r>
        <w:rPr>
          <w:sz w:val="16"/>
        </w:rPr>
        <w:t>,</w:t>
      </w:r>
      <w:r>
        <w:rPr>
          <w:spacing w:val="-3"/>
          <w:sz w:val="16"/>
        </w:rPr>
        <w:t> </w:t>
      </w:r>
      <w:r>
        <w:rPr>
          <w:sz w:val="16"/>
        </w:rPr>
        <w:t>la Corte explicó que es pertinente, y acorde a lo preceptuado en el artículo 29 de la Convención, una interpretación “evolutiva”, que tenga en cuenta que “los tratados de derechos humanos son instrumentos vivos,</w:t>
      </w:r>
      <w:r>
        <w:rPr>
          <w:spacing w:val="-11"/>
          <w:sz w:val="16"/>
        </w:rPr>
        <w:t> </w:t>
      </w:r>
      <w:r>
        <w:rPr>
          <w:sz w:val="16"/>
        </w:rPr>
        <w:t>cuya</w:t>
      </w:r>
      <w:r>
        <w:rPr>
          <w:spacing w:val="-14"/>
          <w:sz w:val="16"/>
        </w:rPr>
        <w:t> </w:t>
      </w:r>
      <w:r>
        <w:rPr>
          <w:sz w:val="16"/>
        </w:rPr>
        <w:t>interpretación</w:t>
      </w:r>
      <w:r>
        <w:rPr>
          <w:spacing w:val="-11"/>
          <w:sz w:val="16"/>
        </w:rPr>
        <w:t> </w:t>
      </w:r>
      <w:r>
        <w:rPr>
          <w:sz w:val="16"/>
        </w:rPr>
        <w:t>tiene</w:t>
      </w:r>
      <w:r>
        <w:rPr>
          <w:spacing w:val="-10"/>
          <w:sz w:val="16"/>
        </w:rPr>
        <w:t> </w:t>
      </w:r>
      <w:r>
        <w:rPr>
          <w:sz w:val="16"/>
        </w:rPr>
        <w:t>que</w:t>
      </w:r>
      <w:r>
        <w:rPr>
          <w:spacing w:val="-10"/>
          <w:sz w:val="16"/>
        </w:rPr>
        <w:t> </w:t>
      </w:r>
      <w:r>
        <w:rPr>
          <w:sz w:val="16"/>
        </w:rPr>
        <w:t>acompañar</w:t>
      </w:r>
      <w:r>
        <w:rPr>
          <w:spacing w:val="-10"/>
          <w:sz w:val="16"/>
        </w:rPr>
        <w:t> </w:t>
      </w:r>
      <w:r>
        <w:rPr>
          <w:sz w:val="16"/>
        </w:rPr>
        <w:t>la</w:t>
      </w:r>
      <w:r>
        <w:rPr>
          <w:spacing w:val="-14"/>
          <w:sz w:val="16"/>
        </w:rPr>
        <w:t> </w:t>
      </w:r>
      <w:r>
        <w:rPr>
          <w:sz w:val="16"/>
        </w:rPr>
        <w:t>evolución</w:t>
      </w:r>
      <w:r>
        <w:rPr>
          <w:spacing w:val="-14"/>
          <w:sz w:val="16"/>
        </w:rPr>
        <w:t> </w:t>
      </w:r>
      <w:r>
        <w:rPr>
          <w:sz w:val="16"/>
        </w:rPr>
        <w:t>de</w:t>
      </w:r>
      <w:r>
        <w:rPr>
          <w:spacing w:val="-10"/>
          <w:sz w:val="16"/>
        </w:rPr>
        <w:t> </w:t>
      </w:r>
      <w:r>
        <w:rPr>
          <w:sz w:val="16"/>
        </w:rPr>
        <w:t>los</w:t>
      </w:r>
      <w:r>
        <w:rPr>
          <w:spacing w:val="-10"/>
          <w:sz w:val="16"/>
        </w:rPr>
        <w:t> </w:t>
      </w:r>
      <w:r>
        <w:rPr>
          <w:sz w:val="16"/>
        </w:rPr>
        <w:t>tiempos</w:t>
      </w:r>
      <w:r>
        <w:rPr>
          <w:spacing w:val="-13"/>
          <w:sz w:val="16"/>
        </w:rPr>
        <w:t> </w:t>
      </w:r>
      <w:r>
        <w:rPr>
          <w:sz w:val="16"/>
        </w:rPr>
        <w:t>y</w:t>
      </w:r>
      <w:r>
        <w:rPr>
          <w:spacing w:val="-10"/>
          <w:sz w:val="16"/>
        </w:rPr>
        <w:t> </w:t>
      </w:r>
      <w:r>
        <w:rPr>
          <w:sz w:val="16"/>
        </w:rPr>
        <w:t>las</w:t>
      </w:r>
      <w:r>
        <w:rPr>
          <w:spacing w:val="-13"/>
          <w:sz w:val="16"/>
        </w:rPr>
        <w:t> </w:t>
      </w:r>
      <w:r>
        <w:rPr>
          <w:sz w:val="16"/>
        </w:rPr>
        <w:t>condiciones</w:t>
      </w:r>
      <w:r>
        <w:rPr>
          <w:spacing w:val="-10"/>
          <w:sz w:val="16"/>
        </w:rPr>
        <w:t> </w:t>
      </w:r>
      <w:r>
        <w:rPr>
          <w:sz w:val="16"/>
        </w:rPr>
        <w:t>de</w:t>
      </w:r>
      <w:r>
        <w:rPr>
          <w:spacing w:val="-10"/>
          <w:sz w:val="16"/>
        </w:rPr>
        <w:t> </w:t>
      </w:r>
      <w:r>
        <w:rPr>
          <w:sz w:val="16"/>
        </w:rPr>
        <w:t>vida</w:t>
      </w:r>
      <w:r>
        <w:rPr>
          <w:spacing w:val="-11"/>
          <w:sz w:val="16"/>
        </w:rPr>
        <w:t> </w:t>
      </w:r>
      <w:r>
        <w:rPr>
          <w:sz w:val="16"/>
        </w:rPr>
        <w:t>actuales”. También que, de conformidad con la Convención de Viena sobre el Derecho de los Tratados, para interpretar un</w:t>
      </w:r>
      <w:r>
        <w:rPr>
          <w:spacing w:val="-14"/>
          <w:sz w:val="16"/>
        </w:rPr>
        <w:t> </w:t>
      </w:r>
      <w:r>
        <w:rPr>
          <w:sz w:val="16"/>
        </w:rPr>
        <w:t>tratado</w:t>
      </w:r>
      <w:r>
        <w:rPr>
          <w:spacing w:val="-15"/>
          <w:sz w:val="16"/>
        </w:rPr>
        <w:t> </w:t>
      </w:r>
      <w:r>
        <w:rPr>
          <w:sz w:val="16"/>
        </w:rPr>
        <w:t>no</w:t>
      </w:r>
      <w:r>
        <w:rPr>
          <w:spacing w:val="-15"/>
          <w:sz w:val="16"/>
        </w:rPr>
        <w:t> </w:t>
      </w:r>
      <w:r>
        <w:rPr>
          <w:sz w:val="16"/>
        </w:rPr>
        <w:t>solo</w:t>
      </w:r>
      <w:r>
        <w:rPr>
          <w:spacing w:val="-15"/>
          <w:sz w:val="16"/>
        </w:rPr>
        <w:t> </w:t>
      </w:r>
      <w:r>
        <w:rPr>
          <w:sz w:val="16"/>
        </w:rPr>
        <w:t>hay</w:t>
      </w:r>
      <w:r>
        <w:rPr>
          <w:spacing w:val="-15"/>
          <w:sz w:val="16"/>
        </w:rPr>
        <w:t> </w:t>
      </w:r>
      <w:r>
        <w:rPr>
          <w:sz w:val="16"/>
        </w:rPr>
        <w:t>que</w:t>
      </w:r>
      <w:r>
        <w:rPr>
          <w:spacing w:val="-15"/>
          <w:sz w:val="16"/>
        </w:rPr>
        <w:t> </w:t>
      </w:r>
      <w:r>
        <w:rPr>
          <w:sz w:val="16"/>
        </w:rPr>
        <w:t>considerar</w:t>
      </w:r>
      <w:r>
        <w:rPr>
          <w:spacing w:val="-14"/>
          <w:sz w:val="16"/>
        </w:rPr>
        <w:t> </w:t>
      </w:r>
      <w:r>
        <w:rPr>
          <w:sz w:val="16"/>
        </w:rPr>
        <w:t>los</w:t>
      </w:r>
      <w:r>
        <w:rPr>
          <w:spacing w:val="-15"/>
          <w:sz w:val="16"/>
        </w:rPr>
        <w:t> </w:t>
      </w:r>
      <w:r>
        <w:rPr>
          <w:sz w:val="16"/>
        </w:rPr>
        <w:t>instrumentos</w:t>
      </w:r>
      <w:r>
        <w:rPr>
          <w:spacing w:val="-15"/>
          <w:sz w:val="16"/>
        </w:rPr>
        <w:t> </w:t>
      </w:r>
      <w:r>
        <w:rPr>
          <w:sz w:val="16"/>
        </w:rPr>
        <w:t>formalmente</w:t>
      </w:r>
      <w:r>
        <w:rPr>
          <w:spacing w:val="-13"/>
          <w:sz w:val="16"/>
        </w:rPr>
        <w:t> </w:t>
      </w:r>
      <w:r>
        <w:rPr>
          <w:sz w:val="16"/>
        </w:rPr>
        <w:t>relacionados</w:t>
      </w:r>
      <w:r>
        <w:rPr>
          <w:spacing w:val="-15"/>
          <w:sz w:val="16"/>
        </w:rPr>
        <w:t> </w:t>
      </w:r>
      <w:r>
        <w:rPr>
          <w:sz w:val="16"/>
        </w:rPr>
        <w:t>con</w:t>
      </w:r>
      <w:r>
        <w:rPr>
          <w:spacing w:val="-16"/>
          <w:sz w:val="16"/>
        </w:rPr>
        <w:t> </w:t>
      </w:r>
      <w:r>
        <w:rPr>
          <w:sz w:val="16"/>
        </w:rPr>
        <w:t>el</w:t>
      </w:r>
      <w:r>
        <w:rPr>
          <w:spacing w:val="-16"/>
          <w:sz w:val="16"/>
        </w:rPr>
        <w:t> </w:t>
      </w:r>
      <w:r>
        <w:rPr>
          <w:sz w:val="16"/>
        </w:rPr>
        <w:t>mismo,</w:t>
      </w:r>
      <w:r>
        <w:rPr>
          <w:spacing w:val="-16"/>
          <w:sz w:val="16"/>
        </w:rPr>
        <w:t> </w:t>
      </w:r>
      <w:r>
        <w:rPr>
          <w:sz w:val="16"/>
        </w:rPr>
        <w:t>sino</w:t>
      </w:r>
      <w:r>
        <w:rPr>
          <w:spacing w:val="-15"/>
          <w:sz w:val="16"/>
        </w:rPr>
        <w:t> </w:t>
      </w:r>
      <w:r>
        <w:rPr>
          <w:sz w:val="16"/>
        </w:rPr>
        <w:t>el</w:t>
      </w:r>
      <w:r>
        <w:rPr>
          <w:spacing w:val="-16"/>
          <w:sz w:val="16"/>
        </w:rPr>
        <w:t> </w:t>
      </w:r>
      <w:r>
        <w:rPr>
          <w:sz w:val="16"/>
        </w:rPr>
        <w:t>sistema en el que se inscribe. En ese sentido, es relevante el Convenio 169 de la OIT (</w:t>
      </w:r>
      <w:r>
        <w:rPr>
          <w:i/>
          <w:sz w:val="16"/>
        </w:rPr>
        <w:t>cfr</w:t>
      </w:r>
      <w:r>
        <w:rPr>
          <w:sz w:val="16"/>
        </w:rPr>
        <w:t>. </w:t>
      </w:r>
      <w:r>
        <w:rPr>
          <w:i/>
          <w:sz w:val="16"/>
        </w:rPr>
        <w:t>Caso Comunidad Indígena </w:t>
      </w:r>
      <w:r>
        <w:rPr>
          <w:i/>
          <w:sz w:val="16"/>
        </w:rPr>
        <w:t>Yakye</w:t>
      </w:r>
      <w:r>
        <w:rPr>
          <w:i/>
          <w:spacing w:val="-9"/>
          <w:sz w:val="16"/>
        </w:rPr>
        <w:t> </w:t>
      </w:r>
      <w:r>
        <w:rPr>
          <w:i/>
          <w:sz w:val="16"/>
        </w:rPr>
        <w:t>Axa</w:t>
      </w:r>
      <w:r>
        <w:rPr>
          <w:i/>
          <w:spacing w:val="-13"/>
          <w:sz w:val="16"/>
        </w:rPr>
        <w:t> </w:t>
      </w:r>
      <w:r>
        <w:rPr>
          <w:i/>
          <w:sz w:val="16"/>
        </w:rPr>
        <w:t>Vs.</w:t>
      </w:r>
      <w:r>
        <w:rPr>
          <w:i/>
          <w:spacing w:val="-8"/>
          <w:sz w:val="16"/>
        </w:rPr>
        <w:t> </w:t>
      </w:r>
      <w:r>
        <w:rPr>
          <w:i/>
          <w:sz w:val="16"/>
        </w:rPr>
        <w:t>Paraguay</w:t>
      </w:r>
      <w:r>
        <w:rPr>
          <w:sz w:val="16"/>
        </w:rPr>
        <w:t>.</w:t>
      </w:r>
      <w:r>
        <w:rPr>
          <w:spacing w:val="-11"/>
          <w:sz w:val="16"/>
        </w:rPr>
        <w:t> </w:t>
      </w:r>
      <w:r>
        <w:rPr>
          <w:i/>
          <w:sz w:val="16"/>
        </w:rPr>
        <w:t>Fondo</w:t>
      </w:r>
      <w:r>
        <w:rPr>
          <w:i/>
          <w:spacing w:val="-9"/>
          <w:sz w:val="16"/>
        </w:rPr>
        <w:t> </w:t>
      </w:r>
      <w:r>
        <w:rPr>
          <w:i/>
          <w:sz w:val="16"/>
        </w:rPr>
        <w:t>Reparaciones</w:t>
      </w:r>
      <w:r>
        <w:rPr>
          <w:i/>
          <w:spacing w:val="-9"/>
          <w:sz w:val="16"/>
        </w:rPr>
        <w:t> </w:t>
      </w:r>
      <w:r>
        <w:rPr>
          <w:i/>
          <w:sz w:val="16"/>
        </w:rPr>
        <w:t>y</w:t>
      </w:r>
      <w:r>
        <w:rPr>
          <w:i/>
          <w:spacing w:val="-11"/>
          <w:sz w:val="16"/>
        </w:rPr>
        <w:t> </w:t>
      </w:r>
      <w:r>
        <w:rPr>
          <w:i/>
          <w:sz w:val="16"/>
        </w:rPr>
        <w:t>Costas</w:t>
      </w:r>
      <w:r>
        <w:rPr>
          <w:sz w:val="16"/>
        </w:rPr>
        <w:t>.</w:t>
      </w:r>
      <w:r>
        <w:rPr>
          <w:spacing w:val="-11"/>
          <w:sz w:val="16"/>
        </w:rPr>
        <w:t> </w:t>
      </w:r>
      <w:r>
        <w:rPr>
          <w:sz w:val="16"/>
        </w:rPr>
        <w:t>Sentencia</w:t>
      </w:r>
      <w:r>
        <w:rPr>
          <w:spacing w:val="-9"/>
          <w:sz w:val="16"/>
        </w:rPr>
        <w:t> </w:t>
      </w:r>
      <w:r>
        <w:rPr>
          <w:sz w:val="16"/>
        </w:rPr>
        <w:t>17</w:t>
      </w:r>
      <w:r>
        <w:rPr>
          <w:spacing w:val="-9"/>
          <w:sz w:val="16"/>
        </w:rPr>
        <w:t> </w:t>
      </w:r>
      <w:r>
        <w:rPr>
          <w:sz w:val="16"/>
        </w:rPr>
        <w:t>de</w:t>
      </w:r>
      <w:r>
        <w:rPr>
          <w:spacing w:val="-10"/>
          <w:sz w:val="16"/>
        </w:rPr>
        <w:t> </w:t>
      </w:r>
      <w:r>
        <w:rPr>
          <w:sz w:val="16"/>
        </w:rPr>
        <w:t>junio</w:t>
      </w:r>
      <w:r>
        <w:rPr>
          <w:spacing w:val="-9"/>
          <w:sz w:val="16"/>
        </w:rPr>
        <w:t> </w:t>
      </w:r>
      <w:r>
        <w:rPr>
          <w:sz w:val="16"/>
        </w:rPr>
        <w:t>de</w:t>
      </w:r>
      <w:r>
        <w:rPr>
          <w:spacing w:val="-9"/>
          <w:sz w:val="16"/>
        </w:rPr>
        <w:t> </w:t>
      </w:r>
      <w:r>
        <w:rPr>
          <w:sz w:val="16"/>
        </w:rPr>
        <w:t>2005.</w:t>
      </w:r>
      <w:r>
        <w:rPr>
          <w:spacing w:val="-11"/>
          <w:sz w:val="16"/>
        </w:rPr>
        <w:t> </w:t>
      </w:r>
      <w:r>
        <w:rPr>
          <w:sz w:val="16"/>
        </w:rPr>
        <w:t>Serie</w:t>
      </w:r>
      <w:r>
        <w:rPr>
          <w:spacing w:val="-7"/>
          <w:sz w:val="16"/>
        </w:rPr>
        <w:t> </w:t>
      </w:r>
      <w:r>
        <w:rPr>
          <w:sz w:val="16"/>
        </w:rPr>
        <w:t>C</w:t>
      </w:r>
      <w:r>
        <w:rPr>
          <w:spacing w:val="-9"/>
          <w:sz w:val="16"/>
        </w:rPr>
        <w:t> </w:t>
      </w:r>
      <w:r>
        <w:rPr>
          <w:sz w:val="16"/>
        </w:rPr>
        <w:t>No.</w:t>
      </w:r>
      <w:r>
        <w:rPr>
          <w:spacing w:val="-11"/>
          <w:sz w:val="16"/>
        </w:rPr>
        <w:t> </w:t>
      </w:r>
      <w:r>
        <w:rPr>
          <w:sz w:val="16"/>
        </w:rPr>
        <w:t>125,</w:t>
      </w:r>
      <w:r>
        <w:rPr>
          <w:spacing w:val="-11"/>
          <w:sz w:val="16"/>
        </w:rPr>
        <w:t> </w:t>
      </w:r>
      <w:r>
        <w:rPr>
          <w:sz w:val="16"/>
        </w:rPr>
        <w:t>párrs.</w:t>
      </w:r>
    </w:p>
    <w:p>
      <w:pPr>
        <w:spacing w:after="0" w:line="240" w:lineRule="auto"/>
        <w:jc w:val="both"/>
        <w:rPr>
          <w:sz w:val="16"/>
        </w:rPr>
        <w:sectPr>
          <w:pgSz w:w="12240" w:h="15840"/>
          <w:pgMar w:header="0" w:footer="1000" w:top="1340" w:bottom="1200" w:left="1580" w:right="1580"/>
        </w:sectPr>
      </w:pPr>
    </w:p>
    <w:p>
      <w:pPr>
        <w:pStyle w:val="BodyText"/>
        <w:spacing w:before="76"/>
        <w:ind w:left="122" w:right="131"/>
        <w:jc w:val="both"/>
      </w:pPr>
      <w:r>
        <w:rPr/>
        <w:t>estableció que el derecho de propiedad privada plasmado en el artículo 21 de la Convención</w:t>
      </w:r>
      <w:r>
        <w:rPr>
          <w:spacing w:val="-11"/>
        </w:rPr>
        <w:t> </w:t>
      </w:r>
      <w:r>
        <w:rPr/>
        <w:t>comprende,</w:t>
      </w:r>
      <w:r>
        <w:rPr>
          <w:spacing w:val="-10"/>
        </w:rPr>
        <w:t> </w:t>
      </w:r>
      <w:r>
        <w:rPr/>
        <w:t>en</w:t>
      </w:r>
      <w:r>
        <w:rPr>
          <w:spacing w:val="-10"/>
        </w:rPr>
        <w:t> </w:t>
      </w:r>
      <w:r>
        <w:rPr/>
        <w:t>relación</w:t>
      </w:r>
      <w:r>
        <w:rPr>
          <w:spacing w:val="-10"/>
        </w:rPr>
        <w:t> </w:t>
      </w:r>
      <w:r>
        <w:rPr/>
        <w:t>con</w:t>
      </w:r>
      <w:r>
        <w:rPr>
          <w:spacing w:val="-10"/>
        </w:rPr>
        <w:t> </w:t>
      </w:r>
      <w:r>
        <w:rPr/>
        <w:t>pueblos</w:t>
      </w:r>
      <w:r>
        <w:rPr>
          <w:spacing w:val="-10"/>
        </w:rPr>
        <w:t> </w:t>
      </w:r>
      <w:r>
        <w:rPr/>
        <w:t>indígenas,</w:t>
      </w:r>
      <w:r>
        <w:rPr>
          <w:spacing w:val="-12"/>
        </w:rPr>
        <w:t> </w:t>
      </w:r>
      <w:r>
        <w:rPr/>
        <w:t>la</w:t>
      </w:r>
      <w:r>
        <w:rPr>
          <w:spacing w:val="-11"/>
        </w:rPr>
        <w:t> </w:t>
      </w:r>
      <w:r>
        <w:rPr/>
        <w:t>propiedad</w:t>
      </w:r>
      <w:r>
        <w:rPr>
          <w:spacing w:val="-9"/>
        </w:rPr>
        <w:t> </w:t>
      </w:r>
      <w:r>
        <w:rPr/>
        <w:t>comunal</w:t>
      </w:r>
      <w:r>
        <w:rPr>
          <w:spacing w:val="-11"/>
        </w:rPr>
        <w:t> </w:t>
      </w:r>
      <w:r>
        <w:rPr/>
        <w:t>de</w:t>
      </w:r>
      <w:r>
        <w:rPr>
          <w:spacing w:val="-10"/>
        </w:rPr>
        <w:t> </w:t>
      </w:r>
      <w:r>
        <w:rPr/>
        <w:t>sus tierras</w:t>
      </w:r>
      <w:r>
        <w:rPr>
          <w:position w:val="7"/>
          <w:sz w:val="13"/>
        </w:rPr>
        <w:t>92</w:t>
      </w:r>
      <w:r>
        <w:rPr/>
        <w:t>. Explicó entonces</w:t>
      </w:r>
      <w:r>
        <w:rPr>
          <w:spacing w:val="-27"/>
        </w:rPr>
        <w:t> </w:t>
      </w:r>
      <w:r>
        <w:rPr/>
        <w:t>que:</w:t>
      </w:r>
    </w:p>
    <w:p>
      <w:pPr>
        <w:spacing w:before="192"/>
        <w:ind w:left="263" w:right="308" w:firstLine="0"/>
        <w:jc w:val="both"/>
        <w:rPr>
          <w:sz w:val="16"/>
        </w:rPr>
      </w:pPr>
      <w:r>
        <w:rPr>
          <w:sz w:val="16"/>
        </w:rPr>
        <w:t>[e]ntre l[a]s [personas] indígenas existe una tradición comunitaria sobre una forma comunal de la propiedad colectiva de la tierra, en el sentido de que la pertenencia de ésta no se centra en un individuo sino</w:t>
      </w:r>
      <w:r>
        <w:rPr>
          <w:spacing w:val="-4"/>
          <w:sz w:val="16"/>
        </w:rPr>
        <w:t> </w:t>
      </w:r>
      <w:r>
        <w:rPr>
          <w:sz w:val="16"/>
        </w:rPr>
        <w:t>en</w:t>
      </w:r>
      <w:r>
        <w:rPr>
          <w:spacing w:val="-8"/>
          <w:sz w:val="16"/>
        </w:rPr>
        <w:t> </w:t>
      </w:r>
      <w:r>
        <w:rPr>
          <w:sz w:val="16"/>
        </w:rPr>
        <w:t>el</w:t>
      </w:r>
      <w:r>
        <w:rPr>
          <w:spacing w:val="-6"/>
          <w:sz w:val="16"/>
        </w:rPr>
        <w:t> </w:t>
      </w:r>
      <w:r>
        <w:rPr>
          <w:sz w:val="16"/>
        </w:rPr>
        <w:t>grupo</w:t>
      </w:r>
      <w:r>
        <w:rPr>
          <w:spacing w:val="-6"/>
          <w:sz w:val="16"/>
        </w:rPr>
        <w:t> </w:t>
      </w:r>
      <w:r>
        <w:rPr>
          <w:sz w:val="16"/>
        </w:rPr>
        <w:t>y</w:t>
      </w:r>
      <w:r>
        <w:rPr>
          <w:spacing w:val="-7"/>
          <w:sz w:val="16"/>
        </w:rPr>
        <w:t> </w:t>
      </w:r>
      <w:r>
        <w:rPr>
          <w:sz w:val="16"/>
        </w:rPr>
        <w:t>su</w:t>
      </w:r>
      <w:r>
        <w:rPr>
          <w:spacing w:val="-6"/>
          <w:sz w:val="16"/>
        </w:rPr>
        <w:t> </w:t>
      </w:r>
      <w:r>
        <w:rPr>
          <w:sz w:val="16"/>
        </w:rPr>
        <w:t>comunidad.</w:t>
      </w:r>
      <w:r>
        <w:rPr>
          <w:spacing w:val="-6"/>
          <w:sz w:val="16"/>
        </w:rPr>
        <w:t> </w:t>
      </w:r>
      <w:r>
        <w:rPr>
          <w:sz w:val="16"/>
        </w:rPr>
        <w:t>Los</w:t>
      </w:r>
      <w:r>
        <w:rPr>
          <w:spacing w:val="-7"/>
          <w:sz w:val="16"/>
        </w:rPr>
        <w:t> </w:t>
      </w:r>
      <w:r>
        <w:rPr>
          <w:sz w:val="16"/>
        </w:rPr>
        <w:t>indígenas</w:t>
      </w:r>
      <w:r>
        <w:rPr>
          <w:spacing w:val="-7"/>
          <w:sz w:val="16"/>
        </w:rPr>
        <w:t> </w:t>
      </w:r>
      <w:r>
        <w:rPr>
          <w:sz w:val="16"/>
        </w:rPr>
        <w:t>por</w:t>
      </w:r>
      <w:r>
        <w:rPr>
          <w:spacing w:val="-6"/>
          <w:sz w:val="16"/>
        </w:rPr>
        <w:t> </w:t>
      </w:r>
      <w:r>
        <w:rPr>
          <w:sz w:val="16"/>
        </w:rPr>
        <w:t>el</w:t>
      </w:r>
      <w:r>
        <w:rPr>
          <w:spacing w:val="-6"/>
          <w:sz w:val="16"/>
        </w:rPr>
        <w:t> </w:t>
      </w:r>
      <w:r>
        <w:rPr>
          <w:sz w:val="16"/>
        </w:rPr>
        <w:t>hecho</w:t>
      </w:r>
      <w:r>
        <w:rPr>
          <w:spacing w:val="-7"/>
          <w:sz w:val="16"/>
        </w:rPr>
        <w:t> </w:t>
      </w:r>
      <w:r>
        <w:rPr>
          <w:sz w:val="16"/>
        </w:rPr>
        <w:t>de</w:t>
      </w:r>
      <w:r>
        <w:rPr>
          <w:spacing w:val="-7"/>
          <w:sz w:val="16"/>
        </w:rPr>
        <w:t> </w:t>
      </w:r>
      <w:r>
        <w:rPr>
          <w:sz w:val="16"/>
        </w:rPr>
        <w:t>su</w:t>
      </w:r>
      <w:r>
        <w:rPr>
          <w:spacing w:val="-8"/>
          <w:sz w:val="16"/>
        </w:rPr>
        <w:t> </w:t>
      </w:r>
      <w:r>
        <w:rPr>
          <w:sz w:val="16"/>
        </w:rPr>
        <w:t>propia</w:t>
      </w:r>
      <w:r>
        <w:rPr>
          <w:spacing w:val="-8"/>
          <w:sz w:val="16"/>
        </w:rPr>
        <w:t> </w:t>
      </w:r>
      <w:r>
        <w:rPr>
          <w:sz w:val="16"/>
        </w:rPr>
        <w:t>existencia</w:t>
      </w:r>
      <w:r>
        <w:rPr>
          <w:spacing w:val="-9"/>
          <w:sz w:val="16"/>
        </w:rPr>
        <w:t> </w:t>
      </w:r>
      <w:r>
        <w:rPr>
          <w:sz w:val="16"/>
        </w:rPr>
        <w:t>tienen</w:t>
      </w:r>
      <w:r>
        <w:rPr>
          <w:spacing w:val="-6"/>
          <w:sz w:val="16"/>
        </w:rPr>
        <w:t> </w:t>
      </w:r>
      <w:r>
        <w:rPr>
          <w:sz w:val="16"/>
        </w:rPr>
        <w:t>derecho</w:t>
      </w:r>
      <w:r>
        <w:rPr>
          <w:spacing w:val="-4"/>
          <w:sz w:val="16"/>
        </w:rPr>
        <w:t> </w:t>
      </w:r>
      <w:r>
        <w:rPr>
          <w:sz w:val="16"/>
        </w:rPr>
        <w:t>a</w:t>
      </w:r>
      <w:r>
        <w:rPr>
          <w:spacing w:val="-8"/>
          <w:sz w:val="16"/>
        </w:rPr>
        <w:t> </w:t>
      </w:r>
      <w:r>
        <w:rPr>
          <w:sz w:val="16"/>
        </w:rPr>
        <w:t>vivir libremente en sus propios territorios; la estrecha relación que los indígenas mantienen con la tierra debe de ser reconocida y comprendida como la base fundamental de sus culturas, su vida espiritual, su integridad y su supervivencia</w:t>
      </w:r>
      <w:r>
        <w:rPr>
          <w:spacing w:val="-11"/>
          <w:sz w:val="16"/>
        </w:rPr>
        <w:t> </w:t>
      </w:r>
      <w:r>
        <w:rPr>
          <w:sz w:val="16"/>
        </w:rPr>
        <w:t>económica</w:t>
      </w:r>
      <w:r>
        <w:rPr>
          <w:position w:val="6"/>
          <w:sz w:val="10"/>
        </w:rPr>
        <w:t>93</w:t>
      </w:r>
      <w:r>
        <w:rPr>
          <w:sz w:val="16"/>
        </w:rPr>
        <w:t>.</w:t>
      </w:r>
    </w:p>
    <w:p>
      <w:pPr>
        <w:pStyle w:val="BodyText"/>
        <w:spacing w:before="1"/>
      </w:pPr>
    </w:p>
    <w:p>
      <w:pPr>
        <w:pStyle w:val="ListParagraph"/>
        <w:numPr>
          <w:ilvl w:val="0"/>
          <w:numId w:val="21"/>
        </w:numPr>
        <w:tabs>
          <w:tab w:pos="830" w:val="left" w:leader="none"/>
        </w:tabs>
        <w:spacing w:line="240" w:lineRule="auto" w:before="0" w:after="0"/>
        <w:ind w:left="122" w:right="124" w:firstLine="0"/>
        <w:jc w:val="both"/>
        <w:rPr>
          <w:i/>
          <w:sz w:val="20"/>
        </w:rPr>
      </w:pPr>
      <w:r>
        <w:rPr>
          <w:sz w:val="20"/>
        </w:rPr>
        <w:t>Al decidir, en 2005, sobre el caso </w:t>
      </w:r>
      <w:r>
        <w:rPr>
          <w:i/>
          <w:sz w:val="20"/>
        </w:rPr>
        <w:t>Comunidad Indígena Yakye Axa Vs. Paraguay</w:t>
      </w:r>
      <w:r>
        <w:rPr>
          <w:sz w:val="20"/>
        </w:rPr>
        <w:t>, la Corte entendió que el derecho de propiedad protege no sólo el vínculo de las comunidades indígenas con sus territorios, sino también “los recursos naturales ligados a su cultura que ahí se encuentren, así como los elementos incorporales que se desprendan  de  ellos”</w:t>
      </w:r>
      <w:r>
        <w:rPr>
          <w:position w:val="7"/>
          <w:sz w:val="13"/>
        </w:rPr>
        <w:t>94</w:t>
      </w:r>
      <w:r>
        <w:rPr>
          <w:sz w:val="20"/>
        </w:rPr>
        <w:t>.  Explicó  después,  respecto  del  caso  </w:t>
      </w:r>
      <w:r>
        <w:rPr>
          <w:i/>
          <w:sz w:val="20"/>
        </w:rPr>
        <w:t>Pueblo  Saramaka</w:t>
      </w:r>
      <w:r>
        <w:rPr>
          <w:i/>
          <w:spacing w:val="64"/>
          <w:sz w:val="20"/>
        </w:rPr>
        <w:t> </w:t>
      </w:r>
      <w:r>
        <w:rPr>
          <w:i/>
          <w:sz w:val="20"/>
        </w:rPr>
        <w:t>Vs.</w:t>
      </w:r>
    </w:p>
    <w:p>
      <w:pPr>
        <w:pStyle w:val="BodyText"/>
        <w:spacing w:before="9"/>
        <w:rPr>
          <w:i/>
          <w:sz w:val="19"/>
        </w:rPr>
      </w:pPr>
      <w:r>
        <w:rPr/>
        <w:pict>
          <v:line style="position:absolute;mso-position-horizontal-relative:page;mso-position-vertical-relative:paragraph;z-index:1816;mso-wrap-distance-left:0;mso-wrap-distance-right:0" from="85.103996pt,14.338215pt" to="229.123996pt,14.338215pt" stroked="true" strokeweight=".72pt" strokecolor="#000000">
            <v:stroke dashstyle="solid"/>
            <w10:wrap type="topAndBottom"/>
          </v:line>
        </w:pict>
      </w:r>
    </w:p>
    <w:p>
      <w:pPr>
        <w:spacing w:before="71"/>
        <w:ind w:left="122" w:right="111" w:firstLine="0"/>
        <w:jc w:val="both"/>
        <w:rPr>
          <w:sz w:val="16"/>
        </w:rPr>
      </w:pPr>
      <w:r>
        <w:rPr>
          <w:sz w:val="16"/>
        </w:rPr>
        <w:t>127 y 128; también jurisprudencia posterior, como la sentencia sobre el caso </w:t>
      </w:r>
      <w:r>
        <w:rPr>
          <w:i/>
          <w:sz w:val="16"/>
        </w:rPr>
        <w:t>Pueblo Indígena Xucuru y sus </w:t>
      </w:r>
      <w:r>
        <w:rPr>
          <w:i/>
          <w:sz w:val="16"/>
        </w:rPr>
        <w:t>miembros Vs. Brasil (Excepciones Preliminares, Fondo, Reparaciones y Costas</w:t>
      </w:r>
      <w:r>
        <w:rPr>
          <w:sz w:val="16"/>
        </w:rPr>
        <w:t>. Sentencia de 5 de febrero </w:t>
      </w:r>
      <w:r>
        <w:rPr>
          <w:spacing w:val="-3"/>
          <w:sz w:val="16"/>
        </w:rPr>
        <w:t>de </w:t>
      </w:r>
      <w:r>
        <w:rPr>
          <w:sz w:val="16"/>
        </w:rPr>
        <w:t>2018.</w:t>
      </w:r>
      <w:r>
        <w:rPr>
          <w:spacing w:val="-11"/>
          <w:sz w:val="16"/>
        </w:rPr>
        <w:t> </w:t>
      </w:r>
      <w:r>
        <w:rPr>
          <w:sz w:val="16"/>
        </w:rPr>
        <w:t>Serie</w:t>
      </w:r>
      <w:r>
        <w:rPr>
          <w:spacing w:val="-7"/>
          <w:sz w:val="16"/>
        </w:rPr>
        <w:t> </w:t>
      </w:r>
      <w:r>
        <w:rPr>
          <w:sz w:val="16"/>
        </w:rPr>
        <w:t>C</w:t>
      </w:r>
      <w:r>
        <w:rPr>
          <w:spacing w:val="-9"/>
          <w:sz w:val="16"/>
        </w:rPr>
        <w:t> </w:t>
      </w:r>
      <w:r>
        <w:rPr>
          <w:sz w:val="16"/>
        </w:rPr>
        <w:t>No.</w:t>
      </w:r>
      <w:r>
        <w:rPr>
          <w:spacing w:val="-11"/>
          <w:sz w:val="16"/>
        </w:rPr>
        <w:t> </w:t>
      </w:r>
      <w:r>
        <w:rPr>
          <w:sz w:val="16"/>
        </w:rPr>
        <w:t>346,</w:t>
      </w:r>
      <w:r>
        <w:rPr>
          <w:spacing w:val="-11"/>
          <w:sz w:val="16"/>
        </w:rPr>
        <w:t> </w:t>
      </w:r>
      <w:r>
        <w:rPr>
          <w:sz w:val="16"/>
        </w:rPr>
        <w:t>párr.</w:t>
      </w:r>
      <w:r>
        <w:rPr>
          <w:spacing w:val="-11"/>
          <w:sz w:val="16"/>
        </w:rPr>
        <w:t> </w:t>
      </w:r>
      <w:r>
        <w:rPr>
          <w:sz w:val="16"/>
        </w:rPr>
        <w:t>115)).</w:t>
      </w:r>
      <w:r>
        <w:rPr>
          <w:spacing w:val="-8"/>
          <w:sz w:val="16"/>
        </w:rPr>
        <w:t> </w:t>
      </w:r>
      <w:r>
        <w:rPr>
          <w:sz w:val="16"/>
        </w:rPr>
        <w:t>El</w:t>
      </w:r>
      <w:r>
        <w:rPr>
          <w:spacing w:val="-8"/>
          <w:sz w:val="16"/>
        </w:rPr>
        <w:t> </w:t>
      </w:r>
      <w:r>
        <w:rPr>
          <w:sz w:val="16"/>
        </w:rPr>
        <w:t>Convenio</w:t>
      </w:r>
      <w:r>
        <w:rPr>
          <w:spacing w:val="-9"/>
          <w:sz w:val="16"/>
        </w:rPr>
        <w:t> </w:t>
      </w:r>
      <w:r>
        <w:rPr>
          <w:sz w:val="16"/>
        </w:rPr>
        <w:t>169</w:t>
      </w:r>
      <w:r>
        <w:rPr>
          <w:spacing w:val="-9"/>
          <w:sz w:val="16"/>
        </w:rPr>
        <w:t> </w:t>
      </w:r>
      <w:r>
        <w:rPr>
          <w:sz w:val="16"/>
        </w:rPr>
        <w:t>de</w:t>
      </w:r>
      <w:r>
        <w:rPr>
          <w:spacing w:val="-10"/>
          <w:sz w:val="16"/>
        </w:rPr>
        <w:t> </w:t>
      </w:r>
      <w:r>
        <w:rPr>
          <w:sz w:val="16"/>
        </w:rPr>
        <w:t>la</w:t>
      </w:r>
      <w:r>
        <w:rPr>
          <w:spacing w:val="-8"/>
          <w:sz w:val="16"/>
        </w:rPr>
        <w:t> </w:t>
      </w:r>
      <w:r>
        <w:rPr>
          <w:sz w:val="16"/>
        </w:rPr>
        <w:t>Organización</w:t>
      </w:r>
      <w:r>
        <w:rPr>
          <w:spacing w:val="-8"/>
          <w:sz w:val="16"/>
        </w:rPr>
        <w:t> </w:t>
      </w:r>
      <w:r>
        <w:rPr>
          <w:sz w:val="16"/>
        </w:rPr>
        <w:t>Internacional</w:t>
      </w:r>
      <w:r>
        <w:rPr>
          <w:spacing w:val="-8"/>
          <w:sz w:val="16"/>
        </w:rPr>
        <w:t> </w:t>
      </w:r>
      <w:r>
        <w:rPr>
          <w:sz w:val="16"/>
        </w:rPr>
        <w:t>del</w:t>
      </w:r>
      <w:r>
        <w:rPr>
          <w:spacing w:val="-8"/>
          <w:sz w:val="16"/>
        </w:rPr>
        <w:t> </w:t>
      </w:r>
      <w:r>
        <w:rPr>
          <w:sz w:val="16"/>
        </w:rPr>
        <w:t>Trabajo</w:t>
      </w:r>
      <w:r>
        <w:rPr>
          <w:spacing w:val="-7"/>
          <w:sz w:val="16"/>
        </w:rPr>
        <w:t> </w:t>
      </w:r>
      <w:r>
        <w:rPr>
          <w:sz w:val="16"/>
        </w:rPr>
        <w:t>es</w:t>
      </w:r>
      <w:r>
        <w:rPr>
          <w:spacing w:val="-9"/>
          <w:sz w:val="16"/>
        </w:rPr>
        <w:t> </w:t>
      </w:r>
      <w:r>
        <w:rPr>
          <w:sz w:val="16"/>
        </w:rPr>
        <w:t>relevante, además,</w:t>
      </w:r>
      <w:r>
        <w:rPr>
          <w:spacing w:val="-3"/>
          <w:sz w:val="16"/>
        </w:rPr>
        <w:t> </w:t>
      </w:r>
      <w:r>
        <w:rPr>
          <w:sz w:val="16"/>
        </w:rPr>
        <w:t>teniendo</w:t>
      </w:r>
      <w:r>
        <w:rPr>
          <w:spacing w:val="-4"/>
          <w:sz w:val="16"/>
        </w:rPr>
        <w:t> </w:t>
      </w:r>
      <w:r>
        <w:rPr>
          <w:sz w:val="16"/>
        </w:rPr>
        <w:t>en</w:t>
      </w:r>
      <w:r>
        <w:rPr>
          <w:spacing w:val="-3"/>
          <w:sz w:val="16"/>
        </w:rPr>
        <w:t> </w:t>
      </w:r>
      <w:r>
        <w:rPr>
          <w:sz w:val="16"/>
        </w:rPr>
        <w:t>cuenta</w:t>
      </w:r>
      <w:r>
        <w:rPr>
          <w:spacing w:val="-6"/>
          <w:sz w:val="16"/>
        </w:rPr>
        <w:t> </w:t>
      </w:r>
      <w:r>
        <w:rPr>
          <w:sz w:val="16"/>
        </w:rPr>
        <w:t>que</w:t>
      </w:r>
      <w:r>
        <w:rPr>
          <w:spacing w:val="-2"/>
          <w:sz w:val="16"/>
        </w:rPr>
        <w:t> </w:t>
      </w:r>
      <w:r>
        <w:rPr>
          <w:sz w:val="16"/>
        </w:rPr>
        <w:t>el</w:t>
      </w:r>
      <w:r>
        <w:rPr>
          <w:spacing w:val="-3"/>
          <w:sz w:val="16"/>
        </w:rPr>
        <w:t> </w:t>
      </w:r>
      <w:r>
        <w:rPr>
          <w:sz w:val="16"/>
        </w:rPr>
        <w:t>artículo</w:t>
      </w:r>
      <w:r>
        <w:rPr>
          <w:spacing w:val="-4"/>
          <w:sz w:val="16"/>
        </w:rPr>
        <w:t> </w:t>
      </w:r>
      <w:r>
        <w:rPr>
          <w:sz w:val="16"/>
        </w:rPr>
        <w:t>29.b)</w:t>
      </w:r>
      <w:r>
        <w:rPr>
          <w:spacing w:val="-6"/>
          <w:sz w:val="16"/>
        </w:rPr>
        <w:t> </w:t>
      </w:r>
      <w:r>
        <w:rPr>
          <w:sz w:val="16"/>
        </w:rPr>
        <w:t>de</w:t>
      </w:r>
      <w:r>
        <w:rPr>
          <w:spacing w:val="-5"/>
          <w:sz w:val="16"/>
        </w:rPr>
        <w:t> </w:t>
      </w:r>
      <w:r>
        <w:rPr>
          <w:sz w:val="16"/>
        </w:rPr>
        <w:t>la</w:t>
      </w:r>
      <w:r>
        <w:rPr>
          <w:spacing w:val="-6"/>
          <w:sz w:val="16"/>
        </w:rPr>
        <w:t> </w:t>
      </w:r>
      <w:r>
        <w:rPr>
          <w:sz w:val="16"/>
        </w:rPr>
        <w:t>Convención</w:t>
      </w:r>
      <w:r>
        <w:rPr>
          <w:spacing w:val="-3"/>
          <w:sz w:val="16"/>
        </w:rPr>
        <w:t> </w:t>
      </w:r>
      <w:r>
        <w:rPr>
          <w:sz w:val="16"/>
        </w:rPr>
        <w:t>Americana</w:t>
      </w:r>
      <w:r>
        <w:rPr>
          <w:spacing w:val="-6"/>
          <w:sz w:val="16"/>
        </w:rPr>
        <w:t> </w:t>
      </w:r>
      <w:r>
        <w:rPr>
          <w:sz w:val="16"/>
        </w:rPr>
        <w:t>señala</w:t>
      </w:r>
      <w:r>
        <w:rPr>
          <w:spacing w:val="-6"/>
          <w:sz w:val="16"/>
        </w:rPr>
        <w:t> </w:t>
      </w:r>
      <w:r>
        <w:rPr>
          <w:sz w:val="16"/>
        </w:rPr>
        <w:t>que</w:t>
      </w:r>
      <w:r>
        <w:rPr>
          <w:spacing w:val="-5"/>
          <w:sz w:val="16"/>
        </w:rPr>
        <w:t> </w:t>
      </w:r>
      <w:r>
        <w:rPr>
          <w:sz w:val="16"/>
        </w:rPr>
        <w:t>ninguna</w:t>
      </w:r>
      <w:r>
        <w:rPr>
          <w:spacing w:val="-3"/>
          <w:sz w:val="16"/>
        </w:rPr>
        <w:t> </w:t>
      </w:r>
      <w:r>
        <w:rPr>
          <w:sz w:val="16"/>
        </w:rPr>
        <w:t>disposición de</w:t>
      </w:r>
      <w:r>
        <w:rPr>
          <w:spacing w:val="-2"/>
          <w:sz w:val="16"/>
        </w:rPr>
        <w:t> </w:t>
      </w:r>
      <w:r>
        <w:rPr>
          <w:sz w:val="16"/>
        </w:rPr>
        <w:t>ésta</w:t>
      </w:r>
      <w:r>
        <w:rPr>
          <w:spacing w:val="-3"/>
          <w:sz w:val="16"/>
        </w:rPr>
        <w:t> </w:t>
      </w:r>
      <w:r>
        <w:rPr>
          <w:sz w:val="16"/>
        </w:rPr>
        <w:t>puede</w:t>
      </w:r>
      <w:r>
        <w:rPr>
          <w:spacing w:val="-5"/>
          <w:sz w:val="16"/>
        </w:rPr>
        <w:t> </w:t>
      </w:r>
      <w:r>
        <w:rPr>
          <w:sz w:val="16"/>
        </w:rPr>
        <w:t>ser</w:t>
      </w:r>
      <w:r>
        <w:rPr>
          <w:spacing w:val="-2"/>
          <w:sz w:val="16"/>
        </w:rPr>
        <w:t> </w:t>
      </w:r>
      <w:r>
        <w:rPr>
          <w:sz w:val="16"/>
        </w:rPr>
        <w:t>interpretada</w:t>
      </w:r>
      <w:r>
        <w:rPr>
          <w:spacing w:val="-3"/>
          <w:sz w:val="16"/>
        </w:rPr>
        <w:t> </w:t>
      </w:r>
      <w:r>
        <w:rPr>
          <w:sz w:val="16"/>
        </w:rPr>
        <w:t>en</w:t>
      </w:r>
      <w:r>
        <w:rPr>
          <w:spacing w:val="-3"/>
          <w:sz w:val="16"/>
        </w:rPr>
        <w:t> </w:t>
      </w:r>
      <w:r>
        <w:rPr>
          <w:sz w:val="16"/>
        </w:rPr>
        <w:t>el</w:t>
      </w:r>
      <w:r>
        <w:rPr>
          <w:spacing w:val="-5"/>
          <w:sz w:val="16"/>
        </w:rPr>
        <w:t> </w:t>
      </w:r>
      <w:r>
        <w:rPr>
          <w:sz w:val="16"/>
        </w:rPr>
        <w:t>sentido</w:t>
      </w:r>
      <w:r>
        <w:rPr>
          <w:spacing w:val="-4"/>
          <w:sz w:val="16"/>
        </w:rPr>
        <w:t> </w:t>
      </w:r>
      <w:r>
        <w:rPr>
          <w:sz w:val="16"/>
        </w:rPr>
        <w:t>de</w:t>
      </w:r>
      <w:r>
        <w:rPr>
          <w:spacing w:val="-5"/>
          <w:sz w:val="16"/>
        </w:rPr>
        <w:t> </w:t>
      </w:r>
      <w:r>
        <w:rPr>
          <w:sz w:val="16"/>
        </w:rPr>
        <w:t>“limitar</w:t>
      </w:r>
      <w:r>
        <w:rPr>
          <w:spacing w:val="-4"/>
          <w:sz w:val="16"/>
        </w:rPr>
        <w:t> </w:t>
      </w:r>
      <w:r>
        <w:rPr>
          <w:sz w:val="16"/>
        </w:rPr>
        <w:t>el</w:t>
      </w:r>
      <w:r>
        <w:rPr>
          <w:spacing w:val="-3"/>
          <w:sz w:val="16"/>
        </w:rPr>
        <w:t> </w:t>
      </w:r>
      <w:r>
        <w:rPr>
          <w:sz w:val="16"/>
        </w:rPr>
        <w:t>goce</w:t>
      </w:r>
      <w:r>
        <w:rPr>
          <w:spacing w:val="-5"/>
          <w:sz w:val="16"/>
        </w:rPr>
        <w:t> </w:t>
      </w:r>
      <w:r>
        <w:rPr>
          <w:sz w:val="16"/>
        </w:rPr>
        <w:t>y</w:t>
      </w:r>
      <w:r>
        <w:rPr>
          <w:spacing w:val="-4"/>
          <w:sz w:val="16"/>
        </w:rPr>
        <w:t> </w:t>
      </w:r>
      <w:r>
        <w:rPr>
          <w:sz w:val="16"/>
        </w:rPr>
        <w:t>ejercicio</w:t>
      </w:r>
      <w:r>
        <w:rPr>
          <w:spacing w:val="-4"/>
          <w:sz w:val="16"/>
        </w:rPr>
        <w:t> </w:t>
      </w:r>
      <w:r>
        <w:rPr>
          <w:sz w:val="16"/>
        </w:rPr>
        <w:t>de</w:t>
      </w:r>
      <w:r>
        <w:rPr>
          <w:spacing w:val="-5"/>
          <w:sz w:val="16"/>
        </w:rPr>
        <w:t> </w:t>
      </w:r>
      <w:r>
        <w:rPr>
          <w:sz w:val="16"/>
        </w:rPr>
        <w:t>cualquier</w:t>
      </w:r>
      <w:r>
        <w:rPr>
          <w:spacing w:val="-4"/>
          <w:sz w:val="16"/>
        </w:rPr>
        <w:t> </w:t>
      </w:r>
      <w:r>
        <w:rPr>
          <w:sz w:val="16"/>
        </w:rPr>
        <w:t>derecho</w:t>
      </w:r>
      <w:r>
        <w:rPr>
          <w:spacing w:val="-4"/>
          <w:sz w:val="16"/>
        </w:rPr>
        <w:t> </w:t>
      </w:r>
      <w:r>
        <w:rPr>
          <w:sz w:val="16"/>
        </w:rPr>
        <w:t>o</w:t>
      </w:r>
      <w:r>
        <w:rPr>
          <w:spacing w:val="-4"/>
          <w:sz w:val="16"/>
        </w:rPr>
        <w:t> </w:t>
      </w:r>
      <w:r>
        <w:rPr>
          <w:sz w:val="16"/>
        </w:rPr>
        <w:t>libertad</w:t>
      </w:r>
      <w:r>
        <w:rPr>
          <w:spacing w:val="-5"/>
          <w:sz w:val="16"/>
        </w:rPr>
        <w:t> </w:t>
      </w:r>
      <w:r>
        <w:rPr>
          <w:sz w:val="16"/>
        </w:rPr>
        <w:t>que pueda estar reconocido de acuerdo con las leyes de cualquiera de los Estados partes o de acuerdo con otra convención en que sea parte uno de dichos Estados”. El Convenio 169 de la OIT fue aprobado por Argentina por</w:t>
      </w:r>
      <w:r>
        <w:rPr>
          <w:spacing w:val="-4"/>
          <w:sz w:val="16"/>
        </w:rPr>
        <w:t> </w:t>
      </w:r>
      <w:r>
        <w:rPr>
          <w:sz w:val="16"/>
        </w:rPr>
        <w:t>medio</w:t>
      </w:r>
      <w:r>
        <w:rPr>
          <w:spacing w:val="-7"/>
          <w:sz w:val="16"/>
        </w:rPr>
        <w:t> </w:t>
      </w:r>
      <w:r>
        <w:rPr>
          <w:sz w:val="16"/>
        </w:rPr>
        <w:t>de</w:t>
      </w:r>
      <w:r>
        <w:rPr>
          <w:spacing w:val="-5"/>
          <w:sz w:val="16"/>
        </w:rPr>
        <w:t> </w:t>
      </w:r>
      <w:r>
        <w:rPr>
          <w:sz w:val="16"/>
        </w:rPr>
        <w:t>una</w:t>
      </w:r>
      <w:r>
        <w:rPr>
          <w:spacing w:val="-8"/>
          <w:sz w:val="16"/>
        </w:rPr>
        <w:t> </w:t>
      </w:r>
      <w:r>
        <w:rPr>
          <w:sz w:val="16"/>
        </w:rPr>
        <w:t>ley</w:t>
      </w:r>
      <w:r>
        <w:rPr>
          <w:spacing w:val="-6"/>
          <w:sz w:val="16"/>
        </w:rPr>
        <w:t> </w:t>
      </w:r>
      <w:r>
        <w:rPr>
          <w:sz w:val="16"/>
        </w:rPr>
        <w:t>de</w:t>
      </w:r>
      <w:r>
        <w:rPr>
          <w:spacing w:val="-7"/>
          <w:sz w:val="16"/>
        </w:rPr>
        <w:t> </w:t>
      </w:r>
      <w:r>
        <w:rPr>
          <w:sz w:val="16"/>
        </w:rPr>
        <w:t>1992</w:t>
      </w:r>
      <w:r>
        <w:rPr>
          <w:spacing w:val="-9"/>
          <w:sz w:val="16"/>
        </w:rPr>
        <w:t> </w:t>
      </w:r>
      <w:r>
        <w:rPr>
          <w:sz w:val="16"/>
        </w:rPr>
        <w:t>y</w:t>
      </w:r>
      <w:r>
        <w:rPr>
          <w:spacing w:val="-7"/>
          <w:sz w:val="16"/>
        </w:rPr>
        <w:t> </w:t>
      </w:r>
      <w:r>
        <w:rPr>
          <w:sz w:val="16"/>
        </w:rPr>
        <w:t>el</w:t>
      </w:r>
      <w:r>
        <w:rPr>
          <w:spacing w:val="-6"/>
          <w:sz w:val="16"/>
        </w:rPr>
        <w:t> </w:t>
      </w:r>
      <w:r>
        <w:rPr>
          <w:sz w:val="16"/>
        </w:rPr>
        <w:t>Estado</w:t>
      </w:r>
      <w:r>
        <w:rPr>
          <w:spacing w:val="-4"/>
          <w:sz w:val="16"/>
        </w:rPr>
        <w:t> </w:t>
      </w:r>
      <w:r>
        <w:rPr>
          <w:sz w:val="16"/>
        </w:rPr>
        <w:t>lo</w:t>
      </w:r>
      <w:r>
        <w:rPr>
          <w:spacing w:val="-7"/>
          <w:sz w:val="16"/>
        </w:rPr>
        <w:t> </w:t>
      </w:r>
      <w:r>
        <w:rPr>
          <w:sz w:val="16"/>
        </w:rPr>
        <w:t>ratificó</w:t>
      </w:r>
      <w:r>
        <w:rPr>
          <w:spacing w:val="-6"/>
          <w:sz w:val="16"/>
        </w:rPr>
        <w:t> </w:t>
      </w:r>
      <w:r>
        <w:rPr>
          <w:sz w:val="16"/>
        </w:rPr>
        <w:t>en</w:t>
      </w:r>
      <w:r>
        <w:rPr>
          <w:spacing w:val="-8"/>
          <w:sz w:val="16"/>
        </w:rPr>
        <w:t> </w:t>
      </w:r>
      <w:r>
        <w:rPr>
          <w:sz w:val="16"/>
        </w:rPr>
        <w:t>el</w:t>
      </w:r>
      <w:r>
        <w:rPr>
          <w:spacing w:val="-6"/>
          <w:sz w:val="16"/>
        </w:rPr>
        <w:t> </w:t>
      </w:r>
      <w:r>
        <w:rPr>
          <w:sz w:val="16"/>
        </w:rPr>
        <w:t>año</w:t>
      </w:r>
      <w:r>
        <w:rPr>
          <w:spacing w:val="-7"/>
          <w:sz w:val="16"/>
        </w:rPr>
        <w:t> </w:t>
      </w:r>
      <w:r>
        <w:rPr>
          <w:sz w:val="16"/>
        </w:rPr>
        <w:t>2000</w:t>
      </w:r>
      <w:r>
        <w:rPr>
          <w:spacing w:val="-6"/>
          <w:sz w:val="16"/>
        </w:rPr>
        <w:t> </w:t>
      </w:r>
      <w:r>
        <w:rPr>
          <w:sz w:val="16"/>
        </w:rPr>
        <w:t>(</w:t>
      </w:r>
      <w:r>
        <w:rPr>
          <w:i/>
          <w:sz w:val="16"/>
        </w:rPr>
        <w:t>supra</w:t>
      </w:r>
      <w:r>
        <w:rPr>
          <w:i/>
          <w:spacing w:val="-8"/>
          <w:sz w:val="16"/>
        </w:rPr>
        <w:t> </w:t>
      </w:r>
      <w:r>
        <w:rPr>
          <w:sz w:val="16"/>
        </w:rPr>
        <w:t>párr.</w:t>
      </w:r>
      <w:r>
        <w:rPr>
          <w:spacing w:val="-8"/>
          <w:sz w:val="16"/>
        </w:rPr>
        <w:t> </w:t>
      </w:r>
      <w:r>
        <w:rPr>
          <w:sz w:val="16"/>
        </w:rPr>
        <w:t>54</w:t>
      </w:r>
      <w:r>
        <w:rPr>
          <w:spacing w:val="-9"/>
          <w:sz w:val="16"/>
        </w:rPr>
        <w:t> </w:t>
      </w:r>
      <w:r>
        <w:rPr>
          <w:sz w:val="16"/>
        </w:rPr>
        <w:t>y</w:t>
      </w:r>
      <w:r>
        <w:rPr>
          <w:spacing w:val="-4"/>
          <w:sz w:val="16"/>
        </w:rPr>
        <w:t> </w:t>
      </w:r>
      <w:r>
        <w:rPr>
          <w:sz w:val="16"/>
        </w:rPr>
        <w:t>nota</w:t>
      </w:r>
      <w:r>
        <w:rPr>
          <w:spacing w:val="-6"/>
          <w:sz w:val="16"/>
        </w:rPr>
        <w:t> </w:t>
      </w:r>
      <w:r>
        <w:rPr>
          <w:sz w:val="16"/>
        </w:rPr>
        <w:t>a</w:t>
      </w:r>
      <w:r>
        <w:rPr>
          <w:spacing w:val="-8"/>
          <w:sz w:val="16"/>
        </w:rPr>
        <w:t> </w:t>
      </w:r>
      <w:r>
        <w:rPr>
          <w:sz w:val="16"/>
        </w:rPr>
        <w:t>pie</w:t>
      </w:r>
      <w:r>
        <w:rPr>
          <w:spacing w:val="-7"/>
          <w:sz w:val="16"/>
        </w:rPr>
        <w:t> </w:t>
      </w:r>
      <w:r>
        <w:rPr>
          <w:sz w:val="16"/>
        </w:rPr>
        <w:t>de</w:t>
      </w:r>
      <w:r>
        <w:rPr>
          <w:spacing w:val="-7"/>
          <w:sz w:val="16"/>
        </w:rPr>
        <w:t> </w:t>
      </w:r>
      <w:r>
        <w:rPr>
          <w:sz w:val="16"/>
        </w:rPr>
        <w:t>página</w:t>
      </w:r>
      <w:r>
        <w:rPr>
          <w:spacing w:val="-8"/>
          <w:sz w:val="16"/>
        </w:rPr>
        <w:t> </w:t>
      </w:r>
      <w:r>
        <w:rPr>
          <w:sz w:val="16"/>
        </w:rPr>
        <w:t>40). La Corte aclara que son consistentes con el entendimiento referido las pautas o criterios jurisprudenciales de este Tribunal que se expresan en la presente Sentencia. Por otra parte, en tanto que los hechos del presente caso abarcan un prolongado período, este Tribunal considera útil dejar sentado que Argentina, con base en distintas disposiciones normativas internacionales (y también internas), ha tenido obligaciones respecto </w:t>
      </w:r>
      <w:r>
        <w:rPr>
          <w:spacing w:val="-3"/>
          <w:sz w:val="16"/>
        </w:rPr>
        <w:t>de </w:t>
      </w:r>
      <w:r>
        <w:rPr>
          <w:sz w:val="16"/>
        </w:rPr>
        <w:t>pueblos</w:t>
      </w:r>
      <w:r>
        <w:rPr>
          <w:spacing w:val="-10"/>
          <w:sz w:val="16"/>
        </w:rPr>
        <w:t> </w:t>
      </w:r>
      <w:r>
        <w:rPr>
          <w:sz w:val="16"/>
        </w:rPr>
        <w:t>indígenas</w:t>
      </w:r>
      <w:r>
        <w:rPr>
          <w:spacing w:val="-12"/>
          <w:sz w:val="16"/>
        </w:rPr>
        <w:t> </w:t>
      </w:r>
      <w:r>
        <w:rPr>
          <w:sz w:val="16"/>
        </w:rPr>
        <w:t>durante</w:t>
      </w:r>
      <w:r>
        <w:rPr>
          <w:spacing w:val="-12"/>
          <w:sz w:val="16"/>
        </w:rPr>
        <w:t> </w:t>
      </w:r>
      <w:r>
        <w:rPr>
          <w:sz w:val="16"/>
        </w:rPr>
        <w:t>todo</w:t>
      </w:r>
      <w:r>
        <w:rPr>
          <w:spacing w:val="-10"/>
          <w:sz w:val="16"/>
        </w:rPr>
        <w:t> </w:t>
      </w:r>
      <w:r>
        <w:rPr>
          <w:sz w:val="16"/>
        </w:rPr>
        <w:t>el</w:t>
      </w:r>
      <w:r>
        <w:rPr>
          <w:spacing w:val="-13"/>
          <w:sz w:val="16"/>
        </w:rPr>
        <w:t> </w:t>
      </w:r>
      <w:r>
        <w:rPr>
          <w:sz w:val="16"/>
        </w:rPr>
        <w:t>tiempo</w:t>
      </w:r>
      <w:r>
        <w:rPr>
          <w:spacing w:val="-11"/>
          <w:sz w:val="16"/>
        </w:rPr>
        <w:t> </w:t>
      </w:r>
      <w:r>
        <w:rPr>
          <w:sz w:val="16"/>
        </w:rPr>
        <w:t>que</w:t>
      </w:r>
      <w:r>
        <w:rPr>
          <w:spacing w:val="-12"/>
          <w:sz w:val="16"/>
        </w:rPr>
        <w:t> </w:t>
      </w:r>
      <w:r>
        <w:rPr>
          <w:sz w:val="16"/>
        </w:rPr>
        <w:t>cabe</w:t>
      </w:r>
      <w:r>
        <w:rPr>
          <w:spacing w:val="-10"/>
          <w:sz w:val="16"/>
        </w:rPr>
        <w:t> </w:t>
      </w:r>
      <w:r>
        <w:rPr>
          <w:sz w:val="16"/>
        </w:rPr>
        <w:t>tener</w:t>
      </w:r>
      <w:r>
        <w:rPr>
          <w:spacing w:val="-11"/>
          <w:sz w:val="16"/>
        </w:rPr>
        <w:t> </w:t>
      </w:r>
      <w:r>
        <w:rPr>
          <w:sz w:val="16"/>
        </w:rPr>
        <w:t>en</w:t>
      </w:r>
      <w:r>
        <w:rPr>
          <w:spacing w:val="-13"/>
          <w:sz w:val="16"/>
        </w:rPr>
        <w:t> </w:t>
      </w:r>
      <w:r>
        <w:rPr>
          <w:sz w:val="16"/>
        </w:rPr>
        <w:t>cuenta.</w:t>
      </w:r>
      <w:r>
        <w:rPr>
          <w:spacing w:val="-11"/>
          <w:sz w:val="16"/>
        </w:rPr>
        <w:t> </w:t>
      </w:r>
      <w:r>
        <w:rPr>
          <w:sz w:val="16"/>
        </w:rPr>
        <w:t>Antes</w:t>
      </w:r>
      <w:r>
        <w:rPr>
          <w:spacing w:val="-12"/>
          <w:sz w:val="16"/>
        </w:rPr>
        <w:t> </w:t>
      </w:r>
      <w:r>
        <w:rPr>
          <w:sz w:val="16"/>
        </w:rPr>
        <w:t>de</w:t>
      </w:r>
      <w:r>
        <w:rPr>
          <w:spacing w:val="-12"/>
          <w:sz w:val="16"/>
        </w:rPr>
        <w:t> </w:t>
      </w:r>
      <w:r>
        <w:rPr>
          <w:sz w:val="16"/>
        </w:rPr>
        <w:t>1984,</w:t>
      </w:r>
      <w:r>
        <w:rPr>
          <w:spacing w:val="-13"/>
          <w:sz w:val="16"/>
        </w:rPr>
        <w:t> </w:t>
      </w:r>
      <w:r>
        <w:rPr>
          <w:sz w:val="16"/>
        </w:rPr>
        <w:t>en</w:t>
      </w:r>
      <w:r>
        <w:rPr>
          <w:spacing w:val="-13"/>
          <w:sz w:val="16"/>
        </w:rPr>
        <w:t> </w:t>
      </w:r>
      <w:r>
        <w:rPr>
          <w:sz w:val="16"/>
        </w:rPr>
        <w:t>1959</w:t>
      </w:r>
      <w:r>
        <w:rPr>
          <w:spacing w:val="-11"/>
          <w:sz w:val="16"/>
        </w:rPr>
        <w:t> </w:t>
      </w:r>
      <w:r>
        <w:rPr>
          <w:sz w:val="16"/>
        </w:rPr>
        <w:t>y</w:t>
      </w:r>
      <w:r>
        <w:rPr>
          <w:spacing w:val="-11"/>
          <w:sz w:val="16"/>
        </w:rPr>
        <w:t> </w:t>
      </w:r>
      <w:r>
        <w:rPr>
          <w:sz w:val="16"/>
        </w:rPr>
        <w:t>1960,</w:t>
      </w:r>
      <w:r>
        <w:rPr>
          <w:spacing w:val="-13"/>
          <w:sz w:val="16"/>
        </w:rPr>
        <w:t> </w:t>
      </w:r>
      <w:r>
        <w:rPr>
          <w:sz w:val="16"/>
        </w:rPr>
        <w:t>Argentina había,</w:t>
      </w:r>
      <w:r>
        <w:rPr>
          <w:spacing w:val="-4"/>
          <w:sz w:val="16"/>
        </w:rPr>
        <w:t> </w:t>
      </w:r>
      <w:r>
        <w:rPr>
          <w:sz w:val="16"/>
        </w:rPr>
        <w:t>respectivamente,</w:t>
      </w:r>
      <w:r>
        <w:rPr>
          <w:spacing w:val="-3"/>
          <w:sz w:val="16"/>
        </w:rPr>
        <w:t> </w:t>
      </w:r>
      <w:r>
        <w:rPr>
          <w:sz w:val="16"/>
        </w:rPr>
        <w:t>aprobado</w:t>
      </w:r>
      <w:r>
        <w:rPr>
          <w:spacing w:val="-4"/>
          <w:sz w:val="16"/>
        </w:rPr>
        <w:t> </w:t>
      </w:r>
      <w:r>
        <w:rPr>
          <w:sz w:val="16"/>
        </w:rPr>
        <w:t>y</w:t>
      </w:r>
      <w:r>
        <w:rPr>
          <w:spacing w:val="-4"/>
          <w:sz w:val="16"/>
        </w:rPr>
        <w:t> </w:t>
      </w:r>
      <w:r>
        <w:rPr>
          <w:sz w:val="16"/>
        </w:rPr>
        <w:t>ratificado</w:t>
      </w:r>
      <w:r>
        <w:rPr>
          <w:spacing w:val="-4"/>
          <w:sz w:val="16"/>
        </w:rPr>
        <w:t> </w:t>
      </w:r>
      <w:r>
        <w:rPr>
          <w:sz w:val="16"/>
        </w:rPr>
        <w:t>el</w:t>
      </w:r>
      <w:r>
        <w:rPr>
          <w:spacing w:val="-6"/>
          <w:sz w:val="16"/>
        </w:rPr>
        <w:t> </w:t>
      </w:r>
      <w:r>
        <w:rPr>
          <w:sz w:val="16"/>
        </w:rPr>
        <w:t>Convenio</w:t>
      </w:r>
      <w:r>
        <w:rPr>
          <w:spacing w:val="-4"/>
          <w:sz w:val="16"/>
        </w:rPr>
        <w:t> </w:t>
      </w:r>
      <w:r>
        <w:rPr>
          <w:sz w:val="16"/>
        </w:rPr>
        <w:t>107</w:t>
      </w:r>
      <w:r>
        <w:rPr>
          <w:spacing w:val="-4"/>
          <w:sz w:val="16"/>
        </w:rPr>
        <w:t> </w:t>
      </w:r>
      <w:r>
        <w:rPr>
          <w:sz w:val="16"/>
        </w:rPr>
        <w:t>de</w:t>
      </w:r>
      <w:r>
        <w:rPr>
          <w:spacing w:val="-2"/>
          <w:sz w:val="16"/>
        </w:rPr>
        <w:t> </w:t>
      </w:r>
      <w:r>
        <w:rPr>
          <w:sz w:val="16"/>
        </w:rPr>
        <w:t>la</w:t>
      </w:r>
      <w:r>
        <w:rPr>
          <w:spacing w:val="-6"/>
          <w:sz w:val="16"/>
        </w:rPr>
        <w:t> </w:t>
      </w:r>
      <w:r>
        <w:rPr>
          <w:sz w:val="16"/>
        </w:rPr>
        <w:t>OIT</w:t>
      </w:r>
      <w:r>
        <w:rPr>
          <w:spacing w:val="-6"/>
          <w:sz w:val="16"/>
        </w:rPr>
        <w:t> </w:t>
      </w:r>
      <w:r>
        <w:rPr>
          <w:sz w:val="16"/>
        </w:rPr>
        <w:t>(</w:t>
      </w:r>
      <w:r>
        <w:rPr>
          <w:i/>
          <w:sz w:val="16"/>
        </w:rPr>
        <w:t>supra</w:t>
      </w:r>
      <w:r>
        <w:rPr>
          <w:i/>
          <w:spacing w:val="-5"/>
          <w:sz w:val="16"/>
        </w:rPr>
        <w:t> </w:t>
      </w:r>
      <w:r>
        <w:rPr>
          <w:sz w:val="16"/>
        </w:rPr>
        <w:t>nota</w:t>
      </w:r>
      <w:r>
        <w:rPr>
          <w:spacing w:val="-6"/>
          <w:sz w:val="16"/>
        </w:rPr>
        <w:t> </w:t>
      </w:r>
      <w:r>
        <w:rPr>
          <w:sz w:val="16"/>
        </w:rPr>
        <w:t>a</w:t>
      </w:r>
      <w:r>
        <w:rPr>
          <w:spacing w:val="-6"/>
          <w:sz w:val="16"/>
        </w:rPr>
        <w:t> </w:t>
      </w:r>
      <w:r>
        <w:rPr>
          <w:sz w:val="16"/>
        </w:rPr>
        <w:t>pie</w:t>
      </w:r>
      <w:r>
        <w:rPr>
          <w:spacing w:val="-5"/>
          <w:sz w:val="16"/>
        </w:rPr>
        <w:t> </w:t>
      </w:r>
      <w:r>
        <w:rPr>
          <w:sz w:val="16"/>
        </w:rPr>
        <w:t>de</w:t>
      </w:r>
      <w:r>
        <w:rPr>
          <w:spacing w:val="-7"/>
          <w:sz w:val="16"/>
        </w:rPr>
        <w:t> </w:t>
      </w:r>
      <w:r>
        <w:rPr>
          <w:sz w:val="16"/>
        </w:rPr>
        <w:t>página</w:t>
      </w:r>
      <w:r>
        <w:rPr>
          <w:spacing w:val="-6"/>
          <w:sz w:val="16"/>
        </w:rPr>
        <w:t> </w:t>
      </w:r>
      <w:r>
        <w:rPr>
          <w:sz w:val="16"/>
        </w:rPr>
        <w:t>40),</w:t>
      </w:r>
      <w:r>
        <w:rPr>
          <w:spacing w:val="-6"/>
          <w:sz w:val="16"/>
        </w:rPr>
        <w:t> </w:t>
      </w:r>
      <w:r>
        <w:rPr>
          <w:sz w:val="16"/>
        </w:rPr>
        <w:t>que mandaba</w:t>
      </w:r>
      <w:r>
        <w:rPr>
          <w:spacing w:val="-7"/>
          <w:sz w:val="16"/>
        </w:rPr>
        <w:t> </w:t>
      </w:r>
      <w:r>
        <w:rPr>
          <w:sz w:val="16"/>
        </w:rPr>
        <w:t>“reconocer</w:t>
      </w:r>
      <w:r>
        <w:rPr>
          <w:spacing w:val="-3"/>
          <w:sz w:val="16"/>
        </w:rPr>
        <w:t> </w:t>
      </w:r>
      <w:r>
        <w:rPr>
          <w:sz w:val="16"/>
        </w:rPr>
        <w:t>el</w:t>
      </w:r>
      <w:r>
        <w:rPr>
          <w:spacing w:val="-6"/>
          <w:sz w:val="16"/>
        </w:rPr>
        <w:t> </w:t>
      </w:r>
      <w:r>
        <w:rPr>
          <w:sz w:val="16"/>
        </w:rPr>
        <w:t>derecho</w:t>
      </w:r>
      <w:r>
        <w:rPr>
          <w:spacing w:val="-3"/>
          <w:sz w:val="16"/>
        </w:rPr>
        <w:t> </w:t>
      </w:r>
      <w:r>
        <w:rPr>
          <w:sz w:val="16"/>
        </w:rPr>
        <w:t>de</w:t>
      </w:r>
      <w:r>
        <w:rPr>
          <w:spacing w:val="-6"/>
          <w:sz w:val="16"/>
        </w:rPr>
        <w:t> </w:t>
      </w:r>
      <w:r>
        <w:rPr>
          <w:sz w:val="16"/>
        </w:rPr>
        <w:t>propiedad”</w:t>
      </w:r>
      <w:r>
        <w:rPr>
          <w:spacing w:val="-5"/>
          <w:sz w:val="16"/>
        </w:rPr>
        <w:t> </w:t>
      </w:r>
      <w:r>
        <w:rPr>
          <w:sz w:val="16"/>
        </w:rPr>
        <w:t>de</w:t>
      </w:r>
      <w:r>
        <w:rPr>
          <w:spacing w:val="-3"/>
          <w:sz w:val="16"/>
        </w:rPr>
        <w:t> </w:t>
      </w:r>
      <w:r>
        <w:rPr>
          <w:sz w:val="16"/>
        </w:rPr>
        <w:t>tierras</w:t>
      </w:r>
      <w:r>
        <w:rPr>
          <w:spacing w:val="-3"/>
          <w:sz w:val="16"/>
        </w:rPr>
        <w:t> </w:t>
      </w:r>
      <w:r>
        <w:rPr>
          <w:sz w:val="16"/>
        </w:rPr>
        <w:t>indígenas.</w:t>
      </w:r>
      <w:r>
        <w:rPr>
          <w:spacing w:val="-4"/>
          <w:sz w:val="16"/>
        </w:rPr>
        <w:t> </w:t>
      </w:r>
      <w:r>
        <w:rPr>
          <w:sz w:val="16"/>
        </w:rPr>
        <w:t>Por</w:t>
      </w:r>
      <w:r>
        <w:rPr>
          <w:spacing w:val="-5"/>
          <w:sz w:val="16"/>
        </w:rPr>
        <w:t> </w:t>
      </w:r>
      <w:r>
        <w:rPr>
          <w:sz w:val="16"/>
        </w:rPr>
        <w:t>otra</w:t>
      </w:r>
      <w:r>
        <w:rPr>
          <w:spacing w:val="-7"/>
          <w:sz w:val="16"/>
        </w:rPr>
        <w:t> </w:t>
      </w:r>
      <w:r>
        <w:rPr>
          <w:sz w:val="16"/>
        </w:rPr>
        <w:t>parte,</w:t>
      </w:r>
      <w:r>
        <w:rPr>
          <w:spacing w:val="-7"/>
          <w:sz w:val="16"/>
        </w:rPr>
        <w:t> </w:t>
      </w:r>
      <w:r>
        <w:rPr>
          <w:sz w:val="16"/>
        </w:rPr>
        <w:t>en</w:t>
      </w:r>
      <w:r>
        <w:rPr>
          <w:spacing w:val="-7"/>
          <w:sz w:val="16"/>
        </w:rPr>
        <w:t> </w:t>
      </w:r>
      <w:r>
        <w:rPr>
          <w:sz w:val="16"/>
        </w:rPr>
        <w:t>1985</w:t>
      </w:r>
      <w:r>
        <w:rPr>
          <w:spacing w:val="-3"/>
          <w:sz w:val="16"/>
        </w:rPr>
        <w:t> </w:t>
      </w:r>
      <w:r>
        <w:rPr>
          <w:sz w:val="16"/>
        </w:rPr>
        <w:t>se</w:t>
      </w:r>
      <w:r>
        <w:rPr>
          <w:spacing w:val="-3"/>
          <w:sz w:val="16"/>
        </w:rPr>
        <w:t> </w:t>
      </w:r>
      <w:r>
        <w:rPr>
          <w:sz w:val="16"/>
        </w:rPr>
        <w:t>sancionó</w:t>
      </w:r>
      <w:r>
        <w:rPr>
          <w:spacing w:val="-3"/>
          <w:sz w:val="16"/>
        </w:rPr>
        <w:t> </w:t>
      </w:r>
      <w:r>
        <w:rPr>
          <w:sz w:val="16"/>
        </w:rPr>
        <w:t>la</w:t>
      </w:r>
      <w:r>
        <w:rPr>
          <w:spacing w:val="-4"/>
          <w:sz w:val="16"/>
        </w:rPr>
        <w:t> </w:t>
      </w:r>
      <w:r>
        <w:rPr>
          <w:sz w:val="16"/>
        </w:rPr>
        <w:t>ley nacional</w:t>
      </w:r>
      <w:r>
        <w:rPr>
          <w:spacing w:val="-12"/>
          <w:sz w:val="16"/>
        </w:rPr>
        <w:t> </w:t>
      </w:r>
      <w:r>
        <w:rPr>
          <w:sz w:val="16"/>
        </w:rPr>
        <w:t>23.302</w:t>
      </w:r>
      <w:r>
        <w:rPr>
          <w:spacing w:val="-10"/>
          <w:sz w:val="16"/>
        </w:rPr>
        <w:t> </w:t>
      </w:r>
      <w:r>
        <w:rPr>
          <w:sz w:val="16"/>
        </w:rPr>
        <w:t>(</w:t>
      </w:r>
      <w:r>
        <w:rPr>
          <w:i/>
          <w:sz w:val="16"/>
        </w:rPr>
        <w:t>supra</w:t>
      </w:r>
      <w:r>
        <w:rPr>
          <w:i/>
          <w:spacing w:val="-16"/>
          <w:sz w:val="16"/>
        </w:rPr>
        <w:t> </w:t>
      </w:r>
      <w:r>
        <w:rPr>
          <w:sz w:val="16"/>
        </w:rPr>
        <w:t>párr.</w:t>
      </w:r>
      <w:r>
        <w:rPr>
          <w:spacing w:val="-14"/>
          <w:sz w:val="16"/>
        </w:rPr>
        <w:t> </w:t>
      </w:r>
      <w:r>
        <w:rPr>
          <w:sz w:val="16"/>
        </w:rPr>
        <w:t>54),</w:t>
      </w:r>
      <w:r>
        <w:rPr>
          <w:spacing w:val="-14"/>
          <w:sz w:val="16"/>
        </w:rPr>
        <w:t> </w:t>
      </w:r>
      <w:r>
        <w:rPr>
          <w:sz w:val="16"/>
        </w:rPr>
        <w:t>que</w:t>
      </w:r>
      <w:r>
        <w:rPr>
          <w:spacing w:val="-13"/>
          <w:sz w:val="16"/>
        </w:rPr>
        <w:t> </w:t>
      </w:r>
      <w:r>
        <w:rPr>
          <w:sz w:val="16"/>
        </w:rPr>
        <w:t>entre</w:t>
      </w:r>
      <w:r>
        <w:rPr>
          <w:spacing w:val="-13"/>
          <w:sz w:val="16"/>
        </w:rPr>
        <w:t> </w:t>
      </w:r>
      <w:r>
        <w:rPr>
          <w:sz w:val="16"/>
        </w:rPr>
        <w:t>sus</w:t>
      </w:r>
      <w:r>
        <w:rPr>
          <w:spacing w:val="-13"/>
          <w:sz w:val="16"/>
        </w:rPr>
        <w:t> </w:t>
      </w:r>
      <w:r>
        <w:rPr>
          <w:sz w:val="16"/>
        </w:rPr>
        <w:t>disposiciones</w:t>
      </w:r>
      <w:r>
        <w:rPr>
          <w:spacing w:val="-13"/>
          <w:sz w:val="16"/>
        </w:rPr>
        <w:t> </w:t>
      </w:r>
      <w:r>
        <w:rPr>
          <w:sz w:val="16"/>
        </w:rPr>
        <w:t>prevé</w:t>
      </w:r>
      <w:r>
        <w:rPr>
          <w:spacing w:val="-13"/>
          <w:sz w:val="16"/>
        </w:rPr>
        <w:t> </w:t>
      </w:r>
      <w:r>
        <w:rPr>
          <w:sz w:val="16"/>
        </w:rPr>
        <w:t>acciones</w:t>
      </w:r>
      <w:r>
        <w:rPr>
          <w:spacing w:val="-15"/>
          <w:sz w:val="16"/>
        </w:rPr>
        <w:t> </w:t>
      </w:r>
      <w:r>
        <w:rPr>
          <w:sz w:val="16"/>
        </w:rPr>
        <w:t>para</w:t>
      </w:r>
      <w:r>
        <w:rPr>
          <w:spacing w:val="-14"/>
          <w:sz w:val="16"/>
        </w:rPr>
        <w:t> </w:t>
      </w:r>
      <w:r>
        <w:rPr>
          <w:sz w:val="16"/>
        </w:rPr>
        <w:t>la</w:t>
      </w:r>
      <w:r>
        <w:rPr>
          <w:spacing w:val="-14"/>
          <w:sz w:val="16"/>
        </w:rPr>
        <w:t> </w:t>
      </w:r>
      <w:r>
        <w:rPr>
          <w:sz w:val="16"/>
        </w:rPr>
        <w:t>adjudicación</w:t>
      </w:r>
      <w:r>
        <w:rPr>
          <w:spacing w:val="-14"/>
          <w:sz w:val="16"/>
        </w:rPr>
        <w:t> </w:t>
      </w:r>
      <w:r>
        <w:rPr>
          <w:sz w:val="16"/>
        </w:rPr>
        <w:t>en</w:t>
      </w:r>
      <w:r>
        <w:rPr>
          <w:spacing w:val="-14"/>
          <w:sz w:val="16"/>
        </w:rPr>
        <w:t> </w:t>
      </w:r>
      <w:r>
        <w:rPr>
          <w:sz w:val="16"/>
        </w:rPr>
        <w:t>propiedad de tierras fiscales nacionales y provinciales a comunidades indígenas y el reconocimiento de su personería jurídica.</w:t>
      </w:r>
      <w:r>
        <w:rPr>
          <w:spacing w:val="-10"/>
          <w:sz w:val="16"/>
        </w:rPr>
        <w:t> </w:t>
      </w:r>
      <w:r>
        <w:rPr>
          <w:sz w:val="16"/>
        </w:rPr>
        <w:t>Dicha</w:t>
      </w:r>
      <w:r>
        <w:rPr>
          <w:spacing w:val="-9"/>
          <w:sz w:val="16"/>
        </w:rPr>
        <w:t> </w:t>
      </w:r>
      <w:r>
        <w:rPr>
          <w:sz w:val="16"/>
        </w:rPr>
        <w:t>ley</w:t>
      </w:r>
      <w:r>
        <w:rPr>
          <w:spacing w:val="-8"/>
          <w:sz w:val="16"/>
        </w:rPr>
        <w:t> </w:t>
      </w:r>
      <w:r>
        <w:rPr>
          <w:sz w:val="16"/>
        </w:rPr>
        <w:t>fue</w:t>
      </w:r>
      <w:r>
        <w:rPr>
          <w:spacing w:val="-8"/>
          <w:sz w:val="16"/>
        </w:rPr>
        <w:t> </w:t>
      </w:r>
      <w:r>
        <w:rPr>
          <w:sz w:val="16"/>
        </w:rPr>
        <w:t>reglamentada</w:t>
      </w:r>
      <w:r>
        <w:rPr>
          <w:spacing w:val="-9"/>
          <w:sz w:val="16"/>
        </w:rPr>
        <w:t> </w:t>
      </w:r>
      <w:r>
        <w:rPr>
          <w:sz w:val="16"/>
        </w:rPr>
        <w:t>en</w:t>
      </w:r>
      <w:r>
        <w:rPr>
          <w:spacing w:val="-9"/>
          <w:sz w:val="16"/>
        </w:rPr>
        <w:t> </w:t>
      </w:r>
      <w:r>
        <w:rPr>
          <w:sz w:val="16"/>
        </w:rPr>
        <w:t>1989</w:t>
      </w:r>
      <w:r>
        <w:rPr>
          <w:spacing w:val="-10"/>
          <w:sz w:val="16"/>
        </w:rPr>
        <w:t> </w:t>
      </w:r>
      <w:r>
        <w:rPr>
          <w:sz w:val="16"/>
        </w:rPr>
        <w:t>por</w:t>
      </w:r>
      <w:r>
        <w:rPr>
          <w:spacing w:val="-8"/>
          <w:sz w:val="16"/>
        </w:rPr>
        <w:t> </w:t>
      </w:r>
      <w:r>
        <w:rPr>
          <w:sz w:val="16"/>
        </w:rPr>
        <w:t>el</w:t>
      </w:r>
      <w:r>
        <w:rPr>
          <w:spacing w:val="-12"/>
          <w:sz w:val="16"/>
        </w:rPr>
        <w:t> </w:t>
      </w:r>
      <w:r>
        <w:rPr>
          <w:sz w:val="16"/>
        </w:rPr>
        <w:t>Decreto</w:t>
      </w:r>
      <w:r>
        <w:rPr>
          <w:spacing w:val="-10"/>
          <w:sz w:val="16"/>
        </w:rPr>
        <w:t> </w:t>
      </w:r>
      <w:r>
        <w:rPr>
          <w:sz w:val="16"/>
        </w:rPr>
        <w:t>155</w:t>
      </w:r>
      <w:r>
        <w:rPr>
          <w:spacing w:val="-10"/>
          <w:sz w:val="16"/>
        </w:rPr>
        <w:t> </w:t>
      </w:r>
      <w:r>
        <w:rPr>
          <w:sz w:val="16"/>
        </w:rPr>
        <w:t>del</w:t>
      </w:r>
      <w:r>
        <w:rPr>
          <w:spacing w:val="-9"/>
          <w:sz w:val="16"/>
        </w:rPr>
        <w:t> </w:t>
      </w:r>
      <w:r>
        <w:rPr>
          <w:sz w:val="16"/>
        </w:rPr>
        <w:t>Poder</w:t>
      </w:r>
      <w:r>
        <w:rPr>
          <w:spacing w:val="-10"/>
          <w:sz w:val="16"/>
        </w:rPr>
        <w:t> </w:t>
      </w:r>
      <w:r>
        <w:rPr>
          <w:sz w:val="16"/>
        </w:rPr>
        <w:t>Ejecutivo</w:t>
      </w:r>
      <w:r>
        <w:rPr>
          <w:spacing w:val="-10"/>
          <w:sz w:val="16"/>
        </w:rPr>
        <w:t> </w:t>
      </w:r>
      <w:r>
        <w:rPr>
          <w:sz w:val="16"/>
        </w:rPr>
        <w:t>Nacional</w:t>
      </w:r>
      <w:r>
        <w:rPr>
          <w:spacing w:val="-5"/>
          <w:sz w:val="16"/>
        </w:rPr>
        <w:t> </w:t>
      </w:r>
      <w:r>
        <w:rPr>
          <w:sz w:val="16"/>
        </w:rPr>
        <w:t>(</w:t>
      </w:r>
      <w:r>
        <w:rPr>
          <w:i/>
          <w:sz w:val="16"/>
        </w:rPr>
        <w:t>supra</w:t>
      </w:r>
      <w:r>
        <w:rPr>
          <w:i/>
          <w:spacing w:val="-8"/>
          <w:sz w:val="16"/>
        </w:rPr>
        <w:t> </w:t>
      </w:r>
      <w:r>
        <w:rPr>
          <w:sz w:val="16"/>
        </w:rPr>
        <w:t>párr.</w:t>
      </w:r>
      <w:r>
        <w:rPr>
          <w:spacing w:val="-12"/>
          <w:sz w:val="16"/>
        </w:rPr>
        <w:t> </w:t>
      </w:r>
      <w:r>
        <w:rPr>
          <w:sz w:val="16"/>
        </w:rPr>
        <w:t>54). Además,</w:t>
      </w:r>
      <w:r>
        <w:rPr>
          <w:spacing w:val="-3"/>
          <w:sz w:val="16"/>
        </w:rPr>
        <w:t> </w:t>
      </w:r>
      <w:r>
        <w:rPr>
          <w:sz w:val="16"/>
        </w:rPr>
        <w:t>las</w:t>
      </w:r>
      <w:r>
        <w:rPr>
          <w:spacing w:val="-2"/>
          <w:sz w:val="16"/>
        </w:rPr>
        <w:t> </w:t>
      </w:r>
      <w:r>
        <w:rPr>
          <w:sz w:val="16"/>
        </w:rPr>
        <w:t>reformas</w:t>
      </w:r>
      <w:r>
        <w:rPr>
          <w:spacing w:val="-5"/>
          <w:sz w:val="16"/>
        </w:rPr>
        <w:t> </w:t>
      </w:r>
      <w:r>
        <w:rPr>
          <w:sz w:val="16"/>
        </w:rPr>
        <w:t>de</w:t>
      </w:r>
      <w:r>
        <w:rPr>
          <w:spacing w:val="-5"/>
          <w:sz w:val="16"/>
        </w:rPr>
        <w:t> </w:t>
      </w:r>
      <w:r>
        <w:rPr>
          <w:sz w:val="16"/>
        </w:rPr>
        <w:t>la</w:t>
      </w:r>
      <w:r>
        <w:rPr>
          <w:spacing w:val="-3"/>
          <w:sz w:val="16"/>
        </w:rPr>
        <w:t> </w:t>
      </w:r>
      <w:r>
        <w:rPr>
          <w:sz w:val="16"/>
        </w:rPr>
        <w:t>Constitución</w:t>
      </w:r>
      <w:r>
        <w:rPr>
          <w:spacing w:val="-3"/>
          <w:sz w:val="16"/>
        </w:rPr>
        <w:t> </w:t>
      </w:r>
      <w:r>
        <w:rPr>
          <w:sz w:val="16"/>
        </w:rPr>
        <w:t>Nacional</w:t>
      </w:r>
      <w:r>
        <w:rPr>
          <w:spacing w:val="-3"/>
          <w:sz w:val="16"/>
        </w:rPr>
        <w:t> </w:t>
      </w:r>
      <w:r>
        <w:rPr>
          <w:sz w:val="16"/>
        </w:rPr>
        <w:t>de</w:t>
      </w:r>
      <w:r>
        <w:rPr>
          <w:spacing w:val="-5"/>
          <w:sz w:val="16"/>
        </w:rPr>
        <w:t> </w:t>
      </w:r>
      <w:r>
        <w:rPr>
          <w:sz w:val="16"/>
        </w:rPr>
        <w:t>1994</w:t>
      </w:r>
      <w:r>
        <w:rPr>
          <w:spacing w:val="-4"/>
          <w:sz w:val="16"/>
        </w:rPr>
        <w:t> </w:t>
      </w:r>
      <w:r>
        <w:rPr>
          <w:sz w:val="16"/>
        </w:rPr>
        <w:t>y</w:t>
      </w:r>
      <w:r>
        <w:rPr>
          <w:spacing w:val="-2"/>
          <w:sz w:val="16"/>
        </w:rPr>
        <w:t> </w:t>
      </w:r>
      <w:r>
        <w:rPr>
          <w:sz w:val="16"/>
        </w:rPr>
        <w:t>de</w:t>
      </w:r>
      <w:r>
        <w:rPr>
          <w:spacing w:val="-2"/>
          <w:sz w:val="16"/>
        </w:rPr>
        <w:t> </w:t>
      </w:r>
      <w:r>
        <w:rPr>
          <w:sz w:val="16"/>
        </w:rPr>
        <w:t>la</w:t>
      </w:r>
      <w:r>
        <w:rPr>
          <w:spacing w:val="-3"/>
          <w:sz w:val="16"/>
        </w:rPr>
        <w:t> </w:t>
      </w:r>
      <w:r>
        <w:rPr>
          <w:sz w:val="16"/>
        </w:rPr>
        <w:t>Constitución</w:t>
      </w:r>
      <w:r>
        <w:rPr>
          <w:spacing w:val="-3"/>
          <w:sz w:val="16"/>
        </w:rPr>
        <w:t> </w:t>
      </w:r>
      <w:r>
        <w:rPr>
          <w:sz w:val="16"/>
        </w:rPr>
        <w:t>de</w:t>
      </w:r>
      <w:r>
        <w:rPr>
          <w:spacing w:val="-2"/>
          <w:sz w:val="16"/>
        </w:rPr>
        <w:t> </w:t>
      </w:r>
      <w:r>
        <w:rPr>
          <w:sz w:val="16"/>
        </w:rPr>
        <w:t>Salta</w:t>
      </w:r>
      <w:r>
        <w:rPr>
          <w:spacing w:val="-3"/>
          <w:sz w:val="16"/>
        </w:rPr>
        <w:t> </w:t>
      </w:r>
      <w:r>
        <w:rPr>
          <w:sz w:val="16"/>
        </w:rPr>
        <w:t>de</w:t>
      </w:r>
      <w:r>
        <w:rPr>
          <w:spacing w:val="-2"/>
          <w:sz w:val="16"/>
        </w:rPr>
        <w:t> </w:t>
      </w:r>
      <w:r>
        <w:rPr>
          <w:sz w:val="16"/>
        </w:rPr>
        <w:t>1998</w:t>
      </w:r>
      <w:r>
        <w:rPr>
          <w:spacing w:val="-4"/>
          <w:sz w:val="16"/>
        </w:rPr>
        <w:t> </w:t>
      </w:r>
      <w:r>
        <w:rPr>
          <w:sz w:val="16"/>
        </w:rPr>
        <w:t>reconocieron obligaciones estatales respecto a pueblos indígenas (</w:t>
      </w:r>
      <w:r>
        <w:rPr>
          <w:i/>
          <w:sz w:val="16"/>
        </w:rPr>
        <w:t>supra </w:t>
      </w:r>
      <w:r>
        <w:rPr>
          <w:sz w:val="16"/>
        </w:rPr>
        <w:t>párrs. 54 y 55). Antes, en 1986, Salta aprobó la Ley No. 6.373 de “Promoción de Desarrollo del Aborigen” y en 1992, por medio de la ley provincial 6.681, adhirió</w:t>
      </w:r>
      <w:r>
        <w:rPr>
          <w:spacing w:val="-5"/>
          <w:sz w:val="16"/>
        </w:rPr>
        <w:t> </w:t>
      </w:r>
      <w:r>
        <w:rPr>
          <w:sz w:val="16"/>
        </w:rPr>
        <w:t>a</w:t>
      </w:r>
      <w:r>
        <w:rPr>
          <w:spacing w:val="-9"/>
          <w:sz w:val="16"/>
        </w:rPr>
        <w:t> </w:t>
      </w:r>
      <w:r>
        <w:rPr>
          <w:sz w:val="16"/>
        </w:rPr>
        <w:t>la</w:t>
      </w:r>
      <w:r>
        <w:rPr>
          <w:spacing w:val="-9"/>
          <w:sz w:val="16"/>
        </w:rPr>
        <w:t> </w:t>
      </w:r>
      <w:r>
        <w:rPr>
          <w:sz w:val="16"/>
        </w:rPr>
        <w:t>ley</w:t>
      </w:r>
      <w:r>
        <w:rPr>
          <w:spacing w:val="-7"/>
          <w:sz w:val="16"/>
        </w:rPr>
        <w:t> </w:t>
      </w:r>
      <w:r>
        <w:rPr>
          <w:sz w:val="16"/>
        </w:rPr>
        <w:t>nacional</w:t>
      </w:r>
      <w:r>
        <w:rPr>
          <w:spacing w:val="-9"/>
          <w:sz w:val="16"/>
        </w:rPr>
        <w:t> </w:t>
      </w:r>
      <w:r>
        <w:rPr>
          <w:sz w:val="16"/>
        </w:rPr>
        <w:t>23.302</w:t>
      </w:r>
      <w:r>
        <w:rPr>
          <w:spacing w:val="-5"/>
          <w:sz w:val="16"/>
        </w:rPr>
        <w:t> </w:t>
      </w:r>
      <w:r>
        <w:rPr>
          <w:sz w:val="16"/>
        </w:rPr>
        <w:t>(</w:t>
      </w:r>
      <w:r>
        <w:rPr>
          <w:i/>
          <w:sz w:val="16"/>
        </w:rPr>
        <w:t>supra</w:t>
      </w:r>
      <w:r>
        <w:rPr>
          <w:i/>
          <w:spacing w:val="-9"/>
          <w:sz w:val="16"/>
        </w:rPr>
        <w:t> </w:t>
      </w:r>
      <w:r>
        <w:rPr>
          <w:sz w:val="16"/>
        </w:rPr>
        <w:t>párr.</w:t>
      </w:r>
      <w:r>
        <w:rPr>
          <w:spacing w:val="-9"/>
          <w:sz w:val="16"/>
        </w:rPr>
        <w:t> </w:t>
      </w:r>
      <w:r>
        <w:rPr>
          <w:sz w:val="16"/>
        </w:rPr>
        <w:t>55).</w:t>
      </w:r>
      <w:r>
        <w:rPr>
          <w:spacing w:val="-7"/>
          <w:sz w:val="16"/>
        </w:rPr>
        <w:t> </w:t>
      </w:r>
      <w:r>
        <w:rPr>
          <w:sz w:val="16"/>
        </w:rPr>
        <w:t>Por</w:t>
      </w:r>
      <w:r>
        <w:rPr>
          <w:spacing w:val="-7"/>
          <w:sz w:val="16"/>
        </w:rPr>
        <w:t> </w:t>
      </w:r>
      <w:r>
        <w:rPr>
          <w:sz w:val="16"/>
        </w:rPr>
        <w:t>otra</w:t>
      </w:r>
      <w:r>
        <w:rPr>
          <w:spacing w:val="-9"/>
          <w:sz w:val="16"/>
        </w:rPr>
        <w:t> </w:t>
      </w:r>
      <w:r>
        <w:rPr>
          <w:sz w:val="16"/>
        </w:rPr>
        <w:t>parte,</w:t>
      </w:r>
      <w:r>
        <w:rPr>
          <w:spacing w:val="-7"/>
          <w:sz w:val="16"/>
        </w:rPr>
        <w:t> </w:t>
      </w:r>
      <w:r>
        <w:rPr>
          <w:sz w:val="16"/>
        </w:rPr>
        <w:t>es</w:t>
      </w:r>
      <w:r>
        <w:rPr>
          <w:spacing w:val="-8"/>
          <w:sz w:val="16"/>
        </w:rPr>
        <w:t> </w:t>
      </w:r>
      <w:r>
        <w:rPr>
          <w:sz w:val="16"/>
        </w:rPr>
        <w:t>pertinente</w:t>
      </w:r>
      <w:r>
        <w:rPr>
          <w:spacing w:val="-6"/>
          <w:sz w:val="16"/>
        </w:rPr>
        <w:t> </w:t>
      </w:r>
      <w:r>
        <w:rPr>
          <w:sz w:val="16"/>
        </w:rPr>
        <w:t>dejar</w:t>
      </w:r>
      <w:r>
        <w:rPr>
          <w:spacing w:val="-7"/>
          <w:sz w:val="16"/>
        </w:rPr>
        <w:t> </w:t>
      </w:r>
      <w:r>
        <w:rPr>
          <w:sz w:val="16"/>
        </w:rPr>
        <w:t>sentado</w:t>
      </w:r>
      <w:r>
        <w:rPr>
          <w:spacing w:val="-8"/>
          <w:sz w:val="16"/>
        </w:rPr>
        <w:t> </w:t>
      </w:r>
      <w:r>
        <w:rPr>
          <w:sz w:val="16"/>
        </w:rPr>
        <w:t>que</w:t>
      </w:r>
      <w:r>
        <w:rPr>
          <w:spacing w:val="-8"/>
          <w:sz w:val="16"/>
        </w:rPr>
        <w:t> </w:t>
      </w:r>
      <w:r>
        <w:rPr>
          <w:sz w:val="16"/>
        </w:rPr>
        <w:t>el</w:t>
      </w:r>
      <w:r>
        <w:rPr>
          <w:spacing w:val="-9"/>
          <w:sz w:val="16"/>
        </w:rPr>
        <w:t> </w:t>
      </w:r>
      <w:r>
        <w:rPr>
          <w:sz w:val="16"/>
        </w:rPr>
        <w:t>perito</w:t>
      </w:r>
      <w:r>
        <w:rPr>
          <w:spacing w:val="-8"/>
          <w:sz w:val="16"/>
        </w:rPr>
        <w:t> </w:t>
      </w:r>
      <w:r>
        <w:rPr>
          <w:sz w:val="16"/>
        </w:rPr>
        <w:t>Solá expresó</w:t>
      </w:r>
      <w:r>
        <w:rPr>
          <w:spacing w:val="-8"/>
          <w:sz w:val="16"/>
        </w:rPr>
        <w:t> </w:t>
      </w:r>
      <w:r>
        <w:rPr>
          <w:sz w:val="16"/>
        </w:rPr>
        <w:t>que</w:t>
      </w:r>
      <w:r>
        <w:rPr>
          <w:spacing w:val="-8"/>
          <w:sz w:val="16"/>
        </w:rPr>
        <w:t> </w:t>
      </w:r>
      <w:r>
        <w:rPr>
          <w:sz w:val="16"/>
        </w:rPr>
        <w:t>Argentina</w:t>
      </w:r>
      <w:r>
        <w:rPr>
          <w:spacing w:val="-9"/>
          <w:sz w:val="16"/>
        </w:rPr>
        <w:t> </w:t>
      </w:r>
      <w:r>
        <w:rPr>
          <w:sz w:val="16"/>
        </w:rPr>
        <w:t>votó</w:t>
      </w:r>
      <w:r>
        <w:rPr>
          <w:spacing w:val="-8"/>
          <w:sz w:val="16"/>
        </w:rPr>
        <w:t> </w:t>
      </w:r>
      <w:r>
        <w:rPr>
          <w:sz w:val="16"/>
        </w:rPr>
        <w:t>de</w:t>
      </w:r>
      <w:r>
        <w:rPr>
          <w:spacing w:val="-6"/>
          <w:sz w:val="16"/>
        </w:rPr>
        <w:t> </w:t>
      </w:r>
      <w:r>
        <w:rPr>
          <w:sz w:val="16"/>
        </w:rPr>
        <w:t>modo</w:t>
      </w:r>
      <w:r>
        <w:rPr>
          <w:spacing w:val="-5"/>
          <w:sz w:val="16"/>
        </w:rPr>
        <w:t> </w:t>
      </w:r>
      <w:r>
        <w:rPr>
          <w:sz w:val="16"/>
        </w:rPr>
        <w:t>afirmativo</w:t>
      </w:r>
      <w:r>
        <w:rPr>
          <w:spacing w:val="-8"/>
          <w:sz w:val="16"/>
        </w:rPr>
        <w:t> </w:t>
      </w:r>
      <w:r>
        <w:rPr>
          <w:sz w:val="16"/>
        </w:rPr>
        <w:t>por</w:t>
      </w:r>
      <w:r>
        <w:rPr>
          <w:spacing w:val="-5"/>
          <w:sz w:val="16"/>
        </w:rPr>
        <w:t> </w:t>
      </w:r>
      <w:r>
        <w:rPr>
          <w:sz w:val="16"/>
        </w:rPr>
        <w:t>la</w:t>
      </w:r>
      <w:r>
        <w:rPr>
          <w:spacing w:val="-9"/>
          <w:sz w:val="16"/>
        </w:rPr>
        <w:t> </w:t>
      </w:r>
      <w:r>
        <w:rPr>
          <w:sz w:val="16"/>
        </w:rPr>
        <w:t>aprobación</w:t>
      </w:r>
      <w:r>
        <w:rPr>
          <w:spacing w:val="-9"/>
          <w:sz w:val="16"/>
        </w:rPr>
        <w:t> </w:t>
      </w:r>
      <w:r>
        <w:rPr>
          <w:sz w:val="16"/>
        </w:rPr>
        <w:t>de</w:t>
      </w:r>
      <w:r>
        <w:rPr>
          <w:spacing w:val="-8"/>
          <w:sz w:val="16"/>
        </w:rPr>
        <w:t> </w:t>
      </w:r>
      <w:r>
        <w:rPr>
          <w:sz w:val="16"/>
        </w:rPr>
        <w:t>las</w:t>
      </w:r>
      <w:r>
        <w:rPr>
          <w:spacing w:val="-8"/>
          <w:sz w:val="16"/>
        </w:rPr>
        <w:t> </w:t>
      </w:r>
      <w:r>
        <w:rPr>
          <w:sz w:val="16"/>
        </w:rPr>
        <w:t>Declaraciones</w:t>
      </w:r>
      <w:r>
        <w:rPr>
          <w:spacing w:val="-8"/>
          <w:sz w:val="16"/>
        </w:rPr>
        <w:t> </w:t>
      </w:r>
      <w:r>
        <w:rPr>
          <w:sz w:val="16"/>
        </w:rPr>
        <w:t>de</w:t>
      </w:r>
      <w:r>
        <w:rPr>
          <w:spacing w:val="-8"/>
          <w:sz w:val="16"/>
        </w:rPr>
        <w:t> </w:t>
      </w:r>
      <w:r>
        <w:rPr>
          <w:sz w:val="16"/>
        </w:rPr>
        <w:t>las</w:t>
      </w:r>
      <w:r>
        <w:rPr>
          <w:spacing w:val="-6"/>
          <w:sz w:val="16"/>
        </w:rPr>
        <w:t> </w:t>
      </w:r>
      <w:r>
        <w:rPr>
          <w:sz w:val="16"/>
        </w:rPr>
        <w:t>Naciones</w:t>
      </w:r>
      <w:r>
        <w:rPr>
          <w:spacing w:val="-8"/>
          <w:sz w:val="16"/>
        </w:rPr>
        <w:t> </w:t>
      </w:r>
      <w:r>
        <w:rPr>
          <w:sz w:val="16"/>
        </w:rPr>
        <w:t>Unidas y Americana sobre Derechos de los Pueblos Indígenas. Lo mismo, respecto del primer texto, notó también la perita Yáñez Fuenzalida. La Corte, de modo complementario, tendrá en cuenta esos</w:t>
      </w:r>
      <w:r>
        <w:rPr>
          <w:spacing w:val="-24"/>
          <w:sz w:val="16"/>
        </w:rPr>
        <w:t> </w:t>
      </w:r>
      <w:r>
        <w:rPr>
          <w:sz w:val="16"/>
        </w:rPr>
        <w:t>instrumentos.</w:t>
      </w:r>
    </w:p>
    <w:p>
      <w:pPr>
        <w:pStyle w:val="BodyText"/>
        <w:spacing w:before="1"/>
        <w:rPr>
          <w:sz w:val="16"/>
        </w:rPr>
      </w:pPr>
    </w:p>
    <w:p>
      <w:pPr>
        <w:tabs>
          <w:tab w:pos="829" w:val="left" w:leader="none"/>
        </w:tabs>
        <w:spacing w:before="1"/>
        <w:ind w:left="122" w:right="112" w:firstLine="0"/>
        <w:jc w:val="both"/>
        <w:rPr>
          <w:sz w:val="16"/>
        </w:rPr>
      </w:pPr>
      <w:r>
        <w:rPr>
          <w:position w:val="6"/>
          <w:sz w:val="10"/>
        </w:rPr>
        <w:t>92</w:t>
        <w:tab/>
      </w:r>
      <w:r>
        <w:rPr>
          <w:i/>
          <w:sz w:val="16"/>
        </w:rPr>
        <w:t>Caso</w:t>
      </w:r>
      <w:r>
        <w:rPr>
          <w:i/>
          <w:spacing w:val="-5"/>
          <w:sz w:val="16"/>
        </w:rPr>
        <w:t> </w:t>
      </w:r>
      <w:r>
        <w:rPr>
          <w:i/>
          <w:sz w:val="16"/>
        </w:rPr>
        <w:t>de</w:t>
      </w:r>
      <w:r>
        <w:rPr>
          <w:i/>
          <w:spacing w:val="-3"/>
          <w:sz w:val="16"/>
        </w:rPr>
        <w:t> </w:t>
      </w:r>
      <w:r>
        <w:rPr>
          <w:i/>
          <w:sz w:val="16"/>
        </w:rPr>
        <w:t>la</w:t>
      </w:r>
      <w:r>
        <w:rPr>
          <w:i/>
          <w:spacing w:val="-7"/>
          <w:sz w:val="16"/>
        </w:rPr>
        <w:t> </w:t>
      </w:r>
      <w:r>
        <w:rPr>
          <w:i/>
          <w:sz w:val="16"/>
        </w:rPr>
        <w:t>Comunidad</w:t>
      </w:r>
      <w:r>
        <w:rPr>
          <w:i/>
          <w:spacing w:val="-8"/>
          <w:sz w:val="16"/>
        </w:rPr>
        <w:t> </w:t>
      </w:r>
      <w:r>
        <w:rPr>
          <w:i/>
          <w:sz w:val="16"/>
        </w:rPr>
        <w:t>Mayagna</w:t>
      </w:r>
      <w:r>
        <w:rPr>
          <w:i/>
          <w:spacing w:val="-4"/>
          <w:sz w:val="16"/>
        </w:rPr>
        <w:t> </w:t>
      </w:r>
      <w:r>
        <w:rPr>
          <w:i/>
          <w:sz w:val="16"/>
        </w:rPr>
        <w:t>(Sumo)</w:t>
      </w:r>
      <w:r>
        <w:rPr>
          <w:i/>
          <w:spacing w:val="-7"/>
          <w:sz w:val="16"/>
        </w:rPr>
        <w:t> </w:t>
      </w:r>
      <w:r>
        <w:rPr>
          <w:i/>
          <w:sz w:val="16"/>
        </w:rPr>
        <w:t>Awas</w:t>
      </w:r>
      <w:r>
        <w:rPr>
          <w:i/>
          <w:spacing w:val="-3"/>
          <w:sz w:val="16"/>
        </w:rPr>
        <w:t> </w:t>
      </w:r>
      <w:r>
        <w:rPr>
          <w:i/>
          <w:sz w:val="16"/>
        </w:rPr>
        <w:t>Tingni</w:t>
      </w:r>
      <w:r>
        <w:rPr>
          <w:i/>
          <w:spacing w:val="-7"/>
          <w:sz w:val="16"/>
        </w:rPr>
        <w:t> </w:t>
      </w:r>
      <w:r>
        <w:rPr>
          <w:i/>
          <w:sz w:val="16"/>
        </w:rPr>
        <w:t>Vs.</w:t>
      </w:r>
      <w:r>
        <w:rPr>
          <w:i/>
          <w:spacing w:val="-7"/>
          <w:sz w:val="16"/>
        </w:rPr>
        <w:t> </w:t>
      </w:r>
      <w:r>
        <w:rPr>
          <w:i/>
          <w:sz w:val="16"/>
        </w:rPr>
        <w:t>Nicaragua</w:t>
      </w:r>
      <w:r>
        <w:rPr>
          <w:sz w:val="16"/>
        </w:rPr>
        <w:t>,</w:t>
      </w:r>
      <w:r>
        <w:rPr>
          <w:spacing w:val="-7"/>
          <w:sz w:val="16"/>
        </w:rPr>
        <w:t> </w:t>
      </w:r>
      <w:r>
        <w:rPr>
          <w:sz w:val="16"/>
        </w:rPr>
        <w:t>párrs.</w:t>
      </w:r>
      <w:r>
        <w:rPr>
          <w:spacing w:val="-7"/>
          <w:sz w:val="16"/>
        </w:rPr>
        <w:t> </w:t>
      </w:r>
      <w:r>
        <w:rPr>
          <w:sz w:val="16"/>
        </w:rPr>
        <w:t>148,</w:t>
      </w:r>
      <w:r>
        <w:rPr>
          <w:spacing w:val="-7"/>
          <w:sz w:val="16"/>
        </w:rPr>
        <w:t> </w:t>
      </w:r>
      <w:r>
        <w:rPr>
          <w:sz w:val="16"/>
        </w:rPr>
        <w:t>149</w:t>
      </w:r>
      <w:r>
        <w:rPr>
          <w:spacing w:val="-5"/>
          <w:sz w:val="16"/>
        </w:rPr>
        <w:t> </w:t>
      </w:r>
      <w:r>
        <w:rPr>
          <w:sz w:val="16"/>
        </w:rPr>
        <w:t>y</w:t>
      </w:r>
      <w:r>
        <w:rPr>
          <w:spacing w:val="-8"/>
          <w:sz w:val="16"/>
        </w:rPr>
        <w:t> </w:t>
      </w:r>
      <w:r>
        <w:rPr>
          <w:sz w:val="16"/>
        </w:rPr>
        <w:t>151.</w:t>
      </w:r>
      <w:r>
        <w:rPr>
          <w:spacing w:val="-5"/>
          <w:sz w:val="16"/>
        </w:rPr>
        <w:t> </w:t>
      </w:r>
      <w:r>
        <w:rPr>
          <w:sz w:val="16"/>
        </w:rPr>
        <w:t>También,</w:t>
      </w:r>
      <w:r>
        <w:rPr>
          <w:w w:val="100"/>
          <w:sz w:val="16"/>
        </w:rPr>
        <w:t> </w:t>
      </w:r>
      <w:r>
        <w:rPr>
          <w:sz w:val="16"/>
        </w:rPr>
        <w:t>en</w:t>
      </w:r>
      <w:r>
        <w:rPr>
          <w:spacing w:val="-13"/>
          <w:sz w:val="16"/>
        </w:rPr>
        <w:t> </w:t>
      </w:r>
      <w:r>
        <w:rPr>
          <w:sz w:val="16"/>
        </w:rPr>
        <w:t>sentido</w:t>
      </w:r>
      <w:r>
        <w:rPr>
          <w:spacing w:val="-14"/>
          <w:sz w:val="16"/>
        </w:rPr>
        <w:t> </w:t>
      </w:r>
      <w:r>
        <w:rPr>
          <w:sz w:val="16"/>
        </w:rPr>
        <w:t>equivalente:</w:t>
      </w:r>
      <w:r>
        <w:rPr>
          <w:spacing w:val="-13"/>
          <w:sz w:val="16"/>
        </w:rPr>
        <w:t> </w:t>
      </w:r>
      <w:r>
        <w:rPr>
          <w:i/>
          <w:sz w:val="16"/>
        </w:rPr>
        <w:t>Caso</w:t>
      </w:r>
      <w:r>
        <w:rPr>
          <w:i/>
          <w:spacing w:val="-14"/>
          <w:sz w:val="16"/>
        </w:rPr>
        <w:t> </w:t>
      </w:r>
      <w:r>
        <w:rPr>
          <w:i/>
          <w:sz w:val="16"/>
        </w:rPr>
        <w:t>Comunidad</w:t>
      </w:r>
      <w:r>
        <w:rPr>
          <w:i/>
          <w:spacing w:val="-14"/>
          <w:sz w:val="16"/>
        </w:rPr>
        <w:t> </w:t>
      </w:r>
      <w:r>
        <w:rPr>
          <w:i/>
          <w:sz w:val="16"/>
        </w:rPr>
        <w:t>Indígena</w:t>
      </w:r>
      <w:r>
        <w:rPr>
          <w:i/>
          <w:spacing w:val="-13"/>
          <w:sz w:val="16"/>
        </w:rPr>
        <w:t> </w:t>
      </w:r>
      <w:r>
        <w:rPr>
          <w:i/>
          <w:sz w:val="16"/>
        </w:rPr>
        <w:t>Yakye</w:t>
      </w:r>
      <w:r>
        <w:rPr>
          <w:i/>
          <w:spacing w:val="-14"/>
          <w:sz w:val="16"/>
        </w:rPr>
        <w:t> </w:t>
      </w:r>
      <w:r>
        <w:rPr>
          <w:i/>
          <w:sz w:val="16"/>
        </w:rPr>
        <w:t>Axa</w:t>
      </w:r>
      <w:r>
        <w:rPr>
          <w:i/>
          <w:spacing w:val="-13"/>
          <w:sz w:val="16"/>
        </w:rPr>
        <w:t> </w:t>
      </w:r>
      <w:r>
        <w:rPr>
          <w:i/>
          <w:sz w:val="16"/>
        </w:rPr>
        <w:t>Vs.</w:t>
      </w:r>
      <w:r>
        <w:rPr>
          <w:i/>
          <w:spacing w:val="-13"/>
          <w:sz w:val="16"/>
        </w:rPr>
        <w:t> </w:t>
      </w:r>
      <w:r>
        <w:rPr>
          <w:i/>
          <w:sz w:val="16"/>
        </w:rPr>
        <w:t>Paraguay</w:t>
      </w:r>
      <w:r>
        <w:rPr>
          <w:sz w:val="16"/>
        </w:rPr>
        <w:t>,</w:t>
      </w:r>
      <w:r>
        <w:rPr>
          <w:spacing w:val="-15"/>
          <w:sz w:val="16"/>
        </w:rPr>
        <w:t> </w:t>
      </w:r>
      <w:r>
        <w:rPr>
          <w:sz w:val="16"/>
        </w:rPr>
        <w:t>párrs.</w:t>
      </w:r>
      <w:r>
        <w:rPr>
          <w:spacing w:val="-15"/>
          <w:sz w:val="16"/>
        </w:rPr>
        <w:t> </w:t>
      </w:r>
      <w:r>
        <w:rPr>
          <w:sz w:val="16"/>
        </w:rPr>
        <w:t>131</w:t>
      </w:r>
      <w:r>
        <w:rPr>
          <w:spacing w:val="-14"/>
          <w:sz w:val="16"/>
        </w:rPr>
        <w:t> </w:t>
      </w:r>
      <w:r>
        <w:rPr>
          <w:sz w:val="16"/>
        </w:rPr>
        <w:t>y</w:t>
      </w:r>
      <w:r>
        <w:rPr>
          <w:spacing w:val="-11"/>
          <w:sz w:val="16"/>
        </w:rPr>
        <w:t> </w:t>
      </w:r>
      <w:r>
        <w:rPr>
          <w:sz w:val="16"/>
        </w:rPr>
        <w:t>132;</w:t>
      </w:r>
      <w:r>
        <w:rPr>
          <w:spacing w:val="-15"/>
          <w:sz w:val="16"/>
        </w:rPr>
        <w:t> </w:t>
      </w:r>
      <w:r>
        <w:rPr>
          <w:i/>
          <w:sz w:val="16"/>
        </w:rPr>
        <w:t>Caso</w:t>
      </w:r>
      <w:r>
        <w:rPr>
          <w:i/>
          <w:spacing w:val="-13"/>
          <w:sz w:val="16"/>
        </w:rPr>
        <w:t> </w:t>
      </w:r>
      <w:r>
        <w:rPr>
          <w:i/>
          <w:sz w:val="16"/>
        </w:rPr>
        <w:t>Comunidad </w:t>
      </w:r>
      <w:r>
        <w:rPr>
          <w:i/>
          <w:sz w:val="16"/>
        </w:rPr>
        <w:t>Indígena Sawhoyamaxa Vs. Paraguay. Fondo, Reparaciones y Costas</w:t>
      </w:r>
      <w:r>
        <w:rPr>
          <w:sz w:val="16"/>
        </w:rPr>
        <w:t>. Sentencia de 29 de marzo de 2006, Serie C No. 146, párr. 118, y </w:t>
      </w:r>
      <w:r>
        <w:rPr>
          <w:i/>
          <w:sz w:val="16"/>
        </w:rPr>
        <w:t>Caso del Pueblo Saramaka. Vs. Surinam. Excepciones Preliminares, Fondo, </w:t>
      </w:r>
      <w:r>
        <w:rPr>
          <w:i/>
          <w:sz w:val="16"/>
        </w:rPr>
        <w:t>Reparaciones</w:t>
      </w:r>
      <w:r>
        <w:rPr>
          <w:i/>
          <w:spacing w:val="-14"/>
          <w:sz w:val="16"/>
        </w:rPr>
        <w:t> </w:t>
      </w:r>
      <w:r>
        <w:rPr>
          <w:i/>
          <w:sz w:val="16"/>
        </w:rPr>
        <w:t>y</w:t>
      </w:r>
      <w:r>
        <w:rPr>
          <w:i/>
          <w:spacing w:val="-11"/>
          <w:sz w:val="16"/>
        </w:rPr>
        <w:t> </w:t>
      </w:r>
      <w:r>
        <w:rPr>
          <w:i/>
          <w:sz w:val="16"/>
        </w:rPr>
        <w:t>Costas</w:t>
      </w:r>
      <w:r>
        <w:rPr>
          <w:sz w:val="16"/>
        </w:rPr>
        <w:t>.</w:t>
      </w:r>
      <w:r>
        <w:rPr>
          <w:spacing w:val="-15"/>
          <w:sz w:val="16"/>
        </w:rPr>
        <w:t> </w:t>
      </w:r>
      <w:r>
        <w:rPr>
          <w:sz w:val="16"/>
        </w:rPr>
        <w:t>Sentencia</w:t>
      </w:r>
      <w:r>
        <w:rPr>
          <w:spacing w:val="-13"/>
          <w:sz w:val="16"/>
        </w:rPr>
        <w:t> </w:t>
      </w:r>
      <w:r>
        <w:rPr>
          <w:sz w:val="16"/>
        </w:rPr>
        <w:t>de</w:t>
      </w:r>
      <w:r>
        <w:rPr>
          <w:spacing w:val="-14"/>
          <w:sz w:val="16"/>
        </w:rPr>
        <w:t> </w:t>
      </w:r>
      <w:r>
        <w:rPr>
          <w:sz w:val="16"/>
        </w:rPr>
        <w:t>28</w:t>
      </w:r>
      <w:r>
        <w:rPr>
          <w:spacing w:val="-13"/>
          <w:sz w:val="16"/>
        </w:rPr>
        <w:t> </w:t>
      </w:r>
      <w:r>
        <w:rPr>
          <w:sz w:val="16"/>
        </w:rPr>
        <w:t>de</w:t>
      </w:r>
      <w:r>
        <w:rPr>
          <w:spacing w:val="-14"/>
          <w:sz w:val="16"/>
        </w:rPr>
        <w:t> </w:t>
      </w:r>
      <w:r>
        <w:rPr>
          <w:sz w:val="16"/>
        </w:rPr>
        <w:t>noviembre</w:t>
      </w:r>
      <w:r>
        <w:rPr>
          <w:spacing w:val="-14"/>
          <w:sz w:val="16"/>
        </w:rPr>
        <w:t> </w:t>
      </w:r>
      <w:r>
        <w:rPr>
          <w:sz w:val="16"/>
        </w:rPr>
        <w:t>de</w:t>
      </w:r>
      <w:r>
        <w:rPr>
          <w:spacing w:val="-14"/>
          <w:sz w:val="16"/>
        </w:rPr>
        <w:t> </w:t>
      </w:r>
      <w:r>
        <w:rPr>
          <w:sz w:val="16"/>
        </w:rPr>
        <w:t>2007,</w:t>
      </w:r>
      <w:r>
        <w:rPr>
          <w:spacing w:val="-15"/>
          <w:sz w:val="16"/>
        </w:rPr>
        <w:t> </w:t>
      </w:r>
      <w:r>
        <w:rPr>
          <w:sz w:val="16"/>
        </w:rPr>
        <w:t>Serie</w:t>
      </w:r>
      <w:r>
        <w:rPr>
          <w:spacing w:val="-12"/>
          <w:sz w:val="16"/>
        </w:rPr>
        <w:t> </w:t>
      </w:r>
      <w:r>
        <w:rPr>
          <w:sz w:val="16"/>
        </w:rPr>
        <w:t>C</w:t>
      </w:r>
      <w:r>
        <w:rPr>
          <w:spacing w:val="-14"/>
          <w:sz w:val="16"/>
        </w:rPr>
        <w:t> </w:t>
      </w:r>
      <w:r>
        <w:rPr>
          <w:sz w:val="16"/>
        </w:rPr>
        <w:t>No.</w:t>
      </w:r>
      <w:r>
        <w:rPr>
          <w:spacing w:val="-15"/>
          <w:sz w:val="16"/>
        </w:rPr>
        <w:t> </w:t>
      </w:r>
      <w:r>
        <w:rPr>
          <w:sz w:val="16"/>
        </w:rPr>
        <w:t>173,</w:t>
      </w:r>
      <w:r>
        <w:rPr>
          <w:spacing w:val="-15"/>
          <w:sz w:val="16"/>
        </w:rPr>
        <w:t> </w:t>
      </w:r>
      <w:r>
        <w:rPr>
          <w:sz w:val="16"/>
        </w:rPr>
        <w:t>párr.</w:t>
      </w:r>
      <w:r>
        <w:rPr>
          <w:spacing w:val="-13"/>
          <w:sz w:val="16"/>
        </w:rPr>
        <w:t> </w:t>
      </w:r>
      <w:r>
        <w:rPr>
          <w:sz w:val="16"/>
        </w:rPr>
        <w:t>90.</w:t>
      </w:r>
      <w:r>
        <w:rPr>
          <w:spacing w:val="-15"/>
          <w:sz w:val="16"/>
        </w:rPr>
        <w:t> </w:t>
      </w:r>
      <w:r>
        <w:rPr>
          <w:sz w:val="16"/>
        </w:rPr>
        <w:t>En</w:t>
      </w:r>
      <w:r>
        <w:rPr>
          <w:spacing w:val="-13"/>
          <w:sz w:val="16"/>
        </w:rPr>
        <w:t> </w:t>
      </w:r>
      <w:r>
        <w:rPr>
          <w:sz w:val="16"/>
        </w:rPr>
        <w:t>el</w:t>
      </w:r>
      <w:r>
        <w:rPr>
          <w:spacing w:val="-13"/>
          <w:sz w:val="16"/>
        </w:rPr>
        <w:t> </w:t>
      </w:r>
      <w:r>
        <w:rPr>
          <w:sz w:val="16"/>
        </w:rPr>
        <w:t>mismo</w:t>
      </w:r>
      <w:r>
        <w:rPr>
          <w:spacing w:val="-14"/>
          <w:sz w:val="16"/>
        </w:rPr>
        <w:t> </w:t>
      </w:r>
      <w:r>
        <w:rPr>
          <w:sz w:val="16"/>
        </w:rPr>
        <w:t>sentido, pero</w:t>
      </w:r>
      <w:r>
        <w:rPr>
          <w:spacing w:val="-5"/>
          <w:sz w:val="16"/>
        </w:rPr>
        <w:t> </w:t>
      </w:r>
      <w:r>
        <w:rPr>
          <w:sz w:val="16"/>
        </w:rPr>
        <w:t>respecto</w:t>
      </w:r>
      <w:r>
        <w:rPr>
          <w:spacing w:val="-3"/>
          <w:sz w:val="16"/>
        </w:rPr>
        <w:t> </w:t>
      </w:r>
      <w:r>
        <w:rPr>
          <w:sz w:val="16"/>
        </w:rPr>
        <w:t>a</w:t>
      </w:r>
      <w:r>
        <w:rPr>
          <w:spacing w:val="-7"/>
          <w:sz w:val="16"/>
        </w:rPr>
        <w:t> </w:t>
      </w:r>
      <w:r>
        <w:rPr>
          <w:sz w:val="16"/>
        </w:rPr>
        <w:t>un</w:t>
      </w:r>
      <w:r>
        <w:rPr>
          <w:spacing w:val="-7"/>
          <w:sz w:val="16"/>
        </w:rPr>
        <w:t> </w:t>
      </w:r>
      <w:r>
        <w:rPr>
          <w:sz w:val="16"/>
        </w:rPr>
        <w:t>pueblo</w:t>
      </w:r>
      <w:r>
        <w:rPr>
          <w:spacing w:val="-3"/>
          <w:sz w:val="16"/>
        </w:rPr>
        <w:t> </w:t>
      </w:r>
      <w:r>
        <w:rPr>
          <w:sz w:val="16"/>
        </w:rPr>
        <w:t>tribal,</w:t>
      </w:r>
      <w:r>
        <w:rPr>
          <w:spacing w:val="-5"/>
          <w:sz w:val="16"/>
        </w:rPr>
        <w:t> </w:t>
      </w:r>
      <w:r>
        <w:rPr>
          <w:sz w:val="16"/>
        </w:rPr>
        <w:t>se</w:t>
      </w:r>
      <w:r>
        <w:rPr>
          <w:spacing w:val="-5"/>
          <w:sz w:val="16"/>
        </w:rPr>
        <w:t> </w:t>
      </w:r>
      <w:r>
        <w:rPr>
          <w:sz w:val="16"/>
        </w:rPr>
        <w:t>pronunció</w:t>
      </w:r>
      <w:r>
        <w:rPr>
          <w:spacing w:val="-3"/>
          <w:sz w:val="16"/>
        </w:rPr>
        <w:t> </w:t>
      </w:r>
      <w:r>
        <w:rPr>
          <w:sz w:val="16"/>
        </w:rPr>
        <w:t>la</w:t>
      </w:r>
      <w:r>
        <w:rPr>
          <w:spacing w:val="-7"/>
          <w:sz w:val="16"/>
        </w:rPr>
        <w:t> </w:t>
      </w:r>
      <w:r>
        <w:rPr>
          <w:sz w:val="16"/>
        </w:rPr>
        <w:t>Corte,</w:t>
      </w:r>
      <w:r>
        <w:rPr>
          <w:spacing w:val="-7"/>
          <w:sz w:val="16"/>
        </w:rPr>
        <w:t> </w:t>
      </w:r>
      <w:r>
        <w:rPr>
          <w:sz w:val="16"/>
        </w:rPr>
        <w:t>después</w:t>
      </w:r>
      <w:r>
        <w:rPr>
          <w:spacing w:val="-3"/>
          <w:sz w:val="16"/>
        </w:rPr>
        <w:t> </w:t>
      </w:r>
      <w:r>
        <w:rPr>
          <w:sz w:val="16"/>
        </w:rPr>
        <w:t>de</w:t>
      </w:r>
      <w:r>
        <w:rPr>
          <w:spacing w:val="-6"/>
          <w:sz w:val="16"/>
        </w:rPr>
        <w:t> </w:t>
      </w:r>
      <w:r>
        <w:rPr>
          <w:sz w:val="16"/>
        </w:rPr>
        <w:t>su</w:t>
      </w:r>
      <w:r>
        <w:rPr>
          <w:spacing w:val="-4"/>
          <w:sz w:val="16"/>
        </w:rPr>
        <w:t> </w:t>
      </w:r>
      <w:r>
        <w:rPr>
          <w:sz w:val="16"/>
        </w:rPr>
        <w:t>sentencia</w:t>
      </w:r>
      <w:r>
        <w:rPr>
          <w:spacing w:val="-5"/>
          <w:sz w:val="16"/>
        </w:rPr>
        <w:t> </w:t>
      </w:r>
      <w:r>
        <w:rPr>
          <w:sz w:val="16"/>
        </w:rPr>
        <w:t>sobre</w:t>
      </w:r>
      <w:r>
        <w:rPr>
          <w:spacing w:val="-6"/>
          <w:sz w:val="16"/>
        </w:rPr>
        <w:t> </w:t>
      </w:r>
      <w:r>
        <w:rPr>
          <w:sz w:val="16"/>
        </w:rPr>
        <w:t>el</w:t>
      </w:r>
      <w:r>
        <w:rPr>
          <w:spacing w:val="-4"/>
          <w:sz w:val="16"/>
        </w:rPr>
        <w:t> </w:t>
      </w:r>
      <w:r>
        <w:rPr>
          <w:sz w:val="16"/>
        </w:rPr>
        <w:t>caso </w:t>
      </w:r>
      <w:r>
        <w:rPr>
          <w:i/>
          <w:sz w:val="16"/>
        </w:rPr>
        <w:t>Awas</w:t>
      </w:r>
      <w:r>
        <w:rPr>
          <w:i/>
          <w:spacing w:val="-3"/>
          <w:sz w:val="16"/>
        </w:rPr>
        <w:t> </w:t>
      </w:r>
      <w:r>
        <w:rPr>
          <w:i/>
          <w:sz w:val="16"/>
        </w:rPr>
        <w:t>Tingn</w:t>
      </w:r>
      <w:r>
        <w:rPr>
          <w:i/>
          <w:spacing w:val="-7"/>
          <w:sz w:val="16"/>
        </w:rPr>
        <w:t> </w:t>
      </w:r>
      <w:r>
        <w:rPr>
          <w:i/>
          <w:sz w:val="16"/>
        </w:rPr>
        <w:t>Vs. </w:t>
      </w:r>
      <w:r>
        <w:rPr>
          <w:i/>
          <w:sz w:val="16"/>
        </w:rPr>
        <w:t>Nicaragua</w:t>
      </w:r>
      <w:r>
        <w:rPr>
          <w:sz w:val="16"/>
        </w:rPr>
        <w:t>, respecto al caso </w:t>
      </w:r>
      <w:r>
        <w:rPr>
          <w:i/>
          <w:sz w:val="16"/>
        </w:rPr>
        <w:t>Comunidad Moiwana Vs. Surinam. </w:t>
      </w:r>
      <w:r>
        <w:rPr>
          <w:sz w:val="16"/>
        </w:rPr>
        <w:t>Como surge de la sentencia respectiva (</w:t>
      </w:r>
      <w:r>
        <w:rPr>
          <w:i/>
          <w:sz w:val="16"/>
        </w:rPr>
        <w:t>Excepciones Preliminares, Fondo, Reparaciones y Costas. </w:t>
      </w:r>
      <w:r>
        <w:rPr>
          <w:sz w:val="16"/>
        </w:rPr>
        <w:t>Sentencia 15 de junio de 2005. Serie C No. 124, párr. 133) “la jurisprudencia de esta Corte en relación con las comunidades indígenas y sus derechos comunales a la propiedad […] debe también aplicarse a los miembros de […] comunidad[es] tribal[es]”. Ya antes</w:t>
      </w:r>
      <w:r>
        <w:rPr>
          <w:spacing w:val="-7"/>
          <w:sz w:val="16"/>
        </w:rPr>
        <w:t> </w:t>
      </w:r>
      <w:r>
        <w:rPr>
          <w:sz w:val="16"/>
        </w:rPr>
        <w:t>de</w:t>
      </w:r>
      <w:r>
        <w:rPr>
          <w:spacing w:val="-10"/>
          <w:sz w:val="16"/>
        </w:rPr>
        <w:t> </w:t>
      </w:r>
      <w:r>
        <w:rPr>
          <w:sz w:val="16"/>
        </w:rPr>
        <w:t>su</w:t>
      </w:r>
      <w:r>
        <w:rPr>
          <w:spacing w:val="-11"/>
          <w:sz w:val="16"/>
        </w:rPr>
        <w:t> </w:t>
      </w:r>
      <w:r>
        <w:rPr>
          <w:sz w:val="16"/>
        </w:rPr>
        <w:t>decisión</w:t>
      </w:r>
      <w:r>
        <w:rPr>
          <w:spacing w:val="-11"/>
          <w:sz w:val="16"/>
        </w:rPr>
        <w:t> </w:t>
      </w:r>
      <w:r>
        <w:rPr>
          <w:sz w:val="16"/>
        </w:rPr>
        <w:t>en</w:t>
      </w:r>
      <w:r>
        <w:rPr>
          <w:spacing w:val="-8"/>
          <w:sz w:val="16"/>
        </w:rPr>
        <w:t> </w:t>
      </w:r>
      <w:r>
        <w:rPr>
          <w:sz w:val="16"/>
        </w:rPr>
        <w:t>el</w:t>
      </w:r>
      <w:r>
        <w:rPr>
          <w:spacing w:val="-11"/>
          <w:sz w:val="16"/>
        </w:rPr>
        <w:t> </w:t>
      </w:r>
      <w:r>
        <w:rPr>
          <w:sz w:val="16"/>
        </w:rPr>
        <w:t>caso</w:t>
      </w:r>
      <w:r>
        <w:rPr>
          <w:spacing w:val="-8"/>
          <w:sz w:val="16"/>
        </w:rPr>
        <w:t> </w:t>
      </w:r>
      <w:r>
        <w:rPr>
          <w:i/>
          <w:sz w:val="16"/>
        </w:rPr>
        <w:t>Awas</w:t>
      </w:r>
      <w:r>
        <w:rPr>
          <w:i/>
          <w:spacing w:val="-7"/>
          <w:sz w:val="16"/>
        </w:rPr>
        <w:t> </w:t>
      </w:r>
      <w:r>
        <w:rPr>
          <w:i/>
          <w:sz w:val="16"/>
        </w:rPr>
        <w:t>Tingni</w:t>
      </w:r>
      <w:r>
        <w:rPr>
          <w:i/>
          <w:spacing w:val="-11"/>
          <w:sz w:val="16"/>
        </w:rPr>
        <w:t> </w:t>
      </w:r>
      <w:r>
        <w:rPr>
          <w:i/>
          <w:sz w:val="16"/>
        </w:rPr>
        <w:t>Vs.</w:t>
      </w:r>
      <w:r>
        <w:rPr>
          <w:i/>
          <w:spacing w:val="-10"/>
          <w:sz w:val="16"/>
        </w:rPr>
        <w:t> </w:t>
      </w:r>
      <w:r>
        <w:rPr>
          <w:i/>
          <w:sz w:val="16"/>
        </w:rPr>
        <w:t>Nicaragua</w:t>
      </w:r>
      <w:r>
        <w:rPr>
          <w:i/>
          <w:spacing w:val="-8"/>
          <w:sz w:val="16"/>
        </w:rPr>
        <w:t> </w:t>
      </w:r>
      <w:r>
        <w:rPr>
          <w:sz w:val="16"/>
        </w:rPr>
        <w:t>la</w:t>
      </w:r>
      <w:r>
        <w:rPr>
          <w:spacing w:val="-13"/>
          <w:sz w:val="16"/>
        </w:rPr>
        <w:t> </w:t>
      </w:r>
      <w:r>
        <w:rPr>
          <w:sz w:val="16"/>
        </w:rPr>
        <w:t>Corte</w:t>
      </w:r>
      <w:r>
        <w:rPr>
          <w:spacing w:val="-7"/>
          <w:sz w:val="16"/>
        </w:rPr>
        <w:t> </w:t>
      </w:r>
      <w:r>
        <w:rPr>
          <w:sz w:val="16"/>
        </w:rPr>
        <w:t>había</w:t>
      </w:r>
      <w:r>
        <w:rPr>
          <w:spacing w:val="-10"/>
          <w:sz w:val="16"/>
        </w:rPr>
        <w:t> </w:t>
      </w:r>
      <w:r>
        <w:rPr>
          <w:sz w:val="16"/>
        </w:rPr>
        <w:t>advertido</w:t>
      </w:r>
      <w:r>
        <w:rPr>
          <w:spacing w:val="-9"/>
          <w:sz w:val="16"/>
        </w:rPr>
        <w:t> </w:t>
      </w:r>
      <w:r>
        <w:rPr>
          <w:sz w:val="16"/>
        </w:rPr>
        <w:t>la</w:t>
      </w:r>
      <w:r>
        <w:rPr>
          <w:spacing w:val="-8"/>
          <w:sz w:val="16"/>
        </w:rPr>
        <w:t> </w:t>
      </w:r>
      <w:r>
        <w:rPr>
          <w:sz w:val="16"/>
        </w:rPr>
        <w:t>pertinencia</w:t>
      </w:r>
      <w:r>
        <w:rPr>
          <w:spacing w:val="-9"/>
          <w:sz w:val="16"/>
        </w:rPr>
        <w:t> </w:t>
      </w:r>
      <w:r>
        <w:rPr>
          <w:sz w:val="16"/>
        </w:rPr>
        <w:t>de</w:t>
      </w:r>
      <w:r>
        <w:rPr>
          <w:spacing w:val="-10"/>
          <w:sz w:val="16"/>
        </w:rPr>
        <w:t> </w:t>
      </w:r>
      <w:r>
        <w:rPr>
          <w:sz w:val="16"/>
        </w:rPr>
        <w:t>considerar las</w:t>
      </w:r>
      <w:r>
        <w:rPr>
          <w:spacing w:val="-10"/>
          <w:sz w:val="16"/>
        </w:rPr>
        <w:t> </w:t>
      </w:r>
      <w:r>
        <w:rPr>
          <w:sz w:val="16"/>
        </w:rPr>
        <w:t>costumbres</w:t>
      </w:r>
      <w:r>
        <w:rPr>
          <w:spacing w:val="-13"/>
          <w:sz w:val="16"/>
        </w:rPr>
        <w:t> </w:t>
      </w:r>
      <w:r>
        <w:rPr>
          <w:sz w:val="16"/>
        </w:rPr>
        <w:t>de</w:t>
      </w:r>
      <w:r>
        <w:rPr>
          <w:spacing w:val="-13"/>
          <w:sz w:val="16"/>
        </w:rPr>
        <w:t> </w:t>
      </w:r>
      <w:r>
        <w:rPr>
          <w:sz w:val="16"/>
        </w:rPr>
        <w:t>pueblos</w:t>
      </w:r>
      <w:r>
        <w:rPr>
          <w:spacing w:val="-13"/>
          <w:sz w:val="16"/>
        </w:rPr>
        <w:t> </w:t>
      </w:r>
      <w:r>
        <w:rPr>
          <w:sz w:val="16"/>
        </w:rPr>
        <w:t>tribales,</w:t>
      </w:r>
      <w:r>
        <w:rPr>
          <w:spacing w:val="-11"/>
          <w:sz w:val="16"/>
        </w:rPr>
        <w:t> </w:t>
      </w:r>
      <w:r>
        <w:rPr>
          <w:sz w:val="16"/>
        </w:rPr>
        <w:t>en</w:t>
      </w:r>
      <w:r>
        <w:rPr>
          <w:spacing w:val="-11"/>
          <w:sz w:val="16"/>
        </w:rPr>
        <w:t> </w:t>
      </w:r>
      <w:r>
        <w:rPr>
          <w:sz w:val="16"/>
        </w:rPr>
        <w:t>tanto</w:t>
      </w:r>
      <w:r>
        <w:rPr>
          <w:spacing w:val="-12"/>
          <w:sz w:val="16"/>
        </w:rPr>
        <w:t> </w:t>
      </w:r>
      <w:r>
        <w:rPr>
          <w:sz w:val="16"/>
        </w:rPr>
        <w:t>normas</w:t>
      </w:r>
      <w:r>
        <w:rPr>
          <w:spacing w:val="-12"/>
          <w:sz w:val="16"/>
        </w:rPr>
        <w:t> </w:t>
      </w:r>
      <w:r>
        <w:rPr>
          <w:sz w:val="16"/>
        </w:rPr>
        <w:t>de</w:t>
      </w:r>
      <w:r>
        <w:rPr>
          <w:spacing w:val="-13"/>
          <w:sz w:val="16"/>
        </w:rPr>
        <w:t> </w:t>
      </w:r>
      <w:r>
        <w:rPr>
          <w:sz w:val="16"/>
        </w:rPr>
        <w:t>eficacia</w:t>
      </w:r>
      <w:r>
        <w:rPr>
          <w:spacing w:val="-12"/>
          <w:sz w:val="16"/>
        </w:rPr>
        <w:t> </w:t>
      </w:r>
      <w:r>
        <w:rPr>
          <w:sz w:val="16"/>
        </w:rPr>
        <w:t>en</w:t>
      </w:r>
      <w:r>
        <w:rPr>
          <w:spacing w:val="-14"/>
          <w:sz w:val="16"/>
        </w:rPr>
        <w:t> </w:t>
      </w:r>
      <w:r>
        <w:rPr>
          <w:sz w:val="16"/>
        </w:rPr>
        <w:t>el</w:t>
      </w:r>
      <w:r>
        <w:rPr>
          <w:spacing w:val="-12"/>
          <w:sz w:val="16"/>
        </w:rPr>
        <w:t> </w:t>
      </w:r>
      <w:r>
        <w:rPr>
          <w:sz w:val="16"/>
        </w:rPr>
        <w:t>ámbito</w:t>
      </w:r>
      <w:r>
        <w:rPr>
          <w:spacing w:val="-10"/>
          <w:sz w:val="16"/>
        </w:rPr>
        <w:t> </w:t>
      </w:r>
      <w:r>
        <w:rPr>
          <w:sz w:val="16"/>
        </w:rPr>
        <w:t>comunitario</w:t>
      </w:r>
      <w:r>
        <w:rPr>
          <w:spacing w:val="-12"/>
          <w:sz w:val="16"/>
        </w:rPr>
        <w:t> </w:t>
      </w:r>
      <w:r>
        <w:rPr>
          <w:sz w:val="16"/>
        </w:rPr>
        <w:t>(</w:t>
      </w:r>
      <w:r>
        <w:rPr>
          <w:i/>
          <w:sz w:val="16"/>
        </w:rPr>
        <w:t>cfr.</w:t>
      </w:r>
      <w:r>
        <w:rPr>
          <w:i/>
          <w:spacing w:val="-14"/>
          <w:sz w:val="16"/>
        </w:rPr>
        <w:t> </w:t>
      </w:r>
      <w:r>
        <w:rPr>
          <w:i/>
          <w:sz w:val="16"/>
        </w:rPr>
        <w:t>Caso</w:t>
      </w:r>
      <w:r>
        <w:rPr>
          <w:i/>
          <w:spacing w:val="-12"/>
          <w:sz w:val="16"/>
        </w:rPr>
        <w:t> </w:t>
      </w:r>
      <w:r>
        <w:rPr>
          <w:i/>
          <w:sz w:val="16"/>
        </w:rPr>
        <w:t>Aloeboetoe </w:t>
      </w:r>
      <w:r>
        <w:rPr>
          <w:i/>
          <w:sz w:val="16"/>
        </w:rPr>
        <w:t>y otros Vs. Surinam. Reparaciones y Costas. </w:t>
      </w:r>
      <w:r>
        <w:rPr>
          <w:sz w:val="16"/>
        </w:rPr>
        <w:t>Sentencia de 10 de septiembre de 1993. Serie C No. 15, párr. 62).</w:t>
      </w:r>
    </w:p>
    <w:p>
      <w:pPr>
        <w:pStyle w:val="BodyText"/>
        <w:rPr>
          <w:sz w:val="16"/>
        </w:rPr>
      </w:pPr>
    </w:p>
    <w:p>
      <w:pPr>
        <w:tabs>
          <w:tab w:pos="829" w:val="left" w:leader="none"/>
        </w:tabs>
        <w:spacing w:before="0"/>
        <w:ind w:left="122" w:right="0" w:firstLine="0"/>
        <w:jc w:val="both"/>
        <w:rPr>
          <w:sz w:val="16"/>
        </w:rPr>
      </w:pPr>
      <w:r>
        <w:rPr>
          <w:position w:val="6"/>
          <w:sz w:val="10"/>
        </w:rPr>
        <w:t>93</w:t>
        <w:tab/>
      </w:r>
      <w:r>
        <w:rPr>
          <w:i/>
          <w:sz w:val="16"/>
        </w:rPr>
        <w:t>Caso de la Comunidad Mayagna (Sumo) Awas Tingni Vs. Nicaragua</w:t>
      </w:r>
      <w:r>
        <w:rPr>
          <w:sz w:val="16"/>
        </w:rPr>
        <w:t>, párrs. 148, 149 y</w:t>
      </w:r>
      <w:r>
        <w:rPr>
          <w:spacing w:val="-28"/>
          <w:sz w:val="16"/>
        </w:rPr>
        <w:t> </w:t>
      </w:r>
      <w:r>
        <w:rPr>
          <w:sz w:val="16"/>
        </w:rPr>
        <w:t>151.</w:t>
      </w:r>
    </w:p>
    <w:p>
      <w:pPr>
        <w:pStyle w:val="BodyText"/>
        <w:spacing w:before="3"/>
        <w:rPr>
          <w:sz w:val="16"/>
        </w:rPr>
      </w:pPr>
    </w:p>
    <w:p>
      <w:pPr>
        <w:tabs>
          <w:tab w:pos="829" w:val="left" w:leader="none"/>
        </w:tabs>
        <w:spacing w:line="176" w:lineRule="exact" w:before="0"/>
        <w:ind w:left="122" w:right="109" w:firstLine="0"/>
        <w:jc w:val="both"/>
        <w:rPr>
          <w:i/>
          <w:sz w:val="16"/>
        </w:rPr>
      </w:pPr>
      <w:r>
        <w:rPr>
          <w:position w:val="6"/>
          <w:sz w:val="10"/>
        </w:rPr>
        <w:t>94</w:t>
        <w:tab/>
      </w:r>
      <w:r>
        <w:rPr>
          <w:i/>
          <w:spacing w:val="-4"/>
          <w:sz w:val="16"/>
        </w:rPr>
        <w:t>Caso </w:t>
      </w:r>
      <w:r>
        <w:rPr>
          <w:i/>
          <w:spacing w:val="-5"/>
          <w:sz w:val="16"/>
        </w:rPr>
        <w:t>Comunidad Indígena </w:t>
      </w:r>
      <w:r>
        <w:rPr>
          <w:i/>
          <w:spacing w:val="-4"/>
          <w:sz w:val="16"/>
        </w:rPr>
        <w:t>Yakye </w:t>
      </w:r>
      <w:r>
        <w:rPr>
          <w:i/>
          <w:spacing w:val="-3"/>
          <w:sz w:val="16"/>
        </w:rPr>
        <w:t>Axa </w:t>
      </w:r>
      <w:r>
        <w:rPr>
          <w:i/>
          <w:spacing w:val="-4"/>
          <w:sz w:val="16"/>
        </w:rPr>
        <w:t>Vs. </w:t>
      </w:r>
      <w:r>
        <w:rPr>
          <w:i/>
          <w:spacing w:val="-5"/>
          <w:sz w:val="16"/>
        </w:rPr>
        <w:t>Paraguay</w:t>
      </w:r>
      <w:r>
        <w:rPr>
          <w:spacing w:val="-5"/>
          <w:sz w:val="16"/>
        </w:rPr>
        <w:t>, </w:t>
      </w:r>
      <w:r>
        <w:rPr>
          <w:spacing w:val="-4"/>
          <w:sz w:val="16"/>
        </w:rPr>
        <w:t>párr. </w:t>
      </w:r>
      <w:r>
        <w:rPr>
          <w:spacing w:val="-3"/>
          <w:sz w:val="16"/>
        </w:rPr>
        <w:t>137. En el</w:t>
      </w:r>
      <w:r>
        <w:rPr>
          <w:spacing w:val="-39"/>
          <w:sz w:val="16"/>
        </w:rPr>
        <w:t> </w:t>
      </w:r>
      <w:r>
        <w:rPr>
          <w:spacing w:val="-5"/>
          <w:sz w:val="16"/>
        </w:rPr>
        <w:t>mismo sentido, </w:t>
      </w:r>
      <w:r>
        <w:rPr>
          <w:i/>
          <w:spacing w:val="-4"/>
          <w:sz w:val="16"/>
        </w:rPr>
        <w:t>Caso </w:t>
      </w:r>
      <w:r>
        <w:rPr>
          <w:i/>
          <w:spacing w:val="-5"/>
          <w:sz w:val="16"/>
        </w:rPr>
        <w:t>Pueblo Indígena</w:t>
      </w:r>
      <w:r>
        <w:rPr>
          <w:i/>
          <w:w w:val="100"/>
          <w:sz w:val="16"/>
        </w:rPr>
        <w:t> </w:t>
      </w:r>
      <w:r>
        <w:rPr>
          <w:i/>
          <w:spacing w:val="-5"/>
          <w:sz w:val="16"/>
        </w:rPr>
        <w:t>Kichwa </w:t>
      </w:r>
      <w:r>
        <w:rPr>
          <w:i/>
          <w:spacing w:val="-3"/>
          <w:sz w:val="16"/>
        </w:rPr>
        <w:t>de </w:t>
      </w:r>
      <w:r>
        <w:rPr>
          <w:i/>
          <w:spacing w:val="-5"/>
          <w:sz w:val="16"/>
        </w:rPr>
        <w:t>Sarayaku </w:t>
      </w:r>
      <w:r>
        <w:rPr>
          <w:i/>
          <w:spacing w:val="-4"/>
          <w:sz w:val="16"/>
        </w:rPr>
        <w:t>Vs. Ecuador. Fondo </w:t>
      </w:r>
      <w:r>
        <w:rPr>
          <w:i/>
          <w:sz w:val="16"/>
        </w:rPr>
        <w:t>y </w:t>
      </w:r>
      <w:r>
        <w:rPr>
          <w:i/>
          <w:spacing w:val="-5"/>
          <w:sz w:val="16"/>
        </w:rPr>
        <w:t>reparaciones. </w:t>
      </w:r>
      <w:r>
        <w:rPr>
          <w:spacing w:val="-5"/>
          <w:sz w:val="16"/>
        </w:rPr>
        <w:t>Sentencia </w:t>
      </w:r>
      <w:r>
        <w:rPr>
          <w:spacing w:val="-3"/>
          <w:sz w:val="16"/>
        </w:rPr>
        <w:t>de </w:t>
      </w:r>
      <w:r>
        <w:rPr>
          <w:sz w:val="16"/>
        </w:rPr>
        <w:t>27 </w:t>
      </w:r>
      <w:r>
        <w:rPr>
          <w:spacing w:val="-3"/>
          <w:sz w:val="16"/>
        </w:rPr>
        <w:t>de </w:t>
      </w:r>
      <w:r>
        <w:rPr>
          <w:spacing w:val="-5"/>
          <w:sz w:val="16"/>
        </w:rPr>
        <w:t>junio </w:t>
      </w:r>
      <w:r>
        <w:rPr>
          <w:spacing w:val="-3"/>
          <w:sz w:val="16"/>
        </w:rPr>
        <w:t>de </w:t>
      </w:r>
      <w:r>
        <w:rPr>
          <w:spacing w:val="-4"/>
          <w:sz w:val="16"/>
        </w:rPr>
        <w:t>2012. Serie </w:t>
      </w:r>
      <w:r>
        <w:rPr>
          <w:sz w:val="16"/>
        </w:rPr>
        <w:t>C </w:t>
      </w:r>
      <w:r>
        <w:rPr>
          <w:spacing w:val="-4"/>
          <w:sz w:val="16"/>
        </w:rPr>
        <w:t>No. 245, párr. </w:t>
      </w:r>
      <w:r>
        <w:rPr>
          <w:spacing w:val="-3"/>
          <w:sz w:val="16"/>
        </w:rPr>
        <w:t>145</w:t>
      </w:r>
      <w:r>
        <w:rPr>
          <w:i/>
          <w:spacing w:val="-3"/>
          <w:sz w:val="16"/>
        </w:rPr>
        <w:t>; </w:t>
      </w:r>
      <w:r>
        <w:rPr>
          <w:i/>
          <w:spacing w:val="-4"/>
          <w:sz w:val="16"/>
        </w:rPr>
        <w:t>Caso </w:t>
      </w:r>
      <w:r>
        <w:rPr>
          <w:i/>
          <w:spacing w:val="-3"/>
          <w:sz w:val="16"/>
        </w:rPr>
        <w:t>de </w:t>
      </w:r>
      <w:r>
        <w:rPr>
          <w:i/>
          <w:spacing w:val="-4"/>
          <w:sz w:val="16"/>
        </w:rPr>
        <w:t>los </w:t>
      </w:r>
      <w:r>
        <w:rPr>
          <w:i/>
          <w:spacing w:val="-5"/>
          <w:sz w:val="16"/>
        </w:rPr>
        <w:t>Pueblos Indígenas </w:t>
      </w:r>
      <w:r>
        <w:rPr>
          <w:i/>
          <w:spacing w:val="-4"/>
          <w:sz w:val="16"/>
        </w:rPr>
        <w:t>Kuna </w:t>
      </w:r>
      <w:r>
        <w:rPr>
          <w:i/>
          <w:spacing w:val="-3"/>
          <w:sz w:val="16"/>
        </w:rPr>
        <w:t>de </w:t>
      </w:r>
      <w:r>
        <w:rPr>
          <w:i/>
          <w:spacing w:val="-5"/>
          <w:sz w:val="16"/>
        </w:rPr>
        <w:t>Madungandí </w:t>
      </w:r>
      <w:r>
        <w:rPr>
          <w:i/>
          <w:sz w:val="16"/>
        </w:rPr>
        <w:t>y </w:t>
      </w:r>
      <w:r>
        <w:rPr>
          <w:i/>
          <w:spacing w:val="-5"/>
          <w:sz w:val="16"/>
        </w:rPr>
        <w:t>Emberá </w:t>
      </w:r>
      <w:r>
        <w:rPr>
          <w:i/>
          <w:spacing w:val="-3"/>
          <w:sz w:val="16"/>
        </w:rPr>
        <w:t>de </w:t>
      </w:r>
      <w:r>
        <w:rPr>
          <w:i/>
          <w:spacing w:val="-5"/>
          <w:sz w:val="16"/>
        </w:rPr>
        <w:t>Bayano </w:t>
      </w:r>
      <w:r>
        <w:rPr>
          <w:i/>
          <w:sz w:val="16"/>
        </w:rPr>
        <w:t>y </w:t>
      </w:r>
      <w:r>
        <w:rPr>
          <w:i/>
          <w:spacing w:val="-4"/>
          <w:sz w:val="16"/>
        </w:rPr>
        <w:t>sus </w:t>
      </w:r>
      <w:r>
        <w:rPr>
          <w:i/>
          <w:spacing w:val="-5"/>
          <w:sz w:val="16"/>
        </w:rPr>
        <w:t>Miembros </w:t>
      </w:r>
      <w:r>
        <w:rPr>
          <w:i/>
          <w:spacing w:val="-4"/>
          <w:sz w:val="16"/>
        </w:rPr>
        <w:t>Vs. </w:t>
      </w:r>
      <w:r>
        <w:rPr>
          <w:i/>
          <w:spacing w:val="-5"/>
          <w:sz w:val="16"/>
        </w:rPr>
        <w:t>Panamá. </w:t>
      </w:r>
      <w:r>
        <w:rPr>
          <w:i/>
          <w:spacing w:val="-5"/>
          <w:sz w:val="16"/>
        </w:rPr>
        <w:t>Excepciones</w:t>
      </w:r>
      <w:r>
        <w:rPr>
          <w:i/>
          <w:spacing w:val="12"/>
          <w:sz w:val="16"/>
        </w:rPr>
        <w:t> </w:t>
      </w:r>
      <w:r>
        <w:rPr>
          <w:i/>
          <w:spacing w:val="-5"/>
          <w:sz w:val="16"/>
        </w:rPr>
        <w:t>Preliminares,</w:t>
      </w:r>
      <w:r>
        <w:rPr>
          <w:i/>
          <w:spacing w:val="9"/>
          <w:sz w:val="16"/>
        </w:rPr>
        <w:t> </w:t>
      </w:r>
      <w:r>
        <w:rPr>
          <w:i/>
          <w:spacing w:val="-4"/>
          <w:sz w:val="16"/>
        </w:rPr>
        <w:t>Fondo,</w:t>
      </w:r>
      <w:r>
        <w:rPr>
          <w:i/>
          <w:spacing w:val="9"/>
          <w:sz w:val="16"/>
        </w:rPr>
        <w:t> </w:t>
      </w:r>
      <w:r>
        <w:rPr>
          <w:i/>
          <w:spacing w:val="-5"/>
          <w:sz w:val="16"/>
        </w:rPr>
        <w:t>Reparaciones</w:t>
      </w:r>
      <w:r>
        <w:rPr>
          <w:i/>
          <w:spacing w:val="10"/>
          <w:sz w:val="16"/>
        </w:rPr>
        <w:t> </w:t>
      </w:r>
      <w:r>
        <w:rPr>
          <w:i/>
          <w:sz w:val="16"/>
        </w:rPr>
        <w:t>y</w:t>
      </w:r>
      <w:r>
        <w:rPr>
          <w:i/>
          <w:spacing w:val="10"/>
          <w:sz w:val="16"/>
        </w:rPr>
        <w:t> </w:t>
      </w:r>
      <w:r>
        <w:rPr>
          <w:i/>
          <w:spacing w:val="-5"/>
          <w:sz w:val="16"/>
        </w:rPr>
        <w:t>Costas.</w:t>
      </w:r>
      <w:r>
        <w:rPr>
          <w:i/>
          <w:spacing w:val="10"/>
          <w:sz w:val="16"/>
        </w:rPr>
        <w:t> </w:t>
      </w:r>
      <w:r>
        <w:rPr>
          <w:spacing w:val="-5"/>
          <w:sz w:val="16"/>
        </w:rPr>
        <w:t>Sentencia</w:t>
      </w:r>
      <w:r>
        <w:rPr>
          <w:spacing w:val="9"/>
          <w:sz w:val="16"/>
        </w:rPr>
        <w:t> </w:t>
      </w:r>
      <w:r>
        <w:rPr>
          <w:spacing w:val="-3"/>
          <w:sz w:val="16"/>
        </w:rPr>
        <w:t>de</w:t>
      </w:r>
      <w:r>
        <w:rPr>
          <w:spacing w:val="10"/>
          <w:sz w:val="16"/>
        </w:rPr>
        <w:t> </w:t>
      </w:r>
      <w:r>
        <w:rPr>
          <w:sz w:val="16"/>
        </w:rPr>
        <w:t>14</w:t>
      </w:r>
      <w:r>
        <w:rPr>
          <w:spacing w:val="11"/>
          <w:sz w:val="16"/>
        </w:rPr>
        <w:t> </w:t>
      </w:r>
      <w:r>
        <w:rPr>
          <w:spacing w:val="-3"/>
          <w:sz w:val="16"/>
        </w:rPr>
        <w:t>de</w:t>
      </w:r>
      <w:r>
        <w:rPr>
          <w:spacing w:val="7"/>
          <w:sz w:val="16"/>
        </w:rPr>
        <w:t> </w:t>
      </w:r>
      <w:r>
        <w:rPr>
          <w:spacing w:val="-5"/>
          <w:sz w:val="16"/>
        </w:rPr>
        <w:t>octubre</w:t>
      </w:r>
      <w:r>
        <w:rPr>
          <w:spacing w:val="10"/>
          <w:sz w:val="16"/>
        </w:rPr>
        <w:t> </w:t>
      </w:r>
      <w:r>
        <w:rPr>
          <w:spacing w:val="-3"/>
          <w:sz w:val="16"/>
        </w:rPr>
        <w:t>de</w:t>
      </w:r>
      <w:r>
        <w:rPr>
          <w:spacing w:val="10"/>
          <w:sz w:val="16"/>
        </w:rPr>
        <w:t> </w:t>
      </w:r>
      <w:r>
        <w:rPr>
          <w:spacing w:val="-4"/>
          <w:sz w:val="16"/>
        </w:rPr>
        <w:t>2014.</w:t>
      </w:r>
      <w:r>
        <w:rPr>
          <w:spacing w:val="10"/>
          <w:sz w:val="16"/>
        </w:rPr>
        <w:t> </w:t>
      </w:r>
      <w:r>
        <w:rPr>
          <w:spacing w:val="-4"/>
          <w:sz w:val="16"/>
        </w:rPr>
        <w:t>Serie</w:t>
      </w:r>
      <w:r>
        <w:rPr>
          <w:spacing w:val="10"/>
          <w:sz w:val="16"/>
        </w:rPr>
        <w:t> </w:t>
      </w:r>
      <w:r>
        <w:rPr>
          <w:sz w:val="16"/>
        </w:rPr>
        <w:t>C</w:t>
      </w:r>
      <w:r>
        <w:rPr>
          <w:spacing w:val="10"/>
          <w:sz w:val="16"/>
        </w:rPr>
        <w:t> </w:t>
      </w:r>
      <w:r>
        <w:rPr>
          <w:spacing w:val="-4"/>
          <w:sz w:val="16"/>
        </w:rPr>
        <w:t>No.</w:t>
      </w:r>
      <w:r>
        <w:rPr>
          <w:spacing w:val="9"/>
          <w:sz w:val="16"/>
        </w:rPr>
        <w:t> </w:t>
      </w:r>
      <w:r>
        <w:rPr>
          <w:spacing w:val="-3"/>
          <w:sz w:val="16"/>
        </w:rPr>
        <w:t>284</w:t>
      </w:r>
      <w:r>
        <w:rPr>
          <w:i/>
          <w:spacing w:val="-3"/>
          <w:sz w:val="16"/>
        </w:rPr>
        <w:t>,</w:t>
      </w:r>
    </w:p>
    <w:p>
      <w:pPr>
        <w:spacing w:after="0" w:line="176" w:lineRule="exact"/>
        <w:jc w:val="both"/>
        <w:rPr>
          <w:sz w:val="16"/>
        </w:rPr>
        <w:sectPr>
          <w:pgSz w:w="12240" w:h="15840"/>
          <w:pgMar w:header="0" w:footer="1000" w:top="1340" w:bottom="1200" w:left="1580" w:right="1580"/>
        </w:sectPr>
      </w:pPr>
    </w:p>
    <w:p>
      <w:pPr>
        <w:pStyle w:val="BodyText"/>
        <w:spacing w:before="76"/>
        <w:ind w:left="122" w:right="125"/>
        <w:jc w:val="both"/>
      </w:pPr>
      <w:r>
        <w:rPr>
          <w:i/>
        </w:rPr>
        <w:t>Surinam, </w:t>
      </w:r>
      <w:r>
        <w:rPr/>
        <w:t>que “el derecho a usar y gozar del territorio carecería de sentido [si no] estuviera</w:t>
      </w:r>
      <w:r>
        <w:rPr>
          <w:spacing w:val="-6"/>
        </w:rPr>
        <w:t> </w:t>
      </w:r>
      <w:r>
        <w:rPr/>
        <w:t>conectado</w:t>
      </w:r>
      <w:r>
        <w:rPr>
          <w:spacing w:val="-8"/>
        </w:rPr>
        <w:t> </w:t>
      </w:r>
      <w:r>
        <w:rPr/>
        <w:t>con</w:t>
      </w:r>
      <w:r>
        <w:rPr>
          <w:spacing w:val="-3"/>
        </w:rPr>
        <w:t> </w:t>
      </w:r>
      <w:r>
        <w:rPr/>
        <w:t>los</w:t>
      </w:r>
      <w:r>
        <w:rPr>
          <w:spacing w:val="-7"/>
        </w:rPr>
        <w:t> </w:t>
      </w:r>
      <w:r>
        <w:rPr/>
        <w:t>recursos</w:t>
      </w:r>
      <w:r>
        <w:rPr>
          <w:spacing w:val="-7"/>
        </w:rPr>
        <w:t> </w:t>
      </w:r>
      <w:r>
        <w:rPr/>
        <w:t>naturales</w:t>
      </w:r>
      <w:r>
        <w:rPr>
          <w:spacing w:val="-5"/>
        </w:rPr>
        <w:t> </w:t>
      </w:r>
      <w:r>
        <w:rPr/>
        <w:t>que</w:t>
      </w:r>
      <w:r>
        <w:rPr>
          <w:spacing w:val="-8"/>
        </w:rPr>
        <w:t> </w:t>
      </w:r>
      <w:r>
        <w:rPr/>
        <w:t>se</w:t>
      </w:r>
      <w:r>
        <w:rPr>
          <w:spacing w:val="-5"/>
        </w:rPr>
        <w:t> </w:t>
      </w:r>
      <w:r>
        <w:rPr/>
        <w:t>encuentran</w:t>
      </w:r>
      <w:r>
        <w:rPr>
          <w:spacing w:val="-5"/>
        </w:rPr>
        <w:t> </w:t>
      </w:r>
      <w:r>
        <w:rPr/>
        <w:t>dentro</w:t>
      </w:r>
      <w:r>
        <w:rPr>
          <w:spacing w:val="-8"/>
        </w:rPr>
        <w:t> </w:t>
      </w:r>
      <w:r>
        <w:rPr/>
        <w:t>del</w:t>
      </w:r>
      <w:r>
        <w:rPr>
          <w:spacing w:val="-6"/>
        </w:rPr>
        <w:t> </w:t>
      </w:r>
      <w:r>
        <w:rPr/>
        <w:t>territorio”. Por ello, la titularidad de la tierra está unida a la “necesidad de garantizar la seguridad y la permanencia del control y uso de los recursos naturales […], lo que a su vez, mantiene</w:t>
      </w:r>
      <w:r>
        <w:rPr>
          <w:spacing w:val="-10"/>
        </w:rPr>
        <w:t> </w:t>
      </w:r>
      <w:r>
        <w:rPr/>
        <w:t>[el]</w:t>
      </w:r>
      <w:r>
        <w:rPr>
          <w:spacing w:val="-8"/>
        </w:rPr>
        <w:t> </w:t>
      </w:r>
      <w:r>
        <w:rPr/>
        <w:t>estilo</w:t>
      </w:r>
      <w:r>
        <w:rPr>
          <w:spacing w:val="-10"/>
        </w:rPr>
        <w:t> </w:t>
      </w:r>
      <w:r>
        <w:rPr/>
        <w:t>de</w:t>
      </w:r>
      <w:r>
        <w:rPr>
          <w:spacing w:val="-10"/>
        </w:rPr>
        <w:t> </w:t>
      </w:r>
      <w:r>
        <w:rPr/>
        <w:t>vida”</w:t>
      </w:r>
      <w:r>
        <w:rPr>
          <w:spacing w:val="-9"/>
        </w:rPr>
        <w:t> </w:t>
      </w:r>
      <w:r>
        <w:rPr/>
        <w:t>de</w:t>
      </w:r>
      <w:r>
        <w:rPr>
          <w:spacing w:val="-10"/>
        </w:rPr>
        <w:t> </w:t>
      </w:r>
      <w:r>
        <w:rPr/>
        <w:t>las</w:t>
      </w:r>
      <w:r>
        <w:rPr>
          <w:spacing w:val="-9"/>
        </w:rPr>
        <w:t> </w:t>
      </w:r>
      <w:r>
        <w:rPr/>
        <w:t>comunidades.</w:t>
      </w:r>
      <w:r>
        <w:rPr>
          <w:spacing w:val="-9"/>
        </w:rPr>
        <w:t> </w:t>
      </w:r>
      <w:r>
        <w:rPr/>
        <w:t>Los</w:t>
      </w:r>
      <w:r>
        <w:rPr>
          <w:spacing w:val="-10"/>
        </w:rPr>
        <w:t> </w:t>
      </w:r>
      <w:r>
        <w:rPr/>
        <w:t>recursos</w:t>
      </w:r>
      <w:r>
        <w:rPr>
          <w:spacing w:val="-10"/>
        </w:rPr>
        <w:t> </w:t>
      </w:r>
      <w:r>
        <w:rPr/>
        <w:t>que</w:t>
      </w:r>
      <w:r>
        <w:rPr>
          <w:spacing w:val="-10"/>
        </w:rPr>
        <w:t> </w:t>
      </w:r>
      <w:r>
        <w:rPr/>
        <w:t>están</w:t>
      </w:r>
      <w:r>
        <w:rPr>
          <w:spacing w:val="-8"/>
        </w:rPr>
        <w:t> </w:t>
      </w:r>
      <w:r>
        <w:rPr/>
        <w:t>protegidos</w:t>
      </w:r>
      <w:r>
        <w:rPr>
          <w:spacing w:val="-10"/>
        </w:rPr>
        <w:t> </w:t>
      </w:r>
      <w:r>
        <w:rPr/>
        <w:t>por el derecho de propiedad comunitaria son los que las comunidades “han usado tradicionalmente y que son necesarios para la propia supervivencia, desarrollo y continuidad</w:t>
      </w:r>
      <w:r>
        <w:rPr>
          <w:spacing w:val="-10"/>
        </w:rPr>
        <w:t> </w:t>
      </w:r>
      <w:r>
        <w:rPr/>
        <w:t>de</w:t>
      </w:r>
      <w:r>
        <w:rPr>
          <w:spacing w:val="-12"/>
        </w:rPr>
        <w:t> </w:t>
      </w:r>
      <w:r>
        <w:rPr/>
        <w:t>[su]</w:t>
      </w:r>
      <w:r>
        <w:rPr>
          <w:spacing w:val="-7"/>
        </w:rPr>
        <w:t> </w:t>
      </w:r>
      <w:r>
        <w:rPr/>
        <w:t>estilo</w:t>
      </w:r>
      <w:r>
        <w:rPr>
          <w:spacing w:val="-11"/>
        </w:rPr>
        <w:t> </w:t>
      </w:r>
      <w:r>
        <w:rPr/>
        <w:t>de</w:t>
      </w:r>
      <w:r>
        <w:rPr>
          <w:spacing w:val="-12"/>
        </w:rPr>
        <w:t> </w:t>
      </w:r>
      <w:r>
        <w:rPr/>
        <w:t>vida”</w:t>
      </w:r>
      <w:r>
        <w:rPr>
          <w:spacing w:val="-23"/>
        </w:rPr>
        <w:t> </w:t>
      </w:r>
      <w:r>
        <w:rPr>
          <w:position w:val="7"/>
          <w:sz w:val="13"/>
        </w:rPr>
        <w:t>95</w:t>
      </w:r>
      <w:r>
        <w:rPr/>
        <w:t>.</w:t>
      </w:r>
      <w:r>
        <w:rPr>
          <w:spacing w:val="-11"/>
        </w:rPr>
        <w:t> </w:t>
      </w:r>
      <w:r>
        <w:rPr/>
        <w:t>Por</w:t>
      </w:r>
      <w:r>
        <w:rPr>
          <w:spacing w:val="-9"/>
        </w:rPr>
        <w:t> </w:t>
      </w:r>
      <w:r>
        <w:rPr/>
        <w:t>eso,</w:t>
      </w:r>
      <w:r>
        <w:rPr>
          <w:spacing w:val="-9"/>
        </w:rPr>
        <w:t> </w:t>
      </w:r>
      <w:r>
        <w:rPr/>
        <w:t>la</w:t>
      </w:r>
      <w:r>
        <w:rPr>
          <w:spacing w:val="-10"/>
        </w:rPr>
        <w:t> </w:t>
      </w:r>
      <w:r>
        <w:rPr/>
        <w:t>realización,</w:t>
      </w:r>
      <w:r>
        <w:rPr>
          <w:spacing w:val="-9"/>
        </w:rPr>
        <w:t> </w:t>
      </w:r>
      <w:r>
        <w:rPr/>
        <w:t>por</w:t>
      </w:r>
      <w:r>
        <w:rPr>
          <w:spacing w:val="-9"/>
        </w:rPr>
        <w:t> </w:t>
      </w:r>
      <w:r>
        <w:rPr/>
        <w:t>el</w:t>
      </w:r>
      <w:r>
        <w:rPr>
          <w:spacing w:val="-10"/>
        </w:rPr>
        <w:t> </w:t>
      </w:r>
      <w:r>
        <w:rPr/>
        <w:t>Estado</w:t>
      </w:r>
      <w:r>
        <w:rPr>
          <w:spacing w:val="-9"/>
        </w:rPr>
        <w:t> </w:t>
      </w:r>
      <w:r>
        <w:rPr/>
        <w:t>o</w:t>
      </w:r>
      <w:r>
        <w:rPr>
          <w:spacing w:val="-11"/>
        </w:rPr>
        <w:t> </w:t>
      </w:r>
      <w:r>
        <w:rPr/>
        <w:t>terceros,</w:t>
      </w:r>
      <w:r>
        <w:rPr>
          <w:spacing w:val="-9"/>
        </w:rPr>
        <w:t> </w:t>
      </w:r>
      <w:r>
        <w:rPr/>
        <w:t>de actividades que puedan “afectar la integridad de las tierras y recursos naturales”</w:t>
      </w:r>
      <w:r>
        <w:rPr>
          <w:spacing w:val="-31"/>
        </w:rPr>
        <w:t> </w:t>
      </w:r>
      <w:r>
        <w:rPr/>
        <w:t>deben seguir ciertas pautas que el Estado debe garantizar: la participación efectiva de las comunidades afectadas; su beneficio en términos razonables y la previa realización de estudios de impactos sociales y</w:t>
      </w:r>
      <w:r>
        <w:rPr>
          <w:spacing w:val="-17"/>
        </w:rPr>
        <w:t> </w:t>
      </w:r>
      <w:r>
        <w:rPr/>
        <w:t>ambientales</w:t>
      </w:r>
      <w:r>
        <w:rPr>
          <w:position w:val="7"/>
          <w:sz w:val="13"/>
        </w:rPr>
        <w:t>96</w:t>
      </w:r>
      <w:r>
        <w:rPr/>
        <w:t>.</w:t>
      </w:r>
    </w:p>
    <w:p>
      <w:pPr>
        <w:pStyle w:val="BodyText"/>
      </w:pPr>
    </w:p>
    <w:p>
      <w:pPr>
        <w:pStyle w:val="ListParagraph"/>
        <w:numPr>
          <w:ilvl w:val="0"/>
          <w:numId w:val="21"/>
        </w:numPr>
        <w:tabs>
          <w:tab w:pos="830" w:val="left" w:leader="none"/>
        </w:tabs>
        <w:spacing w:line="242" w:lineRule="auto" w:before="0" w:after="0"/>
        <w:ind w:left="122" w:right="124" w:firstLine="0"/>
        <w:jc w:val="both"/>
        <w:rPr>
          <w:sz w:val="20"/>
        </w:rPr>
      </w:pPr>
      <w:r>
        <w:rPr>
          <w:sz w:val="20"/>
        </w:rPr>
        <w:t>Por otra parte, la sentencia del caso </w:t>
      </w:r>
      <w:r>
        <w:rPr>
          <w:i/>
          <w:sz w:val="20"/>
        </w:rPr>
        <w:t>Awas Tingni Vs. Nicaragua</w:t>
      </w:r>
      <w:r>
        <w:rPr>
          <w:sz w:val="20"/>
        </w:rPr>
        <w:t>, de 2001, señaló que “la posesión de la tierra debería bastar para que las comunidades indígenas […] obtengan el reconocimiento oficial [de la] propiedad y el consiguiente registro”</w:t>
      </w:r>
      <w:r>
        <w:rPr>
          <w:position w:val="7"/>
          <w:sz w:val="13"/>
        </w:rPr>
        <w:t>97</w:t>
      </w:r>
      <w:r>
        <w:rPr>
          <w:sz w:val="20"/>
        </w:rPr>
        <w:t>. Tal acto declara el derecho preexistente, no lo constituye</w:t>
      </w:r>
      <w:r>
        <w:rPr>
          <w:rFonts w:ascii="Calibri" w:hAnsi="Calibri"/>
          <w:position w:val="8"/>
          <w:sz w:val="14"/>
        </w:rPr>
        <w:t>98</w:t>
      </w:r>
      <w:r>
        <w:rPr>
          <w:sz w:val="20"/>
        </w:rPr>
        <w:t>. Conforme surge de su decisión de 2005 sobre el caso </w:t>
      </w:r>
      <w:r>
        <w:rPr>
          <w:i/>
          <w:sz w:val="20"/>
        </w:rPr>
        <w:t>Yake Axa Vs. Paraguay</w:t>
      </w:r>
      <w:r>
        <w:rPr>
          <w:sz w:val="20"/>
        </w:rPr>
        <w:t>, la Corte resaltó que el Estado no solo debe reconocer el derecho de propiedad comunitaria, sino también hacerlo “efectivo en la realidad y en la práctica”</w:t>
      </w:r>
      <w:r>
        <w:rPr>
          <w:position w:val="7"/>
          <w:sz w:val="13"/>
        </w:rPr>
        <w:t>99</w:t>
      </w:r>
      <w:r>
        <w:rPr>
          <w:sz w:val="20"/>
        </w:rPr>
        <w:t>. La Corte ha explicado que la relación de los pueblos indígenas con el territorio “no se trata de un privilegio para usar la tierra, el cual puede ser</w:t>
      </w:r>
      <w:r>
        <w:rPr>
          <w:spacing w:val="-7"/>
          <w:sz w:val="20"/>
        </w:rPr>
        <w:t> </w:t>
      </w:r>
      <w:r>
        <w:rPr>
          <w:sz w:val="20"/>
        </w:rPr>
        <w:t>despojado</w:t>
      </w:r>
      <w:r>
        <w:rPr>
          <w:spacing w:val="-4"/>
          <w:sz w:val="20"/>
        </w:rPr>
        <w:t> </w:t>
      </w:r>
      <w:r>
        <w:rPr>
          <w:sz w:val="20"/>
        </w:rPr>
        <w:t>por</w:t>
      </w:r>
      <w:r>
        <w:rPr>
          <w:spacing w:val="-4"/>
          <w:sz w:val="20"/>
        </w:rPr>
        <w:t> </w:t>
      </w:r>
      <w:r>
        <w:rPr>
          <w:sz w:val="20"/>
        </w:rPr>
        <w:t>el</w:t>
      </w:r>
      <w:r>
        <w:rPr>
          <w:spacing w:val="-3"/>
          <w:sz w:val="20"/>
        </w:rPr>
        <w:t> </w:t>
      </w:r>
      <w:r>
        <w:rPr>
          <w:sz w:val="20"/>
        </w:rPr>
        <w:t>Estado</w:t>
      </w:r>
      <w:r>
        <w:rPr>
          <w:spacing w:val="-7"/>
          <w:sz w:val="20"/>
        </w:rPr>
        <w:t> </w:t>
      </w:r>
      <w:r>
        <w:rPr>
          <w:sz w:val="20"/>
        </w:rPr>
        <w:t>u</w:t>
      </w:r>
      <w:r>
        <w:rPr>
          <w:spacing w:val="-2"/>
          <w:sz w:val="20"/>
        </w:rPr>
        <w:t> </w:t>
      </w:r>
      <w:r>
        <w:rPr>
          <w:sz w:val="20"/>
        </w:rPr>
        <w:t>opacado</w:t>
      </w:r>
      <w:r>
        <w:rPr>
          <w:spacing w:val="-4"/>
          <w:sz w:val="20"/>
        </w:rPr>
        <w:t> </w:t>
      </w:r>
      <w:r>
        <w:rPr>
          <w:sz w:val="20"/>
        </w:rPr>
        <w:t>por</w:t>
      </w:r>
      <w:r>
        <w:rPr>
          <w:spacing w:val="-4"/>
          <w:sz w:val="20"/>
        </w:rPr>
        <w:t> </w:t>
      </w:r>
      <w:r>
        <w:rPr>
          <w:sz w:val="20"/>
        </w:rPr>
        <w:t>derechos</w:t>
      </w:r>
      <w:r>
        <w:rPr>
          <w:spacing w:val="-4"/>
          <w:sz w:val="20"/>
        </w:rPr>
        <w:t> </w:t>
      </w:r>
      <w:r>
        <w:rPr>
          <w:sz w:val="20"/>
        </w:rPr>
        <w:t>a</w:t>
      </w:r>
      <w:r>
        <w:rPr>
          <w:spacing w:val="-3"/>
          <w:sz w:val="20"/>
        </w:rPr>
        <w:t> </w:t>
      </w:r>
      <w:r>
        <w:rPr>
          <w:sz w:val="20"/>
        </w:rPr>
        <w:t>la</w:t>
      </w:r>
      <w:r>
        <w:rPr>
          <w:spacing w:val="-5"/>
          <w:sz w:val="20"/>
        </w:rPr>
        <w:t> </w:t>
      </w:r>
      <w:r>
        <w:rPr>
          <w:sz w:val="20"/>
        </w:rPr>
        <w:t>propiedad</w:t>
      </w:r>
      <w:r>
        <w:rPr>
          <w:spacing w:val="-2"/>
          <w:sz w:val="20"/>
        </w:rPr>
        <w:t> </w:t>
      </w:r>
      <w:r>
        <w:rPr>
          <w:sz w:val="20"/>
        </w:rPr>
        <w:t>de</w:t>
      </w:r>
      <w:r>
        <w:rPr>
          <w:spacing w:val="-5"/>
          <w:sz w:val="20"/>
        </w:rPr>
        <w:t> </w:t>
      </w:r>
      <w:r>
        <w:rPr>
          <w:sz w:val="20"/>
        </w:rPr>
        <w:t>terceros,</w:t>
      </w:r>
      <w:r>
        <w:rPr>
          <w:spacing w:val="-4"/>
          <w:sz w:val="20"/>
        </w:rPr>
        <w:t> </w:t>
      </w:r>
      <w:r>
        <w:rPr>
          <w:sz w:val="20"/>
        </w:rPr>
        <w:t>sino</w:t>
      </w:r>
      <w:r>
        <w:rPr>
          <w:spacing w:val="-7"/>
          <w:sz w:val="20"/>
        </w:rPr>
        <w:t> </w:t>
      </w:r>
      <w:r>
        <w:rPr>
          <w:sz w:val="20"/>
        </w:rPr>
        <w:t>de un derecho […] para obtener la titulación de su territorio a fin de garantizar el uso y goce permanente de dicha tierra”</w:t>
      </w:r>
      <w:r>
        <w:rPr>
          <w:position w:val="7"/>
          <w:sz w:val="13"/>
        </w:rPr>
        <w:t>100</w:t>
      </w:r>
      <w:r>
        <w:rPr>
          <w:sz w:val="20"/>
        </w:rPr>
        <w:t>. Al pronunciarse en 2006 sobre el caso </w:t>
      </w:r>
      <w:r>
        <w:rPr>
          <w:i/>
          <w:sz w:val="20"/>
        </w:rPr>
        <w:t>Comunidad </w:t>
      </w:r>
      <w:r>
        <w:rPr>
          <w:i/>
          <w:sz w:val="20"/>
        </w:rPr>
        <w:t>Indígena Sawhoyamaxa Vs. Paraguay</w:t>
      </w:r>
      <w:r>
        <w:rPr>
          <w:sz w:val="20"/>
        </w:rPr>
        <w:t>, este Tribunal precisó</w:t>
      </w:r>
      <w:r>
        <w:rPr>
          <w:spacing w:val="-19"/>
          <w:sz w:val="20"/>
        </w:rPr>
        <w:t> </w:t>
      </w:r>
      <w:r>
        <w:rPr>
          <w:sz w:val="20"/>
        </w:rPr>
        <w:t>que:</w:t>
      </w:r>
    </w:p>
    <w:p>
      <w:pPr>
        <w:pStyle w:val="BodyText"/>
        <w:spacing w:before="7"/>
        <w:rPr>
          <w:sz w:val="19"/>
        </w:rPr>
      </w:pPr>
    </w:p>
    <w:p>
      <w:pPr>
        <w:spacing w:before="0"/>
        <w:ind w:left="263" w:right="306" w:firstLine="0"/>
        <w:jc w:val="both"/>
        <w:rPr>
          <w:sz w:val="16"/>
        </w:rPr>
      </w:pPr>
      <w:r>
        <w:rPr>
          <w:sz w:val="16"/>
        </w:rPr>
        <w:t>la posesión tradicional de los indígenas sobre sus tierras tiene efectos equivalentes al título de pleno dominio que otorga el Estado; 2) la posesión tradicional otorga a los indígenas el derecho a exigir el reconocimiento</w:t>
      </w:r>
      <w:r>
        <w:rPr>
          <w:spacing w:val="-12"/>
          <w:sz w:val="16"/>
        </w:rPr>
        <w:t> </w:t>
      </w:r>
      <w:r>
        <w:rPr>
          <w:sz w:val="16"/>
        </w:rPr>
        <w:t>oficial</w:t>
      </w:r>
      <w:r>
        <w:rPr>
          <w:spacing w:val="-12"/>
          <w:sz w:val="16"/>
        </w:rPr>
        <w:t> </w:t>
      </w:r>
      <w:r>
        <w:rPr>
          <w:sz w:val="16"/>
        </w:rPr>
        <w:t>de</w:t>
      </w:r>
      <w:r>
        <w:rPr>
          <w:spacing w:val="-13"/>
          <w:sz w:val="16"/>
        </w:rPr>
        <w:t> </w:t>
      </w:r>
      <w:r>
        <w:rPr>
          <w:sz w:val="16"/>
        </w:rPr>
        <w:t>propiedad</w:t>
      </w:r>
      <w:r>
        <w:rPr>
          <w:spacing w:val="-12"/>
          <w:sz w:val="16"/>
        </w:rPr>
        <w:t> </w:t>
      </w:r>
      <w:r>
        <w:rPr>
          <w:sz w:val="16"/>
        </w:rPr>
        <w:t>y</w:t>
      </w:r>
      <w:r>
        <w:rPr>
          <w:spacing w:val="-12"/>
          <w:sz w:val="16"/>
        </w:rPr>
        <w:t> </w:t>
      </w:r>
      <w:r>
        <w:rPr>
          <w:sz w:val="16"/>
        </w:rPr>
        <w:t>su</w:t>
      </w:r>
      <w:r>
        <w:rPr>
          <w:spacing w:val="-14"/>
          <w:sz w:val="16"/>
        </w:rPr>
        <w:t> </w:t>
      </w:r>
      <w:r>
        <w:rPr>
          <w:sz w:val="16"/>
        </w:rPr>
        <w:t>registro;</w:t>
      </w:r>
      <w:r>
        <w:rPr>
          <w:spacing w:val="-14"/>
          <w:sz w:val="16"/>
        </w:rPr>
        <w:t> </w:t>
      </w:r>
      <w:r>
        <w:rPr>
          <w:sz w:val="16"/>
        </w:rPr>
        <w:t>3)</w:t>
      </w:r>
      <w:r>
        <w:rPr>
          <w:spacing w:val="-12"/>
          <w:sz w:val="16"/>
        </w:rPr>
        <w:t> </w:t>
      </w:r>
      <w:r>
        <w:rPr>
          <w:sz w:val="16"/>
        </w:rPr>
        <w:t>los</w:t>
      </w:r>
      <w:r>
        <w:rPr>
          <w:spacing w:val="-13"/>
          <w:sz w:val="16"/>
        </w:rPr>
        <w:t> </w:t>
      </w:r>
      <w:r>
        <w:rPr>
          <w:sz w:val="16"/>
        </w:rPr>
        <w:t>miembros</w:t>
      </w:r>
      <w:r>
        <w:rPr>
          <w:spacing w:val="-13"/>
          <w:sz w:val="16"/>
        </w:rPr>
        <w:t> </w:t>
      </w:r>
      <w:r>
        <w:rPr>
          <w:sz w:val="16"/>
        </w:rPr>
        <w:t>de</w:t>
      </w:r>
      <w:r>
        <w:rPr>
          <w:spacing w:val="-13"/>
          <w:sz w:val="16"/>
        </w:rPr>
        <w:t> </w:t>
      </w:r>
      <w:r>
        <w:rPr>
          <w:sz w:val="16"/>
        </w:rPr>
        <w:t>los</w:t>
      </w:r>
      <w:r>
        <w:rPr>
          <w:spacing w:val="-13"/>
          <w:sz w:val="16"/>
        </w:rPr>
        <w:t> </w:t>
      </w:r>
      <w:r>
        <w:rPr>
          <w:sz w:val="16"/>
        </w:rPr>
        <w:t>pueblos</w:t>
      </w:r>
      <w:r>
        <w:rPr>
          <w:spacing w:val="-10"/>
          <w:sz w:val="16"/>
        </w:rPr>
        <w:t> </w:t>
      </w:r>
      <w:r>
        <w:rPr>
          <w:sz w:val="16"/>
        </w:rPr>
        <w:t>indígenas</w:t>
      </w:r>
      <w:r>
        <w:rPr>
          <w:spacing w:val="-10"/>
          <w:sz w:val="16"/>
        </w:rPr>
        <w:t> </w:t>
      </w:r>
      <w:r>
        <w:rPr>
          <w:sz w:val="16"/>
        </w:rPr>
        <w:t>que</w:t>
      </w:r>
      <w:r>
        <w:rPr>
          <w:spacing w:val="-15"/>
          <w:sz w:val="16"/>
        </w:rPr>
        <w:t> </w:t>
      </w:r>
      <w:r>
        <w:rPr>
          <w:sz w:val="16"/>
        </w:rPr>
        <w:t>por</w:t>
      </w:r>
      <w:r>
        <w:rPr>
          <w:spacing w:val="-12"/>
          <w:sz w:val="16"/>
        </w:rPr>
        <w:t> </w:t>
      </w:r>
      <w:r>
        <w:rPr>
          <w:sz w:val="16"/>
        </w:rPr>
        <w:t>causas ajenas</w:t>
      </w:r>
      <w:r>
        <w:rPr>
          <w:spacing w:val="-6"/>
          <w:sz w:val="16"/>
        </w:rPr>
        <w:t> </w:t>
      </w:r>
      <w:r>
        <w:rPr>
          <w:sz w:val="16"/>
        </w:rPr>
        <w:t>a</w:t>
      </w:r>
      <w:r>
        <w:rPr>
          <w:spacing w:val="-8"/>
          <w:sz w:val="16"/>
        </w:rPr>
        <w:t> </w:t>
      </w:r>
      <w:r>
        <w:rPr>
          <w:sz w:val="16"/>
        </w:rPr>
        <w:t>su</w:t>
      </w:r>
      <w:r>
        <w:rPr>
          <w:spacing w:val="-8"/>
          <w:sz w:val="16"/>
        </w:rPr>
        <w:t> </w:t>
      </w:r>
      <w:r>
        <w:rPr>
          <w:sz w:val="16"/>
        </w:rPr>
        <w:t>voluntad</w:t>
      </w:r>
      <w:r>
        <w:rPr>
          <w:spacing w:val="-6"/>
          <w:sz w:val="16"/>
        </w:rPr>
        <w:t> </w:t>
      </w:r>
      <w:r>
        <w:rPr>
          <w:sz w:val="16"/>
        </w:rPr>
        <w:t>han</w:t>
      </w:r>
      <w:r>
        <w:rPr>
          <w:spacing w:val="-8"/>
          <w:sz w:val="16"/>
        </w:rPr>
        <w:t> </w:t>
      </w:r>
      <w:r>
        <w:rPr>
          <w:sz w:val="16"/>
        </w:rPr>
        <w:t>salido</w:t>
      </w:r>
      <w:r>
        <w:rPr>
          <w:spacing w:val="-8"/>
          <w:sz w:val="16"/>
        </w:rPr>
        <w:t> </w:t>
      </w:r>
      <w:r>
        <w:rPr>
          <w:sz w:val="16"/>
        </w:rPr>
        <w:t>o</w:t>
      </w:r>
      <w:r>
        <w:rPr>
          <w:spacing w:val="-8"/>
          <w:sz w:val="16"/>
        </w:rPr>
        <w:t> </w:t>
      </w:r>
      <w:r>
        <w:rPr>
          <w:sz w:val="16"/>
        </w:rPr>
        <w:t>perdido</w:t>
      </w:r>
      <w:r>
        <w:rPr>
          <w:spacing w:val="-5"/>
          <w:sz w:val="16"/>
        </w:rPr>
        <w:t> </w:t>
      </w:r>
      <w:r>
        <w:rPr>
          <w:sz w:val="16"/>
        </w:rPr>
        <w:t>la</w:t>
      </w:r>
      <w:r>
        <w:rPr>
          <w:spacing w:val="-8"/>
          <w:sz w:val="16"/>
        </w:rPr>
        <w:t> </w:t>
      </w:r>
      <w:r>
        <w:rPr>
          <w:sz w:val="16"/>
        </w:rPr>
        <w:t>posesión</w:t>
      </w:r>
      <w:r>
        <w:rPr>
          <w:spacing w:val="-8"/>
          <w:sz w:val="16"/>
        </w:rPr>
        <w:t> </w:t>
      </w:r>
      <w:r>
        <w:rPr>
          <w:sz w:val="16"/>
        </w:rPr>
        <w:t>de</w:t>
      </w:r>
      <w:r>
        <w:rPr>
          <w:spacing w:val="-8"/>
          <w:sz w:val="16"/>
        </w:rPr>
        <w:t> </w:t>
      </w:r>
      <w:r>
        <w:rPr>
          <w:sz w:val="16"/>
        </w:rPr>
        <w:t>sus</w:t>
      </w:r>
      <w:r>
        <w:rPr>
          <w:spacing w:val="-8"/>
          <w:sz w:val="16"/>
        </w:rPr>
        <w:t> </w:t>
      </w:r>
      <w:r>
        <w:rPr>
          <w:sz w:val="16"/>
        </w:rPr>
        <w:t>tierras</w:t>
      </w:r>
      <w:r>
        <w:rPr>
          <w:spacing w:val="-6"/>
          <w:sz w:val="16"/>
        </w:rPr>
        <w:t> </w:t>
      </w:r>
      <w:r>
        <w:rPr>
          <w:sz w:val="16"/>
        </w:rPr>
        <w:t>tradicionales</w:t>
      </w:r>
      <w:r>
        <w:rPr>
          <w:spacing w:val="-8"/>
          <w:sz w:val="16"/>
        </w:rPr>
        <w:t> </w:t>
      </w:r>
      <w:r>
        <w:rPr>
          <w:sz w:val="16"/>
        </w:rPr>
        <w:t>mantienen</w:t>
      </w:r>
      <w:r>
        <w:rPr>
          <w:spacing w:val="-7"/>
          <w:sz w:val="16"/>
        </w:rPr>
        <w:t> </w:t>
      </w:r>
      <w:r>
        <w:rPr>
          <w:sz w:val="16"/>
        </w:rPr>
        <w:t>el</w:t>
      </w:r>
      <w:r>
        <w:rPr>
          <w:spacing w:val="-8"/>
          <w:sz w:val="16"/>
        </w:rPr>
        <w:t> </w:t>
      </w:r>
      <w:r>
        <w:rPr>
          <w:sz w:val="16"/>
        </w:rPr>
        <w:t>derecho</w:t>
      </w:r>
      <w:r>
        <w:rPr>
          <w:spacing w:val="-8"/>
          <w:sz w:val="16"/>
        </w:rPr>
        <w:t> </w:t>
      </w:r>
      <w:r>
        <w:rPr>
          <w:sz w:val="16"/>
        </w:rPr>
        <w:t>de propiedad</w:t>
      </w:r>
      <w:r>
        <w:rPr>
          <w:spacing w:val="-17"/>
          <w:sz w:val="16"/>
        </w:rPr>
        <w:t> </w:t>
      </w:r>
      <w:r>
        <w:rPr>
          <w:sz w:val="16"/>
        </w:rPr>
        <w:t>sobre</w:t>
      </w:r>
      <w:r>
        <w:rPr>
          <w:spacing w:val="-18"/>
          <w:sz w:val="16"/>
        </w:rPr>
        <w:t> </w:t>
      </w:r>
      <w:r>
        <w:rPr>
          <w:sz w:val="16"/>
        </w:rPr>
        <w:t>las</w:t>
      </w:r>
      <w:r>
        <w:rPr>
          <w:spacing w:val="-15"/>
          <w:sz w:val="16"/>
        </w:rPr>
        <w:t> </w:t>
      </w:r>
      <w:r>
        <w:rPr>
          <w:sz w:val="16"/>
        </w:rPr>
        <w:t>mismas</w:t>
      </w:r>
      <w:r>
        <w:rPr>
          <w:position w:val="6"/>
          <w:sz w:val="10"/>
        </w:rPr>
        <w:t>101</w:t>
      </w:r>
      <w:r>
        <w:rPr>
          <w:sz w:val="16"/>
        </w:rPr>
        <w:t>,</w:t>
      </w:r>
      <w:r>
        <w:rPr>
          <w:spacing w:val="-16"/>
          <w:sz w:val="16"/>
        </w:rPr>
        <w:t> </w:t>
      </w:r>
      <w:r>
        <w:rPr>
          <w:sz w:val="16"/>
        </w:rPr>
        <w:t>aún</w:t>
      </w:r>
      <w:r>
        <w:rPr>
          <w:spacing w:val="-16"/>
          <w:sz w:val="16"/>
        </w:rPr>
        <w:t> </w:t>
      </w:r>
      <w:r>
        <w:rPr>
          <w:sz w:val="16"/>
        </w:rPr>
        <w:t>a</w:t>
      </w:r>
      <w:r>
        <w:rPr>
          <w:spacing w:val="-16"/>
          <w:sz w:val="16"/>
        </w:rPr>
        <w:t> </w:t>
      </w:r>
      <w:r>
        <w:rPr>
          <w:sz w:val="16"/>
        </w:rPr>
        <w:t>falta</w:t>
      </w:r>
      <w:r>
        <w:rPr>
          <w:spacing w:val="-16"/>
          <w:sz w:val="16"/>
        </w:rPr>
        <w:t> </w:t>
      </w:r>
      <w:r>
        <w:rPr>
          <w:sz w:val="16"/>
        </w:rPr>
        <w:t>de</w:t>
      </w:r>
      <w:r>
        <w:rPr>
          <w:spacing w:val="-18"/>
          <w:sz w:val="16"/>
        </w:rPr>
        <w:t> </w:t>
      </w:r>
      <w:r>
        <w:rPr>
          <w:sz w:val="16"/>
        </w:rPr>
        <w:t>título</w:t>
      </w:r>
      <w:r>
        <w:rPr>
          <w:spacing w:val="-15"/>
          <w:sz w:val="16"/>
        </w:rPr>
        <w:t> </w:t>
      </w:r>
      <w:r>
        <w:rPr>
          <w:sz w:val="16"/>
        </w:rPr>
        <w:t>legal,</w:t>
      </w:r>
      <w:r>
        <w:rPr>
          <w:spacing w:val="-16"/>
          <w:sz w:val="16"/>
        </w:rPr>
        <w:t> </w:t>
      </w:r>
      <w:r>
        <w:rPr>
          <w:sz w:val="16"/>
        </w:rPr>
        <w:t>salvo</w:t>
      </w:r>
      <w:r>
        <w:rPr>
          <w:spacing w:val="-17"/>
          <w:sz w:val="16"/>
        </w:rPr>
        <w:t> </w:t>
      </w:r>
      <w:r>
        <w:rPr>
          <w:sz w:val="16"/>
        </w:rPr>
        <w:t>cuando</w:t>
      </w:r>
      <w:r>
        <w:rPr>
          <w:spacing w:val="-15"/>
          <w:sz w:val="16"/>
        </w:rPr>
        <w:t> </w:t>
      </w:r>
      <w:r>
        <w:rPr>
          <w:sz w:val="16"/>
        </w:rPr>
        <w:t>las</w:t>
      </w:r>
      <w:r>
        <w:rPr>
          <w:spacing w:val="-18"/>
          <w:sz w:val="16"/>
        </w:rPr>
        <w:t> </w:t>
      </w:r>
      <w:r>
        <w:rPr>
          <w:sz w:val="16"/>
        </w:rPr>
        <w:t>tierras</w:t>
      </w:r>
      <w:r>
        <w:rPr>
          <w:spacing w:val="-15"/>
          <w:sz w:val="16"/>
        </w:rPr>
        <w:t> </w:t>
      </w:r>
      <w:r>
        <w:rPr>
          <w:sz w:val="16"/>
        </w:rPr>
        <w:t>hayan</w:t>
      </w:r>
      <w:r>
        <w:rPr>
          <w:spacing w:val="-19"/>
          <w:sz w:val="16"/>
        </w:rPr>
        <w:t> </w:t>
      </w:r>
      <w:r>
        <w:rPr>
          <w:sz w:val="16"/>
        </w:rPr>
        <w:t>sido</w:t>
      </w:r>
      <w:r>
        <w:rPr>
          <w:spacing w:val="-17"/>
          <w:sz w:val="16"/>
        </w:rPr>
        <w:t> </w:t>
      </w:r>
      <w:r>
        <w:rPr>
          <w:sz w:val="16"/>
        </w:rPr>
        <w:t>legítimamente</w:t>
      </w:r>
    </w:p>
    <w:p>
      <w:pPr>
        <w:pStyle w:val="BodyText"/>
        <w:spacing w:before="1"/>
        <w:rPr>
          <w:sz w:val="17"/>
        </w:rPr>
      </w:pPr>
      <w:r>
        <w:rPr/>
        <w:pict>
          <v:line style="position:absolute;mso-position-horizontal-relative:page;mso-position-vertical-relative:paragraph;z-index:1840;mso-wrap-distance-left:0;mso-wrap-distance-right:0" from="85.103996pt,12.707109pt" to="229.123996pt,12.707109pt" stroked="true" strokeweight=".72pt" strokecolor="#000000">
            <v:stroke dashstyle="solid"/>
            <w10:wrap type="topAndBottom"/>
          </v:line>
        </w:pict>
      </w:r>
    </w:p>
    <w:p>
      <w:pPr>
        <w:spacing w:line="176" w:lineRule="exact" w:before="72"/>
        <w:ind w:left="122" w:right="110" w:firstLine="0"/>
        <w:jc w:val="both"/>
        <w:rPr>
          <w:sz w:val="16"/>
        </w:rPr>
      </w:pPr>
      <w:r>
        <w:rPr>
          <w:spacing w:val="-4"/>
          <w:sz w:val="16"/>
        </w:rPr>
        <w:t>párr.</w:t>
      </w:r>
      <w:r>
        <w:rPr>
          <w:spacing w:val="-15"/>
          <w:sz w:val="16"/>
        </w:rPr>
        <w:t> </w:t>
      </w:r>
      <w:r>
        <w:rPr>
          <w:spacing w:val="-3"/>
          <w:sz w:val="16"/>
        </w:rPr>
        <w:t>111</w:t>
      </w:r>
      <w:r>
        <w:rPr>
          <w:spacing w:val="-16"/>
          <w:sz w:val="16"/>
        </w:rPr>
        <w:t> </w:t>
      </w:r>
      <w:r>
        <w:rPr>
          <w:sz w:val="16"/>
        </w:rPr>
        <w:t>y</w:t>
      </w:r>
      <w:r>
        <w:rPr>
          <w:spacing w:val="-16"/>
          <w:sz w:val="16"/>
        </w:rPr>
        <w:t> </w:t>
      </w:r>
      <w:r>
        <w:rPr>
          <w:spacing w:val="-3"/>
          <w:sz w:val="16"/>
        </w:rPr>
        <w:t>112;</w:t>
      </w:r>
      <w:r>
        <w:rPr>
          <w:spacing w:val="-16"/>
          <w:sz w:val="16"/>
        </w:rPr>
        <w:t> </w:t>
      </w:r>
      <w:r>
        <w:rPr>
          <w:i/>
          <w:spacing w:val="-4"/>
          <w:sz w:val="16"/>
        </w:rPr>
        <w:t>Caso</w:t>
      </w:r>
      <w:r>
        <w:rPr>
          <w:i/>
          <w:spacing w:val="-16"/>
          <w:sz w:val="16"/>
        </w:rPr>
        <w:t> </w:t>
      </w:r>
      <w:r>
        <w:rPr>
          <w:i/>
          <w:spacing w:val="-5"/>
          <w:sz w:val="16"/>
        </w:rPr>
        <w:t>Comunidad</w:t>
      </w:r>
      <w:r>
        <w:rPr>
          <w:i/>
          <w:spacing w:val="-13"/>
          <w:sz w:val="16"/>
        </w:rPr>
        <w:t> </w:t>
      </w:r>
      <w:r>
        <w:rPr>
          <w:i/>
          <w:spacing w:val="-5"/>
          <w:sz w:val="16"/>
        </w:rPr>
        <w:t>Garífuna</w:t>
      </w:r>
      <w:r>
        <w:rPr>
          <w:i/>
          <w:spacing w:val="-15"/>
          <w:sz w:val="16"/>
        </w:rPr>
        <w:t> </w:t>
      </w:r>
      <w:r>
        <w:rPr>
          <w:i/>
          <w:spacing w:val="-3"/>
          <w:sz w:val="16"/>
        </w:rPr>
        <w:t>de</w:t>
      </w:r>
      <w:r>
        <w:rPr>
          <w:i/>
          <w:spacing w:val="-13"/>
          <w:sz w:val="16"/>
        </w:rPr>
        <w:t> </w:t>
      </w:r>
      <w:r>
        <w:rPr>
          <w:i/>
          <w:spacing w:val="-5"/>
          <w:sz w:val="16"/>
        </w:rPr>
        <w:t>Punta</w:t>
      </w:r>
      <w:r>
        <w:rPr>
          <w:i/>
          <w:spacing w:val="-13"/>
          <w:sz w:val="16"/>
        </w:rPr>
        <w:t> </w:t>
      </w:r>
      <w:r>
        <w:rPr>
          <w:i/>
          <w:spacing w:val="-4"/>
          <w:sz w:val="16"/>
        </w:rPr>
        <w:t>Piedra</w:t>
      </w:r>
      <w:r>
        <w:rPr>
          <w:i/>
          <w:spacing w:val="-15"/>
          <w:sz w:val="16"/>
        </w:rPr>
        <w:t> </w:t>
      </w:r>
      <w:r>
        <w:rPr>
          <w:i/>
          <w:sz w:val="16"/>
        </w:rPr>
        <w:t>y</w:t>
      </w:r>
      <w:r>
        <w:rPr>
          <w:i/>
          <w:spacing w:val="-12"/>
          <w:sz w:val="16"/>
        </w:rPr>
        <w:t> </w:t>
      </w:r>
      <w:r>
        <w:rPr>
          <w:i/>
          <w:spacing w:val="-5"/>
          <w:sz w:val="16"/>
        </w:rPr>
        <w:t>sus</w:t>
      </w:r>
      <w:r>
        <w:rPr>
          <w:i/>
          <w:spacing w:val="-13"/>
          <w:sz w:val="16"/>
        </w:rPr>
        <w:t> </w:t>
      </w:r>
      <w:r>
        <w:rPr>
          <w:i/>
          <w:spacing w:val="-5"/>
          <w:sz w:val="16"/>
        </w:rPr>
        <w:t>Miembros</w:t>
      </w:r>
      <w:r>
        <w:rPr>
          <w:i/>
          <w:spacing w:val="-13"/>
          <w:sz w:val="16"/>
        </w:rPr>
        <w:t> </w:t>
      </w:r>
      <w:r>
        <w:rPr>
          <w:i/>
          <w:spacing w:val="-4"/>
          <w:sz w:val="16"/>
        </w:rPr>
        <w:t>Vs.</w:t>
      </w:r>
      <w:r>
        <w:rPr>
          <w:i/>
          <w:spacing w:val="-15"/>
          <w:sz w:val="16"/>
        </w:rPr>
        <w:t> </w:t>
      </w:r>
      <w:r>
        <w:rPr>
          <w:i/>
          <w:spacing w:val="-5"/>
          <w:sz w:val="16"/>
        </w:rPr>
        <w:t>Honduras.</w:t>
      </w:r>
      <w:r>
        <w:rPr>
          <w:i/>
          <w:spacing w:val="-15"/>
          <w:sz w:val="16"/>
        </w:rPr>
        <w:t> </w:t>
      </w:r>
      <w:r>
        <w:rPr>
          <w:i/>
          <w:spacing w:val="-5"/>
          <w:sz w:val="16"/>
        </w:rPr>
        <w:t>Excepciones</w:t>
      </w:r>
      <w:r>
        <w:rPr>
          <w:i/>
          <w:spacing w:val="-13"/>
          <w:sz w:val="16"/>
        </w:rPr>
        <w:t> </w:t>
      </w:r>
      <w:r>
        <w:rPr>
          <w:i/>
          <w:spacing w:val="-5"/>
          <w:sz w:val="16"/>
        </w:rPr>
        <w:t>Preliminares, </w:t>
      </w:r>
      <w:r>
        <w:rPr>
          <w:i/>
          <w:spacing w:val="-4"/>
          <w:sz w:val="16"/>
        </w:rPr>
        <w:t>Fondo, </w:t>
      </w:r>
      <w:r>
        <w:rPr>
          <w:i/>
          <w:spacing w:val="-5"/>
          <w:sz w:val="16"/>
        </w:rPr>
        <w:t>Reparaciones </w:t>
      </w:r>
      <w:r>
        <w:rPr>
          <w:i/>
          <w:sz w:val="16"/>
        </w:rPr>
        <w:t>y </w:t>
      </w:r>
      <w:r>
        <w:rPr>
          <w:i/>
          <w:spacing w:val="-5"/>
          <w:sz w:val="16"/>
        </w:rPr>
        <w:t>Costas. </w:t>
      </w:r>
      <w:r>
        <w:rPr>
          <w:spacing w:val="-5"/>
          <w:sz w:val="16"/>
        </w:rPr>
        <w:t>Sentencia </w:t>
      </w:r>
      <w:r>
        <w:rPr>
          <w:spacing w:val="-3"/>
          <w:sz w:val="16"/>
        </w:rPr>
        <w:t>de </w:t>
      </w:r>
      <w:r>
        <w:rPr>
          <w:sz w:val="16"/>
        </w:rPr>
        <w:t>8 </w:t>
      </w:r>
      <w:r>
        <w:rPr>
          <w:spacing w:val="-3"/>
          <w:sz w:val="16"/>
        </w:rPr>
        <w:t>de </w:t>
      </w:r>
      <w:r>
        <w:rPr>
          <w:spacing w:val="-5"/>
          <w:sz w:val="16"/>
        </w:rPr>
        <w:t>octubre </w:t>
      </w:r>
      <w:r>
        <w:rPr>
          <w:spacing w:val="-3"/>
          <w:sz w:val="16"/>
        </w:rPr>
        <w:t>de </w:t>
      </w:r>
      <w:r>
        <w:rPr>
          <w:spacing w:val="-4"/>
          <w:sz w:val="16"/>
        </w:rPr>
        <w:t>2015. Serie </w:t>
      </w:r>
      <w:r>
        <w:rPr>
          <w:sz w:val="16"/>
        </w:rPr>
        <w:t>C </w:t>
      </w:r>
      <w:r>
        <w:rPr>
          <w:spacing w:val="-4"/>
          <w:sz w:val="16"/>
        </w:rPr>
        <w:t>No. </w:t>
      </w:r>
      <w:r>
        <w:rPr>
          <w:spacing w:val="-3"/>
          <w:sz w:val="16"/>
        </w:rPr>
        <w:t>304</w:t>
      </w:r>
      <w:r>
        <w:rPr>
          <w:i/>
          <w:spacing w:val="-3"/>
          <w:sz w:val="16"/>
        </w:rPr>
        <w:t>, </w:t>
      </w:r>
      <w:r>
        <w:rPr>
          <w:spacing w:val="-4"/>
          <w:sz w:val="16"/>
        </w:rPr>
        <w:t>párr. 165; </w:t>
      </w:r>
      <w:r>
        <w:rPr>
          <w:i/>
          <w:spacing w:val="-4"/>
          <w:sz w:val="16"/>
        </w:rPr>
        <w:t>Caso </w:t>
      </w:r>
      <w:r>
        <w:rPr>
          <w:i/>
          <w:spacing w:val="-5"/>
          <w:sz w:val="16"/>
        </w:rPr>
        <w:t>Comunidad </w:t>
      </w:r>
      <w:r>
        <w:rPr>
          <w:i/>
          <w:spacing w:val="-5"/>
          <w:sz w:val="16"/>
        </w:rPr>
        <w:t>Garífuna</w:t>
      </w:r>
      <w:r>
        <w:rPr>
          <w:i/>
          <w:spacing w:val="-10"/>
          <w:sz w:val="16"/>
        </w:rPr>
        <w:t> </w:t>
      </w:r>
      <w:r>
        <w:rPr>
          <w:i/>
          <w:spacing w:val="-4"/>
          <w:sz w:val="16"/>
        </w:rPr>
        <w:t>Triunfo</w:t>
      </w:r>
      <w:r>
        <w:rPr>
          <w:i/>
          <w:spacing w:val="-9"/>
          <w:sz w:val="16"/>
        </w:rPr>
        <w:t> </w:t>
      </w:r>
      <w:r>
        <w:rPr>
          <w:i/>
          <w:spacing w:val="-3"/>
          <w:sz w:val="16"/>
        </w:rPr>
        <w:t>de</w:t>
      </w:r>
      <w:r>
        <w:rPr>
          <w:i/>
          <w:spacing w:val="-9"/>
          <w:sz w:val="16"/>
        </w:rPr>
        <w:t> </w:t>
      </w:r>
      <w:r>
        <w:rPr>
          <w:i/>
          <w:spacing w:val="-3"/>
          <w:sz w:val="16"/>
        </w:rPr>
        <w:t>la</w:t>
      </w:r>
      <w:r>
        <w:rPr>
          <w:i/>
          <w:spacing w:val="-10"/>
          <w:sz w:val="16"/>
        </w:rPr>
        <w:t> </w:t>
      </w:r>
      <w:r>
        <w:rPr>
          <w:i/>
          <w:spacing w:val="-4"/>
          <w:sz w:val="16"/>
        </w:rPr>
        <w:t>Cruz</w:t>
      </w:r>
      <w:r>
        <w:rPr>
          <w:i/>
          <w:spacing w:val="-10"/>
          <w:sz w:val="16"/>
        </w:rPr>
        <w:t> </w:t>
      </w:r>
      <w:r>
        <w:rPr>
          <w:i/>
          <w:sz w:val="16"/>
        </w:rPr>
        <w:t>y</w:t>
      </w:r>
      <w:r>
        <w:rPr>
          <w:i/>
          <w:spacing w:val="-8"/>
          <w:sz w:val="16"/>
        </w:rPr>
        <w:t> </w:t>
      </w:r>
      <w:r>
        <w:rPr>
          <w:i/>
          <w:spacing w:val="-4"/>
          <w:sz w:val="16"/>
        </w:rPr>
        <w:t>sus</w:t>
      </w:r>
      <w:r>
        <w:rPr>
          <w:i/>
          <w:spacing w:val="-9"/>
          <w:sz w:val="16"/>
        </w:rPr>
        <w:t> </w:t>
      </w:r>
      <w:r>
        <w:rPr>
          <w:i/>
          <w:spacing w:val="-5"/>
          <w:sz w:val="16"/>
        </w:rPr>
        <w:t>Miembros</w:t>
      </w:r>
      <w:r>
        <w:rPr>
          <w:i/>
          <w:spacing w:val="-9"/>
          <w:sz w:val="16"/>
        </w:rPr>
        <w:t> </w:t>
      </w:r>
      <w:r>
        <w:rPr>
          <w:i/>
          <w:spacing w:val="-4"/>
          <w:sz w:val="16"/>
        </w:rPr>
        <w:t>Vs.</w:t>
      </w:r>
      <w:r>
        <w:rPr>
          <w:i/>
          <w:spacing w:val="-10"/>
          <w:sz w:val="16"/>
        </w:rPr>
        <w:t> </w:t>
      </w:r>
      <w:r>
        <w:rPr>
          <w:i/>
          <w:spacing w:val="-5"/>
          <w:sz w:val="16"/>
        </w:rPr>
        <w:t>Honduras.</w:t>
      </w:r>
      <w:r>
        <w:rPr>
          <w:i/>
          <w:spacing w:val="-10"/>
          <w:sz w:val="16"/>
        </w:rPr>
        <w:t> </w:t>
      </w:r>
      <w:r>
        <w:rPr>
          <w:i/>
          <w:spacing w:val="-4"/>
          <w:sz w:val="16"/>
        </w:rPr>
        <w:t>Fondo,</w:t>
      </w:r>
      <w:r>
        <w:rPr>
          <w:i/>
          <w:spacing w:val="-10"/>
          <w:sz w:val="16"/>
        </w:rPr>
        <w:t> </w:t>
      </w:r>
      <w:r>
        <w:rPr>
          <w:i/>
          <w:spacing w:val="-5"/>
          <w:sz w:val="16"/>
        </w:rPr>
        <w:t>Reparaciones</w:t>
      </w:r>
      <w:r>
        <w:rPr>
          <w:i/>
          <w:spacing w:val="-9"/>
          <w:sz w:val="16"/>
        </w:rPr>
        <w:t> </w:t>
      </w:r>
      <w:r>
        <w:rPr>
          <w:i/>
          <w:sz w:val="16"/>
        </w:rPr>
        <w:t>y</w:t>
      </w:r>
      <w:r>
        <w:rPr>
          <w:i/>
          <w:spacing w:val="-8"/>
          <w:sz w:val="16"/>
        </w:rPr>
        <w:t> </w:t>
      </w:r>
      <w:r>
        <w:rPr>
          <w:i/>
          <w:spacing w:val="-5"/>
          <w:sz w:val="16"/>
        </w:rPr>
        <w:t>Costas.</w:t>
      </w:r>
      <w:r>
        <w:rPr>
          <w:i/>
          <w:spacing w:val="-10"/>
          <w:sz w:val="16"/>
        </w:rPr>
        <w:t> </w:t>
      </w:r>
      <w:r>
        <w:rPr>
          <w:spacing w:val="-5"/>
          <w:sz w:val="16"/>
        </w:rPr>
        <w:t>Sentencia</w:t>
      </w:r>
      <w:r>
        <w:rPr>
          <w:spacing w:val="-10"/>
          <w:sz w:val="16"/>
        </w:rPr>
        <w:t> </w:t>
      </w:r>
      <w:r>
        <w:rPr>
          <w:spacing w:val="-3"/>
          <w:sz w:val="16"/>
        </w:rPr>
        <w:t>de</w:t>
      </w:r>
      <w:r>
        <w:rPr>
          <w:spacing w:val="-9"/>
          <w:sz w:val="16"/>
        </w:rPr>
        <w:t> </w:t>
      </w:r>
      <w:r>
        <w:rPr>
          <w:sz w:val="16"/>
        </w:rPr>
        <w:t>8</w:t>
      </w:r>
      <w:r>
        <w:rPr>
          <w:spacing w:val="-8"/>
          <w:sz w:val="16"/>
        </w:rPr>
        <w:t> </w:t>
      </w:r>
      <w:r>
        <w:rPr>
          <w:spacing w:val="-3"/>
          <w:sz w:val="16"/>
        </w:rPr>
        <w:t>de</w:t>
      </w:r>
      <w:r>
        <w:rPr>
          <w:spacing w:val="-9"/>
          <w:sz w:val="16"/>
        </w:rPr>
        <w:t> </w:t>
      </w:r>
      <w:r>
        <w:rPr>
          <w:spacing w:val="-5"/>
          <w:sz w:val="16"/>
        </w:rPr>
        <w:t>octubre </w:t>
      </w:r>
      <w:r>
        <w:rPr>
          <w:spacing w:val="-3"/>
          <w:sz w:val="16"/>
        </w:rPr>
        <w:t>de </w:t>
      </w:r>
      <w:r>
        <w:rPr>
          <w:spacing w:val="-4"/>
          <w:sz w:val="16"/>
        </w:rPr>
        <w:t>2015. Serie </w:t>
      </w:r>
      <w:r>
        <w:rPr>
          <w:sz w:val="16"/>
        </w:rPr>
        <w:t>C </w:t>
      </w:r>
      <w:r>
        <w:rPr>
          <w:spacing w:val="-4"/>
          <w:sz w:val="16"/>
        </w:rPr>
        <w:t>No. </w:t>
      </w:r>
      <w:r>
        <w:rPr>
          <w:spacing w:val="-3"/>
          <w:sz w:val="16"/>
        </w:rPr>
        <w:t>324</w:t>
      </w:r>
      <w:r>
        <w:rPr>
          <w:i/>
          <w:spacing w:val="-3"/>
          <w:sz w:val="16"/>
        </w:rPr>
        <w:t>, </w:t>
      </w:r>
      <w:r>
        <w:rPr>
          <w:spacing w:val="-5"/>
          <w:sz w:val="16"/>
        </w:rPr>
        <w:t>párr. </w:t>
      </w:r>
      <w:r>
        <w:rPr>
          <w:spacing w:val="-3"/>
          <w:sz w:val="16"/>
        </w:rPr>
        <w:t>100; </w:t>
      </w:r>
      <w:r>
        <w:rPr>
          <w:i/>
          <w:spacing w:val="-4"/>
          <w:sz w:val="16"/>
        </w:rPr>
        <w:t>Caso </w:t>
      </w:r>
      <w:r>
        <w:rPr>
          <w:i/>
          <w:spacing w:val="-5"/>
          <w:sz w:val="16"/>
        </w:rPr>
        <w:t>Pueblos </w:t>
      </w:r>
      <w:r>
        <w:rPr>
          <w:i/>
          <w:spacing w:val="-4"/>
          <w:sz w:val="16"/>
        </w:rPr>
        <w:t>Kaliña </w:t>
      </w:r>
      <w:r>
        <w:rPr>
          <w:i/>
          <w:sz w:val="16"/>
        </w:rPr>
        <w:t>y </w:t>
      </w:r>
      <w:r>
        <w:rPr>
          <w:i/>
          <w:spacing w:val="-5"/>
          <w:sz w:val="16"/>
        </w:rPr>
        <w:t>Lokono </w:t>
      </w:r>
      <w:r>
        <w:rPr>
          <w:i/>
          <w:spacing w:val="-4"/>
          <w:sz w:val="16"/>
        </w:rPr>
        <w:t>Vs. </w:t>
      </w:r>
      <w:r>
        <w:rPr>
          <w:i/>
          <w:spacing w:val="-5"/>
          <w:sz w:val="16"/>
        </w:rPr>
        <w:t>Surinam. </w:t>
      </w:r>
      <w:r>
        <w:rPr>
          <w:i/>
          <w:spacing w:val="-4"/>
          <w:sz w:val="16"/>
        </w:rPr>
        <w:t>Fondo, </w:t>
      </w:r>
      <w:r>
        <w:rPr>
          <w:i/>
          <w:spacing w:val="-5"/>
          <w:sz w:val="16"/>
        </w:rPr>
        <w:t>Reparaciones </w:t>
      </w:r>
      <w:r>
        <w:rPr>
          <w:i/>
          <w:sz w:val="16"/>
        </w:rPr>
        <w:t>y </w:t>
      </w:r>
      <w:r>
        <w:rPr>
          <w:i/>
          <w:spacing w:val="-5"/>
          <w:sz w:val="16"/>
        </w:rPr>
        <w:t>Costas. </w:t>
      </w:r>
      <w:r>
        <w:rPr>
          <w:spacing w:val="-5"/>
          <w:sz w:val="16"/>
        </w:rPr>
        <w:t>Sentencia</w:t>
      </w:r>
      <w:r>
        <w:rPr>
          <w:spacing w:val="-8"/>
          <w:sz w:val="16"/>
        </w:rPr>
        <w:t> </w:t>
      </w:r>
      <w:r>
        <w:rPr>
          <w:spacing w:val="-3"/>
          <w:sz w:val="16"/>
        </w:rPr>
        <w:t>de</w:t>
      </w:r>
      <w:r>
        <w:rPr>
          <w:spacing w:val="-8"/>
          <w:sz w:val="16"/>
        </w:rPr>
        <w:t> </w:t>
      </w:r>
      <w:r>
        <w:rPr>
          <w:sz w:val="16"/>
        </w:rPr>
        <w:t>25</w:t>
      </w:r>
      <w:r>
        <w:rPr>
          <w:spacing w:val="-7"/>
          <w:sz w:val="16"/>
        </w:rPr>
        <w:t> </w:t>
      </w:r>
      <w:r>
        <w:rPr>
          <w:spacing w:val="-3"/>
          <w:sz w:val="16"/>
        </w:rPr>
        <w:t>de</w:t>
      </w:r>
      <w:r>
        <w:rPr>
          <w:spacing w:val="-8"/>
          <w:sz w:val="16"/>
        </w:rPr>
        <w:t> </w:t>
      </w:r>
      <w:r>
        <w:rPr>
          <w:spacing w:val="-5"/>
          <w:sz w:val="16"/>
        </w:rPr>
        <w:t>noviembre</w:t>
      </w:r>
      <w:r>
        <w:rPr>
          <w:spacing w:val="-8"/>
          <w:sz w:val="16"/>
        </w:rPr>
        <w:t> </w:t>
      </w:r>
      <w:r>
        <w:rPr>
          <w:spacing w:val="-3"/>
          <w:sz w:val="16"/>
        </w:rPr>
        <w:t>de</w:t>
      </w:r>
      <w:r>
        <w:rPr>
          <w:spacing w:val="-8"/>
          <w:sz w:val="16"/>
        </w:rPr>
        <w:t> </w:t>
      </w:r>
      <w:r>
        <w:rPr>
          <w:spacing w:val="-4"/>
          <w:sz w:val="16"/>
        </w:rPr>
        <w:t>2015.</w:t>
      </w:r>
      <w:r>
        <w:rPr>
          <w:spacing w:val="-8"/>
          <w:sz w:val="16"/>
        </w:rPr>
        <w:t> </w:t>
      </w:r>
      <w:r>
        <w:rPr>
          <w:spacing w:val="-4"/>
          <w:sz w:val="16"/>
        </w:rPr>
        <w:t>Serie</w:t>
      </w:r>
      <w:r>
        <w:rPr>
          <w:spacing w:val="-8"/>
          <w:sz w:val="16"/>
        </w:rPr>
        <w:t> </w:t>
      </w:r>
      <w:r>
        <w:rPr>
          <w:sz w:val="16"/>
        </w:rPr>
        <w:t>C</w:t>
      </w:r>
      <w:r>
        <w:rPr>
          <w:spacing w:val="-7"/>
          <w:sz w:val="16"/>
        </w:rPr>
        <w:t> </w:t>
      </w:r>
      <w:r>
        <w:rPr>
          <w:spacing w:val="-4"/>
          <w:sz w:val="16"/>
        </w:rPr>
        <w:t>No.</w:t>
      </w:r>
      <w:r>
        <w:rPr>
          <w:spacing w:val="-9"/>
          <w:sz w:val="16"/>
        </w:rPr>
        <w:t> </w:t>
      </w:r>
      <w:r>
        <w:rPr>
          <w:spacing w:val="-4"/>
          <w:sz w:val="16"/>
        </w:rPr>
        <w:t>309</w:t>
      </w:r>
      <w:r>
        <w:rPr>
          <w:i/>
          <w:spacing w:val="-4"/>
          <w:sz w:val="16"/>
        </w:rPr>
        <w:t>,</w:t>
      </w:r>
      <w:r>
        <w:rPr>
          <w:i/>
          <w:spacing w:val="-9"/>
          <w:sz w:val="16"/>
        </w:rPr>
        <w:t> </w:t>
      </w:r>
      <w:r>
        <w:rPr>
          <w:spacing w:val="-4"/>
          <w:sz w:val="16"/>
        </w:rPr>
        <w:t>párr.</w:t>
      </w:r>
      <w:r>
        <w:rPr>
          <w:spacing w:val="-9"/>
          <w:sz w:val="16"/>
        </w:rPr>
        <w:t> </w:t>
      </w:r>
      <w:r>
        <w:rPr>
          <w:spacing w:val="-3"/>
          <w:sz w:val="16"/>
        </w:rPr>
        <w:t>129,</w:t>
      </w:r>
      <w:r>
        <w:rPr>
          <w:spacing w:val="-9"/>
          <w:sz w:val="16"/>
        </w:rPr>
        <w:t> </w:t>
      </w:r>
      <w:r>
        <w:rPr>
          <w:sz w:val="16"/>
        </w:rPr>
        <w:t>y</w:t>
      </w:r>
      <w:r>
        <w:rPr>
          <w:spacing w:val="-9"/>
          <w:sz w:val="16"/>
        </w:rPr>
        <w:t> </w:t>
      </w:r>
      <w:r>
        <w:rPr>
          <w:i/>
          <w:sz w:val="16"/>
        </w:rPr>
        <w:t>Caso</w:t>
      </w:r>
      <w:r>
        <w:rPr>
          <w:i/>
          <w:spacing w:val="1"/>
          <w:sz w:val="16"/>
        </w:rPr>
        <w:t> </w:t>
      </w:r>
      <w:r>
        <w:rPr>
          <w:i/>
          <w:sz w:val="16"/>
        </w:rPr>
        <w:t>Pueblo</w:t>
      </w:r>
      <w:r>
        <w:rPr>
          <w:i/>
          <w:spacing w:val="1"/>
          <w:sz w:val="16"/>
        </w:rPr>
        <w:t> </w:t>
      </w:r>
      <w:r>
        <w:rPr>
          <w:i/>
          <w:sz w:val="16"/>
        </w:rPr>
        <w:t>Indígena Xucuru</w:t>
      </w:r>
      <w:r>
        <w:rPr>
          <w:sz w:val="16"/>
        </w:rPr>
        <w:t>,</w:t>
      </w:r>
      <w:r>
        <w:rPr>
          <w:spacing w:val="2"/>
          <w:sz w:val="16"/>
        </w:rPr>
        <w:t> </w:t>
      </w:r>
      <w:r>
        <w:rPr>
          <w:sz w:val="16"/>
        </w:rPr>
        <w:t>párr.</w:t>
      </w:r>
      <w:r>
        <w:rPr>
          <w:spacing w:val="-1"/>
          <w:sz w:val="16"/>
        </w:rPr>
        <w:t> </w:t>
      </w:r>
      <w:r>
        <w:rPr>
          <w:sz w:val="16"/>
        </w:rPr>
        <w:t>115.</w:t>
      </w:r>
    </w:p>
    <w:p>
      <w:pPr>
        <w:tabs>
          <w:tab w:pos="829" w:val="left" w:leader="none"/>
        </w:tabs>
        <w:spacing w:before="171"/>
        <w:ind w:left="122" w:right="117" w:firstLine="0"/>
        <w:jc w:val="both"/>
        <w:rPr>
          <w:sz w:val="16"/>
        </w:rPr>
      </w:pPr>
      <w:r>
        <w:rPr>
          <w:position w:val="6"/>
          <w:sz w:val="10"/>
        </w:rPr>
        <w:t>95</w:t>
        <w:tab/>
      </w:r>
      <w:r>
        <w:rPr>
          <w:i/>
          <w:sz w:val="16"/>
        </w:rPr>
        <w:t>Caso del Pueblo Saramaka Vs. Surinam</w:t>
      </w:r>
      <w:r>
        <w:rPr>
          <w:sz w:val="16"/>
        </w:rPr>
        <w:t>, párrs. 121 y 122. En el mismo sentido, </w:t>
      </w:r>
      <w:r>
        <w:rPr>
          <w:i/>
          <w:sz w:val="16"/>
        </w:rPr>
        <w:t>Caso de</w:t>
      </w:r>
      <w:r>
        <w:rPr>
          <w:i/>
          <w:spacing w:val="-1"/>
          <w:sz w:val="16"/>
        </w:rPr>
        <w:t> </w:t>
      </w:r>
      <w:r>
        <w:rPr>
          <w:i/>
          <w:sz w:val="16"/>
        </w:rPr>
        <w:t>los</w:t>
      </w:r>
      <w:r>
        <w:rPr>
          <w:i/>
          <w:spacing w:val="2"/>
          <w:sz w:val="16"/>
        </w:rPr>
        <w:t> </w:t>
      </w:r>
      <w:r>
        <w:rPr>
          <w:i/>
          <w:sz w:val="16"/>
        </w:rPr>
        <w:t>Pueblos</w:t>
      </w:r>
      <w:r>
        <w:rPr>
          <w:i/>
          <w:w w:val="100"/>
          <w:sz w:val="16"/>
        </w:rPr>
        <w:t> </w:t>
      </w:r>
      <w:r>
        <w:rPr>
          <w:i/>
          <w:sz w:val="16"/>
        </w:rPr>
        <w:t>Indígenas Kuna de Madungandí y Emberá de Bayano y sus Miembros Vs. Panamá</w:t>
      </w:r>
      <w:r>
        <w:rPr>
          <w:sz w:val="16"/>
        </w:rPr>
        <w:t>, párr.</w:t>
      </w:r>
      <w:r>
        <w:rPr>
          <w:spacing w:val="-27"/>
          <w:sz w:val="16"/>
        </w:rPr>
        <w:t> </w:t>
      </w:r>
      <w:r>
        <w:rPr>
          <w:sz w:val="16"/>
        </w:rPr>
        <w:t>112.</w:t>
      </w:r>
    </w:p>
    <w:p>
      <w:pPr>
        <w:pStyle w:val="BodyText"/>
        <w:rPr>
          <w:sz w:val="16"/>
        </w:rPr>
      </w:pPr>
    </w:p>
    <w:p>
      <w:pPr>
        <w:tabs>
          <w:tab w:pos="829" w:val="left" w:leader="none"/>
        </w:tabs>
        <w:spacing w:before="0"/>
        <w:ind w:left="122" w:right="0" w:firstLine="0"/>
        <w:jc w:val="both"/>
        <w:rPr>
          <w:sz w:val="16"/>
        </w:rPr>
      </w:pPr>
      <w:r>
        <w:rPr>
          <w:position w:val="6"/>
          <w:sz w:val="10"/>
        </w:rPr>
        <w:t>96</w:t>
        <w:tab/>
      </w:r>
      <w:r>
        <w:rPr>
          <w:i/>
          <w:sz w:val="16"/>
        </w:rPr>
        <w:t>Caso del Pueblo Saramaka Vs. Surinam</w:t>
      </w:r>
      <w:r>
        <w:rPr>
          <w:sz w:val="16"/>
        </w:rPr>
        <w:t>, párrs. 129 y nota a pie de página</w:t>
      </w:r>
      <w:r>
        <w:rPr>
          <w:spacing w:val="-24"/>
          <w:sz w:val="16"/>
        </w:rPr>
        <w:t> </w:t>
      </w:r>
      <w:r>
        <w:rPr>
          <w:sz w:val="16"/>
        </w:rPr>
        <w:t>124.</w:t>
      </w:r>
    </w:p>
    <w:p>
      <w:pPr>
        <w:pStyle w:val="BodyText"/>
        <w:spacing w:before="12"/>
        <w:rPr>
          <w:sz w:val="15"/>
        </w:rPr>
      </w:pPr>
    </w:p>
    <w:p>
      <w:pPr>
        <w:tabs>
          <w:tab w:pos="829" w:val="left" w:leader="none"/>
        </w:tabs>
        <w:spacing w:before="0"/>
        <w:ind w:left="122" w:right="0" w:firstLine="0"/>
        <w:jc w:val="both"/>
        <w:rPr>
          <w:sz w:val="16"/>
        </w:rPr>
      </w:pPr>
      <w:r>
        <w:rPr>
          <w:position w:val="6"/>
          <w:sz w:val="10"/>
        </w:rPr>
        <w:t>97</w:t>
        <w:tab/>
      </w:r>
      <w:r>
        <w:rPr>
          <w:i/>
          <w:sz w:val="16"/>
        </w:rPr>
        <w:t>Caso de la Comunidad Mayagna (Sumo) Awas Tingni Vs. Nicaragua</w:t>
      </w:r>
      <w:r>
        <w:rPr>
          <w:sz w:val="16"/>
        </w:rPr>
        <w:t>, párrs. 148, 149 y</w:t>
      </w:r>
      <w:r>
        <w:rPr>
          <w:spacing w:val="-28"/>
          <w:sz w:val="16"/>
        </w:rPr>
        <w:t> </w:t>
      </w:r>
      <w:r>
        <w:rPr>
          <w:sz w:val="16"/>
        </w:rPr>
        <w:t>151.</w:t>
      </w:r>
    </w:p>
    <w:p>
      <w:pPr>
        <w:pStyle w:val="BodyText"/>
        <w:spacing w:before="12"/>
        <w:rPr>
          <w:sz w:val="15"/>
        </w:rPr>
      </w:pPr>
    </w:p>
    <w:p>
      <w:pPr>
        <w:tabs>
          <w:tab w:pos="829" w:val="left" w:leader="none"/>
        </w:tabs>
        <w:spacing w:before="0"/>
        <w:ind w:left="122" w:right="0" w:firstLine="0"/>
        <w:jc w:val="both"/>
        <w:rPr>
          <w:sz w:val="16"/>
        </w:rPr>
      </w:pPr>
      <w:r>
        <w:rPr>
          <w:position w:val="6"/>
          <w:sz w:val="10"/>
        </w:rPr>
        <w:t>98</w:t>
        <w:tab/>
      </w:r>
      <w:r>
        <w:rPr>
          <w:sz w:val="16"/>
        </w:rPr>
        <w:t>Así,</w:t>
      </w:r>
      <w:r>
        <w:rPr>
          <w:spacing w:val="20"/>
          <w:sz w:val="16"/>
        </w:rPr>
        <w:t> </w:t>
      </w:r>
      <w:r>
        <w:rPr>
          <w:sz w:val="16"/>
        </w:rPr>
        <w:t>la</w:t>
      </w:r>
      <w:r>
        <w:rPr>
          <w:spacing w:val="21"/>
          <w:sz w:val="16"/>
        </w:rPr>
        <w:t> </w:t>
      </w:r>
      <w:r>
        <w:rPr>
          <w:sz w:val="16"/>
        </w:rPr>
        <w:t>Corte</w:t>
      </w:r>
      <w:r>
        <w:rPr>
          <w:spacing w:val="22"/>
          <w:sz w:val="16"/>
        </w:rPr>
        <w:t> </w:t>
      </w:r>
      <w:r>
        <w:rPr>
          <w:sz w:val="16"/>
        </w:rPr>
        <w:t>ha</w:t>
      </w:r>
      <w:r>
        <w:rPr>
          <w:spacing w:val="21"/>
          <w:sz w:val="16"/>
        </w:rPr>
        <w:t> </w:t>
      </w:r>
      <w:r>
        <w:rPr>
          <w:sz w:val="16"/>
        </w:rPr>
        <w:t>indicado</w:t>
      </w:r>
      <w:r>
        <w:rPr>
          <w:spacing w:val="22"/>
          <w:sz w:val="16"/>
        </w:rPr>
        <w:t> </w:t>
      </w:r>
      <w:r>
        <w:rPr>
          <w:sz w:val="16"/>
        </w:rPr>
        <w:t>que</w:t>
      </w:r>
      <w:r>
        <w:rPr>
          <w:spacing w:val="19"/>
          <w:sz w:val="16"/>
        </w:rPr>
        <w:t> </w:t>
      </w:r>
      <w:r>
        <w:rPr>
          <w:sz w:val="16"/>
        </w:rPr>
        <w:t>“en</w:t>
      </w:r>
      <w:r>
        <w:rPr>
          <w:spacing w:val="21"/>
          <w:sz w:val="16"/>
        </w:rPr>
        <w:t> </w:t>
      </w:r>
      <w:r>
        <w:rPr>
          <w:sz w:val="16"/>
        </w:rPr>
        <w:t>el</w:t>
      </w:r>
      <w:r>
        <w:rPr>
          <w:spacing w:val="21"/>
          <w:sz w:val="16"/>
        </w:rPr>
        <w:t> </w:t>
      </w:r>
      <w:r>
        <w:rPr>
          <w:sz w:val="16"/>
        </w:rPr>
        <w:t>caso</w:t>
      </w:r>
      <w:r>
        <w:rPr>
          <w:spacing w:val="20"/>
          <w:sz w:val="16"/>
        </w:rPr>
        <w:t> </w:t>
      </w:r>
      <w:r>
        <w:rPr>
          <w:sz w:val="16"/>
        </w:rPr>
        <w:t>de</w:t>
      </w:r>
      <w:r>
        <w:rPr>
          <w:spacing w:val="22"/>
          <w:sz w:val="16"/>
        </w:rPr>
        <w:t> </w:t>
      </w:r>
      <w:r>
        <w:rPr>
          <w:sz w:val="16"/>
        </w:rPr>
        <w:t>comunidades</w:t>
      </w:r>
      <w:r>
        <w:rPr>
          <w:spacing w:val="19"/>
          <w:sz w:val="16"/>
        </w:rPr>
        <w:t> </w:t>
      </w:r>
      <w:r>
        <w:rPr>
          <w:sz w:val="16"/>
        </w:rPr>
        <w:t>indígenas</w:t>
      </w:r>
      <w:r>
        <w:rPr>
          <w:spacing w:val="22"/>
          <w:sz w:val="16"/>
        </w:rPr>
        <w:t> </w:t>
      </w:r>
      <w:r>
        <w:rPr>
          <w:sz w:val="16"/>
        </w:rPr>
        <w:t>que</w:t>
      </w:r>
      <w:r>
        <w:rPr>
          <w:spacing w:val="19"/>
          <w:sz w:val="16"/>
        </w:rPr>
        <w:t> </w:t>
      </w:r>
      <w:r>
        <w:rPr>
          <w:sz w:val="16"/>
        </w:rPr>
        <w:t>han</w:t>
      </w:r>
      <w:r>
        <w:rPr>
          <w:spacing w:val="20"/>
          <w:sz w:val="16"/>
        </w:rPr>
        <w:t> </w:t>
      </w:r>
      <w:r>
        <w:rPr>
          <w:sz w:val="16"/>
        </w:rPr>
        <w:t>ocupado</w:t>
      </w:r>
      <w:r>
        <w:rPr>
          <w:spacing w:val="20"/>
          <w:sz w:val="16"/>
        </w:rPr>
        <w:t> </w:t>
      </w:r>
      <w:r>
        <w:rPr>
          <w:sz w:val="16"/>
        </w:rPr>
        <w:t>sus</w:t>
      </w:r>
      <w:r>
        <w:rPr>
          <w:spacing w:val="22"/>
          <w:sz w:val="16"/>
        </w:rPr>
        <w:t> </w:t>
      </w:r>
      <w:r>
        <w:rPr>
          <w:sz w:val="16"/>
        </w:rPr>
        <w:t>tierras</w:t>
      </w:r>
    </w:p>
    <w:p>
      <w:pPr>
        <w:spacing w:before="0"/>
        <w:ind w:left="122" w:right="0" w:firstLine="0"/>
        <w:jc w:val="both"/>
        <w:rPr>
          <w:sz w:val="16"/>
        </w:rPr>
      </w:pPr>
      <w:r>
        <w:rPr>
          <w:sz w:val="16"/>
        </w:rPr>
        <w:t>ancestrales</w:t>
      </w:r>
      <w:r>
        <w:rPr>
          <w:spacing w:val="-13"/>
          <w:sz w:val="16"/>
        </w:rPr>
        <w:t> </w:t>
      </w:r>
      <w:r>
        <w:rPr>
          <w:sz w:val="16"/>
        </w:rPr>
        <w:t>de</w:t>
      </w:r>
      <w:r>
        <w:rPr>
          <w:spacing w:val="-10"/>
          <w:sz w:val="16"/>
        </w:rPr>
        <w:t> </w:t>
      </w:r>
      <w:r>
        <w:rPr>
          <w:sz w:val="16"/>
        </w:rPr>
        <w:t>acuerdo</w:t>
      </w:r>
      <w:r>
        <w:rPr>
          <w:spacing w:val="-10"/>
          <w:sz w:val="16"/>
        </w:rPr>
        <w:t> </w:t>
      </w:r>
      <w:r>
        <w:rPr>
          <w:sz w:val="16"/>
        </w:rPr>
        <w:t>con</w:t>
      </w:r>
      <w:r>
        <w:rPr>
          <w:spacing w:val="-12"/>
          <w:sz w:val="16"/>
        </w:rPr>
        <w:t> </w:t>
      </w:r>
      <w:r>
        <w:rPr>
          <w:sz w:val="16"/>
        </w:rPr>
        <w:t>sus</w:t>
      </w:r>
      <w:r>
        <w:rPr>
          <w:spacing w:val="-10"/>
          <w:sz w:val="16"/>
        </w:rPr>
        <w:t> </w:t>
      </w:r>
      <w:r>
        <w:rPr>
          <w:sz w:val="16"/>
        </w:rPr>
        <w:t>prácticas</w:t>
      </w:r>
      <w:r>
        <w:rPr>
          <w:spacing w:val="-9"/>
          <w:sz w:val="16"/>
        </w:rPr>
        <w:t> </w:t>
      </w:r>
      <w:r>
        <w:rPr>
          <w:sz w:val="16"/>
        </w:rPr>
        <w:t>consuetudinarias</w:t>
      </w:r>
      <w:r>
        <w:rPr>
          <w:spacing w:val="-10"/>
          <w:sz w:val="16"/>
        </w:rPr>
        <w:t> </w:t>
      </w:r>
      <w:r>
        <w:rPr>
          <w:sz w:val="16"/>
        </w:rPr>
        <w:t>–</w:t>
      </w:r>
      <w:r>
        <w:rPr>
          <w:spacing w:val="-12"/>
          <w:sz w:val="16"/>
        </w:rPr>
        <w:t> </w:t>
      </w:r>
      <w:r>
        <w:rPr>
          <w:sz w:val="16"/>
        </w:rPr>
        <w:t>pero</w:t>
      </w:r>
      <w:r>
        <w:rPr>
          <w:spacing w:val="-10"/>
          <w:sz w:val="16"/>
        </w:rPr>
        <w:t> </w:t>
      </w:r>
      <w:r>
        <w:rPr>
          <w:sz w:val="16"/>
        </w:rPr>
        <w:t>que</w:t>
      </w:r>
      <w:r>
        <w:rPr>
          <w:spacing w:val="-13"/>
          <w:sz w:val="16"/>
        </w:rPr>
        <w:t> </w:t>
      </w:r>
      <w:r>
        <w:rPr>
          <w:sz w:val="16"/>
        </w:rPr>
        <w:t>carecen</w:t>
      </w:r>
      <w:r>
        <w:rPr>
          <w:spacing w:val="-14"/>
          <w:sz w:val="16"/>
        </w:rPr>
        <w:t> </w:t>
      </w:r>
      <w:r>
        <w:rPr>
          <w:sz w:val="16"/>
        </w:rPr>
        <w:t>de</w:t>
      </w:r>
      <w:r>
        <w:rPr>
          <w:spacing w:val="-10"/>
          <w:sz w:val="16"/>
        </w:rPr>
        <w:t> </w:t>
      </w:r>
      <w:r>
        <w:rPr>
          <w:sz w:val="16"/>
        </w:rPr>
        <w:t>un</w:t>
      </w:r>
      <w:r>
        <w:rPr>
          <w:spacing w:val="-12"/>
          <w:sz w:val="16"/>
        </w:rPr>
        <w:t> </w:t>
      </w:r>
      <w:r>
        <w:rPr>
          <w:sz w:val="16"/>
        </w:rPr>
        <w:t>título</w:t>
      </w:r>
      <w:r>
        <w:rPr>
          <w:spacing w:val="-10"/>
          <w:sz w:val="16"/>
        </w:rPr>
        <w:t> </w:t>
      </w:r>
      <w:r>
        <w:rPr>
          <w:sz w:val="16"/>
        </w:rPr>
        <w:t>formal</w:t>
      </w:r>
      <w:r>
        <w:rPr>
          <w:spacing w:val="-12"/>
          <w:sz w:val="16"/>
        </w:rPr>
        <w:t> </w:t>
      </w:r>
      <w:r>
        <w:rPr>
          <w:sz w:val="16"/>
        </w:rPr>
        <w:t>de</w:t>
      </w:r>
      <w:r>
        <w:rPr>
          <w:spacing w:val="-10"/>
          <w:sz w:val="16"/>
        </w:rPr>
        <w:t> </w:t>
      </w:r>
      <w:r>
        <w:rPr>
          <w:sz w:val="16"/>
        </w:rPr>
        <w:t>propiedad</w:t>
      </w:r>
    </w:p>
    <w:p>
      <w:pPr>
        <w:pStyle w:val="ListParagraph"/>
        <w:numPr>
          <w:ilvl w:val="0"/>
          <w:numId w:val="22"/>
        </w:numPr>
        <w:tabs>
          <w:tab w:pos="291" w:val="left" w:leader="none"/>
        </w:tabs>
        <w:spacing w:line="240" w:lineRule="auto" w:before="0" w:after="0"/>
        <w:ind w:left="122" w:right="0" w:firstLine="0"/>
        <w:jc w:val="both"/>
        <w:rPr>
          <w:sz w:val="16"/>
        </w:rPr>
      </w:pPr>
      <w:r>
        <w:rPr>
          <w:sz w:val="16"/>
        </w:rPr>
        <w:t>la posesión de la tierra debería bastar para que obtengan el reconocimiento oficial de dicha propiedad y </w:t>
      </w:r>
      <w:r>
        <w:rPr>
          <w:spacing w:val="10"/>
          <w:sz w:val="16"/>
        </w:rPr>
        <w:t> </w:t>
      </w:r>
      <w:r>
        <w:rPr>
          <w:sz w:val="16"/>
        </w:rPr>
        <w:t>el</w:t>
      </w:r>
    </w:p>
    <w:p>
      <w:pPr>
        <w:spacing w:before="0"/>
        <w:ind w:left="122" w:right="0" w:firstLine="0"/>
        <w:jc w:val="both"/>
        <w:rPr>
          <w:sz w:val="16"/>
        </w:rPr>
      </w:pPr>
      <w:r>
        <w:rPr>
          <w:sz w:val="16"/>
        </w:rPr>
        <w:t>consiguiente registro” (</w:t>
      </w:r>
      <w:r>
        <w:rPr>
          <w:i/>
          <w:sz w:val="16"/>
        </w:rPr>
        <w:t>Caso de la Comunidad Moiwana Vs. Surinam</w:t>
      </w:r>
      <w:r>
        <w:rPr>
          <w:sz w:val="16"/>
        </w:rPr>
        <w:t>, párr. 131).</w:t>
      </w:r>
    </w:p>
    <w:p>
      <w:pPr>
        <w:pStyle w:val="BodyText"/>
        <w:spacing w:before="11"/>
        <w:rPr>
          <w:sz w:val="15"/>
        </w:rPr>
      </w:pPr>
    </w:p>
    <w:p>
      <w:pPr>
        <w:tabs>
          <w:tab w:pos="829" w:val="left" w:leader="none"/>
        </w:tabs>
        <w:spacing w:before="0"/>
        <w:ind w:left="122" w:right="0" w:firstLine="0"/>
        <w:jc w:val="both"/>
        <w:rPr>
          <w:sz w:val="16"/>
        </w:rPr>
      </w:pPr>
      <w:r>
        <w:rPr>
          <w:position w:val="6"/>
          <w:sz w:val="10"/>
        </w:rPr>
        <w:t>99</w:t>
        <w:tab/>
      </w:r>
      <w:r>
        <w:rPr>
          <w:i/>
          <w:sz w:val="16"/>
        </w:rPr>
        <w:t>Caso Comunidad Indígena Yakye Axa Vs. Paraguay</w:t>
      </w:r>
      <w:r>
        <w:rPr>
          <w:sz w:val="16"/>
        </w:rPr>
        <w:t>, párr.</w:t>
      </w:r>
      <w:r>
        <w:rPr>
          <w:spacing w:val="-22"/>
          <w:sz w:val="16"/>
        </w:rPr>
        <w:t> </w:t>
      </w:r>
      <w:r>
        <w:rPr>
          <w:sz w:val="16"/>
        </w:rPr>
        <w:t>141.</w:t>
      </w:r>
    </w:p>
    <w:p>
      <w:pPr>
        <w:pStyle w:val="BodyText"/>
        <w:spacing w:before="11"/>
        <w:rPr>
          <w:sz w:val="15"/>
        </w:rPr>
      </w:pPr>
    </w:p>
    <w:p>
      <w:pPr>
        <w:tabs>
          <w:tab w:pos="829" w:val="left" w:leader="none"/>
        </w:tabs>
        <w:spacing w:before="0"/>
        <w:ind w:left="122" w:right="117" w:firstLine="0"/>
        <w:jc w:val="both"/>
        <w:rPr>
          <w:sz w:val="16"/>
        </w:rPr>
      </w:pPr>
      <w:r>
        <w:rPr>
          <w:position w:val="6"/>
          <w:sz w:val="10"/>
        </w:rPr>
        <w:t>100</w:t>
        <w:tab/>
      </w:r>
      <w:r>
        <w:rPr>
          <w:i/>
          <w:sz w:val="16"/>
        </w:rPr>
        <w:t>Cfr. Caso de la Comunidad Moiwana Vs. Suriname</w:t>
      </w:r>
      <w:r>
        <w:rPr>
          <w:sz w:val="16"/>
        </w:rPr>
        <w:t>, párr. 211, y </w:t>
      </w:r>
      <w:r>
        <w:rPr>
          <w:i/>
          <w:sz w:val="16"/>
        </w:rPr>
        <w:t>Caso Pueblo Indígena Xucuru </w:t>
      </w:r>
      <w:r>
        <w:rPr>
          <w:i/>
          <w:spacing w:val="28"/>
          <w:sz w:val="16"/>
        </w:rPr>
        <w:t> </w:t>
      </w:r>
      <w:r>
        <w:rPr>
          <w:i/>
          <w:sz w:val="16"/>
        </w:rPr>
        <w:t>y</w:t>
      </w:r>
      <w:r>
        <w:rPr>
          <w:i/>
          <w:spacing w:val="5"/>
          <w:sz w:val="16"/>
        </w:rPr>
        <w:t> </w:t>
      </w:r>
      <w:r>
        <w:rPr>
          <w:i/>
          <w:sz w:val="16"/>
        </w:rPr>
        <w:t>sus</w:t>
      </w:r>
      <w:r>
        <w:rPr>
          <w:i/>
          <w:w w:val="100"/>
          <w:sz w:val="16"/>
        </w:rPr>
        <w:t> </w:t>
      </w:r>
      <w:r>
        <w:rPr>
          <w:i/>
          <w:sz w:val="16"/>
        </w:rPr>
        <w:t>miembros Vs. Brasil</w:t>
      </w:r>
      <w:r>
        <w:rPr>
          <w:sz w:val="16"/>
        </w:rPr>
        <w:t>, párr.</w:t>
      </w:r>
      <w:r>
        <w:rPr>
          <w:spacing w:val="-11"/>
          <w:sz w:val="16"/>
        </w:rPr>
        <w:t> </w:t>
      </w:r>
      <w:r>
        <w:rPr>
          <w:sz w:val="16"/>
        </w:rPr>
        <w:t>117.</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101</w:t>
        <w:tab/>
      </w:r>
      <w:r>
        <w:rPr>
          <w:sz w:val="16"/>
        </w:rPr>
        <w:t>De acuerdo con lo que ha señalado la Corte, el derecho de propiedad de pueblos indígenas </w:t>
      </w:r>
      <w:r>
        <w:rPr>
          <w:spacing w:val="22"/>
          <w:sz w:val="16"/>
        </w:rPr>
        <w:t> </w:t>
      </w:r>
      <w:r>
        <w:rPr>
          <w:sz w:val="16"/>
        </w:rPr>
        <w:t>sobre</w:t>
      </w:r>
      <w:r>
        <w:rPr>
          <w:spacing w:val="4"/>
          <w:sz w:val="16"/>
        </w:rPr>
        <w:t> </w:t>
      </w:r>
      <w:r>
        <w:rPr>
          <w:sz w:val="16"/>
        </w:rPr>
        <w:t>el</w:t>
      </w:r>
      <w:r>
        <w:rPr>
          <w:w w:val="100"/>
          <w:sz w:val="16"/>
        </w:rPr>
        <w:t> </w:t>
      </w:r>
      <w:r>
        <w:rPr>
          <w:sz w:val="16"/>
        </w:rPr>
        <w:t>territorio</w:t>
      </w:r>
      <w:r>
        <w:rPr>
          <w:spacing w:val="-7"/>
          <w:sz w:val="16"/>
        </w:rPr>
        <w:t> </w:t>
      </w:r>
      <w:r>
        <w:rPr>
          <w:sz w:val="16"/>
        </w:rPr>
        <w:t>se</w:t>
      </w:r>
      <w:r>
        <w:rPr>
          <w:spacing w:val="-7"/>
          <w:sz w:val="16"/>
        </w:rPr>
        <w:t> </w:t>
      </w:r>
      <w:r>
        <w:rPr>
          <w:sz w:val="16"/>
        </w:rPr>
        <w:t>extiende,</w:t>
      </w:r>
      <w:r>
        <w:rPr>
          <w:spacing w:val="-8"/>
          <w:sz w:val="16"/>
        </w:rPr>
        <w:t> </w:t>
      </w:r>
      <w:r>
        <w:rPr>
          <w:sz w:val="16"/>
        </w:rPr>
        <w:t>en</w:t>
      </w:r>
      <w:r>
        <w:rPr>
          <w:spacing w:val="-6"/>
          <w:sz w:val="16"/>
        </w:rPr>
        <w:t> </w:t>
      </w:r>
      <w:r>
        <w:rPr>
          <w:sz w:val="16"/>
        </w:rPr>
        <w:t>principio,</w:t>
      </w:r>
      <w:r>
        <w:rPr>
          <w:spacing w:val="-6"/>
          <w:sz w:val="16"/>
        </w:rPr>
        <w:t> </w:t>
      </w:r>
      <w:r>
        <w:rPr>
          <w:sz w:val="16"/>
        </w:rPr>
        <w:t>a</w:t>
      </w:r>
      <w:r>
        <w:rPr>
          <w:spacing w:val="-6"/>
          <w:sz w:val="16"/>
        </w:rPr>
        <w:t> </w:t>
      </w:r>
      <w:r>
        <w:rPr>
          <w:sz w:val="16"/>
        </w:rPr>
        <w:t>las</w:t>
      </w:r>
      <w:r>
        <w:rPr>
          <w:spacing w:val="-7"/>
          <w:sz w:val="16"/>
        </w:rPr>
        <w:t> </w:t>
      </w:r>
      <w:r>
        <w:rPr>
          <w:sz w:val="16"/>
        </w:rPr>
        <w:t>tierras</w:t>
      </w:r>
      <w:r>
        <w:rPr>
          <w:spacing w:val="-7"/>
          <w:sz w:val="16"/>
        </w:rPr>
        <w:t> </w:t>
      </w:r>
      <w:r>
        <w:rPr>
          <w:sz w:val="16"/>
        </w:rPr>
        <w:t>y</w:t>
      </w:r>
      <w:r>
        <w:rPr>
          <w:spacing w:val="-7"/>
          <w:sz w:val="16"/>
        </w:rPr>
        <w:t> </w:t>
      </w:r>
      <w:r>
        <w:rPr>
          <w:sz w:val="16"/>
        </w:rPr>
        <w:t>recursos</w:t>
      </w:r>
      <w:r>
        <w:rPr>
          <w:spacing w:val="-10"/>
          <w:sz w:val="16"/>
        </w:rPr>
        <w:t> </w:t>
      </w:r>
      <w:r>
        <w:rPr>
          <w:sz w:val="16"/>
        </w:rPr>
        <w:t>que</w:t>
      </w:r>
      <w:r>
        <w:rPr>
          <w:spacing w:val="-5"/>
          <w:sz w:val="16"/>
        </w:rPr>
        <w:t> </w:t>
      </w:r>
      <w:r>
        <w:rPr>
          <w:sz w:val="16"/>
        </w:rPr>
        <w:t>usan</w:t>
      </w:r>
      <w:r>
        <w:rPr>
          <w:spacing w:val="-9"/>
          <w:sz w:val="16"/>
        </w:rPr>
        <w:t> </w:t>
      </w:r>
      <w:r>
        <w:rPr>
          <w:sz w:val="16"/>
        </w:rPr>
        <w:t>en</w:t>
      </w:r>
      <w:r>
        <w:rPr>
          <w:spacing w:val="-8"/>
          <w:sz w:val="16"/>
        </w:rPr>
        <w:t> </w:t>
      </w:r>
      <w:r>
        <w:rPr>
          <w:sz w:val="16"/>
        </w:rPr>
        <w:t>forma</w:t>
      </w:r>
      <w:r>
        <w:rPr>
          <w:spacing w:val="-6"/>
          <w:sz w:val="16"/>
        </w:rPr>
        <w:t> </w:t>
      </w:r>
      <w:r>
        <w:rPr>
          <w:sz w:val="16"/>
        </w:rPr>
        <w:t>actual,</w:t>
      </w:r>
      <w:r>
        <w:rPr>
          <w:spacing w:val="-6"/>
          <w:sz w:val="16"/>
        </w:rPr>
        <w:t> </w:t>
      </w:r>
      <w:r>
        <w:rPr>
          <w:sz w:val="16"/>
        </w:rPr>
        <w:t>como</w:t>
      </w:r>
      <w:r>
        <w:rPr>
          <w:spacing w:val="-4"/>
          <w:sz w:val="16"/>
        </w:rPr>
        <w:t> </w:t>
      </w:r>
      <w:r>
        <w:rPr>
          <w:sz w:val="16"/>
        </w:rPr>
        <w:t>también</w:t>
      </w:r>
      <w:r>
        <w:rPr>
          <w:spacing w:val="-9"/>
          <w:sz w:val="16"/>
        </w:rPr>
        <w:t> </w:t>
      </w:r>
      <w:r>
        <w:rPr>
          <w:sz w:val="16"/>
        </w:rPr>
        <w:t>a</w:t>
      </w:r>
      <w:r>
        <w:rPr>
          <w:spacing w:val="-8"/>
          <w:sz w:val="16"/>
        </w:rPr>
        <w:t> </w:t>
      </w:r>
      <w:r>
        <w:rPr>
          <w:sz w:val="16"/>
        </w:rPr>
        <w:t>aquellas tierras</w:t>
      </w:r>
      <w:r>
        <w:rPr>
          <w:spacing w:val="-14"/>
          <w:sz w:val="16"/>
        </w:rPr>
        <w:t> </w:t>
      </w:r>
      <w:r>
        <w:rPr>
          <w:sz w:val="16"/>
        </w:rPr>
        <w:t>de</w:t>
      </w:r>
      <w:r>
        <w:rPr>
          <w:spacing w:val="-12"/>
          <w:sz w:val="16"/>
        </w:rPr>
        <w:t> </w:t>
      </w:r>
      <w:r>
        <w:rPr>
          <w:sz w:val="16"/>
        </w:rPr>
        <w:t>las</w:t>
      </w:r>
      <w:r>
        <w:rPr>
          <w:spacing w:val="-14"/>
          <w:sz w:val="16"/>
        </w:rPr>
        <w:t> </w:t>
      </w:r>
      <w:r>
        <w:rPr>
          <w:sz w:val="16"/>
        </w:rPr>
        <w:t>que</w:t>
      </w:r>
      <w:r>
        <w:rPr>
          <w:spacing w:val="-12"/>
          <w:sz w:val="16"/>
        </w:rPr>
        <w:t> </w:t>
      </w:r>
      <w:r>
        <w:rPr>
          <w:sz w:val="16"/>
        </w:rPr>
        <w:t>fueron</w:t>
      </w:r>
      <w:r>
        <w:rPr>
          <w:spacing w:val="-15"/>
          <w:sz w:val="16"/>
        </w:rPr>
        <w:t> </w:t>
      </w:r>
      <w:r>
        <w:rPr>
          <w:sz w:val="16"/>
        </w:rPr>
        <w:t>despojados</w:t>
      </w:r>
      <w:r>
        <w:rPr>
          <w:spacing w:val="-14"/>
          <w:sz w:val="16"/>
        </w:rPr>
        <w:t> </w:t>
      </w:r>
      <w:r>
        <w:rPr>
          <w:sz w:val="16"/>
        </w:rPr>
        <w:t>y</w:t>
      </w:r>
      <w:r>
        <w:rPr>
          <w:spacing w:val="-11"/>
          <w:sz w:val="16"/>
        </w:rPr>
        <w:t> </w:t>
      </w:r>
      <w:r>
        <w:rPr>
          <w:sz w:val="16"/>
        </w:rPr>
        <w:t>con</w:t>
      </w:r>
      <w:r>
        <w:rPr>
          <w:spacing w:val="-13"/>
          <w:sz w:val="16"/>
        </w:rPr>
        <w:t> </w:t>
      </w:r>
      <w:r>
        <w:rPr>
          <w:sz w:val="16"/>
        </w:rPr>
        <w:t>las</w:t>
      </w:r>
      <w:r>
        <w:rPr>
          <w:spacing w:val="-12"/>
          <w:sz w:val="16"/>
        </w:rPr>
        <w:t> </w:t>
      </w:r>
      <w:r>
        <w:rPr>
          <w:sz w:val="16"/>
        </w:rPr>
        <w:t>que</w:t>
      </w:r>
      <w:r>
        <w:rPr>
          <w:spacing w:val="-14"/>
          <w:sz w:val="16"/>
        </w:rPr>
        <w:t> </w:t>
      </w:r>
      <w:r>
        <w:rPr>
          <w:sz w:val="16"/>
        </w:rPr>
        <w:t>mantienen</w:t>
      </w:r>
      <w:r>
        <w:rPr>
          <w:spacing w:val="-13"/>
          <w:sz w:val="16"/>
        </w:rPr>
        <w:t> </w:t>
      </w:r>
      <w:r>
        <w:rPr>
          <w:sz w:val="16"/>
        </w:rPr>
        <w:t>una</w:t>
      </w:r>
      <w:r>
        <w:rPr>
          <w:spacing w:val="-13"/>
          <w:sz w:val="16"/>
        </w:rPr>
        <w:t> </w:t>
      </w:r>
      <w:r>
        <w:rPr>
          <w:sz w:val="16"/>
        </w:rPr>
        <w:t>relación</w:t>
      </w:r>
      <w:r>
        <w:rPr>
          <w:spacing w:val="-13"/>
          <w:sz w:val="16"/>
        </w:rPr>
        <w:t> </w:t>
      </w:r>
      <w:r>
        <w:rPr>
          <w:sz w:val="16"/>
        </w:rPr>
        <w:t>(</w:t>
      </w:r>
      <w:r>
        <w:rPr>
          <w:i/>
          <w:sz w:val="16"/>
        </w:rPr>
        <w:t>cfr.</w:t>
      </w:r>
      <w:r>
        <w:rPr>
          <w:i/>
          <w:spacing w:val="-13"/>
          <w:sz w:val="16"/>
        </w:rPr>
        <w:t> </w:t>
      </w:r>
      <w:r>
        <w:rPr>
          <w:i/>
          <w:sz w:val="16"/>
        </w:rPr>
        <w:t>Caso</w:t>
      </w:r>
      <w:r>
        <w:rPr>
          <w:i/>
          <w:spacing w:val="-11"/>
          <w:sz w:val="16"/>
        </w:rPr>
        <w:t> </w:t>
      </w:r>
      <w:r>
        <w:rPr>
          <w:i/>
          <w:sz w:val="16"/>
        </w:rPr>
        <w:t>de</w:t>
      </w:r>
      <w:r>
        <w:rPr>
          <w:i/>
          <w:spacing w:val="-12"/>
          <w:sz w:val="16"/>
        </w:rPr>
        <w:t> </w:t>
      </w:r>
      <w:r>
        <w:rPr>
          <w:i/>
          <w:sz w:val="16"/>
        </w:rPr>
        <w:t>la</w:t>
      </w:r>
      <w:r>
        <w:rPr>
          <w:i/>
          <w:spacing w:val="-13"/>
          <w:sz w:val="16"/>
        </w:rPr>
        <w:t> </w:t>
      </w:r>
      <w:r>
        <w:rPr>
          <w:i/>
          <w:sz w:val="16"/>
        </w:rPr>
        <w:t>Comunidad</w:t>
      </w:r>
      <w:r>
        <w:rPr>
          <w:i/>
          <w:spacing w:val="-14"/>
          <w:sz w:val="16"/>
        </w:rPr>
        <w:t> </w:t>
      </w:r>
      <w:r>
        <w:rPr>
          <w:i/>
          <w:sz w:val="16"/>
        </w:rPr>
        <w:t>Mayagna </w:t>
      </w:r>
      <w:r>
        <w:rPr>
          <w:i/>
          <w:sz w:val="16"/>
        </w:rPr>
        <w:t>(Sumo) Awas Tingni Vs. Nicaragua</w:t>
      </w:r>
      <w:r>
        <w:rPr>
          <w:sz w:val="16"/>
        </w:rPr>
        <w:t>, párr. 153.2, y </w:t>
      </w:r>
      <w:r>
        <w:rPr>
          <w:i/>
          <w:sz w:val="16"/>
        </w:rPr>
        <w:t>Caso Comunidad Indígena Yakye Axa Vs. Paraguay</w:t>
      </w:r>
      <w:r>
        <w:rPr>
          <w:sz w:val="16"/>
        </w:rPr>
        <w:t>, párr. 135).</w:t>
      </w:r>
    </w:p>
    <w:p>
      <w:pPr>
        <w:spacing w:after="0" w:line="240" w:lineRule="auto"/>
        <w:jc w:val="both"/>
        <w:rPr>
          <w:sz w:val="16"/>
        </w:rPr>
        <w:sectPr>
          <w:pgSz w:w="12240" w:h="15840"/>
          <w:pgMar w:header="0" w:footer="1000" w:top="1340" w:bottom="1200" w:left="1580" w:right="1580"/>
        </w:sectPr>
      </w:pPr>
    </w:p>
    <w:p>
      <w:pPr>
        <w:spacing w:before="76"/>
        <w:ind w:left="263" w:right="305" w:firstLine="0"/>
        <w:jc w:val="both"/>
        <w:rPr>
          <w:sz w:val="10"/>
        </w:rPr>
      </w:pPr>
      <w:r>
        <w:rPr>
          <w:sz w:val="16"/>
        </w:rPr>
        <w:t>trasladas a terceros de buena fe; y 4) los miembros de los pueblos indígenas que involuntariamente han perdido la posesión de sus tierras, y estas han sido trasladas legítimamente a terceros inocentes, tienen el derecho de recuperarlas o a obtener otras tierras de igual extensión y calidad.”</w:t>
      </w:r>
      <w:r>
        <w:rPr>
          <w:position w:val="6"/>
          <w:sz w:val="10"/>
        </w:rPr>
        <w:t>102</w:t>
      </w:r>
    </w:p>
    <w:p>
      <w:pPr>
        <w:pStyle w:val="BodyText"/>
        <w:spacing w:before="2"/>
      </w:pPr>
    </w:p>
    <w:p>
      <w:pPr>
        <w:pStyle w:val="ListParagraph"/>
        <w:numPr>
          <w:ilvl w:val="0"/>
          <w:numId w:val="21"/>
        </w:numPr>
        <w:tabs>
          <w:tab w:pos="830" w:val="left" w:leader="none"/>
        </w:tabs>
        <w:spacing w:line="240" w:lineRule="auto" w:before="0" w:after="0"/>
        <w:ind w:left="122" w:right="122" w:firstLine="0"/>
        <w:jc w:val="both"/>
        <w:rPr>
          <w:sz w:val="20"/>
        </w:rPr>
      </w:pPr>
      <w:r>
        <w:rPr>
          <w:sz w:val="20"/>
        </w:rPr>
        <w:t>El Estado tiene el deber de dar “certeza geográfica” a la propiedad comunitaria, como señaló este Tribunal al decidir el caso </w:t>
      </w:r>
      <w:r>
        <w:rPr>
          <w:i/>
          <w:sz w:val="20"/>
        </w:rPr>
        <w:t>Awas Tingni Vs. Nicaragua. </w:t>
      </w:r>
      <w:r>
        <w:rPr>
          <w:sz w:val="20"/>
        </w:rPr>
        <w:t>En esa oportunidad, y en decisiones posteriores, la Corte se refirió a los deberes de “delimitar” y</w:t>
      </w:r>
      <w:r>
        <w:rPr>
          <w:spacing w:val="-6"/>
          <w:sz w:val="20"/>
        </w:rPr>
        <w:t> </w:t>
      </w:r>
      <w:r>
        <w:rPr>
          <w:sz w:val="20"/>
        </w:rPr>
        <w:t>“demarcar”</w:t>
      </w:r>
      <w:r>
        <w:rPr>
          <w:spacing w:val="-3"/>
          <w:sz w:val="20"/>
        </w:rPr>
        <w:t> </w:t>
      </w:r>
      <w:r>
        <w:rPr>
          <w:sz w:val="20"/>
        </w:rPr>
        <w:t>el</w:t>
      </w:r>
      <w:r>
        <w:rPr>
          <w:spacing w:val="-5"/>
          <w:sz w:val="20"/>
        </w:rPr>
        <w:t> </w:t>
      </w:r>
      <w:r>
        <w:rPr>
          <w:sz w:val="20"/>
        </w:rPr>
        <w:t>territorio,</w:t>
      </w:r>
      <w:r>
        <w:rPr>
          <w:spacing w:val="-4"/>
          <w:sz w:val="20"/>
        </w:rPr>
        <w:t> </w:t>
      </w:r>
      <w:r>
        <w:rPr>
          <w:sz w:val="20"/>
        </w:rPr>
        <w:t>además</w:t>
      </w:r>
      <w:r>
        <w:rPr>
          <w:spacing w:val="-6"/>
          <w:sz w:val="20"/>
        </w:rPr>
        <w:t> </w:t>
      </w:r>
      <w:r>
        <w:rPr>
          <w:sz w:val="20"/>
        </w:rPr>
        <w:t>de</w:t>
      </w:r>
      <w:r>
        <w:rPr>
          <w:spacing w:val="-7"/>
          <w:sz w:val="20"/>
        </w:rPr>
        <w:t> </w:t>
      </w:r>
      <w:r>
        <w:rPr>
          <w:sz w:val="20"/>
        </w:rPr>
        <w:t>la</w:t>
      </w:r>
      <w:r>
        <w:rPr>
          <w:spacing w:val="-3"/>
          <w:sz w:val="20"/>
        </w:rPr>
        <w:t> </w:t>
      </w:r>
      <w:r>
        <w:rPr>
          <w:sz w:val="20"/>
        </w:rPr>
        <w:t>obligación</w:t>
      </w:r>
      <w:r>
        <w:rPr>
          <w:spacing w:val="-5"/>
          <w:sz w:val="20"/>
        </w:rPr>
        <w:t> </w:t>
      </w:r>
      <w:r>
        <w:rPr>
          <w:sz w:val="20"/>
        </w:rPr>
        <w:t>de</w:t>
      </w:r>
      <w:r>
        <w:rPr>
          <w:spacing w:val="-5"/>
          <w:sz w:val="20"/>
        </w:rPr>
        <w:t> </w:t>
      </w:r>
      <w:r>
        <w:rPr>
          <w:sz w:val="20"/>
        </w:rPr>
        <w:t>“titularlo”</w:t>
      </w:r>
      <w:r>
        <w:rPr>
          <w:position w:val="7"/>
          <w:sz w:val="13"/>
        </w:rPr>
        <w:t>103</w:t>
      </w:r>
      <w:r>
        <w:rPr>
          <w:sz w:val="20"/>
        </w:rPr>
        <w:t>.</w:t>
      </w:r>
      <w:r>
        <w:rPr>
          <w:spacing w:val="-6"/>
          <w:sz w:val="20"/>
        </w:rPr>
        <w:t> </w:t>
      </w:r>
      <w:r>
        <w:rPr>
          <w:sz w:val="20"/>
        </w:rPr>
        <w:t>Así,</w:t>
      </w:r>
      <w:r>
        <w:rPr>
          <w:spacing w:val="-4"/>
          <w:sz w:val="20"/>
        </w:rPr>
        <w:t> </w:t>
      </w:r>
      <w:r>
        <w:rPr>
          <w:sz w:val="20"/>
        </w:rPr>
        <w:t>por</w:t>
      </w:r>
      <w:r>
        <w:rPr>
          <w:spacing w:val="-4"/>
          <w:sz w:val="20"/>
        </w:rPr>
        <w:t> </w:t>
      </w:r>
      <w:r>
        <w:rPr>
          <w:sz w:val="20"/>
        </w:rPr>
        <w:t>ejemplo,</w:t>
      </w:r>
      <w:r>
        <w:rPr>
          <w:spacing w:val="-4"/>
          <w:sz w:val="20"/>
        </w:rPr>
        <w:t> </w:t>
      </w:r>
      <w:r>
        <w:rPr>
          <w:sz w:val="20"/>
        </w:rPr>
        <w:t>en 2014, en relación con el caso de los </w:t>
      </w:r>
      <w:r>
        <w:rPr>
          <w:i/>
          <w:sz w:val="20"/>
        </w:rPr>
        <w:t>Pueblos Indígenas Kuna de Madungandí y Emberá </w:t>
      </w:r>
      <w:r>
        <w:rPr>
          <w:i/>
          <w:sz w:val="20"/>
        </w:rPr>
        <w:t>de Bayano y sus Miembros Vs. Panamá</w:t>
      </w:r>
      <w:r>
        <w:rPr>
          <w:sz w:val="20"/>
        </w:rPr>
        <w:t>, la Corte expresó que “el deber de los Estados de adoptar medidas para asegurar a los pueblos indígenas su derecho a la   </w:t>
      </w:r>
      <w:r>
        <w:rPr>
          <w:spacing w:val="13"/>
          <w:sz w:val="20"/>
        </w:rPr>
        <w:t> </w:t>
      </w:r>
      <w:r>
        <w:rPr>
          <w:sz w:val="20"/>
        </w:rPr>
        <w:t>propiedad</w:t>
      </w:r>
    </w:p>
    <w:p>
      <w:pPr>
        <w:pStyle w:val="BodyText"/>
        <w:spacing w:before="4"/>
        <w:rPr>
          <w:sz w:val="17"/>
        </w:rPr>
      </w:pPr>
      <w:r>
        <w:rPr/>
        <w:pict>
          <v:line style="position:absolute;mso-position-horizontal-relative:page;mso-position-vertical-relative:paragraph;z-index:1864;mso-wrap-distance-left:0;mso-wrap-distance-right:0" from="85.103996pt,12.884152pt" to="229.123996pt,12.884152pt" stroked="true" strokeweight=".72pt" strokecolor="#000000">
            <v:stroke dashstyle="solid"/>
            <w10:wrap type="topAndBottom"/>
          </v:line>
        </w:pict>
      </w:r>
    </w:p>
    <w:p>
      <w:pPr>
        <w:pStyle w:val="BodyText"/>
        <w:spacing w:before="7"/>
        <w:rPr>
          <w:sz w:val="13"/>
        </w:rPr>
      </w:pPr>
    </w:p>
    <w:p>
      <w:pPr>
        <w:tabs>
          <w:tab w:pos="829" w:val="left" w:leader="none"/>
        </w:tabs>
        <w:spacing w:line="240" w:lineRule="auto" w:before="101"/>
        <w:ind w:left="122" w:right="113" w:firstLine="0"/>
        <w:jc w:val="both"/>
        <w:rPr>
          <w:sz w:val="16"/>
        </w:rPr>
      </w:pPr>
      <w:r>
        <w:rPr>
          <w:position w:val="6"/>
          <w:sz w:val="10"/>
        </w:rPr>
        <w:t>102</w:t>
        <w:tab/>
      </w:r>
      <w:r>
        <w:rPr>
          <w:i/>
          <w:sz w:val="16"/>
        </w:rPr>
        <w:t>Caso Comunidad Indígena Sawhoyamaxa Vs. Paraguay</w:t>
      </w:r>
      <w:r>
        <w:rPr>
          <w:sz w:val="16"/>
        </w:rPr>
        <w:t>, párr. 128,   </w:t>
      </w:r>
      <w:r>
        <w:rPr>
          <w:spacing w:val="34"/>
          <w:sz w:val="16"/>
        </w:rPr>
        <w:t> </w:t>
      </w:r>
      <w:r>
        <w:rPr>
          <w:sz w:val="16"/>
        </w:rPr>
        <w:t>también </w:t>
      </w:r>
      <w:r>
        <w:rPr>
          <w:i/>
          <w:sz w:val="16"/>
        </w:rPr>
        <w:t>Caso Pueblo</w:t>
      </w:r>
      <w:r>
        <w:rPr>
          <w:i/>
          <w:spacing w:val="21"/>
          <w:sz w:val="16"/>
        </w:rPr>
        <w:t> </w:t>
      </w:r>
      <w:r>
        <w:rPr>
          <w:i/>
          <w:sz w:val="16"/>
        </w:rPr>
        <w:t>Indígena</w:t>
      </w:r>
      <w:r>
        <w:rPr>
          <w:i/>
          <w:w w:val="100"/>
          <w:sz w:val="16"/>
        </w:rPr>
        <w:t> </w:t>
      </w:r>
      <w:r>
        <w:rPr>
          <w:i/>
          <w:sz w:val="16"/>
        </w:rPr>
        <w:t>Xucuru y sus miembros Vs. Brasil</w:t>
      </w:r>
      <w:r>
        <w:rPr>
          <w:sz w:val="16"/>
        </w:rPr>
        <w:t>, párr. 117. Es preciso explicar, a propósito de la mención a “terceros inocentes”, que la Corte ha notado en su jurisprudencia que puede haber contradicción entre la propiedad comunitaria</w:t>
      </w:r>
      <w:r>
        <w:rPr>
          <w:spacing w:val="-4"/>
          <w:sz w:val="16"/>
        </w:rPr>
        <w:t> </w:t>
      </w:r>
      <w:r>
        <w:rPr>
          <w:sz w:val="16"/>
        </w:rPr>
        <w:t>indígena</w:t>
      </w:r>
      <w:r>
        <w:rPr>
          <w:spacing w:val="-7"/>
          <w:sz w:val="16"/>
        </w:rPr>
        <w:t> </w:t>
      </w:r>
      <w:r>
        <w:rPr>
          <w:sz w:val="16"/>
        </w:rPr>
        <w:t>y</w:t>
      </w:r>
      <w:r>
        <w:rPr>
          <w:spacing w:val="-5"/>
          <w:sz w:val="16"/>
        </w:rPr>
        <w:t> </w:t>
      </w:r>
      <w:r>
        <w:rPr>
          <w:sz w:val="16"/>
        </w:rPr>
        <w:t>la</w:t>
      </w:r>
      <w:r>
        <w:rPr>
          <w:spacing w:val="-7"/>
          <w:sz w:val="16"/>
        </w:rPr>
        <w:t> </w:t>
      </w:r>
      <w:r>
        <w:rPr>
          <w:sz w:val="16"/>
        </w:rPr>
        <w:t>propiedad</w:t>
      </w:r>
      <w:r>
        <w:rPr>
          <w:spacing w:val="-5"/>
          <w:sz w:val="16"/>
        </w:rPr>
        <w:t> </w:t>
      </w:r>
      <w:r>
        <w:rPr>
          <w:sz w:val="16"/>
        </w:rPr>
        <w:t>privada</w:t>
      </w:r>
      <w:r>
        <w:rPr>
          <w:spacing w:val="-7"/>
          <w:sz w:val="16"/>
        </w:rPr>
        <w:t> </w:t>
      </w:r>
      <w:r>
        <w:rPr>
          <w:sz w:val="16"/>
        </w:rPr>
        <w:t>particular.</w:t>
      </w:r>
      <w:r>
        <w:rPr>
          <w:spacing w:val="-7"/>
          <w:sz w:val="16"/>
        </w:rPr>
        <w:t> </w:t>
      </w:r>
      <w:r>
        <w:rPr>
          <w:sz w:val="16"/>
        </w:rPr>
        <w:t>Al</w:t>
      </w:r>
      <w:r>
        <w:rPr>
          <w:spacing w:val="-6"/>
          <w:sz w:val="16"/>
        </w:rPr>
        <w:t> </w:t>
      </w:r>
      <w:r>
        <w:rPr>
          <w:sz w:val="16"/>
        </w:rPr>
        <w:t>respecto,</w:t>
      </w:r>
      <w:r>
        <w:rPr>
          <w:spacing w:val="-5"/>
          <w:sz w:val="16"/>
        </w:rPr>
        <w:t> </w:t>
      </w:r>
      <w:r>
        <w:rPr>
          <w:sz w:val="16"/>
        </w:rPr>
        <w:t>lo</w:t>
      </w:r>
      <w:r>
        <w:rPr>
          <w:spacing w:val="-5"/>
          <w:sz w:val="16"/>
        </w:rPr>
        <w:t> </w:t>
      </w:r>
      <w:r>
        <w:rPr>
          <w:sz w:val="16"/>
        </w:rPr>
        <w:t>indicado</w:t>
      </w:r>
      <w:r>
        <w:rPr>
          <w:spacing w:val="-5"/>
          <w:sz w:val="16"/>
        </w:rPr>
        <w:t> </w:t>
      </w:r>
      <w:r>
        <w:rPr>
          <w:sz w:val="16"/>
        </w:rPr>
        <w:t>debe</w:t>
      </w:r>
      <w:r>
        <w:rPr>
          <w:spacing w:val="-6"/>
          <w:sz w:val="16"/>
        </w:rPr>
        <w:t> </w:t>
      </w:r>
      <w:r>
        <w:rPr>
          <w:sz w:val="16"/>
        </w:rPr>
        <w:t>entenderse</w:t>
      </w:r>
      <w:r>
        <w:rPr>
          <w:spacing w:val="-6"/>
          <w:sz w:val="16"/>
        </w:rPr>
        <w:t> </w:t>
      </w:r>
      <w:r>
        <w:rPr>
          <w:sz w:val="16"/>
        </w:rPr>
        <w:t>considerando también otras puntualizaciones efectuadas por la Corte en su jurisprudencia. En ese sentido, este Tribunal ha dicho que las eventuales restricciones a la propiedad comunitaria indígena pueden ser convencionalmente admisibles, siempre que obedezcan ciertas pautas: a) “estar establecidas por ley”; b) tener “el fin de lograr un objetivo legítimo en una sociedad democrática”, es decir, un “objetivo […] colectivo […] que, por su importancia, prepondere […] claramente sobre la necesidad del pleno goce del derecho restringido”; c) ser “necesarias” para “satisfacer un interés público imperativo”, y d) ser “proporcionales”, en el sentido </w:t>
      </w:r>
      <w:r>
        <w:rPr>
          <w:spacing w:val="-3"/>
          <w:sz w:val="16"/>
        </w:rPr>
        <w:t>de </w:t>
      </w:r>
      <w:r>
        <w:rPr>
          <w:sz w:val="16"/>
        </w:rPr>
        <w:t>“ajustarse estrechamente al logro de[l] legítimo objetivo, interfiriendo en la menor medida posible en el efectivo ejercicio del derecho restringido”. Teniendo en cuenta lo anterior es que los Estados deben valorar, caso</w:t>
      </w:r>
      <w:r>
        <w:rPr>
          <w:spacing w:val="-5"/>
          <w:sz w:val="16"/>
        </w:rPr>
        <w:t> </w:t>
      </w:r>
      <w:r>
        <w:rPr>
          <w:sz w:val="16"/>
        </w:rPr>
        <w:t>a</w:t>
      </w:r>
      <w:r>
        <w:rPr>
          <w:spacing w:val="-7"/>
          <w:sz w:val="16"/>
        </w:rPr>
        <w:t> </w:t>
      </w:r>
      <w:r>
        <w:rPr>
          <w:sz w:val="16"/>
        </w:rPr>
        <w:t>caso,</w:t>
      </w:r>
      <w:r>
        <w:rPr>
          <w:spacing w:val="-5"/>
          <w:sz w:val="16"/>
        </w:rPr>
        <w:t> </w:t>
      </w:r>
      <w:r>
        <w:rPr>
          <w:sz w:val="16"/>
        </w:rPr>
        <w:t>la</w:t>
      </w:r>
      <w:r>
        <w:rPr>
          <w:spacing w:val="-7"/>
          <w:sz w:val="16"/>
        </w:rPr>
        <w:t> </w:t>
      </w:r>
      <w:r>
        <w:rPr>
          <w:sz w:val="16"/>
        </w:rPr>
        <w:t>contradicción</w:t>
      </w:r>
      <w:r>
        <w:rPr>
          <w:spacing w:val="-7"/>
          <w:sz w:val="16"/>
        </w:rPr>
        <w:t> </w:t>
      </w:r>
      <w:r>
        <w:rPr>
          <w:sz w:val="16"/>
        </w:rPr>
        <w:t>entre</w:t>
      </w:r>
      <w:r>
        <w:rPr>
          <w:spacing w:val="-6"/>
          <w:sz w:val="16"/>
        </w:rPr>
        <w:t> </w:t>
      </w:r>
      <w:r>
        <w:rPr>
          <w:sz w:val="16"/>
        </w:rPr>
        <w:t>derechos</w:t>
      </w:r>
      <w:r>
        <w:rPr>
          <w:spacing w:val="-6"/>
          <w:sz w:val="16"/>
        </w:rPr>
        <w:t> </w:t>
      </w:r>
      <w:r>
        <w:rPr>
          <w:sz w:val="16"/>
        </w:rPr>
        <w:t>de</w:t>
      </w:r>
      <w:r>
        <w:rPr>
          <w:spacing w:val="-8"/>
          <w:sz w:val="16"/>
        </w:rPr>
        <w:t> </w:t>
      </w:r>
      <w:r>
        <w:rPr>
          <w:sz w:val="16"/>
        </w:rPr>
        <w:t>propiedad</w:t>
      </w:r>
      <w:r>
        <w:rPr>
          <w:spacing w:val="-5"/>
          <w:sz w:val="16"/>
        </w:rPr>
        <w:t> </w:t>
      </w:r>
      <w:r>
        <w:rPr>
          <w:sz w:val="16"/>
        </w:rPr>
        <w:t>cuando</w:t>
      </w:r>
      <w:r>
        <w:rPr>
          <w:spacing w:val="-5"/>
          <w:sz w:val="16"/>
        </w:rPr>
        <w:t> </w:t>
      </w:r>
      <w:r>
        <w:rPr>
          <w:sz w:val="16"/>
        </w:rPr>
        <w:t>esté</w:t>
      </w:r>
      <w:r>
        <w:rPr>
          <w:spacing w:val="-6"/>
          <w:sz w:val="16"/>
        </w:rPr>
        <w:t> </w:t>
      </w:r>
      <w:r>
        <w:rPr>
          <w:sz w:val="16"/>
        </w:rPr>
        <w:t>involucrada</w:t>
      </w:r>
      <w:r>
        <w:rPr>
          <w:spacing w:val="-7"/>
          <w:sz w:val="16"/>
        </w:rPr>
        <w:t> </w:t>
      </w:r>
      <w:r>
        <w:rPr>
          <w:sz w:val="16"/>
        </w:rPr>
        <w:t>la</w:t>
      </w:r>
      <w:r>
        <w:rPr>
          <w:spacing w:val="-7"/>
          <w:sz w:val="16"/>
        </w:rPr>
        <w:t> </w:t>
      </w:r>
      <w:r>
        <w:rPr>
          <w:sz w:val="16"/>
        </w:rPr>
        <w:t>propiedad</w:t>
      </w:r>
      <w:r>
        <w:rPr>
          <w:spacing w:val="-5"/>
          <w:sz w:val="16"/>
        </w:rPr>
        <w:t> </w:t>
      </w:r>
      <w:r>
        <w:rPr>
          <w:sz w:val="16"/>
        </w:rPr>
        <w:t>comunitaria</w:t>
      </w:r>
      <w:r>
        <w:rPr>
          <w:spacing w:val="-7"/>
          <w:sz w:val="16"/>
        </w:rPr>
        <w:t> </w:t>
      </w:r>
      <w:r>
        <w:rPr>
          <w:sz w:val="16"/>
        </w:rPr>
        <w:t>y las “restricciones que resultarían del reconocimiento de un derecho sobre otro”. Al hacerlo, deben tener en cuenta que “los derechos territoriales indígenas abarcan un concepto más amplio y diferente que está relacionado con el derecho colectivo a la supervivencia como pueblo organizado, con el control de su hábitat como una condición necesaria para la reproducción de su cultura, para su propio desarrollo y para llevar a cabo sus planes de vida[; que l]a propiedad sobre la tierra garantiza que los miembros de las comunidades indígenas</w:t>
      </w:r>
      <w:r>
        <w:rPr>
          <w:spacing w:val="-15"/>
          <w:sz w:val="16"/>
        </w:rPr>
        <w:t> </w:t>
      </w:r>
      <w:r>
        <w:rPr>
          <w:sz w:val="16"/>
        </w:rPr>
        <w:t>conserven</w:t>
      </w:r>
      <w:r>
        <w:rPr>
          <w:spacing w:val="-19"/>
          <w:sz w:val="16"/>
        </w:rPr>
        <w:t> </w:t>
      </w:r>
      <w:r>
        <w:rPr>
          <w:sz w:val="16"/>
        </w:rPr>
        <w:t>su</w:t>
      </w:r>
      <w:r>
        <w:rPr>
          <w:spacing w:val="-19"/>
          <w:sz w:val="16"/>
        </w:rPr>
        <w:t> </w:t>
      </w:r>
      <w:r>
        <w:rPr>
          <w:sz w:val="16"/>
        </w:rPr>
        <w:t>patrimonio</w:t>
      </w:r>
      <w:r>
        <w:rPr>
          <w:spacing w:val="-15"/>
          <w:sz w:val="16"/>
        </w:rPr>
        <w:t> </w:t>
      </w:r>
      <w:r>
        <w:rPr>
          <w:sz w:val="16"/>
        </w:rPr>
        <w:t>cultural”,</w:t>
      </w:r>
      <w:r>
        <w:rPr>
          <w:spacing w:val="-19"/>
          <w:sz w:val="16"/>
        </w:rPr>
        <w:t> </w:t>
      </w:r>
      <w:r>
        <w:rPr>
          <w:sz w:val="16"/>
        </w:rPr>
        <w:t>y</w:t>
      </w:r>
      <w:r>
        <w:rPr>
          <w:spacing w:val="-17"/>
          <w:sz w:val="16"/>
        </w:rPr>
        <w:t> </w:t>
      </w:r>
      <w:r>
        <w:rPr>
          <w:sz w:val="16"/>
        </w:rPr>
        <w:t>que</w:t>
      </w:r>
      <w:r>
        <w:rPr>
          <w:spacing w:val="-15"/>
          <w:sz w:val="16"/>
        </w:rPr>
        <w:t> </w:t>
      </w:r>
      <w:r>
        <w:rPr>
          <w:sz w:val="16"/>
        </w:rPr>
        <w:t>preservar</w:t>
      </w:r>
      <w:r>
        <w:rPr>
          <w:spacing w:val="-19"/>
          <w:sz w:val="16"/>
        </w:rPr>
        <w:t> </w:t>
      </w:r>
      <w:r>
        <w:rPr>
          <w:sz w:val="16"/>
        </w:rPr>
        <w:t>la</w:t>
      </w:r>
      <w:r>
        <w:rPr>
          <w:spacing w:val="-16"/>
          <w:sz w:val="16"/>
        </w:rPr>
        <w:t> </w:t>
      </w:r>
      <w:r>
        <w:rPr>
          <w:sz w:val="16"/>
        </w:rPr>
        <w:t>identidad</w:t>
      </w:r>
      <w:r>
        <w:rPr>
          <w:spacing w:val="-15"/>
          <w:sz w:val="16"/>
        </w:rPr>
        <w:t> </w:t>
      </w:r>
      <w:r>
        <w:rPr>
          <w:sz w:val="16"/>
        </w:rPr>
        <w:t>cultural</w:t>
      </w:r>
      <w:r>
        <w:rPr>
          <w:spacing w:val="-16"/>
          <w:sz w:val="16"/>
        </w:rPr>
        <w:t> </w:t>
      </w:r>
      <w:r>
        <w:rPr>
          <w:sz w:val="16"/>
        </w:rPr>
        <w:t>de</w:t>
      </w:r>
      <w:r>
        <w:rPr>
          <w:spacing w:val="-15"/>
          <w:sz w:val="16"/>
        </w:rPr>
        <w:t> </w:t>
      </w:r>
      <w:r>
        <w:rPr>
          <w:sz w:val="16"/>
        </w:rPr>
        <w:t>los</w:t>
      </w:r>
      <w:r>
        <w:rPr>
          <w:spacing w:val="-18"/>
          <w:sz w:val="16"/>
        </w:rPr>
        <w:t> </w:t>
      </w:r>
      <w:r>
        <w:rPr>
          <w:sz w:val="16"/>
        </w:rPr>
        <w:t>pueblos</w:t>
      </w:r>
      <w:r>
        <w:rPr>
          <w:spacing w:val="-18"/>
          <w:sz w:val="16"/>
        </w:rPr>
        <w:t> </w:t>
      </w:r>
      <w:r>
        <w:rPr>
          <w:sz w:val="16"/>
        </w:rPr>
        <w:t>o</w:t>
      </w:r>
      <w:r>
        <w:rPr>
          <w:spacing w:val="-17"/>
          <w:sz w:val="16"/>
        </w:rPr>
        <w:t> </w:t>
      </w:r>
      <w:r>
        <w:rPr>
          <w:sz w:val="16"/>
        </w:rPr>
        <w:t>comunidades indígenas puede ser un “objetivo colectivo” que haga necesaria la restricción a derechos de particulares. Esto no significa que siempre deba prevalecer la propiedad comunitaria indígena sobre la particular, pero en </w:t>
      </w:r>
      <w:r>
        <w:rPr>
          <w:spacing w:val="-2"/>
          <w:sz w:val="16"/>
        </w:rPr>
        <w:t>los </w:t>
      </w:r>
      <w:r>
        <w:rPr>
          <w:sz w:val="16"/>
        </w:rPr>
        <w:t>casos en que justificadamente las comunidades indígenas se vean privadas de su territorio tradicional, dichas comunidades deben, de ser posible, conforme indica el artículo 16.4 del Convenio 169, “recibir tierras cuya calidad y cuyo estatuto jurídico sean por lo menos iguales a los de las tierras que ocupaban anteriormente, y que</w:t>
      </w:r>
      <w:r>
        <w:rPr>
          <w:spacing w:val="-8"/>
          <w:sz w:val="16"/>
        </w:rPr>
        <w:t> </w:t>
      </w:r>
      <w:r>
        <w:rPr>
          <w:sz w:val="16"/>
        </w:rPr>
        <w:t>les</w:t>
      </w:r>
      <w:r>
        <w:rPr>
          <w:spacing w:val="-8"/>
          <w:sz w:val="16"/>
        </w:rPr>
        <w:t> </w:t>
      </w:r>
      <w:r>
        <w:rPr>
          <w:sz w:val="16"/>
        </w:rPr>
        <w:t>permitan</w:t>
      </w:r>
      <w:r>
        <w:rPr>
          <w:spacing w:val="-9"/>
          <w:sz w:val="16"/>
        </w:rPr>
        <w:t> </w:t>
      </w:r>
      <w:r>
        <w:rPr>
          <w:sz w:val="16"/>
        </w:rPr>
        <w:t>subvenir</w:t>
      </w:r>
      <w:r>
        <w:rPr>
          <w:spacing w:val="-7"/>
          <w:sz w:val="16"/>
        </w:rPr>
        <w:t> </w:t>
      </w:r>
      <w:r>
        <w:rPr>
          <w:sz w:val="16"/>
        </w:rPr>
        <w:t>a</w:t>
      </w:r>
      <w:r>
        <w:rPr>
          <w:spacing w:val="-9"/>
          <w:sz w:val="16"/>
        </w:rPr>
        <w:t> </w:t>
      </w:r>
      <w:r>
        <w:rPr>
          <w:sz w:val="16"/>
        </w:rPr>
        <w:t>sus</w:t>
      </w:r>
      <w:r>
        <w:rPr>
          <w:spacing w:val="-6"/>
          <w:sz w:val="16"/>
        </w:rPr>
        <w:t> </w:t>
      </w:r>
      <w:r>
        <w:rPr>
          <w:sz w:val="16"/>
        </w:rPr>
        <w:t>necesidades</w:t>
      </w:r>
      <w:r>
        <w:rPr>
          <w:spacing w:val="-10"/>
          <w:sz w:val="16"/>
        </w:rPr>
        <w:t> </w:t>
      </w:r>
      <w:r>
        <w:rPr>
          <w:sz w:val="16"/>
        </w:rPr>
        <w:t>y</w:t>
      </w:r>
      <w:r>
        <w:rPr>
          <w:spacing w:val="-8"/>
          <w:sz w:val="16"/>
        </w:rPr>
        <w:t> </w:t>
      </w:r>
      <w:r>
        <w:rPr>
          <w:sz w:val="16"/>
        </w:rPr>
        <w:t>garantizar</w:t>
      </w:r>
      <w:r>
        <w:rPr>
          <w:spacing w:val="-8"/>
          <w:sz w:val="16"/>
        </w:rPr>
        <w:t> </w:t>
      </w:r>
      <w:r>
        <w:rPr>
          <w:sz w:val="16"/>
        </w:rPr>
        <w:t>su</w:t>
      </w:r>
      <w:r>
        <w:rPr>
          <w:spacing w:val="-7"/>
          <w:sz w:val="16"/>
        </w:rPr>
        <w:t> </w:t>
      </w:r>
      <w:r>
        <w:rPr>
          <w:sz w:val="16"/>
        </w:rPr>
        <w:t>desarrollo</w:t>
      </w:r>
      <w:r>
        <w:rPr>
          <w:spacing w:val="-10"/>
          <w:sz w:val="16"/>
        </w:rPr>
        <w:t> </w:t>
      </w:r>
      <w:r>
        <w:rPr>
          <w:sz w:val="16"/>
        </w:rPr>
        <w:t>futuro.</w:t>
      </w:r>
      <w:r>
        <w:rPr>
          <w:spacing w:val="-12"/>
          <w:sz w:val="16"/>
        </w:rPr>
        <w:t> </w:t>
      </w:r>
      <w:r>
        <w:rPr>
          <w:sz w:val="16"/>
        </w:rPr>
        <w:t>Cuando</w:t>
      </w:r>
      <w:r>
        <w:rPr>
          <w:spacing w:val="-8"/>
          <w:sz w:val="16"/>
        </w:rPr>
        <w:t> </w:t>
      </w:r>
      <w:r>
        <w:rPr>
          <w:spacing w:val="-2"/>
          <w:sz w:val="16"/>
        </w:rPr>
        <w:t>los</w:t>
      </w:r>
      <w:r>
        <w:rPr>
          <w:spacing w:val="-8"/>
          <w:sz w:val="16"/>
        </w:rPr>
        <w:t> </w:t>
      </w:r>
      <w:r>
        <w:rPr>
          <w:sz w:val="16"/>
        </w:rPr>
        <w:t>pueblos</w:t>
      </w:r>
      <w:r>
        <w:rPr>
          <w:spacing w:val="-8"/>
          <w:sz w:val="16"/>
        </w:rPr>
        <w:t> </w:t>
      </w:r>
      <w:r>
        <w:rPr>
          <w:sz w:val="16"/>
        </w:rPr>
        <w:t>interesados prefieran</w:t>
      </w:r>
      <w:r>
        <w:rPr>
          <w:spacing w:val="-11"/>
          <w:sz w:val="16"/>
        </w:rPr>
        <w:t> </w:t>
      </w:r>
      <w:r>
        <w:rPr>
          <w:sz w:val="16"/>
        </w:rPr>
        <w:t>recibir</w:t>
      </w:r>
      <w:r>
        <w:rPr>
          <w:spacing w:val="-7"/>
          <w:sz w:val="16"/>
        </w:rPr>
        <w:t> </w:t>
      </w:r>
      <w:r>
        <w:rPr>
          <w:sz w:val="16"/>
        </w:rPr>
        <w:t>una</w:t>
      </w:r>
      <w:r>
        <w:rPr>
          <w:spacing w:val="-8"/>
          <w:sz w:val="16"/>
        </w:rPr>
        <w:t> </w:t>
      </w:r>
      <w:r>
        <w:rPr>
          <w:sz w:val="16"/>
        </w:rPr>
        <w:t>indemnización</w:t>
      </w:r>
      <w:r>
        <w:rPr>
          <w:spacing w:val="-8"/>
          <w:sz w:val="16"/>
        </w:rPr>
        <w:t> </w:t>
      </w:r>
      <w:r>
        <w:rPr>
          <w:sz w:val="16"/>
        </w:rPr>
        <w:t>en</w:t>
      </w:r>
      <w:r>
        <w:rPr>
          <w:spacing w:val="-8"/>
          <w:sz w:val="16"/>
        </w:rPr>
        <w:t> </w:t>
      </w:r>
      <w:r>
        <w:rPr>
          <w:sz w:val="16"/>
        </w:rPr>
        <w:t>dinero</w:t>
      </w:r>
      <w:r>
        <w:rPr>
          <w:spacing w:val="-9"/>
          <w:sz w:val="16"/>
        </w:rPr>
        <w:t> </w:t>
      </w:r>
      <w:r>
        <w:rPr>
          <w:sz w:val="16"/>
        </w:rPr>
        <w:t>o</w:t>
      </w:r>
      <w:r>
        <w:rPr>
          <w:spacing w:val="-7"/>
          <w:sz w:val="16"/>
        </w:rPr>
        <w:t> </w:t>
      </w:r>
      <w:r>
        <w:rPr>
          <w:sz w:val="16"/>
        </w:rPr>
        <w:t>en</w:t>
      </w:r>
      <w:r>
        <w:rPr>
          <w:spacing w:val="-8"/>
          <w:sz w:val="16"/>
        </w:rPr>
        <w:t> </w:t>
      </w:r>
      <w:r>
        <w:rPr>
          <w:sz w:val="16"/>
        </w:rPr>
        <w:t>especie,</w:t>
      </w:r>
      <w:r>
        <w:rPr>
          <w:spacing w:val="-11"/>
          <w:sz w:val="16"/>
        </w:rPr>
        <w:t> </w:t>
      </w:r>
      <w:r>
        <w:rPr>
          <w:sz w:val="16"/>
        </w:rPr>
        <w:t>deberá</w:t>
      </w:r>
      <w:r>
        <w:rPr>
          <w:spacing w:val="-8"/>
          <w:sz w:val="16"/>
        </w:rPr>
        <w:t> </w:t>
      </w:r>
      <w:r>
        <w:rPr>
          <w:sz w:val="16"/>
        </w:rPr>
        <w:t>concedérseles</w:t>
      </w:r>
      <w:r>
        <w:rPr>
          <w:spacing w:val="-10"/>
          <w:sz w:val="16"/>
        </w:rPr>
        <w:t> </w:t>
      </w:r>
      <w:r>
        <w:rPr>
          <w:sz w:val="16"/>
        </w:rPr>
        <w:t>dicha</w:t>
      </w:r>
      <w:r>
        <w:rPr>
          <w:spacing w:val="-8"/>
          <w:sz w:val="16"/>
        </w:rPr>
        <w:t> </w:t>
      </w:r>
      <w:r>
        <w:rPr>
          <w:sz w:val="16"/>
        </w:rPr>
        <w:t>indemnización,</w:t>
      </w:r>
      <w:r>
        <w:rPr>
          <w:spacing w:val="-8"/>
          <w:sz w:val="16"/>
        </w:rPr>
        <w:t> </w:t>
      </w:r>
      <w:r>
        <w:rPr>
          <w:sz w:val="16"/>
        </w:rPr>
        <w:t>con</w:t>
      </w:r>
      <w:r>
        <w:rPr>
          <w:spacing w:val="-8"/>
          <w:sz w:val="16"/>
        </w:rPr>
        <w:t> </w:t>
      </w:r>
      <w:r>
        <w:rPr>
          <w:sz w:val="16"/>
        </w:rPr>
        <w:t>las garantías apropiadas”. La Corte ha expresado que “[l]a elección y entrega de tierras alternativas, el pago de una justa indemnización o ambos no quedan sujetas a criterios meramente discrecionales del Estado, deben ser, conforme a una interpretación integral del Convenio No. 169 de la OIT y de la Convención Americana, consensuadas con los pueblos interesados, conforme a sus propios procedimientos de consulta, valores, usos y derecho consuetudinario” (</w:t>
      </w:r>
      <w:r>
        <w:rPr>
          <w:i/>
          <w:sz w:val="16"/>
        </w:rPr>
        <w:t>cfr. Caso Comunidad Indígena Yakye Axa Vs. Paraguay</w:t>
      </w:r>
      <w:r>
        <w:rPr>
          <w:sz w:val="16"/>
        </w:rPr>
        <w:t>, párrs. 144, 145, 146, 148 y 151, y </w:t>
      </w:r>
      <w:r>
        <w:rPr>
          <w:i/>
          <w:sz w:val="16"/>
        </w:rPr>
        <w:t>Caso del Pueblo Saramaka Vs. Surinam</w:t>
      </w:r>
      <w:r>
        <w:rPr>
          <w:sz w:val="16"/>
        </w:rPr>
        <w:t>, párr.</w:t>
      </w:r>
      <w:r>
        <w:rPr>
          <w:spacing w:val="-22"/>
          <w:sz w:val="16"/>
        </w:rPr>
        <w:t> </w:t>
      </w:r>
      <w:r>
        <w:rPr>
          <w:sz w:val="16"/>
        </w:rPr>
        <w:t>127).</w:t>
      </w:r>
    </w:p>
    <w:p>
      <w:pPr>
        <w:pStyle w:val="BodyText"/>
        <w:rPr>
          <w:sz w:val="16"/>
        </w:rPr>
      </w:pPr>
    </w:p>
    <w:p>
      <w:pPr>
        <w:tabs>
          <w:tab w:pos="829" w:val="left" w:leader="none"/>
        </w:tabs>
        <w:spacing w:line="240" w:lineRule="auto" w:before="0"/>
        <w:ind w:left="122" w:right="113" w:firstLine="0"/>
        <w:jc w:val="both"/>
        <w:rPr>
          <w:sz w:val="16"/>
        </w:rPr>
      </w:pPr>
      <w:r>
        <w:rPr>
          <w:position w:val="6"/>
          <w:sz w:val="10"/>
        </w:rPr>
        <w:t>103</w:t>
        <w:tab/>
      </w:r>
      <w:r>
        <w:rPr>
          <w:i/>
          <w:sz w:val="16"/>
        </w:rPr>
        <w:t>Caso</w:t>
      </w:r>
      <w:r>
        <w:rPr>
          <w:i/>
          <w:spacing w:val="43"/>
          <w:sz w:val="16"/>
        </w:rPr>
        <w:t> </w:t>
      </w:r>
      <w:r>
        <w:rPr>
          <w:i/>
          <w:sz w:val="16"/>
        </w:rPr>
        <w:t>de</w:t>
      </w:r>
      <w:r>
        <w:rPr>
          <w:i/>
          <w:spacing w:val="44"/>
          <w:sz w:val="16"/>
        </w:rPr>
        <w:t> </w:t>
      </w:r>
      <w:r>
        <w:rPr>
          <w:i/>
          <w:sz w:val="16"/>
        </w:rPr>
        <w:t>la</w:t>
      </w:r>
      <w:r>
        <w:rPr>
          <w:i/>
          <w:spacing w:val="41"/>
          <w:sz w:val="16"/>
        </w:rPr>
        <w:t> </w:t>
      </w:r>
      <w:r>
        <w:rPr>
          <w:i/>
          <w:sz w:val="16"/>
        </w:rPr>
        <w:t>Comunidad</w:t>
      </w:r>
      <w:r>
        <w:rPr>
          <w:i/>
          <w:spacing w:val="42"/>
          <w:sz w:val="16"/>
        </w:rPr>
        <w:t> </w:t>
      </w:r>
      <w:r>
        <w:rPr>
          <w:i/>
          <w:sz w:val="16"/>
        </w:rPr>
        <w:t>Mayagna</w:t>
      </w:r>
      <w:r>
        <w:rPr>
          <w:i/>
          <w:spacing w:val="44"/>
          <w:sz w:val="16"/>
        </w:rPr>
        <w:t> </w:t>
      </w:r>
      <w:r>
        <w:rPr>
          <w:i/>
          <w:sz w:val="16"/>
        </w:rPr>
        <w:t>(Sumo)</w:t>
      </w:r>
      <w:r>
        <w:rPr>
          <w:i/>
          <w:spacing w:val="43"/>
          <w:sz w:val="16"/>
        </w:rPr>
        <w:t> </w:t>
      </w:r>
      <w:r>
        <w:rPr>
          <w:i/>
          <w:sz w:val="16"/>
        </w:rPr>
        <w:t>Awas</w:t>
      </w:r>
      <w:r>
        <w:rPr>
          <w:i/>
          <w:spacing w:val="42"/>
          <w:sz w:val="16"/>
        </w:rPr>
        <w:t> </w:t>
      </w:r>
      <w:r>
        <w:rPr>
          <w:i/>
          <w:sz w:val="16"/>
        </w:rPr>
        <w:t>Tingni</w:t>
      </w:r>
      <w:r>
        <w:rPr>
          <w:i/>
          <w:spacing w:val="41"/>
          <w:sz w:val="16"/>
        </w:rPr>
        <w:t> </w:t>
      </w:r>
      <w:r>
        <w:rPr>
          <w:i/>
          <w:sz w:val="16"/>
        </w:rPr>
        <w:t>Vs.</w:t>
      </w:r>
      <w:r>
        <w:rPr>
          <w:i/>
          <w:spacing w:val="46"/>
          <w:sz w:val="16"/>
        </w:rPr>
        <w:t> </w:t>
      </w:r>
      <w:r>
        <w:rPr>
          <w:i/>
          <w:sz w:val="16"/>
        </w:rPr>
        <w:t>Nicaragua</w:t>
      </w:r>
      <w:r>
        <w:rPr>
          <w:sz w:val="16"/>
        </w:rPr>
        <w:t>,</w:t>
      </w:r>
      <w:r>
        <w:rPr>
          <w:spacing w:val="43"/>
          <w:sz w:val="16"/>
        </w:rPr>
        <w:t> </w:t>
      </w:r>
      <w:r>
        <w:rPr>
          <w:sz w:val="16"/>
        </w:rPr>
        <w:t>párr.</w:t>
      </w:r>
      <w:r>
        <w:rPr>
          <w:spacing w:val="41"/>
          <w:sz w:val="16"/>
        </w:rPr>
        <w:t> </w:t>
      </w:r>
      <w:r>
        <w:rPr>
          <w:sz w:val="16"/>
        </w:rPr>
        <w:t>153.</w:t>
      </w:r>
      <w:r>
        <w:rPr>
          <w:spacing w:val="43"/>
          <w:sz w:val="16"/>
        </w:rPr>
        <w:t> </w:t>
      </w:r>
      <w:r>
        <w:rPr>
          <w:sz w:val="16"/>
        </w:rPr>
        <w:t>La</w:t>
      </w:r>
      <w:r>
        <w:rPr>
          <w:spacing w:val="39"/>
          <w:sz w:val="16"/>
        </w:rPr>
        <w:t> </w:t>
      </w:r>
      <w:r>
        <w:rPr>
          <w:sz w:val="16"/>
        </w:rPr>
        <w:t>Corte</w:t>
      </w:r>
      <w:r>
        <w:rPr>
          <w:spacing w:val="44"/>
          <w:sz w:val="16"/>
        </w:rPr>
        <w:t> </w:t>
      </w:r>
      <w:r>
        <w:rPr>
          <w:sz w:val="16"/>
        </w:rPr>
        <w:t>tuvo</w:t>
      </w:r>
      <w:r>
        <w:rPr>
          <w:w w:val="100"/>
          <w:sz w:val="16"/>
        </w:rPr>
        <w:t> </w:t>
      </w:r>
      <w:r>
        <w:rPr>
          <w:sz w:val="16"/>
        </w:rPr>
        <w:t>oportunidad de explicar, en relación con un caso puntual, que las obligaciones estatales son “secuenciales”, y rigen tanto respecto del territorio tradicional como de tierras “alternativas”: “primero se debe identificar el territorio de la Comunidad, lo que a su vez significa establecer sus límites y demarcaciones, así como su extensión. Concluida la identificación del territorio y sus límites, de resultar que el mismo se encuentra en manos privadas, el Estado debe iniciar los procedimientos para su compra o valorar la conveniencia de expropiarlo […]. De darse motivos objetivos y fundamentados que imposibiliten que el Estado reivindique el territorio identificado como el tradicional de la Comunidad, deberá entregarle tierras alternativas, que serán electas de manera consensuada. Finalmente, sea que se expropien o se elijan de manera consensuada las tierras,</w:t>
      </w:r>
      <w:r>
        <w:rPr>
          <w:spacing w:val="-16"/>
          <w:sz w:val="16"/>
        </w:rPr>
        <w:t> </w:t>
      </w:r>
      <w:r>
        <w:rPr>
          <w:sz w:val="16"/>
        </w:rPr>
        <w:t>el</w:t>
      </w:r>
      <w:r>
        <w:rPr>
          <w:spacing w:val="-14"/>
          <w:sz w:val="16"/>
        </w:rPr>
        <w:t> </w:t>
      </w:r>
      <w:r>
        <w:rPr>
          <w:sz w:val="16"/>
        </w:rPr>
        <w:t>Estado</w:t>
      </w:r>
      <w:r>
        <w:rPr>
          <w:spacing w:val="-12"/>
          <w:sz w:val="16"/>
        </w:rPr>
        <w:t> </w:t>
      </w:r>
      <w:r>
        <w:rPr>
          <w:sz w:val="16"/>
        </w:rPr>
        <w:t>debe</w:t>
      </w:r>
      <w:r>
        <w:rPr>
          <w:spacing w:val="-15"/>
          <w:sz w:val="16"/>
        </w:rPr>
        <w:t> </w:t>
      </w:r>
      <w:r>
        <w:rPr>
          <w:sz w:val="16"/>
        </w:rPr>
        <w:t>titularlas</w:t>
      </w:r>
      <w:r>
        <w:rPr>
          <w:spacing w:val="-13"/>
          <w:sz w:val="16"/>
        </w:rPr>
        <w:t> </w:t>
      </w:r>
      <w:r>
        <w:rPr>
          <w:sz w:val="16"/>
        </w:rPr>
        <w:t>y</w:t>
      </w:r>
      <w:r>
        <w:rPr>
          <w:spacing w:val="-15"/>
          <w:sz w:val="16"/>
        </w:rPr>
        <w:t> </w:t>
      </w:r>
      <w:r>
        <w:rPr>
          <w:sz w:val="16"/>
        </w:rPr>
        <w:t>entregarlas</w:t>
      </w:r>
      <w:r>
        <w:rPr>
          <w:spacing w:val="-15"/>
          <w:sz w:val="16"/>
        </w:rPr>
        <w:t> </w:t>
      </w:r>
      <w:r>
        <w:rPr>
          <w:sz w:val="16"/>
        </w:rPr>
        <w:t>física</w:t>
      </w:r>
      <w:r>
        <w:rPr>
          <w:spacing w:val="-16"/>
          <w:sz w:val="16"/>
        </w:rPr>
        <w:t> </w:t>
      </w:r>
      <w:r>
        <w:rPr>
          <w:sz w:val="16"/>
        </w:rPr>
        <w:t>y</w:t>
      </w:r>
      <w:r>
        <w:rPr>
          <w:spacing w:val="-15"/>
          <w:sz w:val="16"/>
        </w:rPr>
        <w:t> </w:t>
      </w:r>
      <w:r>
        <w:rPr>
          <w:sz w:val="16"/>
        </w:rPr>
        <w:t>formalmente</w:t>
      </w:r>
      <w:r>
        <w:rPr>
          <w:spacing w:val="-13"/>
          <w:sz w:val="16"/>
        </w:rPr>
        <w:t> </w:t>
      </w:r>
      <w:r>
        <w:rPr>
          <w:sz w:val="16"/>
        </w:rPr>
        <w:t>a</w:t>
      </w:r>
      <w:r>
        <w:rPr>
          <w:spacing w:val="-14"/>
          <w:sz w:val="16"/>
        </w:rPr>
        <w:t> </w:t>
      </w:r>
      <w:r>
        <w:rPr>
          <w:sz w:val="16"/>
        </w:rPr>
        <w:t>la</w:t>
      </w:r>
      <w:r>
        <w:rPr>
          <w:spacing w:val="-16"/>
          <w:sz w:val="16"/>
        </w:rPr>
        <w:t> </w:t>
      </w:r>
      <w:r>
        <w:rPr>
          <w:sz w:val="16"/>
        </w:rPr>
        <w:t>Comunidad”</w:t>
      </w:r>
      <w:r>
        <w:rPr>
          <w:spacing w:val="-15"/>
          <w:sz w:val="16"/>
        </w:rPr>
        <w:t> </w:t>
      </w:r>
      <w:r>
        <w:rPr>
          <w:sz w:val="16"/>
        </w:rPr>
        <w:t>(</w:t>
      </w:r>
      <w:r>
        <w:rPr>
          <w:i/>
          <w:sz w:val="16"/>
        </w:rPr>
        <w:t>Caso</w:t>
      </w:r>
      <w:r>
        <w:rPr>
          <w:i/>
          <w:spacing w:val="-17"/>
          <w:sz w:val="16"/>
        </w:rPr>
        <w:t> </w:t>
      </w:r>
      <w:r>
        <w:rPr>
          <w:i/>
          <w:sz w:val="16"/>
        </w:rPr>
        <w:t>Comunidad</w:t>
      </w:r>
      <w:r>
        <w:rPr>
          <w:i/>
          <w:spacing w:val="-15"/>
          <w:sz w:val="16"/>
        </w:rPr>
        <w:t> </w:t>
      </w:r>
      <w:r>
        <w:rPr>
          <w:i/>
          <w:sz w:val="16"/>
        </w:rPr>
        <w:t>Indígena </w:t>
      </w:r>
      <w:r>
        <w:rPr>
          <w:i/>
          <w:sz w:val="16"/>
        </w:rPr>
        <w:t>Yakye Axa Vs. Paraguay. Interpretación de la Sentencia de Fondo, Reparaciones y Costas</w:t>
      </w:r>
      <w:r>
        <w:rPr>
          <w:sz w:val="16"/>
        </w:rPr>
        <w:t>. Sentencia de 6 de febrero de 2006, párr. 34). Estos señalamientos, efectuados en relación con un caso específico, son, en principio, generalizables. Por otra parte, la Corte también ha tenido ocasión de conocer hechos concretos que denotaban que la falta de continuidad del territorio titulado, o su división y fraccionamiento, de modo que no pueda darse una “prolongación geográfica” de los distintos lotes que lo integran, impactó negativamente en el uso y goce de dicho territorio (</w:t>
      </w:r>
      <w:r>
        <w:rPr>
          <w:i/>
          <w:sz w:val="16"/>
        </w:rPr>
        <w:t>Caso Comunidad Garífuna Triunfo de la Cruz y sus Miembros Vs. Honduras</w:t>
      </w:r>
      <w:r>
        <w:rPr>
          <w:sz w:val="16"/>
        </w:rPr>
        <w:t>, párr.</w:t>
      </w:r>
      <w:r>
        <w:rPr>
          <w:spacing w:val="-4"/>
          <w:sz w:val="16"/>
        </w:rPr>
        <w:t> </w:t>
      </w:r>
      <w:r>
        <w:rPr>
          <w:sz w:val="16"/>
        </w:rPr>
        <w:t>127).</w:t>
      </w:r>
    </w:p>
    <w:p>
      <w:pPr>
        <w:spacing w:after="0" w:line="240" w:lineRule="auto"/>
        <w:jc w:val="both"/>
        <w:rPr>
          <w:sz w:val="16"/>
        </w:rPr>
        <w:sectPr>
          <w:pgSz w:w="12240" w:h="15840"/>
          <w:pgMar w:header="0" w:footer="1000" w:top="1340" w:bottom="1200" w:left="1580" w:right="1580"/>
        </w:sectPr>
      </w:pPr>
    </w:p>
    <w:p>
      <w:pPr>
        <w:pStyle w:val="BodyText"/>
        <w:spacing w:before="76"/>
        <w:ind w:left="122" w:right="124"/>
        <w:jc w:val="both"/>
      </w:pPr>
      <w:r>
        <w:rPr/>
        <w:t>implica necesariamente, en atención al principio de seguridad jurídica, que el Estado debe demarcar, delimitar y titular los territorios de las comunidades indígenas […]. Por tanto, el incumplimiento de dichas obligaciones constituye una violación al uso y goce de los bienes de los miembros de dichas comunidades”</w:t>
      </w:r>
      <w:r>
        <w:rPr>
          <w:position w:val="7"/>
          <w:sz w:val="13"/>
        </w:rPr>
        <w:t>104</w:t>
      </w:r>
      <w:r>
        <w:rPr/>
        <w:t>. La titulación y demarcación deben implicar el uso y goce pacífico de la propiedad</w:t>
      </w:r>
      <w:r>
        <w:rPr>
          <w:position w:val="7"/>
          <w:sz w:val="13"/>
        </w:rPr>
        <w:t>105</w:t>
      </w:r>
      <w:r>
        <w:rPr/>
        <w:t>.</w:t>
      </w:r>
    </w:p>
    <w:p>
      <w:pPr>
        <w:pStyle w:val="BodyText"/>
        <w:spacing w:before="10"/>
        <w:rPr>
          <w:sz w:val="19"/>
        </w:rPr>
      </w:pPr>
    </w:p>
    <w:p>
      <w:pPr>
        <w:pStyle w:val="ListParagraph"/>
        <w:numPr>
          <w:ilvl w:val="0"/>
          <w:numId w:val="21"/>
        </w:numPr>
        <w:tabs>
          <w:tab w:pos="830" w:val="left" w:leader="none"/>
        </w:tabs>
        <w:spacing w:line="240" w:lineRule="auto" w:before="0" w:after="0"/>
        <w:ind w:left="122" w:right="124" w:firstLine="0"/>
        <w:jc w:val="both"/>
        <w:rPr>
          <w:i/>
          <w:sz w:val="20"/>
        </w:rPr>
      </w:pPr>
      <w:r>
        <w:rPr>
          <w:sz w:val="20"/>
        </w:rPr>
        <w:t>De</w:t>
      </w:r>
      <w:r>
        <w:rPr>
          <w:spacing w:val="-9"/>
          <w:sz w:val="20"/>
        </w:rPr>
        <w:t> </w:t>
      </w:r>
      <w:r>
        <w:rPr>
          <w:sz w:val="20"/>
        </w:rPr>
        <w:t>modo</w:t>
      </w:r>
      <w:r>
        <w:rPr>
          <w:spacing w:val="-9"/>
          <w:sz w:val="20"/>
        </w:rPr>
        <w:t> </w:t>
      </w:r>
      <w:r>
        <w:rPr>
          <w:sz w:val="20"/>
        </w:rPr>
        <w:t>concordante</w:t>
      </w:r>
      <w:r>
        <w:rPr>
          <w:spacing w:val="-9"/>
          <w:sz w:val="20"/>
        </w:rPr>
        <w:t> </w:t>
      </w:r>
      <w:r>
        <w:rPr>
          <w:sz w:val="20"/>
        </w:rPr>
        <w:t>con</w:t>
      </w:r>
      <w:r>
        <w:rPr>
          <w:spacing w:val="-7"/>
          <w:sz w:val="20"/>
        </w:rPr>
        <w:t> </w:t>
      </w:r>
      <w:r>
        <w:rPr>
          <w:sz w:val="20"/>
        </w:rPr>
        <w:t>lo</w:t>
      </w:r>
      <w:r>
        <w:rPr>
          <w:spacing w:val="-7"/>
          <w:sz w:val="20"/>
        </w:rPr>
        <w:t> </w:t>
      </w:r>
      <w:r>
        <w:rPr>
          <w:sz w:val="20"/>
        </w:rPr>
        <w:t>anterior,</w:t>
      </w:r>
      <w:r>
        <w:rPr>
          <w:spacing w:val="-8"/>
          <w:sz w:val="20"/>
        </w:rPr>
        <w:t> </w:t>
      </w:r>
      <w:r>
        <w:rPr>
          <w:sz w:val="20"/>
        </w:rPr>
        <w:t>la</w:t>
      </w:r>
      <w:r>
        <w:rPr>
          <w:spacing w:val="-6"/>
          <w:sz w:val="20"/>
        </w:rPr>
        <w:t> </w:t>
      </w:r>
      <w:r>
        <w:rPr>
          <w:sz w:val="20"/>
        </w:rPr>
        <w:t>Corte</w:t>
      </w:r>
      <w:r>
        <w:rPr>
          <w:spacing w:val="-7"/>
          <w:sz w:val="20"/>
        </w:rPr>
        <w:t> </w:t>
      </w:r>
      <w:r>
        <w:rPr>
          <w:sz w:val="20"/>
        </w:rPr>
        <w:t>destacó</w:t>
      </w:r>
      <w:r>
        <w:rPr>
          <w:spacing w:val="-7"/>
          <w:sz w:val="20"/>
        </w:rPr>
        <w:t> </w:t>
      </w:r>
      <w:r>
        <w:rPr>
          <w:sz w:val="20"/>
        </w:rPr>
        <w:t>en</w:t>
      </w:r>
      <w:r>
        <w:rPr>
          <w:spacing w:val="-7"/>
          <w:sz w:val="20"/>
        </w:rPr>
        <w:t> </w:t>
      </w:r>
      <w:r>
        <w:rPr>
          <w:sz w:val="20"/>
        </w:rPr>
        <w:t>2015</w:t>
      </w:r>
      <w:r>
        <w:rPr>
          <w:spacing w:val="-5"/>
          <w:sz w:val="20"/>
        </w:rPr>
        <w:t> </w:t>
      </w:r>
      <w:r>
        <w:rPr>
          <w:sz w:val="20"/>
        </w:rPr>
        <w:t>que</w:t>
      </w:r>
      <w:r>
        <w:rPr>
          <w:spacing w:val="-7"/>
          <w:sz w:val="20"/>
        </w:rPr>
        <w:t> </w:t>
      </w:r>
      <w:r>
        <w:rPr>
          <w:sz w:val="20"/>
        </w:rPr>
        <w:t>“en</w:t>
      </w:r>
      <w:r>
        <w:rPr>
          <w:spacing w:val="-7"/>
          <w:sz w:val="20"/>
        </w:rPr>
        <w:t> </w:t>
      </w:r>
      <w:r>
        <w:rPr>
          <w:sz w:val="20"/>
        </w:rPr>
        <w:t>atención al principio de seguridad jurídica, es necesario materializar los derechos territoriales de los pueblos indígenas a través de la adopción de medidas legislativas y administrativas necesarias para crear un mecanismo efectivo de delimitación, demarcación y titulación, que reconozca tales derechos en la práctica” y los haga oponibles ante las propias autoridades estatales o frente a terceros</w:t>
      </w:r>
      <w:r>
        <w:rPr>
          <w:position w:val="7"/>
          <w:sz w:val="13"/>
        </w:rPr>
        <w:t>106</w:t>
      </w:r>
      <w:r>
        <w:rPr>
          <w:sz w:val="20"/>
        </w:rPr>
        <w:t>. Consideraciones equivalentes realizó en 2018,</w:t>
      </w:r>
      <w:r>
        <w:rPr>
          <w:spacing w:val="-8"/>
          <w:sz w:val="20"/>
        </w:rPr>
        <w:t> </w:t>
      </w:r>
      <w:r>
        <w:rPr>
          <w:sz w:val="20"/>
        </w:rPr>
        <w:t>en</w:t>
      </w:r>
      <w:r>
        <w:rPr>
          <w:spacing w:val="-7"/>
          <w:sz w:val="20"/>
        </w:rPr>
        <w:t> </w:t>
      </w:r>
      <w:r>
        <w:rPr>
          <w:sz w:val="20"/>
        </w:rPr>
        <w:t>su</w:t>
      </w:r>
      <w:r>
        <w:rPr>
          <w:spacing w:val="-7"/>
          <w:sz w:val="20"/>
        </w:rPr>
        <w:t> </w:t>
      </w:r>
      <w:r>
        <w:rPr>
          <w:sz w:val="20"/>
        </w:rPr>
        <w:t>decisión</w:t>
      </w:r>
      <w:r>
        <w:rPr>
          <w:spacing w:val="-7"/>
          <w:sz w:val="20"/>
        </w:rPr>
        <w:t> </w:t>
      </w:r>
      <w:r>
        <w:rPr>
          <w:sz w:val="20"/>
        </w:rPr>
        <w:t>sobre</w:t>
      </w:r>
      <w:r>
        <w:rPr>
          <w:spacing w:val="-7"/>
          <w:sz w:val="20"/>
        </w:rPr>
        <w:t> </w:t>
      </w:r>
      <w:r>
        <w:rPr>
          <w:sz w:val="20"/>
        </w:rPr>
        <w:t>el</w:t>
      </w:r>
      <w:r>
        <w:rPr>
          <w:spacing w:val="-8"/>
          <w:sz w:val="20"/>
        </w:rPr>
        <w:t> </w:t>
      </w:r>
      <w:r>
        <w:rPr>
          <w:sz w:val="20"/>
        </w:rPr>
        <w:t>caso</w:t>
      </w:r>
      <w:r>
        <w:rPr>
          <w:spacing w:val="-7"/>
          <w:sz w:val="20"/>
        </w:rPr>
        <w:t> </w:t>
      </w:r>
      <w:r>
        <w:rPr>
          <w:i/>
          <w:sz w:val="20"/>
        </w:rPr>
        <w:t>Pueblo</w:t>
      </w:r>
      <w:r>
        <w:rPr>
          <w:i/>
          <w:spacing w:val="-9"/>
          <w:sz w:val="20"/>
        </w:rPr>
        <w:t> </w:t>
      </w:r>
      <w:r>
        <w:rPr>
          <w:i/>
          <w:sz w:val="20"/>
        </w:rPr>
        <w:t>Indígena</w:t>
      </w:r>
      <w:r>
        <w:rPr>
          <w:i/>
          <w:spacing w:val="-8"/>
          <w:sz w:val="20"/>
        </w:rPr>
        <w:t> </w:t>
      </w:r>
      <w:r>
        <w:rPr>
          <w:i/>
          <w:sz w:val="20"/>
        </w:rPr>
        <w:t>Xucuru</w:t>
      </w:r>
      <w:r>
        <w:rPr>
          <w:i/>
          <w:spacing w:val="-7"/>
          <w:sz w:val="20"/>
        </w:rPr>
        <w:t> </w:t>
      </w:r>
      <w:r>
        <w:rPr>
          <w:i/>
          <w:sz w:val="20"/>
        </w:rPr>
        <w:t>y</w:t>
      </w:r>
      <w:r>
        <w:rPr>
          <w:i/>
          <w:spacing w:val="-8"/>
          <w:sz w:val="20"/>
        </w:rPr>
        <w:t> </w:t>
      </w:r>
      <w:r>
        <w:rPr>
          <w:i/>
          <w:sz w:val="20"/>
        </w:rPr>
        <w:t>sus</w:t>
      </w:r>
      <w:r>
        <w:rPr>
          <w:i/>
          <w:spacing w:val="-9"/>
          <w:sz w:val="20"/>
        </w:rPr>
        <w:t> </w:t>
      </w:r>
      <w:r>
        <w:rPr>
          <w:i/>
          <w:sz w:val="20"/>
        </w:rPr>
        <w:t>miembros</w:t>
      </w:r>
      <w:r>
        <w:rPr>
          <w:i/>
          <w:spacing w:val="-6"/>
          <w:sz w:val="20"/>
        </w:rPr>
        <w:t> </w:t>
      </w:r>
      <w:r>
        <w:rPr>
          <w:i/>
          <w:sz w:val="20"/>
        </w:rPr>
        <w:t>vs.</w:t>
      </w:r>
      <w:r>
        <w:rPr>
          <w:i/>
          <w:spacing w:val="-6"/>
          <w:sz w:val="20"/>
        </w:rPr>
        <w:t> </w:t>
      </w:r>
      <w:r>
        <w:rPr>
          <w:i/>
          <w:sz w:val="20"/>
        </w:rPr>
        <w:t>Brasil</w:t>
      </w:r>
      <w:r>
        <w:rPr>
          <w:position w:val="7"/>
          <w:sz w:val="13"/>
        </w:rPr>
        <w:t>107</w:t>
      </w:r>
      <w:r>
        <w:rPr>
          <w:i/>
          <w:sz w:val="20"/>
        </w:rPr>
        <w:t>.</w:t>
      </w:r>
    </w:p>
    <w:p>
      <w:pPr>
        <w:pStyle w:val="BodyText"/>
        <w:spacing w:before="10"/>
        <w:rPr>
          <w:i/>
          <w:sz w:val="19"/>
        </w:rPr>
      </w:pPr>
    </w:p>
    <w:p>
      <w:pPr>
        <w:pStyle w:val="ListParagraph"/>
        <w:numPr>
          <w:ilvl w:val="0"/>
          <w:numId w:val="21"/>
        </w:numPr>
        <w:tabs>
          <w:tab w:pos="830" w:val="left" w:leader="none"/>
        </w:tabs>
        <w:spacing w:line="242" w:lineRule="auto" w:before="0" w:after="0"/>
        <w:ind w:left="122" w:right="122" w:firstLine="0"/>
        <w:jc w:val="both"/>
        <w:rPr>
          <w:sz w:val="20"/>
        </w:rPr>
      </w:pPr>
      <w:r>
        <w:rPr>
          <w:sz w:val="20"/>
        </w:rPr>
        <w:t>Con base en lo anteriormente dicho, es relevante recordar que el Estado debe asegurar</w:t>
      </w:r>
      <w:r>
        <w:rPr>
          <w:spacing w:val="-15"/>
          <w:sz w:val="20"/>
        </w:rPr>
        <w:t> </w:t>
      </w:r>
      <w:r>
        <w:rPr>
          <w:sz w:val="20"/>
        </w:rPr>
        <w:t>la</w:t>
      </w:r>
      <w:r>
        <w:rPr>
          <w:spacing w:val="-13"/>
          <w:sz w:val="20"/>
        </w:rPr>
        <w:t> </w:t>
      </w:r>
      <w:r>
        <w:rPr>
          <w:sz w:val="20"/>
        </w:rPr>
        <w:t>propiedad</w:t>
      </w:r>
      <w:r>
        <w:rPr>
          <w:spacing w:val="-13"/>
          <w:sz w:val="20"/>
        </w:rPr>
        <w:t> </w:t>
      </w:r>
      <w:r>
        <w:rPr>
          <w:sz w:val="20"/>
        </w:rPr>
        <w:t>efectiva</w:t>
      </w:r>
      <w:r>
        <w:rPr>
          <w:spacing w:val="-14"/>
          <w:sz w:val="20"/>
        </w:rPr>
        <w:t> </w:t>
      </w:r>
      <w:r>
        <w:rPr>
          <w:sz w:val="20"/>
        </w:rPr>
        <w:t>de</w:t>
      </w:r>
      <w:r>
        <w:rPr>
          <w:spacing w:val="-15"/>
          <w:sz w:val="20"/>
        </w:rPr>
        <w:t> </w:t>
      </w:r>
      <w:r>
        <w:rPr>
          <w:sz w:val="20"/>
        </w:rPr>
        <w:t>los</w:t>
      </w:r>
      <w:r>
        <w:rPr>
          <w:spacing w:val="-14"/>
          <w:sz w:val="20"/>
        </w:rPr>
        <w:t> </w:t>
      </w:r>
      <w:r>
        <w:rPr>
          <w:sz w:val="20"/>
        </w:rPr>
        <w:t>pueblos</w:t>
      </w:r>
      <w:r>
        <w:rPr>
          <w:spacing w:val="-14"/>
          <w:sz w:val="20"/>
        </w:rPr>
        <w:t> </w:t>
      </w:r>
      <w:r>
        <w:rPr>
          <w:sz w:val="20"/>
        </w:rPr>
        <w:t>indígenas</w:t>
      </w:r>
      <w:r>
        <w:rPr>
          <w:spacing w:val="-14"/>
          <w:sz w:val="20"/>
        </w:rPr>
        <w:t> </w:t>
      </w:r>
      <w:r>
        <w:rPr>
          <w:sz w:val="20"/>
        </w:rPr>
        <w:t>y,</w:t>
      </w:r>
      <w:r>
        <w:rPr>
          <w:spacing w:val="-15"/>
          <w:sz w:val="20"/>
        </w:rPr>
        <w:t> </w:t>
      </w:r>
      <w:r>
        <w:rPr>
          <w:sz w:val="20"/>
        </w:rPr>
        <w:t>por</w:t>
      </w:r>
      <w:r>
        <w:rPr>
          <w:spacing w:val="-15"/>
          <w:sz w:val="20"/>
        </w:rPr>
        <w:t> </w:t>
      </w:r>
      <w:r>
        <w:rPr>
          <w:sz w:val="20"/>
        </w:rPr>
        <w:t>tanto,</w:t>
      </w:r>
      <w:r>
        <w:rPr>
          <w:spacing w:val="-14"/>
          <w:sz w:val="20"/>
        </w:rPr>
        <w:t> </w:t>
      </w:r>
      <w:r>
        <w:rPr>
          <w:sz w:val="20"/>
        </w:rPr>
        <w:t>debe:</w:t>
      </w:r>
      <w:r>
        <w:rPr>
          <w:spacing w:val="-13"/>
          <w:sz w:val="20"/>
        </w:rPr>
        <w:t> </w:t>
      </w:r>
      <w:r>
        <w:rPr>
          <w:spacing w:val="2"/>
          <w:sz w:val="20"/>
        </w:rPr>
        <w:t>a.-</w:t>
      </w:r>
      <w:r>
        <w:rPr>
          <w:spacing w:val="46"/>
          <w:sz w:val="20"/>
        </w:rPr>
        <w:t> </w:t>
      </w:r>
      <w:r>
        <w:rPr>
          <w:sz w:val="20"/>
        </w:rPr>
        <w:t>deslindar las tierras indígenas de otras y otorgar título colectivo de las tierras a las comunidades</w:t>
      </w:r>
      <w:r>
        <w:rPr>
          <w:position w:val="7"/>
          <w:sz w:val="13"/>
        </w:rPr>
        <w:t>108</w:t>
      </w:r>
      <w:r>
        <w:rPr>
          <w:sz w:val="20"/>
        </w:rPr>
        <w:t>; b.-“abstenerse de realizar actos que puedan llevar a que los agentes del propio Estado, o terceros que actúen con su aquiescencia o su tolerancia, afecten la existencia, el valor, el uso o el goce de su territorio”</w:t>
      </w:r>
      <w:r>
        <w:rPr>
          <w:rFonts w:ascii="Calibri" w:hAnsi="Calibri"/>
          <w:position w:val="8"/>
          <w:sz w:val="14"/>
        </w:rPr>
        <w:t>109</w:t>
      </w:r>
      <w:r>
        <w:rPr>
          <w:sz w:val="20"/>
        </w:rPr>
        <w:t>, y c.- a su vez, garantizar el derecho de los pueblos indígenas de controlar y </w:t>
      </w:r>
      <w:r>
        <w:rPr>
          <w:spacing w:val="2"/>
          <w:sz w:val="20"/>
        </w:rPr>
        <w:t>usar </w:t>
      </w:r>
      <w:r>
        <w:rPr>
          <w:sz w:val="20"/>
        </w:rPr>
        <w:t>efectivamente su territorio y recursos naturales</w:t>
      </w:r>
      <w:r>
        <w:rPr>
          <w:rFonts w:ascii="Calibri" w:hAnsi="Calibri"/>
          <w:position w:val="8"/>
          <w:sz w:val="14"/>
        </w:rPr>
        <w:t>110</w:t>
      </w:r>
      <w:r>
        <w:rPr>
          <w:sz w:val="20"/>
        </w:rPr>
        <w:t>, así como de ser propietarios de su territorio sin ningún tipo de interferencia externa de</w:t>
      </w:r>
      <w:r>
        <w:rPr>
          <w:spacing w:val="-15"/>
          <w:sz w:val="20"/>
        </w:rPr>
        <w:t> </w:t>
      </w:r>
      <w:r>
        <w:rPr>
          <w:sz w:val="20"/>
        </w:rPr>
        <w:t>terceros</w:t>
      </w:r>
      <w:r>
        <w:rPr>
          <w:rFonts w:ascii="Calibri" w:hAnsi="Calibri"/>
          <w:position w:val="8"/>
          <w:sz w:val="14"/>
        </w:rPr>
        <w:t>111</w:t>
      </w:r>
      <w:r>
        <w:rPr>
          <w:sz w:val="20"/>
        </w:rPr>
        <w:t>.</w:t>
      </w:r>
    </w:p>
    <w:p>
      <w:pPr>
        <w:pStyle w:val="BodyText"/>
        <w:spacing w:before="2"/>
        <w:rPr>
          <w:sz w:val="21"/>
        </w:rPr>
      </w:pPr>
    </w:p>
    <w:p>
      <w:pPr>
        <w:pStyle w:val="Heading4"/>
        <w:numPr>
          <w:ilvl w:val="0"/>
          <w:numId w:val="23"/>
        </w:numPr>
        <w:tabs>
          <w:tab w:pos="842" w:val="left" w:leader="none"/>
        </w:tabs>
        <w:spacing w:line="240" w:lineRule="auto" w:before="0" w:after="0"/>
        <w:ind w:left="405" w:right="0" w:firstLine="77"/>
        <w:jc w:val="left"/>
        <w:rPr>
          <w:i/>
        </w:rPr>
      </w:pPr>
      <w:bookmarkStart w:name="_bookmark36" w:id="59"/>
      <w:bookmarkEnd w:id="59"/>
      <w:r>
        <w:rPr>
          <w:b w:val="0"/>
          <w:i w:val="0"/>
        </w:rPr>
      </w:r>
      <w:bookmarkStart w:name="_bookmark36" w:id="60"/>
      <w:bookmarkEnd w:id="60"/>
      <w:r>
        <w:rPr>
          <w:i/>
          <w:u w:val="thick"/>
        </w:rPr>
        <w:t>Recono</w:t>
      </w:r>
      <w:r>
        <w:rPr>
          <w:i/>
          <w:u w:val="thick"/>
        </w:rPr>
        <w:t>cimiento y determinación de la propiedad</w:t>
      </w:r>
      <w:r>
        <w:rPr>
          <w:i/>
          <w:spacing w:val="-32"/>
          <w:u w:val="thick"/>
        </w:rPr>
        <w:t> </w:t>
      </w:r>
      <w:r>
        <w:rPr>
          <w:i/>
          <w:u w:val="thick"/>
        </w:rPr>
        <w:t>comunitaria</w:t>
      </w:r>
    </w:p>
    <w:p>
      <w:pPr>
        <w:pStyle w:val="BodyText"/>
        <w:spacing w:before="8"/>
        <w:rPr>
          <w:b/>
          <w:i/>
          <w:sz w:val="11"/>
        </w:rPr>
      </w:pPr>
    </w:p>
    <w:p>
      <w:pPr>
        <w:pStyle w:val="ListParagraph"/>
        <w:numPr>
          <w:ilvl w:val="0"/>
          <w:numId w:val="21"/>
        </w:numPr>
        <w:tabs>
          <w:tab w:pos="830" w:val="left" w:leader="none"/>
        </w:tabs>
        <w:spacing w:line="240" w:lineRule="auto" w:before="99" w:after="0"/>
        <w:ind w:left="122" w:right="131" w:firstLine="0"/>
        <w:jc w:val="both"/>
        <w:rPr>
          <w:sz w:val="20"/>
        </w:rPr>
      </w:pPr>
      <w:r>
        <w:rPr>
          <w:sz w:val="20"/>
        </w:rPr>
        <w:t>A</w:t>
      </w:r>
      <w:r>
        <w:rPr>
          <w:spacing w:val="-11"/>
          <w:sz w:val="20"/>
        </w:rPr>
        <w:t> </w:t>
      </w:r>
      <w:r>
        <w:rPr>
          <w:sz w:val="20"/>
        </w:rPr>
        <w:t>continuación,</w:t>
      </w:r>
      <w:r>
        <w:rPr>
          <w:spacing w:val="-12"/>
          <w:sz w:val="20"/>
        </w:rPr>
        <w:t> </w:t>
      </w:r>
      <w:r>
        <w:rPr>
          <w:sz w:val="20"/>
        </w:rPr>
        <w:t>la</w:t>
      </w:r>
      <w:r>
        <w:rPr>
          <w:spacing w:val="-9"/>
          <w:sz w:val="20"/>
        </w:rPr>
        <w:t> </w:t>
      </w:r>
      <w:r>
        <w:rPr>
          <w:sz w:val="20"/>
        </w:rPr>
        <w:t>Corte</w:t>
      </w:r>
      <w:r>
        <w:rPr>
          <w:spacing w:val="-8"/>
          <w:sz w:val="20"/>
        </w:rPr>
        <w:t> </w:t>
      </w:r>
      <w:r>
        <w:rPr>
          <w:sz w:val="20"/>
        </w:rPr>
        <w:t>considerará</w:t>
      </w:r>
      <w:r>
        <w:rPr>
          <w:spacing w:val="-11"/>
          <w:sz w:val="20"/>
        </w:rPr>
        <w:t> </w:t>
      </w:r>
      <w:r>
        <w:rPr>
          <w:sz w:val="20"/>
        </w:rPr>
        <w:t>los</w:t>
      </w:r>
      <w:r>
        <w:rPr>
          <w:spacing w:val="-12"/>
          <w:sz w:val="20"/>
        </w:rPr>
        <w:t> </w:t>
      </w:r>
      <w:r>
        <w:rPr>
          <w:sz w:val="20"/>
        </w:rPr>
        <w:t>argumentos</w:t>
      </w:r>
      <w:r>
        <w:rPr>
          <w:spacing w:val="-12"/>
          <w:sz w:val="20"/>
        </w:rPr>
        <w:t> </w:t>
      </w:r>
      <w:r>
        <w:rPr>
          <w:sz w:val="20"/>
        </w:rPr>
        <w:t>presentados</w:t>
      </w:r>
      <w:r>
        <w:rPr>
          <w:spacing w:val="-12"/>
          <w:sz w:val="20"/>
        </w:rPr>
        <w:t> </w:t>
      </w:r>
      <w:r>
        <w:rPr>
          <w:sz w:val="20"/>
        </w:rPr>
        <w:t>por</w:t>
      </w:r>
      <w:r>
        <w:rPr>
          <w:spacing w:val="-12"/>
          <w:sz w:val="20"/>
        </w:rPr>
        <w:t> </w:t>
      </w:r>
      <w:r>
        <w:rPr>
          <w:sz w:val="20"/>
        </w:rPr>
        <w:t>la</w:t>
      </w:r>
      <w:r>
        <w:rPr>
          <w:spacing w:val="-9"/>
          <w:sz w:val="20"/>
        </w:rPr>
        <w:t> </w:t>
      </w:r>
      <w:r>
        <w:rPr>
          <w:sz w:val="20"/>
        </w:rPr>
        <w:t>Comisión y las partes respecto al reconocimiento y la determinación de la propiedad. Es decir, evaluará los alegatos sobre la aducida falta de procedimientos idóneos para</w:t>
      </w:r>
      <w:r>
        <w:rPr>
          <w:spacing w:val="68"/>
          <w:sz w:val="20"/>
        </w:rPr>
        <w:t> </w:t>
      </w:r>
      <w:r>
        <w:rPr>
          <w:sz w:val="20"/>
        </w:rPr>
        <w:t>garantizar</w:t>
      </w:r>
    </w:p>
    <w:p>
      <w:pPr>
        <w:pStyle w:val="BodyText"/>
        <w:spacing w:before="9"/>
        <w:rPr>
          <w:sz w:val="16"/>
        </w:rPr>
      </w:pPr>
      <w:r>
        <w:rPr/>
        <w:pict>
          <v:line style="position:absolute;mso-position-horizontal-relative:page;mso-position-vertical-relative:paragraph;z-index:1888;mso-wrap-distance-left:0;mso-wrap-distance-right:0" from="85.103996pt,12.539755pt" to="229.123996pt,12.539755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104</w:t>
        <w:tab/>
      </w:r>
      <w:r>
        <w:rPr>
          <w:i/>
          <w:sz w:val="16"/>
        </w:rPr>
        <w:t>Caso</w:t>
      </w:r>
      <w:r>
        <w:rPr>
          <w:i/>
          <w:spacing w:val="-11"/>
          <w:sz w:val="16"/>
        </w:rPr>
        <w:t> </w:t>
      </w:r>
      <w:r>
        <w:rPr>
          <w:i/>
          <w:sz w:val="16"/>
        </w:rPr>
        <w:t>de</w:t>
      </w:r>
      <w:r>
        <w:rPr>
          <w:i/>
          <w:spacing w:val="-12"/>
          <w:sz w:val="16"/>
        </w:rPr>
        <w:t> </w:t>
      </w:r>
      <w:r>
        <w:rPr>
          <w:i/>
          <w:sz w:val="16"/>
        </w:rPr>
        <w:t>los</w:t>
      </w:r>
      <w:r>
        <w:rPr>
          <w:i/>
          <w:spacing w:val="-9"/>
          <w:sz w:val="16"/>
        </w:rPr>
        <w:t> </w:t>
      </w:r>
      <w:r>
        <w:rPr>
          <w:i/>
          <w:sz w:val="16"/>
        </w:rPr>
        <w:t>Pueblos</w:t>
      </w:r>
      <w:r>
        <w:rPr>
          <w:i/>
          <w:spacing w:val="-9"/>
          <w:sz w:val="16"/>
        </w:rPr>
        <w:t> </w:t>
      </w:r>
      <w:r>
        <w:rPr>
          <w:i/>
          <w:sz w:val="16"/>
        </w:rPr>
        <w:t>Indígenas</w:t>
      </w:r>
      <w:r>
        <w:rPr>
          <w:i/>
          <w:spacing w:val="-14"/>
          <w:sz w:val="16"/>
        </w:rPr>
        <w:t> </w:t>
      </w:r>
      <w:r>
        <w:rPr>
          <w:i/>
          <w:sz w:val="16"/>
        </w:rPr>
        <w:t>Kuna</w:t>
      </w:r>
      <w:r>
        <w:rPr>
          <w:i/>
          <w:spacing w:val="-10"/>
          <w:sz w:val="16"/>
        </w:rPr>
        <w:t> </w:t>
      </w:r>
      <w:r>
        <w:rPr>
          <w:i/>
          <w:sz w:val="16"/>
        </w:rPr>
        <w:t>de</w:t>
      </w:r>
      <w:r>
        <w:rPr>
          <w:i/>
          <w:spacing w:val="-12"/>
          <w:sz w:val="16"/>
        </w:rPr>
        <w:t> </w:t>
      </w:r>
      <w:r>
        <w:rPr>
          <w:i/>
          <w:sz w:val="16"/>
        </w:rPr>
        <w:t>Madungandí</w:t>
      </w:r>
      <w:r>
        <w:rPr>
          <w:i/>
          <w:spacing w:val="-13"/>
          <w:sz w:val="16"/>
        </w:rPr>
        <w:t> </w:t>
      </w:r>
      <w:r>
        <w:rPr>
          <w:i/>
          <w:sz w:val="16"/>
        </w:rPr>
        <w:t>y</w:t>
      </w:r>
      <w:r>
        <w:rPr>
          <w:i/>
          <w:spacing w:val="-9"/>
          <w:sz w:val="16"/>
        </w:rPr>
        <w:t> </w:t>
      </w:r>
      <w:r>
        <w:rPr>
          <w:i/>
          <w:sz w:val="16"/>
        </w:rPr>
        <w:t>Emberá</w:t>
      </w:r>
      <w:r>
        <w:rPr>
          <w:i/>
          <w:spacing w:val="-10"/>
          <w:sz w:val="16"/>
        </w:rPr>
        <w:t> </w:t>
      </w:r>
      <w:r>
        <w:rPr>
          <w:i/>
          <w:sz w:val="16"/>
        </w:rPr>
        <w:t>de</w:t>
      </w:r>
      <w:r>
        <w:rPr>
          <w:i/>
          <w:spacing w:val="-12"/>
          <w:sz w:val="16"/>
        </w:rPr>
        <w:t> </w:t>
      </w:r>
      <w:r>
        <w:rPr>
          <w:i/>
          <w:sz w:val="16"/>
        </w:rPr>
        <w:t>Bayano</w:t>
      </w:r>
      <w:r>
        <w:rPr>
          <w:i/>
          <w:spacing w:val="-11"/>
          <w:sz w:val="16"/>
        </w:rPr>
        <w:t> </w:t>
      </w:r>
      <w:r>
        <w:rPr>
          <w:i/>
          <w:sz w:val="16"/>
        </w:rPr>
        <w:t>y</w:t>
      </w:r>
      <w:r>
        <w:rPr>
          <w:i/>
          <w:spacing w:val="-11"/>
          <w:sz w:val="16"/>
        </w:rPr>
        <w:t> </w:t>
      </w:r>
      <w:r>
        <w:rPr>
          <w:i/>
          <w:sz w:val="16"/>
        </w:rPr>
        <w:t>sus</w:t>
      </w:r>
      <w:r>
        <w:rPr>
          <w:i/>
          <w:spacing w:val="-12"/>
          <w:sz w:val="16"/>
        </w:rPr>
        <w:t> </w:t>
      </w:r>
      <w:r>
        <w:rPr>
          <w:i/>
          <w:sz w:val="16"/>
        </w:rPr>
        <w:t>Miembros</w:t>
      </w:r>
      <w:r>
        <w:rPr>
          <w:i/>
          <w:spacing w:val="-12"/>
          <w:sz w:val="16"/>
        </w:rPr>
        <w:t> </w:t>
      </w:r>
      <w:r>
        <w:rPr>
          <w:i/>
          <w:sz w:val="16"/>
        </w:rPr>
        <w:t>Vs.</w:t>
      </w:r>
      <w:r>
        <w:rPr>
          <w:i/>
          <w:spacing w:val="-10"/>
          <w:sz w:val="16"/>
        </w:rPr>
        <w:t> </w:t>
      </w:r>
      <w:r>
        <w:rPr>
          <w:i/>
          <w:sz w:val="16"/>
        </w:rPr>
        <w:t>Panamá</w:t>
      </w:r>
      <w:r>
        <w:rPr>
          <w:sz w:val="16"/>
        </w:rPr>
        <w:t>,</w:t>
      </w:r>
      <w:r>
        <w:rPr>
          <w:w w:val="100"/>
          <w:sz w:val="16"/>
        </w:rPr>
        <w:t> </w:t>
      </w:r>
      <w:r>
        <w:rPr>
          <w:sz w:val="16"/>
        </w:rPr>
        <w:t>párr.</w:t>
      </w:r>
      <w:r>
        <w:rPr>
          <w:spacing w:val="-7"/>
          <w:sz w:val="16"/>
        </w:rPr>
        <w:t> </w:t>
      </w:r>
      <w:r>
        <w:rPr>
          <w:sz w:val="16"/>
        </w:rPr>
        <w:t>119.</w:t>
      </w:r>
      <w:r>
        <w:rPr>
          <w:spacing w:val="-7"/>
          <w:sz w:val="16"/>
        </w:rPr>
        <w:t> </w:t>
      </w:r>
      <w:r>
        <w:rPr>
          <w:sz w:val="16"/>
        </w:rPr>
        <w:t>En</w:t>
      </w:r>
      <w:r>
        <w:rPr>
          <w:spacing w:val="-5"/>
          <w:sz w:val="16"/>
        </w:rPr>
        <w:t> </w:t>
      </w:r>
      <w:r>
        <w:rPr>
          <w:sz w:val="16"/>
        </w:rPr>
        <w:t>el</w:t>
      </w:r>
      <w:r>
        <w:rPr>
          <w:spacing w:val="-7"/>
          <w:sz w:val="16"/>
        </w:rPr>
        <w:t> </w:t>
      </w:r>
      <w:r>
        <w:rPr>
          <w:sz w:val="16"/>
        </w:rPr>
        <w:t>mismo</w:t>
      </w:r>
      <w:r>
        <w:rPr>
          <w:spacing w:val="-5"/>
          <w:sz w:val="16"/>
        </w:rPr>
        <w:t> </w:t>
      </w:r>
      <w:r>
        <w:rPr>
          <w:sz w:val="16"/>
        </w:rPr>
        <w:t>sentido</w:t>
      </w:r>
      <w:r>
        <w:rPr>
          <w:spacing w:val="-5"/>
          <w:sz w:val="16"/>
        </w:rPr>
        <w:t> </w:t>
      </w:r>
      <w:r>
        <w:rPr>
          <w:sz w:val="16"/>
        </w:rPr>
        <w:t>se</w:t>
      </w:r>
      <w:r>
        <w:rPr>
          <w:spacing w:val="-6"/>
          <w:sz w:val="16"/>
        </w:rPr>
        <w:t> </w:t>
      </w:r>
      <w:r>
        <w:rPr>
          <w:sz w:val="16"/>
        </w:rPr>
        <w:t>pronunció</w:t>
      </w:r>
      <w:r>
        <w:rPr>
          <w:spacing w:val="-6"/>
          <w:sz w:val="16"/>
        </w:rPr>
        <w:t> </w:t>
      </w:r>
      <w:r>
        <w:rPr>
          <w:sz w:val="16"/>
        </w:rPr>
        <w:t>la</w:t>
      </w:r>
      <w:r>
        <w:rPr>
          <w:spacing w:val="-7"/>
          <w:sz w:val="16"/>
        </w:rPr>
        <w:t> </w:t>
      </w:r>
      <w:r>
        <w:rPr>
          <w:sz w:val="16"/>
        </w:rPr>
        <w:t>Corte</w:t>
      </w:r>
      <w:r>
        <w:rPr>
          <w:spacing w:val="-6"/>
          <w:sz w:val="16"/>
        </w:rPr>
        <w:t> </w:t>
      </w:r>
      <w:r>
        <w:rPr>
          <w:sz w:val="16"/>
        </w:rPr>
        <w:t>con</w:t>
      </w:r>
      <w:r>
        <w:rPr>
          <w:spacing w:val="-7"/>
          <w:sz w:val="16"/>
        </w:rPr>
        <w:t> </w:t>
      </w:r>
      <w:r>
        <w:rPr>
          <w:sz w:val="16"/>
        </w:rPr>
        <w:t>posterioridad:</w:t>
      </w:r>
      <w:r>
        <w:rPr>
          <w:spacing w:val="-4"/>
          <w:sz w:val="16"/>
        </w:rPr>
        <w:t> </w:t>
      </w:r>
      <w:r>
        <w:rPr>
          <w:i/>
          <w:sz w:val="16"/>
        </w:rPr>
        <w:t>cfr.</w:t>
      </w:r>
      <w:r>
        <w:rPr>
          <w:i/>
          <w:spacing w:val="-7"/>
          <w:sz w:val="16"/>
        </w:rPr>
        <w:t> </w:t>
      </w:r>
      <w:r>
        <w:rPr>
          <w:i/>
          <w:sz w:val="16"/>
        </w:rPr>
        <w:t>Caso</w:t>
      </w:r>
      <w:r>
        <w:rPr>
          <w:i/>
          <w:spacing w:val="-5"/>
          <w:sz w:val="16"/>
        </w:rPr>
        <w:t> </w:t>
      </w:r>
      <w:r>
        <w:rPr>
          <w:i/>
          <w:sz w:val="16"/>
        </w:rPr>
        <w:t>Comunidad</w:t>
      </w:r>
      <w:r>
        <w:rPr>
          <w:i/>
          <w:spacing w:val="-6"/>
          <w:sz w:val="16"/>
        </w:rPr>
        <w:t> </w:t>
      </w:r>
      <w:r>
        <w:rPr>
          <w:i/>
          <w:sz w:val="16"/>
        </w:rPr>
        <w:t>Garífuna</w:t>
      </w:r>
      <w:r>
        <w:rPr>
          <w:i/>
          <w:spacing w:val="-7"/>
          <w:sz w:val="16"/>
        </w:rPr>
        <w:t> </w:t>
      </w:r>
      <w:r>
        <w:rPr>
          <w:i/>
          <w:sz w:val="16"/>
        </w:rPr>
        <w:t>Triunfo </w:t>
      </w:r>
      <w:r>
        <w:rPr>
          <w:i/>
          <w:sz w:val="16"/>
        </w:rPr>
        <w:t>de</w:t>
      </w:r>
      <w:r>
        <w:rPr>
          <w:i/>
          <w:spacing w:val="-7"/>
          <w:sz w:val="16"/>
        </w:rPr>
        <w:t> </w:t>
      </w:r>
      <w:r>
        <w:rPr>
          <w:i/>
          <w:sz w:val="16"/>
        </w:rPr>
        <w:t>la</w:t>
      </w:r>
      <w:r>
        <w:rPr>
          <w:i/>
          <w:spacing w:val="-8"/>
          <w:sz w:val="16"/>
        </w:rPr>
        <w:t> </w:t>
      </w:r>
      <w:r>
        <w:rPr>
          <w:i/>
          <w:sz w:val="16"/>
        </w:rPr>
        <w:t>Cruz</w:t>
      </w:r>
      <w:r>
        <w:rPr>
          <w:i/>
          <w:spacing w:val="-8"/>
          <w:sz w:val="16"/>
        </w:rPr>
        <w:t> </w:t>
      </w:r>
      <w:r>
        <w:rPr>
          <w:i/>
          <w:sz w:val="16"/>
        </w:rPr>
        <w:t>y</w:t>
      </w:r>
      <w:r>
        <w:rPr>
          <w:i/>
          <w:spacing w:val="-6"/>
          <w:sz w:val="16"/>
        </w:rPr>
        <w:t> </w:t>
      </w:r>
      <w:r>
        <w:rPr>
          <w:i/>
          <w:sz w:val="16"/>
        </w:rPr>
        <w:t>sus</w:t>
      </w:r>
      <w:r>
        <w:rPr>
          <w:i/>
          <w:spacing w:val="-10"/>
          <w:sz w:val="16"/>
        </w:rPr>
        <w:t> </w:t>
      </w:r>
      <w:r>
        <w:rPr>
          <w:i/>
          <w:sz w:val="16"/>
        </w:rPr>
        <w:t>Miembros</w:t>
      </w:r>
      <w:r>
        <w:rPr>
          <w:i/>
          <w:spacing w:val="-7"/>
          <w:sz w:val="16"/>
        </w:rPr>
        <w:t> </w:t>
      </w:r>
      <w:r>
        <w:rPr>
          <w:i/>
          <w:sz w:val="16"/>
        </w:rPr>
        <w:t>Vs.</w:t>
      </w:r>
      <w:r>
        <w:rPr>
          <w:i/>
          <w:spacing w:val="-8"/>
          <w:sz w:val="16"/>
        </w:rPr>
        <w:t> </w:t>
      </w:r>
      <w:r>
        <w:rPr>
          <w:i/>
          <w:sz w:val="16"/>
        </w:rPr>
        <w:t>Honduras</w:t>
      </w:r>
      <w:r>
        <w:rPr>
          <w:sz w:val="16"/>
        </w:rPr>
        <w:t>,</w:t>
      </w:r>
      <w:r>
        <w:rPr>
          <w:spacing w:val="-8"/>
          <w:sz w:val="16"/>
        </w:rPr>
        <w:t> </w:t>
      </w:r>
      <w:r>
        <w:rPr>
          <w:sz w:val="16"/>
        </w:rPr>
        <w:t>párr.</w:t>
      </w:r>
      <w:r>
        <w:rPr>
          <w:spacing w:val="-11"/>
          <w:sz w:val="16"/>
        </w:rPr>
        <w:t> </w:t>
      </w:r>
      <w:r>
        <w:rPr>
          <w:sz w:val="16"/>
        </w:rPr>
        <w:t>120,</w:t>
      </w:r>
      <w:r>
        <w:rPr>
          <w:spacing w:val="-8"/>
          <w:sz w:val="16"/>
        </w:rPr>
        <w:t> </w:t>
      </w:r>
      <w:r>
        <w:rPr>
          <w:sz w:val="16"/>
        </w:rPr>
        <w:t>y</w:t>
      </w:r>
      <w:r>
        <w:rPr>
          <w:spacing w:val="-6"/>
          <w:sz w:val="16"/>
        </w:rPr>
        <w:t> </w:t>
      </w:r>
      <w:r>
        <w:rPr>
          <w:i/>
          <w:sz w:val="16"/>
        </w:rPr>
        <w:t>Caso</w:t>
      </w:r>
      <w:r>
        <w:rPr>
          <w:i/>
          <w:spacing w:val="-7"/>
          <w:sz w:val="16"/>
        </w:rPr>
        <w:t> </w:t>
      </w:r>
      <w:r>
        <w:rPr>
          <w:i/>
          <w:sz w:val="16"/>
        </w:rPr>
        <w:t>Pueblo</w:t>
      </w:r>
      <w:r>
        <w:rPr>
          <w:i/>
          <w:spacing w:val="-7"/>
          <w:sz w:val="16"/>
        </w:rPr>
        <w:t> </w:t>
      </w:r>
      <w:r>
        <w:rPr>
          <w:i/>
          <w:sz w:val="16"/>
        </w:rPr>
        <w:t>Indígena</w:t>
      </w:r>
      <w:r>
        <w:rPr>
          <w:i/>
          <w:spacing w:val="-8"/>
          <w:sz w:val="16"/>
        </w:rPr>
        <w:t> </w:t>
      </w:r>
      <w:r>
        <w:rPr>
          <w:i/>
          <w:sz w:val="16"/>
        </w:rPr>
        <w:t>Xucuru</w:t>
      </w:r>
      <w:r>
        <w:rPr>
          <w:i/>
          <w:spacing w:val="-8"/>
          <w:sz w:val="16"/>
        </w:rPr>
        <w:t> </w:t>
      </w:r>
      <w:r>
        <w:rPr>
          <w:i/>
          <w:sz w:val="16"/>
        </w:rPr>
        <w:t>y</w:t>
      </w:r>
      <w:r>
        <w:rPr>
          <w:i/>
          <w:spacing w:val="-6"/>
          <w:sz w:val="16"/>
        </w:rPr>
        <w:t> </w:t>
      </w:r>
      <w:r>
        <w:rPr>
          <w:i/>
          <w:sz w:val="16"/>
        </w:rPr>
        <w:t>sus</w:t>
      </w:r>
      <w:r>
        <w:rPr>
          <w:i/>
          <w:spacing w:val="-10"/>
          <w:sz w:val="16"/>
        </w:rPr>
        <w:t> </w:t>
      </w:r>
      <w:r>
        <w:rPr>
          <w:i/>
          <w:sz w:val="16"/>
        </w:rPr>
        <w:t>miembros</w:t>
      </w:r>
      <w:r>
        <w:rPr>
          <w:i/>
          <w:spacing w:val="-7"/>
          <w:sz w:val="16"/>
        </w:rPr>
        <w:t> </w:t>
      </w:r>
      <w:r>
        <w:rPr>
          <w:i/>
          <w:sz w:val="16"/>
        </w:rPr>
        <w:t>Vs.</w:t>
      </w:r>
      <w:r>
        <w:rPr>
          <w:i/>
          <w:spacing w:val="-6"/>
          <w:sz w:val="16"/>
        </w:rPr>
        <w:t> </w:t>
      </w:r>
      <w:r>
        <w:rPr>
          <w:i/>
          <w:sz w:val="16"/>
        </w:rPr>
        <w:t>Brasil</w:t>
      </w:r>
      <w:r>
        <w:rPr>
          <w:sz w:val="16"/>
        </w:rPr>
        <w:t>, párr.</w:t>
      </w:r>
      <w:r>
        <w:rPr>
          <w:spacing w:val="-4"/>
          <w:sz w:val="16"/>
        </w:rPr>
        <w:t> </w:t>
      </w:r>
      <w:r>
        <w:rPr>
          <w:sz w:val="16"/>
        </w:rPr>
        <w:t>118.</w:t>
      </w:r>
    </w:p>
    <w:p>
      <w:pPr>
        <w:pStyle w:val="BodyText"/>
        <w:spacing w:before="11"/>
        <w:rPr>
          <w:sz w:val="15"/>
        </w:rPr>
      </w:pPr>
    </w:p>
    <w:p>
      <w:pPr>
        <w:tabs>
          <w:tab w:pos="829" w:val="left" w:leader="none"/>
        </w:tabs>
        <w:spacing w:before="0"/>
        <w:ind w:left="122" w:right="0" w:firstLine="0"/>
        <w:jc w:val="both"/>
        <w:rPr>
          <w:sz w:val="16"/>
        </w:rPr>
      </w:pPr>
      <w:r>
        <w:rPr>
          <w:position w:val="6"/>
          <w:sz w:val="10"/>
        </w:rPr>
        <w:t>105</w:t>
        <w:tab/>
      </w:r>
      <w:r>
        <w:rPr>
          <w:i/>
          <w:sz w:val="16"/>
        </w:rPr>
        <w:t>Caso Pueblo Indígena Xucuru y sus miembros Vs. Brasil</w:t>
      </w:r>
      <w:r>
        <w:rPr>
          <w:sz w:val="16"/>
        </w:rPr>
        <w:t>, párr.</w:t>
      </w:r>
      <w:r>
        <w:rPr>
          <w:spacing w:val="-18"/>
          <w:sz w:val="16"/>
        </w:rPr>
        <w:t> </w:t>
      </w:r>
      <w:r>
        <w:rPr>
          <w:sz w:val="16"/>
        </w:rPr>
        <w:t>119.</w:t>
      </w:r>
    </w:p>
    <w:p>
      <w:pPr>
        <w:pStyle w:val="BodyText"/>
        <w:spacing w:before="11"/>
        <w:rPr>
          <w:sz w:val="15"/>
        </w:rPr>
      </w:pPr>
    </w:p>
    <w:p>
      <w:pPr>
        <w:tabs>
          <w:tab w:pos="829" w:val="left" w:leader="none"/>
        </w:tabs>
        <w:spacing w:before="0"/>
        <w:ind w:left="122" w:right="0" w:firstLine="0"/>
        <w:jc w:val="both"/>
        <w:rPr>
          <w:sz w:val="16"/>
        </w:rPr>
      </w:pPr>
      <w:r>
        <w:rPr>
          <w:position w:val="6"/>
          <w:sz w:val="10"/>
        </w:rPr>
        <w:t>106</w:t>
        <w:tab/>
      </w:r>
      <w:r>
        <w:rPr>
          <w:i/>
          <w:sz w:val="16"/>
        </w:rPr>
        <w:t>Caso Pueblos Kaliña y Lokono Vs. Surinam</w:t>
      </w:r>
      <w:r>
        <w:rPr>
          <w:sz w:val="16"/>
        </w:rPr>
        <w:t>, párr.</w:t>
      </w:r>
      <w:r>
        <w:rPr>
          <w:spacing w:val="-15"/>
          <w:sz w:val="16"/>
        </w:rPr>
        <w:t> </w:t>
      </w:r>
      <w:r>
        <w:rPr>
          <w:sz w:val="16"/>
        </w:rPr>
        <w:t>133.</w:t>
      </w:r>
    </w:p>
    <w:p>
      <w:pPr>
        <w:pStyle w:val="BodyText"/>
        <w:spacing w:before="11"/>
        <w:rPr>
          <w:sz w:val="15"/>
        </w:rPr>
      </w:pPr>
    </w:p>
    <w:p>
      <w:pPr>
        <w:tabs>
          <w:tab w:pos="829" w:val="left" w:leader="none"/>
        </w:tabs>
        <w:spacing w:before="0"/>
        <w:ind w:left="122" w:right="0" w:firstLine="0"/>
        <w:jc w:val="both"/>
        <w:rPr>
          <w:sz w:val="16"/>
        </w:rPr>
      </w:pPr>
      <w:r>
        <w:rPr>
          <w:position w:val="6"/>
          <w:sz w:val="10"/>
        </w:rPr>
        <w:t>107</w:t>
        <w:tab/>
      </w:r>
      <w:r>
        <w:rPr>
          <w:i/>
          <w:sz w:val="16"/>
        </w:rPr>
        <w:t>Cfr. caso Pueblo Indígena Xucuru y sus miembros Vs. Brasil</w:t>
      </w:r>
      <w:r>
        <w:rPr>
          <w:sz w:val="16"/>
        </w:rPr>
        <w:t>, párr.</w:t>
      </w:r>
      <w:r>
        <w:rPr>
          <w:spacing w:val="-21"/>
          <w:sz w:val="16"/>
        </w:rPr>
        <w:t> </w:t>
      </w:r>
      <w:r>
        <w:rPr>
          <w:sz w:val="16"/>
        </w:rPr>
        <w:t>119.</w:t>
      </w:r>
    </w:p>
    <w:p>
      <w:pPr>
        <w:pStyle w:val="BodyText"/>
        <w:spacing w:before="10"/>
        <w:rPr>
          <w:sz w:val="15"/>
        </w:rPr>
      </w:pPr>
    </w:p>
    <w:p>
      <w:pPr>
        <w:tabs>
          <w:tab w:pos="829" w:val="left" w:leader="none"/>
        </w:tabs>
        <w:spacing w:line="216" w:lineRule="auto" w:before="0"/>
        <w:ind w:left="122" w:right="116" w:firstLine="0"/>
        <w:jc w:val="both"/>
        <w:rPr>
          <w:sz w:val="16"/>
        </w:rPr>
      </w:pPr>
      <w:r>
        <w:rPr>
          <w:position w:val="6"/>
          <w:sz w:val="10"/>
        </w:rPr>
        <w:t>108</w:t>
        <w:tab/>
      </w:r>
      <w:r>
        <w:rPr>
          <w:i/>
          <w:sz w:val="16"/>
        </w:rPr>
        <w:t>Cfr.</w:t>
      </w:r>
      <w:r>
        <w:rPr>
          <w:i/>
          <w:spacing w:val="16"/>
          <w:sz w:val="16"/>
        </w:rPr>
        <w:t> </w:t>
      </w:r>
      <w:r>
        <w:rPr>
          <w:i/>
          <w:sz w:val="16"/>
        </w:rPr>
        <w:t>Caso</w:t>
      </w:r>
      <w:r>
        <w:rPr>
          <w:i/>
          <w:spacing w:val="15"/>
          <w:sz w:val="16"/>
        </w:rPr>
        <w:t> </w:t>
      </w:r>
      <w:r>
        <w:rPr>
          <w:i/>
          <w:sz w:val="16"/>
        </w:rPr>
        <w:t>de</w:t>
      </w:r>
      <w:r>
        <w:rPr>
          <w:i/>
          <w:spacing w:val="14"/>
          <w:sz w:val="16"/>
        </w:rPr>
        <w:t> </w:t>
      </w:r>
      <w:r>
        <w:rPr>
          <w:i/>
          <w:sz w:val="16"/>
        </w:rPr>
        <w:t>la</w:t>
      </w:r>
      <w:r>
        <w:rPr>
          <w:i/>
          <w:spacing w:val="14"/>
          <w:sz w:val="16"/>
        </w:rPr>
        <w:t> </w:t>
      </w:r>
      <w:r>
        <w:rPr>
          <w:i/>
          <w:sz w:val="16"/>
        </w:rPr>
        <w:t>Comunidad</w:t>
      </w:r>
      <w:r>
        <w:rPr>
          <w:i/>
          <w:spacing w:val="12"/>
          <w:sz w:val="16"/>
        </w:rPr>
        <w:t> </w:t>
      </w:r>
      <w:r>
        <w:rPr>
          <w:i/>
          <w:sz w:val="16"/>
        </w:rPr>
        <w:t>Mayagna</w:t>
      </w:r>
      <w:r>
        <w:rPr>
          <w:i/>
          <w:spacing w:val="16"/>
          <w:sz w:val="16"/>
        </w:rPr>
        <w:t> </w:t>
      </w:r>
      <w:r>
        <w:rPr>
          <w:i/>
          <w:sz w:val="16"/>
        </w:rPr>
        <w:t>(Sumo)</w:t>
      </w:r>
      <w:r>
        <w:rPr>
          <w:i/>
          <w:spacing w:val="14"/>
          <w:sz w:val="16"/>
        </w:rPr>
        <w:t> </w:t>
      </w:r>
      <w:r>
        <w:rPr>
          <w:i/>
          <w:sz w:val="16"/>
        </w:rPr>
        <w:t>Awas</w:t>
      </w:r>
      <w:r>
        <w:rPr>
          <w:i/>
          <w:spacing w:val="14"/>
          <w:sz w:val="16"/>
        </w:rPr>
        <w:t> </w:t>
      </w:r>
      <w:r>
        <w:rPr>
          <w:i/>
          <w:sz w:val="16"/>
        </w:rPr>
        <w:t>Tingni</w:t>
      </w:r>
      <w:r>
        <w:rPr>
          <w:i/>
          <w:spacing w:val="13"/>
          <w:sz w:val="16"/>
        </w:rPr>
        <w:t> </w:t>
      </w:r>
      <w:r>
        <w:rPr>
          <w:i/>
          <w:sz w:val="16"/>
        </w:rPr>
        <w:t>Vs.</w:t>
      </w:r>
      <w:r>
        <w:rPr>
          <w:i/>
          <w:spacing w:val="16"/>
          <w:sz w:val="16"/>
        </w:rPr>
        <w:t> </w:t>
      </w:r>
      <w:r>
        <w:rPr>
          <w:i/>
          <w:sz w:val="16"/>
        </w:rPr>
        <w:t>Nicaragua</w:t>
      </w:r>
      <w:r>
        <w:rPr>
          <w:sz w:val="16"/>
        </w:rPr>
        <w:t>,</w:t>
      </w:r>
      <w:r>
        <w:rPr>
          <w:spacing w:val="4"/>
          <w:sz w:val="16"/>
        </w:rPr>
        <w:t> </w:t>
      </w:r>
      <w:r>
        <w:rPr>
          <w:sz w:val="16"/>
        </w:rPr>
        <w:t>párr.</w:t>
      </w:r>
      <w:r>
        <w:rPr>
          <w:spacing w:val="16"/>
          <w:sz w:val="16"/>
        </w:rPr>
        <w:t> </w:t>
      </w:r>
      <w:r>
        <w:rPr>
          <w:sz w:val="16"/>
        </w:rPr>
        <w:t>164,</w:t>
      </w:r>
      <w:r>
        <w:rPr>
          <w:spacing w:val="13"/>
          <w:sz w:val="16"/>
        </w:rPr>
        <w:t> </w:t>
      </w:r>
      <w:r>
        <w:rPr>
          <w:sz w:val="16"/>
        </w:rPr>
        <w:t>y</w:t>
      </w:r>
      <w:r>
        <w:rPr>
          <w:spacing w:val="16"/>
          <w:sz w:val="16"/>
        </w:rPr>
        <w:t> </w:t>
      </w:r>
      <w:r>
        <w:rPr>
          <w:i/>
          <w:sz w:val="16"/>
        </w:rPr>
        <w:t>Caso</w:t>
      </w:r>
      <w:r>
        <w:rPr>
          <w:i/>
          <w:spacing w:val="17"/>
          <w:sz w:val="16"/>
        </w:rPr>
        <w:t> </w:t>
      </w:r>
      <w:r>
        <w:rPr>
          <w:i/>
          <w:sz w:val="16"/>
        </w:rPr>
        <w:t>Pueblo</w:t>
      </w:r>
      <w:r>
        <w:rPr>
          <w:i/>
          <w:w w:val="100"/>
          <w:sz w:val="16"/>
        </w:rPr>
        <w:t> </w:t>
      </w:r>
      <w:r>
        <w:rPr>
          <w:i/>
          <w:sz w:val="16"/>
        </w:rPr>
        <w:t>Indígena Xucuru y sus miembros Vs. Brasil</w:t>
      </w:r>
      <w:r>
        <w:rPr>
          <w:sz w:val="16"/>
        </w:rPr>
        <w:t>, </w:t>
      </w:r>
      <w:r>
        <w:rPr>
          <w:spacing w:val="-4"/>
          <w:sz w:val="16"/>
        </w:rPr>
        <w:t>párr. </w:t>
      </w:r>
      <w:r>
        <w:rPr>
          <w:spacing w:val="-3"/>
          <w:sz w:val="16"/>
        </w:rPr>
        <w:t>117. </w:t>
      </w:r>
      <w:r>
        <w:rPr>
          <w:sz w:val="16"/>
        </w:rPr>
        <w:t>En ese sentido, la perita Yáñez Fuenzalida afirmó que “[t]ratandose</w:t>
      </w:r>
      <w:r>
        <w:rPr>
          <w:spacing w:val="-6"/>
          <w:sz w:val="16"/>
        </w:rPr>
        <w:t> </w:t>
      </w:r>
      <w:r>
        <w:rPr>
          <w:sz w:val="16"/>
        </w:rPr>
        <w:t>de</w:t>
      </w:r>
      <w:r>
        <w:rPr>
          <w:spacing w:val="-3"/>
          <w:sz w:val="16"/>
        </w:rPr>
        <w:t> </w:t>
      </w:r>
      <w:r>
        <w:rPr>
          <w:sz w:val="16"/>
        </w:rPr>
        <w:t>tierras</w:t>
      </w:r>
      <w:r>
        <w:rPr>
          <w:spacing w:val="-6"/>
          <w:sz w:val="16"/>
        </w:rPr>
        <w:t> </w:t>
      </w:r>
      <w:r>
        <w:rPr>
          <w:sz w:val="16"/>
        </w:rPr>
        <w:t>no</w:t>
      </w:r>
      <w:r>
        <w:rPr>
          <w:spacing w:val="-5"/>
          <w:sz w:val="16"/>
        </w:rPr>
        <w:t> </w:t>
      </w:r>
      <w:r>
        <w:rPr>
          <w:sz w:val="16"/>
        </w:rPr>
        <w:t>tituladas,</w:t>
      </w:r>
      <w:r>
        <w:rPr>
          <w:spacing w:val="-4"/>
          <w:sz w:val="16"/>
        </w:rPr>
        <w:t> </w:t>
      </w:r>
      <w:r>
        <w:rPr>
          <w:sz w:val="16"/>
        </w:rPr>
        <w:t>la</w:t>
      </w:r>
      <w:r>
        <w:rPr>
          <w:spacing w:val="-4"/>
          <w:sz w:val="16"/>
        </w:rPr>
        <w:t> </w:t>
      </w:r>
      <w:r>
        <w:rPr>
          <w:sz w:val="16"/>
        </w:rPr>
        <w:t>obligación</w:t>
      </w:r>
      <w:r>
        <w:rPr>
          <w:spacing w:val="-6"/>
          <w:sz w:val="16"/>
        </w:rPr>
        <w:t> </w:t>
      </w:r>
      <w:r>
        <w:rPr>
          <w:sz w:val="16"/>
        </w:rPr>
        <w:t>internacional</w:t>
      </w:r>
      <w:r>
        <w:rPr>
          <w:spacing w:val="-4"/>
          <w:sz w:val="16"/>
        </w:rPr>
        <w:t> </w:t>
      </w:r>
      <w:r>
        <w:rPr>
          <w:sz w:val="16"/>
        </w:rPr>
        <w:t>del</w:t>
      </w:r>
      <w:r>
        <w:rPr>
          <w:spacing w:val="-6"/>
          <w:sz w:val="16"/>
        </w:rPr>
        <w:t> </w:t>
      </w:r>
      <w:r>
        <w:rPr>
          <w:sz w:val="16"/>
        </w:rPr>
        <w:t>Estado</w:t>
      </w:r>
      <w:r>
        <w:rPr>
          <w:spacing w:val="-5"/>
          <w:sz w:val="16"/>
        </w:rPr>
        <w:t> </w:t>
      </w:r>
      <w:r>
        <w:rPr>
          <w:sz w:val="16"/>
        </w:rPr>
        <w:t>es</w:t>
      </w:r>
      <w:r>
        <w:rPr>
          <w:spacing w:val="-6"/>
          <w:sz w:val="16"/>
        </w:rPr>
        <w:t> </w:t>
      </w:r>
      <w:r>
        <w:rPr>
          <w:sz w:val="16"/>
        </w:rPr>
        <w:t>demarcar</w:t>
      </w:r>
      <w:r>
        <w:rPr>
          <w:spacing w:val="-5"/>
          <w:sz w:val="16"/>
        </w:rPr>
        <w:t> </w:t>
      </w:r>
      <w:r>
        <w:rPr>
          <w:sz w:val="16"/>
        </w:rPr>
        <w:t>y</w:t>
      </w:r>
      <w:r>
        <w:rPr>
          <w:spacing w:val="-5"/>
          <w:sz w:val="16"/>
        </w:rPr>
        <w:t> </w:t>
      </w:r>
      <w:r>
        <w:rPr>
          <w:sz w:val="16"/>
        </w:rPr>
        <w:t>titular</w:t>
      </w:r>
      <w:r>
        <w:rPr>
          <w:spacing w:val="-3"/>
          <w:sz w:val="16"/>
        </w:rPr>
        <w:t> </w:t>
      </w:r>
      <w:r>
        <w:rPr>
          <w:sz w:val="16"/>
        </w:rPr>
        <w:t>los</w:t>
      </w:r>
      <w:r>
        <w:rPr>
          <w:spacing w:val="-6"/>
          <w:sz w:val="16"/>
        </w:rPr>
        <w:t> </w:t>
      </w:r>
      <w:r>
        <w:rPr>
          <w:sz w:val="16"/>
        </w:rPr>
        <w:t>territorios indígenas para proveer certeza jurídica sobre el dominio ancestral</w:t>
      </w:r>
      <w:r>
        <w:rPr>
          <w:spacing w:val="-21"/>
          <w:sz w:val="16"/>
        </w:rPr>
        <w:t> </w:t>
      </w:r>
      <w:r>
        <w:rPr>
          <w:sz w:val="16"/>
        </w:rPr>
        <w:t>indígena”.</w:t>
      </w:r>
    </w:p>
    <w:p>
      <w:pPr>
        <w:tabs>
          <w:tab w:pos="829" w:val="left" w:leader="none"/>
        </w:tabs>
        <w:spacing w:before="175"/>
        <w:ind w:left="122" w:right="116" w:firstLine="0"/>
        <w:jc w:val="both"/>
        <w:rPr>
          <w:sz w:val="16"/>
        </w:rPr>
      </w:pPr>
      <w:r>
        <w:rPr>
          <w:position w:val="6"/>
          <w:sz w:val="10"/>
        </w:rPr>
        <w:t>109</w:t>
        <w:tab/>
      </w:r>
      <w:r>
        <w:rPr>
          <w:i/>
          <w:sz w:val="16"/>
        </w:rPr>
        <w:t>Cfr. Comunidad Mayagna (Sumo) Awas  Tingni Vs. Nicaragua,  </w:t>
      </w:r>
      <w:r>
        <w:rPr>
          <w:sz w:val="16"/>
        </w:rPr>
        <w:t>párr. 164, y </w:t>
      </w:r>
      <w:r>
        <w:rPr>
          <w:i/>
          <w:sz w:val="16"/>
        </w:rPr>
        <w:t>Caso   </w:t>
      </w:r>
      <w:r>
        <w:rPr>
          <w:i/>
          <w:spacing w:val="33"/>
          <w:sz w:val="16"/>
        </w:rPr>
        <w:t> </w:t>
      </w:r>
      <w:r>
        <w:rPr>
          <w:i/>
          <w:sz w:val="16"/>
        </w:rPr>
        <w:t>Pueblo</w:t>
      </w:r>
      <w:r>
        <w:rPr>
          <w:i/>
          <w:spacing w:val="28"/>
          <w:sz w:val="16"/>
        </w:rPr>
        <w:t> </w:t>
      </w:r>
      <w:r>
        <w:rPr>
          <w:i/>
          <w:sz w:val="16"/>
        </w:rPr>
        <w:t>Indígena</w:t>
      </w:r>
      <w:r>
        <w:rPr>
          <w:i/>
          <w:w w:val="100"/>
          <w:sz w:val="16"/>
        </w:rPr>
        <w:t> </w:t>
      </w:r>
      <w:r>
        <w:rPr>
          <w:i/>
          <w:sz w:val="16"/>
        </w:rPr>
        <w:t>Xucuru y sus miembros Vs. Brasil</w:t>
      </w:r>
      <w:r>
        <w:rPr>
          <w:sz w:val="16"/>
        </w:rPr>
        <w:t>, párr.</w:t>
      </w:r>
      <w:r>
        <w:rPr>
          <w:spacing w:val="-16"/>
          <w:sz w:val="16"/>
        </w:rPr>
        <w:t> </w:t>
      </w:r>
      <w:r>
        <w:rPr>
          <w:sz w:val="16"/>
        </w:rPr>
        <w:t>117.</w:t>
      </w:r>
    </w:p>
    <w:p>
      <w:pPr>
        <w:pStyle w:val="BodyText"/>
        <w:spacing w:before="2"/>
        <w:rPr>
          <w:sz w:val="16"/>
        </w:rPr>
      </w:pPr>
    </w:p>
    <w:p>
      <w:pPr>
        <w:tabs>
          <w:tab w:pos="829" w:val="left" w:leader="none"/>
        </w:tabs>
        <w:spacing w:line="176" w:lineRule="exact" w:before="0"/>
        <w:ind w:left="122" w:right="112" w:firstLine="0"/>
        <w:jc w:val="both"/>
        <w:rPr>
          <w:sz w:val="16"/>
        </w:rPr>
      </w:pPr>
      <w:r>
        <w:rPr>
          <w:position w:val="6"/>
          <w:sz w:val="10"/>
        </w:rPr>
        <w:t>110</w:t>
        <w:tab/>
      </w:r>
      <w:r>
        <w:rPr>
          <w:i/>
          <w:sz w:val="16"/>
        </w:rPr>
        <w:t>Cfr. Caso Comunidad Indígena Yakye Axa Vs. Paraguay</w:t>
      </w:r>
      <w:r>
        <w:rPr>
          <w:sz w:val="16"/>
        </w:rPr>
        <w:t>, párr. 137</w:t>
      </w:r>
      <w:r>
        <w:rPr>
          <w:i/>
          <w:sz w:val="16"/>
        </w:rPr>
        <w:t>; Caso Pueblo Indígena</w:t>
      </w:r>
      <w:r>
        <w:rPr>
          <w:i/>
          <w:spacing w:val="24"/>
          <w:sz w:val="16"/>
        </w:rPr>
        <w:t> </w:t>
      </w:r>
      <w:r>
        <w:rPr>
          <w:i/>
          <w:sz w:val="16"/>
        </w:rPr>
        <w:t>Kichwa</w:t>
      </w:r>
      <w:r>
        <w:rPr>
          <w:i/>
          <w:spacing w:val="2"/>
          <w:sz w:val="16"/>
        </w:rPr>
        <w:t> </w:t>
      </w:r>
      <w:r>
        <w:rPr>
          <w:i/>
          <w:sz w:val="16"/>
        </w:rPr>
        <w:t>de</w:t>
      </w:r>
      <w:r>
        <w:rPr>
          <w:i/>
          <w:w w:val="100"/>
          <w:sz w:val="16"/>
        </w:rPr>
        <w:t> </w:t>
      </w:r>
      <w:r>
        <w:rPr>
          <w:i/>
          <w:sz w:val="16"/>
        </w:rPr>
        <w:t>Sarayaku</w:t>
      </w:r>
      <w:r>
        <w:rPr>
          <w:i/>
          <w:spacing w:val="-6"/>
          <w:sz w:val="16"/>
        </w:rPr>
        <w:t> </w:t>
      </w:r>
      <w:r>
        <w:rPr>
          <w:i/>
          <w:sz w:val="16"/>
        </w:rPr>
        <w:t>Vs.</w:t>
      </w:r>
      <w:r>
        <w:rPr>
          <w:i/>
          <w:spacing w:val="-6"/>
          <w:sz w:val="16"/>
        </w:rPr>
        <w:t> </w:t>
      </w:r>
      <w:r>
        <w:rPr>
          <w:i/>
          <w:sz w:val="16"/>
        </w:rPr>
        <w:t>Ecuador</w:t>
      </w:r>
      <w:r>
        <w:rPr>
          <w:sz w:val="16"/>
        </w:rPr>
        <w:t>,</w:t>
      </w:r>
      <w:r>
        <w:rPr>
          <w:spacing w:val="-6"/>
          <w:sz w:val="16"/>
        </w:rPr>
        <w:t> </w:t>
      </w:r>
      <w:r>
        <w:rPr>
          <w:sz w:val="16"/>
        </w:rPr>
        <w:t>párr.</w:t>
      </w:r>
      <w:r>
        <w:rPr>
          <w:spacing w:val="-5"/>
          <w:sz w:val="16"/>
        </w:rPr>
        <w:t> </w:t>
      </w:r>
      <w:r>
        <w:rPr>
          <w:sz w:val="16"/>
        </w:rPr>
        <w:t>146,</w:t>
      </w:r>
      <w:r>
        <w:rPr>
          <w:spacing w:val="-6"/>
          <w:sz w:val="16"/>
        </w:rPr>
        <w:t> </w:t>
      </w:r>
      <w:r>
        <w:rPr>
          <w:sz w:val="16"/>
        </w:rPr>
        <w:t>y</w:t>
      </w:r>
      <w:r>
        <w:rPr>
          <w:spacing w:val="-4"/>
          <w:sz w:val="16"/>
        </w:rPr>
        <w:t> </w:t>
      </w:r>
      <w:r>
        <w:rPr>
          <w:i/>
          <w:sz w:val="16"/>
        </w:rPr>
        <w:t>Caso</w:t>
      </w:r>
      <w:r>
        <w:rPr>
          <w:i/>
          <w:spacing w:val="-2"/>
          <w:sz w:val="16"/>
        </w:rPr>
        <w:t> </w:t>
      </w:r>
      <w:r>
        <w:rPr>
          <w:i/>
          <w:sz w:val="16"/>
        </w:rPr>
        <w:t>Pueblo</w:t>
      </w:r>
      <w:r>
        <w:rPr>
          <w:i/>
          <w:spacing w:val="-2"/>
          <w:sz w:val="16"/>
        </w:rPr>
        <w:t> </w:t>
      </w:r>
      <w:r>
        <w:rPr>
          <w:i/>
          <w:sz w:val="16"/>
        </w:rPr>
        <w:t>Indígena</w:t>
      </w:r>
      <w:r>
        <w:rPr>
          <w:i/>
          <w:spacing w:val="-6"/>
          <w:sz w:val="16"/>
        </w:rPr>
        <w:t> </w:t>
      </w:r>
      <w:r>
        <w:rPr>
          <w:i/>
          <w:sz w:val="16"/>
        </w:rPr>
        <w:t>Xucuru</w:t>
      </w:r>
      <w:r>
        <w:rPr>
          <w:i/>
          <w:spacing w:val="-4"/>
          <w:sz w:val="16"/>
        </w:rPr>
        <w:t> </w:t>
      </w:r>
      <w:r>
        <w:rPr>
          <w:i/>
          <w:sz w:val="16"/>
        </w:rPr>
        <w:t>y</w:t>
      </w:r>
      <w:r>
        <w:rPr>
          <w:i/>
          <w:spacing w:val="-4"/>
          <w:sz w:val="16"/>
        </w:rPr>
        <w:t> </w:t>
      </w:r>
      <w:r>
        <w:rPr>
          <w:i/>
          <w:sz w:val="16"/>
        </w:rPr>
        <w:t>sus</w:t>
      </w:r>
      <w:r>
        <w:rPr>
          <w:i/>
          <w:spacing w:val="-5"/>
          <w:sz w:val="16"/>
        </w:rPr>
        <w:t> </w:t>
      </w:r>
      <w:r>
        <w:rPr>
          <w:i/>
          <w:sz w:val="16"/>
        </w:rPr>
        <w:t>miembros</w:t>
      </w:r>
      <w:r>
        <w:rPr>
          <w:i/>
          <w:spacing w:val="-5"/>
          <w:sz w:val="16"/>
        </w:rPr>
        <w:t> </w:t>
      </w:r>
      <w:r>
        <w:rPr>
          <w:i/>
          <w:sz w:val="16"/>
        </w:rPr>
        <w:t>Vs.</w:t>
      </w:r>
      <w:r>
        <w:rPr>
          <w:i/>
          <w:spacing w:val="-6"/>
          <w:sz w:val="16"/>
        </w:rPr>
        <w:t> </w:t>
      </w:r>
      <w:r>
        <w:rPr>
          <w:i/>
          <w:sz w:val="16"/>
        </w:rPr>
        <w:t>Brasil,</w:t>
      </w:r>
      <w:r>
        <w:rPr>
          <w:i/>
          <w:spacing w:val="-6"/>
          <w:sz w:val="16"/>
        </w:rPr>
        <w:t> </w:t>
      </w:r>
      <w:r>
        <w:rPr>
          <w:spacing w:val="-4"/>
          <w:sz w:val="16"/>
        </w:rPr>
        <w:t>párr.</w:t>
      </w:r>
      <w:r>
        <w:rPr>
          <w:spacing w:val="-13"/>
          <w:sz w:val="16"/>
        </w:rPr>
        <w:t> </w:t>
      </w:r>
      <w:r>
        <w:rPr>
          <w:spacing w:val="-3"/>
          <w:sz w:val="16"/>
        </w:rPr>
        <w:t>117.</w:t>
      </w:r>
      <w:r>
        <w:rPr>
          <w:spacing w:val="-13"/>
          <w:sz w:val="16"/>
        </w:rPr>
        <w:t> </w:t>
      </w:r>
      <w:r>
        <w:rPr>
          <w:spacing w:val="-5"/>
          <w:sz w:val="16"/>
        </w:rPr>
        <w:t>Esto</w:t>
      </w:r>
      <w:r>
        <w:rPr>
          <w:spacing w:val="-11"/>
          <w:sz w:val="16"/>
        </w:rPr>
        <w:t> </w:t>
      </w:r>
      <w:r>
        <w:rPr>
          <w:spacing w:val="-3"/>
          <w:sz w:val="16"/>
        </w:rPr>
        <w:t>es </w:t>
      </w:r>
      <w:r>
        <w:rPr>
          <w:spacing w:val="-5"/>
          <w:sz w:val="16"/>
        </w:rPr>
        <w:t>consistente </w:t>
      </w:r>
      <w:r>
        <w:rPr>
          <w:spacing w:val="-3"/>
          <w:sz w:val="16"/>
        </w:rPr>
        <w:t>con el </w:t>
      </w:r>
      <w:r>
        <w:rPr>
          <w:spacing w:val="-5"/>
          <w:sz w:val="16"/>
        </w:rPr>
        <w:t>artículo </w:t>
      </w:r>
      <w:r>
        <w:rPr>
          <w:spacing w:val="-4"/>
          <w:sz w:val="16"/>
        </w:rPr>
        <w:t>26.1 </w:t>
      </w:r>
      <w:r>
        <w:rPr>
          <w:spacing w:val="-3"/>
          <w:sz w:val="16"/>
        </w:rPr>
        <w:t>de la </w:t>
      </w:r>
      <w:r>
        <w:rPr>
          <w:spacing w:val="-5"/>
          <w:sz w:val="16"/>
        </w:rPr>
        <w:t>Declaración </w:t>
      </w:r>
      <w:r>
        <w:rPr>
          <w:spacing w:val="-3"/>
          <w:sz w:val="16"/>
        </w:rPr>
        <w:t>de </w:t>
      </w:r>
      <w:r>
        <w:rPr>
          <w:spacing w:val="-4"/>
          <w:sz w:val="16"/>
        </w:rPr>
        <w:t>las </w:t>
      </w:r>
      <w:r>
        <w:rPr>
          <w:spacing w:val="-5"/>
          <w:sz w:val="16"/>
        </w:rPr>
        <w:t>Naciones Unidas </w:t>
      </w:r>
      <w:r>
        <w:rPr>
          <w:spacing w:val="-3"/>
          <w:sz w:val="16"/>
        </w:rPr>
        <w:t>de </w:t>
      </w:r>
      <w:r>
        <w:rPr>
          <w:spacing w:val="-5"/>
          <w:sz w:val="16"/>
        </w:rPr>
        <w:t>Derechos </w:t>
      </w:r>
      <w:r>
        <w:rPr>
          <w:spacing w:val="-3"/>
          <w:sz w:val="16"/>
        </w:rPr>
        <w:t>de </w:t>
      </w:r>
      <w:r>
        <w:rPr>
          <w:spacing w:val="-4"/>
          <w:sz w:val="16"/>
        </w:rPr>
        <w:t>los </w:t>
      </w:r>
      <w:r>
        <w:rPr>
          <w:spacing w:val="-5"/>
          <w:sz w:val="16"/>
        </w:rPr>
        <w:t>Pueblos Indígenas. </w:t>
      </w:r>
      <w:r>
        <w:rPr>
          <w:spacing w:val="-3"/>
          <w:sz w:val="16"/>
        </w:rPr>
        <w:t>En el </w:t>
      </w:r>
      <w:r>
        <w:rPr>
          <w:spacing w:val="-5"/>
          <w:sz w:val="16"/>
        </w:rPr>
        <w:t>mismo sentido, </w:t>
      </w:r>
      <w:r>
        <w:rPr>
          <w:spacing w:val="-3"/>
          <w:sz w:val="16"/>
        </w:rPr>
        <w:t>el </w:t>
      </w:r>
      <w:r>
        <w:rPr>
          <w:spacing w:val="-5"/>
          <w:sz w:val="16"/>
        </w:rPr>
        <w:t>Comité </w:t>
      </w:r>
      <w:r>
        <w:rPr>
          <w:spacing w:val="-4"/>
          <w:sz w:val="16"/>
        </w:rPr>
        <w:t>para </w:t>
      </w:r>
      <w:r>
        <w:rPr>
          <w:spacing w:val="-3"/>
          <w:sz w:val="16"/>
        </w:rPr>
        <w:t>la </w:t>
      </w:r>
      <w:r>
        <w:rPr>
          <w:spacing w:val="-5"/>
          <w:sz w:val="16"/>
        </w:rPr>
        <w:t>Eliminación </w:t>
      </w:r>
      <w:r>
        <w:rPr>
          <w:spacing w:val="-3"/>
          <w:sz w:val="16"/>
        </w:rPr>
        <w:t>de </w:t>
      </w:r>
      <w:r>
        <w:rPr>
          <w:spacing w:val="-5"/>
          <w:sz w:val="16"/>
        </w:rPr>
        <w:t>todas </w:t>
      </w:r>
      <w:r>
        <w:rPr>
          <w:spacing w:val="-4"/>
          <w:sz w:val="16"/>
        </w:rPr>
        <w:t>las formas </w:t>
      </w:r>
      <w:r>
        <w:rPr>
          <w:spacing w:val="-3"/>
          <w:sz w:val="16"/>
        </w:rPr>
        <w:t>de </w:t>
      </w:r>
      <w:r>
        <w:rPr>
          <w:spacing w:val="-5"/>
          <w:sz w:val="16"/>
        </w:rPr>
        <w:t>Discriminación </w:t>
      </w:r>
      <w:r>
        <w:rPr>
          <w:spacing w:val="-4"/>
          <w:sz w:val="16"/>
        </w:rPr>
        <w:t>Racial </w:t>
      </w:r>
      <w:r>
        <w:rPr>
          <w:spacing w:val="-5"/>
          <w:sz w:val="16"/>
        </w:rPr>
        <w:t>exhortó </w:t>
      </w:r>
      <w:r>
        <w:rPr>
          <w:sz w:val="16"/>
        </w:rPr>
        <w:t>a </w:t>
      </w:r>
      <w:r>
        <w:rPr>
          <w:spacing w:val="-4"/>
          <w:sz w:val="16"/>
        </w:rPr>
        <w:t>los </w:t>
      </w:r>
      <w:r>
        <w:rPr>
          <w:spacing w:val="-5"/>
          <w:sz w:val="16"/>
        </w:rPr>
        <w:t>Estados </w:t>
      </w:r>
      <w:r>
        <w:rPr>
          <w:sz w:val="16"/>
        </w:rPr>
        <w:t>a</w:t>
      </w:r>
      <w:r>
        <w:rPr>
          <w:spacing w:val="-16"/>
          <w:sz w:val="16"/>
        </w:rPr>
        <w:t> </w:t>
      </w:r>
      <w:r>
        <w:rPr>
          <w:spacing w:val="-4"/>
          <w:sz w:val="16"/>
        </w:rPr>
        <w:t>que</w:t>
      </w:r>
      <w:r>
        <w:rPr>
          <w:spacing w:val="-16"/>
          <w:sz w:val="16"/>
        </w:rPr>
        <w:t> </w:t>
      </w:r>
      <w:r>
        <w:rPr>
          <w:spacing w:val="-5"/>
          <w:sz w:val="16"/>
        </w:rPr>
        <w:t>“reconozcan</w:t>
      </w:r>
      <w:r>
        <w:rPr>
          <w:spacing w:val="-18"/>
          <w:sz w:val="16"/>
        </w:rPr>
        <w:t> </w:t>
      </w:r>
      <w:r>
        <w:rPr>
          <w:sz w:val="16"/>
        </w:rPr>
        <w:t>y</w:t>
      </w:r>
      <w:r>
        <w:rPr>
          <w:spacing w:val="-15"/>
          <w:sz w:val="16"/>
        </w:rPr>
        <w:t> </w:t>
      </w:r>
      <w:r>
        <w:rPr>
          <w:spacing w:val="-4"/>
          <w:sz w:val="16"/>
        </w:rPr>
        <w:t>protejan</w:t>
      </w:r>
      <w:r>
        <w:rPr>
          <w:spacing w:val="-18"/>
          <w:sz w:val="16"/>
        </w:rPr>
        <w:t> </w:t>
      </w:r>
      <w:r>
        <w:rPr>
          <w:spacing w:val="-3"/>
          <w:sz w:val="16"/>
        </w:rPr>
        <w:t>los</w:t>
      </w:r>
      <w:r>
        <w:rPr>
          <w:spacing w:val="-15"/>
          <w:sz w:val="16"/>
        </w:rPr>
        <w:t> </w:t>
      </w:r>
      <w:r>
        <w:rPr>
          <w:spacing w:val="-5"/>
          <w:sz w:val="16"/>
        </w:rPr>
        <w:t>derechos</w:t>
      </w:r>
      <w:r>
        <w:rPr>
          <w:spacing w:val="-15"/>
          <w:sz w:val="16"/>
        </w:rPr>
        <w:t> </w:t>
      </w:r>
      <w:r>
        <w:rPr>
          <w:spacing w:val="-3"/>
          <w:sz w:val="16"/>
        </w:rPr>
        <w:t>de</w:t>
      </w:r>
      <w:r>
        <w:rPr>
          <w:spacing w:val="-16"/>
          <w:sz w:val="16"/>
        </w:rPr>
        <w:t> </w:t>
      </w:r>
      <w:r>
        <w:rPr>
          <w:spacing w:val="-4"/>
          <w:sz w:val="16"/>
        </w:rPr>
        <w:t>los</w:t>
      </w:r>
      <w:r>
        <w:rPr>
          <w:spacing w:val="-15"/>
          <w:sz w:val="16"/>
        </w:rPr>
        <w:t> </w:t>
      </w:r>
      <w:r>
        <w:rPr>
          <w:spacing w:val="-5"/>
          <w:sz w:val="16"/>
        </w:rPr>
        <w:t>pueblos</w:t>
      </w:r>
      <w:r>
        <w:rPr>
          <w:spacing w:val="-13"/>
          <w:sz w:val="16"/>
        </w:rPr>
        <w:t> </w:t>
      </w:r>
      <w:r>
        <w:rPr>
          <w:spacing w:val="-5"/>
          <w:sz w:val="16"/>
        </w:rPr>
        <w:t>indígenas</w:t>
      </w:r>
      <w:r>
        <w:rPr>
          <w:spacing w:val="-15"/>
          <w:sz w:val="16"/>
        </w:rPr>
        <w:t> </w:t>
      </w:r>
      <w:r>
        <w:rPr>
          <w:sz w:val="16"/>
        </w:rPr>
        <w:t>a</w:t>
      </w:r>
      <w:r>
        <w:rPr>
          <w:spacing w:val="-14"/>
          <w:sz w:val="16"/>
        </w:rPr>
        <w:t> </w:t>
      </w:r>
      <w:r>
        <w:rPr>
          <w:spacing w:val="-5"/>
          <w:sz w:val="16"/>
        </w:rPr>
        <w:t>poseer,</w:t>
      </w:r>
      <w:r>
        <w:rPr>
          <w:spacing w:val="-18"/>
          <w:sz w:val="16"/>
        </w:rPr>
        <w:t> </w:t>
      </w:r>
      <w:r>
        <w:rPr>
          <w:spacing w:val="-5"/>
          <w:sz w:val="16"/>
        </w:rPr>
        <w:t>explotar,</w:t>
      </w:r>
      <w:r>
        <w:rPr>
          <w:spacing w:val="-14"/>
          <w:sz w:val="16"/>
        </w:rPr>
        <w:t> </w:t>
      </w:r>
      <w:r>
        <w:rPr>
          <w:spacing w:val="-5"/>
          <w:sz w:val="16"/>
        </w:rPr>
        <w:t>controlar</w:t>
      </w:r>
      <w:r>
        <w:rPr>
          <w:spacing w:val="-15"/>
          <w:sz w:val="16"/>
        </w:rPr>
        <w:t> </w:t>
      </w:r>
      <w:r>
        <w:rPr>
          <w:sz w:val="16"/>
        </w:rPr>
        <w:t>y</w:t>
      </w:r>
      <w:r>
        <w:rPr>
          <w:spacing w:val="-15"/>
          <w:sz w:val="16"/>
        </w:rPr>
        <w:t> </w:t>
      </w:r>
      <w:r>
        <w:rPr>
          <w:spacing w:val="-5"/>
          <w:sz w:val="16"/>
        </w:rPr>
        <w:t>utilizar</w:t>
      </w:r>
      <w:r>
        <w:rPr>
          <w:spacing w:val="-15"/>
          <w:sz w:val="16"/>
        </w:rPr>
        <w:t> </w:t>
      </w:r>
      <w:r>
        <w:rPr>
          <w:spacing w:val="-4"/>
          <w:sz w:val="16"/>
        </w:rPr>
        <w:t>sus</w:t>
      </w:r>
      <w:r>
        <w:rPr>
          <w:spacing w:val="-13"/>
          <w:sz w:val="16"/>
        </w:rPr>
        <w:t> </w:t>
      </w:r>
      <w:r>
        <w:rPr>
          <w:spacing w:val="-5"/>
          <w:sz w:val="16"/>
        </w:rPr>
        <w:t>tierras, territorios </w:t>
      </w:r>
      <w:r>
        <w:rPr>
          <w:sz w:val="16"/>
        </w:rPr>
        <w:t>y </w:t>
      </w:r>
      <w:r>
        <w:rPr>
          <w:spacing w:val="-5"/>
          <w:sz w:val="16"/>
        </w:rPr>
        <w:t>recursos comunales” (</w:t>
      </w:r>
      <w:r>
        <w:rPr>
          <w:i/>
          <w:spacing w:val="-5"/>
          <w:sz w:val="16"/>
        </w:rPr>
        <w:t>Recomendación General </w:t>
      </w:r>
      <w:r>
        <w:rPr>
          <w:i/>
          <w:spacing w:val="-3"/>
          <w:sz w:val="16"/>
        </w:rPr>
        <w:t>No. 23, </w:t>
      </w:r>
      <w:r>
        <w:rPr>
          <w:i/>
          <w:spacing w:val="-5"/>
          <w:sz w:val="16"/>
        </w:rPr>
        <w:t>relativa </w:t>
      </w:r>
      <w:r>
        <w:rPr>
          <w:i/>
          <w:sz w:val="16"/>
        </w:rPr>
        <w:t>a </w:t>
      </w:r>
      <w:r>
        <w:rPr>
          <w:i/>
          <w:spacing w:val="-4"/>
          <w:sz w:val="16"/>
        </w:rPr>
        <w:t>los </w:t>
      </w:r>
      <w:r>
        <w:rPr>
          <w:i/>
          <w:spacing w:val="-5"/>
          <w:sz w:val="16"/>
        </w:rPr>
        <w:t>derechos </w:t>
      </w:r>
      <w:r>
        <w:rPr>
          <w:i/>
          <w:spacing w:val="-3"/>
          <w:sz w:val="16"/>
        </w:rPr>
        <w:t>de </w:t>
      </w:r>
      <w:r>
        <w:rPr>
          <w:i/>
          <w:spacing w:val="-5"/>
          <w:sz w:val="16"/>
        </w:rPr>
        <w:t>los pueblos indígenas. </w:t>
      </w:r>
      <w:r>
        <w:rPr>
          <w:spacing w:val="-3"/>
          <w:sz w:val="16"/>
        </w:rPr>
        <w:t>51º </w:t>
      </w:r>
      <w:r>
        <w:rPr>
          <w:spacing w:val="-5"/>
          <w:sz w:val="16"/>
        </w:rPr>
        <w:t>período </w:t>
      </w:r>
      <w:r>
        <w:rPr>
          <w:spacing w:val="-3"/>
          <w:sz w:val="16"/>
        </w:rPr>
        <w:t>de </w:t>
      </w:r>
      <w:r>
        <w:rPr>
          <w:spacing w:val="-5"/>
          <w:sz w:val="16"/>
        </w:rPr>
        <w:t>sesiones </w:t>
      </w:r>
      <w:r>
        <w:rPr>
          <w:spacing w:val="-4"/>
          <w:sz w:val="16"/>
        </w:rPr>
        <w:t>(1997). Doc. </w:t>
      </w:r>
      <w:r>
        <w:rPr>
          <w:spacing w:val="-5"/>
          <w:sz w:val="16"/>
        </w:rPr>
        <w:t>A/52/18, </w:t>
      </w:r>
      <w:r>
        <w:rPr>
          <w:spacing w:val="-4"/>
          <w:sz w:val="16"/>
        </w:rPr>
        <w:t>anexo </w:t>
      </w:r>
      <w:r>
        <w:rPr>
          <w:spacing w:val="-3"/>
          <w:sz w:val="16"/>
        </w:rPr>
        <w:t>V, </w:t>
      </w:r>
      <w:r>
        <w:rPr>
          <w:spacing w:val="-4"/>
          <w:sz w:val="16"/>
        </w:rPr>
        <w:t>párr.</w:t>
      </w:r>
      <w:r>
        <w:rPr>
          <w:spacing w:val="-5"/>
          <w:sz w:val="16"/>
        </w:rPr>
        <w:t> </w:t>
      </w:r>
      <w:r>
        <w:rPr>
          <w:spacing w:val="-4"/>
          <w:sz w:val="16"/>
        </w:rPr>
        <w:t>5).</w:t>
      </w:r>
    </w:p>
    <w:p>
      <w:pPr>
        <w:tabs>
          <w:tab w:pos="829" w:val="left" w:leader="none"/>
        </w:tabs>
        <w:spacing w:line="176" w:lineRule="exact" w:before="173"/>
        <w:ind w:left="122" w:right="113" w:firstLine="0"/>
        <w:jc w:val="both"/>
        <w:rPr>
          <w:sz w:val="16"/>
        </w:rPr>
      </w:pPr>
      <w:r>
        <w:rPr>
          <w:position w:val="6"/>
          <w:sz w:val="10"/>
        </w:rPr>
        <w:t>111</w:t>
        <w:tab/>
      </w:r>
      <w:r>
        <w:rPr>
          <w:i/>
          <w:sz w:val="16"/>
        </w:rPr>
        <w:t>Cfr.</w:t>
      </w:r>
      <w:r>
        <w:rPr>
          <w:i/>
          <w:spacing w:val="35"/>
          <w:sz w:val="16"/>
        </w:rPr>
        <w:t> </w:t>
      </w:r>
      <w:r>
        <w:rPr>
          <w:i/>
          <w:sz w:val="16"/>
        </w:rPr>
        <w:t>Caso</w:t>
      </w:r>
      <w:r>
        <w:rPr>
          <w:i/>
          <w:spacing w:val="36"/>
          <w:sz w:val="16"/>
        </w:rPr>
        <w:t> </w:t>
      </w:r>
      <w:r>
        <w:rPr>
          <w:i/>
          <w:sz w:val="16"/>
        </w:rPr>
        <w:t>del</w:t>
      </w:r>
      <w:r>
        <w:rPr>
          <w:i/>
          <w:spacing w:val="37"/>
          <w:sz w:val="16"/>
        </w:rPr>
        <w:t> </w:t>
      </w:r>
      <w:r>
        <w:rPr>
          <w:i/>
          <w:sz w:val="16"/>
        </w:rPr>
        <w:t>Pueblo</w:t>
      </w:r>
      <w:r>
        <w:rPr>
          <w:i/>
          <w:spacing w:val="36"/>
          <w:sz w:val="16"/>
        </w:rPr>
        <w:t> </w:t>
      </w:r>
      <w:r>
        <w:rPr>
          <w:i/>
          <w:sz w:val="16"/>
        </w:rPr>
        <w:t>Saramaka</w:t>
      </w:r>
      <w:r>
        <w:rPr>
          <w:i/>
          <w:spacing w:val="40"/>
          <w:sz w:val="16"/>
        </w:rPr>
        <w:t> </w:t>
      </w:r>
      <w:r>
        <w:rPr>
          <w:i/>
          <w:sz w:val="16"/>
        </w:rPr>
        <w:t>Vs.</w:t>
      </w:r>
      <w:r>
        <w:rPr>
          <w:i/>
          <w:spacing w:val="35"/>
          <w:sz w:val="16"/>
        </w:rPr>
        <w:t> </w:t>
      </w:r>
      <w:r>
        <w:rPr>
          <w:i/>
          <w:sz w:val="16"/>
        </w:rPr>
        <w:t>Suriname</w:t>
      </w:r>
      <w:r>
        <w:rPr>
          <w:sz w:val="16"/>
        </w:rPr>
        <w:t>,</w:t>
      </w:r>
      <w:r>
        <w:rPr>
          <w:spacing w:val="37"/>
          <w:sz w:val="16"/>
        </w:rPr>
        <w:t> </w:t>
      </w:r>
      <w:r>
        <w:rPr>
          <w:sz w:val="16"/>
        </w:rPr>
        <w:t>párr.</w:t>
      </w:r>
      <w:r>
        <w:rPr>
          <w:spacing w:val="37"/>
          <w:sz w:val="16"/>
        </w:rPr>
        <w:t> </w:t>
      </w:r>
      <w:r>
        <w:rPr>
          <w:sz w:val="16"/>
        </w:rPr>
        <w:t>115</w:t>
      </w:r>
      <w:r>
        <w:rPr>
          <w:spacing w:val="39"/>
          <w:sz w:val="16"/>
        </w:rPr>
        <w:t> </w:t>
      </w:r>
      <w:r>
        <w:rPr>
          <w:sz w:val="16"/>
        </w:rPr>
        <w:t>y</w:t>
      </w:r>
      <w:r>
        <w:rPr>
          <w:spacing w:val="35"/>
          <w:sz w:val="16"/>
        </w:rPr>
        <w:t> </w:t>
      </w:r>
      <w:r>
        <w:rPr>
          <w:i/>
          <w:sz w:val="16"/>
        </w:rPr>
        <w:t>Caso</w:t>
      </w:r>
      <w:r>
        <w:rPr>
          <w:i/>
          <w:spacing w:val="41"/>
          <w:sz w:val="16"/>
        </w:rPr>
        <w:t> </w:t>
      </w:r>
      <w:r>
        <w:rPr>
          <w:i/>
          <w:sz w:val="16"/>
        </w:rPr>
        <w:t>Pueblo</w:t>
      </w:r>
      <w:r>
        <w:rPr>
          <w:i/>
          <w:spacing w:val="39"/>
          <w:sz w:val="16"/>
        </w:rPr>
        <w:t> </w:t>
      </w:r>
      <w:r>
        <w:rPr>
          <w:i/>
          <w:sz w:val="16"/>
        </w:rPr>
        <w:t>Indígena</w:t>
      </w:r>
      <w:r>
        <w:rPr>
          <w:i/>
          <w:spacing w:val="37"/>
          <w:sz w:val="16"/>
        </w:rPr>
        <w:t> </w:t>
      </w:r>
      <w:r>
        <w:rPr>
          <w:i/>
          <w:sz w:val="16"/>
        </w:rPr>
        <w:t>Xucuru</w:t>
      </w:r>
      <w:r>
        <w:rPr>
          <w:i/>
          <w:spacing w:val="37"/>
          <w:sz w:val="16"/>
        </w:rPr>
        <w:t> </w:t>
      </w:r>
      <w:r>
        <w:rPr>
          <w:i/>
          <w:sz w:val="16"/>
        </w:rPr>
        <w:t>y</w:t>
      </w:r>
      <w:r>
        <w:rPr>
          <w:i/>
          <w:spacing w:val="41"/>
          <w:sz w:val="16"/>
        </w:rPr>
        <w:t> </w:t>
      </w:r>
      <w:r>
        <w:rPr>
          <w:i/>
          <w:sz w:val="16"/>
        </w:rPr>
        <w:t>sus</w:t>
      </w:r>
      <w:r>
        <w:rPr>
          <w:i/>
          <w:w w:val="100"/>
          <w:sz w:val="16"/>
        </w:rPr>
        <w:t> </w:t>
      </w:r>
      <w:r>
        <w:rPr>
          <w:i/>
          <w:sz w:val="16"/>
        </w:rPr>
        <w:t>miembros Vs. Brasil</w:t>
      </w:r>
      <w:r>
        <w:rPr>
          <w:sz w:val="16"/>
        </w:rPr>
        <w:t>, </w:t>
      </w:r>
      <w:r>
        <w:rPr>
          <w:spacing w:val="-4"/>
          <w:sz w:val="16"/>
        </w:rPr>
        <w:t>párr.</w:t>
      </w:r>
      <w:r>
        <w:rPr>
          <w:spacing w:val="-21"/>
          <w:sz w:val="16"/>
        </w:rPr>
        <w:t> </w:t>
      </w:r>
      <w:r>
        <w:rPr>
          <w:spacing w:val="-3"/>
          <w:sz w:val="16"/>
        </w:rPr>
        <w:t>117.</w:t>
      </w:r>
    </w:p>
    <w:p>
      <w:pPr>
        <w:spacing w:after="0" w:line="176" w:lineRule="exact"/>
        <w:jc w:val="both"/>
        <w:rPr>
          <w:sz w:val="16"/>
        </w:rPr>
        <w:sectPr>
          <w:pgSz w:w="12240" w:h="15840"/>
          <w:pgMar w:header="0" w:footer="1000" w:top="1340" w:bottom="1200" w:left="1580" w:right="1580"/>
        </w:sectPr>
      </w:pPr>
    </w:p>
    <w:p>
      <w:pPr>
        <w:pStyle w:val="BodyText"/>
        <w:spacing w:before="76"/>
        <w:ind w:left="122" w:right="125"/>
        <w:jc w:val="both"/>
      </w:pPr>
      <w:r>
        <w:rPr/>
        <w:t>la</w:t>
      </w:r>
      <w:r>
        <w:rPr>
          <w:spacing w:val="-11"/>
        </w:rPr>
        <w:t> </w:t>
      </w:r>
      <w:r>
        <w:rPr/>
        <w:t>propiedad</w:t>
      </w:r>
      <w:r>
        <w:rPr>
          <w:spacing w:val="-11"/>
        </w:rPr>
        <w:t> </w:t>
      </w:r>
      <w:r>
        <w:rPr/>
        <w:t>y</w:t>
      </w:r>
      <w:r>
        <w:rPr>
          <w:spacing w:val="-9"/>
        </w:rPr>
        <w:t> </w:t>
      </w:r>
      <w:r>
        <w:rPr/>
        <w:t>el</w:t>
      </w:r>
      <w:r>
        <w:rPr>
          <w:spacing w:val="-11"/>
        </w:rPr>
        <w:t> </w:t>
      </w:r>
      <w:r>
        <w:rPr/>
        <w:t>otorgamiento</w:t>
      </w:r>
      <w:r>
        <w:rPr>
          <w:spacing w:val="-12"/>
        </w:rPr>
        <w:t> </w:t>
      </w:r>
      <w:r>
        <w:rPr/>
        <w:t>de</w:t>
      </w:r>
      <w:r>
        <w:rPr>
          <w:spacing w:val="-10"/>
        </w:rPr>
        <w:t> </w:t>
      </w:r>
      <w:r>
        <w:rPr/>
        <w:t>un</w:t>
      </w:r>
      <w:r>
        <w:rPr>
          <w:spacing w:val="-10"/>
        </w:rPr>
        <w:t> </w:t>
      </w:r>
      <w:r>
        <w:rPr/>
        <w:t>título</w:t>
      </w:r>
      <w:r>
        <w:rPr>
          <w:spacing w:val="-12"/>
        </w:rPr>
        <w:t> </w:t>
      </w:r>
      <w:r>
        <w:rPr/>
        <w:t>de</w:t>
      </w:r>
      <w:r>
        <w:rPr>
          <w:spacing w:val="-13"/>
        </w:rPr>
        <w:t> </w:t>
      </w:r>
      <w:r>
        <w:rPr/>
        <w:t>propiedad</w:t>
      </w:r>
      <w:r>
        <w:rPr>
          <w:spacing w:val="-11"/>
        </w:rPr>
        <w:t> </w:t>
      </w:r>
      <w:r>
        <w:rPr/>
        <w:t>adecuado</w:t>
      </w:r>
      <w:r>
        <w:rPr>
          <w:spacing w:val="-9"/>
        </w:rPr>
        <w:t> </w:t>
      </w:r>
      <w:r>
        <w:rPr/>
        <w:t>que</w:t>
      </w:r>
      <w:r>
        <w:rPr>
          <w:spacing w:val="-10"/>
        </w:rPr>
        <w:t> </w:t>
      </w:r>
      <w:r>
        <w:rPr/>
        <w:t>brinde</w:t>
      </w:r>
      <w:r>
        <w:rPr>
          <w:spacing w:val="-13"/>
        </w:rPr>
        <w:t> </w:t>
      </w:r>
      <w:r>
        <w:rPr/>
        <w:t>seguridad jurídica al derecho. También examinará el deber de garantía del derecho de propiedad en relación con la presencia de pobladores no indígenas en el territorio reclamado. Los argumentos señalados se vinculan con el derecho de propiedad, recogido en el</w:t>
      </w:r>
      <w:r>
        <w:rPr>
          <w:spacing w:val="35"/>
        </w:rPr>
        <w:t> </w:t>
      </w:r>
      <w:r>
        <w:rPr/>
        <w:t>artículo</w:t>
      </w:r>
    </w:p>
    <w:p>
      <w:pPr>
        <w:pStyle w:val="BodyText"/>
        <w:spacing w:before="1"/>
        <w:ind w:left="122" w:right="131"/>
        <w:jc w:val="both"/>
      </w:pPr>
      <w:r>
        <w:rPr/>
        <w:t>21 de la Convención. También se ha aducido la lesión al derecho a contar con procedimientos efectivos para la tutela de la propiedad, al reconocimiento de la personalidad</w:t>
      </w:r>
      <w:r>
        <w:rPr>
          <w:spacing w:val="-12"/>
        </w:rPr>
        <w:t> </w:t>
      </w:r>
      <w:r>
        <w:rPr/>
        <w:t>jurídica,</w:t>
      </w:r>
      <w:r>
        <w:rPr>
          <w:spacing w:val="-14"/>
        </w:rPr>
        <w:t> </w:t>
      </w:r>
      <w:r>
        <w:rPr/>
        <w:t>a</w:t>
      </w:r>
      <w:r>
        <w:rPr>
          <w:spacing w:val="-12"/>
        </w:rPr>
        <w:t> </w:t>
      </w:r>
      <w:r>
        <w:rPr/>
        <w:t>la</w:t>
      </w:r>
      <w:r>
        <w:rPr>
          <w:spacing w:val="-12"/>
        </w:rPr>
        <w:t> </w:t>
      </w:r>
      <w:r>
        <w:rPr/>
        <w:t>libertad</w:t>
      </w:r>
      <w:r>
        <w:rPr>
          <w:spacing w:val="-12"/>
        </w:rPr>
        <w:t> </w:t>
      </w:r>
      <w:r>
        <w:rPr/>
        <w:t>de</w:t>
      </w:r>
      <w:r>
        <w:rPr>
          <w:spacing w:val="-14"/>
        </w:rPr>
        <w:t> </w:t>
      </w:r>
      <w:r>
        <w:rPr/>
        <w:t>asociación</w:t>
      </w:r>
      <w:r>
        <w:rPr>
          <w:spacing w:val="-10"/>
        </w:rPr>
        <w:t> </w:t>
      </w:r>
      <w:r>
        <w:rPr/>
        <w:t>y</w:t>
      </w:r>
      <w:r>
        <w:rPr>
          <w:spacing w:val="-13"/>
        </w:rPr>
        <w:t> </w:t>
      </w:r>
      <w:r>
        <w:rPr/>
        <w:t>a</w:t>
      </w:r>
      <w:r>
        <w:rPr>
          <w:spacing w:val="-12"/>
        </w:rPr>
        <w:t> </w:t>
      </w:r>
      <w:r>
        <w:rPr/>
        <w:t>los</w:t>
      </w:r>
      <w:r>
        <w:rPr>
          <w:spacing w:val="-13"/>
        </w:rPr>
        <w:t> </w:t>
      </w:r>
      <w:r>
        <w:rPr/>
        <w:t>derechos</w:t>
      </w:r>
      <w:r>
        <w:rPr>
          <w:spacing w:val="-13"/>
        </w:rPr>
        <w:t> </w:t>
      </w:r>
      <w:r>
        <w:rPr/>
        <w:t>políticos,</w:t>
      </w:r>
      <w:r>
        <w:rPr>
          <w:spacing w:val="-14"/>
        </w:rPr>
        <w:t> </w:t>
      </w:r>
      <w:r>
        <w:rPr/>
        <w:t>incorporados, respectivamente, en los artículos 8 y 25, 3, 16 y 23 del</w:t>
      </w:r>
      <w:r>
        <w:rPr>
          <w:spacing w:val="-19"/>
        </w:rPr>
        <w:t> </w:t>
      </w:r>
      <w:r>
        <w:rPr/>
        <w:t>tratado.</w:t>
      </w:r>
    </w:p>
    <w:p>
      <w:pPr>
        <w:pStyle w:val="BodyText"/>
      </w:pPr>
    </w:p>
    <w:p>
      <w:pPr>
        <w:pStyle w:val="Heading4"/>
        <w:numPr>
          <w:ilvl w:val="1"/>
          <w:numId w:val="24"/>
        </w:numPr>
        <w:tabs>
          <w:tab w:pos="1123" w:val="left" w:leader="none"/>
        </w:tabs>
        <w:spacing w:line="240" w:lineRule="auto" w:before="1" w:after="0"/>
        <w:ind w:left="1122" w:right="0" w:hanging="434"/>
        <w:jc w:val="left"/>
        <w:rPr>
          <w:i/>
        </w:rPr>
      </w:pPr>
      <w:bookmarkStart w:name="_bookmark37" w:id="61"/>
      <w:bookmarkEnd w:id="61"/>
      <w:r>
        <w:rPr>
          <w:b w:val="0"/>
          <w:i w:val="0"/>
        </w:rPr>
      </w:r>
      <w:bookmarkStart w:name="_bookmark37" w:id="62"/>
      <w:bookmarkEnd w:id="62"/>
      <w:r>
        <w:rPr>
          <w:i/>
        </w:rPr>
        <w:t>A</w:t>
      </w:r>
      <w:r>
        <w:rPr>
          <w:i/>
        </w:rPr>
        <w:t>rgumentos de la Comisión y de las</w:t>
      </w:r>
      <w:r>
        <w:rPr>
          <w:i/>
          <w:spacing w:val="-19"/>
        </w:rPr>
        <w:t> </w:t>
      </w:r>
      <w:r>
        <w:rPr>
          <w:i/>
        </w:rPr>
        <w:t>partes</w:t>
      </w:r>
    </w:p>
    <w:p>
      <w:pPr>
        <w:pStyle w:val="BodyText"/>
        <w:spacing w:before="10"/>
        <w:rPr>
          <w:b/>
          <w:i/>
          <w:sz w:val="19"/>
        </w:rPr>
      </w:pPr>
    </w:p>
    <w:p>
      <w:pPr>
        <w:pStyle w:val="ListParagraph"/>
        <w:numPr>
          <w:ilvl w:val="0"/>
          <w:numId w:val="21"/>
        </w:numPr>
        <w:tabs>
          <w:tab w:pos="830" w:val="left" w:leader="none"/>
        </w:tabs>
        <w:spacing w:line="240" w:lineRule="auto" w:before="1" w:after="0"/>
        <w:ind w:left="122" w:right="129" w:firstLine="0"/>
        <w:jc w:val="both"/>
        <w:rPr>
          <w:sz w:val="20"/>
        </w:rPr>
      </w:pPr>
      <w:r>
        <w:rPr>
          <w:sz w:val="20"/>
        </w:rPr>
        <w:t>La </w:t>
      </w:r>
      <w:r>
        <w:rPr>
          <w:b/>
          <w:i/>
          <w:sz w:val="20"/>
        </w:rPr>
        <w:t>Comisión </w:t>
      </w:r>
      <w:r>
        <w:rPr>
          <w:sz w:val="20"/>
        </w:rPr>
        <w:t>sostuvo que el Estado vulneró el derecho de propiedad de las comunidades “por no haberles provisto acceso efectivo al título de propiedad sobre su territorio</w:t>
      </w:r>
      <w:r>
        <w:rPr>
          <w:spacing w:val="-9"/>
          <w:sz w:val="20"/>
        </w:rPr>
        <w:t> </w:t>
      </w:r>
      <w:r>
        <w:rPr>
          <w:sz w:val="20"/>
        </w:rPr>
        <w:t>ancestral”,</w:t>
      </w:r>
      <w:r>
        <w:rPr>
          <w:spacing w:val="-6"/>
          <w:sz w:val="20"/>
        </w:rPr>
        <w:t> </w:t>
      </w:r>
      <w:r>
        <w:rPr>
          <w:sz w:val="20"/>
        </w:rPr>
        <w:t>y</w:t>
      </w:r>
      <w:r>
        <w:rPr>
          <w:spacing w:val="-8"/>
          <w:sz w:val="20"/>
        </w:rPr>
        <w:t> </w:t>
      </w:r>
      <w:r>
        <w:rPr>
          <w:sz w:val="20"/>
        </w:rPr>
        <w:t>agregó</w:t>
      </w:r>
      <w:r>
        <w:rPr>
          <w:spacing w:val="-9"/>
          <w:sz w:val="20"/>
        </w:rPr>
        <w:t> </w:t>
      </w:r>
      <w:r>
        <w:rPr>
          <w:sz w:val="20"/>
        </w:rPr>
        <w:t>que</w:t>
      </w:r>
      <w:r>
        <w:rPr>
          <w:spacing w:val="-9"/>
          <w:sz w:val="20"/>
        </w:rPr>
        <w:t> </w:t>
      </w:r>
      <w:r>
        <w:rPr>
          <w:sz w:val="20"/>
        </w:rPr>
        <w:t>dicha</w:t>
      </w:r>
      <w:r>
        <w:rPr>
          <w:spacing w:val="-7"/>
          <w:sz w:val="20"/>
        </w:rPr>
        <w:t> </w:t>
      </w:r>
      <w:r>
        <w:rPr>
          <w:sz w:val="20"/>
        </w:rPr>
        <w:t>violación</w:t>
      </w:r>
      <w:r>
        <w:rPr>
          <w:spacing w:val="-7"/>
          <w:sz w:val="20"/>
        </w:rPr>
        <w:t> </w:t>
      </w:r>
      <w:r>
        <w:rPr>
          <w:sz w:val="20"/>
        </w:rPr>
        <w:t>se</w:t>
      </w:r>
      <w:r>
        <w:rPr>
          <w:spacing w:val="-10"/>
          <w:sz w:val="20"/>
        </w:rPr>
        <w:t> </w:t>
      </w:r>
      <w:r>
        <w:rPr>
          <w:sz w:val="20"/>
        </w:rPr>
        <w:t>dio:</w:t>
      </w:r>
      <w:r>
        <w:rPr>
          <w:spacing w:val="-7"/>
          <w:sz w:val="20"/>
        </w:rPr>
        <w:t> </w:t>
      </w:r>
      <w:r>
        <w:rPr>
          <w:sz w:val="20"/>
        </w:rPr>
        <w:t>a)</w:t>
      </w:r>
      <w:r>
        <w:rPr>
          <w:spacing w:val="-7"/>
          <w:sz w:val="20"/>
        </w:rPr>
        <w:t> </w:t>
      </w:r>
      <w:r>
        <w:rPr>
          <w:sz w:val="20"/>
        </w:rPr>
        <w:t>por</w:t>
      </w:r>
      <w:r>
        <w:rPr>
          <w:spacing w:val="-9"/>
          <w:sz w:val="20"/>
        </w:rPr>
        <w:t> </w:t>
      </w:r>
      <w:r>
        <w:rPr>
          <w:sz w:val="20"/>
        </w:rPr>
        <w:t>no</w:t>
      </w:r>
      <w:r>
        <w:rPr>
          <w:spacing w:val="-9"/>
          <w:sz w:val="20"/>
        </w:rPr>
        <w:t> </w:t>
      </w:r>
      <w:r>
        <w:rPr>
          <w:sz w:val="20"/>
        </w:rPr>
        <w:t>implementar</w:t>
      </w:r>
      <w:r>
        <w:rPr>
          <w:spacing w:val="-9"/>
          <w:sz w:val="20"/>
        </w:rPr>
        <w:t> </w:t>
      </w:r>
      <w:r>
        <w:rPr>
          <w:sz w:val="20"/>
        </w:rPr>
        <w:t>normas internas que lo consagraban y b) en conexión con derechos a las garantías y</w:t>
      </w:r>
      <w:r>
        <w:rPr>
          <w:spacing w:val="-47"/>
          <w:sz w:val="20"/>
        </w:rPr>
        <w:t> </w:t>
      </w:r>
      <w:r>
        <w:rPr>
          <w:sz w:val="20"/>
        </w:rPr>
        <w:t>protección judiciales, por la falta de un procedimiento efectivo para reconocer y “regularizar” la propiedad</w:t>
      </w:r>
      <w:r>
        <w:rPr>
          <w:position w:val="7"/>
          <w:sz w:val="13"/>
        </w:rPr>
        <w:t>112</w:t>
      </w:r>
      <w:r>
        <w:rPr>
          <w:sz w:val="20"/>
        </w:rPr>
        <w:t>. La Comisión, en su Informe de Fondo, ligó lo dicho al incumplimiento de los</w:t>
      </w:r>
      <w:r>
        <w:rPr>
          <w:spacing w:val="-11"/>
          <w:sz w:val="20"/>
        </w:rPr>
        <w:t> </w:t>
      </w:r>
      <w:r>
        <w:rPr>
          <w:sz w:val="20"/>
        </w:rPr>
        <w:t>artículos</w:t>
      </w:r>
      <w:r>
        <w:rPr>
          <w:spacing w:val="-13"/>
          <w:sz w:val="20"/>
        </w:rPr>
        <w:t> </w:t>
      </w:r>
      <w:r>
        <w:rPr>
          <w:sz w:val="20"/>
        </w:rPr>
        <w:t>1.1</w:t>
      </w:r>
      <w:r>
        <w:rPr>
          <w:spacing w:val="-10"/>
          <w:sz w:val="20"/>
        </w:rPr>
        <w:t> </w:t>
      </w:r>
      <w:r>
        <w:rPr>
          <w:sz w:val="20"/>
        </w:rPr>
        <w:t>y</w:t>
      </w:r>
      <w:r>
        <w:rPr>
          <w:spacing w:val="-13"/>
          <w:sz w:val="20"/>
        </w:rPr>
        <w:t> </w:t>
      </w:r>
      <w:r>
        <w:rPr>
          <w:sz w:val="20"/>
        </w:rPr>
        <w:t>2</w:t>
      </w:r>
      <w:r>
        <w:rPr>
          <w:spacing w:val="-10"/>
          <w:sz w:val="20"/>
        </w:rPr>
        <w:t> </w:t>
      </w:r>
      <w:r>
        <w:rPr>
          <w:sz w:val="20"/>
        </w:rPr>
        <w:t>de</w:t>
      </w:r>
      <w:r>
        <w:rPr>
          <w:spacing w:val="-12"/>
          <w:sz w:val="20"/>
        </w:rPr>
        <w:t> </w:t>
      </w:r>
      <w:r>
        <w:rPr>
          <w:sz w:val="20"/>
        </w:rPr>
        <w:t>la</w:t>
      </w:r>
      <w:r>
        <w:rPr>
          <w:spacing w:val="-12"/>
          <w:sz w:val="20"/>
        </w:rPr>
        <w:t> </w:t>
      </w:r>
      <w:r>
        <w:rPr>
          <w:sz w:val="20"/>
        </w:rPr>
        <w:t>Convención,</w:t>
      </w:r>
      <w:r>
        <w:rPr>
          <w:spacing w:val="-13"/>
          <w:sz w:val="20"/>
        </w:rPr>
        <w:t> </w:t>
      </w:r>
      <w:r>
        <w:rPr>
          <w:sz w:val="20"/>
        </w:rPr>
        <w:t>que</w:t>
      </w:r>
      <w:r>
        <w:rPr>
          <w:spacing w:val="-14"/>
          <w:sz w:val="20"/>
        </w:rPr>
        <w:t> </w:t>
      </w:r>
      <w:r>
        <w:rPr>
          <w:sz w:val="20"/>
        </w:rPr>
        <w:t>prescriben,</w:t>
      </w:r>
      <w:r>
        <w:rPr>
          <w:spacing w:val="-11"/>
          <w:sz w:val="20"/>
        </w:rPr>
        <w:t> </w:t>
      </w:r>
      <w:r>
        <w:rPr>
          <w:sz w:val="20"/>
        </w:rPr>
        <w:t>respectivamente,</w:t>
      </w:r>
      <w:r>
        <w:rPr>
          <w:spacing w:val="-11"/>
          <w:sz w:val="20"/>
        </w:rPr>
        <w:t> </w:t>
      </w:r>
      <w:r>
        <w:rPr>
          <w:sz w:val="20"/>
        </w:rPr>
        <w:t>las</w:t>
      </w:r>
      <w:r>
        <w:rPr>
          <w:spacing w:val="-11"/>
          <w:sz w:val="20"/>
        </w:rPr>
        <w:t> </w:t>
      </w:r>
      <w:r>
        <w:rPr>
          <w:sz w:val="20"/>
        </w:rPr>
        <w:t>obligaciones de respetar y garantizar los derechos, y adoptar disposiciones de derecho</w:t>
      </w:r>
      <w:r>
        <w:rPr>
          <w:spacing w:val="-23"/>
          <w:sz w:val="20"/>
        </w:rPr>
        <w:t> </w:t>
      </w:r>
      <w:r>
        <w:rPr>
          <w:sz w:val="20"/>
        </w:rPr>
        <w:t>interno</w:t>
      </w:r>
      <w:r>
        <w:rPr>
          <w:position w:val="7"/>
          <w:sz w:val="13"/>
        </w:rPr>
        <w:t>113</w:t>
      </w:r>
      <w:r>
        <w:rPr>
          <w:sz w:val="20"/>
        </w:rPr>
        <w:t>.</w:t>
      </w:r>
    </w:p>
    <w:p>
      <w:pPr>
        <w:pStyle w:val="BodyText"/>
        <w:spacing w:before="1"/>
      </w:pPr>
    </w:p>
    <w:p>
      <w:pPr>
        <w:pStyle w:val="ListParagraph"/>
        <w:numPr>
          <w:ilvl w:val="0"/>
          <w:numId w:val="21"/>
        </w:numPr>
        <w:tabs>
          <w:tab w:pos="830" w:val="left" w:leader="none"/>
        </w:tabs>
        <w:spacing w:line="240" w:lineRule="auto" w:before="0" w:after="0"/>
        <w:ind w:left="122" w:right="126" w:firstLine="0"/>
        <w:jc w:val="both"/>
        <w:rPr>
          <w:sz w:val="20"/>
        </w:rPr>
      </w:pPr>
      <w:r>
        <w:rPr>
          <w:sz w:val="20"/>
        </w:rPr>
        <w:t>La Comisión especificó que tan solo 23 años después del primer acuerdo, efectuado en 1991, el Decreto 1498/14 traspasó la propiedad a las comunidades. Sin embargo, ha persistido la controversia en cuanto a la demarcación del territorio y el modo de titulación de [las] tierras. Aseveró que “las comunidades [todavía] no</w:t>
      </w:r>
      <w:r>
        <w:rPr>
          <w:spacing w:val="-27"/>
          <w:sz w:val="20"/>
        </w:rPr>
        <w:t> </w:t>
      </w:r>
      <w:r>
        <w:rPr>
          <w:sz w:val="20"/>
        </w:rPr>
        <w:t>cuentan con un título único y común”. Concluyó que “el Estado continúa incumpliendo su obligación de avanzar decidida y definitivamente en la demarcación [y]</w:t>
      </w:r>
      <w:r>
        <w:rPr>
          <w:spacing w:val="-37"/>
          <w:sz w:val="20"/>
        </w:rPr>
        <w:t> </w:t>
      </w:r>
      <w:r>
        <w:rPr>
          <w:sz w:val="20"/>
        </w:rPr>
        <w:t>delimitación”.</w:t>
      </w:r>
    </w:p>
    <w:p>
      <w:pPr>
        <w:pStyle w:val="BodyText"/>
      </w:pPr>
    </w:p>
    <w:p>
      <w:pPr>
        <w:pStyle w:val="ListParagraph"/>
        <w:numPr>
          <w:ilvl w:val="0"/>
          <w:numId w:val="21"/>
        </w:numPr>
        <w:tabs>
          <w:tab w:pos="830" w:val="left" w:leader="none"/>
        </w:tabs>
        <w:spacing w:line="242" w:lineRule="auto" w:before="1" w:after="0"/>
        <w:ind w:left="122" w:right="126" w:firstLine="0"/>
        <w:jc w:val="both"/>
        <w:rPr>
          <w:sz w:val="20"/>
        </w:rPr>
      </w:pPr>
      <w:r>
        <w:rPr>
          <w:sz w:val="20"/>
        </w:rPr>
        <w:t>La Comisión, además, entendió que el Estado violó el derecho de propiedad por falta de “saneamiento” del territorio. Notó que en los lotes 14 y 55 hay presencia de familias de colonos no indígenas</w:t>
      </w:r>
      <w:r>
        <w:rPr>
          <w:rFonts w:ascii="Calibri" w:hAnsi="Calibri"/>
          <w:position w:val="8"/>
          <w:sz w:val="14"/>
        </w:rPr>
        <w:t>114</w:t>
      </w:r>
      <w:r>
        <w:rPr>
          <w:sz w:val="20"/>
        </w:rPr>
        <w:t>. Afirmó que “el Estado incumplió con su deber de prevenir que familias no indígenas continuaran asentándose </w:t>
      </w:r>
      <w:r>
        <w:rPr>
          <w:spacing w:val="2"/>
          <w:sz w:val="20"/>
        </w:rPr>
        <w:t>en </w:t>
      </w:r>
      <w:r>
        <w:rPr>
          <w:sz w:val="20"/>
        </w:rPr>
        <w:t>el territorio ancestral”. Concluyó</w:t>
      </w:r>
      <w:r>
        <w:rPr>
          <w:spacing w:val="-13"/>
          <w:sz w:val="20"/>
        </w:rPr>
        <w:t> </w:t>
      </w:r>
      <w:r>
        <w:rPr>
          <w:sz w:val="20"/>
        </w:rPr>
        <w:t>que</w:t>
      </w:r>
      <w:r>
        <w:rPr>
          <w:spacing w:val="-13"/>
          <w:sz w:val="20"/>
        </w:rPr>
        <w:t> </w:t>
      </w:r>
      <w:r>
        <w:rPr>
          <w:sz w:val="20"/>
        </w:rPr>
        <w:t>“habiendo</w:t>
      </w:r>
      <w:r>
        <w:rPr>
          <w:spacing w:val="-8"/>
          <w:sz w:val="20"/>
        </w:rPr>
        <w:t> </w:t>
      </w:r>
      <w:r>
        <w:rPr>
          <w:sz w:val="20"/>
        </w:rPr>
        <w:t>[transcurrido]</w:t>
      </w:r>
      <w:r>
        <w:rPr>
          <w:spacing w:val="-10"/>
          <w:sz w:val="20"/>
        </w:rPr>
        <w:t> </w:t>
      </w:r>
      <w:r>
        <w:rPr>
          <w:sz w:val="20"/>
        </w:rPr>
        <w:t>más</w:t>
      </w:r>
      <w:r>
        <w:rPr>
          <w:spacing w:val="-12"/>
          <w:sz w:val="20"/>
        </w:rPr>
        <w:t> </w:t>
      </w:r>
      <w:r>
        <w:rPr>
          <w:sz w:val="20"/>
        </w:rPr>
        <w:t>de</w:t>
      </w:r>
      <w:r>
        <w:rPr>
          <w:spacing w:val="-13"/>
          <w:sz w:val="20"/>
        </w:rPr>
        <w:t> </w:t>
      </w:r>
      <w:r>
        <w:rPr>
          <w:sz w:val="20"/>
        </w:rPr>
        <w:t>20</w:t>
      </w:r>
      <w:r>
        <w:rPr>
          <w:spacing w:val="-11"/>
          <w:sz w:val="20"/>
        </w:rPr>
        <w:t> </w:t>
      </w:r>
      <w:r>
        <w:rPr>
          <w:sz w:val="20"/>
        </w:rPr>
        <w:t>años</w:t>
      </w:r>
      <w:r>
        <w:rPr>
          <w:spacing w:val="-12"/>
          <w:sz w:val="20"/>
        </w:rPr>
        <w:t> </w:t>
      </w:r>
      <w:r>
        <w:rPr>
          <w:sz w:val="20"/>
        </w:rPr>
        <w:t>desde</w:t>
      </w:r>
      <w:r>
        <w:rPr>
          <w:spacing w:val="-10"/>
          <w:sz w:val="20"/>
        </w:rPr>
        <w:t> </w:t>
      </w:r>
      <w:r>
        <w:rPr>
          <w:sz w:val="20"/>
        </w:rPr>
        <w:t>el</w:t>
      </w:r>
      <w:r>
        <w:rPr>
          <w:spacing w:val="-11"/>
          <w:sz w:val="20"/>
        </w:rPr>
        <w:t> </w:t>
      </w:r>
      <w:r>
        <w:rPr>
          <w:sz w:val="20"/>
        </w:rPr>
        <w:t>primer</w:t>
      </w:r>
      <w:r>
        <w:rPr>
          <w:spacing w:val="-10"/>
          <w:sz w:val="20"/>
        </w:rPr>
        <w:t> </w:t>
      </w:r>
      <w:r>
        <w:rPr>
          <w:sz w:val="20"/>
        </w:rPr>
        <w:t>acuerdo</w:t>
      </w:r>
      <w:r>
        <w:rPr>
          <w:spacing w:val="-12"/>
          <w:sz w:val="20"/>
        </w:rPr>
        <w:t> </w:t>
      </w:r>
      <w:r>
        <w:rPr>
          <w:sz w:val="20"/>
        </w:rPr>
        <w:t>firmado con la Provincia de Salta y [cinco] años de[sde la emisión d]el Decreto 1498/14, las comunidades no han podido gozar de manera efectiva del</w:t>
      </w:r>
      <w:r>
        <w:rPr>
          <w:spacing w:val="-21"/>
          <w:sz w:val="20"/>
        </w:rPr>
        <w:t> </w:t>
      </w:r>
      <w:r>
        <w:rPr>
          <w:sz w:val="20"/>
        </w:rPr>
        <w:t>territorio”.</w:t>
      </w:r>
    </w:p>
    <w:p>
      <w:pPr>
        <w:pStyle w:val="BodyText"/>
        <w:spacing w:before="1"/>
        <w:rPr>
          <w:sz w:val="23"/>
        </w:rPr>
      </w:pPr>
      <w:r>
        <w:rPr/>
        <w:pict>
          <v:line style="position:absolute;mso-position-horizontal-relative:page;mso-position-vertical-relative:paragraph;z-index:1912;mso-wrap-distance-left:0;mso-wrap-distance-right:0" from="85.103996pt,16.380844pt" to="229.123996pt,16.380844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112</w:t>
        <w:tab/>
      </w:r>
      <w:r>
        <w:rPr>
          <w:sz w:val="16"/>
        </w:rPr>
        <w:t>En</w:t>
      </w:r>
      <w:r>
        <w:rPr>
          <w:spacing w:val="-16"/>
          <w:sz w:val="16"/>
        </w:rPr>
        <w:t> </w:t>
      </w:r>
      <w:r>
        <w:rPr>
          <w:sz w:val="16"/>
        </w:rPr>
        <w:t>este</w:t>
      </w:r>
      <w:r>
        <w:rPr>
          <w:spacing w:val="-15"/>
          <w:sz w:val="16"/>
        </w:rPr>
        <w:t> </w:t>
      </w:r>
      <w:r>
        <w:rPr>
          <w:sz w:val="16"/>
        </w:rPr>
        <w:t>marco,</w:t>
      </w:r>
      <w:r>
        <w:rPr>
          <w:spacing w:val="-16"/>
          <w:sz w:val="16"/>
        </w:rPr>
        <w:t> </w:t>
      </w:r>
      <w:r>
        <w:rPr>
          <w:sz w:val="16"/>
        </w:rPr>
        <w:t>la</w:t>
      </w:r>
      <w:r>
        <w:rPr>
          <w:spacing w:val="-16"/>
          <w:sz w:val="16"/>
        </w:rPr>
        <w:t> </w:t>
      </w:r>
      <w:r>
        <w:rPr>
          <w:sz w:val="16"/>
        </w:rPr>
        <w:t>Comisión</w:t>
      </w:r>
      <w:r>
        <w:rPr>
          <w:spacing w:val="-16"/>
          <w:sz w:val="16"/>
        </w:rPr>
        <w:t> </w:t>
      </w:r>
      <w:r>
        <w:rPr>
          <w:sz w:val="16"/>
        </w:rPr>
        <w:t>señaló</w:t>
      </w:r>
      <w:r>
        <w:rPr>
          <w:spacing w:val="-15"/>
          <w:sz w:val="16"/>
        </w:rPr>
        <w:t> </w:t>
      </w:r>
      <w:r>
        <w:rPr>
          <w:sz w:val="16"/>
        </w:rPr>
        <w:t>que</w:t>
      </w:r>
      <w:r>
        <w:rPr>
          <w:spacing w:val="-15"/>
          <w:sz w:val="16"/>
        </w:rPr>
        <w:t> </w:t>
      </w:r>
      <w:r>
        <w:rPr>
          <w:sz w:val="16"/>
        </w:rPr>
        <w:t>hubo</w:t>
      </w:r>
      <w:r>
        <w:rPr>
          <w:spacing w:val="-17"/>
          <w:sz w:val="16"/>
        </w:rPr>
        <w:t> </w:t>
      </w:r>
      <w:r>
        <w:rPr>
          <w:sz w:val="16"/>
        </w:rPr>
        <w:t>“seis</w:t>
      </w:r>
      <w:r>
        <w:rPr>
          <w:spacing w:val="-16"/>
          <w:sz w:val="16"/>
        </w:rPr>
        <w:t> </w:t>
      </w:r>
      <w:r>
        <w:rPr>
          <w:sz w:val="16"/>
        </w:rPr>
        <w:t>variaciones</w:t>
      </w:r>
      <w:r>
        <w:rPr>
          <w:spacing w:val="-15"/>
          <w:sz w:val="16"/>
        </w:rPr>
        <w:t> </w:t>
      </w:r>
      <w:r>
        <w:rPr>
          <w:sz w:val="16"/>
        </w:rPr>
        <w:t>sucesivas</w:t>
      </w:r>
      <w:r>
        <w:rPr>
          <w:spacing w:val="-15"/>
          <w:sz w:val="16"/>
        </w:rPr>
        <w:t> </w:t>
      </w:r>
      <w:r>
        <w:rPr>
          <w:sz w:val="16"/>
        </w:rPr>
        <w:t>en</w:t>
      </w:r>
      <w:r>
        <w:rPr>
          <w:spacing w:val="-18"/>
          <w:sz w:val="16"/>
        </w:rPr>
        <w:t> </w:t>
      </w:r>
      <w:r>
        <w:rPr>
          <w:sz w:val="16"/>
        </w:rPr>
        <w:t>procedimientos</w:t>
      </w:r>
      <w:r>
        <w:rPr>
          <w:spacing w:val="-18"/>
          <w:sz w:val="16"/>
        </w:rPr>
        <w:t> </w:t>
      </w:r>
      <w:r>
        <w:rPr>
          <w:sz w:val="16"/>
        </w:rPr>
        <w:t>aplicables”,</w:t>
      </w:r>
      <w:r>
        <w:rPr>
          <w:w w:val="100"/>
          <w:sz w:val="16"/>
        </w:rPr>
        <w:t> </w:t>
      </w:r>
      <w:r>
        <w:rPr>
          <w:sz w:val="16"/>
        </w:rPr>
        <w:t>que incluyeron un “curso de acción” dirigido a “asignar parcelas a familias criollas e indígenas”. Entre dichos procedimientos, incluyó el referéndum realizado en 2005. La Comisión adujo que el referéndum “no [fue] equivale[nte] a un proceso de consulta previa sobre [la] decisión de adjudicación territorial”, y que mediante tal acto “se sujetó la decisión sobre un asunto que afectaba directamente a la población indígena, a la manifestación de voluntad de la población en</w:t>
      </w:r>
      <w:r>
        <w:rPr>
          <w:spacing w:val="-15"/>
          <w:sz w:val="16"/>
        </w:rPr>
        <w:t> </w:t>
      </w:r>
      <w:r>
        <w:rPr>
          <w:sz w:val="16"/>
        </w:rPr>
        <w:t>general”.</w:t>
      </w:r>
    </w:p>
    <w:p>
      <w:pPr>
        <w:pStyle w:val="BodyText"/>
        <w:spacing w:before="11"/>
        <w:rPr>
          <w:sz w:val="15"/>
        </w:rPr>
      </w:pPr>
    </w:p>
    <w:p>
      <w:pPr>
        <w:tabs>
          <w:tab w:pos="829" w:val="left" w:leader="none"/>
        </w:tabs>
        <w:spacing w:before="0"/>
        <w:ind w:left="122" w:right="114" w:firstLine="0"/>
        <w:jc w:val="both"/>
        <w:rPr>
          <w:sz w:val="16"/>
        </w:rPr>
      </w:pPr>
      <w:r>
        <w:rPr>
          <w:position w:val="6"/>
          <w:sz w:val="10"/>
        </w:rPr>
        <w:t>113</w:t>
        <w:tab/>
      </w:r>
      <w:r>
        <w:rPr>
          <w:sz w:val="16"/>
        </w:rPr>
        <w:t>Debe</w:t>
      </w:r>
      <w:r>
        <w:rPr>
          <w:spacing w:val="-9"/>
          <w:sz w:val="16"/>
        </w:rPr>
        <w:t> </w:t>
      </w:r>
      <w:r>
        <w:rPr>
          <w:sz w:val="16"/>
        </w:rPr>
        <w:t>aclararse</w:t>
      </w:r>
      <w:r>
        <w:rPr>
          <w:spacing w:val="-12"/>
          <w:sz w:val="16"/>
        </w:rPr>
        <w:t> </w:t>
      </w:r>
      <w:r>
        <w:rPr>
          <w:sz w:val="16"/>
        </w:rPr>
        <w:t>que</w:t>
      </w:r>
      <w:r>
        <w:rPr>
          <w:spacing w:val="-12"/>
          <w:sz w:val="16"/>
        </w:rPr>
        <w:t> </w:t>
      </w:r>
      <w:r>
        <w:rPr>
          <w:sz w:val="16"/>
        </w:rPr>
        <w:t>al</w:t>
      </w:r>
      <w:r>
        <w:rPr>
          <w:spacing w:val="-11"/>
          <w:sz w:val="16"/>
        </w:rPr>
        <w:t> </w:t>
      </w:r>
      <w:r>
        <w:rPr>
          <w:sz w:val="16"/>
        </w:rPr>
        <w:t>efectuar</w:t>
      </w:r>
      <w:r>
        <w:rPr>
          <w:spacing w:val="-11"/>
          <w:sz w:val="16"/>
        </w:rPr>
        <w:t> </w:t>
      </w:r>
      <w:r>
        <w:rPr>
          <w:sz w:val="16"/>
        </w:rPr>
        <w:t>su</w:t>
      </w:r>
      <w:r>
        <w:rPr>
          <w:spacing w:val="-13"/>
          <w:sz w:val="16"/>
        </w:rPr>
        <w:t> </w:t>
      </w:r>
      <w:r>
        <w:rPr>
          <w:sz w:val="16"/>
        </w:rPr>
        <w:t>examen</w:t>
      </w:r>
      <w:r>
        <w:rPr>
          <w:spacing w:val="-13"/>
          <w:sz w:val="16"/>
        </w:rPr>
        <w:t> </w:t>
      </w:r>
      <w:r>
        <w:rPr>
          <w:sz w:val="16"/>
        </w:rPr>
        <w:t>del</w:t>
      </w:r>
      <w:r>
        <w:rPr>
          <w:spacing w:val="-11"/>
          <w:sz w:val="16"/>
        </w:rPr>
        <w:t> </w:t>
      </w:r>
      <w:r>
        <w:rPr>
          <w:sz w:val="16"/>
        </w:rPr>
        <w:t>último</w:t>
      </w:r>
      <w:r>
        <w:rPr>
          <w:spacing w:val="-12"/>
          <w:sz w:val="16"/>
        </w:rPr>
        <w:t> </w:t>
      </w:r>
      <w:r>
        <w:rPr>
          <w:sz w:val="16"/>
        </w:rPr>
        <w:t>punto</w:t>
      </w:r>
      <w:r>
        <w:rPr>
          <w:spacing w:val="-11"/>
          <w:sz w:val="16"/>
        </w:rPr>
        <w:t> </w:t>
      </w:r>
      <w:r>
        <w:rPr>
          <w:sz w:val="16"/>
        </w:rPr>
        <w:t>citado</w:t>
      </w:r>
      <w:r>
        <w:rPr>
          <w:spacing w:val="-11"/>
          <w:sz w:val="16"/>
        </w:rPr>
        <w:t> </w:t>
      </w:r>
      <w:r>
        <w:rPr>
          <w:sz w:val="16"/>
        </w:rPr>
        <w:t>en</w:t>
      </w:r>
      <w:r>
        <w:rPr>
          <w:spacing w:val="-10"/>
          <w:sz w:val="16"/>
        </w:rPr>
        <w:t> </w:t>
      </w:r>
      <w:r>
        <w:rPr>
          <w:sz w:val="16"/>
        </w:rPr>
        <w:t>el</w:t>
      </w:r>
      <w:r>
        <w:rPr>
          <w:spacing w:val="-13"/>
          <w:sz w:val="16"/>
        </w:rPr>
        <w:t> </w:t>
      </w:r>
      <w:r>
        <w:rPr>
          <w:sz w:val="16"/>
        </w:rPr>
        <w:t>Informe</w:t>
      </w:r>
      <w:r>
        <w:rPr>
          <w:spacing w:val="-12"/>
          <w:sz w:val="16"/>
        </w:rPr>
        <w:t> </w:t>
      </w:r>
      <w:r>
        <w:rPr>
          <w:sz w:val="16"/>
        </w:rPr>
        <w:t>de</w:t>
      </w:r>
      <w:r>
        <w:rPr>
          <w:spacing w:val="-14"/>
          <w:sz w:val="16"/>
        </w:rPr>
        <w:t> </w:t>
      </w:r>
      <w:r>
        <w:rPr>
          <w:sz w:val="16"/>
        </w:rPr>
        <w:t>Fondo,</w:t>
      </w:r>
      <w:r>
        <w:rPr>
          <w:spacing w:val="-11"/>
          <w:sz w:val="16"/>
        </w:rPr>
        <w:t> </w:t>
      </w:r>
      <w:r>
        <w:rPr>
          <w:sz w:val="16"/>
        </w:rPr>
        <w:t>la</w:t>
      </w:r>
      <w:r>
        <w:rPr>
          <w:spacing w:val="-10"/>
          <w:sz w:val="16"/>
        </w:rPr>
        <w:t> </w:t>
      </w:r>
      <w:r>
        <w:rPr>
          <w:sz w:val="16"/>
        </w:rPr>
        <w:t>Comisión</w:t>
      </w:r>
      <w:r>
        <w:rPr>
          <w:w w:val="100"/>
          <w:sz w:val="16"/>
        </w:rPr>
        <w:t> </w:t>
      </w:r>
      <w:r>
        <w:rPr>
          <w:sz w:val="16"/>
        </w:rPr>
        <w:t>hizo referencia al artículo 2 de la Convención Americana. No obstante, no aludió a dicha norma en sus conclusiones</w:t>
      </w:r>
      <w:r>
        <w:rPr>
          <w:spacing w:val="-3"/>
          <w:sz w:val="16"/>
        </w:rPr>
        <w:t> </w:t>
      </w:r>
      <w:r>
        <w:rPr>
          <w:sz w:val="16"/>
        </w:rPr>
        <w:t>sobre</w:t>
      </w:r>
      <w:r>
        <w:rPr>
          <w:spacing w:val="-4"/>
          <w:sz w:val="16"/>
        </w:rPr>
        <w:t> </w:t>
      </w:r>
      <w:r>
        <w:rPr>
          <w:sz w:val="16"/>
        </w:rPr>
        <w:t>tal</w:t>
      </w:r>
      <w:r>
        <w:rPr>
          <w:spacing w:val="-2"/>
          <w:sz w:val="16"/>
        </w:rPr>
        <w:t> </w:t>
      </w:r>
      <w:r>
        <w:rPr>
          <w:sz w:val="16"/>
        </w:rPr>
        <w:t>aspecto</w:t>
      </w:r>
      <w:r>
        <w:rPr>
          <w:spacing w:val="-3"/>
          <w:sz w:val="16"/>
        </w:rPr>
        <w:t> </w:t>
      </w:r>
      <w:r>
        <w:rPr>
          <w:sz w:val="16"/>
        </w:rPr>
        <w:t>(expresadas</w:t>
      </w:r>
      <w:r>
        <w:rPr>
          <w:spacing w:val="-3"/>
          <w:sz w:val="16"/>
        </w:rPr>
        <w:t> </w:t>
      </w:r>
      <w:r>
        <w:rPr>
          <w:sz w:val="16"/>
        </w:rPr>
        <w:t>en</w:t>
      </w:r>
      <w:r>
        <w:rPr>
          <w:spacing w:val="-4"/>
          <w:sz w:val="16"/>
        </w:rPr>
        <w:t> </w:t>
      </w:r>
      <w:r>
        <w:rPr>
          <w:sz w:val="16"/>
        </w:rPr>
        <w:t>el</w:t>
      </w:r>
      <w:r>
        <w:rPr>
          <w:spacing w:val="-4"/>
          <w:sz w:val="16"/>
        </w:rPr>
        <w:t> </w:t>
      </w:r>
      <w:r>
        <w:rPr>
          <w:sz w:val="16"/>
        </w:rPr>
        <w:t>punto</w:t>
      </w:r>
      <w:r>
        <w:rPr>
          <w:spacing w:val="-3"/>
          <w:sz w:val="16"/>
        </w:rPr>
        <w:t> </w:t>
      </w:r>
      <w:r>
        <w:rPr>
          <w:sz w:val="16"/>
        </w:rPr>
        <w:t>3</w:t>
      </w:r>
      <w:r>
        <w:rPr>
          <w:spacing w:val="-3"/>
          <w:sz w:val="16"/>
        </w:rPr>
        <w:t> </w:t>
      </w:r>
      <w:r>
        <w:rPr>
          <w:sz w:val="16"/>
        </w:rPr>
        <w:t>de</w:t>
      </w:r>
      <w:r>
        <w:rPr>
          <w:spacing w:val="-4"/>
          <w:sz w:val="16"/>
        </w:rPr>
        <w:t> </w:t>
      </w:r>
      <w:r>
        <w:rPr>
          <w:sz w:val="16"/>
        </w:rPr>
        <w:t>las</w:t>
      </w:r>
      <w:r>
        <w:rPr>
          <w:spacing w:val="-4"/>
          <w:sz w:val="16"/>
        </w:rPr>
        <w:t> </w:t>
      </w:r>
      <w:r>
        <w:rPr>
          <w:sz w:val="16"/>
        </w:rPr>
        <w:t>“Conclusiones”</w:t>
      </w:r>
      <w:r>
        <w:rPr>
          <w:spacing w:val="-3"/>
          <w:sz w:val="16"/>
        </w:rPr>
        <w:t> </w:t>
      </w:r>
      <w:r>
        <w:rPr>
          <w:sz w:val="16"/>
        </w:rPr>
        <w:t>del</w:t>
      </w:r>
      <w:r>
        <w:rPr>
          <w:spacing w:val="-4"/>
          <w:sz w:val="16"/>
        </w:rPr>
        <w:t> </w:t>
      </w:r>
      <w:r>
        <w:rPr>
          <w:sz w:val="16"/>
        </w:rPr>
        <w:t>Informe</w:t>
      </w:r>
      <w:r>
        <w:rPr>
          <w:spacing w:val="-3"/>
          <w:sz w:val="16"/>
        </w:rPr>
        <w:t> </w:t>
      </w:r>
      <w:r>
        <w:rPr>
          <w:sz w:val="16"/>
        </w:rPr>
        <w:t>de</w:t>
      </w:r>
      <w:r>
        <w:rPr>
          <w:spacing w:val="-4"/>
          <w:sz w:val="16"/>
        </w:rPr>
        <w:t> </w:t>
      </w:r>
      <w:r>
        <w:rPr>
          <w:sz w:val="16"/>
        </w:rPr>
        <w:t>Fondo).</w:t>
      </w:r>
      <w:r>
        <w:rPr>
          <w:spacing w:val="-2"/>
          <w:sz w:val="16"/>
        </w:rPr>
        <w:t> </w:t>
      </w:r>
      <w:r>
        <w:rPr>
          <w:sz w:val="16"/>
        </w:rPr>
        <w:t>En</w:t>
      </w:r>
      <w:r>
        <w:rPr>
          <w:spacing w:val="-2"/>
          <w:sz w:val="16"/>
        </w:rPr>
        <w:t> </w:t>
      </w:r>
      <w:r>
        <w:rPr>
          <w:sz w:val="16"/>
        </w:rPr>
        <w:t>los alegatos</w:t>
      </w:r>
      <w:r>
        <w:rPr>
          <w:spacing w:val="-5"/>
          <w:sz w:val="16"/>
        </w:rPr>
        <w:t> </w:t>
      </w:r>
      <w:r>
        <w:rPr>
          <w:sz w:val="16"/>
        </w:rPr>
        <w:t>finales</w:t>
      </w:r>
      <w:r>
        <w:rPr>
          <w:spacing w:val="-2"/>
          <w:sz w:val="16"/>
        </w:rPr>
        <w:t> </w:t>
      </w:r>
      <w:r>
        <w:rPr>
          <w:sz w:val="16"/>
        </w:rPr>
        <w:t>escritos</w:t>
      </w:r>
      <w:r>
        <w:rPr>
          <w:spacing w:val="-2"/>
          <w:sz w:val="16"/>
        </w:rPr>
        <w:t> </w:t>
      </w:r>
      <w:r>
        <w:rPr>
          <w:sz w:val="16"/>
        </w:rPr>
        <w:t>aclaró</w:t>
      </w:r>
      <w:r>
        <w:rPr>
          <w:spacing w:val="-1"/>
          <w:sz w:val="16"/>
        </w:rPr>
        <w:t> </w:t>
      </w:r>
      <w:r>
        <w:rPr>
          <w:sz w:val="16"/>
        </w:rPr>
        <w:t>que</w:t>
      </w:r>
      <w:r>
        <w:rPr>
          <w:spacing w:val="-5"/>
          <w:sz w:val="16"/>
        </w:rPr>
        <w:t> </w:t>
      </w:r>
      <w:r>
        <w:rPr>
          <w:sz w:val="16"/>
        </w:rPr>
        <w:t>“en</w:t>
      </w:r>
      <w:r>
        <w:rPr>
          <w:spacing w:val="-3"/>
          <w:sz w:val="16"/>
        </w:rPr>
        <w:t> </w:t>
      </w:r>
      <w:r>
        <w:rPr>
          <w:sz w:val="16"/>
        </w:rPr>
        <w:t>su</w:t>
      </w:r>
      <w:r>
        <w:rPr>
          <w:spacing w:val="-3"/>
          <w:sz w:val="16"/>
        </w:rPr>
        <w:t> </w:t>
      </w:r>
      <w:r>
        <w:rPr>
          <w:sz w:val="16"/>
        </w:rPr>
        <w:t>Informe</w:t>
      </w:r>
      <w:r>
        <w:rPr>
          <w:spacing w:val="-5"/>
          <w:sz w:val="16"/>
        </w:rPr>
        <w:t> </w:t>
      </w:r>
      <w:r>
        <w:rPr>
          <w:sz w:val="16"/>
        </w:rPr>
        <w:t>de</w:t>
      </w:r>
      <w:r>
        <w:rPr>
          <w:spacing w:val="-5"/>
          <w:sz w:val="16"/>
        </w:rPr>
        <w:t> </w:t>
      </w:r>
      <w:r>
        <w:rPr>
          <w:sz w:val="16"/>
        </w:rPr>
        <w:t>Fondo</w:t>
      </w:r>
      <w:r>
        <w:rPr>
          <w:spacing w:val="-2"/>
          <w:sz w:val="16"/>
        </w:rPr>
        <w:t> </w:t>
      </w:r>
      <w:r>
        <w:rPr>
          <w:sz w:val="16"/>
        </w:rPr>
        <w:t>[…]</w:t>
      </w:r>
      <w:r>
        <w:rPr>
          <w:spacing w:val="-3"/>
          <w:sz w:val="16"/>
        </w:rPr>
        <w:t> </w:t>
      </w:r>
      <w:r>
        <w:rPr>
          <w:sz w:val="16"/>
        </w:rPr>
        <w:t>la</w:t>
      </w:r>
      <w:r>
        <w:rPr>
          <w:spacing w:val="-3"/>
          <w:sz w:val="16"/>
        </w:rPr>
        <w:t> </w:t>
      </w:r>
      <w:r>
        <w:rPr>
          <w:sz w:val="16"/>
        </w:rPr>
        <w:t>Comisión</w:t>
      </w:r>
      <w:r>
        <w:rPr>
          <w:spacing w:val="-3"/>
          <w:sz w:val="16"/>
        </w:rPr>
        <w:t> </w:t>
      </w:r>
      <w:r>
        <w:rPr>
          <w:sz w:val="16"/>
        </w:rPr>
        <w:t>concluyó</w:t>
      </w:r>
      <w:r>
        <w:rPr>
          <w:spacing w:val="-4"/>
          <w:sz w:val="16"/>
        </w:rPr>
        <w:t> </w:t>
      </w:r>
      <w:r>
        <w:rPr>
          <w:sz w:val="16"/>
        </w:rPr>
        <w:t>que</w:t>
      </w:r>
      <w:r>
        <w:rPr>
          <w:spacing w:val="-2"/>
          <w:sz w:val="16"/>
        </w:rPr>
        <w:t> </w:t>
      </w:r>
      <w:r>
        <w:rPr>
          <w:sz w:val="16"/>
        </w:rPr>
        <w:t>el</w:t>
      </w:r>
      <w:r>
        <w:rPr>
          <w:spacing w:val="-3"/>
          <w:sz w:val="16"/>
        </w:rPr>
        <w:t> </w:t>
      </w:r>
      <w:r>
        <w:rPr>
          <w:sz w:val="16"/>
        </w:rPr>
        <w:t>Estado</w:t>
      </w:r>
      <w:r>
        <w:rPr>
          <w:spacing w:val="-4"/>
          <w:sz w:val="16"/>
        </w:rPr>
        <w:t> </w:t>
      </w:r>
      <w:r>
        <w:rPr>
          <w:sz w:val="16"/>
        </w:rPr>
        <w:t>[…]</w:t>
      </w:r>
      <w:r>
        <w:rPr>
          <w:spacing w:val="-3"/>
          <w:sz w:val="16"/>
        </w:rPr>
        <w:t> </w:t>
      </w:r>
      <w:r>
        <w:rPr>
          <w:sz w:val="16"/>
        </w:rPr>
        <w:t>violó los derechos consagrados en los artículos 8 y 25 de la Convención […] en conexión con el artículo 21 y con el artículo</w:t>
      </w:r>
      <w:r>
        <w:rPr>
          <w:spacing w:val="-8"/>
          <w:sz w:val="16"/>
        </w:rPr>
        <w:t> </w:t>
      </w:r>
      <w:r>
        <w:rPr>
          <w:sz w:val="16"/>
        </w:rPr>
        <w:t>2</w:t>
      </w:r>
      <w:r>
        <w:rPr>
          <w:spacing w:val="-7"/>
          <w:sz w:val="16"/>
        </w:rPr>
        <w:t> </w:t>
      </w:r>
      <w:r>
        <w:rPr>
          <w:sz w:val="16"/>
        </w:rPr>
        <w:t>de</w:t>
      </w:r>
      <w:r>
        <w:rPr>
          <w:spacing w:val="-8"/>
          <w:sz w:val="16"/>
        </w:rPr>
        <w:t> </w:t>
      </w:r>
      <w:r>
        <w:rPr>
          <w:sz w:val="16"/>
        </w:rPr>
        <w:t>la</w:t>
      </w:r>
      <w:r>
        <w:rPr>
          <w:spacing w:val="-9"/>
          <w:sz w:val="16"/>
        </w:rPr>
        <w:t> </w:t>
      </w:r>
      <w:r>
        <w:rPr>
          <w:sz w:val="16"/>
        </w:rPr>
        <w:t>misma,</w:t>
      </w:r>
      <w:r>
        <w:rPr>
          <w:spacing w:val="-7"/>
          <w:sz w:val="16"/>
        </w:rPr>
        <w:t> </w:t>
      </w:r>
      <w:r>
        <w:rPr>
          <w:sz w:val="16"/>
        </w:rPr>
        <w:t>toda</w:t>
      </w:r>
      <w:r>
        <w:rPr>
          <w:spacing w:val="-10"/>
          <w:sz w:val="16"/>
        </w:rPr>
        <w:t> </w:t>
      </w:r>
      <w:r>
        <w:rPr>
          <w:sz w:val="16"/>
        </w:rPr>
        <w:t>vez</w:t>
      </w:r>
      <w:r>
        <w:rPr>
          <w:spacing w:val="-9"/>
          <w:sz w:val="16"/>
        </w:rPr>
        <w:t> </w:t>
      </w:r>
      <w:r>
        <w:rPr>
          <w:sz w:val="16"/>
        </w:rPr>
        <w:t>que</w:t>
      </w:r>
      <w:r>
        <w:rPr>
          <w:spacing w:val="-8"/>
          <w:sz w:val="16"/>
        </w:rPr>
        <w:t> </w:t>
      </w:r>
      <w:r>
        <w:rPr>
          <w:sz w:val="16"/>
        </w:rPr>
        <w:t>no</w:t>
      </w:r>
      <w:r>
        <w:rPr>
          <w:spacing w:val="-10"/>
          <w:sz w:val="16"/>
        </w:rPr>
        <w:t> </w:t>
      </w:r>
      <w:r>
        <w:rPr>
          <w:sz w:val="16"/>
        </w:rPr>
        <w:t>se</w:t>
      </w:r>
      <w:r>
        <w:rPr>
          <w:spacing w:val="-8"/>
          <w:sz w:val="16"/>
        </w:rPr>
        <w:t> </w:t>
      </w:r>
      <w:r>
        <w:rPr>
          <w:sz w:val="16"/>
        </w:rPr>
        <w:t>cumplieron</w:t>
      </w:r>
      <w:r>
        <w:rPr>
          <w:spacing w:val="-9"/>
          <w:sz w:val="16"/>
        </w:rPr>
        <w:t> </w:t>
      </w:r>
      <w:r>
        <w:rPr>
          <w:sz w:val="16"/>
        </w:rPr>
        <w:t>los</w:t>
      </w:r>
      <w:r>
        <w:rPr>
          <w:spacing w:val="-8"/>
          <w:sz w:val="16"/>
        </w:rPr>
        <w:t> </w:t>
      </w:r>
      <w:r>
        <w:rPr>
          <w:sz w:val="16"/>
        </w:rPr>
        <w:t>derechos</w:t>
      </w:r>
      <w:r>
        <w:rPr>
          <w:spacing w:val="-8"/>
          <w:sz w:val="16"/>
        </w:rPr>
        <w:t> </w:t>
      </w:r>
      <w:r>
        <w:rPr>
          <w:sz w:val="16"/>
        </w:rPr>
        <w:t>legalmente</w:t>
      </w:r>
      <w:r>
        <w:rPr>
          <w:spacing w:val="-8"/>
          <w:sz w:val="16"/>
        </w:rPr>
        <w:t> </w:t>
      </w:r>
      <w:r>
        <w:rPr>
          <w:sz w:val="16"/>
        </w:rPr>
        <w:t>reconocidos</w:t>
      </w:r>
      <w:r>
        <w:rPr>
          <w:spacing w:val="-8"/>
          <w:sz w:val="16"/>
        </w:rPr>
        <w:t> </w:t>
      </w:r>
      <w:r>
        <w:rPr>
          <w:sz w:val="16"/>
        </w:rPr>
        <w:t>a</w:t>
      </w:r>
      <w:r>
        <w:rPr>
          <w:spacing w:val="-9"/>
          <w:sz w:val="16"/>
        </w:rPr>
        <w:t> </w:t>
      </w:r>
      <w:r>
        <w:rPr>
          <w:sz w:val="16"/>
        </w:rPr>
        <w:t>las</w:t>
      </w:r>
      <w:r>
        <w:rPr>
          <w:spacing w:val="-8"/>
          <w:sz w:val="16"/>
        </w:rPr>
        <w:t> </w:t>
      </w:r>
      <w:r>
        <w:rPr>
          <w:sz w:val="16"/>
        </w:rPr>
        <w:t>comunidades mediante decretos provinciales, ni se proveyó a las comunidades de un procedimiento específico, claramente regulado e idóneo para hacer valer su derecho a la propiedad</w:t>
      </w:r>
      <w:r>
        <w:rPr>
          <w:spacing w:val="-23"/>
          <w:sz w:val="16"/>
        </w:rPr>
        <w:t> </w:t>
      </w:r>
      <w:r>
        <w:rPr>
          <w:sz w:val="16"/>
        </w:rPr>
        <w:t>colectiva”.</w:t>
      </w:r>
    </w:p>
    <w:p>
      <w:pPr>
        <w:pStyle w:val="BodyText"/>
        <w:spacing w:before="11"/>
        <w:rPr>
          <w:sz w:val="15"/>
        </w:rPr>
      </w:pPr>
    </w:p>
    <w:p>
      <w:pPr>
        <w:tabs>
          <w:tab w:pos="1254" w:val="left" w:leader="none"/>
        </w:tabs>
        <w:spacing w:line="240" w:lineRule="auto" w:before="0"/>
        <w:ind w:left="122" w:right="117" w:firstLine="0"/>
        <w:jc w:val="both"/>
        <w:rPr>
          <w:sz w:val="16"/>
        </w:rPr>
      </w:pPr>
      <w:r>
        <w:rPr>
          <w:position w:val="6"/>
          <w:sz w:val="10"/>
        </w:rPr>
        <w:t>114</w:t>
        <w:tab/>
      </w:r>
      <w:r>
        <w:rPr>
          <w:sz w:val="16"/>
        </w:rPr>
        <w:t>La Comisión notó que dada la diferencia entre el modo de vida cazador-recolector, </w:t>
      </w:r>
      <w:r>
        <w:rPr>
          <w:spacing w:val="28"/>
          <w:sz w:val="16"/>
        </w:rPr>
        <w:t> </w:t>
      </w:r>
      <w:r>
        <w:rPr>
          <w:sz w:val="16"/>
        </w:rPr>
        <w:t>pescador</w:t>
      </w:r>
      <w:r>
        <w:rPr>
          <w:spacing w:val="6"/>
          <w:sz w:val="16"/>
        </w:rPr>
        <w:t> </w:t>
      </w:r>
      <w:r>
        <w:rPr>
          <w:sz w:val="16"/>
        </w:rPr>
        <w:t>y</w:t>
      </w:r>
      <w:r>
        <w:rPr>
          <w:w w:val="100"/>
          <w:sz w:val="16"/>
        </w:rPr>
        <w:t> </w:t>
      </w:r>
      <w:r>
        <w:rPr>
          <w:sz w:val="16"/>
        </w:rPr>
        <w:t>nómada de las comunidades indígenas, y el modo de vida ganadero de la población criolla, que degrada su hábitat natural, han surgido conflictos y tensiones por causa del uso de la tierra y el acceso a los recursos naturales.</w:t>
      </w:r>
      <w:r>
        <w:rPr>
          <w:spacing w:val="-9"/>
          <w:sz w:val="16"/>
        </w:rPr>
        <w:t> </w:t>
      </w:r>
      <w:r>
        <w:rPr>
          <w:sz w:val="16"/>
        </w:rPr>
        <w:t>Uno</w:t>
      </w:r>
      <w:r>
        <w:rPr>
          <w:spacing w:val="-12"/>
          <w:sz w:val="16"/>
        </w:rPr>
        <w:t> </w:t>
      </w:r>
      <w:r>
        <w:rPr>
          <w:sz w:val="16"/>
        </w:rPr>
        <w:t>de</w:t>
      </w:r>
      <w:r>
        <w:rPr>
          <w:spacing w:val="-11"/>
          <w:sz w:val="16"/>
        </w:rPr>
        <w:t> </w:t>
      </w:r>
      <w:r>
        <w:rPr>
          <w:sz w:val="16"/>
        </w:rPr>
        <w:t>los</w:t>
      </w:r>
      <w:r>
        <w:rPr>
          <w:spacing w:val="-13"/>
          <w:sz w:val="16"/>
        </w:rPr>
        <w:t> </w:t>
      </w:r>
      <w:r>
        <w:rPr>
          <w:sz w:val="16"/>
        </w:rPr>
        <w:t>principales</w:t>
      </w:r>
      <w:r>
        <w:rPr>
          <w:spacing w:val="-10"/>
          <w:sz w:val="16"/>
        </w:rPr>
        <w:t> </w:t>
      </w:r>
      <w:r>
        <w:rPr>
          <w:sz w:val="16"/>
        </w:rPr>
        <w:t>problemas</w:t>
      </w:r>
      <w:r>
        <w:rPr>
          <w:spacing w:val="-11"/>
          <w:sz w:val="16"/>
        </w:rPr>
        <w:t> </w:t>
      </w:r>
      <w:r>
        <w:rPr>
          <w:sz w:val="16"/>
        </w:rPr>
        <w:t>es</w:t>
      </w:r>
      <w:r>
        <w:rPr>
          <w:spacing w:val="-10"/>
          <w:sz w:val="16"/>
        </w:rPr>
        <w:t> </w:t>
      </w:r>
      <w:r>
        <w:rPr>
          <w:sz w:val="16"/>
        </w:rPr>
        <w:t>el</w:t>
      </w:r>
      <w:r>
        <w:rPr>
          <w:spacing w:val="-12"/>
          <w:sz w:val="16"/>
        </w:rPr>
        <w:t> </w:t>
      </w:r>
      <w:r>
        <w:rPr>
          <w:sz w:val="16"/>
        </w:rPr>
        <w:t>de</w:t>
      </w:r>
      <w:r>
        <w:rPr>
          <w:spacing w:val="-11"/>
          <w:sz w:val="16"/>
        </w:rPr>
        <w:t> </w:t>
      </w:r>
      <w:r>
        <w:rPr>
          <w:sz w:val="16"/>
        </w:rPr>
        <w:t>la</w:t>
      </w:r>
      <w:r>
        <w:rPr>
          <w:spacing w:val="-9"/>
          <w:sz w:val="16"/>
        </w:rPr>
        <w:t> </w:t>
      </w:r>
      <w:r>
        <w:rPr>
          <w:sz w:val="16"/>
        </w:rPr>
        <w:t>apropiación</w:t>
      </w:r>
      <w:r>
        <w:rPr>
          <w:spacing w:val="-9"/>
          <w:sz w:val="16"/>
        </w:rPr>
        <w:t> </w:t>
      </w:r>
      <w:r>
        <w:rPr>
          <w:sz w:val="16"/>
        </w:rPr>
        <w:t>de</w:t>
      </w:r>
      <w:r>
        <w:rPr>
          <w:spacing w:val="-8"/>
          <w:sz w:val="16"/>
        </w:rPr>
        <w:t> </w:t>
      </w:r>
      <w:r>
        <w:rPr>
          <w:sz w:val="16"/>
        </w:rPr>
        <w:t>tierras</w:t>
      </w:r>
      <w:r>
        <w:rPr>
          <w:spacing w:val="-10"/>
          <w:sz w:val="16"/>
        </w:rPr>
        <w:t> </w:t>
      </w:r>
      <w:r>
        <w:rPr>
          <w:sz w:val="16"/>
        </w:rPr>
        <w:t>y</w:t>
      </w:r>
      <w:r>
        <w:rPr>
          <w:spacing w:val="-10"/>
          <w:sz w:val="16"/>
        </w:rPr>
        <w:t> </w:t>
      </w:r>
      <w:r>
        <w:rPr>
          <w:sz w:val="16"/>
        </w:rPr>
        <w:t>el</w:t>
      </w:r>
      <w:r>
        <w:rPr>
          <w:spacing w:val="-12"/>
          <w:sz w:val="16"/>
        </w:rPr>
        <w:t> </w:t>
      </w:r>
      <w:r>
        <w:rPr>
          <w:sz w:val="16"/>
        </w:rPr>
        <w:t>tendido</w:t>
      </w:r>
      <w:r>
        <w:rPr>
          <w:spacing w:val="-10"/>
          <w:sz w:val="16"/>
        </w:rPr>
        <w:t> </w:t>
      </w:r>
      <w:r>
        <w:rPr>
          <w:sz w:val="16"/>
        </w:rPr>
        <w:t>de</w:t>
      </w:r>
      <w:r>
        <w:rPr>
          <w:spacing w:val="-8"/>
          <w:sz w:val="16"/>
        </w:rPr>
        <w:t> </w:t>
      </w:r>
      <w:r>
        <w:rPr>
          <w:sz w:val="16"/>
        </w:rPr>
        <w:t>cercas</w:t>
      </w:r>
      <w:r>
        <w:rPr>
          <w:spacing w:val="-11"/>
          <w:sz w:val="16"/>
        </w:rPr>
        <w:t> </w:t>
      </w:r>
      <w:r>
        <w:rPr>
          <w:sz w:val="16"/>
        </w:rPr>
        <w:t>de</w:t>
      </w:r>
      <w:r>
        <w:rPr>
          <w:spacing w:val="-11"/>
          <w:sz w:val="16"/>
        </w:rPr>
        <w:t> </w:t>
      </w:r>
      <w:r>
        <w:rPr>
          <w:sz w:val="16"/>
        </w:rPr>
        <w:t>alambre por parte de los criollos, que impiden, restringen y coartan la movilidad de los</w:t>
      </w:r>
      <w:r>
        <w:rPr>
          <w:spacing w:val="-29"/>
          <w:sz w:val="16"/>
        </w:rPr>
        <w:t> </w:t>
      </w:r>
      <w:r>
        <w:rPr>
          <w:sz w:val="16"/>
        </w:rPr>
        <w:t>indígenas.</w:t>
      </w:r>
    </w:p>
    <w:p>
      <w:pPr>
        <w:spacing w:after="0" w:line="240" w:lineRule="auto"/>
        <w:jc w:val="both"/>
        <w:rPr>
          <w:sz w:val="16"/>
        </w:rPr>
        <w:sectPr>
          <w:footerReference w:type="default" r:id="rId17"/>
          <w:pgSz w:w="12240" w:h="15840"/>
          <w:pgMar w:footer="1000" w:header="0" w:top="1340" w:bottom="1200" w:left="1580" w:right="1580"/>
        </w:sectPr>
      </w:pPr>
    </w:p>
    <w:p>
      <w:pPr>
        <w:pStyle w:val="ListParagraph"/>
        <w:numPr>
          <w:ilvl w:val="0"/>
          <w:numId w:val="21"/>
        </w:numPr>
        <w:tabs>
          <w:tab w:pos="830" w:val="left" w:leader="none"/>
        </w:tabs>
        <w:spacing w:line="240" w:lineRule="auto" w:before="161" w:after="0"/>
        <w:ind w:left="122" w:right="125" w:firstLine="0"/>
        <w:jc w:val="both"/>
        <w:rPr>
          <w:sz w:val="20"/>
        </w:rPr>
      </w:pPr>
      <w:r>
        <w:rPr>
          <w:sz w:val="20"/>
        </w:rPr>
        <w:t>Los</w:t>
      </w:r>
      <w:r>
        <w:rPr>
          <w:spacing w:val="-15"/>
          <w:sz w:val="20"/>
        </w:rPr>
        <w:t> </w:t>
      </w:r>
      <w:r>
        <w:rPr>
          <w:b/>
          <w:i/>
          <w:sz w:val="20"/>
        </w:rPr>
        <w:t>representantes</w:t>
      </w:r>
      <w:r>
        <w:rPr>
          <w:b/>
          <w:i/>
          <w:spacing w:val="-14"/>
          <w:sz w:val="20"/>
        </w:rPr>
        <w:t> </w:t>
      </w:r>
      <w:r>
        <w:rPr>
          <w:sz w:val="20"/>
        </w:rPr>
        <w:t>alegaron</w:t>
      </w:r>
      <w:r>
        <w:rPr>
          <w:spacing w:val="-15"/>
          <w:sz w:val="20"/>
        </w:rPr>
        <w:t> </w:t>
      </w:r>
      <w:r>
        <w:rPr>
          <w:sz w:val="20"/>
        </w:rPr>
        <w:t>la</w:t>
      </w:r>
      <w:r>
        <w:rPr>
          <w:spacing w:val="-16"/>
          <w:sz w:val="20"/>
        </w:rPr>
        <w:t> </w:t>
      </w:r>
      <w:r>
        <w:rPr>
          <w:sz w:val="20"/>
        </w:rPr>
        <w:t>violación</w:t>
      </w:r>
      <w:r>
        <w:rPr>
          <w:spacing w:val="-16"/>
          <w:sz w:val="20"/>
        </w:rPr>
        <w:t> </w:t>
      </w:r>
      <w:r>
        <w:rPr>
          <w:sz w:val="20"/>
        </w:rPr>
        <w:t>del</w:t>
      </w:r>
      <w:r>
        <w:rPr>
          <w:spacing w:val="-16"/>
          <w:sz w:val="20"/>
        </w:rPr>
        <w:t> </w:t>
      </w:r>
      <w:r>
        <w:rPr>
          <w:sz w:val="20"/>
        </w:rPr>
        <w:t>derecho</w:t>
      </w:r>
      <w:r>
        <w:rPr>
          <w:spacing w:val="-17"/>
          <w:sz w:val="20"/>
        </w:rPr>
        <w:t> </w:t>
      </w:r>
      <w:r>
        <w:rPr>
          <w:sz w:val="20"/>
        </w:rPr>
        <w:t>a</w:t>
      </w:r>
      <w:r>
        <w:rPr>
          <w:spacing w:val="-16"/>
          <w:sz w:val="20"/>
        </w:rPr>
        <w:t> </w:t>
      </w:r>
      <w:r>
        <w:rPr>
          <w:sz w:val="20"/>
        </w:rPr>
        <w:t>la</w:t>
      </w:r>
      <w:r>
        <w:rPr>
          <w:spacing w:val="-16"/>
          <w:sz w:val="20"/>
        </w:rPr>
        <w:t> </w:t>
      </w:r>
      <w:r>
        <w:rPr>
          <w:sz w:val="20"/>
        </w:rPr>
        <w:t>propiedad</w:t>
      </w:r>
      <w:r>
        <w:rPr>
          <w:spacing w:val="-14"/>
          <w:sz w:val="20"/>
        </w:rPr>
        <w:t> </w:t>
      </w:r>
      <w:r>
        <w:rPr>
          <w:sz w:val="20"/>
        </w:rPr>
        <w:t>comunitaria por: a) la inefectividad de normas para permitir el goce efectivo del derecho; b) el dictado de normas contrarias a la vigencia del “derecho a la propiedad comunal”; c) “la implementación de una metodología de trabajo en terreno signada, primero, por la modificación sucesiva y unilateral de los procedimientos aplicables y, luego, por la decisión de sujetar […] el proceso a la voluntad de terceros” (pobladores criollos), y d) la falta “en […] Argentina y en Salta de un mecanismo institucional de demarcación y delimitación de los territorios”. Adujeron la violación a los mismos derechos y obligaciones que los indicados por la</w:t>
      </w:r>
      <w:r>
        <w:rPr>
          <w:spacing w:val="-16"/>
          <w:sz w:val="20"/>
        </w:rPr>
        <w:t> </w:t>
      </w:r>
      <w:r>
        <w:rPr>
          <w:sz w:val="20"/>
        </w:rPr>
        <w:t>Comisión</w:t>
      </w:r>
      <w:r>
        <w:rPr>
          <w:position w:val="7"/>
          <w:sz w:val="13"/>
        </w:rPr>
        <w:t>115</w:t>
      </w:r>
      <w:r>
        <w:rPr>
          <w:sz w:val="20"/>
        </w:rPr>
        <w:t>.</w:t>
      </w:r>
    </w:p>
    <w:p>
      <w:pPr>
        <w:pStyle w:val="BodyText"/>
        <w:spacing w:before="10"/>
        <w:rPr>
          <w:sz w:val="19"/>
        </w:rPr>
      </w:pPr>
    </w:p>
    <w:p>
      <w:pPr>
        <w:pStyle w:val="ListParagraph"/>
        <w:numPr>
          <w:ilvl w:val="0"/>
          <w:numId w:val="21"/>
        </w:numPr>
        <w:tabs>
          <w:tab w:pos="830" w:val="left" w:leader="none"/>
        </w:tabs>
        <w:spacing w:line="240" w:lineRule="auto" w:before="0" w:after="0"/>
        <w:ind w:left="122" w:right="129" w:firstLine="0"/>
        <w:jc w:val="both"/>
        <w:rPr>
          <w:sz w:val="20"/>
        </w:rPr>
      </w:pPr>
      <w:r>
        <w:rPr>
          <w:sz w:val="20"/>
        </w:rPr>
        <w:t>Los</w:t>
      </w:r>
      <w:r>
        <w:rPr>
          <w:spacing w:val="-8"/>
          <w:sz w:val="20"/>
        </w:rPr>
        <w:t> </w:t>
      </w:r>
      <w:r>
        <w:rPr>
          <w:sz w:val="20"/>
        </w:rPr>
        <w:t>representantes</w:t>
      </w:r>
      <w:r>
        <w:rPr>
          <w:spacing w:val="-6"/>
          <w:sz w:val="20"/>
        </w:rPr>
        <w:t> </w:t>
      </w:r>
      <w:r>
        <w:rPr>
          <w:sz w:val="20"/>
        </w:rPr>
        <w:t>precisaron</w:t>
      </w:r>
      <w:r>
        <w:rPr>
          <w:spacing w:val="-7"/>
          <w:sz w:val="20"/>
        </w:rPr>
        <w:t> </w:t>
      </w:r>
      <w:r>
        <w:rPr>
          <w:sz w:val="20"/>
        </w:rPr>
        <w:t>que</w:t>
      </w:r>
      <w:r>
        <w:rPr>
          <w:spacing w:val="-7"/>
          <w:sz w:val="20"/>
        </w:rPr>
        <w:t> </w:t>
      </w:r>
      <w:r>
        <w:rPr>
          <w:sz w:val="20"/>
        </w:rPr>
        <w:t>el</w:t>
      </w:r>
      <w:r>
        <w:rPr>
          <w:spacing w:val="-10"/>
          <w:sz w:val="20"/>
        </w:rPr>
        <w:t> </w:t>
      </w:r>
      <w:r>
        <w:rPr>
          <w:sz w:val="20"/>
        </w:rPr>
        <w:t>Estado</w:t>
      </w:r>
      <w:r>
        <w:rPr>
          <w:spacing w:val="-11"/>
          <w:sz w:val="20"/>
        </w:rPr>
        <w:t> </w:t>
      </w:r>
      <w:r>
        <w:rPr>
          <w:sz w:val="20"/>
        </w:rPr>
        <w:t>no</w:t>
      </w:r>
      <w:r>
        <w:rPr>
          <w:spacing w:val="-6"/>
          <w:sz w:val="20"/>
        </w:rPr>
        <w:t> </w:t>
      </w:r>
      <w:r>
        <w:rPr>
          <w:sz w:val="20"/>
        </w:rPr>
        <w:t>brindó</w:t>
      </w:r>
      <w:r>
        <w:rPr>
          <w:spacing w:val="-11"/>
          <w:sz w:val="20"/>
        </w:rPr>
        <w:t> </w:t>
      </w:r>
      <w:r>
        <w:rPr>
          <w:sz w:val="20"/>
        </w:rPr>
        <w:t>un</w:t>
      </w:r>
      <w:r>
        <w:rPr>
          <w:spacing w:val="-9"/>
          <w:sz w:val="20"/>
        </w:rPr>
        <w:t> </w:t>
      </w:r>
      <w:r>
        <w:rPr>
          <w:sz w:val="20"/>
        </w:rPr>
        <w:t>procedimiento</w:t>
      </w:r>
      <w:r>
        <w:rPr>
          <w:spacing w:val="-9"/>
          <w:sz w:val="20"/>
        </w:rPr>
        <w:t> </w:t>
      </w:r>
      <w:r>
        <w:rPr>
          <w:sz w:val="20"/>
        </w:rPr>
        <w:t>efectivo que posibilitara la “delimitación, demarcación y titulación del territorio indígena” y que pudiera</w:t>
      </w:r>
      <w:r>
        <w:rPr>
          <w:spacing w:val="-8"/>
          <w:sz w:val="20"/>
        </w:rPr>
        <w:t> </w:t>
      </w:r>
      <w:r>
        <w:rPr>
          <w:sz w:val="20"/>
        </w:rPr>
        <w:t>dar</w:t>
      </w:r>
      <w:r>
        <w:rPr>
          <w:spacing w:val="-7"/>
          <w:sz w:val="20"/>
        </w:rPr>
        <w:t> </w:t>
      </w:r>
      <w:r>
        <w:rPr>
          <w:sz w:val="20"/>
        </w:rPr>
        <w:t>“respuesta</w:t>
      </w:r>
      <w:r>
        <w:rPr>
          <w:spacing w:val="-7"/>
          <w:sz w:val="20"/>
        </w:rPr>
        <w:t> </w:t>
      </w:r>
      <w:r>
        <w:rPr>
          <w:sz w:val="20"/>
        </w:rPr>
        <w:t>concreta</w:t>
      </w:r>
      <w:r>
        <w:rPr>
          <w:spacing w:val="-9"/>
          <w:sz w:val="20"/>
        </w:rPr>
        <w:t> </w:t>
      </w:r>
      <w:r>
        <w:rPr>
          <w:sz w:val="20"/>
        </w:rPr>
        <w:t>a</w:t>
      </w:r>
      <w:r>
        <w:rPr>
          <w:spacing w:val="-7"/>
          <w:sz w:val="20"/>
        </w:rPr>
        <w:t> </w:t>
      </w:r>
      <w:r>
        <w:rPr>
          <w:sz w:val="20"/>
        </w:rPr>
        <w:t>las</w:t>
      </w:r>
      <w:r>
        <w:rPr>
          <w:spacing w:val="-10"/>
          <w:sz w:val="20"/>
        </w:rPr>
        <w:t> </w:t>
      </w:r>
      <w:r>
        <w:rPr>
          <w:sz w:val="20"/>
        </w:rPr>
        <w:t>reivindicaciones</w:t>
      </w:r>
      <w:r>
        <w:rPr>
          <w:spacing w:val="-10"/>
          <w:sz w:val="20"/>
        </w:rPr>
        <w:t> </w:t>
      </w:r>
      <w:r>
        <w:rPr>
          <w:sz w:val="20"/>
        </w:rPr>
        <w:t>territoriales</w:t>
      </w:r>
      <w:r>
        <w:rPr>
          <w:spacing w:val="-10"/>
          <w:sz w:val="20"/>
        </w:rPr>
        <w:t> </w:t>
      </w:r>
      <w:r>
        <w:rPr>
          <w:sz w:val="20"/>
        </w:rPr>
        <w:t>de</w:t>
      </w:r>
      <w:r>
        <w:rPr>
          <w:spacing w:val="-10"/>
          <w:sz w:val="20"/>
        </w:rPr>
        <w:t> </w:t>
      </w:r>
      <w:r>
        <w:rPr>
          <w:sz w:val="20"/>
        </w:rPr>
        <w:t>las</w:t>
      </w:r>
      <w:r>
        <w:rPr>
          <w:spacing w:val="-10"/>
          <w:sz w:val="20"/>
        </w:rPr>
        <w:t> </w:t>
      </w:r>
      <w:r>
        <w:rPr>
          <w:sz w:val="20"/>
        </w:rPr>
        <w:t>comunidades”, inclusive respecto del “saneamiento del</w:t>
      </w:r>
      <w:r>
        <w:rPr>
          <w:spacing w:val="-17"/>
          <w:sz w:val="20"/>
        </w:rPr>
        <w:t> </w:t>
      </w:r>
      <w:r>
        <w:rPr>
          <w:sz w:val="20"/>
        </w:rPr>
        <w:t>[territorio]”.</w:t>
      </w:r>
    </w:p>
    <w:p>
      <w:pPr>
        <w:pStyle w:val="BodyText"/>
        <w:spacing w:before="1"/>
      </w:pPr>
    </w:p>
    <w:p>
      <w:pPr>
        <w:pStyle w:val="ListParagraph"/>
        <w:numPr>
          <w:ilvl w:val="0"/>
          <w:numId w:val="21"/>
        </w:numPr>
        <w:tabs>
          <w:tab w:pos="830" w:val="left" w:leader="none"/>
        </w:tabs>
        <w:spacing w:line="240" w:lineRule="auto" w:before="0" w:after="0"/>
        <w:ind w:left="122" w:right="124" w:firstLine="0"/>
        <w:jc w:val="both"/>
        <w:rPr>
          <w:sz w:val="20"/>
        </w:rPr>
      </w:pPr>
      <w:r>
        <w:rPr>
          <w:sz w:val="20"/>
        </w:rPr>
        <w:t>Indicaron que la violación del derecho de propiedad “se configura” dado que</w:t>
      </w:r>
      <w:r>
        <w:rPr>
          <w:spacing w:val="-30"/>
          <w:sz w:val="20"/>
        </w:rPr>
        <w:t> </w:t>
      </w:r>
      <w:r>
        <w:rPr>
          <w:sz w:val="20"/>
        </w:rPr>
        <w:t>“las comunidades indígenas no cuentan aún con el título sobre su propiedad comunitaria [y e]stán</w:t>
      </w:r>
      <w:r>
        <w:rPr>
          <w:spacing w:val="-14"/>
          <w:sz w:val="20"/>
        </w:rPr>
        <w:t> </w:t>
      </w:r>
      <w:r>
        <w:rPr>
          <w:sz w:val="20"/>
        </w:rPr>
        <w:t>lejos</w:t>
      </w:r>
      <w:r>
        <w:rPr>
          <w:spacing w:val="-14"/>
          <w:sz w:val="20"/>
        </w:rPr>
        <w:t> </w:t>
      </w:r>
      <w:r>
        <w:rPr>
          <w:sz w:val="20"/>
        </w:rPr>
        <w:t>de</w:t>
      </w:r>
      <w:r>
        <w:rPr>
          <w:spacing w:val="-16"/>
          <w:sz w:val="20"/>
        </w:rPr>
        <w:t> </w:t>
      </w:r>
      <w:r>
        <w:rPr>
          <w:sz w:val="20"/>
        </w:rPr>
        <w:t>terminarse</w:t>
      </w:r>
      <w:r>
        <w:rPr>
          <w:spacing w:val="-15"/>
          <w:sz w:val="20"/>
        </w:rPr>
        <w:t> </w:t>
      </w:r>
      <w:r>
        <w:rPr>
          <w:sz w:val="20"/>
        </w:rPr>
        <w:t>los</w:t>
      </w:r>
      <w:r>
        <w:rPr>
          <w:spacing w:val="-16"/>
          <w:sz w:val="20"/>
        </w:rPr>
        <w:t> </w:t>
      </w:r>
      <w:r>
        <w:rPr>
          <w:sz w:val="20"/>
        </w:rPr>
        <w:t>trabajos</w:t>
      </w:r>
      <w:r>
        <w:rPr>
          <w:spacing w:val="-14"/>
          <w:sz w:val="20"/>
        </w:rPr>
        <w:t> </w:t>
      </w:r>
      <w:r>
        <w:rPr>
          <w:sz w:val="20"/>
        </w:rPr>
        <w:t>de</w:t>
      </w:r>
      <w:r>
        <w:rPr>
          <w:spacing w:val="-16"/>
          <w:sz w:val="20"/>
        </w:rPr>
        <w:t> </w:t>
      </w:r>
      <w:r>
        <w:rPr>
          <w:sz w:val="20"/>
        </w:rPr>
        <w:t>demarcación</w:t>
      </w:r>
      <w:r>
        <w:rPr>
          <w:spacing w:val="-12"/>
          <w:sz w:val="20"/>
        </w:rPr>
        <w:t> </w:t>
      </w:r>
      <w:r>
        <w:rPr>
          <w:sz w:val="20"/>
        </w:rPr>
        <w:t>y</w:t>
      </w:r>
      <w:r>
        <w:rPr>
          <w:spacing w:val="-13"/>
          <w:sz w:val="20"/>
        </w:rPr>
        <w:t> </w:t>
      </w:r>
      <w:r>
        <w:rPr>
          <w:sz w:val="20"/>
        </w:rPr>
        <w:t>delimitación</w:t>
      </w:r>
      <w:r>
        <w:rPr>
          <w:spacing w:val="-14"/>
          <w:sz w:val="20"/>
        </w:rPr>
        <w:t> </w:t>
      </w:r>
      <w:r>
        <w:rPr>
          <w:sz w:val="20"/>
        </w:rPr>
        <w:t>de</w:t>
      </w:r>
      <w:r>
        <w:rPr>
          <w:spacing w:val="-14"/>
          <w:sz w:val="20"/>
        </w:rPr>
        <w:t> </w:t>
      </w:r>
      <w:r>
        <w:rPr>
          <w:sz w:val="20"/>
        </w:rPr>
        <w:t>sus</w:t>
      </w:r>
      <w:r>
        <w:rPr>
          <w:spacing w:val="-15"/>
          <w:sz w:val="20"/>
        </w:rPr>
        <w:t> </w:t>
      </w:r>
      <w:r>
        <w:rPr>
          <w:sz w:val="20"/>
        </w:rPr>
        <w:t>territorios”. Enfatizaron</w:t>
      </w:r>
      <w:r>
        <w:rPr>
          <w:spacing w:val="-5"/>
          <w:sz w:val="20"/>
        </w:rPr>
        <w:t> </w:t>
      </w:r>
      <w:r>
        <w:rPr>
          <w:sz w:val="20"/>
        </w:rPr>
        <w:t>que</w:t>
      </w:r>
      <w:r>
        <w:rPr>
          <w:spacing w:val="-5"/>
          <w:sz w:val="20"/>
        </w:rPr>
        <w:t> </w:t>
      </w:r>
      <w:r>
        <w:rPr>
          <w:sz w:val="20"/>
        </w:rPr>
        <w:t>el</w:t>
      </w:r>
      <w:r>
        <w:rPr>
          <w:spacing w:val="-5"/>
          <w:sz w:val="20"/>
        </w:rPr>
        <w:t> </w:t>
      </w:r>
      <w:r>
        <w:rPr>
          <w:sz w:val="20"/>
        </w:rPr>
        <w:t>título,</w:t>
      </w:r>
      <w:r>
        <w:rPr>
          <w:spacing w:val="-6"/>
          <w:sz w:val="20"/>
        </w:rPr>
        <w:t> </w:t>
      </w:r>
      <w:r>
        <w:rPr>
          <w:sz w:val="20"/>
        </w:rPr>
        <w:t>para</w:t>
      </w:r>
      <w:r>
        <w:rPr>
          <w:spacing w:val="-4"/>
          <w:sz w:val="20"/>
        </w:rPr>
        <w:t> </w:t>
      </w:r>
      <w:r>
        <w:rPr>
          <w:sz w:val="20"/>
        </w:rPr>
        <w:t>ser</w:t>
      </w:r>
      <w:r>
        <w:rPr>
          <w:spacing w:val="-2"/>
          <w:sz w:val="20"/>
        </w:rPr>
        <w:t> </w:t>
      </w:r>
      <w:r>
        <w:rPr>
          <w:sz w:val="20"/>
        </w:rPr>
        <w:t>respetuoso</w:t>
      </w:r>
      <w:r>
        <w:rPr>
          <w:spacing w:val="-5"/>
          <w:sz w:val="20"/>
        </w:rPr>
        <w:t> </w:t>
      </w:r>
      <w:r>
        <w:rPr>
          <w:sz w:val="20"/>
        </w:rPr>
        <w:t>de “tradiciones</w:t>
      </w:r>
      <w:r>
        <w:rPr>
          <w:spacing w:val="-6"/>
          <w:sz w:val="20"/>
        </w:rPr>
        <w:t> </w:t>
      </w:r>
      <w:r>
        <w:rPr>
          <w:sz w:val="20"/>
        </w:rPr>
        <w:t>y</w:t>
      </w:r>
      <w:r>
        <w:rPr>
          <w:spacing w:val="-5"/>
          <w:sz w:val="20"/>
        </w:rPr>
        <w:t> </w:t>
      </w:r>
      <w:r>
        <w:rPr>
          <w:sz w:val="20"/>
        </w:rPr>
        <w:t>pautas</w:t>
      </w:r>
      <w:r>
        <w:rPr>
          <w:spacing w:val="-4"/>
          <w:sz w:val="20"/>
        </w:rPr>
        <w:t> </w:t>
      </w:r>
      <w:r>
        <w:rPr>
          <w:sz w:val="20"/>
        </w:rPr>
        <w:t>culturales”</w:t>
      </w:r>
      <w:r>
        <w:rPr>
          <w:spacing w:val="-6"/>
          <w:sz w:val="20"/>
        </w:rPr>
        <w:t> </w:t>
      </w:r>
      <w:r>
        <w:rPr>
          <w:sz w:val="20"/>
        </w:rPr>
        <w:t>de</w:t>
      </w:r>
      <w:r>
        <w:rPr>
          <w:spacing w:val="-5"/>
          <w:sz w:val="20"/>
        </w:rPr>
        <w:t> </w:t>
      </w:r>
      <w:r>
        <w:rPr>
          <w:sz w:val="20"/>
        </w:rPr>
        <w:t>las comunidades, debe ser “un solo título colectivo sin subdivisiones internas” o “parcelamiento[s] individual[es]”</w:t>
      </w:r>
      <w:r>
        <w:rPr>
          <w:position w:val="7"/>
          <w:sz w:val="13"/>
        </w:rPr>
        <w:t>116</w:t>
      </w:r>
      <w:r>
        <w:rPr>
          <w:sz w:val="20"/>
        </w:rPr>
        <w:t>. Señalaron que el Decreto 1498/14 no es equiparable a un título y que “ha conformado un condominio entre comunidades […], familias criollas y la propia provincia de Salta sobre los […] lotes […] 55 y</w:t>
      </w:r>
      <w:r>
        <w:rPr>
          <w:spacing w:val="-31"/>
          <w:sz w:val="20"/>
        </w:rPr>
        <w:t> </w:t>
      </w:r>
      <w:r>
        <w:rPr>
          <w:sz w:val="20"/>
        </w:rPr>
        <w:t>14”.</w:t>
      </w:r>
    </w:p>
    <w:p>
      <w:pPr>
        <w:pStyle w:val="BodyText"/>
        <w:spacing w:before="10"/>
        <w:rPr>
          <w:sz w:val="19"/>
        </w:rPr>
      </w:pPr>
    </w:p>
    <w:p>
      <w:pPr>
        <w:pStyle w:val="ListParagraph"/>
        <w:numPr>
          <w:ilvl w:val="0"/>
          <w:numId w:val="21"/>
        </w:numPr>
        <w:tabs>
          <w:tab w:pos="830" w:val="left" w:leader="none"/>
        </w:tabs>
        <w:spacing w:line="240" w:lineRule="auto" w:before="0" w:after="0"/>
        <w:ind w:left="122" w:right="121" w:firstLine="0"/>
        <w:jc w:val="both"/>
        <w:rPr>
          <w:sz w:val="20"/>
        </w:rPr>
      </w:pPr>
      <w:r>
        <w:rPr>
          <w:sz w:val="20"/>
        </w:rPr>
        <w:t>En relación con lo anterior, aseveraron que el Estado ha implementado una metodología de trabajo que desconoce el deber estatal de devolución de las tierras y territorios indígenas, pues solo se trabaja en el supuesto en el que existieren acuerdos de traslado entre indígenas y criollos. Afirmaron que el Estado, de este modo, al “no desarroll[ar] ningún mecanismo alternativo para garantizar los derechos territoriales para los supuestos en que no hubiere acuerdo”, “pretende subsumir toda garantía de derechos de las comunidades indígenas a la voluntad de terceros”</w:t>
      </w:r>
      <w:r>
        <w:rPr>
          <w:rFonts w:ascii="Calibri" w:hAnsi="Calibri"/>
          <w:position w:val="8"/>
          <w:sz w:val="14"/>
        </w:rPr>
        <w:t>117</w:t>
      </w:r>
      <w:r>
        <w:rPr>
          <w:sz w:val="20"/>
        </w:rPr>
        <w:t>. Agregaron que se verificó una “gravísima” violación a los derechos políticos, producto del “fraudulento” referéndum</w:t>
      </w:r>
      <w:r>
        <w:rPr>
          <w:spacing w:val="-17"/>
          <w:sz w:val="20"/>
        </w:rPr>
        <w:t> </w:t>
      </w:r>
      <w:r>
        <w:rPr>
          <w:sz w:val="20"/>
        </w:rPr>
        <w:t>celebrado</w:t>
      </w:r>
      <w:r>
        <w:rPr>
          <w:spacing w:val="-19"/>
          <w:sz w:val="20"/>
        </w:rPr>
        <w:t> </w:t>
      </w:r>
      <w:r>
        <w:rPr>
          <w:sz w:val="20"/>
        </w:rPr>
        <w:t>en</w:t>
      </w:r>
      <w:r>
        <w:rPr>
          <w:spacing w:val="-19"/>
          <w:sz w:val="20"/>
        </w:rPr>
        <w:t> </w:t>
      </w:r>
      <w:r>
        <w:rPr>
          <w:sz w:val="20"/>
        </w:rPr>
        <w:t>el</w:t>
      </w:r>
      <w:r>
        <w:rPr>
          <w:spacing w:val="-20"/>
          <w:sz w:val="20"/>
        </w:rPr>
        <w:t> </w:t>
      </w:r>
      <w:r>
        <w:rPr>
          <w:sz w:val="20"/>
        </w:rPr>
        <w:t>año</w:t>
      </w:r>
      <w:r>
        <w:rPr>
          <w:spacing w:val="-19"/>
          <w:sz w:val="20"/>
        </w:rPr>
        <w:t> </w:t>
      </w:r>
      <w:r>
        <w:rPr>
          <w:sz w:val="20"/>
        </w:rPr>
        <w:t>2005.</w:t>
      </w:r>
      <w:r>
        <w:rPr>
          <w:spacing w:val="-20"/>
          <w:sz w:val="20"/>
        </w:rPr>
        <w:t> </w:t>
      </w:r>
      <w:r>
        <w:rPr>
          <w:sz w:val="20"/>
        </w:rPr>
        <w:t>Sostuvieron</w:t>
      </w:r>
      <w:r>
        <w:rPr>
          <w:spacing w:val="-15"/>
          <w:sz w:val="20"/>
        </w:rPr>
        <w:t> </w:t>
      </w:r>
      <w:r>
        <w:rPr>
          <w:sz w:val="20"/>
        </w:rPr>
        <w:t>que</w:t>
      </w:r>
      <w:r>
        <w:rPr>
          <w:spacing w:val="-21"/>
          <w:sz w:val="20"/>
        </w:rPr>
        <w:t> </w:t>
      </w:r>
      <w:r>
        <w:rPr>
          <w:sz w:val="20"/>
        </w:rPr>
        <w:t>no</w:t>
      </w:r>
      <w:r>
        <w:rPr>
          <w:spacing w:val="-19"/>
          <w:sz w:val="20"/>
        </w:rPr>
        <w:t> </w:t>
      </w:r>
      <w:r>
        <w:rPr>
          <w:sz w:val="20"/>
        </w:rPr>
        <w:t>es</w:t>
      </w:r>
      <w:r>
        <w:rPr>
          <w:spacing w:val="-21"/>
          <w:sz w:val="20"/>
        </w:rPr>
        <w:t> </w:t>
      </w:r>
      <w:r>
        <w:rPr>
          <w:sz w:val="20"/>
        </w:rPr>
        <w:t>posible</w:t>
      </w:r>
      <w:r>
        <w:rPr>
          <w:spacing w:val="-19"/>
          <w:sz w:val="20"/>
        </w:rPr>
        <w:t> </w:t>
      </w:r>
      <w:r>
        <w:rPr>
          <w:sz w:val="20"/>
        </w:rPr>
        <w:t>someter</w:t>
      </w:r>
      <w:r>
        <w:rPr>
          <w:spacing w:val="-21"/>
          <w:sz w:val="20"/>
        </w:rPr>
        <w:t> </w:t>
      </w:r>
      <w:r>
        <w:rPr>
          <w:sz w:val="20"/>
        </w:rPr>
        <w:t>a</w:t>
      </w:r>
      <w:r>
        <w:rPr>
          <w:spacing w:val="-20"/>
          <w:sz w:val="20"/>
        </w:rPr>
        <w:t> </w:t>
      </w:r>
      <w:r>
        <w:rPr>
          <w:sz w:val="20"/>
        </w:rPr>
        <w:t>plebiscito la</w:t>
      </w:r>
      <w:r>
        <w:rPr>
          <w:spacing w:val="-12"/>
          <w:sz w:val="20"/>
        </w:rPr>
        <w:t> </w:t>
      </w:r>
      <w:r>
        <w:rPr>
          <w:sz w:val="20"/>
        </w:rPr>
        <w:t>garantía</w:t>
      </w:r>
      <w:r>
        <w:rPr>
          <w:spacing w:val="-12"/>
          <w:sz w:val="20"/>
        </w:rPr>
        <w:t> </w:t>
      </w:r>
      <w:r>
        <w:rPr>
          <w:sz w:val="20"/>
        </w:rPr>
        <w:t>y</w:t>
      </w:r>
      <w:r>
        <w:rPr>
          <w:spacing w:val="-13"/>
          <w:sz w:val="20"/>
        </w:rPr>
        <w:t> </w:t>
      </w:r>
      <w:r>
        <w:rPr>
          <w:sz w:val="20"/>
        </w:rPr>
        <w:t>protección</w:t>
      </w:r>
      <w:r>
        <w:rPr>
          <w:spacing w:val="-10"/>
          <w:sz w:val="20"/>
        </w:rPr>
        <w:t> </w:t>
      </w:r>
      <w:r>
        <w:rPr>
          <w:sz w:val="20"/>
        </w:rPr>
        <w:t>de</w:t>
      </w:r>
      <w:r>
        <w:rPr>
          <w:spacing w:val="-14"/>
          <w:sz w:val="20"/>
        </w:rPr>
        <w:t> </w:t>
      </w:r>
      <w:r>
        <w:rPr>
          <w:sz w:val="20"/>
        </w:rPr>
        <w:t>los</w:t>
      </w:r>
      <w:r>
        <w:rPr>
          <w:spacing w:val="-13"/>
          <w:sz w:val="20"/>
        </w:rPr>
        <w:t> </w:t>
      </w:r>
      <w:r>
        <w:rPr>
          <w:sz w:val="20"/>
        </w:rPr>
        <w:t>derechos</w:t>
      </w:r>
      <w:r>
        <w:rPr>
          <w:spacing w:val="-11"/>
          <w:sz w:val="20"/>
        </w:rPr>
        <w:t> </w:t>
      </w:r>
      <w:r>
        <w:rPr>
          <w:sz w:val="20"/>
        </w:rPr>
        <w:t>fundamentales</w:t>
      </w:r>
      <w:r>
        <w:rPr>
          <w:spacing w:val="-11"/>
          <w:sz w:val="20"/>
        </w:rPr>
        <w:t> </w:t>
      </w:r>
      <w:r>
        <w:rPr>
          <w:sz w:val="20"/>
        </w:rPr>
        <w:t>de</w:t>
      </w:r>
      <w:r>
        <w:rPr>
          <w:spacing w:val="-14"/>
          <w:sz w:val="20"/>
        </w:rPr>
        <w:t> </w:t>
      </w:r>
      <w:r>
        <w:rPr>
          <w:sz w:val="20"/>
        </w:rPr>
        <w:t>las</w:t>
      </w:r>
      <w:r>
        <w:rPr>
          <w:spacing w:val="-13"/>
          <w:sz w:val="20"/>
        </w:rPr>
        <w:t> </w:t>
      </w:r>
      <w:r>
        <w:rPr>
          <w:sz w:val="20"/>
        </w:rPr>
        <w:t>comunidades</w:t>
      </w:r>
      <w:r>
        <w:rPr>
          <w:spacing w:val="-13"/>
          <w:sz w:val="20"/>
        </w:rPr>
        <w:t> </w:t>
      </w:r>
      <w:r>
        <w:rPr>
          <w:sz w:val="20"/>
        </w:rPr>
        <w:t>indígenas</w:t>
      </w:r>
      <w:r>
        <w:rPr>
          <w:rFonts w:ascii="Calibri" w:hAnsi="Calibri"/>
          <w:position w:val="8"/>
          <w:sz w:val="14"/>
        </w:rPr>
        <w:t>118</w:t>
      </w:r>
      <w:r>
        <w:rPr>
          <w:sz w:val="20"/>
        </w:rPr>
        <w:t>.</w:t>
      </w:r>
    </w:p>
    <w:p>
      <w:pPr>
        <w:pStyle w:val="BodyText"/>
        <w:spacing w:before="9"/>
        <w:rPr>
          <w:sz w:val="18"/>
        </w:rPr>
      </w:pPr>
      <w:r>
        <w:rPr/>
        <w:pict>
          <v:line style="position:absolute;mso-position-horizontal-relative:page;mso-position-vertical-relative:paragraph;z-index:1936;mso-wrap-distance-left:0;mso-wrap-distance-right:0" from="85.103996pt,13.728028pt" to="229.123996pt,13.728028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115</w:t>
        <w:tab/>
      </w:r>
      <w:r>
        <w:rPr>
          <w:sz w:val="16"/>
        </w:rPr>
        <w:t>Cabe</w:t>
      </w:r>
      <w:r>
        <w:rPr>
          <w:spacing w:val="-13"/>
          <w:sz w:val="16"/>
        </w:rPr>
        <w:t> </w:t>
      </w:r>
      <w:r>
        <w:rPr>
          <w:sz w:val="16"/>
        </w:rPr>
        <w:t>aclarar</w:t>
      </w:r>
      <w:r>
        <w:rPr>
          <w:spacing w:val="-12"/>
          <w:sz w:val="16"/>
        </w:rPr>
        <w:t> </w:t>
      </w:r>
      <w:r>
        <w:rPr>
          <w:sz w:val="16"/>
        </w:rPr>
        <w:t>que</w:t>
      </w:r>
      <w:r>
        <w:rPr>
          <w:spacing w:val="-13"/>
          <w:sz w:val="16"/>
        </w:rPr>
        <w:t> </w:t>
      </w:r>
      <w:r>
        <w:rPr>
          <w:sz w:val="16"/>
        </w:rPr>
        <w:t>los</w:t>
      </w:r>
      <w:r>
        <w:rPr>
          <w:spacing w:val="-13"/>
          <w:sz w:val="16"/>
        </w:rPr>
        <w:t> </w:t>
      </w:r>
      <w:r>
        <w:rPr>
          <w:sz w:val="16"/>
        </w:rPr>
        <w:t>representantes</w:t>
      </w:r>
      <w:r>
        <w:rPr>
          <w:spacing w:val="-10"/>
          <w:sz w:val="16"/>
        </w:rPr>
        <w:t> </w:t>
      </w:r>
      <w:r>
        <w:rPr>
          <w:sz w:val="16"/>
        </w:rPr>
        <w:t>al</w:t>
      </w:r>
      <w:r>
        <w:rPr>
          <w:spacing w:val="-14"/>
          <w:sz w:val="16"/>
        </w:rPr>
        <w:t> </w:t>
      </w:r>
      <w:r>
        <w:rPr>
          <w:sz w:val="16"/>
        </w:rPr>
        <w:t>referirse</w:t>
      </w:r>
      <w:r>
        <w:rPr>
          <w:spacing w:val="-13"/>
          <w:sz w:val="16"/>
        </w:rPr>
        <w:t> </w:t>
      </w:r>
      <w:r>
        <w:rPr>
          <w:sz w:val="16"/>
        </w:rPr>
        <w:t>a</w:t>
      </w:r>
      <w:r>
        <w:rPr>
          <w:spacing w:val="-14"/>
          <w:sz w:val="16"/>
        </w:rPr>
        <w:t> </w:t>
      </w:r>
      <w:r>
        <w:rPr>
          <w:sz w:val="16"/>
        </w:rPr>
        <w:t>la</w:t>
      </w:r>
      <w:r>
        <w:rPr>
          <w:spacing w:val="-14"/>
          <w:sz w:val="16"/>
        </w:rPr>
        <w:t> </w:t>
      </w:r>
      <w:r>
        <w:rPr>
          <w:sz w:val="16"/>
        </w:rPr>
        <w:t>violación</w:t>
      </w:r>
      <w:r>
        <w:rPr>
          <w:spacing w:val="-14"/>
          <w:sz w:val="16"/>
        </w:rPr>
        <w:t> </w:t>
      </w:r>
      <w:r>
        <w:rPr>
          <w:sz w:val="16"/>
        </w:rPr>
        <w:t>de</w:t>
      </w:r>
      <w:r>
        <w:rPr>
          <w:spacing w:val="-10"/>
          <w:sz w:val="16"/>
        </w:rPr>
        <w:t> </w:t>
      </w:r>
      <w:r>
        <w:rPr>
          <w:sz w:val="16"/>
        </w:rPr>
        <w:t>los</w:t>
      </w:r>
      <w:r>
        <w:rPr>
          <w:spacing w:val="-13"/>
          <w:sz w:val="16"/>
        </w:rPr>
        <w:t> </w:t>
      </w:r>
      <w:r>
        <w:rPr>
          <w:sz w:val="16"/>
        </w:rPr>
        <w:t>derechos</w:t>
      </w:r>
      <w:r>
        <w:rPr>
          <w:spacing w:val="-13"/>
          <w:sz w:val="16"/>
        </w:rPr>
        <w:t> </w:t>
      </w:r>
      <w:r>
        <w:rPr>
          <w:sz w:val="16"/>
        </w:rPr>
        <w:t>a</w:t>
      </w:r>
      <w:r>
        <w:rPr>
          <w:spacing w:val="-14"/>
          <w:sz w:val="16"/>
        </w:rPr>
        <w:t> </w:t>
      </w:r>
      <w:r>
        <w:rPr>
          <w:sz w:val="16"/>
        </w:rPr>
        <w:t>las</w:t>
      </w:r>
      <w:r>
        <w:rPr>
          <w:spacing w:val="-13"/>
          <w:sz w:val="16"/>
        </w:rPr>
        <w:t> </w:t>
      </w:r>
      <w:r>
        <w:rPr>
          <w:sz w:val="16"/>
        </w:rPr>
        <w:t>garantías</w:t>
      </w:r>
      <w:r>
        <w:rPr>
          <w:spacing w:val="-10"/>
          <w:sz w:val="16"/>
        </w:rPr>
        <w:t> </w:t>
      </w:r>
      <w:r>
        <w:rPr>
          <w:sz w:val="16"/>
        </w:rPr>
        <w:t>judiciales</w:t>
      </w:r>
      <w:r>
        <w:rPr>
          <w:w w:val="100"/>
          <w:sz w:val="16"/>
        </w:rPr>
        <w:t> </w:t>
      </w:r>
      <w:r>
        <w:rPr>
          <w:sz w:val="16"/>
        </w:rPr>
        <w:t>y</w:t>
      </w:r>
      <w:r>
        <w:rPr>
          <w:spacing w:val="-15"/>
          <w:sz w:val="16"/>
        </w:rPr>
        <w:t> </w:t>
      </w:r>
      <w:r>
        <w:rPr>
          <w:sz w:val="16"/>
        </w:rPr>
        <w:t>a</w:t>
      </w:r>
      <w:r>
        <w:rPr>
          <w:spacing w:val="-16"/>
          <w:sz w:val="16"/>
        </w:rPr>
        <w:t> </w:t>
      </w:r>
      <w:r>
        <w:rPr>
          <w:sz w:val="16"/>
        </w:rPr>
        <w:t>la</w:t>
      </w:r>
      <w:r>
        <w:rPr>
          <w:spacing w:val="-16"/>
          <w:sz w:val="16"/>
        </w:rPr>
        <w:t> </w:t>
      </w:r>
      <w:r>
        <w:rPr>
          <w:sz w:val="16"/>
        </w:rPr>
        <w:t>protección</w:t>
      </w:r>
      <w:r>
        <w:rPr>
          <w:spacing w:val="-16"/>
          <w:sz w:val="16"/>
        </w:rPr>
        <w:t> </w:t>
      </w:r>
      <w:r>
        <w:rPr>
          <w:sz w:val="16"/>
        </w:rPr>
        <w:t>judicial,</w:t>
      </w:r>
      <w:r>
        <w:rPr>
          <w:spacing w:val="-16"/>
          <w:sz w:val="16"/>
        </w:rPr>
        <w:t> </w:t>
      </w:r>
      <w:r>
        <w:rPr>
          <w:sz w:val="16"/>
        </w:rPr>
        <w:t>a</w:t>
      </w:r>
      <w:r>
        <w:rPr>
          <w:spacing w:val="-16"/>
          <w:sz w:val="16"/>
        </w:rPr>
        <w:t> </w:t>
      </w:r>
      <w:r>
        <w:rPr>
          <w:sz w:val="16"/>
        </w:rPr>
        <w:t>diferencia</w:t>
      </w:r>
      <w:r>
        <w:rPr>
          <w:spacing w:val="-17"/>
          <w:sz w:val="16"/>
        </w:rPr>
        <w:t> </w:t>
      </w:r>
      <w:r>
        <w:rPr>
          <w:sz w:val="16"/>
        </w:rPr>
        <w:t>de</w:t>
      </w:r>
      <w:r>
        <w:rPr>
          <w:spacing w:val="-18"/>
          <w:sz w:val="16"/>
        </w:rPr>
        <w:t> </w:t>
      </w:r>
      <w:r>
        <w:rPr>
          <w:sz w:val="16"/>
        </w:rPr>
        <w:t>la</w:t>
      </w:r>
      <w:r>
        <w:rPr>
          <w:spacing w:val="-16"/>
          <w:sz w:val="16"/>
        </w:rPr>
        <w:t> </w:t>
      </w:r>
      <w:r>
        <w:rPr>
          <w:sz w:val="16"/>
        </w:rPr>
        <w:t>Comisión,</w:t>
      </w:r>
      <w:r>
        <w:rPr>
          <w:spacing w:val="-16"/>
          <w:sz w:val="16"/>
        </w:rPr>
        <w:t> </w:t>
      </w:r>
      <w:r>
        <w:rPr>
          <w:sz w:val="16"/>
        </w:rPr>
        <w:t>lo</w:t>
      </w:r>
      <w:r>
        <w:rPr>
          <w:spacing w:val="-15"/>
          <w:sz w:val="16"/>
        </w:rPr>
        <w:t> </w:t>
      </w:r>
      <w:r>
        <w:rPr>
          <w:sz w:val="16"/>
        </w:rPr>
        <w:t>hicieron</w:t>
      </w:r>
      <w:r>
        <w:rPr>
          <w:spacing w:val="-16"/>
          <w:sz w:val="16"/>
        </w:rPr>
        <w:t> </w:t>
      </w:r>
      <w:r>
        <w:rPr>
          <w:sz w:val="16"/>
        </w:rPr>
        <w:t>respecto</w:t>
      </w:r>
      <w:r>
        <w:rPr>
          <w:spacing w:val="-15"/>
          <w:sz w:val="16"/>
        </w:rPr>
        <w:t> </w:t>
      </w:r>
      <w:r>
        <w:rPr>
          <w:sz w:val="16"/>
        </w:rPr>
        <w:t>a</w:t>
      </w:r>
      <w:r>
        <w:rPr>
          <w:spacing w:val="-16"/>
          <w:sz w:val="16"/>
        </w:rPr>
        <w:t> </w:t>
      </w:r>
      <w:r>
        <w:rPr>
          <w:sz w:val="16"/>
        </w:rPr>
        <w:t>acciones</w:t>
      </w:r>
      <w:r>
        <w:rPr>
          <w:spacing w:val="-15"/>
          <w:sz w:val="16"/>
        </w:rPr>
        <w:t> </w:t>
      </w:r>
      <w:r>
        <w:rPr>
          <w:sz w:val="16"/>
        </w:rPr>
        <w:t>administrativas</w:t>
      </w:r>
      <w:r>
        <w:rPr>
          <w:spacing w:val="-15"/>
          <w:sz w:val="16"/>
        </w:rPr>
        <w:t> </w:t>
      </w:r>
      <w:r>
        <w:rPr>
          <w:sz w:val="16"/>
        </w:rPr>
        <w:t>y</w:t>
      </w:r>
      <w:r>
        <w:rPr>
          <w:spacing w:val="-17"/>
          <w:sz w:val="16"/>
        </w:rPr>
        <w:t> </w:t>
      </w:r>
      <w:r>
        <w:rPr>
          <w:sz w:val="16"/>
        </w:rPr>
        <w:t>judiciales presentadas para reclamar la defensa del derecho de propiedad en distintos aspectos. La presente Sentencia incluye un capítulo relativo al examen de acciones judiciales (</w:t>
      </w:r>
      <w:r>
        <w:rPr>
          <w:i/>
          <w:sz w:val="16"/>
        </w:rPr>
        <w:t>infra</w:t>
      </w:r>
      <w:r>
        <w:rPr>
          <w:sz w:val="16"/>
        </w:rPr>
        <w:t>, Capítulo</w:t>
      </w:r>
      <w:r>
        <w:rPr>
          <w:spacing w:val="-21"/>
          <w:sz w:val="16"/>
        </w:rPr>
        <w:t> </w:t>
      </w:r>
      <w:r>
        <w:rPr>
          <w:sz w:val="16"/>
        </w:rPr>
        <w:t>VII.3).</w:t>
      </w:r>
    </w:p>
    <w:p>
      <w:pPr>
        <w:pStyle w:val="BodyText"/>
        <w:spacing w:before="11"/>
        <w:rPr>
          <w:sz w:val="15"/>
        </w:rPr>
      </w:pPr>
    </w:p>
    <w:p>
      <w:pPr>
        <w:tabs>
          <w:tab w:pos="829" w:val="left" w:leader="none"/>
        </w:tabs>
        <w:spacing w:before="0"/>
        <w:ind w:left="122" w:right="114" w:firstLine="0"/>
        <w:jc w:val="both"/>
        <w:rPr>
          <w:sz w:val="16"/>
        </w:rPr>
      </w:pPr>
      <w:r>
        <w:rPr>
          <w:position w:val="6"/>
          <w:sz w:val="10"/>
        </w:rPr>
        <w:t>116</w:t>
        <w:tab/>
      </w:r>
      <w:r>
        <w:rPr>
          <w:sz w:val="16"/>
        </w:rPr>
        <w:t>Explicaron</w:t>
      </w:r>
      <w:r>
        <w:rPr>
          <w:spacing w:val="-14"/>
          <w:sz w:val="16"/>
        </w:rPr>
        <w:t> </w:t>
      </w:r>
      <w:r>
        <w:rPr>
          <w:sz w:val="16"/>
        </w:rPr>
        <w:t>que</w:t>
      </w:r>
      <w:r>
        <w:rPr>
          <w:spacing w:val="-13"/>
          <w:sz w:val="16"/>
        </w:rPr>
        <w:t> </w:t>
      </w:r>
      <w:r>
        <w:rPr>
          <w:sz w:val="16"/>
        </w:rPr>
        <w:t>el</w:t>
      </w:r>
      <w:r>
        <w:rPr>
          <w:spacing w:val="-12"/>
          <w:sz w:val="16"/>
        </w:rPr>
        <w:t> </w:t>
      </w:r>
      <w:r>
        <w:rPr>
          <w:sz w:val="16"/>
        </w:rPr>
        <w:t>modo</w:t>
      </w:r>
      <w:r>
        <w:rPr>
          <w:spacing w:val="-12"/>
          <w:sz w:val="16"/>
        </w:rPr>
        <w:t> </w:t>
      </w:r>
      <w:r>
        <w:rPr>
          <w:sz w:val="16"/>
        </w:rPr>
        <w:t>de</w:t>
      </w:r>
      <w:r>
        <w:rPr>
          <w:spacing w:val="-13"/>
          <w:sz w:val="16"/>
        </w:rPr>
        <w:t> </w:t>
      </w:r>
      <w:r>
        <w:rPr>
          <w:sz w:val="16"/>
        </w:rPr>
        <w:t>vida</w:t>
      </w:r>
      <w:r>
        <w:rPr>
          <w:spacing w:val="-11"/>
          <w:sz w:val="16"/>
        </w:rPr>
        <w:t> </w:t>
      </w:r>
      <w:r>
        <w:rPr>
          <w:sz w:val="16"/>
        </w:rPr>
        <w:t>de</w:t>
      </w:r>
      <w:r>
        <w:rPr>
          <w:spacing w:val="-13"/>
          <w:sz w:val="16"/>
        </w:rPr>
        <w:t> </w:t>
      </w:r>
      <w:r>
        <w:rPr>
          <w:sz w:val="16"/>
        </w:rPr>
        <w:t>las</w:t>
      </w:r>
      <w:r>
        <w:rPr>
          <w:spacing w:val="-13"/>
          <w:sz w:val="16"/>
        </w:rPr>
        <w:t> </w:t>
      </w:r>
      <w:r>
        <w:rPr>
          <w:sz w:val="16"/>
        </w:rPr>
        <w:t>comunidades</w:t>
      </w:r>
      <w:r>
        <w:rPr>
          <w:spacing w:val="-10"/>
          <w:sz w:val="16"/>
        </w:rPr>
        <w:t> </w:t>
      </w:r>
      <w:r>
        <w:rPr>
          <w:sz w:val="16"/>
        </w:rPr>
        <w:t>implica</w:t>
      </w:r>
      <w:r>
        <w:rPr>
          <w:spacing w:val="-11"/>
          <w:sz w:val="16"/>
        </w:rPr>
        <w:t> </w:t>
      </w:r>
      <w:r>
        <w:rPr>
          <w:sz w:val="16"/>
        </w:rPr>
        <w:t>la</w:t>
      </w:r>
      <w:r>
        <w:rPr>
          <w:spacing w:val="-11"/>
          <w:sz w:val="16"/>
        </w:rPr>
        <w:t> </w:t>
      </w:r>
      <w:r>
        <w:rPr>
          <w:sz w:val="16"/>
        </w:rPr>
        <w:t>libertad</w:t>
      </w:r>
      <w:r>
        <w:rPr>
          <w:spacing w:val="-13"/>
          <w:sz w:val="16"/>
        </w:rPr>
        <w:t> </w:t>
      </w:r>
      <w:r>
        <w:rPr>
          <w:sz w:val="16"/>
        </w:rPr>
        <w:t>de</w:t>
      </w:r>
      <w:r>
        <w:rPr>
          <w:spacing w:val="-13"/>
          <w:sz w:val="16"/>
        </w:rPr>
        <w:t> </w:t>
      </w:r>
      <w:r>
        <w:rPr>
          <w:sz w:val="16"/>
        </w:rPr>
        <w:t>circular</w:t>
      </w:r>
      <w:r>
        <w:rPr>
          <w:spacing w:val="-12"/>
          <w:sz w:val="16"/>
        </w:rPr>
        <w:t> </w:t>
      </w:r>
      <w:r>
        <w:rPr>
          <w:sz w:val="16"/>
        </w:rPr>
        <w:t>por</w:t>
      </w:r>
      <w:r>
        <w:rPr>
          <w:spacing w:val="-12"/>
          <w:sz w:val="16"/>
        </w:rPr>
        <w:t> </w:t>
      </w:r>
      <w:r>
        <w:rPr>
          <w:sz w:val="16"/>
        </w:rPr>
        <w:t>todo</w:t>
      </w:r>
      <w:r>
        <w:rPr>
          <w:spacing w:val="-15"/>
          <w:sz w:val="16"/>
        </w:rPr>
        <w:t> </w:t>
      </w:r>
      <w:r>
        <w:rPr>
          <w:sz w:val="16"/>
        </w:rPr>
        <w:t>el</w:t>
      </w:r>
      <w:r>
        <w:rPr>
          <w:spacing w:val="-9"/>
          <w:sz w:val="16"/>
        </w:rPr>
        <w:t> </w:t>
      </w:r>
      <w:r>
        <w:rPr>
          <w:sz w:val="16"/>
        </w:rPr>
        <w:t>territorio,</w:t>
      </w:r>
      <w:r>
        <w:rPr>
          <w:w w:val="100"/>
          <w:sz w:val="16"/>
        </w:rPr>
        <w:t> </w:t>
      </w:r>
      <w:r>
        <w:rPr>
          <w:sz w:val="16"/>
        </w:rPr>
        <w:t>y que si el título no fuera como lo señalan sólo se “[c]ambiar[ía]n los alambrados criollos por propiedades parceladas”. En otro orden de cosas, respecto al reclamo de un título “único” y el hecho de que hay comunidades no vinculadas a Lhaka Honhat, aseveraron que “todas las comunidades indígenas tienen pretensiones territoriales y que, en el peor de los casos, [… los] conflictos internos […] deberán ser resueltos por ell[a]s conforme los mecanismos propios de resolución de</w:t>
      </w:r>
      <w:r>
        <w:rPr>
          <w:spacing w:val="-23"/>
          <w:sz w:val="16"/>
        </w:rPr>
        <w:t> </w:t>
      </w:r>
      <w:r>
        <w:rPr>
          <w:sz w:val="16"/>
        </w:rPr>
        <w:t>conflictos”.</w:t>
      </w:r>
    </w:p>
    <w:p>
      <w:pPr>
        <w:pStyle w:val="BodyText"/>
        <w:spacing w:before="11"/>
        <w:rPr>
          <w:sz w:val="15"/>
        </w:rPr>
      </w:pPr>
    </w:p>
    <w:p>
      <w:pPr>
        <w:tabs>
          <w:tab w:pos="829" w:val="left" w:leader="none"/>
        </w:tabs>
        <w:spacing w:before="0"/>
        <w:ind w:left="122" w:right="116" w:firstLine="0"/>
        <w:jc w:val="both"/>
        <w:rPr>
          <w:sz w:val="16"/>
        </w:rPr>
      </w:pPr>
      <w:r>
        <w:rPr>
          <w:position w:val="6"/>
          <w:sz w:val="10"/>
        </w:rPr>
        <w:t>117</w:t>
        <w:tab/>
      </w:r>
      <w:r>
        <w:rPr>
          <w:sz w:val="16"/>
        </w:rPr>
        <w:t>Además, los representantes criticaron esta metodología aseverando que “ha sido el  </w:t>
      </w:r>
      <w:r>
        <w:rPr>
          <w:spacing w:val="54"/>
          <w:sz w:val="16"/>
        </w:rPr>
        <w:t> </w:t>
      </w:r>
      <w:r>
        <w:rPr>
          <w:sz w:val="16"/>
        </w:rPr>
        <w:t>mismo</w:t>
      </w:r>
      <w:r>
        <w:rPr>
          <w:spacing w:val="16"/>
          <w:sz w:val="16"/>
        </w:rPr>
        <w:t> </w:t>
      </w:r>
      <w:r>
        <w:rPr>
          <w:sz w:val="16"/>
        </w:rPr>
        <w:t>Estado</w:t>
      </w:r>
      <w:r>
        <w:rPr>
          <w:w w:val="100"/>
          <w:sz w:val="16"/>
        </w:rPr>
        <w:t> </w:t>
      </w:r>
      <w:r>
        <w:rPr>
          <w:sz w:val="16"/>
        </w:rPr>
        <w:t>quien: a) no [ha] realiz[ado] las obras de infraestructura necesarias para lograr los traslados de las familias criollas</w:t>
      </w:r>
      <w:r>
        <w:rPr>
          <w:spacing w:val="-7"/>
          <w:sz w:val="16"/>
        </w:rPr>
        <w:t> </w:t>
      </w:r>
      <w:r>
        <w:rPr>
          <w:sz w:val="16"/>
        </w:rPr>
        <w:t>con</w:t>
      </w:r>
      <w:r>
        <w:rPr>
          <w:spacing w:val="-8"/>
          <w:sz w:val="16"/>
        </w:rPr>
        <w:t> </w:t>
      </w:r>
      <w:r>
        <w:rPr>
          <w:sz w:val="16"/>
        </w:rPr>
        <w:t>las</w:t>
      </w:r>
      <w:r>
        <w:rPr>
          <w:spacing w:val="-10"/>
          <w:sz w:val="16"/>
        </w:rPr>
        <w:t> </w:t>
      </w:r>
      <w:r>
        <w:rPr>
          <w:sz w:val="16"/>
        </w:rPr>
        <w:t>que</w:t>
      </w:r>
      <w:r>
        <w:rPr>
          <w:spacing w:val="-7"/>
          <w:sz w:val="16"/>
        </w:rPr>
        <w:t> </w:t>
      </w:r>
      <w:r>
        <w:rPr>
          <w:sz w:val="16"/>
        </w:rPr>
        <w:t>se</w:t>
      </w:r>
      <w:r>
        <w:rPr>
          <w:spacing w:val="-7"/>
          <w:sz w:val="16"/>
        </w:rPr>
        <w:t> </w:t>
      </w:r>
      <w:r>
        <w:rPr>
          <w:sz w:val="16"/>
        </w:rPr>
        <w:t>hubiere</w:t>
      </w:r>
      <w:r>
        <w:rPr>
          <w:spacing w:val="-10"/>
          <w:sz w:val="16"/>
        </w:rPr>
        <w:t> </w:t>
      </w:r>
      <w:r>
        <w:rPr>
          <w:sz w:val="16"/>
        </w:rPr>
        <w:t>arribado</w:t>
      </w:r>
      <w:r>
        <w:rPr>
          <w:spacing w:val="-7"/>
          <w:sz w:val="16"/>
        </w:rPr>
        <w:t> </w:t>
      </w:r>
      <w:r>
        <w:rPr>
          <w:sz w:val="16"/>
        </w:rPr>
        <w:t>a</w:t>
      </w:r>
      <w:r>
        <w:rPr>
          <w:spacing w:val="-8"/>
          <w:sz w:val="16"/>
        </w:rPr>
        <w:t> </w:t>
      </w:r>
      <w:r>
        <w:rPr>
          <w:sz w:val="16"/>
        </w:rPr>
        <w:t>un</w:t>
      </w:r>
      <w:r>
        <w:rPr>
          <w:spacing w:val="-8"/>
          <w:sz w:val="16"/>
        </w:rPr>
        <w:t> </w:t>
      </w:r>
      <w:r>
        <w:rPr>
          <w:sz w:val="16"/>
        </w:rPr>
        <w:t>acuerdo</w:t>
      </w:r>
      <w:r>
        <w:rPr>
          <w:spacing w:val="-4"/>
          <w:sz w:val="16"/>
        </w:rPr>
        <w:t> </w:t>
      </w:r>
      <w:r>
        <w:rPr>
          <w:sz w:val="16"/>
        </w:rPr>
        <w:t>[…]</w:t>
      </w:r>
      <w:r>
        <w:rPr>
          <w:spacing w:val="-8"/>
          <w:sz w:val="16"/>
        </w:rPr>
        <w:t> </w:t>
      </w:r>
      <w:r>
        <w:rPr>
          <w:sz w:val="16"/>
        </w:rPr>
        <w:t>y</w:t>
      </w:r>
      <w:r>
        <w:rPr>
          <w:spacing w:val="-9"/>
          <w:sz w:val="16"/>
        </w:rPr>
        <w:t> </w:t>
      </w:r>
      <w:r>
        <w:rPr>
          <w:sz w:val="16"/>
        </w:rPr>
        <w:t>b)</w:t>
      </w:r>
      <w:r>
        <w:rPr>
          <w:spacing w:val="-6"/>
          <w:sz w:val="16"/>
        </w:rPr>
        <w:t> </w:t>
      </w:r>
      <w:r>
        <w:rPr>
          <w:sz w:val="16"/>
        </w:rPr>
        <w:t>no</w:t>
      </w:r>
      <w:r>
        <w:rPr>
          <w:spacing w:val="-9"/>
          <w:sz w:val="16"/>
        </w:rPr>
        <w:t> </w:t>
      </w:r>
      <w:r>
        <w:rPr>
          <w:sz w:val="16"/>
        </w:rPr>
        <w:t>realizó</w:t>
      </w:r>
      <w:r>
        <w:rPr>
          <w:spacing w:val="-7"/>
          <w:sz w:val="16"/>
        </w:rPr>
        <w:t> </w:t>
      </w:r>
      <w:r>
        <w:rPr>
          <w:sz w:val="16"/>
        </w:rPr>
        <w:t>ninguna</w:t>
      </w:r>
      <w:r>
        <w:rPr>
          <w:spacing w:val="-6"/>
          <w:sz w:val="16"/>
        </w:rPr>
        <w:t> </w:t>
      </w:r>
      <w:r>
        <w:rPr>
          <w:sz w:val="16"/>
        </w:rPr>
        <w:t>acción</w:t>
      </w:r>
      <w:r>
        <w:rPr>
          <w:spacing w:val="-8"/>
          <w:sz w:val="16"/>
        </w:rPr>
        <w:t> </w:t>
      </w:r>
      <w:r>
        <w:rPr>
          <w:sz w:val="16"/>
        </w:rPr>
        <w:t>efectiva</w:t>
      </w:r>
      <w:r>
        <w:rPr>
          <w:spacing w:val="-8"/>
          <w:sz w:val="16"/>
        </w:rPr>
        <w:t> </w:t>
      </w:r>
      <w:r>
        <w:rPr>
          <w:sz w:val="16"/>
        </w:rPr>
        <w:t>para</w:t>
      </w:r>
      <w:r>
        <w:rPr>
          <w:spacing w:val="-8"/>
          <w:sz w:val="16"/>
        </w:rPr>
        <w:t> </w:t>
      </w:r>
      <w:r>
        <w:rPr>
          <w:sz w:val="16"/>
        </w:rPr>
        <w:t>erradicar alambrados del territorio ancestral a fin de menguar las tremendas consecuencias sobre la forma tradicional de vida de las comunidades</w:t>
      </w:r>
      <w:r>
        <w:rPr>
          <w:spacing w:val="-9"/>
          <w:sz w:val="16"/>
        </w:rPr>
        <w:t> </w:t>
      </w:r>
      <w:r>
        <w:rPr>
          <w:sz w:val="16"/>
        </w:rPr>
        <w:t>indígenas”.</w:t>
      </w:r>
    </w:p>
    <w:p>
      <w:pPr>
        <w:pStyle w:val="BodyText"/>
        <w:spacing w:before="1"/>
        <w:rPr>
          <w:sz w:val="16"/>
        </w:rPr>
      </w:pPr>
    </w:p>
    <w:p>
      <w:pPr>
        <w:tabs>
          <w:tab w:pos="829" w:val="left" w:leader="none"/>
        </w:tabs>
        <w:spacing w:before="0"/>
        <w:ind w:left="122" w:right="113" w:firstLine="0"/>
        <w:jc w:val="both"/>
        <w:rPr>
          <w:sz w:val="16"/>
        </w:rPr>
      </w:pPr>
      <w:r>
        <w:rPr>
          <w:position w:val="6"/>
          <w:sz w:val="10"/>
        </w:rPr>
        <w:t>118</w:t>
        <w:tab/>
      </w:r>
      <w:r>
        <w:rPr>
          <w:sz w:val="16"/>
        </w:rPr>
        <w:t>De</w:t>
      </w:r>
      <w:r>
        <w:rPr>
          <w:spacing w:val="14"/>
          <w:sz w:val="16"/>
        </w:rPr>
        <w:t> </w:t>
      </w:r>
      <w:r>
        <w:rPr>
          <w:sz w:val="16"/>
        </w:rPr>
        <w:t>modo</w:t>
      </w:r>
      <w:r>
        <w:rPr>
          <w:spacing w:val="15"/>
          <w:sz w:val="16"/>
        </w:rPr>
        <w:t> </w:t>
      </w:r>
      <w:r>
        <w:rPr>
          <w:sz w:val="16"/>
        </w:rPr>
        <w:t>adicional,</w:t>
      </w:r>
      <w:r>
        <w:rPr>
          <w:spacing w:val="13"/>
          <w:sz w:val="16"/>
        </w:rPr>
        <w:t> </w:t>
      </w:r>
      <w:r>
        <w:rPr>
          <w:sz w:val="16"/>
        </w:rPr>
        <w:t>manifestaron</w:t>
      </w:r>
      <w:r>
        <w:rPr>
          <w:spacing w:val="13"/>
          <w:sz w:val="16"/>
        </w:rPr>
        <w:t> </w:t>
      </w:r>
      <w:r>
        <w:rPr>
          <w:sz w:val="16"/>
        </w:rPr>
        <w:t>que</w:t>
      </w:r>
      <w:r>
        <w:rPr>
          <w:spacing w:val="12"/>
          <w:sz w:val="16"/>
        </w:rPr>
        <w:t> </w:t>
      </w:r>
      <w:r>
        <w:rPr>
          <w:sz w:val="16"/>
        </w:rPr>
        <w:t>para</w:t>
      </w:r>
      <w:r>
        <w:rPr>
          <w:spacing w:val="11"/>
          <w:sz w:val="16"/>
        </w:rPr>
        <w:t> </w:t>
      </w:r>
      <w:r>
        <w:rPr>
          <w:sz w:val="16"/>
        </w:rPr>
        <w:t>el</w:t>
      </w:r>
      <w:r>
        <w:rPr>
          <w:spacing w:val="19"/>
          <w:sz w:val="16"/>
        </w:rPr>
        <w:t> </w:t>
      </w:r>
      <w:r>
        <w:rPr>
          <w:sz w:val="16"/>
        </w:rPr>
        <w:t>aseguramiento</w:t>
      </w:r>
      <w:r>
        <w:rPr>
          <w:spacing w:val="15"/>
          <w:sz w:val="16"/>
        </w:rPr>
        <w:t> </w:t>
      </w:r>
      <w:r>
        <w:rPr>
          <w:sz w:val="16"/>
        </w:rPr>
        <w:t>de</w:t>
      </w:r>
      <w:r>
        <w:rPr>
          <w:spacing w:val="14"/>
          <w:sz w:val="16"/>
        </w:rPr>
        <w:t> </w:t>
      </w:r>
      <w:r>
        <w:rPr>
          <w:sz w:val="16"/>
        </w:rPr>
        <w:t>la</w:t>
      </w:r>
      <w:r>
        <w:rPr>
          <w:spacing w:val="14"/>
          <w:sz w:val="16"/>
        </w:rPr>
        <w:t> </w:t>
      </w:r>
      <w:r>
        <w:rPr>
          <w:sz w:val="16"/>
        </w:rPr>
        <w:t>democracia</w:t>
      </w:r>
      <w:r>
        <w:rPr>
          <w:spacing w:val="10"/>
          <w:sz w:val="16"/>
        </w:rPr>
        <w:t> </w:t>
      </w:r>
      <w:r>
        <w:rPr>
          <w:sz w:val="16"/>
        </w:rPr>
        <w:t>y,</w:t>
      </w:r>
      <w:r>
        <w:rPr>
          <w:spacing w:val="13"/>
          <w:sz w:val="16"/>
        </w:rPr>
        <w:t> </w:t>
      </w:r>
      <w:r>
        <w:rPr>
          <w:sz w:val="16"/>
        </w:rPr>
        <w:t>por</w:t>
      </w:r>
      <w:r>
        <w:rPr>
          <w:spacing w:val="15"/>
          <w:sz w:val="16"/>
        </w:rPr>
        <w:t> </w:t>
      </w:r>
      <w:r>
        <w:rPr>
          <w:sz w:val="16"/>
        </w:rPr>
        <w:t>tanto,</w:t>
      </w:r>
      <w:r>
        <w:rPr>
          <w:spacing w:val="16"/>
          <w:sz w:val="16"/>
        </w:rPr>
        <w:t> </w:t>
      </w:r>
      <w:r>
        <w:rPr>
          <w:sz w:val="16"/>
        </w:rPr>
        <w:t>de</w:t>
      </w:r>
      <w:r>
        <w:rPr>
          <w:spacing w:val="14"/>
          <w:sz w:val="16"/>
        </w:rPr>
        <w:t> </w:t>
      </w:r>
      <w:r>
        <w:rPr>
          <w:sz w:val="16"/>
        </w:rPr>
        <w:t>los</w:t>
      </w:r>
      <w:r>
        <w:rPr>
          <w:w w:val="100"/>
          <w:sz w:val="16"/>
        </w:rPr>
        <w:t> </w:t>
      </w:r>
      <w:r>
        <w:rPr>
          <w:sz w:val="16"/>
        </w:rPr>
        <w:t>derechos</w:t>
      </w:r>
      <w:r>
        <w:rPr>
          <w:spacing w:val="-8"/>
          <w:sz w:val="16"/>
        </w:rPr>
        <w:t> </w:t>
      </w:r>
      <w:r>
        <w:rPr>
          <w:sz w:val="16"/>
        </w:rPr>
        <w:t>humanos,</w:t>
      </w:r>
      <w:r>
        <w:rPr>
          <w:spacing w:val="-7"/>
          <w:sz w:val="16"/>
        </w:rPr>
        <w:t> </w:t>
      </w:r>
      <w:r>
        <w:rPr>
          <w:sz w:val="16"/>
        </w:rPr>
        <w:t>es</w:t>
      </w:r>
      <w:r>
        <w:rPr>
          <w:spacing w:val="-6"/>
          <w:sz w:val="16"/>
        </w:rPr>
        <w:t> </w:t>
      </w:r>
      <w:r>
        <w:rPr>
          <w:sz w:val="16"/>
        </w:rPr>
        <w:t>indispensable</w:t>
      </w:r>
      <w:r>
        <w:rPr>
          <w:spacing w:val="-6"/>
          <w:sz w:val="16"/>
        </w:rPr>
        <w:t> </w:t>
      </w:r>
      <w:r>
        <w:rPr>
          <w:sz w:val="16"/>
        </w:rPr>
        <w:t>que</w:t>
      </w:r>
      <w:r>
        <w:rPr>
          <w:spacing w:val="-6"/>
          <w:sz w:val="16"/>
        </w:rPr>
        <w:t> </w:t>
      </w:r>
      <w:r>
        <w:rPr>
          <w:sz w:val="16"/>
        </w:rPr>
        <w:t>las</w:t>
      </w:r>
      <w:r>
        <w:rPr>
          <w:spacing w:val="-8"/>
          <w:sz w:val="16"/>
        </w:rPr>
        <w:t> </w:t>
      </w:r>
      <w:r>
        <w:rPr>
          <w:sz w:val="16"/>
        </w:rPr>
        <w:t>elecciones</w:t>
      </w:r>
      <w:r>
        <w:rPr>
          <w:spacing w:val="-6"/>
          <w:sz w:val="16"/>
        </w:rPr>
        <w:t> </w:t>
      </w:r>
      <w:r>
        <w:rPr>
          <w:sz w:val="16"/>
        </w:rPr>
        <w:t>sean</w:t>
      </w:r>
      <w:r>
        <w:rPr>
          <w:spacing w:val="-10"/>
          <w:sz w:val="16"/>
        </w:rPr>
        <w:t> </w:t>
      </w:r>
      <w:r>
        <w:rPr>
          <w:sz w:val="16"/>
        </w:rPr>
        <w:t>“auténticas”</w:t>
      </w:r>
      <w:r>
        <w:rPr>
          <w:spacing w:val="-6"/>
          <w:sz w:val="16"/>
        </w:rPr>
        <w:t> </w:t>
      </w:r>
      <w:r>
        <w:rPr>
          <w:sz w:val="16"/>
        </w:rPr>
        <w:t>y</w:t>
      </w:r>
      <w:r>
        <w:rPr>
          <w:spacing w:val="-8"/>
          <w:sz w:val="16"/>
        </w:rPr>
        <w:t> </w:t>
      </w:r>
      <w:r>
        <w:rPr>
          <w:sz w:val="16"/>
        </w:rPr>
        <w:t>reflejen</w:t>
      </w:r>
      <w:r>
        <w:rPr>
          <w:spacing w:val="-7"/>
          <w:sz w:val="16"/>
        </w:rPr>
        <w:t> </w:t>
      </w:r>
      <w:r>
        <w:rPr>
          <w:sz w:val="16"/>
        </w:rPr>
        <w:t>efectivamente</w:t>
      </w:r>
      <w:r>
        <w:rPr>
          <w:spacing w:val="-6"/>
          <w:sz w:val="16"/>
        </w:rPr>
        <w:t> </w:t>
      </w:r>
      <w:r>
        <w:rPr>
          <w:sz w:val="16"/>
        </w:rPr>
        <w:t>la</w:t>
      </w:r>
      <w:r>
        <w:rPr>
          <w:spacing w:val="-7"/>
          <w:sz w:val="16"/>
        </w:rPr>
        <w:t> </w:t>
      </w:r>
      <w:r>
        <w:rPr>
          <w:sz w:val="16"/>
        </w:rPr>
        <w:t>voluntad de</w:t>
      </w:r>
      <w:r>
        <w:rPr>
          <w:spacing w:val="28"/>
          <w:sz w:val="16"/>
        </w:rPr>
        <w:t> </w:t>
      </w:r>
      <w:r>
        <w:rPr>
          <w:sz w:val="16"/>
        </w:rPr>
        <w:t>los</w:t>
      </w:r>
      <w:r>
        <w:rPr>
          <w:spacing w:val="28"/>
          <w:sz w:val="16"/>
        </w:rPr>
        <w:t> </w:t>
      </w:r>
      <w:r>
        <w:rPr>
          <w:sz w:val="16"/>
        </w:rPr>
        <w:t>electores.</w:t>
      </w:r>
      <w:r>
        <w:rPr>
          <w:spacing w:val="29"/>
          <w:sz w:val="16"/>
        </w:rPr>
        <w:t> </w:t>
      </w:r>
      <w:r>
        <w:rPr>
          <w:sz w:val="16"/>
        </w:rPr>
        <w:t>Al</w:t>
      </w:r>
      <w:r>
        <w:rPr>
          <w:spacing w:val="28"/>
          <w:sz w:val="16"/>
        </w:rPr>
        <w:t> </w:t>
      </w:r>
      <w:r>
        <w:rPr>
          <w:sz w:val="16"/>
        </w:rPr>
        <w:t>respecto,</w:t>
      </w:r>
      <w:r>
        <w:rPr>
          <w:spacing w:val="30"/>
          <w:sz w:val="16"/>
        </w:rPr>
        <w:t> </w:t>
      </w:r>
      <w:r>
        <w:rPr>
          <w:sz w:val="16"/>
        </w:rPr>
        <w:t>sostuvieron</w:t>
      </w:r>
      <w:r>
        <w:rPr>
          <w:spacing w:val="27"/>
          <w:sz w:val="16"/>
        </w:rPr>
        <w:t> </w:t>
      </w:r>
      <w:r>
        <w:rPr>
          <w:sz w:val="16"/>
        </w:rPr>
        <w:t>que</w:t>
      </w:r>
      <w:r>
        <w:rPr>
          <w:spacing w:val="29"/>
          <w:sz w:val="16"/>
        </w:rPr>
        <w:t> </w:t>
      </w:r>
      <w:r>
        <w:rPr>
          <w:sz w:val="16"/>
        </w:rPr>
        <w:t>en</w:t>
      </w:r>
      <w:r>
        <w:rPr>
          <w:spacing w:val="27"/>
          <w:sz w:val="16"/>
        </w:rPr>
        <w:t> </w:t>
      </w:r>
      <w:r>
        <w:rPr>
          <w:sz w:val="16"/>
        </w:rPr>
        <w:t>el</w:t>
      </w:r>
      <w:r>
        <w:rPr>
          <w:spacing w:val="27"/>
          <w:sz w:val="16"/>
        </w:rPr>
        <w:t> </w:t>
      </w:r>
      <w:r>
        <w:rPr>
          <w:sz w:val="16"/>
        </w:rPr>
        <w:t>referéndum</w:t>
      </w:r>
      <w:r>
        <w:rPr>
          <w:spacing w:val="28"/>
          <w:sz w:val="16"/>
        </w:rPr>
        <w:t> </w:t>
      </w:r>
      <w:r>
        <w:rPr>
          <w:sz w:val="16"/>
        </w:rPr>
        <w:t>cuestionado</w:t>
      </w:r>
      <w:r>
        <w:rPr>
          <w:spacing w:val="29"/>
          <w:sz w:val="16"/>
        </w:rPr>
        <w:t> </w:t>
      </w:r>
      <w:r>
        <w:rPr>
          <w:sz w:val="16"/>
        </w:rPr>
        <w:t>se</w:t>
      </w:r>
      <w:r>
        <w:rPr>
          <w:spacing w:val="29"/>
          <w:sz w:val="16"/>
        </w:rPr>
        <w:t> </w:t>
      </w:r>
      <w:r>
        <w:rPr>
          <w:sz w:val="16"/>
        </w:rPr>
        <w:t>verificaron</w:t>
      </w:r>
      <w:r>
        <w:rPr>
          <w:spacing w:val="27"/>
          <w:sz w:val="16"/>
        </w:rPr>
        <w:t> </w:t>
      </w:r>
      <w:r>
        <w:rPr>
          <w:sz w:val="16"/>
        </w:rPr>
        <w:t>al</w:t>
      </w:r>
      <w:r>
        <w:rPr>
          <w:spacing w:val="30"/>
          <w:sz w:val="16"/>
        </w:rPr>
        <w:t> </w:t>
      </w:r>
      <w:r>
        <w:rPr>
          <w:sz w:val="16"/>
        </w:rPr>
        <w:t>menos</w:t>
      </w:r>
      <w:r>
        <w:rPr>
          <w:spacing w:val="28"/>
          <w:sz w:val="16"/>
        </w:rPr>
        <w:t> </w:t>
      </w:r>
      <w:r>
        <w:rPr>
          <w:sz w:val="16"/>
        </w:rPr>
        <w:t>dos</w:t>
      </w:r>
    </w:p>
    <w:p>
      <w:pPr>
        <w:spacing w:after="0"/>
        <w:jc w:val="both"/>
        <w:rPr>
          <w:sz w:val="16"/>
        </w:rPr>
        <w:sectPr>
          <w:footerReference w:type="default" r:id="rId18"/>
          <w:pgSz w:w="12240" w:h="15840"/>
          <w:pgMar w:footer="1000" w:header="0" w:top="1500" w:bottom="1200" w:left="1580" w:right="1580"/>
          <w:pgNumType w:start="41"/>
        </w:sectPr>
      </w:pPr>
    </w:p>
    <w:p>
      <w:pPr>
        <w:pStyle w:val="ListParagraph"/>
        <w:numPr>
          <w:ilvl w:val="0"/>
          <w:numId w:val="21"/>
        </w:numPr>
        <w:tabs>
          <w:tab w:pos="830" w:val="left" w:leader="none"/>
        </w:tabs>
        <w:spacing w:line="240" w:lineRule="auto" w:before="161" w:after="0"/>
        <w:ind w:left="122" w:right="124" w:firstLine="0"/>
        <w:jc w:val="both"/>
        <w:rPr>
          <w:sz w:val="20"/>
        </w:rPr>
      </w:pPr>
      <w:r>
        <w:rPr>
          <w:sz w:val="20"/>
        </w:rPr>
        <w:t>Los representantes alegaron también que el reconocimiento de la personalidad jurídica no ha sido efectivo, pues varias comunidades debieron organizarse en 1992 como asociación civil para obtener personería jurídica y gestionar el reclamo de la propiedad. Afirmaron que este tipo de asociaciones nada tiene que ver con la forma de organización</w:t>
      </w:r>
      <w:r>
        <w:rPr>
          <w:spacing w:val="-10"/>
          <w:sz w:val="20"/>
        </w:rPr>
        <w:t> </w:t>
      </w:r>
      <w:r>
        <w:rPr>
          <w:sz w:val="20"/>
        </w:rPr>
        <w:t>de</w:t>
      </w:r>
      <w:r>
        <w:rPr>
          <w:spacing w:val="-13"/>
          <w:sz w:val="20"/>
        </w:rPr>
        <w:t> </w:t>
      </w:r>
      <w:r>
        <w:rPr>
          <w:sz w:val="20"/>
        </w:rPr>
        <w:t>las</w:t>
      </w:r>
      <w:r>
        <w:rPr>
          <w:spacing w:val="-9"/>
          <w:sz w:val="20"/>
        </w:rPr>
        <w:t> </w:t>
      </w:r>
      <w:r>
        <w:rPr>
          <w:sz w:val="20"/>
        </w:rPr>
        <w:t>comunidades</w:t>
      </w:r>
      <w:r>
        <w:rPr>
          <w:spacing w:val="-12"/>
          <w:sz w:val="20"/>
        </w:rPr>
        <w:t> </w:t>
      </w:r>
      <w:r>
        <w:rPr>
          <w:sz w:val="20"/>
        </w:rPr>
        <w:t>indígenas.</w:t>
      </w:r>
      <w:r>
        <w:rPr>
          <w:spacing w:val="-12"/>
          <w:sz w:val="20"/>
        </w:rPr>
        <w:t> </w:t>
      </w:r>
      <w:r>
        <w:rPr>
          <w:sz w:val="20"/>
        </w:rPr>
        <w:t>Explicaron</w:t>
      </w:r>
      <w:r>
        <w:rPr>
          <w:spacing w:val="-10"/>
          <w:sz w:val="20"/>
        </w:rPr>
        <w:t> </w:t>
      </w:r>
      <w:r>
        <w:rPr>
          <w:sz w:val="20"/>
        </w:rPr>
        <w:t>que</w:t>
      </w:r>
      <w:r>
        <w:rPr>
          <w:spacing w:val="-13"/>
          <w:sz w:val="20"/>
        </w:rPr>
        <w:t> </w:t>
      </w:r>
      <w:r>
        <w:rPr>
          <w:sz w:val="20"/>
        </w:rPr>
        <w:t>se</w:t>
      </w:r>
      <w:r>
        <w:rPr>
          <w:spacing w:val="-13"/>
          <w:sz w:val="20"/>
        </w:rPr>
        <w:t> </w:t>
      </w:r>
      <w:r>
        <w:rPr>
          <w:sz w:val="20"/>
        </w:rPr>
        <w:t>realizó</w:t>
      </w:r>
      <w:r>
        <w:rPr>
          <w:spacing w:val="-12"/>
          <w:sz w:val="20"/>
        </w:rPr>
        <w:t> </w:t>
      </w:r>
      <w:r>
        <w:rPr>
          <w:sz w:val="20"/>
        </w:rPr>
        <w:t>un</w:t>
      </w:r>
      <w:r>
        <w:rPr>
          <w:spacing w:val="-8"/>
          <w:sz w:val="20"/>
        </w:rPr>
        <w:t> </w:t>
      </w:r>
      <w:r>
        <w:rPr>
          <w:sz w:val="20"/>
        </w:rPr>
        <w:t>pedido</w:t>
      </w:r>
      <w:r>
        <w:rPr>
          <w:spacing w:val="-10"/>
          <w:sz w:val="20"/>
        </w:rPr>
        <w:t> </w:t>
      </w:r>
      <w:r>
        <w:rPr>
          <w:sz w:val="20"/>
        </w:rPr>
        <w:t>expreso al Ministerio de Asuntos Indígenas de Salta, el 23 de octubre de 2017, para que reconozca a Lhaka Honhat como una organización indígena con su personería jurídica respectiva. Señalaron que no ha habido respuesta. Aseveraron que “[e]l desconocimiento de la personalidad jurídica […], también interfiere en el ejercicio del derecho a la libertad de asociación, en tanto […] impide el ejercicio de las formas de asociación comunitarias, para la reivindicación territorial y cultural”. Agregaron que “la inscripción”</w:t>
      </w:r>
      <w:r>
        <w:rPr>
          <w:spacing w:val="-4"/>
          <w:sz w:val="20"/>
        </w:rPr>
        <w:t> </w:t>
      </w:r>
      <w:r>
        <w:rPr>
          <w:sz w:val="20"/>
        </w:rPr>
        <w:t>en</w:t>
      </w:r>
      <w:r>
        <w:rPr>
          <w:spacing w:val="-3"/>
          <w:sz w:val="20"/>
        </w:rPr>
        <w:t> </w:t>
      </w:r>
      <w:r>
        <w:rPr>
          <w:sz w:val="20"/>
        </w:rPr>
        <w:t>el</w:t>
      </w:r>
      <w:r>
        <w:rPr>
          <w:spacing w:val="-6"/>
          <w:sz w:val="20"/>
        </w:rPr>
        <w:t> </w:t>
      </w:r>
      <w:r>
        <w:rPr>
          <w:sz w:val="20"/>
        </w:rPr>
        <w:t>Registro</w:t>
      </w:r>
      <w:r>
        <w:rPr>
          <w:spacing w:val="-5"/>
          <w:sz w:val="20"/>
        </w:rPr>
        <w:t> </w:t>
      </w:r>
      <w:r>
        <w:rPr>
          <w:sz w:val="20"/>
        </w:rPr>
        <w:t>Nacional</w:t>
      </w:r>
      <w:r>
        <w:rPr>
          <w:spacing w:val="-5"/>
          <w:sz w:val="20"/>
        </w:rPr>
        <w:t> </w:t>
      </w:r>
      <w:r>
        <w:rPr>
          <w:sz w:val="20"/>
        </w:rPr>
        <w:t>de</w:t>
      </w:r>
      <w:r>
        <w:rPr>
          <w:spacing w:val="-8"/>
          <w:sz w:val="20"/>
        </w:rPr>
        <w:t> </w:t>
      </w:r>
      <w:r>
        <w:rPr>
          <w:sz w:val="20"/>
        </w:rPr>
        <w:t>Pueblos</w:t>
      </w:r>
      <w:r>
        <w:rPr>
          <w:spacing w:val="-5"/>
          <w:sz w:val="20"/>
        </w:rPr>
        <w:t> </w:t>
      </w:r>
      <w:r>
        <w:rPr>
          <w:sz w:val="20"/>
        </w:rPr>
        <w:t>Indígenas</w:t>
      </w:r>
      <w:r>
        <w:rPr>
          <w:spacing w:val="-7"/>
          <w:sz w:val="20"/>
        </w:rPr>
        <w:t> </w:t>
      </w:r>
      <w:r>
        <w:rPr>
          <w:sz w:val="20"/>
        </w:rPr>
        <w:t>(Re.No.Pi.),</w:t>
      </w:r>
      <w:r>
        <w:rPr>
          <w:spacing w:val="-5"/>
          <w:sz w:val="20"/>
        </w:rPr>
        <w:t> </w:t>
      </w:r>
      <w:r>
        <w:rPr>
          <w:sz w:val="20"/>
        </w:rPr>
        <w:t>reglamentada</w:t>
      </w:r>
      <w:r>
        <w:rPr>
          <w:spacing w:val="-6"/>
          <w:sz w:val="20"/>
        </w:rPr>
        <w:t> </w:t>
      </w:r>
      <w:r>
        <w:rPr>
          <w:sz w:val="20"/>
        </w:rPr>
        <w:t>por Resolución 328/2010 del INAI, “en nada resolvería la afectación de[l] derecho […] a la personalidad jurídica […] pues contiene una serie de exigencias y requisitos que no se adecuan a la forma de organización adoptada por Lhaka Honhat”</w:t>
      </w:r>
      <w:r>
        <w:rPr>
          <w:position w:val="7"/>
          <w:sz w:val="13"/>
        </w:rPr>
        <w:t>119</w:t>
      </w:r>
      <w:r>
        <w:rPr>
          <w:sz w:val="20"/>
        </w:rPr>
        <w:t>. Además, hicieron notar que dicha Resolución es de 2010, y que para esa fecha, conforme sostuvieron,</w:t>
      </w:r>
      <w:r>
        <w:rPr>
          <w:spacing w:val="-42"/>
          <w:sz w:val="20"/>
        </w:rPr>
        <w:t> </w:t>
      </w:r>
      <w:r>
        <w:rPr>
          <w:sz w:val="20"/>
        </w:rPr>
        <w:t>ya se había “consolidado” la violación al derecho </w:t>
      </w:r>
      <w:r>
        <w:rPr>
          <w:spacing w:val="3"/>
          <w:sz w:val="20"/>
        </w:rPr>
        <w:t>al </w:t>
      </w:r>
      <w:r>
        <w:rPr>
          <w:sz w:val="20"/>
        </w:rPr>
        <w:t>reconocimiento de la personalidad jurídica.</w:t>
      </w:r>
    </w:p>
    <w:p>
      <w:pPr>
        <w:pStyle w:val="BodyText"/>
      </w:pPr>
    </w:p>
    <w:p>
      <w:pPr>
        <w:pStyle w:val="ListParagraph"/>
        <w:numPr>
          <w:ilvl w:val="0"/>
          <w:numId w:val="21"/>
        </w:numPr>
        <w:tabs>
          <w:tab w:pos="830" w:val="left" w:leader="none"/>
        </w:tabs>
        <w:spacing w:line="240" w:lineRule="auto" w:before="0" w:after="0"/>
        <w:ind w:left="122" w:right="129" w:firstLine="0"/>
        <w:jc w:val="both"/>
        <w:rPr>
          <w:sz w:val="20"/>
        </w:rPr>
      </w:pPr>
      <w:r>
        <w:rPr>
          <w:sz w:val="20"/>
        </w:rPr>
        <w:t>Además</w:t>
      </w:r>
      <w:r>
        <w:rPr>
          <w:spacing w:val="-7"/>
          <w:sz w:val="20"/>
        </w:rPr>
        <w:t> </w:t>
      </w:r>
      <w:r>
        <w:rPr>
          <w:sz w:val="20"/>
        </w:rPr>
        <w:t>de</w:t>
      </w:r>
      <w:r>
        <w:rPr>
          <w:spacing w:val="-8"/>
          <w:sz w:val="20"/>
        </w:rPr>
        <w:t> </w:t>
      </w:r>
      <w:r>
        <w:rPr>
          <w:sz w:val="20"/>
        </w:rPr>
        <w:t>lo</w:t>
      </w:r>
      <w:r>
        <w:rPr>
          <w:spacing w:val="-5"/>
          <w:sz w:val="20"/>
        </w:rPr>
        <w:t> </w:t>
      </w:r>
      <w:r>
        <w:rPr>
          <w:sz w:val="20"/>
        </w:rPr>
        <w:t>expuesto,</w:t>
      </w:r>
      <w:r>
        <w:rPr>
          <w:spacing w:val="-7"/>
          <w:sz w:val="20"/>
        </w:rPr>
        <w:t> </w:t>
      </w:r>
      <w:r>
        <w:rPr>
          <w:sz w:val="20"/>
        </w:rPr>
        <w:t>los</w:t>
      </w:r>
      <w:r>
        <w:rPr>
          <w:spacing w:val="-7"/>
          <w:sz w:val="20"/>
        </w:rPr>
        <w:t> </w:t>
      </w:r>
      <w:r>
        <w:rPr>
          <w:sz w:val="20"/>
        </w:rPr>
        <w:t>representantes</w:t>
      </w:r>
      <w:r>
        <w:rPr>
          <w:spacing w:val="-7"/>
          <w:sz w:val="20"/>
        </w:rPr>
        <w:t> </w:t>
      </w:r>
      <w:r>
        <w:rPr>
          <w:sz w:val="20"/>
        </w:rPr>
        <w:t>sostuvieron</w:t>
      </w:r>
      <w:r>
        <w:rPr>
          <w:spacing w:val="-8"/>
          <w:sz w:val="20"/>
        </w:rPr>
        <w:t> </w:t>
      </w:r>
      <w:r>
        <w:rPr>
          <w:sz w:val="20"/>
        </w:rPr>
        <w:t>que</w:t>
      </w:r>
      <w:r>
        <w:rPr>
          <w:spacing w:val="-8"/>
          <w:sz w:val="20"/>
        </w:rPr>
        <w:t> </w:t>
      </w:r>
      <w:r>
        <w:rPr>
          <w:sz w:val="20"/>
        </w:rPr>
        <w:t>dada</w:t>
      </w:r>
      <w:r>
        <w:rPr>
          <w:spacing w:val="-7"/>
          <w:sz w:val="20"/>
        </w:rPr>
        <w:t> </w:t>
      </w:r>
      <w:r>
        <w:rPr>
          <w:sz w:val="20"/>
        </w:rPr>
        <w:t>la</w:t>
      </w:r>
      <w:r>
        <w:rPr>
          <w:spacing w:val="-9"/>
          <w:sz w:val="20"/>
        </w:rPr>
        <w:t> </w:t>
      </w:r>
      <w:r>
        <w:rPr>
          <w:sz w:val="20"/>
        </w:rPr>
        <w:t>presencia</w:t>
      </w:r>
      <w:r>
        <w:rPr>
          <w:spacing w:val="-6"/>
          <w:sz w:val="20"/>
        </w:rPr>
        <w:t> </w:t>
      </w:r>
      <w:r>
        <w:rPr>
          <w:sz w:val="20"/>
        </w:rPr>
        <w:t>de población criolla hay una “falta de aseguramiento de los derechos de propiedad”. Señalaron</w:t>
      </w:r>
      <w:r>
        <w:rPr>
          <w:spacing w:val="-6"/>
          <w:sz w:val="20"/>
        </w:rPr>
        <w:t> </w:t>
      </w:r>
      <w:r>
        <w:rPr>
          <w:sz w:val="20"/>
        </w:rPr>
        <w:t>que</w:t>
      </w:r>
      <w:r>
        <w:rPr>
          <w:spacing w:val="-8"/>
          <w:sz w:val="20"/>
        </w:rPr>
        <w:t> </w:t>
      </w:r>
      <w:r>
        <w:rPr>
          <w:sz w:val="20"/>
        </w:rPr>
        <w:t>al</w:t>
      </w:r>
      <w:r>
        <w:rPr>
          <w:spacing w:val="-6"/>
          <w:sz w:val="20"/>
        </w:rPr>
        <w:t> </w:t>
      </w:r>
      <w:r>
        <w:rPr>
          <w:sz w:val="20"/>
        </w:rPr>
        <w:t>25</w:t>
      </w:r>
      <w:r>
        <w:rPr>
          <w:spacing w:val="-6"/>
          <w:sz w:val="20"/>
        </w:rPr>
        <w:t> </w:t>
      </w:r>
      <w:r>
        <w:rPr>
          <w:sz w:val="20"/>
        </w:rPr>
        <w:t>de</w:t>
      </w:r>
      <w:r>
        <w:rPr>
          <w:spacing w:val="-5"/>
          <w:sz w:val="20"/>
        </w:rPr>
        <w:t> </w:t>
      </w:r>
      <w:r>
        <w:rPr>
          <w:sz w:val="20"/>
        </w:rPr>
        <w:t>mayo</w:t>
      </w:r>
      <w:r>
        <w:rPr>
          <w:spacing w:val="-8"/>
          <w:sz w:val="20"/>
        </w:rPr>
        <w:t> </w:t>
      </w:r>
      <w:r>
        <w:rPr>
          <w:sz w:val="20"/>
        </w:rPr>
        <w:t>de</w:t>
      </w:r>
      <w:r>
        <w:rPr>
          <w:spacing w:val="-8"/>
          <w:sz w:val="20"/>
        </w:rPr>
        <w:t> </w:t>
      </w:r>
      <w:r>
        <w:rPr>
          <w:sz w:val="20"/>
        </w:rPr>
        <w:t>2018,</w:t>
      </w:r>
      <w:r>
        <w:rPr>
          <w:spacing w:val="-7"/>
          <w:sz w:val="20"/>
        </w:rPr>
        <w:t> </w:t>
      </w:r>
      <w:r>
        <w:rPr>
          <w:sz w:val="20"/>
        </w:rPr>
        <w:t>de</w:t>
      </w:r>
      <w:r>
        <w:rPr>
          <w:spacing w:val="-8"/>
          <w:sz w:val="20"/>
        </w:rPr>
        <w:t> </w:t>
      </w:r>
      <w:r>
        <w:rPr>
          <w:sz w:val="20"/>
        </w:rPr>
        <w:t>282</w:t>
      </w:r>
      <w:r>
        <w:rPr>
          <w:spacing w:val="-6"/>
          <w:sz w:val="20"/>
        </w:rPr>
        <w:t> </w:t>
      </w:r>
      <w:r>
        <w:rPr>
          <w:sz w:val="20"/>
        </w:rPr>
        <w:t>familias</w:t>
      </w:r>
      <w:r>
        <w:rPr>
          <w:spacing w:val="-7"/>
          <w:sz w:val="20"/>
        </w:rPr>
        <w:t> </w:t>
      </w:r>
      <w:r>
        <w:rPr>
          <w:sz w:val="20"/>
        </w:rPr>
        <w:t>criollas</w:t>
      </w:r>
      <w:r>
        <w:rPr>
          <w:spacing w:val="-7"/>
          <w:sz w:val="20"/>
        </w:rPr>
        <w:t> </w:t>
      </w:r>
      <w:r>
        <w:rPr>
          <w:sz w:val="20"/>
        </w:rPr>
        <w:t>que</w:t>
      </w:r>
      <w:r>
        <w:rPr>
          <w:spacing w:val="-8"/>
          <w:sz w:val="20"/>
        </w:rPr>
        <w:t> </w:t>
      </w:r>
      <w:r>
        <w:rPr>
          <w:sz w:val="20"/>
        </w:rPr>
        <w:t>debían</w:t>
      </w:r>
      <w:r>
        <w:rPr>
          <w:spacing w:val="-5"/>
          <w:sz w:val="20"/>
        </w:rPr>
        <w:t> </w:t>
      </w:r>
      <w:r>
        <w:rPr>
          <w:sz w:val="20"/>
        </w:rPr>
        <w:t>relocalizarse, solo dos habían completado íntegramente el proceso (</w:t>
      </w:r>
      <w:r>
        <w:rPr>
          <w:i/>
          <w:sz w:val="20"/>
        </w:rPr>
        <w:t>infra </w:t>
      </w:r>
      <w:r>
        <w:rPr>
          <w:sz w:val="20"/>
        </w:rPr>
        <w:t>nota a pie de página</w:t>
      </w:r>
      <w:r>
        <w:rPr>
          <w:spacing w:val="-22"/>
          <w:sz w:val="20"/>
        </w:rPr>
        <w:t> </w:t>
      </w:r>
      <w:r>
        <w:rPr>
          <w:sz w:val="20"/>
        </w:rPr>
        <w:t>143).</w:t>
      </w:r>
    </w:p>
    <w:p>
      <w:pPr>
        <w:pStyle w:val="BodyText"/>
        <w:spacing w:before="10"/>
        <w:rPr>
          <w:sz w:val="19"/>
        </w:rPr>
      </w:pPr>
    </w:p>
    <w:p>
      <w:pPr>
        <w:pStyle w:val="ListParagraph"/>
        <w:numPr>
          <w:ilvl w:val="0"/>
          <w:numId w:val="21"/>
        </w:numPr>
        <w:tabs>
          <w:tab w:pos="830" w:val="left" w:leader="none"/>
        </w:tabs>
        <w:spacing w:line="240" w:lineRule="auto" w:before="0" w:after="0"/>
        <w:ind w:left="122" w:right="126" w:firstLine="0"/>
        <w:jc w:val="both"/>
        <w:rPr>
          <w:sz w:val="20"/>
        </w:rPr>
      </w:pPr>
      <w:r>
        <w:rPr>
          <w:sz w:val="20"/>
        </w:rPr>
        <w:t>El </w:t>
      </w:r>
      <w:r>
        <w:rPr>
          <w:b/>
          <w:i/>
          <w:sz w:val="20"/>
        </w:rPr>
        <w:t>Estado </w:t>
      </w:r>
      <w:r>
        <w:rPr>
          <w:sz w:val="20"/>
        </w:rPr>
        <w:t>negó que se violaran derechos en relación con la tierra. Aseveró que “no existen dudas sobre el reconocimiento del derecho de propiedad de las comunidades”, y que Argentina “[ha] trabaja[do] en forma […] ininterrumpida para lograr el goce pleno de todos los derechos”. Al respecto, destacó la “complejidad” del caso, que calificó de “extrema”, señalando, entre otras razones, la presencia de “pobladores criollos con derechos en la zona”, la necesidad de “obras públicas” para “facilitar el traslado de pobladores”, la “problemática” de “competencias específicas” de Salta y el Estado Nacional y “la complejidad que aporta la aparición de nuevas comunidades que quizás en el futuro no quieran ser parte de un título</w:t>
      </w:r>
      <w:r>
        <w:rPr>
          <w:spacing w:val="-30"/>
          <w:sz w:val="20"/>
        </w:rPr>
        <w:t> </w:t>
      </w:r>
      <w:r>
        <w:rPr>
          <w:sz w:val="20"/>
        </w:rPr>
        <w:t>único”.</w:t>
      </w:r>
    </w:p>
    <w:p>
      <w:pPr>
        <w:pStyle w:val="BodyText"/>
        <w:spacing w:before="10"/>
        <w:rPr>
          <w:sz w:val="19"/>
        </w:rPr>
      </w:pPr>
    </w:p>
    <w:p>
      <w:pPr>
        <w:pStyle w:val="ListParagraph"/>
        <w:numPr>
          <w:ilvl w:val="0"/>
          <w:numId w:val="21"/>
        </w:numPr>
        <w:tabs>
          <w:tab w:pos="830" w:val="left" w:leader="none"/>
        </w:tabs>
        <w:spacing w:line="240" w:lineRule="auto" w:before="0" w:after="0"/>
        <w:ind w:left="122" w:right="126" w:firstLine="0"/>
        <w:jc w:val="both"/>
        <w:rPr>
          <w:sz w:val="20"/>
        </w:rPr>
      </w:pPr>
      <w:r>
        <w:rPr>
          <w:sz w:val="20"/>
        </w:rPr>
        <w:t>El Estado desarrolló sus argumentos, manifestando que reconoció el derecho de propiedad de las comunidades mediante diversos actos</w:t>
      </w:r>
      <w:r>
        <w:rPr>
          <w:position w:val="7"/>
          <w:sz w:val="13"/>
        </w:rPr>
        <w:t>120</w:t>
      </w:r>
      <w:r>
        <w:rPr>
          <w:sz w:val="20"/>
        </w:rPr>
        <w:t>. Afirmó que “[las comunidades]</w:t>
      </w:r>
      <w:r>
        <w:rPr>
          <w:spacing w:val="-11"/>
          <w:sz w:val="20"/>
        </w:rPr>
        <w:t> </w:t>
      </w:r>
      <w:r>
        <w:rPr>
          <w:sz w:val="20"/>
        </w:rPr>
        <w:t>ya</w:t>
      </w:r>
      <w:r>
        <w:rPr>
          <w:spacing w:val="-14"/>
          <w:sz w:val="20"/>
        </w:rPr>
        <w:t> </w:t>
      </w:r>
      <w:r>
        <w:rPr>
          <w:sz w:val="20"/>
        </w:rPr>
        <w:t>poseen</w:t>
      </w:r>
      <w:r>
        <w:rPr>
          <w:spacing w:val="-13"/>
          <w:sz w:val="20"/>
        </w:rPr>
        <w:t> </w:t>
      </w:r>
      <w:r>
        <w:rPr>
          <w:sz w:val="20"/>
        </w:rPr>
        <w:t>el</w:t>
      </w:r>
      <w:r>
        <w:rPr>
          <w:spacing w:val="-13"/>
          <w:sz w:val="20"/>
        </w:rPr>
        <w:t> </w:t>
      </w:r>
      <w:r>
        <w:rPr>
          <w:sz w:val="20"/>
        </w:rPr>
        <w:t>título</w:t>
      </w:r>
      <w:r>
        <w:rPr>
          <w:spacing w:val="-15"/>
          <w:sz w:val="20"/>
        </w:rPr>
        <w:t> </w:t>
      </w:r>
      <w:r>
        <w:rPr>
          <w:sz w:val="20"/>
        </w:rPr>
        <w:t>único</w:t>
      </w:r>
      <w:r>
        <w:rPr>
          <w:spacing w:val="-15"/>
          <w:sz w:val="20"/>
        </w:rPr>
        <w:t> </w:t>
      </w:r>
      <w:r>
        <w:rPr>
          <w:sz w:val="20"/>
        </w:rPr>
        <w:t>a</w:t>
      </w:r>
      <w:r>
        <w:rPr>
          <w:spacing w:val="-11"/>
          <w:sz w:val="20"/>
        </w:rPr>
        <w:t> </w:t>
      </w:r>
      <w:r>
        <w:rPr>
          <w:sz w:val="20"/>
        </w:rPr>
        <w:t>partir</w:t>
      </w:r>
      <w:r>
        <w:rPr>
          <w:spacing w:val="-10"/>
          <w:sz w:val="20"/>
        </w:rPr>
        <w:t> </w:t>
      </w:r>
      <w:r>
        <w:rPr>
          <w:sz w:val="20"/>
        </w:rPr>
        <w:t>del</w:t>
      </w:r>
      <w:r>
        <w:rPr>
          <w:spacing w:val="-13"/>
          <w:sz w:val="20"/>
        </w:rPr>
        <w:t> </w:t>
      </w:r>
      <w:r>
        <w:rPr>
          <w:sz w:val="20"/>
        </w:rPr>
        <w:t>decreto</w:t>
      </w:r>
      <w:r>
        <w:rPr>
          <w:spacing w:val="-13"/>
          <w:sz w:val="20"/>
        </w:rPr>
        <w:t> </w:t>
      </w:r>
      <w:r>
        <w:rPr>
          <w:sz w:val="20"/>
        </w:rPr>
        <w:t>provincial</w:t>
      </w:r>
      <w:r>
        <w:rPr>
          <w:spacing w:val="-11"/>
          <w:sz w:val="20"/>
        </w:rPr>
        <w:t> </w:t>
      </w:r>
      <w:r>
        <w:rPr>
          <w:sz w:val="20"/>
        </w:rPr>
        <w:t>1498/14”.</w:t>
      </w:r>
      <w:r>
        <w:rPr>
          <w:spacing w:val="-15"/>
          <w:sz w:val="20"/>
        </w:rPr>
        <w:t> </w:t>
      </w:r>
      <w:r>
        <w:rPr>
          <w:sz w:val="20"/>
        </w:rPr>
        <w:t>Sostuvo</w:t>
      </w:r>
    </w:p>
    <w:p>
      <w:pPr>
        <w:pStyle w:val="BodyText"/>
        <w:spacing w:before="3"/>
        <w:rPr>
          <w:sz w:val="9"/>
        </w:rPr>
      </w:pPr>
      <w:r>
        <w:rPr/>
        <w:pict>
          <v:line style="position:absolute;mso-position-horizontal-relative:page;mso-position-vertical-relative:paragraph;z-index:1960;mso-wrap-distance-left:0;mso-wrap-distance-right:0" from="85.103996pt,7.963343pt" to="229.123996pt,7.963343pt" stroked="true" strokeweight=".71997pt" strokecolor="#000000">
            <v:stroke dashstyle="solid"/>
            <w10:wrap type="topAndBottom"/>
          </v:line>
        </w:pict>
      </w:r>
    </w:p>
    <w:p>
      <w:pPr>
        <w:spacing w:before="71"/>
        <w:ind w:left="122" w:right="119" w:firstLine="0"/>
        <w:jc w:val="both"/>
        <w:rPr>
          <w:sz w:val="16"/>
        </w:rPr>
      </w:pPr>
      <w:r>
        <w:rPr>
          <w:sz w:val="16"/>
        </w:rPr>
        <w:t>irregularidades</w:t>
      </w:r>
      <w:r>
        <w:rPr>
          <w:spacing w:val="-6"/>
          <w:sz w:val="16"/>
        </w:rPr>
        <w:t> </w:t>
      </w:r>
      <w:r>
        <w:rPr>
          <w:sz w:val="16"/>
        </w:rPr>
        <w:t>que</w:t>
      </w:r>
      <w:r>
        <w:rPr>
          <w:spacing w:val="-3"/>
          <w:sz w:val="16"/>
        </w:rPr>
        <w:t> </w:t>
      </w:r>
      <w:r>
        <w:rPr>
          <w:sz w:val="16"/>
        </w:rPr>
        <w:t>impiden</w:t>
      </w:r>
      <w:r>
        <w:rPr>
          <w:spacing w:val="-7"/>
          <w:sz w:val="16"/>
        </w:rPr>
        <w:t> </w:t>
      </w:r>
      <w:r>
        <w:rPr>
          <w:sz w:val="16"/>
        </w:rPr>
        <w:t>considerarla</w:t>
      </w:r>
      <w:r>
        <w:rPr>
          <w:spacing w:val="-7"/>
          <w:sz w:val="16"/>
        </w:rPr>
        <w:t> </w:t>
      </w:r>
      <w:r>
        <w:rPr>
          <w:sz w:val="16"/>
        </w:rPr>
        <w:t>como</w:t>
      </w:r>
      <w:r>
        <w:rPr>
          <w:spacing w:val="-5"/>
          <w:sz w:val="16"/>
        </w:rPr>
        <w:t> </w:t>
      </w:r>
      <w:r>
        <w:rPr>
          <w:sz w:val="16"/>
        </w:rPr>
        <w:t>“auténtica”</w:t>
      </w:r>
      <w:r>
        <w:rPr>
          <w:spacing w:val="-6"/>
          <w:sz w:val="16"/>
        </w:rPr>
        <w:t> </w:t>
      </w:r>
      <w:r>
        <w:rPr>
          <w:sz w:val="16"/>
        </w:rPr>
        <w:t>y</w:t>
      </w:r>
      <w:r>
        <w:rPr>
          <w:spacing w:val="-5"/>
          <w:sz w:val="16"/>
        </w:rPr>
        <w:t> </w:t>
      </w:r>
      <w:r>
        <w:rPr>
          <w:sz w:val="16"/>
        </w:rPr>
        <w:t>genuina</w:t>
      </w:r>
      <w:r>
        <w:rPr>
          <w:spacing w:val="-4"/>
          <w:sz w:val="16"/>
        </w:rPr>
        <w:t> </w:t>
      </w:r>
      <w:r>
        <w:rPr>
          <w:sz w:val="16"/>
        </w:rPr>
        <w:t>expresión</w:t>
      </w:r>
      <w:r>
        <w:rPr>
          <w:spacing w:val="-7"/>
          <w:sz w:val="16"/>
        </w:rPr>
        <w:t> </w:t>
      </w:r>
      <w:r>
        <w:rPr>
          <w:sz w:val="16"/>
        </w:rPr>
        <w:t>de</w:t>
      </w:r>
      <w:r>
        <w:rPr>
          <w:spacing w:val="-6"/>
          <w:sz w:val="16"/>
        </w:rPr>
        <w:t> </w:t>
      </w:r>
      <w:r>
        <w:rPr>
          <w:sz w:val="16"/>
        </w:rPr>
        <w:t>la</w:t>
      </w:r>
      <w:r>
        <w:rPr>
          <w:spacing w:val="-7"/>
          <w:sz w:val="16"/>
        </w:rPr>
        <w:t> </w:t>
      </w:r>
      <w:r>
        <w:rPr>
          <w:sz w:val="16"/>
        </w:rPr>
        <w:t>voluntad</w:t>
      </w:r>
      <w:r>
        <w:rPr>
          <w:spacing w:val="-3"/>
          <w:sz w:val="16"/>
        </w:rPr>
        <w:t> </w:t>
      </w:r>
      <w:r>
        <w:rPr>
          <w:sz w:val="16"/>
        </w:rPr>
        <w:t>popular,</w:t>
      </w:r>
      <w:r>
        <w:rPr>
          <w:spacing w:val="-5"/>
          <w:sz w:val="16"/>
        </w:rPr>
        <w:t> </w:t>
      </w:r>
      <w:r>
        <w:rPr>
          <w:sz w:val="16"/>
        </w:rPr>
        <w:t>lo</w:t>
      </w:r>
      <w:r>
        <w:rPr>
          <w:spacing w:val="-5"/>
          <w:sz w:val="16"/>
        </w:rPr>
        <w:t> </w:t>
      </w:r>
      <w:r>
        <w:rPr>
          <w:sz w:val="16"/>
        </w:rPr>
        <w:t>que implica una violación del artículo 23 de la Convención: la utilización de boletas de votación con mensajes engañosos que realizan promesas de bienestar económico y el cálculo fraudulento del quórum necesario para la validez de la</w:t>
      </w:r>
      <w:r>
        <w:rPr>
          <w:spacing w:val="-6"/>
          <w:sz w:val="16"/>
        </w:rPr>
        <w:t> </w:t>
      </w:r>
      <w:r>
        <w:rPr>
          <w:sz w:val="16"/>
        </w:rPr>
        <w:t>votación.</w:t>
      </w:r>
    </w:p>
    <w:p>
      <w:pPr>
        <w:pStyle w:val="BodyText"/>
        <w:spacing w:before="11"/>
        <w:rPr>
          <w:sz w:val="15"/>
        </w:rPr>
      </w:pPr>
    </w:p>
    <w:p>
      <w:pPr>
        <w:tabs>
          <w:tab w:pos="829" w:val="left" w:leader="none"/>
        </w:tabs>
        <w:spacing w:before="0"/>
        <w:ind w:left="122" w:right="114" w:firstLine="0"/>
        <w:jc w:val="both"/>
        <w:rPr>
          <w:sz w:val="16"/>
        </w:rPr>
      </w:pPr>
      <w:r>
        <w:rPr>
          <w:position w:val="6"/>
          <w:sz w:val="10"/>
        </w:rPr>
        <w:t>119</w:t>
        <w:tab/>
      </w:r>
      <w:r>
        <w:rPr>
          <w:sz w:val="16"/>
        </w:rPr>
        <w:t>Se</w:t>
      </w:r>
      <w:r>
        <w:rPr>
          <w:spacing w:val="22"/>
          <w:sz w:val="16"/>
        </w:rPr>
        <w:t> </w:t>
      </w:r>
      <w:r>
        <w:rPr>
          <w:sz w:val="16"/>
        </w:rPr>
        <w:t>refirieron</w:t>
      </w:r>
      <w:r>
        <w:rPr>
          <w:spacing w:val="23"/>
          <w:sz w:val="16"/>
        </w:rPr>
        <w:t> </w:t>
      </w:r>
      <w:r>
        <w:rPr>
          <w:sz w:val="16"/>
        </w:rPr>
        <w:t>en</w:t>
      </w:r>
      <w:r>
        <w:rPr>
          <w:spacing w:val="20"/>
          <w:sz w:val="16"/>
        </w:rPr>
        <w:t> </w:t>
      </w:r>
      <w:r>
        <w:rPr>
          <w:sz w:val="16"/>
        </w:rPr>
        <w:t>particular</w:t>
      </w:r>
      <w:r>
        <w:rPr>
          <w:spacing w:val="24"/>
          <w:sz w:val="16"/>
        </w:rPr>
        <w:t> </w:t>
      </w:r>
      <w:r>
        <w:rPr>
          <w:sz w:val="16"/>
        </w:rPr>
        <w:t>a</w:t>
      </w:r>
      <w:r>
        <w:rPr>
          <w:spacing w:val="23"/>
          <w:sz w:val="16"/>
        </w:rPr>
        <w:t> </w:t>
      </w:r>
      <w:r>
        <w:rPr>
          <w:sz w:val="16"/>
        </w:rPr>
        <w:t>los</w:t>
      </w:r>
      <w:r>
        <w:rPr>
          <w:spacing w:val="24"/>
          <w:sz w:val="16"/>
        </w:rPr>
        <w:t> </w:t>
      </w:r>
      <w:r>
        <w:rPr>
          <w:sz w:val="16"/>
        </w:rPr>
        <w:t>artículos</w:t>
      </w:r>
      <w:r>
        <w:rPr>
          <w:spacing w:val="22"/>
          <w:sz w:val="16"/>
        </w:rPr>
        <w:t> </w:t>
      </w:r>
      <w:r>
        <w:rPr>
          <w:sz w:val="16"/>
        </w:rPr>
        <w:t>6,</w:t>
      </w:r>
      <w:r>
        <w:rPr>
          <w:spacing w:val="20"/>
          <w:sz w:val="16"/>
        </w:rPr>
        <w:t> </w:t>
      </w:r>
      <w:r>
        <w:rPr>
          <w:sz w:val="16"/>
        </w:rPr>
        <w:t>7</w:t>
      </w:r>
      <w:r>
        <w:rPr>
          <w:spacing w:val="22"/>
          <w:sz w:val="16"/>
        </w:rPr>
        <w:t> </w:t>
      </w:r>
      <w:r>
        <w:rPr>
          <w:sz w:val="16"/>
        </w:rPr>
        <w:t>y</w:t>
      </w:r>
      <w:r>
        <w:rPr>
          <w:spacing w:val="22"/>
          <w:sz w:val="16"/>
        </w:rPr>
        <w:t> </w:t>
      </w:r>
      <w:r>
        <w:rPr>
          <w:sz w:val="16"/>
        </w:rPr>
        <w:t>8</w:t>
      </w:r>
      <w:r>
        <w:rPr>
          <w:spacing w:val="22"/>
          <w:sz w:val="16"/>
        </w:rPr>
        <w:t> </w:t>
      </w:r>
      <w:r>
        <w:rPr>
          <w:sz w:val="16"/>
        </w:rPr>
        <w:t>de</w:t>
      </w:r>
      <w:r>
        <w:rPr>
          <w:spacing w:val="24"/>
          <w:sz w:val="16"/>
        </w:rPr>
        <w:t> </w:t>
      </w:r>
      <w:r>
        <w:rPr>
          <w:sz w:val="16"/>
        </w:rPr>
        <w:t>la</w:t>
      </w:r>
      <w:r>
        <w:rPr>
          <w:spacing w:val="21"/>
          <w:sz w:val="16"/>
        </w:rPr>
        <w:t> </w:t>
      </w:r>
      <w:r>
        <w:rPr>
          <w:sz w:val="16"/>
        </w:rPr>
        <w:t>Resolución</w:t>
      </w:r>
      <w:r>
        <w:rPr>
          <w:spacing w:val="21"/>
          <w:sz w:val="16"/>
        </w:rPr>
        <w:t> </w:t>
      </w:r>
      <w:r>
        <w:rPr>
          <w:sz w:val="16"/>
        </w:rPr>
        <w:t>citada,</w:t>
      </w:r>
      <w:r>
        <w:rPr>
          <w:spacing w:val="23"/>
          <w:sz w:val="16"/>
        </w:rPr>
        <w:t> </w:t>
      </w:r>
      <w:r>
        <w:rPr>
          <w:sz w:val="16"/>
        </w:rPr>
        <w:t>aseverando</w:t>
      </w:r>
      <w:r>
        <w:rPr>
          <w:spacing w:val="20"/>
          <w:sz w:val="16"/>
        </w:rPr>
        <w:t> </w:t>
      </w:r>
      <w:r>
        <w:rPr>
          <w:sz w:val="16"/>
        </w:rPr>
        <w:t>que</w:t>
      </w:r>
      <w:r>
        <w:rPr>
          <w:spacing w:val="24"/>
          <w:sz w:val="16"/>
        </w:rPr>
        <w:t> </w:t>
      </w:r>
      <w:r>
        <w:rPr>
          <w:sz w:val="16"/>
        </w:rPr>
        <w:t>“[l]as</w:t>
      </w:r>
      <w:r>
        <w:rPr>
          <w:w w:val="100"/>
          <w:sz w:val="16"/>
        </w:rPr>
        <w:t> </w:t>
      </w:r>
      <w:r>
        <w:rPr>
          <w:sz w:val="16"/>
        </w:rPr>
        <w:t>exigencias establecidas […] representan una imposición sobre maneras y formas de organización que no son compatibles con la identidad cultural de los pueblos indígenas ni, menos aún, con el modo en que la organización</w:t>
      </w:r>
      <w:r>
        <w:rPr>
          <w:spacing w:val="-8"/>
          <w:sz w:val="16"/>
        </w:rPr>
        <w:t> </w:t>
      </w:r>
      <w:r>
        <w:rPr>
          <w:sz w:val="16"/>
        </w:rPr>
        <w:t>Lhaka</w:t>
      </w:r>
      <w:r>
        <w:rPr>
          <w:spacing w:val="-8"/>
          <w:sz w:val="16"/>
        </w:rPr>
        <w:t> </w:t>
      </w:r>
      <w:r>
        <w:rPr>
          <w:sz w:val="16"/>
        </w:rPr>
        <w:t>Honhat</w:t>
      </w:r>
      <w:r>
        <w:rPr>
          <w:spacing w:val="-11"/>
          <w:sz w:val="16"/>
        </w:rPr>
        <w:t> </w:t>
      </w:r>
      <w:r>
        <w:rPr>
          <w:sz w:val="16"/>
        </w:rPr>
        <w:t>ya</w:t>
      </w:r>
      <w:r>
        <w:rPr>
          <w:spacing w:val="-10"/>
          <w:sz w:val="16"/>
        </w:rPr>
        <w:t> </w:t>
      </w:r>
      <w:r>
        <w:rPr>
          <w:sz w:val="16"/>
        </w:rPr>
        <w:t>venía</w:t>
      </w:r>
      <w:r>
        <w:rPr>
          <w:spacing w:val="-8"/>
          <w:sz w:val="16"/>
        </w:rPr>
        <w:t> </w:t>
      </w:r>
      <w:r>
        <w:rPr>
          <w:sz w:val="16"/>
        </w:rPr>
        <w:t>funcionando.</w:t>
      </w:r>
      <w:r>
        <w:rPr>
          <w:spacing w:val="-8"/>
          <w:sz w:val="16"/>
        </w:rPr>
        <w:t> </w:t>
      </w:r>
      <w:r>
        <w:rPr>
          <w:sz w:val="16"/>
        </w:rPr>
        <w:t>El</w:t>
      </w:r>
      <w:r>
        <w:rPr>
          <w:spacing w:val="-8"/>
          <w:sz w:val="16"/>
        </w:rPr>
        <w:t> </w:t>
      </w:r>
      <w:r>
        <w:rPr>
          <w:sz w:val="16"/>
        </w:rPr>
        <w:t>sistema</w:t>
      </w:r>
      <w:r>
        <w:rPr>
          <w:spacing w:val="-11"/>
          <w:sz w:val="16"/>
        </w:rPr>
        <w:t> </w:t>
      </w:r>
      <w:r>
        <w:rPr>
          <w:sz w:val="16"/>
        </w:rPr>
        <w:t>de</w:t>
      </w:r>
      <w:r>
        <w:rPr>
          <w:spacing w:val="-7"/>
          <w:sz w:val="16"/>
        </w:rPr>
        <w:t> </w:t>
      </w:r>
      <w:r>
        <w:rPr>
          <w:sz w:val="16"/>
        </w:rPr>
        <w:t>mayorías</w:t>
      </w:r>
      <w:r>
        <w:rPr>
          <w:spacing w:val="-9"/>
          <w:sz w:val="16"/>
        </w:rPr>
        <w:t> </w:t>
      </w:r>
      <w:r>
        <w:rPr>
          <w:sz w:val="16"/>
        </w:rPr>
        <w:t>y</w:t>
      </w:r>
      <w:r>
        <w:rPr>
          <w:spacing w:val="-7"/>
          <w:sz w:val="16"/>
        </w:rPr>
        <w:t> </w:t>
      </w:r>
      <w:r>
        <w:rPr>
          <w:sz w:val="16"/>
        </w:rPr>
        <w:t>minorías</w:t>
      </w:r>
      <w:r>
        <w:rPr>
          <w:spacing w:val="-9"/>
          <w:sz w:val="16"/>
        </w:rPr>
        <w:t> </w:t>
      </w:r>
      <w:r>
        <w:rPr>
          <w:sz w:val="16"/>
        </w:rPr>
        <w:t>descripto</w:t>
      </w:r>
      <w:r>
        <w:rPr>
          <w:spacing w:val="-7"/>
          <w:sz w:val="16"/>
        </w:rPr>
        <w:t> </w:t>
      </w:r>
      <w:r>
        <w:rPr>
          <w:sz w:val="16"/>
        </w:rPr>
        <w:t>en</w:t>
      </w:r>
      <w:r>
        <w:rPr>
          <w:spacing w:val="-8"/>
          <w:sz w:val="16"/>
        </w:rPr>
        <w:t> </w:t>
      </w:r>
      <w:r>
        <w:rPr>
          <w:sz w:val="16"/>
        </w:rPr>
        <w:t>la</w:t>
      </w:r>
      <w:r>
        <w:rPr>
          <w:spacing w:val="-10"/>
          <w:sz w:val="16"/>
        </w:rPr>
        <w:t> </w:t>
      </w:r>
      <w:r>
        <w:rPr>
          <w:sz w:val="16"/>
        </w:rPr>
        <w:t>resolución del INAI es absolutamente incompatible con el modo de funcionamiento de la organización</w:t>
      </w:r>
      <w:r>
        <w:rPr>
          <w:spacing w:val="-33"/>
          <w:sz w:val="16"/>
        </w:rPr>
        <w:t> </w:t>
      </w:r>
      <w:r>
        <w:rPr>
          <w:sz w:val="16"/>
        </w:rPr>
        <w:t>referida”.</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120</w:t>
        <w:tab/>
      </w:r>
      <w:r>
        <w:rPr>
          <w:sz w:val="16"/>
        </w:rPr>
        <w:t>Argentina</w:t>
      </w:r>
      <w:r>
        <w:rPr>
          <w:spacing w:val="-3"/>
          <w:sz w:val="16"/>
        </w:rPr>
        <w:t> </w:t>
      </w:r>
      <w:r>
        <w:rPr>
          <w:sz w:val="16"/>
        </w:rPr>
        <w:t>enumeró</w:t>
      </w:r>
      <w:r>
        <w:rPr>
          <w:spacing w:val="-2"/>
          <w:sz w:val="16"/>
        </w:rPr>
        <w:t> </w:t>
      </w:r>
      <w:r>
        <w:rPr>
          <w:sz w:val="16"/>
        </w:rPr>
        <w:t>los</w:t>
      </w:r>
      <w:r>
        <w:rPr>
          <w:spacing w:val="-5"/>
          <w:sz w:val="16"/>
        </w:rPr>
        <w:t> </w:t>
      </w:r>
      <w:r>
        <w:rPr>
          <w:sz w:val="16"/>
        </w:rPr>
        <w:t>siguientes</w:t>
      </w:r>
      <w:r>
        <w:rPr>
          <w:spacing w:val="-2"/>
          <w:sz w:val="16"/>
        </w:rPr>
        <w:t> </w:t>
      </w:r>
      <w:r>
        <w:rPr>
          <w:sz w:val="16"/>
        </w:rPr>
        <w:t>actos:</w:t>
      </w:r>
      <w:r>
        <w:rPr>
          <w:spacing w:val="-3"/>
          <w:sz w:val="16"/>
        </w:rPr>
        <w:t> </w:t>
      </w:r>
      <w:r>
        <w:rPr>
          <w:sz w:val="16"/>
        </w:rPr>
        <w:t>acta</w:t>
      </w:r>
      <w:r>
        <w:rPr>
          <w:spacing w:val="-6"/>
          <w:sz w:val="16"/>
        </w:rPr>
        <w:t> </w:t>
      </w:r>
      <w:r>
        <w:rPr>
          <w:sz w:val="16"/>
        </w:rPr>
        <w:t>de</w:t>
      </w:r>
      <w:r>
        <w:rPr>
          <w:spacing w:val="-5"/>
          <w:sz w:val="16"/>
        </w:rPr>
        <w:t> </w:t>
      </w:r>
      <w:r>
        <w:rPr>
          <w:sz w:val="16"/>
        </w:rPr>
        <w:t>5</w:t>
      </w:r>
      <w:r>
        <w:rPr>
          <w:spacing w:val="-4"/>
          <w:sz w:val="16"/>
        </w:rPr>
        <w:t> </w:t>
      </w:r>
      <w:r>
        <w:rPr>
          <w:sz w:val="16"/>
        </w:rPr>
        <w:t>de</w:t>
      </w:r>
      <w:r>
        <w:rPr>
          <w:spacing w:val="-5"/>
          <w:sz w:val="16"/>
        </w:rPr>
        <w:t> </w:t>
      </w:r>
      <w:r>
        <w:rPr>
          <w:sz w:val="16"/>
        </w:rPr>
        <w:t>diciembre</w:t>
      </w:r>
      <w:r>
        <w:rPr>
          <w:spacing w:val="-5"/>
          <w:sz w:val="16"/>
        </w:rPr>
        <w:t> </w:t>
      </w:r>
      <w:r>
        <w:rPr>
          <w:sz w:val="16"/>
        </w:rPr>
        <w:t>de</w:t>
      </w:r>
      <w:r>
        <w:rPr>
          <w:spacing w:val="-5"/>
          <w:sz w:val="16"/>
        </w:rPr>
        <w:t> </w:t>
      </w:r>
      <w:r>
        <w:rPr>
          <w:sz w:val="16"/>
        </w:rPr>
        <w:t>1991,</w:t>
      </w:r>
      <w:r>
        <w:rPr>
          <w:spacing w:val="-6"/>
          <w:sz w:val="16"/>
        </w:rPr>
        <w:t> </w:t>
      </w:r>
      <w:r>
        <w:rPr>
          <w:sz w:val="16"/>
        </w:rPr>
        <w:t>Decretos</w:t>
      </w:r>
      <w:r>
        <w:rPr>
          <w:spacing w:val="-7"/>
          <w:sz w:val="16"/>
        </w:rPr>
        <w:t> </w:t>
      </w:r>
      <w:r>
        <w:rPr>
          <w:sz w:val="16"/>
        </w:rPr>
        <w:t>2609/91,</w:t>
      </w:r>
      <w:r>
        <w:rPr>
          <w:spacing w:val="-6"/>
          <w:sz w:val="16"/>
        </w:rPr>
        <w:t> </w:t>
      </w:r>
      <w:r>
        <w:rPr>
          <w:sz w:val="16"/>
        </w:rPr>
        <w:t>18/93</w:t>
      </w:r>
      <w:r>
        <w:rPr>
          <w:spacing w:val="-4"/>
          <w:sz w:val="16"/>
        </w:rPr>
        <w:t> </w:t>
      </w:r>
      <w:r>
        <w:rPr>
          <w:sz w:val="16"/>
        </w:rPr>
        <w:t>y</w:t>
      </w:r>
      <w:r>
        <w:rPr>
          <w:w w:val="100"/>
          <w:sz w:val="16"/>
        </w:rPr>
        <w:t> </w:t>
      </w:r>
      <w:r>
        <w:rPr>
          <w:sz w:val="16"/>
        </w:rPr>
        <w:t>3097/95, acuerdo de abril de 1996, Decreto 461/99, el proceso de solución amistosa, Decreto 295/02, conformación del equipo técnico “Grupo de Trabajo” el 4 de octubre de 2002, propuestas provinciales de 16 de</w:t>
      </w:r>
      <w:r>
        <w:rPr>
          <w:spacing w:val="-7"/>
          <w:sz w:val="16"/>
        </w:rPr>
        <w:t> </w:t>
      </w:r>
      <w:r>
        <w:rPr>
          <w:sz w:val="16"/>
        </w:rPr>
        <w:t>noviembre</w:t>
      </w:r>
      <w:r>
        <w:rPr>
          <w:spacing w:val="-9"/>
          <w:sz w:val="16"/>
        </w:rPr>
        <w:t> </w:t>
      </w:r>
      <w:r>
        <w:rPr>
          <w:sz w:val="16"/>
        </w:rPr>
        <w:t>y</w:t>
      </w:r>
      <w:r>
        <w:rPr>
          <w:spacing w:val="-9"/>
          <w:sz w:val="16"/>
        </w:rPr>
        <w:t> </w:t>
      </w:r>
      <w:r>
        <w:rPr>
          <w:sz w:val="16"/>
        </w:rPr>
        <w:t>22</w:t>
      </w:r>
      <w:r>
        <w:rPr>
          <w:spacing w:val="-9"/>
          <w:sz w:val="16"/>
        </w:rPr>
        <w:t> </w:t>
      </w:r>
      <w:r>
        <w:rPr>
          <w:sz w:val="16"/>
        </w:rPr>
        <w:t>de</w:t>
      </w:r>
      <w:r>
        <w:rPr>
          <w:spacing w:val="-9"/>
          <w:sz w:val="16"/>
        </w:rPr>
        <w:t> </w:t>
      </w:r>
      <w:r>
        <w:rPr>
          <w:sz w:val="16"/>
        </w:rPr>
        <w:t>diciembre</w:t>
      </w:r>
      <w:r>
        <w:rPr>
          <w:spacing w:val="-9"/>
          <w:sz w:val="16"/>
        </w:rPr>
        <w:t> </w:t>
      </w:r>
      <w:r>
        <w:rPr>
          <w:sz w:val="16"/>
        </w:rPr>
        <w:t>de</w:t>
      </w:r>
      <w:r>
        <w:rPr>
          <w:spacing w:val="-10"/>
          <w:sz w:val="16"/>
        </w:rPr>
        <w:t> </w:t>
      </w:r>
      <w:r>
        <w:rPr>
          <w:sz w:val="16"/>
        </w:rPr>
        <w:t>2004,</w:t>
      </w:r>
      <w:r>
        <w:rPr>
          <w:spacing w:val="-11"/>
          <w:sz w:val="16"/>
        </w:rPr>
        <w:t> </w:t>
      </w:r>
      <w:r>
        <w:rPr>
          <w:sz w:val="16"/>
        </w:rPr>
        <w:t>reunión</w:t>
      </w:r>
      <w:r>
        <w:rPr>
          <w:spacing w:val="-11"/>
          <w:sz w:val="16"/>
        </w:rPr>
        <w:t> </w:t>
      </w:r>
      <w:r>
        <w:rPr>
          <w:sz w:val="16"/>
        </w:rPr>
        <w:t>de</w:t>
      </w:r>
      <w:r>
        <w:rPr>
          <w:spacing w:val="-10"/>
          <w:sz w:val="16"/>
        </w:rPr>
        <w:t> </w:t>
      </w:r>
      <w:r>
        <w:rPr>
          <w:sz w:val="16"/>
        </w:rPr>
        <w:t>trabajo</w:t>
      </w:r>
      <w:r>
        <w:rPr>
          <w:spacing w:val="-9"/>
          <w:sz w:val="16"/>
        </w:rPr>
        <w:t> </w:t>
      </w:r>
      <w:r>
        <w:rPr>
          <w:sz w:val="16"/>
        </w:rPr>
        <w:t>ante</w:t>
      </w:r>
      <w:r>
        <w:rPr>
          <w:spacing w:val="-7"/>
          <w:sz w:val="16"/>
        </w:rPr>
        <w:t> </w:t>
      </w:r>
      <w:r>
        <w:rPr>
          <w:sz w:val="16"/>
        </w:rPr>
        <w:t>la</w:t>
      </w:r>
      <w:r>
        <w:rPr>
          <w:spacing w:val="-8"/>
          <w:sz w:val="16"/>
        </w:rPr>
        <w:t> </w:t>
      </w:r>
      <w:r>
        <w:rPr>
          <w:sz w:val="16"/>
        </w:rPr>
        <w:t>Comisión</w:t>
      </w:r>
      <w:r>
        <w:rPr>
          <w:spacing w:val="-11"/>
          <w:sz w:val="16"/>
        </w:rPr>
        <w:t> </w:t>
      </w:r>
      <w:r>
        <w:rPr>
          <w:sz w:val="16"/>
        </w:rPr>
        <w:t>de</w:t>
      </w:r>
      <w:r>
        <w:rPr>
          <w:spacing w:val="-10"/>
          <w:sz w:val="16"/>
        </w:rPr>
        <w:t> </w:t>
      </w:r>
      <w:r>
        <w:rPr>
          <w:sz w:val="16"/>
        </w:rPr>
        <w:t>2</w:t>
      </w:r>
      <w:r>
        <w:rPr>
          <w:spacing w:val="-9"/>
          <w:sz w:val="16"/>
        </w:rPr>
        <w:t> </w:t>
      </w:r>
      <w:r>
        <w:rPr>
          <w:sz w:val="16"/>
        </w:rPr>
        <w:t>de</w:t>
      </w:r>
      <w:r>
        <w:rPr>
          <w:spacing w:val="-7"/>
          <w:sz w:val="16"/>
        </w:rPr>
        <w:t> </w:t>
      </w:r>
      <w:r>
        <w:rPr>
          <w:sz w:val="16"/>
        </w:rPr>
        <w:t>marzo</w:t>
      </w:r>
      <w:r>
        <w:rPr>
          <w:spacing w:val="-7"/>
          <w:sz w:val="16"/>
        </w:rPr>
        <w:t> </w:t>
      </w:r>
      <w:r>
        <w:rPr>
          <w:sz w:val="16"/>
        </w:rPr>
        <w:t>de</w:t>
      </w:r>
      <w:r>
        <w:rPr>
          <w:spacing w:val="-9"/>
          <w:sz w:val="16"/>
        </w:rPr>
        <w:t> </w:t>
      </w:r>
      <w:r>
        <w:rPr>
          <w:sz w:val="16"/>
        </w:rPr>
        <w:t>2005,</w:t>
      </w:r>
      <w:r>
        <w:rPr>
          <w:spacing w:val="-11"/>
          <w:sz w:val="16"/>
        </w:rPr>
        <w:t> </w:t>
      </w:r>
      <w:r>
        <w:rPr>
          <w:sz w:val="16"/>
        </w:rPr>
        <w:t>reunión de 14 de marzo de 2006, Decretos 2786/07, 2398/12 y 1498/14 y la propuesta de plan de trabajo integral de</w:t>
      </w:r>
      <w:r>
        <w:rPr>
          <w:spacing w:val="-2"/>
          <w:sz w:val="16"/>
        </w:rPr>
        <w:t> </w:t>
      </w:r>
      <w:r>
        <w:rPr>
          <w:sz w:val="16"/>
        </w:rPr>
        <w:t>2017.</w:t>
      </w:r>
    </w:p>
    <w:p>
      <w:pPr>
        <w:spacing w:after="0" w:line="240" w:lineRule="auto"/>
        <w:jc w:val="both"/>
        <w:rPr>
          <w:sz w:val="16"/>
        </w:rPr>
        <w:sectPr>
          <w:pgSz w:w="12240" w:h="15840"/>
          <w:pgMar w:header="0" w:footer="1000" w:top="1500" w:bottom="1200" w:left="1580" w:right="1580"/>
        </w:sectPr>
      </w:pPr>
    </w:p>
    <w:p>
      <w:pPr>
        <w:pStyle w:val="BodyText"/>
        <w:spacing w:before="76"/>
        <w:ind w:left="122" w:right="124"/>
        <w:jc w:val="both"/>
      </w:pPr>
      <w:r>
        <w:rPr/>
        <w:t>que</w:t>
      </w:r>
      <w:r>
        <w:rPr>
          <w:spacing w:val="-16"/>
        </w:rPr>
        <w:t> </w:t>
      </w:r>
      <w:r>
        <w:rPr/>
        <w:t>“[e]l</w:t>
      </w:r>
      <w:r>
        <w:rPr>
          <w:spacing w:val="-15"/>
        </w:rPr>
        <w:t> </w:t>
      </w:r>
      <w:r>
        <w:rPr/>
        <w:t>criterio</w:t>
      </w:r>
      <w:r>
        <w:rPr>
          <w:spacing w:val="-15"/>
        </w:rPr>
        <w:t> </w:t>
      </w:r>
      <w:r>
        <w:rPr/>
        <w:t>de</w:t>
      </w:r>
      <w:r>
        <w:rPr>
          <w:spacing w:val="-13"/>
        </w:rPr>
        <w:t> </w:t>
      </w:r>
      <w:r>
        <w:rPr/>
        <w:t>reconocimiento</w:t>
      </w:r>
      <w:r>
        <w:rPr>
          <w:spacing w:val="-15"/>
        </w:rPr>
        <w:t> </w:t>
      </w:r>
      <w:r>
        <w:rPr/>
        <w:t>de</w:t>
      </w:r>
      <w:r>
        <w:rPr>
          <w:spacing w:val="-15"/>
        </w:rPr>
        <w:t> </w:t>
      </w:r>
      <w:r>
        <w:rPr/>
        <w:t>las</w:t>
      </w:r>
      <w:r>
        <w:rPr>
          <w:spacing w:val="-14"/>
        </w:rPr>
        <w:t> </w:t>
      </w:r>
      <w:r>
        <w:rPr/>
        <w:t>tierras</w:t>
      </w:r>
      <w:r>
        <w:rPr>
          <w:spacing w:val="-14"/>
        </w:rPr>
        <w:t> </w:t>
      </w:r>
      <w:r>
        <w:rPr>
          <w:spacing w:val="2"/>
        </w:rPr>
        <w:t>[…]</w:t>
      </w:r>
      <w:r>
        <w:rPr>
          <w:spacing w:val="-15"/>
        </w:rPr>
        <w:t> </w:t>
      </w:r>
      <w:r>
        <w:rPr/>
        <w:t>se</w:t>
      </w:r>
      <w:r>
        <w:rPr>
          <w:spacing w:val="-15"/>
        </w:rPr>
        <w:t> </w:t>
      </w:r>
      <w:r>
        <w:rPr/>
        <w:t>basó</w:t>
      </w:r>
      <w:r>
        <w:rPr>
          <w:spacing w:val="-15"/>
        </w:rPr>
        <w:t> </w:t>
      </w:r>
      <w:r>
        <w:rPr/>
        <w:t>en</w:t>
      </w:r>
      <w:r>
        <w:rPr>
          <w:spacing w:val="-15"/>
        </w:rPr>
        <w:t> </w:t>
      </w:r>
      <w:r>
        <w:rPr/>
        <w:t>la</w:t>
      </w:r>
      <w:r>
        <w:rPr>
          <w:spacing w:val="-14"/>
        </w:rPr>
        <w:t> </w:t>
      </w:r>
      <w:r>
        <w:rPr/>
        <w:t>legislación</w:t>
      </w:r>
      <w:r>
        <w:rPr>
          <w:spacing w:val="-15"/>
        </w:rPr>
        <w:t> </w:t>
      </w:r>
      <w:r>
        <w:rPr/>
        <w:t>provincial, nacional e internacional, que reconoce como territorio de las [c]omunidades las [á]reas de [u]so [t]radicional”. Argentina agregó que “se han destinado invariablemente recursos económicos y humanos en pos del histórico proceso de regularización de tierras”. Por otra parte, señaló que el referéndum careció de efectos por lo que la Corte no debe pronunciarse en cuanto a dicha</w:t>
      </w:r>
      <w:r>
        <w:rPr>
          <w:spacing w:val="-15"/>
        </w:rPr>
        <w:t> </w:t>
      </w:r>
      <w:r>
        <w:rPr/>
        <w:t>situación</w:t>
      </w:r>
      <w:r>
        <w:rPr>
          <w:rFonts w:ascii="Calibri" w:hAnsi="Calibri"/>
          <w:position w:val="8"/>
          <w:sz w:val="14"/>
        </w:rPr>
        <w:t>121</w:t>
      </w:r>
      <w:r>
        <w:rPr/>
        <w:t>.</w:t>
      </w:r>
    </w:p>
    <w:p>
      <w:pPr>
        <w:pStyle w:val="BodyText"/>
        <w:spacing w:before="5"/>
        <w:rPr>
          <w:sz w:val="21"/>
        </w:rPr>
      </w:pPr>
    </w:p>
    <w:p>
      <w:pPr>
        <w:pStyle w:val="ListParagraph"/>
        <w:numPr>
          <w:ilvl w:val="0"/>
          <w:numId w:val="21"/>
        </w:numPr>
        <w:tabs>
          <w:tab w:pos="830" w:val="left" w:leader="none"/>
        </w:tabs>
        <w:spacing w:line="240" w:lineRule="auto" w:before="0" w:after="0"/>
        <w:ind w:left="122" w:right="121" w:firstLine="0"/>
        <w:jc w:val="both"/>
        <w:rPr>
          <w:sz w:val="20"/>
        </w:rPr>
      </w:pPr>
      <w:r>
        <w:rPr>
          <w:sz w:val="20"/>
        </w:rPr>
        <w:t>Argentina</w:t>
      </w:r>
      <w:r>
        <w:rPr>
          <w:spacing w:val="-17"/>
          <w:sz w:val="20"/>
        </w:rPr>
        <w:t> </w:t>
      </w:r>
      <w:r>
        <w:rPr>
          <w:sz w:val="20"/>
        </w:rPr>
        <w:t>explicó</w:t>
      </w:r>
      <w:r>
        <w:rPr>
          <w:spacing w:val="-21"/>
          <w:sz w:val="20"/>
        </w:rPr>
        <w:t> </w:t>
      </w:r>
      <w:r>
        <w:rPr>
          <w:sz w:val="20"/>
        </w:rPr>
        <w:t>que</w:t>
      </w:r>
      <w:r>
        <w:rPr>
          <w:spacing w:val="-17"/>
          <w:sz w:val="20"/>
        </w:rPr>
        <w:t> </w:t>
      </w:r>
      <w:r>
        <w:rPr>
          <w:sz w:val="20"/>
        </w:rPr>
        <w:t>está</w:t>
      </w:r>
      <w:r>
        <w:rPr>
          <w:spacing w:val="-20"/>
          <w:sz w:val="20"/>
        </w:rPr>
        <w:t> </w:t>
      </w:r>
      <w:r>
        <w:rPr>
          <w:sz w:val="20"/>
        </w:rPr>
        <w:t>desarrollando</w:t>
      </w:r>
      <w:r>
        <w:rPr>
          <w:spacing w:val="-19"/>
          <w:sz w:val="20"/>
        </w:rPr>
        <w:t> </w:t>
      </w:r>
      <w:r>
        <w:rPr>
          <w:sz w:val="20"/>
        </w:rPr>
        <w:t>una</w:t>
      </w:r>
      <w:r>
        <w:rPr>
          <w:spacing w:val="-20"/>
          <w:sz w:val="20"/>
        </w:rPr>
        <w:t> </w:t>
      </w:r>
      <w:r>
        <w:rPr>
          <w:sz w:val="20"/>
        </w:rPr>
        <w:t>metodología</w:t>
      </w:r>
      <w:r>
        <w:rPr>
          <w:spacing w:val="-18"/>
          <w:sz w:val="20"/>
        </w:rPr>
        <w:t> </w:t>
      </w:r>
      <w:r>
        <w:rPr>
          <w:sz w:val="20"/>
        </w:rPr>
        <w:t>de</w:t>
      </w:r>
      <w:r>
        <w:rPr>
          <w:spacing w:val="-19"/>
          <w:sz w:val="20"/>
        </w:rPr>
        <w:t> </w:t>
      </w:r>
      <w:r>
        <w:rPr>
          <w:sz w:val="20"/>
        </w:rPr>
        <w:t>trabajo</w:t>
      </w:r>
      <w:r>
        <w:rPr>
          <w:spacing w:val="-21"/>
          <w:sz w:val="20"/>
        </w:rPr>
        <w:t> </w:t>
      </w:r>
      <w:r>
        <w:rPr>
          <w:sz w:val="20"/>
        </w:rPr>
        <w:t>participativa de acuerdo entre partes (criollos e indígenas), trabajando con base en el mapa presentado</w:t>
      </w:r>
      <w:r>
        <w:rPr>
          <w:spacing w:val="-17"/>
          <w:sz w:val="20"/>
        </w:rPr>
        <w:t> </w:t>
      </w:r>
      <w:r>
        <w:rPr>
          <w:sz w:val="20"/>
        </w:rPr>
        <w:t>por</w:t>
      </w:r>
      <w:r>
        <w:rPr>
          <w:spacing w:val="-20"/>
          <w:sz w:val="20"/>
        </w:rPr>
        <w:t> </w:t>
      </w:r>
      <w:r>
        <w:rPr>
          <w:sz w:val="20"/>
        </w:rPr>
        <w:t>los</w:t>
      </w:r>
      <w:r>
        <w:rPr>
          <w:spacing w:val="-17"/>
          <w:sz w:val="20"/>
        </w:rPr>
        <w:t> </w:t>
      </w:r>
      <w:r>
        <w:rPr>
          <w:sz w:val="20"/>
        </w:rPr>
        <w:t>“peticionarios”.</w:t>
      </w:r>
      <w:r>
        <w:rPr>
          <w:spacing w:val="-19"/>
          <w:sz w:val="20"/>
        </w:rPr>
        <w:t> </w:t>
      </w:r>
      <w:r>
        <w:rPr>
          <w:sz w:val="20"/>
        </w:rPr>
        <w:t>Esta</w:t>
      </w:r>
      <w:r>
        <w:rPr>
          <w:spacing w:val="-16"/>
          <w:sz w:val="20"/>
        </w:rPr>
        <w:t> </w:t>
      </w:r>
      <w:r>
        <w:rPr>
          <w:sz w:val="20"/>
        </w:rPr>
        <w:t>“metodología”,</w:t>
      </w:r>
      <w:r>
        <w:rPr>
          <w:spacing w:val="-17"/>
          <w:sz w:val="20"/>
        </w:rPr>
        <w:t> </w:t>
      </w:r>
      <w:r>
        <w:rPr>
          <w:sz w:val="20"/>
        </w:rPr>
        <w:t>explicó,</w:t>
      </w:r>
      <w:r>
        <w:rPr>
          <w:spacing w:val="-17"/>
          <w:sz w:val="20"/>
        </w:rPr>
        <w:t> </w:t>
      </w:r>
      <w:r>
        <w:rPr>
          <w:sz w:val="20"/>
        </w:rPr>
        <w:t>implica</w:t>
      </w:r>
      <w:r>
        <w:rPr>
          <w:spacing w:val="-16"/>
          <w:sz w:val="20"/>
        </w:rPr>
        <w:t> </w:t>
      </w:r>
      <w:r>
        <w:rPr>
          <w:sz w:val="20"/>
        </w:rPr>
        <w:t>el</w:t>
      </w:r>
      <w:r>
        <w:rPr>
          <w:spacing w:val="-18"/>
          <w:sz w:val="20"/>
        </w:rPr>
        <w:t> </w:t>
      </w:r>
      <w:r>
        <w:rPr>
          <w:sz w:val="20"/>
        </w:rPr>
        <w:t>“diálogo”</w:t>
      </w:r>
      <w:r>
        <w:rPr>
          <w:spacing w:val="-16"/>
          <w:sz w:val="20"/>
        </w:rPr>
        <w:t> </w:t>
      </w:r>
      <w:r>
        <w:rPr>
          <w:sz w:val="20"/>
        </w:rPr>
        <w:t>entre comunidades indígenas y familias criollas. Argentina solicitó a la Corte que </w:t>
      </w:r>
      <w:r>
        <w:rPr>
          <w:spacing w:val="2"/>
          <w:sz w:val="20"/>
        </w:rPr>
        <w:t>“tenga </w:t>
      </w:r>
      <w:r>
        <w:rPr>
          <w:sz w:val="20"/>
        </w:rPr>
        <w:t>en cuenta las características del conflicto y la forma racional de resolverlo, debiendo observar los avances que se han logrado para hallar una solución pacífica y participativa”.</w:t>
      </w:r>
      <w:r>
        <w:rPr>
          <w:spacing w:val="-11"/>
          <w:sz w:val="20"/>
        </w:rPr>
        <w:t> </w:t>
      </w:r>
      <w:r>
        <w:rPr>
          <w:sz w:val="20"/>
        </w:rPr>
        <w:t>Destacó</w:t>
      </w:r>
      <w:r>
        <w:rPr>
          <w:spacing w:val="-12"/>
          <w:sz w:val="20"/>
        </w:rPr>
        <w:t> </w:t>
      </w:r>
      <w:r>
        <w:rPr>
          <w:sz w:val="20"/>
        </w:rPr>
        <w:t>que</w:t>
      </w:r>
      <w:r>
        <w:rPr>
          <w:spacing w:val="-12"/>
          <w:sz w:val="20"/>
        </w:rPr>
        <w:t> </w:t>
      </w:r>
      <w:r>
        <w:rPr>
          <w:sz w:val="20"/>
        </w:rPr>
        <w:t>“con</w:t>
      </w:r>
      <w:r>
        <w:rPr>
          <w:spacing w:val="-9"/>
          <w:sz w:val="20"/>
        </w:rPr>
        <w:t> </w:t>
      </w:r>
      <w:r>
        <w:rPr>
          <w:sz w:val="20"/>
        </w:rPr>
        <w:t>los</w:t>
      </w:r>
      <w:r>
        <w:rPr>
          <w:spacing w:val="-11"/>
          <w:sz w:val="20"/>
        </w:rPr>
        <w:t> </w:t>
      </w:r>
      <w:r>
        <w:rPr>
          <w:sz w:val="20"/>
        </w:rPr>
        <w:t>acuerdos</w:t>
      </w:r>
      <w:r>
        <w:rPr>
          <w:spacing w:val="-11"/>
          <w:sz w:val="20"/>
        </w:rPr>
        <w:t> </w:t>
      </w:r>
      <w:r>
        <w:rPr>
          <w:sz w:val="20"/>
        </w:rPr>
        <w:t>alcanzados</w:t>
      </w:r>
      <w:r>
        <w:rPr>
          <w:spacing w:val="-11"/>
          <w:sz w:val="20"/>
        </w:rPr>
        <w:t> </w:t>
      </w:r>
      <w:r>
        <w:rPr>
          <w:sz w:val="20"/>
        </w:rPr>
        <w:t>se</w:t>
      </w:r>
      <w:r>
        <w:rPr>
          <w:spacing w:val="-12"/>
          <w:sz w:val="20"/>
        </w:rPr>
        <w:t> </w:t>
      </w:r>
      <w:r>
        <w:rPr>
          <w:sz w:val="20"/>
        </w:rPr>
        <w:t>logró</w:t>
      </w:r>
      <w:r>
        <w:rPr>
          <w:spacing w:val="-11"/>
          <w:sz w:val="20"/>
        </w:rPr>
        <w:t> </w:t>
      </w:r>
      <w:r>
        <w:rPr>
          <w:sz w:val="20"/>
        </w:rPr>
        <w:t>delimitar</w:t>
      </w:r>
      <w:r>
        <w:rPr>
          <w:spacing w:val="-11"/>
          <w:sz w:val="20"/>
        </w:rPr>
        <w:t> </w:t>
      </w:r>
      <w:r>
        <w:rPr>
          <w:sz w:val="20"/>
        </w:rPr>
        <w:t>el</w:t>
      </w:r>
      <w:r>
        <w:rPr>
          <w:spacing w:val="-10"/>
          <w:sz w:val="20"/>
        </w:rPr>
        <w:t> </w:t>
      </w:r>
      <w:r>
        <w:rPr>
          <w:sz w:val="20"/>
        </w:rPr>
        <w:t>territorio”, y que “la demarcación de[l mismo] debe contar con la participación de todas las partes involucradas”</w:t>
      </w:r>
      <w:r>
        <w:rPr>
          <w:rFonts w:ascii="Calibri" w:hAnsi="Calibri"/>
          <w:position w:val="8"/>
          <w:sz w:val="14"/>
        </w:rPr>
        <w:t>122</w:t>
      </w:r>
      <w:r>
        <w:rPr>
          <w:sz w:val="20"/>
        </w:rPr>
        <w:t>. Explicó que para “la entrega del título único a las comunidades indígenas en el que no figuren como condóminos las familias criollas […] resulta fundamental que todos los acuerdos de parte hayan sido firmados, lo que implica una participación activa entre las comunidades y los criollos, por lo que su concreción depende en gran medida de la voluntad de esas partes”. Agregó que “[t]ambién es indispensable que sean realizadas las mensuras y el amojonamiento, así como la firma de</w:t>
      </w:r>
      <w:r>
        <w:rPr>
          <w:spacing w:val="-14"/>
          <w:sz w:val="20"/>
        </w:rPr>
        <w:t> </w:t>
      </w:r>
      <w:r>
        <w:rPr>
          <w:sz w:val="20"/>
        </w:rPr>
        <w:t>la</w:t>
      </w:r>
      <w:r>
        <w:rPr>
          <w:spacing w:val="-10"/>
          <w:sz w:val="20"/>
        </w:rPr>
        <w:t> </w:t>
      </w:r>
      <w:r>
        <w:rPr>
          <w:sz w:val="20"/>
        </w:rPr>
        <w:t>escritura</w:t>
      </w:r>
      <w:r>
        <w:rPr>
          <w:spacing w:val="-12"/>
          <w:sz w:val="20"/>
        </w:rPr>
        <w:t> </w:t>
      </w:r>
      <w:r>
        <w:rPr>
          <w:sz w:val="20"/>
        </w:rPr>
        <w:t>traslativa</w:t>
      </w:r>
      <w:r>
        <w:rPr>
          <w:spacing w:val="-11"/>
          <w:sz w:val="20"/>
        </w:rPr>
        <w:t> </w:t>
      </w:r>
      <w:r>
        <w:rPr>
          <w:sz w:val="20"/>
        </w:rPr>
        <w:t>de</w:t>
      </w:r>
      <w:r>
        <w:rPr>
          <w:spacing w:val="-12"/>
          <w:sz w:val="20"/>
        </w:rPr>
        <w:t> </w:t>
      </w:r>
      <w:r>
        <w:rPr>
          <w:sz w:val="20"/>
        </w:rPr>
        <w:t>dominio</w:t>
      </w:r>
      <w:r>
        <w:rPr>
          <w:spacing w:val="-12"/>
          <w:sz w:val="20"/>
        </w:rPr>
        <w:t> </w:t>
      </w:r>
      <w:r>
        <w:rPr>
          <w:sz w:val="20"/>
        </w:rPr>
        <w:t>a</w:t>
      </w:r>
      <w:r>
        <w:rPr>
          <w:spacing w:val="-10"/>
          <w:sz w:val="20"/>
        </w:rPr>
        <w:t> </w:t>
      </w:r>
      <w:r>
        <w:rPr>
          <w:sz w:val="20"/>
        </w:rPr>
        <w:t>favor</w:t>
      </w:r>
      <w:r>
        <w:rPr>
          <w:spacing w:val="-12"/>
          <w:sz w:val="20"/>
        </w:rPr>
        <w:t> </w:t>
      </w:r>
      <w:r>
        <w:rPr>
          <w:sz w:val="20"/>
        </w:rPr>
        <w:t>de</w:t>
      </w:r>
      <w:r>
        <w:rPr>
          <w:spacing w:val="-12"/>
          <w:sz w:val="20"/>
        </w:rPr>
        <w:t> </w:t>
      </w:r>
      <w:r>
        <w:rPr>
          <w:sz w:val="20"/>
        </w:rPr>
        <w:t>las</w:t>
      </w:r>
      <w:r>
        <w:rPr>
          <w:spacing w:val="-13"/>
          <w:sz w:val="20"/>
        </w:rPr>
        <w:t> </w:t>
      </w:r>
      <w:r>
        <w:rPr>
          <w:sz w:val="20"/>
        </w:rPr>
        <w:t>familias</w:t>
      </w:r>
      <w:r>
        <w:rPr>
          <w:spacing w:val="-13"/>
          <w:sz w:val="20"/>
        </w:rPr>
        <w:t> </w:t>
      </w:r>
      <w:r>
        <w:rPr>
          <w:sz w:val="20"/>
        </w:rPr>
        <w:t>criollas.</w:t>
      </w:r>
      <w:r>
        <w:rPr>
          <w:spacing w:val="-11"/>
          <w:sz w:val="20"/>
        </w:rPr>
        <w:t> </w:t>
      </w:r>
      <w:r>
        <w:rPr>
          <w:sz w:val="20"/>
        </w:rPr>
        <w:t>Cumplido</w:t>
      </w:r>
      <w:r>
        <w:rPr>
          <w:spacing w:val="-14"/>
          <w:sz w:val="20"/>
        </w:rPr>
        <w:t> </w:t>
      </w:r>
      <w:r>
        <w:rPr>
          <w:sz w:val="20"/>
        </w:rPr>
        <w:t>este</w:t>
      </w:r>
      <w:r>
        <w:rPr>
          <w:spacing w:val="-12"/>
          <w:sz w:val="20"/>
        </w:rPr>
        <w:t> </w:t>
      </w:r>
      <w:r>
        <w:rPr>
          <w:sz w:val="20"/>
        </w:rPr>
        <w:t>último acto formal, las familias criollas dejarán de figurar como titulares registrales de los […] lotes [14 y 55]”. Señaló también que el proceso de “relocalización” tiene</w:t>
      </w:r>
      <w:r>
        <w:rPr>
          <w:spacing w:val="-31"/>
          <w:sz w:val="20"/>
        </w:rPr>
        <w:t> </w:t>
      </w:r>
      <w:r>
        <w:rPr>
          <w:sz w:val="20"/>
        </w:rPr>
        <w:t>dificultades</w:t>
      </w:r>
      <w:r>
        <w:rPr>
          <w:rFonts w:ascii="Calibri" w:hAnsi="Calibri"/>
          <w:position w:val="8"/>
          <w:sz w:val="14"/>
        </w:rPr>
        <w:t>123</w:t>
      </w:r>
      <w:r>
        <w:rPr>
          <w:sz w:val="20"/>
        </w:rPr>
        <w:t>.</w:t>
      </w:r>
    </w:p>
    <w:p>
      <w:pPr>
        <w:pStyle w:val="BodyText"/>
        <w:spacing w:before="5"/>
        <w:rPr>
          <w:sz w:val="21"/>
        </w:rPr>
      </w:pPr>
    </w:p>
    <w:p>
      <w:pPr>
        <w:pStyle w:val="ListParagraph"/>
        <w:numPr>
          <w:ilvl w:val="0"/>
          <w:numId w:val="21"/>
        </w:numPr>
        <w:tabs>
          <w:tab w:pos="830" w:val="left" w:leader="none"/>
        </w:tabs>
        <w:spacing w:line="242" w:lineRule="auto" w:before="0" w:after="0"/>
        <w:ind w:left="122" w:right="120" w:firstLine="0"/>
        <w:jc w:val="both"/>
        <w:rPr>
          <w:sz w:val="20"/>
        </w:rPr>
      </w:pPr>
      <w:r>
        <w:rPr>
          <w:sz w:val="20"/>
        </w:rPr>
        <w:t>El Estado recordó que el artículo 21 de la Convención indica la posibilidad de subordinar el uso y goce de los bienes al “interés social”, y entendió que el mismo en</w:t>
      </w:r>
      <w:r>
        <w:rPr>
          <w:spacing w:val="-47"/>
          <w:sz w:val="20"/>
        </w:rPr>
        <w:t> </w:t>
      </w:r>
      <w:r>
        <w:rPr>
          <w:sz w:val="20"/>
        </w:rPr>
        <w:t>el caso se “configura” no solo por comunidades indígenas vinculadas a Lhaka Honat, sino también</w:t>
      </w:r>
      <w:r>
        <w:rPr>
          <w:spacing w:val="-6"/>
          <w:sz w:val="20"/>
        </w:rPr>
        <w:t> </w:t>
      </w:r>
      <w:r>
        <w:rPr>
          <w:sz w:val="20"/>
        </w:rPr>
        <w:t>por</w:t>
      </w:r>
      <w:r>
        <w:rPr>
          <w:spacing w:val="-6"/>
          <w:sz w:val="20"/>
        </w:rPr>
        <w:t> </w:t>
      </w:r>
      <w:r>
        <w:rPr>
          <w:sz w:val="20"/>
        </w:rPr>
        <w:t>otras</w:t>
      </w:r>
      <w:r>
        <w:rPr>
          <w:spacing w:val="-8"/>
          <w:sz w:val="20"/>
        </w:rPr>
        <w:t> </w:t>
      </w:r>
      <w:r>
        <w:rPr>
          <w:sz w:val="20"/>
        </w:rPr>
        <w:t>que</w:t>
      </w:r>
      <w:r>
        <w:rPr>
          <w:spacing w:val="-8"/>
          <w:sz w:val="20"/>
        </w:rPr>
        <w:t> </w:t>
      </w:r>
      <w:r>
        <w:rPr>
          <w:sz w:val="20"/>
        </w:rPr>
        <w:t>no</w:t>
      </w:r>
      <w:r>
        <w:rPr>
          <w:spacing w:val="-8"/>
          <w:sz w:val="20"/>
        </w:rPr>
        <w:t> </w:t>
      </w:r>
      <w:r>
        <w:rPr>
          <w:sz w:val="20"/>
        </w:rPr>
        <w:t>lo</w:t>
      </w:r>
      <w:r>
        <w:rPr>
          <w:spacing w:val="-6"/>
          <w:sz w:val="20"/>
        </w:rPr>
        <w:t> </w:t>
      </w:r>
      <w:r>
        <w:rPr>
          <w:sz w:val="20"/>
        </w:rPr>
        <w:t>están</w:t>
      </w:r>
      <w:r>
        <w:rPr>
          <w:spacing w:val="-3"/>
          <w:sz w:val="20"/>
        </w:rPr>
        <w:t> </w:t>
      </w:r>
      <w:r>
        <w:rPr>
          <w:sz w:val="20"/>
        </w:rPr>
        <w:t>y</w:t>
      </w:r>
      <w:r>
        <w:rPr>
          <w:spacing w:val="-7"/>
          <w:sz w:val="20"/>
        </w:rPr>
        <w:t> </w:t>
      </w:r>
      <w:r>
        <w:rPr>
          <w:sz w:val="20"/>
        </w:rPr>
        <w:t>por</w:t>
      </w:r>
      <w:r>
        <w:rPr>
          <w:spacing w:val="-8"/>
          <w:sz w:val="20"/>
        </w:rPr>
        <w:t> </w:t>
      </w:r>
      <w:r>
        <w:rPr>
          <w:sz w:val="20"/>
        </w:rPr>
        <w:t>familias</w:t>
      </w:r>
      <w:r>
        <w:rPr>
          <w:spacing w:val="-5"/>
          <w:sz w:val="20"/>
        </w:rPr>
        <w:t> </w:t>
      </w:r>
      <w:r>
        <w:rPr>
          <w:sz w:val="20"/>
        </w:rPr>
        <w:t>criollas.</w:t>
      </w:r>
      <w:r>
        <w:rPr>
          <w:spacing w:val="-7"/>
          <w:sz w:val="20"/>
        </w:rPr>
        <w:t> </w:t>
      </w:r>
      <w:r>
        <w:rPr>
          <w:sz w:val="20"/>
        </w:rPr>
        <w:t>Adujo</w:t>
      </w:r>
      <w:r>
        <w:rPr>
          <w:spacing w:val="-6"/>
          <w:sz w:val="20"/>
        </w:rPr>
        <w:t> </w:t>
      </w:r>
      <w:r>
        <w:rPr>
          <w:sz w:val="20"/>
        </w:rPr>
        <w:t>que</w:t>
      </w:r>
      <w:r>
        <w:rPr>
          <w:spacing w:val="-6"/>
          <w:sz w:val="20"/>
        </w:rPr>
        <w:t> </w:t>
      </w:r>
      <w:r>
        <w:rPr>
          <w:sz w:val="20"/>
        </w:rPr>
        <w:t>quienes</w:t>
      </w:r>
      <w:r>
        <w:rPr>
          <w:spacing w:val="-8"/>
          <w:sz w:val="20"/>
        </w:rPr>
        <w:t> </w:t>
      </w:r>
      <w:r>
        <w:rPr>
          <w:sz w:val="20"/>
        </w:rPr>
        <w:t>integran</w:t>
      </w:r>
      <w:r>
        <w:rPr>
          <w:spacing w:val="-6"/>
          <w:sz w:val="20"/>
        </w:rPr>
        <w:t> </w:t>
      </w:r>
      <w:r>
        <w:rPr>
          <w:sz w:val="20"/>
        </w:rPr>
        <w:t>las familias criollas son “pobladores rurales vulnerables”. Aseveró que </w:t>
      </w:r>
      <w:r>
        <w:rPr>
          <w:spacing w:val="3"/>
          <w:sz w:val="20"/>
        </w:rPr>
        <w:t>debe </w:t>
      </w:r>
      <w:r>
        <w:rPr>
          <w:sz w:val="20"/>
        </w:rPr>
        <w:t>armonizar los derechos de las comunidades indígenas agrupadas en la Asociación Lhaka Honhat con los</w:t>
      </w:r>
      <w:r>
        <w:rPr>
          <w:spacing w:val="-8"/>
          <w:sz w:val="20"/>
        </w:rPr>
        <w:t> </w:t>
      </w:r>
      <w:r>
        <w:rPr>
          <w:sz w:val="20"/>
        </w:rPr>
        <w:t>de</w:t>
      </w:r>
      <w:r>
        <w:rPr>
          <w:spacing w:val="-9"/>
          <w:sz w:val="20"/>
        </w:rPr>
        <w:t> </w:t>
      </w:r>
      <w:r>
        <w:rPr>
          <w:sz w:val="20"/>
        </w:rPr>
        <w:t>las</w:t>
      </w:r>
      <w:r>
        <w:rPr>
          <w:spacing w:val="-6"/>
          <w:sz w:val="20"/>
        </w:rPr>
        <w:t> </w:t>
      </w:r>
      <w:r>
        <w:rPr>
          <w:sz w:val="20"/>
        </w:rPr>
        <w:t>comunidades</w:t>
      </w:r>
      <w:r>
        <w:rPr>
          <w:spacing w:val="-9"/>
          <w:sz w:val="20"/>
        </w:rPr>
        <w:t> </w:t>
      </w:r>
      <w:r>
        <w:rPr>
          <w:sz w:val="20"/>
        </w:rPr>
        <w:t>indígenas</w:t>
      </w:r>
      <w:r>
        <w:rPr>
          <w:spacing w:val="-8"/>
          <w:sz w:val="20"/>
        </w:rPr>
        <w:t> </w:t>
      </w:r>
      <w:r>
        <w:rPr>
          <w:sz w:val="20"/>
        </w:rPr>
        <w:t>que</w:t>
      </w:r>
      <w:r>
        <w:rPr>
          <w:spacing w:val="-9"/>
          <w:sz w:val="20"/>
        </w:rPr>
        <w:t> </w:t>
      </w:r>
      <w:r>
        <w:rPr>
          <w:sz w:val="20"/>
        </w:rPr>
        <w:t>no</w:t>
      </w:r>
      <w:r>
        <w:rPr>
          <w:spacing w:val="-7"/>
          <w:sz w:val="20"/>
        </w:rPr>
        <w:t> </w:t>
      </w:r>
      <w:r>
        <w:rPr>
          <w:sz w:val="20"/>
        </w:rPr>
        <w:t>están</w:t>
      </w:r>
      <w:r>
        <w:rPr>
          <w:spacing w:val="-7"/>
          <w:sz w:val="20"/>
        </w:rPr>
        <w:t> </w:t>
      </w:r>
      <w:r>
        <w:rPr>
          <w:sz w:val="20"/>
        </w:rPr>
        <w:t>representadas</w:t>
      </w:r>
      <w:r>
        <w:rPr>
          <w:spacing w:val="-8"/>
          <w:sz w:val="20"/>
        </w:rPr>
        <w:t> </w:t>
      </w:r>
      <w:r>
        <w:rPr>
          <w:sz w:val="20"/>
        </w:rPr>
        <w:t>por</w:t>
      </w:r>
      <w:r>
        <w:rPr>
          <w:spacing w:val="-7"/>
          <w:sz w:val="20"/>
        </w:rPr>
        <w:t> </w:t>
      </w:r>
      <w:r>
        <w:rPr>
          <w:sz w:val="20"/>
        </w:rPr>
        <w:t>esta</w:t>
      </w:r>
      <w:r>
        <w:rPr>
          <w:spacing w:val="-8"/>
          <w:sz w:val="20"/>
        </w:rPr>
        <w:t> </w:t>
      </w:r>
      <w:r>
        <w:rPr>
          <w:sz w:val="20"/>
        </w:rPr>
        <w:t>Asociación</w:t>
      </w:r>
      <w:r>
        <w:rPr>
          <w:rFonts w:ascii="Calibri" w:hAnsi="Calibri"/>
          <w:position w:val="8"/>
          <w:sz w:val="14"/>
        </w:rPr>
        <w:t>124</w:t>
      </w:r>
      <w:r>
        <w:rPr>
          <w:sz w:val="20"/>
        </w:rPr>
        <w:t>,</w:t>
      </w:r>
      <w:r>
        <w:rPr>
          <w:spacing w:val="-8"/>
          <w:sz w:val="20"/>
        </w:rPr>
        <w:t> </w:t>
      </w:r>
      <w:r>
        <w:rPr>
          <w:sz w:val="20"/>
        </w:rPr>
        <w:t>así como</w:t>
      </w:r>
      <w:r>
        <w:rPr>
          <w:spacing w:val="24"/>
          <w:sz w:val="20"/>
        </w:rPr>
        <w:t> </w:t>
      </w:r>
      <w:r>
        <w:rPr>
          <w:sz w:val="20"/>
        </w:rPr>
        <w:t>con</w:t>
      </w:r>
      <w:r>
        <w:rPr>
          <w:spacing w:val="26"/>
          <w:sz w:val="20"/>
        </w:rPr>
        <w:t> </w:t>
      </w:r>
      <w:r>
        <w:rPr>
          <w:sz w:val="20"/>
        </w:rPr>
        <w:t>los</w:t>
      </w:r>
      <w:r>
        <w:rPr>
          <w:spacing w:val="24"/>
          <w:sz w:val="20"/>
        </w:rPr>
        <w:t> </w:t>
      </w:r>
      <w:r>
        <w:rPr>
          <w:sz w:val="20"/>
        </w:rPr>
        <w:t>de</w:t>
      </w:r>
      <w:r>
        <w:rPr>
          <w:spacing w:val="24"/>
          <w:sz w:val="20"/>
        </w:rPr>
        <w:t> </w:t>
      </w:r>
      <w:r>
        <w:rPr>
          <w:sz w:val="20"/>
        </w:rPr>
        <w:t>pobladores</w:t>
      </w:r>
      <w:r>
        <w:rPr>
          <w:spacing w:val="26"/>
          <w:sz w:val="20"/>
        </w:rPr>
        <w:t> </w:t>
      </w:r>
      <w:r>
        <w:rPr>
          <w:sz w:val="20"/>
        </w:rPr>
        <w:t>criollos.</w:t>
      </w:r>
      <w:r>
        <w:rPr>
          <w:spacing w:val="24"/>
          <w:sz w:val="20"/>
        </w:rPr>
        <w:t> </w:t>
      </w:r>
      <w:r>
        <w:rPr>
          <w:sz w:val="20"/>
        </w:rPr>
        <w:t>En</w:t>
      </w:r>
      <w:r>
        <w:rPr>
          <w:spacing w:val="25"/>
          <w:sz w:val="20"/>
        </w:rPr>
        <w:t> </w:t>
      </w:r>
      <w:r>
        <w:rPr>
          <w:sz w:val="20"/>
        </w:rPr>
        <w:t>ese</w:t>
      </w:r>
      <w:r>
        <w:rPr>
          <w:spacing w:val="23"/>
          <w:sz w:val="20"/>
        </w:rPr>
        <w:t> </w:t>
      </w:r>
      <w:r>
        <w:rPr>
          <w:sz w:val="20"/>
        </w:rPr>
        <w:t>sentido,</w:t>
      </w:r>
      <w:r>
        <w:rPr>
          <w:spacing w:val="24"/>
          <w:sz w:val="20"/>
        </w:rPr>
        <w:t> </w:t>
      </w:r>
      <w:r>
        <w:rPr>
          <w:sz w:val="20"/>
        </w:rPr>
        <w:t>manifestó</w:t>
      </w:r>
      <w:r>
        <w:rPr>
          <w:spacing w:val="24"/>
          <w:sz w:val="20"/>
        </w:rPr>
        <w:t> </w:t>
      </w:r>
      <w:r>
        <w:rPr>
          <w:sz w:val="20"/>
        </w:rPr>
        <w:t>que</w:t>
      </w:r>
      <w:r>
        <w:rPr>
          <w:spacing w:val="23"/>
          <w:sz w:val="20"/>
        </w:rPr>
        <w:t> </w:t>
      </w:r>
      <w:r>
        <w:rPr>
          <w:sz w:val="20"/>
        </w:rPr>
        <w:t>“debe</w:t>
      </w:r>
      <w:r>
        <w:rPr>
          <w:spacing w:val="23"/>
          <w:sz w:val="20"/>
        </w:rPr>
        <w:t> </w:t>
      </w:r>
      <w:r>
        <w:rPr>
          <w:sz w:val="20"/>
        </w:rPr>
        <w:t>garantizar</w:t>
      </w:r>
    </w:p>
    <w:p>
      <w:pPr>
        <w:pStyle w:val="BodyText"/>
        <w:spacing w:before="8"/>
      </w:pPr>
      <w:r>
        <w:rPr/>
        <w:pict>
          <v:line style="position:absolute;mso-position-horizontal-relative:page;mso-position-vertical-relative:paragraph;z-index:1984;mso-wrap-distance-left:0;mso-wrap-distance-right:0" from="85.103996pt,14.912595pt" to="229.123996pt,14.912595pt" stroked="true" strokeweight=".72pt" strokecolor="#000000">
            <v:stroke dashstyle="solid"/>
            <w10:wrap type="topAndBottom"/>
          </v:line>
        </w:pict>
      </w:r>
    </w:p>
    <w:p>
      <w:pPr>
        <w:tabs>
          <w:tab w:pos="829" w:val="left" w:leader="none"/>
        </w:tabs>
        <w:spacing w:before="71"/>
        <w:ind w:left="122" w:right="117" w:firstLine="0"/>
        <w:jc w:val="both"/>
        <w:rPr>
          <w:sz w:val="16"/>
        </w:rPr>
      </w:pPr>
      <w:r>
        <w:rPr>
          <w:position w:val="6"/>
          <w:sz w:val="10"/>
        </w:rPr>
        <w:t>121</w:t>
        <w:tab/>
      </w:r>
      <w:r>
        <w:rPr>
          <w:sz w:val="16"/>
        </w:rPr>
        <w:t>Además,</w:t>
      </w:r>
      <w:r>
        <w:rPr>
          <w:spacing w:val="-6"/>
          <w:sz w:val="16"/>
        </w:rPr>
        <w:t> </w:t>
      </w:r>
      <w:r>
        <w:rPr>
          <w:sz w:val="16"/>
        </w:rPr>
        <w:t>sostuvo</w:t>
      </w:r>
      <w:r>
        <w:rPr>
          <w:spacing w:val="-7"/>
          <w:sz w:val="16"/>
        </w:rPr>
        <w:t> </w:t>
      </w:r>
      <w:r>
        <w:rPr>
          <w:sz w:val="16"/>
        </w:rPr>
        <w:t>que</w:t>
      </w:r>
      <w:r>
        <w:rPr>
          <w:spacing w:val="-6"/>
          <w:sz w:val="16"/>
        </w:rPr>
        <w:t> </w:t>
      </w:r>
      <w:r>
        <w:rPr>
          <w:sz w:val="16"/>
        </w:rPr>
        <w:t>“[l]os</w:t>
      </w:r>
      <w:r>
        <w:rPr>
          <w:spacing w:val="-8"/>
          <w:sz w:val="16"/>
        </w:rPr>
        <w:t> </w:t>
      </w:r>
      <w:r>
        <w:rPr>
          <w:sz w:val="16"/>
        </w:rPr>
        <w:t>derechos</w:t>
      </w:r>
      <w:r>
        <w:rPr>
          <w:spacing w:val="-8"/>
          <w:sz w:val="16"/>
        </w:rPr>
        <w:t> </w:t>
      </w:r>
      <w:r>
        <w:rPr>
          <w:sz w:val="16"/>
        </w:rPr>
        <w:t>políticos</w:t>
      </w:r>
      <w:r>
        <w:rPr>
          <w:spacing w:val="-8"/>
          <w:sz w:val="16"/>
        </w:rPr>
        <w:t> </w:t>
      </w:r>
      <w:r>
        <w:rPr>
          <w:sz w:val="16"/>
        </w:rPr>
        <w:t>de</w:t>
      </w:r>
      <w:r>
        <w:rPr>
          <w:spacing w:val="-6"/>
          <w:sz w:val="16"/>
        </w:rPr>
        <w:t> </w:t>
      </w:r>
      <w:r>
        <w:rPr>
          <w:sz w:val="16"/>
        </w:rPr>
        <w:t>l[a]s</w:t>
      </w:r>
      <w:r>
        <w:rPr>
          <w:spacing w:val="-6"/>
          <w:sz w:val="16"/>
        </w:rPr>
        <w:t> </w:t>
      </w:r>
      <w:r>
        <w:rPr>
          <w:sz w:val="16"/>
        </w:rPr>
        <w:t>[comunidades]</w:t>
      </w:r>
      <w:r>
        <w:rPr>
          <w:spacing w:val="-7"/>
          <w:sz w:val="16"/>
        </w:rPr>
        <w:t> </w:t>
      </w:r>
      <w:r>
        <w:rPr>
          <w:sz w:val="16"/>
        </w:rPr>
        <w:t>han</w:t>
      </w:r>
      <w:r>
        <w:rPr>
          <w:spacing w:val="-7"/>
          <w:sz w:val="16"/>
        </w:rPr>
        <w:t> </w:t>
      </w:r>
      <w:r>
        <w:rPr>
          <w:sz w:val="16"/>
        </w:rPr>
        <w:t>recibido</w:t>
      </w:r>
      <w:r>
        <w:rPr>
          <w:spacing w:val="-7"/>
          <w:sz w:val="16"/>
        </w:rPr>
        <w:t> </w:t>
      </w:r>
      <w:r>
        <w:rPr>
          <w:sz w:val="16"/>
        </w:rPr>
        <w:t>siempre</w:t>
      </w:r>
      <w:r>
        <w:rPr>
          <w:spacing w:val="-8"/>
          <w:sz w:val="16"/>
        </w:rPr>
        <w:t> </w:t>
      </w:r>
      <w:r>
        <w:rPr>
          <w:sz w:val="16"/>
        </w:rPr>
        <w:t>el</w:t>
      </w:r>
      <w:r>
        <w:rPr>
          <w:spacing w:val="-6"/>
          <w:sz w:val="16"/>
        </w:rPr>
        <w:t> </w:t>
      </w:r>
      <w:r>
        <w:rPr>
          <w:sz w:val="16"/>
        </w:rPr>
        <w:t>debido</w:t>
      </w:r>
      <w:r>
        <w:rPr>
          <w:w w:val="100"/>
          <w:sz w:val="16"/>
        </w:rPr>
        <w:t> </w:t>
      </w:r>
      <w:r>
        <w:rPr>
          <w:sz w:val="16"/>
        </w:rPr>
        <w:t>cuidado” de Salta, al “facilitar los espacios para libre elección de sus autoridades, los</w:t>
      </w:r>
      <w:r>
        <w:rPr>
          <w:spacing w:val="-31"/>
          <w:sz w:val="16"/>
        </w:rPr>
        <w:t> </w:t>
      </w:r>
      <w:r>
        <w:rPr>
          <w:sz w:val="16"/>
        </w:rPr>
        <w:t>caciques”.</w:t>
      </w:r>
    </w:p>
    <w:p>
      <w:pPr>
        <w:pStyle w:val="BodyText"/>
        <w:spacing w:before="11"/>
        <w:rPr>
          <w:sz w:val="15"/>
        </w:rPr>
      </w:pPr>
    </w:p>
    <w:p>
      <w:pPr>
        <w:tabs>
          <w:tab w:pos="829" w:val="left" w:leader="none"/>
        </w:tabs>
        <w:spacing w:before="0"/>
        <w:ind w:left="122" w:right="0" w:firstLine="0"/>
        <w:jc w:val="both"/>
        <w:rPr>
          <w:sz w:val="16"/>
        </w:rPr>
      </w:pPr>
      <w:r>
        <w:rPr>
          <w:position w:val="6"/>
          <w:sz w:val="10"/>
        </w:rPr>
        <w:t>122</w:t>
        <w:tab/>
      </w:r>
      <w:r>
        <w:rPr>
          <w:sz w:val="16"/>
        </w:rPr>
        <w:t>“La</w:t>
      </w:r>
      <w:r>
        <w:rPr>
          <w:spacing w:val="-9"/>
          <w:sz w:val="16"/>
        </w:rPr>
        <w:t> </w:t>
      </w:r>
      <w:r>
        <w:rPr>
          <w:sz w:val="16"/>
        </w:rPr>
        <w:t>metodología”,</w:t>
      </w:r>
      <w:r>
        <w:rPr>
          <w:spacing w:val="-9"/>
          <w:sz w:val="16"/>
        </w:rPr>
        <w:t> </w:t>
      </w:r>
      <w:r>
        <w:rPr>
          <w:sz w:val="16"/>
        </w:rPr>
        <w:t>explicó</w:t>
      </w:r>
      <w:r>
        <w:rPr>
          <w:spacing w:val="-8"/>
          <w:sz w:val="16"/>
        </w:rPr>
        <w:t> </w:t>
      </w:r>
      <w:r>
        <w:rPr>
          <w:sz w:val="16"/>
        </w:rPr>
        <w:t>el</w:t>
      </w:r>
      <w:r>
        <w:rPr>
          <w:spacing w:val="-9"/>
          <w:sz w:val="16"/>
        </w:rPr>
        <w:t> </w:t>
      </w:r>
      <w:r>
        <w:rPr>
          <w:sz w:val="16"/>
        </w:rPr>
        <w:t>Estado,</w:t>
      </w:r>
      <w:r>
        <w:rPr>
          <w:spacing w:val="-9"/>
          <w:sz w:val="16"/>
        </w:rPr>
        <w:t> </w:t>
      </w:r>
      <w:r>
        <w:rPr>
          <w:sz w:val="16"/>
        </w:rPr>
        <w:t>“consiste</w:t>
      </w:r>
      <w:r>
        <w:rPr>
          <w:spacing w:val="-11"/>
          <w:sz w:val="16"/>
        </w:rPr>
        <w:t> </w:t>
      </w:r>
      <w:r>
        <w:rPr>
          <w:sz w:val="16"/>
        </w:rPr>
        <w:t>fundamentalmente</w:t>
      </w:r>
      <w:r>
        <w:rPr>
          <w:spacing w:val="-8"/>
          <w:sz w:val="16"/>
        </w:rPr>
        <w:t> </w:t>
      </w:r>
      <w:r>
        <w:rPr>
          <w:sz w:val="16"/>
        </w:rPr>
        <w:t>en</w:t>
      </w:r>
      <w:r>
        <w:rPr>
          <w:spacing w:val="-9"/>
          <w:sz w:val="16"/>
        </w:rPr>
        <w:t> </w:t>
      </w:r>
      <w:r>
        <w:rPr>
          <w:sz w:val="16"/>
        </w:rPr>
        <w:t>el</w:t>
      </w:r>
      <w:r>
        <w:rPr>
          <w:spacing w:val="-12"/>
          <w:sz w:val="16"/>
        </w:rPr>
        <w:t> </w:t>
      </w:r>
      <w:r>
        <w:rPr>
          <w:sz w:val="16"/>
        </w:rPr>
        <w:t>diálogo</w:t>
      </w:r>
      <w:r>
        <w:rPr>
          <w:spacing w:val="-8"/>
          <w:sz w:val="16"/>
        </w:rPr>
        <w:t> </w:t>
      </w:r>
      <w:r>
        <w:rPr>
          <w:sz w:val="16"/>
        </w:rPr>
        <w:t>entre</w:t>
      </w:r>
      <w:r>
        <w:rPr>
          <w:spacing w:val="-8"/>
          <w:sz w:val="16"/>
        </w:rPr>
        <w:t> </w:t>
      </w:r>
      <w:r>
        <w:rPr>
          <w:sz w:val="16"/>
        </w:rPr>
        <w:t>las</w:t>
      </w:r>
      <w:r>
        <w:rPr>
          <w:spacing w:val="-10"/>
          <w:sz w:val="16"/>
        </w:rPr>
        <w:t> </w:t>
      </w:r>
      <w:r>
        <w:rPr>
          <w:sz w:val="16"/>
        </w:rPr>
        <w:t>comunidades</w:t>
      </w:r>
    </w:p>
    <w:p>
      <w:pPr>
        <w:spacing w:before="0"/>
        <w:ind w:left="122" w:right="0" w:firstLine="0"/>
        <w:jc w:val="both"/>
        <w:rPr>
          <w:sz w:val="16"/>
        </w:rPr>
      </w:pPr>
      <w:r>
        <w:rPr>
          <w:sz w:val="16"/>
        </w:rPr>
        <w:t>indígenas y las familias criollas, garantizado y coordinado por la UEP”.</w:t>
      </w:r>
    </w:p>
    <w:p>
      <w:pPr>
        <w:pStyle w:val="BodyText"/>
        <w:rPr>
          <w:sz w:val="16"/>
        </w:rPr>
      </w:pPr>
    </w:p>
    <w:p>
      <w:pPr>
        <w:tabs>
          <w:tab w:pos="829" w:val="left" w:leader="none"/>
        </w:tabs>
        <w:spacing w:before="0"/>
        <w:ind w:left="122" w:right="113" w:firstLine="0"/>
        <w:jc w:val="both"/>
        <w:rPr>
          <w:sz w:val="16"/>
        </w:rPr>
      </w:pPr>
      <w:r>
        <w:rPr>
          <w:position w:val="6"/>
          <w:sz w:val="10"/>
        </w:rPr>
        <w:t>123</w:t>
        <w:tab/>
      </w:r>
      <w:r>
        <w:rPr>
          <w:sz w:val="16"/>
        </w:rPr>
        <w:t>Explicó</w:t>
      </w:r>
      <w:r>
        <w:rPr>
          <w:spacing w:val="13"/>
          <w:sz w:val="16"/>
        </w:rPr>
        <w:t> </w:t>
      </w:r>
      <w:r>
        <w:rPr>
          <w:sz w:val="16"/>
        </w:rPr>
        <w:t>que</w:t>
      </w:r>
      <w:r>
        <w:rPr>
          <w:spacing w:val="9"/>
          <w:sz w:val="16"/>
        </w:rPr>
        <w:t> </w:t>
      </w:r>
      <w:r>
        <w:rPr>
          <w:sz w:val="16"/>
        </w:rPr>
        <w:t>“la</w:t>
      </w:r>
      <w:r>
        <w:rPr>
          <w:spacing w:val="11"/>
          <w:sz w:val="16"/>
        </w:rPr>
        <w:t> </w:t>
      </w:r>
      <w:r>
        <w:rPr>
          <w:sz w:val="16"/>
        </w:rPr>
        <w:t>relocalización</w:t>
      </w:r>
      <w:r>
        <w:rPr>
          <w:spacing w:val="11"/>
          <w:sz w:val="16"/>
        </w:rPr>
        <w:t> </w:t>
      </w:r>
      <w:r>
        <w:rPr>
          <w:sz w:val="16"/>
        </w:rPr>
        <w:t>es</w:t>
      </w:r>
      <w:r>
        <w:rPr>
          <w:spacing w:val="12"/>
          <w:sz w:val="16"/>
        </w:rPr>
        <w:t> </w:t>
      </w:r>
      <w:r>
        <w:rPr>
          <w:sz w:val="16"/>
        </w:rPr>
        <w:t>el</w:t>
      </w:r>
      <w:r>
        <w:rPr>
          <w:spacing w:val="11"/>
          <w:sz w:val="16"/>
        </w:rPr>
        <w:t> </w:t>
      </w:r>
      <w:r>
        <w:rPr>
          <w:sz w:val="16"/>
        </w:rPr>
        <w:t>proceso</w:t>
      </w:r>
      <w:r>
        <w:rPr>
          <w:spacing w:val="10"/>
          <w:sz w:val="16"/>
        </w:rPr>
        <w:t> </w:t>
      </w:r>
      <w:r>
        <w:rPr>
          <w:sz w:val="16"/>
        </w:rPr>
        <w:t>por</w:t>
      </w:r>
      <w:r>
        <w:rPr>
          <w:spacing w:val="13"/>
          <w:sz w:val="16"/>
        </w:rPr>
        <w:t> </w:t>
      </w:r>
      <w:r>
        <w:rPr>
          <w:sz w:val="16"/>
        </w:rPr>
        <w:t>el</w:t>
      </w:r>
      <w:r>
        <w:rPr>
          <w:spacing w:val="11"/>
          <w:sz w:val="16"/>
        </w:rPr>
        <w:t> </w:t>
      </w:r>
      <w:r>
        <w:rPr>
          <w:sz w:val="16"/>
        </w:rPr>
        <w:t>cual</w:t>
      </w:r>
      <w:r>
        <w:rPr>
          <w:spacing w:val="14"/>
          <w:sz w:val="16"/>
        </w:rPr>
        <w:t> </w:t>
      </w:r>
      <w:r>
        <w:rPr>
          <w:sz w:val="16"/>
        </w:rPr>
        <w:t>las</w:t>
      </w:r>
      <w:r>
        <w:rPr>
          <w:spacing w:val="12"/>
          <w:sz w:val="16"/>
        </w:rPr>
        <w:t> </w:t>
      </w:r>
      <w:r>
        <w:rPr>
          <w:sz w:val="16"/>
        </w:rPr>
        <w:t>familias</w:t>
      </w:r>
      <w:r>
        <w:rPr>
          <w:spacing w:val="14"/>
          <w:sz w:val="16"/>
        </w:rPr>
        <w:t> </w:t>
      </w:r>
      <w:r>
        <w:rPr>
          <w:sz w:val="16"/>
        </w:rPr>
        <w:t>criollas</w:t>
      </w:r>
      <w:r>
        <w:rPr>
          <w:spacing w:val="12"/>
          <w:sz w:val="16"/>
        </w:rPr>
        <w:t> </w:t>
      </w:r>
      <w:r>
        <w:rPr>
          <w:sz w:val="16"/>
        </w:rPr>
        <w:t>que</w:t>
      </w:r>
      <w:r>
        <w:rPr>
          <w:spacing w:val="9"/>
          <w:sz w:val="16"/>
        </w:rPr>
        <w:t> </w:t>
      </w:r>
      <w:r>
        <w:rPr>
          <w:sz w:val="16"/>
        </w:rPr>
        <w:t>se</w:t>
      </w:r>
      <w:r>
        <w:rPr>
          <w:spacing w:val="12"/>
          <w:sz w:val="16"/>
        </w:rPr>
        <w:t> </w:t>
      </w:r>
      <w:r>
        <w:rPr>
          <w:sz w:val="16"/>
        </w:rPr>
        <w:t>encuentran</w:t>
      </w:r>
      <w:r>
        <w:rPr>
          <w:spacing w:val="13"/>
          <w:sz w:val="16"/>
        </w:rPr>
        <w:t> </w:t>
      </w:r>
      <w:r>
        <w:rPr>
          <w:sz w:val="16"/>
        </w:rPr>
        <w:t>en</w:t>
      </w:r>
      <w:r>
        <w:rPr>
          <w:spacing w:val="11"/>
          <w:sz w:val="16"/>
        </w:rPr>
        <w:t> </w:t>
      </w:r>
      <w:r>
        <w:rPr>
          <w:sz w:val="16"/>
        </w:rPr>
        <w:t>el</w:t>
      </w:r>
      <w:r>
        <w:rPr>
          <w:w w:val="99"/>
          <w:sz w:val="16"/>
        </w:rPr>
        <w:t> </w:t>
      </w:r>
      <w:r>
        <w:rPr>
          <w:sz w:val="16"/>
        </w:rPr>
        <w:t>territorio reclamado por las comunidades […], se trasladan hacia la zona libre de reclamo indígena, […] en la que</w:t>
      </w:r>
      <w:r>
        <w:rPr>
          <w:spacing w:val="-6"/>
          <w:sz w:val="16"/>
        </w:rPr>
        <w:t> </w:t>
      </w:r>
      <w:r>
        <w:rPr>
          <w:sz w:val="16"/>
        </w:rPr>
        <w:t>el</w:t>
      </w:r>
      <w:r>
        <w:rPr>
          <w:spacing w:val="-4"/>
          <w:sz w:val="16"/>
        </w:rPr>
        <w:t> </w:t>
      </w:r>
      <w:r>
        <w:rPr>
          <w:sz w:val="16"/>
        </w:rPr>
        <w:t>Estado</w:t>
      </w:r>
      <w:r>
        <w:rPr>
          <w:spacing w:val="-5"/>
          <w:sz w:val="16"/>
        </w:rPr>
        <w:t> </w:t>
      </w:r>
      <w:r>
        <w:rPr>
          <w:sz w:val="16"/>
        </w:rPr>
        <w:t>debe</w:t>
      </w:r>
      <w:r>
        <w:rPr>
          <w:spacing w:val="-6"/>
          <w:sz w:val="16"/>
        </w:rPr>
        <w:t> </w:t>
      </w:r>
      <w:r>
        <w:rPr>
          <w:sz w:val="16"/>
        </w:rPr>
        <w:t>garantizar</w:t>
      </w:r>
      <w:r>
        <w:rPr>
          <w:spacing w:val="-5"/>
          <w:sz w:val="16"/>
        </w:rPr>
        <w:t> </w:t>
      </w:r>
      <w:r>
        <w:rPr>
          <w:sz w:val="16"/>
        </w:rPr>
        <w:t>[…]</w:t>
      </w:r>
      <w:r>
        <w:rPr>
          <w:spacing w:val="-4"/>
          <w:sz w:val="16"/>
        </w:rPr>
        <w:t> </w:t>
      </w:r>
      <w:r>
        <w:rPr>
          <w:sz w:val="16"/>
        </w:rPr>
        <w:t>las</w:t>
      </w:r>
      <w:r>
        <w:rPr>
          <w:spacing w:val="-6"/>
          <w:sz w:val="16"/>
        </w:rPr>
        <w:t> </w:t>
      </w:r>
      <w:r>
        <w:rPr>
          <w:sz w:val="16"/>
        </w:rPr>
        <w:t>condiciones</w:t>
      </w:r>
      <w:r>
        <w:rPr>
          <w:spacing w:val="-6"/>
          <w:sz w:val="16"/>
        </w:rPr>
        <w:t> </w:t>
      </w:r>
      <w:r>
        <w:rPr>
          <w:sz w:val="16"/>
        </w:rPr>
        <w:t>mínimas</w:t>
      </w:r>
      <w:r>
        <w:rPr>
          <w:spacing w:val="-6"/>
          <w:sz w:val="16"/>
        </w:rPr>
        <w:t> </w:t>
      </w:r>
      <w:r>
        <w:rPr>
          <w:sz w:val="16"/>
        </w:rPr>
        <w:t>para</w:t>
      </w:r>
      <w:r>
        <w:rPr>
          <w:spacing w:val="-7"/>
          <w:sz w:val="16"/>
        </w:rPr>
        <w:t> </w:t>
      </w:r>
      <w:r>
        <w:rPr>
          <w:sz w:val="16"/>
        </w:rPr>
        <w:t>el</w:t>
      </w:r>
      <w:r>
        <w:rPr>
          <w:spacing w:val="-6"/>
          <w:sz w:val="16"/>
        </w:rPr>
        <w:t> </w:t>
      </w:r>
      <w:r>
        <w:rPr>
          <w:sz w:val="16"/>
        </w:rPr>
        <w:t>desarrollo</w:t>
      </w:r>
      <w:r>
        <w:rPr>
          <w:spacing w:val="-5"/>
          <w:sz w:val="16"/>
        </w:rPr>
        <w:t> </w:t>
      </w:r>
      <w:r>
        <w:rPr>
          <w:sz w:val="16"/>
        </w:rPr>
        <w:t>de</w:t>
      </w:r>
      <w:r>
        <w:rPr>
          <w:spacing w:val="-6"/>
          <w:sz w:val="16"/>
        </w:rPr>
        <w:t> </w:t>
      </w:r>
      <w:r>
        <w:rPr>
          <w:sz w:val="16"/>
        </w:rPr>
        <w:t>sus</w:t>
      </w:r>
      <w:r>
        <w:rPr>
          <w:spacing w:val="-6"/>
          <w:sz w:val="16"/>
        </w:rPr>
        <w:t> </w:t>
      </w:r>
      <w:r>
        <w:rPr>
          <w:sz w:val="16"/>
        </w:rPr>
        <w:t>unidades</w:t>
      </w:r>
      <w:r>
        <w:rPr>
          <w:spacing w:val="-6"/>
          <w:sz w:val="16"/>
        </w:rPr>
        <w:t> </w:t>
      </w:r>
      <w:r>
        <w:rPr>
          <w:sz w:val="16"/>
        </w:rPr>
        <w:t>de</w:t>
      </w:r>
      <w:r>
        <w:rPr>
          <w:spacing w:val="-6"/>
          <w:sz w:val="16"/>
        </w:rPr>
        <w:t> </w:t>
      </w:r>
      <w:r>
        <w:rPr>
          <w:sz w:val="16"/>
        </w:rPr>
        <w:t>producción</w:t>
      </w:r>
      <w:r>
        <w:rPr>
          <w:spacing w:val="-6"/>
          <w:sz w:val="16"/>
        </w:rPr>
        <w:t> </w:t>
      </w:r>
      <w:r>
        <w:rPr>
          <w:sz w:val="16"/>
        </w:rPr>
        <w:t>y de habitabilidad necesaria para hacer efectiva la reubicación. El proceso implica transformar la forma </w:t>
      </w:r>
      <w:r>
        <w:rPr>
          <w:spacing w:val="-3"/>
          <w:sz w:val="16"/>
        </w:rPr>
        <w:t>de </w:t>
      </w:r>
      <w:r>
        <w:rPr>
          <w:sz w:val="16"/>
        </w:rPr>
        <w:t>producción ganadera de cada familia criolla, acondicionando la nueva superficie a través de inversiones en la Unidad de Producción para encerrar los animales, pasturas, alambrados, asistencia técnica y capacitación principalmente,</w:t>
      </w:r>
      <w:r>
        <w:rPr>
          <w:spacing w:val="-6"/>
          <w:sz w:val="16"/>
        </w:rPr>
        <w:t> </w:t>
      </w:r>
      <w:r>
        <w:rPr>
          <w:sz w:val="16"/>
        </w:rPr>
        <w:t>y</w:t>
      </w:r>
      <w:r>
        <w:rPr>
          <w:spacing w:val="-2"/>
          <w:sz w:val="16"/>
        </w:rPr>
        <w:t> </w:t>
      </w:r>
      <w:r>
        <w:rPr>
          <w:sz w:val="16"/>
        </w:rPr>
        <w:t>[…]</w:t>
      </w:r>
      <w:r>
        <w:rPr>
          <w:spacing w:val="-6"/>
          <w:sz w:val="16"/>
        </w:rPr>
        <w:t> </w:t>
      </w:r>
      <w:r>
        <w:rPr>
          <w:sz w:val="16"/>
        </w:rPr>
        <w:t>garantizar</w:t>
      </w:r>
      <w:r>
        <w:rPr>
          <w:spacing w:val="-1"/>
          <w:sz w:val="16"/>
        </w:rPr>
        <w:t> </w:t>
      </w:r>
      <w:r>
        <w:rPr>
          <w:sz w:val="16"/>
        </w:rPr>
        <w:t>[…]</w:t>
      </w:r>
      <w:r>
        <w:rPr>
          <w:spacing w:val="-3"/>
          <w:sz w:val="16"/>
        </w:rPr>
        <w:t> </w:t>
      </w:r>
      <w:r>
        <w:rPr>
          <w:sz w:val="16"/>
        </w:rPr>
        <w:t>a</w:t>
      </w:r>
      <w:r>
        <w:rPr>
          <w:spacing w:val="-6"/>
          <w:sz w:val="16"/>
        </w:rPr>
        <w:t> </w:t>
      </w:r>
      <w:r>
        <w:rPr>
          <w:sz w:val="16"/>
        </w:rPr>
        <w:t>su</w:t>
      </w:r>
      <w:r>
        <w:rPr>
          <w:spacing w:val="-6"/>
          <w:sz w:val="16"/>
        </w:rPr>
        <w:t> </w:t>
      </w:r>
      <w:r>
        <w:rPr>
          <w:sz w:val="16"/>
        </w:rPr>
        <w:t>vez,</w:t>
      </w:r>
      <w:r>
        <w:rPr>
          <w:spacing w:val="-4"/>
          <w:sz w:val="16"/>
        </w:rPr>
        <w:t> </w:t>
      </w:r>
      <w:r>
        <w:rPr>
          <w:sz w:val="16"/>
        </w:rPr>
        <w:t>el</w:t>
      </w:r>
      <w:r>
        <w:rPr>
          <w:spacing w:val="-3"/>
          <w:sz w:val="16"/>
        </w:rPr>
        <w:t> </w:t>
      </w:r>
      <w:r>
        <w:rPr>
          <w:sz w:val="16"/>
        </w:rPr>
        <w:t>acceso</w:t>
      </w:r>
      <w:r>
        <w:rPr>
          <w:spacing w:val="-2"/>
          <w:sz w:val="16"/>
        </w:rPr>
        <w:t> </w:t>
      </w:r>
      <w:r>
        <w:rPr>
          <w:sz w:val="16"/>
        </w:rPr>
        <w:t>al</w:t>
      </w:r>
      <w:r>
        <w:rPr>
          <w:spacing w:val="-6"/>
          <w:sz w:val="16"/>
        </w:rPr>
        <w:t> </w:t>
      </w:r>
      <w:r>
        <w:rPr>
          <w:sz w:val="16"/>
        </w:rPr>
        <w:t>agua</w:t>
      </w:r>
      <w:r>
        <w:rPr>
          <w:spacing w:val="-3"/>
          <w:sz w:val="16"/>
        </w:rPr>
        <w:t> </w:t>
      </w:r>
      <w:r>
        <w:rPr>
          <w:sz w:val="16"/>
        </w:rPr>
        <w:t>para</w:t>
      </w:r>
      <w:r>
        <w:rPr>
          <w:spacing w:val="-3"/>
          <w:sz w:val="16"/>
        </w:rPr>
        <w:t> </w:t>
      </w:r>
      <w:r>
        <w:rPr>
          <w:sz w:val="16"/>
        </w:rPr>
        <w:t>consumo</w:t>
      </w:r>
      <w:r>
        <w:rPr>
          <w:spacing w:val="-5"/>
          <w:sz w:val="16"/>
        </w:rPr>
        <w:t> </w:t>
      </w:r>
      <w:r>
        <w:rPr>
          <w:sz w:val="16"/>
        </w:rPr>
        <w:t>animal</w:t>
      </w:r>
      <w:r>
        <w:rPr>
          <w:spacing w:val="-3"/>
          <w:sz w:val="16"/>
        </w:rPr>
        <w:t> </w:t>
      </w:r>
      <w:r>
        <w:rPr>
          <w:sz w:val="16"/>
        </w:rPr>
        <w:t>y</w:t>
      </w:r>
      <w:r>
        <w:rPr>
          <w:spacing w:val="-4"/>
          <w:sz w:val="16"/>
        </w:rPr>
        <w:t> </w:t>
      </w:r>
      <w:r>
        <w:rPr>
          <w:sz w:val="16"/>
        </w:rPr>
        <w:t>consumo</w:t>
      </w:r>
      <w:r>
        <w:rPr>
          <w:spacing w:val="-5"/>
          <w:sz w:val="16"/>
        </w:rPr>
        <w:t> </w:t>
      </w:r>
      <w:r>
        <w:rPr>
          <w:sz w:val="16"/>
        </w:rPr>
        <w:t>humano.</w:t>
      </w:r>
      <w:r>
        <w:rPr>
          <w:spacing w:val="-4"/>
          <w:sz w:val="16"/>
        </w:rPr>
        <w:t> </w:t>
      </w:r>
      <w:r>
        <w:rPr>
          <w:sz w:val="16"/>
        </w:rPr>
        <w:t>La descripción</w:t>
      </w:r>
      <w:r>
        <w:rPr>
          <w:spacing w:val="-8"/>
          <w:sz w:val="16"/>
        </w:rPr>
        <w:t> </w:t>
      </w:r>
      <w:r>
        <w:rPr>
          <w:sz w:val="16"/>
        </w:rPr>
        <w:t>por</w:t>
      </w:r>
      <w:r>
        <w:rPr>
          <w:spacing w:val="-7"/>
          <w:sz w:val="16"/>
        </w:rPr>
        <w:t> </w:t>
      </w:r>
      <w:r>
        <w:rPr>
          <w:sz w:val="16"/>
        </w:rPr>
        <w:t>etapas</w:t>
      </w:r>
      <w:r>
        <w:rPr>
          <w:spacing w:val="-7"/>
          <w:sz w:val="16"/>
        </w:rPr>
        <w:t> </w:t>
      </w:r>
      <w:r>
        <w:rPr>
          <w:sz w:val="16"/>
        </w:rPr>
        <w:t>de</w:t>
      </w:r>
      <w:r>
        <w:rPr>
          <w:spacing w:val="-7"/>
          <w:sz w:val="16"/>
        </w:rPr>
        <w:t> </w:t>
      </w:r>
      <w:r>
        <w:rPr>
          <w:sz w:val="16"/>
        </w:rPr>
        <w:t>proceso</w:t>
      </w:r>
      <w:r>
        <w:rPr>
          <w:spacing w:val="-4"/>
          <w:sz w:val="16"/>
        </w:rPr>
        <w:t> </w:t>
      </w:r>
      <w:r>
        <w:rPr>
          <w:sz w:val="16"/>
        </w:rPr>
        <w:t>no</w:t>
      </w:r>
      <w:r>
        <w:rPr>
          <w:spacing w:val="-4"/>
          <w:sz w:val="16"/>
        </w:rPr>
        <w:t> </w:t>
      </w:r>
      <w:r>
        <w:rPr>
          <w:sz w:val="16"/>
        </w:rPr>
        <w:t>da</w:t>
      </w:r>
      <w:r>
        <w:rPr>
          <w:spacing w:val="-8"/>
          <w:sz w:val="16"/>
        </w:rPr>
        <w:t> </w:t>
      </w:r>
      <w:r>
        <w:rPr>
          <w:sz w:val="16"/>
        </w:rPr>
        <w:t>cuenta</w:t>
      </w:r>
      <w:r>
        <w:rPr>
          <w:spacing w:val="-6"/>
          <w:sz w:val="16"/>
        </w:rPr>
        <w:t> </w:t>
      </w:r>
      <w:r>
        <w:rPr>
          <w:sz w:val="16"/>
        </w:rPr>
        <w:t>de</w:t>
      </w:r>
      <w:r>
        <w:rPr>
          <w:spacing w:val="-7"/>
          <w:sz w:val="16"/>
        </w:rPr>
        <w:t> </w:t>
      </w:r>
      <w:r>
        <w:rPr>
          <w:sz w:val="16"/>
        </w:rPr>
        <w:t>los</w:t>
      </w:r>
      <w:r>
        <w:rPr>
          <w:spacing w:val="-5"/>
          <w:sz w:val="16"/>
        </w:rPr>
        <w:t> </w:t>
      </w:r>
      <w:r>
        <w:rPr>
          <w:sz w:val="16"/>
        </w:rPr>
        <w:t>traumas</w:t>
      </w:r>
      <w:r>
        <w:rPr>
          <w:spacing w:val="-5"/>
          <w:sz w:val="16"/>
        </w:rPr>
        <w:t> </w:t>
      </w:r>
      <w:r>
        <w:rPr>
          <w:sz w:val="16"/>
        </w:rPr>
        <w:t>que</w:t>
      </w:r>
      <w:r>
        <w:rPr>
          <w:spacing w:val="-7"/>
          <w:sz w:val="16"/>
        </w:rPr>
        <w:t> </w:t>
      </w:r>
      <w:r>
        <w:rPr>
          <w:sz w:val="16"/>
        </w:rPr>
        <w:t>se</w:t>
      </w:r>
      <w:r>
        <w:rPr>
          <w:spacing w:val="-7"/>
          <w:sz w:val="16"/>
        </w:rPr>
        <w:t> </w:t>
      </w:r>
      <w:r>
        <w:rPr>
          <w:sz w:val="16"/>
        </w:rPr>
        <w:t>generan</w:t>
      </w:r>
      <w:r>
        <w:rPr>
          <w:spacing w:val="-6"/>
          <w:sz w:val="16"/>
        </w:rPr>
        <w:t> </w:t>
      </w:r>
      <w:r>
        <w:rPr>
          <w:sz w:val="16"/>
        </w:rPr>
        <w:t>a</w:t>
      </w:r>
      <w:r>
        <w:rPr>
          <w:spacing w:val="-8"/>
          <w:sz w:val="16"/>
        </w:rPr>
        <w:t> </w:t>
      </w:r>
      <w:r>
        <w:rPr>
          <w:sz w:val="16"/>
        </w:rPr>
        <w:t>pobladores</w:t>
      </w:r>
      <w:r>
        <w:rPr>
          <w:spacing w:val="-5"/>
          <w:sz w:val="16"/>
        </w:rPr>
        <w:t> </w:t>
      </w:r>
      <w:r>
        <w:rPr>
          <w:sz w:val="16"/>
        </w:rPr>
        <w:t>criollos,</w:t>
      </w:r>
      <w:r>
        <w:rPr>
          <w:spacing w:val="-6"/>
          <w:sz w:val="16"/>
        </w:rPr>
        <w:t> </w:t>
      </w:r>
      <w:r>
        <w:rPr>
          <w:sz w:val="16"/>
        </w:rPr>
        <w:t>tal</w:t>
      </w:r>
      <w:r>
        <w:rPr>
          <w:spacing w:val="-6"/>
          <w:sz w:val="16"/>
        </w:rPr>
        <w:t> </w:t>
      </w:r>
      <w:r>
        <w:rPr>
          <w:sz w:val="16"/>
        </w:rPr>
        <w:t>como lo describen en sus declaraciones testimoniales y que se vinculan a las incertidumbres de padres sobre la educación</w:t>
      </w:r>
      <w:r>
        <w:rPr>
          <w:spacing w:val="-16"/>
          <w:sz w:val="16"/>
        </w:rPr>
        <w:t> </w:t>
      </w:r>
      <w:r>
        <w:rPr>
          <w:sz w:val="16"/>
        </w:rPr>
        <w:t>de</w:t>
      </w:r>
      <w:r>
        <w:rPr>
          <w:spacing w:val="-15"/>
          <w:sz w:val="16"/>
        </w:rPr>
        <w:t> </w:t>
      </w:r>
      <w:r>
        <w:rPr>
          <w:sz w:val="16"/>
        </w:rPr>
        <w:t>sus</w:t>
      </w:r>
      <w:r>
        <w:rPr>
          <w:spacing w:val="-13"/>
          <w:sz w:val="16"/>
        </w:rPr>
        <w:t> </w:t>
      </w:r>
      <w:r>
        <w:rPr>
          <w:sz w:val="16"/>
        </w:rPr>
        <w:t>hijos,</w:t>
      </w:r>
      <w:r>
        <w:rPr>
          <w:spacing w:val="-14"/>
          <w:sz w:val="16"/>
        </w:rPr>
        <w:t> </w:t>
      </w:r>
      <w:r>
        <w:rPr>
          <w:sz w:val="16"/>
        </w:rPr>
        <w:t>las</w:t>
      </w:r>
      <w:r>
        <w:rPr>
          <w:spacing w:val="-15"/>
          <w:sz w:val="16"/>
        </w:rPr>
        <w:t> </w:t>
      </w:r>
      <w:r>
        <w:rPr>
          <w:sz w:val="16"/>
        </w:rPr>
        <w:t>implicancias</w:t>
      </w:r>
      <w:r>
        <w:rPr>
          <w:spacing w:val="-13"/>
          <w:sz w:val="16"/>
        </w:rPr>
        <w:t> </w:t>
      </w:r>
      <w:r>
        <w:rPr>
          <w:sz w:val="16"/>
        </w:rPr>
        <w:t>de</w:t>
      </w:r>
      <w:r>
        <w:rPr>
          <w:spacing w:val="-15"/>
          <w:sz w:val="16"/>
        </w:rPr>
        <w:t> </w:t>
      </w:r>
      <w:r>
        <w:rPr>
          <w:sz w:val="16"/>
        </w:rPr>
        <w:t>re-comenzar</w:t>
      </w:r>
      <w:r>
        <w:rPr>
          <w:spacing w:val="-14"/>
          <w:sz w:val="16"/>
        </w:rPr>
        <w:t> </w:t>
      </w:r>
      <w:r>
        <w:rPr>
          <w:sz w:val="16"/>
        </w:rPr>
        <w:t>una</w:t>
      </w:r>
      <w:r>
        <w:rPr>
          <w:spacing w:val="-16"/>
          <w:sz w:val="16"/>
        </w:rPr>
        <w:t> </w:t>
      </w:r>
      <w:r>
        <w:rPr>
          <w:sz w:val="16"/>
        </w:rPr>
        <w:t>vida</w:t>
      </w:r>
      <w:r>
        <w:rPr>
          <w:spacing w:val="-14"/>
          <w:sz w:val="16"/>
        </w:rPr>
        <w:t> </w:t>
      </w:r>
      <w:r>
        <w:rPr>
          <w:sz w:val="16"/>
        </w:rPr>
        <w:t>en</w:t>
      </w:r>
      <w:r>
        <w:rPr>
          <w:spacing w:val="-16"/>
          <w:sz w:val="16"/>
        </w:rPr>
        <w:t> </w:t>
      </w:r>
      <w:r>
        <w:rPr>
          <w:sz w:val="16"/>
        </w:rPr>
        <w:t>la</w:t>
      </w:r>
      <w:r>
        <w:rPr>
          <w:spacing w:val="-14"/>
          <w:sz w:val="16"/>
        </w:rPr>
        <w:t> </w:t>
      </w:r>
      <w:r>
        <w:rPr>
          <w:sz w:val="16"/>
        </w:rPr>
        <w:t>etapa</w:t>
      </w:r>
      <w:r>
        <w:rPr>
          <w:spacing w:val="-16"/>
          <w:sz w:val="16"/>
        </w:rPr>
        <w:t> </w:t>
      </w:r>
      <w:r>
        <w:rPr>
          <w:sz w:val="16"/>
        </w:rPr>
        <w:t>final</w:t>
      </w:r>
      <w:r>
        <w:rPr>
          <w:spacing w:val="-14"/>
          <w:sz w:val="16"/>
        </w:rPr>
        <w:t> </w:t>
      </w:r>
      <w:r>
        <w:rPr>
          <w:sz w:val="16"/>
        </w:rPr>
        <w:t>de</w:t>
      </w:r>
      <w:r>
        <w:rPr>
          <w:spacing w:val="-13"/>
          <w:sz w:val="16"/>
        </w:rPr>
        <w:t> </w:t>
      </w:r>
      <w:r>
        <w:rPr>
          <w:sz w:val="16"/>
        </w:rPr>
        <w:t>la</w:t>
      </w:r>
      <w:r>
        <w:rPr>
          <w:spacing w:val="-16"/>
          <w:sz w:val="16"/>
        </w:rPr>
        <w:t> </w:t>
      </w:r>
      <w:r>
        <w:rPr>
          <w:sz w:val="16"/>
        </w:rPr>
        <w:t>misma</w:t>
      </w:r>
      <w:r>
        <w:rPr>
          <w:spacing w:val="-14"/>
          <w:sz w:val="16"/>
        </w:rPr>
        <w:t> </w:t>
      </w:r>
      <w:r>
        <w:rPr>
          <w:sz w:val="16"/>
        </w:rPr>
        <w:t>para</w:t>
      </w:r>
      <w:r>
        <w:rPr>
          <w:spacing w:val="-14"/>
          <w:sz w:val="16"/>
        </w:rPr>
        <w:t> </w:t>
      </w:r>
      <w:r>
        <w:rPr>
          <w:sz w:val="16"/>
        </w:rPr>
        <w:t>la</w:t>
      </w:r>
      <w:r>
        <w:rPr>
          <w:spacing w:val="-16"/>
          <w:sz w:val="16"/>
        </w:rPr>
        <w:t> </w:t>
      </w:r>
      <w:r>
        <w:rPr>
          <w:sz w:val="16"/>
        </w:rPr>
        <w:t>población de</w:t>
      </w:r>
      <w:r>
        <w:rPr>
          <w:spacing w:val="-2"/>
          <w:sz w:val="16"/>
        </w:rPr>
        <w:t> </w:t>
      </w:r>
      <w:r>
        <w:rPr>
          <w:sz w:val="16"/>
        </w:rPr>
        <w:t>adultos</w:t>
      </w:r>
      <w:r>
        <w:rPr>
          <w:spacing w:val="-5"/>
          <w:sz w:val="16"/>
        </w:rPr>
        <w:t> </w:t>
      </w:r>
      <w:r>
        <w:rPr>
          <w:sz w:val="16"/>
        </w:rPr>
        <w:t>mayores</w:t>
      </w:r>
      <w:r>
        <w:rPr>
          <w:spacing w:val="-5"/>
          <w:sz w:val="16"/>
        </w:rPr>
        <w:t> </w:t>
      </w:r>
      <w:r>
        <w:rPr>
          <w:sz w:val="16"/>
        </w:rPr>
        <w:t>y</w:t>
      </w:r>
      <w:r>
        <w:rPr>
          <w:spacing w:val="-4"/>
          <w:sz w:val="16"/>
        </w:rPr>
        <w:t> </w:t>
      </w:r>
      <w:r>
        <w:rPr>
          <w:sz w:val="16"/>
        </w:rPr>
        <w:t>por</w:t>
      </w:r>
      <w:r>
        <w:rPr>
          <w:spacing w:val="-4"/>
          <w:sz w:val="16"/>
        </w:rPr>
        <w:t> </w:t>
      </w:r>
      <w:r>
        <w:rPr>
          <w:sz w:val="16"/>
        </w:rPr>
        <w:t>supuesto,</w:t>
      </w:r>
      <w:r>
        <w:rPr>
          <w:spacing w:val="-4"/>
          <w:sz w:val="16"/>
        </w:rPr>
        <w:t> </w:t>
      </w:r>
      <w:r>
        <w:rPr>
          <w:sz w:val="16"/>
        </w:rPr>
        <w:t>la</w:t>
      </w:r>
      <w:r>
        <w:rPr>
          <w:spacing w:val="-6"/>
          <w:sz w:val="16"/>
        </w:rPr>
        <w:t> </w:t>
      </w:r>
      <w:r>
        <w:rPr>
          <w:sz w:val="16"/>
        </w:rPr>
        <w:t>supervivencia</w:t>
      </w:r>
      <w:r>
        <w:rPr>
          <w:spacing w:val="-6"/>
          <w:sz w:val="16"/>
        </w:rPr>
        <w:t> </w:t>
      </w:r>
      <w:r>
        <w:rPr>
          <w:sz w:val="16"/>
        </w:rPr>
        <w:t>de</w:t>
      </w:r>
      <w:r>
        <w:rPr>
          <w:spacing w:val="-5"/>
          <w:sz w:val="16"/>
        </w:rPr>
        <w:t> </w:t>
      </w:r>
      <w:r>
        <w:rPr>
          <w:sz w:val="16"/>
        </w:rPr>
        <w:t>los</w:t>
      </w:r>
      <w:r>
        <w:rPr>
          <w:spacing w:val="-7"/>
          <w:sz w:val="16"/>
        </w:rPr>
        <w:t> </w:t>
      </w:r>
      <w:r>
        <w:rPr>
          <w:sz w:val="16"/>
        </w:rPr>
        <w:t>animales</w:t>
      </w:r>
      <w:r>
        <w:rPr>
          <w:spacing w:val="-2"/>
          <w:sz w:val="16"/>
        </w:rPr>
        <w:t> </w:t>
      </w:r>
      <w:r>
        <w:rPr>
          <w:sz w:val="16"/>
        </w:rPr>
        <w:t>al</w:t>
      </w:r>
      <w:r>
        <w:rPr>
          <w:spacing w:val="-3"/>
          <w:sz w:val="16"/>
        </w:rPr>
        <w:t> </w:t>
      </w:r>
      <w:r>
        <w:rPr>
          <w:sz w:val="16"/>
        </w:rPr>
        <w:t>estrés</w:t>
      </w:r>
      <w:r>
        <w:rPr>
          <w:spacing w:val="-7"/>
          <w:sz w:val="16"/>
        </w:rPr>
        <w:t> </w:t>
      </w:r>
      <w:r>
        <w:rPr>
          <w:sz w:val="16"/>
        </w:rPr>
        <w:t>de</w:t>
      </w:r>
      <w:r>
        <w:rPr>
          <w:spacing w:val="-5"/>
          <w:sz w:val="16"/>
        </w:rPr>
        <w:t> </w:t>
      </w:r>
      <w:r>
        <w:rPr>
          <w:sz w:val="16"/>
        </w:rPr>
        <w:t>la</w:t>
      </w:r>
      <w:r>
        <w:rPr>
          <w:spacing w:val="-6"/>
          <w:sz w:val="16"/>
        </w:rPr>
        <w:t> </w:t>
      </w:r>
      <w:r>
        <w:rPr>
          <w:sz w:val="16"/>
        </w:rPr>
        <w:t>reubicación</w:t>
      </w:r>
      <w:r>
        <w:rPr>
          <w:spacing w:val="-3"/>
          <w:sz w:val="16"/>
        </w:rPr>
        <w:t> </w:t>
      </w:r>
      <w:r>
        <w:rPr>
          <w:sz w:val="16"/>
        </w:rPr>
        <w:t>en</w:t>
      </w:r>
      <w:r>
        <w:rPr>
          <w:spacing w:val="-6"/>
          <w:sz w:val="16"/>
        </w:rPr>
        <w:t> </w:t>
      </w:r>
      <w:r>
        <w:rPr>
          <w:sz w:val="16"/>
        </w:rPr>
        <w:t>tierras</w:t>
      </w:r>
      <w:r>
        <w:rPr>
          <w:spacing w:val="-5"/>
          <w:sz w:val="16"/>
        </w:rPr>
        <w:t> </w:t>
      </w:r>
      <w:r>
        <w:rPr>
          <w:sz w:val="16"/>
        </w:rPr>
        <w:t>que no necesariamente reúne las condiciones ambientales</w:t>
      </w:r>
      <w:r>
        <w:rPr>
          <w:spacing w:val="-18"/>
          <w:sz w:val="16"/>
        </w:rPr>
        <w:t> </w:t>
      </w:r>
      <w:r>
        <w:rPr>
          <w:sz w:val="16"/>
        </w:rPr>
        <w:t>adecuadas”.</w:t>
      </w:r>
    </w:p>
    <w:p>
      <w:pPr>
        <w:pStyle w:val="BodyText"/>
        <w:spacing w:before="11"/>
        <w:rPr>
          <w:sz w:val="15"/>
        </w:rPr>
      </w:pPr>
    </w:p>
    <w:p>
      <w:pPr>
        <w:tabs>
          <w:tab w:pos="829" w:val="left" w:leader="none"/>
        </w:tabs>
        <w:spacing w:line="242" w:lineRule="auto" w:before="0"/>
        <w:ind w:left="122" w:right="116" w:firstLine="0"/>
        <w:jc w:val="both"/>
        <w:rPr>
          <w:sz w:val="16"/>
        </w:rPr>
      </w:pPr>
      <w:r>
        <w:rPr>
          <w:position w:val="6"/>
          <w:sz w:val="10"/>
        </w:rPr>
        <w:t>124</w:t>
        <w:tab/>
      </w:r>
      <w:r>
        <w:rPr>
          <w:sz w:val="16"/>
        </w:rPr>
        <w:t>El</w:t>
      </w:r>
      <w:r>
        <w:rPr>
          <w:spacing w:val="-6"/>
          <w:sz w:val="16"/>
        </w:rPr>
        <w:t> </w:t>
      </w:r>
      <w:r>
        <w:rPr>
          <w:sz w:val="16"/>
        </w:rPr>
        <w:t>Estado</w:t>
      </w:r>
      <w:r>
        <w:rPr>
          <w:spacing w:val="-8"/>
          <w:sz w:val="16"/>
        </w:rPr>
        <w:t> </w:t>
      </w:r>
      <w:r>
        <w:rPr>
          <w:sz w:val="16"/>
        </w:rPr>
        <w:t>destacó</w:t>
      </w:r>
      <w:r>
        <w:rPr>
          <w:spacing w:val="-8"/>
          <w:sz w:val="16"/>
        </w:rPr>
        <w:t> </w:t>
      </w:r>
      <w:r>
        <w:rPr>
          <w:sz w:val="16"/>
        </w:rPr>
        <w:t>que</w:t>
      </w:r>
      <w:r>
        <w:rPr>
          <w:spacing w:val="-8"/>
          <w:sz w:val="16"/>
        </w:rPr>
        <w:t> </w:t>
      </w:r>
      <w:r>
        <w:rPr>
          <w:sz w:val="16"/>
        </w:rPr>
        <w:t>hay</w:t>
      </w:r>
      <w:r>
        <w:rPr>
          <w:spacing w:val="-8"/>
          <w:sz w:val="16"/>
        </w:rPr>
        <w:t> </w:t>
      </w:r>
      <w:r>
        <w:rPr>
          <w:sz w:val="16"/>
        </w:rPr>
        <w:t>“en</w:t>
      </w:r>
      <w:r>
        <w:rPr>
          <w:spacing w:val="-9"/>
          <w:sz w:val="16"/>
        </w:rPr>
        <w:t> </w:t>
      </w:r>
      <w:r>
        <w:rPr>
          <w:sz w:val="16"/>
        </w:rPr>
        <w:t>la</w:t>
      </w:r>
      <w:r>
        <w:rPr>
          <w:spacing w:val="-7"/>
          <w:sz w:val="16"/>
        </w:rPr>
        <w:t> </w:t>
      </w:r>
      <w:r>
        <w:rPr>
          <w:sz w:val="16"/>
        </w:rPr>
        <w:t>actualidad</w:t>
      </w:r>
      <w:r>
        <w:rPr>
          <w:spacing w:val="-6"/>
          <w:sz w:val="16"/>
        </w:rPr>
        <w:t> </w:t>
      </w:r>
      <w:r>
        <w:rPr>
          <w:sz w:val="16"/>
        </w:rPr>
        <w:t>miradas</w:t>
      </w:r>
      <w:r>
        <w:rPr>
          <w:spacing w:val="-8"/>
          <w:sz w:val="16"/>
        </w:rPr>
        <w:t> </w:t>
      </w:r>
      <w:r>
        <w:rPr>
          <w:sz w:val="16"/>
        </w:rPr>
        <w:t>diferentes</w:t>
      </w:r>
      <w:r>
        <w:rPr>
          <w:spacing w:val="-6"/>
          <w:sz w:val="16"/>
        </w:rPr>
        <w:t> </w:t>
      </w:r>
      <w:r>
        <w:rPr>
          <w:sz w:val="16"/>
        </w:rPr>
        <w:t>sobre</w:t>
      </w:r>
      <w:r>
        <w:rPr>
          <w:spacing w:val="-8"/>
          <w:sz w:val="16"/>
        </w:rPr>
        <w:t> </w:t>
      </w:r>
      <w:r>
        <w:rPr>
          <w:sz w:val="16"/>
        </w:rPr>
        <w:t>el</w:t>
      </w:r>
      <w:r>
        <w:rPr>
          <w:spacing w:val="-6"/>
          <w:sz w:val="16"/>
        </w:rPr>
        <w:t> </w:t>
      </w:r>
      <w:r>
        <w:rPr>
          <w:sz w:val="16"/>
        </w:rPr>
        <w:t>título</w:t>
      </w:r>
      <w:r>
        <w:rPr>
          <w:spacing w:val="-5"/>
          <w:sz w:val="16"/>
        </w:rPr>
        <w:t> </w:t>
      </w:r>
      <w:r>
        <w:rPr>
          <w:sz w:val="16"/>
        </w:rPr>
        <w:t>de</w:t>
      </w:r>
      <w:r>
        <w:rPr>
          <w:spacing w:val="-8"/>
          <w:sz w:val="16"/>
        </w:rPr>
        <w:t> </w:t>
      </w:r>
      <w:r>
        <w:rPr>
          <w:sz w:val="16"/>
        </w:rPr>
        <w:t>propiedad,</w:t>
      </w:r>
      <w:r>
        <w:rPr>
          <w:spacing w:val="-7"/>
          <w:sz w:val="16"/>
        </w:rPr>
        <w:t> </w:t>
      </w:r>
      <w:r>
        <w:rPr>
          <w:sz w:val="16"/>
        </w:rPr>
        <w:t>dado</w:t>
      </w:r>
      <w:r>
        <w:rPr>
          <w:spacing w:val="-8"/>
          <w:sz w:val="16"/>
        </w:rPr>
        <w:t> </w:t>
      </w:r>
      <w:r>
        <w:rPr>
          <w:sz w:val="16"/>
        </w:rPr>
        <w:t>que</w:t>
      </w:r>
      <w:r>
        <w:rPr>
          <w:w w:val="100"/>
          <w:sz w:val="16"/>
        </w:rPr>
        <w:t> </w:t>
      </w:r>
      <w:r>
        <w:rPr>
          <w:sz w:val="16"/>
        </w:rPr>
        <w:t>algunas [comunidades] solicitan el título único e indivisible, [y] otras quisieran que se diera un título de propiedad comunitaria por comunidad a efectos de evitar conflictos</w:t>
      </w:r>
      <w:r>
        <w:rPr>
          <w:spacing w:val="-28"/>
          <w:sz w:val="16"/>
        </w:rPr>
        <w:t> </w:t>
      </w:r>
      <w:r>
        <w:rPr>
          <w:sz w:val="16"/>
        </w:rPr>
        <w:t>futuros”.</w:t>
      </w:r>
    </w:p>
    <w:p>
      <w:pPr>
        <w:spacing w:after="0" w:line="242" w:lineRule="auto"/>
        <w:jc w:val="both"/>
        <w:rPr>
          <w:sz w:val="16"/>
        </w:rPr>
        <w:sectPr>
          <w:pgSz w:w="12240" w:h="15840"/>
          <w:pgMar w:header="0" w:footer="1000" w:top="1340" w:bottom="1200" w:left="1580" w:right="1580"/>
        </w:sectPr>
      </w:pPr>
    </w:p>
    <w:p>
      <w:pPr>
        <w:pStyle w:val="BodyText"/>
        <w:spacing w:before="76"/>
        <w:ind w:left="122" w:right="133"/>
        <w:jc w:val="both"/>
      </w:pPr>
      <w:r>
        <w:rPr/>
        <w:t>también el derecho de los campesinos a acceder a la titularización de las tierras que habitan</w:t>
      </w:r>
      <w:r>
        <w:rPr>
          <w:spacing w:val="-5"/>
        </w:rPr>
        <w:t> </w:t>
      </w:r>
      <w:r>
        <w:rPr/>
        <w:t>históricamente”</w:t>
      </w:r>
      <w:r>
        <w:rPr>
          <w:spacing w:val="-5"/>
        </w:rPr>
        <w:t> </w:t>
      </w:r>
      <w:r>
        <w:rPr/>
        <w:t>y</w:t>
      </w:r>
      <w:r>
        <w:rPr>
          <w:spacing w:val="-5"/>
        </w:rPr>
        <w:t> </w:t>
      </w:r>
      <w:r>
        <w:rPr/>
        <w:t>que</w:t>
      </w:r>
      <w:r>
        <w:rPr>
          <w:spacing w:val="-6"/>
        </w:rPr>
        <w:t> </w:t>
      </w:r>
      <w:r>
        <w:rPr/>
        <w:t>ese</w:t>
      </w:r>
      <w:r>
        <w:rPr>
          <w:spacing w:val="-6"/>
        </w:rPr>
        <w:t> </w:t>
      </w:r>
      <w:r>
        <w:rPr/>
        <w:t>derecho</w:t>
      </w:r>
      <w:r>
        <w:rPr>
          <w:spacing w:val="-5"/>
        </w:rPr>
        <w:t> </w:t>
      </w:r>
      <w:r>
        <w:rPr/>
        <w:t>“se</w:t>
      </w:r>
      <w:r>
        <w:rPr>
          <w:spacing w:val="-3"/>
        </w:rPr>
        <w:t> </w:t>
      </w:r>
      <w:r>
        <w:rPr/>
        <w:t>garantiza</w:t>
      </w:r>
      <w:r>
        <w:rPr>
          <w:spacing w:val="-6"/>
        </w:rPr>
        <w:t> </w:t>
      </w:r>
      <w:r>
        <w:rPr/>
        <w:t>atendiendo</w:t>
      </w:r>
      <w:r>
        <w:rPr>
          <w:spacing w:val="-5"/>
        </w:rPr>
        <w:t> </w:t>
      </w:r>
      <w:r>
        <w:rPr/>
        <w:t>a</w:t>
      </w:r>
      <w:r>
        <w:rPr>
          <w:spacing w:val="-4"/>
        </w:rPr>
        <w:t> </w:t>
      </w:r>
      <w:r>
        <w:rPr/>
        <w:t>las</w:t>
      </w:r>
      <w:r>
        <w:rPr>
          <w:spacing w:val="-7"/>
        </w:rPr>
        <w:t> </w:t>
      </w:r>
      <w:r>
        <w:rPr/>
        <w:t>demandas</w:t>
      </w:r>
      <w:r>
        <w:rPr>
          <w:spacing w:val="-5"/>
        </w:rPr>
        <w:t> </w:t>
      </w:r>
      <w:r>
        <w:rPr/>
        <w:t>de [las comunidades indígenas] y en total acuerdo con l[a]s</w:t>
      </w:r>
      <w:r>
        <w:rPr>
          <w:spacing w:val="-25"/>
        </w:rPr>
        <w:t> </w:t>
      </w:r>
      <w:r>
        <w:rPr/>
        <w:t>mism[a]s”.</w:t>
      </w:r>
    </w:p>
    <w:p>
      <w:pPr>
        <w:pStyle w:val="BodyText"/>
      </w:pPr>
    </w:p>
    <w:p>
      <w:pPr>
        <w:pStyle w:val="ListParagraph"/>
        <w:numPr>
          <w:ilvl w:val="0"/>
          <w:numId w:val="21"/>
        </w:numPr>
        <w:tabs>
          <w:tab w:pos="830" w:val="left" w:leader="none"/>
        </w:tabs>
        <w:spacing w:line="240" w:lineRule="auto" w:before="0" w:after="0"/>
        <w:ind w:left="122" w:right="123" w:firstLine="0"/>
        <w:jc w:val="both"/>
        <w:rPr>
          <w:sz w:val="20"/>
        </w:rPr>
      </w:pPr>
      <w:r>
        <w:rPr>
          <w:sz w:val="20"/>
        </w:rPr>
        <w:t>En</w:t>
      </w:r>
      <w:r>
        <w:rPr>
          <w:spacing w:val="-13"/>
          <w:sz w:val="20"/>
        </w:rPr>
        <w:t> </w:t>
      </w:r>
      <w:r>
        <w:rPr>
          <w:sz w:val="20"/>
        </w:rPr>
        <w:t>cuanto</w:t>
      </w:r>
      <w:r>
        <w:rPr>
          <w:spacing w:val="-14"/>
          <w:sz w:val="20"/>
        </w:rPr>
        <w:t> </w:t>
      </w:r>
      <w:r>
        <w:rPr>
          <w:sz w:val="20"/>
        </w:rPr>
        <w:t>a</w:t>
      </w:r>
      <w:r>
        <w:rPr>
          <w:spacing w:val="-13"/>
          <w:sz w:val="20"/>
        </w:rPr>
        <w:t> </w:t>
      </w:r>
      <w:r>
        <w:rPr>
          <w:sz w:val="20"/>
        </w:rPr>
        <w:t>los</w:t>
      </w:r>
      <w:r>
        <w:rPr>
          <w:spacing w:val="-14"/>
          <w:sz w:val="20"/>
        </w:rPr>
        <w:t> </w:t>
      </w:r>
      <w:r>
        <w:rPr>
          <w:sz w:val="20"/>
        </w:rPr>
        <w:t>alegatos</w:t>
      </w:r>
      <w:r>
        <w:rPr>
          <w:spacing w:val="-12"/>
          <w:sz w:val="20"/>
        </w:rPr>
        <w:t> </w:t>
      </w:r>
      <w:r>
        <w:rPr>
          <w:sz w:val="20"/>
        </w:rPr>
        <w:t>sobre</w:t>
      </w:r>
      <w:r>
        <w:rPr>
          <w:spacing w:val="-13"/>
          <w:sz w:val="20"/>
        </w:rPr>
        <w:t> </w:t>
      </w:r>
      <w:r>
        <w:rPr>
          <w:sz w:val="20"/>
        </w:rPr>
        <w:t>presunta</w:t>
      </w:r>
      <w:r>
        <w:rPr>
          <w:spacing w:val="-13"/>
          <w:sz w:val="20"/>
        </w:rPr>
        <w:t> </w:t>
      </w:r>
      <w:r>
        <w:rPr>
          <w:sz w:val="20"/>
        </w:rPr>
        <w:t>vulneración</w:t>
      </w:r>
      <w:r>
        <w:rPr>
          <w:spacing w:val="-14"/>
          <w:sz w:val="20"/>
        </w:rPr>
        <w:t> </w:t>
      </w:r>
      <w:r>
        <w:rPr>
          <w:sz w:val="20"/>
        </w:rPr>
        <w:t>al</w:t>
      </w:r>
      <w:r>
        <w:rPr>
          <w:spacing w:val="-13"/>
          <w:sz w:val="20"/>
        </w:rPr>
        <w:t> </w:t>
      </w:r>
      <w:r>
        <w:rPr>
          <w:sz w:val="20"/>
        </w:rPr>
        <w:t>derecho</w:t>
      </w:r>
      <w:r>
        <w:rPr>
          <w:spacing w:val="-14"/>
          <w:sz w:val="20"/>
        </w:rPr>
        <w:t> </w:t>
      </w:r>
      <w:r>
        <w:rPr>
          <w:sz w:val="20"/>
        </w:rPr>
        <w:t>al</w:t>
      </w:r>
      <w:r>
        <w:rPr>
          <w:spacing w:val="-11"/>
          <w:sz w:val="20"/>
        </w:rPr>
        <w:t> </w:t>
      </w:r>
      <w:r>
        <w:rPr>
          <w:sz w:val="20"/>
        </w:rPr>
        <w:t>reconocimiento de personalidad jurídica y a la libertad de asociación, Argentina explicó que el</w:t>
      </w:r>
      <w:r>
        <w:rPr>
          <w:spacing w:val="-32"/>
          <w:sz w:val="20"/>
        </w:rPr>
        <w:t> </w:t>
      </w:r>
      <w:r>
        <w:rPr>
          <w:sz w:val="20"/>
        </w:rPr>
        <w:t>Re.No.Pi. fue creado para la inscripción de organizaciones de pueblos indígenas y Lhaka Honhat nunca solicitó la inscripción. Señaló además que “la estructura organizativa actual, no [….] afecta [a Lhaka Honhat]”. Adujo Argentina que el hecho de que Salta haya reconocido a las comunidades indígenas su derecho a la propiedad comunitaria, mediante Decreto 1.498/14, así como el diálogo “permanente” de la UEP con las comunidades, denotan la falta de violación de la personalidad jurídica. En sus alegatos finales escritos, de 3 de junio de 2019, señaló que “las presuntas víctimas desde hace aproximadamente</w:t>
      </w:r>
      <w:r>
        <w:rPr>
          <w:spacing w:val="-21"/>
          <w:sz w:val="20"/>
        </w:rPr>
        <w:t> </w:t>
      </w:r>
      <w:r>
        <w:rPr>
          <w:sz w:val="20"/>
        </w:rPr>
        <w:t>diez</w:t>
      </w:r>
      <w:r>
        <w:rPr>
          <w:spacing w:val="-17"/>
          <w:sz w:val="20"/>
        </w:rPr>
        <w:t> </w:t>
      </w:r>
      <w:r>
        <w:rPr>
          <w:sz w:val="20"/>
        </w:rPr>
        <w:t>años</w:t>
      </w:r>
      <w:r>
        <w:rPr>
          <w:spacing w:val="-20"/>
          <w:sz w:val="20"/>
        </w:rPr>
        <w:t> </w:t>
      </w:r>
      <w:r>
        <w:rPr>
          <w:sz w:val="20"/>
        </w:rPr>
        <w:t>pudieron</w:t>
      </w:r>
      <w:r>
        <w:rPr>
          <w:spacing w:val="-19"/>
          <w:sz w:val="20"/>
        </w:rPr>
        <w:t> </w:t>
      </w:r>
      <w:r>
        <w:rPr>
          <w:sz w:val="20"/>
        </w:rPr>
        <w:t>inscribirse</w:t>
      </w:r>
      <w:r>
        <w:rPr>
          <w:spacing w:val="-21"/>
          <w:sz w:val="20"/>
        </w:rPr>
        <w:t> </w:t>
      </w:r>
      <w:r>
        <w:rPr>
          <w:sz w:val="20"/>
        </w:rPr>
        <w:t>adoptando</w:t>
      </w:r>
      <w:r>
        <w:rPr>
          <w:spacing w:val="-21"/>
          <w:sz w:val="20"/>
        </w:rPr>
        <w:t> </w:t>
      </w:r>
      <w:r>
        <w:rPr>
          <w:sz w:val="20"/>
        </w:rPr>
        <w:t>la</w:t>
      </w:r>
      <w:r>
        <w:rPr>
          <w:spacing w:val="-17"/>
          <w:sz w:val="20"/>
        </w:rPr>
        <w:t> </w:t>
      </w:r>
      <w:r>
        <w:rPr>
          <w:sz w:val="20"/>
        </w:rPr>
        <w:t>forma</w:t>
      </w:r>
      <w:r>
        <w:rPr>
          <w:spacing w:val="-17"/>
          <w:sz w:val="20"/>
        </w:rPr>
        <w:t> </w:t>
      </w:r>
      <w:r>
        <w:rPr>
          <w:sz w:val="20"/>
        </w:rPr>
        <w:t>organizativa</w:t>
      </w:r>
      <w:r>
        <w:rPr>
          <w:spacing w:val="-20"/>
          <w:sz w:val="20"/>
        </w:rPr>
        <w:t> </w:t>
      </w:r>
      <w:r>
        <w:rPr>
          <w:sz w:val="20"/>
        </w:rPr>
        <w:t>acorde a sus tradiciones sin necesitar organizarse a través de formas asociativas extrañas a</w:t>
      </w:r>
      <w:r>
        <w:rPr>
          <w:spacing w:val="-39"/>
          <w:sz w:val="20"/>
        </w:rPr>
        <w:t> </w:t>
      </w:r>
      <w:r>
        <w:rPr>
          <w:sz w:val="20"/>
        </w:rPr>
        <w:t>su cultura”.</w:t>
      </w:r>
    </w:p>
    <w:p>
      <w:pPr>
        <w:pStyle w:val="BodyText"/>
        <w:spacing w:before="10"/>
        <w:rPr>
          <w:sz w:val="19"/>
        </w:rPr>
      </w:pPr>
    </w:p>
    <w:p>
      <w:pPr>
        <w:pStyle w:val="Heading4"/>
        <w:numPr>
          <w:ilvl w:val="1"/>
          <w:numId w:val="24"/>
        </w:numPr>
        <w:tabs>
          <w:tab w:pos="1123" w:val="left" w:leader="none"/>
        </w:tabs>
        <w:spacing w:line="240" w:lineRule="auto" w:before="0" w:after="0"/>
        <w:ind w:left="1122" w:right="0" w:hanging="434"/>
        <w:jc w:val="left"/>
        <w:rPr>
          <w:i/>
        </w:rPr>
      </w:pPr>
      <w:bookmarkStart w:name="_bookmark38" w:id="63"/>
      <w:bookmarkEnd w:id="63"/>
      <w:r>
        <w:rPr>
          <w:b w:val="0"/>
          <w:i w:val="0"/>
        </w:rPr>
      </w:r>
      <w:bookmarkStart w:name="_bookmark38" w:id="64"/>
      <w:bookmarkEnd w:id="64"/>
      <w:r>
        <w:rPr>
          <w:i/>
        </w:rPr>
        <w:t>Co</w:t>
      </w:r>
      <w:r>
        <w:rPr>
          <w:i/>
        </w:rPr>
        <w:t>nsideraciones de la</w:t>
      </w:r>
      <w:r>
        <w:rPr>
          <w:i/>
          <w:spacing w:val="-12"/>
        </w:rPr>
        <w:t> </w:t>
      </w:r>
      <w:r>
        <w:rPr>
          <w:i/>
        </w:rPr>
        <w:t>Corte</w:t>
      </w:r>
    </w:p>
    <w:p>
      <w:pPr>
        <w:pStyle w:val="BodyText"/>
        <w:rPr>
          <w:b/>
          <w:i/>
        </w:rPr>
      </w:pPr>
    </w:p>
    <w:p>
      <w:pPr>
        <w:pStyle w:val="ListParagraph"/>
        <w:numPr>
          <w:ilvl w:val="2"/>
          <w:numId w:val="24"/>
        </w:numPr>
        <w:tabs>
          <w:tab w:pos="1709" w:val="left" w:leader="none"/>
          <w:tab w:pos="4897" w:val="left" w:leader="none"/>
          <w:tab w:pos="5997" w:val="left" w:leader="none"/>
          <w:tab w:pos="6443" w:val="left" w:leader="none"/>
          <w:tab w:pos="7784" w:val="left" w:leader="none"/>
          <w:tab w:pos="8158" w:val="left" w:leader="none"/>
        </w:tabs>
        <w:spacing w:line="240" w:lineRule="auto" w:before="0" w:after="0"/>
        <w:ind w:left="974" w:right="124" w:firstLine="0"/>
        <w:jc w:val="left"/>
        <w:rPr>
          <w:i/>
          <w:sz w:val="20"/>
        </w:rPr>
      </w:pPr>
      <w:bookmarkStart w:name="_bookmark39" w:id="65"/>
      <w:bookmarkEnd w:id="65"/>
      <w:r>
        <w:rPr/>
      </w:r>
      <w:bookmarkStart w:name="_bookmark39" w:id="66"/>
      <w:bookmarkEnd w:id="66"/>
      <w:r>
        <w:rPr>
          <w:i/>
          <w:sz w:val="20"/>
          <w:u w:val="single"/>
        </w:rPr>
        <w:t>A</w:t>
      </w:r>
      <w:r>
        <w:rPr>
          <w:i/>
          <w:sz w:val="20"/>
          <w:u w:val="single"/>
        </w:rPr>
        <w:t>claración   sobre </w:t>
      </w:r>
      <w:r>
        <w:rPr>
          <w:i/>
          <w:spacing w:val="42"/>
          <w:sz w:val="20"/>
          <w:u w:val="single"/>
        </w:rPr>
        <w:t> </w:t>
      </w:r>
      <w:r>
        <w:rPr>
          <w:i/>
          <w:sz w:val="20"/>
          <w:u w:val="single"/>
        </w:rPr>
        <w:t>los </w:t>
      </w:r>
      <w:r>
        <w:rPr>
          <w:i/>
          <w:spacing w:val="56"/>
          <w:sz w:val="20"/>
          <w:u w:val="single"/>
        </w:rPr>
        <w:t> </w:t>
      </w:r>
      <w:r>
        <w:rPr>
          <w:i/>
          <w:sz w:val="20"/>
          <w:u w:val="single"/>
        </w:rPr>
        <w:t>actos</w:t>
        <w:tab/>
        <w:t>estatales</w:t>
        <w:tab/>
        <w:t>en</w:t>
        <w:tab/>
        <w:t>el </w:t>
      </w:r>
      <w:r>
        <w:rPr>
          <w:i/>
          <w:spacing w:val="57"/>
          <w:sz w:val="20"/>
          <w:u w:val="single"/>
        </w:rPr>
        <w:t> </w:t>
      </w:r>
      <w:r>
        <w:rPr>
          <w:i/>
          <w:sz w:val="20"/>
          <w:u w:val="single"/>
        </w:rPr>
        <w:t>caso </w:t>
      </w:r>
      <w:r>
        <w:rPr>
          <w:i/>
          <w:spacing w:val="57"/>
          <w:sz w:val="20"/>
          <w:u w:val="single"/>
        </w:rPr>
        <w:t> </w:t>
      </w:r>
      <w:r>
        <w:rPr>
          <w:i/>
          <w:sz w:val="20"/>
          <w:u w:val="single"/>
        </w:rPr>
        <w:t>y</w:t>
        <w:tab/>
        <w:t>el</w:t>
        <w:tab/>
      </w:r>
      <w:r>
        <w:rPr>
          <w:i/>
          <w:w w:val="95"/>
          <w:sz w:val="20"/>
          <w:u w:val="single"/>
        </w:rPr>
        <w:t>examen </w:t>
      </w:r>
      <w:r>
        <w:rPr>
          <w:i/>
          <w:sz w:val="20"/>
          <w:u w:val="single"/>
        </w:rPr>
        <w:t>correspondiente</w:t>
      </w:r>
    </w:p>
    <w:p>
      <w:pPr>
        <w:pStyle w:val="BodyText"/>
        <w:spacing w:before="10"/>
        <w:rPr>
          <w:i/>
          <w:sz w:val="11"/>
        </w:rPr>
      </w:pPr>
    </w:p>
    <w:p>
      <w:pPr>
        <w:pStyle w:val="ListParagraph"/>
        <w:numPr>
          <w:ilvl w:val="0"/>
          <w:numId w:val="21"/>
        </w:numPr>
        <w:tabs>
          <w:tab w:pos="830" w:val="left" w:leader="none"/>
        </w:tabs>
        <w:spacing w:line="240" w:lineRule="auto" w:before="99" w:after="0"/>
        <w:ind w:left="122" w:right="122" w:firstLine="0"/>
        <w:jc w:val="both"/>
        <w:rPr>
          <w:sz w:val="20"/>
        </w:rPr>
      </w:pPr>
      <w:r>
        <w:rPr>
          <w:sz w:val="20"/>
        </w:rPr>
        <w:t>Se</w:t>
      </w:r>
      <w:r>
        <w:rPr>
          <w:spacing w:val="-11"/>
          <w:sz w:val="20"/>
        </w:rPr>
        <w:t> </w:t>
      </w:r>
      <w:r>
        <w:rPr>
          <w:sz w:val="20"/>
        </w:rPr>
        <w:t>ha</w:t>
      </w:r>
      <w:r>
        <w:rPr>
          <w:spacing w:val="-10"/>
          <w:sz w:val="20"/>
        </w:rPr>
        <w:t> </w:t>
      </w:r>
      <w:r>
        <w:rPr>
          <w:sz w:val="20"/>
        </w:rPr>
        <w:t>dejado</w:t>
      </w:r>
      <w:r>
        <w:rPr>
          <w:spacing w:val="-9"/>
          <w:sz w:val="20"/>
        </w:rPr>
        <w:t> </w:t>
      </w:r>
      <w:r>
        <w:rPr>
          <w:sz w:val="20"/>
        </w:rPr>
        <w:t>sentado</w:t>
      </w:r>
      <w:r>
        <w:rPr>
          <w:spacing w:val="-11"/>
          <w:sz w:val="20"/>
        </w:rPr>
        <w:t> </w:t>
      </w:r>
      <w:r>
        <w:rPr>
          <w:sz w:val="20"/>
        </w:rPr>
        <w:t>que</w:t>
      </w:r>
      <w:r>
        <w:rPr>
          <w:spacing w:val="-12"/>
          <w:sz w:val="20"/>
        </w:rPr>
        <w:t> </w:t>
      </w:r>
      <w:r>
        <w:rPr>
          <w:sz w:val="20"/>
        </w:rPr>
        <w:t>el</w:t>
      </w:r>
      <w:r>
        <w:rPr>
          <w:spacing w:val="-8"/>
          <w:sz w:val="20"/>
        </w:rPr>
        <w:t> </w:t>
      </w:r>
      <w:r>
        <w:rPr>
          <w:sz w:val="20"/>
        </w:rPr>
        <w:t>derecho</w:t>
      </w:r>
      <w:r>
        <w:rPr>
          <w:spacing w:val="-9"/>
          <w:sz w:val="20"/>
        </w:rPr>
        <w:t> </w:t>
      </w:r>
      <w:r>
        <w:rPr>
          <w:sz w:val="20"/>
        </w:rPr>
        <w:t>de</w:t>
      </w:r>
      <w:r>
        <w:rPr>
          <w:spacing w:val="-9"/>
          <w:sz w:val="20"/>
        </w:rPr>
        <w:t> </w:t>
      </w:r>
      <w:r>
        <w:rPr>
          <w:sz w:val="20"/>
        </w:rPr>
        <w:t>propiedad</w:t>
      </w:r>
      <w:r>
        <w:rPr>
          <w:spacing w:val="-10"/>
          <w:sz w:val="20"/>
        </w:rPr>
        <w:t> </w:t>
      </w:r>
      <w:r>
        <w:rPr>
          <w:sz w:val="20"/>
        </w:rPr>
        <w:t>de</w:t>
      </w:r>
      <w:r>
        <w:rPr>
          <w:spacing w:val="-12"/>
          <w:sz w:val="20"/>
        </w:rPr>
        <w:t> </w:t>
      </w:r>
      <w:r>
        <w:rPr>
          <w:sz w:val="20"/>
        </w:rPr>
        <w:t>las</w:t>
      </w:r>
      <w:r>
        <w:rPr>
          <w:spacing w:val="-11"/>
          <w:sz w:val="20"/>
        </w:rPr>
        <w:t> </w:t>
      </w:r>
      <w:r>
        <w:rPr>
          <w:sz w:val="20"/>
        </w:rPr>
        <w:t>comunidades</w:t>
      </w:r>
      <w:r>
        <w:rPr>
          <w:spacing w:val="-9"/>
          <w:sz w:val="20"/>
        </w:rPr>
        <w:t> </w:t>
      </w:r>
      <w:r>
        <w:rPr>
          <w:sz w:val="20"/>
        </w:rPr>
        <w:t>indígenas sobre</w:t>
      </w:r>
      <w:r>
        <w:rPr>
          <w:spacing w:val="-8"/>
          <w:sz w:val="20"/>
        </w:rPr>
        <w:t> </w:t>
      </w:r>
      <w:r>
        <w:rPr>
          <w:sz w:val="20"/>
        </w:rPr>
        <w:t>su</w:t>
      </w:r>
      <w:r>
        <w:rPr>
          <w:spacing w:val="-6"/>
          <w:sz w:val="20"/>
        </w:rPr>
        <w:t> </w:t>
      </w:r>
      <w:r>
        <w:rPr>
          <w:sz w:val="20"/>
        </w:rPr>
        <w:t>territorio</w:t>
      </w:r>
      <w:r>
        <w:rPr>
          <w:spacing w:val="-8"/>
          <w:sz w:val="20"/>
        </w:rPr>
        <w:t> </w:t>
      </w:r>
      <w:r>
        <w:rPr>
          <w:sz w:val="20"/>
        </w:rPr>
        <w:t>ancestral</w:t>
      </w:r>
      <w:r>
        <w:rPr>
          <w:spacing w:val="-6"/>
          <w:sz w:val="20"/>
        </w:rPr>
        <w:t> </w:t>
      </w:r>
      <w:r>
        <w:rPr>
          <w:sz w:val="20"/>
        </w:rPr>
        <w:t>no</w:t>
      </w:r>
      <w:r>
        <w:rPr>
          <w:spacing w:val="-8"/>
          <w:sz w:val="20"/>
        </w:rPr>
        <w:t> </w:t>
      </w:r>
      <w:r>
        <w:rPr>
          <w:sz w:val="20"/>
        </w:rPr>
        <w:t>está</w:t>
      </w:r>
      <w:r>
        <w:rPr>
          <w:spacing w:val="-4"/>
          <w:sz w:val="20"/>
        </w:rPr>
        <w:t> </w:t>
      </w:r>
      <w:r>
        <w:rPr>
          <w:sz w:val="20"/>
        </w:rPr>
        <w:t>en</w:t>
      </w:r>
      <w:r>
        <w:rPr>
          <w:spacing w:val="-6"/>
          <w:sz w:val="20"/>
        </w:rPr>
        <w:t> </w:t>
      </w:r>
      <w:r>
        <w:rPr>
          <w:sz w:val="20"/>
        </w:rPr>
        <w:t>discusión</w:t>
      </w:r>
      <w:r>
        <w:rPr>
          <w:spacing w:val="-4"/>
          <w:sz w:val="20"/>
        </w:rPr>
        <w:t> </w:t>
      </w:r>
      <w:r>
        <w:rPr>
          <w:sz w:val="20"/>
        </w:rPr>
        <w:t>y</w:t>
      </w:r>
      <w:r>
        <w:rPr>
          <w:spacing w:val="-7"/>
          <w:sz w:val="20"/>
        </w:rPr>
        <w:t> </w:t>
      </w:r>
      <w:r>
        <w:rPr>
          <w:sz w:val="20"/>
        </w:rPr>
        <w:t>ha</w:t>
      </w:r>
      <w:r>
        <w:rPr>
          <w:spacing w:val="-6"/>
          <w:sz w:val="20"/>
        </w:rPr>
        <w:t> </w:t>
      </w:r>
      <w:r>
        <w:rPr>
          <w:sz w:val="20"/>
        </w:rPr>
        <w:t>sido</w:t>
      </w:r>
      <w:r>
        <w:rPr>
          <w:spacing w:val="-8"/>
          <w:sz w:val="20"/>
        </w:rPr>
        <w:t> </w:t>
      </w:r>
      <w:r>
        <w:rPr>
          <w:sz w:val="20"/>
        </w:rPr>
        <w:t>reconocido</w:t>
      </w:r>
      <w:r>
        <w:rPr>
          <w:spacing w:val="-5"/>
          <w:sz w:val="20"/>
        </w:rPr>
        <w:t> </w:t>
      </w:r>
      <w:r>
        <w:rPr>
          <w:sz w:val="20"/>
        </w:rPr>
        <w:t>en</w:t>
      </w:r>
      <w:r>
        <w:rPr>
          <w:spacing w:val="3"/>
          <w:sz w:val="20"/>
        </w:rPr>
        <w:t> </w:t>
      </w:r>
      <w:r>
        <w:rPr>
          <w:sz w:val="20"/>
        </w:rPr>
        <w:t>distintos</w:t>
      </w:r>
      <w:r>
        <w:rPr>
          <w:spacing w:val="-7"/>
          <w:sz w:val="20"/>
        </w:rPr>
        <w:t> </w:t>
      </w:r>
      <w:r>
        <w:rPr>
          <w:sz w:val="20"/>
        </w:rPr>
        <w:t>actos estatales (</w:t>
      </w:r>
      <w:r>
        <w:rPr>
          <w:i/>
          <w:sz w:val="20"/>
        </w:rPr>
        <w:t>supra </w:t>
      </w:r>
      <w:r>
        <w:rPr>
          <w:sz w:val="20"/>
        </w:rPr>
        <w:t>párr. 89). Ello, además, será detallado más adelante (</w:t>
      </w:r>
      <w:r>
        <w:rPr>
          <w:i/>
          <w:sz w:val="20"/>
        </w:rPr>
        <w:t>infra </w:t>
      </w:r>
      <w:r>
        <w:rPr>
          <w:sz w:val="20"/>
        </w:rPr>
        <w:t>párrs. 130, 145, 146, 149, 156 y 167). La cuestión que la </w:t>
      </w:r>
      <w:r>
        <w:rPr>
          <w:b/>
          <w:i/>
          <w:sz w:val="20"/>
        </w:rPr>
        <w:t>Corte </w:t>
      </w:r>
      <w:r>
        <w:rPr>
          <w:sz w:val="20"/>
        </w:rPr>
        <w:t>debe determinar es si la conducta estatal seguida en el caso ha brindado seguridad jurídica adecuada al derecho de propiedad</w:t>
      </w:r>
      <w:r>
        <w:rPr>
          <w:spacing w:val="-14"/>
          <w:sz w:val="20"/>
        </w:rPr>
        <w:t> </w:t>
      </w:r>
      <w:r>
        <w:rPr>
          <w:sz w:val="20"/>
        </w:rPr>
        <w:t>comunitaria</w:t>
      </w:r>
      <w:r>
        <w:rPr>
          <w:spacing w:val="-12"/>
          <w:sz w:val="20"/>
        </w:rPr>
        <w:t> </w:t>
      </w:r>
      <w:r>
        <w:rPr>
          <w:sz w:val="20"/>
        </w:rPr>
        <w:t>y</w:t>
      </w:r>
      <w:r>
        <w:rPr>
          <w:spacing w:val="-13"/>
          <w:sz w:val="20"/>
        </w:rPr>
        <w:t> </w:t>
      </w:r>
      <w:r>
        <w:rPr>
          <w:sz w:val="20"/>
        </w:rPr>
        <w:t>si</w:t>
      </w:r>
      <w:r>
        <w:rPr>
          <w:spacing w:val="-12"/>
          <w:sz w:val="20"/>
        </w:rPr>
        <w:t> </w:t>
      </w:r>
      <w:r>
        <w:rPr>
          <w:sz w:val="20"/>
        </w:rPr>
        <w:t>ha</w:t>
      </w:r>
      <w:r>
        <w:rPr>
          <w:spacing w:val="-12"/>
          <w:sz w:val="20"/>
        </w:rPr>
        <w:t> </w:t>
      </w:r>
      <w:r>
        <w:rPr>
          <w:sz w:val="20"/>
        </w:rPr>
        <w:t>permitido</w:t>
      </w:r>
      <w:r>
        <w:rPr>
          <w:spacing w:val="-14"/>
          <w:sz w:val="20"/>
        </w:rPr>
        <w:t> </w:t>
      </w:r>
      <w:r>
        <w:rPr>
          <w:sz w:val="20"/>
        </w:rPr>
        <w:t>el</w:t>
      </w:r>
      <w:r>
        <w:rPr>
          <w:spacing w:val="-13"/>
          <w:sz w:val="20"/>
        </w:rPr>
        <w:t> </w:t>
      </w:r>
      <w:r>
        <w:rPr>
          <w:sz w:val="20"/>
        </w:rPr>
        <w:t>libre</w:t>
      </w:r>
      <w:r>
        <w:rPr>
          <w:spacing w:val="-14"/>
          <w:sz w:val="20"/>
        </w:rPr>
        <w:t> </w:t>
      </w:r>
      <w:r>
        <w:rPr>
          <w:sz w:val="20"/>
        </w:rPr>
        <w:t>ejercicio</w:t>
      </w:r>
      <w:r>
        <w:rPr>
          <w:spacing w:val="-14"/>
          <w:sz w:val="20"/>
        </w:rPr>
        <w:t> </w:t>
      </w:r>
      <w:r>
        <w:rPr>
          <w:sz w:val="20"/>
        </w:rPr>
        <w:t>y</w:t>
      </w:r>
      <w:r>
        <w:rPr>
          <w:spacing w:val="-13"/>
          <w:sz w:val="20"/>
        </w:rPr>
        <w:t> </w:t>
      </w:r>
      <w:r>
        <w:rPr>
          <w:sz w:val="20"/>
        </w:rPr>
        <w:t>goce</w:t>
      </w:r>
      <w:r>
        <w:rPr>
          <w:spacing w:val="-14"/>
          <w:sz w:val="20"/>
        </w:rPr>
        <w:t> </w:t>
      </w:r>
      <w:r>
        <w:rPr>
          <w:sz w:val="20"/>
        </w:rPr>
        <w:t>de</w:t>
      </w:r>
      <w:r>
        <w:rPr>
          <w:spacing w:val="-14"/>
          <w:sz w:val="20"/>
        </w:rPr>
        <w:t> </w:t>
      </w:r>
      <w:r>
        <w:rPr>
          <w:sz w:val="20"/>
        </w:rPr>
        <w:t>ese</w:t>
      </w:r>
      <w:r>
        <w:rPr>
          <w:spacing w:val="-16"/>
          <w:sz w:val="20"/>
        </w:rPr>
        <w:t> </w:t>
      </w:r>
      <w:r>
        <w:rPr>
          <w:sz w:val="20"/>
        </w:rPr>
        <w:t>derecho</w:t>
      </w:r>
      <w:r>
        <w:rPr>
          <w:spacing w:val="-13"/>
          <w:sz w:val="20"/>
        </w:rPr>
        <w:t> </w:t>
      </w:r>
      <w:r>
        <w:rPr>
          <w:sz w:val="20"/>
        </w:rPr>
        <w:t>por</w:t>
      </w:r>
      <w:r>
        <w:rPr>
          <w:spacing w:val="-16"/>
          <w:sz w:val="20"/>
        </w:rPr>
        <w:t> </w:t>
      </w:r>
      <w:r>
        <w:rPr>
          <w:sz w:val="20"/>
        </w:rPr>
        <w:t>parte de las comunidades</w:t>
      </w:r>
      <w:r>
        <w:rPr>
          <w:spacing w:val="-14"/>
          <w:sz w:val="20"/>
        </w:rPr>
        <w:t> </w:t>
      </w:r>
      <w:r>
        <w:rPr>
          <w:sz w:val="20"/>
        </w:rPr>
        <w:t>indígenas.</w:t>
      </w:r>
    </w:p>
    <w:p>
      <w:pPr>
        <w:pStyle w:val="BodyText"/>
      </w:pPr>
    </w:p>
    <w:p>
      <w:pPr>
        <w:pStyle w:val="ListParagraph"/>
        <w:numPr>
          <w:ilvl w:val="0"/>
          <w:numId w:val="21"/>
        </w:numPr>
        <w:tabs>
          <w:tab w:pos="830" w:val="left" w:leader="none"/>
        </w:tabs>
        <w:spacing w:line="242" w:lineRule="auto" w:before="1" w:after="0"/>
        <w:ind w:left="122" w:right="121" w:firstLine="0"/>
        <w:jc w:val="both"/>
        <w:rPr>
          <w:sz w:val="20"/>
        </w:rPr>
      </w:pPr>
      <w:r>
        <w:rPr>
          <w:sz w:val="20"/>
        </w:rPr>
        <w:t>Al respecto, de conformidad con las pautas ya indicadas (</w:t>
      </w:r>
      <w:r>
        <w:rPr>
          <w:i/>
          <w:sz w:val="20"/>
        </w:rPr>
        <w:t>supra </w:t>
      </w:r>
      <w:r>
        <w:rPr>
          <w:sz w:val="20"/>
        </w:rPr>
        <w:t>párrs. 93 a 98), la Corte ha indicado que las comunidades indígenas tienen derecho al otorgamiento de un “título de propiedad formal, u otra forma similar de reconocimiento estatal, que otorgue seguridad jurídica a la tenencia indígena de la tierra frente a la acción de terceros o de los agentes del propio Estado”</w:t>
      </w:r>
      <w:r>
        <w:rPr>
          <w:rFonts w:ascii="Calibri" w:hAnsi="Calibri"/>
          <w:position w:val="8"/>
          <w:sz w:val="14"/>
        </w:rPr>
        <w:t>125</w:t>
      </w:r>
      <w:r>
        <w:rPr>
          <w:sz w:val="20"/>
        </w:rPr>
        <w:t>. En este marco, deben reconocerse las formas y modalidades diversas y específicas de control, propiedad, uso y goce de los territorios</w:t>
      </w:r>
      <w:r>
        <w:rPr>
          <w:spacing w:val="-16"/>
          <w:sz w:val="20"/>
        </w:rPr>
        <w:t> </w:t>
      </w:r>
      <w:r>
        <w:rPr>
          <w:sz w:val="20"/>
        </w:rPr>
        <w:t>por</w:t>
      </w:r>
      <w:r>
        <w:rPr>
          <w:spacing w:val="-16"/>
          <w:sz w:val="20"/>
        </w:rPr>
        <w:t> </w:t>
      </w:r>
      <w:r>
        <w:rPr>
          <w:sz w:val="20"/>
        </w:rPr>
        <w:t>parte</w:t>
      </w:r>
      <w:r>
        <w:rPr>
          <w:spacing w:val="-17"/>
          <w:sz w:val="20"/>
        </w:rPr>
        <w:t> </w:t>
      </w:r>
      <w:r>
        <w:rPr>
          <w:sz w:val="20"/>
        </w:rPr>
        <w:t>de</w:t>
      </w:r>
      <w:r>
        <w:rPr>
          <w:spacing w:val="-17"/>
          <w:sz w:val="20"/>
        </w:rPr>
        <w:t> </w:t>
      </w:r>
      <w:r>
        <w:rPr>
          <w:sz w:val="20"/>
        </w:rPr>
        <w:t>las</w:t>
      </w:r>
      <w:r>
        <w:rPr>
          <w:spacing w:val="-16"/>
          <w:sz w:val="20"/>
        </w:rPr>
        <w:t> </w:t>
      </w:r>
      <w:r>
        <w:rPr>
          <w:sz w:val="20"/>
        </w:rPr>
        <w:t>comunidades</w:t>
      </w:r>
      <w:r>
        <w:rPr>
          <w:rFonts w:ascii="Calibri" w:hAnsi="Calibri"/>
          <w:position w:val="8"/>
          <w:sz w:val="14"/>
        </w:rPr>
        <w:t>126</w:t>
      </w:r>
      <w:r>
        <w:rPr>
          <w:sz w:val="20"/>
        </w:rPr>
        <w:t>,</w:t>
      </w:r>
      <w:r>
        <w:rPr>
          <w:spacing w:val="-18"/>
          <w:sz w:val="20"/>
        </w:rPr>
        <w:t> </w:t>
      </w:r>
      <w:r>
        <w:rPr>
          <w:sz w:val="20"/>
        </w:rPr>
        <w:t>sin</w:t>
      </w:r>
      <w:r>
        <w:rPr>
          <w:spacing w:val="-14"/>
          <w:sz w:val="20"/>
        </w:rPr>
        <w:t> </w:t>
      </w:r>
      <w:r>
        <w:rPr>
          <w:sz w:val="20"/>
        </w:rPr>
        <w:t>interferencia</w:t>
      </w:r>
      <w:r>
        <w:rPr>
          <w:spacing w:val="-15"/>
          <w:sz w:val="20"/>
        </w:rPr>
        <w:t> </w:t>
      </w:r>
      <w:r>
        <w:rPr>
          <w:sz w:val="20"/>
        </w:rPr>
        <w:t>de</w:t>
      </w:r>
      <w:r>
        <w:rPr>
          <w:spacing w:val="-17"/>
          <w:sz w:val="20"/>
        </w:rPr>
        <w:t> </w:t>
      </w:r>
      <w:r>
        <w:rPr>
          <w:sz w:val="20"/>
        </w:rPr>
        <w:t>terceros</w:t>
      </w:r>
      <w:r>
        <w:rPr>
          <w:spacing w:val="-18"/>
          <w:sz w:val="20"/>
        </w:rPr>
        <w:t> </w:t>
      </w:r>
      <w:r>
        <w:rPr>
          <w:sz w:val="20"/>
        </w:rPr>
        <w:t>(</w:t>
      </w:r>
      <w:r>
        <w:rPr>
          <w:i/>
          <w:sz w:val="20"/>
        </w:rPr>
        <w:t>supra</w:t>
      </w:r>
      <w:r>
        <w:rPr>
          <w:i/>
          <w:spacing w:val="-16"/>
          <w:sz w:val="20"/>
        </w:rPr>
        <w:t> </w:t>
      </w:r>
      <w:r>
        <w:rPr>
          <w:sz w:val="20"/>
        </w:rPr>
        <w:t>párr.</w:t>
      </w:r>
      <w:r>
        <w:rPr>
          <w:spacing w:val="-15"/>
          <w:sz w:val="20"/>
        </w:rPr>
        <w:t> </w:t>
      </w:r>
      <w:r>
        <w:rPr>
          <w:sz w:val="20"/>
        </w:rPr>
        <w:t>98).</w:t>
      </w:r>
    </w:p>
    <w:p>
      <w:pPr>
        <w:pStyle w:val="BodyText"/>
        <w:spacing w:before="3"/>
        <w:rPr>
          <w:sz w:val="21"/>
        </w:rPr>
      </w:pPr>
    </w:p>
    <w:p>
      <w:pPr>
        <w:pStyle w:val="ListParagraph"/>
        <w:numPr>
          <w:ilvl w:val="0"/>
          <w:numId w:val="21"/>
        </w:numPr>
        <w:tabs>
          <w:tab w:pos="830" w:val="left" w:leader="none"/>
        </w:tabs>
        <w:spacing w:line="240" w:lineRule="auto" w:before="0" w:after="0"/>
        <w:ind w:left="122" w:right="122" w:firstLine="0"/>
        <w:jc w:val="both"/>
        <w:rPr>
          <w:sz w:val="20"/>
        </w:rPr>
      </w:pPr>
      <w:r>
        <w:rPr>
          <w:sz w:val="20"/>
        </w:rPr>
        <w:t>Como se ha expresado (</w:t>
      </w:r>
      <w:r>
        <w:rPr>
          <w:i/>
          <w:sz w:val="20"/>
        </w:rPr>
        <w:t>supra </w:t>
      </w:r>
      <w:r>
        <w:rPr>
          <w:sz w:val="20"/>
        </w:rPr>
        <w:t>párr. 97), para materializar los derechos territoriales de los pueblos indígenas cobijados por el artículo 21 de la Convención, los Estados deben prever un mecanismo efectivo, mediante la adopción de medidas legislativas</w:t>
      </w:r>
      <w:r>
        <w:rPr>
          <w:spacing w:val="-18"/>
          <w:sz w:val="20"/>
        </w:rPr>
        <w:t> </w:t>
      </w:r>
      <w:r>
        <w:rPr>
          <w:sz w:val="20"/>
        </w:rPr>
        <w:t>y</w:t>
      </w:r>
      <w:r>
        <w:rPr>
          <w:spacing w:val="-19"/>
          <w:sz w:val="20"/>
        </w:rPr>
        <w:t> </w:t>
      </w:r>
      <w:r>
        <w:rPr>
          <w:sz w:val="20"/>
        </w:rPr>
        <w:t>administrativas</w:t>
      </w:r>
      <w:r>
        <w:rPr>
          <w:spacing w:val="-19"/>
          <w:sz w:val="20"/>
        </w:rPr>
        <w:t> </w:t>
      </w:r>
      <w:r>
        <w:rPr>
          <w:sz w:val="20"/>
        </w:rPr>
        <w:t>necesarias.</w:t>
      </w:r>
      <w:r>
        <w:rPr>
          <w:spacing w:val="-19"/>
          <w:sz w:val="20"/>
        </w:rPr>
        <w:t> </w:t>
      </w:r>
      <w:r>
        <w:rPr>
          <w:sz w:val="20"/>
        </w:rPr>
        <w:t>Los</w:t>
      </w:r>
      <w:r>
        <w:rPr>
          <w:spacing w:val="-19"/>
          <w:sz w:val="20"/>
        </w:rPr>
        <w:t> </w:t>
      </w:r>
      <w:r>
        <w:rPr>
          <w:sz w:val="20"/>
        </w:rPr>
        <w:t>mismos</w:t>
      </w:r>
      <w:r>
        <w:rPr>
          <w:spacing w:val="-13"/>
          <w:sz w:val="20"/>
        </w:rPr>
        <w:t> </w:t>
      </w:r>
      <w:r>
        <w:rPr>
          <w:sz w:val="20"/>
        </w:rPr>
        <w:t>deben</w:t>
      </w:r>
      <w:r>
        <w:rPr>
          <w:spacing w:val="-19"/>
          <w:sz w:val="20"/>
        </w:rPr>
        <w:t> </w:t>
      </w:r>
      <w:r>
        <w:rPr>
          <w:sz w:val="20"/>
        </w:rPr>
        <w:t>cumplir</w:t>
      </w:r>
      <w:r>
        <w:rPr>
          <w:spacing w:val="-20"/>
          <w:sz w:val="20"/>
        </w:rPr>
        <w:t> </w:t>
      </w:r>
      <w:r>
        <w:rPr>
          <w:sz w:val="20"/>
        </w:rPr>
        <w:t>las</w:t>
      </w:r>
      <w:r>
        <w:rPr>
          <w:spacing w:val="-18"/>
          <w:sz w:val="20"/>
        </w:rPr>
        <w:t> </w:t>
      </w:r>
      <w:r>
        <w:rPr>
          <w:sz w:val="20"/>
        </w:rPr>
        <w:t>reglas</w:t>
      </w:r>
      <w:r>
        <w:rPr>
          <w:spacing w:val="-18"/>
          <w:sz w:val="20"/>
        </w:rPr>
        <w:t> </w:t>
      </w:r>
      <w:r>
        <w:rPr>
          <w:sz w:val="20"/>
        </w:rPr>
        <w:t>del</w:t>
      </w:r>
      <w:r>
        <w:rPr>
          <w:spacing w:val="-19"/>
          <w:sz w:val="20"/>
        </w:rPr>
        <w:t> </w:t>
      </w:r>
      <w:r>
        <w:rPr>
          <w:sz w:val="20"/>
        </w:rPr>
        <w:t>debido proceso</w:t>
      </w:r>
      <w:r>
        <w:rPr>
          <w:spacing w:val="21"/>
          <w:sz w:val="20"/>
        </w:rPr>
        <w:t> </w:t>
      </w:r>
      <w:r>
        <w:rPr>
          <w:sz w:val="20"/>
        </w:rPr>
        <w:t>legal</w:t>
      </w:r>
      <w:r>
        <w:rPr>
          <w:spacing w:val="24"/>
          <w:sz w:val="20"/>
        </w:rPr>
        <w:t> </w:t>
      </w:r>
      <w:r>
        <w:rPr>
          <w:sz w:val="20"/>
        </w:rPr>
        <w:t>consagradas</w:t>
      </w:r>
      <w:r>
        <w:rPr>
          <w:spacing w:val="23"/>
          <w:sz w:val="20"/>
        </w:rPr>
        <w:t> </w:t>
      </w:r>
      <w:r>
        <w:rPr>
          <w:sz w:val="20"/>
        </w:rPr>
        <w:t>en</w:t>
      </w:r>
      <w:r>
        <w:rPr>
          <w:spacing w:val="22"/>
          <w:sz w:val="20"/>
        </w:rPr>
        <w:t> </w:t>
      </w:r>
      <w:r>
        <w:rPr>
          <w:sz w:val="20"/>
        </w:rPr>
        <w:t>los</w:t>
      </w:r>
      <w:r>
        <w:rPr>
          <w:spacing w:val="20"/>
          <w:sz w:val="20"/>
        </w:rPr>
        <w:t> </w:t>
      </w:r>
      <w:r>
        <w:rPr>
          <w:sz w:val="20"/>
        </w:rPr>
        <w:t>artículos</w:t>
      </w:r>
      <w:r>
        <w:rPr>
          <w:spacing w:val="20"/>
          <w:sz w:val="20"/>
        </w:rPr>
        <w:t> </w:t>
      </w:r>
      <w:r>
        <w:rPr>
          <w:sz w:val="20"/>
        </w:rPr>
        <w:t>8</w:t>
      </w:r>
      <w:r>
        <w:rPr>
          <w:spacing w:val="23"/>
          <w:sz w:val="20"/>
        </w:rPr>
        <w:t> </w:t>
      </w:r>
      <w:r>
        <w:rPr>
          <w:sz w:val="20"/>
        </w:rPr>
        <w:t>y</w:t>
      </w:r>
      <w:r>
        <w:rPr>
          <w:spacing w:val="22"/>
          <w:sz w:val="20"/>
        </w:rPr>
        <w:t> </w:t>
      </w:r>
      <w:r>
        <w:rPr>
          <w:sz w:val="20"/>
        </w:rPr>
        <w:t>25</w:t>
      </w:r>
      <w:r>
        <w:rPr>
          <w:spacing w:val="21"/>
          <w:sz w:val="20"/>
        </w:rPr>
        <w:t> </w:t>
      </w:r>
      <w:r>
        <w:rPr>
          <w:sz w:val="20"/>
        </w:rPr>
        <w:t>de</w:t>
      </w:r>
      <w:r>
        <w:rPr>
          <w:spacing w:val="19"/>
          <w:sz w:val="20"/>
        </w:rPr>
        <w:t> </w:t>
      </w:r>
      <w:r>
        <w:rPr>
          <w:sz w:val="20"/>
        </w:rPr>
        <w:t>la</w:t>
      </w:r>
      <w:r>
        <w:rPr>
          <w:spacing w:val="23"/>
          <w:sz w:val="20"/>
        </w:rPr>
        <w:t> </w:t>
      </w:r>
      <w:r>
        <w:rPr>
          <w:sz w:val="20"/>
        </w:rPr>
        <w:t>Convención</w:t>
      </w:r>
      <w:r>
        <w:rPr>
          <w:spacing w:val="22"/>
          <w:sz w:val="20"/>
        </w:rPr>
        <w:t> </w:t>
      </w:r>
      <w:r>
        <w:rPr>
          <w:sz w:val="20"/>
        </w:rPr>
        <w:t>Americana</w:t>
      </w:r>
      <w:r>
        <w:rPr>
          <w:position w:val="7"/>
          <w:sz w:val="13"/>
        </w:rPr>
        <w:t>127</w:t>
      </w:r>
      <w:r>
        <w:rPr>
          <w:sz w:val="20"/>
        </w:rPr>
        <w:t>.</w:t>
      </w:r>
      <w:r>
        <w:rPr>
          <w:spacing w:val="20"/>
          <w:sz w:val="20"/>
        </w:rPr>
        <w:t> </w:t>
      </w:r>
      <w:r>
        <w:rPr>
          <w:spacing w:val="3"/>
          <w:sz w:val="20"/>
        </w:rPr>
        <w:t>En</w:t>
      </w:r>
    </w:p>
    <w:p>
      <w:pPr>
        <w:pStyle w:val="BodyText"/>
        <w:spacing w:before="2"/>
        <w:rPr>
          <w:sz w:val="17"/>
        </w:rPr>
      </w:pPr>
      <w:r>
        <w:rPr/>
        <w:pict>
          <v:line style="position:absolute;mso-position-horizontal-relative:page;mso-position-vertical-relative:paragraph;z-index:2008;mso-wrap-distance-left:0;mso-wrap-distance-right:0" from="85.103996pt,12.792725pt" to="229.123996pt,12.792725pt" stroked="true" strokeweight=".71997pt" strokecolor="#000000">
            <v:stroke dashstyle="solid"/>
            <w10:wrap type="topAndBottom"/>
          </v:line>
        </w:pict>
      </w:r>
    </w:p>
    <w:p>
      <w:pPr>
        <w:tabs>
          <w:tab w:pos="829" w:val="left" w:leader="none"/>
        </w:tabs>
        <w:spacing w:before="71"/>
        <w:ind w:left="122" w:right="116" w:firstLine="0"/>
        <w:jc w:val="both"/>
        <w:rPr>
          <w:sz w:val="16"/>
        </w:rPr>
      </w:pPr>
      <w:r>
        <w:rPr>
          <w:position w:val="6"/>
          <w:sz w:val="10"/>
        </w:rPr>
        <w:t>125</w:t>
        <w:tab/>
      </w:r>
      <w:r>
        <w:rPr>
          <w:i/>
          <w:sz w:val="16"/>
        </w:rPr>
        <w:t>Caso Comunidad Indígena Yakye Axa Vs. Paraguay</w:t>
      </w:r>
      <w:r>
        <w:rPr>
          <w:sz w:val="16"/>
        </w:rPr>
        <w:t>, párr. 143, y </w:t>
      </w:r>
      <w:r>
        <w:rPr>
          <w:i/>
          <w:sz w:val="16"/>
        </w:rPr>
        <w:t>Caso Pueblos Kaliña y  </w:t>
      </w:r>
      <w:r>
        <w:rPr>
          <w:i/>
          <w:spacing w:val="31"/>
          <w:sz w:val="16"/>
        </w:rPr>
        <w:t> </w:t>
      </w:r>
      <w:r>
        <w:rPr>
          <w:i/>
          <w:sz w:val="16"/>
        </w:rPr>
        <w:t>Lokono</w:t>
      </w:r>
      <w:r>
        <w:rPr>
          <w:i/>
          <w:spacing w:val="10"/>
          <w:sz w:val="16"/>
        </w:rPr>
        <w:t> </w:t>
      </w:r>
      <w:r>
        <w:rPr>
          <w:i/>
          <w:sz w:val="16"/>
        </w:rPr>
        <w:t>Vs.</w:t>
      </w:r>
      <w:r>
        <w:rPr>
          <w:i/>
          <w:w w:val="100"/>
          <w:sz w:val="16"/>
        </w:rPr>
        <w:t> </w:t>
      </w:r>
      <w:r>
        <w:rPr>
          <w:i/>
          <w:sz w:val="16"/>
        </w:rPr>
        <w:t>Surinam</w:t>
      </w:r>
      <w:r>
        <w:rPr>
          <w:sz w:val="16"/>
        </w:rPr>
        <w:t>, párr.</w:t>
      </w:r>
      <w:r>
        <w:rPr>
          <w:spacing w:val="-6"/>
          <w:sz w:val="16"/>
        </w:rPr>
        <w:t> </w:t>
      </w:r>
      <w:r>
        <w:rPr>
          <w:sz w:val="16"/>
        </w:rPr>
        <w:t>133.</w:t>
      </w:r>
    </w:p>
    <w:p>
      <w:pPr>
        <w:pStyle w:val="BodyText"/>
        <w:spacing w:before="11"/>
        <w:rPr>
          <w:sz w:val="15"/>
        </w:rPr>
      </w:pPr>
    </w:p>
    <w:p>
      <w:pPr>
        <w:tabs>
          <w:tab w:pos="829" w:val="left" w:leader="none"/>
        </w:tabs>
        <w:spacing w:before="0"/>
        <w:ind w:left="122" w:right="115" w:firstLine="0"/>
        <w:jc w:val="both"/>
        <w:rPr>
          <w:sz w:val="16"/>
        </w:rPr>
      </w:pPr>
      <w:r>
        <w:rPr>
          <w:position w:val="6"/>
          <w:sz w:val="10"/>
        </w:rPr>
        <w:t>126</w:t>
        <w:tab/>
      </w:r>
      <w:r>
        <w:rPr>
          <w:sz w:val="16"/>
        </w:rPr>
        <w:t>En ese sentido, la Corte ha dicho que: “1) la posesión tradicional de los indígenas sobre </w:t>
      </w:r>
      <w:r>
        <w:rPr>
          <w:spacing w:val="53"/>
          <w:sz w:val="16"/>
        </w:rPr>
        <w:t> </w:t>
      </w:r>
      <w:r>
        <w:rPr>
          <w:sz w:val="16"/>
        </w:rPr>
        <w:t>sus</w:t>
      </w:r>
      <w:r>
        <w:rPr>
          <w:spacing w:val="9"/>
          <w:sz w:val="16"/>
        </w:rPr>
        <w:t> </w:t>
      </w:r>
      <w:r>
        <w:rPr>
          <w:sz w:val="16"/>
        </w:rPr>
        <w:t>tierras</w:t>
      </w:r>
      <w:r>
        <w:rPr>
          <w:w w:val="100"/>
          <w:sz w:val="16"/>
        </w:rPr>
        <w:t> </w:t>
      </w:r>
      <w:r>
        <w:rPr>
          <w:sz w:val="16"/>
        </w:rPr>
        <w:t>tiene efectos equivalentes al título de pleno dominio que otorga el Estado; 2) la posesión tradicional otorga a los indígenas el derecho a exigir el reconocimiento oficial de propiedad y su registro” (</w:t>
      </w:r>
      <w:r>
        <w:rPr>
          <w:i/>
          <w:sz w:val="16"/>
        </w:rPr>
        <w:t>Caso Comunidad </w:t>
      </w:r>
      <w:r>
        <w:rPr>
          <w:i/>
          <w:sz w:val="16"/>
        </w:rPr>
        <w:t>Indígena Sawhoyamaxa Vs. Paraguay</w:t>
      </w:r>
      <w:r>
        <w:rPr>
          <w:sz w:val="16"/>
        </w:rPr>
        <w:t>, párr.</w:t>
      </w:r>
      <w:r>
        <w:rPr>
          <w:spacing w:val="-17"/>
          <w:sz w:val="16"/>
        </w:rPr>
        <w:t> </w:t>
      </w:r>
      <w:r>
        <w:rPr>
          <w:sz w:val="16"/>
        </w:rPr>
        <w:t>128).</w:t>
      </w:r>
    </w:p>
    <w:p>
      <w:pPr>
        <w:pStyle w:val="BodyText"/>
        <w:spacing w:before="1"/>
        <w:rPr>
          <w:sz w:val="16"/>
        </w:rPr>
      </w:pPr>
    </w:p>
    <w:p>
      <w:pPr>
        <w:tabs>
          <w:tab w:pos="829" w:val="left" w:leader="none"/>
        </w:tabs>
        <w:spacing w:before="0"/>
        <w:ind w:left="122" w:right="113" w:firstLine="0"/>
        <w:jc w:val="both"/>
        <w:rPr>
          <w:sz w:val="16"/>
        </w:rPr>
      </w:pPr>
      <w:r>
        <w:rPr>
          <w:position w:val="6"/>
          <w:sz w:val="10"/>
        </w:rPr>
        <w:t>127</w:t>
        <w:tab/>
      </w:r>
      <w:r>
        <w:rPr>
          <w:i/>
          <w:sz w:val="16"/>
        </w:rPr>
        <w:t>Cfr.</w:t>
      </w:r>
      <w:r>
        <w:rPr>
          <w:i/>
          <w:spacing w:val="14"/>
          <w:sz w:val="16"/>
        </w:rPr>
        <w:t> </w:t>
      </w:r>
      <w:r>
        <w:rPr>
          <w:i/>
          <w:sz w:val="16"/>
        </w:rPr>
        <w:t>Caso</w:t>
      </w:r>
      <w:r>
        <w:rPr>
          <w:i/>
          <w:spacing w:val="13"/>
          <w:sz w:val="16"/>
        </w:rPr>
        <w:t> </w:t>
      </w:r>
      <w:r>
        <w:rPr>
          <w:i/>
          <w:sz w:val="16"/>
        </w:rPr>
        <w:t>de</w:t>
      </w:r>
      <w:r>
        <w:rPr>
          <w:i/>
          <w:spacing w:val="14"/>
          <w:sz w:val="16"/>
        </w:rPr>
        <w:t> </w:t>
      </w:r>
      <w:r>
        <w:rPr>
          <w:i/>
          <w:sz w:val="16"/>
        </w:rPr>
        <w:t>la</w:t>
      </w:r>
      <w:r>
        <w:rPr>
          <w:i/>
          <w:spacing w:val="14"/>
          <w:sz w:val="16"/>
        </w:rPr>
        <w:t> </w:t>
      </w:r>
      <w:r>
        <w:rPr>
          <w:i/>
          <w:sz w:val="16"/>
        </w:rPr>
        <w:t>Comunidad</w:t>
      </w:r>
      <w:r>
        <w:rPr>
          <w:i/>
          <w:spacing w:val="12"/>
          <w:sz w:val="16"/>
        </w:rPr>
        <w:t> </w:t>
      </w:r>
      <w:r>
        <w:rPr>
          <w:i/>
          <w:sz w:val="16"/>
        </w:rPr>
        <w:t>Mayagna</w:t>
      </w:r>
      <w:r>
        <w:rPr>
          <w:i/>
          <w:spacing w:val="14"/>
          <w:sz w:val="16"/>
        </w:rPr>
        <w:t> </w:t>
      </w:r>
      <w:r>
        <w:rPr>
          <w:i/>
          <w:sz w:val="16"/>
        </w:rPr>
        <w:t>(Sumo)</w:t>
      </w:r>
      <w:r>
        <w:rPr>
          <w:i/>
          <w:spacing w:val="14"/>
          <w:sz w:val="16"/>
        </w:rPr>
        <w:t> </w:t>
      </w:r>
      <w:r>
        <w:rPr>
          <w:i/>
          <w:sz w:val="16"/>
        </w:rPr>
        <w:t>Awas</w:t>
      </w:r>
      <w:r>
        <w:rPr>
          <w:i/>
          <w:spacing w:val="14"/>
          <w:sz w:val="16"/>
        </w:rPr>
        <w:t> </w:t>
      </w:r>
      <w:r>
        <w:rPr>
          <w:i/>
          <w:sz w:val="16"/>
        </w:rPr>
        <w:t>Tingni</w:t>
      </w:r>
      <w:r>
        <w:rPr>
          <w:i/>
          <w:spacing w:val="13"/>
          <w:sz w:val="16"/>
        </w:rPr>
        <w:t> </w:t>
      </w:r>
      <w:r>
        <w:rPr>
          <w:i/>
          <w:sz w:val="16"/>
        </w:rPr>
        <w:t>Vs.</w:t>
      </w:r>
      <w:r>
        <w:rPr>
          <w:i/>
          <w:spacing w:val="16"/>
          <w:sz w:val="16"/>
        </w:rPr>
        <w:t> </w:t>
      </w:r>
      <w:r>
        <w:rPr>
          <w:i/>
          <w:sz w:val="16"/>
        </w:rPr>
        <w:t>Nicaragua</w:t>
      </w:r>
      <w:r>
        <w:rPr>
          <w:sz w:val="16"/>
        </w:rPr>
        <w:t>,</w:t>
      </w:r>
      <w:r>
        <w:rPr>
          <w:spacing w:val="13"/>
          <w:sz w:val="16"/>
        </w:rPr>
        <w:t> </w:t>
      </w:r>
      <w:r>
        <w:rPr>
          <w:sz w:val="16"/>
        </w:rPr>
        <w:t>párr.</w:t>
      </w:r>
      <w:r>
        <w:rPr>
          <w:spacing w:val="13"/>
          <w:sz w:val="16"/>
        </w:rPr>
        <w:t> </w:t>
      </w:r>
      <w:r>
        <w:rPr>
          <w:sz w:val="16"/>
        </w:rPr>
        <w:t>138,</w:t>
      </w:r>
      <w:r>
        <w:rPr>
          <w:spacing w:val="15"/>
          <w:sz w:val="16"/>
        </w:rPr>
        <w:t> </w:t>
      </w:r>
      <w:r>
        <w:rPr>
          <w:sz w:val="16"/>
        </w:rPr>
        <w:t>y</w:t>
      </w:r>
      <w:r>
        <w:rPr>
          <w:spacing w:val="15"/>
          <w:sz w:val="16"/>
        </w:rPr>
        <w:t> </w:t>
      </w:r>
      <w:r>
        <w:rPr>
          <w:i/>
          <w:sz w:val="16"/>
        </w:rPr>
        <w:t>Caso</w:t>
      </w:r>
      <w:r>
        <w:rPr>
          <w:i/>
          <w:spacing w:val="15"/>
          <w:sz w:val="16"/>
        </w:rPr>
        <w:t> </w:t>
      </w:r>
      <w:r>
        <w:rPr>
          <w:i/>
          <w:sz w:val="16"/>
        </w:rPr>
        <w:t>Pueblo</w:t>
      </w:r>
      <w:r>
        <w:rPr>
          <w:i/>
          <w:w w:val="100"/>
          <w:sz w:val="16"/>
        </w:rPr>
        <w:t> </w:t>
      </w:r>
      <w:r>
        <w:rPr>
          <w:i/>
          <w:sz w:val="16"/>
        </w:rPr>
        <w:t>Indígena Xucuru y sus miembros Vs. Brasil</w:t>
      </w:r>
      <w:r>
        <w:rPr>
          <w:sz w:val="16"/>
        </w:rPr>
        <w:t>, párr.</w:t>
      </w:r>
      <w:r>
        <w:rPr>
          <w:spacing w:val="-18"/>
          <w:sz w:val="16"/>
        </w:rPr>
        <w:t> </w:t>
      </w:r>
      <w:r>
        <w:rPr>
          <w:sz w:val="16"/>
        </w:rPr>
        <w:t>130.</w:t>
      </w:r>
    </w:p>
    <w:p>
      <w:pPr>
        <w:spacing w:after="0"/>
        <w:jc w:val="both"/>
        <w:rPr>
          <w:sz w:val="16"/>
        </w:rPr>
        <w:sectPr>
          <w:pgSz w:w="12240" w:h="15840"/>
          <w:pgMar w:header="0" w:footer="1000" w:top="1340" w:bottom="1200" w:left="1580" w:right="1580"/>
        </w:sectPr>
      </w:pPr>
    </w:p>
    <w:p>
      <w:pPr>
        <w:pStyle w:val="BodyText"/>
        <w:spacing w:before="76"/>
        <w:ind w:left="122" w:right="121"/>
        <w:jc w:val="both"/>
      </w:pPr>
      <w:r>
        <w:rPr/>
        <w:t>virtud del artículo 2 de la Convención, los Estados deben adaptar su derecho interno para</w:t>
      </w:r>
      <w:r>
        <w:rPr>
          <w:spacing w:val="-13"/>
        </w:rPr>
        <w:t> </w:t>
      </w:r>
      <w:r>
        <w:rPr/>
        <w:t>que</w:t>
      </w:r>
      <w:r>
        <w:rPr>
          <w:spacing w:val="-13"/>
        </w:rPr>
        <w:t> </w:t>
      </w:r>
      <w:r>
        <w:rPr/>
        <w:t>estos</w:t>
      </w:r>
      <w:r>
        <w:rPr>
          <w:spacing w:val="-14"/>
        </w:rPr>
        <w:t> </w:t>
      </w:r>
      <w:r>
        <w:rPr/>
        <w:t>mecanismos</w:t>
      </w:r>
      <w:r>
        <w:rPr>
          <w:spacing w:val="-12"/>
        </w:rPr>
        <w:t> </w:t>
      </w:r>
      <w:r>
        <w:rPr/>
        <w:t>existan</w:t>
      </w:r>
      <w:r>
        <w:rPr>
          <w:spacing w:val="-12"/>
        </w:rPr>
        <w:t> </w:t>
      </w:r>
      <w:r>
        <w:rPr/>
        <w:t>y</w:t>
      </w:r>
      <w:r>
        <w:rPr>
          <w:spacing w:val="-12"/>
        </w:rPr>
        <w:t> </w:t>
      </w:r>
      <w:r>
        <w:rPr/>
        <w:t>sean</w:t>
      </w:r>
      <w:r>
        <w:rPr>
          <w:spacing w:val="-13"/>
        </w:rPr>
        <w:t> </w:t>
      </w:r>
      <w:r>
        <w:rPr/>
        <w:t>adecuados</w:t>
      </w:r>
      <w:r>
        <w:rPr>
          <w:position w:val="7"/>
          <w:sz w:val="13"/>
        </w:rPr>
        <w:t>128</w:t>
      </w:r>
      <w:r>
        <w:rPr>
          <w:spacing w:val="10"/>
          <w:position w:val="7"/>
          <w:sz w:val="13"/>
        </w:rPr>
        <w:t> </w:t>
      </w:r>
      <w:r>
        <w:rPr/>
        <w:t>y</w:t>
      </w:r>
      <w:r>
        <w:rPr>
          <w:spacing w:val="-14"/>
        </w:rPr>
        <w:t> </w:t>
      </w:r>
      <w:r>
        <w:rPr/>
        <w:t>efectivos:</w:t>
      </w:r>
      <w:r>
        <w:rPr>
          <w:spacing w:val="-14"/>
        </w:rPr>
        <w:t> </w:t>
      </w:r>
      <w:r>
        <w:rPr/>
        <w:t>deben</w:t>
      </w:r>
      <w:r>
        <w:rPr>
          <w:spacing w:val="-13"/>
        </w:rPr>
        <w:t> </w:t>
      </w:r>
      <w:r>
        <w:rPr/>
        <w:t>suponer</w:t>
      </w:r>
      <w:r>
        <w:rPr>
          <w:spacing w:val="-15"/>
        </w:rPr>
        <w:t> </w:t>
      </w:r>
      <w:r>
        <w:rPr/>
        <w:t>una posibilidad real para que las comunidades puedan defender sus derechos y ejercer el control efectivo de su territorio, sin ninguna interferencia externa</w:t>
      </w:r>
      <w:r>
        <w:rPr>
          <w:position w:val="7"/>
          <w:sz w:val="13"/>
        </w:rPr>
        <w:t>129</w:t>
      </w:r>
      <w:r>
        <w:rPr/>
        <w:t>. Asimismo, debe dejarse dicho que los pueblos indígenas tienen derecho a no ser sujetos a una demora irrazonable para una solución definitiva de su</w:t>
      </w:r>
      <w:r>
        <w:rPr>
          <w:spacing w:val="-15"/>
        </w:rPr>
        <w:t> </w:t>
      </w:r>
      <w:r>
        <w:rPr/>
        <w:t>reclamo</w:t>
      </w:r>
      <w:r>
        <w:rPr>
          <w:position w:val="7"/>
          <w:sz w:val="13"/>
        </w:rPr>
        <w:t>130</w:t>
      </w:r>
      <w:r>
        <w:rPr/>
        <w:t>.</w:t>
      </w:r>
    </w:p>
    <w:p>
      <w:pPr>
        <w:pStyle w:val="BodyText"/>
        <w:spacing w:before="10"/>
        <w:rPr>
          <w:sz w:val="19"/>
        </w:rPr>
      </w:pPr>
    </w:p>
    <w:p>
      <w:pPr>
        <w:pStyle w:val="ListParagraph"/>
        <w:numPr>
          <w:ilvl w:val="0"/>
          <w:numId w:val="21"/>
        </w:numPr>
        <w:tabs>
          <w:tab w:pos="830" w:val="left" w:leader="none"/>
        </w:tabs>
        <w:spacing w:line="240" w:lineRule="auto" w:before="0" w:after="0"/>
        <w:ind w:left="122" w:right="123" w:firstLine="0"/>
        <w:jc w:val="both"/>
        <w:rPr>
          <w:sz w:val="20"/>
        </w:rPr>
      </w:pPr>
      <w:r>
        <w:rPr>
          <w:sz w:val="20"/>
        </w:rPr>
        <w:t>Las pautas anteriores deben ser confrontadas con lo que ha sucedido en el</w:t>
      </w:r>
      <w:r>
        <w:rPr>
          <w:spacing w:val="-39"/>
          <w:sz w:val="20"/>
        </w:rPr>
        <w:t> </w:t>
      </w:r>
      <w:r>
        <w:rPr>
          <w:sz w:val="20"/>
        </w:rPr>
        <w:t>caso. Este Tribunal nota que, como </w:t>
      </w:r>
      <w:r>
        <w:rPr>
          <w:spacing w:val="2"/>
          <w:sz w:val="20"/>
        </w:rPr>
        <w:t>se </w:t>
      </w:r>
      <w:r>
        <w:rPr>
          <w:sz w:val="20"/>
        </w:rPr>
        <w:t>explicará, el Estado ha reconocido la propiedad comunitaria. Debe analizarse si ello se realizó en forma adecuada, compatible con la Convención. En ese sentido, ha habido distintos actos estatales relacionados con el reconocimiento de la propiedad, aunque los mismos no han sido el resultado del desarrollo de un procedimiento reglado, establecido en forma legal y previa. Lo que ha existido</w:t>
      </w:r>
      <w:r>
        <w:rPr>
          <w:spacing w:val="-10"/>
          <w:sz w:val="20"/>
        </w:rPr>
        <w:t> </w:t>
      </w:r>
      <w:r>
        <w:rPr>
          <w:sz w:val="20"/>
        </w:rPr>
        <w:t>es</w:t>
      </w:r>
      <w:r>
        <w:rPr>
          <w:spacing w:val="-12"/>
          <w:sz w:val="20"/>
        </w:rPr>
        <w:t> </w:t>
      </w:r>
      <w:r>
        <w:rPr>
          <w:sz w:val="20"/>
        </w:rPr>
        <w:t>un</w:t>
      </w:r>
      <w:r>
        <w:rPr>
          <w:spacing w:val="-13"/>
          <w:sz w:val="20"/>
        </w:rPr>
        <w:t> </w:t>
      </w:r>
      <w:r>
        <w:rPr>
          <w:sz w:val="20"/>
        </w:rPr>
        <w:t>reclamo</w:t>
      </w:r>
      <w:r>
        <w:rPr>
          <w:spacing w:val="-13"/>
          <w:sz w:val="20"/>
        </w:rPr>
        <w:t> </w:t>
      </w:r>
      <w:r>
        <w:rPr>
          <w:sz w:val="20"/>
        </w:rPr>
        <w:t>de</w:t>
      </w:r>
      <w:r>
        <w:rPr>
          <w:spacing w:val="-12"/>
          <w:sz w:val="20"/>
        </w:rPr>
        <w:t> </w:t>
      </w:r>
      <w:r>
        <w:rPr>
          <w:sz w:val="20"/>
        </w:rPr>
        <w:t>la</w:t>
      </w:r>
      <w:r>
        <w:rPr>
          <w:spacing w:val="-11"/>
          <w:sz w:val="20"/>
        </w:rPr>
        <w:t> </w:t>
      </w:r>
      <w:r>
        <w:rPr>
          <w:sz w:val="20"/>
        </w:rPr>
        <w:t>propiedad</w:t>
      </w:r>
      <w:r>
        <w:rPr>
          <w:spacing w:val="-11"/>
          <w:sz w:val="20"/>
        </w:rPr>
        <w:t> </w:t>
      </w:r>
      <w:r>
        <w:rPr>
          <w:sz w:val="20"/>
        </w:rPr>
        <w:t>por</w:t>
      </w:r>
      <w:r>
        <w:rPr>
          <w:spacing w:val="-15"/>
          <w:sz w:val="20"/>
        </w:rPr>
        <w:t> </w:t>
      </w:r>
      <w:r>
        <w:rPr>
          <w:sz w:val="20"/>
        </w:rPr>
        <w:t>parte</w:t>
      </w:r>
      <w:r>
        <w:rPr>
          <w:spacing w:val="-13"/>
          <w:sz w:val="20"/>
        </w:rPr>
        <w:t> </w:t>
      </w:r>
      <w:r>
        <w:rPr>
          <w:sz w:val="20"/>
        </w:rPr>
        <w:t>de</w:t>
      </w:r>
      <w:r>
        <w:rPr>
          <w:spacing w:val="-9"/>
          <w:sz w:val="20"/>
        </w:rPr>
        <w:t> </w:t>
      </w:r>
      <w:r>
        <w:rPr>
          <w:sz w:val="20"/>
        </w:rPr>
        <w:t>comunidades</w:t>
      </w:r>
      <w:r>
        <w:rPr>
          <w:spacing w:val="-12"/>
          <w:sz w:val="20"/>
        </w:rPr>
        <w:t> </w:t>
      </w:r>
      <w:r>
        <w:rPr>
          <w:sz w:val="20"/>
        </w:rPr>
        <w:t>indígenas,</w:t>
      </w:r>
      <w:r>
        <w:rPr>
          <w:spacing w:val="-15"/>
          <w:sz w:val="20"/>
        </w:rPr>
        <w:t> </w:t>
      </w:r>
      <w:r>
        <w:rPr>
          <w:sz w:val="20"/>
        </w:rPr>
        <w:t>formalizado en</w:t>
      </w:r>
      <w:r>
        <w:rPr>
          <w:spacing w:val="-6"/>
          <w:sz w:val="20"/>
        </w:rPr>
        <w:t> </w:t>
      </w:r>
      <w:r>
        <w:rPr>
          <w:sz w:val="20"/>
        </w:rPr>
        <w:t>1991,</w:t>
      </w:r>
      <w:r>
        <w:rPr>
          <w:spacing w:val="-2"/>
          <w:sz w:val="20"/>
        </w:rPr>
        <w:t> </w:t>
      </w:r>
      <w:r>
        <w:rPr>
          <w:sz w:val="20"/>
        </w:rPr>
        <w:t>y</w:t>
      </w:r>
      <w:r>
        <w:rPr>
          <w:spacing w:val="-7"/>
          <w:sz w:val="20"/>
        </w:rPr>
        <w:t> </w:t>
      </w:r>
      <w:r>
        <w:rPr>
          <w:sz w:val="20"/>
        </w:rPr>
        <w:t>luego</w:t>
      </w:r>
      <w:r>
        <w:rPr>
          <w:spacing w:val="-5"/>
          <w:sz w:val="20"/>
        </w:rPr>
        <w:t> </w:t>
      </w:r>
      <w:r>
        <w:rPr>
          <w:sz w:val="20"/>
        </w:rPr>
        <w:t>una</w:t>
      </w:r>
      <w:r>
        <w:rPr>
          <w:spacing w:val="-6"/>
          <w:sz w:val="20"/>
        </w:rPr>
        <w:t> </w:t>
      </w:r>
      <w:r>
        <w:rPr>
          <w:sz w:val="20"/>
        </w:rPr>
        <w:t>interacción entre</w:t>
      </w:r>
      <w:r>
        <w:rPr>
          <w:spacing w:val="-6"/>
          <w:sz w:val="20"/>
        </w:rPr>
        <w:t> </w:t>
      </w:r>
      <w:r>
        <w:rPr>
          <w:sz w:val="20"/>
        </w:rPr>
        <w:t>las</w:t>
      </w:r>
      <w:r>
        <w:rPr>
          <w:spacing w:val="-5"/>
          <w:sz w:val="20"/>
        </w:rPr>
        <w:t> </w:t>
      </w:r>
      <w:r>
        <w:rPr>
          <w:sz w:val="20"/>
        </w:rPr>
        <w:t>comunidades</w:t>
      </w:r>
      <w:r>
        <w:rPr>
          <w:spacing w:val="-7"/>
          <w:sz w:val="20"/>
        </w:rPr>
        <w:t> </w:t>
      </w:r>
      <w:r>
        <w:rPr>
          <w:sz w:val="20"/>
        </w:rPr>
        <w:t>y</w:t>
      </w:r>
      <w:r>
        <w:rPr>
          <w:spacing w:val="-2"/>
          <w:sz w:val="20"/>
        </w:rPr>
        <w:t> </w:t>
      </w:r>
      <w:r>
        <w:rPr>
          <w:sz w:val="20"/>
        </w:rPr>
        <w:t>el</w:t>
      </w:r>
      <w:r>
        <w:rPr>
          <w:spacing w:val="-4"/>
          <w:sz w:val="20"/>
        </w:rPr>
        <w:t> </w:t>
      </w:r>
      <w:r>
        <w:rPr>
          <w:sz w:val="20"/>
        </w:rPr>
        <w:t>gobierno,</w:t>
      </w:r>
      <w:r>
        <w:rPr>
          <w:spacing w:val="-5"/>
          <w:sz w:val="20"/>
        </w:rPr>
        <w:t> </w:t>
      </w:r>
      <w:r>
        <w:rPr>
          <w:sz w:val="20"/>
        </w:rPr>
        <w:t>cuyo</w:t>
      </w:r>
      <w:r>
        <w:rPr>
          <w:spacing w:val="-5"/>
          <w:sz w:val="20"/>
        </w:rPr>
        <w:t> </w:t>
      </w:r>
      <w:r>
        <w:rPr>
          <w:sz w:val="20"/>
        </w:rPr>
        <w:t>derrotero</w:t>
      </w:r>
      <w:r>
        <w:rPr>
          <w:spacing w:val="-5"/>
          <w:sz w:val="20"/>
        </w:rPr>
        <w:t> </w:t>
      </w:r>
      <w:r>
        <w:rPr>
          <w:sz w:val="20"/>
        </w:rPr>
        <w:t>a lo largo de los años ha presentado diversas incidencias, y en el que ha habido intervención de la población criolla y varios acuerdos con la misma, refrendados por actos normativos estatales. Esa interacción, que no se llevó a cabo siguiendo pautas procedimentales preestablecidas legalmente, derivó en distintos actos de gobierno: básicamente, Decretos del Poder Ejecutivo salteño, que en distinto modo fueron avanzando en el reconocimiento de la</w:t>
      </w:r>
      <w:r>
        <w:rPr>
          <w:spacing w:val="-20"/>
          <w:sz w:val="20"/>
        </w:rPr>
        <w:t> </w:t>
      </w:r>
      <w:r>
        <w:rPr>
          <w:sz w:val="20"/>
        </w:rPr>
        <w:t>propiedad.</w:t>
      </w:r>
    </w:p>
    <w:p>
      <w:pPr>
        <w:pStyle w:val="BodyText"/>
      </w:pPr>
    </w:p>
    <w:p>
      <w:pPr>
        <w:pStyle w:val="ListParagraph"/>
        <w:numPr>
          <w:ilvl w:val="0"/>
          <w:numId w:val="21"/>
        </w:numPr>
        <w:tabs>
          <w:tab w:pos="830" w:val="left" w:leader="none"/>
        </w:tabs>
        <w:spacing w:line="243" w:lineRule="exact" w:before="0" w:after="0"/>
        <w:ind w:left="830" w:right="0" w:hanging="708"/>
        <w:jc w:val="both"/>
        <w:rPr>
          <w:sz w:val="20"/>
        </w:rPr>
      </w:pPr>
      <w:r>
        <w:rPr>
          <w:sz w:val="20"/>
        </w:rPr>
        <w:t>Ahora bien, se ha señalado que en virtud de la conjunción de los artículos 2, </w:t>
      </w:r>
      <w:r>
        <w:rPr>
          <w:spacing w:val="41"/>
          <w:sz w:val="20"/>
        </w:rPr>
        <w:t> </w:t>
      </w:r>
      <w:r>
        <w:rPr>
          <w:sz w:val="20"/>
        </w:rPr>
        <w:t>8,</w:t>
      </w:r>
    </w:p>
    <w:p>
      <w:pPr>
        <w:pStyle w:val="BodyText"/>
        <w:ind w:left="122" w:right="121"/>
        <w:jc w:val="both"/>
      </w:pPr>
      <w:r>
        <w:rPr/>
        <w:t>21 y 25 de la Convención, los Estados deben prever en su derecho interno procedimientos aptos para viabilizar reclamos territoriales indígenas (</w:t>
      </w:r>
      <w:r>
        <w:rPr>
          <w:i/>
        </w:rPr>
        <w:t>supra </w:t>
      </w:r>
      <w:r>
        <w:rPr/>
        <w:t>párr. 116). No obstante, si en un caso concreto el Estado satisfizo de otro modo el derecho de propiedad comunitaria, no resulta necesario examinar si su legislación interna general resulta</w:t>
      </w:r>
      <w:r>
        <w:rPr>
          <w:spacing w:val="-8"/>
        </w:rPr>
        <w:t> </w:t>
      </w:r>
      <w:r>
        <w:rPr/>
        <w:t>adecuada</w:t>
      </w:r>
      <w:r>
        <w:rPr>
          <w:spacing w:val="-8"/>
        </w:rPr>
        <w:t> </w:t>
      </w:r>
      <w:r>
        <w:rPr/>
        <w:t>al</w:t>
      </w:r>
      <w:r>
        <w:rPr>
          <w:spacing w:val="-7"/>
        </w:rPr>
        <w:t> </w:t>
      </w:r>
      <w:r>
        <w:rPr/>
        <w:t>deber</w:t>
      </w:r>
      <w:r>
        <w:rPr>
          <w:spacing w:val="-9"/>
        </w:rPr>
        <w:t> </w:t>
      </w:r>
      <w:r>
        <w:rPr/>
        <w:t>mencionado.</w:t>
      </w:r>
      <w:r>
        <w:rPr>
          <w:spacing w:val="-8"/>
        </w:rPr>
        <w:t> </w:t>
      </w:r>
      <w:r>
        <w:rPr/>
        <w:t>Caso</w:t>
      </w:r>
      <w:r>
        <w:rPr>
          <w:spacing w:val="-7"/>
        </w:rPr>
        <w:t> </w:t>
      </w:r>
      <w:r>
        <w:rPr/>
        <w:t>contrario,</w:t>
      </w:r>
      <w:r>
        <w:rPr>
          <w:spacing w:val="-8"/>
        </w:rPr>
        <w:t> </w:t>
      </w:r>
      <w:r>
        <w:rPr/>
        <w:t>si</w:t>
      </w:r>
      <w:r>
        <w:rPr>
          <w:spacing w:val="-8"/>
        </w:rPr>
        <w:t> </w:t>
      </w:r>
      <w:r>
        <w:rPr/>
        <w:t>se</w:t>
      </w:r>
      <w:r>
        <w:rPr>
          <w:spacing w:val="-9"/>
        </w:rPr>
        <w:t> </w:t>
      </w:r>
      <w:r>
        <w:rPr/>
        <w:t>concluye</w:t>
      </w:r>
      <w:r>
        <w:rPr>
          <w:spacing w:val="-9"/>
        </w:rPr>
        <w:t> </w:t>
      </w:r>
      <w:r>
        <w:rPr/>
        <w:t>que</w:t>
      </w:r>
      <w:r>
        <w:rPr>
          <w:spacing w:val="-9"/>
        </w:rPr>
        <w:t> </w:t>
      </w:r>
      <w:r>
        <w:rPr/>
        <w:t>el</w:t>
      </w:r>
      <w:r>
        <w:rPr>
          <w:spacing w:val="-8"/>
        </w:rPr>
        <w:t> </w:t>
      </w:r>
      <w:r>
        <w:rPr/>
        <w:t>derecho</w:t>
      </w:r>
      <w:r>
        <w:rPr>
          <w:spacing w:val="-8"/>
        </w:rPr>
        <w:t> </w:t>
      </w:r>
      <w:r>
        <w:rPr/>
        <w:t>no ha</w:t>
      </w:r>
      <w:r>
        <w:rPr>
          <w:spacing w:val="-16"/>
        </w:rPr>
        <w:t> </w:t>
      </w:r>
      <w:r>
        <w:rPr/>
        <w:t>sido</w:t>
      </w:r>
      <w:r>
        <w:rPr>
          <w:spacing w:val="-15"/>
        </w:rPr>
        <w:t> </w:t>
      </w:r>
      <w:r>
        <w:rPr/>
        <w:t>satisfecho,</w:t>
      </w:r>
      <w:r>
        <w:rPr>
          <w:spacing w:val="-15"/>
        </w:rPr>
        <w:t> </w:t>
      </w:r>
      <w:r>
        <w:rPr/>
        <w:t>sí</w:t>
      </w:r>
      <w:r>
        <w:rPr>
          <w:spacing w:val="-14"/>
        </w:rPr>
        <w:t> </w:t>
      </w:r>
      <w:r>
        <w:rPr/>
        <w:t>es</w:t>
      </w:r>
      <w:r>
        <w:rPr>
          <w:spacing w:val="-14"/>
        </w:rPr>
        <w:t> </w:t>
      </w:r>
      <w:r>
        <w:rPr/>
        <w:t>relevante</w:t>
      </w:r>
      <w:r>
        <w:rPr>
          <w:spacing w:val="-15"/>
        </w:rPr>
        <w:t> </w:t>
      </w:r>
      <w:r>
        <w:rPr/>
        <w:t>analizar</w:t>
      </w:r>
      <w:r>
        <w:rPr>
          <w:spacing w:val="-15"/>
        </w:rPr>
        <w:t> </w:t>
      </w:r>
      <w:r>
        <w:rPr/>
        <w:t>si</w:t>
      </w:r>
      <w:r>
        <w:rPr>
          <w:spacing w:val="-14"/>
        </w:rPr>
        <w:t> </w:t>
      </w:r>
      <w:r>
        <w:rPr/>
        <w:t>en</w:t>
      </w:r>
      <w:r>
        <w:rPr>
          <w:spacing w:val="-13"/>
        </w:rPr>
        <w:t> </w:t>
      </w:r>
      <w:r>
        <w:rPr/>
        <w:t>ello</w:t>
      </w:r>
      <w:r>
        <w:rPr>
          <w:spacing w:val="-10"/>
        </w:rPr>
        <w:t> </w:t>
      </w:r>
      <w:r>
        <w:rPr/>
        <w:t>ha</w:t>
      </w:r>
      <w:r>
        <w:rPr>
          <w:spacing w:val="-16"/>
        </w:rPr>
        <w:t> </w:t>
      </w:r>
      <w:r>
        <w:rPr/>
        <w:t>tenido</w:t>
      </w:r>
      <w:r>
        <w:rPr>
          <w:spacing w:val="-14"/>
        </w:rPr>
        <w:t> </w:t>
      </w:r>
      <w:r>
        <w:rPr/>
        <w:t>incidencia</w:t>
      </w:r>
      <w:r>
        <w:rPr>
          <w:spacing w:val="-14"/>
        </w:rPr>
        <w:t> </w:t>
      </w:r>
      <w:r>
        <w:rPr/>
        <w:t>el</w:t>
      </w:r>
      <w:r>
        <w:rPr>
          <w:spacing w:val="-14"/>
        </w:rPr>
        <w:t> </w:t>
      </w:r>
      <w:r>
        <w:rPr/>
        <w:t>orden</w:t>
      </w:r>
      <w:r>
        <w:rPr>
          <w:spacing w:val="-15"/>
        </w:rPr>
        <w:t> </w:t>
      </w:r>
      <w:r>
        <w:rPr/>
        <w:t>jurídico general en sus aspectos</w:t>
      </w:r>
      <w:r>
        <w:rPr>
          <w:spacing w:val="-15"/>
        </w:rPr>
        <w:t> </w:t>
      </w:r>
      <w:r>
        <w:rPr/>
        <w:t>relevantes.</w:t>
      </w:r>
    </w:p>
    <w:p>
      <w:pPr>
        <w:pStyle w:val="BodyText"/>
        <w:spacing w:before="2"/>
      </w:pPr>
    </w:p>
    <w:p>
      <w:pPr>
        <w:pStyle w:val="ListParagraph"/>
        <w:numPr>
          <w:ilvl w:val="0"/>
          <w:numId w:val="21"/>
        </w:numPr>
        <w:tabs>
          <w:tab w:pos="830" w:val="left" w:leader="none"/>
        </w:tabs>
        <w:spacing w:line="240" w:lineRule="auto" w:before="0" w:after="0"/>
        <w:ind w:left="122" w:right="121" w:firstLine="0"/>
        <w:jc w:val="both"/>
        <w:rPr>
          <w:sz w:val="20"/>
        </w:rPr>
      </w:pPr>
      <w:r>
        <w:rPr>
          <w:sz w:val="20"/>
        </w:rPr>
        <w:t>Por ello, la Corte examinará, en primer término, si Argentina ha garantizado de modo</w:t>
      </w:r>
      <w:r>
        <w:rPr>
          <w:spacing w:val="-8"/>
          <w:sz w:val="20"/>
        </w:rPr>
        <w:t> </w:t>
      </w:r>
      <w:r>
        <w:rPr>
          <w:sz w:val="20"/>
        </w:rPr>
        <w:t>adecuado</w:t>
      </w:r>
      <w:r>
        <w:rPr>
          <w:spacing w:val="-5"/>
          <w:sz w:val="20"/>
        </w:rPr>
        <w:t> </w:t>
      </w:r>
      <w:r>
        <w:rPr>
          <w:sz w:val="20"/>
        </w:rPr>
        <w:t>el</w:t>
      </w:r>
      <w:r>
        <w:rPr>
          <w:spacing w:val="-6"/>
          <w:sz w:val="20"/>
        </w:rPr>
        <w:t> </w:t>
      </w:r>
      <w:r>
        <w:rPr>
          <w:sz w:val="20"/>
        </w:rPr>
        <w:t>derecho</w:t>
      </w:r>
      <w:r>
        <w:rPr>
          <w:spacing w:val="-8"/>
          <w:sz w:val="20"/>
        </w:rPr>
        <w:t> </w:t>
      </w:r>
      <w:r>
        <w:rPr>
          <w:sz w:val="20"/>
        </w:rPr>
        <w:t>de</w:t>
      </w:r>
      <w:r>
        <w:rPr>
          <w:spacing w:val="-8"/>
          <w:sz w:val="20"/>
        </w:rPr>
        <w:t> </w:t>
      </w:r>
      <w:r>
        <w:rPr>
          <w:sz w:val="20"/>
        </w:rPr>
        <w:t>propiedad</w:t>
      </w:r>
      <w:r>
        <w:rPr>
          <w:spacing w:val="-2"/>
          <w:sz w:val="20"/>
        </w:rPr>
        <w:t> </w:t>
      </w:r>
      <w:r>
        <w:rPr>
          <w:sz w:val="20"/>
        </w:rPr>
        <w:t>bajo</w:t>
      </w:r>
      <w:r>
        <w:rPr>
          <w:spacing w:val="-8"/>
          <w:sz w:val="20"/>
        </w:rPr>
        <w:t> </w:t>
      </w:r>
      <w:r>
        <w:rPr>
          <w:sz w:val="20"/>
        </w:rPr>
        <w:t>el</w:t>
      </w:r>
      <w:r>
        <w:rPr>
          <w:spacing w:val="-3"/>
          <w:sz w:val="20"/>
        </w:rPr>
        <w:t> </w:t>
      </w:r>
      <w:r>
        <w:rPr>
          <w:sz w:val="20"/>
        </w:rPr>
        <w:t>artículo</w:t>
      </w:r>
      <w:r>
        <w:rPr>
          <w:spacing w:val="-8"/>
          <w:sz w:val="20"/>
        </w:rPr>
        <w:t> </w:t>
      </w:r>
      <w:r>
        <w:rPr>
          <w:sz w:val="20"/>
        </w:rPr>
        <w:t>21</w:t>
      </w:r>
      <w:r>
        <w:rPr>
          <w:spacing w:val="-6"/>
          <w:sz w:val="20"/>
        </w:rPr>
        <w:t> </w:t>
      </w:r>
      <w:r>
        <w:rPr>
          <w:sz w:val="20"/>
        </w:rPr>
        <w:t>de</w:t>
      </w:r>
      <w:r>
        <w:rPr>
          <w:spacing w:val="-8"/>
          <w:sz w:val="20"/>
        </w:rPr>
        <w:t> </w:t>
      </w:r>
      <w:r>
        <w:rPr>
          <w:sz w:val="20"/>
        </w:rPr>
        <w:t>la</w:t>
      </w:r>
      <w:r>
        <w:rPr>
          <w:spacing w:val="-4"/>
          <w:sz w:val="20"/>
        </w:rPr>
        <w:t> </w:t>
      </w:r>
      <w:r>
        <w:rPr>
          <w:sz w:val="20"/>
        </w:rPr>
        <w:t>Convención</w:t>
      </w:r>
      <w:r>
        <w:rPr>
          <w:spacing w:val="-3"/>
          <w:sz w:val="20"/>
        </w:rPr>
        <w:t> </w:t>
      </w:r>
      <w:r>
        <w:rPr>
          <w:sz w:val="20"/>
        </w:rPr>
        <w:t>y</w:t>
      </w:r>
      <w:r>
        <w:rPr>
          <w:spacing w:val="-7"/>
          <w:sz w:val="20"/>
        </w:rPr>
        <w:t> </w:t>
      </w:r>
      <w:r>
        <w:rPr>
          <w:sz w:val="20"/>
        </w:rPr>
        <w:t>luego,</w:t>
      </w:r>
      <w:r>
        <w:rPr>
          <w:spacing w:val="-7"/>
          <w:sz w:val="20"/>
        </w:rPr>
        <w:t> </w:t>
      </w:r>
      <w:r>
        <w:rPr>
          <w:sz w:val="20"/>
        </w:rPr>
        <w:t>si es</w:t>
      </w:r>
      <w:r>
        <w:rPr>
          <w:spacing w:val="25"/>
          <w:sz w:val="20"/>
        </w:rPr>
        <w:t> </w:t>
      </w:r>
      <w:r>
        <w:rPr>
          <w:sz w:val="20"/>
        </w:rPr>
        <w:t>el</w:t>
      </w:r>
      <w:r>
        <w:rPr>
          <w:spacing w:val="24"/>
          <w:sz w:val="20"/>
        </w:rPr>
        <w:t> </w:t>
      </w:r>
      <w:r>
        <w:rPr>
          <w:sz w:val="20"/>
        </w:rPr>
        <w:t>caso,</w:t>
      </w:r>
      <w:r>
        <w:rPr>
          <w:spacing w:val="23"/>
          <w:sz w:val="20"/>
        </w:rPr>
        <w:t> </w:t>
      </w:r>
      <w:r>
        <w:rPr>
          <w:sz w:val="20"/>
        </w:rPr>
        <w:t>la</w:t>
      </w:r>
      <w:r>
        <w:rPr>
          <w:spacing w:val="26"/>
          <w:sz w:val="20"/>
        </w:rPr>
        <w:t> </w:t>
      </w:r>
      <w:r>
        <w:rPr>
          <w:sz w:val="20"/>
        </w:rPr>
        <w:t>compatibilidad</w:t>
      </w:r>
      <w:r>
        <w:rPr>
          <w:spacing w:val="24"/>
          <w:sz w:val="20"/>
        </w:rPr>
        <w:t> </w:t>
      </w:r>
      <w:r>
        <w:rPr>
          <w:sz w:val="20"/>
        </w:rPr>
        <w:t>del</w:t>
      </w:r>
      <w:r>
        <w:rPr>
          <w:spacing w:val="24"/>
          <w:sz w:val="20"/>
        </w:rPr>
        <w:t> </w:t>
      </w:r>
      <w:r>
        <w:rPr>
          <w:sz w:val="20"/>
        </w:rPr>
        <w:t>ordenamiento</w:t>
      </w:r>
      <w:r>
        <w:rPr>
          <w:spacing w:val="25"/>
          <w:sz w:val="20"/>
        </w:rPr>
        <w:t> </w:t>
      </w:r>
      <w:r>
        <w:rPr>
          <w:sz w:val="20"/>
        </w:rPr>
        <w:t>jurídico</w:t>
      </w:r>
      <w:r>
        <w:rPr>
          <w:spacing w:val="23"/>
          <w:sz w:val="20"/>
        </w:rPr>
        <w:t> </w:t>
      </w:r>
      <w:r>
        <w:rPr>
          <w:sz w:val="20"/>
        </w:rPr>
        <w:t>estatal</w:t>
      </w:r>
      <w:r>
        <w:rPr>
          <w:spacing w:val="24"/>
          <w:sz w:val="20"/>
        </w:rPr>
        <w:t> </w:t>
      </w:r>
      <w:r>
        <w:rPr>
          <w:sz w:val="20"/>
        </w:rPr>
        <w:t>con</w:t>
      </w:r>
      <w:r>
        <w:rPr>
          <w:spacing w:val="24"/>
          <w:sz w:val="20"/>
        </w:rPr>
        <w:t> </w:t>
      </w:r>
      <w:r>
        <w:rPr>
          <w:sz w:val="20"/>
        </w:rPr>
        <w:t>la</w:t>
      </w:r>
      <w:r>
        <w:rPr>
          <w:spacing w:val="24"/>
          <w:sz w:val="20"/>
        </w:rPr>
        <w:t> </w:t>
      </w:r>
      <w:r>
        <w:rPr>
          <w:sz w:val="20"/>
        </w:rPr>
        <w:t>Convención.</w:t>
      </w:r>
      <w:r>
        <w:rPr>
          <w:spacing w:val="25"/>
          <w:sz w:val="20"/>
        </w:rPr>
        <w:t> </w:t>
      </w:r>
      <w:r>
        <w:rPr>
          <w:sz w:val="20"/>
        </w:rPr>
        <w:t>La</w:t>
      </w:r>
    </w:p>
    <w:p>
      <w:pPr>
        <w:pStyle w:val="BodyText"/>
        <w:spacing w:before="3"/>
        <w:rPr>
          <w:sz w:val="9"/>
        </w:rPr>
      </w:pPr>
      <w:r>
        <w:rPr/>
        <w:pict>
          <v:line style="position:absolute;mso-position-horizontal-relative:page;mso-position-vertical-relative:paragraph;z-index:2032;mso-wrap-distance-left:0;mso-wrap-distance-right:0" from="85.103996pt,7.971745pt" to="229.123996pt,7.971745pt" stroked="true" strokeweight=".72pt" strokecolor="#000000">
            <v:stroke dashstyle="solid"/>
            <w10:wrap type="topAndBottom"/>
          </v:line>
        </w:pict>
      </w:r>
    </w:p>
    <w:p>
      <w:pPr>
        <w:tabs>
          <w:tab w:pos="829" w:val="left" w:leader="none"/>
        </w:tabs>
        <w:spacing w:before="71"/>
        <w:ind w:left="122" w:right="113" w:firstLine="0"/>
        <w:jc w:val="both"/>
        <w:rPr>
          <w:sz w:val="16"/>
        </w:rPr>
      </w:pPr>
      <w:r>
        <w:rPr>
          <w:position w:val="6"/>
          <w:sz w:val="10"/>
        </w:rPr>
        <w:t>128</w:t>
        <w:tab/>
      </w:r>
      <w:r>
        <w:rPr>
          <w:sz w:val="16"/>
        </w:rPr>
        <w:t>“En</w:t>
      </w:r>
      <w:r>
        <w:rPr>
          <w:spacing w:val="-8"/>
          <w:sz w:val="16"/>
        </w:rPr>
        <w:t> </w:t>
      </w:r>
      <w:r>
        <w:rPr>
          <w:sz w:val="16"/>
        </w:rPr>
        <w:t>relación</w:t>
      </w:r>
      <w:r>
        <w:rPr>
          <w:spacing w:val="-8"/>
          <w:sz w:val="16"/>
        </w:rPr>
        <w:t> </w:t>
      </w:r>
      <w:r>
        <w:rPr>
          <w:sz w:val="16"/>
        </w:rPr>
        <w:t>con</w:t>
      </w:r>
      <w:r>
        <w:rPr>
          <w:spacing w:val="-11"/>
          <w:sz w:val="16"/>
        </w:rPr>
        <w:t> </w:t>
      </w:r>
      <w:r>
        <w:rPr>
          <w:sz w:val="16"/>
        </w:rPr>
        <w:t>el</w:t>
      </w:r>
      <w:r>
        <w:rPr>
          <w:spacing w:val="-8"/>
          <w:sz w:val="16"/>
        </w:rPr>
        <w:t> </w:t>
      </w:r>
      <w:r>
        <w:rPr>
          <w:sz w:val="16"/>
        </w:rPr>
        <w:t>artículo</w:t>
      </w:r>
      <w:r>
        <w:rPr>
          <w:spacing w:val="-9"/>
          <w:sz w:val="16"/>
        </w:rPr>
        <w:t> </w:t>
      </w:r>
      <w:r>
        <w:rPr>
          <w:sz w:val="16"/>
        </w:rPr>
        <w:t>2</w:t>
      </w:r>
      <w:r>
        <w:rPr>
          <w:spacing w:val="-9"/>
          <w:sz w:val="16"/>
        </w:rPr>
        <w:t> </w:t>
      </w:r>
      <w:r>
        <w:rPr>
          <w:sz w:val="16"/>
        </w:rPr>
        <w:t>de</w:t>
      </w:r>
      <w:r>
        <w:rPr>
          <w:spacing w:val="-7"/>
          <w:sz w:val="16"/>
        </w:rPr>
        <w:t> </w:t>
      </w:r>
      <w:r>
        <w:rPr>
          <w:sz w:val="16"/>
        </w:rPr>
        <w:t>la</w:t>
      </w:r>
      <w:r>
        <w:rPr>
          <w:spacing w:val="-10"/>
          <w:sz w:val="16"/>
        </w:rPr>
        <w:t> </w:t>
      </w:r>
      <w:r>
        <w:rPr>
          <w:sz w:val="16"/>
        </w:rPr>
        <w:t>Convención</w:t>
      </w:r>
      <w:r>
        <w:rPr>
          <w:spacing w:val="-10"/>
          <w:sz w:val="16"/>
        </w:rPr>
        <w:t> </w:t>
      </w:r>
      <w:r>
        <w:rPr>
          <w:sz w:val="16"/>
        </w:rPr>
        <w:t>Americana,</w:t>
      </w:r>
      <w:r>
        <w:rPr>
          <w:spacing w:val="-8"/>
          <w:sz w:val="16"/>
        </w:rPr>
        <w:t> </w:t>
      </w:r>
      <w:r>
        <w:rPr>
          <w:sz w:val="16"/>
        </w:rPr>
        <w:t>el</w:t>
      </w:r>
      <w:r>
        <w:rPr>
          <w:spacing w:val="-12"/>
          <w:sz w:val="16"/>
        </w:rPr>
        <w:t> </w:t>
      </w:r>
      <w:r>
        <w:rPr>
          <w:sz w:val="16"/>
        </w:rPr>
        <w:t>Tribunal</w:t>
      </w:r>
      <w:r>
        <w:rPr>
          <w:spacing w:val="-8"/>
          <w:sz w:val="16"/>
        </w:rPr>
        <w:t> </w:t>
      </w:r>
      <w:r>
        <w:rPr>
          <w:sz w:val="16"/>
        </w:rPr>
        <w:t>ha</w:t>
      </w:r>
      <w:r>
        <w:rPr>
          <w:spacing w:val="-8"/>
          <w:sz w:val="16"/>
        </w:rPr>
        <w:t> </w:t>
      </w:r>
      <w:r>
        <w:rPr>
          <w:sz w:val="16"/>
        </w:rPr>
        <w:t>indicado</w:t>
      </w:r>
      <w:r>
        <w:rPr>
          <w:spacing w:val="-9"/>
          <w:sz w:val="16"/>
        </w:rPr>
        <w:t> </w:t>
      </w:r>
      <w:r>
        <w:rPr>
          <w:sz w:val="16"/>
        </w:rPr>
        <w:t>que</w:t>
      </w:r>
      <w:r>
        <w:rPr>
          <w:spacing w:val="-10"/>
          <w:sz w:val="16"/>
        </w:rPr>
        <w:t> </w:t>
      </w:r>
      <w:r>
        <w:rPr>
          <w:sz w:val="16"/>
        </w:rPr>
        <w:t>el</w:t>
      </w:r>
      <w:r>
        <w:rPr>
          <w:spacing w:val="-10"/>
          <w:sz w:val="16"/>
        </w:rPr>
        <w:t> </w:t>
      </w:r>
      <w:r>
        <w:rPr>
          <w:sz w:val="16"/>
        </w:rPr>
        <w:t>mismo</w:t>
      </w:r>
      <w:r>
        <w:rPr>
          <w:spacing w:val="-9"/>
          <w:sz w:val="16"/>
        </w:rPr>
        <w:t> </w:t>
      </w:r>
      <w:r>
        <w:rPr>
          <w:sz w:val="16"/>
        </w:rPr>
        <w:t>obliga</w:t>
      </w:r>
      <w:r>
        <w:rPr>
          <w:w w:val="100"/>
          <w:sz w:val="16"/>
        </w:rPr>
        <w:t> </w:t>
      </w:r>
      <w:r>
        <w:rPr>
          <w:sz w:val="16"/>
        </w:rPr>
        <w:t>a los Estados Parte a adoptar, con arreglo a sus procedimientos constitucionales y a las disposiciones de la Convención,</w:t>
      </w:r>
      <w:r>
        <w:rPr>
          <w:spacing w:val="-14"/>
          <w:sz w:val="16"/>
        </w:rPr>
        <w:t> </w:t>
      </w:r>
      <w:r>
        <w:rPr>
          <w:sz w:val="16"/>
        </w:rPr>
        <w:t>las</w:t>
      </w:r>
      <w:r>
        <w:rPr>
          <w:spacing w:val="-13"/>
          <w:sz w:val="16"/>
        </w:rPr>
        <w:t> </w:t>
      </w:r>
      <w:r>
        <w:rPr>
          <w:sz w:val="16"/>
        </w:rPr>
        <w:t>medidas</w:t>
      </w:r>
      <w:r>
        <w:rPr>
          <w:spacing w:val="-15"/>
          <w:sz w:val="16"/>
        </w:rPr>
        <w:t> </w:t>
      </w:r>
      <w:r>
        <w:rPr>
          <w:sz w:val="16"/>
        </w:rPr>
        <w:t>legislativas</w:t>
      </w:r>
      <w:r>
        <w:rPr>
          <w:spacing w:val="-13"/>
          <w:sz w:val="16"/>
        </w:rPr>
        <w:t> </w:t>
      </w:r>
      <w:r>
        <w:rPr>
          <w:sz w:val="16"/>
        </w:rPr>
        <w:t>o</w:t>
      </w:r>
      <w:r>
        <w:rPr>
          <w:spacing w:val="-15"/>
          <w:sz w:val="16"/>
        </w:rPr>
        <w:t> </w:t>
      </w:r>
      <w:r>
        <w:rPr>
          <w:sz w:val="16"/>
        </w:rPr>
        <w:t>de</w:t>
      </w:r>
      <w:r>
        <w:rPr>
          <w:spacing w:val="-15"/>
          <w:sz w:val="16"/>
        </w:rPr>
        <w:t> </w:t>
      </w:r>
      <w:r>
        <w:rPr>
          <w:sz w:val="16"/>
        </w:rPr>
        <w:t>otro</w:t>
      </w:r>
      <w:r>
        <w:rPr>
          <w:spacing w:val="-12"/>
          <w:sz w:val="16"/>
        </w:rPr>
        <w:t> </w:t>
      </w:r>
      <w:r>
        <w:rPr>
          <w:sz w:val="16"/>
        </w:rPr>
        <w:t>carácter</w:t>
      </w:r>
      <w:r>
        <w:rPr>
          <w:spacing w:val="-12"/>
          <w:sz w:val="16"/>
        </w:rPr>
        <w:t> </w:t>
      </w:r>
      <w:r>
        <w:rPr>
          <w:sz w:val="16"/>
        </w:rPr>
        <w:t>que</w:t>
      </w:r>
      <w:r>
        <w:rPr>
          <w:spacing w:val="-13"/>
          <w:sz w:val="16"/>
        </w:rPr>
        <w:t> </w:t>
      </w:r>
      <w:r>
        <w:rPr>
          <w:sz w:val="16"/>
        </w:rPr>
        <w:t>fueren</w:t>
      </w:r>
      <w:r>
        <w:rPr>
          <w:spacing w:val="-14"/>
          <w:sz w:val="16"/>
        </w:rPr>
        <w:t> </w:t>
      </w:r>
      <w:r>
        <w:rPr>
          <w:sz w:val="16"/>
        </w:rPr>
        <w:t>necesarias</w:t>
      </w:r>
      <w:r>
        <w:rPr>
          <w:spacing w:val="-15"/>
          <w:sz w:val="16"/>
        </w:rPr>
        <w:t> </w:t>
      </w:r>
      <w:r>
        <w:rPr>
          <w:sz w:val="16"/>
        </w:rPr>
        <w:t>para</w:t>
      </w:r>
      <w:r>
        <w:rPr>
          <w:spacing w:val="-14"/>
          <w:sz w:val="16"/>
        </w:rPr>
        <w:t> </w:t>
      </w:r>
      <w:r>
        <w:rPr>
          <w:sz w:val="16"/>
        </w:rPr>
        <w:t>hacer</w:t>
      </w:r>
      <w:r>
        <w:rPr>
          <w:spacing w:val="-12"/>
          <w:sz w:val="16"/>
        </w:rPr>
        <w:t> </w:t>
      </w:r>
      <w:r>
        <w:rPr>
          <w:sz w:val="16"/>
        </w:rPr>
        <w:t>efectivos</w:t>
      </w:r>
      <w:r>
        <w:rPr>
          <w:spacing w:val="-15"/>
          <w:sz w:val="16"/>
        </w:rPr>
        <w:t> </w:t>
      </w:r>
      <w:r>
        <w:rPr>
          <w:sz w:val="16"/>
        </w:rPr>
        <w:t>los</w:t>
      </w:r>
      <w:r>
        <w:rPr>
          <w:spacing w:val="-15"/>
          <w:sz w:val="16"/>
        </w:rPr>
        <w:t> </w:t>
      </w:r>
      <w:r>
        <w:rPr>
          <w:sz w:val="16"/>
        </w:rPr>
        <w:t>derechos y libertades protegidos por la Convención. Es decir, ‘[e]l deber general [derivado de este artículo] implica la adopción de medidas en dos vertientes. Por una parte, la supresión de las normas y prácticas de cualquier naturaleza que entrañen violación a las garantías previstas en la Convención. Por la otra, la expedición de normas y el desarrollo de prácticas conducentes a la efectiva observancia de dichas garantías’” (</w:t>
      </w:r>
      <w:r>
        <w:rPr>
          <w:i/>
          <w:sz w:val="16"/>
        </w:rPr>
        <w:t>Caso </w:t>
      </w:r>
      <w:r>
        <w:rPr>
          <w:i/>
          <w:sz w:val="16"/>
        </w:rPr>
        <w:t>Comunidad</w:t>
      </w:r>
      <w:r>
        <w:rPr>
          <w:i/>
          <w:spacing w:val="-5"/>
          <w:sz w:val="16"/>
        </w:rPr>
        <w:t> </w:t>
      </w:r>
      <w:r>
        <w:rPr>
          <w:i/>
          <w:sz w:val="16"/>
        </w:rPr>
        <w:t>Garífuna</w:t>
      </w:r>
      <w:r>
        <w:rPr>
          <w:i/>
          <w:spacing w:val="-4"/>
          <w:sz w:val="16"/>
        </w:rPr>
        <w:t> </w:t>
      </w:r>
      <w:r>
        <w:rPr>
          <w:i/>
          <w:sz w:val="16"/>
        </w:rPr>
        <w:t>de</w:t>
      </w:r>
      <w:r>
        <w:rPr>
          <w:i/>
          <w:spacing w:val="-3"/>
          <w:sz w:val="16"/>
        </w:rPr>
        <w:t> </w:t>
      </w:r>
      <w:r>
        <w:rPr>
          <w:i/>
          <w:sz w:val="16"/>
        </w:rPr>
        <w:t>Punta</w:t>
      </w:r>
      <w:r>
        <w:rPr>
          <w:i/>
          <w:spacing w:val="-4"/>
          <w:sz w:val="16"/>
        </w:rPr>
        <w:t> </w:t>
      </w:r>
      <w:r>
        <w:rPr>
          <w:i/>
          <w:sz w:val="16"/>
        </w:rPr>
        <w:t>Piedra</w:t>
      </w:r>
      <w:r>
        <w:rPr>
          <w:i/>
          <w:spacing w:val="-7"/>
          <w:sz w:val="16"/>
        </w:rPr>
        <w:t> </w:t>
      </w:r>
      <w:r>
        <w:rPr>
          <w:i/>
          <w:sz w:val="16"/>
        </w:rPr>
        <w:t>y</w:t>
      </w:r>
      <w:r>
        <w:rPr>
          <w:i/>
          <w:spacing w:val="-5"/>
          <w:sz w:val="16"/>
        </w:rPr>
        <w:t> </w:t>
      </w:r>
      <w:r>
        <w:rPr>
          <w:i/>
          <w:sz w:val="16"/>
        </w:rPr>
        <w:t>sus</w:t>
      </w:r>
      <w:r>
        <w:rPr>
          <w:i/>
          <w:spacing w:val="-6"/>
          <w:sz w:val="16"/>
        </w:rPr>
        <w:t> </w:t>
      </w:r>
      <w:r>
        <w:rPr>
          <w:i/>
          <w:sz w:val="16"/>
        </w:rPr>
        <w:t>miembros</w:t>
      </w:r>
      <w:r>
        <w:rPr>
          <w:i/>
          <w:spacing w:val="-6"/>
          <w:sz w:val="16"/>
        </w:rPr>
        <w:t> </w:t>
      </w:r>
      <w:r>
        <w:rPr>
          <w:i/>
          <w:sz w:val="16"/>
        </w:rPr>
        <w:t>Vs.</w:t>
      </w:r>
      <w:r>
        <w:rPr>
          <w:i/>
          <w:spacing w:val="-4"/>
          <w:sz w:val="16"/>
        </w:rPr>
        <w:t> </w:t>
      </w:r>
      <w:r>
        <w:rPr>
          <w:i/>
          <w:sz w:val="16"/>
        </w:rPr>
        <w:t>Honduras</w:t>
      </w:r>
      <w:r>
        <w:rPr>
          <w:sz w:val="16"/>
        </w:rPr>
        <w:t>,</w:t>
      </w:r>
      <w:r>
        <w:rPr>
          <w:spacing w:val="-7"/>
          <w:sz w:val="16"/>
        </w:rPr>
        <w:t> </w:t>
      </w:r>
      <w:r>
        <w:rPr>
          <w:sz w:val="16"/>
        </w:rPr>
        <w:t>párr.</w:t>
      </w:r>
      <w:r>
        <w:rPr>
          <w:spacing w:val="-7"/>
          <w:sz w:val="16"/>
        </w:rPr>
        <w:t> </w:t>
      </w:r>
      <w:r>
        <w:rPr>
          <w:sz w:val="16"/>
        </w:rPr>
        <w:t>206.</w:t>
      </w:r>
      <w:r>
        <w:rPr>
          <w:spacing w:val="-5"/>
          <w:sz w:val="16"/>
        </w:rPr>
        <w:t> </w:t>
      </w:r>
      <w:r>
        <w:rPr>
          <w:sz w:val="16"/>
        </w:rPr>
        <w:t>Allí</w:t>
      </w:r>
      <w:r>
        <w:rPr>
          <w:spacing w:val="-4"/>
          <w:sz w:val="16"/>
        </w:rPr>
        <w:t> </w:t>
      </w:r>
      <w:r>
        <w:rPr>
          <w:sz w:val="16"/>
        </w:rPr>
        <w:t>se</w:t>
      </w:r>
      <w:r>
        <w:rPr>
          <w:spacing w:val="-3"/>
          <w:sz w:val="16"/>
        </w:rPr>
        <w:t> </w:t>
      </w:r>
      <w:r>
        <w:rPr>
          <w:sz w:val="16"/>
        </w:rPr>
        <w:t>cita:</w:t>
      </w:r>
      <w:r>
        <w:rPr>
          <w:spacing w:val="-6"/>
          <w:sz w:val="16"/>
        </w:rPr>
        <w:t> </w:t>
      </w:r>
      <w:r>
        <w:rPr>
          <w:i/>
          <w:sz w:val="16"/>
        </w:rPr>
        <w:t>Caso</w:t>
      </w:r>
      <w:r>
        <w:rPr>
          <w:i/>
          <w:spacing w:val="-5"/>
          <w:sz w:val="16"/>
        </w:rPr>
        <w:t> </w:t>
      </w:r>
      <w:r>
        <w:rPr>
          <w:i/>
          <w:sz w:val="16"/>
        </w:rPr>
        <w:t>Genie</w:t>
      </w:r>
      <w:r>
        <w:rPr>
          <w:i/>
          <w:spacing w:val="-3"/>
          <w:sz w:val="16"/>
        </w:rPr>
        <w:t> </w:t>
      </w:r>
      <w:r>
        <w:rPr>
          <w:i/>
          <w:sz w:val="16"/>
        </w:rPr>
        <w:t>Lacayo </w:t>
      </w:r>
      <w:r>
        <w:rPr>
          <w:i/>
          <w:sz w:val="16"/>
        </w:rPr>
        <w:t>Vs. Nicaragua. Fondo, Reparaciones y Costas. </w:t>
      </w:r>
      <w:r>
        <w:rPr>
          <w:sz w:val="16"/>
        </w:rPr>
        <w:t>Sentencia de 29 de enero de 1997. Serie C No. 30, párr. 51; Caso</w:t>
      </w:r>
      <w:r>
        <w:rPr>
          <w:spacing w:val="-11"/>
          <w:sz w:val="16"/>
        </w:rPr>
        <w:t> </w:t>
      </w:r>
      <w:r>
        <w:rPr>
          <w:i/>
          <w:sz w:val="16"/>
        </w:rPr>
        <w:t>Castillo</w:t>
      </w:r>
      <w:r>
        <w:rPr>
          <w:i/>
          <w:spacing w:val="-9"/>
          <w:sz w:val="16"/>
        </w:rPr>
        <w:t> </w:t>
      </w:r>
      <w:r>
        <w:rPr>
          <w:i/>
          <w:sz w:val="16"/>
        </w:rPr>
        <w:t>Petruzzi</w:t>
      </w:r>
      <w:r>
        <w:rPr>
          <w:i/>
          <w:spacing w:val="-11"/>
          <w:sz w:val="16"/>
        </w:rPr>
        <w:t> </w:t>
      </w:r>
      <w:r>
        <w:rPr>
          <w:i/>
          <w:sz w:val="16"/>
        </w:rPr>
        <w:t>y</w:t>
      </w:r>
      <w:r>
        <w:rPr>
          <w:i/>
          <w:spacing w:val="-11"/>
          <w:sz w:val="16"/>
        </w:rPr>
        <w:t> </w:t>
      </w:r>
      <w:r>
        <w:rPr>
          <w:i/>
          <w:sz w:val="16"/>
        </w:rPr>
        <w:t>otros</w:t>
      </w:r>
      <w:r>
        <w:rPr>
          <w:i/>
          <w:spacing w:val="-12"/>
          <w:sz w:val="16"/>
        </w:rPr>
        <w:t> </w:t>
      </w:r>
      <w:r>
        <w:rPr>
          <w:i/>
          <w:sz w:val="16"/>
        </w:rPr>
        <w:t>Vs.</w:t>
      </w:r>
      <w:r>
        <w:rPr>
          <w:i/>
          <w:spacing w:val="-10"/>
          <w:sz w:val="16"/>
        </w:rPr>
        <w:t> </w:t>
      </w:r>
      <w:r>
        <w:rPr>
          <w:i/>
          <w:sz w:val="16"/>
        </w:rPr>
        <w:t>Perú.</w:t>
      </w:r>
      <w:r>
        <w:rPr>
          <w:i/>
          <w:spacing w:val="-13"/>
          <w:sz w:val="16"/>
        </w:rPr>
        <w:t> </w:t>
      </w:r>
      <w:r>
        <w:rPr>
          <w:i/>
          <w:sz w:val="16"/>
        </w:rPr>
        <w:t>Fondo,</w:t>
      </w:r>
      <w:r>
        <w:rPr>
          <w:i/>
          <w:spacing w:val="-13"/>
          <w:sz w:val="16"/>
        </w:rPr>
        <w:t> </w:t>
      </w:r>
      <w:r>
        <w:rPr>
          <w:i/>
          <w:sz w:val="16"/>
        </w:rPr>
        <w:t>Reparaciones</w:t>
      </w:r>
      <w:r>
        <w:rPr>
          <w:i/>
          <w:spacing w:val="-12"/>
          <w:sz w:val="16"/>
        </w:rPr>
        <w:t> </w:t>
      </w:r>
      <w:r>
        <w:rPr>
          <w:i/>
          <w:sz w:val="16"/>
        </w:rPr>
        <w:t>y</w:t>
      </w:r>
      <w:r>
        <w:rPr>
          <w:i/>
          <w:spacing w:val="-9"/>
          <w:sz w:val="16"/>
        </w:rPr>
        <w:t> </w:t>
      </w:r>
      <w:r>
        <w:rPr>
          <w:i/>
          <w:sz w:val="16"/>
        </w:rPr>
        <w:t>Costas.</w:t>
      </w:r>
      <w:r>
        <w:rPr>
          <w:i/>
          <w:spacing w:val="-11"/>
          <w:sz w:val="16"/>
        </w:rPr>
        <w:t> </w:t>
      </w:r>
      <w:r>
        <w:rPr>
          <w:sz w:val="16"/>
        </w:rPr>
        <w:t>Sentencia</w:t>
      </w:r>
      <w:r>
        <w:rPr>
          <w:spacing w:val="-11"/>
          <w:sz w:val="16"/>
        </w:rPr>
        <w:t> </w:t>
      </w:r>
      <w:r>
        <w:rPr>
          <w:sz w:val="16"/>
        </w:rPr>
        <w:t>de</w:t>
      </w:r>
      <w:r>
        <w:rPr>
          <w:spacing w:val="-12"/>
          <w:sz w:val="16"/>
        </w:rPr>
        <w:t> </w:t>
      </w:r>
      <w:r>
        <w:rPr>
          <w:sz w:val="16"/>
        </w:rPr>
        <w:t>30</w:t>
      </w:r>
      <w:r>
        <w:rPr>
          <w:spacing w:val="-11"/>
          <w:sz w:val="16"/>
        </w:rPr>
        <w:t> </w:t>
      </w:r>
      <w:r>
        <w:rPr>
          <w:sz w:val="16"/>
        </w:rPr>
        <w:t>de</w:t>
      </w:r>
      <w:r>
        <w:rPr>
          <w:spacing w:val="-12"/>
          <w:sz w:val="16"/>
        </w:rPr>
        <w:t> </w:t>
      </w:r>
      <w:r>
        <w:rPr>
          <w:sz w:val="16"/>
        </w:rPr>
        <w:t>mayo</w:t>
      </w:r>
      <w:r>
        <w:rPr>
          <w:spacing w:val="-11"/>
          <w:sz w:val="16"/>
        </w:rPr>
        <w:t> </w:t>
      </w:r>
      <w:r>
        <w:rPr>
          <w:sz w:val="16"/>
        </w:rPr>
        <w:t>de</w:t>
      </w:r>
      <w:r>
        <w:rPr>
          <w:spacing w:val="-12"/>
          <w:sz w:val="16"/>
        </w:rPr>
        <w:t> </w:t>
      </w:r>
      <w:r>
        <w:rPr>
          <w:sz w:val="16"/>
        </w:rPr>
        <w:t>1999.</w:t>
      </w:r>
      <w:r>
        <w:rPr>
          <w:spacing w:val="-11"/>
          <w:sz w:val="16"/>
        </w:rPr>
        <w:t> </w:t>
      </w:r>
      <w:r>
        <w:rPr>
          <w:sz w:val="16"/>
        </w:rPr>
        <w:t>Serie C</w:t>
      </w:r>
      <w:r>
        <w:rPr>
          <w:spacing w:val="-6"/>
          <w:sz w:val="16"/>
        </w:rPr>
        <w:t> </w:t>
      </w:r>
      <w:r>
        <w:rPr>
          <w:sz w:val="16"/>
        </w:rPr>
        <w:t>No.</w:t>
      </w:r>
      <w:r>
        <w:rPr>
          <w:spacing w:val="-9"/>
          <w:sz w:val="16"/>
        </w:rPr>
        <w:t> </w:t>
      </w:r>
      <w:r>
        <w:rPr>
          <w:sz w:val="16"/>
        </w:rPr>
        <w:t>52,</w:t>
      </w:r>
      <w:r>
        <w:rPr>
          <w:spacing w:val="-9"/>
          <w:sz w:val="16"/>
        </w:rPr>
        <w:t> </w:t>
      </w:r>
      <w:r>
        <w:rPr>
          <w:sz w:val="16"/>
        </w:rPr>
        <w:t>párr.</w:t>
      </w:r>
      <w:r>
        <w:rPr>
          <w:spacing w:val="-9"/>
          <w:sz w:val="16"/>
        </w:rPr>
        <w:t> </w:t>
      </w:r>
      <w:r>
        <w:rPr>
          <w:sz w:val="16"/>
        </w:rPr>
        <w:t>207</w:t>
      </w:r>
      <w:r>
        <w:rPr>
          <w:i/>
          <w:sz w:val="16"/>
        </w:rPr>
        <w:t>;</w:t>
      </w:r>
      <w:r>
        <w:rPr>
          <w:i/>
          <w:spacing w:val="-9"/>
          <w:sz w:val="16"/>
        </w:rPr>
        <w:t> </w:t>
      </w:r>
      <w:r>
        <w:rPr>
          <w:i/>
          <w:sz w:val="16"/>
        </w:rPr>
        <w:t>Caso</w:t>
      </w:r>
      <w:r>
        <w:rPr>
          <w:i/>
          <w:spacing w:val="-8"/>
          <w:sz w:val="16"/>
        </w:rPr>
        <w:t> </w:t>
      </w:r>
      <w:r>
        <w:rPr>
          <w:i/>
          <w:sz w:val="16"/>
        </w:rPr>
        <w:t>de</w:t>
      </w:r>
      <w:r>
        <w:rPr>
          <w:i/>
          <w:spacing w:val="-8"/>
          <w:sz w:val="16"/>
        </w:rPr>
        <w:t> </w:t>
      </w:r>
      <w:r>
        <w:rPr>
          <w:i/>
          <w:sz w:val="16"/>
        </w:rPr>
        <w:t>los</w:t>
      </w:r>
      <w:r>
        <w:rPr>
          <w:i/>
          <w:spacing w:val="-8"/>
          <w:sz w:val="16"/>
        </w:rPr>
        <w:t> </w:t>
      </w:r>
      <w:r>
        <w:rPr>
          <w:i/>
          <w:sz w:val="16"/>
        </w:rPr>
        <w:t>Pueblos</w:t>
      </w:r>
      <w:r>
        <w:rPr>
          <w:i/>
          <w:spacing w:val="-8"/>
          <w:sz w:val="16"/>
        </w:rPr>
        <w:t> </w:t>
      </w:r>
      <w:r>
        <w:rPr>
          <w:i/>
          <w:sz w:val="16"/>
        </w:rPr>
        <w:t>Indígenas</w:t>
      </w:r>
      <w:r>
        <w:rPr>
          <w:i/>
          <w:spacing w:val="-8"/>
          <w:sz w:val="16"/>
        </w:rPr>
        <w:t> </w:t>
      </w:r>
      <w:r>
        <w:rPr>
          <w:i/>
          <w:sz w:val="16"/>
        </w:rPr>
        <w:t>Kuna</w:t>
      </w:r>
      <w:r>
        <w:rPr>
          <w:i/>
          <w:spacing w:val="-7"/>
          <w:sz w:val="16"/>
        </w:rPr>
        <w:t> </w:t>
      </w:r>
      <w:r>
        <w:rPr>
          <w:i/>
          <w:sz w:val="16"/>
        </w:rPr>
        <w:t>de</w:t>
      </w:r>
      <w:r>
        <w:rPr>
          <w:i/>
          <w:spacing w:val="-8"/>
          <w:sz w:val="16"/>
        </w:rPr>
        <w:t> </w:t>
      </w:r>
      <w:r>
        <w:rPr>
          <w:i/>
          <w:sz w:val="16"/>
        </w:rPr>
        <w:t>Madungandí</w:t>
      </w:r>
      <w:r>
        <w:rPr>
          <w:i/>
          <w:spacing w:val="-9"/>
          <w:sz w:val="16"/>
        </w:rPr>
        <w:t> </w:t>
      </w:r>
      <w:r>
        <w:rPr>
          <w:i/>
          <w:sz w:val="16"/>
        </w:rPr>
        <w:t>y</w:t>
      </w:r>
      <w:r>
        <w:rPr>
          <w:i/>
          <w:spacing w:val="-5"/>
          <w:sz w:val="16"/>
        </w:rPr>
        <w:t> </w:t>
      </w:r>
      <w:r>
        <w:rPr>
          <w:i/>
          <w:sz w:val="16"/>
        </w:rPr>
        <w:t>Emberá</w:t>
      </w:r>
      <w:r>
        <w:rPr>
          <w:i/>
          <w:spacing w:val="-9"/>
          <w:sz w:val="16"/>
        </w:rPr>
        <w:t> </w:t>
      </w:r>
      <w:r>
        <w:rPr>
          <w:i/>
          <w:sz w:val="16"/>
        </w:rPr>
        <w:t>de</w:t>
      </w:r>
      <w:r>
        <w:rPr>
          <w:i/>
          <w:spacing w:val="-8"/>
          <w:sz w:val="16"/>
        </w:rPr>
        <w:t> </w:t>
      </w:r>
      <w:r>
        <w:rPr>
          <w:i/>
          <w:sz w:val="16"/>
        </w:rPr>
        <w:t>Bayano</w:t>
      </w:r>
      <w:r>
        <w:rPr>
          <w:i/>
          <w:spacing w:val="-8"/>
          <w:sz w:val="16"/>
        </w:rPr>
        <w:t> </w:t>
      </w:r>
      <w:r>
        <w:rPr>
          <w:i/>
          <w:sz w:val="16"/>
        </w:rPr>
        <w:t>y</w:t>
      </w:r>
      <w:r>
        <w:rPr>
          <w:i/>
          <w:spacing w:val="-8"/>
          <w:sz w:val="16"/>
        </w:rPr>
        <w:t> </w:t>
      </w:r>
      <w:r>
        <w:rPr>
          <w:i/>
          <w:sz w:val="16"/>
        </w:rPr>
        <w:t>sus</w:t>
      </w:r>
      <w:r>
        <w:rPr>
          <w:i/>
          <w:spacing w:val="-8"/>
          <w:sz w:val="16"/>
        </w:rPr>
        <w:t> </w:t>
      </w:r>
      <w:r>
        <w:rPr>
          <w:i/>
          <w:sz w:val="16"/>
        </w:rPr>
        <w:t>miembros </w:t>
      </w:r>
      <w:r>
        <w:rPr>
          <w:i/>
          <w:sz w:val="16"/>
        </w:rPr>
        <w:t>Vs. Panamá</w:t>
      </w:r>
      <w:r>
        <w:rPr>
          <w:sz w:val="16"/>
        </w:rPr>
        <w:t>, párr. 192, y </w:t>
      </w:r>
      <w:r>
        <w:rPr>
          <w:i/>
          <w:sz w:val="16"/>
        </w:rPr>
        <w:t>Caso Tarazona Arrieta y Otros Vs. Perú. Excepción Preliminar, Fondo, Reparaciones </w:t>
      </w:r>
      <w:r>
        <w:rPr>
          <w:i/>
          <w:sz w:val="16"/>
        </w:rPr>
        <w:t>y Costas. </w:t>
      </w:r>
      <w:r>
        <w:rPr>
          <w:sz w:val="16"/>
        </w:rPr>
        <w:t>Sentencia de 15 de octubre de 2014. Serie C No. 286, párr.</w:t>
      </w:r>
      <w:r>
        <w:rPr>
          <w:spacing w:val="-30"/>
          <w:sz w:val="16"/>
        </w:rPr>
        <w:t> </w:t>
      </w:r>
      <w:r>
        <w:rPr>
          <w:sz w:val="16"/>
        </w:rPr>
        <w:t>153).</w:t>
      </w:r>
    </w:p>
    <w:p>
      <w:pPr>
        <w:pStyle w:val="BodyText"/>
        <w:spacing w:before="11"/>
        <w:rPr>
          <w:sz w:val="15"/>
        </w:rPr>
      </w:pPr>
    </w:p>
    <w:p>
      <w:pPr>
        <w:tabs>
          <w:tab w:pos="841" w:val="left" w:leader="none"/>
        </w:tabs>
        <w:spacing w:before="0"/>
        <w:ind w:left="122" w:right="116" w:firstLine="0"/>
        <w:jc w:val="both"/>
        <w:rPr>
          <w:sz w:val="16"/>
        </w:rPr>
      </w:pPr>
      <w:r>
        <w:rPr>
          <w:position w:val="6"/>
          <w:sz w:val="10"/>
        </w:rPr>
        <w:t>129</w:t>
        <w:tab/>
      </w:r>
      <w:r>
        <w:rPr>
          <w:i/>
          <w:sz w:val="16"/>
        </w:rPr>
        <w:t>Cfr. Caso Godínez Cruz Vs. Honduras. Excepciones Preliminares</w:t>
      </w:r>
      <w:r>
        <w:rPr>
          <w:sz w:val="16"/>
        </w:rPr>
        <w:t>. Sentencia de 26 de junio </w:t>
      </w:r>
      <w:r>
        <w:rPr>
          <w:spacing w:val="1"/>
          <w:sz w:val="16"/>
        </w:rPr>
        <w:t> </w:t>
      </w:r>
      <w:r>
        <w:rPr>
          <w:sz w:val="16"/>
        </w:rPr>
        <w:t>de</w:t>
      </w:r>
      <w:r>
        <w:rPr>
          <w:spacing w:val="5"/>
          <w:sz w:val="16"/>
        </w:rPr>
        <w:t> </w:t>
      </w:r>
      <w:r>
        <w:rPr>
          <w:sz w:val="16"/>
        </w:rPr>
        <w:t>1987.</w:t>
      </w:r>
      <w:r>
        <w:rPr>
          <w:w w:val="100"/>
          <w:sz w:val="16"/>
        </w:rPr>
        <w:t> </w:t>
      </w:r>
      <w:r>
        <w:rPr>
          <w:sz w:val="16"/>
        </w:rPr>
        <w:t>Serie C No. 3, párr. 92, y </w:t>
      </w:r>
      <w:r>
        <w:rPr>
          <w:i/>
          <w:sz w:val="16"/>
        </w:rPr>
        <w:t>Caso Pueblo Indígena Xucuru y sus miembros Vs. Brasil</w:t>
      </w:r>
      <w:r>
        <w:rPr>
          <w:sz w:val="16"/>
        </w:rPr>
        <w:t>, párrs. 130 y</w:t>
      </w:r>
      <w:r>
        <w:rPr>
          <w:spacing w:val="-38"/>
          <w:sz w:val="16"/>
        </w:rPr>
        <w:t> </w:t>
      </w:r>
      <w:r>
        <w:rPr>
          <w:sz w:val="16"/>
        </w:rPr>
        <w:t>132.</w:t>
      </w:r>
    </w:p>
    <w:p>
      <w:pPr>
        <w:pStyle w:val="BodyText"/>
        <w:spacing w:before="11"/>
        <w:rPr>
          <w:sz w:val="15"/>
        </w:rPr>
      </w:pPr>
    </w:p>
    <w:p>
      <w:pPr>
        <w:spacing w:line="240" w:lineRule="auto" w:before="0"/>
        <w:ind w:left="122" w:right="116" w:firstLine="0"/>
        <w:jc w:val="both"/>
        <w:rPr>
          <w:sz w:val="16"/>
        </w:rPr>
      </w:pPr>
      <w:r>
        <w:rPr>
          <w:position w:val="6"/>
          <w:sz w:val="10"/>
        </w:rPr>
        <w:t>130 </w:t>
      </w:r>
      <w:r>
        <w:rPr>
          <w:sz w:val="16"/>
        </w:rPr>
        <w:t>A efectos de evaluar lo referido, debe considerarse que el control efectivo del territorio, sin interferencias, en</w:t>
      </w:r>
      <w:r>
        <w:rPr>
          <w:spacing w:val="-4"/>
          <w:sz w:val="16"/>
        </w:rPr>
        <w:t> </w:t>
      </w:r>
      <w:r>
        <w:rPr>
          <w:sz w:val="16"/>
        </w:rPr>
        <w:t>determinadas</w:t>
      </w:r>
      <w:r>
        <w:rPr>
          <w:spacing w:val="-6"/>
          <w:sz w:val="16"/>
        </w:rPr>
        <w:t> </w:t>
      </w:r>
      <w:r>
        <w:rPr>
          <w:sz w:val="16"/>
        </w:rPr>
        <w:t>circunstancias,</w:t>
      </w:r>
      <w:r>
        <w:rPr>
          <w:spacing w:val="-4"/>
          <w:sz w:val="16"/>
        </w:rPr>
        <w:t> </w:t>
      </w:r>
      <w:r>
        <w:rPr>
          <w:sz w:val="16"/>
        </w:rPr>
        <w:t>puede</w:t>
      </w:r>
      <w:r>
        <w:rPr>
          <w:spacing w:val="-6"/>
          <w:sz w:val="16"/>
        </w:rPr>
        <w:t> </w:t>
      </w:r>
      <w:r>
        <w:rPr>
          <w:sz w:val="16"/>
        </w:rPr>
        <w:t>implicar</w:t>
      </w:r>
      <w:r>
        <w:rPr>
          <w:spacing w:val="-5"/>
          <w:sz w:val="16"/>
        </w:rPr>
        <w:t> </w:t>
      </w:r>
      <w:r>
        <w:rPr>
          <w:sz w:val="16"/>
        </w:rPr>
        <w:t>una</w:t>
      </w:r>
      <w:r>
        <w:rPr>
          <w:spacing w:val="-4"/>
          <w:sz w:val="16"/>
        </w:rPr>
        <w:t> </w:t>
      </w:r>
      <w:r>
        <w:rPr>
          <w:sz w:val="16"/>
        </w:rPr>
        <w:t>labor</w:t>
      </w:r>
      <w:r>
        <w:rPr>
          <w:spacing w:val="-5"/>
          <w:sz w:val="16"/>
        </w:rPr>
        <w:t> </w:t>
      </w:r>
      <w:r>
        <w:rPr>
          <w:sz w:val="16"/>
        </w:rPr>
        <w:t>compleja.</w:t>
      </w:r>
      <w:r>
        <w:rPr>
          <w:spacing w:val="-5"/>
          <w:sz w:val="16"/>
        </w:rPr>
        <w:t> </w:t>
      </w:r>
      <w:r>
        <w:rPr>
          <w:sz w:val="16"/>
        </w:rPr>
        <w:t>Esto,</w:t>
      </w:r>
      <w:r>
        <w:rPr>
          <w:spacing w:val="-7"/>
          <w:sz w:val="16"/>
        </w:rPr>
        <w:t> </w:t>
      </w:r>
      <w:r>
        <w:rPr>
          <w:sz w:val="16"/>
        </w:rPr>
        <w:t>atendiendo</w:t>
      </w:r>
      <w:r>
        <w:rPr>
          <w:spacing w:val="-5"/>
          <w:sz w:val="16"/>
        </w:rPr>
        <w:t> </w:t>
      </w:r>
      <w:r>
        <w:rPr>
          <w:sz w:val="16"/>
        </w:rPr>
        <w:t>a</w:t>
      </w:r>
      <w:r>
        <w:rPr>
          <w:spacing w:val="-7"/>
          <w:sz w:val="16"/>
        </w:rPr>
        <w:t> </w:t>
      </w:r>
      <w:r>
        <w:rPr>
          <w:sz w:val="16"/>
        </w:rPr>
        <w:t>factores</w:t>
      </w:r>
      <w:r>
        <w:rPr>
          <w:spacing w:val="-6"/>
          <w:sz w:val="16"/>
        </w:rPr>
        <w:t> </w:t>
      </w:r>
      <w:r>
        <w:rPr>
          <w:sz w:val="16"/>
        </w:rPr>
        <w:t>tales</w:t>
      </w:r>
      <w:r>
        <w:rPr>
          <w:spacing w:val="-6"/>
          <w:sz w:val="16"/>
        </w:rPr>
        <w:t> </w:t>
      </w:r>
      <w:r>
        <w:rPr>
          <w:sz w:val="16"/>
        </w:rPr>
        <w:t>como</w:t>
      </w:r>
      <w:r>
        <w:rPr>
          <w:spacing w:val="-6"/>
          <w:sz w:val="16"/>
        </w:rPr>
        <w:t> </w:t>
      </w:r>
      <w:r>
        <w:rPr>
          <w:sz w:val="16"/>
        </w:rPr>
        <w:t>la dimensión del territorio, sus características geográficas, la cantidad de terceros presentes en él, su perfil o características, entre otros (</w:t>
      </w:r>
      <w:r>
        <w:rPr>
          <w:i/>
          <w:sz w:val="16"/>
        </w:rPr>
        <w:t>cfr</w:t>
      </w:r>
      <w:r>
        <w:rPr>
          <w:sz w:val="16"/>
        </w:rPr>
        <w:t>. </w:t>
      </w:r>
      <w:r>
        <w:rPr>
          <w:i/>
          <w:sz w:val="16"/>
        </w:rPr>
        <w:t>Caso Comunidad Indígena Yakye Axa Vs. Paraguay</w:t>
      </w:r>
      <w:r>
        <w:rPr>
          <w:sz w:val="16"/>
        </w:rPr>
        <w:t>, párr. 85. En ese sentido, </w:t>
      </w:r>
      <w:r>
        <w:rPr>
          <w:i/>
          <w:sz w:val="16"/>
        </w:rPr>
        <w:t>Caso Pueblo Indígena Xucuru y sus miembros Vs. Brasil</w:t>
      </w:r>
      <w:r>
        <w:rPr>
          <w:sz w:val="16"/>
        </w:rPr>
        <w:t>, párr.</w:t>
      </w:r>
      <w:r>
        <w:rPr>
          <w:spacing w:val="-21"/>
          <w:sz w:val="16"/>
        </w:rPr>
        <w:t> </w:t>
      </w:r>
      <w:r>
        <w:rPr>
          <w:sz w:val="16"/>
        </w:rPr>
        <w:t>139).</w:t>
      </w:r>
    </w:p>
    <w:p>
      <w:pPr>
        <w:spacing w:after="0" w:line="240" w:lineRule="auto"/>
        <w:jc w:val="both"/>
        <w:rPr>
          <w:sz w:val="16"/>
        </w:rPr>
        <w:sectPr>
          <w:pgSz w:w="12240" w:h="15840"/>
          <w:pgMar w:header="0" w:footer="1000" w:top="1340" w:bottom="1200" w:left="1580" w:right="1580"/>
        </w:sectPr>
      </w:pPr>
    </w:p>
    <w:p>
      <w:pPr>
        <w:pStyle w:val="BodyText"/>
        <w:spacing w:before="76"/>
        <w:ind w:left="122" w:right="123"/>
        <w:jc w:val="both"/>
      </w:pPr>
      <w:r>
        <w:rPr/>
        <w:t>Corte no hará el primer examen indicado considerando los artículos 8 y 25 de la Convención pues los mismos no aplican ya que, como se expuso, las actuaciones no se enmarcaron en un proceso reglado previamente (</w:t>
      </w:r>
      <w:r>
        <w:rPr>
          <w:i/>
        </w:rPr>
        <w:t>supra </w:t>
      </w:r>
      <w:r>
        <w:rPr/>
        <w:t>párr. 117). En este sentido, no analizará la observancia de la razonabilidad del plazo seguido como una garantía procesal, sin perjuicio de tener en cuenta el impacto del tiempo en el ejercicio del derecho de propiedad.</w:t>
      </w:r>
    </w:p>
    <w:p>
      <w:pPr>
        <w:pStyle w:val="BodyText"/>
        <w:spacing w:before="10"/>
        <w:rPr>
          <w:sz w:val="19"/>
        </w:rPr>
      </w:pPr>
    </w:p>
    <w:p>
      <w:pPr>
        <w:pStyle w:val="ListParagraph"/>
        <w:numPr>
          <w:ilvl w:val="0"/>
          <w:numId w:val="21"/>
        </w:numPr>
        <w:tabs>
          <w:tab w:pos="830" w:val="left" w:leader="none"/>
        </w:tabs>
        <w:spacing w:line="240" w:lineRule="auto" w:before="0" w:after="0"/>
        <w:ind w:left="122" w:right="124" w:firstLine="0"/>
        <w:jc w:val="both"/>
        <w:rPr>
          <w:sz w:val="20"/>
        </w:rPr>
      </w:pPr>
      <w:r>
        <w:rPr>
          <w:sz w:val="20"/>
        </w:rPr>
        <w:t>Debe aclararse también que la Corte examinará el cumplimiento del artículo 21 convencional respecto a la obligación de garantía establecida en el artículo 1.1 del tratado, pero también respecto al artículo 2, aunque en un sentido distinto al ya expresado. El artículo 2, en efecto, no solo se relaciona con la adaptación normativa formal del orden jurídico interno a la Convención, mediante la adopción de “medidas legislativas”, sino también con la adopción de medidas “de otro carácter” para hacer efectivos los derechos. Entre estas medidas pueden encontrarse aquellas dirigidas a concretar o materializar las normas que el propio Estado ha adoptado a fin de dar satisfacción a un derecho</w:t>
      </w:r>
      <w:r>
        <w:rPr>
          <w:position w:val="7"/>
          <w:sz w:val="13"/>
        </w:rPr>
        <w:t>131</w:t>
      </w:r>
      <w:r>
        <w:rPr>
          <w:sz w:val="20"/>
        </w:rPr>
        <w:t>. De este modo se va a evaluar la conducta estatal, considerando los actos del Estado que formalmente han avanzado en el reconocimiento de la propiedad, mas también las medidas para su concreción</w:t>
      </w:r>
      <w:r>
        <w:rPr>
          <w:spacing w:val="-33"/>
          <w:sz w:val="20"/>
        </w:rPr>
        <w:t> </w:t>
      </w:r>
      <w:r>
        <w:rPr>
          <w:sz w:val="20"/>
        </w:rPr>
        <w:t>efectiva.</w:t>
      </w:r>
    </w:p>
    <w:p>
      <w:pPr>
        <w:pStyle w:val="BodyText"/>
      </w:pPr>
    </w:p>
    <w:p>
      <w:pPr>
        <w:pStyle w:val="ListParagraph"/>
        <w:numPr>
          <w:ilvl w:val="0"/>
          <w:numId w:val="21"/>
        </w:numPr>
        <w:tabs>
          <w:tab w:pos="830" w:val="left" w:leader="none"/>
        </w:tabs>
        <w:spacing w:line="240" w:lineRule="auto" w:before="0" w:after="0"/>
        <w:ind w:left="122" w:right="120" w:firstLine="0"/>
        <w:jc w:val="both"/>
        <w:rPr>
          <w:sz w:val="20"/>
        </w:rPr>
      </w:pPr>
      <w:r>
        <w:rPr>
          <w:sz w:val="20"/>
        </w:rPr>
        <w:t>La</w:t>
      </w:r>
      <w:r>
        <w:rPr>
          <w:spacing w:val="-20"/>
          <w:sz w:val="20"/>
        </w:rPr>
        <w:t> </w:t>
      </w:r>
      <w:r>
        <w:rPr>
          <w:sz w:val="20"/>
        </w:rPr>
        <w:t>Corte</w:t>
      </w:r>
      <w:r>
        <w:rPr>
          <w:spacing w:val="-19"/>
          <w:sz w:val="20"/>
        </w:rPr>
        <w:t> </w:t>
      </w:r>
      <w:r>
        <w:rPr>
          <w:sz w:val="20"/>
        </w:rPr>
        <w:t>evaluará,</w:t>
      </w:r>
      <w:r>
        <w:rPr>
          <w:spacing w:val="-18"/>
          <w:sz w:val="20"/>
        </w:rPr>
        <w:t> </w:t>
      </w:r>
      <w:r>
        <w:rPr>
          <w:sz w:val="20"/>
        </w:rPr>
        <w:t>entonces,</w:t>
      </w:r>
      <w:r>
        <w:rPr>
          <w:spacing w:val="-20"/>
          <w:sz w:val="20"/>
        </w:rPr>
        <w:t> </w:t>
      </w:r>
      <w:r>
        <w:rPr>
          <w:sz w:val="20"/>
        </w:rPr>
        <w:t>con</w:t>
      </w:r>
      <w:r>
        <w:rPr>
          <w:spacing w:val="-19"/>
          <w:sz w:val="20"/>
        </w:rPr>
        <w:t> </w:t>
      </w:r>
      <w:r>
        <w:rPr>
          <w:sz w:val="20"/>
        </w:rPr>
        <w:t>base</w:t>
      </w:r>
      <w:r>
        <w:rPr>
          <w:spacing w:val="-19"/>
          <w:sz w:val="20"/>
        </w:rPr>
        <w:t> </w:t>
      </w:r>
      <w:r>
        <w:rPr>
          <w:sz w:val="20"/>
        </w:rPr>
        <w:t>en</w:t>
      </w:r>
      <w:r>
        <w:rPr>
          <w:spacing w:val="-19"/>
          <w:sz w:val="20"/>
        </w:rPr>
        <w:t> </w:t>
      </w:r>
      <w:r>
        <w:rPr>
          <w:sz w:val="20"/>
        </w:rPr>
        <w:t>lo</w:t>
      </w:r>
      <w:r>
        <w:rPr>
          <w:spacing w:val="-19"/>
          <w:sz w:val="20"/>
        </w:rPr>
        <w:t> </w:t>
      </w:r>
      <w:r>
        <w:rPr>
          <w:sz w:val="20"/>
        </w:rPr>
        <w:t>expresado,</w:t>
      </w:r>
      <w:r>
        <w:rPr>
          <w:spacing w:val="-18"/>
          <w:sz w:val="20"/>
        </w:rPr>
        <w:t> </w:t>
      </w:r>
      <w:r>
        <w:rPr>
          <w:sz w:val="20"/>
        </w:rPr>
        <w:t>si</w:t>
      </w:r>
      <w:r>
        <w:rPr>
          <w:spacing w:val="-20"/>
          <w:sz w:val="20"/>
        </w:rPr>
        <w:t> </w:t>
      </w:r>
      <w:r>
        <w:rPr>
          <w:sz w:val="20"/>
        </w:rPr>
        <w:t>el</w:t>
      </w:r>
      <w:r>
        <w:rPr>
          <w:spacing w:val="-20"/>
          <w:sz w:val="20"/>
        </w:rPr>
        <w:t> </w:t>
      </w:r>
      <w:r>
        <w:rPr>
          <w:sz w:val="20"/>
        </w:rPr>
        <w:t>Estado</w:t>
      </w:r>
      <w:r>
        <w:rPr>
          <w:spacing w:val="-16"/>
          <w:sz w:val="20"/>
        </w:rPr>
        <w:t> </w:t>
      </w:r>
      <w:r>
        <w:rPr>
          <w:sz w:val="20"/>
        </w:rPr>
        <w:t>ha</w:t>
      </w:r>
      <w:r>
        <w:rPr>
          <w:spacing w:val="-19"/>
          <w:sz w:val="20"/>
        </w:rPr>
        <w:t> </w:t>
      </w:r>
      <w:r>
        <w:rPr>
          <w:sz w:val="20"/>
        </w:rPr>
        <w:t>posibilitado en forma adecuada el reconocimiento de propiedad. En efecto, como se detallará (</w:t>
      </w:r>
      <w:r>
        <w:rPr>
          <w:i/>
          <w:sz w:val="20"/>
        </w:rPr>
        <w:t>infra </w:t>
      </w:r>
      <w:r>
        <w:rPr>
          <w:sz w:val="20"/>
        </w:rPr>
        <w:t>párr. 130), es claro que al menos desde 2007, a partir de acuerdos entre criollos e indígenas, refrendados por el Estado, se determinó que una extensión de 400.000 ha sobre los lotes 14 y 55 corresponden a comunidades indígenas. También surge de los hechos que, pese a lo anterior, la separación de la propiedad indígena y de la tierra correspondiente</w:t>
      </w:r>
      <w:r>
        <w:rPr>
          <w:spacing w:val="-15"/>
          <w:sz w:val="20"/>
        </w:rPr>
        <w:t> </w:t>
      </w:r>
      <w:r>
        <w:rPr>
          <w:sz w:val="20"/>
        </w:rPr>
        <w:t>a</w:t>
      </w:r>
      <w:r>
        <w:rPr>
          <w:spacing w:val="-11"/>
          <w:sz w:val="20"/>
        </w:rPr>
        <w:t> </w:t>
      </w:r>
      <w:r>
        <w:rPr>
          <w:sz w:val="20"/>
        </w:rPr>
        <w:t>criollos</w:t>
      </w:r>
      <w:r>
        <w:rPr>
          <w:spacing w:val="-14"/>
          <w:sz w:val="20"/>
        </w:rPr>
        <w:t> </w:t>
      </w:r>
      <w:r>
        <w:rPr>
          <w:sz w:val="20"/>
        </w:rPr>
        <w:t>todavía</w:t>
      </w:r>
      <w:r>
        <w:rPr>
          <w:spacing w:val="-11"/>
          <w:sz w:val="20"/>
        </w:rPr>
        <w:t> </w:t>
      </w:r>
      <w:r>
        <w:rPr>
          <w:sz w:val="20"/>
        </w:rPr>
        <w:t>no</w:t>
      </w:r>
      <w:r>
        <w:rPr>
          <w:spacing w:val="-15"/>
          <w:sz w:val="20"/>
        </w:rPr>
        <w:t> </w:t>
      </w:r>
      <w:r>
        <w:rPr>
          <w:sz w:val="20"/>
        </w:rPr>
        <w:t>se</w:t>
      </w:r>
      <w:r>
        <w:rPr>
          <w:spacing w:val="-15"/>
          <w:sz w:val="20"/>
        </w:rPr>
        <w:t> </w:t>
      </w:r>
      <w:r>
        <w:rPr>
          <w:sz w:val="20"/>
        </w:rPr>
        <w:t>ha</w:t>
      </w:r>
      <w:r>
        <w:rPr>
          <w:spacing w:val="-11"/>
          <w:sz w:val="20"/>
        </w:rPr>
        <w:t> </w:t>
      </w:r>
      <w:r>
        <w:rPr>
          <w:sz w:val="20"/>
        </w:rPr>
        <w:t>concretado</w:t>
      </w:r>
      <w:r>
        <w:rPr>
          <w:spacing w:val="-12"/>
          <w:sz w:val="20"/>
        </w:rPr>
        <w:t> </w:t>
      </w:r>
      <w:r>
        <w:rPr>
          <w:sz w:val="20"/>
        </w:rPr>
        <w:t>en</w:t>
      </w:r>
      <w:r>
        <w:rPr>
          <w:spacing w:val="-13"/>
          <w:sz w:val="20"/>
        </w:rPr>
        <w:t> </w:t>
      </w:r>
      <w:r>
        <w:rPr>
          <w:sz w:val="20"/>
        </w:rPr>
        <w:t>su</w:t>
      </w:r>
      <w:r>
        <w:rPr>
          <w:spacing w:val="-13"/>
          <w:sz w:val="20"/>
        </w:rPr>
        <w:t> </w:t>
      </w:r>
      <w:r>
        <w:rPr>
          <w:sz w:val="20"/>
        </w:rPr>
        <w:t>totalidad:</w:t>
      </w:r>
      <w:r>
        <w:rPr>
          <w:spacing w:val="-13"/>
          <w:sz w:val="20"/>
        </w:rPr>
        <w:t> </w:t>
      </w:r>
      <w:r>
        <w:rPr>
          <w:sz w:val="20"/>
        </w:rPr>
        <w:t>hasta</w:t>
      </w:r>
      <w:r>
        <w:rPr>
          <w:spacing w:val="-14"/>
          <w:sz w:val="20"/>
        </w:rPr>
        <w:t> </w:t>
      </w:r>
      <w:r>
        <w:rPr>
          <w:sz w:val="20"/>
        </w:rPr>
        <w:t>el</w:t>
      </w:r>
      <w:r>
        <w:rPr>
          <w:spacing w:val="-14"/>
          <w:sz w:val="20"/>
        </w:rPr>
        <w:t> </w:t>
      </w:r>
      <w:r>
        <w:rPr>
          <w:sz w:val="20"/>
        </w:rPr>
        <w:t>presente se ha mantenido la presencia criolla y no ha concluido la metodología de “diálogo” (que se</w:t>
      </w:r>
      <w:r>
        <w:rPr>
          <w:spacing w:val="-7"/>
          <w:sz w:val="20"/>
        </w:rPr>
        <w:t> </w:t>
      </w:r>
      <w:r>
        <w:rPr>
          <w:sz w:val="20"/>
        </w:rPr>
        <w:t>describirá</w:t>
      </w:r>
      <w:r>
        <w:rPr>
          <w:spacing w:val="-5"/>
          <w:sz w:val="20"/>
        </w:rPr>
        <w:t> </w:t>
      </w:r>
      <w:r>
        <w:rPr>
          <w:sz w:val="20"/>
        </w:rPr>
        <w:t>más</w:t>
      </w:r>
      <w:r>
        <w:rPr>
          <w:spacing w:val="-6"/>
          <w:sz w:val="20"/>
        </w:rPr>
        <w:t> </w:t>
      </w:r>
      <w:r>
        <w:rPr>
          <w:sz w:val="20"/>
        </w:rPr>
        <w:t>delante,</w:t>
      </w:r>
      <w:r>
        <w:rPr>
          <w:spacing w:val="-3"/>
          <w:sz w:val="20"/>
        </w:rPr>
        <w:t> </w:t>
      </w:r>
      <w:r>
        <w:rPr>
          <w:i/>
          <w:sz w:val="20"/>
        </w:rPr>
        <w:t>infra</w:t>
      </w:r>
      <w:r>
        <w:rPr>
          <w:i/>
          <w:spacing w:val="-5"/>
          <w:sz w:val="20"/>
        </w:rPr>
        <w:t> </w:t>
      </w:r>
      <w:r>
        <w:rPr>
          <w:sz w:val="20"/>
        </w:rPr>
        <w:t>párrs.</w:t>
      </w:r>
      <w:r>
        <w:rPr>
          <w:spacing w:val="-6"/>
          <w:sz w:val="20"/>
        </w:rPr>
        <w:t> </w:t>
      </w:r>
      <w:r>
        <w:rPr>
          <w:sz w:val="20"/>
        </w:rPr>
        <w:t>131</w:t>
      </w:r>
      <w:r>
        <w:rPr>
          <w:spacing w:val="-5"/>
          <w:sz w:val="20"/>
        </w:rPr>
        <w:t> </w:t>
      </w:r>
      <w:r>
        <w:rPr>
          <w:sz w:val="20"/>
        </w:rPr>
        <w:t>y</w:t>
      </w:r>
      <w:r>
        <w:rPr>
          <w:spacing w:val="-4"/>
          <w:sz w:val="20"/>
        </w:rPr>
        <w:t> </w:t>
      </w:r>
      <w:r>
        <w:rPr>
          <w:sz w:val="20"/>
        </w:rPr>
        <w:t>140</w:t>
      </w:r>
      <w:r>
        <w:rPr>
          <w:spacing w:val="-5"/>
          <w:sz w:val="20"/>
        </w:rPr>
        <w:t> </w:t>
      </w:r>
      <w:r>
        <w:rPr>
          <w:sz w:val="20"/>
        </w:rPr>
        <w:t>a</w:t>
      </w:r>
      <w:r>
        <w:rPr>
          <w:spacing w:val="-5"/>
          <w:sz w:val="20"/>
        </w:rPr>
        <w:t> </w:t>
      </w:r>
      <w:r>
        <w:rPr>
          <w:sz w:val="20"/>
        </w:rPr>
        <w:t>144)</w:t>
      </w:r>
      <w:r>
        <w:rPr>
          <w:spacing w:val="-5"/>
          <w:sz w:val="20"/>
        </w:rPr>
        <w:t> </w:t>
      </w:r>
      <w:r>
        <w:rPr>
          <w:sz w:val="20"/>
        </w:rPr>
        <w:t>para</w:t>
      </w:r>
      <w:r>
        <w:rPr>
          <w:spacing w:val="-5"/>
          <w:sz w:val="20"/>
        </w:rPr>
        <w:t> </w:t>
      </w:r>
      <w:r>
        <w:rPr>
          <w:sz w:val="20"/>
        </w:rPr>
        <w:t>acordar</w:t>
      </w:r>
      <w:r>
        <w:rPr>
          <w:spacing w:val="-4"/>
          <w:sz w:val="20"/>
        </w:rPr>
        <w:t> </w:t>
      </w:r>
      <w:r>
        <w:rPr>
          <w:sz w:val="20"/>
        </w:rPr>
        <w:t>los</w:t>
      </w:r>
      <w:r>
        <w:rPr>
          <w:spacing w:val="-6"/>
          <w:sz w:val="20"/>
        </w:rPr>
        <w:t> </w:t>
      </w:r>
      <w:r>
        <w:rPr>
          <w:sz w:val="20"/>
        </w:rPr>
        <w:t>distintos</w:t>
      </w:r>
      <w:r>
        <w:rPr>
          <w:spacing w:val="-4"/>
          <w:sz w:val="20"/>
        </w:rPr>
        <w:t> </w:t>
      </w:r>
      <w:r>
        <w:rPr>
          <w:sz w:val="20"/>
        </w:rPr>
        <w:t>sitios de “relocalización” y concretar su</w:t>
      </w:r>
      <w:r>
        <w:rPr>
          <w:spacing w:val="-17"/>
          <w:sz w:val="20"/>
        </w:rPr>
        <w:t> </w:t>
      </w:r>
      <w:r>
        <w:rPr>
          <w:sz w:val="20"/>
        </w:rPr>
        <w:t>traslado</w:t>
      </w:r>
      <w:r>
        <w:rPr>
          <w:position w:val="7"/>
          <w:sz w:val="13"/>
        </w:rPr>
        <w:t>132</w:t>
      </w:r>
      <w:r>
        <w:rPr>
          <w:sz w:val="20"/>
        </w:rPr>
        <w:t>.</w:t>
      </w:r>
    </w:p>
    <w:p>
      <w:pPr>
        <w:pStyle w:val="BodyText"/>
      </w:pPr>
    </w:p>
    <w:p>
      <w:pPr>
        <w:pStyle w:val="ListParagraph"/>
        <w:numPr>
          <w:ilvl w:val="0"/>
          <w:numId w:val="21"/>
        </w:numPr>
        <w:tabs>
          <w:tab w:pos="830" w:val="left" w:leader="none"/>
        </w:tabs>
        <w:spacing w:line="240" w:lineRule="auto" w:before="0" w:after="0"/>
        <w:ind w:left="122" w:right="129" w:firstLine="0"/>
        <w:jc w:val="both"/>
        <w:rPr>
          <w:sz w:val="20"/>
        </w:rPr>
      </w:pPr>
      <w:r>
        <w:rPr>
          <w:sz w:val="20"/>
        </w:rPr>
        <w:t>Considerando lo expuesto, la Corte pasa a analizar la conducta estatal observando la sucesión de actos en orden</w:t>
      </w:r>
      <w:r>
        <w:rPr>
          <w:spacing w:val="-20"/>
          <w:sz w:val="20"/>
        </w:rPr>
        <w:t> </w:t>
      </w:r>
      <w:r>
        <w:rPr>
          <w:sz w:val="20"/>
        </w:rPr>
        <w:t>cronológico.</w:t>
      </w:r>
    </w:p>
    <w:p>
      <w:pPr>
        <w:pStyle w:val="BodyText"/>
      </w:pPr>
    </w:p>
    <w:p>
      <w:pPr>
        <w:pStyle w:val="ListParagraph"/>
        <w:numPr>
          <w:ilvl w:val="2"/>
          <w:numId w:val="24"/>
        </w:numPr>
        <w:tabs>
          <w:tab w:pos="1579" w:val="left" w:leader="none"/>
        </w:tabs>
        <w:spacing w:line="240" w:lineRule="auto" w:before="0" w:after="0"/>
        <w:ind w:left="1578" w:right="0" w:hanging="604"/>
        <w:jc w:val="left"/>
        <w:rPr>
          <w:i/>
          <w:sz w:val="20"/>
        </w:rPr>
      </w:pPr>
      <w:bookmarkStart w:name="_bookmark40" w:id="67"/>
      <w:bookmarkEnd w:id="67"/>
      <w:r>
        <w:rPr/>
      </w:r>
      <w:bookmarkStart w:name="_bookmark40" w:id="68"/>
      <w:bookmarkEnd w:id="68"/>
      <w:r>
        <w:rPr>
          <w:i/>
          <w:sz w:val="20"/>
          <w:u w:val="single"/>
        </w:rPr>
        <w:t>A</w:t>
      </w:r>
      <w:r>
        <w:rPr>
          <w:i/>
          <w:sz w:val="20"/>
          <w:u w:val="single"/>
        </w:rPr>
        <w:t>ctos realizados para el reconocimiento de la</w:t>
      </w:r>
      <w:r>
        <w:rPr>
          <w:i/>
          <w:spacing w:val="-24"/>
          <w:sz w:val="20"/>
          <w:u w:val="single"/>
        </w:rPr>
        <w:t> </w:t>
      </w:r>
      <w:r>
        <w:rPr>
          <w:i/>
          <w:sz w:val="20"/>
          <w:u w:val="single"/>
        </w:rPr>
        <w:t>propiedad</w:t>
      </w:r>
    </w:p>
    <w:p>
      <w:pPr>
        <w:pStyle w:val="BodyText"/>
        <w:spacing w:before="8"/>
        <w:rPr>
          <w:i/>
          <w:sz w:val="11"/>
        </w:rPr>
      </w:pPr>
    </w:p>
    <w:p>
      <w:pPr>
        <w:pStyle w:val="ListParagraph"/>
        <w:numPr>
          <w:ilvl w:val="3"/>
          <w:numId w:val="24"/>
        </w:numPr>
        <w:tabs>
          <w:tab w:pos="2059" w:val="left" w:leader="none"/>
        </w:tabs>
        <w:spacing w:line="240" w:lineRule="auto" w:before="99" w:after="0"/>
        <w:ind w:left="2058" w:right="0" w:hanging="804"/>
        <w:jc w:val="left"/>
        <w:rPr>
          <w:i/>
          <w:sz w:val="20"/>
        </w:rPr>
      </w:pPr>
      <w:bookmarkStart w:name="_bookmark41" w:id="69"/>
      <w:bookmarkEnd w:id="69"/>
      <w:r>
        <w:rPr/>
      </w:r>
      <w:bookmarkStart w:name="_bookmark41" w:id="70"/>
      <w:bookmarkEnd w:id="70"/>
      <w:r>
        <w:rPr>
          <w:i/>
          <w:sz w:val="20"/>
        </w:rPr>
        <w:t>A</w:t>
      </w:r>
      <w:r>
        <w:rPr>
          <w:i/>
          <w:sz w:val="20"/>
        </w:rPr>
        <w:t>ntes de</w:t>
      </w:r>
      <w:r>
        <w:rPr>
          <w:i/>
          <w:spacing w:val="-6"/>
          <w:sz w:val="20"/>
        </w:rPr>
        <w:t> </w:t>
      </w:r>
      <w:r>
        <w:rPr>
          <w:i/>
          <w:sz w:val="20"/>
        </w:rPr>
        <w:t>1999</w:t>
      </w:r>
    </w:p>
    <w:p>
      <w:pPr>
        <w:pStyle w:val="BodyText"/>
        <w:rPr>
          <w:i/>
        </w:rPr>
      </w:pPr>
    </w:p>
    <w:p>
      <w:pPr>
        <w:pStyle w:val="ListParagraph"/>
        <w:numPr>
          <w:ilvl w:val="0"/>
          <w:numId w:val="21"/>
        </w:numPr>
        <w:tabs>
          <w:tab w:pos="830" w:val="left" w:leader="none"/>
        </w:tabs>
        <w:spacing w:line="240" w:lineRule="auto" w:before="0" w:after="0"/>
        <w:ind w:left="122" w:right="124" w:firstLine="0"/>
        <w:jc w:val="both"/>
        <w:rPr>
          <w:sz w:val="20"/>
        </w:rPr>
      </w:pPr>
      <w:r>
        <w:rPr>
          <w:sz w:val="20"/>
        </w:rPr>
        <w:t>Como</w:t>
      </w:r>
      <w:r>
        <w:rPr>
          <w:spacing w:val="-9"/>
          <w:sz w:val="20"/>
        </w:rPr>
        <w:t> </w:t>
      </w:r>
      <w:r>
        <w:rPr>
          <w:sz w:val="20"/>
        </w:rPr>
        <w:t>surge</w:t>
      </w:r>
      <w:r>
        <w:rPr>
          <w:spacing w:val="-12"/>
          <w:sz w:val="20"/>
        </w:rPr>
        <w:t> </w:t>
      </w:r>
      <w:r>
        <w:rPr>
          <w:sz w:val="20"/>
        </w:rPr>
        <w:t>de</w:t>
      </w:r>
      <w:r>
        <w:rPr>
          <w:spacing w:val="-12"/>
          <w:sz w:val="20"/>
        </w:rPr>
        <w:t> </w:t>
      </w:r>
      <w:r>
        <w:rPr>
          <w:sz w:val="20"/>
        </w:rPr>
        <w:t>la</w:t>
      </w:r>
      <w:r>
        <w:rPr>
          <w:spacing w:val="-8"/>
          <w:sz w:val="20"/>
        </w:rPr>
        <w:t> </w:t>
      </w:r>
      <w:r>
        <w:rPr>
          <w:sz w:val="20"/>
        </w:rPr>
        <w:t>exposición</w:t>
      </w:r>
      <w:r>
        <w:rPr>
          <w:spacing w:val="-10"/>
          <w:sz w:val="20"/>
        </w:rPr>
        <w:t> </w:t>
      </w:r>
      <w:r>
        <w:rPr>
          <w:sz w:val="20"/>
        </w:rPr>
        <w:t>de</w:t>
      </w:r>
      <w:r>
        <w:rPr>
          <w:spacing w:val="-9"/>
          <w:sz w:val="20"/>
        </w:rPr>
        <w:t> </w:t>
      </w:r>
      <w:r>
        <w:rPr>
          <w:sz w:val="20"/>
        </w:rPr>
        <w:t>hechos,</w:t>
      </w:r>
      <w:r>
        <w:rPr>
          <w:spacing w:val="-9"/>
          <w:sz w:val="20"/>
        </w:rPr>
        <w:t> </w:t>
      </w:r>
      <w:r>
        <w:rPr>
          <w:sz w:val="20"/>
        </w:rPr>
        <w:t>hay</w:t>
      </w:r>
      <w:r>
        <w:rPr>
          <w:spacing w:val="-10"/>
          <w:sz w:val="20"/>
        </w:rPr>
        <w:t> </w:t>
      </w:r>
      <w:r>
        <w:rPr>
          <w:sz w:val="20"/>
        </w:rPr>
        <w:t>antecedentes</w:t>
      </w:r>
      <w:r>
        <w:rPr>
          <w:spacing w:val="-11"/>
          <w:sz w:val="20"/>
        </w:rPr>
        <w:t> </w:t>
      </w:r>
      <w:r>
        <w:rPr>
          <w:sz w:val="20"/>
        </w:rPr>
        <w:t>de</w:t>
      </w:r>
      <w:r>
        <w:rPr>
          <w:spacing w:val="-12"/>
          <w:sz w:val="20"/>
        </w:rPr>
        <w:t> </w:t>
      </w:r>
      <w:r>
        <w:rPr>
          <w:sz w:val="20"/>
        </w:rPr>
        <w:t>reclamos</w:t>
      </w:r>
      <w:r>
        <w:rPr>
          <w:spacing w:val="-11"/>
          <w:sz w:val="20"/>
        </w:rPr>
        <w:t> </w:t>
      </w:r>
      <w:r>
        <w:rPr>
          <w:sz w:val="20"/>
        </w:rPr>
        <w:t>indígenas sobre</w:t>
      </w:r>
      <w:r>
        <w:rPr>
          <w:spacing w:val="-21"/>
          <w:sz w:val="20"/>
        </w:rPr>
        <w:t> </w:t>
      </w:r>
      <w:r>
        <w:rPr>
          <w:sz w:val="20"/>
        </w:rPr>
        <w:t>los</w:t>
      </w:r>
      <w:r>
        <w:rPr>
          <w:spacing w:val="-21"/>
          <w:sz w:val="20"/>
        </w:rPr>
        <w:t> </w:t>
      </w:r>
      <w:r>
        <w:rPr>
          <w:sz w:val="20"/>
        </w:rPr>
        <w:t>lotes</w:t>
      </w:r>
      <w:r>
        <w:rPr>
          <w:spacing w:val="-21"/>
          <w:sz w:val="20"/>
        </w:rPr>
        <w:t> </w:t>
      </w:r>
      <w:r>
        <w:rPr>
          <w:sz w:val="20"/>
        </w:rPr>
        <w:t>14</w:t>
      </w:r>
      <w:r>
        <w:rPr>
          <w:spacing w:val="-19"/>
          <w:sz w:val="20"/>
        </w:rPr>
        <w:t> </w:t>
      </w:r>
      <w:r>
        <w:rPr>
          <w:sz w:val="20"/>
        </w:rPr>
        <w:t>y</w:t>
      </w:r>
      <w:r>
        <w:rPr>
          <w:spacing w:val="-20"/>
          <w:sz w:val="20"/>
        </w:rPr>
        <w:t> </w:t>
      </w:r>
      <w:r>
        <w:rPr>
          <w:sz w:val="20"/>
        </w:rPr>
        <w:t>55</w:t>
      </w:r>
      <w:r>
        <w:rPr>
          <w:spacing w:val="-19"/>
          <w:sz w:val="20"/>
        </w:rPr>
        <w:t> </w:t>
      </w:r>
      <w:r>
        <w:rPr>
          <w:sz w:val="20"/>
        </w:rPr>
        <w:t>que</w:t>
      </w:r>
      <w:r>
        <w:rPr>
          <w:spacing w:val="-21"/>
          <w:sz w:val="20"/>
        </w:rPr>
        <w:t> </w:t>
      </w:r>
      <w:r>
        <w:rPr>
          <w:sz w:val="20"/>
        </w:rPr>
        <w:t>ocurrieron</w:t>
      </w:r>
      <w:r>
        <w:rPr>
          <w:spacing w:val="-19"/>
          <w:sz w:val="20"/>
        </w:rPr>
        <w:t> </w:t>
      </w:r>
      <w:r>
        <w:rPr>
          <w:sz w:val="20"/>
        </w:rPr>
        <w:t>hace</w:t>
      </w:r>
      <w:r>
        <w:rPr>
          <w:spacing w:val="-21"/>
          <w:sz w:val="20"/>
        </w:rPr>
        <w:t> </w:t>
      </w:r>
      <w:r>
        <w:rPr>
          <w:sz w:val="20"/>
        </w:rPr>
        <w:t>más</w:t>
      </w:r>
      <w:r>
        <w:rPr>
          <w:spacing w:val="-16"/>
          <w:sz w:val="20"/>
        </w:rPr>
        <w:t> </w:t>
      </w:r>
      <w:r>
        <w:rPr>
          <w:sz w:val="20"/>
        </w:rPr>
        <w:t>de</w:t>
      </w:r>
      <w:r>
        <w:rPr>
          <w:spacing w:val="-21"/>
          <w:sz w:val="20"/>
        </w:rPr>
        <w:t> </w:t>
      </w:r>
      <w:r>
        <w:rPr>
          <w:sz w:val="20"/>
        </w:rPr>
        <w:t>35</w:t>
      </w:r>
      <w:r>
        <w:rPr>
          <w:spacing w:val="-19"/>
          <w:sz w:val="20"/>
        </w:rPr>
        <w:t> </w:t>
      </w:r>
      <w:r>
        <w:rPr>
          <w:sz w:val="20"/>
        </w:rPr>
        <w:t>años.</w:t>
      </w:r>
      <w:r>
        <w:rPr>
          <w:spacing w:val="-21"/>
          <w:sz w:val="20"/>
        </w:rPr>
        <w:t> </w:t>
      </w:r>
      <w:r>
        <w:rPr>
          <w:sz w:val="20"/>
        </w:rPr>
        <w:t>No</w:t>
      </w:r>
      <w:r>
        <w:rPr>
          <w:spacing w:val="-19"/>
          <w:sz w:val="20"/>
        </w:rPr>
        <w:t> </w:t>
      </w:r>
      <w:r>
        <w:rPr>
          <w:sz w:val="20"/>
        </w:rPr>
        <w:t>obstante,</w:t>
      </w:r>
      <w:r>
        <w:rPr>
          <w:spacing w:val="-20"/>
          <w:sz w:val="20"/>
        </w:rPr>
        <w:t> </w:t>
      </w:r>
      <w:r>
        <w:rPr>
          <w:sz w:val="20"/>
        </w:rPr>
        <w:t>de</w:t>
      </w:r>
      <w:r>
        <w:rPr>
          <w:spacing w:val="-19"/>
          <w:sz w:val="20"/>
        </w:rPr>
        <w:t> </w:t>
      </w:r>
      <w:r>
        <w:rPr>
          <w:sz w:val="20"/>
        </w:rPr>
        <w:t>conformidad con la información allegada a este Tribunal, en el marco temporal de su competencia (</w:t>
      </w:r>
      <w:r>
        <w:rPr>
          <w:i/>
          <w:sz w:val="20"/>
        </w:rPr>
        <w:t>supra</w:t>
      </w:r>
      <w:r>
        <w:rPr>
          <w:i/>
          <w:spacing w:val="-10"/>
          <w:sz w:val="20"/>
        </w:rPr>
        <w:t> </w:t>
      </w:r>
      <w:r>
        <w:rPr>
          <w:sz w:val="20"/>
        </w:rPr>
        <w:t>párr.</w:t>
      </w:r>
      <w:r>
        <w:rPr>
          <w:spacing w:val="-11"/>
          <w:sz w:val="20"/>
        </w:rPr>
        <w:t> </w:t>
      </w:r>
      <w:r>
        <w:rPr>
          <w:sz w:val="20"/>
        </w:rPr>
        <w:t>13</w:t>
      </w:r>
      <w:r>
        <w:rPr>
          <w:spacing w:val="-7"/>
          <w:sz w:val="20"/>
        </w:rPr>
        <w:t> </w:t>
      </w:r>
      <w:r>
        <w:rPr>
          <w:sz w:val="20"/>
        </w:rPr>
        <w:t>y</w:t>
      </w:r>
      <w:r>
        <w:rPr>
          <w:spacing w:val="-11"/>
          <w:sz w:val="20"/>
        </w:rPr>
        <w:t> </w:t>
      </w:r>
      <w:r>
        <w:rPr>
          <w:sz w:val="20"/>
        </w:rPr>
        <w:t>nota</w:t>
      </w:r>
      <w:r>
        <w:rPr>
          <w:spacing w:val="-10"/>
          <w:sz w:val="20"/>
        </w:rPr>
        <w:t> </w:t>
      </w:r>
      <w:r>
        <w:rPr>
          <w:sz w:val="20"/>
        </w:rPr>
        <w:t>a</w:t>
      </w:r>
      <w:r>
        <w:rPr>
          <w:spacing w:val="-8"/>
          <w:sz w:val="20"/>
        </w:rPr>
        <w:t> </w:t>
      </w:r>
      <w:r>
        <w:rPr>
          <w:sz w:val="20"/>
        </w:rPr>
        <w:t>pie</w:t>
      </w:r>
      <w:r>
        <w:rPr>
          <w:spacing w:val="-12"/>
          <w:sz w:val="20"/>
        </w:rPr>
        <w:t> </w:t>
      </w:r>
      <w:r>
        <w:rPr>
          <w:sz w:val="20"/>
        </w:rPr>
        <w:t>de</w:t>
      </w:r>
      <w:r>
        <w:rPr>
          <w:spacing w:val="-12"/>
          <w:sz w:val="20"/>
        </w:rPr>
        <w:t> </w:t>
      </w:r>
      <w:r>
        <w:rPr>
          <w:sz w:val="20"/>
        </w:rPr>
        <w:t>página</w:t>
      </w:r>
      <w:r>
        <w:rPr>
          <w:spacing w:val="-10"/>
          <w:sz w:val="20"/>
        </w:rPr>
        <w:t> </w:t>
      </w:r>
      <w:r>
        <w:rPr>
          <w:sz w:val="20"/>
        </w:rPr>
        <w:t>45)</w:t>
      </w:r>
      <w:r>
        <w:rPr>
          <w:spacing w:val="-7"/>
          <w:sz w:val="20"/>
        </w:rPr>
        <w:t> </w:t>
      </w:r>
      <w:r>
        <w:rPr>
          <w:sz w:val="20"/>
        </w:rPr>
        <w:t>fue</w:t>
      </w:r>
      <w:r>
        <w:rPr>
          <w:spacing w:val="-9"/>
          <w:sz w:val="20"/>
        </w:rPr>
        <w:t> </w:t>
      </w:r>
      <w:r>
        <w:rPr>
          <w:sz w:val="20"/>
        </w:rPr>
        <w:t>en</w:t>
      </w:r>
      <w:r>
        <w:rPr>
          <w:spacing w:val="-7"/>
          <w:sz w:val="20"/>
        </w:rPr>
        <w:t> </w:t>
      </w:r>
      <w:r>
        <w:rPr>
          <w:sz w:val="20"/>
        </w:rPr>
        <w:t>julio</w:t>
      </w:r>
      <w:r>
        <w:rPr>
          <w:spacing w:val="-11"/>
          <w:sz w:val="20"/>
        </w:rPr>
        <w:t> </w:t>
      </w:r>
      <w:r>
        <w:rPr>
          <w:sz w:val="20"/>
        </w:rPr>
        <w:t>de</w:t>
      </w:r>
      <w:r>
        <w:rPr>
          <w:spacing w:val="-12"/>
          <w:sz w:val="20"/>
        </w:rPr>
        <w:t> </w:t>
      </w:r>
      <w:r>
        <w:rPr>
          <w:sz w:val="20"/>
        </w:rPr>
        <w:t>1991</w:t>
      </w:r>
      <w:r>
        <w:rPr>
          <w:spacing w:val="-7"/>
          <w:sz w:val="20"/>
        </w:rPr>
        <w:t> </w:t>
      </w:r>
      <w:r>
        <w:rPr>
          <w:sz w:val="20"/>
        </w:rPr>
        <w:t>cuando,</w:t>
      </w:r>
      <w:r>
        <w:rPr>
          <w:spacing w:val="-11"/>
          <w:sz w:val="20"/>
        </w:rPr>
        <w:t> </w:t>
      </w:r>
      <w:r>
        <w:rPr>
          <w:sz w:val="20"/>
        </w:rPr>
        <w:t>por</w:t>
      </w:r>
      <w:r>
        <w:rPr>
          <w:spacing w:val="-11"/>
          <w:sz w:val="20"/>
        </w:rPr>
        <w:t> </w:t>
      </w:r>
      <w:r>
        <w:rPr>
          <w:sz w:val="20"/>
        </w:rPr>
        <w:t>primera</w:t>
      </w:r>
      <w:r>
        <w:rPr>
          <w:spacing w:val="-10"/>
          <w:sz w:val="20"/>
        </w:rPr>
        <w:t> </w:t>
      </w:r>
      <w:r>
        <w:rPr>
          <w:sz w:val="20"/>
        </w:rPr>
        <w:t>vez,</w:t>
      </w:r>
    </w:p>
    <w:p>
      <w:pPr>
        <w:pStyle w:val="BodyText"/>
        <w:spacing w:before="2"/>
        <w:rPr>
          <w:sz w:val="13"/>
        </w:rPr>
      </w:pPr>
      <w:r>
        <w:rPr/>
        <w:pict>
          <v:line style="position:absolute;mso-position-horizontal-relative:page;mso-position-vertical-relative:paragraph;z-index:2056;mso-wrap-distance-left:0;mso-wrap-distance-right:0" from="85.103996pt,10.360829pt" to="229.123996pt,10.360829pt" stroked="true" strokeweight=".71997pt" strokecolor="#000000">
            <v:stroke dashstyle="solid"/>
            <w10:wrap type="topAndBottom"/>
          </v:line>
        </w:pict>
      </w:r>
    </w:p>
    <w:p>
      <w:pPr>
        <w:tabs>
          <w:tab w:pos="829" w:val="left" w:leader="none"/>
        </w:tabs>
        <w:spacing w:before="71"/>
        <w:ind w:left="122" w:right="115" w:firstLine="0"/>
        <w:jc w:val="both"/>
        <w:rPr>
          <w:sz w:val="16"/>
        </w:rPr>
      </w:pPr>
      <w:r>
        <w:rPr>
          <w:position w:val="6"/>
          <w:sz w:val="10"/>
        </w:rPr>
        <w:t>131</w:t>
        <w:tab/>
      </w:r>
      <w:r>
        <w:rPr>
          <w:sz w:val="16"/>
        </w:rPr>
        <w:t>En</w:t>
      </w:r>
      <w:r>
        <w:rPr>
          <w:spacing w:val="-1"/>
          <w:sz w:val="16"/>
        </w:rPr>
        <w:t> </w:t>
      </w:r>
      <w:r>
        <w:rPr>
          <w:sz w:val="16"/>
        </w:rPr>
        <w:t>ese</w:t>
      </w:r>
      <w:r>
        <w:rPr>
          <w:spacing w:val="-5"/>
          <w:sz w:val="16"/>
        </w:rPr>
        <w:t> </w:t>
      </w:r>
      <w:r>
        <w:rPr>
          <w:sz w:val="16"/>
        </w:rPr>
        <w:t>sentido,</w:t>
      </w:r>
      <w:r>
        <w:rPr>
          <w:spacing w:val="-4"/>
          <w:sz w:val="16"/>
        </w:rPr>
        <w:t> </w:t>
      </w:r>
      <w:r>
        <w:rPr>
          <w:sz w:val="16"/>
        </w:rPr>
        <w:t>la</w:t>
      </w:r>
      <w:r>
        <w:rPr>
          <w:spacing w:val="-3"/>
          <w:sz w:val="16"/>
        </w:rPr>
        <w:t> </w:t>
      </w:r>
      <w:r>
        <w:rPr>
          <w:sz w:val="16"/>
        </w:rPr>
        <w:t>Corte</w:t>
      </w:r>
      <w:r>
        <w:rPr>
          <w:spacing w:val="-3"/>
          <w:sz w:val="16"/>
        </w:rPr>
        <w:t> </w:t>
      </w:r>
      <w:r>
        <w:rPr>
          <w:sz w:val="16"/>
        </w:rPr>
        <w:t>ha</w:t>
      </w:r>
      <w:r>
        <w:rPr>
          <w:spacing w:val="-3"/>
          <w:sz w:val="16"/>
        </w:rPr>
        <w:t> </w:t>
      </w:r>
      <w:r>
        <w:rPr>
          <w:sz w:val="16"/>
        </w:rPr>
        <w:t>señalado</w:t>
      </w:r>
      <w:r>
        <w:rPr>
          <w:spacing w:val="-2"/>
          <w:sz w:val="16"/>
        </w:rPr>
        <w:t> </w:t>
      </w:r>
      <w:r>
        <w:rPr>
          <w:sz w:val="16"/>
        </w:rPr>
        <w:t>que</w:t>
      </w:r>
      <w:r>
        <w:rPr>
          <w:spacing w:val="-3"/>
          <w:sz w:val="16"/>
        </w:rPr>
        <w:t> </w:t>
      </w:r>
      <w:r>
        <w:rPr>
          <w:sz w:val="16"/>
        </w:rPr>
        <w:t>el</w:t>
      </w:r>
      <w:r>
        <w:rPr>
          <w:spacing w:val="-3"/>
          <w:sz w:val="16"/>
        </w:rPr>
        <w:t> </w:t>
      </w:r>
      <w:r>
        <w:rPr>
          <w:sz w:val="16"/>
        </w:rPr>
        <w:t>artículo</w:t>
      </w:r>
      <w:r>
        <w:rPr>
          <w:spacing w:val="-4"/>
          <w:sz w:val="16"/>
        </w:rPr>
        <w:t> </w:t>
      </w:r>
      <w:r>
        <w:rPr>
          <w:sz w:val="16"/>
        </w:rPr>
        <w:t>2</w:t>
      </w:r>
      <w:r>
        <w:rPr>
          <w:spacing w:val="-2"/>
          <w:sz w:val="16"/>
        </w:rPr>
        <w:t> </w:t>
      </w:r>
      <w:r>
        <w:rPr>
          <w:sz w:val="16"/>
        </w:rPr>
        <w:t>de</w:t>
      </w:r>
      <w:r>
        <w:rPr>
          <w:spacing w:val="-3"/>
          <w:sz w:val="16"/>
        </w:rPr>
        <w:t> </w:t>
      </w:r>
      <w:r>
        <w:rPr>
          <w:sz w:val="16"/>
        </w:rPr>
        <w:t>la</w:t>
      </w:r>
      <w:r>
        <w:rPr>
          <w:spacing w:val="-3"/>
          <w:sz w:val="16"/>
        </w:rPr>
        <w:t> </w:t>
      </w:r>
      <w:r>
        <w:rPr>
          <w:sz w:val="16"/>
        </w:rPr>
        <w:t>Convención</w:t>
      </w:r>
      <w:r>
        <w:rPr>
          <w:spacing w:val="-3"/>
          <w:sz w:val="16"/>
        </w:rPr>
        <w:t> </w:t>
      </w:r>
      <w:r>
        <w:rPr>
          <w:sz w:val="16"/>
        </w:rPr>
        <w:t>manda</w:t>
      </w:r>
      <w:r>
        <w:rPr>
          <w:spacing w:val="-3"/>
          <w:sz w:val="16"/>
        </w:rPr>
        <w:t> </w:t>
      </w:r>
      <w:r>
        <w:rPr>
          <w:sz w:val="16"/>
        </w:rPr>
        <w:t>no</w:t>
      </w:r>
      <w:r>
        <w:rPr>
          <w:spacing w:val="-4"/>
          <w:sz w:val="16"/>
        </w:rPr>
        <w:t> </w:t>
      </w:r>
      <w:r>
        <w:rPr>
          <w:sz w:val="16"/>
        </w:rPr>
        <w:t>solo</w:t>
      </w:r>
      <w:r>
        <w:rPr>
          <w:spacing w:val="-2"/>
          <w:sz w:val="16"/>
        </w:rPr>
        <w:t> </w:t>
      </w:r>
      <w:r>
        <w:rPr>
          <w:sz w:val="16"/>
        </w:rPr>
        <w:t>la</w:t>
      </w:r>
      <w:r>
        <w:rPr>
          <w:spacing w:val="-6"/>
          <w:sz w:val="16"/>
        </w:rPr>
        <w:t> </w:t>
      </w:r>
      <w:r>
        <w:rPr>
          <w:sz w:val="16"/>
        </w:rPr>
        <w:t>“expedición</w:t>
      </w:r>
      <w:r>
        <w:rPr>
          <w:w w:val="100"/>
          <w:sz w:val="16"/>
        </w:rPr>
        <w:t> </w:t>
      </w:r>
      <w:r>
        <w:rPr>
          <w:sz w:val="16"/>
        </w:rPr>
        <w:t>de normas”, sino también “el desarrollo de prácticas conducentes a la efectiva observancia” de los las “garantías” convencionales (</w:t>
      </w:r>
      <w:r>
        <w:rPr>
          <w:i/>
          <w:sz w:val="16"/>
        </w:rPr>
        <w:t>Cfr. Caso Cantoral Benavides Vs. Perú. Excepciones Preliminares</w:t>
      </w:r>
      <w:r>
        <w:rPr>
          <w:sz w:val="16"/>
        </w:rPr>
        <w:t>. Sentencia de 3 de septiembre de 1998. Serie C No. 40, párr. 178, y </w:t>
      </w:r>
      <w:r>
        <w:rPr>
          <w:i/>
          <w:sz w:val="16"/>
        </w:rPr>
        <w:t>Caso Ramírez Escobar y otros Vs. Guatemala. Fondo, </w:t>
      </w:r>
      <w:r>
        <w:rPr>
          <w:i/>
          <w:sz w:val="16"/>
        </w:rPr>
        <w:t>Reparaciones y Costas</w:t>
      </w:r>
      <w:r>
        <w:rPr>
          <w:sz w:val="16"/>
        </w:rPr>
        <w:t>. Sentencia de 9 de marzo de 2018. Serie C No. 351, párr. 243). La actuación estatal para concretar lo ordenado en su propia normativa interna, cuando esto refiere a la adecuada observancia </w:t>
      </w:r>
      <w:r>
        <w:rPr>
          <w:spacing w:val="-3"/>
          <w:sz w:val="16"/>
        </w:rPr>
        <w:t>de </w:t>
      </w:r>
      <w:r>
        <w:rPr>
          <w:sz w:val="16"/>
        </w:rPr>
        <w:t>un</w:t>
      </w:r>
      <w:r>
        <w:rPr>
          <w:spacing w:val="-4"/>
          <w:sz w:val="16"/>
        </w:rPr>
        <w:t> </w:t>
      </w:r>
      <w:r>
        <w:rPr>
          <w:sz w:val="16"/>
        </w:rPr>
        <w:t>derecho</w:t>
      </w:r>
      <w:r>
        <w:rPr>
          <w:spacing w:val="-4"/>
          <w:sz w:val="16"/>
        </w:rPr>
        <w:t> </w:t>
      </w:r>
      <w:r>
        <w:rPr>
          <w:sz w:val="16"/>
        </w:rPr>
        <w:t>convencional,</w:t>
      </w:r>
      <w:r>
        <w:rPr>
          <w:spacing w:val="-4"/>
          <w:sz w:val="16"/>
        </w:rPr>
        <w:t> </w:t>
      </w:r>
      <w:r>
        <w:rPr>
          <w:sz w:val="16"/>
        </w:rPr>
        <w:t>es</w:t>
      </w:r>
      <w:r>
        <w:rPr>
          <w:spacing w:val="-2"/>
          <w:sz w:val="16"/>
        </w:rPr>
        <w:t> </w:t>
      </w:r>
      <w:r>
        <w:rPr>
          <w:sz w:val="16"/>
        </w:rPr>
        <w:t>una</w:t>
      </w:r>
      <w:r>
        <w:rPr>
          <w:spacing w:val="-3"/>
          <w:sz w:val="16"/>
        </w:rPr>
        <w:t> </w:t>
      </w:r>
      <w:r>
        <w:rPr>
          <w:sz w:val="16"/>
        </w:rPr>
        <w:t>“práctica”</w:t>
      </w:r>
      <w:r>
        <w:rPr>
          <w:spacing w:val="-2"/>
          <w:sz w:val="16"/>
        </w:rPr>
        <w:t> </w:t>
      </w:r>
      <w:r>
        <w:rPr>
          <w:sz w:val="16"/>
        </w:rPr>
        <w:t>en</w:t>
      </w:r>
      <w:r>
        <w:rPr>
          <w:spacing w:val="-3"/>
          <w:sz w:val="16"/>
        </w:rPr>
        <w:t> </w:t>
      </w:r>
      <w:r>
        <w:rPr>
          <w:sz w:val="16"/>
        </w:rPr>
        <w:t>el</w:t>
      </w:r>
      <w:r>
        <w:rPr>
          <w:spacing w:val="-5"/>
          <w:sz w:val="16"/>
        </w:rPr>
        <w:t> </w:t>
      </w:r>
      <w:r>
        <w:rPr>
          <w:sz w:val="16"/>
        </w:rPr>
        <w:t>sentido</w:t>
      </w:r>
      <w:r>
        <w:rPr>
          <w:spacing w:val="-4"/>
          <w:sz w:val="16"/>
        </w:rPr>
        <w:t> </w:t>
      </w:r>
      <w:r>
        <w:rPr>
          <w:sz w:val="16"/>
        </w:rPr>
        <w:t>expresado.</w:t>
      </w:r>
      <w:r>
        <w:rPr>
          <w:spacing w:val="-4"/>
          <w:sz w:val="16"/>
        </w:rPr>
        <w:t> </w:t>
      </w:r>
      <w:r>
        <w:rPr>
          <w:sz w:val="16"/>
        </w:rPr>
        <w:t>La</w:t>
      </w:r>
      <w:r>
        <w:rPr>
          <w:spacing w:val="-3"/>
          <w:sz w:val="16"/>
        </w:rPr>
        <w:t> </w:t>
      </w:r>
      <w:r>
        <w:rPr>
          <w:sz w:val="16"/>
        </w:rPr>
        <w:t>noción</w:t>
      </w:r>
      <w:r>
        <w:rPr>
          <w:spacing w:val="-5"/>
          <w:sz w:val="16"/>
        </w:rPr>
        <w:t> </w:t>
      </w:r>
      <w:r>
        <w:rPr>
          <w:sz w:val="16"/>
        </w:rPr>
        <w:t>de</w:t>
      </w:r>
      <w:r>
        <w:rPr>
          <w:spacing w:val="-5"/>
          <w:sz w:val="16"/>
        </w:rPr>
        <w:t> </w:t>
      </w:r>
      <w:r>
        <w:rPr>
          <w:sz w:val="16"/>
        </w:rPr>
        <w:t>“práctica”,</w:t>
      </w:r>
      <w:r>
        <w:rPr>
          <w:spacing w:val="-4"/>
          <w:sz w:val="16"/>
        </w:rPr>
        <w:t> </w:t>
      </w:r>
      <w:r>
        <w:rPr>
          <w:sz w:val="16"/>
        </w:rPr>
        <w:t>o</w:t>
      </w:r>
      <w:r>
        <w:rPr>
          <w:spacing w:val="-4"/>
          <w:sz w:val="16"/>
        </w:rPr>
        <w:t> </w:t>
      </w:r>
      <w:r>
        <w:rPr>
          <w:sz w:val="16"/>
        </w:rPr>
        <w:t>de</w:t>
      </w:r>
      <w:r>
        <w:rPr>
          <w:spacing w:val="-2"/>
          <w:sz w:val="16"/>
        </w:rPr>
        <w:t> </w:t>
      </w:r>
      <w:r>
        <w:rPr>
          <w:sz w:val="16"/>
        </w:rPr>
        <w:t>medidas</w:t>
      </w:r>
      <w:r>
        <w:rPr>
          <w:spacing w:val="-5"/>
          <w:sz w:val="16"/>
        </w:rPr>
        <w:t> </w:t>
      </w:r>
      <w:r>
        <w:rPr>
          <w:sz w:val="16"/>
        </w:rPr>
        <w:t>de carácter distinto a las medidas legislativas, en los términos del artículo 2 de la Convención, no se asimilan al mero acto de aplicación directa o puntual de una disposición</w:t>
      </w:r>
      <w:r>
        <w:rPr>
          <w:spacing w:val="-22"/>
          <w:sz w:val="16"/>
        </w:rPr>
        <w:t> </w:t>
      </w:r>
      <w:r>
        <w:rPr>
          <w:sz w:val="16"/>
        </w:rPr>
        <w:t>normativa</w:t>
      </w:r>
    </w:p>
    <w:p>
      <w:pPr>
        <w:pStyle w:val="BodyText"/>
        <w:spacing w:before="11"/>
        <w:rPr>
          <w:sz w:val="15"/>
        </w:rPr>
      </w:pPr>
    </w:p>
    <w:p>
      <w:pPr>
        <w:tabs>
          <w:tab w:pos="829" w:val="left" w:leader="none"/>
        </w:tabs>
        <w:spacing w:line="242" w:lineRule="auto" w:before="0"/>
        <w:ind w:left="122" w:right="115" w:firstLine="0"/>
        <w:jc w:val="both"/>
        <w:rPr>
          <w:sz w:val="16"/>
        </w:rPr>
      </w:pPr>
      <w:r>
        <w:rPr>
          <w:position w:val="6"/>
          <w:sz w:val="10"/>
        </w:rPr>
        <w:t>132</w:t>
        <w:tab/>
      </w:r>
      <w:r>
        <w:rPr>
          <w:sz w:val="16"/>
        </w:rPr>
        <w:t>A su vez, se ha indicado la interferencia al goce de la propiedad no solo por la presencia</w:t>
      </w:r>
      <w:r>
        <w:rPr>
          <w:spacing w:val="5"/>
          <w:sz w:val="16"/>
        </w:rPr>
        <w:t> </w:t>
      </w:r>
      <w:r>
        <w:rPr>
          <w:sz w:val="16"/>
        </w:rPr>
        <w:t>criolla, sino</w:t>
      </w:r>
      <w:r>
        <w:rPr>
          <w:w w:val="100"/>
          <w:sz w:val="16"/>
        </w:rPr>
        <w:t> </w:t>
      </w:r>
      <w:r>
        <w:rPr>
          <w:sz w:val="16"/>
        </w:rPr>
        <w:t>también por la actividad ganadera, la instalación de alambrados y la tala ilegal, cuestiones que se examinan más adelante, en el capítulo VII.2 de esta</w:t>
      </w:r>
      <w:r>
        <w:rPr>
          <w:spacing w:val="-9"/>
          <w:sz w:val="16"/>
        </w:rPr>
        <w:t> </w:t>
      </w:r>
      <w:r>
        <w:rPr>
          <w:sz w:val="16"/>
        </w:rPr>
        <w:t>sentencia.</w:t>
      </w:r>
    </w:p>
    <w:p>
      <w:pPr>
        <w:spacing w:after="0" w:line="242" w:lineRule="auto"/>
        <w:jc w:val="both"/>
        <w:rPr>
          <w:sz w:val="16"/>
        </w:rPr>
        <w:sectPr>
          <w:pgSz w:w="12240" w:h="15840"/>
          <w:pgMar w:header="0" w:footer="1000" w:top="1340" w:bottom="1200" w:left="1580" w:right="1580"/>
        </w:sectPr>
      </w:pPr>
    </w:p>
    <w:p>
      <w:pPr>
        <w:pStyle w:val="BodyText"/>
        <w:spacing w:line="242" w:lineRule="auto" w:before="76"/>
        <w:ind w:left="122" w:right="128"/>
        <w:jc w:val="both"/>
      </w:pPr>
      <w:r>
        <w:rPr/>
        <w:t>se formalizó un reclamo (</w:t>
      </w:r>
      <w:r>
        <w:rPr>
          <w:i/>
        </w:rPr>
        <w:t>supra </w:t>
      </w:r>
      <w:r>
        <w:rPr/>
        <w:t>párr. 59). La conducta estatal será evaluada a partir de este momento.</w:t>
      </w:r>
    </w:p>
    <w:p>
      <w:pPr>
        <w:pStyle w:val="BodyText"/>
        <w:spacing w:before="7"/>
        <w:rPr>
          <w:sz w:val="19"/>
        </w:rPr>
      </w:pPr>
    </w:p>
    <w:p>
      <w:pPr>
        <w:pStyle w:val="ListParagraph"/>
        <w:numPr>
          <w:ilvl w:val="0"/>
          <w:numId w:val="21"/>
        </w:numPr>
        <w:tabs>
          <w:tab w:pos="830" w:val="left" w:leader="none"/>
        </w:tabs>
        <w:spacing w:line="242" w:lineRule="auto" w:before="1" w:after="0"/>
        <w:ind w:left="122" w:right="123" w:firstLine="0"/>
        <w:jc w:val="both"/>
        <w:rPr>
          <w:sz w:val="20"/>
        </w:rPr>
      </w:pPr>
      <w:r>
        <w:rPr>
          <w:sz w:val="20"/>
        </w:rPr>
        <w:t>En diciembre de 1991 fue dictado el Decreto No 2609/91, que dispuso unificar los lotes 14 y 55 para luego “adjudicar”, mediante un “[t]ítulo [ú]nico de [p]ropiedad” (</w:t>
      </w:r>
      <w:r>
        <w:rPr>
          <w:i/>
          <w:sz w:val="20"/>
        </w:rPr>
        <w:t>supra </w:t>
      </w:r>
      <w:r>
        <w:rPr>
          <w:sz w:val="20"/>
        </w:rPr>
        <w:t>párr. 60). Aunque esa finalidad no se satisfizo durante ese período, la Corte no encuentra que antes de 1999 el Estado adoptara una conducta contraria a sus obligaciones internacionales sustantivas</w:t>
      </w:r>
      <w:r>
        <w:rPr>
          <w:position w:val="7"/>
          <w:sz w:val="13"/>
        </w:rPr>
        <w:t>133</w:t>
      </w:r>
      <w:r>
        <w:rPr>
          <w:sz w:val="20"/>
        </w:rPr>
        <w:t>. No obstante, hay que considerar que entre 1996 y 1998 Lhaka Honhat remitió varias comunicaciones</w:t>
      </w:r>
      <w:r>
        <w:rPr>
          <w:spacing w:val="-49"/>
          <w:sz w:val="20"/>
        </w:rPr>
        <w:t> </w:t>
      </w:r>
      <w:r>
        <w:rPr>
          <w:sz w:val="20"/>
        </w:rPr>
        <w:t>a autoridades solicitando que se hiciera efectiva la formalización de la propiedad comunitaria del territorio</w:t>
      </w:r>
      <w:r>
        <w:rPr>
          <w:rFonts w:ascii="Calibri" w:hAnsi="Calibri"/>
          <w:position w:val="8"/>
          <w:sz w:val="14"/>
        </w:rPr>
        <w:t>134</w:t>
      </w:r>
      <w:r>
        <w:rPr>
          <w:sz w:val="20"/>
        </w:rPr>
        <w:t>, sin que consten avances durante esos</w:t>
      </w:r>
      <w:r>
        <w:rPr>
          <w:spacing w:val="-16"/>
          <w:sz w:val="20"/>
        </w:rPr>
        <w:t> </w:t>
      </w:r>
      <w:r>
        <w:rPr>
          <w:sz w:val="20"/>
        </w:rPr>
        <w:t>años.</w:t>
      </w:r>
    </w:p>
    <w:p>
      <w:pPr>
        <w:pStyle w:val="BodyText"/>
        <w:spacing w:before="8"/>
        <w:rPr>
          <w:sz w:val="19"/>
        </w:rPr>
      </w:pPr>
    </w:p>
    <w:p>
      <w:pPr>
        <w:pStyle w:val="ListParagraph"/>
        <w:numPr>
          <w:ilvl w:val="3"/>
          <w:numId w:val="24"/>
        </w:numPr>
        <w:tabs>
          <w:tab w:pos="2059" w:val="left" w:leader="none"/>
        </w:tabs>
        <w:spacing w:line="240" w:lineRule="auto" w:before="0" w:after="0"/>
        <w:ind w:left="2058" w:right="0" w:hanging="804"/>
        <w:jc w:val="left"/>
        <w:rPr>
          <w:i/>
          <w:sz w:val="20"/>
        </w:rPr>
      </w:pPr>
      <w:bookmarkStart w:name="_bookmark42" w:id="71"/>
      <w:bookmarkEnd w:id="71"/>
      <w:r>
        <w:rPr/>
      </w:r>
      <w:bookmarkStart w:name="_bookmark42" w:id="72"/>
      <w:bookmarkEnd w:id="72"/>
      <w:r>
        <w:rPr>
          <w:i/>
          <w:sz w:val="20"/>
        </w:rPr>
        <w:t>E</w:t>
      </w:r>
      <w:r>
        <w:rPr>
          <w:i/>
          <w:sz w:val="20"/>
        </w:rPr>
        <w:t>ntre 1999 y</w:t>
      </w:r>
      <w:r>
        <w:rPr>
          <w:i/>
          <w:spacing w:val="-2"/>
          <w:sz w:val="20"/>
        </w:rPr>
        <w:t> </w:t>
      </w:r>
      <w:r>
        <w:rPr>
          <w:i/>
          <w:sz w:val="20"/>
        </w:rPr>
        <w:t>2004</w:t>
      </w:r>
    </w:p>
    <w:p>
      <w:pPr>
        <w:pStyle w:val="BodyText"/>
        <w:rPr>
          <w:i/>
        </w:rPr>
      </w:pPr>
    </w:p>
    <w:p>
      <w:pPr>
        <w:pStyle w:val="ListParagraph"/>
        <w:numPr>
          <w:ilvl w:val="0"/>
          <w:numId w:val="21"/>
        </w:numPr>
        <w:tabs>
          <w:tab w:pos="830" w:val="left" w:leader="none"/>
        </w:tabs>
        <w:spacing w:line="240" w:lineRule="auto" w:before="0" w:after="0"/>
        <w:ind w:left="122" w:right="130" w:firstLine="0"/>
        <w:jc w:val="both"/>
        <w:rPr>
          <w:sz w:val="20"/>
        </w:rPr>
      </w:pPr>
      <w:r>
        <w:rPr>
          <w:sz w:val="20"/>
        </w:rPr>
        <w:t>En 1999 se advierte un cambio en la conducta estatal, a partir del Decreto 461/99,</w:t>
      </w:r>
      <w:r>
        <w:rPr>
          <w:spacing w:val="-16"/>
          <w:sz w:val="20"/>
        </w:rPr>
        <w:t> </w:t>
      </w:r>
      <w:r>
        <w:rPr>
          <w:sz w:val="20"/>
        </w:rPr>
        <w:t>por</w:t>
      </w:r>
      <w:r>
        <w:rPr>
          <w:spacing w:val="-17"/>
          <w:sz w:val="20"/>
        </w:rPr>
        <w:t> </w:t>
      </w:r>
      <w:r>
        <w:rPr>
          <w:sz w:val="20"/>
        </w:rPr>
        <w:t>medio</w:t>
      </w:r>
      <w:r>
        <w:rPr>
          <w:spacing w:val="-17"/>
          <w:sz w:val="20"/>
        </w:rPr>
        <w:t> </w:t>
      </w:r>
      <w:r>
        <w:rPr>
          <w:sz w:val="20"/>
        </w:rPr>
        <w:t>del</w:t>
      </w:r>
      <w:r>
        <w:rPr>
          <w:spacing w:val="-14"/>
          <w:sz w:val="20"/>
        </w:rPr>
        <w:t> </w:t>
      </w:r>
      <w:r>
        <w:rPr>
          <w:sz w:val="20"/>
        </w:rPr>
        <w:t>cual</w:t>
      </w:r>
      <w:r>
        <w:rPr>
          <w:spacing w:val="-16"/>
          <w:sz w:val="20"/>
        </w:rPr>
        <w:t> </w:t>
      </w:r>
      <w:r>
        <w:rPr>
          <w:sz w:val="20"/>
        </w:rPr>
        <w:t>la</w:t>
      </w:r>
      <w:r>
        <w:rPr>
          <w:spacing w:val="-16"/>
          <w:sz w:val="20"/>
        </w:rPr>
        <w:t> </w:t>
      </w:r>
      <w:r>
        <w:rPr>
          <w:sz w:val="20"/>
        </w:rPr>
        <w:t>Provincia</w:t>
      </w:r>
      <w:r>
        <w:rPr>
          <w:spacing w:val="-10"/>
          <w:sz w:val="20"/>
        </w:rPr>
        <w:t> </w:t>
      </w:r>
      <w:r>
        <w:rPr>
          <w:sz w:val="20"/>
        </w:rPr>
        <w:t>realizó</w:t>
      </w:r>
      <w:r>
        <w:rPr>
          <w:spacing w:val="-17"/>
          <w:sz w:val="20"/>
        </w:rPr>
        <w:t> </w:t>
      </w:r>
      <w:r>
        <w:rPr>
          <w:sz w:val="20"/>
        </w:rPr>
        <w:t>adjudicaciones</w:t>
      </w:r>
      <w:r>
        <w:rPr>
          <w:spacing w:val="-15"/>
          <w:sz w:val="20"/>
        </w:rPr>
        <w:t> </w:t>
      </w:r>
      <w:r>
        <w:rPr>
          <w:sz w:val="20"/>
        </w:rPr>
        <w:t>de</w:t>
      </w:r>
      <w:r>
        <w:rPr>
          <w:spacing w:val="-15"/>
          <w:sz w:val="20"/>
        </w:rPr>
        <w:t> </w:t>
      </w:r>
      <w:r>
        <w:rPr>
          <w:sz w:val="20"/>
        </w:rPr>
        <w:t>parcelas</w:t>
      </w:r>
      <w:r>
        <w:rPr>
          <w:spacing w:val="-17"/>
          <w:sz w:val="20"/>
        </w:rPr>
        <w:t> </w:t>
      </w:r>
      <w:r>
        <w:rPr>
          <w:sz w:val="20"/>
        </w:rPr>
        <w:t>dentro</w:t>
      </w:r>
      <w:r>
        <w:rPr>
          <w:spacing w:val="-17"/>
          <w:sz w:val="20"/>
        </w:rPr>
        <w:t> </w:t>
      </w:r>
      <w:r>
        <w:rPr>
          <w:sz w:val="20"/>
        </w:rPr>
        <w:t>del</w:t>
      </w:r>
      <w:r>
        <w:rPr>
          <w:spacing w:val="-16"/>
          <w:sz w:val="20"/>
        </w:rPr>
        <w:t> </w:t>
      </w:r>
      <w:r>
        <w:rPr>
          <w:sz w:val="20"/>
        </w:rPr>
        <w:t>lote</w:t>
      </w:r>
    </w:p>
    <w:p>
      <w:pPr>
        <w:pStyle w:val="BodyText"/>
        <w:ind w:left="122" w:right="124"/>
        <w:jc w:val="both"/>
      </w:pPr>
      <w:r>
        <w:rPr/>
        <w:t>55 a algunos individuos y comunidades indígenas allí asentadas</w:t>
      </w:r>
      <w:r>
        <w:rPr>
          <w:position w:val="7"/>
          <w:sz w:val="13"/>
        </w:rPr>
        <w:t>135</w:t>
      </w:r>
      <w:r>
        <w:rPr/>
        <w:t>. El Decreto buscó asignar parcelas en contravención a la unidad del territorio indígena y a lo establecido por el propio Estado mediante el Decreto 2609/91 (</w:t>
      </w:r>
      <w:r>
        <w:rPr>
          <w:i/>
        </w:rPr>
        <w:t>supra </w:t>
      </w:r>
      <w:r>
        <w:rPr/>
        <w:t>párrs. 60 y 124). La Corte de Justicia de Salta declaró en 2007 “sin efecto” el Decreto 461/99 (</w:t>
      </w:r>
      <w:r>
        <w:rPr>
          <w:i/>
        </w:rPr>
        <w:t>infra </w:t>
      </w:r>
      <w:r>
        <w:rPr/>
        <w:t>párr. 300), señalando que el mismo fue dictado sin que el proceso anterior cumpliera la “salvaguarda de los derechos fundamentales de los pobladores aborígenes” pues se había “impedido […] que estos tuvieran la adecuada oportunidad de hacer conocer sus opiniones en defensa de los derechos que esgrimen sobre las tierras”</w:t>
      </w:r>
      <w:r>
        <w:rPr>
          <w:position w:val="7"/>
          <w:sz w:val="13"/>
        </w:rPr>
        <w:t>136</w:t>
      </w:r>
      <w:r>
        <w:rPr/>
        <w:t>.</w:t>
      </w:r>
    </w:p>
    <w:p>
      <w:pPr>
        <w:pStyle w:val="BodyText"/>
        <w:spacing w:before="2"/>
      </w:pPr>
    </w:p>
    <w:p>
      <w:pPr>
        <w:pStyle w:val="ListParagraph"/>
        <w:numPr>
          <w:ilvl w:val="0"/>
          <w:numId w:val="21"/>
        </w:numPr>
        <w:tabs>
          <w:tab w:pos="830" w:val="left" w:leader="none"/>
        </w:tabs>
        <w:spacing w:line="240" w:lineRule="auto" w:before="0" w:after="0"/>
        <w:ind w:left="122" w:right="124" w:firstLine="0"/>
        <w:jc w:val="both"/>
        <w:rPr>
          <w:sz w:val="20"/>
        </w:rPr>
      </w:pPr>
      <w:r>
        <w:rPr>
          <w:sz w:val="20"/>
        </w:rPr>
        <w:t>Con posterioridad a la emisión del Decreto 461 en 1999, se sucedieron actos estatales</w:t>
      </w:r>
      <w:r>
        <w:rPr>
          <w:spacing w:val="-19"/>
          <w:sz w:val="20"/>
        </w:rPr>
        <w:t> </w:t>
      </w:r>
      <w:r>
        <w:rPr>
          <w:sz w:val="20"/>
        </w:rPr>
        <w:t>en</w:t>
      </w:r>
      <w:r>
        <w:rPr>
          <w:spacing w:val="-20"/>
          <w:sz w:val="20"/>
        </w:rPr>
        <w:t> </w:t>
      </w:r>
      <w:r>
        <w:rPr>
          <w:sz w:val="20"/>
        </w:rPr>
        <w:t>el</w:t>
      </w:r>
      <w:r>
        <w:rPr>
          <w:spacing w:val="-21"/>
          <w:sz w:val="20"/>
        </w:rPr>
        <w:t> </w:t>
      </w:r>
      <w:r>
        <w:rPr>
          <w:sz w:val="20"/>
        </w:rPr>
        <w:t>mismo</w:t>
      </w:r>
      <w:r>
        <w:rPr>
          <w:spacing w:val="-19"/>
          <w:sz w:val="20"/>
        </w:rPr>
        <w:t> </w:t>
      </w:r>
      <w:r>
        <w:rPr>
          <w:sz w:val="20"/>
        </w:rPr>
        <w:t>sentido,</w:t>
      </w:r>
      <w:r>
        <w:rPr>
          <w:spacing w:val="-18"/>
          <w:sz w:val="20"/>
        </w:rPr>
        <w:t> </w:t>
      </w:r>
      <w:r>
        <w:rPr>
          <w:sz w:val="20"/>
        </w:rPr>
        <w:t>es</w:t>
      </w:r>
      <w:r>
        <w:rPr>
          <w:spacing w:val="-19"/>
          <w:sz w:val="20"/>
        </w:rPr>
        <w:t> </w:t>
      </w:r>
      <w:r>
        <w:rPr>
          <w:sz w:val="20"/>
        </w:rPr>
        <w:t>decir,</w:t>
      </w:r>
      <w:r>
        <w:rPr>
          <w:spacing w:val="-19"/>
          <w:sz w:val="20"/>
        </w:rPr>
        <w:t> </w:t>
      </w:r>
      <w:r>
        <w:rPr>
          <w:sz w:val="20"/>
        </w:rPr>
        <w:t>contrarios</w:t>
      </w:r>
      <w:r>
        <w:rPr>
          <w:spacing w:val="-22"/>
          <w:sz w:val="20"/>
        </w:rPr>
        <w:t> </w:t>
      </w:r>
      <w:r>
        <w:rPr>
          <w:sz w:val="20"/>
        </w:rPr>
        <w:t>a</w:t>
      </w:r>
      <w:r>
        <w:rPr>
          <w:spacing w:val="-21"/>
          <w:sz w:val="20"/>
        </w:rPr>
        <w:t> </w:t>
      </w:r>
      <w:r>
        <w:rPr>
          <w:sz w:val="20"/>
        </w:rPr>
        <w:t>la</w:t>
      </w:r>
      <w:r>
        <w:rPr>
          <w:spacing w:val="-21"/>
          <w:sz w:val="20"/>
        </w:rPr>
        <w:t> </w:t>
      </w:r>
      <w:r>
        <w:rPr>
          <w:sz w:val="20"/>
        </w:rPr>
        <w:t>unidad</w:t>
      </w:r>
      <w:r>
        <w:rPr>
          <w:spacing w:val="-20"/>
          <w:sz w:val="20"/>
        </w:rPr>
        <w:t> </w:t>
      </w:r>
      <w:r>
        <w:rPr>
          <w:sz w:val="20"/>
        </w:rPr>
        <w:t>y</w:t>
      </w:r>
      <w:r>
        <w:rPr>
          <w:spacing w:val="-21"/>
          <w:sz w:val="20"/>
        </w:rPr>
        <w:t> </w:t>
      </w:r>
      <w:r>
        <w:rPr>
          <w:sz w:val="20"/>
        </w:rPr>
        <w:t>continuidad</w:t>
      </w:r>
      <w:r>
        <w:rPr>
          <w:spacing w:val="-20"/>
          <w:sz w:val="20"/>
        </w:rPr>
        <w:t> </w:t>
      </w:r>
      <w:r>
        <w:rPr>
          <w:sz w:val="20"/>
        </w:rPr>
        <w:t>del</w:t>
      </w:r>
      <w:r>
        <w:rPr>
          <w:spacing w:val="-21"/>
          <w:sz w:val="20"/>
        </w:rPr>
        <w:t> </w:t>
      </w:r>
      <w:r>
        <w:rPr>
          <w:sz w:val="20"/>
        </w:rPr>
        <w:t>territorio. Entre tales actos cabe destacar la publicación de edictos para adjudicar terrenos en los lotes 14 y 55 y propuestas gubernamentales de entrega de la propiedad en forma fraccionada (</w:t>
      </w:r>
      <w:r>
        <w:rPr>
          <w:i/>
          <w:sz w:val="20"/>
        </w:rPr>
        <w:t>supra</w:t>
      </w:r>
      <w:r>
        <w:rPr>
          <w:sz w:val="20"/>
        </w:rPr>
        <w:t>, párrs. 65 y 66). Por otra parte, si bien no son en sí mismos lesivos del</w:t>
      </w:r>
      <w:r>
        <w:rPr>
          <w:spacing w:val="-10"/>
          <w:sz w:val="20"/>
        </w:rPr>
        <w:t> </w:t>
      </w:r>
      <w:r>
        <w:rPr>
          <w:sz w:val="20"/>
        </w:rPr>
        <w:t>derecho</w:t>
      </w:r>
      <w:r>
        <w:rPr>
          <w:spacing w:val="-11"/>
          <w:sz w:val="20"/>
        </w:rPr>
        <w:t> </w:t>
      </w:r>
      <w:r>
        <w:rPr>
          <w:sz w:val="20"/>
        </w:rPr>
        <w:t>de</w:t>
      </w:r>
      <w:r>
        <w:rPr>
          <w:spacing w:val="-12"/>
          <w:sz w:val="20"/>
        </w:rPr>
        <w:t> </w:t>
      </w:r>
      <w:r>
        <w:rPr>
          <w:sz w:val="20"/>
        </w:rPr>
        <w:t>propiedad</w:t>
      </w:r>
      <w:r>
        <w:rPr>
          <w:spacing w:val="-10"/>
          <w:sz w:val="20"/>
        </w:rPr>
        <w:t> </w:t>
      </w:r>
      <w:r>
        <w:rPr>
          <w:sz w:val="20"/>
        </w:rPr>
        <w:t>el</w:t>
      </w:r>
      <w:r>
        <w:rPr>
          <w:spacing w:val="-7"/>
          <w:sz w:val="20"/>
        </w:rPr>
        <w:t> </w:t>
      </w:r>
      <w:r>
        <w:rPr>
          <w:sz w:val="20"/>
        </w:rPr>
        <w:t>Decreto</w:t>
      </w:r>
      <w:r>
        <w:rPr>
          <w:spacing w:val="-9"/>
          <w:sz w:val="20"/>
        </w:rPr>
        <w:t> </w:t>
      </w:r>
      <w:r>
        <w:rPr>
          <w:sz w:val="20"/>
        </w:rPr>
        <w:t>No.</w:t>
      </w:r>
      <w:r>
        <w:rPr>
          <w:spacing w:val="-9"/>
          <w:sz w:val="20"/>
        </w:rPr>
        <w:t> </w:t>
      </w:r>
      <w:r>
        <w:rPr>
          <w:sz w:val="20"/>
        </w:rPr>
        <w:t>339/01,</w:t>
      </w:r>
      <w:r>
        <w:rPr>
          <w:spacing w:val="-11"/>
          <w:sz w:val="20"/>
        </w:rPr>
        <w:t> </w:t>
      </w:r>
      <w:r>
        <w:rPr>
          <w:sz w:val="20"/>
        </w:rPr>
        <w:t>dictado</w:t>
      </w:r>
      <w:r>
        <w:rPr>
          <w:spacing w:val="-9"/>
          <w:sz w:val="20"/>
        </w:rPr>
        <w:t> </w:t>
      </w:r>
      <w:r>
        <w:rPr>
          <w:sz w:val="20"/>
        </w:rPr>
        <w:t>para</w:t>
      </w:r>
      <w:r>
        <w:rPr>
          <w:spacing w:val="-8"/>
          <w:sz w:val="20"/>
        </w:rPr>
        <w:t> </w:t>
      </w:r>
      <w:r>
        <w:rPr>
          <w:sz w:val="20"/>
        </w:rPr>
        <w:t>completar</w:t>
      </w:r>
      <w:r>
        <w:rPr>
          <w:spacing w:val="-9"/>
          <w:sz w:val="20"/>
        </w:rPr>
        <w:t> </w:t>
      </w:r>
      <w:r>
        <w:rPr>
          <w:sz w:val="20"/>
        </w:rPr>
        <w:t>la</w:t>
      </w:r>
      <w:r>
        <w:rPr>
          <w:spacing w:val="-10"/>
          <w:sz w:val="20"/>
        </w:rPr>
        <w:t> </w:t>
      </w:r>
      <w:r>
        <w:rPr>
          <w:sz w:val="20"/>
        </w:rPr>
        <w:t>“cartografía” de</w:t>
      </w:r>
      <w:r>
        <w:rPr>
          <w:spacing w:val="-9"/>
          <w:sz w:val="20"/>
        </w:rPr>
        <w:t> </w:t>
      </w:r>
      <w:r>
        <w:rPr>
          <w:sz w:val="20"/>
        </w:rPr>
        <w:t>los</w:t>
      </w:r>
      <w:r>
        <w:rPr>
          <w:spacing w:val="-6"/>
          <w:sz w:val="20"/>
        </w:rPr>
        <w:t> </w:t>
      </w:r>
      <w:r>
        <w:rPr>
          <w:sz w:val="20"/>
        </w:rPr>
        <w:t>lotes</w:t>
      </w:r>
      <w:r>
        <w:rPr>
          <w:spacing w:val="-9"/>
          <w:sz w:val="20"/>
        </w:rPr>
        <w:t> </w:t>
      </w:r>
      <w:r>
        <w:rPr>
          <w:sz w:val="20"/>
        </w:rPr>
        <w:t>55</w:t>
      </w:r>
      <w:r>
        <w:rPr>
          <w:spacing w:val="-5"/>
          <w:sz w:val="20"/>
        </w:rPr>
        <w:t> </w:t>
      </w:r>
      <w:r>
        <w:rPr>
          <w:sz w:val="20"/>
        </w:rPr>
        <w:t>y</w:t>
      </w:r>
      <w:r>
        <w:rPr>
          <w:spacing w:val="-6"/>
          <w:sz w:val="20"/>
        </w:rPr>
        <w:t> </w:t>
      </w:r>
      <w:r>
        <w:rPr>
          <w:sz w:val="20"/>
        </w:rPr>
        <w:t>14</w:t>
      </w:r>
      <w:r>
        <w:rPr>
          <w:spacing w:val="-5"/>
          <w:sz w:val="20"/>
        </w:rPr>
        <w:t> </w:t>
      </w:r>
      <w:r>
        <w:rPr>
          <w:sz w:val="20"/>
        </w:rPr>
        <w:t>y</w:t>
      </w:r>
      <w:r>
        <w:rPr>
          <w:spacing w:val="-8"/>
          <w:sz w:val="20"/>
        </w:rPr>
        <w:t> </w:t>
      </w:r>
      <w:r>
        <w:rPr>
          <w:sz w:val="20"/>
        </w:rPr>
        <w:t>las</w:t>
      </w:r>
      <w:r>
        <w:rPr>
          <w:spacing w:val="-9"/>
          <w:sz w:val="20"/>
        </w:rPr>
        <w:t> </w:t>
      </w:r>
      <w:r>
        <w:rPr>
          <w:sz w:val="20"/>
        </w:rPr>
        <w:t>acciones</w:t>
      </w:r>
      <w:r>
        <w:rPr>
          <w:spacing w:val="-6"/>
          <w:sz w:val="20"/>
        </w:rPr>
        <w:t> </w:t>
      </w:r>
      <w:r>
        <w:rPr>
          <w:sz w:val="20"/>
        </w:rPr>
        <w:t>de</w:t>
      </w:r>
      <w:r>
        <w:rPr>
          <w:spacing w:val="-7"/>
          <w:sz w:val="20"/>
        </w:rPr>
        <w:t> </w:t>
      </w:r>
      <w:r>
        <w:rPr>
          <w:sz w:val="20"/>
        </w:rPr>
        <w:t>mensura</w:t>
      </w:r>
      <w:r>
        <w:rPr>
          <w:spacing w:val="-4"/>
          <w:sz w:val="20"/>
        </w:rPr>
        <w:t> </w:t>
      </w:r>
      <w:r>
        <w:rPr>
          <w:sz w:val="20"/>
        </w:rPr>
        <w:t>de</w:t>
      </w:r>
      <w:r>
        <w:rPr>
          <w:spacing w:val="-9"/>
          <w:sz w:val="20"/>
        </w:rPr>
        <w:t> </w:t>
      </w:r>
      <w:r>
        <w:rPr>
          <w:sz w:val="20"/>
        </w:rPr>
        <w:t>2001</w:t>
      </w:r>
      <w:r>
        <w:rPr>
          <w:spacing w:val="-5"/>
          <w:sz w:val="20"/>
        </w:rPr>
        <w:t> </w:t>
      </w:r>
      <w:r>
        <w:rPr>
          <w:sz w:val="20"/>
        </w:rPr>
        <w:t>y</w:t>
      </w:r>
      <w:r>
        <w:rPr>
          <w:spacing w:val="-6"/>
          <w:sz w:val="20"/>
        </w:rPr>
        <w:t> </w:t>
      </w:r>
      <w:r>
        <w:rPr>
          <w:sz w:val="20"/>
        </w:rPr>
        <w:t>años</w:t>
      </w:r>
      <w:r>
        <w:rPr>
          <w:spacing w:val="-6"/>
          <w:sz w:val="20"/>
        </w:rPr>
        <w:t> </w:t>
      </w:r>
      <w:r>
        <w:rPr>
          <w:sz w:val="20"/>
        </w:rPr>
        <w:t>posteriores (</w:t>
      </w:r>
      <w:r>
        <w:rPr>
          <w:i/>
          <w:sz w:val="20"/>
        </w:rPr>
        <w:t>supra</w:t>
      </w:r>
      <w:r>
        <w:rPr>
          <w:i/>
          <w:spacing w:val="-7"/>
          <w:sz w:val="20"/>
        </w:rPr>
        <w:t> </w:t>
      </w:r>
      <w:r>
        <w:rPr>
          <w:sz w:val="20"/>
        </w:rPr>
        <w:t>párrs. 67 y 68), sí se advierte del conjunto de los hechos del caso que fueron actos</w:t>
      </w:r>
      <w:r>
        <w:rPr>
          <w:spacing w:val="-28"/>
          <w:sz w:val="20"/>
        </w:rPr>
        <w:t> </w:t>
      </w:r>
      <w:r>
        <w:rPr>
          <w:sz w:val="20"/>
        </w:rPr>
        <w:t>realizados</w:t>
      </w:r>
    </w:p>
    <w:p>
      <w:pPr>
        <w:pStyle w:val="BodyText"/>
      </w:pPr>
    </w:p>
    <w:p>
      <w:pPr>
        <w:pStyle w:val="BodyText"/>
        <w:spacing w:before="3"/>
        <w:rPr>
          <w:sz w:val="23"/>
        </w:rPr>
      </w:pPr>
      <w:r>
        <w:rPr/>
        <w:pict>
          <v:line style="position:absolute;mso-position-horizontal-relative:page;mso-position-vertical-relative:paragraph;z-index:2080;mso-wrap-distance-left:0;mso-wrap-distance-right:0" from="85.103996pt,16.453346pt" to="229.123996pt,16.453346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133</w:t>
        <w:tab/>
      </w:r>
      <w:r>
        <w:rPr>
          <w:sz w:val="16"/>
        </w:rPr>
        <w:t>El reconocimiento efectivamente realizado por el Decreto 2609/91 del derecho de propiedad  </w:t>
      </w:r>
      <w:r>
        <w:rPr>
          <w:spacing w:val="1"/>
          <w:sz w:val="16"/>
        </w:rPr>
        <w:t> </w:t>
      </w:r>
      <w:r>
        <w:rPr>
          <w:sz w:val="16"/>
        </w:rPr>
        <w:t>de</w:t>
      </w:r>
      <w:r>
        <w:rPr>
          <w:spacing w:val="9"/>
          <w:sz w:val="16"/>
        </w:rPr>
        <w:t> </w:t>
      </w:r>
      <w:r>
        <w:rPr>
          <w:sz w:val="16"/>
        </w:rPr>
        <w:t>las</w:t>
      </w:r>
      <w:r>
        <w:rPr>
          <w:w w:val="100"/>
          <w:sz w:val="16"/>
        </w:rPr>
        <w:t> </w:t>
      </w:r>
      <w:r>
        <w:rPr>
          <w:sz w:val="16"/>
        </w:rPr>
        <w:t>comunidades, por sí mismo, resultó insuficiente. Los actos posteriores muestran que </w:t>
      </w:r>
      <w:r>
        <w:rPr>
          <w:spacing w:val="2"/>
          <w:sz w:val="16"/>
        </w:rPr>
        <w:t>el </w:t>
      </w:r>
      <w:r>
        <w:rPr>
          <w:sz w:val="16"/>
        </w:rPr>
        <w:t>propio Estado lo consideró así. En efecto, los fundamentos del Decreto 18/93 señalan que el Instituto Provincial del Aborigen no había podido “concretar el objetivo perseguido”. Para lograrlo, el Decreto creó una Comisión Asesora para la “regularización” de los asentamientos poblacionales del lote 55. Luego, en abril de 1996, se firmó un Acta- Acuerdo en que la Provincia convino en la creación de una Unidad Coordinadora para avanzar en la “regularización” y en septiembre de 1996 el Gobernador asumió un compromiso</w:t>
      </w:r>
      <w:r>
        <w:rPr>
          <w:spacing w:val="-26"/>
          <w:sz w:val="16"/>
        </w:rPr>
        <w:t> </w:t>
      </w:r>
      <w:r>
        <w:rPr>
          <w:sz w:val="16"/>
        </w:rPr>
        <w:t>similar.</w:t>
      </w:r>
    </w:p>
    <w:p>
      <w:pPr>
        <w:pStyle w:val="BodyText"/>
        <w:spacing w:before="11"/>
        <w:rPr>
          <w:sz w:val="15"/>
        </w:rPr>
      </w:pPr>
    </w:p>
    <w:p>
      <w:pPr>
        <w:tabs>
          <w:tab w:pos="829" w:val="left" w:leader="none"/>
        </w:tabs>
        <w:spacing w:before="0"/>
        <w:ind w:left="122" w:right="121" w:firstLine="0"/>
        <w:jc w:val="both"/>
        <w:rPr>
          <w:sz w:val="16"/>
        </w:rPr>
      </w:pPr>
      <w:r>
        <w:rPr>
          <w:position w:val="6"/>
          <w:sz w:val="10"/>
        </w:rPr>
        <w:t>134</w:t>
        <w:tab/>
      </w:r>
      <w:r>
        <w:rPr>
          <w:sz w:val="16"/>
        </w:rPr>
        <w:t>La</w:t>
      </w:r>
      <w:r>
        <w:rPr>
          <w:spacing w:val="16"/>
          <w:sz w:val="16"/>
        </w:rPr>
        <w:t> </w:t>
      </w:r>
      <w:r>
        <w:rPr>
          <w:sz w:val="16"/>
        </w:rPr>
        <w:t>Comisión</w:t>
      </w:r>
      <w:r>
        <w:rPr>
          <w:spacing w:val="16"/>
          <w:sz w:val="16"/>
        </w:rPr>
        <w:t> </w:t>
      </w:r>
      <w:r>
        <w:rPr>
          <w:sz w:val="16"/>
        </w:rPr>
        <w:t>Interamericana</w:t>
      </w:r>
      <w:r>
        <w:rPr>
          <w:spacing w:val="16"/>
          <w:sz w:val="16"/>
        </w:rPr>
        <w:t> </w:t>
      </w:r>
      <w:r>
        <w:rPr>
          <w:sz w:val="16"/>
        </w:rPr>
        <w:t>señaló</w:t>
      </w:r>
      <w:r>
        <w:rPr>
          <w:spacing w:val="17"/>
          <w:sz w:val="16"/>
        </w:rPr>
        <w:t> </w:t>
      </w:r>
      <w:r>
        <w:rPr>
          <w:sz w:val="16"/>
        </w:rPr>
        <w:t>que</w:t>
      </w:r>
      <w:r>
        <w:rPr>
          <w:spacing w:val="17"/>
          <w:sz w:val="16"/>
        </w:rPr>
        <w:t> </w:t>
      </w:r>
      <w:r>
        <w:rPr>
          <w:sz w:val="16"/>
        </w:rPr>
        <w:t>en</w:t>
      </w:r>
      <w:r>
        <w:rPr>
          <w:spacing w:val="13"/>
          <w:sz w:val="16"/>
        </w:rPr>
        <w:t> </w:t>
      </w:r>
      <w:r>
        <w:rPr>
          <w:sz w:val="16"/>
        </w:rPr>
        <w:t>enero</w:t>
      </w:r>
      <w:r>
        <w:rPr>
          <w:spacing w:val="17"/>
          <w:sz w:val="16"/>
        </w:rPr>
        <w:t> </w:t>
      </w:r>
      <w:r>
        <w:rPr>
          <w:sz w:val="16"/>
        </w:rPr>
        <w:t>de</w:t>
      </w:r>
      <w:r>
        <w:rPr>
          <w:spacing w:val="17"/>
          <w:sz w:val="16"/>
        </w:rPr>
        <w:t> </w:t>
      </w:r>
      <w:r>
        <w:rPr>
          <w:sz w:val="16"/>
        </w:rPr>
        <w:t>2001,</w:t>
      </w:r>
      <w:r>
        <w:rPr>
          <w:spacing w:val="13"/>
          <w:sz w:val="16"/>
        </w:rPr>
        <w:t> </w:t>
      </w:r>
      <w:r>
        <w:rPr>
          <w:sz w:val="16"/>
        </w:rPr>
        <w:t>el</w:t>
      </w:r>
      <w:r>
        <w:rPr>
          <w:spacing w:val="16"/>
          <w:sz w:val="16"/>
        </w:rPr>
        <w:t> </w:t>
      </w:r>
      <w:r>
        <w:rPr>
          <w:sz w:val="16"/>
        </w:rPr>
        <w:t>Defensor</w:t>
      </w:r>
      <w:r>
        <w:rPr>
          <w:spacing w:val="15"/>
          <w:sz w:val="16"/>
        </w:rPr>
        <w:t> </w:t>
      </w:r>
      <w:r>
        <w:rPr>
          <w:sz w:val="16"/>
        </w:rPr>
        <w:t>del</w:t>
      </w:r>
      <w:r>
        <w:rPr>
          <w:spacing w:val="16"/>
          <w:sz w:val="16"/>
        </w:rPr>
        <w:t> </w:t>
      </w:r>
      <w:r>
        <w:rPr>
          <w:sz w:val="16"/>
        </w:rPr>
        <w:t>Pueblo</w:t>
      </w:r>
      <w:r>
        <w:rPr>
          <w:spacing w:val="15"/>
          <w:sz w:val="16"/>
        </w:rPr>
        <w:t> </w:t>
      </w:r>
      <w:r>
        <w:rPr>
          <w:sz w:val="16"/>
        </w:rPr>
        <w:t>de</w:t>
      </w:r>
      <w:r>
        <w:rPr>
          <w:spacing w:val="14"/>
          <w:sz w:val="16"/>
        </w:rPr>
        <w:t> </w:t>
      </w:r>
      <w:r>
        <w:rPr>
          <w:sz w:val="16"/>
        </w:rPr>
        <w:t>la</w:t>
      </w:r>
      <w:r>
        <w:rPr>
          <w:spacing w:val="16"/>
          <w:sz w:val="16"/>
        </w:rPr>
        <w:t> </w:t>
      </w:r>
      <w:r>
        <w:rPr>
          <w:sz w:val="16"/>
        </w:rPr>
        <w:t>República</w:t>
      </w:r>
      <w:r>
        <w:rPr>
          <w:w w:val="100"/>
          <w:sz w:val="16"/>
        </w:rPr>
        <w:t> </w:t>
      </w:r>
      <w:r>
        <w:rPr>
          <w:sz w:val="16"/>
        </w:rPr>
        <w:t>Argentina le remitió copia de 18 comunicaciones enviadas entre 1996 y 1998 al Gobernador de Salta, al Director del INAI, al Ministro de Gobierno y al Presidente de la Republica, entre</w:t>
      </w:r>
      <w:r>
        <w:rPr>
          <w:spacing w:val="-22"/>
          <w:sz w:val="16"/>
        </w:rPr>
        <w:t> </w:t>
      </w:r>
      <w:r>
        <w:rPr>
          <w:sz w:val="16"/>
        </w:rPr>
        <w:t>otros.</w:t>
      </w:r>
    </w:p>
    <w:p>
      <w:pPr>
        <w:pStyle w:val="BodyText"/>
        <w:spacing w:before="11"/>
        <w:rPr>
          <w:sz w:val="15"/>
        </w:rPr>
      </w:pPr>
    </w:p>
    <w:p>
      <w:pPr>
        <w:tabs>
          <w:tab w:pos="829" w:val="left" w:leader="none"/>
        </w:tabs>
        <w:spacing w:before="0"/>
        <w:ind w:left="122" w:right="120" w:firstLine="0"/>
        <w:jc w:val="both"/>
        <w:rPr>
          <w:sz w:val="16"/>
        </w:rPr>
      </w:pPr>
      <w:r>
        <w:rPr>
          <w:position w:val="6"/>
          <w:sz w:val="10"/>
        </w:rPr>
        <w:t>135</w:t>
        <w:tab/>
      </w:r>
      <w:r>
        <w:rPr>
          <w:sz w:val="16"/>
        </w:rPr>
        <w:t>Como se indicó (</w:t>
      </w:r>
      <w:r>
        <w:rPr>
          <w:i/>
          <w:sz w:val="16"/>
        </w:rPr>
        <w:t>supra </w:t>
      </w:r>
      <w:r>
        <w:rPr>
          <w:sz w:val="16"/>
        </w:rPr>
        <w:t>párr 65 </w:t>
      </w:r>
      <w:r>
        <w:rPr>
          <w:i/>
          <w:sz w:val="16"/>
        </w:rPr>
        <w:t>y </w:t>
      </w:r>
      <w:r>
        <w:rPr>
          <w:sz w:val="16"/>
        </w:rPr>
        <w:t>nota a pie de página 56), se realizaron adjudicaciones al  </w:t>
      </w:r>
      <w:r>
        <w:rPr>
          <w:spacing w:val="22"/>
          <w:sz w:val="16"/>
        </w:rPr>
        <w:t> </w:t>
      </w:r>
      <w:r>
        <w:rPr>
          <w:sz w:val="16"/>
        </w:rPr>
        <w:t>menos</w:t>
      </w:r>
      <w:r>
        <w:rPr>
          <w:spacing w:val="7"/>
          <w:sz w:val="16"/>
        </w:rPr>
        <w:t> </w:t>
      </w:r>
      <w:r>
        <w:rPr>
          <w:sz w:val="16"/>
        </w:rPr>
        <w:t>a</w:t>
      </w:r>
      <w:r>
        <w:rPr>
          <w:w w:val="100"/>
          <w:sz w:val="16"/>
        </w:rPr>
        <w:t> </w:t>
      </w:r>
      <w:r>
        <w:rPr>
          <w:sz w:val="16"/>
        </w:rPr>
        <w:t>tres personas y cinco comunidades</w:t>
      </w:r>
      <w:r>
        <w:rPr>
          <w:spacing w:val="-9"/>
          <w:sz w:val="16"/>
        </w:rPr>
        <w:t> </w:t>
      </w:r>
      <w:r>
        <w:rPr>
          <w:sz w:val="16"/>
        </w:rPr>
        <w:t>indígenas.</w:t>
      </w:r>
    </w:p>
    <w:p>
      <w:pPr>
        <w:pStyle w:val="BodyText"/>
        <w:spacing w:before="11"/>
        <w:rPr>
          <w:sz w:val="15"/>
        </w:rPr>
      </w:pPr>
    </w:p>
    <w:p>
      <w:pPr>
        <w:tabs>
          <w:tab w:pos="829" w:val="left" w:leader="none"/>
        </w:tabs>
        <w:spacing w:line="240" w:lineRule="auto" w:before="0"/>
        <w:ind w:left="122" w:right="116" w:firstLine="0"/>
        <w:jc w:val="both"/>
        <w:rPr>
          <w:sz w:val="16"/>
        </w:rPr>
      </w:pPr>
      <w:r>
        <w:rPr>
          <w:position w:val="6"/>
          <w:sz w:val="10"/>
        </w:rPr>
        <w:t>136</w:t>
        <w:tab/>
      </w:r>
      <w:r>
        <w:rPr>
          <w:sz w:val="16"/>
        </w:rPr>
        <w:t>Causa “Asociación de Comunidades Aborígenes Lhaka Honhat vs. Poder Ejecutivo de la</w:t>
      </w:r>
      <w:r>
        <w:rPr>
          <w:spacing w:val="55"/>
          <w:sz w:val="16"/>
        </w:rPr>
        <w:t> </w:t>
      </w:r>
      <w:r>
        <w:rPr>
          <w:sz w:val="16"/>
        </w:rPr>
        <w:t>Provincia</w:t>
      </w:r>
      <w:r>
        <w:rPr>
          <w:spacing w:val="5"/>
          <w:sz w:val="16"/>
        </w:rPr>
        <w:t> </w:t>
      </w:r>
      <w:r>
        <w:rPr>
          <w:sz w:val="16"/>
        </w:rPr>
        <w:t>de</w:t>
      </w:r>
      <w:r>
        <w:rPr>
          <w:w w:val="100"/>
          <w:sz w:val="16"/>
        </w:rPr>
        <w:t> </w:t>
      </w:r>
      <w:r>
        <w:rPr>
          <w:sz w:val="16"/>
        </w:rPr>
        <w:t>Salta”, Sentencia de la CJS de 8 de mayo de 2007. Expediente de prueba, anexo F.6 al escrito de solicitudes y argumentos, fs. 30.875 a 30.881. En tanto el Decreto 461/99 fue dejado sin efecto, no hace falta que la Corte Interamericana se pronuncie sobre su compatibilidad con la Convención; baste con señalar que no fue un</w:t>
      </w:r>
      <w:r>
        <w:rPr>
          <w:spacing w:val="-9"/>
          <w:sz w:val="16"/>
        </w:rPr>
        <w:t> </w:t>
      </w:r>
      <w:r>
        <w:rPr>
          <w:sz w:val="16"/>
        </w:rPr>
        <w:t>acto</w:t>
      </w:r>
      <w:r>
        <w:rPr>
          <w:spacing w:val="-11"/>
          <w:sz w:val="16"/>
        </w:rPr>
        <w:t> </w:t>
      </w:r>
      <w:r>
        <w:rPr>
          <w:sz w:val="16"/>
        </w:rPr>
        <w:t>por</w:t>
      </w:r>
      <w:r>
        <w:rPr>
          <w:spacing w:val="-9"/>
          <w:sz w:val="16"/>
        </w:rPr>
        <w:t> </w:t>
      </w:r>
      <w:r>
        <w:rPr>
          <w:sz w:val="16"/>
        </w:rPr>
        <w:t>el</w:t>
      </w:r>
      <w:r>
        <w:rPr>
          <w:spacing w:val="-11"/>
          <w:sz w:val="16"/>
        </w:rPr>
        <w:t> </w:t>
      </w:r>
      <w:r>
        <w:rPr>
          <w:sz w:val="16"/>
        </w:rPr>
        <w:t>cual</w:t>
      </w:r>
      <w:r>
        <w:rPr>
          <w:spacing w:val="-11"/>
          <w:sz w:val="16"/>
        </w:rPr>
        <w:t> </w:t>
      </w:r>
      <w:r>
        <w:rPr>
          <w:sz w:val="16"/>
        </w:rPr>
        <w:t>se</w:t>
      </w:r>
      <w:r>
        <w:rPr>
          <w:spacing w:val="-9"/>
          <w:sz w:val="16"/>
        </w:rPr>
        <w:t> </w:t>
      </w:r>
      <w:r>
        <w:rPr>
          <w:sz w:val="16"/>
        </w:rPr>
        <w:t>concretara</w:t>
      </w:r>
      <w:r>
        <w:rPr>
          <w:spacing w:val="-10"/>
          <w:sz w:val="16"/>
        </w:rPr>
        <w:t> </w:t>
      </w:r>
      <w:r>
        <w:rPr>
          <w:sz w:val="16"/>
        </w:rPr>
        <w:t>un</w:t>
      </w:r>
      <w:r>
        <w:rPr>
          <w:spacing w:val="-11"/>
          <w:sz w:val="16"/>
        </w:rPr>
        <w:t> </w:t>
      </w:r>
      <w:r>
        <w:rPr>
          <w:sz w:val="16"/>
        </w:rPr>
        <w:t>reconocimiento</w:t>
      </w:r>
      <w:r>
        <w:rPr>
          <w:spacing w:val="-11"/>
          <w:sz w:val="16"/>
        </w:rPr>
        <w:t> </w:t>
      </w:r>
      <w:r>
        <w:rPr>
          <w:sz w:val="16"/>
        </w:rPr>
        <w:t>válido</w:t>
      </w:r>
      <w:r>
        <w:rPr>
          <w:spacing w:val="-11"/>
          <w:sz w:val="16"/>
        </w:rPr>
        <w:t> </w:t>
      </w:r>
      <w:r>
        <w:rPr>
          <w:sz w:val="16"/>
        </w:rPr>
        <w:t>de</w:t>
      </w:r>
      <w:r>
        <w:rPr>
          <w:spacing w:val="-10"/>
          <w:sz w:val="16"/>
        </w:rPr>
        <w:t> </w:t>
      </w:r>
      <w:r>
        <w:rPr>
          <w:sz w:val="16"/>
        </w:rPr>
        <w:t>la</w:t>
      </w:r>
      <w:r>
        <w:rPr>
          <w:spacing w:val="-10"/>
          <w:sz w:val="16"/>
        </w:rPr>
        <w:t> </w:t>
      </w:r>
      <w:r>
        <w:rPr>
          <w:sz w:val="16"/>
        </w:rPr>
        <w:t>propiedad</w:t>
      </w:r>
      <w:r>
        <w:rPr>
          <w:spacing w:val="-9"/>
          <w:sz w:val="16"/>
        </w:rPr>
        <w:t> </w:t>
      </w:r>
      <w:r>
        <w:rPr>
          <w:sz w:val="16"/>
        </w:rPr>
        <w:t>de</w:t>
      </w:r>
      <w:r>
        <w:rPr>
          <w:spacing w:val="-10"/>
          <w:sz w:val="16"/>
        </w:rPr>
        <w:t> </w:t>
      </w:r>
      <w:r>
        <w:rPr>
          <w:sz w:val="16"/>
        </w:rPr>
        <w:t>las</w:t>
      </w:r>
      <w:r>
        <w:rPr>
          <w:spacing w:val="-12"/>
          <w:sz w:val="16"/>
        </w:rPr>
        <w:t> </w:t>
      </w:r>
      <w:r>
        <w:rPr>
          <w:sz w:val="16"/>
        </w:rPr>
        <w:t>comunidades</w:t>
      </w:r>
      <w:r>
        <w:rPr>
          <w:spacing w:val="-9"/>
          <w:sz w:val="16"/>
        </w:rPr>
        <w:t> </w:t>
      </w:r>
      <w:r>
        <w:rPr>
          <w:sz w:val="16"/>
        </w:rPr>
        <w:t>indígenas</w:t>
      </w:r>
      <w:r>
        <w:rPr>
          <w:spacing w:val="-12"/>
          <w:sz w:val="16"/>
        </w:rPr>
        <w:t> </w:t>
      </w:r>
      <w:r>
        <w:rPr>
          <w:sz w:val="16"/>
        </w:rPr>
        <w:t>sobre su</w:t>
      </w:r>
      <w:r>
        <w:rPr>
          <w:spacing w:val="-2"/>
          <w:sz w:val="16"/>
        </w:rPr>
        <w:t> </w:t>
      </w:r>
      <w:r>
        <w:rPr>
          <w:sz w:val="16"/>
        </w:rPr>
        <w:t>territorio.</w:t>
      </w:r>
    </w:p>
    <w:p>
      <w:pPr>
        <w:spacing w:after="0" w:line="240" w:lineRule="auto"/>
        <w:jc w:val="both"/>
        <w:rPr>
          <w:sz w:val="16"/>
        </w:rPr>
        <w:sectPr>
          <w:pgSz w:w="12240" w:h="15840"/>
          <w:pgMar w:header="0" w:footer="1000" w:top="1340" w:bottom="1200" w:left="1580" w:right="1580"/>
        </w:sectPr>
      </w:pPr>
    </w:p>
    <w:p>
      <w:pPr>
        <w:pStyle w:val="BodyText"/>
        <w:spacing w:line="242" w:lineRule="auto" w:before="76"/>
        <w:ind w:left="102" w:right="108"/>
        <w:jc w:val="both"/>
      </w:pPr>
      <w:r>
        <w:rPr/>
        <w:t>en</w:t>
      </w:r>
      <w:r>
        <w:rPr>
          <w:spacing w:val="-20"/>
        </w:rPr>
        <w:t> </w:t>
      </w:r>
      <w:r>
        <w:rPr/>
        <w:t>el</w:t>
      </w:r>
      <w:r>
        <w:rPr>
          <w:spacing w:val="-18"/>
        </w:rPr>
        <w:t> </w:t>
      </w:r>
      <w:r>
        <w:rPr/>
        <w:t>marco</w:t>
      </w:r>
      <w:r>
        <w:rPr>
          <w:spacing w:val="-20"/>
        </w:rPr>
        <w:t> </w:t>
      </w:r>
      <w:r>
        <w:rPr/>
        <w:t>de</w:t>
      </w:r>
      <w:r>
        <w:rPr>
          <w:spacing w:val="-20"/>
        </w:rPr>
        <w:t> </w:t>
      </w:r>
      <w:r>
        <w:rPr/>
        <w:t>una</w:t>
      </w:r>
      <w:r>
        <w:rPr>
          <w:spacing w:val="-21"/>
        </w:rPr>
        <w:t> </w:t>
      </w:r>
      <w:r>
        <w:rPr/>
        <w:t>conducta</w:t>
      </w:r>
      <w:r>
        <w:rPr>
          <w:spacing w:val="-21"/>
        </w:rPr>
        <w:t> </w:t>
      </w:r>
      <w:r>
        <w:rPr/>
        <w:t>estatal</w:t>
      </w:r>
      <w:r>
        <w:rPr>
          <w:spacing w:val="-18"/>
        </w:rPr>
        <w:t> </w:t>
      </w:r>
      <w:r>
        <w:rPr/>
        <w:t>contraria</w:t>
      </w:r>
      <w:r>
        <w:rPr>
          <w:spacing w:val="-19"/>
        </w:rPr>
        <w:t> </w:t>
      </w:r>
      <w:r>
        <w:rPr/>
        <w:t>a</w:t>
      </w:r>
      <w:r>
        <w:rPr>
          <w:spacing w:val="-18"/>
        </w:rPr>
        <w:t> </w:t>
      </w:r>
      <w:r>
        <w:rPr/>
        <w:t>un</w:t>
      </w:r>
      <w:r>
        <w:rPr>
          <w:spacing w:val="-20"/>
        </w:rPr>
        <w:t> </w:t>
      </w:r>
      <w:r>
        <w:rPr/>
        <w:t>reconocimiento</w:t>
      </w:r>
      <w:r>
        <w:rPr>
          <w:spacing w:val="-20"/>
        </w:rPr>
        <w:t> </w:t>
      </w:r>
      <w:r>
        <w:rPr/>
        <w:t>unificado</w:t>
      </w:r>
      <w:r>
        <w:rPr>
          <w:spacing w:val="-22"/>
        </w:rPr>
        <w:t> </w:t>
      </w:r>
      <w:r>
        <w:rPr/>
        <w:t>del</w:t>
      </w:r>
      <w:r>
        <w:rPr>
          <w:spacing w:val="-18"/>
        </w:rPr>
        <w:t> </w:t>
      </w:r>
      <w:r>
        <w:rPr/>
        <w:t>territorio indígena.</w:t>
      </w:r>
    </w:p>
    <w:p>
      <w:pPr>
        <w:pStyle w:val="BodyText"/>
        <w:spacing w:before="7"/>
        <w:rPr>
          <w:sz w:val="19"/>
        </w:rPr>
      </w:pPr>
    </w:p>
    <w:p>
      <w:pPr>
        <w:pStyle w:val="ListParagraph"/>
        <w:numPr>
          <w:ilvl w:val="0"/>
          <w:numId w:val="21"/>
        </w:numPr>
        <w:tabs>
          <w:tab w:pos="810" w:val="left" w:leader="none"/>
        </w:tabs>
        <w:spacing w:line="240" w:lineRule="auto" w:before="1" w:after="0"/>
        <w:ind w:left="102" w:right="109" w:firstLine="0"/>
        <w:jc w:val="both"/>
        <w:rPr>
          <w:sz w:val="20"/>
        </w:rPr>
      </w:pPr>
      <w:r>
        <w:rPr>
          <w:sz w:val="20"/>
        </w:rPr>
        <w:t>Estas actuaciones fueron contrarias a los actos que, respecto a la propiedad indígena, el propio Estado había instrumentado, a partir del Decreto 2609/91, contemplando la unidad del</w:t>
      </w:r>
      <w:r>
        <w:rPr>
          <w:spacing w:val="-17"/>
          <w:sz w:val="20"/>
        </w:rPr>
        <w:t> </w:t>
      </w:r>
      <w:r>
        <w:rPr>
          <w:sz w:val="20"/>
        </w:rPr>
        <w:t>territorio.</w:t>
      </w:r>
    </w:p>
    <w:p>
      <w:pPr>
        <w:pStyle w:val="BodyText"/>
        <w:spacing w:before="10"/>
        <w:rPr>
          <w:sz w:val="19"/>
        </w:rPr>
      </w:pPr>
    </w:p>
    <w:p>
      <w:pPr>
        <w:spacing w:before="1"/>
        <w:ind w:left="1234" w:right="0" w:firstLine="0"/>
        <w:jc w:val="left"/>
        <w:rPr>
          <w:i/>
          <w:sz w:val="20"/>
        </w:rPr>
      </w:pPr>
      <w:bookmarkStart w:name="_bookmark43" w:id="73"/>
      <w:bookmarkEnd w:id="73"/>
      <w:r>
        <w:rPr/>
      </w:r>
      <w:r>
        <w:rPr>
          <w:i/>
          <w:sz w:val="20"/>
        </w:rPr>
        <w:t>B.2.2.3 2005 y 2006</w:t>
      </w:r>
    </w:p>
    <w:p>
      <w:pPr>
        <w:pStyle w:val="BodyText"/>
        <w:spacing w:before="1"/>
        <w:rPr>
          <w:i/>
        </w:rPr>
      </w:pPr>
    </w:p>
    <w:p>
      <w:pPr>
        <w:pStyle w:val="ListParagraph"/>
        <w:numPr>
          <w:ilvl w:val="0"/>
          <w:numId w:val="21"/>
        </w:numPr>
        <w:tabs>
          <w:tab w:pos="810" w:val="left" w:leader="none"/>
        </w:tabs>
        <w:spacing w:line="240" w:lineRule="auto" w:before="0" w:after="0"/>
        <w:ind w:left="102" w:right="111" w:firstLine="0"/>
        <w:jc w:val="both"/>
        <w:rPr>
          <w:sz w:val="20"/>
        </w:rPr>
      </w:pPr>
      <w:r>
        <w:rPr>
          <w:sz w:val="20"/>
        </w:rPr>
        <w:t>En 2005 se realizó un referéndum cuyas circunstancias fueron narradas en el capítulo VI de esta Sentencia (</w:t>
      </w:r>
      <w:r>
        <w:rPr>
          <w:i/>
          <w:sz w:val="20"/>
        </w:rPr>
        <w:t>supra </w:t>
      </w:r>
      <w:r>
        <w:rPr>
          <w:sz w:val="20"/>
        </w:rPr>
        <w:t>párrs. 71 a</w:t>
      </w:r>
      <w:r>
        <w:rPr>
          <w:spacing w:val="-17"/>
          <w:sz w:val="20"/>
        </w:rPr>
        <w:t> </w:t>
      </w:r>
      <w:r>
        <w:rPr>
          <w:sz w:val="20"/>
        </w:rPr>
        <w:t>73).</w:t>
      </w:r>
    </w:p>
    <w:p>
      <w:pPr>
        <w:pStyle w:val="BodyText"/>
      </w:pPr>
    </w:p>
    <w:p>
      <w:pPr>
        <w:pStyle w:val="ListParagraph"/>
        <w:numPr>
          <w:ilvl w:val="0"/>
          <w:numId w:val="21"/>
        </w:numPr>
        <w:tabs>
          <w:tab w:pos="810" w:val="left" w:leader="none"/>
        </w:tabs>
        <w:spacing w:line="240" w:lineRule="auto" w:before="1" w:after="0"/>
        <w:ind w:left="102" w:right="103" w:firstLine="0"/>
        <w:jc w:val="both"/>
        <w:rPr>
          <w:sz w:val="20"/>
        </w:rPr>
      </w:pPr>
      <w:r>
        <w:rPr>
          <w:sz w:val="20"/>
        </w:rPr>
        <w:t>La Corte nota que, como señaló el Estado, el resultado del referéndum no tuvo efectos pues, como se explica más adelante, se dictaron actos posteriores que, prescindiendo del resultado de esa consulta, implicaron el reconocimiento estatal de propiedad</w:t>
      </w:r>
      <w:r>
        <w:rPr>
          <w:spacing w:val="-18"/>
          <w:sz w:val="20"/>
        </w:rPr>
        <w:t> </w:t>
      </w:r>
      <w:r>
        <w:rPr>
          <w:sz w:val="20"/>
        </w:rPr>
        <w:t>de</w:t>
      </w:r>
      <w:r>
        <w:rPr>
          <w:spacing w:val="-20"/>
          <w:sz w:val="20"/>
        </w:rPr>
        <w:t> </w:t>
      </w:r>
      <w:r>
        <w:rPr>
          <w:sz w:val="20"/>
        </w:rPr>
        <w:t>las</w:t>
      </w:r>
      <w:r>
        <w:rPr>
          <w:spacing w:val="-19"/>
          <w:sz w:val="20"/>
        </w:rPr>
        <w:t> </w:t>
      </w:r>
      <w:r>
        <w:rPr>
          <w:sz w:val="20"/>
        </w:rPr>
        <w:t>comunidades</w:t>
      </w:r>
      <w:r>
        <w:rPr>
          <w:spacing w:val="-19"/>
          <w:sz w:val="20"/>
        </w:rPr>
        <w:t> </w:t>
      </w:r>
      <w:r>
        <w:rPr>
          <w:sz w:val="20"/>
        </w:rPr>
        <w:t>indígenas.</w:t>
      </w:r>
      <w:r>
        <w:rPr>
          <w:spacing w:val="-19"/>
          <w:sz w:val="20"/>
        </w:rPr>
        <w:t> </w:t>
      </w:r>
      <w:r>
        <w:rPr>
          <w:sz w:val="20"/>
        </w:rPr>
        <w:t>Este</w:t>
      </w:r>
      <w:r>
        <w:rPr>
          <w:spacing w:val="-16"/>
          <w:sz w:val="20"/>
        </w:rPr>
        <w:t> </w:t>
      </w:r>
      <w:r>
        <w:rPr>
          <w:sz w:val="20"/>
        </w:rPr>
        <w:t>Tribunal</w:t>
      </w:r>
      <w:r>
        <w:rPr>
          <w:spacing w:val="-18"/>
          <w:sz w:val="20"/>
        </w:rPr>
        <w:t> </w:t>
      </w:r>
      <w:r>
        <w:rPr>
          <w:sz w:val="20"/>
        </w:rPr>
        <w:t>entiende</w:t>
      </w:r>
      <w:r>
        <w:rPr>
          <w:spacing w:val="-20"/>
          <w:sz w:val="20"/>
        </w:rPr>
        <w:t> </w:t>
      </w:r>
      <w:r>
        <w:rPr>
          <w:sz w:val="20"/>
        </w:rPr>
        <w:t>que,</w:t>
      </w:r>
      <w:r>
        <w:rPr>
          <w:spacing w:val="-19"/>
          <w:sz w:val="20"/>
        </w:rPr>
        <w:t> </w:t>
      </w:r>
      <w:r>
        <w:rPr>
          <w:sz w:val="20"/>
        </w:rPr>
        <w:t>en</w:t>
      </w:r>
      <w:r>
        <w:rPr>
          <w:spacing w:val="-16"/>
          <w:sz w:val="20"/>
        </w:rPr>
        <w:t> </w:t>
      </w:r>
      <w:r>
        <w:rPr>
          <w:sz w:val="20"/>
        </w:rPr>
        <w:t>principio,</w:t>
      </w:r>
      <w:r>
        <w:rPr>
          <w:spacing w:val="-19"/>
          <w:sz w:val="20"/>
        </w:rPr>
        <w:t> </w:t>
      </w:r>
      <w:r>
        <w:rPr>
          <w:sz w:val="20"/>
        </w:rPr>
        <w:t>podría ser contrario al respeto al derecho de propiedad comunitaria indígena que se sometiera su</w:t>
      </w:r>
      <w:r>
        <w:rPr>
          <w:spacing w:val="-11"/>
          <w:sz w:val="20"/>
        </w:rPr>
        <w:t> </w:t>
      </w:r>
      <w:r>
        <w:rPr>
          <w:sz w:val="20"/>
        </w:rPr>
        <w:t>reconocimiento</w:t>
      </w:r>
      <w:r>
        <w:rPr>
          <w:spacing w:val="-10"/>
          <w:sz w:val="20"/>
        </w:rPr>
        <w:t> </w:t>
      </w:r>
      <w:r>
        <w:rPr>
          <w:sz w:val="20"/>
        </w:rPr>
        <w:t>a</w:t>
      </w:r>
      <w:r>
        <w:rPr>
          <w:spacing w:val="-9"/>
          <w:sz w:val="20"/>
        </w:rPr>
        <w:t> </w:t>
      </w:r>
      <w:r>
        <w:rPr>
          <w:sz w:val="20"/>
        </w:rPr>
        <w:t>la</w:t>
      </w:r>
      <w:r>
        <w:rPr>
          <w:spacing w:val="-9"/>
          <w:sz w:val="20"/>
        </w:rPr>
        <w:t> </w:t>
      </w:r>
      <w:r>
        <w:rPr>
          <w:sz w:val="20"/>
        </w:rPr>
        <w:t>decisión</w:t>
      </w:r>
      <w:r>
        <w:rPr>
          <w:spacing w:val="-10"/>
          <w:sz w:val="20"/>
        </w:rPr>
        <w:t> </w:t>
      </w:r>
      <w:r>
        <w:rPr>
          <w:sz w:val="20"/>
        </w:rPr>
        <w:t>mayoritaria</w:t>
      </w:r>
      <w:r>
        <w:rPr>
          <w:spacing w:val="-9"/>
          <w:sz w:val="20"/>
        </w:rPr>
        <w:t> </w:t>
      </w:r>
      <w:r>
        <w:rPr>
          <w:sz w:val="20"/>
        </w:rPr>
        <w:t>de</w:t>
      </w:r>
      <w:r>
        <w:rPr>
          <w:spacing w:val="-10"/>
          <w:sz w:val="20"/>
        </w:rPr>
        <w:t> </w:t>
      </w:r>
      <w:r>
        <w:rPr>
          <w:sz w:val="20"/>
        </w:rPr>
        <w:t>la</w:t>
      </w:r>
      <w:r>
        <w:rPr>
          <w:spacing w:val="-9"/>
          <w:sz w:val="20"/>
        </w:rPr>
        <w:t> </w:t>
      </w:r>
      <w:r>
        <w:rPr>
          <w:sz w:val="20"/>
        </w:rPr>
        <w:t>ciudadanía.</w:t>
      </w:r>
      <w:r>
        <w:rPr>
          <w:spacing w:val="-9"/>
          <w:sz w:val="20"/>
        </w:rPr>
        <w:t> </w:t>
      </w:r>
      <w:r>
        <w:rPr>
          <w:sz w:val="20"/>
        </w:rPr>
        <w:t>No</w:t>
      </w:r>
      <w:r>
        <w:rPr>
          <w:spacing w:val="-8"/>
          <w:sz w:val="20"/>
        </w:rPr>
        <w:t> </w:t>
      </w:r>
      <w:r>
        <w:rPr>
          <w:sz w:val="20"/>
        </w:rPr>
        <w:t>obstante,</w:t>
      </w:r>
      <w:r>
        <w:rPr>
          <w:spacing w:val="-1"/>
          <w:sz w:val="20"/>
        </w:rPr>
        <w:t> </w:t>
      </w:r>
      <w:r>
        <w:rPr>
          <w:sz w:val="20"/>
        </w:rPr>
        <w:t>en</w:t>
      </w:r>
      <w:r>
        <w:rPr>
          <w:spacing w:val="-6"/>
          <w:sz w:val="20"/>
        </w:rPr>
        <w:t> </w:t>
      </w:r>
      <w:r>
        <w:rPr>
          <w:sz w:val="20"/>
        </w:rPr>
        <w:t>este</w:t>
      </w:r>
      <w:r>
        <w:rPr>
          <w:spacing w:val="-8"/>
          <w:sz w:val="20"/>
        </w:rPr>
        <w:t> </w:t>
      </w:r>
      <w:r>
        <w:rPr>
          <w:sz w:val="20"/>
        </w:rPr>
        <w:t>caso, la Corte considera que no es necesario pronunciarse sobre el referéndum, dada la carencia de efectos señalada. Dado lo anterior, no resulta tampoco necesario examinar los alegatos de los representantes sobre la presunta afectación, en relación con el referéndum, de los derechos políticos establecidos en el artículo 23 de la</w:t>
      </w:r>
      <w:r>
        <w:rPr>
          <w:spacing w:val="-35"/>
          <w:sz w:val="20"/>
        </w:rPr>
        <w:t> </w:t>
      </w:r>
      <w:r>
        <w:rPr>
          <w:sz w:val="20"/>
        </w:rPr>
        <w:t>Convención.</w:t>
      </w:r>
    </w:p>
    <w:p>
      <w:pPr>
        <w:pStyle w:val="BodyText"/>
        <w:spacing w:before="1"/>
      </w:pPr>
    </w:p>
    <w:p>
      <w:pPr>
        <w:spacing w:before="0"/>
        <w:ind w:left="954" w:right="0" w:firstLine="0"/>
        <w:jc w:val="left"/>
        <w:rPr>
          <w:i/>
          <w:sz w:val="20"/>
        </w:rPr>
      </w:pPr>
      <w:bookmarkStart w:name="_bookmark44" w:id="74"/>
      <w:bookmarkEnd w:id="74"/>
      <w:r>
        <w:rPr/>
      </w:r>
      <w:r>
        <w:rPr>
          <w:i/>
          <w:sz w:val="20"/>
        </w:rPr>
        <w:t>B.2.2.4 El proceso de acuerdos a partir de 2007</w:t>
      </w:r>
    </w:p>
    <w:p>
      <w:pPr>
        <w:pStyle w:val="BodyText"/>
        <w:spacing w:before="10"/>
        <w:rPr>
          <w:i/>
          <w:sz w:val="19"/>
        </w:rPr>
      </w:pPr>
    </w:p>
    <w:p>
      <w:pPr>
        <w:pStyle w:val="ListParagraph"/>
        <w:numPr>
          <w:ilvl w:val="0"/>
          <w:numId w:val="21"/>
        </w:numPr>
        <w:tabs>
          <w:tab w:pos="810" w:val="left" w:leader="none"/>
        </w:tabs>
        <w:spacing w:line="240" w:lineRule="auto" w:before="0" w:after="0"/>
        <w:ind w:left="102" w:right="104" w:firstLine="0"/>
        <w:jc w:val="both"/>
        <w:rPr>
          <w:sz w:val="20"/>
        </w:rPr>
      </w:pPr>
      <w:r>
        <w:rPr>
          <w:sz w:val="20"/>
        </w:rPr>
        <w:t>Como surge de los hechos, luego de la realización del referéndum y pese a ello, de modo desvinculado del resultado que arrojó, prosiguieron las conversaciones entre las partes. Luego de reuniones desarrolladas en 2006 y 2007, el 23 de octubre de ese último</w:t>
      </w:r>
      <w:r>
        <w:rPr>
          <w:spacing w:val="-8"/>
          <w:sz w:val="20"/>
        </w:rPr>
        <w:t> </w:t>
      </w:r>
      <w:r>
        <w:rPr>
          <w:sz w:val="20"/>
        </w:rPr>
        <w:t>año</w:t>
      </w:r>
      <w:r>
        <w:rPr>
          <w:spacing w:val="-9"/>
          <w:sz w:val="20"/>
        </w:rPr>
        <w:t> </w:t>
      </w:r>
      <w:r>
        <w:rPr>
          <w:sz w:val="20"/>
        </w:rPr>
        <w:t>se</w:t>
      </w:r>
      <w:r>
        <w:rPr>
          <w:spacing w:val="-10"/>
          <w:sz w:val="20"/>
        </w:rPr>
        <w:t> </w:t>
      </w:r>
      <w:r>
        <w:rPr>
          <w:sz w:val="20"/>
        </w:rPr>
        <w:t>dictó</w:t>
      </w:r>
      <w:r>
        <w:rPr>
          <w:spacing w:val="-6"/>
          <w:sz w:val="20"/>
        </w:rPr>
        <w:t> </w:t>
      </w:r>
      <w:r>
        <w:rPr>
          <w:sz w:val="20"/>
        </w:rPr>
        <w:t>el</w:t>
      </w:r>
      <w:r>
        <w:rPr>
          <w:spacing w:val="-8"/>
          <w:sz w:val="20"/>
        </w:rPr>
        <w:t> </w:t>
      </w:r>
      <w:r>
        <w:rPr>
          <w:sz w:val="20"/>
        </w:rPr>
        <w:t>Decreto</w:t>
      </w:r>
      <w:r>
        <w:rPr>
          <w:spacing w:val="-9"/>
          <w:sz w:val="20"/>
        </w:rPr>
        <w:t> </w:t>
      </w:r>
      <w:r>
        <w:rPr>
          <w:sz w:val="20"/>
        </w:rPr>
        <w:t>2786/07</w:t>
      </w:r>
      <w:r>
        <w:rPr>
          <w:spacing w:val="-7"/>
          <w:sz w:val="20"/>
        </w:rPr>
        <w:t> </w:t>
      </w:r>
      <w:r>
        <w:rPr>
          <w:sz w:val="20"/>
        </w:rPr>
        <w:t>que</w:t>
      </w:r>
      <w:r>
        <w:rPr>
          <w:spacing w:val="-9"/>
          <w:sz w:val="20"/>
        </w:rPr>
        <w:t> </w:t>
      </w:r>
      <w:r>
        <w:rPr>
          <w:sz w:val="20"/>
        </w:rPr>
        <w:t>aprobó</w:t>
      </w:r>
      <w:r>
        <w:rPr>
          <w:spacing w:val="-9"/>
          <w:sz w:val="20"/>
        </w:rPr>
        <w:t> </w:t>
      </w:r>
      <w:r>
        <w:rPr>
          <w:sz w:val="20"/>
        </w:rPr>
        <w:t>formalmente</w:t>
      </w:r>
      <w:r>
        <w:rPr>
          <w:spacing w:val="-7"/>
          <w:sz w:val="20"/>
        </w:rPr>
        <w:t> </w:t>
      </w:r>
      <w:r>
        <w:rPr>
          <w:sz w:val="20"/>
        </w:rPr>
        <w:t>el</w:t>
      </w:r>
      <w:r>
        <w:rPr>
          <w:spacing w:val="-8"/>
          <w:sz w:val="20"/>
        </w:rPr>
        <w:t> </w:t>
      </w:r>
      <w:r>
        <w:rPr>
          <w:sz w:val="20"/>
        </w:rPr>
        <w:t>Acta-Acuerdo</w:t>
      </w:r>
      <w:r>
        <w:rPr>
          <w:spacing w:val="-9"/>
          <w:sz w:val="20"/>
        </w:rPr>
        <w:t> </w:t>
      </w:r>
      <w:r>
        <w:rPr>
          <w:sz w:val="20"/>
        </w:rPr>
        <w:t>del</w:t>
      </w:r>
      <w:r>
        <w:rPr>
          <w:spacing w:val="-8"/>
          <w:sz w:val="20"/>
        </w:rPr>
        <w:t> </w:t>
      </w:r>
      <w:r>
        <w:rPr>
          <w:sz w:val="20"/>
        </w:rPr>
        <w:t>día 17</w:t>
      </w:r>
      <w:r>
        <w:rPr>
          <w:spacing w:val="-10"/>
          <w:sz w:val="20"/>
        </w:rPr>
        <w:t> </w:t>
      </w:r>
      <w:r>
        <w:rPr>
          <w:sz w:val="20"/>
        </w:rPr>
        <w:t>del</w:t>
      </w:r>
      <w:r>
        <w:rPr>
          <w:spacing w:val="-10"/>
          <w:sz w:val="20"/>
        </w:rPr>
        <w:t> </w:t>
      </w:r>
      <w:r>
        <w:rPr>
          <w:sz w:val="20"/>
        </w:rPr>
        <w:t>mismo</w:t>
      </w:r>
      <w:r>
        <w:rPr>
          <w:spacing w:val="-11"/>
          <w:sz w:val="20"/>
        </w:rPr>
        <w:t> </w:t>
      </w:r>
      <w:r>
        <w:rPr>
          <w:sz w:val="20"/>
        </w:rPr>
        <w:t>mes,</w:t>
      </w:r>
      <w:r>
        <w:rPr>
          <w:spacing w:val="-9"/>
          <w:sz w:val="20"/>
        </w:rPr>
        <w:t> </w:t>
      </w:r>
      <w:r>
        <w:rPr>
          <w:sz w:val="20"/>
        </w:rPr>
        <w:t>precedida</w:t>
      </w:r>
      <w:r>
        <w:rPr>
          <w:spacing w:val="-10"/>
          <w:sz w:val="20"/>
        </w:rPr>
        <w:t> </w:t>
      </w:r>
      <w:r>
        <w:rPr>
          <w:sz w:val="20"/>
        </w:rPr>
        <w:t>a</w:t>
      </w:r>
      <w:r>
        <w:rPr>
          <w:spacing w:val="-10"/>
          <w:sz w:val="20"/>
        </w:rPr>
        <w:t> </w:t>
      </w:r>
      <w:r>
        <w:rPr>
          <w:sz w:val="20"/>
        </w:rPr>
        <w:t>su</w:t>
      </w:r>
      <w:r>
        <w:rPr>
          <w:spacing w:val="-10"/>
          <w:sz w:val="20"/>
        </w:rPr>
        <w:t> </w:t>
      </w:r>
      <w:r>
        <w:rPr>
          <w:sz w:val="20"/>
        </w:rPr>
        <w:t>vez</w:t>
      </w:r>
      <w:r>
        <w:rPr>
          <w:spacing w:val="-10"/>
          <w:sz w:val="20"/>
        </w:rPr>
        <w:t> </w:t>
      </w:r>
      <w:r>
        <w:rPr>
          <w:sz w:val="20"/>
        </w:rPr>
        <w:t>de</w:t>
      </w:r>
      <w:r>
        <w:rPr>
          <w:spacing w:val="-12"/>
          <w:sz w:val="20"/>
        </w:rPr>
        <w:t> </w:t>
      </w:r>
      <w:r>
        <w:rPr>
          <w:sz w:val="20"/>
        </w:rPr>
        <w:t>otros</w:t>
      </w:r>
      <w:r>
        <w:rPr>
          <w:spacing w:val="-9"/>
          <w:sz w:val="20"/>
        </w:rPr>
        <w:t> </w:t>
      </w:r>
      <w:r>
        <w:rPr>
          <w:sz w:val="20"/>
        </w:rPr>
        <w:t>acuerdos</w:t>
      </w:r>
      <w:r>
        <w:rPr>
          <w:spacing w:val="-9"/>
          <w:sz w:val="20"/>
        </w:rPr>
        <w:t> </w:t>
      </w:r>
      <w:r>
        <w:rPr>
          <w:sz w:val="20"/>
        </w:rPr>
        <w:t>(</w:t>
      </w:r>
      <w:r>
        <w:rPr>
          <w:i/>
          <w:sz w:val="20"/>
        </w:rPr>
        <w:t>supra</w:t>
      </w:r>
      <w:r>
        <w:rPr>
          <w:i/>
          <w:spacing w:val="-10"/>
          <w:sz w:val="20"/>
        </w:rPr>
        <w:t> </w:t>
      </w:r>
      <w:r>
        <w:rPr>
          <w:sz w:val="20"/>
        </w:rPr>
        <w:t>párrs.</w:t>
      </w:r>
      <w:r>
        <w:rPr>
          <w:spacing w:val="-9"/>
          <w:sz w:val="20"/>
        </w:rPr>
        <w:t> </w:t>
      </w:r>
      <w:r>
        <w:rPr>
          <w:sz w:val="20"/>
        </w:rPr>
        <w:t>74</w:t>
      </w:r>
      <w:r>
        <w:rPr>
          <w:spacing w:val="-10"/>
          <w:sz w:val="20"/>
        </w:rPr>
        <w:t> </w:t>
      </w:r>
      <w:r>
        <w:rPr>
          <w:sz w:val="20"/>
        </w:rPr>
        <w:t>y</w:t>
      </w:r>
      <w:r>
        <w:rPr>
          <w:spacing w:val="-11"/>
          <w:sz w:val="20"/>
        </w:rPr>
        <w:t> </w:t>
      </w:r>
      <w:r>
        <w:rPr>
          <w:sz w:val="20"/>
        </w:rPr>
        <w:t>75).</w:t>
      </w:r>
      <w:r>
        <w:rPr>
          <w:spacing w:val="-11"/>
          <w:sz w:val="20"/>
        </w:rPr>
        <w:t> </w:t>
      </w:r>
      <w:r>
        <w:rPr>
          <w:sz w:val="20"/>
        </w:rPr>
        <w:t>A</w:t>
      </w:r>
      <w:r>
        <w:rPr>
          <w:spacing w:val="-10"/>
          <w:sz w:val="20"/>
        </w:rPr>
        <w:t> </w:t>
      </w:r>
      <w:r>
        <w:rPr>
          <w:sz w:val="20"/>
        </w:rPr>
        <w:t>partir de ese Decreto y del Decreto 1498/14, emitido en 2014, el Estado ha reconocido mediante actos jurídicos el derecho de propiedad de las comunidades indígenas y su extensión de 400.000</w:t>
      </w:r>
      <w:r>
        <w:rPr>
          <w:spacing w:val="-9"/>
          <w:sz w:val="20"/>
        </w:rPr>
        <w:t> </w:t>
      </w:r>
      <w:r>
        <w:rPr>
          <w:sz w:val="20"/>
        </w:rPr>
        <w:t>ha.</w:t>
      </w:r>
    </w:p>
    <w:p>
      <w:pPr>
        <w:pStyle w:val="BodyText"/>
      </w:pPr>
    </w:p>
    <w:p>
      <w:pPr>
        <w:pStyle w:val="ListParagraph"/>
        <w:numPr>
          <w:ilvl w:val="0"/>
          <w:numId w:val="21"/>
        </w:numPr>
        <w:tabs>
          <w:tab w:pos="810" w:val="left" w:leader="none"/>
        </w:tabs>
        <w:spacing w:line="240" w:lineRule="auto" w:before="0" w:after="0"/>
        <w:ind w:left="102" w:right="102" w:firstLine="0"/>
        <w:jc w:val="both"/>
        <w:rPr>
          <w:sz w:val="20"/>
        </w:rPr>
      </w:pPr>
      <w:r>
        <w:rPr>
          <w:sz w:val="20"/>
        </w:rPr>
        <w:t>El Decreto 2786/07 mandó una serie de actos posteriores, señalándolos como requisitos previos para “entrega[r]” la titularidad de las tierras y las escrituras públicas correspondientes. Previó un método de acuerdos de partes para las definiciones territoriales</w:t>
      </w:r>
      <w:r>
        <w:rPr>
          <w:spacing w:val="-9"/>
          <w:sz w:val="20"/>
        </w:rPr>
        <w:t> </w:t>
      </w:r>
      <w:r>
        <w:rPr>
          <w:sz w:val="20"/>
        </w:rPr>
        <w:t>precisas</w:t>
      </w:r>
      <w:r>
        <w:rPr>
          <w:spacing w:val="-11"/>
          <w:sz w:val="20"/>
        </w:rPr>
        <w:t> </w:t>
      </w:r>
      <w:r>
        <w:rPr>
          <w:sz w:val="20"/>
        </w:rPr>
        <w:t>y</w:t>
      </w:r>
      <w:r>
        <w:rPr>
          <w:spacing w:val="-9"/>
          <w:sz w:val="20"/>
        </w:rPr>
        <w:t> </w:t>
      </w:r>
      <w:r>
        <w:rPr>
          <w:sz w:val="20"/>
        </w:rPr>
        <w:t>también</w:t>
      </w:r>
      <w:r>
        <w:rPr>
          <w:spacing w:val="-9"/>
          <w:sz w:val="20"/>
        </w:rPr>
        <w:t> </w:t>
      </w:r>
      <w:r>
        <w:rPr>
          <w:sz w:val="20"/>
        </w:rPr>
        <w:t>que</w:t>
      </w:r>
      <w:r>
        <w:rPr>
          <w:spacing w:val="-12"/>
          <w:sz w:val="20"/>
        </w:rPr>
        <w:t> </w:t>
      </w:r>
      <w:r>
        <w:rPr>
          <w:sz w:val="20"/>
        </w:rPr>
        <w:t>una</w:t>
      </w:r>
      <w:r>
        <w:rPr>
          <w:spacing w:val="-10"/>
          <w:sz w:val="20"/>
        </w:rPr>
        <w:t> </w:t>
      </w:r>
      <w:r>
        <w:rPr>
          <w:sz w:val="20"/>
        </w:rPr>
        <w:t>vez</w:t>
      </w:r>
      <w:r>
        <w:rPr>
          <w:spacing w:val="-10"/>
          <w:sz w:val="20"/>
        </w:rPr>
        <w:t> </w:t>
      </w:r>
      <w:r>
        <w:rPr>
          <w:sz w:val="20"/>
        </w:rPr>
        <w:t>concluidas</w:t>
      </w:r>
      <w:r>
        <w:rPr>
          <w:spacing w:val="-11"/>
          <w:sz w:val="20"/>
        </w:rPr>
        <w:t> </w:t>
      </w:r>
      <w:r>
        <w:rPr>
          <w:sz w:val="20"/>
        </w:rPr>
        <w:t>“todas</w:t>
      </w:r>
      <w:r>
        <w:rPr>
          <w:spacing w:val="-11"/>
          <w:sz w:val="20"/>
        </w:rPr>
        <w:t> </w:t>
      </w:r>
      <w:r>
        <w:rPr>
          <w:sz w:val="20"/>
        </w:rPr>
        <w:t>las</w:t>
      </w:r>
      <w:r>
        <w:rPr>
          <w:spacing w:val="-11"/>
          <w:sz w:val="20"/>
        </w:rPr>
        <w:t> </w:t>
      </w:r>
      <w:r>
        <w:rPr>
          <w:sz w:val="20"/>
        </w:rPr>
        <w:t>gestiones</w:t>
      </w:r>
      <w:r>
        <w:rPr>
          <w:spacing w:val="-11"/>
          <w:sz w:val="20"/>
        </w:rPr>
        <w:t> </w:t>
      </w:r>
      <w:r>
        <w:rPr>
          <w:sz w:val="20"/>
        </w:rPr>
        <w:t>necesarias”, se daría intervención a los órganos gubernamentales correspondientes para concretar las “operaciones [que] fueren menester”. Todo ello para lograr la “entrega definitiva de la</w:t>
      </w:r>
      <w:r>
        <w:rPr>
          <w:spacing w:val="-6"/>
          <w:sz w:val="20"/>
        </w:rPr>
        <w:t> </w:t>
      </w:r>
      <w:r>
        <w:rPr>
          <w:sz w:val="20"/>
        </w:rPr>
        <w:t>titularidad</w:t>
      </w:r>
      <w:r>
        <w:rPr>
          <w:spacing w:val="-6"/>
          <w:sz w:val="20"/>
        </w:rPr>
        <w:t> </w:t>
      </w:r>
      <w:r>
        <w:rPr>
          <w:sz w:val="20"/>
        </w:rPr>
        <w:t>de</w:t>
      </w:r>
      <w:r>
        <w:rPr>
          <w:spacing w:val="-8"/>
          <w:sz w:val="20"/>
        </w:rPr>
        <w:t> </w:t>
      </w:r>
      <w:r>
        <w:rPr>
          <w:sz w:val="20"/>
        </w:rPr>
        <w:t>las</w:t>
      </w:r>
      <w:r>
        <w:rPr>
          <w:spacing w:val="-5"/>
          <w:sz w:val="20"/>
        </w:rPr>
        <w:t> </w:t>
      </w:r>
      <w:r>
        <w:rPr>
          <w:sz w:val="20"/>
        </w:rPr>
        <w:t>tierras”</w:t>
      </w:r>
      <w:r>
        <w:rPr>
          <w:spacing w:val="-7"/>
          <w:sz w:val="20"/>
        </w:rPr>
        <w:t> </w:t>
      </w:r>
      <w:r>
        <w:rPr>
          <w:sz w:val="20"/>
        </w:rPr>
        <w:t>y</w:t>
      </w:r>
      <w:r>
        <w:rPr>
          <w:spacing w:val="-5"/>
          <w:sz w:val="20"/>
        </w:rPr>
        <w:t> </w:t>
      </w:r>
      <w:r>
        <w:rPr>
          <w:sz w:val="20"/>
        </w:rPr>
        <w:t>el</w:t>
      </w:r>
      <w:r>
        <w:rPr>
          <w:spacing w:val="-3"/>
          <w:sz w:val="20"/>
        </w:rPr>
        <w:t> </w:t>
      </w:r>
      <w:r>
        <w:rPr>
          <w:sz w:val="20"/>
        </w:rPr>
        <w:t>“otorga[miento</w:t>
      </w:r>
      <w:r>
        <w:rPr>
          <w:spacing w:val="-5"/>
          <w:sz w:val="20"/>
        </w:rPr>
        <w:t> </w:t>
      </w:r>
      <w:r>
        <w:rPr>
          <w:sz w:val="20"/>
        </w:rPr>
        <w:t>de]</w:t>
      </w:r>
      <w:r>
        <w:rPr>
          <w:spacing w:val="-6"/>
          <w:sz w:val="20"/>
        </w:rPr>
        <w:t> </w:t>
      </w:r>
      <w:r>
        <w:rPr>
          <w:sz w:val="20"/>
        </w:rPr>
        <w:t>las</w:t>
      </w:r>
      <w:r>
        <w:rPr>
          <w:spacing w:val="-4"/>
          <w:sz w:val="20"/>
        </w:rPr>
        <w:t> </w:t>
      </w:r>
      <w:r>
        <w:rPr>
          <w:sz w:val="20"/>
        </w:rPr>
        <w:t>respectivas</w:t>
      </w:r>
      <w:r>
        <w:rPr>
          <w:spacing w:val="-5"/>
          <w:sz w:val="20"/>
        </w:rPr>
        <w:t> </w:t>
      </w:r>
      <w:r>
        <w:rPr>
          <w:sz w:val="20"/>
        </w:rPr>
        <w:t>escrituras</w:t>
      </w:r>
      <w:r>
        <w:rPr>
          <w:spacing w:val="-7"/>
          <w:sz w:val="20"/>
        </w:rPr>
        <w:t> </w:t>
      </w:r>
      <w:r>
        <w:rPr>
          <w:sz w:val="20"/>
        </w:rPr>
        <w:t>públicas</w:t>
      </w:r>
      <w:r>
        <w:rPr>
          <w:spacing w:val="-5"/>
          <w:sz w:val="20"/>
        </w:rPr>
        <w:t> </w:t>
      </w:r>
      <w:r>
        <w:rPr>
          <w:sz w:val="20"/>
        </w:rPr>
        <w:t>a los</w:t>
      </w:r>
      <w:r>
        <w:rPr>
          <w:spacing w:val="-9"/>
          <w:sz w:val="20"/>
        </w:rPr>
        <w:t> </w:t>
      </w:r>
      <w:r>
        <w:rPr>
          <w:sz w:val="20"/>
        </w:rPr>
        <w:t>beneficiarios</w:t>
      </w:r>
      <w:r>
        <w:rPr>
          <w:spacing w:val="-9"/>
          <w:sz w:val="20"/>
        </w:rPr>
        <w:t> </w:t>
      </w:r>
      <w:r>
        <w:rPr>
          <w:sz w:val="20"/>
        </w:rPr>
        <w:t>sin</w:t>
      </w:r>
      <w:r>
        <w:rPr>
          <w:spacing w:val="-7"/>
          <w:sz w:val="20"/>
        </w:rPr>
        <w:t> </w:t>
      </w:r>
      <w:r>
        <w:rPr>
          <w:sz w:val="20"/>
        </w:rPr>
        <w:t>costo</w:t>
      </w:r>
      <w:r>
        <w:rPr>
          <w:spacing w:val="-9"/>
          <w:sz w:val="20"/>
        </w:rPr>
        <w:t> </w:t>
      </w:r>
      <w:r>
        <w:rPr>
          <w:sz w:val="20"/>
        </w:rPr>
        <w:t>alguno</w:t>
      </w:r>
      <w:r>
        <w:rPr>
          <w:spacing w:val="-9"/>
          <w:sz w:val="20"/>
        </w:rPr>
        <w:t> </w:t>
      </w:r>
      <w:r>
        <w:rPr>
          <w:sz w:val="20"/>
        </w:rPr>
        <w:t>para</w:t>
      </w:r>
      <w:r>
        <w:rPr>
          <w:spacing w:val="-8"/>
          <w:sz w:val="20"/>
        </w:rPr>
        <w:t> </w:t>
      </w:r>
      <w:r>
        <w:rPr>
          <w:sz w:val="20"/>
        </w:rPr>
        <w:t>los</w:t>
      </w:r>
      <w:r>
        <w:rPr>
          <w:spacing w:val="-9"/>
          <w:sz w:val="20"/>
        </w:rPr>
        <w:t> </w:t>
      </w:r>
      <w:r>
        <w:rPr>
          <w:sz w:val="20"/>
        </w:rPr>
        <w:t>mismos”.</w:t>
      </w:r>
      <w:r>
        <w:rPr>
          <w:spacing w:val="-8"/>
          <w:sz w:val="20"/>
        </w:rPr>
        <w:t> </w:t>
      </w:r>
      <w:r>
        <w:rPr>
          <w:sz w:val="20"/>
        </w:rPr>
        <w:t>Desde</w:t>
      </w:r>
      <w:r>
        <w:rPr>
          <w:spacing w:val="-9"/>
          <w:sz w:val="20"/>
        </w:rPr>
        <w:t> </w:t>
      </w:r>
      <w:r>
        <w:rPr>
          <w:sz w:val="20"/>
        </w:rPr>
        <w:t>2007</w:t>
      </w:r>
      <w:r>
        <w:rPr>
          <w:spacing w:val="-7"/>
          <w:sz w:val="20"/>
        </w:rPr>
        <w:t> </w:t>
      </w:r>
      <w:r>
        <w:rPr>
          <w:sz w:val="20"/>
        </w:rPr>
        <w:t>y</w:t>
      </w:r>
      <w:r>
        <w:rPr>
          <w:spacing w:val="-8"/>
          <w:sz w:val="20"/>
        </w:rPr>
        <w:t> </w:t>
      </w:r>
      <w:r>
        <w:rPr>
          <w:sz w:val="20"/>
        </w:rPr>
        <w:t>hasta</w:t>
      </w:r>
      <w:r>
        <w:rPr>
          <w:spacing w:val="-8"/>
          <w:sz w:val="20"/>
        </w:rPr>
        <w:t> </w:t>
      </w:r>
      <w:r>
        <w:rPr>
          <w:sz w:val="20"/>
        </w:rPr>
        <w:t>la</w:t>
      </w:r>
      <w:r>
        <w:rPr>
          <w:spacing w:val="-8"/>
          <w:sz w:val="20"/>
        </w:rPr>
        <w:t> </w:t>
      </w:r>
      <w:r>
        <w:rPr>
          <w:sz w:val="20"/>
        </w:rPr>
        <w:t>actualidad</w:t>
      </w:r>
      <w:r>
        <w:rPr>
          <w:spacing w:val="-7"/>
          <w:sz w:val="20"/>
        </w:rPr>
        <w:t> </w:t>
      </w:r>
      <w:r>
        <w:rPr>
          <w:sz w:val="20"/>
        </w:rPr>
        <w:t>se ha desarrollado un proceso signado por la intervención estatal a través de la UEP y el diálogo entre pobladores criollos e indígenas, a fin de lograr acuerdos para el deslinde definitivo de la propiedad y el traslado de la población</w:t>
      </w:r>
      <w:r>
        <w:rPr>
          <w:spacing w:val="-27"/>
          <w:sz w:val="20"/>
        </w:rPr>
        <w:t> </w:t>
      </w:r>
      <w:r>
        <w:rPr>
          <w:sz w:val="20"/>
        </w:rPr>
        <w:t>criolla.</w:t>
      </w:r>
    </w:p>
    <w:p>
      <w:pPr>
        <w:pStyle w:val="BodyText"/>
        <w:spacing w:before="10"/>
        <w:rPr>
          <w:sz w:val="19"/>
        </w:rPr>
      </w:pPr>
    </w:p>
    <w:p>
      <w:pPr>
        <w:pStyle w:val="ListParagraph"/>
        <w:numPr>
          <w:ilvl w:val="0"/>
          <w:numId w:val="21"/>
        </w:numPr>
        <w:tabs>
          <w:tab w:pos="810" w:val="left" w:leader="none"/>
        </w:tabs>
        <w:spacing w:line="240" w:lineRule="auto" w:before="0" w:after="0"/>
        <w:ind w:left="102" w:right="104" w:firstLine="0"/>
        <w:jc w:val="both"/>
        <w:rPr>
          <w:sz w:val="20"/>
        </w:rPr>
      </w:pPr>
      <w:r>
        <w:rPr>
          <w:sz w:val="20"/>
        </w:rPr>
        <w:t>Este</w:t>
      </w:r>
      <w:r>
        <w:rPr>
          <w:spacing w:val="-14"/>
          <w:sz w:val="20"/>
        </w:rPr>
        <w:t> </w:t>
      </w:r>
      <w:r>
        <w:rPr>
          <w:sz w:val="20"/>
        </w:rPr>
        <w:t>proceso</w:t>
      </w:r>
      <w:r>
        <w:rPr>
          <w:spacing w:val="-14"/>
          <w:sz w:val="20"/>
        </w:rPr>
        <w:t> </w:t>
      </w:r>
      <w:r>
        <w:rPr>
          <w:sz w:val="20"/>
        </w:rPr>
        <w:t>no</w:t>
      </w:r>
      <w:r>
        <w:rPr>
          <w:spacing w:val="-14"/>
          <w:sz w:val="20"/>
        </w:rPr>
        <w:t> </w:t>
      </w:r>
      <w:r>
        <w:rPr>
          <w:sz w:val="20"/>
        </w:rPr>
        <w:t>ha</w:t>
      </w:r>
      <w:r>
        <w:rPr>
          <w:spacing w:val="-12"/>
          <w:sz w:val="20"/>
        </w:rPr>
        <w:t> </w:t>
      </w:r>
      <w:r>
        <w:rPr>
          <w:sz w:val="20"/>
        </w:rPr>
        <w:t>concluido.</w:t>
      </w:r>
      <w:r>
        <w:rPr>
          <w:spacing w:val="-13"/>
          <w:sz w:val="20"/>
        </w:rPr>
        <w:t> </w:t>
      </w:r>
      <w:r>
        <w:rPr>
          <w:sz w:val="20"/>
        </w:rPr>
        <w:t>Luego</w:t>
      </w:r>
      <w:r>
        <w:rPr>
          <w:spacing w:val="-14"/>
          <w:sz w:val="20"/>
        </w:rPr>
        <w:t> </w:t>
      </w:r>
      <w:r>
        <w:rPr>
          <w:sz w:val="20"/>
        </w:rPr>
        <w:t>de</w:t>
      </w:r>
      <w:r>
        <w:rPr>
          <w:spacing w:val="-14"/>
          <w:sz w:val="20"/>
        </w:rPr>
        <w:t> </w:t>
      </w:r>
      <w:r>
        <w:rPr>
          <w:sz w:val="20"/>
        </w:rPr>
        <w:t>instaurado,</w:t>
      </w:r>
      <w:r>
        <w:rPr>
          <w:spacing w:val="-13"/>
          <w:sz w:val="20"/>
        </w:rPr>
        <w:t> </w:t>
      </w:r>
      <w:r>
        <w:rPr>
          <w:sz w:val="20"/>
        </w:rPr>
        <w:t>en</w:t>
      </w:r>
      <w:r>
        <w:rPr>
          <w:spacing w:val="-12"/>
          <w:sz w:val="20"/>
        </w:rPr>
        <w:t> </w:t>
      </w:r>
      <w:r>
        <w:rPr>
          <w:sz w:val="20"/>
        </w:rPr>
        <w:t>2012</w:t>
      </w:r>
      <w:r>
        <w:rPr>
          <w:spacing w:val="-11"/>
          <w:sz w:val="20"/>
        </w:rPr>
        <w:t> </w:t>
      </w:r>
      <w:r>
        <w:rPr>
          <w:sz w:val="20"/>
        </w:rPr>
        <w:t>se</w:t>
      </w:r>
      <w:r>
        <w:rPr>
          <w:spacing w:val="-14"/>
          <w:sz w:val="20"/>
        </w:rPr>
        <w:t> </w:t>
      </w:r>
      <w:r>
        <w:rPr>
          <w:sz w:val="20"/>
        </w:rPr>
        <w:t>expidió</w:t>
      </w:r>
      <w:r>
        <w:rPr>
          <w:spacing w:val="-13"/>
          <w:sz w:val="20"/>
        </w:rPr>
        <w:t> </w:t>
      </w:r>
      <w:r>
        <w:rPr>
          <w:sz w:val="20"/>
        </w:rPr>
        <w:t>el</w:t>
      </w:r>
      <w:r>
        <w:rPr>
          <w:spacing w:val="-13"/>
          <w:sz w:val="20"/>
        </w:rPr>
        <w:t> </w:t>
      </w:r>
      <w:r>
        <w:rPr>
          <w:sz w:val="20"/>
        </w:rPr>
        <w:t>Decreto 2398/12 el cual previó que cada comunidad determinara “la modalidad de título” de la tierra,</w:t>
      </w:r>
      <w:r>
        <w:rPr>
          <w:spacing w:val="-6"/>
          <w:sz w:val="20"/>
        </w:rPr>
        <w:t> </w:t>
      </w:r>
      <w:r>
        <w:rPr>
          <w:sz w:val="20"/>
        </w:rPr>
        <w:t>ello</w:t>
      </w:r>
      <w:r>
        <w:rPr>
          <w:spacing w:val="-7"/>
          <w:sz w:val="20"/>
        </w:rPr>
        <w:t> </w:t>
      </w:r>
      <w:r>
        <w:rPr>
          <w:sz w:val="20"/>
        </w:rPr>
        <w:t>a</w:t>
      </w:r>
      <w:r>
        <w:rPr>
          <w:spacing w:val="-8"/>
          <w:sz w:val="20"/>
        </w:rPr>
        <w:t> </w:t>
      </w:r>
      <w:r>
        <w:rPr>
          <w:sz w:val="20"/>
        </w:rPr>
        <w:t>pesar</w:t>
      </w:r>
      <w:r>
        <w:rPr>
          <w:spacing w:val="-5"/>
          <w:sz w:val="20"/>
        </w:rPr>
        <w:t> </w:t>
      </w:r>
      <w:r>
        <w:rPr>
          <w:sz w:val="20"/>
        </w:rPr>
        <w:t>de</w:t>
      </w:r>
      <w:r>
        <w:rPr>
          <w:spacing w:val="-7"/>
          <w:sz w:val="20"/>
        </w:rPr>
        <w:t> </w:t>
      </w:r>
      <w:r>
        <w:rPr>
          <w:sz w:val="20"/>
        </w:rPr>
        <w:t>citar</w:t>
      </w:r>
      <w:r>
        <w:rPr>
          <w:spacing w:val="-6"/>
          <w:sz w:val="20"/>
        </w:rPr>
        <w:t> </w:t>
      </w:r>
      <w:r>
        <w:rPr>
          <w:sz w:val="20"/>
        </w:rPr>
        <w:t>en</w:t>
      </w:r>
      <w:r>
        <w:rPr>
          <w:spacing w:val="-7"/>
          <w:sz w:val="20"/>
        </w:rPr>
        <w:t> </w:t>
      </w:r>
      <w:r>
        <w:rPr>
          <w:sz w:val="20"/>
        </w:rPr>
        <w:t>sus</w:t>
      </w:r>
      <w:r>
        <w:rPr>
          <w:spacing w:val="-9"/>
          <w:sz w:val="20"/>
        </w:rPr>
        <w:t> </w:t>
      </w:r>
      <w:r>
        <w:rPr>
          <w:sz w:val="20"/>
        </w:rPr>
        <w:t>fundamentos</w:t>
      </w:r>
      <w:r>
        <w:rPr>
          <w:spacing w:val="-4"/>
          <w:sz w:val="20"/>
        </w:rPr>
        <w:t> </w:t>
      </w:r>
      <w:r>
        <w:rPr>
          <w:sz w:val="20"/>
        </w:rPr>
        <w:t>el</w:t>
      </w:r>
      <w:r>
        <w:rPr>
          <w:spacing w:val="-8"/>
          <w:sz w:val="20"/>
        </w:rPr>
        <w:t> </w:t>
      </w:r>
      <w:r>
        <w:rPr>
          <w:sz w:val="20"/>
        </w:rPr>
        <w:t>Decreto</w:t>
      </w:r>
      <w:r>
        <w:rPr>
          <w:spacing w:val="-9"/>
          <w:sz w:val="20"/>
        </w:rPr>
        <w:t> </w:t>
      </w:r>
      <w:r>
        <w:rPr>
          <w:sz w:val="20"/>
        </w:rPr>
        <w:t>2786/07,</w:t>
      </w:r>
      <w:r>
        <w:rPr>
          <w:spacing w:val="-8"/>
          <w:sz w:val="20"/>
        </w:rPr>
        <w:t> </w:t>
      </w:r>
      <w:r>
        <w:rPr>
          <w:sz w:val="20"/>
        </w:rPr>
        <w:t>que</w:t>
      </w:r>
      <w:r>
        <w:rPr>
          <w:spacing w:val="-7"/>
          <w:sz w:val="20"/>
        </w:rPr>
        <w:t> </w:t>
      </w:r>
      <w:r>
        <w:rPr>
          <w:sz w:val="20"/>
        </w:rPr>
        <w:t>por</w:t>
      </w:r>
      <w:r>
        <w:rPr>
          <w:spacing w:val="-7"/>
          <w:sz w:val="20"/>
        </w:rPr>
        <w:t> </w:t>
      </w:r>
      <w:r>
        <w:rPr>
          <w:sz w:val="20"/>
        </w:rPr>
        <w:t>remisión</w:t>
      </w:r>
      <w:r>
        <w:rPr>
          <w:spacing w:val="-8"/>
          <w:sz w:val="20"/>
        </w:rPr>
        <w:t> </w:t>
      </w:r>
      <w:r>
        <w:rPr>
          <w:sz w:val="20"/>
        </w:rPr>
        <w:t>al Acta-Acuerdo</w:t>
      </w:r>
      <w:r>
        <w:rPr>
          <w:spacing w:val="-16"/>
          <w:sz w:val="20"/>
        </w:rPr>
        <w:t> </w:t>
      </w:r>
      <w:r>
        <w:rPr>
          <w:sz w:val="20"/>
        </w:rPr>
        <w:t>que</w:t>
      </w:r>
      <w:r>
        <w:rPr>
          <w:spacing w:val="-17"/>
          <w:sz w:val="20"/>
        </w:rPr>
        <w:t> </w:t>
      </w:r>
      <w:r>
        <w:rPr>
          <w:sz w:val="20"/>
        </w:rPr>
        <w:t>lo</w:t>
      </w:r>
      <w:r>
        <w:rPr>
          <w:spacing w:val="-16"/>
          <w:sz w:val="20"/>
        </w:rPr>
        <w:t> </w:t>
      </w:r>
      <w:r>
        <w:rPr>
          <w:sz w:val="20"/>
        </w:rPr>
        <w:t>precedía,</w:t>
      </w:r>
      <w:r>
        <w:rPr>
          <w:spacing w:val="-16"/>
          <w:sz w:val="20"/>
        </w:rPr>
        <w:t> </w:t>
      </w:r>
      <w:r>
        <w:rPr>
          <w:sz w:val="20"/>
        </w:rPr>
        <w:t>mandaba</w:t>
      </w:r>
      <w:r>
        <w:rPr>
          <w:spacing w:val="-17"/>
          <w:sz w:val="20"/>
        </w:rPr>
        <w:t> </w:t>
      </w:r>
      <w:r>
        <w:rPr>
          <w:sz w:val="20"/>
        </w:rPr>
        <w:t>que</w:t>
      </w:r>
      <w:r>
        <w:rPr>
          <w:spacing w:val="-16"/>
          <w:sz w:val="20"/>
        </w:rPr>
        <w:t> </w:t>
      </w:r>
      <w:r>
        <w:rPr>
          <w:sz w:val="20"/>
        </w:rPr>
        <w:t>se</w:t>
      </w:r>
      <w:r>
        <w:rPr>
          <w:spacing w:val="-17"/>
          <w:sz w:val="20"/>
        </w:rPr>
        <w:t> </w:t>
      </w:r>
      <w:r>
        <w:rPr>
          <w:sz w:val="20"/>
        </w:rPr>
        <w:t>“respet[ara]”</w:t>
      </w:r>
      <w:r>
        <w:rPr>
          <w:spacing w:val="-18"/>
          <w:sz w:val="20"/>
        </w:rPr>
        <w:t> </w:t>
      </w:r>
      <w:r>
        <w:rPr>
          <w:sz w:val="20"/>
        </w:rPr>
        <w:t>la</w:t>
      </w:r>
      <w:r>
        <w:rPr>
          <w:spacing w:val="-15"/>
          <w:sz w:val="20"/>
        </w:rPr>
        <w:t> </w:t>
      </w:r>
      <w:r>
        <w:rPr>
          <w:sz w:val="20"/>
        </w:rPr>
        <w:t>“continuidad”</w:t>
      </w:r>
      <w:r>
        <w:rPr>
          <w:spacing w:val="-18"/>
          <w:sz w:val="20"/>
        </w:rPr>
        <w:t> </w:t>
      </w:r>
      <w:r>
        <w:rPr>
          <w:sz w:val="20"/>
        </w:rPr>
        <w:t>de</w:t>
      </w:r>
      <w:r>
        <w:rPr>
          <w:spacing w:val="-17"/>
          <w:sz w:val="20"/>
        </w:rPr>
        <w:t> </w:t>
      </w:r>
      <w:r>
        <w:rPr>
          <w:sz w:val="20"/>
        </w:rPr>
        <w:t>la</w:t>
      </w:r>
      <w:r>
        <w:rPr>
          <w:spacing w:val="-15"/>
          <w:sz w:val="20"/>
        </w:rPr>
        <w:t> </w:t>
      </w:r>
      <w:r>
        <w:rPr>
          <w:sz w:val="20"/>
        </w:rPr>
        <w:t>tierra y las recomendaciones de la Comisión Interamericana, que instaban al Estado a “formaliza[r]” la propiedad considerando el “derecho a un territorio indiviso”. La Corte considera  que el  referido señalamiento del artículo 1 del  Decreto 2398/12 sobre   </w:t>
      </w:r>
      <w:r>
        <w:rPr>
          <w:spacing w:val="67"/>
          <w:sz w:val="20"/>
        </w:rPr>
        <w:t> </w:t>
      </w:r>
      <w:r>
        <w:rPr>
          <w:sz w:val="20"/>
        </w:rPr>
        <w:t>la</w:t>
      </w:r>
    </w:p>
    <w:p>
      <w:pPr>
        <w:spacing w:after="0" w:line="240" w:lineRule="auto"/>
        <w:jc w:val="both"/>
        <w:rPr>
          <w:sz w:val="20"/>
        </w:rPr>
        <w:sectPr>
          <w:pgSz w:w="12240" w:h="15840"/>
          <w:pgMar w:header="0" w:footer="1000" w:top="1340" w:bottom="1200" w:left="1600" w:right="1600"/>
        </w:sectPr>
      </w:pPr>
    </w:p>
    <w:p>
      <w:pPr>
        <w:pStyle w:val="BodyText"/>
        <w:spacing w:before="76"/>
        <w:ind w:left="122" w:right="131"/>
        <w:jc w:val="both"/>
      </w:pPr>
      <w:r>
        <w:rPr/>
        <w:t>“modalidad de título” resultó contrario a la seguridad jurídica requerida para satisfacer el derecho a la propiedad de las comunidades indígenas. En 2014 el Decreto 1498/14 previó que por intermedio de la UEP y acuerdos de parte se realizaría la delimitación y determinación específica de los lotes.</w:t>
      </w:r>
    </w:p>
    <w:p>
      <w:pPr>
        <w:pStyle w:val="BodyText"/>
      </w:pPr>
    </w:p>
    <w:p>
      <w:pPr>
        <w:pStyle w:val="ListParagraph"/>
        <w:numPr>
          <w:ilvl w:val="0"/>
          <w:numId w:val="21"/>
        </w:numPr>
        <w:tabs>
          <w:tab w:pos="830" w:val="left" w:leader="none"/>
        </w:tabs>
        <w:spacing w:line="240" w:lineRule="auto" w:before="0" w:after="0"/>
        <w:ind w:left="122" w:right="124" w:firstLine="0"/>
        <w:jc w:val="both"/>
        <w:rPr>
          <w:sz w:val="20"/>
        </w:rPr>
      </w:pPr>
      <w:r>
        <w:rPr>
          <w:sz w:val="20"/>
        </w:rPr>
        <w:t>Debe resaltarse que el Estado ha manifestado que la “entrega” del título único comunitario depende de la culminación del referido proceso de “acuerdos” (</w:t>
      </w:r>
      <w:r>
        <w:rPr>
          <w:i/>
          <w:sz w:val="20"/>
        </w:rPr>
        <w:t>supra </w:t>
      </w:r>
      <w:r>
        <w:rPr>
          <w:sz w:val="20"/>
        </w:rPr>
        <w:t>párr. 111). Los representantes, por su parte, han aducido que la garantía de los derechos territoriales indígenas no puede supeditarse a la voluntad de terceros, por lo que debe existir algún “mecanismo alternativo” frente a la falta de acuerdos. </w:t>
      </w:r>
      <w:r>
        <w:rPr>
          <w:i/>
          <w:sz w:val="20"/>
        </w:rPr>
        <w:t>(supra </w:t>
      </w:r>
      <w:r>
        <w:rPr>
          <w:sz w:val="20"/>
        </w:rPr>
        <w:t>párr.</w:t>
      </w:r>
      <w:r>
        <w:rPr>
          <w:spacing w:val="-21"/>
          <w:sz w:val="20"/>
        </w:rPr>
        <w:t> </w:t>
      </w:r>
      <w:r>
        <w:rPr>
          <w:sz w:val="20"/>
        </w:rPr>
        <w:t>106).</w:t>
      </w:r>
    </w:p>
    <w:p>
      <w:pPr>
        <w:pStyle w:val="BodyText"/>
        <w:spacing w:before="10"/>
        <w:rPr>
          <w:sz w:val="19"/>
        </w:rPr>
      </w:pPr>
    </w:p>
    <w:p>
      <w:pPr>
        <w:pStyle w:val="ListParagraph"/>
        <w:numPr>
          <w:ilvl w:val="0"/>
          <w:numId w:val="21"/>
        </w:numPr>
        <w:tabs>
          <w:tab w:pos="830" w:val="left" w:leader="none"/>
        </w:tabs>
        <w:spacing w:line="240" w:lineRule="auto" w:before="0" w:after="0"/>
        <w:ind w:left="122" w:right="132" w:firstLine="0"/>
        <w:jc w:val="both"/>
        <w:rPr>
          <w:sz w:val="20"/>
        </w:rPr>
      </w:pPr>
      <w:r>
        <w:rPr>
          <w:sz w:val="20"/>
        </w:rPr>
        <w:t>A fin de valorar adecuadamente el proceso de diálogo y acuerdos referido, este Tribunal</w:t>
      </w:r>
      <w:r>
        <w:rPr>
          <w:spacing w:val="-19"/>
          <w:sz w:val="20"/>
        </w:rPr>
        <w:t> </w:t>
      </w:r>
      <w:r>
        <w:rPr>
          <w:sz w:val="20"/>
        </w:rPr>
        <w:t>considera</w:t>
      </w:r>
      <w:r>
        <w:rPr>
          <w:spacing w:val="-19"/>
          <w:sz w:val="20"/>
        </w:rPr>
        <w:t> </w:t>
      </w:r>
      <w:r>
        <w:rPr>
          <w:sz w:val="20"/>
        </w:rPr>
        <w:t>apropiado</w:t>
      </w:r>
      <w:r>
        <w:rPr>
          <w:spacing w:val="-21"/>
          <w:sz w:val="20"/>
        </w:rPr>
        <w:t> </w:t>
      </w:r>
      <w:r>
        <w:rPr>
          <w:sz w:val="20"/>
        </w:rPr>
        <w:t>efectuar</w:t>
      </w:r>
      <w:r>
        <w:rPr>
          <w:spacing w:val="-20"/>
          <w:sz w:val="20"/>
        </w:rPr>
        <w:t> </w:t>
      </w:r>
      <w:r>
        <w:rPr>
          <w:sz w:val="20"/>
        </w:rPr>
        <w:t>algunas</w:t>
      </w:r>
      <w:r>
        <w:rPr>
          <w:spacing w:val="-18"/>
          <w:sz w:val="20"/>
        </w:rPr>
        <w:t> </w:t>
      </w:r>
      <w:r>
        <w:rPr>
          <w:sz w:val="20"/>
        </w:rPr>
        <w:t>consideraciones.</w:t>
      </w:r>
      <w:r>
        <w:rPr>
          <w:spacing w:val="-20"/>
          <w:sz w:val="20"/>
        </w:rPr>
        <w:t> </w:t>
      </w:r>
      <w:r>
        <w:rPr>
          <w:sz w:val="20"/>
        </w:rPr>
        <w:t>Ello,</w:t>
      </w:r>
      <w:r>
        <w:rPr>
          <w:spacing w:val="-18"/>
          <w:sz w:val="20"/>
        </w:rPr>
        <w:t> </w:t>
      </w:r>
      <w:r>
        <w:rPr>
          <w:sz w:val="20"/>
        </w:rPr>
        <w:t>fundamentalmente, dadas las características del caso, en que están implicadas no solo comunidades indígenas, sino también un número significativo de familias “criollas”, cuyo vínculo con la tierra resulta determinante para su modo de</w:t>
      </w:r>
      <w:r>
        <w:rPr>
          <w:spacing w:val="-21"/>
          <w:sz w:val="20"/>
        </w:rPr>
        <w:t> </w:t>
      </w:r>
      <w:r>
        <w:rPr>
          <w:sz w:val="20"/>
        </w:rPr>
        <w:t>vida.</w:t>
      </w:r>
    </w:p>
    <w:p>
      <w:pPr>
        <w:pStyle w:val="BodyText"/>
        <w:spacing w:before="10"/>
        <w:rPr>
          <w:sz w:val="19"/>
        </w:rPr>
      </w:pPr>
    </w:p>
    <w:p>
      <w:pPr>
        <w:pStyle w:val="ListParagraph"/>
        <w:numPr>
          <w:ilvl w:val="4"/>
          <w:numId w:val="25"/>
        </w:numPr>
        <w:tabs>
          <w:tab w:pos="2547" w:val="left" w:leader="none"/>
        </w:tabs>
        <w:spacing w:line="240" w:lineRule="auto" w:before="0" w:after="0"/>
        <w:ind w:left="2546" w:right="0" w:hanging="1006"/>
        <w:jc w:val="left"/>
        <w:rPr>
          <w:sz w:val="20"/>
        </w:rPr>
      </w:pPr>
      <w:bookmarkStart w:name="_bookmark45" w:id="75"/>
      <w:bookmarkEnd w:id="75"/>
      <w:r>
        <w:rPr/>
      </w:r>
      <w:bookmarkStart w:name="_bookmark45" w:id="76"/>
      <w:bookmarkEnd w:id="76"/>
      <w:r>
        <w:rPr>
          <w:sz w:val="20"/>
        </w:rPr>
        <w:t>El</w:t>
      </w:r>
      <w:r>
        <w:rPr>
          <w:sz w:val="20"/>
        </w:rPr>
        <w:t> diálogo con la población</w:t>
      </w:r>
      <w:r>
        <w:rPr>
          <w:spacing w:val="-11"/>
          <w:sz w:val="20"/>
        </w:rPr>
        <w:t> </w:t>
      </w:r>
      <w:r>
        <w:rPr>
          <w:sz w:val="20"/>
        </w:rPr>
        <w:t>criolla</w:t>
      </w:r>
    </w:p>
    <w:p>
      <w:pPr>
        <w:pStyle w:val="BodyText"/>
      </w:pPr>
    </w:p>
    <w:p>
      <w:pPr>
        <w:pStyle w:val="ListParagraph"/>
        <w:numPr>
          <w:ilvl w:val="0"/>
          <w:numId w:val="21"/>
        </w:numPr>
        <w:tabs>
          <w:tab w:pos="830" w:val="left" w:leader="none"/>
        </w:tabs>
        <w:spacing w:line="240" w:lineRule="auto" w:before="0" w:after="0"/>
        <w:ind w:left="122" w:right="130" w:firstLine="0"/>
        <w:jc w:val="both"/>
        <w:rPr>
          <w:sz w:val="20"/>
        </w:rPr>
      </w:pPr>
      <w:r>
        <w:rPr>
          <w:sz w:val="20"/>
        </w:rPr>
        <w:t>El Estado ha caracterizado a las familias criollas como “pobladores rurales vulnerables” (</w:t>
      </w:r>
      <w:r>
        <w:rPr>
          <w:i/>
          <w:sz w:val="20"/>
        </w:rPr>
        <w:t>supra </w:t>
      </w:r>
      <w:r>
        <w:rPr>
          <w:sz w:val="20"/>
        </w:rPr>
        <w:t>párr. 112). La perita Buliubasich se refirió a ellas como un grupo “empobrecido”. La visita a terreno brindó una percepción acorde a tales caracterizaciones</w:t>
      </w:r>
      <w:r>
        <w:rPr>
          <w:position w:val="7"/>
          <w:sz w:val="13"/>
        </w:rPr>
        <w:t>137</w:t>
      </w:r>
      <w:r>
        <w:rPr>
          <w:sz w:val="20"/>
        </w:rPr>
        <w:t>.</w:t>
      </w:r>
    </w:p>
    <w:p>
      <w:pPr>
        <w:pStyle w:val="BodyText"/>
        <w:spacing w:before="10"/>
        <w:rPr>
          <w:sz w:val="19"/>
        </w:rPr>
      </w:pPr>
    </w:p>
    <w:p>
      <w:pPr>
        <w:pStyle w:val="ListParagraph"/>
        <w:numPr>
          <w:ilvl w:val="0"/>
          <w:numId w:val="21"/>
        </w:numPr>
        <w:tabs>
          <w:tab w:pos="830" w:val="left" w:leader="none"/>
        </w:tabs>
        <w:spacing w:line="240" w:lineRule="auto" w:before="0" w:after="0"/>
        <w:ind w:left="122" w:right="121" w:firstLine="0"/>
        <w:jc w:val="both"/>
        <w:rPr>
          <w:sz w:val="20"/>
        </w:rPr>
      </w:pPr>
      <w:r>
        <w:rPr>
          <w:sz w:val="20"/>
        </w:rPr>
        <w:t>Los</w:t>
      </w:r>
      <w:r>
        <w:rPr>
          <w:spacing w:val="-12"/>
          <w:sz w:val="20"/>
        </w:rPr>
        <w:t> </w:t>
      </w:r>
      <w:r>
        <w:rPr>
          <w:sz w:val="20"/>
        </w:rPr>
        <w:t>señalamientos</w:t>
      </w:r>
      <w:r>
        <w:rPr>
          <w:spacing w:val="-12"/>
          <w:sz w:val="20"/>
        </w:rPr>
        <w:t> </w:t>
      </w:r>
      <w:r>
        <w:rPr>
          <w:sz w:val="20"/>
        </w:rPr>
        <w:t>estatales</w:t>
      </w:r>
      <w:r>
        <w:rPr>
          <w:spacing w:val="-12"/>
          <w:sz w:val="20"/>
        </w:rPr>
        <w:t> </w:t>
      </w:r>
      <w:r>
        <w:rPr>
          <w:sz w:val="20"/>
        </w:rPr>
        <w:t>sobre</w:t>
      </w:r>
      <w:r>
        <w:rPr>
          <w:spacing w:val="-14"/>
          <w:sz w:val="20"/>
        </w:rPr>
        <w:t> </w:t>
      </w:r>
      <w:r>
        <w:rPr>
          <w:sz w:val="20"/>
        </w:rPr>
        <w:t>los</w:t>
      </w:r>
      <w:r>
        <w:rPr>
          <w:spacing w:val="-13"/>
          <w:sz w:val="20"/>
        </w:rPr>
        <w:t> </w:t>
      </w:r>
      <w:r>
        <w:rPr>
          <w:sz w:val="20"/>
        </w:rPr>
        <w:t>pobladores</w:t>
      </w:r>
      <w:r>
        <w:rPr>
          <w:spacing w:val="-13"/>
          <w:sz w:val="20"/>
        </w:rPr>
        <w:t> </w:t>
      </w:r>
      <w:r>
        <w:rPr>
          <w:sz w:val="20"/>
        </w:rPr>
        <w:t>criollos</w:t>
      </w:r>
      <w:r>
        <w:rPr>
          <w:spacing w:val="-13"/>
          <w:sz w:val="20"/>
        </w:rPr>
        <w:t> </w:t>
      </w:r>
      <w:r>
        <w:rPr>
          <w:sz w:val="20"/>
        </w:rPr>
        <w:t>que</w:t>
      </w:r>
      <w:r>
        <w:rPr>
          <w:spacing w:val="-8"/>
          <w:sz w:val="20"/>
        </w:rPr>
        <w:t> </w:t>
      </w:r>
      <w:r>
        <w:rPr>
          <w:sz w:val="20"/>
        </w:rPr>
        <w:t>habitan</w:t>
      </w:r>
      <w:r>
        <w:rPr>
          <w:spacing w:val="-13"/>
          <w:sz w:val="20"/>
        </w:rPr>
        <w:t> </w:t>
      </w:r>
      <w:r>
        <w:rPr>
          <w:sz w:val="20"/>
        </w:rPr>
        <w:t>los</w:t>
      </w:r>
      <w:r>
        <w:rPr>
          <w:spacing w:val="-12"/>
          <w:sz w:val="20"/>
        </w:rPr>
        <w:t> </w:t>
      </w:r>
      <w:r>
        <w:rPr>
          <w:sz w:val="20"/>
        </w:rPr>
        <w:t>lotes</w:t>
      </w:r>
      <w:r>
        <w:rPr>
          <w:spacing w:val="-13"/>
          <w:sz w:val="20"/>
        </w:rPr>
        <w:t> </w:t>
      </w:r>
      <w:r>
        <w:rPr>
          <w:sz w:val="20"/>
        </w:rPr>
        <w:t>14 y</w:t>
      </w:r>
      <w:r>
        <w:rPr>
          <w:spacing w:val="-11"/>
          <w:sz w:val="20"/>
        </w:rPr>
        <w:t> </w:t>
      </w:r>
      <w:r>
        <w:rPr>
          <w:sz w:val="20"/>
        </w:rPr>
        <w:t>55</w:t>
      </w:r>
      <w:r>
        <w:rPr>
          <w:spacing w:val="-10"/>
          <w:sz w:val="20"/>
        </w:rPr>
        <w:t> </w:t>
      </w:r>
      <w:r>
        <w:rPr>
          <w:sz w:val="20"/>
        </w:rPr>
        <w:t>son</w:t>
      </w:r>
      <w:r>
        <w:rPr>
          <w:spacing w:val="-9"/>
          <w:sz w:val="20"/>
        </w:rPr>
        <w:t> </w:t>
      </w:r>
      <w:r>
        <w:rPr>
          <w:sz w:val="20"/>
        </w:rPr>
        <w:t>acordes</w:t>
      </w:r>
      <w:r>
        <w:rPr>
          <w:spacing w:val="-11"/>
          <w:sz w:val="20"/>
        </w:rPr>
        <w:t> </w:t>
      </w:r>
      <w:r>
        <w:rPr>
          <w:sz w:val="20"/>
        </w:rPr>
        <w:t>a</w:t>
      </w:r>
      <w:r>
        <w:rPr>
          <w:spacing w:val="-10"/>
          <w:sz w:val="20"/>
        </w:rPr>
        <w:t> </w:t>
      </w:r>
      <w:r>
        <w:rPr>
          <w:sz w:val="20"/>
        </w:rPr>
        <w:t>las</w:t>
      </w:r>
      <w:r>
        <w:rPr>
          <w:spacing w:val="-9"/>
          <w:sz w:val="20"/>
        </w:rPr>
        <w:t> </w:t>
      </w:r>
      <w:r>
        <w:rPr>
          <w:sz w:val="20"/>
        </w:rPr>
        <w:t>consideraciones</w:t>
      </w:r>
      <w:r>
        <w:rPr>
          <w:spacing w:val="-9"/>
          <w:sz w:val="20"/>
        </w:rPr>
        <w:t> </w:t>
      </w:r>
      <w:r>
        <w:rPr>
          <w:sz w:val="20"/>
        </w:rPr>
        <w:t>que,</w:t>
      </w:r>
      <w:r>
        <w:rPr>
          <w:spacing w:val="-9"/>
          <w:sz w:val="20"/>
        </w:rPr>
        <w:t> </w:t>
      </w:r>
      <w:r>
        <w:rPr>
          <w:sz w:val="20"/>
        </w:rPr>
        <w:t>en</w:t>
      </w:r>
      <w:r>
        <w:rPr>
          <w:spacing w:val="-5"/>
          <w:sz w:val="20"/>
        </w:rPr>
        <w:t> </w:t>
      </w:r>
      <w:r>
        <w:rPr>
          <w:sz w:val="20"/>
        </w:rPr>
        <w:t>el</w:t>
      </w:r>
      <w:r>
        <w:rPr>
          <w:spacing w:val="-10"/>
          <w:sz w:val="20"/>
        </w:rPr>
        <w:t> </w:t>
      </w:r>
      <w:r>
        <w:rPr>
          <w:sz w:val="20"/>
        </w:rPr>
        <w:t>ámbito</w:t>
      </w:r>
      <w:r>
        <w:rPr>
          <w:spacing w:val="-9"/>
          <w:sz w:val="20"/>
        </w:rPr>
        <w:t> </w:t>
      </w:r>
      <w:r>
        <w:rPr>
          <w:sz w:val="20"/>
        </w:rPr>
        <w:t>de</w:t>
      </w:r>
      <w:r>
        <w:rPr>
          <w:spacing w:val="-12"/>
          <w:sz w:val="20"/>
        </w:rPr>
        <w:t> </w:t>
      </w:r>
      <w:r>
        <w:rPr>
          <w:sz w:val="20"/>
        </w:rPr>
        <w:t>las</w:t>
      </w:r>
      <w:r>
        <w:rPr>
          <w:spacing w:val="-9"/>
          <w:sz w:val="20"/>
        </w:rPr>
        <w:t> </w:t>
      </w:r>
      <w:r>
        <w:rPr>
          <w:sz w:val="20"/>
        </w:rPr>
        <w:t>Naciones</w:t>
      </w:r>
      <w:r>
        <w:rPr>
          <w:spacing w:val="-11"/>
          <w:sz w:val="20"/>
        </w:rPr>
        <w:t> </w:t>
      </w:r>
      <w:r>
        <w:rPr>
          <w:sz w:val="20"/>
        </w:rPr>
        <w:t>Unidas,</w:t>
      </w:r>
      <w:r>
        <w:rPr>
          <w:spacing w:val="-9"/>
          <w:sz w:val="20"/>
        </w:rPr>
        <w:t> </w:t>
      </w:r>
      <w:r>
        <w:rPr>
          <w:sz w:val="20"/>
        </w:rPr>
        <w:t>se</w:t>
      </w:r>
      <w:r>
        <w:rPr>
          <w:spacing w:val="-12"/>
          <w:sz w:val="20"/>
        </w:rPr>
        <w:t> </w:t>
      </w:r>
      <w:r>
        <w:rPr>
          <w:spacing w:val="3"/>
          <w:sz w:val="20"/>
        </w:rPr>
        <w:t>han </w:t>
      </w:r>
      <w:r>
        <w:rPr>
          <w:sz w:val="20"/>
        </w:rPr>
        <w:t>hecho respecto de campesinos, a través de la Declaración de las Naciones Unidas</w:t>
      </w:r>
      <w:r>
        <w:rPr>
          <w:spacing w:val="-43"/>
          <w:sz w:val="20"/>
        </w:rPr>
        <w:t> </w:t>
      </w:r>
      <w:r>
        <w:rPr>
          <w:sz w:val="20"/>
        </w:rPr>
        <w:t>sobre los</w:t>
      </w:r>
      <w:r>
        <w:rPr>
          <w:spacing w:val="-6"/>
          <w:sz w:val="20"/>
        </w:rPr>
        <w:t> </w:t>
      </w:r>
      <w:r>
        <w:rPr>
          <w:sz w:val="20"/>
        </w:rPr>
        <w:t>Derechos</w:t>
      </w:r>
      <w:r>
        <w:rPr>
          <w:spacing w:val="-6"/>
          <w:sz w:val="20"/>
        </w:rPr>
        <w:t> </w:t>
      </w:r>
      <w:r>
        <w:rPr>
          <w:sz w:val="20"/>
        </w:rPr>
        <w:t>de</w:t>
      </w:r>
      <w:r>
        <w:rPr>
          <w:spacing w:val="-7"/>
          <w:sz w:val="20"/>
        </w:rPr>
        <w:t> </w:t>
      </w:r>
      <w:r>
        <w:rPr>
          <w:sz w:val="20"/>
        </w:rPr>
        <w:t>los</w:t>
      </w:r>
      <w:r>
        <w:rPr>
          <w:spacing w:val="-6"/>
          <w:sz w:val="20"/>
        </w:rPr>
        <w:t> </w:t>
      </w:r>
      <w:r>
        <w:rPr>
          <w:sz w:val="20"/>
        </w:rPr>
        <w:t>Campesinos</w:t>
      </w:r>
      <w:r>
        <w:rPr>
          <w:spacing w:val="-6"/>
          <w:sz w:val="20"/>
        </w:rPr>
        <w:t> </w:t>
      </w:r>
      <w:r>
        <w:rPr>
          <w:sz w:val="20"/>
        </w:rPr>
        <w:t>y</w:t>
      </w:r>
      <w:r>
        <w:rPr>
          <w:spacing w:val="-8"/>
          <w:sz w:val="20"/>
        </w:rPr>
        <w:t> </w:t>
      </w:r>
      <w:r>
        <w:rPr>
          <w:sz w:val="20"/>
        </w:rPr>
        <w:t>de</w:t>
      </w:r>
      <w:r>
        <w:rPr>
          <w:spacing w:val="-7"/>
          <w:sz w:val="20"/>
        </w:rPr>
        <w:t> </w:t>
      </w:r>
      <w:r>
        <w:rPr>
          <w:sz w:val="20"/>
        </w:rPr>
        <w:t>Otras</w:t>
      </w:r>
      <w:r>
        <w:rPr>
          <w:spacing w:val="-6"/>
          <w:sz w:val="20"/>
        </w:rPr>
        <w:t> </w:t>
      </w:r>
      <w:r>
        <w:rPr>
          <w:sz w:val="20"/>
        </w:rPr>
        <w:t>Personas</w:t>
      </w:r>
      <w:r>
        <w:rPr>
          <w:spacing w:val="-6"/>
          <w:sz w:val="20"/>
        </w:rPr>
        <w:t> </w:t>
      </w:r>
      <w:r>
        <w:rPr>
          <w:sz w:val="20"/>
        </w:rPr>
        <w:t>que</w:t>
      </w:r>
      <w:r>
        <w:rPr>
          <w:spacing w:val="-7"/>
          <w:sz w:val="20"/>
        </w:rPr>
        <w:t> </w:t>
      </w:r>
      <w:r>
        <w:rPr>
          <w:sz w:val="20"/>
        </w:rPr>
        <w:t>Trabajan</w:t>
      </w:r>
      <w:r>
        <w:rPr>
          <w:spacing w:val="-4"/>
          <w:sz w:val="20"/>
        </w:rPr>
        <w:t> </w:t>
      </w:r>
      <w:r>
        <w:rPr>
          <w:sz w:val="20"/>
        </w:rPr>
        <w:t>en</w:t>
      </w:r>
      <w:r>
        <w:rPr>
          <w:spacing w:val="-7"/>
          <w:sz w:val="20"/>
        </w:rPr>
        <w:t> </w:t>
      </w:r>
      <w:r>
        <w:rPr>
          <w:sz w:val="20"/>
        </w:rPr>
        <w:t>las</w:t>
      </w:r>
      <w:r>
        <w:rPr>
          <w:spacing w:val="-8"/>
          <w:sz w:val="20"/>
        </w:rPr>
        <w:t> </w:t>
      </w:r>
      <w:r>
        <w:rPr>
          <w:sz w:val="20"/>
        </w:rPr>
        <w:t>Zonas</w:t>
      </w:r>
      <w:r>
        <w:rPr>
          <w:spacing w:val="-6"/>
          <w:sz w:val="20"/>
        </w:rPr>
        <w:t> </w:t>
      </w:r>
      <w:r>
        <w:rPr>
          <w:sz w:val="20"/>
        </w:rPr>
        <w:t>Rurales (en adelante “Declaración sobre campesinos”)</w:t>
      </w:r>
      <w:r>
        <w:rPr>
          <w:position w:val="7"/>
          <w:sz w:val="13"/>
        </w:rPr>
        <w:t>138</w:t>
      </w:r>
      <w:r>
        <w:rPr>
          <w:sz w:val="20"/>
        </w:rPr>
        <w:t>. El documento señala que en general los campesinos “sufren de manera desproporcionada pobreza, hambre y malnutrición”; tienen</w:t>
      </w:r>
      <w:r>
        <w:rPr>
          <w:spacing w:val="-10"/>
          <w:sz w:val="20"/>
        </w:rPr>
        <w:t> </w:t>
      </w:r>
      <w:r>
        <w:rPr>
          <w:sz w:val="20"/>
        </w:rPr>
        <w:t>o</w:t>
      </w:r>
      <w:r>
        <w:rPr>
          <w:spacing w:val="-12"/>
          <w:sz w:val="20"/>
        </w:rPr>
        <w:t> </w:t>
      </w:r>
      <w:r>
        <w:rPr>
          <w:sz w:val="20"/>
        </w:rPr>
        <w:t>suelen</w:t>
      </w:r>
      <w:r>
        <w:rPr>
          <w:spacing w:val="-10"/>
          <w:sz w:val="20"/>
        </w:rPr>
        <w:t> </w:t>
      </w:r>
      <w:r>
        <w:rPr>
          <w:sz w:val="20"/>
        </w:rPr>
        <w:t>tener,</w:t>
      </w:r>
      <w:r>
        <w:rPr>
          <w:spacing w:val="-12"/>
          <w:sz w:val="20"/>
        </w:rPr>
        <w:t> </w:t>
      </w:r>
      <w:r>
        <w:rPr>
          <w:sz w:val="20"/>
        </w:rPr>
        <w:t>por</w:t>
      </w:r>
      <w:r>
        <w:rPr>
          <w:spacing w:val="-12"/>
          <w:sz w:val="20"/>
        </w:rPr>
        <w:t> </w:t>
      </w:r>
      <w:r>
        <w:rPr>
          <w:sz w:val="20"/>
        </w:rPr>
        <w:t>“varios</w:t>
      </w:r>
      <w:r>
        <w:rPr>
          <w:spacing w:val="-12"/>
          <w:sz w:val="20"/>
        </w:rPr>
        <w:t> </w:t>
      </w:r>
      <w:r>
        <w:rPr>
          <w:sz w:val="20"/>
        </w:rPr>
        <w:t>factores”,</w:t>
      </w:r>
      <w:r>
        <w:rPr>
          <w:spacing w:val="-8"/>
          <w:sz w:val="20"/>
        </w:rPr>
        <w:t> </w:t>
      </w:r>
      <w:r>
        <w:rPr>
          <w:sz w:val="20"/>
        </w:rPr>
        <w:t>“dificulta[des</w:t>
      </w:r>
      <w:r>
        <w:rPr>
          <w:spacing w:val="-12"/>
          <w:sz w:val="20"/>
        </w:rPr>
        <w:t> </w:t>
      </w:r>
      <w:r>
        <w:rPr>
          <w:sz w:val="20"/>
        </w:rPr>
        <w:t>para]</w:t>
      </w:r>
      <w:r>
        <w:rPr>
          <w:spacing w:val="-11"/>
          <w:sz w:val="20"/>
        </w:rPr>
        <w:t> </w:t>
      </w:r>
      <w:r>
        <w:rPr>
          <w:sz w:val="20"/>
        </w:rPr>
        <w:t>hacerse</w:t>
      </w:r>
      <w:r>
        <w:rPr>
          <w:spacing w:val="-10"/>
          <w:sz w:val="20"/>
        </w:rPr>
        <w:t> </w:t>
      </w:r>
      <w:r>
        <w:rPr>
          <w:sz w:val="20"/>
        </w:rPr>
        <w:t>oír</w:t>
      </w:r>
      <w:r>
        <w:rPr>
          <w:spacing w:val="-12"/>
          <w:sz w:val="20"/>
        </w:rPr>
        <w:t> </w:t>
      </w:r>
      <w:r>
        <w:rPr>
          <w:sz w:val="20"/>
        </w:rPr>
        <w:t>[y]</w:t>
      </w:r>
      <w:r>
        <w:rPr>
          <w:spacing w:val="-11"/>
          <w:sz w:val="20"/>
        </w:rPr>
        <w:t> </w:t>
      </w:r>
      <w:r>
        <w:rPr>
          <w:sz w:val="20"/>
        </w:rPr>
        <w:t>defender sus derechos humanos”, inclusive para “acceder a los tribunales, los agentes de</w:t>
      </w:r>
      <w:r>
        <w:rPr>
          <w:spacing w:val="-37"/>
          <w:sz w:val="20"/>
        </w:rPr>
        <w:t> </w:t>
      </w:r>
      <w:r>
        <w:rPr>
          <w:sz w:val="20"/>
        </w:rPr>
        <w:t>policía, los fiscales y los abogados”. En particular, la Declaración sobre campesinos señala que el</w:t>
      </w:r>
      <w:r>
        <w:rPr>
          <w:spacing w:val="-5"/>
          <w:sz w:val="20"/>
        </w:rPr>
        <w:t> </w:t>
      </w:r>
      <w:r>
        <w:rPr>
          <w:sz w:val="20"/>
        </w:rPr>
        <w:t>“acceso”</w:t>
      </w:r>
      <w:r>
        <w:rPr>
          <w:spacing w:val="-4"/>
          <w:sz w:val="20"/>
        </w:rPr>
        <w:t> </w:t>
      </w:r>
      <w:r>
        <w:rPr>
          <w:sz w:val="20"/>
        </w:rPr>
        <w:t>a</w:t>
      </w:r>
      <w:r>
        <w:rPr>
          <w:spacing w:val="-5"/>
          <w:sz w:val="20"/>
        </w:rPr>
        <w:t> </w:t>
      </w:r>
      <w:r>
        <w:rPr>
          <w:sz w:val="20"/>
        </w:rPr>
        <w:t>la</w:t>
      </w:r>
      <w:r>
        <w:rPr>
          <w:spacing w:val="-5"/>
          <w:sz w:val="20"/>
        </w:rPr>
        <w:t> </w:t>
      </w:r>
      <w:r>
        <w:rPr>
          <w:sz w:val="20"/>
        </w:rPr>
        <w:t>tierra</w:t>
      </w:r>
      <w:r>
        <w:rPr>
          <w:spacing w:val="-4"/>
          <w:sz w:val="20"/>
        </w:rPr>
        <w:t> </w:t>
      </w:r>
      <w:r>
        <w:rPr>
          <w:sz w:val="20"/>
        </w:rPr>
        <w:t>y</w:t>
      </w:r>
      <w:r>
        <w:rPr>
          <w:spacing w:val="-4"/>
          <w:sz w:val="20"/>
        </w:rPr>
        <w:t> </w:t>
      </w:r>
      <w:r>
        <w:rPr>
          <w:sz w:val="20"/>
        </w:rPr>
        <w:t>recursos</w:t>
      </w:r>
      <w:r>
        <w:rPr>
          <w:spacing w:val="-4"/>
          <w:sz w:val="20"/>
        </w:rPr>
        <w:t> </w:t>
      </w:r>
      <w:r>
        <w:rPr>
          <w:sz w:val="20"/>
        </w:rPr>
        <w:t>naturales</w:t>
      </w:r>
      <w:r>
        <w:rPr>
          <w:spacing w:val="-4"/>
          <w:sz w:val="20"/>
        </w:rPr>
        <w:t> </w:t>
      </w:r>
      <w:r>
        <w:rPr>
          <w:sz w:val="20"/>
        </w:rPr>
        <w:t>“es</w:t>
      </w:r>
      <w:r>
        <w:rPr>
          <w:spacing w:val="-6"/>
          <w:sz w:val="20"/>
        </w:rPr>
        <w:t> </w:t>
      </w:r>
      <w:r>
        <w:rPr>
          <w:sz w:val="20"/>
        </w:rPr>
        <w:t>cada</w:t>
      </w:r>
      <w:r>
        <w:rPr>
          <w:spacing w:val="-5"/>
          <w:sz w:val="20"/>
        </w:rPr>
        <w:t> </w:t>
      </w:r>
      <w:r>
        <w:rPr>
          <w:sz w:val="20"/>
        </w:rPr>
        <w:t>vez</w:t>
      </w:r>
      <w:r>
        <w:rPr>
          <w:spacing w:val="-3"/>
          <w:sz w:val="20"/>
        </w:rPr>
        <w:t> </w:t>
      </w:r>
      <w:r>
        <w:rPr>
          <w:sz w:val="20"/>
        </w:rPr>
        <w:t>más</w:t>
      </w:r>
      <w:r>
        <w:rPr>
          <w:spacing w:val="-4"/>
          <w:sz w:val="20"/>
        </w:rPr>
        <w:t> </w:t>
      </w:r>
      <w:r>
        <w:rPr>
          <w:sz w:val="20"/>
        </w:rPr>
        <w:t>difícil”</w:t>
      </w:r>
      <w:r>
        <w:rPr>
          <w:spacing w:val="-4"/>
          <w:sz w:val="20"/>
        </w:rPr>
        <w:t> </w:t>
      </w:r>
      <w:r>
        <w:rPr>
          <w:sz w:val="20"/>
        </w:rPr>
        <w:t>para</w:t>
      </w:r>
      <w:r>
        <w:rPr>
          <w:spacing w:val="-5"/>
          <w:sz w:val="20"/>
        </w:rPr>
        <w:t> </w:t>
      </w:r>
      <w:r>
        <w:rPr>
          <w:sz w:val="20"/>
        </w:rPr>
        <w:t>los</w:t>
      </w:r>
      <w:r>
        <w:rPr>
          <w:spacing w:val="-4"/>
          <w:sz w:val="20"/>
        </w:rPr>
        <w:t> </w:t>
      </w:r>
      <w:r>
        <w:rPr>
          <w:sz w:val="20"/>
        </w:rPr>
        <w:t>“habitantes</w:t>
      </w:r>
    </w:p>
    <w:p>
      <w:pPr>
        <w:pStyle w:val="BodyText"/>
        <w:spacing w:before="3"/>
        <w:rPr>
          <w:sz w:val="9"/>
        </w:rPr>
      </w:pPr>
      <w:r>
        <w:rPr/>
        <w:pict>
          <v:line style="position:absolute;mso-position-horizontal-relative:page;mso-position-vertical-relative:paragraph;z-index:2104;mso-wrap-distance-left:0;mso-wrap-distance-right:0" from="85.103996pt,7.965683pt" to="229.123996pt,7.965683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137</w:t>
        <w:tab/>
      </w:r>
      <w:r>
        <w:rPr>
          <w:sz w:val="16"/>
        </w:rPr>
        <w:t>En</w:t>
      </w:r>
      <w:r>
        <w:rPr>
          <w:spacing w:val="20"/>
          <w:sz w:val="16"/>
        </w:rPr>
        <w:t> </w:t>
      </w:r>
      <w:r>
        <w:rPr>
          <w:sz w:val="16"/>
        </w:rPr>
        <w:t>ese</w:t>
      </w:r>
      <w:r>
        <w:rPr>
          <w:spacing w:val="17"/>
          <w:sz w:val="16"/>
        </w:rPr>
        <w:t> </w:t>
      </w:r>
      <w:r>
        <w:rPr>
          <w:sz w:val="16"/>
        </w:rPr>
        <w:t>marco</w:t>
      </w:r>
      <w:r>
        <w:rPr>
          <w:spacing w:val="20"/>
          <w:sz w:val="16"/>
        </w:rPr>
        <w:t> </w:t>
      </w:r>
      <w:r>
        <w:rPr>
          <w:sz w:val="16"/>
        </w:rPr>
        <w:t>además,</w:t>
      </w:r>
      <w:r>
        <w:rPr>
          <w:spacing w:val="18"/>
          <w:sz w:val="16"/>
        </w:rPr>
        <w:t> </w:t>
      </w:r>
      <w:r>
        <w:rPr>
          <w:sz w:val="16"/>
        </w:rPr>
        <w:t>como</w:t>
      </w:r>
      <w:r>
        <w:rPr>
          <w:spacing w:val="17"/>
          <w:sz w:val="16"/>
        </w:rPr>
        <w:t> </w:t>
      </w:r>
      <w:r>
        <w:rPr>
          <w:sz w:val="16"/>
        </w:rPr>
        <w:t>ya</w:t>
      </w:r>
      <w:r>
        <w:rPr>
          <w:spacing w:val="18"/>
          <w:sz w:val="16"/>
        </w:rPr>
        <w:t> </w:t>
      </w:r>
      <w:r>
        <w:rPr>
          <w:sz w:val="16"/>
        </w:rPr>
        <w:t>se</w:t>
      </w:r>
      <w:r>
        <w:rPr>
          <w:spacing w:val="19"/>
          <w:sz w:val="16"/>
        </w:rPr>
        <w:t> </w:t>
      </w:r>
      <w:r>
        <w:rPr>
          <w:sz w:val="16"/>
        </w:rPr>
        <w:t>dijo</w:t>
      </w:r>
      <w:r>
        <w:rPr>
          <w:spacing w:val="22"/>
          <w:sz w:val="16"/>
        </w:rPr>
        <w:t> </w:t>
      </w:r>
      <w:r>
        <w:rPr>
          <w:sz w:val="16"/>
        </w:rPr>
        <w:t>(</w:t>
      </w:r>
      <w:r>
        <w:rPr>
          <w:i/>
          <w:sz w:val="16"/>
        </w:rPr>
        <w:t>supra</w:t>
      </w:r>
      <w:r>
        <w:rPr>
          <w:i/>
          <w:spacing w:val="19"/>
          <w:sz w:val="16"/>
        </w:rPr>
        <w:t> </w:t>
      </w:r>
      <w:r>
        <w:rPr>
          <w:sz w:val="16"/>
        </w:rPr>
        <w:t>párr.</w:t>
      </w:r>
      <w:r>
        <w:rPr>
          <w:spacing w:val="18"/>
          <w:sz w:val="16"/>
        </w:rPr>
        <w:t> </w:t>
      </w:r>
      <w:r>
        <w:rPr>
          <w:sz w:val="16"/>
        </w:rPr>
        <w:t>10),</w:t>
      </w:r>
      <w:r>
        <w:rPr>
          <w:spacing w:val="18"/>
          <w:sz w:val="16"/>
        </w:rPr>
        <w:t> </w:t>
      </w:r>
      <w:r>
        <w:rPr>
          <w:sz w:val="16"/>
        </w:rPr>
        <w:t>la</w:t>
      </w:r>
      <w:r>
        <w:rPr>
          <w:spacing w:val="21"/>
          <w:sz w:val="16"/>
        </w:rPr>
        <w:t> </w:t>
      </w:r>
      <w:r>
        <w:rPr>
          <w:sz w:val="16"/>
        </w:rPr>
        <w:t>delegación</w:t>
      </w:r>
      <w:r>
        <w:rPr>
          <w:spacing w:val="16"/>
          <w:sz w:val="16"/>
        </w:rPr>
        <w:t> </w:t>
      </w:r>
      <w:r>
        <w:rPr>
          <w:sz w:val="16"/>
        </w:rPr>
        <w:t>del</w:t>
      </w:r>
      <w:r>
        <w:rPr>
          <w:spacing w:val="18"/>
          <w:sz w:val="16"/>
        </w:rPr>
        <w:t> </w:t>
      </w:r>
      <w:r>
        <w:rPr>
          <w:sz w:val="16"/>
        </w:rPr>
        <w:t>Tribunal</w:t>
      </w:r>
      <w:r>
        <w:rPr>
          <w:spacing w:val="18"/>
          <w:sz w:val="16"/>
        </w:rPr>
        <w:t> </w:t>
      </w:r>
      <w:r>
        <w:rPr>
          <w:sz w:val="16"/>
        </w:rPr>
        <w:t>mantuvo</w:t>
      </w:r>
      <w:r>
        <w:rPr>
          <w:spacing w:val="22"/>
          <w:sz w:val="16"/>
        </w:rPr>
        <w:t> </w:t>
      </w:r>
      <w:r>
        <w:rPr>
          <w:sz w:val="16"/>
        </w:rPr>
        <w:t>una</w:t>
      </w:r>
      <w:r>
        <w:rPr>
          <w:w w:val="100"/>
          <w:sz w:val="16"/>
        </w:rPr>
        <w:t> </w:t>
      </w:r>
      <w:r>
        <w:rPr>
          <w:sz w:val="16"/>
        </w:rPr>
        <w:t>reunión</w:t>
      </w:r>
      <w:r>
        <w:rPr>
          <w:spacing w:val="-9"/>
          <w:sz w:val="16"/>
        </w:rPr>
        <w:t> </w:t>
      </w:r>
      <w:r>
        <w:rPr>
          <w:sz w:val="16"/>
        </w:rPr>
        <w:t>con</w:t>
      </w:r>
      <w:r>
        <w:rPr>
          <w:spacing w:val="-12"/>
          <w:sz w:val="16"/>
        </w:rPr>
        <w:t> </w:t>
      </w:r>
      <w:r>
        <w:rPr>
          <w:sz w:val="16"/>
        </w:rPr>
        <w:t>representantes</w:t>
      </w:r>
      <w:r>
        <w:rPr>
          <w:spacing w:val="-9"/>
          <w:sz w:val="16"/>
        </w:rPr>
        <w:t> </w:t>
      </w:r>
      <w:r>
        <w:rPr>
          <w:sz w:val="16"/>
        </w:rPr>
        <w:t>de</w:t>
      </w:r>
      <w:r>
        <w:rPr>
          <w:spacing w:val="-11"/>
          <w:sz w:val="16"/>
        </w:rPr>
        <w:t> </w:t>
      </w:r>
      <w:r>
        <w:rPr>
          <w:sz w:val="16"/>
        </w:rPr>
        <w:t>organizaciones</w:t>
      </w:r>
      <w:r>
        <w:rPr>
          <w:spacing w:val="-10"/>
          <w:sz w:val="16"/>
        </w:rPr>
        <w:t> </w:t>
      </w:r>
      <w:r>
        <w:rPr>
          <w:sz w:val="16"/>
        </w:rPr>
        <w:t>y</w:t>
      </w:r>
      <w:r>
        <w:rPr>
          <w:spacing w:val="-10"/>
          <w:sz w:val="16"/>
        </w:rPr>
        <w:t> </w:t>
      </w:r>
      <w:r>
        <w:rPr>
          <w:sz w:val="16"/>
        </w:rPr>
        <w:t>familias</w:t>
      </w:r>
      <w:r>
        <w:rPr>
          <w:spacing w:val="-9"/>
          <w:sz w:val="16"/>
        </w:rPr>
        <w:t> </w:t>
      </w:r>
      <w:r>
        <w:rPr>
          <w:sz w:val="16"/>
        </w:rPr>
        <w:t>criollas.</w:t>
      </w:r>
      <w:r>
        <w:rPr>
          <w:spacing w:val="-9"/>
          <w:sz w:val="16"/>
        </w:rPr>
        <w:t> </w:t>
      </w:r>
      <w:r>
        <w:rPr>
          <w:sz w:val="16"/>
        </w:rPr>
        <w:t>En</w:t>
      </w:r>
      <w:r>
        <w:rPr>
          <w:spacing w:val="-9"/>
          <w:sz w:val="16"/>
        </w:rPr>
        <w:t> </w:t>
      </w:r>
      <w:r>
        <w:rPr>
          <w:sz w:val="16"/>
        </w:rPr>
        <w:t>ella,</w:t>
      </w:r>
      <w:r>
        <w:rPr>
          <w:spacing w:val="-9"/>
          <w:sz w:val="16"/>
        </w:rPr>
        <w:t> </w:t>
      </w:r>
      <w:r>
        <w:rPr>
          <w:sz w:val="16"/>
        </w:rPr>
        <w:t>centralmente,</w:t>
      </w:r>
      <w:r>
        <w:rPr>
          <w:spacing w:val="-7"/>
          <w:sz w:val="16"/>
        </w:rPr>
        <w:t> </w:t>
      </w:r>
      <w:r>
        <w:rPr>
          <w:sz w:val="16"/>
        </w:rPr>
        <w:t>representantes</w:t>
      </w:r>
      <w:r>
        <w:rPr>
          <w:spacing w:val="-10"/>
          <w:sz w:val="16"/>
        </w:rPr>
        <w:t> </w:t>
      </w:r>
      <w:r>
        <w:rPr>
          <w:sz w:val="16"/>
        </w:rPr>
        <w:t>criollos expresaron</w:t>
      </w:r>
      <w:r>
        <w:rPr>
          <w:spacing w:val="-13"/>
          <w:sz w:val="16"/>
        </w:rPr>
        <w:t> </w:t>
      </w:r>
      <w:r>
        <w:rPr>
          <w:sz w:val="16"/>
        </w:rPr>
        <w:t>que</w:t>
      </w:r>
      <w:r>
        <w:rPr>
          <w:spacing w:val="-9"/>
          <w:sz w:val="16"/>
        </w:rPr>
        <w:t> </w:t>
      </w:r>
      <w:r>
        <w:rPr>
          <w:sz w:val="16"/>
        </w:rPr>
        <w:t>han</w:t>
      </w:r>
      <w:r>
        <w:rPr>
          <w:spacing w:val="-11"/>
          <w:sz w:val="16"/>
        </w:rPr>
        <w:t> </w:t>
      </w:r>
      <w:r>
        <w:rPr>
          <w:sz w:val="16"/>
        </w:rPr>
        <w:t>participado</w:t>
      </w:r>
      <w:r>
        <w:rPr>
          <w:spacing w:val="-9"/>
          <w:sz w:val="16"/>
        </w:rPr>
        <w:t> </w:t>
      </w:r>
      <w:r>
        <w:rPr>
          <w:sz w:val="16"/>
        </w:rPr>
        <w:t>de</w:t>
      </w:r>
      <w:r>
        <w:rPr>
          <w:spacing w:val="-9"/>
          <w:sz w:val="16"/>
        </w:rPr>
        <w:t> </w:t>
      </w:r>
      <w:r>
        <w:rPr>
          <w:sz w:val="16"/>
        </w:rPr>
        <w:t>los</w:t>
      </w:r>
      <w:r>
        <w:rPr>
          <w:spacing w:val="-12"/>
          <w:sz w:val="16"/>
        </w:rPr>
        <w:t> </w:t>
      </w:r>
      <w:r>
        <w:rPr>
          <w:sz w:val="16"/>
        </w:rPr>
        <w:t>procesos</w:t>
      </w:r>
      <w:r>
        <w:rPr>
          <w:spacing w:val="-12"/>
          <w:sz w:val="16"/>
        </w:rPr>
        <w:t> </w:t>
      </w:r>
      <w:r>
        <w:rPr>
          <w:sz w:val="16"/>
        </w:rPr>
        <w:t>de</w:t>
      </w:r>
      <w:r>
        <w:rPr>
          <w:spacing w:val="-9"/>
          <w:sz w:val="16"/>
        </w:rPr>
        <w:t> </w:t>
      </w:r>
      <w:r>
        <w:rPr>
          <w:sz w:val="16"/>
        </w:rPr>
        <w:t>acuerdos,</w:t>
      </w:r>
      <w:r>
        <w:rPr>
          <w:spacing w:val="-13"/>
          <w:sz w:val="16"/>
        </w:rPr>
        <w:t> </w:t>
      </w:r>
      <w:r>
        <w:rPr>
          <w:sz w:val="16"/>
        </w:rPr>
        <w:t>y</w:t>
      </w:r>
      <w:r>
        <w:rPr>
          <w:spacing w:val="-9"/>
          <w:sz w:val="16"/>
        </w:rPr>
        <w:t> </w:t>
      </w:r>
      <w:r>
        <w:rPr>
          <w:sz w:val="16"/>
        </w:rPr>
        <w:t>que</w:t>
      </w:r>
      <w:r>
        <w:rPr>
          <w:spacing w:val="-12"/>
          <w:sz w:val="16"/>
        </w:rPr>
        <w:t> </w:t>
      </w:r>
      <w:r>
        <w:rPr>
          <w:sz w:val="16"/>
        </w:rPr>
        <w:t>el</w:t>
      </w:r>
      <w:r>
        <w:rPr>
          <w:spacing w:val="-11"/>
          <w:sz w:val="16"/>
        </w:rPr>
        <w:t> </w:t>
      </w:r>
      <w:r>
        <w:rPr>
          <w:sz w:val="16"/>
        </w:rPr>
        <w:t>mayor</w:t>
      </w:r>
      <w:r>
        <w:rPr>
          <w:spacing w:val="-11"/>
          <w:sz w:val="16"/>
        </w:rPr>
        <w:t> </w:t>
      </w:r>
      <w:r>
        <w:rPr>
          <w:sz w:val="16"/>
        </w:rPr>
        <w:t>problema</w:t>
      </w:r>
      <w:r>
        <w:rPr>
          <w:spacing w:val="-13"/>
          <w:sz w:val="16"/>
        </w:rPr>
        <w:t> </w:t>
      </w:r>
      <w:r>
        <w:rPr>
          <w:sz w:val="16"/>
        </w:rPr>
        <w:t>es</w:t>
      </w:r>
      <w:r>
        <w:rPr>
          <w:spacing w:val="-9"/>
          <w:sz w:val="16"/>
        </w:rPr>
        <w:t> </w:t>
      </w:r>
      <w:r>
        <w:rPr>
          <w:sz w:val="16"/>
        </w:rPr>
        <w:t>que</w:t>
      </w:r>
      <w:r>
        <w:rPr>
          <w:spacing w:val="-9"/>
          <w:sz w:val="16"/>
        </w:rPr>
        <w:t> </w:t>
      </w:r>
      <w:r>
        <w:rPr>
          <w:sz w:val="16"/>
        </w:rPr>
        <w:t>no</w:t>
      </w:r>
      <w:r>
        <w:rPr>
          <w:spacing w:val="-9"/>
          <w:sz w:val="16"/>
        </w:rPr>
        <w:t> </w:t>
      </w:r>
      <w:r>
        <w:rPr>
          <w:sz w:val="16"/>
        </w:rPr>
        <w:t>ha</w:t>
      </w:r>
      <w:r>
        <w:rPr>
          <w:spacing w:val="-10"/>
          <w:sz w:val="16"/>
        </w:rPr>
        <w:t> </w:t>
      </w:r>
      <w:r>
        <w:rPr>
          <w:sz w:val="16"/>
        </w:rPr>
        <w:t>terminado de definirse el espacio correspondiente a cada una de las familias criollas. Mencionaron que el traslado de las personas</w:t>
      </w:r>
      <w:r>
        <w:rPr>
          <w:spacing w:val="-8"/>
          <w:sz w:val="16"/>
        </w:rPr>
        <w:t> </w:t>
      </w:r>
      <w:r>
        <w:rPr>
          <w:sz w:val="16"/>
        </w:rPr>
        <w:t>criollas</w:t>
      </w:r>
      <w:r>
        <w:rPr>
          <w:spacing w:val="-8"/>
          <w:sz w:val="16"/>
        </w:rPr>
        <w:t> </w:t>
      </w:r>
      <w:r>
        <w:rPr>
          <w:sz w:val="16"/>
        </w:rPr>
        <w:t>que</w:t>
      </w:r>
      <w:r>
        <w:rPr>
          <w:spacing w:val="-8"/>
          <w:sz w:val="16"/>
        </w:rPr>
        <w:t> </w:t>
      </w:r>
      <w:r>
        <w:rPr>
          <w:sz w:val="16"/>
        </w:rPr>
        <w:t>se</w:t>
      </w:r>
      <w:r>
        <w:rPr>
          <w:spacing w:val="-8"/>
          <w:sz w:val="16"/>
        </w:rPr>
        <w:t> </w:t>
      </w:r>
      <w:r>
        <w:rPr>
          <w:sz w:val="16"/>
        </w:rPr>
        <w:t>encuentran</w:t>
      </w:r>
      <w:r>
        <w:rPr>
          <w:spacing w:val="-7"/>
          <w:sz w:val="16"/>
        </w:rPr>
        <w:t> </w:t>
      </w:r>
      <w:r>
        <w:rPr>
          <w:sz w:val="16"/>
        </w:rPr>
        <w:t>en</w:t>
      </w:r>
      <w:r>
        <w:rPr>
          <w:spacing w:val="-7"/>
          <w:sz w:val="16"/>
        </w:rPr>
        <w:t> </w:t>
      </w:r>
      <w:r>
        <w:rPr>
          <w:sz w:val="16"/>
        </w:rPr>
        <w:t>tierra</w:t>
      </w:r>
      <w:r>
        <w:rPr>
          <w:spacing w:val="-9"/>
          <w:sz w:val="16"/>
        </w:rPr>
        <w:t> </w:t>
      </w:r>
      <w:r>
        <w:rPr>
          <w:sz w:val="16"/>
        </w:rPr>
        <w:t>reclamada</w:t>
      </w:r>
      <w:r>
        <w:rPr>
          <w:spacing w:val="-9"/>
          <w:sz w:val="16"/>
        </w:rPr>
        <w:t> </w:t>
      </w:r>
      <w:r>
        <w:rPr>
          <w:sz w:val="16"/>
        </w:rPr>
        <w:t>por</w:t>
      </w:r>
      <w:r>
        <w:rPr>
          <w:spacing w:val="-10"/>
          <w:sz w:val="16"/>
        </w:rPr>
        <w:t> </w:t>
      </w:r>
      <w:r>
        <w:rPr>
          <w:sz w:val="16"/>
        </w:rPr>
        <w:t>comunidades</w:t>
      </w:r>
      <w:r>
        <w:rPr>
          <w:spacing w:val="-6"/>
          <w:sz w:val="16"/>
        </w:rPr>
        <w:t> </w:t>
      </w:r>
      <w:r>
        <w:rPr>
          <w:sz w:val="16"/>
        </w:rPr>
        <w:t>indígenas</w:t>
      </w:r>
      <w:r>
        <w:rPr>
          <w:spacing w:val="-8"/>
          <w:sz w:val="16"/>
        </w:rPr>
        <w:t> </w:t>
      </w:r>
      <w:r>
        <w:rPr>
          <w:sz w:val="16"/>
        </w:rPr>
        <w:t>está</w:t>
      </w:r>
      <w:r>
        <w:rPr>
          <w:spacing w:val="-7"/>
          <w:sz w:val="16"/>
        </w:rPr>
        <w:t> </w:t>
      </w:r>
      <w:r>
        <w:rPr>
          <w:sz w:val="16"/>
        </w:rPr>
        <w:t>unido</w:t>
      </w:r>
      <w:r>
        <w:rPr>
          <w:spacing w:val="-5"/>
          <w:sz w:val="16"/>
        </w:rPr>
        <w:t> </w:t>
      </w:r>
      <w:r>
        <w:rPr>
          <w:sz w:val="16"/>
        </w:rPr>
        <w:t>al</w:t>
      </w:r>
      <w:r>
        <w:rPr>
          <w:spacing w:val="-9"/>
          <w:sz w:val="16"/>
        </w:rPr>
        <w:t> </w:t>
      </w:r>
      <w:r>
        <w:rPr>
          <w:sz w:val="16"/>
        </w:rPr>
        <w:t>compromiso de</w:t>
      </w:r>
      <w:r>
        <w:rPr>
          <w:spacing w:val="-7"/>
          <w:sz w:val="16"/>
        </w:rPr>
        <w:t> </w:t>
      </w:r>
      <w:r>
        <w:rPr>
          <w:sz w:val="16"/>
        </w:rPr>
        <w:t>que</w:t>
      </w:r>
      <w:r>
        <w:rPr>
          <w:spacing w:val="-5"/>
          <w:sz w:val="16"/>
        </w:rPr>
        <w:t> </w:t>
      </w:r>
      <w:r>
        <w:rPr>
          <w:sz w:val="16"/>
        </w:rPr>
        <w:t>el</w:t>
      </w:r>
      <w:r>
        <w:rPr>
          <w:spacing w:val="-6"/>
          <w:sz w:val="16"/>
        </w:rPr>
        <w:t> </w:t>
      </w:r>
      <w:r>
        <w:rPr>
          <w:sz w:val="16"/>
        </w:rPr>
        <w:t>Estado</w:t>
      </w:r>
      <w:r>
        <w:rPr>
          <w:spacing w:val="-6"/>
          <w:sz w:val="16"/>
        </w:rPr>
        <w:t> </w:t>
      </w:r>
      <w:r>
        <w:rPr>
          <w:sz w:val="16"/>
        </w:rPr>
        <w:t>brinde</w:t>
      </w:r>
      <w:r>
        <w:rPr>
          <w:spacing w:val="-5"/>
          <w:sz w:val="16"/>
        </w:rPr>
        <w:t> </w:t>
      </w:r>
      <w:r>
        <w:rPr>
          <w:sz w:val="16"/>
        </w:rPr>
        <w:t>las</w:t>
      </w:r>
      <w:r>
        <w:rPr>
          <w:spacing w:val="-7"/>
          <w:sz w:val="16"/>
        </w:rPr>
        <w:t> </w:t>
      </w:r>
      <w:r>
        <w:rPr>
          <w:sz w:val="16"/>
        </w:rPr>
        <w:t>mejoras</w:t>
      </w:r>
      <w:r>
        <w:rPr>
          <w:spacing w:val="-5"/>
          <w:sz w:val="16"/>
        </w:rPr>
        <w:t> </w:t>
      </w:r>
      <w:r>
        <w:rPr>
          <w:sz w:val="16"/>
        </w:rPr>
        <w:t>adecuadas</w:t>
      </w:r>
      <w:r>
        <w:rPr>
          <w:spacing w:val="-7"/>
          <w:sz w:val="16"/>
        </w:rPr>
        <w:t> </w:t>
      </w:r>
      <w:r>
        <w:rPr>
          <w:sz w:val="16"/>
        </w:rPr>
        <w:t>en</w:t>
      </w:r>
      <w:r>
        <w:rPr>
          <w:spacing w:val="-6"/>
          <w:sz w:val="16"/>
        </w:rPr>
        <w:t> </w:t>
      </w:r>
      <w:r>
        <w:rPr>
          <w:sz w:val="16"/>
        </w:rPr>
        <w:t>los</w:t>
      </w:r>
      <w:r>
        <w:rPr>
          <w:spacing w:val="-5"/>
          <w:sz w:val="16"/>
        </w:rPr>
        <w:t> </w:t>
      </w:r>
      <w:r>
        <w:rPr>
          <w:sz w:val="16"/>
        </w:rPr>
        <w:t>lugares</w:t>
      </w:r>
      <w:r>
        <w:rPr>
          <w:spacing w:val="-5"/>
          <w:sz w:val="16"/>
        </w:rPr>
        <w:t> </w:t>
      </w:r>
      <w:r>
        <w:rPr>
          <w:sz w:val="16"/>
        </w:rPr>
        <w:t>que</w:t>
      </w:r>
      <w:r>
        <w:rPr>
          <w:spacing w:val="-7"/>
          <w:sz w:val="16"/>
        </w:rPr>
        <w:t> </w:t>
      </w:r>
      <w:r>
        <w:rPr>
          <w:sz w:val="16"/>
        </w:rPr>
        <w:t>se</w:t>
      </w:r>
      <w:r>
        <w:rPr>
          <w:spacing w:val="-7"/>
          <w:sz w:val="16"/>
        </w:rPr>
        <w:t> </w:t>
      </w:r>
      <w:r>
        <w:rPr>
          <w:sz w:val="16"/>
        </w:rPr>
        <w:t>determinen</w:t>
      </w:r>
      <w:r>
        <w:rPr>
          <w:spacing w:val="-8"/>
          <w:sz w:val="16"/>
        </w:rPr>
        <w:t> </w:t>
      </w:r>
      <w:r>
        <w:rPr>
          <w:sz w:val="16"/>
        </w:rPr>
        <w:t>y</w:t>
      </w:r>
      <w:r>
        <w:rPr>
          <w:spacing w:val="-4"/>
          <w:sz w:val="16"/>
        </w:rPr>
        <w:t> </w:t>
      </w:r>
      <w:r>
        <w:rPr>
          <w:sz w:val="16"/>
        </w:rPr>
        <w:t>a</w:t>
      </w:r>
      <w:r>
        <w:rPr>
          <w:spacing w:val="-8"/>
          <w:sz w:val="16"/>
        </w:rPr>
        <w:t> </w:t>
      </w:r>
      <w:r>
        <w:rPr>
          <w:sz w:val="16"/>
        </w:rPr>
        <w:t>que</w:t>
      </w:r>
      <w:r>
        <w:rPr>
          <w:spacing w:val="-7"/>
          <w:sz w:val="16"/>
        </w:rPr>
        <w:t> </w:t>
      </w:r>
      <w:r>
        <w:rPr>
          <w:sz w:val="16"/>
        </w:rPr>
        <w:t>se</w:t>
      </w:r>
      <w:r>
        <w:rPr>
          <w:spacing w:val="-4"/>
          <w:sz w:val="16"/>
        </w:rPr>
        <w:t> </w:t>
      </w:r>
      <w:r>
        <w:rPr>
          <w:sz w:val="16"/>
        </w:rPr>
        <w:t>puedan</w:t>
      </w:r>
      <w:r>
        <w:rPr>
          <w:spacing w:val="-6"/>
          <w:sz w:val="16"/>
        </w:rPr>
        <w:t> </w:t>
      </w:r>
      <w:r>
        <w:rPr>
          <w:sz w:val="16"/>
        </w:rPr>
        <w:t>definir</w:t>
      </w:r>
      <w:r>
        <w:rPr>
          <w:spacing w:val="-4"/>
          <w:sz w:val="16"/>
        </w:rPr>
        <w:t> </w:t>
      </w:r>
      <w:r>
        <w:rPr>
          <w:sz w:val="16"/>
        </w:rPr>
        <w:t>los lugares de la mejor manera, para que todas las familias resulten beneficiadas. Consideraron también, que al Estado le falta una propuesta de trabajo “seria” en la cual brinde garantías para todas las familias que se tienen que trasladar. Destacaron la importancia del “acompañamiento” del Estado, tanto nacional como provincial, para que puedan seguir avanzando los acuerdos, así como para la readecuación o adaptación de las actividades de la población criolla, pues, conforme indicaron, el manejo del ganado deberá ser distinto en un ámbito territorial más</w:t>
      </w:r>
      <w:r>
        <w:rPr>
          <w:spacing w:val="-10"/>
          <w:sz w:val="16"/>
        </w:rPr>
        <w:t> </w:t>
      </w:r>
      <w:r>
        <w:rPr>
          <w:sz w:val="16"/>
        </w:rPr>
        <w:t>reducido.</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138</w:t>
        <w:tab/>
      </w:r>
      <w:r>
        <w:rPr>
          <w:sz w:val="16"/>
        </w:rPr>
        <w:t>ONU.</w:t>
      </w:r>
      <w:r>
        <w:rPr>
          <w:spacing w:val="-17"/>
          <w:sz w:val="16"/>
        </w:rPr>
        <w:t> </w:t>
      </w:r>
      <w:r>
        <w:rPr>
          <w:sz w:val="16"/>
        </w:rPr>
        <w:t>Asamblea</w:t>
      </w:r>
      <w:r>
        <w:rPr>
          <w:spacing w:val="-18"/>
          <w:sz w:val="16"/>
        </w:rPr>
        <w:t> </w:t>
      </w:r>
      <w:r>
        <w:rPr>
          <w:sz w:val="16"/>
        </w:rPr>
        <w:t>General.</w:t>
      </w:r>
      <w:r>
        <w:rPr>
          <w:spacing w:val="-16"/>
          <w:sz w:val="16"/>
        </w:rPr>
        <w:t> </w:t>
      </w:r>
      <w:r>
        <w:rPr>
          <w:sz w:val="16"/>
        </w:rPr>
        <w:t>Resolución</w:t>
      </w:r>
      <w:r>
        <w:rPr>
          <w:spacing w:val="-16"/>
          <w:sz w:val="16"/>
        </w:rPr>
        <w:t> </w:t>
      </w:r>
      <w:r>
        <w:rPr>
          <w:sz w:val="16"/>
        </w:rPr>
        <w:t>A/RES/73/165,</w:t>
      </w:r>
      <w:r>
        <w:rPr>
          <w:spacing w:val="-16"/>
          <w:sz w:val="16"/>
        </w:rPr>
        <w:t> </w:t>
      </w:r>
      <w:r>
        <w:rPr>
          <w:sz w:val="16"/>
        </w:rPr>
        <w:t>aprobada</w:t>
      </w:r>
      <w:r>
        <w:rPr>
          <w:spacing w:val="-16"/>
          <w:sz w:val="16"/>
        </w:rPr>
        <w:t> </w:t>
      </w:r>
      <w:r>
        <w:rPr>
          <w:sz w:val="16"/>
        </w:rPr>
        <w:t>el</w:t>
      </w:r>
      <w:r>
        <w:rPr>
          <w:spacing w:val="-16"/>
          <w:sz w:val="16"/>
        </w:rPr>
        <w:t> </w:t>
      </w:r>
      <w:r>
        <w:rPr>
          <w:sz w:val="16"/>
        </w:rPr>
        <w:t>17</w:t>
      </w:r>
      <w:r>
        <w:rPr>
          <w:spacing w:val="-17"/>
          <w:sz w:val="16"/>
        </w:rPr>
        <w:t> </w:t>
      </w:r>
      <w:r>
        <w:rPr>
          <w:sz w:val="16"/>
        </w:rPr>
        <w:t>de</w:t>
      </w:r>
      <w:r>
        <w:rPr>
          <w:spacing w:val="-18"/>
          <w:sz w:val="16"/>
        </w:rPr>
        <w:t> </w:t>
      </w:r>
      <w:r>
        <w:rPr>
          <w:sz w:val="16"/>
        </w:rPr>
        <w:t>diciembre</w:t>
      </w:r>
      <w:r>
        <w:rPr>
          <w:spacing w:val="-18"/>
          <w:sz w:val="16"/>
        </w:rPr>
        <w:t> </w:t>
      </w:r>
      <w:r>
        <w:rPr>
          <w:sz w:val="16"/>
        </w:rPr>
        <w:t>de</w:t>
      </w:r>
      <w:r>
        <w:rPr>
          <w:spacing w:val="-18"/>
          <w:sz w:val="16"/>
        </w:rPr>
        <w:t> </w:t>
      </w:r>
      <w:r>
        <w:rPr>
          <w:sz w:val="16"/>
        </w:rPr>
        <w:t>2018.</w:t>
      </w:r>
      <w:r>
        <w:rPr>
          <w:spacing w:val="-18"/>
          <w:sz w:val="16"/>
        </w:rPr>
        <w:t> </w:t>
      </w:r>
      <w:r>
        <w:rPr>
          <w:i/>
          <w:sz w:val="16"/>
        </w:rPr>
        <w:t>Declaración</w:t>
      </w:r>
      <w:r>
        <w:rPr>
          <w:i/>
          <w:w w:val="100"/>
          <w:sz w:val="16"/>
        </w:rPr>
        <w:t> </w:t>
      </w:r>
      <w:r>
        <w:rPr>
          <w:i/>
          <w:sz w:val="16"/>
        </w:rPr>
        <w:t>de</w:t>
      </w:r>
      <w:r>
        <w:rPr>
          <w:i/>
          <w:spacing w:val="-4"/>
          <w:sz w:val="16"/>
        </w:rPr>
        <w:t> </w:t>
      </w:r>
      <w:r>
        <w:rPr>
          <w:i/>
          <w:sz w:val="16"/>
        </w:rPr>
        <w:t>las</w:t>
      </w:r>
      <w:r>
        <w:rPr>
          <w:i/>
          <w:spacing w:val="-3"/>
          <w:sz w:val="16"/>
        </w:rPr>
        <w:t> </w:t>
      </w:r>
      <w:r>
        <w:rPr>
          <w:i/>
          <w:sz w:val="16"/>
        </w:rPr>
        <w:t>Naciones</w:t>
      </w:r>
      <w:r>
        <w:rPr>
          <w:i/>
          <w:spacing w:val="-4"/>
          <w:sz w:val="16"/>
        </w:rPr>
        <w:t> </w:t>
      </w:r>
      <w:r>
        <w:rPr>
          <w:i/>
          <w:sz w:val="16"/>
        </w:rPr>
        <w:t>Unidas</w:t>
      </w:r>
      <w:r>
        <w:rPr>
          <w:i/>
          <w:spacing w:val="-4"/>
          <w:sz w:val="16"/>
        </w:rPr>
        <w:t> </w:t>
      </w:r>
      <w:r>
        <w:rPr>
          <w:i/>
          <w:sz w:val="16"/>
        </w:rPr>
        <w:t>sobre</w:t>
      </w:r>
      <w:r>
        <w:rPr>
          <w:i/>
          <w:spacing w:val="-4"/>
          <w:sz w:val="16"/>
        </w:rPr>
        <w:t> </w:t>
      </w:r>
      <w:r>
        <w:rPr>
          <w:i/>
          <w:sz w:val="16"/>
        </w:rPr>
        <w:t>los</w:t>
      </w:r>
      <w:r>
        <w:rPr>
          <w:i/>
          <w:spacing w:val="-4"/>
          <w:sz w:val="16"/>
        </w:rPr>
        <w:t> </w:t>
      </w:r>
      <w:r>
        <w:rPr>
          <w:i/>
          <w:sz w:val="16"/>
        </w:rPr>
        <w:t>Derechos</w:t>
      </w:r>
      <w:r>
        <w:rPr>
          <w:i/>
          <w:spacing w:val="-4"/>
          <w:sz w:val="16"/>
        </w:rPr>
        <w:t> </w:t>
      </w:r>
      <w:r>
        <w:rPr>
          <w:i/>
          <w:sz w:val="16"/>
        </w:rPr>
        <w:t>de</w:t>
      </w:r>
      <w:r>
        <w:rPr>
          <w:i/>
          <w:spacing w:val="-4"/>
          <w:sz w:val="16"/>
        </w:rPr>
        <w:t> </w:t>
      </w:r>
      <w:r>
        <w:rPr>
          <w:i/>
          <w:sz w:val="16"/>
        </w:rPr>
        <w:t>los</w:t>
      </w:r>
      <w:r>
        <w:rPr>
          <w:i/>
          <w:spacing w:val="-4"/>
          <w:sz w:val="16"/>
        </w:rPr>
        <w:t> </w:t>
      </w:r>
      <w:r>
        <w:rPr>
          <w:i/>
          <w:sz w:val="16"/>
        </w:rPr>
        <w:t>Campesinos</w:t>
      </w:r>
      <w:r>
        <w:rPr>
          <w:i/>
          <w:spacing w:val="-3"/>
          <w:sz w:val="16"/>
        </w:rPr>
        <w:t> </w:t>
      </w:r>
      <w:r>
        <w:rPr>
          <w:i/>
          <w:sz w:val="16"/>
        </w:rPr>
        <w:t>y</w:t>
      </w:r>
      <w:r>
        <w:rPr>
          <w:i/>
          <w:spacing w:val="-3"/>
          <w:sz w:val="16"/>
        </w:rPr>
        <w:t> </w:t>
      </w:r>
      <w:r>
        <w:rPr>
          <w:i/>
          <w:sz w:val="16"/>
        </w:rPr>
        <w:t>de</w:t>
      </w:r>
      <w:r>
        <w:rPr>
          <w:i/>
          <w:spacing w:val="-4"/>
          <w:sz w:val="16"/>
        </w:rPr>
        <w:t> </w:t>
      </w:r>
      <w:r>
        <w:rPr>
          <w:i/>
          <w:sz w:val="16"/>
        </w:rPr>
        <w:t>Otras</w:t>
      </w:r>
      <w:r>
        <w:rPr>
          <w:i/>
          <w:spacing w:val="-4"/>
          <w:sz w:val="16"/>
        </w:rPr>
        <w:t> </w:t>
      </w:r>
      <w:r>
        <w:rPr>
          <w:i/>
          <w:sz w:val="16"/>
        </w:rPr>
        <w:t>Personas</w:t>
      </w:r>
      <w:r>
        <w:rPr>
          <w:i/>
          <w:spacing w:val="-4"/>
          <w:sz w:val="16"/>
        </w:rPr>
        <w:t> </w:t>
      </w:r>
      <w:r>
        <w:rPr>
          <w:i/>
          <w:sz w:val="16"/>
        </w:rPr>
        <w:t>que</w:t>
      </w:r>
      <w:r>
        <w:rPr>
          <w:i/>
          <w:spacing w:val="-4"/>
          <w:sz w:val="16"/>
        </w:rPr>
        <w:t> </w:t>
      </w:r>
      <w:r>
        <w:rPr>
          <w:i/>
          <w:sz w:val="16"/>
        </w:rPr>
        <w:t>Trabajan</w:t>
      </w:r>
      <w:r>
        <w:rPr>
          <w:i/>
          <w:spacing w:val="-2"/>
          <w:sz w:val="16"/>
        </w:rPr>
        <w:t> </w:t>
      </w:r>
      <w:r>
        <w:rPr>
          <w:i/>
          <w:sz w:val="16"/>
        </w:rPr>
        <w:t>en</w:t>
      </w:r>
      <w:r>
        <w:rPr>
          <w:i/>
          <w:spacing w:val="-5"/>
          <w:sz w:val="16"/>
        </w:rPr>
        <w:t> </w:t>
      </w:r>
      <w:r>
        <w:rPr>
          <w:i/>
          <w:sz w:val="16"/>
        </w:rPr>
        <w:t>las</w:t>
      </w:r>
      <w:r>
        <w:rPr>
          <w:i/>
          <w:spacing w:val="-6"/>
          <w:sz w:val="16"/>
        </w:rPr>
        <w:t> </w:t>
      </w:r>
      <w:r>
        <w:rPr>
          <w:i/>
          <w:sz w:val="16"/>
        </w:rPr>
        <w:t>Zonas Rurales.</w:t>
      </w:r>
      <w:r>
        <w:rPr>
          <w:i/>
          <w:spacing w:val="-4"/>
          <w:sz w:val="16"/>
        </w:rPr>
        <w:t> </w:t>
      </w:r>
      <w:r>
        <w:rPr>
          <w:sz w:val="16"/>
        </w:rPr>
        <w:t>El</w:t>
      </w:r>
      <w:r>
        <w:rPr>
          <w:spacing w:val="-4"/>
          <w:sz w:val="16"/>
        </w:rPr>
        <w:t> </w:t>
      </w:r>
      <w:r>
        <w:rPr>
          <w:sz w:val="16"/>
        </w:rPr>
        <w:t>artículo</w:t>
      </w:r>
      <w:r>
        <w:rPr>
          <w:spacing w:val="-3"/>
          <w:sz w:val="16"/>
        </w:rPr>
        <w:t> </w:t>
      </w:r>
      <w:r>
        <w:rPr>
          <w:sz w:val="16"/>
        </w:rPr>
        <w:t>1</w:t>
      </w:r>
      <w:r>
        <w:rPr>
          <w:spacing w:val="-5"/>
          <w:sz w:val="16"/>
        </w:rPr>
        <w:t> </w:t>
      </w:r>
      <w:r>
        <w:rPr>
          <w:sz w:val="16"/>
        </w:rPr>
        <w:t>define</w:t>
      </w:r>
      <w:r>
        <w:rPr>
          <w:spacing w:val="-3"/>
          <w:sz w:val="16"/>
        </w:rPr>
        <w:t> </w:t>
      </w:r>
      <w:r>
        <w:rPr>
          <w:sz w:val="16"/>
        </w:rPr>
        <w:t>al</w:t>
      </w:r>
      <w:r>
        <w:rPr>
          <w:spacing w:val="-6"/>
          <w:sz w:val="16"/>
        </w:rPr>
        <w:t> </w:t>
      </w:r>
      <w:r>
        <w:rPr>
          <w:sz w:val="16"/>
        </w:rPr>
        <w:t>individuo</w:t>
      </w:r>
      <w:r>
        <w:rPr>
          <w:spacing w:val="-5"/>
          <w:sz w:val="16"/>
        </w:rPr>
        <w:t> </w:t>
      </w:r>
      <w:r>
        <w:rPr>
          <w:sz w:val="16"/>
        </w:rPr>
        <w:t>campesino</w:t>
      </w:r>
      <w:r>
        <w:rPr>
          <w:spacing w:val="-3"/>
          <w:sz w:val="16"/>
        </w:rPr>
        <w:t> </w:t>
      </w:r>
      <w:r>
        <w:rPr>
          <w:sz w:val="16"/>
        </w:rPr>
        <w:t>como</w:t>
      </w:r>
      <w:r>
        <w:rPr>
          <w:spacing w:val="-3"/>
          <w:sz w:val="16"/>
        </w:rPr>
        <w:t> </w:t>
      </w:r>
      <w:r>
        <w:rPr>
          <w:sz w:val="16"/>
        </w:rPr>
        <w:t>“toda</w:t>
      </w:r>
      <w:r>
        <w:rPr>
          <w:spacing w:val="-7"/>
          <w:sz w:val="16"/>
        </w:rPr>
        <w:t> </w:t>
      </w:r>
      <w:r>
        <w:rPr>
          <w:sz w:val="16"/>
        </w:rPr>
        <w:t>persona</w:t>
      </w:r>
      <w:r>
        <w:rPr>
          <w:spacing w:val="-7"/>
          <w:sz w:val="16"/>
        </w:rPr>
        <w:t> </w:t>
      </w:r>
      <w:r>
        <w:rPr>
          <w:sz w:val="16"/>
        </w:rPr>
        <w:t>que</w:t>
      </w:r>
      <w:r>
        <w:rPr>
          <w:spacing w:val="-6"/>
          <w:sz w:val="16"/>
        </w:rPr>
        <w:t> </w:t>
      </w:r>
      <w:r>
        <w:rPr>
          <w:sz w:val="16"/>
        </w:rPr>
        <w:t>se</w:t>
      </w:r>
      <w:r>
        <w:rPr>
          <w:spacing w:val="-6"/>
          <w:sz w:val="16"/>
        </w:rPr>
        <w:t> </w:t>
      </w:r>
      <w:r>
        <w:rPr>
          <w:sz w:val="16"/>
        </w:rPr>
        <w:t>dedique</w:t>
      </w:r>
      <w:r>
        <w:rPr>
          <w:spacing w:val="-3"/>
          <w:sz w:val="16"/>
        </w:rPr>
        <w:t> </w:t>
      </w:r>
      <w:r>
        <w:rPr>
          <w:sz w:val="16"/>
        </w:rPr>
        <w:t>o</w:t>
      </w:r>
      <w:r>
        <w:rPr>
          <w:spacing w:val="-5"/>
          <w:sz w:val="16"/>
        </w:rPr>
        <w:t> </w:t>
      </w:r>
      <w:r>
        <w:rPr>
          <w:sz w:val="16"/>
        </w:rPr>
        <w:t>pretenda</w:t>
      </w:r>
      <w:r>
        <w:rPr>
          <w:spacing w:val="-7"/>
          <w:sz w:val="16"/>
        </w:rPr>
        <w:t> </w:t>
      </w:r>
      <w:r>
        <w:rPr>
          <w:sz w:val="16"/>
        </w:rPr>
        <w:t>dedicarse, ya</w:t>
      </w:r>
      <w:r>
        <w:rPr>
          <w:spacing w:val="-8"/>
          <w:sz w:val="16"/>
        </w:rPr>
        <w:t> </w:t>
      </w:r>
      <w:r>
        <w:rPr>
          <w:sz w:val="16"/>
        </w:rPr>
        <w:t>sea</w:t>
      </w:r>
      <w:r>
        <w:rPr>
          <w:spacing w:val="-10"/>
          <w:sz w:val="16"/>
        </w:rPr>
        <w:t> </w:t>
      </w:r>
      <w:r>
        <w:rPr>
          <w:sz w:val="16"/>
        </w:rPr>
        <w:t>de</w:t>
      </w:r>
      <w:r>
        <w:rPr>
          <w:spacing w:val="-9"/>
          <w:sz w:val="16"/>
        </w:rPr>
        <w:t> </w:t>
      </w:r>
      <w:r>
        <w:rPr>
          <w:sz w:val="16"/>
        </w:rPr>
        <w:t>manera</w:t>
      </w:r>
      <w:r>
        <w:rPr>
          <w:spacing w:val="-8"/>
          <w:sz w:val="16"/>
        </w:rPr>
        <w:t> </w:t>
      </w:r>
      <w:r>
        <w:rPr>
          <w:sz w:val="16"/>
        </w:rPr>
        <w:t>individual</w:t>
      </w:r>
      <w:r>
        <w:rPr>
          <w:spacing w:val="-8"/>
          <w:sz w:val="16"/>
        </w:rPr>
        <w:t> </w:t>
      </w:r>
      <w:r>
        <w:rPr>
          <w:sz w:val="16"/>
        </w:rPr>
        <w:t>o</w:t>
      </w:r>
      <w:r>
        <w:rPr>
          <w:spacing w:val="-9"/>
          <w:sz w:val="16"/>
        </w:rPr>
        <w:t> </w:t>
      </w:r>
      <w:r>
        <w:rPr>
          <w:sz w:val="16"/>
        </w:rPr>
        <w:t>en</w:t>
      </w:r>
      <w:r>
        <w:rPr>
          <w:spacing w:val="-8"/>
          <w:sz w:val="16"/>
        </w:rPr>
        <w:t> </w:t>
      </w:r>
      <w:r>
        <w:rPr>
          <w:sz w:val="16"/>
        </w:rPr>
        <w:t>asociación</w:t>
      </w:r>
      <w:r>
        <w:rPr>
          <w:spacing w:val="-8"/>
          <w:sz w:val="16"/>
        </w:rPr>
        <w:t> </w:t>
      </w:r>
      <w:r>
        <w:rPr>
          <w:sz w:val="16"/>
        </w:rPr>
        <w:t>con</w:t>
      </w:r>
      <w:r>
        <w:rPr>
          <w:spacing w:val="-9"/>
          <w:sz w:val="16"/>
        </w:rPr>
        <w:t> </w:t>
      </w:r>
      <w:r>
        <w:rPr>
          <w:sz w:val="16"/>
        </w:rPr>
        <w:t>otras</w:t>
      </w:r>
      <w:r>
        <w:rPr>
          <w:spacing w:val="-10"/>
          <w:sz w:val="16"/>
        </w:rPr>
        <w:t> </w:t>
      </w:r>
      <w:r>
        <w:rPr>
          <w:sz w:val="16"/>
        </w:rPr>
        <w:t>o</w:t>
      </w:r>
      <w:r>
        <w:rPr>
          <w:spacing w:val="-9"/>
          <w:sz w:val="16"/>
        </w:rPr>
        <w:t> </w:t>
      </w:r>
      <w:r>
        <w:rPr>
          <w:sz w:val="16"/>
        </w:rPr>
        <w:t>como</w:t>
      </w:r>
      <w:r>
        <w:rPr>
          <w:spacing w:val="-7"/>
          <w:sz w:val="16"/>
        </w:rPr>
        <w:t> </w:t>
      </w:r>
      <w:r>
        <w:rPr>
          <w:sz w:val="16"/>
        </w:rPr>
        <w:t>comunidad,</w:t>
      </w:r>
      <w:r>
        <w:rPr>
          <w:spacing w:val="-8"/>
          <w:sz w:val="16"/>
        </w:rPr>
        <w:t> </w:t>
      </w:r>
      <w:r>
        <w:rPr>
          <w:sz w:val="16"/>
        </w:rPr>
        <w:t>a</w:t>
      </w:r>
      <w:r>
        <w:rPr>
          <w:spacing w:val="-8"/>
          <w:sz w:val="16"/>
        </w:rPr>
        <w:t> </w:t>
      </w:r>
      <w:r>
        <w:rPr>
          <w:sz w:val="16"/>
        </w:rPr>
        <w:t>la</w:t>
      </w:r>
      <w:r>
        <w:rPr>
          <w:spacing w:val="-8"/>
          <w:sz w:val="16"/>
        </w:rPr>
        <w:t> </w:t>
      </w:r>
      <w:r>
        <w:rPr>
          <w:sz w:val="16"/>
        </w:rPr>
        <w:t>producción</w:t>
      </w:r>
      <w:r>
        <w:rPr>
          <w:spacing w:val="-11"/>
          <w:sz w:val="16"/>
        </w:rPr>
        <w:t> </w:t>
      </w:r>
      <w:r>
        <w:rPr>
          <w:sz w:val="16"/>
        </w:rPr>
        <w:t>agrícola</w:t>
      </w:r>
      <w:r>
        <w:rPr>
          <w:spacing w:val="-10"/>
          <w:sz w:val="16"/>
        </w:rPr>
        <w:t> </w:t>
      </w:r>
      <w:r>
        <w:rPr>
          <w:sz w:val="16"/>
        </w:rPr>
        <w:t>en</w:t>
      </w:r>
      <w:r>
        <w:rPr>
          <w:spacing w:val="-8"/>
          <w:sz w:val="16"/>
        </w:rPr>
        <w:t> </w:t>
      </w:r>
      <w:r>
        <w:rPr>
          <w:sz w:val="16"/>
        </w:rPr>
        <w:t>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Es pertinente destacar que el texto aclara que su contenido se aplica también, entre otros, a “los pueblos indígenas y las comunidades locales que trabajan la tierra, a las comunidades trashumantes, nómadas y</w:t>
      </w:r>
      <w:r>
        <w:rPr>
          <w:spacing w:val="-25"/>
          <w:sz w:val="16"/>
        </w:rPr>
        <w:t> </w:t>
      </w:r>
      <w:r>
        <w:rPr>
          <w:sz w:val="16"/>
        </w:rPr>
        <w:t>seminómadas”.</w:t>
      </w:r>
    </w:p>
    <w:p>
      <w:pPr>
        <w:spacing w:after="0" w:line="240" w:lineRule="auto"/>
        <w:jc w:val="both"/>
        <w:rPr>
          <w:sz w:val="16"/>
        </w:rPr>
        <w:sectPr>
          <w:pgSz w:w="12240" w:h="15840"/>
          <w:pgMar w:header="0" w:footer="1000" w:top="1340" w:bottom="1200" w:left="1580" w:right="1580"/>
        </w:sectPr>
      </w:pPr>
    </w:p>
    <w:p>
      <w:pPr>
        <w:pStyle w:val="BodyText"/>
        <w:spacing w:before="76"/>
        <w:ind w:left="102" w:right="104"/>
        <w:jc w:val="both"/>
      </w:pPr>
      <w:r>
        <w:rPr/>
        <w:t>de</w:t>
      </w:r>
      <w:r>
        <w:rPr>
          <w:spacing w:val="-19"/>
        </w:rPr>
        <w:t> </w:t>
      </w:r>
      <w:r>
        <w:rPr/>
        <w:t>zonas</w:t>
      </w:r>
      <w:r>
        <w:rPr>
          <w:spacing w:val="-16"/>
        </w:rPr>
        <w:t> </w:t>
      </w:r>
      <w:r>
        <w:rPr/>
        <w:t>rurales”,</w:t>
      </w:r>
      <w:r>
        <w:rPr>
          <w:spacing w:val="-16"/>
        </w:rPr>
        <w:t> </w:t>
      </w:r>
      <w:r>
        <w:rPr/>
        <w:t>y</w:t>
      </w:r>
      <w:r>
        <w:rPr>
          <w:spacing w:val="-18"/>
        </w:rPr>
        <w:t> </w:t>
      </w:r>
      <w:r>
        <w:rPr/>
        <w:t>que</w:t>
      </w:r>
      <w:r>
        <w:rPr>
          <w:spacing w:val="-14"/>
        </w:rPr>
        <w:t> </w:t>
      </w:r>
      <w:r>
        <w:rPr/>
        <w:t>hay</w:t>
      </w:r>
      <w:r>
        <w:rPr>
          <w:spacing w:val="-18"/>
        </w:rPr>
        <w:t> </w:t>
      </w:r>
      <w:r>
        <w:rPr/>
        <w:t>diversos</w:t>
      </w:r>
      <w:r>
        <w:rPr>
          <w:spacing w:val="-16"/>
        </w:rPr>
        <w:t> </w:t>
      </w:r>
      <w:r>
        <w:rPr/>
        <w:t>“factores</w:t>
      </w:r>
      <w:r>
        <w:rPr>
          <w:spacing w:val="-18"/>
        </w:rPr>
        <w:t> </w:t>
      </w:r>
      <w:r>
        <w:rPr/>
        <w:t>que</w:t>
      </w:r>
      <w:r>
        <w:rPr>
          <w:spacing w:val="-19"/>
        </w:rPr>
        <w:t> </w:t>
      </w:r>
      <w:r>
        <w:rPr/>
        <w:t>dificultan”</w:t>
      </w:r>
      <w:r>
        <w:rPr>
          <w:spacing w:val="-18"/>
        </w:rPr>
        <w:t> </w:t>
      </w:r>
      <w:r>
        <w:rPr/>
        <w:t>que</w:t>
      </w:r>
      <w:r>
        <w:rPr>
          <w:spacing w:val="-11"/>
        </w:rPr>
        <w:t> </w:t>
      </w:r>
      <w:r>
        <w:rPr/>
        <w:t>esas</w:t>
      </w:r>
      <w:r>
        <w:rPr>
          <w:spacing w:val="-18"/>
        </w:rPr>
        <w:t> </w:t>
      </w:r>
      <w:r>
        <w:rPr/>
        <w:t>personas</w:t>
      </w:r>
      <w:r>
        <w:rPr>
          <w:spacing w:val="-14"/>
        </w:rPr>
        <w:t> </w:t>
      </w:r>
      <w:r>
        <w:rPr/>
        <w:t>puedan “defender […] sus derechos de tenencia y garantizar el uso sostenible de los recursos naturales de los que dependen”. La Declaración sobre campesinos expresa que las “normas</w:t>
      </w:r>
      <w:r>
        <w:rPr>
          <w:spacing w:val="-16"/>
        </w:rPr>
        <w:t> </w:t>
      </w:r>
      <w:r>
        <w:rPr/>
        <w:t>y</w:t>
      </w:r>
      <w:r>
        <w:rPr>
          <w:spacing w:val="-14"/>
        </w:rPr>
        <w:t> </w:t>
      </w:r>
      <w:r>
        <w:rPr/>
        <w:t>principios</w:t>
      </w:r>
      <w:r>
        <w:rPr>
          <w:spacing w:val="-15"/>
        </w:rPr>
        <w:t> </w:t>
      </w:r>
      <w:r>
        <w:rPr/>
        <w:t>internacionales</w:t>
      </w:r>
      <w:r>
        <w:rPr>
          <w:spacing w:val="-16"/>
        </w:rPr>
        <w:t> </w:t>
      </w:r>
      <w:r>
        <w:rPr/>
        <w:t>de</w:t>
      </w:r>
      <w:r>
        <w:rPr>
          <w:spacing w:val="-16"/>
        </w:rPr>
        <w:t> </w:t>
      </w:r>
      <w:r>
        <w:rPr/>
        <w:t>derechos</w:t>
      </w:r>
      <w:r>
        <w:rPr>
          <w:spacing w:val="-16"/>
        </w:rPr>
        <w:t> </w:t>
      </w:r>
      <w:r>
        <w:rPr/>
        <w:t>humanos”</w:t>
      </w:r>
      <w:r>
        <w:rPr>
          <w:spacing w:val="-15"/>
        </w:rPr>
        <w:t> </w:t>
      </w:r>
      <w:r>
        <w:rPr/>
        <w:t>deben</w:t>
      </w:r>
      <w:r>
        <w:rPr>
          <w:spacing w:val="-15"/>
        </w:rPr>
        <w:t> </w:t>
      </w:r>
      <w:r>
        <w:rPr/>
        <w:t>“interpret[arse]</w:t>
      </w:r>
      <w:r>
        <w:rPr>
          <w:spacing w:val="-13"/>
        </w:rPr>
        <w:t> </w:t>
      </w:r>
      <w:r>
        <w:rPr/>
        <w:t>y</w:t>
      </w:r>
      <w:r>
        <w:rPr>
          <w:spacing w:val="-16"/>
        </w:rPr>
        <w:t> </w:t>
      </w:r>
      <w:r>
        <w:rPr/>
        <w:t>[…] aplic[arse]</w:t>
      </w:r>
      <w:r>
        <w:rPr>
          <w:spacing w:val="-6"/>
        </w:rPr>
        <w:t> </w:t>
      </w:r>
      <w:r>
        <w:rPr/>
        <w:t>de</w:t>
      </w:r>
      <w:r>
        <w:rPr>
          <w:spacing w:val="-8"/>
        </w:rPr>
        <w:t> </w:t>
      </w:r>
      <w:r>
        <w:rPr/>
        <w:t>forma</w:t>
      </w:r>
      <w:r>
        <w:rPr>
          <w:spacing w:val="-3"/>
        </w:rPr>
        <w:t> </w:t>
      </w:r>
      <w:r>
        <w:rPr/>
        <w:t>coherente”</w:t>
      </w:r>
      <w:r>
        <w:rPr>
          <w:spacing w:val="-5"/>
        </w:rPr>
        <w:t> </w:t>
      </w:r>
      <w:r>
        <w:rPr/>
        <w:t>con</w:t>
      </w:r>
      <w:r>
        <w:rPr>
          <w:spacing w:val="-6"/>
        </w:rPr>
        <w:t> </w:t>
      </w:r>
      <w:r>
        <w:rPr/>
        <w:t>la</w:t>
      </w:r>
      <w:r>
        <w:rPr>
          <w:spacing w:val="-6"/>
        </w:rPr>
        <w:t> </w:t>
      </w:r>
      <w:r>
        <w:rPr/>
        <w:t>“necesidad</w:t>
      </w:r>
      <w:r>
        <w:rPr>
          <w:spacing w:val="-6"/>
        </w:rPr>
        <w:t> </w:t>
      </w:r>
      <w:r>
        <w:rPr/>
        <w:t>de</w:t>
      </w:r>
      <w:r>
        <w:rPr>
          <w:spacing w:val="-6"/>
        </w:rPr>
        <w:t> </w:t>
      </w:r>
      <w:r>
        <w:rPr/>
        <w:t>que</w:t>
      </w:r>
      <w:r>
        <w:rPr>
          <w:spacing w:val="-5"/>
        </w:rPr>
        <w:t> </w:t>
      </w:r>
      <w:r>
        <w:rPr/>
        <w:t>se</w:t>
      </w:r>
      <w:r>
        <w:rPr>
          <w:spacing w:val="-6"/>
        </w:rPr>
        <w:t> </w:t>
      </w:r>
      <w:r>
        <w:rPr/>
        <w:t>proteja</w:t>
      </w:r>
      <w:r>
        <w:rPr>
          <w:spacing w:val="-4"/>
        </w:rPr>
        <w:t> </w:t>
      </w:r>
      <w:r>
        <w:rPr/>
        <w:t>mejor</w:t>
      </w:r>
      <w:r>
        <w:rPr>
          <w:spacing w:val="-8"/>
        </w:rPr>
        <w:t> </w:t>
      </w:r>
      <w:r>
        <w:rPr/>
        <w:t>los</w:t>
      </w:r>
      <w:r>
        <w:rPr>
          <w:spacing w:val="-5"/>
        </w:rPr>
        <w:t> </w:t>
      </w:r>
      <w:r>
        <w:rPr/>
        <w:t>derechos de los campesinos”. La Corte aclara que no está evaluando la responsabilidad estatal con base en la Declaración sobre campesinos, sino que hace alusión a la misma sólo como una referencia complementaria que, en línea con los señalamientos de Argentina sobre</w:t>
      </w:r>
      <w:r>
        <w:rPr>
          <w:spacing w:val="-10"/>
        </w:rPr>
        <w:t> </w:t>
      </w:r>
      <w:r>
        <w:rPr/>
        <w:t>la</w:t>
      </w:r>
      <w:r>
        <w:rPr>
          <w:spacing w:val="-9"/>
        </w:rPr>
        <w:t> </w:t>
      </w:r>
      <w:r>
        <w:rPr/>
        <w:t>vulnerabilidad</w:t>
      </w:r>
      <w:r>
        <w:rPr>
          <w:spacing w:val="-8"/>
        </w:rPr>
        <w:t> </w:t>
      </w:r>
      <w:r>
        <w:rPr/>
        <w:t>de</w:t>
      </w:r>
      <w:r>
        <w:rPr>
          <w:spacing w:val="-10"/>
        </w:rPr>
        <w:t> </w:t>
      </w:r>
      <w:r>
        <w:rPr/>
        <w:t>la</w:t>
      </w:r>
      <w:r>
        <w:rPr>
          <w:spacing w:val="-9"/>
        </w:rPr>
        <w:t> </w:t>
      </w:r>
      <w:r>
        <w:rPr/>
        <w:t>población</w:t>
      </w:r>
      <w:r>
        <w:rPr>
          <w:spacing w:val="-8"/>
        </w:rPr>
        <w:t> </w:t>
      </w:r>
      <w:r>
        <w:rPr/>
        <w:t>criolla,</w:t>
      </w:r>
      <w:r>
        <w:rPr>
          <w:spacing w:val="-7"/>
        </w:rPr>
        <w:t> </w:t>
      </w:r>
      <w:r>
        <w:rPr/>
        <w:t>muestra</w:t>
      </w:r>
      <w:r>
        <w:rPr>
          <w:spacing w:val="-9"/>
        </w:rPr>
        <w:t> </w:t>
      </w:r>
      <w:r>
        <w:rPr/>
        <w:t>la</w:t>
      </w:r>
      <w:r>
        <w:rPr>
          <w:spacing w:val="-9"/>
        </w:rPr>
        <w:t> </w:t>
      </w:r>
      <w:r>
        <w:rPr/>
        <w:t>pertinencia</w:t>
      </w:r>
      <w:r>
        <w:rPr>
          <w:spacing w:val="-9"/>
        </w:rPr>
        <w:t> </w:t>
      </w:r>
      <w:r>
        <w:rPr/>
        <w:t>de</w:t>
      </w:r>
      <w:r>
        <w:rPr>
          <w:spacing w:val="-10"/>
        </w:rPr>
        <w:t> </w:t>
      </w:r>
      <w:r>
        <w:rPr/>
        <w:t>tener</w:t>
      </w:r>
      <w:r>
        <w:rPr>
          <w:spacing w:val="-8"/>
        </w:rPr>
        <w:t> </w:t>
      </w:r>
      <w:r>
        <w:rPr/>
        <w:t>en</w:t>
      </w:r>
      <w:r>
        <w:rPr>
          <w:spacing w:val="-8"/>
        </w:rPr>
        <w:t> </w:t>
      </w:r>
      <w:r>
        <w:rPr/>
        <w:t>cuenta la situación particular de dicha población a fin de resguardar sus</w:t>
      </w:r>
      <w:r>
        <w:rPr>
          <w:spacing w:val="-23"/>
        </w:rPr>
        <w:t> </w:t>
      </w:r>
      <w:r>
        <w:rPr/>
        <w:t>derechos.</w:t>
      </w:r>
    </w:p>
    <w:p>
      <w:pPr>
        <w:pStyle w:val="BodyText"/>
        <w:spacing w:before="10"/>
        <w:rPr>
          <w:sz w:val="19"/>
        </w:rPr>
      </w:pPr>
    </w:p>
    <w:p>
      <w:pPr>
        <w:pStyle w:val="ListParagraph"/>
        <w:numPr>
          <w:ilvl w:val="0"/>
          <w:numId w:val="21"/>
        </w:numPr>
        <w:tabs>
          <w:tab w:pos="810" w:val="left" w:leader="none"/>
        </w:tabs>
        <w:spacing w:line="240" w:lineRule="auto" w:before="0" w:after="0"/>
        <w:ind w:left="102" w:right="105" w:firstLine="0"/>
        <w:jc w:val="both"/>
        <w:rPr>
          <w:sz w:val="20"/>
        </w:rPr>
      </w:pPr>
      <w:r>
        <w:rPr>
          <w:sz w:val="20"/>
        </w:rPr>
        <w:t>La Corte no puede soslayar que el Estado tiene deberes respecto de la</w:t>
      </w:r>
      <w:r>
        <w:rPr>
          <w:spacing w:val="-19"/>
          <w:sz w:val="20"/>
        </w:rPr>
        <w:t> </w:t>
      </w:r>
      <w:r>
        <w:rPr>
          <w:sz w:val="20"/>
        </w:rPr>
        <w:t>población criolla, en tanto que, dada su situación de vulnerabilidad, debe adoptar acciones positivas tendientes a garantizar sus</w:t>
      </w:r>
      <w:r>
        <w:rPr>
          <w:spacing w:val="-17"/>
          <w:sz w:val="20"/>
        </w:rPr>
        <w:t> </w:t>
      </w:r>
      <w:r>
        <w:rPr>
          <w:sz w:val="20"/>
        </w:rPr>
        <w:t>derechos.</w:t>
      </w:r>
    </w:p>
    <w:p>
      <w:pPr>
        <w:pStyle w:val="BodyText"/>
        <w:spacing w:before="1"/>
      </w:pPr>
    </w:p>
    <w:p>
      <w:pPr>
        <w:pStyle w:val="ListParagraph"/>
        <w:numPr>
          <w:ilvl w:val="0"/>
          <w:numId w:val="21"/>
        </w:numPr>
        <w:tabs>
          <w:tab w:pos="810" w:val="left" w:leader="none"/>
        </w:tabs>
        <w:spacing w:line="240" w:lineRule="auto" w:before="0" w:after="0"/>
        <w:ind w:left="102" w:right="108" w:firstLine="0"/>
        <w:jc w:val="both"/>
        <w:rPr>
          <w:sz w:val="20"/>
        </w:rPr>
      </w:pPr>
      <w:r>
        <w:rPr>
          <w:sz w:val="20"/>
        </w:rPr>
        <w:t>Ahora bien, como ya se ha dicho, no está en duda la propiedad de las comunidades indígenas sobre 400.000 ha de los lotes 14 y 55. El Estado, a fin de garantizar ese derecho, ha debido concretar el deslinde de la propiedad indígena, así como</w:t>
      </w:r>
      <w:r>
        <w:rPr>
          <w:spacing w:val="-17"/>
          <w:sz w:val="20"/>
        </w:rPr>
        <w:t> </w:t>
      </w:r>
      <w:r>
        <w:rPr>
          <w:sz w:val="20"/>
        </w:rPr>
        <w:t>adoptar</w:t>
      </w:r>
      <w:r>
        <w:rPr>
          <w:spacing w:val="-15"/>
          <w:sz w:val="20"/>
        </w:rPr>
        <w:t> </w:t>
      </w:r>
      <w:r>
        <w:rPr>
          <w:sz w:val="20"/>
        </w:rPr>
        <w:t>acciones</w:t>
      </w:r>
      <w:r>
        <w:rPr>
          <w:spacing w:val="-14"/>
          <w:sz w:val="20"/>
        </w:rPr>
        <w:t> </w:t>
      </w:r>
      <w:r>
        <w:rPr>
          <w:sz w:val="20"/>
        </w:rPr>
        <w:t>para</w:t>
      </w:r>
      <w:r>
        <w:rPr>
          <w:spacing w:val="-13"/>
          <w:sz w:val="20"/>
        </w:rPr>
        <w:t> </w:t>
      </w:r>
      <w:r>
        <w:rPr>
          <w:sz w:val="20"/>
        </w:rPr>
        <w:t>concretar</w:t>
      </w:r>
      <w:r>
        <w:rPr>
          <w:spacing w:val="-15"/>
          <w:sz w:val="20"/>
        </w:rPr>
        <w:t> </w:t>
      </w:r>
      <w:r>
        <w:rPr>
          <w:sz w:val="20"/>
        </w:rPr>
        <w:t>el</w:t>
      </w:r>
      <w:r>
        <w:rPr>
          <w:spacing w:val="-16"/>
          <w:sz w:val="20"/>
        </w:rPr>
        <w:t> </w:t>
      </w:r>
      <w:r>
        <w:rPr>
          <w:sz w:val="20"/>
        </w:rPr>
        <w:t>traslado</w:t>
      </w:r>
      <w:r>
        <w:rPr>
          <w:spacing w:val="-15"/>
          <w:sz w:val="20"/>
        </w:rPr>
        <w:t> </w:t>
      </w:r>
      <w:r>
        <w:rPr>
          <w:sz w:val="20"/>
        </w:rPr>
        <w:t>o</w:t>
      </w:r>
      <w:r>
        <w:rPr>
          <w:spacing w:val="-15"/>
          <w:sz w:val="20"/>
        </w:rPr>
        <w:t> </w:t>
      </w:r>
      <w:r>
        <w:rPr>
          <w:sz w:val="20"/>
        </w:rPr>
        <w:t>reubicación</w:t>
      </w:r>
      <w:r>
        <w:rPr>
          <w:spacing w:val="-16"/>
          <w:sz w:val="20"/>
        </w:rPr>
        <w:t> </w:t>
      </w:r>
      <w:r>
        <w:rPr>
          <w:sz w:val="20"/>
        </w:rPr>
        <w:t>de</w:t>
      </w:r>
      <w:r>
        <w:rPr>
          <w:spacing w:val="-15"/>
          <w:sz w:val="20"/>
        </w:rPr>
        <w:t> </w:t>
      </w:r>
      <w:r>
        <w:rPr>
          <w:sz w:val="20"/>
        </w:rPr>
        <w:t>población</w:t>
      </w:r>
      <w:r>
        <w:rPr>
          <w:spacing w:val="-14"/>
          <w:sz w:val="20"/>
        </w:rPr>
        <w:t> </w:t>
      </w:r>
      <w:r>
        <w:rPr>
          <w:sz w:val="20"/>
        </w:rPr>
        <w:t>criolla</w:t>
      </w:r>
      <w:r>
        <w:rPr>
          <w:spacing w:val="-16"/>
          <w:sz w:val="20"/>
        </w:rPr>
        <w:t> </w:t>
      </w:r>
      <w:r>
        <w:rPr>
          <w:sz w:val="20"/>
        </w:rPr>
        <w:t>fuera de</w:t>
      </w:r>
      <w:r>
        <w:rPr>
          <w:spacing w:val="-19"/>
          <w:sz w:val="20"/>
        </w:rPr>
        <w:t> </w:t>
      </w:r>
      <w:r>
        <w:rPr>
          <w:sz w:val="20"/>
        </w:rPr>
        <w:t>la</w:t>
      </w:r>
      <w:r>
        <w:rPr>
          <w:spacing w:val="-17"/>
          <w:sz w:val="20"/>
        </w:rPr>
        <w:t> </w:t>
      </w:r>
      <w:r>
        <w:rPr>
          <w:sz w:val="20"/>
        </w:rPr>
        <w:t>misma.</w:t>
      </w:r>
      <w:r>
        <w:rPr>
          <w:spacing w:val="-18"/>
          <w:sz w:val="20"/>
        </w:rPr>
        <w:t> </w:t>
      </w:r>
      <w:r>
        <w:rPr>
          <w:sz w:val="20"/>
        </w:rPr>
        <w:t>Sin</w:t>
      </w:r>
      <w:r>
        <w:rPr>
          <w:spacing w:val="-17"/>
          <w:sz w:val="20"/>
        </w:rPr>
        <w:t> </w:t>
      </w:r>
      <w:r>
        <w:rPr>
          <w:sz w:val="20"/>
        </w:rPr>
        <w:t>perjuicio</w:t>
      </w:r>
      <w:r>
        <w:rPr>
          <w:spacing w:val="-19"/>
          <w:sz w:val="20"/>
        </w:rPr>
        <w:t> </w:t>
      </w:r>
      <w:r>
        <w:rPr>
          <w:sz w:val="20"/>
        </w:rPr>
        <w:t>de</w:t>
      </w:r>
      <w:r>
        <w:rPr>
          <w:spacing w:val="-16"/>
          <w:sz w:val="20"/>
        </w:rPr>
        <w:t> </w:t>
      </w:r>
      <w:r>
        <w:rPr>
          <w:sz w:val="20"/>
        </w:rPr>
        <w:t>ello,</w:t>
      </w:r>
      <w:r>
        <w:rPr>
          <w:spacing w:val="-18"/>
          <w:sz w:val="20"/>
        </w:rPr>
        <w:t> </w:t>
      </w:r>
      <w:r>
        <w:rPr>
          <w:sz w:val="20"/>
        </w:rPr>
        <w:t>no</w:t>
      </w:r>
      <w:r>
        <w:rPr>
          <w:spacing w:val="-19"/>
          <w:sz w:val="20"/>
        </w:rPr>
        <w:t> </w:t>
      </w:r>
      <w:r>
        <w:rPr>
          <w:sz w:val="20"/>
        </w:rPr>
        <w:t>puede</w:t>
      </w:r>
      <w:r>
        <w:rPr>
          <w:spacing w:val="-19"/>
          <w:sz w:val="20"/>
        </w:rPr>
        <w:t> </w:t>
      </w:r>
      <w:r>
        <w:rPr>
          <w:sz w:val="20"/>
        </w:rPr>
        <w:t>hacerse</w:t>
      </w:r>
      <w:r>
        <w:rPr>
          <w:spacing w:val="-19"/>
          <w:sz w:val="20"/>
        </w:rPr>
        <w:t> </w:t>
      </w:r>
      <w:r>
        <w:rPr>
          <w:sz w:val="20"/>
        </w:rPr>
        <w:t>caso</w:t>
      </w:r>
      <w:r>
        <w:rPr>
          <w:spacing w:val="-17"/>
          <w:sz w:val="20"/>
        </w:rPr>
        <w:t> </w:t>
      </w:r>
      <w:r>
        <w:rPr>
          <w:sz w:val="20"/>
        </w:rPr>
        <w:t>omiso</w:t>
      </w:r>
      <w:r>
        <w:rPr>
          <w:spacing w:val="-19"/>
          <w:sz w:val="20"/>
        </w:rPr>
        <w:t> </w:t>
      </w:r>
      <w:r>
        <w:rPr>
          <w:sz w:val="20"/>
        </w:rPr>
        <w:t>al</w:t>
      </w:r>
      <w:r>
        <w:rPr>
          <w:spacing w:val="-17"/>
          <w:sz w:val="20"/>
        </w:rPr>
        <w:t> </w:t>
      </w:r>
      <w:r>
        <w:rPr>
          <w:sz w:val="20"/>
        </w:rPr>
        <w:t>modo</w:t>
      </w:r>
      <w:r>
        <w:rPr>
          <w:spacing w:val="-16"/>
          <w:sz w:val="20"/>
        </w:rPr>
        <w:t> </w:t>
      </w:r>
      <w:r>
        <w:rPr>
          <w:sz w:val="20"/>
        </w:rPr>
        <w:t>en</w:t>
      </w:r>
      <w:r>
        <w:rPr>
          <w:spacing w:val="-17"/>
          <w:sz w:val="20"/>
        </w:rPr>
        <w:t> </w:t>
      </w:r>
      <w:r>
        <w:rPr>
          <w:sz w:val="20"/>
        </w:rPr>
        <w:t>que</w:t>
      </w:r>
      <w:r>
        <w:rPr>
          <w:spacing w:val="-19"/>
          <w:sz w:val="20"/>
        </w:rPr>
        <w:t> </w:t>
      </w:r>
      <w:r>
        <w:rPr>
          <w:sz w:val="20"/>
        </w:rPr>
        <w:t>el</w:t>
      </w:r>
      <w:r>
        <w:rPr>
          <w:spacing w:val="-17"/>
          <w:sz w:val="20"/>
        </w:rPr>
        <w:t> </w:t>
      </w:r>
      <w:r>
        <w:rPr>
          <w:sz w:val="20"/>
        </w:rPr>
        <w:t>Estado tiene que cumplir con su obligación. En ese sentido, Argentina debe actuar observando los derechos de la población criolla (</w:t>
      </w:r>
      <w:r>
        <w:rPr>
          <w:i/>
          <w:sz w:val="20"/>
        </w:rPr>
        <w:t>infra</w:t>
      </w:r>
      <w:r>
        <w:rPr>
          <w:sz w:val="20"/>
        </w:rPr>
        <w:t>, párr. 329 d), y nota a pie de página</w:t>
      </w:r>
      <w:r>
        <w:rPr>
          <w:spacing w:val="-28"/>
          <w:sz w:val="20"/>
        </w:rPr>
        <w:t> </w:t>
      </w:r>
      <w:r>
        <w:rPr>
          <w:sz w:val="20"/>
        </w:rPr>
        <w:t>323).</w:t>
      </w:r>
    </w:p>
    <w:p>
      <w:pPr>
        <w:pStyle w:val="BodyText"/>
      </w:pPr>
    </w:p>
    <w:p>
      <w:pPr>
        <w:pStyle w:val="ListParagraph"/>
        <w:numPr>
          <w:ilvl w:val="0"/>
          <w:numId w:val="21"/>
        </w:numPr>
        <w:tabs>
          <w:tab w:pos="810" w:val="left" w:leader="none"/>
        </w:tabs>
        <w:spacing w:line="240" w:lineRule="auto" w:before="0" w:after="0"/>
        <w:ind w:left="102" w:right="109" w:firstLine="0"/>
        <w:jc w:val="both"/>
        <w:rPr>
          <w:sz w:val="20"/>
        </w:rPr>
      </w:pPr>
      <w:r>
        <w:rPr>
          <w:sz w:val="20"/>
        </w:rPr>
        <w:t>Lo</w:t>
      </w:r>
      <w:r>
        <w:rPr>
          <w:spacing w:val="-15"/>
          <w:sz w:val="20"/>
        </w:rPr>
        <w:t> </w:t>
      </w:r>
      <w:r>
        <w:rPr>
          <w:sz w:val="20"/>
        </w:rPr>
        <w:t>anterior</w:t>
      </w:r>
      <w:r>
        <w:rPr>
          <w:spacing w:val="-14"/>
          <w:sz w:val="20"/>
        </w:rPr>
        <w:t> </w:t>
      </w:r>
      <w:r>
        <w:rPr>
          <w:sz w:val="20"/>
        </w:rPr>
        <w:t>es</w:t>
      </w:r>
      <w:r>
        <w:rPr>
          <w:spacing w:val="-12"/>
          <w:sz w:val="20"/>
        </w:rPr>
        <w:t> </w:t>
      </w:r>
      <w:r>
        <w:rPr>
          <w:sz w:val="20"/>
        </w:rPr>
        <w:t>relevante,</w:t>
      </w:r>
      <w:r>
        <w:rPr>
          <w:spacing w:val="-15"/>
          <w:sz w:val="20"/>
        </w:rPr>
        <w:t> </w:t>
      </w:r>
      <w:r>
        <w:rPr>
          <w:sz w:val="20"/>
        </w:rPr>
        <w:t>pues</w:t>
      </w:r>
      <w:r>
        <w:rPr>
          <w:spacing w:val="-12"/>
          <w:sz w:val="20"/>
        </w:rPr>
        <w:t> </w:t>
      </w:r>
      <w:r>
        <w:rPr>
          <w:sz w:val="20"/>
        </w:rPr>
        <w:t>es</w:t>
      </w:r>
      <w:r>
        <w:rPr>
          <w:spacing w:val="-15"/>
          <w:sz w:val="20"/>
        </w:rPr>
        <w:t> </w:t>
      </w:r>
      <w:r>
        <w:rPr>
          <w:sz w:val="20"/>
        </w:rPr>
        <w:t>un</w:t>
      </w:r>
      <w:r>
        <w:rPr>
          <w:spacing w:val="-15"/>
          <w:sz w:val="20"/>
        </w:rPr>
        <w:t> </w:t>
      </w:r>
      <w:r>
        <w:rPr>
          <w:sz w:val="20"/>
        </w:rPr>
        <w:t>dato</w:t>
      </w:r>
      <w:r>
        <w:rPr>
          <w:spacing w:val="-17"/>
          <w:sz w:val="20"/>
        </w:rPr>
        <w:t> </w:t>
      </w:r>
      <w:r>
        <w:rPr>
          <w:sz w:val="20"/>
        </w:rPr>
        <w:t>necesario</w:t>
      </w:r>
      <w:r>
        <w:rPr>
          <w:spacing w:val="-15"/>
          <w:sz w:val="20"/>
        </w:rPr>
        <w:t> </w:t>
      </w:r>
      <w:r>
        <w:rPr>
          <w:sz w:val="20"/>
        </w:rPr>
        <w:t>para</w:t>
      </w:r>
      <w:r>
        <w:rPr>
          <w:spacing w:val="-11"/>
          <w:sz w:val="20"/>
        </w:rPr>
        <w:t> </w:t>
      </w:r>
      <w:r>
        <w:rPr>
          <w:sz w:val="20"/>
        </w:rPr>
        <w:t>evaluar</w:t>
      </w:r>
      <w:r>
        <w:rPr>
          <w:spacing w:val="-12"/>
          <w:sz w:val="20"/>
        </w:rPr>
        <w:t> </w:t>
      </w:r>
      <w:r>
        <w:rPr>
          <w:sz w:val="20"/>
        </w:rPr>
        <w:t>el</w:t>
      </w:r>
      <w:r>
        <w:rPr>
          <w:spacing w:val="-16"/>
          <w:sz w:val="20"/>
        </w:rPr>
        <w:t> </w:t>
      </w:r>
      <w:r>
        <w:rPr>
          <w:sz w:val="20"/>
        </w:rPr>
        <w:t>procedimiento seguido.</w:t>
      </w:r>
      <w:r>
        <w:rPr>
          <w:spacing w:val="-14"/>
          <w:sz w:val="20"/>
        </w:rPr>
        <w:t> </w:t>
      </w:r>
      <w:r>
        <w:rPr>
          <w:sz w:val="20"/>
        </w:rPr>
        <w:t>El</w:t>
      </w:r>
      <w:r>
        <w:rPr>
          <w:spacing w:val="-14"/>
          <w:sz w:val="20"/>
        </w:rPr>
        <w:t> </w:t>
      </w:r>
      <w:r>
        <w:rPr>
          <w:sz w:val="20"/>
        </w:rPr>
        <w:t>mismo,</w:t>
      </w:r>
      <w:r>
        <w:rPr>
          <w:spacing w:val="-14"/>
          <w:sz w:val="20"/>
        </w:rPr>
        <w:t> </w:t>
      </w:r>
      <w:r>
        <w:rPr>
          <w:sz w:val="20"/>
        </w:rPr>
        <w:t>dada</w:t>
      </w:r>
      <w:r>
        <w:rPr>
          <w:spacing w:val="-11"/>
          <w:sz w:val="20"/>
        </w:rPr>
        <w:t> </w:t>
      </w:r>
      <w:r>
        <w:rPr>
          <w:sz w:val="20"/>
        </w:rPr>
        <w:t>la</w:t>
      </w:r>
      <w:r>
        <w:rPr>
          <w:spacing w:val="-13"/>
          <w:sz w:val="20"/>
        </w:rPr>
        <w:t> </w:t>
      </w:r>
      <w:r>
        <w:rPr>
          <w:sz w:val="20"/>
        </w:rPr>
        <w:t>extensión</w:t>
      </w:r>
      <w:r>
        <w:rPr>
          <w:spacing w:val="-13"/>
          <w:sz w:val="20"/>
        </w:rPr>
        <w:t> </w:t>
      </w:r>
      <w:r>
        <w:rPr>
          <w:sz w:val="20"/>
        </w:rPr>
        <w:t>de</w:t>
      </w:r>
      <w:r>
        <w:rPr>
          <w:spacing w:val="-15"/>
          <w:sz w:val="20"/>
        </w:rPr>
        <w:t> </w:t>
      </w:r>
      <w:r>
        <w:rPr>
          <w:sz w:val="20"/>
        </w:rPr>
        <w:t>la</w:t>
      </w:r>
      <w:r>
        <w:rPr>
          <w:spacing w:val="-13"/>
          <w:sz w:val="20"/>
        </w:rPr>
        <w:t> </w:t>
      </w:r>
      <w:r>
        <w:rPr>
          <w:sz w:val="20"/>
        </w:rPr>
        <w:t>tierra</w:t>
      </w:r>
      <w:r>
        <w:rPr>
          <w:spacing w:val="-11"/>
          <w:sz w:val="20"/>
        </w:rPr>
        <w:t> </w:t>
      </w:r>
      <w:r>
        <w:rPr>
          <w:sz w:val="20"/>
        </w:rPr>
        <w:t>y</w:t>
      </w:r>
      <w:r>
        <w:rPr>
          <w:spacing w:val="-14"/>
          <w:sz w:val="20"/>
        </w:rPr>
        <w:t> </w:t>
      </w:r>
      <w:r>
        <w:rPr>
          <w:sz w:val="20"/>
        </w:rPr>
        <w:t>la</w:t>
      </w:r>
      <w:r>
        <w:rPr>
          <w:spacing w:val="-13"/>
          <w:sz w:val="20"/>
        </w:rPr>
        <w:t> </w:t>
      </w:r>
      <w:r>
        <w:rPr>
          <w:sz w:val="20"/>
        </w:rPr>
        <w:t>cantidad</w:t>
      </w:r>
      <w:r>
        <w:rPr>
          <w:spacing w:val="-13"/>
          <w:sz w:val="20"/>
        </w:rPr>
        <w:t> </w:t>
      </w:r>
      <w:r>
        <w:rPr>
          <w:sz w:val="20"/>
        </w:rPr>
        <w:t>de</w:t>
      </w:r>
      <w:r>
        <w:rPr>
          <w:spacing w:val="-15"/>
          <w:sz w:val="20"/>
        </w:rPr>
        <w:t> </w:t>
      </w:r>
      <w:r>
        <w:rPr>
          <w:sz w:val="20"/>
        </w:rPr>
        <w:t>personas</w:t>
      </w:r>
      <w:r>
        <w:rPr>
          <w:spacing w:val="-14"/>
          <w:sz w:val="20"/>
        </w:rPr>
        <w:t> </w:t>
      </w:r>
      <w:r>
        <w:rPr>
          <w:sz w:val="20"/>
        </w:rPr>
        <w:t>involucradas, con sus distintas características y problemáticas, resulta evidentemente complejo. La Corte</w:t>
      </w:r>
      <w:r>
        <w:rPr>
          <w:spacing w:val="-12"/>
          <w:sz w:val="20"/>
        </w:rPr>
        <w:t> </w:t>
      </w:r>
      <w:r>
        <w:rPr>
          <w:sz w:val="20"/>
        </w:rPr>
        <w:t>destaca</w:t>
      </w:r>
      <w:r>
        <w:rPr>
          <w:spacing w:val="-8"/>
          <w:sz w:val="20"/>
        </w:rPr>
        <w:t> </w:t>
      </w:r>
      <w:r>
        <w:rPr>
          <w:sz w:val="20"/>
        </w:rPr>
        <w:t>y</w:t>
      </w:r>
      <w:r>
        <w:rPr>
          <w:spacing w:val="-8"/>
          <w:sz w:val="20"/>
        </w:rPr>
        <w:t> </w:t>
      </w:r>
      <w:r>
        <w:rPr>
          <w:sz w:val="20"/>
        </w:rPr>
        <w:t>valora</w:t>
      </w:r>
      <w:r>
        <w:rPr>
          <w:spacing w:val="-10"/>
          <w:sz w:val="20"/>
        </w:rPr>
        <w:t> </w:t>
      </w:r>
      <w:r>
        <w:rPr>
          <w:sz w:val="20"/>
        </w:rPr>
        <w:t>positivamente</w:t>
      </w:r>
      <w:r>
        <w:rPr>
          <w:spacing w:val="-9"/>
          <w:sz w:val="20"/>
        </w:rPr>
        <w:t> </w:t>
      </w:r>
      <w:r>
        <w:rPr>
          <w:sz w:val="20"/>
        </w:rPr>
        <w:t>el</w:t>
      </w:r>
      <w:r>
        <w:rPr>
          <w:spacing w:val="-8"/>
          <w:sz w:val="20"/>
        </w:rPr>
        <w:t> </w:t>
      </w:r>
      <w:r>
        <w:rPr>
          <w:sz w:val="20"/>
        </w:rPr>
        <w:t>proceso</w:t>
      </w:r>
      <w:r>
        <w:rPr>
          <w:spacing w:val="-9"/>
          <w:sz w:val="20"/>
        </w:rPr>
        <w:t> </w:t>
      </w:r>
      <w:r>
        <w:rPr>
          <w:sz w:val="20"/>
        </w:rPr>
        <w:t>de</w:t>
      </w:r>
      <w:r>
        <w:rPr>
          <w:spacing w:val="-12"/>
          <w:sz w:val="20"/>
        </w:rPr>
        <w:t> </w:t>
      </w:r>
      <w:r>
        <w:rPr>
          <w:sz w:val="20"/>
        </w:rPr>
        <w:t>diálogo</w:t>
      </w:r>
      <w:r>
        <w:rPr>
          <w:spacing w:val="-9"/>
          <w:sz w:val="20"/>
        </w:rPr>
        <w:t> </w:t>
      </w:r>
      <w:r>
        <w:rPr>
          <w:sz w:val="20"/>
        </w:rPr>
        <w:t>que</w:t>
      </w:r>
      <w:r>
        <w:rPr>
          <w:spacing w:val="-9"/>
          <w:sz w:val="20"/>
        </w:rPr>
        <w:t> </w:t>
      </w:r>
      <w:r>
        <w:rPr>
          <w:sz w:val="20"/>
        </w:rPr>
        <w:t>se</w:t>
      </w:r>
      <w:r>
        <w:rPr>
          <w:spacing w:val="-12"/>
          <w:sz w:val="20"/>
        </w:rPr>
        <w:t> </w:t>
      </w:r>
      <w:r>
        <w:rPr>
          <w:sz w:val="20"/>
        </w:rPr>
        <w:t>ha</w:t>
      </w:r>
      <w:r>
        <w:rPr>
          <w:spacing w:val="-8"/>
          <w:sz w:val="20"/>
        </w:rPr>
        <w:t> </w:t>
      </w:r>
      <w:r>
        <w:rPr>
          <w:sz w:val="20"/>
        </w:rPr>
        <w:t>seguido</w:t>
      </w:r>
      <w:r>
        <w:rPr>
          <w:spacing w:val="-11"/>
          <w:sz w:val="20"/>
        </w:rPr>
        <w:t> </w:t>
      </w:r>
      <w:r>
        <w:rPr>
          <w:sz w:val="20"/>
        </w:rPr>
        <w:t>en</w:t>
      </w:r>
      <w:r>
        <w:rPr>
          <w:spacing w:val="-7"/>
          <w:sz w:val="20"/>
        </w:rPr>
        <w:t> </w:t>
      </w:r>
      <w:r>
        <w:rPr>
          <w:sz w:val="20"/>
        </w:rPr>
        <w:t>el</w:t>
      </w:r>
      <w:r>
        <w:rPr>
          <w:spacing w:val="-8"/>
          <w:sz w:val="20"/>
        </w:rPr>
        <w:t> </w:t>
      </w:r>
      <w:r>
        <w:rPr>
          <w:sz w:val="20"/>
        </w:rPr>
        <w:t>caso con intervención del Estado, pobladores criollos y comunidades indígenas. Ello, por cuanto entiende que un procedimiento de tales características tiene la potencialidad de permitir</w:t>
      </w:r>
      <w:r>
        <w:rPr>
          <w:spacing w:val="-15"/>
          <w:sz w:val="20"/>
        </w:rPr>
        <w:t> </w:t>
      </w:r>
      <w:r>
        <w:rPr>
          <w:sz w:val="20"/>
        </w:rPr>
        <w:t>al</w:t>
      </w:r>
      <w:r>
        <w:rPr>
          <w:spacing w:val="-16"/>
          <w:sz w:val="20"/>
        </w:rPr>
        <w:t> </w:t>
      </w:r>
      <w:r>
        <w:rPr>
          <w:sz w:val="20"/>
        </w:rPr>
        <w:t>Estado</w:t>
      </w:r>
      <w:r>
        <w:rPr>
          <w:spacing w:val="-15"/>
          <w:sz w:val="20"/>
        </w:rPr>
        <w:t> </w:t>
      </w:r>
      <w:r>
        <w:rPr>
          <w:sz w:val="20"/>
        </w:rPr>
        <w:t>cumplir</w:t>
      </w:r>
      <w:r>
        <w:rPr>
          <w:spacing w:val="-17"/>
          <w:sz w:val="20"/>
        </w:rPr>
        <w:t> </w:t>
      </w:r>
      <w:r>
        <w:rPr>
          <w:sz w:val="20"/>
        </w:rPr>
        <w:t>sus</w:t>
      </w:r>
      <w:r>
        <w:rPr>
          <w:spacing w:val="-14"/>
          <w:sz w:val="20"/>
        </w:rPr>
        <w:t> </w:t>
      </w:r>
      <w:r>
        <w:rPr>
          <w:sz w:val="20"/>
        </w:rPr>
        <w:t>diversas</w:t>
      </w:r>
      <w:r>
        <w:rPr>
          <w:spacing w:val="-15"/>
          <w:sz w:val="20"/>
        </w:rPr>
        <w:t> </w:t>
      </w:r>
      <w:r>
        <w:rPr>
          <w:sz w:val="20"/>
        </w:rPr>
        <w:t>obligaciones</w:t>
      </w:r>
      <w:r>
        <w:rPr>
          <w:spacing w:val="-14"/>
          <w:sz w:val="20"/>
        </w:rPr>
        <w:t> </w:t>
      </w:r>
      <w:r>
        <w:rPr>
          <w:sz w:val="20"/>
        </w:rPr>
        <w:t>y</w:t>
      </w:r>
      <w:r>
        <w:rPr>
          <w:spacing w:val="-14"/>
          <w:sz w:val="20"/>
        </w:rPr>
        <w:t> </w:t>
      </w:r>
      <w:r>
        <w:rPr>
          <w:sz w:val="20"/>
        </w:rPr>
        <w:t>satisfacer</w:t>
      </w:r>
      <w:r>
        <w:rPr>
          <w:spacing w:val="-17"/>
          <w:sz w:val="20"/>
        </w:rPr>
        <w:t> </w:t>
      </w:r>
      <w:r>
        <w:rPr>
          <w:sz w:val="20"/>
        </w:rPr>
        <w:t>los</w:t>
      </w:r>
      <w:r>
        <w:rPr>
          <w:spacing w:val="-15"/>
          <w:sz w:val="20"/>
        </w:rPr>
        <w:t> </w:t>
      </w:r>
      <w:r>
        <w:rPr>
          <w:sz w:val="20"/>
        </w:rPr>
        <w:t>derechos</w:t>
      </w:r>
      <w:r>
        <w:rPr>
          <w:spacing w:val="-15"/>
          <w:sz w:val="20"/>
        </w:rPr>
        <w:t> </w:t>
      </w:r>
      <w:r>
        <w:rPr>
          <w:sz w:val="20"/>
        </w:rPr>
        <w:t>implicados.</w:t>
      </w:r>
    </w:p>
    <w:p>
      <w:pPr>
        <w:pStyle w:val="BodyText"/>
      </w:pPr>
    </w:p>
    <w:p>
      <w:pPr>
        <w:pStyle w:val="ListParagraph"/>
        <w:numPr>
          <w:ilvl w:val="4"/>
          <w:numId w:val="25"/>
        </w:numPr>
        <w:tabs>
          <w:tab w:pos="2527" w:val="left" w:leader="none"/>
        </w:tabs>
        <w:spacing w:line="240" w:lineRule="auto" w:before="0" w:after="0"/>
        <w:ind w:left="2526" w:right="0" w:hanging="1006"/>
        <w:jc w:val="left"/>
        <w:rPr>
          <w:sz w:val="20"/>
        </w:rPr>
      </w:pPr>
      <w:bookmarkStart w:name="_bookmark46" w:id="77"/>
      <w:bookmarkEnd w:id="77"/>
      <w:r>
        <w:rPr/>
      </w:r>
      <w:bookmarkStart w:name="_bookmark46" w:id="78"/>
      <w:bookmarkEnd w:id="78"/>
      <w:r>
        <w:rPr>
          <w:sz w:val="20"/>
        </w:rPr>
        <w:t>El</w:t>
      </w:r>
      <w:r>
        <w:rPr>
          <w:sz w:val="20"/>
        </w:rPr>
        <w:t> proceso seguido en el</w:t>
      </w:r>
      <w:r>
        <w:rPr>
          <w:spacing w:val="-14"/>
          <w:sz w:val="20"/>
        </w:rPr>
        <w:t> </w:t>
      </w:r>
      <w:r>
        <w:rPr>
          <w:sz w:val="20"/>
        </w:rPr>
        <w:t>caso</w:t>
      </w:r>
    </w:p>
    <w:p>
      <w:pPr>
        <w:pStyle w:val="BodyText"/>
      </w:pPr>
    </w:p>
    <w:p>
      <w:pPr>
        <w:pStyle w:val="ListParagraph"/>
        <w:numPr>
          <w:ilvl w:val="0"/>
          <w:numId w:val="21"/>
        </w:numPr>
        <w:tabs>
          <w:tab w:pos="810" w:val="left" w:leader="none"/>
        </w:tabs>
        <w:spacing w:line="240" w:lineRule="auto" w:before="0" w:after="0"/>
        <w:ind w:left="102" w:right="105" w:firstLine="0"/>
        <w:jc w:val="both"/>
        <w:rPr>
          <w:sz w:val="20"/>
        </w:rPr>
      </w:pPr>
      <w:r>
        <w:rPr>
          <w:sz w:val="20"/>
        </w:rPr>
        <w:t>En el curso del proceso aducido, que no ha concluido, sucedieron diversas circunstancias.</w:t>
      </w:r>
      <w:r>
        <w:rPr>
          <w:spacing w:val="-16"/>
          <w:sz w:val="20"/>
        </w:rPr>
        <w:t> </w:t>
      </w:r>
      <w:r>
        <w:rPr>
          <w:sz w:val="20"/>
        </w:rPr>
        <w:t>Entre</w:t>
      </w:r>
      <w:r>
        <w:rPr>
          <w:spacing w:val="-14"/>
          <w:sz w:val="20"/>
        </w:rPr>
        <w:t> </w:t>
      </w:r>
      <w:r>
        <w:rPr>
          <w:sz w:val="20"/>
        </w:rPr>
        <w:t>ellas,</w:t>
      </w:r>
      <w:r>
        <w:rPr>
          <w:spacing w:val="-16"/>
          <w:sz w:val="20"/>
        </w:rPr>
        <w:t> </w:t>
      </w:r>
      <w:r>
        <w:rPr>
          <w:sz w:val="20"/>
        </w:rPr>
        <w:t>ocurrieron</w:t>
      </w:r>
      <w:r>
        <w:rPr>
          <w:spacing w:val="-14"/>
          <w:sz w:val="20"/>
        </w:rPr>
        <w:t> </w:t>
      </w:r>
      <w:r>
        <w:rPr>
          <w:sz w:val="20"/>
        </w:rPr>
        <w:t>las</w:t>
      </w:r>
      <w:r>
        <w:rPr>
          <w:spacing w:val="-16"/>
          <w:sz w:val="20"/>
        </w:rPr>
        <w:t> </w:t>
      </w:r>
      <w:r>
        <w:rPr>
          <w:sz w:val="20"/>
        </w:rPr>
        <w:t>que</w:t>
      </w:r>
      <w:r>
        <w:rPr>
          <w:spacing w:val="-14"/>
          <w:sz w:val="20"/>
        </w:rPr>
        <w:t> </w:t>
      </w:r>
      <w:r>
        <w:rPr>
          <w:sz w:val="20"/>
        </w:rPr>
        <w:t>siguen.</w:t>
      </w:r>
      <w:r>
        <w:rPr>
          <w:spacing w:val="-16"/>
          <w:sz w:val="20"/>
        </w:rPr>
        <w:t> </w:t>
      </w:r>
      <w:r>
        <w:rPr>
          <w:sz w:val="20"/>
        </w:rPr>
        <w:t>En</w:t>
      </w:r>
      <w:r>
        <w:rPr>
          <w:spacing w:val="-14"/>
          <w:sz w:val="20"/>
        </w:rPr>
        <w:t> </w:t>
      </w:r>
      <w:r>
        <w:rPr>
          <w:sz w:val="20"/>
        </w:rPr>
        <w:t>2008</w:t>
      </w:r>
      <w:r>
        <w:rPr>
          <w:spacing w:val="-14"/>
          <w:sz w:val="20"/>
        </w:rPr>
        <w:t> </w:t>
      </w:r>
      <w:r>
        <w:rPr>
          <w:sz w:val="20"/>
        </w:rPr>
        <w:t>se</w:t>
      </w:r>
      <w:r>
        <w:rPr>
          <w:spacing w:val="-15"/>
          <w:sz w:val="20"/>
        </w:rPr>
        <w:t> </w:t>
      </w:r>
      <w:r>
        <w:rPr>
          <w:sz w:val="20"/>
        </w:rPr>
        <w:t>creó</w:t>
      </w:r>
      <w:r>
        <w:rPr>
          <w:spacing w:val="-14"/>
          <w:sz w:val="20"/>
        </w:rPr>
        <w:t> </w:t>
      </w:r>
      <w:r>
        <w:rPr>
          <w:sz w:val="20"/>
        </w:rPr>
        <w:t>un</w:t>
      </w:r>
      <w:r>
        <w:rPr>
          <w:spacing w:val="-14"/>
          <w:sz w:val="20"/>
        </w:rPr>
        <w:t> </w:t>
      </w:r>
      <w:r>
        <w:rPr>
          <w:sz w:val="20"/>
        </w:rPr>
        <w:t>equipo</w:t>
      </w:r>
      <w:r>
        <w:rPr>
          <w:spacing w:val="-16"/>
          <w:sz w:val="20"/>
        </w:rPr>
        <w:t> </w:t>
      </w:r>
      <w:r>
        <w:rPr>
          <w:sz w:val="20"/>
        </w:rPr>
        <w:t>técnico, integrado por la UEP, para avanzar en la entrega de tierras. Desde antes se habían sucedido diversas reuniones, inclusive una convocada en 2009 para avanzar en definiciones</w:t>
      </w:r>
      <w:r>
        <w:rPr>
          <w:spacing w:val="-6"/>
          <w:sz w:val="20"/>
        </w:rPr>
        <w:t> </w:t>
      </w:r>
      <w:r>
        <w:rPr>
          <w:sz w:val="20"/>
        </w:rPr>
        <w:t>respecto</w:t>
      </w:r>
      <w:r>
        <w:rPr>
          <w:spacing w:val="-7"/>
          <w:sz w:val="20"/>
        </w:rPr>
        <w:t> </w:t>
      </w:r>
      <w:r>
        <w:rPr>
          <w:sz w:val="20"/>
        </w:rPr>
        <w:t>al</w:t>
      </w:r>
      <w:r>
        <w:rPr>
          <w:spacing w:val="-5"/>
          <w:sz w:val="20"/>
        </w:rPr>
        <w:t> </w:t>
      </w:r>
      <w:r>
        <w:rPr>
          <w:sz w:val="20"/>
        </w:rPr>
        <w:t>modo</w:t>
      </w:r>
      <w:r>
        <w:rPr>
          <w:spacing w:val="-9"/>
          <w:sz w:val="20"/>
        </w:rPr>
        <w:t> </w:t>
      </w:r>
      <w:r>
        <w:rPr>
          <w:sz w:val="20"/>
        </w:rPr>
        <w:t>de</w:t>
      </w:r>
      <w:r>
        <w:rPr>
          <w:spacing w:val="-7"/>
          <w:sz w:val="20"/>
        </w:rPr>
        <w:t> </w:t>
      </w:r>
      <w:r>
        <w:rPr>
          <w:sz w:val="20"/>
        </w:rPr>
        <w:t>reconocimiento</w:t>
      </w:r>
      <w:r>
        <w:rPr>
          <w:spacing w:val="-9"/>
          <w:sz w:val="20"/>
        </w:rPr>
        <w:t> </w:t>
      </w:r>
      <w:r>
        <w:rPr>
          <w:sz w:val="20"/>
        </w:rPr>
        <w:t>de</w:t>
      </w:r>
      <w:r>
        <w:rPr>
          <w:spacing w:val="-7"/>
          <w:sz w:val="20"/>
        </w:rPr>
        <w:t> </w:t>
      </w:r>
      <w:r>
        <w:rPr>
          <w:sz w:val="20"/>
        </w:rPr>
        <w:t>la</w:t>
      </w:r>
      <w:r>
        <w:rPr>
          <w:spacing w:val="-8"/>
          <w:sz w:val="20"/>
        </w:rPr>
        <w:t> </w:t>
      </w:r>
      <w:r>
        <w:rPr>
          <w:sz w:val="20"/>
        </w:rPr>
        <w:t>propiedad.</w:t>
      </w:r>
      <w:r>
        <w:rPr>
          <w:spacing w:val="-6"/>
          <w:sz w:val="20"/>
        </w:rPr>
        <w:t> </w:t>
      </w:r>
      <w:r>
        <w:rPr>
          <w:sz w:val="20"/>
        </w:rPr>
        <w:t>Ese</w:t>
      </w:r>
      <w:r>
        <w:rPr>
          <w:spacing w:val="-8"/>
          <w:sz w:val="20"/>
        </w:rPr>
        <w:t> </w:t>
      </w:r>
      <w:r>
        <w:rPr>
          <w:sz w:val="20"/>
        </w:rPr>
        <w:t>año</w:t>
      </w:r>
      <w:r>
        <w:rPr>
          <w:spacing w:val="-9"/>
          <w:sz w:val="20"/>
        </w:rPr>
        <w:t> </w:t>
      </w:r>
      <w:r>
        <w:rPr>
          <w:sz w:val="20"/>
        </w:rPr>
        <w:t>se</w:t>
      </w:r>
      <w:r>
        <w:rPr>
          <w:spacing w:val="-9"/>
          <w:sz w:val="20"/>
        </w:rPr>
        <w:t> </w:t>
      </w:r>
      <w:r>
        <w:rPr>
          <w:sz w:val="20"/>
        </w:rPr>
        <w:t>elaboró</w:t>
      </w:r>
      <w:r>
        <w:rPr>
          <w:spacing w:val="-9"/>
          <w:sz w:val="20"/>
        </w:rPr>
        <w:t> </w:t>
      </w:r>
      <w:r>
        <w:rPr>
          <w:sz w:val="20"/>
        </w:rPr>
        <w:t>un cronograma de trabajo y un listado de pobladores criollos que cumplían requisitos para acreditar la ocupación de tierras. En 2013, Salta avanzó en acuerdos con el INAI, para que esta institución nacional apoye el proceso. El mismo año el gobierno salteño dictó el Decreto 2001/13, que dispuso un “programa” para “instrumenta[r] la propiedad comunitaria”, que contemplaba un “plan de trabajo” a partir de “talleres participativos” con</w:t>
      </w:r>
      <w:r>
        <w:rPr>
          <w:spacing w:val="-9"/>
          <w:sz w:val="20"/>
        </w:rPr>
        <w:t> </w:t>
      </w:r>
      <w:r>
        <w:rPr>
          <w:sz w:val="20"/>
        </w:rPr>
        <w:t>indígenas</w:t>
      </w:r>
      <w:r>
        <w:rPr>
          <w:spacing w:val="-8"/>
          <w:sz w:val="20"/>
        </w:rPr>
        <w:t> </w:t>
      </w:r>
      <w:r>
        <w:rPr>
          <w:sz w:val="20"/>
        </w:rPr>
        <w:t>y</w:t>
      </w:r>
      <w:r>
        <w:rPr>
          <w:spacing w:val="-11"/>
          <w:sz w:val="20"/>
        </w:rPr>
        <w:t> </w:t>
      </w:r>
      <w:r>
        <w:rPr>
          <w:sz w:val="20"/>
        </w:rPr>
        <w:t>personas</w:t>
      </w:r>
      <w:r>
        <w:rPr>
          <w:spacing w:val="-11"/>
          <w:sz w:val="20"/>
        </w:rPr>
        <w:t> </w:t>
      </w:r>
      <w:r>
        <w:rPr>
          <w:sz w:val="20"/>
        </w:rPr>
        <w:t>criollas;</w:t>
      </w:r>
      <w:r>
        <w:rPr>
          <w:spacing w:val="-8"/>
          <w:sz w:val="20"/>
        </w:rPr>
        <w:t> </w:t>
      </w:r>
      <w:r>
        <w:rPr>
          <w:sz w:val="20"/>
        </w:rPr>
        <w:t>también</w:t>
      </w:r>
      <w:r>
        <w:rPr>
          <w:spacing w:val="-7"/>
          <w:sz w:val="20"/>
        </w:rPr>
        <w:t> </w:t>
      </w:r>
      <w:r>
        <w:rPr>
          <w:sz w:val="20"/>
        </w:rPr>
        <w:t>el</w:t>
      </w:r>
      <w:r>
        <w:rPr>
          <w:spacing w:val="-10"/>
          <w:sz w:val="20"/>
        </w:rPr>
        <w:t> </w:t>
      </w:r>
      <w:r>
        <w:rPr>
          <w:sz w:val="20"/>
        </w:rPr>
        <w:t>gobierno</w:t>
      </w:r>
      <w:r>
        <w:rPr>
          <w:spacing w:val="-9"/>
          <w:sz w:val="20"/>
        </w:rPr>
        <w:t> </w:t>
      </w:r>
      <w:r>
        <w:rPr>
          <w:sz w:val="20"/>
        </w:rPr>
        <w:t>acordó</w:t>
      </w:r>
      <w:r>
        <w:rPr>
          <w:spacing w:val="-11"/>
          <w:sz w:val="20"/>
        </w:rPr>
        <w:t> </w:t>
      </w:r>
      <w:r>
        <w:rPr>
          <w:sz w:val="20"/>
        </w:rPr>
        <w:t>tomar</w:t>
      </w:r>
      <w:r>
        <w:rPr>
          <w:spacing w:val="-9"/>
          <w:sz w:val="20"/>
        </w:rPr>
        <w:t> </w:t>
      </w:r>
      <w:r>
        <w:rPr>
          <w:sz w:val="20"/>
        </w:rPr>
        <w:t>como</w:t>
      </w:r>
      <w:r>
        <w:rPr>
          <w:spacing w:val="-11"/>
          <w:sz w:val="20"/>
        </w:rPr>
        <w:t> </w:t>
      </w:r>
      <w:r>
        <w:rPr>
          <w:sz w:val="20"/>
        </w:rPr>
        <w:t>base</w:t>
      </w:r>
      <w:r>
        <w:rPr>
          <w:spacing w:val="-12"/>
          <w:sz w:val="20"/>
        </w:rPr>
        <w:t> </w:t>
      </w:r>
      <w:r>
        <w:rPr>
          <w:sz w:val="20"/>
        </w:rPr>
        <w:t>para</w:t>
      </w:r>
      <w:r>
        <w:rPr>
          <w:spacing w:val="-10"/>
          <w:sz w:val="20"/>
        </w:rPr>
        <w:t> </w:t>
      </w:r>
      <w:r>
        <w:rPr>
          <w:sz w:val="20"/>
        </w:rPr>
        <w:t>los trabajos</w:t>
      </w:r>
      <w:r>
        <w:rPr>
          <w:spacing w:val="-11"/>
          <w:sz w:val="20"/>
        </w:rPr>
        <w:t> </w:t>
      </w:r>
      <w:r>
        <w:rPr>
          <w:sz w:val="20"/>
        </w:rPr>
        <w:t>un</w:t>
      </w:r>
      <w:r>
        <w:rPr>
          <w:spacing w:val="-9"/>
          <w:sz w:val="20"/>
        </w:rPr>
        <w:t> </w:t>
      </w:r>
      <w:r>
        <w:rPr>
          <w:sz w:val="20"/>
        </w:rPr>
        <w:t>mapa</w:t>
      </w:r>
      <w:r>
        <w:rPr>
          <w:spacing w:val="-8"/>
          <w:sz w:val="20"/>
        </w:rPr>
        <w:t> </w:t>
      </w:r>
      <w:r>
        <w:rPr>
          <w:sz w:val="20"/>
        </w:rPr>
        <w:t>elaborado</w:t>
      </w:r>
      <w:r>
        <w:rPr>
          <w:spacing w:val="-11"/>
          <w:sz w:val="20"/>
        </w:rPr>
        <w:t> </w:t>
      </w:r>
      <w:r>
        <w:rPr>
          <w:sz w:val="20"/>
        </w:rPr>
        <w:t>por</w:t>
      </w:r>
      <w:r>
        <w:rPr>
          <w:spacing w:val="-11"/>
          <w:sz w:val="20"/>
        </w:rPr>
        <w:t> </w:t>
      </w:r>
      <w:r>
        <w:rPr>
          <w:sz w:val="20"/>
        </w:rPr>
        <w:t>las</w:t>
      </w:r>
      <w:r>
        <w:rPr>
          <w:spacing w:val="-11"/>
          <w:sz w:val="20"/>
        </w:rPr>
        <w:t> </w:t>
      </w:r>
      <w:r>
        <w:rPr>
          <w:sz w:val="20"/>
        </w:rPr>
        <w:t>comunidades</w:t>
      </w:r>
      <w:r>
        <w:rPr>
          <w:spacing w:val="-11"/>
          <w:sz w:val="20"/>
        </w:rPr>
        <w:t> </w:t>
      </w:r>
      <w:r>
        <w:rPr>
          <w:sz w:val="20"/>
        </w:rPr>
        <w:t>indígenas.</w:t>
      </w:r>
      <w:r>
        <w:rPr>
          <w:spacing w:val="-11"/>
          <w:sz w:val="20"/>
        </w:rPr>
        <w:t> </w:t>
      </w:r>
      <w:r>
        <w:rPr>
          <w:sz w:val="20"/>
        </w:rPr>
        <w:t>En</w:t>
      </w:r>
      <w:r>
        <w:rPr>
          <w:spacing w:val="-9"/>
          <w:sz w:val="20"/>
        </w:rPr>
        <w:t> </w:t>
      </w:r>
      <w:r>
        <w:rPr>
          <w:sz w:val="20"/>
        </w:rPr>
        <w:t>2014</w:t>
      </w:r>
      <w:r>
        <w:rPr>
          <w:spacing w:val="-7"/>
          <w:sz w:val="20"/>
        </w:rPr>
        <w:t> </w:t>
      </w:r>
      <w:r>
        <w:rPr>
          <w:sz w:val="20"/>
        </w:rPr>
        <w:t>se</w:t>
      </w:r>
      <w:r>
        <w:rPr>
          <w:spacing w:val="-8"/>
          <w:sz w:val="20"/>
        </w:rPr>
        <w:t> </w:t>
      </w:r>
      <w:r>
        <w:rPr>
          <w:sz w:val="20"/>
        </w:rPr>
        <w:t>dictó</w:t>
      </w:r>
      <w:r>
        <w:rPr>
          <w:spacing w:val="-9"/>
          <w:sz w:val="20"/>
        </w:rPr>
        <w:t> </w:t>
      </w:r>
      <w:r>
        <w:rPr>
          <w:sz w:val="20"/>
        </w:rPr>
        <w:t>el</w:t>
      </w:r>
      <w:r>
        <w:rPr>
          <w:spacing w:val="-10"/>
          <w:sz w:val="20"/>
        </w:rPr>
        <w:t> </w:t>
      </w:r>
      <w:r>
        <w:rPr>
          <w:sz w:val="20"/>
        </w:rPr>
        <w:t>Decreto 1498/14, ya mencionado, así como la Resolución No. 654, que aprobó convenios para un</w:t>
      </w:r>
      <w:r>
        <w:rPr>
          <w:spacing w:val="-8"/>
          <w:sz w:val="20"/>
        </w:rPr>
        <w:t> </w:t>
      </w:r>
      <w:r>
        <w:rPr>
          <w:sz w:val="20"/>
        </w:rPr>
        <w:t>“plan</w:t>
      </w:r>
      <w:r>
        <w:rPr>
          <w:spacing w:val="-8"/>
          <w:sz w:val="20"/>
        </w:rPr>
        <w:t> </w:t>
      </w:r>
      <w:r>
        <w:rPr>
          <w:sz w:val="20"/>
        </w:rPr>
        <w:t>de</w:t>
      </w:r>
      <w:r>
        <w:rPr>
          <w:spacing w:val="-11"/>
          <w:sz w:val="20"/>
        </w:rPr>
        <w:t> </w:t>
      </w:r>
      <w:r>
        <w:rPr>
          <w:sz w:val="20"/>
        </w:rPr>
        <w:t>trabajo”,</w:t>
      </w:r>
      <w:r>
        <w:rPr>
          <w:spacing w:val="-10"/>
          <w:sz w:val="20"/>
        </w:rPr>
        <w:t> </w:t>
      </w:r>
      <w:r>
        <w:rPr>
          <w:sz w:val="20"/>
        </w:rPr>
        <w:t>y</w:t>
      </w:r>
      <w:r>
        <w:rPr>
          <w:spacing w:val="-8"/>
          <w:sz w:val="20"/>
        </w:rPr>
        <w:t> </w:t>
      </w:r>
      <w:r>
        <w:rPr>
          <w:sz w:val="20"/>
        </w:rPr>
        <w:t>a</w:t>
      </w:r>
      <w:r>
        <w:rPr>
          <w:spacing w:val="-7"/>
          <w:sz w:val="20"/>
        </w:rPr>
        <w:t> </w:t>
      </w:r>
      <w:r>
        <w:rPr>
          <w:sz w:val="20"/>
        </w:rPr>
        <w:t>mediados</w:t>
      </w:r>
      <w:r>
        <w:rPr>
          <w:spacing w:val="-10"/>
          <w:sz w:val="20"/>
        </w:rPr>
        <w:t> </w:t>
      </w:r>
      <w:r>
        <w:rPr>
          <w:sz w:val="20"/>
        </w:rPr>
        <w:t>de</w:t>
      </w:r>
      <w:r>
        <w:rPr>
          <w:spacing w:val="-11"/>
          <w:sz w:val="20"/>
        </w:rPr>
        <w:t> </w:t>
      </w:r>
      <w:r>
        <w:rPr>
          <w:sz w:val="20"/>
        </w:rPr>
        <w:t>2015</w:t>
      </w:r>
      <w:r>
        <w:rPr>
          <w:spacing w:val="-6"/>
          <w:sz w:val="20"/>
        </w:rPr>
        <w:t> </w:t>
      </w:r>
      <w:r>
        <w:rPr>
          <w:sz w:val="20"/>
        </w:rPr>
        <w:t>se</w:t>
      </w:r>
      <w:r>
        <w:rPr>
          <w:spacing w:val="-8"/>
          <w:sz w:val="20"/>
        </w:rPr>
        <w:t> </w:t>
      </w:r>
      <w:r>
        <w:rPr>
          <w:sz w:val="20"/>
        </w:rPr>
        <w:t>concretó</w:t>
      </w:r>
      <w:r>
        <w:rPr>
          <w:spacing w:val="-8"/>
          <w:sz w:val="20"/>
        </w:rPr>
        <w:t> </w:t>
      </w:r>
      <w:r>
        <w:rPr>
          <w:sz w:val="20"/>
        </w:rPr>
        <w:t>el</w:t>
      </w:r>
      <w:r>
        <w:rPr>
          <w:spacing w:val="-6"/>
          <w:sz w:val="20"/>
        </w:rPr>
        <w:t> </w:t>
      </w:r>
      <w:r>
        <w:rPr>
          <w:sz w:val="20"/>
        </w:rPr>
        <w:t>“amojonamiento”</w:t>
      </w:r>
      <w:r>
        <w:rPr>
          <w:spacing w:val="-10"/>
          <w:sz w:val="20"/>
        </w:rPr>
        <w:t> </w:t>
      </w:r>
      <w:r>
        <w:rPr>
          <w:sz w:val="20"/>
        </w:rPr>
        <w:t>de</w:t>
      </w:r>
      <w:r>
        <w:rPr>
          <w:spacing w:val="-8"/>
          <w:sz w:val="20"/>
        </w:rPr>
        <w:t> </w:t>
      </w:r>
      <w:r>
        <w:rPr>
          <w:sz w:val="20"/>
        </w:rPr>
        <w:t>parte</w:t>
      </w:r>
      <w:r>
        <w:rPr>
          <w:spacing w:val="-11"/>
          <w:sz w:val="20"/>
        </w:rPr>
        <w:t> </w:t>
      </w:r>
      <w:r>
        <w:rPr>
          <w:sz w:val="20"/>
        </w:rPr>
        <w:t>de la zona norte de los lotes 14 y</w:t>
      </w:r>
      <w:r>
        <w:rPr>
          <w:spacing w:val="-16"/>
          <w:sz w:val="20"/>
        </w:rPr>
        <w:t> </w:t>
      </w:r>
      <w:r>
        <w:rPr>
          <w:sz w:val="20"/>
        </w:rPr>
        <w:t>55.</w:t>
      </w:r>
    </w:p>
    <w:p>
      <w:pPr>
        <w:pStyle w:val="BodyText"/>
      </w:pPr>
    </w:p>
    <w:p>
      <w:pPr>
        <w:pStyle w:val="ListParagraph"/>
        <w:numPr>
          <w:ilvl w:val="0"/>
          <w:numId w:val="21"/>
        </w:numPr>
        <w:tabs>
          <w:tab w:pos="810" w:val="left" w:leader="none"/>
        </w:tabs>
        <w:spacing w:line="240" w:lineRule="auto" w:before="0" w:after="0"/>
        <w:ind w:left="102" w:right="110" w:firstLine="0"/>
        <w:jc w:val="both"/>
        <w:rPr>
          <w:sz w:val="20"/>
        </w:rPr>
      </w:pPr>
      <w:r>
        <w:rPr>
          <w:sz w:val="20"/>
        </w:rPr>
        <w:t>El proceso también ha tenido desavenencias y dificultades, de las que es útil indicar algunos ejemplos. En abril de 2009 representantes de comunidades integrantes de Lhaka Honhat cuestionaron la distribución de tierras que la UEP habría pretendido implementar, como también que la UEP no diera participación a comunidades</w:t>
      </w:r>
      <w:r>
        <w:rPr>
          <w:spacing w:val="-41"/>
          <w:sz w:val="20"/>
        </w:rPr>
        <w:t> </w:t>
      </w:r>
      <w:r>
        <w:rPr>
          <w:sz w:val="20"/>
        </w:rPr>
        <w:t>indígenas</w:t>
      </w:r>
    </w:p>
    <w:p>
      <w:pPr>
        <w:spacing w:after="0" w:line="240" w:lineRule="auto"/>
        <w:jc w:val="both"/>
        <w:rPr>
          <w:sz w:val="20"/>
        </w:rPr>
        <w:sectPr>
          <w:footerReference w:type="default" r:id="rId19"/>
          <w:pgSz w:w="12240" w:h="15840"/>
          <w:pgMar w:footer="1000" w:header="0" w:top="1340" w:bottom="1200" w:left="1600" w:right="1600"/>
        </w:sectPr>
      </w:pPr>
    </w:p>
    <w:p>
      <w:pPr>
        <w:pStyle w:val="BodyText"/>
        <w:spacing w:before="76"/>
        <w:ind w:left="122" w:right="129"/>
        <w:jc w:val="both"/>
      </w:pPr>
      <w:r>
        <w:rPr/>
        <w:t>en</w:t>
      </w:r>
      <w:r>
        <w:rPr>
          <w:spacing w:val="-8"/>
        </w:rPr>
        <w:t> </w:t>
      </w:r>
      <w:r>
        <w:rPr/>
        <w:t>la</w:t>
      </w:r>
      <w:r>
        <w:rPr>
          <w:spacing w:val="-7"/>
        </w:rPr>
        <w:t> </w:t>
      </w:r>
      <w:r>
        <w:rPr/>
        <w:t>integración</w:t>
      </w:r>
      <w:r>
        <w:rPr>
          <w:spacing w:val="-7"/>
        </w:rPr>
        <w:t> </w:t>
      </w:r>
      <w:r>
        <w:rPr/>
        <w:t>del</w:t>
      </w:r>
      <w:r>
        <w:rPr>
          <w:spacing w:val="-4"/>
        </w:rPr>
        <w:t> </w:t>
      </w:r>
      <w:r>
        <w:rPr/>
        <w:t>equipo</w:t>
      </w:r>
      <w:r>
        <w:rPr>
          <w:spacing w:val="-10"/>
        </w:rPr>
        <w:t> </w:t>
      </w:r>
      <w:r>
        <w:rPr/>
        <w:t>técnico.</w:t>
      </w:r>
      <w:r>
        <w:rPr>
          <w:spacing w:val="-9"/>
        </w:rPr>
        <w:t> </w:t>
      </w:r>
      <w:r>
        <w:rPr/>
        <w:t>En</w:t>
      </w:r>
      <w:r>
        <w:rPr>
          <w:spacing w:val="-6"/>
        </w:rPr>
        <w:t> </w:t>
      </w:r>
      <w:r>
        <w:rPr/>
        <w:t>mayo</w:t>
      </w:r>
      <w:r>
        <w:rPr>
          <w:spacing w:val="-10"/>
        </w:rPr>
        <w:t> </w:t>
      </w:r>
      <w:r>
        <w:rPr/>
        <w:t>de</w:t>
      </w:r>
      <w:r>
        <w:rPr>
          <w:spacing w:val="-8"/>
        </w:rPr>
        <w:t> </w:t>
      </w:r>
      <w:r>
        <w:rPr/>
        <w:t>ese</w:t>
      </w:r>
      <w:r>
        <w:rPr>
          <w:spacing w:val="-8"/>
        </w:rPr>
        <w:t> </w:t>
      </w:r>
      <w:r>
        <w:rPr/>
        <w:t>año</w:t>
      </w:r>
      <w:r>
        <w:rPr>
          <w:spacing w:val="-8"/>
        </w:rPr>
        <w:t> </w:t>
      </w:r>
      <w:r>
        <w:rPr/>
        <w:t>los</w:t>
      </w:r>
      <w:r>
        <w:rPr>
          <w:spacing w:val="-7"/>
        </w:rPr>
        <w:t> </w:t>
      </w:r>
      <w:r>
        <w:rPr/>
        <w:t>representantes</w:t>
      </w:r>
      <w:r>
        <w:rPr>
          <w:spacing w:val="-7"/>
        </w:rPr>
        <w:t> </w:t>
      </w:r>
      <w:r>
        <w:rPr/>
        <w:t>expresaron que el Estado intentaba efectuar una entrega de tierras “unilateral”. En 2012, luego de notificado</w:t>
      </w:r>
      <w:r>
        <w:rPr>
          <w:spacing w:val="-15"/>
        </w:rPr>
        <w:t> </w:t>
      </w:r>
      <w:r>
        <w:rPr/>
        <w:t>el</w:t>
      </w:r>
      <w:r>
        <w:rPr>
          <w:spacing w:val="-14"/>
        </w:rPr>
        <w:t> </w:t>
      </w:r>
      <w:r>
        <w:rPr/>
        <w:t>Informe</w:t>
      </w:r>
      <w:r>
        <w:rPr>
          <w:spacing w:val="-15"/>
        </w:rPr>
        <w:t> </w:t>
      </w:r>
      <w:r>
        <w:rPr/>
        <w:t>de</w:t>
      </w:r>
      <w:r>
        <w:rPr>
          <w:spacing w:val="-13"/>
        </w:rPr>
        <w:t> </w:t>
      </w:r>
      <w:r>
        <w:rPr/>
        <w:t>Fondo,</w:t>
      </w:r>
      <w:r>
        <w:rPr>
          <w:spacing w:val="-15"/>
        </w:rPr>
        <w:t> </w:t>
      </w:r>
      <w:r>
        <w:rPr/>
        <w:t>se</w:t>
      </w:r>
      <w:r>
        <w:rPr>
          <w:spacing w:val="-15"/>
        </w:rPr>
        <w:t> </w:t>
      </w:r>
      <w:r>
        <w:rPr/>
        <w:t>emitió</w:t>
      </w:r>
      <w:r>
        <w:rPr>
          <w:spacing w:val="-13"/>
        </w:rPr>
        <w:t> </w:t>
      </w:r>
      <w:r>
        <w:rPr/>
        <w:t>el</w:t>
      </w:r>
      <w:r>
        <w:rPr>
          <w:spacing w:val="-16"/>
        </w:rPr>
        <w:t> </w:t>
      </w:r>
      <w:r>
        <w:rPr/>
        <w:t>Decreto</w:t>
      </w:r>
      <w:r>
        <w:rPr>
          <w:spacing w:val="-15"/>
        </w:rPr>
        <w:t> </w:t>
      </w:r>
      <w:r>
        <w:rPr/>
        <w:t>2398/12,</w:t>
      </w:r>
      <w:r>
        <w:rPr>
          <w:spacing w:val="-17"/>
        </w:rPr>
        <w:t> </w:t>
      </w:r>
      <w:r>
        <w:rPr/>
        <w:t>que</w:t>
      </w:r>
      <w:r>
        <w:rPr>
          <w:spacing w:val="-15"/>
        </w:rPr>
        <w:t> </w:t>
      </w:r>
      <w:r>
        <w:rPr/>
        <w:t>como</w:t>
      </w:r>
      <w:r>
        <w:rPr>
          <w:spacing w:val="-13"/>
        </w:rPr>
        <w:t> </w:t>
      </w:r>
      <w:r>
        <w:rPr/>
        <w:t>se</w:t>
      </w:r>
      <w:r>
        <w:rPr>
          <w:spacing w:val="-16"/>
        </w:rPr>
        <w:t> </w:t>
      </w:r>
      <w:r>
        <w:rPr/>
        <w:t>ha</w:t>
      </w:r>
      <w:r>
        <w:rPr>
          <w:spacing w:val="-13"/>
        </w:rPr>
        <w:t> </w:t>
      </w:r>
      <w:r>
        <w:rPr/>
        <w:t>explicado, no</w:t>
      </w:r>
      <w:r>
        <w:rPr>
          <w:spacing w:val="-12"/>
        </w:rPr>
        <w:t> </w:t>
      </w:r>
      <w:r>
        <w:rPr/>
        <w:t>se</w:t>
      </w:r>
      <w:r>
        <w:rPr>
          <w:spacing w:val="-10"/>
        </w:rPr>
        <w:t> </w:t>
      </w:r>
      <w:r>
        <w:rPr/>
        <w:t>dirigía</w:t>
      </w:r>
      <w:r>
        <w:rPr>
          <w:spacing w:val="-11"/>
        </w:rPr>
        <w:t> </w:t>
      </w:r>
      <w:r>
        <w:rPr/>
        <w:t>a</w:t>
      </w:r>
      <w:r>
        <w:rPr>
          <w:spacing w:val="-7"/>
        </w:rPr>
        <w:t> </w:t>
      </w:r>
      <w:r>
        <w:rPr/>
        <w:t>establecer</w:t>
      </w:r>
      <w:r>
        <w:rPr>
          <w:spacing w:val="-12"/>
        </w:rPr>
        <w:t> </w:t>
      </w:r>
      <w:r>
        <w:rPr/>
        <w:t>un</w:t>
      </w:r>
      <w:r>
        <w:rPr>
          <w:spacing w:val="-8"/>
        </w:rPr>
        <w:t> </w:t>
      </w:r>
      <w:r>
        <w:rPr/>
        <w:t>“título</w:t>
      </w:r>
      <w:r>
        <w:rPr>
          <w:spacing w:val="-12"/>
        </w:rPr>
        <w:t> </w:t>
      </w:r>
      <w:r>
        <w:rPr/>
        <w:t>único”.</w:t>
      </w:r>
      <w:r>
        <w:rPr>
          <w:spacing w:val="-4"/>
        </w:rPr>
        <w:t> </w:t>
      </w:r>
      <w:r>
        <w:rPr/>
        <w:t>Conforme</w:t>
      </w:r>
      <w:r>
        <w:rPr>
          <w:spacing w:val="-11"/>
        </w:rPr>
        <w:t> </w:t>
      </w:r>
      <w:r>
        <w:rPr/>
        <w:t>información</w:t>
      </w:r>
      <w:r>
        <w:rPr>
          <w:spacing w:val="-10"/>
        </w:rPr>
        <w:t> </w:t>
      </w:r>
      <w:r>
        <w:rPr/>
        <w:t>de</w:t>
      </w:r>
      <w:r>
        <w:rPr>
          <w:spacing w:val="-10"/>
        </w:rPr>
        <w:t> </w:t>
      </w:r>
      <w:r>
        <w:rPr/>
        <w:t>los</w:t>
      </w:r>
      <w:r>
        <w:rPr>
          <w:spacing w:val="-10"/>
        </w:rPr>
        <w:t> </w:t>
      </w:r>
      <w:r>
        <w:rPr/>
        <w:t>representantes, en 2013 quedaba todavía un 93% de avance en procesos de acuerdos, demarcación y delimitación,</w:t>
      </w:r>
      <w:r>
        <w:rPr>
          <w:spacing w:val="-4"/>
        </w:rPr>
        <w:t> </w:t>
      </w:r>
      <w:r>
        <w:rPr/>
        <w:t>y</w:t>
      </w:r>
      <w:r>
        <w:rPr>
          <w:spacing w:val="-4"/>
        </w:rPr>
        <w:t> </w:t>
      </w:r>
      <w:r>
        <w:rPr/>
        <w:t>en</w:t>
      </w:r>
      <w:r>
        <w:rPr>
          <w:spacing w:val="-2"/>
        </w:rPr>
        <w:t> </w:t>
      </w:r>
      <w:r>
        <w:rPr/>
        <w:t>julio</w:t>
      </w:r>
      <w:r>
        <w:rPr>
          <w:spacing w:val="-4"/>
        </w:rPr>
        <w:t> </w:t>
      </w:r>
      <w:r>
        <w:rPr/>
        <w:t>de</w:t>
      </w:r>
      <w:r>
        <w:rPr>
          <w:spacing w:val="-4"/>
        </w:rPr>
        <w:t> </w:t>
      </w:r>
      <w:r>
        <w:rPr/>
        <w:t>ese</w:t>
      </w:r>
      <w:r>
        <w:rPr>
          <w:spacing w:val="-5"/>
        </w:rPr>
        <w:t> </w:t>
      </w:r>
      <w:r>
        <w:rPr/>
        <w:t>año</w:t>
      </w:r>
      <w:r>
        <w:rPr>
          <w:spacing w:val="-4"/>
        </w:rPr>
        <w:t> </w:t>
      </w:r>
      <w:r>
        <w:rPr/>
        <w:t>criollos</w:t>
      </w:r>
      <w:r>
        <w:rPr>
          <w:spacing w:val="-4"/>
        </w:rPr>
        <w:t> </w:t>
      </w:r>
      <w:r>
        <w:rPr/>
        <w:t>e</w:t>
      </w:r>
      <w:r>
        <w:rPr>
          <w:spacing w:val="-5"/>
        </w:rPr>
        <w:t> </w:t>
      </w:r>
      <w:r>
        <w:rPr/>
        <w:t>indígenas</w:t>
      </w:r>
      <w:r>
        <w:rPr>
          <w:spacing w:val="-3"/>
        </w:rPr>
        <w:t> </w:t>
      </w:r>
      <w:r>
        <w:rPr/>
        <w:t>señalaron</w:t>
      </w:r>
      <w:r>
        <w:rPr>
          <w:spacing w:val="-2"/>
        </w:rPr>
        <w:t> </w:t>
      </w:r>
      <w:r>
        <w:rPr/>
        <w:t>“inacción”</w:t>
      </w:r>
      <w:r>
        <w:rPr>
          <w:spacing w:val="-6"/>
        </w:rPr>
        <w:t> </w:t>
      </w:r>
      <w:r>
        <w:rPr/>
        <w:t>de</w:t>
      </w:r>
      <w:r>
        <w:rPr>
          <w:spacing w:val="-5"/>
        </w:rPr>
        <w:t> </w:t>
      </w:r>
      <w:r>
        <w:rPr/>
        <w:t>la</w:t>
      </w:r>
      <w:r>
        <w:rPr>
          <w:spacing w:val="-5"/>
        </w:rPr>
        <w:t> </w:t>
      </w:r>
      <w:r>
        <w:rPr/>
        <w:t>UEP.</w:t>
      </w:r>
      <w:r>
        <w:rPr>
          <w:spacing w:val="-4"/>
        </w:rPr>
        <w:t> </w:t>
      </w:r>
      <w:r>
        <w:rPr/>
        <w:t>A finales de 2013, por un proceso de reestructuración de la UEP, hubo una suspensión de trabajos</w:t>
      </w:r>
      <w:r>
        <w:rPr>
          <w:spacing w:val="-12"/>
        </w:rPr>
        <w:t> </w:t>
      </w:r>
      <w:r>
        <w:rPr/>
        <w:t>en</w:t>
      </w:r>
      <w:r>
        <w:rPr>
          <w:spacing w:val="-12"/>
        </w:rPr>
        <w:t> </w:t>
      </w:r>
      <w:r>
        <w:rPr/>
        <w:t>la</w:t>
      </w:r>
      <w:r>
        <w:rPr>
          <w:spacing w:val="-13"/>
        </w:rPr>
        <w:t> </w:t>
      </w:r>
      <w:r>
        <w:rPr/>
        <w:t>zona.</w:t>
      </w:r>
      <w:r>
        <w:rPr>
          <w:spacing w:val="-14"/>
        </w:rPr>
        <w:t> </w:t>
      </w:r>
      <w:r>
        <w:rPr/>
        <w:t>Entre</w:t>
      </w:r>
      <w:r>
        <w:rPr>
          <w:spacing w:val="-15"/>
        </w:rPr>
        <w:t> </w:t>
      </w:r>
      <w:r>
        <w:rPr/>
        <w:t>septiembre</w:t>
      </w:r>
      <w:r>
        <w:rPr>
          <w:spacing w:val="-15"/>
        </w:rPr>
        <w:t> </w:t>
      </w:r>
      <w:r>
        <w:rPr/>
        <w:t>de</w:t>
      </w:r>
      <w:r>
        <w:rPr>
          <w:spacing w:val="-15"/>
        </w:rPr>
        <w:t> </w:t>
      </w:r>
      <w:r>
        <w:rPr/>
        <w:t>2015</w:t>
      </w:r>
      <w:r>
        <w:rPr>
          <w:spacing w:val="-11"/>
        </w:rPr>
        <w:t> </w:t>
      </w:r>
      <w:r>
        <w:rPr/>
        <w:t>y</w:t>
      </w:r>
      <w:r>
        <w:rPr>
          <w:spacing w:val="-12"/>
        </w:rPr>
        <w:t> </w:t>
      </w:r>
      <w:r>
        <w:rPr/>
        <w:t>junio</w:t>
      </w:r>
      <w:r>
        <w:rPr>
          <w:spacing w:val="-15"/>
        </w:rPr>
        <w:t> </w:t>
      </w:r>
      <w:r>
        <w:rPr/>
        <w:t>del</w:t>
      </w:r>
      <w:r>
        <w:rPr>
          <w:spacing w:val="-14"/>
        </w:rPr>
        <w:t> </w:t>
      </w:r>
      <w:r>
        <w:rPr/>
        <w:t>año</w:t>
      </w:r>
      <w:r>
        <w:rPr>
          <w:spacing w:val="-15"/>
        </w:rPr>
        <w:t> </w:t>
      </w:r>
      <w:r>
        <w:rPr/>
        <w:t>siguiente,</w:t>
      </w:r>
      <w:r>
        <w:rPr>
          <w:spacing w:val="-12"/>
        </w:rPr>
        <w:t> </w:t>
      </w:r>
      <w:r>
        <w:rPr/>
        <w:t>según</w:t>
      </w:r>
      <w:r>
        <w:rPr>
          <w:spacing w:val="-13"/>
        </w:rPr>
        <w:t> </w:t>
      </w:r>
      <w:r>
        <w:rPr/>
        <w:t>indicaron los representantes, hubo problemas presupuestarios para avanzar en</w:t>
      </w:r>
      <w:r>
        <w:rPr>
          <w:spacing w:val="-30"/>
        </w:rPr>
        <w:t> </w:t>
      </w:r>
      <w:r>
        <w:rPr/>
        <w:t>traslados.</w:t>
      </w:r>
    </w:p>
    <w:p>
      <w:pPr>
        <w:pStyle w:val="BodyText"/>
        <w:spacing w:before="10"/>
        <w:rPr>
          <w:sz w:val="19"/>
        </w:rPr>
      </w:pPr>
    </w:p>
    <w:p>
      <w:pPr>
        <w:pStyle w:val="ListParagraph"/>
        <w:numPr>
          <w:ilvl w:val="0"/>
          <w:numId w:val="21"/>
        </w:numPr>
        <w:tabs>
          <w:tab w:pos="830" w:val="left" w:leader="none"/>
        </w:tabs>
        <w:spacing w:line="240" w:lineRule="auto" w:before="0" w:after="0"/>
        <w:ind w:left="122" w:right="133" w:firstLine="0"/>
        <w:jc w:val="both"/>
        <w:rPr>
          <w:sz w:val="20"/>
        </w:rPr>
      </w:pPr>
      <w:r>
        <w:rPr>
          <w:sz w:val="20"/>
        </w:rPr>
        <w:t>Los representantes han descrito la metodología que se sigue actualmente, a través de la labor de la UEP, refiriendo los pasos del procedimiento del siguiente</w:t>
      </w:r>
      <w:r>
        <w:rPr>
          <w:spacing w:val="-37"/>
          <w:sz w:val="20"/>
        </w:rPr>
        <w:t> </w:t>
      </w:r>
      <w:r>
        <w:rPr>
          <w:sz w:val="20"/>
        </w:rPr>
        <w:t>modo:</w:t>
      </w:r>
    </w:p>
    <w:p>
      <w:pPr>
        <w:pStyle w:val="BodyText"/>
        <w:spacing w:line="237" w:lineRule="auto" w:before="3"/>
        <w:ind w:left="122" w:right="135"/>
        <w:jc w:val="both"/>
      </w:pPr>
      <w:r>
        <w:rPr/>
        <w:t>1) acuerdos (entre indígenas y criollos), croquis y protocolización; 2) trabajo de agrimensura; 3) titulación; 4) relocalización de familia y ganado (y “en paralelo” la realización de “las obras de infraestructura necesarias para tal efecto”)</w:t>
      </w:r>
      <w:r>
        <w:rPr>
          <w:rFonts w:ascii="Calibri" w:hAnsi="Calibri"/>
          <w:position w:val="8"/>
          <w:sz w:val="14"/>
        </w:rPr>
        <w:t>139</w:t>
      </w:r>
      <w:r>
        <w:rPr/>
        <w:t>.</w:t>
      </w:r>
    </w:p>
    <w:p>
      <w:pPr>
        <w:pStyle w:val="BodyText"/>
        <w:spacing w:before="6"/>
        <w:rPr>
          <w:sz w:val="21"/>
        </w:rPr>
      </w:pPr>
    </w:p>
    <w:p>
      <w:pPr>
        <w:pStyle w:val="ListParagraph"/>
        <w:numPr>
          <w:ilvl w:val="0"/>
          <w:numId w:val="21"/>
        </w:numPr>
        <w:tabs>
          <w:tab w:pos="830" w:val="left" w:leader="none"/>
        </w:tabs>
        <w:spacing w:line="242" w:lineRule="auto" w:before="0" w:after="0"/>
        <w:ind w:left="122" w:right="128" w:firstLine="0"/>
        <w:jc w:val="both"/>
        <w:rPr>
          <w:sz w:val="20"/>
        </w:rPr>
      </w:pPr>
      <w:r>
        <w:rPr>
          <w:sz w:val="20"/>
        </w:rPr>
        <w:t>Los representantes han aducido que “[u]na de las mayores falencias del trabajo realizado</w:t>
      </w:r>
      <w:r>
        <w:rPr>
          <w:spacing w:val="-9"/>
          <w:sz w:val="20"/>
        </w:rPr>
        <w:t> </w:t>
      </w:r>
      <w:r>
        <w:rPr>
          <w:sz w:val="20"/>
        </w:rPr>
        <w:t>por</w:t>
      </w:r>
      <w:r>
        <w:rPr>
          <w:spacing w:val="-11"/>
          <w:sz w:val="20"/>
        </w:rPr>
        <w:t> </w:t>
      </w:r>
      <w:r>
        <w:rPr>
          <w:sz w:val="20"/>
        </w:rPr>
        <w:t>la</w:t>
      </w:r>
      <w:r>
        <w:rPr>
          <w:spacing w:val="-10"/>
          <w:sz w:val="20"/>
        </w:rPr>
        <w:t> </w:t>
      </w:r>
      <w:r>
        <w:rPr>
          <w:sz w:val="20"/>
        </w:rPr>
        <w:t>UEP”</w:t>
      </w:r>
      <w:r>
        <w:rPr>
          <w:spacing w:val="-11"/>
          <w:sz w:val="20"/>
        </w:rPr>
        <w:t> </w:t>
      </w:r>
      <w:r>
        <w:rPr>
          <w:sz w:val="20"/>
        </w:rPr>
        <w:t>era</w:t>
      </w:r>
      <w:r>
        <w:rPr>
          <w:spacing w:val="-10"/>
          <w:sz w:val="20"/>
        </w:rPr>
        <w:t> </w:t>
      </w:r>
      <w:r>
        <w:rPr>
          <w:sz w:val="20"/>
        </w:rPr>
        <w:t>la</w:t>
      </w:r>
      <w:r>
        <w:rPr>
          <w:spacing w:val="-10"/>
          <w:sz w:val="20"/>
        </w:rPr>
        <w:t> </w:t>
      </w:r>
      <w:r>
        <w:rPr>
          <w:sz w:val="20"/>
        </w:rPr>
        <w:t>falta</w:t>
      </w:r>
      <w:r>
        <w:rPr>
          <w:spacing w:val="-10"/>
          <w:sz w:val="20"/>
        </w:rPr>
        <w:t> </w:t>
      </w:r>
      <w:r>
        <w:rPr>
          <w:sz w:val="20"/>
        </w:rPr>
        <w:t>de</w:t>
      </w:r>
      <w:r>
        <w:rPr>
          <w:spacing w:val="-12"/>
          <w:sz w:val="20"/>
        </w:rPr>
        <w:t> </w:t>
      </w:r>
      <w:r>
        <w:rPr>
          <w:sz w:val="20"/>
        </w:rPr>
        <w:t>“garant[ía]”</w:t>
      </w:r>
      <w:r>
        <w:rPr>
          <w:spacing w:val="-11"/>
          <w:sz w:val="20"/>
        </w:rPr>
        <w:t> </w:t>
      </w:r>
      <w:r>
        <w:rPr>
          <w:sz w:val="20"/>
        </w:rPr>
        <w:t>de</w:t>
      </w:r>
      <w:r>
        <w:rPr>
          <w:spacing w:val="-12"/>
          <w:sz w:val="20"/>
        </w:rPr>
        <w:t> </w:t>
      </w:r>
      <w:r>
        <w:rPr>
          <w:sz w:val="20"/>
        </w:rPr>
        <w:t>“los</w:t>
      </w:r>
      <w:r>
        <w:rPr>
          <w:spacing w:val="-9"/>
          <w:sz w:val="20"/>
        </w:rPr>
        <w:t> </w:t>
      </w:r>
      <w:r>
        <w:rPr>
          <w:sz w:val="20"/>
        </w:rPr>
        <w:t>derechos</w:t>
      </w:r>
      <w:r>
        <w:rPr>
          <w:spacing w:val="-11"/>
          <w:sz w:val="20"/>
        </w:rPr>
        <w:t> </w:t>
      </w:r>
      <w:r>
        <w:rPr>
          <w:sz w:val="20"/>
        </w:rPr>
        <w:t>territoriales</w:t>
      </w:r>
      <w:r>
        <w:rPr>
          <w:spacing w:val="-9"/>
          <w:sz w:val="20"/>
        </w:rPr>
        <w:t> </w:t>
      </w:r>
      <w:r>
        <w:rPr>
          <w:sz w:val="20"/>
        </w:rPr>
        <w:t>indígenas” cuando</w:t>
      </w:r>
      <w:r>
        <w:rPr>
          <w:spacing w:val="-8"/>
          <w:sz w:val="20"/>
        </w:rPr>
        <w:t> </w:t>
      </w:r>
      <w:r>
        <w:rPr>
          <w:sz w:val="20"/>
        </w:rPr>
        <w:t>familias</w:t>
      </w:r>
      <w:r>
        <w:rPr>
          <w:spacing w:val="-6"/>
          <w:sz w:val="20"/>
        </w:rPr>
        <w:t> </w:t>
      </w:r>
      <w:r>
        <w:rPr>
          <w:sz w:val="20"/>
        </w:rPr>
        <w:t>criollas</w:t>
      </w:r>
      <w:r>
        <w:rPr>
          <w:spacing w:val="-4"/>
          <w:sz w:val="20"/>
        </w:rPr>
        <w:t> </w:t>
      </w:r>
      <w:r>
        <w:rPr>
          <w:sz w:val="20"/>
        </w:rPr>
        <w:t>en</w:t>
      </w:r>
      <w:r>
        <w:rPr>
          <w:spacing w:val="-6"/>
          <w:sz w:val="20"/>
        </w:rPr>
        <w:t> </w:t>
      </w:r>
      <w:r>
        <w:rPr>
          <w:sz w:val="20"/>
        </w:rPr>
        <w:t>territorio</w:t>
      </w:r>
      <w:r>
        <w:rPr>
          <w:spacing w:val="-8"/>
          <w:sz w:val="20"/>
        </w:rPr>
        <w:t> </w:t>
      </w:r>
      <w:r>
        <w:rPr>
          <w:sz w:val="20"/>
        </w:rPr>
        <w:t>indígena</w:t>
      </w:r>
      <w:r>
        <w:rPr>
          <w:spacing w:val="-6"/>
          <w:sz w:val="20"/>
        </w:rPr>
        <w:t> </w:t>
      </w:r>
      <w:r>
        <w:rPr>
          <w:sz w:val="20"/>
        </w:rPr>
        <w:t>no</w:t>
      </w:r>
      <w:r>
        <w:rPr>
          <w:spacing w:val="-5"/>
          <w:sz w:val="20"/>
        </w:rPr>
        <w:t> </w:t>
      </w:r>
      <w:r>
        <w:rPr>
          <w:sz w:val="20"/>
        </w:rPr>
        <w:t>expresaban</w:t>
      </w:r>
      <w:r>
        <w:rPr>
          <w:spacing w:val="-6"/>
          <w:sz w:val="20"/>
        </w:rPr>
        <w:t> </w:t>
      </w:r>
      <w:r>
        <w:rPr>
          <w:sz w:val="20"/>
        </w:rPr>
        <w:t>“voluntad</w:t>
      </w:r>
      <w:r>
        <w:rPr>
          <w:spacing w:val="-6"/>
          <w:sz w:val="20"/>
        </w:rPr>
        <w:t> </w:t>
      </w:r>
      <w:r>
        <w:rPr>
          <w:sz w:val="20"/>
        </w:rPr>
        <w:t>de</w:t>
      </w:r>
      <w:r>
        <w:rPr>
          <w:spacing w:val="-8"/>
          <w:sz w:val="20"/>
        </w:rPr>
        <w:t> </w:t>
      </w:r>
      <w:r>
        <w:rPr>
          <w:sz w:val="20"/>
        </w:rPr>
        <w:t>traslado</w:t>
      </w:r>
      <w:r>
        <w:rPr>
          <w:spacing w:val="-8"/>
          <w:sz w:val="20"/>
        </w:rPr>
        <w:t> </w:t>
      </w:r>
      <w:r>
        <w:rPr>
          <w:sz w:val="20"/>
        </w:rPr>
        <w:t>ni</w:t>
      </w:r>
      <w:r>
        <w:rPr>
          <w:spacing w:val="-6"/>
          <w:sz w:val="20"/>
        </w:rPr>
        <w:t> </w:t>
      </w:r>
      <w:r>
        <w:rPr>
          <w:sz w:val="20"/>
        </w:rPr>
        <w:t>de acordar”</w:t>
      </w:r>
      <w:r>
        <w:rPr>
          <w:rFonts w:ascii="Calibri" w:hAnsi="Calibri"/>
          <w:position w:val="8"/>
          <w:sz w:val="14"/>
        </w:rPr>
        <w:t>140</w:t>
      </w:r>
      <w:r>
        <w:rPr>
          <w:sz w:val="20"/>
        </w:rPr>
        <w:t>, pues ello “estanca por completo” la “delimitación [y], demarcación […] del territorio”. En ese sentido, aseveraron que con el procedimiento instaurado a partir del Decreto 2786/07 el Estado “subordina[ba] la entrega de las tierras a los acuerdos […] sin brindar solución alguna para el caso en que […] no logren</w:t>
      </w:r>
      <w:r>
        <w:rPr>
          <w:spacing w:val="-24"/>
          <w:sz w:val="20"/>
        </w:rPr>
        <w:t> </w:t>
      </w:r>
      <w:r>
        <w:rPr>
          <w:sz w:val="20"/>
        </w:rPr>
        <w:t>concretarse”.</w:t>
      </w:r>
    </w:p>
    <w:p>
      <w:pPr>
        <w:pStyle w:val="BodyText"/>
        <w:spacing w:before="8"/>
        <w:rPr>
          <w:sz w:val="19"/>
        </w:rPr>
      </w:pPr>
    </w:p>
    <w:p>
      <w:pPr>
        <w:pStyle w:val="ListParagraph"/>
        <w:numPr>
          <w:ilvl w:val="0"/>
          <w:numId w:val="21"/>
        </w:numPr>
        <w:tabs>
          <w:tab w:pos="830" w:val="left" w:leader="none"/>
        </w:tabs>
        <w:spacing w:line="242" w:lineRule="auto" w:before="0" w:after="0"/>
        <w:ind w:left="122" w:right="123" w:firstLine="0"/>
        <w:jc w:val="both"/>
        <w:rPr>
          <w:sz w:val="20"/>
        </w:rPr>
      </w:pPr>
      <w:r>
        <w:rPr>
          <w:sz w:val="20"/>
        </w:rPr>
        <w:t>La Corte, más allá de valorar positivamente el proceso de acuerdos, considera que, ciertamente, los procedimientos deben ser aptos para garantizar la propiedad de las comunidades indígenas sobre su territorio. El Estado no puede supeditar dicha garantía a la voluntad de particulares</w:t>
      </w:r>
      <w:r>
        <w:rPr>
          <w:rFonts w:ascii="Calibri" w:hAnsi="Calibri"/>
          <w:position w:val="8"/>
          <w:sz w:val="14"/>
        </w:rPr>
        <w:t>141</w:t>
      </w:r>
      <w:r>
        <w:rPr>
          <w:sz w:val="20"/>
        </w:rPr>
        <w:t>. Ahora bien, el Acta-Acuerdo aprobada por el Decreto 2786/07 señalaba que “en caso de falta de acuerdo se invitar[ía] a las partes</w:t>
      </w:r>
      <w:r>
        <w:rPr>
          <w:spacing w:val="-43"/>
          <w:sz w:val="20"/>
        </w:rPr>
        <w:t> </w:t>
      </w:r>
      <w:r>
        <w:rPr>
          <w:sz w:val="20"/>
        </w:rPr>
        <w:t>a someterse a un proceso arbitral” y que en caso de no hacerlo “se recurrirá a la</w:t>
      </w:r>
      <w:r>
        <w:rPr>
          <w:spacing w:val="-32"/>
          <w:sz w:val="20"/>
        </w:rPr>
        <w:t> </w:t>
      </w:r>
      <w:r>
        <w:rPr>
          <w:sz w:val="20"/>
        </w:rPr>
        <w:t>decisión jurisdiccional</w:t>
      </w:r>
      <w:r>
        <w:rPr>
          <w:spacing w:val="-13"/>
          <w:sz w:val="20"/>
        </w:rPr>
        <w:t> </w:t>
      </w:r>
      <w:r>
        <w:rPr>
          <w:sz w:val="20"/>
        </w:rPr>
        <w:t>que</w:t>
      </w:r>
      <w:r>
        <w:rPr>
          <w:spacing w:val="-15"/>
          <w:sz w:val="20"/>
        </w:rPr>
        <w:t> </w:t>
      </w:r>
      <w:r>
        <w:rPr>
          <w:sz w:val="20"/>
        </w:rPr>
        <w:t>corresponda”.</w:t>
      </w:r>
      <w:r>
        <w:rPr>
          <w:spacing w:val="-14"/>
          <w:sz w:val="20"/>
        </w:rPr>
        <w:t> </w:t>
      </w:r>
      <w:r>
        <w:rPr>
          <w:sz w:val="20"/>
        </w:rPr>
        <w:t>No</w:t>
      </w:r>
      <w:r>
        <w:rPr>
          <w:spacing w:val="-15"/>
          <w:sz w:val="20"/>
        </w:rPr>
        <w:t> </w:t>
      </w:r>
      <w:r>
        <w:rPr>
          <w:sz w:val="20"/>
        </w:rPr>
        <w:t>consta</w:t>
      </w:r>
      <w:r>
        <w:rPr>
          <w:spacing w:val="-13"/>
          <w:sz w:val="20"/>
        </w:rPr>
        <w:t> </w:t>
      </w:r>
      <w:r>
        <w:rPr>
          <w:sz w:val="20"/>
        </w:rPr>
        <w:t>que</w:t>
      </w:r>
      <w:r>
        <w:rPr>
          <w:spacing w:val="-15"/>
          <w:sz w:val="20"/>
        </w:rPr>
        <w:t> </w:t>
      </w:r>
      <w:r>
        <w:rPr>
          <w:sz w:val="20"/>
        </w:rPr>
        <w:t>se</w:t>
      </w:r>
      <w:r>
        <w:rPr>
          <w:spacing w:val="-15"/>
          <w:sz w:val="20"/>
        </w:rPr>
        <w:t> </w:t>
      </w:r>
      <w:r>
        <w:rPr>
          <w:sz w:val="20"/>
        </w:rPr>
        <w:t>estableciera</w:t>
      </w:r>
      <w:r>
        <w:rPr>
          <w:spacing w:val="-13"/>
          <w:sz w:val="20"/>
        </w:rPr>
        <w:t> </w:t>
      </w:r>
      <w:r>
        <w:rPr>
          <w:sz w:val="20"/>
        </w:rPr>
        <w:t>un</w:t>
      </w:r>
      <w:r>
        <w:rPr>
          <w:spacing w:val="-13"/>
          <w:sz w:val="20"/>
        </w:rPr>
        <w:t> </w:t>
      </w:r>
      <w:r>
        <w:rPr>
          <w:sz w:val="20"/>
        </w:rPr>
        <w:t>modo</w:t>
      </w:r>
      <w:r>
        <w:rPr>
          <w:spacing w:val="-12"/>
          <w:sz w:val="20"/>
        </w:rPr>
        <w:t> </w:t>
      </w:r>
      <w:r>
        <w:rPr>
          <w:sz w:val="20"/>
        </w:rPr>
        <w:t>para</w:t>
      </w:r>
      <w:r>
        <w:rPr>
          <w:spacing w:val="-13"/>
          <w:sz w:val="20"/>
        </w:rPr>
        <w:t> </w:t>
      </w:r>
      <w:r>
        <w:rPr>
          <w:sz w:val="20"/>
        </w:rPr>
        <w:t>determinar cuándo el intento de lograr un acuerdo fracasó definitivamente, pero tampoco que se hayan intentado llevar a cabo estos procesos arbitrales o judiciales. En atención a lo dicho, la Corte no tiene elementos para concluir que el Estado, por el motivo señalado por los representantes, hiciera inefectivos los procedimientos de</w:t>
      </w:r>
      <w:r>
        <w:rPr>
          <w:spacing w:val="-35"/>
          <w:sz w:val="20"/>
        </w:rPr>
        <w:t> </w:t>
      </w:r>
      <w:r>
        <w:rPr>
          <w:sz w:val="20"/>
        </w:rPr>
        <w:t>acuerdos.</w:t>
      </w:r>
    </w:p>
    <w:p>
      <w:pPr>
        <w:pStyle w:val="BodyText"/>
      </w:pPr>
    </w:p>
    <w:p>
      <w:pPr>
        <w:pStyle w:val="BodyText"/>
        <w:spacing w:before="9"/>
        <w:rPr>
          <w:sz w:val="26"/>
        </w:rPr>
      </w:pPr>
      <w:r>
        <w:rPr/>
        <w:pict>
          <v:line style="position:absolute;mso-position-horizontal-relative:page;mso-position-vertical-relative:paragraph;z-index:2128;mso-wrap-distance-left:0;mso-wrap-distance-right:0" from="85.103996pt,18.620308pt" to="229.123996pt,18.620308pt" stroked="true" strokeweight=".72003pt" strokecolor="#000000">
            <v:stroke dashstyle="solid"/>
            <w10:wrap type="topAndBottom"/>
          </v:line>
        </w:pict>
      </w:r>
    </w:p>
    <w:p>
      <w:pPr>
        <w:tabs>
          <w:tab w:pos="829" w:val="left" w:leader="none"/>
        </w:tabs>
        <w:spacing w:before="71"/>
        <w:ind w:left="122" w:right="114" w:firstLine="0"/>
        <w:jc w:val="both"/>
        <w:rPr>
          <w:sz w:val="16"/>
        </w:rPr>
      </w:pPr>
      <w:r>
        <w:rPr>
          <w:position w:val="6"/>
          <w:sz w:val="10"/>
        </w:rPr>
        <w:t>139</w:t>
        <w:tab/>
      </w:r>
      <w:r>
        <w:rPr>
          <w:sz w:val="16"/>
        </w:rPr>
        <w:t>Los representantes  explicaron que  “la definición  de los límites  del  territorio  ancestral  </w:t>
      </w:r>
      <w:r>
        <w:rPr>
          <w:spacing w:val="13"/>
          <w:sz w:val="16"/>
        </w:rPr>
        <w:t> </w:t>
      </w:r>
      <w:r>
        <w:rPr>
          <w:sz w:val="16"/>
        </w:rPr>
        <w:t>como</w:t>
      </w:r>
      <w:r>
        <w:rPr>
          <w:spacing w:val="40"/>
          <w:sz w:val="16"/>
        </w:rPr>
        <w:t> </w:t>
      </w:r>
      <w:r>
        <w:rPr>
          <w:sz w:val="16"/>
        </w:rPr>
        <w:t>los</w:t>
      </w:r>
      <w:r>
        <w:rPr>
          <w:w w:val="100"/>
          <w:sz w:val="16"/>
        </w:rPr>
        <w:t> </w:t>
      </w:r>
      <w:r>
        <w:rPr>
          <w:sz w:val="16"/>
        </w:rPr>
        <w:t>traslados de familias criollas tienen en común que se definen en la medida en que hubiere acuerdos entre indígenas</w:t>
      </w:r>
      <w:r>
        <w:rPr>
          <w:spacing w:val="-3"/>
          <w:sz w:val="16"/>
        </w:rPr>
        <w:t> </w:t>
      </w:r>
      <w:r>
        <w:rPr>
          <w:sz w:val="16"/>
        </w:rPr>
        <w:t>y</w:t>
      </w:r>
      <w:r>
        <w:rPr>
          <w:spacing w:val="-5"/>
          <w:sz w:val="16"/>
        </w:rPr>
        <w:t> </w:t>
      </w:r>
      <w:r>
        <w:rPr>
          <w:sz w:val="16"/>
        </w:rPr>
        <w:t>criollos.</w:t>
      </w:r>
      <w:r>
        <w:rPr>
          <w:spacing w:val="-4"/>
          <w:sz w:val="16"/>
        </w:rPr>
        <w:t> </w:t>
      </w:r>
      <w:r>
        <w:rPr>
          <w:sz w:val="16"/>
        </w:rPr>
        <w:t>En</w:t>
      </w:r>
      <w:r>
        <w:rPr>
          <w:spacing w:val="-5"/>
          <w:sz w:val="16"/>
        </w:rPr>
        <w:t> </w:t>
      </w:r>
      <w:r>
        <w:rPr>
          <w:sz w:val="16"/>
        </w:rPr>
        <w:t>caso</w:t>
      </w:r>
      <w:r>
        <w:rPr>
          <w:spacing w:val="-5"/>
          <w:sz w:val="16"/>
        </w:rPr>
        <w:t> </w:t>
      </w:r>
      <w:r>
        <w:rPr>
          <w:sz w:val="16"/>
        </w:rPr>
        <w:t>de</w:t>
      </w:r>
      <w:r>
        <w:rPr>
          <w:spacing w:val="-3"/>
          <w:sz w:val="16"/>
        </w:rPr>
        <w:t> </w:t>
      </w:r>
      <w:r>
        <w:rPr>
          <w:sz w:val="16"/>
        </w:rPr>
        <w:t>existir</w:t>
      </w:r>
      <w:r>
        <w:rPr>
          <w:spacing w:val="-5"/>
          <w:sz w:val="16"/>
        </w:rPr>
        <w:t> </w:t>
      </w:r>
      <w:r>
        <w:rPr>
          <w:sz w:val="16"/>
        </w:rPr>
        <w:t>acuerdos</w:t>
      </w:r>
      <w:r>
        <w:rPr>
          <w:spacing w:val="-6"/>
          <w:sz w:val="16"/>
        </w:rPr>
        <w:t> </w:t>
      </w:r>
      <w:r>
        <w:rPr>
          <w:sz w:val="16"/>
        </w:rPr>
        <w:t>sobre</w:t>
      </w:r>
      <w:r>
        <w:rPr>
          <w:spacing w:val="-6"/>
          <w:sz w:val="16"/>
        </w:rPr>
        <w:t> </w:t>
      </w:r>
      <w:r>
        <w:rPr>
          <w:sz w:val="16"/>
        </w:rPr>
        <w:t>límites</w:t>
      </w:r>
      <w:r>
        <w:rPr>
          <w:spacing w:val="-3"/>
          <w:sz w:val="16"/>
        </w:rPr>
        <w:t> </w:t>
      </w:r>
      <w:r>
        <w:rPr>
          <w:sz w:val="16"/>
        </w:rPr>
        <w:t>o</w:t>
      </w:r>
      <w:r>
        <w:rPr>
          <w:spacing w:val="-5"/>
          <w:sz w:val="16"/>
        </w:rPr>
        <w:t> </w:t>
      </w:r>
      <w:r>
        <w:rPr>
          <w:sz w:val="16"/>
        </w:rPr>
        <w:t>traslados,</w:t>
      </w:r>
      <w:r>
        <w:rPr>
          <w:spacing w:val="-4"/>
          <w:sz w:val="16"/>
        </w:rPr>
        <w:t> </w:t>
      </w:r>
      <w:r>
        <w:rPr>
          <w:sz w:val="16"/>
        </w:rPr>
        <w:t>se</w:t>
      </w:r>
      <w:r>
        <w:rPr>
          <w:spacing w:val="-6"/>
          <w:sz w:val="16"/>
        </w:rPr>
        <w:t> </w:t>
      </w:r>
      <w:r>
        <w:rPr>
          <w:sz w:val="16"/>
        </w:rPr>
        <w:t>realiza</w:t>
      </w:r>
      <w:r>
        <w:rPr>
          <w:spacing w:val="-5"/>
          <w:sz w:val="16"/>
        </w:rPr>
        <w:t> </w:t>
      </w:r>
      <w:r>
        <w:rPr>
          <w:sz w:val="16"/>
        </w:rPr>
        <w:t>un</w:t>
      </w:r>
      <w:r>
        <w:rPr>
          <w:spacing w:val="-5"/>
          <w:sz w:val="16"/>
        </w:rPr>
        <w:t> </w:t>
      </w:r>
      <w:r>
        <w:rPr>
          <w:sz w:val="16"/>
        </w:rPr>
        <w:t>escrito</w:t>
      </w:r>
      <w:r>
        <w:rPr>
          <w:spacing w:val="-5"/>
          <w:sz w:val="16"/>
        </w:rPr>
        <w:t> </w:t>
      </w:r>
      <w:r>
        <w:rPr>
          <w:sz w:val="16"/>
        </w:rPr>
        <w:t>firmado</w:t>
      </w:r>
      <w:r>
        <w:rPr>
          <w:spacing w:val="-5"/>
          <w:sz w:val="16"/>
        </w:rPr>
        <w:t> </w:t>
      </w:r>
      <w:r>
        <w:rPr>
          <w:sz w:val="16"/>
        </w:rPr>
        <w:t>por</w:t>
      </w:r>
      <w:r>
        <w:rPr>
          <w:spacing w:val="-3"/>
          <w:sz w:val="16"/>
        </w:rPr>
        <w:t> </w:t>
      </w:r>
      <w:r>
        <w:rPr>
          <w:sz w:val="16"/>
        </w:rPr>
        <w:t>las partes y un croquis; luego se lo protocoliza mediante la intervención de la Escribanía de Gobierno de la Provincia de Salta. A partir de esa información, debería iniciarse la etapa de los trabajos de agrimensura, en la</w:t>
      </w:r>
      <w:r>
        <w:rPr>
          <w:spacing w:val="-6"/>
          <w:sz w:val="16"/>
        </w:rPr>
        <w:t> </w:t>
      </w:r>
      <w:r>
        <w:rPr>
          <w:sz w:val="16"/>
        </w:rPr>
        <w:t>que</w:t>
      </w:r>
      <w:r>
        <w:rPr>
          <w:spacing w:val="-5"/>
          <w:sz w:val="16"/>
        </w:rPr>
        <w:t> </w:t>
      </w:r>
      <w:r>
        <w:rPr>
          <w:sz w:val="16"/>
        </w:rPr>
        <w:t>se</w:t>
      </w:r>
      <w:r>
        <w:rPr>
          <w:spacing w:val="-5"/>
          <w:sz w:val="16"/>
        </w:rPr>
        <w:t> </w:t>
      </w:r>
      <w:r>
        <w:rPr>
          <w:sz w:val="16"/>
        </w:rPr>
        <w:t>dan</w:t>
      </w:r>
      <w:r>
        <w:rPr>
          <w:spacing w:val="-6"/>
          <w:sz w:val="16"/>
        </w:rPr>
        <w:t> </w:t>
      </w:r>
      <w:r>
        <w:rPr>
          <w:sz w:val="16"/>
        </w:rPr>
        <w:t>los</w:t>
      </w:r>
      <w:r>
        <w:rPr>
          <w:spacing w:val="-5"/>
          <w:sz w:val="16"/>
        </w:rPr>
        <w:t> </w:t>
      </w:r>
      <w:r>
        <w:rPr>
          <w:sz w:val="16"/>
        </w:rPr>
        <w:t>límites</w:t>
      </w:r>
      <w:r>
        <w:rPr>
          <w:spacing w:val="-7"/>
          <w:sz w:val="16"/>
        </w:rPr>
        <w:t> </w:t>
      </w:r>
      <w:r>
        <w:rPr>
          <w:sz w:val="16"/>
        </w:rPr>
        <w:t>precisos</w:t>
      </w:r>
      <w:r>
        <w:rPr>
          <w:spacing w:val="-7"/>
          <w:sz w:val="16"/>
        </w:rPr>
        <w:t> </w:t>
      </w:r>
      <w:r>
        <w:rPr>
          <w:sz w:val="16"/>
        </w:rPr>
        <w:t>del</w:t>
      </w:r>
      <w:r>
        <w:rPr>
          <w:spacing w:val="-6"/>
          <w:sz w:val="16"/>
        </w:rPr>
        <w:t> </w:t>
      </w:r>
      <w:r>
        <w:rPr>
          <w:sz w:val="16"/>
        </w:rPr>
        <w:t>acuerdo</w:t>
      </w:r>
      <w:r>
        <w:rPr>
          <w:spacing w:val="-7"/>
          <w:sz w:val="16"/>
        </w:rPr>
        <w:t> </w:t>
      </w:r>
      <w:r>
        <w:rPr>
          <w:sz w:val="16"/>
        </w:rPr>
        <w:t>que</w:t>
      </w:r>
      <w:r>
        <w:rPr>
          <w:spacing w:val="-5"/>
          <w:sz w:val="16"/>
        </w:rPr>
        <w:t> </w:t>
      </w:r>
      <w:r>
        <w:rPr>
          <w:sz w:val="16"/>
        </w:rPr>
        <w:t>se</w:t>
      </w:r>
      <w:r>
        <w:rPr>
          <w:spacing w:val="-5"/>
          <w:sz w:val="16"/>
        </w:rPr>
        <w:t> </w:t>
      </w:r>
      <w:r>
        <w:rPr>
          <w:sz w:val="16"/>
        </w:rPr>
        <w:t>hubiere</w:t>
      </w:r>
      <w:r>
        <w:rPr>
          <w:spacing w:val="-7"/>
          <w:sz w:val="16"/>
        </w:rPr>
        <w:t> </w:t>
      </w:r>
      <w:r>
        <w:rPr>
          <w:sz w:val="16"/>
        </w:rPr>
        <w:t>realizado,</w:t>
      </w:r>
      <w:r>
        <w:rPr>
          <w:spacing w:val="-8"/>
          <w:sz w:val="16"/>
        </w:rPr>
        <w:t> </w:t>
      </w:r>
      <w:r>
        <w:rPr>
          <w:sz w:val="16"/>
        </w:rPr>
        <w:t>se</w:t>
      </w:r>
      <w:r>
        <w:rPr>
          <w:spacing w:val="-7"/>
          <w:sz w:val="16"/>
        </w:rPr>
        <w:t> </w:t>
      </w:r>
      <w:r>
        <w:rPr>
          <w:sz w:val="16"/>
        </w:rPr>
        <w:t>plasma</w:t>
      </w:r>
      <w:r>
        <w:rPr>
          <w:spacing w:val="-6"/>
          <w:sz w:val="16"/>
        </w:rPr>
        <w:t> </w:t>
      </w:r>
      <w:r>
        <w:rPr>
          <w:sz w:val="16"/>
        </w:rPr>
        <w:t>en</w:t>
      </w:r>
      <w:r>
        <w:rPr>
          <w:spacing w:val="-6"/>
          <w:sz w:val="16"/>
        </w:rPr>
        <w:t> </w:t>
      </w:r>
      <w:r>
        <w:rPr>
          <w:sz w:val="16"/>
        </w:rPr>
        <w:t>un</w:t>
      </w:r>
      <w:r>
        <w:rPr>
          <w:spacing w:val="-8"/>
          <w:sz w:val="16"/>
        </w:rPr>
        <w:t> </w:t>
      </w:r>
      <w:r>
        <w:rPr>
          <w:sz w:val="16"/>
        </w:rPr>
        <w:t>plano</w:t>
      </w:r>
      <w:r>
        <w:rPr>
          <w:spacing w:val="-5"/>
          <w:sz w:val="16"/>
        </w:rPr>
        <w:t> </w:t>
      </w:r>
      <w:r>
        <w:rPr>
          <w:sz w:val="16"/>
        </w:rPr>
        <w:t>especial</w:t>
      </w:r>
      <w:r>
        <w:rPr>
          <w:spacing w:val="-6"/>
          <w:sz w:val="16"/>
        </w:rPr>
        <w:t> </w:t>
      </w:r>
      <w:r>
        <w:rPr>
          <w:sz w:val="16"/>
        </w:rPr>
        <w:t>con</w:t>
      </w:r>
      <w:r>
        <w:rPr>
          <w:spacing w:val="-6"/>
          <w:sz w:val="16"/>
        </w:rPr>
        <w:t> </w:t>
      </w:r>
      <w:r>
        <w:rPr>
          <w:sz w:val="16"/>
        </w:rPr>
        <w:t>los puntos de coordenadas correspondientes para que la Dirección General de Inmuebles de la Provincia de Salta asiente y registre la información [de] los inmuebles</w:t>
      </w:r>
      <w:r>
        <w:rPr>
          <w:spacing w:val="-22"/>
          <w:sz w:val="16"/>
        </w:rPr>
        <w:t> </w:t>
      </w:r>
      <w:r>
        <w:rPr>
          <w:sz w:val="16"/>
        </w:rPr>
        <w:t>respectivos”.</w:t>
      </w:r>
    </w:p>
    <w:p>
      <w:pPr>
        <w:pStyle w:val="BodyText"/>
        <w:spacing w:before="11"/>
        <w:rPr>
          <w:sz w:val="15"/>
        </w:rPr>
      </w:pPr>
    </w:p>
    <w:p>
      <w:pPr>
        <w:tabs>
          <w:tab w:pos="829" w:val="left" w:leader="none"/>
        </w:tabs>
        <w:spacing w:before="0"/>
        <w:ind w:left="122" w:right="0" w:firstLine="0"/>
        <w:jc w:val="both"/>
        <w:rPr>
          <w:sz w:val="16"/>
        </w:rPr>
      </w:pPr>
      <w:r>
        <w:rPr>
          <w:position w:val="6"/>
          <w:sz w:val="10"/>
        </w:rPr>
        <w:t>140</w:t>
        <w:tab/>
      </w:r>
      <w:r>
        <w:rPr>
          <w:sz w:val="16"/>
        </w:rPr>
        <w:t>Los</w:t>
      </w:r>
      <w:r>
        <w:rPr>
          <w:spacing w:val="-8"/>
          <w:sz w:val="16"/>
        </w:rPr>
        <w:t> </w:t>
      </w:r>
      <w:r>
        <w:rPr>
          <w:sz w:val="16"/>
        </w:rPr>
        <w:t>representantes</w:t>
      </w:r>
      <w:r>
        <w:rPr>
          <w:spacing w:val="-8"/>
          <w:sz w:val="16"/>
        </w:rPr>
        <w:t> </w:t>
      </w:r>
      <w:r>
        <w:rPr>
          <w:sz w:val="16"/>
        </w:rPr>
        <w:t>han</w:t>
      </w:r>
      <w:r>
        <w:rPr>
          <w:spacing w:val="-9"/>
          <w:sz w:val="16"/>
        </w:rPr>
        <w:t> </w:t>
      </w:r>
      <w:r>
        <w:rPr>
          <w:sz w:val="16"/>
        </w:rPr>
        <w:t>señalado</w:t>
      </w:r>
      <w:r>
        <w:rPr>
          <w:spacing w:val="-8"/>
          <w:sz w:val="16"/>
        </w:rPr>
        <w:t> </w:t>
      </w:r>
      <w:r>
        <w:rPr>
          <w:sz w:val="16"/>
        </w:rPr>
        <w:t>que</w:t>
      </w:r>
      <w:r>
        <w:rPr>
          <w:spacing w:val="-8"/>
          <w:sz w:val="16"/>
        </w:rPr>
        <w:t> </w:t>
      </w:r>
      <w:r>
        <w:rPr>
          <w:sz w:val="16"/>
        </w:rPr>
        <w:t>“hay</w:t>
      </w:r>
      <w:r>
        <w:rPr>
          <w:spacing w:val="-8"/>
          <w:sz w:val="16"/>
        </w:rPr>
        <w:t> </w:t>
      </w:r>
      <w:r>
        <w:rPr>
          <w:sz w:val="16"/>
        </w:rPr>
        <w:t>múltiples</w:t>
      </w:r>
      <w:r>
        <w:rPr>
          <w:spacing w:val="-10"/>
          <w:sz w:val="16"/>
        </w:rPr>
        <w:t> </w:t>
      </w:r>
      <w:r>
        <w:rPr>
          <w:sz w:val="16"/>
        </w:rPr>
        <w:t>familias</w:t>
      </w:r>
      <w:r>
        <w:rPr>
          <w:spacing w:val="-6"/>
          <w:sz w:val="16"/>
        </w:rPr>
        <w:t> </w:t>
      </w:r>
      <w:r>
        <w:rPr>
          <w:sz w:val="16"/>
        </w:rPr>
        <w:t>criollas</w:t>
      </w:r>
      <w:r>
        <w:rPr>
          <w:spacing w:val="-8"/>
          <w:sz w:val="16"/>
        </w:rPr>
        <w:t> </w:t>
      </w:r>
      <w:r>
        <w:rPr>
          <w:sz w:val="16"/>
        </w:rPr>
        <w:t>que</w:t>
      </w:r>
      <w:r>
        <w:rPr>
          <w:spacing w:val="-8"/>
          <w:sz w:val="16"/>
        </w:rPr>
        <w:t> </w:t>
      </w:r>
      <w:r>
        <w:rPr>
          <w:sz w:val="16"/>
        </w:rPr>
        <w:t>han</w:t>
      </w:r>
      <w:r>
        <w:rPr>
          <w:spacing w:val="-9"/>
          <w:sz w:val="16"/>
        </w:rPr>
        <w:t> </w:t>
      </w:r>
      <w:r>
        <w:rPr>
          <w:sz w:val="16"/>
        </w:rPr>
        <w:t>manifestado</w:t>
      </w:r>
      <w:r>
        <w:rPr>
          <w:spacing w:val="-10"/>
          <w:sz w:val="16"/>
        </w:rPr>
        <w:t> </w:t>
      </w:r>
      <w:r>
        <w:rPr>
          <w:sz w:val="16"/>
        </w:rPr>
        <w:t>su</w:t>
      </w:r>
      <w:r>
        <w:rPr>
          <w:spacing w:val="-9"/>
          <w:sz w:val="16"/>
        </w:rPr>
        <w:t> </w:t>
      </w:r>
      <w:r>
        <w:rPr>
          <w:sz w:val="16"/>
        </w:rPr>
        <w:t>decisión</w:t>
      </w:r>
    </w:p>
    <w:p>
      <w:pPr>
        <w:spacing w:before="0"/>
        <w:ind w:left="122" w:right="0" w:firstLine="0"/>
        <w:jc w:val="both"/>
        <w:rPr>
          <w:sz w:val="16"/>
        </w:rPr>
      </w:pPr>
      <w:r>
        <w:rPr>
          <w:sz w:val="16"/>
        </w:rPr>
        <w:t>de no trasladarse ni llegar a un acuerdo”.</w:t>
      </w:r>
    </w:p>
    <w:p>
      <w:pPr>
        <w:pStyle w:val="BodyText"/>
        <w:rPr>
          <w:sz w:val="16"/>
        </w:rPr>
      </w:pPr>
    </w:p>
    <w:p>
      <w:pPr>
        <w:tabs>
          <w:tab w:pos="829" w:val="left" w:leader="none"/>
        </w:tabs>
        <w:spacing w:line="240" w:lineRule="auto" w:before="0"/>
        <w:ind w:left="122" w:right="114" w:firstLine="0"/>
        <w:jc w:val="both"/>
        <w:rPr>
          <w:sz w:val="16"/>
        </w:rPr>
      </w:pPr>
      <w:r>
        <w:rPr>
          <w:position w:val="6"/>
          <w:sz w:val="10"/>
        </w:rPr>
        <w:t>141</w:t>
        <w:tab/>
      </w:r>
      <w:r>
        <w:rPr>
          <w:sz w:val="16"/>
        </w:rPr>
        <w:t>La  Corte  comparte  la aseveración  de la  perita  Yáñez Fuenzalida:  que  el  traslado</w:t>
      </w:r>
      <w:r>
        <w:rPr>
          <w:spacing w:val="-25"/>
          <w:sz w:val="16"/>
        </w:rPr>
        <w:t> </w:t>
      </w:r>
      <w:r>
        <w:rPr>
          <w:sz w:val="16"/>
        </w:rPr>
        <w:t>de los</w:t>
      </w:r>
      <w:r>
        <w:rPr>
          <w:spacing w:val="35"/>
          <w:sz w:val="16"/>
        </w:rPr>
        <w:t> </w:t>
      </w:r>
      <w:r>
        <w:rPr>
          <w:sz w:val="16"/>
        </w:rPr>
        <w:t>criollos</w:t>
      </w:r>
      <w:r>
        <w:rPr>
          <w:w w:val="100"/>
          <w:sz w:val="16"/>
        </w:rPr>
        <w:t> </w:t>
      </w:r>
      <w:r>
        <w:rPr>
          <w:sz w:val="16"/>
        </w:rPr>
        <w:t>“constituya una obligación estatal implica que el Estado debe implementar políticas públicas para su concreción. Incumple la obligación […] el Estado que trasfiere a los particulares esta obligación […] somet[iendo]</w:t>
      </w:r>
      <w:r>
        <w:rPr>
          <w:spacing w:val="-9"/>
          <w:sz w:val="16"/>
        </w:rPr>
        <w:t> </w:t>
      </w:r>
      <w:r>
        <w:rPr>
          <w:sz w:val="16"/>
        </w:rPr>
        <w:t>el</w:t>
      </w:r>
      <w:r>
        <w:rPr>
          <w:spacing w:val="-6"/>
          <w:sz w:val="16"/>
        </w:rPr>
        <w:t> </w:t>
      </w:r>
      <w:r>
        <w:rPr>
          <w:sz w:val="16"/>
        </w:rPr>
        <w:t>proceso</w:t>
      </w:r>
      <w:r>
        <w:rPr>
          <w:spacing w:val="-5"/>
          <w:sz w:val="16"/>
        </w:rPr>
        <w:t> </w:t>
      </w:r>
      <w:r>
        <w:rPr>
          <w:sz w:val="16"/>
        </w:rPr>
        <w:t>a</w:t>
      </w:r>
      <w:r>
        <w:rPr>
          <w:spacing w:val="-9"/>
          <w:sz w:val="16"/>
        </w:rPr>
        <w:t> </w:t>
      </w:r>
      <w:r>
        <w:rPr>
          <w:sz w:val="16"/>
        </w:rPr>
        <w:t>la</w:t>
      </w:r>
      <w:r>
        <w:rPr>
          <w:spacing w:val="-7"/>
          <w:sz w:val="16"/>
        </w:rPr>
        <w:t> </w:t>
      </w:r>
      <w:r>
        <w:rPr>
          <w:sz w:val="16"/>
        </w:rPr>
        <w:t>voluntad</w:t>
      </w:r>
      <w:r>
        <w:rPr>
          <w:spacing w:val="-6"/>
          <w:sz w:val="16"/>
        </w:rPr>
        <w:t> </w:t>
      </w:r>
      <w:r>
        <w:rPr>
          <w:sz w:val="16"/>
        </w:rPr>
        <w:t>unilateral</w:t>
      </w:r>
      <w:r>
        <w:rPr>
          <w:spacing w:val="-6"/>
          <w:sz w:val="16"/>
        </w:rPr>
        <w:t> </w:t>
      </w:r>
      <w:r>
        <w:rPr>
          <w:sz w:val="16"/>
        </w:rPr>
        <w:t>de</w:t>
      </w:r>
      <w:r>
        <w:rPr>
          <w:spacing w:val="-6"/>
          <w:sz w:val="16"/>
        </w:rPr>
        <w:t> </w:t>
      </w:r>
      <w:r>
        <w:rPr>
          <w:sz w:val="16"/>
        </w:rPr>
        <w:t>las</w:t>
      </w:r>
      <w:r>
        <w:rPr>
          <w:spacing w:val="-8"/>
          <w:sz w:val="16"/>
        </w:rPr>
        <w:t> </w:t>
      </w:r>
      <w:r>
        <w:rPr>
          <w:sz w:val="16"/>
        </w:rPr>
        <w:t>partes”.</w:t>
      </w:r>
      <w:r>
        <w:rPr>
          <w:spacing w:val="-7"/>
          <w:sz w:val="16"/>
        </w:rPr>
        <w:t> </w:t>
      </w:r>
      <w:r>
        <w:rPr>
          <w:sz w:val="16"/>
        </w:rPr>
        <w:t>Consideraciones</w:t>
      </w:r>
      <w:r>
        <w:rPr>
          <w:spacing w:val="-6"/>
          <w:sz w:val="16"/>
        </w:rPr>
        <w:t> </w:t>
      </w:r>
      <w:r>
        <w:rPr>
          <w:sz w:val="16"/>
        </w:rPr>
        <w:t>equivalentes</w:t>
      </w:r>
      <w:r>
        <w:rPr>
          <w:spacing w:val="-6"/>
          <w:sz w:val="16"/>
        </w:rPr>
        <w:t> </w:t>
      </w:r>
      <w:r>
        <w:rPr>
          <w:sz w:val="16"/>
        </w:rPr>
        <w:t>fueron</w:t>
      </w:r>
      <w:r>
        <w:rPr>
          <w:spacing w:val="-7"/>
          <w:sz w:val="16"/>
        </w:rPr>
        <w:t> </w:t>
      </w:r>
      <w:r>
        <w:rPr>
          <w:sz w:val="16"/>
        </w:rPr>
        <w:t>indicadas en</w:t>
      </w:r>
      <w:r>
        <w:rPr>
          <w:spacing w:val="-10"/>
          <w:sz w:val="16"/>
        </w:rPr>
        <w:t> </w:t>
      </w:r>
      <w:r>
        <w:rPr>
          <w:sz w:val="16"/>
        </w:rPr>
        <w:t>el</w:t>
      </w:r>
      <w:r>
        <w:rPr>
          <w:spacing w:val="-13"/>
          <w:sz w:val="16"/>
        </w:rPr>
        <w:t> </w:t>
      </w:r>
      <w:r>
        <w:rPr>
          <w:sz w:val="16"/>
        </w:rPr>
        <w:t>escrito</w:t>
      </w:r>
      <w:r>
        <w:rPr>
          <w:spacing w:val="-14"/>
          <w:sz w:val="16"/>
        </w:rPr>
        <w:t> </w:t>
      </w:r>
      <w:r>
        <w:rPr>
          <w:sz w:val="16"/>
        </w:rPr>
        <w:t>de</w:t>
      </w:r>
      <w:r>
        <w:rPr>
          <w:spacing w:val="-12"/>
          <w:sz w:val="16"/>
        </w:rPr>
        <w:t> </w:t>
      </w:r>
      <w:r>
        <w:rPr>
          <w:i/>
          <w:sz w:val="16"/>
        </w:rPr>
        <w:t>amicus</w:t>
      </w:r>
      <w:r>
        <w:rPr>
          <w:i/>
          <w:spacing w:val="-12"/>
          <w:sz w:val="16"/>
        </w:rPr>
        <w:t> </w:t>
      </w:r>
      <w:r>
        <w:rPr>
          <w:i/>
          <w:sz w:val="16"/>
        </w:rPr>
        <w:t>curiae</w:t>
      </w:r>
      <w:r>
        <w:rPr>
          <w:i/>
          <w:spacing w:val="-14"/>
          <w:sz w:val="16"/>
        </w:rPr>
        <w:t> </w:t>
      </w:r>
      <w:r>
        <w:rPr>
          <w:sz w:val="16"/>
        </w:rPr>
        <w:t>remitido</w:t>
      </w:r>
      <w:r>
        <w:rPr>
          <w:spacing w:val="-11"/>
          <w:sz w:val="16"/>
        </w:rPr>
        <w:t> </w:t>
      </w:r>
      <w:r>
        <w:rPr>
          <w:sz w:val="16"/>
        </w:rPr>
        <w:t>por</w:t>
      </w:r>
      <w:r>
        <w:rPr>
          <w:spacing w:val="-9"/>
          <w:sz w:val="16"/>
        </w:rPr>
        <w:t> </w:t>
      </w:r>
      <w:r>
        <w:rPr>
          <w:sz w:val="16"/>
        </w:rPr>
        <w:t>la</w:t>
      </w:r>
      <w:r>
        <w:rPr>
          <w:spacing w:val="-13"/>
          <w:sz w:val="16"/>
        </w:rPr>
        <w:t> </w:t>
      </w:r>
      <w:r>
        <w:rPr>
          <w:sz w:val="16"/>
        </w:rPr>
        <w:t>Pontificia</w:t>
      </w:r>
      <w:r>
        <w:rPr>
          <w:spacing w:val="-13"/>
          <w:sz w:val="16"/>
        </w:rPr>
        <w:t> </w:t>
      </w:r>
      <w:r>
        <w:rPr>
          <w:sz w:val="16"/>
        </w:rPr>
        <w:t>Universidad</w:t>
      </w:r>
      <w:r>
        <w:rPr>
          <w:spacing w:val="-14"/>
          <w:sz w:val="16"/>
        </w:rPr>
        <w:t> </w:t>
      </w:r>
      <w:r>
        <w:rPr>
          <w:sz w:val="16"/>
        </w:rPr>
        <w:t>Católica</w:t>
      </w:r>
      <w:r>
        <w:rPr>
          <w:spacing w:val="-12"/>
          <w:sz w:val="16"/>
        </w:rPr>
        <w:t> </w:t>
      </w:r>
      <w:r>
        <w:rPr>
          <w:sz w:val="16"/>
        </w:rPr>
        <w:t>del</w:t>
      </w:r>
      <w:r>
        <w:rPr>
          <w:spacing w:val="-13"/>
          <w:sz w:val="16"/>
        </w:rPr>
        <w:t> </w:t>
      </w:r>
      <w:r>
        <w:rPr>
          <w:sz w:val="16"/>
        </w:rPr>
        <w:t>Ecuador,</w:t>
      </w:r>
      <w:r>
        <w:rPr>
          <w:spacing w:val="-13"/>
          <w:sz w:val="16"/>
        </w:rPr>
        <w:t> </w:t>
      </w:r>
      <w:r>
        <w:rPr>
          <w:sz w:val="16"/>
        </w:rPr>
        <w:t>con</w:t>
      </w:r>
      <w:r>
        <w:rPr>
          <w:spacing w:val="-11"/>
          <w:sz w:val="16"/>
        </w:rPr>
        <w:t> </w:t>
      </w:r>
      <w:r>
        <w:rPr>
          <w:sz w:val="16"/>
        </w:rPr>
        <w:t>base</w:t>
      </w:r>
      <w:r>
        <w:rPr>
          <w:spacing w:val="-12"/>
          <w:sz w:val="16"/>
        </w:rPr>
        <w:t> </w:t>
      </w:r>
      <w:r>
        <w:rPr>
          <w:sz w:val="16"/>
        </w:rPr>
        <w:t>en</w:t>
      </w:r>
      <w:r>
        <w:rPr>
          <w:spacing w:val="-13"/>
          <w:sz w:val="16"/>
        </w:rPr>
        <w:t> </w:t>
      </w:r>
      <w:r>
        <w:rPr>
          <w:sz w:val="16"/>
        </w:rPr>
        <w:t>el</w:t>
      </w:r>
      <w:r>
        <w:rPr>
          <w:spacing w:val="-13"/>
          <w:sz w:val="16"/>
        </w:rPr>
        <w:t> </w:t>
      </w:r>
      <w:r>
        <w:rPr>
          <w:sz w:val="16"/>
        </w:rPr>
        <w:t>estudio de estándares</w:t>
      </w:r>
      <w:r>
        <w:rPr>
          <w:spacing w:val="-7"/>
          <w:sz w:val="16"/>
        </w:rPr>
        <w:t> </w:t>
      </w:r>
      <w:r>
        <w:rPr>
          <w:sz w:val="16"/>
        </w:rPr>
        <w:t>internacionales.</w:t>
      </w:r>
    </w:p>
    <w:p>
      <w:pPr>
        <w:spacing w:after="0" w:line="240" w:lineRule="auto"/>
        <w:jc w:val="both"/>
        <w:rPr>
          <w:sz w:val="16"/>
        </w:rPr>
        <w:sectPr>
          <w:footerReference w:type="default" r:id="rId20"/>
          <w:pgSz w:w="12240" w:h="15840"/>
          <w:pgMar w:footer="1000" w:header="0" w:top="1340" w:bottom="1200" w:left="1580" w:right="1580"/>
          <w:pgNumType w:start="51"/>
        </w:sectPr>
      </w:pPr>
    </w:p>
    <w:p>
      <w:pPr>
        <w:pStyle w:val="ListParagraph"/>
        <w:numPr>
          <w:ilvl w:val="0"/>
          <w:numId w:val="21"/>
        </w:numPr>
        <w:tabs>
          <w:tab w:pos="830" w:val="left" w:leader="none"/>
        </w:tabs>
        <w:spacing w:line="240" w:lineRule="auto" w:before="76" w:after="0"/>
        <w:ind w:left="122" w:right="124" w:firstLine="0"/>
        <w:jc w:val="both"/>
        <w:rPr>
          <w:sz w:val="20"/>
        </w:rPr>
      </w:pPr>
      <w:r>
        <w:rPr>
          <w:sz w:val="20"/>
        </w:rPr>
        <w:t>El último Decreto que implicó un acto de reconocimiento de la propiedad, que</w:t>
      </w:r>
      <w:r>
        <w:rPr>
          <w:spacing w:val="-37"/>
          <w:sz w:val="20"/>
        </w:rPr>
        <w:t> </w:t>
      </w:r>
      <w:r>
        <w:rPr>
          <w:sz w:val="20"/>
        </w:rPr>
        <w:t>se encuentra actualmente vigente, es el 1498/14 de 2014. En sus fundamentos se manifiesta que con ese acto “se da cumplimiento con la titulación de las tierras”. Su articulado, establece la “propiedad comunitaria” de un 58,27% de los “inmuebles nomenclatura</w:t>
      </w:r>
      <w:r>
        <w:rPr>
          <w:spacing w:val="-8"/>
          <w:sz w:val="20"/>
        </w:rPr>
        <w:t> </w:t>
      </w:r>
      <w:r>
        <w:rPr>
          <w:sz w:val="20"/>
        </w:rPr>
        <w:t>catastral</w:t>
      </w:r>
      <w:r>
        <w:rPr>
          <w:spacing w:val="-10"/>
          <w:sz w:val="20"/>
        </w:rPr>
        <w:t> </w:t>
      </w:r>
      <w:r>
        <w:rPr>
          <w:sz w:val="20"/>
        </w:rPr>
        <w:t>Matrículas</w:t>
      </w:r>
      <w:r>
        <w:rPr>
          <w:spacing w:val="-11"/>
          <w:sz w:val="20"/>
        </w:rPr>
        <w:t> </w:t>
      </w:r>
      <w:r>
        <w:rPr>
          <w:sz w:val="20"/>
        </w:rPr>
        <w:t>N°</w:t>
      </w:r>
      <w:r>
        <w:rPr>
          <w:spacing w:val="-10"/>
          <w:sz w:val="20"/>
        </w:rPr>
        <w:t> </w:t>
      </w:r>
      <w:r>
        <w:rPr>
          <w:sz w:val="20"/>
        </w:rPr>
        <w:t>175</w:t>
      </w:r>
      <w:r>
        <w:rPr>
          <w:spacing w:val="-10"/>
          <w:sz w:val="20"/>
        </w:rPr>
        <w:t> </w:t>
      </w:r>
      <w:r>
        <w:rPr>
          <w:sz w:val="20"/>
        </w:rPr>
        <w:t>y</w:t>
      </w:r>
      <w:r>
        <w:rPr>
          <w:spacing w:val="-11"/>
          <w:sz w:val="20"/>
        </w:rPr>
        <w:t> </w:t>
      </w:r>
      <w:r>
        <w:rPr>
          <w:sz w:val="20"/>
        </w:rPr>
        <w:t>5557</w:t>
      </w:r>
      <w:r>
        <w:rPr>
          <w:spacing w:val="-10"/>
          <w:sz w:val="20"/>
        </w:rPr>
        <w:t> </w:t>
      </w:r>
      <w:r>
        <w:rPr>
          <w:sz w:val="20"/>
        </w:rPr>
        <w:t>del</w:t>
      </w:r>
      <w:r>
        <w:rPr>
          <w:spacing w:val="-10"/>
          <w:sz w:val="20"/>
        </w:rPr>
        <w:t> </w:t>
      </w:r>
      <w:r>
        <w:rPr>
          <w:sz w:val="20"/>
        </w:rPr>
        <w:t>Departamento</w:t>
      </w:r>
      <w:r>
        <w:rPr>
          <w:spacing w:val="-11"/>
          <w:sz w:val="20"/>
        </w:rPr>
        <w:t> </w:t>
      </w:r>
      <w:r>
        <w:rPr>
          <w:sz w:val="20"/>
        </w:rPr>
        <w:t>Rivadavia”</w:t>
      </w:r>
      <w:r>
        <w:rPr>
          <w:spacing w:val="-11"/>
          <w:sz w:val="20"/>
        </w:rPr>
        <w:t> </w:t>
      </w:r>
      <w:r>
        <w:rPr>
          <w:sz w:val="20"/>
        </w:rPr>
        <w:t>(que</w:t>
      </w:r>
      <w:r>
        <w:rPr>
          <w:spacing w:val="-12"/>
          <w:sz w:val="20"/>
        </w:rPr>
        <w:t> </w:t>
      </w:r>
      <w:r>
        <w:rPr>
          <w:sz w:val="20"/>
        </w:rPr>
        <w:t>son los lotes 14 y 55) a 71 comunidades indígenas, y un “condominio”, de conformidad con las normas del Código Civil, de los mismos lotes, a favor de “solicitantes” criollos. Asimismo,</w:t>
      </w:r>
      <w:r>
        <w:rPr>
          <w:spacing w:val="-6"/>
          <w:sz w:val="20"/>
        </w:rPr>
        <w:t> </w:t>
      </w:r>
      <w:r>
        <w:rPr>
          <w:sz w:val="20"/>
        </w:rPr>
        <w:t>“reservó”</w:t>
      </w:r>
      <w:r>
        <w:rPr>
          <w:spacing w:val="-6"/>
          <w:sz w:val="20"/>
        </w:rPr>
        <w:t> </w:t>
      </w:r>
      <w:r>
        <w:rPr>
          <w:sz w:val="20"/>
        </w:rPr>
        <w:t>6,34%</w:t>
      </w:r>
      <w:r>
        <w:rPr>
          <w:spacing w:val="-6"/>
          <w:sz w:val="20"/>
        </w:rPr>
        <w:t> </w:t>
      </w:r>
      <w:r>
        <w:rPr>
          <w:sz w:val="20"/>
        </w:rPr>
        <w:t>de</w:t>
      </w:r>
      <w:r>
        <w:rPr>
          <w:spacing w:val="-5"/>
          <w:sz w:val="20"/>
        </w:rPr>
        <w:t> </w:t>
      </w:r>
      <w:r>
        <w:rPr>
          <w:sz w:val="20"/>
        </w:rPr>
        <w:t>la</w:t>
      </w:r>
      <w:r>
        <w:rPr>
          <w:spacing w:val="-5"/>
          <w:sz w:val="20"/>
        </w:rPr>
        <w:t> </w:t>
      </w:r>
      <w:r>
        <w:rPr>
          <w:sz w:val="20"/>
        </w:rPr>
        <w:t>tierra</w:t>
      </w:r>
      <w:r>
        <w:rPr>
          <w:spacing w:val="-5"/>
          <w:sz w:val="20"/>
        </w:rPr>
        <w:t> </w:t>
      </w:r>
      <w:r>
        <w:rPr>
          <w:sz w:val="20"/>
        </w:rPr>
        <w:t>para</w:t>
      </w:r>
      <w:r>
        <w:rPr>
          <w:spacing w:val="-5"/>
          <w:sz w:val="20"/>
        </w:rPr>
        <w:t> </w:t>
      </w:r>
      <w:r>
        <w:rPr>
          <w:sz w:val="20"/>
        </w:rPr>
        <w:t>Salta,</w:t>
      </w:r>
      <w:r>
        <w:rPr>
          <w:spacing w:val="-1"/>
          <w:sz w:val="20"/>
        </w:rPr>
        <w:t> </w:t>
      </w:r>
      <w:r>
        <w:rPr>
          <w:sz w:val="20"/>
        </w:rPr>
        <w:t>destinado</w:t>
      </w:r>
      <w:r>
        <w:rPr>
          <w:spacing w:val="-4"/>
          <w:sz w:val="20"/>
        </w:rPr>
        <w:t> </w:t>
      </w:r>
      <w:r>
        <w:rPr>
          <w:sz w:val="20"/>
        </w:rPr>
        <w:t>a</w:t>
      </w:r>
      <w:r>
        <w:rPr>
          <w:spacing w:val="-4"/>
          <w:sz w:val="20"/>
        </w:rPr>
        <w:t> </w:t>
      </w:r>
      <w:r>
        <w:rPr>
          <w:sz w:val="20"/>
        </w:rPr>
        <w:t>obras</w:t>
      </w:r>
      <w:r>
        <w:rPr>
          <w:spacing w:val="-4"/>
          <w:sz w:val="20"/>
        </w:rPr>
        <w:t> </w:t>
      </w:r>
      <w:r>
        <w:rPr>
          <w:sz w:val="20"/>
        </w:rPr>
        <w:t>de</w:t>
      </w:r>
      <w:r>
        <w:rPr>
          <w:spacing w:val="-5"/>
          <w:sz w:val="20"/>
        </w:rPr>
        <w:t> </w:t>
      </w:r>
      <w:r>
        <w:rPr>
          <w:sz w:val="20"/>
        </w:rPr>
        <w:t>infraestructura para “todo otro destino que resulte menester a los fines de la consecución de los acuerdos de parte y determinación específica de los lotes asignados”. Previó la futura “delimit[ación]” y “determinación específica de los territorios y lotes”, y que ésta “se realizar[ía] por intermedio de la</w:t>
      </w:r>
      <w:r>
        <w:rPr>
          <w:spacing w:val="-17"/>
          <w:sz w:val="20"/>
        </w:rPr>
        <w:t> </w:t>
      </w:r>
      <w:r>
        <w:rPr>
          <w:sz w:val="20"/>
        </w:rPr>
        <w:t>U[EP]”.</w:t>
      </w:r>
    </w:p>
    <w:p>
      <w:pPr>
        <w:pStyle w:val="BodyText"/>
      </w:pPr>
    </w:p>
    <w:p>
      <w:pPr>
        <w:pStyle w:val="ListParagraph"/>
        <w:numPr>
          <w:ilvl w:val="0"/>
          <w:numId w:val="21"/>
        </w:numPr>
        <w:tabs>
          <w:tab w:pos="830" w:val="left" w:leader="none"/>
        </w:tabs>
        <w:spacing w:line="240" w:lineRule="auto" w:before="0" w:after="0"/>
        <w:ind w:left="122" w:right="123" w:firstLine="0"/>
        <w:jc w:val="both"/>
        <w:rPr>
          <w:sz w:val="20"/>
        </w:rPr>
      </w:pPr>
      <w:r>
        <w:rPr>
          <w:sz w:val="20"/>
        </w:rPr>
        <w:t>El</w:t>
      </w:r>
      <w:r>
        <w:rPr>
          <w:spacing w:val="-9"/>
          <w:sz w:val="20"/>
        </w:rPr>
        <w:t> </w:t>
      </w:r>
      <w:r>
        <w:rPr>
          <w:sz w:val="20"/>
        </w:rPr>
        <w:t>Decreto</w:t>
      </w:r>
      <w:r>
        <w:rPr>
          <w:spacing w:val="-10"/>
          <w:sz w:val="20"/>
        </w:rPr>
        <w:t> </w:t>
      </w:r>
      <w:r>
        <w:rPr>
          <w:sz w:val="20"/>
        </w:rPr>
        <w:t>1498/14</w:t>
      </w:r>
      <w:r>
        <w:rPr>
          <w:spacing w:val="-8"/>
          <w:sz w:val="20"/>
        </w:rPr>
        <w:t> </w:t>
      </w:r>
      <w:r>
        <w:rPr>
          <w:sz w:val="20"/>
        </w:rPr>
        <w:t>reconoce</w:t>
      </w:r>
      <w:r>
        <w:rPr>
          <w:spacing w:val="-9"/>
          <w:sz w:val="20"/>
        </w:rPr>
        <w:t> </w:t>
      </w:r>
      <w:r>
        <w:rPr>
          <w:sz w:val="20"/>
        </w:rPr>
        <w:t>claramente</w:t>
      </w:r>
      <w:r>
        <w:rPr>
          <w:spacing w:val="-10"/>
          <w:sz w:val="20"/>
        </w:rPr>
        <w:t> </w:t>
      </w:r>
      <w:r>
        <w:rPr>
          <w:sz w:val="20"/>
        </w:rPr>
        <w:t>la</w:t>
      </w:r>
      <w:r>
        <w:rPr>
          <w:spacing w:val="-9"/>
          <w:sz w:val="20"/>
        </w:rPr>
        <w:t> </w:t>
      </w:r>
      <w:r>
        <w:rPr>
          <w:sz w:val="20"/>
        </w:rPr>
        <w:t>propiedad</w:t>
      </w:r>
      <w:r>
        <w:rPr>
          <w:spacing w:val="-8"/>
          <w:sz w:val="20"/>
        </w:rPr>
        <w:t> </w:t>
      </w:r>
      <w:r>
        <w:rPr>
          <w:sz w:val="20"/>
        </w:rPr>
        <w:t>de</w:t>
      </w:r>
      <w:r>
        <w:rPr>
          <w:spacing w:val="-8"/>
          <w:sz w:val="20"/>
        </w:rPr>
        <w:t> </w:t>
      </w:r>
      <w:r>
        <w:rPr>
          <w:sz w:val="20"/>
        </w:rPr>
        <w:t>comunidades</w:t>
      </w:r>
      <w:r>
        <w:rPr>
          <w:spacing w:val="-10"/>
          <w:sz w:val="20"/>
        </w:rPr>
        <w:t> </w:t>
      </w:r>
      <w:r>
        <w:rPr>
          <w:sz w:val="20"/>
        </w:rPr>
        <w:t>indígenas sobre su territorio. No obstante, también establece sobre la tierra respectiva un “condominio” a favor de personas criollas. Por ello, y dado sus propios términos, que establecen</w:t>
      </w:r>
      <w:r>
        <w:rPr>
          <w:spacing w:val="-13"/>
          <w:sz w:val="20"/>
        </w:rPr>
        <w:t> </w:t>
      </w:r>
      <w:r>
        <w:rPr>
          <w:sz w:val="20"/>
        </w:rPr>
        <w:t>un</w:t>
      </w:r>
      <w:r>
        <w:rPr>
          <w:spacing w:val="-13"/>
          <w:sz w:val="20"/>
        </w:rPr>
        <w:t> </w:t>
      </w:r>
      <w:r>
        <w:rPr>
          <w:sz w:val="20"/>
        </w:rPr>
        <w:t>derecho</w:t>
      </w:r>
      <w:r>
        <w:rPr>
          <w:spacing w:val="-15"/>
          <w:sz w:val="20"/>
        </w:rPr>
        <w:t> </w:t>
      </w:r>
      <w:r>
        <w:rPr>
          <w:sz w:val="20"/>
        </w:rPr>
        <w:t>de</w:t>
      </w:r>
      <w:r>
        <w:rPr>
          <w:spacing w:val="-15"/>
          <w:sz w:val="20"/>
        </w:rPr>
        <w:t> </w:t>
      </w:r>
      <w:r>
        <w:rPr>
          <w:sz w:val="20"/>
        </w:rPr>
        <w:t>propiedad</w:t>
      </w:r>
      <w:r>
        <w:rPr>
          <w:spacing w:val="-11"/>
          <w:sz w:val="20"/>
        </w:rPr>
        <w:t> </w:t>
      </w:r>
      <w:r>
        <w:rPr>
          <w:sz w:val="20"/>
        </w:rPr>
        <w:t>de</w:t>
      </w:r>
      <w:r>
        <w:rPr>
          <w:spacing w:val="-13"/>
          <w:sz w:val="20"/>
        </w:rPr>
        <w:t> </w:t>
      </w:r>
      <w:r>
        <w:rPr>
          <w:sz w:val="20"/>
        </w:rPr>
        <w:t>criollos</w:t>
      </w:r>
      <w:r>
        <w:rPr>
          <w:spacing w:val="-14"/>
          <w:sz w:val="20"/>
        </w:rPr>
        <w:t> </w:t>
      </w:r>
      <w:r>
        <w:rPr>
          <w:sz w:val="20"/>
        </w:rPr>
        <w:t>y</w:t>
      </w:r>
      <w:r>
        <w:rPr>
          <w:spacing w:val="-12"/>
          <w:sz w:val="20"/>
        </w:rPr>
        <w:t> </w:t>
      </w:r>
      <w:r>
        <w:rPr>
          <w:sz w:val="20"/>
        </w:rPr>
        <w:t>comunidades</w:t>
      </w:r>
      <w:r>
        <w:rPr>
          <w:spacing w:val="-14"/>
          <w:sz w:val="20"/>
        </w:rPr>
        <w:t> </w:t>
      </w:r>
      <w:r>
        <w:rPr>
          <w:sz w:val="20"/>
        </w:rPr>
        <w:t>indígenas</w:t>
      </w:r>
      <w:r>
        <w:rPr>
          <w:spacing w:val="-12"/>
          <w:sz w:val="20"/>
        </w:rPr>
        <w:t> </w:t>
      </w:r>
      <w:r>
        <w:rPr>
          <w:sz w:val="20"/>
        </w:rPr>
        <w:t>sobre</w:t>
      </w:r>
      <w:r>
        <w:rPr>
          <w:spacing w:val="-13"/>
          <w:sz w:val="20"/>
        </w:rPr>
        <w:t> </w:t>
      </w:r>
      <w:r>
        <w:rPr>
          <w:sz w:val="20"/>
        </w:rPr>
        <w:t>la</w:t>
      </w:r>
      <w:r>
        <w:rPr>
          <w:spacing w:val="-13"/>
          <w:sz w:val="20"/>
        </w:rPr>
        <w:t> </w:t>
      </w:r>
      <w:r>
        <w:rPr>
          <w:sz w:val="20"/>
        </w:rPr>
        <w:t>misma tierra</w:t>
      </w:r>
      <w:r>
        <w:rPr>
          <w:spacing w:val="-20"/>
          <w:sz w:val="20"/>
        </w:rPr>
        <w:t> </w:t>
      </w:r>
      <w:r>
        <w:rPr>
          <w:sz w:val="20"/>
        </w:rPr>
        <w:t>y</w:t>
      </w:r>
      <w:r>
        <w:rPr>
          <w:spacing w:val="-18"/>
          <w:sz w:val="20"/>
        </w:rPr>
        <w:t> </w:t>
      </w:r>
      <w:r>
        <w:rPr>
          <w:sz w:val="20"/>
        </w:rPr>
        <w:t>prevén</w:t>
      </w:r>
      <w:r>
        <w:rPr>
          <w:spacing w:val="-17"/>
          <w:sz w:val="20"/>
        </w:rPr>
        <w:t> </w:t>
      </w:r>
      <w:r>
        <w:rPr>
          <w:sz w:val="20"/>
        </w:rPr>
        <w:t>acciones</w:t>
      </w:r>
      <w:r>
        <w:rPr>
          <w:spacing w:val="-18"/>
          <w:sz w:val="20"/>
        </w:rPr>
        <w:t> </w:t>
      </w:r>
      <w:r>
        <w:rPr>
          <w:sz w:val="20"/>
        </w:rPr>
        <w:t>futuras</w:t>
      </w:r>
      <w:r>
        <w:rPr>
          <w:spacing w:val="-20"/>
          <w:sz w:val="20"/>
        </w:rPr>
        <w:t> </w:t>
      </w:r>
      <w:r>
        <w:rPr>
          <w:sz w:val="20"/>
        </w:rPr>
        <w:t>de</w:t>
      </w:r>
      <w:r>
        <w:rPr>
          <w:spacing w:val="-19"/>
          <w:sz w:val="20"/>
        </w:rPr>
        <w:t> </w:t>
      </w:r>
      <w:r>
        <w:rPr>
          <w:sz w:val="20"/>
        </w:rPr>
        <w:t>“determinación”</w:t>
      </w:r>
      <w:r>
        <w:rPr>
          <w:spacing w:val="-20"/>
          <w:sz w:val="20"/>
        </w:rPr>
        <w:t> </w:t>
      </w:r>
      <w:r>
        <w:rPr>
          <w:sz w:val="20"/>
        </w:rPr>
        <w:t>y</w:t>
      </w:r>
      <w:r>
        <w:rPr>
          <w:spacing w:val="-18"/>
          <w:sz w:val="20"/>
        </w:rPr>
        <w:t> </w:t>
      </w:r>
      <w:r>
        <w:rPr>
          <w:sz w:val="20"/>
        </w:rPr>
        <w:t>“delimitación”,</w:t>
      </w:r>
      <w:r>
        <w:rPr>
          <w:spacing w:val="-18"/>
          <w:sz w:val="20"/>
        </w:rPr>
        <w:t> </w:t>
      </w:r>
      <w:r>
        <w:rPr>
          <w:sz w:val="20"/>
        </w:rPr>
        <w:t>el</w:t>
      </w:r>
      <w:r>
        <w:rPr>
          <w:spacing w:val="-17"/>
          <w:sz w:val="20"/>
        </w:rPr>
        <w:t> </w:t>
      </w:r>
      <w:r>
        <w:rPr>
          <w:sz w:val="20"/>
        </w:rPr>
        <w:t>Decreto</w:t>
      </w:r>
      <w:r>
        <w:rPr>
          <w:spacing w:val="-19"/>
          <w:sz w:val="20"/>
        </w:rPr>
        <w:t> </w:t>
      </w:r>
      <w:r>
        <w:rPr>
          <w:sz w:val="20"/>
        </w:rPr>
        <w:t>no</w:t>
      </w:r>
      <w:r>
        <w:rPr>
          <w:spacing w:val="-21"/>
          <w:sz w:val="20"/>
        </w:rPr>
        <w:t> </w:t>
      </w:r>
      <w:r>
        <w:rPr>
          <w:sz w:val="20"/>
        </w:rPr>
        <w:t>puede entenderse</w:t>
      </w:r>
      <w:r>
        <w:rPr>
          <w:spacing w:val="-16"/>
          <w:sz w:val="20"/>
        </w:rPr>
        <w:t> </w:t>
      </w:r>
      <w:r>
        <w:rPr>
          <w:sz w:val="20"/>
        </w:rPr>
        <w:t>como</w:t>
      </w:r>
      <w:r>
        <w:rPr>
          <w:spacing w:val="-19"/>
          <w:sz w:val="20"/>
        </w:rPr>
        <w:t> </w:t>
      </w:r>
      <w:r>
        <w:rPr>
          <w:sz w:val="20"/>
        </w:rPr>
        <w:t>un</w:t>
      </w:r>
      <w:r>
        <w:rPr>
          <w:spacing w:val="-17"/>
          <w:sz w:val="20"/>
        </w:rPr>
        <w:t> </w:t>
      </w:r>
      <w:r>
        <w:rPr>
          <w:sz w:val="20"/>
        </w:rPr>
        <w:t>acto</w:t>
      </w:r>
      <w:r>
        <w:rPr>
          <w:spacing w:val="-18"/>
          <w:sz w:val="20"/>
        </w:rPr>
        <w:t> </w:t>
      </w:r>
      <w:r>
        <w:rPr>
          <w:sz w:val="20"/>
        </w:rPr>
        <w:t>final</w:t>
      </w:r>
      <w:r>
        <w:rPr>
          <w:spacing w:val="-15"/>
          <w:sz w:val="20"/>
        </w:rPr>
        <w:t> </w:t>
      </w:r>
      <w:r>
        <w:rPr>
          <w:sz w:val="20"/>
        </w:rPr>
        <w:t>respecto</w:t>
      </w:r>
      <w:r>
        <w:rPr>
          <w:spacing w:val="-16"/>
          <w:sz w:val="20"/>
        </w:rPr>
        <w:t> </w:t>
      </w:r>
      <w:r>
        <w:rPr>
          <w:sz w:val="20"/>
        </w:rPr>
        <w:t>a</w:t>
      </w:r>
      <w:r>
        <w:rPr>
          <w:spacing w:val="-17"/>
          <w:sz w:val="20"/>
        </w:rPr>
        <w:t> </w:t>
      </w:r>
      <w:r>
        <w:rPr>
          <w:sz w:val="20"/>
        </w:rPr>
        <w:t>la</w:t>
      </w:r>
      <w:r>
        <w:rPr>
          <w:spacing w:val="-15"/>
          <w:sz w:val="20"/>
        </w:rPr>
        <w:t> </w:t>
      </w:r>
      <w:r>
        <w:rPr>
          <w:sz w:val="20"/>
        </w:rPr>
        <w:t>satisfacción</w:t>
      </w:r>
      <w:r>
        <w:rPr>
          <w:spacing w:val="-17"/>
          <w:sz w:val="20"/>
        </w:rPr>
        <w:t> </w:t>
      </w:r>
      <w:r>
        <w:rPr>
          <w:sz w:val="20"/>
        </w:rPr>
        <w:t>estatal</w:t>
      </w:r>
      <w:r>
        <w:rPr>
          <w:spacing w:val="-17"/>
          <w:sz w:val="20"/>
        </w:rPr>
        <w:t> </w:t>
      </w:r>
      <w:r>
        <w:rPr>
          <w:sz w:val="20"/>
        </w:rPr>
        <w:t>del</w:t>
      </w:r>
      <w:r>
        <w:rPr>
          <w:spacing w:val="-15"/>
          <w:sz w:val="20"/>
        </w:rPr>
        <w:t> </w:t>
      </w:r>
      <w:r>
        <w:rPr>
          <w:sz w:val="20"/>
        </w:rPr>
        <w:t>derecho</w:t>
      </w:r>
      <w:r>
        <w:rPr>
          <w:spacing w:val="-19"/>
          <w:sz w:val="20"/>
        </w:rPr>
        <w:t> </w:t>
      </w:r>
      <w:r>
        <w:rPr>
          <w:sz w:val="20"/>
        </w:rPr>
        <w:t>de</w:t>
      </w:r>
      <w:r>
        <w:rPr>
          <w:spacing w:val="-17"/>
          <w:sz w:val="20"/>
        </w:rPr>
        <w:t> </w:t>
      </w:r>
      <w:r>
        <w:rPr>
          <w:sz w:val="20"/>
        </w:rPr>
        <w:t>propiedad de las comunidades. En ese mismo sentido, si bien el Estado aseveró que el Decreto 1498/14</w:t>
      </w:r>
      <w:r>
        <w:rPr>
          <w:spacing w:val="-8"/>
          <w:sz w:val="20"/>
        </w:rPr>
        <w:t> </w:t>
      </w:r>
      <w:r>
        <w:rPr>
          <w:sz w:val="20"/>
        </w:rPr>
        <w:t>constituía</w:t>
      </w:r>
      <w:r>
        <w:rPr>
          <w:spacing w:val="-9"/>
          <w:sz w:val="20"/>
        </w:rPr>
        <w:t> </w:t>
      </w:r>
      <w:r>
        <w:rPr>
          <w:sz w:val="20"/>
        </w:rPr>
        <w:t>el</w:t>
      </w:r>
      <w:r>
        <w:rPr>
          <w:spacing w:val="-8"/>
          <w:sz w:val="20"/>
        </w:rPr>
        <w:t> </w:t>
      </w:r>
      <w:r>
        <w:rPr>
          <w:sz w:val="20"/>
        </w:rPr>
        <w:t>“título</w:t>
      </w:r>
      <w:r>
        <w:rPr>
          <w:spacing w:val="-10"/>
          <w:sz w:val="20"/>
        </w:rPr>
        <w:t> </w:t>
      </w:r>
      <w:r>
        <w:rPr>
          <w:sz w:val="20"/>
        </w:rPr>
        <w:t>único”</w:t>
      </w:r>
      <w:r>
        <w:rPr>
          <w:spacing w:val="-7"/>
          <w:sz w:val="20"/>
        </w:rPr>
        <w:t> </w:t>
      </w:r>
      <w:r>
        <w:rPr>
          <w:sz w:val="20"/>
        </w:rPr>
        <w:t>reclamado</w:t>
      </w:r>
      <w:r>
        <w:rPr>
          <w:spacing w:val="-10"/>
          <w:sz w:val="20"/>
        </w:rPr>
        <w:t> </w:t>
      </w:r>
      <w:r>
        <w:rPr>
          <w:sz w:val="20"/>
        </w:rPr>
        <w:t>por</w:t>
      </w:r>
      <w:r>
        <w:rPr>
          <w:spacing w:val="-10"/>
          <w:sz w:val="20"/>
        </w:rPr>
        <w:t> </w:t>
      </w:r>
      <w:r>
        <w:rPr>
          <w:sz w:val="20"/>
        </w:rPr>
        <w:t>las</w:t>
      </w:r>
      <w:r>
        <w:rPr>
          <w:spacing w:val="-10"/>
          <w:sz w:val="20"/>
        </w:rPr>
        <w:t> </w:t>
      </w:r>
      <w:r>
        <w:rPr>
          <w:sz w:val="20"/>
        </w:rPr>
        <w:t>comunidades,</w:t>
      </w:r>
      <w:r>
        <w:rPr>
          <w:spacing w:val="-9"/>
          <w:sz w:val="20"/>
        </w:rPr>
        <w:t> </w:t>
      </w:r>
      <w:r>
        <w:rPr>
          <w:sz w:val="20"/>
        </w:rPr>
        <w:t>también</w:t>
      </w:r>
      <w:r>
        <w:rPr>
          <w:spacing w:val="1"/>
          <w:sz w:val="20"/>
        </w:rPr>
        <w:t> </w:t>
      </w:r>
      <w:r>
        <w:rPr>
          <w:sz w:val="20"/>
        </w:rPr>
        <w:t>afirmó</w:t>
      </w:r>
      <w:r>
        <w:rPr>
          <w:spacing w:val="-10"/>
          <w:sz w:val="20"/>
        </w:rPr>
        <w:t> </w:t>
      </w:r>
      <w:r>
        <w:rPr>
          <w:sz w:val="20"/>
        </w:rPr>
        <w:t>que para</w:t>
      </w:r>
      <w:r>
        <w:rPr>
          <w:spacing w:val="-12"/>
          <w:sz w:val="20"/>
        </w:rPr>
        <w:t> </w:t>
      </w:r>
      <w:r>
        <w:rPr>
          <w:sz w:val="20"/>
        </w:rPr>
        <w:t>“la</w:t>
      </w:r>
      <w:r>
        <w:rPr>
          <w:spacing w:val="-10"/>
          <w:sz w:val="20"/>
        </w:rPr>
        <w:t> </w:t>
      </w:r>
      <w:r>
        <w:rPr>
          <w:sz w:val="20"/>
        </w:rPr>
        <w:t>entrega</w:t>
      </w:r>
      <w:r>
        <w:rPr>
          <w:spacing w:val="-12"/>
          <w:sz w:val="20"/>
        </w:rPr>
        <w:t> </w:t>
      </w:r>
      <w:r>
        <w:rPr>
          <w:sz w:val="20"/>
        </w:rPr>
        <w:t>del</w:t>
      </w:r>
      <w:r>
        <w:rPr>
          <w:spacing w:val="-12"/>
          <w:sz w:val="20"/>
        </w:rPr>
        <w:t> </w:t>
      </w:r>
      <w:r>
        <w:rPr>
          <w:sz w:val="20"/>
        </w:rPr>
        <w:t>título</w:t>
      </w:r>
      <w:r>
        <w:rPr>
          <w:spacing w:val="-11"/>
          <w:sz w:val="20"/>
        </w:rPr>
        <w:t> </w:t>
      </w:r>
      <w:r>
        <w:rPr>
          <w:sz w:val="20"/>
        </w:rPr>
        <w:t>único”</w:t>
      </w:r>
      <w:r>
        <w:rPr>
          <w:spacing w:val="-11"/>
          <w:sz w:val="20"/>
        </w:rPr>
        <w:t> </w:t>
      </w:r>
      <w:r>
        <w:rPr>
          <w:sz w:val="20"/>
        </w:rPr>
        <w:t>era</w:t>
      </w:r>
      <w:r>
        <w:rPr>
          <w:spacing w:val="-12"/>
          <w:sz w:val="20"/>
        </w:rPr>
        <w:t> </w:t>
      </w:r>
      <w:r>
        <w:rPr>
          <w:sz w:val="20"/>
        </w:rPr>
        <w:t>necesario</w:t>
      </w:r>
      <w:r>
        <w:rPr>
          <w:spacing w:val="-11"/>
          <w:sz w:val="20"/>
        </w:rPr>
        <w:t> </w:t>
      </w:r>
      <w:r>
        <w:rPr>
          <w:sz w:val="20"/>
        </w:rPr>
        <w:t>concluir</w:t>
      </w:r>
      <w:r>
        <w:rPr>
          <w:spacing w:val="-14"/>
          <w:sz w:val="20"/>
        </w:rPr>
        <w:t> </w:t>
      </w:r>
      <w:r>
        <w:rPr>
          <w:sz w:val="20"/>
        </w:rPr>
        <w:t>acuerdos</w:t>
      </w:r>
      <w:r>
        <w:rPr>
          <w:spacing w:val="-11"/>
          <w:sz w:val="20"/>
        </w:rPr>
        <w:t> </w:t>
      </w:r>
      <w:r>
        <w:rPr>
          <w:sz w:val="20"/>
        </w:rPr>
        <w:t>(</w:t>
      </w:r>
      <w:r>
        <w:rPr>
          <w:i/>
          <w:sz w:val="20"/>
        </w:rPr>
        <w:t>supra</w:t>
      </w:r>
      <w:r>
        <w:rPr>
          <w:sz w:val="20"/>
        </w:rPr>
        <w:t>,</w:t>
      </w:r>
      <w:r>
        <w:rPr>
          <w:spacing w:val="-11"/>
          <w:sz w:val="20"/>
        </w:rPr>
        <w:t> </w:t>
      </w:r>
      <w:r>
        <w:rPr>
          <w:sz w:val="20"/>
        </w:rPr>
        <w:t>párrs.</w:t>
      </w:r>
      <w:r>
        <w:rPr>
          <w:spacing w:val="-13"/>
          <w:sz w:val="20"/>
        </w:rPr>
        <w:t> </w:t>
      </w:r>
      <w:r>
        <w:rPr>
          <w:sz w:val="20"/>
        </w:rPr>
        <w:t>110,</w:t>
      </w:r>
      <w:r>
        <w:rPr>
          <w:spacing w:val="-13"/>
          <w:sz w:val="20"/>
        </w:rPr>
        <w:t> </w:t>
      </w:r>
      <w:r>
        <w:rPr>
          <w:sz w:val="20"/>
        </w:rPr>
        <w:t>111 y 133). Por ende, si bien es posible entender el Decreto 1498/14 como un acto que reconoce el derecho de propiedad de las comunidades y le brinda mayor seguridad jurídica, ello sólo es así en tanto se lo entienda como un acto que previó la ulterior modificación de la situación que estableció</w:t>
      </w:r>
      <w:r>
        <w:rPr>
          <w:rFonts w:ascii="Calibri" w:hAnsi="Calibri"/>
          <w:position w:val="8"/>
          <w:sz w:val="14"/>
        </w:rPr>
        <w:t>142</w:t>
      </w:r>
      <w:r>
        <w:rPr>
          <w:sz w:val="20"/>
        </w:rPr>
        <w:t>. No obstante, esa situación todavía permanece</w:t>
      </w:r>
      <w:r>
        <w:rPr>
          <w:spacing w:val="-12"/>
          <w:sz w:val="20"/>
        </w:rPr>
        <w:t> </w:t>
      </w:r>
      <w:r>
        <w:rPr>
          <w:sz w:val="20"/>
        </w:rPr>
        <w:t>inalterada.</w:t>
      </w:r>
    </w:p>
    <w:p>
      <w:pPr>
        <w:pStyle w:val="BodyText"/>
      </w:pPr>
    </w:p>
    <w:p>
      <w:pPr>
        <w:pStyle w:val="ListParagraph"/>
        <w:numPr>
          <w:ilvl w:val="0"/>
          <w:numId w:val="21"/>
        </w:numPr>
        <w:tabs>
          <w:tab w:pos="830" w:val="left" w:leader="none"/>
        </w:tabs>
        <w:spacing w:line="240" w:lineRule="auto" w:before="0" w:after="0"/>
        <w:ind w:left="122" w:right="124" w:firstLine="0"/>
        <w:jc w:val="both"/>
        <w:rPr>
          <w:sz w:val="20"/>
        </w:rPr>
      </w:pPr>
      <w:r>
        <w:rPr>
          <w:sz w:val="20"/>
        </w:rPr>
        <w:t>La</w:t>
      </w:r>
      <w:r>
        <w:rPr>
          <w:spacing w:val="-20"/>
          <w:sz w:val="20"/>
        </w:rPr>
        <w:t> </w:t>
      </w:r>
      <w:r>
        <w:rPr>
          <w:sz w:val="20"/>
        </w:rPr>
        <w:t>Corte</w:t>
      </w:r>
      <w:r>
        <w:rPr>
          <w:spacing w:val="-19"/>
          <w:sz w:val="20"/>
        </w:rPr>
        <w:t> </w:t>
      </w:r>
      <w:r>
        <w:rPr>
          <w:sz w:val="20"/>
        </w:rPr>
        <w:t>advierte</w:t>
      </w:r>
      <w:r>
        <w:rPr>
          <w:spacing w:val="-19"/>
          <w:sz w:val="20"/>
        </w:rPr>
        <w:t> </w:t>
      </w:r>
      <w:r>
        <w:rPr>
          <w:sz w:val="20"/>
        </w:rPr>
        <w:t>la</w:t>
      </w:r>
      <w:r>
        <w:rPr>
          <w:spacing w:val="-17"/>
          <w:sz w:val="20"/>
        </w:rPr>
        <w:t> </w:t>
      </w:r>
      <w:r>
        <w:rPr>
          <w:sz w:val="20"/>
        </w:rPr>
        <w:t>complejidad</w:t>
      </w:r>
      <w:r>
        <w:rPr>
          <w:spacing w:val="-19"/>
          <w:sz w:val="20"/>
        </w:rPr>
        <w:t> </w:t>
      </w:r>
      <w:r>
        <w:rPr>
          <w:sz w:val="20"/>
        </w:rPr>
        <w:t>del</w:t>
      </w:r>
      <w:r>
        <w:rPr>
          <w:spacing w:val="-17"/>
          <w:sz w:val="20"/>
        </w:rPr>
        <w:t> </w:t>
      </w:r>
      <w:r>
        <w:rPr>
          <w:sz w:val="20"/>
        </w:rPr>
        <w:t>caso</w:t>
      </w:r>
      <w:r>
        <w:rPr>
          <w:spacing w:val="-17"/>
          <w:sz w:val="20"/>
        </w:rPr>
        <w:t> </w:t>
      </w:r>
      <w:r>
        <w:rPr>
          <w:sz w:val="20"/>
        </w:rPr>
        <w:t>y</w:t>
      </w:r>
      <w:r>
        <w:rPr>
          <w:spacing w:val="-20"/>
          <w:sz w:val="20"/>
        </w:rPr>
        <w:t> </w:t>
      </w:r>
      <w:r>
        <w:rPr>
          <w:sz w:val="20"/>
        </w:rPr>
        <w:t>las</w:t>
      </w:r>
      <w:r>
        <w:rPr>
          <w:spacing w:val="-21"/>
          <w:sz w:val="20"/>
        </w:rPr>
        <w:t> </w:t>
      </w:r>
      <w:r>
        <w:rPr>
          <w:sz w:val="20"/>
        </w:rPr>
        <w:t>dificultades</w:t>
      </w:r>
      <w:r>
        <w:rPr>
          <w:spacing w:val="-18"/>
          <w:sz w:val="20"/>
        </w:rPr>
        <w:t> </w:t>
      </w:r>
      <w:r>
        <w:rPr>
          <w:sz w:val="20"/>
        </w:rPr>
        <w:t>que</w:t>
      </w:r>
      <w:r>
        <w:rPr>
          <w:spacing w:val="-19"/>
          <w:sz w:val="20"/>
        </w:rPr>
        <w:t> </w:t>
      </w:r>
      <w:r>
        <w:rPr>
          <w:sz w:val="20"/>
        </w:rPr>
        <w:t>ha</w:t>
      </w:r>
      <w:r>
        <w:rPr>
          <w:spacing w:val="-18"/>
          <w:sz w:val="20"/>
        </w:rPr>
        <w:t> </w:t>
      </w:r>
      <w:r>
        <w:rPr>
          <w:sz w:val="20"/>
        </w:rPr>
        <w:t>tenido</w:t>
      </w:r>
      <w:r>
        <w:rPr>
          <w:spacing w:val="-16"/>
          <w:sz w:val="20"/>
        </w:rPr>
        <w:t> </w:t>
      </w:r>
      <w:r>
        <w:rPr>
          <w:sz w:val="20"/>
        </w:rPr>
        <w:t>el</w:t>
      </w:r>
      <w:r>
        <w:rPr>
          <w:spacing w:val="-20"/>
          <w:sz w:val="20"/>
        </w:rPr>
        <w:t> </w:t>
      </w:r>
      <w:r>
        <w:rPr>
          <w:sz w:val="20"/>
        </w:rPr>
        <w:t>Estado para concretar las acciones necesarias para garantizar adecuadamente el derecho de propiedad. Argentina destacó la complejidad que conlleva “el traslado de personas criollas,</w:t>
      </w:r>
      <w:r>
        <w:rPr>
          <w:spacing w:val="-19"/>
          <w:sz w:val="20"/>
        </w:rPr>
        <w:t> </w:t>
      </w:r>
      <w:r>
        <w:rPr>
          <w:sz w:val="20"/>
        </w:rPr>
        <w:t>adultos,</w:t>
      </w:r>
      <w:r>
        <w:rPr>
          <w:spacing w:val="-18"/>
          <w:sz w:val="20"/>
        </w:rPr>
        <w:t> </w:t>
      </w:r>
      <w:r>
        <w:rPr>
          <w:sz w:val="20"/>
        </w:rPr>
        <w:t>adolescentes</w:t>
      </w:r>
      <w:r>
        <w:rPr>
          <w:spacing w:val="-17"/>
          <w:sz w:val="20"/>
        </w:rPr>
        <w:t> </w:t>
      </w:r>
      <w:r>
        <w:rPr>
          <w:sz w:val="20"/>
        </w:rPr>
        <w:t>y</w:t>
      </w:r>
      <w:r>
        <w:rPr>
          <w:spacing w:val="-18"/>
          <w:sz w:val="20"/>
        </w:rPr>
        <w:t> </w:t>
      </w:r>
      <w:r>
        <w:rPr>
          <w:sz w:val="20"/>
        </w:rPr>
        <w:t>niños</w:t>
      </w:r>
      <w:r>
        <w:rPr>
          <w:spacing w:val="-18"/>
          <w:sz w:val="20"/>
        </w:rPr>
        <w:t> </w:t>
      </w:r>
      <w:r>
        <w:rPr>
          <w:sz w:val="20"/>
        </w:rPr>
        <w:t>y</w:t>
      </w:r>
      <w:r>
        <w:rPr>
          <w:spacing w:val="-18"/>
          <w:sz w:val="20"/>
        </w:rPr>
        <w:t> </w:t>
      </w:r>
      <w:r>
        <w:rPr>
          <w:sz w:val="20"/>
        </w:rPr>
        <w:t>niñas,</w:t>
      </w:r>
      <w:r>
        <w:rPr>
          <w:spacing w:val="-17"/>
          <w:sz w:val="20"/>
        </w:rPr>
        <w:t> </w:t>
      </w:r>
      <w:r>
        <w:rPr>
          <w:sz w:val="20"/>
        </w:rPr>
        <w:t>familias</w:t>
      </w:r>
      <w:r>
        <w:rPr>
          <w:spacing w:val="-18"/>
          <w:sz w:val="20"/>
        </w:rPr>
        <w:t> </w:t>
      </w:r>
      <w:r>
        <w:rPr>
          <w:sz w:val="20"/>
        </w:rPr>
        <w:t>enteras</w:t>
      </w:r>
      <w:r>
        <w:rPr>
          <w:spacing w:val="-18"/>
          <w:sz w:val="20"/>
        </w:rPr>
        <w:t> </w:t>
      </w:r>
      <w:r>
        <w:rPr>
          <w:sz w:val="20"/>
        </w:rPr>
        <w:t>con</w:t>
      </w:r>
      <w:r>
        <w:rPr>
          <w:spacing w:val="-18"/>
          <w:sz w:val="20"/>
        </w:rPr>
        <w:t> </w:t>
      </w:r>
      <w:r>
        <w:rPr>
          <w:sz w:val="20"/>
        </w:rPr>
        <w:t>su</w:t>
      </w:r>
      <w:r>
        <w:rPr>
          <w:spacing w:val="-18"/>
          <w:sz w:val="20"/>
        </w:rPr>
        <w:t> </w:t>
      </w:r>
      <w:r>
        <w:rPr>
          <w:sz w:val="20"/>
        </w:rPr>
        <w:t>ganado</w:t>
      </w:r>
      <w:r>
        <w:rPr>
          <w:spacing w:val="-19"/>
          <w:sz w:val="20"/>
        </w:rPr>
        <w:t> </w:t>
      </w:r>
      <w:r>
        <w:rPr>
          <w:sz w:val="20"/>
        </w:rPr>
        <w:t>y</w:t>
      </w:r>
      <w:r>
        <w:rPr>
          <w:spacing w:val="-18"/>
          <w:sz w:val="20"/>
        </w:rPr>
        <w:t> </w:t>
      </w:r>
      <w:r>
        <w:rPr>
          <w:sz w:val="20"/>
        </w:rPr>
        <w:t>unidades económicas de subsistencia, para lo cual resulta necesario, con carácter previo […], la realización de las obras de infraestructura necesarias que garanticen el acceso al agua potable, salud, seguridad, educación, energía, accesibilidad de caminos, alambrados para contener el ganado y que no invada territorio de las comunidades, entre otras”. Informó, asimismo, que el “proceso participativo para la regularización dominial” ha requerido “redoblar los esfuerzos en tiempo y en la cantidad de recursos humanos”. Además, aunque no en todos sus aspectos está necesariamente vinculado a la garantía de la propiedad comunitaria, la Corte toma nota también que el Estado señaló haber avanzado en un “Plan de obras” en la zona, que según informó, conlleva importantes erogaciones</w:t>
      </w:r>
      <w:r>
        <w:rPr>
          <w:spacing w:val="-6"/>
          <w:sz w:val="20"/>
        </w:rPr>
        <w:t> </w:t>
      </w:r>
      <w:r>
        <w:rPr>
          <w:sz w:val="20"/>
        </w:rPr>
        <w:t>económicas</w:t>
      </w:r>
      <w:r>
        <w:rPr>
          <w:spacing w:val="-8"/>
          <w:sz w:val="20"/>
        </w:rPr>
        <w:t> </w:t>
      </w:r>
      <w:r>
        <w:rPr>
          <w:sz w:val="20"/>
        </w:rPr>
        <w:t>y</w:t>
      </w:r>
      <w:r>
        <w:rPr>
          <w:spacing w:val="-9"/>
          <w:sz w:val="20"/>
        </w:rPr>
        <w:t> </w:t>
      </w:r>
      <w:r>
        <w:rPr>
          <w:sz w:val="20"/>
        </w:rPr>
        <w:t>continúa</w:t>
      </w:r>
      <w:r>
        <w:rPr>
          <w:spacing w:val="-10"/>
          <w:sz w:val="20"/>
        </w:rPr>
        <w:t> </w:t>
      </w:r>
      <w:r>
        <w:rPr>
          <w:sz w:val="20"/>
        </w:rPr>
        <w:t>“en</w:t>
      </w:r>
      <w:r>
        <w:rPr>
          <w:spacing w:val="-7"/>
          <w:sz w:val="20"/>
        </w:rPr>
        <w:t> </w:t>
      </w:r>
      <w:r>
        <w:rPr>
          <w:sz w:val="20"/>
        </w:rPr>
        <w:t>proceso”,</w:t>
      </w:r>
      <w:r>
        <w:rPr>
          <w:spacing w:val="-10"/>
          <w:sz w:val="20"/>
        </w:rPr>
        <w:t> </w:t>
      </w:r>
      <w:r>
        <w:rPr>
          <w:sz w:val="20"/>
        </w:rPr>
        <w:t>para</w:t>
      </w:r>
      <w:r>
        <w:rPr>
          <w:spacing w:val="-10"/>
          <w:sz w:val="20"/>
        </w:rPr>
        <w:t> </w:t>
      </w:r>
      <w:r>
        <w:rPr>
          <w:sz w:val="20"/>
        </w:rPr>
        <w:t>garantizar</w:t>
      </w:r>
      <w:r>
        <w:rPr>
          <w:spacing w:val="-9"/>
          <w:sz w:val="20"/>
        </w:rPr>
        <w:t> </w:t>
      </w:r>
      <w:r>
        <w:rPr>
          <w:sz w:val="20"/>
        </w:rPr>
        <w:t>“no</w:t>
      </w:r>
      <w:r>
        <w:rPr>
          <w:spacing w:val="-9"/>
          <w:sz w:val="20"/>
        </w:rPr>
        <w:t> </w:t>
      </w:r>
      <w:r>
        <w:rPr>
          <w:sz w:val="20"/>
        </w:rPr>
        <w:t>solo</w:t>
      </w:r>
      <w:r>
        <w:rPr>
          <w:spacing w:val="-9"/>
          <w:sz w:val="20"/>
        </w:rPr>
        <w:t> </w:t>
      </w:r>
      <w:r>
        <w:rPr>
          <w:sz w:val="20"/>
        </w:rPr>
        <w:t>el</w:t>
      </w:r>
      <w:r>
        <w:rPr>
          <w:spacing w:val="-7"/>
          <w:sz w:val="20"/>
        </w:rPr>
        <w:t> </w:t>
      </w:r>
      <w:r>
        <w:rPr>
          <w:sz w:val="20"/>
        </w:rPr>
        <w:t>derecho</w:t>
      </w:r>
      <w:r>
        <w:rPr>
          <w:spacing w:val="-9"/>
          <w:sz w:val="20"/>
        </w:rPr>
        <w:t> </w:t>
      </w:r>
      <w:r>
        <w:rPr>
          <w:sz w:val="20"/>
        </w:rPr>
        <w:t>de</w:t>
      </w:r>
    </w:p>
    <w:p>
      <w:pPr>
        <w:pStyle w:val="BodyText"/>
        <w:spacing w:before="3"/>
        <w:rPr>
          <w:sz w:val="23"/>
        </w:rPr>
      </w:pPr>
      <w:r>
        <w:rPr/>
        <w:pict>
          <v:line style="position:absolute;mso-position-horizontal-relative:page;mso-position-vertical-relative:paragraph;z-index:2152;mso-wrap-distance-left:0;mso-wrap-distance-right:0" from="85.103996pt,16.474087pt" to="229.123996pt,16.474087pt" stroked="true" strokeweight=".71997pt" strokecolor="#000000">
            <v:stroke dashstyle="solid"/>
            <w10:wrap type="topAndBottom"/>
          </v:line>
        </w:pict>
      </w:r>
    </w:p>
    <w:p>
      <w:pPr>
        <w:tabs>
          <w:tab w:pos="829" w:val="left" w:leader="none"/>
        </w:tabs>
        <w:spacing w:line="240" w:lineRule="auto" w:before="72"/>
        <w:ind w:left="122" w:right="115" w:firstLine="0"/>
        <w:jc w:val="both"/>
        <w:rPr>
          <w:sz w:val="16"/>
        </w:rPr>
      </w:pPr>
      <w:r>
        <w:rPr>
          <w:position w:val="6"/>
          <w:sz w:val="10"/>
        </w:rPr>
        <w:t>142</w:t>
        <w:tab/>
      </w:r>
      <w:r>
        <w:rPr>
          <w:sz w:val="16"/>
        </w:rPr>
        <w:t>En ese sentido, el escrito de </w:t>
      </w:r>
      <w:r>
        <w:rPr>
          <w:i/>
          <w:sz w:val="16"/>
        </w:rPr>
        <w:t>amicus curiae </w:t>
      </w:r>
      <w:r>
        <w:rPr>
          <w:sz w:val="16"/>
        </w:rPr>
        <w:t>presentado por DPLF y otras entidades hizo notar </w:t>
      </w:r>
      <w:r>
        <w:rPr>
          <w:spacing w:val="10"/>
          <w:sz w:val="16"/>
        </w:rPr>
        <w:t> </w:t>
      </w:r>
      <w:r>
        <w:rPr>
          <w:sz w:val="16"/>
        </w:rPr>
        <w:t>que</w:t>
      </w:r>
      <w:r>
        <w:rPr>
          <w:spacing w:val="5"/>
          <w:sz w:val="16"/>
        </w:rPr>
        <w:t> </w:t>
      </w:r>
      <w:r>
        <w:rPr>
          <w:sz w:val="16"/>
        </w:rPr>
        <w:t>la</w:t>
      </w:r>
      <w:r>
        <w:rPr>
          <w:w w:val="100"/>
          <w:sz w:val="16"/>
        </w:rPr>
        <w:t> </w:t>
      </w:r>
      <w:r>
        <w:rPr>
          <w:sz w:val="16"/>
        </w:rPr>
        <w:t>OIT ha “reconocido las complejidades y demandas de tiempo que involucra la regularización de la propiedad de la tierra, recomendando así la adopción de medidas transitorias de protección de </w:t>
      </w:r>
      <w:r>
        <w:rPr>
          <w:spacing w:val="-2"/>
          <w:sz w:val="16"/>
        </w:rPr>
        <w:t>los </w:t>
      </w:r>
      <w:r>
        <w:rPr>
          <w:sz w:val="16"/>
        </w:rPr>
        <w:t>derechos sobre la tierra de los pueblos indígenas mientras se espera la resolución final”. Por otra parte, la Corte aclara que, como se dijo, el Decreto 1498/14 es en sí un acto que prevé acciones que todavía no se han completado y, además, el último de otros actos que implicaron, en el caso concreto, un reconocimiento de propiedad. Por ello, no resulta necesario un examen pormenorizado de la compatibilidad de cada uno de esos actos con la Convención, sino que basta examinar en forma unificada el proceso que se ha seguido en el caso, integrado por los actos aludidos. Este modo de examen es común a todos los aspectos de fondo tratados en esta Sentencia: la sucesión de actos a lo largo de más de 28 años se examina en forma unificada, teniendo en cuenta los resultados de la misma o la situación</w:t>
      </w:r>
      <w:r>
        <w:rPr>
          <w:spacing w:val="-15"/>
          <w:sz w:val="16"/>
        </w:rPr>
        <w:t> </w:t>
      </w:r>
      <w:r>
        <w:rPr>
          <w:sz w:val="16"/>
        </w:rPr>
        <w:t>actual.</w:t>
      </w:r>
    </w:p>
    <w:p>
      <w:pPr>
        <w:spacing w:after="0" w:line="240" w:lineRule="auto"/>
        <w:jc w:val="both"/>
        <w:rPr>
          <w:sz w:val="16"/>
        </w:rPr>
        <w:sectPr>
          <w:pgSz w:w="12240" w:h="15840"/>
          <w:pgMar w:header="0" w:footer="1000" w:top="1340" w:bottom="1200" w:left="1580" w:right="1580"/>
        </w:sectPr>
      </w:pPr>
    </w:p>
    <w:p>
      <w:pPr>
        <w:pStyle w:val="BodyText"/>
        <w:spacing w:line="242" w:lineRule="auto" w:before="76"/>
        <w:ind w:left="122" w:right="131"/>
        <w:jc w:val="both"/>
      </w:pPr>
      <w:r>
        <w:rPr/>
        <w:t>propiedad”,</w:t>
      </w:r>
      <w:r>
        <w:rPr>
          <w:spacing w:val="-13"/>
        </w:rPr>
        <w:t> </w:t>
      </w:r>
      <w:r>
        <w:rPr/>
        <w:t>sino</w:t>
      </w:r>
      <w:r>
        <w:rPr>
          <w:spacing w:val="-14"/>
        </w:rPr>
        <w:t> </w:t>
      </w:r>
      <w:r>
        <w:rPr/>
        <w:t>también</w:t>
      </w:r>
      <w:r>
        <w:rPr>
          <w:spacing w:val="-14"/>
        </w:rPr>
        <w:t> </w:t>
      </w:r>
      <w:r>
        <w:rPr/>
        <w:t>“el</w:t>
      </w:r>
      <w:r>
        <w:rPr>
          <w:spacing w:val="-12"/>
        </w:rPr>
        <w:t> </w:t>
      </w:r>
      <w:r>
        <w:rPr/>
        <w:t>acceso</w:t>
      </w:r>
      <w:r>
        <w:rPr>
          <w:spacing w:val="-14"/>
        </w:rPr>
        <w:t> </w:t>
      </w:r>
      <w:r>
        <w:rPr/>
        <w:t>a</w:t>
      </w:r>
      <w:r>
        <w:rPr>
          <w:spacing w:val="-13"/>
        </w:rPr>
        <w:t> </w:t>
      </w:r>
      <w:r>
        <w:rPr/>
        <w:t>la</w:t>
      </w:r>
      <w:r>
        <w:rPr>
          <w:spacing w:val="-12"/>
        </w:rPr>
        <w:t> </w:t>
      </w:r>
      <w:r>
        <w:rPr/>
        <w:t>salud</w:t>
      </w:r>
      <w:r>
        <w:rPr>
          <w:spacing w:val="-15"/>
        </w:rPr>
        <w:t> </w:t>
      </w:r>
      <w:r>
        <w:rPr/>
        <w:t>y</w:t>
      </w:r>
      <w:r>
        <w:rPr>
          <w:spacing w:val="-11"/>
        </w:rPr>
        <w:t> </w:t>
      </w:r>
      <w:r>
        <w:rPr/>
        <w:t>educación</w:t>
      </w:r>
      <w:r>
        <w:rPr>
          <w:spacing w:val="-14"/>
        </w:rPr>
        <w:t> </w:t>
      </w:r>
      <w:r>
        <w:rPr/>
        <w:t>y</w:t>
      </w:r>
      <w:r>
        <w:rPr>
          <w:spacing w:val="-13"/>
        </w:rPr>
        <w:t> </w:t>
      </w:r>
      <w:r>
        <w:rPr/>
        <w:t>la</w:t>
      </w:r>
      <w:r>
        <w:rPr>
          <w:spacing w:val="-13"/>
        </w:rPr>
        <w:t> </w:t>
      </w:r>
      <w:r>
        <w:rPr/>
        <w:t>mejora</w:t>
      </w:r>
      <w:r>
        <w:rPr>
          <w:spacing w:val="-10"/>
        </w:rPr>
        <w:t> </w:t>
      </w:r>
      <w:r>
        <w:rPr/>
        <w:t>en</w:t>
      </w:r>
      <w:r>
        <w:rPr>
          <w:spacing w:val="-14"/>
        </w:rPr>
        <w:t> </w:t>
      </w:r>
      <w:r>
        <w:rPr/>
        <w:t>la</w:t>
      </w:r>
      <w:r>
        <w:rPr>
          <w:spacing w:val="-15"/>
        </w:rPr>
        <w:t> </w:t>
      </w:r>
      <w:r>
        <w:rPr/>
        <w:t>transitividad e ingreso a la zona, entre</w:t>
      </w:r>
      <w:r>
        <w:rPr>
          <w:spacing w:val="-13"/>
        </w:rPr>
        <w:t> </w:t>
      </w:r>
      <w:r>
        <w:rPr/>
        <w:t>otros”.</w:t>
      </w:r>
    </w:p>
    <w:p>
      <w:pPr>
        <w:pStyle w:val="BodyText"/>
        <w:spacing w:before="7"/>
        <w:rPr>
          <w:sz w:val="19"/>
        </w:rPr>
      </w:pPr>
    </w:p>
    <w:p>
      <w:pPr>
        <w:pStyle w:val="ListParagraph"/>
        <w:numPr>
          <w:ilvl w:val="0"/>
          <w:numId w:val="21"/>
        </w:numPr>
        <w:tabs>
          <w:tab w:pos="830" w:val="left" w:leader="none"/>
        </w:tabs>
        <w:spacing w:line="240" w:lineRule="auto" w:before="1" w:after="0"/>
        <w:ind w:left="122" w:right="125" w:firstLine="0"/>
        <w:jc w:val="both"/>
        <w:rPr>
          <w:sz w:val="20"/>
        </w:rPr>
      </w:pPr>
      <w:r>
        <w:rPr>
          <w:sz w:val="20"/>
        </w:rPr>
        <w:t>Este Tribunal, en razón de lo anterior, nota y valora las acciones estatales, pero no puede dejar de advertir que el derecho a la propiedad comunitaria indígena no se encuentra plenamente concretado o garantizado, pese a que han transcurrido más de 28 años desde los primeros reclamos que pueden ser examinados por la</w:t>
      </w:r>
      <w:r>
        <w:rPr>
          <w:spacing w:val="-35"/>
          <w:sz w:val="20"/>
        </w:rPr>
        <w:t> </w:t>
      </w:r>
      <w:r>
        <w:rPr>
          <w:sz w:val="20"/>
        </w:rPr>
        <w:t>Corte.</w:t>
      </w:r>
    </w:p>
    <w:p>
      <w:pPr>
        <w:pStyle w:val="BodyText"/>
        <w:spacing w:before="1"/>
      </w:pPr>
    </w:p>
    <w:p>
      <w:pPr>
        <w:pStyle w:val="ListParagraph"/>
        <w:numPr>
          <w:ilvl w:val="0"/>
          <w:numId w:val="21"/>
        </w:numPr>
        <w:tabs>
          <w:tab w:pos="830" w:val="left" w:leader="none"/>
        </w:tabs>
        <w:spacing w:line="240" w:lineRule="auto" w:before="0" w:after="0"/>
        <w:ind w:left="122" w:right="123" w:firstLine="0"/>
        <w:jc w:val="both"/>
        <w:rPr>
          <w:sz w:val="20"/>
        </w:rPr>
      </w:pPr>
      <w:r>
        <w:rPr>
          <w:sz w:val="20"/>
        </w:rPr>
        <w:t>Por lo expuesto, la Corte entiende, por una parte, que el Estado reconoció, mediante</w:t>
      </w:r>
      <w:r>
        <w:rPr>
          <w:spacing w:val="-12"/>
          <w:sz w:val="20"/>
        </w:rPr>
        <w:t> </w:t>
      </w:r>
      <w:r>
        <w:rPr>
          <w:sz w:val="20"/>
        </w:rPr>
        <w:t>actos</w:t>
      </w:r>
      <w:r>
        <w:rPr>
          <w:spacing w:val="-11"/>
          <w:sz w:val="20"/>
        </w:rPr>
        <w:t> </w:t>
      </w:r>
      <w:r>
        <w:rPr>
          <w:sz w:val="20"/>
        </w:rPr>
        <w:t>jurídicos,</w:t>
      </w:r>
      <w:r>
        <w:rPr>
          <w:spacing w:val="-11"/>
          <w:sz w:val="20"/>
        </w:rPr>
        <w:t> </w:t>
      </w:r>
      <w:r>
        <w:rPr>
          <w:sz w:val="20"/>
        </w:rPr>
        <w:t>el</w:t>
      </w:r>
      <w:r>
        <w:rPr>
          <w:spacing w:val="-10"/>
          <w:sz w:val="20"/>
        </w:rPr>
        <w:t> </w:t>
      </w:r>
      <w:r>
        <w:rPr>
          <w:sz w:val="20"/>
        </w:rPr>
        <w:t>derecho</w:t>
      </w:r>
      <w:r>
        <w:rPr>
          <w:spacing w:val="-11"/>
          <w:sz w:val="20"/>
        </w:rPr>
        <w:t> </w:t>
      </w:r>
      <w:r>
        <w:rPr>
          <w:sz w:val="20"/>
        </w:rPr>
        <w:t>de</w:t>
      </w:r>
      <w:r>
        <w:rPr>
          <w:spacing w:val="-12"/>
          <w:sz w:val="20"/>
        </w:rPr>
        <w:t> </w:t>
      </w:r>
      <w:r>
        <w:rPr>
          <w:sz w:val="20"/>
        </w:rPr>
        <w:t>propiedad</w:t>
      </w:r>
      <w:r>
        <w:rPr>
          <w:spacing w:val="-10"/>
          <w:sz w:val="20"/>
        </w:rPr>
        <w:t> </w:t>
      </w:r>
      <w:r>
        <w:rPr>
          <w:sz w:val="20"/>
        </w:rPr>
        <w:t>de</w:t>
      </w:r>
      <w:r>
        <w:rPr>
          <w:spacing w:val="-12"/>
          <w:sz w:val="20"/>
        </w:rPr>
        <w:t> </w:t>
      </w:r>
      <w:r>
        <w:rPr>
          <w:sz w:val="20"/>
        </w:rPr>
        <w:t>las</w:t>
      </w:r>
      <w:r>
        <w:rPr>
          <w:spacing w:val="-11"/>
          <w:sz w:val="20"/>
        </w:rPr>
        <w:t> </w:t>
      </w:r>
      <w:r>
        <w:rPr>
          <w:sz w:val="20"/>
        </w:rPr>
        <w:t>comunidades</w:t>
      </w:r>
      <w:r>
        <w:rPr>
          <w:spacing w:val="-11"/>
          <w:sz w:val="20"/>
        </w:rPr>
        <w:t> </w:t>
      </w:r>
      <w:r>
        <w:rPr>
          <w:sz w:val="20"/>
        </w:rPr>
        <w:t>indígenas.</w:t>
      </w:r>
      <w:r>
        <w:rPr>
          <w:spacing w:val="-11"/>
          <w:sz w:val="20"/>
        </w:rPr>
        <w:t> </w:t>
      </w:r>
      <w:r>
        <w:rPr>
          <w:sz w:val="20"/>
        </w:rPr>
        <w:t>Existe, en este sentido, un título o reconocimiento jurídico de la propiedad. Asiste entonces razón al Estado en cuanto a que el derecho “está fehacientemente reconocido”. No obstante, por otro lado, este Tribunal no puede soslayar que el reconocimiento de la propiedad indígena debe efectuarse dotando de seguridad jurídica al derecho, de modo que sea oponible frente a terceros. Las acciones tendientes a esta finalidad no han sido completadas. El Decreto 1498/14, en ese sentido, debe entenderse como un acto cuya ejecución no se ha concretado, siendo que su mismo texto prevé acciones futuras. Por ello el reconocimiento jurídico existente no es todavía adecuado o suficiente para el pleno ejercicio del derecho de propiedad. Aunque este Tribunal valora los avances efectuados</w:t>
      </w:r>
      <w:r>
        <w:rPr>
          <w:spacing w:val="-13"/>
          <w:sz w:val="20"/>
        </w:rPr>
        <w:t> </w:t>
      </w:r>
      <w:r>
        <w:rPr>
          <w:sz w:val="20"/>
        </w:rPr>
        <w:t>por</w:t>
      </w:r>
      <w:r>
        <w:rPr>
          <w:spacing w:val="-11"/>
          <w:sz w:val="20"/>
        </w:rPr>
        <w:t> </w:t>
      </w:r>
      <w:r>
        <w:rPr>
          <w:sz w:val="20"/>
        </w:rPr>
        <w:t>el</w:t>
      </w:r>
      <w:r>
        <w:rPr>
          <w:spacing w:val="-13"/>
          <w:sz w:val="20"/>
        </w:rPr>
        <w:t> </w:t>
      </w:r>
      <w:r>
        <w:rPr>
          <w:sz w:val="20"/>
        </w:rPr>
        <w:t>Estado,</w:t>
      </w:r>
      <w:r>
        <w:rPr>
          <w:spacing w:val="-13"/>
          <w:sz w:val="20"/>
        </w:rPr>
        <w:t> </w:t>
      </w:r>
      <w:r>
        <w:rPr>
          <w:sz w:val="20"/>
        </w:rPr>
        <w:t>debe</w:t>
      </w:r>
      <w:r>
        <w:rPr>
          <w:spacing w:val="-12"/>
          <w:sz w:val="20"/>
        </w:rPr>
        <w:t> </w:t>
      </w:r>
      <w:r>
        <w:rPr>
          <w:sz w:val="20"/>
        </w:rPr>
        <w:t>concluir</w:t>
      </w:r>
      <w:r>
        <w:rPr>
          <w:spacing w:val="-12"/>
          <w:sz w:val="20"/>
        </w:rPr>
        <w:t> </w:t>
      </w:r>
      <w:r>
        <w:rPr>
          <w:sz w:val="20"/>
        </w:rPr>
        <w:t>que</w:t>
      </w:r>
      <w:r>
        <w:rPr>
          <w:spacing w:val="-12"/>
          <w:sz w:val="20"/>
        </w:rPr>
        <w:t> </w:t>
      </w:r>
      <w:r>
        <w:rPr>
          <w:sz w:val="20"/>
        </w:rPr>
        <w:t>el</w:t>
      </w:r>
      <w:r>
        <w:rPr>
          <w:spacing w:val="-10"/>
          <w:sz w:val="20"/>
        </w:rPr>
        <w:t> </w:t>
      </w:r>
      <w:r>
        <w:rPr>
          <w:sz w:val="20"/>
        </w:rPr>
        <w:t>derecho</w:t>
      </w:r>
      <w:r>
        <w:rPr>
          <w:spacing w:val="-13"/>
          <w:sz w:val="20"/>
        </w:rPr>
        <w:t> </w:t>
      </w:r>
      <w:r>
        <w:rPr>
          <w:sz w:val="20"/>
        </w:rPr>
        <w:t>de</w:t>
      </w:r>
      <w:r>
        <w:rPr>
          <w:spacing w:val="-14"/>
          <w:sz w:val="20"/>
        </w:rPr>
        <w:t> </w:t>
      </w:r>
      <w:r>
        <w:rPr>
          <w:sz w:val="20"/>
        </w:rPr>
        <w:t>propiedad</w:t>
      </w:r>
      <w:r>
        <w:rPr>
          <w:spacing w:val="-12"/>
          <w:sz w:val="20"/>
        </w:rPr>
        <w:t> </w:t>
      </w:r>
      <w:r>
        <w:rPr>
          <w:sz w:val="20"/>
        </w:rPr>
        <w:t>de</w:t>
      </w:r>
      <w:r>
        <w:rPr>
          <w:spacing w:val="-14"/>
          <w:sz w:val="20"/>
        </w:rPr>
        <w:t> </w:t>
      </w:r>
      <w:r>
        <w:rPr>
          <w:sz w:val="20"/>
        </w:rPr>
        <w:t>las</w:t>
      </w:r>
      <w:r>
        <w:rPr>
          <w:spacing w:val="-13"/>
          <w:sz w:val="20"/>
        </w:rPr>
        <w:t> </w:t>
      </w:r>
      <w:r>
        <w:rPr>
          <w:sz w:val="20"/>
        </w:rPr>
        <w:t>comunidades indígenas sobre su territorio no se encuentra</w:t>
      </w:r>
      <w:r>
        <w:rPr>
          <w:spacing w:val="-24"/>
          <w:sz w:val="20"/>
        </w:rPr>
        <w:t> </w:t>
      </w:r>
      <w:r>
        <w:rPr>
          <w:sz w:val="20"/>
        </w:rPr>
        <w:t>satisfecho.</w:t>
      </w:r>
    </w:p>
    <w:p>
      <w:pPr>
        <w:pStyle w:val="BodyText"/>
      </w:pPr>
    </w:p>
    <w:p>
      <w:pPr>
        <w:pStyle w:val="ListParagraph"/>
        <w:numPr>
          <w:ilvl w:val="0"/>
          <w:numId w:val="21"/>
        </w:numPr>
        <w:tabs>
          <w:tab w:pos="830" w:val="left" w:leader="none"/>
        </w:tabs>
        <w:spacing w:line="242" w:lineRule="auto" w:before="1" w:after="0"/>
        <w:ind w:left="122" w:right="124" w:firstLine="0"/>
        <w:jc w:val="both"/>
        <w:rPr>
          <w:sz w:val="20"/>
        </w:rPr>
      </w:pPr>
      <w:r>
        <w:rPr>
          <w:sz w:val="20"/>
        </w:rPr>
        <w:t>Al respecto, sin perjuicio de algunas diferencias en los datos presentados por</w:t>
      </w:r>
      <w:r>
        <w:rPr>
          <w:spacing w:val="-34"/>
          <w:sz w:val="20"/>
        </w:rPr>
        <w:t> </w:t>
      </w:r>
      <w:r>
        <w:rPr>
          <w:sz w:val="20"/>
        </w:rPr>
        <w:t>los representantes y el Estado, lo cierto es que de acuerdo a información de ambas partes, los procedimientos que Argentina indicó necesarios para la “entrega” del “título único” no han concluido, estando pendiente todavía una proporción significativa de actos por concretar</w:t>
      </w:r>
      <w:r>
        <w:rPr>
          <w:rFonts w:ascii="Calibri" w:hAnsi="Calibri"/>
          <w:position w:val="8"/>
          <w:sz w:val="14"/>
        </w:rPr>
        <w:t>143</w:t>
      </w:r>
      <w:r>
        <w:rPr>
          <w:sz w:val="20"/>
        </w:rPr>
        <w:t>.</w:t>
      </w:r>
      <w:r>
        <w:rPr>
          <w:spacing w:val="-8"/>
          <w:sz w:val="20"/>
        </w:rPr>
        <w:t> </w:t>
      </w:r>
      <w:r>
        <w:rPr>
          <w:sz w:val="20"/>
        </w:rPr>
        <w:t>Los</w:t>
      </w:r>
      <w:r>
        <w:rPr>
          <w:spacing w:val="-6"/>
          <w:sz w:val="20"/>
        </w:rPr>
        <w:t> </w:t>
      </w:r>
      <w:r>
        <w:rPr>
          <w:sz w:val="20"/>
        </w:rPr>
        <w:t>representantes</w:t>
      </w:r>
      <w:r>
        <w:rPr>
          <w:spacing w:val="-9"/>
          <w:sz w:val="20"/>
        </w:rPr>
        <w:t> </w:t>
      </w:r>
      <w:r>
        <w:rPr>
          <w:sz w:val="20"/>
        </w:rPr>
        <w:t>han</w:t>
      </w:r>
      <w:r>
        <w:rPr>
          <w:spacing w:val="-4"/>
          <w:sz w:val="20"/>
        </w:rPr>
        <w:t> </w:t>
      </w:r>
      <w:r>
        <w:rPr>
          <w:sz w:val="20"/>
        </w:rPr>
        <w:t>indicado</w:t>
      </w:r>
      <w:r>
        <w:rPr>
          <w:spacing w:val="-6"/>
          <w:sz w:val="20"/>
        </w:rPr>
        <w:t> </w:t>
      </w:r>
      <w:r>
        <w:rPr>
          <w:sz w:val="20"/>
        </w:rPr>
        <w:t>que</w:t>
      </w:r>
      <w:r>
        <w:rPr>
          <w:spacing w:val="-7"/>
          <w:sz w:val="20"/>
        </w:rPr>
        <w:t> </w:t>
      </w:r>
      <w:r>
        <w:rPr>
          <w:sz w:val="20"/>
        </w:rPr>
        <w:t>falta</w:t>
      </w:r>
      <w:r>
        <w:rPr>
          <w:spacing w:val="-8"/>
          <w:sz w:val="20"/>
        </w:rPr>
        <w:t> </w:t>
      </w:r>
      <w:r>
        <w:rPr>
          <w:sz w:val="20"/>
        </w:rPr>
        <w:t>la</w:t>
      </w:r>
      <w:r>
        <w:rPr>
          <w:spacing w:val="-5"/>
          <w:sz w:val="20"/>
        </w:rPr>
        <w:t> </w:t>
      </w:r>
      <w:r>
        <w:rPr>
          <w:sz w:val="20"/>
        </w:rPr>
        <w:t>concreción</w:t>
      </w:r>
      <w:r>
        <w:rPr>
          <w:spacing w:val="-7"/>
          <w:sz w:val="20"/>
        </w:rPr>
        <w:t> </w:t>
      </w:r>
      <w:r>
        <w:rPr>
          <w:sz w:val="20"/>
        </w:rPr>
        <w:t>de</w:t>
      </w:r>
      <w:r>
        <w:rPr>
          <w:spacing w:val="-3"/>
          <w:sz w:val="20"/>
        </w:rPr>
        <w:t> </w:t>
      </w:r>
      <w:r>
        <w:rPr>
          <w:sz w:val="20"/>
        </w:rPr>
        <w:t>más</w:t>
      </w:r>
      <w:r>
        <w:rPr>
          <w:spacing w:val="-8"/>
          <w:sz w:val="20"/>
        </w:rPr>
        <w:t> </w:t>
      </w:r>
      <w:r>
        <w:rPr>
          <w:sz w:val="20"/>
        </w:rPr>
        <w:t>de</w:t>
      </w:r>
      <w:r>
        <w:rPr>
          <w:spacing w:val="-8"/>
          <w:sz w:val="20"/>
        </w:rPr>
        <w:t> </w:t>
      </w:r>
      <w:r>
        <w:rPr>
          <w:sz w:val="20"/>
        </w:rPr>
        <w:t>un</w:t>
      </w:r>
      <w:r>
        <w:rPr>
          <w:spacing w:val="-7"/>
          <w:sz w:val="20"/>
        </w:rPr>
        <w:t> </w:t>
      </w:r>
      <w:r>
        <w:rPr>
          <w:spacing w:val="2"/>
          <w:sz w:val="20"/>
        </w:rPr>
        <w:t>99% </w:t>
      </w:r>
      <w:r>
        <w:rPr>
          <w:sz w:val="20"/>
        </w:rPr>
        <w:t>de los traslados (</w:t>
      </w:r>
      <w:r>
        <w:rPr>
          <w:i/>
          <w:sz w:val="20"/>
        </w:rPr>
        <w:t>supra </w:t>
      </w:r>
      <w:r>
        <w:rPr>
          <w:sz w:val="20"/>
        </w:rPr>
        <w:t>párr. 108), y el Estado, en 2017, afirmó que necesitaría 8 años más para completar el proceso (</w:t>
      </w:r>
      <w:r>
        <w:rPr>
          <w:i/>
          <w:sz w:val="20"/>
        </w:rPr>
        <w:t>supra </w:t>
      </w:r>
      <w:r>
        <w:rPr>
          <w:sz w:val="20"/>
        </w:rPr>
        <w:t>párrs. 85 e </w:t>
      </w:r>
      <w:r>
        <w:rPr>
          <w:i/>
          <w:sz w:val="20"/>
        </w:rPr>
        <w:t>infra </w:t>
      </w:r>
      <w:r>
        <w:rPr>
          <w:sz w:val="20"/>
        </w:rPr>
        <w:t>párrs. 315 y 323). A su vez, el propio Estado indicó que hay tareas de demarcación pendientes (</w:t>
      </w:r>
      <w:r>
        <w:rPr>
          <w:i/>
          <w:sz w:val="20"/>
        </w:rPr>
        <w:t>supra </w:t>
      </w:r>
      <w:r>
        <w:rPr>
          <w:sz w:val="20"/>
        </w:rPr>
        <w:t>párr.</w:t>
      </w:r>
      <w:r>
        <w:rPr>
          <w:spacing w:val="-25"/>
          <w:sz w:val="20"/>
        </w:rPr>
        <w:t> </w:t>
      </w:r>
      <w:r>
        <w:rPr>
          <w:sz w:val="20"/>
        </w:rPr>
        <w:t>111).</w:t>
      </w:r>
    </w:p>
    <w:p>
      <w:pPr>
        <w:pStyle w:val="BodyText"/>
        <w:spacing w:before="10"/>
        <w:rPr>
          <w:sz w:val="19"/>
        </w:rPr>
      </w:pPr>
    </w:p>
    <w:p>
      <w:pPr>
        <w:pStyle w:val="ListParagraph"/>
        <w:numPr>
          <w:ilvl w:val="2"/>
          <w:numId w:val="25"/>
        </w:numPr>
        <w:tabs>
          <w:tab w:pos="1579" w:val="left" w:leader="none"/>
        </w:tabs>
        <w:spacing w:line="240" w:lineRule="auto" w:before="1" w:after="0"/>
        <w:ind w:left="1578" w:right="0" w:hanging="604"/>
        <w:jc w:val="left"/>
        <w:rPr>
          <w:i/>
          <w:sz w:val="20"/>
        </w:rPr>
      </w:pPr>
      <w:bookmarkStart w:name="_bookmark47" w:id="79"/>
      <w:bookmarkEnd w:id="79"/>
      <w:r>
        <w:rPr/>
      </w:r>
      <w:bookmarkStart w:name="_bookmark47" w:id="80"/>
      <w:bookmarkEnd w:id="80"/>
      <w:r>
        <w:rPr>
          <w:i/>
          <w:sz w:val="20"/>
          <w:u w:val="single"/>
        </w:rPr>
        <w:t>E</w:t>
      </w:r>
      <w:r>
        <w:rPr>
          <w:i/>
          <w:sz w:val="20"/>
          <w:u w:val="single"/>
        </w:rPr>
        <w:t>valuación de la conducta estatal</w:t>
      </w:r>
      <w:r>
        <w:rPr>
          <w:i/>
          <w:spacing w:val="-11"/>
          <w:sz w:val="20"/>
          <w:u w:val="single"/>
        </w:rPr>
        <w:t> </w:t>
      </w:r>
      <w:r>
        <w:rPr>
          <w:i/>
          <w:sz w:val="20"/>
          <w:u w:val="single"/>
        </w:rPr>
        <w:t>seguida</w:t>
      </w:r>
    </w:p>
    <w:p>
      <w:pPr>
        <w:pStyle w:val="BodyText"/>
        <w:spacing w:before="8"/>
        <w:rPr>
          <w:i/>
          <w:sz w:val="11"/>
        </w:rPr>
      </w:pPr>
    </w:p>
    <w:p>
      <w:pPr>
        <w:pStyle w:val="ListParagraph"/>
        <w:numPr>
          <w:ilvl w:val="0"/>
          <w:numId w:val="21"/>
        </w:numPr>
        <w:tabs>
          <w:tab w:pos="830" w:val="left" w:leader="none"/>
        </w:tabs>
        <w:spacing w:line="240" w:lineRule="auto" w:before="100" w:after="0"/>
        <w:ind w:left="122" w:right="124" w:firstLine="0"/>
        <w:jc w:val="both"/>
        <w:rPr>
          <w:sz w:val="20"/>
        </w:rPr>
      </w:pPr>
      <w:r>
        <w:rPr>
          <w:sz w:val="20"/>
        </w:rPr>
        <w:t>De acuerdo a lo expresado es claro que los procedimientos instaurados no han resultado</w:t>
      </w:r>
      <w:r>
        <w:rPr>
          <w:spacing w:val="-11"/>
          <w:sz w:val="20"/>
        </w:rPr>
        <w:t> </w:t>
      </w:r>
      <w:r>
        <w:rPr>
          <w:sz w:val="20"/>
        </w:rPr>
        <w:t>medidas</w:t>
      </w:r>
      <w:r>
        <w:rPr>
          <w:spacing w:val="-11"/>
          <w:sz w:val="20"/>
        </w:rPr>
        <w:t> </w:t>
      </w:r>
      <w:r>
        <w:rPr>
          <w:sz w:val="20"/>
        </w:rPr>
        <w:t>suficientes,</w:t>
      </w:r>
      <w:r>
        <w:rPr>
          <w:spacing w:val="-11"/>
          <w:sz w:val="20"/>
        </w:rPr>
        <w:t> </w:t>
      </w:r>
      <w:r>
        <w:rPr>
          <w:sz w:val="20"/>
        </w:rPr>
        <w:t>en</w:t>
      </w:r>
      <w:r>
        <w:rPr>
          <w:spacing w:val="-9"/>
          <w:sz w:val="20"/>
        </w:rPr>
        <w:t> </w:t>
      </w:r>
      <w:r>
        <w:rPr>
          <w:sz w:val="20"/>
        </w:rPr>
        <w:t>tanto</w:t>
      </w:r>
      <w:r>
        <w:rPr>
          <w:spacing w:val="-11"/>
          <w:sz w:val="20"/>
        </w:rPr>
        <w:t> </w:t>
      </w:r>
      <w:r>
        <w:rPr>
          <w:sz w:val="20"/>
        </w:rPr>
        <w:t>que</w:t>
      </w:r>
      <w:r>
        <w:rPr>
          <w:spacing w:val="-12"/>
          <w:sz w:val="20"/>
        </w:rPr>
        <w:t> </w:t>
      </w:r>
      <w:r>
        <w:rPr>
          <w:sz w:val="20"/>
        </w:rPr>
        <w:t>no</w:t>
      </w:r>
      <w:r>
        <w:rPr>
          <w:spacing w:val="-11"/>
          <w:sz w:val="20"/>
        </w:rPr>
        <w:t> </w:t>
      </w:r>
      <w:r>
        <w:rPr>
          <w:sz w:val="20"/>
        </w:rPr>
        <w:t>han</w:t>
      </w:r>
      <w:r>
        <w:rPr>
          <w:spacing w:val="-4"/>
          <w:sz w:val="20"/>
        </w:rPr>
        <w:t> </w:t>
      </w:r>
      <w:r>
        <w:rPr>
          <w:sz w:val="20"/>
        </w:rPr>
        <w:t>logrado,</w:t>
      </w:r>
      <w:r>
        <w:rPr>
          <w:spacing w:val="-11"/>
          <w:sz w:val="20"/>
        </w:rPr>
        <w:t> </w:t>
      </w:r>
      <w:r>
        <w:rPr>
          <w:sz w:val="20"/>
        </w:rPr>
        <w:t>después</w:t>
      </w:r>
      <w:r>
        <w:rPr>
          <w:spacing w:val="-9"/>
          <w:sz w:val="20"/>
        </w:rPr>
        <w:t> </w:t>
      </w:r>
      <w:r>
        <w:rPr>
          <w:sz w:val="20"/>
        </w:rPr>
        <w:t>de</w:t>
      </w:r>
      <w:r>
        <w:rPr>
          <w:spacing w:val="-9"/>
          <w:sz w:val="20"/>
        </w:rPr>
        <w:t> </w:t>
      </w:r>
      <w:r>
        <w:rPr>
          <w:sz w:val="20"/>
        </w:rPr>
        <w:t>más</w:t>
      </w:r>
      <w:r>
        <w:rPr>
          <w:spacing w:val="-11"/>
          <w:sz w:val="20"/>
        </w:rPr>
        <w:t> </w:t>
      </w:r>
      <w:r>
        <w:rPr>
          <w:sz w:val="20"/>
        </w:rPr>
        <w:t>de</w:t>
      </w:r>
      <w:r>
        <w:rPr>
          <w:spacing w:val="-12"/>
          <w:sz w:val="20"/>
        </w:rPr>
        <w:t> </w:t>
      </w:r>
      <w:r>
        <w:rPr>
          <w:sz w:val="20"/>
        </w:rPr>
        <w:t>28</w:t>
      </w:r>
      <w:r>
        <w:rPr>
          <w:spacing w:val="-10"/>
          <w:sz w:val="20"/>
        </w:rPr>
        <w:t> </w:t>
      </w:r>
      <w:r>
        <w:rPr>
          <w:sz w:val="20"/>
        </w:rPr>
        <w:t>años de que fuera reclamado el reconocimiento de la propiedad, la plena garantía de ese derecho</w:t>
      </w:r>
      <w:r>
        <w:rPr>
          <w:spacing w:val="-17"/>
          <w:sz w:val="20"/>
        </w:rPr>
        <w:t> </w:t>
      </w:r>
      <w:r>
        <w:rPr>
          <w:sz w:val="20"/>
        </w:rPr>
        <w:t>de</w:t>
      </w:r>
      <w:r>
        <w:rPr>
          <w:spacing w:val="-17"/>
          <w:sz w:val="20"/>
        </w:rPr>
        <w:t> </w:t>
      </w:r>
      <w:r>
        <w:rPr>
          <w:sz w:val="20"/>
        </w:rPr>
        <w:t>las</w:t>
      </w:r>
      <w:r>
        <w:rPr>
          <w:spacing w:val="-14"/>
          <w:sz w:val="20"/>
        </w:rPr>
        <w:t> </w:t>
      </w:r>
      <w:r>
        <w:rPr>
          <w:sz w:val="20"/>
        </w:rPr>
        <w:t>comunidades</w:t>
      </w:r>
      <w:r>
        <w:rPr>
          <w:spacing w:val="-17"/>
          <w:sz w:val="20"/>
        </w:rPr>
        <w:t> </w:t>
      </w:r>
      <w:r>
        <w:rPr>
          <w:sz w:val="20"/>
        </w:rPr>
        <w:t>indígenas</w:t>
      </w:r>
      <w:r>
        <w:rPr>
          <w:spacing w:val="-13"/>
          <w:sz w:val="20"/>
        </w:rPr>
        <w:t> </w:t>
      </w:r>
      <w:r>
        <w:rPr>
          <w:sz w:val="20"/>
        </w:rPr>
        <w:t>habitantes</w:t>
      </w:r>
      <w:r>
        <w:rPr>
          <w:spacing w:val="-17"/>
          <w:sz w:val="20"/>
        </w:rPr>
        <w:t> </w:t>
      </w:r>
      <w:r>
        <w:rPr>
          <w:sz w:val="20"/>
        </w:rPr>
        <w:t>de</w:t>
      </w:r>
      <w:r>
        <w:rPr>
          <w:spacing w:val="-17"/>
          <w:sz w:val="20"/>
        </w:rPr>
        <w:t> </w:t>
      </w:r>
      <w:r>
        <w:rPr>
          <w:sz w:val="20"/>
        </w:rPr>
        <w:t>los</w:t>
      </w:r>
      <w:r>
        <w:rPr>
          <w:spacing w:val="-17"/>
          <w:sz w:val="20"/>
        </w:rPr>
        <w:t> </w:t>
      </w:r>
      <w:r>
        <w:rPr>
          <w:sz w:val="20"/>
        </w:rPr>
        <w:t>lotes</w:t>
      </w:r>
      <w:r>
        <w:rPr>
          <w:spacing w:val="-17"/>
          <w:sz w:val="20"/>
        </w:rPr>
        <w:t> </w:t>
      </w:r>
      <w:r>
        <w:rPr>
          <w:sz w:val="20"/>
        </w:rPr>
        <w:t>14</w:t>
      </w:r>
      <w:r>
        <w:rPr>
          <w:spacing w:val="-15"/>
          <w:sz w:val="20"/>
        </w:rPr>
        <w:t> </w:t>
      </w:r>
      <w:r>
        <w:rPr>
          <w:sz w:val="20"/>
        </w:rPr>
        <w:t>y</w:t>
      </w:r>
      <w:r>
        <w:rPr>
          <w:spacing w:val="-16"/>
          <w:sz w:val="20"/>
        </w:rPr>
        <w:t> </w:t>
      </w:r>
      <w:r>
        <w:rPr>
          <w:sz w:val="20"/>
        </w:rPr>
        <w:t>55</w:t>
      </w:r>
      <w:r>
        <w:rPr>
          <w:spacing w:val="-15"/>
          <w:sz w:val="20"/>
        </w:rPr>
        <w:t> </w:t>
      </w:r>
      <w:r>
        <w:rPr>
          <w:sz w:val="20"/>
        </w:rPr>
        <w:t>sobre</w:t>
      </w:r>
      <w:r>
        <w:rPr>
          <w:spacing w:val="-17"/>
          <w:sz w:val="20"/>
        </w:rPr>
        <w:t> </w:t>
      </w:r>
      <w:r>
        <w:rPr>
          <w:sz w:val="20"/>
        </w:rPr>
        <w:t>su</w:t>
      </w:r>
      <w:r>
        <w:rPr>
          <w:spacing w:val="-16"/>
          <w:sz w:val="20"/>
        </w:rPr>
        <w:t> </w:t>
      </w:r>
      <w:r>
        <w:rPr>
          <w:sz w:val="20"/>
        </w:rPr>
        <w:t>territorio.</w:t>
      </w:r>
    </w:p>
    <w:p>
      <w:pPr>
        <w:pStyle w:val="BodyText"/>
        <w:spacing w:before="3"/>
        <w:rPr>
          <w:sz w:val="11"/>
        </w:rPr>
      </w:pPr>
      <w:r>
        <w:rPr/>
        <w:pict>
          <v:line style="position:absolute;mso-position-horizontal-relative:page;mso-position-vertical-relative:paragraph;z-index:2176;mso-wrap-distance-left:0;mso-wrap-distance-right:0" from="85.103996pt,9.174313pt" to="229.123996pt,9.174313pt" stroked="true" strokeweight=".72003pt" strokecolor="#000000">
            <v:stroke dashstyle="solid"/>
            <w10:wrap type="topAndBottom"/>
          </v:line>
        </w:pict>
      </w:r>
    </w:p>
    <w:p>
      <w:pPr>
        <w:tabs>
          <w:tab w:pos="829" w:val="left" w:leader="none"/>
        </w:tabs>
        <w:spacing w:line="240" w:lineRule="auto" w:before="71"/>
        <w:ind w:left="122" w:right="111" w:firstLine="0"/>
        <w:jc w:val="both"/>
        <w:rPr>
          <w:sz w:val="16"/>
        </w:rPr>
      </w:pPr>
      <w:r>
        <w:rPr>
          <w:position w:val="6"/>
          <w:sz w:val="10"/>
        </w:rPr>
        <w:t>143</w:t>
        <w:tab/>
      </w:r>
      <w:r>
        <w:rPr>
          <w:sz w:val="16"/>
        </w:rPr>
        <w:t>Los representantes expresaron que a) hay 282 familias criollas que deben ser   </w:t>
      </w:r>
      <w:r>
        <w:rPr>
          <w:spacing w:val="3"/>
          <w:sz w:val="16"/>
        </w:rPr>
        <w:t> </w:t>
      </w:r>
      <w:r>
        <w:rPr>
          <w:sz w:val="16"/>
        </w:rPr>
        <w:t>relocalizadas; b)</w:t>
      </w:r>
      <w:r>
        <w:rPr>
          <w:spacing w:val="12"/>
          <w:sz w:val="16"/>
        </w:rPr>
        <w:t> </w:t>
      </w:r>
      <w:r>
        <w:rPr>
          <w:sz w:val="16"/>
        </w:rPr>
        <w:t>en</w:t>
      </w:r>
      <w:r>
        <w:rPr>
          <w:w w:val="100"/>
          <w:sz w:val="16"/>
        </w:rPr>
        <w:t> </w:t>
      </w:r>
      <w:r>
        <w:rPr>
          <w:sz w:val="16"/>
        </w:rPr>
        <w:t>varios casos hay acuerdo, pero no se ha hecho el croquis ni los pasos subsiguientes; c) 192 familias criollas que se encuentran en el territorio correspondientes a comunidades indígenas no cuentan con mensura ni protocolización;</w:t>
      </w:r>
      <w:r>
        <w:rPr>
          <w:spacing w:val="-4"/>
          <w:sz w:val="16"/>
        </w:rPr>
        <w:t> </w:t>
      </w:r>
      <w:r>
        <w:rPr>
          <w:sz w:val="16"/>
        </w:rPr>
        <w:t>d)</w:t>
      </w:r>
      <w:r>
        <w:rPr>
          <w:spacing w:val="-6"/>
          <w:sz w:val="16"/>
        </w:rPr>
        <w:t> </w:t>
      </w:r>
      <w:r>
        <w:rPr>
          <w:sz w:val="16"/>
        </w:rPr>
        <w:t>otras</w:t>
      </w:r>
      <w:r>
        <w:rPr>
          <w:spacing w:val="-7"/>
          <w:sz w:val="16"/>
        </w:rPr>
        <w:t> </w:t>
      </w:r>
      <w:r>
        <w:rPr>
          <w:sz w:val="16"/>
        </w:rPr>
        <w:t>90</w:t>
      </w:r>
      <w:r>
        <w:rPr>
          <w:spacing w:val="-4"/>
          <w:sz w:val="16"/>
        </w:rPr>
        <w:t> </w:t>
      </w:r>
      <w:r>
        <w:rPr>
          <w:sz w:val="16"/>
        </w:rPr>
        <w:t>sí</w:t>
      </w:r>
      <w:r>
        <w:rPr>
          <w:spacing w:val="-6"/>
          <w:sz w:val="16"/>
        </w:rPr>
        <w:t> </w:t>
      </w:r>
      <w:r>
        <w:rPr>
          <w:sz w:val="16"/>
        </w:rPr>
        <w:t>cuentan</w:t>
      </w:r>
      <w:r>
        <w:rPr>
          <w:spacing w:val="-4"/>
          <w:sz w:val="16"/>
        </w:rPr>
        <w:t> </w:t>
      </w:r>
      <w:r>
        <w:rPr>
          <w:sz w:val="16"/>
        </w:rPr>
        <w:t>con</w:t>
      </w:r>
      <w:r>
        <w:rPr>
          <w:spacing w:val="-6"/>
          <w:sz w:val="16"/>
        </w:rPr>
        <w:t> </w:t>
      </w:r>
      <w:r>
        <w:rPr>
          <w:sz w:val="16"/>
        </w:rPr>
        <w:t>mensuras</w:t>
      </w:r>
      <w:r>
        <w:rPr>
          <w:spacing w:val="-5"/>
          <w:sz w:val="16"/>
        </w:rPr>
        <w:t> </w:t>
      </w:r>
      <w:r>
        <w:rPr>
          <w:sz w:val="16"/>
        </w:rPr>
        <w:t>realizadas,</w:t>
      </w:r>
      <w:r>
        <w:rPr>
          <w:spacing w:val="-6"/>
          <w:sz w:val="16"/>
        </w:rPr>
        <w:t> </w:t>
      </w:r>
      <w:r>
        <w:rPr>
          <w:sz w:val="16"/>
        </w:rPr>
        <w:t>y</w:t>
      </w:r>
      <w:r>
        <w:rPr>
          <w:spacing w:val="-2"/>
          <w:sz w:val="16"/>
        </w:rPr>
        <w:t> </w:t>
      </w:r>
      <w:r>
        <w:rPr>
          <w:sz w:val="16"/>
        </w:rPr>
        <w:t>e)</w:t>
      </w:r>
      <w:r>
        <w:rPr>
          <w:spacing w:val="-6"/>
          <w:sz w:val="16"/>
        </w:rPr>
        <w:t> </w:t>
      </w:r>
      <w:r>
        <w:rPr>
          <w:sz w:val="16"/>
        </w:rPr>
        <w:t>42</w:t>
      </w:r>
      <w:r>
        <w:rPr>
          <w:spacing w:val="-4"/>
          <w:sz w:val="16"/>
        </w:rPr>
        <w:t> </w:t>
      </w:r>
      <w:r>
        <w:rPr>
          <w:sz w:val="16"/>
        </w:rPr>
        <w:t>ya</w:t>
      </w:r>
      <w:r>
        <w:rPr>
          <w:spacing w:val="-6"/>
          <w:sz w:val="16"/>
        </w:rPr>
        <w:t> </w:t>
      </w:r>
      <w:r>
        <w:rPr>
          <w:sz w:val="16"/>
        </w:rPr>
        <w:t>poseen</w:t>
      </w:r>
      <w:r>
        <w:rPr>
          <w:spacing w:val="-3"/>
          <w:sz w:val="16"/>
        </w:rPr>
        <w:t> </w:t>
      </w:r>
      <w:r>
        <w:rPr>
          <w:sz w:val="16"/>
        </w:rPr>
        <w:t>el</w:t>
      </w:r>
      <w:r>
        <w:rPr>
          <w:spacing w:val="-6"/>
          <w:sz w:val="16"/>
        </w:rPr>
        <w:t> </w:t>
      </w:r>
      <w:r>
        <w:rPr>
          <w:sz w:val="16"/>
        </w:rPr>
        <w:t>título</w:t>
      </w:r>
      <w:r>
        <w:rPr>
          <w:spacing w:val="-2"/>
          <w:sz w:val="16"/>
        </w:rPr>
        <w:t> </w:t>
      </w:r>
      <w:r>
        <w:rPr>
          <w:sz w:val="16"/>
        </w:rPr>
        <w:t>correspondiente</w:t>
      </w:r>
      <w:r>
        <w:rPr>
          <w:spacing w:val="-5"/>
          <w:sz w:val="16"/>
        </w:rPr>
        <w:t> </w:t>
      </w:r>
      <w:r>
        <w:rPr>
          <w:sz w:val="16"/>
        </w:rPr>
        <w:t>a las tierras a las que deben trasladarse. Indicaron también que solo en la zona norte de los lotes 14 y 55 ha habido algunos avances respecto a relocalizaciones, siendo nueve las familias que van a relocalizarse, de las cuales solo tres han concretado el traslado (una sólo en forma parcial, pues falta el traslado de parte del ganado). Como conclusión, notaron que menos del 1% del total de las 282 familias criollas que deben relocalizarse</w:t>
      </w:r>
      <w:r>
        <w:rPr>
          <w:spacing w:val="-6"/>
          <w:sz w:val="16"/>
        </w:rPr>
        <w:t> </w:t>
      </w:r>
      <w:r>
        <w:rPr>
          <w:sz w:val="16"/>
        </w:rPr>
        <w:t>han</w:t>
      </w:r>
      <w:r>
        <w:rPr>
          <w:spacing w:val="-5"/>
          <w:sz w:val="16"/>
        </w:rPr>
        <w:t> </w:t>
      </w:r>
      <w:r>
        <w:rPr>
          <w:sz w:val="16"/>
        </w:rPr>
        <w:t>completado</w:t>
      </w:r>
      <w:r>
        <w:rPr>
          <w:spacing w:val="-8"/>
          <w:sz w:val="16"/>
        </w:rPr>
        <w:t> </w:t>
      </w:r>
      <w:r>
        <w:rPr>
          <w:sz w:val="16"/>
        </w:rPr>
        <w:t>el</w:t>
      </w:r>
      <w:r>
        <w:rPr>
          <w:spacing w:val="-4"/>
          <w:sz w:val="16"/>
        </w:rPr>
        <w:t> </w:t>
      </w:r>
      <w:r>
        <w:rPr>
          <w:sz w:val="16"/>
        </w:rPr>
        <w:t>proceso.</w:t>
      </w:r>
      <w:r>
        <w:rPr>
          <w:spacing w:val="-5"/>
          <w:sz w:val="16"/>
        </w:rPr>
        <w:t> </w:t>
      </w:r>
      <w:r>
        <w:rPr>
          <w:sz w:val="16"/>
        </w:rPr>
        <w:t>El</w:t>
      </w:r>
      <w:r>
        <w:rPr>
          <w:spacing w:val="-7"/>
          <w:sz w:val="16"/>
        </w:rPr>
        <w:t> </w:t>
      </w:r>
      <w:r>
        <w:rPr>
          <w:sz w:val="16"/>
        </w:rPr>
        <w:t>Estado</w:t>
      </w:r>
      <w:r>
        <w:rPr>
          <w:spacing w:val="-5"/>
          <w:sz w:val="16"/>
        </w:rPr>
        <w:t> </w:t>
      </w:r>
      <w:r>
        <w:rPr>
          <w:sz w:val="16"/>
        </w:rPr>
        <w:t>en</w:t>
      </w:r>
      <w:r>
        <w:rPr>
          <w:spacing w:val="-7"/>
          <w:sz w:val="16"/>
        </w:rPr>
        <w:t> </w:t>
      </w:r>
      <w:r>
        <w:rPr>
          <w:sz w:val="16"/>
        </w:rPr>
        <w:t>su</w:t>
      </w:r>
      <w:r>
        <w:rPr>
          <w:spacing w:val="-7"/>
          <w:sz w:val="16"/>
        </w:rPr>
        <w:t> </w:t>
      </w:r>
      <w:r>
        <w:rPr>
          <w:sz w:val="16"/>
        </w:rPr>
        <w:t>contestación</w:t>
      </w:r>
      <w:r>
        <w:rPr>
          <w:spacing w:val="-4"/>
          <w:sz w:val="16"/>
        </w:rPr>
        <w:t> </w:t>
      </w:r>
      <w:r>
        <w:rPr>
          <w:sz w:val="16"/>
        </w:rPr>
        <w:t>de</w:t>
      </w:r>
      <w:r>
        <w:rPr>
          <w:spacing w:val="-6"/>
          <w:sz w:val="16"/>
        </w:rPr>
        <w:t> </w:t>
      </w:r>
      <w:r>
        <w:rPr>
          <w:sz w:val="16"/>
        </w:rPr>
        <w:t>4</w:t>
      </w:r>
      <w:r>
        <w:rPr>
          <w:spacing w:val="-7"/>
          <w:sz w:val="16"/>
        </w:rPr>
        <w:t> </w:t>
      </w:r>
      <w:r>
        <w:rPr>
          <w:sz w:val="16"/>
        </w:rPr>
        <w:t>de</w:t>
      </w:r>
      <w:r>
        <w:rPr>
          <w:spacing w:val="-6"/>
          <w:sz w:val="16"/>
        </w:rPr>
        <w:t> </w:t>
      </w:r>
      <w:r>
        <w:rPr>
          <w:sz w:val="16"/>
        </w:rPr>
        <w:t>septiembre</w:t>
      </w:r>
      <w:r>
        <w:rPr>
          <w:spacing w:val="-6"/>
          <w:sz w:val="16"/>
        </w:rPr>
        <w:t> </w:t>
      </w:r>
      <w:r>
        <w:rPr>
          <w:sz w:val="16"/>
        </w:rPr>
        <w:t>de</w:t>
      </w:r>
      <w:r>
        <w:rPr>
          <w:spacing w:val="-6"/>
          <w:sz w:val="16"/>
        </w:rPr>
        <w:t> </w:t>
      </w:r>
      <w:r>
        <w:rPr>
          <w:sz w:val="16"/>
        </w:rPr>
        <w:t>2018,</w:t>
      </w:r>
      <w:r>
        <w:rPr>
          <w:spacing w:val="-7"/>
          <w:sz w:val="16"/>
        </w:rPr>
        <w:t> </w:t>
      </w:r>
      <w:r>
        <w:rPr>
          <w:sz w:val="16"/>
        </w:rPr>
        <w:t>informó</w:t>
      </w:r>
      <w:r>
        <w:rPr>
          <w:spacing w:val="-3"/>
          <w:sz w:val="16"/>
        </w:rPr>
        <w:t> lo </w:t>
      </w:r>
      <w:r>
        <w:rPr>
          <w:sz w:val="16"/>
        </w:rPr>
        <w:t>siguiente:</w:t>
      </w:r>
      <w:r>
        <w:rPr>
          <w:spacing w:val="-9"/>
          <w:sz w:val="16"/>
        </w:rPr>
        <w:t> </w:t>
      </w:r>
      <w:r>
        <w:rPr>
          <w:sz w:val="16"/>
        </w:rPr>
        <w:t>“Situación</w:t>
      </w:r>
      <w:r>
        <w:rPr>
          <w:spacing w:val="-11"/>
          <w:sz w:val="16"/>
        </w:rPr>
        <w:t> </w:t>
      </w:r>
      <w:r>
        <w:rPr>
          <w:sz w:val="16"/>
        </w:rPr>
        <w:t>de</w:t>
      </w:r>
      <w:r>
        <w:rPr>
          <w:spacing w:val="-11"/>
          <w:sz w:val="16"/>
        </w:rPr>
        <w:t> </w:t>
      </w:r>
      <w:r>
        <w:rPr>
          <w:sz w:val="16"/>
        </w:rPr>
        <w:t>las</w:t>
      </w:r>
      <w:r>
        <w:rPr>
          <w:spacing w:val="-9"/>
          <w:sz w:val="16"/>
        </w:rPr>
        <w:t> </w:t>
      </w:r>
      <w:r>
        <w:rPr>
          <w:sz w:val="16"/>
        </w:rPr>
        <w:t>[f]amilias</w:t>
      </w:r>
      <w:r>
        <w:rPr>
          <w:spacing w:val="-9"/>
          <w:sz w:val="16"/>
        </w:rPr>
        <w:t> </w:t>
      </w:r>
      <w:r>
        <w:rPr>
          <w:sz w:val="16"/>
        </w:rPr>
        <w:t>[c]riollas”:</w:t>
      </w:r>
      <w:r>
        <w:rPr>
          <w:spacing w:val="-9"/>
          <w:sz w:val="16"/>
        </w:rPr>
        <w:t> </w:t>
      </w:r>
      <w:r>
        <w:rPr>
          <w:sz w:val="16"/>
        </w:rPr>
        <w:t>“a</w:t>
      </w:r>
      <w:r>
        <w:rPr>
          <w:spacing w:val="-11"/>
          <w:sz w:val="16"/>
        </w:rPr>
        <w:t> </w:t>
      </w:r>
      <w:r>
        <w:rPr>
          <w:sz w:val="16"/>
        </w:rPr>
        <w:t>relocalizarse:</w:t>
      </w:r>
      <w:r>
        <w:rPr>
          <w:spacing w:val="-11"/>
          <w:sz w:val="16"/>
        </w:rPr>
        <w:t> </w:t>
      </w:r>
      <w:r>
        <w:rPr>
          <w:sz w:val="16"/>
        </w:rPr>
        <w:t>123”;</w:t>
      </w:r>
      <w:r>
        <w:rPr>
          <w:spacing w:val="-9"/>
          <w:sz w:val="16"/>
        </w:rPr>
        <w:t> </w:t>
      </w:r>
      <w:r>
        <w:rPr>
          <w:sz w:val="16"/>
        </w:rPr>
        <w:t>“con</w:t>
      </w:r>
      <w:r>
        <w:rPr>
          <w:spacing w:val="-12"/>
          <w:sz w:val="16"/>
        </w:rPr>
        <w:t> </w:t>
      </w:r>
      <w:r>
        <w:rPr>
          <w:sz w:val="16"/>
        </w:rPr>
        <w:t>mensuras</w:t>
      </w:r>
      <w:r>
        <w:rPr>
          <w:spacing w:val="-10"/>
          <w:sz w:val="16"/>
        </w:rPr>
        <w:t> </w:t>
      </w:r>
      <w:r>
        <w:rPr>
          <w:sz w:val="16"/>
        </w:rPr>
        <w:t>finalizadas:</w:t>
      </w:r>
      <w:r>
        <w:rPr>
          <w:spacing w:val="-9"/>
          <w:sz w:val="16"/>
        </w:rPr>
        <w:t> </w:t>
      </w:r>
      <w:r>
        <w:rPr>
          <w:sz w:val="16"/>
        </w:rPr>
        <w:t>130”;</w:t>
      </w:r>
      <w:r>
        <w:rPr>
          <w:spacing w:val="-9"/>
          <w:sz w:val="16"/>
        </w:rPr>
        <w:t> </w:t>
      </w:r>
      <w:r>
        <w:rPr>
          <w:sz w:val="16"/>
        </w:rPr>
        <w:t>“con escrituras entregadas: 42”; “con escrituras finalizadas para entregar: 57”; “con escrituras en proceso de elaboración: 31”. Por otra parte, el Estado ha reconocido que la “demarcación” no se ha concretado en su totalidad. Del Decreto 1498/14 surge que para el momento de su emisión estaban pendientes acciones de “determinación” y “delimitación”. Después, en 2015, se realizaron algunas acciones de “amojonamiento”. El Estado</w:t>
      </w:r>
      <w:r>
        <w:rPr>
          <w:spacing w:val="-11"/>
          <w:sz w:val="16"/>
        </w:rPr>
        <w:t> </w:t>
      </w:r>
      <w:r>
        <w:rPr>
          <w:sz w:val="16"/>
        </w:rPr>
        <w:t>señaló</w:t>
      </w:r>
      <w:r>
        <w:rPr>
          <w:spacing w:val="-14"/>
          <w:sz w:val="16"/>
        </w:rPr>
        <w:t> </w:t>
      </w:r>
      <w:r>
        <w:rPr>
          <w:sz w:val="16"/>
        </w:rPr>
        <w:t>que</w:t>
      </w:r>
      <w:r>
        <w:rPr>
          <w:spacing w:val="-12"/>
          <w:sz w:val="16"/>
        </w:rPr>
        <w:t> </w:t>
      </w:r>
      <w:r>
        <w:rPr>
          <w:sz w:val="16"/>
        </w:rPr>
        <w:t>para</w:t>
      </w:r>
      <w:r>
        <w:rPr>
          <w:spacing w:val="-13"/>
          <w:sz w:val="16"/>
        </w:rPr>
        <w:t> </w:t>
      </w:r>
      <w:r>
        <w:rPr>
          <w:sz w:val="16"/>
        </w:rPr>
        <w:t>septiembre</w:t>
      </w:r>
      <w:r>
        <w:rPr>
          <w:spacing w:val="-14"/>
          <w:sz w:val="16"/>
        </w:rPr>
        <w:t> </w:t>
      </w:r>
      <w:r>
        <w:rPr>
          <w:sz w:val="16"/>
        </w:rPr>
        <w:t>de</w:t>
      </w:r>
      <w:r>
        <w:rPr>
          <w:spacing w:val="-14"/>
          <w:sz w:val="16"/>
        </w:rPr>
        <w:t> </w:t>
      </w:r>
      <w:r>
        <w:rPr>
          <w:sz w:val="16"/>
        </w:rPr>
        <w:t>2018</w:t>
      </w:r>
      <w:r>
        <w:rPr>
          <w:spacing w:val="-11"/>
          <w:sz w:val="16"/>
        </w:rPr>
        <w:t> </w:t>
      </w:r>
      <w:r>
        <w:rPr>
          <w:sz w:val="16"/>
        </w:rPr>
        <w:t>(fecha</w:t>
      </w:r>
      <w:r>
        <w:rPr>
          <w:spacing w:val="-13"/>
          <w:sz w:val="16"/>
        </w:rPr>
        <w:t> </w:t>
      </w:r>
      <w:r>
        <w:rPr>
          <w:sz w:val="16"/>
        </w:rPr>
        <w:t>de</w:t>
      </w:r>
      <w:r>
        <w:rPr>
          <w:spacing w:val="-12"/>
          <w:sz w:val="16"/>
        </w:rPr>
        <w:t> </w:t>
      </w:r>
      <w:r>
        <w:rPr>
          <w:sz w:val="16"/>
        </w:rPr>
        <w:t>su</w:t>
      </w:r>
      <w:r>
        <w:rPr>
          <w:spacing w:val="-15"/>
          <w:sz w:val="16"/>
        </w:rPr>
        <w:t> </w:t>
      </w:r>
      <w:r>
        <w:rPr>
          <w:sz w:val="16"/>
        </w:rPr>
        <w:t>escrito</w:t>
      </w:r>
      <w:r>
        <w:rPr>
          <w:spacing w:val="-11"/>
          <w:sz w:val="16"/>
        </w:rPr>
        <w:t> </w:t>
      </w:r>
      <w:r>
        <w:rPr>
          <w:sz w:val="16"/>
        </w:rPr>
        <w:t>de</w:t>
      </w:r>
      <w:r>
        <w:rPr>
          <w:spacing w:val="-14"/>
          <w:sz w:val="16"/>
        </w:rPr>
        <w:t> </w:t>
      </w:r>
      <w:r>
        <w:rPr>
          <w:sz w:val="16"/>
        </w:rPr>
        <w:t>contestación)</w:t>
      </w:r>
      <w:r>
        <w:rPr>
          <w:spacing w:val="-13"/>
          <w:sz w:val="16"/>
        </w:rPr>
        <w:t> </w:t>
      </w:r>
      <w:r>
        <w:rPr>
          <w:sz w:val="16"/>
        </w:rPr>
        <w:t>había</w:t>
      </w:r>
      <w:r>
        <w:rPr>
          <w:spacing w:val="-13"/>
          <w:sz w:val="16"/>
        </w:rPr>
        <w:t> </w:t>
      </w:r>
      <w:r>
        <w:rPr>
          <w:sz w:val="16"/>
        </w:rPr>
        <w:t>un</w:t>
      </w:r>
      <w:r>
        <w:rPr>
          <w:spacing w:val="-15"/>
          <w:sz w:val="16"/>
        </w:rPr>
        <w:t> </w:t>
      </w:r>
      <w:r>
        <w:rPr>
          <w:sz w:val="16"/>
        </w:rPr>
        <w:t>grado</w:t>
      </w:r>
      <w:r>
        <w:rPr>
          <w:spacing w:val="-11"/>
          <w:sz w:val="16"/>
        </w:rPr>
        <w:t> </w:t>
      </w:r>
      <w:r>
        <w:rPr>
          <w:sz w:val="16"/>
        </w:rPr>
        <w:t>de</w:t>
      </w:r>
      <w:r>
        <w:rPr>
          <w:spacing w:val="-12"/>
          <w:sz w:val="16"/>
        </w:rPr>
        <w:t> </w:t>
      </w:r>
      <w:r>
        <w:rPr>
          <w:sz w:val="16"/>
        </w:rPr>
        <w:t>“[a]vance” en la “[d]emarcación de las 400.000 hectáreas [indígenas]” de “70%”. En los alegatos finales escritos, los representantes</w:t>
      </w:r>
      <w:r>
        <w:rPr>
          <w:spacing w:val="-1"/>
          <w:sz w:val="16"/>
        </w:rPr>
        <w:t> </w:t>
      </w:r>
      <w:r>
        <w:rPr>
          <w:sz w:val="16"/>
        </w:rPr>
        <w:t>afirmaron</w:t>
      </w:r>
      <w:r>
        <w:rPr>
          <w:spacing w:val="-7"/>
          <w:sz w:val="16"/>
        </w:rPr>
        <w:t> </w:t>
      </w:r>
      <w:r>
        <w:rPr>
          <w:sz w:val="16"/>
        </w:rPr>
        <w:t>que</w:t>
      </w:r>
      <w:r>
        <w:rPr>
          <w:spacing w:val="-6"/>
          <w:sz w:val="16"/>
        </w:rPr>
        <w:t> </w:t>
      </w:r>
      <w:r>
        <w:rPr>
          <w:sz w:val="16"/>
        </w:rPr>
        <w:t>no</w:t>
      </w:r>
      <w:r>
        <w:rPr>
          <w:spacing w:val="-3"/>
          <w:sz w:val="16"/>
        </w:rPr>
        <w:t> </w:t>
      </w:r>
      <w:r>
        <w:rPr>
          <w:sz w:val="16"/>
        </w:rPr>
        <w:t>se</w:t>
      </w:r>
      <w:r>
        <w:rPr>
          <w:spacing w:val="-3"/>
          <w:sz w:val="16"/>
        </w:rPr>
        <w:t> </w:t>
      </w:r>
      <w:r>
        <w:rPr>
          <w:sz w:val="16"/>
        </w:rPr>
        <w:t>ha</w:t>
      </w:r>
      <w:r>
        <w:rPr>
          <w:spacing w:val="-4"/>
          <w:sz w:val="16"/>
        </w:rPr>
        <w:t> </w:t>
      </w:r>
      <w:r>
        <w:rPr>
          <w:sz w:val="16"/>
        </w:rPr>
        <w:t>terminado</w:t>
      </w:r>
      <w:r>
        <w:rPr>
          <w:spacing w:val="-3"/>
          <w:sz w:val="16"/>
        </w:rPr>
        <w:t> </w:t>
      </w:r>
      <w:r>
        <w:rPr>
          <w:sz w:val="16"/>
        </w:rPr>
        <w:t>con</w:t>
      </w:r>
      <w:r>
        <w:rPr>
          <w:spacing w:val="-5"/>
          <w:sz w:val="16"/>
        </w:rPr>
        <w:t> </w:t>
      </w:r>
      <w:r>
        <w:rPr>
          <w:sz w:val="16"/>
        </w:rPr>
        <w:t>los</w:t>
      </w:r>
      <w:r>
        <w:rPr>
          <w:spacing w:val="-4"/>
          <w:sz w:val="16"/>
        </w:rPr>
        <w:t> </w:t>
      </w:r>
      <w:r>
        <w:rPr>
          <w:sz w:val="16"/>
        </w:rPr>
        <w:t>trabajos</w:t>
      </w:r>
      <w:r>
        <w:rPr>
          <w:spacing w:val="-6"/>
          <w:sz w:val="16"/>
        </w:rPr>
        <w:t> </w:t>
      </w:r>
      <w:r>
        <w:rPr>
          <w:sz w:val="16"/>
        </w:rPr>
        <w:t>de</w:t>
      </w:r>
      <w:r>
        <w:rPr>
          <w:spacing w:val="-6"/>
          <w:sz w:val="16"/>
        </w:rPr>
        <w:t> </w:t>
      </w:r>
      <w:r>
        <w:rPr>
          <w:sz w:val="16"/>
        </w:rPr>
        <w:t>demarcación</w:t>
      </w:r>
      <w:r>
        <w:rPr>
          <w:spacing w:val="-7"/>
          <w:sz w:val="16"/>
        </w:rPr>
        <w:t> </w:t>
      </w:r>
      <w:r>
        <w:rPr>
          <w:sz w:val="16"/>
        </w:rPr>
        <w:t>y</w:t>
      </w:r>
      <w:r>
        <w:rPr>
          <w:spacing w:val="-3"/>
          <w:sz w:val="16"/>
        </w:rPr>
        <w:t> </w:t>
      </w:r>
      <w:r>
        <w:rPr>
          <w:sz w:val="16"/>
        </w:rPr>
        <w:t>delimitación,</w:t>
      </w:r>
      <w:r>
        <w:rPr>
          <w:spacing w:val="-2"/>
          <w:sz w:val="16"/>
        </w:rPr>
        <w:t> </w:t>
      </w:r>
      <w:r>
        <w:rPr>
          <w:sz w:val="16"/>
        </w:rPr>
        <w:t>y</w:t>
      </w:r>
      <w:r>
        <w:rPr>
          <w:spacing w:val="-5"/>
          <w:sz w:val="16"/>
        </w:rPr>
        <w:t> </w:t>
      </w:r>
      <w:r>
        <w:rPr>
          <w:sz w:val="16"/>
        </w:rPr>
        <w:t>el</w:t>
      </w:r>
      <w:r>
        <w:rPr>
          <w:spacing w:val="-2"/>
          <w:sz w:val="16"/>
        </w:rPr>
        <w:t> </w:t>
      </w:r>
      <w:r>
        <w:rPr>
          <w:sz w:val="16"/>
        </w:rPr>
        <w:t>Estado señaló trabajos pendientes de “mensura” y</w:t>
      </w:r>
      <w:r>
        <w:rPr>
          <w:spacing w:val="-14"/>
          <w:sz w:val="16"/>
        </w:rPr>
        <w:t> </w:t>
      </w:r>
      <w:r>
        <w:rPr>
          <w:sz w:val="16"/>
        </w:rPr>
        <w:t>“amojonamiento”.</w:t>
      </w:r>
    </w:p>
    <w:p>
      <w:pPr>
        <w:spacing w:after="0" w:line="240" w:lineRule="auto"/>
        <w:jc w:val="both"/>
        <w:rPr>
          <w:sz w:val="16"/>
        </w:rPr>
        <w:sectPr>
          <w:pgSz w:w="12240" w:h="15840"/>
          <w:pgMar w:header="0" w:footer="1000" w:top="1340" w:bottom="1200" w:left="1580" w:right="1580"/>
        </w:sectPr>
      </w:pPr>
    </w:p>
    <w:p>
      <w:pPr>
        <w:pStyle w:val="ListParagraph"/>
        <w:numPr>
          <w:ilvl w:val="0"/>
          <w:numId w:val="21"/>
        </w:numPr>
        <w:tabs>
          <w:tab w:pos="830" w:val="left" w:leader="none"/>
        </w:tabs>
        <w:spacing w:line="240" w:lineRule="auto" w:before="161" w:after="0"/>
        <w:ind w:left="122" w:right="124" w:firstLine="0"/>
        <w:jc w:val="both"/>
        <w:rPr>
          <w:sz w:val="20"/>
        </w:rPr>
      </w:pPr>
      <w:r>
        <w:rPr>
          <w:sz w:val="20"/>
        </w:rPr>
        <w:t>Ahora</w:t>
      </w:r>
      <w:r>
        <w:rPr>
          <w:spacing w:val="-8"/>
          <w:sz w:val="20"/>
        </w:rPr>
        <w:t> </w:t>
      </w:r>
      <w:r>
        <w:rPr>
          <w:sz w:val="20"/>
        </w:rPr>
        <w:t>bien,</w:t>
      </w:r>
      <w:r>
        <w:rPr>
          <w:spacing w:val="-9"/>
          <w:sz w:val="20"/>
        </w:rPr>
        <w:t> </w:t>
      </w:r>
      <w:r>
        <w:rPr>
          <w:sz w:val="20"/>
        </w:rPr>
        <w:t>a</w:t>
      </w:r>
      <w:r>
        <w:rPr>
          <w:spacing w:val="-8"/>
          <w:sz w:val="20"/>
        </w:rPr>
        <w:t> </w:t>
      </w:r>
      <w:r>
        <w:rPr>
          <w:sz w:val="20"/>
        </w:rPr>
        <w:t>fin</w:t>
      </w:r>
      <w:r>
        <w:rPr>
          <w:spacing w:val="-10"/>
          <w:sz w:val="20"/>
        </w:rPr>
        <w:t> </w:t>
      </w:r>
      <w:r>
        <w:rPr>
          <w:sz w:val="20"/>
        </w:rPr>
        <w:t>de</w:t>
      </w:r>
      <w:r>
        <w:rPr>
          <w:spacing w:val="-9"/>
          <w:sz w:val="20"/>
        </w:rPr>
        <w:t> </w:t>
      </w:r>
      <w:r>
        <w:rPr>
          <w:sz w:val="20"/>
        </w:rPr>
        <w:t>dimensionar</w:t>
      </w:r>
      <w:r>
        <w:rPr>
          <w:spacing w:val="-11"/>
          <w:sz w:val="20"/>
        </w:rPr>
        <w:t> </w:t>
      </w:r>
      <w:r>
        <w:rPr>
          <w:sz w:val="20"/>
        </w:rPr>
        <w:t>adecuadamente</w:t>
      </w:r>
      <w:r>
        <w:rPr>
          <w:spacing w:val="-12"/>
          <w:sz w:val="20"/>
        </w:rPr>
        <w:t> </w:t>
      </w:r>
      <w:r>
        <w:rPr>
          <w:sz w:val="20"/>
        </w:rPr>
        <w:t>las</w:t>
      </w:r>
      <w:r>
        <w:rPr>
          <w:spacing w:val="-9"/>
          <w:sz w:val="20"/>
        </w:rPr>
        <w:t> </w:t>
      </w:r>
      <w:r>
        <w:rPr>
          <w:sz w:val="20"/>
        </w:rPr>
        <w:t>características</w:t>
      </w:r>
      <w:r>
        <w:rPr>
          <w:spacing w:val="-11"/>
          <w:sz w:val="20"/>
        </w:rPr>
        <w:t> </w:t>
      </w:r>
      <w:r>
        <w:rPr>
          <w:sz w:val="20"/>
        </w:rPr>
        <w:t>de</w:t>
      </w:r>
      <w:r>
        <w:rPr>
          <w:spacing w:val="-12"/>
          <w:sz w:val="20"/>
        </w:rPr>
        <w:t> </w:t>
      </w:r>
      <w:r>
        <w:rPr>
          <w:sz w:val="20"/>
        </w:rPr>
        <w:t>la</w:t>
      </w:r>
      <w:r>
        <w:rPr>
          <w:spacing w:val="-10"/>
          <w:sz w:val="20"/>
        </w:rPr>
        <w:t> </w:t>
      </w:r>
      <w:r>
        <w:rPr>
          <w:sz w:val="20"/>
        </w:rPr>
        <w:t>falta</w:t>
      </w:r>
      <w:r>
        <w:rPr>
          <w:spacing w:val="-10"/>
          <w:sz w:val="20"/>
        </w:rPr>
        <w:t> </w:t>
      </w:r>
      <w:r>
        <w:rPr>
          <w:sz w:val="20"/>
        </w:rPr>
        <w:t>de garantía del derecho de propiedad, debe hacerse notar algunas particularidades en cuanto a su relación con el derecho a la personalidad jurídica y con normas generales de derecho</w:t>
      </w:r>
      <w:r>
        <w:rPr>
          <w:spacing w:val="-10"/>
          <w:sz w:val="20"/>
        </w:rPr>
        <w:t> </w:t>
      </w:r>
      <w:r>
        <w:rPr>
          <w:sz w:val="20"/>
        </w:rPr>
        <w:t>interno.</w:t>
      </w:r>
    </w:p>
    <w:p>
      <w:pPr>
        <w:pStyle w:val="BodyText"/>
        <w:spacing w:before="10"/>
        <w:rPr>
          <w:sz w:val="19"/>
        </w:rPr>
      </w:pPr>
    </w:p>
    <w:p>
      <w:pPr>
        <w:pStyle w:val="ListParagraph"/>
        <w:numPr>
          <w:ilvl w:val="3"/>
          <w:numId w:val="26"/>
        </w:numPr>
        <w:tabs>
          <w:tab w:pos="2059" w:val="left" w:leader="none"/>
        </w:tabs>
        <w:spacing w:line="240" w:lineRule="auto" w:before="0" w:after="0"/>
        <w:ind w:left="2058" w:right="0" w:hanging="804"/>
        <w:jc w:val="left"/>
        <w:rPr>
          <w:i/>
          <w:sz w:val="20"/>
        </w:rPr>
      </w:pPr>
      <w:bookmarkStart w:name="_bookmark48" w:id="81"/>
      <w:bookmarkEnd w:id="81"/>
      <w:r>
        <w:rPr/>
      </w:r>
      <w:bookmarkStart w:name="_bookmark48" w:id="82"/>
      <w:bookmarkEnd w:id="82"/>
      <w:r>
        <w:rPr>
          <w:i/>
          <w:sz w:val="20"/>
        </w:rPr>
        <w:t>Ad</w:t>
      </w:r>
      <w:r>
        <w:rPr>
          <w:i/>
          <w:sz w:val="20"/>
        </w:rPr>
        <w:t>ucida afectación a la personalidad jurídica en el</w:t>
      </w:r>
      <w:r>
        <w:rPr>
          <w:i/>
          <w:spacing w:val="-17"/>
          <w:sz w:val="20"/>
        </w:rPr>
        <w:t> </w:t>
      </w:r>
      <w:r>
        <w:rPr>
          <w:i/>
          <w:sz w:val="20"/>
        </w:rPr>
        <w:t>caso</w:t>
      </w:r>
    </w:p>
    <w:p>
      <w:pPr>
        <w:pStyle w:val="BodyText"/>
        <w:rPr>
          <w:i/>
        </w:rPr>
      </w:pPr>
    </w:p>
    <w:p>
      <w:pPr>
        <w:pStyle w:val="ListParagraph"/>
        <w:numPr>
          <w:ilvl w:val="0"/>
          <w:numId w:val="21"/>
        </w:numPr>
        <w:tabs>
          <w:tab w:pos="830" w:val="left" w:leader="none"/>
        </w:tabs>
        <w:spacing w:line="240" w:lineRule="auto" w:before="1" w:after="0"/>
        <w:ind w:left="122" w:right="129" w:firstLine="0"/>
        <w:jc w:val="both"/>
        <w:rPr>
          <w:sz w:val="20"/>
        </w:rPr>
      </w:pPr>
      <w:r>
        <w:rPr>
          <w:sz w:val="20"/>
        </w:rPr>
        <w:t>Debe</w:t>
      </w:r>
      <w:r>
        <w:rPr>
          <w:spacing w:val="-17"/>
          <w:sz w:val="20"/>
        </w:rPr>
        <w:t> </w:t>
      </w:r>
      <w:r>
        <w:rPr>
          <w:sz w:val="20"/>
        </w:rPr>
        <w:t>destacarse</w:t>
      </w:r>
      <w:r>
        <w:rPr>
          <w:spacing w:val="-18"/>
          <w:sz w:val="20"/>
        </w:rPr>
        <w:t> </w:t>
      </w:r>
      <w:r>
        <w:rPr>
          <w:sz w:val="20"/>
        </w:rPr>
        <w:t>que</w:t>
      </w:r>
      <w:r>
        <w:rPr>
          <w:spacing w:val="-17"/>
          <w:sz w:val="20"/>
        </w:rPr>
        <w:t> </w:t>
      </w:r>
      <w:r>
        <w:rPr>
          <w:sz w:val="20"/>
        </w:rPr>
        <w:t>la</w:t>
      </w:r>
      <w:r>
        <w:rPr>
          <w:spacing w:val="-13"/>
          <w:sz w:val="20"/>
        </w:rPr>
        <w:t> </w:t>
      </w:r>
      <w:r>
        <w:rPr>
          <w:sz w:val="20"/>
        </w:rPr>
        <w:t>garantía</w:t>
      </w:r>
      <w:r>
        <w:rPr>
          <w:spacing w:val="-16"/>
          <w:sz w:val="20"/>
        </w:rPr>
        <w:t> </w:t>
      </w:r>
      <w:r>
        <w:rPr>
          <w:sz w:val="20"/>
        </w:rPr>
        <w:t>adecuada</w:t>
      </w:r>
      <w:r>
        <w:rPr>
          <w:spacing w:val="-16"/>
          <w:sz w:val="20"/>
        </w:rPr>
        <w:t> </w:t>
      </w:r>
      <w:r>
        <w:rPr>
          <w:sz w:val="20"/>
        </w:rPr>
        <w:t>de</w:t>
      </w:r>
      <w:r>
        <w:rPr>
          <w:spacing w:val="-17"/>
          <w:sz w:val="20"/>
        </w:rPr>
        <w:t> </w:t>
      </w:r>
      <w:r>
        <w:rPr>
          <w:sz w:val="20"/>
        </w:rPr>
        <w:t>la</w:t>
      </w:r>
      <w:r>
        <w:rPr>
          <w:spacing w:val="-13"/>
          <w:sz w:val="20"/>
        </w:rPr>
        <w:t> </w:t>
      </w:r>
      <w:r>
        <w:rPr>
          <w:sz w:val="20"/>
        </w:rPr>
        <w:t>propiedad</w:t>
      </w:r>
      <w:r>
        <w:rPr>
          <w:spacing w:val="-15"/>
          <w:sz w:val="20"/>
        </w:rPr>
        <w:t> </w:t>
      </w:r>
      <w:r>
        <w:rPr>
          <w:sz w:val="20"/>
        </w:rPr>
        <w:t>comunitaria</w:t>
      </w:r>
      <w:r>
        <w:rPr>
          <w:spacing w:val="-16"/>
          <w:sz w:val="20"/>
        </w:rPr>
        <w:t> </w:t>
      </w:r>
      <w:r>
        <w:rPr>
          <w:sz w:val="20"/>
        </w:rPr>
        <w:t>no</w:t>
      </w:r>
      <w:r>
        <w:rPr>
          <w:spacing w:val="-17"/>
          <w:sz w:val="20"/>
        </w:rPr>
        <w:t> </w:t>
      </w:r>
      <w:r>
        <w:rPr>
          <w:sz w:val="20"/>
        </w:rPr>
        <w:t>implica solo su reconocimiento nominal, sino que comporta la observancia y respeto de la autonomía y autodeterminación de las comunidades indígenas sobre sus</w:t>
      </w:r>
      <w:r>
        <w:rPr>
          <w:spacing w:val="-31"/>
          <w:sz w:val="20"/>
        </w:rPr>
        <w:t> </w:t>
      </w:r>
      <w:r>
        <w:rPr>
          <w:sz w:val="20"/>
        </w:rPr>
        <w:t>tierras.</w:t>
      </w:r>
    </w:p>
    <w:p>
      <w:pPr>
        <w:pStyle w:val="BodyText"/>
        <w:spacing w:before="1"/>
      </w:pPr>
    </w:p>
    <w:p>
      <w:pPr>
        <w:pStyle w:val="ListParagraph"/>
        <w:numPr>
          <w:ilvl w:val="0"/>
          <w:numId w:val="21"/>
        </w:numPr>
        <w:tabs>
          <w:tab w:pos="830" w:val="left" w:leader="none"/>
        </w:tabs>
        <w:spacing w:line="240" w:lineRule="auto" w:before="0" w:after="0"/>
        <w:ind w:left="122" w:right="124" w:firstLine="0"/>
        <w:jc w:val="both"/>
        <w:rPr>
          <w:sz w:val="20"/>
        </w:rPr>
      </w:pPr>
      <w:r>
        <w:rPr>
          <w:sz w:val="20"/>
        </w:rPr>
        <w:t>Sobre lo anterior, es preciso recordar que “la normativa internacional relativa a pueblos y comunidades indígenas o tribales reconoce derechos a los pueblos como sujetos colectivos del Derecho Internacional y no únicamente a sus miembros[; …] los pueblos y comunidades indígenas o tribales, cohesionados por sus particulares formas de</w:t>
      </w:r>
      <w:r>
        <w:rPr>
          <w:spacing w:val="-8"/>
          <w:sz w:val="20"/>
        </w:rPr>
        <w:t> </w:t>
      </w:r>
      <w:r>
        <w:rPr>
          <w:sz w:val="20"/>
        </w:rPr>
        <w:t>vida</w:t>
      </w:r>
      <w:r>
        <w:rPr>
          <w:spacing w:val="-6"/>
          <w:sz w:val="20"/>
        </w:rPr>
        <w:t> </w:t>
      </w:r>
      <w:r>
        <w:rPr>
          <w:sz w:val="20"/>
        </w:rPr>
        <w:t>e</w:t>
      </w:r>
      <w:r>
        <w:rPr>
          <w:spacing w:val="-6"/>
          <w:sz w:val="20"/>
        </w:rPr>
        <w:t> </w:t>
      </w:r>
      <w:r>
        <w:rPr>
          <w:sz w:val="20"/>
        </w:rPr>
        <w:t>identidad,</w:t>
      </w:r>
      <w:r>
        <w:rPr>
          <w:spacing w:val="-7"/>
          <w:sz w:val="20"/>
        </w:rPr>
        <w:t> </w:t>
      </w:r>
      <w:r>
        <w:rPr>
          <w:sz w:val="20"/>
        </w:rPr>
        <w:t>ejercen</w:t>
      </w:r>
      <w:r>
        <w:rPr>
          <w:spacing w:val="-6"/>
          <w:sz w:val="20"/>
        </w:rPr>
        <w:t> </w:t>
      </w:r>
      <w:r>
        <w:rPr>
          <w:sz w:val="20"/>
        </w:rPr>
        <w:t>algunos</w:t>
      </w:r>
      <w:r>
        <w:rPr>
          <w:spacing w:val="-7"/>
          <w:sz w:val="20"/>
        </w:rPr>
        <w:t> </w:t>
      </w:r>
      <w:r>
        <w:rPr>
          <w:sz w:val="20"/>
        </w:rPr>
        <w:t>derechos</w:t>
      </w:r>
      <w:r>
        <w:rPr>
          <w:spacing w:val="-5"/>
          <w:sz w:val="20"/>
        </w:rPr>
        <w:t> </w:t>
      </w:r>
      <w:r>
        <w:rPr>
          <w:sz w:val="20"/>
        </w:rPr>
        <w:t>reconocidos</w:t>
      </w:r>
      <w:r>
        <w:rPr>
          <w:spacing w:val="-7"/>
          <w:sz w:val="20"/>
        </w:rPr>
        <w:t> </w:t>
      </w:r>
      <w:r>
        <w:rPr>
          <w:sz w:val="20"/>
        </w:rPr>
        <w:t>por</w:t>
      </w:r>
      <w:r>
        <w:rPr>
          <w:spacing w:val="-8"/>
          <w:sz w:val="20"/>
        </w:rPr>
        <w:t> </w:t>
      </w:r>
      <w:r>
        <w:rPr>
          <w:sz w:val="20"/>
        </w:rPr>
        <w:t>la</w:t>
      </w:r>
      <w:r>
        <w:rPr>
          <w:spacing w:val="-6"/>
          <w:sz w:val="20"/>
        </w:rPr>
        <w:t> </w:t>
      </w:r>
      <w:r>
        <w:rPr>
          <w:sz w:val="20"/>
        </w:rPr>
        <w:t>Convención</w:t>
      </w:r>
      <w:r>
        <w:rPr>
          <w:spacing w:val="-7"/>
          <w:sz w:val="20"/>
        </w:rPr>
        <w:t> </w:t>
      </w:r>
      <w:r>
        <w:rPr>
          <w:sz w:val="20"/>
        </w:rPr>
        <w:t>desde</w:t>
      </w:r>
      <w:r>
        <w:rPr>
          <w:spacing w:val="-8"/>
          <w:sz w:val="20"/>
        </w:rPr>
        <w:t> </w:t>
      </w:r>
      <w:r>
        <w:rPr>
          <w:sz w:val="20"/>
        </w:rPr>
        <w:t>una dimensión colectiva”, entre ellos, el derecho de propiedad de la tierra</w:t>
      </w:r>
      <w:r>
        <w:rPr>
          <w:position w:val="7"/>
          <w:sz w:val="13"/>
        </w:rPr>
        <w:t>144</w:t>
      </w:r>
      <w:r>
        <w:rPr>
          <w:sz w:val="20"/>
        </w:rPr>
        <w:t>. Al respecto,</w:t>
      </w:r>
      <w:r>
        <w:rPr>
          <w:spacing w:val="-28"/>
          <w:sz w:val="20"/>
        </w:rPr>
        <w:t> </w:t>
      </w:r>
      <w:r>
        <w:rPr>
          <w:sz w:val="20"/>
        </w:rPr>
        <w:t>la Corte ha señalado el derecho a la autodeterminación de los pueblos indígenas respecto a</w:t>
      </w:r>
      <w:r>
        <w:rPr>
          <w:spacing w:val="-12"/>
          <w:sz w:val="20"/>
        </w:rPr>
        <w:t> </w:t>
      </w:r>
      <w:r>
        <w:rPr>
          <w:sz w:val="20"/>
        </w:rPr>
        <w:t>la</w:t>
      </w:r>
      <w:r>
        <w:rPr>
          <w:spacing w:val="-12"/>
          <w:sz w:val="20"/>
        </w:rPr>
        <w:t> </w:t>
      </w:r>
      <w:r>
        <w:rPr>
          <w:sz w:val="20"/>
        </w:rPr>
        <w:t>“disposición</w:t>
      </w:r>
      <w:r>
        <w:rPr>
          <w:spacing w:val="-12"/>
          <w:sz w:val="20"/>
        </w:rPr>
        <w:t> </w:t>
      </w:r>
      <w:r>
        <w:rPr>
          <w:sz w:val="20"/>
        </w:rPr>
        <w:t>libre</w:t>
      </w:r>
      <w:r>
        <w:rPr>
          <w:spacing w:val="-14"/>
          <w:sz w:val="20"/>
        </w:rPr>
        <w:t> </w:t>
      </w:r>
      <w:r>
        <w:rPr>
          <w:sz w:val="20"/>
        </w:rPr>
        <w:t>[…]</w:t>
      </w:r>
      <w:r>
        <w:rPr>
          <w:spacing w:val="-12"/>
          <w:sz w:val="20"/>
        </w:rPr>
        <w:t> </w:t>
      </w:r>
      <w:r>
        <w:rPr>
          <w:sz w:val="20"/>
        </w:rPr>
        <w:t>de</w:t>
      </w:r>
      <w:r>
        <w:rPr>
          <w:spacing w:val="-14"/>
          <w:sz w:val="20"/>
        </w:rPr>
        <w:t> </w:t>
      </w:r>
      <w:r>
        <w:rPr>
          <w:sz w:val="20"/>
        </w:rPr>
        <w:t>sus</w:t>
      </w:r>
      <w:r>
        <w:rPr>
          <w:spacing w:val="-10"/>
          <w:sz w:val="20"/>
        </w:rPr>
        <w:t> </w:t>
      </w:r>
      <w:r>
        <w:rPr>
          <w:sz w:val="20"/>
        </w:rPr>
        <w:t>riquezas</w:t>
      </w:r>
      <w:r>
        <w:rPr>
          <w:spacing w:val="-11"/>
          <w:sz w:val="20"/>
        </w:rPr>
        <w:t> </w:t>
      </w:r>
      <w:r>
        <w:rPr>
          <w:sz w:val="20"/>
        </w:rPr>
        <w:t>y</w:t>
      </w:r>
      <w:r>
        <w:rPr>
          <w:spacing w:val="-11"/>
          <w:sz w:val="20"/>
        </w:rPr>
        <w:t> </w:t>
      </w:r>
      <w:r>
        <w:rPr>
          <w:sz w:val="20"/>
        </w:rPr>
        <w:t>recursos</w:t>
      </w:r>
      <w:r>
        <w:rPr>
          <w:spacing w:val="-11"/>
          <w:sz w:val="20"/>
        </w:rPr>
        <w:t> </w:t>
      </w:r>
      <w:r>
        <w:rPr>
          <w:sz w:val="20"/>
        </w:rPr>
        <w:t>naturales”,</w:t>
      </w:r>
      <w:r>
        <w:rPr>
          <w:spacing w:val="-13"/>
          <w:sz w:val="20"/>
        </w:rPr>
        <w:t> </w:t>
      </w:r>
      <w:r>
        <w:rPr>
          <w:sz w:val="20"/>
        </w:rPr>
        <w:t>la</w:t>
      </w:r>
      <w:r>
        <w:rPr>
          <w:spacing w:val="-12"/>
          <w:sz w:val="20"/>
        </w:rPr>
        <w:t> </w:t>
      </w:r>
      <w:r>
        <w:rPr>
          <w:sz w:val="20"/>
        </w:rPr>
        <w:t>que</w:t>
      </w:r>
      <w:r>
        <w:rPr>
          <w:spacing w:val="-14"/>
          <w:sz w:val="20"/>
        </w:rPr>
        <w:t> </w:t>
      </w:r>
      <w:r>
        <w:rPr>
          <w:sz w:val="20"/>
        </w:rPr>
        <w:t>es</w:t>
      </w:r>
      <w:r>
        <w:rPr>
          <w:spacing w:val="-10"/>
          <w:sz w:val="20"/>
        </w:rPr>
        <w:t> </w:t>
      </w:r>
      <w:r>
        <w:rPr>
          <w:sz w:val="20"/>
        </w:rPr>
        <w:t>necesaria</w:t>
      </w:r>
      <w:r>
        <w:rPr>
          <w:spacing w:val="-11"/>
          <w:sz w:val="20"/>
        </w:rPr>
        <w:t> </w:t>
      </w:r>
      <w:r>
        <w:rPr>
          <w:sz w:val="20"/>
        </w:rPr>
        <w:t>para no verse privados de “sus propios medios de subsistencia”</w:t>
      </w:r>
      <w:r>
        <w:rPr>
          <w:position w:val="7"/>
          <w:sz w:val="13"/>
        </w:rPr>
        <w:t>145</w:t>
      </w:r>
      <w:r>
        <w:rPr>
          <w:sz w:val="20"/>
        </w:rPr>
        <w:t>. Se ha indicado ya que el derecho</w:t>
      </w:r>
      <w:r>
        <w:rPr>
          <w:spacing w:val="-7"/>
          <w:sz w:val="20"/>
        </w:rPr>
        <w:t> </w:t>
      </w:r>
      <w:r>
        <w:rPr>
          <w:sz w:val="20"/>
        </w:rPr>
        <w:t>de</w:t>
      </w:r>
      <w:r>
        <w:rPr>
          <w:spacing w:val="-6"/>
          <w:sz w:val="20"/>
        </w:rPr>
        <w:t> </w:t>
      </w:r>
      <w:r>
        <w:rPr>
          <w:sz w:val="20"/>
        </w:rPr>
        <w:t>propiedad</w:t>
      </w:r>
      <w:r>
        <w:rPr>
          <w:spacing w:val="-3"/>
          <w:sz w:val="20"/>
        </w:rPr>
        <w:t> </w:t>
      </w:r>
      <w:r>
        <w:rPr>
          <w:sz w:val="20"/>
        </w:rPr>
        <w:t>comunitaria</w:t>
      </w:r>
      <w:r>
        <w:rPr>
          <w:spacing w:val="-6"/>
          <w:sz w:val="20"/>
        </w:rPr>
        <w:t> </w:t>
      </w:r>
      <w:r>
        <w:rPr>
          <w:sz w:val="20"/>
        </w:rPr>
        <w:t>debe</w:t>
      </w:r>
      <w:r>
        <w:rPr>
          <w:spacing w:val="-6"/>
          <w:sz w:val="20"/>
        </w:rPr>
        <w:t> </w:t>
      </w:r>
      <w:r>
        <w:rPr>
          <w:sz w:val="20"/>
        </w:rPr>
        <w:t>ser</w:t>
      </w:r>
      <w:r>
        <w:rPr>
          <w:spacing w:val="-5"/>
          <w:sz w:val="20"/>
        </w:rPr>
        <w:t> </w:t>
      </w:r>
      <w:r>
        <w:rPr>
          <w:sz w:val="20"/>
        </w:rPr>
        <w:t>observado</w:t>
      </w:r>
      <w:r>
        <w:rPr>
          <w:spacing w:val="1"/>
          <w:sz w:val="20"/>
        </w:rPr>
        <w:t> </w:t>
      </w:r>
      <w:r>
        <w:rPr>
          <w:sz w:val="20"/>
        </w:rPr>
        <w:t>de</w:t>
      </w:r>
      <w:r>
        <w:rPr>
          <w:spacing w:val="-5"/>
          <w:sz w:val="20"/>
        </w:rPr>
        <w:t> </w:t>
      </w:r>
      <w:r>
        <w:rPr>
          <w:sz w:val="20"/>
        </w:rPr>
        <w:t>modo</w:t>
      </w:r>
      <w:r>
        <w:rPr>
          <w:spacing w:val="-5"/>
          <w:sz w:val="20"/>
        </w:rPr>
        <w:t> </w:t>
      </w:r>
      <w:r>
        <w:rPr>
          <w:sz w:val="20"/>
        </w:rPr>
        <w:t>de</w:t>
      </w:r>
      <w:r>
        <w:rPr>
          <w:spacing w:val="-7"/>
          <w:sz w:val="20"/>
        </w:rPr>
        <w:t> </w:t>
      </w:r>
      <w:r>
        <w:rPr>
          <w:sz w:val="20"/>
        </w:rPr>
        <w:t>garantizar</w:t>
      </w:r>
      <w:r>
        <w:rPr>
          <w:spacing w:val="-6"/>
          <w:sz w:val="20"/>
        </w:rPr>
        <w:t> </w:t>
      </w:r>
      <w:r>
        <w:rPr>
          <w:sz w:val="20"/>
        </w:rPr>
        <w:t>el</w:t>
      </w:r>
      <w:r>
        <w:rPr>
          <w:spacing w:val="-4"/>
          <w:sz w:val="20"/>
        </w:rPr>
        <w:t> </w:t>
      </w:r>
      <w:r>
        <w:rPr>
          <w:sz w:val="20"/>
        </w:rPr>
        <w:t>control por parte de los pueblos indígenas de los recursos naturales del territorio, así como su estilo de vida (</w:t>
      </w:r>
      <w:r>
        <w:rPr>
          <w:i/>
          <w:sz w:val="20"/>
        </w:rPr>
        <w:t>supra </w:t>
      </w:r>
      <w:r>
        <w:rPr>
          <w:sz w:val="20"/>
        </w:rPr>
        <w:t>párr. 94). En ese sentido, tanto el Convenio 169, como la Declaración</w:t>
      </w:r>
      <w:r>
        <w:rPr>
          <w:spacing w:val="-9"/>
          <w:sz w:val="20"/>
        </w:rPr>
        <w:t> </w:t>
      </w:r>
      <w:r>
        <w:rPr>
          <w:sz w:val="20"/>
        </w:rPr>
        <w:t>de</w:t>
      </w:r>
      <w:r>
        <w:rPr>
          <w:spacing w:val="-9"/>
          <w:sz w:val="20"/>
        </w:rPr>
        <w:t> </w:t>
      </w:r>
      <w:r>
        <w:rPr>
          <w:sz w:val="20"/>
        </w:rPr>
        <w:t>las</w:t>
      </w:r>
      <w:r>
        <w:rPr>
          <w:spacing w:val="-8"/>
          <w:sz w:val="20"/>
        </w:rPr>
        <w:t> </w:t>
      </w:r>
      <w:r>
        <w:rPr>
          <w:sz w:val="20"/>
        </w:rPr>
        <w:t>Naciones</w:t>
      </w:r>
      <w:r>
        <w:rPr>
          <w:spacing w:val="-11"/>
          <w:sz w:val="20"/>
        </w:rPr>
        <w:t> </w:t>
      </w:r>
      <w:r>
        <w:rPr>
          <w:sz w:val="20"/>
        </w:rPr>
        <w:t>Unidas</w:t>
      </w:r>
      <w:r>
        <w:rPr>
          <w:spacing w:val="-8"/>
          <w:sz w:val="20"/>
        </w:rPr>
        <w:t> </w:t>
      </w:r>
      <w:r>
        <w:rPr>
          <w:sz w:val="20"/>
        </w:rPr>
        <w:t>sobre</w:t>
      </w:r>
      <w:r>
        <w:rPr>
          <w:spacing w:val="-12"/>
          <w:sz w:val="20"/>
        </w:rPr>
        <w:t> </w:t>
      </w:r>
      <w:r>
        <w:rPr>
          <w:sz w:val="20"/>
        </w:rPr>
        <w:t>Derechos</w:t>
      </w:r>
      <w:r>
        <w:rPr>
          <w:spacing w:val="-11"/>
          <w:sz w:val="20"/>
        </w:rPr>
        <w:t> </w:t>
      </w:r>
      <w:r>
        <w:rPr>
          <w:sz w:val="20"/>
        </w:rPr>
        <w:t>de</w:t>
      </w:r>
      <w:r>
        <w:rPr>
          <w:spacing w:val="-12"/>
          <w:sz w:val="20"/>
        </w:rPr>
        <w:t> </w:t>
      </w:r>
      <w:r>
        <w:rPr>
          <w:sz w:val="20"/>
        </w:rPr>
        <w:t>los</w:t>
      </w:r>
      <w:r>
        <w:rPr>
          <w:spacing w:val="-9"/>
          <w:sz w:val="20"/>
        </w:rPr>
        <w:t> </w:t>
      </w:r>
      <w:r>
        <w:rPr>
          <w:sz w:val="20"/>
        </w:rPr>
        <w:t>Pueblos</w:t>
      </w:r>
      <w:r>
        <w:rPr>
          <w:spacing w:val="-11"/>
          <w:sz w:val="20"/>
        </w:rPr>
        <w:t> </w:t>
      </w:r>
      <w:r>
        <w:rPr>
          <w:sz w:val="20"/>
        </w:rPr>
        <w:t>Indígenas,</w:t>
      </w:r>
      <w:r>
        <w:rPr>
          <w:spacing w:val="-8"/>
          <w:sz w:val="20"/>
        </w:rPr>
        <w:t> </w:t>
      </w:r>
      <w:r>
        <w:rPr>
          <w:sz w:val="20"/>
        </w:rPr>
        <w:t>reconocen titularidad de derechos humanos a pueblos indígenas. La Declaración Americana sobre Derechos</w:t>
      </w:r>
      <w:r>
        <w:rPr>
          <w:spacing w:val="-11"/>
          <w:sz w:val="20"/>
        </w:rPr>
        <w:t> </w:t>
      </w:r>
      <w:r>
        <w:rPr>
          <w:sz w:val="20"/>
        </w:rPr>
        <w:t>de</w:t>
      </w:r>
      <w:r>
        <w:rPr>
          <w:spacing w:val="-12"/>
          <w:sz w:val="20"/>
        </w:rPr>
        <w:t> </w:t>
      </w:r>
      <w:r>
        <w:rPr>
          <w:sz w:val="20"/>
        </w:rPr>
        <w:t>los</w:t>
      </w:r>
      <w:r>
        <w:rPr>
          <w:spacing w:val="-11"/>
          <w:sz w:val="20"/>
        </w:rPr>
        <w:t> </w:t>
      </w:r>
      <w:r>
        <w:rPr>
          <w:sz w:val="20"/>
        </w:rPr>
        <w:t>Pueblos</w:t>
      </w:r>
      <w:r>
        <w:rPr>
          <w:spacing w:val="-11"/>
          <w:sz w:val="20"/>
        </w:rPr>
        <w:t> </w:t>
      </w:r>
      <w:r>
        <w:rPr>
          <w:sz w:val="20"/>
        </w:rPr>
        <w:t>Indígenas,</w:t>
      </w:r>
      <w:r>
        <w:rPr>
          <w:spacing w:val="-9"/>
          <w:sz w:val="20"/>
        </w:rPr>
        <w:t> </w:t>
      </w:r>
      <w:r>
        <w:rPr>
          <w:sz w:val="20"/>
        </w:rPr>
        <w:t>en</w:t>
      </w:r>
      <w:r>
        <w:rPr>
          <w:spacing w:val="-12"/>
          <w:sz w:val="20"/>
        </w:rPr>
        <w:t> </w:t>
      </w:r>
      <w:r>
        <w:rPr>
          <w:sz w:val="20"/>
        </w:rPr>
        <w:t>sus</w:t>
      </w:r>
      <w:r>
        <w:rPr>
          <w:spacing w:val="-13"/>
          <w:sz w:val="20"/>
        </w:rPr>
        <w:t> </w:t>
      </w:r>
      <w:r>
        <w:rPr>
          <w:sz w:val="20"/>
        </w:rPr>
        <w:t>artículos</w:t>
      </w:r>
      <w:r>
        <w:rPr>
          <w:spacing w:val="-11"/>
          <w:sz w:val="20"/>
        </w:rPr>
        <w:t> </w:t>
      </w:r>
      <w:r>
        <w:rPr>
          <w:sz w:val="20"/>
        </w:rPr>
        <w:t>VI</w:t>
      </w:r>
      <w:r>
        <w:rPr>
          <w:spacing w:val="-10"/>
          <w:sz w:val="20"/>
        </w:rPr>
        <w:t> </w:t>
      </w:r>
      <w:r>
        <w:rPr>
          <w:sz w:val="20"/>
        </w:rPr>
        <w:t>y</w:t>
      </w:r>
      <w:r>
        <w:rPr>
          <w:spacing w:val="-13"/>
          <w:sz w:val="20"/>
        </w:rPr>
        <w:t> </w:t>
      </w:r>
      <w:r>
        <w:rPr>
          <w:sz w:val="20"/>
        </w:rPr>
        <w:t>IX,</w:t>
      </w:r>
      <w:r>
        <w:rPr>
          <w:spacing w:val="-11"/>
          <w:sz w:val="20"/>
        </w:rPr>
        <w:t> </w:t>
      </w:r>
      <w:r>
        <w:rPr>
          <w:sz w:val="20"/>
        </w:rPr>
        <w:t>respectivamente,</w:t>
      </w:r>
      <w:r>
        <w:rPr>
          <w:spacing w:val="-11"/>
          <w:sz w:val="20"/>
        </w:rPr>
        <w:t> </w:t>
      </w:r>
      <w:r>
        <w:rPr>
          <w:sz w:val="20"/>
        </w:rPr>
        <w:t>preceptúa el</w:t>
      </w:r>
      <w:r>
        <w:rPr>
          <w:spacing w:val="-14"/>
          <w:sz w:val="20"/>
        </w:rPr>
        <w:t> </w:t>
      </w:r>
      <w:r>
        <w:rPr>
          <w:sz w:val="20"/>
        </w:rPr>
        <w:t>deber</w:t>
      </w:r>
      <w:r>
        <w:rPr>
          <w:spacing w:val="-14"/>
          <w:sz w:val="20"/>
        </w:rPr>
        <w:t> </w:t>
      </w:r>
      <w:r>
        <w:rPr>
          <w:sz w:val="20"/>
        </w:rPr>
        <w:t>estatal</w:t>
      </w:r>
      <w:r>
        <w:rPr>
          <w:spacing w:val="-14"/>
          <w:sz w:val="20"/>
        </w:rPr>
        <w:t> </w:t>
      </w:r>
      <w:r>
        <w:rPr>
          <w:sz w:val="20"/>
        </w:rPr>
        <w:t>de</w:t>
      </w:r>
      <w:r>
        <w:rPr>
          <w:spacing w:val="-14"/>
          <w:sz w:val="20"/>
        </w:rPr>
        <w:t> </w:t>
      </w:r>
      <w:r>
        <w:rPr>
          <w:sz w:val="20"/>
        </w:rPr>
        <w:t>reconocer</w:t>
      </w:r>
      <w:r>
        <w:rPr>
          <w:spacing w:val="-14"/>
          <w:sz w:val="20"/>
        </w:rPr>
        <w:t> </w:t>
      </w:r>
      <w:r>
        <w:rPr>
          <w:sz w:val="20"/>
        </w:rPr>
        <w:t>“el</w:t>
      </w:r>
      <w:r>
        <w:rPr>
          <w:spacing w:val="-14"/>
          <w:sz w:val="20"/>
        </w:rPr>
        <w:t> </w:t>
      </w:r>
      <w:r>
        <w:rPr>
          <w:sz w:val="20"/>
        </w:rPr>
        <w:t>derecho</w:t>
      </w:r>
      <w:r>
        <w:rPr>
          <w:spacing w:val="-16"/>
          <w:sz w:val="20"/>
        </w:rPr>
        <w:t> </w:t>
      </w:r>
      <w:r>
        <w:rPr>
          <w:sz w:val="20"/>
        </w:rPr>
        <w:t>de</w:t>
      </w:r>
      <w:r>
        <w:rPr>
          <w:spacing w:val="-14"/>
          <w:sz w:val="20"/>
        </w:rPr>
        <w:t> </w:t>
      </w:r>
      <w:r>
        <w:rPr>
          <w:sz w:val="20"/>
        </w:rPr>
        <w:t>los</w:t>
      </w:r>
      <w:r>
        <w:rPr>
          <w:spacing w:val="-11"/>
          <w:sz w:val="20"/>
        </w:rPr>
        <w:t> </w:t>
      </w:r>
      <w:r>
        <w:rPr>
          <w:sz w:val="20"/>
        </w:rPr>
        <w:t>pueblos</w:t>
      </w:r>
      <w:r>
        <w:rPr>
          <w:spacing w:val="-14"/>
          <w:sz w:val="20"/>
        </w:rPr>
        <w:t> </w:t>
      </w:r>
      <w:r>
        <w:rPr>
          <w:sz w:val="20"/>
        </w:rPr>
        <w:t>indígenas</w:t>
      </w:r>
      <w:r>
        <w:rPr>
          <w:spacing w:val="-13"/>
          <w:sz w:val="20"/>
        </w:rPr>
        <w:t> </w:t>
      </w:r>
      <w:r>
        <w:rPr>
          <w:sz w:val="20"/>
        </w:rPr>
        <w:t>a</w:t>
      </w:r>
      <w:r>
        <w:rPr>
          <w:spacing w:val="-12"/>
          <w:sz w:val="20"/>
        </w:rPr>
        <w:t> </w:t>
      </w:r>
      <w:r>
        <w:rPr>
          <w:sz w:val="20"/>
        </w:rPr>
        <w:t>su</w:t>
      </w:r>
      <w:r>
        <w:rPr>
          <w:spacing w:val="-15"/>
          <w:sz w:val="20"/>
        </w:rPr>
        <w:t> </w:t>
      </w:r>
      <w:r>
        <w:rPr>
          <w:sz w:val="20"/>
        </w:rPr>
        <w:t>actuar</w:t>
      </w:r>
      <w:r>
        <w:rPr>
          <w:spacing w:val="-14"/>
          <w:sz w:val="20"/>
        </w:rPr>
        <w:t> </w:t>
      </w:r>
      <w:r>
        <w:rPr>
          <w:sz w:val="20"/>
        </w:rPr>
        <w:t>colectivo”, y “la personalidad jurídica de los pueblos indígenas, respetando las formas de organización indígenas y promoviendo el ejercicio pleno de los derechos reconocidos</w:t>
      </w:r>
      <w:r>
        <w:rPr>
          <w:spacing w:val="-35"/>
          <w:sz w:val="20"/>
        </w:rPr>
        <w:t> </w:t>
      </w:r>
      <w:r>
        <w:rPr>
          <w:sz w:val="20"/>
        </w:rPr>
        <w:t>en esta</w:t>
      </w:r>
      <w:r>
        <w:rPr>
          <w:spacing w:val="-6"/>
          <w:sz w:val="20"/>
        </w:rPr>
        <w:t> </w:t>
      </w:r>
      <w:r>
        <w:rPr>
          <w:sz w:val="20"/>
        </w:rPr>
        <w:t>Declaración”.</w:t>
      </w:r>
    </w:p>
    <w:p>
      <w:pPr>
        <w:pStyle w:val="BodyText"/>
        <w:spacing w:before="10"/>
        <w:rPr>
          <w:sz w:val="19"/>
        </w:rPr>
      </w:pPr>
    </w:p>
    <w:p>
      <w:pPr>
        <w:pStyle w:val="ListParagraph"/>
        <w:numPr>
          <w:ilvl w:val="0"/>
          <w:numId w:val="21"/>
        </w:numPr>
        <w:tabs>
          <w:tab w:pos="830" w:val="left" w:leader="none"/>
        </w:tabs>
        <w:spacing w:line="240" w:lineRule="auto" w:before="0" w:after="0"/>
        <w:ind w:left="122" w:right="126" w:firstLine="0"/>
        <w:jc w:val="both"/>
        <w:rPr>
          <w:sz w:val="20"/>
        </w:rPr>
      </w:pPr>
      <w:r>
        <w:rPr>
          <w:sz w:val="20"/>
        </w:rPr>
        <w:t>Lo</w:t>
      </w:r>
      <w:r>
        <w:rPr>
          <w:spacing w:val="-16"/>
          <w:sz w:val="20"/>
        </w:rPr>
        <w:t> </w:t>
      </w:r>
      <w:r>
        <w:rPr>
          <w:sz w:val="20"/>
        </w:rPr>
        <w:t>dicho</w:t>
      </w:r>
      <w:r>
        <w:rPr>
          <w:spacing w:val="-15"/>
          <w:sz w:val="20"/>
        </w:rPr>
        <w:t> </w:t>
      </w:r>
      <w:r>
        <w:rPr>
          <w:sz w:val="20"/>
        </w:rPr>
        <w:t>es</w:t>
      </w:r>
      <w:r>
        <w:rPr>
          <w:spacing w:val="-15"/>
          <w:sz w:val="20"/>
        </w:rPr>
        <w:t> </w:t>
      </w:r>
      <w:r>
        <w:rPr>
          <w:sz w:val="20"/>
        </w:rPr>
        <w:t>relevante,</w:t>
      </w:r>
      <w:r>
        <w:rPr>
          <w:spacing w:val="-15"/>
          <w:sz w:val="20"/>
        </w:rPr>
        <w:t> </w:t>
      </w:r>
      <w:r>
        <w:rPr>
          <w:sz w:val="20"/>
        </w:rPr>
        <w:t>pues</w:t>
      </w:r>
      <w:r>
        <w:rPr>
          <w:spacing w:val="-15"/>
          <w:sz w:val="20"/>
        </w:rPr>
        <w:t> </w:t>
      </w:r>
      <w:r>
        <w:rPr>
          <w:sz w:val="20"/>
        </w:rPr>
        <w:t>la</w:t>
      </w:r>
      <w:r>
        <w:rPr>
          <w:spacing w:val="-14"/>
          <w:sz w:val="20"/>
        </w:rPr>
        <w:t> </w:t>
      </w:r>
      <w:r>
        <w:rPr>
          <w:sz w:val="20"/>
        </w:rPr>
        <w:t>Corte</w:t>
      </w:r>
      <w:r>
        <w:rPr>
          <w:spacing w:val="-15"/>
          <w:sz w:val="20"/>
        </w:rPr>
        <w:t> </w:t>
      </w:r>
      <w:r>
        <w:rPr>
          <w:sz w:val="20"/>
        </w:rPr>
        <w:t>ha</w:t>
      </w:r>
      <w:r>
        <w:rPr>
          <w:spacing w:val="-14"/>
          <w:sz w:val="20"/>
        </w:rPr>
        <w:t> </w:t>
      </w:r>
      <w:r>
        <w:rPr>
          <w:sz w:val="20"/>
        </w:rPr>
        <w:t>expresado</w:t>
      </w:r>
      <w:r>
        <w:rPr>
          <w:spacing w:val="-15"/>
          <w:sz w:val="20"/>
        </w:rPr>
        <w:t> </w:t>
      </w:r>
      <w:r>
        <w:rPr>
          <w:sz w:val="20"/>
        </w:rPr>
        <w:t>que</w:t>
      </w:r>
      <w:r>
        <w:rPr>
          <w:spacing w:val="-15"/>
          <w:sz w:val="20"/>
        </w:rPr>
        <w:t> </w:t>
      </w:r>
      <w:r>
        <w:rPr>
          <w:sz w:val="20"/>
        </w:rPr>
        <w:t>“el</w:t>
      </w:r>
      <w:r>
        <w:rPr>
          <w:spacing w:val="-14"/>
          <w:sz w:val="20"/>
        </w:rPr>
        <w:t> </w:t>
      </w:r>
      <w:r>
        <w:rPr>
          <w:sz w:val="20"/>
        </w:rPr>
        <w:t>derecho</w:t>
      </w:r>
      <w:r>
        <w:rPr>
          <w:spacing w:val="-12"/>
          <w:sz w:val="20"/>
        </w:rPr>
        <w:t> </w:t>
      </w:r>
      <w:r>
        <w:rPr>
          <w:sz w:val="20"/>
        </w:rPr>
        <w:t>a</w:t>
      </w:r>
      <w:r>
        <w:rPr>
          <w:spacing w:val="-14"/>
          <w:sz w:val="20"/>
        </w:rPr>
        <w:t> </w:t>
      </w:r>
      <w:r>
        <w:rPr>
          <w:sz w:val="20"/>
        </w:rPr>
        <w:t>que</w:t>
      </w:r>
      <w:r>
        <w:rPr>
          <w:spacing w:val="-15"/>
          <w:sz w:val="20"/>
        </w:rPr>
        <w:t> </w:t>
      </w:r>
      <w:r>
        <w:rPr>
          <w:sz w:val="20"/>
        </w:rPr>
        <w:t>el</w:t>
      </w:r>
      <w:r>
        <w:rPr>
          <w:spacing w:val="-14"/>
          <w:sz w:val="20"/>
        </w:rPr>
        <w:t> </w:t>
      </w:r>
      <w:r>
        <w:rPr>
          <w:sz w:val="20"/>
        </w:rPr>
        <w:t>Estado reconozca [la] personalidad jurídica es una de las medidas especiales que se debe proporcionar</w:t>
      </w:r>
      <w:r>
        <w:rPr>
          <w:spacing w:val="-14"/>
          <w:sz w:val="20"/>
        </w:rPr>
        <w:t> </w:t>
      </w:r>
      <w:r>
        <w:rPr>
          <w:sz w:val="20"/>
        </w:rPr>
        <w:t>a</w:t>
      </w:r>
      <w:r>
        <w:rPr>
          <w:spacing w:val="-15"/>
          <w:sz w:val="20"/>
        </w:rPr>
        <w:t> </w:t>
      </w:r>
      <w:r>
        <w:rPr>
          <w:sz w:val="20"/>
        </w:rPr>
        <w:t>los</w:t>
      </w:r>
      <w:r>
        <w:rPr>
          <w:spacing w:val="-14"/>
          <w:sz w:val="20"/>
        </w:rPr>
        <w:t> </w:t>
      </w:r>
      <w:r>
        <w:rPr>
          <w:sz w:val="20"/>
        </w:rPr>
        <w:t>grupos</w:t>
      </w:r>
      <w:r>
        <w:rPr>
          <w:spacing w:val="-16"/>
          <w:sz w:val="20"/>
        </w:rPr>
        <w:t> </w:t>
      </w:r>
      <w:r>
        <w:rPr>
          <w:sz w:val="20"/>
        </w:rPr>
        <w:t>indígenas</w:t>
      </w:r>
      <w:r>
        <w:rPr>
          <w:spacing w:val="-13"/>
          <w:sz w:val="20"/>
        </w:rPr>
        <w:t> </w:t>
      </w:r>
      <w:r>
        <w:rPr>
          <w:sz w:val="20"/>
        </w:rPr>
        <w:t>y</w:t>
      </w:r>
      <w:r>
        <w:rPr>
          <w:spacing w:val="-12"/>
          <w:sz w:val="20"/>
        </w:rPr>
        <w:t> </w:t>
      </w:r>
      <w:r>
        <w:rPr>
          <w:sz w:val="20"/>
        </w:rPr>
        <w:t>tribales</w:t>
      </w:r>
      <w:r>
        <w:rPr>
          <w:spacing w:val="-14"/>
          <w:sz w:val="20"/>
        </w:rPr>
        <w:t> </w:t>
      </w:r>
      <w:r>
        <w:rPr>
          <w:sz w:val="20"/>
        </w:rPr>
        <w:t>a</w:t>
      </w:r>
      <w:r>
        <w:rPr>
          <w:spacing w:val="-12"/>
          <w:sz w:val="20"/>
        </w:rPr>
        <w:t> </w:t>
      </w:r>
      <w:r>
        <w:rPr>
          <w:sz w:val="20"/>
        </w:rPr>
        <w:t>fin</w:t>
      </w:r>
      <w:r>
        <w:rPr>
          <w:spacing w:val="-14"/>
          <w:sz w:val="20"/>
        </w:rPr>
        <w:t> </w:t>
      </w:r>
      <w:r>
        <w:rPr>
          <w:sz w:val="20"/>
        </w:rPr>
        <w:t>de</w:t>
      </w:r>
      <w:r>
        <w:rPr>
          <w:spacing w:val="-16"/>
          <w:sz w:val="20"/>
        </w:rPr>
        <w:t> </w:t>
      </w:r>
      <w:r>
        <w:rPr>
          <w:sz w:val="20"/>
        </w:rPr>
        <w:t>garantizar</w:t>
      </w:r>
      <w:r>
        <w:rPr>
          <w:spacing w:val="-16"/>
          <w:sz w:val="20"/>
        </w:rPr>
        <w:t> </w:t>
      </w:r>
      <w:r>
        <w:rPr>
          <w:sz w:val="20"/>
        </w:rPr>
        <w:t>que</w:t>
      </w:r>
      <w:r>
        <w:rPr>
          <w:spacing w:val="-14"/>
          <w:sz w:val="20"/>
        </w:rPr>
        <w:t> </w:t>
      </w:r>
      <w:r>
        <w:rPr>
          <w:sz w:val="20"/>
        </w:rPr>
        <w:t>éstos</w:t>
      </w:r>
      <w:r>
        <w:rPr>
          <w:spacing w:val="-16"/>
          <w:sz w:val="20"/>
        </w:rPr>
        <w:t> </w:t>
      </w:r>
      <w:r>
        <w:rPr>
          <w:sz w:val="20"/>
        </w:rPr>
        <w:t>puedan</w:t>
      </w:r>
      <w:r>
        <w:rPr>
          <w:spacing w:val="-14"/>
          <w:sz w:val="20"/>
        </w:rPr>
        <w:t> </w:t>
      </w:r>
      <w:r>
        <w:rPr>
          <w:sz w:val="20"/>
        </w:rPr>
        <w:t>gozar de sus territorios según sus tradiciones”</w:t>
      </w:r>
      <w:r>
        <w:rPr>
          <w:position w:val="7"/>
          <w:sz w:val="13"/>
        </w:rPr>
        <w:t>146</w:t>
      </w:r>
      <w:r>
        <w:rPr>
          <w:sz w:val="20"/>
        </w:rPr>
        <w:t>. A tal efecto, la personalidad jurídica debe ser</w:t>
      </w:r>
      <w:r>
        <w:rPr>
          <w:spacing w:val="-16"/>
          <w:sz w:val="20"/>
        </w:rPr>
        <w:t> </w:t>
      </w:r>
      <w:r>
        <w:rPr>
          <w:sz w:val="20"/>
        </w:rPr>
        <w:t>reconocida</w:t>
      </w:r>
      <w:r>
        <w:rPr>
          <w:spacing w:val="-15"/>
          <w:sz w:val="20"/>
        </w:rPr>
        <w:t> </w:t>
      </w:r>
      <w:r>
        <w:rPr>
          <w:sz w:val="20"/>
        </w:rPr>
        <w:t>a</w:t>
      </w:r>
      <w:r>
        <w:rPr>
          <w:spacing w:val="-14"/>
          <w:sz w:val="20"/>
        </w:rPr>
        <w:t> </w:t>
      </w:r>
      <w:r>
        <w:rPr>
          <w:sz w:val="20"/>
        </w:rPr>
        <w:t>las</w:t>
      </w:r>
      <w:r>
        <w:rPr>
          <w:spacing w:val="-16"/>
          <w:sz w:val="20"/>
        </w:rPr>
        <w:t> </w:t>
      </w:r>
      <w:r>
        <w:rPr>
          <w:sz w:val="20"/>
        </w:rPr>
        <w:t>comunidades</w:t>
      </w:r>
      <w:r>
        <w:rPr>
          <w:spacing w:val="-16"/>
          <w:sz w:val="20"/>
        </w:rPr>
        <w:t> </w:t>
      </w:r>
      <w:r>
        <w:rPr>
          <w:sz w:val="20"/>
        </w:rPr>
        <w:t>de</w:t>
      </w:r>
      <w:r>
        <w:rPr>
          <w:spacing w:val="-16"/>
          <w:sz w:val="20"/>
        </w:rPr>
        <w:t> </w:t>
      </w:r>
      <w:r>
        <w:rPr>
          <w:sz w:val="20"/>
        </w:rPr>
        <w:t>modo</w:t>
      </w:r>
      <w:r>
        <w:rPr>
          <w:spacing w:val="-16"/>
          <w:sz w:val="20"/>
        </w:rPr>
        <w:t> </w:t>
      </w:r>
      <w:r>
        <w:rPr>
          <w:sz w:val="20"/>
        </w:rPr>
        <w:t>que</w:t>
      </w:r>
      <w:r>
        <w:rPr>
          <w:spacing w:val="-14"/>
          <w:sz w:val="20"/>
        </w:rPr>
        <w:t> </w:t>
      </w:r>
      <w:r>
        <w:rPr>
          <w:sz w:val="20"/>
        </w:rPr>
        <w:t>posibilite</w:t>
      </w:r>
      <w:r>
        <w:rPr>
          <w:spacing w:val="-16"/>
          <w:sz w:val="20"/>
        </w:rPr>
        <w:t> </w:t>
      </w:r>
      <w:r>
        <w:rPr>
          <w:sz w:val="20"/>
        </w:rPr>
        <w:t>la</w:t>
      </w:r>
      <w:r>
        <w:rPr>
          <w:spacing w:val="-15"/>
          <w:sz w:val="20"/>
        </w:rPr>
        <w:t> </w:t>
      </w:r>
      <w:r>
        <w:rPr>
          <w:sz w:val="20"/>
        </w:rPr>
        <w:t>adopción</w:t>
      </w:r>
      <w:r>
        <w:rPr>
          <w:spacing w:val="-15"/>
          <w:sz w:val="20"/>
        </w:rPr>
        <w:t> </w:t>
      </w:r>
      <w:r>
        <w:rPr>
          <w:sz w:val="20"/>
        </w:rPr>
        <w:t>de</w:t>
      </w:r>
      <w:r>
        <w:rPr>
          <w:spacing w:val="-16"/>
          <w:sz w:val="20"/>
        </w:rPr>
        <w:t> </w:t>
      </w:r>
      <w:r>
        <w:rPr>
          <w:sz w:val="20"/>
        </w:rPr>
        <w:t>decisiones</w:t>
      </w:r>
      <w:r>
        <w:rPr>
          <w:spacing w:val="-16"/>
          <w:sz w:val="20"/>
        </w:rPr>
        <w:t> </w:t>
      </w:r>
      <w:r>
        <w:rPr>
          <w:sz w:val="20"/>
        </w:rPr>
        <w:t>sobre la tierra conforme a sus tradiciones y modos de</w:t>
      </w:r>
      <w:r>
        <w:rPr>
          <w:spacing w:val="-24"/>
          <w:sz w:val="20"/>
        </w:rPr>
        <w:t> </w:t>
      </w:r>
      <w:r>
        <w:rPr>
          <w:sz w:val="20"/>
        </w:rPr>
        <w:t>organización</w:t>
      </w:r>
      <w:r>
        <w:rPr>
          <w:position w:val="7"/>
          <w:sz w:val="13"/>
        </w:rPr>
        <w:t>147</w:t>
      </w:r>
      <w:r>
        <w:rPr>
          <w:sz w:val="20"/>
        </w:rPr>
        <w:t>.</w:t>
      </w:r>
    </w:p>
    <w:p>
      <w:pPr>
        <w:pStyle w:val="BodyText"/>
        <w:spacing w:before="3"/>
        <w:rPr>
          <w:sz w:val="9"/>
        </w:rPr>
      </w:pPr>
      <w:r>
        <w:rPr/>
        <w:pict>
          <v:line style="position:absolute;mso-position-horizontal-relative:page;mso-position-vertical-relative:paragraph;z-index:2200;mso-wrap-distance-left:0;mso-wrap-distance-right:0" from="85.103996pt,7.94411pt" to="229.123996pt,7.94411pt" stroked="true" strokeweight=".71997pt" strokecolor="#000000">
            <v:stroke dashstyle="solid"/>
            <w10:wrap type="topAndBottom"/>
          </v:line>
        </w:pict>
      </w:r>
    </w:p>
    <w:p>
      <w:pPr>
        <w:tabs>
          <w:tab w:pos="829" w:val="left" w:leader="none"/>
        </w:tabs>
        <w:spacing w:before="71"/>
        <w:ind w:left="122" w:right="114" w:firstLine="0"/>
        <w:jc w:val="both"/>
        <w:rPr>
          <w:sz w:val="16"/>
        </w:rPr>
      </w:pPr>
      <w:r>
        <w:rPr>
          <w:position w:val="6"/>
          <w:sz w:val="10"/>
        </w:rPr>
        <w:t>144</w:t>
        <w:tab/>
      </w:r>
      <w:r>
        <w:rPr>
          <w:i/>
          <w:sz w:val="16"/>
        </w:rPr>
        <w:t>Caso</w:t>
      </w:r>
      <w:r>
        <w:rPr>
          <w:i/>
          <w:spacing w:val="-4"/>
          <w:sz w:val="16"/>
        </w:rPr>
        <w:t> </w:t>
      </w:r>
      <w:r>
        <w:rPr>
          <w:i/>
          <w:sz w:val="16"/>
        </w:rPr>
        <w:t>de</w:t>
      </w:r>
      <w:r>
        <w:rPr>
          <w:i/>
          <w:spacing w:val="-5"/>
          <w:sz w:val="16"/>
        </w:rPr>
        <w:t> </w:t>
      </w:r>
      <w:r>
        <w:rPr>
          <w:i/>
          <w:sz w:val="16"/>
        </w:rPr>
        <w:t>la</w:t>
      </w:r>
      <w:r>
        <w:rPr>
          <w:i/>
          <w:spacing w:val="-3"/>
          <w:sz w:val="16"/>
        </w:rPr>
        <w:t> </w:t>
      </w:r>
      <w:r>
        <w:rPr>
          <w:i/>
          <w:sz w:val="16"/>
        </w:rPr>
        <w:t>Comunidad</w:t>
      </w:r>
      <w:r>
        <w:rPr>
          <w:i/>
          <w:spacing w:val="-7"/>
          <w:sz w:val="16"/>
        </w:rPr>
        <w:t> </w:t>
      </w:r>
      <w:r>
        <w:rPr>
          <w:i/>
          <w:sz w:val="16"/>
        </w:rPr>
        <w:t>Mayagna</w:t>
      </w:r>
      <w:r>
        <w:rPr>
          <w:i/>
          <w:spacing w:val="-3"/>
          <w:sz w:val="16"/>
        </w:rPr>
        <w:t> </w:t>
      </w:r>
      <w:r>
        <w:rPr>
          <w:i/>
          <w:sz w:val="16"/>
        </w:rPr>
        <w:t>(Sumo)</w:t>
      </w:r>
      <w:r>
        <w:rPr>
          <w:i/>
          <w:spacing w:val="-4"/>
          <w:sz w:val="16"/>
        </w:rPr>
        <w:t> </w:t>
      </w:r>
      <w:r>
        <w:rPr>
          <w:i/>
          <w:sz w:val="16"/>
        </w:rPr>
        <w:t>Awas</w:t>
      </w:r>
      <w:r>
        <w:rPr>
          <w:i/>
          <w:spacing w:val="-5"/>
          <w:sz w:val="16"/>
        </w:rPr>
        <w:t> </w:t>
      </w:r>
      <w:r>
        <w:rPr>
          <w:i/>
          <w:sz w:val="16"/>
        </w:rPr>
        <w:t>Tingni</w:t>
      </w:r>
      <w:r>
        <w:rPr>
          <w:i/>
          <w:spacing w:val="-3"/>
          <w:sz w:val="16"/>
        </w:rPr>
        <w:t> </w:t>
      </w:r>
      <w:r>
        <w:rPr>
          <w:i/>
          <w:sz w:val="16"/>
        </w:rPr>
        <w:t>Vs.</w:t>
      </w:r>
      <w:r>
        <w:rPr>
          <w:i/>
          <w:spacing w:val="-6"/>
          <w:sz w:val="16"/>
        </w:rPr>
        <w:t> </w:t>
      </w:r>
      <w:r>
        <w:rPr>
          <w:i/>
          <w:sz w:val="16"/>
        </w:rPr>
        <w:t>Nicaragua,</w:t>
      </w:r>
      <w:r>
        <w:rPr>
          <w:i/>
          <w:spacing w:val="-5"/>
          <w:sz w:val="16"/>
        </w:rPr>
        <w:t> </w:t>
      </w:r>
      <w:r>
        <w:rPr>
          <w:sz w:val="16"/>
        </w:rPr>
        <w:t>párr.</w:t>
      </w:r>
      <w:r>
        <w:rPr>
          <w:spacing w:val="-6"/>
          <w:sz w:val="16"/>
        </w:rPr>
        <w:t> </w:t>
      </w:r>
      <w:r>
        <w:rPr>
          <w:sz w:val="16"/>
        </w:rPr>
        <w:t>149;</w:t>
      </w:r>
      <w:r>
        <w:rPr>
          <w:spacing w:val="-3"/>
          <w:sz w:val="16"/>
        </w:rPr>
        <w:t> </w:t>
      </w:r>
      <w:r>
        <w:rPr>
          <w:i/>
          <w:sz w:val="16"/>
        </w:rPr>
        <w:t>Caso</w:t>
      </w:r>
      <w:r>
        <w:rPr>
          <w:i/>
          <w:spacing w:val="-4"/>
          <w:sz w:val="16"/>
        </w:rPr>
        <w:t> </w:t>
      </w:r>
      <w:r>
        <w:rPr>
          <w:i/>
          <w:sz w:val="16"/>
        </w:rPr>
        <w:t>Pueblo</w:t>
      </w:r>
      <w:r>
        <w:rPr>
          <w:i/>
          <w:spacing w:val="-2"/>
          <w:sz w:val="16"/>
        </w:rPr>
        <w:t> </w:t>
      </w:r>
      <w:r>
        <w:rPr>
          <w:i/>
          <w:sz w:val="16"/>
        </w:rPr>
        <w:t>Indígena</w:t>
      </w:r>
      <w:r>
        <w:rPr>
          <w:i/>
          <w:w w:val="100"/>
          <w:sz w:val="16"/>
        </w:rPr>
        <w:t> </w:t>
      </w:r>
      <w:r>
        <w:rPr>
          <w:i/>
          <w:sz w:val="16"/>
        </w:rPr>
        <w:t>Kichwa de Sarayaku Vs. Ecuador</w:t>
      </w:r>
      <w:r>
        <w:rPr>
          <w:sz w:val="16"/>
        </w:rPr>
        <w:t>, párrs. 145 y 231</w:t>
      </w:r>
      <w:r>
        <w:rPr>
          <w:color w:val="535353"/>
          <w:sz w:val="16"/>
        </w:rPr>
        <w:t>, </w:t>
      </w:r>
      <w:r>
        <w:rPr>
          <w:sz w:val="16"/>
        </w:rPr>
        <w:t>y </w:t>
      </w:r>
      <w:r>
        <w:rPr>
          <w:i/>
          <w:sz w:val="16"/>
        </w:rPr>
        <w:t>Titularidad de derechos de las personas jurídicas en el </w:t>
      </w:r>
      <w:r>
        <w:rPr>
          <w:i/>
          <w:sz w:val="16"/>
        </w:rPr>
        <w:t>Sistema Interamericano de Derechos Humanos (Interpretación y alcance del artículo 1.2, en relación con </w:t>
      </w:r>
      <w:r>
        <w:rPr>
          <w:i/>
          <w:spacing w:val="-2"/>
          <w:sz w:val="16"/>
        </w:rPr>
        <w:t>los </w:t>
      </w:r>
      <w:r>
        <w:rPr>
          <w:i/>
          <w:sz w:val="16"/>
        </w:rPr>
        <w:t>artículos 1.1, 8, 11.2, 13, 16, 21, 24, 25, 29, 30, 44, 46, y 62.3 de la Convención Americana sobre Derechos Humanos, así como del artículo 8.1 A y B del Protocolo de San Salvador). Opinión Consultiva OC-22/16</w:t>
      </w:r>
      <w:r>
        <w:rPr>
          <w:sz w:val="16"/>
        </w:rPr>
        <w:t>,</w:t>
      </w:r>
      <w:r>
        <w:rPr>
          <w:spacing w:val="-38"/>
          <w:sz w:val="16"/>
        </w:rPr>
        <w:t> </w:t>
      </w:r>
      <w:r>
        <w:rPr>
          <w:sz w:val="16"/>
        </w:rPr>
        <w:t>párr. 75.</w:t>
      </w:r>
    </w:p>
    <w:p>
      <w:pPr>
        <w:pStyle w:val="BodyText"/>
        <w:rPr>
          <w:sz w:val="16"/>
        </w:rPr>
      </w:pPr>
    </w:p>
    <w:p>
      <w:pPr>
        <w:tabs>
          <w:tab w:pos="829" w:val="left" w:leader="none"/>
        </w:tabs>
        <w:spacing w:before="0"/>
        <w:ind w:left="122" w:right="114" w:firstLine="0"/>
        <w:jc w:val="both"/>
        <w:rPr>
          <w:sz w:val="16"/>
        </w:rPr>
      </w:pPr>
      <w:r>
        <w:rPr>
          <w:position w:val="6"/>
          <w:sz w:val="10"/>
        </w:rPr>
        <w:t>145</w:t>
        <w:tab/>
      </w:r>
      <w:r>
        <w:rPr>
          <w:i/>
          <w:sz w:val="16"/>
        </w:rPr>
        <w:t>Caso</w:t>
      </w:r>
      <w:r>
        <w:rPr>
          <w:i/>
          <w:spacing w:val="-4"/>
          <w:sz w:val="16"/>
        </w:rPr>
        <w:t> </w:t>
      </w:r>
      <w:r>
        <w:rPr>
          <w:i/>
          <w:sz w:val="16"/>
        </w:rPr>
        <w:t>del</w:t>
      </w:r>
      <w:r>
        <w:rPr>
          <w:i/>
          <w:spacing w:val="-3"/>
          <w:sz w:val="16"/>
        </w:rPr>
        <w:t> </w:t>
      </w:r>
      <w:r>
        <w:rPr>
          <w:i/>
          <w:sz w:val="16"/>
        </w:rPr>
        <w:t>Pueblo</w:t>
      </w:r>
      <w:r>
        <w:rPr>
          <w:i/>
          <w:spacing w:val="-4"/>
          <w:sz w:val="16"/>
        </w:rPr>
        <w:t> </w:t>
      </w:r>
      <w:r>
        <w:rPr>
          <w:i/>
          <w:sz w:val="16"/>
        </w:rPr>
        <w:t>Saramaka</w:t>
      </w:r>
      <w:r>
        <w:rPr>
          <w:i/>
          <w:spacing w:val="-6"/>
          <w:sz w:val="16"/>
        </w:rPr>
        <w:t> </w:t>
      </w:r>
      <w:r>
        <w:rPr>
          <w:i/>
          <w:sz w:val="16"/>
        </w:rPr>
        <w:t>Vs.</w:t>
      </w:r>
      <w:r>
        <w:rPr>
          <w:i/>
          <w:spacing w:val="-3"/>
          <w:sz w:val="16"/>
        </w:rPr>
        <w:t> </w:t>
      </w:r>
      <w:r>
        <w:rPr>
          <w:i/>
          <w:sz w:val="16"/>
        </w:rPr>
        <w:t>Surinam</w:t>
      </w:r>
      <w:r>
        <w:rPr>
          <w:sz w:val="16"/>
        </w:rPr>
        <w:t>,</w:t>
      </w:r>
      <w:r>
        <w:rPr>
          <w:spacing w:val="-4"/>
          <w:sz w:val="16"/>
        </w:rPr>
        <w:t> </w:t>
      </w:r>
      <w:r>
        <w:rPr>
          <w:sz w:val="16"/>
        </w:rPr>
        <w:t>párr.</w:t>
      </w:r>
      <w:r>
        <w:rPr>
          <w:spacing w:val="-4"/>
          <w:sz w:val="16"/>
        </w:rPr>
        <w:t> </w:t>
      </w:r>
      <w:r>
        <w:rPr>
          <w:sz w:val="16"/>
        </w:rPr>
        <w:t>93,</w:t>
      </w:r>
      <w:r>
        <w:rPr>
          <w:spacing w:val="-4"/>
          <w:sz w:val="16"/>
        </w:rPr>
        <w:t> </w:t>
      </w:r>
      <w:r>
        <w:rPr>
          <w:sz w:val="16"/>
        </w:rPr>
        <w:t>y</w:t>
      </w:r>
      <w:r>
        <w:rPr>
          <w:spacing w:val="-1"/>
          <w:sz w:val="16"/>
        </w:rPr>
        <w:t> </w:t>
      </w:r>
      <w:r>
        <w:rPr>
          <w:i/>
          <w:sz w:val="16"/>
        </w:rPr>
        <w:t>Caso</w:t>
      </w:r>
      <w:r>
        <w:rPr>
          <w:i/>
          <w:spacing w:val="-2"/>
          <w:sz w:val="16"/>
        </w:rPr>
        <w:t> </w:t>
      </w:r>
      <w:r>
        <w:rPr>
          <w:i/>
          <w:sz w:val="16"/>
        </w:rPr>
        <w:t>Pueblos</w:t>
      </w:r>
      <w:r>
        <w:rPr>
          <w:i/>
          <w:spacing w:val="-3"/>
          <w:sz w:val="16"/>
        </w:rPr>
        <w:t> </w:t>
      </w:r>
      <w:r>
        <w:rPr>
          <w:i/>
          <w:sz w:val="16"/>
        </w:rPr>
        <w:t>Kaliña</w:t>
      </w:r>
      <w:r>
        <w:rPr>
          <w:i/>
          <w:spacing w:val="-3"/>
          <w:sz w:val="16"/>
        </w:rPr>
        <w:t> </w:t>
      </w:r>
      <w:r>
        <w:rPr>
          <w:i/>
          <w:sz w:val="16"/>
        </w:rPr>
        <w:t>y</w:t>
      </w:r>
      <w:r>
        <w:rPr>
          <w:i/>
          <w:spacing w:val="-2"/>
          <w:sz w:val="16"/>
        </w:rPr>
        <w:t> </w:t>
      </w:r>
      <w:r>
        <w:rPr>
          <w:i/>
          <w:sz w:val="16"/>
        </w:rPr>
        <w:t>Lokono</w:t>
      </w:r>
      <w:r>
        <w:rPr>
          <w:i/>
          <w:spacing w:val="-2"/>
          <w:sz w:val="16"/>
        </w:rPr>
        <w:t> </w:t>
      </w:r>
      <w:r>
        <w:rPr>
          <w:i/>
          <w:sz w:val="16"/>
        </w:rPr>
        <w:t>Vs.</w:t>
      </w:r>
      <w:r>
        <w:rPr>
          <w:i/>
          <w:spacing w:val="-3"/>
          <w:sz w:val="16"/>
        </w:rPr>
        <w:t> </w:t>
      </w:r>
      <w:r>
        <w:rPr>
          <w:i/>
          <w:sz w:val="16"/>
        </w:rPr>
        <w:t>Surinam</w:t>
      </w:r>
      <w:r>
        <w:rPr>
          <w:sz w:val="16"/>
        </w:rPr>
        <w:t>,</w:t>
      </w:r>
      <w:r>
        <w:rPr>
          <w:spacing w:val="-1"/>
          <w:sz w:val="16"/>
        </w:rPr>
        <w:t> </w:t>
      </w:r>
      <w:r>
        <w:rPr>
          <w:sz w:val="16"/>
        </w:rPr>
        <w:t>párr.</w:t>
      </w:r>
      <w:r>
        <w:rPr>
          <w:w w:val="100"/>
          <w:sz w:val="16"/>
        </w:rPr>
        <w:t> </w:t>
      </w:r>
      <w:r>
        <w:rPr>
          <w:sz w:val="16"/>
        </w:rPr>
        <w:t>122.</w:t>
      </w:r>
    </w:p>
    <w:p>
      <w:pPr>
        <w:pStyle w:val="BodyText"/>
        <w:spacing w:before="12"/>
        <w:rPr>
          <w:sz w:val="15"/>
        </w:rPr>
      </w:pPr>
    </w:p>
    <w:p>
      <w:pPr>
        <w:tabs>
          <w:tab w:pos="829" w:val="left" w:leader="none"/>
        </w:tabs>
        <w:spacing w:before="0"/>
        <w:ind w:left="122" w:right="114" w:firstLine="0"/>
        <w:jc w:val="both"/>
        <w:rPr>
          <w:sz w:val="16"/>
        </w:rPr>
      </w:pPr>
      <w:r>
        <w:rPr>
          <w:i/>
          <w:position w:val="6"/>
          <w:sz w:val="10"/>
        </w:rPr>
        <w:t>146</w:t>
        <w:tab/>
      </w:r>
      <w:r>
        <w:rPr>
          <w:i/>
          <w:sz w:val="16"/>
        </w:rPr>
        <w:t>Caso</w:t>
      </w:r>
      <w:r>
        <w:rPr>
          <w:i/>
          <w:spacing w:val="-9"/>
          <w:sz w:val="16"/>
        </w:rPr>
        <w:t> </w:t>
      </w:r>
      <w:r>
        <w:rPr>
          <w:i/>
          <w:sz w:val="16"/>
        </w:rPr>
        <w:t>del</w:t>
      </w:r>
      <w:r>
        <w:rPr>
          <w:i/>
          <w:spacing w:val="-8"/>
          <w:sz w:val="16"/>
        </w:rPr>
        <w:t> </w:t>
      </w:r>
      <w:r>
        <w:rPr>
          <w:i/>
          <w:sz w:val="16"/>
        </w:rPr>
        <w:t>Pueblo</w:t>
      </w:r>
      <w:r>
        <w:rPr>
          <w:i/>
          <w:spacing w:val="-9"/>
          <w:sz w:val="16"/>
        </w:rPr>
        <w:t> </w:t>
      </w:r>
      <w:r>
        <w:rPr>
          <w:i/>
          <w:sz w:val="16"/>
        </w:rPr>
        <w:t>Saramaka</w:t>
      </w:r>
      <w:r>
        <w:rPr>
          <w:i/>
          <w:spacing w:val="-10"/>
          <w:sz w:val="16"/>
        </w:rPr>
        <w:t> </w:t>
      </w:r>
      <w:r>
        <w:rPr>
          <w:i/>
          <w:sz w:val="16"/>
        </w:rPr>
        <w:t>Vs.</w:t>
      </w:r>
      <w:r>
        <w:rPr>
          <w:i/>
          <w:spacing w:val="-10"/>
          <w:sz w:val="16"/>
        </w:rPr>
        <w:t> </w:t>
      </w:r>
      <w:r>
        <w:rPr>
          <w:i/>
          <w:sz w:val="16"/>
        </w:rPr>
        <w:t>Surinam</w:t>
      </w:r>
      <w:r>
        <w:rPr>
          <w:sz w:val="16"/>
        </w:rPr>
        <w:t>,</w:t>
      </w:r>
      <w:r>
        <w:rPr>
          <w:spacing w:val="-11"/>
          <w:sz w:val="16"/>
        </w:rPr>
        <w:t> </w:t>
      </w:r>
      <w:r>
        <w:rPr>
          <w:sz w:val="16"/>
        </w:rPr>
        <w:t>párr.</w:t>
      </w:r>
      <w:r>
        <w:rPr>
          <w:spacing w:val="-11"/>
          <w:sz w:val="16"/>
        </w:rPr>
        <w:t> </w:t>
      </w:r>
      <w:r>
        <w:rPr>
          <w:sz w:val="16"/>
        </w:rPr>
        <w:t>172,</w:t>
      </w:r>
      <w:r>
        <w:rPr>
          <w:spacing w:val="-11"/>
          <w:sz w:val="16"/>
        </w:rPr>
        <w:t> </w:t>
      </w:r>
      <w:r>
        <w:rPr>
          <w:sz w:val="16"/>
        </w:rPr>
        <w:t>y</w:t>
      </w:r>
      <w:r>
        <w:rPr>
          <w:spacing w:val="-8"/>
          <w:sz w:val="16"/>
        </w:rPr>
        <w:t> </w:t>
      </w:r>
      <w:r>
        <w:rPr>
          <w:i/>
          <w:sz w:val="16"/>
        </w:rPr>
        <w:t>Caso</w:t>
      </w:r>
      <w:r>
        <w:rPr>
          <w:i/>
          <w:spacing w:val="-9"/>
          <w:sz w:val="16"/>
        </w:rPr>
        <w:t> </w:t>
      </w:r>
      <w:r>
        <w:rPr>
          <w:i/>
          <w:sz w:val="16"/>
        </w:rPr>
        <w:t>Pueblos</w:t>
      </w:r>
      <w:r>
        <w:rPr>
          <w:i/>
          <w:spacing w:val="-10"/>
          <w:sz w:val="16"/>
        </w:rPr>
        <w:t> </w:t>
      </w:r>
      <w:r>
        <w:rPr>
          <w:i/>
          <w:sz w:val="16"/>
        </w:rPr>
        <w:t>Kaliña</w:t>
      </w:r>
      <w:r>
        <w:rPr>
          <w:i/>
          <w:spacing w:val="-8"/>
          <w:sz w:val="16"/>
        </w:rPr>
        <w:t> </w:t>
      </w:r>
      <w:r>
        <w:rPr>
          <w:i/>
          <w:sz w:val="16"/>
        </w:rPr>
        <w:t>y</w:t>
      </w:r>
      <w:r>
        <w:rPr>
          <w:i/>
          <w:spacing w:val="-9"/>
          <w:sz w:val="16"/>
        </w:rPr>
        <w:t> </w:t>
      </w:r>
      <w:r>
        <w:rPr>
          <w:i/>
          <w:sz w:val="16"/>
        </w:rPr>
        <w:t>Lokono</w:t>
      </w:r>
      <w:r>
        <w:rPr>
          <w:i/>
          <w:spacing w:val="-9"/>
          <w:sz w:val="16"/>
        </w:rPr>
        <w:t> </w:t>
      </w:r>
      <w:r>
        <w:rPr>
          <w:i/>
          <w:sz w:val="16"/>
        </w:rPr>
        <w:t>Vs.</w:t>
      </w:r>
      <w:r>
        <w:rPr>
          <w:i/>
          <w:spacing w:val="-10"/>
          <w:sz w:val="16"/>
        </w:rPr>
        <w:t> </w:t>
      </w:r>
      <w:r>
        <w:rPr>
          <w:i/>
          <w:sz w:val="16"/>
        </w:rPr>
        <w:t>Surinam</w:t>
      </w:r>
      <w:r>
        <w:rPr>
          <w:sz w:val="16"/>
        </w:rPr>
        <w:t>,</w:t>
      </w:r>
      <w:r>
        <w:rPr>
          <w:spacing w:val="-8"/>
          <w:sz w:val="16"/>
        </w:rPr>
        <w:t> </w:t>
      </w:r>
      <w:r>
        <w:rPr>
          <w:sz w:val="16"/>
        </w:rPr>
        <w:t>párr.</w:t>
      </w:r>
      <w:r>
        <w:rPr>
          <w:w w:val="100"/>
          <w:sz w:val="16"/>
        </w:rPr>
        <w:t> </w:t>
      </w:r>
      <w:r>
        <w:rPr>
          <w:sz w:val="16"/>
        </w:rPr>
        <w:t>107.</w:t>
      </w:r>
    </w:p>
    <w:p>
      <w:pPr>
        <w:pStyle w:val="BodyText"/>
        <w:spacing w:before="12"/>
        <w:rPr>
          <w:sz w:val="15"/>
        </w:rPr>
      </w:pPr>
    </w:p>
    <w:p>
      <w:pPr>
        <w:tabs>
          <w:tab w:pos="829" w:val="left" w:leader="none"/>
        </w:tabs>
        <w:spacing w:line="240" w:lineRule="auto" w:before="0"/>
        <w:ind w:left="122" w:right="115" w:firstLine="0"/>
        <w:jc w:val="both"/>
        <w:rPr>
          <w:sz w:val="16"/>
        </w:rPr>
      </w:pPr>
      <w:r>
        <w:rPr>
          <w:position w:val="6"/>
          <w:sz w:val="10"/>
        </w:rPr>
        <w:t>147</w:t>
        <w:tab/>
      </w:r>
      <w:r>
        <w:rPr>
          <w:sz w:val="16"/>
        </w:rPr>
        <w:t>Resulta  ilustrativo,  sobre  lo  dicho,  recordar  apreciaciones  hechas  por  la  Corte     </w:t>
      </w:r>
      <w:r>
        <w:rPr>
          <w:spacing w:val="40"/>
          <w:sz w:val="16"/>
        </w:rPr>
        <w:t> </w:t>
      </w:r>
      <w:r>
        <w:rPr>
          <w:sz w:val="16"/>
        </w:rPr>
        <w:t>respecto </w:t>
      </w:r>
      <w:r>
        <w:rPr>
          <w:spacing w:val="25"/>
          <w:sz w:val="16"/>
        </w:rPr>
        <w:t> </w:t>
      </w:r>
      <w:r>
        <w:rPr>
          <w:sz w:val="16"/>
        </w:rPr>
        <w:t>a</w:t>
      </w:r>
      <w:r>
        <w:rPr>
          <w:w w:val="100"/>
          <w:sz w:val="16"/>
        </w:rPr>
        <w:t> </w:t>
      </w:r>
      <w:r>
        <w:rPr>
          <w:sz w:val="16"/>
        </w:rPr>
        <w:t>circunstancias del caso del </w:t>
      </w:r>
      <w:r>
        <w:rPr>
          <w:i/>
          <w:sz w:val="16"/>
        </w:rPr>
        <w:t>Pueblo Saramaka Vs. Surinam</w:t>
      </w:r>
      <w:r>
        <w:rPr>
          <w:sz w:val="16"/>
        </w:rPr>
        <w:t>: “el reconocimiento del derecho a la personalidad jurídica del pueblo Saramaka como un conjunto ayudaría a evitar […] situaciones [de conflicto], ya que los representantes verdaderos de la personalidad jurídica serían elegidos conforme a sus propias tradiciones y autoridades</w:t>
      </w:r>
      <w:r>
        <w:rPr>
          <w:spacing w:val="-6"/>
          <w:sz w:val="16"/>
        </w:rPr>
        <w:t> </w:t>
      </w:r>
      <w:r>
        <w:rPr>
          <w:sz w:val="16"/>
        </w:rPr>
        <w:t>locales,</w:t>
      </w:r>
      <w:r>
        <w:rPr>
          <w:spacing w:val="-6"/>
          <w:sz w:val="16"/>
        </w:rPr>
        <w:t> </w:t>
      </w:r>
      <w:r>
        <w:rPr>
          <w:sz w:val="16"/>
        </w:rPr>
        <w:t>y</w:t>
      </w:r>
      <w:r>
        <w:rPr>
          <w:spacing w:val="-5"/>
          <w:sz w:val="16"/>
        </w:rPr>
        <w:t> </w:t>
      </w:r>
      <w:r>
        <w:rPr>
          <w:sz w:val="16"/>
        </w:rPr>
        <w:t>las</w:t>
      </w:r>
      <w:r>
        <w:rPr>
          <w:spacing w:val="-6"/>
          <w:sz w:val="16"/>
        </w:rPr>
        <w:t> </w:t>
      </w:r>
      <w:r>
        <w:rPr>
          <w:sz w:val="16"/>
        </w:rPr>
        <w:t>decisiones</w:t>
      </w:r>
      <w:r>
        <w:rPr>
          <w:spacing w:val="-6"/>
          <w:sz w:val="16"/>
        </w:rPr>
        <w:t> </w:t>
      </w:r>
      <w:r>
        <w:rPr>
          <w:sz w:val="16"/>
        </w:rPr>
        <w:t>que</w:t>
      </w:r>
      <w:r>
        <w:rPr>
          <w:spacing w:val="-6"/>
          <w:sz w:val="16"/>
        </w:rPr>
        <w:t> </w:t>
      </w:r>
      <w:r>
        <w:rPr>
          <w:sz w:val="16"/>
        </w:rPr>
        <w:t>afecten</w:t>
      </w:r>
      <w:r>
        <w:rPr>
          <w:spacing w:val="-7"/>
          <w:sz w:val="16"/>
        </w:rPr>
        <w:t> </w:t>
      </w:r>
      <w:r>
        <w:rPr>
          <w:sz w:val="16"/>
        </w:rPr>
        <w:t>la</w:t>
      </w:r>
      <w:r>
        <w:rPr>
          <w:spacing w:val="-7"/>
          <w:sz w:val="16"/>
        </w:rPr>
        <w:t> </w:t>
      </w:r>
      <w:r>
        <w:rPr>
          <w:sz w:val="16"/>
        </w:rPr>
        <w:t>propiedad</w:t>
      </w:r>
      <w:r>
        <w:rPr>
          <w:spacing w:val="-6"/>
          <w:sz w:val="16"/>
        </w:rPr>
        <w:t> </w:t>
      </w:r>
      <w:r>
        <w:rPr>
          <w:sz w:val="16"/>
        </w:rPr>
        <w:t>sería</w:t>
      </w:r>
      <w:r>
        <w:rPr>
          <w:spacing w:val="-7"/>
          <w:sz w:val="16"/>
        </w:rPr>
        <w:t> </w:t>
      </w:r>
      <w:r>
        <w:rPr>
          <w:sz w:val="16"/>
        </w:rPr>
        <w:t>la</w:t>
      </w:r>
      <w:r>
        <w:rPr>
          <w:spacing w:val="-7"/>
          <w:sz w:val="16"/>
        </w:rPr>
        <w:t> </w:t>
      </w:r>
      <w:r>
        <w:rPr>
          <w:sz w:val="16"/>
        </w:rPr>
        <w:t>responsabilidad</w:t>
      </w:r>
      <w:r>
        <w:rPr>
          <w:spacing w:val="-5"/>
          <w:sz w:val="16"/>
        </w:rPr>
        <w:t> </w:t>
      </w:r>
      <w:r>
        <w:rPr>
          <w:sz w:val="16"/>
        </w:rPr>
        <w:t>de</w:t>
      </w:r>
      <w:r>
        <w:rPr>
          <w:spacing w:val="-6"/>
          <w:sz w:val="16"/>
        </w:rPr>
        <w:t> </w:t>
      </w:r>
      <w:r>
        <w:rPr>
          <w:sz w:val="16"/>
        </w:rPr>
        <w:t>aquellas</w:t>
      </w:r>
      <w:r>
        <w:rPr>
          <w:spacing w:val="-3"/>
          <w:sz w:val="16"/>
        </w:rPr>
        <w:t> </w:t>
      </w:r>
      <w:r>
        <w:rPr>
          <w:sz w:val="16"/>
        </w:rPr>
        <w:t>autoridades</w:t>
      </w:r>
    </w:p>
    <w:p>
      <w:pPr>
        <w:spacing w:after="0" w:line="240" w:lineRule="auto"/>
        <w:jc w:val="both"/>
        <w:rPr>
          <w:sz w:val="16"/>
        </w:rPr>
        <w:sectPr>
          <w:pgSz w:w="12240" w:h="15840"/>
          <w:pgMar w:header="0" w:footer="1000" w:top="1500" w:bottom="1200" w:left="1580" w:right="1580"/>
        </w:sectPr>
      </w:pPr>
    </w:p>
    <w:p>
      <w:pPr>
        <w:pStyle w:val="ListParagraph"/>
        <w:numPr>
          <w:ilvl w:val="0"/>
          <w:numId w:val="21"/>
        </w:numPr>
        <w:tabs>
          <w:tab w:pos="830" w:val="left" w:leader="none"/>
        </w:tabs>
        <w:spacing w:line="240" w:lineRule="auto" w:before="161" w:after="0"/>
        <w:ind w:left="122" w:right="122" w:firstLine="0"/>
        <w:jc w:val="both"/>
        <w:rPr>
          <w:sz w:val="20"/>
        </w:rPr>
      </w:pPr>
      <w:r>
        <w:rPr>
          <w:sz w:val="20"/>
        </w:rPr>
        <w:t>Ahora bien, el Decreto 1498/14 prevé acciones para el reconocimiento de la propiedad respecto de las comunidades indígenas que habitan los lotes 14 y 55. Cierto es</w:t>
      </w:r>
      <w:r>
        <w:rPr>
          <w:spacing w:val="-14"/>
          <w:sz w:val="20"/>
        </w:rPr>
        <w:t> </w:t>
      </w:r>
      <w:r>
        <w:rPr>
          <w:sz w:val="20"/>
        </w:rPr>
        <w:t>que</w:t>
      </w:r>
      <w:r>
        <w:rPr>
          <w:spacing w:val="-16"/>
          <w:sz w:val="20"/>
        </w:rPr>
        <w:t> </w:t>
      </w:r>
      <w:r>
        <w:rPr>
          <w:sz w:val="20"/>
        </w:rPr>
        <w:t>nombra</w:t>
      </w:r>
      <w:r>
        <w:rPr>
          <w:spacing w:val="-13"/>
          <w:sz w:val="20"/>
        </w:rPr>
        <w:t> </w:t>
      </w:r>
      <w:r>
        <w:rPr>
          <w:sz w:val="20"/>
        </w:rPr>
        <w:t>71</w:t>
      </w:r>
      <w:r>
        <w:rPr>
          <w:spacing w:val="-12"/>
          <w:sz w:val="20"/>
        </w:rPr>
        <w:t> </w:t>
      </w:r>
      <w:r>
        <w:rPr>
          <w:sz w:val="20"/>
        </w:rPr>
        <w:t>comunidades,</w:t>
      </w:r>
      <w:r>
        <w:rPr>
          <w:spacing w:val="-16"/>
          <w:sz w:val="20"/>
        </w:rPr>
        <w:t> </w:t>
      </w:r>
      <w:r>
        <w:rPr>
          <w:sz w:val="20"/>
        </w:rPr>
        <w:t>pero</w:t>
      </w:r>
      <w:r>
        <w:rPr>
          <w:spacing w:val="-14"/>
          <w:sz w:val="20"/>
        </w:rPr>
        <w:t> </w:t>
      </w:r>
      <w:r>
        <w:rPr>
          <w:sz w:val="20"/>
        </w:rPr>
        <w:t>dado</w:t>
      </w:r>
      <w:r>
        <w:rPr>
          <w:spacing w:val="-14"/>
          <w:sz w:val="20"/>
        </w:rPr>
        <w:t> </w:t>
      </w:r>
      <w:r>
        <w:rPr>
          <w:sz w:val="20"/>
        </w:rPr>
        <w:t>el</w:t>
      </w:r>
      <w:r>
        <w:rPr>
          <w:spacing w:val="-12"/>
          <w:sz w:val="20"/>
        </w:rPr>
        <w:t> </w:t>
      </w:r>
      <w:r>
        <w:rPr>
          <w:sz w:val="20"/>
        </w:rPr>
        <w:t>proceso</w:t>
      </w:r>
      <w:r>
        <w:rPr>
          <w:spacing w:val="-16"/>
          <w:sz w:val="20"/>
        </w:rPr>
        <w:t> </w:t>
      </w:r>
      <w:r>
        <w:rPr>
          <w:sz w:val="20"/>
        </w:rPr>
        <w:t>de</w:t>
      </w:r>
      <w:r>
        <w:rPr>
          <w:spacing w:val="-16"/>
          <w:sz w:val="20"/>
        </w:rPr>
        <w:t> </w:t>
      </w:r>
      <w:r>
        <w:rPr>
          <w:sz w:val="20"/>
        </w:rPr>
        <w:t>“fisión</w:t>
      </w:r>
      <w:r>
        <w:rPr>
          <w:spacing w:val="-12"/>
          <w:sz w:val="20"/>
        </w:rPr>
        <w:t> </w:t>
      </w:r>
      <w:r>
        <w:rPr>
          <w:sz w:val="20"/>
        </w:rPr>
        <w:t>–fusión”</w:t>
      </w:r>
      <w:r>
        <w:rPr>
          <w:spacing w:val="-13"/>
          <w:sz w:val="20"/>
        </w:rPr>
        <w:t> </w:t>
      </w:r>
      <w:r>
        <w:rPr>
          <w:sz w:val="20"/>
        </w:rPr>
        <w:t>que</w:t>
      </w:r>
      <w:r>
        <w:rPr>
          <w:spacing w:val="-14"/>
          <w:sz w:val="20"/>
        </w:rPr>
        <w:t> </w:t>
      </w:r>
      <w:r>
        <w:rPr>
          <w:sz w:val="20"/>
        </w:rPr>
        <w:t>caracteriza a las mismas, debe entenderse que el mayor número de comunidades que ha surgido con</w:t>
      </w:r>
      <w:r>
        <w:rPr>
          <w:spacing w:val="-15"/>
          <w:sz w:val="20"/>
        </w:rPr>
        <w:t> </w:t>
      </w:r>
      <w:r>
        <w:rPr>
          <w:sz w:val="20"/>
        </w:rPr>
        <w:t>posterioridad</w:t>
      </w:r>
      <w:r>
        <w:rPr>
          <w:spacing w:val="-15"/>
          <w:sz w:val="20"/>
        </w:rPr>
        <w:t> </w:t>
      </w:r>
      <w:r>
        <w:rPr>
          <w:sz w:val="20"/>
        </w:rPr>
        <w:t>a</w:t>
      </w:r>
      <w:r>
        <w:rPr>
          <w:spacing w:val="-15"/>
          <w:sz w:val="20"/>
        </w:rPr>
        <w:t> </w:t>
      </w:r>
      <w:r>
        <w:rPr>
          <w:sz w:val="20"/>
        </w:rPr>
        <w:t>la</w:t>
      </w:r>
      <w:r>
        <w:rPr>
          <w:spacing w:val="-15"/>
          <w:sz w:val="20"/>
        </w:rPr>
        <w:t> </w:t>
      </w:r>
      <w:r>
        <w:rPr>
          <w:sz w:val="20"/>
        </w:rPr>
        <w:t>emisión</w:t>
      </w:r>
      <w:r>
        <w:rPr>
          <w:spacing w:val="-15"/>
          <w:sz w:val="20"/>
        </w:rPr>
        <w:t> </w:t>
      </w:r>
      <w:r>
        <w:rPr>
          <w:sz w:val="20"/>
        </w:rPr>
        <w:t>del</w:t>
      </w:r>
      <w:r>
        <w:rPr>
          <w:spacing w:val="-15"/>
          <w:sz w:val="20"/>
        </w:rPr>
        <w:t> </w:t>
      </w:r>
      <w:r>
        <w:rPr>
          <w:sz w:val="20"/>
        </w:rPr>
        <w:t>Decreto</w:t>
      </w:r>
      <w:r>
        <w:rPr>
          <w:spacing w:val="-16"/>
          <w:sz w:val="20"/>
        </w:rPr>
        <w:t> </w:t>
      </w:r>
      <w:r>
        <w:rPr>
          <w:sz w:val="20"/>
        </w:rPr>
        <w:t>1498/14</w:t>
      </w:r>
      <w:r>
        <w:rPr>
          <w:spacing w:val="-15"/>
          <w:sz w:val="20"/>
        </w:rPr>
        <w:t> </w:t>
      </w:r>
      <w:r>
        <w:rPr>
          <w:spacing w:val="3"/>
          <w:sz w:val="20"/>
        </w:rPr>
        <w:t>no</w:t>
      </w:r>
      <w:r>
        <w:rPr>
          <w:spacing w:val="-16"/>
          <w:sz w:val="20"/>
        </w:rPr>
        <w:t> </w:t>
      </w:r>
      <w:r>
        <w:rPr>
          <w:sz w:val="20"/>
        </w:rPr>
        <w:t>es</w:t>
      </w:r>
      <w:r>
        <w:rPr>
          <w:spacing w:val="-14"/>
          <w:sz w:val="20"/>
        </w:rPr>
        <w:t> </w:t>
      </w:r>
      <w:r>
        <w:rPr>
          <w:sz w:val="20"/>
        </w:rPr>
        <w:t>sino</w:t>
      </w:r>
      <w:r>
        <w:rPr>
          <w:spacing w:val="-16"/>
          <w:sz w:val="20"/>
        </w:rPr>
        <w:t> </w:t>
      </w:r>
      <w:r>
        <w:rPr>
          <w:sz w:val="20"/>
        </w:rPr>
        <w:t>una</w:t>
      </w:r>
      <w:r>
        <w:rPr>
          <w:spacing w:val="-15"/>
          <w:sz w:val="20"/>
        </w:rPr>
        <w:t> </w:t>
      </w:r>
      <w:r>
        <w:rPr>
          <w:sz w:val="20"/>
        </w:rPr>
        <w:t>derivación</w:t>
      </w:r>
      <w:r>
        <w:rPr>
          <w:spacing w:val="-15"/>
          <w:sz w:val="20"/>
        </w:rPr>
        <w:t> </w:t>
      </w:r>
      <w:r>
        <w:rPr>
          <w:sz w:val="20"/>
        </w:rPr>
        <w:t>de</w:t>
      </w:r>
      <w:r>
        <w:rPr>
          <w:spacing w:val="-16"/>
          <w:sz w:val="20"/>
        </w:rPr>
        <w:t> </w:t>
      </w:r>
      <w:r>
        <w:rPr>
          <w:sz w:val="20"/>
        </w:rPr>
        <w:t>aquéllas</w:t>
      </w:r>
    </w:p>
    <w:p>
      <w:pPr>
        <w:pStyle w:val="BodyText"/>
        <w:ind w:left="122" w:right="122"/>
        <w:jc w:val="both"/>
      </w:pPr>
      <w:r>
        <w:rPr/>
        <w:t>71. Por lo tanto, todas las comunidades indígenas habitantes de los lotes 14 y 55 que se han formado a partir de las 71 aludidas deben considerarse incluidas en el reconocimiento</w:t>
      </w:r>
      <w:r>
        <w:rPr>
          <w:spacing w:val="-15"/>
        </w:rPr>
        <w:t> </w:t>
      </w:r>
      <w:r>
        <w:rPr/>
        <w:t>de</w:t>
      </w:r>
      <w:r>
        <w:rPr>
          <w:spacing w:val="-15"/>
        </w:rPr>
        <w:t> </w:t>
      </w:r>
      <w:r>
        <w:rPr/>
        <w:t>propiedad</w:t>
      </w:r>
      <w:r>
        <w:rPr>
          <w:spacing w:val="-13"/>
        </w:rPr>
        <w:t> </w:t>
      </w:r>
      <w:r>
        <w:rPr/>
        <w:t>efectuado</w:t>
      </w:r>
      <w:r>
        <w:rPr>
          <w:spacing w:val="-15"/>
        </w:rPr>
        <w:t> </w:t>
      </w:r>
      <w:r>
        <w:rPr/>
        <w:t>por</w:t>
      </w:r>
      <w:r>
        <w:rPr>
          <w:spacing w:val="-12"/>
        </w:rPr>
        <w:t> </w:t>
      </w:r>
      <w:r>
        <w:rPr/>
        <w:t>el</w:t>
      </w:r>
      <w:r>
        <w:rPr>
          <w:spacing w:val="-14"/>
        </w:rPr>
        <w:t> </w:t>
      </w:r>
      <w:r>
        <w:rPr/>
        <w:t>Decreto</w:t>
      </w:r>
      <w:r>
        <w:rPr>
          <w:spacing w:val="-15"/>
        </w:rPr>
        <w:t> </w:t>
      </w:r>
      <w:r>
        <w:rPr/>
        <w:t>1498/14,</w:t>
      </w:r>
      <w:r>
        <w:rPr>
          <w:spacing w:val="-12"/>
        </w:rPr>
        <w:t> </w:t>
      </w:r>
      <w:r>
        <w:rPr/>
        <w:t>en</w:t>
      </w:r>
      <w:r>
        <w:rPr>
          <w:spacing w:val="-13"/>
        </w:rPr>
        <w:t> </w:t>
      </w:r>
      <w:r>
        <w:rPr/>
        <w:t>el</w:t>
      </w:r>
      <w:r>
        <w:rPr>
          <w:spacing w:val="-11"/>
        </w:rPr>
        <w:t> </w:t>
      </w:r>
      <w:r>
        <w:rPr/>
        <w:t>entendido</w:t>
      </w:r>
      <w:r>
        <w:rPr>
          <w:spacing w:val="-15"/>
        </w:rPr>
        <w:t> </w:t>
      </w:r>
      <w:r>
        <w:rPr/>
        <w:t>que</w:t>
      </w:r>
      <w:r>
        <w:rPr>
          <w:spacing w:val="-15"/>
        </w:rPr>
        <w:t> </w:t>
      </w:r>
      <w:r>
        <w:rPr/>
        <w:t>ello abarca todas las comunidades señaladas como presuntas víctimas (</w:t>
      </w:r>
      <w:r>
        <w:rPr>
          <w:i/>
        </w:rPr>
        <w:t>supra </w:t>
      </w:r>
      <w:r>
        <w:rPr/>
        <w:t>párr. 35 y Anexo V). La Corte advierte que un entendimiento distinto del Decreto 1498/14, que implicara desconocer la propiedad de comunidades bajo el pretexto de que no están explícitamente nombradas en dicho decreto, resultaría contrario a la Convención. El Estado debe abstenerse de actuaciones o interpretaciones de normas sesgadas o de excesivo</w:t>
      </w:r>
      <w:r>
        <w:rPr>
          <w:spacing w:val="-10"/>
        </w:rPr>
        <w:t> </w:t>
      </w:r>
      <w:r>
        <w:rPr/>
        <w:t>rigor</w:t>
      </w:r>
      <w:r>
        <w:rPr>
          <w:spacing w:val="-10"/>
        </w:rPr>
        <w:t> </w:t>
      </w:r>
      <w:r>
        <w:rPr/>
        <w:t>formal</w:t>
      </w:r>
      <w:r>
        <w:rPr>
          <w:spacing w:val="-9"/>
        </w:rPr>
        <w:t> </w:t>
      </w:r>
      <w:r>
        <w:rPr/>
        <w:t>que</w:t>
      </w:r>
      <w:r>
        <w:rPr>
          <w:spacing w:val="-13"/>
        </w:rPr>
        <w:t> </w:t>
      </w:r>
      <w:r>
        <w:rPr/>
        <w:t>tengan</w:t>
      </w:r>
      <w:r>
        <w:rPr>
          <w:spacing w:val="-10"/>
        </w:rPr>
        <w:t> </w:t>
      </w:r>
      <w:r>
        <w:rPr/>
        <w:t>por</w:t>
      </w:r>
      <w:r>
        <w:rPr>
          <w:spacing w:val="-10"/>
        </w:rPr>
        <w:t> </w:t>
      </w:r>
      <w:r>
        <w:rPr/>
        <w:t>efecto</w:t>
      </w:r>
      <w:r>
        <w:rPr>
          <w:spacing w:val="-12"/>
        </w:rPr>
        <w:t> </w:t>
      </w:r>
      <w:r>
        <w:rPr/>
        <w:t>generar</w:t>
      </w:r>
      <w:r>
        <w:rPr>
          <w:spacing w:val="-12"/>
        </w:rPr>
        <w:t> </w:t>
      </w:r>
      <w:r>
        <w:rPr/>
        <w:t>divisiones</w:t>
      </w:r>
      <w:r>
        <w:rPr>
          <w:spacing w:val="-3"/>
        </w:rPr>
        <w:t> </w:t>
      </w:r>
      <w:r>
        <w:rPr/>
        <w:t>artificiales</w:t>
      </w:r>
      <w:r>
        <w:rPr>
          <w:spacing w:val="-8"/>
        </w:rPr>
        <w:t> </w:t>
      </w:r>
      <w:r>
        <w:rPr/>
        <w:t>en</w:t>
      </w:r>
      <w:r>
        <w:rPr>
          <w:spacing w:val="-8"/>
        </w:rPr>
        <w:t> </w:t>
      </w:r>
      <w:r>
        <w:rPr/>
        <w:t>el</w:t>
      </w:r>
      <w:r>
        <w:rPr>
          <w:spacing w:val="-11"/>
        </w:rPr>
        <w:t> </w:t>
      </w:r>
      <w:r>
        <w:rPr/>
        <w:t>conjunto de comunidades indígenas implicadas en el caso. Ahora bien, en el marco del entendimiento correspondiente del Decreto 1498/14, no es posible concluir que el Estado, en el modo en que ha reconocido la propiedad, impidiera el actuar colectivo de todas las comunidades titulares del derecho. En ese sentido, siendo que el Estado </w:t>
      </w:r>
      <w:r>
        <w:rPr>
          <w:spacing w:val="6"/>
        </w:rPr>
        <w:t>ha</w:t>
      </w:r>
      <w:r>
        <w:rPr>
          <w:spacing w:val="82"/>
        </w:rPr>
        <w:t> </w:t>
      </w:r>
      <w:r>
        <w:rPr/>
        <w:t>reconocido la propiedad a todas las comunidades indígenas, no se advierte una vulneración al derecho al reconocimiento de la personalidad jurídica de las mismas. Cuestión distinta es si, más allá del reconocimiento formal, el derecho de propiedad se ha</w:t>
      </w:r>
      <w:r>
        <w:rPr>
          <w:spacing w:val="-12"/>
        </w:rPr>
        <w:t> </w:t>
      </w:r>
      <w:r>
        <w:rPr/>
        <w:t>cumplido</w:t>
      </w:r>
      <w:r>
        <w:rPr>
          <w:spacing w:val="-14"/>
        </w:rPr>
        <w:t> </w:t>
      </w:r>
      <w:r>
        <w:rPr/>
        <w:t>en</w:t>
      </w:r>
      <w:r>
        <w:rPr>
          <w:spacing w:val="-12"/>
        </w:rPr>
        <w:t> </w:t>
      </w:r>
      <w:r>
        <w:rPr/>
        <w:t>cuanto</w:t>
      </w:r>
      <w:r>
        <w:rPr>
          <w:spacing w:val="-14"/>
        </w:rPr>
        <w:t> </w:t>
      </w:r>
      <w:r>
        <w:rPr/>
        <w:t>a</w:t>
      </w:r>
      <w:r>
        <w:rPr>
          <w:spacing w:val="-10"/>
        </w:rPr>
        <w:t> </w:t>
      </w:r>
      <w:r>
        <w:rPr/>
        <w:t>la</w:t>
      </w:r>
      <w:r>
        <w:rPr>
          <w:spacing w:val="-12"/>
        </w:rPr>
        <w:t> </w:t>
      </w:r>
      <w:r>
        <w:rPr/>
        <w:t>concreción</w:t>
      </w:r>
      <w:r>
        <w:rPr>
          <w:spacing w:val="-10"/>
        </w:rPr>
        <w:t> </w:t>
      </w:r>
      <w:r>
        <w:rPr/>
        <w:t>efectiva</w:t>
      </w:r>
      <w:r>
        <w:rPr>
          <w:spacing w:val="-13"/>
        </w:rPr>
        <w:t> </w:t>
      </w:r>
      <w:r>
        <w:rPr/>
        <w:t>de</w:t>
      </w:r>
      <w:r>
        <w:rPr>
          <w:spacing w:val="-14"/>
        </w:rPr>
        <w:t> </w:t>
      </w:r>
      <w:r>
        <w:rPr/>
        <w:t>los</w:t>
      </w:r>
      <w:r>
        <w:rPr>
          <w:spacing w:val="-13"/>
        </w:rPr>
        <w:t> </w:t>
      </w:r>
      <w:r>
        <w:rPr/>
        <w:t>actos</w:t>
      </w:r>
      <w:r>
        <w:rPr>
          <w:spacing w:val="-13"/>
        </w:rPr>
        <w:t> </w:t>
      </w:r>
      <w:r>
        <w:rPr/>
        <w:t>necesarios</w:t>
      </w:r>
      <w:r>
        <w:rPr>
          <w:spacing w:val="-13"/>
        </w:rPr>
        <w:t> </w:t>
      </w:r>
      <w:r>
        <w:rPr/>
        <w:t>para</w:t>
      </w:r>
      <w:r>
        <w:rPr>
          <w:spacing w:val="-5"/>
        </w:rPr>
        <w:t> </w:t>
      </w:r>
      <w:r>
        <w:rPr/>
        <w:t>la</w:t>
      </w:r>
      <w:r>
        <w:rPr>
          <w:spacing w:val="-12"/>
        </w:rPr>
        <w:t> </w:t>
      </w:r>
      <w:r>
        <w:rPr/>
        <w:t>definición, seguridad jurídica y libre disfrute de la propiedad. Ello también se examina en esta Sentencia, pero no resulta atinente a la cuestión de la personalidad</w:t>
      </w:r>
      <w:r>
        <w:rPr>
          <w:spacing w:val="-27"/>
        </w:rPr>
        <w:t> </w:t>
      </w:r>
      <w:r>
        <w:rPr/>
        <w:t>jurídica.</w:t>
      </w:r>
    </w:p>
    <w:p>
      <w:pPr>
        <w:pStyle w:val="BodyText"/>
        <w:spacing w:before="2"/>
      </w:pPr>
    </w:p>
    <w:p>
      <w:pPr>
        <w:pStyle w:val="ListParagraph"/>
        <w:numPr>
          <w:ilvl w:val="0"/>
          <w:numId w:val="27"/>
        </w:numPr>
        <w:tabs>
          <w:tab w:pos="830" w:val="left" w:leader="none"/>
        </w:tabs>
        <w:spacing w:line="240" w:lineRule="auto" w:before="0" w:after="0"/>
        <w:ind w:left="122" w:right="131" w:firstLine="0"/>
        <w:jc w:val="both"/>
        <w:rPr>
          <w:sz w:val="20"/>
        </w:rPr>
      </w:pPr>
      <w:r>
        <w:rPr>
          <w:sz w:val="20"/>
        </w:rPr>
        <w:t>Debe dejarse aclarado, por otra parte, que la conformación de Lhaka Honhat como asociación civil no fue una imposición estatal, sino que resultó un acto asociativo válido, determinado por las personas que decidieron realizarlo y reconocido por el Estado. Dicho reconocimiento estatal, que deriva de un acto voluntario y libre, no conlleva en sí una afectación a la personalidad jurídica, la que, como se ha indicado, tampoco se vio vulnerada de otro modo</w:t>
      </w:r>
      <w:r>
        <w:rPr>
          <w:position w:val="7"/>
          <w:sz w:val="13"/>
        </w:rPr>
        <w:t>148</w:t>
      </w:r>
      <w:r>
        <w:rPr>
          <w:sz w:val="20"/>
        </w:rPr>
        <w:t>. Asimismo, este Tribunal no encuentra motivos para determinar una violación a la libertad de</w:t>
      </w:r>
      <w:r>
        <w:rPr>
          <w:spacing w:val="-24"/>
          <w:sz w:val="20"/>
        </w:rPr>
        <w:t> </w:t>
      </w:r>
      <w:r>
        <w:rPr>
          <w:sz w:val="20"/>
        </w:rPr>
        <w:t>asociación.</w:t>
      </w:r>
    </w:p>
    <w:p>
      <w:pPr>
        <w:pStyle w:val="BodyText"/>
      </w:pPr>
    </w:p>
    <w:p>
      <w:pPr>
        <w:pStyle w:val="ListParagraph"/>
        <w:numPr>
          <w:ilvl w:val="3"/>
          <w:numId w:val="26"/>
        </w:numPr>
        <w:tabs>
          <w:tab w:pos="2059" w:val="left" w:leader="none"/>
        </w:tabs>
        <w:spacing w:line="240" w:lineRule="auto" w:before="0" w:after="0"/>
        <w:ind w:left="2058" w:right="0" w:hanging="804"/>
        <w:jc w:val="left"/>
        <w:rPr>
          <w:i/>
          <w:sz w:val="20"/>
        </w:rPr>
      </w:pPr>
      <w:bookmarkStart w:name="_bookmark49" w:id="83"/>
      <w:bookmarkEnd w:id="83"/>
      <w:r>
        <w:rPr/>
      </w:r>
      <w:bookmarkStart w:name="_bookmark49" w:id="84"/>
      <w:bookmarkEnd w:id="84"/>
      <w:r>
        <w:rPr>
          <w:i/>
          <w:sz w:val="20"/>
        </w:rPr>
        <w:t>I</w:t>
      </w:r>
      <w:r>
        <w:rPr>
          <w:i/>
          <w:sz w:val="20"/>
        </w:rPr>
        <w:t>ncidencia del derecho</w:t>
      </w:r>
      <w:r>
        <w:rPr>
          <w:i/>
          <w:spacing w:val="-11"/>
          <w:sz w:val="20"/>
        </w:rPr>
        <w:t> </w:t>
      </w:r>
      <w:r>
        <w:rPr>
          <w:i/>
          <w:sz w:val="20"/>
        </w:rPr>
        <w:t>interno</w:t>
      </w:r>
    </w:p>
    <w:p>
      <w:pPr>
        <w:pStyle w:val="BodyText"/>
        <w:spacing w:before="10"/>
        <w:rPr>
          <w:i/>
          <w:sz w:val="19"/>
        </w:rPr>
      </w:pPr>
    </w:p>
    <w:p>
      <w:pPr>
        <w:pStyle w:val="ListParagraph"/>
        <w:numPr>
          <w:ilvl w:val="0"/>
          <w:numId w:val="27"/>
        </w:numPr>
        <w:tabs>
          <w:tab w:pos="830" w:val="left" w:leader="none"/>
        </w:tabs>
        <w:spacing w:line="240" w:lineRule="auto" w:before="0" w:after="0"/>
        <w:ind w:left="122" w:right="125" w:firstLine="0"/>
        <w:jc w:val="both"/>
        <w:rPr>
          <w:sz w:val="20"/>
        </w:rPr>
      </w:pPr>
      <w:r>
        <w:rPr>
          <w:sz w:val="20"/>
        </w:rPr>
        <w:t>Conforme lo que se ha indicado, el Estado no logró concretar el derecho de propiedad comunitaria y, en ese marco, no observó el mandato de sus propias normas internas, en particular, de los Decretos del Poder Ejecutivo de Salta 2609/91,</w:t>
      </w:r>
      <w:r>
        <w:rPr>
          <w:spacing w:val="59"/>
          <w:sz w:val="20"/>
        </w:rPr>
        <w:t> </w:t>
      </w:r>
      <w:r>
        <w:rPr>
          <w:sz w:val="20"/>
        </w:rPr>
        <w:t>2786/07</w:t>
      </w:r>
    </w:p>
    <w:p>
      <w:pPr>
        <w:pStyle w:val="BodyText"/>
        <w:spacing w:before="4"/>
        <w:rPr>
          <w:sz w:val="21"/>
        </w:rPr>
      </w:pPr>
      <w:r>
        <w:rPr/>
        <w:pict>
          <v:line style="position:absolute;mso-position-horizontal-relative:page;mso-position-vertical-relative:paragraph;z-index:2224;mso-wrap-distance-left:0;mso-wrap-distance-right:0" from="85.103996pt,15.28976pt" to="229.123996pt,15.28976pt" stroked="true" strokeweight=".71997pt" strokecolor="#000000">
            <v:stroke dashstyle="solid"/>
            <w10:wrap type="topAndBottom"/>
          </v:line>
        </w:pict>
      </w:r>
    </w:p>
    <w:p>
      <w:pPr>
        <w:spacing w:before="71"/>
        <w:ind w:left="122" w:right="112" w:firstLine="0"/>
        <w:jc w:val="both"/>
        <w:rPr>
          <w:sz w:val="16"/>
        </w:rPr>
      </w:pPr>
      <w:r>
        <w:rPr>
          <w:sz w:val="16"/>
        </w:rPr>
        <w:t>y</w:t>
      </w:r>
      <w:r>
        <w:rPr>
          <w:spacing w:val="-7"/>
          <w:sz w:val="16"/>
        </w:rPr>
        <w:t> </w:t>
      </w:r>
      <w:r>
        <w:rPr>
          <w:sz w:val="16"/>
        </w:rPr>
        <w:t>no</w:t>
      </w:r>
      <w:r>
        <w:rPr>
          <w:spacing w:val="-7"/>
          <w:sz w:val="16"/>
        </w:rPr>
        <w:t> </w:t>
      </w:r>
      <w:r>
        <w:rPr>
          <w:sz w:val="16"/>
        </w:rPr>
        <w:t>la</w:t>
      </w:r>
      <w:r>
        <w:rPr>
          <w:spacing w:val="-8"/>
          <w:sz w:val="16"/>
        </w:rPr>
        <w:t> </w:t>
      </w:r>
      <w:r>
        <w:rPr>
          <w:sz w:val="16"/>
        </w:rPr>
        <w:t>de</w:t>
      </w:r>
      <w:r>
        <w:rPr>
          <w:spacing w:val="-10"/>
          <w:sz w:val="16"/>
        </w:rPr>
        <w:t> </w:t>
      </w:r>
      <w:r>
        <w:rPr>
          <w:sz w:val="16"/>
        </w:rPr>
        <w:t>los</w:t>
      </w:r>
      <w:r>
        <w:rPr>
          <w:spacing w:val="-7"/>
          <w:sz w:val="16"/>
        </w:rPr>
        <w:t> </w:t>
      </w:r>
      <w:r>
        <w:rPr>
          <w:sz w:val="16"/>
        </w:rPr>
        <w:t>miembros</w:t>
      </w:r>
      <w:r>
        <w:rPr>
          <w:spacing w:val="-7"/>
          <w:sz w:val="16"/>
        </w:rPr>
        <w:t> </w:t>
      </w:r>
      <w:r>
        <w:rPr>
          <w:sz w:val="16"/>
        </w:rPr>
        <w:t>individuales”.</w:t>
      </w:r>
      <w:r>
        <w:rPr>
          <w:spacing w:val="-8"/>
          <w:sz w:val="16"/>
        </w:rPr>
        <w:t> </w:t>
      </w:r>
      <w:r>
        <w:rPr>
          <w:sz w:val="16"/>
        </w:rPr>
        <w:t>En</w:t>
      </w:r>
      <w:r>
        <w:rPr>
          <w:spacing w:val="-8"/>
          <w:sz w:val="16"/>
        </w:rPr>
        <w:t> </w:t>
      </w:r>
      <w:r>
        <w:rPr>
          <w:sz w:val="16"/>
        </w:rPr>
        <w:t>ese</w:t>
      </w:r>
      <w:r>
        <w:rPr>
          <w:spacing w:val="-9"/>
          <w:sz w:val="16"/>
        </w:rPr>
        <w:t> </w:t>
      </w:r>
      <w:r>
        <w:rPr>
          <w:sz w:val="16"/>
        </w:rPr>
        <w:t>caso,</w:t>
      </w:r>
      <w:r>
        <w:rPr>
          <w:spacing w:val="-8"/>
          <w:sz w:val="16"/>
        </w:rPr>
        <w:t> </w:t>
      </w:r>
      <w:r>
        <w:rPr>
          <w:sz w:val="16"/>
        </w:rPr>
        <w:t>el</w:t>
      </w:r>
      <w:r>
        <w:rPr>
          <w:spacing w:val="-8"/>
          <w:sz w:val="16"/>
        </w:rPr>
        <w:t> </w:t>
      </w:r>
      <w:r>
        <w:rPr>
          <w:sz w:val="16"/>
        </w:rPr>
        <w:t>Estado</w:t>
      </w:r>
      <w:r>
        <w:rPr>
          <w:spacing w:val="-7"/>
          <w:sz w:val="16"/>
        </w:rPr>
        <w:t> </w:t>
      </w:r>
      <w:r>
        <w:rPr>
          <w:sz w:val="16"/>
        </w:rPr>
        <w:t>involucrado</w:t>
      </w:r>
      <w:r>
        <w:rPr>
          <w:spacing w:val="-9"/>
          <w:sz w:val="16"/>
        </w:rPr>
        <w:t> </w:t>
      </w:r>
      <w:r>
        <w:rPr>
          <w:sz w:val="16"/>
        </w:rPr>
        <w:t>había</w:t>
      </w:r>
      <w:r>
        <w:rPr>
          <w:spacing w:val="-8"/>
          <w:sz w:val="16"/>
        </w:rPr>
        <w:t> </w:t>
      </w:r>
      <w:r>
        <w:rPr>
          <w:sz w:val="16"/>
        </w:rPr>
        <w:t>“objetado</w:t>
      </w:r>
      <w:r>
        <w:rPr>
          <w:spacing w:val="-9"/>
          <w:sz w:val="16"/>
        </w:rPr>
        <w:t> </w:t>
      </w:r>
      <w:r>
        <w:rPr>
          <w:sz w:val="16"/>
        </w:rPr>
        <w:t>si</w:t>
      </w:r>
      <w:r>
        <w:rPr>
          <w:spacing w:val="-8"/>
          <w:sz w:val="16"/>
        </w:rPr>
        <w:t> </w:t>
      </w:r>
      <w:r>
        <w:rPr>
          <w:sz w:val="16"/>
        </w:rPr>
        <w:t>los</w:t>
      </w:r>
      <w:r>
        <w:rPr>
          <w:spacing w:val="-7"/>
          <w:sz w:val="16"/>
        </w:rPr>
        <w:t> </w:t>
      </w:r>
      <w:r>
        <w:rPr>
          <w:sz w:val="16"/>
        </w:rPr>
        <w:t>doce</w:t>
      </w:r>
      <w:r>
        <w:rPr>
          <w:spacing w:val="-7"/>
          <w:sz w:val="16"/>
        </w:rPr>
        <w:t> </w:t>
      </w:r>
      <w:r>
        <w:rPr>
          <w:sz w:val="16"/>
        </w:rPr>
        <w:t>capitanes de los doce clanes (lös) Saramaka verdaderamente representa[ban] la voluntad de la comunidad en su conjunto […]. El Estado, además, alegó que el verdadero representante de la comunidad debería ser [uno] y no otros”. La Corte entendió que “[e]sta controversia sobre quién realmente representa[ba] al pueblo Saramaka</w:t>
      </w:r>
      <w:r>
        <w:rPr>
          <w:spacing w:val="-4"/>
          <w:sz w:val="16"/>
        </w:rPr>
        <w:t> </w:t>
      </w:r>
      <w:r>
        <w:rPr>
          <w:sz w:val="16"/>
        </w:rPr>
        <w:t>e[ra]</w:t>
      </w:r>
      <w:r>
        <w:rPr>
          <w:spacing w:val="-4"/>
          <w:sz w:val="16"/>
        </w:rPr>
        <w:t> </w:t>
      </w:r>
      <w:r>
        <w:rPr>
          <w:sz w:val="16"/>
        </w:rPr>
        <w:t>una</w:t>
      </w:r>
      <w:r>
        <w:rPr>
          <w:spacing w:val="-4"/>
          <w:sz w:val="16"/>
        </w:rPr>
        <w:t> </w:t>
      </w:r>
      <w:r>
        <w:rPr>
          <w:sz w:val="16"/>
        </w:rPr>
        <w:t>consecuencia</w:t>
      </w:r>
      <w:r>
        <w:rPr>
          <w:spacing w:val="-4"/>
          <w:sz w:val="16"/>
        </w:rPr>
        <w:t> </w:t>
      </w:r>
      <w:r>
        <w:rPr>
          <w:sz w:val="16"/>
        </w:rPr>
        <w:t>natural</w:t>
      </w:r>
      <w:r>
        <w:rPr>
          <w:spacing w:val="-4"/>
          <w:sz w:val="16"/>
        </w:rPr>
        <w:t> </w:t>
      </w:r>
      <w:r>
        <w:rPr>
          <w:sz w:val="16"/>
        </w:rPr>
        <w:t>de</w:t>
      </w:r>
      <w:r>
        <w:rPr>
          <w:spacing w:val="-5"/>
          <w:sz w:val="16"/>
        </w:rPr>
        <w:t> </w:t>
      </w:r>
      <w:r>
        <w:rPr>
          <w:sz w:val="16"/>
        </w:rPr>
        <w:t>la</w:t>
      </w:r>
      <w:r>
        <w:rPr>
          <w:spacing w:val="-6"/>
          <w:sz w:val="16"/>
        </w:rPr>
        <w:t> </w:t>
      </w:r>
      <w:r>
        <w:rPr>
          <w:sz w:val="16"/>
        </w:rPr>
        <w:t>falta</w:t>
      </w:r>
      <w:r>
        <w:rPr>
          <w:spacing w:val="-4"/>
          <w:sz w:val="16"/>
        </w:rPr>
        <w:t> </w:t>
      </w:r>
      <w:r>
        <w:rPr>
          <w:sz w:val="16"/>
        </w:rPr>
        <w:t>de</w:t>
      </w:r>
      <w:r>
        <w:rPr>
          <w:spacing w:val="-5"/>
          <w:sz w:val="16"/>
        </w:rPr>
        <w:t> </w:t>
      </w:r>
      <w:r>
        <w:rPr>
          <w:sz w:val="16"/>
        </w:rPr>
        <w:t>reconocimiento</w:t>
      </w:r>
      <w:r>
        <w:rPr>
          <w:spacing w:val="-4"/>
          <w:sz w:val="16"/>
        </w:rPr>
        <w:t> </w:t>
      </w:r>
      <w:r>
        <w:rPr>
          <w:sz w:val="16"/>
        </w:rPr>
        <w:t>de</w:t>
      </w:r>
      <w:r>
        <w:rPr>
          <w:spacing w:val="-5"/>
          <w:sz w:val="16"/>
        </w:rPr>
        <w:t> </w:t>
      </w:r>
      <w:r>
        <w:rPr>
          <w:sz w:val="16"/>
        </w:rPr>
        <w:t>su</w:t>
      </w:r>
      <w:r>
        <w:rPr>
          <w:spacing w:val="-6"/>
          <w:sz w:val="16"/>
        </w:rPr>
        <w:t> </w:t>
      </w:r>
      <w:r>
        <w:rPr>
          <w:sz w:val="16"/>
        </w:rPr>
        <w:t>personalidad</w:t>
      </w:r>
      <w:r>
        <w:rPr>
          <w:spacing w:val="-4"/>
          <w:sz w:val="16"/>
        </w:rPr>
        <w:t> </w:t>
      </w:r>
      <w:r>
        <w:rPr>
          <w:sz w:val="16"/>
        </w:rPr>
        <w:t>jurídica”</w:t>
      </w:r>
      <w:r>
        <w:rPr>
          <w:spacing w:val="-5"/>
          <w:sz w:val="16"/>
        </w:rPr>
        <w:t> </w:t>
      </w:r>
      <w:r>
        <w:rPr>
          <w:sz w:val="16"/>
        </w:rPr>
        <w:t>(</w:t>
      </w:r>
      <w:r>
        <w:rPr>
          <w:i/>
          <w:sz w:val="16"/>
        </w:rPr>
        <w:t>Caso</w:t>
      </w:r>
      <w:r>
        <w:rPr>
          <w:i/>
          <w:spacing w:val="-4"/>
          <w:sz w:val="16"/>
        </w:rPr>
        <w:t> </w:t>
      </w:r>
      <w:r>
        <w:rPr>
          <w:i/>
          <w:sz w:val="16"/>
        </w:rPr>
        <w:t>del </w:t>
      </w:r>
      <w:r>
        <w:rPr>
          <w:i/>
          <w:sz w:val="16"/>
        </w:rPr>
        <w:t>Pueblo Saramaka Vs. Surinam</w:t>
      </w:r>
      <w:r>
        <w:rPr>
          <w:sz w:val="16"/>
        </w:rPr>
        <w:t>, párrs. 169 y</w:t>
      </w:r>
      <w:r>
        <w:rPr>
          <w:spacing w:val="-15"/>
          <w:sz w:val="16"/>
        </w:rPr>
        <w:t> </w:t>
      </w:r>
      <w:r>
        <w:rPr>
          <w:sz w:val="16"/>
        </w:rPr>
        <w:t>170).</w:t>
      </w:r>
    </w:p>
    <w:p>
      <w:pPr>
        <w:pStyle w:val="BodyText"/>
        <w:spacing w:before="11"/>
        <w:rPr>
          <w:sz w:val="15"/>
        </w:rPr>
      </w:pPr>
    </w:p>
    <w:p>
      <w:pPr>
        <w:tabs>
          <w:tab w:pos="829" w:val="left" w:leader="none"/>
        </w:tabs>
        <w:spacing w:line="240" w:lineRule="auto" w:before="0"/>
        <w:ind w:left="122" w:right="112" w:firstLine="0"/>
        <w:jc w:val="both"/>
        <w:rPr>
          <w:sz w:val="16"/>
        </w:rPr>
      </w:pPr>
      <w:r>
        <w:rPr>
          <w:position w:val="6"/>
          <w:sz w:val="10"/>
        </w:rPr>
        <w:t>148</w:t>
        <w:tab/>
      </w:r>
      <w:r>
        <w:rPr>
          <w:sz w:val="16"/>
        </w:rPr>
        <w:t>Consta,</w:t>
      </w:r>
      <w:r>
        <w:rPr>
          <w:spacing w:val="37"/>
          <w:sz w:val="16"/>
        </w:rPr>
        <w:t> </w:t>
      </w:r>
      <w:r>
        <w:rPr>
          <w:sz w:val="16"/>
        </w:rPr>
        <w:t>como</w:t>
      </w:r>
      <w:r>
        <w:rPr>
          <w:spacing w:val="36"/>
          <w:sz w:val="16"/>
        </w:rPr>
        <w:t> </w:t>
      </w:r>
      <w:r>
        <w:rPr>
          <w:sz w:val="16"/>
        </w:rPr>
        <w:t>cuestión</w:t>
      </w:r>
      <w:r>
        <w:rPr>
          <w:spacing w:val="37"/>
          <w:sz w:val="16"/>
        </w:rPr>
        <w:t> </w:t>
      </w:r>
      <w:r>
        <w:rPr>
          <w:sz w:val="16"/>
        </w:rPr>
        <w:t>de</w:t>
      </w:r>
      <w:r>
        <w:rPr>
          <w:spacing w:val="38"/>
          <w:sz w:val="16"/>
        </w:rPr>
        <w:t> </w:t>
      </w:r>
      <w:r>
        <w:rPr>
          <w:sz w:val="16"/>
        </w:rPr>
        <w:t>hecho,</w:t>
      </w:r>
      <w:r>
        <w:rPr>
          <w:spacing w:val="35"/>
          <w:sz w:val="16"/>
        </w:rPr>
        <w:t> </w:t>
      </w:r>
      <w:r>
        <w:rPr>
          <w:sz w:val="16"/>
        </w:rPr>
        <w:t>que</w:t>
      </w:r>
      <w:r>
        <w:rPr>
          <w:spacing w:val="38"/>
          <w:sz w:val="16"/>
        </w:rPr>
        <w:t> </w:t>
      </w:r>
      <w:r>
        <w:rPr>
          <w:sz w:val="16"/>
        </w:rPr>
        <w:t>la</w:t>
      </w:r>
      <w:r>
        <w:rPr>
          <w:spacing w:val="35"/>
          <w:sz w:val="16"/>
        </w:rPr>
        <w:t> </w:t>
      </w:r>
      <w:r>
        <w:rPr>
          <w:sz w:val="16"/>
        </w:rPr>
        <w:t>Asociación</w:t>
      </w:r>
      <w:r>
        <w:rPr>
          <w:spacing w:val="35"/>
          <w:sz w:val="16"/>
        </w:rPr>
        <w:t> </w:t>
      </w:r>
      <w:r>
        <w:rPr>
          <w:sz w:val="16"/>
        </w:rPr>
        <w:t>Civil</w:t>
      </w:r>
      <w:r>
        <w:rPr>
          <w:spacing w:val="37"/>
          <w:sz w:val="16"/>
        </w:rPr>
        <w:t> </w:t>
      </w:r>
      <w:r>
        <w:rPr>
          <w:sz w:val="16"/>
        </w:rPr>
        <w:t>Lhaka</w:t>
      </w:r>
      <w:r>
        <w:rPr>
          <w:spacing w:val="37"/>
          <w:sz w:val="16"/>
        </w:rPr>
        <w:t> </w:t>
      </w:r>
      <w:r>
        <w:rPr>
          <w:sz w:val="16"/>
        </w:rPr>
        <w:t>Honhat</w:t>
      </w:r>
      <w:r>
        <w:rPr>
          <w:spacing w:val="37"/>
          <w:sz w:val="16"/>
        </w:rPr>
        <w:t> </w:t>
      </w:r>
      <w:r>
        <w:rPr>
          <w:sz w:val="16"/>
        </w:rPr>
        <w:t>solicitó,</w:t>
      </w:r>
      <w:r>
        <w:rPr>
          <w:spacing w:val="37"/>
          <w:sz w:val="16"/>
        </w:rPr>
        <w:t> </w:t>
      </w:r>
      <w:r>
        <w:rPr>
          <w:sz w:val="16"/>
        </w:rPr>
        <w:t>en</w:t>
      </w:r>
      <w:r>
        <w:rPr>
          <w:spacing w:val="35"/>
          <w:sz w:val="16"/>
        </w:rPr>
        <w:t> </w:t>
      </w:r>
      <w:r>
        <w:rPr>
          <w:sz w:val="16"/>
        </w:rPr>
        <w:t>2017,</w:t>
      </w:r>
      <w:r>
        <w:rPr>
          <w:spacing w:val="37"/>
          <w:sz w:val="16"/>
        </w:rPr>
        <w:t> </w:t>
      </w:r>
      <w:r>
        <w:rPr>
          <w:sz w:val="16"/>
        </w:rPr>
        <w:t>a</w:t>
      </w:r>
      <w:r>
        <w:rPr>
          <w:spacing w:val="35"/>
          <w:sz w:val="16"/>
        </w:rPr>
        <w:t> </w:t>
      </w:r>
      <w:r>
        <w:rPr>
          <w:sz w:val="16"/>
        </w:rPr>
        <w:t>las</w:t>
      </w:r>
      <w:r>
        <w:rPr>
          <w:w w:val="100"/>
          <w:sz w:val="16"/>
        </w:rPr>
        <w:t> </w:t>
      </w:r>
      <w:r>
        <w:rPr>
          <w:sz w:val="16"/>
        </w:rPr>
        <w:t>autoridades</w:t>
      </w:r>
      <w:r>
        <w:rPr>
          <w:spacing w:val="-8"/>
          <w:sz w:val="16"/>
        </w:rPr>
        <w:t> </w:t>
      </w:r>
      <w:r>
        <w:rPr>
          <w:sz w:val="16"/>
        </w:rPr>
        <w:t>de</w:t>
      </w:r>
      <w:r>
        <w:rPr>
          <w:spacing w:val="-8"/>
          <w:sz w:val="16"/>
        </w:rPr>
        <w:t> </w:t>
      </w:r>
      <w:r>
        <w:rPr>
          <w:sz w:val="16"/>
        </w:rPr>
        <w:t>Salta,</w:t>
      </w:r>
      <w:r>
        <w:rPr>
          <w:spacing w:val="-9"/>
          <w:sz w:val="16"/>
        </w:rPr>
        <w:t> </w:t>
      </w:r>
      <w:r>
        <w:rPr>
          <w:sz w:val="16"/>
        </w:rPr>
        <w:t>su</w:t>
      </w:r>
      <w:r>
        <w:rPr>
          <w:spacing w:val="-9"/>
          <w:sz w:val="16"/>
        </w:rPr>
        <w:t> </w:t>
      </w:r>
      <w:r>
        <w:rPr>
          <w:sz w:val="16"/>
        </w:rPr>
        <w:t>reconocimiento</w:t>
      </w:r>
      <w:r>
        <w:rPr>
          <w:spacing w:val="-8"/>
          <w:sz w:val="16"/>
        </w:rPr>
        <w:t> </w:t>
      </w:r>
      <w:r>
        <w:rPr>
          <w:sz w:val="16"/>
        </w:rPr>
        <w:t>como</w:t>
      </w:r>
      <w:r>
        <w:rPr>
          <w:spacing w:val="-10"/>
          <w:sz w:val="16"/>
        </w:rPr>
        <w:t> </w:t>
      </w:r>
      <w:r>
        <w:rPr>
          <w:sz w:val="16"/>
        </w:rPr>
        <w:t>organización</w:t>
      </w:r>
      <w:r>
        <w:rPr>
          <w:spacing w:val="-9"/>
          <w:sz w:val="16"/>
        </w:rPr>
        <w:t> </w:t>
      </w:r>
      <w:r>
        <w:rPr>
          <w:sz w:val="16"/>
        </w:rPr>
        <w:t>indígena</w:t>
      </w:r>
      <w:r>
        <w:rPr>
          <w:spacing w:val="-9"/>
          <w:sz w:val="16"/>
        </w:rPr>
        <w:t> </w:t>
      </w:r>
      <w:r>
        <w:rPr>
          <w:sz w:val="16"/>
        </w:rPr>
        <w:t>y</w:t>
      </w:r>
      <w:r>
        <w:rPr>
          <w:spacing w:val="-10"/>
          <w:sz w:val="16"/>
        </w:rPr>
        <w:t> </w:t>
      </w:r>
      <w:r>
        <w:rPr>
          <w:sz w:val="16"/>
        </w:rPr>
        <w:t>que</w:t>
      </w:r>
      <w:r>
        <w:rPr>
          <w:spacing w:val="-8"/>
          <w:sz w:val="16"/>
        </w:rPr>
        <w:t> </w:t>
      </w:r>
      <w:r>
        <w:rPr>
          <w:sz w:val="16"/>
        </w:rPr>
        <w:t>esa</w:t>
      </w:r>
      <w:r>
        <w:rPr>
          <w:spacing w:val="-9"/>
          <w:sz w:val="16"/>
        </w:rPr>
        <w:t> </w:t>
      </w:r>
      <w:r>
        <w:rPr>
          <w:sz w:val="16"/>
        </w:rPr>
        <w:t>solicitud</w:t>
      </w:r>
      <w:r>
        <w:rPr>
          <w:spacing w:val="-8"/>
          <w:sz w:val="16"/>
        </w:rPr>
        <w:t> </w:t>
      </w:r>
      <w:r>
        <w:rPr>
          <w:sz w:val="16"/>
        </w:rPr>
        <w:t>no</w:t>
      </w:r>
      <w:r>
        <w:rPr>
          <w:spacing w:val="-10"/>
          <w:sz w:val="16"/>
        </w:rPr>
        <w:t> </w:t>
      </w:r>
      <w:r>
        <w:rPr>
          <w:sz w:val="16"/>
        </w:rPr>
        <w:t>fue</w:t>
      </w:r>
      <w:r>
        <w:rPr>
          <w:spacing w:val="-8"/>
          <w:sz w:val="16"/>
        </w:rPr>
        <w:t> </w:t>
      </w:r>
      <w:r>
        <w:rPr>
          <w:sz w:val="16"/>
        </w:rPr>
        <w:t>resuelta</w:t>
      </w:r>
      <w:r>
        <w:rPr>
          <w:spacing w:val="-9"/>
          <w:sz w:val="16"/>
        </w:rPr>
        <w:t> </w:t>
      </w:r>
      <w:r>
        <w:rPr>
          <w:sz w:val="16"/>
        </w:rPr>
        <w:t>(</w:t>
      </w:r>
      <w:r>
        <w:rPr>
          <w:i/>
          <w:sz w:val="16"/>
        </w:rPr>
        <w:t>supra </w:t>
      </w:r>
      <w:r>
        <w:rPr>
          <w:sz w:val="16"/>
        </w:rPr>
        <w:t>párr. 88). En atención a lo que se ha determinado, la Corte entiende que no es pertinente examinar esta circunstancia en relación con los derechos a la personalidad jurídica o a la libertad de asociación. Tampoco corresponde examinarla en relación con otros derechos cuya vulneración fue alegada. Al respecto, es preciso dejar</w:t>
      </w:r>
      <w:r>
        <w:rPr>
          <w:spacing w:val="-11"/>
          <w:sz w:val="16"/>
        </w:rPr>
        <w:t> </w:t>
      </w:r>
      <w:r>
        <w:rPr>
          <w:sz w:val="16"/>
        </w:rPr>
        <w:t>sentado,</w:t>
      </w:r>
      <w:r>
        <w:rPr>
          <w:spacing w:val="-13"/>
          <w:sz w:val="16"/>
        </w:rPr>
        <w:t> </w:t>
      </w:r>
      <w:r>
        <w:rPr>
          <w:sz w:val="16"/>
        </w:rPr>
        <w:t>en</w:t>
      </w:r>
      <w:r>
        <w:rPr>
          <w:spacing w:val="-13"/>
          <w:sz w:val="16"/>
        </w:rPr>
        <w:t> </w:t>
      </w:r>
      <w:r>
        <w:rPr>
          <w:sz w:val="16"/>
        </w:rPr>
        <w:t>particular,</w:t>
      </w:r>
      <w:r>
        <w:rPr>
          <w:spacing w:val="-13"/>
          <w:sz w:val="16"/>
        </w:rPr>
        <w:t> </w:t>
      </w:r>
      <w:r>
        <w:rPr>
          <w:sz w:val="16"/>
        </w:rPr>
        <w:t>que</w:t>
      </w:r>
      <w:r>
        <w:rPr>
          <w:spacing w:val="-9"/>
          <w:sz w:val="16"/>
        </w:rPr>
        <w:t> </w:t>
      </w:r>
      <w:r>
        <w:rPr>
          <w:sz w:val="16"/>
        </w:rPr>
        <w:t>los</w:t>
      </w:r>
      <w:r>
        <w:rPr>
          <w:spacing w:val="-14"/>
          <w:sz w:val="16"/>
        </w:rPr>
        <w:t> </w:t>
      </w:r>
      <w:r>
        <w:rPr>
          <w:sz w:val="16"/>
        </w:rPr>
        <w:t>representantes,</w:t>
      </w:r>
      <w:r>
        <w:rPr>
          <w:spacing w:val="-10"/>
          <w:sz w:val="16"/>
        </w:rPr>
        <w:t> </w:t>
      </w:r>
      <w:r>
        <w:rPr>
          <w:sz w:val="16"/>
        </w:rPr>
        <w:t>en</w:t>
      </w:r>
      <w:r>
        <w:rPr>
          <w:spacing w:val="-13"/>
          <w:sz w:val="16"/>
        </w:rPr>
        <w:t> </w:t>
      </w:r>
      <w:r>
        <w:rPr>
          <w:sz w:val="16"/>
        </w:rPr>
        <w:t>su</w:t>
      </w:r>
      <w:r>
        <w:rPr>
          <w:spacing w:val="-13"/>
          <w:sz w:val="16"/>
        </w:rPr>
        <w:t> </w:t>
      </w:r>
      <w:r>
        <w:rPr>
          <w:sz w:val="16"/>
        </w:rPr>
        <w:t>escrito</w:t>
      </w:r>
      <w:r>
        <w:rPr>
          <w:spacing w:val="-11"/>
          <w:sz w:val="16"/>
        </w:rPr>
        <w:t> </w:t>
      </w:r>
      <w:r>
        <w:rPr>
          <w:sz w:val="16"/>
        </w:rPr>
        <w:t>de</w:t>
      </w:r>
      <w:r>
        <w:rPr>
          <w:spacing w:val="-12"/>
          <w:sz w:val="16"/>
        </w:rPr>
        <w:t> </w:t>
      </w:r>
      <w:r>
        <w:rPr>
          <w:sz w:val="16"/>
        </w:rPr>
        <w:t>solicitudes</w:t>
      </w:r>
      <w:r>
        <w:rPr>
          <w:spacing w:val="-12"/>
          <w:sz w:val="16"/>
        </w:rPr>
        <w:t> </w:t>
      </w:r>
      <w:r>
        <w:rPr>
          <w:sz w:val="16"/>
        </w:rPr>
        <w:t>y</w:t>
      </w:r>
      <w:r>
        <w:rPr>
          <w:spacing w:val="-11"/>
          <w:sz w:val="16"/>
        </w:rPr>
        <w:t> </w:t>
      </w:r>
      <w:r>
        <w:rPr>
          <w:sz w:val="16"/>
        </w:rPr>
        <w:t>argumentos,</w:t>
      </w:r>
      <w:r>
        <w:rPr>
          <w:spacing w:val="-10"/>
          <w:sz w:val="16"/>
        </w:rPr>
        <w:t> </w:t>
      </w:r>
      <w:r>
        <w:rPr>
          <w:sz w:val="16"/>
        </w:rPr>
        <w:t>no</w:t>
      </w:r>
      <w:r>
        <w:rPr>
          <w:spacing w:val="-11"/>
          <w:sz w:val="16"/>
        </w:rPr>
        <w:t> </w:t>
      </w:r>
      <w:r>
        <w:rPr>
          <w:sz w:val="16"/>
        </w:rPr>
        <w:t>presentaron argumentos que vincularan la cuestión de hecho referida con los derechos a las garantías judiciales o a la protección</w:t>
      </w:r>
      <w:r>
        <w:rPr>
          <w:spacing w:val="-7"/>
          <w:sz w:val="16"/>
        </w:rPr>
        <w:t> </w:t>
      </w:r>
      <w:r>
        <w:rPr>
          <w:sz w:val="16"/>
        </w:rPr>
        <w:t>judicial.</w:t>
      </w:r>
    </w:p>
    <w:p>
      <w:pPr>
        <w:spacing w:after="0" w:line="240" w:lineRule="auto"/>
        <w:jc w:val="both"/>
        <w:rPr>
          <w:sz w:val="16"/>
        </w:rPr>
        <w:sectPr>
          <w:pgSz w:w="12240" w:h="15840"/>
          <w:pgMar w:header="0" w:footer="1000" w:top="1500" w:bottom="1200" w:left="1580" w:right="1580"/>
        </w:sectPr>
      </w:pPr>
    </w:p>
    <w:p>
      <w:pPr>
        <w:pStyle w:val="BodyText"/>
        <w:spacing w:before="76"/>
        <w:ind w:left="122" w:right="125"/>
        <w:jc w:val="both"/>
      </w:pPr>
      <w:r>
        <w:rPr/>
        <w:t>y 1498/14. Esta última norma mandó actos posteriores que no finalizaron y no se ha dictado otra disposición que avance en forma adecuada en el reconocimiento de la propiedad. Esta omisión de concreción ha derivado en la falta de garantía adecuada del derecho</w:t>
      </w:r>
      <w:r>
        <w:rPr>
          <w:spacing w:val="-14"/>
        </w:rPr>
        <w:t> </w:t>
      </w:r>
      <w:r>
        <w:rPr/>
        <w:t>de</w:t>
      </w:r>
      <w:r>
        <w:rPr>
          <w:spacing w:val="-14"/>
        </w:rPr>
        <w:t> </w:t>
      </w:r>
      <w:r>
        <w:rPr/>
        <w:t>propiedad</w:t>
      </w:r>
      <w:r>
        <w:rPr>
          <w:spacing w:val="-10"/>
        </w:rPr>
        <w:t> </w:t>
      </w:r>
      <w:r>
        <w:rPr/>
        <w:t>comunitaria.</w:t>
      </w:r>
      <w:r>
        <w:rPr>
          <w:spacing w:val="-10"/>
        </w:rPr>
        <w:t> </w:t>
      </w:r>
      <w:r>
        <w:rPr/>
        <w:t>De</w:t>
      </w:r>
      <w:r>
        <w:rPr>
          <w:spacing w:val="-14"/>
        </w:rPr>
        <w:t> </w:t>
      </w:r>
      <w:r>
        <w:rPr/>
        <w:t>acuerdo</w:t>
      </w:r>
      <w:r>
        <w:rPr>
          <w:spacing w:val="-12"/>
        </w:rPr>
        <w:t> </w:t>
      </w:r>
      <w:r>
        <w:rPr/>
        <w:t>a</w:t>
      </w:r>
      <w:r>
        <w:rPr>
          <w:spacing w:val="-10"/>
        </w:rPr>
        <w:t> </w:t>
      </w:r>
      <w:r>
        <w:rPr/>
        <w:t>lo</w:t>
      </w:r>
      <w:r>
        <w:rPr>
          <w:spacing w:val="-12"/>
        </w:rPr>
        <w:t> </w:t>
      </w:r>
      <w:r>
        <w:rPr/>
        <w:t>que</w:t>
      </w:r>
      <w:r>
        <w:rPr>
          <w:spacing w:val="-9"/>
        </w:rPr>
        <w:t> </w:t>
      </w:r>
      <w:r>
        <w:rPr/>
        <w:t>se</w:t>
      </w:r>
      <w:r>
        <w:rPr>
          <w:spacing w:val="-14"/>
        </w:rPr>
        <w:t> </w:t>
      </w:r>
      <w:r>
        <w:rPr/>
        <w:t>ha</w:t>
      </w:r>
      <w:r>
        <w:rPr>
          <w:spacing w:val="-10"/>
        </w:rPr>
        <w:t> </w:t>
      </w:r>
      <w:r>
        <w:rPr/>
        <w:t>indicado</w:t>
      </w:r>
      <w:r>
        <w:rPr>
          <w:spacing w:val="-11"/>
        </w:rPr>
        <w:t> </w:t>
      </w:r>
      <w:r>
        <w:rPr/>
        <w:t>(</w:t>
      </w:r>
      <w:r>
        <w:rPr>
          <w:i/>
        </w:rPr>
        <w:t>supra</w:t>
      </w:r>
      <w:r>
        <w:rPr>
          <w:i/>
          <w:spacing w:val="-11"/>
        </w:rPr>
        <w:t> </w:t>
      </w:r>
      <w:r>
        <w:rPr/>
        <w:t>párrs.</w:t>
      </w:r>
      <w:r>
        <w:rPr>
          <w:spacing w:val="-13"/>
        </w:rPr>
        <w:t> </w:t>
      </w:r>
      <w:r>
        <w:rPr/>
        <w:t>120 y 151), esto implica una transgresión no solo del derecho de propiedad y la obligación de garantizarlo, conforme los artículos 21 y 1.1 de la Convención, sino también de la obligación de adoptar medidas prevista en el artículo 2 del</w:t>
      </w:r>
      <w:r>
        <w:rPr>
          <w:spacing w:val="-25"/>
        </w:rPr>
        <w:t> </w:t>
      </w:r>
      <w:r>
        <w:rPr/>
        <w:t>tratado.</w:t>
      </w:r>
    </w:p>
    <w:p>
      <w:pPr>
        <w:pStyle w:val="BodyText"/>
      </w:pPr>
    </w:p>
    <w:p>
      <w:pPr>
        <w:pStyle w:val="ListParagraph"/>
        <w:numPr>
          <w:ilvl w:val="0"/>
          <w:numId w:val="27"/>
        </w:numPr>
        <w:tabs>
          <w:tab w:pos="830" w:val="left" w:leader="none"/>
        </w:tabs>
        <w:spacing w:line="240" w:lineRule="auto" w:before="0" w:after="0"/>
        <w:ind w:left="122" w:right="124" w:firstLine="0"/>
        <w:jc w:val="both"/>
        <w:rPr>
          <w:sz w:val="20"/>
        </w:rPr>
      </w:pPr>
      <w:r>
        <w:rPr>
          <w:sz w:val="20"/>
        </w:rPr>
        <w:t>Dado lo anterior, como fue antes explicado (</w:t>
      </w:r>
      <w:r>
        <w:rPr>
          <w:i/>
          <w:sz w:val="20"/>
        </w:rPr>
        <w:t>supra </w:t>
      </w:r>
      <w:r>
        <w:rPr>
          <w:sz w:val="20"/>
        </w:rPr>
        <w:t>párrs. 118 y 119), es procedente</w:t>
      </w:r>
      <w:r>
        <w:rPr>
          <w:spacing w:val="-9"/>
          <w:sz w:val="20"/>
        </w:rPr>
        <w:t> </w:t>
      </w:r>
      <w:r>
        <w:rPr>
          <w:sz w:val="20"/>
        </w:rPr>
        <w:t>evaluar</w:t>
      </w:r>
      <w:r>
        <w:rPr>
          <w:spacing w:val="-9"/>
          <w:sz w:val="20"/>
        </w:rPr>
        <w:t> </w:t>
      </w:r>
      <w:r>
        <w:rPr>
          <w:sz w:val="20"/>
        </w:rPr>
        <w:t>si</w:t>
      </w:r>
      <w:r>
        <w:rPr>
          <w:spacing w:val="-6"/>
          <w:sz w:val="20"/>
        </w:rPr>
        <w:t> </w:t>
      </w:r>
      <w:r>
        <w:rPr>
          <w:sz w:val="20"/>
        </w:rPr>
        <w:t>la</w:t>
      </w:r>
      <w:r>
        <w:rPr>
          <w:spacing w:val="-7"/>
          <w:sz w:val="20"/>
        </w:rPr>
        <w:t> </w:t>
      </w:r>
      <w:r>
        <w:rPr>
          <w:sz w:val="20"/>
        </w:rPr>
        <w:t>indicada</w:t>
      </w:r>
      <w:r>
        <w:rPr>
          <w:spacing w:val="-8"/>
          <w:sz w:val="20"/>
        </w:rPr>
        <w:t> </w:t>
      </w:r>
      <w:r>
        <w:rPr>
          <w:sz w:val="20"/>
        </w:rPr>
        <w:t>falta</w:t>
      </w:r>
      <w:r>
        <w:rPr>
          <w:spacing w:val="-10"/>
          <w:sz w:val="20"/>
        </w:rPr>
        <w:t> </w:t>
      </w:r>
      <w:r>
        <w:rPr>
          <w:sz w:val="20"/>
        </w:rPr>
        <w:t>de</w:t>
      </w:r>
      <w:r>
        <w:rPr>
          <w:spacing w:val="-12"/>
          <w:sz w:val="20"/>
        </w:rPr>
        <w:t> </w:t>
      </w:r>
      <w:r>
        <w:rPr>
          <w:sz w:val="20"/>
        </w:rPr>
        <w:t>una</w:t>
      </w:r>
      <w:r>
        <w:rPr>
          <w:spacing w:val="-8"/>
          <w:sz w:val="20"/>
        </w:rPr>
        <w:t> </w:t>
      </w:r>
      <w:r>
        <w:rPr>
          <w:sz w:val="20"/>
        </w:rPr>
        <w:t>titulación</w:t>
      </w:r>
      <w:r>
        <w:rPr>
          <w:spacing w:val="-9"/>
          <w:sz w:val="20"/>
        </w:rPr>
        <w:t> </w:t>
      </w:r>
      <w:r>
        <w:rPr>
          <w:sz w:val="20"/>
        </w:rPr>
        <w:t>adecuada</w:t>
      </w:r>
      <w:r>
        <w:rPr>
          <w:spacing w:val="-8"/>
          <w:sz w:val="20"/>
        </w:rPr>
        <w:t> </w:t>
      </w:r>
      <w:r>
        <w:rPr>
          <w:sz w:val="20"/>
        </w:rPr>
        <w:t>se</w:t>
      </w:r>
      <w:r>
        <w:rPr>
          <w:spacing w:val="-12"/>
          <w:sz w:val="20"/>
        </w:rPr>
        <w:t> </w:t>
      </w:r>
      <w:r>
        <w:rPr>
          <w:sz w:val="20"/>
        </w:rPr>
        <w:t>ha</w:t>
      </w:r>
      <w:r>
        <w:rPr>
          <w:spacing w:val="-6"/>
          <w:sz w:val="20"/>
        </w:rPr>
        <w:t> </w:t>
      </w:r>
      <w:r>
        <w:rPr>
          <w:sz w:val="20"/>
        </w:rPr>
        <w:t>relacionado</w:t>
      </w:r>
      <w:r>
        <w:rPr>
          <w:spacing w:val="-9"/>
          <w:sz w:val="20"/>
        </w:rPr>
        <w:t> </w:t>
      </w:r>
      <w:r>
        <w:rPr>
          <w:sz w:val="20"/>
        </w:rPr>
        <w:t>solo con la omisión estatal en materializar ciertas actuaciones o la demora en hacerlo, o si tiene relación también con deficiencias del orden normativo argentino</w:t>
      </w:r>
      <w:r>
        <w:rPr>
          <w:spacing w:val="-33"/>
          <w:sz w:val="20"/>
        </w:rPr>
        <w:t> </w:t>
      </w:r>
      <w:r>
        <w:rPr>
          <w:sz w:val="20"/>
        </w:rPr>
        <w:t>general.</w:t>
      </w:r>
    </w:p>
    <w:p>
      <w:pPr>
        <w:pStyle w:val="BodyText"/>
      </w:pPr>
    </w:p>
    <w:p>
      <w:pPr>
        <w:pStyle w:val="ListParagraph"/>
        <w:numPr>
          <w:ilvl w:val="0"/>
          <w:numId w:val="27"/>
        </w:numPr>
        <w:tabs>
          <w:tab w:pos="830" w:val="left" w:leader="none"/>
        </w:tabs>
        <w:spacing w:line="240" w:lineRule="auto" w:before="0" w:after="0"/>
        <w:ind w:left="122" w:right="127" w:firstLine="0"/>
        <w:jc w:val="both"/>
        <w:rPr>
          <w:sz w:val="20"/>
        </w:rPr>
      </w:pPr>
      <w:r>
        <w:rPr>
          <w:sz w:val="20"/>
        </w:rPr>
        <w:t>Debe dejarse establecido que a partir de normativa de jerarquía constitucional (</w:t>
      </w:r>
      <w:r>
        <w:rPr>
          <w:i/>
          <w:sz w:val="20"/>
        </w:rPr>
        <w:t>supra </w:t>
      </w:r>
      <w:r>
        <w:rPr>
          <w:sz w:val="20"/>
        </w:rPr>
        <w:t>párr. 54), no puede dudarse de que el Estado reconoce el derecho de propiedad comunitaria indígena</w:t>
      </w:r>
      <w:r>
        <w:rPr>
          <w:position w:val="7"/>
          <w:sz w:val="13"/>
        </w:rPr>
        <w:t>149 </w:t>
      </w:r>
      <w:r>
        <w:rPr>
          <w:sz w:val="20"/>
        </w:rPr>
        <w:t>y que el mismo, como también ha señalado el perito Solá,</w:t>
      </w:r>
      <w:r>
        <w:rPr>
          <w:spacing w:val="-32"/>
          <w:sz w:val="20"/>
        </w:rPr>
        <w:t> </w:t>
      </w:r>
      <w:r>
        <w:rPr>
          <w:sz w:val="20"/>
        </w:rPr>
        <w:t>debe entenderse operativo, en cuanto el Estado tiene el deber inmediato e incondicionado</w:t>
      </w:r>
      <w:r>
        <w:rPr>
          <w:spacing w:val="-45"/>
          <w:sz w:val="20"/>
        </w:rPr>
        <w:t> </w:t>
      </w:r>
      <w:r>
        <w:rPr>
          <w:sz w:val="20"/>
        </w:rPr>
        <w:t>de observarlo. La eventual falta de disposiciones normativas internas no excusa al Estado. Sin perjuicio de ello, es procedente considerar si las particularidades del sistema normativo estatal han implicado un obstáculo adicional a la salvaguarda del derecho de propiedad relevante en el</w:t>
      </w:r>
      <w:r>
        <w:rPr>
          <w:spacing w:val="-17"/>
          <w:sz w:val="20"/>
        </w:rPr>
        <w:t> </w:t>
      </w:r>
      <w:r>
        <w:rPr>
          <w:sz w:val="20"/>
        </w:rPr>
        <w:t>caso.</w:t>
      </w:r>
    </w:p>
    <w:p>
      <w:pPr>
        <w:pStyle w:val="BodyText"/>
      </w:pPr>
    </w:p>
    <w:p>
      <w:pPr>
        <w:pStyle w:val="ListParagraph"/>
        <w:numPr>
          <w:ilvl w:val="0"/>
          <w:numId w:val="27"/>
        </w:numPr>
        <w:tabs>
          <w:tab w:pos="830" w:val="left" w:leader="none"/>
        </w:tabs>
        <w:spacing w:line="240" w:lineRule="auto" w:before="0" w:after="0"/>
        <w:ind w:left="122" w:right="124" w:firstLine="0"/>
        <w:jc w:val="both"/>
        <w:rPr>
          <w:sz w:val="20"/>
        </w:rPr>
      </w:pPr>
      <w:r>
        <w:rPr>
          <w:sz w:val="20"/>
        </w:rPr>
        <w:t>A</w:t>
      </w:r>
      <w:r>
        <w:rPr>
          <w:spacing w:val="-10"/>
          <w:sz w:val="20"/>
        </w:rPr>
        <w:t> </w:t>
      </w:r>
      <w:r>
        <w:rPr>
          <w:sz w:val="20"/>
        </w:rPr>
        <w:t>tal</w:t>
      </w:r>
      <w:r>
        <w:rPr>
          <w:spacing w:val="-10"/>
          <w:sz w:val="20"/>
        </w:rPr>
        <w:t> </w:t>
      </w:r>
      <w:r>
        <w:rPr>
          <w:sz w:val="20"/>
        </w:rPr>
        <w:t>efecto,</w:t>
      </w:r>
      <w:r>
        <w:rPr>
          <w:spacing w:val="-11"/>
          <w:sz w:val="20"/>
        </w:rPr>
        <w:t> </w:t>
      </w:r>
      <w:r>
        <w:rPr>
          <w:sz w:val="20"/>
        </w:rPr>
        <w:t>dado</w:t>
      </w:r>
      <w:r>
        <w:rPr>
          <w:spacing w:val="-9"/>
          <w:sz w:val="20"/>
        </w:rPr>
        <w:t> </w:t>
      </w:r>
      <w:r>
        <w:rPr>
          <w:sz w:val="20"/>
        </w:rPr>
        <w:t>el</w:t>
      </w:r>
      <w:r>
        <w:rPr>
          <w:spacing w:val="-10"/>
          <w:sz w:val="20"/>
        </w:rPr>
        <w:t> </w:t>
      </w:r>
      <w:r>
        <w:rPr>
          <w:sz w:val="20"/>
        </w:rPr>
        <w:t>sistema</w:t>
      </w:r>
      <w:r>
        <w:rPr>
          <w:spacing w:val="-10"/>
          <w:sz w:val="20"/>
        </w:rPr>
        <w:t> </w:t>
      </w:r>
      <w:r>
        <w:rPr>
          <w:sz w:val="20"/>
        </w:rPr>
        <w:t>federal</w:t>
      </w:r>
      <w:r>
        <w:rPr>
          <w:spacing w:val="-10"/>
          <w:sz w:val="20"/>
        </w:rPr>
        <w:t> </w:t>
      </w:r>
      <w:r>
        <w:rPr>
          <w:sz w:val="20"/>
        </w:rPr>
        <w:t>que</w:t>
      </w:r>
      <w:r>
        <w:rPr>
          <w:spacing w:val="-12"/>
          <w:sz w:val="20"/>
        </w:rPr>
        <w:t> </w:t>
      </w:r>
      <w:r>
        <w:rPr>
          <w:sz w:val="20"/>
        </w:rPr>
        <w:t>rige</w:t>
      </w:r>
      <w:r>
        <w:rPr>
          <w:spacing w:val="-9"/>
          <w:sz w:val="20"/>
        </w:rPr>
        <w:t> </w:t>
      </w:r>
      <w:r>
        <w:rPr>
          <w:sz w:val="20"/>
        </w:rPr>
        <w:t>en</w:t>
      </w:r>
      <w:r>
        <w:rPr>
          <w:spacing w:val="-7"/>
          <w:sz w:val="20"/>
        </w:rPr>
        <w:t> </w:t>
      </w:r>
      <w:r>
        <w:rPr>
          <w:sz w:val="20"/>
        </w:rPr>
        <w:t>Argentina,</w:t>
      </w:r>
      <w:r>
        <w:rPr>
          <w:spacing w:val="-8"/>
          <w:sz w:val="20"/>
        </w:rPr>
        <w:t> </w:t>
      </w:r>
      <w:r>
        <w:rPr>
          <w:sz w:val="20"/>
        </w:rPr>
        <w:t>en</w:t>
      </w:r>
      <w:r>
        <w:rPr>
          <w:spacing w:val="-9"/>
          <w:sz w:val="20"/>
        </w:rPr>
        <w:t> </w:t>
      </w:r>
      <w:r>
        <w:rPr>
          <w:sz w:val="20"/>
        </w:rPr>
        <w:t>primer</w:t>
      </w:r>
      <w:r>
        <w:rPr>
          <w:spacing w:val="-11"/>
          <w:sz w:val="20"/>
        </w:rPr>
        <w:t> </w:t>
      </w:r>
      <w:r>
        <w:rPr>
          <w:sz w:val="20"/>
        </w:rPr>
        <w:t>término,</w:t>
      </w:r>
      <w:r>
        <w:rPr>
          <w:spacing w:val="-11"/>
          <w:sz w:val="20"/>
        </w:rPr>
        <w:t> </w:t>
      </w:r>
      <w:r>
        <w:rPr>
          <w:sz w:val="20"/>
        </w:rPr>
        <w:t>es necesario dejar sentado que es relevante la evaluación del orden normativo nacional y provincial.</w:t>
      </w:r>
      <w:r>
        <w:rPr>
          <w:spacing w:val="-16"/>
          <w:sz w:val="20"/>
        </w:rPr>
        <w:t> </w:t>
      </w:r>
      <w:r>
        <w:rPr>
          <w:sz w:val="20"/>
        </w:rPr>
        <w:t>Como</w:t>
      </w:r>
      <w:r>
        <w:rPr>
          <w:spacing w:val="-16"/>
          <w:sz w:val="20"/>
        </w:rPr>
        <w:t> </w:t>
      </w:r>
      <w:r>
        <w:rPr>
          <w:sz w:val="20"/>
        </w:rPr>
        <w:t>surge</w:t>
      </w:r>
      <w:r>
        <w:rPr>
          <w:spacing w:val="-15"/>
          <w:sz w:val="20"/>
        </w:rPr>
        <w:t> </w:t>
      </w:r>
      <w:r>
        <w:rPr>
          <w:sz w:val="20"/>
        </w:rPr>
        <w:t>de</w:t>
      </w:r>
      <w:r>
        <w:rPr>
          <w:spacing w:val="-19"/>
          <w:sz w:val="20"/>
        </w:rPr>
        <w:t> </w:t>
      </w:r>
      <w:r>
        <w:rPr>
          <w:sz w:val="20"/>
        </w:rPr>
        <w:t>la</w:t>
      </w:r>
      <w:r>
        <w:rPr>
          <w:spacing w:val="-14"/>
          <w:sz w:val="20"/>
        </w:rPr>
        <w:t> </w:t>
      </w:r>
      <w:r>
        <w:rPr>
          <w:sz w:val="20"/>
        </w:rPr>
        <w:t>exposición</w:t>
      </w:r>
      <w:r>
        <w:rPr>
          <w:spacing w:val="-17"/>
          <w:sz w:val="20"/>
        </w:rPr>
        <w:t> </w:t>
      </w:r>
      <w:r>
        <w:rPr>
          <w:sz w:val="20"/>
        </w:rPr>
        <w:t>de</w:t>
      </w:r>
      <w:r>
        <w:rPr>
          <w:spacing w:val="-17"/>
          <w:sz w:val="20"/>
        </w:rPr>
        <w:t> </w:t>
      </w:r>
      <w:r>
        <w:rPr>
          <w:sz w:val="20"/>
        </w:rPr>
        <w:t>normas</w:t>
      </w:r>
      <w:r>
        <w:rPr>
          <w:spacing w:val="-16"/>
          <w:sz w:val="20"/>
        </w:rPr>
        <w:t> </w:t>
      </w:r>
      <w:r>
        <w:rPr>
          <w:sz w:val="20"/>
        </w:rPr>
        <w:t>efectuada</w:t>
      </w:r>
      <w:r>
        <w:rPr>
          <w:spacing w:val="-16"/>
          <w:sz w:val="20"/>
        </w:rPr>
        <w:t> </w:t>
      </w:r>
      <w:r>
        <w:rPr>
          <w:sz w:val="20"/>
        </w:rPr>
        <w:t>en</w:t>
      </w:r>
      <w:r>
        <w:rPr>
          <w:spacing w:val="-13"/>
          <w:sz w:val="20"/>
        </w:rPr>
        <w:t> </w:t>
      </w:r>
      <w:r>
        <w:rPr>
          <w:sz w:val="20"/>
        </w:rPr>
        <w:t>el</w:t>
      </w:r>
      <w:r>
        <w:rPr>
          <w:spacing w:val="-17"/>
          <w:sz w:val="20"/>
        </w:rPr>
        <w:t> </w:t>
      </w:r>
      <w:r>
        <w:rPr>
          <w:sz w:val="20"/>
        </w:rPr>
        <w:t>apartado</w:t>
      </w:r>
      <w:r>
        <w:rPr>
          <w:spacing w:val="-16"/>
          <w:sz w:val="20"/>
        </w:rPr>
        <w:t> </w:t>
      </w:r>
      <w:r>
        <w:rPr>
          <w:sz w:val="20"/>
        </w:rPr>
        <w:t>de</w:t>
      </w:r>
      <w:r>
        <w:rPr>
          <w:spacing w:val="-17"/>
          <w:sz w:val="20"/>
        </w:rPr>
        <w:t> </w:t>
      </w:r>
      <w:r>
        <w:rPr>
          <w:sz w:val="20"/>
        </w:rPr>
        <w:t>“Hechos” de esta Sentencia (</w:t>
      </w:r>
      <w:r>
        <w:rPr>
          <w:i/>
          <w:sz w:val="20"/>
        </w:rPr>
        <w:t>supra </w:t>
      </w:r>
      <w:r>
        <w:rPr>
          <w:sz w:val="20"/>
        </w:rPr>
        <w:t>párrs. 54 y 55), el Código Civil y Comercial, de aplicación en el ámbito nacional y también en las provincias, prevé el derecho de propiedad comunitaria.</w:t>
      </w:r>
      <w:r>
        <w:rPr>
          <w:spacing w:val="-10"/>
          <w:sz w:val="20"/>
        </w:rPr>
        <w:t> </w:t>
      </w:r>
      <w:r>
        <w:rPr>
          <w:sz w:val="20"/>
        </w:rPr>
        <w:t>Por</w:t>
      </w:r>
      <w:r>
        <w:rPr>
          <w:spacing w:val="-10"/>
          <w:sz w:val="20"/>
        </w:rPr>
        <w:t> </w:t>
      </w:r>
      <w:r>
        <w:rPr>
          <w:sz w:val="20"/>
        </w:rPr>
        <w:t>otra</w:t>
      </w:r>
      <w:r>
        <w:rPr>
          <w:spacing w:val="-10"/>
          <w:sz w:val="20"/>
        </w:rPr>
        <w:t> </w:t>
      </w:r>
      <w:r>
        <w:rPr>
          <w:sz w:val="20"/>
        </w:rPr>
        <w:t>parte,</w:t>
      </w:r>
      <w:r>
        <w:rPr>
          <w:spacing w:val="-10"/>
          <w:sz w:val="20"/>
        </w:rPr>
        <w:t> </w:t>
      </w:r>
      <w:r>
        <w:rPr>
          <w:sz w:val="20"/>
        </w:rPr>
        <w:t>las</w:t>
      </w:r>
      <w:r>
        <w:rPr>
          <w:spacing w:val="-10"/>
          <w:sz w:val="20"/>
        </w:rPr>
        <w:t> </w:t>
      </w:r>
      <w:r>
        <w:rPr>
          <w:sz w:val="20"/>
        </w:rPr>
        <w:t>facultades</w:t>
      </w:r>
      <w:r>
        <w:rPr>
          <w:spacing w:val="-12"/>
          <w:sz w:val="20"/>
        </w:rPr>
        <w:t> </w:t>
      </w:r>
      <w:r>
        <w:rPr>
          <w:sz w:val="20"/>
        </w:rPr>
        <w:t>provinciales</w:t>
      </w:r>
      <w:r>
        <w:rPr>
          <w:spacing w:val="-10"/>
          <w:sz w:val="20"/>
        </w:rPr>
        <w:t> </w:t>
      </w:r>
      <w:r>
        <w:rPr>
          <w:sz w:val="20"/>
        </w:rPr>
        <w:t>y</w:t>
      </w:r>
      <w:r>
        <w:rPr>
          <w:spacing w:val="-12"/>
          <w:sz w:val="20"/>
        </w:rPr>
        <w:t> </w:t>
      </w:r>
      <w:r>
        <w:rPr>
          <w:sz w:val="20"/>
        </w:rPr>
        <w:t>nacionales</w:t>
      </w:r>
      <w:r>
        <w:rPr>
          <w:spacing w:val="-10"/>
          <w:sz w:val="20"/>
        </w:rPr>
        <w:t> </w:t>
      </w:r>
      <w:r>
        <w:rPr>
          <w:sz w:val="20"/>
        </w:rPr>
        <w:t>respecto</w:t>
      </w:r>
      <w:r>
        <w:rPr>
          <w:spacing w:val="-10"/>
          <w:sz w:val="20"/>
        </w:rPr>
        <w:t> </w:t>
      </w:r>
      <w:r>
        <w:rPr>
          <w:sz w:val="20"/>
        </w:rPr>
        <w:t>a</w:t>
      </w:r>
      <w:r>
        <w:rPr>
          <w:spacing w:val="-11"/>
          <w:sz w:val="20"/>
        </w:rPr>
        <w:t> </w:t>
      </w:r>
      <w:r>
        <w:rPr>
          <w:sz w:val="20"/>
        </w:rPr>
        <w:t>derechos de pueblos indígenas son “concurrentes”, es decir, comunes a ambos niveles estatales, y</w:t>
      </w:r>
      <w:r>
        <w:rPr>
          <w:spacing w:val="-6"/>
          <w:sz w:val="20"/>
        </w:rPr>
        <w:t> </w:t>
      </w:r>
      <w:r>
        <w:rPr>
          <w:sz w:val="20"/>
        </w:rPr>
        <w:t>los</w:t>
      </w:r>
      <w:r>
        <w:rPr>
          <w:spacing w:val="-6"/>
          <w:sz w:val="20"/>
        </w:rPr>
        <w:t> </w:t>
      </w:r>
      <w:r>
        <w:rPr>
          <w:sz w:val="20"/>
        </w:rPr>
        <w:t>máximos</w:t>
      </w:r>
      <w:r>
        <w:rPr>
          <w:spacing w:val="-4"/>
          <w:sz w:val="20"/>
        </w:rPr>
        <w:t> </w:t>
      </w:r>
      <w:r>
        <w:rPr>
          <w:sz w:val="20"/>
        </w:rPr>
        <w:t>tribunales</w:t>
      </w:r>
      <w:r>
        <w:rPr>
          <w:spacing w:val="-6"/>
          <w:sz w:val="20"/>
        </w:rPr>
        <w:t> </w:t>
      </w:r>
      <w:r>
        <w:rPr>
          <w:sz w:val="20"/>
        </w:rPr>
        <w:t>a</w:t>
      </w:r>
      <w:r>
        <w:rPr>
          <w:spacing w:val="-5"/>
          <w:sz w:val="20"/>
        </w:rPr>
        <w:t> </w:t>
      </w:r>
      <w:r>
        <w:rPr>
          <w:sz w:val="20"/>
        </w:rPr>
        <w:t>nivel</w:t>
      </w:r>
      <w:r>
        <w:rPr>
          <w:spacing w:val="-5"/>
          <w:sz w:val="20"/>
        </w:rPr>
        <w:t> </w:t>
      </w:r>
      <w:r>
        <w:rPr>
          <w:sz w:val="20"/>
        </w:rPr>
        <w:t>nacional</w:t>
      </w:r>
      <w:r>
        <w:rPr>
          <w:spacing w:val="-5"/>
          <w:sz w:val="20"/>
        </w:rPr>
        <w:t> </w:t>
      </w:r>
      <w:r>
        <w:rPr>
          <w:sz w:val="20"/>
        </w:rPr>
        <w:t>y</w:t>
      </w:r>
      <w:r>
        <w:rPr>
          <w:spacing w:val="-3"/>
          <w:sz w:val="20"/>
        </w:rPr>
        <w:t> </w:t>
      </w:r>
      <w:r>
        <w:rPr>
          <w:sz w:val="20"/>
        </w:rPr>
        <w:t>salteño</w:t>
      </w:r>
      <w:r>
        <w:rPr>
          <w:spacing w:val="-7"/>
          <w:sz w:val="20"/>
        </w:rPr>
        <w:t> </w:t>
      </w:r>
      <w:r>
        <w:rPr>
          <w:sz w:val="20"/>
        </w:rPr>
        <w:t>han</w:t>
      </w:r>
      <w:r>
        <w:rPr>
          <w:spacing w:val="-4"/>
          <w:sz w:val="20"/>
        </w:rPr>
        <w:t> </w:t>
      </w:r>
      <w:r>
        <w:rPr>
          <w:sz w:val="20"/>
        </w:rPr>
        <w:t>indicado</w:t>
      </w:r>
      <w:r>
        <w:rPr>
          <w:spacing w:val="-7"/>
          <w:sz w:val="20"/>
        </w:rPr>
        <w:t> </w:t>
      </w:r>
      <w:r>
        <w:rPr>
          <w:sz w:val="20"/>
        </w:rPr>
        <w:t>que</w:t>
      </w:r>
      <w:r>
        <w:rPr>
          <w:spacing w:val="3"/>
          <w:sz w:val="20"/>
        </w:rPr>
        <w:t> </w:t>
      </w:r>
      <w:r>
        <w:rPr>
          <w:sz w:val="20"/>
        </w:rPr>
        <w:t>normas</w:t>
      </w:r>
      <w:r>
        <w:rPr>
          <w:spacing w:val="-5"/>
          <w:sz w:val="20"/>
        </w:rPr>
        <w:t> </w:t>
      </w:r>
      <w:r>
        <w:rPr>
          <w:sz w:val="20"/>
        </w:rPr>
        <w:t>nacionales operan como un “piso mínimo” al respecto</w:t>
      </w:r>
      <w:r>
        <w:rPr>
          <w:position w:val="7"/>
          <w:sz w:val="13"/>
        </w:rPr>
        <w:t>150</w:t>
      </w:r>
      <w:r>
        <w:rPr>
          <w:sz w:val="20"/>
        </w:rPr>
        <w:t>. Por lo expuesto, aunque en el caso  </w:t>
      </w:r>
      <w:r>
        <w:rPr>
          <w:spacing w:val="24"/>
          <w:sz w:val="20"/>
        </w:rPr>
        <w:t> </w:t>
      </w:r>
      <w:r>
        <w:rPr>
          <w:sz w:val="20"/>
        </w:rPr>
        <w:t>han</w:t>
      </w:r>
    </w:p>
    <w:p>
      <w:pPr>
        <w:pStyle w:val="BodyText"/>
      </w:pPr>
    </w:p>
    <w:p>
      <w:pPr>
        <w:pStyle w:val="BodyText"/>
        <w:spacing w:before="3"/>
        <w:rPr>
          <w:sz w:val="17"/>
        </w:rPr>
      </w:pPr>
      <w:r>
        <w:rPr/>
        <w:pict>
          <v:line style="position:absolute;mso-position-horizontal-relative:page;mso-position-vertical-relative:paragraph;z-index:2248;mso-wrap-distance-left:0;mso-wrap-distance-right:0" from="85.103996pt,12.839984pt" to="229.123996pt,12.839984pt" stroked="true" strokeweight=".72pt" strokecolor="#000000">
            <v:stroke dashstyle="solid"/>
            <w10:wrap type="topAndBottom"/>
          </v:line>
        </w:pict>
      </w:r>
    </w:p>
    <w:p>
      <w:pPr>
        <w:tabs>
          <w:tab w:pos="829" w:val="left" w:leader="none"/>
        </w:tabs>
        <w:spacing w:before="71"/>
        <w:ind w:left="122" w:right="113" w:firstLine="0"/>
        <w:jc w:val="both"/>
        <w:rPr>
          <w:sz w:val="16"/>
        </w:rPr>
      </w:pPr>
      <w:r>
        <w:rPr>
          <w:position w:val="6"/>
          <w:sz w:val="10"/>
        </w:rPr>
        <w:t>149</w:t>
        <w:tab/>
      </w:r>
      <w:r>
        <w:rPr>
          <w:sz w:val="16"/>
        </w:rPr>
        <w:t>La</w:t>
      </w:r>
      <w:r>
        <w:rPr>
          <w:spacing w:val="16"/>
          <w:sz w:val="16"/>
        </w:rPr>
        <w:t> </w:t>
      </w:r>
      <w:r>
        <w:rPr>
          <w:sz w:val="16"/>
        </w:rPr>
        <w:t>Corte</w:t>
      </w:r>
      <w:r>
        <w:rPr>
          <w:spacing w:val="17"/>
          <w:sz w:val="16"/>
        </w:rPr>
        <w:t> </w:t>
      </w:r>
      <w:r>
        <w:rPr>
          <w:sz w:val="16"/>
        </w:rPr>
        <w:t>nota</w:t>
      </w:r>
      <w:r>
        <w:rPr>
          <w:spacing w:val="14"/>
          <w:sz w:val="16"/>
        </w:rPr>
        <w:t> </w:t>
      </w:r>
      <w:r>
        <w:rPr>
          <w:sz w:val="16"/>
        </w:rPr>
        <w:t>que</w:t>
      </w:r>
      <w:r>
        <w:rPr>
          <w:spacing w:val="17"/>
          <w:sz w:val="16"/>
        </w:rPr>
        <w:t> </w:t>
      </w:r>
      <w:r>
        <w:rPr>
          <w:sz w:val="16"/>
        </w:rPr>
        <w:t>la</w:t>
      </w:r>
      <w:r>
        <w:rPr>
          <w:spacing w:val="14"/>
          <w:sz w:val="16"/>
        </w:rPr>
        <w:t> </w:t>
      </w:r>
      <w:r>
        <w:rPr>
          <w:sz w:val="16"/>
        </w:rPr>
        <w:t>redacción</w:t>
      </w:r>
      <w:r>
        <w:rPr>
          <w:spacing w:val="16"/>
          <w:sz w:val="16"/>
        </w:rPr>
        <w:t> </w:t>
      </w:r>
      <w:r>
        <w:rPr>
          <w:sz w:val="16"/>
        </w:rPr>
        <w:t>del</w:t>
      </w:r>
      <w:r>
        <w:rPr>
          <w:spacing w:val="16"/>
          <w:sz w:val="16"/>
        </w:rPr>
        <w:t> </w:t>
      </w:r>
      <w:r>
        <w:rPr>
          <w:sz w:val="16"/>
        </w:rPr>
        <w:t>artículo</w:t>
      </w:r>
      <w:r>
        <w:rPr>
          <w:spacing w:val="15"/>
          <w:sz w:val="16"/>
        </w:rPr>
        <w:t> </w:t>
      </w:r>
      <w:r>
        <w:rPr>
          <w:sz w:val="16"/>
        </w:rPr>
        <w:t>15</w:t>
      </w:r>
      <w:r>
        <w:rPr>
          <w:spacing w:val="17"/>
          <w:sz w:val="16"/>
        </w:rPr>
        <w:t> </w:t>
      </w:r>
      <w:r>
        <w:rPr>
          <w:sz w:val="16"/>
        </w:rPr>
        <w:t>de</w:t>
      </w:r>
      <w:r>
        <w:rPr>
          <w:spacing w:val="17"/>
          <w:sz w:val="16"/>
        </w:rPr>
        <w:t> </w:t>
      </w:r>
      <w:r>
        <w:rPr>
          <w:sz w:val="16"/>
        </w:rPr>
        <w:t>la</w:t>
      </w:r>
      <w:r>
        <w:rPr>
          <w:spacing w:val="16"/>
          <w:sz w:val="16"/>
        </w:rPr>
        <w:t> </w:t>
      </w:r>
      <w:r>
        <w:rPr>
          <w:sz w:val="16"/>
        </w:rPr>
        <w:t>Constitución</w:t>
      </w:r>
      <w:r>
        <w:rPr>
          <w:spacing w:val="16"/>
          <w:sz w:val="16"/>
        </w:rPr>
        <w:t> </w:t>
      </w:r>
      <w:r>
        <w:rPr>
          <w:sz w:val="16"/>
        </w:rPr>
        <w:t>de</w:t>
      </w:r>
      <w:r>
        <w:rPr>
          <w:spacing w:val="14"/>
          <w:sz w:val="16"/>
        </w:rPr>
        <w:t> </w:t>
      </w:r>
      <w:r>
        <w:rPr>
          <w:sz w:val="16"/>
        </w:rPr>
        <w:t>Salta</w:t>
      </w:r>
      <w:r>
        <w:rPr>
          <w:spacing w:val="20"/>
          <w:sz w:val="16"/>
        </w:rPr>
        <w:t> </w:t>
      </w:r>
      <w:r>
        <w:rPr>
          <w:sz w:val="16"/>
        </w:rPr>
        <w:t>(</w:t>
      </w:r>
      <w:r>
        <w:rPr>
          <w:i/>
          <w:sz w:val="16"/>
        </w:rPr>
        <w:t>supra</w:t>
      </w:r>
      <w:r>
        <w:rPr>
          <w:i/>
          <w:spacing w:val="14"/>
          <w:sz w:val="16"/>
        </w:rPr>
        <w:t> </w:t>
      </w:r>
      <w:r>
        <w:rPr>
          <w:sz w:val="16"/>
        </w:rPr>
        <w:t>párr.</w:t>
      </w:r>
      <w:r>
        <w:rPr>
          <w:spacing w:val="13"/>
          <w:sz w:val="16"/>
        </w:rPr>
        <w:t> </w:t>
      </w:r>
      <w:r>
        <w:rPr>
          <w:sz w:val="16"/>
        </w:rPr>
        <w:t>55)</w:t>
      </w:r>
      <w:r>
        <w:rPr>
          <w:spacing w:val="15"/>
          <w:sz w:val="16"/>
        </w:rPr>
        <w:t> </w:t>
      </w:r>
      <w:r>
        <w:rPr>
          <w:sz w:val="16"/>
        </w:rPr>
        <w:t>parece</w:t>
      </w:r>
      <w:r>
        <w:rPr>
          <w:w w:val="100"/>
          <w:sz w:val="16"/>
        </w:rPr>
        <w:t> </w:t>
      </w:r>
      <w:r>
        <w:rPr>
          <w:sz w:val="16"/>
        </w:rPr>
        <w:t>limitar el reconocimiento del derecho de propiedad comunitaria indígena solo a tierras “fiscales”, pero no examinará tal presunta limitación en forma puntual, por no ser relevante en el</w:t>
      </w:r>
      <w:r>
        <w:rPr>
          <w:spacing w:val="-24"/>
          <w:sz w:val="16"/>
        </w:rPr>
        <w:t> </w:t>
      </w:r>
      <w:r>
        <w:rPr>
          <w:sz w:val="16"/>
        </w:rPr>
        <w:t>caso.</w:t>
      </w:r>
    </w:p>
    <w:p>
      <w:pPr>
        <w:pStyle w:val="BodyText"/>
        <w:spacing w:before="11"/>
        <w:rPr>
          <w:sz w:val="15"/>
        </w:rPr>
      </w:pPr>
    </w:p>
    <w:p>
      <w:pPr>
        <w:tabs>
          <w:tab w:pos="829" w:val="left" w:leader="none"/>
        </w:tabs>
        <w:spacing w:line="240" w:lineRule="auto" w:before="0"/>
        <w:ind w:left="122" w:right="112" w:firstLine="0"/>
        <w:jc w:val="both"/>
        <w:rPr>
          <w:sz w:val="16"/>
        </w:rPr>
      </w:pPr>
      <w:r>
        <w:rPr>
          <w:position w:val="6"/>
          <w:sz w:val="10"/>
        </w:rPr>
        <w:t>150</w:t>
        <w:tab/>
      </w:r>
      <w:r>
        <w:rPr>
          <w:sz w:val="16"/>
        </w:rPr>
        <w:t>La</w:t>
      </w:r>
      <w:r>
        <w:rPr>
          <w:spacing w:val="16"/>
          <w:sz w:val="16"/>
        </w:rPr>
        <w:t> </w:t>
      </w:r>
      <w:r>
        <w:rPr>
          <w:color w:val="1F1F1E"/>
          <w:sz w:val="16"/>
        </w:rPr>
        <w:t>CSJN</w:t>
      </w:r>
      <w:r>
        <w:rPr>
          <w:color w:val="1F1F1E"/>
          <w:spacing w:val="17"/>
          <w:sz w:val="16"/>
        </w:rPr>
        <w:t> </w:t>
      </w:r>
      <w:r>
        <w:rPr>
          <w:color w:val="1F1F1E"/>
          <w:sz w:val="16"/>
        </w:rPr>
        <w:t>ha</w:t>
      </w:r>
      <w:r>
        <w:rPr>
          <w:color w:val="1F1F1E"/>
          <w:spacing w:val="14"/>
          <w:sz w:val="16"/>
        </w:rPr>
        <w:t> </w:t>
      </w:r>
      <w:r>
        <w:rPr>
          <w:color w:val="1F1F1E"/>
          <w:sz w:val="16"/>
        </w:rPr>
        <w:t>indicado</w:t>
      </w:r>
      <w:r>
        <w:rPr>
          <w:color w:val="1F1F1E"/>
          <w:spacing w:val="16"/>
          <w:sz w:val="16"/>
        </w:rPr>
        <w:t> </w:t>
      </w:r>
      <w:r>
        <w:rPr>
          <w:color w:val="1F1F1E"/>
          <w:sz w:val="16"/>
        </w:rPr>
        <w:t>que</w:t>
      </w:r>
      <w:r>
        <w:rPr>
          <w:color w:val="1F1F1E"/>
          <w:spacing w:val="15"/>
          <w:sz w:val="16"/>
        </w:rPr>
        <w:t> </w:t>
      </w:r>
      <w:r>
        <w:rPr>
          <w:color w:val="1F1F1E"/>
          <w:sz w:val="16"/>
        </w:rPr>
        <w:t>"el</w:t>
      </w:r>
      <w:r>
        <w:rPr>
          <w:color w:val="1F1F1E"/>
          <w:spacing w:val="14"/>
          <w:sz w:val="16"/>
        </w:rPr>
        <w:t> </w:t>
      </w:r>
      <w:r>
        <w:rPr>
          <w:color w:val="1F1F1E"/>
          <w:sz w:val="16"/>
        </w:rPr>
        <w:t>texto</w:t>
      </w:r>
      <w:r>
        <w:rPr>
          <w:color w:val="1F1F1E"/>
          <w:spacing w:val="15"/>
          <w:sz w:val="16"/>
        </w:rPr>
        <w:t> </w:t>
      </w:r>
      <w:r>
        <w:rPr>
          <w:color w:val="1F1F1E"/>
          <w:sz w:val="16"/>
        </w:rPr>
        <w:t>constitucional</w:t>
      </w:r>
      <w:r>
        <w:rPr>
          <w:color w:val="1F1F1E"/>
          <w:spacing w:val="16"/>
          <w:sz w:val="16"/>
        </w:rPr>
        <w:t> </w:t>
      </w:r>
      <w:r>
        <w:rPr>
          <w:color w:val="1F1F1E"/>
          <w:sz w:val="16"/>
        </w:rPr>
        <w:t>[nacional]</w:t>
      </w:r>
      <w:r>
        <w:rPr>
          <w:color w:val="1F1F1E"/>
          <w:spacing w:val="16"/>
          <w:sz w:val="16"/>
        </w:rPr>
        <w:t> </w:t>
      </w:r>
      <w:r>
        <w:rPr>
          <w:color w:val="1F1F1E"/>
          <w:sz w:val="16"/>
        </w:rPr>
        <w:t>no</w:t>
      </w:r>
      <w:r>
        <w:rPr>
          <w:color w:val="1F1F1E"/>
          <w:spacing w:val="15"/>
          <w:sz w:val="16"/>
        </w:rPr>
        <w:t> </w:t>
      </w:r>
      <w:r>
        <w:rPr>
          <w:color w:val="1F1F1E"/>
          <w:sz w:val="16"/>
        </w:rPr>
        <w:t>ofrece</w:t>
      </w:r>
      <w:r>
        <w:rPr>
          <w:color w:val="1F1F1E"/>
          <w:spacing w:val="15"/>
          <w:sz w:val="16"/>
        </w:rPr>
        <w:t> </w:t>
      </w:r>
      <w:r>
        <w:rPr>
          <w:color w:val="1F1F1E"/>
          <w:sz w:val="16"/>
        </w:rPr>
        <w:t>dudas</w:t>
      </w:r>
      <w:r>
        <w:rPr>
          <w:color w:val="1F1F1E"/>
          <w:spacing w:val="15"/>
          <w:sz w:val="16"/>
        </w:rPr>
        <w:t> </w:t>
      </w:r>
      <w:r>
        <w:rPr>
          <w:color w:val="1F1F1E"/>
          <w:sz w:val="16"/>
        </w:rPr>
        <w:t>en</w:t>
      </w:r>
      <w:r>
        <w:rPr>
          <w:color w:val="1F1F1E"/>
          <w:spacing w:val="16"/>
          <w:sz w:val="16"/>
        </w:rPr>
        <w:t> </w:t>
      </w:r>
      <w:r>
        <w:rPr>
          <w:color w:val="1F1F1E"/>
          <w:sz w:val="16"/>
        </w:rPr>
        <w:t>cuanto</w:t>
      </w:r>
      <w:r>
        <w:rPr>
          <w:color w:val="1F1F1E"/>
          <w:spacing w:val="13"/>
          <w:sz w:val="16"/>
        </w:rPr>
        <w:t> </w:t>
      </w:r>
      <w:r>
        <w:rPr>
          <w:color w:val="1F1F1E"/>
          <w:sz w:val="16"/>
        </w:rPr>
        <w:t>claramente</w:t>
      </w:r>
      <w:r>
        <w:rPr>
          <w:color w:val="1F1F1E"/>
          <w:w w:val="100"/>
          <w:sz w:val="16"/>
        </w:rPr>
        <w:t> </w:t>
      </w:r>
      <w:r>
        <w:rPr>
          <w:color w:val="1F1F1E"/>
          <w:sz w:val="16"/>
        </w:rPr>
        <w:t>habilita a los estados provinciales a ejercer atribuciones concurrentes con la Nación vinculadas al reconocimiento de la personería jurídica de las comunidades indígenas y su pertinente inscripción registral". La CSJN explicó que </w:t>
      </w:r>
      <w:r>
        <w:rPr>
          <w:sz w:val="16"/>
        </w:rPr>
        <w:t>“tanto la Nación como las provincias tienen la competencia suficiente de reglamentación en materia de derechos de los pueblos originarios en sus respectivas jurisdicciones, siempre que ello no implique por parte de los estados provinciales una contradicción o disminución de los estándares establecidos en el orden normativo federal. […] Por consiguiente, la normativa federal, esto es, la Constitución Nacional, los</w:t>
      </w:r>
      <w:r>
        <w:rPr>
          <w:spacing w:val="-6"/>
          <w:sz w:val="16"/>
        </w:rPr>
        <w:t> </w:t>
      </w:r>
      <w:r>
        <w:rPr>
          <w:sz w:val="16"/>
        </w:rPr>
        <w:t>tratados</w:t>
      </w:r>
      <w:r>
        <w:rPr>
          <w:spacing w:val="-6"/>
          <w:sz w:val="16"/>
        </w:rPr>
        <w:t> </w:t>
      </w:r>
      <w:r>
        <w:rPr>
          <w:sz w:val="16"/>
        </w:rPr>
        <w:t>internacionales</w:t>
      </w:r>
      <w:r>
        <w:rPr>
          <w:spacing w:val="-8"/>
          <w:sz w:val="16"/>
        </w:rPr>
        <w:t> </w:t>
      </w:r>
      <w:r>
        <w:rPr>
          <w:sz w:val="16"/>
        </w:rPr>
        <w:t>de</w:t>
      </w:r>
      <w:r>
        <w:rPr>
          <w:spacing w:val="-5"/>
          <w:sz w:val="16"/>
        </w:rPr>
        <w:t> </w:t>
      </w:r>
      <w:r>
        <w:rPr>
          <w:sz w:val="16"/>
        </w:rPr>
        <w:t>derechos</w:t>
      </w:r>
      <w:r>
        <w:rPr>
          <w:spacing w:val="-6"/>
          <w:sz w:val="16"/>
        </w:rPr>
        <w:t> </w:t>
      </w:r>
      <w:r>
        <w:rPr>
          <w:sz w:val="16"/>
        </w:rPr>
        <w:t>humanos</w:t>
      </w:r>
      <w:r>
        <w:rPr>
          <w:spacing w:val="-8"/>
          <w:sz w:val="16"/>
        </w:rPr>
        <w:t> </w:t>
      </w:r>
      <w:r>
        <w:rPr>
          <w:sz w:val="16"/>
        </w:rPr>
        <w:t>con</w:t>
      </w:r>
      <w:r>
        <w:rPr>
          <w:spacing w:val="-7"/>
          <w:sz w:val="16"/>
        </w:rPr>
        <w:t> </w:t>
      </w:r>
      <w:r>
        <w:rPr>
          <w:sz w:val="16"/>
        </w:rPr>
        <w:t>jerarquía</w:t>
      </w:r>
      <w:r>
        <w:rPr>
          <w:spacing w:val="-7"/>
          <w:sz w:val="16"/>
        </w:rPr>
        <w:t> </w:t>
      </w:r>
      <w:r>
        <w:rPr>
          <w:sz w:val="16"/>
        </w:rPr>
        <w:t>constitucional</w:t>
      </w:r>
      <w:r>
        <w:rPr>
          <w:spacing w:val="-7"/>
          <w:sz w:val="16"/>
        </w:rPr>
        <w:t> </w:t>
      </w:r>
      <w:r>
        <w:rPr>
          <w:sz w:val="16"/>
        </w:rPr>
        <w:t>(de</w:t>
      </w:r>
      <w:r>
        <w:rPr>
          <w:spacing w:val="-6"/>
          <w:sz w:val="16"/>
        </w:rPr>
        <w:t> </w:t>
      </w:r>
      <w:r>
        <w:rPr>
          <w:sz w:val="16"/>
        </w:rPr>
        <w:t>conformidad</w:t>
      </w:r>
      <w:r>
        <w:rPr>
          <w:spacing w:val="-6"/>
          <w:sz w:val="16"/>
        </w:rPr>
        <w:t> </w:t>
      </w:r>
      <w:r>
        <w:rPr>
          <w:sz w:val="16"/>
        </w:rPr>
        <w:t>con</w:t>
      </w:r>
      <w:r>
        <w:rPr>
          <w:spacing w:val="-7"/>
          <w:sz w:val="16"/>
        </w:rPr>
        <w:t> </w:t>
      </w:r>
      <w:r>
        <w:rPr>
          <w:sz w:val="16"/>
        </w:rPr>
        <w:t>el</w:t>
      </w:r>
      <w:r>
        <w:rPr>
          <w:spacing w:val="-7"/>
          <w:sz w:val="16"/>
        </w:rPr>
        <w:t> </w:t>
      </w:r>
      <w:r>
        <w:rPr>
          <w:sz w:val="16"/>
        </w:rPr>
        <w:t>art.</w:t>
      </w:r>
      <w:r>
        <w:rPr>
          <w:spacing w:val="-7"/>
          <w:sz w:val="16"/>
        </w:rPr>
        <w:t> </w:t>
      </w:r>
      <w:r>
        <w:rPr>
          <w:sz w:val="16"/>
        </w:rPr>
        <w:t>75, inc.</w:t>
      </w:r>
      <w:r>
        <w:rPr>
          <w:spacing w:val="-6"/>
          <w:sz w:val="16"/>
        </w:rPr>
        <w:t> </w:t>
      </w:r>
      <w:r>
        <w:rPr>
          <w:sz w:val="16"/>
        </w:rPr>
        <w:t>22,</w:t>
      </w:r>
      <w:r>
        <w:rPr>
          <w:spacing w:val="-8"/>
          <w:sz w:val="16"/>
        </w:rPr>
        <w:t> </w:t>
      </w:r>
      <w:r>
        <w:rPr>
          <w:sz w:val="16"/>
        </w:rPr>
        <w:t>CN),</w:t>
      </w:r>
      <w:r>
        <w:rPr>
          <w:spacing w:val="-6"/>
          <w:sz w:val="16"/>
        </w:rPr>
        <w:t> </w:t>
      </w:r>
      <w:r>
        <w:rPr>
          <w:sz w:val="16"/>
        </w:rPr>
        <w:t>los</w:t>
      </w:r>
      <w:r>
        <w:rPr>
          <w:spacing w:val="-7"/>
          <w:sz w:val="16"/>
        </w:rPr>
        <w:t> </w:t>
      </w:r>
      <w:r>
        <w:rPr>
          <w:sz w:val="16"/>
        </w:rPr>
        <w:t>tratados</w:t>
      </w:r>
      <w:r>
        <w:rPr>
          <w:spacing w:val="-5"/>
          <w:sz w:val="16"/>
        </w:rPr>
        <w:t> </w:t>
      </w:r>
      <w:r>
        <w:rPr>
          <w:sz w:val="16"/>
        </w:rPr>
        <w:t>internacionales</w:t>
      </w:r>
      <w:r>
        <w:rPr>
          <w:spacing w:val="-5"/>
          <w:sz w:val="16"/>
        </w:rPr>
        <w:t> </w:t>
      </w:r>
      <w:r>
        <w:rPr>
          <w:sz w:val="16"/>
        </w:rPr>
        <w:t>en</w:t>
      </w:r>
      <w:r>
        <w:rPr>
          <w:spacing w:val="-6"/>
          <w:sz w:val="16"/>
        </w:rPr>
        <w:t> </w:t>
      </w:r>
      <w:r>
        <w:rPr>
          <w:sz w:val="16"/>
        </w:rPr>
        <w:t>los</w:t>
      </w:r>
      <w:r>
        <w:rPr>
          <w:spacing w:val="-7"/>
          <w:sz w:val="16"/>
        </w:rPr>
        <w:t> </w:t>
      </w:r>
      <w:r>
        <w:rPr>
          <w:sz w:val="16"/>
        </w:rPr>
        <w:t>que</w:t>
      </w:r>
      <w:r>
        <w:rPr>
          <w:spacing w:val="-5"/>
          <w:sz w:val="16"/>
        </w:rPr>
        <w:t> </w:t>
      </w:r>
      <w:r>
        <w:rPr>
          <w:sz w:val="16"/>
        </w:rPr>
        <w:t>la</w:t>
      </w:r>
      <w:r>
        <w:rPr>
          <w:spacing w:val="-6"/>
          <w:sz w:val="16"/>
        </w:rPr>
        <w:t> </w:t>
      </w:r>
      <w:r>
        <w:rPr>
          <w:sz w:val="16"/>
        </w:rPr>
        <w:t>Nación</w:t>
      </w:r>
      <w:r>
        <w:rPr>
          <w:spacing w:val="-6"/>
          <w:sz w:val="16"/>
        </w:rPr>
        <w:t> </w:t>
      </w:r>
      <w:r>
        <w:rPr>
          <w:sz w:val="16"/>
        </w:rPr>
        <w:t>es</w:t>
      </w:r>
      <w:r>
        <w:rPr>
          <w:spacing w:val="-7"/>
          <w:sz w:val="16"/>
        </w:rPr>
        <w:t> </w:t>
      </w:r>
      <w:r>
        <w:rPr>
          <w:sz w:val="16"/>
        </w:rPr>
        <w:t>parte</w:t>
      </w:r>
      <w:r>
        <w:rPr>
          <w:spacing w:val="-7"/>
          <w:sz w:val="16"/>
        </w:rPr>
        <w:t> </w:t>
      </w:r>
      <w:r>
        <w:rPr>
          <w:sz w:val="16"/>
        </w:rPr>
        <w:t>y</w:t>
      </w:r>
      <w:r>
        <w:rPr>
          <w:spacing w:val="-7"/>
          <w:sz w:val="16"/>
        </w:rPr>
        <w:t> </w:t>
      </w:r>
      <w:r>
        <w:rPr>
          <w:sz w:val="16"/>
        </w:rPr>
        <w:t>las</w:t>
      </w:r>
      <w:r>
        <w:rPr>
          <w:spacing w:val="-5"/>
          <w:sz w:val="16"/>
        </w:rPr>
        <w:t> </w:t>
      </w:r>
      <w:r>
        <w:rPr>
          <w:sz w:val="16"/>
        </w:rPr>
        <w:t>leyes</w:t>
      </w:r>
      <w:r>
        <w:rPr>
          <w:spacing w:val="-7"/>
          <w:sz w:val="16"/>
        </w:rPr>
        <w:t> </w:t>
      </w:r>
      <w:r>
        <w:rPr>
          <w:sz w:val="16"/>
        </w:rPr>
        <w:t>y</w:t>
      </w:r>
      <w:r>
        <w:rPr>
          <w:spacing w:val="-7"/>
          <w:sz w:val="16"/>
        </w:rPr>
        <w:t> </w:t>
      </w:r>
      <w:r>
        <w:rPr>
          <w:sz w:val="16"/>
        </w:rPr>
        <w:t>reglamentos</w:t>
      </w:r>
      <w:r>
        <w:rPr>
          <w:spacing w:val="-7"/>
          <w:sz w:val="16"/>
        </w:rPr>
        <w:t> </w:t>
      </w:r>
      <w:r>
        <w:rPr>
          <w:sz w:val="16"/>
        </w:rPr>
        <w:t>federales</w:t>
      </w:r>
      <w:r>
        <w:rPr>
          <w:spacing w:val="-7"/>
          <w:sz w:val="16"/>
        </w:rPr>
        <w:t> </w:t>
      </w:r>
      <w:r>
        <w:rPr>
          <w:sz w:val="16"/>
        </w:rPr>
        <w:t>son un</w:t>
      </w:r>
      <w:r>
        <w:rPr>
          <w:spacing w:val="-8"/>
          <w:sz w:val="16"/>
        </w:rPr>
        <w:t> </w:t>
      </w:r>
      <w:r>
        <w:rPr>
          <w:sz w:val="16"/>
        </w:rPr>
        <w:t>‘piso</w:t>
      </w:r>
      <w:r>
        <w:rPr>
          <w:spacing w:val="-7"/>
          <w:sz w:val="16"/>
        </w:rPr>
        <w:t> </w:t>
      </w:r>
      <w:r>
        <w:rPr>
          <w:sz w:val="16"/>
        </w:rPr>
        <w:t>mínimo’</w:t>
      </w:r>
      <w:r>
        <w:rPr>
          <w:spacing w:val="-9"/>
          <w:sz w:val="16"/>
        </w:rPr>
        <w:t> </w:t>
      </w:r>
      <w:r>
        <w:rPr>
          <w:sz w:val="16"/>
        </w:rPr>
        <w:t>que</w:t>
      </w:r>
      <w:r>
        <w:rPr>
          <w:spacing w:val="-7"/>
          <w:sz w:val="16"/>
        </w:rPr>
        <w:t> </w:t>
      </w:r>
      <w:r>
        <w:rPr>
          <w:sz w:val="16"/>
        </w:rPr>
        <w:t>rige</w:t>
      </w:r>
      <w:r>
        <w:rPr>
          <w:spacing w:val="-7"/>
          <w:sz w:val="16"/>
        </w:rPr>
        <w:t> </w:t>
      </w:r>
      <w:r>
        <w:rPr>
          <w:sz w:val="16"/>
        </w:rPr>
        <w:t>en</w:t>
      </w:r>
      <w:r>
        <w:rPr>
          <w:spacing w:val="-8"/>
          <w:sz w:val="16"/>
        </w:rPr>
        <w:t> </w:t>
      </w:r>
      <w:r>
        <w:rPr>
          <w:sz w:val="16"/>
        </w:rPr>
        <w:t>todo</w:t>
      </w:r>
      <w:r>
        <w:rPr>
          <w:spacing w:val="-7"/>
          <w:sz w:val="16"/>
        </w:rPr>
        <w:t> </w:t>
      </w:r>
      <w:r>
        <w:rPr>
          <w:sz w:val="16"/>
        </w:rPr>
        <w:t>el</w:t>
      </w:r>
      <w:r>
        <w:rPr>
          <w:spacing w:val="-8"/>
          <w:sz w:val="16"/>
        </w:rPr>
        <w:t> </w:t>
      </w:r>
      <w:r>
        <w:rPr>
          <w:sz w:val="16"/>
        </w:rPr>
        <w:t>territorio</w:t>
      </w:r>
      <w:r>
        <w:rPr>
          <w:spacing w:val="-7"/>
          <w:sz w:val="16"/>
        </w:rPr>
        <w:t> </w:t>
      </w:r>
      <w:r>
        <w:rPr>
          <w:sz w:val="16"/>
        </w:rPr>
        <w:t>argentino”</w:t>
      </w:r>
      <w:r>
        <w:rPr>
          <w:spacing w:val="-7"/>
          <w:sz w:val="16"/>
        </w:rPr>
        <w:t> </w:t>
      </w:r>
      <w:r>
        <w:rPr>
          <w:sz w:val="16"/>
        </w:rPr>
        <w:t>(</w:t>
      </w:r>
      <w:r>
        <w:rPr>
          <w:i/>
          <w:color w:val="1F1F1E"/>
          <w:sz w:val="16"/>
        </w:rPr>
        <w:t>Confederación</w:t>
      </w:r>
      <w:r>
        <w:rPr>
          <w:i/>
          <w:color w:val="1F1F1E"/>
          <w:spacing w:val="-8"/>
          <w:sz w:val="16"/>
        </w:rPr>
        <w:t> </w:t>
      </w:r>
      <w:r>
        <w:rPr>
          <w:i/>
          <w:color w:val="1F1F1E"/>
          <w:sz w:val="16"/>
        </w:rPr>
        <w:t>Indígena</w:t>
      </w:r>
      <w:r>
        <w:rPr>
          <w:i/>
          <w:color w:val="1F1F1E"/>
          <w:spacing w:val="-8"/>
          <w:sz w:val="16"/>
        </w:rPr>
        <w:t> </w:t>
      </w:r>
      <w:r>
        <w:rPr>
          <w:i/>
          <w:color w:val="1F1F1E"/>
          <w:sz w:val="16"/>
        </w:rPr>
        <w:t>del</w:t>
      </w:r>
      <w:r>
        <w:rPr>
          <w:i/>
          <w:color w:val="1F1F1E"/>
          <w:spacing w:val="-8"/>
          <w:sz w:val="16"/>
        </w:rPr>
        <w:t> </w:t>
      </w:r>
      <w:r>
        <w:rPr>
          <w:i/>
          <w:color w:val="1F1F1E"/>
          <w:sz w:val="16"/>
        </w:rPr>
        <w:t>Neuquén</w:t>
      </w:r>
      <w:r>
        <w:rPr>
          <w:i/>
          <w:color w:val="1F1F1E"/>
          <w:spacing w:val="-7"/>
          <w:sz w:val="16"/>
        </w:rPr>
        <w:t> </w:t>
      </w:r>
      <w:r>
        <w:rPr>
          <w:i/>
          <w:color w:val="1F1F1E"/>
          <w:sz w:val="16"/>
        </w:rPr>
        <w:t>c.</w:t>
      </w:r>
      <w:r>
        <w:rPr>
          <w:i/>
          <w:color w:val="1F1F1E"/>
          <w:spacing w:val="-8"/>
          <w:sz w:val="16"/>
        </w:rPr>
        <w:t> </w:t>
      </w:r>
      <w:r>
        <w:rPr>
          <w:i/>
          <w:color w:val="1F1F1E"/>
          <w:sz w:val="16"/>
        </w:rPr>
        <w:t>Provincia</w:t>
      </w:r>
      <w:r>
        <w:rPr>
          <w:i/>
          <w:color w:val="1F1F1E"/>
          <w:spacing w:val="-8"/>
          <w:sz w:val="16"/>
        </w:rPr>
        <w:t> </w:t>
      </w:r>
      <w:r>
        <w:rPr>
          <w:i/>
          <w:color w:val="1F1F1E"/>
          <w:sz w:val="16"/>
        </w:rPr>
        <w:t>del </w:t>
      </w:r>
      <w:r>
        <w:rPr>
          <w:i/>
          <w:color w:val="1F1F1E"/>
          <w:sz w:val="16"/>
        </w:rPr>
        <w:t>Neuquén s/acción de inconstitucionalidad</w:t>
      </w:r>
      <w:r>
        <w:rPr>
          <w:color w:val="1F1F1E"/>
          <w:sz w:val="16"/>
        </w:rPr>
        <w:t>, Sentencia de 10 de diciembre de 2013. Expediente de prueba, prueba</w:t>
      </w:r>
      <w:r>
        <w:rPr>
          <w:color w:val="1F1F1E"/>
          <w:spacing w:val="-9"/>
          <w:sz w:val="16"/>
        </w:rPr>
        <w:t> </w:t>
      </w:r>
      <w:r>
        <w:rPr>
          <w:color w:val="1F1F1E"/>
          <w:sz w:val="16"/>
        </w:rPr>
        <w:t>incorporada</w:t>
      </w:r>
      <w:r>
        <w:rPr>
          <w:color w:val="1F1F1E"/>
          <w:spacing w:val="-8"/>
          <w:sz w:val="16"/>
        </w:rPr>
        <w:t> </w:t>
      </w:r>
      <w:r>
        <w:rPr>
          <w:color w:val="1F1F1E"/>
          <w:sz w:val="16"/>
        </w:rPr>
        <w:t>de</w:t>
      </w:r>
      <w:r>
        <w:rPr>
          <w:color w:val="1F1F1E"/>
          <w:spacing w:val="-8"/>
          <w:sz w:val="16"/>
        </w:rPr>
        <w:t> </w:t>
      </w:r>
      <w:r>
        <w:rPr>
          <w:color w:val="1F1F1E"/>
          <w:sz w:val="16"/>
        </w:rPr>
        <w:t>oficio).</w:t>
      </w:r>
      <w:r>
        <w:rPr>
          <w:color w:val="1F1F1E"/>
          <w:spacing w:val="-11"/>
          <w:sz w:val="16"/>
        </w:rPr>
        <w:t> </w:t>
      </w:r>
      <w:r>
        <w:rPr>
          <w:sz w:val="16"/>
        </w:rPr>
        <w:t>Lo</w:t>
      </w:r>
      <w:r>
        <w:rPr>
          <w:spacing w:val="-8"/>
          <w:sz w:val="16"/>
        </w:rPr>
        <w:t> </w:t>
      </w:r>
      <w:r>
        <w:rPr>
          <w:sz w:val="16"/>
        </w:rPr>
        <w:t>anterior</w:t>
      </w:r>
      <w:r>
        <w:rPr>
          <w:spacing w:val="-10"/>
          <w:sz w:val="16"/>
        </w:rPr>
        <w:t> </w:t>
      </w:r>
      <w:r>
        <w:rPr>
          <w:sz w:val="16"/>
        </w:rPr>
        <w:t>fue</w:t>
      </w:r>
      <w:r>
        <w:rPr>
          <w:spacing w:val="-8"/>
          <w:sz w:val="16"/>
        </w:rPr>
        <w:t> </w:t>
      </w:r>
      <w:r>
        <w:rPr>
          <w:sz w:val="16"/>
        </w:rPr>
        <w:t>afirmado</w:t>
      </w:r>
      <w:r>
        <w:rPr>
          <w:spacing w:val="-8"/>
          <w:sz w:val="16"/>
        </w:rPr>
        <w:t> </w:t>
      </w:r>
      <w:r>
        <w:rPr>
          <w:sz w:val="16"/>
        </w:rPr>
        <w:t>también</w:t>
      </w:r>
      <w:r>
        <w:rPr>
          <w:spacing w:val="-9"/>
          <w:sz w:val="16"/>
        </w:rPr>
        <w:t> </w:t>
      </w:r>
      <w:r>
        <w:rPr>
          <w:sz w:val="16"/>
        </w:rPr>
        <w:t>por</w:t>
      </w:r>
      <w:r>
        <w:rPr>
          <w:spacing w:val="-8"/>
          <w:sz w:val="16"/>
        </w:rPr>
        <w:t> </w:t>
      </w:r>
      <w:r>
        <w:rPr>
          <w:sz w:val="16"/>
        </w:rPr>
        <w:t>la</w:t>
      </w:r>
      <w:r>
        <w:rPr>
          <w:spacing w:val="-9"/>
          <w:sz w:val="16"/>
        </w:rPr>
        <w:t> </w:t>
      </w:r>
      <w:r>
        <w:rPr>
          <w:sz w:val="16"/>
        </w:rPr>
        <w:t>CJS</w:t>
      </w:r>
      <w:r>
        <w:rPr>
          <w:spacing w:val="-10"/>
          <w:sz w:val="16"/>
        </w:rPr>
        <w:t> </w:t>
      </w:r>
      <w:r>
        <w:rPr>
          <w:sz w:val="16"/>
        </w:rPr>
        <w:t>(</w:t>
      </w:r>
      <w:r>
        <w:rPr>
          <w:i/>
          <w:sz w:val="16"/>
        </w:rPr>
        <w:t>cfr.</w:t>
      </w:r>
      <w:r>
        <w:rPr>
          <w:i/>
          <w:spacing w:val="-9"/>
          <w:sz w:val="16"/>
        </w:rPr>
        <w:t> </w:t>
      </w:r>
      <w:r>
        <w:rPr>
          <w:i/>
          <w:sz w:val="16"/>
        </w:rPr>
        <w:t>Comunidad</w:t>
      </w:r>
      <w:r>
        <w:rPr>
          <w:i/>
          <w:spacing w:val="-10"/>
          <w:sz w:val="16"/>
        </w:rPr>
        <w:t> </w:t>
      </w:r>
      <w:r>
        <w:rPr>
          <w:i/>
          <w:sz w:val="16"/>
        </w:rPr>
        <w:t>Aborigen</w:t>
      </w:r>
      <w:r>
        <w:rPr>
          <w:i/>
          <w:spacing w:val="-9"/>
          <w:sz w:val="16"/>
        </w:rPr>
        <w:t> </w:t>
      </w:r>
      <w:r>
        <w:rPr>
          <w:i/>
          <w:sz w:val="16"/>
        </w:rPr>
        <w:t>de</w:t>
      </w:r>
      <w:r>
        <w:rPr>
          <w:i/>
          <w:spacing w:val="-8"/>
          <w:sz w:val="16"/>
        </w:rPr>
        <w:t> </w:t>
      </w:r>
      <w:r>
        <w:rPr>
          <w:i/>
          <w:sz w:val="16"/>
        </w:rPr>
        <w:t>Aguas </w:t>
      </w:r>
      <w:r>
        <w:rPr>
          <w:i/>
          <w:sz w:val="16"/>
        </w:rPr>
        <w:t>Blancas vs. Provincia de Salta – Amparo</w:t>
      </w:r>
      <w:r>
        <w:rPr>
          <w:sz w:val="16"/>
        </w:rPr>
        <w:t>. Sentencia de 19 de septiembre de 2016. Expte. N° CJS 37.010/14.Tomo 207:289/306. Expediente de prueba, prueba incorporada de oficio). </w:t>
      </w:r>
      <w:r>
        <w:rPr>
          <w:color w:val="1F1F1E"/>
          <w:sz w:val="16"/>
        </w:rPr>
        <w:t>También el perito Solá ha indicado que las “atribuciones” señaladas por la Constitución Nacional respecto a derechos de pueblos indígenas</w:t>
      </w:r>
      <w:r>
        <w:rPr>
          <w:color w:val="1F1F1E"/>
          <w:spacing w:val="-7"/>
          <w:sz w:val="16"/>
        </w:rPr>
        <w:t> </w:t>
      </w:r>
      <w:r>
        <w:rPr>
          <w:color w:val="1F1F1E"/>
          <w:sz w:val="16"/>
        </w:rPr>
        <w:t>son</w:t>
      </w:r>
      <w:r>
        <w:rPr>
          <w:color w:val="1F1F1E"/>
          <w:spacing w:val="-10"/>
          <w:sz w:val="16"/>
        </w:rPr>
        <w:t> </w:t>
      </w:r>
      <w:r>
        <w:rPr>
          <w:color w:val="1F1F1E"/>
          <w:sz w:val="16"/>
        </w:rPr>
        <w:t>de</w:t>
      </w:r>
      <w:r>
        <w:rPr>
          <w:color w:val="1F1F1E"/>
          <w:spacing w:val="-10"/>
          <w:sz w:val="16"/>
        </w:rPr>
        <w:t> </w:t>
      </w:r>
      <w:r>
        <w:rPr>
          <w:color w:val="1F1F1E"/>
          <w:sz w:val="16"/>
        </w:rPr>
        <w:t>ejercicio</w:t>
      </w:r>
      <w:r>
        <w:rPr>
          <w:color w:val="1F1F1E"/>
          <w:spacing w:val="-6"/>
          <w:sz w:val="16"/>
        </w:rPr>
        <w:t> </w:t>
      </w:r>
      <w:r>
        <w:rPr>
          <w:color w:val="1F1F1E"/>
          <w:sz w:val="16"/>
        </w:rPr>
        <w:t>concurrente</w:t>
      </w:r>
      <w:r>
        <w:rPr>
          <w:color w:val="1F1F1E"/>
          <w:spacing w:val="-8"/>
          <w:sz w:val="16"/>
        </w:rPr>
        <w:t> </w:t>
      </w:r>
      <w:r>
        <w:rPr>
          <w:color w:val="1F1F1E"/>
          <w:sz w:val="16"/>
        </w:rPr>
        <w:t>entre</w:t>
      </w:r>
      <w:r>
        <w:rPr>
          <w:color w:val="1F1F1E"/>
          <w:spacing w:val="-9"/>
          <w:sz w:val="16"/>
        </w:rPr>
        <w:t> </w:t>
      </w:r>
      <w:r>
        <w:rPr>
          <w:color w:val="1F1F1E"/>
          <w:sz w:val="16"/>
        </w:rPr>
        <w:t>el</w:t>
      </w:r>
      <w:r>
        <w:rPr>
          <w:color w:val="1F1F1E"/>
          <w:spacing w:val="-8"/>
          <w:sz w:val="16"/>
        </w:rPr>
        <w:t> </w:t>
      </w:r>
      <w:r>
        <w:rPr>
          <w:color w:val="1F1F1E"/>
          <w:sz w:val="16"/>
        </w:rPr>
        <w:t>Estado</w:t>
      </w:r>
      <w:r>
        <w:rPr>
          <w:color w:val="1F1F1E"/>
          <w:spacing w:val="-9"/>
          <w:sz w:val="16"/>
        </w:rPr>
        <w:t> </w:t>
      </w:r>
      <w:r>
        <w:rPr>
          <w:color w:val="1F1F1E"/>
          <w:sz w:val="16"/>
        </w:rPr>
        <w:t>Nacional</w:t>
      </w:r>
      <w:r>
        <w:rPr>
          <w:color w:val="1F1F1E"/>
          <w:spacing w:val="-8"/>
          <w:sz w:val="16"/>
        </w:rPr>
        <w:t> </w:t>
      </w:r>
      <w:r>
        <w:rPr>
          <w:color w:val="1F1F1E"/>
          <w:sz w:val="16"/>
        </w:rPr>
        <w:t>y</w:t>
      </w:r>
      <w:r>
        <w:rPr>
          <w:color w:val="1F1F1E"/>
          <w:spacing w:val="-6"/>
          <w:sz w:val="16"/>
        </w:rPr>
        <w:t> </w:t>
      </w:r>
      <w:r>
        <w:rPr>
          <w:color w:val="1F1F1E"/>
          <w:sz w:val="16"/>
        </w:rPr>
        <w:t>los</w:t>
      </w:r>
      <w:r>
        <w:rPr>
          <w:color w:val="1F1F1E"/>
          <w:spacing w:val="-7"/>
          <w:sz w:val="16"/>
        </w:rPr>
        <w:t> </w:t>
      </w:r>
      <w:r>
        <w:rPr>
          <w:color w:val="1F1F1E"/>
          <w:sz w:val="16"/>
        </w:rPr>
        <w:t>Estados</w:t>
      </w:r>
      <w:r>
        <w:rPr>
          <w:color w:val="1F1F1E"/>
          <w:spacing w:val="-9"/>
          <w:sz w:val="16"/>
        </w:rPr>
        <w:t> </w:t>
      </w:r>
      <w:r>
        <w:rPr>
          <w:color w:val="1F1F1E"/>
          <w:sz w:val="16"/>
        </w:rPr>
        <w:t>provinciales.</w:t>
      </w:r>
      <w:r>
        <w:rPr>
          <w:color w:val="1F1F1E"/>
          <w:spacing w:val="-10"/>
          <w:sz w:val="16"/>
        </w:rPr>
        <w:t> </w:t>
      </w:r>
      <w:r>
        <w:rPr>
          <w:sz w:val="16"/>
        </w:rPr>
        <w:t>El</w:t>
      </w:r>
      <w:r>
        <w:rPr>
          <w:spacing w:val="-8"/>
          <w:sz w:val="16"/>
        </w:rPr>
        <w:t> </w:t>
      </w:r>
      <w:r>
        <w:rPr>
          <w:sz w:val="16"/>
        </w:rPr>
        <w:t>escrito</w:t>
      </w:r>
      <w:r>
        <w:rPr>
          <w:spacing w:val="-9"/>
          <w:sz w:val="16"/>
        </w:rPr>
        <w:t> </w:t>
      </w:r>
      <w:r>
        <w:rPr>
          <w:sz w:val="16"/>
        </w:rPr>
        <w:t>de</w:t>
      </w:r>
      <w:r>
        <w:rPr>
          <w:spacing w:val="-6"/>
          <w:sz w:val="16"/>
        </w:rPr>
        <w:t> </w:t>
      </w:r>
      <w:r>
        <w:rPr>
          <w:i/>
          <w:sz w:val="16"/>
        </w:rPr>
        <w:t>amicus </w:t>
      </w:r>
      <w:r>
        <w:rPr>
          <w:i/>
          <w:sz w:val="16"/>
        </w:rPr>
        <w:t>curiae </w:t>
      </w:r>
      <w:r>
        <w:rPr>
          <w:sz w:val="16"/>
        </w:rPr>
        <w:t>remitido por el CDH-UBA, refiriendo sentencias de la CSJN, expresa que “contar con una [n]ormativa [f]ederal que respete y se ajuste a las obligaciones internacionales [sobre] derechos de los pueblos indígenas es fundamental, ya que de ella se derivan los mínimos que deben respetar las Provincias”. La Corte Interamericana</w:t>
      </w:r>
      <w:r>
        <w:rPr>
          <w:spacing w:val="-6"/>
          <w:sz w:val="16"/>
        </w:rPr>
        <w:t> </w:t>
      </w:r>
      <w:r>
        <w:rPr>
          <w:sz w:val="16"/>
        </w:rPr>
        <w:t>nota,</w:t>
      </w:r>
      <w:r>
        <w:rPr>
          <w:spacing w:val="-7"/>
          <w:sz w:val="16"/>
        </w:rPr>
        <w:t> </w:t>
      </w:r>
      <w:r>
        <w:rPr>
          <w:sz w:val="16"/>
        </w:rPr>
        <w:t>además,</w:t>
      </w:r>
      <w:r>
        <w:rPr>
          <w:spacing w:val="-9"/>
          <w:sz w:val="16"/>
        </w:rPr>
        <w:t> </w:t>
      </w:r>
      <w:r>
        <w:rPr>
          <w:sz w:val="16"/>
        </w:rPr>
        <w:t>que</w:t>
      </w:r>
      <w:r>
        <w:rPr>
          <w:spacing w:val="-5"/>
          <w:sz w:val="16"/>
        </w:rPr>
        <w:t> </w:t>
      </w:r>
      <w:r>
        <w:rPr>
          <w:sz w:val="16"/>
        </w:rPr>
        <w:t>hay</w:t>
      </w:r>
      <w:r>
        <w:rPr>
          <w:spacing w:val="-8"/>
          <w:sz w:val="16"/>
        </w:rPr>
        <w:t> </w:t>
      </w:r>
      <w:r>
        <w:rPr>
          <w:sz w:val="16"/>
        </w:rPr>
        <w:t>disposiciones</w:t>
      </w:r>
      <w:r>
        <w:rPr>
          <w:spacing w:val="-6"/>
          <w:sz w:val="16"/>
        </w:rPr>
        <w:t> </w:t>
      </w:r>
      <w:r>
        <w:rPr>
          <w:sz w:val="16"/>
        </w:rPr>
        <w:t>nacionales</w:t>
      </w:r>
      <w:r>
        <w:rPr>
          <w:spacing w:val="-6"/>
          <w:sz w:val="16"/>
        </w:rPr>
        <w:t> </w:t>
      </w:r>
      <w:r>
        <w:rPr>
          <w:sz w:val="16"/>
        </w:rPr>
        <w:t>que</w:t>
      </w:r>
      <w:r>
        <w:rPr>
          <w:spacing w:val="-6"/>
          <w:sz w:val="16"/>
        </w:rPr>
        <w:t> </w:t>
      </w:r>
      <w:r>
        <w:rPr>
          <w:sz w:val="16"/>
        </w:rPr>
        <w:t>hacen</w:t>
      </w:r>
      <w:r>
        <w:rPr>
          <w:spacing w:val="-7"/>
          <w:sz w:val="16"/>
        </w:rPr>
        <w:t> </w:t>
      </w:r>
      <w:r>
        <w:rPr>
          <w:sz w:val="16"/>
        </w:rPr>
        <w:t>alusión</w:t>
      </w:r>
      <w:r>
        <w:rPr>
          <w:spacing w:val="-7"/>
          <w:sz w:val="16"/>
        </w:rPr>
        <w:t> </w:t>
      </w:r>
      <w:r>
        <w:rPr>
          <w:sz w:val="16"/>
        </w:rPr>
        <w:t>a</w:t>
      </w:r>
      <w:r>
        <w:rPr>
          <w:spacing w:val="-7"/>
          <w:sz w:val="16"/>
        </w:rPr>
        <w:t> </w:t>
      </w:r>
      <w:r>
        <w:rPr>
          <w:sz w:val="16"/>
        </w:rPr>
        <w:t>la</w:t>
      </w:r>
      <w:r>
        <w:rPr>
          <w:spacing w:val="-7"/>
          <w:sz w:val="16"/>
        </w:rPr>
        <w:t> </w:t>
      </w:r>
      <w:r>
        <w:rPr>
          <w:sz w:val="16"/>
        </w:rPr>
        <w:t>adjudicación</w:t>
      </w:r>
      <w:r>
        <w:rPr>
          <w:spacing w:val="-7"/>
          <w:sz w:val="16"/>
        </w:rPr>
        <w:t> </w:t>
      </w:r>
      <w:r>
        <w:rPr>
          <w:sz w:val="16"/>
        </w:rPr>
        <w:t>de</w:t>
      </w:r>
      <w:r>
        <w:rPr>
          <w:spacing w:val="-6"/>
          <w:sz w:val="16"/>
        </w:rPr>
        <w:t> </w:t>
      </w:r>
      <w:r>
        <w:rPr>
          <w:sz w:val="16"/>
        </w:rPr>
        <w:t>tierras provinciales. Asimismo, como se expresa más adelante (</w:t>
      </w:r>
      <w:r>
        <w:rPr>
          <w:i/>
          <w:sz w:val="16"/>
        </w:rPr>
        <w:t>infra </w:t>
      </w:r>
      <w:r>
        <w:rPr>
          <w:sz w:val="16"/>
        </w:rPr>
        <w:t>párr. 163), la ley 7.121 de Salta indica que  </w:t>
      </w:r>
      <w:r>
        <w:rPr>
          <w:spacing w:val="13"/>
          <w:sz w:val="16"/>
        </w:rPr>
        <w:t> </w:t>
      </w:r>
      <w:r>
        <w:rPr>
          <w:sz w:val="16"/>
        </w:rPr>
        <w:t>la</w:t>
      </w:r>
    </w:p>
    <w:p>
      <w:pPr>
        <w:spacing w:after="0" w:line="240" w:lineRule="auto"/>
        <w:jc w:val="both"/>
        <w:rPr>
          <w:sz w:val="16"/>
        </w:rPr>
        <w:sectPr>
          <w:pgSz w:w="12240" w:h="15840"/>
          <w:pgMar w:header="0" w:footer="1000" w:top="1340" w:bottom="1200" w:left="1580" w:right="1580"/>
        </w:sectPr>
      </w:pPr>
    </w:p>
    <w:p>
      <w:pPr>
        <w:pStyle w:val="BodyText"/>
        <w:spacing w:before="76"/>
        <w:ind w:left="122" w:right="127"/>
        <w:jc w:val="both"/>
      </w:pPr>
      <w:r>
        <w:rPr/>
        <w:t>intervenido</w:t>
      </w:r>
      <w:r>
        <w:rPr>
          <w:spacing w:val="-19"/>
        </w:rPr>
        <w:t> </w:t>
      </w:r>
      <w:r>
        <w:rPr/>
        <w:t>autoridades</w:t>
      </w:r>
      <w:r>
        <w:rPr>
          <w:spacing w:val="-15"/>
        </w:rPr>
        <w:t> </w:t>
      </w:r>
      <w:r>
        <w:rPr/>
        <w:t>salteñas,</w:t>
      </w:r>
      <w:r>
        <w:rPr>
          <w:spacing w:val="-17"/>
        </w:rPr>
        <w:t> </w:t>
      </w:r>
      <w:r>
        <w:rPr/>
        <w:t>y</w:t>
      </w:r>
      <w:r>
        <w:rPr>
          <w:spacing w:val="-17"/>
        </w:rPr>
        <w:t> </w:t>
      </w:r>
      <w:r>
        <w:rPr/>
        <w:t>ha</w:t>
      </w:r>
      <w:r>
        <w:rPr>
          <w:spacing w:val="-12"/>
        </w:rPr>
        <w:t> </w:t>
      </w:r>
      <w:r>
        <w:rPr/>
        <w:t>sido</w:t>
      </w:r>
      <w:r>
        <w:rPr>
          <w:spacing w:val="-17"/>
        </w:rPr>
        <w:t> </w:t>
      </w:r>
      <w:r>
        <w:rPr/>
        <w:t>el</w:t>
      </w:r>
      <w:r>
        <w:rPr>
          <w:spacing w:val="-16"/>
        </w:rPr>
        <w:t> </w:t>
      </w:r>
      <w:r>
        <w:rPr/>
        <w:t>Estado</w:t>
      </w:r>
      <w:r>
        <w:rPr>
          <w:spacing w:val="-19"/>
        </w:rPr>
        <w:t> </w:t>
      </w:r>
      <w:r>
        <w:rPr/>
        <w:t>Provincial</w:t>
      </w:r>
      <w:r>
        <w:rPr>
          <w:spacing w:val="-16"/>
        </w:rPr>
        <w:t> </w:t>
      </w:r>
      <w:r>
        <w:rPr/>
        <w:t>el</w:t>
      </w:r>
      <w:r>
        <w:rPr>
          <w:spacing w:val="-18"/>
        </w:rPr>
        <w:t> </w:t>
      </w:r>
      <w:r>
        <w:rPr/>
        <w:t>que</w:t>
      </w:r>
      <w:r>
        <w:rPr>
          <w:spacing w:val="-19"/>
        </w:rPr>
        <w:t> </w:t>
      </w:r>
      <w:r>
        <w:rPr/>
        <w:t>ha</w:t>
      </w:r>
      <w:r>
        <w:rPr>
          <w:spacing w:val="-14"/>
        </w:rPr>
        <w:t> </w:t>
      </w:r>
      <w:r>
        <w:rPr/>
        <w:t>efectuado</w:t>
      </w:r>
      <w:r>
        <w:rPr>
          <w:spacing w:val="-17"/>
        </w:rPr>
        <w:t> </w:t>
      </w:r>
      <w:r>
        <w:rPr/>
        <w:t>actos normativos tendientes al reconocimiento de propiedad, es relevante examinar la legislación</w:t>
      </w:r>
      <w:r>
        <w:rPr>
          <w:spacing w:val="-10"/>
        </w:rPr>
        <w:t> </w:t>
      </w:r>
      <w:r>
        <w:rPr/>
        <w:t>nacional.</w:t>
      </w:r>
    </w:p>
    <w:p>
      <w:pPr>
        <w:pStyle w:val="BodyText"/>
      </w:pPr>
    </w:p>
    <w:p>
      <w:pPr>
        <w:pStyle w:val="ListParagraph"/>
        <w:numPr>
          <w:ilvl w:val="0"/>
          <w:numId w:val="27"/>
        </w:numPr>
        <w:tabs>
          <w:tab w:pos="830" w:val="left" w:leader="none"/>
        </w:tabs>
        <w:spacing w:line="240" w:lineRule="auto" w:before="0" w:after="0"/>
        <w:ind w:left="122" w:right="124" w:firstLine="0"/>
        <w:jc w:val="both"/>
        <w:rPr>
          <w:sz w:val="20"/>
        </w:rPr>
      </w:pPr>
      <w:r>
        <w:rPr>
          <w:sz w:val="20"/>
        </w:rPr>
        <w:t>Dicho lo anterior, debe señalarse la insuficiencia de la normativa argentina existente</w:t>
      </w:r>
      <w:r>
        <w:rPr>
          <w:spacing w:val="-13"/>
          <w:sz w:val="20"/>
        </w:rPr>
        <w:t> </w:t>
      </w:r>
      <w:r>
        <w:rPr>
          <w:sz w:val="20"/>
        </w:rPr>
        <w:t>en</w:t>
      </w:r>
      <w:r>
        <w:rPr>
          <w:spacing w:val="-10"/>
          <w:sz w:val="20"/>
        </w:rPr>
        <w:t> </w:t>
      </w:r>
      <w:r>
        <w:rPr>
          <w:sz w:val="20"/>
        </w:rPr>
        <w:t>cuanto</w:t>
      </w:r>
      <w:r>
        <w:rPr>
          <w:spacing w:val="-12"/>
          <w:sz w:val="20"/>
        </w:rPr>
        <w:t> </w:t>
      </w:r>
      <w:r>
        <w:rPr>
          <w:sz w:val="20"/>
        </w:rPr>
        <w:t>a</w:t>
      </w:r>
      <w:r>
        <w:rPr>
          <w:spacing w:val="-11"/>
          <w:sz w:val="20"/>
        </w:rPr>
        <w:t> </w:t>
      </w:r>
      <w:r>
        <w:rPr>
          <w:sz w:val="20"/>
        </w:rPr>
        <w:t>procedimientos</w:t>
      </w:r>
      <w:r>
        <w:rPr>
          <w:spacing w:val="-12"/>
          <w:sz w:val="20"/>
        </w:rPr>
        <w:t> </w:t>
      </w:r>
      <w:r>
        <w:rPr>
          <w:sz w:val="20"/>
        </w:rPr>
        <w:t>de</w:t>
      </w:r>
      <w:r>
        <w:rPr>
          <w:spacing w:val="-13"/>
          <w:sz w:val="20"/>
        </w:rPr>
        <w:t> </w:t>
      </w:r>
      <w:r>
        <w:rPr>
          <w:sz w:val="20"/>
        </w:rPr>
        <w:t>reclamación</w:t>
      </w:r>
      <w:r>
        <w:rPr>
          <w:spacing w:val="-10"/>
          <w:sz w:val="20"/>
        </w:rPr>
        <w:t> </w:t>
      </w:r>
      <w:r>
        <w:rPr>
          <w:sz w:val="20"/>
        </w:rPr>
        <w:t>de</w:t>
      </w:r>
      <w:r>
        <w:rPr>
          <w:spacing w:val="-13"/>
          <w:sz w:val="20"/>
        </w:rPr>
        <w:t> </w:t>
      </w:r>
      <w:r>
        <w:rPr>
          <w:sz w:val="20"/>
        </w:rPr>
        <w:t>la</w:t>
      </w:r>
      <w:r>
        <w:rPr>
          <w:spacing w:val="-11"/>
          <w:sz w:val="20"/>
        </w:rPr>
        <w:t> </w:t>
      </w:r>
      <w:r>
        <w:rPr>
          <w:sz w:val="20"/>
        </w:rPr>
        <w:t>propiedad</w:t>
      </w:r>
      <w:r>
        <w:rPr>
          <w:spacing w:val="-11"/>
          <w:sz w:val="20"/>
        </w:rPr>
        <w:t> </w:t>
      </w:r>
      <w:r>
        <w:rPr>
          <w:sz w:val="20"/>
        </w:rPr>
        <w:t>indígena.</w:t>
      </w:r>
      <w:r>
        <w:rPr>
          <w:spacing w:val="-12"/>
          <w:sz w:val="20"/>
        </w:rPr>
        <w:t> </w:t>
      </w:r>
      <w:r>
        <w:rPr>
          <w:sz w:val="20"/>
        </w:rPr>
        <w:t>Como</w:t>
      </w:r>
      <w:r>
        <w:rPr>
          <w:spacing w:val="-12"/>
          <w:sz w:val="20"/>
        </w:rPr>
        <w:t> </w:t>
      </w:r>
      <w:r>
        <w:rPr>
          <w:sz w:val="20"/>
        </w:rPr>
        <w:t>se ha indicado </w:t>
      </w:r>
      <w:r>
        <w:rPr>
          <w:i/>
          <w:sz w:val="20"/>
        </w:rPr>
        <w:t>(supra </w:t>
      </w:r>
      <w:r>
        <w:rPr>
          <w:sz w:val="20"/>
        </w:rPr>
        <w:t>párrs. 116 y 118), el modo en que se prevean estos procedimientos tiene relación con los artículos 2, 21, 8 y 25 de la</w:t>
      </w:r>
      <w:r>
        <w:rPr>
          <w:spacing w:val="-23"/>
          <w:sz w:val="20"/>
        </w:rPr>
        <w:t> </w:t>
      </w:r>
      <w:r>
        <w:rPr>
          <w:sz w:val="20"/>
        </w:rPr>
        <w:t>Convención.</w:t>
      </w:r>
    </w:p>
    <w:p>
      <w:pPr>
        <w:pStyle w:val="BodyText"/>
      </w:pPr>
    </w:p>
    <w:p>
      <w:pPr>
        <w:pStyle w:val="ListParagraph"/>
        <w:numPr>
          <w:ilvl w:val="0"/>
          <w:numId w:val="27"/>
        </w:numPr>
        <w:tabs>
          <w:tab w:pos="830" w:val="left" w:leader="none"/>
        </w:tabs>
        <w:spacing w:line="240" w:lineRule="auto" w:before="0" w:after="0"/>
        <w:ind w:left="122" w:right="122" w:firstLine="0"/>
        <w:jc w:val="both"/>
        <w:rPr>
          <w:sz w:val="20"/>
        </w:rPr>
      </w:pPr>
      <w:r>
        <w:rPr>
          <w:sz w:val="20"/>
        </w:rPr>
        <w:t>Debe notarse, que la ley 6.681 de Salta adhirió a la ley nacional 23.302 (</w:t>
      </w:r>
      <w:r>
        <w:rPr>
          <w:i/>
          <w:sz w:val="20"/>
        </w:rPr>
        <w:t>supra </w:t>
      </w:r>
      <w:r>
        <w:rPr>
          <w:sz w:val="20"/>
        </w:rPr>
        <w:t>párr. 55). Esta última, así como su Decreto reglamentario 155/1989 (</w:t>
      </w:r>
      <w:r>
        <w:rPr>
          <w:i/>
          <w:sz w:val="20"/>
        </w:rPr>
        <w:t>supra </w:t>
      </w:r>
      <w:r>
        <w:rPr>
          <w:sz w:val="20"/>
        </w:rPr>
        <w:t>párr. 54), no prevé un procedimiento que permita reclamar, como un derecho fundamental que debe ser reconocido, el derecho de propiedad comunitaria. Las normas indicadas solo contemplan que las autoridades realizarán “gestiones” tendientes a la entrega de tierras</w:t>
      </w:r>
      <w:r>
        <w:rPr>
          <w:position w:val="7"/>
          <w:sz w:val="13"/>
        </w:rPr>
        <w:t>151</w:t>
      </w:r>
      <w:r>
        <w:rPr>
          <w:sz w:val="20"/>
        </w:rPr>
        <w:t>. Por otra parte, la ley 7.121 de Salta (</w:t>
      </w:r>
      <w:r>
        <w:rPr>
          <w:i/>
          <w:sz w:val="20"/>
        </w:rPr>
        <w:t>supra </w:t>
      </w:r>
      <w:r>
        <w:rPr>
          <w:sz w:val="20"/>
        </w:rPr>
        <w:t>párr. 55) indica que la propiedad comunitaria</w:t>
      </w:r>
      <w:r>
        <w:rPr>
          <w:spacing w:val="-8"/>
          <w:sz w:val="20"/>
        </w:rPr>
        <w:t> </w:t>
      </w:r>
      <w:r>
        <w:rPr>
          <w:sz w:val="20"/>
        </w:rPr>
        <w:t>debe</w:t>
      </w:r>
      <w:r>
        <w:rPr>
          <w:spacing w:val="-9"/>
          <w:sz w:val="20"/>
        </w:rPr>
        <w:t> </w:t>
      </w:r>
      <w:r>
        <w:rPr>
          <w:sz w:val="20"/>
        </w:rPr>
        <w:t>adecuarse</w:t>
      </w:r>
      <w:r>
        <w:rPr>
          <w:spacing w:val="-9"/>
          <w:sz w:val="20"/>
        </w:rPr>
        <w:t> </w:t>
      </w:r>
      <w:r>
        <w:rPr>
          <w:sz w:val="20"/>
        </w:rPr>
        <w:t>a</w:t>
      </w:r>
      <w:r>
        <w:rPr>
          <w:spacing w:val="-8"/>
          <w:sz w:val="20"/>
        </w:rPr>
        <w:t> </w:t>
      </w:r>
      <w:r>
        <w:rPr>
          <w:sz w:val="20"/>
        </w:rPr>
        <w:t>“una</w:t>
      </w:r>
      <w:r>
        <w:rPr>
          <w:spacing w:val="-8"/>
          <w:sz w:val="20"/>
        </w:rPr>
        <w:t> </w:t>
      </w:r>
      <w:r>
        <w:rPr>
          <w:sz w:val="20"/>
        </w:rPr>
        <w:t>de</w:t>
      </w:r>
      <w:r>
        <w:rPr>
          <w:spacing w:val="-9"/>
          <w:sz w:val="20"/>
        </w:rPr>
        <w:t> </w:t>
      </w:r>
      <w:r>
        <w:rPr>
          <w:sz w:val="20"/>
        </w:rPr>
        <w:t>las</w:t>
      </w:r>
      <w:r>
        <w:rPr>
          <w:spacing w:val="-9"/>
          <w:sz w:val="20"/>
        </w:rPr>
        <w:t> </w:t>
      </w:r>
      <w:r>
        <w:rPr>
          <w:sz w:val="20"/>
        </w:rPr>
        <w:t>distintas</w:t>
      </w:r>
      <w:r>
        <w:rPr>
          <w:spacing w:val="-8"/>
          <w:sz w:val="20"/>
        </w:rPr>
        <w:t> </w:t>
      </w:r>
      <w:r>
        <w:rPr>
          <w:sz w:val="20"/>
        </w:rPr>
        <w:t>formas</w:t>
      </w:r>
      <w:r>
        <w:rPr>
          <w:spacing w:val="-9"/>
          <w:sz w:val="20"/>
        </w:rPr>
        <w:t> </w:t>
      </w:r>
      <w:r>
        <w:rPr>
          <w:sz w:val="20"/>
        </w:rPr>
        <w:t>admitidas</w:t>
      </w:r>
      <w:r>
        <w:rPr>
          <w:spacing w:val="-8"/>
          <w:sz w:val="20"/>
        </w:rPr>
        <w:t> </w:t>
      </w:r>
      <w:r>
        <w:rPr>
          <w:sz w:val="20"/>
        </w:rPr>
        <w:t>por</w:t>
      </w:r>
      <w:r>
        <w:rPr>
          <w:spacing w:val="-9"/>
          <w:sz w:val="20"/>
        </w:rPr>
        <w:t> </w:t>
      </w:r>
      <w:r>
        <w:rPr>
          <w:sz w:val="20"/>
        </w:rPr>
        <w:t>la</w:t>
      </w:r>
      <w:r>
        <w:rPr>
          <w:spacing w:val="-8"/>
          <w:sz w:val="20"/>
        </w:rPr>
        <w:t> </w:t>
      </w:r>
      <w:r>
        <w:rPr>
          <w:sz w:val="20"/>
        </w:rPr>
        <w:t>ley”</w:t>
      </w:r>
      <w:r>
        <w:rPr>
          <w:position w:val="7"/>
          <w:sz w:val="13"/>
        </w:rPr>
        <w:t>152</w:t>
      </w:r>
      <w:r>
        <w:rPr>
          <w:sz w:val="20"/>
        </w:rPr>
        <w:t>,</w:t>
      </w:r>
      <w:r>
        <w:rPr>
          <w:spacing w:val="-8"/>
          <w:sz w:val="20"/>
        </w:rPr>
        <w:t> </w:t>
      </w:r>
      <w:r>
        <w:rPr>
          <w:sz w:val="20"/>
        </w:rPr>
        <w:t>pero de conformidad con la información con que cuenta la Corte, no se ha regulado en la legislación general una forma propia de propiedad comunitaria ni procedimientos particulares a tal</w:t>
      </w:r>
      <w:r>
        <w:rPr>
          <w:spacing w:val="-12"/>
          <w:sz w:val="20"/>
        </w:rPr>
        <w:t> </w:t>
      </w:r>
      <w:r>
        <w:rPr>
          <w:sz w:val="20"/>
        </w:rPr>
        <w:t>efecto.</w:t>
      </w:r>
    </w:p>
    <w:p>
      <w:pPr>
        <w:pStyle w:val="BodyText"/>
      </w:pPr>
    </w:p>
    <w:p>
      <w:pPr>
        <w:pStyle w:val="ListParagraph"/>
        <w:numPr>
          <w:ilvl w:val="0"/>
          <w:numId w:val="27"/>
        </w:numPr>
        <w:tabs>
          <w:tab w:pos="830" w:val="left" w:leader="none"/>
        </w:tabs>
        <w:spacing w:line="240" w:lineRule="auto" w:before="0" w:after="0"/>
        <w:ind w:left="122" w:right="126" w:firstLine="0"/>
        <w:jc w:val="both"/>
        <w:rPr>
          <w:sz w:val="20"/>
        </w:rPr>
      </w:pPr>
      <w:r>
        <w:rPr>
          <w:sz w:val="20"/>
        </w:rPr>
        <w:t>La</w:t>
      </w:r>
      <w:r>
        <w:rPr>
          <w:spacing w:val="-7"/>
          <w:sz w:val="20"/>
        </w:rPr>
        <w:t> </w:t>
      </w:r>
      <w:r>
        <w:rPr>
          <w:sz w:val="20"/>
        </w:rPr>
        <w:t>falta</w:t>
      </w:r>
      <w:r>
        <w:rPr>
          <w:spacing w:val="-6"/>
          <w:sz w:val="20"/>
        </w:rPr>
        <w:t> </w:t>
      </w:r>
      <w:r>
        <w:rPr>
          <w:sz w:val="20"/>
        </w:rPr>
        <w:t>de</w:t>
      </w:r>
      <w:r>
        <w:rPr>
          <w:spacing w:val="-7"/>
          <w:sz w:val="20"/>
        </w:rPr>
        <w:t> </w:t>
      </w:r>
      <w:r>
        <w:rPr>
          <w:sz w:val="20"/>
        </w:rPr>
        <w:t>aptitud</w:t>
      </w:r>
      <w:r>
        <w:rPr>
          <w:spacing w:val="-6"/>
          <w:sz w:val="20"/>
        </w:rPr>
        <w:t> </w:t>
      </w:r>
      <w:r>
        <w:rPr>
          <w:sz w:val="20"/>
        </w:rPr>
        <w:t>del</w:t>
      </w:r>
      <w:r>
        <w:rPr>
          <w:spacing w:val="-3"/>
          <w:sz w:val="20"/>
        </w:rPr>
        <w:t> </w:t>
      </w:r>
      <w:r>
        <w:rPr>
          <w:sz w:val="20"/>
        </w:rPr>
        <w:t>régimen</w:t>
      </w:r>
      <w:r>
        <w:rPr>
          <w:spacing w:val="-6"/>
          <w:sz w:val="20"/>
        </w:rPr>
        <w:t> </w:t>
      </w:r>
      <w:r>
        <w:rPr>
          <w:sz w:val="20"/>
        </w:rPr>
        <w:t>normativo</w:t>
      </w:r>
      <w:r>
        <w:rPr>
          <w:spacing w:val="-8"/>
          <w:sz w:val="20"/>
        </w:rPr>
        <w:t> </w:t>
      </w:r>
      <w:r>
        <w:rPr>
          <w:sz w:val="20"/>
        </w:rPr>
        <w:t>aludido</w:t>
      </w:r>
      <w:r>
        <w:rPr>
          <w:spacing w:val="-8"/>
          <w:sz w:val="20"/>
        </w:rPr>
        <w:t> </w:t>
      </w:r>
      <w:r>
        <w:rPr>
          <w:sz w:val="20"/>
        </w:rPr>
        <w:t>para</w:t>
      </w:r>
      <w:r>
        <w:rPr>
          <w:spacing w:val="-6"/>
          <w:sz w:val="20"/>
        </w:rPr>
        <w:t> </w:t>
      </w:r>
      <w:r>
        <w:rPr>
          <w:sz w:val="20"/>
        </w:rPr>
        <w:t>tratar</w:t>
      </w:r>
      <w:r>
        <w:rPr>
          <w:spacing w:val="-4"/>
          <w:sz w:val="20"/>
        </w:rPr>
        <w:t> </w:t>
      </w:r>
      <w:r>
        <w:rPr>
          <w:sz w:val="20"/>
        </w:rPr>
        <w:t>en</w:t>
      </w:r>
      <w:r>
        <w:rPr>
          <w:spacing w:val="-6"/>
          <w:sz w:val="20"/>
        </w:rPr>
        <w:t> </w:t>
      </w:r>
      <w:r>
        <w:rPr>
          <w:sz w:val="20"/>
        </w:rPr>
        <w:t>forma</w:t>
      </w:r>
      <w:r>
        <w:rPr>
          <w:spacing w:val="-3"/>
          <w:sz w:val="20"/>
        </w:rPr>
        <w:t> </w:t>
      </w:r>
      <w:r>
        <w:rPr>
          <w:sz w:val="20"/>
        </w:rPr>
        <w:t>adecuada y suficiente la cuestión de la propiedad indígena se infiere de la propia normativa nacional posterior a la reforma constitucional de 1994 (</w:t>
      </w:r>
      <w:r>
        <w:rPr>
          <w:i/>
          <w:sz w:val="20"/>
        </w:rPr>
        <w:t>supra </w:t>
      </w:r>
      <w:r>
        <w:rPr>
          <w:sz w:val="20"/>
        </w:rPr>
        <w:t>párr. 54). Aquella normativa, como se explica seguidamente, señala una situación de “emergencia” de la propiedad</w:t>
      </w:r>
      <w:r>
        <w:rPr>
          <w:spacing w:val="-8"/>
          <w:sz w:val="20"/>
        </w:rPr>
        <w:t> </w:t>
      </w:r>
      <w:r>
        <w:rPr>
          <w:sz w:val="20"/>
        </w:rPr>
        <w:t>indígena</w:t>
      </w:r>
      <w:r>
        <w:rPr>
          <w:spacing w:val="-9"/>
          <w:sz w:val="20"/>
        </w:rPr>
        <w:t> </w:t>
      </w:r>
      <w:r>
        <w:rPr>
          <w:sz w:val="20"/>
        </w:rPr>
        <w:t>y</w:t>
      </w:r>
      <w:r>
        <w:rPr>
          <w:spacing w:val="-7"/>
          <w:sz w:val="20"/>
        </w:rPr>
        <w:t> </w:t>
      </w:r>
      <w:r>
        <w:rPr>
          <w:sz w:val="20"/>
        </w:rPr>
        <w:t>la</w:t>
      </w:r>
      <w:r>
        <w:rPr>
          <w:spacing w:val="-6"/>
          <w:sz w:val="20"/>
        </w:rPr>
        <w:t> </w:t>
      </w:r>
      <w:r>
        <w:rPr>
          <w:sz w:val="20"/>
        </w:rPr>
        <w:t>necesidad</w:t>
      </w:r>
      <w:r>
        <w:rPr>
          <w:spacing w:val="-8"/>
          <w:sz w:val="20"/>
        </w:rPr>
        <w:t> </w:t>
      </w:r>
      <w:r>
        <w:rPr>
          <w:sz w:val="20"/>
        </w:rPr>
        <w:t>de</w:t>
      </w:r>
      <w:r>
        <w:rPr>
          <w:spacing w:val="-10"/>
          <w:sz w:val="20"/>
        </w:rPr>
        <w:t> </w:t>
      </w:r>
      <w:r>
        <w:rPr>
          <w:sz w:val="20"/>
        </w:rPr>
        <w:t>adoptar</w:t>
      </w:r>
      <w:r>
        <w:rPr>
          <w:spacing w:val="-10"/>
          <w:sz w:val="20"/>
        </w:rPr>
        <w:t> </w:t>
      </w:r>
      <w:r>
        <w:rPr>
          <w:sz w:val="20"/>
        </w:rPr>
        <w:t>legislación</w:t>
      </w:r>
      <w:r>
        <w:rPr>
          <w:spacing w:val="-9"/>
          <w:sz w:val="20"/>
        </w:rPr>
        <w:t> </w:t>
      </w:r>
      <w:r>
        <w:rPr>
          <w:sz w:val="20"/>
        </w:rPr>
        <w:t>y</w:t>
      </w:r>
      <w:r>
        <w:rPr>
          <w:spacing w:val="-7"/>
          <w:sz w:val="20"/>
        </w:rPr>
        <w:t> </w:t>
      </w:r>
      <w:r>
        <w:rPr>
          <w:sz w:val="20"/>
        </w:rPr>
        <w:t>procedimientos</w:t>
      </w:r>
      <w:r>
        <w:rPr>
          <w:spacing w:val="-7"/>
          <w:sz w:val="20"/>
        </w:rPr>
        <w:t> </w:t>
      </w:r>
      <w:r>
        <w:rPr>
          <w:sz w:val="20"/>
        </w:rPr>
        <w:t>específicos</w:t>
      </w:r>
      <w:r>
        <w:rPr>
          <w:spacing w:val="-10"/>
          <w:sz w:val="20"/>
        </w:rPr>
        <w:t> </w:t>
      </w:r>
      <w:r>
        <w:rPr>
          <w:sz w:val="20"/>
        </w:rPr>
        <w:t>al respecto. En ese sentido, es con base en los propios señalamientos estatales, referidos en</w:t>
      </w:r>
      <w:r>
        <w:rPr>
          <w:spacing w:val="-9"/>
          <w:sz w:val="20"/>
        </w:rPr>
        <w:t> </w:t>
      </w:r>
      <w:r>
        <w:rPr>
          <w:sz w:val="20"/>
        </w:rPr>
        <w:t>las</w:t>
      </w:r>
      <w:r>
        <w:rPr>
          <w:spacing w:val="-8"/>
          <w:sz w:val="20"/>
        </w:rPr>
        <w:t> </w:t>
      </w:r>
      <w:r>
        <w:rPr>
          <w:sz w:val="20"/>
        </w:rPr>
        <w:t>disposiciones</w:t>
      </w:r>
      <w:r>
        <w:rPr>
          <w:spacing w:val="-11"/>
          <w:sz w:val="20"/>
        </w:rPr>
        <w:t> </w:t>
      </w:r>
      <w:r>
        <w:rPr>
          <w:sz w:val="20"/>
        </w:rPr>
        <w:t>que</w:t>
      </w:r>
      <w:r>
        <w:rPr>
          <w:spacing w:val="-9"/>
          <w:sz w:val="20"/>
        </w:rPr>
        <w:t> </w:t>
      </w:r>
      <w:r>
        <w:rPr>
          <w:sz w:val="20"/>
        </w:rPr>
        <w:t>se</w:t>
      </w:r>
      <w:r>
        <w:rPr>
          <w:spacing w:val="-12"/>
          <w:sz w:val="20"/>
        </w:rPr>
        <w:t> </w:t>
      </w:r>
      <w:r>
        <w:rPr>
          <w:sz w:val="20"/>
        </w:rPr>
        <w:t>indican</w:t>
      </w:r>
      <w:r>
        <w:rPr>
          <w:spacing w:val="-7"/>
          <w:sz w:val="20"/>
        </w:rPr>
        <w:t> </w:t>
      </w:r>
      <w:r>
        <w:rPr>
          <w:sz w:val="20"/>
        </w:rPr>
        <w:t>a</w:t>
      </w:r>
      <w:r>
        <w:rPr>
          <w:spacing w:val="-8"/>
          <w:sz w:val="20"/>
        </w:rPr>
        <w:t> </w:t>
      </w:r>
      <w:r>
        <w:rPr>
          <w:sz w:val="20"/>
        </w:rPr>
        <w:t>continuación,</w:t>
      </w:r>
      <w:r>
        <w:rPr>
          <w:spacing w:val="-11"/>
          <w:sz w:val="20"/>
        </w:rPr>
        <w:t> </w:t>
      </w:r>
      <w:r>
        <w:rPr>
          <w:sz w:val="20"/>
        </w:rPr>
        <w:t>que</w:t>
      </w:r>
      <w:r>
        <w:rPr>
          <w:spacing w:val="-9"/>
          <w:sz w:val="20"/>
        </w:rPr>
        <w:t> </w:t>
      </w:r>
      <w:r>
        <w:rPr>
          <w:sz w:val="20"/>
        </w:rPr>
        <w:t>la</w:t>
      </w:r>
      <w:r>
        <w:rPr>
          <w:spacing w:val="-8"/>
          <w:sz w:val="20"/>
        </w:rPr>
        <w:t> </w:t>
      </w:r>
      <w:r>
        <w:rPr>
          <w:sz w:val="20"/>
        </w:rPr>
        <w:t>Corte</w:t>
      </w:r>
      <w:r>
        <w:rPr>
          <w:spacing w:val="-9"/>
          <w:sz w:val="20"/>
        </w:rPr>
        <w:t> </w:t>
      </w:r>
      <w:r>
        <w:rPr>
          <w:sz w:val="20"/>
        </w:rPr>
        <w:t>entiende</w:t>
      </w:r>
      <w:r>
        <w:rPr>
          <w:spacing w:val="-9"/>
          <w:sz w:val="20"/>
        </w:rPr>
        <w:t> </w:t>
      </w:r>
      <w:r>
        <w:rPr>
          <w:sz w:val="20"/>
        </w:rPr>
        <w:t>que</w:t>
      </w:r>
      <w:r>
        <w:rPr>
          <w:spacing w:val="-9"/>
          <w:sz w:val="20"/>
        </w:rPr>
        <w:t> </w:t>
      </w:r>
      <w:r>
        <w:rPr>
          <w:sz w:val="20"/>
        </w:rPr>
        <w:t>el</w:t>
      </w:r>
      <w:r>
        <w:rPr>
          <w:spacing w:val="-8"/>
          <w:sz w:val="20"/>
        </w:rPr>
        <w:t> </w:t>
      </w:r>
      <w:r>
        <w:rPr>
          <w:sz w:val="20"/>
        </w:rPr>
        <w:t>régimen legal existente en el Estado no es apto para observar el derecho de propiedad comunitaria.</w:t>
      </w:r>
    </w:p>
    <w:p>
      <w:pPr>
        <w:pStyle w:val="BodyText"/>
      </w:pPr>
    </w:p>
    <w:p>
      <w:pPr>
        <w:pStyle w:val="ListParagraph"/>
        <w:numPr>
          <w:ilvl w:val="0"/>
          <w:numId w:val="27"/>
        </w:numPr>
        <w:tabs>
          <w:tab w:pos="830" w:val="left" w:leader="none"/>
        </w:tabs>
        <w:spacing w:line="240" w:lineRule="auto" w:before="1" w:after="0"/>
        <w:ind w:left="830" w:right="0" w:hanging="708"/>
        <w:jc w:val="both"/>
        <w:rPr>
          <w:sz w:val="20"/>
        </w:rPr>
      </w:pPr>
      <w:r>
        <w:rPr>
          <w:sz w:val="20"/>
        </w:rPr>
        <w:t>En</w:t>
      </w:r>
      <w:r>
        <w:rPr>
          <w:spacing w:val="-5"/>
          <w:sz w:val="20"/>
        </w:rPr>
        <w:t> </w:t>
      </w:r>
      <w:r>
        <w:rPr>
          <w:sz w:val="20"/>
        </w:rPr>
        <w:t>efecto,</w:t>
      </w:r>
      <w:r>
        <w:rPr>
          <w:spacing w:val="-4"/>
          <w:sz w:val="20"/>
        </w:rPr>
        <w:t> </w:t>
      </w:r>
      <w:r>
        <w:rPr>
          <w:sz w:val="20"/>
        </w:rPr>
        <w:t>el</w:t>
      </w:r>
      <w:r>
        <w:rPr>
          <w:spacing w:val="-5"/>
          <w:sz w:val="20"/>
        </w:rPr>
        <w:t> </w:t>
      </w:r>
      <w:r>
        <w:rPr>
          <w:sz w:val="20"/>
        </w:rPr>
        <w:t>propio</w:t>
      </w:r>
      <w:r>
        <w:rPr>
          <w:spacing w:val="-7"/>
          <w:sz w:val="20"/>
        </w:rPr>
        <w:t> </w:t>
      </w:r>
      <w:r>
        <w:rPr>
          <w:sz w:val="20"/>
        </w:rPr>
        <w:t>Estado</w:t>
      </w:r>
      <w:r>
        <w:rPr>
          <w:spacing w:val="-7"/>
          <w:sz w:val="20"/>
        </w:rPr>
        <w:t> </w:t>
      </w:r>
      <w:r>
        <w:rPr>
          <w:sz w:val="20"/>
        </w:rPr>
        <w:t>ha</w:t>
      </w:r>
      <w:r>
        <w:rPr>
          <w:spacing w:val="-5"/>
          <w:sz w:val="20"/>
        </w:rPr>
        <w:t> </w:t>
      </w:r>
      <w:r>
        <w:rPr>
          <w:sz w:val="20"/>
        </w:rPr>
        <w:t>advertido</w:t>
      </w:r>
      <w:r>
        <w:rPr>
          <w:spacing w:val="-7"/>
          <w:sz w:val="20"/>
        </w:rPr>
        <w:t> </w:t>
      </w:r>
      <w:r>
        <w:rPr>
          <w:sz w:val="20"/>
        </w:rPr>
        <w:t>la</w:t>
      </w:r>
      <w:r>
        <w:rPr>
          <w:spacing w:val="-5"/>
          <w:sz w:val="20"/>
        </w:rPr>
        <w:t> </w:t>
      </w:r>
      <w:r>
        <w:rPr>
          <w:sz w:val="20"/>
        </w:rPr>
        <w:t>insuficiencia</w:t>
      </w:r>
      <w:r>
        <w:rPr>
          <w:spacing w:val="-5"/>
          <w:sz w:val="20"/>
        </w:rPr>
        <w:t> </w:t>
      </w:r>
      <w:r>
        <w:rPr>
          <w:sz w:val="20"/>
        </w:rPr>
        <w:t>de</w:t>
      </w:r>
      <w:r>
        <w:rPr>
          <w:spacing w:val="-4"/>
          <w:sz w:val="20"/>
        </w:rPr>
        <w:t> </w:t>
      </w:r>
      <w:r>
        <w:rPr>
          <w:sz w:val="20"/>
        </w:rPr>
        <w:t>su</w:t>
      </w:r>
      <w:r>
        <w:rPr>
          <w:spacing w:val="-5"/>
          <w:sz w:val="20"/>
        </w:rPr>
        <w:t> </w:t>
      </w:r>
      <w:r>
        <w:rPr>
          <w:sz w:val="20"/>
        </w:rPr>
        <w:t>régimen</w:t>
      </w:r>
      <w:r>
        <w:rPr>
          <w:spacing w:val="-5"/>
          <w:sz w:val="20"/>
        </w:rPr>
        <w:t> </w:t>
      </w:r>
      <w:r>
        <w:rPr>
          <w:sz w:val="20"/>
        </w:rPr>
        <w:t>legal.</w:t>
      </w:r>
      <w:r>
        <w:rPr>
          <w:spacing w:val="-6"/>
          <w:sz w:val="20"/>
        </w:rPr>
        <w:t> </w:t>
      </w:r>
      <w:r>
        <w:rPr>
          <w:sz w:val="20"/>
        </w:rPr>
        <w:t>Así:</w:t>
      </w:r>
    </w:p>
    <w:p>
      <w:pPr>
        <w:pStyle w:val="BodyText"/>
        <w:spacing w:before="10"/>
        <w:rPr>
          <w:sz w:val="19"/>
        </w:rPr>
      </w:pPr>
    </w:p>
    <w:p>
      <w:pPr>
        <w:pStyle w:val="ListParagraph"/>
        <w:numPr>
          <w:ilvl w:val="1"/>
          <w:numId w:val="27"/>
        </w:numPr>
        <w:tabs>
          <w:tab w:pos="571" w:val="left" w:leader="none"/>
        </w:tabs>
        <w:spacing w:line="240" w:lineRule="auto" w:before="1" w:after="0"/>
        <w:ind w:left="263" w:right="135" w:firstLine="0"/>
        <w:jc w:val="both"/>
        <w:rPr>
          <w:sz w:val="20"/>
        </w:rPr>
      </w:pPr>
      <w:r>
        <w:rPr>
          <w:sz w:val="20"/>
        </w:rPr>
        <w:t>la ley 26.160 y sus prórrogas reconocen que hay una situación de “emergencia” respecto de la propiedad indígena y prevén acciones por un tiempo determinado, las que no alteran el régimen legal existente en materia de procedimientos para el reconocimiento de la</w:t>
      </w:r>
      <w:r>
        <w:rPr>
          <w:spacing w:val="-14"/>
          <w:sz w:val="20"/>
        </w:rPr>
        <w:t> </w:t>
      </w:r>
      <w:r>
        <w:rPr>
          <w:sz w:val="20"/>
        </w:rPr>
        <w:t>propiedad;</w:t>
      </w:r>
    </w:p>
    <w:p>
      <w:pPr>
        <w:pStyle w:val="ListParagraph"/>
        <w:numPr>
          <w:ilvl w:val="1"/>
          <w:numId w:val="27"/>
        </w:numPr>
        <w:tabs>
          <w:tab w:pos="559" w:val="left" w:leader="none"/>
        </w:tabs>
        <w:spacing w:line="240" w:lineRule="auto" w:before="0" w:after="0"/>
        <w:ind w:left="263" w:right="126" w:firstLine="0"/>
        <w:jc w:val="both"/>
        <w:rPr>
          <w:sz w:val="20"/>
        </w:rPr>
      </w:pPr>
      <w:r>
        <w:rPr>
          <w:sz w:val="20"/>
        </w:rPr>
        <w:t>la ley 26.994, que aprobó el Código Civil y Comercial, indicó que “los derechos de los</w:t>
      </w:r>
      <w:r>
        <w:rPr>
          <w:spacing w:val="-10"/>
          <w:sz w:val="20"/>
        </w:rPr>
        <w:t> </w:t>
      </w:r>
      <w:r>
        <w:rPr>
          <w:sz w:val="20"/>
        </w:rPr>
        <w:t>pueblos</w:t>
      </w:r>
      <w:r>
        <w:rPr>
          <w:spacing w:val="-10"/>
          <w:sz w:val="20"/>
        </w:rPr>
        <w:t> </w:t>
      </w:r>
      <w:r>
        <w:rPr>
          <w:sz w:val="20"/>
        </w:rPr>
        <w:t>indígenas”,</w:t>
      </w:r>
      <w:r>
        <w:rPr>
          <w:spacing w:val="-10"/>
          <w:sz w:val="20"/>
        </w:rPr>
        <w:t> </w:t>
      </w:r>
      <w:r>
        <w:rPr>
          <w:sz w:val="20"/>
        </w:rPr>
        <w:t>inclusive</w:t>
      </w:r>
      <w:r>
        <w:rPr>
          <w:spacing w:val="-8"/>
          <w:sz w:val="20"/>
        </w:rPr>
        <w:t> </w:t>
      </w:r>
      <w:r>
        <w:rPr>
          <w:sz w:val="20"/>
        </w:rPr>
        <w:t>el</w:t>
      </w:r>
      <w:r>
        <w:rPr>
          <w:spacing w:val="-8"/>
          <w:sz w:val="20"/>
        </w:rPr>
        <w:t> </w:t>
      </w:r>
      <w:r>
        <w:rPr>
          <w:sz w:val="20"/>
        </w:rPr>
        <w:t>de</w:t>
      </w:r>
      <w:r>
        <w:rPr>
          <w:spacing w:val="-8"/>
          <w:sz w:val="20"/>
        </w:rPr>
        <w:t> </w:t>
      </w:r>
      <w:r>
        <w:rPr>
          <w:sz w:val="20"/>
        </w:rPr>
        <w:t>propiedad</w:t>
      </w:r>
      <w:r>
        <w:rPr>
          <w:spacing w:val="-6"/>
          <w:sz w:val="20"/>
        </w:rPr>
        <w:t> </w:t>
      </w:r>
      <w:r>
        <w:rPr>
          <w:sz w:val="20"/>
        </w:rPr>
        <w:t>comunitaria,</w:t>
      </w:r>
      <w:r>
        <w:rPr>
          <w:spacing w:val="-7"/>
          <w:sz w:val="20"/>
        </w:rPr>
        <w:t> </w:t>
      </w:r>
      <w:r>
        <w:rPr>
          <w:sz w:val="20"/>
        </w:rPr>
        <w:t>“serán</w:t>
      </w:r>
      <w:r>
        <w:rPr>
          <w:spacing w:val="-5"/>
          <w:sz w:val="20"/>
        </w:rPr>
        <w:t> </w:t>
      </w:r>
      <w:r>
        <w:rPr>
          <w:sz w:val="20"/>
        </w:rPr>
        <w:t>objeto</w:t>
      </w:r>
      <w:r>
        <w:rPr>
          <w:spacing w:val="-10"/>
          <w:sz w:val="20"/>
        </w:rPr>
        <w:t> </w:t>
      </w:r>
      <w:r>
        <w:rPr>
          <w:sz w:val="20"/>
        </w:rPr>
        <w:t>de</w:t>
      </w:r>
      <w:r>
        <w:rPr>
          <w:spacing w:val="-10"/>
          <w:sz w:val="20"/>
        </w:rPr>
        <w:t> </w:t>
      </w:r>
      <w:r>
        <w:rPr>
          <w:sz w:val="20"/>
        </w:rPr>
        <w:t>una</w:t>
      </w:r>
      <w:r>
        <w:rPr>
          <w:spacing w:val="-9"/>
          <w:sz w:val="20"/>
        </w:rPr>
        <w:t> </w:t>
      </w:r>
      <w:r>
        <w:rPr>
          <w:sz w:val="20"/>
        </w:rPr>
        <w:t>ley especial”, y dicho Código, en forma acorde, reconoce ese derecho, pero “según lo establezca la ley”,</w:t>
      </w:r>
      <w:r>
        <w:rPr>
          <w:spacing w:val="-11"/>
          <w:sz w:val="20"/>
        </w:rPr>
        <w:t> </w:t>
      </w:r>
      <w:r>
        <w:rPr>
          <w:sz w:val="20"/>
        </w:rPr>
        <w:t>y</w:t>
      </w:r>
    </w:p>
    <w:p>
      <w:pPr>
        <w:pStyle w:val="ListParagraph"/>
        <w:numPr>
          <w:ilvl w:val="1"/>
          <w:numId w:val="27"/>
        </w:numPr>
        <w:tabs>
          <w:tab w:pos="600" w:val="left" w:leader="none"/>
        </w:tabs>
        <w:spacing w:line="240" w:lineRule="auto" w:before="2" w:after="0"/>
        <w:ind w:left="263" w:right="125" w:firstLine="0"/>
        <w:jc w:val="both"/>
        <w:rPr>
          <w:sz w:val="20"/>
        </w:rPr>
      </w:pPr>
      <w:r>
        <w:rPr>
          <w:sz w:val="20"/>
        </w:rPr>
        <w:t>el Decreto 700/2010 del Poder Ejecutivo Nacional reconoce expresamente la necesidad</w:t>
      </w:r>
      <w:r>
        <w:rPr>
          <w:spacing w:val="-7"/>
          <w:sz w:val="20"/>
        </w:rPr>
        <w:t> </w:t>
      </w:r>
      <w:r>
        <w:rPr>
          <w:sz w:val="20"/>
        </w:rPr>
        <w:t>de</w:t>
      </w:r>
      <w:r>
        <w:rPr>
          <w:spacing w:val="-9"/>
          <w:sz w:val="20"/>
        </w:rPr>
        <w:t> </w:t>
      </w:r>
      <w:r>
        <w:rPr>
          <w:sz w:val="20"/>
        </w:rPr>
        <w:t>que</w:t>
      </w:r>
      <w:r>
        <w:rPr>
          <w:spacing w:val="-7"/>
          <w:sz w:val="20"/>
        </w:rPr>
        <w:t> </w:t>
      </w:r>
      <w:r>
        <w:rPr>
          <w:sz w:val="20"/>
        </w:rPr>
        <w:t>se</w:t>
      </w:r>
      <w:r>
        <w:rPr>
          <w:spacing w:val="-7"/>
          <w:sz w:val="20"/>
        </w:rPr>
        <w:t> </w:t>
      </w:r>
      <w:r>
        <w:rPr>
          <w:sz w:val="20"/>
        </w:rPr>
        <w:t>elabore</w:t>
      </w:r>
      <w:r>
        <w:rPr>
          <w:spacing w:val="-9"/>
          <w:sz w:val="20"/>
        </w:rPr>
        <w:t> </w:t>
      </w:r>
      <w:r>
        <w:rPr>
          <w:sz w:val="20"/>
        </w:rPr>
        <w:t>una</w:t>
      </w:r>
      <w:r>
        <w:rPr>
          <w:spacing w:val="-8"/>
          <w:sz w:val="20"/>
        </w:rPr>
        <w:t> </w:t>
      </w:r>
      <w:r>
        <w:rPr>
          <w:sz w:val="20"/>
        </w:rPr>
        <w:t>norma</w:t>
      </w:r>
      <w:r>
        <w:rPr>
          <w:spacing w:val="-5"/>
          <w:sz w:val="20"/>
        </w:rPr>
        <w:t> </w:t>
      </w:r>
      <w:r>
        <w:rPr>
          <w:sz w:val="20"/>
        </w:rPr>
        <w:t>para</w:t>
      </w:r>
      <w:r>
        <w:rPr>
          <w:spacing w:val="-6"/>
          <w:sz w:val="20"/>
        </w:rPr>
        <w:t> </w:t>
      </w:r>
      <w:r>
        <w:rPr>
          <w:sz w:val="20"/>
        </w:rPr>
        <w:t>“instrumentar</w:t>
      </w:r>
      <w:r>
        <w:rPr>
          <w:spacing w:val="-7"/>
          <w:sz w:val="20"/>
        </w:rPr>
        <w:t> </w:t>
      </w:r>
      <w:r>
        <w:rPr>
          <w:sz w:val="20"/>
        </w:rPr>
        <w:t>un</w:t>
      </w:r>
      <w:r>
        <w:rPr>
          <w:spacing w:val="-7"/>
          <w:sz w:val="20"/>
        </w:rPr>
        <w:t> </w:t>
      </w:r>
      <w:r>
        <w:rPr>
          <w:sz w:val="20"/>
        </w:rPr>
        <w:t>procedimiento”</w:t>
      </w:r>
      <w:r>
        <w:rPr>
          <w:spacing w:val="-8"/>
          <w:sz w:val="20"/>
        </w:rPr>
        <w:t> </w:t>
      </w:r>
      <w:r>
        <w:rPr>
          <w:sz w:val="20"/>
        </w:rPr>
        <w:t>a</w:t>
      </w:r>
      <w:r>
        <w:rPr>
          <w:spacing w:val="-6"/>
          <w:sz w:val="20"/>
        </w:rPr>
        <w:t> </w:t>
      </w:r>
      <w:r>
        <w:rPr>
          <w:sz w:val="20"/>
        </w:rPr>
        <w:t>fin</w:t>
      </w:r>
      <w:r>
        <w:rPr>
          <w:spacing w:val="-7"/>
          <w:sz w:val="20"/>
        </w:rPr>
        <w:t> </w:t>
      </w:r>
      <w:r>
        <w:rPr>
          <w:sz w:val="20"/>
        </w:rPr>
        <w:t>de efectivizar</w:t>
      </w:r>
      <w:r>
        <w:rPr>
          <w:spacing w:val="-16"/>
          <w:sz w:val="20"/>
        </w:rPr>
        <w:t> </w:t>
      </w:r>
      <w:r>
        <w:rPr>
          <w:sz w:val="20"/>
        </w:rPr>
        <w:t>el</w:t>
      </w:r>
      <w:r>
        <w:rPr>
          <w:spacing w:val="-16"/>
          <w:sz w:val="20"/>
        </w:rPr>
        <w:t> </w:t>
      </w:r>
      <w:r>
        <w:rPr>
          <w:sz w:val="20"/>
        </w:rPr>
        <w:t>derecho</w:t>
      </w:r>
      <w:r>
        <w:rPr>
          <w:spacing w:val="-16"/>
          <w:sz w:val="20"/>
        </w:rPr>
        <w:t> </w:t>
      </w:r>
      <w:r>
        <w:rPr>
          <w:sz w:val="20"/>
        </w:rPr>
        <w:t>en</w:t>
      </w:r>
      <w:r>
        <w:rPr>
          <w:spacing w:val="-15"/>
          <w:sz w:val="20"/>
        </w:rPr>
        <w:t> </w:t>
      </w:r>
      <w:r>
        <w:rPr>
          <w:sz w:val="20"/>
        </w:rPr>
        <w:t>cuestión.</w:t>
      </w:r>
      <w:r>
        <w:rPr>
          <w:spacing w:val="-18"/>
          <w:sz w:val="20"/>
        </w:rPr>
        <w:t> </w:t>
      </w:r>
      <w:r>
        <w:rPr>
          <w:sz w:val="20"/>
        </w:rPr>
        <w:t>En</w:t>
      </w:r>
      <w:r>
        <w:rPr>
          <w:spacing w:val="-17"/>
          <w:sz w:val="20"/>
        </w:rPr>
        <w:t> </w:t>
      </w:r>
      <w:r>
        <w:rPr>
          <w:sz w:val="20"/>
        </w:rPr>
        <w:t>sus</w:t>
      </w:r>
      <w:r>
        <w:rPr>
          <w:spacing w:val="-18"/>
          <w:sz w:val="20"/>
        </w:rPr>
        <w:t> </w:t>
      </w:r>
      <w:r>
        <w:rPr>
          <w:sz w:val="20"/>
        </w:rPr>
        <w:t>fundamentos</w:t>
      </w:r>
      <w:r>
        <w:rPr>
          <w:spacing w:val="-16"/>
          <w:sz w:val="20"/>
        </w:rPr>
        <w:t> </w:t>
      </w:r>
      <w:r>
        <w:rPr>
          <w:sz w:val="20"/>
        </w:rPr>
        <w:t>expresa</w:t>
      </w:r>
      <w:r>
        <w:rPr>
          <w:spacing w:val="-16"/>
          <w:sz w:val="20"/>
        </w:rPr>
        <w:t> </w:t>
      </w:r>
      <w:r>
        <w:rPr>
          <w:sz w:val="20"/>
        </w:rPr>
        <w:t>que</w:t>
      </w:r>
      <w:r>
        <w:rPr>
          <w:spacing w:val="-16"/>
          <w:sz w:val="20"/>
        </w:rPr>
        <w:t> </w:t>
      </w:r>
      <w:r>
        <w:rPr>
          <w:sz w:val="20"/>
        </w:rPr>
        <w:t>el</w:t>
      </w:r>
      <w:r>
        <w:rPr>
          <w:spacing w:val="-17"/>
          <w:sz w:val="20"/>
        </w:rPr>
        <w:t> </w:t>
      </w:r>
      <w:r>
        <w:rPr>
          <w:sz w:val="20"/>
        </w:rPr>
        <w:t>artículo</w:t>
      </w:r>
      <w:r>
        <w:rPr>
          <w:spacing w:val="-19"/>
          <w:sz w:val="20"/>
        </w:rPr>
        <w:t> </w:t>
      </w:r>
      <w:r>
        <w:rPr>
          <w:sz w:val="20"/>
        </w:rPr>
        <w:t>75</w:t>
      </w:r>
      <w:r>
        <w:rPr>
          <w:spacing w:val="-15"/>
          <w:sz w:val="20"/>
        </w:rPr>
        <w:t> </w:t>
      </w:r>
      <w:r>
        <w:rPr>
          <w:sz w:val="20"/>
        </w:rPr>
        <w:t>inciso 17 de la Constitución Nacional es directamente operativo, pero que </w:t>
      </w:r>
      <w:r>
        <w:rPr>
          <w:spacing w:val="3"/>
          <w:sz w:val="20"/>
        </w:rPr>
        <w:t>“la </w:t>
      </w:r>
      <w:r>
        <w:rPr>
          <w:sz w:val="20"/>
        </w:rPr>
        <w:t>ausencia de procedimientos   legales   tendientes   a   facilitar   la   concreción   de   la</w:t>
      </w:r>
      <w:r>
        <w:rPr>
          <w:spacing w:val="37"/>
          <w:sz w:val="20"/>
        </w:rPr>
        <w:t> </w:t>
      </w:r>
      <w:r>
        <w:rPr>
          <w:sz w:val="20"/>
        </w:rPr>
        <w:t>afirmación</w:t>
      </w:r>
    </w:p>
    <w:p>
      <w:pPr>
        <w:pStyle w:val="BodyText"/>
        <w:spacing w:before="2"/>
        <w:rPr>
          <w:sz w:val="13"/>
        </w:rPr>
      </w:pPr>
      <w:r>
        <w:rPr/>
        <w:pict>
          <v:line style="position:absolute;mso-position-horizontal-relative:page;mso-position-vertical-relative:paragraph;z-index:2272;mso-wrap-distance-left:0;mso-wrap-distance-right:0" from="85.103996pt,10.365746pt" to="229.123996pt,10.365746pt" stroked="true" strokeweight=".71997pt" strokecolor="#000000">
            <v:stroke dashstyle="solid"/>
            <w10:wrap type="topAndBottom"/>
          </v:line>
        </w:pict>
      </w:r>
    </w:p>
    <w:p>
      <w:pPr>
        <w:spacing w:before="71"/>
        <w:ind w:left="122" w:right="120" w:firstLine="0"/>
        <w:jc w:val="left"/>
        <w:rPr>
          <w:sz w:val="16"/>
        </w:rPr>
      </w:pPr>
      <w:r>
        <w:rPr>
          <w:sz w:val="16"/>
        </w:rPr>
        <w:t>propiedad comunitaria debe adecuarse a “una de las distintas formas admitidas por la ley” y la Provincia ha “adherido” a ciertas normas nacionales en la materia.</w:t>
      </w:r>
    </w:p>
    <w:p>
      <w:pPr>
        <w:pStyle w:val="BodyText"/>
        <w:spacing w:before="11"/>
        <w:rPr>
          <w:sz w:val="15"/>
        </w:rPr>
      </w:pPr>
    </w:p>
    <w:p>
      <w:pPr>
        <w:tabs>
          <w:tab w:pos="829" w:val="left" w:leader="none"/>
        </w:tabs>
        <w:spacing w:before="0"/>
        <w:ind w:left="122" w:right="0" w:firstLine="0"/>
        <w:jc w:val="left"/>
        <w:rPr>
          <w:sz w:val="16"/>
        </w:rPr>
      </w:pPr>
      <w:r>
        <w:rPr>
          <w:position w:val="6"/>
          <w:sz w:val="10"/>
        </w:rPr>
        <w:t>151</w:t>
        <w:tab/>
      </w:r>
      <w:r>
        <w:rPr>
          <w:i/>
          <w:sz w:val="16"/>
        </w:rPr>
        <w:t>Cfr. </w:t>
      </w:r>
      <w:r>
        <w:rPr>
          <w:sz w:val="16"/>
        </w:rPr>
        <w:t>Ley 23.302 y Decreto 155/1989, artículos 8 y 5, respectivamente. Expediente de prueba,</w:t>
      </w:r>
      <w:r>
        <w:rPr>
          <w:spacing w:val="-14"/>
          <w:sz w:val="16"/>
        </w:rPr>
        <w:t> </w:t>
      </w:r>
      <w:r>
        <w:rPr>
          <w:sz w:val="16"/>
        </w:rPr>
        <w:t>anexo</w:t>
      </w:r>
    </w:p>
    <w:p>
      <w:pPr>
        <w:spacing w:before="0"/>
        <w:ind w:left="122" w:right="0" w:firstLine="0"/>
        <w:jc w:val="left"/>
        <w:rPr>
          <w:sz w:val="16"/>
        </w:rPr>
      </w:pPr>
      <w:r>
        <w:rPr>
          <w:sz w:val="16"/>
        </w:rPr>
        <w:t>M.3 al escrito de solicitudes y argumentos, fs. 35.152 a 35.377.</w:t>
      </w:r>
    </w:p>
    <w:p>
      <w:pPr>
        <w:pStyle w:val="BodyText"/>
        <w:spacing w:before="2"/>
        <w:rPr>
          <w:sz w:val="16"/>
        </w:rPr>
      </w:pPr>
    </w:p>
    <w:p>
      <w:pPr>
        <w:tabs>
          <w:tab w:pos="829" w:val="left" w:leader="none"/>
        </w:tabs>
        <w:spacing w:before="1"/>
        <w:ind w:left="122" w:right="121" w:firstLine="0"/>
        <w:jc w:val="left"/>
        <w:rPr>
          <w:sz w:val="16"/>
        </w:rPr>
      </w:pPr>
      <w:r>
        <w:rPr>
          <w:position w:val="6"/>
          <w:sz w:val="10"/>
        </w:rPr>
        <w:t>152</w:t>
        <w:tab/>
      </w:r>
      <w:r>
        <w:rPr>
          <w:i/>
          <w:sz w:val="16"/>
        </w:rPr>
        <w:t>Cfr</w:t>
      </w:r>
      <w:r>
        <w:rPr>
          <w:sz w:val="16"/>
        </w:rPr>
        <w:t>. Ley 7.121, artículo 16. Expediente de prueba, anexo N.1 al escrito de solicitudes</w:t>
      </w:r>
      <w:r>
        <w:rPr>
          <w:spacing w:val="4"/>
          <w:sz w:val="16"/>
        </w:rPr>
        <w:t> </w:t>
      </w:r>
      <w:r>
        <w:rPr>
          <w:sz w:val="16"/>
        </w:rPr>
        <w:t>y</w:t>
      </w:r>
      <w:r>
        <w:rPr>
          <w:spacing w:val="2"/>
          <w:sz w:val="16"/>
        </w:rPr>
        <w:t> </w:t>
      </w:r>
      <w:r>
        <w:rPr>
          <w:sz w:val="16"/>
        </w:rPr>
        <w:t>argumentos,</w:t>
      </w:r>
      <w:r>
        <w:rPr>
          <w:w w:val="100"/>
          <w:sz w:val="16"/>
        </w:rPr>
        <w:t> </w:t>
      </w:r>
      <w:r>
        <w:rPr>
          <w:sz w:val="16"/>
        </w:rPr>
        <w:t>fs. 36.208 a</w:t>
      </w:r>
      <w:r>
        <w:rPr>
          <w:spacing w:val="-10"/>
          <w:sz w:val="16"/>
        </w:rPr>
        <w:t> </w:t>
      </w:r>
      <w:r>
        <w:rPr>
          <w:sz w:val="16"/>
        </w:rPr>
        <w:t>36.214.</w:t>
      </w:r>
    </w:p>
    <w:p>
      <w:pPr>
        <w:spacing w:after="0"/>
        <w:jc w:val="left"/>
        <w:rPr>
          <w:sz w:val="16"/>
        </w:rPr>
        <w:sectPr>
          <w:pgSz w:w="12240" w:h="15840"/>
          <w:pgMar w:header="0" w:footer="1000" w:top="1340" w:bottom="1200" w:left="1580" w:right="1580"/>
        </w:sectPr>
      </w:pPr>
    </w:p>
    <w:p>
      <w:pPr>
        <w:pStyle w:val="BodyText"/>
        <w:spacing w:before="76"/>
        <w:ind w:left="263" w:right="128"/>
        <w:jc w:val="both"/>
      </w:pPr>
      <w:r>
        <w:rPr/>
        <w:t>constitucional en los hechos, pone en riesgo la efectividad de la garantía consagrada” y que “las [c]omunidades [i]ndígenas han soportado desde el reconocimiento constitucional, el peligro de interpretaciones judiciales errantes y que hacen lecturas disvaliosas de la voluntad del poder constituyente”</w:t>
      </w:r>
      <w:r>
        <w:rPr>
          <w:position w:val="7"/>
          <w:sz w:val="13"/>
        </w:rPr>
        <w:t>153</w:t>
      </w:r>
      <w:r>
        <w:rPr/>
        <w:t>. También indicó el perito Solá que el régimen legal nacional argentino es insuficiente</w:t>
      </w:r>
      <w:r>
        <w:rPr>
          <w:position w:val="7"/>
          <w:sz w:val="13"/>
        </w:rPr>
        <w:t>154</w:t>
      </w:r>
      <w:r>
        <w:rPr/>
        <w:t>.</w:t>
      </w:r>
    </w:p>
    <w:p>
      <w:pPr>
        <w:pStyle w:val="BodyText"/>
        <w:spacing w:before="10"/>
        <w:rPr>
          <w:sz w:val="19"/>
        </w:rPr>
      </w:pPr>
    </w:p>
    <w:p>
      <w:pPr>
        <w:pStyle w:val="ListParagraph"/>
        <w:numPr>
          <w:ilvl w:val="0"/>
          <w:numId w:val="27"/>
        </w:numPr>
        <w:tabs>
          <w:tab w:pos="830" w:val="left" w:leader="none"/>
        </w:tabs>
        <w:spacing w:line="240" w:lineRule="auto" w:before="0" w:after="0"/>
        <w:ind w:left="122" w:right="129" w:firstLine="0"/>
        <w:jc w:val="both"/>
        <w:rPr>
          <w:sz w:val="20"/>
        </w:rPr>
      </w:pPr>
      <w:r>
        <w:rPr>
          <w:sz w:val="20"/>
        </w:rPr>
        <w:t>La Corte entiende que, dados los problemas normativos señalados, las comunidades</w:t>
      </w:r>
      <w:r>
        <w:rPr>
          <w:spacing w:val="-5"/>
          <w:sz w:val="20"/>
        </w:rPr>
        <w:t> </w:t>
      </w:r>
      <w:r>
        <w:rPr>
          <w:sz w:val="20"/>
        </w:rPr>
        <w:t>indígenas</w:t>
      </w:r>
      <w:r>
        <w:rPr>
          <w:spacing w:val="-5"/>
          <w:sz w:val="20"/>
        </w:rPr>
        <w:t> </w:t>
      </w:r>
      <w:r>
        <w:rPr>
          <w:sz w:val="20"/>
        </w:rPr>
        <w:t>implicadas</w:t>
      </w:r>
      <w:r>
        <w:rPr>
          <w:spacing w:val="-7"/>
          <w:sz w:val="20"/>
        </w:rPr>
        <w:t> </w:t>
      </w:r>
      <w:r>
        <w:rPr>
          <w:sz w:val="20"/>
        </w:rPr>
        <w:t>en</w:t>
      </w:r>
      <w:r>
        <w:rPr>
          <w:spacing w:val="-3"/>
          <w:sz w:val="20"/>
        </w:rPr>
        <w:t> </w:t>
      </w:r>
      <w:r>
        <w:rPr>
          <w:sz w:val="20"/>
        </w:rPr>
        <w:t>el</w:t>
      </w:r>
      <w:r>
        <w:rPr>
          <w:spacing w:val="-6"/>
          <w:sz w:val="20"/>
        </w:rPr>
        <w:t> </w:t>
      </w:r>
      <w:r>
        <w:rPr>
          <w:sz w:val="20"/>
        </w:rPr>
        <w:t>caso</w:t>
      </w:r>
      <w:r>
        <w:rPr>
          <w:spacing w:val="-8"/>
          <w:sz w:val="20"/>
        </w:rPr>
        <w:t> </w:t>
      </w:r>
      <w:r>
        <w:rPr>
          <w:sz w:val="20"/>
        </w:rPr>
        <w:t>no</w:t>
      </w:r>
      <w:r>
        <w:rPr>
          <w:spacing w:val="-5"/>
          <w:sz w:val="20"/>
        </w:rPr>
        <w:t> </w:t>
      </w:r>
      <w:r>
        <w:rPr>
          <w:sz w:val="20"/>
        </w:rPr>
        <w:t>han</w:t>
      </w:r>
      <w:r>
        <w:rPr>
          <w:spacing w:val="-5"/>
          <w:sz w:val="20"/>
        </w:rPr>
        <w:t> </w:t>
      </w:r>
      <w:r>
        <w:rPr>
          <w:sz w:val="20"/>
        </w:rPr>
        <w:t>contado</w:t>
      </w:r>
      <w:r>
        <w:rPr>
          <w:spacing w:val="-5"/>
          <w:sz w:val="20"/>
        </w:rPr>
        <w:t> </w:t>
      </w:r>
      <w:r>
        <w:rPr>
          <w:sz w:val="20"/>
        </w:rPr>
        <w:t>con</w:t>
      </w:r>
      <w:r>
        <w:rPr>
          <w:spacing w:val="-6"/>
          <w:sz w:val="20"/>
        </w:rPr>
        <w:t> </w:t>
      </w:r>
      <w:r>
        <w:rPr>
          <w:sz w:val="20"/>
        </w:rPr>
        <w:t>una</w:t>
      </w:r>
      <w:r>
        <w:rPr>
          <w:spacing w:val="-6"/>
          <w:sz w:val="20"/>
        </w:rPr>
        <w:t> </w:t>
      </w:r>
      <w:r>
        <w:rPr>
          <w:sz w:val="20"/>
        </w:rPr>
        <w:t>tutela</w:t>
      </w:r>
      <w:r>
        <w:rPr>
          <w:spacing w:val="-6"/>
          <w:sz w:val="20"/>
        </w:rPr>
        <w:t> </w:t>
      </w:r>
      <w:r>
        <w:rPr>
          <w:sz w:val="20"/>
        </w:rPr>
        <w:t>efectiva</w:t>
      </w:r>
      <w:r>
        <w:rPr>
          <w:spacing w:val="-7"/>
          <w:sz w:val="20"/>
        </w:rPr>
        <w:t> </w:t>
      </w:r>
      <w:r>
        <w:rPr>
          <w:sz w:val="20"/>
        </w:rPr>
        <w:t>de su</w:t>
      </w:r>
      <w:r>
        <w:rPr>
          <w:spacing w:val="-15"/>
          <w:sz w:val="20"/>
        </w:rPr>
        <w:t> </w:t>
      </w:r>
      <w:r>
        <w:rPr>
          <w:sz w:val="20"/>
        </w:rPr>
        <w:t>derecho</w:t>
      </w:r>
      <w:r>
        <w:rPr>
          <w:spacing w:val="-13"/>
          <w:sz w:val="20"/>
        </w:rPr>
        <w:t> </w:t>
      </w:r>
      <w:r>
        <w:rPr>
          <w:sz w:val="20"/>
        </w:rPr>
        <w:t>de</w:t>
      </w:r>
      <w:r>
        <w:rPr>
          <w:spacing w:val="-14"/>
          <w:sz w:val="20"/>
        </w:rPr>
        <w:t> </w:t>
      </w:r>
      <w:r>
        <w:rPr>
          <w:sz w:val="20"/>
        </w:rPr>
        <w:t>propiedad</w:t>
      </w:r>
      <w:r>
        <w:rPr>
          <w:spacing w:val="-12"/>
          <w:sz w:val="20"/>
        </w:rPr>
        <w:t> </w:t>
      </w:r>
      <w:r>
        <w:rPr>
          <w:sz w:val="20"/>
        </w:rPr>
        <w:t>y</w:t>
      </w:r>
      <w:r>
        <w:rPr>
          <w:spacing w:val="-15"/>
          <w:sz w:val="20"/>
        </w:rPr>
        <w:t> </w:t>
      </w:r>
      <w:r>
        <w:rPr>
          <w:sz w:val="20"/>
        </w:rPr>
        <w:t>han</w:t>
      </w:r>
      <w:r>
        <w:rPr>
          <w:spacing w:val="-14"/>
          <w:sz w:val="20"/>
        </w:rPr>
        <w:t> </w:t>
      </w:r>
      <w:r>
        <w:rPr>
          <w:sz w:val="20"/>
        </w:rPr>
        <w:t>quedado,</w:t>
      </w:r>
      <w:r>
        <w:rPr>
          <w:spacing w:val="-14"/>
          <w:sz w:val="20"/>
        </w:rPr>
        <w:t> </w:t>
      </w:r>
      <w:r>
        <w:rPr>
          <w:sz w:val="20"/>
        </w:rPr>
        <w:t>a</w:t>
      </w:r>
      <w:r>
        <w:rPr>
          <w:spacing w:val="-15"/>
          <w:sz w:val="20"/>
        </w:rPr>
        <w:t> </w:t>
      </w:r>
      <w:r>
        <w:rPr>
          <w:sz w:val="20"/>
        </w:rPr>
        <w:t>tal</w:t>
      </w:r>
      <w:r>
        <w:rPr>
          <w:spacing w:val="-12"/>
          <w:sz w:val="20"/>
        </w:rPr>
        <w:t> </w:t>
      </w:r>
      <w:r>
        <w:rPr>
          <w:sz w:val="20"/>
        </w:rPr>
        <w:t>efecto,</w:t>
      </w:r>
      <w:r>
        <w:rPr>
          <w:spacing w:val="-13"/>
          <w:sz w:val="20"/>
        </w:rPr>
        <w:t> </w:t>
      </w:r>
      <w:r>
        <w:rPr>
          <w:sz w:val="20"/>
        </w:rPr>
        <w:t>sujetas</w:t>
      </w:r>
      <w:r>
        <w:rPr>
          <w:spacing w:val="-13"/>
          <w:sz w:val="20"/>
        </w:rPr>
        <w:t> </w:t>
      </w:r>
      <w:r>
        <w:rPr>
          <w:sz w:val="20"/>
        </w:rPr>
        <w:t>al</w:t>
      </w:r>
      <w:r>
        <w:rPr>
          <w:spacing w:val="-15"/>
          <w:sz w:val="20"/>
        </w:rPr>
        <w:t> </w:t>
      </w:r>
      <w:r>
        <w:rPr>
          <w:sz w:val="20"/>
        </w:rPr>
        <w:t>avance</w:t>
      </w:r>
      <w:r>
        <w:rPr>
          <w:spacing w:val="-12"/>
          <w:sz w:val="20"/>
        </w:rPr>
        <w:t> </w:t>
      </w:r>
      <w:r>
        <w:rPr>
          <w:sz w:val="20"/>
        </w:rPr>
        <w:t>de</w:t>
      </w:r>
      <w:r>
        <w:rPr>
          <w:spacing w:val="-16"/>
          <w:sz w:val="20"/>
        </w:rPr>
        <w:t> </w:t>
      </w:r>
      <w:r>
        <w:rPr>
          <w:sz w:val="20"/>
        </w:rPr>
        <w:t>negociaciones y</w:t>
      </w:r>
      <w:r>
        <w:rPr>
          <w:spacing w:val="-9"/>
          <w:sz w:val="20"/>
        </w:rPr>
        <w:t> </w:t>
      </w:r>
      <w:r>
        <w:rPr>
          <w:sz w:val="20"/>
        </w:rPr>
        <w:t>a</w:t>
      </w:r>
      <w:r>
        <w:rPr>
          <w:spacing w:val="-9"/>
          <w:sz w:val="20"/>
        </w:rPr>
        <w:t> </w:t>
      </w:r>
      <w:r>
        <w:rPr>
          <w:sz w:val="20"/>
        </w:rPr>
        <w:t>decisiones</w:t>
      </w:r>
      <w:r>
        <w:rPr>
          <w:spacing w:val="-10"/>
          <w:sz w:val="20"/>
        </w:rPr>
        <w:t> </w:t>
      </w:r>
      <w:r>
        <w:rPr>
          <w:sz w:val="20"/>
        </w:rPr>
        <w:t>sobre</w:t>
      </w:r>
      <w:r>
        <w:rPr>
          <w:spacing w:val="-10"/>
          <w:sz w:val="20"/>
        </w:rPr>
        <w:t> </w:t>
      </w:r>
      <w:r>
        <w:rPr>
          <w:sz w:val="20"/>
        </w:rPr>
        <w:t>su</w:t>
      </w:r>
      <w:r>
        <w:rPr>
          <w:spacing w:val="-6"/>
          <w:sz w:val="20"/>
        </w:rPr>
        <w:t> </w:t>
      </w:r>
      <w:r>
        <w:rPr>
          <w:sz w:val="20"/>
        </w:rPr>
        <w:t>propiedad</w:t>
      </w:r>
      <w:r>
        <w:rPr>
          <w:spacing w:val="-8"/>
          <w:sz w:val="20"/>
        </w:rPr>
        <w:t> </w:t>
      </w:r>
      <w:r>
        <w:rPr>
          <w:sz w:val="20"/>
        </w:rPr>
        <w:t>por</w:t>
      </w:r>
      <w:r>
        <w:rPr>
          <w:spacing w:val="-10"/>
          <w:sz w:val="20"/>
        </w:rPr>
        <w:t> </w:t>
      </w:r>
      <w:r>
        <w:rPr>
          <w:sz w:val="20"/>
        </w:rPr>
        <w:t>medio</w:t>
      </w:r>
      <w:r>
        <w:rPr>
          <w:spacing w:val="-10"/>
          <w:sz w:val="20"/>
        </w:rPr>
        <w:t> </w:t>
      </w:r>
      <w:r>
        <w:rPr>
          <w:sz w:val="20"/>
        </w:rPr>
        <w:t>de</w:t>
      </w:r>
      <w:r>
        <w:rPr>
          <w:spacing w:val="-8"/>
          <w:sz w:val="20"/>
        </w:rPr>
        <w:t> </w:t>
      </w:r>
      <w:r>
        <w:rPr>
          <w:sz w:val="20"/>
        </w:rPr>
        <w:t>actos</w:t>
      </w:r>
      <w:r>
        <w:rPr>
          <w:spacing w:val="-10"/>
          <w:sz w:val="20"/>
        </w:rPr>
        <w:t> </w:t>
      </w:r>
      <w:r>
        <w:rPr>
          <w:sz w:val="20"/>
        </w:rPr>
        <w:t>gubernativos</w:t>
      </w:r>
      <w:r>
        <w:rPr>
          <w:spacing w:val="-10"/>
          <w:sz w:val="20"/>
        </w:rPr>
        <w:t> </w:t>
      </w:r>
      <w:r>
        <w:rPr>
          <w:sz w:val="20"/>
        </w:rPr>
        <w:t>potestativos</w:t>
      </w:r>
      <w:r>
        <w:rPr>
          <w:spacing w:val="-10"/>
          <w:sz w:val="20"/>
        </w:rPr>
        <w:t> </w:t>
      </w:r>
      <w:r>
        <w:rPr>
          <w:sz w:val="20"/>
        </w:rPr>
        <w:t>que,</w:t>
      </w:r>
      <w:r>
        <w:rPr>
          <w:spacing w:val="-9"/>
          <w:sz w:val="20"/>
        </w:rPr>
        <w:t> </w:t>
      </w:r>
      <w:r>
        <w:rPr>
          <w:sz w:val="20"/>
        </w:rPr>
        <w:t>en la práctica, luego de más de 28 años desde que se reclamara el reconocimiento de la propiedad, no han concretado adecuadamente su</w:t>
      </w:r>
      <w:r>
        <w:rPr>
          <w:spacing w:val="-25"/>
          <w:sz w:val="20"/>
        </w:rPr>
        <w:t> </w:t>
      </w:r>
      <w:r>
        <w:rPr>
          <w:sz w:val="20"/>
        </w:rPr>
        <w:t>derecho.</w:t>
      </w:r>
    </w:p>
    <w:p>
      <w:pPr>
        <w:pStyle w:val="BodyText"/>
      </w:pPr>
    </w:p>
    <w:p>
      <w:pPr>
        <w:spacing w:before="0"/>
        <w:ind w:left="1254" w:right="0" w:firstLine="0"/>
        <w:jc w:val="left"/>
        <w:rPr>
          <w:i/>
          <w:sz w:val="20"/>
        </w:rPr>
      </w:pPr>
      <w:bookmarkStart w:name="_bookmark50" w:id="85"/>
      <w:bookmarkEnd w:id="85"/>
      <w:r>
        <w:rPr/>
      </w:r>
      <w:r>
        <w:rPr>
          <w:i/>
          <w:sz w:val="20"/>
        </w:rPr>
        <w:t>B.2.3.3 Conclusión sobre el reconocimiento y determinación de la propiedad</w:t>
      </w:r>
    </w:p>
    <w:p>
      <w:pPr>
        <w:pStyle w:val="BodyText"/>
        <w:rPr>
          <w:i/>
        </w:rPr>
      </w:pPr>
    </w:p>
    <w:p>
      <w:pPr>
        <w:pStyle w:val="ListParagraph"/>
        <w:numPr>
          <w:ilvl w:val="0"/>
          <w:numId w:val="27"/>
        </w:numPr>
        <w:tabs>
          <w:tab w:pos="830" w:val="left" w:leader="none"/>
        </w:tabs>
        <w:spacing w:line="240" w:lineRule="auto" w:before="1" w:after="0"/>
        <w:ind w:left="122" w:right="126" w:firstLine="0"/>
        <w:jc w:val="both"/>
        <w:rPr>
          <w:sz w:val="20"/>
        </w:rPr>
      </w:pPr>
      <w:r>
        <w:rPr>
          <w:sz w:val="20"/>
        </w:rPr>
        <w:t>Como</w:t>
      </w:r>
      <w:r>
        <w:rPr>
          <w:spacing w:val="-13"/>
          <w:sz w:val="20"/>
        </w:rPr>
        <w:t> </w:t>
      </w:r>
      <w:r>
        <w:rPr>
          <w:sz w:val="20"/>
        </w:rPr>
        <w:t>conclusión</w:t>
      </w:r>
      <w:r>
        <w:rPr>
          <w:spacing w:val="-14"/>
          <w:sz w:val="20"/>
        </w:rPr>
        <w:t> </w:t>
      </w:r>
      <w:r>
        <w:rPr>
          <w:sz w:val="20"/>
        </w:rPr>
        <w:t>de</w:t>
      </w:r>
      <w:r>
        <w:rPr>
          <w:spacing w:val="-16"/>
          <w:sz w:val="20"/>
        </w:rPr>
        <w:t> </w:t>
      </w:r>
      <w:r>
        <w:rPr>
          <w:sz w:val="20"/>
        </w:rPr>
        <w:t>todo</w:t>
      </w:r>
      <w:r>
        <w:rPr>
          <w:spacing w:val="-16"/>
          <w:sz w:val="20"/>
        </w:rPr>
        <w:t> </w:t>
      </w:r>
      <w:r>
        <w:rPr>
          <w:sz w:val="20"/>
        </w:rPr>
        <w:t>lo</w:t>
      </w:r>
      <w:r>
        <w:rPr>
          <w:spacing w:val="-16"/>
          <w:sz w:val="20"/>
        </w:rPr>
        <w:t> </w:t>
      </w:r>
      <w:r>
        <w:rPr>
          <w:sz w:val="20"/>
        </w:rPr>
        <w:t>expuesto,</w:t>
      </w:r>
      <w:r>
        <w:rPr>
          <w:spacing w:val="-16"/>
          <w:sz w:val="20"/>
        </w:rPr>
        <w:t> </w:t>
      </w:r>
      <w:r>
        <w:rPr>
          <w:sz w:val="20"/>
        </w:rPr>
        <w:t>la</w:t>
      </w:r>
      <w:r>
        <w:rPr>
          <w:spacing w:val="-15"/>
          <w:sz w:val="20"/>
        </w:rPr>
        <w:t> </w:t>
      </w:r>
      <w:r>
        <w:rPr>
          <w:sz w:val="20"/>
        </w:rPr>
        <w:t>Corte</w:t>
      </w:r>
      <w:r>
        <w:rPr>
          <w:spacing w:val="-16"/>
          <w:sz w:val="20"/>
        </w:rPr>
        <w:t> </w:t>
      </w:r>
      <w:r>
        <w:rPr>
          <w:sz w:val="20"/>
        </w:rPr>
        <w:t>constata</w:t>
      </w:r>
      <w:r>
        <w:rPr>
          <w:spacing w:val="-15"/>
          <w:sz w:val="20"/>
        </w:rPr>
        <w:t> </w:t>
      </w:r>
      <w:r>
        <w:rPr>
          <w:sz w:val="20"/>
        </w:rPr>
        <w:t>que</w:t>
      </w:r>
      <w:r>
        <w:rPr>
          <w:spacing w:val="-13"/>
          <w:sz w:val="20"/>
        </w:rPr>
        <w:t> </w:t>
      </w:r>
      <w:r>
        <w:rPr>
          <w:sz w:val="20"/>
        </w:rPr>
        <w:t>los</w:t>
      </w:r>
      <w:r>
        <w:rPr>
          <w:spacing w:val="-16"/>
          <w:sz w:val="20"/>
        </w:rPr>
        <w:t> </w:t>
      </w:r>
      <w:r>
        <w:rPr>
          <w:sz w:val="20"/>
        </w:rPr>
        <w:t>Decretos</w:t>
      </w:r>
      <w:r>
        <w:rPr>
          <w:spacing w:val="-16"/>
          <w:sz w:val="20"/>
        </w:rPr>
        <w:t> </w:t>
      </w:r>
      <w:r>
        <w:rPr>
          <w:sz w:val="20"/>
        </w:rPr>
        <w:t>2786/07 y 1498/14 constituyen actos de reconocimiento de la propiedad comunitaria sobre la tierra</w:t>
      </w:r>
      <w:r>
        <w:rPr>
          <w:spacing w:val="-7"/>
          <w:sz w:val="20"/>
        </w:rPr>
        <w:t> </w:t>
      </w:r>
      <w:r>
        <w:rPr>
          <w:sz w:val="20"/>
        </w:rPr>
        <w:t>reclamada.</w:t>
      </w:r>
      <w:r>
        <w:rPr>
          <w:spacing w:val="-7"/>
          <w:sz w:val="20"/>
        </w:rPr>
        <w:t> </w:t>
      </w:r>
      <w:r>
        <w:rPr>
          <w:sz w:val="20"/>
        </w:rPr>
        <w:t>No</w:t>
      </w:r>
      <w:r>
        <w:rPr>
          <w:spacing w:val="-8"/>
          <w:sz w:val="20"/>
        </w:rPr>
        <w:t> </w:t>
      </w:r>
      <w:r>
        <w:rPr>
          <w:sz w:val="20"/>
        </w:rPr>
        <w:t>obstante,</w:t>
      </w:r>
      <w:r>
        <w:rPr>
          <w:spacing w:val="-10"/>
          <w:sz w:val="20"/>
        </w:rPr>
        <w:t> </w:t>
      </w:r>
      <w:r>
        <w:rPr>
          <w:sz w:val="20"/>
        </w:rPr>
        <w:t>el</w:t>
      </w:r>
      <w:r>
        <w:rPr>
          <w:spacing w:val="-7"/>
          <w:sz w:val="20"/>
        </w:rPr>
        <w:t> </w:t>
      </w:r>
      <w:r>
        <w:rPr>
          <w:sz w:val="20"/>
        </w:rPr>
        <w:t>Estado</w:t>
      </w:r>
      <w:r>
        <w:rPr>
          <w:spacing w:val="-10"/>
          <w:sz w:val="20"/>
        </w:rPr>
        <w:t> </w:t>
      </w:r>
      <w:r>
        <w:rPr>
          <w:sz w:val="20"/>
        </w:rPr>
        <w:t>no</w:t>
      </w:r>
      <w:r>
        <w:rPr>
          <w:spacing w:val="-10"/>
          <w:sz w:val="20"/>
        </w:rPr>
        <w:t> </w:t>
      </w:r>
      <w:r>
        <w:rPr>
          <w:sz w:val="20"/>
        </w:rPr>
        <w:t>ha</w:t>
      </w:r>
      <w:r>
        <w:rPr>
          <w:spacing w:val="-7"/>
          <w:sz w:val="20"/>
        </w:rPr>
        <w:t> </w:t>
      </w:r>
      <w:r>
        <w:rPr>
          <w:sz w:val="20"/>
        </w:rPr>
        <w:t>titulado</w:t>
      </w:r>
      <w:r>
        <w:rPr>
          <w:spacing w:val="-10"/>
          <w:sz w:val="20"/>
        </w:rPr>
        <w:t> </w:t>
      </w:r>
      <w:r>
        <w:rPr>
          <w:sz w:val="20"/>
        </w:rPr>
        <w:t>la</w:t>
      </w:r>
      <w:r>
        <w:rPr>
          <w:spacing w:val="-9"/>
          <w:sz w:val="20"/>
        </w:rPr>
        <w:t> </w:t>
      </w:r>
      <w:r>
        <w:rPr>
          <w:sz w:val="20"/>
        </w:rPr>
        <w:t>misma</w:t>
      </w:r>
      <w:r>
        <w:rPr>
          <w:spacing w:val="-9"/>
          <w:sz w:val="20"/>
        </w:rPr>
        <w:t> </w:t>
      </w:r>
      <w:r>
        <w:rPr>
          <w:sz w:val="20"/>
        </w:rPr>
        <w:t>de</w:t>
      </w:r>
      <w:r>
        <w:rPr>
          <w:spacing w:val="-8"/>
          <w:sz w:val="20"/>
        </w:rPr>
        <w:t> </w:t>
      </w:r>
      <w:r>
        <w:rPr>
          <w:sz w:val="20"/>
        </w:rPr>
        <w:t>forma</w:t>
      </w:r>
      <w:r>
        <w:rPr>
          <w:spacing w:val="-9"/>
          <w:sz w:val="20"/>
        </w:rPr>
        <w:t> </w:t>
      </w:r>
      <w:r>
        <w:rPr>
          <w:sz w:val="20"/>
        </w:rPr>
        <w:t>adecuada,</w:t>
      </w:r>
      <w:r>
        <w:rPr>
          <w:spacing w:val="-7"/>
          <w:sz w:val="20"/>
        </w:rPr>
        <w:t> </w:t>
      </w:r>
      <w:r>
        <w:rPr>
          <w:sz w:val="20"/>
        </w:rPr>
        <w:t>de modo de dotarla de seguridad jurídica. El territorio no se ha demarcado y subsiste la permanencia de terceros. Argentina, además, no cuenta con normativa adecuada para garantizar en forma suficiente el derecho de propiedad</w:t>
      </w:r>
      <w:r>
        <w:rPr>
          <w:spacing w:val="-27"/>
          <w:sz w:val="20"/>
        </w:rPr>
        <w:t> </w:t>
      </w:r>
      <w:r>
        <w:rPr>
          <w:sz w:val="20"/>
        </w:rPr>
        <w:t>comunitaria.</w:t>
      </w:r>
    </w:p>
    <w:p>
      <w:pPr>
        <w:pStyle w:val="BodyText"/>
        <w:spacing w:before="1"/>
      </w:pPr>
    </w:p>
    <w:p>
      <w:pPr>
        <w:pStyle w:val="ListParagraph"/>
        <w:numPr>
          <w:ilvl w:val="0"/>
          <w:numId w:val="27"/>
        </w:numPr>
        <w:tabs>
          <w:tab w:pos="830" w:val="left" w:leader="none"/>
        </w:tabs>
        <w:spacing w:line="240" w:lineRule="auto" w:before="0" w:after="0"/>
        <w:ind w:left="122" w:right="127" w:firstLine="0"/>
        <w:jc w:val="both"/>
        <w:rPr>
          <w:sz w:val="20"/>
        </w:rPr>
      </w:pPr>
      <w:r>
        <w:rPr>
          <w:sz w:val="20"/>
        </w:rPr>
        <w:t>Por lo expuesto, la Corte determina que el Estado violó, en perjuicio de las comunidades indígenas víctimas en este caso (</w:t>
      </w:r>
      <w:r>
        <w:rPr>
          <w:i/>
          <w:sz w:val="20"/>
        </w:rPr>
        <w:t>supra </w:t>
      </w:r>
      <w:r>
        <w:rPr>
          <w:sz w:val="20"/>
        </w:rPr>
        <w:t>párr. 35 y Anexo V a la presente Sentencia), el derecho de propiedad en relación con el derecho a contar con procedimientos adecuados y con las obligaciones de garantizar los derechos y adoptar disposiciones de derecho interno. Por ello, Argentina incumplió el artículo 21 de la Convención en relación con sus artículos 8.1, 25.1, 1.1 y</w:t>
      </w:r>
      <w:r>
        <w:rPr>
          <w:spacing w:val="-24"/>
          <w:sz w:val="20"/>
        </w:rPr>
        <w:t> </w:t>
      </w:r>
      <w:r>
        <w:rPr>
          <w:sz w:val="20"/>
        </w:rPr>
        <w:t>2.</w:t>
      </w:r>
    </w:p>
    <w:p>
      <w:pPr>
        <w:pStyle w:val="BodyText"/>
      </w:pPr>
    </w:p>
    <w:p>
      <w:pPr>
        <w:pStyle w:val="BodyText"/>
      </w:pPr>
    </w:p>
    <w:p>
      <w:pPr>
        <w:pStyle w:val="BodyText"/>
      </w:pPr>
    </w:p>
    <w:p>
      <w:pPr>
        <w:pStyle w:val="BodyText"/>
      </w:pPr>
    </w:p>
    <w:p>
      <w:pPr>
        <w:pStyle w:val="BodyText"/>
        <w:spacing w:before="4"/>
        <w:rPr>
          <w:sz w:val="17"/>
        </w:rPr>
      </w:pPr>
      <w:r>
        <w:rPr/>
        <w:pict>
          <v:line style="position:absolute;mso-position-horizontal-relative:page;mso-position-vertical-relative:paragraph;z-index:2296;mso-wrap-distance-left:0;mso-wrap-distance-right:0" from="85.103996pt,12.89848pt" to="229.123996pt,12.89848pt" stroked="true" strokeweight=".72pt" strokecolor="#000000">
            <v:stroke dashstyle="solid"/>
            <w10:wrap type="topAndBottom"/>
          </v:line>
        </w:pict>
      </w:r>
    </w:p>
    <w:p>
      <w:pPr>
        <w:tabs>
          <w:tab w:pos="829" w:val="left" w:leader="none"/>
        </w:tabs>
        <w:spacing w:before="71"/>
        <w:ind w:left="122" w:right="112" w:firstLine="0"/>
        <w:jc w:val="both"/>
        <w:rPr>
          <w:sz w:val="16"/>
        </w:rPr>
      </w:pPr>
      <w:r>
        <w:rPr>
          <w:position w:val="6"/>
          <w:sz w:val="10"/>
        </w:rPr>
        <w:t>153</w:t>
        <w:tab/>
      </w:r>
      <w:r>
        <w:rPr>
          <w:sz w:val="16"/>
        </w:rPr>
        <w:t>En forma coadyuvante a lo anterior, este Tribunal advierte que, como surge de una</w:t>
      </w:r>
      <w:r>
        <w:rPr>
          <w:spacing w:val="27"/>
          <w:sz w:val="16"/>
        </w:rPr>
        <w:t> </w:t>
      </w:r>
      <w:r>
        <w:rPr>
          <w:sz w:val="16"/>
        </w:rPr>
        <w:t>decisión</w:t>
      </w:r>
      <w:r>
        <w:rPr>
          <w:spacing w:val="3"/>
          <w:sz w:val="16"/>
        </w:rPr>
        <w:t> </w:t>
      </w:r>
      <w:r>
        <w:rPr>
          <w:sz w:val="16"/>
        </w:rPr>
        <w:t>judicial</w:t>
      </w:r>
      <w:r>
        <w:rPr>
          <w:w w:val="100"/>
          <w:sz w:val="16"/>
        </w:rPr>
        <w:t> </w:t>
      </w:r>
      <w:r>
        <w:rPr>
          <w:sz w:val="16"/>
        </w:rPr>
        <w:t>interna de 2018, incluso después de la reforma constitucional de 1994 que reconoció expresamente derechos de pueblos indígenas (</w:t>
      </w:r>
      <w:r>
        <w:rPr>
          <w:i/>
          <w:sz w:val="16"/>
        </w:rPr>
        <w:t>supra </w:t>
      </w:r>
      <w:r>
        <w:rPr>
          <w:sz w:val="16"/>
        </w:rPr>
        <w:t>párr. 54), el PEN sostuvo ante autoridades jurisdiccionales que, por sí mismas, las facultades del INAI (previstas a partir del régimen instituido por la ley 23.302 y el Decreto 155/89), son insuficientes para concretar el pleno reconocimiento de la propiedad indígena, y que resulta necesaria la adopción de una ley por parte del Poder Legislativo nacional. En la sentencia aludida consta que el PEN argumentó que “el INAI no cuenta con una ley especial de títulos comunitarios que reglamente un plan de adjudicación de tierras”, que hace falta una “ley especial” (que no consta que se haya dictado) para el reconocimiento del derecho de propiedad comunitaria. En ese caso, frente al reclamo de propiedad de una comunidad indígena, el PEN sostuvo que había hecho todo lo que “por ley le corresponde, es decir, dar por cumplido el Relevamiento Técnico, Jurídico y Catastral, razón por la cual para instrumentar la posesión y propiedad comunitaria es el Congreso el encargado de dictar una ley especial a tal fin” (</w:t>
      </w:r>
      <w:r>
        <w:rPr>
          <w:i/>
          <w:sz w:val="16"/>
        </w:rPr>
        <w:t>cfr. Cámara </w:t>
      </w:r>
      <w:r>
        <w:rPr>
          <w:i/>
          <w:sz w:val="16"/>
        </w:rPr>
        <w:t>Contencioso Administrativo Federal, Sala III, Comunidad Mapuche Trypayantu c/ EN – INAI s/ Proceso de conocimiento. </w:t>
      </w:r>
      <w:r>
        <w:rPr>
          <w:sz w:val="16"/>
        </w:rPr>
        <w:t>Sentencia de 22 de noviembre de 2018, considerandos I y II). En forma concordante se pronunciaron la AADI y el SERPAJ en su escrito de </w:t>
      </w:r>
      <w:r>
        <w:rPr>
          <w:i/>
          <w:sz w:val="16"/>
        </w:rPr>
        <w:t>amicus curiae, </w:t>
      </w:r>
      <w:r>
        <w:rPr>
          <w:sz w:val="16"/>
        </w:rPr>
        <w:t>expresando que pese a la suspensión de desalojos ordenada por la ley 26.160, de igual forma se han producido desalojos ya que “no todos los jueces provinciales interpretan la norma de la misma</w:t>
      </w:r>
      <w:r>
        <w:rPr>
          <w:spacing w:val="-15"/>
          <w:sz w:val="16"/>
        </w:rPr>
        <w:t> </w:t>
      </w:r>
      <w:r>
        <w:rPr>
          <w:sz w:val="16"/>
        </w:rPr>
        <w:t>manera”.</w:t>
      </w:r>
    </w:p>
    <w:p>
      <w:pPr>
        <w:pStyle w:val="BodyText"/>
        <w:spacing w:before="11"/>
        <w:rPr>
          <w:sz w:val="15"/>
        </w:rPr>
      </w:pPr>
    </w:p>
    <w:p>
      <w:pPr>
        <w:tabs>
          <w:tab w:pos="829" w:val="left" w:leader="none"/>
        </w:tabs>
        <w:spacing w:line="240" w:lineRule="auto" w:before="0"/>
        <w:ind w:left="122" w:right="116" w:firstLine="0"/>
        <w:jc w:val="both"/>
        <w:rPr>
          <w:sz w:val="16"/>
        </w:rPr>
      </w:pPr>
      <w:r>
        <w:rPr>
          <w:position w:val="6"/>
          <w:sz w:val="10"/>
        </w:rPr>
        <w:t>154</w:t>
        <w:tab/>
      </w:r>
      <w:r>
        <w:rPr>
          <w:sz w:val="16"/>
        </w:rPr>
        <w:t>En</w:t>
      </w:r>
      <w:r>
        <w:rPr>
          <w:spacing w:val="17"/>
          <w:sz w:val="16"/>
        </w:rPr>
        <w:t> </w:t>
      </w:r>
      <w:r>
        <w:rPr>
          <w:sz w:val="16"/>
        </w:rPr>
        <w:t>forma</w:t>
      </w:r>
      <w:r>
        <w:rPr>
          <w:spacing w:val="16"/>
          <w:sz w:val="16"/>
        </w:rPr>
        <w:t> </w:t>
      </w:r>
      <w:r>
        <w:rPr>
          <w:sz w:val="16"/>
        </w:rPr>
        <w:t>concordante,</w:t>
      </w:r>
      <w:r>
        <w:rPr>
          <w:spacing w:val="17"/>
          <w:sz w:val="16"/>
        </w:rPr>
        <w:t> </w:t>
      </w:r>
      <w:r>
        <w:rPr>
          <w:sz w:val="16"/>
        </w:rPr>
        <w:t>el</w:t>
      </w:r>
      <w:r>
        <w:rPr>
          <w:spacing w:val="17"/>
          <w:sz w:val="16"/>
        </w:rPr>
        <w:t> </w:t>
      </w:r>
      <w:r>
        <w:rPr>
          <w:sz w:val="16"/>
        </w:rPr>
        <w:t>escrito</w:t>
      </w:r>
      <w:r>
        <w:rPr>
          <w:spacing w:val="19"/>
          <w:sz w:val="16"/>
        </w:rPr>
        <w:t> </w:t>
      </w:r>
      <w:r>
        <w:rPr>
          <w:sz w:val="16"/>
        </w:rPr>
        <w:t>de</w:t>
      </w:r>
      <w:r>
        <w:rPr>
          <w:spacing w:val="21"/>
          <w:sz w:val="16"/>
        </w:rPr>
        <w:t> </w:t>
      </w:r>
      <w:r>
        <w:rPr>
          <w:i/>
          <w:sz w:val="16"/>
        </w:rPr>
        <w:t>amicus</w:t>
      </w:r>
      <w:r>
        <w:rPr>
          <w:i/>
          <w:spacing w:val="17"/>
          <w:sz w:val="16"/>
        </w:rPr>
        <w:t> </w:t>
      </w:r>
      <w:r>
        <w:rPr>
          <w:i/>
          <w:sz w:val="16"/>
        </w:rPr>
        <w:t>curiae</w:t>
      </w:r>
      <w:r>
        <w:rPr>
          <w:i/>
          <w:spacing w:val="17"/>
          <w:sz w:val="16"/>
        </w:rPr>
        <w:t> </w:t>
      </w:r>
      <w:r>
        <w:rPr>
          <w:sz w:val="16"/>
        </w:rPr>
        <w:t>presentado</w:t>
      </w:r>
      <w:r>
        <w:rPr>
          <w:spacing w:val="17"/>
          <w:sz w:val="16"/>
        </w:rPr>
        <w:t> </w:t>
      </w:r>
      <w:r>
        <w:rPr>
          <w:sz w:val="16"/>
        </w:rPr>
        <w:t>por</w:t>
      </w:r>
      <w:r>
        <w:rPr>
          <w:spacing w:val="17"/>
          <w:sz w:val="16"/>
        </w:rPr>
        <w:t> </w:t>
      </w:r>
      <w:r>
        <w:rPr>
          <w:sz w:val="16"/>
        </w:rPr>
        <w:t>AADI</w:t>
      </w:r>
      <w:r>
        <w:rPr>
          <w:spacing w:val="16"/>
          <w:sz w:val="16"/>
        </w:rPr>
        <w:t> </w:t>
      </w:r>
      <w:r>
        <w:rPr>
          <w:sz w:val="16"/>
        </w:rPr>
        <w:t>y</w:t>
      </w:r>
      <w:r>
        <w:rPr>
          <w:spacing w:val="17"/>
          <w:sz w:val="16"/>
        </w:rPr>
        <w:t> </w:t>
      </w:r>
      <w:r>
        <w:rPr>
          <w:sz w:val="16"/>
        </w:rPr>
        <w:t>SERPAJ</w:t>
      </w:r>
      <w:r>
        <w:rPr>
          <w:spacing w:val="17"/>
          <w:sz w:val="16"/>
        </w:rPr>
        <w:t> </w:t>
      </w:r>
      <w:r>
        <w:rPr>
          <w:sz w:val="16"/>
        </w:rPr>
        <w:t>afirma</w:t>
      </w:r>
      <w:r>
        <w:rPr>
          <w:spacing w:val="17"/>
          <w:sz w:val="16"/>
        </w:rPr>
        <w:t> </w:t>
      </w:r>
      <w:r>
        <w:rPr>
          <w:sz w:val="16"/>
        </w:rPr>
        <w:t>que</w:t>
      </w:r>
      <w:r>
        <w:rPr>
          <w:spacing w:val="17"/>
          <w:sz w:val="16"/>
        </w:rPr>
        <w:t> </w:t>
      </w:r>
      <w:r>
        <w:rPr>
          <w:sz w:val="16"/>
        </w:rPr>
        <w:t>“no</w:t>
      </w:r>
      <w:r>
        <w:rPr>
          <w:w w:val="100"/>
          <w:sz w:val="16"/>
        </w:rPr>
        <w:t> </w:t>
      </w:r>
      <w:r>
        <w:rPr>
          <w:sz w:val="16"/>
        </w:rPr>
        <w:t>existe actualmente, tanto a nivel nacional como de la Provincia de Salta, una normativa que regule e implemente la propiedad comunitaria indígena, ni que establezca algún procedimiento, sea administrativo o judicial,</w:t>
      </w:r>
      <w:r>
        <w:rPr>
          <w:spacing w:val="-4"/>
          <w:sz w:val="16"/>
        </w:rPr>
        <w:t> </w:t>
      </w:r>
      <w:r>
        <w:rPr>
          <w:sz w:val="16"/>
        </w:rPr>
        <w:t>a</w:t>
      </w:r>
      <w:r>
        <w:rPr>
          <w:spacing w:val="-3"/>
          <w:sz w:val="16"/>
        </w:rPr>
        <w:t> </w:t>
      </w:r>
      <w:r>
        <w:rPr>
          <w:sz w:val="16"/>
        </w:rPr>
        <w:t>través</w:t>
      </w:r>
      <w:r>
        <w:rPr>
          <w:spacing w:val="-5"/>
          <w:sz w:val="16"/>
        </w:rPr>
        <w:t> </w:t>
      </w:r>
      <w:r>
        <w:rPr>
          <w:sz w:val="16"/>
        </w:rPr>
        <w:t>del</w:t>
      </w:r>
      <w:r>
        <w:rPr>
          <w:spacing w:val="-3"/>
          <w:sz w:val="16"/>
        </w:rPr>
        <w:t> </w:t>
      </w:r>
      <w:r>
        <w:rPr>
          <w:sz w:val="16"/>
        </w:rPr>
        <w:t>cual</w:t>
      </w:r>
      <w:r>
        <w:rPr>
          <w:spacing w:val="-6"/>
          <w:sz w:val="16"/>
        </w:rPr>
        <w:t> </w:t>
      </w:r>
      <w:r>
        <w:rPr>
          <w:sz w:val="16"/>
        </w:rPr>
        <w:t>se</w:t>
      </w:r>
      <w:r>
        <w:rPr>
          <w:spacing w:val="-4"/>
          <w:sz w:val="16"/>
        </w:rPr>
        <w:t> </w:t>
      </w:r>
      <w:r>
        <w:rPr>
          <w:sz w:val="16"/>
        </w:rPr>
        <w:t>fijen</w:t>
      </w:r>
      <w:r>
        <w:rPr>
          <w:spacing w:val="-3"/>
          <w:sz w:val="16"/>
        </w:rPr>
        <w:t> </w:t>
      </w:r>
      <w:r>
        <w:rPr>
          <w:sz w:val="16"/>
        </w:rPr>
        <w:t>reglas</w:t>
      </w:r>
      <w:r>
        <w:rPr>
          <w:spacing w:val="-5"/>
          <w:sz w:val="16"/>
        </w:rPr>
        <w:t> </w:t>
      </w:r>
      <w:r>
        <w:rPr>
          <w:sz w:val="16"/>
        </w:rPr>
        <w:t>claras</w:t>
      </w:r>
      <w:r>
        <w:rPr>
          <w:spacing w:val="-5"/>
          <w:sz w:val="16"/>
        </w:rPr>
        <w:t> </w:t>
      </w:r>
      <w:r>
        <w:rPr>
          <w:sz w:val="16"/>
        </w:rPr>
        <w:t>y</w:t>
      </w:r>
      <w:r>
        <w:rPr>
          <w:spacing w:val="-4"/>
          <w:sz w:val="16"/>
        </w:rPr>
        <w:t> </w:t>
      </w:r>
      <w:r>
        <w:rPr>
          <w:sz w:val="16"/>
        </w:rPr>
        <w:t>simples</w:t>
      </w:r>
      <w:r>
        <w:rPr>
          <w:spacing w:val="-5"/>
          <w:sz w:val="16"/>
        </w:rPr>
        <w:t> </w:t>
      </w:r>
      <w:r>
        <w:rPr>
          <w:sz w:val="16"/>
        </w:rPr>
        <w:t>a</w:t>
      </w:r>
      <w:r>
        <w:rPr>
          <w:spacing w:val="-6"/>
          <w:sz w:val="16"/>
        </w:rPr>
        <w:t> </w:t>
      </w:r>
      <w:r>
        <w:rPr>
          <w:sz w:val="16"/>
        </w:rPr>
        <w:t>fin</w:t>
      </w:r>
      <w:r>
        <w:rPr>
          <w:spacing w:val="-4"/>
          <w:sz w:val="16"/>
        </w:rPr>
        <w:t> </w:t>
      </w:r>
      <w:r>
        <w:rPr>
          <w:sz w:val="16"/>
        </w:rPr>
        <w:t>de</w:t>
      </w:r>
      <w:r>
        <w:rPr>
          <w:spacing w:val="-5"/>
          <w:sz w:val="16"/>
        </w:rPr>
        <w:t> </w:t>
      </w:r>
      <w:r>
        <w:rPr>
          <w:sz w:val="16"/>
        </w:rPr>
        <w:t>que</w:t>
      </w:r>
      <w:r>
        <w:rPr>
          <w:spacing w:val="-5"/>
          <w:sz w:val="16"/>
        </w:rPr>
        <w:t> </w:t>
      </w:r>
      <w:r>
        <w:rPr>
          <w:sz w:val="16"/>
        </w:rPr>
        <w:t>los</w:t>
      </w:r>
      <w:r>
        <w:rPr>
          <w:spacing w:val="-5"/>
          <w:sz w:val="16"/>
        </w:rPr>
        <w:t> </w:t>
      </w:r>
      <w:r>
        <w:rPr>
          <w:sz w:val="16"/>
        </w:rPr>
        <w:t>pueblos</w:t>
      </w:r>
      <w:r>
        <w:rPr>
          <w:spacing w:val="-5"/>
          <w:sz w:val="16"/>
        </w:rPr>
        <w:t> </w:t>
      </w:r>
      <w:r>
        <w:rPr>
          <w:sz w:val="16"/>
        </w:rPr>
        <w:t>indígenas</w:t>
      </w:r>
      <w:r>
        <w:rPr>
          <w:spacing w:val="-2"/>
          <w:sz w:val="16"/>
        </w:rPr>
        <w:t> </w:t>
      </w:r>
      <w:r>
        <w:rPr>
          <w:sz w:val="16"/>
        </w:rPr>
        <w:t>puedan</w:t>
      </w:r>
      <w:r>
        <w:rPr>
          <w:spacing w:val="-4"/>
          <w:sz w:val="16"/>
        </w:rPr>
        <w:t> </w:t>
      </w:r>
      <w:r>
        <w:rPr>
          <w:sz w:val="16"/>
        </w:rPr>
        <w:t>tramitar</w:t>
      </w:r>
      <w:r>
        <w:rPr>
          <w:spacing w:val="-4"/>
          <w:sz w:val="16"/>
        </w:rPr>
        <w:t> </w:t>
      </w:r>
      <w:r>
        <w:rPr>
          <w:sz w:val="16"/>
        </w:rPr>
        <w:t>el reconocimiento de sus territorios tradicionales, proponiendo la demarcación, titulación y registro de los mismos”.</w:t>
      </w:r>
    </w:p>
    <w:p>
      <w:pPr>
        <w:spacing w:after="0" w:line="240" w:lineRule="auto"/>
        <w:jc w:val="both"/>
        <w:rPr>
          <w:sz w:val="16"/>
        </w:rPr>
        <w:sectPr>
          <w:pgSz w:w="12240" w:h="15840"/>
          <w:pgMar w:header="0" w:footer="1000" w:top="1340" w:bottom="1200" w:left="1580" w:right="1580"/>
        </w:sectPr>
      </w:pPr>
    </w:p>
    <w:p>
      <w:pPr>
        <w:pStyle w:val="Heading4"/>
        <w:numPr>
          <w:ilvl w:val="0"/>
          <w:numId w:val="23"/>
        </w:numPr>
        <w:tabs>
          <w:tab w:pos="830" w:val="left" w:leader="none"/>
        </w:tabs>
        <w:spacing w:line="242" w:lineRule="auto" w:before="76" w:after="0"/>
        <w:ind w:left="405" w:right="124" w:firstLine="0"/>
        <w:jc w:val="left"/>
      </w:pPr>
      <w:bookmarkStart w:name="_bookmark51" w:id="86"/>
      <w:bookmarkEnd w:id="86"/>
      <w:r>
        <w:rPr>
          <w:b w:val="0"/>
          <w:i w:val="0"/>
        </w:rPr>
      </w:r>
      <w:bookmarkStart w:name="_bookmark51" w:id="87"/>
      <w:bookmarkEnd w:id="87"/>
      <w:r>
        <w:rPr>
          <w:i/>
          <w:u w:val="thick"/>
        </w:rPr>
        <w:t>De</w:t>
      </w:r>
      <w:r>
        <w:rPr>
          <w:i/>
          <w:u w:val="thick"/>
        </w:rPr>
        <w:t>recho a la participación en relación con proyectos u obras sobre la </w:t>
      </w:r>
      <w:r>
        <w:rPr>
          <w:u w:val="thick"/>
        </w:rPr>
        <w:t>propiedad</w:t>
      </w:r>
      <w:r>
        <w:rPr>
          <w:spacing w:val="-11"/>
          <w:u w:val="thick"/>
        </w:rPr>
        <w:t> </w:t>
      </w:r>
      <w:r>
        <w:rPr>
          <w:u w:val="thick"/>
        </w:rPr>
        <w:t>comunitaria</w:t>
      </w:r>
    </w:p>
    <w:p>
      <w:pPr>
        <w:pStyle w:val="BodyText"/>
        <w:spacing w:before="5"/>
        <w:rPr>
          <w:b/>
          <w:i/>
          <w:sz w:val="11"/>
        </w:rPr>
      </w:pPr>
    </w:p>
    <w:p>
      <w:pPr>
        <w:pStyle w:val="ListParagraph"/>
        <w:numPr>
          <w:ilvl w:val="0"/>
          <w:numId w:val="27"/>
        </w:numPr>
        <w:tabs>
          <w:tab w:pos="830" w:val="left" w:leader="none"/>
        </w:tabs>
        <w:spacing w:line="240" w:lineRule="auto" w:before="100" w:after="0"/>
        <w:ind w:left="122" w:right="129" w:firstLine="0"/>
        <w:jc w:val="both"/>
        <w:rPr>
          <w:sz w:val="20"/>
        </w:rPr>
      </w:pPr>
      <w:r>
        <w:rPr>
          <w:sz w:val="20"/>
        </w:rPr>
        <w:t>Resta</w:t>
      </w:r>
      <w:r>
        <w:rPr>
          <w:spacing w:val="-16"/>
          <w:sz w:val="20"/>
        </w:rPr>
        <w:t> </w:t>
      </w:r>
      <w:r>
        <w:rPr>
          <w:sz w:val="20"/>
        </w:rPr>
        <w:t>considerar,</w:t>
      </w:r>
      <w:r>
        <w:rPr>
          <w:spacing w:val="-15"/>
          <w:sz w:val="20"/>
        </w:rPr>
        <w:t> </w:t>
      </w:r>
      <w:r>
        <w:rPr>
          <w:sz w:val="20"/>
        </w:rPr>
        <w:t>en</w:t>
      </w:r>
      <w:r>
        <w:rPr>
          <w:spacing w:val="-18"/>
          <w:sz w:val="20"/>
        </w:rPr>
        <w:t> </w:t>
      </w:r>
      <w:r>
        <w:rPr>
          <w:sz w:val="20"/>
        </w:rPr>
        <w:t>relación</w:t>
      </w:r>
      <w:r>
        <w:rPr>
          <w:spacing w:val="-15"/>
          <w:sz w:val="20"/>
        </w:rPr>
        <w:t> </w:t>
      </w:r>
      <w:r>
        <w:rPr>
          <w:sz w:val="20"/>
        </w:rPr>
        <w:t>con</w:t>
      </w:r>
      <w:r>
        <w:rPr>
          <w:spacing w:val="-15"/>
          <w:sz w:val="20"/>
        </w:rPr>
        <w:t> </w:t>
      </w:r>
      <w:r>
        <w:rPr>
          <w:sz w:val="20"/>
        </w:rPr>
        <w:t>el</w:t>
      </w:r>
      <w:r>
        <w:rPr>
          <w:spacing w:val="-18"/>
          <w:sz w:val="20"/>
        </w:rPr>
        <w:t> </w:t>
      </w:r>
      <w:r>
        <w:rPr>
          <w:sz w:val="20"/>
        </w:rPr>
        <w:t>derecho</w:t>
      </w:r>
      <w:r>
        <w:rPr>
          <w:spacing w:val="-20"/>
          <w:sz w:val="20"/>
        </w:rPr>
        <w:t> </w:t>
      </w:r>
      <w:r>
        <w:rPr>
          <w:sz w:val="20"/>
        </w:rPr>
        <w:t>de</w:t>
      </w:r>
      <w:r>
        <w:rPr>
          <w:spacing w:val="-17"/>
          <w:sz w:val="20"/>
        </w:rPr>
        <w:t> </w:t>
      </w:r>
      <w:r>
        <w:rPr>
          <w:sz w:val="20"/>
        </w:rPr>
        <w:t>propiedad,</w:t>
      </w:r>
      <w:r>
        <w:rPr>
          <w:spacing w:val="-19"/>
          <w:sz w:val="20"/>
        </w:rPr>
        <w:t> </w:t>
      </w:r>
      <w:r>
        <w:rPr>
          <w:sz w:val="20"/>
        </w:rPr>
        <w:t>proyectos</w:t>
      </w:r>
      <w:r>
        <w:rPr>
          <w:spacing w:val="-17"/>
          <w:sz w:val="20"/>
        </w:rPr>
        <w:t> </w:t>
      </w:r>
      <w:r>
        <w:rPr>
          <w:sz w:val="20"/>
        </w:rPr>
        <w:t>y</w:t>
      </w:r>
      <w:r>
        <w:rPr>
          <w:spacing w:val="-14"/>
          <w:sz w:val="20"/>
        </w:rPr>
        <w:t> </w:t>
      </w:r>
      <w:r>
        <w:rPr>
          <w:sz w:val="20"/>
        </w:rPr>
        <w:t>obras</w:t>
      </w:r>
      <w:r>
        <w:rPr>
          <w:spacing w:val="-19"/>
          <w:sz w:val="20"/>
        </w:rPr>
        <w:t> </w:t>
      </w:r>
      <w:r>
        <w:rPr>
          <w:sz w:val="20"/>
        </w:rPr>
        <w:t>que, conforme</w:t>
      </w:r>
      <w:r>
        <w:rPr>
          <w:spacing w:val="-16"/>
          <w:sz w:val="20"/>
        </w:rPr>
        <w:t> </w:t>
      </w:r>
      <w:r>
        <w:rPr>
          <w:sz w:val="20"/>
        </w:rPr>
        <w:t>se</w:t>
      </w:r>
      <w:r>
        <w:rPr>
          <w:spacing w:val="-17"/>
          <w:sz w:val="20"/>
        </w:rPr>
        <w:t> </w:t>
      </w:r>
      <w:r>
        <w:rPr>
          <w:sz w:val="20"/>
        </w:rPr>
        <w:t>ha</w:t>
      </w:r>
      <w:r>
        <w:rPr>
          <w:spacing w:val="-17"/>
          <w:sz w:val="20"/>
        </w:rPr>
        <w:t> </w:t>
      </w:r>
      <w:r>
        <w:rPr>
          <w:sz w:val="20"/>
        </w:rPr>
        <w:t>alegado,</w:t>
      </w:r>
      <w:r>
        <w:rPr>
          <w:spacing w:val="-16"/>
          <w:sz w:val="20"/>
        </w:rPr>
        <w:t> </w:t>
      </w:r>
      <w:r>
        <w:rPr>
          <w:sz w:val="20"/>
        </w:rPr>
        <w:t>se</w:t>
      </w:r>
      <w:r>
        <w:rPr>
          <w:spacing w:val="-19"/>
          <w:sz w:val="20"/>
        </w:rPr>
        <w:t> </w:t>
      </w:r>
      <w:r>
        <w:rPr>
          <w:sz w:val="20"/>
        </w:rPr>
        <w:t>han</w:t>
      </w:r>
      <w:r>
        <w:rPr>
          <w:spacing w:val="-16"/>
          <w:sz w:val="20"/>
        </w:rPr>
        <w:t> </w:t>
      </w:r>
      <w:r>
        <w:rPr>
          <w:sz w:val="20"/>
        </w:rPr>
        <w:t>llevado</w:t>
      </w:r>
      <w:r>
        <w:rPr>
          <w:spacing w:val="-16"/>
          <w:sz w:val="20"/>
        </w:rPr>
        <w:t> </w:t>
      </w:r>
      <w:r>
        <w:rPr>
          <w:sz w:val="20"/>
        </w:rPr>
        <w:t>a</w:t>
      </w:r>
      <w:r>
        <w:rPr>
          <w:spacing w:val="-15"/>
          <w:sz w:val="20"/>
        </w:rPr>
        <w:t> </w:t>
      </w:r>
      <w:r>
        <w:rPr>
          <w:sz w:val="20"/>
        </w:rPr>
        <w:t>cabo</w:t>
      </w:r>
      <w:r>
        <w:rPr>
          <w:spacing w:val="-19"/>
          <w:sz w:val="20"/>
        </w:rPr>
        <w:t> </w:t>
      </w:r>
      <w:r>
        <w:rPr>
          <w:sz w:val="20"/>
        </w:rPr>
        <w:t>sin</w:t>
      </w:r>
      <w:r>
        <w:rPr>
          <w:spacing w:val="-17"/>
          <w:sz w:val="20"/>
        </w:rPr>
        <w:t> </w:t>
      </w:r>
      <w:r>
        <w:rPr>
          <w:sz w:val="20"/>
        </w:rPr>
        <w:t>respetar</w:t>
      </w:r>
      <w:r>
        <w:rPr>
          <w:spacing w:val="-19"/>
          <w:sz w:val="20"/>
        </w:rPr>
        <w:t> </w:t>
      </w:r>
      <w:r>
        <w:rPr>
          <w:sz w:val="20"/>
        </w:rPr>
        <w:t>derechos</w:t>
      </w:r>
      <w:r>
        <w:rPr>
          <w:spacing w:val="-16"/>
          <w:sz w:val="20"/>
        </w:rPr>
        <w:t> </w:t>
      </w:r>
      <w:r>
        <w:rPr>
          <w:sz w:val="20"/>
        </w:rPr>
        <w:t>de</w:t>
      </w:r>
      <w:r>
        <w:rPr>
          <w:spacing w:val="-17"/>
          <w:sz w:val="20"/>
        </w:rPr>
        <w:t> </w:t>
      </w:r>
      <w:r>
        <w:rPr>
          <w:sz w:val="20"/>
        </w:rPr>
        <w:t>las</w:t>
      </w:r>
      <w:r>
        <w:rPr>
          <w:spacing w:val="-18"/>
          <w:sz w:val="20"/>
        </w:rPr>
        <w:t> </w:t>
      </w:r>
      <w:r>
        <w:rPr>
          <w:sz w:val="20"/>
        </w:rPr>
        <w:t>comunidades indígenas.</w:t>
      </w:r>
    </w:p>
    <w:p>
      <w:pPr>
        <w:pStyle w:val="BodyText"/>
        <w:spacing w:before="10"/>
        <w:rPr>
          <w:sz w:val="19"/>
        </w:rPr>
      </w:pPr>
    </w:p>
    <w:p>
      <w:pPr>
        <w:pStyle w:val="Heading4"/>
        <w:numPr>
          <w:ilvl w:val="1"/>
          <w:numId w:val="28"/>
        </w:numPr>
        <w:tabs>
          <w:tab w:pos="1116" w:val="left" w:leader="none"/>
        </w:tabs>
        <w:spacing w:line="240" w:lineRule="auto" w:before="0" w:after="0"/>
        <w:ind w:left="1115" w:right="0" w:hanging="427"/>
        <w:jc w:val="left"/>
        <w:rPr>
          <w:i/>
        </w:rPr>
      </w:pPr>
      <w:bookmarkStart w:name="_bookmark52" w:id="88"/>
      <w:bookmarkEnd w:id="88"/>
      <w:r>
        <w:rPr>
          <w:b w:val="0"/>
          <w:i w:val="0"/>
        </w:rPr>
      </w:r>
      <w:bookmarkStart w:name="_bookmark52" w:id="89"/>
      <w:bookmarkEnd w:id="89"/>
      <w:r>
        <w:rPr>
          <w:i/>
        </w:rPr>
        <w:t>A</w:t>
      </w:r>
      <w:r>
        <w:rPr>
          <w:i/>
        </w:rPr>
        <w:t>rgumentos de la Comisión y de las</w:t>
      </w:r>
      <w:r>
        <w:rPr>
          <w:i/>
          <w:spacing w:val="-23"/>
        </w:rPr>
        <w:t> </w:t>
      </w:r>
      <w:r>
        <w:rPr>
          <w:i/>
        </w:rPr>
        <w:t>partes</w:t>
      </w:r>
    </w:p>
    <w:p>
      <w:pPr>
        <w:pStyle w:val="BodyText"/>
        <w:rPr>
          <w:b/>
          <w:i/>
        </w:rPr>
      </w:pPr>
    </w:p>
    <w:p>
      <w:pPr>
        <w:pStyle w:val="ListParagraph"/>
        <w:numPr>
          <w:ilvl w:val="0"/>
          <w:numId w:val="27"/>
        </w:numPr>
        <w:tabs>
          <w:tab w:pos="830" w:val="left" w:leader="none"/>
        </w:tabs>
        <w:spacing w:line="240" w:lineRule="auto" w:before="0" w:after="0"/>
        <w:ind w:left="122" w:right="123" w:firstLine="0"/>
        <w:jc w:val="both"/>
        <w:rPr>
          <w:sz w:val="20"/>
        </w:rPr>
      </w:pPr>
      <w:r>
        <w:rPr>
          <w:sz w:val="20"/>
        </w:rPr>
        <w:t>La </w:t>
      </w:r>
      <w:r>
        <w:rPr>
          <w:b/>
          <w:i/>
          <w:sz w:val="20"/>
        </w:rPr>
        <w:t>Comisión </w:t>
      </w:r>
      <w:r>
        <w:rPr>
          <w:sz w:val="20"/>
        </w:rPr>
        <w:t>sostuvo que el Estado vulneró el derecho de propiedad de las comunidades</w:t>
      </w:r>
      <w:r>
        <w:rPr>
          <w:spacing w:val="-17"/>
          <w:sz w:val="20"/>
        </w:rPr>
        <w:t> </w:t>
      </w:r>
      <w:r>
        <w:rPr>
          <w:sz w:val="20"/>
        </w:rPr>
        <w:t>“en</w:t>
      </w:r>
      <w:r>
        <w:rPr>
          <w:spacing w:val="-18"/>
          <w:sz w:val="20"/>
        </w:rPr>
        <w:t> </w:t>
      </w:r>
      <w:r>
        <w:rPr>
          <w:sz w:val="20"/>
        </w:rPr>
        <w:t>vinculación</w:t>
      </w:r>
      <w:r>
        <w:rPr>
          <w:spacing w:val="-18"/>
          <w:sz w:val="20"/>
        </w:rPr>
        <w:t> </w:t>
      </w:r>
      <w:r>
        <w:rPr>
          <w:sz w:val="20"/>
        </w:rPr>
        <w:t>con</w:t>
      </w:r>
      <w:r>
        <w:rPr>
          <w:spacing w:val="-18"/>
          <w:sz w:val="20"/>
        </w:rPr>
        <w:t> </w:t>
      </w:r>
      <w:r>
        <w:rPr>
          <w:sz w:val="20"/>
        </w:rPr>
        <w:t>derechos</w:t>
      </w:r>
      <w:r>
        <w:rPr>
          <w:spacing w:val="-19"/>
          <w:sz w:val="20"/>
        </w:rPr>
        <w:t> </w:t>
      </w:r>
      <w:r>
        <w:rPr>
          <w:sz w:val="20"/>
        </w:rPr>
        <w:t>al</w:t>
      </w:r>
      <w:r>
        <w:rPr>
          <w:spacing w:val="-17"/>
          <w:sz w:val="20"/>
        </w:rPr>
        <w:t> </w:t>
      </w:r>
      <w:r>
        <w:rPr>
          <w:sz w:val="20"/>
        </w:rPr>
        <w:t>acceso</w:t>
      </w:r>
      <w:r>
        <w:rPr>
          <w:spacing w:val="-20"/>
          <w:sz w:val="20"/>
        </w:rPr>
        <w:t> </w:t>
      </w:r>
      <w:r>
        <w:rPr>
          <w:sz w:val="20"/>
        </w:rPr>
        <w:t>a</w:t>
      </w:r>
      <w:r>
        <w:rPr>
          <w:spacing w:val="-18"/>
          <w:sz w:val="20"/>
        </w:rPr>
        <w:t> </w:t>
      </w:r>
      <w:r>
        <w:rPr>
          <w:sz w:val="20"/>
        </w:rPr>
        <w:t>la</w:t>
      </w:r>
      <w:r>
        <w:rPr>
          <w:spacing w:val="-18"/>
          <w:sz w:val="20"/>
        </w:rPr>
        <w:t> </w:t>
      </w:r>
      <w:r>
        <w:rPr>
          <w:sz w:val="20"/>
        </w:rPr>
        <w:t>información</w:t>
      </w:r>
      <w:r>
        <w:rPr>
          <w:spacing w:val="-18"/>
          <w:sz w:val="20"/>
        </w:rPr>
        <w:t> </w:t>
      </w:r>
      <w:r>
        <w:rPr>
          <w:sz w:val="20"/>
        </w:rPr>
        <w:t>y</w:t>
      </w:r>
      <w:r>
        <w:rPr>
          <w:spacing w:val="-17"/>
          <w:sz w:val="20"/>
        </w:rPr>
        <w:t> </w:t>
      </w:r>
      <w:r>
        <w:rPr>
          <w:sz w:val="20"/>
        </w:rPr>
        <w:t>a</w:t>
      </w:r>
      <w:r>
        <w:rPr>
          <w:spacing w:val="-16"/>
          <w:sz w:val="20"/>
        </w:rPr>
        <w:t> </w:t>
      </w:r>
      <w:r>
        <w:rPr>
          <w:sz w:val="20"/>
        </w:rPr>
        <w:t>la</w:t>
      </w:r>
      <w:r>
        <w:rPr>
          <w:spacing w:val="-18"/>
          <w:sz w:val="20"/>
        </w:rPr>
        <w:t> </w:t>
      </w:r>
      <w:r>
        <w:rPr>
          <w:sz w:val="20"/>
        </w:rPr>
        <w:t>participación, por no observar obligaciones correspondientes a la realización de obras públicas o el otorgamiento de concesiones en territorio indígena”. Consideró que “ninguna de las obras públicas emprendidas por el Estado […] en territorio ancestral” cumplió las obligaciones</w:t>
      </w:r>
      <w:r>
        <w:rPr>
          <w:spacing w:val="-21"/>
          <w:sz w:val="20"/>
        </w:rPr>
        <w:t> </w:t>
      </w:r>
      <w:r>
        <w:rPr>
          <w:sz w:val="20"/>
        </w:rPr>
        <w:t>de</w:t>
      </w:r>
      <w:r>
        <w:rPr>
          <w:spacing w:val="-21"/>
          <w:sz w:val="20"/>
        </w:rPr>
        <w:t> </w:t>
      </w:r>
      <w:r>
        <w:rPr>
          <w:sz w:val="20"/>
        </w:rPr>
        <w:t>estar</w:t>
      </w:r>
      <w:r>
        <w:rPr>
          <w:spacing w:val="-20"/>
          <w:sz w:val="20"/>
        </w:rPr>
        <w:t> </w:t>
      </w:r>
      <w:r>
        <w:rPr>
          <w:sz w:val="20"/>
        </w:rPr>
        <w:t>precedidas</w:t>
      </w:r>
      <w:r>
        <w:rPr>
          <w:spacing w:val="-20"/>
          <w:sz w:val="20"/>
        </w:rPr>
        <w:t> </w:t>
      </w:r>
      <w:r>
        <w:rPr>
          <w:sz w:val="20"/>
        </w:rPr>
        <w:t>de</w:t>
      </w:r>
      <w:r>
        <w:rPr>
          <w:spacing w:val="-21"/>
          <w:sz w:val="20"/>
        </w:rPr>
        <w:t> </w:t>
      </w:r>
      <w:r>
        <w:rPr>
          <w:sz w:val="20"/>
        </w:rPr>
        <w:t>un</w:t>
      </w:r>
      <w:r>
        <w:rPr>
          <w:spacing w:val="-19"/>
          <w:sz w:val="20"/>
        </w:rPr>
        <w:t> </w:t>
      </w:r>
      <w:r>
        <w:rPr>
          <w:sz w:val="20"/>
        </w:rPr>
        <w:t>estudio</w:t>
      </w:r>
      <w:r>
        <w:rPr>
          <w:spacing w:val="-21"/>
          <w:sz w:val="20"/>
        </w:rPr>
        <w:t> </w:t>
      </w:r>
      <w:r>
        <w:rPr>
          <w:sz w:val="20"/>
        </w:rPr>
        <w:t>de</w:t>
      </w:r>
      <w:r>
        <w:rPr>
          <w:spacing w:val="-21"/>
          <w:sz w:val="20"/>
        </w:rPr>
        <w:t> </w:t>
      </w:r>
      <w:r>
        <w:rPr>
          <w:sz w:val="20"/>
        </w:rPr>
        <w:t>impacto</w:t>
      </w:r>
      <w:r>
        <w:rPr>
          <w:spacing w:val="-18"/>
          <w:sz w:val="20"/>
        </w:rPr>
        <w:t> </w:t>
      </w:r>
      <w:r>
        <w:rPr>
          <w:sz w:val="20"/>
        </w:rPr>
        <w:t>ambiental</w:t>
      </w:r>
      <w:r>
        <w:rPr>
          <w:spacing w:val="-19"/>
          <w:sz w:val="20"/>
        </w:rPr>
        <w:t> </w:t>
      </w:r>
      <w:r>
        <w:rPr>
          <w:sz w:val="20"/>
        </w:rPr>
        <w:t>y</w:t>
      </w:r>
      <w:r>
        <w:rPr>
          <w:spacing w:val="-18"/>
          <w:sz w:val="20"/>
        </w:rPr>
        <w:t> </w:t>
      </w:r>
      <w:r>
        <w:rPr>
          <w:sz w:val="20"/>
        </w:rPr>
        <w:t>social</w:t>
      </w:r>
      <w:r>
        <w:rPr>
          <w:spacing w:val="-20"/>
          <w:sz w:val="20"/>
        </w:rPr>
        <w:t> </w:t>
      </w:r>
      <w:r>
        <w:rPr>
          <w:sz w:val="20"/>
        </w:rPr>
        <w:t>y</w:t>
      </w:r>
      <w:r>
        <w:rPr>
          <w:spacing w:val="-20"/>
          <w:sz w:val="20"/>
        </w:rPr>
        <w:t> </w:t>
      </w:r>
      <w:r>
        <w:rPr>
          <w:sz w:val="20"/>
        </w:rPr>
        <w:t>garantizar el beneficio y la participación adecuados de comunidades indígenas</w:t>
      </w:r>
      <w:r>
        <w:rPr>
          <w:position w:val="7"/>
          <w:sz w:val="13"/>
        </w:rPr>
        <w:t>155</w:t>
      </w:r>
      <w:r>
        <w:rPr>
          <w:sz w:val="20"/>
        </w:rPr>
        <w:t>. Adujo que tampoco se cumplió con las obligaciones estatales de realizar una consulta previa, libre e informada, así como de permitir y promover el acceso a la información pública correspondiente por las comunidades indígenas afectadas. Señaló que “no se realiz[ó] una consulta propia, que cumpla con los estándares referidos”. La Comisión hizo notar que “no existe en Argentina una ley sobre consulta previa, libre e</w:t>
      </w:r>
      <w:r>
        <w:rPr>
          <w:spacing w:val="-30"/>
          <w:sz w:val="20"/>
        </w:rPr>
        <w:t> </w:t>
      </w:r>
      <w:r>
        <w:rPr>
          <w:sz w:val="20"/>
        </w:rPr>
        <w:t>informada”.</w:t>
      </w:r>
    </w:p>
    <w:p>
      <w:pPr>
        <w:pStyle w:val="BodyText"/>
      </w:pPr>
    </w:p>
    <w:p>
      <w:pPr>
        <w:pStyle w:val="ListParagraph"/>
        <w:numPr>
          <w:ilvl w:val="0"/>
          <w:numId w:val="27"/>
        </w:numPr>
        <w:tabs>
          <w:tab w:pos="830" w:val="left" w:leader="none"/>
        </w:tabs>
        <w:spacing w:line="240" w:lineRule="auto" w:before="0" w:after="0"/>
        <w:ind w:left="122" w:right="125" w:firstLine="0"/>
        <w:jc w:val="both"/>
        <w:rPr>
          <w:sz w:val="20"/>
        </w:rPr>
      </w:pPr>
      <w:r>
        <w:rPr>
          <w:sz w:val="20"/>
        </w:rPr>
        <w:t>Los </w:t>
      </w:r>
      <w:r>
        <w:rPr>
          <w:b/>
          <w:i/>
          <w:sz w:val="20"/>
        </w:rPr>
        <w:t>representantes </w:t>
      </w:r>
      <w:r>
        <w:rPr>
          <w:sz w:val="20"/>
        </w:rPr>
        <w:t>afirmaron que la falta de un título único “trajo severas consecuencias pues se desarrollaron diversas obras (puentes, rutas, etcétera) sin consulta previa a las comunidades”. Entendieron que el Estado es responsable por “la proyección y desarrollo inconsulto de obras sobre el territorio ancestral”, pues no cumplió</w:t>
      </w:r>
      <w:r>
        <w:rPr>
          <w:spacing w:val="-10"/>
          <w:sz w:val="20"/>
        </w:rPr>
        <w:t> </w:t>
      </w:r>
      <w:r>
        <w:rPr>
          <w:sz w:val="20"/>
        </w:rPr>
        <w:t>los</w:t>
      </w:r>
      <w:r>
        <w:rPr>
          <w:spacing w:val="-7"/>
          <w:sz w:val="20"/>
        </w:rPr>
        <w:t> </w:t>
      </w:r>
      <w:r>
        <w:rPr>
          <w:sz w:val="20"/>
        </w:rPr>
        <w:t>requisitos</w:t>
      </w:r>
      <w:r>
        <w:rPr>
          <w:spacing w:val="-7"/>
          <w:sz w:val="20"/>
        </w:rPr>
        <w:t> </w:t>
      </w:r>
      <w:r>
        <w:rPr>
          <w:sz w:val="20"/>
        </w:rPr>
        <w:t>y</w:t>
      </w:r>
      <w:r>
        <w:rPr>
          <w:spacing w:val="-5"/>
          <w:sz w:val="20"/>
        </w:rPr>
        <w:t> </w:t>
      </w:r>
      <w:r>
        <w:rPr>
          <w:sz w:val="20"/>
        </w:rPr>
        <w:t>estándares</w:t>
      </w:r>
      <w:r>
        <w:rPr>
          <w:spacing w:val="-5"/>
          <w:sz w:val="20"/>
        </w:rPr>
        <w:t> </w:t>
      </w:r>
      <w:r>
        <w:rPr>
          <w:sz w:val="20"/>
        </w:rPr>
        <w:t>correspondientes</w:t>
      </w:r>
      <w:r>
        <w:rPr>
          <w:spacing w:val="-5"/>
          <w:sz w:val="20"/>
        </w:rPr>
        <w:t> </w:t>
      </w:r>
      <w:r>
        <w:rPr>
          <w:sz w:val="20"/>
        </w:rPr>
        <w:t>respecto</w:t>
      </w:r>
      <w:r>
        <w:rPr>
          <w:spacing w:val="-8"/>
          <w:sz w:val="20"/>
        </w:rPr>
        <w:t> </w:t>
      </w:r>
      <w:r>
        <w:rPr>
          <w:sz w:val="20"/>
        </w:rPr>
        <w:t>a</w:t>
      </w:r>
      <w:r>
        <w:rPr>
          <w:spacing w:val="-7"/>
          <w:sz w:val="20"/>
        </w:rPr>
        <w:t> </w:t>
      </w:r>
      <w:r>
        <w:rPr>
          <w:sz w:val="20"/>
        </w:rPr>
        <w:t>la</w:t>
      </w:r>
      <w:r>
        <w:rPr>
          <w:spacing w:val="-6"/>
          <w:sz w:val="20"/>
        </w:rPr>
        <w:t> </w:t>
      </w:r>
      <w:r>
        <w:rPr>
          <w:sz w:val="20"/>
        </w:rPr>
        <w:t>consulta</w:t>
      </w:r>
      <w:r>
        <w:rPr>
          <w:spacing w:val="-9"/>
          <w:sz w:val="20"/>
        </w:rPr>
        <w:t> </w:t>
      </w:r>
      <w:r>
        <w:rPr>
          <w:sz w:val="20"/>
        </w:rPr>
        <w:t>libre,</w:t>
      </w:r>
      <w:r>
        <w:rPr>
          <w:spacing w:val="-7"/>
          <w:sz w:val="20"/>
        </w:rPr>
        <w:t> </w:t>
      </w:r>
      <w:r>
        <w:rPr>
          <w:sz w:val="20"/>
        </w:rPr>
        <w:t>previa e informada y la participación de las comunidades en torno a los proyectos. Agregaron que las comunidades no recibieron ningún tipo de beneficio derivado de las obras y</w:t>
      </w:r>
      <w:r>
        <w:rPr>
          <w:spacing w:val="-33"/>
          <w:sz w:val="20"/>
        </w:rPr>
        <w:t> </w:t>
      </w:r>
      <w:r>
        <w:rPr>
          <w:sz w:val="20"/>
        </w:rPr>
        <w:t>que las mismas se realizaron sin estudios de impacto ambiental y social</w:t>
      </w:r>
      <w:r>
        <w:rPr>
          <w:position w:val="7"/>
          <w:sz w:val="13"/>
        </w:rPr>
        <w:t>156</w:t>
      </w:r>
      <w:r>
        <w:rPr>
          <w:sz w:val="20"/>
        </w:rPr>
        <w:t>. Los representantes arguyeron también que “[e]s indiferente para determinar la existencia de una violación, si por razones, además ajenas a los reclamos de las comunidades, se terminaron haciendo o no las obras”. Expresaron que “[a]demás, […] hay obras que efectivamente se concluyeron y otras que, aun cuando se hubieran abandonado […] llegaron a avanzar al punto de generar impactos diversos en el territorio”. Entendieron que fueron “contundentes los efectos de la construcción inconsulta de la ruta 54 sobre la comunidad La Estrella, entre</w:t>
      </w:r>
      <w:r>
        <w:rPr>
          <w:spacing w:val="-18"/>
          <w:sz w:val="20"/>
        </w:rPr>
        <w:t> </w:t>
      </w:r>
      <w:r>
        <w:rPr>
          <w:sz w:val="20"/>
        </w:rPr>
        <w:t>otras”.</w:t>
      </w:r>
    </w:p>
    <w:p>
      <w:pPr>
        <w:pStyle w:val="BodyText"/>
      </w:pPr>
    </w:p>
    <w:p>
      <w:pPr>
        <w:pStyle w:val="ListParagraph"/>
        <w:numPr>
          <w:ilvl w:val="0"/>
          <w:numId w:val="27"/>
        </w:numPr>
        <w:tabs>
          <w:tab w:pos="830" w:val="left" w:leader="none"/>
        </w:tabs>
        <w:spacing w:line="240" w:lineRule="auto" w:before="0" w:after="0"/>
        <w:ind w:left="122" w:right="131" w:firstLine="0"/>
        <w:jc w:val="both"/>
        <w:rPr>
          <w:sz w:val="20"/>
        </w:rPr>
      </w:pPr>
      <w:r>
        <w:rPr>
          <w:sz w:val="20"/>
        </w:rPr>
        <w:t>El </w:t>
      </w:r>
      <w:r>
        <w:rPr>
          <w:b/>
          <w:i/>
          <w:sz w:val="20"/>
        </w:rPr>
        <w:t>Estado</w:t>
      </w:r>
      <w:r>
        <w:rPr>
          <w:sz w:val="20"/>
        </w:rPr>
        <w:t>, por su parte, advirtió que “las obras sobre las que reclaman [los representantes] no se produjeron y por lo tanto el planteo que se realiza deviene abstracto”</w:t>
      </w:r>
      <w:r>
        <w:rPr>
          <w:position w:val="7"/>
          <w:sz w:val="13"/>
        </w:rPr>
        <w:t>157</w:t>
      </w:r>
      <w:r>
        <w:rPr>
          <w:sz w:val="20"/>
        </w:rPr>
        <w:t>. Además, adujo en su contestación que en la actualidad no se </w:t>
      </w:r>
      <w:r>
        <w:rPr>
          <w:spacing w:val="67"/>
          <w:sz w:val="20"/>
        </w:rPr>
        <w:t> </w:t>
      </w:r>
      <w:r>
        <w:rPr>
          <w:sz w:val="20"/>
        </w:rPr>
        <w:t>encuentra</w:t>
      </w:r>
    </w:p>
    <w:p>
      <w:pPr>
        <w:pStyle w:val="BodyText"/>
        <w:spacing w:before="2"/>
        <w:rPr>
          <w:sz w:val="13"/>
        </w:rPr>
      </w:pPr>
      <w:r>
        <w:rPr/>
        <w:pict>
          <v:line style="position:absolute;mso-position-horizontal-relative:page;mso-position-vertical-relative:paragraph;z-index:2320;mso-wrap-distance-left:0;mso-wrap-distance-right:0" from="85.103996pt,10.363512pt" to="229.123996pt,10.363512pt" stroked="true" strokeweight=".71997pt" strokecolor="#000000">
            <v:stroke dashstyle="solid"/>
            <w10:wrap type="topAndBottom"/>
          </v:line>
        </w:pict>
      </w:r>
    </w:p>
    <w:p>
      <w:pPr>
        <w:tabs>
          <w:tab w:pos="829" w:val="left" w:leader="none"/>
        </w:tabs>
        <w:spacing w:before="71"/>
        <w:ind w:left="122" w:right="117" w:firstLine="0"/>
        <w:jc w:val="both"/>
        <w:rPr>
          <w:sz w:val="16"/>
        </w:rPr>
      </w:pPr>
      <w:r>
        <w:rPr>
          <w:position w:val="6"/>
          <w:sz w:val="10"/>
        </w:rPr>
        <w:t>155</w:t>
        <w:tab/>
      </w:r>
      <w:r>
        <w:rPr>
          <w:sz w:val="16"/>
        </w:rPr>
        <w:t>Puntualmente,</w:t>
      </w:r>
      <w:r>
        <w:rPr>
          <w:spacing w:val="-10"/>
          <w:sz w:val="16"/>
        </w:rPr>
        <w:t> </w:t>
      </w:r>
      <w:r>
        <w:rPr>
          <w:sz w:val="16"/>
        </w:rPr>
        <w:t>la</w:t>
      </w:r>
      <w:r>
        <w:rPr>
          <w:spacing w:val="-10"/>
          <w:sz w:val="16"/>
        </w:rPr>
        <w:t> </w:t>
      </w:r>
      <w:r>
        <w:rPr>
          <w:sz w:val="16"/>
        </w:rPr>
        <w:t>Comisión</w:t>
      </w:r>
      <w:r>
        <w:rPr>
          <w:spacing w:val="-12"/>
          <w:sz w:val="16"/>
        </w:rPr>
        <w:t> </w:t>
      </w:r>
      <w:r>
        <w:rPr>
          <w:sz w:val="16"/>
        </w:rPr>
        <w:t>refirió</w:t>
      </w:r>
      <w:r>
        <w:rPr>
          <w:spacing w:val="-11"/>
          <w:sz w:val="16"/>
        </w:rPr>
        <w:t> </w:t>
      </w:r>
      <w:r>
        <w:rPr>
          <w:sz w:val="16"/>
        </w:rPr>
        <w:t>que</w:t>
      </w:r>
      <w:r>
        <w:rPr>
          <w:spacing w:val="-12"/>
          <w:sz w:val="16"/>
        </w:rPr>
        <w:t> </w:t>
      </w:r>
      <w:r>
        <w:rPr>
          <w:sz w:val="16"/>
        </w:rPr>
        <w:t>no</w:t>
      </w:r>
      <w:r>
        <w:rPr>
          <w:spacing w:val="-11"/>
          <w:sz w:val="16"/>
        </w:rPr>
        <w:t> </w:t>
      </w:r>
      <w:r>
        <w:rPr>
          <w:sz w:val="16"/>
        </w:rPr>
        <w:t>cumplieron</w:t>
      </w:r>
      <w:r>
        <w:rPr>
          <w:spacing w:val="-13"/>
          <w:sz w:val="16"/>
        </w:rPr>
        <w:t> </w:t>
      </w:r>
      <w:r>
        <w:rPr>
          <w:sz w:val="16"/>
        </w:rPr>
        <w:t>las</w:t>
      </w:r>
      <w:r>
        <w:rPr>
          <w:spacing w:val="-13"/>
          <w:sz w:val="16"/>
        </w:rPr>
        <w:t> </w:t>
      </w:r>
      <w:r>
        <w:rPr>
          <w:sz w:val="16"/>
        </w:rPr>
        <w:t>obligaciones</w:t>
      </w:r>
      <w:r>
        <w:rPr>
          <w:spacing w:val="-11"/>
          <w:sz w:val="16"/>
        </w:rPr>
        <w:t> </w:t>
      </w:r>
      <w:r>
        <w:rPr>
          <w:sz w:val="16"/>
        </w:rPr>
        <w:t>expresadas:</w:t>
      </w:r>
      <w:r>
        <w:rPr>
          <w:spacing w:val="-13"/>
          <w:sz w:val="16"/>
        </w:rPr>
        <w:t> </w:t>
      </w:r>
      <w:r>
        <w:rPr>
          <w:sz w:val="16"/>
        </w:rPr>
        <w:t>“la</w:t>
      </w:r>
      <w:r>
        <w:rPr>
          <w:spacing w:val="-12"/>
          <w:sz w:val="16"/>
        </w:rPr>
        <w:t> </w:t>
      </w:r>
      <w:r>
        <w:rPr>
          <w:sz w:val="16"/>
        </w:rPr>
        <w:t>construcción</w:t>
      </w:r>
      <w:r>
        <w:rPr>
          <w:spacing w:val="-13"/>
          <w:sz w:val="16"/>
        </w:rPr>
        <w:t> </w:t>
      </w:r>
      <w:r>
        <w:rPr>
          <w:sz w:val="16"/>
        </w:rPr>
        <w:t>del</w:t>
      </w:r>
      <w:r>
        <w:rPr>
          <w:w w:val="100"/>
          <w:sz w:val="16"/>
        </w:rPr>
        <w:t> </w:t>
      </w:r>
      <w:r>
        <w:rPr>
          <w:sz w:val="16"/>
        </w:rPr>
        <w:t>puente internacional sobre el Río Pilcomayo[;…] la licitación para la construcción de la Ruta 86[;…] las obras de mejoramiento del camino provincial Santa Victoria Este – La Paz, [y] el otorgamiento de la concesión </w:t>
      </w:r>
      <w:r>
        <w:rPr>
          <w:spacing w:val="-3"/>
          <w:sz w:val="16"/>
        </w:rPr>
        <w:t>de </w:t>
      </w:r>
      <w:r>
        <w:rPr>
          <w:sz w:val="16"/>
        </w:rPr>
        <w:t>hidrocarburos”.</w:t>
      </w:r>
    </w:p>
    <w:p>
      <w:pPr>
        <w:pStyle w:val="BodyText"/>
        <w:spacing w:before="11"/>
        <w:rPr>
          <w:sz w:val="15"/>
        </w:rPr>
      </w:pPr>
    </w:p>
    <w:p>
      <w:pPr>
        <w:tabs>
          <w:tab w:pos="829" w:val="left" w:leader="none"/>
        </w:tabs>
        <w:spacing w:before="0"/>
        <w:ind w:left="122" w:right="114" w:firstLine="0"/>
        <w:jc w:val="both"/>
        <w:rPr>
          <w:sz w:val="16"/>
        </w:rPr>
      </w:pPr>
      <w:r>
        <w:rPr>
          <w:position w:val="6"/>
          <w:sz w:val="10"/>
        </w:rPr>
        <w:t>156</w:t>
        <w:tab/>
      </w:r>
      <w:r>
        <w:rPr>
          <w:sz w:val="16"/>
        </w:rPr>
        <w:t>Los representantes identificaron los siguientes “proyectos” que, según adujeron fueron  </w:t>
      </w:r>
      <w:r>
        <w:rPr>
          <w:spacing w:val="25"/>
          <w:sz w:val="16"/>
        </w:rPr>
        <w:t> </w:t>
      </w:r>
      <w:r>
        <w:rPr>
          <w:sz w:val="16"/>
        </w:rPr>
        <w:t>“llevados</w:t>
      </w:r>
      <w:r>
        <w:rPr>
          <w:spacing w:val="13"/>
          <w:sz w:val="16"/>
        </w:rPr>
        <w:t> </w:t>
      </w:r>
      <w:r>
        <w:rPr>
          <w:sz w:val="16"/>
        </w:rPr>
        <w:t>a</w:t>
      </w:r>
      <w:r>
        <w:rPr>
          <w:w w:val="100"/>
          <w:sz w:val="16"/>
        </w:rPr>
        <w:t> </w:t>
      </w:r>
      <w:r>
        <w:rPr>
          <w:sz w:val="16"/>
        </w:rPr>
        <w:t>cabo”</w:t>
      </w:r>
      <w:r>
        <w:rPr>
          <w:spacing w:val="-6"/>
          <w:sz w:val="16"/>
        </w:rPr>
        <w:t> </w:t>
      </w:r>
      <w:r>
        <w:rPr>
          <w:sz w:val="16"/>
        </w:rPr>
        <w:t>por</w:t>
      </w:r>
      <w:r>
        <w:rPr>
          <w:spacing w:val="-3"/>
          <w:sz w:val="16"/>
        </w:rPr>
        <w:t> </w:t>
      </w:r>
      <w:r>
        <w:rPr>
          <w:sz w:val="16"/>
        </w:rPr>
        <w:t>el</w:t>
      </w:r>
      <w:r>
        <w:rPr>
          <w:spacing w:val="-6"/>
          <w:sz w:val="16"/>
        </w:rPr>
        <w:t> </w:t>
      </w:r>
      <w:r>
        <w:rPr>
          <w:sz w:val="16"/>
        </w:rPr>
        <w:t>Estado</w:t>
      </w:r>
      <w:r>
        <w:rPr>
          <w:spacing w:val="-5"/>
          <w:sz w:val="16"/>
        </w:rPr>
        <w:t> </w:t>
      </w:r>
      <w:r>
        <w:rPr>
          <w:sz w:val="16"/>
        </w:rPr>
        <w:t>sin</w:t>
      </w:r>
      <w:r>
        <w:rPr>
          <w:spacing w:val="-5"/>
          <w:sz w:val="16"/>
        </w:rPr>
        <w:t> </w:t>
      </w:r>
      <w:r>
        <w:rPr>
          <w:sz w:val="16"/>
        </w:rPr>
        <w:t>cumplir</w:t>
      </w:r>
      <w:r>
        <w:rPr>
          <w:spacing w:val="-3"/>
          <w:sz w:val="16"/>
        </w:rPr>
        <w:t> </w:t>
      </w:r>
      <w:r>
        <w:rPr>
          <w:sz w:val="16"/>
        </w:rPr>
        <w:t>los</w:t>
      </w:r>
      <w:r>
        <w:rPr>
          <w:spacing w:val="-6"/>
          <w:sz w:val="16"/>
        </w:rPr>
        <w:t> </w:t>
      </w:r>
      <w:r>
        <w:rPr>
          <w:sz w:val="16"/>
        </w:rPr>
        <w:t>requisitos</w:t>
      </w:r>
      <w:r>
        <w:rPr>
          <w:spacing w:val="-6"/>
          <w:sz w:val="16"/>
        </w:rPr>
        <w:t> </w:t>
      </w:r>
      <w:r>
        <w:rPr>
          <w:sz w:val="16"/>
        </w:rPr>
        <w:t>correspondientes:</w:t>
      </w:r>
      <w:r>
        <w:rPr>
          <w:spacing w:val="-4"/>
          <w:sz w:val="16"/>
        </w:rPr>
        <w:t> </w:t>
      </w:r>
      <w:r>
        <w:rPr>
          <w:sz w:val="16"/>
        </w:rPr>
        <w:t>“(i)</w:t>
      </w:r>
      <w:r>
        <w:rPr>
          <w:spacing w:val="-5"/>
          <w:sz w:val="16"/>
        </w:rPr>
        <w:t> </w:t>
      </w:r>
      <w:r>
        <w:rPr>
          <w:sz w:val="16"/>
        </w:rPr>
        <w:t>el</w:t>
      </w:r>
      <w:r>
        <w:rPr>
          <w:spacing w:val="-6"/>
          <w:sz w:val="16"/>
        </w:rPr>
        <w:t> </w:t>
      </w:r>
      <w:r>
        <w:rPr>
          <w:sz w:val="16"/>
        </w:rPr>
        <w:t>puente</w:t>
      </w:r>
      <w:r>
        <w:rPr>
          <w:spacing w:val="-3"/>
          <w:sz w:val="16"/>
        </w:rPr>
        <w:t> </w:t>
      </w:r>
      <w:r>
        <w:rPr>
          <w:sz w:val="16"/>
        </w:rPr>
        <w:t>internacional;</w:t>
      </w:r>
      <w:r>
        <w:rPr>
          <w:spacing w:val="-5"/>
          <w:sz w:val="16"/>
        </w:rPr>
        <w:t> </w:t>
      </w:r>
      <w:r>
        <w:rPr>
          <w:sz w:val="16"/>
        </w:rPr>
        <w:t>(ii)</w:t>
      </w:r>
      <w:r>
        <w:rPr>
          <w:spacing w:val="-5"/>
          <w:sz w:val="16"/>
        </w:rPr>
        <w:t> </w:t>
      </w:r>
      <w:r>
        <w:rPr>
          <w:sz w:val="16"/>
        </w:rPr>
        <w:t>proyección</w:t>
      </w:r>
      <w:r>
        <w:rPr>
          <w:spacing w:val="-7"/>
          <w:sz w:val="16"/>
        </w:rPr>
        <w:t> </w:t>
      </w:r>
      <w:r>
        <w:rPr>
          <w:sz w:val="16"/>
        </w:rPr>
        <w:t>de tramos de la ruta 86; (iii) obras para la ruta provincial 54 y (iv) la explotación de</w:t>
      </w:r>
      <w:r>
        <w:rPr>
          <w:spacing w:val="-31"/>
          <w:sz w:val="16"/>
        </w:rPr>
        <w:t> </w:t>
      </w:r>
      <w:r>
        <w:rPr>
          <w:sz w:val="16"/>
        </w:rPr>
        <w:t>hidrocarburos.</w:t>
      </w:r>
    </w:p>
    <w:p>
      <w:pPr>
        <w:pStyle w:val="BodyText"/>
        <w:spacing w:before="11"/>
        <w:rPr>
          <w:sz w:val="15"/>
        </w:rPr>
      </w:pPr>
    </w:p>
    <w:p>
      <w:pPr>
        <w:tabs>
          <w:tab w:pos="829" w:val="left" w:leader="none"/>
        </w:tabs>
        <w:spacing w:line="240" w:lineRule="auto" w:before="0"/>
        <w:ind w:left="122" w:right="117" w:firstLine="0"/>
        <w:jc w:val="both"/>
        <w:rPr>
          <w:sz w:val="16"/>
        </w:rPr>
      </w:pPr>
      <w:r>
        <w:rPr>
          <w:position w:val="6"/>
          <w:sz w:val="10"/>
        </w:rPr>
        <w:t>157</w:t>
        <w:tab/>
      </w:r>
      <w:r>
        <w:rPr>
          <w:sz w:val="16"/>
        </w:rPr>
        <w:t>No obstante, Argentina, al detallar su argumento, no indicó solo obras que “no se </w:t>
      </w:r>
      <w:r>
        <w:rPr>
          <w:spacing w:val="22"/>
          <w:sz w:val="16"/>
        </w:rPr>
        <w:t> </w:t>
      </w:r>
      <w:r>
        <w:rPr>
          <w:sz w:val="16"/>
        </w:rPr>
        <w:t>produjeron”.</w:t>
      </w:r>
      <w:r>
        <w:rPr>
          <w:spacing w:val="5"/>
          <w:sz w:val="16"/>
        </w:rPr>
        <w:t> </w:t>
      </w:r>
      <w:r>
        <w:rPr>
          <w:sz w:val="16"/>
        </w:rPr>
        <w:t>Así,</w:t>
      </w:r>
      <w:r>
        <w:rPr>
          <w:w w:val="100"/>
          <w:sz w:val="16"/>
        </w:rPr>
        <w:t> </w:t>
      </w:r>
      <w:r>
        <w:rPr>
          <w:sz w:val="16"/>
        </w:rPr>
        <w:t>precisó que: 1.- El Puente Internacional Misión la Paz: fue “proyectado, construido y finalizado entre los años 1995</w:t>
      </w:r>
      <w:r>
        <w:rPr>
          <w:spacing w:val="-4"/>
          <w:sz w:val="16"/>
        </w:rPr>
        <w:t> </w:t>
      </w:r>
      <w:r>
        <w:rPr>
          <w:sz w:val="16"/>
        </w:rPr>
        <w:t>y</w:t>
      </w:r>
      <w:r>
        <w:rPr>
          <w:spacing w:val="-4"/>
          <w:sz w:val="16"/>
        </w:rPr>
        <w:t> </w:t>
      </w:r>
      <w:r>
        <w:rPr>
          <w:sz w:val="16"/>
        </w:rPr>
        <w:t>1996”.</w:t>
      </w:r>
      <w:r>
        <w:rPr>
          <w:spacing w:val="-6"/>
          <w:sz w:val="16"/>
        </w:rPr>
        <w:t> </w:t>
      </w:r>
      <w:r>
        <w:rPr>
          <w:sz w:val="16"/>
        </w:rPr>
        <w:t>2.-</w:t>
      </w:r>
      <w:r>
        <w:rPr>
          <w:spacing w:val="-4"/>
          <w:sz w:val="16"/>
        </w:rPr>
        <w:t> </w:t>
      </w:r>
      <w:r>
        <w:rPr>
          <w:sz w:val="16"/>
        </w:rPr>
        <w:t>Tramos</w:t>
      </w:r>
      <w:r>
        <w:rPr>
          <w:spacing w:val="-5"/>
          <w:sz w:val="16"/>
        </w:rPr>
        <w:t> </w:t>
      </w:r>
      <w:r>
        <w:rPr>
          <w:sz w:val="16"/>
        </w:rPr>
        <w:t>de</w:t>
      </w:r>
      <w:r>
        <w:rPr>
          <w:spacing w:val="-2"/>
          <w:sz w:val="16"/>
        </w:rPr>
        <w:t> </w:t>
      </w:r>
      <w:r>
        <w:rPr>
          <w:sz w:val="16"/>
        </w:rPr>
        <w:t>la</w:t>
      </w:r>
      <w:r>
        <w:rPr>
          <w:spacing w:val="-3"/>
          <w:sz w:val="16"/>
        </w:rPr>
        <w:t> </w:t>
      </w:r>
      <w:r>
        <w:rPr>
          <w:sz w:val="16"/>
        </w:rPr>
        <w:t>Ruta</w:t>
      </w:r>
      <w:r>
        <w:rPr>
          <w:spacing w:val="-3"/>
          <w:sz w:val="16"/>
        </w:rPr>
        <w:t> </w:t>
      </w:r>
      <w:r>
        <w:rPr>
          <w:sz w:val="16"/>
        </w:rPr>
        <w:t>86:</w:t>
      </w:r>
      <w:r>
        <w:rPr>
          <w:spacing w:val="-4"/>
          <w:sz w:val="16"/>
        </w:rPr>
        <w:t> </w:t>
      </w:r>
      <w:r>
        <w:rPr>
          <w:sz w:val="16"/>
        </w:rPr>
        <w:t>“obra</w:t>
      </w:r>
      <w:r>
        <w:rPr>
          <w:spacing w:val="-3"/>
          <w:sz w:val="16"/>
        </w:rPr>
        <w:t> </w:t>
      </w:r>
      <w:r>
        <w:rPr>
          <w:sz w:val="16"/>
        </w:rPr>
        <w:t>sin</w:t>
      </w:r>
      <w:r>
        <w:rPr>
          <w:spacing w:val="-4"/>
          <w:sz w:val="16"/>
        </w:rPr>
        <w:t> </w:t>
      </w:r>
      <w:r>
        <w:rPr>
          <w:sz w:val="16"/>
        </w:rPr>
        <w:t>iniciar”.</w:t>
      </w:r>
      <w:r>
        <w:rPr>
          <w:spacing w:val="-4"/>
          <w:sz w:val="16"/>
        </w:rPr>
        <w:t> </w:t>
      </w:r>
      <w:r>
        <w:rPr>
          <w:sz w:val="16"/>
        </w:rPr>
        <w:t>3.-</w:t>
      </w:r>
      <w:r>
        <w:rPr>
          <w:spacing w:val="-4"/>
          <w:sz w:val="16"/>
        </w:rPr>
        <w:t> </w:t>
      </w:r>
      <w:r>
        <w:rPr>
          <w:sz w:val="16"/>
        </w:rPr>
        <w:t>Obras</w:t>
      </w:r>
      <w:r>
        <w:rPr>
          <w:spacing w:val="-5"/>
          <w:sz w:val="16"/>
        </w:rPr>
        <w:t> </w:t>
      </w:r>
      <w:r>
        <w:rPr>
          <w:sz w:val="16"/>
        </w:rPr>
        <w:t>de</w:t>
      </w:r>
      <w:r>
        <w:rPr>
          <w:spacing w:val="-5"/>
          <w:sz w:val="16"/>
        </w:rPr>
        <w:t> </w:t>
      </w:r>
      <w:r>
        <w:rPr>
          <w:sz w:val="16"/>
        </w:rPr>
        <w:t>la</w:t>
      </w:r>
      <w:r>
        <w:rPr>
          <w:spacing w:val="-3"/>
          <w:sz w:val="16"/>
        </w:rPr>
        <w:t> </w:t>
      </w:r>
      <w:r>
        <w:rPr>
          <w:sz w:val="16"/>
        </w:rPr>
        <w:t>Ruta</w:t>
      </w:r>
      <w:r>
        <w:rPr>
          <w:spacing w:val="-3"/>
          <w:sz w:val="16"/>
        </w:rPr>
        <w:t> </w:t>
      </w:r>
      <w:r>
        <w:rPr>
          <w:sz w:val="16"/>
        </w:rPr>
        <w:t>Provincial</w:t>
      </w:r>
      <w:r>
        <w:rPr>
          <w:spacing w:val="-6"/>
          <w:sz w:val="16"/>
        </w:rPr>
        <w:t> </w:t>
      </w:r>
      <w:r>
        <w:rPr>
          <w:sz w:val="16"/>
        </w:rPr>
        <w:t>54:</w:t>
      </w:r>
      <w:r>
        <w:rPr>
          <w:spacing w:val="-6"/>
          <w:sz w:val="16"/>
        </w:rPr>
        <w:t> </w:t>
      </w:r>
      <w:r>
        <w:rPr>
          <w:sz w:val="16"/>
        </w:rPr>
        <w:t>fueron</w:t>
      </w:r>
      <w:r>
        <w:rPr>
          <w:spacing w:val="-4"/>
          <w:sz w:val="16"/>
        </w:rPr>
        <w:t> </w:t>
      </w:r>
      <w:r>
        <w:rPr>
          <w:sz w:val="16"/>
        </w:rPr>
        <w:t>sobre</w:t>
      </w:r>
      <w:r>
        <w:rPr>
          <w:spacing w:val="-5"/>
          <w:sz w:val="16"/>
        </w:rPr>
        <w:t> </w:t>
      </w:r>
      <w:r>
        <w:rPr>
          <w:sz w:val="16"/>
        </w:rPr>
        <w:t>el “trazado</w:t>
      </w:r>
      <w:r>
        <w:rPr>
          <w:spacing w:val="-3"/>
          <w:sz w:val="16"/>
        </w:rPr>
        <w:t> </w:t>
      </w:r>
      <w:r>
        <w:rPr>
          <w:sz w:val="16"/>
        </w:rPr>
        <w:t>ya</w:t>
      </w:r>
      <w:r>
        <w:rPr>
          <w:spacing w:val="-4"/>
          <w:sz w:val="16"/>
        </w:rPr>
        <w:t> </w:t>
      </w:r>
      <w:r>
        <w:rPr>
          <w:sz w:val="16"/>
        </w:rPr>
        <w:t>existente</w:t>
      </w:r>
      <w:r>
        <w:rPr>
          <w:spacing w:val="-4"/>
          <w:sz w:val="16"/>
        </w:rPr>
        <w:t> </w:t>
      </w:r>
      <w:r>
        <w:rPr>
          <w:sz w:val="16"/>
        </w:rPr>
        <w:t>sin</w:t>
      </w:r>
      <w:r>
        <w:rPr>
          <w:spacing w:val="-3"/>
          <w:sz w:val="16"/>
        </w:rPr>
        <w:t> </w:t>
      </w:r>
      <w:r>
        <w:rPr>
          <w:sz w:val="16"/>
        </w:rPr>
        <w:t>modificar</w:t>
      </w:r>
      <w:r>
        <w:rPr>
          <w:spacing w:val="-3"/>
          <w:sz w:val="16"/>
        </w:rPr>
        <w:t> </w:t>
      </w:r>
      <w:r>
        <w:rPr>
          <w:sz w:val="16"/>
        </w:rPr>
        <w:t>el</w:t>
      </w:r>
      <w:r>
        <w:rPr>
          <w:spacing w:val="-2"/>
          <w:sz w:val="16"/>
        </w:rPr>
        <w:t> </w:t>
      </w:r>
      <w:r>
        <w:rPr>
          <w:sz w:val="16"/>
        </w:rPr>
        <w:t>territorio</w:t>
      </w:r>
      <w:r>
        <w:rPr>
          <w:spacing w:val="-3"/>
          <w:sz w:val="16"/>
        </w:rPr>
        <w:t> </w:t>
      </w:r>
      <w:r>
        <w:rPr>
          <w:sz w:val="16"/>
        </w:rPr>
        <w:t>de</w:t>
      </w:r>
      <w:r>
        <w:rPr>
          <w:spacing w:val="-1"/>
          <w:sz w:val="16"/>
        </w:rPr>
        <w:t> </w:t>
      </w:r>
      <w:r>
        <w:rPr>
          <w:sz w:val="16"/>
        </w:rPr>
        <w:t>las</w:t>
      </w:r>
      <w:r>
        <w:rPr>
          <w:spacing w:val="-4"/>
          <w:sz w:val="16"/>
        </w:rPr>
        <w:t> </w:t>
      </w:r>
      <w:r>
        <w:rPr>
          <w:sz w:val="16"/>
        </w:rPr>
        <w:t>Comunidades”,</w:t>
      </w:r>
      <w:r>
        <w:rPr>
          <w:spacing w:val="-5"/>
          <w:sz w:val="16"/>
        </w:rPr>
        <w:t> </w:t>
      </w:r>
      <w:r>
        <w:rPr>
          <w:sz w:val="16"/>
        </w:rPr>
        <w:t>y</w:t>
      </w:r>
      <w:r>
        <w:rPr>
          <w:spacing w:val="-5"/>
          <w:sz w:val="16"/>
        </w:rPr>
        <w:t> </w:t>
      </w:r>
      <w:r>
        <w:rPr>
          <w:sz w:val="16"/>
        </w:rPr>
        <w:t>4.-</w:t>
      </w:r>
      <w:r>
        <w:rPr>
          <w:spacing w:val="-2"/>
          <w:sz w:val="16"/>
        </w:rPr>
        <w:t> </w:t>
      </w:r>
      <w:r>
        <w:rPr>
          <w:sz w:val="16"/>
        </w:rPr>
        <w:t>Exploración</w:t>
      </w:r>
      <w:r>
        <w:rPr>
          <w:spacing w:val="-4"/>
          <w:sz w:val="16"/>
        </w:rPr>
        <w:t> </w:t>
      </w:r>
      <w:r>
        <w:rPr>
          <w:sz w:val="16"/>
        </w:rPr>
        <w:t>de</w:t>
      </w:r>
      <w:r>
        <w:rPr>
          <w:spacing w:val="-4"/>
          <w:sz w:val="16"/>
        </w:rPr>
        <w:t> </w:t>
      </w:r>
      <w:r>
        <w:rPr>
          <w:sz w:val="16"/>
        </w:rPr>
        <w:t>Hidrocarburos:</w:t>
      </w:r>
      <w:r>
        <w:rPr>
          <w:spacing w:val="-5"/>
          <w:sz w:val="16"/>
        </w:rPr>
        <w:t> </w:t>
      </w:r>
      <w:r>
        <w:rPr>
          <w:sz w:val="16"/>
        </w:rPr>
        <w:t>“No se inició el proceso de exploración en el territorio de las</w:t>
      </w:r>
      <w:r>
        <w:rPr>
          <w:spacing w:val="-25"/>
          <w:sz w:val="16"/>
        </w:rPr>
        <w:t> </w:t>
      </w:r>
      <w:r>
        <w:rPr>
          <w:sz w:val="16"/>
        </w:rPr>
        <w:t>comunidades”.</w:t>
      </w:r>
    </w:p>
    <w:p>
      <w:pPr>
        <w:spacing w:after="0" w:line="240" w:lineRule="auto"/>
        <w:jc w:val="both"/>
        <w:rPr>
          <w:sz w:val="16"/>
        </w:rPr>
        <w:sectPr>
          <w:pgSz w:w="12240" w:h="15840"/>
          <w:pgMar w:header="0" w:footer="1000" w:top="1340" w:bottom="1200" w:left="1580" w:right="1580"/>
        </w:sectPr>
      </w:pPr>
    </w:p>
    <w:p>
      <w:pPr>
        <w:pStyle w:val="BodyText"/>
        <w:spacing w:before="76"/>
        <w:ind w:left="122" w:right="130"/>
        <w:jc w:val="both"/>
      </w:pPr>
      <w:r>
        <w:rPr/>
        <w:t>proyectada ninguna obra pública o concesión en la zona. Manifestó también, que los representantes de Lhaka Honhat son convocados sistemáticamente a cada una de las actividades</w:t>
      </w:r>
      <w:r>
        <w:rPr>
          <w:spacing w:val="-7"/>
        </w:rPr>
        <w:t> </w:t>
      </w:r>
      <w:r>
        <w:rPr/>
        <w:t>de</w:t>
      </w:r>
      <w:r>
        <w:rPr>
          <w:spacing w:val="-8"/>
        </w:rPr>
        <w:t> </w:t>
      </w:r>
      <w:r>
        <w:rPr/>
        <w:t>la</w:t>
      </w:r>
      <w:r>
        <w:rPr>
          <w:spacing w:val="-6"/>
        </w:rPr>
        <w:t> </w:t>
      </w:r>
      <w:r>
        <w:rPr/>
        <w:t>UEP</w:t>
      </w:r>
      <w:r>
        <w:rPr>
          <w:spacing w:val="-7"/>
        </w:rPr>
        <w:t> </w:t>
      </w:r>
      <w:r>
        <w:rPr/>
        <w:t>y</w:t>
      </w:r>
      <w:r>
        <w:rPr>
          <w:spacing w:val="-7"/>
        </w:rPr>
        <w:t> </w:t>
      </w:r>
      <w:r>
        <w:rPr/>
        <w:t>son</w:t>
      </w:r>
      <w:r>
        <w:rPr>
          <w:spacing w:val="-6"/>
        </w:rPr>
        <w:t> </w:t>
      </w:r>
      <w:r>
        <w:rPr/>
        <w:t>informados</w:t>
      </w:r>
      <w:r>
        <w:rPr>
          <w:spacing w:val="-7"/>
        </w:rPr>
        <w:t> </w:t>
      </w:r>
      <w:r>
        <w:rPr/>
        <w:t>periódicamente</w:t>
      </w:r>
      <w:r>
        <w:rPr>
          <w:spacing w:val="-8"/>
        </w:rPr>
        <w:t> </w:t>
      </w:r>
      <w:r>
        <w:rPr/>
        <w:t>de</w:t>
      </w:r>
      <w:r>
        <w:rPr>
          <w:spacing w:val="-8"/>
        </w:rPr>
        <w:t> </w:t>
      </w:r>
      <w:r>
        <w:rPr/>
        <w:t>los</w:t>
      </w:r>
      <w:r>
        <w:rPr>
          <w:spacing w:val="-7"/>
        </w:rPr>
        <w:t> </w:t>
      </w:r>
      <w:r>
        <w:rPr/>
        <w:t>avances</w:t>
      </w:r>
      <w:r>
        <w:rPr>
          <w:spacing w:val="-7"/>
        </w:rPr>
        <w:t> </w:t>
      </w:r>
      <w:r>
        <w:rPr/>
        <w:t>logrados</w:t>
      </w:r>
      <w:r>
        <w:rPr>
          <w:spacing w:val="-5"/>
        </w:rPr>
        <w:t> </w:t>
      </w:r>
      <w:r>
        <w:rPr/>
        <w:t>en</w:t>
      </w:r>
      <w:r>
        <w:rPr>
          <w:spacing w:val="-6"/>
        </w:rPr>
        <w:t> </w:t>
      </w:r>
      <w:r>
        <w:rPr/>
        <w:t>todo lo referido a su territorio y</w:t>
      </w:r>
      <w:r>
        <w:rPr>
          <w:spacing w:val="-20"/>
        </w:rPr>
        <w:t> </w:t>
      </w:r>
      <w:r>
        <w:rPr/>
        <w:t>recursos</w:t>
      </w:r>
      <w:r>
        <w:rPr>
          <w:position w:val="7"/>
          <w:sz w:val="13"/>
        </w:rPr>
        <w:t>158</w:t>
      </w:r>
      <w:r>
        <w:rPr/>
        <w:t>.</w:t>
      </w:r>
    </w:p>
    <w:p>
      <w:pPr>
        <w:pStyle w:val="BodyText"/>
        <w:rPr>
          <w:sz w:val="22"/>
        </w:rPr>
      </w:pPr>
    </w:p>
    <w:p>
      <w:pPr>
        <w:pStyle w:val="Heading4"/>
        <w:numPr>
          <w:ilvl w:val="1"/>
          <w:numId w:val="28"/>
        </w:numPr>
        <w:tabs>
          <w:tab w:pos="1114" w:val="left" w:leader="none"/>
        </w:tabs>
        <w:spacing w:line="240" w:lineRule="auto" w:before="0" w:after="0"/>
        <w:ind w:left="1113" w:right="0" w:hanging="425"/>
        <w:jc w:val="left"/>
        <w:rPr>
          <w:i/>
        </w:rPr>
      </w:pPr>
      <w:bookmarkStart w:name="_bookmark53" w:id="90"/>
      <w:bookmarkEnd w:id="90"/>
      <w:r>
        <w:rPr>
          <w:b w:val="0"/>
          <w:i w:val="0"/>
        </w:rPr>
      </w:r>
      <w:bookmarkStart w:name="_bookmark53" w:id="91"/>
      <w:bookmarkEnd w:id="91"/>
      <w:r>
        <w:rPr>
          <w:i/>
        </w:rPr>
        <w:t>C</w:t>
      </w:r>
      <w:r>
        <w:rPr>
          <w:i/>
        </w:rPr>
        <w:t>onsideraciones de la</w:t>
      </w:r>
      <w:r>
        <w:rPr>
          <w:i/>
          <w:spacing w:val="-10"/>
        </w:rPr>
        <w:t> </w:t>
      </w:r>
      <w:r>
        <w:rPr>
          <w:i/>
        </w:rPr>
        <w:t>Corte</w:t>
      </w:r>
    </w:p>
    <w:p>
      <w:pPr>
        <w:pStyle w:val="BodyText"/>
        <w:rPr>
          <w:b/>
          <w:i/>
        </w:rPr>
      </w:pPr>
    </w:p>
    <w:p>
      <w:pPr>
        <w:pStyle w:val="ListParagraph"/>
        <w:numPr>
          <w:ilvl w:val="0"/>
          <w:numId w:val="27"/>
        </w:numPr>
        <w:tabs>
          <w:tab w:pos="830" w:val="left" w:leader="none"/>
        </w:tabs>
        <w:spacing w:line="240" w:lineRule="auto" w:before="1" w:after="0"/>
        <w:ind w:left="122" w:right="124" w:firstLine="0"/>
        <w:jc w:val="both"/>
        <w:rPr>
          <w:sz w:val="20"/>
        </w:rPr>
      </w:pPr>
      <w:r>
        <w:rPr>
          <w:sz w:val="20"/>
        </w:rPr>
        <w:t>A</w:t>
      </w:r>
      <w:r>
        <w:rPr>
          <w:spacing w:val="-12"/>
          <w:sz w:val="20"/>
        </w:rPr>
        <w:t> </w:t>
      </w:r>
      <w:r>
        <w:rPr>
          <w:sz w:val="20"/>
        </w:rPr>
        <w:t>fin</w:t>
      </w:r>
      <w:r>
        <w:rPr>
          <w:spacing w:val="-12"/>
          <w:sz w:val="20"/>
        </w:rPr>
        <w:t> </w:t>
      </w:r>
      <w:r>
        <w:rPr>
          <w:sz w:val="20"/>
        </w:rPr>
        <w:t>de</w:t>
      </w:r>
      <w:r>
        <w:rPr>
          <w:spacing w:val="-14"/>
          <w:sz w:val="20"/>
        </w:rPr>
        <w:t> </w:t>
      </w:r>
      <w:r>
        <w:rPr>
          <w:sz w:val="20"/>
        </w:rPr>
        <w:t>garantizar</w:t>
      </w:r>
      <w:r>
        <w:rPr>
          <w:spacing w:val="-14"/>
          <w:sz w:val="20"/>
        </w:rPr>
        <w:t> </w:t>
      </w:r>
      <w:r>
        <w:rPr>
          <w:sz w:val="20"/>
        </w:rPr>
        <w:t>el</w:t>
      </w:r>
      <w:r>
        <w:rPr>
          <w:spacing w:val="-10"/>
          <w:sz w:val="20"/>
        </w:rPr>
        <w:t> </w:t>
      </w:r>
      <w:r>
        <w:rPr>
          <w:sz w:val="20"/>
        </w:rPr>
        <w:t>uso</w:t>
      </w:r>
      <w:r>
        <w:rPr>
          <w:spacing w:val="-14"/>
          <w:sz w:val="20"/>
        </w:rPr>
        <w:t> </w:t>
      </w:r>
      <w:r>
        <w:rPr>
          <w:sz w:val="20"/>
        </w:rPr>
        <w:t>y</w:t>
      </w:r>
      <w:r>
        <w:rPr>
          <w:spacing w:val="-13"/>
          <w:sz w:val="20"/>
        </w:rPr>
        <w:t> </w:t>
      </w:r>
      <w:r>
        <w:rPr>
          <w:sz w:val="20"/>
        </w:rPr>
        <w:t>goce</w:t>
      </w:r>
      <w:r>
        <w:rPr>
          <w:spacing w:val="-14"/>
          <w:sz w:val="20"/>
        </w:rPr>
        <w:t> </w:t>
      </w:r>
      <w:r>
        <w:rPr>
          <w:sz w:val="20"/>
        </w:rPr>
        <w:t>de</w:t>
      </w:r>
      <w:r>
        <w:rPr>
          <w:spacing w:val="-14"/>
          <w:sz w:val="20"/>
        </w:rPr>
        <w:t> </w:t>
      </w:r>
      <w:r>
        <w:rPr>
          <w:sz w:val="20"/>
        </w:rPr>
        <w:t>la</w:t>
      </w:r>
      <w:r>
        <w:rPr>
          <w:spacing w:val="-12"/>
          <w:sz w:val="20"/>
        </w:rPr>
        <w:t> </w:t>
      </w:r>
      <w:r>
        <w:rPr>
          <w:sz w:val="20"/>
        </w:rPr>
        <w:t>propiedad</w:t>
      </w:r>
      <w:r>
        <w:rPr>
          <w:spacing w:val="-12"/>
          <w:sz w:val="20"/>
        </w:rPr>
        <w:t> </w:t>
      </w:r>
      <w:r>
        <w:rPr>
          <w:sz w:val="20"/>
        </w:rPr>
        <w:t>colectiva,</w:t>
      </w:r>
      <w:r>
        <w:rPr>
          <w:spacing w:val="-13"/>
          <w:sz w:val="20"/>
        </w:rPr>
        <w:t> </w:t>
      </w:r>
      <w:r>
        <w:rPr>
          <w:sz w:val="20"/>
        </w:rPr>
        <w:t>el</w:t>
      </w:r>
      <w:r>
        <w:rPr>
          <w:spacing w:val="-10"/>
          <w:sz w:val="20"/>
        </w:rPr>
        <w:t> </w:t>
      </w:r>
      <w:r>
        <w:rPr>
          <w:sz w:val="20"/>
        </w:rPr>
        <w:t>Estado</w:t>
      </w:r>
      <w:r>
        <w:rPr>
          <w:spacing w:val="-14"/>
          <w:sz w:val="20"/>
        </w:rPr>
        <w:t> </w:t>
      </w:r>
      <w:r>
        <w:rPr>
          <w:sz w:val="20"/>
        </w:rPr>
        <w:t>debe</w:t>
      </w:r>
      <w:r>
        <w:rPr>
          <w:spacing w:val="-14"/>
          <w:sz w:val="20"/>
        </w:rPr>
        <w:t> </w:t>
      </w:r>
      <w:r>
        <w:rPr>
          <w:sz w:val="20"/>
        </w:rPr>
        <w:t>cumplir ciertas salvaguardas, que se enuncian en el párrafo siguiente. Las mismas son debidas a fin de resguardar la propiedad y también en función del derecho de los pueblos indígenas a participar en decisiones que afecten sus derechos. Conforme la Corte ha indicado, en razón de los “derechos políticos” de participación receptados en el artículo 23</w:t>
      </w:r>
      <w:r>
        <w:rPr>
          <w:spacing w:val="-6"/>
          <w:sz w:val="20"/>
        </w:rPr>
        <w:t> </w:t>
      </w:r>
      <w:r>
        <w:rPr>
          <w:sz w:val="20"/>
        </w:rPr>
        <w:t>de</w:t>
      </w:r>
      <w:r>
        <w:rPr>
          <w:spacing w:val="-6"/>
          <w:sz w:val="20"/>
        </w:rPr>
        <w:t> </w:t>
      </w:r>
      <w:r>
        <w:rPr>
          <w:sz w:val="20"/>
        </w:rPr>
        <w:t>la</w:t>
      </w:r>
      <w:r>
        <w:rPr>
          <w:spacing w:val="-4"/>
          <w:sz w:val="20"/>
        </w:rPr>
        <w:t> </w:t>
      </w:r>
      <w:r>
        <w:rPr>
          <w:sz w:val="20"/>
        </w:rPr>
        <w:t>Convención,</w:t>
      </w:r>
      <w:r>
        <w:rPr>
          <w:spacing w:val="-5"/>
          <w:sz w:val="20"/>
        </w:rPr>
        <w:t> </w:t>
      </w:r>
      <w:r>
        <w:rPr>
          <w:sz w:val="20"/>
        </w:rPr>
        <w:t>en</w:t>
      </w:r>
      <w:r>
        <w:rPr>
          <w:spacing w:val="-3"/>
          <w:sz w:val="20"/>
        </w:rPr>
        <w:t> </w:t>
      </w:r>
      <w:r>
        <w:rPr>
          <w:sz w:val="20"/>
        </w:rPr>
        <w:t>cuestiones</w:t>
      </w:r>
      <w:r>
        <w:rPr>
          <w:spacing w:val="-5"/>
          <w:sz w:val="20"/>
        </w:rPr>
        <w:t> </w:t>
      </w:r>
      <w:r>
        <w:rPr>
          <w:sz w:val="20"/>
        </w:rPr>
        <w:t>atinentes a</w:t>
      </w:r>
      <w:r>
        <w:rPr>
          <w:spacing w:val="-1"/>
          <w:sz w:val="20"/>
        </w:rPr>
        <w:t> </w:t>
      </w:r>
      <w:r>
        <w:rPr>
          <w:sz w:val="20"/>
        </w:rPr>
        <w:t>sus</w:t>
      </w:r>
      <w:r>
        <w:rPr>
          <w:spacing w:val="-7"/>
          <w:sz w:val="20"/>
        </w:rPr>
        <w:t> </w:t>
      </w:r>
      <w:r>
        <w:rPr>
          <w:sz w:val="20"/>
        </w:rPr>
        <w:t>tierras,</w:t>
      </w:r>
      <w:r>
        <w:rPr>
          <w:spacing w:val="-5"/>
          <w:sz w:val="20"/>
        </w:rPr>
        <w:t> </w:t>
      </w:r>
      <w:r>
        <w:rPr>
          <w:sz w:val="20"/>
        </w:rPr>
        <w:t>los</w:t>
      </w:r>
      <w:r>
        <w:rPr>
          <w:spacing w:val="-5"/>
          <w:sz w:val="20"/>
        </w:rPr>
        <w:t> </w:t>
      </w:r>
      <w:r>
        <w:rPr>
          <w:sz w:val="20"/>
        </w:rPr>
        <w:t>pueblos</w:t>
      </w:r>
      <w:r>
        <w:rPr>
          <w:spacing w:val="-4"/>
          <w:sz w:val="20"/>
        </w:rPr>
        <w:t> </w:t>
      </w:r>
      <w:r>
        <w:rPr>
          <w:sz w:val="20"/>
        </w:rPr>
        <w:t>indígenas</w:t>
      </w:r>
      <w:r>
        <w:rPr>
          <w:spacing w:val="-7"/>
          <w:sz w:val="20"/>
        </w:rPr>
        <w:t> </w:t>
      </w:r>
      <w:r>
        <w:rPr>
          <w:sz w:val="20"/>
        </w:rPr>
        <w:t>deben ser consultados de forma adecuada a través de instituciones representativas de los mismos</w:t>
      </w:r>
      <w:r>
        <w:rPr>
          <w:position w:val="7"/>
          <w:sz w:val="13"/>
        </w:rPr>
        <w:t>159</w:t>
      </w:r>
      <w:r>
        <w:rPr>
          <w:sz w:val="20"/>
        </w:rPr>
        <w:t>.</w:t>
      </w:r>
    </w:p>
    <w:p>
      <w:pPr>
        <w:pStyle w:val="BodyText"/>
        <w:spacing w:before="11"/>
        <w:rPr>
          <w:sz w:val="19"/>
        </w:rPr>
      </w:pPr>
    </w:p>
    <w:p>
      <w:pPr>
        <w:pStyle w:val="ListParagraph"/>
        <w:numPr>
          <w:ilvl w:val="0"/>
          <w:numId w:val="27"/>
        </w:numPr>
        <w:tabs>
          <w:tab w:pos="830" w:val="left" w:leader="none"/>
        </w:tabs>
        <w:spacing w:line="240" w:lineRule="auto" w:before="0" w:after="0"/>
        <w:ind w:left="122" w:right="122" w:firstLine="0"/>
        <w:jc w:val="both"/>
        <w:rPr>
          <w:sz w:val="20"/>
        </w:rPr>
      </w:pPr>
      <w:r>
        <w:rPr>
          <w:sz w:val="20"/>
        </w:rPr>
        <w:t>De</w:t>
      </w:r>
      <w:r>
        <w:rPr>
          <w:spacing w:val="-14"/>
          <w:sz w:val="20"/>
        </w:rPr>
        <w:t> </w:t>
      </w:r>
      <w:r>
        <w:rPr>
          <w:sz w:val="20"/>
        </w:rPr>
        <w:t>acuerdo</w:t>
      </w:r>
      <w:r>
        <w:rPr>
          <w:spacing w:val="-11"/>
          <w:sz w:val="20"/>
        </w:rPr>
        <w:t> </w:t>
      </w:r>
      <w:r>
        <w:rPr>
          <w:sz w:val="20"/>
        </w:rPr>
        <w:t>con</w:t>
      </w:r>
      <w:r>
        <w:rPr>
          <w:spacing w:val="-12"/>
          <w:sz w:val="20"/>
        </w:rPr>
        <w:t> </w:t>
      </w:r>
      <w:r>
        <w:rPr>
          <w:sz w:val="20"/>
        </w:rPr>
        <w:t>lo</w:t>
      </w:r>
      <w:r>
        <w:rPr>
          <w:spacing w:val="-14"/>
          <w:sz w:val="20"/>
        </w:rPr>
        <w:t> </w:t>
      </w:r>
      <w:r>
        <w:rPr>
          <w:sz w:val="20"/>
        </w:rPr>
        <w:t>que</w:t>
      </w:r>
      <w:r>
        <w:rPr>
          <w:spacing w:val="-14"/>
          <w:sz w:val="20"/>
        </w:rPr>
        <w:t> </w:t>
      </w:r>
      <w:r>
        <w:rPr>
          <w:sz w:val="20"/>
        </w:rPr>
        <w:t>ha</w:t>
      </w:r>
      <w:r>
        <w:rPr>
          <w:spacing w:val="-12"/>
          <w:sz w:val="20"/>
        </w:rPr>
        <w:t> </w:t>
      </w:r>
      <w:r>
        <w:rPr>
          <w:sz w:val="20"/>
        </w:rPr>
        <w:t>indicado</w:t>
      </w:r>
      <w:r>
        <w:rPr>
          <w:spacing w:val="-13"/>
          <w:sz w:val="20"/>
        </w:rPr>
        <w:t> </w:t>
      </w:r>
      <w:r>
        <w:rPr>
          <w:sz w:val="20"/>
        </w:rPr>
        <w:t>la</w:t>
      </w:r>
      <w:r>
        <w:rPr>
          <w:spacing w:val="-12"/>
          <w:sz w:val="20"/>
        </w:rPr>
        <w:t> </w:t>
      </w:r>
      <w:r>
        <w:rPr>
          <w:sz w:val="20"/>
        </w:rPr>
        <w:t>Corte,</w:t>
      </w:r>
      <w:r>
        <w:rPr>
          <w:spacing w:val="-11"/>
          <w:sz w:val="20"/>
        </w:rPr>
        <w:t> </w:t>
      </w:r>
      <w:r>
        <w:rPr>
          <w:sz w:val="20"/>
        </w:rPr>
        <w:t>respecto</w:t>
      </w:r>
      <w:r>
        <w:rPr>
          <w:spacing w:val="-11"/>
          <w:sz w:val="20"/>
        </w:rPr>
        <w:t> </w:t>
      </w:r>
      <w:r>
        <w:rPr>
          <w:sz w:val="20"/>
        </w:rPr>
        <w:t>a</w:t>
      </w:r>
      <w:r>
        <w:rPr>
          <w:spacing w:val="-10"/>
          <w:sz w:val="20"/>
        </w:rPr>
        <w:t> </w:t>
      </w:r>
      <w:r>
        <w:rPr>
          <w:sz w:val="20"/>
        </w:rPr>
        <w:t>obras</w:t>
      </w:r>
      <w:r>
        <w:rPr>
          <w:spacing w:val="-11"/>
          <w:sz w:val="20"/>
        </w:rPr>
        <w:t> </w:t>
      </w:r>
      <w:r>
        <w:rPr>
          <w:sz w:val="20"/>
        </w:rPr>
        <w:t>o</w:t>
      </w:r>
      <w:r>
        <w:rPr>
          <w:spacing w:val="-11"/>
          <w:sz w:val="20"/>
        </w:rPr>
        <w:t> </w:t>
      </w:r>
      <w:r>
        <w:rPr>
          <w:sz w:val="20"/>
        </w:rPr>
        <w:t>actividades</w:t>
      </w:r>
      <w:r>
        <w:rPr>
          <w:spacing w:val="-7"/>
          <w:sz w:val="20"/>
        </w:rPr>
        <w:t> </w:t>
      </w:r>
      <w:r>
        <w:rPr>
          <w:sz w:val="20"/>
        </w:rPr>
        <w:t>dentro del</w:t>
      </w:r>
      <w:r>
        <w:rPr>
          <w:spacing w:val="-8"/>
          <w:sz w:val="20"/>
        </w:rPr>
        <w:t> </w:t>
      </w:r>
      <w:r>
        <w:rPr>
          <w:sz w:val="20"/>
        </w:rPr>
        <w:t>territorio</w:t>
      </w:r>
      <w:r>
        <w:rPr>
          <w:spacing w:val="-9"/>
          <w:sz w:val="20"/>
        </w:rPr>
        <w:t> </w:t>
      </w:r>
      <w:r>
        <w:rPr>
          <w:sz w:val="20"/>
        </w:rPr>
        <w:t>indígena,</w:t>
      </w:r>
      <w:r>
        <w:rPr>
          <w:spacing w:val="-6"/>
          <w:sz w:val="20"/>
        </w:rPr>
        <w:t> </w:t>
      </w:r>
      <w:r>
        <w:rPr>
          <w:sz w:val="20"/>
        </w:rPr>
        <w:t>el</w:t>
      </w:r>
      <w:r>
        <w:rPr>
          <w:spacing w:val="-8"/>
          <w:sz w:val="20"/>
        </w:rPr>
        <w:t> </w:t>
      </w:r>
      <w:r>
        <w:rPr>
          <w:sz w:val="20"/>
        </w:rPr>
        <w:t>Estado,</w:t>
      </w:r>
      <w:r>
        <w:rPr>
          <w:spacing w:val="-6"/>
          <w:sz w:val="20"/>
        </w:rPr>
        <w:t> </w:t>
      </w:r>
      <w:r>
        <w:rPr>
          <w:sz w:val="20"/>
        </w:rPr>
        <w:t>por</w:t>
      </w:r>
      <w:r>
        <w:rPr>
          <w:spacing w:val="-9"/>
          <w:sz w:val="20"/>
        </w:rPr>
        <w:t> </w:t>
      </w:r>
      <w:r>
        <w:rPr>
          <w:sz w:val="20"/>
        </w:rPr>
        <w:t>una</w:t>
      </w:r>
      <w:r>
        <w:rPr>
          <w:spacing w:val="-8"/>
          <w:sz w:val="20"/>
        </w:rPr>
        <w:t> </w:t>
      </w:r>
      <w:r>
        <w:rPr>
          <w:sz w:val="20"/>
        </w:rPr>
        <w:t>parte,</w:t>
      </w:r>
      <w:r>
        <w:rPr>
          <w:spacing w:val="-6"/>
          <w:sz w:val="20"/>
        </w:rPr>
        <w:t> </w:t>
      </w:r>
      <w:r>
        <w:rPr>
          <w:sz w:val="20"/>
        </w:rPr>
        <w:t>debe</w:t>
      </w:r>
      <w:r>
        <w:rPr>
          <w:spacing w:val="-7"/>
          <w:sz w:val="20"/>
        </w:rPr>
        <w:t> </w:t>
      </w:r>
      <w:r>
        <w:rPr>
          <w:sz w:val="20"/>
        </w:rPr>
        <w:t>observar</w:t>
      </w:r>
      <w:r>
        <w:rPr>
          <w:spacing w:val="-9"/>
          <w:sz w:val="20"/>
        </w:rPr>
        <w:t> </w:t>
      </w:r>
      <w:r>
        <w:rPr>
          <w:sz w:val="20"/>
        </w:rPr>
        <w:t>los</w:t>
      </w:r>
      <w:r>
        <w:rPr>
          <w:spacing w:val="-6"/>
          <w:sz w:val="20"/>
        </w:rPr>
        <w:t> </w:t>
      </w:r>
      <w:r>
        <w:rPr>
          <w:sz w:val="20"/>
        </w:rPr>
        <w:t>requisitos</w:t>
      </w:r>
      <w:r>
        <w:rPr>
          <w:spacing w:val="-6"/>
          <w:sz w:val="20"/>
        </w:rPr>
        <w:t> </w:t>
      </w:r>
      <w:r>
        <w:rPr>
          <w:sz w:val="20"/>
        </w:rPr>
        <w:t>comunes</w:t>
      </w:r>
      <w:r>
        <w:rPr>
          <w:spacing w:val="-6"/>
          <w:sz w:val="20"/>
        </w:rPr>
        <w:t> </w:t>
      </w:r>
      <w:r>
        <w:rPr>
          <w:sz w:val="20"/>
        </w:rPr>
        <w:t>a toda limitación al derecho de propiedad por “razones de utilidad pública o de interés social” de acuerdo al artículo 21 de la Convención, lo que implica el pago de una indemnización</w:t>
      </w:r>
      <w:r>
        <w:rPr>
          <w:position w:val="8"/>
          <w:sz w:val="14"/>
        </w:rPr>
        <w:t>160</w:t>
      </w:r>
      <w:r>
        <w:rPr>
          <w:sz w:val="20"/>
        </w:rPr>
        <w:t>. Por otra parte, debe cumplir “con las siguientes tres garantías”: en primer lugar, “asegurar la participación efectiva” de los pueblos o comunidades, “de conformidad</w:t>
      </w:r>
      <w:r>
        <w:rPr>
          <w:spacing w:val="-13"/>
          <w:sz w:val="20"/>
        </w:rPr>
        <w:t> </w:t>
      </w:r>
      <w:r>
        <w:rPr>
          <w:sz w:val="20"/>
        </w:rPr>
        <w:t>con</w:t>
      </w:r>
      <w:r>
        <w:rPr>
          <w:spacing w:val="-15"/>
          <w:sz w:val="20"/>
        </w:rPr>
        <w:t> </w:t>
      </w:r>
      <w:r>
        <w:rPr>
          <w:sz w:val="20"/>
        </w:rPr>
        <w:t>sus</w:t>
      </w:r>
      <w:r>
        <w:rPr>
          <w:spacing w:val="-17"/>
          <w:sz w:val="20"/>
        </w:rPr>
        <w:t> </w:t>
      </w:r>
      <w:r>
        <w:rPr>
          <w:sz w:val="20"/>
        </w:rPr>
        <w:t>costumbres</w:t>
      </w:r>
      <w:r>
        <w:rPr>
          <w:spacing w:val="-14"/>
          <w:sz w:val="20"/>
        </w:rPr>
        <w:t> </w:t>
      </w:r>
      <w:r>
        <w:rPr>
          <w:sz w:val="20"/>
        </w:rPr>
        <w:t>y</w:t>
      </w:r>
      <w:r>
        <w:rPr>
          <w:spacing w:val="-16"/>
          <w:sz w:val="20"/>
        </w:rPr>
        <w:t> </w:t>
      </w:r>
      <w:r>
        <w:rPr>
          <w:sz w:val="20"/>
        </w:rPr>
        <w:t>tradiciones”,</w:t>
      </w:r>
      <w:r>
        <w:rPr>
          <w:spacing w:val="-11"/>
          <w:sz w:val="20"/>
        </w:rPr>
        <w:t> </w:t>
      </w:r>
      <w:r>
        <w:rPr>
          <w:sz w:val="20"/>
        </w:rPr>
        <w:t>deber</w:t>
      </w:r>
      <w:r>
        <w:rPr>
          <w:spacing w:val="-16"/>
          <w:sz w:val="20"/>
        </w:rPr>
        <w:t> </w:t>
      </w:r>
      <w:r>
        <w:rPr>
          <w:sz w:val="20"/>
        </w:rPr>
        <w:t>que</w:t>
      </w:r>
      <w:r>
        <w:rPr>
          <w:spacing w:val="-15"/>
          <w:sz w:val="20"/>
        </w:rPr>
        <w:t> </w:t>
      </w:r>
      <w:r>
        <w:rPr>
          <w:sz w:val="20"/>
        </w:rPr>
        <w:t>requiere</w:t>
      </w:r>
      <w:r>
        <w:rPr>
          <w:spacing w:val="-17"/>
          <w:sz w:val="20"/>
        </w:rPr>
        <w:t> </w:t>
      </w:r>
      <w:r>
        <w:rPr>
          <w:sz w:val="20"/>
        </w:rPr>
        <w:t>que</w:t>
      </w:r>
      <w:r>
        <w:rPr>
          <w:spacing w:val="-15"/>
          <w:sz w:val="20"/>
        </w:rPr>
        <w:t> </w:t>
      </w:r>
      <w:r>
        <w:rPr>
          <w:sz w:val="20"/>
        </w:rPr>
        <w:t>el</w:t>
      </w:r>
      <w:r>
        <w:rPr>
          <w:spacing w:val="-16"/>
          <w:sz w:val="20"/>
        </w:rPr>
        <w:t> </w:t>
      </w:r>
      <w:r>
        <w:rPr>
          <w:sz w:val="20"/>
        </w:rPr>
        <w:t>Estado</w:t>
      </w:r>
      <w:r>
        <w:rPr>
          <w:spacing w:val="-17"/>
          <w:sz w:val="20"/>
        </w:rPr>
        <w:t> </w:t>
      </w:r>
      <w:r>
        <w:rPr>
          <w:sz w:val="20"/>
        </w:rPr>
        <w:t>acepte y brinde información, y que implica una comunicación constante entre las partes. Las consultas deben realizarse de buena fe, a través de procedimientos culturalmente adecuados</w:t>
      </w:r>
      <w:r>
        <w:rPr>
          <w:spacing w:val="41"/>
          <w:sz w:val="20"/>
        </w:rPr>
        <w:t> </w:t>
      </w:r>
      <w:r>
        <w:rPr>
          <w:sz w:val="20"/>
        </w:rPr>
        <w:t>y</w:t>
      </w:r>
      <w:r>
        <w:rPr>
          <w:spacing w:val="39"/>
          <w:sz w:val="20"/>
        </w:rPr>
        <w:t> </w:t>
      </w:r>
      <w:r>
        <w:rPr>
          <w:sz w:val="20"/>
        </w:rPr>
        <w:t>deben</w:t>
      </w:r>
      <w:r>
        <w:rPr>
          <w:spacing w:val="43"/>
          <w:sz w:val="20"/>
        </w:rPr>
        <w:t> </w:t>
      </w:r>
      <w:r>
        <w:rPr>
          <w:sz w:val="20"/>
        </w:rPr>
        <w:t>tener</w:t>
      </w:r>
      <w:r>
        <w:rPr>
          <w:spacing w:val="41"/>
          <w:sz w:val="20"/>
        </w:rPr>
        <w:t> </w:t>
      </w:r>
      <w:r>
        <w:rPr>
          <w:sz w:val="20"/>
        </w:rPr>
        <w:t>como</w:t>
      </w:r>
      <w:r>
        <w:rPr>
          <w:spacing w:val="41"/>
          <w:sz w:val="20"/>
        </w:rPr>
        <w:t> </w:t>
      </w:r>
      <w:r>
        <w:rPr>
          <w:sz w:val="20"/>
        </w:rPr>
        <w:t>fin</w:t>
      </w:r>
      <w:r>
        <w:rPr>
          <w:spacing w:val="40"/>
          <w:sz w:val="20"/>
        </w:rPr>
        <w:t> </w:t>
      </w:r>
      <w:r>
        <w:rPr>
          <w:sz w:val="20"/>
        </w:rPr>
        <w:t>llegar</w:t>
      </w:r>
      <w:r>
        <w:rPr>
          <w:spacing w:val="41"/>
          <w:sz w:val="20"/>
        </w:rPr>
        <w:t> </w:t>
      </w:r>
      <w:r>
        <w:rPr>
          <w:sz w:val="20"/>
        </w:rPr>
        <w:t>a</w:t>
      </w:r>
      <w:r>
        <w:rPr>
          <w:spacing w:val="44"/>
          <w:sz w:val="20"/>
        </w:rPr>
        <w:t> </w:t>
      </w:r>
      <w:r>
        <w:rPr>
          <w:sz w:val="20"/>
        </w:rPr>
        <w:t>un</w:t>
      </w:r>
      <w:r>
        <w:rPr>
          <w:spacing w:val="40"/>
          <w:sz w:val="20"/>
        </w:rPr>
        <w:t> </w:t>
      </w:r>
      <w:r>
        <w:rPr>
          <w:sz w:val="20"/>
        </w:rPr>
        <w:t>acuerdo</w:t>
      </w:r>
      <w:r>
        <w:rPr>
          <w:position w:val="7"/>
          <w:sz w:val="13"/>
        </w:rPr>
        <w:t>161</w:t>
      </w:r>
      <w:r>
        <w:rPr>
          <w:sz w:val="20"/>
        </w:rPr>
        <w:t>.</w:t>
      </w:r>
      <w:r>
        <w:rPr>
          <w:spacing w:val="39"/>
          <w:sz w:val="20"/>
        </w:rPr>
        <w:t> </w:t>
      </w:r>
      <w:r>
        <w:rPr>
          <w:sz w:val="20"/>
        </w:rPr>
        <w:t>En</w:t>
      </w:r>
      <w:r>
        <w:rPr>
          <w:spacing w:val="41"/>
          <w:sz w:val="20"/>
        </w:rPr>
        <w:t> </w:t>
      </w:r>
      <w:r>
        <w:rPr>
          <w:sz w:val="20"/>
        </w:rPr>
        <w:t>segundo</w:t>
      </w:r>
      <w:r>
        <w:rPr>
          <w:spacing w:val="38"/>
          <w:sz w:val="20"/>
        </w:rPr>
        <w:t> </w:t>
      </w:r>
      <w:r>
        <w:rPr>
          <w:sz w:val="20"/>
        </w:rPr>
        <w:t>lugar,</w:t>
      </w:r>
      <w:r>
        <w:rPr>
          <w:spacing w:val="39"/>
          <w:sz w:val="20"/>
        </w:rPr>
        <w:t> </w:t>
      </w:r>
      <w:r>
        <w:rPr>
          <w:sz w:val="20"/>
        </w:rPr>
        <w:t>debe</w:t>
      </w:r>
    </w:p>
    <w:p>
      <w:pPr>
        <w:pStyle w:val="BodyText"/>
        <w:spacing w:before="3"/>
        <w:rPr>
          <w:sz w:val="21"/>
        </w:rPr>
      </w:pPr>
      <w:r>
        <w:rPr/>
        <w:pict>
          <v:line style="position:absolute;mso-position-horizontal-relative:page;mso-position-vertical-relative:paragraph;z-index:2344;mso-wrap-distance-left:0;mso-wrap-distance-right:0" from="85.103996pt,15.270951pt" to="229.123996pt,15.270951pt" stroked="true" strokeweight=".72pt" strokecolor="#000000">
            <v:stroke dashstyle="solid"/>
            <w10:wrap type="topAndBottom"/>
          </v:line>
        </w:pict>
      </w:r>
    </w:p>
    <w:p>
      <w:pPr>
        <w:pStyle w:val="BodyText"/>
        <w:spacing w:before="7"/>
        <w:rPr>
          <w:sz w:val="13"/>
        </w:rPr>
      </w:pPr>
    </w:p>
    <w:p>
      <w:pPr>
        <w:tabs>
          <w:tab w:pos="829" w:val="left" w:leader="none"/>
        </w:tabs>
        <w:spacing w:before="101"/>
        <w:ind w:left="122" w:right="117" w:firstLine="0"/>
        <w:jc w:val="both"/>
        <w:rPr>
          <w:sz w:val="16"/>
        </w:rPr>
      </w:pPr>
      <w:r>
        <w:rPr>
          <w:position w:val="6"/>
          <w:sz w:val="10"/>
        </w:rPr>
        <w:t>158</w:t>
        <w:tab/>
      </w:r>
      <w:r>
        <w:rPr>
          <w:sz w:val="16"/>
        </w:rPr>
        <w:t>El Estado afirmó que “desde la UEP se remitió a los peticionarios, a fines del mes de agosto </w:t>
      </w:r>
      <w:r>
        <w:rPr>
          <w:spacing w:val="15"/>
          <w:sz w:val="16"/>
        </w:rPr>
        <w:t> </w:t>
      </w:r>
      <w:r>
        <w:rPr>
          <w:sz w:val="16"/>
        </w:rPr>
        <w:t>del</w:t>
      </w:r>
      <w:r>
        <w:rPr>
          <w:spacing w:val="4"/>
          <w:sz w:val="16"/>
        </w:rPr>
        <w:t> </w:t>
      </w:r>
      <w:r>
        <w:rPr>
          <w:sz w:val="16"/>
        </w:rPr>
        <w:t>año</w:t>
      </w:r>
      <w:r>
        <w:rPr>
          <w:w w:val="100"/>
          <w:sz w:val="16"/>
        </w:rPr>
        <w:t> </w:t>
      </w:r>
      <w:r>
        <w:rPr>
          <w:sz w:val="16"/>
        </w:rPr>
        <w:t>2016, un proyecto de procedimiento de consulta previa, libre e informada, destinada a los ex lotes 55 y 14 para su análisis y consideración”. Sostuvo que “[e]l proyecto cumple con los estándares internacionales en materia de los derechos de los pueblos indígenas, a los efectos de llevar a cabo un trabajo en conjunto para la</w:t>
      </w:r>
      <w:r>
        <w:rPr>
          <w:spacing w:val="-2"/>
          <w:sz w:val="16"/>
        </w:rPr>
        <w:t> </w:t>
      </w:r>
      <w:r>
        <w:rPr>
          <w:sz w:val="16"/>
        </w:rPr>
        <w:t>efectiva</w:t>
      </w:r>
      <w:r>
        <w:rPr>
          <w:spacing w:val="-4"/>
          <w:sz w:val="16"/>
        </w:rPr>
        <w:t> </w:t>
      </w:r>
      <w:r>
        <w:rPr>
          <w:sz w:val="16"/>
        </w:rPr>
        <w:t>aprobación</w:t>
      </w:r>
      <w:r>
        <w:rPr>
          <w:spacing w:val="-5"/>
          <w:sz w:val="16"/>
        </w:rPr>
        <w:t> </w:t>
      </w:r>
      <w:r>
        <w:rPr>
          <w:sz w:val="16"/>
        </w:rPr>
        <w:t>de</w:t>
      </w:r>
      <w:r>
        <w:rPr>
          <w:spacing w:val="-4"/>
          <w:sz w:val="16"/>
        </w:rPr>
        <w:t> </w:t>
      </w:r>
      <w:r>
        <w:rPr>
          <w:sz w:val="16"/>
        </w:rPr>
        <w:t>un</w:t>
      </w:r>
      <w:r>
        <w:rPr>
          <w:spacing w:val="-5"/>
          <w:sz w:val="16"/>
        </w:rPr>
        <w:t> </w:t>
      </w:r>
      <w:r>
        <w:rPr>
          <w:sz w:val="16"/>
        </w:rPr>
        <w:t>proceso</w:t>
      </w:r>
      <w:r>
        <w:rPr>
          <w:spacing w:val="-5"/>
          <w:sz w:val="16"/>
        </w:rPr>
        <w:t> </w:t>
      </w:r>
      <w:r>
        <w:rPr>
          <w:sz w:val="16"/>
        </w:rPr>
        <w:t>de</w:t>
      </w:r>
      <w:r>
        <w:rPr>
          <w:spacing w:val="-4"/>
          <w:sz w:val="16"/>
        </w:rPr>
        <w:t> </w:t>
      </w:r>
      <w:r>
        <w:rPr>
          <w:sz w:val="16"/>
        </w:rPr>
        <w:t>consulta</w:t>
      </w:r>
      <w:r>
        <w:rPr>
          <w:spacing w:val="-2"/>
          <w:sz w:val="16"/>
        </w:rPr>
        <w:t> </w:t>
      </w:r>
      <w:r>
        <w:rPr>
          <w:sz w:val="16"/>
        </w:rPr>
        <w:t>adecuado</w:t>
      </w:r>
      <w:r>
        <w:rPr>
          <w:spacing w:val="-5"/>
          <w:sz w:val="16"/>
        </w:rPr>
        <w:t> </w:t>
      </w:r>
      <w:r>
        <w:rPr>
          <w:sz w:val="16"/>
        </w:rPr>
        <w:t>para</w:t>
      </w:r>
      <w:r>
        <w:rPr>
          <w:spacing w:val="-4"/>
          <w:sz w:val="16"/>
        </w:rPr>
        <w:t> </w:t>
      </w:r>
      <w:r>
        <w:rPr>
          <w:sz w:val="16"/>
        </w:rPr>
        <w:t>la</w:t>
      </w:r>
      <w:r>
        <w:rPr>
          <w:spacing w:val="-2"/>
          <w:sz w:val="16"/>
        </w:rPr>
        <w:t> </w:t>
      </w:r>
      <w:r>
        <w:rPr>
          <w:sz w:val="16"/>
        </w:rPr>
        <w:t>zona.</w:t>
      </w:r>
      <w:r>
        <w:rPr>
          <w:spacing w:val="-2"/>
          <w:sz w:val="16"/>
        </w:rPr>
        <w:t> </w:t>
      </w:r>
      <w:r>
        <w:rPr>
          <w:sz w:val="16"/>
        </w:rPr>
        <w:t>Esa</w:t>
      </w:r>
      <w:r>
        <w:rPr>
          <w:spacing w:val="-4"/>
          <w:sz w:val="16"/>
        </w:rPr>
        <w:t> </w:t>
      </w:r>
      <w:r>
        <w:rPr>
          <w:sz w:val="16"/>
        </w:rPr>
        <w:t>propuesta</w:t>
      </w:r>
      <w:r>
        <w:rPr>
          <w:spacing w:val="-4"/>
          <w:sz w:val="16"/>
        </w:rPr>
        <w:t> </w:t>
      </w:r>
      <w:r>
        <w:rPr>
          <w:sz w:val="16"/>
        </w:rPr>
        <w:t>nunca</w:t>
      </w:r>
      <w:r>
        <w:rPr>
          <w:spacing w:val="-2"/>
          <w:sz w:val="16"/>
        </w:rPr>
        <w:t> </w:t>
      </w:r>
      <w:r>
        <w:rPr>
          <w:sz w:val="16"/>
        </w:rPr>
        <w:t>fue</w:t>
      </w:r>
      <w:r>
        <w:rPr>
          <w:spacing w:val="-5"/>
          <w:sz w:val="16"/>
        </w:rPr>
        <w:t> </w:t>
      </w:r>
      <w:r>
        <w:rPr>
          <w:sz w:val="16"/>
        </w:rPr>
        <w:t>respondida por las presuntas víctimas” (</w:t>
      </w:r>
      <w:r>
        <w:rPr>
          <w:i/>
          <w:sz w:val="16"/>
        </w:rPr>
        <w:t>cfr. </w:t>
      </w:r>
      <w:r>
        <w:rPr>
          <w:sz w:val="16"/>
        </w:rPr>
        <w:t>expediente de prueba, anexo J.31 al escrito de solicitudes y argumentos, fs. 33.555 a</w:t>
      </w:r>
      <w:r>
        <w:rPr>
          <w:spacing w:val="-8"/>
          <w:sz w:val="16"/>
        </w:rPr>
        <w:t> </w:t>
      </w:r>
      <w:r>
        <w:rPr>
          <w:sz w:val="16"/>
        </w:rPr>
        <w:t>33.560).</w:t>
      </w:r>
    </w:p>
    <w:p>
      <w:pPr>
        <w:pStyle w:val="BodyText"/>
        <w:rPr>
          <w:sz w:val="16"/>
        </w:rPr>
      </w:pPr>
    </w:p>
    <w:p>
      <w:pPr>
        <w:tabs>
          <w:tab w:pos="829" w:val="left" w:leader="none"/>
        </w:tabs>
        <w:spacing w:before="0"/>
        <w:ind w:left="122" w:right="0" w:firstLine="0"/>
        <w:jc w:val="both"/>
        <w:rPr>
          <w:sz w:val="16"/>
        </w:rPr>
      </w:pPr>
      <w:r>
        <w:rPr>
          <w:position w:val="6"/>
          <w:sz w:val="10"/>
        </w:rPr>
        <w:t>159</w:t>
        <w:tab/>
      </w:r>
      <w:r>
        <w:rPr>
          <w:i/>
          <w:sz w:val="16"/>
        </w:rPr>
        <w:t>Cfr. Caso Pueblos Kaliña y Lokono Vs. Surinam</w:t>
      </w:r>
      <w:r>
        <w:rPr>
          <w:sz w:val="16"/>
        </w:rPr>
        <w:t>, párrs. 202 y 203 y</w:t>
      </w:r>
      <w:r>
        <w:rPr>
          <w:spacing w:val="-23"/>
          <w:sz w:val="16"/>
        </w:rPr>
        <w:t> </w:t>
      </w:r>
      <w:r>
        <w:rPr>
          <w:sz w:val="16"/>
        </w:rPr>
        <w:t>230.</w:t>
      </w:r>
    </w:p>
    <w:p>
      <w:pPr>
        <w:pStyle w:val="BodyText"/>
        <w:spacing w:before="12"/>
        <w:rPr>
          <w:sz w:val="15"/>
        </w:rPr>
      </w:pPr>
    </w:p>
    <w:p>
      <w:pPr>
        <w:tabs>
          <w:tab w:pos="829" w:val="left" w:leader="none"/>
        </w:tabs>
        <w:spacing w:before="0"/>
        <w:ind w:left="122" w:right="117" w:firstLine="0"/>
        <w:jc w:val="both"/>
        <w:rPr>
          <w:sz w:val="16"/>
        </w:rPr>
      </w:pPr>
      <w:r>
        <w:rPr>
          <w:position w:val="6"/>
          <w:sz w:val="10"/>
        </w:rPr>
        <w:t>160</w:t>
        <w:tab/>
      </w:r>
      <w:r>
        <w:rPr>
          <w:sz w:val="16"/>
        </w:rPr>
        <w:t>La</w:t>
      </w:r>
      <w:r>
        <w:rPr>
          <w:spacing w:val="-7"/>
          <w:sz w:val="16"/>
        </w:rPr>
        <w:t> </w:t>
      </w:r>
      <w:r>
        <w:rPr>
          <w:sz w:val="16"/>
        </w:rPr>
        <w:t>Corte</w:t>
      </w:r>
      <w:r>
        <w:rPr>
          <w:spacing w:val="-8"/>
          <w:sz w:val="16"/>
        </w:rPr>
        <w:t> </w:t>
      </w:r>
      <w:r>
        <w:rPr>
          <w:sz w:val="16"/>
        </w:rPr>
        <w:t>ha</w:t>
      </w:r>
      <w:r>
        <w:rPr>
          <w:spacing w:val="-7"/>
          <w:sz w:val="16"/>
        </w:rPr>
        <w:t> </w:t>
      </w:r>
      <w:r>
        <w:rPr>
          <w:sz w:val="16"/>
        </w:rPr>
        <w:t>indicado</w:t>
      </w:r>
      <w:r>
        <w:rPr>
          <w:spacing w:val="-8"/>
          <w:sz w:val="16"/>
        </w:rPr>
        <w:t> </w:t>
      </w:r>
      <w:r>
        <w:rPr>
          <w:sz w:val="16"/>
        </w:rPr>
        <w:t>que</w:t>
      </w:r>
      <w:r>
        <w:rPr>
          <w:spacing w:val="-8"/>
          <w:sz w:val="16"/>
        </w:rPr>
        <w:t> </w:t>
      </w:r>
      <w:r>
        <w:rPr>
          <w:sz w:val="16"/>
        </w:rPr>
        <w:t>“el</w:t>
      </w:r>
      <w:r>
        <w:rPr>
          <w:spacing w:val="-9"/>
          <w:sz w:val="16"/>
        </w:rPr>
        <w:t> </w:t>
      </w:r>
      <w:r>
        <w:rPr>
          <w:sz w:val="16"/>
        </w:rPr>
        <w:t>derecho</w:t>
      </w:r>
      <w:r>
        <w:rPr>
          <w:spacing w:val="-5"/>
          <w:sz w:val="16"/>
        </w:rPr>
        <w:t> </w:t>
      </w:r>
      <w:r>
        <w:rPr>
          <w:sz w:val="16"/>
        </w:rPr>
        <w:t>a</w:t>
      </w:r>
      <w:r>
        <w:rPr>
          <w:spacing w:val="-9"/>
          <w:sz w:val="16"/>
        </w:rPr>
        <w:t> </w:t>
      </w:r>
      <w:r>
        <w:rPr>
          <w:sz w:val="16"/>
        </w:rPr>
        <w:t>recibir</w:t>
      </w:r>
      <w:r>
        <w:rPr>
          <w:spacing w:val="-8"/>
          <w:sz w:val="16"/>
        </w:rPr>
        <w:t> </w:t>
      </w:r>
      <w:r>
        <w:rPr>
          <w:sz w:val="16"/>
        </w:rPr>
        <w:t>el</w:t>
      </w:r>
      <w:r>
        <w:rPr>
          <w:spacing w:val="-9"/>
          <w:sz w:val="16"/>
        </w:rPr>
        <w:t> </w:t>
      </w:r>
      <w:r>
        <w:rPr>
          <w:sz w:val="16"/>
        </w:rPr>
        <w:t>pago</w:t>
      </w:r>
      <w:r>
        <w:rPr>
          <w:spacing w:val="-8"/>
          <w:sz w:val="16"/>
        </w:rPr>
        <w:t> </w:t>
      </w:r>
      <w:r>
        <w:rPr>
          <w:sz w:val="16"/>
        </w:rPr>
        <w:t>de</w:t>
      </w:r>
      <w:r>
        <w:rPr>
          <w:spacing w:val="-8"/>
          <w:sz w:val="16"/>
        </w:rPr>
        <w:t> </w:t>
      </w:r>
      <w:r>
        <w:rPr>
          <w:sz w:val="16"/>
        </w:rPr>
        <w:t>una</w:t>
      </w:r>
      <w:r>
        <w:rPr>
          <w:spacing w:val="-7"/>
          <w:sz w:val="16"/>
        </w:rPr>
        <w:t> </w:t>
      </w:r>
      <w:r>
        <w:rPr>
          <w:sz w:val="16"/>
        </w:rPr>
        <w:t>indemnización</w:t>
      </w:r>
      <w:r>
        <w:rPr>
          <w:spacing w:val="-9"/>
          <w:sz w:val="16"/>
        </w:rPr>
        <w:t> </w:t>
      </w:r>
      <w:r>
        <w:rPr>
          <w:sz w:val="16"/>
        </w:rPr>
        <w:t>conforme</w:t>
      </w:r>
      <w:r>
        <w:rPr>
          <w:spacing w:val="-9"/>
          <w:sz w:val="16"/>
        </w:rPr>
        <w:t> </w:t>
      </w:r>
      <w:r>
        <w:rPr>
          <w:sz w:val="16"/>
        </w:rPr>
        <w:t>al</w:t>
      </w:r>
      <w:r>
        <w:rPr>
          <w:spacing w:val="-6"/>
          <w:sz w:val="16"/>
        </w:rPr>
        <w:t> </w:t>
      </w:r>
      <w:r>
        <w:rPr>
          <w:sz w:val="16"/>
        </w:rPr>
        <w:t>artículo</w:t>
      </w:r>
      <w:r>
        <w:rPr>
          <w:spacing w:val="-8"/>
          <w:sz w:val="16"/>
        </w:rPr>
        <w:t> </w:t>
      </w:r>
      <w:r>
        <w:rPr>
          <w:sz w:val="16"/>
        </w:rPr>
        <w:t>21.2</w:t>
      </w:r>
      <w:r>
        <w:rPr>
          <w:w w:val="100"/>
          <w:sz w:val="16"/>
        </w:rPr>
        <w:t> </w:t>
      </w:r>
      <w:r>
        <w:rPr>
          <w:sz w:val="16"/>
        </w:rPr>
        <w:t>de la Convención se extiende no sólo a la total privación de un título de propiedad por medio de una expropiación por parte del Estado, por ejemplo, sino que también comprende la privación del uso y goce regular de dicha propiedad” (</w:t>
      </w:r>
      <w:r>
        <w:rPr>
          <w:i/>
          <w:sz w:val="16"/>
        </w:rPr>
        <w:t>Caso del Pueblo Saramaka Vs. Surinam</w:t>
      </w:r>
      <w:r>
        <w:rPr>
          <w:sz w:val="16"/>
        </w:rPr>
        <w:t>, párr. 139). En ese sentido se ha expresado la perita Yáñez</w:t>
      </w:r>
      <w:r>
        <w:rPr>
          <w:spacing w:val="-12"/>
          <w:sz w:val="16"/>
        </w:rPr>
        <w:t> </w:t>
      </w:r>
      <w:r>
        <w:rPr>
          <w:sz w:val="16"/>
        </w:rPr>
        <w:t>Fuenzalida.</w:t>
      </w:r>
    </w:p>
    <w:p>
      <w:pPr>
        <w:pStyle w:val="BodyText"/>
        <w:spacing w:before="12"/>
        <w:rPr>
          <w:sz w:val="15"/>
        </w:rPr>
      </w:pPr>
    </w:p>
    <w:p>
      <w:pPr>
        <w:tabs>
          <w:tab w:pos="829" w:val="left" w:leader="none"/>
        </w:tabs>
        <w:spacing w:line="240" w:lineRule="auto" w:before="0"/>
        <w:ind w:left="122" w:right="114" w:firstLine="0"/>
        <w:jc w:val="both"/>
        <w:rPr>
          <w:sz w:val="16"/>
        </w:rPr>
      </w:pPr>
      <w:r>
        <w:rPr>
          <w:position w:val="6"/>
          <w:sz w:val="10"/>
        </w:rPr>
        <w:t>161</w:t>
        <w:tab/>
      </w:r>
      <w:r>
        <w:rPr>
          <w:sz w:val="16"/>
        </w:rPr>
        <w:t>La</w:t>
      </w:r>
      <w:r>
        <w:rPr>
          <w:spacing w:val="18"/>
          <w:sz w:val="16"/>
        </w:rPr>
        <w:t> </w:t>
      </w:r>
      <w:r>
        <w:rPr>
          <w:sz w:val="16"/>
        </w:rPr>
        <w:t>buena</w:t>
      </w:r>
      <w:r>
        <w:rPr>
          <w:spacing w:val="18"/>
          <w:sz w:val="16"/>
        </w:rPr>
        <w:t> </w:t>
      </w:r>
      <w:r>
        <w:rPr>
          <w:sz w:val="16"/>
        </w:rPr>
        <w:t>fe</w:t>
      </w:r>
      <w:r>
        <w:rPr>
          <w:spacing w:val="19"/>
          <w:sz w:val="16"/>
        </w:rPr>
        <w:t> </w:t>
      </w:r>
      <w:r>
        <w:rPr>
          <w:sz w:val="16"/>
        </w:rPr>
        <w:t>“exige</w:t>
      </w:r>
      <w:r>
        <w:rPr>
          <w:spacing w:val="19"/>
          <w:sz w:val="16"/>
        </w:rPr>
        <w:t> </w:t>
      </w:r>
      <w:r>
        <w:rPr>
          <w:sz w:val="16"/>
        </w:rPr>
        <w:t>la</w:t>
      </w:r>
      <w:r>
        <w:rPr>
          <w:spacing w:val="18"/>
          <w:sz w:val="16"/>
        </w:rPr>
        <w:t> </w:t>
      </w:r>
      <w:r>
        <w:rPr>
          <w:sz w:val="16"/>
        </w:rPr>
        <w:t>ausencia</w:t>
      </w:r>
      <w:r>
        <w:rPr>
          <w:spacing w:val="18"/>
          <w:sz w:val="16"/>
        </w:rPr>
        <w:t> </w:t>
      </w:r>
      <w:r>
        <w:rPr>
          <w:sz w:val="16"/>
        </w:rPr>
        <w:t>de</w:t>
      </w:r>
      <w:r>
        <w:rPr>
          <w:spacing w:val="19"/>
          <w:sz w:val="16"/>
        </w:rPr>
        <w:t> </w:t>
      </w:r>
      <w:r>
        <w:rPr>
          <w:sz w:val="16"/>
        </w:rPr>
        <w:t>cualquier</w:t>
      </w:r>
      <w:r>
        <w:rPr>
          <w:spacing w:val="20"/>
          <w:sz w:val="16"/>
        </w:rPr>
        <w:t> </w:t>
      </w:r>
      <w:r>
        <w:rPr>
          <w:sz w:val="16"/>
        </w:rPr>
        <w:t>tipo</w:t>
      </w:r>
      <w:r>
        <w:rPr>
          <w:spacing w:val="17"/>
          <w:sz w:val="16"/>
        </w:rPr>
        <w:t> </w:t>
      </w:r>
      <w:r>
        <w:rPr>
          <w:sz w:val="16"/>
        </w:rPr>
        <w:t>de</w:t>
      </w:r>
      <w:r>
        <w:rPr>
          <w:spacing w:val="17"/>
          <w:sz w:val="16"/>
        </w:rPr>
        <w:t> </w:t>
      </w:r>
      <w:r>
        <w:rPr>
          <w:sz w:val="16"/>
        </w:rPr>
        <w:t>coerción</w:t>
      </w:r>
      <w:r>
        <w:rPr>
          <w:spacing w:val="18"/>
          <w:sz w:val="16"/>
        </w:rPr>
        <w:t> </w:t>
      </w:r>
      <w:r>
        <w:rPr>
          <w:sz w:val="16"/>
        </w:rPr>
        <w:t>por</w:t>
      </w:r>
      <w:r>
        <w:rPr>
          <w:spacing w:val="17"/>
          <w:sz w:val="16"/>
        </w:rPr>
        <w:t> </w:t>
      </w:r>
      <w:r>
        <w:rPr>
          <w:sz w:val="16"/>
        </w:rPr>
        <w:t>parte</w:t>
      </w:r>
      <w:r>
        <w:rPr>
          <w:spacing w:val="17"/>
          <w:sz w:val="16"/>
        </w:rPr>
        <w:t> </w:t>
      </w:r>
      <w:r>
        <w:rPr>
          <w:sz w:val="16"/>
        </w:rPr>
        <w:t>del</w:t>
      </w:r>
      <w:r>
        <w:rPr>
          <w:spacing w:val="18"/>
          <w:sz w:val="16"/>
        </w:rPr>
        <w:t> </w:t>
      </w:r>
      <w:r>
        <w:rPr>
          <w:sz w:val="16"/>
        </w:rPr>
        <w:t>Estado</w:t>
      </w:r>
      <w:r>
        <w:rPr>
          <w:spacing w:val="17"/>
          <w:sz w:val="16"/>
        </w:rPr>
        <w:t> </w:t>
      </w:r>
      <w:r>
        <w:rPr>
          <w:sz w:val="16"/>
        </w:rPr>
        <w:t>o</w:t>
      </w:r>
      <w:r>
        <w:rPr>
          <w:spacing w:val="17"/>
          <w:sz w:val="16"/>
        </w:rPr>
        <w:t> </w:t>
      </w:r>
      <w:r>
        <w:rPr>
          <w:sz w:val="16"/>
        </w:rPr>
        <w:t>de</w:t>
      </w:r>
      <w:r>
        <w:rPr>
          <w:spacing w:val="17"/>
          <w:sz w:val="16"/>
        </w:rPr>
        <w:t> </w:t>
      </w:r>
      <w:r>
        <w:rPr>
          <w:sz w:val="16"/>
        </w:rPr>
        <w:t>agentes</w:t>
      </w:r>
      <w:r>
        <w:rPr>
          <w:spacing w:val="14"/>
          <w:sz w:val="16"/>
        </w:rPr>
        <w:t> </w:t>
      </w:r>
      <w:r>
        <w:rPr>
          <w:sz w:val="16"/>
        </w:rPr>
        <w:t>o</w:t>
      </w:r>
      <w:r>
        <w:rPr>
          <w:w w:val="100"/>
          <w:sz w:val="16"/>
        </w:rPr>
        <w:t> </w:t>
      </w:r>
      <w:r>
        <w:rPr>
          <w:sz w:val="16"/>
        </w:rPr>
        <w:t>terceros que actúan con su autorización o aquiescencia [, y] es incompatible con prácticas tales como los intentos de desintegración de la cohesión social de las comunidades afectadas, sea a través de la corrupción de los líderes comunales o del establecimiento de liderazgos paralelos, o por medio de negociaciones con miembros</w:t>
      </w:r>
      <w:r>
        <w:rPr>
          <w:spacing w:val="-14"/>
          <w:sz w:val="16"/>
        </w:rPr>
        <w:t> </w:t>
      </w:r>
      <w:r>
        <w:rPr>
          <w:sz w:val="16"/>
        </w:rPr>
        <w:t>individuales</w:t>
      </w:r>
      <w:r>
        <w:rPr>
          <w:spacing w:val="-14"/>
          <w:sz w:val="16"/>
        </w:rPr>
        <w:t> </w:t>
      </w:r>
      <w:r>
        <w:rPr>
          <w:sz w:val="16"/>
        </w:rPr>
        <w:t>de</w:t>
      </w:r>
      <w:r>
        <w:rPr>
          <w:spacing w:val="-11"/>
          <w:sz w:val="16"/>
        </w:rPr>
        <w:t> </w:t>
      </w:r>
      <w:r>
        <w:rPr>
          <w:sz w:val="16"/>
        </w:rPr>
        <w:t>las</w:t>
      </w:r>
      <w:r>
        <w:rPr>
          <w:spacing w:val="-14"/>
          <w:sz w:val="16"/>
        </w:rPr>
        <w:t> </w:t>
      </w:r>
      <w:r>
        <w:rPr>
          <w:sz w:val="16"/>
        </w:rPr>
        <w:t>comunidades”.</w:t>
      </w:r>
      <w:r>
        <w:rPr>
          <w:spacing w:val="-15"/>
          <w:sz w:val="16"/>
        </w:rPr>
        <w:t> </w:t>
      </w:r>
      <w:r>
        <w:rPr>
          <w:sz w:val="16"/>
        </w:rPr>
        <w:t>Además,</w:t>
      </w:r>
      <w:r>
        <w:rPr>
          <w:spacing w:val="-15"/>
          <w:sz w:val="16"/>
        </w:rPr>
        <w:t> </w:t>
      </w:r>
      <w:r>
        <w:rPr>
          <w:sz w:val="16"/>
        </w:rPr>
        <w:t>“se</w:t>
      </w:r>
      <w:r>
        <w:rPr>
          <w:spacing w:val="-15"/>
          <w:sz w:val="16"/>
        </w:rPr>
        <w:t> </w:t>
      </w:r>
      <w:r>
        <w:rPr>
          <w:sz w:val="16"/>
        </w:rPr>
        <w:t>debe</w:t>
      </w:r>
      <w:r>
        <w:rPr>
          <w:spacing w:val="-14"/>
          <w:sz w:val="16"/>
        </w:rPr>
        <w:t> </w:t>
      </w:r>
      <w:r>
        <w:rPr>
          <w:sz w:val="16"/>
        </w:rPr>
        <w:t>consultar</w:t>
      </w:r>
      <w:r>
        <w:rPr>
          <w:spacing w:val="-13"/>
          <w:sz w:val="16"/>
        </w:rPr>
        <w:t> </w:t>
      </w:r>
      <w:r>
        <w:rPr>
          <w:sz w:val="16"/>
        </w:rPr>
        <w:t>con</w:t>
      </w:r>
      <w:r>
        <w:rPr>
          <w:spacing w:val="-13"/>
          <w:sz w:val="16"/>
        </w:rPr>
        <w:t> </w:t>
      </w:r>
      <w:r>
        <w:rPr>
          <w:sz w:val="16"/>
        </w:rPr>
        <w:t>[dichos</w:t>
      </w:r>
      <w:r>
        <w:rPr>
          <w:spacing w:val="-14"/>
          <w:sz w:val="16"/>
        </w:rPr>
        <w:t> </w:t>
      </w:r>
      <w:r>
        <w:rPr>
          <w:sz w:val="16"/>
        </w:rPr>
        <w:t>pueblos],</w:t>
      </w:r>
      <w:r>
        <w:rPr>
          <w:spacing w:val="-13"/>
          <w:sz w:val="16"/>
        </w:rPr>
        <w:t> </w:t>
      </w:r>
      <w:r>
        <w:rPr>
          <w:sz w:val="16"/>
        </w:rPr>
        <w:t>de</w:t>
      </w:r>
      <w:r>
        <w:rPr>
          <w:spacing w:val="-14"/>
          <w:sz w:val="16"/>
        </w:rPr>
        <w:t> </w:t>
      </w:r>
      <w:r>
        <w:rPr>
          <w:sz w:val="16"/>
        </w:rPr>
        <w:t>conformidad con sus propias tradiciones, en las primeras etapas del plan de desarrollo o inversión”. Es preciso que se dé “tiempo</w:t>
      </w:r>
      <w:r>
        <w:rPr>
          <w:spacing w:val="-9"/>
          <w:sz w:val="16"/>
        </w:rPr>
        <w:t> </w:t>
      </w:r>
      <w:r>
        <w:rPr>
          <w:sz w:val="16"/>
        </w:rPr>
        <w:t>para</w:t>
      </w:r>
      <w:r>
        <w:rPr>
          <w:spacing w:val="-8"/>
          <w:sz w:val="16"/>
        </w:rPr>
        <w:t> </w:t>
      </w:r>
      <w:r>
        <w:rPr>
          <w:sz w:val="16"/>
        </w:rPr>
        <w:t>la</w:t>
      </w:r>
      <w:r>
        <w:rPr>
          <w:spacing w:val="-10"/>
          <w:sz w:val="16"/>
        </w:rPr>
        <w:t> </w:t>
      </w:r>
      <w:r>
        <w:rPr>
          <w:sz w:val="16"/>
        </w:rPr>
        <w:t>discusión</w:t>
      </w:r>
      <w:r>
        <w:rPr>
          <w:spacing w:val="-8"/>
          <w:sz w:val="16"/>
        </w:rPr>
        <w:t> </w:t>
      </w:r>
      <w:r>
        <w:rPr>
          <w:sz w:val="16"/>
        </w:rPr>
        <w:t>interna</w:t>
      </w:r>
      <w:r>
        <w:rPr>
          <w:spacing w:val="-8"/>
          <w:sz w:val="16"/>
        </w:rPr>
        <w:t> </w:t>
      </w:r>
      <w:r>
        <w:rPr>
          <w:sz w:val="16"/>
        </w:rPr>
        <w:t>dentro</w:t>
      </w:r>
      <w:r>
        <w:rPr>
          <w:spacing w:val="-9"/>
          <w:sz w:val="16"/>
        </w:rPr>
        <w:t> </w:t>
      </w:r>
      <w:r>
        <w:rPr>
          <w:sz w:val="16"/>
        </w:rPr>
        <w:t>de</w:t>
      </w:r>
      <w:r>
        <w:rPr>
          <w:spacing w:val="-10"/>
          <w:sz w:val="16"/>
        </w:rPr>
        <w:t> </w:t>
      </w:r>
      <w:r>
        <w:rPr>
          <w:sz w:val="16"/>
        </w:rPr>
        <w:t>las</w:t>
      </w:r>
      <w:r>
        <w:rPr>
          <w:spacing w:val="-9"/>
          <w:sz w:val="16"/>
        </w:rPr>
        <w:t> </w:t>
      </w:r>
      <w:r>
        <w:rPr>
          <w:sz w:val="16"/>
        </w:rPr>
        <w:t>comunidades</w:t>
      </w:r>
      <w:r>
        <w:rPr>
          <w:spacing w:val="-12"/>
          <w:sz w:val="16"/>
        </w:rPr>
        <w:t> </w:t>
      </w:r>
      <w:r>
        <w:rPr>
          <w:sz w:val="16"/>
        </w:rPr>
        <w:t>y</w:t>
      </w:r>
      <w:r>
        <w:rPr>
          <w:spacing w:val="-9"/>
          <w:sz w:val="16"/>
        </w:rPr>
        <w:t> </w:t>
      </w:r>
      <w:r>
        <w:rPr>
          <w:sz w:val="16"/>
        </w:rPr>
        <w:t>para</w:t>
      </w:r>
      <w:r>
        <w:rPr>
          <w:spacing w:val="-10"/>
          <w:sz w:val="16"/>
        </w:rPr>
        <w:t> </w:t>
      </w:r>
      <w:r>
        <w:rPr>
          <w:sz w:val="16"/>
        </w:rPr>
        <w:t>brindar</w:t>
      </w:r>
      <w:r>
        <w:rPr>
          <w:spacing w:val="-9"/>
          <w:sz w:val="16"/>
        </w:rPr>
        <w:t> </w:t>
      </w:r>
      <w:r>
        <w:rPr>
          <w:sz w:val="16"/>
        </w:rPr>
        <w:t>una</w:t>
      </w:r>
      <w:r>
        <w:rPr>
          <w:spacing w:val="-8"/>
          <w:sz w:val="16"/>
        </w:rPr>
        <w:t> </w:t>
      </w:r>
      <w:r>
        <w:rPr>
          <w:sz w:val="16"/>
        </w:rPr>
        <w:t>adecuada</w:t>
      </w:r>
      <w:r>
        <w:rPr>
          <w:spacing w:val="-13"/>
          <w:sz w:val="16"/>
        </w:rPr>
        <w:t> </w:t>
      </w:r>
      <w:r>
        <w:rPr>
          <w:sz w:val="16"/>
        </w:rPr>
        <w:t>respuesta</w:t>
      </w:r>
      <w:r>
        <w:rPr>
          <w:spacing w:val="-10"/>
          <w:sz w:val="16"/>
        </w:rPr>
        <w:t> </w:t>
      </w:r>
      <w:r>
        <w:rPr>
          <w:sz w:val="16"/>
        </w:rPr>
        <w:t>al</w:t>
      </w:r>
      <w:r>
        <w:rPr>
          <w:spacing w:val="-8"/>
          <w:sz w:val="16"/>
        </w:rPr>
        <w:t> </w:t>
      </w:r>
      <w:r>
        <w:rPr>
          <w:sz w:val="16"/>
        </w:rPr>
        <w:t>Estado. El Estado, asimismo, debe asegurarse que los miembros de [los pueblos indígenas y tribales] tengan conocimiento de los posibles riesgos, inclu[yendo] los riesgos ambientales y de salubridad”. (</w:t>
      </w:r>
      <w:r>
        <w:rPr>
          <w:i/>
          <w:sz w:val="16"/>
        </w:rPr>
        <w:t>Caso del Pueblo </w:t>
      </w:r>
      <w:r>
        <w:rPr>
          <w:i/>
          <w:sz w:val="16"/>
        </w:rPr>
        <w:t>Saramaka Vs. Surinam</w:t>
      </w:r>
      <w:r>
        <w:rPr>
          <w:sz w:val="16"/>
        </w:rPr>
        <w:t>, párr. 133; </w:t>
      </w:r>
      <w:r>
        <w:rPr>
          <w:i/>
          <w:sz w:val="16"/>
        </w:rPr>
        <w:t>Caso Pueblo Indígena Kichwa de Sarayaku Vs. Ecuador</w:t>
      </w:r>
      <w:r>
        <w:rPr>
          <w:sz w:val="16"/>
        </w:rPr>
        <w:t>, párr. 186, y </w:t>
      </w:r>
      <w:r>
        <w:rPr>
          <w:i/>
          <w:sz w:val="16"/>
        </w:rPr>
        <w:t>Caso </w:t>
      </w:r>
      <w:r>
        <w:rPr>
          <w:i/>
          <w:sz w:val="16"/>
        </w:rPr>
        <w:t>Pueblos Kaliña y Lokono Vs. Surinam</w:t>
      </w:r>
      <w:r>
        <w:rPr>
          <w:sz w:val="16"/>
        </w:rPr>
        <w:t>, párr. 201.) En el mismo sentido la perita Yáñez Fuenzalida se refirió al carácter previo de las consultas: explicó que de acuerdo con señalamientos de la OIT, las consultas son “obligatorias antes de emprender cualquier actividad de exploración o explotación de […] recursos naturales que</w:t>
      </w:r>
      <w:r>
        <w:rPr>
          <w:spacing w:val="-10"/>
          <w:sz w:val="16"/>
        </w:rPr>
        <w:t> </w:t>
      </w:r>
      <w:r>
        <w:rPr>
          <w:sz w:val="16"/>
        </w:rPr>
        <w:t>se</w:t>
      </w:r>
      <w:r>
        <w:rPr>
          <w:spacing w:val="-9"/>
          <w:sz w:val="16"/>
        </w:rPr>
        <w:t> </w:t>
      </w:r>
      <w:r>
        <w:rPr>
          <w:sz w:val="16"/>
        </w:rPr>
        <w:t>encuentren</w:t>
      </w:r>
      <w:r>
        <w:rPr>
          <w:spacing w:val="-11"/>
          <w:sz w:val="16"/>
        </w:rPr>
        <w:t> </w:t>
      </w:r>
      <w:r>
        <w:rPr>
          <w:sz w:val="16"/>
        </w:rPr>
        <w:t>en</w:t>
      </w:r>
      <w:r>
        <w:rPr>
          <w:spacing w:val="-11"/>
          <w:sz w:val="16"/>
        </w:rPr>
        <w:t> </w:t>
      </w:r>
      <w:r>
        <w:rPr>
          <w:sz w:val="16"/>
        </w:rPr>
        <w:t>las</w:t>
      </w:r>
      <w:r>
        <w:rPr>
          <w:spacing w:val="-10"/>
          <w:sz w:val="16"/>
        </w:rPr>
        <w:t> </w:t>
      </w:r>
      <w:r>
        <w:rPr>
          <w:sz w:val="16"/>
        </w:rPr>
        <w:t>tierras</w:t>
      </w:r>
      <w:r>
        <w:rPr>
          <w:spacing w:val="-9"/>
          <w:sz w:val="16"/>
        </w:rPr>
        <w:t> </w:t>
      </w:r>
      <w:r>
        <w:rPr>
          <w:sz w:val="16"/>
        </w:rPr>
        <w:t>de</w:t>
      </w:r>
      <w:r>
        <w:rPr>
          <w:spacing w:val="-10"/>
          <w:sz w:val="16"/>
        </w:rPr>
        <w:t> </w:t>
      </w:r>
      <w:r>
        <w:rPr>
          <w:sz w:val="16"/>
        </w:rPr>
        <w:t>[los]</w:t>
      </w:r>
      <w:r>
        <w:rPr>
          <w:spacing w:val="-11"/>
          <w:sz w:val="16"/>
        </w:rPr>
        <w:t> </w:t>
      </w:r>
      <w:r>
        <w:rPr>
          <w:sz w:val="16"/>
        </w:rPr>
        <w:t>pueblos</w:t>
      </w:r>
      <w:r>
        <w:rPr>
          <w:spacing w:val="-10"/>
          <w:sz w:val="16"/>
        </w:rPr>
        <w:t> </w:t>
      </w:r>
      <w:r>
        <w:rPr>
          <w:sz w:val="16"/>
        </w:rPr>
        <w:t>[indígenas</w:t>
      </w:r>
      <w:r>
        <w:rPr>
          <w:spacing w:val="-12"/>
          <w:sz w:val="16"/>
        </w:rPr>
        <w:t> </w:t>
      </w:r>
      <w:r>
        <w:rPr>
          <w:sz w:val="16"/>
        </w:rPr>
        <w:t>o</w:t>
      </w:r>
      <w:r>
        <w:rPr>
          <w:spacing w:val="-9"/>
          <w:sz w:val="16"/>
        </w:rPr>
        <w:t> </w:t>
      </w:r>
      <w:r>
        <w:rPr>
          <w:sz w:val="16"/>
        </w:rPr>
        <w:t>tribales];</w:t>
      </w:r>
      <w:r>
        <w:rPr>
          <w:spacing w:val="-11"/>
          <w:sz w:val="16"/>
        </w:rPr>
        <w:t> </w:t>
      </w:r>
      <w:r>
        <w:rPr>
          <w:sz w:val="16"/>
        </w:rPr>
        <w:t>o</w:t>
      </w:r>
      <w:r>
        <w:rPr>
          <w:spacing w:val="-9"/>
          <w:sz w:val="16"/>
        </w:rPr>
        <w:t> </w:t>
      </w:r>
      <w:r>
        <w:rPr>
          <w:sz w:val="16"/>
        </w:rPr>
        <w:t>cada</w:t>
      </w:r>
      <w:r>
        <w:rPr>
          <w:spacing w:val="-10"/>
          <w:sz w:val="16"/>
        </w:rPr>
        <w:t> </w:t>
      </w:r>
      <w:r>
        <w:rPr>
          <w:sz w:val="16"/>
        </w:rPr>
        <w:t>vez</w:t>
      </w:r>
      <w:r>
        <w:rPr>
          <w:spacing w:val="-10"/>
          <w:sz w:val="16"/>
        </w:rPr>
        <w:t> </w:t>
      </w:r>
      <w:r>
        <w:rPr>
          <w:sz w:val="16"/>
        </w:rPr>
        <w:t>que</w:t>
      </w:r>
      <w:r>
        <w:rPr>
          <w:spacing w:val="-10"/>
          <w:sz w:val="16"/>
        </w:rPr>
        <w:t> </w:t>
      </w:r>
      <w:r>
        <w:rPr>
          <w:sz w:val="16"/>
        </w:rPr>
        <w:t>sea</w:t>
      </w:r>
      <w:r>
        <w:rPr>
          <w:spacing w:val="-10"/>
          <w:sz w:val="16"/>
        </w:rPr>
        <w:t> </w:t>
      </w:r>
      <w:r>
        <w:rPr>
          <w:sz w:val="16"/>
        </w:rPr>
        <w:t>necesario</w:t>
      </w:r>
      <w:r>
        <w:rPr>
          <w:spacing w:val="-9"/>
          <w:sz w:val="16"/>
        </w:rPr>
        <w:t> </w:t>
      </w:r>
      <w:r>
        <w:rPr>
          <w:sz w:val="16"/>
        </w:rPr>
        <w:t>trasladar a</w:t>
      </w:r>
      <w:r>
        <w:rPr>
          <w:spacing w:val="-9"/>
          <w:sz w:val="16"/>
        </w:rPr>
        <w:t> </w:t>
      </w:r>
      <w:r>
        <w:rPr>
          <w:sz w:val="16"/>
        </w:rPr>
        <w:t>las</w:t>
      </w:r>
      <w:r>
        <w:rPr>
          <w:spacing w:val="-8"/>
          <w:sz w:val="16"/>
        </w:rPr>
        <w:t> </w:t>
      </w:r>
      <w:r>
        <w:rPr>
          <w:sz w:val="16"/>
        </w:rPr>
        <w:t>comunidades</w:t>
      </w:r>
      <w:r>
        <w:rPr>
          <w:spacing w:val="-10"/>
          <w:sz w:val="16"/>
        </w:rPr>
        <w:t> </w:t>
      </w:r>
      <w:r>
        <w:rPr>
          <w:sz w:val="16"/>
        </w:rPr>
        <w:t>indígenas</w:t>
      </w:r>
      <w:r>
        <w:rPr>
          <w:spacing w:val="-8"/>
          <w:sz w:val="16"/>
        </w:rPr>
        <w:t> </w:t>
      </w:r>
      <w:r>
        <w:rPr>
          <w:sz w:val="16"/>
        </w:rPr>
        <w:t>[o]</w:t>
      </w:r>
      <w:r>
        <w:rPr>
          <w:spacing w:val="-9"/>
          <w:sz w:val="16"/>
        </w:rPr>
        <w:t> </w:t>
      </w:r>
      <w:r>
        <w:rPr>
          <w:sz w:val="16"/>
        </w:rPr>
        <w:t>tribales</w:t>
      </w:r>
      <w:r>
        <w:rPr>
          <w:spacing w:val="-10"/>
          <w:sz w:val="16"/>
        </w:rPr>
        <w:t> </w:t>
      </w:r>
      <w:r>
        <w:rPr>
          <w:sz w:val="16"/>
        </w:rPr>
        <w:t>de</w:t>
      </w:r>
      <w:r>
        <w:rPr>
          <w:spacing w:val="-11"/>
          <w:sz w:val="16"/>
        </w:rPr>
        <w:t> </w:t>
      </w:r>
      <w:r>
        <w:rPr>
          <w:sz w:val="16"/>
        </w:rPr>
        <w:t>sus</w:t>
      </w:r>
      <w:r>
        <w:rPr>
          <w:spacing w:val="-8"/>
          <w:sz w:val="16"/>
        </w:rPr>
        <w:t> </w:t>
      </w:r>
      <w:r>
        <w:rPr>
          <w:sz w:val="16"/>
        </w:rPr>
        <w:t>tierras</w:t>
      </w:r>
      <w:r>
        <w:rPr>
          <w:spacing w:val="-11"/>
          <w:sz w:val="16"/>
        </w:rPr>
        <w:t> </w:t>
      </w:r>
      <w:r>
        <w:rPr>
          <w:sz w:val="16"/>
        </w:rPr>
        <w:t>tradicionales</w:t>
      </w:r>
      <w:r>
        <w:rPr>
          <w:spacing w:val="-8"/>
          <w:sz w:val="16"/>
        </w:rPr>
        <w:t> </w:t>
      </w:r>
      <w:r>
        <w:rPr>
          <w:sz w:val="16"/>
        </w:rPr>
        <w:t>a</w:t>
      </w:r>
      <w:r>
        <w:rPr>
          <w:spacing w:val="-9"/>
          <w:sz w:val="16"/>
        </w:rPr>
        <w:t> </w:t>
      </w:r>
      <w:r>
        <w:rPr>
          <w:sz w:val="16"/>
        </w:rPr>
        <w:t>otro</w:t>
      </w:r>
      <w:r>
        <w:rPr>
          <w:spacing w:val="-10"/>
          <w:sz w:val="16"/>
        </w:rPr>
        <w:t> </w:t>
      </w:r>
      <w:r>
        <w:rPr>
          <w:sz w:val="16"/>
        </w:rPr>
        <w:t>lugar;</w:t>
      </w:r>
      <w:r>
        <w:rPr>
          <w:spacing w:val="-12"/>
          <w:sz w:val="16"/>
        </w:rPr>
        <w:t> </w:t>
      </w:r>
      <w:r>
        <w:rPr>
          <w:sz w:val="16"/>
        </w:rPr>
        <w:t>y</w:t>
      </w:r>
      <w:r>
        <w:rPr>
          <w:spacing w:val="-8"/>
          <w:sz w:val="16"/>
        </w:rPr>
        <w:t> </w:t>
      </w:r>
      <w:r>
        <w:rPr>
          <w:sz w:val="16"/>
        </w:rPr>
        <w:t>antes</w:t>
      </w:r>
      <w:r>
        <w:rPr>
          <w:spacing w:val="-10"/>
          <w:sz w:val="16"/>
        </w:rPr>
        <w:t> </w:t>
      </w:r>
      <w:r>
        <w:rPr>
          <w:sz w:val="16"/>
        </w:rPr>
        <w:t>de</w:t>
      </w:r>
      <w:r>
        <w:rPr>
          <w:spacing w:val="-8"/>
          <w:sz w:val="16"/>
        </w:rPr>
        <w:t> </w:t>
      </w:r>
      <w:r>
        <w:rPr>
          <w:sz w:val="16"/>
        </w:rPr>
        <w:t>diseñar</w:t>
      </w:r>
      <w:r>
        <w:rPr>
          <w:spacing w:val="-10"/>
          <w:sz w:val="16"/>
        </w:rPr>
        <w:t> </w:t>
      </w:r>
      <w:r>
        <w:rPr>
          <w:sz w:val="16"/>
        </w:rPr>
        <w:t>y</w:t>
      </w:r>
      <w:r>
        <w:rPr>
          <w:spacing w:val="-8"/>
          <w:sz w:val="16"/>
        </w:rPr>
        <w:t> </w:t>
      </w:r>
      <w:r>
        <w:rPr>
          <w:sz w:val="16"/>
        </w:rPr>
        <w:t>ejecutar</w:t>
      </w:r>
    </w:p>
    <w:p>
      <w:pPr>
        <w:spacing w:after="0" w:line="240" w:lineRule="auto"/>
        <w:jc w:val="both"/>
        <w:rPr>
          <w:sz w:val="16"/>
        </w:rPr>
        <w:sectPr>
          <w:footerReference w:type="default" r:id="rId21"/>
          <w:pgSz w:w="12240" w:h="15840"/>
          <w:pgMar w:footer="1000" w:header="0" w:top="1340" w:bottom="1200" w:left="1580" w:right="1580"/>
        </w:sectPr>
      </w:pPr>
    </w:p>
    <w:p>
      <w:pPr>
        <w:pStyle w:val="BodyText"/>
        <w:spacing w:line="242" w:lineRule="auto" w:before="76"/>
        <w:ind w:left="122" w:right="127"/>
        <w:jc w:val="both"/>
      </w:pPr>
      <w:r>
        <w:rPr/>
        <w:t>“garantizar que no se emitirá ninguna concesión dentro de[l] territorio a menos y</w:t>
      </w:r>
      <w:r>
        <w:rPr>
          <w:spacing w:val="-35"/>
        </w:rPr>
        <w:t> </w:t>
      </w:r>
      <w:r>
        <w:rPr/>
        <w:t>hasta que entidades independientes y técnicamente capaces, bajo la supervisión del Estado, realicen</w:t>
      </w:r>
      <w:r>
        <w:rPr>
          <w:spacing w:val="-13"/>
        </w:rPr>
        <w:t> </w:t>
      </w:r>
      <w:r>
        <w:rPr/>
        <w:t>un</w:t>
      </w:r>
      <w:r>
        <w:rPr>
          <w:spacing w:val="-13"/>
        </w:rPr>
        <w:t> </w:t>
      </w:r>
      <w:r>
        <w:rPr/>
        <w:t>estudio</w:t>
      </w:r>
      <w:r>
        <w:rPr>
          <w:spacing w:val="-15"/>
        </w:rPr>
        <w:t> </w:t>
      </w:r>
      <w:r>
        <w:rPr/>
        <w:t>previo</w:t>
      </w:r>
      <w:r>
        <w:rPr>
          <w:spacing w:val="-15"/>
        </w:rPr>
        <w:t> </w:t>
      </w:r>
      <w:r>
        <w:rPr/>
        <w:t>de</w:t>
      </w:r>
      <w:r>
        <w:rPr>
          <w:spacing w:val="-15"/>
        </w:rPr>
        <w:t> </w:t>
      </w:r>
      <w:r>
        <w:rPr/>
        <w:t>impacto</w:t>
      </w:r>
      <w:r>
        <w:rPr>
          <w:spacing w:val="-15"/>
        </w:rPr>
        <w:t> </w:t>
      </w:r>
      <w:r>
        <w:rPr/>
        <w:t>[…]</w:t>
      </w:r>
      <w:r>
        <w:rPr>
          <w:spacing w:val="-13"/>
        </w:rPr>
        <w:t> </w:t>
      </w:r>
      <w:r>
        <w:rPr/>
        <w:t>ambiental”</w:t>
      </w:r>
      <w:r>
        <w:rPr>
          <w:spacing w:val="-40"/>
        </w:rPr>
        <w:t> </w:t>
      </w:r>
      <w:r>
        <w:rPr>
          <w:rFonts w:ascii="Calibri" w:hAnsi="Calibri"/>
          <w:position w:val="8"/>
          <w:sz w:val="14"/>
        </w:rPr>
        <w:t>162</w:t>
      </w:r>
      <w:r>
        <w:rPr/>
        <w:t>.</w:t>
      </w:r>
      <w:r>
        <w:rPr>
          <w:spacing w:val="-14"/>
        </w:rPr>
        <w:t> </w:t>
      </w:r>
      <w:r>
        <w:rPr/>
        <w:t>En</w:t>
      </w:r>
      <w:r>
        <w:rPr>
          <w:spacing w:val="-13"/>
        </w:rPr>
        <w:t> </w:t>
      </w:r>
      <w:r>
        <w:rPr/>
        <w:t>tercer</w:t>
      </w:r>
      <w:r>
        <w:rPr>
          <w:spacing w:val="-15"/>
        </w:rPr>
        <w:t> </w:t>
      </w:r>
      <w:r>
        <w:rPr/>
        <w:t>lugar,</w:t>
      </w:r>
      <w:r>
        <w:rPr>
          <w:spacing w:val="-14"/>
        </w:rPr>
        <w:t> </w:t>
      </w:r>
      <w:r>
        <w:rPr/>
        <w:t>debe</w:t>
      </w:r>
      <w:r>
        <w:rPr>
          <w:spacing w:val="-15"/>
        </w:rPr>
        <w:t> </w:t>
      </w:r>
      <w:r>
        <w:rPr/>
        <w:t>garantizar que las comunidades indígenas “se beneficien razonablemente del plan que se lleve a cabo dentro de su territorio”</w:t>
      </w:r>
      <w:r>
        <w:rPr>
          <w:spacing w:val="-50"/>
        </w:rPr>
        <w:t> </w:t>
      </w:r>
      <w:r>
        <w:rPr>
          <w:rFonts w:ascii="Calibri" w:hAnsi="Calibri"/>
          <w:position w:val="8"/>
          <w:sz w:val="14"/>
        </w:rPr>
        <w:t>163</w:t>
      </w:r>
      <w:r>
        <w:rPr/>
        <w:t>.</w:t>
      </w:r>
    </w:p>
    <w:p>
      <w:pPr>
        <w:pStyle w:val="BodyText"/>
        <w:spacing w:before="2"/>
        <w:rPr>
          <w:sz w:val="21"/>
        </w:rPr>
      </w:pPr>
    </w:p>
    <w:p>
      <w:pPr>
        <w:pStyle w:val="ListParagraph"/>
        <w:numPr>
          <w:ilvl w:val="0"/>
          <w:numId w:val="27"/>
        </w:numPr>
        <w:tabs>
          <w:tab w:pos="830" w:val="left" w:leader="none"/>
        </w:tabs>
        <w:spacing w:line="240" w:lineRule="auto" w:before="0" w:after="0"/>
        <w:ind w:left="122" w:right="128" w:firstLine="0"/>
        <w:jc w:val="both"/>
        <w:rPr>
          <w:sz w:val="20"/>
        </w:rPr>
      </w:pPr>
      <w:r>
        <w:rPr>
          <w:sz w:val="20"/>
        </w:rPr>
        <w:t>Por</w:t>
      </w:r>
      <w:r>
        <w:rPr>
          <w:spacing w:val="-12"/>
          <w:sz w:val="20"/>
        </w:rPr>
        <w:t> </w:t>
      </w:r>
      <w:r>
        <w:rPr>
          <w:sz w:val="20"/>
        </w:rPr>
        <w:t>medio</w:t>
      </w:r>
      <w:r>
        <w:rPr>
          <w:spacing w:val="-14"/>
          <w:sz w:val="20"/>
        </w:rPr>
        <w:t> </w:t>
      </w:r>
      <w:r>
        <w:rPr>
          <w:sz w:val="20"/>
        </w:rPr>
        <w:t>de</w:t>
      </w:r>
      <w:r>
        <w:rPr>
          <w:spacing w:val="-14"/>
          <w:sz w:val="20"/>
        </w:rPr>
        <w:t> </w:t>
      </w:r>
      <w:r>
        <w:rPr>
          <w:sz w:val="20"/>
        </w:rPr>
        <w:t>los</w:t>
      </w:r>
      <w:r>
        <w:rPr>
          <w:spacing w:val="-11"/>
          <w:sz w:val="20"/>
        </w:rPr>
        <w:t> </w:t>
      </w:r>
      <w:r>
        <w:rPr>
          <w:sz w:val="20"/>
        </w:rPr>
        <w:t>requisitos</w:t>
      </w:r>
      <w:r>
        <w:rPr>
          <w:spacing w:val="-13"/>
          <w:sz w:val="20"/>
        </w:rPr>
        <w:t> </w:t>
      </w:r>
      <w:r>
        <w:rPr>
          <w:sz w:val="20"/>
        </w:rPr>
        <w:t>anteriores,</w:t>
      </w:r>
      <w:r>
        <w:rPr>
          <w:spacing w:val="-12"/>
          <w:sz w:val="20"/>
        </w:rPr>
        <w:t> </w:t>
      </w:r>
      <w:r>
        <w:rPr>
          <w:sz w:val="20"/>
        </w:rPr>
        <w:t>se</w:t>
      </w:r>
      <w:r>
        <w:rPr>
          <w:spacing w:val="-14"/>
          <w:sz w:val="20"/>
        </w:rPr>
        <w:t> </w:t>
      </w:r>
      <w:r>
        <w:rPr>
          <w:sz w:val="20"/>
        </w:rPr>
        <w:t>busca</w:t>
      </w:r>
      <w:r>
        <w:rPr>
          <w:spacing w:val="-11"/>
          <w:sz w:val="20"/>
        </w:rPr>
        <w:t> </w:t>
      </w:r>
      <w:r>
        <w:rPr>
          <w:sz w:val="20"/>
        </w:rPr>
        <w:t>“preservar,</w:t>
      </w:r>
      <w:r>
        <w:rPr>
          <w:spacing w:val="-11"/>
          <w:sz w:val="20"/>
        </w:rPr>
        <w:t> </w:t>
      </w:r>
      <w:r>
        <w:rPr>
          <w:sz w:val="20"/>
        </w:rPr>
        <w:t>proteger</w:t>
      </w:r>
      <w:r>
        <w:rPr>
          <w:spacing w:val="-12"/>
          <w:sz w:val="20"/>
        </w:rPr>
        <w:t> </w:t>
      </w:r>
      <w:r>
        <w:rPr>
          <w:sz w:val="20"/>
        </w:rPr>
        <w:t>y</w:t>
      </w:r>
      <w:r>
        <w:rPr>
          <w:spacing w:val="-13"/>
          <w:sz w:val="20"/>
        </w:rPr>
        <w:t> </w:t>
      </w:r>
      <w:r>
        <w:rPr>
          <w:sz w:val="20"/>
        </w:rPr>
        <w:t>garantizar la relación especial” que los pueblos indígenas tienen con su territorio, la cual a su vez, garantiza su subsistencia. Si bien la Convención no puede interpretarse de modo que impida al Estado realizar, por sí o a través de terceros, proyectos y obras sobre el territorio, el impacto de los mismos no puede en ningún caso negar la capacidad de los miembros de los pueblos indígenas y tribales a su propia</w:t>
      </w:r>
      <w:r>
        <w:rPr>
          <w:spacing w:val="-25"/>
          <w:sz w:val="20"/>
        </w:rPr>
        <w:t> </w:t>
      </w:r>
      <w:r>
        <w:rPr>
          <w:sz w:val="20"/>
        </w:rPr>
        <w:t>supervivencia</w:t>
      </w:r>
      <w:r>
        <w:rPr>
          <w:position w:val="8"/>
          <w:sz w:val="14"/>
        </w:rPr>
        <w:t>164</w:t>
      </w:r>
      <w:r>
        <w:rPr>
          <w:sz w:val="20"/>
        </w:rPr>
        <w:t>.</w:t>
      </w:r>
    </w:p>
    <w:p>
      <w:pPr>
        <w:pStyle w:val="BodyText"/>
        <w:spacing w:before="2"/>
      </w:pPr>
    </w:p>
    <w:p>
      <w:pPr>
        <w:pStyle w:val="ListParagraph"/>
        <w:numPr>
          <w:ilvl w:val="0"/>
          <w:numId w:val="27"/>
        </w:numPr>
        <w:tabs>
          <w:tab w:pos="830" w:val="left" w:leader="none"/>
        </w:tabs>
        <w:spacing w:line="240" w:lineRule="auto" w:before="1" w:after="0"/>
        <w:ind w:left="122" w:right="124" w:firstLine="0"/>
        <w:jc w:val="both"/>
        <w:rPr>
          <w:sz w:val="20"/>
        </w:rPr>
      </w:pPr>
      <w:r>
        <w:rPr>
          <w:sz w:val="20"/>
        </w:rPr>
        <w:t>En el caso, la Corte limitará su examen a aquellas obras o proyectos que están dentro</w:t>
      </w:r>
      <w:r>
        <w:rPr>
          <w:spacing w:val="-13"/>
          <w:sz w:val="20"/>
        </w:rPr>
        <w:t> </w:t>
      </w:r>
      <w:r>
        <w:rPr>
          <w:sz w:val="20"/>
        </w:rPr>
        <w:t>del</w:t>
      </w:r>
      <w:r>
        <w:rPr>
          <w:spacing w:val="-11"/>
          <w:sz w:val="20"/>
        </w:rPr>
        <w:t> </w:t>
      </w:r>
      <w:r>
        <w:rPr>
          <w:sz w:val="20"/>
        </w:rPr>
        <w:t>marco</w:t>
      </w:r>
      <w:r>
        <w:rPr>
          <w:spacing w:val="-13"/>
          <w:sz w:val="20"/>
        </w:rPr>
        <w:t> </w:t>
      </w:r>
      <w:r>
        <w:rPr>
          <w:sz w:val="20"/>
        </w:rPr>
        <w:t>fáctico</w:t>
      </w:r>
      <w:r>
        <w:rPr>
          <w:spacing w:val="-13"/>
          <w:sz w:val="20"/>
        </w:rPr>
        <w:t> </w:t>
      </w:r>
      <w:r>
        <w:rPr>
          <w:sz w:val="20"/>
        </w:rPr>
        <w:t>del</w:t>
      </w:r>
      <w:r>
        <w:rPr>
          <w:spacing w:val="-11"/>
          <w:sz w:val="20"/>
        </w:rPr>
        <w:t> </w:t>
      </w:r>
      <w:r>
        <w:rPr>
          <w:sz w:val="20"/>
        </w:rPr>
        <w:t>caso</w:t>
      </w:r>
      <w:r>
        <w:rPr>
          <w:spacing w:val="-12"/>
          <w:sz w:val="20"/>
        </w:rPr>
        <w:t> </w:t>
      </w:r>
      <w:r>
        <w:rPr>
          <w:sz w:val="20"/>
        </w:rPr>
        <w:t>y</w:t>
      </w:r>
      <w:r>
        <w:rPr>
          <w:spacing w:val="-12"/>
          <w:sz w:val="20"/>
        </w:rPr>
        <w:t> </w:t>
      </w:r>
      <w:r>
        <w:rPr>
          <w:sz w:val="20"/>
        </w:rPr>
        <w:t>sobre</w:t>
      </w:r>
      <w:r>
        <w:rPr>
          <w:spacing w:val="-13"/>
          <w:sz w:val="20"/>
        </w:rPr>
        <w:t> </w:t>
      </w:r>
      <w:r>
        <w:rPr>
          <w:sz w:val="20"/>
        </w:rPr>
        <w:t>los</w:t>
      </w:r>
      <w:r>
        <w:rPr>
          <w:spacing w:val="-12"/>
          <w:sz w:val="20"/>
        </w:rPr>
        <w:t> </w:t>
      </w:r>
      <w:r>
        <w:rPr>
          <w:sz w:val="20"/>
        </w:rPr>
        <w:t>cuales</w:t>
      </w:r>
      <w:r>
        <w:rPr>
          <w:spacing w:val="-14"/>
          <w:sz w:val="20"/>
        </w:rPr>
        <w:t> </w:t>
      </w:r>
      <w:r>
        <w:rPr>
          <w:sz w:val="20"/>
        </w:rPr>
        <w:t>hay</w:t>
      </w:r>
      <w:r>
        <w:rPr>
          <w:spacing w:val="-14"/>
          <w:sz w:val="20"/>
        </w:rPr>
        <w:t> </w:t>
      </w:r>
      <w:r>
        <w:rPr>
          <w:sz w:val="20"/>
        </w:rPr>
        <w:t>suficientes</w:t>
      </w:r>
      <w:r>
        <w:rPr>
          <w:spacing w:val="-12"/>
          <w:sz w:val="20"/>
        </w:rPr>
        <w:t> </w:t>
      </w:r>
      <w:r>
        <w:rPr>
          <w:sz w:val="20"/>
        </w:rPr>
        <w:t>elementos</w:t>
      </w:r>
      <w:r>
        <w:rPr>
          <w:spacing w:val="-12"/>
          <w:sz w:val="20"/>
        </w:rPr>
        <w:t> </w:t>
      </w:r>
      <w:r>
        <w:rPr>
          <w:sz w:val="20"/>
        </w:rPr>
        <w:t>de</w:t>
      </w:r>
      <w:r>
        <w:rPr>
          <w:spacing w:val="-13"/>
          <w:sz w:val="20"/>
        </w:rPr>
        <w:t> </w:t>
      </w:r>
      <w:r>
        <w:rPr>
          <w:sz w:val="20"/>
        </w:rPr>
        <w:t>prueba y argumentos para posibilitar su análisis. Sin embargo, en este sentido, este Tribunal entiende</w:t>
      </w:r>
      <w:r>
        <w:rPr>
          <w:spacing w:val="-16"/>
          <w:sz w:val="20"/>
        </w:rPr>
        <w:t> </w:t>
      </w:r>
      <w:r>
        <w:rPr>
          <w:sz w:val="20"/>
        </w:rPr>
        <w:t>que</w:t>
      </w:r>
      <w:r>
        <w:rPr>
          <w:spacing w:val="-16"/>
          <w:sz w:val="20"/>
        </w:rPr>
        <w:t> </w:t>
      </w:r>
      <w:r>
        <w:rPr>
          <w:sz w:val="20"/>
        </w:rPr>
        <w:t>la</w:t>
      </w:r>
      <w:r>
        <w:rPr>
          <w:spacing w:val="-15"/>
          <w:sz w:val="20"/>
        </w:rPr>
        <w:t> </w:t>
      </w:r>
      <w:r>
        <w:rPr>
          <w:sz w:val="20"/>
        </w:rPr>
        <w:t>Comisión</w:t>
      </w:r>
      <w:r>
        <w:rPr>
          <w:spacing w:val="-14"/>
          <w:sz w:val="20"/>
        </w:rPr>
        <w:t> </w:t>
      </w:r>
      <w:r>
        <w:rPr>
          <w:sz w:val="20"/>
        </w:rPr>
        <w:t>y</w:t>
      </w:r>
      <w:r>
        <w:rPr>
          <w:spacing w:val="-15"/>
          <w:sz w:val="20"/>
        </w:rPr>
        <w:t> </w:t>
      </w:r>
      <w:r>
        <w:rPr>
          <w:sz w:val="20"/>
        </w:rPr>
        <w:t>las</w:t>
      </w:r>
      <w:r>
        <w:rPr>
          <w:spacing w:val="-16"/>
          <w:sz w:val="20"/>
        </w:rPr>
        <w:t> </w:t>
      </w:r>
      <w:r>
        <w:rPr>
          <w:sz w:val="20"/>
        </w:rPr>
        <w:t>partes</w:t>
      </w:r>
      <w:r>
        <w:rPr>
          <w:spacing w:val="-16"/>
          <w:sz w:val="20"/>
        </w:rPr>
        <w:t> </w:t>
      </w:r>
      <w:r>
        <w:rPr>
          <w:sz w:val="20"/>
        </w:rPr>
        <w:t>no</w:t>
      </w:r>
      <w:r>
        <w:rPr>
          <w:spacing w:val="-16"/>
          <w:sz w:val="20"/>
        </w:rPr>
        <w:t> </w:t>
      </w:r>
      <w:r>
        <w:rPr>
          <w:sz w:val="20"/>
        </w:rPr>
        <w:t>han</w:t>
      </w:r>
      <w:r>
        <w:rPr>
          <w:spacing w:val="-14"/>
          <w:sz w:val="20"/>
        </w:rPr>
        <w:t> </w:t>
      </w:r>
      <w:r>
        <w:rPr>
          <w:sz w:val="20"/>
        </w:rPr>
        <w:t>presentado</w:t>
      </w:r>
      <w:r>
        <w:rPr>
          <w:spacing w:val="-16"/>
          <w:sz w:val="20"/>
        </w:rPr>
        <w:t> </w:t>
      </w:r>
      <w:r>
        <w:rPr>
          <w:sz w:val="20"/>
        </w:rPr>
        <w:t>información</w:t>
      </w:r>
      <w:r>
        <w:rPr>
          <w:spacing w:val="-13"/>
          <w:sz w:val="20"/>
        </w:rPr>
        <w:t> </w:t>
      </w:r>
      <w:r>
        <w:rPr>
          <w:sz w:val="20"/>
        </w:rPr>
        <w:t>y</w:t>
      </w:r>
      <w:r>
        <w:rPr>
          <w:spacing w:val="-13"/>
          <w:sz w:val="20"/>
        </w:rPr>
        <w:t> </w:t>
      </w:r>
      <w:r>
        <w:rPr>
          <w:sz w:val="20"/>
        </w:rPr>
        <w:t>argumentaciones precisas y suficientes para que la Corte evalúe aspectos relativos a obras sobre</w:t>
      </w:r>
      <w:r>
        <w:rPr>
          <w:spacing w:val="31"/>
          <w:sz w:val="20"/>
        </w:rPr>
        <w:t> </w:t>
      </w:r>
      <w:r>
        <w:rPr>
          <w:sz w:val="20"/>
        </w:rPr>
        <w:t>tramos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3"/>
        </w:rPr>
      </w:pPr>
      <w:r>
        <w:rPr/>
        <w:pict>
          <v:line style="position:absolute;mso-position-horizontal-relative:page;mso-position-vertical-relative:paragraph;z-index:2368;mso-wrap-distance-left:0;mso-wrap-distance-right:0" from="85.103996pt,16.395571pt" to="229.123996pt,16.395571pt" stroked="true" strokeweight=".72pt" strokecolor="#000000">
            <v:stroke dashstyle="solid"/>
            <w10:wrap type="topAndBottom"/>
          </v:line>
        </w:pict>
      </w:r>
    </w:p>
    <w:p>
      <w:pPr>
        <w:spacing w:before="71"/>
        <w:ind w:left="122" w:right="117" w:firstLine="0"/>
        <w:jc w:val="both"/>
        <w:rPr>
          <w:i/>
          <w:sz w:val="16"/>
        </w:rPr>
      </w:pPr>
      <w:r>
        <w:rPr>
          <w:sz w:val="16"/>
        </w:rPr>
        <w:t>programas o políticas públicas dirigidas a los referidos pueblos”. El Relator Especial sobre la situación de los derechos humanos y las libertades fundamentales de los indígenas, señaló que “el propio Estado tiene la responsabilidad</w:t>
      </w:r>
      <w:r>
        <w:rPr>
          <w:spacing w:val="-8"/>
          <w:sz w:val="16"/>
        </w:rPr>
        <w:t> </w:t>
      </w:r>
      <w:r>
        <w:rPr>
          <w:sz w:val="16"/>
        </w:rPr>
        <w:t>de</w:t>
      </w:r>
      <w:r>
        <w:rPr>
          <w:spacing w:val="-11"/>
          <w:sz w:val="16"/>
        </w:rPr>
        <w:t> </w:t>
      </w:r>
      <w:r>
        <w:rPr>
          <w:sz w:val="16"/>
        </w:rPr>
        <w:t>realizar</w:t>
      </w:r>
      <w:r>
        <w:rPr>
          <w:spacing w:val="-10"/>
          <w:sz w:val="16"/>
        </w:rPr>
        <w:t> </w:t>
      </w:r>
      <w:r>
        <w:rPr>
          <w:sz w:val="16"/>
        </w:rPr>
        <w:t>o</w:t>
      </w:r>
      <w:r>
        <w:rPr>
          <w:spacing w:val="-8"/>
          <w:sz w:val="16"/>
        </w:rPr>
        <w:t> </w:t>
      </w:r>
      <w:r>
        <w:rPr>
          <w:sz w:val="16"/>
        </w:rPr>
        <w:t>garantizar</w:t>
      </w:r>
      <w:r>
        <w:rPr>
          <w:spacing w:val="-8"/>
          <w:sz w:val="16"/>
        </w:rPr>
        <w:t> </w:t>
      </w:r>
      <w:r>
        <w:rPr>
          <w:sz w:val="16"/>
        </w:rPr>
        <w:t>que</w:t>
      </w:r>
      <w:r>
        <w:rPr>
          <w:spacing w:val="-8"/>
          <w:sz w:val="16"/>
        </w:rPr>
        <w:t> </w:t>
      </w:r>
      <w:r>
        <w:rPr>
          <w:sz w:val="16"/>
        </w:rPr>
        <w:t>se</w:t>
      </w:r>
      <w:r>
        <w:rPr>
          <w:spacing w:val="-10"/>
          <w:sz w:val="16"/>
        </w:rPr>
        <w:t> </w:t>
      </w:r>
      <w:r>
        <w:rPr>
          <w:sz w:val="16"/>
        </w:rPr>
        <w:t>realicen</w:t>
      </w:r>
      <w:r>
        <w:rPr>
          <w:spacing w:val="-9"/>
          <w:sz w:val="16"/>
        </w:rPr>
        <w:t> </w:t>
      </w:r>
      <w:r>
        <w:rPr>
          <w:sz w:val="16"/>
        </w:rPr>
        <w:t>debidamente</w:t>
      </w:r>
      <w:r>
        <w:rPr>
          <w:spacing w:val="-8"/>
          <w:sz w:val="16"/>
        </w:rPr>
        <w:t> </w:t>
      </w:r>
      <w:r>
        <w:rPr>
          <w:sz w:val="16"/>
        </w:rPr>
        <w:t>consultas,</w:t>
      </w:r>
      <w:r>
        <w:rPr>
          <w:spacing w:val="-7"/>
          <w:sz w:val="16"/>
        </w:rPr>
        <w:t> </w:t>
      </w:r>
      <w:r>
        <w:rPr>
          <w:sz w:val="16"/>
        </w:rPr>
        <w:t>incluso</w:t>
      </w:r>
      <w:r>
        <w:rPr>
          <w:spacing w:val="-7"/>
          <w:sz w:val="16"/>
        </w:rPr>
        <w:t> </w:t>
      </w:r>
      <w:r>
        <w:rPr>
          <w:sz w:val="16"/>
        </w:rPr>
        <w:t>cuando,</w:t>
      </w:r>
      <w:r>
        <w:rPr>
          <w:spacing w:val="-9"/>
          <w:sz w:val="16"/>
        </w:rPr>
        <w:t> </w:t>
      </w:r>
      <w:r>
        <w:rPr>
          <w:sz w:val="16"/>
        </w:rPr>
        <w:t>en</w:t>
      </w:r>
      <w:r>
        <w:rPr>
          <w:spacing w:val="-9"/>
          <w:sz w:val="16"/>
        </w:rPr>
        <w:t> </w:t>
      </w:r>
      <w:r>
        <w:rPr>
          <w:sz w:val="16"/>
        </w:rPr>
        <w:t>la</w:t>
      </w:r>
      <w:r>
        <w:rPr>
          <w:spacing w:val="-9"/>
          <w:sz w:val="16"/>
        </w:rPr>
        <w:t> </w:t>
      </w:r>
      <w:r>
        <w:rPr>
          <w:sz w:val="16"/>
        </w:rPr>
        <w:t>práctica, es una empresa privada la que promueve o realiza las actividades […N]o es un deber que pueda eludirse delegándolo</w:t>
      </w:r>
      <w:r>
        <w:rPr>
          <w:spacing w:val="-10"/>
          <w:sz w:val="16"/>
        </w:rPr>
        <w:t> </w:t>
      </w:r>
      <w:r>
        <w:rPr>
          <w:sz w:val="16"/>
        </w:rPr>
        <w:t>a</w:t>
      </w:r>
      <w:r>
        <w:rPr>
          <w:spacing w:val="-11"/>
          <w:sz w:val="16"/>
        </w:rPr>
        <w:t> </w:t>
      </w:r>
      <w:r>
        <w:rPr>
          <w:sz w:val="16"/>
        </w:rPr>
        <w:t>una</w:t>
      </w:r>
      <w:r>
        <w:rPr>
          <w:spacing w:val="-9"/>
          <w:sz w:val="16"/>
        </w:rPr>
        <w:t> </w:t>
      </w:r>
      <w:r>
        <w:rPr>
          <w:sz w:val="16"/>
        </w:rPr>
        <w:t>empresa</w:t>
      </w:r>
      <w:r>
        <w:rPr>
          <w:spacing w:val="-11"/>
          <w:sz w:val="16"/>
        </w:rPr>
        <w:t> </w:t>
      </w:r>
      <w:r>
        <w:rPr>
          <w:sz w:val="16"/>
        </w:rPr>
        <w:t>privada</w:t>
      </w:r>
      <w:r>
        <w:rPr>
          <w:spacing w:val="-9"/>
          <w:sz w:val="16"/>
        </w:rPr>
        <w:t> </w:t>
      </w:r>
      <w:r>
        <w:rPr>
          <w:sz w:val="16"/>
        </w:rPr>
        <w:t>u</w:t>
      </w:r>
      <w:r>
        <w:rPr>
          <w:spacing w:val="-12"/>
          <w:sz w:val="16"/>
        </w:rPr>
        <w:t> </w:t>
      </w:r>
      <w:r>
        <w:rPr>
          <w:sz w:val="16"/>
        </w:rPr>
        <w:t>otra</w:t>
      </w:r>
      <w:r>
        <w:rPr>
          <w:spacing w:val="-11"/>
          <w:sz w:val="16"/>
        </w:rPr>
        <w:t> </w:t>
      </w:r>
      <w:r>
        <w:rPr>
          <w:sz w:val="16"/>
        </w:rPr>
        <w:t>entidad”.</w:t>
      </w:r>
      <w:r>
        <w:rPr>
          <w:spacing w:val="-12"/>
          <w:sz w:val="16"/>
        </w:rPr>
        <w:t> </w:t>
      </w:r>
      <w:r>
        <w:rPr>
          <w:sz w:val="16"/>
        </w:rPr>
        <w:t>(Consejo</w:t>
      </w:r>
      <w:r>
        <w:rPr>
          <w:spacing w:val="-10"/>
          <w:sz w:val="16"/>
        </w:rPr>
        <w:t> </w:t>
      </w:r>
      <w:r>
        <w:rPr>
          <w:sz w:val="16"/>
        </w:rPr>
        <w:t>de</w:t>
      </w:r>
      <w:r>
        <w:rPr>
          <w:spacing w:val="-11"/>
          <w:sz w:val="16"/>
        </w:rPr>
        <w:t> </w:t>
      </w:r>
      <w:r>
        <w:rPr>
          <w:sz w:val="16"/>
        </w:rPr>
        <w:t>Derechos</w:t>
      </w:r>
      <w:r>
        <w:rPr>
          <w:spacing w:val="-11"/>
          <w:sz w:val="16"/>
        </w:rPr>
        <w:t> </w:t>
      </w:r>
      <w:r>
        <w:rPr>
          <w:sz w:val="16"/>
        </w:rPr>
        <w:t>Humanos.</w:t>
      </w:r>
      <w:r>
        <w:rPr>
          <w:spacing w:val="-11"/>
          <w:sz w:val="16"/>
        </w:rPr>
        <w:t> </w:t>
      </w:r>
      <w:r>
        <w:rPr>
          <w:sz w:val="16"/>
        </w:rPr>
        <w:t>12º</w:t>
      </w:r>
      <w:r>
        <w:rPr>
          <w:spacing w:val="-12"/>
          <w:sz w:val="16"/>
        </w:rPr>
        <w:t> </w:t>
      </w:r>
      <w:r>
        <w:rPr>
          <w:sz w:val="16"/>
        </w:rPr>
        <w:t>período</w:t>
      </w:r>
      <w:r>
        <w:rPr>
          <w:spacing w:val="-10"/>
          <w:sz w:val="16"/>
        </w:rPr>
        <w:t> </w:t>
      </w:r>
      <w:r>
        <w:rPr>
          <w:sz w:val="16"/>
        </w:rPr>
        <w:t>de</w:t>
      </w:r>
      <w:r>
        <w:rPr>
          <w:spacing w:val="-11"/>
          <w:sz w:val="16"/>
        </w:rPr>
        <w:t> </w:t>
      </w:r>
      <w:r>
        <w:rPr>
          <w:sz w:val="16"/>
        </w:rPr>
        <w:t>sesiones. Informe</w:t>
      </w:r>
      <w:r>
        <w:rPr>
          <w:spacing w:val="-6"/>
          <w:sz w:val="16"/>
        </w:rPr>
        <w:t> </w:t>
      </w:r>
      <w:r>
        <w:rPr>
          <w:sz w:val="16"/>
        </w:rPr>
        <w:t>del</w:t>
      </w:r>
      <w:r>
        <w:rPr>
          <w:spacing w:val="-7"/>
          <w:sz w:val="16"/>
        </w:rPr>
        <w:t> </w:t>
      </w:r>
      <w:r>
        <w:rPr>
          <w:sz w:val="16"/>
        </w:rPr>
        <w:t>Relator</w:t>
      </w:r>
      <w:r>
        <w:rPr>
          <w:spacing w:val="-5"/>
          <w:sz w:val="16"/>
        </w:rPr>
        <w:t> </w:t>
      </w:r>
      <w:r>
        <w:rPr>
          <w:sz w:val="16"/>
        </w:rPr>
        <w:t>Especial</w:t>
      </w:r>
      <w:r>
        <w:rPr>
          <w:spacing w:val="-4"/>
          <w:sz w:val="16"/>
        </w:rPr>
        <w:t> </w:t>
      </w:r>
      <w:r>
        <w:rPr>
          <w:sz w:val="16"/>
        </w:rPr>
        <w:t>sobre</w:t>
      </w:r>
      <w:r>
        <w:rPr>
          <w:spacing w:val="-6"/>
          <w:sz w:val="16"/>
        </w:rPr>
        <w:t> </w:t>
      </w:r>
      <w:r>
        <w:rPr>
          <w:sz w:val="16"/>
        </w:rPr>
        <w:t>la</w:t>
      </w:r>
      <w:r>
        <w:rPr>
          <w:spacing w:val="-7"/>
          <w:sz w:val="16"/>
        </w:rPr>
        <w:t> </w:t>
      </w:r>
      <w:r>
        <w:rPr>
          <w:sz w:val="16"/>
        </w:rPr>
        <w:t>situación</w:t>
      </w:r>
      <w:r>
        <w:rPr>
          <w:spacing w:val="-7"/>
          <w:sz w:val="16"/>
        </w:rPr>
        <w:t> </w:t>
      </w:r>
      <w:r>
        <w:rPr>
          <w:sz w:val="16"/>
        </w:rPr>
        <w:t>de</w:t>
      </w:r>
      <w:r>
        <w:rPr>
          <w:spacing w:val="-6"/>
          <w:sz w:val="16"/>
        </w:rPr>
        <w:t> </w:t>
      </w:r>
      <w:r>
        <w:rPr>
          <w:sz w:val="16"/>
        </w:rPr>
        <w:t>los</w:t>
      </w:r>
      <w:r>
        <w:rPr>
          <w:spacing w:val="-8"/>
          <w:sz w:val="16"/>
        </w:rPr>
        <w:t> </w:t>
      </w:r>
      <w:r>
        <w:rPr>
          <w:sz w:val="16"/>
        </w:rPr>
        <w:t>derechos</w:t>
      </w:r>
      <w:r>
        <w:rPr>
          <w:spacing w:val="-6"/>
          <w:sz w:val="16"/>
        </w:rPr>
        <w:t> </w:t>
      </w:r>
      <w:r>
        <w:rPr>
          <w:sz w:val="16"/>
        </w:rPr>
        <w:t>humanos</w:t>
      </w:r>
      <w:r>
        <w:rPr>
          <w:spacing w:val="-8"/>
          <w:sz w:val="16"/>
        </w:rPr>
        <w:t> </w:t>
      </w:r>
      <w:r>
        <w:rPr>
          <w:sz w:val="16"/>
        </w:rPr>
        <w:t>y</w:t>
      </w:r>
      <w:r>
        <w:rPr>
          <w:spacing w:val="-5"/>
          <w:sz w:val="16"/>
        </w:rPr>
        <w:t> </w:t>
      </w:r>
      <w:r>
        <w:rPr>
          <w:sz w:val="16"/>
        </w:rPr>
        <w:t>las</w:t>
      </w:r>
      <w:r>
        <w:rPr>
          <w:spacing w:val="-6"/>
          <w:sz w:val="16"/>
        </w:rPr>
        <w:t> </w:t>
      </w:r>
      <w:r>
        <w:rPr>
          <w:sz w:val="16"/>
        </w:rPr>
        <w:t>libertades</w:t>
      </w:r>
      <w:r>
        <w:rPr>
          <w:spacing w:val="-6"/>
          <w:sz w:val="16"/>
        </w:rPr>
        <w:t> </w:t>
      </w:r>
      <w:r>
        <w:rPr>
          <w:sz w:val="16"/>
        </w:rPr>
        <w:t>fundamentales</w:t>
      </w:r>
      <w:r>
        <w:rPr>
          <w:spacing w:val="-6"/>
          <w:sz w:val="16"/>
        </w:rPr>
        <w:t> </w:t>
      </w:r>
      <w:r>
        <w:rPr>
          <w:sz w:val="16"/>
        </w:rPr>
        <w:t>de</w:t>
      </w:r>
      <w:r>
        <w:rPr>
          <w:spacing w:val="-6"/>
          <w:sz w:val="16"/>
        </w:rPr>
        <w:t> </w:t>
      </w:r>
      <w:r>
        <w:rPr>
          <w:sz w:val="16"/>
        </w:rPr>
        <w:t>los indígenas. 15 de julio de 2009. Doc. A/HRC/12/34, párr. 54). De modo acorde a lo expresado se manifestó FARN en su escrito de </w:t>
      </w:r>
      <w:r>
        <w:rPr>
          <w:i/>
          <w:sz w:val="16"/>
        </w:rPr>
        <w:t>amicus</w:t>
      </w:r>
      <w:r>
        <w:rPr>
          <w:i/>
          <w:spacing w:val="-10"/>
          <w:sz w:val="16"/>
        </w:rPr>
        <w:t> </w:t>
      </w:r>
      <w:r>
        <w:rPr>
          <w:i/>
          <w:sz w:val="16"/>
        </w:rPr>
        <w:t>curiae.</w:t>
      </w:r>
    </w:p>
    <w:p>
      <w:pPr>
        <w:pStyle w:val="BodyText"/>
        <w:spacing w:before="11"/>
        <w:rPr>
          <w:i/>
          <w:sz w:val="15"/>
        </w:rPr>
      </w:pPr>
    </w:p>
    <w:p>
      <w:pPr>
        <w:tabs>
          <w:tab w:pos="829" w:val="left" w:leader="none"/>
        </w:tabs>
        <w:spacing w:before="0"/>
        <w:ind w:left="122" w:right="109" w:firstLine="0"/>
        <w:jc w:val="both"/>
        <w:rPr>
          <w:i/>
          <w:sz w:val="16"/>
        </w:rPr>
      </w:pPr>
      <w:r>
        <w:rPr>
          <w:position w:val="6"/>
          <w:sz w:val="10"/>
        </w:rPr>
        <w:t>162</w:t>
        <w:tab/>
      </w:r>
      <w:r>
        <w:rPr>
          <w:i/>
          <w:spacing w:val="-4"/>
          <w:sz w:val="16"/>
        </w:rPr>
        <w:t>Caso</w:t>
      </w:r>
      <w:r>
        <w:rPr>
          <w:i/>
          <w:spacing w:val="-11"/>
          <w:sz w:val="16"/>
        </w:rPr>
        <w:t> </w:t>
      </w:r>
      <w:r>
        <w:rPr>
          <w:i/>
          <w:spacing w:val="-4"/>
          <w:sz w:val="16"/>
        </w:rPr>
        <w:t>del</w:t>
      </w:r>
      <w:r>
        <w:rPr>
          <w:i/>
          <w:spacing w:val="-13"/>
          <w:sz w:val="16"/>
        </w:rPr>
        <w:t> </w:t>
      </w:r>
      <w:r>
        <w:rPr>
          <w:i/>
          <w:spacing w:val="-5"/>
          <w:sz w:val="16"/>
        </w:rPr>
        <w:t>Pueblo</w:t>
      </w:r>
      <w:r>
        <w:rPr>
          <w:i/>
          <w:spacing w:val="-11"/>
          <w:sz w:val="16"/>
        </w:rPr>
        <w:t> </w:t>
      </w:r>
      <w:r>
        <w:rPr>
          <w:i/>
          <w:spacing w:val="-5"/>
          <w:sz w:val="16"/>
        </w:rPr>
        <w:t>Saramaka</w:t>
      </w:r>
      <w:r>
        <w:rPr>
          <w:i/>
          <w:spacing w:val="-12"/>
          <w:sz w:val="16"/>
        </w:rPr>
        <w:t> </w:t>
      </w:r>
      <w:r>
        <w:rPr>
          <w:i/>
          <w:spacing w:val="-4"/>
          <w:sz w:val="16"/>
        </w:rPr>
        <w:t>Vs.</w:t>
      </w:r>
      <w:r>
        <w:rPr>
          <w:i/>
          <w:spacing w:val="-10"/>
          <w:sz w:val="16"/>
        </w:rPr>
        <w:t> </w:t>
      </w:r>
      <w:r>
        <w:rPr>
          <w:i/>
          <w:spacing w:val="-5"/>
          <w:sz w:val="16"/>
        </w:rPr>
        <w:t>Surinam</w:t>
      </w:r>
      <w:r>
        <w:rPr>
          <w:spacing w:val="-5"/>
          <w:sz w:val="16"/>
        </w:rPr>
        <w:t>,</w:t>
      </w:r>
      <w:r>
        <w:rPr>
          <w:spacing w:val="-13"/>
          <w:sz w:val="16"/>
        </w:rPr>
        <w:t> </w:t>
      </w:r>
      <w:r>
        <w:rPr>
          <w:spacing w:val="-4"/>
          <w:sz w:val="16"/>
        </w:rPr>
        <w:t>párr.</w:t>
      </w:r>
      <w:r>
        <w:rPr>
          <w:spacing w:val="-13"/>
          <w:sz w:val="16"/>
        </w:rPr>
        <w:t> </w:t>
      </w:r>
      <w:r>
        <w:rPr>
          <w:spacing w:val="-3"/>
          <w:sz w:val="16"/>
        </w:rPr>
        <w:t>129,</w:t>
      </w:r>
      <w:r>
        <w:rPr>
          <w:spacing w:val="-13"/>
          <w:sz w:val="16"/>
        </w:rPr>
        <w:t> </w:t>
      </w:r>
      <w:r>
        <w:rPr>
          <w:sz w:val="16"/>
        </w:rPr>
        <w:t>y</w:t>
      </w:r>
      <w:r>
        <w:rPr>
          <w:spacing w:val="-11"/>
          <w:sz w:val="16"/>
        </w:rPr>
        <w:t> </w:t>
      </w:r>
      <w:r>
        <w:rPr>
          <w:i/>
          <w:spacing w:val="-4"/>
          <w:sz w:val="16"/>
        </w:rPr>
        <w:t>Caso</w:t>
      </w:r>
      <w:r>
        <w:rPr>
          <w:i/>
          <w:spacing w:val="-11"/>
          <w:sz w:val="16"/>
        </w:rPr>
        <w:t> </w:t>
      </w:r>
      <w:r>
        <w:rPr>
          <w:i/>
          <w:spacing w:val="-5"/>
          <w:sz w:val="16"/>
        </w:rPr>
        <w:t>Pueblos</w:t>
      </w:r>
      <w:r>
        <w:rPr>
          <w:i/>
          <w:spacing w:val="-12"/>
          <w:sz w:val="16"/>
        </w:rPr>
        <w:t> </w:t>
      </w:r>
      <w:r>
        <w:rPr>
          <w:i/>
          <w:spacing w:val="-5"/>
          <w:sz w:val="16"/>
        </w:rPr>
        <w:t>Kaliña</w:t>
      </w:r>
      <w:r>
        <w:rPr>
          <w:i/>
          <w:spacing w:val="-12"/>
          <w:sz w:val="16"/>
        </w:rPr>
        <w:t> </w:t>
      </w:r>
      <w:r>
        <w:rPr>
          <w:i/>
          <w:sz w:val="16"/>
        </w:rPr>
        <w:t>y</w:t>
      </w:r>
      <w:r>
        <w:rPr>
          <w:i/>
          <w:spacing w:val="-11"/>
          <w:sz w:val="16"/>
        </w:rPr>
        <w:t> </w:t>
      </w:r>
      <w:r>
        <w:rPr>
          <w:i/>
          <w:spacing w:val="-5"/>
          <w:sz w:val="16"/>
        </w:rPr>
        <w:t>Lokono</w:t>
      </w:r>
      <w:r>
        <w:rPr>
          <w:i/>
          <w:spacing w:val="-11"/>
          <w:sz w:val="16"/>
        </w:rPr>
        <w:t> </w:t>
      </w:r>
      <w:r>
        <w:rPr>
          <w:i/>
          <w:spacing w:val="-4"/>
          <w:sz w:val="16"/>
        </w:rPr>
        <w:t>Vs.</w:t>
      </w:r>
      <w:r>
        <w:rPr>
          <w:i/>
          <w:spacing w:val="-13"/>
          <w:sz w:val="16"/>
        </w:rPr>
        <w:t> </w:t>
      </w:r>
      <w:r>
        <w:rPr>
          <w:i/>
          <w:spacing w:val="-4"/>
          <w:sz w:val="16"/>
        </w:rPr>
        <w:t>Surinam</w:t>
      </w:r>
      <w:r>
        <w:rPr>
          <w:spacing w:val="-4"/>
          <w:sz w:val="16"/>
        </w:rPr>
        <w:t>,</w:t>
      </w:r>
      <w:r>
        <w:rPr>
          <w:spacing w:val="-13"/>
          <w:sz w:val="16"/>
        </w:rPr>
        <w:t> </w:t>
      </w:r>
      <w:r>
        <w:rPr>
          <w:spacing w:val="-4"/>
          <w:sz w:val="16"/>
        </w:rPr>
        <w:t>párr.</w:t>
      </w:r>
      <w:r>
        <w:rPr>
          <w:spacing w:val="-13"/>
          <w:sz w:val="16"/>
        </w:rPr>
        <w:t> </w:t>
      </w:r>
      <w:r>
        <w:rPr>
          <w:spacing w:val="-3"/>
          <w:sz w:val="16"/>
        </w:rPr>
        <w:t>201.</w:t>
      </w:r>
      <w:r>
        <w:rPr>
          <w:w w:val="100"/>
          <w:sz w:val="16"/>
        </w:rPr>
        <w:t> </w:t>
      </w:r>
      <w:r>
        <w:rPr>
          <w:spacing w:val="-3"/>
          <w:sz w:val="16"/>
        </w:rPr>
        <w:t>El </w:t>
      </w:r>
      <w:r>
        <w:rPr>
          <w:spacing w:val="-5"/>
          <w:sz w:val="16"/>
        </w:rPr>
        <w:t>requisito </w:t>
      </w:r>
      <w:r>
        <w:rPr>
          <w:spacing w:val="-3"/>
          <w:sz w:val="16"/>
        </w:rPr>
        <w:t>de </w:t>
      </w:r>
      <w:r>
        <w:rPr>
          <w:spacing w:val="-4"/>
          <w:sz w:val="16"/>
        </w:rPr>
        <w:t>previo </w:t>
      </w:r>
      <w:r>
        <w:rPr>
          <w:spacing w:val="-5"/>
          <w:sz w:val="16"/>
        </w:rPr>
        <w:t>estudio </w:t>
      </w:r>
      <w:r>
        <w:rPr>
          <w:spacing w:val="-3"/>
          <w:sz w:val="16"/>
        </w:rPr>
        <w:t>de </w:t>
      </w:r>
      <w:r>
        <w:rPr>
          <w:spacing w:val="-5"/>
          <w:sz w:val="16"/>
        </w:rPr>
        <w:t>impacto ambiental </w:t>
      </w:r>
      <w:r>
        <w:rPr>
          <w:spacing w:val="-3"/>
          <w:sz w:val="16"/>
        </w:rPr>
        <w:t>ha </w:t>
      </w:r>
      <w:r>
        <w:rPr>
          <w:spacing w:val="-4"/>
          <w:sz w:val="16"/>
        </w:rPr>
        <w:t>sido </w:t>
      </w:r>
      <w:r>
        <w:rPr>
          <w:spacing w:val="-5"/>
          <w:sz w:val="16"/>
        </w:rPr>
        <w:t>indicado </w:t>
      </w:r>
      <w:r>
        <w:rPr>
          <w:spacing w:val="-3"/>
          <w:sz w:val="16"/>
        </w:rPr>
        <w:t>por el </w:t>
      </w:r>
      <w:r>
        <w:rPr>
          <w:spacing w:val="-5"/>
          <w:sz w:val="16"/>
        </w:rPr>
        <w:t>Convenio </w:t>
      </w:r>
      <w:r>
        <w:rPr>
          <w:spacing w:val="-3"/>
          <w:sz w:val="16"/>
        </w:rPr>
        <w:t>169, en su </w:t>
      </w:r>
      <w:r>
        <w:rPr>
          <w:spacing w:val="-4"/>
          <w:sz w:val="16"/>
        </w:rPr>
        <w:t>art. 7.3 </w:t>
      </w:r>
      <w:r>
        <w:rPr>
          <w:sz w:val="16"/>
        </w:rPr>
        <w:t>y </w:t>
      </w:r>
      <w:r>
        <w:rPr>
          <w:spacing w:val="-5"/>
          <w:sz w:val="16"/>
        </w:rPr>
        <w:t>también </w:t>
      </w:r>
      <w:r>
        <w:rPr>
          <w:spacing w:val="-3"/>
          <w:sz w:val="16"/>
        </w:rPr>
        <w:t>en </w:t>
      </w:r>
      <w:r>
        <w:rPr>
          <w:spacing w:val="-4"/>
          <w:sz w:val="16"/>
        </w:rPr>
        <w:t>otros </w:t>
      </w:r>
      <w:r>
        <w:rPr>
          <w:spacing w:val="-5"/>
          <w:sz w:val="16"/>
        </w:rPr>
        <w:t>instrumentos, </w:t>
      </w:r>
      <w:r>
        <w:rPr>
          <w:spacing w:val="-4"/>
          <w:sz w:val="16"/>
        </w:rPr>
        <w:t>como </w:t>
      </w:r>
      <w:r>
        <w:rPr>
          <w:spacing w:val="-3"/>
          <w:sz w:val="16"/>
        </w:rPr>
        <w:t>la </w:t>
      </w:r>
      <w:r>
        <w:rPr>
          <w:spacing w:val="-4"/>
          <w:sz w:val="16"/>
        </w:rPr>
        <w:t>Carta </w:t>
      </w:r>
      <w:r>
        <w:rPr>
          <w:spacing w:val="-5"/>
          <w:sz w:val="16"/>
        </w:rPr>
        <w:t>Mundial </w:t>
      </w:r>
      <w:r>
        <w:rPr>
          <w:spacing w:val="-3"/>
          <w:sz w:val="16"/>
        </w:rPr>
        <w:t>de la </w:t>
      </w:r>
      <w:r>
        <w:rPr>
          <w:spacing w:val="-5"/>
          <w:sz w:val="16"/>
        </w:rPr>
        <w:t>Naturaleza, aprobada </w:t>
      </w:r>
      <w:r>
        <w:rPr>
          <w:spacing w:val="-3"/>
          <w:sz w:val="16"/>
        </w:rPr>
        <w:t>en el </w:t>
      </w:r>
      <w:r>
        <w:rPr>
          <w:spacing w:val="-5"/>
          <w:sz w:val="16"/>
        </w:rPr>
        <w:t>ámbito </w:t>
      </w:r>
      <w:r>
        <w:rPr>
          <w:spacing w:val="-3"/>
          <w:sz w:val="16"/>
        </w:rPr>
        <w:t>de la </w:t>
      </w:r>
      <w:r>
        <w:rPr>
          <w:spacing w:val="-4"/>
          <w:sz w:val="16"/>
        </w:rPr>
        <w:t>ONU </w:t>
      </w:r>
      <w:r>
        <w:rPr>
          <w:spacing w:val="-3"/>
          <w:sz w:val="16"/>
        </w:rPr>
        <w:t>en </w:t>
      </w:r>
      <w:r>
        <w:rPr>
          <w:spacing w:val="-4"/>
          <w:sz w:val="16"/>
        </w:rPr>
        <w:t>1982 </w:t>
      </w:r>
      <w:r>
        <w:rPr>
          <w:spacing w:val="-5"/>
          <w:sz w:val="16"/>
        </w:rPr>
        <w:t>(Resolución </w:t>
      </w:r>
      <w:r>
        <w:rPr>
          <w:spacing w:val="-4"/>
          <w:sz w:val="16"/>
        </w:rPr>
        <w:t>37/7 </w:t>
      </w:r>
      <w:r>
        <w:rPr>
          <w:spacing w:val="-3"/>
          <w:sz w:val="16"/>
        </w:rPr>
        <w:t>de la </w:t>
      </w:r>
      <w:r>
        <w:rPr>
          <w:spacing w:val="-5"/>
          <w:sz w:val="16"/>
        </w:rPr>
        <w:t>Asamblea General </w:t>
      </w:r>
      <w:r>
        <w:rPr>
          <w:spacing w:val="-3"/>
          <w:sz w:val="16"/>
        </w:rPr>
        <w:t>de la </w:t>
      </w:r>
      <w:r>
        <w:rPr>
          <w:spacing w:val="-4"/>
          <w:sz w:val="16"/>
        </w:rPr>
        <w:t>ONU, </w:t>
      </w:r>
      <w:r>
        <w:rPr>
          <w:spacing w:val="-3"/>
          <w:sz w:val="16"/>
        </w:rPr>
        <w:t>de </w:t>
      </w:r>
      <w:r>
        <w:rPr>
          <w:sz w:val="16"/>
        </w:rPr>
        <w:t>28 </w:t>
      </w:r>
      <w:r>
        <w:rPr>
          <w:spacing w:val="-3"/>
          <w:sz w:val="16"/>
        </w:rPr>
        <w:t>de </w:t>
      </w:r>
      <w:r>
        <w:rPr>
          <w:spacing w:val="-5"/>
          <w:sz w:val="16"/>
        </w:rPr>
        <w:t>octubre </w:t>
      </w:r>
      <w:r>
        <w:rPr>
          <w:spacing w:val="-3"/>
          <w:sz w:val="16"/>
        </w:rPr>
        <w:t>de </w:t>
      </w:r>
      <w:r>
        <w:rPr>
          <w:spacing w:val="-4"/>
          <w:sz w:val="16"/>
        </w:rPr>
        <w:t>1982, </w:t>
      </w:r>
      <w:r>
        <w:rPr>
          <w:spacing w:val="-5"/>
          <w:sz w:val="16"/>
        </w:rPr>
        <w:t>principio 11.c), </w:t>
      </w:r>
      <w:r>
        <w:rPr>
          <w:sz w:val="16"/>
        </w:rPr>
        <w:t>o </w:t>
      </w:r>
      <w:r>
        <w:rPr>
          <w:spacing w:val="-3"/>
          <w:sz w:val="16"/>
        </w:rPr>
        <w:t>la </w:t>
      </w:r>
      <w:r>
        <w:rPr>
          <w:spacing w:val="-5"/>
          <w:sz w:val="16"/>
        </w:rPr>
        <w:t>Declaración </w:t>
      </w:r>
      <w:r>
        <w:rPr>
          <w:spacing w:val="-3"/>
          <w:sz w:val="16"/>
        </w:rPr>
        <w:t>de </w:t>
      </w:r>
      <w:r>
        <w:rPr>
          <w:spacing w:val="-4"/>
          <w:sz w:val="16"/>
        </w:rPr>
        <w:t>Río sobre Medio </w:t>
      </w:r>
      <w:r>
        <w:rPr>
          <w:spacing w:val="-5"/>
          <w:sz w:val="16"/>
        </w:rPr>
        <w:t>Ambiente </w:t>
      </w:r>
      <w:r>
        <w:rPr>
          <w:sz w:val="16"/>
        </w:rPr>
        <w:t>y </w:t>
      </w:r>
      <w:r>
        <w:rPr>
          <w:spacing w:val="-5"/>
          <w:sz w:val="16"/>
        </w:rPr>
        <w:t>Desarrollo </w:t>
      </w:r>
      <w:r>
        <w:rPr>
          <w:spacing w:val="-3"/>
          <w:sz w:val="16"/>
        </w:rPr>
        <w:t>de 1992 </w:t>
      </w:r>
      <w:r>
        <w:rPr>
          <w:spacing w:val="-5"/>
          <w:sz w:val="16"/>
        </w:rPr>
        <w:t>(Principio </w:t>
      </w:r>
      <w:r>
        <w:rPr>
          <w:spacing w:val="-4"/>
          <w:sz w:val="16"/>
        </w:rPr>
        <w:t>17). </w:t>
      </w:r>
      <w:r>
        <w:rPr>
          <w:spacing w:val="-3"/>
          <w:sz w:val="16"/>
        </w:rPr>
        <w:t>No </w:t>
      </w:r>
      <w:r>
        <w:rPr>
          <w:spacing w:val="-4"/>
          <w:sz w:val="16"/>
        </w:rPr>
        <w:t>debe </w:t>
      </w:r>
      <w:r>
        <w:rPr>
          <w:spacing w:val="-5"/>
          <w:sz w:val="16"/>
        </w:rPr>
        <w:t>realizarse </w:t>
      </w:r>
      <w:r>
        <w:rPr>
          <w:spacing w:val="-4"/>
          <w:sz w:val="16"/>
        </w:rPr>
        <w:t>como una </w:t>
      </w:r>
      <w:r>
        <w:rPr>
          <w:spacing w:val="-3"/>
          <w:sz w:val="16"/>
        </w:rPr>
        <w:t>mera </w:t>
      </w:r>
      <w:r>
        <w:rPr>
          <w:spacing w:val="-5"/>
          <w:sz w:val="16"/>
        </w:rPr>
        <w:t>formalidad, sino </w:t>
      </w:r>
      <w:r>
        <w:rPr>
          <w:spacing w:val="-4"/>
          <w:sz w:val="16"/>
        </w:rPr>
        <w:t>que debe </w:t>
      </w:r>
      <w:r>
        <w:rPr>
          <w:spacing w:val="-5"/>
          <w:sz w:val="16"/>
        </w:rPr>
        <w:t>posibilitar </w:t>
      </w:r>
      <w:r>
        <w:rPr>
          <w:spacing w:val="-3"/>
          <w:sz w:val="16"/>
        </w:rPr>
        <w:t>la </w:t>
      </w:r>
      <w:r>
        <w:rPr>
          <w:spacing w:val="-4"/>
          <w:sz w:val="16"/>
        </w:rPr>
        <w:t>evaluación </w:t>
      </w:r>
      <w:r>
        <w:rPr>
          <w:spacing w:val="-3"/>
          <w:sz w:val="16"/>
        </w:rPr>
        <w:t>de </w:t>
      </w:r>
      <w:r>
        <w:rPr>
          <w:spacing w:val="-5"/>
          <w:sz w:val="16"/>
        </w:rPr>
        <w:t>alternativas </w:t>
      </w:r>
      <w:r>
        <w:rPr>
          <w:sz w:val="16"/>
        </w:rPr>
        <w:t>y </w:t>
      </w:r>
      <w:r>
        <w:rPr>
          <w:spacing w:val="-3"/>
          <w:sz w:val="16"/>
        </w:rPr>
        <w:t>la </w:t>
      </w:r>
      <w:r>
        <w:rPr>
          <w:spacing w:val="-5"/>
          <w:sz w:val="16"/>
        </w:rPr>
        <w:t>adopción </w:t>
      </w:r>
      <w:r>
        <w:rPr>
          <w:spacing w:val="-3"/>
          <w:sz w:val="16"/>
        </w:rPr>
        <w:t>de </w:t>
      </w:r>
      <w:r>
        <w:rPr>
          <w:spacing w:val="-5"/>
          <w:sz w:val="16"/>
        </w:rPr>
        <w:t>medidas </w:t>
      </w:r>
      <w:r>
        <w:rPr>
          <w:spacing w:val="-3"/>
          <w:sz w:val="16"/>
        </w:rPr>
        <w:t>de </w:t>
      </w:r>
      <w:r>
        <w:rPr>
          <w:spacing w:val="-5"/>
          <w:sz w:val="16"/>
        </w:rPr>
        <w:t>mitigación </w:t>
      </w:r>
      <w:r>
        <w:rPr>
          <w:spacing w:val="-3"/>
          <w:sz w:val="16"/>
        </w:rPr>
        <w:t>de </w:t>
      </w:r>
      <w:r>
        <w:rPr>
          <w:spacing w:val="-5"/>
          <w:sz w:val="16"/>
        </w:rPr>
        <w:t>impacto </w:t>
      </w:r>
      <w:r>
        <w:rPr>
          <w:sz w:val="16"/>
        </w:rPr>
        <w:t>y </w:t>
      </w:r>
      <w:r>
        <w:rPr>
          <w:spacing w:val="-5"/>
          <w:sz w:val="16"/>
        </w:rPr>
        <w:t>llevarse </w:t>
      </w:r>
      <w:r>
        <w:rPr>
          <w:sz w:val="16"/>
        </w:rPr>
        <w:t>a </w:t>
      </w:r>
      <w:r>
        <w:rPr>
          <w:spacing w:val="-4"/>
          <w:sz w:val="16"/>
        </w:rPr>
        <w:t>cabo como </w:t>
      </w:r>
      <w:r>
        <w:rPr>
          <w:spacing w:val="-5"/>
          <w:sz w:val="16"/>
        </w:rPr>
        <w:t>parte </w:t>
      </w:r>
      <w:r>
        <w:rPr>
          <w:spacing w:val="-3"/>
          <w:sz w:val="16"/>
        </w:rPr>
        <w:t>de </w:t>
      </w:r>
      <w:r>
        <w:rPr>
          <w:spacing w:val="-4"/>
          <w:sz w:val="16"/>
        </w:rPr>
        <w:t>una </w:t>
      </w:r>
      <w:r>
        <w:rPr>
          <w:spacing w:val="-5"/>
          <w:sz w:val="16"/>
        </w:rPr>
        <w:t>evaluación </w:t>
      </w:r>
      <w:r>
        <w:rPr>
          <w:spacing w:val="-3"/>
          <w:sz w:val="16"/>
        </w:rPr>
        <w:t>de </w:t>
      </w:r>
      <w:r>
        <w:rPr>
          <w:spacing w:val="-5"/>
          <w:sz w:val="16"/>
        </w:rPr>
        <w:t>impactos ambientales </w:t>
      </w:r>
      <w:r>
        <w:rPr>
          <w:sz w:val="16"/>
        </w:rPr>
        <w:t>y </w:t>
      </w:r>
      <w:r>
        <w:rPr>
          <w:spacing w:val="-5"/>
          <w:sz w:val="16"/>
        </w:rPr>
        <w:t>sociales </w:t>
      </w:r>
      <w:r>
        <w:rPr>
          <w:spacing w:val="-4"/>
          <w:sz w:val="16"/>
        </w:rPr>
        <w:t>que debe: </w:t>
      </w:r>
      <w:r>
        <w:rPr>
          <w:spacing w:val="-3"/>
          <w:sz w:val="16"/>
        </w:rPr>
        <w:t>a) </w:t>
      </w:r>
      <w:r>
        <w:rPr>
          <w:spacing w:val="-4"/>
          <w:sz w:val="16"/>
        </w:rPr>
        <w:t>ser previa </w:t>
      </w:r>
      <w:r>
        <w:rPr>
          <w:sz w:val="16"/>
        </w:rPr>
        <w:t>a </w:t>
      </w:r>
      <w:r>
        <w:rPr>
          <w:spacing w:val="-3"/>
          <w:sz w:val="16"/>
        </w:rPr>
        <w:t>la </w:t>
      </w:r>
      <w:r>
        <w:rPr>
          <w:spacing w:val="-4"/>
          <w:sz w:val="16"/>
        </w:rPr>
        <w:t>decisión </w:t>
      </w:r>
      <w:r>
        <w:rPr>
          <w:spacing w:val="-3"/>
          <w:sz w:val="16"/>
        </w:rPr>
        <w:t>de </w:t>
      </w:r>
      <w:r>
        <w:rPr>
          <w:spacing w:val="-5"/>
          <w:sz w:val="16"/>
        </w:rPr>
        <w:t>llevar </w:t>
      </w:r>
      <w:r>
        <w:rPr>
          <w:sz w:val="16"/>
        </w:rPr>
        <w:t>a </w:t>
      </w:r>
      <w:r>
        <w:rPr>
          <w:spacing w:val="-4"/>
          <w:sz w:val="16"/>
        </w:rPr>
        <w:t>cabo </w:t>
      </w:r>
      <w:r>
        <w:rPr>
          <w:spacing w:val="-3"/>
          <w:sz w:val="16"/>
        </w:rPr>
        <w:t>el </w:t>
      </w:r>
      <w:r>
        <w:rPr>
          <w:spacing w:val="-5"/>
          <w:sz w:val="16"/>
        </w:rPr>
        <w:t>proyecto </w:t>
      </w:r>
      <w:r>
        <w:rPr>
          <w:sz w:val="16"/>
        </w:rPr>
        <w:t>o a </w:t>
      </w:r>
      <w:r>
        <w:rPr>
          <w:spacing w:val="-3"/>
          <w:sz w:val="16"/>
        </w:rPr>
        <w:t>la </w:t>
      </w:r>
      <w:r>
        <w:rPr>
          <w:spacing w:val="-5"/>
          <w:sz w:val="16"/>
        </w:rPr>
        <w:t>realización </w:t>
      </w:r>
      <w:r>
        <w:rPr>
          <w:sz w:val="16"/>
        </w:rPr>
        <w:t>de la </w:t>
      </w:r>
      <w:r>
        <w:rPr>
          <w:spacing w:val="-5"/>
          <w:sz w:val="16"/>
        </w:rPr>
        <w:t>actividad; </w:t>
      </w:r>
      <w:r>
        <w:rPr>
          <w:spacing w:val="-3"/>
          <w:sz w:val="16"/>
        </w:rPr>
        <w:t>b) </w:t>
      </w:r>
      <w:r>
        <w:rPr>
          <w:spacing w:val="-5"/>
          <w:sz w:val="16"/>
        </w:rPr>
        <w:t>elaborarse </w:t>
      </w:r>
      <w:r>
        <w:rPr>
          <w:spacing w:val="-3"/>
          <w:sz w:val="16"/>
        </w:rPr>
        <w:t>por </w:t>
      </w:r>
      <w:r>
        <w:rPr>
          <w:spacing w:val="-5"/>
          <w:sz w:val="16"/>
        </w:rPr>
        <w:t>entidades independientes, bajo supervisión estatal; </w:t>
      </w:r>
      <w:r>
        <w:rPr>
          <w:spacing w:val="-3"/>
          <w:sz w:val="16"/>
        </w:rPr>
        <w:t>c) </w:t>
      </w:r>
      <w:r>
        <w:rPr>
          <w:spacing w:val="-5"/>
          <w:sz w:val="16"/>
        </w:rPr>
        <w:t>considerar, </w:t>
      </w:r>
      <w:r>
        <w:rPr>
          <w:spacing w:val="-3"/>
          <w:sz w:val="16"/>
        </w:rPr>
        <w:t>en su </w:t>
      </w:r>
      <w:r>
        <w:rPr>
          <w:spacing w:val="-4"/>
          <w:sz w:val="16"/>
        </w:rPr>
        <w:t>caso, los </w:t>
      </w:r>
      <w:r>
        <w:rPr>
          <w:spacing w:val="-5"/>
          <w:sz w:val="16"/>
        </w:rPr>
        <w:t>impactos acumulados </w:t>
      </w:r>
      <w:r>
        <w:rPr>
          <w:spacing w:val="-3"/>
          <w:sz w:val="16"/>
        </w:rPr>
        <w:t>de </w:t>
      </w:r>
      <w:r>
        <w:rPr>
          <w:spacing w:val="-4"/>
          <w:sz w:val="16"/>
        </w:rPr>
        <w:t>otros </w:t>
      </w:r>
      <w:r>
        <w:rPr>
          <w:spacing w:val="-5"/>
          <w:sz w:val="16"/>
        </w:rPr>
        <w:t>proyectos existentes </w:t>
      </w:r>
      <w:r>
        <w:rPr>
          <w:sz w:val="16"/>
        </w:rPr>
        <w:t>o </w:t>
      </w:r>
      <w:r>
        <w:rPr>
          <w:spacing w:val="-5"/>
          <w:sz w:val="16"/>
        </w:rPr>
        <w:t>propuestos, </w:t>
      </w:r>
      <w:r>
        <w:rPr>
          <w:sz w:val="16"/>
        </w:rPr>
        <w:t>y </w:t>
      </w:r>
      <w:r>
        <w:rPr>
          <w:spacing w:val="-3"/>
          <w:sz w:val="16"/>
        </w:rPr>
        <w:t>d) </w:t>
      </w:r>
      <w:r>
        <w:rPr>
          <w:spacing w:val="-5"/>
          <w:sz w:val="16"/>
        </w:rPr>
        <w:t>permitir </w:t>
      </w:r>
      <w:r>
        <w:rPr>
          <w:spacing w:val="-3"/>
          <w:sz w:val="16"/>
        </w:rPr>
        <w:t>la </w:t>
      </w:r>
      <w:r>
        <w:rPr>
          <w:spacing w:val="-5"/>
          <w:sz w:val="16"/>
        </w:rPr>
        <w:t>participación </w:t>
      </w:r>
      <w:r>
        <w:rPr>
          <w:spacing w:val="-3"/>
          <w:sz w:val="16"/>
        </w:rPr>
        <w:t>de </w:t>
      </w:r>
      <w:r>
        <w:rPr>
          <w:spacing w:val="-5"/>
          <w:sz w:val="16"/>
        </w:rPr>
        <w:t>personas </w:t>
      </w:r>
      <w:r>
        <w:rPr>
          <w:sz w:val="16"/>
        </w:rPr>
        <w:t>o </w:t>
      </w:r>
      <w:r>
        <w:rPr>
          <w:spacing w:val="-5"/>
          <w:sz w:val="16"/>
        </w:rPr>
        <w:t>comunidades interesadas </w:t>
      </w:r>
      <w:r>
        <w:rPr>
          <w:sz w:val="16"/>
        </w:rPr>
        <w:t>o </w:t>
      </w:r>
      <w:r>
        <w:rPr>
          <w:spacing w:val="-5"/>
          <w:sz w:val="16"/>
        </w:rPr>
        <w:t>posiblemente afectadas. </w:t>
      </w:r>
      <w:r>
        <w:rPr>
          <w:spacing w:val="-4"/>
          <w:sz w:val="16"/>
        </w:rPr>
        <w:t>Esta </w:t>
      </w:r>
      <w:r>
        <w:rPr>
          <w:spacing w:val="-5"/>
          <w:sz w:val="16"/>
        </w:rPr>
        <w:t>participación  </w:t>
      </w:r>
      <w:r>
        <w:rPr>
          <w:sz w:val="16"/>
        </w:rPr>
        <w:t>a </w:t>
      </w:r>
      <w:r>
        <w:rPr>
          <w:spacing w:val="-5"/>
          <w:sz w:val="16"/>
        </w:rPr>
        <w:t>efectos </w:t>
      </w:r>
      <w:r>
        <w:rPr>
          <w:spacing w:val="-3"/>
          <w:sz w:val="16"/>
        </w:rPr>
        <w:t>de la </w:t>
      </w:r>
      <w:r>
        <w:rPr>
          <w:spacing w:val="-5"/>
          <w:sz w:val="16"/>
        </w:rPr>
        <w:t>evaluación </w:t>
      </w:r>
      <w:r>
        <w:rPr>
          <w:spacing w:val="-3"/>
          <w:sz w:val="16"/>
        </w:rPr>
        <w:t>de </w:t>
      </w:r>
      <w:r>
        <w:rPr>
          <w:spacing w:val="-5"/>
          <w:sz w:val="16"/>
        </w:rPr>
        <w:t>impacto ambiental </w:t>
      </w:r>
      <w:r>
        <w:rPr>
          <w:sz w:val="16"/>
        </w:rPr>
        <w:t>y </w:t>
      </w:r>
      <w:r>
        <w:rPr>
          <w:spacing w:val="-4"/>
          <w:sz w:val="16"/>
        </w:rPr>
        <w:t>social resulta </w:t>
      </w:r>
      <w:r>
        <w:rPr>
          <w:spacing w:val="-5"/>
          <w:sz w:val="16"/>
        </w:rPr>
        <w:t>específica </w:t>
      </w:r>
      <w:r>
        <w:rPr>
          <w:sz w:val="16"/>
        </w:rPr>
        <w:t>a </w:t>
      </w:r>
      <w:r>
        <w:rPr>
          <w:spacing w:val="-3"/>
          <w:sz w:val="16"/>
        </w:rPr>
        <w:t>tal </w:t>
      </w:r>
      <w:r>
        <w:rPr>
          <w:spacing w:val="-4"/>
          <w:sz w:val="16"/>
        </w:rPr>
        <w:t>fin, </w:t>
      </w:r>
      <w:r>
        <w:rPr>
          <w:sz w:val="16"/>
        </w:rPr>
        <w:t>y </w:t>
      </w:r>
      <w:r>
        <w:rPr>
          <w:spacing w:val="-3"/>
          <w:sz w:val="16"/>
        </w:rPr>
        <w:t>no es </w:t>
      </w:r>
      <w:r>
        <w:rPr>
          <w:spacing w:val="-5"/>
          <w:sz w:val="16"/>
        </w:rPr>
        <w:t>equivalente </w:t>
      </w:r>
      <w:r>
        <w:rPr>
          <w:sz w:val="16"/>
        </w:rPr>
        <w:t>al </w:t>
      </w:r>
      <w:r>
        <w:rPr>
          <w:spacing w:val="-5"/>
          <w:sz w:val="16"/>
        </w:rPr>
        <w:t>ejercicio </w:t>
      </w:r>
      <w:r>
        <w:rPr>
          <w:spacing w:val="-4"/>
          <w:sz w:val="16"/>
        </w:rPr>
        <w:t>del </w:t>
      </w:r>
      <w:r>
        <w:rPr>
          <w:spacing w:val="-5"/>
          <w:sz w:val="16"/>
        </w:rPr>
        <w:t>derecho </w:t>
      </w:r>
      <w:r>
        <w:rPr>
          <w:spacing w:val="-3"/>
          <w:sz w:val="16"/>
        </w:rPr>
        <w:t>de </w:t>
      </w:r>
      <w:r>
        <w:rPr>
          <w:spacing w:val="-5"/>
          <w:sz w:val="16"/>
        </w:rPr>
        <w:t>consulta </w:t>
      </w:r>
      <w:r>
        <w:rPr>
          <w:spacing w:val="-4"/>
          <w:sz w:val="16"/>
        </w:rPr>
        <w:t>libre, previa </w:t>
      </w:r>
      <w:r>
        <w:rPr>
          <w:sz w:val="16"/>
        </w:rPr>
        <w:t>e </w:t>
      </w:r>
      <w:r>
        <w:rPr>
          <w:spacing w:val="-5"/>
          <w:sz w:val="16"/>
        </w:rPr>
        <w:t>informada </w:t>
      </w:r>
      <w:r>
        <w:rPr>
          <w:spacing w:val="-3"/>
          <w:sz w:val="16"/>
        </w:rPr>
        <w:t>de </w:t>
      </w:r>
      <w:r>
        <w:rPr>
          <w:spacing w:val="-4"/>
          <w:sz w:val="16"/>
        </w:rPr>
        <w:t>los pueblos </w:t>
      </w:r>
      <w:r>
        <w:rPr>
          <w:sz w:val="16"/>
        </w:rPr>
        <w:t>o </w:t>
      </w:r>
      <w:r>
        <w:rPr>
          <w:spacing w:val="-5"/>
          <w:sz w:val="16"/>
        </w:rPr>
        <w:t>comunidades indígenas referida </w:t>
      </w:r>
      <w:r>
        <w:rPr>
          <w:spacing w:val="-4"/>
          <w:sz w:val="16"/>
        </w:rPr>
        <w:t>antes, que </w:t>
      </w:r>
      <w:r>
        <w:rPr>
          <w:spacing w:val="-3"/>
          <w:sz w:val="16"/>
        </w:rPr>
        <w:t>es </w:t>
      </w:r>
      <w:r>
        <w:rPr>
          <w:spacing w:val="-4"/>
          <w:sz w:val="16"/>
        </w:rPr>
        <w:t>más amplio. (Ver, </w:t>
      </w:r>
      <w:r>
        <w:rPr>
          <w:sz w:val="16"/>
        </w:rPr>
        <w:t>en </w:t>
      </w:r>
      <w:r>
        <w:rPr>
          <w:spacing w:val="-4"/>
          <w:sz w:val="16"/>
        </w:rPr>
        <w:t>ese sentido, </w:t>
      </w:r>
      <w:r>
        <w:rPr>
          <w:i/>
          <w:spacing w:val="-4"/>
          <w:sz w:val="16"/>
        </w:rPr>
        <w:t>Caso </w:t>
      </w:r>
      <w:r>
        <w:rPr>
          <w:i/>
          <w:spacing w:val="-5"/>
          <w:sz w:val="16"/>
        </w:rPr>
        <w:t>Pueblos Kaliña </w:t>
      </w:r>
      <w:r>
        <w:rPr>
          <w:i/>
          <w:sz w:val="16"/>
        </w:rPr>
        <w:t>y </w:t>
      </w:r>
      <w:r>
        <w:rPr>
          <w:i/>
          <w:spacing w:val="-4"/>
          <w:sz w:val="16"/>
        </w:rPr>
        <w:t>Lokono Vs. Surinam</w:t>
      </w:r>
      <w:r>
        <w:rPr>
          <w:spacing w:val="-4"/>
          <w:sz w:val="16"/>
        </w:rPr>
        <w:t>, párrs. </w:t>
      </w:r>
      <w:r>
        <w:rPr>
          <w:spacing w:val="-3"/>
          <w:sz w:val="16"/>
        </w:rPr>
        <w:t>201, 207 </w:t>
      </w:r>
      <w:r>
        <w:rPr>
          <w:sz w:val="16"/>
        </w:rPr>
        <w:t>y </w:t>
      </w:r>
      <w:r>
        <w:rPr>
          <w:spacing w:val="-4"/>
          <w:sz w:val="16"/>
        </w:rPr>
        <w:t>215, </w:t>
      </w:r>
      <w:r>
        <w:rPr>
          <w:sz w:val="16"/>
        </w:rPr>
        <w:t>y </w:t>
      </w:r>
      <w:r>
        <w:rPr>
          <w:i/>
          <w:spacing w:val="-4"/>
          <w:sz w:val="16"/>
        </w:rPr>
        <w:t>Medio </w:t>
      </w:r>
      <w:r>
        <w:rPr>
          <w:i/>
          <w:spacing w:val="-5"/>
          <w:sz w:val="16"/>
        </w:rPr>
        <w:t>ambiente </w:t>
      </w:r>
      <w:r>
        <w:rPr>
          <w:i/>
          <w:sz w:val="16"/>
        </w:rPr>
        <w:t>y </w:t>
      </w:r>
      <w:r>
        <w:rPr>
          <w:i/>
          <w:spacing w:val="-5"/>
          <w:sz w:val="16"/>
        </w:rPr>
        <w:t>derechos humanos (obligaciones estatales </w:t>
      </w:r>
      <w:r>
        <w:rPr>
          <w:i/>
          <w:spacing w:val="-3"/>
          <w:sz w:val="16"/>
        </w:rPr>
        <w:t>en </w:t>
      </w:r>
      <w:r>
        <w:rPr>
          <w:i/>
          <w:spacing w:val="-4"/>
          <w:sz w:val="16"/>
        </w:rPr>
        <w:t>relación </w:t>
      </w:r>
      <w:r>
        <w:rPr>
          <w:i/>
          <w:spacing w:val="-3"/>
          <w:sz w:val="16"/>
        </w:rPr>
        <w:t>con el </w:t>
      </w:r>
      <w:r>
        <w:rPr>
          <w:i/>
          <w:spacing w:val="-4"/>
          <w:sz w:val="16"/>
        </w:rPr>
        <w:t>medio </w:t>
      </w:r>
      <w:r>
        <w:rPr>
          <w:i/>
          <w:spacing w:val="-5"/>
          <w:sz w:val="16"/>
        </w:rPr>
        <w:t>ambiente </w:t>
      </w:r>
      <w:r>
        <w:rPr>
          <w:i/>
          <w:spacing w:val="-3"/>
          <w:sz w:val="16"/>
        </w:rPr>
        <w:t>en el </w:t>
      </w:r>
      <w:r>
        <w:rPr>
          <w:i/>
          <w:spacing w:val="-5"/>
          <w:sz w:val="16"/>
        </w:rPr>
        <w:t>marco </w:t>
      </w:r>
      <w:r>
        <w:rPr>
          <w:i/>
          <w:spacing w:val="-3"/>
          <w:sz w:val="16"/>
        </w:rPr>
        <w:t>de la </w:t>
      </w:r>
      <w:r>
        <w:rPr>
          <w:i/>
          <w:spacing w:val="-5"/>
          <w:sz w:val="16"/>
        </w:rPr>
        <w:t>protección </w:t>
      </w:r>
      <w:r>
        <w:rPr>
          <w:i/>
          <w:sz w:val="16"/>
        </w:rPr>
        <w:t>y </w:t>
      </w:r>
      <w:r>
        <w:rPr>
          <w:i/>
          <w:spacing w:val="-4"/>
          <w:sz w:val="16"/>
        </w:rPr>
        <w:t>garantía </w:t>
      </w:r>
      <w:r>
        <w:rPr>
          <w:i/>
          <w:spacing w:val="-3"/>
          <w:sz w:val="16"/>
        </w:rPr>
        <w:t>de </w:t>
      </w:r>
      <w:r>
        <w:rPr>
          <w:i/>
          <w:spacing w:val="-4"/>
          <w:sz w:val="16"/>
        </w:rPr>
        <w:t>los </w:t>
      </w:r>
      <w:r>
        <w:rPr>
          <w:i/>
          <w:spacing w:val="-5"/>
          <w:sz w:val="16"/>
        </w:rPr>
        <w:t>derechos </w:t>
      </w:r>
      <w:r>
        <w:rPr>
          <w:i/>
          <w:sz w:val="16"/>
        </w:rPr>
        <w:t>a </w:t>
      </w:r>
      <w:r>
        <w:rPr>
          <w:i/>
          <w:spacing w:val="-3"/>
          <w:sz w:val="16"/>
        </w:rPr>
        <w:t>la </w:t>
      </w:r>
      <w:r>
        <w:rPr>
          <w:i/>
          <w:spacing w:val="-4"/>
          <w:sz w:val="16"/>
        </w:rPr>
        <w:t>vida </w:t>
      </w:r>
      <w:r>
        <w:rPr>
          <w:i/>
          <w:sz w:val="16"/>
        </w:rPr>
        <w:t>y a la </w:t>
      </w:r>
      <w:r>
        <w:rPr>
          <w:i/>
          <w:spacing w:val="-5"/>
          <w:sz w:val="16"/>
        </w:rPr>
        <w:t>integridad personal </w:t>
      </w:r>
      <w:r>
        <w:rPr>
          <w:i/>
          <w:sz w:val="16"/>
        </w:rPr>
        <w:t>- </w:t>
      </w:r>
      <w:r>
        <w:rPr>
          <w:i/>
          <w:spacing w:val="-5"/>
          <w:sz w:val="16"/>
        </w:rPr>
        <w:t>interpretación </w:t>
      </w:r>
      <w:r>
        <w:rPr>
          <w:i/>
          <w:sz w:val="16"/>
        </w:rPr>
        <w:t>y </w:t>
      </w:r>
      <w:r>
        <w:rPr>
          <w:i/>
          <w:spacing w:val="-5"/>
          <w:sz w:val="16"/>
        </w:rPr>
        <w:t>alcance </w:t>
      </w:r>
      <w:r>
        <w:rPr>
          <w:i/>
          <w:spacing w:val="-3"/>
          <w:sz w:val="16"/>
        </w:rPr>
        <w:t>de </w:t>
      </w:r>
      <w:r>
        <w:rPr>
          <w:i/>
          <w:spacing w:val="-4"/>
          <w:sz w:val="16"/>
        </w:rPr>
        <w:t>los</w:t>
      </w:r>
      <w:r>
        <w:rPr>
          <w:i/>
          <w:spacing w:val="33"/>
          <w:sz w:val="16"/>
        </w:rPr>
        <w:t> </w:t>
      </w:r>
      <w:r>
        <w:rPr>
          <w:i/>
          <w:spacing w:val="-5"/>
          <w:sz w:val="16"/>
        </w:rPr>
        <w:t>artículos</w:t>
      </w:r>
    </w:p>
    <w:p>
      <w:pPr>
        <w:spacing w:before="0"/>
        <w:ind w:left="122" w:right="112" w:firstLine="0"/>
        <w:jc w:val="both"/>
        <w:rPr>
          <w:i/>
          <w:sz w:val="16"/>
        </w:rPr>
      </w:pPr>
      <w:r>
        <w:rPr>
          <w:i/>
          <w:spacing w:val="-4"/>
          <w:sz w:val="16"/>
        </w:rPr>
        <w:t>4.1 </w:t>
      </w:r>
      <w:r>
        <w:rPr>
          <w:i/>
          <w:sz w:val="16"/>
        </w:rPr>
        <w:t>y </w:t>
      </w:r>
      <w:r>
        <w:rPr>
          <w:i/>
          <w:spacing w:val="-4"/>
          <w:sz w:val="16"/>
        </w:rPr>
        <w:t>5.1, </w:t>
      </w:r>
      <w:r>
        <w:rPr>
          <w:i/>
          <w:spacing w:val="-3"/>
          <w:sz w:val="16"/>
        </w:rPr>
        <w:t>en </w:t>
      </w:r>
      <w:r>
        <w:rPr>
          <w:i/>
          <w:spacing w:val="-4"/>
          <w:sz w:val="16"/>
        </w:rPr>
        <w:t>relación </w:t>
      </w:r>
      <w:r>
        <w:rPr>
          <w:i/>
          <w:spacing w:val="-3"/>
          <w:sz w:val="16"/>
        </w:rPr>
        <w:t>con </w:t>
      </w:r>
      <w:r>
        <w:rPr>
          <w:i/>
          <w:spacing w:val="-4"/>
          <w:sz w:val="16"/>
        </w:rPr>
        <w:t>los </w:t>
      </w:r>
      <w:r>
        <w:rPr>
          <w:i/>
          <w:spacing w:val="-5"/>
          <w:sz w:val="16"/>
        </w:rPr>
        <w:t>artículos </w:t>
      </w:r>
      <w:r>
        <w:rPr>
          <w:i/>
          <w:spacing w:val="-4"/>
          <w:sz w:val="16"/>
        </w:rPr>
        <w:t>1.1 </w:t>
      </w:r>
      <w:r>
        <w:rPr>
          <w:i/>
          <w:sz w:val="16"/>
        </w:rPr>
        <w:t>y 2 </w:t>
      </w:r>
      <w:r>
        <w:rPr>
          <w:i/>
          <w:spacing w:val="-3"/>
          <w:sz w:val="16"/>
        </w:rPr>
        <w:t>de la </w:t>
      </w:r>
      <w:r>
        <w:rPr>
          <w:i/>
          <w:spacing w:val="-5"/>
          <w:sz w:val="16"/>
        </w:rPr>
        <w:t>Convención Americana </w:t>
      </w:r>
      <w:r>
        <w:rPr>
          <w:i/>
          <w:spacing w:val="-4"/>
          <w:sz w:val="16"/>
        </w:rPr>
        <w:t>sobre </w:t>
      </w:r>
      <w:r>
        <w:rPr>
          <w:i/>
          <w:spacing w:val="-5"/>
          <w:sz w:val="16"/>
        </w:rPr>
        <w:t>Derechos Humanos). </w:t>
      </w:r>
      <w:r>
        <w:rPr>
          <w:i/>
          <w:spacing w:val="-4"/>
          <w:sz w:val="16"/>
        </w:rPr>
        <w:t>Opinión </w:t>
      </w:r>
      <w:r>
        <w:rPr>
          <w:i/>
          <w:spacing w:val="-5"/>
          <w:sz w:val="16"/>
        </w:rPr>
        <w:t>Consultiva OC-23/17 </w:t>
      </w:r>
      <w:r>
        <w:rPr>
          <w:spacing w:val="-3"/>
          <w:sz w:val="16"/>
        </w:rPr>
        <w:t>de </w:t>
      </w:r>
      <w:r>
        <w:rPr>
          <w:sz w:val="16"/>
        </w:rPr>
        <w:t>15 </w:t>
      </w:r>
      <w:r>
        <w:rPr>
          <w:spacing w:val="-3"/>
          <w:sz w:val="16"/>
        </w:rPr>
        <w:t>de </w:t>
      </w:r>
      <w:r>
        <w:rPr>
          <w:spacing w:val="-5"/>
          <w:sz w:val="16"/>
        </w:rPr>
        <w:t>noviembre </w:t>
      </w:r>
      <w:r>
        <w:rPr>
          <w:spacing w:val="-3"/>
          <w:sz w:val="16"/>
        </w:rPr>
        <w:t>de 2017. </w:t>
      </w:r>
      <w:r>
        <w:rPr>
          <w:spacing w:val="-4"/>
          <w:sz w:val="16"/>
        </w:rPr>
        <w:t>Serie </w:t>
      </w:r>
      <w:r>
        <w:rPr>
          <w:sz w:val="16"/>
        </w:rPr>
        <w:t>A </w:t>
      </w:r>
      <w:r>
        <w:rPr>
          <w:spacing w:val="-4"/>
          <w:sz w:val="16"/>
        </w:rPr>
        <w:t>No. </w:t>
      </w:r>
      <w:r>
        <w:rPr>
          <w:spacing w:val="-3"/>
          <w:sz w:val="16"/>
        </w:rPr>
        <w:t>23, </w:t>
      </w:r>
      <w:r>
        <w:rPr>
          <w:spacing w:val="-4"/>
          <w:sz w:val="16"/>
        </w:rPr>
        <w:t>párr. </w:t>
      </w:r>
      <w:r>
        <w:rPr>
          <w:spacing w:val="-3"/>
          <w:sz w:val="16"/>
        </w:rPr>
        <w:t>162. </w:t>
      </w:r>
      <w:r>
        <w:rPr>
          <w:sz w:val="16"/>
        </w:rPr>
        <w:t>De </w:t>
      </w:r>
      <w:r>
        <w:rPr>
          <w:spacing w:val="-4"/>
          <w:sz w:val="16"/>
        </w:rPr>
        <w:t>forma </w:t>
      </w:r>
      <w:r>
        <w:rPr>
          <w:spacing w:val="-5"/>
          <w:sz w:val="16"/>
        </w:rPr>
        <w:t>concordante </w:t>
      </w:r>
      <w:r>
        <w:rPr>
          <w:spacing w:val="-3"/>
          <w:sz w:val="16"/>
        </w:rPr>
        <w:t>se </w:t>
      </w:r>
      <w:r>
        <w:rPr>
          <w:spacing w:val="-4"/>
          <w:sz w:val="16"/>
        </w:rPr>
        <w:t>expresó FARN </w:t>
      </w:r>
      <w:r>
        <w:rPr>
          <w:spacing w:val="-3"/>
          <w:sz w:val="16"/>
        </w:rPr>
        <w:t>en su </w:t>
      </w:r>
      <w:r>
        <w:rPr>
          <w:spacing w:val="-5"/>
          <w:sz w:val="16"/>
        </w:rPr>
        <w:t>escrito </w:t>
      </w:r>
      <w:r>
        <w:rPr>
          <w:spacing w:val="-3"/>
          <w:sz w:val="16"/>
        </w:rPr>
        <w:t>de </w:t>
      </w:r>
      <w:r>
        <w:rPr>
          <w:i/>
          <w:spacing w:val="-5"/>
          <w:sz w:val="16"/>
        </w:rPr>
        <w:t>amicus </w:t>
      </w:r>
      <w:r>
        <w:rPr>
          <w:i/>
          <w:spacing w:val="-4"/>
          <w:sz w:val="16"/>
        </w:rPr>
        <w:t>curiae.)</w:t>
      </w:r>
    </w:p>
    <w:p>
      <w:pPr>
        <w:pStyle w:val="BodyText"/>
        <w:rPr>
          <w:i/>
          <w:sz w:val="16"/>
        </w:rPr>
      </w:pPr>
    </w:p>
    <w:p>
      <w:pPr>
        <w:tabs>
          <w:tab w:pos="829" w:val="left" w:leader="none"/>
        </w:tabs>
        <w:spacing w:before="0"/>
        <w:ind w:left="122" w:right="0" w:firstLine="0"/>
        <w:jc w:val="both"/>
        <w:rPr>
          <w:sz w:val="16"/>
        </w:rPr>
      </w:pPr>
      <w:r>
        <w:rPr>
          <w:position w:val="6"/>
          <w:sz w:val="10"/>
        </w:rPr>
        <w:t>163</w:t>
        <w:tab/>
      </w:r>
      <w:r>
        <w:rPr>
          <w:i/>
          <w:spacing w:val="-4"/>
          <w:sz w:val="16"/>
        </w:rPr>
        <w:t>Caso</w:t>
      </w:r>
      <w:r>
        <w:rPr>
          <w:i/>
          <w:spacing w:val="-11"/>
          <w:sz w:val="16"/>
        </w:rPr>
        <w:t> </w:t>
      </w:r>
      <w:r>
        <w:rPr>
          <w:i/>
          <w:spacing w:val="-4"/>
          <w:sz w:val="16"/>
        </w:rPr>
        <w:t>del</w:t>
      </w:r>
      <w:r>
        <w:rPr>
          <w:i/>
          <w:spacing w:val="-13"/>
          <w:sz w:val="16"/>
        </w:rPr>
        <w:t> </w:t>
      </w:r>
      <w:r>
        <w:rPr>
          <w:i/>
          <w:spacing w:val="-5"/>
          <w:sz w:val="16"/>
        </w:rPr>
        <w:t>Pueblo</w:t>
      </w:r>
      <w:r>
        <w:rPr>
          <w:i/>
          <w:spacing w:val="-11"/>
          <w:sz w:val="16"/>
        </w:rPr>
        <w:t> </w:t>
      </w:r>
      <w:r>
        <w:rPr>
          <w:i/>
          <w:spacing w:val="-5"/>
          <w:sz w:val="16"/>
        </w:rPr>
        <w:t>Saramaka</w:t>
      </w:r>
      <w:r>
        <w:rPr>
          <w:i/>
          <w:spacing w:val="-12"/>
          <w:sz w:val="16"/>
        </w:rPr>
        <w:t> </w:t>
      </w:r>
      <w:r>
        <w:rPr>
          <w:i/>
          <w:spacing w:val="-4"/>
          <w:sz w:val="16"/>
        </w:rPr>
        <w:t>Vs.</w:t>
      </w:r>
      <w:r>
        <w:rPr>
          <w:i/>
          <w:spacing w:val="-10"/>
          <w:sz w:val="16"/>
        </w:rPr>
        <w:t> </w:t>
      </w:r>
      <w:r>
        <w:rPr>
          <w:i/>
          <w:spacing w:val="-5"/>
          <w:sz w:val="16"/>
        </w:rPr>
        <w:t>Surinam,</w:t>
      </w:r>
      <w:r>
        <w:rPr>
          <w:i/>
          <w:spacing w:val="-13"/>
          <w:sz w:val="16"/>
        </w:rPr>
        <w:t> </w:t>
      </w:r>
      <w:r>
        <w:rPr>
          <w:i/>
          <w:spacing w:val="-4"/>
          <w:sz w:val="16"/>
        </w:rPr>
        <w:t>párr.</w:t>
      </w:r>
      <w:r>
        <w:rPr>
          <w:i/>
          <w:spacing w:val="-13"/>
          <w:sz w:val="16"/>
        </w:rPr>
        <w:t> </w:t>
      </w:r>
      <w:r>
        <w:rPr>
          <w:i/>
          <w:spacing w:val="-3"/>
          <w:sz w:val="16"/>
        </w:rPr>
        <w:t>129,</w:t>
      </w:r>
      <w:r>
        <w:rPr>
          <w:i/>
          <w:spacing w:val="-13"/>
          <w:sz w:val="16"/>
        </w:rPr>
        <w:t> </w:t>
      </w:r>
      <w:r>
        <w:rPr>
          <w:i/>
          <w:sz w:val="16"/>
        </w:rPr>
        <w:t>y</w:t>
      </w:r>
      <w:r>
        <w:rPr>
          <w:i/>
          <w:spacing w:val="-11"/>
          <w:sz w:val="16"/>
        </w:rPr>
        <w:t> </w:t>
      </w:r>
      <w:r>
        <w:rPr>
          <w:i/>
          <w:spacing w:val="-4"/>
          <w:sz w:val="16"/>
        </w:rPr>
        <w:t>Caso</w:t>
      </w:r>
      <w:r>
        <w:rPr>
          <w:i/>
          <w:spacing w:val="-11"/>
          <w:sz w:val="16"/>
        </w:rPr>
        <w:t> </w:t>
      </w:r>
      <w:r>
        <w:rPr>
          <w:i/>
          <w:spacing w:val="-5"/>
          <w:sz w:val="16"/>
        </w:rPr>
        <w:t>Pueblos</w:t>
      </w:r>
      <w:r>
        <w:rPr>
          <w:i/>
          <w:spacing w:val="-12"/>
          <w:sz w:val="16"/>
        </w:rPr>
        <w:t> </w:t>
      </w:r>
      <w:r>
        <w:rPr>
          <w:i/>
          <w:spacing w:val="-5"/>
          <w:sz w:val="16"/>
        </w:rPr>
        <w:t>Kaliña</w:t>
      </w:r>
      <w:r>
        <w:rPr>
          <w:i/>
          <w:spacing w:val="-12"/>
          <w:sz w:val="16"/>
        </w:rPr>
        <w:t> </w:t>
      </w:r>
      <w:r>
        <w:rPr>
          <w:i/>
          <w:sz w:val="16"/>
        </w:rPr>
        <w:t>y</w:t>
      </w:r>
      <w:r>
        <w:rPr>
          <w:i/>
          <w:spacing w:val="-11"/>
          <w:sz w:val="16"/>
        </w:rPr>
        <w:t> </w:t>
      </w:r>
      <w:r>
        <w:rPr>
          <w:i/>
          <w:spacing w:val="-5"/>
          <w:sz w:val="16"/>
        </w:rPr>
        <w:t>Lokono</w:t>
      </w:r>
      <w:r>
        <w:rPr>
          <w:i/>
          <w:spacing w:val="-11"/>
          <w:sz w:val="16"/>
        </w:rPr>
        <w:t> </w:t>
      </w:r>
      <w:r>
        <w:rPr>
          <w:i/>
          <w:spacing w:val="-4"/>
          <w:sz w:val="16"/>
        </w:rPr>
        <w:t>Vs.</w:t>
      </w:r>
      <w:r>
        <w:rPr>
          <w:i/>
          <w:spacing w:val="-13"/>
          <w:sz w:val="16"/>
        </w:rPr>
        <w:t> </w:t>
      </w:r>
      <w:r>
        <w:rPr>
          <w:i/>
          <w:spacing w:val="-4"/>
          <w:sz w:val="16"/>
        </w:rPr>
        <w:t>Surinam</w:t>
      </w:r>
      <w:r>
        <w:rPr>
          <w:spacing w:val="-4"/>
          <w:sz w:val="16"/>
        </w:rPr>
        <w:t>,</w:t>
      </w:r>
      <w:r>
        <w:rPr>
          <w:spacing w:val="-13"/>
          <w:sz w:val="16"/>
        </w:rPr>
        <w:t> </w:t>
      </w:r>
      <w:r>
        <w:rPr>
          <w:spacing w:val="-4"/>
          <w:sz w:val="16"/>
        </w:rPr>
        <w:t>párr.</w:t>
      </w:r>
      <w:r>
        <w:rPr>
          <w:spacing w:val="-13"/>
          <w:sz w:val="16"/>
        </w:rPr>
        <w:t> </w:t>
      </w:r>
      <w:r>
        <w:rPr>
          <w:spacing w:val="-3"/>
          <w:sz w:val="16"/>
        </w:rPr>
        <w:t>201.</w:t>
      </w:r>
    </w:p>
    <w:p>
      <w:pPr>
        <w:pStyle w:val="BodyText"/>
        <w:spacing w:before="1"/>
        <w:rPr>
          <w:sz w:val="16"/>
        </w:rPr>
      </w:pPr>
    </w:p>
    <w:p>
      <w:pPr>
        <w:spacing w:before="0"/>
        <w:ind w:left="122" w:right="114" w:firstLine="0"/>
        <w:jc w:val="both"/>
        <w:rPr>
          <w:sz w:val="16"/>
        </w:rPr>
      </w:pPr>
      <w:r>
        <w:rPr>
          <w:position w:val="6"/>
          <w:sz w:val="10"/>
        </w:rPr>
        <w:t>164 </w:t>
      </w:r>
      <w:r>
        <w:rPr>
          <w:i/>
          <w:sz w:val="16"/>
        </w:rPr>
        <w:t>Cfr. Caso del Pueblo Saramaka Vs. Surinam, </w:t>
      </w:r>
      <w:r>
        <w:rPr>
          <w:sz w:val="16"/>
        </w:rPr>
        <w:t>párr. 129, y </w:t>
      </w:r>
      <w:r>
        <w:rPr>
          <w:i/>
          <w:sz w:val="16"/>
        </w:rPr>
        <w:t>Caso Pueblos Kaliña y Lokono Vs. Surinam</w:t>
      </w:r>
      <w:r>
        <w:rPr>
          <w:sz w:val="16"/>
        </w:rPr>
        <w:t>, párrs. 201 y 214.</w:t>
      </w:r>
    </w:p>
    <w:p>
      <w:pPr>
        <w:spacing w:after="0"/>
        <w:jc w:val="both"/>
        <w:rPr>
          <w:sz w:val="16"/>
        </w:rPr>
        <w:sectPr>
          <w:footerReference w:type="default" r:id="rId22"/>
          <w:pgSz w:w="12240" w:h="15840"/>
          <w:pgMar w:footer="1000" w:header="0" w:top="1340" w:bottom="1200" w:left="1580" w:right="1580"/>
          <w:pgNumType w:start="61"/>
        </w:sectPr>
      </w:pPr>
    </w:p>
    <w:p>
      <w:pPr>
        <w:pStyle w:val="BodyText"/>
        <w:spacing w:line="242" w:lineRule="auto" w:before="76"/>
        <w:ind w:left="122" w:right="125"/>
        <w:jc w:val="both"/>
      </w:pPr>
      <w:r>
        <w:rPr/>
        <w:t>de la ruta nacional 86</w:t>
      </w:r>
      <w:r>
        <w:rPr>
          <w:position w:val="8"/>
          <w:sz w:val="14"/>
        </w:rPr>
        <w:t>165</w:t>
      </w:r>
      <w:r>
        <w:rPr/>
        <w:t>, ni la aducida exploración de hidrocarburos</w:t>
      </w:r>
      <w:r>
        <w:rPr>
          <w:position w:val="8"/>
          <w:sz w:val="14"/>
        </w:rPr>
        <w:t>166</w:t>
      </w:r>
      <w:r>
        <w:rPr/>
        <w:t>. La Corte, por</w:t>
      </w:r>
      <w:r>
        <w:rPr>
          <w:spacing w:val="-40"/>
        </w:rPr>
        <w:t> </w:t>
      </w:r>
      <w:r>
        <w:rPr/>
        <w:t>el contrario, sí examinará lo pertinente respecto a: 1) las obras para la ruta provincial 54 y 2) la construcción del puente internacional y obras adyacentes. Luego 3) expondrá</w:t>
      </w:r>
      <w:r>
        <w:rPr>
          <w:spacing w:val="-33"/>
        </w:rPr>
        <w:t> </w:t>
      </w:r>
      <w:r>
        <w:rPr/>
        <w:t>su conclusión.</w:t>
      </w:r>
    </w:p>
    <w:p>
      <w:pPr>
        <w:pStyle w:val="BodyText"/>
        <w:spacing w:before="10"/>
        <w:rPr>
          <w:sz w:val="19"/>
        </w:rPr>
      </w:pPr>
    </w:p>
    <w:p>
      <w:pPr>
        <w:spacing w:before="0"/>
        <w:ind w:left="974" w:right="0" w:firstLine="0"/>
        <w:jc w:val="left"/>
        <w:rPr>
          <w:i/>
          <w:sz w:val="20"/>
        </w:rPr>
      </w:pPr>
      <w:bookmarkStart w:name="_bookmark54" w:id="92"/>
      <w:bookmarkEnd w:id="92"/>
      <w:r>
        <w:rPr/>
      </w:r>
      <w:r>
        <w:rPr>
          <w:i/>
          <w:sz w:val="20"/>
        </w:rPr>
        <w:t>C.2.1 </w:t>
      </w:r>
      <w:r>
        <w:rPr>
          <w:i/>
          <w:sz w:val="20"/>
          <w:u w:val="single"/>
        </w:rPr>
        <w:t>Ruta provincial 54</w:t>
      </w:r>
    </w:p>
    <w:p>
      <w:pPr>
        <w:pStyle w:val="BodyText"/>
        <w:spacing w:before="8"/>
        <w:rPr>
          <w:i/>
          <w:sz w:val="11"/>
        </w:rPr>
      </w:pPr>
    </w:p>
    <w:p>
      <w:pPr>
        <w:pStyle w:val="ListParagraph"/>
        <w:numPr>
          <w:ilvl w:val="0"/>
          <w:numId w:val="27"/>
        </w:numPr>
        <w:tabs>
          <w:tab w:pos="830" w:val="left" w:leader="none"/>
        </w:tabs>
        <w:spacing w:line="242" w:lineRule="auto" w:before="99" w:after="0"/>
        <w:ind w:left="122" w:right="125" w:firstLine="0"/>
        <w:jc w:val="both"/>
        <w:rPr>
          <w:sz w:val="20"/>
        </w:rPr>
      </w:pPr>
      <w:r>
        <w:rPr>
          <w:sz w:val="20"/>
        </w:rPr>
        <w:t>En 2001 se trabajó en el enripiado de la ruta provincial 54 entre la localidad de Santa Victoria Este y la de La Paz. Las obras finalizaron el mismo año. A principios de 2005, la Dirección Provincial de Vialidad empezó nuevamente a realizar obras en torno a la ruta Provincial 54, que une la ciudad de Tartagal con el puente internacional sobre el río Pilcomayo. El 8 de febrero de 2005, los representantes denunciaron la situación ante la Cancillería y el Gobernador de Salta</w:t>
      </w:r>
      <w:r>
        <w:rPr>
          <w:position w:val="8"/>
          <w:sz w:val="14"/>
        </w:rPr>
        <w:t>167</w:t>
      </w:r>
      <w:r>
        <w:rPr>
          <w:sz w:val="20"/>
        </w:rPr>
        <w:t>. En 2014 hubo nuevas obras, los representantes efectuaron un pedido de información</w:t>
      </w:r>
      <w:r>
        <w:rPr>
          <w:position w:val="8"/>
          <w:sz w:val="14"/>
        </w:rPr>
        <w:t>168</w:t>
      </w:r>
      <w:r>
        <w:rPr>
          <w:sz w:val="20"/>
        </w:rPr>
        <w:t>. El proyecto continuó y se finalizó.</w:t>
      </w:r>
    </w:p>
    <w:p>
      <w:pPr>
        <w:pStyle w:val="BodyText"/>
        <w:spacing w:before="8"/>
        <w:rPr>
          <w:sz w:val="19"/>
        </w:rPr>
      </w:pPr>
    </w:p>
    <w:p>
      <w:pPr>
        <w:pStyle w:val="ListParagraph"/>
        <w:numPr>
          <w:ilvl w:val="0"/>
          <w:numId w:val="27"/>
        </w:numPr>
        <w:tabs>
          <w:tab w:pos="830" w:val="left" w:leader="none"/>
        </w:tabs>
        <w:spacing w:line="240" w:lineRule="auto" w:before="0" w:after="0"/>
        <w:ind w:left="122" w:right="121" w:firstLine="0"/>
        <w:jc w:val="both"/>
        <w:rPr>
          <w:sz w:val="20"/>
        </w:rPr>
      </w:pPr>
      <w:r>
        <w:rPr>
          <w:sz w:val="20"/>
        </w:rPr>
        <w:t>Los</w:t>
      </w:r>
      <w:r>
        <w:rPr>
          <w:spacing w:val="-7"/>
          <w:sz w:val="20"/>
        </w:rPr>
        <w:t> </w:t>
      </w:r>
      <w:r>
        <w:rPr>
          <w:sz w:val="20"/>
        </w:rPr>
        <w:t>representantes</w:t>
      </w:r>
      <w:r>
        <w:rPr>
          <w:spacing w:val="-7"/>
          <w:sz w:val="20"/>
        </w:rPr>
        <w:t> </w:t>
      </w:r>
      <w:r>
        <w:rPr>
          <w:sz w:val="20"/>
        </w:rPr>
        <w:t>señalaron</w:t>
      </w:r>
      <w:r>
        <w:rPr>
          <w:spacing w:val="-8"/>
          <w:sz w:val="20"/>
        </w:rPr>
        <w:t> </w:t>
      </w:r>
      <w:r>
        <w:rPr>
          <w:sz w:val="20"/>
        </w:rPr>
        <w:t>que</w:t>
      </w:r>
      <w:r>
        <w:rPr>
          <w:spacing w:val="-8"/>
          <w:sz w:val="20"/>
        </w:rPr>
        <w:t> </w:t>
      </w:r>
      <w:r>
        <w:rPr>
          <w:sz w:val="20"/>
        </w:rPr>
        <w:t>esta</w:t>
      </w:r>
      <w:r>
        <w:rPr>
          <w:spacing w:val="-9"/>
          <w:sz w:val="20"/>
        </w:rPr>
        <w:t> </w:t>
      </w:r>
      <w:r>
        <w:rPr>
          <w:sz w:val="20"/>
        </w:rPr>
        <w:t>intervención</w:t>
      </w:r>
      <w:r>
        <w:rPr>
          <w:spacing w:val="-8"/>
          <w:sz w:val="20"/>
        </w:rPr>
        <w:t> </w:t>
      </w:r>
      <w:r>
        <w:rPr>
          <w:sz w:val="20"/>
        </w:rPr>
        <w:t>causó</w:t>
      </w:r>
      <w:r>
        <w:rPr>
          <w:spacing w:val="-10"/>
          <w:sz w:val="20"/>
        </w:rPr>
        <w:t> </w:t>
      </w:r>
      <w:r>
        <w:rPr>
          <w:sz w:val="20"/>
        </w:rPr>
        <w:t>la</w:t>
      </w:r>
      <w:r>
        <w:rPr>
          <w:spacing w:val="-9"/>
          <w:sz w:val="20"/>
        </w:rPr>
        <w:t> </w:t>
      </w:r>
      <w:r>
        <w:rPr>
          <w:sz w:val="20"/>
        </w:rPr>
        <w:t>tala</w:t>
      </w:r>
      <w:r>
        <w:rPr>
          <w:spacing w:val="-9"/>
          <w:sz w:val="20"/>
        </w:rPr>
        <w:t> </w:t>
      </w:r>
      <w:r>
        <w:rPr>
          <w:sz w:val="20"/>
        </w:rPr>
        <w:t>de</w:t>
      </w:r>
      <w:r>
        <w:rPr>
          <w:spacing w:val="-10"/>
          <w:sz w:val="20"/>
        </w:rPr>
        <w:t> </w:t>
      </w:r>
      <w:r>
        <w:rPr>
          <w:sz w:val="20"/>
        </w:rPr>
        <w:t>árboles</w:t>
      </w:r>
      <w:r>
        <w:rPr>
          <w:spacing w:val="-10"/>
          <w:sz w:val="20"/>
        </w:rPr>
        <w:t> </w:t>
      </w:r>
      <w:r>
        <w:rPr>
          <w:sz w:val="20"/>
        </w:rPr>
        <w:t>para la quema de ladrillos en Misión La Paz, y también que no tuvieron respuesta del </w:t>
      </w:r>
      <w:r>
        <w:rPr>
          <w:spacing w:val="2"/>
          <w:sz w:val="20"/>
        </w:rPr>
        <w:t>pedido </w:t>
      </w:r>
      <w:r>
        <w:rPr>
          <w:sz w:val="20"/>
        </w:rPr>
        <w:t>de</w:t>
      </w:r>
      <w:r>
        <w:rPr>
          <w:spacing w:val="-19"/>
          <w:sz w:val="20"/>
        </w:rPr>
        <w:t> </w:t>
      </w:r>
      <w:r>
        <w:rPr>
          <w:sz w:val="20"/>
        </w:rPr>
        <w:t>información</w:t>
      </w:r>
      <w:r>
        <w:rPr>
          <w:spacing w:val="-17"/>
          <w:sz w:val="20"/>
        </w:rPr>
        <w:t> </w:t>
      </w:r>
      <w:r>
        <w:rPr>
          <w:sz w:val="20"/>
        </w:rPr>
        <w:t>que</w:t>
      </w:r>
      <w:r>
        <w:rPr>
          <w:spacing w:val="-19"/>
          <w:sz w:val="20"/>
        </w:rPr>
        <w:t> </w:t>
      </w:r>
      <w:r>
        <w:rPr>
          <w:sz w:val="20"/>
        </w:rPr>
        <w:t>efectuaron.</w:t>
      </w:r>
      <w:r>
        <w:rPr>
          <w:spacing w:val="-15"/>
          <w:sz w:val="20"/>
        </w:rPr>
        <w:t> </w:t>
      </w:r>
      <w:r>
        <w:rPr>
          <w:sz w:val="20"/>
        </w:rPr>
        <w:t>La</w:t>
      </w:r>
      <w:r>
        <w:rPr>
          <w:spacing w:val="-16"/>
          <w:sz w:val="20"/>
        </w:rPr>
        <w:t> </w:t>
      </w:r>
      <w:r>
        <w:rPr>
          <w:sz w:val="20"/>
        </w:rPr>
        <w:t>Corte</w:t>
      </w:r>
      <w:r>
        <w:rPr>
          <w:spacing w:val="-19"/>
          <w:sz w:val="20"/>
        </w:rPr>
        <w:t> </w:t>
      </w:r>
      <w:r>
        <w:rPr>
          <w:sz w:val="20"/>
        </w:rPr>
        <w:t>advierte</w:t>
      </w:r>
      <w:r>
        <w:rPr>
          <w:spacing w:val="-17"/>
          <w:sz w:val="20"/>
        </w:rPr>
        <w:t> </w:t>
      </w:r>
      <w:r>
        <w:rPr>
          <w:sz w:val="20"/>
        </w:rPr>
        <w:t>que</w:t>
      </w:r>
      <w:r>
        <w:rPr>
          <w:spacing w:val="-19"/>
          <w:sz w:val="20"/>
        </w:rPr>
        <w:t> </w:t>
      </w:r>
      <w:r>
        <w:rPr>
          <w:sz w:val="20"/>
        </w:rPr>
        <w:t>el</w:t>
      </w:r>
      <w:r>
        <w:rPr>
          <w:spacing w:val="-17"/>
          <w:sz w:val="20"/>
        </w:rPr>
        <w:t> </w:t>
      </w:r>
      <w:r>
        <w:rPr>
          <w:sz w:val="20"/>
        </w:rPr>
        <w:t>Estado</w:t>
      </w:r>
      <w:r>
        <w:rPr>
          <w:spacing w:val="-19"/>
          <w:sz w:val="20"/>
        </w:rPr>
        <w:t> </w:t>
      </w:r>
      <w:r>
        <w:rPr>
          <w:sz w:val="20"/>
        </w:rPr>
        <w:t>ha</w:t>
      </w:r>
      <w:r>
        <w:rPr>
          <w:spacing w:val="-17"/>
          <w:sz w:val="20"/>
        </w:rPr>
        <w:t> </w:t>
      </w:r>
      <w:r>
        <w:rPr>
          <w:sz w:val="20"/>
        </w:rPr>
        <w:t>aclarado</w:t>
      </w:r>
      <w:r>
        <w:rPr>
          <w:spacing w:val="-19"/>
          <w:sz w:val="20"/>
        </w:rPr>
        <w:t> </w:t>
      </w:r>
      <w:r>
        <w:rPr>
          <w:sz w:val="20"/>
        </w:rPr>
        <w:t>que</w:t>
      </w:r>
      <w:r>
        <w:rPr>
          <w:spacing w:val="-19"/>
          <w:sz w:val="20"/>
        </w:rPr>
        <w:t> </w:t>
      </w:r>
      <w:r>
        <w:rPr>
          <w:sz w:val="20"/>
        </w:rPr>
        <w:t>las</w:t>
      </w:r>
      <w:r>
        <w:rPr>
          <w:spacing w:val="-16"/>
          <w:sz w:val="20"/>
        </w:rPr>
        <w:t> </w:t>
      </w:r>
      <w:r>
        <w:rPr>
          <w:sz w:val="20"/>
        </w:rPr>
        <w:t>obras realizadas fueron sobre el trazado previamente existente de la ruta 54. Es decir, no se habría tratado de obras estrictamente nuevas, sino de mejoras de otras ya existentes. En una comunicación del Secretario General de la Gobernación de Salta se explicó que “no</w:t>
      </w:r>
      <w:r>
        <w:rPr>
          <w:spacing w:val="-18"/>
          <w:sz w:val="20"/>
        </w:rPr>
        <w:t> </w:t>
      </w:r>
      <w:r>
        <w:rPr>
          <w:sz w:val="20"/>
        </w:rPr>
        <w:t>se</w:t>
      </w:r>
      <w:r>
        <w:rPr>
          <w:spacing w:val="-18"/>
          <w:sz w:val="20"/>
        </w:rPr>
        <w:t> </w:t>
      </w:r>
      <w:r>
        <w:rPr>
          <w:sz w:val="20"/>
        </w:rPr>
        <w:t>trat[ó]</w:t>
      </w:r>
      <w:r>
        <w:rPr>
          <w:spacing w:val="-16"/>
          <w:sz w:val="20"/>
        </w:rPr>
        <w:t> </w:t>
      </w:r>
      <w:r>
        <w:rPr>
          <w:sz w:val="20"/>
        </w:rPr>
        <w:t>de</w:t>
      </w:r>
      <w:r>
        <w:rPr>
          <w:spacing w:val="-18"/>
          <w:sz w:val="20"/>
        </w:rPr>
        <w:t> </w:t>
      </w:r>
      <w:r>
        <w:rPr>
          <w:sz w:val="20"/>
        </w:rPr>
        <w:t>la</w:t>
      </w:r>
      <w:r>
        <w:rPr>
          <w:spacing w:val="-15"/>
          <w:sz w:val="20"/>
        </w:rPr>
        <w:t> </w:t>
      </w:r>
      <w:r>
        <w:rPr>
          <w:sz w:val="20"/>
        </w:rPr>
        <w:t>apertura</w:t>
      </w:r>
      <w:r>
        <w:rPr>
          <w:spacing w:val="-16"/>
          <w:sz w:val="20"/>
        </w:rPr>
        <w:t> </w:t>
      </w:r>
      <w:r>
        <w:rPr>
          <w:sz w:val="20"/>
        </w:rPr>
        <w:t>de</w:t>
      </w:r>
      <w:r>
        <w:rPr>
          <w:spacing w:val="-16"/>
          <w:sz w:val="20"/>
        </w:rPr>
        <w:t> </w:t>
      </w:r>
      <w:r>
        <w:rPr>
          <w:sz w:val="20"/>
        </w:rPr>
        <w:t>una</w:t>
      </w:r>
      <w:r>
        <w:rPr>
          <w:spacing w:val="-16"/>
          <w:sz w:val="20"/>
        </w:rPr>
        <w:t> </w:t>
      </w:r>
      <w:r>
        <w:rPr>
          <w:sz w:val="20"/>
        </w:rPr>
        <w:t>nueva</w:t>
      </w:r>
      <w:r>
        <w:rPr>
          <w:spacing w:val="-15"/>
          <w:sz w:val="20"/>
        </w:rPr>
        <w:t> </w:t>
      </w:r>
      <w:r>
        <w:rPr>
          <w:sz w:val="20"/>
        </w:rPr>
        <w:t>ruta,</w:t>
      </w:r>
      <w:r>
        <w:rPr>
          <w:spacing w:val="-15"/>
          <w:sz w:val="20"/>
        </w:rPr>
        <w:t> </w:t>
      </w:r>
      <w:r>
        <w:rPr>
          <w:sz w:val="20"/>
        </w:rPr>
        <w:t>sino</w:t>
      </w:r>
      <w:r>
        <w:rPr>
          <w:spacing w:val="-18"/>
          <w:sz w:val="20"/>
        </w:rPr>
        <w:t> </w:t>
      </w:r>
      <w:r>
        <w:rPr>
          <w:sz w:val="20"/>
        </w:rPr>
        <w:t>del</w:t>
      </w:r>
      <w:r>
        <w:rPr>
          <w:spacing w:val="-16"/>
          <w:sz w:val="20"/>
        </w:rPr>
        <w:t> </w:t>
      </w:r>
      <w:r>
        <w:rPr>
          <w:sz w:val="20"/>
        </w:rPr>
        <w:t>mejoramiento</w:t>
      </w:r>
      <w:r>
        <w:rPr>
          <w:spacing w:val="-18"/>
          <w:sz w:val="20"/>
        </w:rPr>
        <w:t> </w:t>
      </w:r>
      <w:r>
        <w:rPr>
          <w:sz w:val="20"/>
        </w:rPr>
        <w:t>de</w:t>
      </w:r>
      <w:r>
        <w:rPr>
          <w:spacing w:val="-16"/>
          <w:sz w:val="20"/>
        </w:rPr>
        <w:t> </w:t>
      </w:r>
      <w:r>
        <w:rPr>
          <w:sz w:val="20"/>
        </w:rPr>
        <w:t>la</w:t>
      </w:r>
      <w:r>
        <w:rPr>
          <w:spacing w:val="-16"/>
          <w:sz w:val="20"/>
        </w:rPr>
        <w:t> </w:t>
      </w:r>
      <w:r>
        <w:rPr>
          <w:sz w:val="20"/>
        </w:rPr>
        <w:t>actualmente existente”</w:t>
      </w:r>
      <w:r>
        <w:rPr>
          <w:spacing w:val="-6"/>
          <w:sz w:val="20"/>
        </w:rPr>
        <w:t> </w:t>
      </w:r>
      <w:r>
        <w:rPr>
          <w:sz w:val="20"/>
        </w:rPr>
        <w:t>y</w:t>
      </w:r>
      <w:r>
        <w:rPr>
          <w:spacing w:val="-8"/>
          <w:sz w:val="20"/>
        </w:rPr>
        <w:t> </w:t>
      </w:r>
      <w:r>
        <w:rPr>
          <w:sz w:val="20"/>
        </w:rPr>
        <w:t>que</w:t>
      </w:r>
      <w:r>
        <w:rPr>
          <w:spacing w:val="-7"/>
          <w:sz w:val="20"/>
        </w:rPr>
        <w:t> </w:t>
      </w:r>
      <w:r>
        <w:rPr>
          <w:sz w:val="20"/>
        </w:rPr>
        <w:t>fueron</w:t>
      </w:r>
      <w:r>
        <w:rPr>
          <w:spacing w:val="-5"/>
          <w:sz w:val="20"/>
        </w:rPr>
        <w:t> </w:t>
      </w:r>
      <w:r>
        <w:rPr>
          <w:sz w:val="20"/>
        </w:rPr>
        <w:t>trabajos</w:t>
      </w:r>
      <w:r>
        <w:rPr>
          <w:spacing w:val="-9"/>
          <w:sz w:val="20"/>
        </w:rPr>
        <w:t> </w:t>
      </w:r>
      <w:r>
        <w:rPr>
          <w:sz w:val="20"/>
        </w:rPr>
        <w:t>hechos</w:t>
      </w:r>
      <w:r>
        <w:rPr>
          <w:spacing w:val="-6"/>
          <w:sz w:val="20"/>
        </w:rPr>
        <w:t> </w:t>
      </w:r>
      <w:r>
        <w:rPr>
          <w:sz w:val="20"/>
        </w:rPr>
        <w:t>“en</w:t>
      </w:r>
      <w:r>
        <w:rPr>
          <w:spacing w:val="-7"/>
          <w:sz w:val="20"/>
        </w:rPr>
        <w:t> </w:t>
      </w:r>
      <w:r>
        <w:rPr>
          <w:sz w:val="20"/>
        </w:rPr>
        <w:t>acuerdo</w:t>
      </w:r>
      <w:r>
        <w:rPr>
          <w:spacing w:val="-9"/>
          <w:sz w:val="20"/>
        </w:rPr>
        <w:t> </w:t>
      </w:r>
      <w:r>
        <w:rPr>
          <w:sz w:val="20"/>
        </w:rPr>
        <w:t>con</w:t>
      </w:r>
      <w:r>
        <w:rPr>
          <w:spacing w:val="-7"/>
          <w:sz w:val="20"/>
        </w:rPr>
        <w:t> </w:t>
      </w:r>
      <w:r>
        <w:rPr>
          <w:sz w:val="20"/>
        </w:rPr>
        <w:t>los</w:t>
      </w:r>
      <w:r>
        <w:rPr>
          <w:spacing w:val="-9"/>
          <w:sz w:val="20"/>
        </w:rPr>
        <w:t> </w:t>
      </w:r>
      <w:r>
        <w:rPr>
          <w:sz w:val="20"/>
        </w:rPr>
        <w:t>habitantes”</w:t>
      </w:r>
      <w:r>
        <w:rPr>
          <w:spacing w:val="-6"/>
          <w:sz w:val="20"/>
        </w:rPr>
        <w:t> </w:t>
      </w:r>
      <w:r>
        <w:rPr>
          <w:sz w:val="20"/>
        </w:rPr>
        <w:t>y</w:t>
      </w:r>
      <w:r>
        <w:rPr>
          <w:spacing w:val="-2"/>
          <w:sz w:val="20"/>
        </w:rPr>
        <w:t> </w:t>
      </w:r>
      <w:r>
        <w:rPr>
          <w:sz w:val="20"/>
        </w:rPr>
        <w:t>“necesarios</w:t>
      </w:r>
      <w:r>
        <w:rPr>
          <w:spacing w:val="-6"/>
          <w:sz w:val="20"/>
        </w:rPr>
        <w:t> </w:t>
      </w:r>
      <w:r>
        <w:rPr>
          <w:sz w:val="20"/>
        </w:rPr>
        <w:t>e impostergables para permitir la continuidad del acceso de los pobladores a los servicios de salud y educación que brinda el Estado – derechos elementales […] en una zona de alto índice de</w:t>
      </w:r>
      <w:r>
        <w:rPr>
          <w:spacing w:val="-10"/>
          <w:sz w:val="20"/>
        </w:rPr>
        <w:t> </w:t>
      </w:r>
      <w:r>
        <w:rPr>
          <w:sz w:val="20"/>
        </w:rPr>
        <w:t>pobreza”</w:t>
      </w:r>
      <w:r>
        <w:rPr>
          <w:position w:val="8"/>
          <w:sz w:val="14"/>
        </w:rPr>
        <w:t>169</w:t>
      </w:r>
      <w:r>
        <w:rPr>
          <w:sz w:val="20"/>
        </w:rPr>
        <w:t>.</w:t>
      </w:r>
    </w:p>
    <w:p>
      <w:pPr>
        <w:pStyle w:val="BodyText"/>
        <w:spacing w:before="5"/>
      </w:pPr>
    </w:p>
    <w:p>
      <w:pPr>
        <w:pStyle w:val="ListParagraph"/>
        <w:numPr>
          <w:ilvl w:val="0"/>
          <w:numId w:val="27"/>
        </w:numPr>
        <w:tabs>
          <w:tab w:pos="830" w:val="left" w:leader="none"/>
        </w:tabs>
        <w:spacing w:line="240" w:lineRule="auto" w:before="0" w:after="0"/>
        <w:ind w:left="122" w:right="131" w:firstLine="0"/>
        <w:jc w:val="both"/>
        <w:rPr>
          <w:sz w:val="20"/>
        </w:rPr>
      </w:pPr>
      <w:r>
        <w:rPr>
          <w:sz w:val="20"/>
        </w:rPr>
        <w:t>La Corte entiende que, de acuerdo con las circunstancias, puede ser pertinente en relación con el derecho a la consulta, diferenciar entre mejora o mantenimiento de obras ya existentes y realización de obras o proyectos nuevos. En ese sentido, no siempre</w:t>
      </w:r>
      <w:r>
        <w:rPr>
          <w:spacing w:val="42"/>
          <w:sz w:val="20"/>
        </w:rPr>
        <w:t> </w:t>
      </w:r>
      <w:r>
        <w:rPr>
          <w:sz w:val="20"/>
        </w:rPr>
        <w:t>actividades</w:t>
      </w:r>
      <w:r>
        <w:rPr>
          <w:spacing w:val="42"/>
          <w:sz w:val="20"/>
        </w:rPr>
        <w:t> </w:t>
      </w:r>
      <w:r>
        <w:rPr>
          <w:sz w:val="20"/>
        </w:rPr>
        <w:t>tendientes</w:t>
      </w:r>
      <w:r>
        <w:rPr>
          <w:spacing w:val="42"/>
          <w:sz w:val="20"/>
        </w:rPr>
        <w:t> </w:t>
      </w:r>
      <w:r>
        <w:rPr>
          <w:sz w:val="20"/>
        </w:rPr>
        <w:t>solo</w:t>
      </w:r>
      <w:r>
        <w:rPr>
          <w:spacing w:val="42"/>
          <w:sz w:val="20"/>
        </w:rPr>
        <w:t> </w:t>
      </w:r>
      <w:r>
        <w:rPr>
          <w:sz w:val="20"/>
        </w:rPr>
        <w:t>al</w:t>
      </w:r>
      <w:r>
        <w:rPr>
          <w:spacing w:val="44"/>
          <w:sz w:val="20"/>
        </w:rPr>
        <w:t> </w:t>
      </w:r>
      <w:r>
        <w:rPr>
          <w:sz w:val="20"/>
        </w:rPr>
        <w:t>adecuado</w:t>
      </w:r>
      <w:r>
        <w:rPr>
          <w:spacing w:val="40"/>
          <w:sz w:val="20"/>
        </w:rPr>
        <w:t> </w:t>
      </w:r>
      <w:r>
        <w:rPr>
          <w:sz w:val="20"/>
        </w:rPr>
        <w:t>mantenimiento</w:t>
      </w:r>
      <w:r>
        <w:rPr>
          <w:spacing w:val="42"/>
          <w:sz w:val="20"/>
        </w:rPr>
        <w:t> </w:t>
      </w:r>
      <w:r>
        <w:rPr>
          <w:sz w:val="20"/>
        </w:rPr>
        <w:t>o</w:t>
      </w:r>
      <w:r>
        <w:rPr>
          <w:spacing w:val="44"/>
          <w:sz w:val="20"/>
        </w:rPr>
        <w:t> </w:t>
      </w:r>
      <w:r>
        <w:rPr>
          <w:sz w:val="20"/>
        </w:rPr>
        <w:t>mejora</w:t>
      </w:r>
      <w:r>
        <w:rPr>
          <w:spacing w:val="41"/>
          <w:sz w:val="20"/>
        </w:rPr>
        <w:t> </w:t>
      </w:r>
      <w:r>
        <w:rPr>
          <w:sz w:val="20"/>
        </w:rPr>
        <w:t>de</w:t>
      </w:r>
      <w:r>
        <w:rPr>
          <w:spacing w:val="42"/>
          <w:sz w:val="20"/>
        </w:rPr>
        <w:t> </w:t>
      </w:r>
      <w:r>
        <w:rPr>
          <w:sz w:val="20"/>
        </w:rPr>
        <w:t>obras</w:t>
      </w:r>
    </w:p>
    <w:p>
      <w:pPr>
        <w:pStyle w:val="BodyText"/>
        <w:spacing w:before="3"/>
        <w:rPr>
          <w:sz w:val="25"/>
        </w:rPr>
      </w:pPr>
      <w:r>
        <w:rPr/>
        <w:pict>
          <v:line style="position:absolute;mso-position-horizontal-relative:page;mso-position-vertical-relative:paragraph;z-index:2392;mso-wrap-distance-left:0;mso-wrap-distance-right:0" from="85.103996pt,17.691168pt" to="229.123996pt,17.691168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165</w:t>
        <w:tab/>
      </w:r>
      <w:r>
        <w:rPr>
          <w:sz w:val="16"/>
        </w:rPr>
        <w:t>En</w:t>
      </w:r>
      <w:r>
        <w:rPr>
          <w:spacing w:val="-6"/>
          <w:sz w:val="16"/>
        </w:rPr>
        <w:t> </w:t>
      </w:r>
      <w:r>
        <w:rPr>
          <w:sz w:val="16"/>
        </w:rPr>
        <w:t>el</w:t>
      </w:r>
      <w:r>
        <w:rPr>
          <w:spacing w:val="-5"/>
          <w:sz w:val="16"/>
        </w:rPr>
        <w:t> </w:t>
      </w:r>
      <w:r>
        <w:rPr>
          <w:sz w:val="16"/>
        </w:rPr>
        <w:t>marco</w:t>
      </w:r>
      <w:r>
        <w:rPr>
          <w:spacing w:val="-7"/>
          <w:sz w:val="16"/>
        </w:rPr>
        <w:t> </w:t>
      </w:r>
      <w:r>
        <w:rPr>
          <w:sz w:val="16"/>
        </w:rPr>
        <w:t>de</w:t>
      </w:r>
      <w:r>
        <w:rPr>
          <w:spacing w:val="-7"/>
          <w:sz w:val="16"/>
        </w:rPr>
        <w:t> </w:t>
      </w:r>
      <w:r>
        <w:rPr>
          <w:sz w:val="16"/>
        </w:rPr>
        <w:t>su</w:t>
      </w:r>
      <w:r>
        <w:rPr>
          <w:spacing w:val="-6"/>
          <w:sz w:val="16"/>
        </w:rPr>
        <w:t> </w:t>
      </w:r>
      <w:r>
        <w:rPr>
          <w:sz w:val="16"/>
        </w:rPr>
        <w:t>exposición</w:t>
      </w:r>
      <w:r>
        <w:rPr>
          <w:spacing w:val="-8"/>
          <w:sz w:val="16"/>
        </w:rPr>
        <w:t> </w:t>
      </w:r>
      <w:r>
        <w:rPr>
          <w:sz w:val="16"/>
        </w:rPr>
        <w:t>sobre</w:t>
      </w:r>
      <w:r>
        <w:rPr>
          <w:spacing w:val="-5"/>
          <w:sz w:val="16"/>
        </w:rPr>
        <w:t> </w:t>
      </w:r>
      <w:r>
        <w:rPr>
          <w:sz w:val="16"/>
        </w:rPr>
        <w:t>hechos</w:t>
      </w:r>
      <w:r>
        <w:rPr>
          <w:spacing w:val="-7"/>
          <w:sz w:val="16"/>
        </w:rPr>
        <w:t> </w:t>
      </w:r>
      <w:r>
        <w:rPr>
          <w:sz w:val="16"/>
        </w:rPr>
        <w:t>de</w:t>
      </w:r>
      <w:r>
        <w:rPr>
          <w:spacing w:val="-5"/>
          <w:sz w:val="16"/>
        </w:rPr>
        <w:t> </w:t>
      </w:r>
      <w:r>
        <w:rPr>
          <w:sz w:val="16"/>
        </w:rPr>
        <w:t>“[c]onstrucción</w:t>
      </w:r>
      <w:r>
        <w:rPr>
          <w:spacing w:val="-6"/>
          <w:sz w:val="16"/>
        </w:rPr>
        <w:t> </w:t>
      </w:r>
      <w:r>
        <w:rPr>
          <w:sz w:val="16"/>
        </w:rPr>
        <w:t>y</w:t>
      </w:r>
      <w:r>
        <w:rPr>
          <w:spacing w:val="-7"/>
          <w:sz w:val="16"/>
        </w:rPr>
        <w:t> </w:t>
      </w:r>
      <w:r>
        <w:rPr>
          <w:sz w:val="16"/>
        </w:rPr>
        <w:t>ensanchamiento</w:t>
      </w:r>
      <w:r>
        <w:rPr>
          <w:spacing w:val="-7"/>
          <w:sz w:val="16"/>
        </w:rPr>
        <w:t> </w:t>
      </w:r>
      <w:r>
        <w:rPr>
          <w:sz w:val="16"/>
        </w:rPr>
        <w:t>de</w:t>
      </w:r>
      <w:r>
        <w:rPr>
          <w:spacing w:val="-7"/>
          <w:sz w:val="16"/>
        </w:rPr>
        <w:t> </w:t>
      </w:r>
      <w:r>
        <w:rPr>
          <w:sz w:val="16"/>
        </w:rPr>
        <w:t>rutas</w:t>
      </w:r>
      <w:r>
        <w:rPr>
          <w:spacing w:val="-7"/>
          <w:sz w:val="16"/>
        </w:rPr>
        <w:t> </w:t>
      </w:r>
      <w:r>
        <w:rPr>
          <w:sz w:val="16"/>
        </w:rPr>
        <w:t>públicas</w:t>
      </w:r>
      <w:r>
        <w:rPr>
          <w:spacing w:val="-8"/>
          <w:sz w:val="16"/>
        </w:rPr>
        <w:t> </w:t>
      </w:r>
      <w:r>
        <w:rPr>
          <w:sz w:val="16"/>
        </w:rPr>
        <w:t>en</w:t>
      </w:r>
      <w:r>
        <w:rPr>
          <w:w w:val="100"/>
          <w:sz w:val="16"/>
        </w:rPr>
        <w:t> </w:t>
      </w:r>
      <w:r>
        <w:rPr>
          <w:sz w:val="16"/>
        </w:rPr>
        <w:t>el área en disputa”, en el párrafo 137 del Informe de Fondo la Comisión mencionó que en julio de 2001 </w:t>
      </w:r>
      <w:r>
        <w:rPr>
          <w:spacing w:val="-3"/>
          <w:sz w:val="16"/>
        </w:rPr>
        <w:t>se </w:t>
      </w:r>
      <w:r>
        <w:rPr>
          <w:sz w:val="16"/>
        </w:rPr>
        <w:t>había “comenzado el enripiado de un camino”. En su escrito de solicitudes y argumentos, los representantes no hicieron mención a ello en relación con la ruta nacional 86. Sobre esa ruta, no presentaron detalles sobre sus</w:t>
      </w:r>
      <w:r>
        <w:rPr>
          <w:spacing w:val="-12"/>
          <w:sz w:val="16"/>
        </w:rPr>
        <w:t> </w:t>
      </w:r>
      <w:r>
        <w:rPr>
          <w:sz w:val="16"/>
        </w:rPr>
        <w:t>presuntos</w:t>
      </w:r>
      <w:r>
        <w:rPr>
          <w:spacing w:val="-12"/>
          <w:sz w:val="16"/>
        </w:rPr>
        <w:t> </w:t>
      </w:r>
      <w:r>
        <w:rPr>
          <w:sz w:val="16"/>
        </w:rPr>
        <w:t>avances,</w:t>
      </w:r>
      <w:r>
        <w:rPr>
          <w:spacing w:val="-15"/>
          <w:sz w:val="16"/>
        </w:rPr>
        <w:t> </w:t>
      </w:r>
      <w:r>
        <w:rPr>
          <w:sz w:val="16"/>
        </w:rPr>
        <w:t>sino</w:t>
      </w:r>
      <w:r>
        <w:rPr>
          <w:spacing w:val="-14"/>
          <w:sz w:val="16"/>
        </w:rPr>
        <w:t> </w:t>
      </w:r>
      <w:r>
        <w:rPr>
          <w:sz w:val="16"/>
        </w:rPr>
        <w:t>solo</w:t>
      </w:r>
      <w:r>
        <w:rPr>
          <w:spacing w:val="-11"/>
          <w:sz w:val="16"/>
        </w:rPr>
        <w:t> </w:t>
      </w:r>
      <w:r>
        <w:rPr>
          <w:sz w:val="16"/>
        </w:rPr>
        <w:t>que</w:t>
      </w:r>
      <w:r>
        <w:rPr>
          <w:spacing w:val="-14"/>
          <w:sz w:val="16"/>
        </w:rPr>
        <w:t> </w:t>
      </w:r>
      <w:r>
        <w:rPr>
          <w:sz w:val="16"/>
        </w:rPr>
        <w:t>se</w:t>
      </w:r>
      <w:r>
        <w:rPr>
          <w:spacing w:val="-14"/>
          <w:sz w:val="16"/>
        </w:rPr>
        <w:t> </w:t>
      </w:r>
      <w:r>
        <w:rPr>
          <w:sz w:val="16"/>
        </w:rPr>
        <w:t>solicitó</w:t>
      </w:r>
      <w:r>
        <w:rPr>
          <w:spacing w:val="-14"/>
          <w:sz w:val="16"/>
        </w:rPr>
        <w:t> </w:t>
      </w:r>
      <w:r>
        <w:rPr>
          <w:sz w:val="16"/>
        </w:rPr>
        <w:t>el</w:t>
      </w:r>
      <w:r>
        <w:rPr>
          <w:spacing w:val="-13"/>
          <w:sz w:val="16"/>
        </w:rPr>
        <w:t> </w:t>
      </w:r>
      <w:r>
        <w:rPr>
          <w:sz w:val="16"/>
        </w:rPr>
        <w:t>cese</w:t>
      </w:r>
      <w:r>
        <w:rPr>
          <w:spacing w:val="-14"/>
          <w:sz w:val="16"/>
        </w:rPr>
        <w:t> </w:t>
      </w:r>
      <w:r>
        <w:rPr>
          <w:sz w:val="16"/>
        </w:rPr>
        <w:t>y</w:t>
      </w:r>
      <w:r>
        <w:rPr>
          <w:spacing w:val="-14"/>
          <w:sz w:val="16"/>
        </w:rPr>
        <w:t> </w:t>
      </w:r>
      <w:r>
        <w:rPr>
          <w:sz w:val="16"/>
        </w:rPr>
        <w:t>que</w:t>
      </w:r>
      <w:r>
        <w:rPr>
          <w:spacing w:val="-14"/>
          <w:sz w:val="16"/>
        </w:rPr>
        <w:t> </w:t>
      </w:r>
      <w:r>
        <w:rPr>
          <w:sz w:val="16"/>
        </w:rPr>
        <w:t>el</w:t>
      </w:r>
      <w:r>
        <w:rPr>
          <w:spacing w:val="-13"/>
          <w:sz w:val="16"/>
        </w:rPr>
        <w:t> </w:t>
      </w:r>
      <w:r>
        <w:rPr>
          <w:sz w:val="16"/>
        </w:rPr>
        <w:t>avance</w:t>
      </w:r>
      <w:r>
        <w:rPr>
          <w:spacing w:val="-17"/>
          <w:sz w:val="16"/>
        </w:rPr>
        <w:t> </w:t>
      </w:r>
      <w:r>
        <w:rPr>
          <w:sz w:val="16"/>
        </w:rPr>
        <w:t>de</w:t>
      </w:r>
      <w:r>
        <w:rPr>
          <w:spacing w:val="-14"/>
          <w:sz w:val="16"/>
        </w:rPr>
        <w:t> </w:t>
      </w:r>
      <w:r>
        <w:rPr>
          <w:sz w:val="16"/>
        </w:rPr>
        <w:t>la</w:t>
      </w:r>
      <w:r>
        <w:rPr>
          <w:spacing w:val="-13"/>
          <w:sz w:val="16"/>
        </w:rPr>
        <w:t> </w:t>
      </w:r>
      <w:r>
        <w:rPr>
          <w:sz w:val="16"/>
        </w:rPr>
        <w:t>obra</w:t>
      </w:r>
      <w:r>
        <w:rPr>
          <w:spacing w:val="-15"/>
          <w:sz w:val="16"/>
        </w:rPr>
        <w:t> </w:t>
      </w:r>
      <w:r>
        <w:rPr>
          <w:sz w:val="16"/>
        </w:rPr>
        <w:t>se</w:t>
      </w:r>
      <w:r>
        <w:rPr>
          <w:spacing w:val="-14"/>
          <w:sz w:val="16"/>
        </w:rPr>
        <w:t> </w:t>
      </w:r>
      <w:r>
        <w:rPr>
          <w:sz w:val="16"/>
        </w:rPr>
        <w:t>detuvo.</w:t>
      </w:r>
      <w:r>
        <w:rPr>
          <w:spacing w:val="-13"/>
          <w:sz w:val="16"/>
        </w:rPr>
        <w:t> </w:t>
      </w:r>
      <w:r>
        <w:rPr>
          <w:sz w:val="16"/>
        </w:rPr>
        <w:t>La</w:t>
      </w:r>
      <w:r>
        <w:rPr>
          <w:spacing w:val="-15"/>
          <w:sz w:val="16"/>
        </w:rPr>
        <w:t> </w:t>
      </w:r>
      <w:r>
        <w:rPr>
          <w:sz w:val="16"/>
        </w:rPr>
        <w:t>Corte</w:t>
      </w:r>
      <w:r>
        <w:rPr>
          <w:spacing w:val="-14"/>
          <w:sz w:val="16"/>
        </w:rPr>
        <w:t> </w:t>
      </w:r>
      <w:r>
        <w:rPr>
          <w:sz w:val="16"/>
        </w:rPr>
        <w:t>considera los indicados señalamientos de la Comisión y los representantes como insuficientes para entender que hubo actos de concreción relevantes del proyecto de realización de tramos de la ruta nacional 86 y, en general, considera que carece de elementos suficientes para evaluar aspectos relativos a dicha obra o</w:t>
      </w:r>
      <w:r>
        <w:rPr>
          <w:spacing w:val="-33"/>
          <w:sz w:val="16"/>
        </w:rPr>
        <w:t> </w:t>
      </w:r>
      <w:r>
        <w:rPr>
          <w:sz w:val="16"/>
        </w:rPr>
        <w:t>proyecto.</w:t>
      </w:r>
    </w:p>
    <w:p>
      <w:pPr>
        <w:pStyle w:val="BodyText"/>
        <w:spacing w:before="11"/>
        <w:rPr>
          <w:sz w:val="15"/>
        </w:rPr>
      </w:pPr>
    </w:p>
    <w:p>
      <w:pPr>
        <w:tabs>
          <w:tab w:pos="829" w:val="left" w:leader="none"/>
        </w:tabs>
        <w:spacing w:before="0"/>
        <w:ind w:left="122" w:right="115" w:firstLine="0"/>
        <w:jc w:val="both"/>
        <w:rPr>
          <w:sz w:val="16"/>
        </w:rPr>
      </w:pPr>
      <w:r>
        <w:rPr>
          <w:position w:val="6"/>
          <w:sz w:val="10"/>
        </w:rPr>
        <w:t>166</w:t>
        <w:tab/>
      </w:r>
      <w:r>
        <w:rPr>
          <w:sz w:val="16"/>
        </w:rPr>
        <w:t>Si bien los representantes indicaron que las actividades de exploración habían comenzado </w:t>
      </w:r>
      <w:r>
        <w:rPr>
          <w:spacing w:val="6"/>
          <w:sz w:val="16"/>
        </w:rPr>
        <w:t> </w:t>
      </w:r>
      <w:r>
        <w:rPr>
          <w:sz w:val="16"/>
        </w:rPr>
        <w:t>en</w:t>
      </w:r>
      <w:r>
        <w:rPr>
          <w:spacing w:val="3"/>
          <w:sz w:val="16"/>
        </w:rPr>
        <w:t> </w:t>
      </w:r>
      <w:r>
        <w:rPr>
          <w:sz w:val="16"/>
        </w:rPr>
        <w:t>2001,</w:t>
      </w:r>
      <w:r>
        <w:rPr>
          <w:w w:val="100"/>
          <w:sz w:val="16"/>
        </w:rPr>
        <w:t> </w:t>
      </w:r>
      <w:r>
        <w:rPr>
          <w:sz w:val="16"/>
        </w:rPr>
        <w:t>no</w:t>
      </w:r>
      <w:r>
        <w:rPr>
          <w:spacing w:val="-8"/>
          <w:sz w:val="16"/>
        </w:rPr>
        <w:t> </w:t>
      </w:r>
      <w:r>
        <w:rPr>
          <w:sz w:val="16"/>
        </w:rPr>
        <w:t>efectuaron</w:t>
      </w:r>
      <w:r>
        <w:rPr>
          <w:spacing w:val="-9"/>
          <w:sz w:val="16"/>
        </w:rPr>
        <w:t> </w:t>
      </w:r>
      <w:r>
        <w:rPr>
          <w:sz w:val="16"/>
        </w:rPr>
        <w:t>precisiones</w:t>
      </w:r>
      <w:r>
        <w:rPr>
          <w:spacing w:val="-8"/>
          <w:sz w:val="16"/>
        </w:rPr>
        <w:t> </w:t>
      </w:r>
      <w:r>
        <w:rPr>
          <w:sz w:val="16"/>
        </w:rPr>
        <w:t>respecto</w:t>
      </w:r>
      <w:r>
        <w:rPr>
          <w:spacing w:val="-8"/>
          <w:sz w:val="16"/>
        </w:rPr>
        <w:t> </w:t>
      </w:r>
      <w:r>
        <w:rPr>
          <w:sz w:val="16"/>
        </w:rPr>
        <w:t>a</w:t>
      </w:r>
      <w:r>
        <w:rPr>
          <w:spacing w:val="-9"/>
          <w:sz w:val="16"/>
        </w:rPr>
        <w:t> </w:t>
      </w:r>
      <w:r>
        <w:rPr>
          <w:sz w:val="16"/>
        </w:rPr>
        <w:t>la</w:t>
      </w:r>
      <w:r>
        <w:rPr>
          <w:spacing w:val="-9"/>
          <w:sz w:val="16"/>
        </w:rPr>
        <w:t> </w:t>
      </w:r>
      <w:r>
        <w:rPr>
          <w:sz w:val="16"/>
        </w:rPr>
        <w:t>zona,</w:t>
      </w:r>
      <w:r>
        <w:rPr>
          <w:spacing w:val="-9"/>
          <w:sz w:val="16"/>
        </w:rPr>
        <w:t> </w:t>
      </w:r>
      <w:r>
        <w:rPr>
          <w:sz w:val="16"/>
        </w:rPr>
        <w:t>y</w:t>
      </w:r>
      <w:r>
        <w:rPr>
          <w:spacing w:val="-8"/>
          <w:sz w:val="16"/>
        </w:rPr>
        <w:t> </w:t>
      </w:r>
      <w:r>
        <w:rPr>
          <w:sz w:val="16"/>
        </w:rPr>
        <w:t>surge</w:t>
      </w:r>
      <w:r>
        <w:rPr>
          <w:spacing w:val="-11"/>
          <w:sz w:val="16"/>
        </w:rPr>
        <w:t> </w:t>
      </w:r>
      <w:r>
        <w:rPr>
          <w:sz w:val="16"/>
        </w:rPr>
        <w:t>de</w:t>
      </w:r>
      <w:r>
        <w:rPr>
          <w:spacing w:val="-11"/>
          <w:sz w:val="16"/>
        </w:rPr>
        <w:t> </w:t>
      </w:r>
      <w:r>
        <w:rPr>
          <w:sz w:val="16"/>
        </w:rPr>
        <w:t>señalamientos</w:t>
      </w:r>
      <w:r>
        <w:rPr>
          <w:spacing w:val="-8"/>
          <w:sz w:val="16"/>
        </w:rPr>
        <w:t> </w:t>
      </w:r>
      <w:r>
        <w:rPr>
          <w:sz w:val="16"/>
        </w:rPr>
        <w:t>estatales</w:t>
      </w:r>
      <w:r>
        <w:rPr>
          <w:spacing w:val="-8"/>
          <w:sz w:val="16"/>
        </w:rPr>
        <w:t> </w:t>
      </w:r>
      <w:r>
        <w:rPr>
          <w:sz w:val="16"/>
        </w:rPr>
        <w:t>que</w:t>
      </w:r>
      <w:r>
        <w:rPr>
          <w:spacing w:val="-10"/>
          <w:sz w:val="16"/>
        </w:rPr>
        <w:t> </w:t>
      </w:r>
      <w:r>
        <w:rPr>
          <w:sz w:val="16"/>
        </w:rPr>
        <w:t>“[n]o</w:t>
      </w:r>
      <w:r>
        <w:rPr>
          <w:spacing w:val="-8"/>
          <w:sz w:val="16"/>
        </w:rPr>
        <w:t> </w:t>
      </w:r>
      <w:r>
        <w:rPr>
          <w:sz w:val="16"/>
        </w:rPr>
        <w:t>se</w:t>
      </w:r>
      <w:r>
        <w:rPr>
          <w:spacing w:val="-10"/>
          <w:sz w:val="16"/>
        </w:rPr>
        <w:t> </w:t>
      </w:r>
      <w:r>
        <w:rPr>
          <w:sz w:val="16"/>
        </w:rPr>
        <w:t>inició</w:t>
      </w:r>
      <w:r>
        <w:rPr>
          <w:spacing w:val="-8"/>
          <w:sz w:val="16"/>
        </w:rPr>
        <w:t> </w:t>
      </w:r>
      <w:r>
        <w:rPr>
          <w:sz w:val="16"/>
        </w:rPr>
        <w:t>el</w:t>
      </w:r>
      <w:r>
        <w:rPr>
          <w:spacing w:val="-9"/>
          <w:sz w:val="16"/>
        </w:rPr>
        <w:t> </w:t>
      </w:r>
      <w:r>
        <w:rPr>
          <w:sz w:val="16"/>
        </w:rPr>
        <w:t>proceso de</w:t>
      </w:r>
      <w:r>
        <w:rPr>
          <w:spacing w:val="-9"/>
          <w:sz w:val="16"/>
        </w:rPr>
        <w:t> </w:t>
      </w:r>
      <w:r>
        <w:rPr>
          <w:sz w:val="16"/>
        </w:rPr>
        <w:t>exploración</w:t>
      </w:r>
      <w:r>
        <w:rPr>
          <w:spacing w:val="-10"/>
          <w:sz w:val="16"/>
        </w:rPr>
        <w:t> </w:t>
      </w:r>
      <w:r>
        <w:rPr>
          <w:sz w:val="16"/>
        </w:rPr>
        <w:t>en</w:t>
      </w:r>
      <w:r>
        <w:rPr>
          <w:spacing w:val="-10"/>
          <w:sz w:val="16"/>
        </w:rPr>
        <w:t> </w:t>
      </w:r>
      <w:r>
        <w:rPr>
          <w:sz w:val="16"/>
        </w:rPr>
        <w:t>el</w:t>
      </w:r>
      <w:r>
        <w:rPr>
          <w:spacing w:val="-8"/>
          <w:sz w:val="16"/>
        </w:rPr>
        <w:t> </w:t>
      </w:r>
      <w:r>
        <w:rPr>
          <w:sz w:val="16"/>
        </w:rPr>
        <w:t>territorio</w:t>
      </w:r>
      <w:r>
        <w:rPr>
          <w:spacing w:val="-11"/>
          <w:sz w:val="16"/>
        </w:rPr>
        <w:t> </w:t>
      </w:r>
      <w:r>
        <w:rPr>
          <w:sz w:val="16"/>
        </w:rPr>
        <w:t>de</w:t>
      </w:r>
      <w:r>
        <w:rPr>
          <w:spacing w:val="-7"/>
          <w:sz w:val="16"/>
        </w:rPr>
        <w:t> </w:t>
      </w:r>
      <w:r>
        <w:rPr>
          <w:sz w:val="16"/>
        </w:rPr>
        <w:t>las</w:t>
      </w:r>
      <w:r>
        <w:rPr>
          <w:spacing w:val="-10"/>
          <w:sz w:val="16"/>
        </w:rPr>
        <w:t> </w:t>
      </w:r>
      <w:r>
        <w:rPr>
          <w:sz w:val="16"/>
        </w:rPr>
        <w:t>comunidades”.</w:t>
      </w:r>
      <w:r>
        <w:rPr>
          <w:spacing w:val="-11"/>
          <w:sz w:val="16"/>
        </w:rPr>
        <w:t> </w:t>
      </w:r>
      <w:r>
        <w:rPr>
          <w:sz w:val="16"/>
        </w:rPr>
        <w:t>Además</w:t>
      </w:r>
      <w:r>
        <w:rPr>
          <w:spacing w:val="-12"/>
          <w:sz w:val="16"/>
        </w:rPr>
        <w:t> </w:t>
      </w:r>
      <w:r>
        <w:rPr>
          <w:sz w:val="16"/>
        </w:rPr>
        <w:t>la</w:t>
      </w:r>
      <w:r>
        <w:rPr>
          <w:spacing w:val="-8"/>
          <w:sz w:val="16"/>
        </w:rPr>
        <w:t> </w:t>
      </w:r>
      <w:r>
        <w:rPr>
          <w:sz w:val="16"/>
        </w:rPr>
        <w:t>Corte</w:t>
      </w:r>
      <w:r>
        <w:rPr>
          <w:spacing w:val="-10"/>
          <w:sz w:val="16"/>
        </w:rPr>
        <w:t> </w:t>
      </w:r>
      <w:r>
        <w:rPr>
          <w:sz w:val="16"/>
        </w:rPr>
        <w:t>nota</w:t>
      </w:r>
      <w:r>
        <w:rPr>
          <w:spacing w:val="-10"/>
          <w:sz w:val="16"/>
        </w:rPr>
        <w:t> </w:t>
      </w:r>
      <w:r>
        <w:rPr>
          <w:sz w:val="16"/>
        </w:rPr>
        <w:t>que</w:t>
      </w:r>
      <w:r>
        <w:rPr>
          <w:spacing w:val="-10"/>
          <w:sz w:val="16"/>
        </w:rPr>
        <w:t> </w:t>
      </w:r>
      <w:r>
        <w:rPr>
          <w:sz w:val="16"/>
        </w:rPr>
        <w:t>el</w:t>
      </w:r>
      <w:r>
        <w:rPr>
          <w:spacing w:val="-10"/>
          <w:sz w:val="16"/>
        </w:rPr>
        <w:t> </w:t>
      </w:r>
      <w:r>
        <w:rPr>
          <w:sz w:val="16"/>
        </w:rPr>
        <w:t>Estado,</w:t>
      </w:r>
      <w:r>
        <w:rPr>
          <w:spacing w:val="-11"/>
          <w:sz w:val="16"/>
        </w:rPr>
        <w:t> </w:t>
      </w:r>
      <w:r>
        <w:rPr>
          <w:sz w:val="16"/>
        </w:rPr>
        <w:t>luego</w:t>
      </w:r>
      <w:r>
        <w:rPr>
          <w:spacing w:val="-5"/>
          <w:sz w:val="16"/>
        </w:rPr>
        <w:t> </w:t>
      </w:r>
      <w:r>
        <w:rPr>
          <w:sz w:val="16"/>
        </w:rPr>
        <w:t>de</w:t>
      </w:r>
      <w:r>
        <w:rPr>
          <w:spacing w:val="-10"/>
          <w:sz w:val="16"/>
        </w:rPr>
        <w:t> </w:t>
      </w:r>
      <w:r>
        <w:rPr>
          <w:sz w:val="16"/>
        </w:rPr>
        <w:t>una</w:t>
      </w:r>
      <w:r>
        <w:rPr>
          <w:spacing w:val="-8"/>
          <w:sz w:val="16"/>
        </w:rPr>
        <w:t> </w:t>
      </w:r>
      <w:r>
        <w:rPr>
          <w:sz w:val="16"/>
        </w:rPr>
        <w:t>solicitud de los representantes, decidió trasladar los trabajos fuera del territorio indígena, lo que fue indicado por los propios</w:t>
      </w:r>
      <w:r>
        <w:rPr>
          <w:spacing w:val="-7"/>
          <w:sz w:val="16"/>
        </w:rPr>
        <w:t> </w:t>
      </w:r>
      <w:r>
        <w:rPr>
          <w:sz w:val="16"/>
        </w:rPr>
        <w:t>representantes.</w:t>
      </w:r>
    </w:p>
    <w:p>
      <w:pPr>
        <w:pStyle w:val="BodyText"/>
        <w:spacing w:before="11"/>
        <w:rPr>
          <w:sz w:val="15"/>
        </w:rPr>
      </w:pPr>
    </w:p>
    <w:p>
      <w:pPr>
        <w:tabs>
          <w:tab w:pos="829" w:val="left" w:leader="none"/>
        </w:tabs>
        <w:spacing w:before="0"/>
        <w:ind w:left="122" w:right="0" w:firstLine="0"/>
        <w:jc w:val="both"/>
        <w:rPr>
          <w:sz w:val="16"/>
        </w:rPr>
      </w:pPr>
      <w:r>
        <w:rPr>
          <w:position w:val="6"/>
          <w:sz w:val="10"/>
        </w:rPr>
        <w:t>167</w:t>
        <w:tab/>
      </w:r>
      <w:r>
        <w:rPr>
          <w:i/>
          <w:sz w:val="16"/>
        </w:rPr>
        <w:t>Cfr.</w:t>
      </w:r>
      <w:r>
        <w:rPr>
          <w:i/>
          <w:spacing w:val="-11"/>
          <w:sz w:val="16"/>
        </w:rPr>
        <w:t> </w:t>
      </w:r>
      <w:r>
        <w:rPr>
          <w:sz w:val="16"/>
        </w:rPr>
        <w:t>Nota</w:t>
      </w:r>
      <w:r>
        <w:rPr>
          <w:spacing w:val="-11"/>
          <w:sz w:val="16"/>
        </w:rPr>
        <w:t> </w:t>
      </w:r>
      <w:r>
        <w:rPr>
          <w:sz w:val="16"/>
        </w:rPr>
        <w:t>a</w:t>
      </w:r>
      <w:r>
        <w:rPr>
          <w:spacing w:val="-14"/>
          <w:sz w:val="16"/>
        </w:rPr>
        <w:t> </w:t>
      </w:r>
      <w:r>
        <w:rPr>
          <w:sz w:val="16"/>
        </w:rPr>
        <w:t>Cancillería</w:t>
      </w:r>
      <w:r>
        <w:rPr>
          <w:spacing w:val="-14"/>
          <w:sz w:val="16"/>
        </w:rPr>
        <w:t> </w:t>
      </w:r>
      <w:r>
        <w:rPr>
          <w:sz w:val="16"/>
        </w:rPr>
        <w:t>y</w:t>
      </w:r>
      <w:r>
        <w:rPr>
          <w:spacing w:val="-12"/>
          <w:sz w:val="16"/>
        </w:rPr>
        <w:t> </w:t>
      </w:r>
      <w:r>
        <w:rPr>
          <w:sz w:val="16"/>
        </w:rPr>
        <w:t>al</w:t>
      </w:r>
      <w:r>
        <w:rPr>
          <w:spacing w:val="-14"/>
          <w:sz w:val="16"/>
        </w:rPr>
        <w:t> </w:t>
      </w:r>
      <w:r>
        <w:rPr>
          <w:sz w:val="16"/>
        </w:rPr>
        <w:t>Gobernador</w:t>
      </w:r>
      <w:r>
        <w:rPr>
          <w:spacing w:val="-12"/>
          <w:sz w:val="16"/>
        </w:rPr>
        <w:t> </w:t>
      </w:r>
      <w:r>
        <w:rPr>
          <w:sz w:val="16"/>
        </w:rPr>
        <w:t>de</w:t>
      </w:r>
      <w:r>
        <w:rPr>
          <w:spacing w:val="-13"/>
          <w:sz w:val="16"/>
        </w:rPr>
        <w:t> </w:t>
      </w:r>
      <w:r>
        <w:rPr>
          <w:sz w:val="16"/>
        </w:rPr>
        <w:t>Salta</w:t>
      </w:r>
      <w:r>
        <w:rPr>
          <w:spacing w:val="-11"/>
          <w:sz w:val="16"/>
        </w:rPr>
        <w:t> </w:t>
      </w:r>
      <w:r>
        <w:rPr>
          <w:sz w:val="16"/>
        </w:rPr>
        <w:t>de</w:t>
      </w:r>
      <w:r>
        <w:rPr>
          <w:spacing w:val="-13"/>
          <w:sz w:val="16"/>
        </w:rPr>
        <w:t> </w:t>
      </w:r>
      <w:r>
        <w:rPr>
          <w:sz w:val="16"/>
        </w:rPr>
        <w:t>8</w:t>
      </w:r>
      <w:r>
        <w:rPr>
          <w:spacing w:val="-12"/>
          <w:sz w:val="16"/>
        </w:rPr>
        <w:t> </w:t>
      </w:r>
      <w:r>
        <w:rPr>
          <w:sz w:val="16"/>
        </w:rPr>
        <w:t>de</w:t>
      </w:r>
      <w:r>
        <w:rPr>
          <w:spacing w:val="-13"/>
          <w:sz w:val="16"/>
        </w:rPr>
        <w:t> </w:t>
      </w:r>
      <w:r>
        <w:rPr>
          <w:sz w:val="16"/>
        </w:rPr>
        <w:t>febrero</w:t>
      </w:r>
      <w:r>
        <w:rPr>
          <w:spacing w:val="-12"/>
          <w:sz w:val="16"/>
        </w:rPr>
        <w:t> </w:t>
      </w:r>
      <w:r>
        <w:rPr>
          <w:sz w:val="16"/>
        </w:rPr>
        <w:t>de</w:t>
      </w:r>
      <w:r>
        <w:rPr>
          <w:spacing w:val="-13"/>
          <w:sz w:val="16"/>
        </w:rPr>
        <w:t> </w:t>
      </w:r>
      <w:r>
        <w:rPr>
          <w:sz w:val="16"/>
        </w:rPr>
        <w:t>2005.</w:t>
      </w:r>
      <w:r>
        <w:rPr>
          <w:spacing w:val="-12"/>
          <w:sz w:val="16"/>
        </w:rPr>
        <w:t> </w:t>
      </w:r>
      <w:r>
        <w:rPr>
          <w:sz w:val="16"/>
        </w:rPr>
        <w:t>Expediente</w:t>
      </w:r>
      <w:r>
        <w:rPr>
          <w:spacing w:val="-13"/>
          <w:sz w:val="16"/>
        </w:rPr>
        <w:t> </w:t>
      </w:r>
      <w:r>
        <w:rPr>
          <w:sz w:val="16"/>
        </w:rPr>
        <w:t>de</w:t>
      </w:r>
      <w:r>
        <w:rPr>
          <w:spacing w:val="-13"/>
          <w:sz w:val="16"/>
        </w:rPr>
        <w:t> </w:t>
      </w:r>
      <w:r>
        <w:rPr>
          <w:sz w:val="16"/>
        </w:rPr>
        <w:t>prueba,</w:t>
      </w:r>
      <w:r>
        <w:rPr>
          <w:spacing w:val="-9"/>
          <w:sz w:val="16"/>
        </w:rPr>
        <w:t> </w:t>
      </w:r>
      <w:r>
        <w:rPr>
          <w:sz w:val="16"/>
        </w:rPr>
        <w:t>anexo</w:t>
      </w:r>
    </w:p>
    <w:p>
      <w:pPr>
        <w:spacing w:before="0"/>
        <w:ind w:left="122" w:right="0" w:firstLine="0"/>
        <w:jc w:val="both"/>
        <w:rPr>
          <w:sz w:val="16"/>
        </w:rPr>
      </w:pPr>
      <w:r>
        <w:rPr>
          <w:sz w:val="16"/>
        </w:rPr>
        <w:t>I.18 al escrito de solicitudes y argumentos, fs. 32.008 a 32.010.</w:t>
      </w:r>
    </w:p>
    <w:p>
      <w:pPr>
        <w:pStyle w:val="BodyText"/>
        <w:rPr>
          <w:sz w:val="16"/>
        </w:rPr>
      </w:pPr>
    </w:p>
    <w:p>
      <w:pPr>
        <w:tabs>
          <w:tab w:pos="829" w:val="left" w:leader="none"/>
        </w:tabs>
        <w:spacing w:before="0"/>
        <w:ind w:left="122" w:right="119" w:firstLine="0"/>
        <w:jc w:val="both"/>
        <w:rPr>
          <w:sz w:val="16"/>
        </w:rPr>
      </w:pPr>
      <w:r>
        <w:rPr>
          <w:position w:val="6"/>
          <w:sz w:val="10"/>
        </w:rPr>
        <w:t>168</w:t>
        <w:tab/>
      </w:r>
      <w:r>
        <w:rPr>
          <w:i/>
          <w:sz w:val="16"/>
        </w:rPr>
        <w:t>Cfr.</w:t>
      </w:r>
      <w:r>
        <w:rPr>
          <w:i/>
          <w:spacing w:val="-3"/>
          <w:sz w:val="16"/>
        </w:rPr>
        <w:t> </w:t>
      </w:r>
      <w:r>
        <w:rPr>
          <w:sz w:val="16"/>
        </w:rPr>
        <w:t>Nota</w:t>
      </w:r>
      <w:r>
        <w:rPr>
          <w:spacing w:val="-3"/>
          <w:sz w:val="16"/>
        </w:rPr>
        <w:t> </w:t>
      </w:r>
      <w:r>
        <w:rPr>
          <w:sz w:val="16"/>
        </w:rPr>
        <w:t>a</w:t>
      </w:r>
      <w:r>
        <w:rPr>
          <w:spacing w:val="-6"/>
          <w:sz w:val="16"/>
        </w:rPr>
        <w:t> </w:t>
      </w:r>
      <w:r>
        <w:rPr>
          <w:sz w:val="16"/>
        </w:rPr>
        <w:t>la</w:t>
      </w:r>
      <w:r>
        <w:rPr>
          <w:spacing w:val="-6"/>
          <w:sz w:val="16"/>
        </w:rPr>
        <w:t> </w:t>
      </w:r>
      <w:r>
        <w:rPr>
          <w:sz w:val="16"/>
        </w:rPr>
        <w:t>Secretaría</w:t>
      </w:r>
      <w:r>
        <w:rPr>
          <w:spacing w:val="-6"/>
          <w:sz w:val="16"/>
        </w:rPr>
        <w:t> </w:t>
      </w:r>
      <w:r>
        <w:rPr>
          <w:sz w:val="16"/>
        </w:rPr>
        <w:t>de</w:t>
      </w:r>
      <w:r>
        <w:rPr>
          <w:spacing w:val="-5"/>
          <w:sz w:val="16"/>
        </w:rPr>
        <w:t> </w:t>
      </w:r>
      <w:r>
        <w:rPr>
          <w:sz w:val="16"/>
        </w:rPr>
        <w:t>Derechos</w:t>
      </w:r>
      <w:r>
        <w:rPr>
          <w:spacing w:val="-5"/>
          <w:sz w:val="16"/>
        </w:rPr>
        <w:t> </w:t>
      </w:r>
      <w:r>
        <w:rPr>
          <w:sz w:val="16"/>
        </w:rPr>
        <w:t>Humanos</w:t>
      </w:r>
      <w:r>
        <w:rPr>
          <w:spacing w:val="-7"/>
          <w:sz w:val="16"/>
        </w:rPr>
        <w:t> </w:t>
      </w:r>
      <w:r>
        <w:rPr>
          <w:sz w:val="16"/>
        </w:rPr>
        <w:t>de</w:t>
      </w:r>
      <w:r>
        <w:rPr>
          <w:spacing w:val="-5"/>
          <w:sz w:val="16"/>
        </w:rPr>
        <w:t> </w:t>
      </w:r>
      <w:r>
        <w:rPr>
          <w:sz w:val="16"/>
        </w:rPr>
        <w:t>19</w:t>
      </w:r>
      <w:r>
        <w:rPr>
          <w:spacing w:val="-4"/>
          <w:sz w:val="16"/>
        </w:rPr>
        <w:t> </w:t>
      </w:r>
      <w:r>
        <w:rPr>
          <w:sz w:val="16"/>
        </w:rPr>
        <w:t>de</w:t>
      </w:r>
      <w:r>
        <w:rPr>
          <w:spacing w:val="-7"/>
          <w:sz w:val="16"/>
        </w:rPr>
        <w:t> </w:t>
      </w:r>
      <w:r>
        <w:rPr>
          <w:sz w:val="16"/>
        </w:rPr>
        <w:t>septiembre</w:t>
      </w:r>
      <w:r>
        <w:rPr>
          <w:spacing w:val="-5"/>
          <w:sz w:val="16"/>
        </w:rPr>
        <w:t> </w:t>
      </w:r>
      <w:r>
        <w:rPr>
          <w:sz w:val="16"/>
        </w:rPr>
        <w:t>de</w:t>
      </w:r>
      <w:r>
        <w:rPr>
          <w:spacing w:val="-7"/>
          <w:sz w:val="16"/>
        </w:rPr>
        <w:t> </w:t>
      </w:r>
      <w:r>
        <w:rPr>
          <w:sz w:val="16"/>
        </w:rPr>
        <w:t>2014.</w:t>
      </w:r>
      <w:r>
        <w:rPr>
          <w:spacing w:val="-6"/>
          <w:sz w:val="16"/>
        </w:rPr>
        <w:t> </w:t>
      </w:r>
      <w:r>
        <w:rPr>
          <w:sz w:val="16"/>
        </w:rPr>
        <w:t>Expediente</w:t>
      </w:r>
      <w:r>
        <w:rPr>
          <w:spacing w:val="-2"/>
          <w:sz w:val="16"/>
        </w:rPr>
        <w:t> </w:t>
      </w:r>
      <w:r>
        <w:rPr>
          <w:sz w:val="16"/>
        </w:rPr>
        <w:t>de</w:t>
      </w:r>
      <w:r>
        <w:rPr>
          <w:spacing w:val="-5"/>
          <w:sz w:val="16"/>
        </w:rPr>
        <w:t> </w:t>
      </w:r>
      <w:r>
        <w:rPr>
          <w:sz w:val="16"/>
        </w:rPr>
        <w:t>prueba,</w:t>
      </w:r>
      <w:r>
        <w:rPr>
          <w:w w:val="100"/>
          <w:sz w:val="16"/>
        </w:rPr>
        <w:t> </w:t>
      </w:r>
      <w:r>
        <w:rPr>
          <w:sz w:val="16"/>
        </w:rPr>
        <w:t>anexo I.20 al escrito de solicitudes y argumentos, fs. 32.016 y</w:t>
      </w:r>
      <w:r>
        <w:rPr>
          <w:spacing w:val="-22"/>
          <w:sz w:val="16"/>
        </w:rPr>
        <w:t> </w:t>
      </w:r>
      <w:r>
        <w:rPr>
          <w:sz w:val="16"/>
        </w:rPr>
        <w:t>32.017.</w:t>
      </w:r>
    </w:p>
    <w:p>
      <w:pPr>
        <w:pStyle w:val="BodyText"/>
        <w:spacing w:before="1"/>
        <w:rPr>
          <w:sz w:val="16"/>
        </w:rPr>
      </w:pPr>
    </w:p>
    <w:p>
      <w:pPr>
        <w:tabs>
          <w:tab w:pos="829" w:val="left" w:leader="none"/>
        </w:tabs>
        <w:spacing w:before="1"/>
        <w:ind w:left="122" w:right="122" w:firstLine="0"/>
        <w:jc w:val="both"/>
        <w:rPr>
          <w:sz w:val="16"/>
        </w:rPr>
      </w:pPr>
      <w:r>
        <w:rPr>
          <w:position w:val="6"/>
          <w:sz w:val="10"/>
        </w:rPr>
        <w:t>169</w:t>
        <w:tab/>
      </w:r>
      <w:r>
        <w:rPr>
          <w:i/>
          <w:sz w:val="16"/>
        </w:rPr>
        <w:t>Cfr. </w:t>
      </w:r>
      <w:r>
        <w:rPr>
          <w:sz w:val="16"/>
        </w:rPr>
        <w:t>Nota de la Secretaría General de Gobernación al Canciller de 21 de febrero de</w:t>
      </w:r>
      <w:r>
        <w:rPr>
          <w:spacing w:val="-8"/>
          <w:sz w:val="16"/>
        </w:rPr>
        <w:t> </w:t>
      </w:r>
      <w:r>
        <w:rPr>
          <w:sz w:val="16"/>
        </w:rPr>
        <w:t>2005.</w:t>
      </w:r>
      <w:r>
        <w:rPr>
          <w:spacing w:val="-4"/>
          <w:sz w:val="16"/>
        </w:rPr>
        <w:t> </w:t>
      </w:r>
      <w:r>
        <w:rPr>
          <w:sz w:val="16"/>
        </w:rPr>
        <w:t>Expediente</w:t>
      </w:r>
      <w:r>
        <w:rPr>
          <w:w w:val="100"/>
          <w:sz w:val="16"/>
        </w:rPr>
        <w:t> </w:t>
      </w:r>
      <w:r>
        <w:rPr>
          <w:sz w:val="16"/>
        </w:rPr>
        <w:t>de prueba, anexo I.19 al escrito de solicitudes y argumentos, fs. 32.012 a</w:t>
      </w:r>
      <w:r>
        <w:rPr>
          <w:spacing w:val="-29"/>
          <w:sz w:val="16"/>
        </w:rPr>
        <w:t> </w:t>
      </w:r>
      <w:r>
        <w:rPr>
          <w:sz w:val="16"/>
        </w:rPr>
        <w:t>32.014.</w:t>
      </w:r>
    </w:p>
    <w:p>
      <w:pPr>
        <w:spacing w:after="0"/>
        <w:jc w:val="both"/>
        <w:rPr>
          <w:sz w:val="16"/>
        </w:rPr>
        <w:sectPr>
          <w:pgSz w:w="12240" w:h="15840"/>
          <w:pgMar w:header="0" w:footer="1000" w:top="1340" w:bottom="1200" w:left="1580" w:right="1580"/>
        </w:sectPr>
      </w:pPr>
    </w:p>
    <w:p>
      <w:pPr>
        <w:pStyle w:val="BodyText"/>
        <w:spacing w:before="76"/>
        <w:ind w:left="122" w:right="127"/>
        <w:jc w:val="both"/>
      </w:pPr>
      <w:r>
        <w:rPr/>
        <w:t>requerirán arbitrar procesos de consulta previa. Lo contrario podría implicar un entendimiento irrazonable o excesivo de las obligaciones estatales correlativas a los derechos de consulta y participación, cuestión que debe evaluarse de acuerdo con las circunstancias particulares. En el caso, aunque los representantes mencionaron que las obras requirieron la tala de árboles, no ahondaron en la precisión sobre la magnitud de ese</w:t>
      </w:r>
      <w:r>
        <w:rPr>
          <w:spacing w:val="-19"/>
        </w:rPr>
        <w:t> </w:t>
      </w:r>
      <w:r>
        <w:rPr/>
        <w:t>impacto.</w:t>
      </w:r>
      <w:r>
        <w:rPr>
          <w:spacing w:val="-16"/>
        </w:rPr>
        <w:t> </w:t>
      </w:r>
      <w:r>
        <w:rPr/>
        <w:t>Además,</w:t>
      </w:r>
      <w:r>
        <w:rPr>
          <w:spacing w:val="-19"/>
        </w:rPr>
        <w:t> </w:t>
      </w:r>
      <w:r>
        <w:rPr/>
        <w:t>aunque</w:t>
      </w:r>
      <w:r>
        <w:rPr>
          <w:spacing w:val="-19"/>
        </w:rPr>
        <w:t> </w:t>
      </w:r>
      <w:r>
        <w:rPr/>
        <w:t>no</w:t>
      </w:r>
      <w:r>
        <w:rPr>
          <w:spacing w:val="-19"/>
        </w:rPr>
        <w:t> </w:t>
      </w:r>
      <w:r>
        <w:rPr/>
        <w:t>consta</w:t>
      </w:r>
      <w:r>
        <w:rPr>
          <w:spacing w:val="-17"/>
        </w:rPr>
        <w:t> </w:t>
      </w:r>
      <w:r>
        <w:rPr/>
        <w:t>que</w:t>
      </w:r>
      <w:r>
        <w:rPr>
          <w:spacing w:val="-19"/>
        </w:rPr>
        <w:t> </w:t>
      </w:r>
      <w:r>
        <w:rPr/>
        <w:t>las</w:t>
      </w:r>
      <w:r>
        <w:rPr>
          <w:spacing w:val="-16"/>
        </w:rPr>
        <w:t> </w:t>
      </w:r>
      <w:r>
        <w:rPr/>
        <w:t>autoridades</w:t>
      </w:r>
      <w:r>
        <w:rPr>
          <w:spacing w:val="-16"/>
        </w:rPr>
        <w:t> </w:t>
      </w:r>
      <w:r>
        <w:rPr/>
        <w:t>respondieran</w:t>
      </w:r>
      <w:r>
        <w:rPr>
          <w:spacing w:val="-16"/>
        </w:rPr>
        <w:t> </w:t>
      </w:r>
      <w:r>
        <w:rPr/>
        <w:t>puntualmente la</w:t>
      </w:r>
      <w:r>
        <w:rPr>
          <w:spacing w:val="-9"/>
        </w:rPr>
        <w:t> </w:t>
      </w:r>
      <w:r>
        <w:rPr/>
        <w:t>nota</w:t>
      </w:r>
      <w:r>
        <w:rPr>
          <w:spacing w:val="-9"/>
        </w:rPr>
        <w:t> </w:t>
      </w:r>
      <w:r>
        <w:rPr/>
        <w:t>de</w:t>
      </w:r>
      <w:r>
        <w:rPr>
          <w:spacing w:val="-10"/>
        </w:rPr>
        <w:t> </w:t>
      </w:r>
      <w:r>
        <w:rPr/>
        <w:t>los</w:t>
      </w:r>
      <w:r>
        <w:rPr>
          <w:spacing w:val="-7"/>
        </w:rPr>
        <w:t> </w:t>
      </w:r>
      <w:r>
        <w:rPr/>
        <w:t>representantes</w:t>
      </w:r>
      <w:r>
        <w:rPr>
          <w:spacing w:val="-10"/>
        </w:rPr>
        <w:t> </w:t>
      </w:r>
      <w:r>
        <w:rPr/>
        <w:t>pidiendo</w:t>
      </w:r>
      <w:r>
        <w:rPr>
          <w:spacing w:val="-8"/>
        </w:rPr>
        <w:t> </w:t>
      </w:r>
      <w:r>
        <w:rPr/>
        <w:t>información,</w:t>
      </w:r>
      <w:r>
        <w:rPr>
          <w:spacing w:val="-9"/>
        </w:rPr>
        <w:t> </w:t>
      </w:r>
      <w:r>
        <w:rPr/>
        <w:t>aquellas</w:t>
      </w:r>
      <w:r>
        <w:rPr>
          <w:spacing w:val="-7"/>
        </w:rPr>
        <w:t> </w:t>
      </w:r>
      <w:r>
        <w:rPr/>
        <w:t>manifestaron</w:t>
      </w:r>
      <w:r>
        <w:rPr>
          <w:spacing w:val="-8"/>
        </w:rPr>
        <w:t> </w:t>
      </w:r>
      <w:r>
        <w:rPr/>
        <w:t>que</w:t>
      </w:r>
      <w:r>
        <w:rPr>
          <w:spacing w:val="-10"/>
        </w:rPr>
        <w:t> </w:t>
      </w:r>
      <w:r>
        <w:rPr/>
        <w:t>las</w:t>
      </w:r>
      <w:r>
        <w:rPr>
          <w:spacing w:val="-7"/>
        </w:rPr>
        <w:t> </w:t>
      </w:r>
      <w:r>
        <w:rPr/>
        <w:t>obras se estaban haciendo “en acuerdo con los habitantes”. Si bien este último señalamiento es</w:t>
      </w:r>
      <w:r>
        <w:rPr>
          <w:spacing w:val="-16"/>
        </w:rPr>
        <w:t> </w:t>
      </w:r>
      <w:r>
        <w:rPr/>
        <w:t>insuficiente</w:t>
      </w:r>
      <w:r>
        <w:rPr>
          <w:spacing w:val="-16"/>
        </w:rPr>
        <w:t> </w:t>
      </w:r>
      <w:r>
        <w:rPr/>
        <w:t>para</w:t>
      </w:r>
      <w:r>
        <w:rPr>
          <w:spacing w:val="-15"/>
        </w:rPr>
        <w:t> </w:t>
      </w:r>
      <w:r>
        <w:rPr/>
        <w:t>dar</w:t>
      </w:r>
      <w:r>
        <w:rPr>
          <w:spacing w:val="-14"/>
        </w:rPr>
        <w:t> </w:t>
      </w:r>
      <w:r>
        <w:rPr/>
        <w:t>cuenta</w:t>
      </w:r>
      <w:r>
        <w:rPr>
          <w:spacing w:val="-15"/>
        </w:rPr>
        <w:t> </w:t>
      </w:r>
      <w:r>
        <w:rPr/>
        <w:t>de</w:t>
      </w:r>
      <w:r>
        <w:rPr>
          <w:spacing w:val="-16"/>
        </w:rPr>
        <w:t> </w:t>
      </w:r>
      <w:r>
        <w:rPr/>
        <w:t>procesos</w:t>
      </w:r>
      <w:r>
        <w:rPr>
          <w:spacing w:val="-16"/>
        </w:rPr>
        <w:t> </w:t>
      </w:r>
      <w:r>
        <w:rPr/>
        <w:t>de</w:t>
      </w:r>
      <w:r>
        <w:rPr>
          <w:spacing w:val="-16"/>
        </w:rPr>
        <w:t> </w:t>
      </w:r>
      <w:r>
        <w:rPr/>
        <w:t>consulta</w:t>
      </w:r>
      <w:r>
        <w:rPr>
          <w:spacing w:val="-15"/>
        </w:rPr>
        <w:t> </w:t>
      </w:r>
      <w:r>
        <w:rPr/>
        <w:t>que</w:t>
      </w:r>
      <w:r>
        <w:rPr>
          <w:spacing w:val="-16"/>
        </w:rPr>
        <w:t> </w:t>
      </w:r>
      <w:r>
        <w:rPr/>
        <w:t>pudieran</w:t>
      </w:r>
      <w:r>
        <w:rPr>
          <w:spacing w:val="-14"/>
        </w:rPr>
        <w:t> </w:t>
      </w:r>
      <w:r>
        <w:rPr/>
        <w:t>haberse</w:t>
      </w:r>
      <w:r>
        <w:rPr>
          <w:spacing w:val="-15"/>
        </w:rPr>
        <w:t> </w:t>
      </w:r>
      <w:r>
        <w:rPr/>
        <w:t>efectuado, también es insuficiente la información y argumentación de los representantes. A partir de ello, y teniendo en cuenta que se trató del mantenimiento o mejora de obras que</w:t>
      </w:r>
      <w:r>
        <w:rPr>
          <w:spacing w:val="-40"/>
        </w:rPr>
        <w:t> </w:t>
      </w:r>
      <w:r>
        <w:rPr/>
        <w:t>ya existían, la Corte considera que no tiene suficientes elementos para determinar una lesión al derecho de participación y consulta en perjuicio de comunidades</w:t>
      </w:r>
      <w:r>
        <w:rPr>
          <w:spacing w:val="-31"/>
        </w:rPr>
        <w:t> </w:t>
      </w:r>
      <w:r>
        <w:rPr/>
        <w:t>indígenas.</w:t>
      </w:r>
    </w:p>
    <w:p>
      <w:pPr>
        <w:pStyle w:val="BodyText"/>
        <w:spacing w:before="10"/>
        <w:rPr>
          <w:sz w:val="19"/>
        </w:rPr>
      </w:pPr>
    </w:p>
    <w:p>
      <w:pPr>
        <w:pStyle w:val="ListParagraph"/>
        <w:numPr>
          <w:ilvl w:val="2"/>
          <w:numId w:val="29"/>
        </w:numPr>
        <w:tabs>
          <w:tab w:pos="1582" w:val="left" w:leader="none"/>
        </w:tabs>
        <w:spacing w:line="240" w:lineRule="auto" w:before="0" w:after="0"/>
        <w:ind w:left="1581" w:right="0" w:hanging="607"/>
        <w:jc w:val="left"/>
        <w:rPr>
          <w:i/>
          <w:sz w:val="20"/>
        </w:rPr>
      </w:pPr>
      <w:bookmarkStart w:name="_bookmark55" w:id="93"/>
      <w:bookmarkEnd w:id="93"/>
      <w:r>
        <w:rPr/>
      </w:r>
      <w:bookmarkStart w:name="_bookmark55" w:id="94"/>
      <w:bookmarkEnd w:id="94"/>
      <w:r>
        <w:rPr>
          <w:i/>
          <w:sz w:val="20"/>
          <w:u w:val="single"/>
        </w:rPr>
        <w:t>P</w:t>
      </w:r>
      <w:r>
        <w:rPr>
          <w:i/>
          <w:sz w:val="20"/>
          <w:u w:val="single"/>
        </w:rPr>
        <w:t>uente internacional y obras</w:t>
      </w:r>
      <w:r>
        <w:rPr>
          <w:i/>
          <w:spacing w:val="-9"/>
          <w:sz w:val="20"/>
          <w:u w:val="single"/>
        </w:rPr>
        <w:t> </w:t>
      </w:r>
      <w:r>
        <w:rPr>
          <w:i/>
          <w:sz w:val="20"/>
          <w:u w:val="single"/>
        </w:rPr>
        <w:t>conexas</w:t>
      </w:r>
    </w:p>
    <w:p>
      <w:pPr>
        <w:pStyle w:val="BodyText"/>
        <w:spacing w:before="11"/>
        <w:rPr>
          <w:i/>
          <w:sz w:val="11"/>
        </w:rPr>
      </w:pPr>
    </w:p>
    <w:p>
      <w:pPr>
        <w:pStyle w:val="ListParagraph"/>
        <w:numPr>
          <w:ilvl w:val="0"/>
          <w:numId w:val="27"/>
        </w:numPr>
        <w:tabs>
          <w:tab w:pos="830" w:val="left" w:leader="none"/>
        </w:tabs>
        <w:spacing w:line="240" w:lineRule="auto" w:before="99" w:after="0"/>
        <w:ind w:left="122" w:right="124" w:firstLine="0"/>
        <w:jc w:val="both"/>
        <w:rPr>
          <w:sz w:val="20"/>
        </w:rPr>
      </w:pPr>
      <w:r>
        <w:rPr>
          <w:sz w:val="20"/>
        </w:rPr>
        <w:t>Se desprende de los hechos que la construcción del puente inició en 1995. Entre el 25 de agosto y el 16 de septiembre de 1996, personas integrantes de comunidades indígenas ocuparon el puente internacional de manera pacífica. La construcción del puente</w:t>
      </w:r>
      <w:r>
        <w:rPr>
          <w:spacing w:val="-12"/>
          <w:sz w:val="20"/>
        </w:rPr>
        <w:t> </w:t>
      </w:r>
      <w:r>
        <w:rPr>
          <w:sz w:val="20"/>
        </w:rPr>
        <w:t>se</w:t>
      </w:r>
      <w:r>
        <w:rPr>
          <w:spacing w:val="-9"/>
          <w:sz w:val="20"/>
        </w:rPr>
        <w:t> </w:t>
      </w:r>
      <w:r>
        <w:rPr>
          <w:sz w:val="20"/>
        </w:rPr>
        <w:t>finalizó</w:t>
      </w:r>
      <w:r>
        <w:rPr>
          <w:spacing w:val="-9"/>
          <w:sz w:val="20"/>
        </w:rPr>
        <w:t> </w:t>
      </w:r>
      <w:r>
        <w:rPr>
          <w:sz w:val="20"/>
        </w:rPr>
        <w:t>entre</w:t>
      </w:r>
      <w:r>
        <w:rPr>
          <w:spacing w:val="-9"/>
          <w:sz w:val="20"/>
        </w:rPr>
        <w:t> </w:t>
      </w:r>
      <w:r>
        <w:rPr>
          <w:sz w:val="20"/>
        </w:rPr>
        <w:t>1995</w:t>
      </w:r>
      <w:r>
        <w:rPr>
          <w:spacing w:val="-10"/>
          <w:sz w:val="20"/>
        </w:rPr>
        <w:t> </w:t>
      </w:r>
      <w:r>
        <w:rPr>
          <w:sz w:val="20"/>
        </w:rPr>
        <w:t>y</w:t>
      </w:r>
      <w:r>
        <w:rPr>
          <w:spacing w:val="-11"/>
          <w:sz w:val="20"/>
        </w:rPr>
        <w:t> </w:t>
      </w:r>
      <w:r>
        <w:rPr>
          <w:sz w:val="20"/>
        </w:rPr>
        <w:t>1996</w:t>
      </w:r>
      <w:r>
        <w:rPr>
          <w:spacing w:val="-6"/>
          <w:sz w:val="20"/>
        </w:rPr>
        <w:t> </w:t>
      </w:r>
      <w:r>
        <w:rPr>
          <w:sz w:val="20"/>
        </w:rPr>
        <w:t>y</w:t>
      </w:r>
      <w:r>
        <w:rPr>
          <w:spacing w:val="-9"/>
          <w:sz w:val="20"/>
        </w:rPr>
        <w:t> </w:t>
      </w:r>
      <w:r>
        <w:rPr>
          <w:sz w:val="20"/>
        </w:rPr>
        <w:t>se</w:t>
      </w:r>
      <w:r>
        <w:rPr>
          <w:spacing w:val="-9"/>
          <w:sz w:val="20"/>
        </w:rPr>
        <w:t> </w:t>
      </w:r>
      <w:r>
        <w:rPr>
          <w:sz w:val="20"/>
        </w:rPr>
        <w:t>continuó</w:t>
      </w:r>
      <w:r>
        <w:rPr>
          <w:spacing w:val="-11"/>
          <w:sz w:val="20"/>
        </w:rPr>
        <w:t> </w:t>
      </w:r>
      <w:r>
        <w:rPr>
          <w:sz w:val="20"/>
        </w:rPr>
        <w:t>con</w:t>
      </w:r>
      <w:r>
        <w:rPr>
          <w:spacing w:val="-9"/>
          <w:sz w:val="20"/>
        </w:rPr>
        <w:t> </w:t>
      </w:r>
      <w:r>
        <w:rPr>
          <w:sz w:val="20"/>
        </w:rPr>
        <w:t>la</w:t>
      </w:r>
      <w:r>
        <w:rPr>
          <w:spacing w:val="-5"/>
          <w:sz w:val="20"/>
        </w:rPr>
        <w:t> </w:t>
      </w:r>
      <w:r>
        <w:rPr>
          <w:sz w:val="20"/>
        </w:rPr>
        <w:t>edificación</w:t>
      </w:r>
      <w:r>
        <w:rPr>
          <w:spacing w:val="-9"/>
          <w:sz w:val="20"/>
        </w:rPr>
        <w:t> </w:t>
      </w:r>
      <w:r>
        <w:rPr>
          <w:sz w:val="20"/>
        </w:rPr>
        <w:t>de</w:t>
      </w:r>
      <w:r>
        <w:rPr>
          <w:spacing w:val="-7"/>
          <w:sz w:val="20"/>
        </w:rPr>
        <w:t> </w:t>
      </w:r>
      <w:r>
        <w:rPr>
          <w:sz w:val="20"/>
        </w:rPr>
        <w:t>rutas</w:t>
      </w:r>
      <w:r>
        <w:rPr>
          <w:spacing w:val="-11"/>
          <w:sz w:val="20"/>
        </w:rPr>
        <w:t> </w:t>
      </w:r>
      <w:r>
        <w:rPr>
          <w:sz w:val="20"/>
        </w:rPr>
        <w:t>y</w:t>
      </w:r>
      <w:r>
        <w:rPr>
          <w:spacing w:val="-9"/>
          <w:sz w:val="20"/>
        </w:rPr>
        <w:t> </w:t>
      </w:r>
      <w:r>
        <w:rPr>
          <w:sz w:val="20"/>
        </w:rPr>
        <w:t>de</w:t>
      </w:r>
      <w:r>
        <w:rPr>
          <w:spacing w:val="-9"/>
          <w:sz w:val="20"/>
        </w:rPr>
        <w:t> </w:t>
      </w:r>
      <w:r>
        <w:rPr>
          <w:sz w:val="20"/>
        </w:rPr>
        <w:t>obras de</w:t>
      </w:r>
      <w:r>
        <w:rPr>
          <w:spacing w:val="-6"/>
          <w:sz w:val="20"/>
        </w:rPr>
        <w:t> </w:t>
      </w:r>
      <w:r>
        <w:rPr>
          <w:sz w:val="20"/>
        </w:rPr>
        <w:t>urbanización</w:t>
      </w:r>
      <w:r>
        <w:rPr>
          <w:position w:val="8"/>
          <w:sz w:val="14"/>
        </w:rPr>
        <w:t>170</w:t>
      </w:r>
      <w:r>
        <w:rPr>
          <w:sz w:val="20"/>
        </w:rPr>
        <w:t>.</w:t>
      </w:r>
    </w:p>
    <w:p>
      <w:pPr>
        <w:pStyle w:val="BodyText"/>
        <w:spacing w:before="5"/>
      </w:pPr>
    </w:p>
    <w:p>
      <w:pPr>
        <w:pStyle w:val="ListParagraph"/>
        <w:numPr>
          <w:ilvl w:val="0"/>
          <w:numId w:val="27"/>
        </w:numPr>
        <w:tabs>
          <w:tab w:pos="830" w:val="left" w:leader="none"/>
        </w:tabs>
        <w:spacing w:line="240" w:lineRule="auto" w:before="0" w:after="0"/>
        <w:ind w:left="122" w:right="128" w:firstLine="0"/>
        <w:jc w:val="both"/>
        <w:rPr>
          <w:sz w:val="20"/>
        </w:rPr>
      </w:pPr>
      <w:r>
        <w:rPr>
          <w:sz w:val="20"/>
        </w:rPr>
        <w:t>La Corte destaca que la obra en cuestión se trató de un puente internacional.</w:t>
      </w:r>
      <w:r>
        <w:rPr>
          <w:spacing w:val="-30"/>
          <w:sz w:val="20"/>
        </w:rPr>
        <w:t> </w:t>
      </w:r>
      <w:r>
        <w:rPr>
          <w:sz w:val="20"/>
        </w:rPr>
        <w:t>En ese sentido, resulta un emprendimiento relevante en cuanto al tránsito fronterizo y el comercio internacional. En una obra de tal tipo está involucrada la gestión y política estatal respecto de las fronteras territoriales, así como decisiones con implicancias económicas. Por ello, resulta involucrado el interés del Estado y su soberanía, así como la gestión gubernamental de interés de la población argentina en</w:t>
      </w:r>
      <w:r>
        <w:rPr>
          <w:spacing w:val="-25"/>
          <w:sz w:val="20"/>
        </w:rPr>
        <w:t> </w:t>
      </w:r>
      <w:r>
        <w:rPr>
          <w:sz w:val="20"/>
        </w:rPr>
        <w:t>general.</w:t>
      </w:r>
    </w:p>
    <w:p>
      <w:pPr>
        <w:pStyle w:val="BodyText"/>
        <w:spacing w:before="1"/>
      </w:pPr>
    </w:p>
    <w:p>
      <w:pPr>
        <w:pStyle w:val="ListParagraph"/>
        <w:numPr>
          <w:ilvl w:val="0"/>
          <w:numId w:val="27"/>
        </w:numPr>
        <w:tabs>
          <w:tab w:pos="830" w:val="left" w:leader="none"/>
        </w:tabs>
        <w:spacing w:line="240" w:lineRule="auto" w:before="0" w:after="0"/>
        <w:ind w:left="122" w:right="122" w:firstLine="0"/>
        <w:jc w:val="both"/>
        <w:rPr>
          <w:sz w:val="20"/>
        </w:rPr>
      </w:pPr>
      <w:r>
        <w:rPr>
          <w:sz w:val="20"/>
        </w:rPr>
        <w:t>La Corte reconoce, entonces, que la importancia de la obra ameritaba una evaluación cuidadosa, que tuviera en cuenta las implicancias expuestas. Ello, no obstante, no autoriza al Estado a inobservar el derecho de las comunidades a ser consultadas. Al respecto, debe destacarse que en su contestación, Argentina manifestó que</w:t>
      </w:r>
      <w:r>
        <w:rPr>
          <w:spacing w:val="-10"/>
          <w:sz w:val="20"/>
        </w:rPr>
        <w:t> </w:t>
      </w:r>
      <w:r>
        <w:rPr>
          <w:sz w:val="20"/>
        </w:rPr>
        <w:t>el</w:t>
      </w:r>
      <w:r>
        <w:rPr>
          <w:spacing w:val="-6"/>
          <w:sz w:val="20"/>
        </w:rPr>
        <w:t> </w:t>
      </w:r>
      <w:r>
        <w:rPr>
          <w:sz w:val="20"/>
        </w:rPr>
        <w:t>Instituto</w:t>
      </w:r>
      <w:r>
        <w:rPr>
          <w:spacing w:val="-10"/>
          <w:sz w:val="20"/>
        </w:rPr>
        <w:t> </w:t>
      </w:r>
      <w:r>
        <w:rPr>
          <w:sz w:val="20"/>
        </w:rPr>
        <w:t>Nacional</w:t>
      </w:r>
      <w:r>
        <w:rPr>
          <w:spacing w:val="-5"/>
          <w:sz w:val="20"/>
        </w:rPr>
        <w:t> </w:t>
      </w:r>
      <w:r>
        <w:rPr>
          <w:sz w:val="20"/>
        </w:rPr>
        <w:t>de</w:t>
      </w:r>
      <w:r>
        <w:rPr>
          <w:spacing w:val="-10"/>
          <w:sz w:val="20"/>
        </w:rPr>
        <w:t> </w:t>
      </w:r>
      <w:r>
        <w:rPr>
          <w:sz w:val="20"/>
        </w:rPr>
        <w:t>Asuntos</w:t>
      </w:r>
      <w:r>
        <w:rPr>
          <w:spacing w:val="-7"/>
          <w:sz w:val="20"/>
        </w:rPr>
        <w:t> </w:t>
      </w:r>
      <w:r>
        <w:rPr>
          <w:sz w:val="20"/>
        </w:rPr>
        <w:t>Indígenas</w:t>
      </w:r>
      <w:r>
        <w:rPr>
          <w:spacing w:val="-7"/>
          <w:sz w:val="20"/>
        </w:rPr>
        <w:t> </w:t>
      </w:r>
      <w:r>
        <w:rPr>
          <w:sz w:val="20"/>
        </w:rPr>
        <w:t>había</w:t>
      </w:r>
      <w:r>
        <w:rPr>
          <w:spacing w:val="-9"/>
          <w:sz w:val="20"/>
        </w:rPr>
        <w:t> </w:t>
      </w:r>
      <w:r>
        <w:rPr>
          <w:sz w:val="20"/>
        </w:rPr>
        <w:t>“considera[do]</w:t>
      </w:r>
      <w:r>
        <w:rPr>
          <w:spacing w:val="-8"/>
          <w:sz w:val="20"/>
        </w:rPr>
        <w:t> </w:t>
      </w:r>
      <w:r>
        <w:rPr>
          <w:sz w:val="20"/>
        </w:rPr>
        <w:t>que</w:t>
      </w:r>
      <w:r>
        <w:rPr>
          <w:spacing w:val="-8"/>
          <w:sz w:val="20"/>
        </w:rPr>
        <w:t> </w:t>
      </w:r>
      <w:r>
        <w:rPr>
          <w:sz w:val="20"/>
        </w:rPr>
        <w:t>la</w:t>
      </w:r>
      <w:r>
        <w:rPr>
          <w:spacing w:val="-9"/>
          <w:sz w:val="20"/>
        </w:rPr>
        <w:t> </w:t>
      </w:r>
      <w:r>
        <w:rPr>
          <w:sz w:val="20"/>
        </w:rPr>
        <w:t>construcción del Puente Internacional sobre el río Pilcomayo Misión La Paz (Argentina) – Pozo Hondo (Paraguay),</w:t>
      </w:r>
      <w:r>
        <w:rPr>
          <w:spacing w:val="-19"/>
          <w:sz w:val="20"/>
        </w:rPr>
        <w:t> </w:t>
      </w:r>
      <w:r>
        <w:rPr>
          <w:sz w:val="20"/>
        </w:rPr>
        <w:t>así</w:t>
      </w:r>
      <w:r>
        <w:rPr>
          <w:spacing w:val="-19"/>
          <w:sz w:val="20"/>
        </w:rPr>
        <w:t> </w:t>
      </w:r>
      <w:r>
        <w:rPr>
          <w:sz w:val="20"/>
        </w:rPr>
        <w:t>como</w:t>
      </w:r>
      <w:r>
        <w:rPr>
          <w:spacing w:val="-20"/>
          <w:sz w:val="20"/>
        </w:rPr>
        <w:t> </w:t>
      </w:r>
      <w:r>
        <w:rPr>
          <w:sz w:val="20"/>
        </w:rPr>
        <w:t>otros</w:t>
      </w:r>
      <w:r>
        <w:rPr>
          <w:spacing w:val="-19"/>
          <w:sz w:val="20"/>
        </w:rPr>
        <w:t> </w:t>
      </w:r>
      <w:r>
        <w:rPr>
          <w:sz w:val="20"/>
        </w:rPr>
        <w:t>caminos</w:t>
      </w:r>
      <w:r>
        <w:rPr>
          <w:spacing w:val="-19"/>
          <w:sz w:val="20"/>
        </w:rPr>
        <w:t> </w:t>
      </w:r>
      <w:r>
        <w:rPr>
          <w:sz w:val="20"/>
        </w:rPr>
        <w:t>y</w:t>
      </w:r>
      <w:r>
        <w:rPr>
          <w:spacing w:val="-19"/>
          <w:sz w:val="20"/>
        </w:rPr>
        <w:t> </w:t>
      </w:r>
      <w:r>
        <w:rPr>
          <w:sz w:val="20"/>
        </w:rPr>
        <w:t>edificios</w:t>
      </w:r>
      <w:r>
        <w:rPr>
          <w:spacing w:val="-22"/>
          <w:sz w:val="20"/>
        </w:rPr>
        <w:t> </w:t>
      </w:r>
      <w:r>
        <w:rPr>
          <w:sz w:val="20"/>
        </w:rPr>
        <w:t>diversos,</w:t>
      </w:r>
      <w:r>
        <w:rPr>
          <w:spacing w:val="-20"/>
          <w:sz w:val="20"/>
        </w:rPr>
        <w:t> </w:t>
      </w:r>
      <w:r>
        <w:rPr>
          <w:sz w:val="20"/>
        </w:rPr>
        <w:t>modifica</w:t>
      </w:r>
      <w:r>
        <w:rPr>
          <w:spacing w:val="-19"/>
          <w:sz w:val="20"/>
        </w:rPr>
        <w:t> </w:t>
      </w:r>
      <w:r>
        <w:rPr>
          <w:sz w:val="20"/>
        </w:rPr>
        <w:t>sensiblemente</w:t>
      </w:r>
      <w:r>
        <w:rPr>
          <w:spacing w:val="-22"/>
          <w:sz w:val="20"/>
        </w:rPr>
        <w:t> </w:t>
      </w:r>
      <w:r>
        <w:rPr>
          <w:sz w:val="20"/>
        </w:rPr>
        <w:t>la</w:t>
      </w:r>
      <w:r>
        <w:rPr>
          <w:spacing w:val="-19"/>
          <w:sz w:val="20"/>
        </w:rPr>
        <w:t> </w:t>
      </w:r>
      <w:r>
        <w:rPr>
          <w:sz w:val="20"/>
        </w:rPr>
        <w:t>forma de vida de las comunidades indígenas y que habría sido oportuna la celebración de consultas, así como un [i]nforme sobre el impacto medioambiental de esas</w:t>
      </w:r>
      <w:r>
        <w:rPr>
          <w:spacing w:val="-27"/>
          <w:sz w:val="20"/>
        </w:rPr>
        <w:t> </w:t>
      </w:r>
      <w:r>
        <w:rPr>
          <w:sz w:val="20"/>
        </w:rPr>
        <w:t>obras”.</w:t>
      </w:r>
    </w:p>
    <w:p>
      <w:pPr>
        <w:pStyle w:val="BodyText"/>
        <w:spacing w:before="10"/>
        <w:rPr>
          <w:sz w:val="19"/>
        </w:rPr>
      </w:pPr>
    </w:p>
    <w:p>
      <w:pPr>
        <w:pStyle w:val="ListParagraph"/>
        <w:numPr>
          <w:ilvl w:val="0"/>
          <w:numId w:val="27"/>
        </w:numPr>
        <w:tabs>
          <w:tab w:pos="830" w:val="left" w:leader="none"/>
        </w:tabs>
        <w:spacing w:line="240" w:lineRule="auto" w:before="0" w:after="0"/>
        <w:ind w:left="122" w:right="129" w:firstLine="0"/>
        <w:jc w:val="both"/>
        <w:rPr>
          <w:sz w:val="20"/>
        </w:rPr>
      </w:pPr>
      <w:r>
        <w:rPr>
          <w:sz w:val="20"/>
        </w:rPr>
        <w:t>La Corte advierte, en concordancia con lo anterior, que en efecto no consta que hubiera existido proceso de consulta</w:t>
      </w:r>
      <w:r>
        <w:rPr>
          <w:spacing w:val="-19"/>
          <w:sz w:val="20"/>
        </w:rPr>
        <w:t> </w:t>
      </w:r>
      <w:r>
        <w:rPr>
          <w:sz w:val="20"/>
        </w:rPr>
        <w:t>previa.</w:t>
      </w:r>
    </w:p>
    <w:p>
      <w:pPr>
        <w:pStyle w:val="BodyText"/>
      </w:pPr>
    </w:p>
    <w:p>
      <w:pPr>
        <w:pStyle w:val="BodyText"/>
      </w:pPr>
    </w:p>
    <w:p>
      <w:pPr>
        <w:pStyle w:val="BodyText"/>
      </w:pPr>
    </w:p>
    <w:p>
      <w:pPr>
        <w:pStyle w:val="BodyText"/>
        <w:spacing w:before="3"/>
        <w:rPr>
          <w:sz w:val="15"/>
        </w:rPr>
      </w:pPr>
      <w:r>
        <w:rPr/>
        <w:pict>
          <v:line style="position:absolute;mso-position-horizontal-relative:page;mso-position-vertical-relative:paragraph;z-index:2416;mso-wrap-distance-left:0;mso-wrap-distance-right:0" from="85.103996pt,11.607076pt" to="229.123996pt,11.607076pt" stroked="true" strokeweight=".72003pt" strokecolor="#000000">
            <v:stroke dashstyle="solid"/>
            <w10:wrap type="topAndBottom"/>
          </v:line>
        </w:pict>
      </w:r>
    </w:p>
    <w:p>
      <w:pPr>
        <w:tabs>
          <w:tab w:pos="829" w:val="left" w:leader="none"/>
        </w:tabs>
        <w:spacing w:before="71"/>
        <w:ind w:left="122" w:right="114" w:firstLine="0"/>
        <w:jc w:val="both"/>
        <w:rPr>
          <w:sz w:val="16"/>
        </w:rPr>
      </w:pPr>
      <w:r>
        <w:rPr>
          <w:position w:val="6"/>
          <w:sz w:val="10"/>
        </w:rPr>
        <w:t>170</w:t>
        <w:tab/>
      </w:r>
      <w:r>
        <w:rPr>
          <w:sz w:val="16"/>
        </w:rPr>
        <w:t>Los</w:t>
      </w:r>
      <w:r>
        <w:rPr>
          <w:spacing w:val="16"/>
          <w:sz w:val="16"/>
        </w:rPr>
        <w:t> </w:t>
      </w:r>
      <w:r>
        <w:rPr>
          <w:sz w:val="16"/>
        </w:rPr>
        <w:t>representantes</w:t>
      </w:r>
      <w:r>
        <w:rPr>
          <w:spacing w:val="18"/>
          <w:sz w:val="16"/>
        </w:rPr>
        <w:t> </w:t>
      </w:r>
      <w:r>
        <w:rPr>
          <w:sz w:val="16"/>
        </w:rPr>
        <w:t>indicaron</w:t>
      </w:r>
      <w:r>
        <w:rPr>
          <w:spacing w:val="15"/>
          <w:sz w:val="16"/>
        </w:rPr>
        <w:t> </w:t>
      </w:r>
      <w:r>
        <w:rPr>
          <w:sz w:val="16"/>
        </w:rPr>
        <w:t>que</w:t>
      </w:r>
      <w:r>
        <w:rPr>
          <w:spacing w:val="18"/>
          <w:sz w:val="16"/>
        </w:rPr>
        <w:t> </w:t>
      </w:r>
      <w:r>
        <w:rPr>
          <w:sz w:val="16"/>
        </w:rPr>
        <w:t>a</w:t>
      </w:r>
      <w:r>
        <w:rPr>
          <w:spacing w:val="15"/>
          <w:sz w:val="16"/>
        </w:rPr>
        <w:t> </w:t>
      </w:r>
      <w:r>
        <w:rPr>
          <w:sz w:val="16"/>
        </w:rPr>
        <w:t>principios</w:t>
      </w:r>
      <w:r>
        <w:rPr>
          <w:spacing w:val="16"/>
          <w:sz w:val="16"/>
        </w:rPr>
        <w:t> </w:t>
      </w:r>
      <w:r>
        <w:rPr>
          <w:sz w:val="16"/>
        </w:rPr>
        <w:t>de</w:t>
      </w:r>
      <w:r>
        <w:rPr>
          <w:spacing w:val="16"/>
          <w:sz w:val="16"/>
        </w:rPr>
        <w:t> </w:t>
      </w:r>
      <w:r>
        <w:rPr>
          <w:sz w:val="16"/>
        </w:rPr>
        <w:t>1999</w:t>
      </w:r>
      <w:r>
        <w:rPr>
          <w:spacing w:val="17"/>
          <w:sz w:val="16"/>
        </w:rPr>
        <w:t> </w:t>
      </w:r>
      <w:r>
        <w:rPr>
          <w:sz w:val="16"/>
        </w:rPr>
        <w:t>Salta</w:t>
      </w:r>
      <w:r>
        <w:rPr>
          <w:spacing w:val="17"/>
          <w:sz w:val="16"/>
        </w:rPr>
        <w:t> </w:t>
      </w:r>
      <w:r>
        <w:rPr>
          <w:sz w:val="16"/>
        </w:rPr>
        <w:t>“empezó</w:t>
      </w:r>
      <w:r>
        <w:rPr>
          <w:spacing w:val="19"/>
          <w:sz w:val="16"/>
        </w:rPr>
        <w:t> </w:t>
      </w:r>
      <w:r>
        <w:rPr>
          <w:sz w:val="16"/>
        </w:rPr>
        <w:t>a</w:t>
      </w:r>
      <w:r>
        <w:rPr>
          <w:spacing w:val="19"/>
          <w:sz w:val="16"/>
        </w:rPr>
        <w:t> </w:t>
      </w:r>
      <w:r>
        <w:rPr>
          <w:sz w:val="16"/>
        </w:rPr>
        <w:t>construir</w:t>
      </w:r>
      <w:r>
        <w:rPr>
          <w:spacing w:val="19"/>
          <w:sz w:val="16"/>
        </w:rPr>
        <w:t> </w:t>
      </w:r>
      <w:r>
        <w:rPr>
          <w:sz w:val="16"/>
        </w:rPr>
        <w:t>casas</w:t>
      </w:r>
      <w:r>
        <w:rPr>
          <w:spacing w:val="15"/>
          <w:sz w:val="16"/>
        </w:rPr>
        <w:t> </w:t>
      </w:r>
      <w:r>
        <w:rPr>
          <w:sz w:val="16"/>
        </w:rPr>
        <w:t>y</w:t>
      </w:r>
      <w:r>
        <w:rPr>
          <w:spacing w:val="19"/>
          <w:sz w:val="16"/>
        </w:rPr>
        <w:t> </w:t>
      </w:r>
      <w:r>
        <w:rPr>
          <w:sz w:val="16"/>
        </w:rPr>
        <w:t>edificios</w:t>
      </w:r>
      <w:r>
        <w:rPr>
          <w:w w:val="100"/>
          <w:sz w:val="16"/>
        </w:rPr>
        <w:t> </w:t>
      </w:r>
      <w:r>
        <w:rPr>
          <w:sz w:val="16"/>
        </w:rPr>
        <w:t>destinados al establecimiento de un puesto de la Gendarmería Nacional”. Agregaron que “[a]demás, en el 2000</w:t>
      </w:r>
      <w:r>
        <w:rPr>
          <w:spacing w:val="-6"/>
          <w:sz w:val="16"/>
        </w:rPr>
        <w:t> </w:t>
      </w:r>
      <w:r>
        <w:rPr>
          <w:sz w:val="16"/>
        </w:rPr>
        <w:t>empezó</w:t>
      </w:r>
      <w:r>
        <w:rPr>
          <w:spacing w:val="-7"/>
          <w:sz w:val="16"/>
        </w:rPr>
        <w:t> </w:t>
      </w:r>
      <w:r>
        <w:rPr>
          <w:sz w:val="16"/>
        </w:rPr>
        <w:t>a</w:t>
      </w:r>
      <w:r>
        <w:rPr>
          <w:spacing w:val="-6"/>
          <w:sz w:val="16"/>
        </w:rPr>
        <w:t> </w:t>
      </w:r>
      <w:r>
        <w:rPr>
          <w:sz w:val="16"/>
        </w:rPr>
        <w:t>aumentar</w:t>
      </w:r>
      <w:r>
        <w:rPr>
          <w:spacing w:val="-7"/>
          <w:sz w:val="16"/>
        </w:rPr>
        <w:t> </w:t>
      </w:r>
      <w:r>
        <w:rPr>
          <w:sz w:val="16"/>
        </w:rPr>
        <w:t>significativamente</w:t>
      </w:r>
      <w:r>
        <w:rPr>
          <w:spacing w:val="-5"/>
          <w:sz w:val="16"/>
        </w:rPr>
        <w:t> </w:t>
      </w:r>
      <w:r>
        <w:rPr>
          <w:sz w:val="16"/>
        </w:rPr>
        <w:t>la</w:t>
      </w:r>
      <w:r>
        <w:rPr>
          <w:spacing w:val="-6"/>
          <w:sz w:val="16"/>
        </w:rPr>
        <w:t> </w:t>
      </w:r>
      <w:r>
        <w:rPr>
          <w:sz w:val="16"/>
        </w:rPr>
        <w:t>tala</w:t>
      </w:r>
      <w:r>
        <w:rPr>
          <w:spacing w:val="-6"/>
          <w:sz w:val="16"/>
        </w:rPr>
        <w:t> </w:t>
      </w:r>
      <w:r>
        <w:rPr>
          <w:sz w:val="16"/>
        </w:rPr>
        <w:t>ilegal</w:t>
      </w:r>
      <w:r>
        <w:rPr>
          <w:spacing w:val="-6"/>
          <w:sz w:val="16"/>
        </w:rPr>
        <w:t> </w:t>
      </w:r>
      <w:r>
        <w:rPr>
          <w:sz w:val="16"/>
        </w:rPr>
        <w:t>de</w:t>
      </w:r>
      <w:r>
        <w:rPr>
          <w:spacing w:val="-7"/>
          <w:sz w:val="16"/>
        </w:rPr>
        <w:t> </w:t>
      </w:r>
      <w:r>
        <w:rPr>
          <w:sz w:val="16"/>
        </w:rPr>
        <w:t>árboles</w:t>
      </w:r>
      <w:r>
        <w:rPr>
          <w:spacing w:val="-5"/>
          <w:sz w:val="16"/>
        </w:rPr>
        <w:t> </w:t>
      </w:r>
      <w:r>
        <w:rPr>
          <w:sz w:val="16"/>
        </w:rPr>
        <w:t>para</w:t>
      </w:r>
      <w:r>
        <w:rPr>
          <w:spacing w:val="-6"/>
          <w:sz w:val="16"/>
        </w:rPr>
        <w:t> </w:t>
      </w:r>
      <w:r>
        <w:rPr>
          <w:sz w:val="16"/>
        </w:rPr>
        <w:t>la</w:t>
      </w:r>
      <w:r>
        <w:rPr>
          <w:spacing w:val="-8"/>
          <w:sz w:val="16"/>
        </w:rPr>
        <w:t> </w:t>
      </w:r>
      <w:r>
        <w:rPr>
          <w:sz w:val="16"/>
        </w:rPr>
        <w:t>quema</w:t>
      </w:r>
      <w:r>
        <w:rPr>
          <w:spacing w:val="-6"/>
          <w:sz w:val="16"/>
        </w:rPr>
        <w:t> </w:t>
      </w:r>
      <w:r>
        <w:rPr>
          <w:sz w:val="16"/>
        </w:rPr>
        <w:t>de</w:t>
      </w:r>
      <w:r>
        <w:rPr>
          <w:spacing w:val="-5"/>
          <w:sz w:val="16"/>
        </w:rPr>
        <w:t> </w:t>
      </w:r>
      <w:r>
        <w:rPr>
          <w:sz w:val="16"/>
        </w:rPr>
        <w:t>ladrillos</w:t>
      </w:r>
      <w:r>
        <w:rPr>
          <w:spacing w:val="-5"/>
          <w:sz w:val="16"/>
        </w:rPr>
        <w:t> </w:t>
      </w:r>
      <w:r>
        <w:rPr>
          <w:sz w:val="16"/>
        </w:rPr>
        <w:t>vinculada</w:t>
      </w:r>
      <w:r>
        <w:rPr>
          <w:spacing w:val="-6"/>
          <w:sz w:val="16"/>
        </w:rPr>
        <w:t> </w:t>
      </w:r>
      <w:r>
        <w:rPr>
          <w:sz w:val="16"/>
        </w:rPr>
        <w:t>a</w:t>
      </w:r>
      <w:r>
        <w:rPr>
          <w:spacing w:val="-6"/>
          <w:sz w:val="16"/>
        </w:rPr>
        <w:t> </w:t>
      </w:r>
      <w:r>
        <w:rPr>
          <w:sz w:val="16"/>
        </w:rPr>
        <w:t>las obras,</w:t>
      </w:r>
      <w:r>
        <w:rPr>
          <w:spacing w:val="-7"/>
          <w:sz w:val="16"/>
        </w:rPr>
        <w:t> </w:t>
      </w:r>
      <w:r>
        <w:rPr>
          <w:sz w:val="16"/>
        </w:rPr>
        <w:t>causando</w:t>
      </w:r>
      <w:r>
        <w:rPr>
          <w:spacing w:val="-5"/>
          <w:sz w:val="16"/>
        </w:rPr>
        <w:t> </w:t>
      </w:r>
      <w:r>
        <w:rPr>
          <w:sz w:val="16"/>
        </w:rPr>
        <w:t>un</w:t>
      </w:r>
      <w:r>
        <w:rPr>
          <w:spacing w:val="-5"/>
          <w:sz w:val="16"/>
        </w:rPr>
        <w:t> </w:t>
      </w:r>
      <w:r>
        <w:rPr>
          <w:sz w:val="16"/>
        </w:rPr>
        <w:t>impacto</w:t>
      </w:r>
      <w:r>
        <w:rPr>
          <w:spacing w:val="-5"/>
          <w:sz w:val="16"/>
        </w:rPr>
        <w:t> </w:t>
      </w:r>
      <w:r>
        <w:rPr>
          <w:sz w:val="16"/>
        </w:rPr>
        <w:t>sustancial</w:t>
      </w:r>
      <w:r>
        <w:rPr>
          <w:spacing w:val="-4"/>
          <w:sz w:val="16"/>
        </w:rPr>
        <w:t> </w:t>
      </w:r>
      <w:r>
        <w:rPr>
          <w:sz w:val="16"/>
        </w:rPr>
        <w:t>en</w:t>
      </w:r>
      <w:r>
        <w:rPr>
          <w:spacing w:val="-7"/>
          <w:sz w:val="16"/>
        </w:rPr>
        <w:t> </w:t>
      </w:r>
      <w:r>
        <w:rPr>
          <w:sz w:val="16"/>
        </w:rPr>
        <w:t>el</w:t>
      </w:r>
      <w:r>
        <w:rPr>
          <w:spacing w:val="-4"/>
          <w:sz w:val="16"/>
        </w:rPr>
        <w:t> </w:t>
      </w:r>
      <w:r>
        <w:rPr>
          <w:sz w:val="16"/>
        </w:rPr>
        <w:t>modo</w:t>
      </w:r>
      <w:r>
        <w:rPr>
          <w:spacing w:val="-5"/>
          <w:sz w:val="16"/>
        </w:rPr>
        <w:t> </w:t>
      </w:r>
      <w:r>
        <w:rPr>
          <w:sz w:val="16"/>
        </w:rPr>
        <w:t>de</w:t>
      </w:r>
      <w:r>
        <w:rPr>
          <w:spacing w:val="-6"/>
          <w:sz w:val="16"/>
        </w:rPr>
        <w:t> </w:t>
      </w:r>
      <w:r>
        <w:rPr>
          <w:sz w:val="16"/>
        </w:rPr>
        <w:t>vida</w:t>
      </w:r>
      <w:r>
        <w:rPr>
          <w:spacing w:val="-9"/>
          <w:sz w:val="16"/>
        </w:rPr>
        <w:t> </w:t>
      </w:r>
      <w:r>
        <w:rPr>
          <w:sz w:val="16"/>
        </w:rPr>
        <w:t>de</w:t>
      </w:r>
      <w:r>
        <w:rPr>
          <w:spacing w:val="-3"/>
          <w:sz w:val="16"/>
        </w:rPr>
        <w:t> </w:t>
      </w:r>
      <w:r>
        <w:rPr>
          <w:sz w:val="16"/>
        </w:rPr>
        <w:t>las</w:t>
      </w:r>
      <w:r>
        <w:rPr>
          <w:spacing w:val="-6"/>
          <w:sz w:val="16"/>
        </w:rPr>
        <w:t> </w:t>
      </w:r>
      <w:r>
        <w:rPr>
          <w:sz w:val="16"/>
        </w:rPr>
        <w:t>comunidades”.</w:t>
      </w:r>
      <w:r>
        <w:rPr>
          <w:spacing w:val="-7"/>
          <w:sz w:val="16"/>
        </w:rPr>
        <w:t> </w:t>
      </w:r>
      <w:r>
        <w:rPr>
          <w:sz w:val="16"/>
        </w:rPr>
        <w:t>El</w:t>
      </w:r>
      <w:r>
        <w:rPr>
          <w:spacing w:val="-6"/>
          <w:sz w:val="16"/>
        </w:rPr>
        <w:t> </w:t>
      </w:r>
      <w:r>
        <w:rPr>
          <w:sz w:val="16"/>
        </w:rPr>
        <w:t>6</w:t>
      </w:r>
      <w:r>
        <w:rPr>
          <w:spacing w:val="-7"/>
          <w:sz w:val="16"/>
        </w:rPr>
        <w:t> </w:t>
      </w:r>
      <w:r>
        <w:rPr>
          <w:sz w:val="16"/>
        </w:rPr>
        <w:t>de</w:t>
      </w:r>
      <w:r>
        <w:rPr>
          <w:spacing w:val="-6"/>
          <w:sz w:val="16"/>
        </w:rPr>
        <w:t> </w:t>
      </w:r>
      <w:r>
        <w:rPr>
          <w:sz w:val="16"/>
        </w:rPr>
        <w:t>abril</w:t>
      </w:r>
      <w:r>
        <w:rPr>
          <w:spacing w:val="-6"/>
          <w:sz w:val="16"/>
        </w:rPr>
        <w:t> </w:t>
      </w:r>
      <w:r>
        <w:rPr>
          <w:sz w:val="16"/>
        </w:rPr>
        <w:t>de</w:t>
      </w:r>
      <w:r>
        <w:rPr>
          <w:spacing w:val="-8"/>
          <w:sz w:val="16"/>
        </w:rPr>
        <w:t> </w:t>
      </w:r>
      <w:r>
        <w:rPr>
          <w:sz w:val="16"/>
        </w:rPr>
        <w:t>2000</w:t>
      </w:r>
      <w:r>
        <w:rPr>
          <w:spacing w:val="-5"/>
          <w:sz w:val="16"/>
        </w:rPr>
        <w:t> </w:t>
      </w:r>
      <w:r>
        <w:rPr>
          <w:sz w:val="16"/>
        </w:rPr>
        <w:t>se</w:t>
      </w:r>
      <w:r>
        <w:rPr>
          <w:spacing w:val="-6"/>
          <w:sz w:val="16"/>
        </w:rPr>
        <w:t> </w:t>
      </w:r>
      <w:r>
        <w:rPr>
          <w:sz w:val="16"/>
        </w:rPr>
        <w:t>dictó la Resolución N° 138 por parte de la Secretaría de Obras y Servicios Públicos de la Provincia de Salta, que aprobaba</w:t>
      </w:r>
      <w:r>
        <w:rPr>
          <w:spacing w:val="-6"/>
          <w:sz w:val="16"/>
        </w:rPr>
        <w:t> </w:t>
      </w:r>
      <w:r>
        <w:rPr>
          <w:sz w:val="16"/>
        </w:rPr>
        <w:t>la</w:t>
      </w:r>
      <w:r>
        <w:rPr>
          <w:spacing w:val="-6"/>
          <w:sz w:val="16"/>
        </w:rPr>
        <w:t> </w:t>
      </w:r>
      <w:r>
        <w:rPr>
          <w:sz w:val="16"/>
        </w:rPr>
        <w:t>reprogramación</w:t>
      </w:r>
      <w:r>
        <w:rPr>
          <w:spacing w:val="-6"/>
          <w:sz w:val="16"/>
        </w:rPr>
        <w:t> </w:t>
      </w:r>
      <w:r>
        <w:rPr>
          <w:sz w:val="16"/>
        </w:rPr>
        <w:t>y</w:t>
      </w:r>
      <w:r>
        <w:rPr>
          <w:spacing w:val="-4"/>
          <w:sz w:val="16"/>
        </w:rPr>
        <w:t> </w:t>
      </w:r>
      <w:r>
        <w:rPr>
          <w:sz w:val="16"/>
        </w:rPr>
        <w:t>documentación</w:t>
      </w:r>
      <w:r>
        <w:rPr>
          <w:spacing w:val="-6"/>
          <w:sz w:val="16"/>
        </w:rPr>
        <w:t> </w:t>
      </w:r>
      <w:r>
        <w:rPr>
          <w:sz w:val="16"/>
        </w:rPr>
        <w:t>técnica</w:t>
      </w:r>
      <w:r>
        <w:rPr>
          <w:spacing w:val="-5"/>
          <w:sz w:val="16"/>
        </w:rPr>
        <w:t> </w:t>
      </w:r>
      <w:r>
        <w:rPr>
          <w:sz w:val="16"/>
        </w:rPr>
        <w:t>de</w:t>
      </w:r>
      <w:r>
        <w:rPr>
          <w:spacing w:val="-3"/>
          <w:sz w:val="16"/>
        </w:rPr>
        <w:t> </w:t>
      </w:r>
      <w:r>
        <w:rPr>
          <w:sz w:val="16"/>
        </w:rPr>
        <w:t>la</w:t>
      </w:r>
      <w:r>
        <w:rPr>
          <w:spacing w:val="-6"/>
          <w:sz w:val="16"/>
        </w:rPr>
        <w:t> </w:t>
      </w:r>
      <w:r>
        <w:rPr>
          <w:sz w:val="16"/>
        </w:rPr>
        <w:t>obra</w:t>
      </w:r>
      <w:r>
        <w:rPr>
          <w:spacing w:val="-6"/>
          <w:sz w:val="16"/>
        </w:rPr>
        <w:t> </w:t>
      </w:r>
      <w:r>
        <w:rPr>
          <w:sz w:val="16"/>
        </w:rPr>
        <w:t>Construcción</w:t>
      </w:r>
      <w:r>
        <w:rPr>
          <w:spacing w:val="-4"/>
          <w:sz w:val="16"/>
        </w:rPr>
        <w:t> </w:t>
      </w:r>
      <w:r>
        <w:rPr>
          <w:sz w:val="16"/>
        </w:rPr>
        <w:t>Puesto</w:t>
      </w:r>
      <w:r>
        <w:rPr>
          <w:spacing w:val="-4"/>
          <w:sz w:val="16"/>
        </w:rPr>
        <w:t> </w:t>
      </w:r>
      <w:r>
        <w:rPr>
          <w:sz w:val="16"/>
        </w:rPr>
        <w:t>Fronterizo</w:t>
      </w:r>
      <w:r>
        <w:rPr>
          <w:spacing w:val="-4"/>
          <w:sz w:val="16"/>
        </w:rPr>
        <w:t> </w:t>
      </w:r>
      <w:r>
        <w:rPr>
          <w:sz w:val="16"/>
        </w:rPr>
        <w:t>Misión</w:t>
      </w:r>
      <w:r>
        <w:rPr>
          <w:spacing w:val="-6"/>
          <w:sz w:val="16"/>
        </w:rPr>
        <w:t> </w:t>
      </w:r>
      <w:r>
        <w:rPr>
          <w:sz w:val="16"/>
        </w:rPr>
        <w:t>La</w:t>
      </w:r>
      <w:r>
        <w:rPr>
          <w:spacing w:val="-3"/>
          <w:sz w:val="16"/>
        </w:rPr>
        <w:t> </w:t>
      </w:r>
      <w:r>
        <w:rPr>
          <w:sz w:val="16"/>
        </w:rPr>
        <w:t>Paz</w:t>
      </w:r>
    </w:p>
    <w:p>
      <w:pPr>
        <w:pStyle w:val="ListParagraph"/>
        <w:numPr>
          <w:ilvl w:val="0"/>
          <w:numId w:val="22"/>
        </w:numPr>
        <w:tabs>
          <w:tab w:pos="279" w:val="left" w:leader="none"/>
        </w:tabs>
        <w:spacing w:line="240" w:lineRule="auto" w:before="0" w:after="0"/>
        <w:ind w:left="122" w:right="116" w:firstLine="0"/>
        <w:jc w:val="both"/>
        <w:rPr>
          <w:sz w:val="16"/>
        </w:rPr>
      </w:pPr>
      <w:r>
        <w:rPr>
          <w:sz w:val="16"/>
        </w:rPr>
        <w:t>Departamento</w:t>
      </w:r>
      <w:r>
        <w:rPr>
          <w:spacing w:val="-8"/>
          <w:sz w:val="16"/>
        </w:rPr>
        <w:t> </w:t>
      </w:r>
      <w:r>
        <w:rPr>
          <w:sz w:val="16"/>
        </w:rPr>
        <w:t>Rivadavia.</w:t>
      </w:r>
      <w:r>
        <w:rPr>
          <w:spacing w:val="-5"/>
          <w:sz w:val="16"/>
        </w:rPr>
        <w:t> </w:t>
      </w:r>
      <w:r>
        <w:rPr>
          <w:sz w:val="16"/>
        </w:rPr>
        <w:t>El</w:t>
      </w:r>
      <w:r>
        <w:rPr>
          <w:spacing w:val="-7"/>
          <w:sz w:val="16"/>
        </w:rPr>
        <w:t> </w:t>
      </w:r>
      <w:r>
        <w:rPr>
          <w:sz w:val="16"/>
        </w:rPr>
        <w:t>27</w:t>
      </w:r>
      <w:r>
        <w:rPr>
          <w:spacing w:val="-5"/>
          <w:sz w:val="16"/>
        </w:rPr>
        <w:t> </w:t>
      </w:r>
      <w:r>
        <w:rPr>
          <w:sz w:val="16"/>
        </w:rPr>
        <w:t>de</w:t>
      </w:r>
      <w:r>
        <w:rPr>
          <w:spacing w:val="-3"/>
          <w:sz w:val="16"/>
        </w:rPr>
        <w:t> </w:t>
      </w:r>
      <w:r>
        <w:rPr>
          <w:sz w:val="16"/>
        </w:rPr>
        <w:t>abril</w:t>
      </w:r>
      <w:r>
        <w:rPr>
          <w:spacing w:val="-7"/>
          <w:sz w:val="16"/>
        </w:rPr>
        <w:t> </w:t>
      </w:r>
      <w:r>
        <w:rPr>
          <w:sz w:val="16"/>
        </w:rPr>
        <w:t>de</w:t>
      </w:r>
      <w:r>
        <w:rPr>
          <w:spacing w:val="-6"/>
          <w:sz w:val="16"/>
        </w:rPr>
        <w:t> </w:t>
      </w:r>
      <w:r>
        <w:rPr>
          <w:sz w:val="16"/>
        </w:rPr>
        <w:t>2011,</w:t>
      </w:r>
      <w:r>
        <w:rPr>
          <w:spacing w:val="-5"/>
          <w:sz w:val="16"/>
        </w:rPr>
        <w:t> </w:t>
      </w:r>
      <w:r>
        <w:rPr>
          <w:sz w:val="16"/>
        </w:rPr>
        <w:t>los</w:t>
      </w:r>
      <w:r>
        <w:rPr>
          <w:spacing w:val="-6"/>
          <w:sz w:val="16"/>
        </w:rPr>
        <w:t> </w:t>
      </w:r>
      <w:r>
        <w:rPr>
          <w:sz w:val="16"/>
        </w:rPr>
        <w:t>representantes</w:t>
      </w:r>
      <w:r>
        <w:rPr>
          <w:spacing w:val="-3"/>
          <w:sz w:val="16"/>
        </w:rPr>
        <w:t> </w:t>
      </w:r>
      <w:r>
        <w:rPr>
          <w:sz w:val="16"/>
        </w:rPr>
        <w:t>de</w:t>
      </w:r>
      <w:r>
        <w:rPr>
          <w:spacing w:val="-6"/>
          <w:sz w:val="16"/>
        </w:rPr>
        <w:t> </w:t>
      </w:r>
      <w:r>
        <w:rPr>
          <w:sz w:val="16"/>
        </w:rPr>
        <w:t>la</w:t>
      </w:r>
      <w:r>
        <w:rPr>
          <w:spacing w:val="-4"/>
          <w:sz w:val="16"/>
        </w:rPr>
        <w:t> </w:t>
      </w:r>
      <w:r>
        <w:rPr>
          <w:sz w:val="16"/>
        </w:rPr>
        <w:t>Provincia</w:t>
      </w:r>
      <w:r>
        <w:rPr>
          <w:spacing w:val="-5"/>
          <w:sz w:val="16"/>
        </w:rPr>
        <w:t> </w:t>
      </w:r>
      <w:r>
        <w:rPr>
          <w:sz w:val="16"/>
        </w:rPr>
        <w:t>de</w:t>
      </w:r>
      <w:r>
        <w:rPr>
          <w:spacing w:val="-6"/>
          <w:sz w:val="16"/>
        </w:rPr>
        <w:t> </w:t>
      </w:r>
      <w:r>
        <w:rPr>
          <w:sz w:val="16"/>
        </w:rPr>
        <w:t>Salta</w:t>
      </w:r>
      <w:r>
        <w:rPr>
          <w:spacing w:val="-4"/>
          <w:sz w:val="16"/>
        </w:rPr>
        <w:t> </w:t>
      </w:r>
      <w:r>
        <w:rPr>
          <w:sz w:val="16"/>
        </w:rPr>
        <w:t>informaron</w:t>
      </w:r>
      <w:r>
        <w:rPr>
          <w:spacing w:val="-7"/>
          <w:sz w:val="16"/>
        </w:rPr>
        <w:t> </w:t>
      </w:r>
      <w:r>
        <w:rPr>
          <w:sz w:val="16"/>
        </w:rPr>
        <w:t>que se</w:t>
      </w:r>
      <w:r>
        <w:rPr>
          <w:spacing w:val="-3"/>
          <w:sz w:val="16"/>
        </w:rPr>
        <w:t> </w:t>
      </w:r>
      <w:r>
        <w:rPr>
          <w:sz w:val="16"/>
        </w:rPr>
        <w:t>hicieron</w:t>
      </w:r>
      <w:r>
        <w:rPr>
          <w:spacing w:val="-7"/>
          <w:sz w:val="16"/>
        </w:rPr>
        <w:t> </w:t>
      </w:r>
      <w:r>
        <w:rPr>
          <w:sz w:val="16"/>
        </w:rPr>
        <w:t>obras</w:t>
      </w:r>
      <w:r>
        <w:rPr>
          <w:spacing w:val="-7"/>
          <w:sz w:val="16"/>
        </w:rPr>
        <w:t> </w:t>
      </w:r>
      <w:r>
        <w:rPr>
          <w:sz w:val="16"/>
        </w:rPr>
        <w:t>de</w:t>
      </w:r>
      <w:r>
        <w:rPr>
          <w:spacing w:val="-6"/>
          <w:sz w:val="16"/>
        </w:rPr>
        <w:t> </w:t>
      </w:r>
      <w:r>
        <w:rPr>
          <w:sz w:val="16"/>
        </w:rPr>
        <w:t>vivienda</w:t>
      </w:r>
      <w:r>
        <w:rPr>
          <w:spacing w:val="-7"/>
          <w:sz w:val="16"/>
        </w:rPr>
        <w:t> </w:t>
      </w:r>
      <w:r>
        <w:rPr>
          <w:sz w:val="16"/>
        </w:rPr>
        <w:t>en</w:t>
      </w:r>
      <w:r>
        <w:rPr>
          <w:spacing w:val="-4"/>
          <w:sz w:val="16"/>
        </w:rPr>
        <w:t> </w:t>
      </w:r>
      <w:r>
        <w:rPr>
          <w:sz w:val="16"/>
        </w:rPr>
        <w:t>acuerdo</w:t>
      </w:r>
      <w:r>
        <w:rPr>
          <w:spacing w:val="-5"/>
          <w:sz w:val="16"/>
        </w:rPr>
        <w:t> </w:t>
      </w:r>
      <w:r>
        <w:rPr>
          <w:sz w:val="16"/>
        </w:rPr>
        <w:t>con</w:t>
      </w:r>
      <w:r>
        <w:rPr>
          <w:spacing w:val="-7"/>
          <w:sz w:val="16"/>
        </w:rPr>
        <w:t> </w:t>
      </w:r>
      <w:r>
        <w:rPr>
          <w:sz w:val="16"/>
        </w:rPr>
        <w:t>las</w:t>
      </w:r>
      <w:r>
        <w:rPr>
          <w:spacing w:val="-6"/>
          <w:sz w:val="16"/>
        </w:rPr>
        <w:t> </w:t>
      </w:r>
      <w:r>
        <w:rPr>
          <w:sz w:val="16"/>
        </w:rPr>
        <w:t>comunidades</w:t>
      </w:r>
      <w:r>
        <w:rPr>
          <w:spacing w:val="-3"/>
          <w:sz w:val="16"/>
        </w:rPr>
        <w:t> </w:t>
      </w:r>
      <w:r>
        <w:rPr>
          <w:sz w:val="16"/>
        </w:rPr>
        <w:t>(</w:t>
      </w:r>
      <w:r>
        <w:rPr>
          <w:i/>
          <w:sz w:val="16"/>
        </w:rPr>
        <w:t>cfr.</w:t>
      </w:r>
      <w:r>
        <w:rPr>
          <w:i/>
          <w:spacing w:val="-6"/>
          <w:sz w:val="16"/>
        </w:rPr>
        <w:t> </w:t>
      </w:r>
      <w:r>
        <w:rPr>
          <w:sz w:val="16"/>
        </w:rPr>
        <w:t>comunicación</w:t>
      </w:r>
      <w:r>
        <w:rPr>
          <w:spacing w:val="-7"/>
          <w:sz w:val="16"/>
        </w:rPr>
        <w:t> </w:t>
      </w:r>
      <w:r>
        <w:rPr>
          <w:sz w:val="16"/>
        </w:rPr>
        <w:t>de</w:t>
      </w:r>
      <w:r>
        <w:rPr>
          <w:spacing w:val="-6"/>
          <w:sz w:val="16"/>
        </w:rPr>
        <w:t> </w:t>
      </w:r>
      <w:r>
        <w:rPr>
          <w:sz w:val="16"/>
        </w:rPr>
        <w:t>Lhaka</w:t>
      </w:r>
      <w:r>
        <w:rPr>
          <w:spacing w:val="-4"/>
          <w:sz w:val="16"/>
        </w:rPr>
        <w:t> </w:t>
      </w:r>
      <w:r>
        <w:rPr>
          <w:sz w:val="16"/>
        </w:rPr>
        <w:t>Honhat</w:t>
      </w:r>
      <w:r>
        <w:rPr>
          <w:spacing w:val="-5"/>
          <w:sz w:val="16"/>
        </w:rPr>
        <w:t> </w:t>
      </w:r>
      <w:r>
        <w:rPr>
          <w:sz w:val="16"/>
        </w:rPr>
        <w:t>al</w:t>
      </w:r>
      <w:r>
        <w:rPr>
          <w:spacing w:val="-7"/>
          <w:sz w:val="16"/>
        </w:rPr>
        <w:t> </w:t>
      </w:r>
      <w:r>
        <w:rPr>
          <w:sz w:val="16"/>
        </w:rPr>
        <w:t>Director de Derechos Humanos, informando que no asistirían a las reuniones del 27 de abril de 2011; expediente de prueba, anexo al trámite ante la Comisión, fs. 15.890 a</w:t>
      </w:r>
      <w:r>
        <w:rPr>
          <w:spacing w:val="-23"/>
          <w:sz w:val="16"/>
        </w:rPr>
        <w:t> </w:t>
      </w:r>
      <w:r>
        <w:rPr>
          <w:sz w:val="16"/>
        </w:rPr>
        <w:t>15.892).</w:t>
      </w:r>
    </w:p>
    <w:p>
      <w:pPr>
        <w:spacing w:after="0" w:line="240" w:lineRule="auto"/>
        <w:jc w:val="both"/>
        <w:rPr>
          <w:sz w:val="16"/>
        </w:rPr>
        <w:sectPr>
          <w:pgSz w:w="12240" w:h="15840"/>
          <w:pgMar w:header="0" w:footer="1000" w:top="1340" w:bottom="1200" w:left="1580" w:right="1580"/>
        </w:sectPr>
      </w:pPr>
    </w:p>
    <w:p>
      <w:pPr>
        <w:pStyle w:val="ListParagraph"/>
        <w:numPr>
          <w:ilvl w:val="2"/>
          <w:numId w:val="29"/>
        </w:numPr>
        <w:tabs>
          <w:tab w:pos="1582" w:val="left" w:leader="none"/>
        </w:tabs>
        <w:spacing w:line="240" w:lineRule="auto" w:before="76" w:after="0"/>
        <w:ind w:left="1581" w:right="0" w:hanging="607"/>
        <w:jc w:val="left"/>
        <w:rPr>
          <w:i/>
          <w:sz w:val="20"/>
        </w:rPr>
      </w:pPr>
      <w:bookmarkStart w:name="_bookmark56" w:id="95"/>
      <w:bookmarkEnd w:id="95"/>
      <w:r>
        <w:rPr/>
      </w:r>
      <w:bookmarkStart w:name="_bookmark56" w:id="96"/>
      <w:bookmarkEnd w:id="96"/>
      <w:r>
        <w:rPr>
          <w:i/>
          <w:sz w:val="20"/>
          <w:u w:val="single"/>
        </w:rPr>
        <w:t>C</w:t>
      </w:r>
      <w:r>
        <w:rPr>
          <w:i/>
          <w:sz w:val="20"/>
          <w:u w:val="single"/>
        </w:rPr>
        <w:t>onclusión</w:t>
      </w:r>
    </w:p>
    <w:p>
      <w:pPr>
        <w:pStyle w:val="BodyText"/>
        <w:spacing w:before="11"/>
        <w:rPr>
          <w:i/>
          <w:sz w:val="11"/>
        </w:rPr>
      </w:pPr>
    </w:p>
    <w:p>
      <w:pPr>
        <w:pStyle w:val="ListParagraph"/>
        <w:numPr>
          <w:ilvl w:val="0"/>
          <w:numId w:val="27"/>
        </w:numPr>
        <w:tabs>
          <w:tab w:pos="830" w:val="left" w:leader="none"/>
        </w:tabs>
        <w:spacing w:line="240" w:lineRule="auto" w:before="99" w:after="0"/>
        <w:ind w:left="122" w:right="126" w:firstLine="0"/>
        <w:jc w:val="both"/>
        <w:rPr>
          <w:sz w:val="20"/>
        </w:rPr>
      </w:pPr>
      <w:r>
        <w:rPr>
          <w:sz w:val="20"/>
        </w:rPr>
        <w:t>Por los motivos expuestos, en relación con la construcción del puente internacional, la Corte concluye que el Estado incumplió su obligación de procurar mecanismos adecuados de consulta libre, previa e informada a las comunidades indígenas afectadas. Por ende, vulneró en su perjuicio el derecho de propiedad y a la participación, en relación con las obligaciones estatales de respetar y garantizar los derechos.</w:t>
      </w:r>
      <w:r>
        <w:rPr>
          <w:spacing w:val="-14"/>
          <w:sz w:val="20"/>
        </w:rPr>
        <w:t> </w:t>
      </w:r>
      <w:r>
        <w:rPr>
          <w:sz w:val="20"/>
        </w:rPr>
        <w:t>Por</w:t>
      </w:r>
      <w:r>
        <w:rPr>
          <w:spacing w:val="-14"/>
          <w:sz w:val="20"/>
        </w:rPr>
        <w:t> </w:t>
      </w:r>
      <w:r>
        <w:rPr>
          <w:sz w:val="20"/>
        </w:rPr>
        <w:t>ese</w:t>
      </w:r>
      <w:r>
        <w:rPr>
          <w:spacing w:val="-15"/>
          <w:sz w:val="20"/>
        </w:rPr>
        <w:t> </w:t>
      </w:r>
      <w:r>
        <w:rPr>
          <w:sz w:val="20"/>
        </w:rPr>
        <w:t>motivo,</w:t>
      </w:r>
      <w:r>
        <w:rPr>
          <w:spacing w:val="-16"/>
          <w:sz w:val="20"/>
        </w:rPr>
        <w:t> </w:t>
      </w:r>
      <w:r>
        <w:rPr>
          <w:sz w:val="20"/>
        </w:rPr>
        <w:t>incumplió</w:t>
      </w:r>
      <w:r>
        <w:rPr>
          <w:spacing w:val="-14"/>
          <w:sz w:val="20"/>
        </w:rPr>
        <w:t> </w:t>
      </w:r>
      <w:r>
        <w:rPr>
          <w:sz w:val="20"/>
        </w:rPr>
        <w:t>los</w:t>
      </w:r>
      <w:r>
        <w:rPr>
          <w:spacing w:val="-16"/>
          <w:sz w:val="20"/>
        </w:rPr>
        <w:t> </w:t>
      </w:r>
      <w:r>
        <w:rPr>
          <w:sz w:val="20"/>
        </w:rPr>
        <w:t>artículos</w:t>
      </w:r>
      <w:r>
        <w:rPr>
          <w:spacing w:val="-16"/>
          <w:sz w:val="20"/>
        </w:rPr>
        <w:t> </w:t>
      </w:r>
      <w:r>
        <w:rPr>
          <w:sz w:val="20"/>
        </w:rPr>
        <w:t>21</w:t>
      </w:r>
      <w:r>
        <w:rPr>
          <w:spacing w:val="-12"/>
          <w:sz w:val="20"/>
        </w:rPr>
        <w:t> </w:t>
      </w:r>
      <w:r>
        <w:rPr>
          <w:sz w:val="20"/>
        </w:rPr>
        <w:t>y</w:t>
      </w:r>
      <w:r>
        <w:rPr>
          <w:spacing w:val="-15"/>
          <w:sz w:val="20"/>
        </w:rPr>
        <w:t> </w:t>
      </w:r>
      <w:r>
        <w:rPr>
          <w:sz w:val="20"/>
        </w:rPr>
        <w:t>23.1</w:t>
      </w:r>
      <w:r>
        <w:rPr>
          <w:spacing w:val="-12"/>
          <w:sz w:val="20"/>
        </w:rPr>
        <w:t> </w:t>
      </w:r>
      <w:r>
        <w:rPr>
          <w:sz w:val="20"/>
        </w:rPr>
        <w:t>de</w:t>
      </w:r>
      <w:r>
        <w:rPr>
          <w:spacing w:val="-14"/>
          <w:sz w:val="20"/>
        </w:rPr>
        <w:t> </w:t>
      </w:r>
      <w:r>
        <w:rPr>
          <w:sz w:val="20"/>
        </w:rPr>
        <w:t>la</w:t>
      </w:r>
      <w:r>
        <w:rPr>
          <w:spacing w:val="-15"/>
          <w:sz w:val="20"/>
        </w:rPr>
        <w:t> </w:t>
      </w:r>
      <w:r>
        <w:rPr>
          <w:sz w:val="20"/>
        </w:rPr>
        <w:t>Convención,</w:t>
      </w:r>
      <w:r>
        <w:rPr>
          <w:spacing w:val="-13"/>
          <w:sz w:val="20"/>
        </w:rPr>
        <w:t> </w:t>
      </w:r>
      <w:r>
        <w:rPr>
          <w:sz w:val="20"/>
        </w:rPr>
        <w:t>en</w:t>
      </w:r>
      <w:r>
        <w:rPr>
          <w:spacing w:val="-12"/>
          <w:sz w:val="20"/>
        </w:rPr>
        <w:t> </w:t>
      </w:r>
      <w:r>
        <w:rPr>
          <w:sz w:val="20"/>
        </w:rPr>
        <w:t>relación con el artículo 1.1 del</w:t>
      </w:r>
      <w:r>
        <w:rPr>
          <w:spacing w:val="-12"/>
          <w:sz w:val="20"/>
        </w:rPr>
        <w:t> </w:t>
      </w:r>
      <w:r>
        <w:rPr>
          <w:sz w:val="20"/>
        </w:rPr>
        <w:t>tratado.</w:t>
      </w:r>
    </w:p>
    <w:p>
      <w:pPr>
        <w:pStyle w:val="BodyText"/>
        <w:spacing w:before="10"/>
        <w:rPr>
          <w:sz w:val="19"/>
        </w:rPr>
      </w:pPr>
    </w:p>
    <w:p>
      <w:pPr>
        <w:pStyle w:val="ListParagraph"/>
        <w:numPr>
          <w:ilvl w:val="0"/>
          <w:numId w:val="27"/>
        </w:numPr>
        <w:tabs>
          <w:tab w:pos="830" w:val="left" w:leader="none"/>
        </w:tabs>
        <w:spacing w:line="240" w:lineRule="auto" w:before="0" w:after="0"/>
        <w:ind w:left="122" w:right="128" w:firstLine="0"/>
        <w:jc w:val="both"/>
        <w:rPr>
          <w:sz w:val="20"/>
        </w:rPr>
      </w:pPr>
      <w:r>
        <w:rPr>
          <w:sz w:val="20"/>
        </w:rPr>
        <w:t>La</w:t>
      </w:r>
      <w:r>
        <w:rPr>
          <w:spacing w:val="-12"/>
          <w:sz w:val="20"/>
        </w:rPr>
        <w:t> </w:t>
      </w:r>
      <w:r>
        <w:rPr>
          <w:sz w:val="20"/>
        </w:rPr>
        <w:t>Corte</w:t>
      </w:r>
      <w:r>
        <w:rPr>
          <w:spacing w:val="-10"/>
          <w:sz w:val="20"/>
        </w:rPr>
        <w:t> </w:t>
      </w:r>
      <w:r>
        <w:rPr>
          <w:sz w:val="20"/>
        </w:rPr>
        <w:t>considera</w:t>
      </w:r>
      <w:r>
        <w:rPr>
          <w:spacing w:val="-11"/>
          <w:sz w:val="20"/>
        </w:rPr>
        <w:t> </w:t>
      </w:r>
      <w:r>
        <w:rPr>
          <w:sz w:val="20"/>
        </w:rPr>
        <w:t>que</w:t>
      </w:r>
      <w:r>
        <w:rPr>
          <w:spacing w:val="-8"/>
          <w:sz w:val="20"/>
        </w:rPr>
        <w:t> </w:t>
      </w:r>
      <w:r>
        <w:rPr>
          <w:sz w:val="20"/>
        </w:rPr>
        <w:t>no</w:t>
      </w:r>
      <w:r>
        <w:rPr>
          <w:spacing w:val="-12"/>
          <w:sz w:val="20"/>
        </w:rPr>
        <w:t> </w:t>
      </w:r>
      <w:r>
        <w:rPr>
          <w:sz w:val="20"/>
        </w:rPr>
        <w:t>cuenta</w:t>
      </w:r>
      <w:r>
        <w:rPr>
          <w:spacing w:val="-9"/>
          <w:sz w:val="20"/>
        </w:rPr>
        <w:t> </w:t>
      </w:r>
      <w:r>
        <w:rPr>
          <w:sz w:val="20"/>
        </w:rPr>
        <w:t>con</w:t>
      </w:r>
      <w:r>
        <w:rPr>
          <w:spacing w:val="-8"/>
          <w:sz w:val="20"/>
        </w:rPr>
        <w:t> </w:t>
      </w:r>
      <w:r>
        <w:rPr>
          <w:sz w:val="20"/>
        </w:rPr>
        <w:t>elementos</w:t>
      </w:r>
      <w:r>
        <w:rPr>
          <w:spacing w:val="-12"/>
          <w:sz w:val="20"/>
        </w:rPr>
        <w:t> </w:t>
      </w:r>
      <w:r>
        <w:rPr>
          <w:sz w:val="20"/>
        </w:rPr>
        <w:t>específicos</w:t>
      </w:r>
      <w:r>
        <w:rPr>
          <w:spacing w:val="-12"/>
          <w:sz w:val="20"/>
        </w:rPr>
        <w:t> </w:t>
      </w:r>
      <w:r>
        <w:rPr>
          <w:sz w:val="20"/>
        </w:rPr>
        <w:t>para</w:t>
      </w:r>
      <w:r>
        <w:rPr>
          <w:spacing w:val="-11"/>
          <w:sz w:val="20"/>
        </w:rPr>
        <w:t> </w:t>
      </w:r>
      <w:r>
        <w:rPr>
          <w:sz w:val="20"/>
        </w:rPr>
        <w:t>determinar</w:t>
      </w:r>
      <w:r>
        <w:rPr>
          <w:spacing w:val="-12"/>
          <w:sz w:val="20"/>
        </w:rPr>
        <w:t> </w:t>
      </w:r>
      <w:r>
        <w:rPr>
          <w:sz w:val="20"/>
        </w:rPr>
        <w:t>una lesión al derecho a acceder a la información en forma adicional a la violación al</w:t>
      </w:r>
      <w:r>
        <w:rPr>
          <w:spacing w:val="-46"/>
          <w:sz w:val="20"/>
        </w:rPr>
        <w:t> </w:t>
      </w:r>
      <w:r>
        <w:rPr>
          <w:sz w:val="20"/>
        </w:rPr>
        <w:t>derecho a la participación. Por ello, entiende que no corresponde pronunciarse sobre la alegada vulneración al artículo 13 de la</w:t>
      </w:r>
      <w:r>
        <w:rPr>
          <w:spacing w:val="-18"/>
          <w:sz w:val="20"/>
        </w:rPr>
        <w:t> </w:t>
      </w:r>
      <w:r>
        <w:rPr>
          <w:sz w:val="20"/>
        </w:rPr>
        <w:t>Convención.</w:t>
      </w:r>
    </w:p>
    <w:p>
      <w:pPr>
        <w:pStyle w:val="BodyText"/>
        <w:spacing w:before="1"/>
      </w:pPr>
    </w:p>
    <w:p>
      <w:pPr>
        <w:pStyle w:val="Heading3"/>
        <w:spacing w:line="243" w:lineRule="exact"/>
        <w:ind w:right="312"/>
      </w:pPr>
      <w:bookmarkStart w:name="_bookmark57" w:id="97"/>
      <w:bookmarkEnd w:id="97"/>
      <w:r>
        <w:rPr>
          <w:b w:val="0"/>
        </w:rPr>
      </w:r>
      <w:r>
        <w:rPr/>
        <w:t>VII.2</w:t>
      </w:r>
    </w:p>
    <w:p>
      <w:pPr>
        <w:spacing w:before="0"/>
        <w:ind w:left="312" w:right="313" w:firstLine="0"/>
        <w:jc w:val="center"/>
        <w:rPr>
          <w:sz w:val="13"/>
        </w:rPr>
      </w:pPr>
      <w:bookmarkStart w:name="_bookmark58" w:id="98"/>
      <w:bookmarkEnd w:id="98"/>
      <w:r>
        <w:rPr/>
      </w:r>
      <w:r>
        <w:rPr>
          <w:b/>
          <w:sz w:val="20"/>
        </w:rPr>
        <w:t>DERECHOS DE CIRCULACIÓN Y DE RESIDENCIA, A UN MEDIO AMBIENTE SANO, A UNA ALIMENTACIÓN ADECUADA, AL AGUA Y A PARTICIPAR EN LA VIDA CULTURAL EN RELACIÓN CON LAS OBLIGACIONES DE RESPETAR Y GARANTIZAR LOS DERECHOS</w:t>
      </w:r>
      <w:r>
        <w:rPr>
          <w:position w:val="7"/>
          <w:sz w:val="13"/>
        </w:rPr>
        <w:t>171</w:t>
      </w:r>
    </w:p>
    <w:p>
      <w:pPr>
        <w:pStyle w:val="BodyText"/>
        <w:spacing w:before="11"/>
        <w:rPr>
          <w:sz w:val="19"/>
        </w:rPr>
      </w:pPr>
    </w:p>
    <w:p>
      <w:pPr>
        <w:pStyle w:val="Heading4"/>
        <w:numPr>
          <w:ilvl w:val="0"/>
          <w:numId w:val="30"/>
        </w:numPr>
        <w:tabs>
          <w:tab w:pos="766" w:val="left" w:leader="none"/>
        </w:tabs>
        <w:spacing w:line="240" w:lineRule="auto" w:before="0" w:after="0"/>
        <w:ind w:left="765" w:right="0" w:hanging="360"/>
        <w:jc w:val="left"/>
        <w:rPr>
          <w:b w:val="0"/>
          <w:i w:val="0"/>
          <w:sz w:val="13"/>
        </w:rPr>
      </w:pPr>
      <w:bookmarkStart w:name="_bookmark59" w:id="99"/>
      <w:bookmarkEnd w:id="99"/>
      <w:r>
        <w:rPr>
          <w:b w:val="0"/>
          <w:i w:val="0"/>
        </w:rPr>
      </w:r>
      <w:bookmarkStart w:name="_bookmark59" w:id="100"/>
      <w:bookmarkEnd w:id="100"/>
      <w:r>
        <w:rPr>
          <w:i/>
          <w:u w:val="thick"/>
        </w:rPr>
        <w:t>A</w:t>
      </w:r>
      <w:r>
        <w:rPr>
          <w:i/>
          <w:u w:val="thick"/>
        </w:rPr>
        <w:t>rgumentos de las</w:t>
      </w:r>
      <w:r>
        <w:rPr>
          <w:i/>
          <w:spacing w:val="-12"/>
          <w:u w:val="thick"/>
        </w:rPr>
        <w:t> </w:t>
      </w:r>
      <w:r>
        <w:rPr>
          <w:i/>
          <w:u w:val="thick"/>
        </w:rPr>
        <w:t>partes</w:t>
      </w:r>
      <w:r>
        <w:rPr>
          <w:b w:val="0"/>
          <w:i w:val="0"/>
          <w:position w:val="7"/>
          <w:sz w:val="13"/>
        </w:rPr>
        <w:t>172</w:t>
      </w:r>
    </w:p>
    <w:p>
      <w:pPr>
        <w:pStyle w:val="BodyText"/>
        <w:spacing w:before="10"/>
        <w:rPr>
          <w:sz w:val="11"/>
        </w:rPr>
      </w:pPr>
    </w:p>
    <w:p>
      <w:pPr>
        <w:pStyle w:val="ListParagraph"/>
        <w:numPr>
          <w:ilvl w:val="0"/>
          <w:numId w:val="27"/>
        </w:numPr>
        <w:tabs>
          <w:tab w:pos="830" w:val="left" w:leader="none"/>
        </w:tabs>
        <w:spacing w:line="240" w:lineRule="auto" w:before="100" w:after="0"/>
        <w:ind w:left="122" w:right="122" w:firstLine="0"/>
        <w:jc w:val="both"/>
        <w:rPr>
          <w:sz w:val="20"/>
        </w:rPr>
      </w:pPr>
      <w:r>
        <w:rPr>
          <w:sz w:val="20"/>
        </w:rPr>
        <w:t>Los </w:t>
      </w:r>
      <w:r>
        <w:rPr>
          <w:b/>
          <w:i/>
          <w:sz w:val="20"/>
        </w:rPr>
        <w:t>representantes </w:t>
      </w:r>
      <w:r>
        <w:rPr>
          <w:sz w:val="20"/>
        </w:rPr>
        <w:t>alegaron que la instalación de alambrados por parte de terceros implicó una “interferencia ilegítima e injustificada” en el ejercicio de la libertad de circulación de las comunidades indígenas, que no tuvo respuesta por parte de las autoridades.</w:t>
      </w:r>
      <w:r>
        <w:rPr>
          <w:spacing w:val="-20"/>
          <w:sz w:val="20"/>
        </w:rPr>
        <w:t> </w:t>
      </w:r>
      <w:r>
        <w:rPr>
          <w:sz w:val="20"/>
        </w:rPr>
        <w:t>Afirmaron,</w:t>
      </w:r>
      <w:r>
        <w:rPr>
          <w:spacing w:val="-17"/>
          <w:sz w:val="20"/>
        </w:rPr>
        <w:t> </w:t>
      </w:r>
      <w:r>
        <w:rPr>
          <w:sz w:val="20"/>
        </w:rPr>
        <w:t>por</w:t>
      </w:r>
      <w:r>
        <w:rPr>
          <w:spacing w:val="-19"/>
          <w:sz w:val="20"/>
        </w:rPr>
        <w:t> </w:t>
      </w:r>
      <w:r>
        <w:rPr>
          <w:sz w:val="20"/>
        </w:rPr>
        <w:t>ello,</w:t>
      </w:r>
      <w:r>
        <w:rPr>
          <w:spacing w:val="-20"/>
          <w:sz w:val="20"/>
        </w:rPr>
        <w:t> </w:t>
      </w:r>
      <w:r>
        <w:rPr>
          <w:sz w:val="20"/>
        </w:rPr>
        <w:t>que</w:t>
      </w:r>
      <w:r>
        <w:rPr>
          <w:spacing w:val="-21"/>
          <w:sz w:val="20"/>
        </w:rPr>
        <w:t> </w:t>
      </w:r>
      <w:r>
        <w:rPr>
          <w:sz w:val="20"/>
        </w:rPr>
        <w:t>hubo</w:t>
      </w:r>
      <w:r>
        <w:rPr>
          <w:spacing w:val="-21"/>
          <w:sz w:val="20"/>
        </w:rPr>
        <w:t> </w:t>
      </w:r>
      <w:r>
        <w:rPr>
          <w:sz w:val="20"/>
        </w:rPr>
        <w:t>una</w:t>
      </w:r>
      <w:r>
        <w:rPr>
          <w:spacing w:val="-20"/>
          <w:sz w:val="20"/>
        </w:rPr>
        <w:t> </w:t>
      </w:r>
      <w:r>
        <w:rPr>
          <w:sz w:val="20"/>
        </w:rPr>
        <w:t>violación</w:t>
      </w:r>
      <w:r>
        <w:rPr>
          <w:spacing w:val="-19"/>
          <w:sz w:val="20"/>
        </w:rPr>
        <w:t> </w:t>
      </w:r>
      <w:r>
        <w:rPr>
          <w:sz w:val="20"/>
        </w:rPr>
        <w:t>del</w:t>
      </w:r>
      <w:r>
        <w:rPr>
          <w:spacing w:val="-20"/>
          <w:sz w:val="20"/>
        </w:rPr>
        <w:t> </w:t>
      </w:r>
      <w:r>
        <w:rPr>
          <w:sz w:val="20"/>
        </w:rPr>
        <w:t>artículo</w:t>
      </w:r>
      <w:r>
        <w:rPr>
          <w:spacing w:val="-21"/>
          <w:sz w:val="20"/>
        </w:rPr>
        <w:t> </w:t>
      </w:r>
      <w:r>
        <w:rPr>
          <w:sz w:val="20"/>
        </w:rPr>
        <w:t>22</w:t>
      </w:r>
      <w:r>
        <w:rPr>
          <w:spacing w:val="-19"/>
          <w:sz w:val="20"/>
        </w:rPr>
        <w:t> </w:t>
      </w:r>
      <w:r>
        <w:rPr>
          <w:sz w:val="20"/>
        </w:rPr>
        <w:t>de</w:t>
      </w:r>
      <w:r>
        <w:rPr>
          <w:spacing w:val="-21"/>
          <w:sz w:val="20"/>
        </w:rPr>
        <w:t> </w:t>
      </w:r>
      <w:r>
        <w:rPr>
          <w:sz w:val="20"/>
        </w:rPr>
        <w:t>la</w:t>
      </w:r>
      <w:r>
        <w:rPr>
          <w:spacing w:val="-20"/>
          <w:sz w:val="20"/>
        </w:rPr>
        <w:t> </w:t>
      </w:r>
      <w:r>
        <w:rPr>
          <w:sz w:val="20"/>
        </w:rPr>
        <w:t>Convención. Además, sostuvieron que el Estado vulneró “los derechos al medio ambiente [sano], a la identidad cultural y a la alimentación [adecuada]”, como derechos autónomos, que entendieron  contenidos  en  el  artículo 26  de  la  Convención</w:t>
      </w:r>
      <w:r>
        <w:rPr>
          <w:position w:val="7"/>
          <w:sz w:val="13"/>
        </w:rPr>
        <w:t>173</w:t>
      </w:r>
      <w:r>
        <w:rPr>
          <w:sz w:val="20"/>
        </w:rPr>
        <w:t>. Adujeron  que</w:t>
      </w:r>
      <w:r>
        <w:rPr>
          <w:spacing w:val="59"/>
          <w:sz w:val="20"/>
        </w:rPr>
        <w:t> </w:t>
      </w:r>
      <w:r>
        <w:rPr>
          <w:sz w:val="20"/>
        </w:rPr>
        <w:t>estos</w:t>
      </w:r>
    </w:p>
    <w:p>
      <w:pPr>
        <w:pStyle w:val="BodyText"/>
        <w:spacing w:before="6"/>
        <w:rPr>
          <w:sz w:val="9"/>
        </w:rPr>
      </w:pPr>
      <w:r>
        <w:rPr/>
        <w:pict>
          <v:line style="position:absolute;mso-position-horizontal-relative:page;mso-position-vertical-relative:paragraph;z-index:2440;mso-wrap-distance-left:0;mso-wrap-distance-right:0" from="85.103996pt,8.094108pt" to="229.123996pt,8.094108pt" stroked="true" strokeweight=".72pt" strokecolor="#000000">
            <v:stroke dashstyle="solid"/>
            <w10:wrap type="topAndBottom"/>
          </v:line>
        </w:pict>
      </w:r>
    </w:p>
    <w:p>
      <w:pPr>
        <w:tabs>
          <w:tab w:pos="829" w:val="left" w:leader="none"/>
        </w:tabs>
        <w:spacing w:before="71"/>
        <w:ind w:left="122" w:right="0" w:firstLine="0"/>
        <w:jc w:val="both"/>
        <w:rPr>
          <w:sz w:val="16"/>
        </w:rPr>
      </w:pPr>
      <w:r>
        <w:rPr>
          <w:position w:val="6"/>
          <w:sz w:val="10"/>
        </w:rPr>
        <w:t>171</w:t>
        <w:tab/>
      </w:r>
      <w:r>
        <w:rPr>
          <w:sz w:val="16"/>
        </w:rPr>
        <w:t>Artículos 22, 26 y 1.1 de la Convención</w:t>
      </w:r>
      <w:r>
        <w:rPr>
          <w:spacing w:val="-16"/>
          <w:sz w:val="16"/>
        </w:rPr>
        <w:t> </w:t>
      </w:r>
      <w:r>
        <w:rPr>
          <w:sz w:val="16"/>
        </w:rPr>
        <w:t>Americana.</w:t>
      </w:r>
    </w:p>
    <w:p>
      <w:pPr>
        <w:pStyle w:val="BodyText"/>
        <w:spacing w:before="11"/>
        <w:rPr>
          <w:sz w:val="15"/>
        </w:rPr>
      </w:pPr>
    </w:p>
    <w:p>
      <w:pPr>
        <w:tabs>
          <w:tab w:pos="829" w:val="left" w:leader="none"/>
        </w:tabs>
        <w:spacing w:before="0"/>
        <w:ind w:left="122" w:right="114" w:firstLine="0"/>
        <w:jc w:val="both"/>
        <w:rPr>
          <w:sz w:val="16"/>
        </w:rPr>
      </w:pPr>
      <w:r>
        <w:rPr>
          <w:position w:val="6"/>
          <w:sz w:val="10"/>
        </w:rPr>
        <w:t>172</w:t>
        <w:tab/>
      </w:r>
      <w:r>
        <w:rPr>
          <w:sz w:val="16"/>
        </w:rPr>
        <w:t>La</w:t>
      </w:r>
      <w:r>
        <w:rPr>
          <w:spacing w:val="-3"/>
          <w:sz w:val="16"/>
        </w:rPr>
        <w:t> </w:t>
      </w:r>
      <w:r>
        <w:rPr>
          <w:b/>
          <w:i/>
          <w:sz w:val="16"/>
        </w:rPr>
        <w:t>Comisión </w:t>
      </w:r>
      <w:r>
        <w:rPr>
          <w:sz w:val="16"/>
        </w:rPr>
        <w:t>no</w:t>
      </w:r>
      <w:r>
        <w:rPr>
          <w:spacing w:val="-4"/>
          <w:sz w:val="16"/>
        </w:rPr>
        <w:t> </w:t>
      </w:r>
      <w:r>
        <w:rPr>
          <w:sz w:val="16"/>
        </w:rPr>
        <w:t>determinó</w:t>
      </w:r>
      <w:r>
        <w:rPr>
          <w:spacing w:val="-4"/>
          <w:sz w:val="16"/>
        </w:rPr>
        <w:t> </w:t>
      </w:r>
      <w:r>
        <w:rPr>
          <w:sz w:val="16"/>
        </w:rPr>
        <w:t>violaciones</w:t>
      </w:r>
      <w:r>
        <w:rPr>
          <w:spacing w:val="-2"/>
          <w:sz w:val="16"/>
        </w:rPr>
        <w:t> </w:t>
      </w:r>
      <w:r>
        <w:rPr>
          <w:sz w:val="16"/>
        </w:rPr>
        <w:t>al</w:t>
      </w:r>
      <w:r>
        <w:rPr>
          <w:spacing w:val="-4"/>
          <w:sz w:val="16"/>
        </w:rPr>
        <w:t> </w:t>
      </w:r>
      <w:r>
        <w:rPr>
          <w:sz w:val="16"/>
        </w:rPr>
        <w:t>artículo</w:t>
      </w:r>
      <w:r>
        <w:rPr>
          <w:spacing w:val="-4"/>
          <w:sz w:val="16"/>
        </w:rPr>
        <w:t> </w:t>
      </w:r>
      <w:r>
        <w:rPr>
          <w:sz w:val="16"/>
        </w:rPr>
        <w:t>26</w:t>
      </w:r>
      <w:r>
        <w:rPr>
          <w:spacing w:val="-4"/>
          <w:sz w:val="16"/>
        </w:rPr>
        <w:t> </w:t>
      </w:r>
      <w:r>
        <w:rPr>
          <w:sz w:val="16"/>
        </w:rPr>
        <w:t>de</w:t>
      </w:r>
      <w:r>
        <w:rPr>
          <w:spacing w:val="-3"/>
          <w:sz w:val="16"/>
        </w:rPr>
        <w:t> </w:t>
      </w:r>
      <w:r>
        <w:rPr>
          <w:sz w:val="16"/>
        </w:rPr>
        <w:t>la</w:t>
      </w:r>
      <w:r>
        <w:rPr>
          <w:spacing w:val="-6"/>
          <w:sz w:val="16"/>
        </w:rPr>
        <w:t> </w:t>
      </w:r>
      <w:r>
        <w:rPr>
          <w:sz w:val="16"/>
        </w:rPr>
        <w:t>Convención</w:t>
      </w:r>
      <w:r>
        <w:rPr>
          <w:spacing w:val="-4"/>
          <w:sz w:val="16"/>
        </w:rPr>
        <w:t> </w:t>
      </w:r>
      <w:r>
        <w:rPr>
          <w:sz w:val="16"/>
        </w:rPr>
        <w:t>en</w:t>
      </w:r>
      <w:r>
        <w:rPr>
          <w:spacing w:val="-4"/>
          <w:sz w:val="16"/>
        </w:rPr>
        <w:t> </w:t>
      </w:r>
      <w:r>
        <w:rPr>
          <w:sz w:val="16"/>
        </w:rPr>
        <w:t>su</w:t>
      </w:r>
      <w:r>
        <w:rPr>
          <w:spacing w:val="-4"/>
          <w:sz w:val="16"/>
        </w:rPr>
        <w:t> </w:t>
      </w:r>
      <w:r>
        <w:rPr>
          <w:sz w:val="16"/>
        </w:rPr>
        <w:t>Informe</w:t>
      </w:r>
      <w:r>
        <w:rPr>
          <w:spacing w:val="-3"/>
          <w:sz w:val="16"/>
        </w:rPr>
        <w:t> </w:t>
      </w:r>
      <w:r>
        <w:rPr>
          <w:sz w:val="16"/>
        </w:rPr>
        <w:t>de</w:t>
      </w:r>
      <w:r>
        <w:rPr>
          <w:spacing w:val="-5"/>
          <w:sz w:val="16"/>
        </w:rPr>
        <w:t> </w:t>
      </w:r>
      <w:r>
        <w:rPr>
          <w:sz w:val="16"/>
        </w:rPr>
        <w:t>Fondo</w:t>
      </w:r>
      <w:r>
        <w:rPr>
          <w:spacing w:val="-4"/>
          <w:sz w:val="16"/>
        </w:rPr>
        <w:t> </w:t>
      </w:r>
      <w:r>
        <w:rPr>
          <w:sz w:val="16"/>
        </w:rPr>
        <w:t>2/12,</w:t>
      </w:r>
      <w:r>
        <w:rPr>
          <w:w w:val="100"/>
          <w:sz w:val="16"/>
        </w:rPr>
        <w:t> </w:t>
      </w:r>
      <w:r>
        <w:rPr>
          <w:sz w:val="16"/>
        </w:rPr>
        <w:t>emitido en 2012. Sin perjuicio de lo anterior, en sus observaciones finales escritas expresó que “considera importante que, dado el reciente desarrollo de la jurisprudencia de [la] Corte, [ésta] pueda desarrollar, por primera vez, la violación del artículo 26, respeto a los derechos territoriales de los pueblos indígenas, en particular en lo relativo al derecho a la alimentación y otros que resulten pertinentes”. Por otra parte, en su Informe de Fondo la Comisión notó que “la estrecha vinculación entre los pueblos indígenas y tribales y sus territorios tradicionales y los recursos naturales que allí se encuentran es un elemento constitutivo de su cultura en tanto forma de vida particular[. …] Por ello, al ser el territorio y los recursos naturales elementos integrantes de la cosmovisión, vida espiritual y forma de subsistencia de los pueblos indígenas y tribales, forman parte intrínseca del derecho de las personas que los conforman a la identidad cultural”. Asimismo, afirmó que las autoridades estatales deben “implementar los estándares de protección medioambiental existentes a nivel nacional e internacional”, lo que cobra “especial importancia” respecto a “actores no estatales”. Agregó que los Estados deben “prevenir los daños al medio ambiente en territorios indígenas”. Considerando lo anterior, se refirió en el Informe de Fondo a la “deforestación” en el caso, expresando que “[p]ese</w:t>
      </w:r>
      <w:r>
        <w:rPr>
          <w:spacing w:val="-3"/>
          <w:sz w:val="16"/>
        </w:rPr>
        <w:t> </w:t>
      </w:r>
      <w:r>
        <w:rPr>
          <w:sz w:val="16"/>
        </w:rPr>
        <w:t>a</w:t>
      </w:r>
      <w:r>
        <w:rPr>
          <w:spacing w:val="-4"/>
          <w:sz w:val="16"/>
        </w:rPr>
        <w:t> </w:t>
      </w:r>
      <w:r>
        <w:rPr>
          <w:sz w:val="16"/>
        </w:rPr>
        <w:t>la</w:t>
      </w:r>
      <w:r>
        <w:rPr>
          <w:spacing w:val="-2"/>
          <w:sz w:val="16"/>
        </w:rPr>
        <w:t> </w:t>
      </w:r>
      <w:r>
        <w:rPr>
          <w:sz w:val="16"/>
        </w:rPr>
        <w:t>suscripción</w:t>
      </w:r>
      <w:r>
        <w:rPr>
          <w:spacing w:val="-4"/>
          <w:sz w:val="16"/>
        </w:rPr>
        <w:t> </w:t>
      </w:r>
      <w:r>
        <w:rPr>
          <w:sz w:val="16"/>
        </w:rPr>
        <w:t>de</w:t>
      </w:r>
      <w:r>
        <w:rPr>
          <w:spacing w:val="-4"/>
          <w:sz w:val="16"/>
        </w:rPr>
        <w:t> </w:t>
      </w:r>
      <w:r>
        <w:rPr>
          <w:sz w:val="16"/>
        </w:rPr>
        <w:t>sucesivos</w:t>
      </w:r>
      <w:r>
        <w:rPr>
          <w:spacing w:val="-4"/>
          <w:sz w:val="16"/>
        </w:rPr>
        <w:t> </w:t>
      </w:r>
      <w:r>
        <w:rPr>
          <w:sz w:val="16"/>
        </w:rPr>
        <w:t>acuerdos</w:t>
      </w:r>
      <w:r>
        <w:rPr>
          <w:spacing w:val="-4"/>
          <w:sz w:val="16"/>
        </w:rPr>
        <w:t> </w:t>
      </w:r>
      <w:r>
        <w:rPr>
          <w:sz w:val="16"/>
        </w:rPr>
        <w:t>sustantivos</w:t>
      </w:r>
      <w:r>
        <w:rPr>
          <w:spacing w:val="-6"/>
          <w:sz w:val="16"/>
        </w:rPr>
        <w:t> </w:t>
      </w:r>
      <w:r>
        <w:rPr>
          <w:sz w:val="16"/>
        </w:rPr>
        <w:t>y</w:t>
      </w:r>
      <w:r>
        <w:rPr>
          <w:spacing w:val="-1"/>
          <w:sz w:val="16"/>
        </w:rPr>
        <w:t> </w:t>
      </w:r>
      <w:r>
        <w:rPr>
          <w:sz w:val="16"/>
        </w:rPr>
        <w:t>la</w:t>
      </w:r>
      <w:r>
        <w:rPr>
          <w:spacing w:val="-4"/>
          <w:sz w:val="16"/>
        </w:rPr>
        <w:t> </w:t>
      </w:r>
      <w:r>
        <w:rPr>
          <w:sz w:val="16"/>
        </w:rPr>
        <w:t>adquisición</w:t>
      </w:r>
      <w:r>
        <w:rPr>
          <w:spacing w:val="-5"/>
          <w:sz w:val="16"/>
        </w:rPr>
        <w:t> </w:t>
      </w:r>
      <w:r>
        <w:rPr>
          <w:sz w:val="16"/>
        </w:rPr>
        <w:t>de</w:t>
      </w:r>
      <w:r>
        <w:rPr>
          <w:spacing w:val="-4"/>
          <w:sz w:val="16"/>
        </w:rPr>
        <w:t> </w:t>
      </w:r>
      <w:r>
        <w:rPr>
          <w:sz w:val="16"/>
        </w:rPr>
        <w:t>otros</w:t>
      </w:r>
      <w:r>
        <w:rPr>
          <w:spacing w:val="-4"/>
          <w:sz w:val="16"/>
        </w:rPr>
        <w:t> </w:t>
      </w:r>
      <w:r>
        <w:rPr>
          <w:sz w:val="16"/>
        </w:rPr>
        <w:t>compromisos</w:t>
      </w:r>
      <w:r>
        <w:rPr>
          <w:spacing w:val="-4"/>
          <w:sz w:val="16"/>
        </w:rPr>
        <w:t> </w:t>
      </w:r>
      <w:r>
        <w:rPr>
          <w:sz w:val="16"/>
        </w:rPr>
        <w:t>formales</w:t>
      </w:r>
      <w:r>
        <w:rPr>
          <w:spacing w:val="-3"/>
          <w:sz w:val="16"/>
        </w:rPr>
        <w:t> </w:t>
      </w:r>
      <w:r>
        <w:rPr>
          <w:sz w:val="16"/>
        </w:rPr>
        <w:t>en los que [el Estado] anunci[ó] que realizaría […] labores de control de la extracción ilegal de madera, no se demostró […] que tales acciones hubiesen sido adoptadas en forma efectiva y proporcional al serio peligro de deforestación causado por los taladores irregulares dentro del territorio”. La Comisión tampoco adujo una lesión al artículo 22 de la Convención (</w:t>
      </w:r>
      <w:r>
        <w:rPr>
          <w:i/>
          <w:sz w:val="16"/>
        </w:rPr>
        <w:t>supra </w:t>
      </w:r>
      <w:r>
        <w:rPr>
          <w:sz w:val="16"/>
        </w:rPr>
        <w:t>nota a pie de página</w:t>
      </w:r>
      <w:r>
        <w:rPr>
          <w:spacing w:val="-18"/>
          <w:sz w:val="16"/>
        </w:rPr>
        <w:t> </w:t>
      </w:r>
      <w:r>
        <w:rPr>
          <w:sz w:val="16"/>
        </w:rPr>
        <w:t>2).</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173</w:t>
        <w:tab/>
      </w:r>
      <w:r>
        <w:rPr>
          <w:sz w:val="16"/>
        </w:rPr>
        <w:t>Además del artículo 26, los representantes adujeron, en relación con esa norma y dada </w:t>
      </w:r>
      <w:r>
        <w:rPr>
          <w:spacing w:val="37"/>
          <w:sz w:val="16"/>
        </w:rPr>
        <w:t> </w:t>
      </w:r>
      <w:r>
        <w:rPr>
          <w:sz w:val="16"/>
        </w:rPr>
        <w:t>la</w:t>
      </w:r>
      <w:r>
        <w:rPr>
          <w:spacing w:val="6"/>
          <w:sz w:val="16"/>
        </w:rPr>
        <w:t> </w:t>
      </w:r>
      <w:r>
        <w:rPr>
          <w:sz w:val="16"/>
        </w:rPr>
        <w:t>remisión</w:t>
      </w:r>
      <w:r>
        <w:rPr>
          <w:w w:val="100"/>
          <w:sz w:val="16"/>
        </w:rPr>
        <w:t> </w:t>
      </w:r>
      <w:r>
        <w:rPr>
          <w:sz w:val="16"/>
        </w:rPr>
        <w:t>que la misma hace a disposiciones de la Carta de la Organización de Estados Americanos: a) como base normativa del derecho a un medio ambiente sano los artículos 30, 31, 33 y 34 de dicha Carta; b) como base normativa</w:t>
      </w:r>
      <w:r>
        <w:rPr>
          <w:spacing w:val="-6"/>
          <w:sz w:val="16"/>
        </w:rPr>
        <w:t> </w:t>
      </w:r>
      <w:r>
        <w:rPr>
          <w:sz w:val="16"/>
        </w:rPr>
        <w:t>del</w:t>
      </w:r>
      <w:r>
        <w:rPr>
          <w:spacing w:val="-5"/>
          <w:sz w:val="16"/>
        </w:rPr>
        <w:t> </w:t>
      </w:r>
      <w:r>
        <w:rPr>
          <w:sz w:val="16"/>
        </w:rPr>
        <w:t>derecho</w:t>
      </w:r>
      <w:r>
        <w:rPr>
          <w:spacing w:val="-2"/>
          <w:sz w:val="16"/>
        </w:rPr>
        <w:t> </w:t>
      </w:r>
      <w:r>
        <w:rPr>
          <w:sz w:val="16"/>
        </w:rPr>
        <w:t>a</w:t>
      </w:r>
      <w:r>
        <w:rPr>
          <w:spacing w:val="-6"/>
          <w:sz w:val="16"/>
        </w:rPr>
        <w:t> </w:t>
      </w:r>
      <w:r>
        <w:rPr>
          <w:sz w:val="16"/>
        </w:rPr>
        <w:t>la</w:t>
      </w:r>
      <w:r>
        <w:rPr>
          <w:spacing w:val="-3"/>
          <w:sz w:val="16"/>
        </w:rPr>
        <w:t> </w:t>
      </w:r>
      <w:r>
        <w:rPr>
          <w:sz w:val="16"/>
        </w:rPr>
        <w:t>“identidad</w:t>
      </w:r>
      <w:r>
        <w:rPr>
          <w:spacing w:val="-2"/>
          <w:sz w:val="16"/>
        </w:rPr>
        <w:t> </w:t>
      </w:r>
      <w:r>
        <w:rPr>
          <w:sz w:val="16"/>
        </w:rPr>
        <w:t>cultural”,</w:t>
      </w:r>
      <w:r>
        <w:rPr>
          <w:spacing w:val="-4"/>
          <w:sz w:val="16"/>
        </w:rPr>
        <w:t> </w:t>
      </w:r>
      <w:r>
        <w:rPr>
          <w:sz w:val="16"/>
        </w:rPr>
        <w:t>los</w:t>
      </w:r>
      <w:r>
        <w:rPr>
          <w:spacing w:val="-2"/>
          <w:sz w:val="16"/>
        </w:rPr>
        <w:t> </w:t>
      </w:r>
      <w:r>
        <w:rPr>
          <w:sz w:val="16"/>
        </w:rPr>
        <w:t>artículos</w:t>
      </w:r>
      <w:r>
        <w:rPr>
          <w:spacing w:val="-5"/>
          <w:sz w:val="16"/>
        </w:rPr>
        <w:t> </w:t>
      </w:r>
      <w:r>
        <w:rPr>
          <w:sz w:val="16"/>
        </w:rPr>
        <w:t>2,</w:t>
      </w:r>
      <w:r>
        <w:rPr>
          <w:spacing w:val="-6"/>
          <w:sz w:val="16"/>
        </w:rPr>
        <w:t> </w:t>
      </w:r>
      <w:r>
        <w:rPr>
          <w:sz w:val="16"/>
        </w:rPr>
        <w:t>3,</w:t>
      </w:r>
      <w:r>
        <w:rPr>
          <w:spacing w:val="-4"/>
          <w:sz w:val="16"/>
        </w:rPr>
        <w:t> </w:t>
      </w:r>
      <w:r>
        <w:rPr>
          <w:sz w:val="16"/>
        </w:rPr>
        <w:t>17,</w:t>
      </w:r>
      <w:r>
        <w:rPr>
          <w:spacing w:val="-6"/>
          <w:sz w:val="16"/>
        </w:rPr>
        <w:t> </w:t>
      </w:r>
      <w:r>
        <w:rPr>
          <w:sz w:val="16"/>
        </w:rPr>
        <w:t>19,</w:t>
      </w:r>
      <w:r>
        <w:rPr>
          <w:spacing w:val="-4"/>
          <w:sz w:val="16"/>
        </w:rPr>
        <w:t> </w:t>
      </w:r>
      <w:r>
        <w:rPr>
          <w:sz w:val="16"/>
        </w:rPr>
        <w:t>30,</w:t>
      </w:r>
      <w:r>
        <w:rPr>
          <w:spacing w:val="-6"/>
          <w:sz w:val="16"/>
        </w:rPr>
        <w:t> </w:t>
      </w:r>
      <w:r>
        <w:rPr>
          <w:sz w:val="16"/>
        </w:rPr>
        <w:t>45,</w:t>
      </w:r>
      <w:r>
        <w:rPr>
          <w:spacing w:val="-4"/>
          <w:sz w:val="16"/>
        </w:rPr>
        <w:t> </w:t>
      </w:r>
      <w:r>
        <w:rPr>
          <w:sz w:val="16"/>
        </w:rPr>
        <w:t>48</w:t>
      </w:r>
      <w:r>
        <w:rPr>
          <w:spacing w:val="-4"/>
          <w:sz w:val="16"/>
        </w:rPr>
        <w:t> </w:t>
      </w:r>
      <w:r>
        <w:rPr>
          <w:sz w:val="16"/>
        </w:rPr>
        <w:t>y</w:t>
      </w:r>
      <w:r>
        <w:rPr>
          <w:spacing w:val="-4"/>
          <w:sz w:val="16"/>
        </w:rPr>
        <w:t> </w:t>
      </w:r>
      <w:r>
        <w:rPr>
          <w:sz w:val="16"/>
        </w:rPr>
        <w:t>52</w:t>
      </w:r>
      <w:r>
        <w:rPr>
          <w:spacing w:val="-4"/>
          <w:sz w:val="16"/>
        </w:rPr>
        <w:t> </w:t>
      </w:r>
      <w:r>
        <w:rPr>
          <w:sz w:val="16"/>
        </w:rPr>
        <w:t>de</w:t>
      </w:r>
      <w:r>
        <w:rPr>
          <w:spacing w:val="-2"/>
          <w:sz w:val="16"/>
        </w:rPr>
        <w:t> </w:t>
      </w:r>
      <w:r>
        <w:rPr>
          <w:sz w:val="16"/>
        </w:rPr>
        <w:t>la</w:t>
      </w:r>
      <w:r>
        <w:rPr>
          <w:spacing w:val="-3"/>
          <w:sz w:val="16"/>
        </w:rPr>
        <w:t> </w:t>
      </w:r>
      <w:r>
        <w:rPr>
          <w:sz w:val="16"/>
        </w:rPr>
        <w:t>misma</w:t>
      </w:r>
      <w:r>
        <w:rPr>
          <w:spacing w:val="-6"/>
          <w:sz w:val="16"/>
        </w:rPr>
        <w:t> </w:t>
      </w:r>
      <w:r>
        <w:rPr>
          <w:sz w:val="16"/>
        </w:rPr>
        <w:t>Carta</w:t>
      </w:r>
      <w:r>
        <w:rPr>
          <w:spacing w:val="-8"/>
          <w:sz w:val="16"/>
        </w:rPr>
        <w:t> </w:t>
      </w:r>
      <w:r>
        <w:rPr>
          <w:sz w:val="16"/>
        </w:rPr>
        <w:t>y el</w:t>
      </w:r>
      <w:r>
        <w:rPr>
          <w:spacing w:val="-3"/>
          <w:sz w:val="16"/>
        </w:rPr>
        <w:t> </w:t>
      </w:r>
      <w:r>
        <w:rPr>
          <w:sz w:val="16"/>
        </w:rPr>
        <w:t>artículo</w:t>
      </w:r>
      <w:r>
        <w:rPr>
          <w:spacing w:val="-2"/>
          <w:sz w:val="16"/>
        </w:rPr>
        <w:t> </w:t>
      </w:r>
      <w:r>
        <w:rPr>
          <w:sz w:val="16"/>
        </w:rPr>
        <w:t>XIII</w:t>
      </w:r>
      <w:r>
        <w:rPr>
          <w:spacing w:val="-5"/>
          <w:sz w:val="16"/>
        </w:rPr>
        <w:t> </w:t>
      </w:r>
      <w:r>
        <w:rPr>
          <w:sz w:val="16"/>
        </w:rPr>
        <w:t>de</w:t>
      </w:r>
      <w:r>
        <w:rPr>
          <w:spacing w:val="-5"/>
          <w:sz w:val="16"/>
        </w:rPr>
        <w:t> </w:t>
      </w:r>
      <w:r>
        <w:rPr>
          <w:sz w:val="16"/>
        </w:rPr>
        <w:t>la</w:t>
      </w:r>
      <w:r>
        <w:rPr>
          <w:spacing w:val="-6"/>
          <w:sz w:val="16"/>
        </w:rPr>
        <w:t> </w:t>
      </w:r>
      <w:r>
        <w:rPr>
          <w:sz w:val="16"/>
        </w:rPr>
        <w:t>Declaración</w:t>
      </w:r>
      <w:r>
        <w:rPr>
          <w:spacing w:val="-3"/>
          <w:sz w:val="16"/>
        </w:rPr>
        <w:t> </w:t>
      </w:r>
      <w:r>
        <w:rPr>
          <w:sz w:val="16"/>
        </w:rPr>
        <w:t>Americana</w:t>
      </w:r>
      <w:r>
        <w:rPr>
          <w:spacing w:val="-6"/>
          <w:sz w:val="16"/>
        </w:rPr>
        <w:t> </w:t>
      </w:r>
      <w:r>
        <w:rPr>
          <w:sz w:val="16"/>
        </w:rPr>
        <w:t>sobre</w:t>
      </w:r>
      <w:r>
        <w:rPr>
          <w:spacing w:val="-7"/>
          <w:sz w:val="16"/>
        </w:rPr>
        <w:t> </w:t>
      </w:r>
      <w:r>
        <w:rPr>
          <w:sz w:val="16"/>
        </w:rPr>
        <w:t>Derechos</w:t>
      </w:r>
      <w:r>
        <w:rPr>
          <w:spacing w:val="-5"/>
          <w:sz w:val="16"/>
        </w:rPr>
        <w:t> </w:t>
      </w:r>
      <w:r>
        <w:rPr>
          <w:sz w:val="16"/>
        </w:rPr>
        <w:t>y</w:t>
      </w:r>
      <w:r>
        <w:rPr>
          <w:spacing w:val="-4"/>
          <w:sz w:val="16"/>
        </w:rPr>
        <w:t> </w:t>
      </w:r>
      <w:r>
        <w:rPr>
          <w:sz w:val="16"/>
        </w:rPr>
        <w:t>Deberes</w:t>
      </w:r>
      <w:r>
        <w:rPr>
          <w:spacing w:val="-5"/>
          <w:sz w:val="16"/>
        </w:rPr>
        <w:t> </w:t>
      </w:r>
      <w:r>
        <w:rPr>
          <w:sz w:val="16"/>
        </w:rPr>
        <w:t>del</w:t>
      </w:r>
      <w:r>
        <w:rPr>
          <w:spacing w:val="-3"/>
          <w:sz w:val="16"/>
        </w:rPr>
        <w:t> </w:t>
      </w:r>
      <w:r>
        <w:rPr>
          <w:sz w:val="16"/>
        </w:rPr>
        <w:t>Hombre,</w:t>
      </w:r>
      <w:r>
        <w:rPr>
          <w:spacing w:val="-6"/>
          <w:sz w:val="16"/>
        </w:rPr>
        <w:t> </w:t>
      </w:r>
      <w:r>
        <w:rPr>
          <w:sz w:val="16"/>
        </w:rPr>
        <w:t>y</w:t>
      </w:r>
      <w:r>
        <w:rPr>
          <w:spacing w:val="-2"/>
          <w:sz w:val="16"/>
        </w:rPr>
        <w:t> </w:t>
      </w:r>
      <w:r>
        <w:rPr>
          <w:sz w:val="16"/>
        </w:rPr>
        <w:t>c)</w:t>
      </w:r>
      <w:r>
        <w:rPr>
          <w:spacing w:val="-6"/>
          <w:sz w:val="16"/>
        </w:rPr>
        <w:t> </w:t>
      </w:r>
      <w:r>
        <w:rPr>
          <w:sz w:val="16"/>
        </w:rPr>
        <w:t>como</w:t>
      </w:r>
      <w:r>
        <w:rPr>
          <w:spacing w:val="-5"/>
          <w:sz w:val="16"/>
        </w:rPr>
        <w:t> </w:t>
      </w:r>
      <w:r>
        <w:rPr>
          <w:sz w:val="16"/>
        </w:rPr>
        <w:t>base</w:t>
      </w:r>
      <w:r>
        <w:rPr>
          <w:spacing w:val="-5"/>
          <w:sz w:val="16"/>
        </w:rPr>
        <w:t> </w:t>
      </w:r>
      <w:r>
        <w:rPr>
          <w:sz w:val="16"/>
        </w:rPr>
        <w:t>normativa del</w:t>
      </w:r>
      <w:r>
        <w:rPr>
          <w:spacing w:val="21"/>
          <w:sz w:val="16"/>
        </w:rPr>
        <w:t> </w:t>
      </w:r>
      <w:r>
        <w:rPr>
          <w:sz w:val="16"/>
        </w:rPr>
        <w:t>derecho</w:t>
      </w:r>
      <w:r>
        <w:rPr>
          <w:spacing w:val="22"/>
          <w:sz w:val="16"/>
        </w:rPr>
        <w:t> </w:t>
      </w:r>
      <w:r>
        <w:rPr>
          <w:sz w:val="16"/>
        </w:rPr>
        <w:t>a</w:t>
      </w:r>
      <w:r>
        <w:rPr>
          <w:spacing w:val="21"/>
          <w:sz w:val="16"/>
        </w:rPr>
        <w:t> </w:t>
      </w:r>
      <w:r>
        <w:rPr>
          <w:sz w:val="16"/>
        </w:rPr>
        <w:t>la</w:t>
      </w:r>
      <w:r>
        <w:rPr>
          <w:spacing w:val="23"/>
          <w:sz w:val="16"/>
        </w:rPr>
        <w:t> </w:t>
      </w:r>
      <w:r>
        <w:rPr>
          <w:sz w:val="16"/>
        </w:rPr>
        <w:t>alimentación,</w:t>
      </w:r>
      <w:r>
        <w:rPr>
          <w:spacing w:val="23"/>
          <w:sz w:val="16"/>
        </w:rPr>
        <w:t> </w:t>
      </w:r>
      <w:r>
        <w:rPr>
          <w:sz w:val="16"/>
        </w:rPr>
        <w:t>también</w:t>
      </w:r>
      <w:r>
        <w:rPr>
          <w:spacing w:val="20"/>
          <w:sz w:val="16"/>
        </w:rPr>
        <w:t> </w:t>
      </w:r>
      <w:r>
        <w:rPr>
          <w:sz w:val="16"/>
        </w:rPr>
        <w:t>la</w:t>
      </w:r>
      <w:r>
        <w:rPr>
          <w:spacing w:val="21"/>
          <w:sz w:val="16"/>
        </w:rPr>
        <w:t> </w:t>
      </w:r>
      <w:r>
        <w:rPr>
          <w:sz w:val="16"/>
        </w:rPr>
        <w:t>Carta</w:t>
      </w:r>
      <w:r>
        <w:rPr>
          <w:spacing w:val="21"/>
          <w:sz w:val="16"/>
        </w:rPr>
        <w:t> </w:t>
      </w:r>
      <w:r>
        <w:rPr>
          <w:sz w:val="16"/>
        </w:rPr>
        <w:t>y</w:t>
      </w:r>
      <w:r>
        <w:rPr>
          <w:spacing w:val="22"/>
          <w:sz w:val="16"/>
        </w:rPr>
        <w:t> </w:t>
      </w:r>
      <w:r>
        <w:rPr>
          <w:sz w:val="16"/>
        </w:rPr>
        <w:t>la</w:t>
      </w:r>
      <w:r>
        <w:rPr>
          <w:spacing w:val="21"/>
          <w:sz w:val="16"/>
        </w:rPr>
        <w:t> </w:t>
      </w:r>
      <w:r>
        <w:rPr>
          <w:sz w:val="16"/>
        </w:rPr>
        <w:t>Declaración</w:t>
      </w:r>
      <w:r>
        <w:rPr>
          <w:spacing w:val="20"/>
          <w:sz w:val="16"/>
        </w:rPr>
        <w:t> </w:t>
      </w:r>
      <w:r>
        <w:rPr>
          <w:sz w:val="16"/>
        </w:rPr>
        <w:t>mencionadas,</w:t>
      </w:r>
      <w:r>
        <w:rPr>
          <w:spacing w:val="21"/>
          <w:sz w:val="16"/>
        </w:rPr>
        <w:t> </w:t>
      </w:r>
      <w:r>
        <w:rPr>
          <w:sz w:val="16"/>
        </w:rPr>
        <w:t>en</w:t>
      </w:r>
      <w:r>
        <w:rPr>
          <w:spacing w:val="20"/>
          <w:sz w:val="16"/>
        </w:rPr>
        <w:t> </w:t>
      </w:r>
      <w:r>
        <w:rPr>
          <w:sz w:val="16"/>
        </w:rPr>
        <w:t>sus</w:t>
      </w:r>
      <w:r>
        <w:rPr>
          <w:spacing w:val="19"/>
          <w:sz w:val="16"/>
        </w:rPr>
        <w:t> </w:t>
      </w:r>
      <w:r>
        <w:rPr>
          <w:sz w:val="16"/>
        </w:rPr>
        <w:t>artículos</w:t>
      </w:r>
      <w:r>
        <w:rPr>
          <w:spacing w:val="21"/>
          <w:sz w:val="16"/>
        </w:rPr>
        <w:t> </w:t>
      </w:r>
      <w:r>
        <w:rPr>
          <w:sz w:val="16"/>
        </w:rPr>
        <w:t>34.j</w:t>
      </w:r>
      <w:r>
        <w:rPr>
          <w:spacing w:val="21"/>
          <w:sz w:val="16"/>
        </w:rPr>
        <w:t> </w:t>
      </w:r>
      <w:r>
        <w:rPr>
          <w:sz w:val="16"/>
        </w:rPr>
        <w:t>y</w:t>
      </w:r>
      <w:r>
        <w:rPr>
          <w:spacing w:val="20"/>
          <w:sz w:val="16"/>
        </w:rPr>
        <w:t> </w:t>
      </w:r>
      <w:r>
        <w:rPr>
          <w:sz w:val="16"/>
        </w:rPr>
        <w:t>XI,</w:t>
      </w:r>
    </w:p>
    <w:p>
      <w:pPr>
        <w:spacing w:after="0" w:line="240" w:lineRule="auto"/>
        <w:jc w:val="both"/>
        <w:rPr>
          <w:sz w:val="16"/>
        </w:rPr>
        <w:sectPr>
          <w:pgSz w:w="12240" w:h="15840"/>
          <w:pgMar w:header="0" w:footer="1000" w:top="1340" w:bottom="1200" w:left="1580" w:right="1580"/>
        </w:sectPr>
      </w:pPr>
    </w:p>
    <w:p>
      <w:pPr>
        <w:pStyle w:val="BodyText"/>
        <w:spacing w:before="76"/>
        <w:ind w:left="122" w:right="124"/>
        <w:jc w:val="both"/>
      </w:pPr>
      <w:r>
        <w:rPr/>
        <w:t>derechos resultaron menoscabados a partir del conocimiento y falta de actuación suficiente del Estado respecto a la presencia y accionar de particulares que dañaron la integridad</w:t>
      </w:r>
      <w:r>
        <w:rPr>
          <w:spacing w:val="-12"/>
        </w:rPr>
        <w:t> </w:t>
      </w:r>
      <w:r>
        <w:rPr/>
        <w:t>del</w:t>
      </w:r>
      <w:r>
        <w:rPr>
          <w:spacing w:val="-13"/>
        </w:rPr>
        <w:t> </w:t>
      </w:r>
      <w:r>
        <w:rPr/>
        <w:t>territorio</w:t>
      </w:r>
      <w:r>
        <w:rPr>
          <w:spacing w:val="-11"/>
        </w:rPr>
        <w:t> </w:t>
      </w:r>
      <w:r>
        <w:rPr/>
        <w:t>a</w:t>
      </w:r>
      <w:r>
        <w:rPr>
          <w:spacing w:val="-9"/>
        </w:rPr>
        <w:t> </w:t>
      </w:r>
      <w:r>
        <w:rPr/>
        <w:t>través</w:t>
      </w:r>
      <w:r>
        <w:rPr>
          <w:spacing w:val="-13"/>
        </w:rPr>
        <w:t> </w:t>
      </w:r>
      <w:r>
        <w:rPr/>
        <w:t>de</w:t>
      </w:r>
      <w:r>
        <w:rPr>
          <w:spacing w:val="-14"/>
        </w:rPr>
        <w:t> </w:t>
      </w:r>
      <w:r>
        <w:rPr/>
        <w:t>la</w:t>
      </w:r>
      <w:r>
        <w:rPr>
          <w:spacing w:val="-12"/>
        </w:rPr>
        <w:t> </w:t>
      </w:r>
      <w:r>
        <w:rPr/>
        <w:t>instalación</w:t>
      </w:r>
      <w:r>
        <w:rPr>
          <w:spacing w:val="-12"/>
        </w:rPr>
        <w:t> </w:t>
      </w:r>
      <w:r>
        <w:rPr/>
        <w:t>de</w:t>
      </w:r>
      <w:r>
        <w:rPr>
          <w:spacing w:val="-14"/>
        </w:rPr>
        <w:t> </w:t>
      </w:r>
      <w:r>
        <w:rPr/>
        <w:t>alambrados</w:t>
      </w:r>
      <w:r>
        <w:rPr>
          <w:spacing w:val="-10"/>
        </w:rPr>
        <w:t> </w:t>
      </w:r>
      <w:r>
        <w:rPr/>
        <w:t>y</w:t>
      </w:r>
      <w:r>
        <w:rPr>
          <w:spacing w:val="-11"/>
        </w:rPr>
        <w:t> </w:t>
      </w:r>
      <w:r>
        <w:rPr/>
        <w:t>el</w:t>
      </w:r>
      <w:r>
        <w:rPr>
          <w:spacing w:val="-13"/>
        </w:rPr>
        <w:t> </w:t>
      </w:r>
      <w:r>
        <w:rPr/>
        <w:t>pastoreo</w:t>
      </w:r>
      <w:r>
        <w:rPr>
          <w:spacing w:val="-14"/>
        </w:rPr>
        <w:t> </w:t>
      </w:r>
      <w:r>
        <w:rPr/>
        <w:t>de</w:t>
      </w:r>
      <w:r>
        <w:rPr>
          <w:spacing w:val="-14"/>
        </w:rPr>
        <w:t> </w:t>
      </w:r>
      <w:r>
        <w:rPr/>
        <w:t>ganado vacuno, como también por la tala ilegal de</w:t>
      </w:r>
      <w:r>
        <w:rPr>
          <w:spacing w:val="-16"/>
        </w:rPr>
        <w:t> </w:t>
      </w:r>
      <w:r>
        <w:rPr/>
        <w:t>maderas.</w:t>
      </w:r>
    </w:p>
    <w:p>
      <w:pPr>
        <w:pStyle w:val="BodyText"/>
      </w:pPr>
    </w:p>
    <w:p>
      <w:pPr>
        <w:pStyle w:val="ListParagraph"/>
        <w:numPr>
          <w:ilvl w:val="0"/>
          <w:numId w:val="27"/>
        </w:numPr>
        <w:tabs>
          <w:tab w:pos="830" w:val="left" w:leader="none"/>
        </w:tabs>
        <w:spacing w:line="240" w:lineRule="auto" w:before="0" w:after="0"/>
        <w:ind w:left="122" w:right="122" w:firstLine="0"/>
        <w:jc w:val="both"/>
        <w:rPr>
          <w:sz w:val="20"/>
        </w:rPr>
      </w:pPr>
      <w:r>
        <w:rPr>
          <w:sz w:val="20"/>
        </w:rPr>
        <w:t>En particular, en cuanto al </w:t>
      </w:r>
      <w:r>
        <w:rPr>
          <w:i/>
          <w:sz w:val="20"/>
        </w:rPr>
        <w:t>derecho a un medio ambiente sano</w:t>
      </w:r>
      <w:r>
        <w:rPr>
          <w:sz w:val="20"/>
        </w:rPr>
        <w:t>, aseveraron que “la degradación ambiental del territorio reclamado” ha sido “un continuo y profundo proceso”</w:t>
      </w:r>
      <w:r>
        <w:rPr>
          <w:spacing w:val="-14"/>
          <w:sz w:val="20"/>
        </w:rPr>
        <w:t> </w:t>
      </w:r>
      <w:r>
        <w:rPr>
          <w:sz w:val="20"/>
        </w:rPr>
        <w:t>que</w:t>
      </w:r>
      <w:r>
        <w:rPr>
          <w:spacing w:val="-17"/>
          <w:sz w:val="20"/>
        </w:rPr>
        <w:t> </w:t>
      </w:r>
      <w:r>
        <w:rPr>
          <w:sz w:val="20"/>
        </w:rPr>
        <w:t>“comenzó</w:t>
      </w:r>
      <w:r>
        <w:rPr>
          <w:spacing w:val="-15"/>
          <w:sz w:val="20"/>
        </w:rPr>
        <w:t> </w:t>
      </w:r>
      <w:r>
        <w:rPr>
          <w:sz w:val="20"/>
        </w:rPr>
        <w:t>en</w:t>
      </w:r>
      <w:r>
        <w:rPr>
          <w:spacing w:val="-15"/>
          <w:sz w:val="20"/>
        </w:rPr>
        <w:t> </w:t>
      </w:r>
      <w:r>
        <w:rPr>
          <w:sz w:val="20"/>
        </w:rPr>
        <w:t>los</w:t>
      </w:r>
      <w:r>
        <w:rPr>
          <w:spacing w:val="-15"/>
          <w:sz w:val="20"/>
        </w:rPr>
        <w:t> </w:t>
      </w:r>
      <w:r>
        <w:rPr>
          <w:sz w:val="20"/>
        </w:rPr>
        <w:t>albores</w:t>
      </w:r>
      <w:r>
        <w:rPr>
          <w:spacing w:val="-17"/>
          <w:sz w:val="20"/>
        </w:rPr>
        <w:t> </w:t>
      </w:r>
      <w:r>
        <w:rPr>
          <w:sz w:val="20"/>
        </w:rPr>
        <w:t>del</w:t>
      </w:r>
      <w:r>
        <w:rPr>
          <w:spacing w:val="-14"/>
          <w:sz w:val="20"/>
        </w:rPr>
        <w:t> </w:t>
      </w:r>
      <w:r>
        <w:rPr>
          <w:sz w:val="20"/>
        </w:rPr>
        <w:t>siglo</w:t>
      </w:r>
      <w:r>
        <w:rPr>
          <w:spacing w:val="-17"/>
          <w:sz w:val="20"/>
        </w:rPr>
        <w:t> </w:t>
      </w:r>
      <w:r>
        <w:rPr>
          <w:sz w:val="20"/>
        </w:rPr>
        <w:t>XX,</w:t>
      </w:r>
      <w:r>
        <w:rPr>
          <w:spacing w:val="-16"/>
          <w:sz w:val="20"/>
        </w:rPr>
        <w:t> </w:t>
      </w:r>
      <w:r>
        <w:rPr>
          <w:sz w:val="20"/>
        </w:rPr>
        <w:t>con</w:t>
      </w:r>
      <w:r>
        <w:rPr>
          <w:spacing w:val="-15"/>
          <w:sz w:val="20"/>
        </w:rPr>
        <w:t> </w:t>
      </w:r>
      <w:r>
        <w:rPr>
          <w:sz w:val="20"/>
        </w:rPr>
        <w:t>la</w:t>
      </w:r>
      <w:r>
        <w:rPr>
          <w:spacing w:val="-16"/>
          <w:sz w:val="20"/>
        </w:rPr>
        <w:t> </w:t>
      </w:r>
      <w:r>
        <w:rPr>
          <w:sz w:val="20"/>
        </w:rPr>
        <w:t>introducción</w:t>
      </w:r>
      <w:r>
        <w:rPr>
          <w:spacing w:val="-16"/>
          <w:sz w:val="20"/>
        </w:rPr>
        <w:t> </w:t>
      </w:r>
      <w:r>
        <w:rPr>
          <w:spacing w:val="3"/>
          <w:sz w:val="20"/>
        </w:rPr>
        <w:t>del</w:t>
      </w:r>
      <w:r>
        <w:rPr>
          <w:spacing w:val="-16"/>
          <w:sz w:val="20"/>
        </w:rPr>
        <w:t> </w:t>
      </w:r>
      <w:r>
        <w:rPr>
          <w:sz w:val="20"/>
        </w:rPr>
        <w:t>ganado</w:t>
      </w:r>
      <w:r>
        <w:rPr>
          <w:spacing w:val="-17"/>
          <w:sz w:val="20"/>
        </w:rPr>
        <w:t> </w:t>
      </w:r>
      <w:r>
        <w:rPr>
          <w:sz w:val="20"/>
        </w:rPr>
        <w:t>mayor por parte de los criollos colonizadores”. Afirmaron que “producto del sobrepastoreo del ganado bovino”, la “tala ilegal de los bosques” y los “cercos de las familias criollas” se ha “degrada[do]” el medio ambiente. Explicaron que “[e]l ganado bovino ha depredado la vegetación herbácea y arbórea, lo que destruye la capacidad de irrigación y regeneración</w:t>
      </w:r>
      <w:r>
        <w:rPr>
          <w:spacing w:val="-18"/>
          <w:sz w:val="20"/>
        </w:rPr>
        <w:t> </w:t>
      </w:r>
      <w:r>
        <w:rPr>
          <w:sz w:val="20"/>
        </w:rPr>
        <w:t>del</w:t>
      </w:r>
      <w:r>
        <w:rPr>
          <w:spacing w:val="-15"/>
          <w:sz w:val="20"/>
        </w:rPr>
        <w:t> </w:t>
      </w:r>
      <w:r>
        <w:rPr>
          <w:sz w:val="20"/>
        </w:rPr>
        <w:t>suelo”,</w:t>
      </w:r>
      <w:r>
        <w:rPr>
          <w:spacing w:val="-17"/>
          <w:sz w:val="20"/>
        </w:rPr>
        <w:t> </w:t>
      </w:r>
      <w:r>
        <w:rPr>
          <w:sz w:val="20"/>
        </w:rPr>
        <w:t>y</w:t>
      </w:r>
      <w:r>
        <w:rPr>
          <w:spacing w:val="-19"/>
          <w:sz w:val="20"/>
        </w:rPr>
        <w:t> </w:t>
      </w:r>
      <w:r>
        <w:rPr>
          <w:sz w:val="20"/>
        </w:rPr>
        <w:t>que</w:t>
      </w:r>
      <w:r>
        <w:rPr>
          <w:spacing w:val="-18"/>
          <w:sz w:val="20"/>
        </w:rPr>
        <w:t> </w:t>
      </w:r>
      <w:r>
        <w:rPr>
          <w:sz w:val="20"/>
        </w:rPr>
        <w:t>lo</w:t>
      </w:r>
      <w:r>
        <w:rPr>
          <w:spacing w:val="-20"/>
          <w:sz w:val="20"/>
        </w:rPr>
        <w:t> </w:t>
      </w:r>
      <w:r>
        <w:rPr>
          <w:sz w:val="20"/>
        </w:rPr>
        <w:t>anterior</w:t>
      </w:r>
      <w:r>
        <w:rPr>
          <w:spacing w:val="-17"/>
          <w:sz w:val="20"/>
        </w:rPr>
        <w:t> </w:t>
      </w:r>
      <w:r>
        <w:rPr>
          <w:sz w:val="20"/>
        </w:rPr>
        <w:t>“ha</w:t>
      </w:r>
      <w:r>
        <w:rPr>
          <w:spacing w:val="-18"/>
          <w:sz w:val="20"/>
        </w:rPr>
        <w:t> </w:t>
      </w:r>
      <w:r>
        <w:rPr>
          <w:sz w:val="20"/>
        </w:rPr>
        <w:t>desencadenado</w:t>
      </w:r>
      <w:r>
        <w:rPr>
          <w:spacing w:val="-14"/>
          <w:sz w:val="20"/>
        </w:rPr>
        <w:t> </w:t>
      </w:r>
      <w:r>
        <w:rPr>
          <w:sz w:val="20"/>
        </w:rPr>
        <w:t>procesos</w:t>
      </w:r>
      <w:r>
        <w:rPr>
          <w:spacing w:val="-19"/>
          <w:sz w:val="20"/>
        </w:rPr>
        <w:t> </w:t>
      </w:r>
      <w:r>
        <w:rPr>
          <w:sz w:val="20"/>
        </w:rPr>
        <w:t>de</w:t>
      </w:r>
      <w:r>
        <w:rPr>
          <w:spacing w:val="-20"/>
          <w:sz w:val="20"/>
        </w:rPr>
        <w:t> </w:t>
      </w:r>
      <w:r>
        <w:rPr>
          <w:sz w:val="20"/>
        </w:rPr>
        <w:t>desertificación y</w:t>
      </w:r>
      <w:r>
        <w:rPr>
          <w:spacing w:val="-8"/>
          <w:sz w:val="20"/>
        </w:rPr>
        <w:t> </w:t>
      </w:r>
      <w:r>
        <w:rPr>
          <w:sz w:val="20"/>
        </w:rPr>
        <w:t>carcavamiento”.</w:t>
      </w:r>
      <w:r>
        <w:rPr>
          <w:spacing w:val="-9"/>
          <w:sz w:val="20"/>
        </w:rPr>
        <w:t> </w:t>
      </w:r>
      <w:r>
        <w:rPr>
          <w:sz w:val="20"/>
        </w:rPr>
        <w:t>Agregaron</w:t>
      </w:r>
      <w:r>
        <w:rPr>
          <w:spacing w:val="-7"/>
          <w:sz w:val="20"/>
        </w:rPr>
        <w:t> </w:t>
      </w:r>
      <w:r>
        <w:rPr>
          <w:sz w:val="20"/>
        </w:rPr>
        <w:t>que</w:t>
      </w:r>
      <w:r>
        <w:rPr>
          <w:spacing w:val="-9"/>
          <w:sz w:val="20"/>
        </w:rPr>
        <w:t> </w:t>
      </w:r>
      <w:r>
        <w:rPr>
          <w:sz w:val="20"/>
        </w:rPr>
        <w:t>“la</w:t>
      </w:r>
      <w:r>
        <w:rPr>
          <w:spacing w:val="-8"/>
          <w:sz w:val="20"/>
        </w:rPr>
        <w:t> </w:t>
      </w:r>
      <w:r>
        <w:rPr>
          <w:sz w:val="20"/>
        </w:rPr>
        <w:t>tala</w:t>
      </w:r>
      <w:r>
        <w:rPr>
          <w:spacing w:val="-10"/>
          <w:sz w:val="20"/>
        </w:rPr>
        <w:t> </w:t>
      </w:r>
      <w:r>
        <w:rPr>
          <w:sz w:val="20"/>
        </w:rPr>
        <w:t>ilegal</w:t>
      </w:r>
      <w:r>
        <w:rPr>
          <w:spacing w:val="-7"/>
          <w:sz w:val="20"/>
        </w:rPr>
        <w:t> </w:t>
      </w:r>
      <w:r>
        <w:rPr>
          <w:sz w:val="20"/>
        </w:rPr>
        <w:t>de</w:t>
      </w:r>
      <w:r>
        <w:rPr>
          <w:spacing w:val="-12"/>
          <w:sz w:val="20"/>
        </w:rPr>
        <w:t> </w:t>
      </w:r>
      <w:r>
        <w:rPr>
          <w:sz w:val="20"/>
        </w:rPr>
        <w:t>los</w:t>
      </w:r>
      <w:r>
        <w:rPr>
          <w:spacing w:val="-9"/>
          <w:sz w:val="20"/>
        </w:rPr>
        <w:t> </w:t>
      </w:r>
      <w:r>
        <w:rPr>
          <w:sz w:val="20"/>
        </w:rPr>
        <w:t>bosques</w:t>
      </w:r>
      <w:r>
        <w:rPr>
          <w:spacing w:val="-11"/>
          <w:sz w:val="20"/>
        </w:rPr>
        <w:t> </w:t>
      </w:r>
      <w:r>
        <w:rPr>
          <w:sz w:val="20"/>
        </w:rPr>
        <w:t>nativos,</w:t>
      </w:r>
      <w:r>
        <w:rPr>
          <w:spacing w:val="-8"/>
          <w:sz w:val="20"/>
        </w:rPr>
        <w:t> </w:t>
      </w:r>
      <w:r>
        <w:rPr>
          <w:sz w:val="20"/>
        </w:rPr>
        <w:t>en</w:t>
      </w:r>
      <w:r>
        <w:rPr>
          <w:spacing w:val="-7"/>
          <w:sz w:val="20"/>
        </w:rPr>
        <w:t> </w:t>
      </w:r>
      <w:r>
        <w:rPr>
          <w:sz w:val="20"/>
        </w:rPr>
        <w:t>su</w:t>
      </w:r>
      <w:r>
        <w:rPr>
          <w:spacing w:val="-10"/>
          <w:sz w:val="20"/>
        </w:rPr>
        <w:t> </w:t>
      </w:r>
      <w:r>
        <w:rPr>
          <w:sz w:val="20"/>
        </w:rPr>
        <w:t>modalidad ‘minera’</w:t>
      </w:r>
      <w:r>
        <w:rPr>
          <w:spacing w:val="-18"/>
          <w:sz w:val="20"/>
        </w:rPr>
        <w:t> </w:t>
      </w:r>
      <w:r>
        <w:rPr>
          <w:sz w:val="20"/>
        </w:rPr>
        <w:t>–de</w:t>
      </w:r>
      <w:r>
        <w:rPr>
          <w:spacing w:val="-17"/>
          <w:sz w:val="20"/>
        </w:rPr>
        <w:t> </w:t>
      </w:r>
      <w:r>
        <w:rPr>
          <w:sz w:val="20"/>
        </w:rPr>
        <w:t>extracción</w:t>
      </w:r>
      <w:r>
        <w:rPr>
          <w:spacing w:val="-15"/>
          <w:sz w:val="20"/>
        </w:rPr>
        <w:t> </w:t>
      </w:r>
      <w:r>
        <w:rPr>
          <w:sz w:val="20"/>
        </w:rPr>
        <w:t>indiscriminada</w:t>
      </w:r>
      <w:r>
        <w:rPr>
          <w:spacing w:val="-15"/>
          <w:sz w:val="20"/>
        </w:rPr>
        <w:t> </w:t>
      </w:r>
      <w:r>
        <w:rPr>
          <w:sz w:val="20"/>
        </w:rPr>
        <w:t>y</w:t>
      </w:r>
      <w:r>
        <w:rPr>
          <w:spacing w:val="-18"/>
          <w:sz w:val="20"/>
        </w:rPr>
        <w:t> </w:t>
      </w:r>
      <w:r>
        <w:rPr>
          <w:sz w:val="20"/>
        </w:rPr>
        <w:t>no</w:t>
      </w:r>
      <w:r>
        <w:rPr>
          <w:spacing w:val="-14"/>
          <w:sz w:val="20"/>
        </w:rPr>
        <w:t> </w:t>
      </w:r>
      <w:r>
        <w:rPr>
          <w:sz w:val="20"/>
        </w:rPr>
        <w:t>sustentable-</w:t>
      </w:r>
      <w:r>
        <w:rPr>
          <w:spacing w:val="-17"/>
          <w:sz w:val="20"/>
        </w:rPr>
        <w:t> </w:t>
      </w:r>
      <w:r>
        <w:rPr>
          <w:sz w:val="20"/>
        </w:rPr>
        <w:t>genera</w:t>
      </w:r>
      <w:r>
        <w:rPr>
          <w:spacing w:val="-17"/>
          <w:sz w:val="20"/>
        </w:rPr>
        <w:t> </w:t>
      </w:r>
      <w:r>
        <w:rPr>
          <w:sz w:val="20"/>
        </w:rPr>
        <w:t>una</w:t>
      </w:r>
      <w:r>
        <w:rPr>
          <w:spacing w:val="-15"/>
          <w:sz w:val="20"/>
        </w:rPr>
        <w:t> </w:t>
      </w:r>
      <w:r>
        <w:rPr>
          <w:sz w:val="20"/>
        </w:rPr>
        <w:t>profunda</w:t>
      </w:r>
      <w:r>
        <w:rPr>
          <w:spacing w:val="-17"/>
          <w:sz w:val="20"/>
        </w:rPr>
        <w:t> </w:t>
      </w:r>
      <w:r>
        <w:rPr>
          <w:sz w:val="20"/>
        </w:rPr>
        <w:t>afectación en la capacidad de renovación y mantenimiento de las masas boscosas”. Señalaron también que la pérdida de flora impacta en el hábitat natural de fauna silvestre, la que además compite con el ganado para el consumo de alimento y agua. Agregaron que la pérdida de flora y fauna autóctonas se ha relacionado además con la instalación de alambrados</w:t>
      </w:r>
      <w:r>
        <w:rPr>
          <w:spacing w:val="-10"/>
          <w:sz w:val="20"/>
        </w:rPr>
        <w:t> </w:t>
      </w:r>
      <w:r>
        <w:rPr>
          <w:sz w:val="20"/>
        </w:rPr>
        <w:t>en</w:t>
      </w:r>
      <w:r>
        <w:rPr>
          <w:spacing w:val="-6"/>
          <w:sz w:val="20"/>
        </w:rPr>
        <w:t> </w:t>
      </w:r>
      <w:r>
        <w:rPr>
          <w:sz w:val="20"/>
        </w:rPr>
        <w:t>el</w:t>
      </w:r>
      <w:r>
        <w:rPr>
          <w:spacing w:val="-8"/>
          <w:sz w:val="20"/>
        </w:rPr>
        <w:t> </w:t>
      </w:r>
      <w:r>
        <w:rPr>
          <w:sz w:val="20"/>
        </w:rPr>
        <w:t>territorio,</w:t>
      </w:r>
      <w:r>
        <w:rPr>
          <w:spacing w:val="-9"/>
          <w:sz w:val="20"/>
        </w:rPr>
        <w:t> </w:t>
      </w:r>
      <w:r>
        <w:rPr>
          <w:sz w:val="20"/>
        </w:rPr>
        <w:t>que</w:t>
      </w:r>
      <w:r>
        <w:rPr>
          <w:spacing w:val="-10"/>
          <w:sz w:val="20"/>
        </w:rPr>
        <w:t> </w:t>
      </w:r>
      <w:r>
        <w:rPr>
          <w:sz w:val="20"/>
        </w:rPr>
        <w:t>“constituyen</w:t>
      </w:r>
      <w:r>
        <w:rPr>
          <w:spacing w:val="-8"/>
          <w:sz w:val="20"/>
        </w:rPr>
        <w:t> </w:t>
      </w:r>
      <w:r>
        <w:rPr>
          <w:sz w:val="20"/>
        </w:rPr>
        <w:t>obstáculos</w:t>
      </w:r>
      <w:r>
        <w:rPr>
          <w:spacing w:val="-10"/>
          <w:sz w:val="20"/>
        </w:rPr>
        <w:t> </w:t>
      </w:r>
      <w:r>
        <w:rPr>
          <w:sz w:val="20"/>
        </w:rPr>
        <w:t>naturales”</w:t>
      </w:r>
      <w:r>
        <w:rPr>
          <w:spacing w:val="-9"/>
          <w:sz w:val="20"/>
        </w:rPr>
        <w:t> </w:t>
      </w:r>
      <w:r>
        <w:rPr>
          <w:sz w:val="20"/>
        </w:rPr>
        <w:t>para</w:t>
      </w:r>
      <w:r>
        <w:rPr>
          <w:spacing w:val="-7"/>
          <w:sz w:val="20"/>
        </w:rPr>
        <w:t> </w:t>
      </w:r>
      <w:r>
        <w:rPr>
          <w:sz w:val="20"/>
        </w:rPr>
        <w:t>el</w:t>
      </w:r>
      <w:r>
        <w:rPr>
          <w:spacing w:val="-8"/>
          <w:sz w:val="20"/>
        </w:rPr>
        <w:t> </w:t>
      </w:r>
      <w:r>
        <w:rPr>
          <w:sz w:val="20"/>
        </w:rPr>
        <w:t>desarrollo</w:t>
      </w:r>
      <w:r>
        <w:rPr>
          <w:spacing w:val="-10"/>
          <w:sz w:val="20"/>
        </w:rPr>
        <w:t> </w:t>
      </w:r>
      <w:r>
        <w:rPr>
          <w:sz w:val="20"/>
        </w:rPr>
        <w:t>de aquellas</w:t>
      </w:r>
      <w:r>
        <w:rPr>
          <w:position w:val="7"/>
          <w:sz w:val="13"/>
        </w:rPr>
        <w:t>174</w:t>
      </w:r>
      <w:r>
        <w:rPr>
          <w:sz w:val="20"/>
        </w:rPr>
        <w:t>.</w:t>
      </w:r>
    </w:p>
    <w:p>
      <w:pPr>
        <w:pStyle w:val="BodyText"/>
      </w:pPr>
    </w:p>
    <w:p>
      <w:pPr>
        <w:pStyle w:val="ListParagraph"/>
        <w:numPr>
          <w:ilvl w:val="0"/>
          <w:numId w:val="27"/>
        </w:numPr>
        <w:tabs>
          <w:tab w:pos="830" w:val="left" w:leader="none"/>
        </w:tabs>
        <w:spacing w:line="240" w:lineRule="auto" w:before="0" w:after="0"/>
        <w:ind w:left="122" w:right="125" w:firstLine="0"/>
        <w:jc w:val="both"/>
        <w:rPr>
          <w:sz w:val="20"/>
        </w:rPr>
      </w:pPr>
      <w:r>
        <w:rPr>
          <w:sz w:val="20"/>
        </w:rPr>
        <w:t>Además, indicaron que “cómo consecuencia de la degradación ambiental” y el “cercamiento” de los criollos, “se verifica una vulneración del </w:t>
      </w:r>
      <w:r>
        <w:rPr>
          <w:i/>
          <w:sz w:val="20"/>
        </w:rPr>
        <w:t>derecho a la alimentación </w:t>
      </w:r>
      <w:r>
        <w:rPr>
          <w:sz w:val="20"/>
        </w:rPr>
        <w:t>de</w:t>
      </w:r>
      <w:r>
        <w:rPr>
          <w:spacing w:val="-17"/>
          <w:sz w:val="20"/>
        </w:rPr>
        <w:t> </w:t>
      </w:r>
      <w:r>
        <w:rPr>
          <w:sz w:val="20"/>
        </w:rPr>
        <w:t>las</w:t>
      </w:r>
      <w:r>
        <w:rPr>
          <w:spacing w:val="-14"/>
          <w:sz w:val="20"/>
        </w:rPr>
        <w:t> </w:t>
      </w:r>
      <w:r>
        <w:rPr>
          <w:sz w:val="20"/>
        </w:rPr>
        <w:t>comunidades”.</w:t>
      </w:r>
      <w:r>
        <w:rPr>
          <w:spacing w:val="-17"/>
          <w:sz w:val="20"/>
        </w:rPr>
        <w:t> </w:t>
      </w:r>
      <w:r>
        <w:rPr>
          <w:sz w:val="20"/>
        </w:rPr>
        <w:t>Especificaron</w:t>
      </w:r>
      <w:r>
        <w:rPr>
          <w:spacing w:val="-15"/>
          <w:sz w:val="20"/>
        </w:rPr>
        <w:t> </w:t>
      </w:r>
      <w:r>
        <w:rPr>
          <w:sz w:val="20"/>
        </w:rPr>
        <w:t>que</w:t>
      </w:r>
      <w:r>
        <w:rPr>
          <w:spacing w:val="-15"/>
          <w:sz w:val="20"/>
        </w:rPr>
        <w:t> </w:t>
      </w:r>
      <w:r>
        <w:rPr>
          <w:sz w:val="20"/>
        </w:rPr>
        <w:t>el</w:t>
      </w:r>
      <w:r>
        <w:rPr>
          <w:spacing w:val="-15"/>
          <w:sz w:val="20"/>
        </w:rPr>
        <w:t> </w:t>
      </w:r>
      <w:r>
        <w:rPr>
          <w:sz w:val="20"/>
        </w:rPr>
        <w:t>ganado</w:t>
      </w:r>
      <w:r>
        <w:rPr>
          <w:spacing w:val="-17"/>
          <w:sz w:val="20"/>
        </w:rPr>
        <w:t> </w:t>
      </w:r>
      <w:r>
        <w:rPr>
          <w:sz w:val="20"/>
        </w:rPr>
        <w:t>de</w:t>
      </w:r>
      <w:r>
        <w:rPr>
          <w:spacing w:val="-17"/>
          <w:sz w:val="20"/>
        </w:rPr>
        <w:t> </w:t>
      </w:r>
      <w:r>
        <w:rPr>
          <w:sz w:val="20"/>
        </w:rPr>
        <w:t>pobladores</w:t>
      </w:r>
      <w:r>
        <w:rPr>
          <w:spacing w:val="-17"/>
          <w:sz w:val="20"/>
        </w:rPr>
        <w:t> </w:t>
      </w:r>
      <w:r>
        <w:rPr>
          <w:sz w:val="20"/>
        </w:rPr>
        <w:t>criollos:</w:t>
      </w:r>
      <w:r>
        <w:rPr>
          <w:spacing w:val="-14"/>
          <w:sz w:val="20"/>
        </w:rPr>
        <w:t> </w:t>
      </w:r>
      <w:r>
        <w:rPr>
          <w:sz w:val="20"/>
        </w:rPr>
        <w:t>a)</w:t>
      </w:r>
      <w:r>
        <w:rPr>
          <w:spacing w:val="-15"/>
          <w:sz w:val="20"/>
        </w:rPr>
        <w:t> </w:t>
      </w:r>
      <w:r>
        <w:rPr>
          <w:sz w:val="20"/>
        </w:rPr>
        <w:t>“se</w:t>
      </w:r>
      <w:r>
        <w:rPr>
          <w:spacing w:val="-15"/>
          <w:sz w:val="20"/>
        </w:rPr>
        <w:t> </w:t>
      </w:r>
      <w:r>
        <w:rPr>
          <w:sz w:val="20"/>
        </w:rPr>
        <w:t>alimenta de</w:t>
      </w:r>
      <w:r>
        <w:rPr>
          <w:spacing w:val="-7"/>
          <w:sz w:val="20"/>
        </w:rPr>
        <w:t> </w:t>
      </w:r>
      <w:r>
        <w:rPr>
          <w:sz w:val="20"/>
        </w:rPr>
        <w:t>los</w:t>
      </w:r>
      <w:r>
        <w:rPr>
          <w:spacing w:val="-6"/>
          <w:sz w:val="20"/>
        </w:rPr>
        <w:t> </w:t>
      </w:r>
      <w:r>
        <w:rPr>
          <w:sz w:val="20"/>
        </w:rPr>
        <w:t>mismos</w:t>
      </w:r>
      <w:r>
        <w:rPr>
          <w:spacing w:val="-4"/>
          <w:sz w:val="20"/>
        </w:rPr>
        <w:t> </w:t>
      </w:r>
      <w:r>
        <w:rPr>
          <w:sz w:val="20"/>
        </w:rPr>
        <w:t>frutos</w:t>
      </w:r>
      <w:r>
        <w:rPr>
          <w:spacing w:val="-6"/>
          <w:sz w:val="20"/>
        </w:rPr>
        <w:t> </w:t>
      </w:r>
      <w:r>
        <w:rPr>
          <w:sz w:val="20"/>
        </w:rPr>
        <w:t>que</w:t>
      </w:r>
      <w:r>
        <w:rPr>
          <w:spacing w:val="-7"/>
          <w:sz w:val="20"/>
        </w:rPr>
        <w:t> </w:t>
      </w:r>
      <w:r>
        <w:rPr>
          <w:sz w:val="20"/>
        </w:rPr>
        <w:t>las</w:t>
      </w:r>
      <w:r>
        <w:rPr>
          <w:spacing w:val="-4"/>
          <w:sz w:val="20"/>
        </w:rPr>
        <w:t> </w:t>
      </w:r>
      <w:r>
        <w:rPr>
          <w:sz w:val="20"/>
        </w:rPr>
        <w:t>comunidades</w:t>
      </w:r>
      <w:r>
        <w:rPr>
          <w:spacing w:val="-6"/>
          <w:sz w:val="20"/>
        </w:rPr>
        <w:t> </w:t>
      </w:r>
      <w:r>
        <w:rPr>
          <w:sz w:val="20"/>
        </w:rPr>
        <w:t>indígenas,</w:t>
      </w:r>
      <w:r>
        <w:rPr>
          <w:spacing w:val="-4"/>
          <w:sz w:val="20"/>
        </w:rPr>
        <w:t> </w:t>
      </w:r>
      <w:r>
        <w:rPr>
          <w:sz w:val="20"/>
        </w:rPr>
        <w:t>como</w:t>
      </w:r>
      <w:r>
        <w:rPr>
          <w:spacing w:val="-7"/>
          <w:sz w:val="20"/>
        </w:rPr>
        <w:t> </w:t>
      </w:r>
      <w:r>
        <w:rPr>
          <w:sz w:val="20"/>
        </w:rPr>
        <w:t>la</w:t>
      </w:r>
      <w:r>
        <w:rPr>
          <w:spacing w:val="-5"/>
          <w:sz w:val="20"/>
        </w:rPr>
        <w:t> </w:t>
      </w:r>
      <w:r>
        <w:rPr>
          <w:sz w:val="20"/>
        </w:rPr>
        <w:t>algarroba[,]</w:t>
      </w:r>
      <w:r>
        <w:rPr>
          <w:spacing w:val="-5"/>
          <w:sz w:val="20"/>
        </w:rPr>
        <w:t> </w:t>
      </w:r>
      <w:r>
        <w:rPr>
          <w:sz w:val="20"/>
        </w:rPr>
        <w:t>el</w:t>
      </w:r>
      <w:r>
        <w:rPr>
          <w:spacing w:val="-5"/>
          <w:sz w:val="20"/>
        </w:rPr>
        <w:t> </w:t>
      </w:r>
      <w:r>
        <w:rPr>
          <w:sz w:val="20"/>
        </w:rPr>
        <w:t>mistol</w:t>
      </w:r>
      <w:r>
        <w:rPr>
          <w:spacing w:val="-5"/>
          <w:sz w:val="20"/>
        </w:rPr>
        <w:t> </w:t>
      </w:r>
      <w:r>
        <w:rPr>
          <w:sz w:val="20"/>
        </w:rPr>
        <w:t>y</w:t>
      </w:r>
      <w:r>
        <w:rPr>
          <w:spacing w:val="-3"/>
          <w:sz w:val="20"/>
        </w:rPr>
        <w:t> </w:t>
      </w:r>
      <w:r>
        <w:rPr>
          <w:sz w:val="20"/>
        </w:rPr>
        <w:t>el chañar”; b) “ramonea […] los árboles palatables como el algarrobo y el quebracho” y come</w:t>
      </w:r>
      <w:r>
        <w:rPr>
          <w:spacing w:val="-10"/>
          <w:sz w:val="20"/>
        </w:rPr>
        <w:t> </w:t>
      </w:r>
      <w:r>
        <w:rPr>
          <w:sz w:val="20"/>
        </w:rPr>
        <w:t>“sus</w:t>
      </w:r>
      <w:r>
        <w:rPr>
          <w:spacing w:val="-7"/>
          <w:sz w:val="20"/>
        </w:rPr>
        <w:t> </w:t>
      </w:r>
      <w:r>
        <w:rPr>
          <w:sz w:val="20"/>
        </w:rPr>
        <w:t>renovales,</w:t>
      </w:r>
      <w:r>
        <w:rPr>
          <w:spacing w:val="-10"/>
          <w:sz w:val="20"/>
        </w:rPr>
        <w:t> </w:t>
      </w:r>
      <w:r>
        <w:rPr>
          <w:sz w:val="20"/>
        </w:rPr>
        <w:t>impidiendo</w:t>
      </w:r>
      <w:r>
        <w:rPr>
          <w:spacing w:val="-10"/>
          <w:sz w:val="20"/>
        </w:rPr>
        <w:t> </w:t>
      </w:r>
      <w:r>
        <w:rPr>
          <w:sz w:val="20"/>
        </w:rPr>
        <w:t>su</w:t>
      </w:r>
      <w:r>
        <w:rPr>
          <w:spacing w:val="-8"/>
          <w:sz w:val="20"/>
        </w:rPr>
        <w:t> </w:t>
      </w:r>
      <w:r>
        <w:rPr>
          <w:sz w:val="20"/>
        </w:rPr>
        <w:t>regeneración”;</w:t>
      </w:r>
      <w:r>
        <w:rPr>
          <w:spacing w:val="-11"/>
          <w:sz w:val="20"/>
        </w:rPr>
        <w:t> </w:t>
      </w:r>
      <w:r>
        <w:rPr>
          <w:sz w:val="20"/>
        </w:rPr>
        <w:t>c)</w:t>
      </w:r>
      <w:r>
        <w:rPr>
          <w:spacing w:val="-9"/>
          <w:sz w:val="20"/>
        </w:rPr>
        <w:t> </w:t>
      </w:r>
      <w:r>
        <w:rPr>
          <w:sz w:val="20"/>
        </w:rPr>
        <w:t>“consume</w:t>
      </w:r>
      <w:r>
        <w:rPr>
          <w:spacing w:val="-8"/>
          <w:sz w:val="20"/>
        </w:rPr>
        <w:t> </w:t>
      </w:r>
      <w:r>
        <w:rPr>
          <w:sz w:val="20"/>
        </w:rPr>
        <w:t>el</w:t>
      </w:r>
      <w:r>
        <w:rPr>
          <w:spacing w:val="-8"/>
          <w:sz w:val="20"/>
        </w:rPr>
        <w:t> </w:t>
      </w:r>
      <w:r>
        <w:rPr>
          <w:sz w:val="20"/>
        </w:rPr>
        <w:t>agua</w:t>
      </w:r>
      <w:r>
        <w:rPr>
          <w:spacing w:val="-11"/>
          <w:sz w:val="20"/>
        </w:rPr>
        <w:t> </w:t>
      </w:r>
      <w:r>
        <w:rPr>
          <w:sz w:val="20"/>
        </w:rPr>
        <w:t>que</w:t>
      </w:r>
      <w:r>
        <w:rPr>
          <w:spacing w:val="-10"/>
          <w:sz w:val="20"/>
        </w:rPr>
        <w:t> </w:t>
      </w:r>
      <w:r>
        <w:rPr>
          <w:sz w:val="20"/>
        </w:rPr>
        <w:t>las</w:t>
      </w:r>
      <w:r>
        <w:rPr>
          <w:spacing w:val="-9"/>
          <w:sz w:val="20"/>
        </w:rPr>
        <w:t> </w:t>
      </w:r>
      <w:r>
        <w:rPr>
          <w:sz w:val="20"/>
        </w:rPr>
        <w:t>propias comunidades</w:t>
      </w:r>
      <w:r>
        <w:rPr>
          <w:spacing w:val="-13"/>
          <w:sz w:val="20"/>
        </w:rPr>
        <w:t> </w:t>
      </w:r>
      <w:r>
        <w:rPr>
          <w:sz w:val="20"/>
        </w:rPr>
        <w:t>requieren</w:t>
      </w:r>
      <w:r>
        <w:rPr>
          <w:spacing w:val="-9"/>
          <w:sz w:val="20"/>
        </w:rPr>
        <w:t> </w:t>
      </w:r>
      <w:r>
        <w:rPr>
          <w:sz w:val="20"/>
        </w:rPr>
        <w:t>para</w:t>
      </w:r>
      <w:r>
        <w:rPr>
          <w:spacing w:val="-14"/>
          <w:sz w:val="20"/>
        </w:rPr>
        <w:t> </w:t>
      </w:r>
      <w:r>
        <w:rPr>
          <w:sz w:val="20"/>
        </w:rPr>
        <w:t>su</w:t>
      </w:r>
      <w:r>
        <w:rPr>
          <w:spacing w:val="-12"/>
          <w:sz w:val="20"/>
        </w:rPr>
        <w:t> </w:t>
      </w:r>
      <w:r>
        <w:rPr>
          <w:sz w:val="20"/>
        </w:rPr>
        <w:t>subsistencia,</w:t>
      </w:r>
      <w:r>
        <w:rPr>
          <w:spacing w:val="-13"/>
          <w:sz w:val="20"/>
        </w:rPr>
        <w:t> </w:t>
      </w:r>
      <w:r>
        <w:rPr>
          <w:sz w:val="20"/>
        </w:rPr>
        <w:t>verificándose</w:t>
      </w:r>
      <w:r>
        <w:rPr>
          <w:spacing w:val="-14"/>
          <w:sz w:val="20"/>
        </w:rPr>
        <w:t> </w:t>
      </w:r>
      <w:r>
        <w:rPr>
          <w:sz w:val="20"/>
        </w:rPr>
        <w:t>muchas</w:t>
      </w:r>
      <w:r>
        <w:rPr>
          <w:spacing w:val="-13"/>
          <w:sz w:val="20"/>
        </w:rPr>
        <w:t> </w:t>
      </w:r>
      <w:r>
        <w:rPr>
          <w:sz w:val="20"/>
        </w:rPr>
        <w:t>veces</w:t>
      </w:r>
      <w:r>
        <w:rPr>
          <w:spacing w:val="-15"/>
          <w:sz w:val="20"/>
        </w:rPr>
        <w:t> </w:t>
      </w:r>
      <w:r>
        <w:rPr>
          <w:sz w:val="20"/>
        </w:rPr>
        <w:t>situaciones</w:t>
      </w:r>
      <w:r>
        <w:rPr>
          <w:spacing w:val="-11"/>
          <w:sz w:val="20"/>
        </w:rPr>
        <w:t> </w:t>
      </w:r>
      <w:r>
        <w:rPr>
          <w:sz w:val="20"/>
        </w:rPr>
        <w:t>en que</w:t>
      </w:r>
      <w:r>
        <w:rPr>
          <w:spacing w:val="-9"/>
          <w:sz w:val="20"/>
        </w:rPr>
        <w:t> </w:t>
      </w:r>
      <w:r>
        <w:rPr>
          <w:sz w:val="20"/>
        </w:rPr>
        <w:t>el</w:t>
      </w:r>
      <w:r>
        <w:rPr>
          <w:spacing w:val="-8"/>
          <w:sz w:val="20"/>
        </w:rPr>
        <w:t> </w:t>
      </w:r>
      <w:r>
        <w:rPr>
          <w:sz w:val="20"/>
        </w:rPr>
        <w:t>agua</w:t>
      </w:r>
      <w:r>
        <w:rPr>
          <w:spacing w:val="-8"/>
          <w:sz w:val="20"/>
        </w:rPr>
        <w:t> </w:t>
      </w:r>
      <w:r>
        <w:rPr>
          <w:sz w:val="20"/>
        </w:rPr>
        <w:t>es</w:t>
      </w:r>
      <w:r>
        <w:rPr>
          <w:spacing w:val="-9"/>
          <w:sz w:val="20"/>
        </w:rPr>
        <w:t> </w:t>
      </w:r>
      <w:r>
        <w:rPr>
          <w:sz w:val="20"/>
        </w:rPr>
        <w:t>contaminada</w:t>
      </w:r>
      <w:r>
        <w:rPr>
          <w:spacing w:val="-5"/>
          <w:sz w:val="20"/>
        </w:rPr>
        <w:t> </w:t>
      </w:r>
      <w:r>
        <w:rPr>
          <w:sz w:val="20"/>
        </w:rPr>
        <w:t>por</w:t>
      </w:r>
      <w:r>
        <w:rPr>
          <w:spacing w:val="-9"/>
          <w:sz w:val="20"/>
        </w:rPr>
        <w:t> </w:t>
      </w:r>
      <w:r>
        <w:rPr>
          <w:sz w:val="20"/>
        </w:rPr>
        <w:t>las</w:t>
      </w:r>
      <w:r>
        <w:rPr>
          <w:spacing w:val="-9"/>
          <w:sz w:val="20"/>
        </w:rPr>
        <w:t> </w:t>
      </w:r>
      <w:r>
        <w:rPr>
          <w:sz w:val="20"/>
        </w:rPr>
        <w:t>heces</w:t>
      </w:r>
      <w:r>
        <w:rPr>
          <w:spacing w:val="-9"/>
          <w:sz w:val="20"/>
        </w:rPr>
        <w:t> </w:t>
      </w:r>
      <w:r>
        <w:rPr>
          <w:sz w:val="20"/>
        </w:rPr>
        <w:t>de</w:t>
      </w:r>
      <w:r>
        <w:rPr>
          <w:spacing w:val="-9"/>
          <w:sz w:val="20"/>
        </w:rPr>
        <w:t> </w:t>
      </w:r>
      <w:r>
        <w:rPr>
          <w:sz w:val="20"/>
        </w:rPr>
        <w:t>los</w:t>
      </w:r>
      <w:r>
        <w:rPr>
          <w:spacing w:val="-6"/>
          <w:sz w:val="20"/>
        </w:rPr>
        <w:t> </w:t>
      </w:r>
      <w:r>
        <w:rPr>
          <w:sz w:val="20"/>
        </w:rPr>
        <w:t>animales”;</w:t>
      </w:r>
      <w:r>
        <w:rPr>
          <w:spacing w:val="-7"/>
          <w:sz w:val="20"/>
        </w:rPr>
        <w:t> </w:t>
      </w:r>
      <w:r>
        <w:rPr>
          <w:sz w:val="20"/>
        </w:rPr>
        <w:t>d)</w:t>
      </w:r>
      <w:r>
        <w:rPr>
          <w:spacing w:val="-7"/>
          <w:sz w:val="20"/>
        </w:rPr>
        <w:t> </w:t>
      </w:r>
      <w:r>
        <w:rPr>
          <w:sz w:val="20"/>
        </w:rPr>
        <w:t>genera</w:t>
      </w:r>
      <w:r>
        <w:rPr>
          <w:spacing w:val="-8"/>
          <w:sz w:val="20"/>
        </w:rPr>
        <w:t> </w:t>
      </w:r>
      <w:r>
        <w:rPr>
          <w:sz w:val="20"/>
        </w:rPr>
        <w:t>la</w:t>
      </w:r>
      <w:r>
        <w:rPr>
          <w:spacing w:val="-6"/>
          <w:sz w:val="20"/>
        </w:rPr>
        <w:t> </w:t>
      </w:r>
      <w:r>
        <w:rPr>
          <w:sz w:val="20"/>
        </w:rPr>
        <w:t>disminución</w:t>
      </w:r>
      <w:r>
        <w:rPr>
          <w:spacing w:val="-8"/>
          <w:sz w:val="20"/>
        </w:rPr>
        <w:t> </w:t>
      </w:r>
      <w:r>
        <w:rPr>
          <w:sz w:val="20"/>
        </w:rPr>
        <w:t>de fauna silvestre, “que tradicionalmente ha sido objeto de caza y parte importante de la dieta de las comunidades”, y e) “destruye los cercos que las comunidades indígenas levantan para sus cultivos familiares”. Por otro lado, afirmaron que los alambrados de familias criollas: a) “afectan el tránsito de fauna silvestre confinándola a lugares alejados”; b) “restringen la libertad de circulación de las comunidades impidiendo sus circuitos tradicionales de circulación y caza”, y c) “muchas veces […] encierran en sí reservorios de agua […] y algarrobales</w:t>
      </w:r>
      <w:r>
        <w:rPr>
          <w:spacing w:val="-17"/>
          <w:sz w:val="20"/>
        </w:rPr>
        <w:t> </w:t>
      </w:r>
      <w:r>
        <w:rPr>
          <w:sz w:val="20"/>
        </w:rPr>
        <w:t>completos”.</w:t>
      </w:r>
    </w:p>
    <w:p>
      <w:pPr>
        <w:pStyle w:val="BodyText"/>
      </w:pPr>
    </w:p>
    <w:p>
      <w:pPr>
        <w:pStyle w:val="ListParagraph"/>
        <w:numPr>
          <w:ilvl w:val="0"/>
          <w:numId w:val="27"/>
        </w:numPr>
        <w:tabs>
          <w:tab w:pos="830" w:val="left" w:leader="none"/>
        </w:tabs>
        <w:spacing w:line="240" w:lineRule="auto" w:before="0" w:after="0"/>
        <w:ind w:left="122" w:right="124" w:firstLine="0"/>
        <w:jc w:val="both"/>
        <w:rPr>
          <w:sz w:val="20"/>
        </w:rPr>
      </w:pPr>
      <w:r>
        <w:rPr>
          <w:sz w:val="20"/>
        </w:rPr>
        <w:t>Los</w:t>
      </w:r>
      <w:r>
        <w:rPr>
          <w:spacing w:val="-5"/>
          <w:sz w:val="20"/>
        </w:rPr>
        <w:t> </w:t>
      </w:r>
      <w:r>
        <w:rPr>
          <w:sz w:val="20"/>
        </w:rPr>
        <w:t>representantes</w:t>
      </w:r>
      <w:r>
        <w:rPr>
          <w:spacing w:val="-7"/>
          <w:sz w:val="20"/>
        </w:rPr>
        <w:t> </w:t>
      </w:r>
      <w:r>
        <w:rPr>
          <w:sz w:val="20"/>
        </w:rPr>
        <w:t>agregaron</w:t>
      </w:r>
      <w:r>
        <w:rPr>
          <w:spacing w:val="-6"/>
          <w:sz w:val="20"/>
        </w:rPr>
        <w:t> </w:t>
      </w:r>
      <w:r>
        <w:rPr>
          <w:sz w:val="20"/>
        </w:rPr>
        <w:t>que</w:t>
      </w:r>
      <w:r>
        <w:rPr>
          <w:spacing w:val="-8"/>
          <w:sz w:val="20"/>
        </w:rPr>
        <w:t> </w:t>
      </w:r>
      <w:r>
        <w:rPr>
          <w:sz w:val="20"/>
        </w:rPr>
        <w:t>“la</w:t>
      </w:r>
      <w:r>
        <w:rPr>
          <w:spacing w:val="-6"/>
          <w:sz w:val="20"/>
        </w:rPr>
        <w:t> </w:t>
      </w:r>
      <w:r>
        <w:rPr>
          <w:sz w:val="20"/>
        </w:rPr>
        <w:t>presencia</w:t>
      </w:r>
      <w:r>
        <w:rPr>
          <w:spacing w:val="-3"/>
          <w:sz w:val="20"/>
        </w:rPr>
        <w:t> </w:t>
      </w:r>
      <w:r>
        <w:rPr>
          <w:sz w:val="20"/>
        </w:rPr>
        <w:t>de</w:t>
      </w:r>
      <w:r>
        <w:rPr>
          <w:spacing w:val="-8"/>
          <w:sz w:val="20"/>
        </w:rPr>
        <w:t> </w:t>
      </w:r>
      <w:r>
        <w:rPr>
          <w:sz w:val="20"/>
        </w:rPr>
        <w:t>cientos</w:t>
      </w:r>
      <w:r>
        <w:rPr>
          <w:spacing w:val="-7"/>
          <w:sz w:val="20"/>
        </w:rPr>
        <w:t> </w:t>
      </w:r>
      <w:r>
        <w:rPr>
          <w:sz w:val="20"/>
        </w:rPr>
        <w:t>de</w:t>
      </w:r>
      <w:r>
        <w:rPr>
          <w:spacing w:val="-8"/>
          <w:sz w:val="20"/>
        </w:rPr>
        <w:t> </w:t>
      </w:r>
      <w:r>
        <w:rPr>
          <w:sz w:val="20"/>
        </w:rPr>
        <w:t>familias</w:t>
      </w:r>
      <w:r>
        <w:rPr>
          <w:spacing w:val="-7"/>
          <w:sz w:val="20"/>
        </w:rPr>
        <w:t> </w:t>
      </w:r>
      <w:r>
        <w:rPr>
          <w:sz w:val="20"/>
        </w:rPr>
        <w:t>criollas</w:t>
      </w:r>
      <w:r>
        <w:rPr>
          <w:spacing w:val="-7"/>
          <w:sz w:val="20"/>
        </w:rPr>
        <w:t> </w:t>
      </w:r>
      <w:r>
        <w:rPr>
          <w:sz w:val="20"/>
        </w:rPr>
        <w:t>en [el] territorio ancestral, la degradación ambiental […] y la alteración de los campos de caza y recolección de las comunidades [indígenas] han tenido un efecto profundo en su </w:t>
      </w:r>
      <w:r>
        <w:rPr>
          <w:i/>
          <w:sz w:val="20"/>
        </w:rPr>
        <w:t>identidad cultural </w:t>
      </w:r>
      <w:r>
        <w:rPr>
          <w:sz w:val="20"/>
        </w:rPr>
        <w:t>y prácticas tradicionales”. Afirmaron que lo anterior ha provocado en las comunidades “profundas alteraciones” en “sus costumbres, sus hábitos sociales   </w:t>
      </w:r>
      <w:r>
        <w:rPr>
          <w:spacing w:val="26"/>
          <w:sz w:val="20"/>
        </w:rPr>
        <w:t> </w:t>
      </w:r>
      <w:r>
        <w:rPr>
          <w:sz w:val="20"/>
        </w:rPr>
        <w:t>e</w:t>
      </w:r>
    </w:p>
    <w:p>
      <w:pPr>
        <w:pStyle w:val="BodyText"/>
        <w:spacing w:before="4"/>
        <w:rPr>
          <w:sz w:val="21"/>
        </w:rPr>
      </w:pPr>
      <w:r>
        <w:rPr/>
        <w:pict>
          <v:line style="position:absolute;mso-position-horizontal-relative:page;mso-position-vertical-relative:paragraph;z-index:2464;mso-wrap-distance-left:0;mso-wrap-distance-right:0" from="85.103996pt,15.303377pt" to="229.123996pt,15.303377pt" stroked="true" strokeweight=".71997pt" strokecolor="#000000">
            <v:stroke dashstyle="solid"/>
            <w10:wrap type="topAndBottom"/>
          </v:line>
        </w:pict>
      </w:r>
    </w:p>
    <w:p>
      <w:pPr>
        <w:spacing w:before="71"/>
        <w:ind w:left="122" w:right="113" w:firstLine="0"/>
        <w:jc w:val="both"/>
        <w:rPr>
          <w:sz w:val="16"/>
        </w:rPr>
      </w:pPr>
      <w:r>
        <w:rPr>
          <w:sz w:val="16"/>
        </w:rPr>
        <w:t>respectivamente. Por otra parte, si bien en forma general, respecto de los tres derechos, mencionaron los artículos 1 y 2 de la Convención, al expresar concretamente qué normas entendían violadas respecto a cada uno</w:t>
      </w:r>
      <w:r>
        <w:rPr>
          <w:spacing w:val="-3"/>
          <w:sz w:val="16"/>
        </w:rPr>
        <w:t> </w:t>
      </w:r>
      <w:r>
        <w:rPr>
          <w:sz w:val="16"/>
        </w:rPr>
        <w:t>de</w:t>
      </w:r>
      <w:r>
        <w:rPr>
          <w:spacing w:val="-6"/>
          <w:sz w:val="16"/>
        </w:rPr>
        <w:t> </w:t>
      </w:r>
      <w:r>
        <w:rPr>
          <w:sz w:val="16"/>
        </w:rPr>
        <w:t>los</w:t>
      </w:r>
      <w:r>
        <w:rPr>
          <w:spacing w:val="-3"/>
          <w:sz w:val="16"/>
        </w:rPr>
        <w:t> </w:t>
      </w:r>
      <w:r>
        <w:rPr>
          <w:sz w:val="16"/>
        </w:rPr>
        <w:t>tres</w:t>
      </w:r>
      <w:r>
        <w:rPr>
          <w:spacing w:val="-6"/>
          <w:sz w:val="16"/>
        </w:rPr>
        <w:t> </w:t>
      </w:r>
      <w:r>
        <w:rPr>
          <w:sz w:val="16"/>
        </w:rPr>
        <w:t>derechos</w:t>
      </w:r>
      <w:r>
        <w:rPr>
          <w:spacing w:val="-6"/>
          <w:sz w:val="16"/>
        </w:rPr>
        <w:t> </w:t>
      </w:r>
      <w:r>
        <w:rPr>
          <w:sz w:val="16"/>
        </w:rPr>
        <w:t>referidos,</w:t>
      </w:r>
      <w:r>
        <w:rPr>
          <w:spacing w:val="-7"/>
          <w:sz w:val="16"/>
        </w:rPr>
        <w:t> </w:t>
      </w:r>
      <w:r>
        <w:rPr>
          <w:sz w:val="16"/>
        </w:rPr>
        <w:t>no</w:t>
      </w:r>
      <w:r>
        <w:rPr>
          <w:spacing w:val="-5"/>
          <w:sz w:val="16"/>
        </w:rPr>
        <w:t> </w:t>
      </w:r>
      <w:r>
        <w:rPr>
          <w:sz w:val="16"/>
        </w:rPr>
        <w:t>señalaron</w:t>
      </w:r>
      <w:r>
        <w:rPr>
          <w:spacing w:val="-5"/>
          <w:sz w:val="16"/>
        </w:rPr>
        <w:t> </w:t>
      </w:r>
      <w:r>
        <w:rPr>
          <w:sz w:val="16"/>
        </w:rPr>
        <w:t>el</w:t>
      </w:r>
      <w:r>
        <w:rPr>
          <w:spacing w:val="-7"/>
          <w:sz w:val="16"/>
        </w:rPr>
        <w:t> </w:t>
      </w:r>
      <w:r>
        <w:rPr>
          <w:sz w:val="16"/>
        </w:rPr>
        <w:t>artículo</w:t>
      </w:r>
      <w:r>
        <w:rPr>
          <w:spacing w:val="-5"/>
          <w:sz w:val="16"/>
        </w:rPr>
        <w:t> </w:t>
      </w:r>
      <w:r>
        <w:rPr>
          <w:sz w:val="16"/>
        </w:rPr>
        <w:t>2</w:t>
      </w:r>
      <w:r>
        <w:rPr>
          <w:spacing w:val="-5"/>
          <w:sz w:val="16"/>
        </w:rPr>
        <w:t> </w:t>
      </w:r>
      <w:r>
        <w:rPr>
          <w:sz w:val="16"/>
        </w:rPr>
        <w:t>indicado.</w:t>
      </w:r>
      <w:r>
        <w:rPr>
          <w:spacing w:val="-3"/>
          <w:sz w:val="16"/>
        </w:rPr>
        <w:t> </w:t>
      </w:r>
      <w:r>
        <w:rPr>
          <w:sz w:val="16"/>
        </w:rPr>
        <w:t>La</w:t>
      </w:r>
      <w:r>
        <w:rPr>
          <w:spacing w:val="-7"/>
          <w:sz w:val="16"/>
        </w:rPr>
        <w:t> </w:t>
      </w:r>
      <w:r>
        <w:rPr>
          <w:sz w:val="16"/>
        </w:rPr>
        <w:t>Corte</w:t>
      </w:r>
      <w:r>
        <w:rPr>
          <w:spacing w:val="-6"/>
          <w:sz w:val="16"/>
        </w:rPr>
        <w:t> </w:t>
      </w:r>
      <w:r>
        <w:rPr>
          <w:sz w:val="16"/>
        </w:rPr>
        <w:t>no</w:t>
      </w:r>
      <w:r>
        <w:rPr>
          <w:spacing w:val="-5"/>
          <w:sz w:val="16"/>
        </w:rPr>
        <w:t> </w:t>
      </w:r>
      <w:r>
        <w:rPr>
          <w:sz w:val="16"/>
        </w:rPr>
        <w:t>examinará</w:t>
      </w:r>
      <w:r>
        <w:rPr>
          <w:spacing w:val="-4"/>
          <w:sz w:val="16"/>
        </w:rPr>
        <w:t> </w:t>
      </w:r>
      <w:r>
        <w:rPr>
          <w:sz w:val="16"/>
        </w:rPr>
        <w:t>los</w:t>
      </w:r>
      <w:r>
        <w:rPr>
          <w:spacing w:val="-6"/>
          <w:sz w:val="16"/>
        </w:rPr>
        <w:t> </w:t>
      </w:r>
      <w:r>
        <w:rPr>
          <w:sz w:val="16"/>
        </w:rPr>
        <w:t>derechos</w:t>
      </w:r>
      <w:r>
        <w:rPr>
          <w:spacing w:val="-3"/>
          <w:sz w:val="16"/>
        </w:rPr>
        <w:t> </w:t>
      </w:r>
      <w:r>
        <w:rPr>
          <w:sz w:val="16"/>
        </w:rPr>
        <w:t>en cuestión en relación con el artículo 2 de la</w:t>
      </w:r>
      <w:r>
        <w:rPr>
          <w:spacing w:val="-17"/>
          <w:sz w:val="16"/>
        </w:rPr>
        <w:t> </w:t>
      </w:r>
      <w:r>
        <w:rPr>
          <w:sz w:val="16"/>
        </w:rPr>
        <w:t>Convención.</w:t>
      </w:r>
    </w:p>
    <w:p>
      <w:pPr>
        <w:pStyle w:val="BodyText"/>
        <w:spacing w:before="11"/>
        <w:rPr>
          <w:sz w:val="15"/>
        </w:rPr>
      </w:pPr>
    </w:p>
    <w:p>
      <w:pPr>
        <w:tabs>
          <w:tab w:pos="829" w:val="left" w:leader="none"/>
        </w:tabs>
        <w:spacing w:line="240" w:lineRule="auto" w:before="0"/>
        <w:ind w:left="122" w:right="117" w:firstLine="0"/>
        <w:jc w:val="both"/>
        <w:rPr>
          <w:sz w:val="16"/>
        </w:rPr>
      </w:pPr>
      <w:r>
        <w:rPr>
          <w:position w:val="6"/>
          <w:sz w:val="10"/>
        </w:rPr>
        <w:t>174</w:t>
        <w:tab/>
      </w:r>
      <w:r>
        <w:rPr>
          <w:sz w:val="16"/>
        </w:rPr>
        <w:t>Señalaron los representantes que “ya en el primer pedido formal realizado por la  </w:t>
      </w:r>
      <w:r>
        <w:rPr>
          <w:spacing w:val="21"/>
          <w:sz w:val="16"/>
        </w:rPr>
        <w:t> </w:t>
      </w:r>
      <w:r>
        <w:rPr>
          <w:sz w:val="16"/>
        </w:rPr>
        <w:t>Asociación</w:t>
      </w:r>
      <w:r>
        <w:rPr>
          <w:spacing w:val="10"/>
          <w:sz w:val="16"/>
        </w:rPr>
        <w:t> </w:t>
      </w:r>
      <w:r>
        <w:rPr>
          <w:sz w:val="16"/>
        </w:rPr>
        <w:t>Lhaka</w:t>
      </w:r>
      <w:r>
        <w:rPr>
          <w:w w:val="100"/>
          <w:sz w:val="16"/>
        </w:rPr>
        <w:t> </w:t>
      </w:r>
      <w:r>
        <w:rPr>
          <w:sz w:val="16"/>
        </w:rPr>
        <w:t>Honhat</w:t>
      </w:r>
      <w:r>
        <w:rPr>
          <w:spacing w:val="-4"/>
          <w:sz w:val="16"/>
        </w:rPr>
        <w:t> </w:t>
      </w:r>
      <w:r>
        <w:rPr>
          <w:sz w:val="16"/>
        </w:rPr>
        <w:t>al</w:t>
      </w:r>
      <w:r>
        <w:rPr>
          <w:spacing w:val="-3"/>
          <w:sz w:val="16"/>
        </w:rPr>
        <w:t> </w:t>
      </w:r>
      <w:r>
        <w:rPr>
          <w:sz w:val="16"/>
        </w:rPr>
        <w:t>gobierno</w:t>
      </w:r>
      <w:r>
        <w:rPr>
          <w:spacing w:val="-4"/>
          <w:sz w:val="16"/>
        </w:rPr>
        <w:t> </w:t>
      </w:r>
      <w:r>
        <w:rPr>
          <w:sz w:val="16"/>
        </w:rPr>
        <w:t>de</w:t>
      </w:r>
      <w:r>
        <w:rPr>
          <w:spacing w:val="-5"/>
          <w:sz w:val="16"/>
        </w:rPr>
        <w:t> </w:t>
      </w:r>
      <w:r>
        <w:rPr>
          <w:sz w:val="16"/>
        </w:rPr>
        <w:t>la</w:t>
      </w:r>
      <w:r>
        <w:rPr>
          <w:spacing w:val="-3"/>
          <w:sz w:val="16"/>
        </w:rPr>
        <w:t> </w:t>
      </w:r>
      <w:r>
        <w:rPr>
          <w:sz w:val="16"/>
        </w:rPr>
        <w:t>provincia</w:t>
      </w:r>
      <w:r>
        <w:rPr>
          <w:spacing w:val="-4"/>
          <w:sz w:val="16"/>
        </w:rPr>
        <w:t> </w:t>
      </w:r>
      <w:r>
        <w:rPr>
          <w:sz w:val="16"/>
        </w:rPr>
        <w:t>de</w:t>
      </w:r>
      <w:r>
        <w:rPr>
          <w:spacing w:val="-5"/>
          <w:sz w:val="16"/>
        </w:rPr>
        <w:t> </w:t>
      </w:r>
      <w:r>
        <w:rPr>
          <w:sz w:val="16"/>
        </w:rPr>
        <w:t>Salta</w:t>
      </w:r>
      <w:r>
        <w:rPr>
          <w:spacing w:val="-3"/>
          <w:sz w:val="16"/>
        </w:rPr>
        <w:t> </w:t>
      </w:r>
      <w:r>
        <w:rPr>
          <w:sz w:val="16"/>
        </w:rPr>
        <w:t>en</w:t>
      </w:r>
      <w:r>
        <w:rPr>
          <w:spacing w:val="-3"/>
          <w:sz w:val="16"/>
        </w:rPr>
        <w:t> </w:t>
      </w:r>
      <w:r>
        <w:rPr>
          <w:sz w:val="16"/>
        </w:rPr>
        <w:t>[…]</w:t>
      </w:r>
      <w:r>
        <w:rPr>
          <w:spacing w:val="-3"/>
          <w:sz w:val="16"/>
        </w:rPr>
        <w:t> </w:t>
      </w:r>
      <w:r>
        <w:rPr>
          <w:sz w:val="16"/>
        </w:rPr>
        <w:t>1991,</w:t>
      </w:r>
      <w:r>
        <w:rPr>
          <w:spacing w:val="-6"/>
          <w:sz w:val="16"/>
        </w:rPr>
        <w:t> </w:t>
      </w:r>
      <w:r>
        <w:rPr>
          <w:sz w:val="16"/>
        </w:rPr>
        <w:t>se</w:t>
      </w:r>
      <w:r>
        <w:rPr>
          <w:spacing w:val="-5"/>
          <w:sz w:val="16"/>
        </w:rPr>
        <w:t> </w:t>
      </w:r>
      <w:r>
        <w:rPr>
          <w:sz w:val="16"/>
        </w:rPr>
        <w:t>detalló</w:t>
      </w:r>
      <w:r>
        <w:rPr>
          <w:spacing w:val="-2"/>
          <w:sz w:val="16"/>
        </w:rPr>
        <w:t> </w:t>
      </w:r>
      <w:r>
        <w:rPr>
          <w:sz w:val="16"/>
        </w:rPr>
        <w:t>la</w:t>
      </w:r>
      <w:r>
        <w:rPr>
          <w:spacing w:val="-3"/>
          <w:sz w:val="16"/>
        </w:rPr>
        <w:t> </w:t>
      </w:r>
      <w:r>
        <w:rPr>
          <w:sz w:val="16"/>
        </w:rPr>
        <w:t>grave</w:t>
      </w:r>
      <w:r>
        <w:rPr>
          <w:spacing w:val="-5"/>
          <w:sz w:val="16"/>
        </w:rPr>
        <w:t> </w:t>
      </w:r>
      <w:r>
        <w:rPr>
          <w:sz w:val="16"/>
        </w:rPr>
        <w:t>degradación</w:t>
      </w:r>
      <w:r>
        <w:rPr>
          <w:spacing w:val="-5"/>
          <w:sz w:val="16"/>
        </w:rPr>
        <w:t> </w:t>
      </w:r>
      <w:r>
        <w:rPr>
          <w:sz w:val="16"/>
        </w:rPr>
        <w:t>ambiental</w:t>
      </w:r>
      <w:r>
        <w:rPr>
          <w:spacing w:val="-3"/>
          <w:sz w:val="16"/>
        </w:rPr>
        <w:t> </w:t>
      </w:r>
      <w:r>
        <w:rPr>
          <w:sz w:val="16"/>
        </w:rPr>
        <w:t>sufrida</w:t>
      </w:r>
      <w:r>
        <w:rPr>
          <w:spacing w:val="-6"/>
          <w:sz w:val="16"/>
        </w:rPr>
        <w:t> </w:t>
      </w:r>
      <w:r>
        <w:rPr>
          <w:sz w:val="16"/>
        </w:rPr>
        <w:t>en el territorio producto del sobrepastoreo, la tala ilegal y el cercado de los criollos”. Por consiguiente, adujeron que el Estado tuvo pleno conocimiento de las condiciones de degradación ambiental, y aun así no adoptó las medidas necesarias para su “prevención y</w:t>
      </w:r>
      <w:r>
        <w:rPr>
          <w:spacing w:val="-14"/>
          <w:sz w:val="16"/>
        </w:rPr>
        <w:t> </w:t>
      </w:r>
      <w:r>
        <w:rPr>
          <w:sz w:val="16"/>
        </w:rPr>
        <w:t>reversión”.</w:t>
      </w:r>
    </w:p>
    <w:p>
      <w:pPr>
        <w:spacing w:after="0" w:line="240" w:lineRule="auto"/>
        <w:jc w:val="both"/>
        <w:rPr>
          <w:sz w:val="16"/>
        </w:rPr>
        <w:sectPr>
          <w:pgSz w:w="12240" w:h="15840"/>
          <w:pgMar w:header="0" w:footer="1000" w:top="1340" w:bottom="1200" w:left="1580" w:right="1580"/>
        </w:sectPr>
      </w:pPr>
    </w:p>
    <w:p>
      <w:pPr>
        <w:pStyle w:val="BodyText"/>
        <w:spacing w:before="76"/>
        <w:ind w:left="122" w:right="126"/>
        <w:jc w:val="both"/>
      </w:pPr>
      <w:r>
        <w:rPr/>
        <w:t>individuales, sus prácticas económicas y sus concepciones acerca del mundo y de su propia vida”. En ese sentido, observaron que dada la especial relación de las comunidades con su tierra, “la degradación del ambiente y los cambios en la flora y la fauna, exceden del aspecto meramente económico y de subsistencia, afectando la identidad [cultural]”.</w:t>
      </w:r>
    </w:p>
    <w:p>
      <w:pPr>
        <w:pStyle w:val="BodyText"/>
        <w:spacing w:before="10"/>
        <w:rPr>
          <w:sz w:val="19"/>
        </w:rPr>
      </w:pPr>
    </w:p>
    <w:p>
      <w:pPr>
        <w:pStyle w:val="ListParagraph"/>
        <w:numPr>
          <w:ilvl w:val="0"/>
          <w:numId w:val="27"/>
        </w:numPr>
        <w:tabs>
          <w:tab w:pos="830" w:val="left" w:leader="none"/>
        </w:tabs>
        <w:spacing w:line="240" w:lineRule="auto" w:before="0" w:after="0"/>
        <w:ind w:left="122" w:right="121" w:firstLine="0"/>
        <w:jc w:val="both"/>
        <w:rPr>
          <w:sz w:val="20"/>
        </w:rPr>
      </w:pPr>
      <w:r>
        <w:rPr>
          <w:sz w:val="20"/>
        </w:rPr>
        <w:t>Los representantes expresaron también que el Estado “tenía pleno y detallado conocimiento de las condiciones de degradación ambiental”, y no adoptó acciones para prevenir</w:t>
      </w:r>
      <w:r>
        <w:rPr>
          <w:spacing w:val="-10"/>
          <w:sz w:val="20"/>
        </w:rPr>
        <w:t> </w:t>
      </w:r>
      <w:r>
        <w:rPr>
          <w:sz w:val="20"/>
        </w:rPr>
        <w:t>el</w:t>
      </w:r>
      <w:r>
        <w:rPr>
          <w:spacing w:val="-9"/>
          <w:sz w:val="20"/>
        </w:rPr>
        <w:t> </w:t>
      </w:r>
      <w:r>
        <w:rPr>
          <w:sz w:val="20"/>
        </w:rPr>
        <w:t>proceso</w:t>
      </w:r>
      <w:r>
        <w:rPr>
          <w:spacing w:val="-8"/>
          <w:sz w:val="20"/>
        </w:rPr>
        <w:t> </w:t>
      </w:r>
      <w:r>
        <w:rPr>
          <w:sz w:val="20"/>
        </w:rPr>
        <w:t>o</w:t>
      </w:r>
      <w:r>
        <w:rPr>
          <w:spacing w:val="-10"/>
          <w:sz w:val="20"/>
        </w:rPr>
        <w:t> </w:t>
      </w:r>
      <w:r>
        <w:rPr>
          <w:sz w:val="20"/>
        </w:rPr>
        <w:t>revertirlo,</w:t>
      </w:r>
      <w:r>
        <w:rPr>
          <w:spacing w:val="-12"/>
          <w:sz w:val="20"/>
        </w:rPr>
        <w:t> </w:t>
      </w:r>
      <w:r>
        <w:rPr>
          <w:sz w:val="20"/>
        </w:rPr>
        <w:t>como</w:t>
      </w:r>
      <w:r>
        <w:rPr>
          <w:spacing w:val="-12"/>
          <w:sz w:val="20"/>
        </w:rPr>
        <w:t> </w:t>
      </w:r>
      <w:r>
        <w:rPr>
          <w:sz w:val="20"/>
        </w:rPr>
        <w:t>tampoco</w:t>
      </w:r>
      <w:r>
        <w:rPr>
          <w:spacing w:val="-8"/>
          <w:sz w:val="20"/>
        </w:rPr>
        <w:t> </w:t>
      </w:r>
      <w:r>
        <w:rPr>
          <w:sz w:val="20"/>
        </w:rPr>
        <w:t>“para</w:t>
      </w:r>
      <w:r>
        <w:rPr>
          <w:spacing w:val="-9"/>
          <w:sz w:val="20"/>
        </w:rPr>
        <w:t> </w:t>
      </w:r>
      <w:r>
        <w:rPr>
          <w:sz w:val="20"/>
        </w:rPr>
        <w:t>‘fortalecer</w:t>
      </w:r>
      <w:r>
        <w:rPr>
          <w:spacing w:val="-10"/>
          <w:sz w:val="20"/>
        </w:rPr>
        <w:t> </w:t>
      </w:r>
      <w:r>
        <w:rPr>
          <w:sz w:val="20"/>
        </w:rPr>
        <w:t>el</w:t>
      </w:r>
      <w:r>
        <w:rPr>
          <w:spacing w:val="-11"/>
          <w:sz w:val="20"/>
        </w:rPr>
        <w:t> </w:t>
      </w:r>
      <w:r>
        <w:rPr>
          <w:sz w:val="20"/>
        </w:rPr>
        <w:t>acceso</w:t>
      </w:r>
      <w:r>
        <w:rPr>
          <w:spacing w:val="-11"/>
          <w:sz w:val="20"/>
        </w:rPr>
        <w:t> </w:t>
      </w:r>
      <w:r>
        <w:rPr>
          <w:sz w:val="20"/>
        </w:rPr>
        <w:t>y</w:t>
      </w:r>
      <w:r>
        <w:rPr>
          <w:spacing w:val="-12"/>
          <w:sz w:val="20"/>
        </w:rPr>
        <w:t> </w:t>
      </w:r>
      <w:r>
        <w:rPr>
          <w:sz w:val="20"/>
        </w:rPr>
        <w:t>la</w:t>
      </w:r>
      <w:r>
        <w:rPr>
          <w:spacing w:val="-11"/>
          <w:sz w:val="20"/>
        </w:rPr>
        <w:t> </w:t>
      </w:r>
      <w:r>
        <w:rPr>
          <w:sz w:val="20"/>
        </w:rPr>
        <w:t>utilización por parte de la población de los recursos y medios que aseguren sus medios de vida’”, según</w:t>
      </w:r>
      <w:r>
        <w:rPr>
          <w:spacing w:val="-18"/>
          <w:sz w:val="20"/>
        </w:rPr>
        <w:t> </w:t>
      </w:r>
      <w:r>
        <w:rPr>
          <w:sz w:val="20"/>
        </w:rPr>
        <w:t>aseveraron,</w:t>
      </w:r>
      <w:r>
        <w:rPr>
          <w:spacing w:val="-19"/>
          <w:sz w:val="20"/>
        </w:rPr>
        <w:t> </w:t>
      </w:r>
      <w:r>
        <w:rPr>
          <w:sz w:val="20"/>
        </w:rPr>
        <w:t>tomando</w:t>
      </w:r>
      <w:r>
        <w:rPr>
          <w:spacing w:val="-20"/>
          <w:sz w:val="20"/>
        </w:rPr>
        <w:t> </w:t>
      </w:r>
      <w:r>
        <w:rPr>
          <w:sz w:val="20"/>
        </w:rPr>
        <w:t>una</w:t>
      </w:r>
      <w:r>
        <w:rPr>
          <w:spacing w:val="-18"/>
          <w:sz w:val="20"/>
        </w:rPr>
        <w:t> </w:t>
      </w:r>
      <w:r>
        <w:rPr>
          <w:sz w:val="20"/>
        </w:rPr>
        <w:t>expresión</w:t>
      </w:r>
      <w:r>
        <w:rPr>
          <w:spacing w:val="-18"/>
          <w:sz w:val="20"/>
        </w:rPr>
        <w:t> </w:t>
      </w:r>
      <w:r>
        <w:rPr>
          <w:sz w:val="20"/>
        </w:rPr>
        <w:t>del</w:t>
      </w:r>
      <w:r>
        <w:rPr>
          <w:spacing w:val="-18"/>
          <w:sz w:val="20"/>
        </w:rPr>
        <w:t> </w:t>
      </w:r>
      <w:r>
        <w:rPr>
          <w:sz w:val="20"/>
        </w:rPr>
        <w:t>Comité</w:t>
      </w:r>
      <w:r>
        <w:rPr>
          <w:spacing w:val="-15"/>
          <w:sz w:val="20"/>
        </w:rPr>
        <w:t> </w:t>
      </w:r>
      <w:r>
        <w:rPr>
          <w:sz w:val="20"/>
        </w:rPr>
        <w:t>de</w:t>
      </w:r>
      <w:r>
        <w:rPr>
          <w:spacing w:val="-20"/>
          <w:sz w:val="20"/>
        </w:rPr>
        <w:t> </w:t>
      </w:r>
      <w:r>
        <w:rPr>
          <w:sz w:val="20"/>
        </w:rPr>
        <w:t>Derechos</w:t>
      </w:r>
      <w:r>
        <w:rPr>
          <w:spacing w:val="-19"/>
          <w:sz w:val="20"/>
        </w:rPr>
        <w:t> </w:t>
      </w:r>
      <w:r>
        <w:rPr>
          <w:sz w:val="20"/>
        </w:rPr>
        <w:t>Económicos,</w:t>
      </w:r>
      <w:r>
        <w:rPr>
          <w:spacing w:val="-20"/>
          <w:sz w:val="20"/>
        </w:rPr>
        <w:t> </w:t>
      </w:r>
      <w:r>
        <w:rPr>
          <w:sz w:val="20"/>
        </w:rPr>
        <w:t>Sociales y Culturales de la Organización de las Naciones Unidas (en adelante también “Comité DESC”).</w:t>
      </w:r>
    </w:p>
    <w:p>
      <w:pPr>
        <w:pStyle w:val="BodyText"/>
        <w:spacing w:before="10"/>
        <w:rPr>
          <w:sz w:val="19"/>
        </w:rPr>
      </w:pPr>
    </w:p>
    <w:p>
      <w:pPr>
        <w:pStyle w:val="ListParagraph"/>
        <w:numPr>
          <w:ilvl w:val="0"/>
          <w:numId w:val="27"/>
        </w:numPr>
        <w:tabs>
          <w:tab w:pos="830" w:val="left" w:leader="none"/>
        </w:tabs>
        <w:spacing w:line="240" w:lineRule="auto" w:before="0" w:after="0"/>
        <w:ind w:left="122" w:right="124" w:firstLine="0"/>
        <w:jc w:val="both"/>
        <w:rPr>
          <w:sz w:val="20"/>
        </w:rPr>
      </w:pPr>
      <w:r>
        <w:rPr>
          <w:sz w:val="20"/>
        </w:rPr>
        <w:t>El </w:t>
      </w:r>
      <w:r>
        <w:rPr>
          <w:b/>
          <w:i/>
          <w:sz w:val="20"/>
        </w:rPr>
        <w:t>Estado </w:t>
      </w:r>
      <w:r>
        <w:rPr>
          <w:sz w:val="20"/>
        </w:rPr>
        <w:t>afirmó, respecto del </w:t>
      </w:r>
      <w:r>
        <w:rPr>
          <w:i/>
          <w:sz w:val="20"/>
        </w:rPr>
        <w:t>derecho a un medio ambiente sano</w:t>
      </w:r>
      <w:r>
        <w:rPr>
          <w:sz w:val="20"/>
        </w:rPr>
        <w:t>, que no se le debe imponer una “carga imposible o desproporcionada”, debiendo acreditarse el conocimiento</w:t>
      </w:r>
      <w:r>
        <w:rPr>
          <w:spacing w:val="-8"/>
          <w:sz w:val="20"/>
        </w:rPr>
        <w:t> </w:t>
      </w:r>
      <w:r>
        <w:rPr>
          <w:sz w:val="20"/>
        </w:rPr>
        <w:t>de</w:t>
      </w:r>
      <w:r>
        <w:rPr>
          <w:spacing w:val="-8"/>
          <w:sz w:val="20"/>
        </w:rPr>
        <w:t> </w:t>
      </w:r>
      <w:r>
        <w:rPr>
          <w:sz w:val="20"/>
        </w:rPr>
        <w:t>una</w:t>
      </w:r>
      <w:r>
        <w:rPr>
          <w:spacing w:val="-9"/>
          <w:sz w:val="20"/>
        </w:rPr>
        <w:t> </w:t>
      </w:r>
      <w:r>
        <w:rPr>
          <w:sz w:val="20"/>
        </w:rPr>
        <w:t>situación</w:t>
      </w:r>
      <w:r>
        <w:rPr>
          <w:spacing w:val="-8"/>
          <w:sz w:val="20"/>
        </w:rPr>
        <w:t> </w:t>
      </w:r>
      <w:r>
        <w:rPr>
          <w:sz w:val="20"/>
        </w:rPr>
        <w:t>de</w:t>
      </w:r>
      <w:r>
        <w:rPr>
          <w:spacing w:val="-8"/>
          <w:sz w:val="20"/>
        </w:rPr>
        <w:t> </w:t>
      </w:r>
      <w:r>
        <w:rPr>
          <w:sz w:val="20"/>
        </w:rPr>
        <w:t>riesgo</w:t>
      </w:r>
      <w:r>
        <w:rPr>
          <w:spacing w:val="-9"/>
          <w:sz w:val="20"/>
        </w:rPr>
        <w:t> </w:t>
      </w:r>
      <w:r>
        <w:rPr>
          <w:sz w:val="20"/>
        </w:rPr>
        <w:t>para</w:t>
      </w:r>
      <w:r>
        <w:rPr>
          <w:spacing w:val="-7"/>
          <w:sz w:val="20"/>
        </w:rPr>
        <w:t> </w:t>
      </w:r>
      <w:r>
        <w:rPr>
          <w:sz w:val="20"/>
        </w:rPr>
        <w:t>que</w:t>
      </w:r>
      <w:r>
        <w:rPr>
          <w:spacing w:val="-9"/>
          <w:sz w:val="20"/>
        </w:rPr>
        <w:t> </w:t>
      </w:r>
      <w:r>
        <w:rPr>
          <w:sz w:val="20"/>
        </w:rPr>
        <w:t>surja</w:t>
      </w:r>
      <w:r>
        <w:rPr>
          <w:spacing w:val="-8"/>
          <w:sz w:val="20"/>
        </w:rPr>
        <w:t> </w:t>
      </w:r>
      <w:r>
        <w:rPr>
          <w:sz w:val="20"/>
        </w:rPr>
        <w:t>una</w:t>
      </w:r>
      <w:r>
        <w:rPr>
          <w:spacing w:val="-6"/>
          <w:sz w:val="20"/>
        </w:rPr>
        <w:t> </w:t>
      </w:r>
      <w:r>
        <w:rPr>
          <w:sz w:val="20"/>
        </w:rPr>
        <w:t>obligación</w:t>
      </w:r>
      <w:r>
        <w:rPr>
          <w:spacing w:val="-6"/>
          <w:sz w:val="20"/>
        </w:rPr>
        <w:t> </w:t>
      </w:r>
      <w:r>
        <w:rPr>
          <w:sz w:val="20"/>
        </w:rPr>
        <w:t>positiva.</w:t>
      </w:r>
      <w:r>
        <w:rPr>
          <w:spacing w:val="-7"/>
          <w:sz w:val="20"/>
        </w:rPr>
        <w:t> </w:t>
      </w:r>
      <w:r>
        <w:rPr>
          <w:sz w:val="20"/>
        </w:rPr>
        <w:t>Por</w:t>
      </w:r>
      <w:r>
        <w:rPr>
          <w:spacing w:val="-8"/>
          <w:sz w:val="20"/>
        </w:rPr>
        <w:t> </w:t>
      </w:r>
      <w:r>
        <w:rPr>
          <w:sz w:val="20"/>
        </w:rPr>
        <w:t>otro lado, enunció conductas que ha adoptado. Así, señaló que “ha brindado asistencia técnica y financiera para la gestión e implementación de los Proyectos del Plan Integral Comunitario (PIC), en el marco de los Fondos de Bosques y Comunidades”</w:t>
      </w:r>
      <w:r>
        <w:rPr>
          <w:position w:val="7"/>
          <w:sz w:val="13"/>
        </w:rPr>
        <w:t>175</w:t>
      </w:r>
      <w:r>
        <w:rPr>
          <w:sz w:val="20"/>
        </w:rPr>
        <w:t>. Además, indicó que el Ministerio de Ambiente de Salta “vela por el cumplimiento de la reglamentación ambiental vigente”, inclusive respecto al control de la tala ilegal y la deforestación. Afirmó que “realiza constantes tareas de monitoreo y seguimiento del territorio mediante la teledetección con imágenes</w:t>
      </w:r>
      <w:r>
        <w:rPr>
          <w:spacing w:val="-29"/>
          <w:sz w:val="20"/>
        </w:rPr>
        <w:t> </w:t>
      </w:r>
      <w:r>
        <w:rPr>
          <w:sz w:val="20"/>
        </w:rPr>
        <w:t>satelitales”.</w:t>
      </w:r>
    </w:p>
    <w:p>
      <w:pPr>
        <w:pStyle w:val="BodyText"/>
        <w:spacing w:before="10"/>
        <w:rPr>
          <w:sz w:val="19"/>
        </w:rPr>
      </w:pPr>
    </w:p>
    <w:p>
      <w:pPr>
        <w:pStyle w:val="ListParagraph"/>
        <w:numPr>
          <w:ilvl w:val="0"/>
          <w:numId w:val="27"/>
        </w:numPr>
        <w:tabs>
          <w:tab w:pos="830" w:val="left" w:leader="none"/>
        </w:tabs>
        <w:spacing w:line="240" w:lineRule="auto" w:before="0" w:after="0"/>
        <w:ind w:left="122" w:right="127" w:firstLine="0"/>
        <w:jc w:val="both"/>
        <w:rPr>
          <w:sz w:val="20"/>
        </w:rPr>
      </w:pPr>
      <w:r>
        <w:rPr>
          <w:sz w:val="20"/>
        </w:rPr>
        <w:t>En lo atinente al </w:t>
      </w:r>
      <w:r>
        <w:rPr>
          <w:i/>
          <w:sz w:val="20"/>
        </w:rPr>
        <w:t>derecho a la alimentación</w:t>
      </w:r>
      <w:r>
        <w:rPr>
          <w:sz w:val="20"/>
        </w:rPr>
        <w:t>, el Estado sostuvo que no están probadas las afirmaciones de los representantes, y que no consta “dictamen u opinión técnica alguna que sustente que los niveles de desnutrición o de déficit alimentario hubieran aumentado con motivo de la presencia del ganado y la actividad ejercida por los</w:t>
      </w:r>
      <w:r>
        <w:rPr>
          <w:spacing w:val="-9"/>
          <w:sz w:val="20"/>
        </w:rPr>
        <w:t> </w:t>
      </w:r>
      <w:r>
        <w:rPr>
          <w:sz w:val="20"/>
        </w:rPr>
        <w:t>criollos”.</w:t>
      </w:r>
      <w:r>
        <w:rPr>
          <w:spacing w:val="-9"/>
          <w:sz w:val="20"/>
        </w:rPr>
        <w:t> </w:t>
      </w:r>
      <w:r>
        <w:rPr>
          <w:sz w:val="20"/>
        </w:rPr>
        <w:t>Agregó</w:t>
      </w:r>
      <w:r>
        <w:rPr>
          <w:spacing w:val="-9"/>
          <w:sz w:val="20"/>
        </w:rPr>
        <w:t> </w:t>
      </w:r>
      <w:r>
        <w:rPr>
          <w:sz w:val="20"/>
        </w:rPr>
        <w:t>que</w:t>
      </w:r>
      <w:r>
        <w:rPr>
          <w:spacing w:val="-9"/>
          <w:sz w:val="20"/>
        </w:rPr>
        <w:t> </w:t>
      </w:r>
      <w:r>
        <w:rPr>
          <w:sz w:val="20"/>
        </w:rPr>
        <w:t>muchos</w:t>
      </w:r>
      <w:r>
        <w:rPr>
          <w:spacing w:val="-11"/>
          <w:sz w:val="20"/>
        </w:rPr>
        <w:t> </w:t>
      </w:r>
      <w:r>
        <w:rPr>
          <w:sz w:val="20"/>
        </w:rPr>
        <w:t>integrantes</w:t>
      </w:r>
      <w:r>
        <w:rPr>
          <w:spacing w:val="-11"/>
          <w:sz w:val="20"/>
        </w:rPr>
        <w:t> </w:t>
      </w:r>
      <w:r>
        <w:rPr>
          <w:sz w:val="20"/>
        </w:rPr>
        <w:t>de</w:t>
      </w:r>
      <w:r>
        <w:rPr>
          <w:spacing w:val="-9"/>
          <w:sz w:val="20"/>
        </w:rPr>
        <w:t> </w:t>
      </w:r>
      <w:r>
        <w:rPr>
          <w:sz w:val="20"/>
        </w:rPr>
        <w:t>las</w:t>
      </w:r>
      <w:r>
        <w:rPr>
          <w:spacing w:val="-11"/>
          <w:sz w:val="20"/>
        </w:rPr>
        <w:t> </w:t>
      </w:r>
      <w:r>
        <w:rPr>
          <w:sz w:val="20"/>
        </w:rPr>
        <w:t>comunidades</w:t>
      </w:r>
      <w:r>
        <w:rPr>
          <w:spacing w:val="-9"/>
          <w:sz w:val="20"/>
        </w:rPr>
        <w:t> </w:t>
      </w:r>
      <w:r>
        <w:rPr>
          <w:sz w:val="20"/>
        </w:rPr>
        <w:t>indígenas</w:t>
      </w:r>
      <w:r>
        <w:rPr>
          <w:spacing w:val="-11"/>
          <w:sz w:val="20"/>
        </w:rPr>
        <w:t> </w:t>
      </w:r>
      <w:r>
        <w:rPr>
          <w:sz w:val="20"/>
        </w:rPr>
        <w:t>“practican</w:t>
      </w:r>
      <w:r>
        <w:rPr>
          <w:spacing w:val="-8"/>
          <w:sz w:val="20"/>
        </w:rPr>
        <w:t> </w:t>
      </w:r>
      <w:r>
        <w:rPr>
          <w:sz w:val="20"/>
        </w:rPr>
        <w:t>la actividad agrícola ganadera, producto de un gran proceso histórico de convivencia con los</w:t>
      </w:r>
      <w:r>
        <w:rPr>
          <w:spacing w:val="-8"/>
          <w:sz w:val="20"/>
        </w:rPr>
        <w:t> </w:t>
      </w:r>
      <w:r>
        <w:rPr>
          <w:sz w:val="20"/>
        </w:rPr>
        <w:t>criollos”</w:t>
      </w:r>
      <w:r>
        <w:rPr>
          <w:position w:val="7"/>
          <w:sz w:val="13"/>
        </w:rPr>
        <w:t>176</w:t>
      </w:r>
      <w:r>
        <w:rPr>
          <w:sz w:val="20"/>
        </w:rPr>
        <w:t>.</w:t>
      </w:r>
    </w:p>
    <w:p>
      <w:pPr>
        <w:pStyle w:val="BodyText"/>
      </w:pPr>
    </w:p>
    <w:p>
      <w:pPr>
        <w:pStyle w:val="ListParagraph"/>
        <w:numPr>
          <w:ilvl w:val="0"/>
          <w:numId w:val="27"/>
        </w:numPr>
        <w:tabs>
          <w:tab w:pos="830" w:val="left" w:leader="none"/>
        </w:tabs>
        <w:spacing w:line="240" w:lineRule="auto" w:before="0" w:after="0"/>
        <w:ind w:left="122" w:right="126" w:firstLine="0"/>
        <w:jc w:val="both"/>
        <w:rPr>
          <w:sz w:val="20"/>
        </w:rPr>
      </w:pPr>
      <w:r>
        <w:rPr>
          <w:sz w:val="20"/>
        </w:rPr>
        <w:t>Argentina agregó que “carecen de virtualidad” los señalamientos sobre violación a</w:t>
      </w:r>
      <w:r>
        <w:rPr>
          <w:spacing w:val="-5"/>
          <w:sz w:val="20"/>
        </w:rPr>
        <w:t> </w:t>
      </w:r>
      <w:r>
        <w:rPr>
          <w:sz w:val="20"/>
        </w:rPr>
        <w:t>la</w:t>
      </w:r>
      <w:r>
        <w:rPr>
          <w:spacing w:val="-5"/>
          <w:sz w:val="20"/>
        </w:rPr>
        <w:t> </w:t>
      </w:r>
      <w:r>
        <w:rPr>
          <w:i/>
          <w:sz w:val="20"/>
        </w:rPr>
        <w:t>identidad</w:t>
      </w:r>
      <w:r>
        <w:rPr>
          <w:i/>
          <w:spacing w:val="-5"/>
          <w:sz w:val="20"/>
        </w:rPr>
        <w:t> </w:t>
      </w:r>
      <w:r>
        <w:rPr>
          <w:i/>
          <w:sz w:val="20"/>
        </w:rPr>
        <w:t>cultural</w:t>
      </w:r>
      <w:r>
        <w:rPr>
          <w:i/>
          <w:spacing w:val="-3"/>
          <w:sz w:val="20"/>
        </w:rPr>
        <w:t> </w:t>
      </w:r>
      <w:r>
        <w:rPr>
          <w:sz w:val="20"/>
        </w:rPr>
        <w:t>porque:</w:t>
      </w:r>
      <w:r>
        <w:rPr>
          <w:spacing w:val="-5"/>
          <w:sz w:val="20"/>
        </w:rPr>
        <w:t> </w:t>
      </w:r>
      <w:r>
        <w:rPr>
          <w:sz w:val="20"/>
        </w:rPr>
        <w:t>a)</w:t>
      </w:r>
      <w:r>
        <w:rPr>
          <w:spacing w:val="-3"/>
          <w:sz w:val="20"/>
        </w:rPr>
        <w:t> </w:t>
      </w:r>
      <w:r>
        <w:rPr>
          <w:sz w:val="20"/>
        </w:rPr>
        <w:t>“ha</w:t>
      </w:r>
      <w:r>
        <w:rPr>
          <w:spacing w:val="-5"/>
          <w:sz w:val="20"/>
        </w:rPr>
        <w:t> </w:t>
      </w:r>
      <w:r>
        <w:rPr>
          <w:sz w:val="20"/>
        </w:rPr>
        <w:t>arbitrado</w:t>
      </w:r>
      <w:r>
        <w:rPr>
          <w:spacing w:val="-4"/>
          <w:sz w:val="20"/>
        </w:rPr>
        <w:t> </w:t>
      </w:r>
      <w:r>
        <w:rPr>
          <w:sz w:val="20"/>
        </w:rPr>
        <w:t>todos</w:t>
      </w:r>
      <w:r>
        <w:rPr>
          <w:spacing w:val="-6"/>
          <w:sz w:val="20"/>
        </w:rPr>
        <w:t> </w:t>
      </w:r>
      <w:r>
        <w:rPr>
          <w:sz w:val="20"/>
        </w:rPr>
        <w:t>los</w:t>
      </w:r>
      <w:r>
        <w:rPr>
          <w:spacing w:val="-6"/>
          <w:sz w:val="20"/>
        </w:rPr>
        <w:t> </w:t>
      </w:r>
      <w:r>
        <w:rPr>
          <w:sz w:val="20"/>
        </w:rPr>
        <w:t>medios</w:t>
      </w:r>
      <w:r>
        <w:rPr>
          <w:spacing w:val="-6"/>
          <w:sz w:val="20"/>
        </w:rPr>
        <w:t> </w:t>
      </w:r>
      <w:r>
        <w:rPr>
          <w:sz w:val="20"/>
        </w:rPr>
        <w:t>a</w:t>
      </w:r>
      <w:r>
        <w:rPr>
          <w:spacing w:val="-5"/>
          <w:sz w:val="20"/>
        </w:rPr>
        <w:t> </w:t>
      </w:r>
      <w:r>
        <w:rPr>
          <w:sz w:val="20"/>
        </w:rPr>
        <w:t>su</w:t>
      </w:r>
      <w:r>
        <w:rPr>
          <w:spacing w:val="-5"/>
          <w:sz w:val="20"/>
        </w:rPr>
        <w:t> </w:t>
      </w:r>
      <w:r>
        <w:rPr>
          <w:sz w:val="20"/>
        </w:rPr>
        <w:t>alcance</w:t>
      </w:r>
      <w:r>
        <w:rPr>
          <w:spacing w:val="-7"/>
          <w:sz w:val="20"/>
        </w:rPr>
        <w:t> </w:t>
      </w:r>
      <w:r>
        <w:rPr>
          <w:sz w:val="20"/>
        </w:rPr>
        <w:t>a</w:t>
      </w:r>
      <w:r>
        <w:rPr>
          <w:spacing w:val="-5"/>
          <w:sz w:val="20"/>
        </w:rPr>
        <w:t> </w:t>
      </w:r>
      <w:r>
        <w:rPr>
          <w:sz w:val="20"/>
        </w:rPr>
        <w:t>los</w:t>
      </w:r>
      <w:r>
        <w:rPr>
          <w:spacing w:val="-6"/>
          <w:sz w:val="20"/>
        </w:rPr>
        <w:t> </w:t>
      </w:r>
      <w:r>
        <w:rPr>
          <w:sz w:val="20"/>
        </w:rPr>
        <w:t>fines de garantizar que, en el marco de la complejidad del asunto […] las comunidades detenten materialmente el derecho que ya ha sido reconocido”, y b) son las mismas comunidades las que “han introducido cambios a sus conductas y formas de</w:t>
      </w:r>
      <w:r>
        <w:rPr>
          <w:spacing w:val="-21"/>
          <w:sz w:val="20"/>
        </w:rPr>
        <w:t> </w:t>
      </w:r>
      <w:r>
        <w:rPr>
          <w:sz w:val="20"/>
        </w:rPr>
        <w:t>vivir”</w:t>
      </w:r>
      <w:r>
        <w:rPr>
          <w:position w:val="7"/>
          <w:sz w:val="13"/>
        </w:rPr>
        <w:t>177</w:t>
      </w:r>
      <w:r>
        <w:rPr>
          <w:sz w:val="20"/>
        </w:rPr>
        <w:t>.</w:t>
      </w:r>
    </w:p>
    <w:p>
      <w:pPr>
        <w:pStyle w:val="BodyText"/>
        <w:spacing w:before="2"/>
        <w:rPr>
          <w:sz w:val="25"/>
        </w:rPr>
      </w:pPr>
      <w:r>
        <w:rPr/>
        <w:pict>
          <v:line style="position:absolute;mso-position-horizontal-relative:page;mso-position-vertical-relative:paragraph;z-index:2488;mso-wrap-distance-left:0;mso-wrap-distance-right:0" from="85.103996pt,17.66176pt" to="229.123996pt,17.66176pt" stroked="true" strokeweight=".72003pt" strokecolor="#000000">
            <v:stroke dashstyle="solid"/>
            <w10:wrap type="topAndBottom"/>
          </v:line>
        </w:pict>
      </w:r>
    </w:p>
    <w:p>
      <w:pPr>
        <w:tabs>
          <w:tab w:pos="829" w:val="left" w:leader="none"/>
        </w:tabs>
        <w:spacing w:before="71"/>
        <w:ind w:left="122" w:right="118" w:firstLine="0"/>
        <w:jc w:val="both"/>
        <w:rPr>
          <w:sz w:val="16"/>
        </w:rPr>
      </w:pPr>
      <w:r>
        <w:rPr>
          <w:position w:val="6"/>
          <w:sz w:val="10"/>
        </w:rPr>
        <w:t>175</w:t>
        <w:tab/>
      </w:r>
      <w:r>
        <w:rPr>
          <w:sz w:val="16"/>
        </w:rPr>
        <w:t>Explicó</w:t>
      </w:r>
      <w:r>
        <w:rPr>
          <w:spacing w:val="-7"/>
          <w:sz w:val="16"/>
        </w:rPr>
        <w:t> </w:t>
      </w:r>
      <w:r>
        <w:rPr>
          <w:sz w:val="16"/>
        </w:rPr>
        <w:t>que</w:t>
      </w:r>
      <w:r>
        <w:rPr>
          <w:spacing w:val="-6"/>
          <w:sz w:val="16"/>
        </w:rPr>
        <w:t> </w:t>
      </w:r>
      <w:r>
        <w:rPr>
          <w:sz w:val="16"/>
        </w:rPr>
        <w:t>“[e]l</w:t>
      </w:r>
      <w:r>
        <w:rPr>
          <w:spacing w:val="-6"/>
          <w:sz w:val="16"/>
        </w:rPr>
        <w:t> </w:t>
      </w:r>
      <w:r>
        <w:rPr>
          <w:sz w:val="16"/>
        </w:rPr>
        <w:t>propósito</w:t>
      </w:r>
      <w:r>
        <w:rPr>
          <w:spacing w:val="-7"/>
          <w:sz w:val="16"/>
        </w:rPr>
        <w:t> </w:t>
      </w:r>
      <w:r>
        <w:rPr>
          <w:sz w:val="16"/>
        </w:rPr>
        <w:t>de</w:t>
      </w:r>
      <w:r>
        <w:rPr>
          <w:spacing w:val="-7"/>
          <w:sz w:val="16"/>
        </w:rPr>
        <w:t> </w:t>
      </w:r>
      <w:r>
        <w:rPr>
          <w:sz w:val="16"/>
        </w:rPr>
        <w:t>dichos</w:t>
      </w:r>
      <w:r>
        <w:rPr>
          <w:spacing w:val="-7"/>
          <w:sz w:val="16"/>
        </w:rPr>
        <w:t> </w:t>
      </w:r>
      <w:r>
        <w:rPr>
          <w:sz w:val="16"/>
        </w:rPr>
        <w:t>proyectos</w:t>
      </w:r>
      <w:r>
        <w:rPr>
          <w:spacing w:val="-7"/>
          <w:sz w:val="16"/>
        </w:rPr>
        <w:t> </w:t>
      </w:r>
      <w:r>
        <w:rPr>
          <w:sz w:val="16"/>
        </w:rPr>
        <w:t>es</w:t>
      </w:r>
      <w:r>
        <w:rPr>
          <w:spacing w:val="-6"/>
          <w:sz w:val="16"/>
        </w:rPr>
        <w:t> </w:t>
      </w:r>
      <w:r>
        <w:rPr>
          <w:sz w:val="16"/>
        </w:rPr>
        <w:t>mejorar</w:t>
      </w:r>
      <w:r>
        <w:rPr>
          <w:spacing w:val="-5"/>
          <w:sz w:val="16"/>
        </w:rPr>
        <w:t> </w:t>
      </w:r>
      <w:r>
        <w:rPr>
          <w:sz w:val="16"/>
        </w:rPr>
        <w:t>la</w:t>
      </w:r>
      <w:r>
        <w:rPr>
          <w:spacing w:val="-7"/>
          <w:sz w:val="16"/>
        </w:rPr>
        <w:t> </w:t>
      </w:r>
      <w:r>
        <w:rPr>
          <w:sz w:val="16"/>
        </w:rPr>
        <w:t>gestión</w:t>
      </w:r>
      <w:r>
        <w:rPr>
          <w:spacing w:val="-7"/>
          <w:sz w:val="16"/>
        </w:rPr>
        <w:t> </w:t>
      </w:r>
      <w:r>
        <w:rPr>
          <w:sz w:val="16"/>
        </w:rPr>
        <w:t>forestal</w:t>
      </w:r>
      <w:r>
        <w:rPr>
          <w:spacing w:val="-6"/>
          <w:sz w:val="16"/>
        </w:rPr>
        <w:t> </w:t>
      </w:r>
      <w:r>
        <w:rPr>
          <w:sz w:val="16"/>
        </w:rPr>
        <w:t>e</w:t>
      </w:r>
      <w:r>
        <w:rPr>
          <w:spacing w:val="-6"/>
          <w:sz w:val="16"/>
        </w:rPr>
        <w:t> </w:t>
      </w:r>
      <w:r>
        <w:rPr>
          <w:sz w:val="16"/>
        </w:rPr>
        <w:t>incrementar</w:t>
      </w:r>
      <w:r>
        <w:rPr>
          <w:spacing w:val="-5"/>
          <w:sz w:val="16"/>
        </w:rPr>
        <w:t> </w:t>
      </w:r>
      <w:r>
        <w:rPr>
          <w:sz w:val="16"/>
        </w:rPr>
        <w:t>el</w:t>
      </w:r>
      <w:r>
        <w:rPr>
          <w:spacing w:val="-6"/>
          <w:sz w:val="16"/>
        </w:rPr>
        <w:t> </w:t>
      </w:r>
      <w:r>
        <w:rPr>
          <w:sz w:val="16"/>
        </w:rPr>
        <w:t>acceso</w:t>
      </w:r>
      <w:r>
        <w:rPr>
          <w:w w:val="100"/>
          <w:sz w:val="16"/>
        </w:rPr>
        <w:t> </w:t>
      </w:r>
      <w:r>
        <w:rPr>
          <w:sz w:val="16"/>
        </w:rPr>
        <w:t>de los pequeños productores, incluidos los pueblos indígenas, a los mercados y servicios</w:t>
      </w:r>
      <w:r>
        <w:rPr>
          <w:spacing w:val="-34"/>
          <w:sz w:val="16"/>
        </w:rPr>
        <w:t> </w:t>
      </w:r>
      <w:r>
        <w:rPr>
          <w:sz w:val="16"/>
        </w:rPr>
        <w:t>básicos”.</w:t>
      </w:r>
    </w:p>
    <w:p>
      <w:pPr>
        <w:pStyle w:val="BodyText"/>
        <w:spacing w:before="11"/>
        <w:rPr>
          <w:sz w:val="15"/>
        </w:rPr>
      </w:pPr>
    </w:p>
    <w:p>
      <w:pPr>
        <w:tabs>
          <w:tab w:pos="829" w:val="left" w:leader="none"/>
        </w:tabs>
        <w:spacing w:before="0"/>
        <w:ind w:left="122" w:right="115" w:firstLine="0"/>
        <w:jc w:val="both"/>
        <w:rPr>
          <w:sz w:val="16"/>
        </w:rPr>
      </w:pPr>
      <w:r>
        <w:rPr>
          <w:position w:val="6"/>
          <w:sz w:val="10"/>
        </w:rPr>
        <w:t>176</w:t>
        <w:tab/>
      </w:r>
      <w:r>
        <w:rPr>
          <w:sz w:val="16"/>
        </w:rPr>
        <w:t>Agregó, respecto a la presencia de alambrados en la zona, que impedirían el desplazamiento </w:t>
      </w:r>
      <w:r>
        <w:rPr>
          <w:spacing w:val="20"/>
          <w:sz w:val="16"/>
        </w:rPr>
        <w:t> </w:t>
      </w:r>
      <w:r>
        <w:rPr>
          <w:sz w:val="16"/>
        </w:rPr>
        <w:t>de</w:t>
      </w:r>
      <w:r>
        <w:rPr>
          <w:spacing w:val="6"/>
          <w:sz w:val="16"/>
        </w:rPr>
        <w:t> </w:t>
      </w:r>
      <w:r>
        <w:rPr>
          <w:sz w:val="16"/>
        </w:rPr>
        <w:t>las</w:t>
      </w:r>
      <w:r>
        <w:rPr>
          <w:w w:val="100"/>
          <w:sz w:val="16"/>
        </w:rPr>
        <w:t> </w:t>
      </w:r>
      <w:r>
        <w:rPr>
          <w:sz w:val="16"/>
        </w:rPr>
        <w:t>comunidades</w:t>
      </w:r>
      <w:r>
        <w:rPr>
          <w:spacing w:val="-6"/>
          <w:sz w:val="16"/>
        </w:rPr>
        <w:t> </w:t>
      </w:r>
      <w:r>
        <w:rPr>
          <w:sz w:val="16"/>
        </w:rPr>
        <w:t>indígenas</w:t>
      </w:r>
      <w:r>
        <w:rPr>
          <w:spacing w:val="-8"/>
          <w:sz w:val="16"/>
        </w:rPr>
        <w:t> </w:t>
      </w:r>
      <w:r>
        <w:rPr>
          <w:sz w:val="16"/>
        </w:rPr>
        <w:t>para</w:t>
      </w:r>
      <w:r>
        <w:rPr>
          <w:spacing w:val="-9"/>
          <w:sz w:val="16"/>
        </w:rPr>
        <w:t> </w:t>
      </w:r>
      <w:r>
        <w:rPr>
          <w:sz w:val="16"/>
        </w:rPr>
        <w:t>recolectar</w:t>
      </w:r>
      <w:r>
        <w:rPr>
          <w:spacing w:val="-5"/>
          <w:sz w:val="16"/>
        </w:rPr>
        <w:t> </w:t>
      </w:r>
      <w:r>
        <w:rPr>
          <w:sz w:val="16"/>
        </w:rPr>
        <w:t>alimentos</w:t>
      </w:r>
      <w:r>
        <w:rPr>
          <w:spacing w:val="-6"/>
          <w:sz w:val="16"/>
        </w:rPr>
        <w:t> </w:t>
      </w:r>
      <w:r>
        <w:rPr>
          <w:sz w:val="16"/>
        </w:rPr>
        <w:t>que</w:t>
      </w:r>
      <w:r>
        <w:rPr>
          <w:spacing w:val="-8"/>
          <w:sz w:val="16"/>
        </w:rPr>
        <w:t> </w:t>
      </w:r>
      <w:r>
        <w:rPr>
          <w:sz w:val="16"/>
        </w:rPr>
        <w:t>“en</w:t>
      </w:r>
      <w:r>
        <w:rPr>
          <w:spacing w:val="-7"/>
          <w:sz w:val="16"/>
        </w:rPr>
        <w:t> </w:t>
      </w:r>
      <w:r>
        <w:rPr>
          <w:sz w:val="16"/>
        </w:rPr>
        <w:t>los</w:t>
      </w:r>
      <w:r>
        <w:rPr>
          <w:spacing w:val="-6"/>
          <w:sz w:val="16"/>
        </w:rPr>
        <w:t> </w:t>
      </w:r>
      <w:r>
        <w:rPr>
          <w:sz w:val="16"/>
        </w:rPr>
        <w:t>distintos</w:t>
      </w:r>
      <w:r>
        <w:rPr>
          <w:spacing w:val="-6"/>
          <w:sz w:val="16"/>
        </w:rPr>
        <w:t> </w:t>
      </w:r>
      <w:r>
        <w:rPr>
          <w:sz w:val="16"/>
        </w:rPr>
        <w:t>casos</w:t>
      </w:r>
      <w:r>
        <w:rPr>
          <w:spacing w:val="-6"/>
          <w:sz w:val="16"/>
        </w:rPr>
        <w:t> </w:t>
      </w:r>
      <w:r>
        <w:rPr>
          <w:sz w:val="16"/>
        </w:rPr>
        <w:t>en</w:t>
      </w:r>
      <w:r>
        <w:rPr>
          <w:spacing w:val="-9"/>
          <w:sz w:val="16"/>
        </w:rPr>
        <w:t> </w:t>
      </w:r>
      <w:r>
        <w:rPr>
          <w:sz w:val="16"/>
        </w:rPr>
        <w:t>que</w:t>
      </w:r>
      <w:r>
        <w:rPr>
          <w:spacing w:val="-6"/>
          <w:sz w:val="16"/>
        </w:rPr>
        <w:t> </w:t>
      </w:r>
      <w:r>
        <w:rPr>
          <w:sz w:val="16"/>
        </w:rPr>
        <w:t>tuvo</w:t>
      </w:r>
      <w:r>
        <w:rPr>
          <w:spacing w:val="-5"/>
          <w:sz w:val="16"/>
        </w:rPr>
        <w:t> </w:t>
      </w:r>
      <w:r>
        <w:rPr>
          <w:sz w:val="16"/>
        </w:rPr>
        <w:t>conocimiento</w:t>
      </w:r>
      <w:r>
        <w:rPr>
          <w:spacing w:val="-5"/>
          <w:sz w:val="16"/>
        </w:rPr>
        <w:t> </w:t>
      </w:r>
      <w:r>
        <w:rPr>
          <w:sz w:val="16"/>
        </w:rPr>
        <w:t>[…]</w:t>
      </w:r>
      <w:r>
        <w:rPr>
          <w:spacing w:val="-9"/>
          <w:sz w:val="16"/>
        </w:rPr>
        <w:t> </w:t>
      </w:r>
      <w:r>
        <w:rPr>
          <w:sz w:val="16"/>
        </w:rPr>
        <w:t>de la existencia de alambrados nuevos, construidos en la zona de reclamo indígena, se instaron las acciones administrativas y</w:t>
      </w:r>
      <w:r>
        <w:rPr>
          <w:spacing w:val="-8"/>
          <w:sz w:val="16"/>
        </w:rPr>
        <w:t> </w:t>
      </w:r>
      <w:r>
        <w:rPr>
          <w:sz w:val="16"/>
        </w:rPr>
        <w:t>judiciales”.</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177</w:t>
        <w:tab/>
      </w:r>
      <w:r>
        <w:rPr>
          <w:sz w:val="16"/>
        </w:rPr>
        <w:t>De</w:t>
      </w:r>
      <w:r>
        <w:rPr>
          <w:spacing w:val="17"/>
          <w:sz w:val="16"/>
        </w:rPr>
        <w:t> </w:t>
      </w:r>
      <w:r>
        <w:rPr>
          <w:sz w:val="16"/>
        </w:rPr>
        <w:t>la</w:t>
      </w:r>
      <w:r>
        <w:rPr>
          <w:spacing w:val="18"/>
          <w:sz w:val="16"/>
        </w:rPr>
        <w:t> </w:t>
      </w:r>
      <w:r>
        <w:rPr>
          <w:sz w:val="16"/>
        </w:rPr>
        <w:t>lectura</w:t>
      </w:r>
      <w:r>
        <w:rPr>
          <w:spacing w:val="16"/>
          <w:sz w:val="16"/>
        </w:rPr>
        <w:t> </w:t>
      </w:r>
      <w:r>
        <w:rPr>
          <w:sz w:val="16"/>
        </w:rPr>
        <w:t>del</w:t>
      </w:r>
      <w:r>
        <w:rPr>
          <w:spacing w:val="16"/>
          <w:sz w:val="16"/>
        </w:rPr>
        <w:t> </w:t>
      </w:r>
      <w:r>
        <w:rPr>
          <w:sz w:val="16"/>
        </w:rPr>
        <w:t>escrito</w:t>
      </w:r>
      <w:r>
        <w:rPr>
          <w:spacing w:val="17"/>
          <w:sz w:val="16"/>
        </w:rPr>
        <w:t> </w:t>
      </w:r>
      <w:r>
        <w:rPr>
          <w:sz w:val="16"/>
        </w:rPr>
        <w:t>de</w:t>
      </w:r>
      <w:r>
        <w:rPr>
          <w:spacing w:val="17"/>
          <w:sz w:val="16"/>
        </w:rPr>
        <w:t> </w:t>
      </w:r>
      <w:r>
        <w:rPr>
          <w:sz w:val="16"/>
        </w:rPr>
        <w:t>contestación</w:t>
      </w:r>
      <w:r>
        <w:rPr>
          <w:spacing w:val="16"/>
          <w:sz w:val="16"/>
        </w:rPr>
        <w:t> </w:t>
      </w:r>
      <w:r>
        <w:rPr>
          <w:sz w:val="16"/>
        </w:rPr>
        <w:t>surge</w:t>
      </w:r>
      <w:r>
        <w:rPr>
          <w:spacing w:val="17"/>
          <w:sz w:val="16"/>
        </w:rPr>
        <w:t> </w:t>
      </w:r>
      <w:r>
        <w:rPr>
          <w:sz w:val="16"/>
        </w:rPr>
        <w:t>que</w:t>
      </w:r>
      <w:r>
        <w:rPr>
          <w:spacing w:val="17"/>
          <w:sz w:val="16"/>
        </w:rPr>
        <w:t> </w:t>
      </w:r>
      <w:r>
        <w:rPr>
          <w:sz w:val="16"/>
        </w:rPr>
        <w:t>la</w:t>
      </w:r>
      <w:r>
        <w:rPr>
          <w:spacing w:val="16"/>
          <w:sz w:val="16"/>
        </w:rPr>
        <w:t> </w:t>
      </w:r>
      <w:r>
        <w:rPr>
          <w:sz w:val="16"/>
        </w:rPr>
        <w:t>alusión</w:t>
      </w:r>
      <w:r>
        <w:rPr>
          <w:spacing w:val="18"/>
          <w:sz w:val="16"/>
        </w:rPr>
        <w:t> </w:t>
      </w:r>
      <w:r>
        <w:rPr>
          <w:sz w:val="16"/>
        </w:rPr>
        <w:t>indicada</w:t>
      </w:r>
      <w:r>
        <w:rPr>
          <w:spacing w:val="16"/>
          <w:sz w:val="16"/>
        </w:rPr>
        <w:t> </w:t>
      </w:r>
      <w:r>
        <w:rPr>
          <w:sz w:val="16"/>
        </w:rPr>
        <w:t>al</w:t>
      </w:r>
      <w:r>
        <w:rPr>
          <w:spacing w:val="16"/>
          <w:sz w:val="16"/>
        </w:rPr>
        <w:t> </w:t>
      </w:r>
      <w:r>
        <w:rPr>
          <w:sz w:val="16"/>
        </w:rPr>
        <w:t>“derecho</w:t>
      </w:r>
      <w:r>
        <w:rPr>
          <w:spacing w:val="15"/>
          <w:sz w:val="16"/>
        </w:rPr>
        <w:t> </w:t>
      </w:r>
      <w:r>
        <w:rPr>
          <w:sz w:val="16"/>
        </w:rPr>
        <w:t>que</w:t>
      </w:r>
      <w:r>
        <w:rPr>
          <w:spacing w:val="14"/>
          <w:sz w:val="16"/>
        </w:rPr>
        <w:t> </w:t>
      </w:r>
      <w:r>
        <w:rPr>
          <w:sz w:val="16"/>
        </w:rPr>
        <w:t>ya</w:t>
      </w:r>
      <w:r>
        <w:rPr>
          <w:spacing w:val="18"/>
          <w:sz w:val="16"/>
        </w:rPr>
        <w:t> </w:t>
      </w:r>
      <w:r>
        <w:rPr>
          <w:sz w:val="16"/>
        </w:rPr>
        <w:t>ha</w:t>
      </w:r>
      <w:r>
        <w:rPr>
          <w:spacing w:val="16"/>
          <w:sz w:val="16"/>
        </w:rPr>
        <w:t> </w:t>
      </w:r>
      <w:r>
        <w:rPr>
          <w:sz w:val="16"/>
        </w:rPr>
        <w:t>sido</w:t>
      </w:r>
      <w:r>
        <w:rPr>
          <w:w w:val="100"/>
          <w:sz w:val="16"/>
        </w:rPr>
        <w:t> </w:t>
      </w:r>
      <w:r>
        <w:rPr>
          <w:sz w:val="16"/>
        </w:rPr>
        <w:t>reconocido” se refiere al derecho de propiedad. En ese sentido, más adelante en el mismo escrito el Estado amplió la explicación de su posición diciendo que “el otorgamiento de los […l]otes […] 55 y 14 importó la adjudicación</w:t>
      </w:r>
      <w:r>
        <w:rPr>
          <w:spacing w:val="-14"/>
          <w:sz w:val="16"/>
        </w:rPr>
        <w:t> </w:t>
      </w:r>
      <w:r>
        <w:rPr>
          <w:sz w:val="16"/>
        </w:rPr>
        <w:t>de</w:t>
      </w:r>
      <w:r>
        <w:rPr>
          <w:spacing w:val="-13"/>
          <w:sz w:val="16"/>
        </w:rPr>
        <w:t> </w:t>
      </w:r>
      <w:r>
        <w:rPr>
          <w:sz w:val="16"/>
        </w:rPr>
        <w:t>tierras</w:t>
      </w:r>
      <w:r>
        <w:rPr>
          <w:spacing w:val="-13"/>
          <w:sz w:val="16"/>
        </w:rPr>
        <w:t> </w:t>
      </w:r>
      <w:r>
        <w:rPr>
          <w:sz w:val="16"/>
        </w:rPr>
        <w:t>que,</w:t>
      </w:r>
      <w:r>
        <w:rPr>
          <w:spacing w:val="-14"/>
          <w:sz w:val="16"/>
        </w:rPr>
        <w:t> </w:t>
      </w:r>
      <w:r>
        <w:rPr>
          <w:sz w:val="16"/>
        </w:rPr>
        <w:t>una</w:t>
      </w:r>
      <w:r>
        <w:rPr>
          <w:spacing w:val="-14"/>
          <w:sz w:val="16"/>
        </w:rPr>
        <w:t> </w:t>
      </w:r>
      <w:r>
        <w:rPr>
          <w:sz w:val="16"/>
        </w:rPr>
        <w:t>vez</w:t>
      </w:r>
      <w:r>
        <w:rPr>
          <w:spacing w:val="-13"/>
          <w:sz w:val="16"/>
        </w:rPr>
        <w:t> </w:t>
      </w:r>
      <w:r>
        <w:rPr>
          <w:sz w:val="16"/>
        </w:rPr>
        <w:t>demarcada</w:t>
      </w:r>
      <w:r>
        <w:rPr>
          <w:spacing w:val="-14"/>
          <w:sz w:val="16"/>
        </w:rPr>
        <w:t> </w:t>
      </w:r>
      <w:r>
        <w:rPr>
          <w:sz w:val="16"/>
        </w:rPr>
        <w:t>la</w:t>
      </w:r>
      <w:r>
        <w:rPr>
          <w:spacing w:val="-14"/>
          <w:sz w:val="16"/>
        </w:rPr>
        <w:t> </w:t>
      </w:r>
      <w:r>
        <w:rPr>
          <w:sz w:val="16"/>
        </w:rPr>
        <w:t>propiedad</w:t>
      </w:r>
      <w:r>
        <w:rPr>
          <w:spacing w:val="-15"/>
          <w:sz w:val="16"/>
        </w:rPr>
        <w:t> </w:t>
      </w:r>
      <w:r>
        <w:rPr>
          <w:sz w:val="16"/>
        </w:rPr>
        <w:t>y</w:t>
      </w:r>
      <w:r>
        <w:rPr>
          <w:spacing w:val="-12"/>
          <w:sz w:val="16"/>
        </w:rPr>
        <w:t> </w:t>
      </w:r>
      <w:r>
        <w:rPr>
          <w:sz w:val="16"/>
        </w:rPr>
        <w:t>trazados</w:t>
      </w:r>
      <w:r>
        <w:rPr>
          <w:spacing w:val="-13"/>
          <w:sz w:val="16"/>
        </w:rPr>
        <w:t> </w:t>
      </w:r>
      <w:r>
        <w:rPr>
          <w:sz w:val="16"/>
        </w:rPr>
        <w:t>los</w:t>
      </w:r>
      <w:r>
        <w:rPr>
          <w:spacing w:val="-13"/>
          <w:sz w:val="16"/>
        </w:rPr>
        <w:t> </w:t>
      </w:r>
      <w:r>
        <w:rPr>
          <w:sz w:val="16"/>
        </w:rPr>
        <w:t>límites</w:t>
      </w:r>
      <w:r>
        <w:rPr>
          <w:spacing w:val="-13"/>
          <w:sz w:val="16"/>
        </w:rPr>
        <w:t> </w:t>
      </w:r>
      <w:r>
        <w:rPr>
          <w:sz w:val="16"/>
        </w:rPr>
        <w:t>entre</w:t>
      </w:r>
      <w:r>
        <w:rPr>
          <w:spacing w:val="-13"/>
          <w:sz w:val="16"/>
        </w:rPr>
        <w:t> </w:t>
      </w:r>
      <w:r>
        <w:rPr>
          <w:sz w:val="16"/>
        </w:rPr>
        <w:t>el</w:t>
      </w:r>
      <w:r>
        <w:rPr>
          <w:spacing w:val="-14"/>
          <w:sz w:val="16"/>
        </w:rPr>
        <w:t> </w:t>
      </w:r>
      <w:r>
        <w:rPr>
          <w:sz w:val="16"/>
        </w:rPr>
        <w:t>terreno</w:t>
      </w:r>
      <w:r>
        <w:rPr>
          <w:spacing w:val="-12"/>
          <w:sz w:val="16"/>
        </w:rPr>
        <w:t> </w:t>
      </w:r>
      <w:r>
        <w:rPr>
          <w:sz w:val="16"/>
        </w:rPr>
        <w:t>comunitario y el de las familias criollas, serán cobijo de su pleno desarrollo cultural”. Respecto a los cambios en el modo de</w:t>
      </w:r>
      <w:r>
        <w:rPr>
          <w:spacing w:val="-6"/>
          <w:sz w:val="16"/>
        </w:rPr>
        <w:t> </w:t>
      </w:r>
      <w:r>
        <w:rPr>
          <w:sz w:val="16"/>
        </w:rPr>
        <w:t>vida</w:t>
      </w:r>
      <w:r>
        <w:rPr>
          <w:spacing w:val="-7"/>
          <w:sz w:val="16"/>
        </w:rPr>
        <w:t> </w:t>
      </w:r>
      <w:r>
        <w:rPr>
          <w:sz w:val="16"/>
        </w:rPr>
        <w:t>de</w:t>
      </w:r>
      <w:r>
        <w:rPr>
          <w:spacing w:val="-3"/>
          <w:sz w:val="16"/>
        </w:rPr>
        <w:t> </w:t>
      </w:r>
      <w:r>
        <w:rPr>
          <w:sz w:val="16"/>
        </w:rPr>
        <w:t>las</w:t>
      </w:r>
      <w:r>
        <w:rPr>
          <w:spacing w:val="-6"/>
          <w:sz w:val="16"/>
        </w:rPr>
        <w:t> </w:t>
      </w:r>
      <w:r>
        <w:rPr>
          <w:sz w:val="16"/>
        </w:rPr>
        <w:t>comunidades,</w:t>
      </w:r>
      <w:r>
        <w:rPr>
          <w:spacing w:val="-6"/>
          <w:sz w:val="16"/>
        </w:rPr>
        <w:t> </w:t>
      </w:r>
      <w:r>
        <w:rPr>
          <w:sz w:val="16"/>
        </w:rPr>
        <w:t>Argentina</w:t>
      </w:r>
      <w:r>
        <w:rPr>
          <w:spacing w:val="-4"/>
          <w:sz w:val="16"/>
        </w:rPr>
        <w:t> </w:t>
      </w:r>
      <w:r>
        <w:rPr>
          <w:sz w:val="16"/>
        </w:rPr>
        <w:t>mencionó</w:t>
      </w:r>
      <w:r>
        <w:rPr>
          <w:spacing w:val="-3"/>
          <w:sz w:val="16"/>
        </w:rPr>
        <w:t> </w:t>
      </w:r>
      <w:r>
        <w:rPr>
          <w:sz w:val="16"/>
        </w:rPr>
        <w:t>solicitudes</w:t>
      </w:r>
      <w:r>
        <w:rPr>
          <w:spacing w:val="-6"/>
          <w:sz w:val="16"/>
        </w:rPr>
        <w:t> </w:t>
      </w:r>
      <w:r>
        <w:rPr>
          <w:sz w:val="16"/>
        </w:rPr>
        <w:t>de</w:t>
      </w:r>
      <w:r>
        <w:rPr>
          <w:spacing w:val="-3"/>
          <w:sz w:val="16"/>
        </w:rPr>
        <w:t> </w:t>
      </w:r>
      <w:r>
        <w:rPr>
          <w:sz w:val="16"/>
        </w:rPr>
        <w:t>las</w:t>
      </w:r>
      <w:r>
        <w:rPr>
          <w:spacing w:val="-6"/>
          <w:sz w:val="16"/>
        </w:rPr>
        <w:t> </w:t>
      </w:r>
      <w:r>
        <w:rPr>
          <w:sz w:val="16"/>
        </w:rPr>
        <w:t>comunidades</w:t>
      </w:r>
      <w:r>
        <w:rPr>
          <w:spacing w:val="-6"/>
          <w:sz w:val="16"/>
        </w:rPr>
        <w:t> </w:t>
      </w:r>
      <w:r>
        <w:rPr>
          <w:sz w:val="16"/>
        </w:rPr>
        <w:t>de</w:t>
      </w:r>
      <w:r>
        <w:rPr>
          <w:spacing w:val="-6"/>
          <w:sz w:val="16"/>
        </w:rPr>
        <w:t> </w:t>
      </w:r>
      <w:r>
        <w:rPr>
          <w:sz w:val="16"/>
        </w:rPr>
        <w:t>vivienda</w:t>
      </w:r>
      <w:r>
        <w:rPr>
          <w:spacing w:val="-4"/>
          <w:sz w:val="16"/>
        </w:rPr>
        <w:t> </w:t>
      </w:r>
      <w:r>
        <w:rPr>
          <w:sz w:val="16"/>
        </w:rPr>
        <w:t>e</w:t>
      </w:r>
      <w:r>
        <w:rPr>
          <w:spacing w:val="-3"/>
          <w:sz w:val="16"/>
        </w:rPr>
        <w:t> </w:t>
      </w:r>
      <w:r>
        <w:rPr>
          <w:sz w:val="16"/>
        </w:rPr>
        <w:t>infraestructura de servicios “que son propios de un modo de vida sedentario”. Agregó que ha habido “cuatro pedidos de otorgamiento de guías para extracción de madera, formulados por […] Caciques”. Por otra parte, el Estado indicó</w:t>
      </w:r>
      <w:r>
        <w:rPr>
          <w:spacing w:val="46"/>
          <w:sz w:val="16"/>
        </w:rPr>
        <w:t> </w:t>
      </w:r>
      <w:r>
        <w:rPr>
          <w:sz w:val="16"/>
        </w:rPr>
        <w:t>inversiones</w:t>
      </w:r>
      <w:r>
        <w:rPr>
          <w:spacing w:val="43"/>
          <w:sz w:val="16"/>
        </w:rPr>
        <w:t> </w:t>
      </w:r>
      <w:r>
        <w:rPr>
          <w:sz w:val="16"/>
        </w:rPr>
        <w:t>y</w:t>
      </w:r>
      <w:r>
        <w:rPr>
          <w:spacing w:val="43"/>
          <w:sz w:val="16"/>
        </w:rPr>
        <w:t> </w:t>
      </w:r>
      <w:r>
        <w:rPr>
          <w:sz w:val="16"/>
        </w:rPr>
        <w:t>obras</w:t>
      </w:r>
      <w:r>
        <w:rPr>
          <w:spacing w:val="45"/>
          <w:sz w:val="16"/>
        </w:rPr>
        <w:t> </w:t>
      </w:r>
      <w:r>
        <w:rPr>
          <w:sz w:val="16"/>
        </w:rPr>
        <w:t>en</w:t>
      </w:r>
      <w:r>
        <w:rPr>
          <w:spacing w:val="44"/>
          <w:sz w:val="16"/>
        </w:rPr>
        <w:t> </w:t>
      </w:r>
      <w:r>
        <w:rPr>
          <w:sz w:val="16"/>
        </w:rPr>
        <w:t>la</w:t>
      </w:r>
      <w:r>
        <w:rPr>
          <w:spacing w:val="45"/>
          <w:sz w:val="16"/>
        </w:rPr>
        <w:t> </w:t>
      </w:r>
      <w:r>
        <w:rPr>
          <w:sz w:val="16"/>
        </w:rPr>
        <w:t>zona,</w:t>
      </w:r>
      <w:r>
        <w:rPr>
          <w:spacing w:val="44"/>
          <w:sz w:val="16"/>
        </w:rPr>
        <w:t> </w:t>
      </w:r>
      <w:r>
        <w:rPr>
          <w:sz w:val="16"/>
        </w:rPr>
        <w:t>entre</w:t>
      </w:r>
      <w:r>
        <w:rPr>
          <w:spacing w:val="45"/>
          <w:sz w:val="16"/>
        </w:rPr>
        <w:t> </w:t>
      </w:r>
      <w:r>
        <w:rPr>
          <w:sz w:val="16"/>
        </w:rPr>
        <w:t>ellas,</w:t>
      </w:r>
      <w:r>
        <w:rPr>
          <w:spacing w:val="44"/>
          <w:sz w:val="16"/>
        </w:rPr>
        <w:t> </w:t>
      </w:r>
      <w:r>
        <w:rPr>
          <w:sz w:val="16"/>
        </w:rPr>
        <w:t>pavimentación</w:t>
      </w:r>
      <w:r>
        <w:rPr>
          <w:spacing w:val="44"/>
          <w:sz w:val="16"/>
        </w:rPr>
        <w:t> </w:t>
      </w:r>
      <w:r>
        <w:rPr>
          <w:sz w:val="16"/>
        </w:rPr>
        <w:t>de</w:t>
      </w:r>
      <w:r>
        <w:rPr>
          <w:spacing w:val="43"/>
          <w:sz w:val="16"/>
        </w:rPr>
        <w:t> </w:t>
      </w:r>
      <w:r>
        <w:rPr>
          <w:sz w:val="16"/>
        </w:rPr>
        <w:t>caminos,</w:t>
      </w:r>
      <w:r>
        <w:rPr>
          <w:spacing w:val="44"/>
          <w:sz w:val="16"/>
        </w:rPr>
        <w:t> </w:t>
      </w:r>
      <w:r>
        <w:rPr>
          <w:sz w:val="16"/>
        </w:rPr>
        <w:t>edificación</w:t>
      </w:r>
      <w:r>
        <w:rPr>
          <w:spacing w:val="44"/>
          <w:sz w:val="16"/>
        </w:rPr>
        <w:t> </w:t>
      </w:r>
      <w:r>
        <w:rPr>
          <w:sz w:val="16"/>
        </w:rPr>
        <w:t>de</w:t>
      </w:r>
      <w:r>
        <w:rPr>
          <w:spacing w:val="43"/>
          <w:sz w:val="16"/>
        </w:rPr>
        <w:t> </w:t>
      </w:r>
      <w:r>
        <w:rPr>
          <w:sz w:val="16"/>
        </w:rPr>
        <w:t>escuelas,</w:t>
      </w:r>
    </w:p>
    <w:p>
      <w:pPr>
        <w:spacing w:after="0" w:line="240" w:lineRule="auto"/>
        <w:jc w:val="both"/>
        <w:rPr>
          <w:sz w:val="16"/>
        </w:rPr>
        <w:sectPr>
          <w:pgSz w:w="12240" w:h="15840"/>
          <w:pgMar w:header="0" w:footer="1000" w:top="1340" w:bottom="1200" w:left="1580" w:right="1580"/>
        </w:sectPr>
      </w:pPr>
    </w:p>
    <w:p>
      <w:pPr>
        <w:pStyle w:val="Heading4"/>
        <w:numPr>
          <w:ilvl w:val="0"/>
          <w:numId w:val="30"/>
        </w:numPr>
        <w:tabs>
          <w:tab w:pos="830" w:val="left" w:leader="none"/>
        </w:tabs>
        <w:spacing w:line="240" w:lineRule="auto" w:before="161" w:after="0"/>
        <w:ind w:left="830" w:right="0" w:hanging="425"/>
        <w:jc w:val="left"/>
        <w:rPr>
          <w:i/>
        </w:rPr>
      </w:pPr>
      <w:bookmarkStart w:name="_bookmark60" w:id="101"/>
      <w:bookmarkEnd w:id="101"/>
      <w:r>
        <w:rPr>
          <w:b w:val="0"/>
          <w:i w:val="0"/>
        </w:rPr>
      </w:r>
      <w:bookmarkStart w:name="_bookmark60" w:id="102"/>
      <w:bookmarkEnd w:id="102"/>
      <w:r>
        <w:rPr>
          <w:i/>
          <w:u w:val="thick"/>
        </w:rPr>
        <w:t>Con</w:t>
      </w:r>
      <w:r>
        <w:rPr>
          <w:i/>
          <w:u w:val="thick"/>
        </w:rPr>
        <w:t>sideraciones de la</w:t>
      </w:r>
      <w:r>
        <w:rPr>
          <w:i/>
          <w:spacing w:val="-12"/>
          <w:u w:val="thick"/>
        </w:rPr>
        <w:t> </w:t>
      </w:r>
      <w:r>
        <w:rPr>
          <w:i/>
          <w:u w:val="thick"/>
        </w:rPr>
        <w:t>Corte</w:t>
      </w:r>
    </w:p>
    <w:p>
      <w:pPr>
        <w:pStyle w:val="BodyText"/>
        <w:spacing w:before="8"/>
        <w:rPr>
          <w:b/>
          <w:i/>
          <w:sz w:val="11"/>
        </w:rPr>
      </w:pPr>
    </w:p>
    <w:p>
      <w:pPr>
        <w:pStyle w:val="ListParagraph"/>
        <w:numPr>
          <w:ilvl w:val="0"/>
          <w:numId w:val="27"/>
        </w:numPr>
        <w:tabs>
          <w:tab w:pos="830" w:val="left" w:leader="none"/>
        </w:tabs>
        <w:spacing w:line="240" w:lineRule="auto" w:before="99" w:after="0"/>
        <w:ind w:left="122" w:right="123" w:firstLine="0"/>
        <w:jc w:val="both"/>
        <w:rPr>
          <w:sz w:val="20"/>
        </w:rPr>
      </w:pPr>
      <w:r>
        <w:rPr>
          <w:sz w:val="20"/>
        </w:rPr>
        <w:t>La </w:t>
      </w:r>
      <w:r>
        <w:rPr>
          <w:b/>
          <w:i/>
          <w:sz w:val="20"/>
        </w:rPr>
        <w:t>Corte</w:t>
      </w:r>
      <w:r>
        <w:rPr>
          <w:sz w:val="20"/>
        </w:rPr>
        <w:t>, en primer término, debe dejar sentado que el artículo 22 de la Convención, que versa sobre el derecho de circulación y residencia, refiere a elegir el lugar de residencia, ingresar, salir y circular por el territorio nacional</w:t>
      </w:r>
      <w:r>
        <w:rPr>
          <w:position w:val="8"/>
          <w:sz w:val="14"/>
        </w:rPr>
        <w:t>178</w:t>
      </w:r>
      <w:r>
        <w:rPr>
          <w:sz w:val="20"/>
        </w:rPr>
        <w:t>, y no resulta aplicable</w:t>
      </w:r>
      <w:r>
        <w:rPr>
          <w:spacing w:val="-12"/>
          <w:sz w:val="20"/>
        </w:rPr>
        <w:t> </w:t>
      </w:r>
      <w:r>
        <w:rPr>
          <w:sz w:val="20"/>
        </w:rPr>
        <w:t>al</w:t>
      </w:r>
      <w:r>
        <w:rPr>
          <w:spacing w:val="-7"/>
          <w:sz w:val="20"/>
        </w:rPr>
        <w:t> </w:t>
      </w:r>
      <w:r>
        <w:rPr>
          <w:sz w:val="20"/>
        </w:rPr>
        <w:t>caso.</w:t>
      </w:r>
      <w:r>
        <w:rPr>
          <w:spacing w:val="-8"/>
          <w:sz w:val="20"/>
        </w:rPr>
        <w:t> </w:t>
      </w:r>
      <w:r>
        <w:rPr>
          <w:sz w:val="20"/>
        </w:rPr>
        <w:t>La</w:t>
      </w:r>
      <w:r>
        <w:rPr>
          <w:spacing w:val="-11"/>
          <w:sz w:val="20"/>
        </w:rPr>
        <w:t> </w:t>
      </w:r>
      <w:r>
        <w:rPr>
          <w:sz w:val="20"/>
        </w:rPr>
        <w:t>facultad</w:t>
      </w:r>
      <w:r>
        <w:rPr>
          <w:spacing w:val="-10"/>
          <w:sz w:val="20"/>
        </w:rPr>
        <w:t> </w:t>
      </w:r>
      <w:r>
        <w:rPr>
          <w:sz w:val="20"/>
        </w:rPr>
        <w:t>de</w:t>
      </w:r>
      <w:r>
        <w:rPr>
          <w:spacing w:val="-12"/>
          <w:sz w:val="20"/>
        </w:rPr>
        <w:t> </w:t>
      </w:r>
      <w:r>
        <w:rPr>
          <w:sz w:val="20"/>
        </w:rPr>
        <w:t>una</w:t>
      </w:r>
      <w:r>
        <w:rPr>
          <w:spacing w:val="-10"/>
          <w:sz w:val="20"/>
        </w:rPr>
        <w:t> </w:t>
      </w:r>
      <w:r>
        <w:rPr>
          <w:sz w:val="20"/>
        </w:rPr>
        <w:t>persona</w:t>
      </w:r>
      <w:r>
        <w:rPr>
          <w:spacing w:val="-10"/>
          <w:sz w:val="20"/>
        </w:rPr>
        <w:t> </w:t>
      </w:r>
      <w:r>
        <w:rPr>
          <w:sz w:val="20"/>
        </w:rPr>
        <w:t>de</w:t>
      </w:r>
      <w:r>
        <w:rPr>
          <w:spacing w:val="-9"/>
          <w:sz w:val="20"/>
        </w:rPr>
        <w:t> </w:t>
      </w:r>
      <w:r>
        <w:rPr>
          <w:sz w:val="20"/>
        </w:rPr>
        <w:t>movilizarse</w:t>
      </w:r>
      <w:r>
        <w:rPr>
          <w:spacing w:val="-10"/>
          <w:sz w:val="20"/>
        </w:rPr>
        <w:t> </w:t>
      </w:r>
      <w:r>
        <w:rPr>
          <w:sz w:val="20"/>
        </w:rPr>
        <w:t>en</w:t>
      </w:r>
      <w:r>
        <w:rPr>
          <w:spacing w:val="-9"/>
          <w:sz w:val="20"/>
        </w:rPr>
        <w:t> </w:t>
      </w:r>
      <w:r>
        <w:rPr>
          <w:sz w:val="20"/>
        </w:rPr>
        <w:t>tierras</w:t>
      </w:r>
      <w:r>
        <w:rPr>
          <w:spacing w:val="-8"/>
          <w:sz w:val="20"/>
        </w:rPr>
        <w:t> </w:t>
      </w:r>
      <w:r>
        <w:rPr>
          <w:sz w:val="20"/>
        </w:rPr>
        <w:t>de</w:t>
      </w:r>
      <w:r>
        <w:rPr>
          <w:spacing w:val="-12"/>
          <w:sz w:val="20"/>
        </w:rPr>
        <w:t> </w:t>
      </w:r>
      <w:r>
        <w:rPr>
          <w:sz w:val="20"/>
        </w:rPr>
        <w:t>su</w:t>
      </w:r>
      <w:r>
        <w:rPr>
          <w:spacing w:val="-10"/>
          <w:sz w:val="20"/>
        </w:rPr>
        <w:t> </w:t>
      </w:r>
      <w:r>
        <w:rPr>
          <w:sz w:val="20"/>
        </w:rPr>
        <w:t>pertenencia queda,</w:t>
      </w:r>
      <w:r>
        <w:rPr>
          <w:spacing w:val="-19"/>
          <w:sz w:val="20"/>
        </w:rPr>
        <w:t> </w:t>
      </w:r>
      <w:r>
        <w:rPr>
          <w:sz w:val="20"/>
        </w:rPr>
        <w:t>en</w:t>
      </w:r>
      <w:r>
        <w:rPr>
          <w:spacing w:val="-20"/>
          <w:sz w:val="20"/>
        </w:rPr>
        <w:t> </w:t>
      </w:r>
      <w:r>
        <w:rPr>
          <w:sz w:val="20"/>
        </w:rPr>
        <w:t>principio,</w:t>
      </w:r>
      <w:r>
        <w:rPr>
          <w:spacing w:val="-19"/>
          <w:sz w:val="20"/>
        </w:rPr>
        <w:t> </w:t>
      </w:r>
      <w:r>
        <w:rPr>
          <w:sz w:val="20"/>
        </w:rPr>
        <w:t>comprendida</w:t>
      </w:r>
      <w:r>
        <w:rPr>
          <w:spacing w:val="-18"/>
          <w:sz w:val="20"/>
        </w:rPr>
        <w:t> </w:t>
      </w:r>
      <w:r>
        <w:rPr>
          <w:sz w:val="20"/>
        </w:rPr>
        <w:t>en</w:t>
      </w:r>
      <w:r>
        <w:rPr>
          <w:spacing w:val="-18"/>
          <w:sz w:val="20"/>
        </w:rPr>
        <w:t> </w:t>
      </w:r>
      <w:r>
        <w:rPr>
          <w:sz w:val="20"/>
        </w:rPr>
        <w:t>el</w:t>
      </w:r>
      <w:r>
        <w:rPr>
          <w:spacing w:val="-21"/>
          <w:sz w:val="20"/>
        </w:rPr>
        <w:t> </w:t>
      </w:r>
      <w:r>
        <w:rPr>
          <w:sz w:val="20"/>
        </w:rPr>
        <w:t>derecho</w:t>
      </w:r>
      <w:r>
        <w:rPr>
          <w:spacing w:val="-19"/>
          <w:sz w:val="20"/>
        </w:rPr>
        <w:t> </w:t>
      </w:r>
      <w:r>
        <w:rPr>
          <w:sz w:val="20"/>
        </w:rPr>
        <w:t>de</w:t>
      </w:r>
      <w:r>
        <w:rPr>
          <w:spacing w:val="-22"/>
          <w:sz w:val="20"/>
        </w:rPr>
        <w:t> </w:t>
      </w:r>
      <w:r>
        <w:rPr>
          <w:sz w:val="20"/>
        </w:rPr>
        <w:t>propiedad,</w:t>
      </w:r>
      <w:r>
        <w:rPr>
          <w:spacing w:val="-19"/>
          <w:sz w:val="20"/>
        </w:rPr>
        <w:t> </w:t>
      </w:r>
      <w:r>
        <w:rPr>
          <w:sz w:val="20"/>
        </w:rPr>
        <w:t>que</w:t>
      </w:r>
      <w:r>
        <w:rPr>
          <w:spacing w:val="-20"/>
          <w:sz w:val="20"/>
        </w:rPr>
        <w:t> </w:t>
      </w:r>
      <w:r>
        <w:rPr>
          <w:sz w:val="20"/>
        </w:rPr>
        <w:t>ya</w:t>
      </w:r>
      <w:r>
        <w:rPr>
          <w:spacing w:val="-19"/>
          <w:sz w:val="20"/>
        </w:rPr>
        <w:t> </w:t>
      </w:r>
      <w:r>
        <w:rPr>
          <w:sz w:val="20"/>
        </w:rPr>
        <w:t>ha</w:t>
      </w:r>
      <w:r>
        <w:rPr>
          <w:spacing w:val="-21"/>
          <w:sz w:val="20"/>
        </w:rPr>
        <w:t> </w:t>
      </w:r>
      <w:r>
        <w:rPr>
          <w:sz w:val="20"/>
        </w:rPr>
        <w:t>sido</w:t>
      </w:r>
      <w:r>
        <w:rPr>
          <w:spacing w:val="-20"/>
          <w:sz w:val="20"/>
        </w:rPr>
        <w:t> </w:t>
      </w:r>
      <w:r>
        <w:rPr>
          <w:sz w:val="20"/>
        </w:rPr>
        <w:t>examinado. Por</w:t>
      </w:r>
      <w:r>
        <w:rPr>
          <w:spacing w:val="-9"/>
          <w:sz w:val="20"/>
        </w:rPr>
        <w:t> </w:t>
      </w:r>
      <w:r>
        <w:rPr>
          <w:sz w:val="20"/>
        </w:rPr>
        <w:t>otra</w:t>
      </w:r>
      <w:r>
        <w:rPr>
          <w:spacing w:val="-10"/>
          <w:sz w:val="20"/>
        </w:rPr>
        <w:t> </w:t>
      </w:r>
      <w:r>
        <w:rPr>
          <w:sz w:val="20"/>
        </w:rPr>
        <w:t>parte,</w:t>
      </w:r>
      <w:r>
        <w:rPr>
          <w:spacing w:val="-11"/>
          <w:sz w:val="20"/>
        </w:rPr>
        <w:t> </w:t>
      </w:r>
      <w:r>
        <w:rPr>
          <w:sz w:val="20"/>
        </w:rPr>
        <w:t>el</w:t>
      </w:r>
      <w:r>
        <w:rPr>
          <w:spacing w:val="-10"/>
          <w:sz w:val="20"/>
        </w:rPr>
        <w:t> </w:t>
      </w:r>
      <w:r>
        <w:rPr>
          <w:sz w:val="20"/>
        </w:rPr>
        <w:t>aducido</w:t>
      </w:r>
      <w:r>
        <w:rPr>
          <w:spacing w:val="-14"/>
          <w:sz w:val="20"/>
        </w:rPr>
        <w:t> </w:t>
      </w:r>
      <w:r>
        <w:rPr>
          <w:sz w:val="20"/>
        </w:rPr>
        <w:t>impacto</w:t>
      </w:r>
      <w:r>
        <w:rPr>
          <w:spacing w:val="-11"/>
          <w:sz w:val="20"/>
        </w:rPr>
        <w:t> </w:t>
      </w:r>
      <w:r>
        <w:rPr>
          <w:sz w:val="20"/>
        </w:rPr>
        <w:t>específico</w:t>
      </w:r>
      <w:r>
        <w:rPr>
          <w:spacing w:val="-11"/>
          <w:sz w:val="20"/>
        </w:rPr>
        <w:t> </w:t>
      </w:r>
      <w:r>
        <w:rPr>
          <w:sz w:val="20"/>
        </w:rPr>
        <w:t>o</w:t>
      </w:r>
      <w:r>
        <w:rPr>
          <w:spacing w:val="-14"/>
          <w:sz w:val="20"/>
        </w:rPr>
        <w:t> </w:t>
      </w:r>
      <w:r>
        <w:rPr>
          <w:sz w:val="20"/>
        </w:rPr>
        <w:t>particular</w:t>
      </w:r>
      <w:r>
        <w:rPr>
          <w:spacing w:val="-11"/>
          <w:sz w:val="20"/>
        </w:rPr>
        <w:t> </w:t>
      </w:r>
      <w:r>
        <w:rPr>
          <w:sz w:val="20"/>
        </w:rPr>
        <w:t>de</w:t>
      </w:r>
      <w:r>
        <w:rPr>
          <w:spacing w:val="-12"/>
          <w:sz w:val="20"/>
        </w:rPr>
        <w:t> </w:t>
      </w:r>
      <w:r>
        <w:rPr>
          <w:sz w:val="20"/>
        </w:rPr>
        <w:t>la</w:t>
      </w:r>
      <w:r>
        <w:rPr>
          <w:spacing w:val="-12"/>
          <w:sz w:val="20"/>
        </w:rPr>
        <w:t> </w:t>
      </w:r>
      <w:r>
        <w:rPr>
          <w:sz w:val="20"/>
        </w:rPr>
        <w:t>instalación</w:t>
      </w:r>
      <w:r>
        <w:rPr>
          <w:spacing w:val="-12"/>
          <w:sz w:val="20"/>
        </w:rPr>
        <w:t> </w:t>
      </w:r>
      <w:r>
        <w:rPr>
          <w:sz w:val="20"/>
        </w:rPr>
        <w:t>de</w:t>
      </w:r>
      <w:r>
        <w:rPr>
          <w:spacing w:val="-14"/>
          <w:sz w:val="20"/>
        </w:rPr>
        <w:t> </w:t>
      </w:r>
      <w:r>
        <w:rPr>
          <w:sz w:val="20"/>
        </w:rPr>
        <w:t>alambrados en el presente caso se examina seguidamente, en relación con derechos</w:t>
      </w:r>
      <w:r>
        <w:rPr>
          <w:spacing w:val="-49"/>
          <w:sz w:val="20"/>
        </w:rPr>
        <w:t> </w:t>
      </w:r>
      <w:r>
        <w:rPr>
          <w:sz w:val="20"/>
        </w:rPr>
        <w:t>contenidos por el artículo 26 de la Convención</w:t>
      </w:r>
      <w:r>
        <w:rPr>
          <w:spacing w:val="-20"/>
          <w:sz w:val="20"/>
        </w:rPr>
        <w:t> </w:t>
      </w:r>
      <w:r>
        <w:rPr>
          <w:sz w:val="20"/>
        </w:rPr>
        <w:t>Americana.</w:t>
      </w:r>
    </w:p>
    <w:p>
      <w:pPr>
        <w:pStyle w:val="BodyText"/>
      </w:pPr>
    </w:p>
    <w:p>
      <w:pPr>
        <w:pStyle w:val="ListParagraph"/>
        <w:numPr>
          <w:ilvl w:val="0"/>
          <w:numId w:val="27"/>
        </w:numPr>
        <w:tabs>
          <w:tab w:pos="830" w:val="left" w:leader="none"/>
        </w:tabs>
        <w:spacing w:line="240" w:lineRule="auto" w:before="0" w:after="0"/>
        <w:ind w:left="122" w:right="124" w:firstLine="0"/>
        <w:jc w:val="both"/>
        <w:rPr>
          <w:sz w:val="20"/>
        </w:rPr>
      </w:pPr>
      <w:r>
        <w:rPr>
          <w:sz w:val="20"/>
        </w:rPr>
        <w:t>La Corte</w:t>
      </w:r>
      <w:r>
        <w:rPr>
          <w:i/>
          <w:sz w:val="20"/>
        </w:rPr>
        <w:t>, </w:t>
      </w:r>
      <w:r>
        <w:rPr>
          <w:sz w:val="20"/>
        </w:rPr>
        <w:t>ha afirmado su competencia para determinar violaciones al artículo 26 de la Convención Americana</w:t>
      </w:r>
      <w:r>
        <w:rPr>
          <w:position w:val="7"/>
          <w:sz w:val="13"/>
        </w:rPr>
        <w:t>179 </w:t>
      </w:r>
      <w:r>
        <w:rPr>
          <w:sz w:val="20"/>
        </w:rPr>
        <w:t>y ha señalado que el mismo protege aquellos derechos económicos, sociales, culturales y ambientales (DESCA) que se deriven de la Carta de la Organización de Estados Americanos (en adelante “Carta de la OEA”, o “la Carta”), siendo</w:t>
      </w:r>
      <w:r>
        <w:rPr>
          <w:spacing w:val="-10"/>
          <w:sz w:val="20"/>
        </w:rPr>
        <w:t> </w:t>
      </w:r>
      <w:r>
        <w:rPr>
          <w:sz w:val="20"/>
        </w:rPr>
        <w:t>pertinente</w:t>
      </w:r>
      <w:r>
        <w:rPr>
          <w:spacing w:val="-10"/>
          <w:sz w:val="20"/>
        </w:rPr>
        <w:t> </w:t>
      </w:r>
      <w:r>
        <w:rPr>
          <w:sz w:val="20"/>
        </w:rPr>
        <w:t>para</w:t>
      </w:r>
      <w:r>
        <w:rPr>
          <w:spacing w:val="-9"/>
          <w:sz w:val="20"/>
        </w:rPr>
        <w:t> </w:t>
      </w:r>
      <w:r>
        <w:rPr>
          <w:sz w:val="20"/>
        </w:rPr>
        <w:t>su</w:t>
      </w:r>
      <w:r>
        <w:rPr>
          <w:spacing w:val="-10"/>
          <w:sz w:val="20"/>
        </w:rPr>
        <w:t> </w:t>
      </w:r>
      <w:r>
        <w:rPr>
          <w:sz w:val="20"/>
        </w:rPr>
        <w:t>entendimiento</w:t>
      </w:r>
      <w:r>
        <w:rPr>
          <w:spacing w:val="-10"/>
          <w:sz w:val="20"/>
        </w:rPr>
        <w:t> </w:t>
      </w:r>
      <w:r>
        <w:rPr>
          <w:sz w:val="20"/>
        </w:rPr>
        <w:t>las</w:t>
      </w:r>
      <w:r>
        <w:rPr>
          <w:spacing w:val="-9"/>
          <w:sz w:val="20"/>
        </w:rPr>
        <w:t> </w:t>
      </w:r>
      <w:r>
        <w:rPr>
          <w:sz w:val="20"/>
        </w:rPr>
        <w:t>“[n]ormas</w:t>
      </w:r>
      <w:r>
        <w:rPr>
          <w:spacing w:val="-12"/>
          <w:sz w:val="20"/>
        </w:rPr>
        <w:t> </w:t>
      </w:r>
      <w:r>
        <w:rPr>
          <w:sz w:val="20"/>
        </w:rPr>
        <w:t>de</w:t>
      </w:r>
      <w:r>
        <w:rPr>
          <w:spacing w:val="-13"/>
          <w:sz w:val="20"/>
        </w:rPr>
        <w:t> </w:t>
      </w:r>
      <w:r>
        <w:rPr>
          <w:sz w:val="20"/>
        </w:rPr>
        <w:t>[i]nterpretación”</w:t>
      </w:r>
      <w:r>
        <w:rPr>
          <w:spacing w:val="-12"/>
          <w:sz w:val="20"/>
        </w:rPr>
        <w:t> </w:t>
      </w:r>
      <w:r>
        <w:rPr>
          <w:sz w:val="20"/>
        </w:rPr>
        <w:t>establecidas en el artículo 29 de la</w:t>
      </w:r>
      <w:r>
        <w:rPr>
          <w:spacing w:val="-15"/>
          <w:sz w:val="20"/>
        </w:rPr>
        <w:t> </w:t>
      </w:r>
      <w:r>
        <w:rPr>
          <w:sz w:val="20"/>
        </w:rPr>
        <w:t>Convención</w:t>
      </w:r>
      <w:r>
        <w:rPr>
          <w:position w:val="7"/>
          <w:sz w:val="13"/>
        </w:rPr>
        <w:t>180</w:t>
      </w:r>
      <w:r>
        <w:rPr>
          <w:sz w:val="20"/>
        </w:rPr>
        <w:t>.</w:t>
      </w:r>
    </w:p>
    <w:p>
      <w:pPr>
        <w:pStyle w:val="BodyText"/>
      </w:pPr>
    </w:p>
    <w:p>
      <w:pPr>
        <w:pStyle w:val="ListParagraph"/>
        <w:numPr>
          <w:ilvl w:val="0"/>
          <w:numId w:val="27"/>
        </w:numPr>
        <w:tabs>
          <w:tab w:pos="830" w:val="left" w:leader="none"/>
        </w:tabs>
        <w:spacing w:line="240" w:lineRule="auto" w:before="0" w:after="0"/>
        <w:ind w:left="122" w:right="121" w:firstLine="0"/>
        <w:jc w:val="both"/>
        <w:rPr>
          <w:sz w:val="20"/>
        </w:rPr>
      </w:pPr>
      <w:r>
        <w:rPr>
          <w:sz w:val="20"/>
        </w:rPr>
        <w:t>Así, este Tribunal ha explicado que “[p]ara identificar aquellos derechos que pueden ser derivados interpretativamente del artículo 26, se debe considerar que </w:t>
      </w:r>
      <w:r>
        <w:rPr>
          <w:spacing w:val="2"/>
          <w:sz w:val="20"/>
        </w:rPr>
        <w:t>este </w:t>
      </w:r>
      <w:r>
        <w:rPr>
          <w:sz w:val="20"/>
        </w:rPr>
        <w:t>realiza</w:t>
      </w:r>
      <w:r>
        <w:rPr>
          <w:spacing w:val="-21"/>
          <w:sz w:val="20"/>
        </w:rPr>
        <w:t> </w:t>
      </w:r>
      <w:r>
        <w:rPr>
          <w:sz w:val="20"/>
        </w:rPr>
        <w:t>una</w:t>
      </w:r>
      <w:r>
        <w:rPr>
          <w:spacing w:val="-18"/>
          <w:sz w:val="20"/>
        </w:rPr>
        <w:t> </w:t>
      </w:r>
      <w:r>
        <w:rPr>
          <w:sz w:val="20"/>
        </w:rPr>
        <w:t>remisión</w:t>
      </w:r>
      <w:r>
        <w:rPr>
          <w:spacing w:val="-21"/>
          <w:sz w:val="20"/>
        </w:rPr>
        <w:t> </w:t>
      </w:r>
      <w:r>
        <w:rPr>
          <w:sz w:val="20"/>
        </w:rPr>
        <w:t>directa</w:t>
      </w:r>
      <w:r>
        <w:rPr>
          <w:spacing w:val="-21"/>
          <w:sz w:val="20"/>
        </w:rPr>
        <w:t> </w:t>
      </w:r>
      <w:r>
        <w:rPr>
          <w:sz w:val="20"/>
        </w:rPr>
        <w:t>a</w:t>
      </w:r>
      <w:r>
        <w:rPr>
          <w:spacing w:val="-21"/>
          <w:sz w:val="20"/>
        </w:rPr>
        <w:t> </w:t>
      </w:r>
      <w:r>
        <w:rPr>
          <w:sz w:val="20"/>
        </w:rPr>
        <w:t>las</w:t>
      </w:r>
      <w:r>
        <w:rPr>
          <w:spacing w:val="-19"/>
          <w:sz w:val="20"/>
        </w:rPr>
        <w:t> </w:t>
      </w:r>
      <w:r>
        <w:rPr>
          <w:sz w:val="20"/>
        </w:rPr>
        <w:t>normas</w:t>
      </w:r>
      <w:r>
        <w:rPr>
          <w:spacing w:val="-19"/>
          <w:sz w:val="20"/>
        </w:rPr>
        <w:t> </w:t>
      </w:r>
      <w:r>
        <w:rPr>
          <w:sz w:val="20"/>
        </w:rPr>
        <w:t>económicas,</w:t>
      </w:r>
      <w:r>
        <w:rPr>
          <w:spacing w:val="-19"/>
          <w:sz w:val="20"/>
        </w:rPr>
        <w:t> </w:t>
      </w:r>
      <w:r>
        <w:rPr>
          <w:sz w:val="20"/>
        </w:rPr>
        <w:t>sociales</w:t>
      </w:r>
      <w:r>
        <w:rPr>
          <w:spacing w:val="-22"/>
          <w:sz w:val="20"/>
        </w:rPr>
        <w:t> </w:t>
      </w:r>
      <w:r>
        <w:rPr>
          <w:sz w:val="20"/>
        </w:rPr>
        <w:t>y</w:t>
      </w:r>
      <w:r>
        <w:rPr>
          <w:spacing w:val="-19"/>
          <w:sz w:val="20"/>
        </w:rPr>
        <w:t> </w:t>
      </w:r>
      <w:r>
        <w:rPr>
          <w:sz w:val="20"/>
        </w:rPr>
        <w:t>sobre</w:t>
      </w:r>
      <w:r>
        <w:rPr>
          <w:spacing w:val="-20"/>
          <w:sz w:val="20"/>
        </w:rPr>
        <w:t> </w:t>
      </w:r>
      <w:r>
        <w:rPr>
          <w:sz w:val="20"/>
        </w:rPr>
        <w:t>educación,</w:t>
      </w:r>
      <w:r>
        <w:rPr>
          <w:spacing w:val="-19"/>
          <w:sz w:val="20"/>
        </w:rPr>
        <w:t> </w:t>
      </w:r>
      <w:r>
        <w:rPr>
          <w:sz w:val="20"/>
        </w:rPr>
        <w:t>ciencia</w:t>
      </w:r>
    </w:p>
    <w:p>
      <w:pPr>
        <w:pStyle w:val="BodyText"/>
      </w:pPr>
    </w:p>
    <w:p>
      <w:pPr>
        <w:pStyle w:val="BodyText"/>
        <w:spacing w:before="6"/>
        <w:rPr>
          <w:sz w:val="19"/>
        </w:rPr>
      </w:pPr>
      <w:r>
        <w:rPr/>
        <w:pict>
          <v:line style="position:absolute;mso-position-horizontal-relative:page;mso-position-vertical-relative:paragraph;z-index:2512;mso-wrap-distance-left:0;mso-wrap-distance-right:0" from="85.103996pt,14.171065pt" to="229.123996pt,14.171065pt" stroked="true" strokeweight=".72pt" strokecolor="#000000">
            <v:stroke dashstyle="solid"/>
            <w10:wrap type="topAndBottom"/>
          </v:line>
        </w:pict>
      </w:r>
    </w:p>
    <w:p>
      <w:pPr>
        <w:spacing w:before="71"/>
        <w:ind w:left="122" w:right="118" w:firstLine="0"/>
        <w:jc w:val="both"/>
        <w:rPr>
          <w:sz w:val="16"/>
        </w:rPr>
      </w:pPr>
      <w:r>
        <w:rPr>
          <w:sz w:val="16"/>
        </w:rPr>
        <w:t>construcción de salones de usos múltiples y espacios recreativos y acciones de extensión o mejoramiento de los servicios eléctricos, cloacales y de atención primaria para la salud.</w:t>
      </w:r>
    </w:p>
    <w:p>
      <w:pPr>
        <w:pStyle w:val="BodyText"/>
        <w:spacing w:before="11"/>
        <w:rPr>
          <w:sz w:val="15"/>
        </w:rPr>
      </w:pPr>
    </w:p>
    <w:p>
      <w:pPr>
        <w:tabs>
          <w:tab w:pos="829" w:val="left" w:leader="none"/>
        </w:tabs>
        <w:spacing w:before="0"/>
        <w:ind w:left="122" w:right="114" w:firstLine="0"/>
        <w:jc w:val="both"/>
        <w:rPr>
          <w:sz w:val="16"/>
        </w:rPr>
      </w:pPr>
      <w:r>
        <w:rPr>
          <w:position w:val="6"/>
          <w:sz w:val="10"/>
        </w:rPr>
        <w:t>178</w:t>
        <w:tab/>
      </w:r>
      <w:r>
        <w:rPr>
          <w:sz w:val="16"/>
        </w:rPr>
        <w:t>La</w:t>
      </w:r>
      <w:r>
        <w:rPr>
          <w:spacing w:val="16"/>
          <w:sz w:val="16"/>
        </w:rPr>
        <w:t> </w:t>
      </w:r>
      <w:r>
        <w:rPr>
          <w:sz w:val="16"/>
        </w:rPr>
        <w:t>Corte</w:t>
      </w:r>
      <w:r>
        <w:rPr>
          <w:spacing w:val="14"/>
          <w:sz w:val="16"/>
        </w:rPr>
        <w:t> </w:t>
      </w:r>
      <w:r>
        <w:rPr>
          <w:sz w:val="16"/>
        </w:rPr>
        <w:t>ha</w:t>
      </w:r>
      <w:r>
        <w:rPr>
          <w:spacing w:val="16"/>
          <w:sz w:val="16"/>
        </w:rPr>
        <w:t> </w:t>
      </w:r>
      <w:r>
        <w:rPr>
          <w:sz w:val="16"/>
        </w:rPr>
        <w:t>indicado</w:t>
      </w:r>
      <w:r>
        <w:rPr>
          <w:spacing w:val="15"/>
          <w:sz w:val="16"/>
        </w:rPr>
        <w:t> </w:t>
      </w:r>
      <w:r>
        <w:rPr>
          <w:sz w:val="16"/>
        </w:rPr>
        <w:t>que</w:t>
      </w:r>
      <w:r>
        <w:rPr>
          <w:spacing w:val="14"/>
          <w:sz w:val="16"/>
        </w:rPr>
        <w:t> </w:t>
      </w:r>
      <w:r>
        <w:rPr>
          <w:sz w:val="16"/>
        </w:rPr>
        <w:t>el</w:t>
      </w:r>
      <w:r>
        <w:rPr>
          <w:spacing w:val="16"/>
          <w:sz w:val="16"/>
        </w:rPr>
        <w:t> </w:t>
      </w:r>
      <w:r>
        <w:rPr>
          <w:sz w:val="16"/>
        </w:rPr>
        <w:t>artículo</w:t>
      </w:r>
      <w:r>
        <w:rPr>
          <w:spacing w:val="15"/>
          <w:sz w:val="16"/>
        </w:rPr>
        <w:t> </w:t>
      </w:r>
      <w:r>
        <w:rPr>
          <w:sz w:val="16"/>
        </w:rPr>
        <w:t>22</w:t>
      </w:r>
      <w:r>
        <w:rPr>
          <w:spacing w:val="15"/>
          <w:sz w:val="16"/>
        </w:rPr>
        <w:t> </w:t>
      </w:r>
      <w:r>
        <w:rPr>
          <w:sz w:val="16"/>
        </w:rPr>
        <w:t>de</w:t>
      </w:r>
      <w:r>
        <w:rPr>
          <w:spacing w:val="16"/>
          <w:sz w:val="16"/>
        </w:rPr>
        <w:t> </w:t>
      </w:r>
      <w:r>
        <w:rPr>
          <w:sz w:val="16"/>
        </w:rPr>
        <w:t>la</w:t>
      </w:r>
      <w:r>
        <w:rPr>
          <w:spacing w:val="14"/>
          <w:sz w:val="16"/>
        </w:rPr>
        <w:t> </w:t>
      </w:r>
      <w:r>
        <w:rPr>
          <w:sz w:val="16"/>
        </w:rPr>
        <w:t>Convención</w:t>
      </w:r>
      <w:r>
        <w:rPr>
          <w:spacing w:val="14"/>
          <w:sz w:val="16"/>
        </w:rPr>
        <w:t> </w:t>
      </w:r>
      <w:r>
        <w:rPr>
          <w:sz w:val="16"/>
        </w:rPr>
        <w:t>comprende</w:t>
      </w:r>
      <w:r>
        <w:rPr>
          <w:spacing w:val="14"/>
          <w:sz w:val="16"/>
        </w:rPr>
        <w:t> </w:t>
      </w:r>
      <w:r>
        <w:rPr>
          <w:sz w:val="16"/>
        </w:rPr>
        <w:t>“a)</w:t>
      </w:r>
      <w:r>
        <w:rPr>
          <w:spacing w:val="19"/>
          <w:sz w:val="16"/>
        </w:rPr>
        <w:t> </w:t>
      </w:r>
      <w:r>
        <w:rPr>
          <w:sz w:val="16"/>
        </w:rPr>
        <w:t>el</w:t>
      </w:r>
      <w:r>
        <w:rPr>
          <w:spacing w:val="13"/>
          <w:sz w:val="16"/>
        </w:rPr>
        <w:t> </w:t>
      </w:r>
      <w:r>
        <w:rPr>
          <w:sz w:val="16"/>
        </w:rPr>
        <w:t>derecho</w:t>
      </w:r>
      <w:r>
        <w:rPr>
          <w:spacing w:val="15"/>
          <w:sz w:val="16"/>
        </w:rPr>
        <w:t> </w:t>
      </w:r>
      <w:r>
        <w:rPr>
          <w:sz w:val="16"/>
        </w:rPr>
        <w:t>de</w:t>
      </w:r>
      <w:r>
        <w:rPr>
          <w:spacing w:val="12"/>
          <w:sz w:val="16"/>
        </w:rPr>
        <w:t> </w:t>
      </w:r>
      <w:r>
        <w:rPr>
          <w:sz w:val="16"/>
        </w:rPr>
        <w:t>quienes</w:t>
      </w:r>
      <w:r>
        <w:rPr>
          <w:spacing w:val="14"/>
          <w:sz w:val="16"/>
        </w:rPr>
        <w:t> </w:t>
      </w:r>
      <w:r>
        <w:rPr>
          <w:sz w:val="16"/>
        </w:rPr>
        <w:t>se</w:t>
      </w:r>
      <w:r>
        <w:rPr>
          <w:w w:val="100"/>
          <w:sz w:val="16"/>
        </w:rPr>
        <w:t> </w:t>
      </w:r>
      <w:r>
        <w:rPr>
          <w:sz w:val="16"/>
        </w:rPr>
        <w:t>encuentren legalmente dentro de un Estado a circular libremente en ese Estado y escoger su lugar de residencia,</w:t>
      </w:r>
      <w:r>
        <w:rPr>
          <w:spacing w:val="-8"/>
          <w:sz w:val="16"/>
        </w:rPr>
        <w:t> </w:t>
      </w:r>
      <w:r>
        <w:rPr>
          <w:sz w:val="16"/>
        </w:rPr>
        <w:t>y</w:t>
      </w:r>
      <w:r>
        <w:rPr>
          <w:spacing w:val="-7"/>
          <w:sz w:val="16"/>
        </w:rPr>
        <w:t> </w:t>
      </w:r>
      <w:r>
        <w:rPr>
          <w:sz w:val="16"/>
        </w:rPr>
        <w:t>b)</w:t>
      </w:r>
      <w:r>
        <w:rPr>
          <w:spacing w:val="-8"/>
          <w:sz w:val="16"/>
        </w:rPr>
        <w:t> </w:t>
      </w:r>
      <w:r>
        <w:rPr>
          <w:sz w:val="16"/>
        </w:rPr>
        <w:t>el</w:t>
      </w:r>
      <w:r>
        <w:rPr>
          <w:spacing w:val="-8"/>
          <w:sz w:val="16"/>
        </w:rPr>
        <w:t> </w:t>
      </w:r>
      <w:r>
        <w:rPr>
          <w:sz w:val="16"/>
        </w:rPr>
        <w:t>derecho</w:t>
      </w:r>
      <w:r>
        <w:rPr>
          <w:spacing w:val="-9"/>
          <w:sz w:val="16"/>
        </w:rPr>
        <w:t> </w:t>
      </w:r>
      <w:r>
        <w:rPr>
          <w:sz w:val="16"/>
        </w:rPr>
        <w:t>de</w:t>
      </w:r>
      <w:r>
        <w:rPr>
          <w:spacing w:val="-10"/>
          <w:sz w:val="16"/>
        </w:rPr>
        <w:t> </w:t>
      </w:r>
      <w:r>
        <w:rPr>
          <w:sz w:val="16"/>
        </w:rPr>
        <w:t>una</w:t>
      </w:r>
      <w:r>
        <w:rPr>
          <w:spacing w:val="-6"/>
          <w:sz w:val="16"/>
        </w:rPr>
        <w:t> </w:t>
      </w:r>
      <w:r>
        <w:rPr>
          <w:sz w:val="16"/>
        </w:rPr>
        <w:t>persona</w:t>
      </w:r>
      <w:r>
        <w:rPr>
          <w:spacing w:val="-8"/>
          <w:sz w:val="16"/>
        </w:rPr>
        <w:t> </w:t>
      </w:r>
      <w:r>
        <w:rPr>
          <w:sz w:val="16"/>
        </w:rPr>
        <w:t>a</w:t>
      </w:r>
      <w:r>
        <w:rPr>
          <w:spacing w:val="-8"/>
          <w:sz w:val="16"/>
        </w:rPr>
        <w:t> </w:t>
      </w:r>
      <w:r>
        <w:rPr>
          <w:sz w:val="16"/>
        </w:rPr>
        <w:t>ingresar</w:t>
      </w:r>
      <w:r>
        <w:rPr>
          <w:spacing w:val="-7"/>
          <w:sz w:val="16"/>
        </w:rPr>
        <w:t> </w:t>
      </w:r>
      <w:r>
        <w:rPr>
          <w:sz w:val="16"/>
        </w:rPr>
        <w:t>a</w:t>
      </w:r>
      <w:r>
        <w:rPr>
          <w:spacing w:val="-8"/>
          <w:sz w:val="16"/>
        </w:rPr>
        <w:t> </w:t>
      </w:r>
      <w:r>
        <w:rPr>
          <w:sz w:val="16"/>
        </w:rPr>
        <w:t>su</w:t>
      </w:r>
      <w:r>
        <w:rPr>
          <w:spacing w:val="-11"/>
          <w:sz w:val="16"/>
        </w:rPr>
        <w:t> </w:t>
      </w:r>
      <w:r>
        <w:rPr>
          <w:sz w:val="16"/>
        </w:rPr>
        <w:t>país</w:t>
      </w:r>
      <w:r>
        <w:rPr>
          <w:spacing w:val="-7"/>
          <w:sz w:val="16"/>
        </w:rPr>
        <w:t> </w:t>
      </w:r>
      <w:r>
        <w:rPr>
          <w:sz w:val="16"/>
        </w:rPr>
        <w:t>y</w:t>
      </w:r>
      <w:r>
        <w:rPr>
          <w:spacing w:val="-7"/>
          <w:sz w:val="16"/>
        </w:rPr>
        <w:t> </w:t>
      </w:r>
      <w:r>
        <w:rPr>
          <w:sz w:val="16"/>
        </w:rPr>
        <w:t>permanecer</w:t>
      </w:r>
      <w:r>
        <w:rPr>
          <w:spacing w:val="-6"/>
          <w:sz w:val="16"/>
        </w:rPr>
        <w:t> </w:t>
      </w:r>
      <w:r>
        <w:rPr>
          <w:sz w:val="16"/>
        </w:rPr>
        <w:t>en</w:t>
      </w:r>
      <w:r>
        <w:rPr>
          <w:spacing w:val="-11"/>
          <w:sz w:val="16"/>
        </w:rPr>
        <w:t> </w:t>
      </w:r>
      <w:r>
        <w:rPr>
          <w:sz w:val="16"/>
        </w:rPr>
        <w:t>él.</w:t>
      </w:r>
      <w:r>
        <w:rPr>
          <w:spacing w:val="-7"/>
          <w:sz w:val="16"/>
        </w:rPr>
        <w:t> </w:t>
      </w:r>
      <w:r>
        <w:rPr>
          <w:sz w:val="16"/>
        </w:rPr>
        <w:t>El</w:t>
      </w:r>
      <w:r>
        <w:rPr>
          <w:spacing w:val="-8"/>
          <w:sz w:val="16"/>
        </w:rPr>
        <w:t> </w:t>
      </w:r>
      <w:r>
        <w:rPr>
          <w:sz w:val="16"/>
        </w:rPr>
        <w:t>disfrute</w:t>
      </w:r>
      <w:r>
        <w:rPr>
          <w:spacing w:val="-7"/>
          <w:sz w:val="16"/>
        </w:rPr>
        <w:t> </w:t>
      </w:r>
      <w:r>
        <w:rPr>
          <w:sz w:val="16"/>
        </w:rPr>
        <w:t>de</w:t>
      </w:r>
      <w:r>
        <w:rPr>
          <w:spacing w:val="-7"/>
          <w:sz w:val="16"/>
        </w:rPr>
        <w:t> </w:t>
      </w:r>
      <w:r>
        <w:rPr>
          <w:sz w:val="16"/>
        </w:rPr>
        <w:t>este</w:t>
      </w:r>
      <w:r>
        <w:rPr>
          <w:spacing w:val="-7"/>
          <w:sz w:val="16"/>
        </w:rPr>
        <w:t> </w:t>
      </w:r>
      <w:r>
        <w:rPr>
          <w:sz w:val="16"/>
        </w:rPr>
        <w:t>derecho no depende de ningún objetivo o motivo en particular de la persona que desea circular o permanecer en un lugar.</w:t>
      </w:r>
      <w:r>
        <w:rPr>
          <w:spacing w:val="-9"/>
          <w:sz w:val="16"/>
        </w:rPr>
        <w:t> </w:t>
      </w:r>
      <w:r>
        <w:rPr>
          <w:sz w:val="16"/>
        </w:rPr>
        <w:t>Asimismo,</w:t>
      </w:r>
      <w:r>
        <w:rPr>
          <w:spacing w:val="-9"/>
          <w:sz w:val="16"/>
        </w:rPr>
        <w:t> </w:t>
      </w:r>
      <w:r>
        <w:rPr>
          <w:sz w:val="16"/>
        </w:rPr>
        <w:t>protege</w:t>
      </w:r>
      <w:r>
        <w:rPr>
          <w:spacing w:val="-8"/>
          <w:sz w:val="16"/>
        </w:rPr>
        <w:t> </w:t>
      </w:r>
      <w:r>
        <w:rPr>
          <w:sz w:val="16"/>
        </w:rPr>
        <w:t>el</w:t>
      </w:r>
      <w:r>
        <w:rPr>
          <w:spacing w:val="-9"/>
          <w:sz w:val="16"/>
        </w:rPr>
        <w:t> </w:t>
      </w:r>
      <w:r>
        <w:rPr>
          <w:sz w:val="16"/>
        </w:rPr>
        <w:t>derecho</w:t>
      </w:r>
      <w:r>
        <w:rPr>
          <w:spacing w:val="-10"/>
          <w:sz w:val="16"/>
        </w:rPr>
        <w:t> </w:t>
      </w:r>
      <w:r>
        <w:rPr>
          <w:sz w:val="16"/>
        </w:rPr>
        <w:t>a</w:t>
      </w:r>
      <w:r>
        <w:rPr>
          <w:spacing w:val="-9"/>
          <w:sz w:val="16"/>
        </w:rPr>
        <w:t> </w:t>
      </w:r>
      <w:r>
        <w:rPr>
          <w:sz w:val="16"/>
        </w:rPr>
        <w:t>no</w:t>
      </w:r>
      <w:r>
        <w:rPr>
          <w:spacing w:val="-8"/>
          <w:sz w:val="16"/>
        </w:rPr>
        <w:t> </w:t>
      </w:r>
      <w:r>
        <w:rPr>
          <w:sz w:val="16"/>
        </w:rPr>
        <w:t>ser</w:t>
      </w:r>
      <w:r>
        <w:rPr>
          <w:spacing w:val="-10"/>
          <w:sz w:val="16"/>
        </w:rPr>
        <w:t> </w:t>
      </w:r>
      <w:r>
        <w:rPr>
          <w:sz w:val="16"/>
        </w:rPr>
        <w:t>desplazado</w:t>
      </w:r>
      <w:r>
        <w:rPr>
          <w:spacing w:val="-10"/>
          <w:sz w:val="16"/>
        </w:rPr>
        <w:t> </w:t>
      </w:r>
      <w:r>
        <w:rPr>
          <w:sz w:val="16"/>
        </w:rPr>
        <w:t>forzadamente</w:t>
      </w:r>
      <w:r>
        <w:rPr>
          <w:spacing w:val="-8"/>
          <w:sz w:val="16"/>
        </w:rPr>
        <w:t> </w:t>
      </w:r>
      <w:r>
        <w:rPr>
          <w:sz w:val="16"/>
        </w:rPr>
        <w:t>dentro</w:t>
      </w:r>
      <w:r>
        <w:rPr>
          <w:spacing w:val="-10"/>
          <w:sz w:val="16"/>
        </w:rPr>
        <w:t> </w:t>
      </w:r>
      <w:r>
        <w:rPr>
          <w:sz w:val="16"/>
        </w:rPr>
        <w:t>de</w:t>
      </w:r>
      <w:r>
        <w:rPr>
          <w:spacing w:val="-8"/>
          <w:sz w:val="16"/>
        </w:rPr>
        <w:t> </w:t>
      </w:r>
      <w:r>
        <w:rPr>
          <w:sz w:val="16"/>
        </w:rPr>
        <w:t>un</w:t>
      </w:r>
      <w:r>
        <w:rPr>
          <w:spacing w:val="-9"/>
          <w:sz w:val="16"/>
        </w:rPr>
        <w:t> </w:t>
      </w:r>
      <w:r>
        <w:rPr>
          <w:sz w:val="16"/>
        </w:rPr>
        <w:t>Estado</w:t>
      </w:r>
      <w:r>
        <w:rPr>
          <w:spacing w:val="-8"/>
          <w:sz w:val="16"/>
        </w:rPr>
        <w:t> </w:t>
      </w:r>
      <w:r>
        <w:rPr>
          <w:sz w:val="16"/>
        </w:rPr>
        <w:t>Parte</w:t>
      </w:r>
      <w:r>
        <w:rPr>
          <w:spacing w:val="-10"/>
          <w:sz w:val="16"/>
        </w:rPr>
        <w:t> </w:t>
      </w:r>
      <w:r>
        <w:rPr>
          <w:sz w:val="16"/>
        </w:rPr>
        <w:t>y</w:t>
      </w:r>
      <w:r>
        <w:rPr>
          <w:spacing w:val="-8"/>
          <w:sz w:val="16"/>
        </w:rPr>
        <w:t> </w:t>
      </w:r>
      <w:r>
        <w:rPr>
          <w:sz w:val="16"/>
        </w:rPr>
        <w:t>a</w:t>
      </w:r>
      <w:r>
        <w:rPr>
          <w:spacing w:val="-9"/>
          <w:sz w:val="16"/>
        </w:rPr>
        <w:t> </w:t>
      </w:r>
      <w:r>
        <w:rPr>
          <w:sz w:val="16"/>
        </w:rPr>
        <w:t>no</w:t>
      </w:r>
      <w:r>
        <w:rPr>
          <w:spacing w:val="-8"/>
          <w:sz w:val="16"/>
        </w:rPr>
        <w:t> </w:t>
      </w:r>
      <w:r>
        <w:rPr>
          <w:sz w:val="16"/>
        </w:rPr>
        <w:t>tener que salir forzadamente fuera del territorio del Estado en el cual se halle legalmente. Este Tribunal ha dicho también</w:t>
      </w:r>
      <w:r>
        <w:rPr>
          <w:spacing w:val="-16"/>
          <w:sz w:val="16"/>
        </w:rPr>
        <w:t> </w:t>
      </w:r>
      <w:r>
        <w:rPr>
          <w:sz w:val="16"/>
        </w:rPr>
        <w:t>que</w:t>
      </w:r>
      <w:r>
        <w:rPr>
          <w:spacing w:val="-14"/>
          <w:sz w:val="16"/>
        </w:rPr>
        <w:t> </w:t>
      </w:r>
      <w:r>
        <w:rPr>
          <w:sz w:val="16"/>
        </w:rPr>
        <w:t>el</w:t>
      </w:r>
      <w:r>
        <w:rPr>
          <w:spacing w:val="-15"/>
          <w:sz w:val="16"/>
        </w:rPr>
        <w:t> </w:t>
      </w:r>
      <w:r>
        <w:rPr>
          <w:sz w:val="16"/>
        </w:rPr>
        <w:t>derecho</w:t>
      </w:r>
      <w:r>
        <w:rPr>
          <w:spacing w:val="-14"/>
          <w:sz w:val="16"/>
        </w:rPr>
        <w:t> </w:t>
      </w:r>
      <w:r>
        <w:rPr>
          <w:sz w:val="16"/>
        </w:rPr>
        <w:t>de</w:t>
      </w:r>
      <w:r>
        <w:rPr>
          <w:spacing w:val="-14"/>
          <w:sz w:val="16"/>
        </w:rPr>
        <w:t> </w:t>
      </w:r>
      <w:r>
        <w:rPr>
          <w:sz w:val="16"/>
        </w:rPr>
        <w:t>circulación</w:t>
      </w:r>
      <w:r>
        <w:rPr>
          <w:spacing w:val="-13"/>
          <w:sz w:val="16"/>
        </w:rPr>
        <w:t> </w:t>
      </w:r>
      <w:r>
        <w:rPr>
          <w:sz w:val="16"/>
        </w:rPr>
        <w:t>y</w:t>
      </w:r>
      <w:r>
        <w:rPr>
          <w:spacing w:val="-16"/>
          <w:sz w:val="16"/>
        </w:rPr>
        <w:t> </w:t>
      </w:r>
      <w:r>
        <w:rPr>
          <w:sz w:val="16"/>
        </w:rPr>
        <w:t>de</w:t>
      </w:r>
      <w:r>
        <w:rPr>
          <w:spacing w:val="-17"/>
          <w:sz w:val="16"/>
        </w:rPr>
        <w:t> </w:t>
      </w:r>
      <w:r>
        <w:rPr>
          <w:sz w:val="16"/>
        </w:rPr>
        <w:t>residencia</w:t>
      </w:r>
      <w:r>
        <w:rPr>
          <w:spacing w:val="-16"/>
          <w:sz w:val="16"/>
        </w:rPr>
        <w:t> </w:t>
      </w:r>
      <w:r>
        <w:rPr>
          <w:sz w:val="16"/>
        </w:rPr>
        <w:t>puede</w:t>
      </w:r>
      <w:r>
        <w:rPr>
          <w:spacing w:val="-17"/>
          <w:sz w:val="16"/>
        </w:rPr>
        <w:t> </w:t>
      </w:r>
      <w:r>
        <w:rPr>
          <w:sz w:val="16"/>
        </w:rPr>
        <w:t>ser</w:t>
      </w:r>
      <w:r>
        <w:rPr>
          <w:spacing w:val="-16"/>
          <w:sz w:val="16"/>
        </w:rPr>
        <w:t> </w:t>
      </w:r>
      <w:r>
        <w:rPr>
          <w:sz w:val="16"/>
        </w:rPr>
        <w:t>vulnerado</w:t>
      </w:r>
      <w:r>
        <w:rPr>
          <w:spacing w:val="-14"/>
          <w:sz w:val="16"/>
        </w:rPr>
        <w:t> </w:t>
      </w:r>
      <w:r>
        <w:rPr>
          <w:sz w:val="16"/>
        </w:rPr>
        <w:t>de</w:t>
      </w:r>
      <w:r>
        <w:rPr>
          <w:spacing w:val="-14"/>
          <w:sz w:val="16"/>
        </w:rPr>
        <w:t> </w:t>
      </w:r>
      <w:r>
        <w:rPr>
          <w:sz w:val="16"/>
        </w:rPr>
        <w:t>manera</w:t>
      </w:r>
      <w:r>
        <w:rPr>
          <w:spacing w:val="-17"/>
          <w:sz w:val="16"/>
        </w:rPr>
        <w:t> </w:t>
      </w:r>
      <w:r>
        <w:rPr>
          <w:sz w:val="16"/>
        </w:rPr>
        <w:t>formal</w:t>
      </w:r>
      <w:r>
        <w:rPr>
          <w:spacing w:val="-13"/>
          <w:sz w:val="16"/>
        </w:rPr>
        <w:t> </w:t>
      </w:r>
      <w:r>
        <w:rPr>
          <w:sz w:val="16"/>
        </w:rPr>
        <w:t>o</w:t>
      </w:r>
      <w:r>
        <w:rPr>
          <w:spacing w:val="-16"/>
          <w:sz w:val="16"/>
        </w:rPr>
        <w:t> </w:t>
      </w:r>
      <w:r>
        <w:rPr>
          <w:sz w:val="16"/>
        </w:rPr>
        <w:t>por</w:t>
      </w:r>
      <w:r>
        <w:rPr>
          <w:spacing w:val="-13"/>
          <w:sz w:val="16"/>
        </w:rPr>
        <w:t> </w:t>
      </w:r>
      <w:r>
        <w:rPr>
          <w:sz w:val="16"/>
        </w:rPr>
        <w:t>restricciones de facto si el Estado no ha establecido las condiciones, ni provisto los medios que permiten ejercerlo” (</w:t>
      </w:r>
      <w:r>
        <w:rPr>
          <w:i/>
          <w:sz w:val="16"/>
        </w:rPr>
        <w:t>Caso </w:t>
      </w:r>
      <w:r>
        <w:rPr>
          <w:i/>
          <w:sz w:val="16"/>
        </w:rPr>
        <w:t>Omeara Carrascal y otros Vs. Colombia. Fondo, Reparaciones y Costas. </w:t>
      </w:r>
      <w:r>
        <w:rPr>
          <w:sz w:val="16"/>
        </w:rPr>
        <w:t>Sentencia de 21 de noviembre de 2018. Serie C No. 368, párr. 272; ver también </w:t>
      </w:r>
      <w:r>
        <w:rPr>
          <w:i/>
          <w:sz w:val="16"/>
        </w:rPr>
        <w:t>Caso Ricardo Canese Vs. Paraguay. Fondo, Reparaciones y </w:t>
      </w:r>
      <w:r>
        <w:rPr>
          <w:i/>
          <w:sz w:val="16"/>
        </w:rPr>
        <w:t>Costas. </w:t>
      </w:r>
      <w:r>
        <w:rPr>
          <w:sz w:val="16"/>
        </w:rPr>
        <w:t>Sentencia de 31 de agosto de 2004. Serie C No. 111, párr. 115; </w:t>
      </w:r>
      <w:r>
        <w:rPr>
          <w:i/>
          <w:sz w:val="16"/>
        </w:rPr>
        <w:t>Caso de la Comunidad Moiwana Vs. </w:t>
      </w:r>
      <w:r>
        <w:rPr>
          <w:i/>
          <w:sz w:val="16"/>
        </w:rPr>
        <w:t>Suriname</w:t>
      </w:r>
      <w:r>
        <w:rPr>
          <w:sz w:val="16"/>
        </w:rPr>
        <w:t>, párrs. 119 y 120; </w:t>
      </w:r>
      <w:r>
        <w:rPr>
          <w:i/>
          <w:sz w:val="16"/>
        </w:rPr>
        <w:t>Caso de la "Masacre de Mapiripán" Vs. Colombia</w:t>
      </w:r>
      <w:r>
        <w:rPr>
          <w:sz w:val="16"/>
        </w:rPr>
        <w:t>, párr. 188, y </w:t>
      </w:r>
      <w:r>
        <w:rPr>
          <w:i/>
          <w:sz w:val="16"/>
        </w:rPr>
        <w:t>Caso Alvarado </w:t>
      </w:r>
      <w:r>
        <w:rPr>
          <w:i/>
          <w:sz w:val="16"/>
        </w:rPr>
        <w:t>Espinoza y otros Vs. México. Fondo, Reparaciones y Costas. </w:t>
      </w:r>
      <w:r>
        <w:rPr>
          <w:sz w:val="16"/>
        </w:rPr>
        <w:t>Sentencia de 28 de noviembre de 2018. Serie C No. 370, párr.</w:t>
      </w:r>
      <w:r>
        <w:rPr>
          <w:spacing w:val="-10"/>
          <w:sz w:val="16"/>
        </w:rPr>
        <w:t> </w:t>
      </w:r>
      <w:r>
        <w:rPr>
          <w:sz w:val="16"/>
        </w:rPr>
        <w:t>274).</w:t>
      </w:r>
    </w:p>
    <w:p>
      <w:pPr>
        <w:pStyle w:val="BodyText"/>
        <w:spacing w:before="11"/>
        <w:rPr>
          <w:sz w:val="15"/>
        </w:rPr>
      </w:pPr>
    </w:p>
    <w:p>
      <w:pPr>
        <w:tabs>
          <w:tab w:pos="829" w:val="left" w:leader="none"/>
        </w:tabs>
        <w:spacing w:before="0"/>
        <w:ind w:left="122" w:right="114" w:firstLine="0"/>
        <w:jc w:val="both"/>
        <w:rPr>
          <w:sz w:val="16"/>
        </w:rPr>
      </w:pPr>
      <w:r>
        <w:rPr>
          <w:position w:val="6"/>
          <w:sz w:val="10"/>
        </w:rPr>
        <w:t>179</w:t>
        <w:tab/>
      </w:r>
      <w:r>
        <w:rPr>
          <w:i/>
          <w:sz w:val="16"/>
        </w:rPr>
        <w:t>Cfr.</w:t>
      </w:r>
      <w:r>
        <w:rPr>
          <w:i/>
          <w:spacing w:val="17"/>
          <w:sz w:val="16"/>
        </w:rPr>
        <w:t> </w:t>
      </w:r>
      <w:r>
        <w:rPr>
          <w:i/>
          <w:sz w:val="16"/>
        </w:rPr>
        <w:t>Caso</w:t>
      </w:r>
      <w:r>
        <w:rPr>
          <w:i/>
          <w:spacing w:val="17"/>
          <w:sz w:val="16"/>
        </w:rPr>
        <w:t> </w:t>
      </w:r>
      <w:r>
        <w:rPr>
          <w:i/>
          <w:sz w:val="16"/>
        </w:rPr>
        <w:t>Acevedo</w:t>
      </w:r>
      <w:r>
        <w:rPr>
          <w:i/>
          <w:spacing w:val="16"/>
          <w:sz w:val="16"/>
        </w:rPr>
        <w:t> </w:t>
      </w:r>
      <w:r>
        <w:rPr>
          <w:i/>
          <w:sz w:val="16"/>
        </w:rPr>
        <w:t>Buendía</w:t>
      </w:r>
      <w:r>
        <w:rPr>
          <w:i/>
          <w:spacing w:val="17"/>
          <w:sz w:val="16"/>
        </w:rPr>
        <w:t> </w:t>
      </w:r>
      <w:r>
        <w:rPr>
          <w:i/>
          <w:sz w:val="16"/>
        </w:rPr>
        <w:t>y</w:t>
      </w:r>
      <w:r>
        <w:rPr>
          <w:i/>
          <w:spacing w:val="17"/>
          <w:sz w:val="16"/>
        </w:rPr>
        <w:t> </w:t>
      </w:r>
      <w:r>
        <w:rPr>
          <w:i/>
          <w:sz w:val="16"/>
        </w:rPr>
        <w:t>otros</w:t>
      </w:r>
      <w:r>
        <w:rPr>
          <w:i/>
          <w:spacing w:val="18"/>
          <w:sz w:val="16"/>
        </w:rPr>
        <w:t> </w:t>
      </w:r>
      <w:r>
        <w:rPr>
          <w:i/>
          <w:sz w:val="16"/>
        </w:rPr>
        <w:t>(“Cesantes</w:t>
      </w:r>
      <w:r>
        <w:rPr>
          <w:i/>
          <w:spacing w:val="18"/>
          <w:sz w:val="16"/>
        </w:rPr>
        <w:t> </w:t>
      </w:r>
      <w:r>
        <w:rPr>
          <w:i/>
          <w:sz w:val="16"/>
        </w:rPr>
        <w:t>y</w:t>
      </w:r>
      <w:r>
        <w:rPr>
          <w:i/>
          <w:spacing w:val="19"/>
          <w:sz w:val="16"/>
        </w:rPr>
        <w:t> </w:t>
      </w:r>
      <w:r>
        <w:rPr>
          <w:i/>
          <w:sz w:val="16"/>
        </w:rPr>
        <w:t>Jubilados</w:t>
      </w:r>
      <w:r>
        <w:rPr>
          <w:i/>
          <w:spacing w:val="18"/>
          <w:sz w:val="16"/>
        </w:rPr>
        <w:t> </w:t>
      </w:r>
      <w:r>
        <w:rPr>
          <w:i/>
          <w:sz w:val="16"/>
        </w:rPr>
        <w:t>de</w:t>
      </w:r>
      <w:r>
        <w:rPr>
          <w:i/>
          <w:spacing w:val="18"/>
          <w:sz w:val="16"/>
        </w:rPr>
        <w:t> </w:t>
      </w:r>
      <w:r>
        <w:rPr>
          <w:i/>
          <w:sz w:val="16"/>
        </w:rPr>
        <w:t>la</w:t>
      </w:r>
      <w:r>
        <w:rPr>
          <w:i/>
          <w:spacing w:val="17"/>
          <w:sz w:val="16"/>
        </w:rPr>
        <w:t> </w:t>
      </w:r>
      <w:r>
        <w:rPr>
          <w:i/>
          <w:sz w:val="16"/>
        </w:rPr>
        <w:t>Contraloría”)</w:t>
      </w:r>
      <w:r>
        <w:rPr>
          <w:i/>
          <w:spacing w:val="17"/>
          <w:sz w:val="16"/>
        </w:rPr>
        <w:t> </w:t>
      </w:r>
      <w:r>
        <w:rPr>
          <w:i/>
          <w:sz w:val="16"/>
        </w:rPr>
        <w:t>Vs.</w:t>
      </w:r>
      <w:r>
        <w:rPr>
          <w:i/>
          <w:spacing w:val="20"/>
          <w:sz w:val="16"/>
        </w:rPr>
        <w:t> </w:t>
      </w:r>
      <w:r>
        <w:rPr>
          <w:i/>
          <w:sz w:val="16"/>
        </w:rPr>
        <w:t>Perú.</w:t>
      </w:r>
      <w:r>
        <w:rPr>
          <w:i/>
          <w:spacing w:val="17"/>
          <w:sz w:val="16"/>
        </w:rPr>
        <w:t> </w:t>
      </w:r>
      <w:r>
        <w:rPr>
          <w:i/>
          <w:sz w:val="16"/>
        </w:rPr>
        <w:t>Excepción</w:t>
      </w:r>
      <w:r>
        <w:rPr>
          <w:i/>
          <w:w w:val="100"/>
          <w:sz w:val="16"/>
        </w:rPr>
        <w:t> </w:t>
      </w:r>
      <w:r>
        <w:rPr>
          <w:i/>
          <w:sz w:val="16"/>
        </w:rPr>
        <w:t>Preliminar, Fondo, Reparaciones y Costas. </w:t>
      </w:r>
      <w:r>
        <w:rPr>
          <w:sz w:val="16"/>
        </w:rPr>
        <w:t>Sentencia de 1 de julio de 2009. Serie C No. 198, párrs. 16, 17 y 97; </w:t>
      </w:r>
      <w:r>
        <w:rPr>
          <w:i/>
          <w:sz w:val="16"/>
        </w:rPr>
        <w:t>Caso Lagos del Campo Vs. Perú. Excepciones Preliminares, Fondo, Reparaciones y Costas. </w:t>
      </w:r>
      <w:r>
        <w:rPr>
          <w:sz w:val="16"/>
        </w:rPr>
        <w:t>Sentencia de 31</w:t>
      </w:r>
      <w:r>
        <w:rPr>
          <w:spacing w:val="-5"/>
          <w:sz w:val="16"/>
        </w:rPr>
        <w:t> </w:t>
      </w:r>
      <w:r>
        <w:rPr>
          <w:sz w:val="16"/>
        </w:rPr>
        <w:t>de</w:t>
      </w:r>
      <w:r>
        <w:rPr>
          <w:spacing w:val="-4"/>
          <w:sz w:val="16"/>
        </w:rPr>
        <w:t> </w:t>
      </w:r>
      <w:r>
        <w:rPr>
          <w:sz w:val="16"/>
        </w:rPr>
        <w:t>agosto</w:t>
      </w:r>
      <w:r>
        <w:rPr>
          <w:spacing w:val="-5"/>
          <w:sz w:val="16"/>
        </w:rPr>
        <w:t> </w:t>
      </w:r>
      <w:r>
        <w:rPr>
          <w:sz w:val="16"/>
        </w:rPr>
        <w:t>de</w:t>
      </w:r>
      <w:r>
        <w:rPr>
          <w:spacing w:val="-6"/>
          <w:sz w:val="16"/>
        </w:rPr>
        <w:t> </w:t>
      </w:r>
      <w:r>
        <w:rPr>
          <w:sz w:val="16"/>
        </w:rPr>
        <w:t>2017.</w:t>
      </w:r>
      <w:r>
        <w:rPr>
          <w:spacing w:val="-5"/>
          <w:sz w:val="16"/>
        </w:rPr>
        <w:t> </w:t>
      </w:r>
      <w:r>
        <w:rPr>
          <w:sz w:val="16"/>
        </w:rPr>
        <w:t>Serie</w:t>
      </w:r>
      <w:r>
        <w:rPr>
          <w:spacing w:val="-6"/>
          <w:sz w:val="16"/>
        </w:rPr>
        <w:t> </w:t>
      </w:r>
      <w:r>
        <w:rPr>
          <w:sz w:val="16"/>
        </w:rPr>
        <w:t>C</w:t>
      </w:r>
      <w:r>
        <w:rPr>
          <w:spacing w:val="-3"/>
          <w:sz w:val="16"/>
        </w:rPr>
        <w:t> </w:t>
      </w:r>
      <w:r>
        <w:rPr>
          <w:sz w:val="16"/>
        </w:rPr>
        <w:t>No.</w:t>
      </w:r>
      <w:r>
        <w:rPr>
          <w:spacing w:val="-5"/>
          <w:sz w:val="16"/>
        </w:rPr>
        <w:t> </w:t>
      </w:r>
      <w:r>
        <w:rPr>
          <w:sz w:val="16"/>
        </w:rPr>
        <w:t>340,</w:t>
      </w:r>
      <w:r>
        <w:rPr>
          <w:spacing w:val="-5"/>
          <w:sz w:val="16"/>
        </w:rPr>
        <w:t> </w:t>
      </w:r>
      <w:r>
        <w:rPr>
          <w:sz w:val="16"/>
        </w:rPr>
        <w:t>párr.</w:t>
      </w:r>
      <w:r>
        <w:rPr>
          <w:spacing w:val="-7"/>
          <w:sz w:val="16"/>
        </w:rPr>
        <w:t> </w:t>
      </w:r>
      <w:r>
        <w:rPr>
          <w:sz w:val="16"/>
        </w:rPr>
        <w:t>142;</w:t>
      </w:r>
      <w:r>
        <w:rPr>
          <w:spacing w:val="-1"/>
          <w:sz w:val="16"/>
        </w:rPr>
        <w:t> </w:t>
      </w:r>
      <w:r>
        <w:rPr>
          <w:i/>
          <w:sz w:val="16"/>
        </w:rPr>
        <w:t>Caso</w:t>
      </w:r>
      <w:r>
        <w:rPr>
          <w:i/>
          <w:spacing w:val="-3"/>
          <w:sz w:val="16"/>
        </w:rPr>
        <w:t> </w:t>
      </w:r>
      <w:r>
        <w:rPr>
          <w:i/>
          <w:sz w:val="16"/>
        </w:rPr>
        <w:t>Trabajadores</w:t>
      </w:r>
      <w:r>
        <w:rPr>
          <w:i/>
          <w:spacing w:val="-3"/>
          <w:sz w:val="16"/>
        </w:rPr>
        <w:t> </w:t>
      </w:r>
      <w:r>
        <w:rPr>
          <w:i/>
          <w:sz w:val="16"/>
        </w:rPr>
        <w:t>Cesados</w:t>
      </w:r>
      <w:r>
        <w:rPr>
          <w:i/>
          <w:spacing w:val="-4"/>
          <w:sz w:val="16"/>
        </w:rPr>
        <w:t> </w:t>
      </w:r>
      <w:r>
        <w:rPr>
          <w:i/>
          <w:sz w:val="16"/>
        </w:rPr>
        <w:t>de</w:t>
      </w:r>
      <w:r>
        <w:rPr>
          <w:i/>
          <w:spacing w:val="-4"/>
          <w:sz w:val="16"/>
        </w:rPr>
        <w:t> </w:t>
      </w:r>
      <w:r>
        <w:rPr>
          <w:i/>
          <w:sz w:val="16"/>
        </w:rPr>
        <w:t>Petroperú</w:t>
      </w:r>
      <w:r>
        <w:rPr>
          <w:i/>
          <w:spacing w:val="-5"/>
          <w:sz w:val="16"/>
        </w:rPr>
        <w:t> </w:t>
      </w:r>
      <w:r>
        <w:rPr>
          <w:i/>
          <w:sz w:val="16"/>
        </w:rPr>
        <w:t>y</w:t>
      </w:r>
      <w:r>
        <w:rPr>
          <w:i/>
          <w:spacing w:val="-3"/>
          <w:sz w:val="16"/>
        </w:rPr>
        <w:t> </w:t>
      </w:r>
      <w:r>
        <w:rPr>
          <w:i/>
          <w:sz w:val="16"/>
        </w:rPr>
        <w:t>otros</w:t>
      </w:r>
      <w:r>
        <w:rPr>
          <w:i/>
          <w:spacing w:val="-3"/>
          <w:sz w:val="16"/>
        </w:rPr>
        <w:t> </w:t>
      </w:r>
      <w:r>
        <w:rPr>
          <w:i/>
          <w:sz w:val="16"/>
        </w:rPr>
        <w:t>Vs.</w:t>
      </w:r>
      <w:r>
        <w:rPr>
          <w:i/>
          <w:spacing w:val="-4"/>
          <w:sz w:val="16"/>
        </w:rPr>
        <w:t> </w:t>
      </w:r>
      <w:r>
        <w:rPr>
          <w:i/>
          <w:sz w:val="16"/>
        </w:rPr>
        <w:t>Perú. </w:t>
      </w:r>
      <w:r>
        <w:rPr>
          <w:i/>
          <w:sz w:val="16"/>
        </w:rPr>
        <w:t>Excepciones</w:t>
      </w:r>
      <w:r>
        <w:rPr>
          <w:i/>
          <w:spacing w:val="-5"/>
          <w:sz w:val="16"/>
        </w:rPr>
        <w:t> </w:t>
      </w:r>
      <w:r>
        <w:rPr>
          <w:i/>
          <w:sz w:val="16"/>
        </w:rPr>
        <w:t>Preliminares,</w:t>
      </w:r>
      <w:r>
        <w:rPr>
          <w:i/>
          <w:spacing w:val="-5"/>
          <w:sz w:val="16"/>
        </w:rPr>
        <w:t> </w:t>
      </w:r>
      <w:r>
        <w:rPr>
          <w:i/>
          <w:sz w:val="16"/>
        </w:rPr>
        <w:t>Fondo,</w:t>
      </w:r>
      <w:r>
        <w:rPr>
          <w:i/>
          <w:spacing w:val="-6"/>
          <w:sz w:val="16"/>
        </w:rPr>
        <w:t> </w:t>
      </w:r>
      <w:r>
        <w:rPr>
          <w:i/>
          <w:sz w:val="16"/>
        </w:rPr>
        <w:t>Reparaciones</w:t>
      </w:r>
      <w:r>
        <w:rPr>
          <w:i/>
          <w:spacing w:val="-5"/>
          <w:sz w:val="16"/>
        </w:rPr>
        <w:t> </w:t>
      </w:r>
      <w:r>
        <w:rPr>
          <w:i/>
          <w:sz w:val="16"/>
        </w:rPr>
        <w:t>y</w:t>
      </w:r>
      <w:r>
        <w:rPr>
          <w:i/>
          <w:spacing w:val="-4"/>
          <w:sz w:val="16"/>
        </w:rPr>
        <w:t> </w:t>
      </w:r>
      <w:r>
        <w:rPr>
          <w:i/>
          <w:sz w:val="16"/>
        </w:rPr>
        <w:t>Costas. </w:t>
      </w:r>
      <w:r>
        <w:rPr>
          <w:sz w:val="16"/>
        </w:rPr>
        <w:t>Sentencia</w:t>
      </w:r>
      <w:r>
        <w:rPr>
          <w:spacing w:val="-4"/>
          <w:sz w:val="16"/>
        </w:rPr>
        <w:t> </w:t>
      </w:r>
      <w:r>
        <w:rPr>
          <w:sz w:val="16"/>
        </w:rPr>
        <w:t>de</w:t>
      </w:r>
      <w:r>
        <w:rPr>
          <w:spacing w:val="-5"/>
          <w:sz w:val="16"/>
        </w:rPr>
        <w:t> </w:t>
      </w:r>
      <w:r>
        <w:rPr>
          <w:sz w:val="16"/>
        </w:rPr>
        <w:t>23</w:t>
      </w:r>
      <w:r>
        <w:rPr>
          <w:spacing w:val="-4"/>
          <w:sz w:val="16"/>
        </w:rPr>
        <w:t> </w:t>
      </w:r>
      <w:r>
        <w:rPr>
          <w:sz w:val="16"/>
        </w:rPr>
        <w:t>de</w:t>
      </w:r>
      <w:r>
        <w:rPr>
          <w:spacing w:val="-5"/>
          <w:sz w:val="16"/>
        </w:rPr>
        <w:t> </w:t>
      </w:r>
      <w:r>
        <w:rPr>
          <w:sz w:val="16"/>
        </w:rPr>
        <w:t>noviembre</w:t>
      </w:r>
      <w:r>
        <w:rPr>
          <w:spacing w:val="-5"/>
          <w:sz w:val="16"/>
        </w:rPr>
        <w:t> </w:t>
      </w:r>
      <w:r>
        <w:rPr>
          <w:sz w:val="16"/>
        </w:rPr>
        <w:t>de</w:t>
      </w:r>
      <w:r>
        <w:rPr>
          <w:spacing w:val="-2"/>
          <w:sz w:val="16"/>
        </w:rPr>
        <w:t> </w:t>
      </w:r>
      <w:r>
        <w:rPr>
          <w:sz w:val="16"/>
        </w:rPr>
        <w:t>2017.</w:t>
      </w:r>
      <w:r>
        <w:rPr>
          <w:spacing w:val="-6"/>
          <w:sz w:val="16"/>
        </w:rPr>
        <w:t> </w:t>
      </w:r>
      <w:r>
        <w:rPr>
          <w:sz w:val="16"/>
        </w:rPr>
        <w:t>Serie</w:t>
      </w:r>
      <w:r>
        <w:rPr>
          <w:spacing w:val="-2"/>
          <w:sz w:val="16"/>
        </w:rPr>
        <w:t> </w:t>
      </w:r>
      <w:r>
        <w:rPr>
          <w:sz w:val="16"/>
        </w:rPr>
        <w:t>C</w:t>
      </w:r>
      <w:r>
        <w:rPr>
          <w:spacing w:val="-4"/>
          <w:sz w:val="16"/>
        </w:rPr>
        <w:t> </w:t>
      </w:r>
      <w:r>
        <w:rPr>
          <w:sz w:val="16"/>
        </w:rPr>
        <w:t>No. 344, párr. 192</w:t>
      </w:r>
      <w:r>
        <w:rPr>
          <w:i/>
          <w:sz w:val="16"/>
        </w:rPr>
        <w:t>; Caso San Miguel Sosa y otras Vs. Venezuela. Fondo, Reparaciones y Costas. </w:t>
      </w:r>
      <w:r>
        <w:rPr>
          <w:sz w:val="16"/>
        </w:rPr>
        <w:t>Sentencia de 8 de febrero de 2018. Serie C No. 348, párr. 220; </w:t>
      </w:r>
      <w:r>
        <w:rPr>
          <w:i/>
          <w:sz w:val="16"/>
        </w:rPr>
        <w:t>Caso Poblete Vilches y otros Vs. Chile. Fondo, Reparaciones  </w:t>
      </w:r>
      <w:r>
        <w:rPr>
          <w:i/>
          <w:sz w:val="16"/>
        </w:rPr>
        <w:t>y Costas</w:t>
      </w:r>
      <w:r>
        <w:rPr>
          <w:sz w:val="16"/>
        </w:rPr>
        <w:t>. Sentencia de 8 de marzo de 2018. Serie C No. 349, párr. 100; C</w:t>
      </w:r>
      <w:r>
        <w:rPr>
          <w:i/>
          <w:sz w:val="16"/>
        </w:rPr>
        <w:t>aso Cuscul Pivaral y otros Vs. </w:t>
      </w:r>
      <w:r>
        <w:rPr>
          <w:i/>
          <w:sz w:val="16"/>
        </w:rPr>
        <w:t>Guatemala.</w:t>
      </w:r>
      <w:r>
        <w:rPr>
          <w:i/>
          <w:spacing w:val="-1"/>
          <w:sz w:val="16"/>
        </w:rPr>
        <w:t> </w:t>
      </w:r>
      <w:r>
        <w:rPr>
          <w:i/>
          <w:sz w:val="16"/>
        </w:rPr>
        <w:t>Excepción</w:t>
      </w:r>
      <w:r>
        <w:rPr>
          <w:i/>
          <w:spacing w:val="-4"/>
          <w:sz w:val="16"/>
        </w:rPr>
        <w:t> </w:t>
      </w:r>
      <w:r>
        <w:rPr>
          <w:i/>
          <w:sz w:val="16"/>
        </w:rPr>
        <w:t>Preliminar,</w:t>
      </w:r>
      <w:r>
        <w:rPr>
          <w:i/>
          <w:spacing w:val="-4"/>
          <w:sz w:val="16"/>
        </w:rPr>
        <w:t> </w:t>
      </w:r>
      <w:r>
        <w:rPr>
          <w:i/>
          <w:sz w:val="16"/>
        </w:rPr>
        <w:t>Fondo,</w:t>
      </w:r>
      <w:r>
        <w:rPr>
          <w:i/>
          <w:spacing w:val="-2"/>
          <w:sz w:val="16"/>
        </w:rPr>
        <w:t> </w:t>
      </w:r>
      <w:r>
        <w:rPr>
          <w:i/>
          <w:sz w:val="16"/>
        </w:rPr>
        <w:t>Reparaciones</w:t>
      </w:r>
      <w:r>
        <w:rPr>
          <w:i/>
          <w:spacing w:val="-5"/>
          <w:sz w:val="16"/>
        </w:rPr>
        <w:t> </w:t>
      </w:r>
      <w:r>
        <w:rPr>
          <w:i/>
          <w:sz w:val="16"/>
        </w:rPr>
        <w:t>y</w:t>
      </w:r>
      <w:r>
        <w:rPr>
          <w:i/>
          <w:spacing w:val="-2"/>
          <w:sz w:val="16"/>
        </w:rPr>
        <w:t> </w:t>
      </w:r>
      <w:r>
        <w:rPr>
          <w:i/>
          <w:sz w:val="16"/>
        </w:rPr>
        <w:t>Costas.</w:t>
      </w:r>
      <w:r>
        <w:rPr>
          <w:i/>
          <w:spacing w:val="-2"/>
          <w:sz w:val="16"/>
        </w:rPr>
        <w:t> </w:t>
      </w:r>
      <w:r>
        <w:rPr>
          <w:sz w:val="16"/>
        </w:rPr>
        <w:t>Sentencia</w:t>
      </w:r>
      <w:r>
        <w:rPr>
          <w:spacing w:val="-4"/>
          <w:sz w:val="16"/>
        </w:rPr>
        <w:t> </w:t>
      </w:r>
      <w:r>
        <w:rPr>
          <w:sz w:val="16"/>
        </w:rPr>
        <w:t>de</w:t>
      </w:r>
      <w:r>
        <w:rPr>
          <w:spacing w:val="-5"/>
          <w:sz w:val="16"/>
        </w:rPr>
        <w:t> </w:t>
      </w:r>
      <w:r>
        <w:rPr>
          <w:sz w:val="16"/>
        </w:rPr>
        <w:t>23</w:t>
      </w:r>
      <w:r>
        <w:rPr>
          <w:spacing w:val="-2"/>
          <w:sz w:val="16"/>
        </w:rPr>
        <w:t> </w:t>
      </w:r>
      <w:r>
        <w:rPr>
          <w:sz w:val="16"/>
        </w:rPr>
        <w:t>de</w:t>
      </w:r>
      <w:r>
        <w:rPr>
          <w:spacing w:val="-3"/>
          <w:sz w:val="16"/>
        </w:rPr>
        <w:t> </w:t>
      </w:r>
      <w:r>
        <w:rPr>
          <w:sz w:val="16"/>
        </w:rPr>
        <w:t>agosto</w:t>
      </w:r>
      <w:r>
        <w:rPr>
          <w:spacing w:val="-2"/>
          <w:sz w:val="16"/>
        </w:rPr>
        <w:t> </w:t>
      </w:r>
      <w:r>
        <w:rPr>
          <w:sz w:val="16"/>
        </w:rPr>
        <w:t>de</w:t>
      </w:r>
      <w:r>
        <w:rPr>
          <w:spacing w:val="-5"/>
          <w:sz w:val="16"/>
        </w:rPr>
        <w:t> </w:t>
      </w:r>
      <w:r>
        <w:rPr>
          <w:sz w:val="16"/>
        </w:rPr>
        <w:t>2018.</w:t>
      </w:r>
      <w:r>
        <w:rPr>
          <w:spacing w:val="-4"/>
          <w:sz w:val="16"/>
        </w:rPr>
        <w:t> </w:t>
      </w:r>
      <w:r>
        <w:rPr>
          <w:sz w:val="16"/>
        </w:rPr>
        <w:t>Serie</w:t>
      </w:r>
      <w:r>
        <w:rPr>
          <w:spacing w:val="-5"/>
          <w:sz w:val="16"/>
        </w:rPr>
        <w:t> </w:t>
      </w:r>
      <w:r>
        <w:rPr>
          <w:sz w:val="16"/>
        </w:rPr>
        <w:t>C No. 359, párr. 97; </w:t>
      </w:r>
      <w:r>
        <w:rPr>
          <w:i/>
          <w:sz w:val="16"/>
        </w:rPr>
        <w:t>Caso Muelle Flores Vs. Perú. Excepciones Preliminares, Fondo, Reparaciones y Costas. </w:t>
      </w:r>
      <w:r>
        <w:rPr>
          <w:sz w:val="16"/>
        </w:rPr>
        <w:t>Sentencia de 6 de marzo de 2019. Serie C No. 375, párrs. 170 a 208; </w:t>
      </w:r>
      <w:r>
        <w:rPr>
          <w:i/>
          <w:sz w:val="16"/>
        </w:rPr>
        <w:t>Caso Asociación Nacional de Cesantes </w:t>
      </w:r>
      <w:r>
        <w:rPr>
          <w:i/>
          <w:sz w:val="16"/>
        </w:rPr>
        <w:t>y Jubilados de la Superintendencia Nacional de Administración Tributaria (ANCEJUB-SUNAT) Vs. Perú. Excepciones</w:t>
      </w:r>
      <w:r>
        <w:rPr>
          <w:i/>
          <w:spacing w:val="-5"/>
          <w:sz w:val="16"/>
        </w:rPr>
        <w:t> </w:t>
      </w:r>
      <w:r>
        <w:rPr>
          <w:i/>
          <w:sz w:val="16"/>
        </w:rPr>
        <w:t>Preliminares,</w:t>
      </w:r>
      <w:r>
        <w:rPr>
          <w:i/>
          <w:spacing w:val="-5"/>
          <w:sz w:val="16"/>
        </w:rPr>
        <w:t> </w:t>
      </w:r>
      <w:r>
        <w:rPr>
          <w:i/>
          <w:sz w:val="16"/>
        </w:rPr>
        <w:t>Fondo,</w:t>
      </w:r>
      <w:r>
        <w:rPr>
          <w:i/>
          <w:spacing w:val="-6"/>
          <w:sz w:val="16"/>
        </w:rPr>
        <w:t> </w:t>
      </w:r>
      <w:r>
        <w:rPr>
          <w:i/>
          <w:sz w:val="16"/>
        </w:rPr>
        <w:t>Reparaciones</w:t>
      </w:r>
      <w:r>
        <w:rPr>
          <w:i/>
          <w:spacing w:val="-5"/>
          <w:sz w:val="16"/>
        </w:rPr>
        <w:t> </w:t>
      </w:r>
      <w:r>
        <w:rPr>
          <w:i/>
          <w:sz w:val="16"/>
        </w:rPr>
        <w:t>y</w:t>
      </w:r>
      <w:r>
        <w:rPr>
          <w:i/>
          <w:spacing w:val="-4"/>
          <w:sz w:val="16"/>
        </w:rPr>
        <w:t> </w:t>
      </w:r>
      <w:r>
        <w:rPr>
          <w:i/>
          <w:sz w:val="16"/>
        </w:rPr>
        <w:t>Costas. </w:t>
      </w:r>
      <w:r>
        <w:rPr>
          <w:sz w:val="16"/>
        </w:rPr>
        <w:t>Sentencia</w:t>
      </w:r>
      <w:r>
        <w:rPr>
          <w:spacing w:val="-4"/>
          <w:sz w:val="16"/>
        </w:rPr>
        <w:t> </w:t>
      </w:r>
      <w:r>
        <w:rPr>
          <w:sz w:val="16"/>
        </w:rPr>
        <w:t>de</w:t>
      </w:r>
      <w:r>
        <w:rPr>
          <w:spacing w:val="-5"/>
          <w:sz w:val="16"/>
        </w:rPr>
        <w:t> </w:t>
      </w:r>
      <w:r>
        <w:rPr>
          <w:sz w:val="16"/>
        </w:rPr>
        <w:t>21</w:t>
      </w:r>
      <w:r>
        <w:rPr>
          <w:spacing w:val="-4"/>
          <w:sz w:val="16"/>
        </w:rPr>
        <w:t> </w:t>
      </w:r>
      <w:r>
        <w:rPr>
          <w:sz w:val="16"/>
        </w:rPr>
        <w:t>de</w:t>
      </w:r>
      <w:r>
        <w:rPr>
          <w:spacing w:val="-5"/>
          <w:sz w:val="16"/>
        </w:rPr>
        <w:t> </w:t>
      </w:r>
      <w:r>
        <w:rPr>
          <w:sz w:val="16"/>
        </w:rPr>
        <w:t>noviembre</w:t>
      </w:r>
      <w:r>
        <w:rPr>
          <w:spacing w:val="-5"/>
          <w:sz w:val="16"/>
        </w:rPr>
        <w:t> </w:t>
      </w:r>
      <w:r>
        <w:rPr>
          <w:sz w:val="16"/>
        </w:rPr>
        <w:t>de</w:t>
      </w:r>
      <w:r>
        <w:rPr>
          <w:spacing w:val="-2"/>
          <w:sz w:val="16"/>
        </w:rPr>
        <w:t> </w:t>
      </w:r>
      <w:r>
        <w:rPr>
          <w:sz w:val="16"/>
        </w:rPr>
        <w:t>2019.</w:t>
      </w:r>
      <w:r>
        <w:rPr>
          <w:spacing w:val="-6"/>
          <w:sz w:val="16"/>
        </w:rPr>
        <w:t> </w:t>
      </w:r>
      <w:r>
        <w:rPr>
          <w:sz w:val="16"/>
        </w:rPr>
        <w:t>Serie</w:t>
      </w:r>
      <w:r>
        <w:rPr>
          <w:spacing w:val="-2"/>
          <w:sz w:val="16"/>
        </w:rPr>
        <w:t> </w:t>
      </w:r>
      <w:r>
        <w:rPr>
          <w:sz w:val="16"/>
        </w:rPr>
        <w:t>C</w:t>
      </w:r>
      <w:r>
        <w:rPr>
          <w:spacing w:val="-4"/>
          <w:sz w:val="16"/>
        </w:rPr>
        <w:t> </w:t>
      </w:r>
      <w:r>
        <w:rPr>
          <w:sz w:val="16"/>
        </w:rPr>
        <w:t>No. 394, párr. 155, y </w:t>
      </w:r>
      <w:r>
        <w:rPr>
          <w:i/>
          <w:sz w:val="16"/>
        </w:rPr>
        <w:t>Caso Hernández Vs. Argentina. Excepción Preliminar, Fondo, Reparaciones y Costas. </w:t>
      </w:r>
      <w:r>
        <w:rPr>
          <w:sz w:val="16"/>
        </w:rPr>
        <w:t>Sentencia de 22 de noviembre de 2019. Serie C No. 395, párr.</w:t>
      </w:r>
      <w:r>
        <w:rPr>
          <w:spacing w:val="-22"/>
          <w:sz w:val="16"/>
        </w:rPr>
        <w:t> </w:t>
      </w:r>
      <w:r>
        <w:rPr>
          <w:sz w:val="16"/>
        </w:rPr>
        <w:t>54.</w:t>
      </w:r>
    </w:p>
    <w:p>
      <w:pPr>
        <w:pStyle w:val="BodyText"/>
        <w:spacing w:before="1"/>
        <w:rPr>
          <w:sz w:val="16"/>
        </w:rPr>
      </w:pPr>
    </w:p>
    <w:p>
      <w:pPr>
        <w:tabs>
          <w:tab w:pos="829" w:val="left" w:leader="none"/>
        </w:tabs>
        <w:spacing w:before="0"/>
        <w:ind w:left="122" w:right="0" w:firstLine="0"/>
        <w:jc w:val="both"/>
        <w:rPr>
          <w:sz w:val="16"/>
        </w:rPr>
      </w:pPr>
      <w:r>
        <w:rPr>
          <w:position w:val="6"/>
          <w:sz w:val="10"/>
        </w:rPr>
        <w:t>180</w:t>
        <w:tab/>
      </w:r>
      <w:r>
        <w:rPr>
          <w:i/>
          <w:sz w:val="16"/>
        </w:rPr>
        <w:t>Cfr</w:t>
      </w:r>
      <w:r>
        <w:rPr>
          <w:sz w:val="16"/>
        </w:rPr>
        <w:t>. </w:t>
      </w:r>
      <w:r>
        <w:rPr>
          <w:i/>
          <w:sz w:val="16"/>
        </w:rPr>
        <w:t>Caso Lagos del Campo Vs. Perú</w:t>
      </w:r>
      <w:r>
        <w:rPr>
          <w:sz w:val="16"/>
        </w:rPr>
        <w:t>, párr. 144, y </w:t>
      </w:r>
      <w:r>
        <w:rPr>
          <w:i/>
          <w:sz w:val="16"/>
        </w:rPr>
        <w:t>Caso Hernández Vs. Argentina</w:t>
      </w:r>
      <w:r>
        <w:rPr>
          <w:sz w:val="16"/>
        </w:rPr>
        <w:t>, párr.</w:t>
      </w:r>
      <w:r>
        <w:rPr>
          <w:spacing w:val="-31"/>
          <w:sz w:val="16"/>
        </w:rPr>
        <w:t> </w:t>
      </w:r>
      <w:r>
        <w:rPr>
          <w:sz w:val="16"/>
        </w:rPr>
        <w:t>62.</w:t>
      </w:r>
    </w:p>
    <w:p>
      <w:pPr>
        <w:spacing w:after="0"/>
        <w:jc w:val="both"/>
        <w:rPr>
          <w:sz w:val="16"/>
        </w:rPr>
        <w:sectPr>
          <w:pgSz w:w="12240" w:h="15840"/>
          <w:pgMar w:header="0" w:footer="1000" w:top="1500" w:bottom="1200" w:left="1580" w:right="1580"/>
        </w:sectPr>
      </w:pPr>
    </w:p>
    <w:p>
      <w:pPr>
        <w:pStyle w:val="BodyText"/>
        <w:spacing w:before="76"/>
        <w:ind w:left="122" w:right="122"/>
        <w:jc w:val="both"/>
      </w:pPr>
      <w:r>
        <w:rPr/>
        <w:t>y</w:t>
      </w:r>
      <w:r>
        <w:rPr>
          <w:spacing w:val="-13"/>
        </w:rPr>
        <w:t> </w:t>
      </w:r>
      <w:r>
        <w:rPr/>
        <w:t>cultura</w:t>
      </w:r>
      <w:r>
        <w:rPr>
          <w:spacing w:val="-10"/>
        </w:rPr>
        <w:t> </w:t>
      </w:r>
      <w:r>
        <w:rPr/>
        <w:t>contenidas</w:t>
      </w:r>
      <w:r>
        <w:rPr>
          <w:spacing w:val="-11"/>
        </w:rPr>
        <w:t> </w:t>
      </w:r>
      <w:r>
        <w:rPr/>
        <w:t>en</w:t>
      </w:r>
      <w:r>
        <w:rPr>
          <w:spacing w:val="-12"/>
        </w:rPr>
        <w:t> </w:t>
      </w:r>
      <w:r>
        <w:rPr/>
        <w:t>la</w:t>
      </w:r>
      <w:r>
        <w:rPr>
          <w:spacing w:val="-12"/>
        </w:rPr>
        <w:t> </w:t>
      </w:r>
      <w:r>
        <w:rPr/>
        <w:t>Carta</w:t>
      </w:r>
      <w:r>
        <w:rPr>
          <w:spacing w:val="-10"/>
        </w:rPr>
        <w:t> </w:t>
      </w:r>
      <w:r>
        <w:rPr/>
        <w:t>de</w:t>
      </w:r>
      <w:r>
        <w:rPr>
          <w:spacing w:val="-12"/>
        </w:rPr>
        <w:t> </w:t>
      </w:r>
      <w:r>
        <w:rPr/>
        <w:t>la</w:t>
      </w:r>
      <w:r>
        <w:rPr>
          <w:spacing w:val="-10"/>
        </w:rPr>
        <w:t> </w:t>
      </w:r>
      <w:r>
        <w:rPr/>
        <w:t>OEA”</w:t>
      </w:r>
      <w:r>
        <w:rPr>
          <w:position w:val="7"/>
          <w:sz w:val="13"/>
        </w:rPr>
        <w:t>181</w:t>
      </w:r>
      <w:r>
        <w:rPr/>
        <w:t>.</w:t>
      </w:r>
      <w:r>
        <w:rPr>
          <w:spacing w:val="-13"/>
        </w:rPr>
        <w:t> </w:t>
      </w:r>
      <w:r>
        <w:rPr/>
        <w:t>En</w:t>
      </w:r>
      <w:r>
        <w:rPr>
          <w:spacing w:val="-12"/>
        </w:rPr>
        <w:t> </w:t>
      </w:r>
      <w:r>
        <w:rPr/>
        <w:t>base</w:t>
      </w:r>
      <w:r>
        <w:rPr>
          <w:spacing w:val="-12"/>
        </w:rPr>
        <w:t> </w:t>
      </w:r>
      <w:r>
        <w:rPr/>
        <w:t>a</w:t>
      </w:r>
      <w:r>
        <w:rPr>
          <w:spacing w:val="-12"/>
        </w:rPr>
        <w:t> </w:t>
      </w:r>
      <w:r>
        <w:rPr/>
        <w:t>lo</w:t>
      </w:r>
      <w:r>
        <w:rPr>
          <w:spacing w:val="-14"/>
        </w:rPr>
        <w:t> </w:t>
      </w:r>
      <w:r>
        <w:rPr/>
        <w:t>anterior,</w:t>
      </w:r>
      <w:r>
        <w:rPr>
          <w:spacing w:val="-11"/>
        </w:rPr>
        <w:t> </w:t>
      </w:r>
      <w:r>
        <w:rPr/>
        <w:t>estando</w:t>
      </w:r>
      <w:r>
        <w:rPr>
          <w:spacing w:val="-11"/>
        </w:rPr>
        <w:t> </w:t>
      </w:r>
      <w:r>
        <w:rPr/>
        <w:t>establecido que</w:t>
      </w:r>
      <w:r>
        <w:rPr>
          <w:spacing w:val="-19"/>
        </w:rPr>
        <w:t> </w:t>
      </w:r>
      <w:r>
        <w:rPr/>
        <w:t>un</w:t>
      </w:r>
      <w:r>
        <w:rPr>
          <w:spacing w:val="-17"/>
        </w:rPr>
        <w:t> </w:t>
      </w:r>
      <w:r>
        <w:rPr/>
        <w:t>derecho</w:t>
      </w:r>
      <w:r>
        <w:rPr>
          <w:spacing w:val="-19"/>
        </w:rPr>
        <w:t> </w:t>
      </w:r>
      <w:r>
        <w:rPr/>
        <w:t>debe</w:t>
      </w:r>
      <w:r>
        <w:rPr>
          <w:spacing w:val="-16"/>
        </w:rPr>
        <w:t> </w:t>
      </w:r>
      <w:r>
        <w:rPr/>
        <w:t>entenderse</w:t>
      </w:r>
      <w:r>
        <w:rPr>
          <w:spacing w:val="-17"/>
        </w:rPr>
        <w:t> </w:t>
      </w:r>
      <w:r>
        <w:rPr/>
        <w:t>incluido</w:t>
      </w:r>
      <w:r>
        <w:rPr>
          <w:spacing w:val="-19"/>
        </w:rPr>
        <w:t> </w:t>
      </w:r>
      <w:r>
        <w:rPr/>
        <w:t>en</w:t>
      </w:r>
      <w:r>
        <w:rPr>
          <w:spacing w:val="-14"/>
        </w:rPr>
        <w:t> </w:t>
      </w:r>
      <w:r>
        <w:rPr/>
        <w:t>el</w:t>
      </w:r>
      <w:r>
        <w:rPr>
          <w:spacing w:val="-17"/>
        </w:rPr>
        <w:t> </w:t>
      </w:r>
      <w:r>
        <w:rPr/>
        <w:t>artículo</w:t>
      </w:r>
      <w:r>
        <w:rPr>
          <w:spacing w:val="-19"/>
        </w:rPr>
        <w:t> </w:t>
      </w:r>
      <w:r>
        <w:rPr/>
        <w:t>26</w:t>
      </w:r>
      <w:r>
        <w:rPr>
          <w:spacing w:val="-17"/>
        </w:rPr>
        <w:t> </w:t>
      </w:r>
      <w:r>
        <w:rPr/>
        <w:t>de</w:t>
      </w:r>
      <w:r>
        <w:rPr>
          <w:spacing w:val="-19"/>
        </w:rPr>
        <w:t> </w:t>
      </w:r>
      <w:r>
        <w:rPr/>
        <w:t>la</w:t>
      </w:r>
      <w:r>
        <w:rPr>
          <w:spacing w:val="-17"/>
        </w:rPr>
        <w:t> </w:t>
      </w:r>
      <w:r>
        <w:rPr/>
        <w:t>Convención,</w:t>
      </w:r>
      <w:r>
        <w:rPr>
          <w:spacing w:val="-18"/>
        </w:rPr>
        <w:t> </w:t>
      </w:r>
      <w:r>
        <w:rPr/>
        <w:t>corresponde fijar sus alcances, a la luz del </w:t>
      </w:r>
      <w:r>
        <w:rPr>
          <w:i/>
        </w:rPr>
        <w:t>corpus iuris </w:t>
      </w:r>
      <w:r>
        <w:rPr/>
        <w:t>internacional en la materia</w:t>
      </w:r>
      <w:r>
        <w:rPr>
          <w:position w:val="7"/>
          <w:sz w:val="13"/>
        </w:rPr>
        <w:t>182</w:t>
      </w:r>
      <w:r>
        <w:rPr/>
        <w:t>. Es pertinente destacar que la Corte ha recordado</w:t>
      </w:r>
      <w:r>
        <w:rPr>
          <w:spacing w:val="-15"/>
        </w:rPr>
        <w:t> </w:t>
      </w:r>
      <w:r>
        <w:rPr/>
        <w:t>que</w:t>
      </w:r>
    </w:p>
    <w:p>
      <w:pPr>
        <w:pStyle w:val="BodyText"/>
        <w:spacing w:before="12"/>
        <w:rPr>
          <w:sz w:val="19"/>
        </w:rPr>
      </w:pPr>
    </w:p>
    <w:p>
      <w:pPr>
        <w:spacing w:before="0"/>
        <w:ind w:left="405" w:right="401" w:firstLine="0"/>
        <w:jc w:val="both"/>
        <w:rPr>
          <w:sz w:val="16"/>
        </w:rPr>
      </w:pPr>
      <w:r>
        <w:rPr>
          <w:sz w:val="16"/>
        </w:rPr>
        <w:t>la misma Convención hace expresa referencia a las normas del Derecho Internacional general para su interpretación y aplicación, específicamente a través del artículo 29, el cual prevé el principio </w:t>
      </w:r>
      <w:r>
        <w:rPr>
          <w:i/>
          <w:sz w:val="16"/>
        </w:rPr>
        <w:t>pro </w:t>
      </w:r>
      <w:r>
        <w:rPr>
          <w:i/>
          <w:sz w:val="16"/>
        </w:rPr>
        <w:t>persona</w:t>
      </w:r>
      <w:r>
        <w:rPr>
          <w:position w:val="6"/>
          <w:sz w:val="10"/>
        </w:rPr>
        <w:t>183</w:t>
      </w:r>
      <w:r>
        <w:rPr>
          <w:sz w:val="16"/>
        </w:rPr>
        <w:t>. De esta manera, como ha sido la práctica constante de este Tribunal</w:t>
      </w:r>
      <w:r>
        <w:rPr>
          <w:position w:val="6"/>
          <w:sz w:val="10"/>
        </w:rPr>
        <w:t>184</w:t>
      </w:r>
      <w:r>
        <w:rPr>
          <w:sz w:val="16"/>
        </w:rPr>
        <w:t>, al determinar la compatibilidad de las acciones y omisiones del Estado o de sus normas, con la propia Convención u otros tratados respecto de los cuales tiene competencia, la Corte puede interpretar las obligaciones y derechos en ellos contenidos a la luz de otros tratados y normas pertinentes</w:t>
      </w:r>
      <w:r>
        <w:rPr>
          <w:position w:val="6"/>
          <w:sz w:val="10"/>
        </w:rPr>
        <w:t>185</w:t>
      </w:r>
      <w:r>
        <w:rPr>
          <w:sz w:val="16"/>
        </w:rPr>
        <w:t>.</w:t>
      </w:r>
    </w:p>
    <w:p>
      <w:pPr>
        <w:pStyle w:val="BodyText"/>
        <w:spacing w:before="11"/>
        <w:rPr>
          <w:sz w:val="19"/>
        </w:rPr>
      </w:pPr>
    </w:p>
    <w:p>
      <w:pPr>
        <w:pStyle w:val="ListParagraph"/>
        <w:numPr>
          <w:ilvl w:val="0"/>
          <w:numId w:val="27"/>
        </w:numPr>
        <w:tabs>
          <w:tab w:pos="830" w:val="left" w:leader="none"/>
        </w:tabs>
        <w:spacing w:line="240" w:lineRule="auto" w:before="1" w:after="0"/>
        <w:ind w:left="830" w:right="0" w:hanging="708"/>
        <w:jc w:val="both"/>
        <w:rPr>
          <w:sz w:val="20"/>
        </w:rPr>
      </w:pPr>
      <w:r>
        <w:rPr>
          <w:sz w:val="20"/>
        </w:rPr>
        <w:t>La Corte ha afirmado, en el mismo sentido,</w:t>
      </w:r>
      <w:r>
        <w:rPr>
          <w:spacing w:val="-9"/>
          <w:sz w:val="20"/>
        </w:rPr>
        <w:t> </w:t>
      </w:r>
      <w:r>
        <w:rPr>
          <w:sz w:val="20"/>
        </w:rPr>
        <w:t>que:</w:t>
      </w:r>
    </w:p>
    <w:p>
      <w:pPr>
        <w:pStyle w:val="BodyText"/>
      </w:pPr>
    </w:p>
    <w:p>
      <w:pPr>
        <w:spacing w:before="0"/>
        <w:ind w:left="405" w:right="401" w:firstLine="0"/>
        <w:jc w:val="both"/>
        <w:rPr>
          <w:sz w:val="16"/>
        </w:rPr>
      </w:pPr>
      <w:r>
        <w:rPr>
          <w:sz w:val="16"/>
        </w:rPr>
        <w:t>los</w:t>
      </w:r>
      <w:r>
        <w:rPr>
          <w:spacing w:val="-6"/>
          <w:sz w:val="16"/>
        </w:rPr>
        <w:t> </w:t>
      </w:r>
      <w:r>
        <w:rPr>
          <w:sz w:val="16"/>
        </w:rPr>
        <w:t>tratados</w:t>
      </w:r>
      <w:r>
        <w:rPr>
          <w:spacing w:val="-6"/>
          <w:sz w:val="16"/>
        </w:rPr>
        <w:t> </w:t>
      </w:r>
      <w:r>
        <w:rPr>
          <w:sz w:val="16"/>
        </w:rPr>
        <w:t>de</w:t>
      </w:r>
      <w:r>
        <w:rPr>
          <w:spacing w:val="-8"/>
          <w:sz w:val="16"/>
        </w:rPr>
        <w:t> </w:t>
      </w:r>
      <w:r>
        <w:rPr>
          <w:sz w:val="16"/>
        </w:rPr>
        <w:t>derechos</w:t>
      </w:r>
      <w:r>
        <w:rPr>
          <w:spacing w:val="-6"/>
          <w:sz w:val="16"/>
        </w:rPr>
        <w:t> </w:t>
      </w:r>
      <w:r>
        <w:rPr>
          <w:sz w:val="16"/>
        </w:rPr>
        <w:t>humanos</w:t>
      </w:r>
      <w:r>
        <w:rPr>
          <w:spacing w:val="-6"/>
          <w:sz w:val="16"/>
        </w:rPr>
        <w:t> </w:t>
      </w:r>
      <w:r>
        <w:rPr>
          <w:sz w:val="16"/>
        </w:rPr>
        <w:t>son</w:t>
      </w:r>
      <w:r>
        <w:rPr>
          <w:spacing w:val="-7"/>
          <w:sz w:val="16"/>
        </w:rPr>
        <w:t> </w:t>
      </w:r>
      <w:r>
        <w:rPr>
          <w:sz w:val="16"/>
        </w:rPr>
        <w:t>instrumentos</w:t>
      </w:r>
      <w:r>
        <w:rPr>
          <w:spacing w:val="-6"/>
          <w:sz w:val="16"/>
        </w:rPr>
        <w:t> </w:t>
      </w:r>
      <w:r>
        <w:rPr>
          <w:sz w:val="16"/>
        </w:rPr>
        <w:t>vivos,</w:t>
      </w:r>
      <w:r>
        <w:rPr>
          <w:spacing w:val="-9"/>
          <w:sz w:val="16"/>
        </w:rPr>
        <w:t> </w:t>
      </w:r>
      <w:r>
        <w:rPr>
          <w:sz w:val="16"/>
        </w:rPr>
        <w:t>cuya</w:t>
      </w:r>
      <w:r>
        <w:rPr>
          <w:spacing w:val="-7"/>
          <w:sz w:val="16"/>
        </w:rPr>
        <w:t> </w:t>
      </w:r>
      <w:r>
        <w:rPr>
          <w:sz w:val="16"/>
        </w:rPr>
        <w:t>interpretación</w:t>
      </w:r>
      <w:r>
        <w:rPr>
          <w:spacing w:val="-7"/>
          <w:sz w:val="16"/>
        </w:rPr>
        <w:t> </w:t>
      </w:r>
      <w:r>
        <w:rPr>
          <w:sz w:val="16"/>
        </w:rPr>
        <w:t>tiene</w:t>
      </w:r>
      <w:r>
        <w:rPr>
          <w:spacing w:val="-6"/>
          <w:sz w:val="16"/>
        </w:rPr>
        <w:t> </w:t>
      </w:r>
      <w:r>
        <w:rPr>
          <w:sz w:val="16"/>
        </w:rPr>
        <w:t>que</w:t>
      </w:r>
      <w:r>
        <w:rPr>
          <w:spacing w:val="-8"/>
          <w:sz w:val="16"/>
        </w:rPr>
        <w:t> </w:t>
      </w:r>
      <w:r>
        <w:rPr>
          <w:sz w:val="16"/>
        </w:rPr>
        <w:t>acompañar</w:t>
      </w:r>
      <w:r>
        <w:rPr>
          <w:spacing w:val="-5"/>
          <w:sz w:val="16"/>
        </w:rPr>
        <w:t> </w:t>
      </w:r>
      <w:r>
        <w:rPr>
          <w:sz w:val="16"/>
        </w:rPr>
        <w:t>la evolución</w:t>
      </w:r>
      <w:r>
        <w:rPr>
          <w:spacing w:val="-11"/>
          <w:sz w:val="16"/>
        </w:rPr>
        <w:t> </w:t>
      </w:r>
      <w:r>
        <w:rPr>
          <w:sz w:val="16"/>
        </w:rPr>
        <w:t>de</w:t>
      </w:r>
      <w:r>
        <w:rPr>
          <w:spacing w:val="-7"/>
          <w:sz w:val="16"/>
        </w:rPr>
        <w:t> </w:t>
      </w:r>
      <w:r>
        <w:rPr>
          <w:sz w:val="16"/>
        </w:rPr>
        <w:t>los</w:t>
      </w:r>
      <w:r>
        <w:rPr>
          <w:spacing w:val="-7"/>
          <w:sz w:val="16"/>
        </w:rPr>
        <w:t> </w:t>
      </w:r>
      <w:r>
        <w:rPr>
          <w:sz w:val="16"/>
        </w:rPr>
        <w:t>tiempos</w:t>
      </w:r>
      <w:r>
        <w:rPr>
          <w:spacing w:val="-10"/>
          <w:sz w:val="16"/>
        </w:rPr>
        <w:t> </w:t>
      </w:r>
      <w:r>
        <w:rPr>
          <w:sz w:val="16"/>
        </w:rPr>
        <w:t>y</w:t>
      </w:r>
      <w:r>
        <w:rPr>
          <w:spacing w:val="-9"/>
          <w:sz w:val="16"/>
        </w:rPr>
        <w:t> </w:t>
      </w:r>
      <w:r>
        <w:rPr>
          <w:sz w:val="16"/>
        </w:rPr>
        <w:t>las</w:t>
      </w:r>
      <w:r>
        <w:rPr>
          <w:spacing w:val="-12"/>
          <w:sz w:val="16"/>
        </w:rPr>
        <w:t> </w:t>
      </w:r>
      <w:r>
        <w:rPr>
          <w:sz w:val="16"/>
        </w:rPr>
        <w:t>condiciones</w:t>
      </w:r>
      <w:r>
        <w:rPr>
          <w:spacing w:val="-9"/>
          <w:sz w:val="16"/>
        </w:rPr>
        <w:t> </w:t>
      </w:r>
      <w:r>
        <w:rPr>
          <w:sz w:val="16"/>
        </w:rPr>
        <w:t>de</w:t>
      </w:r>
      <w:r>
        <w:rPr>
          <w:spacing w:val="-10"/>
          <w:sz w:val="16"/>
        </w:rPr>
        <w:t> </w:t>
      </w:r>
      <w:r>
        <w:rPr>
          <w:sz w:val="16"/>
        </w:rPr>
        <w:t>vida</w:t>
      </w:r>
      <w:r>
        <w:rPr>
          <w:spacing w:val="-10"/>
          <w:sz w:val="16"/>
        </w:rPr>
        <w:t> </w:t>
      </w:r>
      <w:r>
        <w:rPr>
          <w:sz w:val="16"/>
        </w:rPr>
        <w:t>actuales.</w:t>
      </w:r>
      <w:r>
        <w:rPr>
          <w:spacing w:val="-10"/>
          <w:sz w:val="16"/>
        </w:rPr>
        <w:t> </w:t>
      </w:r>
      <w:r>
        <w:rPr>
          <w:sz w:val="16"/>
        </w:rPr>
        <w:t>Tal</w:t>
      </w:r>
      <w:r>
        <w:rPr>
          <w:spacing w:val="-8"/>
          <w:sz w:val="16"/>
        </w:rPr>
        <w:t> </w:t>
      </w:r>
      <w:r>
        <w:rPr>
          <w:sz w:val="16"/>
        </w:rPr>
        <w:t>interpretación</w:t>
      </w:r>
      <w:r>
        <w:rPr>
          <w:spacing w:val="-8"/>
          <w:sz w:val="16"/>
        </w:rPr>
        <w:t> </w:t>
      </w:r>
      <w:r>
        <w:rPr>
          <w:sz w:val="16"/>
        </w:rPr>
        <w:t>evolutiva</w:t>
      </w:r>
      <w:r>
        <w:rPr>
          <w:spacing w:val="-10"/>
          <w:sz w:val="16"/>
        </w:rPr>
        <w:t> </w:t>
      </w:r>
      <w:r>
        <w:rPr>
          <w:sz w:val="16"/>
        </w:rPr>
        <w:t>es</w:t>
      </w:r>
      <w:r>
        <w:rPr>
          <w:spacing w:val="-9"/>
          <w:sz w:val="16"/>
        </w:rPr>
        <w:t> </w:t>
      </w:r>
      <w:r>
        <w:rPr>
          <w:sz w:val="16"/>
        </w:rPr>
        <w:t>consecuente con las reglas generales de interpretación establecidas en el artículo 29 de la Convención Americana, así como con la Convención de Viena sobre el Derecho de los Tratados</w:t>
      </w:r>
      <w:r>
        <w:rPr>
          <w:position w:val="6"/>
          <w:sz w:val="10"/>
        </w:rPr>
        <w:t>186 </w:t>
      </w:r>
      <w:r>
        <w:rPr>
          <w:sz w:val="16"/>
        </w:rPr>
        <w:t>[…]. Además, el párrafo tercero del artículo 31 de [dicha] Convención de Viena autoriza la utilización de medios interpretativos tales como los acuerdos o la práctica o reglas relevantes del derecho internacional que los Estados hayan manifestado sobre la materia del tratado, los cuales son algunos de los métodos que se relacionan con una visión evolutiva del</w:t>
      </w:r>
      <w:r>
        <w:rPr>
          <w:spacing w:val="-12"/>
          <w:sz w:val="16"/>
        </w:rPr>
        <w:t> </w:t>
      </w:r>
      <w:r>
        <w:rPr>
          <w:sz w:val="16"/>
        </w:rPr>
        <w:t>Tratado</w:t>
      </w:r>
      <w:r>
        <w:rPr>
          <w:position w:val="6"/>
          <w:sz w:val="10"/>
        </w:rPr>
        <w:t>187</w:t>
      </w:r>
      <w:r>
        <w:rPr>
          <w:sz w:val="16"/>
        </w:rPr>
        <w:t>.</w:t>
      </w:r>
    </w:p>
    <w:p>
      <w:pPr>
        <w:pStyle w:val="BodyText"/>
        <w:spacing w:before="11"/>
        <w:rPr>
          <w:sz w:val="19"/>
        </w:rPr>
      </w:pPr>
    </w:p>
    <w:p>
      <w:pPr>
        <w:pStyle w:val="ListParagraph"/>
        <w:numPr>
          <w:ilvl w:val="0"/>
          <w:numId w:val="27"/>
        </w:numPr>
        <w:tabs>
          <w:tab w:pos="830" w:val="left" w:leader="none"/>
        </w:tabs>
        <w:spacing w:line="240" w:lineRule="auto" w:before="0" w:after="0"/>
        <w:ind w:left="122" w:right="125" w:firstLine="0"/>
        <w:jc w:val="both"/>
        <w:rPr>
          <w:sz w:val="20"/>
        </w:rPr>
      </w:pPr>
      <w:r>
        <w:rPr>
          <w:sz w:val="20"/>
        </w:rPr>
        <w:t>De esta forma, en la determinación del alcance de los derechos respectivos incluidos en el artículo 26 de la Convención, este Tribunal hará referencia a los instrumentos relevantes del </w:t>
      </w:r>
      <w:r>
        <w:rPr>
          <w:i/>
          <w:sz w:val="20"/>
        </w:rPr>
        <w:t>corpus iuris</w:t>
      </w:r>
      <w:r>
        <w:rPr>
          <w:i/>
          <w:spacing w:val="-15"/>
          <w:sz w:val="20"/>
        </w:rPr>
        <w:t> </w:t>
      </w:r>
      <w:r>
        <w:rPr>
          <w:sz w:val="20"/>
        </w:rPr>
        <w:t>internacional.</w:t>
      </w:r>
    </w:p>
    <w:p>
      <w:pPr>
        <w:pStyle w:val="BodyText"/>
        <w:spacing w:before="4"/>
        <w:rPr>
          <w:sz w:val="17"/>
        </w:rPr>
      </w:pPr>
      <w:r>
        <w:rPr/>
        <w:pict>
          <v:line style="position:absolute;mso-position-horizontal-relative:page;mso-position-vertical-relative:paragraph;z-index:2536;mso-wrap-distance-left:0;mso-wrap-distance-right:0" from="85.103996pt,12.878078pt" to="229.123996pt,12.878078pt" stroked="true" strokeweight=".72pt" strokecolor="#000000">
            <v:stroke dashstyle="solid"/>
            <w10:wrap type="topAndBottom"/>
          </v:line>
        </w:pict>
      </w:r>
    </w:p>
    <w:p>
      <w:pPr>
        <w:tabs>
          <w:tab w:pos="829" w:val="left" w:leader="none"/>
        </w:tabs>
        <w:spacing w:before="71"/>
        <w:ind w:left="122" w:right="0" w:firstLine="0"/>
        <w:jc w:val="both"/>
        <w:rPr>
          <w:sz w:val="16"/>
        </w:rPr>
      </w:pPr>
      <w:r>
        <w:rPr>
          <w:position w:val="6"/>
          <w:sz w:val="10"/>
        </w:rPr>
        <w:t>181</w:t>
        <w:tab/>
      </w:r>
      <w:r>
        <w:rPr>
          <w:i/>
          <w:sz w:val="16"/>
        </w:rPr>
        <w:t>Cfr</w:t>
      </w:r>
      <w:r>
        <w:rPr>
          <w:sz w:val="16"/>
        </w:rPr>
        <w:t>. </w:t>
      </w:r>
      <w:r>
        <w:rPr>
          <w:i/>
          <w:sz w:val="16"/>
        </w:rPr>
        <w:t>Caso Lagos del Campo Vs. Perú</w:t>
      </w:r>
      <w:r>
        <w:rPr>
          <w:sz w:val="16"/>
        </w:rPr>
        <w:t>, párr. 145; </w:t>
      </w:r>
      <w:r>
        <w:rPr>
          <w:i/>
          <w:sz w:val="16"/>
        </w:rPr>
        <w:t>Caso Poblete Vilches y otros Vs. Chile</w:t>
      </w:r>
      <w:r>
        <w:rPr>
          <w:sz w:val="16"/>
        </w:rPr>
        <w:t>, párr. 103, </w:t>
      </w:r>
      <w:r>
        <w:rPr>
          <w:spacing w:val="49"/>
          <w:sz w:val="16"/>
        </w:rPr>
        <w:t> </w:t>
      </w:r>
      <w:r>
        <w:rPr>
          <w:sz w:val="16"/>
        </w:rPr>
        <w:t>y</w:t>
      </w:r>
    </w:p>
    <w:p>
      <w:pPr>
        <w:spacing w:before="0"/>
        <w:ind w:left="122" w:right="0" w:firstLine="0"/>
        <w:jc w:val="both"/>
        <w:rPr>
          <w:sz w:val="16"/>
        </w:rPr>
      </w:pPr>
      <w:r>
        <w:rPr>
          <w:i/>
          <w:sz w:val="16"/>
        </w:rPr>
        <w:t>Caso Hernández Vs. Argentina</w:t>
      </w:r>
      <w:r>
        <w:rPr>
          <w:sz w:val="16"/>
        </w:rPr>
        <w:t>, párr. 62.</w:t>
      </w:r>
    </w:p>
    <w:p>
      <w:pPr>
        <w:pStyle w:val="BodyText"/>
        <w:rPr>
          <w:sz w:val="16"/>
        </w:rPr>
      </w:pPr>
    </w:p>
    <w:p>
      <w:pPr>
        <w:tabs>
          <w:tab w:pos="829" w:val="left" w:leader="none"/>
        </w:tabs>
        <w:spacing w:before="0"/>
        <w:ind w:left="122" w:right="113" w:firstLine="0"/>
        <w:jc w:val="both"/>
        <w:rPr>
          <w:sz w:val="16"/>
        </w:rPr>
      </w:pPr>
      <w:r>
        <w:rPr>
          <w:position w:val="6"/>
          <w:sz w:val="10"/>
        </w:rPr>
        <w:t>182</w:t>
        <w:tab/>
      </w:r>
      <w:r>
        <w:rPr>
          <w:sz w:val="16"/>
        </w:rPr>
        <w:t>Ello no excluye acudir también a la normativa nacional que pudiera ser relevante (</w:t>
      </w:r>
      <w:r>
        <w:rPr>
          <w:i/>
          <w:sz w:val="16"/>
        </w:rPr>
        <w:t>cfr. </w:t>
      </w:r>
      <w:r>
        <w:rPr>
          <w:i/>
          <w:spacing w:val="24"/>
          <w:sz w:val="16"/>
        </w:rPr>
        <w:t> </w:t>
      </w:r>
      <w:r>
        <w:rPr>
          <w:i/>
          <w:sz w:val="16"/>
        </w:rPr>
        <w:t>Caso</w:t>
      </w:r>
      <w:r>
        <w:rPr>
          <w:i/>
          <w:spacing w:val="7"/>
          <w:sz w:val="16"/>
        </w:rPr>
        <w:t> </w:t>
      </w:r>
      <w:r>
        <w:rPr>
          <w:i/>
          <w:sz w:val="16"/>
        </w:rPr>
        <w:t>Poblete</w:t>
      </w:r>
      <w:r>
        <w:rPr>
          <w:i/>
          <w:w w:val="100"/>
          <w:sz w:val="16"/>
        </w:rPr>
        <w:t> </w:t>
      </w:r>
      <w:r>
        <w:rPr>
          <w:i/>
          <w:sz w:val="16"/>
        </w:rPr>
        <w:t>Vilches y otros Vs. Chile</w:t>
      </w:r>
      <w:r>
        <w:rPr>
          <w:sz w:val="16"/>
        </w:rPr>
        <w:t>, párr. 103, y </w:t>
      </w:r>
      <w:r>
        <w:rPr>
          <w:i/>
          <w:sz w:val="16"/>
        </w:rPr>
        <w:t>Caso Hernández Vs. Argentina</w:t>
      </w:r>
      <w:r>
        <w:rPr>
          <w:sz w:val="16"/>
        </w:rPr>
        <w:t>, párr.</w:t>
      </w:r>
      <w:r>
        <w:rPr>
          <w:spacing w:val="-25"/>
          <w:sz w:val="16"/>
        </w:rPr>
        <w:t> </w:t>
      </w:r>
      <w:r>
        <w:rPr>
          <w:sz w:val="16"/>
        </w:rPr>
        <w:t>62).</w:t>
      </w:r>
    </w:p>
    <w:p>
      <w:pPr>
        <w:pStyle w:val="BodyText"/>
        <w:spacing w:before="12"/>
        <w:rPr>
          <w:sz w:val="15"/>
        </w:rPr>
      </w:pPr>
    </w:p>
    <w:p>
      <w:pPr>
        <w:tabs>
          <w:tab w:pos="829" w:val="left" w:leader="none"/>
        </w:tabs>
        <w:spacing w:before="0"/>
        <w:ind w:left="122" w:right="114" w:firstLine="0"/>
        <w:jc w:val="both"/>
        <w:rPr>
          <w:sz w:val="16"/>
        </w:rPr>
      </w:pPr>
      <w:r>
        <w:rPr>
          <w:position w:val="6"/>
          <w:sz w:val="10"/>
        </w:rPr>
        <w:t>183</w:t>
        <w:tab/>
      </w:r>
      <w:r>
        <w:rPr>
          <w:i/>
          <w:sz w:val="16"/>
        </w:rPr>
        <w:t>Cfr.</w:t>
      </w:r>
      <w:r>
        <w:rPr>
          <w:i/>
          <w:spacing w:val="-6"/>
          <w:sz w:val="16"/>
        </w:rPr>
        <w:t> </w:t>
      </w:r>
      <w:r>
        <w:rPr>
          <w:i/>
          <w:sz w:val="16"/>
        </w:rPr>
        <w:t>Caso</w:t>
      </w:r>
      <w:r>
        <w:rPr>
          <w:i/>
          <w:spacing w:val="-6"/>
          <w:sz w:val="16"/>
        </w:rPr>
        <w:t> </w:t>
      </w:r>
      <w:r>
        <w:rPr>
          <w:i/>
          <w:sz w:val="16"/>
        </w:rPr>
        <w:t>familia</w:t>
      </w:r>
      <w:r>
        <w:rPr>
          <w:i/>
          <w:spacing w:val="-5"/>
          <w:sz w:val="16"/>
        </w:rPr>
        <w:t> </w:t>
      </w:r>
      <w:r>
        <w:rPr>
          <w:i/>
          <w:sz w:val="16"/>
        </w:rPr>
        <w:t>Pacheco</w:t>
      </w:r>
      <w:r>
        <w:rPr>
          <w:i/>
          <w:spacing w:val="-6"/>
          <w:sz w:val="16"/>
        </w:rPr>
        <w:t> </w:t>
      </w:r>
      <w:r>
        <w:rPr>
          <w:i/>
          <w:sz w:val="16"/>
        </w:rPr>
        <w:t>Tineo</w:t>
      </w:r>
      <w:r>
        <w:rPr>
          <w:i/>
          <w:spacing w:val="-4"/>
          <w:sz w:val="16"/>
        </w:rPr>
        <w:t> </w:t>
      </w:r>
      <w:r>
        <w:rPr>
          <w:i/>
          <w:sz w:val="16"/>
        </w:rPr>
        <w:t>Vs.</w:t>
      </w:r>
      <w:r>
        <w:rPr>
          <w:i/>
          <w:spacing w:val="-3"/>
          <w:sz w:val="16"/>
        </w:rPr>
        <w:t> </w:t>
      </w:r>
      <w:r>
        <w:rPr>
          <w:i/>
          <w:sz w:val="16"/>
        </w:rPr>
        <w:t>Bolivia.</w:t>
      </w:r>
      <w:r>
        <w:rPr>
          <w:i/>
          <w:spacing w:val="-6"/>
          <w:sz w:val="16"/>
        </w:rPr>
        <w:t> </w:t>
      </w:r>
      <w:r>
        <w:rPr>
          <w:i/>
          <w:sz w:val="16"/>
        </w:rPr>
        <w:t>Excepciones</w:t>
      </w:r>
      <w:r>
        <w:rPr>
          <w:i/>
          <w:spacing w:val="-4"/>
          <w:sz w:val="16"/>
        </w:rPr>
        <w:t> </w:t>
      </w:r>
      <w:r>
        <w:rPr>
          <w:i/>
          <w:sz w:val="16"/>
        </w:rPr>
        <w:t>Preliminares,</w:t>
      </w:r>
      <w:r>
        <w:rPr>
          <w:i/>
          <w:spacing w:val="-5"/>
          <w:sz w:val="16"/>
        </w:rPr>
        <w:t> </w:t>
      </w:r>
      <w:r>
        <w:rPr>
          <w:i/>
          <w:sz w:val="16"/>
        </w:rPr>
        <w:t>Fondo,</w:t>
      </w:r>
      <w:r>
        <w:rPr>
          <w:i/>
          <w:spacing w:val="-6"/>
          <w:sz w:val="16"/>
        </w:rPr>
        <w:t> </w:t>
      </w:r>
      <w:r>
        <w:rPr>
          <w:i/>
          <w:sz w:val="16"/>
        </w:rPr>
        <w:t>Reparaciones</w:t>
      </w:r>
      <w:r>
        <w:rPr>
          <w:i/>
          <w:spacing w:val="-4"/>
          <w:sz w:val="16"/>
        </w:rPr>
        <w:t> </w:t>
      </w:r>
      <w:r>
        <w:rPr>
          <w:i/>
          <w:sz w:val="16"/>
        </w:rPr>
        <w:t>y</w:t>
      </w:r>
      <w:r>
        <w:rPr>
          <w:i/>
          <w:spacing w:val="-6"/>
          <w:sz w:val="16"/>
        </w:rPr>
        <w:t> </w:t>
      </w:r>
      <w:r>
        <w:rPr>
          <w:i/>
          <w:sz w:val="16"/>
        </w:rPr>
        <w:t>Costas</w:t>
      </w:r>
      <w:r>
        <w:rPr>
          <w:sz w:val="16"/>
        </w:rPr>
        <w:t>.</w:t>
      </w:r>
      <w:r>
        <w:rPr>
          <w:w w:val="100"/>
          <w:sz w:val="16"/>
        </w:rPr>
        <w:t> </w:t>
      </w:r>
      <w:r>
        <w:rPr>
          <w:sz w:val="16"/>
        </w:rPr>
        <w:t>Sentencia de 25 de noviembre de 2013. Serie C No. 272, párr. 143, y </w:t>
      </w:r>
      <w:r>
        <w:rPr>
          <w:i/>
          <w:sz w:val="16"/>
        </w:rPr>
        <w:t>Caso Hernández Vs.  </w:t>
      </w:r>
      <w:r>
        <w:rPr>
          <w:i/>
          <w:spacing w:val="47"/>
          <w:sz w:val="16"/>
        </w:rPr>
        <w:t> </w:t>
      </w:r>
      <w:r>
        <w:rPr>
          <w:i/>
          <w:sz w:val="16"/>
        </w:rPr>
        <w:t>Argentina</w:t>
      </w:r>
      <w:r>
        <w:rPr>
          <w:sz w:val="16"/>
        </w:rPr>
        <w:t>, párr.</w:t>
      </w:r>
    </w:p>
    <w:p>
      <w:pPr>
        <w:spacing w:before="0"/>
        <w:ind w:left="122" w:right="113" w:firstLine="0"/>
        <w:jc w:val="both"/>
        <w:rPr>
          <w:sz w:val="16"/>
        </w:rPr>
      </w:pPr>
      <w:r>
        <w:rPr>
          <w:sz w:val="16"/>
        </w:rPr>
        <w:t>65. En la determinación de los derechos respectivos, de ser el caso, la Corte da “un especial énfasis a la Declaración</w:t>
      </w:r>
      <w:r>
        <w:rPr>
          <w:spacing w:val="-16"/>
          <w:sz w:val="16"/>
        </w:rPr>
        <w:t> </w:t>
      </w:r>
      <w:r>
        <w:rPr>
          <w:sz w:val="16"/>
        </w:rPr>
        <w:t>Americana</w:t>
      </w:r>
      <w:r>
        <w:rPr>
          <w:spacing w:val="-14"/>
          <w:sz w:val="16"/>
        </w:rPr>
        <w:t> </w:t>
      </w:r>
      <w:r>
        <w:rPr>
          <w:sz w:val="16"/>
        </w:rPr>
        <w:t>de</w:t>
      </w:r>
      <w:r>
        <w:rPr>
          <w:spacing w:val="-13"/>
          <w:sz w:val="16"/>
        </w:rPr>
        <w:t> </w:t>
      </w:r>
      <w:r>
        <w:rPr>
          <w:sz w:val="16"/>
        </w:rPr>
        <w:t>los</w:t>
      </w:r>
      <w:r>
        <w:rPr>
          <w:spacing w:val="-15"/>
          <w:sz w:val="16"/>
        </w:rPr>
        <w:t> </w:t>
      </w:r>
      <w:r>
        <w:rPr>
          <w:sz w:val="16"/>
        </w:rPr>
        <w:t>Derechos</w:t>
      </w:r>
      <w:r>
        <w:rPr>
          <w:spacing w:val="-15"/>
          <w:sz w:val="16"/>
        </w:rPr>
        <w:t> </w:t>
      </w:r>
      <w:r>
        <w:rPr>
          <w:sz w:val="16"/>
        </w:rPr>
        <w:t>y</w:t>
      </w:r>
      <w:r>
        <w:rPr>
          <w:spacing w:val="-15"/>
          <w:sz w:val="16"/>
        </w:rPr>
        <w:t> </w:t>
      </w:r>
      <w:r>
        <w:rPr>
          <w:sz w:val="16"/>
        </w:rPr>
        <w:t>Deberes</w:t>
      </w:r>
      <w:r>
        <w:rPr>
          <w:spacing w:val="-15"/>
          <w:sz w:val="16"/>
        </w:rPr>
        <w:t> </w:t>
      </w:r>
      <w:r>
        <w:rPr>
          <w:sz w:val="16"/>
        </w:rPr>
        <w:t>del</w:t>
      </w:r>
      <w:r>
        <w:rPr>
          <w:spacing w:val="-16"/>
          <w:sz w:val="16"/>
        </w:rPr>
        <w:t> </w:t>
      </w:r>
      <w:r>
        <w:rPr>
          <w:sz w:val="16"/>
        </w:rPr>
        <w:t>Hombre</w:t>
      </w:r>
      <w:r>
        <w:rPr>
          <w:spacing w:val="-13"/>
          <w:sz w:val="16"/>
        </w:rPr>
        <w:t> </w:t>
      </w:r>
      <w:r>
        <w:rPr>
          <w:sz w:val="16"/>
        </w:rPr>
        <w:t>[…],</w:t>
      </w:r>
      <w:r>
        <w:rPr>
          <w:spacing w:val="-14"/>
          <w:sz w:val="16"/>
        </w:rPr>
        <w:t> </w:t>
      </w:r>
      <w:r>
        <w:rPr>
          <w:sz w:val="16"/>
        </w:rPr>
        <w:t>pues</w:t>
      </w:r>
      <w:r>
        <w:rPr>
          <w:spacing w:val="-15"/>
          <w:sz w:val="16"/>
        </w:rPr>
        <w:t> </w:t>
      </w:r>
      <w:r>
        <w:rPr>
          <w:sz w:val="16"/>
        </w:rPr>
        <w:t>tal</w:t>
      </w:r>
      <w:r>
        <w:rPr>
          <w:spacing w:val="-16"/>
          <w:sz w:val="16"/>
        </w:rPr>
        <w:t> </w:t>
      </w:r>
      <w:r>
        <w:rPr>
          <w:sz w:val="16"/>
        </w:rPr>
        <w:t>y</w:t>
      </w:r>
      <w:r>
        <w:rPr>
          <w:spacing w:val="-12"/>
          <w:sz w:val="16"/>
        </w:rPr>
        <w:t> </w:t>
      </w:r>
      <w:r>
        <w:rPr>
          <w:sz w:val="16"/>
        </w:rPr>
        <w:t>como</w:t>
      </w:r>
      <w:r>
        <w:rPr>
          <w:spacing w:val="-12"/>
          <w:sz w:val="16"/>
        </w:rPr>
        <w:t> </w:t>
      </w:r>
      <w:r>
        <w:rPr>
          <w:sz w:val="16"/>
        </w:rPr>
        <w:t>lo</w:t>
      </w:r>
      <w:r>
        <w:rPr>
          <w:spacing w:val="-15"/>
          <w:sz w:val="16"/>
        </w:rPr>
        <w:t> </w:t>
      </w:r>
      <w:r>
        <w:rPr>
          <w:sz w:val="16"/>
        </w:rPr>
        <w:t>estableció</w:t>
      </w:r>
      <w:r>
        <w:rPr>
          <w:spacing w:val="-15"/>
          <w:sz w:val="16"/>
        </w:rPr>
        <w:t> </w:t>
      </w:r>
      <w:r>
        <w:rPr>
          <w:sz w:val="16"/>
        </w:rPr>
        <w:t>este</w:t>
      </w:r>
      <w:r>
        <w:rPr>
          <w:spacing w:val="-15"/>
          <w:sz w:val="16"/>
        </w:rPr>
        <w:t> </w:t>
      </w:r>
      <w:r>
        <w:rPr>
          <w:sz w:val="16"/>
        </w:rPr>
        <w:t>Tribunal[, l]os Estados Miembros han entendido que la Declaración contiene y define aquellos derechos humanos esenciales a los que la Carta se refiere, de manera que no se puede interpretar y aplicar la Carta de la Organización en materia de derechos humanos, sin integrar las normas pertinentes de ella con las correspondientes disposiciones de la Declaración, como resulta de la práctica seguida por los órganos de la OEA’”</w:t>
      </w:r>
      <w:r>
        <w:rPr>
          <w:spacing w:val="-7"/>
          <w:sz w:val="16"/>
        </w:rPr>
        <w:t> </w:t>
      </w:r>
      <w:r>
        <w:rPr>
          <w:sz w:val="16"/>
        </w:rPr>
        <w:t>(</w:t>
      </w:r>
      <w:r>
        <w:rPr>
          <w:i/>
          <w:sz w:val="16"/>
        </w:rPr>
        <w:t>cfr.</w:t>
      </w:r>
      <w:r>
        <w:rPr>
          <w:i/>
          <w:spacing w:val="-9"/>
          <w:sz w:val="16"/>
        </w:rPr>
        <w:t> </w:t>
      </w:r>
      <w:r>
        <w:rPr>
          <w:i/>
          <w:sz w:val="16"/>
        </w:rPr>
        <w:t>Interpretación</w:t>
      </w:r>
      <w:r>
        <w:rPr>
          <w:i/>
          <w:spacing w:val="-9"/>
          <w:sz w:val="16"/>
        </w:rPr>
        <w:t> </w:t>
      </w:r>
      <w:r>
        <w:rPr>
          <w:i/>
          <w:sz w:val="16"/>
        </w:rPr>
        <w:t>de</w:t>
      </w:r>
      <w:r>
        <w:rPr>
          <w:i/>
          <w:spacing w:val="-8"/>
          <w:sz w:val="16"/>
        </w:rPr>
        <w:t> </w:t>
      </w:r>
      <w:r>
        <w:rPr>
          <w:i/>
          <w:sz w:val="16"/>
        </w:rPr>
        <w:t>la</w:t>
      </w:r>
      <w:r>
        <w:rPr>
          <w:i/>
          <w:spacing w:val="-7"/>
          <w:sz w:val="16"/>
        </w:rPr>
        <w:t> </w:t>
      </w:r>
      <w:r>
        <w:rPr>
          <w:i/>
          <w:sz w:val="16"/>
        </w:rPr>
        <w:t>Declaración</w:t>
      </w:r>
      <w:r>
        <w:rPr>
          <w:i/>
          <w:spacing w:val="-9"/>
          <w:sz w:val="16"/>
        </w:rPr>
        <w:t> </w:t>
      </w:r>
      <w:r>
        <w:rPr>
          <w:i/>
          <w:sz w:val="16"/>
        </w:rPr>
        <w:t>Americana</w:t>
      </w:r>
      <w:r>
        <w:rPr>
          <w:i/>
          <w:spacing w:val="-9"/>
          <w:sz w:val="16"/>
        </w:rPr>
        <w:t> </w:t>
      </w:r>
      <w:r>
        <w:rPr>
          <w:i/>
          <w:sz w:val="16"/>
        </w:rPr>
        <w:t>de</w:t>
      </w:r>
      <w:r>
        <w:rPr>
          <w:i/>
          <w:spacing w:val="-8"/>
          <w:sz w:val="16"/>
        </w:rPr>
        <w:t> </w:t>
      </w:r>
      <w:r>
        <w:rPr>
          <w:i/>
          <w:sz w:val="16"/>
        </w:rPr>
        <w:t>los</w:t>
      </w:r>
      <w:r>
        <w:rPr>
          <w:i/>
          <w:spacing w:val="-6"/>
          <w:sz w:val="16"/>
        </w:rPr>
        <w:t> </w:t>
      </w:r>
      <w:r>
        <w:rPr>
          <w:i/>
          <w:sz w:val="16"/>
        </w:rPr>
        <w:t>Derechos</w:t>
      </w:r>
      <w:r>
        <w:rPr>
          <w:i/>
          <w:spacing w:val="-11"/>
          <w:sz w:val="16"/>
        </w:rPr>
        <w:t> </w:t>
      </w:r>
      <w:r>
        <w:rPr>
          <w:i/>
          <w:sz w:val="16"/>
        </w:rPr>
        <w:t>y</w:t>
      </w:r>
      <w:r>
        <w:rPr>
          <w:i/>
          <w:spacing w:val="-7"/>
          <w:sz w:val="16"/>
        </w:rPr>
        <w:t> </w:t>
      </w:r>
      <w:r>
        <w:rPr>
          <w:i/>
          <w:sz w:val="16"/>
        </w:rPr>
        <w:t>Deberes</w:t>
      </w:r>
      <w:r>
        <w:rPr>
          <w:i/>
          <w:spacing w:val="-8"/>
          <w:sz w:val="16"/>
        </w:rPr>
        <w:t> </w:t>
      </w:r>
      <w:r>
        <w:rPr>
          <w:i/>
          <w:sz w:val="16"/>
        </w:rPr>
        <w:t>del</w:t>
      </w:r>
      <w:r>
        <w:rPr>
          <w:i/>
          <w:spacing w:val="-9"/>
          <w:sz w:val="16"/>
        </w:rPr>
        <w:t> </w:t>
      </w:r>
      <w:r>
        <w:rPr>
          <w:i/>
          <w:sz w:val="16"/>
        </w:rPr>
        <w:t>Hombre,</w:t>
      </w:r>
      <w:r>
        <w:rPr>
          <w:i/>
          <w:spacing w:val="-9"/>
          <w:sz w:val="16"/>
        </w:rPr>
        <w:t> </w:t>
      </w:r>
      <w:r>
        <w:rPr>
          <w:i/>
          <w:sz w:val="16"/>
        </w:rPr>
        <w:t>en</w:t>
      </w:r>
      <w:r>
        <w:rPr>
          <w:i/>
          <w:spacing w:val="-9"/>
          <w:sz w:val="16"/>
        </w:rPr>
        <w:t> </w:t>
      </w:r>
      <w:r>
        <w:rPr>
          <w:i/>
          <w:sz w:val="16"/>
        </w:rPr>
        <w:t>el</w:t>
      </w:r>
      <w:r>
        <w:rPr>
          <w:i/>
          <w:spacing w:val="-9"/>
          <w:sz w:val="16"/>
        </w:rPr>
        <w:t> </w:t>
      </w:r>
      <w:r>
        <w:rPr>
          <w:i/>
          <w:sz w:val="16"/>
        </w:rPr>
        <w:t>marco</w:t>
      </w:r>
      <w:r>
        <w:rPr>
          <w:i/>
          <w:spacing w:val="-10"/>
          <w:sz w:val="16"/>
        </w:rPr>
        <w:t> </w:t>
      </w:r>
      <w:r>
        <w:rPr>
          <w:i/>
          <w:sz w:val="16"/>
        </w:rPr>
        <w:t>del </w:t>
      </w:r>
      <w:r>
        <w:rPr>
          <w:i/>
          <w:sz w:val="16"/>
        </w:rPr>
        <w:t>artículo</w:t>
      </w:r>
      <w:r>
        <w:rPr>
          <w:i/>
          <w:spacing w:val="-8"/>
          <w:sz w:val="16"/>
        </w:rPr>
        <w:t> </w:t>
      </w:r>
      <w:r>
        <w:rPr>
          <w:i/>
          <w:sz w:val="16"/>
        </w:rPr>
        <w:t>64</w:t>
      </w:r>
      <w:r>
        <w:rPr>
          <w:i/>
          <w:spacing w:val="-8"/>
          <w:sz w:val="16"/>
        </w:rPr>
        <w:t> </w:t>
      </w:r>
      <w:r>
        <w:rPr>
          <w:i/>
          <w:sz w:val="16"/>
        </w:rPr>
        <w:t>de</w:t>
      </w:r>
      <w:r>
        <w:rPr>
          <w:i/>
          <w:spacing w:val="-8"/>
          <w:sz w:val="16"/>
        </w:rPr>
        <w:t> </w:t>
      </w:r>
      <w:r>
        <w:rPr>
          <w:i/>
          <w:sz w:val="16"/>
        </w:rPr>
        <w:t>la</w:t>
      </w:r>
      <w:r>
        <w:rPr>
          <w:i/>
          <w:spacing w:val="-9"/>
          <w:sz w:val="16"/>
        </w:rPr>
        <w:t> </w:t>
      </w:r>
      <w:r>
        <w:rPr>
          <w:i/>
          <w:sz w:val="16"/>
        </w:rPr>
        <w:t>Convención</w:t>
      </w:r>
      <w:r>
        <w:rPr>
          <w:i/>
          <w:spacing w:val="-9"/>
          <w:sz w:val="16"/>
        </w:rPr>
        <w:t> </w:t>
      </w:r>
      <w:r>
        <w:rPr>
          <w:i/>
          <w:sz w:val="16"/>
        </w:rPr>
        <w:t>Americana</w:t>
      </w:r>
      <w:r>
        <w:rPr>
          <w:i/>
          <w:spacing w:val="-9"/>
          <w:sz w:val="16"/>
        </w:rPr>
        <w:t> </w:t>
      </w:r>
      <w:r>
        <w:rPr>
          <w:i/>
          <w:sz w:val="16"/>
        </w:rPr>
        <w:t>sobre</w:t>
      </w:r>
      <w:r>
        <w:rPr>
          <w:i/>
          <w:spacing w:val="-8"/>
          <w:sz w:val="16"/>
        </w:rPr>
        <w:t> </w:t>
      </w:r>
      <w:r>
        <w:rPr>
          <w:i/>
          <w:sz w:val="16"/>
        </w:rPr>
        <w:t>Derechos</w:t>
      </w:r>
      <w:r>
        <w:rPr>
          <w:i/>
          <w:spacing w:val="-8"/>
          <w:sz w:val="16"/>
        </w:rPr>
        <w:t> </w:t>
      </w:r>
      <w:r>
        <w:rPr>
          <w:i/>
          <w:sz w:val="16"/>
        </w:rPr>
        <w:t>Humanos.</w:t>
      </w:r>
      <w:r>
        <w:rPr>
          <w:i/>
          <w:spacing w:val="-7"/>
          <w:sz w:val="16"/>
        </w:rPr>
        <w:t> </w:t>
      </w:r>
      <w:r>
        <w:rPr>
          <w:i/>
          <w:sz w:val="16"/>
        </w:rPr>
        <w:t>Opinión</w:t>
      </w:r>
      <w:r>
        <w:rPr>
          <w:i/>
          <w:spacing w:val="-9"/>
          <w:sz w:val="16"/>
        </w:rPr>
        <w:t> </w:t>
      </w:r>
      <w:r>
        <w:rPr>
          <w:i/>
          <w:sz w:val="16"/>
        </w:rPr>
        <w:t>Consultiva</w:t>
      </w:r>
      <w:r>
        <w:rPr>
          <w:i/>
          <w:spacing w:val="-11"/>
          <w:sz w:val="16"/>
        </w:rPr>
        <w:t> </w:t>
      </w:r>
      <w:r>
        <w:rPr>
          <w:i/>
          <w:sz w:val="16"/>
        </w:rPr>
        <w:t>OC-10/89</w:t>
      </w:r>
      <w:r>
        <w:rPr>
          <w:i/>
          <w:spacing w:val="-9"/>
          <w:sz w:val="16"/>
        </w:rPr>
        <w:t> </w:t>
      </w:r>
      <w:r>
        <w:rPr>
          <w:sz w:val="16"/>
        </w:rPr>
        <w:t>de</w:t>
      </w:r>
      <w:r>
        <w:rPr>
          <w:spacing w:val="-10"/>
          <w:sz w:val="16"/>
        </w:rPr>
        <w:t> </w:t>
      </w:r>
      <w:r>
        <w:rPr>
          <w:sz w:val="16"/>
        </w:rPr>
        <w:t>14</w:t>
      </w:r>
      <w:r>
        <w:rPr>
          <w:spacing w:val="-10"/>
          <w:sz w:val="16"/>
        </w:rPr>
        <w:t> </w:t>
      </w:r>
      <w:r>
        <w:rPr>
          <w:sz w:val="16"/>
        </w:rPr>
        <w:t>de</w:t>
      </w:r>
      <w:r>
        <w:rPr>
          <w:spacing w:val="-8"/>
          <w:sz w:val="16"/>
        </w:rPr>
        <w:t> </w:t>
      </w:r>
      <w:r>
        <w:rPr>
          <w:sz w:val="16"/>
        </w:rPr>
        <w:t>julio de 1989. Serie A No. 10. párr. 43, y </w:t>
      </w:r>
      <w:r>
        <w:rPr>
          <w:i/>
          <w:sz w:val="16"/>
        </w:rPr>
        <w:t>Caso Hernández Vs. Argentina</w:t>
      </w:r>
      <w:r>
        <w:rPr>
          <w:sz w:val="16"/>
        </w:rPr>
        <w:t>, párr.</w:t>
      </w:r>
      <w:r>
        <w:rPr>
          <w:spacing w:val="-24"/>
          <w:sz w:val="16"/>
        </w:rPr>
        <w:t> </w:t>
      </w:r>
      <w:r>
        <w:rPr>
          <w:sz w:val="16"/>
        </w:rPr>
        <w:t>66).</w:t>
      </w:r>
    </w:p>
    <w:p>
      <w:pPr>
        <w:pStyle w:val="BodyText"/>
        <w:rPr>
          <w:sz w:val="16"/>
        </w:rPr>
      </w:pPr>
    </w:p>
    <w:p>
      <w:pPr>
        <w:tabs>
          <w:tab w:pos="829" w:val="left" w:leader="none"/>
        </w:tabs>
        <w:spacing w:before="0"/>
        <w:ind w:left="122" w:right="112" w:firstLine="0"/>
        <w:jc w:val="both"/>
        <w:rPr>
          <w:sz w:val="16"/>
        </w:rPr>
      </w:pPr>
      <w:r>
        <w:rPr>
          <w:position w:val="6"/>
          <w:sz w:val="10"/>
        </w:rPr>
        <w:t>184</w:t>
        <w:tab/>
      </w:r>
      <w:r>
        <w:rPr>
          <w:i/>
          <w:sz w:val="16"/>
        </w:rPr>
        <w:t>Cfr. Caso Gelman Vs. Uruguay. Fondo y Reparaciones</w:t>
      </w:r>
      <w:r>
        <w:rPr>
          <w:sz w:val="16"/>
        </w:rPr>
        <w:t>. Sentencia de 24 de febrero de 2011.</w:t>
      </w:r>
      <w:r>
        <w:rPr>
          <w:spacing w:val="54"/>
          <w:sz w:val="16"/>
        </w:rPr>
        <w:t> </w:t>
      </w:r>
      <w:r>
        <w:rPr>
          <w:sz w:val="16"/>
        </w:rPr>
        <w:t>Serie</w:t>
      </w:r>
      <w:r>
        <w:rPr>
          <w:spacing w:val="2"/>
          <w:sz w:val="16"/>
        </w:rPr>
        <w:t> </w:t>
      </w:r>
      <w:r>
        <w:rPr>
          <w:sz w:val="16"/>
        </w:rPr>
        <w:t>C</w:t>
      </w:r>
      <w:r>
        <w:rPr>
          <w:w w:val="100"/>
          <w:sz w:val="16"/>
        </w:rPr>
        <w:t> </w:t>
      </w:r>
      <w:r>
        <w:rPr>
          <w:sz w:val="16"/>
        </w:rPr>
        <w:t>No.</w:t>
      </w:r>
      <w:r>
        <w:rPr>
          <w:spacing w:val="-6"/>
          <w:sz w:val="16"/>
        </w:rPr>
        <w:t> </w:t>
      </w:r>
      <w:r>
        <w:rPr>
          <w:sz w:val="16"/>
        </w:rPr>
        <w:t>221,</w:t>
      </w:r>
      <w:r>
        <w:rPr>
          <w:spacing w:val="-6"/>
          <w:sz w:val="16"/>
        </w:rPr>
        <w:t> </w:t>
      </w:r>
      <w:r>
        <w:rPr>
          <w:sz w:val="16"/>
        </w:rPr>
        <w:t>párr.</w:t>
      </w:r>
      <w:r>
        <w:rPr>
          <w:spacing w:val="-8"/>
          <w:sz w:val="16"/>
        </w:rPr>
        <w:t> </w:t>
      </w:r>
      <w:r>
        <w:rPr>
          <w:sz w:val="16"/>
        </w:rPr>
        <w:t>78</w:t>
      </w:r>
      <w:r>
        <w:rPr>
          <w:spacing w:val="-6"/>
          <w:sz w:val="16"/>
        </w:rPr>
        <w:t> </w:t>
      </w:r>
      <w:r>
        <w:rPr>
          <w:sz w:val="16"/>
        </w:rPr>
        <w:t>y</w:t>
      </w:r>
      <w:r>
        <w:rPr>
          <w:spacing w:val="-4"/>
          <w:sz w:val="16"/>
        </w:rPr>
        <w:t> </w:t>
      </w:r>
      <w:r>
        <w:rPr>
          <w:sz w:val="16"/>
        </w:rPr>
        <w:t>121;</w:t>
      </w:r>
      <w:r>
        <w:rPr>
          <w:spacing w:val="-7"/>
          <w:sz w:val="16"/>
        </w:rPr>
        <w:t> </w:t>
      </w:r>
      <w:r>
        <w:rPr>
          <w:i/>
          <w:sz w:val="16"/>
        </w:rPr>
        <w:t>Caso</w:t>
      </w:r>
      <w:r>
        <w:rPr>
          <w:i/>
          <w:spacing w:val="-4"/>
          <w:sz w:val="16"/>
        </w:rPr>
        <w:t> </w:t>
      </w:r>
      <w:r>
        <w:rPr>
          <w:i/>
          <w:sz w:val="16"/>
        </w:rPr>
        <w:t>Atala</w:t>
      </w:r>
      <w:r>
        <w:rPr>
          <w:i/>
          <w:spacing w:val="-6"/>
          <w:sz w:val="16"/>
        </w:rPr>
        <w:t> </w:t>
      </w:r>
      <w:r>
        <w:rPr>
          <w:i/>
          <w:sz w:val="16"/>
        </w:rPr>
        <w:t>Riffo</w:t>
      </w:r>
      <w:r>
        <w:rPr>
          <w:i/>
          <w:spacing w:val="-4"/>
          <w:sz w:val="16"/>
        </w:rPr>
        <w:t> </w:t>
      </w:r>
      <w:r>
        <w:rPr>
          <w:i/>
          <w:sz w:val="16"/>
        </w:rPr>
        <w:t>y</w:t>
      </w:r>
      <w:r>
        <w:rPr>
          <w:i/>
          <w:spacing w:val="-4"/>
          <w:sz w:val="16"/>
        </w:rPr>
        <w:t> </w:t>
      </w:r>
      <w:r>
        <w:rPr>
          <w:i/>
          <w:sz w:val="16"/>
        </w:rPr>
        <w:t>niñas</w:t>
      </w:r>
      <w:r>
        <w:rPr>
          <w:i/>
          <w:spacing w:val="-5"/>
          <w:sz w:val="16"/>
        </w:rPr>
        <w:t> </w:t>
      </w:r>
      <w:r>
        <w:rPr>
          <w:i/>
          <w:sz w:val="16"/>
        </w:rPr>
        <w:t>Vs.</w:t>
      </w:r>
      <w:r>
        <w:rPr>
          <w:i/>
          <w:spacing w:val="-4"/>
          <w:sz w:val="16"/>
        </w:rPr>
        <w:t> </w:t>
      </w:r>
      <w:r>
        <w:rPr>
          <w:i/>
          <w:sz w:val="16"/>
        </w:rPr>
        <w:t>Chile.</w:t>
      </w:r>
      <w:r>
        <w:rPr>
          <w:i/>
          <w:spacing w:val="-8"/>
          <w:sz w:val="16"/>
        </w:rPr>
        <w:t> </w:t>
      </w:r>
      <w:r>
        <w:rPr>
          <w:i/>
          <w:sz w:val="16"/>
        </w:rPr>
        <w:t>Fondo,</w:t>
      </w:r>
      <w:r>
        <w:rPr>
          <w:i/>
          <w:spacing w:val="-6"/>
          <w:sz w:val="16"/>
        </w:rPr>
        <w:t> </w:t>
      </w:r>
      <w:r>
        <w:rPr>
          <w:i/>
          <w:sz w:val="16"/>
        </w:rPr>
        <w:t>Reparaciones</w:t>
      </w:r>
      <w:r>
        <w:rPr>
          <w:i/>
          <w:spacing w:val="-7"/>
          <w:sz w:val="16"/>
        </w:rPr>
        <w:t> </w:t>
      </w:r>
      <w:r>
        <w:rPr>
          <w:i/>
          <w:sz w:val="16"/>
        </w:rPr>
        <w:t>y</w:t>
      </w:r>
      <w:r>
        <w:rPr>
          <w:i/>
          <w:spacing w:val="-4"/>
          <w:sz w:val="16"/>
        </w:rPr>
        <w:t> </w:t>
      </w:r>
      <w:r>
        <w:rPr>
          <w:i/>
          <w:sz w:val="16"/>
        </w:rPr>
        <w:t>Costas</w:t>
      </w:r>
      <w:r>
        <w:rPr>
          <w:sz w:val="16"/>
        </w:rPr>
        <w:t>.</w:t>
      </w:r>
      <w:r>
        <w:rPr>
          <w:spacing w:val="-4"/>
          <w:sz w:val="16"/>
        </w:rPr>
        <w:t> </w:t>
      </w:r>
      <w:r>
        <w:rPr>
          <w:sz w:val="16"/>
        </w:rPr>
        <w:t>Sentencia</w:t>
      </w:r>
      <w:r>
        <w:rPr>
          <w:spacing w:val="-6"/>
          <w:sz w:val="16"/>
        </w:rPr>
        <w:t> </w:t>
      </w:r>
      <w:r>
        <w:rPr>
          <w:sz w:val="16"/>
        </w:rPr>
        <w:t>de</w:t>
      </w:r>
      <w:r>
        <w:rPr>
          <w:spacing w:val="-5"/>
          <w:sz w:val="16"/>
        </w:rPr>
        <w:t> </w:t>
      </w:r>
      <w:r>
        <w:rPr>
          <w:sz w:val="16"/>
        </w:rPr>
        <w:t>24</w:t>
      </w:r>
      <w:r>
        <w:rPr>
          <w:spacing w:val="-4"/>
          <w:sz w:val="16"/>
        </w:rPr>
        <w:t> </w:t>
      </w:r>
      <w:r>
        <w:rPr>
          <w:sz w:val="16"/>
        </w:rPr>
        <w:t>de febrero de 2012. Serie C No. 239, párr. 83; </w:t>
      </w:r>
      <w:r>
        <w:rPr>
          <w:i/>
          <w:sz w:val="16"/>
        </w:rPr>
        <w:t>Caso familia Pacheco Tineo Vs. Bolivia</w:t>
      </w:r>
      <w:r>
        <w:rPr>
          <w:sz w:val="16"/>
        </w:rPr>
        <w:t>, párr. 129; </w:t>
      </w:r>
      <w:r>
        <w:rPr>
          <w:i/>
          <w:sz w:val="16"/>
        </w:rPr>
        <w:t>Caso I.V. Vs. </w:t>
      </w:r>
      <w:r>
        <w:rPr>
          <w:i/>
          <w:sz w:val="16"/>
        </w:rPr>
        <w:t>Bolivia. Excepciones Preliminares, Fondo, Reparaciones y Costas. </w:t>
      </w:r>
      <w:r>
        <w:rPr>
          <w:sz w:val="16"/>
        </w:rPr>
        <w:t>Sentencia de 30 de noviembre de 2016. Serie</w:t>
      </w:r>
      <w:r>
        <w:rPr>
          <w:spacing w:val="-7"/>
          <w:sz w:val="16"/>
        </w:rPr>
        <w:t> </w:t>
      </w:r>
      <w:r>
        <w:rPr>
          <w:sz w:val="16"/>
        </w:rPr>
        <w:t>C</w:t>
      </w:r>
      <w:r>
        <w:rPr>
          <w:spacing w:val="-5"/>
          <w:sz w:val="16"/>
        </w:rPr>
        <w:t> </w:t>
      </w:r>
      <w:r>
        <w:rPr>
          <w:sz w:val="16"/>
        </w:rPr>
        <w:t>No.</w:t>
      </w:r>
      <w:r>
        <w:rPr>
          <w:spacing w:val="-8"/>
          <w:sz w:val="16"/>
        </w:rPr>
        <w:t> </w:t>
      </w:r>
      <w:r>
        <w:rPr>
          <w:sz w:val="16"/>
        </w:rPr>
        <w:t>329,</w:t>
      </w:r>
      <w:r>
        <w:rPr>
          <w:spacing w:val="-6"/>
          <w:sz w:val="16"/>
        </w:rPr>
        <w:t> </w:t>
      </w:r>
      <w:r>
        <w:rPr>
          <w:sz w:val="16"/>
        </w:rPr>
        <w:t>párr.</w:t>
      </w:r>
      <w:r>
        <w:rPr>
          <w:spacing w:val="-8"/>
          <w:sz w:val="16"/>
        </w:rPr>
        <w:t> </w:t>
      </w:r>
      <w:r>
        <w:rPr>
          <w:sz w:val="16"/>
        </w:rPr>
        <w:t>168;</w:t>
      </w:r>
      <w:r>
        <w:rPr>
          <w:spacing w:val="-6"/>
          <w:sz w:val="16"/>
        </w:rPr>
        <w:t> </w:t>
      </w:r>
      <w:r>
        <w:rPr>
          <w:i/>
          <w:sz w:val="16"/>
        </w:rPr>
        <w:t>Caso</w:t>
      </w:r>
      <w:r>
        <w:rPr>
          <w:i/>
          <w:spacing w:val="-4"/>
          <w:sz w:val="16"/>
        </w:rPr>
        <w:t> </w:t>
      </w:r>
      <w:r>
        <w:rPr>
          <w:i/>
          <w:sz w:val="16"/>
        </w:rPr>
        <w:t>Lagos</w:t>
      </w:r>
      <w:r>
        <w:rPr>
          <w:i/>
          <w:spacing w:val="-7"/>
          <w:sz w:val="16"/>
        </w:rPr>
        <w:t> </w:t>
      </w:r>
      <w:r>
        <w:rPr>
          <w:i/>
          <w:sz w:val="16"/>
        </w:rPr>
        <w:t>del</w:t>
      </w:r>
      <w:r>
        <w:rPr>
          <w:i/>
          <w:spacing w:val="-8"/>
          <w:sz w:val="16"/>
        </w:rPr>
        <w:t> </w:t>
      </w:r>
      <w:r>
        <w:rPr>
          <w:i/>
          <w:sz w:val="16"/>
        </w:rPr>
        <w:t>Campo</w:t>
      </w:r>
      <w:r>
        <w:rPr>
          <w:i/>
          <w:spacing w:val="-7"/>
          <w:sz w:val="16"/>
        </w:rPr>
        <w:t> </w:t>
      </w:r>
      <w:r>
        <w:rPr>
          <w:i/>
          <w:sz w:val="16"/>
        </w:rPr>
        <w:t>Vs.</w:t>
      </w:r>
      <w:r>
        <w:rPr>
          <w:i/>
          <w:spacing w:val="-6"/>
          <w:sz w:val="16"/>
        </w:rPr>
        <w:t> </w:t>
      </w:r>
      <w:r>
        <w:rPr>
          <w:i/>
          <w:sz w:val="16"/>
        </w:rPr>
        <w:t>Perú,</w:t>
      </w:r>
      <w:r>
        <w:rPr>
          <w:i/>
          <w:spacing w:val="-8"/>
          <w:sz w:val="16"/>
        </w:rPr>
        <w:t> </w:t>
      </w:r>
      <w:r>
        <w:rPr>
          <w:sz w:val="16"/>
        </w:rPr>
        <w:t>párr.</w:t>
      </w:r>
      <w:r>
        <w:rPr>
          <w:spacing w:val="-6"/>
          <w:sz w:val="16"/>
        </w:rPr>
        <w:t> </w:t>
      </w:r>
      <w:r>
        <w:rPr>
          <w:sz w:val="16"/>
        </w:rPr>
        <w:t>145;</w:t>
      </w:r>
      <w:r>
        <w:rPr>
          <w:spacing w:val="-10"/>
          <w:sz w:val="16"/>
        </w:rPr>
        <w:t> </w:t>
      </w:r>
      <w:r>
        <w:rPr>
          <w:i/>
          <w:sz w:val="16"/>
        </w:rPr>
        <w:t>Caso</w:t>
      </w:r>
      <w:r>
        <w:rPr>
          <w:i/>
          <w:spacing w:val="-6"/>
          <w:sz w:val="16"/>
        </w:rPr>
        <w:t> </w:t>
      </w:r>
      <w:r>
        <w:rPr>
          <w:i/>
          <w:sz w:val="16"/>
        </w:rPr>
        <w:t>Poblete</w:t>
      </w:r>
      <w:r>
        <w:rPr>
          <w:i/>
          <w:spacing w:val="-7"/>
          <w:sz w:val="16"/>
        </w:rPr>
        <w:t> </w:t>
      </w:r>
      <w:r>
        <w:rPr>
          <w:i/>
          <w:sz w:val="16"/>
        </w:rPr>
        <w:t>Vilches</w:t>
      </w:r>
      <w:r>
        <w:rPr>
          <w:i/>
          <w:spacing w:val="-5"/>
          <w:sz w:val="16"/>
        </w:rPr>
        <w:t> </w:t>
      </w:r>
      <w:r>
        <w:rPr>
          <w:i/>
          <w:sz w:val="16"/>
        </w:rPr>
        <w:t>y</w:t>
      </w:r>
      <w:r>
        <w:rPr>
          <w:i/>
          <w:spacing w:val="-6"/>
          <w:sz w:val="16"/>
        </w:rPr>
        <w:t> </w:t>
      </w:r>
      <w:r>
        <w:rPr>
          <w:i/>
          <w:sz w:val="16"/>
        </w:rPr>
        <w:t>Otros</w:t>
      </w:r>
      <w:r>
        <w:rPr>
          <w:i/>
          <w:spacing w:val="-7"/>
          <w:sz w:val="16"/>
        </w:rPr>
        <w:t> </w:t>
      </w:r>
      <w:r>
        <w:rPr>
          <w:i/>
          <w:sz w:val="16"/>
        </w:rPr>
        <w:t>Vs.</w:t>
      </w:r>
      <w:r>
        <w:rPr>
          <w:i/>
          <w:spacing w:val="-8"/>
          <w:sz w:val="16"/>
        </w:rPr>
        <w:t> </w:t>
      </w:r>
      <w:r>
        <w:rPr>
          <w:i/>
          <w:sz w:val="16"/>
        </w:rPr>
        <w:t>Chile</w:t>
      </w:r>
      <w:r>
        <w:rPr>
          <w:sz w:val="16"/>
        </w:rPr>
        <w:t>, párr. 103; </w:t>
      </w:r>
      <w:r>
        <w:rPr>
          <w:i/>
          <w:sz w:val="16"/>
        </w:rPr>
        <w:t>Caso Cuscul Pivaral y otros Vs. Guatemala</w:t>
      </w:r>
      <w:r>
        <w:rPr>
          <w:sz w:val="16"/>
        </w:rPr>
        <w:t>, párr. 100, y </w:t>
      </w:r>
      <w:r>
        <w:rPr>
          <w:i/>
          <w:sz w:val="16"/>
        </w:rPr>
        <w:t>Caso Asociación Nacional de Cesantes y </w:t>
      </w:r>
      <w:r>
        <w:rPr>
          <w:i/>
          <w:sz w:val="16"/>
        </w:rPr>
        <w:t>Jubilados</w:t>
      </w:r>
      <w:r>
        <w:rPr>
          <w:i/>
          <w:spacing w:val="-10"/>
          <w:sz w:val="16"/>
        </w:rPr>
        <w:t> </w:t>
      </w:r>
      <w:r>
        <w:rPr>
          <w:i/>
          <w:sz w:val="16"/>
        </w:rPr>
        <w:t>de</w:t>
      </w:r>
      <w:r>
        <w:rPr>
          <w:i/>
          <w:spacing w:val="-10"/>
          <w:sz w:val="16"/>
        </w:rPr>
        <w:t> </w:t>
      </w:r>
      <w:r>
        <w:rPr>
          <w:i/>
          <w:sz w:val="16"/>
        </w:rPr>
        <w:t>la</w:t>
      </w:r>
      <w:r>
        <w:rPr>
          <w:i/>
          <w:spacing w:val="-11"/>
          <w:sz w:val="16"/>
        </w:rPr>
        <w:t> </w:t>
      </w:r>
      <w:r>
        <w:rPr>
          <w:i/>
          <w:sz w:val="16"/>
        </w:rPr>
        <w:t>Superintendencia</w:t>
      </w:r>
      <w:r>
        <w:rPr>
          <w:i/>
          <w:spacing w:val="-11"/>
          <w:sz w:val="16"/>
        </w:rPr>
        <w:t> </w:t>
      </w:r>
      <w:r>
        <w:rPr>
          <w:i/>
          <w:sz w:val="16"/>
        </w:rPr>
        <w:t>Nacional</w:t>
      </w:r>
      <w:r>
        <w:rPr>
          <w:i/>
          <w:spacing w:val="-12"/>
          <w:sz w:val="16"/>
        </w:rPr>
        <w:t> </w:t>
      </w:r>
      <w:r>
        <w:rPr>
          <w:i/>
          <w:sz w:val="16"/>
        </w:rPr>
        <w:t>de</w:t>
      </w:r>
      <w:r>
        <w:rPr>
          <w:i/>
          <w:spacing w:val="-13"/>
          <w:sz w:val="16"/>
        </w:rPr>
        <w:t> </w:t>
      </w:r>
      <w:r>
        <w:rPr>
          <w:i/>
          <w:sz w:val="16"/>
        </w:rPr>
        <w:t>Administración</w:t>
      </w:r>
      <w:r>
        <w:rPr>
          <w:i/>
          <w:spacing w:val="-14"/>
          <w:sz w:val="16"/>
        </w:rPr>
        <w:t> </w:t>
      </w:r>
      <w:r>
        <w:rPr>
          <w:i/>
          <w:sz w:val="16"/>
        </w:rPr>
        <w:t>Tributaria</w:t>
      </w:r>
      <w:r>
        <w:rPr>
          <w:i/>
          <w:spacing w:val="-11"/>
          <w:sz w:val="16"/>
        </w:rPr>
        <w:t> </w:t>
      </w:r>
      <w:r>
        <w:rPr>
          <w:i/>
          <w:sz w:val="16"/>
        </w:rPr>
        <w:t>(ANCEJUB-SUNAT)</w:t>
      </w:r>
      <w:r>
        <w:rPr>
          <w:i/>
          <w:spacing w:val="-12"/>
          <w:sz w:val="16"/>
        </w:rPr>
        <w:t> </w:t>
      </w:r>
      <w:r>
        <w:rPr>
          <w:i/>
          <w:sz w:val="16"/>
        </w:rPr>
        <w:t>Vs.</w:t>
      </w:r>
      <w:r>
        <w:rPr>
          <w:i/>
          <w:spacing w:val="-11"/>
          <w:sz w:val="16"/>
        </w:rPr>
        <w:t> </w:t>
      </w:r>
      <w:r>
        <w:rPr>
          <w:i/>
          <w:sz w:val="16"/>
        </w:rPr>
        <w:t>Perú</w:t>
      </w:r>
      <w:r>
        <w:rPr>
          <w:sz w:val="16"/>
        </w:rPr>
        <w:t>,</w:t>
      </w:r>
      <w:r>
        <w:rPr>
          <w:spacing w:val="-14"/>
          <w:sz w:val="16"/>
        </w:rPr>
        <w:t> </w:t>
      </w:r>
      <w:r>
        <w:rPr>
          <w:sz w:val="16"/>
        </w:rPr>
        <w:t>párr.</w:t>
      </w:r>
      <w:r>
        <w:rPr>
          <w:spacing w:val="-12"/>
          <w:sz w:val="16"/>
        </w:rPr>
        <w:t> </w:t>
      </w:r>
      <w:r>
        <w:rPr>
          <w:sz w:val="16"/>
        </w:rPr>
        <w:t>158; </w:t>
      </w:r>
      <w:r>
        <w:rPr>
          <w:i/>
          <w:sz w:val="16"/>
        </w:rPr>
        <w:t>Caso Hernández Vs. Argentina</w:t>
      </w:r>
      <w:r>
        <w:rPr>
          <w:sz w:val="16"/>
        </w:rPr>
        <w:t>, párr.</w:t>
      </w:r>
      <w:r>
        <w:rPr>
          <w:spacing w:val="-9"/>
          <w:sz w:val="16"/>
        </w:rPr>
        <w:t> </w:t>
      </w:r>
      <w:r>
        <w:rPr>
          <w:sz w:val="16"/>
        </w:rPr>
        <w:t>65.</w:t>
      </w:r>
    </w:p>
    <w:p>
      <w:pPr>
        <w:pStyle w:val="BodyText"/>
        <w:spacing w:before="12"/>
        <w:rPr>
          <w:sz w:val="15"/>
        </w:rPr>
      </w:pPr>
    </w:p>
    <w:p>
      <w:pPr>
        <w:tabs>
          <w:tab w:pos="829" w:val="left" w:leader="none"/>
        </w:tabs>
        <w:spacing w:before="0"/>
        <w:ind w:left="122" w:right="0" w:firstLine="0"/>
        <w:jc w:val="both"/>
        <w:rPr>
          <w:sz w:val="16"/>
        </w:rPr>
      </w:pPr>
      <w:r>
        <w:rPr>
          <w:position w:val="6"/>
          <w:sz w:val="10"/>
        </w:rPr>
        <w:t>185</w:t>
        <w:tab/>
      </w:r>
      <w:r>
        <w:rPr>
          <w:i/>
          <w:sz w:val="16"/>
        </w:rPr>
        <w:t>Cfr. Caso Muelle Flores Vs. Perú</w:t>
      </w:r>
      <w:r>
        <w:rPr>
          <w:sz w:val="16"/>
        </w:rPr>
        <w:t>, párr. 176, y </w:t>
      </w:r>
      <w:r>
        <w:rPr>
          <w:i/>
          <w:sz w:val="16"/>
        </w:rPr>
        <w:t>Caso Hernández Vs. Argentina</w:t>
      </w:r>
      <w:r>
        <w:rPr>
          <w:sz w:val="16"/>
        </w:rPr>
        <w:t>, párr.</w:t>
      </w:r>
      <w:r>
        <w:rPr>
          <w:spacing w:val="-28"/>
          <w:sz w:val="16"/>
        </w:rPr>
        <w:t> </w:t>
      </w:r>
      <w:r>
        <w:rPr>
          <w:sz w:val="16"/>
        </w:rPr>
        <w:t>65.</w:t>
      </w:r>
    </w:p>
    <w:p>
      <w:pPr>
        <w:pStyle w:val="BodyText"/>
        <w:spacing w:before="12"/>
        <w:rPr>
          <w:sz w:val="15"/>
        </w:rPr>
      </w:pPr>
    </w:p>
    <w:p>
      <w:pPr>
        <w:tabs>
          <w:tab w:pos="829" w:val="left" w:leader="none"/>
        </w:tabs>
        <w:spacing w:before="0"/>
        <w:ind w:left="122" w:right="116" w:firstLine="0"/>
        <w:jc w:val="both"/>
        <w:rPr>
          <w:sz w:val="16"/>
        </w:rPr>
      </w:pPr>
      <w:r>
        <w:rPr>
          <w:position w:val="6"/>
          <w:sz w:val="10"/>
        </w:rPr>
        <w:t>186</w:t>
        <w:tab/>
      </w:r>
      <w:r>
        <w:rPr>
          <w:i/>
          <w:sz w:val="16"/>
        </w:rPr>
        <w:t>Cfr</w:t>
      </w:r>
      <w:r>
        <w:rPr>
          <w:sz w:val="16"/>
        </w:rPr>
        <w:t>.</w:t>
      </w:r>
      <w:r>
        <w:rPr>
          <w:spacing w:val="-3"/>
          <w:sz w:val="16"/>
        </w:rPr>
        <w:t> </w:t>
      </w:r>
      <w:r>
        <w:rPr>
          <w:i/>
          <w:sz w:val="16"/>
        </w:rPr>
        <w:t>El</w:t>
      </w:r>
      <w:r>
        <w:rPr>
          <w:i/>
          <w:spacing w:val="-3"/>
          <w:sz w:val="16"/>
        </w:rPr>
        <w:t> </w:t>
      </w:r>
      <w:r>
        <w:rPr>
          <w:i/>
          <w:sz w:val="16"/>
        </w:rPr>
        <w:t>Derecho</w:t>
      </w:r>
      <w:r>
        <w:rPr>
          <w:i/>
          <w:spacing w:val="-2"/>
          <w:sz w:val="16"/>
        </w:rPr>
        <w:t> </w:t>
      </w:r>
      <w:r>
        <w:rPr>
          <w:i/>
          <w:sz w:val="16"/>
        </w:rPr>
        <w:t>a</w:t>
      </w:r>
      <w:r>
        <w:rPr>
          <w:i/>
          <w:spacing w:val="-3"/>
          <w:sz w:val="16"/>
        </w:rPr>
        <w:t> </w:t>
      </w:r>
      <w:r>
        <w:rPr>
          <w:i/>
          <w:sz w:val="16"/>
        </w:rPr>
        <w:t>la</w:t>
      </w:r>
      <w:r>
        <w:rPr>
          <w:i/>
          <w:spacing w:val="-3"/>
          <w:sz w:val="16"/>
        </w:rPr>
        <w:t> </w:t>
      </w:r>
      <w:r>
        <w:rPr>
          <w:i/>
          <w:sz w:val="16"/>
        </w:rPr>
        <w:t>Información</w:t>
      </w:r>
      <w:r>
        <w:rPr>
          <w:i/>
          <w:spacing w:val="-4"/>
          <w:sz w:val="16"/>
        </w:rPr>
        <w:t> </w:t>
      </w:r>
      <w:r>
        <w:rPr>
          <w:i/>
          <w:sz w:val="16"/>
        </w:rPr>
        <w:t>sobre</w:t>
      </w:r>
      <w:r>
        <w:rPr>
          <w:i/>
          <w:spacing w:val="-2"/>
          <w:sz w:val="16"/>
        </w:rPr>
        <w:t> </w:t>
      </w:r>
      <w:r>
        <w:rPr>
          <w:i/>
          <w:sz w:val="16"/>
        </w:rPr>
        <w:t>la</w:t>
      </w:r>
      <w:r>
        <w:rPr>
          <w:i/>
          <w:spacing w:val="-3"/>
          <w:sz w:val="16"/>
        </w:rPr>
        <w:t> </w:t>
      </w:r>
      <w:r>
        <w:rPr>
          <w:i/>
          <w:sz w:val="16"/>
        </w:rPr>
        <w:t>Asistencia</w:t>
      </w:r>
      <w:r>
        <w:rPr>
          <w:i/>
          <w:spacing w:val="-6"/>
          <w:sz w:val="16"/>
        </w:rPr>
        <w:t> </w:t>
      </w:r>
      <w:r>
        <w:rPr>
          <w:i/>
          <w:sz w:val="16"/>
        </w:rPr>
        <w:t>Consular</w:t>
      </w:r>
      <w:r>
        <w:rPr>
          <w:i/>
          <w:spacing w:val="-2"/>
          <w:sz w:val="16"/>
        </w:rPr>
        <w:t> </w:t>
      </w:r>
      <w:r>
        <w:rPr>
          <w:i/>
          <w:sz w:val="16"/>
        </w:rPr>
        <w:t>en</w:t>
      </w:r>
      <w:r>
        <w:rPr>
          <w:i/>
          <w:spacing w:val="-3"/>
          <w:sz w:val="16"/>
        </w:rPr>
        <w:t> </w:t>
      </w:r>
      <w:r>
        <w:rPr>
          <w:i/>
          <w:sz w:val="16"/>
        </w:rPr>
        <w:t>el</w:t>
      </w:r>
      <w:r>
        <w:rPr>
          <w:i/>
          <w:spacing w:val="-6"/>
          <w:sz w:val="16"/>
        </w:rPr>
        <w:t> </w:t>
      </w:r>
      <w:r>
        <w:rPr>
          <w:i/>
          <w:sz w:val="16"/>
        </w:rPr>
        <w:t>Marco</w:t>
      </w:r>
      <w:r>
        <w:rPr>
          <w:i/>
          <w:spacing w:val="-4"/>
          <w:sz w:val="16"/>
        </w:rPr>
        <w:t> </w:t>
      </w:r>
      <w:r>
        <w:rPr>
          <w:i/>
          <w:sz w:val="16"/>
        </w:rPr>
        <w:t>de</w:t>
      </w:r>
      <w:r>
        <w:rPr>
          <w:i/>
          <w:spacing w:val="-2"/>
          <w:sz w:val="16"/>
        </w:rPr>
        <w:t> </w:t>
      </w:r>
      <w:r>
        <w:rPr>
          <w:i/>
          <w:sz w:val="16"/>
        </w:rPr>
        <w:t>las</w:t>
      </w:r>
      <w:r>
        <w:rPr>
          <w:i/>
          <w:spacing w:val="-5"/>
          <w:sz w:val="16"/>
        </w:rPr>
        <w:t> </w:t>
      </w:r>
      <w:r>
        <w:rPr>
          <w:i/>
          <w:sz w:val="16"/>
        </w:rPr>
        <w:t>Garantías</w:t>
      </w:r>
      <w:r>
        <w:rPr>
          <w:i/>
          <w:spacing w:val="-5"/>
          <w:sz w:val="16"/>
        </w:rPr>
        <w:t> </w:t>
      </w:r>
      <w:r>
        <w:rPr>
          <w:i/>
          <w:sz w:val="16"/>
        </w:rPr>
        <w:t>del</w:t>
      </w:r>
      <w:r>
        <w:rPr>
          <w:i/>
          <w:spacing w:val="-3"/>
          <w:sz w:val="16"/>
        </w:rPr>
        <w:t> </w:t>
      </w:r>
      <w:r>
        <w:rPr>
          <w:i/>
          <w:sz w:val="16"/>
        </w:rPr>
        <w:t>Debido</w:t>
      </w:r>
      <w:r>
        <w:rPr>
          <w:i/>
          <w:w w:val="100"/>
          <w:sz w:val="16"/>
        </w:rPr>
        <w:t> </w:t>
      </w:r>
      <w:r>
        <w:rPr>
          <w:i/>
          <w:sz w:val="16"/>
        </w:rPr>
        <w:t>Proceso Legal. Opinión Consultiva OC-16/99 </w:t>
      </w:r>
      <w:r>
        <w:rPr>
          <w:sz w:val="16"/>
        </w:rPr>
        <w:t>de 1 de octubre de 1999. Serie A No. 16, párr. 114</w:t>
      </w:r>
      <w:r>
        <w:rPr>
          <w:i/>
          <w:sz w:val="16"/>
        </w:rPr>
        <w:t>, </w:t>
      </w:r>
      <w:r>
        <w:rPr>
          <w:sz w:val="16"/>
        </w:rPr>
        <w:t>y </w:t>
      </w:r>
      <w:r>
        <w:rPr>
          <w:i/>
          <w:sz w:val="16"/>
        </w:rPr>
        <w:t>Caso </w:t>
      </w:r>
      <w:r>
        <w:rPr>
          <w:i/>
          <w:sz w:val="16"/>
        </w:rPr>
        <w:t>Hernández Vs. Argentina</w:t>
      </w:r>
      <w:r>
        <w:rPr>
          <w:sz w:val="16"/>
        </w:rPr>
        <w:t>, párr.</w:t>
      </w:r>
      <w:r>
        <w:rPr>
          <w:spacing w:val="-7"/>
          <w:sz w:val="16"/>
        </w:rPr>
        <w:t> </w:t>
      </w:r>
      <w:r>
        <w:rPr>
          <w:sz w:val="16"/>
        </w:rPr>
        <w:t>67.</w:t>
      </w:r>
    </w:p>
    <w:p>
      <w:pPr>
        <w:pStyle w:val="BodyText"/>
        <w:spacing w:before="2"/>
        <w:rPr>
          <w:sz w:val="16"/>
        </w:rPr>
      </w:pPr>
    </w:p>
    <w:p>
      <w:pPr>
        <w:tabs>
          <w:tab w:pos="829" w:val="left" w:leader="none"/>
        </w:tabs>
        <w:spacing w:before="0"/>
        <w:ind w:left="122" w:right="119" w:firstLine="0"/>
        <w:jc w:val="both"/>
        <w:rPr>
          <w:sz w:val="16"/>
        </w:rPr>
      </w:pPr>
      <w:r>
        <w:rPr>
          <w:position w:val="6"/>
          <w:sz w:val="10"/>
        </w:rPr>
        <w:t>187</w:t>
        <w:tab/>
      </w:r>
      <w:r>
        <w:rPr>
          <w:i/>
          <w:sz w:val="16"/>
        </w:rPr>
        <w:t>Caso Asociación Nacional de Cesantes y Jubilados de la Superintendencia Nacional</w:t>
      </w:r>
      <w:r>
        <w:rPr>
          <w:i/>
          <w:spacing w:val="-32"/>
          <w:sz w:val="16"/>
        </w:rPr>
        <w:t> </w:t>
      </w:r>
      <w:r>
        <w:rPr>
          <w:i/>
          <w:sz w:val="16"/>
        </w:rPr>
        <w:t>de</w:t>
      </w:r>
      <w:r>
        <w:rPr>
          <w:i/>
          <w:spacing w:val="-5"/>
          <w:sz w:val="16"/>
        </w:rPr>
        <w:t> </w:t>
      </w:r>
      <w:r>
        <w:rPr>
          <w:i/>
          <w:sz w:val="16"/>
        </w:rPr>
        <w:t>Administración</w:t>
      </w:r>
      <w:r>
        <w:rPr>
          <w:i/>
          <w:w w:val="100"/>
          <w:sz w:val="16"/>
        </w:rPr>
        <w:t> </w:t>
      </w:r>
      <w:r>
        <w:rPr>
          <w:i/>
          <w:sz w:val="16"/>
        </w:rPr>
        <w:t>Tributaria (ANCEJUB-SUNAT) Vs. Perú</w:t>
      </w:r>
      <w:r>
        <w:rPr>
          <w:sz w:val="16"/>
        </w:rPr>
        <w:t>, párr. 160, y </w:t>
      </w:r>
      <w:r>
        <w:rPr>
          <w:i/>
          <w:sz w:val="16"/>
        </w:rPr>
        <w:t>Caso Hernández Vs. Argentina</w:t>
      </w:r>
      <w:r>
        <w:rPr>
          <w:sz w:val="16"/>
        </w:rPr>
        <w:t>, párr.</w:t>
      </w:r>
      <w:r>
        <w:rPr>
          <w:spacing w:val="-28"/>
          <w:sz w:val="16"/>
        </w:rPr>
        <w:t> </w:t>
      </w:r>
      <w:r>
        <w:rPr>
          <w:sz w:val="16"/>
        </w:rPr>
        <w:t>67.</w:t>
      </w:r>
    </w:p>
    <w:p>
      <w:pPr>
        <w:spacing w:after="0"/>
        <w:jc w:val="both"/>
        <w:rPr>
          <w:sz w:val="16"/>
        </w:rPr>
        <w:sectPr>
          <w:pgSz w:w="12240" w:h="15840"/>
          <w:pgMar w:header="0" w:footer="1000" w:top="1340" w:bottom="1200" w:left="1580" w:right="1580"/>
        </w:sectPr>
      </w:pPr>
    </w:p>
    <w:p>
      <w:pPr>
        <w:pStyle w:val="ListParagraph"/>
        <w:numPr>
          <w:ilvl w:val="0"/>
          <w:numId w:val="31"/>
        </w:numPr>
        <w:tabs>
          <w:tab w:pos="830" w:val="left" w:leader="none"/>
        </w:tabs>
        <w:spacing w:line="240" w:lineRule="auto" w:before="161" w:after="0"/>
        <w:ind w:left="122" w:right="125" w:firstLine="0"/>
        <w:jc w:val="both"/>
        <w:rPr>
          <w:sz w:val="20"/>
        </w:rPr>
      </w:pPr>
      <w:r>
        <w:rPr>
          <w:sz w:val="20"/>
        </w:rPr>
        <w:t>Al proceder de esta manera, la Corte realiza una interpretación que permite actualizar el sentido de los derechos derivados de la Carta que se encuentran reconocidos en el artículo 26 de la Convención</w:t>
      </w:r>
      <w:r>
        <w:rPr>
          <w:position w:val="7"/>
          <w:sz w:val="13"/>
        </w:rPr>
        <w:t>188</w:t>
      </w:r>
      <w:r>
        <w:rPr>
          <w:sz w:val="20"/>
        </w:rPr>
        <w:t>. Es por ello que lo que realiza es una aplicación de esta norma y, como ya antes ha explicado, </w:t>
      </w:r>
      <w:r>
        <w:rPr>
          <w:spacing w:val="2"/>
          <w:sz w:val="20"/>
        </w:rPr>
        <w:t>“no </w:t>
      </w:r>
      <w:r>
        <w:rPr>
          <w:sz w:val="20"/>
        </w:rPr>
        <w:t>está asumiendo competencias</w:t>
      </w:r>
      <w:r>
        <w:rPr>
          <w:spacing w:val="-14"/>
          <w:sz w:val="20"/>
        </w:rPr>
        <w:t> </w:t>
      </w:r>
      <w:r>
        <w:rPr>
          <w:sz w:val="20"/>
        </w:rPr>
        <w:t>sobre</w:t>
      </w:r>
      <w:r>
        <w:rPr>
          <w:spacing w:val="-15"/>
          <w:sz w:val="20"/>
        </w:rPr>
        <w:t> </w:t>
      </w:r>
      <w:r>
        <w:rPr>
          <w:sz w:val="20"/>
        </w:rPr>
        <w:t>tratados</w:t>
      </w:r>
      <w:r>
        <w:rPr>
          <w:spacing w:val="-12"/>
          <w:sz w:val="20"/>
        </w:rPr>
        <w:t> </w:t>
      </w:r>
      <w:r>
        <w:rPr>
          <w:sz w:val="20"/>
        </w:rPr>
        <w:t>en</w:t>
      </w:r>
      <w:r>
        <w:rPr>
          <w:spacing w:val="-13"/>
          <w:sz w:val="20"/>
        </w:rPr>
        <w:t> </w:t>
      </w:r>
      <w:r>
        <w:rPr>
          <w:sz w:val="20"/>
        </w:rPr>
        <w:t>los</w:t>
      </w:r>
      <w:r>
        <w:rPr>
          <w:spacing w:val="-12"/>
          <w:sz w:val="20"/>
        </w:rPr>
        <w:t> </w:t>
      </w:r>
      <w:r>
        <w:rPr>
          <w:sz w:val="20"/>
        </w:rPr>
        <w:t>que</w:t>
      </w:r>
      <w:r>
        <w:rPr>
          <w:spacing w:val="-15"/>
          <w:sz w:val="20"/>
        </w:rPr>
        <w:t> </w:t>
      </w:r>
      <w:r>
        <w:rPr>
          <w:sz w:val="20"/>
        </w:rPr>
        <w:t>no</w:t>
      </w:r>
      <w:r>
        <w:rPr>
          <w:spacing w:val="-15"/>
          <w:sz w:val="20"/>
        </w:rPr>
        <w:t> </w:t>
      </w:r>
      <w:r>
        <w:rPr>
          <w:sz w:val="20"/>
        </w:rPr>
        <w:t>la</w:t>
      </w:r>
      <w:r>
        <w:rPr>
          <w:spacing w:val="-13"/>
          <w:sz w:val="20"/>
        </w:rPr>
        <w:t> </w:t>
      </w:r>
      <w:r>
        <w:rPr>
          <w:sz w:val="20"/>
        </w:rPr>
        <w:t>tiene,</w:t>
      </w:r>
      <w:r>
        <w:rPr>
          <w:spacing w:val="-14"/>
          <w:sz w:val="20"/>
        </w:rPr>
        <w:t> </w:t>
      </w:r>
      <w:r>
        <w:rPr>
          <w:sz w:val="20"/>
        </w:rPr>
        <w:t>ni</w:t>
      </w:r>
      <w:r>
        <w:rPr>
          <w:spacing w:val="-14"/>
          <w:sz w:val="20"/>
        </w:rPr>
        <w:t> </w:t>
      </w:r>
      <w:r>
        <w:rPr>
          <w:sz w:val="20"/>
        </w:rPr>
        <w:t>tampoco</w:t>
      </w:r>
      <w:r>
        <w:rPr>
          <w:spacing w:val="-12"/>
          <w:sz w:val="20"/>
        </w:rPr>
        <w:t> </w:t>
      </w:r>
      <w:r>
        <w:rPr>
          <w:sz w:val="20"/>
        </w:rPr>
        <w:t>está</w:t>
      </w:r>
      <w:r>
        <w:rPr>
          <w:spacing w:val="-11"/>
          <w:sz w:val="20"/>
        </w:rPr>
        <w:t> </w:t>
      </w:r>
      <w:r>
        <w:rPr>
          <w:sz w:val="20"/>
        </w:rPr>
        <w:t>otorgando</w:t>
      </w:r>
      <w:r>
        <w:rPr>
          <w:spacing w:val="-15"/>
          <w:sz w:val="20"/>
        </w:rPr>
        <w:t> </w:t>
      </w:r>
      <w:r>
        <w:rPr>
          <w:sz w:val="20"/>
        </w:rPr>
        <w:t>jerarquía convencional a normas contenidas en otros instrumentos nacionales o internacionales relacionados con los [derechos económicos, sociales, culturales y</w:t>
      </w:r>
      <w:r>
        <w:rPr>
          <w:spacing w:val="-23"/>
          <w:sz w:val="20"/>
        </w:rPr>
        <w:t> </w:t>
      </w:r>
      <w:r>
        <w:rPr>
          <w:sz w:val="20"/>
        </w:rPr>
        <w:t>ambientales]”</w:t>
      </w:r>
      <w:r>
        <w:rPr>
          <w:position w:val="7"/>
          <w:sz w:val="13"/>
        </w:rPr>
        <w:t>189</w:t>
      </w:r>
      <w:r>
        <w:rPr>
          <w:sz w:val="20"/>
        </w:rPr>
        <w:t>.</w:t>
      </w:r>
    </w:p>
    <w:p>
      <w:pPr>
        <w:pStyle w:val="BodyText"/>
      </w:pPr>
    </w:p>
    <w:p>
      <w:pPr>
        <w:pStyle w:val="ListParagraph"/>
        <w:numPr>
          <w:ilvl w:val="0"/>
          <w:numId w:val="31"/>
        </w:numPr>
        <w:tabs>
          <w:tab w:pos="830" w:val="left" w:leader="none"/>
        </w:tabs>
        <w:spacing w:line="240" w:lineRule="auto" w:before="0" w:after="0"/>
        <w:ind w:left="122" w:right="124" w:firstLine="0"/>
        <w:jc w:val="both"/>
        <w:rPr>
          <w:sz w:val="20"/>
        </w:rPr>
      </w:pPr>
      <w:r>
        <w:rPr>
          <w:sz w:val="20"/>
        </w:rPr>
        <w:t>A continuación, este Tribunal procede, con base en lo antes indicado, a verificar el</w:t>
      </w:r>
      <w:r>
        <w:rPr>
          <w:spacing w:val="-12"/>
          <w:sz w:val="20"/>
        </w:rPr>
        <w:t> </w:t>
      </w:r>
      <w:r>
        <w:rPr>
          <w:sz w:val="20"/>
        </w:rPr>
        <w:t>reconocimiento</w:t>
      </w:r>
      <w:r>
        <w:rPr>
          <w:spacing w:val="-13"/>
          <w:sz w:val="20"/>
        </w:rPr>
        <w:t> </w:t>
      </w:r>
      <w:r>
        <w:rPr>
          <w:sz w:val="20"/>
        </w:rPr>
        <w:t>y</w:t>
      </w:r>
      <w:r>
        <w:rPr>
          <w:spacing w:val="-11"/>
          <w:sz w:val="20"/>
        </w:rPr>
        <w:t> </w:t>
      </w:r>
      <w:r>
        <w:rPr>
          <w:sz w:val="20"/>
        </w:rPr>
        <w:t>contenido</w:t>
      </w:r>
      <w:r>
        <w:rPr>
          <w:spacing w:val="-12"/>
          <w:sz w:val="20"/>
        </w:rPr>
        <w:t> </w:t>
      </w:r>
      <w:r>
        <w:rPr>
          <w:sz w:val="20"/>
        </w:rPr>
        <w:t>pertinente</w:t>
      </w:r>
      <w:r>
        <w:rPr>
          <w:spacing w:val="-12"/>
          <w:sz w:val="20"/>
        </w:rPr>
        <w:t> </w:t>
      </w:r>
      <w:r>
        <w:rPr>
          <w:sz w:val="20"/>
        </w:rPr>
        <w:t>de</w:t>
      </w:r>
      <w:r>
        <w:rPr>
          <w:spacing w:val="-13"/>
          <w:sz w:val="20"/>
        </w:rPr>
        <w:t> </w:t>
      </w:r>
      <w:r>
        <w:rPr>
          <w:sz w:val="20"/>
        </w:rPr>
        <w:t>los</w:t>
      </w:r>
      <w:r>
        <w:rPr>
          <w:spacing w:val="-11"/>
          <w:sz w:val="20"/>
        </w:rPr>
        <w:t> </w:t>
      </w:r>
      <w:r>
        <w:rPr>
          <w:sz w:val="20"/>
        </w:rPr>
        <w:t>derechos</w:t>
      </w:r>
      <w:r>
        <w:rPr>
          <w:spacing w:val="-11"/>
          <w:sz w:val="20"/>
        </w:rPr>
        <w:t> </w:t>
      </w:r>
      <w:r>
        <w:rPr>
          <w:sz w:val="20"/>
        </w:rPr>
        <w:t>comprendidos</w:t>
      </w:r>
      <w:r>
        <w:rPr>
          <w:spacing w:val="-11"/>
          <w:sz w:val="20"/>
        </w:rPr>
        <w:t> </w:t>
      </w:r>
      <w:r>
        <w:rPr>
          <w:sz w:val="20"/>
        </w:rPr>
        <w:t>en</w:t>
      </w:r>
      <w:r>
        <w:rPr>
          <w:spacing w:val="-11"/>
          <w:sz w:val="20"/>
        </w:rPr>
        <w:t> </w:t>
      </w:r>
      <w:r>
        <w:rPr>
          <w:sz w:val="20"/>
        </w:rPr>
        <w:t>el</w:t>
      </w:r>
      <w:r>
        <w:rPr>
          <w:spacing w:val="-14"/>
          <w:sz w:val="20"/>
        </w:rPr>
        <w:t> </w:t>
      </w:r>
      <w:r>
        <w:rPr>
          <w:sz w:val="20"/>
        </w:rPr>
        <w:t>artículo</w:t>
      </w:r>
      <w:r>
        <w:rPr>
          <w:spacing w:val="-13"/>
          <w:sz w:val="20"/>
        </w:rPr>
        <w:t> </w:t>
      </w:r>
      <w:r>
        <w:rPr>
          <w:sz w:val="20"/>
        </w:rPr>
        <w:t>26 de</w:t>
      </w:r>
      <w:r>
        <w:rPr>
          <w:spacing w:val="-13"/>
          <w:sz w:val="20"/>
        </w:rPr>
        <w:t> </w:t>
      </w:r>
      <w:r>
        <w:rPr>
          <w:sz w:val="20"/>
        </w:rPr>
        <w:t>la</w:t>
      </w:r>
      <w:r>
        <w:rPr>
          <w:spacing w:val="-9"/>
          <w:sz w:val="20"/>
        </w:rPr>
        <w:t> </w:t>
      </w:r>
      <w:r>
        <w:rPr>
          <w:sz w:val="20"/>
        </w:rPr>
        <w:t>Convención</w:t>
      </w:r>
      <w:r>
        <w:rPr>
          <w:spacing w:val="-8"/>
          <w:sz w:val="20"/>
        </w:rPr>
        <w:t> </w:t>
      </w:r>
      <w:r>
        <w:rPr>
          <w:sz w:val="20"/>
        </w:rPr>
        <w:t>implicados</w:t>
      </w:r>
      <w:r>
        <w:rPr>
          <w:spacing w:val="-10"/>
          <w:sz w:val="20"/>
        </w:rPr>
        <w:t> </w:t>
      </w:r>
      <w:r>
        <w:rPr>
          <w:sz w:val="20"/>
        </w:rPr>
        <w:t>en</w:t>
      </w:r>
      <w:r>
        <w:rPr>
          <w:spacing w:val="-8"/>
          <w:sz w:val="20"/>
        </w:rPr>
        <w:t> </w:t>
      </w:r>
      <w:r>
        <w:rPr>
          <w:sz w:val="20"/>
        </w:rPr>
        <w:t>el</w:t>
      </w:r>
      <w:r>
        <w:rPr>
          <w:spacing w:val="-9"/>
          <w:sz w:val="20"/>
        </w:rPr>
        <w:t> </w:t>
      </w:r>
      <w:r>
        <w:rPr>
          <w:sz w:val="20"/>
        </w:rPr>
        <w:t>caso.</w:t>
      </w:r>
      <w:r>
        <w:rPr>
          <w:spacing w:val="-12"/>
          <w:sz w:val="20"/>
        </w:rPr>
        <w:t> </w:t>
      </w:r>
      <w:r>
        <w:rPr>
          <w:sz w:val="20"/>
        </w:rPr>
        <w:t>El</w:t>
      </w:r>
      <w:r>
        <w:rPr>
          <w:spacing w:val="-9"/>
          <w:sz w:val="20"/>
        </w:rPr>
        <w:t> </w:t>
      </w:r>
      <w:r>
        <w:rPr>
          <w:sz w:val="20"/>
        </w:rPr>
        <w:t>Tribunal</w:t>
      </w:r>
      <w:r>
        <w:rPr>
          <w:spacing w:val="-11"/>
          <w:sz w:val="20"/>
        </w:rPr>
        <w:t> </w:t>
      </w:r>
      <w:r>
        <w:rPr>
          <w:sz w:val="20"/>
        </w:rPr>
        <w:t>resalta</w:t>
      </w:r>
      <w:r>
        <w:rPr>
          <w:spacing w:val="-11"/>
          <w:sz w:val="20"/>
        </w:rPr>
        <w:t> </w:t>
      </w:r>
      <w:r>
        <w:rPr>
          <w:sz w:val="20"/>
        </w:rPr>
        <w:t>que</w:t>
      </w:r>
      <w:r>
        <w:rPr>
          <w:spacing w:val="-10"/>
          <w:sz w:val="20"/>
        </w:rPr>
        <w:t> </w:t>
      </w:r>
      <w:r>
        <w:rPr>
          <w:sz w:val="20"/>
        </w:rPr>
        <w:t>los</w:t>
      </w:r>
      <w:r>
        <w:rPr>
          <w:spacing w:val="-10"/>
          <w:sz w:val="20"/>
        </w:rPr>
        <w:t> </w:t>
      </w:r>
      <w:r>
        <w:rPr>
          <w:sz w:val="20"/>
        </w:rPr>
        <w:t>representantes</w:t>
      </w:r>
      <w:r>
        <w:rPr>
          <w:spacing w:val="-10"/>
          <w:sz w:val="20"/>
        </w:rPr>
        <w:t> </w:t>
      </w:r>
      <w:r>
        <w:rPr>
          <w:sz w:val="20"/>
        </w:rPr>
        <w:t>de</w:t>
      </w:r>
      <w:r>
        <w:rPr>
          <w:spacing w:val="-10"/>
          <w:sz w:val="20"/>
        </w:rPr>
        <w:t> </w:t>
      </w:r>
      <w:r>
        <w:rPr>
          <w:sz w:val="20"/>
        </w:rPr>
        <w:t>las comunidades indígenas no han alegado la violación del derecho humano al agua. No obstante, de conformidad con lo que se explicará más adelante, los hechos del caso tienen relación con el goce de este derecho. El mismo puede ser estudiado, pues este Tribunal tiene competencia, con base en el principio </w:t>
      </w:r>
      <w:r>
        <w:rPr>
          <w:i/>
          <w:sz w:val="20"/>
        </w:rPr>
        <w:t>iura novit curia, </w:t>
      </w:r>
      <w:r>
        <w:rPr>
          <w:sz w:val="20"/>
        </w:rPr>
        <w:t>para analizar la posible violación de las normas de la Convención que no han sido alegadas, en el entendido de que las partes hayan tenido la oportunidad de expresar sus respectivas posiciones en relación con los hechos que las</w:t>
      </w:r>
      <w:r>
        <w:rPr>
          <w:spacing w:val="-16"/>
          <w:sz w:val="20"/>
        </w:rPr>
        <w:t> </w:t>
      </w:r>
      <w:r>
        <w:rPr>
          <w:sz w:val="20"/>
        </w:rPr>
        <w:t>sustentan</w:t>
      </w:r>
      <w:r>
        <w:rPr>
          <w:position w:val="7"/>
          <w:sz w:val="13"/>
        </w:rPr>
        <w:t>190</w:t>
      </w:r>
      <w:r>
        <w:rPr>
          <w:sz w:val="20"/>
        </w:rPr>
        <w:t>.</w:t>
      </w:r>
    </w:p>
    <w:p>
      <w:pPr>
        <w:pStyle w:val="BodyText"/>
      </w:pPr>
    </w:p>
    <w:p>
      <w:pPr>
        <w:pStyle w:val="ListParagraph"/>
        <w:numPr>
          <w:ilvl w:val="0"/>
          <w:numId w:val="31"/>
        </w:numPr>
        <w:tabs>
          <w:tab w:pos="830" w:val="left" w:leader="none"/>
        </w:tabs>
        <w:spacing w:line="240" w:lineRule="auto" w:before="0" w:after="0"/>
        <w:ind w:left="122" w:right="121" w:firstLine="0"/>
        <w:jc w:val="both"/>
        <w:rPr>
          <w:sz w:val="20"/>
        </w:rPr>
      </w:pPr>
      <w:r>
        <w:rPr>
          <w:sz w:val="20"/>
        </w:rPr>
        <w:t>La Corte advierte que este es el primer caso contencioso en el que debe pronunciarse</w:t>
      </w:r>
      <w:r>
        <w:rPr>
          <w:spacing w:val="-12"/>
          <w:sz w:val="20"/>
        </w:rPr>
        <w:t> </w:t>
      </w:r>
      <w:r>
        <w:rPr>
          <w:sz w:val="20"/>
        </w:rPr>
        <w:t>sobre</w:t>
      </w:r>
      <w:r>
        <w:rPr>
          <w:spacing w:val="-14"/>
          <w:sz w:val="20"/>
        </w:rPr>
        <w:t> </w:t>
      </w:r>
      <w:r>
        <w:rPr>
          <w:sz w:val="20"/>
        </w:rPr>
        <w:t>los</w:t>
      </w:r>
      <w:r>
        <w:rPr>
          <w:spacing w:val="-13"/>
          <w:sz w:val="20"/>
        </w:rPr>
        <w:t> </w:t>
      </w:r>
      <w:r>
        <w:rPr>
          <w:sz w:val="20"/>
        </w:rPr>
        <w:t>derechos</w:t>
      </w:r>
      <w:r>
        <w:rPr>
          <w:spacing w:val="-13"/>
          <w:sz w:val="20"/>
        </w:rPr>
        <w:t> </w:t>
      </w:r>
      <w:r>
        <w:rPr>
          <w:sz w:val="20"/>
        </w:rPr>
        <w:t>a</w:t>
      </w:r>
      <w:r>
        <w:rPr>
          <w:spacing w:val="-12"/>
          <w:sz w:val="20"/>
        </w:rPr>
        <w:t> </w:t>
      </w:r>
      <w:r>
        <w:rPr>
          <w:sz w:val="20"/>
        </w:rPr>
        <w:t>un</w:t>
      </w:r>
      <w:r>
        <w:rPr>
          <w:spacing w:val="-12"/>
          <w:sz w:val="20"/>
        </w:rPr>
        <w:t> </w:t>
      </w:r>
      <w:r>
        <w:rPr>
          <w:sz w:val="20"/>
        </w:rPr>
        <w:t>medio</w:t>
      </w:r>
      <w:r>
        <w:rPr>
          <w:spacing w:val="-14"/>
          <w:sz w:val="20"/>
        </w:rPr>
        <w:t> </w:t>
      </w:r>
      <w:r>
        <w:rPr>
          <w:sz w:val="20"/>
        </w:rPr>
        <w:t>ambiente</w:t>
      </w:r>
      <w:r>
        <w:rPr>
          <w:spacing w:val="-14"/>
          <w:sz w:val="20"/>
        </w:rPr>
        <w:t> </w:t>
      </w:r>
      <w:r>
        <w:rPr>
          <w:sz w:val="20"/>
        </w:rPr>
        <w:t>sano,</w:t>
      </w:r>
      <w:r>
        <w:rPr>
          <w:spacing w:val="-13"/>
          <w:sz w:val="20"/>
        </w:rPr>
        <w:t> </w:t>
      </w:r>
      <w:r>
        <w:rPr>
          <w:sz w:val="20"/>
        </w:rPr>
        <w:t>a</w:t>
      </w:r>
      <w:r>
        <w:rPr>
          <w:spacing w:val="-12"/>
          <w:sz w:val="20"/>
        </w:rPr>
        <w:t> </w:t>
      </w:r>
      <w:r>
        <w:rPr>
          <w:sz w:val="20"/>
        </w:rPr>
        <w:t>la</w:t>
      </w:r>
      <w:r>
        <w:rPr>
          <w:spacing w:val="-12"/>
          <w:sz w:val="20"/>
        </w:rPr>
        <w:t> </w:t>
      </w:r>
      <w:r>
        <w:rPr>
          <w:sz w:val="20"/>
        </w:rPr>
        <w:t>alimentación</w:t>
      </w:r>
      <w:r>
        <w:rPr>
          <w:spacing w:val="-6"/>
          <w:sz w:val="20"/>
        </w:rPr>
        <w:t> </w:t>
      </w:r>
      <w:r>
        <w:rPr>
          <w:sz w:val="20"/>
        </w:rPr>
        <w:t>adecuada, al agua y a participar en la vida cultural a partir del artículo 26 de la Convención. Por ello, considera útil realizar algunas consideraciones respecto a tales derechos, así</w:t>
      </w:r>
      <w:r>
        <w:rPr>
          <w:spacing w:val="-36"/>
          <w:sz w:val="20"/>
        </w:rPr>
        <w:t> </w:t>
      </w:r>
      <w:r>
        <w:rPr>
          <w:sz w:val="20"/>
        </w:rPr>
        <w:t>como sobre su implicancia y particularidades respecto a pueblos indígenas. A tal efecto: </w:t>
      </w:r>
      <w:r>
        <w:rPr>
          <w:spacing w:val="3"/>
          <w:sz w:val="20"/>
        </w:rPr>
        <w:t>1.- </w:t>
      </w:r>
      <w:r>
        <w:rPr>
          <w:sz w:val="20"/>
        </w:rPr>
        <w:t>en el apartado siguiente dará cuenta, a) en primer lugar, del reconocimiento normativo y,</w:t>
      </w:r>
      <w:r>
        <w:rPr>
          <w:spacing w:val="-3"/>
          <w:sz w:val="20"/>
        </w:rPr>
        <w:t> </w:t>
      </w:r>
      <w:r>
        <w:rPr>
          <w:sz w:val="20"/>
        </w:rPr>
        <w:t>en</w:t>
      </w:r>
      <w:r>
        <w:rPr>
          <w:spacing w:val="-5"/>
          <w:sz w:val="20"/>
        </w:rPr>
        <w:t> </w:t>
      </w:r>
      <w:r>
        <w:rPr>
          <w:sz w:val="20"/>
        </w:rPr>
        <w:t>lo</w:t>
      </w:r>
      <w:r>
        <w:rPr>
          <w:spacing w:val="-4"/>
          <w:sz w:val="20"/>
        </w:rPr>
        <w:t> </w:t>
      </w:r>
      <w:r>
        <w:rPr>
          <w:sz w:val="20"/>
        </w:rPr>
        <w:t>relevante</w:t>
      </w:r>
      <w:r>
        <w:rPr>
          <w:spacing w:val="-5"/>
          <w:sz w:val="20"/>
        </w:rPr>
        <w:t> </w:t>
      </w:r>
      <w:r>
        <w:rPr>
          <w:sz w:val="20"/>
        </w:rPr>
        <w:t>para</w:t>
      </w:r>
      <w:r>
        <w:rPr>
          <w:spacing w:val="-1"/>
          <w:sz w:val="20"/>
        </w:rPr>
        <w:t> </w:t>
      </w:r>
      <w:r>
        <w:rPr>
          <w:sz w:val="20"/>
        </w:rPr>
        <w:t>el</w:t>
      </w:r>
      <w:r>
        <w:rPr>
          <w:spacing w:val="-5"/>
          <w:sz w:val="20"/>
        </w:rPr>
        <w:t> </w:t>
      </w:r>
      <w:r>
        <w:rPr>
          <w:sz w:val="20"/>
        </w:rPr>
        <w:t>caso,</w:t>
      </w:r>
      <w:r>
        <w:rPr>
          <w:spacing w:val="-6"/>
          <w:sz w:val="20"/>
        </w:rPr>
        <w:t> </w:t>
      </w:r>
      <w:r>
        <w:rPr>
          <w:sz w:val="20"/>
        </w:rPr>
        <w:t>del</w:t>
      </w:r>
      <w:r>
        <w:rPr>
          <w:spacing w:val="-3"/>
          <w:sz w:val="20"/>
        </w:rPr>
        <w:t> </w:t>
      </w:r>
      <w:r>
        <w:rPr>
          <w:sz w:val="20"/>
        </w:rPr>
        <w:t>contenido</w:t>
      </w:r>
      <w:r>
        <w:rPr>
          <w:spacing w:val="-7"/>
          <w:sz w:val="20"/>
        </w:rPr>
        <w:t> </w:t>
      </w:r>
      <w:r>
        <w:rPr>
          <w:sz w:val="20"/>
        </w:rPr>
        <w:t>de</w:t>
      </w:r>
      <w:r>
        <w:rPr>
          <w:spacing w:val="-7"/>
          <w:sz w:val="20"/>
        </w:rPr>
        <w:t> </w:t>
      </w:r>
      <w:r>
        <w:rPr>
          <w:sz w:val="20"/>
        </w:rPr>
        <w:t>los</w:t>
      </w:r>
      <w:r>
        <w:rPr>
          <w:spacing w:val="-4"/>
          <w:sz w:val="20"/>
        </w:rPr>
        <w:t> </w:t>
      </w:r>
      <w:r>
        <w:rPr>
          <w:sz w:val="20"/>
        </w:rPr>
        <w:t>derechos</w:t>
      </w:r>
      <w:r>
        <w:rPr>
          <w:spacing w:val="-4"/>
          <w:sz w:val="20"/>
        </w:rPr>
        <w:t> </w:t>
      </w:r>
      <w:r>
        <w:rPr>
          <w:sz w:val="20"/>
        </w:rPr>
        <w:t>aludidos,</w:t>
      </w:r>
      <w:r>
        <w:rPr>
          <w:spacing w:val="-4"/>
          <w:sz w:val="20"/>
        </w:rPr>
        <w:t> </w:t>
      </w:r>
      <w:r>
        <w:rPr>
          <w:sz w:val="20"/>
        </w:rPr>
        <w:t>y</w:t>
      </w:r>
      <w:r>
        <w:rPr>
          <w:spacing w:val="-6"/>
          <w:sz w:val="20"/>
        </w:rPr>
        <w:t> </w:t>
      </w:r>
      <w:r>
        <w:rPr>
          <w:sz w:val="20"/>
        </w:rPr>
        <w:t>b)</w:t>
      </w:r>
      <w:r>
        <w:rPr>
          <w:spacing w:val="-3"/>
          <w:sz w:val="20"/>
        </w:rPr>
        <w:t> </w:t>
      </w:r>
      <w:r>
        <w:rPr>
          <w:sz w:val="20"/>
        </w:rPr>
        <w:t>en</w:t>
      </w:r>
      <w:r>
        <w:rPr>
          <w:spacing w:val="-3"/>
          <w:sz w:val="20"/>
        </w:rPr>
        <w:t> </w:t>
      </w:r>
      <w:r>
        <w:rPr>
          <w:sz w:val="20"/>
        </w:rPr>
        <w:t>segundo término,</w:t>
      </w:r>
      <w:r>
        <w:rPr>
          <w:spacing w:val="-17"/>
          <w:sz w:val="20"/>
        </w:rPr>
        <w:t> </w:t>
      </w:r>
      <w:r>
        <w:rPr>
          <w:sz w:val="20"/>
        </w:rPr>
        <w:t>de</w:t>
      </w:r>
      <w:r>
        <w:rPr>
          <w:spacing w:val="-17"/>
          <w:sz w:val="20"/>
        </w:rPr>
        <w:t> </w:t>
      </w:r>
      <w:r>
        <w:rPr>
          <w:sz w:val="20"/>
        </w:rPr>
        <w:t>la</w:t>
      </w:r>
      <w:r>
        <w:rPr>
          <w:spacing w:val="-16"/>
          <w:sz w:val="20"/>
        </w:rPr>
        <w:t> </w:t>
      </w:r>
      <w:r>
        <w:rPr>
          <w:sz w:val="20"/>
        </w:rPr>
        <w:t>interdependencia</w:t>
      </w:r>
      <w:r>
        <w:rPr>
          <w:spacing w:val="-16"/>
          <w:sz w:val="20"/>
        </w:rPr>
        <w:t> </w:t>
      </w:r>
      <w:r>
        <w:rPr>
          <w:sz w:val="20"/>
        </w:rPr>
        <w:t>de</w:t>
      </w:r>
      <w:r>
        <w:rPr>
          <w:spacing w:val="-17"/>
          <w:sz w:val="20"/>
        </w:rPr>
        <w:t> </w:t>
      </w:r>
      <w:r>
        <w:rPr>
          <w:sz w:val="20"/>
        </w:rPr>
        <w:t>los</w:t>
      </w:r>
      <w:r>
        <w:rPr>
          <w:spacing w:val="-15"/>
          <w:sz w:val="20"/>
        </w:rPr>
        <w:t> </w:t>
      </w:r>
      <w:r>
        <w:rPr>
          <w:sz w:val="20"/>
        </w:rPr>
        <w:t>cuatro</w:t>
      </w:r>
      <w:r>
        <w:rPr>
          <w:spacing w:val="-17"/>
          <w:sz w:val="20"/>
        </w:rPr>
        <w:t> </w:t>
      </w:r>
      <w:r>
        <w:rPr>
          <w:sz w:val="20"/>
        </w:rPr>
        <w:t>derechos</w:t>
      </w:r>
      <w:r>
        <w:rPr>
          <w:spacing w:val="-16"/>
          <w:sz w:val="20"/>
        </w:rPr>
        <w:t> </w:t>
      </w:r>
      <w:r>
        <w:rPr>
          <w:sz w:val="20"/>
        </w:rPr>
        <w:t>y</w:t>
      </w:r>
      <w:r>
        <w:rPr>
          <w:spacing w:val="-16"/>
          <w:sz w:val="20"/>
        </w:rPr>
        <w:t> </w:t>
      </w:r>
      <w:r>
        <w:rPr>
          <w:sz w:val="20"/>
        </w:rPr>
        <w:t>las</w:t>
      </w:r>
      <w:r>
        <w:rPr>
          <w:spacing w:val="-17"/>
          <w:sz w:val="20"/>
        </w:rPr>
        <w:t> </w:t>
      </w:r>
      <w:r>
        <w:rPr>
          <w:sz w:val="20"/>
        </w:rPr>
        <w:t>particularidades</w:t>
      </w:r>
      <w:r>
        <w:rPr>
          <w:spacing w:val="-17"/>
          <w:sz w:val="20"/>
        </w:rPr>
        <w:t> </w:t>
      </w:r>
      <w:r>
        <w:rPr>
          <w:sz w:val="20"/>
        </w:rPr>
        <w:t>pertinentes de los mismos respecto de pueblos indígenas. Por otra parte, 2.- en su segundo apartado, a) indicará los hechos relevantes del caso y b) analizará si de los mismos se desprende la responsabilidad</w:t>
      </w:r>
      <w:r>
        <w:rPr>
          <w:spacing w:val="-14"/>
          <w:sz w:val="20"/>
        </w:rPr>
        <w:t> </w:t>
      </w:r>
      <w:r>
        <w:rPr>
          <w:sz w:val="20"/>
        </w:rPr>
        <w:t>estatal.</w:t>
      </w:r>
    </w:p>
    <w:p>
      <w:pPr>
        <w:pStyle w:val="BodyText"/>
        <w:spacing w:before="10"/>
        <w:rPr>
          <w:sz w:val="19"/>
        </w:rPr>
      </w:pPr>
    </w:p>
    <w:p>
      <w:pPr>
        <w:pStyle w:val="Heading4"/>
        <w:numPr>
          <w:ilvl w:val="1"/>
          <w:numId w:val="32"/>
        </w:numPr>
        <w:tabs>
          <w:tab w:pos="1121" w:val="left" w:leader="none"/>
        </w:tabs>
        <w:spacing w:line="240" w:lineRule="auto" w:before="0" w:after="0"/>
        <w:ind w:left="688" w:right="179" w:firstLine="0"/>
        <w:jc w:val="left"/>
      </w:pPr>
      <w:bookmarkStart w:name="_bookmark61" w:id="103"/>
      <w:bookmarkEnd w:id="103"/>
      <w:r>
        <w:rPr>
          <w:b w:val="0"/>
          <w:i w:val="0"/>
        </w:rPr>
      </w:r>
      <w:bookmarkStart w:name="_bookmark61" w:id="104"/>
      <w:bookmarkEnd w:id="104"/>
      <w:r>
        <w:rPr>
          <w:i/>
        </w:rPr>
        <w:t>L</w:t>
      </w:r>
      <w:r>
        <w:rPr>
          <w:i/>
        </w:rPr>
        <w:t>os derechos a un medio ambiente sano, a la alimentación</w:t>
      </w:r>
      <w:r>
        <w:rPr>
          <w:i/>
          <w:spacing w:val="-29"/>
        </w:rPr>
        <w:t> </w:t>
      </w:r>
      <w:r>
        <w:rPr>
          <w:i/>
        </w:rPr>
        <w:t>adecuada, </w:t>
      </w:r>
      <w:r>
        <w:rPr/>
        <w:t>al agua y a participar en la vida</w:t>
      </w:r>
      <w:r>
        <w:rPr>
          <w:spacing w:val="-17"/>
        </w:rPr>
        <w:t> </w:t>
      </w:r>
      <w:r>
        <w:rPr/>
        <w:t>cultural</w:t>
      </w:r>
    </w:p>
    <w:p>
      <w:pPr>
        <w:pStyle w:val="BodyText"/>
        <w:spacing w:before="10"/>
        <w:rPr>
          <w:b/>
          <w:i/>
          <w:sz w:val="19"/>
        </w:rPr>
      </w:pPr>
    </w:p>
    <w:p>
      <w:pPr>
        <w:pStyle w:val="ListParagraph"/>
        <w:numPr>
          <w:ilvl w:val="2"/>
          <w:numId w:val="32"/>
        </w:numPr>
        <w:tabs>
          <w:tab w:pos="1447" w:val="left" w:leader="none"/>
        </w:tabs>
        <w:spacing w:line="240" w:lineRule="auto" w:before="0" w:after="0"/>
        <w:ind w:left="974" w:right="0" w:hanging="132"/>
        <w:jc w:val="left"/>
        <w:rPr>
          <w:i/>
          <w:sz w:val="20"/>
        </w:rPr>
      </w:pPr>
      <w:bookmarkStart w:name="_bookmark62" w:id="105"/>
      <w:bookmarkEnd w:id="105"/>
      <w:r>
        <w:rPr/>
      </w:r>
      <w:bookmarkStart w:name="_bookmark62" w:id="106"/>
      <w:bookmarkEnd w:id="106"/>
      <w:r>
        <w:rPr>
          <w:i/>
          <w:sz w:val="20"/>
          <w:u w:val="single"/>
        </w:rPr>
        <w:t>R</w:t>
      </w:r>
      <w:r>
        <w:rPr>
          <w:i/>
          <w:sz w:val="20"/>
          <w:u w:val="single"/>
        </w:rPr>
        <w:t>econocimiento normativo y contenido</w:t>
      </w:r>
      <w:r>
        <w:rPr>
          <w:i/>
          <w:spacing w:val="-19"/>
          <w:sz w:val="20"/>
          <w:u w:val="single"/>
        </w:rPr>
        <w:t> </w:t>
      </w:r>
      <w:r>
        <w:rPr>
          <w:i/>
          <w:sz w:val="20"/>
          <w:u w:val="single"/>
        </w:rPr>
        <w:t>relevante</w:t>
      </w:r>
    </w:p>
    <w:p>
      <w:pPr>
        <w:pStyle w:val="BodyText"/>
        <w:spacing w:before="10"/>
        <w:rPr>
          <w:i/>
          <w:sz w:val="11"/>
        </w:rPr>
      </w:pPr>
    </w:p>
    <w:p>
      <w:pPr>
        <w:pStyle w:val="ListParagraph"/>
        <w:numPr>
          <w:ilvl w:val="3"/>
          <w:numId w:val="32"/>
        </w:numPr>
        <w:tabs>
          <w:tab w:pos="2059" w:val="left" w:leader="none"/>
        </w:tabs>
        <w:spacing w:line="240" w:lineRule="auto" w:before="99" w:after="0"/>
        <w:ind w:left="2058" w:right="0" w:hanging="804"/>
        <w:jc w:val="left"/>
        <w:rPr>
          <w:i/>
          <w:sz w:val="20"/>
        </w:rPr>
      </w:pPr>
      <w:bookmarkStart w:name="_bookmark63" w:id="107"/>
      <w:bookmarkEnd w:id="107"/>
      <w:r>
        <w:rPr/>
      </w:r>
      <w:bookmarkStart w:name="_bookmark63" w:id="108"/>
      <w:bookmarkEnd w:id="108"/>
      <w:r>
        <w:rPr>
          <w:i/>
          <w:sz w:val="20"/>
        </w:rPr>
        <w:t>E</w:t>
      </w:r>
      <w:r>
        <w:rPr>
          <w:i/>
          <w:sz w:val="20"/>
        </w:rPr>
        <w:t>l derecho a un medio ambiente</w:t>
      </w:r>
      <w:r>
        <w:rPr>
          <w:i/>
          <w:spacing w:val="-15"/>
          <w:sz w:val="20"/>
        </w:rPr>
        <w:t> </w:t>
      </w:r>
      <w:r>
        <w:rPr>
          <w:i/>
          <w:sz w:val="20"/>
        </w:rPr>
        <w:t>sano</w:t>
      </w:r>
    </w:p>
    <w:p>
      <w:pPr>
        <w:pStyle w:val="BodyText"/>
        <w:spacing w:before="10"/>
        <w:rPr>
          <w:i/>
          <w:sz w:val="19"/>
        </w:rPr>
      </w:pPr>
    </w:p>
    <w:p>
      <w:pPr>
        <w:pStyle w:val="ListParagraph"/>
        <w:numPr>
          <w:ilvl w:val="0"/>
          <w:numId w:val="31"/>
        </w:numPr>
        <w:tabs>
          <w:tab w:pos="830" w:val="left" w:leader="none"/>
        </w:tabs>
        <w:spacing w:line="240" w:lineRule="auto" w:before="0" w:after="0"/>
        <w:ind w:left="122" w:right="123" w:firstLine="0"/>
        <w:jc w:val="both"/>
        <w:rPr>
          <w:sz w:val="20"/>
        </w:rPr>
      </w:pPr>
      <w:r>
        <w:rPr>
          <w:sz w:val="20"/>
        </w:rPr>
        <w:t>Este</w:t>
      </w:r>
      <w:r>
        <w:rPr>
          <w:spacing w:val="-9"/>
          <w:sz w:val="20"/>
        </w:rPr>
        <w:t> </w:t>
      </w:r>
      <w:r>
        <w:rPr>
          <w:sz w:val="20"/>
        </w:rPr>
        <w:t>Tribunal</w:t>
      </w:r>
      <w:r>
        <w:rPr>
          <w:spacing w:val="-6"/>
          <w:sz w:val="20"/>
        </w:rPr>
        <w:t> </w:t>
      </w:r>
      <w:r>
        <w:rPr>
          <w:sz w:val="20"/>
        </w:rPr>
        <w:t>ya</w:t>
      </w:r>
      <w:r>
        <w:rPr>
          <w:spacing w:val="-8"/>
          <w:sz w:val="20"/>
        </w:rPr>
        <w:t> </w:t>
      </w:r>
      <w:r>
        <w:rPr>
          <w:sz w:val="20"/>
        </w:rPr>
        <w:t>ha</w:t>
      </w:r>
      <w:r>
        <w:rPr>
          <w:spacing w:val="-7"/>
          <w:sz w:val="20"/>
        </w:rPr>
        <w:t> </w:t>
      </w:r>
      <w:r>
        <w:rPr>
          <w:sz w:val="20"/>
        </w:rPr>
        <w:t>manifestado</w:t>
      </w:r>
      <w:r>
        <w:rPr>
          <w:spacing w:val="-8"/>
          <w:sz w:val="20"/>
        </w:rPr>
        <w:t> </w:t>
      </w:r>
      <w:r>
        <w:rPr>
          <w:sz w:val="20"/>
        </w:rPr>
        <w:t>que</w:t>
      </w:r>
      <w:r>
        <w:rPr>
          <w:spacing w:val="-9"/>
          <w:sz w:val="20"/>
        </w:rPr>
        <w:t> </w:t>
      </w:r>
      <w:r>
        <w:rPr>
          <w:sz w:val="20"/>
        </w:rPr>
        <w:t>el</w:t>
      </w:r>
      <w:r>
        <w:rPr>
          <w:spacing w:val="-7"/>
          <w:sz w:val="20"/>
        </w:rPr>
        <w:t> </w:t>
      </w:r>
      <w:r>
        <w:rPr>
          <w:i/>
          <w:sz w:val="20"/>
        </w:rPr>
        <w:t>derecho</w:t>
      </w:r>
      <w:r>
        <w:rPr>
          <w:i/>
          <w:spacing w:val="-6"/>
          <w:sz w:val="20"/>
        </w:rPr>
        <w:t> </w:t>
      </w:r>
      <w:r>
        <w:rPr>
          <w:i/>
          <w:sz w:val="20"/>
        </w:rPr>
        <w:t>a</w:t>
      </w:r>
      <w:r>
        <w:rPr>
          <w:i/>
          <w:spacing w:val="-8"/>
          <w:sz w:val="20"/>
        </w:rPr>
        <w:t> </w:t>
      </w:r>
      <w:r>
        <w:rPr>
          <w:i/>
          <w:sz w:val="20"/>
        </w:rPr>
        <w:t>un</w:t>
      </w:r>
      <w:r>
        <w:rPr>
          <w:i/>
          <w:spacing w:val="-7"/>
          <w:sz w:val="20"/>
        </w:rPr>
        <w:t> </w:t>
      </w:r>
      <w:r>
        <w:rPr>
          <w:i/>
          <w:sz w:val="20"/>
        </w:rPr>
        <w:t>medio</w:t>
      </w:r>
      <w:r>
        <w:rPr>
          <w:i/>
          <w:spacing w:val="-9"/>
          <w:sz w:val="20"/>
        </w:rPr>
        <w:t> </w:t>
      </w:r>
      <w:r>
        <w:rPr>
          <w:i/>
          <w:sz w:val="20"/>
        </w:rPr>
        <w:t>ambiente</w:t>
      </w:r>
      <w:r>
        <w:rPr>
          <w:i/>
          <w:spacing w:val="-9"/>
          <w:sz w:val="20"/>
        </w:rPr>
        <w:t> </w:t>
      </w:r>
      <w:r>
        <w:rPr>
          <w:i/>
          <w:sz w:val="20"/>
        </w:rPr>
        <w:t>sano</w:t>
      </w:r>
      <w:r>
        <w:rPr>
          <w:i/>
          <w:spacing w:val="-6"/>
          <w:sz w:val="20"/>
        </w:rPr>
        <w:t> </w:t>
      </w:r>
      <w:r>
        <w:rPr>
          <w:sz w:val="20"/>
        </w:rPr>
        <w:t>“debe considerarse incluido entre los derechos […] protegidos por el artículo 26 de la Convención Americana”, dada la obligación de los Estados de alcanzar el “desarrollo integral” de sus pueblos, que surge de los artículos 30, 31, 33 y 34 de la</w:t>
      </w:r>
      <w:r>
        <w:rPr>
          <w:spacing w:val="-27"/>
          <w:sz w:val="20"/>
        </w:rPr>
        <w:t> </w:t>
      </w:r>
      <w:r>
        <w:rPr>
          <w:sz w:val="20"/>
        </w:rPr>
        <w:t>Carta</w:t>
      </w:r>
      <w:r>
        <w:rPr>
          <w:position w:val="7"/>
          <w:sz w:val="13"/>
        </w:rPr>
        <w:t>191</w:t>
      </w:r>
      <w:r>
        <w:rPr>
          <w:sz w:val="20"/>
        </w:rPr>
        <w:t>.</w:t>
      </w:r>
    </w:p>
    <w:p>
      <w:pPr>
        <w:pStyle w:val="BodyText"/>
        <w:spacing w:before="4"/>
        <w:rPr>
          <w:sz w:val="21"/>
        </w:rPr>
      </w:pPr>
      <w:r>
        <w:rPr/>
        <w:pict>
          <v:line style="position:absolute;mso-position-horizontal-relative:page;mso-position-vertical-relative:paragraph;z-index:2560;mso-wrap-distance-left:0;mso-wrap-distance-right:0" from="85.103996pt,15.325448pt" to="229.123996pt,15.325448pt" stroked="true" strokeweight=".71997pt" strokecolor="#000000">
            <v:stroke dashstyle="solid"/>
            <w10:wrap type="topAndBottom"/>
          </v:line>
        </w:pict>
      </w:r>
    </w:p>
    <w:p>
      <w:pPr>
        <w:tabs>
          <w:tab w:pos="829" w:val="left" w:leader="none"/>
        </w:tabs>
        <w:spacing w:before="71"/>
        <w:ind w:left="122" w:right="116" w:firstLine="0"/>
        <w:jc w:val="both"/>
        <w:rPr>
          <w:sz w:val="16"/>
        </w:rPr>
      </w:pPr>
      <w:r>
        <w:rPr>
          <w:position w:val="6"/>
          <w:sz w:val="10"/>
        </w:rPr>
        <w:t>188</w:t>
        <w:tab/>
      </w:r>
      <w:r>
        <w:rPr>
          <w:sz w:val="16"/>
        </w:rPr>
        <w:t>Así lo ha señalado también la Corte anteriormente (</w:t>
      </w:r>
      <w:r>
        <w:rPr>
          <w:i/>
          <w:sz w:val="16"/>
        </w:rPr>
        <w:t>cfr. Caso Cuscul Pivaral y otros  </w:t>
      </w:r>
      <w:r>
        <w:rPr>
          <w:i/>
          <w:spacing w:val="6"/>
          <w:sz w:val="16"/>
        </w:rPr>
        <w:t> </w:t>
      </w:r>
      <w:r>
        <w:rPr>
          <w:i/>
          <w:sz w:val="16"/>
        </w:rPr>
        <w:t>Vs.</w:t>
      </w:r>
      <w:r>
        <w:rPr>
          <w:i/>
          <w:spacing w:val="4"/>
          <w:sz w:val="16"/>
        </w:rPr>
        <w:t> </w:t>
      </w:r>
      <w:r>
        <w:rPr>
          <w:i/>
          <w:sz w:val="16"/>
        </w:rPr>
        <w:t>Guatemala</w:t>
      </w:r>
      <w:r>
        <w:rPr>
          <w:sz w:val="16"/>
        </w:rPr>
        <w:t>,</w:t>
      </w:r>
      <w:r>
        <w:rPr>
          <w:w w:val="100"/>
          <w:sz w:val="16"/>
        </w:rPr>
        <w:t> </w:t>
      </w:r>
      <w:r>
        <w:rPr>
          <w:sz w:val="16"/>
        </w:rPr>
        <w:t>párr. 101, y </w:t>
      </w:r>
      <w:r>
        <w:rPr>
          <w:i/>
          <w:sz w:val="16"/>
        </w:rPr>
        <w:t>Caso Hernández Vs. Argentina</w:t>
      </w:r>
      <w:r>
        <w:rPr>
          <w:sz w:val="16"/>
        </w:rPr>
        <w:t>, párr.</w:t>
      </w:r>
      <w:r>
        <w:rPr>
          <w:spacing w:val="-17"/>
          <w:sz w:val="16"/>
        </w:rPr>
        <w:t> </w:t>
      </w:r>
      <w:r>
        <w:rPr>
          <w:sz w:val="16"/>
        </w:rPr>
        <w:t>66).</w:t>
      </w:r>
    </w:p>
    <w:p>
      <w:pPr>
        <w:pStyle w:val="BodyText"/>
        <w:spacing w:before="11"/>
        <w:rPr>
          <w:sz w:val="15"/>
        </w:rPr>
      </w:pPr>
    </w:p>
    <w:p>
      <w:pPr>
        <w:tabs>
          <w:tab w:pos="829" w:val="left" w:leader="none"/>
        </w:tabs>
        <w:spacing w:before="0"/>
        <w:ind w:left="122" w:right="0" w:firstLine="0"/>
        <w:jc w:val="both"/>
        <w:rPr>
          <w:sz w:val="16"/>
        </w:rPr>
      </w:pPr>
      <w:r>
        <w:rPr>
          <w:position w:val="6"/>
          <w:sz w:val="10"/>
        </w:rPr>
        <w:t>189</w:t>
        <w:tab/>
      </w:r>
      <w:r>
        <w:rPr>
          <w:i/>
          <w:sz w:val="16"/>
        </w:rPr>
        <w:t>Cfr. Caso familia Pacheco Tineo Vs. Bolivia</w:t>
      </w:r>
      <w:r>
        <w:rPr>
          <w:sz w:val="16"/>
        </w:rPr>
        <w:t>, párr. 143, y </w:t>
      </w:r>
      <w:r>
        <w:rPr>
          <w:i/>
          <w:sz w:val="16"/>
        </w:rPr>
        <w:t>Caso Hernández Vs. Argentina</w:t>
      </w:r>
      <w:r>
        <w:rPr>
          <w:sz w:val="16"/>
        </w:rPr>
        <w:t>, párr.</w:t>
      </w:r>
      <w:r>
        <w:rPr>
          <w:spacing w:val="-31"/>
          <w:sz w:val="16"/>
        </w:rPr>
        <w:t> </w:t>
      </w:r>
      <w:r>
        <w:rPr>
          <w:sz w:val="16"/>
        </w:rPr>
        <w:t>66.</w:t>
      </w:r>
    </w:p>
    <w:p>
      <w:pPr>
        <w:pStyle w:val="BodyText"/>
        <w:spacing w:before="11"/>
        <w:rPr>
          <w:sz w:val="15"/>
        </w:rPr>
      </w:pPr>
    </w:p>
    <w:p>
      <w:pPr>
        <w:tabs>
          <w:tab w:pos="829" w:val="left" w:leader="none"/>
        </w:tabs>
        <w:spacing w:before="0"/>
        <w:ind w:left="122" w:right="114" w:firstLine="0"/>
        <w:jc w:val="both"/>
        <w:rPr>
          <w:sz w:val="16"/>
        </w:rPr>
      </w:pPr>
      <w:r>
        <w:rPr>
          <w:position w:val="6"/>
          <w:sz w:val="10"/>
        </w:rPr>
        <w:t>190</w:t>
        <w:tab/>
      </w:r>
      <w:r>
        <w:rPr>
          <w:i/>
          <w:sz w:val="16"/>
        </w:rPr>
        <w:t>Cfr.</w:t>
      </w:r>
      <w:r>
        <w:rPr>
          <w:i/>
          <w:spacing w:val="-14"/>
          <w:sz w:val="16"/>
        </w:rPr>
        <w:t> </w:t>
      </w:r>
      <w:r>
        <w:rPr>
          <w:i/>
          <w:sz w:val="16"/>
        </w:rPr>
        <w:t>Caso</w:t>
      </w:r>
      <w:r>
        <w:rPr>
          <w:i/>
          <w:spacing w:val="-14"/>
          <w:sz w:val="16"/>
        </w:rPr>
        <w:t> </w:t>
      </w:r>
      <w:r>
        <w:rPr>
          <w:i/>
          <w:sz w:val="16"/>
        </w:rPr>
        <w:t>Velásquez</w:t>
      </w:r>
      <w:r>
        <w:rPr>
          <w:i/>
          <w:spacing w:val="-13"/>
          <w:sz w:val="16"/>
        </w:rPr>
        <w:t> </w:t>
      </w:r>
      <w:r>
        <w:rPr>
          <w:i/>
          <w:sz w:val="16"/>
        </w:rPr>
        <w:t>Rodríguez</w:t>
      </w:r>
      <w:r>
        <w:rPr>
          <w:i/>
          <w:spacing w:val="-13"/>
          <w:sz w:val="16"/>
        </w:rPr>
        <w:t> </w:t>
      </w:r>
      <w:r>
        <w:rPr>
          <w:i/>
          <w:sz w:val="16"/>
        </w:rPr>
        <w:t>Vs.</w:t>
      </w:r>
      <w:r>
        <w:rPr>
          <w:i/>
          <w:spacing w:val="-11"/>
          <w:sz w:val="16"/>
        </w:rPr>
        <w:t> </w:t>
      </w:r>
      <w:r>
        <w:rPr>
          <w:i/>
          <w:sz w:val="16"/>
        </w:rPr>
        <w:t>Honduras.</w:t>
      </w:r>
      <w:r>
        <w:rPr>
          <w:i/>
          <w:spacing w:val="-14"/>
          <w:sz w:val="16"/>
        </w:rPr>
        <w:t> </w:t>
      </w:r>
      <w:r>
        <w:rPr>
          <w:i/>
          <w:sz w:val="16"/>
        </w:rPr>
        <w:t>Fondo</w:t>
      </w:r>
      <w:r>
        <w:rPr>
          <w:sz w:val="16"/>
        </w:rPr>
        <w:t>,</w:t>
      </w:r>
      <w:r>
        <w:rPr>
          <w:spacing w:val="-14"/>
          <w:sz w:val="16"/>
        </w:rPr>
        <w:t> </w:t>
      </w:r>
      <w:r>
        <w:rPr>
          <w:sz w:val="16"/>
        </w:rPr>
        <w:t>párr.</w:t>
      </w:r>
      <w:r>
        <w:rPr>
          <w:spacing w:val="-16"/>
          <w:sz w:val="16"/>
        </w:rPr>
        <w:t> </w:t>
      </w:r>
      <w:r>
        <w:rPr>
          <w:sz w:val="16"/>
        </w:rPr>
        <w:t>163,</w:t>
      </w:r>
      <w:r>
        <w:rPr>
          <w:spacing w:val="-14"/>
          <w:sz w:val="16"/>
        </w:rPr>
        <w:t> </w:t>
      </w:r>
      <w:r>
        <w:rPr>
          <w:sz w:val="16"/>
        </w:rPr>
        <w:t>y</w:t>
      </w:r>
      <w:r>
        <w:rPr>
          <w:spacing w:val="-12"/>
          <w:sz w:val="16"/>
        </w:rPr>
        <w:t> </w:t>
      </w:r>
      <w:r>
        <w:rPr>
          <w:i/>
          <w:sz w:val="16"/>
        </w:rPr>
        <w:t>Caso</w:t>
      </w:r>
      <w:r>
        <w:rPr>
          <w:i/>
          <w:spacing w:val="-12"/>
          <w:sz w:val="16"/>
        </w:rPr>
        <w:t> </w:t>
      </w:r>
      <w:r>
        <w:rPr>
          <w:i/>
          <w:sz w:val="16"/>
        </w:rPr>
        <w:t>Hernández</w:t>
      </w:r>
      <w:r>
        <w:rPr>
          <w:i/>
          <w:spacing w:val="-13"/>
          <w:sz w:val="16"/>
        </w:rPr>
        <w:t> </w:t>
      </w:r>
      <w:r>
        <w:rPr>
          <w:i/>
          <w:sz w:val="16"/>
        </w:rPr>
        <w:t>Vs.</w:t>
      </w:r>
      <w:r>
        <w:rPr>
          <w:i/>
          <w:spacing w:val="-14"/>
          <w:sz w:val="16"/>
        </w:rPr>
        <w:t> </w:t>
      </w:r>
      <w:r>
        <w:rPr>
          <w:i/>
          <w:sz w:val="16"/>
        </w:rPr>
        <w:t>Argentina</w:t>
      </w:r>
      <w:r>
        <w:rPr>
          <w:sz w:val="16"/>
        </w:rPr>
        <w:t>,</w:t>
      </w:r>
      <w:r>
        <w:rPr>
          <w:spacing w:val="-12"/>
          <w:sz w:val="16"/>
        </w:rPr>
        <w:t> </w:t>
      </w:r>
      <w:r>
        <w:rPr>
          <w:sz w:val="16"/>
        </w:rPr>
        <w:t>párr.</w:t>
      </w:r>
      <w:r>
        <w:rPr>
          <w:w w:val="100"/>
          <w:sz w:val="16"/>
        </w:rPr>
        <w:t> </w:t>
      </w:r>
      <w:r>
        <w:rPr>
          <w:sz w:val="16"/>
        </w:rPr>
        <w:t>54.</w:t>
      </w:r>
    </w:p>
    <w:p>
      <w:pPr>
        <w:pStyle w:val="BodyText"/>
        <w:spacing w:before="1"/>
        <w:rPr>
          <w:sz w:val="16"/>
        </w:rPr>
      </w:pPr>
    </w:p>
    <w:p>
      <w:pPr>
        <w:tabs>
          <w:tab w:pos="829" w:val="left" w:leader="none"/>
        </w:tabs>
        <w:spacing w:before="0"/>
        <w:ind w:left="122" w:right="113" w:firstLine="0"/>
        <w:jc w:val="both"/>
        <w:rPr>
          <w:i/>
          <w:sz w:val="16"/>
        </w:rPr>
      </w:pPr>
      <w:r>
        <w:rPr>
          <w:position w:val="6"/>
          <w:sz w:val="10"/>
        </w:rPr>
        <w:t>191</w:t>
        <w:tab/>
      </w:r>
      <w:r>
        <w:rPr>
          <w:i/>
          <w:sz w:val="16"/>
        </w:rPr>
        <w:t>Cfr</w:t>
      </w:r>
      <w:r>
        <w:rPr>
          <w:sz w:val="16"/>
        </w:rPr>
        <w:t>. </w:t>
      </w:r>
      <w:r>
        <w:rPr>
          <w:i/>
          <w:sz w:val="16"/>
        </w:rPr>
        <w:t>Medio ambiente y derechos humanos (obligaciones estatales en relación con el</w:t>
      </w:r>
      <w:r>
        <w:rPr>
          <w:i/>
          <w:spacing w:val="29"/>
          <w:sz w:val="16"/>
        </w:rPr>
        <w:t> </w:t>
      </w:r>
      <w:r>
        <w:rPr>
          <w:i/>
          <w:sz w:val="16"/>
        </w:rPr>
        <w:t>medio</w:t>
      </w:r>
      <w:r>
        <w:rPr>
          <w:i/>
          <w:spacing w:val="4"/>
          <w:sz w:val="16"/>
        </w:rPr>
        <w:t> </w:t>
      </w:r>
      <w:r>
        <w:rPr>
          <w:i/>
          <w:sz w:val="16"/>
        </w:rPr>
        <w:t>ambiente</w:t>
      </w:r>
      <w:r>
        <w:rPr>
          <w:i/>
          <w:w w:val="100"/>
          <w:sz w:val="16"/>
        </w:rPr>
        <w:t> </w:t>
      </w:r>
      <w:r>
        <w:rPr>
          <w:i/>
          <w:sz w:val="16"/>
        </w:rPr>
        <w:t>en el marco de la protección y garantía de los derechos a la vida y a la integridad personal - interpretación y alcance</w:t>
      </w:r>
      <w:r>
        <w:rPr>
          <w:i/>
          <w:spacing w:val="19"/>
          <w:sz w:val="16"/>
        </w:rPr>
        <w:t> </w:t>
      </w:r>
      <w:r>
        <w:rPr>
          <w:i/>
          <w:sz w:val="16"/>
        </w:rPr>
        <w:t>de</w:t>
      </w:r>
      <w:r>
        <w:rPr>
          <w:i/>
          <w:spacing w:val="17"/>
          <w:sz w:val="16"/>
        </w:rPr>
        <w:t> </w:t>
      </w:r>
      <w:r>
        <w:rPr>
          <w:i/>
          <w:sz w:val="16"/>
        </w:rPr>
        <w:t>los</w:t>
      </w:r>
      <w:r>
        <w:rPr>
          <w:i/>
          <w:spacing w:val="17"/>
          <w:sz w:val="16"/>
        </w:rPr>
        <w:t> </w:t>
      </w:r>
      <w:r>
        <w:rPr>
          <w:i/>
          <w:sz w:val="16"/>
        </w:rPr>
        <w:t>artículos</w:t>
      </w:r>
      <w:r>
        <w:rPr>
          <w:i/>
          <w:spacing w:val="17"/>
          <w:sz w:val="16"/>
        </w:rPr>
        <w:t> </w:t>
      </w:r>
      <w:r>
        <w:rPr>
          <w:i/>
          <w:sz w:val="16"/>
        </w:rPr>
        <w:t>4.1</w:t>
      </w:r>
      <w:r>
        <w:rPr>
          <w:i/>
          <w:spacing w:val="17"/>
          <w:sz w:val="16"/>
        </w:rPr>
        <w:t> </w:t>
      </w:r>
      <w:r>
        <w:rPr>
          <w:i/>
          <w:sz w:val="16"/>
        </w:rPr>
        <w:t>y</w:t>
      </w:r>
      <w:r>
        <w:rPr>
          <w:i/>
          <w:spacing w:val="18"/>
          <w:sz w:val="16"/>
        </w:rPr>
        <w:t> </w:t>
      </w:r>
      <w:r>
        <w:rPr>
          <w:i/>
          <w:sz w:val="16"/>
        </w:rPr>
        <w:t>5.1,</w:t>
      </w:r>
      <w:r>
        <w:rPr>
          <w:i/>
          <w:spacing w:val="16"/>
          <w:sz w:val="16"/>
        </w:rPr>
        <w:t> </w:t>
      </w:r>
      <w:r>
        <w:rPr>
          <w:i/>
          <w:sz w:val="16"/>
        </w:rPr>
        <w:t>en</w:t>
      </w:r>
      <w:r>
        <w:rPr>
          <w:i/>
          <w:spacing w:val="16"/>
          <w:sz w:val="16"/>
        </w:rPr>
        <w:t> </w:t>
      </w:r>
      <w:r>
        <w:rPr>
          <w:i/>
          <w:sz w:val="16"/>
        </w:rPr>
        <w:t>relación</w:t>
      </w:r>
      <w:r>
        <w:rPr>
          <w:i/>
          <w:spacing w:val="16"/>
          <w:sz w:val="16"/>
        </w:rPr>
        <w:t> </w:t>
      </w:r>
      <w:r>
        <w:rPr>
          <w:i/>
          <w:sz w:val="16"/>
        </w:rPr>
        <w:t>con</w:t>
      </w:r>
      <w:r>
        <w:rPr>
          <w:i/>
          <w:spacing w:val="16"/>
          <w:sz w:val="16"/>
        </w:rPr>
        <w:t> </w:t>
      </w:r>
      <w:r>
        <w:rPr>
          <w:i/>
          <w:sz w:val="16"/>
        </w:rPr>
        <w:t>los</w:t>
      </w:r>
      <w:r>
        <w:rPr>
          <w:i/>
          <w:spacing w:val="19"/>
          <w:sz w:val="16"/>
        </w:rPr>
        <w:t> </w:t>
      </w:r>
      <w:r>
        <w:rPr>
          <w:i/>
          <w:sz w:val="16"/>
        </w:rPr>
        <w:t>artículos</w:t>
      </w:r>
      <w:r>
        <w:rPr>
          <w:i/>
          <w:spacing w:val="17"/>
          <w:sz w:val="16"/>
        </w:rPr>
        <w:t> </w:t>
      </w:r>
      <w:r>
        <w:rPr>
          <w:i/>
          <w:sz w:val="16"/>
        </w:rPr>
        <w:t>1.1</w:t>
      </w:r>
      <w:r>
        <w:rPr>
          <w:i/>
          <w:spacing w:val="17"/>
          <w:sz w:val="16"/>
        </w:rPr>
        <w:t> </w:t>
      </w:r>
      <w:r>
        <w:rPr>
          <w:i/>
          <w:sz w:val="16"/>
        </w:rPr>
        <w:t>y</w:t>
      </w:r>
      <w:r>
        <w:rPr>
          <w:i/>
          <w:spacing w:val="18"/>
          <w:sz w:val="16"/>
        </w:rPr>
        <w:t> </w:t>
      </w:r>
      <w:r>
        <w:rPr>
          <w:i/>
          <w:sz w:val="16"/>
        </w:rPr>
        <w:t>2</w:t>
      </w:r>
      <w:r>
        <w:rPr>
          <w:i/>
          <w:spacing w:val="18"/>
          <w:sz w:val="16"/>
        </w:rPr>
        <w:t> </w:t>
      </w:r>
      <w:r>
        <w:rPr>
          <w:i/>
          <w:sz w:val="16"/>
        </w:rPr>
        <w:t>de</w:t>
      </w:r>
      <w:r>
        <w:rPr>
          <w:i/>
          <w:spacing w:val="17"/>
          <w:sz w:val="16"/>
        </w:rPr>
        <w:t> </w:t>
      </w:r>
      <w:r>
        <w:rPr>
          <w:i/>
          <w:sz w:val="16"/>
        </w:rPr>
        <w:t>la</w:t>
      </w:r>
      <w:r>
        <w:rPr>
          <w:i/>
          <w:spacing w:val="18"/>
          <w:sz w:val="16"/>
        </w:rPr>
        <w:t> </w:t>
      </w:r>
      <w:r>
        <w:rPr>
          <w:i/>
          <w:sz w:val="16"/>
        </w:rPr>
        <w:t>Convención</w:t>
      </w:r>
      <w:r>
        <w:rPr>
          <w:i/>
          <w:spacing w:val="18"/>
          <w:sz w:val="16"/>
        </w:rPr>
        <w:t> </w:t>
      </w:r>
      <w:r>
        <w:rPr>
          <w:i/>
          <w:sz w:val="16"/>
        </w:rPr>
        <w:t>Americana</w:t>
      </w:r>
      <w:r>
        <w:rPr>
          <w:i/>
          <w:spacing w:val="16"/>
          <w:sz w:val="16"/>
        </w:rPr>
        <w:t> </w:t>
      </w:r>
      <w:r>
        <w:rPr>
          <w:i/>
          <w:sz w:val="16"/>
        </w:rPr>
        <w:t>sobre</w:t>
      </w:r>
    </w:p>
    <w:p>
      <w:pPr>
        <w:spacing w:after="0"/>
        <w:jc w:val="both"/>
        <w:rPr>
          <w:sz w:val="16"/>
        </w:rPr>
        <w:sectPr>
          <w:pgSz w:w="12240" w:h="15840"/>
          <w:pgMar w:header="0" w:footer="1000" w:top="1500" w:bottom="1200" w:left="1580" w:right="1580"/>
        </w:sectPr>
      </w:pPr>
    </w:p>
    <w:p>
      <w:pPr>
        <w:pStyle w:val="ListParagraph"/>
        <w:numPr>
          <w:ilvl w:val="0"/>
          <w:numId w:val="31"/>
        </w:numPr>
        <w:tabs>
          <w:tab w:pos="830" w:val="left" w:leader="none"/>
        </w:tabs>
        <w:spacing w:line="240" w:lineRule="auto" w:before="161" w:after="0"/>
        <w:ind w:left="122" w:right="124" w:firstLine="0"/>
        <w:jc w:val="both"/>
        <w:rPr>
          <w:sz w:val="20"/>
        </w:rPr>
      </w:pPr>
      <w:r>
        <w:rPr>
          <w:sz w:val="20"/>
        </w:rPr>
        <w:t>La Corte ya se ha referido al contenido y alcance de este derecho, considerando diversas normas relevantes, en su </w:t>
      </w:r>
      <w:r>
        <w:rPr>
          <w:i/>
          <w:sz w:val="20"/>
        </w:rPr>
        <w:t>Opinión Consultiva OC-23/17</w:t>
      </w:r>
      <w:r>
        <w:rPr>
          <w:sz w:val="20"/>
        </w:rPr>
        <w:t>, por lo que se remite</w:t>
      </w:r>
      <w:r>
        <w:rPr>
          <w:spacing w:val="-35"/>
          <w:sz w:val="20"/>
        </w:rPr>
        <w:t> </w:t>
      </w:r>
      <w:r>
        <w:rPr>
          <w:sz w:val="20"/>
        </w:rPr>
        <w:t>a dicho pronunciamiento</w:t>
      </w:r>
      <w:r>
        <w:rPr>
          <w:position w:val="7"/>
          <w:sz w:val="13"/>
        </w:rPr>
        <w:t>192</w:t>
      </w:r>
      <w:r>
        <w:rPr>
          <w:sz w:val="20"/>
        </w:rPr>
        <w:t>. Afirmó en esa oportunidad que el derecho a un medio ambiente sano “constituye un interés universal” y “es un derecho fundamental para la existencia de la humanidad”, y que “como derecho autónomo […] protege los componentes</w:t>
      </w:r>
      <w:r>
        <w:rPr>
          <w:spacing w:val="-17"/>
          <w:sz w:val="20"/>
        </w:rPr>
        <w:t> </w:t>
      </w:r>
      <w:r>
        <w:rPr>
          <w:sz w:val="20"/>
        </w:rPr>
        <w:t>del</w:t>
      </w:r>
      <w:r>
        <w:rPr>
          <w:spacing w:val="-14"/>
          <w:sz w:val="20"/>
        </w:rPr>
        <w:t> </w:t>
      </w:r>
      <w:r>
        <w:rPr>
          <w:sz w:val="20"/>
        </w:rPr>
        <w:t>[…]</w:t>
      </w:r>
      <w:r>
        <w:rPr>
          <w:spacing w:val="-15"/>
          <w:sz w:val="20"/>
        </w:rPr>
        <w:t> </w:t>
      </w:r>
      <w:r>
        <w:rPr>
          <w:sz w:val="20"/>
        </w:rPr>
        <w:t>ambiente,</w:t>
      </w:r>
      <w:r>
        <w:rPr>
          <w:spacing w:val="-17"/>
          <w:sz w:val="20"/>
        </w:rPr>
        <w:t> </w:t>
      </w:r>
      <w:r>
        <w:rPr>
          <w:sz w:val="20"/>
        </w:rPr>
        <w:t>tales</w:t>
      </w:r>
      <w:r>
        <w:rPr>
          <w:spacing w:val="-15"/>
          <w:sz w:val="20"/>
        </w:rPr>
        <w:t> </w:t>
      </w:r>
      <w:r>
        <w:rPr>
          <w:sz w:val="20"/>
        </w:rPr>
        <w:t>como</w:t>
      </w:r>
      <w:r>
        <w:rPr>
          <w:spacing w:val="-14"/>
          <w:sz w:val="20"/>
        </w:rPr>
        <w:t> </w:t>
      </w:r>
      <w:r>
        <w:rPr>
          <w:sz w:val="20"/>
        </w:rPr>
        <w:t>bosques,</w:t>
      </w:r>
      <w:r>
        <w:rPr>
          <w:spacing w:val="-15"/>
          <w:sz w:val="20"/>
        </w:rPr>
        <w:t> </w:t>
      </w:r>
      <w:r>
        <w:rPr>
          <w:sz w:val="20"/>
        </w:rPr>
        <w:t>mares,</w:t>
      </w:r>
      <w:r>
        <w:rPr>
          <w:spacing w:val="-14"/>
          <w:sz w:val="20"/>
        </w:rPr>
        <w:t> </w:t>
      </w:r>
      <w:r>
        <w:rPr>
          <w:sz w:val="20"/>
        </w:rPr>
        <w:t>ríos</w:t>
      </w:r>
      <w:r>
        <w:rPr>
          <w:spacing w:val="-15"/>
          <w:sz w:val="20"/>
        </w:rPr>
        <w:t> </w:t>
      </w:r>
      <w:r>
        <w:rPr>
          <w:sz w:val="20"/>
        </w:rPr>
        <w:t>y</w:t>
      </w:r>
      <w:r>
        <w:rPr>
          <w:spacing w:val="-14"/>
          <w:sz w:val="20"/>
        </w:rPr>
        <w:t> </w:t>
      </w:r>
      <w:r>
        <w:rPr>
          <w:sz w:val="20"/>
        </w:rPr>
        <w:t>otros,</w:t>
      </w:r>
      <w:r>
        <w:rPr>
          <w:spacing w:val="-15"/>
          <w:sz w:val="20"/>
        </w:rPr>
        <w:t> </w:t>
      </w:r>
      <w:r>
        <w:rPr>
          <w:sz w:val="20"/>
        </w:rPr>
        <w:t>como</w:t>
      </w:r>
      <w:r>
        <w:rPr>
          <w:spacing w:val="-17"/>
          <w:sz w:val="20"/>
        </w:rPr>
        <w:t> </w:t>
      </w:r>
      <w:r>
        <w:rPr>
          <w:sz w:val="20"/>
        </w:rPr>
        <w:t>intereses jurídicos en sí mismos, aun en ausencia de certeza o evidencia sobre el riesgo a las personas individuales. Se trata de proteger la naturaleza”, no solo por su “utilidad” o “efectos” respecto de los seres humanos, “sino por su importancia para los demás organismos vivos con quienes se comparte el planeta”. Lo anterior no obsta, desde luego, a que otros derechos humanos puedan ser vulnerados como consecuencia de daños</w:t>
      </w:r>
      <w:r>
        <w:rPr>
          <w:spacing w:val="-12"/>
          <w:sz w:val="20"/>
        </w:rPr>
        <w:t> </w:t>
      </w:r>
      <w:r>
        <w:rPr>
          <w:sz w:val="20"/>
        </w:rPr>
        <w:t>ambientales</w:t>
      </w:r>
      <w:r>
        <w:rPr>
          <w:position w:val="7"/>
          <w:sz w:val="13"/>
        </w:rPr>
        <w:t>193</w:t>
      </w:r>
      <w:r>
        <w:rPr>
          <w:sz w:val="20"/>
        </w:rPr>
        <w:t>.</w:t>
      </w:r>
    </w:p>
    <w:p>
      <w:pPr>
        <w:pStyle w:val="BodyText"/>
        <w:spacing w:before="2"/>
        <w:rPr>
          <w:sz w:val="13"/>
        </w:rPr>
      </w:pPr>
      <w:r>
        <w:rPr/>
        <w:pict>
          <v:line style="position:absolute;mso-position-horizontal-relative:page;mso-position-vertical-relative:paragraph;z-index:2584;mso-wrap-distance-left:0;mso-wrap-distance-right:0" from="85.103996pt,10.34408pt" to="229.123996pt,10.34408pt" stroked="true" strokeweight=".72pt" strokecolor="#000000">
            <v:stroke dashstyle="solid"/>
            <w10:wrap type="topAndBottom"/>
          </v:line>
        </w:pict>
      </w:r>
    </w:p>
    <w:p>
      <w:pPr>
        <w:spacing w:line="240" w:lineRule="auto" w:before="71"/>
        <w:ind w:left="122" w:right="114" w:firstLine="0"/>
        <w:jc w:val="both"/>
        <w:rPr>
          <w:sz w:val="16"/>
        </w:rPr>
      </w:pPr>
      <w:r>
        <w:rPr>
          <w:i/>
          <w:sz w:val="16"/>
        </w:rPr>
        <w:t>Derechos</w:t>
      </w:r>
      <w:r>
        <w:rPr>
          <w:i/>
          <w:spacing w:val="-5"/>
          <w:sz w:val="16"/>
        </w:rPr>
        <w:t> </w:t>
      </w:r>
      <w:r>
        <w:rPr>
          <w:i/>
          <w:sz w:val="16"/>
        </w:rPr>
        <w:t>Humanos).</w:t>
      </w:r>
      <w:r>
        <w:rPr>
          <w:i/>
          <w:spacing w:val="-6"/>
          <w:sz w:val="16"/>
        </w:rPr>
        <w:t> </w:t>
      </w:r>
      <w:r>
        <w:rPr>
          <w:i/>
          <w:sz w:val="16"/>
        </w:rPr>
        <w:t>Opinión</w:t>
      </w:r>
      <w:r>
        <w:rPr>
          <w:i/>
          <w:spacing w:val="-8"/>
          <w:sz w:val="16"/>
        </w:rPr>
        <w:t> </w:t>
      </w:r>
      <w:r>
        <w:rPr>
          <w:i/>
          <w:sz w:val="16"/>
        </w:rPr>
        <w:t>Consultiva</w:t>
      </w:r>
      <w:r>
        <w:rPr>
          <w:i/>
          <w:spacing w:val="-6"/>
          <w:sz w:val="16"/>
        </w:rPr>
        <w:t> </w:t>
      </w:r>
      <w:r>
        <w:rPr>
          <w:i/>
          <w:sz w:val="16"/>
        </w:rPr>
        <w:t>OC-23/17</w:t>
      </w:r>
      <w:r>
        <w:rPr>
          <w:sz w:val="16"/>
        </w:rPr>
        <w:t>,</w:t>
      </w:r>
      <w:r>
        <w:rPr>
          <w:spacing w:val="-6"/>
          <w:sz w:val="16"/>
        </w:rPr>
        <w:t> </w:t>
      </w:r>
      <w:r>
        <w:rPr>
          <w:sz w:val="16"/>
        </w:rPr>
        <w:t>párr.57</w:t>
      </w:r>
      <w:r>
        <w:rPr>
          <w:spacing w:val="-9"/>
          <w:sz w:val="16"/>
        </w:rPr>
        <w:t> </w:t>
      </w:r>
      <w:r>
        <w:rPr>
          <w:sz w:val="16"/>
        </w:rPr>
        <w:t>y</w:t>
      </w:r>
      <w:r>
        <w:rPr>
          <w:spacing w:val="-4"/>
          <w:sz w:val="16"/>
        </w:rPr>
        <w:t> </w:t>
      </w:r>
      <w:r>
        <w:rPr>
          <w:sz w:val="16"/>
        </w:rPr>
        <w:t>nota</w:t>
      </w:r>
      <w:r>
        <w:rPr>
          <w:spacing w:val="-6"/>
          <w:sz w:val="16"/>
        </w:rPr>
        <w:t> </w:t>
      </w:r>
      <w:r>
        <w:rPr>
          <w:sz w:val="16"/>
        </w:rPr>
        <w:t>a</w:t>
      </w:r>
      <w:r>
        <w:rPr>
          <w:spacing w:val="-8"/>
          <w:sz w:val="16"/>
        </w:rPr>
        <w:t> </w:t>
      </w:r>
      <w:r>
        <w:rPr>
          <w:sz w:val="16"/>
        </w:rPr>
        <w:t>pie</w:t>
      </w:r>
      <w:r>
        <w:rPr>
          <w:spacing w:val="-7"/>
          <w:sz w:val="16"/>
        </w:rPr>
        <w:t> </w:t>
      </w:r>
      <w:r>
        <w:rPr>
          <w:sz w:val="16"/>
        </w:rPr>
        <w:t>de</w:t>
      </w:r>
      <w:r>
        <w:rPr>
          <w:spacing w:val="-7"/>
          <w:sz w:val="16"/>
        </w:rPr>
        <w:t> </w:t>
      </w:r>
      <w:r>
        <w:rPr>
          <w:sz w:val="16"/>
        </w:rPr>
        <w:t>página</w:t>
      </w:r>
      <w:r>
        <w:rPr>
          <w:spacing w:val="-8"/>
          <w:sz w:val="16"/>
        </w:rPr>
        <w:t> </w:t>
      </w:r>
      <w:r>
        <w:rPr>
          <w:sz w:val="16"/>
        </w:rPr>
        <w:t>85.</w:t>
      </w:r>
      <w:r>
        <w:rPr>
          <w:spacing w:val="-6"/>
          <w:sz w:val="16"/>
        </w:rPr>
        <w:t> </w:t>
      </w:r>
      <w:r>
        <w:rPr>
          <w:sz w:val="16"/>
        </w:rPr>
        <w:t>La</w:t>
      </w:r>
      <w:r>
        <w:rPr>
          <w:spacing w:val="-10"/>
          <w:sz w:val="16"/>
        </w:rPr>
        <w:t> </w:t>
      </w:r>
      <w:r>
        <w:rPr>
          <w:sz w:val="16"/>
        </w:rPr>
        <w:t>Corte</w:t>
      </w:r>
      <w:r>
        <w:rPr>
          <w:spacing w:val="-5"/>
          <w:sz w:val="16"/>
        </w:rPr>
        <w:t> </w:t>
      </w:r>
      <w:r>
        <w:rPr>
          <w:sz w:val="16"/>
        </w:rPr>
        <w:t>explicó</w:t>
      </w:r>
      <w:r>
        <w:rPr>
          <w:spacing w:val="-6"/>
          <w:sz w:val="16"/>
        </w:rPr>
        <w:t> </w:t>
      </w:r>
      <w:r>
        <w:rPr>
          <w:sz w:val="16"/>
        </w:rPr>
        <w:t>en</w:t>
      </w:r>
      <w:r>
        <w:rPr>
          <w:spacing w:val="-6"/>
          <w:sz w:val="16"/>
        </w:rPr>
        <w:t> </w:t>
      </w:r>
      <w:r>
        <w:rPr>
          <w:sz w:val="16"/>
        </w:rPr>
        <w:t>esa oportunidad</w:t>
      </w:r>
      <w:r>
        <w:rPr>
          <w:spacing w:val="-12"/>
          <w:sz w:val="16"/>
        </w:rPr>
        <w:t> </w:t>
      </w:r>
      <w:r>
        <w:rPr>
          <w:sz w:val="16"/>
        </w:rPr>
        <w:t>que</w:t>
      </w:r>
      <w:r>
        <w:rPr>
          <w:spacing w:val="-13"/>
          <w:sz w:val="16"/>
        </w:rPr>
        <w:t> </w:t>
      </w:r>
      <w:r>
        <w:rPr>
          <w:sz w:val="16"/>
        </w:rPr>
        <w:t>“los</w:t>
      </w:r>
      <w:r>
        <w:rPr>
          <w:spacing w:val="-13"/>
          <w:sz w:val="16"/>
        </w:rPr>
        <w:t> </w:t>
      </w:r>
      <w:r>
        <w:rPr>
          <w:sz w:val="16"/>
        </w:rPr>
        <w:t>artículos</w:t>
      </w:r>
      <w:r>
        <w:rPr>
          <w:spacing w:val="-14"/>
          <w:sz w:val="16"/>
        </w:rPr>
        <w:t> </w:t>
      </w:r>
      <w:r>
        <w:rPr>
          <w:sz w:val="16"/>
        </w:rPr>
        <w:t>30,</w:t>
      </w:r>
      <w:r>
        <w:rPr>
          <w:spacing w:val="-15"/>
          <w:sz w:val="16"/>
        </w:rPr>
        <w:t> </w:t>
      </w:r>
      <w:r>
        <w:rPr>
          <w:sz w:val="16"/>
        </w:rPr>
        <w:t>31,</w:t>
      </w:r>
      <w:r>
        <w:rPr>
          <w:spacing w:val="-15"/>
          <w:sz w:val="16"/>
        </w:rPr>
        <w:t> </w:t>
      </w:r>
      <w:r>
        <w:rPr>
          <w:sz w:val="16"/>
        </w:rPr>
        <w:t>33</w:t>
      </w:r>
      <w:r>
        <w:rPr>
          <w:spacing w:val="-14"/>
          <w:sz w:val="16"/>
        </w:rPr>
        <w:t> </w:t>
      </w:r>
      <w:r>
        <w:rPr>
          <w:sz w:val="16"/>
        </w:rPr>
        <w:t>y</w:t>
      </w:r>
      <w:r>
        <w:rPr>
          <w:spacing w:val="-12"/>
          <w:sz w:val="16"/>
        </w:rPr>
        <w:t> </w:t>
      </w:r>
      <w:r>
        <w:rPr>
          <w:sz w:val="16"/>
        </w:rPr>
        <w:t>34</w:t>
      </w:r>
      <w:r>
        <w:rPr>
          <w:spacing w:val="-12"/>
          <w:sz w:val="16"/>
        </w:rPr>
        <w:t> </w:t>
      </w:r>
      <w:r>
        <w:rPr>
          <w:sz w:val="16"/>
        </w:rPr>
        <w:t>de</w:t>
      </w:r>
      <w:r>
        <w:rPr>
          <w:spacing w:val="-13"/>
          <w:sz w:val="16"/>
        </w:rPr>
        <w:t> </w:t>
      </w:r>
      <w:r>
        <w:rPr>
          <w:sz w:val="16"/>
        </w:rPr>
        <w:t>la</w:t>
      </w:r>
      <w:r>
        <w:rPr>
          <w:spacing w:val="-14"/>
          <w:sz w:val="16"/>
        </w:rPr>
        <w:t> </w:t>
      </w:r>
      <w:r>
        <w:rPr>
          <w:sz w:val="16"/>
        </w:rPr>
        <w:t>Carta</w:t>
      </w:r>
      <w:r>
        <w:rPr>
          <w:spacing w:val="-14"/>
          <w:sz w:val="16"/>
        </w:rPr>
        <w:t> </w:t>
      </w:r>
      <w:r>
        <w:rPr>
          <w:sz w:val="16"/>
        </w:rPr>
        <w:t>establecen</w:t>
      </w:r>
      <w:r>
        <w:rPr>
          <w:spacing w:val="-14"/>
          <w:sz w:val="16"/>
        </w:rPr>
        <w:t> </w:t>
      </w:r>
      <w:r>
        <w:rPr>
          <w:sz w:val="16"/>
        </w:rPr>
        <w:t>una</w:t>
      </w:r>
      <w:r>
        <w:rPr>
          <w:spacing w:val="-14"/>
          <w:sz w:val="16"/>
        </w:rPr>
        <w:t> </w:t>
      </w:r>
      <w:r>
        <w:rPr>
          <w:sz w:val="16"/>
        </w:rPr>
        <w:t>obligación</w:t>
      </w:r>
      <w:r>
        <w:rPr>
          <w:spacing w:val="-12"/>
          <w:sz w:val="16"/>
        </w:rPr>
        <w:t> </w:t>
      </w:r>
      <w:r>
        <w:rPr>
          <w:sz w:val="16"/>
        </w:rPr>
        <w:t>a</w:t>
      </w:r>
      <w:r>
        <w:rPr>
          <w:spacing w:val="-14"/>
          <w:sz w:val="16"/>
        </w:rPr>
        <w:t> </w:t>
      </w:r>
      <w:r>
        <w:rPr>
          <w:sz w:val="16"/>
        </w:rPr>
        <w:t>los</w:t>
      </w:r>
      <w:r>
        <w:rPr>
          <w:spacing w:val="-13"/>
          <w:sz w:val="16"/>
        </w:rPr>
        <w:t> </w:t>
      </w:r>
      <w:r>
        <w:rPr>
          <w:sz w:val="16"/>
        </w:rPr>
        <w:t>Estados</w:t>
      </w:r>
      <w:r>
        <w:rPr>
          <w:spacing w:val="-13"/>
          <w:sz w:val="16"/>
        </w:rPr>
        <w:t> </w:t>
      </w:r>
      <w:r>
        <w:rPr>
          <w:sz w:val="16"/>
        </w:rPr>
        <w:t>para</w:t>
      </w:r>
      <w:r>
        <w:rPr>
          <w:spacing w:val="-14"/>
          <w:sz w:val="16"/>
        </w:rPr>
        <w:t> </w:t>
      </w:r>
      <w:r>
        <w:rPr>
          <w:sz w:val="16"/>
        </w:rPr>
        <w:t>alcanzar el ‘desarrollo integral’ de sus pueblos[, concepto que] ha sido definido por la Secretaría Ejecutiva para el Desarrollo Integral de la OEA (SEDI) como ‘el nombre general dado a una serie de políticas que trabajan conjuntamente para fomentar el desarrollo sostenible’[,] una de [cuyas] dimensiones […] es precisamente el ámbito ambiental”. En los párrafos 52 y 53 de la misma Opinión Consultiva este Tribunal dio cuenta de una serie de instrumentos emitidos en el ámbito internacional, de los cuales surge que la protección del medio ambiente</w:t>
      </w:r>
      <w:r>
        <w:rPr>
          <w:spacing w:val="-3"/>
          <w:sz w:val="16"/>
        </w:rPr>
        <w:t> </w:t>
      </w:r>
      <w:r>
        <w:rPr>
          <w:sz w:val="16"/>
        </w:rPr>
        <w:t>debe</w:t>
      </w:r>
      <w:r>
        <w:rPr>
          <w:spacing w:val="-3"/>
          <w:sz w:val="16"/>
        </w:rPr>
        <w:t> </w:t>
      </w:r>
      <w:r>
        <w:rPr>
          <w:sz w:val="16"/>
        </w:rPr>
        <w:t>entenderse</w:t>
      </w:r>
      <w:r>
        <w:rPr>
          <w:spacing w:val="-3"/>
          <w:sz w:val="16"/>
        </w:rPr>
        <w:t> </w:t>
      </w:r>
      <w:r>
        <w:rPr>
          <w:sz w:val="16"/>
        </w:rPr>
        <w:t>“parte</w:t>
      </w:r>
      <w:r>
        <w:rPr>
          <w:spacing w:val="-1"/>
          <w:sz w:val="16"/>
        </w:rPr>
        <w:t> </w:t>
      </w:r>
      <w:r>
        <w:rPr>
          <w:sz w:val="16"/>
        </w:rPr>
        <w:t>integrante”</w:t>
      </w:r>
      <w:r>
        <w:rPr>
          <w:spacing w:val="-3"/>
          <w:sz w:val="16"/>
        </w:rPr>
        <w:t> </w:t>
      </w:r>
      <w:r>
        <w:rPr>
          <w:sz w:val="16"/>
        </w:rPr>
        <w:t>de</w:t>
      </w:r>
      <w:r>
        <w:rPr>
          <w:spacing w:val="-4"/>
          <w:sz w:val="16"/>
        </w:rPr>
        <w:t> </w:t>
      </w:r>
      <w:r>
        <w:rPr>
          <w:sz w:val="16"/>
        </w:rPr>
        <w:t>los</w:t>
      </w:r>
      <w:r>
        <w:rPr>
          <w:spacing w:val="-3"/>
          <w:sz w:val="16"/>
        </w:rPr>
        <w:t> </w:t>
      </w:r>
      <w:r>
        <w:rPr>
          <w:sz w:val="16"/>
        </w:rPr>
        <w:t>procesos</w:t>
      </w:r>
      <w:r>
        <w:rPr>
          <w:spacing w:val="-4"/>
          <w:sz w:val="16"/>
        </w:rPr>
        <w:t> </w:t>
      </w:r>
      <w:r>
        <w:rPr>
          <w:sz w:val="16"/>
        </w:rPr>
        <w:t>de</w:t>
      </w:r>
      <w:r>
        <w:rPr>
          <w:spacing w:val="-6"/>
          <w:sz w:val="16"/>
        </w:rPr>
        <w:t> </w:t>
      </w:r>
      <w:r>
        <w:rPr>
          <w:sz w:val="16"/>
        </w:rPr>
        <w:t>desarrollo,</w:t>
      </w:r>
      <w:r>
        <w:rPr>
          <w:spacing w:val="-2"/>
          <w:sz w:val="16"/>
        </w:rPr>
        <w:t> </w:t>
      </w:r>
      <w:r>
        <w:rPr>
          <w:sz w:val="16"/>
        </w:rPr>
        <w:t>siendo</w:t>
      </w:r>
      <w:r>
        <w:rPr>
          <w:spacing w:val="-3"/>
          <w:sz w:val="16"/>
        </w:rPr>
        <w:t> </w:t>
      </w:r>
      <w:r>
        <w:rPr>
          <w:sz w:val="16"/>
        </w:rPr>
        <w:t>uno</w:t>
      </w:r>
      <w:r>
        <w:rPr>
          <w:spacing w:val="-3"/>
          <w:sz w:val="16"/>
        </w:rPr>
        <w:t> </w:t>
      </w:r>
      <w:r>
        <w:rPr>
          <w:sz w:val="16"/>
        </w:rPr>
        <w:t>de</w:t>
      </w:r>
      <w:r>
        <w:rPr>
          <w:spacing w:val="-1"/>
          <w:sz w:val="16"/>
        </w:rPr>
        <w:t> </w:t>
      </w:r>
      <w:r>
        <w:rPr>
          <w:sz w:val="16"/>
        </w:rPr>
        <w:t>los</w:t>
      </w:r>
      <w:r>
        <w:rPr>
          <w:spacing w:val="-3"/>
          <w:sz w:val="16"/>
        </w:rPr>
        <w:t> </w:t>
      </w:r>
      <w:r>
        <w:rPr>
          <w:sz w:val="16"/>
        </w:rPr>
        <w:t>“pilares”,</w:t>
      </w:r>
      <w:r>
        <w:rPr>
          <w:spacing w:val="-5"/>
          <w:sz w:val="16"/>
        </w:rPr>
        <w:t> </w:t>
      </w:r>
      <w:r>
        <w:rPr>
          <w:sz w:val="16"/>
        </w:rPr>
        <w:t>junto con el “desarrollo económico” y el “desarrollo social”, del desarrollo sostenible. La Corte recordó que en el ámbito de las Naciones Unidas se reconoció que “el alcance de los derechos humanos de todas las personas depende</w:t>
      </w:r>
      <w:r>
        <w:rPr>
          <w:spacing w:val="-14"/>
          <w:sz w:val="16"/>
        </w:rPr>
        <w:t> </w:t>
      </w:r>
      <w:r>
        <w:rPr>
          <w:sz w:val="16"/>
        </w:rPr>
        <w:t>de</w:t>
      </w:r>
      <w:r>
        <w:rPr>
          <w:spacing w:val="-12"/>
          <w:sz w:val="16"/>
        </w:rPr>
        <w:t> </w:t>
      </w:r>
      <w:r>
        <w:rPr>
          <w:sz w:val="16"/>
        </w:rPr>
        <w:t>la</w:t>
      </w:r>
      <w:r>
        <w:rPr>
          <w:spacing w:val="-15"/>
          <w:sz w:val="16"/>
        </w:rPr>
        <w:t> </w:t>
      </w:r>
      <w:r>
        <w:rPr>
          <w:sz w:val="16"/>
        </w:rPr>
        <w:t>consecución</w:t>
      </w:r>
      <w:r>
        <w:rPr>
          <w:spacing w:val="-15"/>
          <w:sz w:val="16"/>
        </w:rPr>
        <w:t> </w:t>
      </w:r>
      <w:r>
        <w:rPr>
          <w:sz w:val="16"/>
        </w:rPr>
        <w:t>de</w:t>
      </w:r>
      <w:r>
        <w:rPr>
          <w:spacing w:val="-14"/>
          <w:sz w:val="16"/>
        </w:rPr>
        <w:t> </w:t>
      </w:r>
      <w:r>
        <w:rPr>
          <w:sz w:val="16"/>
        </w:rPr>
        <w:t>las</w:t>
      </w:r>
      <w:r>
        <w:rPr>
          <w:spacing w:val="-12"/>
          <w:sz w:val="16"/>
        </w:rPr>
        <w:t> </w:t>
      </w:r>
      <w:r>
        <w:rPr>
          <w:sz w:val="16"/>
        </w:rPr>
        <w:t>tres</w:t>
      </w:r>
      <w:r>
        <w:rPr>
          <w:spacing w:val="-14"/>
          <w:sz w:val="16"/>
        </w:rPr>
        <w:t> </w:t>
      </w:r>
      <w:r>
        <w:rPr>
          <w:sz w:val="16"/>
        </w:rPr>
        <w:t>dimensiones</w:t>
      </w:r>
      <w:r>
        <w:rPr>
          <w:spacing w:val="-12"/>
          <w:sz w:val="16"/>
        </w:rPr>
        <w:t> </w:t>
      </w:r>
      <w:r>
        <w:rPr>
          <w:sz w:val="16"/>
        </w:rPr>
        <w:t>[indicadas]</w:t>
      </w:r>
      <w:r>
        <w:rPr>
          <w:spacing w:val="-13"/>
          <w:sz w:val="16"/>
        </w:rPr>
        <w:t> </w:t>
      </w:r>
      <w:r>
        <w:rPr>
          <w:sz w:val="16"/>
        </w:rPr>
        <w:t>del</w:t>
      </w:r>
      <w:r>
        <w:rPr>
          <w:spacing w:val="-13"/>
          <w:sz w:val="16"/>
        </w:rPr>
        <w:t> </w:t>
      </w:r>
      <w:r>
        <w:rPr>
          <w:sz w:val="16"/>
        </w:rPr>
        <w:t>desarrollo</w:t>
      </w:r>
      <w:r>
        <w:rPr>
          <w:spacing w:val="-14"/>
          <w:sz w:val="16"/>
        </w:rPr>
        <w:t> </w:t>
      </w:r>
      <w:r>
        <w:rPr>
          <w:sz w:val="16"/>
        </w:rPr>
        <w:t>sostenible”,</w:t>
      </w:r>
      <w:r>
        <w:rPr>
          <w:spacing w:val="-15"/>
          <w:sz w:val="16"/>
        </w:rPr>
        <w:t> </w:t>
      </w:r>
      <w:r>
        <w:rPr>
          <w:sz w:val="16"/>
        </w:rPr>
        <w:t>y</w:t>
      </w:r>
      <w:r>
        <w:rPr>
          <w:spacing w:val="-14"/>
          <w:sz w:val="16"/>
        </w:rPr>
        <w:t> </w:t>
      </w:r>
      <w:r>
        <w:rPr>
          <w:sz w:val="16"/>
        </w:rPr>
        <w:t>que,</w:t>
      </w:r>
      <w:r>
        <w:rPr>
          <w:spacing w:val="-13"/>
          <w:sz w:val="16"/>
        </w:rPr>
        <w:t> </w:t>
      </w:r>
      <w:r>
        <w:rPr>
          <w:sz w:val="16"/>
        </w:rPr>
        <w:t>“[e]n</w:t>
      </w:r>
      <w:r>
        <w:rPr>
          <w:spacing w:val="-13"/>
          <w:sz w:val="16"/>
        </w:rPr>
        <w:t> </w:t>
      </w:r>
      <w:r>
        <w:rPr>
          <w:sz w:val="16"/>
        </w:rPr>
        <w:t>el</w:t>
      </w:r>
      <w:r>
        <w:rPr>
          <w:spacing w:val="-13"/>
          <w:sz w:val="16"/>
        </w:rPr>
        <w:t> </w:t>
      </w:r>
      <w:r>
        <w:rPr>
          <w:sz w:val="16"/>
        </w:rPr>
        <w:t>mismo sentido, varios instrumentos del ámbito interamericano se han referido a la protección del […] ambiente y el desarrollo sostenible”. Los instrumentos referidos en ambos párrafos aludidos son: Declaración de Estocolmo sobre el Medio Ambiente Humano (Conferencia de las Naciones Unidas sobre el Medio Ambiente Humano, Estocolmo, 5 a 16 de junio de 1972, Doc. ONU A/CONF.48/14/Rev.1); Declaración de Río sobre el Medio Ambiente y el Desarrollo (Conferencia de las Naciones Unidas sobre el Medio Ambiente y el Desarrollo, Río</w:t>
      </w:r>
      <w:r>
        <w:rPr>
          <w:spacing w:val="-38"/>
          <w:sz w:val="16"/>
        </w:rPr>
        <w:t> </w:t>
      </w:r>
      <w:r>
        <w:rPr>
          <w:sz w:val="16"/>
        </w:rPr>
        <w:t>de Janeiro,</w:t>
      </w:r>
      <w:r>
        <w:rPr>
          <w:spacing w:val="-14"/>
          <w:sz w:val="16"/>
        </w:rPr>
        <w:t> </w:t>
      </w:r>
      <w:r>
        <w:rPr>
          <w:sz w:val="16"/>
        </w:rPr>
        <w:t>3-14</w:t>
      </w:r>
      <w:r>
        <w:rPr>
          <w:spacing w:val="-14"/>
          <w:sz w:val="16"/>
        </w:rPr>
        <w:t> </w:t>
      </w:r>
      <w:r>
        <w:rPr>
          <w:sz w:val="16"/>
        </w:rPr>
        <w:t>de</w:t>
      </w:r>
      <w:r>
        <w:rPr>
          <w:spacing w:val="-13"/>
          <w:sz w:val="16"/>
        </w:rPr>
        <w:t> </w:t>
      </w:r>
      <w:r>
        <w:rPr>
          <w:sz w:val="16"/>
        </w:rPr>
        <w:t>junio</w:t>
      </w:r>
      <w:r>
        <w:rPr>
          <w:spacing w:val="-12"/>
          <w:sz w:val="16"/>
        </w:rPr>
        <w:t> </w:t>
      </w:r>
      <w:r>
        <w:rPr>
          <w:sz w:val="16"/>
        </w:rPr>
        <w:t>de</w:t>
      </w:r>
      <w:r>
        <w:rPr>
          <w:spacing w:val="-13"/>
          <w:sz w:val="16"/>
        </w:rPr>
        <w:t> </w:t>
      </w:r>
      <w:r>
        <w:rPr>
          <w:sz w:val="16"/>
        </w:rPr>
        <w:t>1992,</w:t>
      </w:r>
      <w:r>
        <w:rPr>
          <w:spacing w:val="-12"/>
          <w:sz w:val="16"/>
        </w:rPr>
        <w:t> </w:t>
      </w:r>
      <w:r>
        <w:rPr>
          <w:sz w:val="16"/>
        </w:rPr>
        <w:t>Doc.</w:t>
      </w:r>
      <w:r>
        <w:rPr>
          <w:spacing w:val="-14"/>
          <w:sz w:val="16"/>
        </w:rPr>
        <w:t> </w:t>
      </w:r>
      <w:r>
        <w:rPr>
          <w:sz w:val="16"/>
        </w:rPr>
        <w:t>ONU</w:t>
      </w:r>
      <w:r>
        <w:rPr>
          <w:spacing w:val="-13"/>
          <w:sz w:val="16"/>
        </w:rPr>
        <w:t> </w:t>
      </w:r>
      <w:r>
        <w:rPr>
          <w:sz w:val="16"/>
        </w:rPr>
        <w:t>NCONP.I51/26/Rev.1</w:t>
      </w:r>
      <w:r>
        <w:rPr>
          <w:spacing w:val="-12"/>
          <w:sz w:val="16"/>
        </w:rPr>
        <w:t> </w:t>
      </w:r>
      <w:r>
        <w:rPr>
          <w:sz w:val="16"/>
        </w:rPr>
        <w:t>(Vol.</w:t>
      </w:r>
      <w:r>
        <w:rPr>
          <w:spacing w:val="-14"/>
          <w:sz w:val="16"/>
        </w:rPr>
        <w:t> </w:t>
      </w:r>
      <w:r>
        <w:rPr>
          <w:sz w:val="16"/>
        </w:rPr>
        <w:t>1));</w:t>
      </w:r>
      <w:r>
        <w:rPr>
          <w:spacing w:val="-12"/>
          <w:sz w:val="16"/>
        </w:rPr>
        <w:t> </w:t>
      </w:r>
      <w:r>
        <w:rPr>
          <w:sz w:val="16"/>
        </w:rPr>
        <w:t>Declaración</w:t>
      </w:r>
      <w:r>
        <w:rPr>
          <w:spacing w:val="-12"/>
          <w:sz w:val="16"/>
        </w:rPr>
        <w:t> </w:t>
      </w:r>
      <w:r>
        <w:rPr>
          <w:sz w:val="16"/>
        </w:rPr>
        <w:t>de</w:t>
      </w:r>
      <w:r>
        <w:rPr>
          <w:spacing w:val="-10"/>
          <w:sz w:val="16"/>
        </w:rPr>
        <w:t> </w:t>
      </w:r>
      <w:r>
        <w:rPr>
          <w:sz w:val="16"/>
        </w:rPr>
        <w:t>Johannesburgo</w:t>
      </w:r>
      <w:r>
        <w:rPr>
          <w:spacing w:val="-12"/>
          <w:sz w:val="16"/>
        </w:rPr>
        <w:t> </w:t>
      </w:r>
      <w:r>
        <w:rPr>
          <w:sz w:val="16"/>
        </w:rPr>
        <w:t>sobre el Desarrollo Sostenible y Plan de Aplicación de las Decisiones de la Cumbre Mundial sobre el Desarrollo Sostenible (Cumbre Mundial de las Naciones Unidas sobre el Desarrollo Sostenible, Johannesburgo, 4 de septiembre de 2002, Doc. ONU A/CONF. 199/20); “Transformar nuestro mundo: la Agenda 2030 para el Desarrollo</w:t>
      </w:r>
      <w:r>
        <w:rPr>
          <w:spacing w:val="-3"/>
          <w:sz w:val="16"/>
        </w:rPr>
        <w:t> </w:t>
      </w:r>
      <w:r>
        <w:rPr>
          <w:sz w:val="16"/>
        </w:rPr>
        <w:t>Sostenible”</w:t>
      </w:r>
      <w:r>
        <w:rPr>
          <w:spacing w:val="-3"/>
          <w:sz w:val="16"/>
        </w:rPr>
        <w:t> </w:t>
      </w:r>
      <w:r>
        <w:rPr>
          <w:sz w:val="16"/>
        </w:rPr>
        <w:t>(Resolución</w:t>
      </w:r>
      <w:r>
        <w:rPr>
          <w:spacing w:val="-4"/>
          <w:sz w:val="16"/>
        </w:rPr>
        <w:t> </w:t>
      </w:r>
      <w:r>
        <w:rPr>
          <w:sz w:val="16"/>
        </w:rPr>
        <w:t>70/1</w:t>
      </w:r>
      <w:r>
        <w:rPr>
          <w:spacing w:val="-3"/>
          <w:sz w:val="16"/>
        </w:rPr>
        <w:t> </w:t>
      </w:r>
      <w:r>
        <w:rPr>
          <w:sz w:val="16"/>
        </w:rPr>
        <w:t>de</w:t>
      </w:r>
      <w:r>
        <w:rPr>
          <w:spacing w:val="-4"/>
          <w:sz w:val="16"/>
        </w:rPr>
        <w:t> </w:t>
      </w:r>
      <w:r>
        <w:rPr>
          <w:sz w:val="16"/>
        </w:rPr>
        <w:t>la</w:t>
      </w:r>
      <w:r>
        <w:rPr>
          <w:spacing w:val="-4"/>
          <w:sz w:val="16"/>
        </w:rPr>
        <w:t> </w:t>
      </w:r>
      <w:r>
        <w:rPr>
          <w:sz w:val="16"/>
        </w:rPr>
        <w:t>Asamblea</w:t>
      </w:r>
      <w:r>
        <w:rPr>
          <w:spacing w:val="-5"/>
          <w:sz w:val="16"/>
        </w:rPr>
        <w:t> </w:t>
      </w:r>
      <w:r>
        <w:rPr>
          <w:sz w:val="16"/>
        </w:rPr>
        <w:t>General</w:t>
      </w:r>
      <w:r>
        <w:rPr>
          <w:spacing w:val="-4"/>
          <w:sz w:val="16"/>
        </w:rPr>
        <w:t> </w:t>
      </w:r>
      <w:r>
        <w:rPr>
          <w:sz w:val="16"/>
        </w:rPr>
        <w:t>de</w:t>
      </w:r>
      <w:r>
        <w:rPr>
          <w:spacing w:val="-4"/>
          <w:sz w:val="16"/>
        </w:rPr>
        <w:t> </w:t>
      </w:r>
      <w:r>
        <w:rPr>
          <w:sz w:val="16"/>
        </w:rPr>
        <w:t>las</w:t>
      </w:r>
      <w:r>
        <w:rPr>
          <w:spacing w:val="-1"/>
          <w:sz w:val="16"/>
        </w:rPr>
        <w:t> </w:t>
      </w:r>
      <w:r>
        <w:rPr>
          <w:sz w:val="16"/>
        </w:rPr>
        <w:t>Naciones</w:t>
      </w:r>
      <w:r>
        <w:rPr>
          <w:spacing w:val="-3"/>
          <w:sz w:val="16"/>
        </w:rPr>
        <w:t> </w:t>
      </w:r>
      <w:r>
        <w:rPr>
          <w:sz w:val="16"/>
        </w:rPr>
        <w:t>Unidas,</w:t>
      </w:r>
      <w:r>
        <w:rPr>
          <w:spacing w:val="-7"/>
          <w:sz w:val="16"/>
        </w:rPr>
        <w:t> </w:t>
      </w:r>
      <w:r>
        <w:rPr>
          <w:sz w:val="16"/>
        </w:rPr>
        <w:t>25</w:t>
      </w:r>
      <w:r>
        <w:rPr>
          <w:spacing w:val="-3"/>
          <w:sz w:val="16"/>
        </w:rPr>
        <w:t> </w:t>
      </w:r>
      <w:r>
        <w:rPr>
          <w:sz w:val="16"/>
        </w:rPr>
        <w:t>de</w:t>
      </w:r>
      <w:r>
        <w:rPr>
          <w:spacing w:val="-4"/>
          <w:sz w:val="16"/>
        </w:rPr>
        <w:t> </w:t>
      </w:r>
      <w:r>
        <w:rPr>
          <w:sz w:val="16"/>
        </w:rPr>
        <w:t>septiembre</w:t>
      </w:r>
      <w:r>
        <w:rPr>
          <w:spacing w:val="-4"/>
          <w:sz w:val="16"/>
        </w:rPr>
        <w:t> </w:t>
      </w:r>
      <w:r>
        <w:rPr>
          <w:sz w:val="16"/>
        </w:rPr>
        <w:t>de 2015, Doc. ONU A/RES/70/1), y Carta Democrática Interamericana (aprobada en la primera sesión plenaria de</w:t>
      </w:r>
      <w:r>
        <w:rPr>
          <w:spacing w:val="-8"/>
          <w:sz w:val="16"/>
        </w:rPr>
        <w:t> </w:t>
      </w:r>
      <w:r>
        <w:rPr>
          <w:sz w:val="16"/>
        </w:rPr>
        <w:t>la</w:t>
      </w:r>
      <w:r>
        <w:rPr>
          <w:spacing w:val="-8"/>
          <w:sz w:val="16"/>
        </w:rPr>
        <w:t> </w:t>
      </w:r>
      <w:r>
        <w:rPr>
          <w:sz w:val="16"/>
        </w:rPr>
        <w:t>Asamblea</w:t>
      </w:r>
      <w:r>
        <w:rPr>
          <w:spacing w:val="-8"/>
          <w:sz w:val="16"/>
        </w:rPr>
        <w:t> </w:t>
      </w:r>
      <w:r>
        <w:rPr>
          <w:sz w:val="16"/>
        </w:rPr>
        <w:t>General</w:t>
      </w:r>
      <w:r>
        <w:rPr>
          <w:spacing w:val="-8"/>
          <w:sz w:val="16"/>
        </w:rPr>
        <w:t> </w:t>
      </w:r>
      <w:r>
        <w:rPr>
          <w:sz w:val="16"/>
        </w:rPr>
        <w:t>de</w:t>
      </w:r>
      <w:r>
        <w:rPr>
          <w:spacing w:val="-8"/>
          <w:sz w:val="16"/>
        </w:rPr>
        <w:t> </w:t>
      </w:r>
      <w:r>
        <w:rPr>
          <w:sz w:val="16"/>
        </w:rPr>
        <w:t>la</w:t>
      </w:r>
      <w:r>
        <w:rPr>
          <w:spacing w:val="-10"/>
          <w:sz w:val="16"/>
        </w:rPr>
        <w:t> </w:t>
      </w:r>
      <w:r>
        <w:rPr>
          <w:sz w:val="16"/>
        </w:rPr>
        <w:t>OEA,</w:t>
      </w:r>
      <w:r>
        <w:rPr>
          <w:spacing w:val="-8"/>
          <w:sz w:val="16"/>
        </w:rPr>
        <w:t> </w:t>
      </w:r>
      <w:r>
        <w:rPr>
          <w:sz w:val="16"/>
        </w:rPr>
        <w:t>celebrada</w:t>
      </w:r>
      <w:r>
        <w:rPr>
          <w:spacing w:val="-8"/>
          <w:sz w:val="16"/>
        </w:rPr>
        <w:t> </w:t>
      </w:r>
      <w:r>
        <w:rPr>
          <w:sz w:val="16"/>
        </w:rPr>
        <w:t>el</w:t>
      </w:r>
      <w:r>
        <w:rPr>
          <w:spacing w:val="-8"/>
          <w:sz w:val="16"/>
        </w:rPr>
        <w:t> </w:t>
      </w:r>
      <w:r>
        <w:rPr>
          <w:sz w:val="16"/>
        </w:rPr>
        <w:t>11</w:t>
      </w:r>
      <w:r>
        <w:rPr>
          <w:spacing w:val="-9"/>
          <w:sz w:val="16"/>
        </w:rPr>
        <w:t> </w:t>
      </w:r>
      <w:r>
        <w:rPr>
          <w:sz w:val="16"/>
        </w:rPr>
        <w:t>de</w:t>
      </w:r>
      <w:r>
        <w:rPr>
          <w:spacing w:val="-8"/>
          <w:sz w:val="16"/>
        </w:rPr>
        <w:t> </w:t>
      </w:r>
      <w:r>
        <w:rPr>
          <w:sz w:val="16"/>
        </w:rPr>
        <w:t>septiembre</w:t>
      </w:r>
      <w:r>
        <w:rPr>
          <w:spacing w:val="-10"/>
          <w:sz w:val="16"/>
        </w:rPr>
        <w:t> </w:t>
      </w:r>
      <w:r>
        <w:rPr>
          <w:sz w:val="16"/>
        </w:rPr>
        <w:t>de</w:t>
      </w:r>
      <w:r>
        <w:rPr>
          <w:spacing w:val="-9"/>
          <w:sz w:val="16"/>
        </w:rPr>
        <w:t> </w:t>
      </w:r>
      <w:r>
        <w:rPr>
          <w:sz w:val="16"/>
        </w:rPr>
        <w:t>2001</w:t>
      </w:r>
      <w:r>
        <w:rPr>
          <w:spacing w:val="-8"/>
          <w:sz w:val="16"/>
        </w:rPr>
        <w:t> </w:t>
      </w:r>
      <w:r>
        <w:rPr>
          <w:sz w:val="16"/>
        </w:rPr>
        <w:t>durante</w:t>
      </w:r>
      <w:r>
        <w:rPr>
          <w:spacing w:val="-8"/>
          <w:sz w:val="16"/>
        </w:rPr>
        <w:t> </w:t>
      </w:r>
      <w:r>
        <w:rPr>
          <w:sz w:val="16"/>
        </w:rPr>
        <w:t>el</w:t>
      </w:r>
      <w:r>
        <w:rPr>
          <w:spacing w:val="-8"/>
          <w:sz w:val="16"/>
        </w:rPr>
        <w:t> </w:t>
      </w:r>
      <w:r>
        <w:rPr>
          <w:sz w:val="16"/>
        </w:rPr>
        <w:t>Vigésimo</w:t>
      </w:r>
      <w:r>
        <w:rPr>
          <w:spacing w:val="-8"/>
          <w:sz w:val="16"/>
        </w:rPr>
        <w:t> </w:t>
      </w:r>
      <w:r>
        <w:rPr>
          <w:sz w:val="16"/>
        </w:rPr>
        <w:t>Octavo</w:t>
      </w:r>
      <w:r>
        <w:rPr>
          <w:spacing w:val="-8"/>
          <w:sz w:val="16"/>
        </w:rPr>
        <w:t> </w:t>
      </w:r>
      <w:r>
        <w:rPr>
          <w:sz w:val="16"/>
        </w:rPr>
        <w:t>Periodo de</w:t>
      </w:r>
      <w:r>
        <w:rPr>
          <w:spacing w:val="-2"/>
          <w:sz w:val="16"/>
        </w:rPr>
        <w:t> </w:t>
      </w:r>
      <w:r>
        <w:rPr>
          <w:sz w:val="16"/>
        </w:rPr>
        <w:t>Sesiones).</w:t>
      </w:r>
    </w:p>
    <w:p>
      <w:pPr>
        <w:pStyle w:val="BodyText"/>
        <w:spacing w:before="11"/>
        <w:rPr>
          <w:sz w:val="15"/>
        </w:rPr>
      </w:pPr>
    </w:p>
    <w:p>
      <w:pPr>
        <w:tabs>
          <w:tab w:pos="829" w:val="left" w:leader="none"/>
        </w:tabs>
        <w:spacing w:before="0"/>
        <w:ind w:left="122" w:right="115" w:firstLine="0"/>
        <w:jc w:val="both"/>
        <w:rPr>
          <w:sz w:val="16"/>
        </w:rPr>
      </w:pPr>
      <w:r>
        <w:rPr>
          <w:position w:val="6"/>
          <w:sz w:val="10"/>
        </w:rPr>
        <w:t>192</w:t>
        <w:tab/>
      </w:r>
      <w:r>
        <w:rPr>
          <w:i/>
          <w:sz w:val="16"/>
        </w:rPr>
        <w:t>Cfr. Medio ambiente y derechos humanos (obligaciones estatales en relación con el</w:t>
      </w:r>
      <w:r>
        <w:rPr>
          <w:i/>
          <w:spacing w:val="30"/>
          <w:sz w:val="16"/>
        </w:rPr>
        <w:t> </w:t>
      </w:r>
      <w:r>
        <w:rPr>
          <w:i/>
          <w:sz w:val="16"/>
        </w:rPr>
        <w:t>medio</w:t>
      </w:r>
      <w:r>
        <w:rPr>
          <w:i/>
          <w:spacing w:val="3"/>
          <w:sz w:val="16"/>
        </w:rPr>
        <w:t> </w:t>
      </w:r>
      <w:r>
        <w:rPr>
          <w:i/>
          <w:sz w:val="16"/>
        </w:rPr>
        <w:t>ambiente</w:t>
      </w:r>
      <w:r>
        <w:rPr>
          <w:i/>
          <w:w w:val="100"/>
          <w:sz w:val="16"/>
        </w:rPr>
        <w:t> </w:t>
      </w:r>
      <w:r>
        <w:rPr>
          <w:i/>
          <w:sz w:val="16"/>
        </w:rPr>
        <w:t>en el marco de la protección y garantía de los derechos a la vida y a la integridad personal - interpretación y alcance de los artículos 4.1 y 5.1, en relación con los artículos 1.1 y 2 de la Convención Americana sobre Derechos Humanos). Opinión Consultiva OC-23/17</w:t>
      </w:r>
      <w:r>
        <w:rPr>
          <w:sz w:val="16"/>
        </w:rPr>
        <w:t>, en particular, párrs. 56 a</w:t>
      </w:r>
      <w:r>
        <w:rPr>
          <w:spacing w:val="-22"/>
          <w:sz w:val="16"/>
        </w:rPr>
        <w:t> </w:t>
      </w:r>
      <w:r>
        <w:rPr>
          <w:sz w:val="16"/>
        </w:rPr>
        <w:t>68.</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193</w:t>
        <w:tab/>
      </w:r>
      <w:r>
        <w:rPr>
          <w:i/>
          <w:sz w:val="16"/>
        </w:rPr>
        <w:t>Cfr. Medio ambiente y derechos humanos (obligaciones estatales en relación con el</w:t>
      </w:r>
      <w:r>
        <w:rPr>
          <w:i/>
          <w:spacing w:val="26"/>
          <w:sz w:val="16"/>
        </w:rPr>
        <w:t> </w:t>
      </w:r>
      <w:r>
        <w:rPr>
          <w:i/>
          <w:sz w:val="16"/>
        </w:rPr>
        <w:t>medio</w:t>
      </w:r>
      <w:r>
        <w:rPr>
          <w:i/>
          <w:spacing w:val="3"/>
          <w:sz w:val="16"/>
        </w:rPr>
        <w:t> </w:t>
      </w:r>
      <w:r>
        <w:rPr>
          <w:i/>
          <w:sz w:val="16"/>
        </w:rPr>
        <w:t>ambiente</w:t>
      </w:r>
      <w:r>
        <w:rPr>
          <w:i/>
          <w:w w:val="100"/>
          <w:sz w:val="16"/>
        </w:rPr>
        <w:t> </w:t>
      </w:r>
      <w:r>
        <w:rPr>
          <w:i/>
          <w:sz w:val="16"/>
        </w:rPr>
        <w:t>en el marco de la protección y garantía de los derechos a la vida y a la integridad personal - interpretación y alcance de los artículos 4.1 y 5.1, en relación con los artículos 1.1 y 2 de la Convención Americana sobre Derechos</w:t>
      </w:r>
      <w:r>
        <w:rPr>
          <w:i/>
          <w:spacing w:val="-9"/>
          <w:sz w:val="16"/>
        </w:rPr>
        <w:t> </w:t>
      </w:r>
      <w:r>
        <w:rPr>
          <w:i/>
          <w:sz w:val="16"/>
        </w:rPr>
        <w:t>Humanos).</w:t>
      </w:r>
      <w:r>
        <w:rPr>
          <w:i/>
          <w:spacing w:val="-11"/>
          <w:sz w:val="16"/>
        </w:rPr>
        <w:t> </w:t>
      </w:r>
      <w:r>
        <w:rPr>
          <w:i/>
          <w:sz w:val="16"/>
        </w:rPr>
        <w:t>Opinión</w:t>
      </w:r>
      <w:r>
        <w:rPr>
          <w:i/>
          <w:spacing w:val="-13"/>
          <w:sz w:val="16"/>
        </w:rPr>
        <w:t> </w:t>
      </w:r>
      <w:r>
        <w:rPr>
          <w:i/>
          <w:sz w:val="16"/>
        </w:rPr>
        <w:t>Consultiva</w:t>
      </w:r>
      <w:r>
        <w:rPr>
          <w:i/>
          <w:spacing w:val="-13"/>
          <w:sz w:val="16"/>
        </w:rPr>
        <w:t> </w:t>
      </w:r>
      <w:r>
        <w:rPr>
          <w:i/>
          <w:sz w:val="16"/>
        </w:rPr>
        <w:t>OC-23/17</w:t>
      </w:r>
      <w:r>
        <w:rPr>
          <w:sz w:val="16"/>
        </w:rPr>
        <w:t>,</w:t>
      </w:r>
      <w:r>
        <w:rPr>
          <w:spacing w:val="-13"/>
          <w:sz w:val="16"/>
        </w:rPr>
        <w:t> </w:t>
      </w:r>
      <w:r>
        <w:rPr>
          <w:sz w:val="16"/>
        </w:rPr>
        <w:t>párrs.</w:t>
      </w:r>
      <w:r>
        <w:rPr>
          <w:spacing w:val="-13"/>
          <w:sz w:val="16"/>
        </w:rPr>
        <w:t> </w:t>
      </w:r>
      <w:r>
        <w:rPr>
          <w:sz w:val="16"/>
        </w:rPr>
        <w:t>59,</w:t>
      </w:r>
      <w:r>
        <w:rPr>
          <w:spacing w:val="-11"/>
          <w:sz w:val="16"/>
        </w:rPr>
        <w:t> </w:t>
      </w:r>
      <w:r>
        <w:rPr>
          <w:sz w:val="16"/>
        </w:rPr>
        <w:t>62</w:t>
      </w:r>
      <w:r>
        <w:rPr>
          <w:spacing w:val="-11"/>
          <w:sz w:val="16"/>
        </w:rPr>
        <w:t> </w:t>
      </w:r>
      <w:r>
        <w:rPr>
          <w:sz w:val="16"/>
        </w:rPr>
        <w:t>y</w:t>
      </w:r>
      <w:r>
        <w:rPr>
          <w:spacing w:val="-11"/>
          <w:sz w:val="16"/>
        </w:rPr>
        <w:t> </w:t>
      </w:r>
      <w:r>
        <w:rPr>
          <w:sz w:val="16"/>
        </w:rPr>
        <w:t>64.</w:t>
      </w:r>
      <w:r>
        <w:rPr>
          <w:spacing w:val="-10"/>
          <w:sz w:val="16"/>
        </w:rPr>
        <w:t> </w:t>
      </w:r>
      <w:r>
        <w:rPr>
          <w:sz w:val="16"/>
        </w:rPr>
        <w:t>Como</w:t>
      </w:r>
      <w:r>
        <w:rPr>
          <w:spacing w:val="-9"/>
          <w:sz w:val="16"/>
        </w:rPr>
        <w:t> </w:t>
      </w:r>
      <w:r>
        <w:rPr>
          <w:sz w:val="16"/>
        </w:rPr>
        <w:t>se</w:t>
      </w:r>
      <w:r>
        <w:rPr>
          <w:spacing w:val="-12"/>
          <w:sz w:val="16"/>
        </w:rPr>
        <w:t> </w:t>
      </w:r>
      <w:r>
        <w:rPr>
          <w:sz w:val="16"/>
        </w:rPr>
        <w:t>resalta</w:t>
      </w:r>
      <w:r>
        <w:rPr>
          <w:spacing w:val="-10"/>
          <w:sz w:val="16"/>
        </w:rPr>
        <w:t> </w:t>
      </w:r>
      <w:r>
        <w:rPr>
          <w:sz w:val="16"/>
        </w:rPr>
        <w:t>en</w:t>
      </w:r>
      <w:r>
        <w:rPr>
          <w:spacing w:val="-13"/>
          <w:sz w:val="16"/>
        </w:rPr>
        <w:t> </w:t>
      </w:r>
      <w:r>
        <w:rPr>
          <w:sz w:val="16"/>
        </w:rPr>
        <w:t>el</w:t>
      </w:r>
      <w:r>
        <w:rPr>
          <w:spacing w:val="-11"/>
          <w:sz w:val="16"/>
        </w:rPr>
        <w:t> </w:t>
      </w:r>
      <w:r>
        <w:rPr>
          <w:sz w:val="16"/>
        </w:rPr>
        <w:t>escrito</w:t>
      </w:r>
      <w:r>
        <w:rPr>
          <w:spacing w:val="-11"/>
          <w:sz w:val="16"/>
        </w:rPr>
        <w:t> </w:t>
      </w:r>
      <w:r>
        <w:rPr>
          <w:sz w:val="16"/>
        </w:rPr>
        <w:t>de</w:t>
      </w:r>
      <w:r>
        <w:rPr>
          <w:spacing w:val="-11"/>
          <w:sz w:val="16"/>
        </w:rPr>
        <w:t> </w:t>
      </w:r>
      <w:r>
        <w:rPr>
          <w:i/>
          <w:sz w:val="16"/>
        </w:rPr>
        <w:t>amicus </w:t>
      </w:r>
      <w:r>
        <w:rPr>
          <w:i/>
          <w:sz w:val="16"/>
        </w:rPr>
        <w:t>curiae </w:t>
      </w:r>
      <w:r>
        <w:rPr>
          <w:sz w:val="16"/>
        </w:rPr>
        <w:t>presentado por DPLF y otras organizaciones, dadas las dimensiones económica, social y ambiental del desarrollo sostenible antes indicadas (</w:t>
      </w:r>
      <w:r>
        <w:rPr>
          <w:i/>
          <w:sz w:val="16"/>
        </w:rPr>
        <w:t>supra </w:t>
      </w:r>
      <w:r>
        <w:rPr>
          <w:sz w:val="16"/>
        </w:rPr>
        <w:t>nota a pie de página 191), el derecho al ambiente sano no debe ser</w:t>
      </w:r>
      <w:r>
        <w:rPr>
          <w:spacing w:val="-14"/>
          <w:sz w:val="16"/>
        </w:rPr>
        <w:t> </w:t>
      </w:r>
      <w:r>
        <w:rPr>
          <w:sz w:val="16"/>
        </w:rPr>
        <w:t>menoscabado</w:t>
      </w:r>
      <w:r>
        <w:rPr>
          <w:spacing w:val="-17"/>
          <w:sz w:val="16"/>
        </w:rPr>
        <w:t> </w:t>
      </w:r>
      <w:r>
        <w:rPr>
          <w:sz w:val="16"/>
        </w:rPr>
        <w:t>por</w:t>
      </w:r>
      <w:r>
        <w:rPr>
          <w:spacing w:val="-15"/>
          <w:sz w:val="16"/>
        </w:rPr>
        <w:t> </w:t>
      </w:r>
      <w:r>
        <w:rPr>
          <w:sz w:val="16"/>
        </w:rPr>
        <w:t>la</w:t>
      </w:r>
      <w:r>
        <w:rPr>
          <w:spacing w:val="-16"/>
          <w:sz w:val="16"/>
        </w:rPr>
        <w:t> </w:t>
      </w:r>
      <w:r>
        <w:rPr>
          <w:sz w:val="16"/>
        </w:rPr>
        <w:t>dimensión</w:t>
      </w:r>
      <w:r>
        <w:rPr>
          <w:spacing w:val="-16"/>
          <w:sz w:val="16"/>
        </w:rPr>
        <w:t> </w:t>
      </w:r>
      <w:r>
        <w:rPr>
          <w:sz w:val="16"/>
        </w:rPr>
        <w:t>de</w:t>
      </w:r>
      <w:r>
        <w:rPr>
          <w:spacing w:val="-18"/>
          <w:sz w:val="16"/>
        </w:rPr>
        <w:t> </w:t>
      </w:r>
      <w:r>
        <w:rPr>
          <w:sz w:val="16"/>
        </w:rPr>
        <w:t>desarrollo</w:t>
      </w:r>
      <w:r>
        <w:rPr>
          <w:spacing w:val="-17"/>
          <w:sz w:val="16"/>
        </w:rPr>
        <w:t> </w:t>
      </w:r>
      <w:r>
        <w:rPr>
          <w:sz w:val="16"/>
        </w:rPr>
        <w:t>económico,</w:t>
      </w:r>
      <w:r>
        <w:rPr>
          <w:spacing w:val="-19"/>
          <w:sz w:val="16"/>
        </w:rPr>
        <w:t> </w:t>
      </w:r>
      <w:r>
        <w:rPr>
          <w:sz w:val="16"/>
        </w:rPr>
        <w:t>sino</w:t>
      </w:r>
      <w:r>
        <w:rPr>
          <w:spacing w:val="-15"/>
          <w:sz w:val="16"/>
        </w:rPr>
        <w:t> </w:t>
      </w:r>
      <w:r>
        <w:rPr>
          <w:sz w:val="16"/>
        </w:rPr>
        <w:t>que</w:t>
      </w:r>
      <w:r>
        <w:rPr>
          <w:spacing w:val="-18"/>
          <w:sz w:val="16"/>
        </w:rPr>
        <w:t> </w:t>
      </w:r>
      <w:r>
        <w:rPr>
          <w:sz w:val="16"/>
        </w:rPr>
        <w:t>debe</w:t>
      </w:r>
      <w:r>
        <w:rPr>
          <w:spacing w:val="-15"/>
          <w:sz w:val="16"/>
        </w:rPr>
        <w:t> </w:t>
      </w:r>
      <w:r>
        <w:rPr>
          <w:sz w:val="16"/>
        </w:rPr>
        <w:t>ser</w:t>
      </w:r>
      <w:r>
        <w:rPr>
          <w:spacing w:val="-17"/>
          <w:sz w:val="16"/>
        </w:rPr>
        <w:t> </w:t>
      </w:r>
      <w:r>
        <w:rPr>
          <w:sz w:val="16"/>
        </w:rPr>
        <w:t>garantizado</w:t>
      </w:r>
      <w:r>
        <w:rPr>
          <w:spacing w:val="-17"/>
          <w:sz w:val="16"/>
        </w:rPr>
        <w:t> </w:t>
      </w:r>
      <w:r>
        <w:rPr>
          <w:sz w:val="16"/>
        </w:rPr>
        <w:t>y,</w:t>
      </w:r>
      <w:r>
        <w:rPr>
          <w:spacing w:val="-16"/>
          <w:sz w:val="16"/>
        </w:rPr>
        <w:t> </w:t>
      </w:r>
      <w:r>
        <w:rPr>
          <w:sz w:val="16"/>
        </w:rPr>
        <w:t>por</w:t>
      </w:r>
      <w:r>
        <w:rPr>
          <w:spacing w:val="-15"/>
          <w:sz w:val="16"/>
        </w:rPr>
        <w:t> </w:t>
      </w:r>
      <w:r>
        <w:rPr>
          <w:sz w:val="16"/>
        </w:rPr>
        <w:t>tanto,</w:t>
      </w:r>
      <w:r>
        <w:rPr>
          <w:spacing w:val="-16"/>
          <w:sz w:val="16"/>
        </w:rPr>
        <w:t> </w:t>
      </w:r>
      <w:r>
        <w:rPr>
          <w:sz w:val="16"/>
        </w:rPr>
        <w:t>existen obligaciones que deben ser observadas por los Estados. El mismo escrito de </w:t>
      </w:r>
      <w:r>
        <w:rPr>
          <w:i/>
          <w:sz w:val="16"/>
        </w:rPr>
        <w:t>amicus curiae </w:t>
      </w:r>
      <w:r>
        <w:rPr>
          <w:sz w:val="16"/>
        </w:rPr>
        <w:t>hizo notar que la Asamblea General de la OEA ha emitido diversas resoluciones instando a los Estados de la región a promover el derecho a un medio ambiente sano como un componente prioritario de sus políticas de desarrollo y con el fin de combatir el cambio climático (indicó, como ejemplos, las resoluciones </w:t>
      </w:r>
      <w:r>
        <w:rPr>
          <w:i/>
          <w:sz w:val="16"/>
        </w:rPr>
        <w:t>Derechos Humanos y Medio </w:t>
      </w:r>
      <w:r>
        <w:rPr>
          <w:i/>
          <w:sz w:val="16"/>
        </w:rPr>
        <w:t>Ambiente</w:t>
      </w:r>
      <w:r>
        <w:rPr>
          <w:i/>
          <w:spacing w:val="-12"/>
          <w:sz w:val="16"/>
        </w:rPr>
        <w:t> </w:t>
      </w:r>
      <w:r>
        <w:rPr>
          <w:sz w:val="16"/>
        </w:rPr>
        <w:t>AG/RES.</w:t>
      </w:r>
      <w:r>
        <w:rPr>
          <w:spacing w:val="-13"/>
          <w:sz w:val="16"/>
        </w:rPr>
        <w:t> </w:t>
      </w:r>
      <w:r>
        <w:rPr>
          <w:sz w:val="16"/>
        </w:rPr>
        <w:t>1926</w:t>
      </w:r>
      <w:r>
        <w:rPr>
          <w:spacing w:val="-9"/>
          <w:sz w:val="16"/>
        </w:rPr>
        <w:t> </w:t>
      </w:r>
      <w:r>
        <w:rPr>
          <w:sz w:val="16"/>
        </w:rPr>
        <w:t>(XXXIII-O/03),</w:t>
      </w:r>
      <w:r>
        <w:rPr>
          <w:spacing w:val="-13"/>
          <w:sz w:val="16"/>
        </w:rPr>
        <w:t> </w:t>
      </w:r>
      <w:r>
        <w:rPr>
          <w:sz w:val="16"/>
        </w:rPr>
        <w:t>que</w:t>
      </w:r>
      <w:r>
        <w:rPr>
          <w:spacing w:val="-12"/>
          <w:sz w:val="16"/>
        </w:rPr>
        <w:t> </w:t>
      </w:r>
      <w:r>
        <w:rPr>
          <w:sz w:val="16"/>
        </w:rPr>
        <w:t>reconoce</w:t>
      </w:r>
      <w:r>
        <w:rPr>
          <w:spacing w:val="-12"/>
          <w:sz w:val="16"/>
        </w:rPr>
        <w:t> </w:t>
      </w:r>
      <w:r>
        <w:rPr>
          <w:sz w:val="16"/>
        </w:rPr>
        <w:t>“la</w:t>
      </w:r>
      <w:r>
        <w:rPr>
          <w:spacing w:val="-13"/>
          <w:sz w:val="16"/>
        </w:rPr>
        <w:t> </w:t>
      </w:r>
      <w:r>
        <w:rPr>
          <w:sz w:val="16"/>
        </w:rPr>
        <w:t>creciente</w:t>
      </w:r>
      <w:r>
        <w:rPr>
          <w:spacing w:val="-9"/>
          <w:sz w:val="16"/>
        </w:rPr>
        <w:t> </w:t>
      </w:r>
      <w:r>
        <w:rPr>
          <w:sz w:val="16"/>
        </w:rPr>
        <w:t>importancia</w:t>
      </w:r>
      <w:r>
        <w:rPr>
          <w:spacing w:val="-13"/>
          <w:sz w:val="16"/>
        </w:rPr>
        <w:t> </w:t>
      </w:r>
      <w:r>
        <w:rPr>
          <w:sz w:val="16"/>
        </w:rPr>
        <w:t>que</w:t>
      </w:r>
      <w:r>
        <w:rPr>
          <w:spacing w:val="-12"/>
          <w:sz w:val="16"/>
        </w:rPr>
        <w:t> </w:t>
      </w:r>
      <w:r>
        <w:rPr>
          <w:sz w:val="16"/>
        </w:rPr>
        <w:t>se</w:t>
      </w:r>
      <w:r>
        <w:rPr>
          <w:spacing w:val="-12"/>
          <w:sz w:val="16"/>
        </w:rPr>
        <w:t> </w:t>
      </w:r>
      <w:r>
        <w:rPr>
          <w:sz w:val="16"/>
        </w:rPr>
        <w:t>le</w:t>
      </w:r>
      <w:r>
        <w:rPr>
          <w:spacing w:val="-14"/>
          <w:sz w:val="16"/>
        </w:rPr>
        <w:t> </w:t>
      </w:r>
      <w:r>
        <w:rPr>
          <w:sz w:val="16"/>
        </w:rPr>
        <w:t>asigna</w:t>
      </w:r>
      <w:r>
        <w:rPr>
          <w:spacing w:val="-10"/>
          <w:sz w:val="16"/>
        </w:rPr>
        <w:t> </w:t>
      </w:r>
      <w:r>
        <w:rPr>
          <w:sz w:val="16"/>
        </w:rPr>
        <w:t>a</w:t>
      </w:r>
      <w:r>
        <w:rPr>
          <w:spacing w:val="-10"/>
          <w:sz w:val="16"/>
        </w:rPr>
        <w:t> </w:t>
      </w:r>
      <w:r>
        <w:rPr>
          <w:sz w:val="16"/>
        </w:rPr>
        <w:t>la</w:t>
      </w:r>
      <w:r>
        <w:rPr>
          <w:spacing w:val="-13"/>
          <w:sz w:val="16"/>
        </w:rPr>
        <w:t> </w:t>
      </w:r>
      <w:r>
        <w:rPr>
          <w:sz w:val="16"/>
        </w:rPr>
        <w:t>necesidad de</w:t>
      </w:r>
      <w:r>
        <w:rPr>
          <w:spacing w:val="-10"/>
          <w:sz w:val="16"/>
        </w:rPr>
        <w:t> </w:t>
      </w:r>
      <w:r>
        <w:rPr>
          <w:sz w:val="16"/>
        </w:rPr>
        <w:t>administrar</w:t>
      </w:r>
      <w:r>
        <w:rPr>
          <w:spacing w:val="-12"/>
          <w:sz w:val="16"/>
        </w:rPr>
        <w:t> </w:t>
      </w:r>
      <w:r>
        <w:rPr>
          <w:sz w:val="16"/>
        </w:rPr>
        <w:t>el</w:t>
      </w:r>
      <w:r>
        <w:rPr>
          <w:spacing w:val="-12"/>
          <w:sz w:val="16"/>
        </w:rPr>
        <w:t> </w:t>
      </w:r>
      <w:r>
        <w:rPr>
          <w:sz w:val="16"/>
        </w:rPr>
        <w:t>medio</w:t>
      </w:r>
      <w:r>
        <w:rPr>
          <w:spacing w:val="-12"/>
          <w:sz w:val="16"/>
        </w:rPr>
        <w:t> </w:t>
      </w:r>
      <w:r>
        <w:rPr>
          <w:sz w:val="16"/>
        </w:rPr>
        <w:t>ambiente</w:t>
      </w:r>
      <w:r>
        <w:rPr>
          <w:spacing w:val="-10"/>
          <w:sz w:val="16"/>
        </w:rPr>
        <w:t> </w:t>
      </w:r>
      <w:r>
        <w:rPr>
          <w:sz w:val="16"/>
        </w:rPr>
        <w:t>en</w:t>
      </w:r>
      <w:r>
        <w:rPr>
          <w:spacing w:val="-11"/>
          <w:sz w:val="16"/>
        </w:rPr>
        <w:t> </w:t>
      </w:r>
      <w:r>
        <w:rPr>
          <w:sz w:val="16"/>
        </w:rPr>
        <w:t>una</w:t>
      </w:r>
      <w:r>
        <w:rPr>
          <w:spacing w:val="-13"/>
          <w:sz w:val="16"/>
        </w:rPr>
        <w:t> </w:t>
      </w:r>
      <w:r>
        <w:rPr>
          <w:sz w:val="16"/>
        </w:rPr>
        <w:t>forma</w:t>
      </w:r>
      <w:r>
        <w:rPr>
          <w:spacing w:val="-13"/>
          <w:sz w:val="16"/>
        </w:rPr>
        <w:t> </w:t>
      </w:r>
      <w:r>
        <w:rPr>
          <w:sz w:val="16"/>
        </w:rPr>
        <w:t>sostenible</w:t>
      </w:r>
      <w:r>
        <w:rPr>
          <w:spacing w:val="-13"/>
          <w:sz w:val="16"/>
        </w:rPr>
        <w:t> </w:t>
      </w:r>
      <w:r>
        <w:rPr>
          <w:sz w:val="16"/>
        </w:rPr>
        <w:t>para</w:t>
      </w:r>
      <w:r>
        <w:rPr>
          <w:spacing w:val="-13"/>
          <w:sz w:val="16"/>
        </w:rPr>
        <w:t> </w:t>
      </w:r>
      <w:r>
        <w:rPr>
          <w:sz w:val="16"/>
        </w:rPr>
        <w:t>promover</w:t>
      </w:r>
      <w:r>
        <w:rPr>
          <w:spacing w:val="-10"/>
          <w:sz w:val="16"/>
        </w:rPr>
        <w:t> </w:t>
      </w:r>
      <w:r>
        <w:rPr>
          <w:sz w:val="16"/>
        </w:rPr>
        <w:t>la</w:t>
      </w:r>
      <w:r>
        <w:rPr>
          <w:spacing w:val="-13"/>
          <w:sz w:val="16"/>
        </w:rPr>
        <w:t> </w:t>
      </w:r>
      <w:r>
        <w:rPr>
          <w:sz w:val="16"/>
        </w:rPr>
        <w:t>dignidad</w:t>
      </w:r>
      <w:r>
        <w:rPr>
          <w:spacing w:val="-13"/>
          <w:sz w:val="16"/>
        </w:rPr>
        <w:t> </w:t>
      </w:r>
      <w:r>
        <w:rPr>
          <w:sz w:val="16"/>
        </w:rPr>
        <w:t>y</w:t>
      </w:r>
      <w:r>
        <w:rPr>
          <w:spacing w:val="-12"/>
          <w:sz w:val="16"/>
        </w:rPr>
        <w:t> </w:t>
      </w:r>
      <w:r>
        <w:rPr>
          <w:sz w:val="16"/>
        </w:rPr>
        <w:t>el</w:t>
      </w:r>
      <w:r>
        <w:rPr>
          <w:spacing w:val="-13"/>
          <w:sz w:val="16"/>
        </w:rPr>
        <w:t> </w:t>
      </w:r>
      <w:r>
        <w:rPr>
          <w:sz w:val="16"/>
        </w:rPr>
        <w:t>bienestar</w:t>
      </w:r>
      <w:r>
        <w:rPr>
          <w:spacing w:val="-12"/>
          <w:sz w:val="16"/>
        </w:rPr>
        <w:t> </w:t>
      </w:r>
      <w:r>
        <w:rPr>
          <w:sz w:val="16"/>
        </w:rPr>
        <w:t>humanos”; </w:t>
      </w:r>
      <w:r>
        <w:rPr>
          <w:i/>
          <w:sz w:val="16"/>
        </w:rPr>
        <w:t>Derechos Humanos y Cambio Climático en las Américas </w:t>
      </w:r>
      <w:r>
        <w:rPr>
          <w:sz w:val="16"/>
        </w:rPr>
        <w:t>AG/RES. 2429 (XXXVIII-O/08), que reconoce la estrecha relación entre la protección al medio ambiente y los derechos humanos y destaca que el cambio climático</w:t>
      </w:r>
      <w:r>
        <w:rPr>
          <w:spacing w:val="-10"/>
          <w:sz w:val="16"/>
        </w:rPr>
        <w:t> </w:t>
      </w:r>
      <w:r>
        <w:rPr>
          <w:sz w:val="16"/>
        </w:rPr>
        <w:t>produce</w:t>
      </w:r>
      <w:r>
        <w:rPr>
          <w:spacing w:val="-13"/>
          <w:sz w:val="16"/>
        </w:rPr>
        <w:t> </w:t>
      </w:r>
      <w:r>
        <w:rPr>
          <w:sz w:val="16"/>
        </w:rPr>
        <w:t>efectos</w:t>
      </w:r>
      <w:r>
        <w:rPr>
          <w:spacing w:val="-13"/>
          <w:sz w:val="16"/>
        </w:rPr>
        <w:t> </w:t>
      </w:r>
      <w:r>
        <w:rPr>
          <w:sz w:val="16"/>
        </w:rPr>
        <w:t>adversos</w:t>
      </w:r>
      <w:r>
        <w:rPr>
          <w:spacing w:val="-9"/>
          <w:sz w:val="16"/>
        </w:rPr>
        <w:t> </w:t>
      </w:r>
      <w:r>
        <w:rPr>
          <w:sz w:val="16"/>
        </w:rPr>
        <w:t>en</w:t>
      </w:r>
      <w:r>
        <w:rPr>
          <w:spacing w:val="-14"/>
          <w:sz w:val="16"/>
        </w:rPr>
        <w:t> </w:t>
      </w:r>
      <w:r>
        <w:rPr>
          <w:sz w:val="16"/>
        </w:rPr>
        <w:t>el</w:t>
      </w:r>
      <w:r>
        <w:rPr>
          <w:spacing w:val="-14"/>
          <w:sz w:val="16"/>
        </w:rPr>
        <w:t> </w:t>
      </w:r>
      <w:r>
        <w:rPr>
          <w:sz w:val="16"/>
        </w:rPr>
        <w:t>disfrute</w:t>
      </w:r>
      <w:r>
        <w:rPr>
          <w:spacing w:val="-10"/>
          <w:sz w:val="16"/>
        </w:rPr>
        <w:t> </w:t>
      </w:r>
      <w:r>
        <w:rPr>
          <w:sz w:val="16"/>
        </w:rPr>
        <w:t>de</w:t>
      </w:r>
      <w:r>
        <w:rPr>
          <w:spacing w:val="-10"/>
          <w:sz w:val="16"/>
        </w:rPr>
        <w:t> </w:t>
      </w:r>
      <w:r>
        <w:rPr>
          <w:sz w:val="16"/>
        </w:rPr>
        <w:t>los</w:t>
      </w:r>
      <w:r>
        <w:rPr>
          <w:spacing w:val="-13"/>
          <w:sz w:val="16"/>
        </w:rPr>
        <w:t> </w:t>
      </w:r>
      <w:r>
        <w:rPr>
          <w:sz w:val="16"/>
        </w:rPr>
        <w:t>derechos</w:t>
      </w:r>
      <w:r>
        <w:rPr>
          <w:spacing w:val="-10"/>
          <w:sz w:val="16"/>
        </w:rPr>
        <w:t> </w:t>
      </w:r>
      <w:r>
        <w:rPr>
          <w:sz w:val="16"/>
        </w:rPr>
        <w:t>humanos,</w:t>
      </w:r>
      <w:r>
        <w:rPr>
          <w:spacing w:val="-14"/>
          <w:sz w:val="16"/>
        </w:rPr>
        <w:t> </w:t>
      </w:r>
      <w:r>
        <w:rPr>
          <w:sz w:val="16"/>
        </w:rPr>
        <w:t>y</w:t>
      </w:r>
      <w:r>
        <w:rPr>
          <w:spacing w:val="-12"/>
          <w:sz w:val="16"/>
        </w:rPr>
        <w:t> </w:t>
      </w:r>
      <w:r>
        <w:rPr>
          <w:sz w:val="16"/>
        </w:rPr>
        <w:t>el</w:t>
      </w:r>
      <w:r>
        <w:rPr>
          <w:spacing w:val="-11"/>
          <w:sz w:val="16"/>
        </w:rPr>
        <w:t> </w:t>
      </w:r>
      <w:r>
        <w:rPr>
          <w:i/>
          <w:sz w:val="16"/>
        </w:rPr>
        <w:t>Programa</w:t>
      </w:r>
      <w:r>
        <w:rPr>
          <w:i/>
          <w:spacing w:val="-14"/>
          <w:sz w:val="16"/>
        </w:rPr>
        <w:t> </w:t>
      </w:r>
      <w:r>
        <w:rPr>
          <w:i/>
          <w:sz w:val="16"/>
        </w:rPr>
        <w:t>Interamericano</w:t>
      </w:r>
      <w:r>
        <w:rPr>
          <w:i/>
          <w:spacing w:val="-10"/>
          <w:sz w:val="16"/>
        </w:rPr>
        <w:t> </w:t>
      </w:r>
      <w:r>
        <w:rPr>
          <w:i/>
          <w:sz w:val="16"/>
        </w:rPr>
        <w:t>para </w:t>
      </w:r>
      <w:r>
        <w:rPr>
          <w:i/>
          <w:sz w:val="16"/>
        </w:rPr>
        <w:t>el Desarrollo Sostenible </w:t>
      </w:r>
      <w:r>
        <w:rPr>
          <w:sz w:val="16"/>
        </w:rPr>
        <w:t>AG/RES. 2882 (XLVI-O/16), que reconoce las tres dimensiones del desarrollo, en la línea de la agenda</w:t>
      </w:r>
      <w:r>
        <w:rPr>
          <w:spacing w:val="-6"/>
          <w:sz w:val="16"/>
        </w:rPr>
        <w:t> </w:t>
      </w:r>
      <w:r>
        <w:rPr>
          <w:sz w:val="16"/>
        </w:rPr>
        <w:t>2030.</w:t>
      </w:r>
    </w:p>
    <w:p>
      <w:pPr>
        <w:spacing w:after="0" w:line="240" w:lineRule="auto"/>
        <w:jc w:val="both"/>
        <w:rPr>
          <w:sz w:val="16"/>
        </w:rPr>
        <w:sectPr>
          <w:footerReference w:type="default" r:id="rId23"/>
          <w:pgSz w:w="12240" w:h="15840"/>
          <w:pgMar w:footer="1000" w:header="0" w:top="1500" w:bottom="1200" w:left="1580" w:right="1580"/>
        </w:sectPr>
      </w:pPr>
    </w:p>
    <w:p>
      <w:pPr>
        <w:pStyle w:val="ListParagraph"/>
        <w:numPr>
          <w:ilvl w:val="0"/>
          <w:numId w:val="31"/>
        </w:numPr>
        <w:tabs>
          <w:tab w:pos="830" w:val="left" w:leader="none"/>
        </w:tabs>
        <w:spacing w:line="240" w:lineRule="auto" w:before="161" w:after="0"/>
        <w:ind w:left="122" w:right="129" w:firstLine="0"/>
        <w:jc w:val="both"/>
        <w:rPr>
          <w:sz w:val="20"/>
        </w:rPr>
      </w:pPr>
      <w:r>
        <w:rPr>
          <w:sz w:val="20"/>
        </w:rPr>
        <w:t>Es pertinente dejar sentado que Argentina, a nivel constitucional, reconoce el derecho al ambiente sano. El artículo 41 de la Constitución Nacional expresa</w:t>
      </w:r>
      <w:r>
        <w:rPr>
          <w:spacing w:val="-27"/>
          <w:sz w:val="20"/>
        </w:rPr>
        <w:t> </w:t>
      </w:r>
      <w:r>
        <w:rPr>
          <w:sz w:val="20"/>
        </w:rPr>
        <w:t>que</w:t>
      </w:r>
    </w:p>
    <w:p>
      <w:pPr>
        <w:pStyle w:val="BodyText"/>
        <w:spacing w:before="11"/>
        <w:rPr>
          <w:sz w:val="19"/>
        </w:rPr>
      </w:pPr>
    </w:p>
    <w:p>
      <w:pPr>
        <w:spacing w:before="1"/>
        <w:ind w:left="405" w:right="400" w:firstLine="0"/>
        <w:jc w:val="both"/>
        <w:rPr>
          <w:sz w:val="16"/>
        </w:rPr>
      </w:pPr>
      <w:r>
        <w:rPr>
          <w:sz w:val="16"/>
        </w:rPr>
        <w:t>[t]odos los habitantes gozan del derecho a un ambiente sano, equilibrado, apto para el desarrollo humano y para que las actividades productivas satisfagan las necesidades presentes sin comprometer las de las generaciones futuras; y tienen el deber de preservarlo. […] Las autoridades proveerán a la protección de este derecho, a la utilización racional de los recursos naturales, a la preservación del patrimonio natural y cultural y de la diversidad biológica, y a la información y educación ambientales.</w:t>
      </w:r>
    </w:p>
    <w:p>
      <w:pPr>
        <w:pStyle w:val="BodyText"/>
        <w:spacing w:before="12"/>
        <w:rPr>
          <w:sz w:val="19"/>
        </w:rPr>
      </w:pPr>
    </w:p>
    <w:p>
      <w:pPr>
        <w:pStyle w:val="BodyText"/>
        <w:ind w:left="122" w:right="121"/>
        <w:jc w:val="both"/>
      </w:pPr>
      <w:r>
        <w:rPr/>
        <w:t>La Constitución de Salta, por su parte, en su artículo 30, establece que: “[t]odos</w:t>
      </w:r>
      <w:r>
        <w:rPr>
          <w:spacing w:val="-46"/>
        </w:rPr>
        <w:t> </w:t>
      </w:r>
      <w:r>
        <w:rPr/>
        <w:t>tienen el deber de conservar el medio ambiente equilibrado y armonioso, así como el derecho a</w:t>
      </w:r>
      <w:r>
        <w:rPr>
          <w:spacing w:val="-17"/>
        </w:rPr>
        <w:t> </w:t>
      </w:r>
      <w:r>
        <w:rPr/>
        <w:t>disfrutarlo.</w:t>
      </w:r>
      <w:r>
        <w:rPr>
          <w:spacing w:val="-16"/>
        </w:rPr>
        <w:t> </w:t>
      </w:r>
      <w:r>
        <w:rPr/>
        <w:t>Los</w:t>
      </w:r>
      <w:r>
        <w:rPr>
          <w:spacing w:val="-16"/>
        </w:rPr>
        <w:t> </w:t>
      </w:r>
      <w:r>
        <w:rPr/>
        <w:t>poderes</w:t>
      </w:r>
      <w:r>
        <w:rPr>
          <w:spacing w:val="-18"/>
        </w:rPr>
        <w:t> </w:t>
      </w:r>
      <w:r>
        <w:rPr/>
        <w:t>públicos</w:t>
      </w:r>
      <w:r>
        <w:rPr>
          <w:spacing w:val="-16"/>
        </w:rPr>
        <w:t> </w:t>
      </w:r>
      <w:r>
        <w:rPr/>
        <w:t>defienden</w:t>
      </w:r>
      <w:r>
        <w:rPr>
          <w:spacing w:val="-14"/>
        </w:rPr>
        <w:t> </w:t>
      </w:r>
      <w:r>
        <w:rPr/>
        <w:t>y</w:t>
      </w:r>
      <w:r>
        <w:rPr>
          <w:spacing w:val="-16"/>
        </w:rPr>
        <w:t> </w:t>
      </w:r>
      <w:r>
        <w:rPr/>
        <w:t>resguardan</w:t>
      </w:r>
      <w:r>
        <w:rPr>
          <w:spacing w:val="-14"/>
        </w:rPr>
        <w:t> </w:t>
      </w:r>
      <w:r>
        <w:rPr/>
        <w:t>el</w:t>
      </w:r>
      <w:r>
        <w:rPr>
          <w:spacing w:val="-17"/>
        </w:rPr>
        <w:t> </w:t>
      </w:r>
      <w:r>
        <w:rPr/>
        <w:t>medio</w:t>
      </w:r>
      <w:r>
        <w:rPr>
          <w:spacing w:val="-16"/>
        </w:rPr>
        <w:t> </w:t>
      </w:r>
      <w:r>
        <w:rPr/>
        <w:t>ambiente</w:t>
      </w:r>
      <w:r>
        <w:rPr>
          <w:spacing w:val="-17"/>
        </w:rPr>
        <w:t> </w:t>
      </w:r>
      <w:r>
        <w:rPr/>
        <w:t>en</w:t>
      </w:r>
      <w:r>
        <w:rPr>
          <w:spacing w:val="-14"/>
        </w:rPr>
        <w:t> </w:t>
      </w:r>
      <w:r>
        <w:rPr/>
        <w:t>procura de mejorar la calidad de vida, previenen la contaminación ambiental y sancionan las conductas</w:t>
      </w:r>
      <w:r>
        <w:rPr>
          <w:spacing w:val="-7"/>
        </w:rPr>
        <w:t> </w:t>
      </w:r>
      <w:r>
        <w:rPr/>
        <w:t>contrarias”.</w:t>
      </w:r>
      <w:r>
        <w:rPr>
          <w:spacing w:val="-7"/>
        </w:rPr>
        <w:t> </w:t>
      </w:r>
      <w:r>
        <w:rPr/>
        <w:t>El</w:t>
      </w:r>
      <w:r>
        <w:rPr>
          <w:spacing w:val="-9"/>
        </w:rPr>
        <w:t> </w:t>
      </w:r>
      <w:r>
        <w:rPr/>
        <w:t>artículo</w:t>
      </w:r>
      <w:r>
        <w:rPr>
          <w:spacing w:val="-8"/>
        </w:rPr>
        <w:t> </w:t>
      </w:r>
      <w:r>
        <w:rPr/>
        <w:t>80,</w:t>
      </w:r>
      <w:r>
        <w:rPr>
          <w:spacing w:val="-9"/>
        </w:rPr>
        <w:t> </w:t>
      </w:r>
      <w:r>
        <w:rPr/>
        <w:t>además,</w:t>
      </w:r>
      <w:r>
        <w:rPr>
          <w:spacing w:val="-7"/>
        </w:rPr>
        <w:t> </w:t>
      </w:r>
      <w:r>
        <w:rPr/>
        <w:t>expresa</w:t>
      </w:r>
      <w:r>
        <w:rPr>
          <w:spacing w:val="-5"/>
        </w:rPr>
        <w:t> </w:t>
      </w:r>
      <w:r>
        <w:rPr/>
        <w:t>que</w:t>
      </w:r>
      <w:r>
        <w:rPr>
          <w:spacing w:val="-9"/>
        </w:rPr>
        <w:t> </w:t>
      </w:r>
      <w:r>
        <w:rPr/>
        <w:t>“[e]s</w:t>
      </w:r>
      <w:r>
        <w:rPr>
          <w:spacing w:val="-7"/>
        </w:rPr>
        <w:t> </w:t>
      </w:r>
      <w:r>
        <w:rPr/>
        <w:t>obligación</w:t>
      </w:r>
      <w:r>
        <w:rPr>
          <w:spacing w:val="-8"/>
        </w:rPr>
        <w:t> </w:t>
      </w:r>
      <w:r>
        <w:rPr/>
        <w:t>del</w:t>
      </w:r>
      <w:r>
        <w:rPr>
          <w:spacing w:val="-8"/>
        </w:rPr>
        <w:t> </w:t>
      </w:r>
      <w:r>
        <w:rPr/>
        <w:t>Estado</w:t>
      </w:r>
      <w:r>
        <w:rPr>
          <w:spacing w:val="-8"/>
        </w:rPr>
        <w:t> </w:t>
      </w:r>
      <w:r>
        <w:rPr/>
        <w:t>y de toda persona, proteger los procesos ecológicos esenciales y los sistemas de vida, de los que dependen el desarrollo y la supervivencia</w:t>
      </w:r>
      <w:r>
        <w:rPr>
          <w:spacing w:val="-23"/>
        </w:rPr>
        <w:t> </w:t>
      </w:r>
      <w:r>
        <w:rPr/>
        <w:t>humana”.</w:t>
      </w:r>
    </w:p>
    <w:p>
      <w:pPr>
        <w:pStyle w:val="BodyText"/>
        <w:spacing w:before="10"/>
        <w:rPr>
          <w:sz w:val="19"/>
        </w:rPr>
      </w:pPr>
    </w:p>
    <w:p>
      <w:pPr>
        <w:pStyle w:val="ListParagraph"/>
        <w:numPr>
          <w:ilvl w:val="0"/>
          <w:numId w:val="31"/>
        </w:numPr>
        <w:tabs>
          <w:tab w:pos="830" w:val="left" w:leader="none"/>
        </w:tabs>
        <w:spacing w:line="240" w:lineRule="auto" w:before="0" w:after="0"/>
        <w:ind w:left="122" w:right="123" w:firstLine="0"/>
        <w:jc w:val="both"/>
        <w:rPr>
          <w:sz w:val="20"/>
        </w:rPr>
      </w:pPr>
      <w:r>
        <w:rPr>
          <w:sz w:val="20"/>
        </w:rPr>
        <w:t>Además,</w:t>
      </w:r>
      <w:r>
        <w:rPr>
          <w:spacing w:val="-20"/>
          <w:sz w:val="20"/>
        </w:rPr>
        <w:t> </w:t>
      </w:r>
      <w:r>
        <w:rPr>
          <w:sz w:val="20"/>
        </w:rPr>
        <w:t>Argentina</w:t>
      </w:r>
      <w:r>
        <w:rPr>
          <w:spacing w:val="-21"/>
          <w:sz w:val="20"/>
        </w:rPr>
        <w:t> </w:t>
      </w:r>
      <w:r>
        <w:rPr>
          <w:sz w:val="20"/>
        </w:rPr>
        <w:t>ratificó</w:t>
      </w:r>
      <w:r>
        <w:rPr>
          <w:spacing w:val="-20"/>
          <w:sz w:val="20"/>
        </w:rPr>
        <w:t> </w:t>
      </w:r>
      <w:r>
        <w:rPr>
          <w:sz w:val="20"/>
        </w:rPr>
        <w:t>el</w:t>
      </w:r>
      <w:r>
        <w:rPr>
          <w:spacing w:val="-21"/>
          <w:sz w:val="20"/>
        </w:rPr>
        <w:t> </w:t>
      </w:r>
      <w:r>
        <w:rPr>
          <w:sz w:val="20"/>
        </w:rPr>
        <w:t>Protocolo</w:t>
      </w:r>
      <w:r>
        <w:rPr>
          <w:spacing w:val="-15"/>
          <w:sz w:val="20"/>
        </w:rPr>
        <w:t> </w:t>
      </w:r>
      <w:r>
        <w:rPr>
          <w:sz w:val="20"/>
        </w:rPr>
        <w:t>adicional</w:t>
      </w:r>
      <w:r>
        <w:rPr>
          <w:spacing w:val="-18"/>
          <w:sz w:val="20"/>
        </w:rPr>
        <w:t> </w:t>
      </w:r>
      <w:r>
        <w:rPr>
          <w:sz w:val="20"/>
        </w:rPr>
        <w:t>a</w:t>
      </w:r>
      <w:r>
        <w:rPr>
          <w:spacing w:val="-21"/>
          <w:sz w:val="20"/>
        </w:rPr>
        <w:t> </w:t>
      </w:r>
      <w:r>
        <w:rPr>
          <w:sz w:val="20"/>
        </w:rPr>
        <w:t>la</w:t>
      </w:r>
      <w:r>
        <w:rPr>
          <w:spacing w:val="-21"/>
          <w:sz w:val="20"/>
        </w:rPr>
        <w:t> </w:t>
      </w:r>
      <w:r>
        <w:rPr>
          <w:sz w:val="20"/>
        </w:rPr>
        <w:t>Convención</w:t>
      </w:r>
      <w:r>
        <w:rPr>
          <w:spacing w:val="-20"/>
          <w:sz w:val="20"/>
        </w:rPr>
        <w:t> </w:t>
      </w:r>
      <w:r>
        <w:rPr>
          <w:sz w:val="20"/>
        </w:rPr>
        <w:t>Americana</w:t>
      </w:r>
      <w:r>
        <w:rPr>
          <w:spacing w:val="-21"/>
          <w:sz w:val="20"/>
        </w:rPr>
        <w:t> </w:t>
      </w:r>
      <w:r>
        <w:rPr>
          <w:sz w:val="20"/>
        </w:rPr>
        <w:t>sobre Derechos</w:t>
      </w:r>
      <w:r>
        <w:rPr>
          <w:spacing w:val="-17"/>
          <w:sz w:val="20"/>
        </w:rPr>
        <w:t> </w:t>
      </w:r>
      <w:r>
        <w:rPr>
          <w:sz w:val="20"/>
        </w:rPr>
        <w:t>Humanos</w:t>
      </w:r>
      <w:r>
        <w:rPr>
          <w:spacing w:val="-17"/>
          <w:sz w:val="20"/>
        </w:rPr>
        <w:t> </w:t>
      </w:r>
      <w:r>
        <w:rPr>
          <w:sz w:val="20"/>
        </w:rPr>
        <w:t>en</w:t>
      </w:r>
      <w:r>
        <w:rPr>
          <w:spacing w:val="-14"/>
          <w:sz w:val="20"/>
        </w:rPr>
        <w:t> </w:t>
      </w:r>
      <w:r>
        <w:rPr>
          <w:sz w:val="20"/>
        </w:rPr>
        <w:t>Materia</w:t>
      </w:r>
      <w:r>
        <w:rPr>
          <w:spacing w:val="-16"/>
          <w:sz w:val="20"/>
        </w:rPr>
        <w:t> </w:t>
      </w:r>
      <w:r>
        <w:rPr>
          <w:sz w:val="20"/>
        </w:rPr>
        <w:t>de</w:t>
      </w:r>
      <w:r>
        <w:rPr>
          <w:spacing w:val="-18"/>
          <w:sz w:val="20"/>
        </w:rPr>
        <w:t> </w:t>
      </w:r>
      <w:r>
        <w:rPr>
          <w:sz w:val="20"/>
        </w:rPr>
        <w:t>Derechos</w:t>
      </w:r>
      <w:r>
        <w:rPr>
          <w:spacing w:val="-17"/>
          <w:sz w:val="20"/>
        </w:rPr>
        <w:t> </w:t>
      </w:r>
      <w:r>
        <w:rPr>
          <w:sz w:val="20"/>
        </w:rPr>
        <w:t>Económicos,</w:t>
      </w:r>
      <w:r>
        <w:rPr>
          <w:spacing w:val="-17"/>
          <w:sz w:val="20"/>
        </w:rPr>
        <w:t> </w:t>
      </w:r>
      <w:r>
        <w:rPr>
          <w:sz w:val="20"/>
        </w:rPr>
        <w:t>Sociales</w:t>
      </w:r>
      <w:r>
        <w:rPr>
          <w:spacing w:val="-17"/>
          <w:sz w:val="20"/>
        </w:rPr>
        <w:t> </w:t>
      </w:r>
      <w:r>
        <w:rPr>
          <w:sz w:val="20"/>
        </w:rPr>
        <w:t>y</w:t>
      </w:r>
      <w:r>
        <w:rPr>
          <w:spacing w:val="-17"/>
          <w:sz w:val="20"/>
        </w:rPr>
        <w:t> </w:t>
      </w:r>
      <w:r>
        <w:rPr>
          <w:sz w:val="20"/>
        </w:rPr>
        <w:t>Culturales</w:t>
      </w:r>
      <w:r>
        <w:rPr>
          <w:spacing w:val="-17"/>
          <w:sz w:val="20"/>
        </w:rPr>
        <w:t> </w:t>
      </w:r>
      <w:r>
        <w:rPr>
          <w:sz w:val="20"/>
        </w:rPr>
        <w:t>“Protocolo de San Salvador” (en adelante “Protocolo de San Salvador”)</w:t>
      </w:r>
      <w:r>
        <w:rPr>
          <w:position w:val="7"/>
          <w:sz w:val="13"/>
        </w:rPr>
        <w:t>194</w:t>
      </w:r>
      <w:r>
        <w:rPr>
          <w:sz w:val="20"/>
        </w:rPr>
        <w:t>, que en su artículo </w:t>
      </w:r>
      <w:r>
        <w:rPr>
          <w:spacing w:val="2"/>
          <w:sz w:val="20"/>
        </w:rPr>
        <w:t>11, </w:t>
      </w:r>
      <w:r>
        <w:rPr>
          <w:sz w:val="20"/>
        </w:rPr>
        <w:t>titulado “Derecho a un Medio Ambiente Sano”, dispone que “1. Toda persona tiene derecho a vivir en un medio ambiente sano y a contar con servicios públicos básicos.2. Los Estados partes promoverán la protección, preservación y mejoramiento del medio ambiente”.</w:t>
      </w:r>
    </w:p>
    <w:p>
      <w:pPr>
        <w:pStyle w:val="BodyText"/>
        <w:spacing w:before="10"/>
        <w:rPr>
          <w:sz w:val="19"/>
        </w:rPr>
      </w:pPr>
    </w:p>
    <w:p>
      <w:pPr>
        <w:pStyle w:val="ListParagraph"/>
        <w:numPr>
          <w:ilvl w:val="0"/>
          <w:numId w:val="31"/>
        </w:numPr>
        <w:tabs>
          <w:tab w:pos="830" w:val="left" w:leader="none"/>
        </w:tabs>
        <w:spacing w:line="240" w:lineRule="auto" w:before="0" w:after="0"/>
        <w:ind w:left="122" w:right="126" w:firstLine="0"/>
        <w:jc w:val="both"/>
        <w:rPr>
          <w:sz w:val="20"/>
        </w:rPr>
      </w:pPr>
      <w:r>
        <w:rPr>
          <w:sz w:val="20"/>
        </w:rPr>
        <w:t>De modo solo adicional, se deja constancia de que el derecho al ambiente sano ha sido objeto de reconocimiento por diversos países de América: ya ha advertido la Corte que al menos 16 Estados del continente lo incluyen en sus</w:t>
      </w:r>
      <w:r>
        <w:rPr>
          <w:spacing w:val="-28"/>
          <w:sz w:val="20"/>
        </w:rPr>
        <w:t> </w:t>
      </w:r>
      <w:r>
        <w:rPr>
          <w:sz w:val="20"/>
        </w:rPr>
        <w:t>Constituciones</w:t>
      </w:r>
      <w:r>
        <w:rPr>
          <w:position w:val="7"/>
          <w:sz w:val="13"/>
        </w:rPr>
        <w:t>195</w:t>
      </w:r>
      <w:r>
        <w:rPr>
          <w:sz w:val="20"/>
        </w:rPr>
        <w:t>.</w:t>
      </w:r>
    </w:p>
    <w:p>
      <w:pPr>
        <w:pStyle w:val="BodyText"/>
        <w:spacing w:before="11"/>
        <w:rPr>
          <w:sz w:val="19"/>
        </w:rPr>
      </w:pPr>
    </w:p>
    <w:p>
      <w:pPr>
        <w:pStyle w:val="ListParagraph"/>
        <w:numPr>
          <w:ilvl w:val="0"/>
          <w:numId w:val="31"/>
        </w:numPr>
        <w:tabs>
          <w:tab w:pos="830" w:val="left" w:leader="none"/>
        </w:tabs>
        <w:spacing w:line="240" w:lineRule="auto" w:before="0" w:after="0"/>
        <w:ind w:left="122" w:right="129" w:firstLine="0"/>
        <w:jc w:val="both"/>
        <w:rPr>
          <w:sz w:val="20"/>
        </w:rPr>
      </w:pPr>
      <w:r>
        <w:rPr>
          <w:sz w:val="20"/>
        </w:rPr>
        <w:t>En lo que es relevante para el caso, debe hacerse notar que rige respecto al derecho</w:t>
      </w:r>
      <w:r>
        <w:rPr>
          <w:spacing w:val="-7"/>
          <w:sz w:val="20"/>
        </w:rPr>
        <w:t> </w:t>
      </w:r>
      <w:r>
        <w:rPr>
          <w:sz w:val="20"/>
        </w:rPr>
        <w:t>al</w:t>
      </w:r>
      <w:r>
        <w:rPr>
          <w:spacing w:val="-5"/>
          <w:sz w:val="20"/>
        </w:rPr>
        <w:t> </w:t>
      </w:r>
      <w:r>
        <w:rPr>
          <w:sz w:val="20"/>
        </w:rPr>
        <w:t>ambiente</w:t>
      </w:r>
      <w:r>
        <w:rPr>
          <w:spacing w:val="-3"/>
          <w:sz w:val="20"/>
        </w:rPr>
        <w:t> </w:t>
      </w:r>
      <w:r>
        <w:rPr>
          <w:sz w:val="20"/>
        </w:rPr>
        <w:t>sano</w:t>
      </w:r>
      <w:r>
        <w:rPr>
          <w:spacing w:val="-6"/>
          <w:sz w:val="20"/>
        </w:rPr>
        <w:t> </w:t>
      </w:r>
      <w:r>
        <w:rPr>
          <w:sz w:val="20"/>
        </w:rPr>
        <w:t>no</w:t>
      </w:r>
      <w:r>
        <w:rPr>
          <w:spacing w:val="-4"/>
          <w:sz w:val="20"/>
        </w:rPr>
        <w:t> </w:t>
      </w:r>
      <w:r>
        <w:rPr>
          <w:sz w:val="20"/>
        </w:rPr>
        <w:t>solo</w:t>
      </w:r>
      <w:r>
        <w:rPr>
          <w:spacing w:val="-4"/>
          <w:sz w:val="20"/>
        </w:rPr>
        <w:t> </w:t>
      </w:r>
      <w:r>
        <w:rPr>
          <w:sz w:val="20"/>
        </w:rPr>
        <w:t>la</w:t>
      </w:r>
      <w:r>
        <w:rPr>
          <w:spacing w:val="-3"/>
          <w:sz w:val="20"/>
        </w:rPr>
        <w:t> </w:t>
      </w:r>
      <w:r>
        <w:rPr>
          <w:sz w:val="20"/>
        </w:rPr>
        <w:t>obligación</w:t>
      </w:r>
      <w:r>
        <w:rPr>
          <w:spacing w:val="-3"/>
          <w:sz w:val="20"/>
        </w:rPr>
        <w:t> </w:t>
      </w:r>
      <w:r>
        <w:rPr>
          <w:sz w:val="20"/>
        </w:rPr>
        <w:t>de</w:t>
      </w:r>
      <w:r>
        <w:rPr>
          <w:spacing w:val="-4"/>
          <w:sz w:val="20"/>
        </w:rPr>
        <w:t> </w:t>
      </w:r>
      <w:r>
        <w:rPr>
          <w:sz w:val="20"/>
        </w:rPr>
        <w:t>respeto</w:t>
      </w:r>
      <w:r>
        <w:rPr>
          <w:position w:val="7"/>
          <w:sz w:val="13"/>
        </w:rPr>
        <w:t>196</w:t>
      </w:r>
      <w:r>
        <w:rPr>
          <w:sz w:val="20"/>
        </w:rPr>
        <w:t>,</w:t>
      </w:r>
      <w:r>
        <w:rPr>
          <w:spacing w:val="-6"/>
          <w:sz w:val="20"/>
        </w:rPr>
        <w:t> </w:t>
      </w:r>
      <w:r>
        <w:rPr>
          <w:sz w:val="20"/>
        </w:rPr>
        <w:t>sino</w:t>
      </w:r>
      <w:r>
        <w:rPr>
          <w:spacing w:val="-4"/>
          <w:sz w:val="20"/>
        </w:rPr>
        <w:t> </w:t>
      </w:r>
      <w:r>
        <w:rPr>
          <w:sz w:val="20"/>
        </w:rPr>
        <w:t>también</w:t>
      </w:r>
      <w:r>
        <w:rPr>
          <w:spacing w:val="-5"/>
          <w:sz w:val="20"/>
        </w:rPr>
        <w:t> </w:t>
      </w:r>
      <w:r>
        <w:rPr>
          <w:sz w:val="20"/>
        </w:rPr>
        <w:t>la</w:t>
      </w:r>
      <w:r>
        <w:rPr>
          <w:spacing w:val="-5"/>
          <w:sz w:val="20"/>
        </w:rPr>
        <w:t> </w:t>
      </w:r>
      <w:r>
        <w:rPr>
          <w:sz w:val="20"/>
        </w:rPr>
        <w:t>obligación</w:t>
      </w:r>
    </w:p>
    <w:p>
      <w:pPr>
        <w:pStyle w:val="BodyText"/>
        <w:spacing w:before="4"/>
        <w:rPr>
          <w:sz w:val="21"/>
        </w:rPr>
      </w:pPr>
      <w:r>
        <w:rPr/>
        <w:pict>
          <v:line style="position:absolute;mso-position-horizontal-relative:page;mso-position-vertical-relative:paragraph;z-index:2608;mso-wrap-distance-left:0;mso-wrap-distance-right:0" from="85.103996pt,15.294831pt" to="229.123996pt,15.294831pt" stroked="true" strokeweight=".72pt" strokecolor="#000000">
            <v:stroke dashstyle="solid"/>
            <w10:wrap type="topAndBottom"/>
          </v:line>
        </w:pict>
      </w:r>
    </w:p>
    <w:p>
      <w:pPr>
        <w:tabs>
          <w:tab w:pos="829" w:val="left" w:leader="none"/>
        </w:tabs>
        <w:spacing w:before="71"/>
        <w:ind w:left="122" w:right="118" w:firstLine="0"/>
        <w:jc w:val="both"/>
        <w:rPr>
          <w:sz w:val="16"/>
        </w:rPr>
      </w:pPr>
      <w:r>
        <w:rPr>
          <w:position w:val="6"/>
          <w:sz w:val="10"/>
        </w:rPr>
        <w:t>194</w:t>
        <w:tab/>
      </w:r>
      <w:r>
        <w:rPr>
          <w:sz w:val="16"/>
        </w:rPr>
        <w:t>El</w:t>
      </w:r>
      <w:r>
        <w:rPr>
          <w:spacing w:val="-9"/>
          <w:sz w:val="16"/>
        </w:rPr>
        <w:t> </w:t>
      </w:r>
      <w:r>
        <w:rPr>
          <w:sz w:val="16"/>
        </w:rPr>
        <w:t>Protocolo</w:t>
      </w:r>
      <w:r>
        <w:rPr>
          <w:spacing w:val="-10"/>
          <w:sz w:val="16"/>
        </w:rPr>
        <w:t> </w:t>
      </w:r>
      <w:r>
        <w:rPr>
          <w:sz w:val="16"/>
        </w:rPr>
        <w:t>de</w:t>
      </w:r>
      <w:r>
        <w:rPr>
          <w:spacing w:val="-10"/>
          <w:sz w:val="16"/>
        </w:rPr>
        <w:t> </w:t>
      </w:r>
      <w:r>
        <w:rPr>
          <w:sz w:val="16"/>
        </w:rPr>
        <w:t>San</w:t>
      </w:r>
      <w:r>
        <w:rPr>
          <w:spacing w:val="-10"/>
          <w:sz w:val="16"/>
        </w:rPr>
        <w:t> </w:t>
      </w:r>
      <w:r>
        <w:rPr>
          <w:sz w:val="16"/>
        </w:rPr>
        <w:t>Salvador</w:t>
      </w:r>
      <w:r>
        <w:rPr>
          <w:spacing w:val="-10"/>
          <w:sz w:val="16"/>
        </w:rPr>
        <w:t> </w:t>
      </w:r>
      <w:r>
        <w:rPr>
          <w:sz w:val="16"/>
        </w:rPr>
        <w:t>fue</w:t>
      </w:r>
      <w:r>
        <w:rPr>
          <w:spacing w:val="-8"/>
          <w:sz w:val="16"/>
        </w:rPr>
        <w:t> </w:t>
      </w:r>
      <w:r>
        <w:rPr>
          <w:sz w:val="16"/>
        </w:rPr>
        <w:t>firmado</w:t>
      </w:r>
      <w:r>
        <w:rPr>
          <w:spacing w:val="-10"/>
          <w:sz w:val="16"/>
        </w:rPr>
        <w:t> </w:t>
      </w:r>
      <w:r>
        <w:rPr>
          <w:sz w:val="16"/>
        </w:rPr>
        <w:t>por</w:t>
      </w:r>
      <w:r>
        <w:rPr>
          <w:spacing w:val="-7"/>
          <w:sz w:val="16"/>
        </w:rPr>
        <w:t> </w:t>
      </w:r>
      <w:r>
        <w:rPr>
          <w:sz w:val="16"/>
        </w:rPr>
        <w:t>Argentina</w:t>
      </w:r>
      <w:r>
        <w:rPr>
          <w:spacing w:val="-9"/>
          <w:sz w:val="16"/>
        </w:rPr>
        <w:t> </w:t>
      </w:r>
      <w:r>
        <w:rPr>
          <w:sz w:val="16"/>
        </w:rPr>
        <w:t>el</w:t>
      </w:r>
      <w:r>
        <w:rPr>
          <w:spacing w:val="-9"/>
          <w:sz w:val="16"/>
        </w:rPr>
        <w:t> </w:t>
      </w:r>
      <w:r>
        <w:rPr>
          <w:sz w:val="16"/>
        </w:rPr>
        <w:t>17</w:t>
      </w:r>
      <w:r>
        <w:rPr>
          <w:spacing w:val="-10"/>
          <w:sz w:val="16"/>
        </w:rPr>
        <w:t> </w:t>
      </w:r>
      <w:r>
        <w:rPr>
          <w:sz w:val="16"/>
        </w:rPr>
        <w:t>de</w:t>
      </w:r>
      <w:r>
        <w:rPr>
          <w:spacing w:val="-8"/>
          <w:sz w:val="16"/>
        </w:rPr>
        <w:t> </w:t>
      </w:r>
      <w:r>
        <w:rPr>
          <w:sz w:val="16"/>
        </w:rPr>
        <w:t>noviembre</w:t>
      </w:r>
      <w:r>
        <w:rPr>
          <w:spacing w:val="-8"/>
          <w:sz w:val="16"/>
        </w:rPr>
        <w:t> </w:t>
      </w:r>
      <w:r>
        <w:rPr>
          <w:sz w:val="16"/>
        </w:rPr>
        <w:t>de</w:t>
      </w:r>
      <w:r>
        <w:rPr>
          <w:spacing w:val="-10"/>
          <w:sz w:val="16"/>
        </w:rPr>
        <w:t> </w:t>
      </w:r>
      <w:r>
        <w:rPr>
          <w:sz w:val="16"/>
        </w:rPr>
        <w:t>1988</w:t>
      </w:r>
      <w:r>
        <w:rPr>
          <w:spacing w:val="-10"/>
          <w:sz w:val="16"/>
        </w:rPr>
        <w:t> </w:t>
      </w:r>
      <w:r>
        <w:rPr>
          <w:sz w:val="16"/>
        </w:rPr>
        <w:t>y</w:t>
      </w:r>
      <w:r>
        <w:rPr>
          <w:spacing w:val="-10"/>
          <w:sz w:val="16"/>
        </w:rPr>
        <w:t> </w:t>
      </w:r>
      <w:r>
        <w:rPr>
          <w:sz w:val="16"/>
        </w:rPr>
        <w:t>luego</w:t>
      </w:r>
      <w:r>
        <w:rPr>
          <w:spacing w:val="-8"/>
          <w:sz w:val="16"/>
        </w:rPr>
        <w:t> </w:t>
      </w:r>
      <w:r>
        <w:rPr>
          <w:sz w:val="16"/>
        </w:rPr>
        <w:t>aprobado</w:t>
      </w:r>
      <w:r>
        <w:rPr>
          <w:w w:val="100"/>
          <w:sz w:val="16"/>
        </w:rPr>
        <w:t> </w:t>
      </w:r>
      <w:r>
        <w:rPr>
          <w:sz w:val="16"/>
        </w:rPr>
        <w:t>por la ley nacional 24.658, promulgada de hecho el 15 de julio de 1996. El depósito del instrumento de ratificación se hizo el 23 de octubre de</w:t>
      </w:r>
      <w:r>
        <w:rPr>
          <w:spacing w:val="-15"/>
          <w:sz w:val="16"/>
        </w:rPr>
        <w:t> </w:t>
      </w:r>
      <w:r>
        <w:rPr>
          <w:sz w:val="16"/>
        </w:rPr>
        <w:t>2003.</w:t>
      </w:r>
    </w:p>
    <w:p>
      <w:pPr>
        <w:pStyle w:val="BodyText"/>
        <w:spacing w:before="11"/>
        <w:rPr>
          <w:sz w:val="15"/>
        </w:rPr>
      </w:pPr>
    </w:p>
    <w:p>
      <w:pPr>
        <w:tabs>
          <w:tab w:pos="829" w:val="left" w:leader="none"/>
        </w:tabs>
        <w:spacing w:before="0"/>
        <w:ind w:left="122" w:right="114" w:firstLine="0"/>
        <w:jc w:val="both"/>
        <w:rPr>
          <w:sz w:val="16"/>
        </w:rPr>
      </w:pPr>
      <w:r>
        <w:rPr>
          <w:position w:val="6"/>
          <w:sz w:val="10"/>
        </w:rPr>
        <w:t>195</w:t>
        <w:tab/>
      </w:r>
      <w:r>
        <w:rPr>
          <w:i/>
          <w:sz w:val="16"/>
        </w:rPr>
        <w:t>Medio</w:t>
      </w:r>
      <w:r>
        <w:rPr>
          <w:i/>
          <w:spacing w:val="-4"/>
          <w:sz w:val="16"/>
        </w:rPr>
        <w:t> </w:t>
      </w:r>
      <w:r>
        <w:rPr>
          <w:i/>
          <w:sz w:val="16"/>
        </w:rPr>
        <w:t>ambiente</w:t>
      </w:r>
      <w:r>
        <w:rPr>
          <w:i/>
          <w:spacing w:val="-7"/>
          <w:sz w:val="16"/>
        </w:rPr>
        <w:t> </w:t>
      </w:r>
      <w:r>
        <w:rPr>
          <w:i/>
          <w:sz w:val="16"/>
        </w:rPr>
        <w:t>y</w:t>
      </w:r>
      <w:r>
        <w:rPr>
          <w:i/>
          <w:spacing w:val="-6"/>
          <w:sz w:val="16"/>
        </w:rPr>
        <w:t> </w:t>
      </w:r>
      <w:r>
        <w:rPr>
          <w:i/>
          <w:sz w:val="16"/>
        </w:rPr>
        <w:t>derechos</w:t>
      </w:r>
      <w:r>
        <w:rPr>
          <w:i/>
          <w:spacing w:val="-4"/>
          <w:sz w:val="16"/>
        </w:rPr>
        <w:t> </w:t>
      </w:r>
      <w:r>
        <w:rPr>
          <w:i/>
          <w:sz w:val="16"/>
        </w:rPr>
        <w:t>humanos</w:t>
      </w:r>
      <w:r>
        <w:rPr>
          <w:i/>
          <w:spacing w:val="-4"/>
          <w:sz w:val="16"/>
        </w:rPr>
        <w:t> </w:t>
      </w:r>
      <w:r>
        <w:rPr>
          <w:i/>
          <w:sz w:val="16"/>
        </w:rPr>
        <w:t>(obligaciones</w:t>
      </w:r>
      <w:r>
        <w:rPr>
          <w:i/>
          <w:spacing w:val="-4"/>
          <w:sz w:val="16"/>
        </w:rPr>
        <w:t> </w:t>
      </w:r>
      <w:r>
        <w:rPr>
          <w:i/>
          <w:sz w:val="16"/>
        </w:rPr>
        <w:t>estatales</w:t>
      </w:r>
      <w:r>
        <w:rPr>
          <w:i/>
          <w:spacing w:val="-4"/>
          <w:sz w:val="16"/>
        </w:rPr>
        <w:t> </w:t>
      </w:r>
      <w:r>
        <w:rPr>
          <w:i/>
          <w:sz w:val="16"/>
        </w:rPr>
        <w:t>en</w:t>
      </w:r>
      <w:r>
        <w:rPr>
          <w:i/>
          <w:spacing w:val="-8"/>
          <w:sz w:val="16"/>
        </w:rPr>
        <w:t> </w:t>
      </w:r>
      <w:r>
        <w:rPr>
          <w:i/>
          <w:sz w:val="16"/>
        </w:rPr>
        <w:t>relación</w:t>
      </w:r>
      <w:r>
        <w:rPr>
          <w:i/>
          <w:spacing w:val="-6"/>
          <w:sz w:val="16"/>
        </w:rPr>
        <w:t> </w:t>
      </w:r>
      <w:r>
        <w:rPr>
          <w:i/>
          <w:sz w:val="16"/>
        </w:rPr>
        <w:t>con</w:t>
      </w:r>
      <w:r>
        <w:rPr>
          <w:i/>
          <w:spacing w:val="-6"/>
          <w:sz w:val="16"/>
        </w:rPr>
        <w:t> </w:t>
      </w:r>
      <w:r>
        <w:rPr>
          <w:i/>
          <w:sz w:val="16"/>
        </w:rPr>
        <w:t>el</w:t>
      </w:r>
      <w:r>
        <w:rPr>
          <w:i/>
          <w:spacing w:val="-8"/>
          <w:sz w:val="16"/>
        </w:rPr>
        <w:t> </w:t>
      </w:r>
      <w:r>
        <w:rPr>
          <w:i/>
          <w:sz w:val="16"/>
        </w:rPr>
        <w:t>medio</w:t>
      </w:r>
      <w:r>
        <w:rPr>
          <w:i/>
          <w:spacing w:val="-4"/>
          <w:sz w:val="16"/>
        </w:rPr>
        <w:t> </w:t>
      </w:r>
      <w:r>
        <w:rPr>
          <w:i/>
          <w:sz w:val="16"/>
        </w:rPr>
        <w:t>ambiente</w:t>
      </w:r>
      <w:r>
        <w:rPr>
          <w:i/>
          <w:spacing w:val="-4"/>
          <w:sz w:val="16"/>
        </w:rPr>
        <w:t> </w:t>
      </w:r>
      <w:r>
        <w:rPr>
          <w:i/>
          <w:sz w:val="16"/>
        </w:rPr>
        <w:t>en</w:t>
      </w:r>
      <w:r>
        <w:rPr>
          <w:i/>
          <w:spacing w:val="-8"/>
          <w:sz w:val="16"/>
        </w:rPr>
        <w:t> </w:t>
      </w:r>
      <w:r>
        <w:rPr>
          <w:i/>
          <w:sz w:val="16"/>
        </w:rPr>
        <w:t>el</w:t>
      </w:r>
      <w:r>
        <w:rPr>
          <w:i/>
          <w:w w:val="100"/>
          <w:sz w:val="16"/>
        </w:rPr>
        <w:t> </w:t>
      </w:r>
      <w:r>
        <w:rPr>
          <w:i/>
          <w:sz w:val="16"/>
        </w:rPr>
        <w:t>marco</w:t>
      </w:r>
      <w:r>
        <w:rPr>
          <w:i/>
          <w:spacing w:val="-9"/>
          <w:sz w:val="16"/>
        </w:rPr>
        <w:t> </w:t>
      </w:r>
      <w:r>
        <w:rPr>
          <w:i/>
          <w:sz w:val="16"/>
        </w:rPr>
        <w:t>de</w:t>
      </w:r>
      <w:r>
        <w:rPr>
          <w:i/>
          <w:spacing w:val="-7"/>
          <w:sz w:val="16"/>
        </w:rPr>
        <w:t> </w:t>
      </w:r>
      <w:r>
        <w:rPr>
          <w:i/>
          <w:sz w:val="16"/>
        </w:rPr>
        <w:t>la</w:t>
      </w:r>
      <w:r>
        <w:rPr>
          <w:i/>
          <w:spacing w:val="-10"/>
          <w:sz w:val="16"/>
        </w:rPr>
        <w:t> </w:t>
      </w:r>
      <w:r>
        <w:rPr>
          <w:i/>
          <w:sz w:val="16"/>
        </w:rPr>
        <w:t>protección</w:t>
      </w:r>
      <w:r>
        <w:rPr>
          <w:i/>
          <w:spacing w:val="-8"/>
          <w:sz w:val="16"/>
        </w:rPr>
        <w:t> </w:t>
      </w:r>
      <w:r>
        <w:rPr>
          <w:i/>
          <w:sz w:val="16"/>
        </w:rPr>
        <w:t>y</w:t>
      </w:r>
      <w:r>
        <w:rPr>
          <w:i/>
          <w:spacing w:val="-9"/>
          <w:sz w:val="16"/>
        </w:rPr>
        <w:t> </w:t>
      </w:r>
      <w:r>
        <w:rPr>
          <w:i/>
          <w:sz w:val="16"/>
        </w:rPr>
        <w:t>garantía</w:t>
      </w:r>
      <w:r>
        <w:rPr>
          <w:i/>
          <w:spacing w:val="-8"/>
          <w:sz w:val="16"/>
        </w:rPr>
        <w:t> </w:t>
      </w:r>
      <w:r>
        <w:rPr>
          <w:i/>
          <w:sz w:val="16"/>
        </w:rPr>
        <w:t>de</w:t>
      </w:r>
      <w:r>
        <w:rPr>
          <w:i/>
          <w:spacing w:val="-7"/>
          <w:sz w:val="16"/>
        </w:rPr>
        <w:t> </w:t>
      </w:r>
      <w:r>
        <w:rPr>
          <w:i/>
          <w:sz w:val="16"/>
        </w:rPr>
        <w:t>los</w:t>
      </w:r>
      <w:r>
        <w:rPr>
          <w:i/>
          <w:spacing w:val="-10"/>
          <w:sz w:val="16"/>
        </w:rPr>
        <w:t> </w:t>
      </w:r>
      <w:r>
        <w:rPr>
          <w:i/>
          <w:sz w:val="16"/>
        </w:rPr>
        <w:t>derechos</w:t>
      </w:r>
      <w:r>
        <w:rPr>
          <w:i/>
          <w:spacing w:val="-10"/>
          <w:sz w:val="16"/>
        </w:rPr>
        <w:t> </w:t>
      </w:r>
      <w:r>
        <w:rPr>
          <w:i/>
          <w:sz w:val="16"/>
        </w:rPr>
        <w:t>a</w:t>
      </w:r>
      <w:r>
        <w:rPr>
          <w:i/>
          <w:spacing w:val="-8"/>
          <w:sz w:val="16"/>
        </w:rPr>
        <w:t> </w:t>
      </w:r>
      <w:r>
        <w:rPr>
          <w:i/>
          <w:sz w:val="16"/>
        </w:rPr>
        <w:t>la</w:t>
      </w:r>
      <w:r>
        <w:rPr>
          <w:i/>
          <w:spacing w:val="-10"/>
          <w:sz w:val="16"/>
        </w:rPr>
        <w:t> </w:t>
      </w:r>
      <w:r>
        <w:rPr>
          <w:i/>
          <w:sz w:val="16"/>
        </w:rPr>
        <w:t>vida</w:t>
      </w:r>
      <w:r>
        <w:rPr>
          <w:i/>
          <w:spacing w:val="-13"/>
          <w:sz w:val="16"/>
        </w:rPr>
        <w:t> </w:t>
      </w:r>
      <w:r>
        <w:rPr>
          <w:i/>
          <w:sz w:val="16"/>
        </w:rPr>
        <w:t>y</w:t>
      </w:r>
      <w:r>
        <w:rPr>
          <w:i/>
          <w:spacing w:val="-7"/>
          <w:sz w:val="16"/>
        </w:rPr>
        <w:t> </w:t>
      </w:r>
      <w:r>
        <w:rPr>
          <w:i/>
          <w:sz w:val="16"/>
        </w:rPr>
        <w:t>a</w:t>
      </w:r>
      <w:r>
        <w:rPr>
          <w:i/>
          <w:spacing w:val="-10"/>
          <w:sz w:val="16"/>
        </w:rPr>
        <w:t> </w:t>
      </w:r>
      <w:r>
        <w:rPr>
          <w:i/>
          <w:sz w:val="16"/>
        </w:rPr>
        <w:t>la</w:t>
      </w:r>
      <w:r>
        <w:rPr>
          <w:i/>
          <w:spacing w:val="-8"/>
          <w:sz w:val="16"/>
        </w:rPr>
        <w:t> </w:t>
      </w:r>
      <w:r>
        <w:rPr>
          <w:i/>
          <w:sz w:val="16"/>
        </w:rPr>
        <w:t>integridad</w:t>
      </w:r>
      <w:r>
        <w:rPr>
          <w:i/>
          <w:spacing w:val="-9"/>
          <w:sz w:val="16"/>
        </w:rPr>
        <w:t> </w:t>
      </w:r>
      <w:r>
        <w:rPr>
          <w:i/>
          <w:sz w:val="16"/>
        </w:rPr>
        <w:t>personal</w:t>
      </w:r>
      <w:r>
        <w:rPr>
          <w:i/>
          <w:spacing w:val="-4"/>
          <w:sz w:val="16"/>
        </w:rPr>
        <w:t> </w:t>
      </w:r>
      <w:r>
        <w:rPr>
          <w:i/>
          <w:sz w:val="16"/>
        </w:rPr>
        <w:t>-</w:t>
      </w:r>
      <w:r>
        <w:rPr>
          <w:i/>
          <w:spacing w:val="-11"/>
          <w:sz w:val="16"/>
        </w:rPr>
        <w:t> </w:t>
      </w:r>
      <w:r>
        <w:rPr>
          <w:i/>
          <w:sz w:val="16"/>
        </w:rPr>
        <w:t>interpretación</w:t>
      </w:r>
      <w:r>
        <w:rPr>
          <w:i/>
          <w:spacing w:val="-11"/>
          <w:sz w:val="16"/>
        </w:rPr>
        <w:t> </w:t>
      </w:r>
      <w:r>
        <w:rPr>
          <w:i/>
          <w:sz w:val="16"/>
        </w:rPr>
        <w:t>y</w:t>
      </w:r>
      <w:r>
        <w:rPr>
          <w:i/>
          <w:spacing w:val="-9"/>
          <w:sz w:val="16"/>
        </w:rPr>
        <w:t> </w:t>
      </w:r>
      <w:r>
        <w:rPr>
          <w:i/>
          <w:sz w:val="16"/>
        </w:rPr>
        <w:t>alcance de los artículos 4.1 y 5.1, en relación con los artículos 1.1 y 2 de la Convención Americana sobre Derechos Humanos). Opinión Consultiva OC-23/17</w:t>
      </w:r>
      <w:r>
        <w:rPr>
          <w:sz w:val="16"/>
        </w:rPr>
        <w:t>, nota a pie de página 88. Allí se indica que, además de la de Argentina,</w:t>
      </w:r>
      <w:r>
        <w:rPr>
          <w:spacing w:val="-4"/>
          <w:sz w:val="16"/>
        </w:rPr>
        <w:t> </w:t>
      </w:r>
      <w:r>
        <w:rPr>
          <w:sz w:val="16"/>
        </w:rPr>
        <w:t>las</w:t>
      </w:r>
      <w:r>
        <w:rPr>
          <w:spacing w:val="-2"/>
          <w:sz w:val="16"/>
        </w:rPr>
        <w:t> </w:t>
      </w:r>
      <w:r>
        <w:rPr>
          <w:sz w:val="16"/>
        </w:rPr>
        <w:t>Constituciones</w:t>
      </w:r>
      <w:r>
        <w:rPr>
          <w:spacing w:val="-5"/>
          <w:sz w:val="16"/>
        </w:rPr>
        <w:t> </w:t>
      </w:r>
      <w:r>
        <w:rPr>
          <w:sz w:val="16"/>
        </w:rPr>
        <w:t>de</w:t>
      </w:r>
      <w:r>
        <w:rPr>
          <w:spacing w:val="-2"/>
          <w:sz w:val="16"/>
        </w:rPr>
        <w:t> </w:t>
      </w:r>
      <w:r>
        <w:rPr>
          <w:sz w:val="16"/>
        </w:rPr>
        <w:t>los</w:t>
      </w:r>
      <w:r>
        <w:rPr>
          <w:spacing w:val="-2"/>
          <w:sz w:val="16"/>
        </w:rPr>
        <w:t> </w:t>
      </w:r>
      <w:r>
        <w:rPr>
          <w:sz w:val="16"/>
        </w:rPr>
        <w:t>siguientes</w:t>
      </w:r>
      <w:r>
        <w:rPr>
          <w:spacing w:val="-5"/>
          <w:sz w:val="16"/>
        </w:rPr>
        <w:t> </w:t>
      </w:r>
      <w:r>
        <w:rPr>
          <w:sz w:val="16"/>
        </w:rPr>
        <w:t>países</w:t>
      </w:r>
      <w:r>
        <w:rPr>
          <w:spacing w:val="-4"/>
          <w:sz w:val="16"/>
        </w:rPr>
        <w:t> </w:t>
      </w:r>
      <w:r>
        <w:rPr>
          <w:sz w:val="16"/>
        </w:rPr>
        <w:t>consagran</w:t>
      </w:r>
      <w:r>
        <w:rPr>
          <w:spacing w:val="-4"/>
          <w:sz w:val="16"/>
        </w:rPr>
        <w:t> </w:t>
      </w:r>
      <w:r>
        <w:rPr>
          <w:sz w:val="16"/>
        </w:rPr>
        <w:t>el</w:t>
      </w:r>
      <w:r>
        <w:rPr>
          <w:spacing w:val="-6"/>
          <w:sz w:val="16"/>
        </w:rPr>
        <w:t> </w:t>
      </w:r>
      <w:r>
        <w:rPr>
          <w:sz w:val="16"/>
        </w:rPr>
        <w:t>derecho</w:t>
      </w:r>
      <w:r>
        <w:rPr>
          <w:spacing w:val="-4"/>
          <w:sz w:val="16"/>
        </w:rPr>
        <w:t> </w:t>
      </w:r>
      <w:r>
        <w:rPr>
          <w:sz w:val="16"/>
        </w:rPr>
        <w:t>al</w:t>
      </w:r>
      <w:r>
        <w:rPr>
          <w:spacing w:val="-3"/>
          <w:sz w:val="16"/>
        </w:rPr>
        <w:t> </w:t>
      </w:r>
      <w:r>
        <w:rPr>
          <w:sz w:val="16"/>
        </w:rPr>
        <w:t>ambiente:</w:t>
      </w:r>
      <w:r>
        <w:rPr>
          <w:spacing w:val="-6"/>
          <w:sz w:val="16"/>
        </w:rPr>
        <w:t> </w:t>
      </w:r>
      <w:r>
        <w:rPr>
          <w:sz w:val="16"/>
        </w:rPr>
        <w:t>Bolivia,</w:t>
      </w:r>
      <w:r>
        <w:rPr>
          <w:spacing w:val="-4"/>
          <w:sz w:val="16"/>
        </w:rPr>
        <w:t> </w:t>
      </w:r>
      <w:r>
        <w:rPr>
          <w:sz w:val="16"/>
        </w:rPr>
        <w:t>Brasil,</w:t>
      </w:r>
      <w:r>
        <w:rPr>
          <w:spacing w:val="-4"/>
          <w:sz w:val="16"/>
        </w:rPr>
        <w:t> </w:t>
      </w:r>
      <w:r>
        <w:rPr>
          <w:sz w:val="16"/>
        </w:rPr>
        <w:t>Chile, Colombia, Costa Rica, Ecuador, El Salvador, Guatemala, México, Nicaragua, Panamá, Paraguay, Perú, República Dominicana y</w:t>
      </w:r>
      <w:r>
        <w:rPr>
          <w:spacing w:val="-13"/>
          <w:sz w:val="16"/>
        </w:rPr>
        <w:t> </w:t>
      </w:r>
      <w:r>
        <w:rPr>
          <w:sz w:val="16"/>
        </w:rPr>
        <w:t>Venezuela.</w:t>
      </w:r>
    </w:p>
    <w:p>
      <w:pPr>
        <w:pStyle w:val="BodyText"/>
        <w:spacing w:before="11"/>
        <w:rPr>
          <w:sz w:val="15"/>
        </w:rPr>
      </w:pPr>
    </w:p>
    <w:p>
      <w:pPr>
        <w:tabs>
          <w:tab w:pos="829" w:val="left" w:leader="none"/>
        </w:tabs>
        <w:spacing w:line="240" w:lineRule="auto" w:before="0"/>
        <w:ind w:left="122" w:right="112" w:firstLine="0"/>
        <w:jc w:val="both"/>
        <w:rPr>
          <w:sz w:val="16"/>
        </w:rPr>
      </w:pPr>
      <w:r>
        <w:rPr>
          <w:position w:val="6"/>
          <w:sz w:val="10"/>
        </w:rPr>
        <w:t>196</w:t>
        <w:tab/>
      </w:r>
      <w:r>
        <w:rPr>
          <w:sz w:val="16"/>
        </w:rPr>
        <w:t>La</w:t>
      </w:r>
      <w:r>
        <w:rPr>
          <w:spacing w:val="-4"/>
          <w:sz w:val="16"/>
        </w:rPr>
        <w:t> </w:t>
      </w:r>
      <w:r>
        <w:rPr>
          <w:sz w:val="16"/>
        </w:rPr>
        <w:t>Corte</w:t>
      </w:r>
      <w:r>
        <w:rPr>
          <w:spacing w:val="-5"/>
          <w:sz w:val="16"/>
        </w:rPr>
        <w:t> </w:t>
      </w:r>
      <w:r>
        <w:rPr>
          <w:sz w:val="16"/>
        </w:rPr>
        <w:t>ha</w:t>
      </w:r>
      <w:r>
        <w:rPr>
          <w:spacing w:val="-6"/>
          <w:sz w:val="16"/>
        </w:rPr>
        <w:t> </w:t>
      </w:r>
      <w:r>
        <w:rPr>
          <w:sz w:val="16"/>
        </w:rPr>
        <w:t>señalado</w:t>
      </w:r>
      <w:r>
        <w:rPr>
          <w:spacing w:val="-7"/>
          <w:sz w:val="16"/>
        </w:rPr>
        <w:t> </w:t>
      </w:r>
      <w:r>
        <w:rPr>
          <w:sz w:val="16"/>
        </w:rPr>
        <w:t>que</w:t>
      </w:r>
      <w:r>
        <w:rPr>
          <w:spacing w:val="-5"/>
          <w:sz w:val="16"/>
        </w:rPr>
        <w:t> </w:t>
      </w:r>
      <w:r>
        <w:rPr>
          <w:sz w:val="16"/>
        </w:rPr>
        <w:t>en</w:t>
      </w:r>
      <w:r>
        <w:rPr>
          <w:spacing w:val="-6"/>
          <w:sz w:val="16"/>
        </w:rPr>
        <w:t> </w:t>
      </w:r>
      <w:r>
        <w:rPr>
          <w:sz w:val="16"/>
        </w:rPr>
        <w:t>virtud</w:t>
      </w:r>
      <w:r>
        <w:rPr>
          <w:spacing w:val="-3"/>
          <w:sz w:val="16"/>
        </w:rPr>
        <w:t> </w:t>
      </w:r>
      <w:r>
        <w:rPr>
          <w:sz w:val="16"/>
        </w:rPr>
        <w:t>de</w:t>
      </w:r>
      <w:r>
        <w:rPr>
          <w:spacing w:val="-3"/>
          <w:sz w:val="16"/>
        </w:rPr>
        <w:t> </w:t>
      </w:r>
      <w:r>
        <w:rPr>
          <w:sz w:val="16"/>
        </w:rPr>
        <w:t>la</w:t>
      </w:r>
      <w:r>
        <w:rPr>
          <w:spacing w:val="-6"/>
          <w:sz w:val="16"/>
        </w:rPr>
        <w:t> </w:t>
      </w:r>
      <w:r>
        <w:rPr>
          <w:sz w:val="16"/>
        </w:rPr>
        <w:t>obligación</w:t>
      </w:r>
      <w:r>
        <w:rPr>
          <w:spacing w:val="-6"/>
          <w:sz w:val="16"/>
        </w:rPr>
        <w:t> </w:t>
      </w:r>
      <w:r>
        <w:rPr>
          <w:sz w:val="16"/>
        </w:rPr>
        <w:t>de</w:t>
      </w:r>
      <w:r>
        <w:rPr>
          <w:spacing w:val="-5"/>
          <w:sz w:val="16"/>
        </w:rPr>
        <w:t> </w:t>
      </w:r>
      <w:r>
        <w:rPr>
          <w:sz w:val="16"/>
        </w:rPr>
        <w:t>respetar</w:t>
      </w:r>
      <w:r>
        <w:rPr>
          <w:spacing w:val="-3"/>
          <w:sz w:val="16"/>
        </w:rPr>
        <w:t> </w:t>
      </w:r>
      <w:r>
        <w:rPr>
          <w:sz w:val="16"/>
        </w:rPr>
        <w:t>los</w:t>
      </w:r>
      <w:r>
        <w:rPr>
          <w:spacing w:val="-7"/>
          <w:sz w:val="16"/>
        </w:rPr>
        <w:t> </w:t>
      </w:r>
      <w:r>
        <w:rPr>
          <w:sz w:val="16"/>
        </w:rPr>
        <w:t>derechos</w:t>
      </w:r>
      <w:r>
        <w:rPr>
          <w:spacing w:val="-3"/>
          <w:sz w:val="16"/>
        </w:rPr>
        <w:t> </w:t>
      </w:r>
      <w:r>
        <w:rPr>
          <w:sz w:val="16"/>
        </w:rPr>
        <w:t>humanos,</w:t>
      </w:r>
      <w:r>
        <w:rPr>
          <w:spacing w:val="-6"/>
          <w:sz w:val="16"/>
        </w:rPr>
        <w:t> </w:t>
      </w:r>
      <w:r>
        <w:rPr>
          <w:sz w:val="16"/>
        </w:rPr>
        <w:t>prevista</w:t>
      </w:r>
      <w:r>
        <w:rPr>
          <w:spacing w:val="-4"/>
          <w:sz w:val="16"/>
        </w:rPr>
        <w:t> </w:t>
      </w:r>
      <w:r>
        <w:rPr>
          <w:sz w:val="16"/>
        </w:rPr>
        <w:t>en</w:t>
      </w:r>
      <w:r>
        <w:rPr>
          <w:spacing w:val="-6"/>
          <w:sz w:val="16"/>
        </w:rPr>
        <w:t> </w:t>
      </w:r>
      <w:r>
        <w:rPr>
          <w:sz w:val="16"/>
        </w:rPr>
        <w:t>el</w:t>
      </w:r>
      <w:r>
        <w:rPr>
          <w:w w:val="100"/>
          <w:sz w:val="16"/>
        </w:rPr>
        <w:t> </w:t>
      </w:r>
      <w:r>
        <w:rPr>
          <w:sz w:val="16"/>
        </w:rPr>
        <w:t>artículo 1.1 de la Convención, los Estados “deben abstenerse” de, entre otras conductas, “contaminar ilícitamente el medio ambiente de forma que se afecte las condiciones que permiten la vida digna de las personas, por ejemplo, mediante el depósito de desechos de empresas estatales en formas que afecten la calidad o el acceso al agua potable y/o a fuentes de alimentación” (</w:t>
      </w:r>
      <w:r>
        <w:rPr>
          <w:i/>
          <w:sz w:val="16"/>
        </w:rPr>
        <w:t>Medio ambiente y derechos humanos </w:t>
      </w:r>
      <w:r>
        <w:rPr>
          <w:i/>
          <w:sz w:val="16"/>
        </w:rPr>
        <w:t>(obligaciones estatales en relación con el medio ambiente en el marco de la protección y garantía de los derechos a la vida y a la integridad personal - interpretación y alcance de los artículos 4.1 y 5.1, en relación con</w:t>
      </w:r>
      <w:r>
        <w:rPr>
          <w:i/>
          <w:spacing w:val="-6"/>
          <w:sz w:val="16"/>
        </w:rPr>
        <w:t> </w:t>
      </w:r>
      <w:r>
        <w:rPr>
          <w:i/>
          <w:sz w:val="16"/>
        </w:rPr>
        <w:t>los</w:t>
      </w:r>
      <w:r>
        <w:rPr>
          <w:i/>
          <w:spacing w:val="-5"/>
          <w:sz w:val="16"/>
        </w:rPr>
        <w:t> </w:t>
      </w:r>
      <w:r>
        <w:rPr>
          <w:i/>
          <w:sz w:val="16"/>
        </w:rPr>
        <w:t>artículos</w:t>
      </w:r>
      <w:r>
        <w:rPr>
          <w:i/>
          <w:spacing w:val="-7"/>
          <w:sz w:val="16"/>
        </w:rPr>
        <w:t> </w:t>
      </w:r>
      <w:r>
        <w:rPr>
          <w:i/>
          <w:sz w:val="16"/>
        </w:rPr>
        <w:t>1.1</w:t>
      </w:r>
      <w:r>
        <w:rPr>
          <w:i/>
          <w:spacing w:val="-7"/>
          <w:sz w:val="16"/>
        </w:rPr>
        <w:t> </w:t>
      </w:r>
      <w:r>
        <w:rPr>
          <w:i/>
          <w:sz w:val="16"/>
        </w:rPr>
        <w:t>y</w:t>
      </w:r>
      <w:r>
        <w:rPr>
          <w:i/>
          <w:spacing w:val="-6"/>
          <w:sz w:val="16"/>
        </w:rPr>
        <w:t> </w:t>
      </w:r>
      <w:r>
        <w:rPr>
          <w:i/>
          <w:sz w:val="16"/>
        </w:rPr>
        <w:t>2</w:t>
      </w:r>
      <w:r>
        <w:rPr>
          <w:i/>
          <w:spacing w:val="-6"/>
          <w:sz w:val="16"/>
        </w:rPr>
        <w:t> </w:t>
      </w:r>
      <w:r>
        <w:rPr>
          <w:i/>
          <w:sz w:val="16"/>
        </w:rPr>
        <w:t>de</w:t>
      </w:r>
      <w:r>
        <w:rPr>
          <w:i/>
          <w:spacing w:val="-5"/>
          <w:sz w:val="16"/>
        </w:rPr>
        <w:t> </w:t>
      </w:r>
      <w:r>
        <w:rPr>
          <w:i/>
          <w:sz w:val="16"/>
        </w:rPr>
        <w:t>la</w:t>
      </w:r>
      <w:r>
        <w:rPr>
          <w:i/>
          <w:spacing w:val="-10"/>
          <w:sz w:val="16"/>
        </w:rPr>
        <w:t> </w:t>
      </w:r>
      <w:r>
        <w:rPr>
          <w:i/>
          <w:sz w:val="16"/>
        </w:rPr>
        <w:t>Convención</w:t>
      </w:r>
      <w:r>
        <w:rPr>
          <w:i/>
          <w:spacing w:val="-8"/>
          <w:sz w:val="16"/>
        </w:rPr>
        <w:t> </w:t>
      </w:r>
      <w:r>
        <w:rPr>
          <w:i/>
          <w:sz w:val="16"/>
        </w:rPr>
        <w:t>Americana</w:t>
      </w:r>
      <w:r>
        <w:rPr>
          <w:i/>
          <w:spacing w:val="-8"/>
          <w:sz w:val="16"/>
        </w:rPr>
        <w:t> </w:t>
      </w:r>
      <w:r>
        <w:rPr>
          <w:i/>
          <w:sz w:val="16"/>
        </w:rPr>
        <w:t>sobre</w:t>
      </w:r>
      <w:r>
        <w:rPr>
          <w:i/>
          <w:spacing w:val="-10"/>
          <w:sz w:val="16"/>
        </w:rPr>
        <w:t> </w:t>
      </w:r>
      <w:r>
        <w:rPr>
          <w:i/>
          <w:sz w:val="16"/>
        </w:rPr>
        <w:t>Derechos</w:t>
      </w:r>
      <w:r>
        <w:rPr>
          <w:i/>
          <w:spacing w:val="-7"/>
          <w:sz w:val="16"/>
        </w:rPr>
        <w:t> </w:t>
      </w:r>
      <w:r>
        <w:rPr>
          <w:i/>
          <w:sz w:val="16"/>
        </w:rPr>
        <w:t>Humanos).</w:t>
      </w:r>
      <w:r>
        <w:rPr>
          <w:i/>
          <w:spacing w:val="-8"/>
          <w:sz w:val="16"/>
        </w:rPr>
        <w:t> </w:t>
      </w:r>
      <w:r>
        <w:rPr>
          <w:i/>
          <w:sz w:val="16"/>
        </w:rPr>
        <w:t>Opinión</w:t>
      </w:r>
      <w:r>
        <w:rPr>
          <w:i/>
          <w:spacing w:val="-8"/>
          <w:sz w:val="16"/>
        </w:rPr>
        <w:t> </w:t>
      </w:r>
      <w:r>
        <w:rPr>
          <w:i/>
          <w:sz w:val="16"/>
        </w:rPr>
        <w:t>Consultiva</w:t>
      </w:r>
      <w:r>
        <w:rPr>
          <w:i/>
          <w:spacing w:val="-8"/>
          <w:sz w:val="16"/>
        </w:rPr>
        <w:t> </w:t>
      </w:r>
      <w:r>
        <w:rPr>
          <w:i/>
          <w:sz w:val="16"/>
        </w:rPr>
        <w:t>OC-23/17 </w:t>
      </w:r>
      <w:r>
        <w:rPr>
          <w:sz w:val="16"/>
        </w:rPr>
        <w:t>de</w:t>
      </w:r>
      <w:r>
        <w:rPr>
          <w:spacing w:val="-9"/>
          <w:sz w:val="16"/>
        </w:rPr>
        <w:t> </w:t>
      </w:r>
      <w:r>
        <w:rPr>
          <w:sz w:val="16"/>
        </w:rPr>
        <w:t>15</w:t>
      </w:r>
      <w:r>
        <w:rPr>
          <w:spacing w:val="-11"/>
          <w:sz w:val="16"/>
        </w:rPr>
        <w:t> </w:t>
      </w:r>
      <w:r>
        <w:rPr>
          <w:sz w:val="16"/>
        </w:rPr>
        <w:t>de</w:t>
      </w:r>
      <w:r>
        <w:rPr>
          <w:spacing w:val="-9"/>
          <w:sz w:val="16"/>
        </w:rPr>
        <w:t> </w:t>
      </w:r>
      <w:r>
        <w:rPr>
          <w:sz w:val="16"/>
        </w:rPr>
        <w:t>noviembre</w:t>
      </w:r>
      <w:r>
        <w:rPr>
          <w:spacing w:val="-12"/>
          <w:sz w:val="16"/>
        </w:rPr>
        <w:t> </w:t>
      </w:r>
      <w:r>
        <w:rPr>
          <w:sz w:val="16"/>
        </w:rPr>
        <w:t>de</w:t>
      </w:r>
      <w:r>
        <w:rPr>
          <w:spacing w:val="-12"/>
          <w:sz w:val="16"/>
        </w:rPr>
        <w:t> </w:t>
      </w:r>
      <w:r>
        <w:rPr>
          <w:sz w:val="16"/>
        </w:rPr>
        <w:t>2017.</w:t>
      </w:r>
      <w:r>
        <w:rPr>
          <w:spacing w:val="-13"/>
          <w:sz w:val="16"/>
        </w:rPr>
        <w:t> </w:t>
      </w:r>
      <w:r>
        <w:rPr>
          <w:sz w:val="16"/>
        </w:rPr>
        <w:t>Serie</w:t>
      </w:r>
      <w:r>
        <w:rPr>
          <w:spacing w:val="-12"/>
          <w:sz w:val="16"/>
        </w:rPr>
        <w:t> </w:t>
      </w:r>
      <w:r>
        <w:rPr>
          <w:sz w:val="16"/>
        </w:rPr>
        <w:t>A</w:t>
      </w:r>
      <w:r>
        <w:rPr>
          <w:spacing w:val="-9"/>
          <w:sz w:val="16"/>
        </w:rPr>
        <w:t> </w:t>
      </w:r>
      <w:r>
        <w:rPr>
          <w:sz w:val="16"/>
        </w:rPr>
        <w:t>No.</w:t>
      </w:r>
      <w:r>
        <w:rPr>
          <w:spacing w:val="-11"/>
          <w:sz w:val="16"/>
        </w:rPr>
        <w:t> </w:t>
      </w:r>
      <w:r>
        <w:rPr>
          <w:sz w:val="16"/>
        </w:rPr>
        <w:t>23,</w:t>
      </w:r>
      <w:r>
        <w:rPr>
          <w:spacing w:val="-11"/>
          <w:sz w:val="16"/>
        </w:rPr>
        <w:t> </w:t>
      </w:r>
      <w:r>
        <w:rPr>
          <w:sz w:val="16"/>
        </w:rPr>
        <w:t>párr.</w:t>
      </w:r>
      <w:r>
        <w:rPr>
          <w:spacing w:val="-13"/>
          <w:sz w:val="16"/>
        </w:rPr>
        <w:t> </w:t>
      </w:r>
      <w:r>
        <w:rPr>
          <w:sz w:val="16"/>
        </w:rPr>
        <w:t>117.</w:t>
      </w:r>
      <w:r>
        <w:rPr>
          <w:spacing w:val="-11"/>
          <w:sz w:val="16"/>
        </w:rPr>
        <w:t> </w:t>
      </w:r>
      <w:r>
        <w:rPr>
          <w:sz w:val="16"/>
        </w:rPr>
        <w:t>En</w:t>
      </w:r>
      <w:r>
        <w:rPr>
          <w:spacing w:val="-11"/>
          <w:sz w:val="16"/>
        </w:rPr>
        <w:t> </w:t>
      </w:r>
      <w:r>
        <w:rPr>
          <w:sz w:val="16"/>
        </w:rPr>
        <w:t>sustento</w:t>
      </w:r>
      <w:r>
        <w:rPr>
          <w:spacing w:val="-9"/>
          <w:sz w:val="16"/>
        </w:rPr>
        <w:t> </w:t>
      </w:r>
      <w:r>
        <w:rPr>
          <w:sz w:val="16"/>
        </w:rPr>
        <w:t>de</w:t>
      </w:r>
      <w:r>
        <w:rPr>
          <w:spacing w:val="-9"/>
          <w:sz w:val="16"/>
        </w:rPr>
        <w:t> </w:t>
      </w:r>
      <w:r>
        <w:rPr>
          <w:sz w:val="16"/>
        </w:rPr>
        <w:t>lo</w:t>
      </w:r>
      <w:r>
        <w:rPr>
          <w:spacing w:val="-11"/>
          <w:sz w:val="16"/>
        </w:rPr>
        <w:t> </w:t>
      </w:r>
      <w:r>
        <w:rPr>
          <w:sz w:val="16"/>
        </w:rPr>
        <w:t>indicado,</w:t>
      </w:r>
      <w:r>
        <w:rPr>
          <w:spacing w:val="-11"/>
          <w:sz w:val="16"/>
        </w:rPr>
        <w:t> </w:t>
      </w:r>
      <w:r>
        <w:rPr>
          <w:sz w:val="16"/>
        </w:rPr>
        <w:t>la</w:t>
      </w:r>
      <w:r>
        <w:rPr>
          <w:spacing w:val="-13"/>
          <w:sz w:val="16"/>
        </w:rPr>
        <w:t> </w:t>
      </w:r>
      <w:r>
        <w:rPr>
          <w:sz w:val="16"/>
        </w:rPr>
        <w:t>Corte</w:t>
      </w:r>
      <w:r>
        <w:rPr>
          <w:spacing w:val="-9"/>
          <w:sz w:val="16"/>
        </w:rPr>
        <w:t> </w:t>
      </w:r>
      <w:r>
        <w:rPr>
          <w:sz w:val="16"/>
        </w:rPr>
        <w:t>citó</w:t>
      </w:r>
      <w:r>
        <w:rPr>
          <w:spacing w:val="-9"/>
          <w:sz w:val="16"/>
        </w:rPr>
        <w:t> </w:t>
      </w:r>
      <w:r>
        <w:rPr>
          <w:sz w:val="16"/>
        </w:rPr>
        <w:t>señalamientos del Comité DESC (</w:t>
      </w:r>
      <w:r>
        <w:rPr>
          <w:i/>
          <w:sz w:val="16"/>
        </w:rPr>
        <w:t>Observación General 15: El derecho al agua (artículos 11 y 12 del Pacto Internacional de </w:t>
      </w:r>
      <w:r>
        <w:rPr>
          <w:i/>
          <w:sz w:val="16"/>
        </w:rPr>
        <w:t>Derechos</w:t>
      </w:r>
      <w:r>
        <w:rPr>
          <w:i/>
          <w:spacing w:val="-8"/>
          <w:sz w:val="16"/>
        </w:rPr>
        <w:t> </w:t>
      </w:r>
      <w:r>
        <w:rPr>
          <w:i/>
          <w:sz w:val="16"/>
        </w:rPr>
        <w:t>Económicos,</w:t>
      </w:r>
      <w:r>
        <w:rPr>
          <w:i/>
          <w:spacing w:val="-9"/>
          <w:sz w:val="16"/>
        </w:rPr>
        <w:t> </w:t>
      </w:r>
      <w:r>
        <w:rPr>
          <w:i/>
          <w:sz w:val="16"/>
        </w:rPr>
        <w:t>Sociales</w:t>
      </w:r>
      <w:r>
        <w:rPr>
          <w:i/>
          <w:spacing w:val="-8"/>
          <w:sz w:val="16"/>
        </w:rPr>
        <w:t> </w:t>
      </w:r>
      <w:r>
        <w:rPr>
          <w:i/>
          <w:sz w:val="16"/>
        </w:rPr>
        <w:t>y</w:t>
      </w:r>
      <w:r>
        <w:rPr>
          <w:i/>
          <w:spacing w:val="-8"/>
          <w:sz w:val="16"/>
        </w:rPr>
        <w:t> </w:t>
      </w:r>
      <w:r>
        <w:rPr>
          <w:i/>
          <w:sz w:val="16"/>
        </w:rPr>
        <w:t>Culturales).</w:t>
      </w:r>
      <w:r>
        <w:rPr>
          <w:i/>
          <w:spacing w:val="-5"/>
          <w:sz w:val="16"/>
        </w:rPr>
        <w:t> </w:t>
      </w:r>
      <w:r>
        <w:rPr>
          <w:sz w:val="16"/>
        </w:rPr>
        <w:t>20</w:t>
      </w:r>
      <w:r>
        <w:rPr>
          <w:spacing w:val="-7"/>
          <w:sz w:val="16"/>
        </w:rPr>
        <w:t> </w:t>
      </w:r>
      <w:r>
        <w:rPr>
          <w:sz w:val="16"/>
        </w:rPr>
        <w:t>de</w:t>
      </w:r>
      <w:r>
        <w:rPr>
          <w:spacing w:val="-8"/>
          <w:sz w:val="16"/>
        </w:rPr>
        <w:t> </w:t>
      </w:r>
      <w:r>
        <w:rPr>
          <w:sz w:val="16"/>
        </w:rPr>
        <w:t>enero</w:t>
      </w:r>
      <w:r>
        <w:rPr>
          <w:spacing w:val="-10"/>
          <w:sz w:val="16"/>
        </w:rPr>
        <w:t> </w:t>
      </w:r>
      <w:r>
        <w:rPr>
          <w:sz w:val="16"/>
        </w:rPr>
        <w:t>de</w:t>
      </w:r>
      <w:r>
        <w:rPr>
          <w:spacing w:val="-8"/>
          <w:sz w:val="16"/>
        </w:rPr>
        <w:t> </w:t>
      </w:r>
      <w:r>
        <w:rPr>
          <w:sz w:val="16"/>
        </w:rPr>
        <w:t>2003.Doc.</w:t>
      </w:r>
      <w:r>
        <w:rPr>
          <w:spacing w:val="-9"/>
          <w:sz w:val="16"/>
        </w:rPr>
        <w:t> </w:t>
      </w:r>
      <w:r>
        <w:rPr>
          <w:sz w:val="16"/>
        </w:rPr>
        <w:t>ONU</w:t>
      </w:r>
      <w:r>
        <w:rPr>
          <w:spacing w:val="-9"/>
          <w:sz w:val="16"/>
        </w:rPr>
        <w:t> </w:t>
      </w:r>
      <w:r>
        <w:rPr>
          <w:sz w:val="16"/>
        </w:rPr>
        <w:t>E/C.12/2002/11,</w:t>
      </w:r>
      <w:r>
        <w:rPr>
          <w:spacing w:val="-7"/>
          <w:sz w:val="16"/>
        </w:rPr>
        <w:t> </w:t>
      </w:r>
      <w:r>
        <w:rPr>
          <w:sz w:val="16"/>
        </w:rPr>
        <w:t>párrs.</w:t>
      </w:r>
      <w:r>
        <w:rPr>
          <w:spacing w:val="-9"/>
          <w:sz w:val="16"/>
        </w:rPr>
        <w:t> </w:t>
      </w:r>
      <w:r>
        <w:rPr>
          <w:sz w:val="16"/>
        </w:rPr>
        <w:t>17</w:t>
      </w:r>
      <w:r>
        <w:rPr>
          <w:spacing w:val="-7"/>
          <w:sz w:val="16"/>
        </w:rPr>
        <w:t> </w:t>
      </w:r>
      <w:r>
        <w:rPr>
          <w:sz w:val="16"/>
        </w:rPr>
        <w:t>a</w:t>
      </w:r>
      <w:r>
        <w:rPr>
          <w:spacing w:val="-9"/>
          <w:sz w:val="16"/>
        </w:rPr>
        <w:t> </w:t>
      </w:r>
      <w:r>
        <w:rPr>
          <w:sz w:val="16"/>
        </w:rPr>
        <w:t>19, y </w:t>
      </w:r>
      <w:r>
        <w:rPr>
          <w:i/>
          <w:sz w:val="16"/>
        </w:rPr>
        <w:t>Observación General 14: El derecho al disfrute del más alto de nivel posible de salud (artículo 12 del Pacto </w:t>
      </w:r>
      <w:r>
        <w:rPr>
          <w:i/>
          <w:sz w:val="16"/>
        </w:rPr>
        <w:t>Internacional de Derechos Económicos, Sociales y Culturales). </w:t>
      </w:r>
      <w:r>
        <w:rPr>
          <w:sz w:val="16"/>
        </w:rPr>
        <w:t>11 de agosto de 2000. Doc. ONU E/C.12/2000/4, párr.</w:t>
      </w:r>
      <w:r>
        <w:rPr>
          <w:spacing w:val="-10"/>
          <w:sz w:val="16"/>
        </w:rPr>
        <w:t> </w:t>
      </w:r>
      <w:r>
        <w:rPr>
          <w:sz w:val="16"/>
        </w:rPr>
        <w:t>34).</w:t>
      </w:r>
    </w:p>
    <w:p>
      <w:pPr>
        <w:spacing w:after="0" w:line="240" w:lineRule="auto"/>
        <w:jc w:val="both"/>
        <w:rPr>
          <w:sz w:val="16"/>
        </w:rPr>
        <w:sectPr>
          <w:footerReference w:type="default" r:id="rId24"/>
          <w:pgSz w:w="12240" w:h="15840"/>
          <w:pgMar w:footer="1000" w:header="0" w:top="1500" w:bottom="1200" w:left="1580" w:right="1580"/>
          <w:pgNumType w:start="71"/>
        </w:sectPr>
      </w:pPr>
    </w:p>
    <w:p>
      <w:pPr>
        <w:pStyle w:val="BodyText"/>
        <w:spacing w:before="76"/>
        <w:ind w:left="122" w:right="121"/>
        <w:jc w:val="both"/>
      </w:pPr>
      <w:r>
        <w:rPr/>
        <w:t>de garantía prevista en el artículo 1.1 de la Convención, una de cuyas formas de observancia consiste en prevenir violaciones. Este deber se proyecta a la “esfera privada”,</w:t>
      </w:r>
      <w:r>
        <w:rPr>
          <w:spacing w:val="-21"/>
        </w:rPr>
        <w:t> </w:t>
      </w:r>
      <w:r>
        <w:rPr/>
        <w:t>a</w:t>
      </w:r>
      <w:r>
        <w:rPr>
          <w:spacing w:val="-18"/>
        </w:rPr>
        <w:t> </w:t>
      </w:r>
      <w:r>
        <w:rPr/>
        <w:t>fin</w:t>
      </w:r>
      <w:r>
        <w:rPr>
          <w:spacing w:val="-20"/>
        </w:rPr>
        <w:t> </w:t>
      </w:r>
      <w:r>
        <w:rPr/>
        <w:t>de</w:t>
      </w:r>
      <w:r>
        <w:rPr>
          <w:spacing w:val="-20"/>
        </w:rPr>
        <w:t> </w:t>
      </w:r>
      <w:r>
        <w:rPr/>
        <w:t>evitar</w:t>
      </w:r>
      <w:r>
        <w:rPr>
          <w:spacing w:val="-19"/>
        </w:rPr>
        <w:t> </w:t>
      </w:r>
      <w:r>
        <w:rPr/>
        <w:t>que</w:t>
      </w:r>
      <w:r>
        <w:rPr>
          <w:spacing w:val="-22"/>
        </w:rPr>
        <w:t> </w:t>
      </w:r>
      <w:r>
        <w:rPr/>
        <w:t>“terceros</w:t>
      </w:r>
      <w:r>
        <w:rPr>
          <w:spacing w:val="-19"/>
        </w:rPr>
        <w:t> </w:t>
      </w:r>
      <w:r>
        <w:rPr/>
        <w:t>vulneren</w:t>
      </w:r>
      <w:r>
        <w:rPr>
          <w:spacing w:val="-20"/>
        </w:rPr>
        <w:t> </w:t>
      </w:r>
      <w:r>
        <w:rPr/>
        <w:t>los</w:t>
      </w:r>
      <w:r>
        <w:rPr>
          <w:spacing w:val="-22"/>
        </w:rPr>
        <w:t> </w:t>
      </w:r>
      <w:r>
        <w:rPr/>
        <w:t>bienes</w:t>
      </w:r>
      <w:r>
        <w:rPr>
          <w:spacing w:val="-22"/>
        </w:rPr>
        <w:t> </w:t>
      </w:r>
      <w:r>
        <w:rPr/>
        <w:t>jurídicos</w:t>
      </w:r>
      <w:r>
        <w:rPr>
          <w:spacing w:val="-19"/>
        </w:rPr>
        <w:t> </w:t>
      </w:r>
      <w:r>
        <w:rPr/>
        <w:t>protegidos”,</w:t>
      </w:r>
      <w:r>
        <w:rPr>
          <w:spacing w:val="-19"/>
        </w:rPr>
        <w:t> </w:t>
      </w:r>
      <w:r>
        <w:rPr/>
        <w:t>y</w:t>
      </w:r>
      <w:r>
        <w:rPr>
          <w:spacing w:val="-21"/>
        </w:rPr>
        <w:t> </w:t>
      </w:r>
      <w:r>
        <w:rPr/>
        <w:t>“abarca todas aquellas medidas de carácter jurídico, político, administrativo y cultural que promuevan</w:t>
      </w:r>
      <w:r>
        <w:rPr>
          <w:spacing w:val="-6"/>
        </w:rPr>
        <w:t> </w:t>
      </w:r>
      <w:r>
        <w:rPr/>
        <w:t>la</w:t>
      </w:r>
      <w:r>
        <w:rPr>
          <w:spacing w:val="-6"/>
        </w:rPr>
        <w:t> </w:t>
      </w:r>
      <w:r>
        <w:rPr/>
        <w:t>salvaguarda</w:t>
      </w:r>
      <w:r>
        <w:rPr>
          <w:spacing w:val="-6"/>
        </w:rPr>
        <w:t> </w:t>
      </w:r>
      <w:r>
        <w:rPr/>
        <w:t>de</w:t>
      </w:r>
      <w:r>
        <w:rPr>
          <w:spacing w:val="-7"/>
        </w:rPr>
        <w:t> </w:t>
      </w:r>
      <w:r>
        <w:rPr/>
        <w:t>los</w:t>
      </w:r>
      <w:r>
        <w:rPr>
          <w:spacing w:val="-6"/>
        </w:rPr>
        <w:t> </w:t>
      </w:r>
      <w:r>
        <w:rPr/>
        <w:t>derechos</w:t>
      </w:r>
      <w:r>
        <w:rPr>
          <w:spacing w:val="-6"/>
        </w:rPr>
        <w:t> </w:t>
      </w:r>
      <w:r>
        <w:rPr/>
        <w:t>humanos</w:t>
      </w:r>
      <w:r>
        <w:rPr>
          <w:spacing w:val="-6"/>
        </w:rPr>
        <w:t> </w:t>
      </w:r>
      <w:r>
        <w:rPr/>
        <w:t>y</w:t>
      </w:r>
      <w:r>
        <w:rPr>
          <w:spacing w:val="-6"/>
        </w:rPr>
        <w:t> </w:t>
      </w:r>
      <w:r>
        <w:rPr/>
        <w:t>que</w:t>
      </w:r>
      <w:r>
        <w:rPr>
          <w:spacing w:val="-7"/>
        </w:rPr>
        <w:t> </w:t>
      </w:r>
      <w:r>
        <w:rPr/>
        <w:t>aseguren</w:t>
      </w:r>
      <w:r>
        <w:rPr>
          <w:spacing w:val="-6"/>
        </w:rPr>
        <w:t> </w:t>
      </w:r>
      <w:r>
        <w:rPr/>
        <w:t>que</w:t>
      </w:r>
      <w:r>
        <w:rPr>
          <w:spacing w:val="-7"/>
        </w:rPr>
        <w:t> </w:t>
      </w:r>
      <w:r>
        <w:rPr/>
        <w:t>las</w:t>
      </w:r>
      <w:r>
        <w:rPr>
          <w:spacing w:val="-6"/>
        </w:rPr>
        <w:t> </w:t>
      </w:r>
      <w:r>
        <w:rPr/>
        <w:t>eventuales violaciones a los mismos sean efectivamente consideradas y tratadas como un hecho ilícito”</w:t>
      </w:r>
      <w:r>
        <w:rPr>
          <w:position w:val="7"/>
          <w:sz w:val="13"/>
        </w:rPr>
        <w:t>197</w:t>
      </w:r>
      <w:r>
        <w:rPr/>
        <w:t>.</w:t>
      </w:r>
      <w:r>
        <w:rPr>
          <w:spacing w:val="-12"/>
        </w:rPr>
        <w:t> </w:t>
      </w:r>
      <w:r>
        <w:rPr/>
        <w:t>En</w:t>
      </w:r>
      <w:r>
        <w:rPr>
          <w:spacing w:val="-10"/>
        </w:rPr>
        <w:t> </w:t>
      </w:r>
      <w:r>
        <w:rPr/>
        <w:t>esta</w:t>
      </w:r>
      <w:r>
        <w:rPr>
          <w:spacing w:val="-11"/>
        </w:rPr>
        <w:t> </w:t>
      </w:r>
      <w:r>
        <w:rPr/>
        <w:t>línea,</w:t>
      </w:r>
      <w:r>
        <w:rPr>
          <w:spacing w:val="-12"/>
        </w:rPr>
        <w:t> </w:t>
      </w:r>
      <w:r>
        <w:rPr/>
        <w:t>la</w:t>
      </w:r>
      <w:r>
        <w:rPr>
          <w:spacing w:val="-11"/>
        </w:rPr>
        <w:t> </w:t>
      </w:r>
      <w:r>
        <w:rPr/>
        <w:t>Corte</w:t>
      </w:r>
      <w:r>
        <w:rPr>
          <w:spacing w:val="-13"/>
        </w:rPr>
        <w:t> </w:t>
      </w:r>
      <w:r>
        <w:rPr/>
        <w:t>ha</w:t>
      </w:r>
      <w:r>
        <w:rPr>
          <w:spacing w:val="-11"/>
        </w:rPr>
        <w:t> </w:t>
      </w:r>
      <w:r>
        <w:rPr/>
        <w:t>señalado</w:t>
      </w:r>
      <w:r>
        <w:rPr>
          <w:spacing w:val="-12"/>
        </w:rPr>
        <w:t> </w:t>
      </w:r>
      <w:r>
        <w:rPr/>
        <w:t>que</w:t>
      </w:r>
      <w:r>
        <w:rPr>
          <w:spacing w:val="-10"/>
        </w:rPr>
        <w:t> </w:t>
      </w:r>
      <w:r>
        <w:rPr/>
        <w:t>en</w:t>
      </w:r>
      <w:r>
        <w:rPr>
          <w:spacing w:val="-10"/>
        </w:rPr>
        <w:t> </w:t>
      </w:r>
      <w:r>
        <w:rPr/>
        <w:t>ciertas</w:t>
      </w:r>
      <w:r>
        <w:rPr>
          <w:spacing w:val="-9"/>
        </w:rPr>
        <w:t> </w:t>
      </w:r>
      <w:r>
        <w:rPr/>
        <w:t>ocasiones</w:t>
      </w:r>
      <w:r>
        <w:rPr>
          <w:spacing w:val="-12"/>
        </w:rPr>
        <w:t> </w:t>
      </w:r>
      <w:r>
        <w:rPr/>
        <w:t>los</w:t>
      </w:r>
      <w:r>
        <w:rPr>
          <w:spacing w:val="-12"/>
        </w:rPr>
        <w:t> </w:t>
      </w:r>
      <w:r>
        <w:rPr/>
        <w:t>Estados</w:t>
      </w:r>
      <w:r>
        <w:rPr>
          <w:spacing w:val="-12"/>
        </w:rPr>
        <w:t> </w:t>
      </w:r>
      <w:r>
        <w:rPr/>
        <w:t>tienen la obligación de establecer mecanismos adecuados para supervisar y fiscalizar ciertas actividades,</w:t>
      </w:r>
      <w:r>
        <w:rPr>
          <w:spacing w:val="-20"/>
        </w:rPr>
        <w:t> </w:t>
      </w:r>
      <w:r>
        <w:rPr/>
        <w:t>a</w:t>
      </w:r>
      <w:r>
        <w:rPr>
          <w:spacing w:val="-15"/>
        </w:rPr>
        <w:t> </w:t>
      </w:r>
      <w:r>
        <w:rPr/>
        <w:t>efecto</w:t>
      </w:r>
      <w:r>
        <w:rPr>
          <w:spacing w:val="-21"/>
        </w:rPr>
        <w:t> </w:t>
      </w:r>
      <w:r>
        <w:rPr/>
        <w:t>de</w:t>
      </w:r>
      <w:r>
        <w:rPr>
          <w:spacing w:val="-17"/>
        </w:rPr>
        <w:t> </w:t>
      </w:r>
      <w:r>
        <w:rPr/>
        <w:t>garantizar</w:t>
      </w:r>
      <w:r>
        <w:rPr>
          <w:spacing w:val="-21"/>
        </w:rPr>
        <w:t> </w:t>
      </w:r>
      <w:r>
        <w:rPr/>
        <w:t>los</w:t>
      </w:r>
      <w:r>
        <w:rPr>
          <w:spacing w:val="-18"/>
        </w:rPr>
        <w:t> </w:t>
      </w:r>
      <w:r>
        <w:rPr/>
        <w:t>derechos</w:t>
      </w:r>
      <w:r>
        <w:rPr>
          <w:spacing w:val="-16"/>
        </w:rPr>
        <w:t> </w:t>
      </w:r>
      <w:r>
        <w:rPr/>
        <w:t>humanos,</w:t>
      </w:r>
      <w:r>
        <w:rPr>
          <w:spacing w:val="-21"/>
        </w:rPr>
        <w:t> </w:t>
      </w:r>
      <w:r>
        <w:rPr/>
        <w:t>protegiéndolos</w:t>
      </w:r>
      <w:r>
        <w:rPr>
          <w:spacing w:val="-21"/>
        </w:rPr>
        <w:t> </w:t>
      </w:r>
      <w:r>
        <w:rPr/>
        <w:t>de</w:t>
      </w:r>
      <w:r>
        <w:rPr>
          <w:spacing w:val="-19"/>
        </w:rPr>
        <w:t> </w:t>
      </w:r>
      <w:r>
        <w:rPr/>
        <w:t>las</w:t>
      </w:r>
      <w:r>
        <w:rPr>
          <w:spacing w:val="-18"/>
        </w:rPr>
        <w:t> </w:t>
      </w:r>
      <w:r>
        <w:rPr/>
        <w:t>acciones de entidades públicas, así como de personas privadas</w:t>
      </w:r>
      <w:r>
        <w:rPr>
          <w:position w:val="7"/>
          <w:sz w:val="13"/>
        </w:rPr>
        <w:t>198</w:t>
      </w:r>
      <w:r>
        <w:rPr/>
        <w:t>. La obligación de prevenir “es de</w:t>
      </w:r>
      <w:r>
        <w:rPr>
          <w:spacing w:val="-9"/>
        </w:rPr>
        <w:t> </w:t>
      </w:r>
      <w:r>
        <w:rPr/>
        <w:t>medio</w:t>
      </w:r>
      <w:r>
        <w:rPr>
          <w:spacing w:val="-9"/>
        </w:rPr>
        <w:t> </w:t>
      </w:r>
      <w:r>
        <w:rPr/>
        <w:t>o</w:t>
      </w:r>
      <w:r>
        <w:rPr>
          <w:spacing w:val="-7"/>
        </w:rPr>
        <w:t> </w:t>
      </w:r>
      <w:r>
        <w:rPr/>
        <w:t>comportamiento</w:t>
      </w:r>
      <w:r>
        <w:rPr>
          <w:spacing w:val="-9"/>
        </w:rPr>
        <w:t> </w:t>
      </w:r>
      <w:r>
        <w:rPr/>
        <w:t>y</w:t>
      </w:r>
      <w:r>
        <w:rPr>
          <w:spacing w:val="-8"/>
        </w:rPr>
        <w:t> </w:t>
      </w:r>
      <w:r>
        <w:rPr/>
        <w:t>no</w:t>
      </w:r>
      <w:r>
        <w:rPr>
          <w:spacing w:val="-9"/>
        </w:rPr>
        <w:t> </w:t>
      </w:r>
      <w:r>
        <w:rPr/>
        <w:t>se</w:t>
      </w:r>
      <w:r>
        <w:rPr>
          <w:spacing w:val="-9"/>
        </w:rPr>
        <w:t> </w:t>
      </w:r>
      <w:r>
        <w:rPr/>
        <w:t>demuestra</w:t>
      </w:r>
      <w:r>
        <w:rPr>
          <w:spacing w:val="-5"/>
        </w:rPr>
        <w:t> </w:t>
      </w:r>
      <w:r>
        <w:rPr/>
        <w:t>su</w:t>
      </w:r>
      <w:r>
        <w:rPr>
          <w:spacing w:val="-7"/>
        </w:rPr>
        <w:t> </w:t>
      </w:r>
      <w:r>
        <w:rPr/>
        <w:t>incumplimiento</w:t>
      </w:r>
      <w:r>
        <w:rPr>
          <w:spacing w:val="-9"/>
        </w:rPr>
        <w:t> </w:t>
      </w:r>
      <w:r>
        <w:rPr/>
        <w:t>por</w:t>
      </w:r>
      <w:r>
        <w:rPr>
          <w:spacing w:val="-9"/>
        </w:rPr>
        <w:t> </w:t>
      </w:r>
      <w:r>
        <w:rPr/>
        <w:t>el</w:t>
      </w:r>
      <w:r>
        <w:rPr>
          <w:spacing w:val="-8"/>
        </w:rPr>
        <w:t> </w:t>
      </w:r>
      <w:r>
        <w:rPr/>
        <w:t>mero</w:t>
      </w:r>
      <w:r>
        <w:rPr>
          <w:spacing w:val="-9"/>
        </w:rPr>
        <w:t> </w:t>
      </w:r>
      <w:r>
        <w:rPr/>
        <w:t>hecho</w:t>
      </w:r>
      <w:r>
        <w:rPr>
          <w:spacing w:val="-8"/>
        </w:rPr>
        <w:t> </w:t>
      </w:r>
      <w:r>
        <w:rPr/>
        <w:t>de que un derecho haya sido violado”</w:t>
      </w:r>
      <w:r>
        <w:rPr>
          <w:position w:val="7"/>
          <w:sz w:val="13"/>
        </w:rPr>
        <w:t>199</w:t>
      </w:r>
      <w:r>
        <w:rPr/>
        <w:t>. Debido a que lo indicado es aplicable al conjunto de los derechos receptados en la Convención Americana, es útil dejar ya sentado que también refiere a los derechos a la alimentación adecuada, al agua y a participar en la vida</w:t>
      </w:r>
      <w:r>
        <w:rPr>
          <w:spacing w:val="-7"/>
        </w:rPr>
        <w:t> </w:t>
      </w:r>
      <w:r>
        <w:rPr/>
        <w:t>cultural.</w:t>
      </w:r>
    </w:p>
    <w:p>
      <w:pPr>
        <w:pStyle w:val="BodyText"/>
        <w:spacing w:before="1"/>
      </w:pPr>
    </w:p>
    <w:p>
      <w:pPr>
        <w:pStyle w:val="ListParagraph"/>
        <w:numPr>
          <w:ilvl w:val="0"/>
          <w:numId w:val="31"/>
        </w:numPr>
        <w:tabs>
          <w:tab w:pos="830" w:val="left" w:leader="none"/>
        </w:tabs>
        <w:spacing w:line="240" w:lineRule="auto" w:before="0" w:after="0"/>
        <w:ind w:left="122" w:right="126" w:firstLine="0"/>
        <w:jc w:val="both"/>
        <w:rPr>
          <w:sz w:val="20"/>
        </w:rPr>
      </w:pPr>
      <w:r>
        <w:rPr>
          <w:sz w:val="20"/>
        </w:rPr>
        <w:t>Sin</w:t>
      </w:r>
      <w:r>
        <w:rPr>
          <w:spacing w:val="-13"/>
          <w:sz w:val="20"/>
        </w:rPr>
        <w:t> </w:t>
      </w:r>
      <w:r>
        <w:rPr>
          <w:sz w:val="20"/>
        </w:rPr>
        <w:t>perjuicio</w:t>
      </w:r>
      <w:r>
        <w:rPr>
          <w:spacing w:val="-15"/>
          <w:sz w:val="20"/>
        </w:rPr>
        <w:t> </w:t>
      </w:r>
      <w:r>
        <w:rPr>
          <w:sz w:val="20"/>
        </w:rPr>
        <w:t>de</w:t>
      </w:r>
      <w:r>
        <w:rPr>
          <w:spacing w:val="-15"/>
          <w:sz w:val="20"/>
        </w:rPr>
        <w:t> </w:t>
      </w:r>
      <w:r>
        <w:rPr>
          <w:sz w:val="20"/>
        </w:rPr>
        <w:t>lo</w:t>
      </w:r>
      <w:r>
        <w:rPr>
          <w:spacing w:val="-13"/>
          <w:sz w:val="20"/>
        </w:rPr>
        <w:t> </w:t>
      </w:r>
      <w:r>
        <w:rPr>
          <w:sz w:val="20"/>
        </w:rPr>
        <w:t>anterior,</w:t>
      </w:r>
      <w:r>
        <w:rPr>
          <w:spacing w:val="-12"/>
          <w:sz w:val="20"/>
        </w:rPr>
        <w:t> </w:t>
      </w:r>
      <w:r>
        <w:rPr>
          <w:sz w:val="20"/>
        </w:rPr>
        <w:t>en</w:t>
      </w:r>
      <w:r>
        <w:rPr>
          <w:spacing w:val="-13"/>
          <w:sz w:val="20"/>
        </w:rPr>
        <w:t> </w:t>
      </w:r>
      <w:r>
        <w:rPr>
          <w:sz w:val="20"/>
        </w:rPr>
        <w:t>materia</w:t>
      </w:r>
      <w:r>
        <w:rPr>
          <w:spacing w:val="-11"/>
          <w:sz w:val="20"/>
        </w:rPr>
        <w:t> </w:t>
      </w:r>
      <w:r>
        <w:rPr>
          <w:sz w:val="20"/>
        </w:rPr>
        <w:t>específica</w:t>
      </w:r>
      <w:r>
        <w:rPr>
          <w:spacing w:val="-12"/>
          <w:sz w:val="20"/>
        </w:rPr>
        <w:t> </w:t>
      </w:r>
      <w:r>
        <w:rPr>
          <w:sz w:val="20"/>
        </w:rPr>
        <w:t>ambiental,</w:t>
      </w:r>
      <w:r>
        <w:rPr>
          <w:spacing w:val="-14"/>
          <w:sz w:val="20"/>
        </w:rPr>
        <w:t> </w:t>
      </w:r>
      <w:r>
        <w:rPr>
          <w:sz w:val="20"/>
        </w:rPr>
        <w:t>debe</w:t>
      </w:r>
      <w:r>
        <w:rPr>
          <w:spacing w:val="-15"/>
          <w:sz w:val="20"/>
        </w:rPr>
        <w:t> </w:t>
      </w:r>
      <w:r>
        <w:rPr>
          <w:sz w:val="20"/>
        </w:rPr>
        <w:t>destacarse</w:t>
      </w:r>
      <w:r>
        <w:rPr>
          <w:spacing w:val="-15"/>
          <w:sz w:val="20"/>
        </w:rPr>
        <w:t> </w:t>
      </w:r>
      <w:r>
        <w:rPr>
          <w:sz w:val="20"/>
        </w:rPr>
        <w:t>que el principio de prevención de daños ambientales, forma parte del derecho internacional consuetudinario, y entraña la obligación de los Estados de llevar adelante las medidas que</w:t>
      </w:r>
      <w:r>
        <w:rPr>
          <w:spacing w:val="-22"/>
          <w:sz w:val="20"/>
        </w:rPr>
        <w:t> </w:t>
      </w:r>
      <w:r>
        <w:rPr>
          <w:sz w:val="20"/>
        </w:rPr>
        <w:t>sean</w:t>
      </w:r>
      <w:r>
        <w:rPr>
          <w:spacing w:val="-20"/>
          <w:sz w:val="20"/>
        </w:rPr>
        <w:t> </w:t>
      </w:r>
      <w:r>
        <w:rPr>
          <w:sz w:val="20"/>
        </w:rPr>
        <w:t>necesarias</w:t>
      </w:r>
      <w:r>
        <w:rPr>
          <w:spacing w:val="-20"/>
          <w:sz w:val="20"/>
        </w:rPr>
        <w:t> </w:t>
      </w:r>
      <w:r>
        <w:rPr>
          <w:i/>
          <w:sz w:val="20"/>
        </w:rPr>
        <w:t>ex</w:t>
      </w:r>
      <w:r>
        <w:rPr>
          <w:i/>
          <w:spacing w:val="-19"/>
          <w:sz w:val="20"/>
        </w:rPr>
        <w:t> </w:t>
      </w:r>
      <w:r>
        <w:rPr>
          <w:i/>
          <w:sz w:val="20"/>
        </w:rPr>
        <w:t>ante</w:t>
      </w:r>
      <w:r>
        <w:rPr>
          <w:i/>
          <w:spacing w:val="-21"/>
          <w:sz w:val="20"/>
        </w:rPr>
        <w:t> </w:t>
      </w:r>
      <w:r>
        <w:rPr>
          <w:sz w:val="20"/>
        </w:rPr>
        <w:t>la</w:t>
      </w:r>
      <w:r>
        <w:rPr>
          <w:spacing w:val="-21"/>
          <w:sz w:val="20"/>
        </w:rPr>
        <w:t> </w:t>
      </w:r>
      <w:r>
        <w:rPr>
          <w:sz w:val="20"/>
        </w:rPr>
        <w:t>producción</w:t>
      </w:r>
      <w:r>
        <w:rPr>
          <w:spacing w:val="-20"/>
          <w:sz w:val="20"/>
        </w:rPr>
        <w:t> </w:t>
      </w:r>
      <w:r>
        <w:rPr>
          <w:sz w:val="20"/>
        </w:rPr>
        <w:t>del</w:t>
      </w:r>
      <w:r>
        <w:rPr>
          <w:spacing w:val="-21"/>
          <w:sz w:val="20"/>
        </w:rPr>
        <w:t> </w:t>
      </w:r>
      <w:r>
        <w:rPr>
          <w:sz w:val="20"/>
        </w:rPr>
        <w:t>daño</w:t>
      </w:r>
      <w:r>
        <w:rPr>
          <w:spacing w:val="-22"/>
          <w:sz w:val="20"/>
        </w:rPr>
        <w:t> </w:t>
      </w:r>
      <w:r>
        <w:rPr>
          <w:sz w:val="20"/>
        </w:rPr>
        <w:t>ambiental,</w:t>
      </w:r>
      <w:r>
        <w:rPr>
          <w:spacing w:val="-21"/>
          <w:sz w:val="20"/>
        </w:rPr>
        <w:t> </w:t>
      </w:r>
      <w:r>
        <w:rPr>
          <w:sz w:val="20"/>
        </w:rPr>
        <w:t>teniendo</w:t>
      </w:r>
      <w:r>
        <w:rPr>
          <w:spacing w:val="-20"/>
          <w:sz w:val="20"/>
        </w:rPr>
        <w:t> </w:t>
      </w:r>
      <w:r>
        <w:rPr>
          <w:sz w:val="20"/>
        </w:rPr>
        <w:t>en</w:t>
      </w:r>
      <w:r>
        <w:rPr>
          <w:spacing w:val="-20"/>
          <w:sz w:val="20"/>
        </w:rPr>
        <w:t> </w:t>
      </w:r>
      <w:r>
        <w:rPr>
          <w:sz w:val="20"/>
        </w:rPr>
        <w:t>consideración que, debido a sus particularidades, frecuentemente no será posible, luego de</w:t>
      </w:r>
      <w:r>
        <w:rPr>
          <w:spacing w:val="-36"/>
          <w:sz w:val="20"/>
        </w:rPr>
        <w:t> </w:t>
      </w:r>
      <w:r>
        <w:rPr>
          <w:sz w:val="20"/>
        </w:rPr>
        <w:t>producido tal daño, restaurar la situación antes existente. En virtud del deber de prevención, la Corte</w:t>
      </w:r>
      <w:r>
        <w:rPr>
          <w:spacing w:val="-14"/>
          <w:sz w:val="20"/>
        </w:rPr>
        <w:t> </w:t>
      </w:r>
      <w:r>
        <w:rPr>
          <w:sz w:val="20"/>
        </w:rPr>
        <w:t>ha</w:t>
      </w:r>
      <w:r>
        <w:rPr>
          <w:spacing w:val="-10"/>
          <w:sz w:val="20"/>
        </w:rPr>
        <w:t> </w:t>
      </w:r>
      <w:r>
        <w:rPr>
          <w:sz w:val="20"/>
        </w:rPr>
        <w:t>señalado</w:t>
      </w:r>
      <w:r>
        <w:rPr>
          <w:spacing w:val="-12"/>
          <w:sz w:val="20"/>
        </w:rPr>
        <w:t> </w:t>
      </w:r>
      <w:r>
        <w:rPr>
          <w:sz w:val="20"/>
        </w:rPr>
        <w:t>que</w:t>
      </w:r>
      <w:r>
        <w:rPr>
          <w:spacing w:val="-12"/>
          <w:sz w:val="20"/>
        </w:rPr>
        <w:t> </w:t>
      </w:r>
      <w:r>
        <w:rPr>
          <w:sz w:val="20"/>
        </w:rPr>
        <w:t>“los</w:t>
      </w:r>
      <w:r>
        <w:rPr>
          <w:spacing w:val="-11"/>
          <w:sz w:val="20"/>
        </w:rPr>
        <w:t> </w:t>
      </w:r>
      <w:r>
        <w:rPr>
          <w:sz w:val="20"/>
        </w:rPr>
        <w:t>Estados</w:t>
      </w:r>
      <w:r>
        <w:rPr>
          <w:spacing w:val="-11"/>
          <w:sz w:val="20"/>
        </w:rPr>
        <w:t> </w:t>
      </w:r>
      <w:r>
        <w:rPr>
          <w:sz w:val="20"/>
        </w:rPr>
        <w:t>están</w:t>
      </w:r>
      <w:r>
        <w:rPr>
          <w:spacing w:val="-9"/>
          <w:sz w:val="20"/>
        </w:rPr>
        <w:t> </w:t>
      </w:r>
      <w:r>
        <w:rPr>
          <w:sz w:val="20"/>
        </w:rPr>
        <w:t>obligados</w:t>
      </w:r>
      <w:r>
        <w:rPr>
          <w:spacing w:val="-11"/>
          <w:sz w:val="20"/>
        </w:rPr>
        <w:t> </w:t>
      </w:r>
      <w:r>
        <w:rPr>
          <w:sz w:val="20"/>
        </w:rPr>
        <w:t>a</w:t>
      </w:r>
      <w:r>
        <w:rPr>
          <w:spacing w:val="-12"/>
          <w:sz w:val="20"/>
        </w:rPr>
        <w:t> </w:t>
      </w:r>
      <w:r>
        <w:rPr>
          <w:sz w:val="20"/>
        </w:rPr>
        <w:t>usar</w:t>
      </w:r>
      <w:r>
        <w:rPr>
          <w:spacing w:val="-12"/>
          <w:sz w:val="20"/>
        </w:rPr>
        <w:t> </w:t>
      </w:r>
      <w:r>
        <w:rPr>
          <w:sz w:val="20"/>
        </w:rPr>
        <w:t>todos</w:t>
      </w:r>
      <w:r>
        <w:rPr>
          <w:spacing w:val="-11"/>
          <w:sz w:val="20"/>
        </w:rPr>
        <w:t> </w:t>
      </w:r>
      <w:r>
        <w:rPr>
          <w:sz w:val="20"/>
        </w:rPr>
        <w:t>los</w:t>
      </w:r>
      <w:r>
        <w:rPr>
          <w:spacing w:val="-11"/>
          <w:sz w:val="20"/>
        </w:rPr>
        <w:t> </w:t>
      </w:r>
      <w:r>
        <w:rPr>
          <w:sz w:val="20"/>
        </w:rPr>
        <w:t>medios</w:t>
      </w:r>
      <w:r>
        <w:rPr>
          <w:spacing w:val="-13"/>
          <w:sz w:val="20"/>
        </w:rPr>
        <w:t> </w:t>
      </w:r>
      <w:r>
        <w:rPr>
          <w:sz w:val="20"/>
        </w:rPr>
        <w:t>a</w:t>
      </w:r>
      <w:r>
        <w:rPr>
          <w:spacing w:val="-10"/>
          <w:sz w:val="20"/>
        </w:rPr>
        <w:t> </w:t>
      </w:r>
      <w:r>
        <w:rPr>
          <w:sz w:val="20"/>
        </w:rPr>
        <w:t>su</w:t>
      </w:r>
      <w:r>
        <w:rPr>
          <w:spacing w:val="-10"/>
          <w:sz w:val="20"/>
        </w:rPr>
        <w:t> </w:t>
      </w:r>
      <w:r>
        <w:rPr>
          <w:sz w:val="20"/>
        </w:rPr>
        <w:t>alcance con el fin de evitar que las actividades que se lleven a cabo bajo su jurisdicción,</w:t>
      </w:r>
      <w:r>
        <w:rPr>
          <w:spacing w:val="-47"/>
          <w:sz w:val="20"/>
        </w:rPr>
        <w:t> </w:t>
      </w:r>
      <w:r>
        <w:rPr>
          <w:sz w:val="20"/>
        </w:rPr>
        <w:t>causen daños</w:t>
      </w:r>
      <w:r>
        <w:rPr>
          <w:spacing w:val="-19"/>
          <w:sz w:val="20"/>
        </w:rPr>
        <w:t> </w:t>
      </w:r>
      <w:r>
        <w:rPr>
          <w:sz w:val="20"/>
        </w:rPr>
        <w:t>significativos</w:t>
      </w:r>
      <w:r>
        <w:rPr>
          <w:spacing w:val="-17"/>
          <w:sz w:val="20"/>
        </w:rPr>
        <w:t> </w:t>
      </w:r>
      <w:r>
        <w:rPr>
          <w:sz w:val="20"/>
        </w:rPr>
        <w:t>al</w:t>
      </w:r>
      <w:r>
        <w:rPr>
          <w:spacing w:val="-16"/>
          <w:sz w:val="20"/>
        </w:rPr>
        <w:t> </w:t>
      </w:r>
      <w:r>
        <w:rPr>
          <w:sz w:val="20"/>
        </w:rPr>
        <w:t>[…]</w:t>
      </w:r>
      <w:r>
        <w:rPr>
          <w:spacing w:val="-17"/>
          <w:sz w:val="20"/>
        </w:rPr>
        <w:t> </w:t>
      </w:r>
      <w:r>
        <w:rPr>
          <w:sz w:val="20"/>
        </w:rPr>
        <w:t>ambiente”</w:t>
      </w:r>
      <w:r>
        <w:rPr>
          <w:position w:val="7"/>
          <w:sz w:val="13"/>
        </w:rPr>
        <w:t>200</w:t>
      </w:r>
      <w:r>
        <w:rPr>
          <w:sz w:val="20"/>
        </w:rPr>
        <w:t>.</w:t>
      </w:r>
      <w:r>
        <w:rPr>
          <w:spacing w:val="-19"/>
          <w:sz w:val="20"/>
        </w:rPr>
        <w:t> </w:t>
      </w:r>
      <w:r>
        <w:rPr>
          <w:sz w:val="20"/>
        </w:rPr>
        <w:t>Esta</w:t>
      </w:r>
      <w:r>
        <w:rPr>
          <w:spacing w:val="-16"/>
          <w:sz w:val="20"/>
        </w:rPr>
        <w:t> </w:t>
      </w:r>
      <w:r>
        <w:rPr>
          <w:sz w:val="20"/>
        </w:rPr>
        <w:t>obligación</w:t>
      </w:r>
      <w:r>
        <w:rPr>
          <w:spacing w:val="-18"/>
          <w:sz w:val="20"/>
        </w:rPr>
        <w:t> </w:t>
      </w:r>
      <w:r>
        <w:rPr>
          <w:sz w:val="20"/>
        </w:rPr>
        <w:t>debe</w:t>
      </w:r>
      <w:r>
        <w:rPr>
          <w:spacing w:val="-17"/>
          <w:sz w:val="20"/>
        </w:rPr>
        <w:t> </w:t>
      </w:r>
      <w:r>
        <w:rPr>
          <w:sz w:val="20"/>
        </w:rPr>
        <w:t>cumplirse</w:t>
      </w:r>
      <w:r>
        <w:rPr>
          <w:spacing w:val="-20"/>
          <w:sz w:val="20"/>
        </w:rPr>
        <w:t> </w:t>
      </w:r>
      <w:r>
        <w:rPr>
          <w:sz w:val="20"/>
        </w:rPr>
        <w:t>bajo</w:t>
      </w:r>
      <w:r>
        <w:rPr>
          <w:spacing w:val="-20"/>
          <w:sz w:val="20"/>
        </w:rPr>
        <w:t> </w:t>
      </w:r>
      <w:r>
        <w:rPr>
          <w:sz w:val="20"/>
        </w:rPr>
        <w:t>un</w:t>
      </w:r>
      <w:r>
        <w:rPr>
          <w:spacing w:val="-18"/>
          <w:sz w:val="20"/>
        </w:rPr>
        <w:t> </w:t>
      </w:r>
      <w:r>
        <w:rPr>
          <w:sz w:val="20"/>
        </w:rPr>
        <w:t>estándar de debida diligencia, la cual debe ser apropiada y proporcional al grado de riesgo de daño</w:t>
      </w:r>
      <w:r>
        <w:rPr>
          <w:spacing w:val="-22"/>
          <w:sz w:val="20"/>
        </w:rPr>
        <w:t> </w:t>
      </w:r>
      <w:r>
        <w:rPr>
          <w:sz w:val="20"/>
        </w:rPr>
        <w:t>ambiental</w:t>
      </w:r>
      <w:r>
        <w:rPr>
          <w:position w:val="7"/>
          <w:sz w:val="13"/>
        </w:rPr>
        <w:t>201</w:t>
      </w:r>
      <w:r>
        <w:rPr>
          <w:sz w:val="20"/>
        </w:rPr>
        <w:t>.</w:t>
      </w:r>
      <w:r>
        <w:rPr>
          <w:spacing w:val="-21"/>
          <w:sz w:val="20"/>
        </w:rPr>
        <w:t> </w:t>
      </w:r>
      <w:r>
        <w:rPr>
          <w:sz w:val="20"/>
        </w:rPr>
        <w:t>Por</w:t>
      </w:r>
      <w:r>
        <w:rPr>
          <w:spacing w:val="-20"/>
          <w:sz w:val="20"/>
        </w:rPr>
        <w:t> </w:t>
      </w:r>
      <w:r>
        <w:rPr>
          <w:sz w:val="20"/>
        </w:rPr>
        <w:t>otro</w:t>
      </w:r>
      <w:r>
        <w:rPr>
          <w:spacing w:val="-20"/>
          <w:sz w:val="20"/>
        </w:rPr>
        <w:t> </w:t>
      </w:r>
      <w:r>
        <w:rPr>
          <w:sz w:val="20"/>
        </w:rPr>
        <w:t>lado,</w:t>
      </w:r>
      <w:r>
        <w:rPr>
          <w:spacing w:val="-19"/>
          <w:sz w:val="20"/>
        </w:rPr>
        <w:t> </w:t>
      </w:r>
      <w:r>
        <w:rPr>
          <w:sz w:val="20"/>
        </w:rPr>
        <w:t>si</w:t>
      </w:r>
      <w:r>
        <w:rPr>
          <w:spacing w:val="-19"/>
          <w:sz w:val="20"/>
        </w:rPr>
        <w:t> </w:t>
      </w:r>
      <w:r>
        <w:rPr>
          <w:sz w:val="20"/>
        </w:rPr>
        <w:t>bien</w:t>
      </w:r>
      <w:r>
        <w:rPr>
          <w:spacing w:val="-20"/>
          <w:sz w:val="20"/>
        </w:rPr>
        <w:t> </w:t>
      </w:r>
      <w:r>
        <w:rPr>
          <w:sz w:val="20"/>
        </w:rPr>
        <w:t>no</w:t>
      </w:r>
      <w:r>
        <w:rPr>
          <w:spacing w:val="-20"/>
          <w:sz w:val="20"/>
        </w:rPr>
        <w:t> </w:t>
      </w:r>
      <w:r>
        <w:rPr>
          <w:sz w:val="20"/>
        </w:rPr>
        <w:t>es</w:t>
      </w:r>
      <w:r>
        <w:rPr>
          <w:spacing w:val="-19"/>
          <w:sz w:val="20"/>
        </w:rPr>
        <w:t> </w:t>
      </w:r>
      <w:r>
        <w:rPr>
          <w:sz w:val="20"/>
        </w:rPr>
        <w:t>posible</w:t>
      </w:r>
      <w:r>
        <w:rPr>
          <w:spacing w:val="-20"/>
          <w:sz w:val="20"/>
        </w:rPr>
        <w:t> </w:t>
      </w:r>
      <w:r>
        <w:rPr>
          <w:sz w:val="20"/>
        </w:rPr>
        <w:t>realizar</w:t>
      </w:r>
      <w:r>
        <w:rPr>
          <w:spacing w:val="-20"/>
          <w:sz w:val="20"/>
        </w:rPr>
        <w:t> </w:t>
      </w:r>
      <w:r>
        <w:rPr>
          <w:sz w:val="20"/>
        </w:rPr>
        <w:t>una</w:t>
      </w:r>
      <w:r>
        <w:rPr>
          <w:spacing w:val="-18"/>
          <w:sz w:val="20"/>
        </w:rPr>
        <w:t> </w:t>
      </w:r>
      <w:r>
        <w:rPr>
          <w:sz w:val="20"/>
        </w:rPr>
        <w:t>enumeración</w:t>
      </w:r>
      <w:r>
        <w:rPr>
          <w:spacing w:val="-20"/>
          <w:sz w:val="20"/>
        </w:rPr>
        <w:t> </w:t>
      </w:r>
      <w:r>
        <w:rPr>
          <w:sz w:val="20"/>
        </w:rPr>
        <w:t>detallada</w:t>
      </w:r>
    </w:p>
    <w:p>
      <w:pPr>
        <w:pStyle w:val="BodyText"/>
      </w:pPr>
    </w:p>
    <w:p>
      <w:pPr>
        <w:pStyle w:val="BodyText"/>
        <w:spacing w:before="4"/>
        <w:rPr>
          <w:sz w:val="17"/>
        </w:rPr>
      </w:pPr>
      <w:r>
        <w:rPr/>
        <w:pict>
          <v:line style="position:absolute;mso-position-horizontal-relative:page;mso-position-vertical-relative:paragraph;z-index:2632;mso-wrap-distance-left:0;mso-wrap-distance-right:0" from="85.103996pt,12.859981pt" to="229.123996pt,12.859981pt" stroked="true" strokeweight=".72pt" strokecolor="#000000">
            <v:stroke dashstyle="solid"/>
            <w10:wrap type="topAndBottom"/>
          </v:line>
        </w:pict>
      </w:r>
    </w:p>
    <w:p>
      <w:pPr>
        <w:pStyle w:val="BodyText"/>
        <w:spacing w:before="7"/>
        <w:rPr>
          <w:sz w:val="13"/>
        </w:rPr>
      </w:pPr>
    </w:p>
    <w:p>
      <w:pPr>
        <w:tabs>
          <w:tab w:pos="829" w:val="left" w:leader="none"/>
        </w:tabs>
        <w:spacing w:before="101"/>
        <w:ind w:left="122" w:right="115" w:firstLine="0"/>
        <w:jc w:val="both"/>
        <w:rPr>
          <w:sz w:val="16"/>
        </w:rPr>
      </w:pPr>
      <w:r>
        <w:rPr>
          <w:position w:val="6"/>
          <w:sz w:val="10"/>
        </w:rPr>
        <w:t>197</w:t>
        <w:tab/>
      </w:r>
      <w:r>
        <w:rPr>
          <w:i/>
          <w:sz w:val="16"/>
        </w:rPr>
        <w:t>Medio</w:t>
      </w:r>
      <w:r>
        <w:rPr>
          <w:i/>
          <w:spacing w:val="-4"/>
          <w:sz w:val="16"/>
        </w:rPr>
        <w:t> </w:t>
      </w:r>
      <w:r>
        <w:rPr>
          <w:i/>
          <w:sz w:val="16"/>
        </w:rPr>
        <w:t>ambiente</w:t>
      </w:r>
      <w:r>
        <w:rPr>
          <w:i/>
          <w:spacing w:val="-7"/>
          <w:sz w:val="16"/>
        </w:rPr>
        <w:t> </w:t>
      </w:r>
      <w:r>
        <w:rPr>
          <w:i/>
          <w:sz w:val="16"/>
        </w:rPr>
        <w:t>y</w:t>
      </w:r>
      <w:r>
        <w:rPr>
          <w:i/>
          <w:spacing w:val="-6"/>
          <w:sz w:val="16"/>
        </w:rPr>
        <w:t> </w:t>
      </w:r>
      <w:r>
        <w:rPr>
          <w:i/>
          <w:sz w:val="16"/>
        </w:rPr>
        <w:t>derechos</w:t>
      </w:r>
      <w:r>
        <w:rPr>
          <w:i/>
          <w:spacing w:val="-2"/>
          <w:sz w:val="16"/>
        </w:rPr>
        <w:t> </w:t>
      </w:r>
      <w:r>
        <w:rPr>
          <w:i/>
          <w:sz w:val="16"/>
        </w:rPr>
        <w:t>humanos</w:t>
      </w:r>
      <w:r>
        <w:rPr>
          <w:i/>
          <w:spacing w:val="-4"/>
          <w:sz w:val="16"/>
        </w:rPr>
        <w:t> </w:t>
      </w:r>
      <w:r>
        <w:rPr>
          <w:i/>
          <w:sz w:val="16"/>
        </w:rPr>
        <w:t>(obligaciones</w:t>
      </w:r>
      <w:r>
        <w:rPr>
          <w:i/>
          <w:spacing w:val="-4"/>
          <w:sz w:val="16"/>
        </w:rPr>
        <w:t> </w:t>
      </w:r>
      <w:r>
        <w:rPr>
          <w:i/>
          <w:sz w:val="16"/>
        </w:rPr>
        <w:t>estatales</w:t>
      </w:r>
      <w:r>
        <w:rPr>
          <w:i/>
          <w:spacing w:val="-4"/>
          <w:sz w:val="16"/>
        </w:rPr>
        <w:t> </w:t>
      </w:r>
      <w:r>
        <w:rPr>
          <w:i/>
          <w:sz w:val="16"/>
        </w:rPr>
        <w:t>en</w:t>
      </w:r>
      <w:r>
        <w:rPr>
          <w:i/>
          <w:spacing w:val="-8"/>
          <w:sz w:val="16"/>
        </w:rPr>
        <w:t> </w:t>
      </w:r>
      <w:r>
        <w:rPr>
          <w:i/>
          <w:sz w:val="16"/>
        </w:rPr>
        <w:t>relación</w:t>
      </w:r>
      <w:r>
        <w:rPr>
          <w:i/>
          <w:spacing w:val="-6"/>
          <w:sz w:val="16"/>
        </w:rPr>
        <w:t> </w:t>
      </w:r>
      <w:r>
        <w:rPr>
          <w:i/>
          <w:sz w:val="16"/>
        </w:rPr>
        <w:t>con</w:t>
      </w:r>
      <w:r>
        <w:rPr>
          <w:i/>
          <w:spacing w:val="-6"/>
          <w:sz w:val="16"/>
        </w:rPr>
        <w:t> </w:t>
      </w:r>
      <w:r>
        <w:rPr>
          <w:i/>
          <w:sz w:val="16"/>
        </w:rPr>
        <w:t>el</w:t>
      </w:r>
      <w:r>
        <w:rPr>
          <w:i/>
          <w:spacing w:val="-8"/>
          <w:sz w:val="16"/>
        </w:rPr>
        <w:t> </w:t>
      </w:r>
      <w:r>
        <w:rPr>
          <w:i/>
          <w:sz w:val="16"/>
        </w:rPr>
        <w:t>medio</w:t>
      </w:r>
      <w:r>
        <w:rPr>
          <w:i/>
          <w:spacing w:val="-4"/>
          <w:sz w:val="16"/>
        </w:rPr>
        <w:t> </w:t>
      </w:r>
      <w:r>
        <w:rPr>
          <w:i/>
          <w:sz w:val="16"/>
        </w:rPr>
        <w:t>ambiente</w:t>
      </w:r>
      <w:r>
        <w:rPr>
          <w:i/>
          <w:spacing w:val="-4"/>
          <w:sz w:val="16"/>
        </w:rPr>
        <w:t> </w:t>
      </w:r>
      <w:r>
        <w:rPr>
          <w:i/>
          <w:sz w:val="16"/>
        </w:rPr>
        <w:t>en</w:t>
      </w:r>
      <w:r>
        <w:rPr>
          <w:i/>
          <w:spacing w:val="-8"/>
          <w:sz w:val="16"/>
        </w:rPr>
        <w:t> </w:t>
      </w:r>
      <w:r>
        <w:rPr>
          <w:i/>
          <w:sz w:val="16"/>
        </w:rPr>
        <w:t>el</w:t>
      </w:r>
      <w:r>
        <w:rPr>
          <w:i/>
          <w:w w:val="100"/>
          <w:sz w:val="16"/>
        </w:rPr>
        <w:t> </w:t>
      </w:r>
      <w:r>
        <w:rPr>
          <w:i/>
          <w:sz w:val="16"/>
        </w:rPr>
        <w:t>marco</w:t>
      </w:r>
      <w:r>
        <w:rPr>
          <w:i/>
          <w:spacing w:val="-9"/>
          <w:sz w:val="16"/>
        </w:rPr>
        <w:t> </w:t>
      </w:r>
      <w:r>
        <w:rPr>
          <w:i/>
          <w:sz w:val="16"/>
        </w:rPr>
        <w:t>de</w:t>
      </w:r>
      <w:r>
        <w:rPr>
          <w:i/>
          <w:spacing w:val="-7"/>
          <w:sz w:val="16"/>
        </w:rPr>
        <w:t> </w:t>
      </w:r>
      <w:r>
        <w:rPr>
          <w:i/>
          <w:sz w:val="16"/>
        </w:rPr>
        <w:t>la</w:t>
      </w:r>
      <w:r>
        <w:rPr>
          <w:i/>
          <w:spacing w:val="-10"/>
          <w:sz w:val="16"/>
        </w:rPr>
        <w:t> </w:t>
      </w:r>
      <w:r>
        <w:rPr>
          <w:i/>
          <w:sz w:val="16"/>
        </w:rPr>
        <w:t>protección</w:t>
      </w:r>
      <w:r>
        <w:rPr>
          <w:i/>
          <w:spacing w:val="-8"/>
          <w:sz w:val="16"/>
        </w:rPr>
        <w:t> </w:t>
      </w:r>
      <w:r>
        <w:rPr>
          <w:i/>
          <w:sz w:val="16"/>
        </w:rPr>
        <w:t>y</w:t>
      </w:r>
      <w:r>
        <w:rPr>
          <w:i/>
          <w:spacing w:val="-9"/>
          <w:sz w:val="16"/>
        </w:rPr>
        <w:t> </w:t>
      </w:r>
      <w:r>
        <w:rPr>
          <w:i/>
          <w:sz w:val="16"/>
        </w:rPr>
        <w:t>garantía</w:t>
      </w:r>
      <w:r>
        <w:rPr>
          <w:i/>
          <w:spacing w:val="-8"/>
          <w:sz w:val="16"/>
        </w:rPr>
        <w:t> </w:t>
      </w:r>
      <w:r>
        <w:rPr>
          <w:i/>
          <w:sz w:val="16"/>
        </w:rPr>
        <w:t>de</w:t>
      </w:r>
      <w:r>
        <w:rPr>
          <w:i/>
          <w:spacing w:val="-7"/>
          <w:sz w:val="16"/>
        </w:rPr>
        <w:t> </w:t>
      </w:r>
      <w:r>
        <w:rPr>
          <w:i/>
          <w:sz w:val="16"/>
        </w:rPr>
        <w:t>los</w:t>
      </w:r>
      <w:r>
        <w:rPr>
          <w:i/>
          <w:spacing w:val="-10"/>
          <w:sz w:val="16"/>
        </w:rPr>
        <w:t> </w:t>
      </w:r>
      <w:r>
        <w:rPr>
          <w:i/>
          <w:sz w:val="16"/>
        </w:rPr>
        <w:t>derechos</w:t>
      </w:r>
      <w:r>
        <w:rPr>
          <w:i/>
          <w:spacing w:val="-10"/>
          <w:sz w:val="16"/>
        </w:rPr>
        <w:t> </w:t>
      </w:r>
      <w:r>
        <w:rPr>
          <w:i/>
          <w:sz w:val="16"/>
        </w:rPr>
        <w:t>a</w:t>
      </w:r>
      <w:r>
        <w:rPr>
          <w:i/>
          <w:spacing w:val="-8"/>
          <w:sz w:val="16"/>
        </w:rPr>
        <w:t> </w:t>
      </w:r>
      <w:r>
        <w:rPr>
          <w:i/>
          <w:sz w:val="16"/>
        </w:rPr>
        <w:t>la</w:t>
      </w:r>
      <w:r>
        <w:rPr>
          <w:i/>
          <w:spacing w:val="-10"/>
          <w:sz w:val="16"/>
        </w:rPr>
        <w:t> </w:t>
      </w:r>
      <w:r>
        <w:rPr>
          <w:i/>
          <w:sz w:val="16"/>
        </w:rPr>
        <w:t>vida</w:t>
      </w:r>
      <w:r>
        <w:rPr>
          <w:i/>
          <w:spacing w:val="-13"/>
          <w:sz w:val="16"/>
        </w:rPr>
        <w:t> </w:t>
      </w:r>
      <w:r>
        <w:rPr>
          <w:i/>
          <w:sz w:val="16"/>
        </w:rPr>
        <w:t>y</w:t>
      </w:r>
      <w:r>
        <w:rPr>
          <w:i/>
          <w:spacing w:val="-7"/>
          <w:sz w:val="16"/>
        </w:rPr>
        <w:t> </w:t>
      </w:r>
      <w:r>
        <w:rPr>
          <w:i/>
          <w:sz w:val="16"/>
        </w:rPr>
        <w:t>a</w:t>
      </w:r>
      <w:r>
        <w:rPr>
          <w:i/>
          <w:spacing w:val="-10"/>
          <w:sz w:val="16"/>
        </w:rPr>
        <w:t> </w:t>
      </w:r>
      <w:r>
        <w:rPr>
          <w:i/>
          <w:sz w:val="16"/>
        </w:rPr>
        <w:t>la</w:t>
      </w:r>
      <w:r>
        <w:rPr>
          <w:i/>
          <w:spacing w:val="-8"/>
          <w:sz w:val="16"/>
        </w:rPr>
        <w:t> </w:t>
      </w:r>
      <w:r>
        <w:rPr>
          <w:i/>
          <w:sz w:val="16"/>
        </w:rPr>
        <w:t>integridad</w:t>
      </w:r>
      <w:r>
        <w:rPr>
          <w:i/>
          <w:spacing w:val="-9"/>
          <w:sz w:val="16"/>
        </w:rPr>
        <w:t> </w:t>
      </w:r>
      <w:r>
        <w:rPr>
          <w:i/>
          <w:sz w:val="16"/>
        </w:rPr>
        <w:t>personal</w:t>
      </w:r>
      <w:r>
        <w:rPr>
          <w:i/>
          <w:spacing w:val="-4"/>
          <w:sz w:val="16"/>
        </w:rPr>
        <w:t> </w:t>
      </w:r>
      <w:r>
        <w:rPr>
          <w:i/>
          <w:sz w:val="16"/>
        </w:rPr>
        <w:t>-</w:t>
      </w:r>
      <w:r>
        <w:rPr>
          <w:i/>
          <w:spacing w:val="-11"/>
          <w:sz w:val="16"/>
        </w:rPr>
        <w:t> </w:t>
      </w:r>
      <w:r>
        <w:rPr>
          <w:i/>
          <w:sz w:val="16"/>
        </w:rPr>
        <w:t>interpretación</w:t>
      </w:r>
      <w:r>
        <w:rPr>
          <w:i/>
          <w:spacing w:val="-11"/>
          <w:sz w:val="16"/>
        </w:rPr>
        <w:t> </w:t>
      </w:r>
      <w:r>
        <w:rPr>
          <w:i/>
          <w:sz w:val="16"/>
        </w:rPr>
        <w:t>y</w:t>
      </w:r>
      <w:r>
        <w:rPr>
          <w:i/>
          <w:spacing w:val="-9"/>
          <w:sz w:val="16"/>
        </w:rPr>
        <w:t> </w:t>
      </w:r>
      <w:r>
        <w:rPr>
          <w:i/>
          <w:sz w:val="16"/>
        </w:rPr>
        <w:t>alcance de los artículos 4.1 y 5.1, en relación con los artículos 1.1 y 2 de la Convención Americana sobre Derechos Humanos). Opinión Consultiva OC-23/17</w:t>
      </w:r>
      <w:r>
        <w:rPr>
          <w:sz w:val="16"/>
        </w:rPr>
        <w:t>, párr.</w:t>
      </w:r>
      <w:r>
        <w:rPr>
          <w:spacing w:val="-16"/>
          <w:sz w:val="16"/>
        </w:rPr>
        <w:t> </w:t>
      </w:r>
      <w:r>
        <w:rPr>
          <w:sz w:val="16"/>
        </w:rPr>
        <w:t>118.</w:t>
      </w:r>
    </w:p>
    <w:p>
      <w:pPr>
        <w:pStyle w:val="BodyText"/>
        <w:spacing w:before="11"/>
        <w:rPr>
          <w:sz w:val="15"/>
        </w:rPr>
      </w:pPr>
    </w:p>
    <w:p>
      <w:pPr>
        <w:tabs>
          <w:tab w:pos="829" w:val="left" w:leader="none"/>
        </w:tabs>
        <w:spacing w:before="0"/>
        <w:ind w:left="122" w:right="115" w:firstLine="0"/>
        <w:jc w:val="both"/>
        <w:rPr>
          <w:sz w:val="16"/>
        </w:rPr>
      </w:pPr>
      <w:r>
        <w:rPr>
          <w:position w:val="6"/>
          <w:sz w:val="10"/>
        </w:rPr>
        <w:t>198</w:t>
        <w:tab/>
      </w:r>
      <w:r>
        <w:rPr>
          <w:sz w:val="16"/>
        </w:rPr>
        <w:t>Ver,</w:t>
      </w:r>
      <w:r>
        <w:rPr>
          <w:spacing w:val="-3"/>
          <w:sz w:val="16"/>
        </w:rPr>
        <w:t> </w:t>
      </w:r>
      <w:r>
        <w:rPr>
          <w:i/>
          <w:sz w:val="16"/>
        </w:rPr>
        <w:t>inter</w:t>
      </w:r>
      <w:r>
        <w:rPr>
          <w:i/>
          <w:spacing w:val="-4"/>
          <w:sz w:val="16"/>
        </w:rPr>
        <w:t> </w:t>
      </w:r>
      <w:r>
        <w:rPr>
          <w:i/>
          <w:sz w:val="16"/>
        </w:rPr>
        <w:t>alia,</w:t>
      </w:r>
      <w:r>
        <w:rPr>
          <w:i/>
          <w:spacing w:val="-4"/>
          <w:sz w:val="16"/>
        </w:rPr>
        <w:t> </w:t>
      </w:r>
      <w:r>
        <w:rPr>
          <w:i/>
          <w:sz w:val="16"/>
        </w:rPr>
        <w:t>Caso</w:t>
      </w:r>
      <w:r>
        <w:rPr>
          <w:i/>
          <w:spacing w:val="-4"/>
          <w:sz w:val="16"/>
        </w:rPr>
        <w:t> </w:t>
      </w:r>
      <w:r>
        <w:rPr>
          <w:i/>
          <w:sz w:val="16"/>
        </w:rPr>
        <w:t>Ximenes</w:t>
      </w:r>
      <w:r>
        <w:rPr>
          <w:i/>
          <w:spacing w:val="-7"/>
          <w:sz w:val="16"/>
        </w:rPr>
        <w:t> </w:t>
      </w:r>
      <w:r>
        <w:rPr>
          <w:i/>
          <w:sz w:val="16"/>
        </w:rPr>
        <w:t>Lopes</w:t>
      </w:r>
      <w:r>
        <w:rPr>
          <w:i/>
          <w:spacing w:val="-5"/>
          <w:sz w:val="16"/>
        </w:rPr>
        <w:t> </w:t>
      </w:r>
      <w:r>
        <w:rPr>
          <w:i/>
          <w:sz w:val="16"/>
        </w:rPr>
        <w:t>Vs.</w:t>
      </w:r>
      <w:r>
        <w:rPr>
          <w:i/>
          <w:spacing w:val="-6"/>
          <w:sz w:val="16"/>
        </w:rPr>
        <w:t> </w:t>
      </w:r>
      <w:r>
        <w:rPr>
          <w:i/>
          <w:sz w:val="16"/>
        </w:rPr>
        <w:t>Brasil.</w:t>
      </w:r>
      <w:r>
        <w:rPr>
          <w:i/>
          <w:spacing w:val="-4"/>
          <w:sz w:val="16"/>
        </w:rPr>
        <w:t> </w:t>
      </w:r>
      <w:r>
        <w:rPr>
          <w:i/>
          <w:sz w:val="16"/>
        </w:rPr>
        <w:t>Fondo,</w:t>
      </w:r>
      <w:r>
        <w:rPr>
          <w:i/>
          <w:spacing w:val="-6"/>
          <w:sz w:val="16"/>
        </w:rPr>
        <w:t> </w:t>
      </w:r>
      <w:r>
        <w:rPr>
          <w:i/>
          <w:sz w:val="16"/>
        </w:rPr>
        <w:t>Reparaciones</w:t>
      </w:r>
      <w:r>
        <w:rPr>
          <w:i/>
          <w:spacing w:val="-5"/>
          <w:sz w:val="16"/>
        </w:rPr>
        <w:t> </w:t>
      </w:r>
      <w:r>
        <w:rPr>
          <w:i/>
          <w:sz w:val="16"/>
        </w:rPr>
        <w:t>y</w:t>
      </w:r>
      <w:r>
        <w:rPr>
          <w:i/>
          <w:spacing w:val="-2"/>
          <w:sz w:val="16"/>
        </w:rPr>
        <w:t> </w:t>
      </w:r>
      <w:r>
        <w:rPr>
          <w:i/>
          <w:sz w:val="16"/>
        </w:rPr>
        <w:t>Costas</w:t>
      </w:r>
      <w:r>
        <w:rPr>
          <w:sz w:val="16"/>
        </w:rPr>
        <w:t>.</w:t>
      </w:r>
      <w:r>
        <w:rPr>
          <w:spacing w:val="-6"/>
          <w:sz w:val="16"/>
        </w:rPr>
        <w:t> </w:t>
      </w:r>
      <w:r>
        <w:rPr>
          <w:sz w:val="16"/>
        </w:rPr>
        <w:t>Sentencia</w:t>
      </w:r>
      <w:r>
        <w:rPr>
          <w:spacing w:val="-4"/>
          <w:sz w:val="16"/>
        </w:rPr>
        <w:t> </w:t>
      </w:r>
      <w:r>
        <w:rPr>
          <w:sz w:val="16"/>
        </w:rPr>
        <w:t>de</w:t>
      </w:r>
      <w:r>
        <w:rPr>
          <w:spacing w:val="-2"/>
          <w:sz w:val="16"/>
        </w:rPr>
        <w:t> </w:t>
      </w:r>
      <w:r>
        <w:rPr>
          <w:sz w:val="16"/>
        </w:rPr>
        <w:t>4</w:t>
      </w:r>
      <w:r>
        <w:rPr>
          <w:spacing w:val="-4"/>
          <w:sz w:val="16"/>
        </w:rPr>
        <w:t> </w:t>
      </w:r>
      <w:r>
        <w:rPr>
          <w:sz w:val="16"/>
        </w:rPr>
        <w:t>de</w:t>
      </w:r>
      <w:r>
        <w:rPr>
          <w:spacing w:val="-5"/>
          <w:sz w:val="16"/>
        </w:rPr>
        <w:t> </w:t>
      </w:r>
      <w:r>
        <w:rPr>
          <w:sz w:val="16"/>
        </w:rPr>
        <w:t>julio</w:t>
      </w:r>
      <w:r>
        <w:rPr>
          <w:w w:val="100"/>
          <w:sz w:val="16"/>
        </w:rPr>
        <w:t> </w:t>
      </w:r>
      <w:r>
        <w:rPr>
          <w:sz w:val="16"/>
        </w:rPr>
        <w:t>de 2006. Serie C No. 149, párrs. 86, 89 y 99, y </w:t>
      </w:r>
      <w:r>
        <w:rPr>
          <w:i/>
          <w:sz w:val="16"/>
        </w:rPr>
        <w:t>Caso I.V. Vs. Bolivia</w:t>
      </w:r>
      <w:r>
        <w:rPr>
          <w:sz w:val="16"/>
        </w:rPr>
        <w:t>, párrs. 154 y 208. Ver, en el mismo sentido, </w:t>
      </w:r>
      <w:r>
        <w:rPr>
          <w:i/>
          <w:sz w:val="16"/>
        </w:rPr>
        <w:t>Caso Ramírez Escobar y otros Vs. Guatemala</w:t>
      </w:r>
      <w:r>
        <w:rPr>
          <w:sz w:val="16"/>
        </w:rPr>
        <w:t>, párr.</w:t>
      </w:r>
      <w:r>
        <w:rPr>
          <w:spacing w:val="-18"/>
          <w:sz w:val="16"/>
        </w:rPr>
        <w:t> </w:t>
      </w:r>
      <w:r>
        <w:rPr>
          <w:sz w:val="16"/>
        </w:rPr>
        <w:t>355.</w:t>
      </w:r>
    </w:p>
    <w:p>
      <w:pPr>
        <w:pStyle w:val="BodyText"/>
        <w:spacing w:before="11"/>
        <w:rPr>
          <w:sz w:val="15"/>
        </w:rPr>
      </w:pPr>
    </w:p>
    <w:p>
      <w:pPr>
        <w:tabs>
          <w:tab w:pos="829" w:val="left" w:leader="none"/>
        </w:tabs>
        <w:spacing w:before="0"/>
        <w:ind w:left="122" w:right="113" w:firstLine="0"/>
        <w:jc w:val="both"/>
        <w:rPr>
          <w:sz w:val="16"/>
        </w:rPr>
      </w:pPr>
      <w:r>
        <w:rPr>
          <w:position w:val="6"/>
          <w:sz w:val="10"/>
        </w:rPr>
        <w:t>199</w:t>
        <w:tab/>
      </w:r>
      <w:r>
        <w:rPr>
          <w:i/>
          <w:sz w:val="16"/>
        </w:rPr>
        <w:t>Medio</w:t>
      </w:r>
      <w:r>
        <w:rPr>
          <w:i/>
          <w:spacing w:val="-4"/>
          <w:sz w:val="16"/>
        </w:rPr>
        <w:t> </w:t>
      </w:r>
      <w:r>
        <w:rPr>
          <w:i/>
          <w:sz w:val="16"/>
        </w:rPr>
        <w:t>ambiente</w:t>
      </w:r>
      <w:r>
        <w:rPr>
          <w:i/>
          <w:spacing w:val="-7"/>
          <w:sz w:val="16"/>
        </w:rPr>
        <w:t> </w:t>
      </w:r>
      <w:r>
        <w:rPr>
          <w:i/>
          <w:sz w:val="16"/>
        </w:rPr>
        <w:t>y</w:t>
      </w:r>
      <w:r>
        <w:rPr>
          <w:i/>
          <w:spacing w:val="-6"/>
          <w:sz w:val="16"/>
        </w:rPr>
        <w:t> </w:t>
      </w:r>
      <w:r>
        <w:rPr>
          <w:i/>
          <w:sz w:val="16"/>
        </w:rPr>
        <w:t>derechos</w:t>
      </w:r>
      <w:r>
        <w:rPr>
          <w:i/>
          <w:spacing w:val="-4"/>
          <w:sz w:val="16"/>
        </w:rPr>
        <w:t> </w:t>
      </w:r>
      <w:r>
        <w:rPr>
          <w:i/>
          <w:sz w:val="16"/>
        </w:rPr>
        <w:t>humanos</w:t>
      </w:r>
      <w:r>
        <w:rPr>
          <w:i/>
          <w:spacing w:val="-4"/>
          <w:sz w:val="16"/>
        </w:rPr>
        <w:t> </w:t>
      </w:r>
      <w:r>
        <w:rPr>
          <w:i/>
          <w:sz w:val="16"/>
        </w:rPr>
        <w:t>(obligaciones</w:t>
      </w:r>
      <w:r>
        <w:rPr>
          <w:i/>
          <w:spacing w:val="-4"/>
          <w:sz w:val="16"/>
        </w:rPr>
        <w:t> </w:t>
      </w:r>
      <w:r>
        <w:rPr>
          <w:i/>
          <w:sz w:val="16"/>
        </w:rPr>
        <w:t>estatales</w:t>
      </w:r>
      <w:r>
        <w:rPr>
          <w:i/>
          <w:spacing w:val="-4"/>
          <w:sz w:val="16"/>
        </w:rPr>
        <w:t> </w:t>
      </w:r>
      <w:r>
        <w:rPr>
          <w:i/>
          <w:sz w:val="16"/>
        </w:rPr>
        <w:t>en</w:t>
      </w:r>
      <w:r>
        <w:rPr>
          <w:i/>
          <w:spacing w:val="-8"/>
          <w:sz w:val="16"/>
        </w:rPr>
        <w:t> </w:t>
      </w:r>
      <w:r>
        <w:rPr>
          <w:i/>
          <w:sz w:val="16"/>
        </w:rPr>
        <w:t>relación</w:t>
      </w:r>
      <w:r>
        <w:rPr>
          <w:i/>
          <w:spacing w:val="-6"/>
          <w:sz w:val="16"/>
        </w:rPr>
        <w:t> </w:t>
      </w:r>
      <w:r>
        <w:rPr>
          <w:i/>
          <w:sz w:val="16"/>
        </w:rPr>
        <w:t>con</w:t>
      </w:r>
      <w:r>
        <w:rPr>
          <w:i/>
          <w:spacing w:val="-6"/>
          <w:sz w:val="16"/>
        </w:rPr>
        <w:t> </w:t>
      </w:r>
      <w:r>
        <w:rPr>
          <w:i/>
          <w:sz w:val="16"/>
        </w:rPr>
        <w:t>el</w:t>
      </w:r>
      <w:r>
        <w:rPr>
          <w:i/>
          <w:spacing w:val="-8"/>
          <w:sz w:val="16"/>
        </w:rPr>
        <w:t> </w:t>
      </w:r>
      <w:r>
        <w:rPr>
          <w:i/>
          <w:sz w:val="16"/>
        </w:rPr>
        <w:t>medio</w:t>
      </w:r>
      <w:r>
        <w:rPr>
          <w:i/>
          <w:spacing w:val="-4"/>
          <w:sz w:val="16"/>
        </w:rPr>
        <w:t> </w:t>
      </w:r>
      <w:r>
        <w:rPr>
          <w:i/>
          <w:sz w:val="16"/>
        </w:rPr>
        <w:t>ambiente</w:t>
      </w:r>
      <w:r>
        <w:rPr>
          <w:i/>
          <w:spacing w:val="-4"/>
          <w:sz w:val="16"/>
        </w:rPr>
        <w:t> </w:t>
      </w:r>
      <w:r>
        <w:rPr>
          <w:i/>
          <w:sz w:val="16"/>
        </w:rPr>
        <w:t>en</w:t>
      </w:r>
      <w:r>
        <w:rPr>
          <w:i/>
          <w:spacing w:val="-8"/>
          <w:sz w:val="16"/>
        </w:rPr>
        <w:t> </w:t>
      </w:r>
      <w:r>
        <w:rPr>
          <w:i/>
          <w:sz w:val="16"/>
        </w:rPr>
        <w:t>el</w:t>
      </w:r>
      <w:r>
        <w:rPr>
          <w:i/>
          <w:w w:val="100"/>
          <w:sz w:val="16"/>
        </w:rPr>
        <w:t> </w:t>
      </w:r>
      <w:r>
        <w:rPr>
          <w:i/>
          <w:sz w:val="16"/>
        </w:rPr>
        <w:t>marco</w:t>
      </w:r>
      <w:r>
        <w:rPr>
          <w:i/>
          <w:spacing w:val="-9"/>
          <w:sz w:val="16"/>
        </w:rPr>
        <w:t> </w:t>
      </w:r>
      <w:r>
        <w:rPr>
          <w:i/>
          <w:sz w:val="16"/>
        </w:rPr>
        <w:t>de</w:t>
      </w:r>
      <w:r>
        <w:rPr>
          <w:i/>
          <w:spacing w:val="-7"/>
          <w:sz w:val="16"/>
        </w:rPr>
        <w:t> </w:t>
      </w:r>
      <w:r>
        <w:rPr>
          <w:i/>
          <w:sz w:val="16"/>
        </w:rPr>
        <w:t>la</w:t>
      </w:r>
      <w:r>
        <w:rPr>
          <w:i/>
          <w:spacing w:val="-10"/>
          <w:sz w:val="16"/>
        </w:rPr>
        <w:t> </w:t>
      </w:r>
      <w:r>
        <w:rPr>
          <w:i/>
          <w:sz w:val="16"/>
        </w:rPr>
        <w:t>protección</w:t>
      </w:r>
      <w:r>
        <w:rPr>
          <w:i/>
          <w:spacing w:val="-8"/>
          <w:sz w:val="16"/>
        </w:rPr>
        <w:t> </w:t>
      </w:r>
      <w:r>
        <w:rPr>
          <w:i/>
          <w:sz w:val="16"/>
        </w:rPr>
        <w:t>y</w:t>
      </w:r>
      <w:r>
        <w:rPr>
          <w:i/>
          <w:spacing w:val="-9"/>
          <w:sz w:val="16"/>
        </w:rPr>
        <w:t> </w:t>
      </w:r>
      <w:r>
        <w:rPr>
          <w:i/>
          <w:sz w:val="16"/>
        </w:rPr>
        <w:t>garantía</w:t>
      </w:r>
      <w:r>
        <w:rPr>
          <w:i/>
          <w:spacing w:val="-8"/>
          <w:sz w:val="16"/>
        </w:rPr>
        <w:t> </w:t>
      </w:r>
      <w:r>
        <w:rPr>
          <w:i/>
          <w:sz w:val="16"/>
        </w:rPr>
        <w:t>de</w:t>
      </w:r>
      <w:r>
        <w:rPr>
          <w:i/>
          <w:spacing w:val="-7"/>
          <w:sz w:val="16"/>
        </w:rPr>
        <w:t> </w:t>
      </w:r>
      <w:r>
        <w:rPr>
          <w:i/>
          <w:sz w:val="16"/>
        </w:rPr>
        <w:t>los</w:t>
      </w:r>
      <w:r>
        <w:rPr>
          <w:i/>
          <w:spacing w:val="-10"/>
          <w:sz w:val="16"/>
        </w:rPr>
        <w:t> </w:t>
      </w:r>
      <w:r>
        <w:rPr>
          <w:i/>
          <w:sz w:val="16"/>
        </w:rPr>
        <w:t>derechos</w:t>
      </w:r>
      <w:r>
        <w:rPr>
          <w:i/>
          <w:spacing w:val="-10"/>
          <w:sz w:val="16"/>
        </w:rPr>
        <w:t> </w:t>
      </w:r>
      <w:r>
        <w:rPr>
          <w:i/>
          <w:sz w:val="16"/>
        </w:rPr>
        <w:t>a</w:t>
      </w:r>
      <w:r>
        <w:rPr>
          <w:i/>
          <w:spacing w:val="-8"/>
          <w:sz w:val="16"/>
        </w:rPr>
        <w:t> </w:t>
      </w:r>
      <w:r>
        <w:rPr>
          <w:i/>
          <w:sz w:val="16"/>
        </w:rPr>
        <w:t>la</w:t>
      </w:r>
      <w:r>
        <w:rPr>
          <w:i/>
          <w:spacing w:val="-10"/>
          <w:sz w:val="16"/>
        </w:rPr>
        <w:t> </w:t>
      </w:r>
      <w:r>
        <w:rPr>
          <w:i/>
          <w:sz w:val="16"/>
        </w:rPr>
        <w:t>vida</w:t>
      </w:r>
      <w:r>
        <w:rPr>
          <w:i/>
          <w:spacing w:val="-13"/>
          <w:sz w:val="16"/>
        </w:rPr>
        <w:t> </w:t>
      </w:r>
      <w:r>
        <w:rPr>
          <w:i/>
          <w:sz w:val="16"/>
        </w:rPr>
        <w:t>y</w:t>
      </w:r>
      <w:r>
        <w:rPr>
          <w:i/>
          <w:spacing w:val="-7"/>
          <w:sz w:val="16"/>
        </w:rPr>
        <w:t> </w:t>
      </w:r>
      <w:r>
        <w:rPr>
          <w:i/>
          <w:sz w:val="16"/>
        </w:rPr>
        <w:t>a</w:t>
      </w:r>
      <w:r>
        <w:rPr>
          <w:i/>
          <w:spacing w:val="-10"/>
          <w:sz w:val="16"/>
        </w:rPr>
        <w:t> </w:t>
      </w:r>
      <w:r>
        <w:rPr>
          <w:i/>
          <w:sz w:val="16"/>
        </w:rPr>
        <w:t>la</w:t>
      </w:r>
      <w:r>
        <w:rPr>
          <w:i/>
          <w:spacing w:val="-8"/>
          <w:sz w:val="16"/>
        </w:rPr>
        <w:t> </w:t>
      </w:r>
      <w:r>
        <w:rPr>
          <w:i/>
          <w:sz w:val="16"/>
        </w:rPr>
        <w:t>integridad</w:t>
      </w:r>
      <w:r>
        <w:rPr>
          <w:i/>
          <w:spacing w:val="-9"/>
          <w:sz w:val="16"/>
        </w:rPr>
        <w:t> </w:t>
      </w:r>
      <w:r>
        <w:rPr>
          <w:i/>
          <w:sz w:val="16"/>
        </w:rPr>
        <w:t>personal</w:t>
      </w:r>
      <w:r>
        <w:rPr>
          <w:i/>
          <w:spacing w:val="-4"/>
          <w:sz w:val="16"/>
        </w:rPr>
        <w:t> </w:t>
      </w:r>
      <w:r>
        <w:rPr>
          <w:i/>
          <w:sz w:val="16"/>
        </w:rPr>
        <w:t>-</w:t>
      </w:r>
      <w:r>
        <w:rPr>
          <w:i/>
          <w:spacing w:val="-11"/>
          <w:sz w:val="16"/>
        </w:rPr>
        <w:t> </w:t>
      </w:r>
      <w:r>
        <w:rPr>
          <w:i/>
          <w:sz w:val="16"/>
        </w:rPr>
        <w:t>interpretación</w:t>
      </w:r>
      <w:r>
        <w:rPr>
          <w:i/>
          <w:spacing w:val="-11"/>
          <w:sz w:val="16"/>
        </w:rPr>
        <w:t> </w:t>
      </w:r>
      <w:r>
        <w:rPr>
          <w:i/>
          <w:sz w:val="16"/>
        </w:rPr>
        <w:t>y</w:t>
      </w:r>
      <w:r>
        <w:rPr>
          <w:i/>
          <w:spacing w:val="-9"/>
          <w:sz w:val="16"/>
        </w:rPr>
        <w:t> </w:t>
      </w:r>
      <w:r>
        <w:rPr>
          <w:i/>
          <w:sz w:val="16"/>
        </w:rPr>
        <w:t>alcance de los artículos 4.1 y 5.1, en relación con los artículos 1.1 y 2 de la Convención Americana sobre Derechos Humanos). Opinión Consultiva OC-23/17</w:t>
      </w:r>
      <w:r>
        <w:rPr>
          <w:sz w:val="16"/>
        </w:rPr>
        <w:t>, párr. 118. La Corte ha expresado la misma noción, aunque no en forma</w:t>
      </w:r>
      <w:r>
        <w:rPr>
          <w:spacing w:val="-12"/>
          <w:sz w:val="16"/>
        </w:rPr>
        <w:t> </w:t>
      </w:r>
      <w:r>
        <w:rPr>
          <w:sz w:val="16"/>
        </w:rPr>
        <w:t>directamente</w:t>
      </w:r>
      <w:r>
        <w:rPr>
          <w:spacing w:val="-13"/>
          <w:sz w:val="16"/>
        </w:rPr>
        <w:t> </w:t>
      </w:r>
      <w:r>
        <w:rPr>
          <w:sz w:val="16"/>
        </w:rPr>
        <w:t>vinculada</w:t>
      </w:r>
      <w:r>
        <w:rPr>
          <w:spacing w:val="-11"/>
          <w:sz w:val="16"/>
        </w:rPr>
        <w:t> </w:t>
      </w:r>
      <w:r>
        <w:rPr>
          <w:sz w:val="16"/>
        </w:rPr>
        <w:t>al</w:t>
      </w:r>
      <w:r>
        <w:rPr>
          <w:spacing w:val="-9"/>
          <w:sz w:val="16"/>
        </w:rPr>
        <w:t> </w:t>
      </w:r>
      <w:r>
        <w:rPr>
          <w:sz w:val="16"/>
        </w:rPr>
        <w:t>derecho</w:t>
      </w:r>
      <w:r>
        <w:rPr>
          <w:spacing w:val="-10"/>
          <w:sz w:val="16"/>
        </w:rPr>
        <w:t> </w:t>
      </w:r>
      <w:r>
        <w:rPr>
          <w:sz w:val="16"/>
        </w:rPr>
        <w:t>al</w:t>
      </w:r>
      <w:r>
        <w:rPr>
          <w:spacing w:val="-12"/>
          <w:sz w:val="16"/>
        </w:rPr>
        <w:t> </w:t>
      </w:r>
      <w:r>
        <w:rPr>
          <w:sz w:val="16"/>
        </w:rPr>
        <w:t>ambiente</w:t>
      </w:r>
      <w:r>
        <w:rPr>
          <w:spacing w:val="-9"/>
          <w:sz w:val="16"/>
        </w:rPr>
        <w:t> </w:t>
      </w:r>
      <w:r>
        <w:rPr>
          <w:sz w:val="16"/>
        </w:rPr>
        <w:t>sano,</w:t>
      </w:r>
      <w:r>
        <w:rPr>
          <w:spacing w:val="-12"/>
          <w:sz w:val="16"/>
        </w:rPr>
        <w:t> </w:t>
      </w:r>
      <w:r>
        <w:rPr>
          <w:sz w:val="16"/>
        </w:rPr>
        <w:t>en</w:t>
      </w:r>
      <w:r>
        <w:rPr>
          <w:spacing w:val="-9"/>
          <w:sz w:val="16"/>
        </w:rPr>
        <w:t> </w:t>
      </w:r>
      <w:r>
        <w:rPr>
          <w:sz w:val="16"/>
        </w:rPr>
        <w:t>otras</w:t>
      </w:r>
      <w:r>
        <w:rPr>
          <w:spacing w:val="-11"/>
          <w:sz w:val="16"/>
        </w:rPr>
        <w:t> </w:t>
      </w:r>
      <w:r>
        <w:rPr>
          <w:sz w:val="16"/>
        </w:rPr>
        <w:t>decisiones:</w:t>
      </w:r>
      <w:r>
        <w:rPr>
          <w:spacing w:val="-11"/>
          <w:sz w:val="16"/>
        </w:rPr>
        <w:t> </w:t>
      </w:r>
      <w:r>
        <w:rPr>
          <w:i/>
          <w:sz w:val="16"/>
        </w:rPr>
        <w:t>cfr.</w:t>
      </w:r>
      <w:r>
        <w:rPr>
          <w:i/>
          <w:spacing w:val="-12"/>
          <w:sz w:val="16"/>
        </w:rPr>
        <w:t> </w:t>
      </w:r>
      <w:r>
        <w:rPr>
          <w:i/>
          <w:sz w:val="16"/>
        </w:rPr>
        <w:t>Caso</w:t>
      </w:r>
      <w:r>
        <w:rPr>
          <w:i/>
          <w:spacing w:val="-10"/>
          <w:sz w:val="16"/>
        </w:rPr>
        <w:t> </w:t>
      </w:r>
      <w:r>
        <w:rPr>
          <w:i/>
          <w:sz w:val="16"/>
        </w:rPr>
        <w:t>Velásquez</w:t>
      </w:r>
      <w:r>
        <w:rPr>
          <w:i/>
          <w:spacing w:val="-11"/>
          <w:sz w:val="16"/>
        </w:rPr>
        <w:t> </w:t>
      </w:r>
      <w:r>
        <w:rPr>
          <w:i/>
          <w:sz w:val="16"/>
        </w:rPr>
        <w:t>Rodríguez </w:t>
      </w:r>
      <w:r>
        <w:rPr>
          <w:i/>
          <w:sz w:val="16"/>
        </w:rPr>
        <w:t>Vs. Honduras. Fondo, </w:t>
      </w:r>
      <w:r>
        <w:rPr>
          <w:sz w:val="16"/>
        </w:rPr>
        <w:t>párrs. 165 y 166, y </w:t>
      </w:r>
      <w:r>
        <w:rPr>
          <w:i/>
          <w:sz w:val="16"/>
        </w:rPr>
        <w:t>Caso López Soto y otros Vs. Venezuela. Fondo, Reparaciones y </w:t>
      </w:r>
      <w:r>
        <w:rPr>
          <w:i/>
          <w:sz w:val="16"/>
        </w:rPr>
        <w:t>Costas. </w:t>
      </w:r>
      <w:r>
        <w:rPr>
          <w:sz w:val="16"/>
        </w:rPr>
        <w:t>Sentencia de 26 de septiembre de 2018. Serie C No. 36, párr. 130. En el mismo sentido, la Comisión Africana de Derechos Humanos y de los Pueblos ha destacado que el derecho a un medio ambiente sano impone a los Estados la obligación de adoptar medidas razonables para prevenir la contaminación y degradación</w:t>
      </w:r>
      <w:r>
        <w:rPr>
          <w:spacing w:val="-5"/>
          <w:sz w:val="16"/>
        </w:rPr>
        <w:t> </w:t>
      </w:r>
      <w:r>
        <w:rPr>
          <w:sz w:val="16"/>
        </w:rPr>
        <w:t>del</w:t>
      </w:r>
      <w:r>
        <w:rPr>
          <w:spacing w:val="-4"/>
          <w:sz w:val="16"/>
        </w:rPr>
        <w:t> </w:t>
      </w:r>
      <w:r>
        <w:rPr>
          <w:sz w:val="16"/>
        </w:rPr>
        <w:t>ambiente,</w:t>
      </w:r>
      <w:r>
        <w:rPr>
          <w:spacing w:val="-4"/>
          <w:sz w:val="16"/>
        </w:rPr>
        <w:t> </w:t>
      </w:r>
      <w:r>
        <w:rPr>
          <w:sz w:val="16"/>
        </w:rPr>
        <w:t>promover</w:t>
      </w:r>
      <w:r>
        <w:rPr>
          <w:spacing w:val="-3"/>
          <w:sz w:val="16"/>
        </w:rPr>
        <w:t> </w:t>
      </w:r>
      <w:r>
        <w:rPr>
          <w:sz w:val="16"/>
        </w:rPr>
        <w:t>la</w:t>
      </w:r>
      <w:r>
        <w:rPr>
          <w:spacing w:val="-4"/>
          <w:sz w:val="16"/>
        </w:rPr>
        <w:t> </w:t>
      </w:r>
      <w:r>
        <w:rPr>
          <w:sz w:val="16"/>
        </w:rPr>
        <w:t>conservación</w:t>
      </w:r>
      <w:r>
        <w:rPr>
          <w:spacing w:val="-7"/>
          <w:sz w:val="16"/>
        </w:rPr>
        <w:t> </w:t>
      </w:r>
      <w:r>
        <w:rPr>
          <w:sz w:val="16"/>
        </w:rPr>
        <w:t>y</w:t>
      </w:r>
      <w:r>
        <w:rPr>
          <w:spacing w:val="-3"/>
          <w:sz w:val="16"/>
        </w:rPr>
        <w:t> </w:t>
      </w:r>
      <w:r>
        <w:rPr>
          <w:sz w:val="16"/>
        </w:rPr>
        <w:t>asegurar</w:t>
      </w:r>
      <w:r>
        <w:rPr>
          <w:spacing w:val="-3"/>
          <w:sz w:val="16"/>
        </w:rPr>
        <w:t> </w:t>
      </w:r>
      <w:r>
        <w:rPr>
          <w:sz w:val="16"/>
        </w:rPr>
        <w:t>un</w:t>
      </w:r>
      <w:r>
        <w:rPr>
          <w:spacing w:val="-7"/>
          <w:sz w:val="16"/>
        </w:rPr>
        <w:t> </w:t>
      </w:r>
      <w:r>
        <w:rPr>
          <w:sz w:val="16"/>
        </w:rPr>
        <w:t>desarrollo</w:t>
      </w:r>
      <w:r>
        <w:rPr>
          <w:spacing w:val="1"/>
          <w:sz w:val="16"/>
        </w:rPr>
        <w:t> </w:t>
      </w:r>
      <w:r>
        <w:rPr>
          <w:sz w:val="16"/>
        </w:rPr>
        <w:t>y</w:t>
      </w:r>
      <w:r>
        <w:rPr>
          <w:spacing w:val="-3"/>
          <w:sz w:val="16"/>
        </w:rPr>
        <w:t> </w:t>
      </w:r>
      <w:r>
        <w:rPr>
          <w:sz w:val="16"/>
        </w:rPr>
        <w:t>uso</w:t>
      </w:r>
      <w:r>
        <w:rPr>
          <w:spacing w:val="-3"/>
          <w:sz w:val="16"/>
        </w:rPr>
        <w:t> </w:t>
      </w:r>
      <w:r>
        <w:rPr>
          <w:sz w:val="16"/>
        </w:rPr>
        <w:t>de</w:t>
      </w:r>
      <w:r>
        <w:rPr>
          <w:spacing w:val="-3"/>
          <w:sz w:val="16"/>
        </w:rPr>
        <w:t> </w:t>
      </w:r>
      <w:r>
        <w:rPr>
          <w:sz w:val="16"/>
        </w:rPr>
        <w:t>los</w:t>
      </w:r>
      <w:r>
        <w:rPr>
          <w:spacing w:val="-3"/>
          <w:sz w:val="16"/>
        </w:rPr>
        <w:t> </w:t>
      </w:r>
      <w:r>
        <w:rPr>
          <w:sz w:val="16"/>
        </w:rPr>
        <w:t>recursos</w:t>
      </w:r>
      <w:r>
        <w:rPr>
          <w:spacing w:val="-3"/>
          <w:sz w:val="16"/>
        </w:rPr>
        <w:t> </w:t>
      </w:r>
      <w:r>
        <w:rPr>
          <w:sz w:val="16"/>
        </w:rPr>
        <w:t>naturales ecológicamente sustentable (</w:t>
      </w:r>
      <w:r>
        <w:rPr>
          <w:i/>
          <w:sz w:val="16"/>
        </w:rPr>
        <w:t>Cfr. </w:t>
      </w:r>
      <w:r>
        <w:rPr>
          <w:sz w:val="16"/>
        </w:rPr>
        <w:t>Comisión Africana de Derechos Humanos y de los Pueblos, </w:t>
      </w:r>
      <w:r>
        <w:rPr>
          <w:i/>
          <w:sz w:val="16"/>
        </w:rPr>
        <w:t>Caso Ogoni Vs. </w:t>
      </w:r>
      <w:r>
        <w:rPr>
          <w:i/>
          <w:sz w:val="16"/>
        </w:rPr>
        <w:t>Nigeria</w:t>
      </w:r>
      <w:r>
        <w:rPr>
          <w:sz w:val="16"/>
        </w:rPr>
        <w:t>, Comunicación 155/96. Decisión de 27 de mayo de 2002, párr.</w:t>
      </w:r>
      <w:r>
        <w:rPr>
          <w:spacing w:val="-32"/>
          <w:sz w:val="16"/>
        </w:rPr>
        <w:t> </w:t>
      </w:r>
      <w:r>
        <w:rPr>
          <w:sz w:val="16"/>
        </w:rPr>
        <w:t>52).</w:t>
      </w:r>
    </w:p>
    <w:p>
      <w:pPr>
        <w:pStyle w:val="BodyText"/>
        <w:spacing w:before="11"/>
        <w:rPr>
          <w:sz w:val="15"/>
        </w:rPr>
      </w:pPr>
    </w:p>
    <w:p>
      <w:pPr>
        <w:tabs>
          <w:tab w:pos="829" w:val="left" w:leader="none"/>
        </w:tabs>
        <w:spacing w:before="0"/>
        <w:ind w:left="122" w:right="114" w:firstLine="0"/>
        <w:jc w:val="both"/>
        <w:rPr>
          <w:sz w:val="16"/>
        </w:rPr>
      </w:pPr>
      <w:r>
        <w:rPr>
          <w:position w:val="6"/>
          <w:sz w:val="10"/>
        </w:rPr>
        <w:t>200</w:t>
        <w:tab/>
      </w:r>
      <w:r>
        <w:rPr>
          <w:i/>
          <w:sz w:val="16"/>
        </w:rPr>
        <w:t>Medio</w:t>
      </w:r>
      <w:r>
        <w:rPr>
          <w:i/>
          <w:spacing w:val="-4"/>
          <w:sz w:val="16"/>
        </w:rPr>
        <w:t> </w:t>
      </w:r>
      <w:r>
        <w:rPr>
          <w:i/>
          <w:sz w:val="16"/>
        </w:rPr>
        <w:t>ambiente</w:t>
      </w:r>
      <w:r>
        <w:rPr>
          <w:i/>
          <w:spacing w:val="-7"/>
          <w:sz w:val="16"/>
        </w:rPr>
        <w:t> </w:t>
      </w:r>
      <w:r>
        <w:rPr>
          <w:i/>
          <w:sz w:val="16"/>
        </w:rPr>
        <w:t>y</w:t>
      </w:r>
      <w:r>
        <w:rPr>
          <w:i/>
          <w:spacing w:val="-6"/>
          <w:sz w:val="16"/>
        </w:rPr>
        <w:t> </w:t>
      </w:r>
      <w:r>
        <w:rPr>
          <w:i/>
          <w:sz w:val="16"/>
        </w:rPr>
        <w:t>derechos</w:t>
      </w:r>
      <w:r>
        <w:rPr>
          <w:i/>
          <w:spacing w:val="-4"/>
          <w:sz w:val="16"/>
        </w:rPr>
        <w:t> </w:t>
      </w:r>
      <w:r>
        <w:rPr>
          <w:i/>
          <w:sz w:val="16"/>
        </w:rPr>
        <w:t>humanos</w:t>
      </w:r>
      <w:r>
        <w:rPr>
          <w:i/>
          <w:spacing w:val="-4"/>
          <w:sz w:val="16"/>
        </w:rPr>
        <w:t> </w:t>
      </w:r>
      <w:r>
        <w:rPr>
          <w:i/>
          <w:sz w:val="16"/>
        </w:rPr>
        <w:t>(obligaciones</w:t>
      </w:r>
      <w:r>
        <w:rPr>
          <w:i/>
          <w:spacing w:val="-4"/>
          <w:sz w:val="16"/>
        </w:rPr>
        <w:t> </w:t>
      </w:r>
      <w:r>
        <w:rPr>
          <w:i/>
          <w:sz w:val="16"/>
        </w:rPr>
        <w:t>estatales</w:t>
      </w:r>
      <w:r>
        <w:rPr>
          <w:i/>
          <w:spacing w:val="-4"/>
          <w:sz w:val="16"/>
        </w:rPr>
        <w:t> </w:t>
      </w:r>
      <w:r>
        <w:rPr>
          <w:i/>
          <w:sz w:val="16"/>
        </w:rPr>
        <w:t>en</w:t>
      </w:r>
      <w:r>
        <w:rPr>
          <w:i/>
          <w:spacing w:val="-8"/>
          <w:sz w:val="16"/>
        </w:rPr>
        <w:t> </w:t>
      </w:r>
      <w:r>
        <w:rPr>
          <w:i/>
          <w:sz w:val="16"/>
        </w:rPr>
        <w:t>relación</w:t>
      </w:r>
      <w:r>
        <w:rPr>
          <w:i/>
          <w:spacing w:val="-6"/>
          <w:sz w:val="16"/>
        </w:rPr>
        <w:t> </w:t>
      </w:r>
      <w:r>
        <w:rPr>
          <w:i/>
          <w:sz w:val="16"/>
        </w:rPr>
        <w:t>con</w:t>
      </w:r>
      <w:r>
        <w:rPr>
          <w:i/>
          <w:spacing w:val="-6"/>
          <w:sz w:val="16"/>
        </w:rPr>
        <w:t> </w:t>
      </w:r>
      <w:r>
        <w:rPr>
          <w:i/>
          <w:sz w:val="16"/>
        </w:rPr>
        <w:t>el</w:t>
      </w:r>
      <w:r>
        <w:rPr>
          <w:i/>
          <w:spacing w:val="-8"/>
          <w:sz w:val="16"/>
        </w:rPr>
        <w:t> </w:t>
      </w:r>
      <w:r>
        <w:rPr>
          <w:i/>
          <w:sz w:val="16"/>
        </w:rPr>
        <w:t>medio</w:t>
      </w:r>
      <w:r>
        <w:rPr>
          <w:i/>
          <w:spacing w:val="-4"/>
          <w:sz w:val="16"/>
        </w:rPr>
        <w:t> </w:t>
      </w:r>
      <w:r>
        <w:rPr>
          <w:i/>
          <w:sz w:val="16"/>
        </w:rPr>
        <w:t>ambiente</w:t>
      </w:r>
      <w:r>
        <w:rPr>
          <w:i/>
          <w:spacing w:val="-4"/>
          <w:sz w:val="16"/>
        </w:rPr>
        <w:t> </w:t>
      </w:r>
      <w:r>
        <w:rPr>
          <w:i/>
          <w:sz w:val="16"/>
        </w:rPr>
        <w:t>en</w:t>
      </w:r>
      <w:r>
        <w:rPr>
          <w:i/>
          <w:spacing w:val="-8"/>
          <w:sz w:val="16"/>
        </w:rPr>
        <w:t> </w:t>
      </w:r>
      <w:r>
        <w:rPr>
          <w:i/>
          <w:sz w:val="16"/>
        </w:rPr>
        <w:t>el</w:t>
      </w:r>
      <w:r>
        <w:rPr>
          <w:i/>
          <w:w w:val="100"/>
          <w:sz w:val="16"/>
        </w:rPr>
        <w:t> </w:t>
      </w:r>
      <w:r>
        <w:rPr>
          <w:i/>
          <w:sz w:val="16"/>
        </w:rPr>
        <w:t>marco</w:t>
      </w:r>
      <w:r>
        <w:rPr>
          <w:i/>
          <w:spacing w:val="-9"/>
          <w:sz w:val="16"/>
        </w:rPr>
        <w:t> </w:t>
      </w:r>
      <w:r>
        <w:rPr>
          <w:i/>
          <w:sz w:val="16"/>
        </w:rPr>
        <w:t>de</w:t>
      </w:r>
      <w:r>
        <w:rPr>
          <w:i/>
          <w:spacing w:val="-7"/>
          <w:sz w:val="16"/>
        </w:rPr>
        <w:t> </w:t>
      </w:r>
      <w:r>
        <w:rPr>
          <w:i/>
          <w:sz w:val="16"/>
        </w:rPr>
        <w:t>la</w:t>
      </w:r>
      <w:r>
        <w:rPr>
          <w:i/>
          <w:spacing w:val="-10"/>
          <w:sz w:val="16"/>
        </w:rPr>
        <w:t> </w:t>
      </w:r>
      <w:r>
        <w:rPr>
          <w:i/>
          <w:sz w:val="16"/>
        </w:rPr>
        <w:t>protección</w:t>
      </w:r>
      <w:r>
        <w:rPr>
          <w:i/>
          <w:spacing w:val="-8"/>
          <w:sz w:val="16"/>
        </w:rPr>
        <w:t> </w:t>
      </w:r>
      <w:r>
        <w:rPr>
          <w:i/>
          <w:sz w:val="16"/>
        </w:rPr>
        <w:t>y</w:t>
      </w:r>
      <w:r>
        <w:rPr>
          <w:i/>
          <w:spacing w:val="-9"/>
          <w:sz w:val="16"/>
        </w:rPr>
        <w:t> </w:t>
      </w:r>
      <w:r>
        <w:rPr>
          <w:i/>
          <w:sz w:val="16"/>
        </w:rPr>
        <w:t>garantía</w:t>
      </w:r>
      <w:r>
        <w:rPr>
          <w:i/>
          <w:spacing w:val="-8"/>
          <w:sz w:val="16"/>
        </w:rPr>
        <w:t> </w:t>
      </w:r>
      <w:r>
        <w:rPr>
          <w:i/>
          <w:sz w:val="16"/>
        </w:rPr>
        <w:t>de</w:t>
      </w:r>
      <w:r>
        <w:rPr>
          <w:i/>
          <w:spacing w:val="-7"/>
          <w:sz w:val="16"/>
        </w:rPr>
        <w:t> </w:t>
      </w:r>
      <w:r>
        <w:rPr>
          <w:i/>
          <w:sz w:val="16"/>
        </w:rPr>
        <w:t>los</w:t>
      </w:r>
      <w:r>
        <w:rPr>
          <w:i/>
          <w:spacing w:val="-10"/>
          <w:sz w:val="16"/>
        </w:rPr>
        <w:t> </w:t>
      </w:r>
      <w:r>
        <w:rPr>
          <w:i/>
          <w:sz w:val="16"/>
        </w:rPr>
        <w:t>derechos</w:t>
      </w:r>
      <w:r>
        <w:rPr>
          <w:i/>
          <w:spacing w:val="-10"/>
          <w:sz w:val="16"/>
        </w:rPr>
        <w:t> </w:t>
      </w:r>
      <w:r>
        <w:rPr>
          <w:i/>
          <w:sz w:val="16"/>
        </w:rPr>
        <w:t>a</w:t>
      </w:r>
      <w:r>
        <w:rPr>
          <w:i/>
          <w:spacing w:val="-8"/>
          <w:sz w:val="16"/>
        </w:rPr>
        <w:t> </w:t>
      </w:r>
      <w:r>
        <w:rPr>
          <w:i/>
          <w:sz w:val="16"/>
        </w:rPr>
        <w:t>la</w:t>
      </w:r>
      <w:r>
        <w:rPr>
          <w:i/>
          <w:spacing w:val="-10"/>
          <w:sz w:val="16"/>
        </w:rPr>
        <w:t> </w:t>
      </w:r>
      <w:r>
        <w:rPr>
          <w:i/>
          <w:sz w:val="16"/>
        </w:rPr>
        <w:t>vida</w:t>
      </w:r>
      <w:r>
        <w:rPr>
          <w:i/>
          <w:spacing w:val="-13"/>
          <w:sz w:val="16"/>
        </w:rPr>
        <w:t> </w:t>
      </w:r>
      <w:r>
        <w:rPr>
          <w:i/>
          <w:sz w:val="16"/>
        </w:rPr>
        <w:t>y</w:t>
      </w:r>
      <w:r>
        <w:rPr>
          <w:i/>
          <w:spacing w:val="-7"/>
          <w:sz w:val="16"/>
        </w:rPr>
        <w:t> </w:t>
      </w:r>
      <w:r>
        <w:rPr>
          <w:i/>
          <w:sz w:val="16"/>
        </w:rPr>
        <w:t>a</w:t>
      </w:r>
      <w:r>
        <w:rPr>
          <w:i/>
          <w:spacing w:val="-10"/>
          <w:sz w:val="16"/>
        </w:rPr>
        <w:t> </w:t>
      </w:r>
      <w:r>
        <w:rPr>
          <w:i/>
          <w:sz w:val="16"/>
        </w:rPr>
        <w:t>la</w:t>
      </w:r>
      <w:r>
        <w:rPr>
          <w:i/>
          <w:spacing w:val="-8"/>
          <w:sz w:val="16"/>
        </w:rPr>
        <w:t> </w:t>
      </w:r>
      <w:r>
        <w:rPr>
          <w:i/>
          <w:sz w:val="16"/>
        </w:rPr>
        <w:t>integridad</w:t>
      </w:r>
      <w:r>
        <w:rPr>
          <w:i/>
          <w:spacing w:val="-9"/>
          <w:sz w:val="16"/>
        </w:rPr>
        <w:t> </w:t>
      </w:r>
      <w:r>
        <w:rPr>
          <w:i/>
          <w:sz w:val="16"/>
        </w:rPr>
        <w:t>personal</w:t>
      </w:r>
      <w:r>
        <w:rPr>
          <w:i/>
          <w:spacing w:val="-4"/>
          <w:sz w:val="16"/>
        </w:rPr>
        <w:t> </w:t>
      </w:r>
      <w:r>
        <w:rPr>
          <w:i/>
          <w:sz w:val="16"/>
        </w:rPr>
        <w:t>-</w:t>
      </w:r>
      <w:r>
        <w:rPr>
          <w:i/>
          <w:spacing w:val="-11"/>
          <w:sz w:val="16"/>
        </w:rPr>
        <w:t> </w:t>
      </w:r>
      <w:r>
        <w:rPr>
          <w:i/>
          <w:sz w:val="16"/>
        </w:rPr>
        <w:t>interpretación</w:t>
      </w:r>
      <w:r>
        <w:rPr>
          <w:i/>
          <w:spacing w:val="-11"/>
          <w:sz w:val="16"/>
        </w:rPr>
        <w:t> </w:t>
      </w:r>
      <w:r>
        <w:rPr>
          <w:i/>
          <w:sz w:val="16"/>
        </w:rPr>
        <w:t>y</w:t>
      </w:r>
      <w:r>
        <w:rPr>
          <w:i/>
          <w:spacing w:val="-9"/>
          <w:sz w:val="16"/>
        </w:rPr>
        <w:t> </w:t>
      </w:r>
      <w:r>
        <w:rPr>
          <w:i/>
          <w:sz w:val="16"/>
        </w:rPr>
        <w:t>alcance de los artículos 4.1 y 5.1, en relación con los artículos 1.1 y 2 de la Convención Americana sobre Derechos Humanos). Opinión Consultiva OC-23/17</w:t>
      </w:r>
      <w:r>
        <w:rPr>
          <w:sz w:val="16"/>
        </w:rPr>
        <w:t>, nota a pie de página 247 y párr.</w:t>
      </w:r>
      <w:r>
        <w:rPr>
          <w:spacing w:val="-24"/>
          <w:sz w:val="16"/>
        </w:rPr>
        <w:t> </w:t>
      </w:r>
      <w:r>
        <w:rPr>
          <w:sz w:val="16"/>
        </w:rPr>
        <w:t>142.</w:t>
      </w:r>
    </w:p>
    <w:p>
      <w:pPr>
        <w:pStyle w:val="BodyText"/>
        <w:spacing w:before="1"/>
        <w:rPr>
          <w:sz w:val="16"/>
        </w:rPr>
      </w:pPr>
    </w:p>
    <w:p>
      <w:pPr>
        <w:tabs>
          <w:tab w:pos="829" w:val="left" w:leader="none"/>
        </w:tabs>
        <w:spacing w:before="0"/>
        <w:ind w:left="122" w:right="115" w:firstLine="0"/>
        <w:jc w:val="both"/>
        <w:rPr>
          <w:i/>
          <w:sz w:val="16"/>
        </w:rPr>
      </w:pPr>
      <w:r>
        <w:rPr>
          <w:position w:val="6"/>
          <w:sz w:val="10"/>
        </w:rPr>
        <w:t>201</w:t>
        <w:tab/>
      </w:r>
      <w:r>
        <w:rPr>
          <w:i/>
          <w:sz w:val="16"/>
        </w:rPr>
        <w:t>Cfr. Medio ambiente y derechos humanos (obligaciones estatales en relación con el</w:t>
      </w:r>
      <w:r>
        <w:rPr>
          <w:i/>
          <w:spacing w:val="26"/>
          <w:sz w:val="16"/>
        </w:rPr>
        <w:t> </w:t>
      </w:r>
      <w:r>
        <w:rPr>
          <w:i/>
          <w:sz w:val="16"/>
        </w:rPr>
        <w:t>medio</w:t>
      </w:r>
      <w:r>
        <w:rPr>
          <w:i/>
          <w:spacing w:val="3"/>
          <w:sz w:val="16"/>
        </w:rPr>
        <w:t> </w:t>
      </w:r>
      <w:r>
        <w:rPr>
          <w:i/>
          <w:sz w:val="16"/>
        </w:rPr>
        <w:t>ambiente</w:t>
      </w:r>
      <w:r>
        <w:rPr>
          <w:i/>
          <w:w w:val="100"/>
          <w:sz w:val="16"/>
        </w:rPr>
        <w:t> </w:t>
      </w:r>
      <w:r>
        <w:rPr>
          <w:i/>
          <w:sz w:val="16"/>
        </w:rPr>
        <w:t>en el marco de la protección y garantía de los derechos a la vida y a la integridad personal - interpretación</w:t>
      </w:r>
      <w:r>
        <w:rPr>
          <w:i/>
          <w:spacing w:val="34"/>
          <w:sz w:val="16"/>
        </w:rPr>
        <w:t> </w:t>
      </w:r>
      <w:r>
        <w:rPr>
          <w:i/>
          <w:sz w:val="16"/>
        </w:rPr>
        <w:t>y</w:t>
      </w:r>
    </w:p>
    <w:p>
      <w:pPr>
        <w:spacing w:after="0"/>
        <w:jc w:val="both"/>
        <w:rPr>
          <w:sz w:val="16"/>
        </w:rPr>
        <w:sectPr>
          <w:pgSz w:w="12240" w:h="15840"/>
          <w:pgMar w:header="0" w:footer="1000" w:top="1340" w:bottom="1200" w:left="1580" w:right="1580"/>
        </w:sectPr>
      </w:pPr>
    </w:p>
    <w:p>
      <w:pPr>
        <w:pStyle w:val="BodyText"/>
        <w:spacing w:line="242" w:lineRule="auto" w:before="76"/>
        <w:ind w:left="122" w:right="124"/>
        <w:jc w:val="both"/>
      </w:pPr>
      <w:r>
        <w:rPr/>
        <w:t>de todas las medidas que podrían tomar los Estados con el fin de cumplir este deber, pueden señalarse algunas, relativas a actividades potencialmente dañosas: i)  regular;</w:t>
      </w:r>
    </w:p>
    <w:p>
      <w:pPr>
        <w:pStyle w:val="BodyText"/>
        <w:ind w:left="122" w:right="122"/>
        <w:jc w:val="both"/>
      </w:pPr>
      <w:r>
        <w:rPr/>
        <w:t>ii) supervisar y fiscalizar; iii) requerir y aprobar estudios de impacto ambiental; iv) establecer planes de contingencia, y v) mitigar en casos de ocurrencia de daño ambiental</w:t>
      </w:r>
      <w:r>
        <w:rPr>
          <w:position w:val="7"/>
          <w:sz w:val="13"/>
        </w:rPr>
        <w:t>202</w:t>
      </w:r>
      <w:r>
        <w:rPr/>
        <w:t>.</w:t>
      </w:r>
    </w:p>
    <w:p>
      <w:pPr>
        <w:pStyle w:val="BodyText"/>
        <w:spacing w:before="2"/>
      </w:pPr>
    </w:p>
    <w:p>
      <w:pPr>
        <w:pStyle w:val="ListParagraph"/>
        <w:numPr>
          <w:ilvl w:val="0"/>
          <w:numId w:val="31"/>
        </w:numPr>
        <w:tabs>
          <w:tab w:pos="830" w:val="left" w:leader="none"/>
        </w:tabs>
        <w:spacing w:line="240" w:lineRule="auto" w:before="0" w:after="0"/>
        <w:ind w:left="122" w:right="126" w:firstLine="0"/>
        <w:jc w:val="both"/>
        <w:rPr>
          <w:sz w:val="20"/>
        </w:rPr>
      </w:pPr>
      <w:r>
        <w:rPr>
          <w:sz w:val="20"/>
        </w:rPr>
        <w:t>Además, la Corte ha tenido en cuenta que diversos derechos pueden verse afectados a partir de problemáticas ambientales</w:t>
      </w:r>
      <w:r>
        <w:rPr>
          <w:position w:val="7"/>
          <w:sz w:val="13"/>
        </w:rPr>
        <w:t>203</w:t>
      </w:r>
      <w:r>
        <w:rPr>
          <w:sz w:val="20"/>
        </w:rPr>
        <w:t>, y que ello “puede darse con mayor intensidad en determinados grupos en situación de vulnerabilidad”, entre los que se encuentran los pueblos indígenas y “las comunidades que dependen, económicamente o para su supervivencia, fundamentalmente de los recursos ambientales, [como] las áreas forestales o los dominios fluviales”. Por lo dicho “con base en ‘la normativa internacional de derechos humanos, los Estados están jurídicamente obligados a hacer frente a esas vulnerabilidades, de conformidad con el principio de igualdad y no discriminación’”</w:t>
      </w:r>
      <w:r>
        <w:rPr>
          <w:position w:val="7"/>
          <w:sz w:val="13"/>
        </w:rPr>
        <w:t>204</w:t>
      </w:r>
      <w:r>
        <w:rPr>
          <w:sz w:val="20"/>
        </w:rPr>
        <w:t>.</w:t>
      </w:r>
    </w:p>
    <w:p>
      <w:pPr>
        <w:pStyle w:val="BodyText"/>
        <w:spacing w:before="1"/>
      </w:pPr>
    </w:p>
    <w:p>
      <w:pPr>
        <w:pStyle w:val="ListParagraph"/>
        <w:numPr>
          <w:ilvl w:val="3"/>
          <w:numId w:val="32"/>
        </w:numPr>
        <w:tabs>
          <w:tab w:pos="2060" w:val="left" w:leader="none"/>
        </w:tabs>
        <w:spacing w:line="240" w:lineRule="auto" w:before="0" w:after="0"/>
        <w:ind w:left="2059" w:right="0" w:hanging="805"/>
        <w:jc w:val="left"/>
        <w:rPr>
          <w:i/>
          <w:sz w:val="20"/>
        </w:rPr>
      </w:pPr>
      <w:bookmarkStart w:name="_bookmark64" w:id="109"/>
      <w:bookmarkEnd w:id="109"/>
      <w:r>
        <w:rPr/>
      </w:r>
      <w:bookmarkStart w:name="_bookmark64" w:id="110"/>
      <w:bookmarkEnd w:id="110"/>
      <w:r>
        <w:rPr>
          <w:i/>
          <w:sz w:val="20"/>
        </w:rPr>
        <w:t>El</w:t>
      </w:r>
      <w:r>
        <w:rPr>
          <w:i/>
          <w:sz w:val="20"/>
        </w:rPr>
        <w:t> derecho a la alimentación</w:t>
      </w:r>
      <w:r>
        <w:rPr>
          <w:i/>
          <w:spacing w:val="-16"/>
          <w:sz w:val="20"/>
        </w:rPr>
        <w:t> </w:t>
      </w:r>
      <w:r>
        <w:rPr>
          <w:i/>
          <w:sz w:val="20"/>
        </w:rPr>
        <w:t>adecuada</w:t>
      </w:r>
    </w:p>
    <w:p>
      <w:pPr>
        <w:pStyle w:val="BodyText"/>
        <w:spacing w:before="10"/>
        <w:rPr>
          <w:i/>
          <w:sz w:val="19"/>
        </w:rPr>
      </w:pPr>
    </w:p>
    <w:p>
      <w:pPr>
        <w:pStyle w:val="ListParagraph"/>
        <w:numPr>
          <w:ilvl w:val="0"/>
          <w:numId w:val="31"/>
        </w:numPr>
        <w:tabs>
          <w:tab w:pos="830" w:val="left" w:leader="none"/>
        </w:tabs>
        <w:spacing w:line="240" w:lineRule="auto" w:before="0" w:after="0"/>
        <w:ind w:left="122" w:right="126" w:firstLine="0"/>
        <w:jc w:val="both"/>
        <w:rPr>
          <w:sz w:val="20"/>
        </w:rPr>
      </w:pPr>
      <w:r>
        <w:rPr>
          <w:sz w:val="20"/>
        </w:rPr>
        <w:t>En lo que respecta al </w:t>
      </w:r>
      <w:r>
        <w:rPr>
          <w:i/>
          <w:sz w:val="20"/>
        </w:rPr>
        <w:t>derecho a la alimentación adecuada</w:t>
      </w:r>
      <w:r>
        <w:rPr>
          <w:sz w:val="20"/>
        </w:rPr>
        <w:t>, la Carta señala en su artículo 34.j que “[l]os Estados miembros convienen […] en dedicar sus máximos esfuerzos a la consecución de […] nutrición adecuada, particularmente por medio de la aceleración de los esfuerzos nacionales para incrementar la producción y disponibilidad de</w:t>
      </w:r>
      <w:r>
        <w:rPr>
          <w:spacing w:val="-6"/>
          <w:sz w:val="20"/>
        </w:rPr>
        <w:t> </w:t>
      </w:r>
      <w:r>
        <w:rPr>
          <w:sz w:val="20"/>
        </w:rPr>
        <w:t>alimentos”.</w:t>
      </w:r>
    </w:p>
    <w:p>
      <w:pPr>
        <w:pStyle w:val="BodyText"/>
        <w:spacing w:before="10"/>
        <w:rPr>
          <w:sz w:val="19"/>
        </w:rPr>
      </w:pPr>
    </w:p>
    <w:p>
      <w:pPr>
        <w:pStyle w:val="ListParagraph"/>
        <w:numPr>
          <w:ilvl w:val="0"/>
          <w:numId w:val="31"/>
        </w:numPr>
        <w:tabs>
          <w:tab w:pos="830" w:val="left" w:leader="none"/>
        </w:tabs>
        <w:spacing w:line="240" w:lineRule="auto" w:before="0" w:after="0"/>
        <w:ind w:left="122" w:right="125" w:firstLine="0"/>
        <w:jc w:val="both"/>
        <w:rPr>
          <w:sz w:val="20"/>
        </w:rPr>
      </w:pPr>
      <w:r>
        <w:rPr>
          <w:sz w:val="20"/>
        </w:rPr>
        <w:t>El derecho a la alimentación puede identificarse también en el artículo XI de la Declaración Americana de Derechos y Deberes del Hombre (en adelante también “Declaración Americana”)</w:t>
      </w:r>
      <w:r>
        <w:rPr>
          <w:position w:val="7"/>
          <w:sz w:val="13"/>
        </w:rPr>
        <w:t>205</w:t>
      </w:r>
      <w:r>
        <w:rPr>
          <w:sz w:val="20"/>
        </w:rPr>
        <w:t>, que dispone que “[t]oda persona tiene derecho a que su salud sea preservada por medidas sanitarias y sociales, relativas a la alimentación”, entre otros</w:t>
      </w:r>
      <w:r>
        <w:rPr>
          <w:spacing w:val="-10"/>
          <w:sz w:val="20"/>
        </w:rPr>
        <w:t> </w:t>
      </w:r>
      <w:r>
        <w:rPr>
          <w:sz w:val="20"/>
        </w:rPr>
        <w:t>aspectos.</w:t>
      </w:r>
    </w:p>
    <w:p>
      <w:pPr>
        <w:pStyle w:val="BodyText"/>
        <w:spacing w:before="1"/>
      </w:pPr>
    </w:p>
    <w:p>
      <w:pPr>
        <w:pStyle w:val="ListParagraph"/>
        <w:numPr>
          <w:ilvl w:val="0"/>
          <w:numId w:val="31"/>
        </w:numPr>
        <w:tabs>
          <w:tab w:pos="830" w:val="left" w:leader="none"/>
        </w:tabs>
        <w:spacing w:line="240" w:lineRule="auto" w:before="0" w:after="0"/>
        <w:ind w:left="122" w:right="132" w:firstLine="0"/>
        <w:jc w:val="both"/>
        <w:rPr>
          <w:sz w:val="20"/>
        </w:rPr>
      </w:pPr>
      <w:r>
        <w:rPr>
          <w:sz w:val="20"/>
        </w:rPr>
        <w:t>Además, el artículo 12.1 del Protocolo de San Salvador, expresa que “[t]oda persona tiene derecho a una nutrición adecuada que le asegure la posibilidad de gozar del más alto nivel de desarrollo físico, emocional e</w:t>
      </w:r>
      <w:r>
        <w:rPr>
          <w:spacing w:val="-28"/>
          <w:sz w:val="20"/>
        </w:rPr>
        <w:t> </w:t>
      </w:r>
      <w:r>
        <w:rPr>
          <w:sz w:val="20"/>
        </w:rPr>
        <w:t>intelectual”.</w:t>
      </w:r>
    </w:p>
    <w:p>
      <w:pPr>
        <w:pStyle w:val="BodyText"/>
      </w:pPr>
    </w:p>
    <w:p>
      <w:pPr>
        <w:pStyle w:val="BodyText"/>
        <w:spacing w:before="5"/>
        <w:rPr>
          <w:sz w:val="25"/>
        </w:rPr>
      </w:pPr>
      <w:r>
        <w:rPr/>
        <w:pict>
          <v:line style="position:absolute;mso-position-horizontal-relative:page;mso-position-vertical-relative:paragraph;z-index:2656;mso-wrap-distance-left:0;mso-wrap-distance-right:0" from="85.103996pt,17.782583pt" to="229.123996pt,17.782583pt" stroked="true" strokeweight=".72pt" strokecolor="#000000">
            <v:stroke dashstyle="solid"/>
            <w10:wrap type="topAndBottom"/>
          </v:line>
        </w:pict>
      </w:r>
    </w:p>
    <w:p>
      <w:pPr>
        <w:spacing w:before="71"/>
        <w:ind w:left="122" w:right="119" w:firstLine="0"/>
        <w:jc w:val="both"/>
        <w:rPr>
          <w:sz w:val="16"/>
        </w:rPr>
      </w:pPr>
      <w:r>
        <w:rPr>
          <w:i/>
          <w:sz w:val="16"/>
        </w:rPr>
        <w:t>alcance de los artículos 4.1 y 5.1, en relación con los artículos 1.1 y 2 de la Convención Americana sobre </w:t>
      </w:r>
      <w:r>
        <w:rPr>
          <w:i/>
          <w:sz w:val="16"/>
        </w:rPr>
        <w:t>Derechos Humanos). Opinión Consultiva OC-23/17</w:t>
      </w:r>
      <w:r>
        <w:rPr>
          <w:sz w:val="16"/>
        </w:rPr>
        <w:t>, párr. 142.</w:t>
      </w:r>
    </w:p>
    <w:p>
      <w:pPr>
        <w:pStyle w:val="BodyText"/>
        <w:spacing w:before="11"/>
        <w:rPr>
          <w:sz w:val="15"/>
        </w:rPr>
      </w:pPr>
    </w:p>
    <w:p>
      <w:pPr>
        <w:tabs>
          <w:tab w:pos="829" w:val="left" w:leader="none"/>
        </w:tabs>
        <w:spacing w:before="0"/>
        <w:ind w:left="122" w:right="115" w:firstLine="0"/>
        <w:jc w:val="both"/>
        <w:rPr>
          <w:sz w:val="16"/>
        </w:rPr>
      </w:pPr>
      <w:r>
        <w:rPr>
          <w:position w:val="6"/>
          <w:sz w:val="10"/>
        </w:rPr>
        <w:t>202</w:t>
        <w:tab/>
      </w:r>
      <w:r>
        <w:rPr>
          <w:i/>
          <w:sz w:val="16"/>
        </w:rPr>
        <w:t>Cfr. Medio ambiente y derechos humanos (obligaciones estatales en relación con el</w:t>
      </w:r>
      <w:r>
        <w:rPr>
          <w:i/>
          <w:spacing w:val="28"/>
          <w:sz w:val="16"/>
        </w:rPr>
        <w:t> </w:t>
      </w:r>
      <w:r>
        <w:rPr>
          <w:i/>
          <w:sz w:val="16"/>
        </w:rPr>
        <w:t>medio</w:t>
      </w:r>
      <w:r>
        <w:rPr>
          <w:i/>
          <w:spacing w:val="3"/>
          <w:sz w:val="16"/>
        </w:rPr>
        <w:t> </w:t>
      </w:r>
      <w:r>
        <w:rPr>
          <w:i/>
          <w:sz w:val="16"/>
        </w:rPr>
        <w:t>ambiente</w:t>
      </w:r>
      <w:r>
        <w:rPr>
          <w:i/>
          <w:w w:val="100"/>
          <w:sz w:val="16"/>
        </w:rPr>
        <w:t> </w:t>
      </w:r>
      <w:r>
        <w:rPr>
          <w:i/>
          <w:sz w:val="16"/>
        </w:rPr>
        <w:t>en el marco de la protección y garantía de los derechos a la vida y a la integridad personal - interpretación y alcance de los artículos 4.1 y 5.1, en relación con los artículos 1.1 y 2 de la Convención Americana sobre Derechos Humanos). Opinión Consultiva OC-23/17</w:t>
      </w:r>
      <w:r>
        <w:rPr>
          <w:sz w:val="16"/>
        </w:rPr>
        <w:t>, párr.</w:t>
      </w:r>
      <w:r>
        <w:rPr>
          <w:spacing w:val="-18"/>
          <w:sz w:val="16"/>
        </w:rPr>
        <w:t> </w:t>
      </w:r>
      <w:r>
        <w:rPr>
          <w:sz w:val="16"/>
        </w:rPr>
        <w:t>145.</w:t>
      </w:r>
    </w:p>
    <w:p>
      <w:pPr>
        <w:pStyle w:val="BodyText"/>
        <w:spacing w:before="11"/>
        <w:rPr>
          <w:sz w:val="15"/>
        </w:rPr>
      </w:pPr>
    </w:p>
    <w:p>
      <w:pPr>
        <w:tabs>
          <w:tab w:pos="829" w:val="left" w:leader="none"/>
        </w:tabs>
        <w:spacing w:before="0"/>
        <w:ind w:left="122" w:right="0" w:firstLine="0"/>
        <w:jc w:val="both"/>
        <w:rPr>
          <w:sz w:val="16"/>
        </w:rPr>
      </w:pPr>
      <w:r>
        <w:rPr>
          <w:position w:val="6"/>
          <w:sz w:val="10"/>
        </w:rPr>
        <w:t>203</w:t>
        <w:tab/>
      </w:r>
      <w:r>
        <w:rPr>
          <w:sz w:val="16"/>
        </w:rPr>
        <w:t>Inclusive a la alimentación adecuada, al agua y a participar en la vida</w:t>
      </w:r>
      <w:r>
        <w:rPr>
          <w:spacing w:val="-20"/>
          <w:sz w:val="16"/>
        </w:rPr>
        <w:t> </w:t>
      </w:r>
      <w:r>
        <w:rPr>
          <w:sz w:val="16"/>
        </w:rPr>
        <w:t>cultural.</w:t>
      </w:r>
    </w:p>
    <w:p>
      <w:pPr>
        <w:pStyle w:val="BodyText"/>
        <w:rPr>
          <w:sz w:val="16"/>
        </w:rPr>
      </w:pPr>
    </w:p>
    <w:p>
      <w:pPr>
        <w:tabs>
          <w:tab w:pos="829" w:val="left" w:leader="none"/>
        </w:tabs>
        <w:spacing w:before="0"/>
        <w:ind w:left="122" w:right="115" w:firstLine="0"/>
        <w:jc w:val="both"/>
        <w:rPr>
          <w:sz w:val="16"/>
        </w:rPr>
      </w:pPr>
      <w:r>
        <w:rPr>
          <w:position w:val="6"/>
          <w:sz w:val="10"/>
        </w:rPr>
        <w:t>204</w:t>
        <w:tab/>
      </w:r>
      <w:r>
        <w:rPr>
          <w:i/>
          <w:sz w:val="16"/>
        </w:rPr>
        <w:t>Medio</w:t>
      </w:r>
      <w:r>
        <w:rPr>
          <w:i/>
          <w:spacing w:val="-4"/>
          <w:sz w:val="16"/>
        </w:rPr>
        <w:t> </w:t>
      </w:r>
      <w:r>
        <w:rPr>
          <w:i/>
          <w:sz w:val="16"/>
        </w:rPr>
        <w:t>ambiente</w:t>
      </w:r>
      <w:r>
        <w:rPr>
          <w:i/>
          <w:spacing w:val="-7"/>
          <w:sz w:val="16"/>
        </w:rPr>
        <w:t> </w:t>
      </w:r>
      <w:r>
        <w:rPr>
          <w:i/>
          <w:sz w:val="16"/>
        </w:rPr>
        <w:t>y</w:t>
      </w:r>
      <w:r>
        <w:rPr>
          <w:i/>
          <w:spacing w:val="-6"/>
          <w:sz w:val="16"/>
        </w:rPr>
        <w:t> </w:t>
      </w:r>
      <w:r>
        <w:rPr>
          <w:i/>
          <w:sz w:val="16"/>
        </w:rPr>
        <w:t>derechos</w:t>
      </w:r>
      <w:r>
        <w:rPr>
          <w:i/>
          <w:spacing w:val="-4"/>
          <w:sz w:val="16"/>
        </w:rPr>
        <w:t> </w:t>
      </w:r>
      <w:r>
        <w:rPr>
          <w:i/>
          <w:sz w:val="16"/>
        </w:rPr>
        <w:t>humanos</w:t>
      </w:r>
      <w:r>
        <w:rPr>
          <w:i/>
          <w:spacing w:val="-4"/>
          <w:sz w:val="16"/>
        </w:rPr>
        <w:t> </w:t>
      </w:r>
      <w:r>
        <w:rPr>
          <w:i/>
          <w:sz w:val="16"/>
        </w:rPr>
        <w:t>(obligaciones</w:t>
      </w:r>
      <w:r>
        <w:rPr>
          <w:i/>
          <w:spacing w:val="-4"/>
          <w:sz w:val="16"/>
        </w:rPr>
        <w:t> </w:t>
      </w:r>
      <w:r>
        <w:rPr>
          <w:i/>
          <w:sz w:val="16"/>
        </w:rPr>
        <w:t>estatales</w:t>
      </w:r>
      <w:r>
        <w:rPr>
          <w:i/>
          <w:spacing w:val="-4"/>
          <w:sz w:val="16"/>
        </w:rPr>
        <w:t> </w:t>
      </w:r>
      <w:r>
        <w:rPr>
          <w:i/>
          <w:sz w:val="16"/>
        </w:rPr>
        <w:t>en</w:t>
      </w:r>
      <w:r>
        <w:rPr>
          <w:i/>
          <w:spacing w:val="-8"/>
          <w:sz w:val="16"/>
        </w:rPr>
        <w:t> </w:t>
      </w:r>
      <w:r>
        <w:rPr>
          <w:i/>
          <w:sz w:val="16"/>
        </w:rPr>
        <w:t>relación</w:t>
      </w:r>
      <w:r>
        <w:rPr>
          <w:i/>
          <w:spacing w:val="-6"/>
          <w:sz w:val="16"/>
        </w:rPr>
        <w:t> </w:t>
      </w:r>
      <w:r>
        <w:rPr>
          <w:i/>
          <w:sz w:val="16"/>
        </w:rPr>
        <w:t>con</w:t>
      </w:r>
      <w:r>
        <w:rPr>
          <w:i/>
          <w:spacing w:val="-6"/>
          <w:sz w:val="16"/>
        </w:rPr>
        <w:t> </w:t>
      </w:r>
      <w:r>
        <w:rPr>
          <w:i/>
          <w:sz w:val="16"/>
        </w:rPr>
        <w:t>el</w:t>
      </w:r>
      <w:r>
        <w:rPr>
          <w:i/>
          <w:spacing w:val="-8"/>
          <w:sz w:val="16"/>
        </w:rPr>
        <w:t> </w:t>
      </w:r>
      <w:r>
        <w:rPr>
          <w:i/>
          <w:sz w:val="16"/>
        </w:rPr>
        <w:t>medio</w:t>
      </w:r>
      <w:r>
        <w:rPr>
          <w:i/>
          <w:spacing w:val="-4"/>
          <w:sz w:val="16"/>
        </w:rPr>
        <w:t> </w:t>
      </w:r>
      <w:r>
        <w:rPr>
          <w:i/>
          <w:sz w:val="16"/>
        </w:rPr>
        <w:t>ambiente</w:t>
      </w:r>
      <w:r>
        <w:rPr>
          <w:i/>
          <w:spacing w:val="-4"/>
          <w:sz w:val="16"/>
        </w:rPr>
        <w:t> </w:t>
      </w:r>
      <w:r>
        <w:rPr>
          <w:i/>
          <w:sz w:val="16"/>
        </w:rPr>
        <w:t>en</w:t>
      </w:r>
      <w:r>
        <w:rPr>
          <w:i/>
          <w:spacing w:val="-8"/>
          <w:sz w:val="16"/>
        </w:rPr>
        <w:t> </w:t>
      </w:r>
      <w:r>
        <w:rPr>
          <w:i/>
          <w:sz w:val="16"/>
        </w:rPr>
        <w:t>el</w:t>
      </w:r>
      <w:r>
        <w:rPr>
          <w:i/>
          <w:w w:val="100"/>
          <w:sz w:val="16"/>
        </w:rPr>
        <w:t> </w:t>
      </w:r>
      <w:r>
        <w:rPr>
          <w:i/>
          <w:sz w:val="16"/>
        </w:rPr>
        <w:t>marco</w:t>
      </w:r>
      <w:r>
        <w:rPr>
          <w:i/>
          <w:spacing w:val="-9"/>
          <w:sz w:val="16"/>
        </w:rPr>
        <w:t> </w:t>
      </w:r>
      <w:r>
        <w:rPr>
          <w:i/>
          <w:sz w:val="16"/>
        </w:rPr>
        <w:t>de</w:t>
      </w:r>
      <w:r>
        <w:rPr>
          <w:i/>
          <w:spacing w:val="-7"/>
          <w:sz w:val="16"/>
        </w:rPr>
        <w:t> </w:t>
      </w:r>
      <w:r>
        <w:rPr>
          <w:i/>
          <w:sz w:val="16"/>
        </w:rPr>
        <w:t>la</w:t>
      </w:r>
      <w:r>
        <w:rPr>
          <w:i/>
          <w:spacing w:val="-10"/>
          <w:sz w:val="16"/>
        </w:rPr>
        <w:t> </w:t>
      </w:r>
      <w:r>
        <w:rPr>
          <w:i/>
          <w:sz w:val="16"/>
        </w:rPr>
        <w:t>protección</w:t>
      </w:r>
      <w:r>
        <w:rPr>
          <w:i/>
          <w:spacing w:val="-8"/>
          <w:sz w:val="16"/>
        </w:rPr>
        <w:t> </w:t>
      </w:r>
      <w:r>
        <w:rPr>
          <w:i/>
          <w:sz w:val="16"/>
        </w:rPr>
        <w:t>y</w:t>
      </w:r>
      <w:r>
        <w:rPr>
          <w:i/>
          <w:spacing w:val="-9"/>
          <w:sz w:val="16"/>
        </w:rPr>
        <w:t> </w:t>
      </w:r>
      <w:r>
        <w:rPr>
          <w:i/>
          <w:sz w:val="16"/>
        </w:rPr>
        <w:t>garantía</w:t>
      </w:r>
      <w:r>
        <w:rPr>
          <w:i/>
          <w:spacing w:val="-8"/>
          <w:sz w:val="16"/>
        </w:rPr>
        <w:t> </w:t>
      </w:r>
      <w:r>
        <w:rPr>
          <w:i/>
          <w:sz w:val="16"/>
        </w:rPr>
        <w:t>de</w:t>
      </w:r>
      <w:r>
        <w:rPr>
          <w:i/>
          <w:spacing w:val="-7"/>
          <w:sz w:val="16"/>
        </w:rPr>
        <w:t> </w:t>
      </w:r>
      <w:r>
        <w:rPr>
          <w:i/>
          <w:sz w:val="16"/>
        </w:rPr>
        <w:t>los</w:t>
      </w:r>
      <w:r>
        <w:rPr>
          <w:i/>
          <w:spacing w:val="-10"/>
          <w:sz w:val="16"/>
        </w:rPr>
        <w:t> </w:t>
      </w:r>
      <w:r>
        <w:rPr>
          <w:i/>
          <w:sz w:val="16"/>
        </w:rPr>
        <w:t>derechos</w:t>
      </w:r>
      <w:r>
        <w:rPr>
          <w:i/>
          <w:spacing w:val="-10"/>
          <w:sz w:val="16"/>
        </w:rPr>
        <w:t> </w:t>
      </w:r>
      <w:r>
        <w:rPr>
          <w:i/>
          <w:sz w:val="16"/>
        </w:rPr>
        <w:t>a</w:t>
      </w:r>
      <w:r>
        <w:rPr>
          <w:i/>
          <w:spacing w:val="-8"/>
          <w:sz w:val="16"/>
        </w:rPr>
        <w:t> </w:t>
      </w:r>
      <w:r>
        <w:rPr>
          <w:i/>
          <w:sz w:val="16"/>
        </w:rPr>
        <w:t>la</w:t>
      </w:r>
      <w:r>
        <w:rPr>
          <w:i/>
          <w:spacing w:val="-10"/>
          <w:sz w:val="16"/>
        </w:rPr>
        <w:t> </w:t>
      </w:r>
      <w:r>
        <w:rPr>
          <w:i/>
          <w:sz w:val="16"/>
        </w:rPr>
        <w:t>vida</w:t>
      </w:r>
      <w:r>
        <w:rPr>
          <w:i/>
          <w:spacing w:val="-13"/>
          <w:sz w:val="16"/>
        </w:rPr>
        <w:t> </w:t>
      </w:r>
      <w:r>
        <w:rPr>
          <w:i/>
          <w:sz w:val="16"/>
        </w:rPr>
        <w:t>y</w:t>
      </w:r>
      <w:r>
        <w:rPr>
          <w:i/>
          <w:spacing w:val="-7"/>
          <w:sz w:val="16"/>
        </w:rPr>
        <w:t> </w:t>
      </w:r>
      <w:r>
        <w:rPr>
          <w:i/>
          <w:sz w:val="16"/>
        </w:rPr>
        <w:t>a</w:t>
      </w:r>
      <w:r>
        <w:rPr>
          <w:i/>
          <w:spacing w:val="-10"/>
          <w:sz w:val="16"/>
        </w:rPr>
        <w:t> </w:t>
      </w:r>
      <w:r>
        <w:rPr>
          <w:i/>
          <w:sz w:val="16"/>
        </w:rPr>
        <w:t>la</w:t>
      </w:r>
      <w:r>
        <w:rPr>
          <w:i/>
          <w:spacing w:val="-8"/>
          <w:sz w:val="16"/>
        </w:rPr>
        <w:t> </w:t>
      </w:r>
      <w:r>
        <w:rPr>
          <w:i/>
          <w:sz w:val="16"/>
        </w:rPr>
        <w:t>integridad</w:t>
      </w:r>
      <w:r>
        <w:rPr>
          <w:i/>
          <w:spacing w:val="-9"/>
          <w:sz w:val="16"/>
        </w:rPr>
        <w:t> </w:t>
      </w:r>
      <w:r>
        <w:rPr>
          <w:i/>
          <w:sz w:val="16"/>
        </w:rPr>
        <w:t>personal</w:t>
      </w:r>
      <w:r>
        <w:rPr>
          <w:i/>
          <w:spacing w:val="-4"/>
          <w:sz w:val="16"/>
        </w:rPr>
        <w:t> </w:t>
      </w:r>
      <w:r>
        <w:rPr>
          <w:i/>
          <w:sz w:val="16"/>
        </w:rPr>
        <w:t>-</w:t>
      </w:r>
      <w:r>
        <w:rPr>
          <w:i/>
          <w:spacing w:val="-11"/>
          <w:sz w:val="16"/>
        </w:rPr>
        <w:t> </w:t>
      </w:r>
      <w:r>
        <w:rPr>
          <w:i/>
          <w:sz w:val="16"/>
        </w:rPr>
        <w:t>interpretación</w:t>
      </w:r>
      <w:r>
        <w:rPr>
          <w:i/>
          <w:spacing w:val="-11"/>
          <w:sz w:val="16"/>
        </w:rPr>
        <w:t> </w:t>
      </w:r>
      <w:r>
        <w:rPr>
          <w:i/>
          <w:sz w:val="16"/>
        </w:rPr>
        <w:t>y</w:t>
      </w:r>
      <w:r>
        <w:rPr>
          <w:i/>
          <w:spacing w:val="-9"/>
          <w:sz w:val="16"/>
        </w:rPr>
        <w:t> </w:t>
      </w:r>
      <w:r>
        <w:rPr>
          <w:i/>
          <w:sz w:val="16"/>
        </w:rPr>
        <w:t>alcance de los artículos 4.1 y 5.1, en relación con los artículos 1.1 y 2 de la Convención Americana sobre Derechos Humanos). Opinión Consultiva OC-23/17</w:t>
      </w:r>
      <w:r>
        <w:rPr>
          <w:sz w:val="16"/>
        </w:rPr>
        <w:t>, párrs. 66 y 67. La cita dentro del texto transcrito corresponde a: “Consejo de Derechos Humanos, Informe de la Oficina del Alto Comisionado de las Naciones Unidas para los Derechos</w:t>
      </w:r>
      <w:r>
        <w:rPr>
          <w:spacing w:val="-3"/>
          <w:sz w:val="16"/>
        </w:rPr>
        <w:t> </w:t>
      </w:r>
      <w:r>
        <w:rPr>
          <w:sz w:val="16"/>
        </w:rPr>
        <w:t>Humanos</w:t>
      </w:r>
      <w:r>
        <w:rPr>
          <w:spacing w:val="-5"/>
          <w:sz w:val="16"/>
        </w:rPr>
        <w:t> </w:t>
      </w:r>
      <w:r>
        <w:rPr>
          <w:sz w:val="16"/>
        </w:rPr>
        <w:t>sobre</w:t>
      </w:r>
      <w:r>
        <w:rPr>
          <w:spacing w:val="-3"/>
          <w:sz w:val="16"/>
        </w:rPr>
        <w:t> </w:t>
      </w:r>
      <w:r>
        <w:rPr>
          <w:sz w:val="16"/>
        </w:rPr>
        <w:t>la</w:t>
      </w:r>
      <w:r>
        <w:rPr>
          <w:spacing w:val="-6"/>
          <w:sz w:val="16"/>
        </w:rPr>
        <w:t> </w:t>
      </w:r>
      <w:r>
        <w:rPr>
          <w:sz w:val="16"/>
        </w:rPr>
        <w:t>relación</w:t>
      </w:r>
      <w:r>
        <w:rPr>
          <w:spacing w:val="-4"/>
          <w:sz w:val="16"/>
        </w:rPr>
        <w:t> </w:t>
      </w:r>
      <w:r>
        <w:rPr>
          <w:sz w:val="16"/>
        </w:rPr>
        <w:t>entre</w:t>
      </w:r>
      <w:r>
        <w:rPr>
          <w:spacing w:val="-5"/>
          <w:sz w:val="16"/>
        </w:rPr>
        <w:t> </w:t>
      </w:r>
      <w:r>
        <w:rPr>
          <w:sz w:val="16"/>
        </w:rPr>
        <w:t>el</w:t>
      </w:r>
      <w:r>
        <w:rPr>
          <w:spacing w:val="-4"/>
          <w:sz w:val="16"/>
        </w:rPr>
        <w:t> </w:t>
      </w:r>
      <w:r>
        <w:rPr>
          <w:sz w:val="16"/>
        </w:rPr>
        <w:t>cambio</w:t>
      </w:r>
      <w:r>
        <w:rPr>
          <w:spacing w:val="-4"/>
          <w:sz w:val="16"/>
        </w:rPr>
        <w:t> </w:t>
      </w:r>
      <w:r>
        <w:rPr>
          <w:sz w:val="16"/>
        </w:rPr>
        <w:t>climático</w:t>
      </w:r>
      <w:r>
        <w:rPr>
          <w:spacing w:val="-4"/>
          <w:sz w:val="16"/>
        </w:rPr>
        <w:t> </w:t>
      </w:r>
      <w:r>
        <w:rPr>
          <w:sz w:val="16"/>
        </w:rPr>
        <w:t>y</w:t>
      </w:r>
      <w:r>
        <w:rPr>
          <w:spacing w:val="-3"/>
          <w:sz w:val="16"/>
        </w:rPr>
        <w:t> </w:t>
      </w:r>
      <w:r>
        <w:rPr>
          <w:sz w:val="16"/>
        </w:rPr>
        <w:t>los</w:t>
      </w:r>
      <w:r>
        <w:rPr>
          <w:spacing w:val="-5"/>
          <w:sz w:val="16"/>
        </w:rPr>
        <w:t> </w:t>
      </w:r>
      <w:r>
        <w:rPr>
          <w:sz w:val="16"/>
        </w:rPr>
        <w:t>derechos</w:t>
      </w:r>
      <w:r>
        <w:rPr>
          <w:spacing w:val="-3"/>
          <w:sz w:val="16"/>
        </w:rPr>
        <w:t> </w:t>
      </w:r>
      <w:r>
        <w:rPr>
          <w:sz w:val="16"/>
        </w:rPr>
        <w:t>humanos,</w:t>
      </w:r>
      <w:r>
        <w:rPr>
          <w:spacing w:val="-6"/>
          <w:sz w:val="16"/>
        </w:rPr>
        <w:t> </w:t>
      </w:r>
      <w:r>
        <w:rPr>
          <w:sz w:val="16"/>
        </w:rPr>
        <w:t>15</w:t>
      </w:r>
      <w:r>
        <w:rPr>
          <w:spacing w:val="-3"/>
          <w:sz w:val="16"/>
        </w:rPr>
        <w:t> </w:t>
      </w:r>
      <w:r>
        <w:rPr>
          <w:sz w:val="16"/>
        </w:rPr>
        <w:t>de</w:t>
      </w:r>
      <w:r>
        <w:rPr>
          <w:spacing w:val="-3"/>
          <w:sz w:val="16"/>
        </w:rPr>
        <w:t> </w:t>
      </w:r>
      <w:r>
        <w:rPr>
          <w:sz w:val="16"/>
        </w:rPr>
        <w:t>enero</w:t>
      </w:r>
      <w:r>
        <w:rPr>
          <w:spacing w:val="-4"/>
          <w:sz w:val="16"/>
        </w:rPr>
        <w:t> </w:t>
      </w:r>
      <w:r>
        <w:rPr>
          <w:sz w:val="16"/>
        </w:rPr>
        <w:t>de</w:t>
      </w:r>
      <w:r>
        <w:rPr>
          <w:spacing w:val="-5"/>
          <w:sz w:val="16"/>
        </w:rPr>
        <w:t> </w:t>
      </w:r>
      <w:r>
        <w:rPr>
          <w:sz w:val="16"/>
        </w:rPr>
        <w:t>2009, Doc. ONU A/HRC/10/61, párr. 42, y Consejo de Derechos Humanos, Informe del Relator Especial sobre la cuestión de las obligaciones de derechos humanos relacionadas con el disfrute de un medio ambiente sin riesgos, limpio, saludable y sostenible, 1 de febrero de 2016, Doc. ONU A/HRC/31/52, párr.</w:t>
      </w:r>
      <w:r>
        <w:rPr>
          <w:spacing w:val="-30"/>
          <w:sz w:val="16"/>
        </w:rPr>
        <w:t> </w:t>
      </w:r>
      <w:r>
        <w:rPr>
          <w:sz w:val="16"/>
        </w:rPr>
        <w:t>81”.</w:t>
      </w:r>
    </w:p>
    <w:p>
      <w:pPr>
        <w:pStyle w:val="BodyText"/>
        <w:spacing w:before="2"/>
        <w:rPr>
          <w:sz w:val="16"/>
        </w:rPr>
      </w:pPr>
    </w:p>
    <w:p>
      <w:pPr>
        <w:tabs>
          <w:tab w:pos="829" w:val="left" w:leader="none"/>
        </w:tabs>
        <w:spacing w:before="0"/>
        <w:ind w:left="122" w:right="0" w:firstLine="0"/>
        <w:jc w:val="both"/>
        <w:rPr>
          <w:sz w:val="16"/>
        </w:rPr>
      </w:pPr>
      <w:r>
        <w:rPr>
          <w:position w:val="6"/>
          <w:sz w:val="10"/>
        </w:rPr>
        <w:t>205</w:t>
        <w:tab/>
      </w:r>
      <w:r>
        <w:rPr>
          <w:sz w:val="16"/>
        </w:rPr>
        <w:t>Aprobada en la Novena Conferencia Internacional Americana. Bogotá, Colombia,</w:t>
      </w:r>
      <w:r>
        <w:rPr>
          <w:spacing w:val="-27"/>
          <w:sz w:val="16"/>
        </w:rPr>
        <w:t> </w:t>
      </w:r>
      <w:r>
        <w:rPr>
          <w:sz w:val="16"/>
        </w:rPr>
        <w:t>1948.</w:t>
      </w:r>
    </w:p>
    <w:p>
      <w:pPr>
        <w:spacing w:after="0"/>
        <w:jc w:val="both"/>
        <w:rPr>
          <w:sz w:val="16"/>
        </w:rPr>
        <w:sectPr>
          <w:pgSz w:w="12240" w:h="15840"/>
          <w:pgMar w:header="0" w:footer="1000" w:top="1340" w:bottom="1200" w:left="1580" w:right="1580"/>
        </w:sectPr>
      </w:pPr>
    </w:p>
    <w:p>
      <w:pPr>
        <w:pStyle w:val="ListParagraph"/>
        <w:numPr>
          <w:ilvl w:val="0"/>
          <w:numId w:val="31"/>
        </w:numPr>
        <w:tabs>
          <w:tab w:pos="830" w:val="left" w:leader="none"/>
        </w:tabs>
        <w:spacing w:line="240" w:lineRule="auto" w:before="76" w:after="0"/>
        <w:ind w:left="122" w:right="121" w:firstLine="0"/>
        <w:jc w:val="both"/>
        <w:rPr>
          <w:sz w:val="20"/>
        </w:rPr>
      </w:pPr>
      <w:r>
        <w:rPr>
          <w:sz w:val="20"/>
        </w:rPr>
        <w:t>En el ámbito universal, la Declaración Universal de Derechos Humanos</w:t>
      </w:r>
      <w:r>
        <w:rPr>
          <w:position w:val="7"/>
          <w:sz w:val="13"/>
        </w:rPr>
        <w:t>206</w:t>
      </w:r>
      <w:r>
        <w:rPr>
          <w:sz w:val="20"/>
        </w:rPr>
        <w:t>, en su artículo</w:t>
      </w:r>
      <w:r>
        <w:rPr>
          <w:spacing w:val="-7"/>
          <w:sz w:val="20"/>
        </w:rPr>
        <w:t> </w:t>
      </w:r>
      <w:r>
        <w:rPr>
          <w:sz w:val="20"/>
        </w:rPr>
        <w:t>25.1</w:t>
      </w:r>
      <w:r>
        <w:rPr>
          <w:spacing w:val="-5"/>
          <w:sz w:val="20"/>
        </w:rPr>
        <w:t> </w:t>
      </w:r>
      <w:r>
        <w:rPr>
          <w:sz w:val="20"/>
        </w:rPr>
        <w:t>prevé</w:t>
      </w:r>
      <w:r>
        <w:rPr>
          <w:spacing w:val="-7"/>
          <w:sz w:val="20"/>
        </w:rPr>
        <w:t> </w:t>
      </w:r>
      <w:r>
        <w:rPr>
          <w:sz w:val="20"/>
        </w:rPr>
        <w:t>que:</w:t>
      </w:r>
      <w:r>
        <w:rPr>
          <w:spacing w:val="-3"/>
          <w:sz w:val="20"/>
        </w:rPr>
        <w:t> </w:t>
      </w:r>
      <w:r>
        <w:rPr>
          <w:sz w:val="20"/>
        </w:rPr>
        <w:t>“[t]oda</w:t>
      </w:r>
      <w:r>
        <w:rPr>
          <w:spacing w:val="-5"/>
          <w:sz w:val="20"/>
        </w:rPr>
        <w:t> </w:t>
      </w:r>
      <w:r>
        <w:rPr>
          <w:sz w:val="20"/>
        </w:rPr>
        <w:t>persona</w:t>
      </w:r>
      <w:r>
        <w:rPr>
          <w:spacing w:val="-5"/>
          <w:sz w:val="20"/>
        </w:rPr>
        <w:t> </w:t>
      </w:r>
      <w:r>
        <w:rPr>
          <w:sz w:val="20"/>
        </w:rPr>
        <w:t>tiene</w:t>
      </w:r>
      <w:r>
        <w:rPr>
          <w:spacing w:val="-5"/>
          <w:sz w:val="20"/>
        </w:rPr>
        <w:t> </w:t>
      </w:r>
      <w:r>
        <w:rPr>
          <w:sz w:val="20"/>
        </w:rPr>
        <w:t>derecho</w:t>
      </w:r>
      <w:r>
        <w:rPr>
          <w:spacing w:val="-7"/>
          <w:sz w:val="20"/>
        </w:rPr>
        <w:t> </w:t>
      </w:r>
      <w:r>
        <w:rPr>
          <w:sz w:val="20"/>
        </w:rPr>
        <w:t>a</w:t>
      </w:r>
      <w:r>
        <w:rPr>
          <w:spacing w:val="-5"/>
          <w:sz w:val="20"/>
        </w:rPr>
        <w:t> </w:t>
      </w:r>
      <w:r>
        <w:rPr>
          <w:sz w:val="20"/>
        </w:rPr>
        <w:t>un</w:t>
      </w:r>
      <w:r>
        <w:rPr>
          <w:spacing w:val="-5"/>
          <w:sz w:val="20"/>
        </w:rPr>
        <w:t> </w:t>
      </w:r>
      <w:r>
        <w:rPr>
          <w:sz w:val="20"/>
        </w:rPr>
        <w:t>nivel</w:t>
      </w:r>
      <w:r>
        <w:rPr>
          <w:spacing w:val="-5"/>
          <w:sz w:val="20"/>
        </w:rPr>
        <w:t> </w:t>
      </w:r>
      <w:r>
        <w:rPr>
          <w:sz w:val="20"/>
        </w:rPr>
        <w:t>de</w:t>
      </w:r>
      <w:r>
        <w:rPr>
          <w:spacing w:val="-7"/>
          <w:sz w:val="20"/>
        </w:rPr>
        <w:t> </w:t>
      </w:r>
      <w:r>
        <w:rPr>
          <w:sz w:val="20"/>
        </w:rPr>
        <w:t>vida</w:t>
      </w:r>
      <w:r>
        <w:rPr>
          <w:spacing w:val="-5"/>
          <w:sz w:val="20"/>
        </w:rPr>
        <w:t> </w:t>
      </w:r>
      <w:r>
        <w:rPr>
          <w:sz w:val="20"/>
        </w:rPr>
        <w:t>adecuado</w:t>
      </w:r>
      <w:r>
        <w:rPr>
          <w:spacing w:val="-7"/>
          <w:sz w:val="20"/>
        </w:rPr>
        <w:t> </w:t>
      </w:r>
      <w:r>
        <w:rPr>
          <w:sz w:val="20"/>
        </w:rPr>
        <w:t>que le</w:t>
      </w:r>
      <w:r>
        <w:rPr>
          <w:spacing w:val="-7"/>
          <w:sz w:val="20"/>
        </w:rPr>
        <w:t> </w:t>
      </w:r>
      <w:r>
        <w:rPr>
          <w:sz w:val="20"/>
        </w:rPr>
        <w:t>asegure,</w:t>
      </w:r>
      <w:r>
        <w:rPr>
          <w:spacing w:val="-4"/>
          <w:sz w:val="20"/>
        </w:rPr>
        <w:t> </w:t>
      </w:r>
      <w:r>
        <w:rPr>
          <w:sz w:val="20"/>
        </w:rPr>
        <w:t>así</w:t>
      </w:r>
      <w:r>
        <w:rPr>
          <w:spacing w:val="-3"/>
          <w:sz w:val="20"/>
        </w:rPr>
        <w:t> </w:t>
      </w:r>
      <w:r>
        <w:rPr>
          <w:sz w:val="20"/>
        </w:rPr>
        <w:t>como</w:t>
      </w:r>
      <w:r>
        <w:rPr>
          <w:spacing w:val="-7"/>
          <w:sz w:val="20"/>
        </w:rPr>
        <w:t> </w:t>
      </w:r>
      <w:r>
        <w:rPr>
          <w:sz w:val="20"/>
        </w:rPr>
        <w:t>a</w:t>
      </w:r>
      <w:r>
        <w:rPr>
          <w:spacing w:val="-3"/>
          <w:sz w:val="20"/>
        </w:rPr>
        <w:t> </w:t>
      </w:r>
      <w:r>
        <w:rPr>
          <w:sz w:val="20"/>
        </w:rPr>
        <w:t>su</w:t>
      </w:r>
      <w:r>
        <w:rPr>
          <w:spacing w:val="-5"/>
          <w:sz w:val="20"/>
        </w:rPr>
        <w:t> </w:t>
      </w:r>
      <w:r>
        <w:rPr>
          <w:sz w:val="20"/>
        </w:rPr>
        <w:t>familia,</w:t>
      </w:r>
      <w:r>
        <w:rPr>
          <w:spacing w:val="-6"/>
          <w:sz w:val="20"/>
        </w:rPr>
        <w:t> </w:t>
      </w:r>
      <w:r>
        <w:rPr>
          <w:sz w:val="20"/>
        </w:rPr>
        <w:t>la</w:t>
      </w:r>
      <w:r>
        <w:rPr>
          <w:spacing w:val="-5"/>
          <w:sz w:val="20"/>
        </w:rPr>
        <w:t> </w:t>
      </w:r>
      <w:r>
        <w:rPr>
          <w:sz w:val="20"/>
        </w:rPr>
        <w:t>salud</w:t>
      </w:r>
      <w:r>
        <w:rPr>
          <w:spacing w:val="-5"/>
          <w:sz w:val="20"/>
        </w:rPr>
        <w:t> </w:t>
      </w:r>
      <w:r>
        <w:rPr>
          <w:sz w:val="20"/>
        </w:rPr>
        <w:t>y</w:t>
      </w:r>
      <w:r>
        <w:rPr>
          <w:spacing w:val="-3"/>
          <w:sz w:val="20"/>
        </w:rPr>
        <w:t> </w:t>
      </w:r>
      <w:r>
        <w:rPr>
          <w:sz w:val="20"/>
        </w:rPr>
        <w:t>el</w:t>
      </w:r>
      <w:r>
        <w:rPr>
          <w:spacing w:val="-5"/>
          <w:sz w:val="20"/>
        </w:rPr>
        <w:t> </w:t>
      </w:r>
      <w:r>
        <w:rPr>
          <w:sz w:val="20"/>
        </w:rPr>
        <w:t>bienestar,</w:t>
      </w:r>
      <w:r>
        <w:rPr>
          <w:spacing w:val="-4"/>
          <w:sz w:val="20"/>
        </w:rPr>
        <w:t> </w:t>
      </w:r>
      <w:r>
        <w:rPr>
          <w:sz w:val="20"/>
        </w:rPr>
        <w:t>y</w:t>
      </w:r>
      <w:r>
        <w:rPr>
          <w:spacing w:val="-3"/>
          <w:sz w:val="20"/>
        </w:rPr>
        <w:t> </w:t>
      </w:r>
      <w:r>
        <w:rPr>
          <w:sz w:val="20"/>
        </w:rPr>
        <w:t>en</w:t>
      </w:r>
      <w:r>
        <w:rPr>
          <w:spacing w:val="-2"/>
          <w:sz w:val="20"/>
        </w:rPr>
        <w:t> </w:t>
      </w:r>
      <w:r>
        <w:rPr>
          <w:sz w:val="20"/>
        </w:rPr>
        <w:t>especial</w:t>
      </w:r>
      <w:r>
        <w:rPr>
          <w:spacing w:val="-5"/>
          <w:sz w:val="20"/>
        </w:rPr>
        <w:t> </w:t>
      </w:r>
      <w:r>
        <w:rPr>
          <w:sz w:val="20"/>
        </w:rPr>
        <w:t>la</w:t>
      </w:r>
      <w:r>
        <w:rPr>
          <w:spacing w:val="-3"/>
          <w:sz w:val="20"/>
        </w:rPr>
        <w:t> </w:t>
      </w:r>
      <w:r>
        <w:rPr>
          <w:sz w:val="20"/>
        </w:rPr>
        <w:t>alimentación”, así</w:t>
      </w:r>
      <w:r>
        <w:rPr>
          <w:spacing w:val="-10"/>
          <w:sz w:val="20"/>
        </w:rPr>
        <w:t> </w:t>
      </w:r>
      <w:r>
        <w:rPr>
          <w:sz w:val="20"/>
        </w:rPr>
        <w:t>como</w:t>
      </w:r>
      <w:r>
        <w:rPr>
          <w:spacing w:val="-9"/>
          <w:sz w:val="20"/>
        </w:rPr>
        <w:t> </w:t>
      </w:r>
      <w:r>
        <w:rPr>
          <w:sz w:val="20"/>
        </w:rPr>
        <w:t>otros</w:t>
      </w:r>
      <w:r>
        <w:rPr>
          <w:spacing w:val="-11"/>
          <w:sz w:val="20"/>
        </w:rPr>
        <w:t> </w:t>
      </w:r>
      <w:r>
        <w:rPr>
          <w:sz w:val="20"/>
        </w:rPr>
        <w:t>bienes</w:t>
      </w:r>
      <w:r>
        <w:rPr>
          <w:spacing w:val="-11"/>
          <w:sz w:val="20"/>
        </w:rPr>
        <w:t> </w:t>
      </w:r>
      <w:r>
        <w:rPr>
          <w:sz w:val="20"/>
        </w:rPr>
        <w:t>que</w:t>
      </w:r>
      <w:r>
        <w:rPr>
          <w:spacing w:val="-12"/>
          <w:sz w:val="20"/>
        </w:rPr>
        <w:t> </w:t>
      </w:r>
      <w:r>
        <w:rPr>
          <w:sz w:val="20"/>
        </w:rPr>
        <w:t>indica</w:t>
      </w:r>
      <w:r>
        <w:rPr>
          <w:spacing w:val="-10"/>
          <w:sz w:val="20"/>
        </w:rPr>
        <w:t> </w:t>
      </w:r>
      <w:r>
        <w:rPr>
          <w:sz w:val="20"/>
        </w:rPr>
        <w:t>el</w:t>
      </w:r>
      <w:r>
        <w:rPr>
          <w:spacing w:val="-10"/>
          <w:sz w:val="20"/>
        </w:rPr>
        <w:t> </w:t>
      </w:r>
      <w:r>
        <w:rPr>
          <w:sz w:val="20"/>
        </w:rPr>
        <w:t>artículo.</w:t>
      </w:r>
      <w:r>
        <w:rPr>
          <w:spacing w:val="-11"/>
          <w:sz w:val="20"/>
        </w:rPr>
        <w:t> </w:t>
      </w:r>
      <w:r>
        <w:rPr>
          <w:sz w:val="20"/>
        </w:rPr>
        <w:t>Además,</w:t>
      </w:r>
      <w:r>
        <w:rPr>
          <w:spacing w:val="-9"/>
          <w:sz w:val="20"/>
        </w:rPr>
        <w:t> </w:t>
      </w:r>
      <w:r>
        <w:rPr>
          <w:sz w:val="20"/>
        </w:rPr>
        <w:t>el</w:t>
      </w:r>
      <w:r>
        <w:rPr>
          <w:spacing w:val="-9"/>
          <w:sz w:val="20"/>
        </w:rPr>
        <w:t> </w:t>
      </w:r>
      <w:r>
        <w:rPr>
          <w:sz w:val="20"/>
        </w:rPr>
        <w:t>Pacto</w:t>
      </w:r>
      <w:r>
        <w:rPr>
          <w:spacing w:val="-11"/>
          <w:sz w:val="20"/>
        </w:rPr>
        <w:t> </w:t>
      </w:r>
      <w:r>
        <w:rPr>
          <w:sz w:val="20"/>
        </w:rPr>
        <w:t>Internacional</w:t>
      </w:r>
      <w:r>
        <w:rPr>
          <w:spacing w:val="-10"/>
          <w:sz w:val="20"/>
        </w:rPr>
        <w:t> </w:t>
      </w:r>
      <w:r>
        <w:rPr>
          <w:sz w:val="20"/>
        </w:rPr>
        <w:t>de</w:t>
      </w:r>
      <w:r>
        <w:rPr>
          <w:spacing w:val="-12"/>
          <w:sz w:val="20"/>
        </w:rPr>
        <w:t> </w:t>
      </w:r>
      <w:r>
        <w:rPr>
          <w:sz w:val="20"/>
        </w:rPr>
        <w:t>Derechos Económicos, Sociales y Culturales (PIDESC) expresa en su artículo 11.1, en términos similares,</w:t>
      </w:r>
      <w:r>
        <w:rPr>
          <w:spacing w:val="-14"/>
          <w:sz w:val="20"/>
        </w:rPr>
        <w:t> </w:t>
      </w:r>
      <w:r>
        <w:rPr>
          <w:sz w:val="20"/>
        </w:rPr>
        <w:t>que</w:t>
      </w:r>
      <w:r>
        <w:rPr>
          <w:spacing w:val="-14"/>
          <w:sz w:val="20"/>
        </w:rPr>
        <w:t> </w:t>
      </w:r>
      <w:r>
        <w:rPr>
          <w:sz w:val="20"/>
        </w:rPr>
        <w:t>“[l]os</w:t>
      </w:r>
      <w:r>
        <w:rPr>
          <w:spacing w:val="-13"/>
          <w:sz w:val="20"/>
        </w:rPr>
        <w:t> </w:t>
      </w:r>
      <w:r>
        <w:rPr>
          <w:sz w:val="20"/>
        </w:rPr>
        <w:t>Estados</w:t>
      </w:r>
      <w:r>
        <w:rPr>
          <w:spacing w:val="-11"/>
          <w:sz w:val="20"/>
        </w:rPr>
        <w:t> </w:t>
      </w:r>
      <w:r>
        <w:rPr>
          <w:sz w:val="20"/>
        </w:rPr>
        <w:t>Partes</w:t>
      </w:r>
      <w:r>
        <w:rPr>
          <w:spacing w:val="-13"/>
          <w:sz w:val="20"/>
        </w:rPr>
        <w:t> </w:t>
      </w:r>
      <w:r>
        <w:rPr>
          <w:sz w:val="20"/>
        </w:rPr>
        <w:t>[…]</w:t>
      </w:r>
      <w:r>
        <w:rPr>
          <w:spacing w:val="-10"/>
          <w:sz w:val="20"/>
        </w:rPr>
        <w:t> </w:t>
      </w:r>
      <w:r>
        <w:rPr>
          <w:sz w:val="20"/>
        </w:rPr>
        <w:t>reconocen</w:t>
      </w:r>
      <w:r>
        <w:rPr>
          <w:spacing w:val="-12"/>
          <w:sz w:val="20"/>
        </w:rPr>
        <w:t> </w:t>
      </w:r>
      <w:r>
        <w:rPr>
          <w:sz w:val="20"/>
        </w:rPr>
        <w:t>el</w:t>
      </w:r>
      <w:r>
        <w:rPr>
          <w:spacing w:val="-10"/>
          <w:sz w:val="20"/>
        </w:rPr>
        <w:t> </w:t>
      </w:r>
      <w:r>
        <w:rPr>
          <w:sz w:val="20"/>
        </w:rPr>
        <w:t>derecho</w:t>
      </w:r>
      <w:r>
        <w:rPr>
          <w:spacing w:val="-13"/>
          <w:sz w:val="20"/>
        </w:rPr>
        <w:t> </w:t>
      </w:r>
      <w:r>
        <w:rPr>
          <w:sz w:val="20"/>
        </w:rPr>
        <w:t>de</w:t>
      </w:r>
      <w:r>
        <w:rPr>
          <w:spacing w:val="-14"/>
          <w:sz w:val="20"/>
        </w:rPr>
        <w:t> </w:t>
      </w:r>
      <w:r>
        <w:rPr>
          <w:sz w:val="20"/>
        </w:rPr>
        <w:t>toda</w:t>
      </w:r>
      <w:r>
        <w:rPr>
          <w:spacing w:val="-12"/>
          <w:sz w:val="20"/>
        </w:rPr>
        <w:t> </w:t>
      </w:r>
      <w:r>
        <w:rPr>
          <w:sz w:val="20"/>
        </w:rPr>
        <w:t>persona</w:t>
      </w:r>
      <w:r>
        <w:rPr>
          <w:spacing w:val="-12"/>
          <w:sz w:val="20"/>
        </w:rPr>
        <w:t> </w:t>
      </w:r>
      <w:r>
        <w:rPr>
          <w:sz w:val="20"/>
        </w:rPr>
        <w:t>a</w:t>
      </w:r>
      <w:r>
        <w:rPr>
          <w:spacing w:val="-12"/>
          <w:sz w:val="20"/>
        </w:rPr>
        <w:t> </w:t>
      </w:r>
      <w:r>
        <w:rPr>
          <w:sz w:val="20"/>
        </w:rPr>
        <w:t>un</w:t>
      </w:r>
      <w:r>
        <w:rPr>
          <w:spacing w:val="-12"/>
          <w:sz w:val="20"/>
        </w:rPr>
        <w:t> </w:t>
      </w:r>
      <w:r>
        <w:rPr>
          <w:sz w:val="20"/>
        </w:rPr>
        <w:t>nivel de vida adecuado para sí y su familia, incluso alimentación”</w:t>
      </w:r>
      <w:r>
        <w:rPr>
          <w:position w:val="7"/>
          <w:sz w:val="13"/>
        </w:rPr>
        <w:t>207</w:t>
      </w:r>
      <w:r>
        <w:rPr>
          <w:sz w:val="20"/>
        </w:rPr>
        <w:t>, entre otros</w:t>
      </w:r>
      <w:r>
        <w:rPr>
          <w:spacing w:val="-30"/>
          <w:sz w:val="20"/>
        </w:rPr>
        <w:t> </w:t>
      </w:r>
      <w:r>
        <w:rPr>
          <w:sz w:val="20"/>
        </w:rPr>
        <w:t>factores.</w:t>
      </w:r>
    </w:p>
    <w:p>
      <w:pPr>
        <w:pStyle w:val="BodyText"/>
      </w:pPr>
    </w:p>
    <w:p>
      <w:pPr>
        <w:pStyle w:val="ListParagraph"/>
        <w:numPr>
          <w:ilvl w:val="0"/>
          <w:numId w:val="31"/>
        </w:numPr>
        <w:tabs>
          <w:tab w:pos="830" w:val="left" w:leader="none"/>
        </w:tabs>
        <w:spacing w:line="240" w:lineRule="auto" w:before="0" w:after="0"/>
        <w:ind w:left="122" w:right="130" w:firstLine="0"/>
        <w:jc w:val="both"/>
        <w:rPr>
          <w:sz w:val="20"/>
        </w:rPr>
      </w:pPr>
      <w:r>
        <w:rPr>
          <w:sz w:val="20"/>
        </w:rPr>
        <w:t>Asimismo,</w:t>
      </w:r>
      <w:r>
        <w:rPr>
          <w:spacing w:val="-11"/>
          <w:sz w:val="20"/>
        </w:rPr>
        <w:t> </w:t>
      </w:r>
      <w:r>
        <w:rPr>
          <w:sz w:val="20"/>
        </w:rPr>
        <w:t>la</w:t>
      </w:r>
      <w:r>
        <w:rPr>
          <w:spacing w:val="-10"/>
          <w:sz w:val="20"/>
        </w:rPr>
        <w:t> </w:t>
      </w:r>
      <w:r>
        <w:rPr>
          <w:sz w:val="20"/>
        </w:rPr>
        <w:t>Constitución</w:t>
      </w:r>
      <w:r>
        <w:rPr>
          <w:spacing w:val="-12"/>
          <w:sz w:val="20"/>
        </w:rPr>
        <w:t> </w:t>
      </w:r>
      <w:r>
        <w:rPr>
          <w:sz w:val="20"/>
        </w:rPr>
        <w:t>Nacional</w:t>
      </w:r>
      <w:r>
        <w:rPr>
          <w:spacing w:val="-10"/>
          <w:sz w:val="20"/>
        </w:rPr>
        <w:t> </w:t>
      </w:r>
      <w:r>
        <w:rPr>
          <w:sz w:val="20"/>
        </w:rPr>
        <w:t>de</w:t>
      </w:r>
      <w:r>
        <w:rPr>
          <w:spacing w:val="-12"/>
          <w:sz w:val="20"/>
        </w:rPr>
        <w:t> </w:t>
      </w:r>
      <w:r>
        <w:rPr>
          <w:sz w:val="20"/>
        </w:rPr>
        <w:t>Argentina,</w:t>
      </w:r>
      <w:r>
        <w:rPr>
          <w:spacing w:val="-11"/>
          <w:sz w:val="20"/>
        </w:rPr>
        <w:t> </w:t>
      </w:r>
      <w:r>
        <w:rPr>
          <w:sz w:val="20"/>
        </w:rPr>
        <w:t>en</w:t>
      </w:r>
      <w:r>
        <w:rPr>
          <w:spacing w:val="-9"/>
          <w:sz w:val="20"/>
        </w:rPr>
        <w:t> </w:t>
      </w:r>
      <w:r>
        <w:rPr>
          <w:sz w:val="20"/>
        </w:rPr>
        <w:t>su</w:t>
      </w:r>
      <w:r>
        <w:rPr>
          <w:spacing w:val="-12"/>
          <w:sz w:val="20"/>
        </w:rPr>
        <w:t> </w:t>
      </w:r>
      <w:r>
        <w:rPr>
          <w:sz w:val="20"/>
        </w:rPr>
        <w:t>texto</w:t>
      </w:r>
      <w:r>
        <w:rPr>
          <w:spacing w:val="-11"/>
          <w:sz w:val="20"/>
        </w:rPr>
        <w:t> </w:t>
      </w:r>
      <w:r>
        <w:rPr>
          <w:sz w:val="20"/>
        </w:rPr>
        <w:t>sancionado</w:t>
      </w:r>
      <w:r>
        <w:rPr>
          <w:spacing w:val="-9"/>
          <w:sz w:val="20"/>
        </w:rPr>
        <w:t> </w:t>
      </w:r>
      <w:r>
        <w:rPr>
          <w:sz w:val="20"/>
        </w:rPr>
        <w:t>el</w:t>
      </w:r>
      <w:r>
        <w:rPr>
          <w:spacing w:val="-10"/>
          <w:sz w:val="20"/>
        </w:rPr>
        <w:t> </w:t>
      </w:r>
      <w:r>
        <w:rPr>
          <w:sz w:val="20"/>
        </w:rPr>
        <w:t>15</w:t>
      </w:r>
      <w:r>
        <w:rPr>
          <w:spacing w:val="-12"/>
          <w:sz w:val="20"/>
        </w:rPr>
        <w:t> </w:t>
      </w:r>
      <w:r>
        <w:rPr>
          <w:sz w:val="20"/>
        </w:rPr>
        <w:t>de diciembre de 1994, señala en su artículo 75 inciso 22 que “[l]a Declaración Americana de</w:t>
      </w:r>
      <w:r>
        <w:rPr>
          <w:spacing w:val="-13"/>
          <w:sz w:val="20"/>
        </w:rPr>
        <w:t> </w:t>
      </w:r>
      <w:r>
        <w:rPr>
          <w:sz w:val="20"/>
        </w:rPr>
        <w:t>los</w:t>
      </w:r>
      <w:r>
        <w:rPr>
          <w:spacing w:val="-10"/>
          <w:sz w:val="20"/>
        </w:rPr>
        <w:t> </w:t>
      </w:r>
      <w:r>
        <w:rPr>
          <w:sz w:val="20"/>
        </w:rPr>
        <w:t>Derechos</w:t>
      </w:r>
      <w:r>
        <w:rPr>
          <w:spacing w:val="-12"/>
          <w:sz w:val="20"/>
        </w:rPr>
        <w:t> </w:t>
      </w:r>
      <w:r>
        <w:rPr>
          <w:sz w:val="20"/>
        </w:rPr>
        <w:t>y</w:t>
      </w:r>
      <w:r>
        <w:rPr>
          <w:spacing w:val="-8"/>
          <w:sz w:val="20"/>
        </w:rPr>
        <w:t> </w:t>
      </w:r>
      <w:r>
        <w:rPr>
          <w:sz w:val="20"/>
        </w:rPr>
        <w:t>Deberes</w:t>
      </w:r>
      <w:r>
        <w:rPr>
          <w:spacing w:val="-10"/>
          <w:sz w:val="20"/>
        </w:rPr>
        <w:t> </w:t>
      </w:r>
      <w:r>
        <w:rPr>
          <w:sz w:val="20"/>
        </w:rPr>
        <w:t>del</w:t>
      </w:r>
      <w:r>
        <w:rPr>
          <w:spacing w:val="-9"/>
          <w:sz w:val="20"/>
        </w:rPr>
        <w:t> </w:t>
      </w:r>
      <w:r>
        <w:rPr>
          <w:sz w:val="20"/>
        </w:rPr>
        <w:t>Hombre;</w:t>
      </w:r>
      <w:r>
        <w:rPr>
          <w:spacing w:val="-11"/>
          <w:sz w:val="20"/>
        </w:rPr>
        <w:t> </w:t>
      </w:r>
      <w:r>
        <w:rPr>
          <w:sz w:val="20"/>
        </w:rPr>
        <w:t>la</w:t>
      </w:r>
      <w:r>
        <w:rPr>
          <w:spacing w:val="-9"/>
          <w:sz w:val="20"/>
        </w:rPr>
        <w:t> </w:t>
      </w:r>
      <w:r>
        <w:rPr>
          <w:sz w:val="20"/>
        </w:rPr>
        <w:t>Declaración</w:t>
      </w:r>
      <w:r>
        <w:rPr>
          <w:spacing w:val="-8"/>
          <w:sz w:val="20"/>
        </w:rPr>
        <w:t> </w:t>
      </w:r>
      <w:r>
        <w:rPr>
          <w:sz w:val="20"/>
        </w:rPr>
        <w:t>Universal</w:t>
      </w:r>
      <w:r>
        <w:rPr>
          <w:spacing w:val="-9"/>
          <w:sz w:val="20"/>
        </w:rPr>
        <w:t> </w:t>
      </w:r>
      <w:r>
        <w:rPr>
          <w:sz w:val="20"/>
        </w:rPr>
        <w:t>de</w:t>
      </w:r>
      <w:r>
        <w:rPr>
          <w:spacing w:val="-10"/>
          <w:sz w:val="20"/>
        </w:rPr>
        <w:t> </w:t>
      </w:r>
      <w:r>
        <w:rPr>
          <w:sz w:val="20"/>
        </w:rPr>
        <w:t>Derechos</w:t>
      </w:r>
      <w:r>
        <w:rPr>
          <w:spacing w:val="-10"/>
          <w:sz w:val="20"/>
        </w:rPr>
        <w:t> </w:t>
      </w:r>
      <w:r>
        <w:rPr>
          <w:sz w:val="20"/>
        </w:rPr>
        <w:t>Humanos; la Convención Americana sobre Derechos Humanos[, y] el Pacto Internacional de Derechos Económicos, Sociales y Culturales”, entre otros instrumentos internacionales, “tienen jerarquía constitucional”. Por ende, el derecho a la alimentación, en el modo en que está recogido por dichos instrumentos, tiene “jerarquía constitucional”. La Constitución de Salta, por su parte, reconoce en términos generales el derecho a la salud, estrechamente ligado a la alimentación, y tiene normas específicas sobre alimentación en relación con “la infancia” y “la</w:t>
      </w:r>
      <w:r>
        <w:rPr>
          <w:spacing w:val="-19"/>
          <w:sz w:val="20"/>
        </w:rPr>
        <w:t> </w:t>
      </w:r>
      <w:r>
        <w:rPr>
          <w:sz w:val="20"/>
        </w:rPr>
        <w:t>ancianidad”</w:t>
      </w:r>
      <w:r>
        <w:rPr>
          <w:position w:val="7"/>
          <w:sz w:val="13"/>
        </w:rPr>
        <w:t>208</w:t>
      </w:r>
      <w:r>
        <w:rPr>
          <w:sz w:val="20"/>
        </w:rPr>
        <w:t>.</w:t>
      </w:r>
    </w:p>
    <w:p>
      <w:pPr>
        <w:pStyle w:val="BodyText"/>
      </w:pPr>
    </w:p>
    <w:p>
      <w:pPr>
        <w:pStyle w:val="ListParagraph"/>
        <w:numPr>
          <w:ilvl w:val="0"/>
          <w:numId w:val="31"/>
        </w:numPr>
        <w:tabs>
          <w:tab w:pos="830" w:val="left" w:leader="none"/>
        </w:tabs>
        <w:spacing w:line="240" w:lineRule="auto" w:before="0" w:after="0"/>
        <w:ind w:left="122" w:right="125" w:firstLine="0"/>
        <w:jc w:val="both"/>
        <w:rPr>
          <w:sz w:val="20"/>
        </w:rPr>
      </w:pPr>
      <w:r>
        <w:rPr>
          <w:sz w:val="20"/>
        </w:rPr>
        <w:t>De</w:t>
      </w:r>
      <w:r>
        <w:rPr>
          <w:spacing w:val="-5"/>
          <w:sz w:val="20"/>
        </w:rPr>
        <w:t> </w:t>
      </w:r>
      <w:r>
        <w:rPr>
          <w:sz w:val="20"/>
        </w:rPr>
        <w:t>forma</w:t>
      </w:r>
      <w:r>
        <w:rPr>
          <w:spacing w:val="-5"/>
          <w:sz w:val="20"/>
        </w:rPr>
        <w:t> </w:t>
      </w:r>
      <w:r>
        <w:rPr>
          <w:sz w:val="20"/>
        </w:rPr>
        <w:t>adicional,</w:t>
      </w:r>
      <w:r>
        <w:rPr>
          <w:spacing w:val="-5"/>
          <w:sz w:val="20"/>
        </w:rPr>
        <w:t> </w:t>
      </w:r>
      <w:r>
        <w:rPr>
          <w:sz w:val="20"/>
        </w:rPr>
        <w:t>se</w:t>
      </w:r>
      <w:r>
        <w:rPr>
          <w:spacing w:val="-5"/>
          <w:sz w:val="20"/>
        </w:rPr>
        <w:t> </w:t>
      </w:r>
      <w:r>
        <w:rPr>
          <w:sz w:val="20"/>
        </w:rPr>
        <w:t>hace</w:t>
      </w:r>
      <w:r>
        <w:rPr>
          <w:spacing w:val="-5"/>
          <w:sz w:val="20"/>
        </w:rPr>
        <w:t> </w:t>
      </w:r>
      <w:r>
        <w:rPr>
          <w:sz w:val="20"/>
        </w:rPr>
        <w:t>notar</w:t>
      </w:r>
      <w:r>
        <w:rPr>
          <w:spacing w:val="-5"/>
          <w:sz w:val="20"/>
        </w:rPr>
        <w:t> </w:t>
      </w:r>
      <w:r>
        <w:rPr>
          <w:sz w:val="20"/>
        </w:rPr>
        <w:t>que</w:t>
      </w:r>
      <w:r>
        <w:rPr>
          <w:spacing w:val="-7"/>
          <w:sz w:val="20"/>
        </w:rPr>
        <w:t> </w:t>
      </w:r>
      <w:r>
        <w:rPr>
          <w:sz w:val="20"/>
        </w:rPr>
        <w:t>diversos</w:t>
      </w:r>
      <w:r>
        <w:rPr>
          <w:spacing w:val="-2"/>
          <w:sz w:val="20"/>
        </w:rPr>
        <w:t> </w:t>
      </w:r>
      <w:r>
        <w:rPr>
          <w:sz w:val="20"/>
        </w:rPr>
        <w:t>países</w:t>
      </w:r>
      <w:r>
        <w:rPr>
          <w:spacing w:val="-5"/>
          <w:sz w:val="20"/>
        </w:rPr>
        <w:t> </w:t>
      </w:r>
      <w:r>
        <w:rPr>
          <w:sz w:val="20"/>
        </w:rPr>
        <w:t>han</w:t>
      </w:r>
      <w:r>
        <w:rPr>
          <w:spacing w:val="-5"/>
          <w:sz w:val="20"/>
        </w:rPr>
        <w:t> </w:t>
      </w:r>
      <w:r>
        <w:rPr>
          <w:sz w:val="20"/>
        </w:rPr>
        <w:t>reconocido</w:t>
      </w:r>
      <w:r>
        <w:rPr>
          <w:spacing w:val="-5"/>
          <w:sz w:val="20"/>
        </w:rPr>
        <w:t> </w:t>
      </w:r>
      <w:r>
        <w:rPr>
          <w:sz w:val="20"/>
        </w:rPr>
        <w:t>el</w:t>
      </w:r>
      <w:r>
        <w:rPr>
          <w:spacing w:val="-5"/>
          <w:sz w:val="20"/>
        </w:rPr>
        <w:t> </w:t>
      </w:r>
      <w:r>
        <w:rPr>
          <w:sz w:val="20"/>
        </w:rPr>
        <w:t>derecho a</w:t>
      </w:r>
      <w:r>
        <w:rPr>
          <w:spacing w:val="-20"/>
          <w:sz w:val="20"/>
        </w:rPr>
        <w:t> </w:t>
      </w:r>
      <w:r>
        <w:rPr>
          <w:sz w:val="20"/>
        </w:rPr>
        <w:t>la</w:t>
      </w:r>
      <w:r>
        <w:rPr>
          <w:spacing w:val="-20"/>
          <w:sz w:val="20"/>
        </w:rPr>
        <w:t> </w:t>
      </w:r>
      <w:r>
        <w:rPr>
          <w:sz w:val="20"/>
        </w:rPr>
        <w:t>alimentación</w:t>
      </w:r>
      <w:r>
        <w:rPr>
          <w:spacing w:val="-17"/>
          <w:sz w:val="20"/>
        </w:rPr>
        <w:t> </w:t>
      </w:r>
      <w:r>
        <w:rPr>
          <w:sz w:val="20"/>
        </w:rPr>
        <w:t>en</w:t>
      </w:r>
      <w:r>
        <w:rPr>
          <w:spacing w:val="-19"/>
          <w:sz w:val="20"/>
        </w:rPr>
        <w:t> </w:t>
      </w:r>
      <w:r>
        <w:rPr>
          <w:sz w:val="20"/>
        </w:rPr>
        <w:t>normas</w:t>
      </w:r>
      <w:r>
        <w:rPr>
          <w:spacing w:val="-21"/>
          <w:sz w:val="20"/>
        </w:rPr>
        <w:t> </w:t>
      </w:r>
      <w:r>
        <w:rPr>
          <w:sz w:val="20"/>
        </w:rPr>
        <w:t>internas.</w:t>
      </w:r>
      <w:r>
        <w:rPr>
          <w:spacing w:val="-19"/>
          <w:sz w:val="20"/>
        </w:rPr>
        <w:t> </w:t>
      </w:r>
      <w:r>
        <w:rPr>
          <w:sz w:val="20"/>
        </w:rPr>
        <w:t>El</w:t>
      </w:r>
      <w:r>
        <w:rPr>
          <w:spacing w:val="-20"/>
          <w:sz w:val="20"/>
        </w:rPr>
        <w:t> </w:t>
      </w:r>
      <w:r>
        <w:rPr>
          <w:sz w:val="20"/>
        </w:rPr>
        <w:t>Grupo</w:t>
      </w:r>
      <w:r>
        <w:rPr>
          <w:spacing w:val="-19"/>
          <w:sz w:val="20"/>
        </w:rPr>
        <w:t> </w:t>
      </w:r>
      <w:r>
        <w:rPr>
          <w:sz w:val="20"/>
        </w:rPr>
        <w:t>de</w:t>
      </w:r>
      <w:r>
        <w:rPr>
          <w:spacing w:val="-21"/>
          <w:sz w:val="20"/>
        </w:rPr>
        <w:t> </w:t>
      </w:r>
      <w:r>
        <w:rPr>
          <w:sz w:val="20"/>
        </w:rPr>
        <w:t>Trabajo</w:t>
      </w:r>
      <w:r>
        <w:rPr>
          <w:spacing w:val="-13"/>
          <w:sz w:val="20"/>
        </w:rPr>
        <w:t> </w:t>
      </w:r>
      <w:r>
        <w:rPr>
          <w:sz w:val="20"/>
        </w:rPr>
        <w:t>para</w:t>
      </w:r>
      <w:r>
        <w:rPr>
          <w:spacing w:val="-18"/>
          <w:sz w:val="20"/>
        </w:rPr>
        <w:t> </w:t>
      </w:r>
      <w:r>
        <w:rPr>
          <w:sz w:val="20"/>
        </w:rPr>
        <w:t>el</w:t>
      </w:r>
      <w:r>
        <w:rPr>
          <w:spacing w:val="-17"/>
          <w:sz w:val="20"/>
        </w:rPr>
        <w:t> </w:t>
      </w:r>
      <w:r>
        <w:rPr>
          <w:sz w:val="20"/>
        </w:rPr>
        <w:t>análisis</w:t>
      </w:r>
      <w:r>
        <w:rPr>
          <w:spacing w:val="-21"/>
          <w:sz w:val="20"/>
        </w:rPr>
        <w:t> </w:t>
      </w:r>
      <w:r>
        <w:rPr>
          <w:sz w:val="20"/>
        </w:rPr>
        <w:t>de</w:t>
      </w:r>
      <w:r>
        <w:rPr>
          <w:spacing w:val="-19"/>
          <w:sz w:val="20"/>
        </w:rPr>
        <w:t> </w:t>
      </w:r>
      <w:r>
        <w:rPr>
          <w:sz w:val="20"/>
        </w:rPr>
        <w:t>los</w:t>
      </w:r>
      <w:r>
        <w:rPr>
          <w:spacing w:val="-21"/>
          <w:sz w:val="20"/>
        </w:rPr>
        <w:t> </w:t>
      </w:r>
      <w:r>
        <w:rPr>
          <w:sz w:val="20"/>
        </w:rPr>
        <w:t>informes nacionales</w:t>
      </w:r>
      <w:r>
        <w:rPr>
          <w:spacing w:val="-12"/>
          <w:sz w:val="20"/>
        </w:rPr>
        <w:t> </w:t>
      </w:r>
      <w:r>
        <w:rPr>
          <w:sz w:val="20"/>
        </w:rPr>
        <w:t>previstos</w:t>
      </w:r>
      <w:r>
        <w:rPr>
          <w:spacing w:val="-12"/>
          <w:sz w:val="20"/>
        </w:rPr>
        <w:t> </w:t>
      </w:r>
      <w:r>
        <w:rPr>
          <w:sz w:val="20"/>
        </w:rPr>
        <w:t>en</w:t>
      </w:r>
      <w:r>
        <w:rPr>
          <w:spacing w:val="-10"/>
          <w:sz w:val="20"/>
        </w:rPr>
        <w:t> </w:t>
      </w:r>
      <w:r>
        <w:rPr>
          <w:sz w:val="20"/>
        </w:rPr>
        <w:t>el</w:t>
      </w:r>
      <w:r>
        <w:rPr>
          <w:spacing w:val="-14"/>
          <w:sz w:val="20"/>
        </w:rPr>
        <w:t> </w:t>
      </w:r>
      <w:r>
        <w:rPr>
          <w:sz w:val="20"/>
        </w:rPr>
        <w:t>Protocolo</w:t>
      </w:r>
      <w:r>
        <w:rPr>
          <w:spacing w:val="-13"/>
          <w:sz w:val="20"/>
        </w:rPr>
        <w:t> </w:t>
      </w:r>
      <w:r>
        <w:rPr>
          <w:sz w:val="20"/>
        </w:rPr>
        <w:t>de</w:t>
      </w:r>
      <w:r>
        <w:rPr>
          <w:spacing w:val="-15"/>
          <w:sz w:val="20"/>
        </w:rPr>
        <w:t> </w:t>
      </w:r>
      <w:r>
        <w:rPr>
          <w:sz w:val="20"/>
        </w:rPr>
        <w:t>San</w:t>
      </w:r>
      <w:r>
        <w:rPr>
          <w:spacing w:val="-10"/>
          <w:sz w:val="20"/>
        </w:rPr>
        <w:t> </w:t>
      </w:r>
      <w:r>
        <w:rPr>
          <w:sz w:val="20"/>
        </w:rPr>
        <w:t>Salvador</w:t>
      </w:r>
      <w:r>
        <w:rPr>
          <w:spacing w:val="-6"/>
          <w:sz w:val="20"/>
        </w:rPr>
        <w:t> </w:t>
      </w:r>
      <w:r>
        <w:rPr>
          <w:sz w:val="20"/>
        </w:rPr>
        <w:t>(en</w:t>
      </w:r>
      <w:r>
        <w:rPr>
          <w:spacing w:val="-10"/>
          <w:sz w:val="20"/>
        </w:rPr>
        <w:t> </w:t>
      </w:r>
      <w:r>
        <w:rPr>
          <w:sz w:val="20"/>
        </w:rPr>
        <w:t>adelante</w:t>
      </w:r>
      <w:r>
        <w:rPr>
          <w:spacing w:val="-13"/>
          <w:sz w:val="20"/>
        </w:rPr>
        <w:t> </w:t>
      </w:r>
      <w:r>
        <w:rPr>
          <w:sz w:val="20"/>
        </w:rPr>
        <w:t>“Grupo</w:t>
      </w:r>
      <w:r>
        <w:rPr>
          <w:spacing w:val="-12"/>
          <w:sz w:val="20"/>
        </w:rPr>
        <w:t> </w:t>
      </w:r>
      <w:r>
        <w:rPr>
          <w:sz w:val="20"/>
        </w:rPr>
        <w:t>sobre</w:t>
      </w:r>
      <w:r>
        <w:rPr>
          <w:spacing w:val="-10"/>
          <w:sz w:val="20"/>
        </w:rPr>
        <w:t> </w:t>
      </w:r>
      <w:r>
        <w:rPr>
          <w:sz w:val="20"/>
        </w:rPr>
        <w:t>el</w:t>
      </w:r>
      <w:r>
        <w:rPr>
          <w:spacing w:val="-11"/>
          <w:sz w:val="20"/>
        </w:rPr>
        <w:t> </w:t>
      </w:r>
      <w:r>
        <w:rPr>
          <w:sz w:val="20"/>
        </w:rPr>
        <w:t>PSS”) ha señalado que </w:t>
      </w:r>
      <w:r>
        <w:rPr>
          <w:spacing w:val="4"/>
          <w:sz w:val="20"/>
        </w:rPr>
        <w:t>“un </w:t>
      </w:r>
      <w:r>
        <w:rPr>
          <w:spacing w:val="9"/>
          <w:sz w:val="20"/>
        </w:rPr>
        <w:t>número creciente </w:t>
      </w:r>
      <w:r>
        <w:rPr>
          <w:spacing w:val="6"/>
          <w:sz w:val="20"/>
        </w:rPr>
        <w:t>de </w:t>
      </w:r>
      <w:r>
        <w:rPr>
          <w:spacing w:val="9"/>
          <w:sz w:val="20"/>
        </w:rPr>
        <w:t>Estados </w:t>
      </w:r>
      <w:r>
        <w:rPr>
          <w:spacing w:val="6"/>
          <w:sz w:val="20"/>
        </w:rPr>
        <w:t>ha </w:t>
      </w:r>
      <w:r>
        <w:rPr>
          <w:spacing w:val="9"/>
          <w:sz w:val="20"/>
        </w:rPr>
        <w:t>reconocido </w:t>
      </w:r>
      <w:r>
        <w:rPr>
          <w:spacing w:val="10"/>
          <w:sz w:val="20"/>
        </w:rPr>
        <w:t>explícitamente  </w:t>
      </w:r>
      <w:r>
        <w:rPr>
          <w:spacing w:val="5"/>
          <w:sz w:val="20"/>
        </w:rPr>
        <w:t>el </w:t>
      </w:r>
      <w:r>
        <w:rPr>
          <w:spacing w:val="9"/>
          <w:sz w:val="20"/>
        </w:rPr>
        <w:t>derecho </w:t>
      </w:r>
      <w:r>
        <w:rPr>
          <w:sz w:val="20"/>
        </w:rPr>
        <w:t>a </w:t>
      </w:r>
      <w:r>
        <w:rPr>
          <w:spacing w:val="6"/>
          <w:sz w:val="20"/>
        </w:rPr>
        <w:t>la </w:t>
      </w:r>
      <w:r>
        <w:rPr>
          <w:spacing w:val="9"/>
          <w:sz w:val="20"/>
        </w:rPr>
        <w:t>alimentación adecuada </w:t>
      </w:r>
      <w:r>
        <w:rPr>
          <w:sz w:val="20"/>
        </w:rPr>
        <w:t>en sus constituciones políticas y cada vez más en legislaciones internas (tanto mediante leyes marco, como de leyes sectoriales). América Latina se encuentra a la vanguardia de esta tendencia</w:t>
      </w:r>
      <w:r>
        <w:rPr>
          <w:spacing w:val="-22"/>
          <w:sz w:val="20"/>
        </w:rPr>
        <w:t> </w:t>
      </w:r>
      <w:r>
        <w:rPr>
          <w:sz w:val="20"/>
        </w:rPr>
        <w:t>mundial”</w:t>
      </w:r>
      <w:r>
        <w:rPr>
          <w:position w:val="7"/>
          <w:sz w:val="13"/>
        </w:rPr>
        <w:t>209</w:t>
      </w:r>
      <w:r>
        <w:rPr>
          <w:sz w:val="20"/>
        </w:rPr>
        <w:t>.</w:t>
      </w:r>
    </w:p>
    <w:p>
      <w:pPr>
        <w:pStyle w:val="BodyText"/>
      </w:pPr>
    </w:p>
    <w:p>
      <w:pPr>
        <w:pStyle w:val="ListParagraph"/>
        <w:numPr>
          <w:ilvl w:val="0"/>
          <w:numId w:val="31"/>
        </w:numPr>
        <w:tabs>
          <w:tab w:pos="830" w:val="left" w:leader="none"/>
        </w:tabs>
        <w:spacing w:line="240" w:lineRule="auto" w:before="0" w:after="0"/>
        <w:ind w:left="122" w:right="129" w:firstLine="0"/>
        <w:jc w:val="both"/>
        <w:rPr>
          <w:sz w:val="20"/>
        </w:rPr>
      </w:pPr>
      <w:r>
        <w:rPr>
          <w:sz w:val="20"/>
        </w:rPr>
        <w:t>Del</w:t>
      </w:r>
      <w:r>
        <w:rPr>
          <w:spacing w:val="-5"/>
          <w:sz w:val="20"/>
        </w:rPr>
        <w:t> </w:t>
      </w:r>
      <w:r>
        <w:rPr>
          <w:sz w:val="20"/>
        </w:rPr>
        <w:t>artículo</w:t>
      </w:r>
      <w:r>
        <w:rPr>
          <w:spacing w:val="-4"/>
          <w:sz w:val="20"/>
        </w:rPr>
        <w:t> </w:t>
      </w:r>
      <w:r>
        <w:rPr>
          <w:sz w:val="20"/>
        </w:rPr>
        <w:t>34.j</w:t>
      </w:r>
      <w:r>
        <w:rPr>
          <w:spacing w:val="-5"/>
          <w:sz w:val="20"/>
        </w:rPr>
        <w:t> </w:t>
      </w:r>
      <w:r>
        <w:rPr>
          <w:sz w:val="20"/>
        </w:rPr>
        <w:t>de</w:t>
      </w:r>
      <w:r>
        <w:rPr>
          <w:spacing w:val="-5"/>
          <w:sz w:val="20"/>
        </w:rPr>
        <w:t> </w:t>
      </w:r>
      <w:r>
        <w:rPr>
          <w:sz w:val="20"/>
        </w:rPr>
        <w:t>la</w:t>
      </w:r>
      <w:r>
        <w:rPr>
          <w:spacing w:val="-5"/>
          <w:sz w:val="20"/>
        </w:rPr>
        <w:t> </w:t>
      </w:r>
      <w:r>
        <w:rPr>
          <w:sz w:val="20"/>
        </w:rPr>
        <w:t>Carta,</w:t>
      </w:r>
      <w:r>
        <w:rPr>
          <w:spacing w:val="-3"/>
          <w:sz w:val="20"/>
        </w:rPr>
        <w:t> </w:t>
      </w:r>
      <w:r>
        <w:rPr>
          <w:sz w:val="20"/>
        </w:rPr>
        <w:t>interpretado</w:t>
      </w:r>
      <w:r>
        <w:rPr>
          <w:spacing w:val="-7"/>
          <w:sz w:val="20"/>
        </w:rPr>
        <w:t> </w:t>
      </w:r>
      <w:r>
        <w:rPr>
          <w:sz w:val="20"/>
        </w:rPr>
        <w:t>a</w:t>
      </w:r>
      <w:r>
        <w:rPr>
          <w:spacing w:val="-3"/>
          <w:sz w:val="20"/>
        </w:rPr>
        <w:t> </w:t>
      </w:r>
      <w:r>
        <w:rPr>
          <w:sz w:val="20"/>
        </w:rPr>
        <w:t>la</w:t>
      </w:r>
      <w:r>
        <w:rPr>
          <w:spacing w:val="-5"/>
          <w:sz w:val="20"/>
        </w:rPr>
        <w:t> </w:t>
      </w:r>
      <w:r>
        <w:rPr>
          <w:sz w:val="20"/>
        </w:rPr>
        <w:t>luz</w:t>
      </w:r>
      <w:r>
        <w:rPr>
          <w:spacing w:val="-5"/>
          <w:sz w:val="20"/>
        </w:rPr>
        <w:t> </w:t>
      </w:r>
      <w:r>
        <w:rPr>
          <w:sz w:val="20"/>
        </w:rPr>
        <w:t>de</w:t>
      </w:r>
      <w:r>
        <w:rPr>
          <w:spacing w:val="-7"/>
          <w:sz w:val="20"/>
        </w:rPr>
        <w:t> </w:t>
      </w:r>
      <w:r>
        <w:rPr>
          <w:sz w:val="20"/>
        </w:rPr>
        <w:t>la</w:t>
      </w:r>
      <w:r>
        <w:rPr>
          <w:spacing w:val="-3"/>
          <w:sz w:val="20"/>
        </w:rPr>
        <w:t> </w:t>
      </w:r>
      <w:r>
        <w:rPr>
          <w:sz w:val="20"/>
        </w:rPr>
        <w:t>Declaración</w:t>
      </w:r>
      <w:r>
        <w:rPr>
          <w:spacing w:val="-5"/>
          <w:sz w:val="20"/>
        </w:rPr>
        <w:t> </w:t>
      </w:r>
      <w:r>
        <w:rPr>
          <w:sz w:val="20"/>
        </w:rPr>
        <w:t>Americana,</w:t>
      </w:r>
      <w:r>
        <w:rPr>
          <w:spacing w:val="-4"/>
          <w:sz w:val="20"/>
        </w:rPr>
        <w:t> </w:t>
      </w:r>
      <w:r>
        <w:rPr>
          <w:sz w:val="20"/>
        </w:rPr>
        <w:t>y considerando los demás instrumentos citados, se pueden derivar elementos constitutivos del derecho a la alimentación adecuada. Esta Corte considera que el derecho protege, esencialmente, el acceso de las personas a alimentos que permitan una nutrición adecuada y apta para la preservación de la salud. En ese sentido,  </w:t>
      </w:r>
      <w:r>
        <w:rPr>
          <w:spacing w:val="27"/>
          <w:sz w:val="20"/>
        </w:rPr>
        <w:t> </w:t>
      </w:r>
      <w:r>
        <w:rPr>
          <w:sz w:val="20"/>
        </w:rPr>
        <w:t>como</w:t>
      </w:r>
    </w:p>
    <w:p>
      <w:pPr>
        <w:pStyle w:val="BodyText"/>
        <w:spacing w:before="4"/>
        <w:rPr>
          <w:sz w:val="17"/>
        </w:rPr>
      </w:pPr>
      <w:r>
        <w:rPr/>
        <w:pict>
          <v:line style="position:absolute;mso-position-horizontal-relative:page;mso-position-vertical-relative:paragraph;z-index:2680;mso-wrap-distance-left:0;mso-wrap-distance-right:0" from="85.103996pt,12.873309pt" to="229.123996pt,12.873309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206</w:t>
        <w:tab/>
      </w:r>
      <w:r>
        <w:rPr>
          <w:sz w:val="16"/>
        </w:rPr>
        <w:t>Proclamada por la Asamblea General de las Naciones Unidas en París, el 10 de diciembre de</w:t>
      </w:r>
      <w:r>
        <w:rPr>
          <w:spacing w:val="-37"/>
          <w:sz w:val="16"/>
        </w:rPr>
        <w:t> </w:t>
      </w:r>
      <w:r>
        <w:rPr>
          <w:sz w:val="16"/>
        </w:rPr>
        <w:t>1948</w:t>
      </w:r>
      <w:r>
        <w:rPr>
          <w:spacing w:val="-2"/>
          <w:sz w:val="16"/>
        </w:rPr>
        <w:t> </w:t>
      </w:r>
      <w:r>
        <w:rPr>
          <w:sz w:val="16"/>
        </w:rPr>
        <w:t>en</w:t>
      </w:r>
      <w:r>
        <w:rPr>
          <w:w w:val="100"/>
          <w:sz w:val="16"/>
        </w:rPr>
        <w:t> </w:t>
      </w:r>
      <w:r>
        <w:rPr>
          <w:sz w:val="16"/>
        </w:rPr>
        <w:t>su Resolución 217 A</w:t>
      </w:r>
      <w:r>
        <w:rPr>
          <w:spacing w:val="-7"/>
          <w:sz w:val="16"/>
        </w:rPr>
        <w:t> </w:t>
      </w:r>
      <w:r>
        <w:rPr>
          <w:sz w:val="16"/>
        </w:rPr>
        <w:t>(III)</w:t>
      </w:r>
      <w:r>
        <w:rPr>
          <w:color w:val="454545"/>
          <w:sz w:val="16"/>
        </w:rPr>
        <w:t>.</w:t>
      </w:r>
    </w:p>
    <w:p>
      <w:pPr>
        <w:pStyle w:val="BodyText"/>
        <w:spacing w:before="11"/>
        <w:rPr>
          <w:sz w:val="15"/>
        </w:rPr>
      </w:pPr>
    </w:p>
    <w:p>
      <w:pPr>
        <w:tabs>
          <w:tab w:pos="829" w:val="left" w:leader="none"/>
        </w:tabs>
        <w:spacing w:before="0"/>
        <w:ind w:left="122" w:right="117" w:firstLine="0"/>
        <w:jc w:val="both"/>
        <w:rPr>
          <w:sz w:val="16"/>
        </w:rPr>
      </w:pPr>
      <w:r>
        <w:rPr>
          <w:position w:val="6"/>
          <w:sz w:val="10"/>
        </w:rPr>
        <w:t>207</w:t>
        <w:tab/>
      </w:r>
      <w:r>
        <w:rPr>
          <w:sz w:val="16"/>
        </w:rPr>
        <w:t>El PIDESC entró en vigor el 3 de enero de 1976. Argentina firmó el tratado el 19 de febrero</w:t>
      </w:r>
      <w:r>
        <w:rPr>
          <w:spacing w:val="-6"/>
          <w:sz w:val="16"/>
        </w:rPr>
        <w:t> </w:t>
      </w:r>
      <w:r>
        <w:rPr>
          <w:sz w:val="16"/>
        </w:rPr>
        <w:t>de</w:t>
      </w:r>
      <w:r>
        <w:rPr>
          <w:spacing w:val="-3"/>
          <w:sz w:val="16"/>
        </w:rPr>
        <w:t> </w:t>
      </w:r>
      <w:r>
        <w:rPr>
          <w:sz w:val="16"/>
        </w:rPr>
        <w:t>1968</w:t>
      </w:r>
      <w:r>
        <w:rPr>
          <w:w w:val="100"/>
          <w:sz w:val="16"/>
        </w:rPr>
        <w:t> </w:t>
      </w:r>
      <w:r>
        <w:rPr>
          <w:sz w:val="16"/>
        </w:rPr>
        <w:t>y lo ratificó el 8 de agosto de 1986. El instrumento, desde la vigencia de la reforma constitucional nacional aprobada en 1994 (</w:t>
      </w:r>
      <w:r>
        <w:rPr>
          <w:i/>
          <w:sz w:val="16"/>
        </w:rPr>
        <w:t>supra </w:t>
      </w:r>
      <w:r>
        <w:rPr>
          <w:sz w:val="16"/>
        </w:rPr>
        <w:t>párr. 54), goza en Argentina de jerarquía constitucional (</w:t>
      </w:r>
      <w:r>
        <w:rPr>
          <w:i/>
          <w:sz w:val="16"/>
        </w:rPr>
        <w:t>infra</w:t>
      </w:r>
      <w:r>
        <w:rPr>
          <w:sz w:val="16"/>
        </w:rPr>
        <w:t>, párr.</w:t>
      </w:r>
      <w:r>
        <w:rPr>
          <w:spacing w:val="-33"/>
          <w:sz w:val="16"/>
        </w:rPr>
        <w:t> </w:t>
      </w:r>
      <w:r>
        <w:rPr>
          <w:sz w:val="16"/>
        </w:rPr>
        <w:t>214).</w:t>
      </w:r>
    </w:p>
    <w:p>
      <w:pPr>
        <w:pStyle w:val="BodyText"/>
        <w:spacing w:before="11"/>
        <w:rPr>
          <w:sz w:val="15"/>
        </w:rPr>
      </w:pPr>
    </w:p>
    <w:p>
      <w:pPr>
        <w:tabs>
          <w:tab w:pos="829" w:val="left" w:leader="none"/>
        </w:tabs>
        <w:spacing w:before="0"/>
        <w:ind w:left="122" w:right="117" w:firstLine="0"/>
        <w:jc w:val="both"/>
        <w:rPr>
          <w:sz w:val="16"/>
        </w:rPr>
      </w:pPr>
      <w:r>
        <w:rPr>
          <w:position w:val="6"/>
          <w:sz w:val="10"/>
        </w:rPr>
        <w:t>208</w:t>
        <w:tab/>
      </w:r>
      <w:r>
        <w:rPr>
          <w:sz w:val="16"/>
        </w:rPr>
        <w:t>El artículo 41, denominado “Derecho a la salud”, dice: “La salud es un derecho inherente a la</w:t>
      </w:r>
      <w:r>
        <w:rPr>
          <w:spacing w:val="40"/>
          <w:sz w:val="16"/>
        </w:rPr>
        <w:t> </w:t>
      </w:r>
      <w:r>
        <w:rPr>
          <w:sz w:val="16"/>
        </w:rPr>
        <w:t>vida</w:t>
      </w:r>
      <w:r>
        <w:rPr>
          <w:spacing w:val="-3"/>
          <w:sz w:val="16"/>
        </w:rPr>
        <w:t> </w:t>
      </w:r>
      <w:r>
        <w:rPr>
          <w:sz w:val="16"/>
        </w:rPr>
        <w:t>y</w:t>
      </w:r>
      <w:r>
        <w:rPr>
          <w:w w:val="100"/>
          <w:sz w:val="16"/>
        </w:rPr>
        <w:t> </w:t>
      </w:r>
      <w:r>
        <w:rPr>
          <w:sz w:val="16"/>
        </w:rPr>
        <w:t>su preservación es un deber de cada persona. Es un bien social. Compete al Estado el cuidado de la salud física, mental y social de las personas, y asegurar a todos la igualdad de prestaciones ante idénticas necesidades”. El artículo 33 establece “[e]l Estado asegura la protección de la infancia, cubriendo sus necesidades […] de […] alimentación”. El artículo 35 “reconoce a la ancianidad el derecho a una existencia digna”, y establece que “[l]a Provincia procura a los habitantes de la tercera edad: […l]a</w:t>
      </w:r>
      <w:r>
        <w:rPr>
          <w:spacing w:val="-27"/>
          <w:sz w:val="16"/>
        </w:rPr>
        <w:t> </w:t>
      </w:r>
      <w:r>
        <w:rPr>
          <w:sz w:val="16"/>
        </w:rPr>
        <w:t>alimentación”.</w:t>
      </w:r>
    </w:p>
    <w:p>
      <w:pPr>
        <w:pStyle w:val="BodyText"/>
        <w:rPr>
          <w:sz w:val="16"/>
        </w:rPr>
      </w:pPr>
    </w:p>
    <w:p>
      <w:pPr>
        <w:tabs>
          <w:tab w:pos="829" w:val="left" w:leader="none"/>
        </w:tabs>
        <w:spacing w:line="240" w:lineRule="auto" w:before="0"/>
        <w:ind w:left="122" w:right="115" w:firstLine="0"/>
        <w:jc w:val="both"/>
        <w:rPr>
          <w:sz w:val="16"/>
        </w:rPr>
      </w:pPr>
      <w:r>
        <w:rPr>
          <w:position w:val="6"/>
          <w:sz w:val="10"/>
        </w:rPr>
        <w:t>209</w:t>
        <w:tab/>
      </w:r>
      <w:r>
        <w:rPr>
          <w:sz w:val="16"/>
        </w:rPr>
        <w:t>Grupo</w:t>
      </w:r>
      <w:r>
        <w:rPr>
          <w:spacing w:val="31"/>
          <w:sz w:val="16"/>
        </w:rPr>
        <w:t> </w:t>
      </w:r>
      <w:r>
        <w:rPr>
          <w:sz w:val="16"/>
        </w:rPr>
        <w:t>sobre</w:t>
      </w:r>
      <w:r>
        <w:rPr>
          <w:spacing w:val="31"/>
          <w:sz w:val="16"/>
        </w:rPr>
        <w:t> </w:t>
      </w:r>
      <w:r>
        <w:rPr>
          <w:sz w:val="16"/>
        </w:rPr>
        <w:t>el</w:t>
      </w:r>
      <w:r>
        <w:rPr>
          <w:spacing w:val="30"/>
          <w:sz w:val="16"/>
        </w:rPr>
        <w:t> </w:t>
      </w:r>
      <w:r>
        <w:rPr>
          <w:sz w:val="16"/>
        </w:rPr>
        <w:t>PSS.</w:t>
      </w:r>
      <w:r>
        <w:rPr>
          <w:spacing w:val="32"/>
          <w:sz w:val="16"/>
        </w:rPr>
        <w:t> </w:t>
      </w:r>
      <w:r>
        <w:rPr>
          <w:i/>
          <w:sz w:val="16"/>
        </w:rPr>
        <w:t>Indicadores</w:t>
      </w:r>
      <w:r>
        <w:rPr>
          <w:i/>
          <w:spacing w:val="31"/>
          <w:sz w:val="16"/>
        </w:rPr>
        <w:t> </w:t>
      </w:r>
      <w:r>
        <w:rPr>
          <w:i/>
          <w:sz w:val="16"/>
        </w:rPr>
        <w:t>de</w:t>
      </w:r>
      <w:r>
        <w:rPr>
          <w:i/>
          <w:spacing w:val="31"/>
          <w:sz w:val="16"/>
        </w:rPr>
        <w:t> </w:t>
      </w:r>
      <w:r>
        <w:rPr>
          <w:i/>
          <w:sz w:val="16"/>
        </w:rPr>
        <w:t>progreso</w:t>
      </w:r>
      <w:r>
        <w:rPr>
          <w:i/>
          <w:spacing w:val="29"/>
          <w:sz w:val="16"/>
        </w:rPr>
        <w:t> </w:t>
      </w:r>
      <w:r>
        <w:rPr>
          <w:i/>
          <w:sz w:val="16"/>
        </w:rPr>
        <w:t>para</w:t>
      </w:r>
      <w:r>
        <w:rPr>
          <w:i/>
          <w:spacing w:val="30"/>
          <w:sz w:val="16"/>
        </w:rPr>
        <w:t> </w:t>
      </w:r>
      <w:r>
        <w:rPr>
          <w:i/>
          <w:sz w:val="16"/>
        </w:rPr>
        <w:t>la</w:t>
      </w:r>
      <w:r>
        <w:rPr>
          <w:i/>
          <w:spacing w:val="32"/>
          <w:sz w:val="16"/>
        </w:rPr>
        <w:t> </w:t>
      </w:r>
      <w:r>
        <w:rPr>
          <w:i/>
          <w:sz w:val="16"/>
        </w:rPr>
        <w:t>medición</w:t>
      </w:r>
      <w:r>
        <w:rPr>
          <w:i/>
          <w:spacing w:val="30"/>
          <w:sz w:val="16"/>
        </w:rPr>
        <w:t> </w:t>
      </w:r>
      <w:r>
        <w:rPr>
          <w:i/>
          <w:sz w:val="16"/>
        </w:rPr>
        <w:t>de</w:t>
      </w:r>
      <w:r>
        <w:rPr>
          <w:i/>
          <w:spacing w:val="31"/>
          <w:sz w:val="16"/>
        </w:rPr>
        <w:t> </w:t>
      </w:r>
      <w:r>
        <w:rPr>
          <w:i/>
          <w:sz w:val="16"/>
        </w:rPr>
        <w:t>derechos</w:t>
      </w:r>
      <w:r>
        <w:rPr>
          <w:i/>
          <w:spacing w:val="31"/>
          <w:sz w:val="16"/>
        </w:rPr>
        <w:t> </w:t>
      </w:r>
      <w:r>
        <w:rPr>
          <w:i/>
          <w:sz w:val="16"/>
        </w:rPr>
        <w:t>contemplados</w:t>
      </w:r>
      <w:r>
        <w:rPr>
          <w:i/>
          <w:spacing w:val="31"/>
          <w:sz w:val="16"/>
        </w:rPr>
        <w:t> </w:t>
      </w:r>
      <w:r>
        <w:rPr>
          <w:i/>
          <w:sz w:val="16"/>
        </w:rPr>
        <w:t>en</w:t>
      </w:r>
      <w:r>
        <w:rPr>
          <w:i/>
          <w:spacing w:val="30"/>
          <w:sz w:val="16"/>
        </w:rPr>
        <w:t> </w:t>
      </w:r>
      <w:r>
        <w:rPr>
          <w:i/>
          <w:sz w:val="16"/>
        </w:rPr>
        <w:t>el</w:t>
      </w:r>
      <w:r>
        <w:rPr>
          <w:i/>
          <w:w w:val="100"/>
          <w:sz w:val="16"/>
        </w:rPr>
        <w:t> </w:t>
      </w:r>
      <w:r>
        <w:rPr>
          <w:i/>
          <w:sz w:val="16"/>
        </w:rPr>
        <w:t>Protocolo de San Salvador. </w:t>
      </w:r>
      <w:r>
        <w:rPr>
          <w:sz w:val="16"/>
        </w:rPr>
        <w:t>5 de noviembre de 2013. Doc. OEA/Ser.L/XXV.2.1 GT/PSS/doc.9/13. Segundo agrupamiento de Derechos, párr. 18. En la nota a pie de página 7, correspondiente a ese párrafo, se indicó que “Bolivia (Art. 16), Brasil (Art. 10), Ecuador (Art. 13), Guatemala (99), Guyana (Art. 40), Haití (Art. 22) y Nicaragua</w:t>
      </w:r>
      <w:r>
        <w:rPr>
          <w:spacing w:val="-10"/>
          <w:sz w:val="16"/>
        </w:rPr>
        <w:t> </w:t>
      </w:r>
      <w:r>
        <w:rPr>
          <w:sz w:val="16"/>
        </w:rPr>
        <w:t>(Art.</w:t>
      </w:r>
      <w:r>
        <w:rPr>
          <w:spacing w:val="-11"/>
          <w:sz w:val="16"/>
        </w:rPr>
        <w:t> </w:t>
      </w:r>
      <w:r>
        <w:rPr>
          <w:sz w:val="16"/>
        </w:rPr>
        <w:t>63)</w:t>
      </w:r>
      <w:r>
        <w:rPr>
          <w:spacing w:val="-11"/>
          <w:sz w:val="16"/>
        </w:rPr>
        <w:t> </w:t>
      </w:r>
      <w:r>
        <w:rPr>
          <w:sz w:val="16"/>
        </w:rPr>
        <w:t>reconocen</w:t>
      </w:r>
      <w:r>
        <w:rPr>
          <w:spacing w:val="-10"/>
          <w:sz w:val="16"/>
        </w:rPr>
        <w:t> </w:t>
      </w:r>
      <w:r>
        <w:rPr>
          <w:sz w:val="16"/>
        </w:rPr>
        <w:t>el</w:t>
      </w:r>
      <w:r>
        <w:rPr>
          <w:spacing w:val="-11"/>
          <w:sz w:val="16"/>
        </w:rPr>
        <w:t> </w:t>
      </w:r>
      <w:r>
        <w:rPr>
          <w:sz w:val="16"/>
        </w:rPr>
        <w:t>derecho</w:t>
      </w:r>
      <w:r>
        <w:rPr>
          <w:spacing w:val="-9"/>
          <w:sz w:val="16"/>
        </w:rPr>
        <w:t> </w:t>
      </w:r>
      <w:r>
        <w:rPr>
          <w:sz w:val="16"/>
        </w:rPr>
        <w:t>a</w:t>
      </w:r>
      <w:r>
        <w:rPr>
          <w:spacing w:val="-10"/>
          <w:sz w:val="16"/>
        </w:rPr>
        <w:t> </w:t>
      </w:r>
      <w:r>
        <w:rPr>
          <w:sz w:val="16"/>
        </w:rPr>
        <w:t>la</w:t>
      </w:r>
      <w:r>
        <w:rPr>
          <w:spacing w:val="-10"/>
          <w:sz w:val="16"/>
        </w:rPr>
        <w:t> </w:t>
      </w:r>
      <w:r>
        <w:rPr>
          <w:sz w:val="16"/>
        </w:rPr>
        <w:t>alimentación</w:t>
      </w:r>
      <w:r>
        <w:rPr>
          <w:spacing w:val="-10"/>
          <w:sz w:val="16"/>
        </w:rPr>
        <w:t> </w:t>
      </w:r>
      <w:r>
        <w:rPr>
          <w:sz w:val="16"/>
        </w:rPr>
        <w:t>para</w:t>
      </w:r>
      <w:r>
        <w:rPr>
          <w:spacing w:val="-8"/>
          <w:sz w:val="16"/>
        </w:rPr>
        <w:t> </w:t>
      </w:r>
      <w:r>
        <w:rPr>
          <w:sz w:val="16"/>
        </w:rPr>
        <w:t>todos</w:t>
      </w:r>
      <w:r>
        <w:rPr>
          <w:spacing w:val="-10"/>
          <w:sz w:val="16"/>
        </w:rPr>
        <w:t> </w:t>
      </w:r>
      <w:r>
        <w:rPr>
          <w:sz w:val="16"/>
        </w:rPr>
        <w:t>y</w:t>
      </w:r>
      <w:r>
        <w:rPr>
          <w:spacing w:val="-9"/>
          <w:sz w:val="16"/>
        </w:rPr>
        <w:t> </w:t>
      </w:r>
      <w:r>
        <w:rPr>
          <w:sz w:val="16"/>
        </w:rPr>
        <w:t>todas</w:t>
      </w:r>
      <w:r>
        <w:rPr>
          <w:spacing w:val="-12"/>
          <w:sz w:val="16"/>
        </w:rPr>
        <w:t> </w:t>
      </w:r>
      <w:r>
        <w:rPr>
          <w:sz w:val="16"/>
        </w:rPr>
        <w:t>en</w:t>
      </w:r>
      <w:r>
        <w:rPr>
          <w:spacing w:val="-10"/>
          <w:sz w:val="16"/>
        </w:rPr>
        <w:t> </w:t>
      </w:r>
      <w:r>
        <w:rPr>
          <w:sz w:val="16"/>
        </w:rPr>
        <w:t>sus</w:t>
      </w:r>
      <w:r>
        <w:rPr>
          <w:spacing w:val="-10"/>
          <w:sz w:val="16"/>
        </w:rPr>
        <w:t> </w:t>
      </w:r>
      <w:r>
        <w:rPr>
          <w:sz w:val="16"/>
        </w:rPr>
        <w:t>constituciones;</w:t>
      </w:r>
      <w:r>
        <w:rPr>
          <w:spacing w:val="-8"/>
          <w:sz w:val="16"/>
        </w:rPr>
        <w:t> </w:t>
      </w:r>
      <w:r>
        <w:rPr>
          <w:sz w:val="16"/>
        </w:rPr>
        <w:t>Colombia (Art.</w:t>
      </w:r>
      <w:r>
        <w:rPr>
          <w:spacing w:val="-6"/>
          <w:sz w:val="16"/>
        </w:rPr>
        <w:t> </w:t>
      </w:r>
      <w:r>
        <w:rPr>
          <w:sz w:val="16"/>
        </w:rPr>
        <w:t>44),</w:t>
      </w:r>
      <w:r>
        <w:rPr>
          <w:spacing w:val="-6"/>
          <w:sz w:val="16"/>
        </w:rPr>
        <w:t> </w:t>
      </w:r>
      <w:r>
        <w:rPr>
          <w:sz w:val="16"/>
        </w:rPr>
        <w:t>Cuba</w:t>
      </w:r>
      <w:r>
        <w:rPr>
          <w:spacing w:val="-6"/>
          <w:sz w:val="16"/>
        </w:rPr>
        <w:t> </w:t>
      </w:r>
      <w:r>
        <w:rPr>
          <w:sz w:val="16"/>
        </w:rPr>
        <w:t>(Art.</w:t>
      </w:r>
      <w:r>
        <w:rPr>
          <w:spacing w:val="-6"/>
          <w:sz w:val="16"/>
        </w:rPr>
        <w:t> </w:t>
      </w:r>
      <w:r>
        <w:rPr>
          <w:sz w:val="16"/>
        </w:rPr>
        <w:t>9),</w:t>
      </w:r>
      <w:r>
        <w:rPr>
          <w:spacing w:val="-6"/>
          <w:sz w:val="16"/>
        </w:rPr>
        <w:t> </w:t>
      </w:r>
      <w:r>
        <w:rPr>
          <w:sz w:val="16"/>
        </w:rPr>
        <w:t>Honduras</w:t>
      </w:r>
      <w:r>
        <w:rPr>
          <w:spacing w:val="-5"/>
          <w:sz w:val="16"/>
        </w:rPr>
        <w:t> </w:t>
      </w:r>
      <w:r>
        <w:rPr>
          <w:sz w:val="16"/>
        </w:rPr>
        <w:t>(Art.</w:t>
      </w:r>
      <w:r>
        <w:rPr>
          <w:spacing w:val="-8"/>
          <w:sz w:val="16"/>
        </w:rPr>
        <w:t> </w:t>
      </w:r>
      <w:r>
        <w:rPr>
          <w:sz w:val="16"/>
        </w:rPr>
        <w:t>142-146)</w:t>
      </w:r>
      <w:r>
        <w:rPr>
          <w:spacing w:val="-6"/>
          <w:sz w:val="16"/>
        </w:rPr>
        <w:t> </w:t>
      </w:r>
      <w:r>
        <w:rPr>
          <w:sz w:val="16"/>
        </w:rPr>
        <w:t>reconocen</w:t>
      </w:r>
      <w:r>
        <w:rPr>
          <w:spacing w:val="-8"/>
          <w:sz w:val="16"/>
        </w:rPr>
        <w:t> </w:t>
      </w:r>
      <w:r>
        <w:rPr>
          <w:sz w:val="16"/>
        </w:rPr>
        <w:t>el</w:t>
      </w:r>
      <w:r>
        <w:rPr>
          <w:spacing w:val="-6"/>
          <w:sz w:val="16"/>
        </w:rPr>
        <w:t> </w:t>
      </w:r>
      <w:r>
        <w:rPr>
          <w:sz w:val="16"/>
        </w:rPr>
        <w:t>derecho</w:t>
      </w:r>
      <w:r>
        <w:rPr>
          <w:spacing w:val="-4"/>
          <w:sz w:val="16"/>
        </w:rPr>
        <w:t> </w:t>
      </w:r>
      <w:r>
        <w:rPr>
          <w:sz w:val="16"/>
        </w:rPr>
        <w:t>a</w:t>
      </w:r>
      <w:r>
        <w:rPr>
          <w:spacing w:val="-6"/>
          <w:sz w:val="16"/>
        </w:rPr>
        <w:t> </w:t>
      </w:r>
      <w:r>
        <w:rPr>
          <w:sz w:val="16"/>
        </w:rPr>
        <w:t>la</w:t>
      </w:r>
      <w:r>
        <w:rPr>
          <w:spacing w:val="-6"/>
          <w:sz w:val="16"/>
        </w:rPr>
        <w:t> </w:t>
      </w:r>
      <w:r>
        <w:rPr>
          <w:sz w:val="16"/>
        </w:rPr>
        <w:t>alimentación</w:t>
      </w:r>
      <w:r>
        <w:rPr>
          <w:spacing w:val="-6"/>
          <w:sz w:val="16"/>
        </w:rPr>
        <w:t> </w:t>
      </w:r>
      <w:r>
        <w:rPr>
          <w:sz w:val="16"/>
        </w:rPr>
        <w:t>de</w:t>
      </w:r>
      <w:r>
        <w:rPr>
          <w:spacing w:val="-5"/>
          <w:sz w:val="16"/>
        </w:rPr>
        <w:t> </w:t>
      </w:r>
      <w:r>
        <w:rPr>
          <w:sz w:val="16"/>
        </w:rPr>
        <w:t>los</w:t>
      </w:r>
      <w:r>
        <w:rPr>
          <w:spacing w:val="-5"/>
          <w:sz w:val="16"/>
        </w:rPr>
        <w:t> </w:t>
      </w:r>
      <w:r>
        <w:rPr>
          <w:sz w:val="16"/>
        </w:rPr>
        <w:t>niños</w:t>
      </w:r>
      <w:r>
        <w:rPr>
          <w:spacing w:val="-7"/>
          <w:sz w:val="16"/>
        </w:rPr>
        <w:t> </w:t>
      </w:r>
      <w:r>
        <w:rPr>
          <w:sz w:val="16"/>
        </w:rPr>
        <w:t>y</w:t>
      </w:r>
      <w:r>
        <w:rPr>
          <w:spacing w:val="-4"/>
          <w:sz w:val="16"/>
        </w:rPr>
        <w:t> </w:t>
      </w:r>
      <w:r>
        <w:rPr>
          <w:sz w:val="16"/>
        </w:rPr>
        <w:t>niñas, Surinam (Art. 24) reconoce el derecho a la alimentación en el contexto del derecho al trabajo. Argentina, El Salvador y Costa Rica reconocen implícitamente el derecho a la alimentación en sus constituciones al haber elevado a rango constitucional o supraconstitucional el Pacto Internacional de Derechos Económicos, Sociales y</w:t>
      </w:r>
      <w:r>
        <w:rPr>
          <w:spacing w:val="-3"/>
          <w:sz w:val="16"/>
        </w:rPr>
        <w:t> </w:t>
      </w:r>
      <w:r>
        <w:rPr>
          <w:sz w:val="16"/>
        </w:rPr>
        <w:t>Culturales”.</w:t>
      </w:r>
    </w:p>
    <w:p>
      <w:pPr>
        <w:spacing w:after="0" w:line="240" w:lineRule="auto"/>
        <w:jc w:val="both"/>
        <w:rPr>
          <w:sz w:val="16"/>
        </w:rPr>
        <w:sectPr>
          <w:pgSz w:w="12240" w:h="15840"/>
          <w:pgMar w:header="0" w:footer="1000" w:top="1340" w:bottom="1200" w:left="1580" w:right="1580"/>
        </w:sectPr>
      </w:pPr>
    </w:p>
    <w:p>
      <w:pPr>
        <w:pStyle w:val="BodyText"/>
        <w:spacing w:before="76"/>
        <w:ind w:left="122" w:right="130"/>
        <w:jc w:val="both"/>
      </w:pPr>
      <w:r>
        <w:rPr/>
        <w:t>ha señalado el Comité DESC, el derecho se ejerce cuando las personas tienen “acceso físico y económico, en todo momento, a la alimentación adecuada o a medios para obtenerla[,</w:t>
      </w:r>
      <w:r>
        <w:rPr>
          <w:spacing w:val="-15"/>
        </w:rPr>
        <w:t> </w:t>
      </w:r>
      <w:r>
        <w:rPr/>
        <w:t>sin</w:t>
      </w:r>
      <w:r>
        <w:rPr>
          <w:spacing w:val="-16"/>
        </w:rPr>
        <w:t> </w:t>
      </w:r>
      <w:r>
        <w:rPr/>
        <w:t>que]</w:t>
      </w:r>
      <w:r>
        <w:rPr>
          <w:spacing w:val="-17"/>
        </w:rPr>
        <w:t> </w:t>
      </w:r>
      <w:r>
        <w:rPr/>
        <w:t>deb[a]</w:t>
      </w:r>
      <w:r>
        <w:rPr>
          <w:spacing w:val="-16"/>
        </w:rPr>
        <w:t> </w:t>
      </w:r>
      <w:r>
        <w:rPr/>
        <w:t>interpretarse</w:t>
      </w:r>
      <w:r>
        <w:rPr>
          <w:spacing w:val="-17"/>
        </w:rPr>
        <w:t> </w:t>
      </w:r>
      <w:r>
        <w:rPr/>
        <w:t>[…]en</w:t>
      </w:r>
      <w:r>
        <w:rPr>
          <w:spacing w:val="-16"/>
        </w:rPr>
        <w:t> </w:t>
      </w:r>
      <w:r>
        <w:rPr/>
        <w:t>forma</w:t>
      </w:r>
      <w:r>
        <w:rPr>
          <w:spacing w:val="-14"/>
        </w:rPr>
        <w:t> </w:t>
      </w:r>
      <w:r>
        <w:rPr/>
        <w:t>estrecha</w:t>
      </w:r>
      <w:r>
        <w:rPr>
          <w:spacing w:val="-14"/>
        </w:rPr>
        <w:t> </w:t>
      </w:r>
      <w:r>
        <w:rPr/>
        <w:t>o</w:t>
      </w:r>
      <w:r>
        <w:rPr>
          <w:spacing w:val="-18"/>
        </w:rPr>
        <w:t> </w:t>
      </w:r>
      <w:r>
        <w:rPr/>
        <w:t>restrictiva</w:t>
      </w:r>
      <w:r>
        <w:rPr>
          <w:spacing w:val="-17"/>
        </w:rPr>
        <w:t> </w:t>
      </w:r>
      <w:r>
        <w:rPr/>
        <w:t>asimilándolo a un conjunto de calorías, proteínas y otros elementos nutritivos</w:t>
      </w:r>
      <w:r>
        <w:rPr>
          <w:spacing w:val="-24"/>
        </w:rPr>
        <w:t> </w:t>
      </w:r>
      <w:r>
        <w:rPr/>
        <w:t>concretos”</w:t>
      </w:r>
      <w:r>
        <w:rPr>
          <w:position w:val="7"/>
          <w:sz w:val="13"/>
        </w:rPr>
        <w:t>210</w:t>
      </w:r>
      <w:r>
        <w:rPr/>
        <w:t>.</w:t>
      </w:r>
    </w:p>
    <w:p>
      <w:pPr>
        <w:pStyle w:val="BodyText"/>
      </w:pPr>
    </w:p>
    <w:p>
      <w:pPr>
        <w:pStyle w:val="ListParagraph"/>
        <w:numPr>
          <w:ilvl w:val="0"/>
          <w:numId w:val="31"/>
        </w:numPr>
        <w:tabs>
          <w:tab w:pos="830" w:val="left" w:leader="none"/>
        </w:tabs>
        <w:spacing w:line="240" w:lineRule="auto" w:before="0" w:after="0"/>
        <w:ind w:left="122" w:right="124" w:firstLine="0"/>
        <w:jc w:val="both"/>
        <w:rPr>
          <w:sz w:val="20"/>
        </w:rPr>
      </w:pPr>
      <w:r>
        <w:rPr>
          <w:sz w:val="20"/>
        </w:rPr>
        <w:t>Si bien el derecho a la alimentación está ampliamente reconocido en el </w:t>
      </w:r>
      <w:r>
        <w:rPr>
          <w:i/>
          <w:sz w:val="20"/>
        </w:rPr>
        <w:t>corpus </w:t>
      </w:r>
      <w:r>
        <w:rPr>
          <w:i/>
          <w:sz w:val="20"/>
        </w:rPr>
        <w:t>iuris </w:t>
      </w:r>
      <w:r>
        <w:rPr>
          <w:sz w:val="20"/>
        </w:rPr>
        <w:t>internacional</w:t>
      </w:r>
      <w:r>
        <w:rPr>
          <w:position w:val="7"/>
          <w:sz w:val="13"/>
        </w:rPr>
        <w:t>211</w:t>
      </w:r>
      <w:r>
        <w:rPr>
          <w:sz w:val="20"/>
        </w:rPr>
        <w:t>, el Comité DESC, con base en el PIDESC, ha desarrollado con claridad</w:t>
      </w:r>
      <w:r>
        <w:rPr>
          <w:spacing w:val="-13"/>
          <w:sz w:val="20"/>
        </w:rPr>
        <w:t> </w:t>
      </w:r>
      <w:r>
        <w:rPr>
          <w:sz w:val="20"/>
        </w:rPr>
        <w:t>el</w:t>
      </w:r>
      <w:r>
        <w:rPr>
          <w:spacing w:val="-14"/>
          <w:sz w:val="20"/>
        </w:rPr>
        <w:t> </w:t>
      </w:r>
      <w:r>
        <w:rPr>
          <w:sz w:val="20"/>
        </w:rPr>
        <w:t>contenido</w:t>
      </w:r>
      <w:r>
        <w:rPr>
          <w:spacing w:val="-15"/>
          <w:sz w:val="20"/>
        </w:rPr>
        <w:t> </w:t>
      </w:r>
      <w:r>
        <w:rPr>
          <w:sz w:val="20"/>
        </w:rPr>
        <w:t>del</w:t>
      </w:r>
      <w:r>
        <w:rPr>
          <w:spacing w:val="-14"/>
          <w:sz w:val="20"/>
        </w:rPr>
        <w:t> </w:t>
      </w:r>
      <w:r>
        <w:rPr>
          <w:sz w:val="20"/>
        </w:rPr>
        <w:t>derecho</w:t>
      </w:r>
      <w:r>
        <w:rPr>
          <w:spacing w:val="-14"/>
          <w:sz w:val="20"/>
        </w:rPr>
        <w:t> </w:t>
      </w:r>
      <w:r>
        <w:rPr>
          <w:sz w:val="20"/>
        </w:rPr>
        <w:t>a</w:t>
      </w:r>
      <w:r>
        <w:rPr>
          <w:spacing w:val="-14"/>
          <w:sz w:val="20"/>
        </w:rPr>
        <w:t> </w:t>
      </w:r>
      <w:r>
        <w:rPr>
          <w:sz w:val="20"/>
        </w:rPr>
        <w:t>la</w:t>
      </w:r>
      <w:r>
        <w:rPr>
          <w:spacing w:val="-10"/>
          <w:sz w:val="20"/>
        </w:rPr>
        <w:t> </w:t>
      </w:r>
      <w:r>
        <w:rPr>
          <w:sz w:val="20"/>
        </w:rPr>
        <w:t>alimentación.</w:t>
      </w:r>
      <w:r>
        <w:rPr>
          <w:spacing w:val="-14"/>
          <w:sz w:val="20"/>
        </w:rPr>
        <w:t> </w:t>
      </w:r>
      <w:r>
        <w:rPr>
          <w:sz w:val="20"/>
        </w:rPr>
        <w:t>Tomar</w:t>
      </w:r>
      <w:r>
        <w:rPr>
          <w:spacing w:val="-15"/>
          <w:sz w:val="20"/>
        </w:rPr>
        <w:t> </w:t>
      </w:r>
      <w:r>
        <w:rPr>
          <w:sz w:val="20"/>
        </w:rPr>
        <w:t>tal</w:t>
      </w:r>
      <w:r>
        <w:rPr>
          <w:spacing w:val="-16"/>
          <w:sz w:val="20"/>
        </w:rPr>
        <w:t> </w:t>
      </w:r>
      <w:r>
        <w:rPr>
          <w:sz w:val="20"/>
        </w:rPr>
        <w:t>desarrollo</w:t>
      </w:r>
      <w:r>
        <w:rPr>
          <w:spacing w:val="-10"/>
          <w:sz w:val="20"/>
        </w:rPr>
        <w:t> </w:t>
      </w:r>
      <w:r>
        <w:rPr>
          <w:sz w:val="20"/>
        </w:rPr>
        <w:t>como</w:t>
      </w:r>
      <w:r>
        <w:rPr>
          <w:spacing w:val="-15"/>
          <w:sz w:val="20"/>
        </w:rPr>
        <w:t> </w:t>
      </w:r>
      <w:r>
        <w:rPr>
          <w:sz w:val="20"/>
        </w:rPr>
        <w:t>referencia facilita la interpretación de la Corte del contenido del</w:t>
      </w:r>
      <w:r>
        <w:rPr>
          <w:spacing w:val="-24"/>
          <w:sz w:val="20"/>
        </w:rPr>
        <w:t> </w:t>
      </w:r>
      <w:r>
        <w:rPr>
          <w:sz w:val="20"/>
        </w:rPr>
        <w:t>derecho</w:t>
      </w:r>
      <w:r>
        <w:rPr>
          <w:position w:val="7"/>
          <w:sz w:val="13"/>
        </w:rPr>
        <w:t>212</w:t>
      </w:r>
      <w:r>
        <w:rPr>
          <w:sz w:val="20"/>
        </w:rPr>
        <w:t>.</w:t>
      </w:r>
    </w:p>
    <w:p>
      <w:pPr>
        <w:pStyle w:val="BodyText"/>
        <w:spacing w:before="10"/>
        <w:rPr>
          <w:sz w:val="19"/>
        </w:rPr>
      </w:pPr>
    </w:p>
    <w:p>
      <w:pPr>
        <w:pStyle w:val="ListParagraph"/>
        <w:numPr>
          <w:ilvl w:val="0"/>
          <w:numId w:val="31"/>
        </w:numPr>
        <w:tabs>
          <w:tab w:pos="830" w:val="left" w:leader="none"/>
        </w:tabs>
        <w:spacing w:line="240" w:lineRule="auto" w:before="0" w:after="0"/>
        <w:ind w:left="122" w:right="121" w:firstLine="0"/>
        <w:jc w:val="both"/>
        <w:rPr>
          <w:sz w:val="20"/>
        </w:rPr>
      </w:pPr>
      <w:r>
        <w:rPr>
          <w:sz w:val="20"/>
        </w:rPr>
        <w:t>En su </w:t>
      </w:r>
      <w:r>
        <w:rPr>
          <w:i/>
          <w:sz w:val="20"/>
        </w:rPr>
        <w:t>Observación General 12</w:t>
      </w:r>
      <w:r>
        <w:rPr>
          <w:sz w:val="20"/>
        </w:rPr>
        <w:t>, el Comité DESC señaló que el “contenido básico” del</w:t>
      </w:r>
      <w:r>
        <w:rPr>
          <w:spacing w:val="-7"/>
          <w:sz w:val="20"/>
        </w:rPr>
        <w:t> </w:t>
      </w:r>
      <w:r>
        <w:rPr>
          <w:sz w:val="20"/>
        </w:rPr>
        <w:t>derecho</w:t>
      </w:r>
      <w:r>
        <w:rPr>
          <w:spacing w:val="-6"/>
          <w:sz w:val="20"/>
        </w:rPr>
        <w:t> </w:t>
      </w:r>
      <w:r>
        <w:rPr>
          <w:sz w:val="20"/>
        </w:rPr>
        <w:t>a</w:t>
      </w:r>
      <w:r>
        <w:rPr>
          <w:spacing w:val="-8"/>
          <w:sz w:val="20"/>
        </w:rPr>
        <w:t> </w:t>
      </w:r>
      <w:r>
        <w:rPr>
          <w:sz w:val="20"/>
        </w:rPr>
        <w:t>la</w:t>
      </w:r>
      <w:r>
        <w:rPr>
          <w:spacing w:val="-8"/>
          <w:sz w:val="20"/>
        </w:rPr>
        <w:t> </w:t>
      </w:r>
      <w:r>
        <w:rPr>
          <w:sz w:val="20"/>
        </w:rPr>
        <w:t>alimentación</w:t>
      </w:r>
      <w:r>
        <w:rPr>
          <w:spacing w:val="-7"/>
          <w:sz w:val="20"/>
        </w:rPr>
        <w:t> </w:t>
      </w:r>
      <w:r>
        <w:rPr>
          <w:sz w:val="20"/>
        </w:rPr>
        <w:t>comprende</w:t>
      </w:r>
      <w:r>
        <w:rPr>
          <w:spacing w:val="-9"/>
          <w:sz w:val="20"/>
        </w:rPr>
        <w:t> </w:t>
      </w:r>
      <w:r>
        <w:rPr>
          <w:sz w:val="20"/>
        </w:rPr>
        <w:t>“[l]a</w:t>
      </w:r>
      <w:r>
        <w:rPr>
          <w:spacing w:val="-8"/>
          <w:sz w:val="20"/>
        </w:rPr>
        <w:t> </w:t>
      </w:r>
      <w:r>
        <w:rPr>
          <w:i/>
          <w:sz w:val="20"/>
        </w:rPr>
        <w:t>disponibilidad</w:t>
      </w:r>
      <w:r>
        <w:rPr>
          <w:i/>
          <w:spacing w:val="-7"/>
          <w:sz w:val="20"/>
        </w:rPr>
        <w:t> </w:t>
      </w:r>
      <w:r>
        <w:rPr>
          <w:sz w:val="20"/>
        </w:rPr>
        <w:t>de</w:t>
      </w:r>
      <w:r>
        <w:rPr>
          <w:spacing w:val="-9"/>
          <w:sz w:val="20"/>
        </w:rPr>
        <w:t> </w:t>
      </w:r>
      <w:r>
        <w:rPr>
          <w:sz w:val="20"/>
        </w:rPr>
        <w:t>alimentos</w:t>
      </w:r>
      <w:r>
        <w:rPr>
          <w:spacing w:val="-6"/>
          <w:sz w:val="20"/>
        </w:rPr>
        <w:t> </w:t>
      </w:r>
      <w:r>
        <w:rPr>
          <w:sz w:val="20"/>
        </w:rPr>
        <w:t>en</w:t>
      </w:r>
      <w:r>
        <w:rPr>
          <w:spacing w:val="-5"/>
          <w:sz w:val="20"/>
        </w:rPr>
        <w:t> </w:t>
      </w:r>
      <w:r>
        <w:rPr>
          <w:sz w:val="20"/>
        </w:rPr>
        <w:t>cantidad</w:t>
      </w:r>
      <w:r>
        <w:rPr>
          <w:spacing w:val="-7"/>
          <w:sz w:val="20"/>
        </w:rPr>
        <w:t> </w:t>
      </w:r>
      <w:r>
        <w:rPr>
          <w:sz w:val="20"/>
        </w:rPr>
        <w:t>y calidad suficientes para satisfacer las necesidades alimentarias de los individuos, sin sustancias nocivas, y aceptables para una cultura determinada”, y “[l]a </w:t>
      </w:r>
      <w:r>
        <w:rPr>
          <w:i/>
          <w:sz w:val="20"/>
        </w:rPr>
        <w:t>accesibilidad</w:t>
      </w:r>
      <w:r>
        <w:rPr>
          <w:i/>
          <w:spacing w:val="-43"/>
          <w:sz w:val="20"/>
        </w:rPr>
        <w:t> </w:t>
      </w:r>
      <w:r>
        <w:rPr>
          <w:sz w:val="20"/>
        </w:rPr>
        <w:t>de esos alimentos en formas que sean sostenibles y que no dificulten el goce de otros derechos</w:t>
      </w:r>
      <w:r>
        <w:rPr>
          <w:spacing w:val="-9"/>
          <w:sz w:val="20"/>
        </w:rPr>
        <w:t> </w:t>
      </w:r>
      <w:r>
        <w:rPr>
          <w:sz w:val="20"/>
        </w:rPr>
        <w:t>humanos”</w:t>
      </w:r>
      <w:r>
        <w:rPr>
          <w:position w:val="7"/>
          <w:sz w:val="13"/>
        </w:rPr>
        <w:t>213</w:t>
      </w:r>
      <w:r>
        <w:rPr>
          <w:sz w:val="20"/>
        </w:rPr>
        <w:t>.</w:t>
      </w:r>
    </w:p>
    <w:p>
      <w:pPr>
        <w:pStyle w:val="BodyText"/>
        <w:spacing w:before="10"/>
        <w:rPr>
          <w:sz w:val="19"/>
        </w:rPr>
      </w:pPr>
    </w:p>
    <w:p>
      <w:pPr>
        <w:pStyle w:val="ListParagraph"/>
        <w:numPr>
          <w:ilvl w:val="0"/>
          <w:numId w:val="31"/>
        </w:numPr>
        <w:tabs>
          <w:tab w:pos="830" w:val="left" w:leader="none"/>
        </w:tabs>
        <w:spacing w:line="240" w:lineRule="auto" w:before="0" w:after="0"/>
        <w:ind w:left="122" w:right="124" w:firstLine="0"/>
        <w:jc w:val="both"/>
        <w:rPr>
          <w:sz w:val="20"/>
        </w:rPr>
      </w:pPr>
      <w:r>
        <w:rPr>
          <w:sz w:val="20"/>
        </w:rPr>
        <w:t>El Comité destacó que por </w:t>
      </w:r>
      <w:r>
        <w:rPr>
          <w:i/>
          <w:sz w:val="20"/>
        </w:rPr>
        <w:t>disponibilidad </w:t>
      </w:r>
      <w:r>
        <w:rPr>
          <w:sz w:val="20"/>
        </w:rPr>
        <w:t>debe entenderse “las posibilidades que tiene el individuo de alimentarse ya sea directamente, explotando </w:t>
      </w:r>
      <w:r>
        <w:rPr>
          <w:spacing w:val="3"/>
          <w:sz w:val="20"/>
        </w:rPr>
        <w:t>la </w:t>
      </w:r>
      <w:r>
        <w:rPr>
          <w:sz w:val="20"/>
        </w:rPr>
        <w:t>tierra productiva</w:t>
      </w:r>
      <w:r>
        <w:rPr>
          <w:spacing w:val="-45"/>
          <w:sz w:val="20"/>
        </w:rPr>
        <w:t> </w:t>
      </w:r>
      <w:r>
        <w:rPr>
          <w:sz w:val="20"/>
        </w:rPr>
        <w:t>u otras fuentes naturales de alimentos, o mediante sistemas de distribución, elaboración y de comercialización que funcionen adecuadamente y que puedan trasladar los alimentos desde el lugar de producción a donde sea necesario según la demanda”. Explicó también que la </w:t>
      </w:r>
      <w:r>
        <w:rPr>
          <w:i/>
          <w:sz w:val="20"/>
        </w:rPr>
        <w:t>accesibilidad </w:t>
      </w:r>
      <w:r>
        <w:rPr>
          <w:sz w:val="20"/>
        </w:rPr>
        <w:t>“comprende la accesibilidad económica y</w:t>
      </w:r>
      <w:r>
        <w:rPr>
          <w:spacing w:val="-22"/>
          <w:sz w:val="20"/>
        </w:rPr>
        <w:t> </w:t>
      </w:r>
      <w:r>
        <w:rPr>
          <w:sz w:val="20"/>
        </w:rPr>
        <w:t>física”</w:t>
      </w:r>
      <w:r>
        <w:rPr>
          <w:position w:val="7"/>
          <w:sz w:val="13"/>
        </w:rPr>
        <w:t>214</w:t>
      </w:r>
      <w:r>
        <w:rPr>
          <w:sz w:val="20"/>
        </w:rPr>
        <w:t>.</w:t>
      </w:r>
    </w:p>
    <w:p>
      <w:pPr>
        <w:pStyle w:val="BodyText"/>
        <w:spacing w:before="3"/>
        <w:rPr>
          <w:sz w:val="21"/>
        </w:rPr>
      </w:pPr>
      <w:r>
        <w:rPr/>
        <w:pict>
          <v:line style="position:absolute;mso-position-horizontal-relative:page;mso-position-vertical-relative:paragraph;z-index:2704;mso-wrap-distance-left:0;mso-wrap-distance-right:0" from="85.103996pt,15.273397pt" to="229.123996pt,15.273397pt" stroked="true" strokeweight=".72pt" strokecolor="#000000">
            <v:stroke dashstyle="solid"/>
            <w10:wrap type="topAndBottom"/>
          </v:line>
        </w:pict>
      </w:r>
    </w:p>
    <w:p>
      <w:pPr>
        <w:tabs>
          <w:tab w:pos="829" w:val="left" w:leader="none"/>
        </w:tabs>
        <w:spacing w:before="71"/>
        <w:ind w:left="122" w:right="114" w:firstLine="0"/>
        <w:jc w:val="both"/>
        <w:rPr>
          <w:i/>
          <w:sz w:val="16"/>
        </w:rPr>
      </w:pPr>
      <w:r>
        <w:rPr>
          <w:position w:val="6"/>
          <w:sz w:val="10"/>
        </w:rPr>
        <w:t>210</w:t>
        <w:tab/>
      </w:r>
      <w:r>
        <w:rPr>
          <w:sz w:val="16"/>
        </w:rPr>
        <w:t>Comité DESC, </w:t>
      </w:r>
      <w:r>
        <w:rPr>
          <w:i/>
          <w:sz w:val="16"/>
        </w:rPr>
        <w:t>Observación General 12. El derecho a una alimentación adecuada (artículo  </w:t>
      </w:r>
      <w:r>
        <w:rPr>
          <w:i/>
          <w:spacing w:val="31"/>
          <w:sz w:val="16"/>
        </w:rPr>
        <w:t> </w:t>
      </w:r>
      <w:r>
        <w:rPr>
          <w:i/>
          <w:sz w:val="16"/>
        </w:rPr>
        <w:t>11)</w:t>
      </w:r>
      <w:r>
        <w:rPr>
          <w:sz w:val="16"/>
        </w:rPr>
        <w:t>.</w:t>
      </w:r>
      <w:r>
        <w:rPr>
          <w:spacing w:val="12"/>
          <w:sz w:val="16"/>
        </w:rPr>
        <w:t> </w:t>
      </w:r>
      <w:r>
        <w:rPr>
          <w:sz w:val="16"/>
        </w:rPr>
        <w:t>20º</w:t>
      </w:r>
      <w:r>
        <w:rPr>
          <w:w w:val="100"/>
          <w:sz w:val="16"/>
        </w:rPr>
        <w:t> </w:t>
      </w:r>
      <w:r>
        <w:rPr>
          <w:sz w:val="16"/>
        </w:rPr>
        <w:t>periodo de sesiones (1999). Doc. E/C.12/1995/5, párr. 6. En el mismo sentido se expidió el Grupo sobre el PSS</w:t>
      </w:r>
      <w:r>
        <w:rPr>
          <w:spacing w:val="-8"/>
          <w:sz w:val="16"/>
        </w:rPr>
        <w:t> </w:t>
      </w:r>
      <w:r>
        <w:rPr>
          <w:sz w:val="16"/>
        </w:rPr>
        <w:t>(</w:t>
      </w:r>
      <w:r>
        <w:rPr>
          <w:i/>
          <w:sz w:val="16"/>
        </w:rPr>
        <w:t>cfr.</w:t>
      </w:r>
      <w:r>
        <w:rPr>
          <w:i/>
          <w:spacing w:val="-9"/>
          <w:sz w:val="16"/>
        </w:rPr>
        <w:t> </w:t>
      </w:r>
      <w:r>
        <w:rPr>
          <w:i/>
          <w:sz w:val="16"/>
        </w:rPr>
        <w:t>Indicadores</w:t>
      </w:r>
      <w:r>
        <w:rPr>
          <w:i/>
          <w:spacing w:val="-8"/>
          <w:sz w:val="16"/>
        </w:rPr>
        <w:t> </w:t>
      </w:r>
      <w:r>
        <w:rPr>
          <w:i/>
          <w:sz w:val="16"/>
        </w:rPr>
        <w:t>de</w:t>
      </w:r>
      <w:r>
        <w:rPr>
          <w:i/>
          <w:spacing w:val="-8"/>
          <w:sz w:val="16"/>
        </w:rPr>
        <w:t> </w:t>
      </w:r>
      <w:r>
        <w:rPr>
          <w:i/>
          <w:sz w:val="16"/>
        </w:rPr>
        <w:t>progreso</w:t>
      </w:r>
      <w:r>
        <w:rPr>
          <w:i/>
          <w:spacing w:val="-10"/>
          <w:sz w:val="16"/>
        </w:rPr>
        <w:t> </w:t>
      </w:r>
      <w:r>
        <w:rPr>
          <w:i/>
          <w:sz w:val="16"/>
        </w:rPr>
        <w:t>para</w:t>
      </w:r>
      <w:r>
        <w:rPr>
          <w:i/>
          <w:spacing w:val="-9"/>
          <w:sz w:val="16"/>
        </w:rPr>
        <w:t> </w:t>
      </w:r>
      <w:r>
        <w:rPr>
          <w:i/>
          <w:sz w:val="16"/>
        </w:rPr>
        <w:t>la</w:t>
      </w:r>
      <w:r>
        <w:rPr>
          <w:i/>
          <w:spacing w:val="-9"/>
          <w:sz w:val="16"/>
        </w:rPr>
        <w:t> </w:t>
      </w:r>
      <w:r>
        <w:rPr>
          <w:i/>
          <w:sz w:val="16"/>
        </w:rPr>
        <w:t>medición</w:t>
      </w:r>
      <w:r>
        <w:rPr>
          <w:i/>
          <w:spacing w:val="-9"/>
          <w:sz w:val="16"/>
        </w:rPr>
        <w:t> </w:t>
      </w:r>
      <w:r>
        <w:rPr>
          <w:i/>
          <w:sz w:val="16"/>
        </w:rPr>
        <w:t>de</w:t>
      </w:r>
      <w:r>
        <w:rPr>
          <w:i/>
          <w:spacing w:val="-8"/>
          <w:sz w:val="16"/>
        </w:rPr>
        <w:t> </w:t>
      </w:r>
      <w:r>
        <w:rPr>
          <w:i/>
          <w:sz w:val="16"/>
        </w:rPr>
        <w:t>derechos</w:t>
      </w:r>
      <w:r>
        <w:rPr>
          <w:i/>
          <w:spacing w:val="-8"/>
          <w:sz w:val="16"/>
        </w:rPr>
        <w:t> </w:t>
      </w:r>
      <w:r>
        <w:rPr>
          <w:i/>
          <w:sz w:val="16"/>
        </w:rPr>
        <w:t>contemplados</w:t>
      </w:r>
      <w:r>
        <w:rPr>
          <w:i/>
          <w:spacing w:val="-8"/>
          <w:sz w:val="16"/>
        </w:rPr>
        <w:t> </w:t>
      </w:r>
      <w:r>
        <w:rPr>
          <w:i/>
          <w:sz w:val="16"/>
        </w:rPr>
        <w:t>en</w:t>
      </w:r>
      <w:r>
        <w:rPr>
          <w:i/>
          <w:spacing w:val="-9"/>
          <w:sz w:val="16"/>
        </w:rPr>
        <w:t> </w:t>
      </w:r>
      <w:r>
        <w:rPr>
          <w:i/>
          <w:sz w:val="16"/>
        </w:rPr>
        <w:t>el</w:t>
      </w:r>
      <w:r>
        <w:rPr>
          <w:i/>
          <w:spacing w:val="-9"/>
          <w:sz w:val="16"/>
        </w:rPr>
        <w:t> </w:t>
      </w:r>
      <w:r>
        <w:rPr>
          <w:i/>
          <w:sz w:val="16"/>
        </w:rPr>
        <w:t>Protocolo</w:t>
      </w:r>
      <w:r>
        <w:rPr>
          <w:i/>
          <w:spacing w:val="-8"/>
          <w:sz w:val="16"/>
        </w:rPr>
        <w:t> </w:t>
      </w:r>
      <w:r>
        <w:rPr>
          <w:i/>
          <w:sz w:val="16"/>
        </w:rPr>
        <w:t>de</w:t>
      </w:r>
      <w:r>
        <w:rPr>
          <w:i/>
          <w:spacing w:val="-8"/>
          <w:sz w:val="16"/>
        </w:rPr>
        <w:t> </w:t>
      </w:r>
      <w:r>
        <w:rPr>
          <w:i/>
          <w:sz w:val="16"/>
        </w:rPr>
        <w:t>San</w:t>
      </w:r>
      <w:r>
        <w:rPr>
          <w:i/>
          <w:spacing w:val="-9"/>
          <w:sz w:val="16"/>
        </w:rPr>
        <w:t> </w:t>
      </w:r>
      <w:r>
        <w:rPr>
          <w:i/>
          <w:sz w:val="16"/>
        </w:rPr>
        <w:t>Salvador</w:t>
      </w:r>
    </w:p>
    <w:p>
      <w:pPr>
        <w:spacing w:before="0"/>
        <w:ind w:left="122" w:right="116" w:firstLine="0"/>
        <w:jc w:val="both"/>
        <w:rPr>
          <w:sz w:val="16"/>
        </w:rPr>
      </w:pPr>
      <w:r>
        <w:rPr>
          <w:i/>
          <w:sz w:val="16"/>
        </w:rPr>
        <w:t>–</w:t>
      </w:r>
      <w:r>
        <w:rPr>
          <w:i/>
          <w:spacing w:val="-3"/>
          <w:sz w:val="16"/>
        </w:rPr>
        <w:t> </w:t>
      </w:r>
      <w:r>
        <w:rPr>
          <w:i/>
          <w:sz w:val="16"/>
        </w:rPr>
        <w:t>Segundo</w:t>
      </w:r>
      <w:r>
        <w:rPr>
          <w:i/>
          <w:spacing w:val="-3"/>
          <w:sz w:val="16"/>
        </w:rPr>
        <w:t> </w:t>
      </w:r>
      <w:r>
        <w:rPr>
          <w:i/>
          <w:sz w:val="16"/>
        </w:rPr>
        <w:t>agrupamiento</w:t>
      </w:r>
      <w:r>
        <w:rPr>
          <w:i/>
          <w:spacing w:val="-3"/>
          <w:sz w:val="16"/>
        </w:rPr>
        <w:t> </w:t>
      </w:r>
      <w:r>
        <w:rPr>
          <w:i/>
          <w:sz w:val="16"/>
        </w:rPr>
        <w:t>de</w:t>
      </w:r>
      <w:r>
        <w:rPr>
          <w:i/>
          <w:spacing w:val="-6"/>
          <w:sz w:val="16"/>
        </w:rPr>
        <w:t> </w:t>
      </w:r>
      <w:r>
        <w:rPr>
          <w:i/>
          <w:sz w:val="16"/>
        </w:rPr>
        <w:t>Derechos</w:t>
      </w:r>
      <w:r>
        <w:rPr>
          <w:sz w:val="16"/>
        </w:rPr>
        <w:t>,</w:t>
      </w:r>
      <w:r>
        <w:rPr>
          <w:spacing w:val="-5"/>
          <w:sz w:val="16"/>
        </w:rPr>
        <w:t> </w:t>
      </w:r>
      <w:r>
        <w:rPr>
          <w:sz w:val="16"/>
        </w:rPr>
        <w:t>párr.</w:t>
      </w:r>
      <w:r>
        <w:rPr>
          <w:spacing w:val="-7"/>
          <w:sz w:val="16"/>
        </w:rPr>
        <w:t> </w:t>
      </w:r>
      <w:r>
        <w:rPr>
          <w:sz w:val="16"/>
        </w:rPr>
        <w:t>19).</w:t>
      </w:r>
      <w:r>
        <w:rPr>
          <w:spacing w:val="-5"/>
          <w:sz w:val="16"/>
        </w:rPr>
        <w:t> </w:t>
      </w:r>
      <w:r>
        <w:rPr>
          <w:sz w:val="16"/>
        </w:rPr>
        <w:t>Como</w:t>
      </w:r>
      <w:r>
        <w:rPr>
          <w:spacing w:val="-6"/>
          <w:sz w:val="16"/>
        </w:rPr>
        <w:t> </w:t>
      </w:r>
      <w:r>
        <w:rPr>
          <w:sz w:val="16"/>
        </w:rPr>
        <w:t>se</w:t>
      </w:r>
      <w:r>
        <w:rPr>
          <w:spacing w:val="-5"/>
          <w:sz w:val="16"/>
        </w:rPr>
        <w:t> </w:t>
      </w:r>
      <w:r>
        <w:rPr>
          <w:sz w:val="16"/>
        </w:rPr>
        <w:t>indicó</w:t>
      </w:r>
      <w:r>
        <w:rPr>
          <w:spacing w:val="-3"/>
          <w:sz w:val="16"/>
        </w:rPr>
        <w:t> </w:t>
      </w:r>
      <w:r>
        <w:rPr>
          <w:sz w:val="16"/>
        </w:rPr>
        <w:t>en</w:t>
      </w:r>
      <w:r>
        <w:rPr>
          <w:spacing w:val="-4"/>
          <w:sz w:val="16"/>
        </w:rPr>
        <w:t> </w:t>
      </w:r>
      <w:r>
        <w:rPr>
          <w:sz w:val="16"/>
        </w:rPr>
        <w:t>el</w:t>
      </w:r>
      <w:r>
        <w:rPr>
          <w:spacing w:val="-5"/>
          <w:sz w:val="16"/>
        </w:rPr>
        <w:t> </w:t>
      </w:r>
      <w:r>
        <w:rPr>
          <w:sz w:val="16"/>
        </w:rPr>
        <w:t>el</w:t>
      </w:r>
      <w:r>
        <w:rPr>
          <w:spacing w:val="-4"/>
          <w:sz w:val="16"/>
        </w:rPr>
        <w:t> </w:t>
      </w:r>
      <w:r>
        <w:rPr>
          <w:sz w:val="16"/>
        </w:rPr>
        <w:t>escrito</w:t>
      </w:r>
      <w:r>
        <w:rPr>
          <w:spacing w:val="-5"/>
          <w:sz w:val="16"/>
        </w:rPr>
        <w:t> </w:t>
      </w:r>
      <w:r>
        <w:rPr>
          <w:sz w:val="16"/>
        </w:rPr>
        <w:t>de</w:t>
      </w:r>
      <w:r>
        <w:rPr>
          <w:spacing w:val="-3"/>
          <w:sz w:val="16"/>
        </w:rPr>
        <w:t> </w:t>
      </w:r>
      <w:r>
        <w:rPr>
          <w:i/>
          <w:sz w:val="16"/>
        </w:rPr>
        <w:t>amicus</w:t>
      </w:r>
      <w:r>
        <w:rPr>
          <w:i/>
          <w:spacing w:val="-3"/>
          <w:sz w:val="16"/>
        </w:rPr>
        <w:t> </w:t>
      </w:r>
      <w:r>
        <w:rPr>
          <w:i/>
          <w:sz w:val="16"/>
        </w:rPr>
        <w:t>curiae</w:t>
      </w:r>
      <w:r>
        <w:rPr>
          <w:i/>
          <w:spacing w:val="-5"/>
          <w:sz w:val="16"/>
        </w:rPr>
        <w:t> </w:t>
      </w:r>
      <w:r>
        <w:rPr>
          <w:sz w:val="16"/>
        </w:rPr>
        <w:t>presentado por DPLF y otras organizaciones, la Carta genera un parámetro mínimo para la satisfacción del derecho a la alimentación,</w:t>
      </w:r>
      <w:r>
        <w:rPr>
          <w:spacing w:val="-7"/>
          <w:sz w:val="16"/>
        </w:rPr>
        <w:t> </w:t>
      </w:r>
      <w:r>
        <w:rPr>
          <w:sz w:val="16"/>
        </w:rPr>
        <w:t>al</w:t>
      </w:r>
      <w:r>
        <w:rPr>
          <w:spacing w:val="-6"/>
          <w:sz w:val="16"/>
        </w:rPr>
        <w:t> </w:t>
      </w:r>
      <w:r>
        <w:rPr>
          <w:sz w:val="16"/>
        </w:rPr>
        <w:t>establecer</w:t>
      </w:r>
      <w:r>
        <w:rPr>
          <w:spacing w:val="-8"/>
          <w:sz w:val="16"/>
        </w:rPr>
        <w:t> </w:t>
      </w:r>
      <w:r>
        <w:rPr>
          <w:sz w:val="16"/>
        </w:rPr>
        <w:t>que</w:t>
      </w:r>
      <w:r>
        <w:rPr>
          <w:spacing w:val="-6"/>
          <w:sz w:val="16"/>
        </w:rPr>
        <w:t> </w:t>
      </w:r>
      <w:r>
        <w:rPr>
          <w:sz w:val="16"/>
        </w:rPr>
        <w:t>los</w:t>
      </w:r>
      <w:r>
        <w:rPr>
          <w:spacing w:val="-8"/>
          <w:sz w:val="16"/>
        </w:rPr>
        <w:t> </w:t>
      </w:r>
      <w:r>
        <w:rPr>
          <w:sz w:val="16"/>
        </w:rPr>
        <w:t>Estados</w:t>
      </w:r>
      <w:r>
        <w:rPr>
          <w:spacing w:val="-8"/>
          <w:sz w:val="16"/>
        </w:rPr>
        <w:t> </w:t>
      </w:r>
      <w:r>
        <w:rPr>
          <w:sz w:val="16"/>
        </w:rPr>
        <w:t>deben</w:t>
      </w:r>
      <w:r>
        <w:rPr>
          <w:spacing w:val="-9"/>
          <w:sz w:val="16"/>
        </w:rPr>
        <w:t> </w:t>
      </w:r>
      <w:r>
        <w:rPr>
          <w:sz w:val="16"/>
        </w:rPr>
        <w:t>procurar</w:t>
      </w:r>
      <w:r>
        <w:rPr>
          <w:spacing w:val="-10"/>
          <w:sz w:val="16"/>
        </w:rPr>
        <w:t> </w:t>
      </w:r>
      <w:r>
        <w:rPr>
          <w:sz w:val="16"/>
        </w:rPr>
        <w:t>acceso</w:t>
      </w:r>
      <w:r>
        <w:rPr>
          <w:spacing w:val="-5"/>
          <w:sz w:val="16"/>
        </w:rPr>
        <w:t> </w:t>
      </w:r>
      <w:r>
        <w:rPr>
          <w:sz w:val="16"/>
        </w:rPr>
        <w:t>a</w:t>
      </w:r>
      <w:r>
        <w:rPr>
          <w:spacing w:val="-11"/>
          <w:sz w:val="16"/>
        </w:rPr>
        <w:t> </w:t>
      </w:r>
      <w:r>
        <w:rPr>
          <w:sz w:val="16"/>
        </w:rPr>
        <w:t>“una</w:t>
      </w:r>
      <w:r>
        <w:rPr>
          <w:spacing w:val="-7"/>
          <w:sz w:val="16"/>
        </w:rPr>
        <w:t> </w:t>
      </w:r>
      <w:r>
        <w:rPr>
          <w:sz w:val="16"/>
        </w:rPr>
        <w:t>nutrición</w:t>
      </w:r>
      <w:r>
        <w:rPr>
          <w:spacing w:val="-9"/>
          <w:sz w:val="16"/>
        </w:rPr>
        <w:t> </w:t>
      </w:r>
      <w:r>
        <w:rPr>
          <w:sz w:val="16"/>
        </w:rPr>
        <w:t>adecuada”;</w:t>
      </w:r>
      <w:r>
        <w:rPr>
          <w:spacing w:val="-9"/>
          <w:sz w:val="16"/>
        </w:rPr>
        <w:t> </w:t>
      </w:r>
      <w:r>
        <w:rPr>
          <w:sz w:val="16"/>
        </w:rPr>
        <w:t>esta</w:t>
      </w:r>
      <w:r>
        <w:rPr>
          <w:spacing w:val="-9"/>
          <w:sz w:val="16"/>
        </w:rPr>
        <w:t> </w:t>
      </w:r>
      <w:r>
        <w:rPr>
          <w:sz w:val="16"/>
        </w:rPr>
        <w:t>obligación se ve reforzada por el artículo XI de la Declaración Americana, que si bien menciona la “preserva[ción]” de la “salud”, no debe confundirse con el “derecho a la salud”, pues se refiere por separado a las medidas de “asistencia médica” y las “relativas a la</w:t>
      </w:r>
      <w:r>
        <w:rPr>
          <w:spacing w:val="-14"/>
          <w:sz w:val="16"/>
        </w:rPr>
        <w:t> </w:t>
      </w:r>
      <w:r>
        <w:rPr>
          <w:sz w:val="16"/>
        </w:rPr>
        <w:t>alimentación”.</w:t>
      </w:r>
    </w:p>
    <w:p>
      <w:pPr>
        <w:pStyle w:val="BodyText"/>
        <w:rPr>
          <w:sz w:val="16"/>
        </w:rPr>
      </w:pPr>
    </w:p>
    <w:p>
      <w:pPr>
        <w:tabs>
          <w:tab w:pos="829" w:val="left" w:leader="none"/>
        </w:tabs>
        <w:spacing w:before="0"/>
        <w:ind w:left="122" w:right="115" w:firstLine="0"/>
        <w:jc w:val="both"/>
        <w:rPr>
          <w:sz w:val="16"/>
        </w:rPr>
      </w:pPr>
      <w:r>
        <w:rPr>
          <w:position w:val="6"/>
          <w:sz w:val="10"/>
        </w:rPr>
        <w:t>211</w:t>
        <w:tab/>
      </w:r>
      <w:r>
        <w:rPr>
          <w:sz w:val="16"/>
        </w:rPr>
        <w:t>Al</w:t>
      </w:r>
      <w:r>
        <w:rPr>
          <w:spacing w:val="-10"/>
          <w:sz w:val="16"/>
        </w:rPr>
        <w:t> </w:t>
      </w:r>
      <w:r>
        <w:rPr>
          <w:sz w:val="16"/>
        </w:rPr>
        <w:t>respecto,</w:t>
      </w:r>
      <w:r>
        <w:rPr>
          <w:spacing w:val="-11"/>
          <w:sz w:val="16"/>
        </w:rPr>
        <w:t> </w:t>
      </w:r>
      <w:r>
        <w:rPr>
          <w:sz w:val="16"/>
        </w:rPr>
        <w:t>aunado</w:t>
      </w:r>
      <w:r>
        <w:rPr>
          <w:spacing w:val="-11"/>
          <w:sz w:val="16"/>
        </w:rPr>
        <w:t> </w:t>
      </w:r>
      <w:r>
        <w:rPr>
          <w:sz w:val="16"/>
        </w:rPr>
        <w:t>a</w:t>
      </w:r>
      <w:r>
        <w:rPr>
          <w:spacing w:val="-10"/>
          <w:sz w:val="16"/>
        </w:rPr>
        <w:t> </w:t>
      </w:r>
      <w:r>
        <w:rPr>
          <w:sz w:val="16"/>
        </w:rPr>
        <w:t>lo</w:t>
      </w:r>
      <w:r>
        <w:rPr>
          <w:spacing w:val="-14"/>
          <w:sz w:val="16"/>
        </w:rPr>
        <w:t> </w:t>
      </w:r>
      <w:r>
        <w:rPr>
          <w:sz w:val="16"/>
        </w:rPr>
        <w:t>ya</w:t>
      </w:r>
      <w:r>
        <w:rPr>
          <w:spacing w:val="-10"/>
          <w:sz w:val="16"/>
        </w:rPr>
        <w:t> </w:t>
      </w:r>
      <w:r>
        <w:rPr>
          <w:sz w:val="16"/>
        </w:rPr>
        <w:t>expuesto,</w:t>
      </w:r>
      <w:r>
        <w:rPr>
          <w:spacing w:val="-13"/>
          <w:sz w:val="16"/>
        </w:rPr>
        <w:t> </w:t>
      </w:r>
      <w:r>
        <w:rPr>
          <w:sz w:val="16"/>
        </w:rPr>
        <w:t>entre</w:t>
      </w:r>
      <w:r>
        <w:rPr>
          <w:spacing w:val="-12"/>
          <w:sz w:val="16"/>
        </w:rPr>
        <w:t> </w:t>
      </w:r>
      <w:r>
        <w:rPr>
          <w:sz w:val="16"/>
        </w:rPr>
        <w:t>los</w:t>
      </w:r>
      <w:r>
        <w:rPr>
          <w:spacing w:val="-12"/>
          <w:sz w:val="16"/>
        </w:rPr>
        <w:t> </w:t>
      </w:r>
      <w:r>
        <w:rPr>
          <w:sz w:val="16"/>
        </w:rPr>
        <w:t>instrumentos</w:t>
      </w:r>
      <w:r>
        <w:rPr>
          <w:spacing w:val="-12"/>
          <w:sz w:val="16"/>
        </w:rPr>
        <w:t> </w:t>
      </w:r>
      <w:r>
        <w:rPr>
          <w:sz w:val="16"/>
        </w:rPr>
        <w:t>relevantes</w:t>
      </w:r>
      <w:r>
        <w:rPr>
          <w:spacing w:val="-12"/>
          <w:sz w:val="16"/>
        </w:rPr>
        <w:t> </w:t>
      </w:r>
      <w:r>
        <w:rPr>
          <w:sz w:val="16"/>
        </w:rPr>
        <w:t>pueden</w:t>
      </w:r>
      <w:r>
        <w:rPr>
          <w:spacing w:val="-13"/>
          <w:sz w:val="16"/>
        </w:rPr>
        <w:t> </w:t>
      </w:r>
      <w:r>
        <w:rPr>
          <w:sz w:val="16"/>
        </w:rPr>
        <w:t>citarse</w:t>
      </w:r>
      <w:r>
        <w:rPr>
          <w:spacing w:val="-12"/>
          <w:sz w:val="16"/>
        </w:rPr>
        <w:t> </w:t>
      </w:r>
      <w:r>
        <w:rPr>
          <w:sz w:val="16"/>
        </w:rPr>
        <w:t>los</w:t>
      </w:r>
      <w:r>
        <w:rPr>
          <w:spacing w:val="-14"/>
          <w:sz w:val="16"/>
        </w:rPr>
        <w:t> </w:t>
      </w:r>
      <w:r>
        <w:rPr>
          <w:sz w:val="16"/>
        </w:rPr>
        <w:t>siguientes:</w:t>
      </w:r>
      <w:r>
        <w:rPr>
          <w:w w:val="100"/>
          <w:sz w:val="16"/>
        </w:rPr>
        <w:t> </w:t>
      </w:r>
      <w:r>
        <w:rPr>
          <w:sz w:val="16"/>
        </w:rPr>
        <w:t>Convención sobre la Eliminación de todas las Formas de Discriminación contra la Mujer, art. 12; Convención sobre los Derechos del Niño, artículos 24 y 27, o la Convención sobre los Derechos de las Personas con Discapacidad, arts. 25 y 28 (Argentina ratificó la Convención sobre la eliminación de todas las formas de discriminación</w:t>
      </w:r>
      <w:r>
        <w:rPr>
          <w:spacing w:val="-8"/>
          <w:sz w:val="16"/>
        </w:rPr>
        <w:t> </w:t>
      </w:r>
      <w:r>
        <w:rPr>
          <w:sz w:val="16"/>
        </w:rPr>
        <w:t>contra</w:t>
      </w:r>
      <w:r>
        <w:rPr>
          <w:spacing w:val="-8"/>
          <w:sz w:val="16"/>
        </w:rPr>
        <w:t> </w:t>
      </w:r>
      <w:r>
        <w:rPr>
          <w:sz w:val="16"/>
        </w:rPr>
        <w:t>la</w:t>
      </w:r>
      <w:r>
        <w:rPr>
          <w:spacing w:val="-10"/>
          <w:sz w:val="16"/>
        </w:rPr>
        <w:t> </w:t>
      </w:r>
      <w:r>
        <w:rPr>
          <w:sz w:val="16"/>
        </w:rPr>
        <w:t>mujer</w:t>
      </w:r>
      <w:r>
        <w:rPr>
          <w:spacing w:val="-9"/>
          <w:sz w:val="16"/>
        </w:rPr>
        <w:t> </w:t>
      </w:r>
      <w:r>
        <w:rPr>
          <w:sz w:val="16"/>
        </w:rPr>
        <w:t>el</w:t>
      </w:r>
      <w:r>
        <w:rPr>
          <w:spacing w:val="-8"/>
          <w:sz w:val="16"/>
        </w:rPr>
        <w:t> </w:t>
      </w:r>
      <w:r>
        <w:rPr>
          <w:sz w:val="16"/>
        </w:rPr>
        <w:t>15</w:t>
      </w:r>
      <w:r>
        <w:rPr>
          <w:spacing w:val="-9"/>
          <w:sz w:val="16"/>
        </w:rPr>
        <w:t> </w:t>
      </w:r>
      <w:r>
        <w:rPr>
          <w:sz w:val="16"/>
        </w:rPr>
        <w:t>de</w:t>
      </w:r>
      <w:r>
        <w:rPr>
          <w:spacing w:val="-7"/>
          <w:sz w:val="16"/>
        </w:rPr>
        <w:t> </w:t>
      </w:r>
      <w:r>
        <w:rPr>
          <w:sz w:val="16"/>
        </w:rPr>
        <w:t>julio</w:t>
      </w:r>
      <w:r>
        <w:rPr>
          <w:spacing w:val="-9"/>
          <w:sz w:val="16"/>
        </w:rPr>
        <w:t> </w:t>
      </w:r>
      <w:r>
        <w:rPr>
          <w:sz w:val="16"/>
        </w:rPr>
        <w:t>de</w:t>
      </w:r>
      <w:r>
        <w:rPr>
          <w:spacing w:val="-9"/>
          <w:sz w:val="16"/>
        </w:rPr>
        <w:t> </w:t>
      </w:r>
      <w:r>
        <w:rPr>
          <w:sz w:val="16"/>
        </w:rPr>
        <w:t>1985,</w:t>
      </w:r>
      <w:r>
        <w:rPr>
          <w:spacing w:val="-8"/>
          <w:sz w:val="16"/>
        </w:rPr>
        <w:t> </w:t>
      </w:r>
      <w:r>
        <w:rPr>
          <w:sz w:val="16"/>
        </w:rPr>
        <w:t>la</w:t>
      </w:r>
      <w:r>
        <w:rPr>
          <w:spacing w:val="-8"/>
          <w:sz w:val="16"/>
        </w:rPr>
        <w:t> </w:t>
      </w:r>
      <w:r>
        <w:rPr>
          <w:sz w:val="16"/>
        </w:rPr>
        <w:t>Convención</w:t>
      </w:r>
      <w:r>
        <w:rPr>
          <w:spacing w:val="-10"/>
          <w:sz w:val="16"/>
        </w:rPr>
        <w:t> </w:t>
      </w:r>
      <w:r>
        <w:rPr>
          <w:sz w:val="16"/>
        </w:rPr>
        <w:t>de</w:t>
      </w:r>
      <w:r>
        <w:rPr>
          <w:spacing w:val="-7"/>
          <w:sz w:val="16"/>
        </w:rPr>
        <w:t> </w:t>
      </w:r>
      <w:r>
        <w:rPr>
          <w:sz w:val="16"/>
        </w:rPr>
        <w:t>los</w:t>
      </w:r>
      <w:r>
        <w:rPr>
          <w:spacing w:val="-9"/>
          <w:sz w:val="16"/>
        </w:rPr>
        <w:t> </w:t>
      </w:r>
      <w:r>
        <w:rPr>
          <w:sz w:val="16"/>
        </w:rPr>
        <w:t>Derechos</w:t>
      </w:r>
      <w:r>
        <w:rPr>
          <w:spacing w:val="-9"/>
          <w:sz w:val="16"/>
        </w:rPr>
        <w:t> </w:t>
      </w:r>
      <w:r>
        <w:rPr>
          <w:sz w:val="16"/>
        </w:rPr>
        <w:t>del</w:t>
      </w:r>
      <w:r>
        <w:rPr>
          <w:spacing w:val="-8"/>
          <w:sz w:val="16"/>
        </w:rPr>
        <w:t> </w:t>
      </w:r>
      <w:r>
        <w:rPr>
          <w:sz w:val="16"/>
        </w:rPr>
        <w:t>niño</w:t>
      </w:r>
      <w:r>
        <w:rPr>
          <w:spacing w:val="-7"/>
          <w:sz w:val="16"/>
        </w:rPr>
        <w:t> </w:t>
      </w:r>
      <w:r>
        <w:rPr>
          <w:sz w:val="16"/>
        </w:rPr>
        <w:t>el</w:t>
      </w:r>
      <w:r>
        <w:rPr>
          <w:spacing w:val="-11"/>
          <w:sz w:val="16"/>
        </w:rPr>
        <w:t> </w:t>
      </w:r>
      <w:r>
        <w:rPr>
          <w:sz w:val="16"/>
        </w:rPr>
        <w:t>4</w:t>
      </w:r>
      <w:r>
        <w:rPr>
          <w:spacing w:val="-7"/>
          <w:sz w:val="16"/>
        </w:rPr>
        <w:t> </w:t>
      </w:r>
      <w:r>
        <w:rPr>
          <w:sz w:val="16"/>
        </w:rPr>
        <w:t>de</w:t>
      </w:r>
      <w:r>
        <w:rPr>
          <w:spacing w:val="-7"/>
          <w:sz w:val="16"/>
        </w:rPr>
        <w:t> </w:t>
      </w:r>
      <w:r>
        <w:rPr>
          <w:sz w:val="16"/>
        </w:rPr>
        <w:t>diciembre de</w:t>
      </w:r>
      <w:r>
        <w:rPr>
          <w:spacing w:val="-2"/>
          <w:sz w:val="16"/>
        </w:rPr>
        <w:t> </w:t>
      </w:r>
      <w:r>
        <w:rPr>
          <w:sz w:val="16"/>
        </w:rPr>
        <w:t>1990,</w:t>
      </w:r>
      <w:r>
        <w:rPr>
          <w:spacing w:val="-4"/>
          <w:sz w:val="16"/>
        </w:rPr>
        <w:t> </w:t>
      </w:r>
      <w:r>
        <w:rPr>
          <w:sz w:val="16"/>
        </w:rPr>
        <w:t>y</w:t>
      </w:r>
      <w:r>
        <w:rPr>
          <w:spacing w:val="-2"/>
          <w:sz w:val="16"/>
        </w:rPr>
        <w:t> </w:t>
      </w:r>
      <w:r>
        <w:rPr>
          <w:sz w:val="16"/>
        </w:rPr>
        <w:t>la</w:t>
      </w:r>
      <w:r>
        <w:rPr>
          <w:spacing w:val="-3"/>
          <w:sz w:val="16"/>
        </w:rPr>
        <w:t> </w:t>
      </w:r>
      <w:r>
        <w:rPr>
          <w:sz w:val="16"/>
        </w:rPr>
        <w:t>Convención</w:t>
      </w:r>
      <w:r>
        <w:rPr>
          <w:spacing w:val="-4"/>
          <w:sz w:val="16"/>
        </w:rPr>
        <w:t> </w:t>
      </w:r>
      <w:r>
        <w:rPr>
          <w:sz w:val="16"/>
        </w:rPr>
        <w:t>sobre los</w:t>
      </w:r>
      <w:r>
        <w:rPr>
          <w:spacing w:val="-2"/>
          <w:sz w:val="16"/>
        </w:rPr>
        <w:t> </w:t>
      </w:r>
      <w:r>
        <w:rPr>
          <w:sz w:val="16"/>
        </w:rPr>
        <w:t>Derechos</w:t>
      </w:r>
      <w:r>
        <w:rPr>
          <w:spacing w:val="-3"/>
          <w:sz w:val="16"/>
        </w:rPr>
        <w:t> </w:t>
      </w:r>
      <w:r>
        <w:rPr>
          <w:sz w:val="16"/>
        </w:rPr>
        <w:t>de</w:t>
      </w:r>
      <w:r>
        <w:rPr>
          <w:spacing w:val="-3"/>
          <w:sz w:val="16"/>
        </w:rPr>
        <w:t> </w:t>
      </w:r>
      <w:r>
        <w:rPr>
          <w:sz w:val="16"/>
        </w:rPr>
        <w:t>las</w:t>
      </w:r>
      <w:r>
        <w:rPr>
          <w:spacing w:val="-3"/>
          <w:sz w:val="16"/>
        </w:rPr>
        <w:t> </w:t>
      </w:r>
      <w:r>
        <w:rPr>
          <w:sz w:val="16"/>
        </w:rPr>
        <w:t>Personas con</w:t>
      </w:r>
      <w:r>
        <w:rPr>
          <w:spacing w:val="-4"/>
          <w:sz w:val="16"/>
        </w:rPr>
        <w:t> </w:t>
      </w:r>
      <w:r>
        <w:rPr>
          <w:sz w:val="16"/>
        </w:rPr>
        <w:t>Discapacidad,</w:t>
      </w:r>
      <w:r>
        <w:rPr>
          <w:spacing w:val="-4"/>
          <w:sz w:val="16"/>
        </w:rPr>
        <w:t> </w:t>
      </w:r>
      <w:r>
        <w:rPr>
          <w:sz w:val="16"/>
        </w:rPr>
        <w:t>el</w:t>
      </w:r>
      <w:r>
        <w:rPr>
          <w:spacing w:val="-3"/>
          <w:sz w:val="16"/>
        </w:rPr>
        <w:t> </w:t>
      </w:r>
      <w:r>
        <w:rPr>
          <w:sz w:val="16"/>
        </w:rPr>
        <w:t>2</w:t>
      </w:r>
      <w:r>
        <w:rPr>
          <w:spacing w:val="-2"/>
          <w:sz w:val="16"/>
        </w:rPr>
        <w:t> </w:t>
      </w:r>
      <w:r>
        <w:rPr>
          <w:sz w:val="16"/>
        </w:rPr>
        <w:t>de</w:t>
      </w:r>
      <w:r>
        <w:rPr>
          <w:spacing w:val="-3"/>
          <w:sz w:val="16"/>
        </w:rPr>
        <w:t> </w:t>
      </w:r>
      <w:r>
        <w:rPr>
          <w:sz w:val="16"/>
        </w:rPr>
        <w:t>septiembre</w:t>
      </w:r>
      <w:r>
        <w:rPr>
          <w:spacing w:val="-2"/>
          <w:sz w:val="16"/>
        </w:rPr>
        <w:t> </w:t>
      </w:r>
      <w:r>
        <w:rPr>
          <w:sz w:val="16"/>
        </w:rPr>
        <w:t>de</w:t>
      </w:r>
      <w:r>
        <w:rPr>
          <w:spacing w:val="-3"/>
          <w:sz w:val="16"/>
        </w:rPr>
        <w:t> </w:t>
      </w:r>
      <w:r>
        <w:rPr>
          <w:sz w:val="16"/>
        </w:rPr>
        <w:t>2008). De modo adicional, pueden señalarse documentos como los siguientes: Declaración Universal sobre la Erradicación</w:t>
      </w:r>
      <w:r>
        <w:rPr>
          <w:spacing w:val="-15"/>
          <w:sz w:val="16"/>
        </w:rPr>
        <w:t> </w:t>
      </w:r>
      <w:r>
        <w:rPr>
          <w:sz w:val="16"/>
        </w:rPr>
        <w:t>del</w:t>
      </w:r>
      <w:r>
        <w:rPr>
          <w:spacing w:val="-15"/>
          <w:sz w:val="16"/>
        </w:rPr>
        <w:t> </w:t>
      </w:r>
      <w:r>
        <w:rPr>
          <w:sz w:val="16"/>
        </w:rPr>
        <w:t>Hambre</w:t>
      </w:r>
      <w:r>
        <w:rPr>
          <w:spacing w:val="-17"/>
          <w:sz w:val="16"/>
        </w:rPr>
        <w:t> </w:t>
      </w:r>
      <w:r>
        <w:rPr>
          <w:sz w:val="16"/>
        </w:rPr>
        <w:t>y</w:t>
      </w:r>
      <w:r>
        <w:rPr>
          <w:spacing w:val="-14"/>
          <w:sz w:val="16"/>
        </w:rPr>
        <w:t> </w:t>
      </w:r>
      <w:r>
        <w:rPr>
          <w:sz w:val="16"/>
        </w:rPr>
        <w:t>la</w:t>
      </w:r>
      <w:r>
        <w:rPr>
          <w:spacing w:val="-17"/>
          <w:sz w:val="16"/>
        </w:rPr>
        <w:t> </w:t>
      </w:r>
      <w:r>
        <w:rPr>
          <w:sz w:val="16"/>
        </w:rPr>
        <w:t>Malnutrición</w:t>
      </w:r>
      <w:r>
        <w:rPr>
          <w:spacing w:val="-15"/>
          <w:sz w:val="16"/>
        </w:rPr>
        <w:t> </w:t>
      </w:r>
      <w:r>
        <w:rPr>
          <w:sz w:val="16"/>
        </w:rPr>
        <w:t>de</w:t>
      </w:r>
      <w:r>
        <w:rPr>
          <w:spacing w:val="-14"/>
          <w:sz w:val="16"/>
        </w:rPr>
        <w:t> </w:t>
      </w:r>
      <w:r>
        <w:rPr>
          <w:sz w:val="16"/>
        </w:rPr>
        <w:t>1974;</w:t>
      </w:r>
      <w:r>
        <w:rPr>
          <w:spacing w:val="-15"/>
          <w:sz w:val="16"/>
        </w:rPr>
        <w:t> </w:t>
      </w:r>
      <w:r>
        <w:rPr>
          <w:sz w:val="16"/>
        </w:rPr>
        <w:t>la</w:t>
      </w:r>
      <w:r>
        <w:rPr>
          <w:spacing w:val="-17"/>
          <w:sz w:val="16"/>
        </w:rPr>
        <w:t> </w:t>
      </w:r>
      <w:r>
        <w:rPr>
          <w:sz w:val="16"/>
        </w:rPr>
        <w:t>Declaración</w:t>
      </w:r>
      <w:r>
        <w:rPr>
          <w:spacing w:val="-15"/>
          <w:sz w:val="16"/>
        </w:rPr>
        <w:t> </w:t>
      </w:r>
      <w:r>
        <w:rPr>
          <w:sz w:val="16"/>
        </w:rPr>
        <w:t>de</w:t>
      </w:r>
      <w:r>
        <w:rPr>
          <w:spacing w:val="-17"/>
          <w:sz w:val="16"/>
        </w:rPr>
        <w:t> </w:t>
      </w:r>
      <w:r>
        <w:rPr>
          <w:sz w:val="16"/>
        </w:rPr>
        <w:t>Roma</w:t>
      </w:r>
      <w:r>
        <w:rPr>
          <w:spacing w:val="-18"/>
          <w:sz w:val="16"/>
        </w:rPr>
        <w:t> </w:t>
      </w:r>
      <w:r>
        <w:rPr>
          <w:sz w:val="16"/>
        </w:rPr>
        <w:t>de</w:t>
      </w:r>
      <w:r>
        <w:rPr>
          <w:spacing w:val="-14"/>
          <w:sz w:val="16"/>
        </w:rPr>
        <w:t> </w:t>
      </w:r>
      <w:r>
        <w:rPr>
          <w:sz w:val="16"/>
        </w:rPr>
        <w:t>la</w:t>
      </w:r>
      <w:r>
        <w:rPr>
          <w:spacing w:val="-17"/>
          <w:sz w:val="16"/>
        </w:rPr>
        <w:t> </w:t>
      </w:r>
      <w:r>
        <w:rPr>
          <w:sz w:val="16"/>
        </w:rPr>
        <w:t>Seguridad</w:t>
      </w:r>
      <w:r>
        <w:rPr>
          <w:spacing w:val="-16"/>
          <w:sz w:val="16"/>
        </w:rPr>
        <w:t> </w:t>
      </w:r>
      <w:r>
        <w:rPr>
          <w:sz w:val="16"/>
        </w:rPr>
        <w:t>Alimentaria</w:t>
      </w:r>
      <w:r>
        <w:rPr>
          <w:spacing w:val="-15"/>
          <w:sz w:val="16"/>
        </w:rPr>
        <w:t> </w:t>
      </w:r>
      <w:r>
        <w:rPr>
          <w:sz w:val="16"/>
        </w:rPr>
        <w:t>Mundial de 1996; la Declaración de la Cumbre Mundial sobre Alimentación de 2002, o las Directrices voluntarias en apoyo de la realización progresiva del derecho humano a la alimentación en el contexto de la seguridad alimentaria</w:t>
      </w:r>
      <w:r>
        <w:rPr>
          <w:spacing w:val="-9"/>
          <w:sz w:val="16"/>
        </w:rPr>
        <w:t> </w:t>
      </w:r>
      <w:r>
        <w:rPr>
          <w:sz w:val="16"/>
        </w:rPr>
        <w:t>nacional,</w:t>
      </w:r>
      <w:r>
        <w:rPr>
          <w:spacing w:val="-9"/>
          <w:sz w:val="16"/>
        </w:rPr>
        <w:t> </w:t>
      </w:r>
      <w:r>
        <w:rPr>
          <w:sz w:val="16"/>
        </w:rPr>
        <w:t>aprobadas</w:t>
      </w:r>
      <w:r>
        <w:rPr>
          <w:spacing w:val="-8"/>
          <w:sz w:val="16"/>
        </w:rPr>
        <w:t> </w:t>
      </w:r>
      <w:r>
        <w:rPr>
          <w:sz w:val="16"/>
        </w:rPr>
        <w:t>por</w:t>
      </w:r>
      <w:r>
        <w:rPr>
          <w:spacing w:val="-10"/>
          <w:sz w:val="16"/>
        </w:rPr>
        <w:t> </w:t>
      </w:r>
      <w:r>
        <w:rPr>
          <w:sz w:val="16"/>
        </w:rPr>
        <w:t>el</w:t>
      </w:r>
      <w:r>
        <w:rPr>
          <w:spacing w:val="-9"/>
          <w:sz w:val="16"/>
        </w:rPr>
        <w:t> </w:t>
      </w:r>
      <w:r>
        <w:rPr>
          <w:sz w:val="16"/>
        </w:rPr>
        <w:t>Consejo</w:t>
      </w:r>
      <w:r>
        <w:rPr>
          <w:spacing w:val="-10"/>
          <w:sz w:val="16"/>
        </w:rPr>
        <w:t> </w:t>
      </w:r>
      <w:r>
        <w:rPr>
          <w:sz w:val="16"/>
        </w:rPr>
        <w:t>de</w:t>
      </w:r>
      <w:r>
        <w:rPr>
          <w:spacing w:val="-8"/>
          <w:sz w:val="16"/>
        </w:rPr>
        <w:t> </w:t>
      </w:r>
      <w:r>
        <w:rPr>
          <w:sz w:val="16"/>
        </w:rPr>
        <w:t>la</w:t>
      </w:r>
      <w:r>
        <w:rPr>
          <w:spacing w:val="-11"/>
          <w:sz w:val="16"/>
        </w:rPr>
        <w:t> </w:t>
      </w:r>
      <w:r>
        <w:rPr>
          <w:sz w:val="16"/>
        </w:rPr>
        <w:t>Organización</w:t>
      </w:r>
      <w:r>
        <w:rPr>
          <w:spacing w:val="-9"/>
          <w:sz w:val="16"/>
        </w:rPr>
        <w:t> </w:t>
      </w:r>
      <w:r>
        <w:rPr>
          <w:sz w:val="16"/>
        </w:rPr>
        <w:t>de</w:t>
      </w:r>
      <w:r>
        <w:rPr>
          <w:spacing w:val="-11"/>
          <w:sz w:val="16"/>
        </w:rPr>
        <w:t> </w:t>
      </w:r>
      <w:r>
        <w:rPr>
          <w:sz w:val="16"/>
        </w:rPr>
        <w:t>las</w:t>
      </w:r>
      <w:r>
        <w:rPr>
          <w:spacing w:val="-8"/>
          <w:sz w:val="16"/>
        </w:rPr>
        <w:t> </w:t>
      </w:r>
      <w:r>
        <w:rPr>
          <w:sz w:val="16"/>
        </w:rPr>
        <w:t>Naciones</w:t>
      </w:r>
      <w:r>
        <w:rPr>
          <w:spacing w:val="-10"/>
          <w:sz w:val="16"/>
        </w:rPr>
        <w:t> </w:t>
      </w:r>
      <w:r>
        <w:rPr>
          <w:sz w:val="16"/>
        </w:rPr>
        <w:t>Unidas</w:t>
      </w:r>
      <w:r>
        <w:rPr>
          <w:spacing w:val="-10"/>
          <w:sz w:val="16"/>
        </w:rPr>
        <w:t> </w:t>
      </w:r>
      <w:r>
        <w:rPr>
          <w:sz w:val="16"/>
        </w:rPr>
        <w:t>para</w:t>
      </w:r>
      <w:r>
        <w:rPr>
          <w:spacing w:val="-9"/>
          <w:sz w:val="16"/>
        </w:rPr>
        <w:t> </w:t>
      </w:r>
      <w:r>
        <w:rPr>
          <w:sz w:val="16"/>
        </w:rPr>
        <w:t>la</w:t>
      </w:r>
      <w:r>
        <w:rPr>
          <w:spacing w:val="-11"/>
          <w:sz w:val="16"/>
        </w:rPr>
        <w:t> </w:t>
      </w:r>
      <w:r>
        <w:rPr>
          <w:sz w:val="16"/>
        </w:rPr>
        <w:t>Alimentación y la Agricultura (FAO) en</w:t>
      </w:r>
      <w:r>
        <w:rPr>
          <w:spacing w:val="-10"/>
          <w:sz w:val="16"/>
        </w:rPr>
        <w:t> </w:t>
      </w:r>
      <w:r>
        <w:rPr>
          <w:sz w:val="16"/>
        </w:rPr>
        <w:t>2004.</w:t>
      </w:r>
    </w:p>
    <w:p>
      <w:pPr>
        <w:pStyle w:val="BodyText"/>
        <w:spacing w:before="11"/>
        <w:rPr>
          <w:sz w:val="15"/>
        </w:rPr>
      </w:pPr>
    </w:p>
    <w:p>
      <w:pPr>
        <w:tabs>
          <w:tab w:pos="829" w:val="left" w:leader="none"/>
        </w:tabs>
        <w:spacing w:before="0"/>
        <w:ind w:left="122" w:right="113" w:firstLine="0"/>
        <w:jc w:val="both"/>
        <w:rPr>
          <w:sz w:val="16"/>
        </w:rPr>
      </w:pPr>
      <w:r>
        <w:rPr>
          <w:position w:val="6"/>
          <w:sz w:val="10"/>
        </w:rPr>
        <w:t>212</w:t>
        <w:tab/>
      </w:r>
      <w:r>
        <w:rPr>
          <w:sz w:val="16"/>
        </w:rPr>
        <w:t>En un sentido similar procedió la Corte respecto de otros derechos. Así, puede citarse   </w:t>
      </w:r>
      <w:r>
        <w:rPr>
          <w:spacing w:val="1"/>
          <w:sz w:val="16"/>
        </w:rPr>
        <w:t> </w:t>
      </w:r>
      <w:r>
        <w:rPr>
          <w:sz w:val="16"/>
        </w:rPr>
        <w:t>la</w:t>
      </w:r>
      <w:r>
        <w:rPr>
          <w:spacing w:val="14"/>
          <w:sz w:val="16"/>
        </w:rPr>
        <w:t> </w:t>
      </w:r>
      <w:r>
        <w:rPr>
          <w:sz w:val="16"/>
        </w:rPr>
        <w:t>sentencia</w:t>
      </w:r>
      <w:r>
        <w:rPr>
          <w:w w:val="100"/>
          <w:sz w:val="16"/>
        </w:rPr>
        <w:t> </w:t>
      </w:r>
      <w:r>
        <w:rPr>
          <w:sz w:val="16"/>
        </w:rPr>
        <w:t>sobre el caso </w:t>
      </w:r>
      <w:r>
        <w:rPr>
          <w:i/>
          <w:sz w:val="16"/>
        </w:rPr>
        <w:t>Poblete Vilches y otros Vs. Chile </w:t>
      </w:r>
      <w:r>
        <w:rPr>
          <w:sz w:val="16"/>
        </w:rPr>
        <w:t>en relación con el derecho a la salud, o la sentencia sobre el caso </w:t>
      </w:r>
      <w:r>
        <w:rPr>
          <w:i/>
          <w:sz w:val="16"/>
        </w:rPr>
        <w:t>Muelle Flores Vs. Perú</w:t>
      </w:r>
      <w:r>
        <w:rPr>
          <w:sz w:val="16"/>
        </w:rPr>
        <w:t>, respecto al derecho a la seguridad social (</w:t>
      </w:r>
      <w:r>
        <w:rPr>
          <w:i/>
          <w:sz w:val="16"/>
        </w:rPr>
        <w:t>cfr. Caso Poblete Vilches y otros Vs. </w:t>
      </w:r>
      <w:r>
        <w:rPr>
          <w:i/>
          <w:sz w:val="16"/>
        </w:rPr>
        <w:t>Chile</w:t>
      </w:r>
      <w:r>
        <w:rPr>
          <w:sz w:val="16"/>
        </w:rPr>
        <w:t>,</w:t>
      </w:r>
      <w:r>
        <w:rPr>
          <w:spacing w:val="-13"/>
          <w:sz w:val="16"/>
        </w:rPr>
        <w:t> </w:t>
      </w:r>
      <w:r>
        <w:rPr>
          <w:sz w:val="16"/>
        </w:rPr>
        <w:t>párrs.</w:t>
      </w:r>
      <w:r>
        <w:rPr>
          <w:spacing w:val="-13"/>
          <w:sz w:val="16"/>
        </w:rPr>
        <w:t> </w:t>
      </w:r>
      <w:r>
        <w:rPr>
          <w:sz w:val="16"/>
        </w:rPr>
        <w:t>115,</w:t>
      </w:r>
      <w:r>
        <w:rPr>
          <w:spacing w:val="-15"/>
          <w:sz w:val="16"/>
        </w:rPr>
        <w:t> </w:t>
      </w:r>
      <w:r>
        <w:rPr>
          <w:sz w:val="16"/>
        </w:rPr>
        <w:t>118</w:t>
      </w:r>
      <w:r>
        <w:rPr>
          <w:spacing w:val="-14"/>
          <w:sz w:val="16"/>
        </w:rPr>
        <w:t> </w:t>
      </w:r>
      <w:r>
        <w:rPr>
          <w:sz w:val="16"/>
        </w:rPr>
        <w:t>y</w:t>
      </w:r>
      <w:r>
        <w:rPr>
          <w:spacing w:val="-11"/>
          <w:sz w:val="16"/>
        </w:rPr>
        <w:t> </w:t>
      </w:r>
      <w:r>
        <w:rPr>
          <w:sz w:val="16"/>
        </w:rPr>
        <w:t>120,</w:t>
      </w:r>
      <w:r>
        <w:rPr>
          <w:spacing w:val="-13"/>
          <w:sz w:val="16"/>
        </w:rPr>
        <w:t> </w:t>
      </w:r>
      <w:r>
        <w:rPr>
          <w:sz w:val="16"/>
        </w:rPr>
        <w:t>y</w:t>
      </w:r>
      <w:r>
        <w:rPr>
          <w:spacing w:val="-12"/>
          <w:sz w:val="16"/>
        </w:rPr>
        <w:t> </w:t>
      </w:r>
      <w:r>
        <w:rPr>
          <w:i/>
          <w:sz w:val="16"/>
        </w:rPr>
        <w:t>Caso</w:t>
      </w:r>
      <w:r>
        <w:rPr>
          <w:i/>
          <w:spacing w:val="-14"/>
          <w:sz w:val="16"/>
        </w:rPr>
        <w:t> </w:t>
      </w:r>
      <w:r>
        <w:rPr>
          <w:i/>
          <w:sz w:val="16"/>
        </w:rPr>
        <w:t>Muelle</w:t>
      </w:r>
      <w:r>
        <w:rPr>
          <w:i/>
          <w:spacing w:val="-14"/>
          <w:sz w:val="16"/>
        </w:rPr>
        <w:t> </w:t>
      </w:r>
      <w:r>
        <w:rPr>
          <w:i/>
          <w:sz w:val="16"/>
        </w:rPr>
        <w:t>Flores</w:t>
      </w:r>
      <w:r>
        <w:rPr>
          <w:i/>
          <w:spacing w:val="-14"/>
          <w:sz w:val="16"/>
        </w:rPr>
        <w:t> </w:t>
      </w:r>
      <w:r>
        <w:rPr>
          <w:i/>
          <w:sz w:val="16"/>
        </w:rPr>
        <w:t>Vs.</w:t>
      </w:r>
      <w:r>
        <w:rPr>
          <w:i/>
          <w:spacing w:val="-13"/>
          <w:sz w:val="16"/>
        </w:rPr>
        <w:t> </w:t>
      </w:r>
      <w:r>
        <w:rPr>
          <w:i/>
          <w:sz w:val="16"/>
        </w:rPr>
        <w:t>Perú</w:t>
      </w:r>
      <w:r>
        <w:rPr>
          <w:sz w:val="16"/>
        </w:rPr>
        <w:t>,</w:t>
      </w:r>
      <w:r>
        <w:rPr>
          <w:spacing w:val="-13"/>
          <w:sz w:val="16"/>
        </w:rPr>
        <w:t> </w:t>
      </w:r>
      <w:r>
        <w:rPr>
          <w:sz w:val="16"/>
        </w:rPr>
        <w:t>párr.</w:t>
      </w:r>
      <w:r>
        <w:rPr>
          <w:spacing w:val="-15"/>
          <w:sz w:val="16"/>
        </w:rPr>
        <w:t> </w:t>
      </w:r>
      <w:r>
        <w:rPr>
          <w:sz w:val="16"/>
        </w:rPr>
        <w:t>184).</w:t>
      </w:r>
      <w:r>
        <w:rPr>
          <w:spacing w:val="-13"/>
          <w:sz w:val="16"/>
        </w:rPr>
        <w:t> </w:t>
      </w:r>
      <w:r>
        <w:rPr>
          <w:sz w:val="16"/>
        </w:rPr>
        <w:t>También</w:t>
      </w:r>
      <w:r>
        <w:rPr>
          <w:spacing w:val="-14"/>
          <w:sz w:val="16"/>
        </w:rPr>
        <w:t> </w:t>
      </w:r>
      <w:r>
        <w:rPr>
          <w:sz w:val="16"/>
        </w:rPr>
        <w:t>el</w:t>
      </w:r>
      <w:r>
        <w:rPr>
          <w:spacing w:val="-13"/>
          <w:sz w:val="16"/>
        </w:rPr>
        <w:t> </w:t>
      </w:r>
      <w:r>
        <w:rPr>
          <w:sz w:val="16"/>
        </w:rPr>
        <w:t>Grupo</w:t>
      </w:r>
      <w:r>
        <w:rPr>
          <w:spacing w:val="-11"/>
          <w:sz w:val="16"/>
        </w:rPr>
        <w:t> </w:t>
      </w:r>
      <w:r>
        <w:rPr>
          <w:sz w:val="16"/>
        </w:rPr>
        <w:t>sobre</w:t>
      </w:r>
      <w:r>
        <w:rPr>
          <w:spacing w:val="-14"/>
          <w:sz w:val="16"/>
        </w:rPr>
        <w:t> </w:t>
      </w:r>
      <w:r>
        <w:rPr>
          <w:sz w:val="16"/>
        </w:rPr>
        <w:t>el</w:t>
      </w:r>
      <w:r>
        <w:rPr>
          <w:spacing w:val="-13"/>
          <w:sz w:val="16"/>
        </w:rPr>
        <w:t> </w:t>
      </w:r>
      <w:r>
        <w:rPr>
          <w:sz w:val="16"/>
        </w:rPr>
        <w:t>PSS</w:t>
      </w:r>
      <w:r>
        <w:rPr>
          <w:spacing w:val="-14"/>
          <w:sz w:val="16"/>
        </w:rPr>
        <w:t> </w:t>
      </w:r>
      <w:r>
        <w:rPr>
          <w:sz w:val="16"/>
        </w:rPr>
        <w:t>procedió en</w:t>
      </w:r>
      <w:r>
        <w:rPr>
          <w:spacing w:val="-11"/>
          <w:sz w:val="16"/>
        </w:rPr>
        <w:t> </w:t>
      </w:r>
      <w:r>
        <w:rPr>
          <w:sz w:val="16"/>
        </w:rPr>
        <w:t>forma</w:t>
      </w:r>
      <w:r>
        <w:rPr>
          <w:spacing w:val="-12"/>
          <w:sz w:val="16"/>
        </w:rPr>
        <w:t> </w:t>
      </w:r>
      <w:r>
        <w:rPr>
          <w:sz w:val="16"/>
        </w:rPr>
        <w:t>similar,</w:t>
      </w:r>
      <w:r>
        <w:rPr>
          <w:spacing w:val="-12"/>
          <w:sz w:val="16"/>
        </w:rPr>
        <w:t> </w:t>
      </w:r>
      <w:r>
        <w:rPr>
          <w:sz w:val="16"/>
        </w:rPr>
        <w:t>tomando</w:t>
      </w:r>
      <w:r>
        <w:rPr>
          <w:spacing w:val="-10"/>
          <w:sz w:val="16"/>
        </w:rPr>
        <w:t> </w:t>
      </w:r>
      <w:r>
        <w:rPr>
          <w:sz w:val="16"/>
        </w:rPr>
        <w:t>los</w:t>
      </w:r>
      <w:r>
        <w:rPr>
          <w:spacing w:val="-13"/>
          <w:sz w:val="16"/>
        </w:rPr>
        <w:t> </w:t>
      </w:r>
      <w:r>
        <w:rPr>
          <w:sz w:val="16"/>
        </w:rPr>
        <w:t>señalamientos</w:t>
      </w:r>
      <w:r>
        <w:rPr>
          <w:spacing w:val="-10"/>
          <w:sz w:val="16"/>
        </w:rPr>
        <w:t> </w:t>
      </w:r>
      <w:r>
        <w:rPr>
          <w:sz w:val="16"/>
        </w:rPr>
        <w:t>del</w:t>
      </w:r>
      <w:r>
        <w:rPr>
          <w:spacing w:val="-12"/>
          <w:sz w:val="16"/>
        </w:rPr>
        <w:t> </w:t>
      </w:r>
      <w:r>
        <w:rPr>
          <w:sz w:val="16"/>
        </w:rPr>
        <w:t>Comité</w:t>
      </w:r>
      <w:r>
        <w:rPr>
          <w:spacing w:val="-11"/>
          <w:sz w:val="16"/>
        </w:rPr>
        <w:t> </w:t>
      </w:r>
      <w:r>
        <w:rPr>
          <w:sz w:val="16"/>
        </w:rPr>
        <w:t>DESC</w:t>
      </w:r>
      <w:r>
        <w:rPr>
          <w:spacing w:val="-10"/>
          <w:sz w:val="16"/>
        </w:rPr>
        <w:t> </w:t>
      </w:r>
      <w:r>
        <w:rPr>
          <w:sz w:val="16"/>
        </w:rPr>
        <w:t>como</w:t>
      </w:r>
      <w:r>
        <w:rPr>
          <w:spacing w:val="-10"/>
          <w:sz w:val="16"/>
        </w:rPr>
        <w:t> </w:t>
      </w:r>
      <w:r>
        <w:rPr>
          <w:sz w:val="16"/>
        </w:rPr>
        <w:t>una</w:t>
      </w:r>
      <w:r>
        <w:rPr>
          <w:spacing w:val="-11"/>
          <w:sz w:val="16"/>
        </w:rPr>
        <w:t> </w:t>
      </w:r>
      <w:r>
        <w:rPr>
          <w:sz w:val="16"/>
        </w:rPr>
        <w:t>referencia</w:t>
      </w:r>
      <w:r>
        <w:rPr>
          <w:spacing w:val="-12"/>
          <w:sz w:val="16"/>
        </w:rPr>
        <w:t> </w:t>
      </w:r>
      <w:r>
        <w:rPr>
          <w:sz w:val="16"/>
        </w:rPr>
        <w:t>relevante</w:t>
      </w:r>
      <w:r>
        <w:rPr>
          <w:spacing w:val="-8"/>
          <w:sz w:val="16"/>
        </w:rPr>
        <w:t> </w:t>
      </w:r>
      <w:r>
        <w:rPr>
          <w:sz w:val="16"/>
        </w:rPr>
        <w:t>(</w:t>
      </w:r>
      <w:r>
        <w:rPr>
          <w:i/>
          <w:sz w:val="16"/>
        </w:rPr>
        <w:t>cfr.</w:t>
      </w:r>
      <w:r>
        <w:rPr>
          <w:i/>
          <w:spacing w:val="-11"/>
          <w:sz w:val="16"/>
        </w:rPr>
        <w:t> </w:t>
      </w:r>
      <w:r>
        <w:rPr>
          <w:i/>
          <w:sz w:val="16"/>
        </w:rPr>
        <w:t>Indicadores </w:t>
      </w:r>
      <w:r>
        <w:rPr>
          <w:i/>
          <w:sz w:val="16"/>
        </w:rPr>
        <w:t>de progreso para la medición de derechos contemplados en el Protocolo de San Salvador. - Segundo agrupamiento de</w:t>
      </w:r>
      <w:r>
        <w:rPr>
          <w:i/>
          <w:spacing w:val="-12"/>
          <w:sz w:val="16"/>
        </w:rPr>
        <w:t> </w:t>
      </w:r>
      <w:r>
        <w:rPr>
          <w:i/>
          <w:sz w:val="16"/>
        </w:rPr>
        <w:t>Derechos</w:t>
      </w:r>
      <w:r>
        <w:rPr>
          <w:sz w:val="16"/>
        </w:rPr>
        <w:t>”).</w:t>
      </w:r>
    </w:p>
    <w:p>
      <w:pPr>
        <w:pStyle w:val="BodyText"/>
        <w:spacing w:before="11"/>
        <w:rPr>
          <w:sz w:val="15"/>
        </w:rPr>
      </w:pPr>
    </w:p>
    <w:p>
      <w:pPr>
        <w:tabs>
          <w:tab w:pos="829" w:val="left" w:leader="none"/>
        </w:tabs>
        <w:spacing w:before="0"/>
        <w:ind w:left="122" w:right="114" w:firstLine="0"/>
        <w:jc w:val="both"/>
        <w:rPr>
          <w:sz w:val="16"/>
        </w:rPr>
      </w:pPr>
      <w:r>
        <w:rPr>
          <w:position w:val="6"/>
          <w:sz w:val="10"/>
        </w:rPr>
        <w:t>213</w:t>
        <w:tab/>
      </w:r>
      <w:r>
        <w:rPr>
          <w:sz w:val="16"/>
        </w:rPr>
        <w:t>Comité DESC. </w:t>
      </w:r>
      <w:r>
        <w:rPr>
          <w:i/>
          <w:sz w:val="16"/>
        </w:rPr>
        <w:t>Observación General 12. El derecho a una alimentación adecuada (artículo </w:t>
      </w:r>
      <w:r>
        <w:rPr>
          <w:i/>
          <w:spacing w:val="4"/>
          <w:sz w:val="16"/>
        </w:rPr>
        <w:t> </w:t>
      </w:r>
      <w:r>
        <w:rPr>
          <w:i/>
          <w:sz w:val="16"/>
        </w:rPr>
        <w:t>11)</w:t>
      </w:r>
      <w:r>
        <w:rPr>
          <w:sz w:val="16"/>
        </w:rPr>
        <w:t>,</w:t>
      </w:r>
      <w:r>
        <w:rPr>
          <w:spacing w:val="4"/>
          <w:sz w:val="16"/>
        </w:rPr>
        <w:t> </w:t>
      </w:r>
      <w:r>
        <w:rPr>
          <w:sz w:val="16"/>
        </w:rPr>
        <w:t>párr.</w:t>
      </w:r>
      <w:r>
        <w:rPr>
          <w:w w:val="100"/>
          <w:sz w:val="16"/>
        </w:rPr>
        <w:t> </w:t>
      </w:r>
      <w:r>
        <w:rPr>
          <w:sz w:val="16"/>
        </w:rPr>
        <w:t>8.</w:t>
      </w:r>
    </w:p>
    <w:p>
      <w:pPr>
        <w:pStyle w:val="BodyText"/>
        <w:spacing w:before="1"/>
        <w:rPr>
          <w:sz w:val="16"/>
        </w:rPr>
      </w:pPr>
    </w:p>
    <w:p>
      <w:pPr>
        <w:tabs>
          <w:tab w:pos="829" w:val="left" w:leader="none"/>
        </w:tabs>
        <w:spacing w:before="1"/>
        <w:ind w:left="122" w:right="0" w:firstLine="0"/>
        <w:jc w:val="both"/>
        <w:rPr>
          <w:sz w:val="16"/>
        </w:rPr>
      </w:pPr>
      <w:r>
        <w:rPr>
          <w:position w:val="6"/>
          <w:sz w:val="10"/>
        </w:rPr>
        <w:t>214</w:t>
        <w:tab/>
      </w:r>
      <w:r>
        <w:rPr>
          <w:sz w:val="16"/>
        </w:rPr>
        <w:t>Comité DESC. </w:t>
      </w:r>
      <w:r>
        <w:rPr>
          <w:i/>
          <w:sz w:val="16"/>
        </w:rPr>
        <w:t>Observación General 12. El derecho a una alimentación adecuada (artículo 11)</w:t>
      </w:r>
      <w:r>
        <w:rPr>
          <w:sz w:val="16"/>
        </w:rPr>
        <w:t>,</w:t>
      </w:r>
      <w:r>
        <w:rPr>
          <w:spacing w:val="-22"/>
          <w:sz w:val="16"/>
        </w:rPr>
        <w:t> </w:t>
      </w:r>
      <w:r>
        <w:rPr>
          <w:sz w:val="16"/>
        </w:rPr>
        <w:t>párrs.</w:t>
      </w:r>
    </w:p>
    <w:p>
      <w:pPr>
        <w:spacing w:before="0"/>
        <w:ind w:left="122" w:right="0" w:firstLine="0"/>
        <w:jc w:val="both"/>
        <w:rPr>
          <w:i/>
          <w:sz w:val="16"/>
        </w:rPr>
      </w:pPr>
      <w:r>
        <w:rPr>
          <w:sz w:val="16"/>
        </w:rPr>
        <w:t>12 y 13. En el último párrafo indicado, el Comité DESC expresó también que: a) “[l]a </w:t>
      </w:r>
      <w:r>
        <w:rPr>
          <w:i/>
          <w:sz w:val="16"/>
        </w:rPr>
        <w:t>accesibilidad económica</w:t>
      </w:r>
    </w:p>
    <w:p>
      <w:pPr>
        <w:spacing w:after="0"/>
        <w:jc w:val="both"/>
        <w:rPr>
          <w:sz w:val="16"/>
        </w:rPr>
        <w:sectPr>
          <w:pgSz w:w="12240" w:h="15840"/>
          <w:pgMar w:header="0" w:footer="1000" w:top="1340" w:bottom="1200" w:left="1580" w:right="1580"/>
        </w:sectPr>
      </w:pPr>
    </w:p>
    <w:p>
      <w:pPr>
        <w:pStyle w:val="ListParagraph"/>
        <w:numPr>
          <w:ilvl w:val="0"/>
          <w:numId w:val="31"/>
        </w:numPr>
        <w:tabs>
          <w:tab w:pos="830" w:val="left" w:leader="none"/>
        </w:tabs>
        <w:spacing w:line="240" w:lineRule="auto" w:before="161" w:after="0"/>
        <w:ind w:left="122" w:right="121" w:firstLine="0"/>
        <w:jc w:val="both"/>
        <w:rPr>
          <w:sz w:val="20"/>
        </w:rPr>
      </w:pPr>
      <w:r>
        <w:rPr>
          <w:sz w:val="20"/>
        </w:rPr>
        <w:t>En lo que también resulta relevante destacar para el caso, corresponde hacer notar que los conceptos de “adecuación” y “seguridad alimentaria” son particularmente importantes respecto al derecho a la alimentación. El primero, pone de relieve que no cualquier tipo de alimentación satisface el derecho, sino que hay factores que deben tomarse en cuenta, que hacen a la alimentación “adecuada”. El segundo concepto se relaciona con el de “sostenibilidad”, y entraña “la posibilidad de acceso a los alimentos por parte de las generaciones presentes y futuras”. El Comité DESC explicó también “que los alimentos deb[e]n ser </w:t>
      </w:r>
      <w:r>
        <w:rPr>
          <w:i/>
          <w:sz w:val="20"/>
        </w:rPr>
        <w:t>aceptables para una cultura o unos consumidores </w:t>
      </w:r>
      <w:r>
        <w:rPr>
          <w:i/>
          <w:sz w:val="20"/>
        </w:rPr>
        <w:t>determinados</w:t>
      </w:r>
      <w:r>
        <w:rPr>
          <w:sz w:val="20"/>
        </w:rPr>
        <w:t>[, lo que] significa que hay que tener también en cuenta, en la medida de lo posible, los valores no relacionados con la nutrición que se asocian a los alimentos y el consumo de</w:t>
      </w:r>
      <w:r>
        <w:rPr>
          <w:spacing w:val="-7"/>
          <w:sz w:val="20"/>
        </w:rPr>
        <w:t> </w:t>
      </w:r>
      <w:r>
        <w:rPr>
          <w:sz w:val="20"/>
        </w:rPr>
        <w:t>alimentos”</w:t>
      </w:r>
      <w:r>
        <w:rPr>
          <w:position w:val="7"/>
          <w:sz w:val="13"/>
        </w:rPr>
        <w:t>215</w:t>
      </w:r>
      <w:r>
        <w:rPr>
          <w:sz w:val="20"/>
        </w:rPr>
        <w:t>.</w:t>
      </w:r>
    </w:p>
    <w:p>
      <w:pPr>
        <w:pStyle w:val="BodyText"/>
      </w:pPr>
    </w:p>
    <w:p>
      <w:pPr>
        <w:pStyle w:val="ListParagraph"/>
        <w:numPr>
          <w:ilvl w:val="0"/>
          <w:numId w:val="31"/>
        </w:numPr>
        <w:tabs>
          <w:tab w:pos="830" w:val="left" w:leader="none"/>
        </w:tabs>
        <w:spacing w:line="240" w:lineRule="auto" w:before="0" w:after="0"/>
        <w:ind w:left="122" w:right="124" w:firstLine="0"/>
        <w:jc w:val="both"/>
        <w:rPr>
          <w:sz w:val="20"/>
        </w:rPr>
      </w:pPr>
      <w:r>
        <w:rPr>
          <w:sz w:val="20"/>
        </w:rPr>
        <w:t>Los Estados tienen el deber no solo de respetar</w:t>
      </w:r>
      <w:r>
        <w:rPr>
          <w:position w:val="7"/>
          <w:sz w:val="13"/>
        </w:rPr>
        <w:t>216</w:t>
      </w:r>
      <w:r>
        <w:rPr>
          <w:sz w:val="20"/>
        </w:rPr>
        <w:t>, sino también de garantizar el derecho a la alimentación, y debe entenderse como parte de tal obligación el deber de “protección”</w:t>
      </w:r>
      <w:r>
        <w:rPr>
          <w:spacing w:val="-11"/>
          <w:sz w:val="20"/>
        </w:rPr>
        <w:t> </w:t>
      </w:r>
      <w:r>
        <w:rPr>
          <w:sz w:val="20"/>
        </w:rPr>
        <w:t>del</w:t>
      </w:r>
      <w:r>
        <w:rPr>
          <w:spacing w:val="-10"/>
          <w:sz w:val="20"/>
        </w:rPr>
        <w:t> </w:t>
      </w:r>
      <w:r>
        <w:rPr>
          <w:sz w:val="20"/>
        </w:rPr>
        <w:t>derecho,</w:t>
      </w:r>
      <w:r>
        <w:rPr>
          <w:spacing w:val="-13"/>
          <w:sz w:val="20"/>
        </w:rPr>
        <w:t> </w:t>
      </w:r>
      <w:r>
        <w:rPr>
          <w:sz w:val="20"/>
        </w:rPr>
        <w:t>tal</w:t>
      </w:r>
      <w:r>
        <w:rPr>
          <w:spacing w:val="-9"/>
          <w:sz w:val="20"/>
        </w:rPr>
        <w:t> </w:t>
      </w:r>
      <w:r>
        <w:rPr>
          <w:sz w:val="20"/>
        </w:rPr>
        <w:t>como</w:t>
      </w:r>
      <w:r>
        <w:rPr>
          <w:spacing w:val="-11"/>
          <w:sz w:val="20"/>
        </w:rPr>
        <w:t> </w:t>
      </w:r>
      <w:r>
        <w:rPr>
          <w:sz w:val="20"/>
        </w:rPr>
        <w:t>fue</w:t>
      </w:r>
      <w:r>
        <w:rPr>
          <w:spacing w:val="-11"/>
          <w:sz w:val="20"/>
        </w:rPr>
        <w:t> </w:t>
      </w:r>
      <w:r>
        <w:rPr>
          <w:sz w:val="20"/>
        </w:rPr>
        <w:t>conceptuado</w:t>
      </w:r>
      <w:r>
        <w:rPr>
          <w:spacing w:val="-14"/>
          <w:sz w:val="20"/>
        </w:rPr>
        <w:t> </w:t>
      </w:r>
      <w:r>
        <w:rPr>
          <w:sz w:val="20"/>
        </w:rPr>
        <w:t>por</w:t>
      </w:r>
      <w:r>
        <w:rPr>
          <w:spacing w:val="-12"/>
          <w:sz w:val="20"/>
        </w:rPr>
        <w:t> </w:t>
      </w:r>
      <w:r>
        <w:rPr>
          <w:sz w:val="20"/>
        </w:rPr>
        <w:t>el</w:t>
      </w:r>
      <w:r>
        <w:rPr>
          <w:spacing w:val="-10"/>
          <w:sz w:val="20"/>
        </w:rPr>
        <w:t> </w:t>
      </w:r>
      <w:r>
        <w:rPr>
          <w:sz w:val="20"/>
        </w:rPr>
        <w:t>Comité</w:t>
      </w:r>
      <w:r>
        <w:rPr>
          <w:spacing w:val="-12"/>
          <w:sz w:val="20"/>
        </w:rPr>
        <w:t> </w:t>
      </w:r>
      <w:r>
        <w:rPr>
          <w:sz w:val="20"/>
        </w:rPr>
        <w:t>DESC:</w:t>
      </w:r>
      <w:r>
        <w:rPr>
          <w:spacing w:val="-10"/>
          <w:sz w:val="20"/>
        </w:rPr>
        <w:t> </w:t>
      </w:r>
      <w:r>
        <w:rPr>
          <w:sz w:val="20"/>
        </w:rPr>
        <w:t>“[l]a</w:t>
      </w:r>
      <w:r>
        <w:rPr>
          <w:spacing w:val="-12"/>
          <w:sz w:val="20"/>
        </w:rPr>
        <w:t> </w:t>
      </w:r>
      <w:r>
        <w:rPr>
          <w:sz w:val="20"/>
        </w:rPr>
        <w:t>obligación de proteger requiere que el Estado Parte adopte medidas para velar por que las empresas o los particulares no priven a las personas del acceso a una alimentación adecuada”. Correlativamente, el derecho se ve vulnerado por el Estado al </w:t>
      </w:r>
      <w:r>
        <w:rPr>
          <w:spacing w:val="4"/>
          <w:sz w:val="20"/>
        </w:rPr>
        <w:t>“no </w:t>
      </w:r>
      <w:r>
        <w:rPr>
          <w:sz w:val="20"/>
        </w:rPr>
        <w:t>controlar las</w:t>
      </w:r>
      <w:r>
        <w:rPr>
          <w:spacing w:val="-16"/>
          <w:sz w:val="20"/>
        </w:rPr>
        <w:t> </w:t>
      </w:r>
      <w:r>
        <w:rPr>
          <w:sz w:val="20"/>
        </w:rPr>
        <w:t>actividades</w:t>
      </w:r>
      <w:r>
        <w:rPr>
          <w:spacing w:val="-14"/>
          <w:sz w:val="20"/>
        </w:rPr>
        <w:t> </w:t>
      </w:r>
      <w:r>
        <w:rPr>
          <w:sz w:val="20"/>
        </w:rPr>
        <w:t>de</w:t>
      </w:r>
      <w:r>
        <w:rPr>
          <w:spacing w:val="-16"/>
          <w:sz w:val="20"/>
        </w:rPr>
        <w:t> </w:t>
      </w:r>
      <w:r>
        <w:rPr>
          <w:sz w:val="20"/>
        </w:rPr>
        <w:t>individuos</w:t>
      </w:r>
      <w:r>
        <w:rPr>
          <w:spacing w:val="-13"/>
          <w:sz w:val="20"/>
        </w:rPr>
        <w:t> </w:t>
      </w:r>
      <w:r>
        <w:rPr>
          <w:sz w:val="20"/>
        </w:rPr>
        <w:t>o</w:t>
      </w:r>
      <w:r>
        <w:rPr>
          <w:spacing w:val="-14"/>
          <w:sz w:val="20"/>
        </w:rPr>
        <w:t> </w:t>
      </w:r>
      <w:r>
        <w:rPr>
          <w:sz w:val="20"/>
        </w:rPr>
        <w:t>grupos</w:t>
      </w:r>
      <w:r>
        <w:rPr>
          <w:spacing w:val="-16"/>
          <w:sz w:val="20"/>
        </w:rPr>
        <w:t> </w:t>
      </w:r>
      <w:r>
        <w:rPr>
          <w:sz w:val="20"/>
        </w:rPr>
        <w:t>para</w:t>
      </w:r>
      <w:r>
        <w:rPr>
          <w:spacing w:val="-13"/>
          <w:sz w:val="20"/>
        </w:rPr>
        <w:t> </w:t>
      </w:r>
      <w:r>
        <w:rPr>
          <w:sz w:val="20"/>
        </w:rPr>
        <w:t>evitar</w:t>
      </w:r>
      <w:r>
        <w:rPr>
          <w:spacing w:val="-16"/>
          <w:sz w:val="20"/>
        </w:rPr>
        <w:t> </w:t>
      </w:r>
      <w:r>
        <w:rPr>
          <w:sz w:val="20"/>
        </w:rPr>
        <w:t>que</w:t>
      </w:r>
      <w:r>
        <w:rPr>
          <w:spacing w:val="-14"/>
          <w:sz w:val="20"/>
        </w:rPr>
        <w:t> </w:t>
      </w:r>
      <w:r>
        <w:rPr>
          <w:sz w:val="20"/>
        </w:rPr>
        <w:t>violen</w:t>
      </w:r>
      <w:r>
        <w:rPr>
          <w:spacing w:val="-12"/>
          <w:sz w:val="20"/>
        </w:rPr>
        <w:t> </w:t>
      </w:r>
      <w:r>
        <w:rPr>
          <w:sz w:val="20"/>
        </w:rPr>
        <w:t>el</w:t>
      </w:r>
      <w:r>
        <w:rPr>
          <w:spacing w:val="-15"/>
          <w:sz w:val="20"/>
        </w:rPr>
        <w:t> </w:t>
      </w:r>
      <w:r>
        <w:rPr>
          <w:sz w:val="20"/>
        </w:rPr>
        <w:t>derecho</w:t>
      </w:r>
      <w:r>
        <w:rPr>
          <w:spacing w:val="-14"/>
          <w:sz w:val="20"/>
        </w:rPr>
        <w:t> </w:t>
      </w:r>
      <w:r>
        <w:rPr>
          <w:sz w:val="20"/>
        </w:rPr>
        <w:t>a</w:t>
      </w:r>
      <w:r>
        <w:rPr>
          <w:spacing w:val="-15"/>
          <w:sz w:val="20"/>
        </w:rPr>
        <w:t> </w:t>
      </w:r>
      <w:r>
        <w:rPr>
          <w:sz w:val="20"/>
        </w:rPr>
        <w:t>la</w:t>
      </w:r>
      <w:r>
        <w:rPr>
          <w:spacing w:val="-15"/>
          <w:sz w:val="20"/>
        </w:rPr>
        <w:t> </w:t>
      </w:r>
      <w:r>
        <w:rPr>
          <w:sz w:val="20"/>
        </w:rPr>
        <w:t>alimentación de otras</w:t>
      </w:r>
      <w:r>
        <w:rPr>
          <w:spacing w:val="-9"/>
          <w:sz w:val="20"/>
        </w:rPr>
        <w:t> </w:t>
      </w:r>
      <w:r>
        <w:rPr>
          <w:sz w:val="20"/>
        </w:rPr>
        <w:t>personas”</w:t>
      </w:r>
      <w:r>
        <w:rPr>
          <w:position w:val="7"/>
          <w:sz w:val="13"/>
        </w:rPr>
        <w:t>217</w:t>
      </w:r>
      <w:r>
        <w:rPr>
          <w:sz w:val="20"/>
        </w:rPr>
        <w:t>.</w:t>
      </w:r>
    </w:p>
    <w:p>
      <w:pPr>
        <w:pStyle w:val="BodyText"/>
      </w:pPr>
    </w:p>
    <w:p>
      <w:pPr>
        <w:pStyle w:val="BodyText"/>
      </w:pPr>
    </w:p>
    <w:p>
      <w:pPr>
        <w:pStyle w:val="BodyText"/>
      </w:pPr>
    </w:p>
    <w:p>
      <w:pPr>
        <w:pStyle w:val="BodyText"/>
        <w:spacing w:before="4"/>
        <w:rPr>
          <w:sz w:val="17"/>
        </w:rPr>
      </w:pPr>
      <w:r>
        <w:rPr/>
        <w:pict>
          <v:line style="position:absolute;mso-position-horizontal-relative:page;mso-position-vertical-relative:paragraph;z-index:2728;mso-wrap-distance-left:0;mso-wrap-distance-right:0" from="85.103996pt,12.9034pt" to="229.123996pt,12.9034pt" stroked="true" strokeweight=".72pt" strokecolor="#000000">
            <v:stroke dashstyle="solid"/>
            <w10:wrap type="topAndBottom"/>
          </v:line>
        </w:pict>
      </w:r>
    </w:p>
    <w:p>
      <w:pPr>
        <w:spacing w:before="71"/>
        <w:ind w:left="122" w:right="112" w:firstLine="0"/>
        <w:jc w:val="both"/>
        <w:rPr>
          <w:sz w:val="16"/>
        </w:rPr>
      </w:pPr>
      <w:r>
        <w:rPr>
          <w:sz w:val="16"/>
        </w:rPr>
        <w:t>implica que los costos financieros personales o familiares asociados con la adquisición de los alimentos necesarios</w:t>
      </w:r>
      <w:r>
        <w:rPr>
          <w:spacing w:val="-3"/>
          <w:sz w:val="16"/>
        </w:rPr>
        <w:t> </w:t>
      </w:r>
      <w:r>
        <w:rPr>
          <w:sz w:val="16"/>
        </w:rPr>
        <w:t>para</w:t>
      </w:r>
      <w:r>
        <w:rPr>
          <w:spacing w:val="-3"/>
          <w:sz w:val="16"/>
        </w:rPr>
        <w:t> </w:t>
      </w:r>
      <w:r>
        <w:rPr>
          <w:sz w:val="16"/>
        </w:rPr>
        <w:t>un</w:t>
      </w:r>
      <w:r>
        <w:rPr>
          <w:spacing w:val="-4"/>
          <w:sz w:val="16"/>
        </w:rPr>
        <w:t> </w:t>
      </w:r>
      <w:r>
        <w:rPr>
          <w:sz w:val="16"/>
        </w:rPr>
        <w:t>régimen</w:t>
      </w:r>
      <w:r>
        <w:rPr>
          <w:spacing w:val="-4"/>
          <w:sz w:val="16"/>
        </w:rPr>
        <w:t> </w:t>
      </w:r>
      <w:r>
        <w:rPr>
          <w:sz w:val="16"/>
        </w:rPr>
        <w:t>de</w:t>
      </w:r>
      <w:r>
        <w:rPr>
          <w:spacing w:val="-1"/>
          <w:sz w:val="16"/>
        </w:rPr>
        <w:t> </w:t>
      </w:r>
      <w:r>
        <w:rPr>
          <w:sz w:val="16"/>
        </w:rPr>
        <w:t>alimentación</w:t>
      </w:r>
      <w:r>
        <w:rPr>
          <w:spacing w:val="-4"/>
          <w:sz w:val="16"/>
        </w:rPr>
        <w:t> </w:t>
      </w:r>
      <w:r>
        <w:rPr>
          <w:sz w:val="16"/>
        </w:rPr>
        <w:t>adecuado</w:t>
      </w:r>
      <w:r>
        <w:rPr>
          <w:spacing w:val="-4"/>
          <w:sz w:val="16"/>
        </w:rPr>
        <w:t> </w:t>
      </w:r>
      <w:r>
        <w:rPr>
          <w:sz w:val="16"/>
        </w:rPr>
        <w:t>deben</w:t>
      </w:r>
      <w:r>
        <w:rPr>
          <w:spacing w:val="-2"/>
          <w:sz w:val="16"/>
        </w:rPr>
        <w:t> </w:t>
      </w:r>
      <w:r>
        <w:rPr>
          <w:sz w:val="16"/>
        </w:rPr>
        <w:t>estar a</w:t>
      </w:r>
      <w:r>
        <w:rPr>
          <w:spacing w:val="-3"/>
          <w:sz w:val="16"/>
        </w:rPr>
        <w:t> </w:t>
      </w:r>
      <w:r>
        <w:rPr>
          <w:sz w:val="16"/>
        </w:rPr>
        <w:t>un</w:t>
      </w:r>
      <w:r>
        <w:rPr>
          <w:spacing w:val="-4"/>
          <w:sz w:val="16"/>
        </w:rPr>
        <w:t> </w:t>
      </w:r>
      <w:r>
        <w:rPr>
          <w:sz w:val="16"/>
        </w:rPr>
        <w:t>nivel</w:t>
      </w:r>
      <w:r>
        <w:rPr>
          <w:spacing w:val="-3"/>
          <w:sz w:val="16"/>
        </w:rPr>
        <w:t> </w:t>
      </w:r>
      <w:r>
        <w:rPr>
          <w:sz w:val="16"/>
        </w:rPr>
        <w:t>tal</w:t>
      </w:r>
      <w:r>
        <w:rPr>
          <w:spacing w:val="-3"/>
          <w:sz w:val="16"/>
        </w:rPr>
        <w:t> </w:t>
      </w:r>
      <w:r>
        <w:rPr>
          <w:sz w:val="16"/>
        </w:rPr>
        <w:t>que</w:t>
      </w:r>
      <w:r>
        <w:rPr>
          <w:spacing w:val="-3"/>
          <w:sz w:val="16"/>
        </w:rPr>
        <w:t> </w:t>
      </w:r>
      <w:r>
        <w:rPr>
          <w:sz w:val="16"/>
        </w:rPr>
        <w:t>no</w:t>
      </w:r>
      <w:r>
        <w:rPr>
          <w:spacing w:val="-3"/>
          <w:sz w:val="16"/>
        </w:rPr>
        <w:t> </w:t>
      </w:r>
      <w:r>
        <w:rPr>
          <w:sz w:val="16"/>
        </w:rPr>
        <w:t>se</w:t>
      </w:r>
      <w:r>
        <w:rPr>
          <w:spacing w:val="-3"/>
          <w:sz w:val="16"/>
        </w:rPr>
        <w:t> </w:t>
      </w:r>
      <w:r>
        <w:rPr>
          <w:sz w:val="16"/>
        </w:rPr>
        <w:t>vean</w:t>
      </w:r>
      <w:r>
        <w:rPr>
          <w:spacing w:val="-4"/>
          <w:sz w:val="16"/>
        </w:rPr>
        <w:t> </w:t>
      </w:r>
      <w:r>
        <w:rPr>
          <w:sz w:val="16"/>
        </w:rPr>
        <w:t>amenazados o en peligro la provisión y la satisfacción</w:t>
      </w:r>
      <w:r>
        <w:rPr>
          <w:spacing w:val="-39"/>
          <w:sz w:val="16"/>
        </w:rPr>
        <w:t> </w:t>
      </w:r>
      <w:r>
        <w:rPr>
          <w:sz w:val="16"/>
        </w:rPr>
        <w:t>de otras necesidades básicas. La accesibilidad económica se aplica a cualquier tipo o derecho de adquisición por el que las personas obtienen sus alimentos y es una medida del grado</w:t>
      </w:r>
      <w:r>
        <w:rPr>
          <w:spacing w:val="-3"/>
          <w:sz w:val="16"/>
        </w:rPr>
        <w:t> </w:t>
      </w:r>
      <w:r>
        <w:rPr>
          <w:sz w:val="16"/>
        </w:rPr>
        <w:t>en</w:t>
      </w:r>
      <w:r>
        <w:rPr>
          <w:spacing w:val="-7"/>
          <w:sz w:val="16"/>
        </w:rPr>
        <w:t> </w:t>
      </w:r>
      <w:r>
        <w:rPr>
          <w:sz w:val="16"/>
        </w:rPr>
        <w:t>que</w:t>
      </w:r>
      <w:r>
        <w:rPr>
          <w:spacing w:val="-4"/>
          <w:sz w:val="16"/>
        </w:rPr>
        <w:t> </w:t>
      </w:r>
      <w:r>
        <w:rPr>
          <w:sz w:val="16"/>
        </w:rPr>
        <w:t>es</w:t>
      </w:r>
      <w:r>
        <w:rPr>
          <w:spacing w:val="-6"/>
          <w:sz w:val="16"/>
        </w:rPr>
        <w:t> </w:t>
      </w:r>
      <w:r>
        <w:rPr>
          <w:sz w:val="16"/>
        </w:rPr>
        <w:t>satisfactorio</w:t>
      </w:r>
      <w:r>
        <w:rPr>
          <w:spacing w:val="-5"/>
          <w:sz w:val="16"/>
        </w:rPr>
        <w:t> </w:t>
      </w:r>
      <w:r>
        <w:rPr>
          <w:sz w:val="16"/>
        </w:rPr>
        <w:t>para</w:t>
      </w:r>
      <w:r>
        <w:rPr>
          <w:spacing w:val="-4"/>
          <w:sz w:val="16"/>
        </w:rPr>
        <w:t> </w:t>
      </w:r>
      <w:r>
        <w:rPr>
          <w:sz w:val="16"/>
        </w:rPr>
        <w:t>el</w:t>
      </w:r>
      <w:r>
        <w:rPr>
          <w:spacing w:val="-4"/>
          <w:sz w:val="16"/>
        </w:rPr>
        <w:t> </w:t>
      </w:r>
      <w:r>
        <w:rPr>
          <w:sz w:val="16"/>
        </w:rPr>
        <w:t>disfrute</w:t>
      </w:r>
      <w:r>
        <w:rPr>
          <w:spacing w:val="-3"/>
          <w:sz w:val="16"/>
        </w:rPr>
        <w:t> </w:t>
      </w:r>
      <w:r>
        <w:rPr>
          <w:sz w:val="16"/>
        </w:rPr>
        <w:t>del</w:t>
      </w:r>
      <w:r>
        <w:rPr>
          <w:spacing w:val="-4"/>
          <w:sz w:val="16"/>
        </w:rPr>
        <w:t> </w:t>
      </w:r>
      <w:r>
        <w:rPr>
          <w:sz w:val="16"/>
        </w:rPr>
        <w:t>derecho</w:t>
      </w:r>
      <w:r>
        <w:rPr>
          <w:spacing w:val="-3"/>
          <w:sz w:val="16"/>
        </w:rPr>
        <w:t> </w:t>
      </w:r>
      <w:r>
        <w:rPr>
          <w:sz w:val="16"/>
        </w:rPr>
        <w:t>a</w:t>
      </w:r>
      <w:r>
        <w:rPr>
          <w:spacing w:val="-7"/>
          <w:sz w:val="16"/>
        </w:rPr>
        <w:t> </w:t>
      </w:r>
      <w:r>
        <w:rPr>
          <w:sz w:val="16"/>
        </w:rPr>
        <w:t>la</w:t>
      </w:r>
      <w:r>
        <w:rPr>
          <w:spacing w:val="-2"/>
          <w:sz w:val="16"/>
        </w:rPr>
        <w:t> </w:t>
      </w:r>
      <w:r>
        <w:rPr>
          <w:sz w:val="16"/>
        </w:rPr>
        <w:t>alimentación</w:t>
      </w:r>
      <w:r>
        <w:rPr>
          <w:spacing w:val="-2"/>
          <w:sz w:val="16"/>
        </w:rPr>
        <w:t> </w:t>
      </w:r>
      <w:r>
        <w:rPr>
          <w:sz w:val="16"/>
        </w:rPr>
        <w:t>adecuada.</w:t>
      </w:r>
      <w:r>
        <w:rPr>
          <w:spacing w:val="-2"/>
          <w:sz w:val="16"/>
        </w:rPr>
        <w:t> </w:t>
      </w:r>
      <w:r>
        <w:rPr>
          <w:sz w:val="16"/>
        </w:rPr>
        <w:t>Los</w:t>
      </w:r>
      <w:r>
        <w:rPr>
          <w:spacing w:val="-6"/>
          <w:sz w:val="16"/>
        </w:rPr>
        <w:t> </w:t>
      </w:r>
      <w:r>
        <w:rPr>
          <w:sz w:val="16"/>
        </w:rPr>
        <w:t>grupos</w:t>
      </w:r>
      <w:r>
        <w:rPr>
          <w:spacing w:val="-4"/>
          <w:sz w:val="16"/>
        </w:rPr>
        <w:t> </w:t>
      </w:r>
      <w:r>
        <w:rPr>
          <w:sz w:val="16"/>
        </w:rPr>
        <w:t>socialmente vulnerables como las personas sin tierra y otros segmentos particularmente empobrecidos de la población pueden</w:t>
      </w:r>
      <w:r>
        <w:rPr>
          <w:spacing w:val="-13"/>
          <w:sz w:val="16"/>
        </w:rPr>
        <w:t> </w:t>
      </w:r>
      <w:r>
        <w:rPr>
          <w:sz w:val="16"/>
        </w:rPr>
        <w:t>requerir</w:t>
      </w:r>
      <w:r>
        <w:rPr>
          <w:spacing w:val="-9"/>
          <w:sz w:val="16"/>
        </w:rPr>
        <w:t> </w:t>
      </w:r>
      <w:r>
        <w:rPr>
          <w:sz w:val="16"/>
        </w:rPr>
        <w:t>la</w:t>
      </w:r>
      <w:r>
        <w:rPr>
          <w:spacing w:val="-10"/>
          <w:sz w:val="16"/>
        </w:rPr>
        <w:t> </w:t>
      </w:r>
      <w:r>
        <w:rPr>
          <w:sz w:val="16"/>
        </w:rPr>
        <w:t>atención</w:t>
      </w:r>
      <w:r>
        <w:rPr>
          <w:spacing w:val="-13"/>
          <w:sz w:val="16"/>
        </w:rPr>
        <w:t> </w:t>
      </w:r>
      <w:r>
        <w:rPr>
          <w:sz w:val="16"/>
        </w:rPr>
        <w:t>de</w:t>
      </w:r>
      <w:r>
        <w:rPr>
          <w:spacing w:val="-12"/>
          <w:sz w:val="16"/>
        </w:rPr>
        <w:t> </w:t>
      </w:r>
      <w:r>
        <w:rPr>
          <w:sz w:val="16"/>
        </w:rPr>
        <w:t>programas</w:t>
      </w:r>
      <w:r>
        <w:rPr>
          <w:spacing w:val="-12"/>
          <w:sz w:val="16"/>
        </w:rPr>
        <w:t> </w:t>
      </w:r>
      <w:r>
        <w:rPr>
          <w:sz w:val="16"/>
        </w:rPr>
        <w:t>especiales”,</w:t>
      </w:r>
      <w:r>
        <w:rPr>
          <w:spacing w:val="-11"/>
          <w:sz w:val="16"/>
        </w:rPr>
        <w:t> </w:t>
      </w:r>
      <w:r>
        <w:rPr>
          <w:sz w:val="16"/>
        </w:rPr>
        <w:t>y</w:t>
      </w:r>
      <w:r>
        <w:rPr>
          <w:spacing w:val="-11"/>
          <w:sz w:val="16"/>
        </w:rPr>
        <w:t> </w:t>
      </w:r>
      <w:r>
        <w:rPr>
          <w:sz w:val="16"/>
        </w:rPr>
        <w:t>b)</w:t>
      </w:r>
      <w:r>
        <w:rPr>
          <w:spacing w:val="-13"/>
          <w:sz w:val="16"/>
        </w:rPr>
        <w:t> </w:t>
      </w:r>
      <w:r>
        <w:rPr>
          <w:sz w:val="16"/>
        </w:rPr>
        <w:t>“[l]a</w:t>
      </w:r>
      <w:r>
        <w:rPr>
          <w:spacing w:val="-8"/>
          <w:sz w:val="16"/>
        </w:rPr>
        <w:t> </w:t>
      </w:r>
      <w:r>
        <w:rPr>
          <w:i/>
          <w:sz w:val="16"/>
        </w:rPr>
        <w:t>accesibilidad</w:t>
      </w:r>
      <w:r>
        <w:rPr>
          <w:i/>
          <w:spacing w:val="-12"/>
          <w:sz w:val="16"/>
        </w:rPr>
        <w:t> </w:t>
      </w:r>
      <w:r>
        <w:rPr>
          <w:i/>
          <w:sz w:val="16"/>
        </w:rPr>
        <w:t>física</w:t>
      </w:r>
      <w:r>
        <w:rPr>
          <w:i/>
          <w:spacing w:val="-10"/>
          <w:sz w:val="16"/>
        </w:rPr>
        <w:t> </w:t>
      </w:r>
      <w:r>
        <w:rPr>
          <w:sz w:val="16"/>
        </w:rPr>
        <w:t>implica</w:t>
      </w:r>
      <w:r>
        <w:rPr>
          <w:spacing w:val="-12"/>
          <w:sz w:val="16"/>
        </w:rPr>
        <w:t> </w:t>
      </w:r>
      <w:r>
        <w:rPr>
          <w:sz w:val="16"/>
        </w:rPr>
        <w:t>que</w:t>
      </w:r>
      <w:r>
        <w:rPr>
          <w:spacing w:val="-9"/>
          <w:sz w:val="16"/>
        </w:rPr>
        <w:t> </w:t>
      </w:r>
      <w:r>
        <w:rPr>
          <w:sz w:val="16"/>
        </w:rPr>
        <w:t>la</w:t>
      </w:r>
      <w:r>
        <w:rPr>
          <w:spacing w:val="-10"/>
          <w:sz w:val="16"/>
        </w:rPr>
        <w:t> </w:t>
      </w:r>
      <w:r>
        <w:rPr>
          <w:sz w:val="16"/>
        </w:rPr>
        <w:t>alimentación adecuada</w:t>
      </w:r>
      <w:r>
        <w:rPr>
          <w:spacing w:val="-9"/>
          <w:sz w:val="16"/>
        </w:rPr>
        <w:t> </w:t>
      </w:r>
      <w:r>
        <w:rPr>
          <w:sz w:val="16"/>
        </w:rPr>
        <w:t>debe</w:t>
      </w:r>
      <w:r>
        <w:rPr>
          <w:spacing w:val="-8"/>
          <w:sz w:val="16"/>
        </w:rPr>
        <w:t> </w:t>
      </w:r>
      <w:r>
        <w:rPr>
          <w:sz w:val="16"/>
        </w:rPr>
        <w:t>ser</w:t>
      </w:r>
      <w:r>
        <w:rPr>
          <w:spacing w:val="-5"/>
          <w:sz w:val="16"/>
        </w:rPr>
        <w:t> </w:t>
      </w:r>
      <w:r>
        <w:rPr>
          <w:sz w:val="16"/>
        </w:rPr>
        <w:t>accesible</w:t>
      </w:r>
      <w:r>
        <w:rPr>
          <w:spacing w:val="-6"/>
          <w:sz w:val="16"/>
        </w:rPr>
        <w:t> </w:t>
      </w:r>
      <w:r>
        <w:rPr>
          <w:sz w:val="16"/>
        </w:rPr>
        <w:t>a</w:t>
      </w:r>
      <w:r>
        <w:rPr>
          <w:spacing w:val="-9"/>
          <w:sz w:val="16"/>
        </w:rPr>
        <w:t> </w:t>
      </w:r>
      <w:r>
        <w:rPr>
          <w:sz w:val="16"/>
        </w:rPr>
        <w:t>todos,</w:t>
      </w:r>
      <w:r>
        <w:rPr>
          <w:spacing w:val="-7"/>
          <w:sz w:val="16"/>
        </w:rPr>
        <w:t> </w:t>
      </w:r>
      <w:r>
        <w:rPr>
          <w:sz w:val="16"/>
        </w:rPr>
        <w:t>incluidos</w:t>
      </w:r>
      <w:r>
        <w:rPr>
          <w:spacing w:val="-6"/>
          <w:sz w:val="16"/>
        </w:rPr>
        <w:t> </w:t>
      </w:r>
      <w:r>
        <w:rPr>
          <w:sz w:val="16"/>
        </w:rPr>
        <w:t>los</w:t>
      </w:r>
      <w:r>
        <w:rPr>
          <w:spacing w:val="-6"/>
          <w:sz w:val="16"/>
        </w:rPr>
        <w:t> </w:t>
      </w:r>
      <w:r>
        <w:rPr>
          <w:sz w:val="16"/>
        </w:rPr>
        <w:t>individuos</w:t>
      </w:r>
      <w:r>
        <w:rPr>
          <w:spacing w:val="-8"/>
          <w:sz w:val="16"/>
        </w:rPr>
        <w:t> </w:t>
      </w:r>
      <w:r>
        <w:rPr>
          <w:sz w:val="16"/>
        </w:rPr>
        <w:t>físicamente</w:t>
      </w:r>
      <w:r>
        <w:rPr>
          <w:spacing w:val="-8"/>
          <w:sz w:val="16"/>
        </w:rPr>
        <w:t> </w:t>
      </w:r>
      <w:r>
        <w:rPr>
          <w:sz w:val="16"/>
        </w:rPr>
        <w:t>vulnerables,</w:t>
      </w:r>
      <w:r>
        <w:rPr>
          <w:spacing w:val="-9"/>
          <w:sz w:val="16"/>
        </w:rPr>
        <w:t> </w:t>
      </w:r>
      <w:r>
        <w:rPr>
          <w:sz w:val="16"/>
        </w:rPr>
        <w:t>tales</w:t>
      </w:r>
      <w:r>
        <w:rPr>
          <w:spacing w:val="-6"/>
          <w:sz w:val="16"/>
        </w:rPr>
        <w:t> </w:t>
      </w:r>
      <w:r>
        <w:rPr>
          <w:sz w:val="16"/>
        </w:rPr>
        <w:t>como</w:t>
      </w:r>
      <w:r>
        <w:rPr>
          <w:spacing w:val="-8"/>
          <w:sz w:val="16"/>
        </w:rPr>
        <w:t> </w:t>
      </w:r>
      <w:r>
        <w:rPr>
          <w:sz w:val="16"/>
        </w:rPr>
        <w:t>los</w:t>
      </w:r>
      <w:r>
        <w:rPr>
          <w:spacing w:val="-8"/>
          <w:sz w:val="16"/>
        </w:rPr>
        <w:t> </w:t>
      </w:r>
      <w:r>
        <w:rPr>
          <w:sz w:val="16"/>
        </w:rPr>
        <w:t>lactantes y los niños pequeños, las personas de edad, los discapacitados físicos, los moribundos y las personas con problemas médicos persistentes, tales como los enfermos mentales. Será necesario prestar especial atención y, a veces, conceder prioridad con respecto a la accesibilidad de los alimentos a las personas que viven en zonas propensas a los desastres y a otros grupos particularmente desfavorecidos. Son especialmente vulnerables muchos grupos de pueblos indígenas cuyo acceso a las tierras ancestrales puede verse amenazado”.</w:t>
      </w:r>
    </w:p>
    <w:p>
      <w:pPr>
        <w:pStyle w:val="BodyText"/>
        <w:spacing w:before="11"/>
        <w:rPr>
          <w:sz w:val="15"/>
        </w:rPr>
      </w:pPr>
    </w:p>
    <w:p>
      <w:pPr>
        <w:tabs>
          <w:tab w:pos="829" w:val="left" w:leader="none"/>
        </w:tabs>
        <w:spacing w:before="0"/>
        <w:ind w:left="122" w:right="114" w:firstLine="0"/>
        <w:jc w:val="both"/>
        <w:rPr>
          <w:sz w:val="16"/>
        </w:rPr>
      </w:pPr>
      <w:r>
        <w:rPr>
          <w:position w:val="6"/>
          <w:sz w:val="10"/>
        </w:rPr>
        <w:t>215</w:t>
        <w:tab/>
      </w:r>
      <w:r>
        <w:rPr>
          <w:sz w:val="16"/>
        </w:rPr>
        <w:t>Comité DESC. </w:t>
      </w:r>
      <w:r>
        <w:rPr>
          <w:i/>
          <w:sz w:val="16"/>
        </w:rPr>
        <w:t>Observación General 12. El derecho a una alimentación adecuada (artículo</w:t>
      </w:r>
      <w:r>
        <w:rPr>
          <w:i/>
          <w:spacing w:val="-24"/>
          <w:sz w:val="16"/>
        </w:rPr>
        <w:t> </w:t>
      </w:r>
      <w:r>
        <w:rPr>
          <w:i/>
          <w:sz w:val="16"/>
        </w:rPr>
        <w:t>11),</w:t>
      </w:r>
      <w:r>
        <w:rPr>
          <w:i/>
          <w:spacing w:val="3"/>
          <w:sz w:val="16"/>
        </w:rPr>
        <w:t> </w:t>
      </w:r>
      <w:r>
        <w:rPr>
          <w:sz w:val="16"/>
        </w:rPr>
        <w:t>párrs.</w:t>
      </w:r>
      <w:r>
        <w:rPr>
          <w:w w:val="100"/>
          <w:sz w:val="16"/>
        </w:rPr>
        <w:t> </w:t>
      </w:r>
      <w:r>
        <w:rPr>
          <w:sz w:val="16"/>
        </w:rPr>
        <w:t>7 y</w:t>
      </w:r>
      <w:r>
        <w:rPr>
          <w:spacing w:val="-2"/>
          <w:sz w:val="16"/>
        </w:rPr>
        <w:t> </w:t>
      </w:r>
      <w:r>
        <w:rPr>
          <w:sz w:val="16"/>
        </w:rPr>
        <w:t>11.</w:t>
      </w:r>
    </w:p>
    <w:p>
      <w:pPr>
        <w:pStyle w:val="BodyText"/>
        <w:spacing w:before="11"/>
        <w:rPr>
          <w:sz w:val="15"/>
        </w:rPr>
      </w:pPr>
    </w:p>
    <w:p>
      <w:pPr>
        <w:tabs>
          <w:tab w:pos="829" w:val="left" w:leader="none"/>
        </w:tabs>
        <w:spacing w:before="0"/>
        <w:ind w:left="122" w:right="114" w:firstLine="0"/>
        <w:jc w:val="both"/>
        <w:rPr>
          <w:sz w:val="16"/>
        </w:rPr>
      </w:pPr>
      <w:r>
        <w:rPr>
          <w:position w:val="6"/>
          <w:sz w:val="10"/>
        </w:rPr>
        <w:t>216</w:t>
        <w:tab/>
      </w:r>
      <w:r>
        <w:rPr>
          <w:sz w:val="16"/>
        </w:rPr>
        <w:t>La Corte ha señalado que, dado el deber de “respeto” mandado por el artículo 1.1 de</w:t>
      </w:r>
      <w:r>
        <w:rPr>
          <w:spacing w:val="-4"/>
          <w:sz w:val="16"/>
        </w:rPr>
        <w:t> </w:t>
      </w:r>
      <w:r>
        <w:rPr>
          <w:sz w:val="16"/>
        </w:rPr>
        <w:t>la</w:t>
      </w:r>
      <w:r>
        <w:rPr>
          <w:spacing w:val="-3"/>
          <w:sz w:val="16"/>
        </w:rPr>
        <w:t> </w:t>
      </w:r>
      <w:r>
        <w:rPr>
          <w:sz w:val="16"/>
        </w:rPr>
        <w:t>Convención,</w:t>
      </w:r>
      <w:r>
        <w:rPr>
          <w:w w:val="100"/>
          <w:sz w:val="16"/>
        </w:rPr>
        <w:t> </w:t>
      </w:r>
      <w:r>
        <w:rPr>
          <w:sz w:val="16"/>
        </w:rPr>
        <w:t>“los Estados deben abstenerse de […] cualquier práctica o actividad que deniegue o restrinja el acceso, en condiciones de igualdad, a los requisitos para una vida digna, como lo [es] la alimentación adecuada” (</w:t>
      </w:r>
      <w:r>
        <w:rPr>
          <w:i/>
          <w:sz w:val="16"/>
        </w:rPr>
        <w:t>Medio </w:t>
      </w:r>
      <w:r>
        <w:rPr>
          <w:i/>
          <w:sz w:val="16"/>
        </w:rPr>
        <w:t>ambiente y derechos humanos (obligaciones estatales en relación con el medio ambiente en el marco de la protección y garantía de los derechos a la vida y a la integridad personal - interpretación y alcance de los artículos</w:t>
      </w:r>
      <w:r>
        <w:rPr>
          <w:i/>
          <w:spacing w:val="-12"/>
          <w:sz w:val="16"/>
        </w:rPr>
        <w:t> </w:t>
      </w:r>
      <w:r>
        <w:rPr>
          <w:i/>
          <w:sz w:val="16"/>
        </w:rPr>
        <w:t>4.1</w:t>
      </w:r>
      <w:r>
        <w:rPr>
          <w:i/>
          <w:spacing w:val="-13"/>
          <w:sz w:val="16"/>
        </w:rPr>
        <w:t> </w:t>
      </w:r>
      <w:r>
        <w:rPr>
          <w:i/>
          <w:sz w:val="16"/>
        </w:rPr>
        <w:t>y</w:t>
      </w:r>
      <w:r>
        <w:rPr>
          <w:i/>
          <w:spacing w:val="-11"/>
          <w:sz w:val="16"/>
        </w:rPr>
        <w:t> </w:t>
      </w:r>
      <w:r>
        <w:rPr>
          <w:i/>
          <w:sz w:val="16"/>
        </w:rPr>
        <w:t>5.1,</w:t>
      </w:r>
      <w:r>
        <w:rPr>
          <w:i/>
          <w:spacing w:val="-13"/>
          <w:sz w:val="16"/>
        </w:rPr>
        <w:t> </w:t>
      </w:r>
      <w:r>
        <w:rPr>
          <w:i/>
          <w:sz w:val="16"/>
        </w:rPr>
        <w:t>en</w:t>
      </w:r>
      <w:r>
        <w:rPr>
          <w:i/>
          <w:spacing w:val="-13"/>
          <w:sz w:val="16"/>
        </w:rPr>
        <w:t> </w:t>
      </w:r>
      <w:r>
        <w:rPr>
          <w:i/>
          <w:sz w:val="16"/>
        </w:rPr>
        <w:t>relación</w:t>
      </w:r>
      <w:r>
        <w:rPr>
          <w:i/>
          <w:spacing w:val="-13"/>
          <w:sz w:val="16"/>
        </w:rPr>
        <w:t> </w:t>
      </w:r>
      <w:r>
        <w:rPr>
          <w:i/>
          <w:sz w:val="16"/>
        </w:rPr>
        <w:t>con</w:t>
      </w:r>
      <w:r>
        <w:rPr>
          <w:i/>
          <w:spacing w:val="-11"/>
          <w:sz w:val="16"/>
        </w:rPr>
        <w:t> </w:t>
      </w:r>
      <w:r>
        <w:rPr>
          <w:i/>
          <w:sz w:val="16"/>
        </w:rPr>
        <w:t>los</w:t>
      </w:r>
      <w:r>
        <w:rPr>
          <w:i/>
          <w:spacing w:val="-12"/>
          <w:sz w:val="16"/>
        </w:rPr>
        <w:t> </w:t>
      </w:r>
      <w:r>
        <w:rPr>
          <w:i/>
          <w:sz w:val="16"/>
        </w:rPr>
        <w:t>artículos</w:t>
      </w:r>
      <w:r>
        <w:rPr>
          <w:i/>
          <w:spacing w:val="-14"/>
          <w:sz w:val="16"/>
        </w:rPr>
        <w:t> </w:t>
      </w:r>
      <w:r>
        <w:rPr>
          <w:i/>
          <w:sz w:val="16"/>
        </w:rPr>
        <w:t>1.1</w:t>
      </w:r>
      <w:r>
        <w:rPr>
          <w:i/>
          <w:spacing w:val="-13"/>
          <w:sz w:val="16"/>
        </w:rPr>
        <w:t> </w:t>
      </w:r>
      <w:r>
        <w:rPr>
          <w:i/>
          <w:sz w:val="16"/>
        </w:rPr>
        <w:t>y</w:t>
      </w:r>
      <w:r>
        <w:rPr>
          <w:i/>
          <w:spacing w:val="-11"/>
          <w:sz w:val="16"/>
        </w:rPr>
        <w:t> </w:t>
      </w:r>
      <w:r>
        <w:rPr>
          <w:i/>
          <w:sz w:val="16"/>
        </w:rPr>
        <w:t>2</w:t>
      </w:r>
      <w:r>
        <w:rPr>
          <w:i/>
          <w:spacing w:val="-13"/>
          <w:sz w:val="16"/>
        </w:rPr>
        <w:t> </w:t>
      </w:r>
      <w:r>
        <w:rPr>
          <w:i/>
          <w:sz w:val="16"/>
        </w:rPr>
        <w:t>de</w:t>
      </w:r>
      <w:r>
        <w:rPr>
          <w:i/>
          <w:spacing w:val="-12"/>
          <w:sz w:val="16"/>
        </w:rPr>
        <w:t> </w:t>
      </w:r>
      <w:r>
        <w:rPr>
          <w:i/>
          <w:sz w:val="16"/>
        </w:rPr>
        <w:t>la</w:t>
      </w:r>
      <w:r>
        <w:rPr>
          <w:i/>
          <w:spacing w:val="-13"/>
          <w:sz w:val="16"/>
        </w:rPr>
        <w:t> </w:t>
      </w:r>
      <w:r>
        <w:rPr>
          <w:i/>
          <w:sz w:val="16"/>
        </w:rPr>
        <w:t>Convención</w:t>
      </w:r>
      <w:r>
        <w:rPr>
          <w:i/>
          <w:spacing w:val="-13"/>
          <w:sz w:val="16"/>
        </w:rPr>
        <w:t> </w:t>
      </w:r>
      <w:r>
        <w:rPr>
          <w:i/>
          <w:sz w:val="16"/>
        </w:rPr>
        <w:t>Americana</w:t>
      </w:r>
      <w:r>
        <w:rPr>
          <w:i/>
          <w:spacing w:val="-13"/>
          <w:sz w:val="16"/>
        </w:rPr>
        <w:t> </w:t>
      </w:r>
      <w:r>
        <w:rPr>
          <w:i/>
          <w:sz w:val="16"/>
        </w:rPr>
        <w:t>sobre</w:t>
      </w:r>
      <w:r>
        <w:rPr>
          <w:i/>
          <w:spacing w:val="-14"/>
          <w:sz w:val="16"/>
        </w:rPr>
        <w:t> </w:t>
      </w:r>
      <w:r>
        <w:rPr>
          <w:i/>
          <w:sz w:val="16"/>
        </w:rPr>
        <w:t>Derechos</w:t>
      </w:r>
      <w:r>
        <w:rPr>
          <w:i/>
          <w:spacing w:val="-12"/>
          <w:sz w:val="16"/>
        </w:rPr>
        <w:t> </w:t>
      </w:r>
      <w:r>
        <w:rPr>
          <w:i/>
          <w:sz w:val="16"/>
        </w:rPr>
        <w:t>Humanos). Opinión Consultiva OC-23/17</w:t>
      </w:r>
      <w:r>
        <w:rPr>
          <w:sz w:val="16"/>
        </w:rPr>
        <w:t>, párr.</w:t>
      </w:r>
      <w:r>
        <w:rPr>
          <w:spacing w:val="-15"/>
          <w:sz w:val="16"/>
        </w:rPr>
        <w:t> </w:t>
      </w:r>
      <w:r>
        <w:rPr>
          <w:sz w:val="16"/>
        </w:rPr>
        <w:t>117).</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217</w:t>
        <w:tab/>
      </w:r>
      <w:r>
        <w:rPr>
          <w:sz w:val="16"/>
        </w:rPr>
        <w:t>Comité DESC. </w:t>
      </w:r>
      <w:r>
        <w:rPr>
          <w:i/>
          <w:sz w:val="16"/>
        </w:rPr>
        <w:t>Observación General 12. El derecho a una alimentación adecuada (artículo</w:t>
      </w:r>
      <w:r>
        <w:rPr>
          <w:i/>
          <w:spacing w:val="-21"/>
          <w:sz w:val="16"/>
        </w:rPr>
        <w:t> </w:t>
      </w:r>
      <w:r>
        <w:rPr>
          <w:i/>
          <w:sz w:val="16"/>
        </w:rPr>
        <w:t>11)</w:t>
      </w:r>
      <w:r>
        <w:rPr>
          <w:sz w:val="16"/>
        </w:rPr>
        <w:t>,</w:t>
      </w:r>
      <w:r>
        <w:rPr>
          <w:spacing w:val="-2"/>
          <w:sz w:val="16"/>
        </w:rPr>
        <w:t> </w:t>
      </w:r>
      <w:r>
        <w:rPr>
          <w:sz w:val="16"/>
        </w:rPr>
        <w:t>párrs.</w:t>
      </w:r>
      <w:r>
        <w:rPr>
          <w:w w:val="100"/>
          <w:sz w:val="16"/>
        </w:rPr>
        <w:t> </w:t>
      </w:r>
      <w:r>
        <w:rPr>
          <w:sz w:val="16"/>
        </w:rPr>
        <w:t>15 y 19. Por otra parte, debe destacarse que la Corte ha señalado también que “en casos particulares de personas</w:t>
      </w:r>
      <w:r>
        <w:rPr>
          <w:spacing w:val="-5"/>
          <w:sz w:val="16"/>
        </w:rPr>
        <w:t> </w:t>
      </w:r>
      <w:r>
        <w:rPr>
          <w:sz w:val="16"/>
        </w:rPr>
        <w:t>o</w:t>
      </w:r>
      <w:r>
        <w:rPr>
          <w:spacing w:val="-4"/>
          <w:sz w:val="16"/>
        </w:rPr>
        <w:t> </w:t>
      </w:r>
      <w:r>
        <w:rPr>
          <w:sz w:val="16"/>
        </w:rPr>
        <w:t>grupos</w:t>
      </w:r>
      <w:r>
        <w:rPr>
          <w:spacing w:val="-5"/>
          <w:sz w:val="16"/>
        </w:rPr>
        <w:t> </w:t>
      </w:r>
      <w:r>
        <w:rPr>
          <w:sz w:val="16"/>
        </w:rPr>
        <w:t>de</w:t>
      </w:r>
      <w:r>
        <w:rPr>
          <w:spacing w:val="-5"/>
          <w:sz w:val="16"/>
        </w:rPr>
        <w:t> </w:t>
      </w:r>
      <w:r>
        <w:rPr>
          <w:sz w:val="16"/>
        </w:rPr>
        <w:t>personas</w:t>
      </w:r>
      <w:r>
        <w:rPr>
          <w:spacing w:val="-2"/>
          <w:sz w:val="16"/>
        </w:rPr>
        <w:t> </w:t>
      </w:r>
      <w:r>
        <w:rPr>
          <w:sz w:val="16"/>
        </w:rPr>
        <w:t>que</w:t>
      </w:r>
      <w:r>
        <w:rPr>
          <w:spacing w:val="-5"/>
          <w:sz w:val="16"/>
        </w:rPr>
        <w:t> </w:t>
      </w:r>
      <w:r>
        <w:rPr>
          <w:sz w:val="16"/>
        </w:rPr>
        <w:t>no</w:t>
      </w:r>
      <w:r>
        <w:rPr>
          <w:spacing w:val="-4"/>
          <w:sz w:val="16"/>
        </w:rPr>
        <w:t> </w:t>
      </w:r>
      <w:r>
        <w:rPr>
          <w:sz w:val="16"/>
        </w:rPr>
        <w:t>están</w:t>
      </w:r>
      <w:r>
        <w:rPr>
          <w:spacing w:val="-6"/>
          <w:sz w:val="16"/>
        </w:rPr>
        <w:t> </w:t>
      </w:r>
      <w:r>
        <w:rPr>
          <w:sz w:val="16"/>
        </w:rPr>
        <w:t>en</w:t>
      </w:r>
      <w:r>
        <w:rPr>
          <w:spacing w:val="-3"/>
          <w:sz w:val="16"/>
        </w:rPr>
        <w:t> </w:t>
      </w:r>
      <w:r>
        <w:rPr>
          <w:sz w:val="16"/>
        </w:rPr>
        <w:t>condiciones</w:t>
      </w:r>
      <w:r>
        <w:rPr>
          <w:spacing w:val="-5"/>
          <w:sz w:val="16"/>
        </w:rPr>
        <w:t> </w:t>
      </w:r>
      <w:r>
        <w:rPr>
          <w:sz w:val="16"/>
        </w:rPr>
        <w:t>de</w:t>
      </w:r>
      <w:r>
        <w:rPr>
          <w:spacing w:val="-5"/>
          <w:sz w:val="16"/>
        </w:rPr>
        <w:t> </w:t>
      </w:r>
      <w:r>
        <w:rPr>
          <w:sz w:val="16"/>
        </w:rPr>
        <w:t>acceder</w:t>
      </w:r>
      <w:r>
        <w:rPr>
          <w:spacing w:val="-4"/>
          <w:sz w:val="16"/>
        </w:rPr>
        <w:t> </w:t>
      </w:r>
      <w:r>
        <w:rPr>
          <w:sz w:val="16"/>
        </w:rPr>
        <w:t>por</w:t>
      </w:r>
      <w:r>
        <w:rPr>
          <w:spacing w:val="-4"/>
          <w:sz w:val="16"/>
        </w:rPr>
        <w:t> </w:t>
      </w:r>
      <w:r>
        <w:rPr>
          <w:sz w:val="16"/>
        </w:rPr>
        <w:t>sí</w:t>
      </w:r>
      <w:r>
        <w:rPr>
          <w:spacing w:val="-3"/>
          <w:sz w:val="16"/>
        </w:rPr>
        <w:t> </w:t>
      </w:r>
      <w:r>
        <w:rPr>
          <w:sz w:val="16"/>
        </w:rPr>
        <w:t>mismos</w:t>
      </w:r>
      <w:r>
        <w:rPr>
          <w:spacing w:val="-4"/>
          <w:sz w:val="16"/>
        </w:rPr>
        <w:t> </w:t>
      </w:r>
      <w:r>
        <w:rPr>
          <w:sz w:val="16"/>
        </w:rPr>
        <w:t>[…]</w:t>
      </w:r>
      <w:r>
        <w:rPr>
          <w:spacing w:val="-5"/>
          <w:sz w:val="16"/>
        </w:rPr>
        <w:t> </w:t>
      </w:r>
      <w:r>
        <w:rPr>
          <w:sz w:val="16"/>
        </w:rPr>
        <w:t>a</w:t>
      </w:r>
      <w:r>
        <w:rPr>
          <w:spacing w:val="-3"/>
          <w:sz w:val="16"/>
        </w:rPr>
        <w:t> </w:t>
      </w:r>
      <w:r>
        <w:rPr>
          <w:sz w:val="16"/>
        </w:rPr>
        <w:t>una</w:t>
      </w:r>
      <w:r>
        <w:rPr>
          <w:spacing w:val="-3"/>
          <w:sz w:val="16"/>
        </w:rPr>
        <w:t> </w:t>
      </w:r>
      <w:r>
        <w:rPr>
          <w:sz w:val="16"/>
        </w:rPr>
        <w:t>alimentación adecuada, por razones ajenas a su voluntad, los Estados deben garantizar un mínimo esencial de […] alimentación”</w:t>
      </w:r>
      <w:r>
        <w:rPr>
          <w:spacing w:val="-9"/>
          <w:sz w:val="16"/>
        </w:rPr>
        <w:t> </w:t>
      </w:r>
      <w:r>
        <w:rPr>
          <w:sz w:val="16"/>
        </w:rPr>
        <w:t>(</w:t>
      </w:r>
      <w:r>
        <w:rPr>
          <w:i/>
          <w:sz w:val="16"/>
        </w:rPr>
        <w:t>Medio</w:t>
      </w:r>
      <w:r>
        <w:rPr>
          <w:i/>
          <w:spacing w:val="-11"/>
          <w:sz w:val="16"/>
        </w:rPr>
        <w:t> </w:t>
      </w:r>
      <w:r>
        <w:rPr>
          <w:i/>
          <w:sz w:val="16"/>
        </w:rPr>
        <w:t>ambiente</w:t>
      </w:r>
      <w:r>
        <w:rPr>
          <w:i/>
          <w:spacing w:val="-11"/>
          <w:sz w:val="16"/>
        </w:rPr>
        <w:t> </w:t>
      </w:r>
      <w:r>
        <w:rPr>
          <w:i/>
          <w:sz w:val="16"/>
        </w:rPr>
        <w:t>y</w:t>
      </w:r>
      <w:r>
        <w:rPr>
          <w:i/>
          <w:spacing w:val="-11"/>
          <w:sz w:val="16"/>
        </w:rPr>
        <w:t> </w:t>
      </w:r>
      <w:r>
        <w:rPr>
          <w:i/>
          <w:sz w:val="16"/>
        </w:rPr>
        <w:t>derechos</w:t>
      </w:r>
      <w:r>
        <w:rPr>
          <w:i/>
          <w:spacing w:val="-12"/>
          <w:sz w:val="16"/>
        </w:rPr>
        <w:t> </w:t>
      </w:r>
      <w:r>
        <w:rPr>
          <w:i/>
          <w:sz w:val="16"/>
        </w:rPr>
        <w:t>humanos</w:t>
      </w:r>
      <w:r>
        <w:rPr>
          <w:i/>
          <w:spacing w:val="-12"/>
          <w:sz w:val="16"/>
        </w:rPr>
        <w:t> </w:t>
      </w:r>
      <w:r>
        <w:rPr>
          <w:i/>
          <w:sz w:val="16"/>
        </w:rPr>
        <w:t>(obligaciones</w:t>
      </w:r>
      <w:r>
        <w:rPr>
          <w:i/>
          <w:spacing w:val="-11"/>
          <w:sz w:val="16"/>
        </w:rPr>
        <w:t> </w:t>
      </w:r>
      <w:r>
        <w:rPr>
          <w:i/>
          <w:sz w:val="16"/>
        </w:rPr>
        <w:t>estatales</w:t>
      </w:r>
      <w:r>
        <w:rPr>
          <w:i/>
          <w:spacing w:val="-11"/>
          <w:sz w:val="16"/>
        </w:rPr>
        <w:t> </w:t>
      </w:r>
      <w:r>
        <w:rPr>
          <w:i/>
          <w:sz w:val="16"/>
        </w:rPr>
        <w:t>en</w:t>
      </w:r>
      <w:r>
        <w:rPr>
          <w:i/>
          <w:spacing w:val="-13"/>
          <w:sz w:val="16"/>
        </w:rPr>
        <w:t> </w:t>
      </w:r>
      <w:r>
        <w:rPr>
          <w:i/>
          <w:sz w:val="16"/>
        </w:rPr>
        <w:t>relación</w:t>
      </w:r>
      <w:r>
        <w:rPr>
          <w:i/>
          <w:spacing w:val="-10"/>
          <w:sz w:val="16"/>
        </w:rPr>
        <w:t> </w:t>
      </w:r>
      <w:r>
        <w:rPr>
          <w:i/>
          <w:sz w:val="16"/>
        </w:rPr>
        <w:t>con</w:t>
      </w:r>
      <w:r>
        <w:rPr>
          <w:i/>
          <w:spacing w:val="-10"/>
          <w:sz w:val="16"/>
        </w:rPr>
        <w:t> </w:t>
      </w:r>
      <w:r>
        <w:rPr>
          <w:i/>
          <w:sz w:val="16"/>
        </w:rPr>
        <w:t>el</w:t>
      </w:r>
      <w:r>
        <w:rPr>
          <w:i/>
          <w:spacing w:val="-12"/>
          <w:sz w:val="16"/>
        </w:rPr>
        <w:t> </w:t>
      </w:r>
      <w:r>
        <w:rPr>
          <w:i/>
          <w:sz w:val="16"/>
        </w:rPr>
        <w:t>medio</w:t>
      </w:r>
      <w:r>
        <w:rPr>
          <w:i/>
          <w:spacing w:val="-11"/>
          <w:sz w:val="16"/>
        </w:rPr>
        <w:t> </w:t>
      </w:r>
      <w:r>
        <w:rPr>
          <w:i/>
          <w:sz w:val="16"/>
        </w:rPr>
        <w:t>ambiente </w:t>
      </w:r>
      <w:r>
        <w:rPr>
          <w:i/>
          <w:sz w:val="16"/>
        </w:rPr>
        <w:t>en el marco de la protección y garantía de los derechos a la vida y a la integridad personal - interpretación y alcance de los artículos 4.1 y 5.1, en relación con los artículos 1.1 y 2 de la Convención Americana sobre Derechos Humanos). Opinión Consultiva OC-23/17</w:t>
      </w:r>
      <w:r>
        <w:rPr>
          <w:sz w:val="16"/>
        </w:rPr>
        <w:t>, párr.</w:t>
      </w:r>
      <w:r>
        <w:rPr>
          <w:spacing w:val="-19"/>
          <w:sz w:val="16"/>
        </w:rPr>
        <w:t> </w:t>
      </w:r>
      <w:r>
        <w:rPr>
          <w:sz w:val="16"/>
        </w:rPr>
        <w:t>121).</w:t>
      </w:r>
    </w:p>
    <w:p>
      <w:pPr>
        <w:spacing w:after="0" w:line="240" w:lineRule="auto"/>
        <w:jc w:val="both"/>
        <w:rPr>
          <w:sz w:val="16"/>
        </w:rPr>
        <w:sectPr>
          <w:pgSz w:w="12240" w:h="15840"/>
          <w:pgMar w:header="0" w:footer="1000" w:top="1500" w:bottom="1200" w:left="1580" w:right="1580"/>
        </w:sectPr>
      </w:pPr>
    </w:p>
    <w:p>
      <w:pPr>
        <w:pStyle w:val="ListParagraph"/>
        <w:numPr>
          <w:ilvl w:val="3"/>
          <w:numId w:val="32"/>
        </w:numPr>
        <w:tabs>
          <w:tab w:pos="2059" w:val="left" w:leader="none"/>
        </w:tabs>
        <w:spacing w:line="240" w:lineRule="auto" w:before="76" w:after="0"/>
        <w:ind w:left="2058" w:right="0" w:hanging="804"/>
        <w:jc w:val="left"/>
        <w:rPr>
          <w:i/>
          <w:sz w:val="20"/>
        </w:rPr>
      </w:pPr>
      <w:bookmarkStart w:name="_bookmark65" w:id="111"/>
      <w:bookmarkEnd w:id="111"/>
      <w:r>
        <w:rPr/>
      </w:r>
      <w:bookmarkStart w:name="_bookmark65" w:id="112"/>
      <w:bookmarkEnd w:id="112"/>
      <w:r>
        <w:rPr>
          <w:i/>
          <w:sz w:val="20"/>
        </w:rPr>
        <w:t>E</w:t>
      </w:r>
      <w:r>
        <w:rPr>
          <w:i/>
          <w:sz w:val="20"/>
        </w:rPr>
        <w:t>l derecho al</w:t>
      </w:r>
      <w:r>
        <w:rPr>
          <w:i/>
          <w:spacing w:val="-3"/>
          <w:sz w:val="20"/>
        </w:rPr>
        <w:t> </w:t>
      </w:r>
      <w:r>
        <w:rPr>
          <w:i/>
          <w:sz w:val="20"/>
        </w:rPr>
        <w:t>agua</w:t>
      </w:r>
    </w:p>
    <w:p>
      <w:pPr>
        <w:pStyle w:val="BodyText"/>
        <w:rPr>
          <w:i/>
        </w:rPr>
      </w:pPr>
    </w:p>
    <w:p>
      <w:pPr>
        <w:pStyle w:val="ListParagraph"/>
        <w:numPr>
          <w:ilvl w:val="0"/>
          <w:numId w:val="31"/>
        </w:numPr>
        <w:tabs>
          <w:tab w:pos="830" w:val="left" w:leader="none"/>
        </w:tabs>
        <w:spacing w:line="240" w:lineRule="auto" w:before="1" w:after="0"/>
        <w:ind w:left="122" w:right="123" w:firstLine="0"/>
        <w:jc w:val="both"/>
        <w:rPr>
          <w:sz w:val="20"/>
        </w:rPr>
      </w:pPr>
      <w:r>
        <w:rPr>
          <w:sz w:val="20"/>
        </w:rPr>
        <w:t>El </w:t>
      </w:r>
      <w:r>
        <w:rPr>
          <w:i/>
          <w:sz w:val="20"/>
        </w:rPr>
        <w:t>derecho al agua </w:t>
      </w:r>
      <w:r>
        <w:rPr>
          <w:sz w:val="20"/>
        </w:rPr>
        <w:t>se encuentra protegido por el artículo 26 de la Convención Americana.</w:t>
      </w:r>
      <w:r>
        <w:rPr>
          <w:spacing w:val="-6"/>
          <w:sz w:val="20"/>
        </w:rPr>
        <w:t> </w:t>
      </w:r>
      <w:r>
        <w:rPr>
          <w:sz w:val="20"/>
        </w:rPr>
        <w:t>Ello</w:t>
      </w:r>
      <w:r>
        <w:rPr>
          <w:spacing w:val="-4"/>
          <w:sz w:val="20"/>
        </w:rPr>
        <w:t> </w:t>
      </w:r>
      <w:r>
        <w:rPr>
          <w:sz w:val="20"/>
        </w:rPr>
        <w:t>se</w:t>
      </w:r>
      <w:r>
        <w:rPr>
          <w:spacing w:val="-7"/>
          <w:sz w:val="20"/>
        </w:rPr>
        <w:t> </w:t>
      </w:r>
      <w:r>
        <w:rPr>
          <w:sz w:val="20"/>
        </w:rPr>
        <w:t>desprende</w:t>
      </w:r>
      <w:r>
        <w:rPr>
          <w:spacing w:val="-7"/>
          <w:sz w:val="20"/>
        </w:rPr>
        <w:t> </w:t>
      </w:r>
      <w:r>
        <w:rPr>
          <w:sz w:val="20"/>
        </w:rPr>
        <w:t>de</w:t>
      </w:r>
      <w:r>
        <w:rPr>
          <w:spacing w:val="-7"/>
          <w:sz w:val="20"/>
        </w:rPr>
        <w:t> </w:t>
      </w:r>
      <w:r>
        <w:rPr>
          <w:sz w:val="20"/>
        </w:rPr>
        <w:t>las</w:t>
      </w:r>
      <w:r>
        <w:rPr>
          <w:spacing w:val="-6"/>
          <w:sz w:val="20"/>
        </w:rPr>
        <w:t> </w:t>
      </w:r>
      <w:r>
        <w:rPr>
          <w:sz w:val="20"/>
        </w:rPr>
        <w:t>normas</w:t>
      </w:r>
      <w:r>
        <w:rPr>
          <w:spacing w:val="-6"/>
          <w:sz w:val="20"/>
        </w:rPr>
        <w:t> </w:t>
      </w:r>
      <w:r>
        <w:rPr>
          <w:sz w:val="20"/>
        </w:rPr>
        <w:t>de</w:t>
      </w:r>
      <w:r>
        <w:rPr>
          <w:spacing w:val="-4"/>
          <w:sz w:val="20"/>
        </w:rPr>
        <w:t> </w:t>
      </w:r>
      <w:r>
        <w:rPr>
          <w:sz w:val="20"/>
        </w:rPr>
        <w:t>la</w:t>
      </w:r>
      <w:r>
        <w:rPr>
          <w:spacing w:val="-5"/>
          <w:sz w:val="20"/>
        </w:rPr>
        <w:t> </w:t>
      </w:r>
      <w:r>
        <w:rPr>
          <w:sz w:val="20"/>
        </w:rPr>
        <w:t>Carta</w:t>
      </w:r>
      <w:r>
        <w:rPr>
          <w:spacing w:val="-3"/>
          <w:sz w:val="20"/>
        </w:rPr>
        <w:t> </w:t>
      </w:r>
      <w:r>
        <w:rPr>
          <w:sz w:val="20"/>
        </w:rPr>
        <w:t>de</w:t>
      </w:r>
      <w:r>
        <w:rPr>
          <w:spacing w:val="-5"/>
          <w:sz w:val="20"/>
        </w:rPr>
        <w:t> </w:t>
      </w:r>
      <w:r>
        <w:rPr>
          <w:sz w:val="20"/>
        </w:rPr>
        <w:t>la</w:t>
      </w:r>
      <w:r>
        <w:rPr>
          <w:spacing w:val="-3"/>
          <w:sz w:val="20"/>
        </w:rPr>
        <w:t> </w:t>
      </w:r>
      <w:r>
        <w:rPr>
          <w:sz w:val="20"/>
        </w:rPr>
        <w:t>OEA,</w:t>
      </w:r>
      <w:r>
        <w:rPr>
          <w:spacing w:val="-3"/>
          <w:sz w:val="20"/>
        </w:rPr>
        <w:t> </w:t>
      </w:r>
      <w:r>
        <w:rPr>
          <w:sz w:val="20"/>
        </w:rPr>
        <w:t>en</w:t>
      </w:r>
      <w:r>
        <w:rPr>
          <w:spacing w:val="-5"/>
          <w:sz w:val="20"/>
        </w:rPr>
        <w:t> </w:t>
      </w:r>
      <w:r>
        <w:rPr>
          <w:sz w:val="20"/>
        </w:rPr>
        <w:t>tanto</w:t>
      </w:r>
      <w:r>
        <w:rPr>
          <w:spacing w:val="-7"/>
          <w:sz w:val="20"/>
        </w:rPr>
        <w:t> </w:t>
      </w:r>
      <w:r>
        <w:rPr>
          <w:sz w:val="20"/>
        </w:rPr>
        <w:t>las</w:t>
      </w:r>
      <w:r>
        <w:rPr>
          <w:spacing w:val="-4"/>
          <w:sz w:val="20"/>
        </w:rPr>
        <w:t> </w:t>
      </w:r>
      <w:r>
        <w:rPr>
          <w:sz w:val="20"/>
        </w:rPr>
        <w:t>mismas permiten derivar derechos de los que, a su vez, se desprende el derecho al agua</w:t>
      </w:r>
      <w:r>
        <w:rPr>
          <w:position w:val="7"/>
          <w:sz w:val="13"/>
        </w:rPr>
        <w:t>218</w:t>
      </w:r>
      <w:r>
        <w:rPr>
          <w:sz w:val="20"/>
        </w:rPr>
        <w:t>. Al respecto, baste señalar que entre aquellos se encuentran el derecho a un medio ambiente sano y el derecho a la alimentación adecuada, cuya inclusión en el citado artículo 26 ya ha quedado establecida en esta Sentencia, como asimismo el derecho a la salud, del que también este Tribunal ya ha indicado que está incluido en la</w:t>
      </w:r>
      <w:r>
        <w:rPr>
          <w:spacing w:val="-21"/>
          <w:sz w:val="20"/>
        </w:rPr>
        <w:t> </w:t>
      </w:r>
      <w:r>
        <w:rPr>
          <w:sz w:val="20"/>
        </w:rPr>
        <w:t>norma</w:t>
      </w:r>
      <w:r>
        <w:rPr>
          <w:position w:val="7"/>
          <w:sz w:val="13"/>
        </w:rPr>
        <w:t>219</w:t>
      </w:r>
      <w:r>
        <w:rPr>
          <w:sz w:val="20"/>
        </w:rPr>
        <w:t>.</w:t>
      </w:r>
    </w:p>
    <w:p>
      <w:pPr>
        <w:pStyle w:val="BodyText"/>
        <w:spacing w:before="3"/>
        <w:rPr>
          <w:sz w:val="13"/>
        </w:rPr>
      </w:pPr>
      <w:r>
        <w:rPr/>
        <w:pict>
          <v:line style="position:absolute;mso-position-horizontal-relative:page;mso-position-vertical-relative:paragraph;z-index:2752;mso-wrap-distance-left:0;mso-wrap-distance-right:0" from="85.103996pt,10.383349pt" to="229.123996pt,10.383349pt" stroked="true" strokeweight=".72pt" strokecolor="#000000">
            <v:stroke dashstyle="solid"/>
            <w10:wrap type="topAndBottom"/>
          </v:line>
        </w:pict>
      </w:r>
    </w:p>
    <w:p>
      <w:pPr>
        <w:tabs>
          <w:tab w:pos="829" w:val="left" w:leader="none"/>
        </w:tabs>
        <w:spacing w:line="240" w:lineRule="auto" w:before="71"/>
        <w:ind w:left="122" w:right="113" w:firstLine="0"/>
        <w:jc w:val="both"/>
        <w:rPr>
          <w:sz w:val="16"/>
        </w:rPr>
      </w:pPr>
      <w:r>
        <w:rPr>
          <w:position w:val="6"/>
          <w:sz w:val="10"/>
        </w:rPr>
        <w:t>218</w:t>
        <w:tab/>
      </w:r>
      <w:r>
        <w:rPr>
          <w:sz w:val="16"/>
        </w:rPr>
        <w:t>Este Tribunal ya con anterioridad ha adoptado decisiones sobre la base de advertir la  </w:t>
      </w:r>
      <w:r>
        <w:rPr>
          <w:spacing w:val="3"/>
          <w:sz w:val="16"/>
        </w:rPr>
        <w:t> </w:t>
      </w:r>
      <w:r>
        <w:rPr>
          <w:sz w:val="16"/>
        </w:rPr>
        <w:t>existencia</w:t>
      </w:r>
      <w:r>
        <w:rPr>
          <w:spacing w:val="7"/>
          <w:sz w:val="16"/>
        </w:rPr>
        <w:t> </w:t>
      </w:r>
      <w:r>
        <w:rPr>
          <w:sz w:val="16"/>
        </w:rPr>
        <w:t>de</w:t>
      </w:r>
      <w:r>
        <w:rPr>
          <w:w w:val="100"/>
          <w:sz w:val="16"/>
        </w:rPr>
        <w:t> </w:t>
      </w:r>
      <w:r>
        <w:rPr>
          <w:sz w:val="16"/>
        </w:rPr>
        <w:t>derechos</w:t>
      </w:r>
      <w:r>
        <w:rPr>
          <w:spacing w:val="-3"/>
          <w:sz w:val="16"/>
        </w:rPr>
        <w:t> </w:t>
      </w:r>
      <w:r>
        <w:rPr>
          <w:sz w:val="16"/>
        </w:rPr>
        <w:t>a</w:t>
      </w:r>
      <w:r>
        <w:rPr>
          <w:spacing w:val="-6"/>
          <w:sz w:val="16"/>
        </w:rPr>
        <w:t> </w:t>
      </w:r>
      <w:r>
        <w:rPr>
          <w:sz w:val="16"/>
        </w:rPr>
        <w:t>partir</w:t>
      </w:r>
      <w:r>
        <w:rPr>
          <w:spacing w:val="-4"/>
          <w:sz w:val="16"/>
        </w:rPr>
        <w:t> </w:t>
      </w:r>
      <w:r>
        <w:rPr>
          <w:sz w:val="16"/>
        </w:rPr>
        <w:t>del</w:t>
      </w:r>
      <w:r>
        <w:rPr>
          <w:spacing w:val="-3"/>
          <w:sz w:val="16"/>
        </w:rPr>
        <w:t> </w:t>
      </w:r>
      <w:r>
        <w:rPr>
          <w:sz w:val="16"/>
        </w:rPr>
        <w:t>contenido</w:t>
      </w:r>
      <w:r>
        <w:rPr>
          <w:spacing w:val="-2"/>
          <w:sz w:val="16"/>
        </w:rPr>
        <w:t> </w:t>
      </w:r>
      <w:r>
        <w:rPr>
          <w:sz w:val="16"/>
        </w:rPr>
        <w:t>de</w:t>
      </w:r>
      <w:r>
        <w:rPr>
          <w:spacing w:val="-5"/>
          <w:sz w:val="16"/>
        </w:rPr>
        <w:t> </w:t>
      </w:r>
      <w:r>
        <w:rPr>
          <w:sz w:val="16"/>
        </w:rPr>
        <w:t>otros</w:t>
      </w:r>
      <w:r>
        <w:rPr>
          <w:spacing w:val="-3"/>
          <w:sz w:val="16"/>
        </w:rPr>
        <w:t> </w:t>
      </w:r>
      <w:r>
        <w:rPr>
          <w:sz w:val="16"/>
        </w:rPr>
        <w:t>que</w:t>
      </w:r>
      <w:r>
        <w:rPr>
          <w:spacing w:val="-3"/>
          <w:sz w:val="16"/>
        </w:rPr>
        <w:t> </w:t>
      </w:r>
      <w:r>
        <w:rPr>
          <w:sz w:val="16"/>
        </w:rPr>
        <w:t>surgen</w:t>
      </w:r>
      <w:r>
        <w:rPr>
          <w:spacing w:val="-6"/>
          <w:sz w:val="16"/>
        </w:rPr>
        <w:t> </w:t>
      </w:r>
      <w:r>
        <w:rPr>
          <w:sz w:val="16"/>
        </w:rPr>
        <w:t>de</w:t>
      </w:r>
      <w:r>
        <w:rPr>
          <w:spacing w:val="-3"/>
          <w:sz w:val="16"/>
        </w:rPr>
        <w:t> </w:t>
      </w:r>
      <w:r>
        <w:rPr>
          <w:sz w:val="16"/>
        </w:rPr>
        <w:t>textos</w:t>
      </w:r>
      <w:r>
        <w:rPr>
          <w:spacing w:val="-3"/>
          <w:sz w:val="16"/>
        </w:rPr>
        <w:t> </w:t>
      </w:r>
      <w:r>
        <w:rPr>
          <w:sz w:val="16"/>
        </w:rPr>
        <w:t>convencionales</w:t>
      </w:r>
      <w:r>
        <w:rPr>
          <w:spacing w:val="-2"/>
          <w:sz w:val="16"/>
        </w:rPr>
        <w:t> </w:t>
      </w:r>
      <w:r>
        <w:rPr>
          <w:sz w:val="16"/>
        </w:rPr>
        <w:t>aplicables.</w:t>
      </w:r>
      <w:r>
        <w:rPr>
          <w:spacing w:val="-6"/>
          <w:sz w:val="16"/>
        </w:rPr>
        <w:t> </w:t>
      </w:r>
      <w:r>
        <w:rPr>
          <w:sz w:val="16"/>
        </w:rPr>
        <w:t>Así</w:t>
      </w:r>
      <w:r>
        <w:rPr>
          <w:spacing w:val="-3"/>
          <w:sz w:val="16"/>
        </w:rPr>
        <w:t> </w:t>
      </w:r>
      <w:r>
        <w:rPr>
          <w:sz w:val="16"/>
        </w:rPr>
        <w:t>se</w:t>
      </w:r>
      <w:r>
        <w:rPr>
          <w:spacing w:val="-2"/>
          <w:sz w:val="16"/>
        </w:rPr>
        <w:t> </w:t>
      </w:r>
      <w:r>
        <w:rPr>
          <w:sz w:val="16"/>
        </w:rPr>
        <w:t>ha</w:t>
      </w:r>
      <w:r>
        <w:rPr>
          <w:spacing w:val="-1"/>
          <w:sz w:val="16"/>
        </w:rPr>
        <w:t> </w:t>
      </w:r>
      <w:r>
        <w:rPr>
          <w:sz w:val="16"/>
        </w:rPr>
        <w:t>hecho,</w:t>
      </w:r>
      <w:r>
        <w:rPr>
          <w:spacing w:val="-4"/>
          <w:sz w:val="16"/>
        </w:rPr>
        <w:t> </w:t>
      </w:r>
      <w:r>
        <w:rPr>
          <w:sz w:val="16"/>
        </w:rPr>
        <w:t>por ejemplo, respecto al “derecho a la verdad”: la Corte ha indicado que “toda persona, incluyendo los familiares de</w:t>
      </w:r>
      <w:r>
        <w:rPr>
          <w:spacing w:val="-5"/>
          <w:sz w:val="16"/>
        </w:rPr>
        <w:t> </w:t>
      </w:r>
      <w:r>
        <w:rPr>
          <w:sz w:val="16"/>
        </w:rPr>
        <w:t>las</w:t>
      </w:r>
      <w:r>
        <w:rPr>
          <w:spacing w:val="-7"/>
          <w:sz w:val="16"/>
        </w:rPr>
        <w:t> </w:t>
      </w:r>
      <w:r>
        <w:rPr>
          <w:sz w:val="16"/>
        </w:rPr>
        <w:t>víctimas</w:t>
      </w:r>
      <w:r>
        <w:rPr>
          <w:spacing w:val="-7"/>
          <w:sz w:val="16"/>
        </w:rPr>
        <w:t> </w:t>
      </w:r>
      <w:r>
        <w:rPr>
          <w:sz w:val="16"/>
        </w:rPr>
        <w:t>de</w:t>
      </w:r>
      <w:r>
        <w:rPr>
          <w:spacing w:val="-10"/>
          <w:sz w:val="16"/>
        </w:rPr>
        <w:t> </w:t>
      </w:r>
      <w:r>
        <w:rPr>
          <w:sz w:val="16"/>
        </w:rPr>
        <w:t>graves</w:t>
      </w:r>
      <w:r>
        <w:rPr>
          <w:spacing w:val="-7"/>
          <w:sz w:val="16"/>
        </w:rPr>
        <w:t> </w:t>
      </w:r>
      <w:r>
        <w:rPr>
          <w:sz w:val="16"/>
        </w:rPr>
        <w:t>violaciones</w:t>
      </w:r>
      <w:r>
        <w:rPr>
          <w:spacing w:val="-5"/>
          <w:sz w:val="16"/>
        </w:rPr>
        <w:t> </w:t>
      </w:r>
      <w:r>
        <w:rPr>
          <w:sz w:val="16"/>
        </w:rPr>
        <w:t>a</w:t>
      </w:r>
      <w:r>
        <w:rPr>
          <w:spacing w:val="-8"/>
          <w:sz w:val="16"/>
        </w:rPr>
        <w:t> </w:t>
      </w:r>
      <w:r>
        <w:rPr>
          <w:sz w:val="16"/>
        </w:rPr>
        <w:t>derechos</w:t>
      </w:r>
      <w:r>
        <w:rPr>
          <w:spacing w:val="-7"/>
          <w:sz w:val="16"/>
        </w:rPr>
        <w:t> </w:t>
      </w:r>
      <w:r>
        <w:rPr>
          <w:sz w:val="16"/>
        </w:rPr>
        <w:t>humanos,</w:t>
      </w:r>
      <w:r>
        <w:rPr>
          <w:spacing w:val="-8"/>
          <w:sz w:val="16"/>
        </w:rPr>
        <w:t> </w:t>
      </w:r>
      <w:r>
        <w:rPr>
          <w:sz w:val="16"/>
        </w:rPr>
        <w:t>tiene,</w:t>
      </w:r>
      <w:r>
        <w:rPr>
          <w:spacing w:val="-6"/>
          <w:sz w:val="16"/>
        </w:rPr>
        <w:t> </w:t>
      </w:r>
      <w:r>
        <w:rPr>
          <w:sz w:val="16"/>
        </w:rPr>
        <w:t>de</w:t>
      </w:r>
      <w:r>
        <w:rPr>
          <w:spacing w:val="-7"/>
          <w:sz w:val="16"/>
        </w:rPr>
        <w:t> </w:t>
      </w:r>
      <w:r>
        <w:rPr>
          <w:sz w:val="16"/>
        </w:rPr>
        <w:t>acuerdo</w:t>
      </w:r>
      <w:r>
        <w:rPr>
          <w:spacing w:val="-7"/>
          <w:sz w:val="16"/>
        </w:rPr>
        <w:t> </w:t>
      </w:r>
      <w:r>
        <w:rPr>
          <w:sz w:val="16"/>
        </w:rPr>
        <w:t>con</w:t>
      </w:r>
      <w:r>
        <w:rPr>
          <w:spacing w:val="-8"/>
          <w:sz w:val="16"/>
        </w:rPr>
        <w:t> </w:t>
      </w:r>
      <w:r>
        <w:rPr>
          <w:sz w:val="16"/>
        </w:rPr>
        <w:t>los</w:t>
      </w:r>
      <w:r>
        <w:rPr>
          <w:spacing w:val="-7"/>
          <w:sz w:val="16"/>
        </w:rPr>
        <w:t> </w:t>
      </w:r>
      <w:r>
        <w:rPr>
          <w:sz w:val="16"/>
        </w:rPr>
        <w:t>artículos</w:t>
      </w:r>
      <w:r>
        <w:rPr>
          <w:spacing w:val="-7"/>
          <w:sz w:val="16"/>
        </w:rPr>
        <w:t> </w:t>
      </w:r>
      <w:r>
        <w:rPr>
          <w:sz w:val="16"/>
        </w:rPr>
        <w:t>1.1,</w:t>
      </w:r>
      <w:r>
        <w:rPr>
          <w:spacing w:val="-8"/>
          <w:sz w:val="16"/>
        </w:rPr>
        <w:t> </w:t>
      </w:r>
      <w:r>
        <w:rPr>
          <w:sz w:val="16"/>
        </w:rPr>
        <w:t>8.1,</w:t>
      </w:r>
      <w:r>
        <w:rPr>
          <w:spacing w:val="-8"/>
          <w:sz w:val="16"/>
        </w:rPr>
        <w:t> </w:t>
      </w:r>
      <w:r>
        <w:rPr>
          <w:sz w:val="16"/>
        </w:rPr>
        <w:t>25,</w:t>
      </w:r>
      <w:r>
        <w:rPr>
          <w:spacing w:val="-8"/>
          <w:sz w:val="16"/>
        </w:rPr>
        <w:t> </w:t>
      </w:r>
      <w:r>
        <w:rPr>
          <w:sz w:val="16"/>
        </w:rPr>
        <w:t>así como en determinadas circunstancias el artículo 13 de la Convención, el derecho a conocer la verdad” (</w:t>
      </w:r>
      <w:r>
        <w:rPr>
          <w:i/>
          <w:sz w:val="16"/>
        </w:rPr>
        <w:t>Caso </w:t>
      </w:r>
      <w:r>
        <w:rPr>
          <w:i/>
          <w:sz w:val="16"/>
        </w:rPr>
        <w:t>Gelman Vs. Uruguay</w:t>
      </w:r>
      <w:r>
        <w:rPr>
          <w:sz w:val="16"/>
        </w:rPr>
        <w:t>, párr. 243, y </w:t>
      </w:r>
      <w:r>
        <w:rPr>
          <w:i/>
          <w:sz w:val="16"/>
        </w:rPr>
        <w:t>Caso Masacres de El Mozote y lugares aledaños Vs. El Salvador. Fondo, </w:t>
      </w:r>
      <w:r>
        <w:rPr>
          <w:i/>
          <w:sz w:val="16"/>
        </w:rPr>
        <w:t>Reparaciones</w:t>
      </w:r>
      <w:r>
        <w:rPr>
          <w:i/>
          <w:spacing w:val="-10"/>
          <w:sz w:val="16"/>
        </w:rPr>
        <w:t> </w:t>
      </w:r>
      <w:r>
        <w:rPr>
          <w:i/>
          <w:sz w:val="16"/>
        </w:rPr>
        <w:t>y</w:t>
      </w:r>
      <w:r>
        <w:rPr>
          <w:i/>
          <w:spacing w:val="-11"/>
          <w:sz w:val="16"/>
        </w:rPr>
        <w:t> </w:t>
      </w:r>
      <w:r>
        <w:rPr>
          <w:i/>
          <w:sz w:val="16"/>
        </w:rPr>
        <w:t>Costas.</w:t>
      </w:r>
      <w:r>
        <w:rPr>
          <w:i/>
          <w:spacing w:val="-12"/>
          <w:sz w:val="16"/>
        </w:rPr>
        <w:t> </w:t>
      </w:r>
      <w:r>
        <w:rPr>
          <w:sz w:val="16"/>
        </w:rPr>
        <w:t>Sentencia</w:t>
      </w:r>
      <w:r>
        <w:rPr>
          <w:spacing w:val="-9"/>
          <w:sz w:val="16"/>
        </w:rPr>
        <w:t> </w:t>
      </w:r>
      <w:r>
        <w:rPr>
          <w:sz w:val="16"/>
        </w:rPr>
        <w:t>de</w:t>
      </w:r>
      <w:r>
        <w:rPr>
          <w:spacing w:val="-12"/>
          <w:sz w:val="16"/>
        </w:rPr>
        <w:t> </w:t>
      </w:r>
      <w:r>
        <w:rPr>
          <w:sz w:val="16"/>
        </w:rPr>
        <w:t>25</w:t>
      </w:r>
      <w:r>
        <w:rPr>
          <w:spacing w:val="-9"/>
          <w:sz w:val="16"/>
        </w:rPr>
        <w:t> </w:t>
      </w:r>
      <w:r>
        <w:rPr>
          <w:sz w:val="16"/>
        </w:rPr>
        <w:t>de</w:t>
      </w:r>
      <w:r>
        <w:rPr>
          <w:spacing w:val="-12"/>
          <w:sz w:val="16"/>
        </w:rPr>
        <w:t> </w:t>
      </w:r>
      <w:r>
        <w:rPr>
          <w:sz w:val="16"/>
        </w:rPr>
        <w:t>octubre</w:t>
      </w:r>
      <w:r>
        <w:rPr>
          <w:spacing w:val="-10"/>
          <w:sz w:val="16"/>
        </w:rPr>
        <w:t> </w:t>
      </w:r>
      <w:r>
        <w:rPr>
          <w:sz w:val="16"/>
        </w:rPr>
        <w:t>de</w:t>
      </w:r>
      <w:r>
        <w:rPr>
          <w:spacing w:val="-10"/>
          <w:sz w:val="16"/>
        </w:rPr>
        <w:t> </w:t>
      </w:r>
      <w:r>
        <w:rPr>
          <w:sz w:val="16"/>
        </w:rPr>
        <w:t>2012.</w:t>
      </w:r>
      <w:r>
        <w:rPr>
          <w:spacing w:val="-8"/>
          <w:sz w:val="16"/>
        </w:rPr>
        <w:t> </w:t>
      </w:r>
      <w:r>
        <w:rPr>
          <w:sz w:val="16"/>
        </w:rPr>
        <w:t>Serie</w:t>
      </w:r>
      <w:r>
        <w:rPr>
          <w:spacing w:val="-10"/>
          <w:sz w:val="16"/>
        </w:rPr>
        <w:t> </w:t>
      </w:r>
      <w:r>
        <w:rPr>
          <w:sz w:val="16"/>
        </w:rPr>
        <w:t>C</w:t>
      </w:r>
      <w:r>
        <w:rPr>
          <w:spacing w:val="-9"/>
          <w:sz w:val="16"/>
        </w:rPr>
        <w:t> </w:t>
      </w:r>
      <w:r>
        <w:rPr>
          <w:sz w:val="16"/>
        </w:rPr>
        <w:t>No.</w:t>
      </w:r>
      <w:r>
        <w:rPr>
          <w:spacing w:val="-11"/>
          <w:sz w:val="16"/>
        </w:rPr>
        <w:t> </w:t>
      </w:r>
      <w:r>
        <w:rPr>
          <w:sz w:val="16"/>
        </w:rPr>
        <w:t>252,</w:t>
      </w:r>
      <w:r>
        <w:rPr>
          <w:spacing w:val="-8"/>
          <w:sz w:val="16"/>
        </w:rPr>
        <w:t> </w:t>
      </w:r>
      <w:r>
        <w:rPr>
          <w:sz w:val="16"/>
        </w:rPr>
        <w:t>párr.</w:t>
      </w:r>
      <w:r>
        <w:rPr>
          <w:spacing w:val="-11"/>
          <w:sz w:val="16"/>
        </w:rPr>
        <w:t> </w:t>
      </w:r>
      <w:r>
        <w:rPr>
          <w:sz w:val="16"/>
        </w:rPr>
        <w:t>298;</w:t>
      </w:r>
      <w:r>
        <w:rPr>
          <w:spacing w:val="-11"/>
          <w:sz w:val="16"/>
        </w:rPr>
        <w:t> </w:t>
      </w:r>
      <w:r>
        <w:rPr>
          <w:sz w:val="16"/>
        </w:rPr>
        <w:t>también,</w:t>
      </w:r>
      <w:r>
        <w:rPr>
          <w:spacing w:val="-8"/>
          <w:sz w:val="16"/>
        </w:rPr>
        <w:t> </w:t>
      </w:r>
      <w:r>
        <w:rPr>
          <w:sz w:val="16"/>
        </w:rPr>
        <w:t>en</w:t>
      </w:r>
      <w:r>
        <w:rPr>
          <w:spacing w:val="-11"/>
          <w:sz w:val="16"/>
        </w:rPr>
        <w:t> </w:t>
      </w:r>
      <w:r>
        <w:rPr>
          <w:sz w:val="16"/>
        </w:rPr>
        <w:t>el</w:t>
      </w:r>
      <w:r>
        <w:rPr>
          <w:spacing w:val="-11"/>
          <w:sz w:val="16"/>
        </w:rPr>
        <w:t> </w:t>
      </w:r>
      <w:r>
        <w:rPr>
          <w:sz w:val="16"/>
        </w:rPr>
        <w:t>mismo sentido, </w:t>
      </w:r>
      <w:r>
        <w:rPr>
          <w:i/>
          <w:sz w:val="16"/>
        </w:rPr>
        <w:t>Caso Trujillo Oroza Vs. Bolivia. Reparaciones y Costas. </w:t>
      </w:r>
      <w:r>
        <w:rPr>
          <w:sz w:val="16"/>
        </w:rPr>
        <w:t>Sentencia de 27 de febrero de 2002. Serie C No. 92, párr. 114, y </w:t>
      </w:r>
      <w:r>
        <w:rPr>
          <w:i/>
          <w:sz w:val="16"/>
        </w:rPr>
        <w:t>Caso Omeara Carrascal y otros Vs. Colombia</w:t>
      </w:r>
      <w:r>
        <w:rPr>
          <w:sz w:val="16"/>
        </w:rPr>
        <w:t>, párr.</w:t>
      </w:r>
      <w:r>
        <w:rPr>
          <w:spacing w:val="-35"/>
          <w:sz w:val="16"/>
        </w:rPr>
        <w:t> </w:t>
      </w:r>
      <w:r>
        <w:rPr>
          <w:sz w:val="16"/>
        </w:rPr>
        <w:t>256).</w:t>
      </w:r>
    </w:p>
    <w:p>
      <w:pPr>
        <w:pStyle w:val="BodyText"/>
        <w:spacing w:before="11"/>
        <w:rPr>
          <w:sz w:val="15"/>
        </w:rPr>
      </w:pPr>
    </w:p>
    <w:p>
      <w:pPr>
        <w:tabs>
          <w:tab w:pos="829" w:val="left" w:leader="none"/>
        </w:tabs>
        <w:spacing w:before="0"/>
        <w:ind w:left="122" w:right="113" w:firstLine="0"/>
        <w:jc w:val="both"/>
        <w:rPr>
          <w:i/>
          <w:sz w:val="16"/>
        </w:rPr>
      </w:pPr>
      <w:r>
        <w:rPr>
          <w:position w:val="6"/>
          <w:sz w:val="10"/>
        </w:rPr>
        <w:t>219</w:t>
        <w:tab/>
      </w:r>
      <w:r>
        <w:rPr>
          <w:sz w:val="16"/>
        </w:rPr>
        <w:t>Debe dejarse sentado que la Corte ya ha indicado que el derecho a la salud se incluye en</w:t>
      </w:r>
      <w:r>
        <w:rPr>
          <w:spacing w:val="52"/>
          <w:sz w:val="16"/>
        </w:rPr>
        <w:t> </w:t>
      </w:r>
      <w:r>
        <w:rPr>
          <w:sz w:val="16"/>
        </w:rPr>
        <w:t>el</w:t>
      </w:r>
      <w:r>
        <w:rPr>
          <w:spacing w:val="6"/>
          <w:sz w:val="16"/>
        </w:rPr>
        <w:t> </w:t>
      </w:r>
      <w:r>
        <w:rPr>
          <w:sz w:val="16"/>
        </w:rPr>
        <w:t>artículo</w:t>
      </w:r>
      <w:r>
        <w:rPr>
          <w:w w:val="100"/>
          <w:sz w:val="16"/>
        </w:rPr>
        <w:t> </w:t>
      </w:r>
      <w:r>
        <w:rPr>
          <w:sz w:val="16"/>
        </w:rPr>
        <w:t>26, pues se deriva de los artículos 31.i, 31.l y 45.h de la Carta (</w:t>
      </w:r>
      <w:r>
        <w:rPr>
          <w:i/>
          <w:sz w:val="16"/>
        </w:rPr>
        <w:t>cfr. Caso Poblete Vilches y otros Vs. Chile</w:t>
      </w:r>
      <w:r>
        <w:rPr>
          <w:sz w:val="16"/>
        </w:rPr>
        <w:t>, párr.106,</w:t>
      </w:r>
      <w:r>
        <w:rPr>
          <w:spacing w:val="-7"/>
          <w:sz w:val="16"/>
        </w:rPr>
        <w:t> </w:t>
      </w:r>
      <w:r>
        <w:rPr>
          <w:sz w:val="16"/>
        </w:rPr>
        <w:t>y</w:t>
      </w:r>
      <w:r>
        <w:rPr>
          <w:spacing w:val="-2"/>
          <w:sz w:val="16"/>
        </w:rPr>
        <w:t> </w:t>
      </w:r>
      <w:r>
        <w:rPr>
          <w:i/>
          <w:sz w:val="16"/>
        </w:rPr>
        <w:t>Caso</w:t>
      </w:r>
      <w:r>
        <w:rPr>
          <w:i/>
          <w:spacing w:val="-3"/>
          <w:sz w:val="16"/>
        </w:rPr>
        <w:t> </w:t>
      </w:r>
      <w:r>
        <w:rPr>
          <w:i/>
          <w:sz w:val="16"/>
        </w:rPr>
        <w:t>Hernández</w:t>
      </w:r>
      <w:r>
        <w:rPr>
          <w:i/>
          <w:spacing w:val="-6"/>
          <w:sz w:val="16"/>
        </w:rPr>
        <w:t> </w:t>
      </w:r>
      <w:r>
        <w:rPr>
          <w:i/>
          <w:sz w:val="16"/>
        </w:rPr>
        <w:t>Vs.</w:t>
      </w:r>
      <w:r>
        <w:rPr>
          <w:i/>
          <w:spacing w:val="-4"/>
          <w:sz w:val="16"/>
        </w:rPr>
        <w:t> </w:t>
      </w:r>
      <w:r>
        <w:rPr>
          <w:i/>
          <w:sz w:val="16"/>
        </w:rPr>
        <w:t>Argentina</w:t>
      </w:r>
      <w:r>
        <w:rPr>
          <w:sz w:val="16"/>
        </w:rPr>
        <w:t>,</w:t>
      </w:r>
      <w:r>
        <w:rPr>
          <w:spacing w:val="-5"/>
          <w:sz w:val="16"/>
        </w:rPr>
        <w:t> </w:t>
      </w:r>
      <w:r>
        <w:rPr>
          <w:sz w:val="16"/>
        </w:rPr>
        <w:t>párr.</w:t>
      </w:r>
      <w:r>
        <w:rPr>
          <w:spacing w:val="-5"/>
          <w:sz w:val="16"/>
        </w:rPr>
        <w:t> </w:t>
      </w:r>
      <w:r>
        <w:rPr>
          <w:sz w:val="16"/>
        </w:rPr>
        <w:t>64).</w:t>
      </w:r>
      <w:r>
        <w:rPr>
          <w:spacing w:val="-5"/>
          <w:sz w:val="16"/>
        </w:rPr>
        <w:t> </w:t>
      </w:r>
      <w:r>
        <w:rPr>
          <w:sz w:val="16"/>
        </w:rPr>
        <w:t>Ahora</w:t>
      </w:r>
      <w:r>
        <w:rPr>
          <w:spacing w:val="-7"/>
          <w:sz w:val="16"/>
        </w:rPr>
        <w:t> </w:t>
      </w:r>
      <w:r>
        <w:rPr>
          <w:sz w:val="16"/>
        </w:rPr>
        <w:t>bien,</w:t>
      </w:r>
      <w:r>
        <w:rPr>
          <w:spacing w:val="-5"/>
          <w:sz w:val="16"/>
        </w:rPr>
        <w:t> </w:t>
      </w:r>
      <w:r>
        <w:rPr>
          <w:sz w:val="16"/>
        </w:rPr>
        <w:t>la</w:t>
      </w:r>
      <w:r>
        <w:rPr>
          <w:spacing w:val="-4"/>
          <w:sz w:val="16"/>
        </w:rPr>
        <w:t> </w:t>
      </w:r>
      <w:r>
        <w:rPr>
          <w:sz w:val="16"/>
        </w:rPr>
        <w:t>relación</w:t>
      </w:r>
      <w:r>
        <w:rPr>
          <w:spacing w:val="-4"/>
          <w:sz w:val="16"/>
        </w:rPr>
        <w:t> </w:t>
      </w:r>
      <w:r>
        <w:rPr>
          <w:sz w:val="16"/>
        </w:rPr>
        <w:t>entre</w:t>
      </w:r>
      <w:r>
        <w:rPr>
          <w:spacing w:val="-3"/>
          <w:sz w:val="16"/>
        </w:rPr>
        <w:t> </w:t>
      </w:r>
      <w:r>
        <w:rPr>
          <w:sz w:val="16"/>
        </w:rPr>
        <w:t>alimentación,</w:t>
      </w:r>
      <w:r>
        <w:rPr>
          <w:spacing w:val="-5"/>
          <w:sz w:val="16"/>
        </w:rPr>
        <w:t> </w:t>
      </w:r>
      <w:r>
        <w:rPr>
          <w:sz w:val="16"/>
        </w:rPr>
        <w:t>salud</w:t>
      </w:r>
      <w:r>
        <w:rPr>
          <w:spacing w:val="-3"/>
          <w:sz w:val="16"/>
        </w:rPr>
        <w:t> </w:t>
      </w:r>
      <w:r>
        <w:rPr>
          <w:sz w:val="16"/>
        </w:rPr>
        <w:t>y</w:t>
      </w:r>
      <w:r>
        <w:rPr>
          <w:spacing w:val="-3"/>
          <w:sz w:val="16"/>
        </w:rPr>
        <w:t> </w:t>
      </w:r>
      <w:r>
        <w:rPr>
          <w:sz w:val="16"/>
        </w:rPr>
        <w:t>agua resulta evidente. Ha sido expresamente advertida por el Comité DESC, que ha dicho que “el derecho al agua […] está indisolublemente asociado al derecho al más alto nivel posible de salud [… y a] una alimentación adecuada” (Comité DESC. </w:t>
      </w:r>
      <w:r>
        <w:rPr>
          <w:i/>
          <w:sz w:val="16"/>
        </w:rPr>
        <w:t>Observación General 15. El derecho al agua (artículos 11 y 12 del Pacto </w:t>
      </w:r>
      <w:r>
        <w:rPr>
          <w:i/>
          <w:sz w:val="16"/>
        </w:rPr>
        <w:t>Internacional de Derechos Económicos, Sociales y Culturales)</w:t>
      </w:r>
      <w:r>
        <w:rPr>
          <w:sz w:val="16"/>
        </w:rPr>
        <w:t>, párr. 3). Este Tribunal, por su parte, ha recordado que “[e]ntre las condiciones necesarias para una vida digna, […] se ha referido al acceso y calidad del</w:t>
      </w:r>
      <w:r>
        <w:rPr>
          <w:spacing w:val="-13"/>
          <w:sz w:val="16"/>
        </w:rPr>
        <w:t> </w:t>
      </w:r>
      <w:r>
        <w:rPr>
          <w:sz w:val="16"/>
        </w:rPr>
        <w:t>agua,</w:t>
      </w:r>
      <w:r>
        <w:rPr>
          <w:spacing w:val="-13"/>
          <w:sz w:val="16"/>
        </w:rPr>
        <w:t> </w:t>
      </w:r>
      <w:r>
        <w:rPr>
          <w:sz w:val="16"/>
        </w:rPr>
        <w:t>alimentación</w:t>
      </w:r>
      <w:r>
        <w:rPr>
          <w:spacing w:val="-13"/>
          <w:sz w:val="16"/>
        </w:rPr>
        <w:t> </w:t>
      </w:r>
      <w:r>
        <w:rPr>
          <w:sz w:val="16"/>
        </w:rPr>
        <w:t>y</w:t>
      </w:r>
      <w:r>
        <w:rPr>
          <w:spacing w:val="-11"/>
          <w:sz w:val="16"/>
        </w:rPr>
        <w:t> </w:t>
      </w:r>
      <w:r>
        <w:rPr>
          <w:sz w:val="16"/>
        </w:rPr>
        <w:t>salud,</w:t>
      </w:r>
      <w:r>
        <w:rPr>
          <w:spacing w:val="-13"/>
          <w:sz w:val="16"/>
        </w:rPr>
        <w:t> </w:t>
      </w:r>
      <w:r>
        <w:rPr>
          <w:sz w:val="16"/>
        </w:rPr>
        <w:t>cuyo</w:t>
      </w:r>
      <w:r>
        <w:rPr>
          <w:spacing w:val="-11"/>
          <w:sz w:val="16"/>
        </w:rPr>
        <w:t> </w:t>
      </w:r>
      <w:r>
        <w:rPr>
          <w:sz w:val="16"/>
        </w:rPr>
        <w:t>contenido</w:t>
      </w:r>
      <w:r>
        <w:rPr>
          <w:spacing w:val="-14"/>
          <w:sz w:val="16"/>
        </w:rPr>
        <w:t> </w:t>
      </w:r>
      <w:r>
        <w:rPr>
          <w:sz w:val="16"/>
        </w:rPr>
        <w:t>ya</w:t>
      </w:r>
      <w:r>
        <w:rPr>
          <w:spacing w:val="-13"/>
          <w:sz w:val="16"/>
        </w:rPr>
        <w:t> </w:t>
      </w:r>
      <w:r>
        <w:rPr>
          <w:sz w:val="16"/>
        </w:rPr>
        <w:t>ha</w:t>
      </w:r>
      <w:r>
        <w:rPr>
          <w:spacing w:val="-13"/>
          <w:sz w:val="16"/>
        </w:rPr>
        <w:t> </w:t>
      </w:r>
      <w:r>
        <w:rPr>
          <w:sz w:val="16"/>
        </w:rPr>
        <w:t>sido</w:t>
      </w:r>
      <w:r>
        <w:rPr>
          <w:spacing w:val="-11"/>
          <w:sz w:val="16"/>
        </w:rPr>
        <w:t> </w:t>
      </w:r>
      <w:r>
        <w:rPr>
          <w:sz w:val="16"/>
        </w:rPr>
        <w:t>definido</w:t>
      </w:r>
      <w:r>
        <w:rPr>
          <w:spacing w:val="-11"/>
          <w:sz w:val="16"/>
        </w:rPr>
        <w:t> </w:t>
      </w:r>
      <w:r>
        <w:rPr>
          <w:sz w:val="16"/>
        </w:rPr>
        <w:t>en</w:t>
      </w:r>
      <w:r>
        <w:rPr>
          <w:spacing w:val="-13"/>
          <w:sz w:val="16"/>
        </w:rPr>
        <w:t> </w:t>
      </w:r>
      <w:r>
        <w:rPr>
          <w:sz w:val="16"/>
        </w:rPr>
        <w:t>la</w:t>
      </w:r>
      <w:r>
        <w:rPr>
          <w:spacing w:val="-13"/>
          <w:sz w:val="16"/>
        </w:rPr>
        <w:t> </w:t>
      </w:r>
      <w:r>
        <w:rPr>
          <w:sz w:val="16"/>
        </w:rPr>
        <w:t>jurisprudencia</w:t>
      </w:r>
      <w:r>
        <w:rPr>
          <w:spacing w:val="-13"/>
          <w:sz w:val="16"/>
        </w:rPr>
        <w:t> </w:t>
      </w:r>
      <w:r>
        <w:rPr>
          <w:sz w:val="16"/>
        </w:rPr>
        <w:t>de</w:t>
      </w:r>
      <w:r>
        <w:rPr>
          <w:spacing w:val="-12"/>
          <w:sz w:val="16"/>
        </w:rPr>
        <w:t> </w:t>
      </w:r>
      <w:r>
        <w:rPr>
          <w:sz w:val="16"/>
        </w:rPr>
        <w:t>esta</w:t>
      </w:r>
      <w:r>
        <w:rPr>
          <w:spacing w:val="-13"/>
          <w:sz w:val="16"/>
        </w:rPr>
        <w:t> </w:t>
      </w:r>
      <w:r>
        <w:rPr>
          <w:sz w:val="16"/>
        </w:rPr>
        <w:t>Corte,</w:t>
      </w:r>
      <w:r>
        <w:rPr>
          <w:spacing w:val="-13"/>
          <w:sz w:val="16"/>
        </w:rPr>
        <w:t> </w:t>
      </w:r>
      <w:r>
        <w:rPr>
          <w:sz w:val="16"/>
        </w:rPr>
        <w:t>indicando que estas condiciones impactan de manera aguda el derecho a una existencia digna y las condiciones básicas para el ejercicio de otros derechos humanos. Asimismo, la Corte ha incluido la protección del […] ambiente como una condición para la vida digna”. Ha advertido que “[e]ntre dichas condiciones cabe destacar que la salud requiere de ciertas precondiciones necesarias para una vida saludable, por lo que se relaciona directamente con el acceso a la alimentación y al agua”, y que “la contaminación ambiental puede causar afectaciones a la salud”, por lo que la protección del ambiente se relaciona directamente con el acceso a la alimentación,</w:t>
      </w:r>
      <w:r>
        <w:rPr>
          <w:spacing w:val="-5"/>
          <w:sz w:val="16"/>
        </w:rPr>
        <w:t> </w:t>
      </w:r>
      <w:r>
        <w:rPr>
          <w:sz w:val="16"/>
        </w:rPr>
        <w:t>al</w:t>
      </w:r>
      <w:r>
        <w:rPr>
          <w:spacing w:val="-4"/>
          <w:sz w:val="16"/>
        </w:rPr>
        <w:t> </w:t>
      </w:r>
      <w:r>
        <w:rPr>
          <w:sz w:val="16"/>
        </w:rPr>
        <w:t>agua</w:t>
      </w:r>
      <w:r>
        <w:rPr>
          <w:spacing w:val="-4"/>
          <w:sz w:val="16"/>
        </w:rPr>
        <w:t> </w:t>
      </w:r>
      <w:r>
        <w:rPr>
          <w:sz w:val="16"/>
        </w:rPr>
        <w:t>y</w:t>
      </w:r>
      <w:r>
        <w:rPr>
          <w:spacing w:val="-3"/>
          <w:sz w:val="16"/>
        </w:rPr>
        <w:t> </w:t>
      </w:r>
      <w:r>
        <w:rPr>
          <w:sz w:val="16"/>
        </w:rPr>
        <w:t>a</w:t>
      </w:r>
      <w:r>
        <w:rPr>
          <w:spacing w:val="-4"/>
          <w:sz w:val="16"/>
        </w:rPr>
        <w:t> </w:t>
      </w:r>
      <w:r>
        <w:rPr>
          <w:sz w:val="16"/>
        </w:rPr>
        <w:t>salud.</w:t>
      </w:r>
      <w:r>
        <w:rPr>
          <w:spacing w:val="-3"/>
          <w:sz w:val="16"/>
        </w:rPr>
        <w:t> </w:t>
      </w:r>
      <w:r>
        <w:rPr>
          <w:sz w:val="16"/>
        </w:rPr>
        <w:t>(</w:t>
      </w:r>
      <w:r>
        <w:rPr>
          <w:i/>
          <w:sz w:val="16"/>
        </w:rPr>
        <w:t>Medio</w:t>
      </w:r>
      <w:r>
        <w:rPr>
          <w:i/>
          <w:spacing w:val="-3"/>
          <w:sz w:val="16"/>
        </w:rPr>
        <w:t> </w:t>
      </w:r>
      <w:r>
        <w:rPr>
          <w:i/>
          <w:sz w:val="16"/>
        </w:rPr>
        <w:t>ambiente</w:t>
      </w:r>
      <w:r>
        <w:rPr>
          <w:i/>
          <w:spacing w:val="-3"/>
          <w:sz w:val="16"/>
        </w:rPr>
        <w:t> </w:t>
      </w:r>
      <w:r>
        <w:rPr>
          <w:i/>
          <w:sz w:val="16"/>
        </w:rPr>
        <w:t>y</w:t>
      </w:r>
      <w:r>
        <w:rPr>
          <w:i/>
          <w:spacing w:val="-5"/>
          <w:sz w:val="16"/>
        </w:rPr>
        <w:t> </w:t>
      </w:r>
      <w:r>
        <w:rPr>
          <w:i/>
          <w:sz w:val="16"/>
        </w:rPr>
        <w:t>derechos</w:t>
      </w:r>
      <w:r>
        <w:rPr>
          <w:i/>
          <w:spacing w:val="-3"/>
          <w:sz w:val="16"/>
        </w:rPr>
        <w:t> </w:t>
      </w:r>
      <w:r>
        <w:rPr>
          <w:i/>
          <w:sz w:val="16"/>
        </w:rPr>
        <w:t>humanos</w:t>
      </w:r>
      <w:r>
        <w:rPr>
          <w:i/>
          <w:spacing w:val="-3"/>
          <w:sz w:val="16"/>
        </w:rPr>
        <w:t> </w:t>
      </w:r>
      <w:r>
        <w:rPr>
          <w:i/>
          <w:sz w:val="16"/>
        </w:rPr>
        <w:t>(obligaciones</w:t>
      </w:r>
      <w:r>
        <w:rPr>
          <w:i/>
          <w:spacing w:val="-6"/>
          <w:sz w:val="16"/>
        </w:rPr>
        <w:t> </w:t>
      </w:r>
      <w:r>
        <w:rPr>
          <w:i/>
          <w:sz w:val="16"/>
        </w:rPr>
        <w:t>estatales</w:t>
      </w:r>
      <w:r>
        <w:rPr>
          <w:i/>
          <w:spacing w:val="-3"/>
          <w:sz w:val="16"/>
        </w:rPr>
        <w:t> </w:t>
      </w:r>
      <w:r>
        <w:rPr>
          <w:i/>
          <w:sz w:val="16"/>
        </w:rPr>
        <w:t>en</w:t>
      </w:r>
      <w:r>
        <w:rPr>
          <w:i/>
          <w:spacing w:val="-4"/>
          <w:sz w:val="16"/>
        </w:rPr>
        <w:t> </w:t>
      </w:r>
      <w:r>
        <w:rPr>
          <w:i/>
          <w:sz w:val="16"/>
        </w:rPr>
        <w:t>relación</w:t>
      </w:r>
      <w:r>
        <w:rPr>
          <w:i/>
          <w:spacing w:val="-5"/>
          <w:sz w:val="16"/>
        </w:rPr>
        <w:t> </w:t>
      </w:r>
      <w:r>
        <w:rPr>
          <w:i/>
          <w:sz w:val="16"/>
        </w:rPr>
        <w:t>con </w:t>
      </w:r>
      <w:r>
        <w:rPr>
          <w:i/>
          <w:sz w:val="16"/>
        </w:rPr>
        <w:t>el</w:t>
      </w:r>
      <w:r>
        <w:rPr>
          <w:i/>
          <w:spacing w:val="-3"/>
          <w:sz w:val="16"/>
        </w:rPr>
        <w:t> </w:t>
      </w:r>
      <w:r>
        <w:rPr>
          <w:i/>
          <w:sz w:val="16"/>
        </w:rPr>
        <w:t>medio</w:t>
      </w:r>
      <w:r>
        <w:rPr>
          <w:i/>
          <w:spacing w:val="-2"/>
          <w:sz w:val="16"/>
        </w:rPr>
        <w:t> </w:t>
      </w:r>
      <w:r>
        <w:rPr>
          <w:i/>
          <w:sz w:val="16"/>
        </w:rPr>
        <w:t>ambiente</w:t>
      </w:r>
      <w:r>
        <w:rPr>
          <w:i/>
          <w:spacing w:val="-2"/>
          <w:sz w:val="16"/>
        </w:rPr>
        <w:t> </w:t>
      </w:r>
      <w:r>
        <w:rPr>
          <w:i/>
          <w:sz w:val="16"/>
        </w:rPr>
        <w:t>en</w:t>
      </w:r>
      <w:r>
        <w:rPr>
          <w:i/>
          <w:spacing w:val="-3"/>
          <w:sz w:val="16"/>
        </w:rPr>
        <w:t> </w:t>
      </w:r>
      <w:r>
        <w:rPr>
          <w:i/>
          <w:sz w:val="16"/>
        </w:rPr>
        <w:t>el</w:t>
      </w:r>
      <w:r>
        <w:rPr>
          <w:i/>
          <w:spacing w:val="-3"/>
          <w:sz w:val="16"/>
        </w:rPr>
        <w:t> </w:t>
      </w:r>
      <w:r>
        <w:rPr>
          <w:i/>
          <w:sz w:val="16"/>
        </w:rPr>
        <w:t>marco</w:t>
      </w:r>
      <w:r>
        <w:rPr>
          <w:i/>
          <w:spacing w:val="-2"/>
          <w:sz w:val="16"/>
        </w:rPr>
        <w:t> </w:t>
      </w:r>
      <w:r>
        <w:rPr>
          <w:i/>
          <w:sz w:val="16"/>
        </w:rPr>
        <w:t>de</w:t>
      </w:r>
      <w:r>
        <w:rPr>
          <w:i/>
          <w:spacing w:val="-2"/>
          <w:sz w:val="16"/>
        </w:rPr>
        <w:t> </w:t>
      </w:r>
      <w:r>
        <w:rPr>
          <w:i/>
          <w:sz w:val="16"/>
        </w:rPr>
        <w:t>la</w:t>
      </w:r>
      <w:r>
        <w:rPr>
          <w:i/>
          <w:spacing w:val="-6"/>
          <w:sz w:val="16"/>
        </w:rPr>
        <w:t> </w:t>
      </w:r>
      <w:r>
        <w:rPr>
          <w:i/>
          <w:sz w:val="16"/>
        </w:rPr>
        <w:t>protección</w:t>
      </w:r>
      <w:r>
        <w:rPr>
          <w:i/>
          <w:spacing w:val="-4"/>
          <w:sz w:val="16"/>
        </w:rPr>
        <w:t> </w:t>
      </w:r>
      <w:r>
        <w:rPr>
          <w:i/>
          <w:sz w:val="16"/>
        </w:rPr>
        <w:t>y</w:t>
      </w:r>
      <w:r>
        <w:rPr>
          <w:i/>
          <w:spacing w:val="-4"/>
          <w:sz w:val="16"/>
        </w:rPr>
        <w:t> </w:t>
      </w:r>
      <w:r>
        <w:rPr>
          <w:i/>
          <w:sz w:val="16"/>
        </w:rPr>
        <w:t>garantía</w:t>
      </w:r>
      <w:r>
        <w:rPr>
          <w:i/>
          <w:spacing w:val="-3"/>
          <w:sz w:val="16"/>
        </w:rPr>
        <w:t> </w:t>
      </w:r>
      <w:r>
        <w:rPr>
          <w:i/>
          <w:sz w:val="16"/>
        </w:rPr>
        <w:t>de</w:t>
      </w:r>
      <w:r>
        <w:rPr>
          <w:i/>
          <w:spacing w:val="-2"/>
          <w:sz w:val="16"/>
        </w:rPr>
        <w:t> </w:t>
      </w:r>
      <w:r>
        <w:rPr>
          <w:i/>
          <w:sz w:val="16"/>
        </w:rPr>
        <w:t>los</w:t>
      </w:r>
      <w:r>
        <w:rPr>
          <w:i/>
          <w:spacing w:val="-2"/>
          <w:sz w:val="16"/>
        </w:rPr>
        <w:t> </w:t>
      </w:r>
      <w:r>
        <w:rPr>
          <w:i/>
          <w:sz w:val="16"/>
        </w:rPr>
        <w:t>derechos</w:t>
      </w:r>
      <w:r>
        <w:rPr>
          <w:i/>
          <w:spacing w:val="-2"/>
          <w:sz w:val="16"/>
        </w:rPr>
        <w:t> </w:t>
      </w:r>
      <w:r>
        <w:rPr>
          <w:i/>
          <w:sz w:val="16"/>
        </w:rPr>
        <w:t>a</w:t>
      </w:r>
      <w:r>
        <w:rPr>
          <w:i/>
          <w:spacing w:val="-6"/>
          <w:sz w:val="16"/>
        </w:rPr>
        <w:t> </w:t>
      </w:r>
      <w:r>
        <w:rPr>
          <w:i/>
          <w:sz w:val="16"/>
        </w:rPr>
        <w:t>la</w:t>
      </w:r>
      <w:r>
        <w:rPr>
          <w:i/>
          <w:spacing w:val="-3"/>
          <w:sz w:val="16"/>
        </w:rPr>
        <w:t> </w:t>
      </w:r>
      <w:r>
        <w:rPr>
          <w:i/>
          <w:sz w:val="16"/>
        </w:rPr>
        <w:t>vida</w:t>
      </w:r>
      <w:r>
        <w:rPr>
          <w:i/>
          <w:spacing w:val="-6"/>
          <w:sz w:val="16"/>
        </w:rPr>
        <w:t> </w:t>
      </w:r>
      <w:r>
        <w:rPr>
          <w:i/>
          <w:sz w:val="16"/>
        </w:rPr>
        <w:t>y</w:t>
      </w:r>
      <w:r>
        <w:rPr>
          <w:i/>
          <w:spacing w:val="-2"/>
          <w:sz w:val="16"/>
        </w:rPr>
        <w:t> </w:t>
      </w:r>
      <w:r>
        <w:rPr>
          <w:i/>
          <w:sz w:val="16"/>
        </w:rPr>
        <w:t>a</w:t>
      </w:r>
      <w:r>
        <w:rPr>
          <w:i/>
          <w:spacing w:val="-3"/>
          <w:sz w:val="16"/>
        </w:rPr>
        <w:t> </w:t>
      </w:r>
      <w:r>
        <w:rPr>
          <w:i/>
          <w:sz w:val="16"/>
        </w:rPr>
        <w:t>la</w:t>
      </w:r>
      <w:r>
        <w:rPr>
          <w:i/>
          <w:spacing w:val="-6"/>
          <w:sz w:val="16"/>
        </w:rPr>
        <w:t> </w:t>
      </w:r>
      <w:r>
        <w:rPr>
          <w:i/>
          <w:sz w:val="16"/>
        </w:rPr>
        <w:t>integridad</w:t>
      </w:r>
      <w:r>
        <w:rPr>
          <w:i/>
          <w:spacing w:val="-5"/>
          <w:sz w:val="16"/>
        </w:rPr>
        <w:t> </w:t>
      </w:r>
      <w:r>
        <w:rPr>
          <w:i/>
          <w:sz w:val="16"/>
        </w:rPr>
        <w:t>personal</w:t>
      </w:r>
    </w:p>
    <w:p>
      <w:pPr>
        <w:spacing w:line="240" w:lineRule="auto" w:before="0"/>
        <w:ind w:left="122" w:right="112" w:firstLine="0"/>
        <w:jc w:val="both"/>
        <w:rPr>
          <w:sz w:val="16"/>
        </w:rPr>
      </w:pPr>
      <w:r>
        <w:rPr>
          <w:i/>
          <w:sz w:val="16"/>
        </w:rPr>
        <w:t>- interpretación y alcance de los artículos 4.1 y 5.1, en relación con los artículos 1.1 y 2 de la Convención </w:t>
      </w:r>
      <w:r>
        <w:rPr>
          <w:i/>
          <w:sz w:val="16"/>
        </w:rPr>
        <w:t>Americana</w:t>
      </w:r>
      <w:r>
        <w:rPr>
          <w:i/>
          <w:spacing w:val="-7"/>
          <w:sz w:val="16"/>
        </w:rPr>
        <w:t> </w:t>
      </w:r>
      <w:r>
        <w:rPr>
          <w:i/>
          <w:sz w:val="16"/>
        </w:rPr>
        <w:t>sobre</w:t>
      </w:r>
      <w:r>
        <w:rPr>
          <w:i/>
          <w:spacing w:val="-3"/>
          <w:sz w:val="16"/>
        </w:rPr>
        <w:t> </w:t>
      </w:r>
      <w:r>
        <w:rPr>
          <w:i/>
          <w:sz w:val="16"/>
        </w:rPr>
        <w:t>Derechos</w:t>
      </w:r>
      <w:r>
        <w:rPr>
          <w:i/>
          <w:spacing w:val="-6"/>
          <w:sz w:val="16"/>
        </w:rPr>
        <w:t> </w:t>
      </w:r>
      <w:r>
        <w:rPr>
          <w:i/>
          <w:sz w:val="16"/>
        </w:rPr>
        <w:t>Humanos).</w:t>
      </w:r>
      <w:r>
        <w:rPr>
          <w:i/>
          <w:spacing w:val="-5"/>
          <w:sz w:val="16"/>
        </w:rPr>
        <w:t> </w:t>
      </w:r>
      <w:r>
        <w:rPr>
          <w:i/>
          <w:sz w:val="16"/>
        </w:rPr>
        <w:t>Opinión</w:t>
      </w:r>
      <w:r>
        <w:rPr>
          <w:i/>
          <w:spacing w:val="-5"/>
          <w:sz w:val="16"/>
        </w:rPr>
        <w:t> </w:t>
      </w:r>
      <w:r>
        <w:rPr>
          <w:i/>
          <w:sz w:val="16"/>
        </w:rPr>
        <w:t>Consultiva</w:t>
      </w:r>
      <w:r>
        <w:rPr>
          <w:i/>
          <w:spacing w:val="-7"/>
          <w:sz w:val="16"/>
        </w:rPr>
        <w:t> </w:t>
      </w:r>
      <w:r>
        <w:rPr>
          <w:i/>
          <w:sz w:val="16"/>
        </w:rPr>
        <w:t>OC-23/17</w:t>
      </w:r>
      <w:r>
        <w:rPr>
          <w:sz w:val="16"/>
        </w:rPr>
        <w:t>,</w:t>
      </w:r>
      <w:r>
        <w:rPr>
          <w:spacing w:val="-7"/>
          <w:sz w:val="16"/>
        </w:rPr>
        <w:t> </w:t>
      </w:r>
      <w:r>
        <w:rPr>
          <w:sz w:val="16"/>
        </w:rPr>
        <w:t>párrs.</w:t>
      </w:r>
      <w:r>
        <w:rPr>
          <w:spacing w:val="-7"/>
          <w:sz w:val="16"/>
        </w:rPr>
        <w:t> </w:t>
      </w:r>
      <w:r>
        <w:rPr>
          <w:sz w:val="16"/>
        </w:rPr>
        <w:t>109</w:t>
      </w:r>
      <w:r>
        <w:rPr>
          <w:spacing w:val="-5"/>
          <w:sz w:val="16"/>
        </w:rPr>
        <w:t> </w:t>
      </w:r>
      <w:r>
        <w:rPr>
          <w:sz w:val="16"/>
        </w:rPr>
        <w:t>y</w:t>
      </w:r>
      <w:r>
        <w:rPr>
          <w:spacing w:val="-5"/>
          <w:sz w:val="16"/>
        </w:rPr>
        <w:t> </w:t>
      </w:r>
      <w:r>
        <w:rPr>
          <w:sz w:val="16"/>
        </w:rPr>
        <w:t>110.</w:t>
      </w:r>
      <w:r>
        <w:rPr>
          <w:spacing w:val="-7"/>
          <w:sz w:val="16"/>
        </w:rPr>
        <w:t> </w:t>
      </w:r>
      <w:r>
        <w:rPr>
          <w:sz w:val="16"/>
        </w:rPr>
        <w:t>Allí</w:t>
      </w:r>
      <w:r>
        <w:rPr>
          <w:spacing w:val="-4"/>
          <w:sz w:val="16"/>
        </w:rPr>
        <w:t> </w:t>
      </w:r>
      <w:r>
        <w:rPr>
          <w:sz w:val="16"/>
        </w:rPr>
        <w:t>se</w:t>
      </w:r>
      <w:r>
        <w:rPr>
          <w:spacing w:val="-6"/>
          <w:sz w:val="16"/>
        </w:rPr>
        <w:t> </w:t>
      </w:r>
      <w:r>
        <w:rPr>
          <w:sz w:val="16"/>
        </w:rPr>
        <w:t>cita</w:t>
      </w:r>
      <w:r>
        <w:rPr>
          <w:spacing w:val="-4"/>
          <w:sz w:val="16"/>
        </w:rPr>
        <w:t> </w:t>
      </w:r>
      <w:r>
        <w:rPr>
          <w:sz w:val="16"/>
        </w:rPr>
        <w:t>la</w:t>
      </w:r>
      <w:r>
        <w:rPr>
          <w:spacing w:val="-4"/>
          <w:sz w:val="16"/>
        </w:rPr>
        <w:t> </w:t>
      </w:r>
      <w:r>
        <w:rPr>
          <w:sz w:val="16"/>
        </w:rPr>
        <w:t>siguiente jurisprudencia de este Tribunal: </w:t>
      </w:r>
      <w:r>
        <w:rPr>
          <w:i/>
          <w:sz w:val="16"/>
        </w:rPr>
        <w:t>Caso Comunidad Indígena Yakye Axa Vs. Paraguay</w:t>
      </w:r>
      <w:r>
        <w:rPr>
          <w:sz w:val="16"/>
        </w:rPr>
        <w:t>, párrs. 163 y 167; </w:t>
      </w:r>
      <w:r>
        <w:rPr>
          <w:i/>
          <w:sz w:val="16"/>
        </w:rPr>
        <w:t>Caso </w:t>
      </w:r>
      <w:r>
        <w:rPr>
          <w:i/>
          <w:sz w:val="16"/>
        </w:rPr>
        <w:t>Comunidad</w:t>
      </w:r>
      <w:r>
        <w:rPr>
          <w:i/>
          <w:spacing w:val="-10"/>
          <w:sz w:val="16"/>
        </w:rPr>
        <w:t> </w:t>
      </w:r>
      <w:r>
        <w:rPr>
          <w:i/>
          <w:sz w:val="16"/>
        </w:rPr>
        <w:t>Indígena</w:t>
      </w:r>
      <w:r>
        <w:rPr>
          <w:i/>
          <w:spacing w:val="-11"/>
          <w:sz w:val="16"/>
        </w:rPr>
        <w:t> </w:t>
      </w:r>
      <w:r>
        <w:rPr>
          <w:i/>
          <w:sz w:val="16"/>
        </w:rPr>
        <w:t>Sawhoyamaxa</w:t>
      </w:r>
      <w:r>
        <w:rPr>
          <w:i/>
          <w:spacing w:val="-11"/>
          <w:sz w:val="16"/>
        </w:rPr>
        <w:t> </w:t>
      </w:r>
      <w:r>
        <w:rPr>
          <w:i/>
          <w:sz w:val="16"/>
        </w:rPr>
        <w:t>Vs.</w:t>
      </w:r>
      <w:r>
        <w:rPr>
          <w:i/>
          <w:spacing w:val="-11"/>
          <w:sz w:val="16"/>
        </w:rPr>
        <w:t> </w:t>
      </w:r>
      <w:r>
        <w:rPr>
          <w:i/>
          <w:sz w:val="16"/>
        </w:rPr>
        <w:t>Paraguay</w:t>
      </w:r>
      <w:r>
        <w:rPr>
          <w:sz w:val="16"/>
        </w:rPr>
        <w:t>,</w:t>
      </w:r>
      <w:r>
        <w:rPr>
          <w:spacing w:val="-12"/>
          <w:sz w:val="16"/>
        </w:rPr>
        <w:t> </w:t>
      </w:r>
      <w:r>
        <w:rPr>
          <w:sz w:val="16"/>
        </w:rPr>
        <w:t>párrs.</w:t>
      </w:r>
      <w:r>
        <w:rPr>
          <w:spacing w:val="-11"/>
          <w:sz w:val="16"/>
        </w:rPr>
        <w:t> </w:t>
      </w:r>
      <w:r>
        <w:rPr>
          <w:sz w:val="16"/>
        </w:rPr>
        <w:t>156</w:t>
      </w:r>
      <w:r>
        <w:rPr>
          <w:spacing w:val="-10"/>
          <w:sz w:val="16"/>
        </w:rPr>
        <w:t> </w:t>
      </w:r>
      <w:r>
        <w:rPr>
          <w:sz w:val="16"/>
        </w:rPr>
        <w:t>a</w:t>
      </w:r>
      <w:r>
        <w:rPr>
          <w:spacing w:val="-11"/>
          <w:sz w:val="16"/>
        </w:rPr>
        <w:t> </w:t>
      </w:r>
      <w:r>
        <w:rPr>
          <w:sz w:val="16"/>
        </w:rPr>
        <w:t>178;</w:t>
      </w:r>
      <w:r>
        <w:rPr>
          <w:spacing w:val="-13"/>
          <w:sz w:val="16"/>
        </w:rPr>
        <w:t> </w:t>
      </w:r>
      <w:r>
        <w:rPr>
          <w:i/>
          <w:sz w:val="16"/>
        </w:rPr>
        <w:t>Caso</w:t>
      </w:r>
      <w:r>
        <w:rPr>
          <w:i/>
          <w:spacing w:val="-12"/>
          <w:sz w:val="16"/>
        </w:rPr>
        <w:t> </w:t>
      </w:r>
      <w:r>
        <w:rPr>
          <w:i/>
          <w:sz w:val="16"/>
        </w:rPr>
        <w:t>Comunidad</w:t>
      </w:r>
      <w:r>
        <w:rPr>
          <w:i/>
          <w:spacing w:val="-10"/>
          <w:sz w:val="16"/>
        </w:rPr>
        <w:t> </w:t>
      </w:r>
      <w:r>
        <w:rPr>
          <w:i/>
          <w:sz w:val="16"/>
        </w:rPr>
        <w:t>Indígena</w:t>
      </w:r>
      <w:r>
        <w:rPr>
          <w:i/>
          <w:spacing w:val="-11"/>
          <w:sz w:val="16"/>
        </w:rPr>
        <w:t> </w:t>
      </w:r>
      <w:r>
        <w:rPr>
          <w:i/>
          <w:sz w:val="16"/>
        </w:rPr>
        <w:t>Xákmok</w:t>
      </w:r>
      <w:r>
        <w:rPr>
          <w:i/>
          <w:spacing w:val="-11"/>
          <w:sz w:val="16"/>
        </w:rPr>
        <w:t> </w:t>
      </w:r>
      <w:r>
        <w:rPr>
          <w:i/>
          <w:sz w:val="16"/>
        </w:rPr>
        <w:t>Kásek </w:t>
      </w:r>
      <w:r>
        <w:rPr>
          <w:i/>
          <w:sz w:val="16"/>
        </w:rPr>
        <w:t>Vs.</w:t>
      </w:r>
      <w:r>
        <w:rPr>
          <w:i/>
          <w:spacing w:val="-3"/>
          <w:sz w:val="16"/>
        </w:rPr>
        <w:t> </w:t>
      </w:r>
      <w:r>
        <w:rPr>
          <w:i/>
          <w:sz w:val="16"/>
        </w:rPr>
        <w:t>Paraguay.</w:t>
      </w:r>
      <w:r>
        <w:rPr>
          <w:i/>
          <w:spacing w:val="-6"/>
          <w:sz w:val="16"/>
        </w:rPr>
        <w:t> </w:t>
      </w:r>
      <w:r>
        <w:rPr>
          <w:i/>
          <w:sz w:val="16"/>
        </w:rPr>
        <w:t>Fondo,</w:t>
      </w:r>
      <w:r>
        <w:rPr>
          <w:i/>
          <w:spacing w:val="-6"/>
          <w:sz w:val="16"/>
        </w:rPr>
        <w:t> </w:t>
      </w:r>
      <w:r>
        <w:rPr>
          <w:i/>
          <w:sz w:val="16"/>
        </w:rPr>
        <w:t>Reparaciones</w:t>
      </w:r>
      <w:r>
        <w:rPr>
          <w:i/>
          <w:spacing w:val="-5"/>
          <w:sz w:val="16"/>
        </w:rPr>
        <w:t> </w:t>
      </w:r>
      <w:r>
        <w:rPr>
          <w:i/>
          <w:sz w:val="16"/>
        </w:rPr>
        <w:t>y</w:t>
      </w:r>
      <w:r>
        <w:rPr>
          <w:i/>
          <w:spacing w:val="-6"/>
          <w:sz w:val="16"/>
        </w:rPr>
        <w:t> </w:t>
      </w:r>
      <w:r>
        <w:rPr>
          <w:i/>
          <w:sz w:val="16"/>
        </w:rPr>
        <w:t>Costas.</w:t>
      </w:r>
      <w:r>
        <w:rPr>
          <w:i/>
          <w:spacing w:val="-3"/>
          <w:sz w:val="16"/>
        </w:rPr>
        <w:t> </w:t>
      </w:r>
      <w:r>
        <w:rPr>
          <w:sz w:val="16"/>
        </w:rPr>
        <w:t>Sentencia</w:t>
      </w:r>
      <w:r>
        <w:rPr>
          <w:spacing w:val="-6"/>
          <w:sz w:val="16"/>
        </w:rPr>
        <w:t> </w:t>
      </w:r>
      <w:r>
        <w:rPr>
          <w:sz w:val="16"/>
        </w:rPr>
        <w:t>de</w:t>
      </w:r>
      <w:r>
        <w:rPr>
          <w:spacing w:val="-5"/>
          <w:sz w:val="16"/>
        </w:rPr>
        <w:t> </w:t>
      </w:r>
      <w:r>
        <w:rPr>
          <w:sz w:val="16"/>
        </w:rPr>
        <w:t>24</w:t>
      </w:r>
      <w:r>
        <w:rPr>
          <w:spacing w:val="-4"/>
          <w:sz w:val="16"/>
        </w:rPr>
        <w:t> </w:t>
      </w:r>
      <w:r>
        <w:rPr>
          <w:sz w:val="16"/>
        </w:rPr>
        <w:t>de</w:t>
      </w:r>
      <w:r>
        <w:rPr>
          <w:spacing w:val="-5"/>
          <w:sz w:val="16"/>
        </w:rPr>
        <w:t> </w:t>
      </w:r>
      <w:r>
        <w:rPr>
          <w:sz w:val="16"/>
        </w:rPr>
        <w:t>agosto</w:t>
      </w:r>
      <w:r>
        <w:rPr>
          <w:spacing w:val="-4"/>
          <w:sz w:val="16"/>
        </w:rPr>
        <w:t> </w:t>
      </w:r>
      <w:r>
        <w:rPr>
          <w:sz w:val="16"/>
        </w:rPr>
        <w:t>de</w:t>
      </w:r>
      <w:r>
        <w:rPr>
          <w:spacing w:val="-7"/>
          <w:sz w:val="16"/>
        </w:rPr>
        <w:t> </w:t>
      </w:r>
      <w:r>
        <w:rPr>
          <w:sz w:val="16"/>
        </w:rPr>
        <w:t>2010.</w:t>
      </w:r>
      <w:r>
        <w:rPr>
          <w:spacing w:val="-6"/>
          <w:sz w:val="16"/>
        </w:rPr>
        <w:t> </w:t>
      </w:r>
      <w:r>
        <w:rPr>
          <w:sz w:val="16"/>
        </w:rPr>
        <w:t>Serie</w:t>
      </w:r>
      <w:r>
        <w:rPr>
          <w:spacing w:val="-7"/>
          <w:sz w:val="16"/>
        </w:rPr>
        <w:t> </w:t>
      </w:r>
      <w:r>
        <w:rPr>
          <w:sz w:val="16"/>
        </w:rPr>
        <w:t>C</w:t>
      </w:r>
      <w:r>
        <w:rPr>
          <w:spacing w:val="-5"/>
          <w:sz w:val="16"/>
        </w:rPr>
        <w:t> </w:t>
      </w:r>
      <w:r>
        <w:rPr>
          <w:sz w:val="16"/>
        </w:rPr>
        <w:t>No.</w:t>
      </w:r>
      <w:r>
        <w:rPr>
          <w:spacing w:val="-6"/>
          <w:sz w:val="16"/>
        </w:rPr>
        <w:t> </w:t>
      </w:r>
      <w:r>
        <w:rPr>
          <w:sz w:val="16"/>
        </w:rPr>
        <w:t>214,</w:t>
      </w:r>
      <w:r>
        <w:rPr>
          <w:spacing w:val="-6"/>
          <w:sz w:val="16"/>
        </w:rPr>
        <w:t> </w:t>
      </w:r>
      <w:r>
        <w:rPr>
          <w:sz w:val="16"/>
        </w:rPr>
        <w:t>párrs.</w:t>
      </w:r>
      <w:r>
        <w:rPr>
          <w:spacing w:val="-8"/>
          <w:sz w:val="16"/>
        </w:rPr>
        <w:t> </w:t>
      </w:r>
      <w:r>
        <w:rPr>
          <w:sz w:val="16"/>
        </w:rPr>
        <w:t>187 y 195 a 213; </w:t>
      </w:r>
      <w:r>
        <w:rPr>
          <w:i/>
          <w:sz w:val="16"/>
        </w:rPr>
        <w:t>Caso Artavia Murillo y otros (Fecundación in Vitro) Vs. Costa Rica. Excepciones Preliminares, </w:t>
      </w:r>
      <w:r>
        <w:rPr>
          <w:i/>
          <w:sz w:val="16"/>
        </w:rPr>
        <w:t>Fondo, Reparaciones y Costas. </w:t>
      </w:r>
      <w:r>
        <w:rPr>
          <w:sz w:val="16"/>
        </w:rPr>
        <w:t>Sentencia de 28 de noviembre de 2012. Serie C No. 257, párr. 148; </w:t>
      </w:r>
      <w:r>
        <w:rPr>
          <w:i/>
          <w:sz w:val="16"/>
        </w:rPr>
        <w:t>Caso </w:t>
      </w:r>
      <w:r>
        <w:rPr>
          <w:i/>
          <w:sz w:val="16"/>
        </w:rPr>
        <w:t>Pueblos</w:t>
      </w:r>
      <w:r>
        <w:rPr>
          <w:i/>
          <w:spacing w:val="-6"/>
          <w:sz w:val="16"/>
        </w:rPr>
        <w:t> </w:t>
      </w:r>
      <w:r>
        <w:rPr>
          <w:i/>
          <w:sz w:val="16"/>
        </w:rPr>
        <w:t>Kaliña</w:t>
      </w:r>
      <w:r>
        <w:rPr>
          <w:i/>
          <w:spacing w:val="-4"/>
          <w:sz w:val="16"/>
        </w:rPr>
        <w:t> </w:t>
      </w:r>
      <w:r>
        <w:rPr>
          <w:i/>
          <w:sz w:val="16"/>
        </w:rPr>
        <w:t>y</w:t>
      </w:r>
      <w:r>
        <w:rPr>
          <w:i/>
          <w:spacing w:val="-5"/>
          <w:sz w:val="16"/>
        </w:rPr>
        <w:t> </w:t>
      </w:r>
      <w:r>
        <w:rPr>
          <w:i/>
          <w:sz w:val="16"/>
        </w:rPr>
        <w:t>Lokono</w:t>
      </w:r>
      <w:r>
        <w:rPr>
          <w:i/>
          <w:spacing w:val="-8"/>
          <w:sz w:val="16"/>
        </w:rPr>
        <w:t> </w:t>
      </w:r>
      <w:r>
        <w:rPr>
          <w:i/>
          <w:sz w:val="16"/>
        </w:rPr>
        <w:t>Vs.</w:t>
      </w:r>
      <w:r>
        <w:rPr>
          <w:i/>
          <w:spacing w:val="-7"/>
          <w:sz w:val="16"/>
        </w:rPr>
        <w:t> </w:t>
      </w:r>
      <w:r>
        <w:rPr>
          <w:i/>
          <w:sz w:val="16"/>
        </w:rPr>
        <w:t>Surinam</w:t>
      </w:r>
      <w:r>
        <w:rPr>
          <w:sz w:val="16"/>
        </w:rPr>
        <w:t>,</w:t>
      </w:r>
      <w:r>
        <w:rPr>
          <w:spacing w:val="-5"/>
          <w:sz w:val="16"/>
        </w:rPr>
        <w:t> </w:t>
      </w:r>
      <w:r>
        <w:rPr>
          <w:sz w:val="16"/>
        </w:rPr>
        <w:t>párr.</w:t>
      </w:r>
      <w:r>
        <w:rPr>
          <w:spacing w:val="-7"/>
          <w:sz w:val="16"/>
        </w:rPr>
        <w:t> </w:t>
      </w:r>
      <w:r>
        <w:rPr>
          <w:sz w:val="16"/>
        </w:rPr>
        <w:t>172,</w:t>
      </w:r>
      <w:r>
        <w:rPr>
          <w:spacing w:val="-7"/>
          <w:sz w:val="16"/>
        </w:rPr>
        <w:t> </w:t>
      </w:r>
      <w:r>
        <w:rPr>
          <w:sz w:val="16"/>
        </w:rPr>
        <w:t>y</w:t>
      </w:r>
      <w:r>
        <w:rPr>
          <w:spacing w:val="-7"/>
          <w:sz w:val="16"/>
        </w:rPr>
        <w:t> </w:t>
      </w:r>
      <w:r>
        <w:rPr>
          <w:i/>
          <w:sz w:val="16"/>
        </w:rPr>
        <w:t>Caso</w:t>
      </w:r>
      <w:r>
        <w:rPr>
          <w:i/>
          <w:spacing w:val="-5"/>
          <w:sz w:val="16"/>
        </w:rPr>
        <w:t> </w:t>
      </w:r>
      <w:r>
        <w:rPr>
          <w:i/>
          <w:sz w:val="16"/>
        </w:rPr>
        <w:t>Chinchilla</w:t>
      </w:r>
      <w:r>
        <w:rPr>
          <w:i/>
          <w:spacing w:val="-4"/>
          <w:sz w:val="16"/>
        </w:rPr>
        <w:t> </w:t>
      </w:r>
      <w:r>
        <w:rPr>
          <w:i/>
          <w:sz w:val="16"/>
        </w:rPr>
        <w:t>Sandoval</w:t>
      </w:r>
      <w:r>
        <w:rPr>
          <w:i/>
          <w:spacing w:val="-7"/>
          <w:sz w:val="16"/>
        </w:rPr>
        <w:t> </w:t>
      </w:r>
      <w:r>
        <w:rPr>
          <w:i/>
          <w:sz w:val="16"/>
        </w:rPr>
        <w:t>y</w:t>
      </w:r>
      <w:r>
        <w:rPr>
          <w:i/>
          <w:spacing w:val="-5"/>
          <w:sz w:val="16"/>
        </w:rPr>
        <w:t> </w:t>
      </w:r>
      <w:r>
        <w:rPr>
          <w:i/>
          <w:sz w:val="16"/>
        </w:rPr>
        <w:t>otros</w:t>
      </w:r>
      <w:r>
        <w:rPr>
          <w:i/>
          <w:spacing w:val="-6"/>
          <w:sz w:val="16"/>
        </w:rPr>
        <w:t> </w:t>
      </w:r>
      <w:r>
        <w:rPr>
          <w:i/>
          <w:sz w:val="16"/>
        </w:rPr>
        <w:t>Vs.</w:t>
      </w:r>
      <w:r>
        <w:rPr>
          <w:i/>
          <w:spacing w:val="-7"/>
          <w:sz w:val="16"/>
        </w:rPr>
        <w:t> </w:t>
      </w:r>
      <w:r>
        <w:rPr>
          <w:i/>
          <w:sz w:val="16"/>
        </w:rPr>
        <w:t>Guatemala.</w:t>
      </w:r>
      <w:r>
        <w:rPr>
          <w:i/>
          <w:spacing w:val="-5"/>
          <w:sz w:val="16"/>
        </w:rPr>
        <w:t> </w:t>
      </w:r>
      <w:r>
        <w:rPr>
          <w:i/>
          <w:sz w:val="16"/>
        </w:rPr>
        <w:t>Excepción </w:t>
      </w:r>
      <w:r>
        <w:rPr>
          <w:i/>
          <w:sz w:val="16"/>
        </w:rPr>
        <w:t>Preliminar, Fondo, Reparaciones y Costas. </w:t>
      </w:r>
      <w:r>
        <w:rPr>
          <w:sz w:val="16"/>
        </w:rPr>
        <w:t>Sentencia de 29 de febrero de 2016. Serie C No. 312, párr. 168. También se cita: Comité DESC. </w:t>
      </w:r>
      <w:r>
        <w:rPr>
          <w:i/>
          <w:sz w:val="16"/>
        </w:rPr>
        <w:t>Observación General 14: El derecho al disfrute del más alto de nivel posible </w:t>
      </w:r>
      <w:r>
        <w:rPr>
          <w:i/>
          <w:sz w:val="16"/>
        </w:rPr>
        <w:t>de salud (artículo 12 del Pacto Internacional de Derechos Económicos, Sociales y Culturales)</w:t>
      </w:r>
      <w:r>
        <w:rPr>
          <w:sz w:val="16"/>
        </w:rPr>
        <w:t>, párrs. 4 y 34 y Comité Europeo de Derechos Sociales, </w:t>
      </w:r>
      <w:r>
        <w:rPr>
          <w:i/>
          <w:sz w:val="16"/>
        </w:rPr>
        <w:t>Demanda Nº 30/2005, Fundación para los derechos humanos </w:t>
      </w:r>
      <w:r>
        <w:rPr>
          <w:i/>
          <w:sz w:val="16"/>
        </w:rPr>
        <w:t>“Marangopoulos” Vs. Grecia </w:t>
      </w:r>
      <w:r>
        <w:rPr>
          <w:sz w:val="16"/>
        </w:rPr>
        <w:t>(Fondo). Decisión del 6 de diciembre de 2006, párr. 195. La Corte ha señalado además que: a) el “derecho al agua” está entre “los derechos particularmente vulnerables a afectaciones ambientales”,</w:t>
      </w:r>
      <w:r>
        <w:rPr>
          <w:spacing w:val="-14"/>
          <w:sz w:val="16"/>
        </w:rPr>
        <w:t> </w:t>
      </w:r>
      <w:r>
        <w:rPr>
          <w:sz w:val="16"/>
        </w:rPr>
        <w:t>b)</w:t>
      </w:r>
      <w:r>
        <w:rPr>
          <w:spacing w:val="-12"/>
          <w:sz w:val="16"/>
        </w:rPr>
        <w:t> </w:t>
      </w:r>
      <w:r>
        <w:rPr>
          <w:sz w:val="16"/>
        </w:rPr>
        <w:t>“el</w:t>
      </w:r>
      <w:r>
        <w:rPr>
          <w:spacing w:val="-14"/>
          <w:sz w:val="16"/>
        </w:rPr>
        <w:t> </w:t>
      </w:r>
      <w:r>
        <w:rPr>
          <w:sz w:val="16"/>
        </w:rPr>
        <w:t>Consejo</w:t>
      </w:r>
      <w:r>
        <w:rPr>
          <w:spacing w:val="-12"/>
          <w:sz w:val="16"/>
        </w:rPr>
        <w:t> </w:t>
      </w:r>
      <w:r>
        <w:rPr>
          <w:sz w:val="16"/>
        </w:rPr>
        <w:t>de</w:t>
      </w:r>
      <w:r>
        <w:rPr>
          <w:spacing w:val="-13"/>
          <w:sz w:val="16"/>
        </w:rPr>
        <w:t> </w:t>
      </w:r>
      <w:r>
        <w:rPr>
          <w:sz w:val="16"/>
        </w:rPr>
        <w:t>Derechos</w:t>
      </w:r>
      <w:r>
        <w:rPr>
          <w:spacing w:val="-10"/>
          <w:sz w:val="16"/>
        </w:rPr>
        <w:t> </w:t>
      </w:r>
      <w:r>
        <w:rPr>
          <w:sz w:val="16"/>
        </w:rPr>
        <w:t>Humanos</w:t>
      </w:r>
      <w:r>
        <w:rPr>
          <w:spacing w:val="-10"/>
          <w:sz w:val="16"/>
        </w:rPr>
        <w:t> </w:t>
      </w:r>
      <w:r>
        <w:rPr>
          <w:sz w:val="16"/>
        </w:rPr>
        <w:t>ha</w:t>
      </w:r>
      <w:r>
        <w:rPr>
          <w:spacing w:val="-14"/>
          <w:sz w:val="16"/>
        </w:rPr>
        <w:t> </w:t>
      </w:r>
      <w:r>
        <w:rPr>
          <w:sz w:val="16"/>
        </w:rPr>
        <w:t>identificado</w:t>
      </w:r>
      <w:r>
        <w:rPr>
          <w:spacing w:val="-12"/>
          <w:sz w:val="16"/>
        </w:rPr>
        <w:t> </w:t>
      </w:r>
      <w:r>
        <w:rPr>
          <w:sz w:val="16"/>
        </w:rPr>
        <w:t>amenazas</w:t>
      </w:r>
      <w:r>
        <w:rPr>
          <w:spacing w:val="-10"/>
          <w:sz w:val="16"/>
        </w:rPr>
        <w:t> </w:t>
      </w:r>
      <w:r>
        <w:rPr>
          <w:sz w:val="16"/>
        </w:rPr>
        <w:t>ambientales</w:t>
      </w:r>
      <w:r>
        <w:rPr>
          <w:spacing w:val="-13"/>
          <w:sz w:val="16"/>
        </w:rPr>
        <w:t> </w:t>
      </w:r>
      <w:r>
        <w:rPr>
          <w:sz w:val="16"/>
        </w:rPr>
        <w:t>que</w:t>
      </w:r>
      <w:r>
        <w:rPr>
          <w:spacing w:val="-13"/>
          <w:sz w:val="16"/>
        </w:rPr>
        <w:t> </w:t>
      </w:r>
      <w:r>
        <w:rPr>
          <w:sz w:val="16"/>
        </w:rPr>
        <w:t>pueden</w:t>
      </w:r>
      <w:r>
        <w:rPr>
          <w:spacing w:val="-11"/>
          <w:sz w:val="16"/>
        </w:rPr>
        <w:t> </w:t>
      </w:r>
      <w:r>
        <w:rPr>
          <w:sz w:val="16"/>
        </w:rPr>
        <w:t>afectar, de manera directa o indirecta, el goce efectivo de derechos humanos concretos, [entre ellos, el derecho al] agua”, y c) que “el acceso al agua y a […] aliment[os] puede ser afectado por ejemplo, si la contaminación limita</w:t>
      </w:r>
      <w:r>
        <w:rPr>
          <w:spacing w:val="-11"/>
          <w:sz w:val="16"/>
        </w:rPr>
        <w:t> </w:t>
      </w:r>
      <w:r>
        <w:rPr>
          <w:sz w:val="16"/>
        </w:rPr>
        <w:t>la</w:t>
      </w:r>
      <w:r>
        <w:rPr>
          <w:spacing w:val="-11"/>
          <w:sz w:val="16"/>
        </w:rPr>
        <w:t> </w:t>
      </w:r>
      <w:r>
        <w:rPr>
          <w:sz w:val="16"/>
        </w:rPr>
        <w:t>disponibilidad</w:t>
      </w:r>
      <w:r>
        <w:rPr>
          <w:spacing w:val="-12"/>
          <w:sz w:val="16"/>
        </w:rPr>
        <w:t> </w:t>
      </w:r>
      <w:r>
        <w:rPr>
          <w:sz w:val="16"/>
        </w:rPr>
        <w:t>de</w:t>
      </w:r>
      <w:r>
        <w:rPr>
          <w:spacing w:val="-13"/>
          <w:sz w:val="16"/>
        </w:rPr>
        <w:t> </w:t>
      </w:r>
      <w:r>
        <w:rPr>
          <w:sz w:val="16"/>
        </w:rPr>
        <w:t>los</w:t>
      </w:r>
      <w:r>
        <w:rPr>
          <w:spacing w:val="-15"/>
          <w:sz w:val="16"/>
        </w:rPr>
        <w:t> </w:t>
      </w:r>
      <w:r>
        <w:rPr>
          <w:sz w:val="16"/>
        </w:rPr>
        <w:t>mismos</w:t>
      </w:r>
      <w:r>
        <w:rPr>
          <w:spacing w:val="-13"/>
          <w:sz w:val="16"/>
        </w:rPr>
        <w:t> </w:t>
      </w:r>
      <w:r>
        <w:rPr>
          <w:sz w:val="16"/>
        </w:rPr>
        <w:t>en</w:t>
      </w:r>
      <w:r>
        <w:rPr>
          <w:spacing w:val="-14"/>
          <w:sz w:val="16"/>
        </w:rPr>
        <w:t> </w:t>
      </w:r>
      <w:r>
        <w:rPr>
          <w:sz w:val="16"/>
        </w:rPr>
        <w:t>cantidades</w:t>
      </w:r>
      <w:r>
        <w:rPr>
          <w:spacing w:val="-13"/>
          <w:sz w:val="16"/>
        </w:rPr>
        <w:t> </w:t>
      </w:r>
      <w:r>
        <w:rPr>
          <w:sz w:val="16"/>
        </w:rPr>
        <w:t>suficientes</w:t>
      </w:r>
      <w:r>
        <w:rPr>
          <w:spacing w:val="-13"/>
          <w:sz w:val="16"/>
        </w:rPr>
        <w:t> </w:t>
      </w:r>
      <w:r>
        <w:rPr>
          <w:sz w:val="16"/>
        </w:rPr>
        <w:t>o</w:t>
      </w:r>
      <w:r>
        <w:rPr>
          <w:spacing w:val="-11"/>
          <w:sz w:val="16"/>
        </w:rPr>
        <w:t> </w:t>
      </w:r>
      <w:r>
        <w:rPr>
          <w:sz w:val="16"/>
        </w:rPr>
        <w:t>afecta</w:t>
      </w:r>
      <w:r>
        <w:rPr>
          <w:spacing w:val="-11"/>
          <w:sz w:val="16"/>
        </w:rPr>
        <w:t> </w:t>
      </w:r>
      <w:r>
        <w:rPr>
          <w:sz w:val="16"/>
        </w:rPr>
        <w:t>su</w:t>
      </w:r>
      <w:r>
        <w:rPr>
          <w:spacing w:val="-14"/>
          <w:sz w:val="16"/>
        </w:rPr>
        <w:t> </w:t>
      </w:r>
      <w:r>
        <w:rPr>
          <w:sz w:val="16"/>
        </w:rPr>
        <w:t>calidad”(</w:t>
      </w:r>
      <w:r>
        <w:rPr>
          <w:i/>
          <w:sz w:val="16"/>
        </w:rPr>
        <w:t>Medio</w:t>
      </w:r>
      <w:r>
        <w:rPr>
          <w:i/>
          <w:spacing w:val="-12"/>
          <w:sz w:val="16"/>
        </w:rPr>
        <w:t> </w:t>
      </w:r>
      <w:r>
        <w:rPr>
          <w:i/>
          <w:sz w:val="16"/>
        </w:rPr>
        <w:t>ambiente</w:t>
      </w:r>
      <w:r>
        <w:rPr>
          <w:i/>
          <w:spacing w:val="-13"/>
          <w:sz w:val="16"/>
        </w:rPr>
        <w:t> </w:t>
      </w:r>
      <w:r>
        <w:rPr>
          <w:i/>
          <w:sz w:val="16"/>
        </w:rPr>
        <w:t>y</w:t>
      </w:r>
      <w:r>
        <w:rPr>
          <w:i/>
          <w:spacing w:val="-12"/>
          <w:sz w:val="16"/>
        </w:rPr>
        <w:t> </w:t>
      </w:r>
      <w:r>
        <w:rPr>
          <w:i/>
          <w:sz w:val="16"/>
        </w:rPr>
        <w:t>derechos </w:t>
      </w:r>
      <w:r>
        <w:rPr>
          <w:i/>
          <w:sz w:val="16"/>
        </w:rPr>
        <w:t>humanos</w:t>
      </w:r>
      <w:r>
        <w:rPr>
          <w:i/>
          <w:spacing w:val="-6"/>
          <w:sz w:val="16"/>
        </w:rPr>
        <w:t> </w:t>
      </w:r>
      <w:r>
        <w:rPr>
          <w:i/>
          <w:sz w:val="16"/>
        </w:rPr>
        <w:t>(obligaciones</w:t>
      </w:r>
      <w:r>
        <w:rPr>
          <w:i/>
          <w:spacing w:val="-8"/>
          <w:sz w:val="16"/>
        </w:rPr>
        <w:t> </w:t>
      </w:r>
      <w:r>
        <w:rPr>
          <w:i/>
          <w:sz w:val="16"/>
        </w:rPr>
        <w:t>estatales</w:t>
      </w:r>
      <w:r>
        <w:rPr>
          <w:i/>
          <w:spacing w:val="-6"/>
          <w:sz w:val="16"/>
        </w:rPr>
        <w:t> </w:t>
      </w:r>
      <w:r>
        <w:rPr>
          <w:i/>
          <w:sz w:val="16"/>
        </w:rPr>
        <w:t>en</w:t>
      </w:r>
      <w:r>
        <w:rPr>
          <w:i/>
          <w:spacing w:val="-9"/>
          <w:sz w:val="16"/>
        </w:rPr>
        <w:t> </w:t>
      </w:r>
      <w:r>
        <w:rPr>
          <w:i/>
          <w:sz w:val="16"/>
        </w:rPr>
        <w:t>relación</w:t>
      </w:r>
      <w:r>
        <w:rPr>
          <w:i/>
          <w:spacing w:val="-7"/>
          <w:sz w:val="16"/>
        </w:rPr>
        <w:t> </w:t>
      </w:r>
      <w:r>
        <w:rPr>
          <w:i/>
          <w:sz w:val="16"/>
        </w:rPr>
        <w:t>con</w:t>
      </w:r>
      <w:r>
        <w:rPr>
          <w:i/>
          <w:spacing w:val="-7"/>
          <w:sz w:val="16"/>
        </w:rPr>
        <w:t> </w:t>
      </w:r>
      <w:r>
        <w:rPr>
          <w:i/>
          <w:sz w:val="16"/>
        </w:rPr>
        <w:t>el</w:t>
      </w:r>
      <w:r>
        <w:rPr>
          <w:i/>
          <w:spacing w:val="-7"/>
          <w:sz w:val="16"/>
        </w:rPr>
        <w:t> </w:t>
      </w:r>
      <w:r>
        <w:rPr>
          <w:i/>
          <w:sz w:val="16"/>
        </w:rPr>
        <w:t>medio</w:t>
      </w:r>
      <w:r>
        <w:rPr>
          <w:i/>
          <w:spacing w:val="-8"/>
          <w:sz w:val="16"/>
        </w:rPr>
        <w:t> </w:t>
      </w:r>
      <w:r>
        <w:rPr>
          <w:i/>
          <w:sz w:val="16"/>
        </w:rPr>
        <w:t>ambiente</w:t>
      </w:r>
      <w:r>
        <w:rPr>
          <w:i/>
          <w:spacing w:val="-6"/>
          <w:sz w:val="16"/>
        </w:rPr>
        <w:t> </w:t>
      </w:r>
      <w:r>
        <w:rPr>
          <w:i/>
          <w:sz w:val="16"/>
        </w:rPr>
        <w:t>en</w:t>
      </w:r>
      <w:r>
        <w:rPr>
          <w:i/>
          <w:spacing w:val="-9"/>
          <w:sz w:val="16"/>
        </w:rPr>
        <w:t> </w:t>
      </w:r>
      <w:r>
        <w:rPr>
          <w:i/>
          <w:sz w:val="16"/>
        </w:rPr>
        <w:t>el</w:t>
      </w:r>
      <w:r>
        <w:rPr>
          <w:i/>
          <w:spacing w:val="-7"/>
          <w:sz w:val="16"/>
        </w:rPr>
        <w:t> </w:t>
      </w:r>
      <w:r>
        <w:rPr>
          <w:i/>
          <w:sz w:val="16"/>
        </w:rPr>
        <w:t>marco</w:t>
      </w:r>
      <w:r>
        <w:rPr>
          <w:i/>
          <w:spacing w:val="-7"/>
          <w:sz w:val="16"/>
        </w:rPr>
        <w:t> </w:t>
      </w:r>
      <w:r>
        <w:rPr>
          <w:i/>
          <w:sz w:val="16"/>
        </w:rPr>
        <w:t>de</w:t>
      </w:r>
      <w:r>
        <w:rPr>
          <w:i/>
          <w:spacing w:val="-8"/>
          <w:sz w:val="16"/>
        </w:rPr>
        <w:t> </w:t>
      </w:r>
      <w:r>
        <w:rPr>
          <w:i/>
          <w:sz w:val="16"/>
        </w:rPr>
        <w:t>la</w:t>
      </w:r>
      <w:r>
        <w:rPr>
          <w:i/>
          <w:spacing w:val="-7"/>
          <w:sz w:val="16"/>
        </w:rPr>
        <w:t> </w:t>
      </w:r>
      <w:r>
        <w:rPr>
          <w:i/>
          <w:sz w:val="16"/>
        </w:rPr>
        <w:t>protección</w:t>
      </w:r>
      <w:r>
        <w:rPr>
          <w:i/>
          <w:spacing w:val="-9"/>
          <w:sz w:val="16"/>
        </w:rPr>
        <w:t> </w:t>
      </w:r>
      <w:r>
        <w:rPr>
          <w:i/>
          <w:sz w:val="16"/>
        </w:rPr>
        <w:t>y</w:t>
      </w:r>
      <w:r>
        <w:rPr>
          <w:i/>
          <w:spacing w:val="-8"/>
          <w:sz w:val="16"/>
        </w:rPr>
        <w:t> </w:t>
      </w:r>
      <w:r>
        <w:rPr>
          <w:i/>
          <w:sz w:val="16"/>
        </w:rPr>
        <w:t>garantía</w:t>
      </w:r>
      <w:r>
        <w:rPr>
          <w:i/>
          <w:spacing w:val="-7"/>
          <w:sz w:val="16"/>
        </w:rPr>
        <w:t> </w:t>
      </w:r>
      <w:r>
        <w:rPr>
          <w:i/>
          <w:sz w:val="16"/>
        </w:rPr>
        <w:t>de los</w:t>
      </w:r>
      <w:r>
        <w:rPr>
          <w:i/>
          <w:spacing w:val="-10"/>
          <w:sz w:val="16"/>
        </w:rPr>
        <w:t> </w:t>
      </w:r>
      <w:r>
        <w:rPr>
          <w:i/>
          <w:sz w:val="16"/>
        </w:rPr>
        <w:t>derechos</w:t>
      </w:r>
      <w:r>
        <w:rPr>
          <w:i/>
          <w:spacing w:val="-10"/>
          <w:sz w:val="16"/>
        </w:rPr>
        <w:t> </w:t>
      </w:r>
      <w:r>
        <w:rPr>
          <w:i/>
          <w:sz w:val="16"/>
        </w:rPr>
        <w:t>a</w:t>
      </w:r>
      <w:r>
        <w:rPr>
          <w:i/>
          <w:spacing w:val="-10"/>
          <w:sz w:val="16"/>
        </w:rPr>
        <w:t> </w:t>
      </w:r>
      <w:r>
        <w:rPr>
          <w:i/>
          <w:sz w:val="16"/>
        </w:rPr>
        <w:t>la</w:t>
      </w:r>
      <w:r>
        <w:rPr>
          <w:i/>
          <w:spacing w:val="-10"/>
          <w:sz w:val="16"/>
        </w:rPr>
        <w:t> </w:t>
      </w:r>
      <w:r>
        <w:rPr>
          <w:i/>
          <w:sz w:val="16"/>
        </w:rPr>
        <w:t>vida</w:t>
      </w:r>
      <w:r>
        <w:rPr>
          <w:i/>
          <w:spacing w:val="-10"/>
          <w:sz w:val="16"/>
        </w:rPr>
        <w:t> </w:t>
      </w:r>
      <w:r>
        <w:rPr>
          <w:i/>
          <w:sz w:val="16"/>
        </w:rPr>
        <w:t>y</w:t>
      </w:r>
      <w:r>
        <w:rPr>
          <w:i/>
          <w:spacing w:val="-9"/>
          <w:sz w:val="16"/>
        </w:rPr>
        <w:t> </w:t>
      </w:r>
      <w:r>
        <w:rPr>
          <w:i/>
          <w:sz w:val="16"/>
        </w:rPr>
        <w:t>a</w:t>
      </w:r>
      <w:r>
        <w:rPr>
          <w:i/>
          <w:spacing w:val="-10"/>
          <w:sz w:val="16"/>
        </w:rPr>
        <w:t> </w:t>
      </w:r>
      <w:r>
        <w:rPr>
          <w:i/>
          <w:sz w:val="16"/>
        </w:rPr>
        <w:t>la</w:t>
      </w:r>
      <w:r>
        <w:rPr>
          <w:i/>
          <w:spacing w:val="-10"/>
          <w:sz w:val="16"/>
        </w:rPr>
        <w:t> </w:t>
      </w:r>
      <w:r>
        <w:rPr>
          <w:i/>
          <w:sz w:val="16"/>
        </w:rPr>
        <w:t>integridad</w:t>
      </w:r>
      <w:r>
        <w:rPr>
          <w:i/>
          <w:spacing w:val="-9"/>
          <w:sz w:val="16"/>
        </w:rPr>
        <w:t> </w:t>
      </w:r>
      <w:r>
        <w:rPr>
          <w:i/>
          <w:sz w:val="16"/>
        </w:rPr>
        <w:t>personal</w:t>
      </w:r>
      <w:r>
        <w:rPr>
          <w:i/>
          <w:spacing w:val="-8"/>
          <w:sz w:val="16"/>
        </w:rPr>
        <w:t> </w:t>
      </w:r>
      <w:r>
        <w:rPr>
          <w:i/>
          <w:sz w:val="16"/>
        </w:rPr>
        <w:t>-</w:t>
      </w:r>
      <w:r>
        <w:rPr>
          <w:i/>
          <w:spacing w:val="-8"/>
          <w:sz w:val="16"/>
        </w:rPr>
        <w:t> </w:t>
      </w:r>
      <w:r>
        <w:rPr>
          <w:i/>
          <w:sz w:val="16"/>
        </w:rPr>
        <w:t>interpretación</w:t>
      </w:r>
      <w:r>
        <w:rPr>
          <w:i/>
          <w:spacing w:val="-11"/>
          <w:sz w:val="16"/>
        </w:rPr>
        <w:t> </w:t>
      </w:r>
      <w:r>
        <w:rPr>
          <w:i/>
          <w:sz w:val="16"/>
        </w:rPr>
        <w:t>y</w:t>
      </w:r>
      <w:r>
        <w:rPr>
          <w:i/>
          <w:spacing w:val="-9"/>
          <w:sz w:val="16"/>
        </w:rPr>
        <w:t> </w:t>
      </w:r>
      <w:r>
        <w:rPr>
          <w:i/>
          <w:sz w:val="16"/>
        </w:rPr>
        <w:t>alcance</w:t>
      </w:r>
      <w:r>
        <w:rPr>
          <w:i/>
          <w:spacing w:val="-12"/>
          <w:sz w:val="16"/>
        </w:rPr>
        <w:t> </w:t>
      </w:r>
      <w:r>
        <w:rPr>
          <w:i/>
          <w:sz w:val="16"/>
        </w:rPr>
        <w:t>de</w:t>
      </w:r>
      <w:r>
        <w:rPr>
          <w:i/>
          <w:spacing w:val="-10"/>
          <w:sz w:val="16"/>
        </w:rPr>
        <w:t> </w:t>
      </w:r>
      <w:r>
        <w:rPr>
          <w:i/>
          <w:sz w:val="16"/>
        </w:rPr>
        <w:t>los</w:t>
      </w:r>
      <w:r>
        <w:rPr>
          <w:i/>
          <w:spacing w:val="-10"/>
          <w:sz w:val="16"/>
        </w:rPr>
        <w:t> </w:t>
      </w:r>
      <w:r>
        <w:rPr>
          <w:i/>
          <w:sz w:val="16"/>
        </w:rPr>
        <w:t>artículos</w:t>
      </w:r>
      <w:r>
        <w:rPr>
          <w:i/>
          <w:spacing w:val="-12"/>
          <w:sz w:val="16"/>
        </w:rPr>
        <w:t> </w:t>
      </w:r>
      <w:r>
        <w:rPr>
          <w:i/>
          <w:sz w:val="16"/>
        </w:rPr>
        <w:t>4.1</w:t>
      </w:r>
      <w:r>
        <w:rPr>
          <w:i/>
          <w:spacing w:val="-9"/>
          <w:sz w:val="16"/>
        </w:rPr>
        <w:t> </w:t>
      </w:r>
      <w:r>
        <w:rPr>
          <w:i/>
          <w:sz w:val="16"/>
        </w:rPr>
        <w:t>y</w:t>
      </w:r>
      <w:r>
        <w:rPr>
          <w:i/>
          <w:spacing w:val="-11"/>
          <w:sz w:val="16"/>
        </w:rPr>
        <w:t> </w:t>
      </w:r>
      <w:r>
        <w:rPr>
          <w:i/>
          <w:sz w:val="16"/>
        </w:rPr>
        <w:t>5.1,</w:t>
      </w:r>
      <w:r>
        <w:rPr>
          <w:i/>
          <w:spacing w:val="-11"/>
          <w:sz w:val="16"/>
        </w:rPr>
        <w:t> </w:t>
      </w:r>
      <w:r>
        <w:rPr>
          <w:i/>
          <w:sz w:val="16"/>
        </w:rPr>
        <w:t>en</w:t>
      </w:r>
      <w:r>
        <w:rPr>
          <w:i/>
          <w:spacing w:val="-13"/>
          <w:sz w:val="16"/>
        </w:rPr>
        <w:t> </w:t>
      </w:r>
      <w:r>
        <w:rPr>
          <w:i/>
          <w:sz w:val="16"/>
        </w:rPr>
        <w:t>relación con</w:t>
      </w:r>
      <w:r>
        <w:rPr>
          <w:i/>
          <w:spacing w:val="-11"/>
          <w:sz w:val="16"/>
        </w:rPr>
        <w:t> </w:t>
      </w:r>
      <w:r>
        <w:rPr>
          <w:i/>
          <w:sz w:val="16"/>
        </w:rPr>
        <w:t>los</w:t>
      </w:r>
      <w:r>
        <w:rPr>
          <w:i/>
          <w:spacing w:val="-12"/>
          <w:sz w:val="16"/>
        </w:rPr>
        <w:t> </w:t>
      </w:r>
      <w:r>
        <w:rPr>
          <w:i/>
          <w:sz w:val="16"/>
        </w:rPr>
        <w:t>artículos</w:t>
      </w:r>
      <w:r>
        <w:rPr>
          <w:i/>
          <w:spacing w:val="-12"/>
          <w:sz w:val="16"/>
        </w:rPr>
        <w:t> </w:t>
      </w:r>
      <w:r>
        <w:rPr>
          <w:i/>
          <w:sz w:val="16"/>
        </w:rPr>
        <w:t>1.1</w:t>
      </w:r>
      <w:r>
        <w:rPr>
          <w:i/>
          <w:spacing w:val="-11"/>
          <w:sz w:val="16"/>
        </w:rPr>
        <w:t> </w:t>
      </w:r>
      <w:r>
        <w:rPr>
          <w:i/>
          <w:sz w:val="16"/>
        </w:rPr>
        <w:t>y</w:t>
      </w:r>
      <w:r>
        <w:rPr>
          <w:i/>
          <w:spacing w:val="-11"/>
          <w:sz w:val="16"/>
        </w:rPr>
        <w:t> </w:t>
      </w:r>
      <w:r>
        <w:rPr>
          <w:i/>
          <w:sz w:val="16"/>
        </w:rPr>
        <w:t>2</w:t>
      </w:r>
      <w:r>
        <w:rPr>
          <w:i/>
          <w:spacing w:val="-11"/>
          <w:sz w:val="16"/>
        </w:rPr>
        <w:t> </w:t>
      </w:r>
      <w:r>
        <w:rPr>
          <w:i/>
          <w:sz w:val="16"/>
        </w:rPr>
        <w:t>de</w:t>
      </w:r>
      <w:r>
        <w:rPr>
          <w:i/>
          <w:spacing w:val="-12"/>
          <w:sz w:val="16"/>
        </w:rPr>
        <w:t> </w:t>
      </w:r>
      <w:r>
        <w:rPr>
          <w:i/>
          <w:sz w:val="16"/>
        </w:rPr>
        <w:t>la</w:t>
      </w:r>
      <w:r>
        <w:rPr>
          <w:i/>
          <w:spacing w:val="-13"/>
          <w:sz w:val="16"/>
        </w:rPr>
        <w:t> </w:t>
      </w:r>
      <w:r>
        <w:rPr>
          <w:i/>
          <w:sz w:val="16"/>
        </w:rPr>
        <w:t>Convención</w:t>
      </w:r>
      <w:r>
        <w:rPr>
          <w:i/>
          <w:spacing w:val="-13"/>
          <w:sz w:val="16"/>
        </w:rPr>
        <w:t> </w:t>
      </w:r>
      <w:r>
        <w:rPr>
          <w:i/>
          <w:sz w:val="16"/>
        </w:rPr>
        <w:t>Americana</w:t>
      </w:r>
      <w:r>
        <w:rPr>
          <w:i/>
          <w:spacing w:val="-10"/>
          <w:sz w:val="16"/>
        </w:rPr>
        <w:t> </w:t>
      </w:r>
      <w:r>
        <w:rPr>
          <w:i/>
          <w:sz w:val="16"/>
        </w:rPr>
        <w:t>sobre</w:t>
      </w:r>
      <w:r>
        <w:rPr>
          <w:i/>
          <w:spacing w:val="-12"/>
          <w:sz w:val="16"/>
        </w:rPr>
        <w:t> </w:t>
      </w:r>
      <w:r>
        <w:rPr>
          <w:i/>
          <w:sz w:val="16"/>
        </w:rPr>
        <w:t>Derechos</w:t>
      </w:r>
      <w:r>
        <w:rPr>
          <w:i/>
          <w:spacing w:val="-9"/>
          <w:sz w:val="16"/>
        </w:rPr>
        <w:t> </w:t>
      </w:r>
      <w:r>
        <w:rPr>
          <w:i/>
          <w:sz w:val="16"/>
        </w:rPr>
        <w:t>Humanos).</w:t>
      </w:r>
      <w:r>
        <w:rPr>
          <w:i/>
          <w:spacing w:val="-11"/>
          <w:sz w:val="16"/>
        </w:rPr>
        <w:t> </w:t>
      </w:r>
      <w:r>
        <w:rPr>
          <w:i/>
          <w:sz w:val="16"/>
        </w:rPr>
        <w:t>Opinión</w:t>
      </w:r>
      <w:r>
        <w:rPr>
          <w:i/>
          <w:spacing w:val="-13"/>
          <w:sz w:val="16"/>
        </w:rPr>
        <w:t> </w:t>
      </w:r>
      <w:r>
        <w:rPr>
          <w:i/>
          <w:sz w:val="16"/>
        </w:rPr>
        <w:t>Consultiva</w:t>
      </w:r>
      <w:r>
        <w:rPr>
          <w:i/>
          <w:spacing w:val="-10"/>
          <w:sz w:val="16"/>
        </w:rPr>
        <w:t> </w:t>
      </w:r>
      <w:r>
        <w:rPr>
          <w:i/>
          <w:sz w:val="16"/>
        </w:rPr>
        <w:t>OC-23/17</w:t>
      </w:r>
      <w:r>
        <w:rPr>
          <w:sz w:val="16"/>
        </w:rPr>
        <w:t>, párrs. 66, 54, 111. Respecto a la mención al Consejo de Derechos Humanos, se citó: “Consejo de Derechos Humanos, Resolución 35, titulada ‘Los derechos humanos y el cambio climático’, adoptada el 19 de junio de 2017,</w:t>
      </w:r>
      <w:r>
        <w:rPr>
          <w:spacing w:val="-18"/>
          <w:sz w:val="16"/>
        </w:rPr>
        <w:t> </w:t>
      </w:r>
      <w:r>
        <w:rPr>
          <w:sz w:val="16"/>
        </w:rPr>
        <w:t>Doc.</w:t>
      </w:r>
      <w:r>
        <w:rPr>
          <w:spacing w:val="-15"/>
          <w:sz w:val="16"/>
        </w:rPr>
        <w:t> </w:t>
      </w:r>
      <w:r>
        <w:rPr>
          <w:sz w:val="16"/>
        </w:rPr>
        <w:t>ONU</w:t>
      </w:r>
      <w:r>
        <w:rPr>
          <w:spacing w:val="-17"/>
          <w:sz w:val="16"/>
        </w:rPr>
        <w:t> </w:t>
      </w:r>
      <w:r>
        <w:rPr>
          <w:sz w:val="16"/>
        </w:rPr>
        <w:t>A/HRC/35/L.32;</w:t>
      </w:r>
      <w:r>
        <w:rPr>
          <w:spacing w:val="-15"/>
          <w:sz w:val="16"/>
        </w:rPr>
        <w:t> </w:t>
      </w:r>
      <w:r>
        <w:rPr>
          <w:sz w:val="16"/>
        </w:rPr>
        <w:t>Consejo</w:t>
      </w:r>
      <w:r>
        <w:rPr>
          <w:spacing w:val="-16"/>
          <w:sz w:val="16"/>
        </w:rPr>
        <w:t> </w:t>
      </w:r>
      <w:r>
        <w:rPr>
          <w:sz w:val="16"/>
        </w:rPr>
        <w:t>de</w:t>
      </w:r>
      <w:r>
        <w:rPr>
          <w:spacing w:val="-17"/>
          <w:sz w:val="16"/>
        </w:rPr>
        <w:t> </w:t>
      </w:r>
      <w:r>
        <w:rPr>
          <w:sz w:val="16"/>
        </w:rPr>
        <w:t>Derechos</w:t>
      </w:r>
      <w:r>
        <w:rPr>
          <w:spacing w:val="-14"/>
          <w:sz w:val="16"/>
        </w:rPr>
        <w:t> </w:t>
      </w:r>
      <w:r>
        <w:rPr>
          <w:sz w:val="16"/>
        </w:rPr>
        <w:t>Humanos,</w:t>
      </w:r>
      <w:r>
        <w:rPr>
          <w:spacing w:val="-15"/>
          <w:sz w:val="16"/>
        </w:rPr>
        <w:t> </w:t>
      </w:r>
      <w:r>
        <w:rPr>
          <w:sz w:val="16"/>
        </w:rPr>
        <w:t>Informe</w:t>
      </w:r>
      <w:r>
        <w:rPr>
          <w:spacing w:val="-17"/>
          <w:sz w:val="16"/>
        </w:rPr>
        <w:t> </w:t>
      </w:r>
      <w:r>
        <w:rPr>
          <w:sz w:val="16"/>
        </w:rPr>
        <w:t>del</w:t>
      </w:r>
      <w:r>
        <w:rPr>
          <w:spacing w:val="-18"/>
          <w:sz w:val="16"/>
        </w:rPr>
        <w:t> </w:t>
      </w:r>
      <w:r>
        <w:rPr>
          <w:sz w:val="16"/>
        </w:rPr>
        <w:t>Relator</w:t>
      </w:r>
      <w:r>
        <w:rPr>
          <w:spacing w:val="-16"/>
          <w:sz w:val="16"/>
        </w:rPr>
        <w:t> </w:t>
      </w:r>
      <w:r>
        <w:rPr>
          <w:sz w:val="16"/>
        </w:rPr>
        <w:t>Especial</w:t>
      </w:r>
      <w:r>
        <w:rPr>
          <w:spacing w:val="-15"/>
          <w:sz w:val="16"/>
        </w:rPr>
        <w:t> </w:t>
      </w:r>
      <w:r>
        <w:rPr>
          <w:sz w:val="16"/>
        </w:rPr>
        <w:t>sobre</w:t>
      </w:r>
      <w:r>
        <w:rPr>
          <w:spacing w:val="-14"/>
          <w:sz w:val="16"/>
        </w:rPr>
        <w:t> </w:t>
      </w:r>
      <w:r>
        <w:rPr>
          <w:sz w:val="16"/>
        </w:rPr>
        <w:t>la</w:t>
      </w:r>
      <w:r>
        <w:rPr>
          <w:spacing w:val="-15"/>
          <w:sz w:val="16"/>
        </w:rPr>
        <w:t> </w:t>
      </w:r>
      <w:r>
        <w:rPr>
          <w:sz w:val="16"/>
        </w:rPr>
        <w:t>cuestión de</w:t>
      </w:r>
      <w:r>
        <w:rPr>
          <w:spacing w:val="-13"/>
          <w:sz w:val="16"/>
        </w:rPr>
        <w:t> </w:t>
      </w:r>
      <w:r>
        <w:rPr>
          <w:sz w:val="16"/>
        </w:rPr>
        <w:t>las</w:t>
      </w:r>
      <w:r>
        <w:rPr>
          <w:spacing w:val="-18"/>
          <w:sz w:val="16"/>
        </w:rPr>
        <w:t> </w:t>
      </w:r>
      <w:r>
        <w:rPr>
          <w:sz w:val="16"/>
        </w:rPr>
        <w:t>obligaciones</w:t>
      </w:r>
      <w:r>
        <w:rPr>
          <w:spacing w:val="-15"/>
          <w:sz w:val="16"/>
        </w:rPr>
        <w:t> </w:t>
      </w:r>
      <w:r>
        <w:rPr>
          <w:sz w:val="16"/>
        </w:rPr>
        <w:t>de</w:t>
      </w:r>
      <w:r>
        <w:rPr>
          <w:spacing w:val="-15"/>
          <w:sz w:val="16"/>
        </w:rPr>
        <w:t> </w:t>
      </w:r>
      <w:r>
        <w:rPr>
          <w:sz w:val="16"/>
        </w:rPr>
        <w:t>derechos</w:t>
      </w:r>
      <w:r>
        <w:rPr>
          <w:spacing w:val="-13"/>
          <w:sz w:val="16"/>
        </w:rPr>
        <w:t> </w:t>
      </w:r>
      <w:r>
        <w:rPr>
          <w:sz w:val="16"/>
        </w:rPr>
        <w:t>humanos</w:t>
      </w:r>
      <w:r>
        <w:rPr>
          <w:spacing w:val="-15"/>
          <w:sz w:val="16"/>
        </w:rPr>
        <w:t> </w:t>
      </w:r>
      <w:r>
        <w:rPr>
          <w:sz w:val="16"/>
        </w:rPr>
        <w:t>relacionadas</w:t>
      </w:r>
      <w:r>
        <w:rPr>
          <w:spacing w:val="-15"/>
          <w:sz w:val="16"/>
        </w:rPr>
        <w:t> </w:t>
      </w:r>
      <w:r>
        <w:rPr>
          <w:sz w:val="16"/>
        </w:rPr>
        <w:t>con</w:t>
      </w:r>
      <w:r>
        <w:rPr>
          <w:spacing w:val="-16"/>
          <w:sz w:val="16"/>
        </w:rPr>
        <w:t> </w:t>
      </w:r>
      <w:r>
        <w:rPr>
          <w:sz w:val="16"/>
        </w:rPr>
        <w:t>el</w:t>
      </w:r>
      <w:r>
        <w:rPr>
          <w:spacing w:val="-14"/>
          <w:sz w:val="16"/>
        </w:rPr>
        <w:t> </w:t>
      </w:r>
      <w:r>
        <w:rPr>
          <w:sz w:val="16"/>
        </w:rPr>
        <w:t>disfrute</w:t>
      </w:r>
      <w:r>
        <w:rPr>
          <w:spacing w:val="-15"/>
          <w:sz w:val="16"/>
        </w:rPr>
        <w:t> </w:t>
      </w:r>
      <w:r>
        <w:rPr>
          <w:sz w:val="16"/>
        </w:rPr>
        <w:t>de</w:t>
      </w:r>
      <w:r>
        <w:rPr>
          <w:spacing w:val="-15"/>
          <w:sz w:val="16"/>
        </w:rPr>
        <w:t> </w:t>
      </w:r>
      <w:r>
        <w:rPr>
          <w:sz w:val="16"/>
        </w:rPr>
        <w:t>un</w:t>
      </w:r>
      <w:r>
        <w:rPr>
          <w:spacing w:val="-12"/>
          <w:sz w:val="16"/>
        </w:rPr>
        <w:t> </w:t>
      </w:r>
      <w:r>
        <w:rPr>
          <w:sz w:val="16"/>
        </w:rPr>
        <w:t>medio</w:t>
      </w:r>
      <w:r>
        <w:rPr>
          <w:spacing w:val="-15"/>
          <w:sz w:val="16"/>
        </w:rPr>
        <w:t> </w:t>
      </w:r>
      <w:r>
        <w:rPr>
          <w:sz w:val="16"/>
        </w:rPr>
        <w:t>ambiente</w:t>
      </w:r>
      <w:r>
        <w:rPr>
          <w:spacing w:val="-13"/>
          <w:sz w:val="16"/>
        </w:rPr>
        <w:t> </w:t>
      </w:r>
      <w:r>
        <w:rPr>
          <w:sz w:val="16"/>
        </w:rPr>
        <w:t>sin</w:t>
      </w:r>
      <w:r>
        <w:rPr>
          <w:spacing w:val="-17"/>
          <w:sz w:val="16"/>
        </w:rPr>
        <w:t> </w:t>
      </w:r>
      <w:r>
        <w:rPr>
          <w:sz w:val="16"/>
        </w:rPr>
        <w:t>riesgos,</w:t>
      </w:r>
      <w:r>
        <w:rPr>
          <w:spacing w:val="-16"/>
          <w:sz w:val="16"/>
        </w:rPr>
        <w:t> </w:t>
      </w:r>
      <w:r>
        <w:rPr>
          <w:sz w:val="16"/>
        </w:rPr>
        <w:t>limpio, saludable y sostenible, 1 de febrero de 2016, Doc. ONU A/HRC/31/52, párrs. 9 y 23; Consejo de Derechos Humanos,</w:t>
      </w:r>
      <w:r>
        <w:rPr>
          <w:spacing w:val="20"/>
          <w:sz w:val="16"/>
        </w:rPr>
        <w:t> </w:t>
      </w:r>
      <w:r>
        <w:rPr>
          <w:sz w:val="16"/>
        </w:rPr>
        <w:t>Informe</w:t>
      </w:r>
      <w:r>
        <w:rPr>
          <w:spacing w:val="18"/>
          <w:sz w:val="16"/>
        </w:rPr>
        <w:t> </w:t>
      </w:r>
      <w:r>
        <w:rPr>
          <w:sz w:val="16"/>
        </w:rPr>
        <w:t>de</w:t>
      </w:r>
      <w:r>
        <w:rPr>
          <w:spacing w:val="18"/>
          <w:sz w:val="16"/>
        </w:rPr>
        <w:t> </w:t>
      </w:r>
      <w:r>
        <w:rPr>
          <w:sz w:val="16"/>
        </w:rPr>
        <w:t>la</w:t>
      </w:r>
      <w:r>
        <w:rPr>
          <w:spacing w:val="17"/>
          <w:sz w:val="16"/>
        </w:rPr>
        <w:t> </w:t>
      </w:r>
      <w:r>
        <w:rPr>
          <w:sz w:val="16"/>
        </w:rPr>
        <w:t>Oficina</w:t>
      </w:r>
      <w:r>
        <w:rPr>
          <w:spacing w:val="20"/>
          <w:sz w:val="16"/>
        </w:rPr>
        <w:t> </w:t>
      </w:r>
      <w:r>
        <w:rPr>
          <w:sz w:val="16"/>
        </w:rPr>
        <w:t>del</w:t>
      </w:r>
      <w:r>
        <w:rPr>
          <w:spacing w:val="17"/>
          <w:sz w:val="16"/>
        </w:rPr>
        <w:t> </w:t>
      </w:r>
      <w:r>
        <w:rPr>
          <w:sz w:val="16"/>
        </w:rPr>
        <w:t>Alto</w:t>
      </w:r>
      <w:r>
        <w:rPr>
          <w:spacing w:val="19"/>
          <w:sz w:val="16"/>
        </w:rPr>
        <w:t> </w:t>
      </w:r>
      <w:r>
        <w:rPr>
          <w:sz w:val="16"/>
        </w:rPr>
        <w:t>Comisionado</w:t>
      </w:r>
      <w:r>
        <w:rPr>
          <w:spacing w:val="19"/>
          <w:sz w:val="16"/>
        </w:rPr>
        <w:t> </w:t>
      </w:r>
      <w:r>
        <w:rPr>
          <w:sz w:val="16"/>
        </w:rPr>
        <w:t>de</w:t>
      </w:r>
      <w:r>
        <w:rPr>
          <w:spacing w:val="18"/>
          <w:sz w:val="16"/>
        </w:rPr>
        <w:t> </w:t>
      </w:r>
      <w:r>
        <w:rPr>
          <w:sz w:val="16"/>
        </w:rPr>
        <w:t>las</w:t>
      </w:r>
      <w:r>
        <w:rPr>
          <w:spacing w:val="21"/>
          <w:sz w:val="16"/>
        </w:rPr>
        <w:t> </w:t>
      </w:r>
      <w:r>
        <w:rPr>
          <w:sz w:val="16"/>
        </w:rPr>
        <w:t>Naciones</w:t>
      </w:r>
      <w:r>
        <w:rPr>
          <w:spacing w:val="18"/>
          <w:sz w:val="16"/>
        </w:rPr>
        <w:t> </w:t>
      </w:r>
      <w:r>
        <w:rPr>
          <w:sz w:val="16"/>
        </w:rPr>
        <w:t>Unidas</w:t>
      </w:r>
      <w:r>
        <w:rPr>
          <w:spacing w:val="18"/>
          <w:sz w:val="16"/>
        </w:rPr>
        <w:t> </w:t>
      </w:r>
      <w:r>
        <w:rPr>
          <w:sz w:val="16"/>
        </w:rPr>
        <w:t>para</w:t>
      </w:r>
      <w:r>
        <w:rPr>
          <w:spacing w:val="20"/>
          <w:sz w:val="16"/>
        </w:rPr>
        <w:t> </w:t>
      </w:r>
      <w:r>
        <w:rPr>
          <w:sz w:val="16"/>
        </w:rPr>
        <w:t>los</w:t>
      </w:r>
      <w:r>
        <w:rPr>
          <w:spacing w:val="16"/>
          <w:sz w:val="16"/>
        </w:rPr>
        <w:t> </w:t>
      </w:r>
      <w:r>
        <w:rPr>
          <w:sz w:val="16"/>
        </w:rPr>
        <w:t>Derechos</w:t>
      </w:r>
      <w:r>
        <w:rPr>
          <w:spacing w:val="18"/>
          <w:sz w:val="16"/>
        </w:rPr>
        <w:t> </w:t>
      </w:r>
      <w:r>
        <w:rPr>
          <w:sz w:val="16"/>
        </w:rPr>
        <w:t>Humanos</w:t>
      </w:r>
    </w:p>
    <w:p>
      <w:pPr>
        <w:spacing w:after="0" w:line="240" w:lineRule="auto"/>
        <w:jc w:val="both"/>
        <w:rPr>
          <w:sz w:val="16"/>
        </w:rPr>
        <w:sectPr>
          <w:pgSz w:w="12240" w:h="15840"/>
          <w:pgMar w:header="0" w:footer="1000" w:top="1340" w:bottom="1200" w:left="1580" w:right="1580"/>
        </w:sectPr>
      </w:pPr>
    </w:p>
    <w:p>
      <w:pPr>
        <w:pStyle w:val="BodyText"/>
        <w:spacing w:line="242" w:lineRule="auto" w:before="76"/>
        <w:ind w:left="122" w:right="127"/>
        <w:jc w:val="both"/>
      </w:pPr>
      <w:r>
        <w:rPr/>
        <w:t>El</w:t>
      </w:r>
      <w:r>
        <w:rPr>
          <w:spacing w:val="-13"/>
        </w:rPr>
        <w:t> </w:t>
      </w:r>
      <w:r>
        <w:rPr/>
        <w:t>derecho</w:t>
      </w:r>
      <w:r>
        <w:rPr>
          <w:spacing w:val="-11"/>
        </w:rPr>
        <w:t> </w:t>
      </w:r>
      <w:r>
        <w:rPr/>
        <w:t>al</w:t>
      </w:r>
      <w:r>
        <w:rPr>
          <w:spacing w:val="-12"/>
        </w:rPr>
        <w:t> </w:t>
      </w:r>
      <w:r>
        <w:rPr/>
        <w:t>agua</w:t>
      </w:r>
      <w:r>
        <w:rPr>
          <w:spacing w:val="-10"/>
        </w:rPr>
        <w:t> </w:t>
      </w:r>
      <w:r>
        <w:rPr/>
        <w:t>puede</w:t>
      </w:r>
      <w:r>
        <w:rPr>
          <w:spacing w:val="-12"/>
        </w:rPr>
        <w:t> </w:t>
      </w:r>
      <w:r>
        <w:rPr/>
        <w:t>vincularse</w:t>
      </w:r>
      <w:r>
        <w:rPr>
          <w:spacing w:val="-12"/>
        </w:rPr>
        <w:t> </w:t>
      </w:r>
      <w:r>
        <w:rPr/>
        <w:t>con</w:t>
      </w:r>
      <w:r>
        <w:rPr>
          <w:spacing w:val="-10"/>
        </w:rPr>
        <w:t> </w:t>
      </w:r>
      <w:r>
        <w:rPr/>
        <w:t>otros</w:t>
      </w:r>
      <w:r>
        <w:rPr>
          <w:spacing w:val="-11"/>
        </w:rPr>
        <w:t> </w:t>
      </w:r>
      <w:r>
        <w:rPr/>
        <w:t>derechos,</w:t>
      </w:r>
      <w:r>
        <w:rPr>
          <w:spacing w:val="-11"/>
        </w:rPr>
        <w:t> </w:t>
      </w:r>
      <w:r>
        <w:rPr/>
        <w:t>inclusive</w:t>
      </w:r>
      <w:r>
        <w:rPr>
          <w:spacing w:val="-12"/>
        </w:rPr>
        <w:t> </w:t>
      </w:r>
      <w:r>
        <w:rPr/>
        <w:t>el</w:t>
      </w:r>
      <w:r>
        <w:rPr>
          <w:spacing w:val="-11"/>
        </w:rPr>
        <w:t> </w:t>
      </w:r>
      <w:r>
        <w:rPr/>
        <w:t>derecho</w:t>
      </w:r>
      <w:r>
        <w:rPr>
          <w:spacing w:val="-11"/>
        </w:rPr>
        <w:t> </w:t>
      </w:r>
      <w:r>
        <w:rPr/>
        <w:t>a</w:t>
      </w:r>
      <w:r>
        <w:rPr>
          <w:spacing w:val="-11"/>
        </w:rPr>
        <w:t> </w:t>
      </w:r>
      <w:r>
        <w:rPr/>
        <w:t>participar en la vida cultural, también tratado en esta Sentencia (</w:t>
      </w:r>
      <w:r>
        <w:rPr>
          <w:i/>
        </w:rPr>
        <w:t>infra </w:t>
      </w:r>
      <w:r>
        <w:rPr/>
        <w:t>párrs. 231 a</w:t>
      </w:r>
      <w:r>
        <w:rPr>
          <w:spacing w:val="-29"/>
        </w:rPr>
        <w:t> </w:t>
      </w:r>
      <w:r>
        <w:rPr/>
        <w:t>242)</w:t>
      </w:r>
      <w:r>
        <w:rPr>
          <w:position w:val="7"/>
          <w:sz w:val="13"/>
        </w:rPr>
        <w:t>220</w:t>
      </w:r>
      <w:r>
        <w:rPr/>
        <w:t>.</w:t>
      </w:r>
    </w:p>
    <w:p>
      <w:pPr>
        <w:pStyle w:val="BodyText"/>
        <w:spacing w:before="7"/>
        <w:rPr>
          <w:sz w:val="19"/>
        </w:rPr>
      </w:pPr>
    </w:p>
    <w:p>
      <w:pPr>
        <w:pStyle w:val="ListParagraph"/>
        <w:numPr>
          <w:ilvl w:val="0"/>
          <w:numId w:val="31"/>
        </w:numPr>
        <w:tabs>
          <w:tab w:pos="830" w:val="left" w:leader="none"/>
        </w:tabs>
        <w:spacing w:line="240" w:lineRule="auto" w:before="1" w:after="0"/>
        <w:ind w:left="122" w:right="124" w:firstLine="0"/>
        <w:jc w:val="both"/>
        <w:rPr>
          <w:sz w:val="20"/>
        </w:rPr>
      </w:pPr>
      <w:r>
        <w:rPr>
          <w:sz w:val="20"/>
        </w:rPr>
        <w:t>Es pertinente destacar también que la Declaración Universal de los Derechos Humanos contempla en su artículo 25 el derecho a “un nivel de vida adecuado”, como también lo hace el PIDESC en su artículo 11. Este derecho debe considerarse inclusivo del derecho al agua, como lo ha hecho notar el Comité DESC, que también ha considerado su relación con otros derechos. De este modo, también en el ámbito universal se ha determinado la existencia del derecho al agua pese a la falta de un reconocimiento</w:t>
      </w:r>
      <w:r>
        <w:rPr>
          <w:spacing w:val="-17"/>
          <w:sz w:val="20"/>
        </w:rPr>
        <w:t> </w:t>
      </w:r>
      <w:r>
        <w:rPr>
          <w:sz w:val="20"/>
        </w:rPr>
        <w:t>expreso</w:t>
      </w:r>
      <w:r>
        <w:rPr>
          <w:spacing w:val="-15"/>
          <w:sz w:val="20"/>
        </w:rPr>
        <w:t> </w:t>
      </w:r>
      <w:r>
        <w:rPr>
          <w:sz w:val="20"/>
        </w:rPr>
        <w:t>general</w:t>
      </w:r>
      <w:r>
        <w:rPr>
          <w:position w:val="7"/>
          <w:sz w:val="13"/>
        </w:rPr>
        <w:t>221</w:t>
      </w:r>
      <w:r>
        <w:rPr>
          <w:sz w:val="20"/>
        </w:rPr>
        <w:t>.</w:t>
      </w:r>
      <w:r>
        <w:rPr>
          <w:spacing w:val="-17"/>
          <w:sz w:val="20"/>
        </w:rPr>
        <w:t> </w:t>
      </w:r>
      <w:r>
        <w:rPr>
          <w:sz w:val="20"/>
        </w:rPr>
        <w:t>Sí</w:t>
      </w:r>
      <w:r>
        <w:rPr>
          <w:spacing w:val="-15"/>
          <w:sz w:val="20"/>
        </w:rPr>
        <w:t> </w:t>
      </w:r>
      <w:r>
        <w:rPr>
          <w:sz w:val="20"/>
        </w:rPr>
        <w:t>hacen</w:t>
      </w:r>
      <w:r>
        <w:rPr>
          <w:spacing w:val="-13"/>
          <w:sz w:val="20"/>
        </w:rPr>
        <w:t> </w:t>
      </w:r>
      <w:r>
        <w:rPr>
          <w:sz w:val="20"/>
        </w:rPr>
        <w:t>referencia</w:t>
      </w:r>
      <w:r>
        <w:rPr>
          <w:spacing w:val="-16"/>
          <w:sz w:val="20"/>
        </w:rPr>
        <w:t> </w:t>
      </w:r>
      <w:r>
        <w:rPr>
          <w:sz w:val="20"/>
        </w:rPr>
        <w:t>expresa</w:t>
      </w:r>
      <w:r>
        <w:rPr>
          <w:spacing w:val="-16"/>
          <w:sz w:val="20"/>
        </w:rPr>
        <w:t> </w:t>
      </w:r>
      <w:r>
        <w:rPr>
          <w:sz w:val="20"/>
        </w:rPr>
        <w:t>al</w:t>
      </w:r>
      <w:r>
        <w:rPr>
          <w:spacing w:val="-16"/>
          <w:sz w:val="20"/>
        </w:rPr>
        <w:t> </w:t>
      </w:r>
      <w:r>
        <w:rPr>
          <w:sz w:val="20"/>
        </w:rPr>
        <w:t>agua</w:t>
      </w:r>
      <w:r>
        <w:rPr>
          <w:spacing w:val="-16"/>
          <w:sz w:val="20"/>
        </w:rPr>
        <w:t> </w:t>
      </w:r>
      <w:r>
        <w:rPr>
          <w:sz w:val="20"/>
        </w:rPr>
        <w:t>algunos</w:t>
      </w:r>
      <w:r>
        <w:rPr>
          <w:spacing w:val="-17"/>
          <w:sz w:val="20"/>
        </w:rPr>
        <w:t> </w:t>
      </w:r>
      <w:r>
        <w:rPr>
          <w:sz w:val="20"/>
        </w:rPr>
        <w:t>tratados del sistema universal referidos a aspectos específicos de protección de los derechos humanos, como la Convención sobre los Derechos del Niño, en el artículo 24, o la Convención sobre la Eliminación de todas las Formas de Discriminación contra la</w:t>
      </w:r>
      <w:r>
        <w:rPr>
          <w:spacing w:val="-31"/>
          <w:sz w:val="20"/>
        </w:rPr>
        <w:t> </w:t>
      </w:r>
      <w:r>
        <w:rPr>
          <w:sz w:val="20"/>
        </w:rPr>
        <w:t>Mujer, en</w:t>
      </w:r>
      <w:r>
        <w:rPr>
          <w:spacing w:val="-5"/>
          <w:sz w:val="20"/>
        </w:rPr>
        <w:t> </w:t>
      </w:r>
      <w:r>
        <w:rPr>
          <w:sz w:val="20"/>
        </w:rPr>
        <w:t>el</w:t>
      </w:r>
      <w:r>
        <w:rPr>
          <w:spacing w:val="-5"/>
          <w:sz w:val="20"/>
        </w:rPr>
        <w:t> </w:t>
      </w:r>
      <w:r>
        <w:rPr>
          <w:sz w:val="20"/>
        </w:rPr>
        <w:t>artículo</w:t>
      </w:r>
      <w:r>
        <w:rPr>
          <w:spacing w:val="-7"/>
          <w:sz w:val="20"/>
        </w:rPr>
        <w:t> </w:t>
      </w:r>
      <w:r>
        <w:rPr>
          <w:sz w:val="20"/>
        </w:rPr>
        <w:t>14,</w:t>
      </w:r>
      <w:r>
        <w:rPr>
          <w:spacing w:val="-4"/>
          <w:sz w:val="20"/>
        </w:rPr>
        <w:t> </w:t>
      </w:r>
      <w:r>
        <w:rPr>
          <w:sz w:val="20"/>
        </w:rPr>
        <w:t>referido</w:t>
      </w:r>
      <w:r>
        <w:rPr>
          <w:spacing w:val="-7"/>
          <w:sz w:val="20"/>
        </w:rPr>
        <w:t> </w:t>
      </w:r>
      <w:r>
        <w:rPr>
          <w:sz w:val="20"/>
        </w:rPr>
        <w:t>a</w:t>
      </w:r>
      <w:r>
        <w:rPr>
          <w:spacing w:val="-5"/>
          <w:sz w:val="20"/>
        </w:rPr>
        <w:t> </w:t>
      </w:r>
      <w:r>
        <w:rPr>
          <w:sz w:val="20"/>
        </w:rPr>
        <w:t>“problemas</w:t>
      </w:r>
      <w:r>
        <w:rPr>
          <w:spacing w:val="-4"/>
          <w:sz w:val="20"/>
        </w:rPr>
        <w:t> </w:t>
      </w:r>
      <w:r>
        <w:rPr>
          <w:sz w:val="20"/>
        </w:rPr>
        <w:t>especiales</w:t>
      </w:r>
      <w:r>
        <w:rPr>
          <w:spacing w:val="-6"/>
          <w:sz w:val="20"/>
        </w:rPr>
        <w:t> </w:t>
      </w:r>
      <w:r>
        <w:rPr>
          <w:sz w:val="20"/>
        </w:rPr>
        <w:t>a</w:t>
      </w:r>
      <w:r>
        <w:rPr>
          <w:spacing w:val="-5"/>
          <w:sz w:val="20"/>
        </w:rPr>
        <w:t> </w:t>
      </w:r>
      <w:r>
        <w:rPr>
          <w:sz w:val="20"/>
        </w:rPr>
        <w:t>que</w:t>
      </w:r>
      <w:r>
        <w:rPr>
          <w:spacing w:val="-5"/>
          <w:sz w:val="20"/>
        </w:rPr>
        <w:t> </w:t>
      </w:r>
      <w:r>
        <w:rPr>
          <w:sz w:val="20"/>
        </w:rPr>
        <w:t>hace</w:t>
      </w:r>
      <w:r>
        <w:rPr>
          <w:spacing w:val="-4"/>
          <w:sz w:val="20"/>
        </w:rPr>
        <w:t> </w:t>
      </w:r>
      <w:r>
        <w:rPr>
          <w:sz w:val="20"/>
        </w:rPr>
        <w:t>frente</w:t>
      </w:r>
      <w:r>
        <w:rPr>
          <w:spacing w:val="-7"/>
          <w:sz w:val="20"/>
        </w:rPr>
        <w:t> </w:t>
      </w:r>
      <w:r>
        <w:rPr>
          <w:sz w:val="20"/>
        </w:rPr>
        <w:t>la</w:t>
      </w:r>
      <w:r>
        <w:rPr>
          <w:spacing w:val="-5"/>
          <w:sz w:val="20"/>
        </w:rPr>
        <w:t> </w:t>
      </w:r>
      <w:r>
        <w:rPr>
          <w:sz w:val="20"/>
        </w:rPr>
        <w:t>[…]</w:t>
      </w:r>
      <w:r>
        <w:rPr>
          <w:spacing w:val="-5"/>
          <w:sz w:val="20"/>
        </w:rPr>
        <w:t> </w:t>
      </w:r>
      <w:r>
        <w:rPr>
          <w:sz w:val="20"/>
        </w:rPr>
        <w:t>mujer</w:t>
      </w:r>
      <w:r>
        <w:rPr>
          <w:spacing w:val="-7"/>
          <w:sz w:val="20"/>
        </w:rPr>
        <w:t> </w:t>
      </w:r>
      <w:r>
        <w:rPr>
          <w:sz w:val="20"/>
        </w:rPr>
        <w:t>de</w:t>
      </w:r>
      <w:r>
        <w:rPr>
          <w:spacing w:val="-7"/>
          <w:sz w:val="20"/>
        </w:rPr>
        <w:t> </w:t>
      </w:r>
      <w:r>
        <w:rPr>
          <w:sz w:val="20"/>
        </w:rPr>
        <w:t>las zonas</w:t>
      </w:r>
      <w:r>
        <w:rPr>
          <w:spacing w:val="-5"/>
          <w:sz w:val="20"/>
        </w:rPr>
        <w:t> </w:t>
      </w:r>
      <w:r>
        <w:rPr>
          <w:sz w:val="20"/>
        </w:rPr>
        <w:t>rurales”.</w:t>
      </w:r>
    </w:p>
    <w:p>
      <w:pPr>
        <w:pStyle w:val="BodyText"/>
        <w:spacing w:before="1"/>
      </w:pPr>
    </w:p>
    <w:p>
      <w:pPr>
        <w:pStyle w:val="ListParagraph"/>
        <w:numPr>
          <w:ilvl w:val="0"/>
          <w:numId w:val="31"/>
        </w:numPr>
        <w:tabs>
          <w:tab w:pos="830" w:val="left" w:leader="none"/>
        </w:tabs>
        <w:spacing w:line="240" w:lineRule="auto" w:before="1" w:after="0"/>
        <w:ind w:left="122" w:right="124" w:firstLine="0"/>
        <w:jc w:val="both"/>
        <w:rPr>
          <w:sz w:val="20"/>
        </w:rPr>
      </w:pPr>
      <w:r>
        <w:rPr>
          <w:sz w:val="20"/>
        </w:rPr>
        <w:t>De modo adicional a lo expuesto, debe resaltarse que la Organización de las Naciones Unidas, a través de su Asamblea General, emitió el 28 de julio de 2010 la Resolución</w:t>
      </w:r>
      <w:r>
        <w:rPr>
          <w:spacing w:val="-16"/>
          <w:sz w:val="20"/>
        </w:rPr>
        <w:t> </w:t>
      </w:r>
      <w:r>
        <w:rPr>
          <w:sz w:val="20"/>
        </w:rPr>
        <w:t>64/292</w:t>
      </w:r>
      <w:r>
        <w:rPr>
          <w:spacing w:val="-13"/>
          <w:sz w:val="20"/>
        </w:rPr>
        <w:t> </w:t>
      </w:r>
      <w:r>
        <w:rPr>
          <w:sz w:val="20"/>
        </w:rPr>
        <w:t>titulada</w:t>
      </w:r>
      <w:r>
        <w:rPr>
          <w:spacing w:val="-16"/>
          <w:sz w:val="20"/>
        </w:rPr>
        <w:t> </w:t>
      </w:r>
      <w:r>
        <w:rPr>
          <w:sz w:val="20"/>
        </w:rPr>
        <w:t>“El</w:t>
      </w:r>
      <w:r>
        <w:rPr>
          <w:spacing w:val="-15"/>
          <w:sz w:val="20"/>
        </w:rPr>
        <w:t> </w:t>
      </w:r>
      <w:r>
        <w:rPr>
          <w:sz w:val="20"/>
        </w:rPr>
        <w:t>derecho</w:t>
      </w:r>
      <w:r>
        <w:rPr>
          <w:spacing w:val="-14"/>
          <w:sz w:val="20"/>
        </w:rPr>
        <w:t> </w:t>
      </w:r>
      <w:r>
        <w:rPr>
          <w:sz w:val="20"/>
        </w:rPr>
        <w:t>humano</w:t>
      </w:r>
      <w:r>
        <w:rPr>
          <w:spacing w:val="-15"/>
          <w:sz w:val="20"/>
        </w:rPr>
        <w:t> </w:t>
      </w:r>
      <w:r>
        <w:rPr>
          <w:sz w:val="20"/>
        </w:rPr>
        <w:t>al</w:t>
      </w:r>
      <w:r>
        <w:rPr>
          <w:spacing w:val="-15"/>
          <w:sz w:val="20"/>
        </w:rPr>
        <w:t> </w:t>
      </w:r>
      <w:r>
        <w:rPr>
          <w:sz w:val="20"/>
        </w:rPr>
        <w:t>agua</w:t>
      </w:r>
      <w:r>
        <w:rPr>
          <w:spacing w:val="-16"/>
          <w:sz w:val="20"/>
        </w:rPr>
        <w:t> </w:t>
      </w:r>
      <w:r>
        <w:rPr>
          <w:sz w:val="20"/>
        </w:rPr>
        <w:t>y</w:t>
      </w:r>
      <w:r>
        <w:rPr>
          <w:spacing w:val="-14"/>
          <w:sz w:val="20"/>
        </w:rPr>
        <w:t> </w:t>
      </w:r>
      <w:r>
        <w:rPr>
          <w:sz w:val="20"/>
        </w:rPr>
        <w:t>el</w:t>
      </w:r>
      <w:r>
        <w:rPr>
          <w:spacing w:val="-13"/>
          <w:sz w:val="20"/>
        </w:rPr>
        <w:t> </w:t>
      </w:r>
      <w:r>
        <w:rPr>
          <w:sz w:val="20"/>
        </w:rPr>
        <w:t>saneamiento”,</w:t>
      </w:r>
      <w:r>
        <w:rPr>
          <w:spacing w:val="-15"/>
          <w:sz w:val="20"/>
        </w:rPr>
        <w:t> </w:t>
      </w:r>
      <w:r>
        <w:rPr>
          <w:sz w:val="20"/>
        </w:rPr>
        <w:t>que</w:t>
      </w:r>
      <w:r>
        <w:rPr>
          <w:spacing w:val="-15"/>
          <w:sz w:val="20"/>
        </w:rPr>
        <w:t> </w:t>
      </w:r>
      <w:r>
        <w:rPr>
          <w:sz w:val="20"/>
        </w:rPr>
        <w:t>reconoce que “el derecho al agua potable y el saneamiento es un derecho humano esencial para el pleno disfrute de la vida y de todos los derechos humanos”. En la misma línea, la Carta</w:t>
      </w:r>
      <w:r>
        <w:rPr>
          <w:spacing w:val="-4"/>
          <w:sz w:val="20"/>
        </w:rPr>
        <w:t> </w:t>
      </w:r>
      <w:r>
        <w:rPr>
          <w:sz w:val="20"/>
        </w:rPr>
        <w:t>Social</w:t>
      </w:r>
      <w:r>
        <w:rPr>
          <w:spacing w:val="-3"/>
          <w:sz w:val="20"/>
        </w:rPr>
        <w:t> </w:t>
      </w:r>
      <w:r>
        <w:rPr>
          <w:sz w:val="20"/>
        </w:rPr>
        <w:t>de</w:t>
      </w:r>
      <w:r>
        <w:rPr>
          <w:spacing w:val="-5"/>
          <w:sz w:val="20"/>
        </w:rPr>
        <w:t> </w:t>
      </w:r>
      <w:r>
        <w:rPr>
          <w:sz w:val="20"/>
        </w:rPr>
        <w:t>las</w:t>
      </w:r>
      <w:r>
        <w:rPr>
          <w:spacing w:val="-5"/>
          <w:sz w:val="20"/>
        </w:rPr>
        <w:t> </w:t>
      </w:r>
      <w:r>
        <w:rPr>
          <w:sz w:val="20"/>
        </w:rPr>
        <w:t>Américas,</w:t>
      </w:r>
      <w:r>
        <w:rPr>
          <w:spacing w:val="-5"/>
          <w:sz w:val="20"/>
        </w:rPr>
        <w:t> </w:t>
      </w:r>
      <w:r>
        <w:rPr>
          <w:sz w:val="20"/>
        </w:rPr>
        <w:t>en</w:t>
      </w:r>
      <w:r>
        <w:rPr>
          <w:spacing w:val="-3"/>
          <w:sz w:val="20"/>
        </w:rPr>
        <w:t> </w:t>
      </w:r>
      <w:r>
        <w:rPr>
          <w:sz w:val="20"/>
        </w:rPr>
        <w:t>su</w:t>
      </w:r>
      <w:r>
        <w:rPr>
          <w:spacing w:val="-3"/>
          <w:sz w:val="20"/>
        </w:rPr>
        <w:t> </w:t>
      </w:r>
      <w:r>
        <w:rPr>
          <w:sz w:val="20"/>
        </w:rPr>
        <w:t>artículo</w:t>
      </w:r>
      <w:r>
        <w:rPr>
          <w:spacing w:val="-2"/>
          <w:sz w:val="20"/>
        </w:rPr>
        <w:t> </w:t>
      </w:r>
      <w:r>
        <w:rPr>
          <w:sz w:val="20"/>
        </w:rPr>
        <w:t>9</w:t>
      </w:r>
      <w:r>
        <w:rPr>
          <w:spacing w:val="-4"/>
          <w:sz w:val="20"/>
        </w:rPr>
        <w:t> </w:t>
      </w:r>
      <w:r>
        <w:rPr>
          <w:sz w:val="20"/>
        </w:rPr>
        <w:t>del</w:t>
      </w:r>
      <w:r>
        <w:rPr>
          <w:spacing w:val="-3"/>
          <w:sz w:val="20"/>
        </w:rPr>
        <w:t> </w:t>
      </w:r>
      <w:r>
        <w:rPr>
          <w:sz w:val="20"/>
        </w:rPr>
        <w:t>Capítulo</w:t>
      </w:r>
      <w:r>
        <w:rPr>
          <w:spacing w:val="-5"/>
          <w:sz w:val="20"/>
        </w:rPr>
        <w:t> </w:t>
      </w:r>
      <w:r>
        <w:rPr>
          <w:sz w:val="20"/>
        </w:rPr>
        <w:t>III,</w:t>
      </w:r>
      <w:r>
        <w:rPr>
          <w:spacing w:val="-5"/>
          <w:sz w:val="20"/>
        </w:rPr>
        <w:t> </w:t>
      </w:r>
      <w:r>
        <w:rPr>
          <w:sz w:val="20"/>
        </w:rPr>
        <w:t>afirma</w:t>
      </w:r>
      <w:r>
        <w:rPr>
          <w:spacing w:val="-3"/>
          <w:sz w:val="20"/>
        </w:rPr>
        <w:t> </w:t>
      </w:r>
      <w:r>
        <w:rPr>
          <w:sz w:val="20"/>
        </w:rPr>
        <w:t>que</w:t>
      </w:r>
      <w:r>
        <w:rPr>
          <w:spacing w:val="-5"/>
          <w:sz w:val="20"/>
        </w:rPr>
        <w:t> </w:t>
      </w:r>
      <w:r>
        <w:rPr>
          <w:sz w:val="20"/>
        </w:rPr>
        <w:t>“[l]os</w:t>
      </w:r>
      <w:r>
        <w:rPr>
          <w:spacing w:val="-5"/>
          <w:sz w:val="20"/>
        </w:rPr>
        <w:t> </w:t>
      </w:r>
      <w:r>
        <w:rPr>
          <w:sz w:val="20"/>
        </w:rPr>
        <w:t>Estados […] reconocen que el agua es fundamental para la vida y básica para el desarrollo socioeconómico y la sostenibilidad ambiental” y que “se comprometen a continuar trabajando para garantizar el acceso al agua potable y a los servicios de saneamiento para las presentes y futuras generaciones”. La Asamblea General de la OEA adoptó también, en 2007 y 2012, las resoluciones 2349/07 y 2760/12, denominadas respectivamente “[e]l agua, la salud y los derechos humanos” y “[e]l derecho humano al agua potable y el saneamiento”. La primera, en sus artículos 1 y 4, “[r]econoce” al agua como “esencial para la vida y la salud” e “indispensable para poder vivir una vida con</w:t>
      </w:r>
      <w:r>
        <w:rPr>
          <w:spacing w:val="-14"/>
          <w:sz w:val="20"/>
        </w:rPr>
        <w:t> </w:t>
      </w:r>
      <w:r>
        <w:rPr>
          <w:sz w:val="20"/>
        </w:rPr>
        <w:t>dignidad</w:t>
      </w:r>
      <w:r>
        <w:rPr>
          <w:spacing w:val="-14"/>
          <w:sz w:val="20"/>
        </w:rPr>
        <w:t> </w:t>
      </w:r>
      <w:r>
        <w:rPr>
          <w:sz w:val="20"/>
        </w:rPr>
        <w:t>humana”,</w:t>
      </w:r>
      <w:r>
        <w:rPr>
          <w:spacing w:val="-18"/>
          <w:sz w:val="20"/>
        </w:rPr>
        <w:t> </w:t>
      </w:r>
      <w:r>
        <w:rPr>
          <w:sz w:val="20"/>
        </w:rPr>
        <w:t>así</w:t>
      </w:r>
      <w:r>
        <w:rPr>
          <w:spacing w:val="-15"/>
          <w:sz w:val="20"/>
        </w:rPr>
        <w:t> </w:t>
      </w:r>
      <w:r>
        <w:rPr>
          <w:sz w:val="20"/>
        </w:rPr>
        <w:t>como</w:t>
      </w:r>
      <w:r>
        <w:rPr>
          <w:spacing w:val="-16"/>
          <w:sz w:val="20"/>
        </w:rPr>
        <w:t> </w:t>
      </w:r>
      <w:r>
        <w:rPr>
          <w:sz w:val="20"/>
        </w:rPr>
        <w:t>“el</w:t>
      </w:r>
      <w:r>
        <w:rPr>
          <w:spacing w:val="-15"/>
          <w:sz w:val="20"/>
        </w:rPr>
        <w:t> </w:t>
      </w:r>
      <w:r>
        <w:rPr>
          <w:sz w:val="20"/>
        </w:rPr>
        <w:t>uso</w:t>
      </w:r>
      <w:r>
        <w:rPr>
          <w:spacing w:val="-17"/>
          <w:sz w:val="20"/>
        </w:rPr>
        <w:t> </w:t>
      </w:r>
      <w:r>
        <w:rPr>
          <w:sz w:val="20"/>
        </w:rPr>
        <w:t>ancestral</w:t>
      </w:r>
      <w:r>
        <w:rPr>
          <w:spacing w:val="-15"/>
          <w:sz w:val="20"/>
        </w:rPr>
        <w:t> </w:t>
      </w:r>
      <w:r>
        <w:rPr>
          <w:sz w:val="20"/>
        </w:rPr>
        <w:t>del</w:t>
      </w:r>
      <w:r>
        <w:rPr>
          <w:spacing w:val="-15"/>
          <w:sz w:val="20"/>
        </w:rPr>
        <w:t> </w:t>
      </w:r>
      <w:r>
        <w:rPr>
          <w:sz w:val="20"/>
        </w:rPr>
        <w:t>agua</w:t>
      </w:r>
      <w:r>
        <w:rPr>
          <w:spacing w:val="-15"/>
          <w:sz w:val="20"/>
        </w:rPr>
        <w:t> </w:t>
      </w:r>
      <w:r>
        <w:rPr>
          <w:sz w:val="20"/>
        </w:rPr>
        <w:t>por</w:t>
      </w:r>
      <w:r>
        <w:rPr>
          <w:spacing w:val="-16"/>
          <w:sz w:val="20"/>
        </w:rPr>
        <w:t> </w:t>
      </w:r>
      <w:r>
        <w:rPr>
          <w:sz w:val="20"/>
        </w:rPr>
        <w:t>parte</w:t>
      </w:r>
      <w:r>
        <w:rPr>
          <w:spacing w:val="-16"/>
          <w:sz w:val="20"/>
        </w:rPr>
        <w:t> </w:t>
      </w:r>
      <w:r>
        <w:rPr>
          <w:sz w:val="20"/>
        </w:rPr>
        <w:t>de</w:t>
      </w:r>
      <w:r>
        <w:rPr>
          <w:spacing w:val="-14"/>
          <w:sz w:val="20"/>
        </w:rPr>
        <w:t> </w:t>
      </w:r>
      <w:r>
        <w:rPr>
          <w:sz w:val="20"/>
        </w:rPr>
        <w:t>las</w:t>
      </w:r>
      <w:r>
        <w:rPr>
          <w:spacing w:val="-16"/>
          <w:sz w:val="20"/>
        </w:rPr>
        <w:t> </w:t>
      </w:r>
      <w:r>
        <w:rPr>
          <w:sz w:val="20"/>
        </w:rPr>
        <w:t>comunidades urbanas,</w:t>
      </w:r>
      <w:r>
        <w:rPr>
          <w:spacing w:val="15"/>
          <w:sz w:val="20"/>
        </w:rPr>
        <w:t> </w:t>
      </w:r>
      <w:r>
        <w:rPr>
          <w:sz w:val="20"/>
        </w:rPr>
        <w:t>rurales</w:t>
      </w:r>
      <w:r>
        <w:rPr>
          <w:spacing w:val="15"/>
          <w:sz w:val="20"/>
        </w:rPr>
        <w:t> </w:t>
      </w:r>
      <w:r>
        <w:rPr>
          <w:sz w:val="20"/>
        </w:rPr>
        <w:t>y</w:t>
      </w:r>
      <w:r>
        <w:rPr>
          <w:spacing w:val="15"/>
          <w:sz w:val="20"/>
        </w:rPr>
        <w:t> </w:t>
      </w:r>
      <w:r>
        <w:rPr>
          <w:sz w:val="20"/>
        </w:rPr>
        <w:t>pueblos</w:t>
      </w:r>
      <w:r>
        <w:rPr>
          <w:spacing w:val="15"/>
          <w:sz w:val="20"/>
        </w:rPr>
        <w:t> </w:t>
      </w:r>
      <w:r>
        <w:rPr>
          <w:sz w:val="20"/>
        </w:rPr>
        <w:t>indígenas,</w:t>
      </w:r>
      <w:r>
        <w:rPr>
          <w:spacing w:val="18"/>
          <w:sz w:val="20"/>
        </w:rPr>
        <w:t> </w:t>
      </w:r>
      <w:r>
        <w:rPr>
          <w:sz w:val="20"/>
        </w:rPr>
        <w:t>en</w:t>
      </w:r>
      <w:r>
        <w:rPr>
          <w:spacing w:val="17"/>
          <w:sz w:val="20"/>
        </w:rPr>
        <w:t> </w:t>
      </w:r>
      <w:r>
        <w:rPr>
          <w:sz w:val="20"/>
        </w:rPr>
        <w:t>el</w:t>
      </w:r>
      <w:r>
        <w:rPr>
          <w:spacing w:val="16"/>
          <w:sz w:val="20"/>
        </w:rPr>
        <w:t> </w:t>
      </w:r>
      <w:r>
        <w:rPr>
          <w:sz w:val="20"/>
        </w:rPr>
        <w:t>marco</w:t>
      </w:r>
      <w:r>
        <w:rPr>
          <w:spacing w:val="15"/>
          <w:sz w:val="20"/>
        </w:rPr>
        <w:t> </w:t>
      </w:r>
      <w:r>
        <w:rPr>
          <w:sz w:val="20"/>
        </w:rPr>
        <w:t>de</w:t>
      </w:r>
      <w:r>
        <w:rPr>
          <w:spacing w:val="17"/>
          <w:sz w:val="20"/>
        </w:rPr>
        <w:t> </w:t>
      </w:r>
      <w:r>
        <w:rPr>
          <w:sz w:val="20"/>
        </w:rPr>
        <w:t>sus</w:t>
      </w:r>
      <w:r>
        <w:rPr>
          <w:spacing w:val="16"/>
          <w:sz w:val="20"/>
        </w:rPr>
        <w:t> </w:t>
      </w:r>
      <w:r>
        <w:rPr>
          <w:sz w:val="20"/>
        </w:rPr>
        <w:t>usos</w:t>
      </w:r>
      <w:r>
        <w:rPr>
          <w:spacing w:val="15"/>
          <w:sz w:val="20"/>
        </w:rPr>
        <w:t> </w:t>
      </w:r>
      <w:r>
        <w:rPr>
          <w:sz w:val="20"/>
        </w:rPr>
        <w:t>y</w:t>
      </w:r>
      <w:r>
        <w:rPr>
          <w:spacing w:val="18"/>
          <w:sz w:val="20"/>
        </w:rPr>
        <w:t> </w:t>
      </w:r>
      <w:r>
        <w:rPr>
          <w:sz w:val="20"/>
        </w:rPr>
        <w:t>costumbres</w:t>
      </w:r>
      <w:r>
        <w:rPr>
          <w:spacing w:val="15"/>
          <w:sz w:val="20"/>
        </w:rPr>
        <w:t> </w:t>
      </w:r>
      <w:r>
        <w:rPr>
          <w:sz w:val="20"/>
        </w:rPr>
        <w:t>sobre</w:t>
      </w:r>
      <w:r>
        <w:rPr>
          <w:spacing w:val="15"/>
          <w:sz w:val="20"/>
        </w:rPr>
        <w:t> </w:t>
      </w:r>
      <w:r>
        <w:rPr>
          <w:sz w:val="20"/>
        </w:rPr>
        <w:t>el</w:t>
      </w:r>
    </w:p>
    <w:p>
      <w:pPr>
        <w:pStyle w:val="BodyText"/>
        <w:spacing w:before="5"/>
        <w:rPr>
          <w:sz w:val="17"/>
        </w:rPr>
      </w:pPr>
      <w:r>
        <w:rPr/>
        <w:pict>
          <v:line style="position:absolute;mso-position-horizontal-relative:page;mso-position-vertical-relative:paragraph;z-index:2776;mso-wrap-distance-left:0;mso-wrap-distance-right:0" from="85.103996pt,12.910205pt" to="229.123996pt,12.910205pt" stroked="true" strokeweight=".72pt" strokecolor="#000000">
            <v:stroke dashstyle="solid"/>
            <w10:wrap type="topAndBottom"/>
          </v:line>
        </w:pict>
      </w:r>
    </w:p>
    <w:p>
      <w:pPr>
        <w:spacing w:before="71"/>
        <w:ind w:left="122" w:right="115" w:firstLine="0"/>
        <w:jc w:val="both"/>
        <w:rPr>
          <w:sz w:val="16"/>
        </w:rPr>
      </w:pPr>
      <w:r>
        <w:rPr>
          <w:sz w:val="16"/>
        </w:rPr>
        <w:t>sobre la relación entre el cambio climático y los derechos humanos, 15 de enero de 2009, Doc. ONU A/HRC/10/61, párrs. 18 y 24, y Consejo de Derechos Humanos, Estudio analítico de la relación entre los derechos humanos y el medio ambiente, Informe de la Alta Comisionada de las Naciones Unidas para los Derechos Humanos, 16 de diciembre de 2001, Doc. ONU A/HRC/19/34, párr. 7”).</w:t>
      </w:r>
    </w:p>
    <w:p>
      <w:pPr>
        <w:pStyle w:val="BodyText"/>
        <w:spacing w:before="11"/>
        <w:rPr>
          <w:sz w:val="15"/>
        </w:rPr>
      </w:pPr>
    </w:p>
    <w:p>
      <w:pPr>
        <w:tabs>
          <w:tab w:pos="829" w:val="left" w:leader="none"/>
        </w:tabs>
        <w:spacing w:before="0"/>
        <w:ind w:left="122" w:right="114" w:firstLine="0"/>
        <w:jc w:val="both"/>
        <w:rPr>
          <w:sz w:val="16"/>
        </w:rPr>
      </w:pPr>
      <w:r>
        <w:rPr>
          <w:position w:val="6"/>
          <w:sz w:val="10"/>
        </w:rPr>
        <w:t>220</w:t>
        <w:tab/>
      </w:r>
      <w:r>
        <w:rPr>
          <w:sz w:val="16"/>
        </w:rPr>
        <w:t>Adviértase que el Comité DESC ha señalado que “[e]l agua es fundamental para </w:t>
      </w:r>
      <w:r>
        <w:rPr>
          <w:spacing w:val="13"/>
          <w:sz w:val="16"/>
        </w:rPr>
        <w:t> </w:t>
      </w:r>
      <w:r>
        <w:rPr>
          <w:sz w:val="16"/>
        </w:rPr>
        <w:t>procurarse</w:t>
      </w:r>
      <w:r>
        <w:rPr>
          <w:spacing w:val="7"/>
          <w:sz w:val="16"/>
        </w:rPr>
        <w:t> </w:t>
      </w:r>
      <w:r>
        <w:rPr>
          <w:sz w:val="16"/>
        </w:rPr>
        <w:t>medios</w:t>
      </w:r>
      <w:r>
        <w:rPr>
          <w:w w:val="100"/>
          <w:sz w:val="16"/>
        </w:rPr>
        <w:t> </w:t>
      </w:r>
      <w:r>
        <w:rPr>
          <w:sz w:val="16"/>
        </w:rPr>
        <w:t>de</w:t>
      </w:r>
      <w:r>
        <w:rPr>
          <w:spacing w:val="-5"/>
          <w:sz w:val="16"/>
        </w:rPr>
        <w:t> </w:t>
      </w:r>
      <w:r>
        <w:rPr>
          <w:sz w:val="16"/>
        </w:rPr>
        <w:t>subsistencia</w:t>
      </w:r>
      <w:r>
        <w:rPr>
          <w:spacing w:val="-6"/>
          <w:sz w:val="16"/>
        </w:rPr>
        <w:t> </w:t>
      </w:r>
      <w:r>
        <w:rPr>
          <w:sz w:val="16"/>
        </w:rPr>
        <w:t>(el</w:t>
      </w:r>
      <w:r>
        <w:rPr>
          <w:spacing w:val="-3"/>
          <w:sz w:val="16"/>
        </w:rPr>
        <w:t> </w:t>
      </w:r>
      <w:r>
        <w:rPr>
          <w:sz w:val="16"/>
        </w:rPr>
        <w:t>derecho</w:t>
      </w:r>
      <w:r>
        <w:rPr>
          <w:spacing w:val="-4"/>
          <w:sz w:val="16"/>
        </w:rPr>
        <w:t> </w:t>
      </w:r>
      <w:r>
        <w:rPr>
          <w:sz w:val="16"/>
        </w:rPr>
        <w:t>a</w:t>
      </w:r>
      <w:r>
        <w:rPr>
          <w:spacing w:val="-8"/>
          <w:sz w:val="16"/>
        </w:rPr>
        <w:t> </w:t>
      </w:r>
      <w:r>
        <w:rPr>
          <w:sz w:val="16"/>
        </w:rPr>
        <w:t>ganarse</w:t>
      </w:r>
      <w:r>
        <w:rPr>
          <w:spacing w:val="-5"/>
          <w:sz w:val="16"/>
        </w:rPr>
        <w:t> </w:t>
      </w:r>
      <w:r>
        <w:rPr>
          <w:sz w:val="16"/>
        </w:rPr>
        <w:t>la</w:t>
      </w:r>
      <w:r>
        <w:rPr>
          <w:spacing w:val="-6"/>
          <w:sz w:val="16"/>
        </w:rPr>
        <w:t> </w:t>
      </w:r>
      <w:r>
        <w:rPr>
          <w:sz w:val="16"/>
        </w:rPr>
        <w:t>vida</w:t>
      </w:r>
      <w:r>
        <w:rPr>
          <w:spacing w:val="-4"/>
          <w:sz w:val="16"/>
        </w:rPr>
        <w:t> </w:t>
      </w:r>
      <w:r>
        <w:rPr>
          <w:sz w:val="16"/>
        </w:rPr>
        <w:t>mediante</w:t>
      </w:r>
      <w:r>
        <w:rPr>
          <w:spacing w:val="-2"/>
          <w:sz w:val="16"/>
        </w:rPr>
        <w:t> </w:t>
      </w:r>
      <w:r>
        <w:rPr>
          <w:sz w:val="16"/>
        </w:rPr>
        <w:t>un</w:t>
      </w:r>
      <w:r>
        <w:rPr>
          <w:spacing w:val="-4"/>
          <w:sz w:val="16"/>
        </w:rPr>
        <w:t> </w:t>
      </w:r>
      <w:r>
        <w:rPr>
          <w:sz w:val="16"/>
        </w:rPr>
        <w:t>trabajo)</w:t>
      </w:r>
      <w:r>
        <w:rPr>
          <w:spacing w:val="-4"/>
          <w:sz w:val="16"/>
        </w:rPr>
        <w:t> </w:t>
      </w:r>
      <w:r>
        <w:rPr>
          <w:sz w:val="16"/>
        </w:rPr>
        <w:t>y</w:t>
      </w:r>
      <w:r>
        <w:rPr>
          <w:spacing w:val="-7"/>
          <w:sz w:val="16"/>
        </w:rPr>
        <w:t> </w:t>
      </w:r>
      <w:r>
        <w:rPr>
          <w:sz w:val="16"/>
        </w:rPr>
        <w:t>para</w:t>
      </w:r>
      <w:r>
        <w:rPr>
          <w:spacing w:val="-6"/>
          <w:sz w:val="16"/>
        </w:rPr>
        <w:t> </w:t>
      </w:r>
      <w:r>
        <w:rPr>
          <w:sz w:val="16"/>
        </w:rPr>
        <w:t>disfrutar</w:t>
      </w:r>
      <w:r>
        <w:rPr>
          <w:spacing w:val="-4"/>
          <w:sz w:val="16"/>
        </w:rPr>
        <w:t> </w:t>
      </w:r>
      <w:r>
        <w:rPr>
          <w:sz w:val="16"/>
        </w:rPr>
        <w:t>de</w:t>
      </w:r>
      <w:r>
        <w:rPr>
          <w:spacing w:val="-5"/>
          <w:sz w:val="16"/>
        </w:rPr>
        <w:t> </w:t>
      </w:r>
      <w:r>
        <w:rPr>
          <w:sz w:val="16"/>
        </w:rPr>
        <w:t>determinadas</w:t>
      </w:r>
      <w:r>
        <w:rPr>
          <w:spacing w:val="-5"/>
          <w:sz w:val="16"/>
        </w:rPr>
        <w:t> </w:t>
      </w:r>
      <w:r>
        <w:rPr>
          <w:sz w:val="16"/>
        </w:rPr>
        <w:t>prácticas culturales</w:t>
      </w:r>
      <w:r>
        <w:rPr>
          <w:spacing w:val="-5"/>
          <w:sz w:val="16"/>
        </w:rPr>
        <w:t> </w:t>
      </w:r>
      <w:r>
        <w:rPr>
          <w:sz w:val="16"/>
        </w:rPr>
        <w:t>(el</w:t>
      </w:r>
      <w:r>
        <w:rPr>
          <w:spacing w:val="-5"/>
          <w:sz w:val="16"/>
        </w:rPr>
        <w:t> </w:t>
      </w:r>
      <w:r>
        <w:rPr>
          <w:sz w:val="16"/>
        </w:rPr>
        <w:t>derecho</w:t>
      </w:r>
      <w:r>
        <w:rPr>
          <w:spacing w:val="-5"/>
          <w:sz w:val="16"/>
        </w:rPr>
        <w:t> </w:t>
      </w:r>
      <w:r>
        <w:rPr>
          <w:sz w:val="16"/>
        </w:rPr>
        <w:t>a</w:t>
      </w:r>
      <w:r>
        <w:rPr>
          <w:spacing w:val="-8"/>
          <w:sz w:val="16"/>
        </w:rPr>
        <w:t> </w:t>
      </w:r>
      <w:r>
        <w:rPr>
          <w:sz w:val="16"/>
        </w:rPr>
        <w:t>participar</w:t>
      </w:r>
      <w:r>
        <w:rPr>
          <w:spacing w:val="-7"/>
          <w:sz w:val="16"/>
        </w:rPr>
        <w:t> </w:t>
      </w:r>
      <w:r>
        <w:rPr>
          <w:sz w:val="16"/>
        </w:rPr>
        <w:t>en</w:t>
      </w:r>
      <w:r>
        <w:rPr>
          <w:spacing w:val="-6"/>
          <w:sz w:val="16"/>
        </w:rPr>
        <w:t> </w:t>
      </w:r>
      <w:r>
        <w:rPr>
          <w:sz w:val="16"/>
        </w:rPr>
        <w:t>la</w:t>
      </w:r>
      <w:r>
        <w:rPr>
          <w:spacing w:val="-6"/>
          <w:sz w:val="16"/>
        </w:rPr>
        <w:t> </w:t>
      </w:r>
      <w:r>
        <w:rPr>
          <w:sz w:val="16"/>
        </w:rPr>
        <w:t>vida</w:t>
      </w:r>
      <w:r>
        <w:rPr>
          <w:spacing w:val="-6"/>
          <w:sz w:val="16"/>
        </w:rPr>
        <w:t> </w:t>
      </w:r>
      <w:r>
        <w:rPr>
          <w:sz w:val="16"/>
        </w:rPr>
        <w:t>cultural)”,</w:t>
      </w:r>
      <w:r>
        <w:rPr>
          <w:spacing w:val="-6"/>
          <w:sz w:val="16"/>
        </w:rPr>
        <w:t> </w:t>
      </w:r>
      <w:r>
        <w:rPr>
          <w:sz w:val="16"/>
        </w:rPr>
        <w:t>y</w:t>
      </w:r>
      <w:r>
        <w:rPr>
          <w:spacing w:val="-7"/>
          <w:sz w:val="16"/>
        </w:rPr>
        <w:t> </w:t>
      </w:r>
      <w:r>
        <w:rPr>
          <w:sz w:val="16"/>
        </w:rPr>
        <w:t>que</w:t>
      </w:r>
      <w:r>
        <w:rPr>
          <w:spacing w:val="-7"/>
          <w:sz w:val="16"/>
        </w:rPr>
        <w:t> </w:t>
      </w:r>
      <w:r>
        <w:rPr>
          <w:sz w:val="16"/>
        </w:rPr>
        <w:t>“[e]l</w:t>
      </w:r>
      <w:r>
        <w:rPr>
          <w:spacing w:val="-6"/>
          <w:sz w:val="16"/>
        </w:rPr>
        <w:t> </w:t>
      </w:r>
      <w:r>
        <w:rPr>
          <w:sz w:val="16"/>
        </w:rPr>
        <w:t>derecho</w:t>
      </w:r>
      <w:r>
        <w:rPr>
          <w:spacing w:val="-5"/>
          <w:sz w:val="16"/>
        </w:rPr>
        <w:t> </w:t>
      </w:r>
      <w:r>
        <w:rPr>
          <w:sz w:val="16"/>
        </w:rPr>
        <w:t>al</w:t>
      </w:r>
      <w:r>
        <w:rPr>
          <w:spacing w:val="-6"/>
          <w:sz w:val="16"/>
        </w:rPr>
        <w:t> </w:t>
      </w:r>
      <w:r>
        <w:rPr>
          <w:sz w:val="16"/>
        </w:rPr>
        <w:t>agua</w:t>
      </w:r>
      <w:r>
        <w:rPr>
          <w:spacing w:val="-6"/>
          <w:sz w:val="16"/>
        </w:rPr>
        <w:t> </w:t>
      </w:r>
      <w:r>
        <w:rPr>
          <w:sz w:val="16"/>
        </w:rPr>
        <w:t>se</w:t>
      </w:r>
      <w:r>
        <w:rPr>
          <w:spacing w:val="-7"/>
          <w:sz w:val="16"/>
        </w:rPr>
        <w:t> </w:t>
      </w:r>
      <w:r>
        <w:rPr>
          <w:sz w:val="16"/>
        </w:rPr>
        <w:t>encuadra</w:t>
      </w:r>
      <w:r>
        <w:rPr>
          <w:spacing w:val="-8"/>
          <w:sz w:val="16"/>
        </w:rPr>
        <w:t> </w:t>
      </w:r>
      <w:r>
        <w:rPr>
          <w:sz w:val="16"/>
        </w:rPr>
        <w:t>claramente</w:t>
      </w:r>
      <w:r>
        <w:rPr>
          <w:spacing w:val="-7"/>
          <w:sz w:val="16"/>
        </w:rPr>
        <w:t> </w:t>
      </w:r>
      <w:r>
        <w:rPr>
          <w:sz w:val="16"/>
        </w:rPr>
        <w:t>en la categoría de las garantías indispensables para asegurar un nivel de vida adecuado, en particular porque es una de las condiciones fundamentales para la supervivencia.[…] El derecho al agua también está indisolublemente asociado al […] derecho a una vivienda […]. Este derecho también debe considerarse conjuntamente con otros derechos consagrados en la Carta Internacional de Derechos Humanos, en primer lugar el derecho a la vida y a la dignidad humana”. Además, el Comité DESC notó que “[e]l derecho al agua ha sido reconocido en un gran número de documentos internacionales, tales como tratados, declaraciones y otras normas”, aludiendo no a instrumentos generales sobre derechos humanos, sino a diversos documentos sobre cuestiones específicas, que no hace falta exponer aquí (</w:t>
      </w:r>
      <w:r>
        <w:rPr>
          <w:i/>
          <w:sz w:val="16"/>
        </w:rPr>
        <w:t>cfr. </w:t>
      </w:r>
      <w:r>
        <w:rPr>
          <w:sz w:val="16"/>
        </w:rPr>
        <w:t>Comité DESC. </w:t>
      </w:r>
      <w:r>
        <w:rPr>
          <w:i/>
          <w:sz w:val="16"/>
        </w:rPr>
        <w:t>Observación General 15. El </w:t>
      </w:r>
      <w:r>
        <w:rPr>
          <w:i/>
          <w:sz w:val="16"/>
        </w:rPr>
        <w:t>derecho al agua (artículos 11 y 12 del Pacto Internacional de Derechos Económicos, Sociales y Culturales)</w:t>
      </w:r>
      <w:r>
        <w:rPr>
          <w:sz w:val="16"/>
        </w:rPr>
        <w:t>, párrs. 6, 3 y 4, y nota a pie de página 5, respectivamente). Dado lo dicho, puede destacarse el vínculo del derecho al agua con el derecho a la vida, recogido en el artículo 4 de la Convención. También surge de lo expuesto que el derecho al agua podría desprenderse y/o tener relación con otros derechos. No resulta necesario, a efectos del examen del presente caso, ahondar en consideraciones al</w:t>
      </w:r>
      <w:r>
        <w:rPr>
          <w:spacing w:val="-24"/>
          <w:sz w:val="16"/>
        </w:rPr>
        <w:t> </w:t>
      </w:r>
      <w:r>
        <w:rPr>
          <w:sz w:val="16"/>
        </w:rPr>
        <w:t>respecto.</w:t>
      </w:r>
    </w:p>
    <w:p>
      <w:pPr>
        <w:pStyle w:val="BodyText"/>
        <w:spacing w:before="1"/>
        <w:rPr>
          <w:sz w:val="16"/>
        </w:rPr>
      </w:pPr>
    </w:p>
    <w:p>
      <w:pPr>
        <w:tabs>
          <w:tab w:pos="829" w:val="left" w:leader="none"/>
        </w:tabs>
        <w:spacing w:before="0"/>
        <w:ind w:left="122" w:right="119" w:firstLine="0"/>
        <w:jc w:val="both"/>
        <w:rPr>
          <w:sz w:val="16"/>
        </w:rPr>
      </w:pPr>
      <w:r>
        <w:rPr>
          <w:position w:val="6"/>
          <w:sz w:val="10"/>
        </w:rPr>
        <w:t>221</w:t>
        <w:tab/>
      </w:r>
      <w:r>
        <w:rPr>
          <w:i/>
          <w:sz w:val="16"/>
        </w:rPr>
        <w:t>Cfr.</w:t>
      </w:r>
      <w:r>
        <w:rPr>
          <w:i/>
          <w:spacing w:val="47"/>
          <w:sz w:val="16"/>
        </w:rPr>
        <w:t> </w:t>
      </w:r>
      <w:r>
        <w:rPr>
          <w:sz w:val="16"/>
        </w:rPr>
        <w:t>Comité</w:t>
      </w:r>
      <w:r>
        <w:rPr>
          <w:spacing w:val="45"/>
          <w:sz w:val="16"/>
        </w:rPr>
        <w:t> </w:t>
      </w:r>
      <w:r>
        <w:rPr>
          <w:sz w:val="16"/>
        </w:rPr>
        <w:t>DESC.</w:t>
      </w:r>
      <w:r>
        <w:rPr>
          <w:spacing w:val="46"/>
          <w:sz w:val="16"/>
        </w:rPr>
        <w:t> </w:t>
      </w:r>
      <w:r>
        <w:rPr>
          <w:i/>
          <w:sz w:val="16"/>
        </w:rPr>
        <w:t>Observación</w:t>
      </w:r>
      <w:r>
        <w:rPr>
          <w:i/>
          <w:spacing w:val="49"/>
          <w:sz w:val="16"/>
        </w:rPr>
        <w:t> </w:t>
      </w:r>
      <w:r>
        <w:rPr>
          <w:i/>
          <w:sz w:val="16"/>
        </w:rPr>
        <w:t>General.</w:t>
      </w:r>
      <w:r>
        <w:rPr>
          <w:i/>
          <w:spacing w:val="47"/>
          <w:sz w:val="16"/>
        </w:rPr>
        <w:t> </w:t>
      </w:r>
      <w:r>
        <w:rPr>
          <w:i/>
          <w:sz w:val="16"/>
        </w:rPr>
        <w:t>15.</w:t>
      </w:r>
      <w:r>
        <w:rPr>
          <w:i/>
          <w:spacing w:val="47"/>
          <w:sz w:val="16"/>
        </w:rPr>
        <w:t> </w:t>
      </w:r>
      <w:r>
        <w:rPr>
          <w:i/>
          <w:sz w:val="16"/>
        </w:rPr>
        <w:t>El</w:t>
      </w:r>
      <w:r>
        <w:rPr>
          <w:i/>
          <w:spacing w:val="47"/>
          <w:sz w:val="16"/>
        </w:rPr>
        <w:t> </w:t>
      </w:r>
      <w:r>
        <w:rPr>
          <w:i/>
          <w:sz w:val="16"/>
        </w:rPr>
        <w:t>derecho</w:t>
      </w:r>
      <w:r>
        <w:rPr>
          <w:i/>
          <w:spacing w:val="48"/>
          <w:sz w:val="16"/>
        </w:rPr>
        <w:t> </w:t>
      </w:r>
      <w:r>
        <w:rPr>
          <w:i/>
          <w:sz w:val="16"/>
        </w:rPr>
        <w:t>al</w:t>
      </w:r>
      <w:r>
        <w:rPr>
          <w:i/>
          <w:spacing w:val="47"/>
          <w:sz w:val="16"/>
        </w:rPr>
        <w:t> </w:t>
      </w:r>
      <w:r>
        <w:rPr>
          <w:i/>
          <w:sz w:val="16"/>
        </w:rPr>
        <w:t>agua</w:t>
      </w:r>
      <w:r>
        <w:rPr>
          <w:i/>
          <w:spacing w:val="47"/>
          <w:sz w:val="16"/>
        </w:rPr>
        <w:t> </w:t>
      </w:r>
      <w:r>
        <w:rPr>
          <w:i/>
          <w:sz w:val="16"/>
        </w:rPr>
        <w:t>(artículos</w:t>
      </w:r>
      <w:r>
        <w:rPr>
          <w:i/>
          <w:spacing w:val="45"/>
          <w:sz w:val="16"/>
        </w:rPr>
        <w:t> </w:t>
      </w:r>
      <w:r>
        <w:rPr>
          <w:i/>
          <w:sz w:val="16"/>
        </w:rPr>
        <w:t>11</w:t>
      </w:r>
      <w:r>
        <w:rPr>
          <w:i/>
          <w:spacing w:val="46"/>
          <w:sz w:val="16"/>
        </w:rPr>
        <w:t> </w:t>
      </w:r>
      <w:r>
        <w:rPr>
          <w:i/>
          <w:sz w:val="16"/>
        </w:rPr>
        <w:t>y</w:t>
      </w:r>
      <w:r>
        <w:rPr>
          <w:i/>
          <w:spacing w:val="46"/>
          <w:sz w:val="16"/>
        </w:rPr>
        <w:t> </w:t>
      </w:r>
      <w:r>
        <w:rPr>
          <w:i/>
          <w:sz w:val="16"/>
        </w:rPr>
        <w:t>12</w:t>
      </w:r>
      <w:r>
        <w:rPr>
          <w:i/>
          <w:spacing w:val="49"/>
          <w:sz w:val="16"/>
        </w:rPr>
        <w:t> </w:t>
      </w:r>
      <w:r>
        <w:rPr>
          <w:i/>
          <w:sz w:val="16"/>
        </w:rPr>
        <w:t>del</w:t>
      </w:r>
      <w:r>
        <w:rPr>
          <w:i/>
          <w:spacing w:val="49"/>
          <w:sz w:val="16"/>
        </w:rPr>
        <w:t> </w:t>
      </w:r>
      <w:r>
        <w:rPr>
          <w:i/>
          <w:sz w:val="16"/>
        </w:rPr>
        <w:t>Pacto</w:t>
      </w:r>
      <w:r>
        <w:rPr>
          <w:i/>
          <w:w w:val="100"/>
          <w:sz w:val="16"/>
        </w:rPr>
        <w:t> </w:t>
      </w:r>
      <w:r>
        <w:rPr>
          <w:i/>
          <w:sz w:val="16"/>
        </w:rPr>
        <w:t>Internacional de Derechos Económicos, Sociales y Culturales)</w:t>
      </w:r>
      <w:r>
        <w:rPr>
          <w:sz w:val="16"/>
        </w:rPr>
        <w:t>, párrs. 3 y</w:t>
      </w:r>
      <w:r>
        <w:rPr>
          <w:spacing w:val="-23"/>
          <w:sz w:val="16"/>
        </w:rPr>
        <w:t> </w:t>
      </w:r>
      <w:r>
        <w:rPr>
          <w:sz w:val="16"/>
        </w:rPr>
        <w:t>4.</w:t>
      </w:r>
    </w:p>
    <w:p>
      <w:pPr>
        <w:spacing w:after="0"/>
        <w:jc w:val="both"/>
        <w:rPr>
          <w:sz w:val="16"/>
        </w:rPr>
        <w:sectPr>
          <w:pgSz w:w="12240" w:h="15840"/>
          <w:pgMar w:header="0" w:footer="1000" w:top="1340" w:bottom="1200" w:left="1580" w:right="1580"/>
        </w:sectPr>
      </w:pPr>
    </w:p>
    <w:p>
      <w:pPr>
        <w:pStyle w:val="BodyText"/>
        <w:spacing w:before="76"/>
        <w:ind w:left="122" w:right="120"/>
        <w:jc w:val="both"/>
      </w:pPr>
      <w:r>
        <w:rPr/>
        <w:t>uso</w:t>
      </w:r>
      <w:r>
        <w:rPr>
          <w:spacing w:val="-9"/>
        </w:rPr>
        <w:t> </w:t>
      </w:r>
      <w:r>
        <w:rPr/>
        <w:t>del</w:t>
      </w:r>
      <w:r>
        <w:rPr>
          <w:spacing w:val="-4"/>
        </w:rPr>
        <w:t> </w:t>
      </w:r>
      <w:r>
        <w:rPr/>
        <w:t>agua,</w:t>
      </w:r>
      <w:r>
        <w:rPr>
          <w:spacing w:val="-7"/>
        </w:rPr>
        <w:t> </w:t>
      </w:r>
      <w:r>
        <w:rPr/>
        <w:t>de</w:t>
      </w:r>
      <w:r>
        <w:rPr>
          <w:spacing w:val="-6"/>
        </w:rPr>
        <w:t> </w:t>
      </w:r>
      <w:r>
        <w:rPr/>
        <w:t>conformidad</w:t>
      </w:r>
      <w:r>
        <w:rPr>
          <w:spacing w:val="-6"/>
        </w:rPr>
        <w:t> </w:t>
      </w:r>
      <w:r>
        <w:rPr/>
        <w:t>con</w:t>
      </w:r>
      <w:r>
        <w:rPr>
          <w:spacing w:val="-6"/>
        </w:rPr>
        <w:t> </w:t>
      </w:r>
      <w:r>
        <w:rPr/>
        <w:t>las</w:t>
      </w:r>
      <w:r>
        <w:rPr>
          <w:spacing w:val="-3"/>
        </w:rPr>
        <w:t> </w:t>
      </w:r>
      <w:r>
        <w:rPr/>
        <w:t>respectivas</w:t>
      </w:r>
      <w:r>
        <w:rPr>
          <w:spacing w:val="-7"/>
        </w:rPr>
        <w:t> </w:t>
      </w:r>
      <w:r>
        <w:rPr/>
        <w:t>legislaciones</w:t>
      </w:r>
      <w:r>
        <w:rPr>
          <w:spacing w:val="-8"/>
        </w:rPr>
        <w:t> </w:t>
      </w:r>
      <w:r>
        <w:rPr/>
        <w:t>nacionales”.</w:t>
      </w:r>
      <w:r>
        <w:rPr>
          <w:spacing w:val="-4"/>
        </w:rPr>
        <w:t> </w:t>
      </w:r>
      <w:r>
        <w:rPr/>
        <w:t>La</w:t>
      </w:r>
      <w:r>
        <w:rPr>
          <w:spacing w:val="-5"/>
        </w:rPr>
        <w:t> </w:t>
      </w:r>
      <w:r>
        <w:rPr/>
        <w:t>segunda, en su primer artículo, “invita” a los Estados a “seguir trabajando” para “asegurar el acceso al agua potable y a servicios de saneamiento para las generaciones presentes y futuras”. El derecho también está contemplado en el artículo 12 de la Convención Interamericana sobre la Protección de los Derechos Humanos de las Personas Mayores</w:t>
      </w:r>
      <w:r>
        <w:rPr>
          <w:position w:val="7"/>
          <w:sz w:val="13"/>
        </w:rPr>
        <w:t>222</w:t>
      </w:r>
      <w:r>
        <w:rPr/>
        <w:t>.</w:t>
      </w:r>
    </w:p>
    <w:p>
      <w:pPr>
        <w:pStyle w:val="BodyText"/>
        <w:spacing w:before="10"/>
        <w:rPr>
          <w:sz w:val="19"/>
        </w:rPr>
      </w:pPr>
    </w:p>
    <w:p>
      <w:pPr>
        <w:pStyle w:val="ListParagraph"/>
        <w:numPr>
          <w:ilvl w:val="0"/>
          <w:numId w:val="31"/>
        </w:numPr>
        <w:tabs>
          <w:tab w:pos="830" w:val="left" w:leader="none"/>
        </w:tabs>
        <w:spacing w:line="240" w:lineRule="auto" w:before="0" w:after="0"/>
        <w:ind w:left="122" w:right="123" w:firstLine="0"/>
        <w:jc w:val="both"/>
        <w:rPr>
          <w:sz w:val="20"/>
        </w:rPr>
      </w:pPr>
      <w:r>
        <w:rPr>
          <w:sz w:val="20"/>
        </w:rPr>
        <w:t>Es</w:t>
      </w:r>
      <w:r>
        <w:rPr>
          <w:spacing w:val="-19"/>
          <w:sz w:val="20"/>
        </w:rPr>
        <w:t> </w:t>
      </w:r>
      <w:r>
        <w:rPr>
          <w:sz w:val="20"/>
        </w:rPr>
        <w:t>pertinente</w:t>
      </w:r>
      <w:r>
        <w:rPr>
          <w:spacing w:val="-20"/>
          <w:sz w:val="20"/>
        </w:rPr>
        <w:t> </w:t>
      </w:r>
      <w:r>
        <w:rPr>
          <w:sz w:val="20"/>
        </w:rPr>
        <w:t>hacer</w:t>
      </w:r>
      <w:r>
        <w:rPr>
          <w:spacing w:val="-20"/>
          <w:sz w:val="20"/>
        </w:rPr>
        <w:t> </w:t>
      </w:r>
      <w:r>
        <w:rPr>
          <w:sz w:val="20"/>
        </w:rPr>
        <w:t>mención,</w:t>
      </w:r>
      <w:r>
        <w:rPr>
          <w:spacing w:val="-19"/>
          <w:sz w:val="20"/>
        </w:rPr>
        <w:t> </w:t>
      </w:r>
      <w:r>
        <w:rPr>
          <w:sz w:val="20"/>
        </w:rPr>
        <w:t>de</w:t>
      </w:r>
      <w:r>
        <w:rPr>
          <w:spacing w:val="-17"/>
          <w:sz w:val="20"/>
        </w:rPr>
        <w:t> </w:t>
      </w:r>
      <w:r>
        <w:rPr>
          <w:sz w:val="20"/>
        </w:rPr>
        <w:t>forma</w:t>
      </w:r>
      <w:r>
        <w:rPr>
          <w:spacing w:val="-16"/>
          <w:sz w:val="20"/>
        </w:rPr>
        <w:t> </w:t>
      </w:r>
      <w:r>
        <w:rPr>
          <w:sz w:val="20"/>
        </w:rPr>
        <w:t>complementaria,</w:t>
      </w:r>
      <w:r>
        <w:rPr>
          <w:spacing w:val="-16"/>
          <w:sz w:val="20"/>
        </w:rPr>
        <w:t> </w:t>
      </w:r>
      <w:r>
        <w:rPr>
          <w:sz w:val="20"/>
        </w:rPr>
        <w:t>al</w:t>
      </w:r>
      <w:r>
        <w:rPr>
          <w:spacing w:val="-18"/>
          <w:sz w:val="20"/>
        </w:rPr>
        <w:t> </w:t>
      </w:r>
      <w:r>
        <w:rPr>
          <w:sz w:val="20"/>
        </w:rPr>
        <w:t>derecho</w:t>
      </w:r>
      <w:r>
        <w:rPr>
          <w:spacing w:val="-17"/>
          <w:sz w:val="20"/>
        </w:rPr>
        <w:t> </w:t>
      </w:r>
      <w:r>
        <w:rPr>
          <w:sz w:val="20"/>
        </w:rPr>
        <w:t>constitucional pertinente en el caso. Argentina, en su Constitución Nacional incluye el derecho a un ambiente sano y, por dotar de “jerarquía constitucional” a instrumentos de derechos humanos, también a los derechos a la alimentación y a la salud, entre otros, los cuales están vinculados estrechamente con el derecho al agua. La Constitución de Salta, por su parte, expresa en su artículo 83 que “[e]l uso de las aguas del dominio público destinadas a las necesidades de consumo de la población es un derecho de ésta”. Además, como ya se ha indicado, recepta los derechos al ambiente sano y a la salud, y tiene normas específicas sobre alimentación. (</w:t>
      </w:r>
      <w:r>
        <w:rPr>
          <w:i/>
          <w:sz w:val="20"/>
        </w:rPr>
        <w:t>supra </w:t>
      </w:r>
      <w:r>
        <w:rPr>
          <w:sz w:val="20"/>
        </w:rPr>
        <w:t>párrs. 204 y</w:t>
      </w:r>
      <w:r>
        <w:rPr>
          <w:spacing w:val="-22"/>
          <w:sz w:val="20"/>
        </w:rPr>
        <w:t> </w:t>
      </w:r>
      <w:r>
        <w:rPr>
          <w:sz w:val="20"/>
        </w:rPr>
        <w:t>214).</w:t>
      </w:r>
    </w:p>
    <w:p>
      <w:pPr>
        <w:pStyle w:val="BodyText"/>
        <w:spacing w:before="10"/>
        <w:rPr>
          <w:sz w:val="19"/>
        </w:rPr>
      </w:pPr>
    </w:p>
    <w:p>
      <w:pPr>
        <w:pStyle w:val="ListParagraph"/>
        <w:numPr>
          <w:ilvl w:val="0"/>
          <w:numId w:val="31"/>
        </w:numPr>
        <w:tabs>
          <w:tab w:pos="830" w:val="left" w:leader="none"/>
        </w:tabs>
        <w:spacing w:line="240" w:lineRule="auto" w:before="0" w:after="0"/>
        <w:ind w:left="122" w:right="132" w:firstLine="0"/>
        <w:jc w:val="both"/>
        <w:rPr>
          <w:sz w:val="20"/>
        </w:rPr>
      </w:pPr>
      <w:r>
        <w:rPr>
          <w:sz w:val="20"/>
        </w:rPr>
        <w:t>Habiendo</w:t>
      </w:r>
      <w:r>
        <w:rPr>
          <w:spacing w:val="-5"/>
          <w:sz w:val="20"/>
        </w:rPr>
        <w:t> </w:t>
      </w:r>
      <w:r>
        <w:rPr>
          <w:sz w:val="20"/>
        </w:rPr>
        <w:t>dado</w:t>
      </w:r>
      <w:r>
        <w:rPr>
          <w:spacing w:val="-5"/>
          <w:sz w:val="20"/>
        </w:rPr>
        <w:t> </w:t>
      </w:r>
      <w:r>
        <w:rPr>
          <w:sz w:val="20"/>
        </w:rPr>
        <w:t>cuenta</w:t>
      </w:r>
      <w:r>
        <w:rPr>
          <w:spacing w:val="-6"/>
          <w:sz w:val="20"/>
        </w:rPr>
        <w:t> </w:t>
      </w:r>
      <w:r>
        <w:rPr>
          <w:sz w:val="20"/>
        </w:rPr>
        <w:t>de</w:t>
      </w:r>
      <w:r>
        <w:rPr>
          <w:spacing w:val="-8"/>
          <w:sz w:val="20"/>
        </w:rPr>
        <w:t> </w:t>
      </w:r>
      <w:r>
        <w:rPr>
          <w:sz w:val="20"/>
        </w:rPr>
        <w:t>disposiciones</w:t>
      </w:r>
      <w:r>
        <w:rPr>
          <w:spacing w:val="-7"/>
          <w:sz w:val="20"/>
        </w:rPr>
        <w:t> </w:t>
      </w:r>
      <w:r>
        <w:rPr>
          <w:sz w:val="20"/>
        </w:rPr>
        <w:t>normativas</w:t>
      </w:r>
      <w:r>
        <w:rPr>
          <w:spacing w:val="-7"/>
          <w:sz w:val="20"/>
        </w:rPr>
        <w:t> </w:t>
      </w:r>
      <w:r>
        <w:rPr>
          <w:sz w:val="20"/>
        </w:rPr>
        <w:t>que</w:t>
      </w:r>
      <w:r>
        <w:rPr>
          <w:spacing w:val="-6"/>
          <w:sz w:val="20"/>
        </w:rPr>
        <w:t> </w:t>
      </w:r>
      <w:r>
        <w:rPr>
          <w:sz w:val="20"/>
        </w:rPr>
        <w:t>dan</w:t>
      </w:r>
      <w:r>
        <w:rPr>
          <w:spacing w:val="-5"/>
          <w:sz w:val="20"/>
        </w:rPr>
        <w:t> </w:t>
      </w:r>
      <w:r>
        <w:rPr>
          <w:sz w:val="20"/>
        </w:rPr>
        <w:t>sustento</w:t>
      </w:r>
      <w:r>
        <w:rPr>
          <w:spacing w:val="-8"/>
          <w:sz w:val="20"/>
        </w:rPr>
        <w:t> </w:t>
      </w:r>
      <w:r>
        <w:rPr>
          <w:sz w:val="20"/>
        </w:rPr>
        <w:t>al</w:t>
      </w:r>
      <w:r>
        <w:rPr>
          <w:spacing w:val="-4"/>
          <w:sz w:val="20"/>
        </w:rPr>
        <w:t> </w:t>
      </w:r>
      <w:r>
        <w:rPr>
          <w:sz w:val="20"/>
        </w:rPr>
        <w:t>derecho, es relevante señalar su contenido. El Comité DESC ha expresado</w:t>
      </w:r>
      <w:r>
        <w:rPr>
          <w:spacing w:val="-25"/>
          <w:sz w:val="20"/>
        </w:rPr>
        <w:t> </w:t>
      </w:r>
      <w:r>
        <w:rPr>
          <w:sz w:val="20"/>
        </w:rPr>
        <w:t>que:</w:t>
      </w:r>
    </w:p>
    <w:p>
      <w:pPr>
        <w:pStyle w:val="BodyText"/>
        <w:spacing w:before="12"/>
        <w:rPr>
          <w:sz w:val="19"/>
        </w:rPr>
      </w:pPr>
    </w:p>
    <w:p>
      <w:pPr>
        <w:spacing w:before="0"/>
        <w:ind w:left="405" w:right="447" w:firstLine="0"/>
        <w:jc w:val="both"/>
        <w:rPr>
          <w:sz w:val="16"/>
        </w:rPr>
      </w:pPr>
      <w:r>
        <w:rPr>
          <w:sz w:val="16"/>
        </w:rPr>
        <w:t>[e]l</w:t>
      </w:r>
      <w:r>
        <w:rPr>
          <w:spacing w:val="-6"/>
          <w:sz w:val="16"/>
        </w:rPr>
        <w:t> </w:t>
      </w:r>
      <w:r>
        <w:rPr>
          <w:sz w:val="16"/>
        </w:rPr>
        <w:t>derecho</w:t>
      </w:r>
      <w:r>
        <w:rPr>
          <w:spacing w:val="-4"/>
          <w:sz w:val="16"/>
        </w:rPr>
        <w:t> </w:t>
      </w:r>
      <w:r>
        <w:rPr>
          <w:sz w:val="16"/>
        </w:rPr>
        <w:t>humano</w:t>
      </w:r>
      <w:r>
        <w:rPr>
          <w:spacing w:val="-4"/>
          <w:sz w:val="16"/>
        </w:rPr>
        <w:t> </w:t>
      </w:r>
      <w:r>
        <w:rPr>
          <w:sz w:val="16"/>
        </w:rPr>
        <w:t>al</w:t>
      </w:r>
      <w:r>
        <w:rPr>
          <w:spacing w:val="-6"/>
          <w:sz w:val="16"/>
        </w:rPr>
        <w:t> </w:t>
      </w:r>
      <w:r>
        <w:rPr>
          <w:sz w:val="16"/>
        </w:rPr>
        <w:t>agua</w:t>
      </w:r>
      <w:r>
        <w:rPr>
          <w:spacing w:val="-8"/>
          <w:sz w:val="16"/>
        </w:rPr>
        <w:t> </w:t>
      </w:r>
      <w:r>
        <w:rPr>
          <w:sz w:val="16"/>
        </w:rPr>
        <w:t>es</w:t>
      </w:r>
      <w:r>
        <w:rPr>
          <w:spacing w:val="-5"/>
          <w:sz w:val="16"/>
        </w:rPr>
        <w:t> </w:t>
      </w:r>
      <w:r>
        <w:rPr>
          <w:sz w:val="16"/>
        </w:rPr>
        <w:t>el</w:t>
      </w:r>
      <w:r>
        <w:rPr>
          <w:spacing w:val="-6"/>
          <w:sz w:val="16"/>
        </w:rPr>
        <w:t> </w:t>
      </w:r>
      <w:r>
        <w:rPr>
          <w:sz w:val="16"/>
        </w:rPr>
        <w:t>derecho</w:t>
      </w:r>
      <w:r>
        <w:rPr>
          <w:spacing w:val="-4"/>
          <w:sz w:val="16"/>
        </w:rPr>
        <w:t> </w:t>
      </w:r>
      <w:r>
        <w:rPr>
          <w:sz w:val="16"/>
        </w:rPr>
        <w:t>de</w:t>
      </w:r>
      <w:r>
        <w:rPr>
          <w:spacing w:val="-5"/>
          <w:sz w:val="16"/>
        </w:rPr>
        <w:t> </w:t>
      </w:r>
      <w:r>
        <w:rPr>
          <w:sz w:val="16"/>
        </w:rPr>
        <w:t>todos</w:t>
      </w:r>
      <w:r>
        <w:rPr>
          <w:spacing w:val="-5"/>
          <w:sz w:val="16"/>
        </w:rPr>
        <w:t> </w:t>
      </w:r>
      <w:r>
        <w:rPr>
          <w:sz w:val="16"/>
        </w:rPr>
        <w:t>a</w:t>
      </w:r>
      <w:r>
        <w:rPr>
          <w:spacing w:val="-8"/>
          <w:sz w:val="16"/>
        </w:rPr>
        <w:t> </w:t>
      </w:r>
      <w:r>
        <w:rPr>
          <w:sz w:val="16"/>
        </w:rPr>
        <w:t>disponer</w:t>
      </w:r>
      <w:r>
        <w:rPr>
          <w:spacing w:val="-4"/>
          <w:sz w:val="16"/>
        </w:rPr>
        <w:t> </w:t>
      </w:r>
      <w:r>
        <w:rPr>
          <w:sz w:val="16"/>
        </w:rPr>
        <w:t>de</w:t>
      </w:r>
      <w:r>
        <w:rPr>
          <w:spacing w:val="-7"/>
          <w:sz w:val="16"/>
        </w:rPr>
        <w:t> </w:t>
      </w:r>
      <w:r>
        <w:rPr>
          <w:sz w:val="16"/>
        </w:rPr>
        <w:t>agua</w:t>
      </w:r>
      <w:r>
        <w:rPr>
          <w:spacing w:val="-6"/>
          <w:sz w:val="16"/>
        </w:rPr>
        <w:t> </w:t>
      </w:r>
      <w:r>
        <w:rPr>
          <w:sz w:val="16"/>
        </w:rPr>
        <w:t>suficiente,</w:t>
      </w:r>
      <w:r>
        <w:rPr>
          <w:spacing w:val="-6"/>
          <w:sz w:val="16"/>
        </w:rPr>
        <w:t> </w:t>
      </w:r>
      <w:r>
        <w:rPr>
          <w:sz w:val="16"/>
        </w:rPr>
        <w:t>salubre,</w:t>
      </w:r>
      <w:r>
        <w:rPr>
          <w:spacing w:val="-1"/>
          <w:sz w:val="16"/>
        </w:rPr>
        <w:t> </w:t>
      </w:r>
      <w:r>
        <w:rPr>
          <w:sz w:val="16"/>
        </w:rPr>
        <w:t>aceptable, accesible y asequible para el uso personal y doméstico. Un abastecimiento adecuado de agua salubre es necesario para evitar la muerte por deshidratación, para reducir el riesgo de las enfermedades relacionadas con el agua y para satisfacer las necesidades de consumo y cocina y las necesidades de higiene personal y</w:t>
      </w:r>
      <w:r>
        <w:rPr>
          <w:spacing w:val="-6"/>
          <w:sz w:val="16"/>
        </w:rPr>
        <w:t> </w:t>
      </w:r>
      <w:r>
        <w:rPr>
          <w:sz w:val="16"/>
        </w:rPr>
        <w:t>doméstica</w:t>
      </w:r>
      <w:r>
        <w:rPr>
          <w:position w:val="6"/>
          <w:sz w:val="10"/>
        </w:rPr>
        <w:t>223</w:t>
      </w:r>
      <w:r>
        <w:rPr>
          <w:sz w:val="16"/>
        </w:rPr>
        <w:t>.</w:t>
      </w:r>
    </w:p>
    <w:p>
      <w:pPr>
        <w:pStyle w:val="BodyText"/>
        <w:spacing w:before="11"/>
        <w:rPr>
          <w:sz w:val="19"/>
        </w:rPr>
      </w:pPr>
    </w:p>
    <w:p>
      <w:pPr>
        <w:pStyle w:val="BodyText"/>
        <w:spacing w:before="1"/>
        <w:ind w:left="122" w:right="124"/>
        <w:jc w:val="both"/>
      </w:pPr>
      <w:r>
        <w:rPr/>
        <w:t>En el mismo sentido la Corte, siguiendo lineamientos del Comité DESC, ha expresado que “el acceso al agua […] comprende ‘el consumo, el saneamiento, la colada, la preparación de alimentos y la higiene personal y doméstica’, así como para algunos individuos y grupos también […] ‘recursos de agua adicionales en razón de la salud, el clima y las condiciones de trabajo’”</w:t>
      </w:r>
      <w:r>
        <w:rPr>
          <w:position w:val="7"/>
          <w:sz w:val="13"/>
        </w:rPr>
        <w:t>224</w:t>
      </w:r>
      <w:r>
        <w:rPr/>
        <w:t>.</w:t>
      </w:r>
    </w:p>
    <w:p>
      <w:pPr>
        <w:pStyle w:val="BodyText"/>
        <w:spacing w:before="1"/>
      </w:pPr>
    </w:p>
    <w:p>
      <w:pPr>
        <w:pStyle w:val="ListParagraph"/>
        <w:numPr>
          <w:ilvl w:val="0"/>
          <w:numId w:val="31"/>
        </w:numPr>
        <w:tabs>
          <w:tab w:pos="830" w:val="left" w:leader="none"/>
        </w:tabs>
        <w:spacing w:line="240" w:lineRule="auto" w:before="0" w:after="0"/>
        <w:ind w:left="122" w:right="124" w:firstLine="0"/>
        <w:jc w:val="both"/>
        <w:rPr>
          <w:sz w:val="20"/>
        </w:rPr>
      </w:pPr>
      <w:r>
        <w:rPr>
          <w:sz w:val="20"/>
        </w:rPr>
        <w:t>El Comité DESC ha indicado que “[e]l derecho al agua entraña tanto libertades como derechos”. Las primeras implican poder “mantener el acceso a un suministro de agua” y “no ser objeto de injerencias”, entre las que puede encontrarse la “contaminación de los recursos hídricos”. Los derechos, por su parte, se vinculan a “un sistema de abastecimiento y gestión del agua que ofrezca a la población iguales oportunidades de disfrutar del derecho”. Destacó también que “[e]l agua debe tratarse como un bien social y cultural, y no fundamentalmente como un bien económico”</w:t>
      </w:r>
      <w:r>
        <w:rPr>
          <w:position w:val="7"/>
          <w:sz w:val="13"/>
        </w:rPr>
        <w:t>225</w:t>
      </w:r>
      <w:r>
        <w:rPr>
          <w:sz w:val="20"/>
        </w:rPr>
        <w:t>, y que “los siguientes factores se aplican en cualquier</w:t>
      </w:r>
      <w:r>
        <w:rPr>
          <w:spacing w:val="-24"/>
          <w:sz w:val="20"/>
        </w:rPr>
        <w:t> </w:t>
      </w:r>
      <w:r>
        <w:rPr>
          <w:sz w:val="20"/>
        </w:rPr>
        <w:t>circunstancia:</w:t>
      </w:r>
    </w:p>
    <w:p>
      <w:pPr>
        <w:pStyle w:val="BodyText"/>
      </w:pPr>
    </w:p>
    <w:p>
      <w:pPr>
        <w:pStyle w:val="BodyText"/>
      </w:pPr>
    </w:p>
    <w:p>
      <w:pPr>
        <w:pStyle w:val="BodyText"/>
        <w:spacing w:before="4"/>
        <w:rPr>
          <w:sz w:val="13"/>
        </w:rPr>
      </w:pPr>
      <w:r>
        <w:rPr/>
        <w:pict>
          <v:line style="position:absolute;mso-position-horizontal-relative:page;mso-position-vertical-relative:paragraph;z-index:2800;mso-wrap-distance-left:0;mso-wrap-distance-right:0" from="85.103996pt,10.425859pt" to="229.123996pt,10.425859pt" stroked="true" strokeweight=".71997pt" strokecolor="#000000">
            <v:stroke dashstyle="solid"/>
            <w10:wrap type="topAndBottom"/>
          </v:line>
        </w:pict>
      </w:r>
    </w:p>
    <w:p>
      <w:pPr>
        <w:tabs>
          <w:tab w:pos="829" w:val="left" w:leader="none"/>
        </w:tabs>
        <w:spacing w:before="71"/>
        <w:ind w:left="122" w:right="0" w:firstLine="0"/>
        <w:jc w:val="both"/>
        <w:rPr>
          <w:sz w:val="16"/>
        </w:rPr>
      </w:pPr>
      <w:r>
        <w:rPr>
          <w:position w:val="6"/>
          <w:sz w:val="10"/>
        </w:rPr>
        <w:t>222</w:t>
        <w:tab/>
      </w:r>
      <w:r>
        <w:rPr>
          <w:sz w:val="16"/>
        </w:rPr>
        <w:t>Ratificada por Argentina el 23 de octubre de</w:t>
      </w:r>
      <w:r>
        <w:rPr>
          <w:spacing w:val="-17"/>
          <w:sz w:val="16"/>
        </w:rPr>
        <w:t> </w:t>
      </w:r>
      <w:r>
        <w:rPr>
          <w:sz w:val="16"/>
        </w:rPr>
        <w:t>2017.</w:t>
      </w:r>
    </w:p>
    <w:p>
      <w:pPr>
        <w:pStyle w:val="BodyText"/>
        <w:rPr>
          <w:sz w:val="16"/>
        </w:rPr>
      </w:pPr>
    </w:p>
    <w:p>
      <w:pPr>
        <w:tabs>
          <w:tab w:pos="829" w:val="left" w:leader="none"/>
        </w:tabs>
        <w:spacing w:before="0"/>
        <w:ind w:left="122" w:right="120" w:firstLine="0"/>
        <w:jc w:val="both"/>
        <w:rPr>
          <w:sz w:val="16"/>
        </w:rPr>
      </w:pPr>
      <w:r>
        <w:rPr>
          <w:position w:val="6"/>
          <w:sz w:val="10"/>
        </w:rPr>
        <w:t>223</w:t>
        <w:tab/>
      </w:r>
      <w:r>
        <w:rPr>
          <w:sz w:val="16"/>
        </w:rPr>
        <w:t>Comité DESC. </w:t>
      </w:r>
      <w:r>
        <w:rPr>
          <w:i/>
          <w:sz w:val="16"/>
        </w:rPr>
        <w:t>Observación General 15. El derecho al agua (artículos 11 y 12 del</w:t>
      </w:r>
      <w:r>
        <w:rPr>
          <w:i/>
          <w:spacing w:val="2"/>
          <w:sz w:val="16"/>
        </w:rPr>
        <w:t> </w:t>
      </w:r>
      <w:r>
        <w:rPr>
          <w:i/>
          <w:sz w:val="16"/>
        </w:rPr>
        <w:t>Pacto</w:t>
      </w:r>
      <w:r>
        <w:rPr>
          <w:i/>
          <w:spacing w:val="-1"/>
          <w:sz w:val="16"/>
        </w:rPr>
        <w:t> </w:t>
      </w:r>
      <w:r>
        <w:rPr>
          <w:i/>
          <w:sz w:val="16"/>
        </w:rPr>
        <w:t>Internacional</w:t>
      </w:r>
      <w:r>
        <w:rPr>
          <w:i/>
          <w:w w:val="100"/>
          <w:sz w:val="16"/>
        </w:rPr>
        <w:t> </w:t>
      </w:r>
      <w:r>
        <w:rPr>
          <w:i/>
          <w:sz w:val="16"/>
        </w:rPr>
        <w:t>de Derechos Económicos, Sociales y Culturales)</w:t>
      </w:r>
      <w:r>
        <w:rPr>
          <w:sz w:val="16"/>
        </w:rPr>
        <w:t>, párr.</w:t>
      </w:r>
      <w:r>
        <w:rPr>
          <w:spacing w:val="-18"/>
          <w:sz w:val="16"/>
        </w:rPr>
        <w:t> </w:t>
      </w:r>
      <w:r>
        <w:rPr>
          <w:sz w:val="16"/>
        </w:rPr>
        <w:t>2.</w:t>
      </w:r>
    </w:p>
    <w:p>
      <w:pPr>
        <w:pStyle w:val="BodyText"/>
        <w:spacing w:before="12"/>
        <w:rPr>
          <w:sz w:val="15"/>
        </w:rPr>
      </w:pPr>
    </w:p>
    <w:p>
      <w:pPr>
        <w:tabs>
          <w:tab w:pos="829" w:val="left" w:leader="none"/>
        </w:tabs>
        <w:spacing w:before="0"/>
        <w:ind w:left="122" w:right="114" w:firstLine="0"/>
        <w:jc w:val="both"/>
        <w:rPr>
          <w:sz w:val="16"/>
        </w:rPr>
      </w:pPr>
      <w:r>
        <w:rPr>
          <w:position w:val="6"/>
          <w:sz w:val="10"/>
        </w:rPr>
        <w:t>224</w:t>
        <w:tab/>
      </w:r>
      <w:r>
        <w:rPr>
          <w:i/>
          <w:sz w:val="16"/>
        </w:rPr>
        <w:t>Medio</w:t>
      </w:r>
      <w:r>
        <w:rPr>
          <w:i/>
          <w:spacing w:val="-4"/>
          <w:sz w:val="16"/>
        </w:rPr>
        <w:t> </w:t>
      </w:r>
      <w:r>
        <w:rPr>
          <w:i/>
          <w:sz w:val="16"/>
        </w:rPr>
        <w:t>ambiente</w:t>
      </w:r>
      <w:r>
        <w:rPr>
          <w:i/>
          <w:spacing w:val="-7"/>
          <w:sz w:val="16"/>
        </w:rPr>
        <w:t> </w:t>
      </w:r>
      <w:r>
        <w:rPr>
          <w:i/>
          <w:sz w:val="16"/>
        </w:rPr>
        <w:t>y</w:t>
      </w:r>
      <w:r>
        <w:rPr>
          <w:i/>
          <w:spacing w:val="-6"/>
          <w:sz w:val="16"/>
        </w:rPr>
        <w:t> </w:t>
      </w:r>
      <w:r>
        <w:rPr>
          <w:i/>
          <w:sz w:val="16"/>
        </w:rPr>
        <w:t>derechos</w:t>
      </w:r>
      <w:r>
        <w:rPr>
          <w:i/>
          <w:spacing w:val="-4"/>
          <w:sz w:val="16"/>
        </w:rPr>
        <w:t> </w:t>
      </w:r>
      <w:r>
        <w:rPr>
          <w:i/>
          <w:sz w:val="16"/>
        </w:rPr>
        <w:t>humanos</w:t>
      </w:r>
      <w:r>
        <w:rPr>
          <w:i/>
          <w:spacing w:val="-4"/>
          <w:sz w:val="16"/>
        </w:rPr>
        <w:t> </w:t>
      </w:r>
      <w:r>
        <w:rPr>
          <w:i/>
          <w:sz w:val="16"/>
        </w:rPr>
        <w:t>(obligaciones</w:t>
      </w:r>
      <w:r>
        <w:rPr>
          <w:i/>
          <w:spacing w:val="-4"/>
          <w:sz w:val="16"/>
        </w:rPr>
        <w:t> </w:t>
      </w:r>
      <w:r>
        <w:rPr>
          <w:i/>
          <w:sz w:val="16"/>
        </w:rPr>
        <w:t>estatales</w:t>
      </w:r>
      <w:r>
        <w:rPr>
          <w:i/>
          <w:spacing w:val="-4"/>
          <w:sz w:val="16"/>
        </w:rPr>
        <w:t> </w:t>
      </w:r>
      <w:r>
        <w:rPr>
          <w:i/>
          <w:sz w:val="16"/>
        </w:rPr>
        <w:t>en</w:t>
      </w:r>
      <w:r>
        <w:rPr>
          <w:i/>
          <w:spacing w:val="-8"/>
          <w:sz w:val="16"/>
        </w:rPr>
        <w:t> </w:t>
      </w:r>
      <w:r>
        <w:rPr>
          <w:i/>
          <w:sz w:val="16"/>
        </w:rPr>
        <w:t>relación</w:t>
      </w:r>
      <w:r>
        <w:rPr>
          <w:i/>
          <w:spacing w:val="-6"/>
          <w:sz w:val="16"/>
        </w:rPr>
        <w:t> </w:t>
      </w:r>
      <w:r>
        <w:rPr>
          <w:i/>
          <w:sz w:val="16"/>
        </w:rPr>
        <w:t>con</w:t>
      </w:r>
      <w:r>
        <w:rPr>
          <w:i/>
          <w:spacing w:val="-6"/>
          <w:sz w:val="16"/>
        </w:rPr>
        <w:t> </w:t>
      </w:r>
      <w:r>
        <w:rPr>
          <w:i/>
          <w:sz w:val="16"/>
        </w:rPr>
        <w:t>el</w:t>
      </w:r>
      <w:r>
        <w:rPr>
          <w:i/>
          <w:spacing w:val="-8"/>
          <w:sz w:val="16"/>
        </w:rPr>
        <w:t> </w:t>
      </w:r>
      <w:r>
        <w:rPr>
          <w:i/>
          <w:sz w:val="16"/>
        </w:rPr>
        <w:t>medio</w:t>
      </w:r>
      <w:r>
        <w:rPr>
          <w:i/>
          <w:spacing w:val="-4"/>
          <w:sz w:val="16"/>
        </w:rPr>
        <w:t> </w:t>
      </w:r>
      <w:r>
        <w:rPr>
          <w:i/>
          <w:sz w:val="16"/>
        </w:rPr>
        <w:t>ambiente</w:t>
      </w:r>
      <w:r>
        <w:rPr>
          <w:i/>
          <w:spacing w:val="-4"/>
          <w:sz w:val="16"/>
        </w:rPr>
        <w:t> </w:t>
      </w:r>
      <w:r>
        <w:rPr>
          <w:i/>
          <w:sz w:val="16"/>
        </w:rPr>
        <w:t>en</w:t>
      </w:r>
      <w:r>
        <w:rPr>
          <w:i/>
          <w:spacing w:val="-8"/>
          <w:sz w:val="16"/>
        </w:rPr>
        <w:t> </w:t>
      </w:r>
      <w:r>
        <w:rPr>
          <w:i/>
          <w:sz w:val="16"/>
        </w:rPr>
        <w:t>el</w:t>
      </w:r>
      <w:r>
        <w:rPr>
          <w:i/>
          <w:w w:val="100"/>
          <w:sz w:val="16"/>
        </w:rPr>
        <w:t> </w:t>
      </w:r>
      <w:r>
        <w:rPr>
          <w:i/>
          <w:sz w:val="16"/>
        </w:rPr>
        <w:t>marco</w:t>
      </w:r>
      <w:r>
        <w:rPr>
          <w:i/>
          <w:spacing w:val="-9"/>
          <w:sz w:val="16"/>
        </w:rPr>
        <w:t> </w:t>
      </w:r>
      <w:r>
        <w:rPr>
          <w:i/>
          <w:sz w:val="16"/>
        </w:rPr>
        <w:t>de</w:t>
      </w:r>
      <w:r>
        <w:rPr>
          <w:i/>
          <w:spacing w:val="-7"/>
          <w:sz w:val="16"/>
        </w:rPr>
        <w:t> </w:t>
      </w:r>
      <w:r>
        <w:rPr>
          <w:i/>
          <w:sz w:val="16"/>
        </w:rPr>
        <w:t>la</w:t>
      </w:r>
      <w:r>
        <w:rPr>
          <w:i/>
          <w:spacing w:val="-10"/>
          <w:sz w:val="16"/>
        </w:rPr>
        <w:t> </w:t>
      </w:r>
      <w:r>
        <w:rPr>
          <w:i/>
          <w:sz w:val="16"/>
        </w:rPr>
        <w:t>protección</w:t>
      </w:r>
      <w:r>
        <w:rPr>
          <w:i/>
          <w:spacing w:val="-8"/>
          <w:sz w:val="16"/>
        </w:rPr>
        <w:t> </w:t>
      </w:r>
      <w:r>
        <w:rPr>
          <w:i/>
          <w:sz w:val="16"/>
        </w:rPr>
        <w:t>y</w:t>
      </w:r>
      <w:r>
        <w:rPr>
          <w:i/>
          <w:spacing w:val="-9"/>
          <w:sz w:val="16"/>
        </w:rPr>
        <w:t> </w:t>
      </w:r>
      <w:r>
        <w:rPr>
          <w:i/>
          <w:sz w:val="16"/>
        </w:rPr>
        <w:t>garantía</w:t>
      </w:r>
      <w:r>
        <w:rPr>
          <w:i/>
          <w:spacing w:val="-8"/>
          <w:sz w:val="16"/>
        </w:rPr>
        <w:t> </w:t>
      </w:r>
      <w:r>
        <w:rPr>
          <w:i/>
          <w:sz w:val="16"/>
        </w:rPr>
        <w:t>de</w:t>
      </w:r>
      <w:r>
        <w:rPr>
          <w:i/>
          <w:spacing w:val="-7"/>
          <w:sz w:val="16"/>
        </w:rPr>
        <w:t> </w:t>
      </w:r>
      <w:r>
        <w:rPr>
          <w:i/>
          <w:sz w:val="16"/>
        </w:rPr>
        <w:t>los</w:t>
      </w:r>
      <w:r>
        <w:rPr>
          <w:i/>
          <w:spacing w:val="-10"/>
          <w:sz w:val="16"/>
        </w:rPr>
        <w:t> </w:t>
      </w:r>
      <w:r>
        <w:rPr>
          <w:i/>
          <w:sz w:val="16"/>
        </w:rPr>
        <w:t>derechos</w:t>
      </w:r>
      <w:r>
        <w:rPr>
          <w:i/>
          <w:spacing w:val="-10"/>
          <w:sz w:val="16"/>
        </w:rPr>
        <w:t> </w:t>
      </w:r>
      <w:r>
        <w:rPr>
          <w:i/>
          <w:sz w:val="16"/>
        </w:rPr>
        <w:t>a</w:t>
      </w:r>
      <w:r>
        <w:rPr>
          <w:i/>
          <w:spacing w:val="-8"/>
          <w:sz w:val="16"/>
        </w:rPr>
        <w:t> </w:t>
      </w:r>
      <w:r>
        <w:rPr>
          <w:i/>
          <w:sz w:val="16"/>
        </w:rPr>
        <w:t>la</w:t>
      </w:r>
      <w:r>
        <w:rPr>
          <w:i/>
          <w:spacing w:val="-10"/>
          <w:sz w:val="16"/>
        </w:rPr>
        <w:t> </w:t>
      </w:r>
      <w:r>
        <w:rPr>
          <w:i/>
          <w:sz w:val="16"/>
        </w:rPr>
        <w:t>vida</w:t>
      </w:r>
      <w:r>
        <w:rPr>
          <w:i/>
          <w:spacing w:val="-13"/>
          <w:sz w:val="16"/>
        </w:rPr>
        <w:t> </w:t>
      </w:r>
      <w:r>
        <w:rPr>
          <w:i/>
          <w:sz w:val="16"/>
        </w:rPr>
        <w:t>y</w:t>
      </w:r>
      <w:r>
        <w:rPr>
          <w:i/>
          <w:spacing w:val="-7"/>
          <w:sz w:val="16"/>
        </w:rPr>
        <w:t> </w:t>
      </w:r>
      <w:r>
        <w:rPr>
          <w:i/>
          <w:sz w:val="16"/>
        </w:rPr>
        <w:t>a</w:t>
      </w:r>
      <w:r>
        <w:rPr>
          <w:i/>
          <w:spacing w:val="-10"/>
          <w:sz w:val="16"/>
        </w:rPr>
        <w:t> </w:t>
      </w:r>
      <w:r>
        <w:rPr>
          <w:i/>
          <w:sz w:val="16"/>
        </w:rPr>
        <w:t>la</w:t>
      </w:r>
      <w:r>
        <w:rPr>
          <w:i/>
          <w:spacing w:val="-8"/>
          <w:sz w:val="16"/>
        </w:rPr>
        <w:t> </w:t>
      </w:r>
      <w:r>
        <w:rPr>
          <w:i/>
          <w:sz w:val="16"/>
        </w:rPr>
        <w:t>integridad</w:t>
      </w:r>
      <w:r>
        <w:rPr>
          <w:i/>
          <w:spacing w:val="-9"/>
          <w:sz w:val="16"/>
        </w:rPr>
        <w:t> </w:t>
      </w:r>
      <w:r>
        <w:rPr>
          <w:i/>
          <w:sz w:val="16"/>
        </w:rPr>
        <w:t>personal</w:t>
      </w:r>
      <w:r>
        <w:rPr>
          <w:i/>
          <w:spacing w:val="-4"/>
          <w:sz w:val="16"/>
        </w:rPr>
        <w:t> </w:t>
      </w:r>
      <w:r>
        <w:rPr>
          <w:i/>
          <w:sz w:val="16"/>
        </w:rPr>
        <w:t>-</w:t>
      </w:r>
      <w:r>
        <w:rPr>
          <w:i/>
          <w:spacing w:val="-11"/>
          <w:sz w:val="16"/>
        </w:rPr>
        <w:t> </w:t>
      </w:r>
      <w:r>
        <w:rPr>
          <w:i/>
          <w:sz w:val="16"/>
        </w:rPr>
        <w:t>interpretación</w:t>
      </w:r>
      <w:r>
        <w:rPr>
          <w:i/>
          <w:spacing w:val="-11"/>
          <w:sz w:val="16"/>
        </w:rPr>
        <w:t> </w:t>
      </w:r>
      <w:r>
        <w:rPr>
          <w:i/>
          <w:sz w:val="16"/>
        </w:rPr>
        <w:t>y</w:t>
      </w:r>
      <w:r>
        <w:rPr>
          <w:i/>
          <w:spacing w:val="-9"/>
          <w:sz w:val="16"/>
        </w:rPr>
        <w:t> </w:t>
      </w:r>
      <w:r>
        <w:rPr>
          <w:i/>
          <w:sz w:val="16"/>
        </w:rPr>
        <w:t>alcance de los artículos 4.1 y 5.1, en relación con los artículos 1.1 y 2 de la Convención Americana sobre Derechos Humanos).</w:t>
      </w:r>
      <w:r>
        <w:rPr>
          <w:i/>
          <w:spacing w:val="-5"/>
          <w:sz w:val="16"/>
        </w:rPr>
        <w:t> </w:t>
      </w:r>
      <w:r>
        <w:rPr>
          <w:i/>
          <w:sz w:val="16"/>
        </w:rPr>
        <w:t>Opinión</w:t>
      </w:r>
      <w:r>
        <w:rPr>
          <w:i/>
          <w:spacing w:val="-5"/>
          <w:sz w:val="16"/>
        </w:rPr>
        <w:t> </w:t>
      </w:r>
      <w:r>
        <w:rPr>
          <w:i/>
          <w:sz w:val="16"/>
        </w:rPr>
        <w:t>Consultiva</w:t>
      </w:r>
      <w:r>
        <w:rPr>
          <w:i/>
          <w:spacing w:val="-4"/>
          <w:sz w:val="16"/>
        </w:rPr>
        <w:t> </w:t>
      </w:r>
      <w:r>
        <w:rPr>
          <w:i/>
          <w:sz w:val="16"/>
        </w:rPr>
        <w:t>OC-23/17</w:t>
      </w:r>
      <w:r>
        <w:rPr>
          <w:sz w:val="16"/>
        </w:rPr>
        <w:t>,</w:t>
      </w:r>
      <w:r>
        <w:rPr>
          <w:spacing w:val="-7"/>
          <w:sz w:val="16"/>
        </w:rPr>
        <w:t> </w:t>
      </w:r>
      <w:r>
        <w:rPr>
          <w:sz w:val="16"/>
        </w:rPr>
        <w:t>párr.</w:t>
      </w:r>
      <w:r>
        <w:rPr>
          <w:spacing w:val="-7"/>
          <w:sz w:val="16"/>
        </w:rPr>
        <w:t> </w:t>
      </w:r>
      <w:r>
        <w:rPr>
          <w:sz w:val="16"/>
        </w:rPr>
        <w:t>111.</w:t>
      </w:r>
      <w:r>
        <w:rPr>
          <w:spacing w:val="-7"/>
          <w:sz w:val="16"/>
        </w:rPr>
        <w:t> </w:t>
      </w:r>
      <w:r>
        <w:rPr>
          <w:sz w:val="16"/>
        </w:rPr>
        <w:t>Véase</w:t>
      </w:r>
      <w:r>
        <w:rPr>
          <w:spacing w:val="-3"/>
          <w:sz w:val="16"/>
        </w:rPr>
        <w:t> </w:t>
      </w:r>
      <w:r>
        <w:rPr>
          <w:sz w:val="16"/>
        </w:rPr>
        <w:t>también</w:t>
      </w:r>
      <w:r>
        <w:rPr>
          <w:spacing w:val="-6"/>
          <w:sz w:val="16"/>
        </w:rPr>
        <w:t> </w:t>
      </w:r>
      <w:r>
        <w:rPr>
          <w:i/>
          <w:sz w:val="16"/>
        </w:rPr>
        <w:t>Caso</w:t>
      </w:r>
      <w:r>
        <w:rPr>
          <w:i/>
          <w:spacing w:val="-5"/>
          <w:sz w:val="16"/>
        </w:rPr>
        <w:t> </w:t>
      </w:r>
      <w:r>
        <w:rPr>
          <w:i/>
          <w:sz w:val="16"/>
        </w:rPr>
        <w:t>Comunidad</w:t>
      </w:r>
      <w:r>
        <w:rPr>
          <w:i/>
          <w:spacing w:val="-5"/>
          <w:sz w:val="16"/>
        </w:rPr>
        <w:t> </w:t>
      </w:r>
      <w:r>
        <w:rPr>
          <w:i/>
          <w:sz w:val="16"/>
        </w:rPr>
        <w:t>Indígena</w:t>
      </w:r>
      <w:r>
        <w:rPr>
          <w:i/>
          <w:spacing w:val="-7"/>
          <w:sz w:val="16"/>
        </w:rPr>
        <w:t> </w:t>
      </w:r>
      <w:r>
        <w:rPr>
          <w:i/>
          <w:sz w:val="16"/>
        </w:rPr>
        <w:t>Xákmok</w:t>
      </w:r>
      <w:r>
        <w:rPr>
          <w:i/>
          <w:spacing w:val="-6"/>
          <w:sz w:val="16"/>
        </w:rPr>
        <w:t> </w:t>
      </w:r>
      <w:r>
        <w:rPr>
          <w:i/>
          <w:sz w:val="16"/>
        </w:rPr>
        <w:t>Kásek </w:t>
      </w:r>
      <w:r>
        <w:rPr>
          <w:i/>
          <w:sz w:val="16"/>
        </w:rPr>
        <w:t>Vs. Paraguay</w:t>
      </w:r>
      <w:r>
        <w:rPr>
          <w:sz w:val="16"/>
        </w:rPr>
        <w:t>, párr.</w:t>
      </w:r>
      <w:r>
        <w:rPr>
          <w:spacing w:val="-8"/>
          <w:sz w:val="16"/>
        </w:rPr>
        <w:t> </w:t>
      </w:r>
      <w:r>
        <w:rPr>
          <w:sz w:val="16"/>
        </w:rPr>
        <w:t>195.</w:t>
      </w:r>
    </w:p>
    <w:p>
      <w:pPr>
        <w:pStyle w:val="BodyText"/>
        <w:spacing w:before="2"/>
        <w:rPr>
          <w:sz w:val="16"/>
        </w:rPr>
      </w:pPr>
    </w:p>
    <w:p>
      <w:pPr>
        <w:tabs>
          <w:tab w:pos="829" w:val="left" w:leader="none"/>
        </w:tabs>
        <w:spacing w:before="0"/>
        <w:ind w:left="122" w:right="0" w:firstLine="0"/>
        <w:jc w:val="both"/>
        <w:rPr>
          <w:sz w:val="16"/>
        </w:rPr>
      </w:pPr>
      <w:r>
        <w:rPr>
          <w:position w:val="6"/>
          <w:sz w:val="10"/>
        </w:rPr>
        <w:t>225</w:t>
        <w:tab/>
      </w:r>
      <w:r>
        <w:rPr>
          <w:sz w:val="16"/>
        </w:rPr>
        <w:t>Agregó</w:t>
      </w:r>
      <w:r>
        <w:rPr>
          <w:spacing w:val="-7"/>
          <w:sz w:val="16"/>
        </w:rPr>
        <w:t> </w:t>
      </w:r>
      <w:r>
        <w:rPr>
          <w:sz w:val="16"/>
        </w:rPr>
        <w:t>que</w:t>
      </w:r>
      <w:r>
        <w:rPr>
          <w:spacing w:val="-5"/>
          <w:sz w:val="16"/>
        </w:rPr>
        <w:t> </w:t>
      </w:r>
      <w:r>
        <w:rPr>
          <w:sz w:val="16"/>
        </w:rPr>
        <w:t>“debe</w:t>
      </w:r>
      <w:r>
        <w:rPr>
          <w:spacing w:val="-7"/>
          <w:sz w:val="16"/>
        </w:rPr>
        <w:t> </w:t>
      </w:r>
      <w:r>
        <w:rPr>
          <w:sz w:val="16"/>
        </w:rPr>
        <w:t>ser</w:t>
      </w:r>
      <w:r>
        <w:rPr>
          <w:spacing w:val="-6"/>
          <w:sz w:val="16"/>
        </w:rPr>
        <w:t> </w:t>
      </w:r>
      <w:r>
        <w:rPr>
          <w:sz w:val="16"/>
        </w:rPr>
        <w:t>sostenible”</w:t>
      </w:r>
      <w:r>
        <w:rPr>
          <w:spacing w:val="-5"/>
          <w:sz w:val="16"/>
        </w:rPr>
        <w:t> </w:t>
      </w:r>
      <w:r>
        <w:rPr>
          <w:sz w:val="16"/>
        </w:rPr>
        <w:t>el</w:t>
      </w:r>
      <w:r>
        <w:rPr>
          <w:spacing w:val="-8"/>
          <w:sz w:val="16"/>
        </w:rPr>
        <w:t> </w:t>
      </w:r>
      <w:r>
        <w:rPr>
          <w:sz w:val="16"/>
        </w:rPr>
        <w:t>“modo</w:t>
      </w:r>
      <w:r>
        <w:rPr>
          <w:spacing w:val="-7"/>
          <w:sz w:val="16"/>
        </w:rPr>
        <w:t> </w:t>
      </w:r>
      <w:r>
        <w:rPr>
          <w:sz w:val="16"/>
        </w:rPr>
        <w:t>en</w:t>
      </w:r>
      <w:r>
        <w:rPr>
          <w:spacing w:val="-8"/>
          <w:sz w:val="16"/>
        </w:rPr>
        <w:t> </w:t>
      </w:r>
      <w:r>
        <w:rPr>
          <w:sz w:val="16"/>
        </w:rPr>
        <w:t>que</w:t>
      </w:r>
      <w:r>
        <w:rPr>
          <w:spacing w:val="-5"/>
          <w:sz w:val="16"/>
        </w:rPr>
        <w:t> </w:t>
      </w:r>
      <w:r>
        <w:rPr>
          <w:sz w:val="16"/>
        </w:rPr>
        <w:t>se</w:t>
      </w:r>
      <w:r>
        <w:rPr>
          <w:spacing w:val="-5"/>
          <w:sz w:val="16"/>
        </w:rPr>
        <w:t> </w:t>
      </w:r>
      <w:r>
        <w:rPr>
          <w:sz w:val="16"/>
        </w:rPr>
        <w:t>ejerza</w:t>
      </w:r>
      <w:r>
        <w:rPr>
          <w:spacing w:val="-9"/>
          <w:sz w:val="16"/>
        </w:rPr>
        <w:t> </w:t>
      </w:r>
      <w:r>
        <w:rPr>
          <w:sz w:val="16"/>
        </w:rPr>
        <w:t>el</w:t>
      </w:r>
      <w:r>
        <w:rPr>
          <w:spacing w:val="-5"/>
          <w:sz w:val="16"/>
        </w:rPr>
        <w:t> </w:t>
      </w:r>
      <w:r>
        <w:rPr>
          <w:sz w:val="16"/>
        </w:rPr>
        <w:t>derecho</w:t>
      </w:r>
      <w:r>
        <w:rPr>
          <w:spacing w:val="-5"/>
          <w:sz w:val="16"/>
        </w:rPr>
        <w:t> </w:t>
      </w:r>
      <w:r>
        <w:rPr>
          <w:sz w:val="16"/>
        </w:rPr>
        <w:t>al</w:t>
      </w:r>
      <w:r>
        <w:rPr>
          <w:spacing w:val="-5"/>
          <w:sz w:val="16"/>
        </w:rPr>
        <w:t> </w:t>
      </w:r>
      <w:r>
        <w:rPr>
          <w:sz w:val="16"/>
        </w:rPr>
        <w:t>agua”,</w:t>
      </w:r>
      <w:r>
        <w:rPr>
          <w:spacing w:val="-6"/>
          <w:sz w:val="16"/>
        </w:rPr>
        <w:t> </w:t>
      </w:r>
      <w:r>
        <w:rPr>
          <w:sz w:val="16"/>
        </w:rPr>
        <w:t>para</w:t>
      </w:r>
      <w:r>
        <w:rPr>
          <w:spacing w:val="-8"/>
          <w:sz w:val="16"/>
        </w:rPr>
        <w:t> </w:t>
      </w:r>
      <w:r>
        <w:rPr>
          <w:sz w:val="16"/>
        </w:rPr>
        <w:t>que</w:t>
      </w:r>
      <w:r>
        <w:rPr>
          <w:spacing w:val="-7"/>
          <w:sz w:val="16"/>
        </w:rPr>
        <w:t> </w:t>
      </w:r>
      <w:r>
        <w:rPr>
          <w:sz w:val="16"/>
        </w:rPr>
        <w:t>pueda</w:t>
      </w:r>
      <w:r>
        <w:rPr>
          <w:spacing w:val="-3"/>
          <w:sz w:val="16"/>
        </w:rPr>
        <w:t> </w:t>
      </w:r>
      <w:r>
        <w:rPr>
          <w:sz w:val="16"/>
        </w:rPr>
        <w:t>“ser</w:t>
      </w:r>
    </w:p>
    <w:p>
      <w:pPr>
        <w:spacing w:before="0"/>
        <w:ind w:left="122" w:right="0" w:firstLine="0"/>
        <w:jc w:val="both"/>
        <w:rPr>
          <w:sz w:val="16"/>
        </w:rPr>
      </w:pPr>
      <w:r>
        <w:rPr>
          <w:sz w:val="16"/>
        </w:rPr>
        <w:t>ejercido por las generaciones actuales y futuras”.</w:t>
      </w:r>
    </w:p>
    <w:p>
      <w:pPr>
        <w:spacing w:after="0"/>
        <w:jc w:val="both"/>
        <w:rPr>
          <w:sz w:val="16"/>
        </w:rPr>
        <w:sectPr>
          <w:pgSz w:w="12240" w:h="15840"/>
          <w:pgMar w:header="0" w:footer="1000" w:top="1340" w:bottom="1200" w:left="1580" w:right="1580"/>
        </w:sectPr>
      </w:pPr>
    </w:p>
    <w:p>
      <w:pPr>
        <w:pStyle w:val="ListParagraph"/>
        <w:numPr>
          <w:ilvl w:val="1"/>
          <w:numId w:val="31"/>
        </w:numPr>
        <w:tabs>
          <w:tab w:pos="830" w:val="left" w:leader="none"/>
        </w:tabs>
        <w:spacing w:line="240" w:lineRule="auto" w:before="76" w:after="0"/>
        <w:ind w:left="263" w:right="0" w:firstLine="0"/>
        <w:jc w:val="both"/>
        <w:rPr>
          <w:sz w:val="20"/>
        </w:rPr>
      </w:pPr>
      <w:r>
        <w:rPr>
          <w:i/>
          <w:sz w:val="20"/>
        </w:rPr>
        <w:t>La disponibilidad. </w:t>
      </w:r>
      <w:r>
        <w:rPr>
          <w:sz w:val="20"/>
        </w:rPr>
        <w:t>El abastecimiento de agua de cada persona debe ser</w:t>
      </w:r>
      <w:r>
        <w:rPr>
          <w:spacing w:val="45"/>
          <w:sz w:val="20"/>
        </w:rPr>
        <w:t> </w:t>
      </w:r>
      <w:r>
        <w:rPr>
          <w:sz w:val="20"/>
        </w:rPr>
        <w:t>continuo</w:t>
      </w:r>
    </w:p>
    <w:p>
      <w:pPr>
        <w:pStyle w:val="BodyText"/>
        <w:spacing w:line="243" w:lineRule="exact" w:before="1"/>
        <w:ind w:left="263"/>
        <w:jc w:val="both"/>
      </w:pPr>
      <w:r>
        <w:rPr/>
        <w:t>y suficiente para los usos personales y domésticos […].</w:t>
      </w:r>
    </w:p>
    <w:p>
      <w:pPr>
        <w:pStyle w:val="ListParagraph"/>
        <w:numPr>
          <w:ilvl w:val="1"/>
          <w:numId w:val="31"/>
        </w:numPr>
        <w:tabs>
          <w:tab w:pos="830" w:val="left" w:leader="none"/>
        </w:tabs>
        <w:spacing w:line="242" w:lineRule="exact" w:before="0" w:after="0"/>
        <w:ind w:left="830" w:right="0" w:hanging="567"/>
        <w:jc w:val="both"/>
        <w:rPr>
          <w:sz w:val="20"/>
        </w:rPr>
      </w:pPr>
      <w:r>
        <w:rPr>
          <w:i/>
          <w:sz w:val="20"/>
        </w:rPr>
        <w:t>La</w:t>
      </w:r>
      <w:r>
        <w:rPr>
          <w:i/>
          <w:spacing w:val="-20"/>
          <w:sz w:val="20"/>
        </w:rPr>
        <w:t> </w:t>
      </w:r>
      <w:r>
        <w:rPr>
          <w:i/>
          <w:sz w:val="20"/>
        </w:rPr>
        <w:t>calidad.</w:t>
      </w:r>
      <w:r>
        <w:rPr>
          <w:i/>
          <w:spacing w:val="-20"/>
          <w:sz w:val="20"/>
        </w:rPr>
        <w:t> </w:t>
      </w:r>
      <w:r>
        <w:rPr>
          <w:sz w:val="20"/>
        </w:rPr>
        <w:t>El</w:t>
      </w:r>
      <w:r>
        <w:rPr>
          <w:spacing w:val="-20"/>
          <w:sz w:val="20"/>
        </w:rPr>
        <w:t> </w:t>
      </w:r>
      <w:r>
        <w:rPr>
          <w:sz w:val="20"/>
        </w:rPr>
        <w:t>agua</w:t>
      </w:r>
      <w:r>
        <w:rPr>
          <w:spacing w:val="-20"/>
          <w:sz w:val="20"/>
        </w:rPr>
        <w:t> </w:t>
      </w:r>
      <w:r>
        <w:rPr>
          <w:sz w:val="20"/>
        </w:rPr>
        <w:t>necesaria</w:t>
      </w:r>
      <w:r>
        <w:rPr>
          <w:spacing w:val="-20"/>
          <w:sz w:val="20"/>
        </w:rPr>
        <w:t> </w:t>
      </w:r>
      <w:r>
        <w:rPr>
          <w:sz w:val="20"/>
        </w:rPr>
        <w:t>para</w:t>
      </w:r>
      <w:r>
        <w:rPr>
          <w:spacing w:val="-20"/>
          <w:sz w:val="20"/>
        </w:rPr>
        <w:t> </w:t>
      </w:r>
      <w:r>
        <w:rPr>
          <w:sz w:val="20"/>
        </w:rPr>
        <w:t>cada</w:t>
      </w:r>
      <w:r>
        <w:rPr>
          <w:spacing w:val="-17"/>
          <w:sz w:val="20"/>
        </w:rPr>
        <w:t> </w:t>
      </w:r>
      <w:r>
        <w:rPr>
          <w:sz w:val="20"/>
        </w:rPr>
        <w:t>uso</w:t>
      </w:r>
      <w:r>
        <w:rPr>
          <w:spacing w:val="-19"/>
          <w:sz w:val="20"/>
        </w:rPr>
        <w:t> </w:t>
      </w:r>
      <w:r>
        <w:rPr>
          <w:sz w:val="20"/>
        </w:rPr>
        <w:t>personal</w:t>
      </w:r>
      <w:r>
        <w:rPr>
          <w:spacing w:val="-19"/>
          <w:sz w:val="20"/>
        </w:rPr>
        <w:t> </w:t>
      </w:r>
      <w:r>
        <w:rPr>
          <w:sz w:val="20"/>
        </w:rPr>
        <w:t>o</w:t>
      </w:r>
      <w:r>
        <w:rPr>
          <w:spacing w:val="-21"/>
          <w:sz w:val="20"/>
        </w:rPr>
        <w:t> </w:t>
      </w:r>
      <w:r>
        <w:rPr>
          <w:sz w:val="20"/>
        </w:rPr>
        <w:t>doméstico</w:t>
      </w:r>
      <w:r>
        <w:rPr>
          <w:spacing w:val="-21"/>
          <w:sz w:val="20"/>
        </w:rPr>
        <w:t> </w:t>
      </w:r>
      <w:r>
        <w:rPr>
          <w:sz w:val="20"/>
        </w:rPr>
        <w:t>debe</w:t>
      </w:r>
      <w:r>
        <w:rPr>
          <w:spacing w:val="-19"/>
          <w:sz w:val="20"/>
        </w:rPr>
        <w:t> </w:t>
      </w:r>
      <w:r>
        <w:rPr>
          <w:sz w:val="20"/>
        </w:rPr>
        <w:t>ser</w:t>
      </w:r>
      <w:r>
        <w:rPr>
          <w:spacing w:val="-19"/>
          <w:sz w:val="20"/>
        </w:rPr>
        <w:t> </w:t>
      </w:r>
      <w:r>
        <w:rPr>
          <w:sz w:val="20"/>
        </w:rPr>
        <w:t>salubre</w:t>
      </w:r>
    </w:p>
    <w:p>
      <w:pPr>
        <w:pStyle w:val="BodyText"/>
        <w:spacing w:line="243" w:lineRule="exact"/>
        <w:ind w:left="263"/>
        <w:jc w:val="both"/>
      </w:pPr>
      <w:r>
        <w:rPr/>
        <w:t>[…]. Además, el agua debería tener un color, un olor y un sabor aceptables […].</w:t>
      </w:r>
    </w:p>
    <w:p>
      <w:pPr>
        <w:pStyle w:val="ListParagraph"/>
        <w:numPr>
          <w:ilvl w:val="1"/>
          <w:numId w:val="31"/>
        </w:numPr>
        <w:tabs>
          <w:tab w:pos="830" w:val="left" w:leader="none"/>
        </w:tabs>
        <w:spacing w:line="240" w:lineRule="auto" w:before="1" w:after="0"/>
        <w:ind w:left="263" w:right="122" w:firstLine="0"/>
        <w:jc w:val="both"/>
        <w:rPr>
          <w:sz w:val="20"/>
        </w:rPr>
      </w:pPr>
      <w:r>
        <w:rPr>
          <w:i/>
          <w:sz w:val="20"/>
        </w:rPr>
        <w:t>La accesibilidad. </w:t>
      </w:r>
      <w:r>
        <w:rPr>
          <w:sz w:val="20"/>
        </w:rPr>
        <w:t>El agua y las instalaciones y servicios de agua deben ser accesibles para todos, sin discriminación alguna, dentro de la jurisdicción del Estado Parte”</w:t>
      </w:r>
      <w:r>
        <w:rPr>
          <w:spacing w:val="-30"/>
          <w:sz w:val="20"/>
        </w:rPr>
        <w:t> </w:t>
      </w:r>
      <w:r>
        <w:rPr>
          <w:position w:val="7"/>
          <w:sz w:val="13"/>
        </w:rPr>
        <w:t>226</w:t>
      </w:r>
      <w:r>
        <w:rPr>
          <w:sz w:val="20"/>
        </w:rPr>
        <w:t>.</w:t>
      </w:r>
    </w:p>
    <w:p>
      <w:pPr>
        <w:pStyle w:val="BodyText"/>
      </w:pPr>
    </w:p>
    <w:p>
      <w:pPr>
        <w:pStyle w:val="ListParagraph"/>
        <w:numPr>
          <w:ilvl w:val="0"/>
          <w:numId w:val="31"/>
        </w:numPr>
        <w:tabs>
          <w:tab w:pos="830" w:val="left" w:leader="none"/>
        </w:tabs>
        <w:spacing w:line="240" w:lineRule="auto" w:before="1" w:after="0"/>
        <w:ind w:left="122" w:right="125" w:firstLine="0"/>
        <w:jc w:val="both"/>
        <w:rPr>
          <w:sz w:val="20"/>
        </w:rPr>
      </w:pPr>
      <w:r>
        <w:rPr>
          <w:sz w:val="20"/>
        </w:rPr>
        <w:t>El Comité DESC, al explicar cómo el derecho al agua se vincula con otros derechos, señaló también la importancia de “garantizar un acceso sostenible a los recursos hídricos con fines agrícolas para el ejercicio del derecho a una alimentación adecuada”.</w:t>
      </w:r>
      <w:r>
        <w:rPr>
          <w:spacing w:val="-16"/>
          <w:sz w:val="20"/>
        </w:rPr>
        <w:t> </w:t>
      </w:r>
      <w:r>
        <w:rPr>
          <w:sz w:val="20"/>
        </w:rPr>
        <w:t>Agregó</w:t>
      </w:r>
      <w:r>
        <w:rPr>
          <w:spacing w:val="-19"/>
          <w:sz w:val="20"/>
        </w:rPr>
        <w:t> </w:t>
      </w:r>
      <w:r>
        <w:rPr>
          <w:sz w:val="20"/>
        </w:rPr>
        <w:t>que</w:t>
      </w:r>
      <w:r>
        <w:rPr>
          <w:spacing w:val="-16"/>
          <w:sz w:val="20"/>
        </w:rPr>
        <w:t> </w:t>
      </w:r>
      <w:r>
        <w:rPr>
          <w:sz w:val="20"/>
        </w:rPr>
        <w:t>“los</w:t>
      </w:r>
      <w:r>
        <w:rPr>
          <w:spacing w:val="-16"/>
          <w:sz w:val="20"/>
        </w:rPr>
        <w:t> </w:t>
      </w:r>
      <w:r>
        <w:rPr>
          <w:sz w:val="20"/>
        </w:rPr>
        <w:t>Estados</w:t>
      </w:r>
      <w:r>
        <w:rPr>
          <w:spacing w:val="-18"/>
          <w:sz w:val="20"/>
        </w:rPr>
        <w:t> </w:t>
      </w:r>
      <w:r>
        <w:rPr>
          <w:sz w:val="20"/>
        </w:rPr>
        <w:t>[…]</w:t>
      </w:r>
      <w:r>
        <w:rPr>
          <w:spacing w:val="-14"/>
          <w:sz w:val="20"/>
        </w:rPr>
        <w:t> </w:t>
      </w:r>
      <w:r>
        <w:rPr>
          <w:sz w:val="20"/>
        </w:rPr>
        <w:t>deberían</w:t>
      </w:r>
      <w:r>
        <w:rPr>
          <w:spacing w:val="-17"/>
          <w:sz w:val="20"/>
        </w:rPr>
        <w:t> </w:t>
      </w:r>
      <w:r>
        <w:rPr>
          <w:sz w:val="20"/>
        </w:rPr>
        <w:t>garantizar</w:t>
      </w:r>
      <w:r>
        <w:rPr>
          <w:spacing w:val="-16"/>
          <w:sz w:val="20"/>
        </w:rPr>
        <w:t> </w:t>
      </w:r>
      <w:r>
        <w:rPr>
          <w:sz w:val="20"/>
        </w:rPr>
        <w:t>un</w:t>
      </w:r>
      <w:r>
        <w:rPr>
          <w:spacing w:val="-17"/>
          <w:sz w:val="20"/>
        </w:rPr>
        <w:t> </w:t>
      </w:r>
      <w:r>
        <w:rPr>
          <w:sz w:val="20"/>
        </w:rPr>
        <w:t>acceso</w:t>
      </w:r>
      <w:r>
        <w:rPr>
          <w:spacing w:val="-17"/>
          <w:sz w:val="20"/>
        </w:rPr>
        <w:t> </w:t>
      </w:r>
      <w:r>
        <w:rPr>
          <w:sz w:val="20"/>
        </w:rPr>
        <w:t>suficiente</w:t>
      </w:r>
      <w:r>
        <w:rPr>
          <w:spacing w:val="-17"/>
          <w:sz w:val="20"/>
        </w:rPr>
        <w:t> </w:t>
      </w:r>
      <w:r>
        <w:rPr>
          <w:sz w:val="20"/>
        </w:rPr>
        <w:t>al</w:t>
      </w:r>
      <w:r>
        <w:rPr>
          <w:spacing w:val="-17"/>
          <w:sz w:val="20"/>
        </w:rPr>
        <w:t> </w:t>
      </w:r>
      <w:r>
        <w:rPr>
          <w:sz w:val="20"/>
        </w:rPr>
        <w:t>agua para la agricultura de subsistencia y para asegurar la de subsistencia de los pueblos indígenas”. Sostuvo que “[l]a higiene ambiental, como aspecto del derecho a la salud […] entraña la adopción de medidas no discriminatorias para evitar los riesgos para la salud que representa el agua insalubre y contaminada por sustancias tóxicas”</w:t>
      </w:r>
      <w:r>
        <w:rPr>
          <w:position w:val="7"/>
          <w:sz w:val="13"/>
        </w:rPr>
        <w:t>227</w:t>
      </w:r>
      <w:r>
        <w:rPr>
          <w:sz w:val="20"/>
        </w:rPr>
        <w:t>. La Corte ya ha notado, en el mismo sentido, que el “derecho al agua” (como también los derechos a la alimentación y a participar en la vida cultural) está “entre los derechos particularmente vulnerables a afectaciones</w:t>
      </w:r>
      <w:r>
        <w:rPr>
          <w:spacing w:val="-20"/>
          <w:sz w:val="20"/>
        </w:rPr>
        <w:t> </w:t>
      </w:r>
      <w:r>
        <w:rPr>
          <w:sz w:val="20"/>
        </w:rPr>
        <w:t>ambientales”</w:t>
      </w:r>
      <w:r>
        <w:rPr>
          <w:position w:val="7"/>
          <w:sz w:val="13"/>
        </w:rPr>
        <w:t>228</w:t>
      </w:r>
      <w:r>
        <w:rPr>
          <w:sz w:val="20"/>
        </w:rPr>
        <w:t>.</w:t>
      </w:r>
    </w:p>
    <w:p>
      <w:pPr>
        <w:pStyle w:val="BodyText"/>
        <w:spacing w:before="1"/>
      </w:pPr>
    </w:p>
    <w:p>
      <w:pPr>
        <w:pStyle w:val="ListParagraph"/>
        <w:numPr>
          <w:ilvl w:val="0"/>
          <w:numId w:val="31"/>
        </w:numPr>
        <w:tabs>
          <w:tab w:pos="830" w:val="left" w:leader="none"/>
        </w:tabs>
        <w:spacing w:line="240" w:lineRule="auto" w:before="0" w:after="0"/>
        <w:ind w:left="122" w:right="124" w:firstLine="0"/>
        <w:jc w:val="both"/>
        <w:rPr>
          <w:sz w:val="20"/>
        </w:rPr>
      </w:pPr>
      <w:r>
        <w:rPr>
          <w:sz w:val="20"/>
        </w:rPr>
        <w:t>En cuanto a las obligaciones que conlleva el derecho al agua, cabe agregar a lo expuesto algunas especificaciones. Rige, desde luego, el deber de respetar el ejercicio del</w:t>
      </w:r>
      <w:r>
        <w:rPr>
          <w:spacing w:val="54"/>
          <w:sz w:val="20"/>
        </w:rPr>
        <w:t> </w:t>
      </w:r>
      <w:r>
        <w:rPr>
          <w:sz w:val="20"/>
        </w:rPr>
        <w:t>derecho</w:t>
      </w:r>
      <w:r>
        <w:rPr>
          <w:position w:val="7"/>
          <w:sz w:val="13"/>
        </w:rPr>
        <w:t>229</w:t>
      </w:r>
      <w:r>
        <w:rPr>
          <w:sz w:val="20"/>
        </w:rPr>
        <w:t>,</w:t>
      </w:r>
      <w:r>
        <w:rPr>
          <w:spacing w:val="53"/>
          <w:sz w:val="20"/>
        </w:rPr>
        <w:t> </w:t>
      </w:r>
      <w:r>
        <w:rPr>
          <w:sz w:val="20"/>
        </w:rPr>
        <w:t>así</w:t>
      </w:r>
      <w:r>
        <w:rPr>
          <w:spacing w:val="56"/>
          <w:sz w:val="20"/>
        </w:rPr>
        <w:t> </w:t>
      </w:r>
      <w:r>
        <w:rPr>
          <w:sz w:val="20"/>
        </w:rPr>
        <w:t>como</w:t>
      </w:r>
      <w:r>
        <w:rPr>
          <w:spacing w:val="56"/>
          <w:sz w:val="20"/>
        </w:rPr>
        <w:t> </w:t>
      </w:r>
      <w:r>
        <w:rPr>
          <w:sz w:val="20"/>
        </w:rPr>
        <w:t>el</w:t>
      </w:r>
      <w:r>
        <w:rPr>
          <w:spacing w:val="54"/>
          <w:sz w:val="20"/>
        </w:rPr>
        <w:t> </w:t>
      </w:r>
      <w:r>
        <w:rPr>
          <w:sz w:val="20"/>
        </w:rPr>
        <w:t>deber</w:t>
      </w:r>
      <w:r>
        <w:rPr>
          <w:spacing w:val="53"/>
          <w:sz w:val="20"/>
        </w:rPr>
        <w:t> </w:t>
      </w:r>
      <w:r>
        <w:rPr>
          <w:sz w:val="20"/>
        </w:rPr>
        <w:t>de</w:t>
      </w:r>
      <w:r>
        <w:rPr>
          <w:spacing w:val="53"/>
          <w:sz w:val="20"/>
        </w:rPr>
        <w:t> </w:t>
      </w:r>
      <w:r>
        <w:rPr>
          <w:sz w:val="20"/>
        </w:rPr>
        <w:t>garantía,</w:t>
      </w:r>
      <w:r>
        <w:rPr>
          <w:spacing w:val="54"/>
          <w:sz w:val="20"/>
        </w:rPr>
        <w:t> </w:t>
      </w:r>
      <w:r>
        <w:rPr>
          <w:sz w:val="20"/>
        </w:rPr>
        <w:t>señalados</w:t>
      </w:r>
      <w:r>
        <w:rPr>
          <w:spacing w:val="56"/>
          <w:sz w:val="20"/>
        </w:rPr>
        <w:t> </w:t>
      </w:r>
      <w:r>
        <w:rPr>
          <w:sz w:val="20"/>
        </w:rPr>
        <w:t>en</w:t>
      </w:r>
      <w:r>
        <w:rPr>
          <w:spacing w:val="57"/>
          <w:sz w:val="20"/>
        </w:rPr>
        <w:t> </w:t>
      </w:r>
      <w:r>
        <w:rPr>
          <w:sz w:val="20"/>
        </w:rPr>
        <w:t>el</w:t>
      </w:r>
      <w:r>
        <w:rPr>
          <w:spacing w:val="54"/>
          <w:sz w:val="20"/>
        </w:rPr>
        <w:t> </w:t>
      </w:r>
      <w:r>
        <w:rPr>
          <w:sz w:val="20"/>
        </w:rPr>
        <w:t>artículo</w:t>
      </w:r>
      <w:r>
        <w:rPr>
          <w:spacing w:val="53"/>
          <w:sz w:val="20"/>
        </w:rPr>
        <w:t> </w:t>
      </w:r>
      <w:r>
        <w:rPr>
          <w:sz w:val="20"/>
        </w:rPr>
        <w:t>1.1</w:t>
      </w:r>
      <w:r>
        <w:rPr>
          <w:spacing w:val="54"/>
          <w:sz w:val="20"/>
        </w:rPr>
        <w:t> </w:t>
      </w:r>
      <w:r>
        <w:rPr>
          <w:sz w:val="20"/>
        </w:rPr>
        <w:t>de</w:t>
      </w:r>
      <w:r>
        <w:rPr>
          <w:spacing w:val="53"/>
          <w:sz w:val="20"/>
        </w:rPr>
        <w:t> </w:t>
      </w:r>
      <w:r>
        <w:rPr>
          <w:sz w:val="20"/>
        </w:rPr>
        <w:t>la</w:t>
      </w:r>
    </w:p>
    <w:p>
      <w:pPr>
        <w:pStyle w:val="BodyText"/>
        <w:spacing w:before="4"/>
        <w:rPr>
          <w:sz w:val="21"/>
        </w:rPr>
      </w:pPr>
      <w:r>
        <w:rPr/>
        <w:pict>
          <v:line style="position:absolute;mso-position-horizontal-relative:page;mso-position-vertical-relative:paragraph;z-index:2824;mso-wrap-distance-left:0;mso-wrap-distance-right:0" from="85.103996pt,15.294112pt" to="229.123996pt,15.294112pt" stroked="true" strokeweight=".72pt" strokecolor="#000000">
            <v:stroke dashstyle="solid"/>
            <w10:wrap type="topAndBottom"/>
          </v:line>
        </w:pict>
      </w:r>
    </w:p>
    <w:p>
      <w:pPr>
        <w:tabs>
          <w:tab w:pos="829" w:val="left" w:leader="none"/>
        </w:tabs>
        <w:spacing w:before="71"/>
        <w:ind w:left="122" w:right="113" w:firstLine="0"/>
        <w:jc w:val="both"/>
        <w:rPr>
          <w:sz w:val="16"/>
        </w:rPr>
      </w:pPr>
      <w:r>
        <w:rPr>
          <w:position w:val="6"/>
          <w:sz w:val="10"/>
        </w:rPr>
        <w:t>226</w:t>
        <w:tab/>
      </w:r>
      <w:r>
        <w:rPr>
          <w:sz w:val="16"/>
        </w:rPr>
        <w:t>Comité DESC. </w:t>
      </w:r>
      <w:r>
        <w:rPr>
          <w:i/>
          <w:sz w:val="16"/>
        </w:rPr>
        <w:t>Observación General 15. El derecho al agua (artículos 11 y 12 del</w:t>
      </w:r>
      <w:r>
        <w:rPr>
          <w:i/>
          <w:spacing w:val="2"/>
          <w:sz w:val="16"/>
        </w:rPr>
        <w:t> </w:t>
      </w:r>
      <w:r>
        <w:rPr>
          <w:i/>
          <w:sz w:val="16"/>
        </w:rPr>
        <w:t>Pacto</w:t>
      </w:r>
      <w:r>
        <w:rPr>
          <w:i/>
          <w:spacing w:val="-1"/>
          <w:sz w:val="16"/>
        </w:rPr>
        <w:t> </w:t>
      </w:r>
      <w:r>
        <w:rPr>
          <w:i/>
          <w:sz w:val="16"/>
        </w:rPr>
        <w:t>Internacional</w:t>
      </w:r>
      <w:r>
        <w:rPr>
          <w:i/>
          <w:w w:val="100"/>
          <w:sz w:val="16"/>
        </w:rPr>
        <w:t> </w:t>
      </w:r>
      <w:r>
        <w:rPr>
          <w:i/>
          <w:sz w:val="16"/>
        </w:rPr>
        <w:t>de Derechos Económicos, Sociales y Culturales)</w:t>
      </w:r>
      <w:r>
        <w:rPr>
          <w:sz w:val="16"/>
        </w:rPr>
        <w:t>, párrs. 10, 11 y 12. En cuanto a la “accesibilidad”, el Comité DESC, en el último párrafo citado, explicó que “presenta cuatro dimensiones superpuestas: i) </w:t>
      </w:r>
      <w:r>
        <w:rPr>
          <w:i/>
          <w:sz w:val="16"/>
        </w:rPr>
        <w:t>Accesibilidad </w:t>
      </w:r>
      <w:r>
        <w:rPr>
          <w:i/>
          <w:sz w:val="16"/>
        </w:rPr>
        <w:t>física</w:t>
      </w:r>
      <w:r>
        <w:rPr>
          <w:sz w:val="16"/>
        </w:rPr>
        <w:t>. El agua y las instalaciones y servicios de agua deben estar al alcance físico de todos los sectores de la población.</w:t>
      </w:r>
      <w:r>
        <w:rPr>
          <w:spacing w:val="-14"/>
          <w:sz w:val="16"/>
        </w:rPr>
        <w:t> </w:t>
      </w:r>
      <w:r>
        <w:rPr>
          <w:sz w:val="16"/>
        </w:rPr>
        <w:t>[…]</w:t>
      </w:r>
      <w:r>
        <w:rPr>
          <w:spacing w:val="-16"/>
          <w:sz w:val="16"/>
        </w:rPr>
        <w:t> </w:t>
      </w:r>
      <w:r>
        <w:rPr>
          <w:sz w:val="16"/>
        </w:rPr>
        <w:t>ii)</w:t>
      </w:r>
      <w:r>
        <w:rPr>
          <w:spacing w:val="-14"/>
          <w:sz w:val="16"/>
        </w:rPr>
        <w:t> </w:t>
      </w:r>
      <w:r>
        <w:rPr>
          <w:i/>
          <w:sz w:val="16"/>
        </w:rPr>
        <w:t>Accesibilidad</w:t>
      </w:r>
      <w:r>
        <w:rPr>
          <w:i/>
          <w:spacing w:val="-15"/>
          <w:sz w:val="16"/>
        </w:rPr>
        <w:t> </w:t>
      </w:r>
      <w:r>
        <w:rPr>
          <w:i/>
          <w:sz w:val="16"/>
        </w:rPr>
        <w:t>económica</w:t>
      </w:r>
      <w:r>
        <w:rPr>
          <w:sz w:val="16"/>
        </w:rPr>
        <w:t>.</w:t>
      </w:r>
      <w:r>
        <w:rPr>
          <w:spacing w:val="-16"/>
          <w:sz w:val="16"/>
        </w:rPr>
        <w:t> </w:t>
      </w:r>
      <w:r>
        <w:rPr>
          <w:sz w:val="16"/>
        </w:rPr>
        <w:t>El</w:t>
      </w:r>
      <w:r>
        <w:rPr>
          <w:spacing w:val="-14"/>
          <w:sz w:val="16"/>
        </w:rPr>
        <w:t> </w:t>
      </w:r>
      <w:r>
        <w:rPr>
          <w:sz w:val="16"/>
        </w:rPr>
        <w:t>agua</w:t>
      </w:r>
      <w:r>
        <w:rPr>
          <w:spacing w:val="-16"/>
          <w:sz w:val="16"/>
        </w:rPr>
        <w:t> </w:t>
      </w:r>
      <w:r>
        <w:rPr>
          <w:sz w:val="16"/>
        </w:rPr>
        <w:t>y</w:t>
      </w:r>
      <w:r>
        <w:rPr>
          <w:spacing w:val="-15"/>
          <w:sz w:val="16"/>
        </w:rPr>
        <w:t> </w:t>
      </w:r>
      <w:r>
        <w:rPr>
          <w:sz w:val="16"/>
        </w:rPr>
        <w:t>los</w:t>
      </w:r>
      <w:r>
        <w:rPr>
          <w:spacing w:val="-15"/>
          <w:sz w:val="16"/>
        </w:rPr>
        <w:t> </w:t>
      </w:r>
      <w:r>
        <w:rPr>
          <w:sz w:val="16"/>
        </w:rPr>
        <w:t>servicios</w:t>
      </w:r>
      <w:r>
        <w:rPr>
          <w:spacing w:val="-15"/>
          <w:sz w:val="16"/>
        </w:rPr>
        <w:t> </w:t>
      </w:r>
      <w:r>
        <w:rPr>
          <w:sz w:val="16"/>
        </w:rPr>
        <w:t>e</w:t>
      </w:r>
      <w:r>
        <w:rPr>
          <w:spacing w:val="-15"/>
          <w:sz w:val="16"/>
        </w:rPr>
        <w:t> </w:t>
      </w:r>
      <w:r>
        <w:rPr>
          <w:sz w:val="16"/>
        </w:rPr>
        <w:t>instalaciones</w:t>
      </w:r>
      <w:r>
        <w:rPr>
          <w:spacing w:val="-15"/>
          <w:sz w:val="16"/>
        </w:rPr>
        <w:t> </w:t>
      </w:r>
      <w:r>
        <w:rPr>
          <w:sz w:val="16"/>
        </w:rPr>
        <w:t>de</w:t>
      </w:r>
      <w:r>
        <w:rPr>
          <w:spacing w:val="-15"/>
          <w:sz w:val="16"/>
        </w:rPr>
        <w:t> </w:t>
      </w:r>
      <w:r>
        <w:rPr>
          <w:sz w:val="16"/>
        </w:rPr>
        <w:t>agua</w:t>
      </w:r>
      <w:r>
        <w:rPr>
          <w:spacing w:val="-18"/>
          <w:sz w:val="16"/>
        </w:rPr>
        <w:t> </w:t>
      </w:r>
      <w:r>
        <w:rPr>
          <w:sz w:val="16"/>
        </w:rPr>
        <w:t>deben</w:t>
      </w:r>
      <w:r>
        <w:rPr>
          <w:spacing w:val="-16"/>
          <w:sz w:val="16"/>
        </w:rPr>
        <w:t> </w:t>
      </w:r>
      <w:r>
        <w:rPr>
          <w:sz w:val="16"/>
        </w:rPr>
        <w:t>estar</w:t>
      </w:r>
      <w:r>
        <w:rPr>
          <w:spacing w:val="-14"/>
          <w:sz w:val="16"/>
        </w:rPr>
        <w:t> </w:t>
      </w:r>
      <w:r>
        <w:rPr>
          <w:sz w:val="16"/>
        </w:rPr>
        <w:t>al</w:t>
      </w:r>
      <w:r>
        <w:rPr>
          <w:spacing w:val="-14"/>
          <w:sz w:val="16"/>
        </w:rPr>
        <w:t> </w:t>
      </w:r>
      <w:r>
        <w:rPr>
          <w:sz w:val="16"/>
        </w:rPr>
        <w:t>alcance de todos. Los costos y cargos directos e indirectos asociados con el abastecimiento de agua deben ser asequibles y no deben comprometer ni poner en peligro el ejercicio de otros derechos reconocidos en el P[IDESC] iii) </w:t>
      </w:r>
      <w:r>
        <w:rPr>
          <w:i/>
          <w:sz w:val="16"/>
        </w:rPr>
        <w:t>No discriminación</w:t>
      </w:r>
      <w:r>
        <w:rPr>
          <w:sz w:val="16"/>
        </w:rPr>
        <w:t>. El agua y los servicios e instalaciones de agua deben ser accesibles a todos de</w:t>
      </w:r>
      <w:r>
        <w:rPr>
          <w:spacing w:val="-9"/>
          <w:sz w:val="16"/>
        </w:rPr>
        <w:t> </w:t>
      </w:r>
      <w:r>
        <w:rPr>
          <w:sz w:val="16"/>
        </w:rPr>
        <w:t>hecho</w:t>
      </w:r>
      <w:r>
        <w:rPr>
          <w:spacing w:val="-9"/>
          <w:sz w:val="16"/>
        </w:rPr>
        <w:t> </w:t>
      </w:r>
      <w:r>
        <w:rPr>
          <w:sz w:val="16"/>
        </w:rPr>
        <w:t>y</w:t>
      </w:r>
      <w:r>
        <w:rPr>
          <w:spacing w:val="-11"/>
          <w:sz w:val="16"/>
        </w:rPr>
        <w:t> </w:t>
      </w:r>
      <w:r>
        <w:rPr>
          <w:sz w:val="16"/>
        </w:rPr>
        <w:t>de</w:t>
      </w:r>
      <w:r>
        <w:rPr>
          <w:spacing w:val="-12"/>
          <w:sz w:val="16"/>
        </w:rPr>
        <w:t> </w:t>
      </w:r>
      <w:r>
        <w:rPr>
          <w:sz w:val="16"/>
        </w:rPr>
        <w:t>derecho,</w:t>
      </w:r>
      <w:r>
        <w:rPr>
          <w:spacing w:val="-11"/>
          <w:sz w:val="16"/>
        </w:rPr>
        <w:t> </w:t>
      </w:r>
      <w:r>
        <w:rPr>
          <w:sz w:val="16"/>
        </w:rPr>
        <w:t>incluso</w:t>
      </w:r>
      <w:r>
        <w:rPr>
          <w:spacing w:val="-11"/>
          <w:sz w:val="16"/>
        </w:rPr>
        <w:t> </w:t>
      </w:r>
      <w:r>
        <w:rPr>
          <w:sz w:val="16"/>
        </w:rPr>
        <w:t>a</w:t>
      </w:r>
      <w:r>
        <w:rPr>
          <w:spacing w:val="-10"/>
          <w:sz w:val="16"/>
        </w:rPr>
        <w:t> </w:t>
      </w:r>
      <w:r>
        <w:rPr>
          <w:sz w:val="16"/>
        </w:rPr>
        <w:t>los</w:t>
      </w:r>
      <w:r>
        <w:rPr>
          <w:spacing w:val="-9"/>
          <w:sz w:val="16"/>
        </w:rPr>
        <w:t> </w:t>
      </w:r>
      <w:r>
        <w:rPr>
          <w:sz w:val="16"/>
        </w:rPr>
        <w:t>sectores</w:t>
      </w:r>
      <w:r>
        <w:rPr>
          <w:spacing w:val="-9"/>
          <w:sz w:val="16"/>
        </w:rPr>
        <w:t> </w:t>
      </w:r>
      <w:r>
        <w:rPr>
          <w:sz w:val="16"/>
        </w:rPr>
        <w:t>más</w:t>
      </w:r>
      <w:r>
        <w:rPr>
          <w:spacing w:val="-9"/>
          <w:sz w:val="16"/>
        </w:rPr>
        <w:t> </w:t>
      </w:r>
      <w:r>
        <w:rPr>
          <w:sz w:val="16"/>
        </w:rPr>
        <w:t>vulnerables</w:t>
      </w:r>
      <w:r>
        <w:rPr>
          <w:spacing w:val="-9"/>
          <w:sz w:val="16"/>
        </w:rPr>
        <w:t> </w:t>
      </w:r>
      <w:r>
        <w:rPr>
          <w:sz w:val="16"/>
        </w:rPr>
        <w:t>y</w:t>
      </w:r>
      <w:r>
        <w:rPr>
          <w:spacing w:val="-9"/>
          <w:sz w:val="16"/>
        </w:rPr>
        <w:t> </w:t>
      </w:r>
      <w:r>
        <w:rPr>
          <w:sz w:val="16"/>
        </w:rPr>
        <w:t>marginados</w:t>
      </w:r>
      <w:r>
        <w:rPr>
          <w:spacing w:val="-12"/>
          <w:sz w:val="16"/>
        </w:rPr>
        <w:t> </w:t>
      </w:r>
      <w:r>
        <w:rPr>
          <w:sz w:val="16"/>
        </w:rPr>
        <w:t>de</w:t>
      </w:r>
      <w:r>
        <w:rPr>
          <w:spacing w:val="-9"/>
          <w:sz w:val="16"/>
        </w:rPr>
        <w:t> </w:t>
      </w:r>
      <w:r>
        <w:rPr>
          <w:sz w:val="16"/>
        </w:rPr>
        <w:t>la</w:t>
      </w:r>
      <w:r>
        <w:rPr>
          <w:spacing w:val="-10"/>
          <w:sz w:val="16"/>
        </w:rPr>
        <w:t> </w:t>
      </w:r>
      <w:r>
        <w:rPr>
          <w:sz w:val="16"/>
        </w:rPr>
        <w:t>población,</w:t>
      </w:r>
      <w:r>
        <w:rPr>
          <w:spacing w:val="-11"/>
          <w:sz w:val="16"/>
        </w:rPr>
        <w:t> </w:t>
      </w:r>
      <w:r>
        <w:rPr>
          <w:sz w:val="16"/>
        </w:rPr>
        <w:t>sin</w:t>
      </w:r>
      <w:r>
        <w:rPr>
          <w:spacing w:val="-11"/>
          <w:sz w:val="16"/>
        </w:rPr>
        <w:t> </w:t>
      </w:r>
      <w:r>
        <w:rPr>
          <w:sz w:val="16"/>
        </w:rPr>
        <w:t>discriminación alguna por cualquiera de los motivos prohibidos. iv) </w:t>
      </w:r>
      <w:r>
        <w:rPr>
          <w:i/>
          <w:sz w:val="16"/>
        </w:rPr>
        <w:t>Acceso a la información</w:t>
      </w:r>
      <w:r>
        <w:rPr>
          <w:sz w:val="16"/>
        </w:rPr>
        <w:t>. La accesibilidad comprende el derecho de solicitar, recibir y difundir información sobre las cuestiones del</w:t>
      </w:r>
      <w:r>
        <w:rPr>
          <w:spacing w:val="-27"/>
          <w:sz w:val="16"/>
        </w:rPr>
        <w:t> </w:t>
      </w:r>
      <w:r>
        <w:rPr>
          <w:sz w:val="16"/>
        </w:rPr>
        <w:t>agua”.</w:t>
      </w:r>
    </w:p>
    <w:p>
      <w:pPr>
        <w:pStyle w:val="BodyText"/>
        <w:spacing w:before="11"/>
        <w:rPr>
          <w:sz w:val="15"/>
        </w:rPr>
      </w:pPr>
    </w:p>
    <w:p>
      <w:pPr>
        <w:tabs>
          <w:tab w:pos="829" w:val="left" w:leader="none"/>
        </w:tabs>
        <w:spacing w:before="0"/>
        <w:ind w:left="122" w:right="117" w:firstLine="0"/>
        <w:jc w:val="both"/>
        <w:rPr>
          <w:sz w:val="16"/>
        </w:rPr>
      </w:pPr>
      <w:r>
        <w:rPr>
          <w:position w:val="6"/>
          <w:sz w:val="10"/>
        </w:rPr>
        <w:t>227</w:t>
        <w:tab/>
      </w:r>
      <w:r>
        <w:rPr>
          <w:sz w:val="16"/>
        </w:rPr>
        <w:t>Comité DESC. </w:t>
      </w:r>
      <w:r>
        <w:rPr>
          <w:i/>
          <w:sz w:val="16"/>
        </w:rPr>
        <w:t>Observación General 15. El derecho al agua (artículos 11 y 12 del</w:t>
      </w:r>
      <w:r>
        <w:rPr>
          <w:i/>
          <w:spacing w:val="5"/>
          <w:sz w:val="16"/>
        </w:rPr>
        <w:t> </w:t>
      </w:r>
      <w:r>
        <w:rPr>
          <w:i/>
          <w:sz w:val="16"/>
        </w:rPr>
        <w:t>Pacto</w:t>
      </w:r>
      <w:r>
        <w:rPr>
          <w:i/>
          <w:spacing w:val="-1"/>
          <w:sz w:val="16"/>
        </w:rPr>
        <w:t> </w:t>
      </w:r>
      <w:r>
        <w:rPr>
          <w:i/>
          <w:sz w:val="16"/>
        </w:rPr>
        <w:t>Internacional</w:t>
      </w:r>
      <w:r>
        <w:rPr>
          <w:i/>
          <w:w w:val="100"/>
          <w:sz w:val="16"/>
        </w:rPr>
        <w:t> </w:t>
      </w:r>
      <w:r>
        <w:rPr>
          <w:i/>
          <w:sz w:val="16"/>
        </w:rPr>
        <w:t>de Derechos Económicos, Sociales y Culturales)</w:t>
      </w:r>
      <w:r>
        <w:rPr>
          <w:sz w:val="16"/>
        </w:rPr>
        <w:t>, párrs. 7 y</w:t>
      </w:r>
      <w:r>
        <w:rPr>
          <w:spacing w:val="-21"/>
          <w:sz w:val="16"/>
        </w:rPr>
        <w:t> </w:t>
      </w:r>
      <w:r>
        <w:rPr>
          <w:sz w:val="16"/>
        </w:rPr>
        <w:t>8.</w:t>
      </w:r>
    </w:p>
    <w:p>
      <w:pPr>
        <w:pStyle w:val="BodyText"/>
        <w:spacing w:before="11"/>
        <w:rPr>
          <w:sz w:val="15"/>
        </w:rPr>
      </w:pPr>
    </w:p>
    <w:p>
      <w:pPr>
        <w:tabs>
          <w:tab w:pos="829" w:val="left" w:leader="none"/>
        </w:tabs>
        <w:spacing w:before="0"/>
        <w:ind w:left="122" w:right="113" w:firstLine="0"/>
        <w:jc w:val="both"/>
        <w:rPr>
          <w:sz w:val="16"/>
        </w:rPr>
      </w:pPr>
      <w:r>
        <w:rPr>
          <w:position w:val="6"/>
          <w:sz w:val="10"/>
        </w:rPr>
        <w:t>228</w:t>
        <w:tab/>
      </w:r>
      <w:r>
        <w:rPr>
          <w:i/>
          <w:sz w:val="16"/>
        </w:rPr>
        <w:t>Medio</w:t>
      </w:r>
      <w:r>
        <w:rPr>
          <w:i/>
          <w:spacing w:val="-4"/>
          <w:sz w:val="16"/>
        </w:rPr>
        <w:t> </w:t>
      </w:r>
      <w:r>
        <w:rPr>
          <w:i/>
          <w:sz w:val="16"/>
        </w:rPr>
        <w:t>ambiente</w:t>
      </w:r>
      <w:r>
        <w:rPr>
          <w:i/>
          <w:spacing w:val="-7"/>
          <w:sz w:val="16"/>
        </w:rPr>
        <w:t> </w:t>
      </w:r>
      <w:r>
        <w:rPr>
          <w:i/>
          <w:sz w:val="16"/>
        </w:rPr>
        <w:t>y</w:t>
      </w:r>
      <w:r>
        <w:rPr>
          <w:i/>
          <w:spacing w:val="-6"/>
          <w:sz w:val="16"/>
        </w:rPr>
        <w:t> </w:t>
      </w:r>
      <w:r>
        <w:rPr>
          <w:i/>
          <w:sz w:val="16"/>
        </w:rPr>
        <w:t>derechos</w:t>
      </w:r>
      <w:r>
        <w:rPr>
          <w:i/>
          <w:spacing w:val="-4"/>
          <w:sz w:val="16"/>
        </w:rPr>
        <w:t> </w:t>
      </w:r>
      <w:r>
        <w:rPr>
          <w:i/>
          <w:sz w:val="16"/>
        </w:rPr>
        <w:t>humanos</w:t>
      </w:r>
      <w:r>
        <w:rPr>
          <w:i/>
          <w:spacing w:val="-4"/>
          <w:sz w:val="16"/>
        </w:rPr>
        <w:t> </w:t>
      </w:r>
      <w:r>
        <w:rPr>
          <w:i/>
          <w:sz w:val="16"/>
        </w:rPr>
        <w:t>(obligaciones</w:t>
      </w:r>
      <w:r>
        <w:rPr>
          <w:i/>
          <w:spacing w:val="-4"/>
          <w:sz w:val="16"/>
        </w:rPr>
        <w:t> </w:t>
      </w:r>
      <w:r>
        <w:rPr>
          <w:i/>
          <w:sz w:val="16"/>
        </w:rPr>
        <w:t>estatales</w:t>
      </w:r>
      <w:r>
        <w:rPr>
          <w:i/>
          <w:spacing w:val="-4"/>
          <w:sz w:val="16"/>
        </w:rPr>
        <w:t> </w:t>
      </w:r>
      <w:r>
        <w:rPr>
          <w:i/>
          <w:sz w:val="16"/>
        </w:rPr>
        <w:t>en</w:t>
      </w:r>
      <w:r>
        <w:rPr>
          <w:i/>
          <w:spacing w:val="-8"/>
          <w:sz w:val="16"/>
        </w:rPr>
        <w:t> </w:t>
      </w:r>
      <w:r>
        <w:rPr>
          <w:i/>
          <w:sz w:val="16"/>
        </w:rPr>
        <w:t>relación</w:t>
      </w:r>
      <w:r>
        <w:rPr>
          <w:i/>
          <w:spacing w:val="-6"/>
          <w:sz w:val="16"/>
        </w:rPr>
        <w:t> </w:t>
      </w:r>
      <w:r>
        <w:rPr>
          <w:i/>
          <w:sz w:val="16"/>
        </w:rPr>
        <w:t>con</w:t>
      </w:r>
      <w:r>
        <w:rPr>
          <w:i/>
          <w:spacing w:val="-6"/>
          <w:sz w:val="16"/>
        </w:rPr>
        <w:t> </w:t>
      </w:r>
      <w:r>
        <w:rPr>
          <w:i/>
          <w:sz w:val="16"/>
        </w:rPr>
        <w:t>el</w:t>
      </w:r>
      <w:r>
        <w:rPr>
          <w:i/>
          <w:spacing w:val="-8"/>
          <w:sz w:val="16"/>
        </w:rPr>
        <w:t> </w:t>
      </w:r>
      <w:r>
        <w:rPr>
          <w:i/>
          <w:sz w:val="16"/>
        </w:rPr>
        <w:t>medio</w:t>
      </w:r>
      <w:r>
        <w:rPr>
          <w:i/>
          <w:spacing w:val="-4"/>
          <w:sz w:val="16"/>
        </w:rPr>
        <w:t> </w:t>
      </w:r>
      <w:r>
        <w:rPr>
          <w:i/>
          <w:sz w:val="16"/>
        </w:rPr>
        <w:t>ambiente</w:t>
      </w:r>
      <w:r>
        <w:rPr>
          <w:i/>
          <w:spacing w:val="-4"/>
          <w:sz w:val="16"/>
        </w:rPr>
        <w:t> </w:t>
      </w:r>
      <w:r>
        <w:rPr>
          <w:i/>
          <w:sz w:val="16"/>
        </w:rPr>
        <w:t>en</w:t>
      </w:r>
      <w:r>
        <w:rPr>
          <w:i/>
          <w:spacing w:val="-8"/>
          <w:sz w:val="16"/>
        </w:rPr>
        <w:t> </w:t>
      </w:r>
      <w:r>
        <w:rPr>
          <w:i/>
          <w:sz w:val="16"/>
        </w:rPr>
        <w:t>el</w:t>
      </w:r>
      <w:r>
        <w:rPr>
          <w:i/>
          <w:w w:val="100"/>
          <w:sz w:val="16"/>
        </w:rPr>
        <w:t> </w:t>
      </w:r>
      <w:r>
        <w:rPr>
          <w:i/>
          <w:sz w:val="16"/>
        </w:rPr>
        <w:t>marco</w:t>
      </w:r>
      <w:r>
        <w:rPr>
          <w:i/>
          <w:spacing w:val="-9"/>
          <w:sz w:val="16"/>
        </w:rPr>
        <w:t> </w:t>
      </w:r>
      <w:r>
        <w:rPr>
          <w:i/>
          <w:sz w:val="16"/>
        </w:rPr>
        <w:t>de</w:t>
      </w:r>
      <w:r>
        <w:rPr>
          <w:i/>
          <w:spacing w:val="-7"/>
          <w:sz w:val="16"/>
        </w:rPr>
        <w:t> </w:t>
      </w:r>
      <w:r>
        <w:rPr>
          <w:i/>
          <w:sz w:val="16"/>
        </w:rPr>
        <w:t>la</w:t>
      </w:r>
      <w:r>
        <w:rPr>
          <w:i/>
          <w:spacing w:val="-10"/>
          <w:sz w:val="16"/>
        </w:rPr>
        <w:t> </w:t>
      </w:r>
      <w:r>
        <w:rPr>
          <w:i/>
          <w:sz w:val="16"/>
        </w:rPr>
        <w:t>protección</w:t>
      </w:r>
      <w:r>
        <w:rPr>
          <w:i/>
          <w:spacing w:val="-8"/>
          <w:sz w:val="16"/>
        </w:rPr>
        <w:t> </w:t>
      </w:r>
      <w:r>
        <w:rPr>
          <w:i/>
          <w:sz w:val="16"/>
        </w:rPr>
        <w:t>y</w:t>
      </w:r>
      <w:r>
        <w:rPr>
          <w:i/>
          <w:spacing w:val="-9"/>
          <w:sz w:val="16"/>
        </w:rPr>
        <w:t> </w:t>
      </w:r>
      <w:r>
        <w:rPr>
          <w:i/>
          <w:sz w:val="16"/>
        </w:rPr>
        <w:t>garantía</w:t>
      </w:r>
      <w:r>
        <w:rPr>
          <w:i/>
          <w:spacing w:val="-8"/>
          <w:sz w:val="16"/>
        </w:rPr>
        <w:t> </w:t>
      </w:r>
      <w:r>
        <w:rPr>
          <w:i/>
          <w:sz w:val="16"/>
        </w:rPr>
        <w:t>de</w:t>
      </w:r>
      <w:r>
        <w:rPr>
          <w:i/>
          <w:spacing w:val="-7"/>
          <w:sz w:val="16"/>
        </w:rPr>
        <w:t> </w:t>
      </w:r>
      <w:r>
        <w:rPr>
          <w:i/>
          <w:sz w:val="16"/>
        </w:rPr>
        <w:t>los</w:t>
      </w:r>
      <w:r>
        <w:rPr>
          <w:i/>
          <w:spacing w:val="-10"/>
          <w:sz w:val="16"/>
        </w:rPr>
        <w:t> </w:t>
      </w:r>
      <w:r>
        <w:rPr>
          <w:i/>
          <w:sz w:val="16"/>
        </w:rPr>
        <w:t>derechos</w:t>
      </w:r>
      <w:r>
        <w:rPr>
          <w:i/>
          <w:spacing w:val="-10"/>
          <w:sz w:val="16"/>
        </w:rPr>
        <w:t> </w:t>
      </w:r>
      <w:r>
        <w:rPr>
          <w:i/>
          <w:sz w:val="16"/>
        </w:rPr>
        <w:t>a</w:t>
      </w:r>
      <w:r>
        <w:rPr>
          <w:i/>
          <w:spacing w:val="-8"/>
          <w:sz w:val="16"/>
        </w:rPr>
        <w:t> </w:t>
      </w:r>
      <w:r>
        <w:rPr>
          <w:i/>
          <w:sz w:val="16"/>
        </w:rPr>
        <w:t>la</w:t>
      </w:r>
      <w:r>
        <w:rPr>
          <w:i/>
          <w:spacing w:val="-10"/>
          <w:sz w:val="16"/>
        </w:rPr>
        <w:t> </w:t>
      </w:r>
      <w:r>
        <w:rPr>
          <w:i/>
          <w:sz w:val="16"/>
        </w:rPr>
        <w:t>vida</w:t>
      </w:r>
      <w:r>
        <w:rPr>
          <w:i/>
          <w:spacing w:val="-13"/>
          <w:sz w:val="16"/>
        </w:rPr>
        <w:t> </w:t>
      </w:r>
      <w:r>
        <w:rPr>
          <w:i/>
          <w:sz w:val="16"/>
        </w:rPr>
        <w:t>y</w:t>
      </w:r>
      <w:r>
        <w:rPr>
          <w:i/>
          <w:spacing w:val="-7"/>
          <w:sz w:val="16"/>
        </w:rPr>
        <w:t> </w:t>
      </w:r>
      <w:r>
        <w:rPr>
          <w:i/>
          <w:sz w:val="16"/>
        </w:rPr>
        <w:t>a</w:t>
      </w:r>
      <w:r>
        <w:rPr>
          <w:i/>
          <w:spacing w:val="-10"/>
          <w:sz w:val="16"/>
        </w:rPr>
        <w:t> </w:t>
      </w:r>
      <w:r>
        <w:rPr>
          <w:i/>
          <w:sz w:val="16"/>
        </w:rPr>
        <w:t>la</w:t>
      </w:r>
      <w:r>
        <w:rPr>
          <w:i/>
          <w:spacing w:val="-8"/>
          <w:sz w:val="16"/>
        </w:rPr>
        <w:t> </w:t>
      </w:r>
      <w:r>
        <w:rPr>
          <w:i/>
          <w:sz w:val="16"/>
        </w:rPr>
        <w:t>integridad</w:t>
      </w:r>
      <w:r>
        <w:rPr>
          <w:i/>
          <w:spacing w:val="-9"/>
          <w:sz w:val="16"/>
        </w:rPr>
        <w:t> </w:t>
      </w:r>
      <w:r>
        <w:rPr>
          <w:i/>
          <w:sz w:val="16"/>
        </w:rPr>
        <w:t>personal</w:t>
      </w:r>
      <w:r>
        <w:rPr>
          <w:i/>
          <w:spacing w:val="-6"/>
          <w:sz w:val="16"/>
        </w:rPr>
        <w:t> </w:t>
      </w:r>
      <w:r>
        <w:rPr>
          <w:i/>
          <w:sz w:val="16"/>
        </w:rPr>
        <w:t>-</w:t>
      </w:r>
      <w:r>
        <w:rPr>
          <w:i/>
          <w:spacing w:val="-11"/>
          <w:sz w:val="16"/>
        </w:rPr>
        <w:t> </w:t>
      </w:r>
      <w:r>
        <w:rPr>
          <w:i/>
          <w:sz w:val="16"/>
        </w:rPr>
        <w:t>interpretación</w:t>
      </w:r>
      <w:r>
        <w:rPr>
          <w:i/>
          <w:spacing w:val="-11"/>
          <w:sz w:val="16"/>
        </w:rPr>
        <w:t> </w:t>
      </w:r>
      <w:r>
        <w:rPr>
          <w:i/>
          <w:sz w:val="16"/>
        </w:rPr>
        <w:t>y</w:t>
      </w:r>
      <w:r>
        <w:rPr>
          <w:i/>
          <w:spacing w:val="-9"/>
          <w:sz w:val="16"/>
        </w:rPr>
        <w:t> </w:t>
      </w:r>
      <w:r>
        <w:rPr>
          <w:i/>
          <w:sz w:val="16"/>
        </w:rPr>
        <w:t>alcance de los artículos 4.1 y 5.1, en relación con los artículos 1.1 y 2 de la Convención Americana sobre Derechos Humanos). Opinión Consultiva OC-23/17</w:t>
      </w:r>
      <w:r>
        <w:rPr>
          <w:sz w:val="16"/>
        </w:rPr>
        <w:t>, párr. 66. La Corte ha indicado que “la salud [se relaciona directamente</w:t>
      </w:r>
      <w:r>
        <w:rPr>
          <w:spacing w:val="-14"/>
          <w:sz w:val="16"/>
        </w:rPr>
        <w:t> </w:t>
      </w:r>
      <w:r>
        <w:rPr>
          <w:sz w:val="16"/>
        </w:rPr>
        <w:t>con</w:t>
      </w:r>
      <w:r>
        <w:rPr>
          <w:spacing w:val="-15"/>
          <w:sz w:val="16"/>
        </w:rPr>
        <w:t> </w:t>
      </w:r>
      <w:r>
        <w:rPr>
          <w:sz w:val="16"/>
        </w:rPr>
        <w:t>el</w:t>
      </w:r>
      <w:r>
        <w:rPr>
          <w:spacing w:val="-14"/>
          <w:sz w:val="16"/>
        </w:rPr>
        <w:t> </w:t>
      </w:r>
      <w:r>
        <w:rPr>
          <w:sz w:val="16"/>
        </w:rPr>
        <w:t>acceso</w:t>
      </w:r>
      <w:r>
        <w:rPr>
          <w:spacing w:val="-14"/>
          <w:sz w:val="16"/>
        </w:rPr>
        <w:t> </w:t>
      </w:r>
      <w:r>
        <w:rPr>
          <w:sz w:val="16"/>
        </w:rPr>
        <w:t>a</w:t>
      </w:r>
      <w:r>
        <w:rPr>
          <w:spacing w:val="-14"/>
          <w:sz w:val="16"/>
        </w:rPr>
        <w:t> </w:t>
      </w:r>
      <w:r>
        <w:rPr>
          <w:sz w:val="16"/>
        </w:rPr>
        <w:t>la</w:t>
      </w:r>
      <w:r>
        <w:rPr>
          <w:spacing w:val="-14"/>
          <w:sz w:val="16"/>
        </w:rPr>
        <w:t> </w:t>
      </w:r>
      <w:r>
        <w:rPr>
          <w:sz w:val="16"/>
        </w:rPr>
        <w:t>alimentación</w:t>
      </w:r>
      <w:r>
        <w:rPr>
          <w:spacing w:val="-14"/>
          <w:sz w:val="16"/>
        </w:rPr>
        <w:t> </w:t>
      </w:r>
      <w:r>
        <w:rPr>
          <w:sz w:val="16"/>
        </w:rPr>
        <w:t>y</w:t>
      </w:r>
      <w:r>
        <w:rPr>
          <w:spacing w:val="-12"/>
          <w:sz w:val="16"/>
        </w:rPr>
        <w:t> </w:t>
      </w:r>
      <w:r>
        <w:rPr>
          <w:sz w:val="16"/>
        </w:rPr>
        <w:t>al</w:t>
      </w:r>
      <w:r>
        <w:rPr>
          <w:spacing w:val="-14"/>
          <w:sz w:val="16"/>
        </w:rPr>
        <w:t> </w:t>
      </w:r>
      <w:r>
        <w:rPr>
          <w:sz w:val="16"/>
        </w:rPr>
        <w:t>agua</w:t>
      </w:r>
      <w:r>
        <w:rPr>
          <w:spacing w:val="-14"/>
          <w:sz w:val="16"/>
        </w:rPr>
        <w:t> </w:t>
      </w:r>
      <w:r>
        <w:rPr>
          <w:sz w:val="16"/>
        </w:rPr>
        <w:t>(</w:t>
      </w:r>
      <w:r>
        <w:rPr>
          <w:i/>
          <w:sz w:val="16"/>
        </w:rPr>
        <w:t>cfr</w:t>
      </w:r>
      <w:r>
        <w:rPr>
          <w:sz w:val="16"/>
        </w:rPr>
        <w:t>.</w:t>
      </w:r>
      <w:r>
        <w:rPr>
          <w:spacing w:val="-15"/>
          <w:sz w:val="16"/>
        </w:rPr>
        <w:t> </w:t>
      </w:r>
      <w:r>
        <w:rPr>
          <w:i/>
          <w:sz w:val="16"/>
        </w:rPr>
        <w:t>Caso</w:t>
      </w:r>
      <w:r>
        <w:rPr>
          <w:i/>
          <w:spacing w:val="-14"/>
          <w:sz w:val="16"/>
        </w:rPr>
        <w:t> </w:t>
      </w:r>
      <w:r>
        <w:rPr>
          <w:i/>
          <w:sz w:val="16"/>
        </w:rPr>
        <w:t>Comunidad</w:t>
      </w:r>
      <w:r>
        <w:rPr>
          <w:i/>
          <w:spacing w:val="-13"/>
          <w:sz w:val="16"/>
        </w:rPr>
        <w:t> </w:t>
      </w:r>
      <w:r>
        <w:rPr>
          <w:i/>
          <w:sz w:val="16"/>
        </w:rPr>
        <w:t>Indígena</w:t>
      </w:r>
      <w:r>
        <w:rPr>
          <w:i/>
          <w:spacing w:val="-14"/>
          <w:sz w:val="16"/>
        </w:rPr>
        <w:t> </w:t>
      </w:r>
      <w:r>
        <w:rPr>
          <w:i/>
          <w:sz w:val="16"/>
        </w:rPr>
        <w:t>Yakye</w:t>
      </w:r>
      <w:r>
        <w:rPr>
          <w:i/>
          <w:spacing w:val="-14"/>
          <w:sz w:val="16"/>
        </w:rPr>
        <w:t> </w:t>
      </w:r>
      <w:r>
        <w:rPr>
          <w:i/>
          <w:sz w:val="16"/>
        </w:rPr>
        <w:t>Axa</w:t>
      </w:r>
      <w:r>
        <w:rPr>
          <w:i/>
          <w:spacing w:val="-15"/>
          <w:sz w:val="16"/>
        </w:rPr>
        <w:t> </w:t>
      </w:r>
      <w:r>
        <w:rPr>
          <w:i/>
          <w:sz w:val="16"/>
        </w:rPr>
        <w:t>Vs.</w:t>
      </w:r>
      <w:r>
        <w:rPr>
          <w:i/>
          <w:spacing w:val="-14"/>
          <w:sz w:val="16"/>
        </w:rPr>
        <w:t> </w:t>
      </w:r>
      <w:r>
        <w:rPr>
          <w:i/>
          <w:sz w:val="16"/>
        </w:rPr>
        <w:t>Paraguay, </w:t>
      </w:r>
      <w:r>
        <w:rPr>
          <w:sz w:val="16"/>
        </w:rPr>
        <w:t>párr. 167, </w:t>
      </w:r>
      <w:r>
        <w:rPr>
          <w:i/>
          <w:sz w:val="16"/>
        </w:rPr>
        <w:t>Caso Comunidad Indígena Sawhoyamaxa Vs. Paraguay, </w:t>
      </w:r>
      <w:r>
        <w:rPr>
          <w:sz w:val="16"/>
        </w:rPr>
        <w:t>párrs. 156 a 178; </w:t>
      </w:r>
      <w:r>
        <w:rPr>
          <w:i/>
          <w:sz w:val="16"/>
        </w:rPr>
        <w:t>Caso de la Comunidad </w:t>
      </w:r>
      <w:r>
        <w:rPr>
          <w:i/>
          <w:sz w:val="16"/>
        </w:rPr>
        <w:t>Indígena Xákmok Kásek vs. Paraguay, </w:t>
      </w:r>
      <w:r>
        <w:rPr>
          <w:sz w:val="16"/>
        </w:rPr>
        <w:t>párrs. 195 a 213 y </w:t>
      </w:r>
      <w:r>
        <w:rPr>
          <w:i/>
          <w:sz w:val="16"/>
        </w:rPr>
        <w:t>Medio ambiente y derechos humanos (obligaciones </w:t>
      </w:r>
      <w:r>
        <w:rPr>
          <w:i/>
          <w:sz w:val="16"/>
        </w:rPr>
        <w:t>estatales en relación con el medio ambiente en el marco de la protección y garantía de los derechos a la vida y</w:t>
      </w:r>
      <w:r>
        <w:rPr>
          <w:i/>
          <w:spacing w:val="-2"/>
          <w:sz w:val="16"/>
        </w:rPr>
        <w:t> </w:t>
      </w:r>
      <w:r>
        <w:rPr>
          <w:i/>
          <w:sz w:val="16"/>
        </w:rPr>
        <w:t>a</w:t>
      </w:r>
      <w:r>
        <w:rPr>
          <w:i/>
          <w:spacing w:val="-6"/>
          <w:sz w:val="16"/>
        </w:rPr>
        <w:t> </w:t>
      </w:r>
      <w:r>
        <w:rPr>
          <w:i/>
          <w:sz w:val="16"/>
        </w:rPr>
        <w:t>la</w:t>
      </w:r>
      <w:r>
        <w:rPr>
          <w:i/>
          <w:spacing w:val="-3"/>
          <w:sz w:val="16"/>
        </w:rPr>
        <w:t> </w:t>
      </w:r>
      <w:r>
        <w:rPr>
          <w:i/>
          <w:sz w:val="16"/>
        </w:rPr>
        <w:t>integridad</w:t>
      </w:r>
      <w:r>
        <w:rPr>
          <w:i/>
          <w:spacing w:val="-4"/>
          <w:sz w:val="16"/>
        </w:rPr>
        <w:t> </w:t>
      </w:r>
      <w:r>
        <w:rPr>
          <w:i/>
          <w:sz w:val="16"/>
        </w:rPr>
        <w:t>personal</w:t>
      </w:r>
      <w:r>
        <w:rPr>
          <w:i/>
          <w:spacing w:val="-3"/>
          <w:sz w:val="16"/>
        </w:rPr>
        <w:t> </w:t>
      </w:r>
      <w:r>
        <w:rPr>
          <w:i/>
          <w:sz w:val="16"/>
        </w:rPr>
        <w:t>-</w:t>
      </w:r>
      <w:r>
        <w:rPr>
          <w:i/>
          <w:spacing w:val="-4"/>
          <w:sz w:val="16"/>
        </w:rPr>
        <w:t> </w:t>
      </w:r>
      <w:r>
        <w:rPr>
          <w:i/>
          <w:sz w:val="16"/>
        </w:rPr>
        <w:t>interpretación</w:t>
      </w:r>
      <w:r>
        <w:rPr>
          <w:i/>
          <w:spacing w:val="-6"/>
          <w:sz w:val="16"/>
        </w:rPr>
        <w:t> </w:t>
      </w:r>
      <w:r>
        <w:rPr>
          <w:i/>
          <w:sz w:val="16"/>
        </w:rPr>
        <w:t>y</w:t>
      </w:r>
      <w:r>
        <w:rPr>
          <w:i/>
          <w:spacing w:val="-4"/>
          <w:sz w:val="16"/>
        </w:rPr>
        <w:t> </w:t>
      </w:r>
      <w:r>
        <w:rPr>
          <w:i/>
          <w:sz w:val="16"/>
        </w:rPr>
        <w:t>alcance</w:t>
      </w:r>
      <w:r>
        <w:rPr>
          <w:i/>
          <w:spacing w:val="-5"/>
          <w:sz w:val="16"/>
        </w:rPr>
        <w:t> </w:t>
      </w:r>
      <w:r>
        <w:rPr>
          <w:i/>
          <w:sz w:val="16"/>
        </w:rPr>
        <w:t>de</w:t>
      </w:r>
      <w:r>
        <w:rPr>
          <w:i/>
          <w:spacing w:val="-5"/>
          <w:sz w:val="16"/>
        </w:rPr>
        <w:t> </w:t>
      </w:r>
      <w:r>
        <w:rPr>
          <w:i/>
          <w:sz w:val="16"/>
        </w:rPr>
        <w:t>los</w:t>
      </w:r>
      <w:r>
        <w:rPr>
          <w:i/>
          <w:spacing w:val="-1"/>
          <w:sz w:val="16"/>
        </w:rPr>
        <w:t> </w:t>
      </w:r>
      <w:r>
        <w:rPr>
          <w:i/>
          <w:sz w:val="16"/>
        </w:rPr>
        <w:t>artículos</w:t>
      </w:r>
      <w:r>
        <w:rPr>
          <w:i/>
          <w:spacing w:val="-5"/>
          <w:sz w:val="16"/>
        </w:rPr>
        <w:t> </w:t>
      </w:r>
      <w:r>
        <w:rPr>
          <w:i/>
          <w:sz w:val="16"/>
        </w:rPr>
        <w:t>4.1</w:t>
      </w:r>
      <w:r>
        <w:rPr>
          <w:i/>
          <w:spacing w:val="-4"/>
          <w:sz w:val="16"/>
        </w:rPr>
        <w:t> </w:t>
      </w:r>
      <w:r>
        <w:rPr>
          <w:i/>
          <w:sz w:val="16"/>
        </w:rPr>
        <w:t>y</w:t>
      </w:r>
      <w:r>
        <w:rPr>
          <w:i/>
          <w:spacing w:val="-6"/>
          <w:sz w:val="16"/>
        </w:rPr>
        <w:t> </w:t>
      </w:r>
      <w:r>
        <w:rPr>
          <w:i/>
          <w:sz w:val="16"/>
        </w:rPr>
        <w:t>5.1,</w:t>
      </w:r>
      <w:r>
        <w:rPr>
          <w:i/>
          <w:spacing w:val="-4"/>
          <w:sz w:val="16"/>
        </w:rPr>
        <w:t> </w:t>
      </w:r>
      <w:r>
        <w:rPr>
          <w:i/>
          <w:sz w:val="16"/>
        </w:rPr>
        <w:t>en</w:t>
      </w:r>
      <w:r>
        <w:rPr>
          <w:i/>
          <w:spacing w:val="-6"/>
          <w:sz w:val="16"/>
        </w:rPr>
        <w:t> </w:t>
      </w:r>
      <w:r>
        <w:rPr>
          <w:i/>
          <w:sz w:val="16"/>
        </w:rPr>
        <w:t>relación</w:t>
      </w:r>
      <w:r>
        <w:rPr>
          <w:i/>
          <w:spacing w:val="-6"/>
          <w:sz w:val="16"/>
        </w:rPr>
        <w:t> </w:t>
      </w:r>
      <w:r>
        <w:rPr>
          <w:i/>
          <w:sz w:val="16"/>
        </w:rPr>
        <w:t>con</w:t>
      </w:r>
      <w:r>
        <w:rPr>
          <w:i/>
          <w:spacing w:val="-4"/>
          <w:sz w:val="16"/>
        </w:rPr>
        <w:t> </w:t>
      </w:r>
      <w:r>
        <w:rPr>
          <w:i/>
          <w:sz w:val="16"/>
        </w:rPr>
        <w:t>los</w:t>
      </w:r>
      <w:r>
        <w:rPr>
          <w:i/>
          <w:spacing w:val="-2"/>
          <w:sz w:val="16"/>
        </w:rPr>
        <w:t> </w:t>
      </w:r>
      <w:r>
        <w:rPr>
          <w:i/>
          <w:sz w:val="16"/>
        </w:rPr>
        <w:t>artículos</w:t>
      </w:r>
      <w:r>
        <w:rPr>
          <w:i/>
          <w:spacing w:val="-5"/>
          <w:sz w:val="16"/>
        </w:rPr>
        <w:t> </w:t>
      </w:r>
      <w:r>
        <w:rPr>
          <w:i/>
          <w:sz w:val="16"/>
        </w:rPr>
        <w:t>1.1 y 2 de la Convención Americana sobre Derechos Humanos). Opinión Consultiva OC-23/17</w:t>
      </w:r>
      <w:r>
        <w:rPr>
          <w:sz w:val="16"/>
        </w:rPr>
        <w:t>, párr. 110) y que “el acceso al agua y a la alimentación puede ser afectado por ejemplo, si la contaminación limita la disponibilidad</w:t>
      </w:r>
      <w:r>
        <w:rPr>
          <w:spacing w:val="-8"/>
          <w:sz w:val="16"/>
        </w:rPr>
        <w:t> </w:t>
      </w:r>
      <w:r>
        <w:rPr>
          <w:sz w:val="16"/>
        </w:rPr>
        <w:t>de</w:t>
      </w:r>
      <w:r>
        <w:rPr>
          <w:spacing w:val="-6"/>
          <w:sz w:val="16"/>
        </w:rPr>
        <w:t> </w:t>
      </w:r>
      <w:r>
        <w:rPr>
          <w:sz w:val="16"/>
        </w:rPr>
        <w:t>los</w:t>
      </w:r>
      <w:r>
        <w:rPr>
          <w:spacing w:val="-6"/>
          <w:sz w:val="16"/>
        </w:rPr>
        <w:t> </w:t>
      </w:r>
      <w:r>
        <w:rPr>
          <w:sz w:val="16"/>
        </w:rPr>
        <w:t>mismos</w:t>
      </w:r>
      <w:r>
        <w:rPr>
          <w:spacing w:val="-8"/>
          <w:sz w:val="16"/>
        </w:rPr>
        <w:t> </w:t>
      </w:r>
      <w:r>
        <w:rPr>
          <w:sz w:val="16"/>
        </w:rPr>
        <w:t>en</w:t>
      </w:r>
      <w:r>
        <w:rPr>
          <w:spacing w:val="-7"/>
          <w:sz w:val="16"/>
        </w:rPr>
        <w:t> </w:t>
      </w:r>
      <w:r>
        <w:rPr>
          <w:sz w:val="16"/>
        </w:rPr>
        <w:t>cantidades</w:t>
      </w:r>
      <w:r>
        <w:rPr>
          <w:spacing w:val="-8"/>
          <w:sz w:val="16"/>
        </w:rPr>
        <w:t> </w:t>
      </w:r>
      <w:r>
        <w:rPr>
          <w:sz w:val="16"/>
        </w:rPr>
        <w:t>suficientes</w:t>
      </w:r>
      <w:r>
        <w:rPr>
          <w:spacing w:val="-8"/>
          <w:sz w:val="16"/>
        </w:rPr>
        <w:t> </w:t>
      </w:r>
      <w:r>
        <w:rPr>
          <w:sz w:val="16"/>
        </w:rPr>
        <w:t>o</w:t>
      </w:r>
      <w:r>
        <w:rPr>
          <w:spacing w:val="-8"/>
          <w:sz w:val="16"/>
        </w:rPr>
        <w:t> </w:t>
      </w:r>
      <w:r>
        <w:rPr>
          <w:sz w:val="16"/>
        </w:rPr>
        <w:t>afecta</w:t>
      </w:r>
      <w:r>
        <w:rPr>
          <w:spacing w:val="-7"/>
          <w:sz w:val="16"/>
        </w:rPr>
        <w:t> </w:t>
      </w:r>
      <w:r>
        <w:rPr>
          <w:sz w:val="16"/>
        </w:rPr>
        <w:t>su</w:t>
      </w:r>
      <w:r>
        <w:rPr>
          <w:spacing w:val="-7"/>
          <w:sz w:val="16"/>
        </w:rPr>
        <w:t> </w:t>
      </w:r>
      <w:r>
        <w:rPr>
          <w:sz w:val="16"/>
        </w:rPr>
        <w:t>calidad”</w:t>
      </w:r>
      <w:r>
        <w:rPr>
          <w:spacing w:val="-6"/>
          <w:sz w:val="16"/>
        </w:rPr>
        <w:t> </w:t>
      </w:r>
      <w:r>
        <w:rPr>
          <w:sz w:val="16"/>
        </w:rPr>
        <w:t>(</w:t>
      </w:r>
      <w:r>
        <w:rPr>
          <w:i/>
          <w:sz w:val="16"/>
        </w:rPr>
        <w:t>cfr.</w:t>
      </w:r>
      <w:r>
        <w:rPr>
          <w:i/>
          <w:spacing w:val="-9"/>
          <w:sz w:val="16"/>
        </w:rPr>
        <w:t> </w:t>
      </w:r>
      <w:r>
        <w:rPr>
          <w:i/>
          <w:sz w:val="16"/>
        </w:rPr>
        <w:t>Caso</w:t>
      </w:r>
      <w:r>
        <w:rPr>
          <w:i/>
          <w:spacing w:val="-8"/>
          <w:sz w:val="16"/>
        </w:rPr>
        <w:t> </w:t>
      </w:r>
      <w:r>
        <w:rPr>
          <w:i/>
          <w:sz w:val="16"/>
        </w:rPr>
        <w:t>del</w:t>
      </w:r>
      <w:r>
        <w:rPr>
          <w:i/>
          <w:spacing w:val="-7"/>
          <w:sz w:val="16"/>
        </w:rPr>
        <w:t> </w:t>
      </w:r>
      <w:r>
        <w:rPr>
          <w:i/>
          <w:sz w:val="16"/>
        </w:rPr>
        <w:t>Pueblo</w:t>
      </w:r>
      <w:r>
        <w:rPr>
          <w:i/>
          <w:spacing w:val="-8"/>
          <w:sz w:val="16"/>
        </w:rPr>
        <w:t> </w:t>
      </w:r>
      <w:r>
        <w:rPr>
          <w:i/>
          <w:sz w:val="16"/>
        </w:rPr>
        <w:t>Saramaka</w:t>
      </w:r>
      <w:r>
        <w:rPr>
          <w:i/>
          <w:spacing w:val="-7"/>
          <w:sz w:val="16"/>
        </w:rPr>
        <w:t> </w:t>
      </w:r>
      <w:r>
        <w:rPr>
          <w:i/>
          <w:sz w:val="16"/>
        </w:rPr>
        <w:t>Vs. </w:t>
      </w:r>
      <w:r>
        <w:rPr>
          <w:i/>
          <w:sz w:val="16"/>
        </w:rPr>
        <w:t>Surinam, </w:t>
      </w:r>
      <w:r>
        <w:rPr>
          <w:sz w:val="16"/>
        </w:rPr>
        <w:t>párr. 126; </w:t>
      </w:r>
      <w:r>
        <w:rPr>
          <w:i/>
          <w:sz w:val="16"/>
        </w:rPr>
        <w:t>Caso de la Comunidad Indígena Xákmok Kásek vs. Paraguay, </w:t>
      </w:r>
      <w:r>
        <w:rPr>
          <w:sz w:val="16"/>
        </w:rPr>
        <w:t>párrs. 195 y 198 y </w:t>
      </w:r>
      <w:r>
        <w:rPr>
          <w:i/>
          <w:sz w:val="16"/>
        </w:rPr>
        <w:t>Medio </w:t>
      </w:r>
      <w:r>
        <w:rPr>
          <w:i/>
          <w:sz w:val="16"/>
        </w:rPr>
        <w:t>ambiente y derechos humanos (obligaciones estatales en relación con el medio ambiente en el marco de la protección y garantía de los derechos a la vida y a la integridad personal - interpretación y alcance de los artículos</w:t>
      </w:r>
      <w:r>
        <w:rPr>
          <w:i/>
          <w:spacing w:val="-12"/>
          <w:sz w:val="16"/>
        </w:rPr>
        <w:t> </w:t>
      </w:r>
      <w:r>
        <w:rPr>
          <w:i/>
          <w:sz w:val="16"/>
        </w:rPr>
        <w:t>4.1</w:t>
      </w:r>
      <w:r>
        <w:rPr>
          <w:i/>
          <w:spacing w:val="-13"/>
          <w:sz w:val="16"/>
        </w:rPr>
        <w:t> </w:t>
      </w:r>
      <w:r>
        <w:rPr>
          <w:i/>
          <w:sz w:val="16"/>
        </w:rPr>
        <w:t>y</w:t>
      </w:r>
      <w:r>
        <w:rPr>
          <w:i/>
          <w:spacing w:val="-11"/>
          <w:sz w:val="16"/>
        </w:rPr>
        <w:t> </w:t>
      </w:r>
      <w:r>
        <w:rPr>
          <w:i/>
          <w:sz w:val="16"/>
        </w:rPr>
        <w:t>5.1,</w:t>
      </w:r>
      <w:r>
        <w:rPr>
          <w:i/>
          <w:spacing w:val="-13"/>
          <w:sz w:val="16"/>
        </w:rPr>
        <w:t> </w:t>
      </w:r>
      <w:r>
        <w:rPr>
          <w:i/>
          <w:sz w:val="16"/>
        </w:rPr>
        <w:t>en</w:t>
      </w:r>
      <w:r>
        <w:rPr>
          <w:i/>
          <w:spacing w:val="-13"/>
          <w:sz w:val="16"/>
        </w:rPr>
        <w:t> </w:t>
      </w:r>
      <w:r>
        <w:rPr>
          <w:i/>
          <w:sz w:val="16"/>
        </w:rPr>
        <w:t>relación</w:t>
      </w:r>
      <w:r>
        <w:rPr>
          <w:i/>
          <w:spacing w:val="-13"/>
          <w:sz w:val="16"/>
        </w:rPr>
        <w:t> </w:t>
      </w:r>
      <w:r>
        <w:rPr>
          <w:i/>
          <w:sz w:val="16"/>
        </w:rPr>
        <w:t>con</w:t>
      </w:r>
      <w:r>
        <w:rPr>
          <w:i/>
          <w:spacing w:val="-11"/>
          <w:sz w:val="16"/>
        </w:rPr>
        <w:t> </w:t>
      </w:r>
      <w:r>
        <w:rPr>
          <w:i/>
          <w:sz w:val="16"/>
        </w:rPr>
        <w:t>los</w:t>
      </w:r>
      <w:r>
        <w:rPr>
          <w:i/>
          <w:spacing w:val="-12"/>
          <w:sz w:val="16"/>
        </w:rPr>
        <w:t> </w:t>
      </w:r>
      <w:r>
        <w:rPr>
          <w:i/>
          <w:sz w:val="16"/>
        </w:rPr>
        <w:t>artículos</w:t>
      </w:r>
      <w:r>
        <w:rPr>
          <w:i/>
          <w:spacing w:val="-14"/>
          <w:sz w:val="16"/>
        </w:rPr>
        <w:t> </w:t>
      </w:r>
      <w:r>
        <w:rPr>
          <w:i/>
          <w:sz w:val="16"/>
        </w:rPr>
        <w:t>1.1</w:t>
      </w:r>
      <w:r>
        <w:rPr>
          <w:i/>
          <w:spacing w:val="-13"/>
          <w:sz w:val="16"/>
        </w:rPr>
        <w:t> </w:t>
      </w:r>
      <w:r>
        <w:rPr>
          <w:i/>
          <w:sz w:val="16"/>
        </w:rPr>
        <w:t>y</w:t>
      </w:r>
      <w:r>
        <w:rPr>
          <w:i/>
          <w:spacing w:val="-11"/>
          <w:sz w:val="16"/>
        </w:rPr>
        <w:t> </w:t>
      </w:r>
      <w:r>
        <w:rPr>
          <w:i/>
          <w:sz w:val="16"/>
        </w:rPr>
        <w:t>2</w:t>
      </w:r>
      <w:r>
        <w:rPr>
          <w:i/>
          <w:spacing w:val="-13"/>
          <w:sz w:val="16"/>
        </w:rPr>
        <w:t> </w:t>
      </w:r>
      <w:r>
        <w:rPr>
          <w:i/>
          <w:sz w:val="16"/>
        </w:rPr>
        <w:t>de</w:t>
      </w:r>
      <w:r>
        <w:rPr>
          <w:i/>
          <w:spacing w:val="-12"/>
          <w:sz w:val="16"/>
        </w:rPr>
        <w:t> </w:t>
      </w:r>
      <w:r>
        <w:rPr>
          <w:i/>
          <w:sz w:val="16"/>
        </w:rPr>
        <w:t>la</w:t>
      </w:r>
      <w:r>
        <w:rPr>
          <w:i/>
          <w:spacing w:val="-13"/>
          <w:sz w:val="16"/>
        </w:rPr>
        <w:t> </w:t>
      </w:r>
      <w:r>
        <w:rPr>
          <w:i/>
          <w:sz w:val="16"/>
        </w:rPr>
        <w:t>Convención</w:t>
      </w:r>
      <w:r>
        <w:rPr>
          <w:i/>
          <w:spacing w:val="-13"/>
          <w:sz w:val="16"/>
        </w:rPr>
        <w:t> </w:t>
      </w:r>
      <w:r>
        <w:rPr>
          <w:i/>
          <w:sz w:val="16"/>
        </w:rPr>
        <w:t>Americana</w:t>
      </w:r>
      <w:r>
        <w:rPr>
          <w:i/>
          <w:spacing w:val="-13"/>
          <w:sz w:val="16"/>
        </w:rPr>
        <w:t> </w:t>
      </w:r>
      <w:r>
        <w:rPr>
          <w:i/>
          <w:sz w:val="16"/>
        </w:rPr>
        <w:t>sobre</w:t>
      </w:r>
      <w:r>
        <w:rPr>
          <w:i/>
          <w:spacing w:val="-14"/>
          <w:sz w:val="16"/>
        </w:rPr>
        <w:t> </w:t>
      </w:r>
      <w:r>
        <w:rPr>
          <w:i/>
          <w:sz w:val="16"/>
        </w:rPr>
        <w:t>Derechos</w:t>
      </w:r>
      <w:r>
        <w:rPr>
          <w:i/>
          <w:spacing w:val="-12"/>
          <w:sz w:val="16"/>
        </w:rPr>
        <w:t> </w:t>
      </w:r>
      <w:r>
        <w:rPr>
          <w:i/>
          <w:sz w:val="16"/>
        </w:rPr>
        <w:t>Humanos). Opinión Consultiva OC-23/17</w:t>
      </w:r>
      <w:r>
        <w:rPr>
          <w:sz w:val="16"/>
        </w:rPr>
        <w:t>, párr</w:t>
      </w:r>
      <w:r>
        <w:rPr>
          <w:spacing w:val="-14"/>
          <w:sz w:val="16"/>
        </w:rPr>
        <w:t> </w:t>
      </w:r>
      <w:r>
        <w:rPr>
          <w:sz w:val="16"/>
        </w:rPr>
        <w:t>11).</w:t>
      </w:r>
    </w:p>
    <w:p>
      <w:pPr>
        <w:pStyle w:val="BodyText"/>
        <w:spacing w:before="1"/>
        <w:rPr>
          <w:sz w:val="16"/>
        </w:rPr>
      </w:pPr>
    </w:p>
    <w:p>
      <w:pPr>
        <w:tabs>
          <w:tab w:pos="829" w:val="left" w:leader="none"/>
        </w:tabs>
        <w:spacing w:before="0"/>
        <w:ind w:left="122" w:right="115" w:firstLine="0"/>
        <w:jc w:val="both"/>
        <w:rPr>
          <w:i/>
          <w:sz w:val="16"/>
        </w:rPr>
      </w:pPr>
      <w:r>
        <w:rPr>
          <w:position w:val="6"/>
          <w:sz w:val="10"/>
        </w:rPr>
        <w:t>229</w:t>
        <w:tab/>
      </w:r>
      <w:r>
        <w:rPr>
          <w:sz w:val="16"/>
        </w:rPr>
        <w:t>De</w:t>
      </w:r>
      <w:r>
        <w:rPr>
          <w:spacing w:val="-11"/>
          <w:sz w:val="16"/>
        </w:rPr>
        <w:t> </w:t>
      </w:r>
      <w:r>
        <w:rPr>
          <w:sz w:val="16"/>
        </w:rPr>
        <w:t>conformidad</w:t>
      </w:r>
      <w:r>
        <w:rPr>
          <w:spacing w:val="-10"/>
          <w:sz w:val="16"/>
        </w:rPr>
        <w:t> </w:t>
      </w:r>
      <w:r>
        <w:rPr>
          <w:sz w:val="16"/>
        </w:rPr>
        <w:t>al</w:t>
      </w:r>
      <w:r>
        <w:rPr>
          <w:spacing w:val="-11"/>
          <w:sz w:val="16"/>
        </w:rPr>
        <w:t> </w:t>
      </w:r>
      <w:r>
        <w:rPr>
          <w:sz w:val="16"/>
        </w:rPr>
        <w:t>deber</w:t>
      </w:r>
      <w:r>
        <w:rPr>
          <w:spacing w:val="-10"/>
          <w:sz w:val="16"/>
        </w:rPr>
        <w:t> </w:t>
      </w:r>
      <w:r>
        <w:rPr>
          <w:sz w:val="16"/>
        </w:rPr>
        <w:t>de</w:t>
      </w:r>
      <w:r>
        <w:rPr>
          <w:spacing w:val="-13"/>
          <w:sz w:val="16"/>
        </w:rPr>
        <w:t> </w:t>
      </w:r>
      <w:r>
        <w:rPr>
          <w:sz w:val="16"/>
        </w:rPr>
        <w:t>respeto</w:t>
      </w:r>
      <w:r>
        <w:rPr>
          <w:spacing w:val="-12"/>
          <w:sz w:val="16"/>
        </w:rPr>
        <w:t> </w:t>
      </w:r>
      <w:r>
        <w:rPr>
          <w:sz w:val="16"/>
        </w:rPr>
        <w:t>ordenado</w:t>
      </w:r>
      <w:r>
        <w:rPr>
          <w:spacing w:val="-10"/>
          <w:sz w:val="16"/>
        </w:rPr>
        <w:t> </w:t>
      </w:r>
      <w:r>
        <w:rPr>
          <w:sz w:val="16"/>
        </w:rPr>
        <w:t>por</w:t>
      </w:r>
      <w:r>
        <w:rPr>
          <w:spacing w:val="-12"/>
          <w:sz w:val="16"/>
        </w:rPr>
        <w:t> </w:t>
      </w:r>
      <w:r>
        <w:rPr>
          <w:sz w:val="16"/>
        </w:rPr>
        <w:t>el</w:t>
      </w:r>
      <w:r>
        <w:rPr>
          <w:spacing w:val="-9"/>
          <w:sz w:val="16"/>
        </w:rPr>
        <w:t> </w:t>
      </w:r>
      <w:r>
        <w:rPr>
          <w:sz w:val="16"/>
        </w:rPr>
        <w:t>artículo</w:t>
      </w:r>
      <w:r>
        <w:rPr>
          <w:spacing w:val="-12"/>
          <w:sz w:val="16"/>
        </w:rPr>
        <w:t> </w:t>
      </w:r>
      <w:r>
        <w:rPr>
          <w:sz w:val="16"/>
        </w:rPr>
        <w:t>1.1</w:t>
      </w:r>
      <w:r>
        <w:rPr>
          <w:spacing w:val="-10"/>
          <w:sz w:val="16"/>
        </w:rPr>
        <w:t> </w:t>
      </w:r>
      <w:r>
        <w:rPr>
          <w:sz w:val="16"/>
        </w:rPr>
        <w:t>de</w:t>
      </w:r>
      <w:r>
        <w:rPr>
          <w:spacing w:val="-11"/>
          <w:sz w:val="16"/>
        </w:rPr>
        <w:t> </w:t>
      </w:r>
      <w:r>
        <w:rPr>
          <w:sz w:val="16"/>
        </w:rPr>
        <w:t>la</w:t>
      </w:r>
      <w:r>
        <w:rPr>
          <w:spacing w:val="-11"/>
          <w:sz w:val="16"/>
        </w:rPr>
        <w:t> </w:t>
      </w:r>
      <w:r>
        <w:rPr>
          <w:sz w:val="16"/>
        </w:rPr>
        <w:t>Convención,</w:t>
      </w:r>
      <w:r>
        <w:rPr>
          <w:spacing w:val="-12"/>
          <w:sz w:val="16"/>
        </w:rPr>
        <w:t> </w:t>
      </w:r>
      <w:r>
        <w:rPr>
          <w:sz w:val="16"/>
        </w:rPr>
        <w:t>“los</w:t>
      </w:r>
      <w:r>
        <w:rPr>
          <w:spacing w:val="-11"/>
          <w:sz w:val="16"/>
        </w:rPr>
        <w:t> </w:t>
      </w:r>
      <w:r>
        <w:rPr>
          <w:sz w:val="16"/>
        </w:rPr>
        <w:t>Estados</w:t>
      </w:r>
      <w:r>
        <w:rPr>
          <w:spacing w:val="-13"/>
          <w:sz w:val="16"/>
        </w:rPr>
        <w:t> </w:t>
      </w:r>
      <w:r>
        <w:rPr>
          <w:sz w:val="16"/>
        </w:rPr>
        <w:t>deben</w:t>
      </w:r>
      <w:r>
        <w:rPr>
          <w:w w:val="100"/>
          <w:sz w:val="16"/>
        </w:rPr>
        <w:t> </w:t>
      </w:r>
      <w:r>
        <w:rPr>
          <w:sz w:val="16"/>
        </w:rPr>
        <w:t>abstenerse</w:t>
      </w:r>
      <w:r>
        <w:rPr>
          <w:spacing w:val="-14"/>
          <w:sz w:val="16"/>
        </w:rPr>
        <w:t> </w:t>
      </w:r>
      <w:r>
        <w:rPr>
          <w:sz w:val="16"/>
        </w:rPr>
        <w:t>de</w:t>
      </w:r>
      <w:r>
        <w:rPr>
          <w:spacing w:val="-14"/>
          <w:sz w:val="16"/>
        </w:rPr>
        <w:t> </w:t>
      </w:r>
      <w:r>
        <w:rPr>
          <w:sz w:val="16"/>
        </w:rPr>
        <w:t>[…]</w:t>
      </w:r>
      <w:r>
        <w:rPr>
          <w:spacing w:val="-15"/>
          <w:sz w:val="16"/>
        </w:rPr>
        <w:t> </w:t>
      </w:r>
      <w:r>
        <w:rPr>
          <w:sz w:val="16"/>
        </w:rPr>
        <w:t>cualquier</w:t>
      </w:r>
      <w:r>
        <w:rPr>
          <w:spacing w:val="-13"/>
          <w:sz w:val="16"/>
        </w:rPr>
        <w:t> </w:t>
      </w:r>
      <w:r>
        <w:rPr>
          <w:sz w:val="16"/>
        </w:rPr>
        <w:t>práctica</w:t>
      </w:r>
      <w:r>
        <w:rPr>
          <w:spacing w:val="-13"/>
          <w:sz w:val="16"/>
        </w:rPr>
        <w:t> </w:t>
      </w:r>
      <w:r>
        <w:rPr>
          <w:sz w:val="16"/>
        </w:rPr>
        <w:t>o</w:t>
      </w:r>
      <w:r>
        <w:rPr>
          <w:spacing w:val="-14"/>
          <w:sz w:val="16"/>
        </w:rPr>
        <w:t> </w:t>
      </w:r>
      <w:r>
        <w:rPr>
          <w:sz w:val="16"/>
        </w:rPr>
        <w:t>actividad</w:t>
      </w:r>
      <w:r>
        <w:rPr>
          <w:spacing w:val="-16"/>
          <w:sz w:val="16"/>
        </w:rPr>
        <w:t> </w:t>
      </w:r>
      <w:r>
        <w:rPr>
          <w:sz w:val="16"/>
        </w:rPr>
        <w:t>que</w:t>
      </w:r>
      <w:r>
        <w:rPr>
          <w:spacing w:val="-14"/>
          <w:sz w:val="16"/>
        </w:rPr>
        <w:t> </w:t>
      </w:r>
      <w:r>
        <w:rPr>
          <w:sz w:val="16"/>
        </w:rPr>
        <w:t>deniegue</w:t>
      </w:r>
      <w:r>
        <w:rPr>
          <w:spacing w:val="-12"/>
          <w:sz w:val="16"/>
        </w:rPr>
        <w:t> </w:t>
      </w:r>
      <w:r>
        <w:rPr>
          <w:sz w:val="16"/>
        </w:rPr>
        <w:t>o</w:t>
      </w:r>
      <w:r>
        <w:rPr>
          <w:spacing w:val="-16"/>
          <w:sz w:val="16"/>
        </w:rPr>
        <w:t> </w:t>
      </w:r>
      <w:r>
        <w:rPr>
          <w:sz w:val="16"/>
        </w:rPr>
        <w:t>restrinja</w:t>
      </w:r>
      <w:r>
        <w:rPr>
          <w:spacing w:val="-15"/>
          <w:sz w:val="16"/>
        </w:rPr>
        <w:t> </w:t>
      </w:r>
      <w:r>
        <w:rPr>
          <w:sz w:val="16"/>
        </w:rPr>
        <w:t>el</w:t>
      </w:r>
      <w:r>
        <w:rPr>
          <w:spacing w:val="-13"/>
          <w:sz w:val="16"/>
        </w:rPr>
        <w:t> </w:t>
      </w:r>
      <w:r>
        <w:rPr>
          <w:sz w:val="16"/>
        </w:rPr>
        <w:t>acceso,</w:t>
      </w:r>
      <w:r>
        <w:rPr>
          <w:spacing w:val="-11"/>
          <w:sz w:val="16"/>
        </w:rPr>
        <w:t> </w:t>
      </w:r>
      <w:r>
        <w:rPr>
          <w:sz w:val="16"/>
        </w:rPr>
        <w:t>en</w:t>
      </w:r>
      <w:r>
        <w:rPr>
          <w:spacing w:val="-15"/>
          <w:sz w:val="16"/>
        </w:rPr>
        <w:t> </w:t>
      </w:r>
      <w:r>
        <w:rPr>
          <w:sz w:val="16"/>
        </w:rPr>
        <w:t>condiciones</w:t>
      </w:r>
      <w:r>
        <w:rPr>
          <w:spacing w:val="-14"/>
          <w:sz w:val="16"/>
        </w:rPr>
        <w:t> </w:t>
      </w:r>
      <w:r>
        <w:rPr>
          <w:sz w:val="16"/>
        </w:rPr>
        <w:t>de</w:t>
      </w:r>
      <w:r>
        <w:rPr>
          <w:spacing w:val="-14"/>
          <w:sz w:val="16"/>
        </w:rPr>
        <w:t> </w:t>
      </w:r>
      <w:r>
        <w:rPr>
          <w:sz w:val="16"/>
        </w:rPr>
        <w:t>igualdad, a los requisitos para una vida digna, como […] el agua” (</w:t>
      </w:r>
      <w:r>
        <w:rPr>
          <w:i/>
          <w:sz w:val="16"/>
        </w:rPr>
        <w:t>Medio ambiente y derechos humanos </w:t>
      </w:r>
      <w:r>
        <w:rPr>
          <w:i/>
          <w:spacing w:val="38"/>
          <w:sz w:val="16"/>
        </w:rPr>
        <w:t> </w:t>
      </w:r>
      <w:r>
        <w:rPr>
          <w:i/>
          <w:sz w:val="16"/>
        </w:rPr>
        <w:t>(obligaciones</w:t>
      </w:r>
    </w:p>
    <w:p>
      <w:pPr>
        <w:spacing w:after="0"/>
        <w:jc w:val="both"/>
        <w:rPr>
          <w:sz w:val="16"/>
        </w:rPr>
        <w:sectPr>
          <w:footerReference w:type="default" r:id="rId25"/>
          <w:pgSz w:w="12240" w:h="15840"/>
          <w:pgMar w:footer="1000" w:header="0" w:top="1340" w:bottom="1200" w:left="1580" w:right="1580"/>
        </w:sectPr>
      </w:pPr>
    </w:p>
    <w:p>
      <w:pPr>
        <w:pStyle w:val="BodyText"/>
        <w:spacing w:before="76"/>
        <w:ind w:left="122" w:right="125"/>
        <w:jc w:val="both"/>
      </w:pPr>
      <w:r>
        <w:rPr/>
        <w:t>Convención. Este Tribunal ha indicado que “el acceso al agua” implica “obligaciones de realización progresiva”, pero que “sin embargo, los Estados tienen obligaciones inmediatas, como garantizar [dicho acceso] sin discriminación y adoptar medidas para lograr su plena realización”</w:t>
      </w:r>
      <w:r>
        <w:rPr>
          <w:position w:val="7"/>
          <w:sz w:val="13"/>
        </w:rPr>
        <w:t>230</w:t>
      </w:r>
      <w:r>
        <w:rPr/>
        <w:t>. Entre las obligaciones estatales que pueden entenderse comprendidas en el deber de garantía se encuentra la de brindar protección frente a actos de particulares, que exige que los Estados impidan a terceros que menoscaben el disfrute del derecho al agua, así como“garantizar un mínimo esencial de agua” en aquellos “casos particulares de personas o grupos de personas que no están en condiciones</w:t>
      </w:r>
      <w:r>
        <w:rPr>
          <w:spacing w:val="-9"/>
        </w:rPr>
        <w:t> </w:t>
      </w:r>
      <w:r>
        <w:rPr/>
        <w:t>de</w:t>
      </w:r>
      <w:r>
        <w:rPr>
          <w:spacing w:val="-9"/>
        </w:rPr>
        <w:t> </w:t>
      </w:r>
      <w:r>
        <w:rPr/>
        <w:t>acceder</w:t>
      </w:r>
      <w:r>
        <w:rPr>
          <w:spacing w:val="-9"/>
        </w:rPr>
        <w:t> </w:t>
      </w:r>
      <w:r>
        <w:rPr/>
        <w:t>por</w:t>
      </w:r>
      <w:r>
        <w:rPr>
          <w:spacing w:val="-9"/>
        </w:rPr>
        <w:t> </w:t>
      </w:r>
      <w:r>
        <w:rPr/>
        <w:t>sí</w:t>
      </w:r>
      <w:r>
        <w:rPr>
          <w:spacing w:val="-8"/>
        </w:rPr>
        <w:t> </w:t>
      </w:r>
      <w:r>
        <w:rPr/>
        <w:t>mismos</w:t>
      </w:r>
      <w:r>
        <w:rPr>
          <w:spacing w:val="-9"/>
        </w:rPr>
        <w:t> </w:t>
      </w:r>
      <w:r>
        <w:rPr/>
        <w:t>al</w:t>
      </w:r>
      <w:r>
        <w:rPr>
          <w:spacing w:val="-9"/>
        </w:rPr>
        <w:t> </w:t>
      </w:r>
      <w:r>
        <w:rPr/>
        <w:t>agua</w:t>
      </w:r>
      <w:r>
        <w:rPr>
          <w:spacing w:val="-8"/>
        </w:rPr>
        <w:t> </w:t>
      </w:r>
      <w:r>
        <w:rPr/>
        <w:t>[…],</w:t>
      </w:r>
      <w:r>
        <w:rPr>
          <w:spacing w:val="-11"/>
        </w:rPr>
        <w:t> </w:t>
      </w:r>
      <w:r>
        <w:rPr/>
        <w:t>por</w:t>
      </w:r>
      <w:r>
        <w:rPr>
          <w:spacing w:val="-9"/>
        </w:rPr>
        <w:t> </w:t>
      </w:r>
      <w:r>
        <w:rPr/>
        <w:t>razones</w:t>
      </w:r>
      <w:r>
        <w:rPr>
          <w:spacing w:val="-9"/>
        </w:rPr>
        <w:t> </w:t>
      </w:r>
      <w:r>
        <w:rPr/>
        <w:t>ajenas</w:t>
      </w:r>
      <w:r>
        <w:rPr>
          <w:spacing w:val="-9"/>
        </w:rPr>
        <w:t> </w:t>
      </w:r>
      <w:r>
        <w:rPr/>
        <w:t>a</w:t>
      </w:r>
      <w:r>
        <w:rPr>
          <w:spacing w:val="-10"/>
        </w:rPr>
        <w:t> </w:t>
      </w:r>
      <w:r>
        <w:rPr/>
        <w:t>su</w:t>
      </w:r>
      <w:r>
        <w:rPr>
          <w:spacing w:val="-7"/>
        </w:rPr>
        <w:t> </w:t>
      </w:r>
      <w:r>
        <w:rPr/>
        <w:t>voluntad”</w:t>
      </w:r>
      <w:r>
        <w:rPr>
          <w:position w:val="7"/>
          <w:sz w:val="13"/>
        </w:rPr>
        <w:t>231</w:t>
      </w:r>
      <w:r>
        <w:rPr/>
        <w:t>.</w:t>
      </w:r>
    </w:p>
    <w:p>
      <w:pPr>
        <w:pStyle w:val="BodyText"/>
        <w:spacing w:before="10"/>
        <w:rPr>
          <w:sz w:val="19"/>
        </w:rPr>
      </w:pPr>
    </w:p>
    <w:p>
      <w:pPr>
        <w:pStyle w:val="ListParagraph"/>
        <w:numPr>
          <w:ilvl w:val="0"/>
          <w:numId w:val="31"/>
        </w:numPr>
        <w:tabs>
          <w:tab w:pos="830" w:val="left" w:leader="none"/>
        </w:tabs>
        <w:spacing w:line="240" w:lineRule="auto" w:before="0" w:after="0"/>
        <w:ind w:left="122" w:right="120" w:firstLine="0"/>
        <w:jc w:val="both"/>
        <w:rPr>
          <w:sz w:val="20"/>
        </w:rPr>
      </w:pPr>
      <w:r>
        <w:rPr>
          <w:sz w:val="20"/>
        </w:rPr>
        <w:t>La Corte concuerda con el Comité DESC en cuanto a que, en el cumplimiento de sus obligaciones relativas al derecho al agua, los Estados “deben prestar especial atención a las personas y grupos de personas que tradicionalmente han tenido dificultades para ejercer este derecho”, inclusive, entre otros, “los pueblos indígenas”. En ese sentido, deben velar porque “[e]l acceso de los pueblos indígenas a los recursos de agua en sus tierras ancestrales sea protegido de toda transgresión y contaminación ilícitas” y “facilitar recursos para que los pueblos indígenas planifiquen, ejerzan y controlen su acceso al agua”, así como que “[l]as comunidades nómadas […] tengan acceso al agua potable en sus lugares de acampada</w:t>
      </w:r>
      <w:r>
        <w:rPr>
          <w:spacing w:val="-23"/>
          <w:sz w:val="20"/>
        </w:rPr>
        <w:t> </w:t>
      </w:r>
      <w:r>
        <w:rPr>
          <w:sz w:val="20"/>
        </w:rPr>
        <w:t>tradicionales”</w:t>
      </w:r>
      <w:r>
        <w:rPr>
          <w:position w:val="7"/>
          <w:sz w:val="13"/>
        </w:rPr>
        <w:t>232</w:t>
      </w:r>
      <w:r>
        <w:rPr>
          <w:sz w:val="20"/>
        </w:rPr>
        <w:t>.</w:t>
      </w:r>
    </w:p>
    <w:p>
      <w:pPr>
        <w:pStyle w:val="BodyText"/>
      </w:pPr>
    </w:p>
    <w:p>
      <w:pPr>
        <w:pStyle w:val="ListParagraph"/>
        <w:numPr>
          <w:ilvl w:val="3"/>
          <w:numId w:val="32"/>
        </w:numPr>
        <w:tabs>
          <w:tab w:pos="2059" w:val="left" w:leader="none"/>
        </w:tabs>
        <w:spacing w:line="240" w:lineRule="auto" w:before="0" w:after="0"/>
        <w:ind w:left="2058" w:right="0" w:hanging="804"/>
        <w:jc w:val="left"/>
        <w:rPr>
          <w:i/>
          <w:sz w:val="20"/>
        </w:rPr>
      </w:pPr>
      <w:bookmarkStart w:name="_bookmark66" w:id="113"/>
      <w:bookmarkEnd w:id="113"/>
      <w:r>
        <w:rPr/>
      </w:r>
      <w:bookmarkStart w:name="_bookmark66" w:id="114"/>
      <w:bookmarkEnd w:id="114"/>
      <w:r>
        <w:rPr>
          <w:i/>
          <w:sz w:val="20"/>
        </w:rPr>
        <w:t>E</w:t>
      </w:r>
      <w:r>
        <w:rPr>
          <w:i/>
          <w:sz w:val="20"/>
        </w:rPr>
        <w:t>l derecho a participar en la vida</w:t>
      </w:r>
      <w:r>
        <w:rPr>
          <w:i/>
          <w:spacing w:val="-11"/>
          <w:sz w:val="20"/>
        </w:rPr>
        <w:t> </w:t>
      </w:r>
      <w:r>
        <w:rPr>
          <w:i/>
          <w:sz w:val="20"/>
        </w:rPr>
        <w:t>cultural</w:t>
      </w:r>
    </w:p>
    <w:p>
      <w:pPr>
        <w:pStyle w:val="BodyText"/>
        <w:rPr>
          <w:i/>
        </w:rPr>
      </w:pPr>
    </w:p>
    <w:p>
      <w:pPr>
        <w:pStyle w:val="ListParagraph"/>
        <w:numPr>
          <w:ilvl w:val="0"/>
          <w:numId w:val="31"/>
        </w:numPr>
        <w:tabs>
          <w:tab w:pos="830" w:val="left" w:leader="none"/>
        </w:tabs>
        <w:spacing w:line="243" w:lineRule="exact" w:before="0" w:after="0"/>
        <w:ind w:left="830" w:right="0" w:hanging="708"/>
        <w:jc w:val="both"/>
        <w:rPr>
          <w:sz w:val="20"/>
        </w:rPr>
      </w:pPr>
      <w:r>
        <w:rPr>
          <w:sz w:val="20"/>
        </w:rPr>
        <w:t>En</w:t>
      </w:r>
      <w:r>
        <w:rPr>
          <w:spacing w:val="38"/>
          <w:sz w:val="20"/>
        </w:rPr>
        <w:t> </w:t>
      </w:r>
      <w:r>
        <w:rPr>
          <w:sz w:val="20"/>
        </w:rPr>
        <w:t>lo</w:t>
      </w:r>
      <w:r>
        <w:rPr>
          <w:spacing w:val="36"/>
          <w:sz w:val="20"/>
        </w:rPr>
        <w:t> </w:t>
      </w:r>
      <w:r>
        <w:rPr>
          <w:sz w:val="20"/>
        </w:rPr>
        <w:t>concerniente</w:t>
      </w:r>
      <w:r>
        <w:rPr>
          <w:spacing w:val="36"/>
          <w:sz w:val="20"/>
        </w:rPr>
        <w:t> </w:t>
      </w:r>
      <w:r>
        <w:rPr>
          <w:sz w:val="20"/>
        </w:rPr>
        <w:t>al</w:t>
      </w:r>
      <w:r>
        <w:rPr>
          <w:spacing w:val="44"/>
          <w:sz w:val="20"/>
        </w:rPr>
        <w:t> </w:t>
      </w:r>
      <w:r>
        <w:rPr>
          <w:i/>
          <w:sz w:val="20"/>
        </w:rPr>
        <w:t>derecho</w:t>
      </w:r>
      <w:r>
        <w:rPr>
          <w:i/>
          <w:spacing w:val="36"/>
          <w:sz w:val="20"/>
        </w:rPr>
        <w:t> </w:t>
      </w:r>
      <w:r>
        <w:rPr>
          <w:i/>
          <w:sz w:val="20"/>
        </w:rPr>
        <w:t>a</w:t>
      </w:r>
      <w:r>
        <w:rPr>
          <w:i/>
          <w:spacing w:val="39"/>
          <w:sz w:val="20"/>
        </w:rPr>
        <w:t> </w:t>
      </w:r>
      <w:r>
        <w:rPr>
          <w:i/>
          <w:sz w:val="20"/>
        </w:rPr>
        <w:t>participar</w:t>
      </w:r>
      <w:r>
        <w:rPr>
          <w:i/>
          <w:spacing w:val="38"/>
          <w:sz w:val="20"/>
        </w:rPr>
        <w:t> </w:t>
      </w:r>
      <w:r>
        <w:rPr>
          <w:i/>
          <w:sz w:val="20"/>
        </w:rPr>
        <w:t>en</w:t>
      </w:r>
      <w:r>
        <w:rPr>
          <w:i/>
          <w:spacing w:val="38"/>
          <w:sz w:val="20"/>
        </w:rPr>
        <w:t> </w:t>
      </w:r>
      <w:r>
        <w:rPr>
          <w:i/>
          <w:sz w:val="20"/>
        </w:rPr>
        <w:t>la</w:t>
      </w:r>
      <w:r>
        <w:rPr>
          <w:i/>
          <w:spacing w:val="38"/>
          <w:sz w:val="20"/>
        </w:rPr>
        <w:t> </w:t>
      </w:r>
      <w:r>
        <w:rPr>
          <w:i/>
          <w:sz w:val="20"/>
        </w:rPr>
        <w:t>vida</w:t>
      </w:r>
      <w:r>
        <w:rPr>
          <w:i/>
          <w:spacing w:val="43"/>
          <w:sz w:val="20"/>
        </w:rPr>
        <w:t> </w:t>
      </w:r>
      <w:r>
        <w:rPr>
          <w:i/>
          <w:sz w:val="20"/>
        </w:rPr>
        <w:t>cultural,</w:t>
      </w:r>
      <w:r>
        <w:rPr>
          <w:i/>
          <w:spacing w:val="37"/>
          <w:sz w:val="20"/>
        </w:rPr>
        <w:t> </w:t>
      </w:r>
      <w:r>
        <w:rPr>
          <w:sz w:val="20"/>
        </w:rPr>
        <w:t>que</w:t>
      </w:r>
      <w:r>
        <w:rPr>
          <w:spacing w:val="38"/>
          <w:sz w:val="20"/>
        </w:rPr>
        <w:t> </w:t>
      </w:r>
      <w:r>
        <w:rPr>
          <w:sz w:val="20"/>
        </w:rPr>
        <w:t>incluye</w:t>
      </w:r>
      <w:r>
        <w:rPr>
          <w:spacing w:val="38"/>
          <w:sz w:val="20"/>
        </w:rPr>
        <w:t> </w:t>
      </w:r>
      <w:r>
        <w:rPr>
          <w:sz w:val="20"/>
        </w:rPr>
        <w:t>el</w:t>
      </w:r>
    </w:p>
    <w:p>
      <w:pPr>
        <w:spacing w:line="243" w:lineRule="exact" w:before="0"/>
        <w:ind w:left="122" w:right="0" w:firstLine="0"/>
        <w:jc w:val="both"/>
        <w:rPr>
          <w:sz w:val="20"/>
        </w:rPr>
      </w:pPr>
      <w:r>
        <w:rPr>
          <w:i/>
          <w:sz w:val="20"/>
        </w:rPr>
        <w:t>derecho a la identidad cultural</w:t>
      </w:r>
      <w:r>
        <w:rPr>
          <w:position w:val="7"/>
          <w:sz w:val="13"/>
        </w:rPr>
        <w:t>233</w:t>
      </w:r>
      <w:r>
        <w:rPr>
          <w:sz w:val="20"/>
        </w:rPr>
        <w:t>, la Carta establece, en sus artículos 30, 45 f., 47 y 48,</w:t>
      </w:r>
    </w:p>
    <w:p>
      <w:pPr>
        <w:pStyle w:val="BodyText"/>
        <w:spacing w:before="5"/>
        <w:rPr>
          <w:sz w:val="17"/>
        </w:rPr>
      </w:pPr>
      <w:r>
        <w:rPr/>
        <w:pict>
          <v:line style="position:absolute;mso-position-horizontal-relative:page;mso-position-vertical-relative:paragraph;z-index:2848;mso-wrap-distance-left:0;mso-wrap-distance-right:0" from="85.103996pt,12.915205pt" to="229.123996pt,12.915205pt" stroked="true" strokeweight=".72pt" strokecolor="#000000">
            <v:stroke dashstyle="solid"/>
            <w10:wrap type="topAndBottom"/>
          </v:line>
        </w:pict>
      </w:r>
    </w:p>
    <w:p>
      <w:pPr>
        <w:spacing w:before="71"/>
        <w:ind w:left="122" w:right="117" w:firstLine="0"/>
        <w:jc w:val="both"/>
        <w:rPr>
          <w:sz w:val="16"/>
        </w:rPr>
      </w:pPr>
      <w:r>
        <w:rPr>
          <w:i/>
          <w:sz w:val="16"/>
        </w:rPr>
        <w:t>estatales en relación con el medio ambiente en el marco de la protección y garantía de los derechos a la vida </w:t>
      </w:r>
      <w:r>
        <w:rPr>
          <w:i/>
          <w:sz w:val="16"/>
        </w:rPr>
        <w:t>y</w:t>
      </w:r>
      <w:r>
        <w:rPr>
          <w:i/>
          <w:spacing w:val="-2"/>
          <w:sz w:val="16"/>
        </w:rPr>
        <w:t> </w:t>
      </w:r>
      <w:r>
        <w:rPr>
          <w:i/>
          <w:sz w:val="16"/>
        </w:rPr>
        <w:t>a</w:t>
      </w:r>
      <w:r>
        <w:rPr>
          <w:i/>
          <w:spacing w:val="-6"/>
          <w:sz w:val="16"/>
        </w:rPr>
        <w:t> </w:t>
      </w:r>
      <w:r>
        <w:rPr>
          <w:i/>
          <w:sz w:val="16"/>
        </w:rPr>
        <w:t>la</w:t>
      </w:r>
      <w:r>
        <w:rPr>
          <w:i/>
          <w:spacing w:val="-3"/>
          <w:sz w:val="16"/>
        </w:rPr>
        <w:t> </w:t>
      </w:r>
      <w:r>
        <w:rPr>
          <w:i/>
          <w:sz w:val="16"/>
        </w:rPr>
        <w:t>integridad</w:t>
      </w:r>
      <w:r>
        <w:rPr>
          <w:i/>
          <w:spacing w:val="-4"/>
          <w:sz w:val="16"/>
        </w:rPr>
        <w:t> </w:t>
      </w:r>
      <w:r>
        <w:rPr>
          <w:i/>
          <w:sz w:val="16"/>
        </w:rPr>
        <w:t>personal</w:t>
      </w:r>
      <w:r>
        <w:rPr>
          <w:i/>
          <w:spacing w:val="-3"/>
          <w:sz w:val="16"/>
        </w:rPr>
        <w:t> </w:t>
      </w:r>
      <w:r>
        <w:rPr>
          <w:i/>
          <w:sz w:val="16"/>
        </w:rPr>
        <w:t>-</w:t>
      </w:r>
      <w:r>
        <w:rPr>
          <w:i/>
          <w:spacing w:val="-4"/>
          <w:sz w:val="16"/>
        </w:rPr>
        <w:t> </w:t>
      </w:r>
      <w:r>
        <w:rPr>
          <w:i/>
          <w:sz w:val="16"/>
        </w:rPr>
        <w:t>interpretación</w:t>
      </w:r>
      <w:r>
        <w:rPr>
          <w:i/>
          <w:spacing w:val="-6"/>
          <w:sz w:val="16"/>
        </w:rPr>
        <w:t> </w:t>
      </w:r>
      <w:r>
        <w:rPr>
          <w:i/>
          <w:sz w:val="16"/>
        </w:rPr>
        <w:t>y</w:t>
      </w:r>
      <w:r>
        <w:rPr>
          <w:i/>
          <w:spacing w:val="-4"/>
          <w:sz w:val="16"/>
        </w:rPr>
        <w:t> </w:t>
      </w:r>
      <w:r>
        <w:rPr>
          <w:i/>
          <w:sz w:val="16"/>
        </w:rPr>
        <w:t>alcance</w:t>
      </w:r>
      <w:r>
        <w:rPr>
          <w:i/>
          <w:spacing w:val="-5"/>
          <w:sz w:val="16"/>
        </w:rPr>
        <w:t> </w:t>
      </w:r>
      <w:r>
        <w:rPr>
          <w:i/>
          <w:sz w:val="16"/>
        </w:rPr>
        <w:t>de</w:t>
      </w:r>
      <w:r>
        <w:rPr>
          <w:i/>
          <w:spacing w:val="-5"/>
          <w:sz w:val="16"/>
        </w:rPr>
        <w:t> </w:t>
      </w:r>
      <w:r>
        <w:rPr>
          <w:i/>
          <w:sz w:val="16"/>
        </w:rPr>
        <w:t>los</w:t>
      </w:r>
      <w:r>
        <w:rPr>
          <w:i/>
          <w:spacing w:val="-2"/>
          <w:sz w:val="16"/>
        </w:rPr>
        <w:t> </w:t>
      </w:r>
      <w:r>
        <w:rPr>
          <w:i/>
          <w:sz w:val="16"/>
        </w:rPr>
        <w:t>artículos</w:t>
      </w:r>
      <w:r>
        <w:rPr>
          <w:i/>
          <w:spacing w:val="-5"/>
          <w:sz w:val="16"/>
        </w:rPr>
        <w:t> </w:t>
      </w:r>
      <w:r>
        <w:rPr>
          <w:i/>
          <w:sz w:val="16"/>
        </w:rPr>
        <w:t>4.1</w:t>
      </w:r>
      <w:r>
        <w:rPr>
          <w:i/>
          <w:spacing w:val="-4"/>
          <w:sz w:val="16"/>
        </w:rPr>
        <w:t> </w:t>
      </w:r>
      <w:r>
        <w:rPr>
          <w:i/>
          <w:sz w:val="16"/>
        </w:rPr>
        <w:t>y</w:t>
      </w:r>
      <w:r>
        <w:rPr>
          <w:i/>
          <w:spacing w:val="-6"/>
          <w:sz w:val="16"/>
        </w:rPr>
        <w:t> </w:t>
      </w:r>
      <w:r>
        <w:rPr>
          <w:i/>
          <w:sz w:val="16"/>
        </w:rPr>
        <w:t>5.1,</w:t>
      </w:r>
      <w:r>
        <w:rPr>
          <w:i/>
          <w:spacing w:val="-4"/>
          <w:sz w:val="16"/>
        </w:rPr>
        <w:t> </w:t>
      </w:r>
      <w:r>
        <w:rPr>
          <w:i/>
          <w:sz w:val="16"/>
        </w:rPr>
        <w:t>en</w:t>
      </w:r>
      <w:r>
        <w:rPr>
          <w:i/>
          <w:spacing w:val="-6"/>
          <w:sz w:val="16"/>
        </w:rPr>
        <w:t> </w:t>
      </w:r>
      <w:r>
        <w:rPr>
          <w:i/>
          <w:sz w:val="16"/>
        </w:rPr>
        <w:t>relación</w:t>
      </w:r>
      <w:r>
        <w:rPr>
          <w:i/>
          <w:spacing w:val="-6"/>
          <w:sz w:val="16"/>
        </w:rPr>
        <w:t> </w:t>
      </w:r>
      <w:r>
        <w:rPr>
          <w:i/>
          <w:sz w:val="16"/>
        </w:rPr>
        <w:t>con</w:t>
      </w:r>
      <w:r>
        <w:rPr>
          <w:i/>
          <w:spacing w:val="-4"/>
          <w:sz w:val="16"/>
        </w:rPr>
        <w:t> </w:t>
      </w:r>
      <w:r>
        <w:rPr>
          <w:i/>
          <w:sz w:val="16"/>
        </w:rPr>
        <w:t>los</w:t>
      </w:r>
      <w:r>
        <w:rPr>
          <w:i/>
          <w:spacing w:val="-2"/>
          <w:sz w:val="16"/>
        </w:rPr>
        <w:t> </w:t>
      </w:r>
      <w:r>
        <w:rPr>
          <w:i/>
          <w:sz w:val="16"/>
        </w:rPr>
        <w:t>artículos</w:t>
      </w:r>
      <w:r>
        <w:rPr>
          <w:i/>
          <w:spacing w:val="-5"/>
          <w:sz w:val="16"/>
        </w:rPr>
        <w:t> </w:t>
      </w:r>
      <w:r>
        <w:rPr>
          <w:i/>
          <w:sz w:val="16"/>
        </w:rPr>
        <w:t>1.1 y 2 de la Convención Americana sobre Derechos Humanos). Opinión Consultiva OC-23/17</w:t>
      </w:r>
      <w:r>
        <w:rPr>
          <w:sz w:val="16"/>
        </w:rPr>
        <w:t>, párr.</w:t>
      </w:r>
      <w:r>
        <w:rPr>
          <w:spacing w:val="-34"/>
          <w:sz w:val="16"/>
        </w:rPr>
        <w:t> </w:t>
      </w:r>
      <w:r>
        <w:rPr>
          <w:sz w:val="16"/>
        </w:rPr>
        <w:t>117).</w:t>
      </w:r>
    </w:p>
    <w:p>
      <w:pPr>
        <w:pStyle w:val="BodyText"/>
        <w:spacing w:before="11"/>
        <w:rPr>
          <w:sz w:val="15"/>
        </w:rPr>
      </w:pPr>
    </w:p>
    <w:p>
      <w:pPr>
        <w:tabs>
          <w:tab w:pos="829" w:val="left" w:leader="none"/>
        </w:tabs>
        <w:spacing w:before="0"/>
        <w:ind w:left="122" w:right="113" w:firstLine="0"/>
        <w:jc w:val="both"/>
        <w:rPr>
          <w:sz w:val="16"/>
        </w:rPr>
      </w:pPr>
      <w:r>
        <w:rPr>
          <w:position w:val="6"/>
          <w:sz w:val="10"/>
        </w:rPr>
        <w:t>230</w:t>
        <w:tab/>
      </w:r>
      <w:r>
        <w:rPr>
          <w:i/>
          <w:sz w:val="16"/>
        </w:rPr>
        <w:t>Medio</w:t>
      </w:r>
      <w:r>
        <w:rPr>
          <w:i/>
          <w:spacing w:val="-4"/>
          <w:sz w:val="16"/>
        </w:rPr>
        <w:t> </w:t>
      </w:r>
      <w:r>
        <w:rPr>
          <w:i/>
          <w:sz w:val="16"/>
        </w:rPr>
        <w:t>ambiente</w:t>
      </w:r>
      <w:r>
        <w:rPr>
          <w:i/>
          <w:spacing w:val="-7"/>
          <w:sz w:val="16"/>
        </w:rPr>
        <w:t> </w:t>
      </w:r>
      <w:r>
        <w:rPr>
          <w:i/>
          <w:sz w:val="16"/>
        </w:rPr>
        <w:t>y</w:t>
      </w:r>
      <w:r>
        <w:rPr>
          <w:i/>
          <w:spacing w:val="-6"/>
          <w:sz w:val="16"/>
        </w:rPr>
        <w:t> </w:t>
      </w:r>
      <w:r>
        <w:rPr>
          <w:i/>
          <w:sz w:val="16"/>
        </w:rPr>
        <w:t>derechos</w:t>
      </w:r>
      <w:r>
        <w:rPr>
          <w:i/>
          <w:spacing w:val="-4"/>
          <w:sz w:val="16"/>
        </w:rPr>
        <w:t> </w:t>
      </w:r>
      <w:r>
        <w:rPr>
          <w:i/>
          <w:sz w:val="16"/>
        </w:rPr>
        <w:t>humanos</w:t>
      </w:r>
      <w:r>
        <w:rPr>
          <w:i/>
          <w:spacing w:val="-4"/>
          <w:sz w:val="16"/>
        </w:rPr>
        <w:t> </w:t>
      </w:r>
      <w:r>
        <w:rPr>
          <w:i/>
          <w:sz w:val="16"/>
        </w:rPr>
        <w:t>(obligaciones</w:t>
      </w:r>
      <w:r>
        <w:rPr>
          <w:i/>
          <w:spacing w:val="-4"/>
          <w:sz w:val="16"/>
        </w:rPr>
        <w:t> </w:t>
      </w:r>
      <w:r>
        <w:rPr>
          <w:i/>
          <w:sz w:val="16"/>
        </w:rPr>
        <w:t>estatales</w:t>
      </w:r>
      <w:r>
        <w:rPr>
          <w:i/>
          <w:spacing w:val="-4"/>
          <w:sz w:val="16"/>
        </w:rPr>
        <w:t> </w:t>
      </w:r>
      <w:r>
        <w:rPr>
          <w:i/>
          <w:sz w:val="16"/>
        </w:rPr>
        <w:t>en</w:t>
      </w:r>
      <w:r>
        <w:rPr>
          <w:i/>
          <w:spacing w:val="-8"/>
          <w:sz w:val="16"/>
        </w:rPr>
        <w:t> </w:t>
      </w:r>
      <w:r>
        <w:rPr>
          <w:i/>
          <w:sz w:val="16"/>
        </w:rPr>
        <w:t>relación</w:t>
      </w:r>
      <w:r>
        <w:rPr>
          <w:i/>
          <w:spacing w:val="-6"/>
          <w:sz w:val="16"/>
        </w:rPr>
        <w:t> </w:t>
      </w:r>
      <w:r>
        <w:rPr>
          <w:i/>
          <w:sz w:val="16"/>
        </w:rPr>
        <w:t>con</w:t>
      </w:r>
      <w:r>
        <w:rPr>
          <w:i/>
          <w:spacing w:val="-6"/>
          <w:sz w:val="16"/>
        </w:rPr>
        <w:t> </w:t>
      </w:r>
      <w:r>
        <w:rPr>
          <w:i/>
          <w:sz w:val="16"/>
        </w:rPr>
        <w:t>el</w:t>
      </w:r>
      <w:r>
        <w:rPr>
          <w:i/>
          <w:spacing w:val="-8"/>
          <w:sz w:val="16"/>
        </w:rPr>
        <w:t> </w:t>
      </w:r>
      <w:r>
        <w:rPr>
          <w:i/>
          <w:sz w:val="16"/>
        </w:rPr>
        <w:t>medio</w:t>
      </w:r>
      <w:r>
        <w:rPr>
          <w:i/>
          <w:spacing w:val="-4"/>
          <w:sz w:val="16"/>
        </w:rPr>
        <w:t> </w:t>
      </w:r>
      <w:r>
        <w:rPr>
          <w:i/>
          <w:sz w:val="16"/>
        </w:rPr>
        <w:t>ambiente</w:t>
      </w:r>
      <w:r>
        <w:rPr>
          <w:i/>
          <w:spacing w:val="-4"/>
          <w:sz w:val="16"/>
        </w:rPr>
        <w:t> </w:t>
      </w:r>
      <w:r>
        <w:rPr>
          <w:i/>
          <w:sz w:val="16"/>
        </w:rPr>
        <w:t>en</w:t>
      </w:r>
      <w:r>
        <w:rPr>
          <w:i/>
          <w:spacing w:val="-8"/>
          <w:sz w:val="16"/>
        </w:rPr>
        <w:t> </w:t>
      </w:r>
      <w:r>
        <w:rPr>
          <w:i/>
          <w:sz w:val="16"/>
        </w:rPr>
        <w:t>el</w:t>
      </w:r>
      <w:r>
        <w:rPr>
          <w:i/>
          <w:w w:val="100"/>
          <w:sz w:val="16"/>
        </w:rPr>
        <w:t> </w:t>
      </w:r>
      <w:r>
        <w:rPr>
          <w:i/>
          <w:sz w:val="16"/>
        </w:rPr>
        <w:t>marco</w:t>
      </w:r>
      <w:r>
        <w:rPr>
          <w:i/>
          <w:spacing w:val="-9"/>
          <w:sz w:val="16"/>
        </w:rPr>
        <w:t> </w:t>
      </w:r>
      <w:r>
        <w:rPr>
          <w:i/>
          <w:sz w:val="16"/>
        </w:rPr>
        <w:t>de</w:t>
      </w:r>
      <w:r>
        <w:rPr>
          <w:i/>
          <w:spacing w:val="-7"/>
          <w:sz w:val="16"/>
        </w:rPr>
        <w:t> </w:t>
      </w:r>
      <w:r>
        <w:rPr>
          <w:i/>
          <w:sz w:val="16"/>
        </w:rPr>
        <w:t>la</w:t>
      </w:r>
      <w:r>
        <w:rPr>
          <w:i/>
          <w:spacing w:val="-10"/>
          <w:sz w:val="16"/>
        </w:rPr>
        <w:t> </w:t>
      </w:r>
      <w:r>
        <w:rPr>
          <w:i/>
          <w:sz w:val="16"/>
        </w:rPr>
        <w:t>protección</w:t>
      </w:r>
      <w:r>
        <w:rPr>
          <w:i/>
          <w:spacing w:val="-8"/>
          <w:sz w:val="16"/>
        </w:rPr>
        <w:t> </w:t>
      </w:r>
      <w:r>
        <w:rPr>
          <w:i/>
          <w:sz w:val="16"/>
        </w:rPr>
        <w:t>y</w:t>
      </w:r>
      <w:r>
        <w:rPr>
          <w:i/>
          <w:spacing w:val="-9"/>
          <w:sz w:val="16"/>
        </w:rPr>
        <w:t> </w:t>
      </w:r>
      <w:r>
        <w:rPr>
          <w:i/>
          <w:sz w:val="16"/>
        </w:rPr>
        <w:t>garantía</w:t>
      </w:r>
      <w:r>
        <w:rPr>
          <w:i/>
          <w:spacing w:val="-8"/>
          <w:sz w:val="16"/>
        </w:rPr>
        <w:t> </w:t>
      </w:r>
      <w:r>
        <w:rPr>
          <w:i/>
          <w:sz w:val="16"/>
        </w:rPr>
        <w:t>de</w:t>
      </w:r>
      <w:r>
        <w:rPr>
          <w:i/>
          <w:spacing w:val="-7"/>
          <w:sz w:val="16"/>
        </w:rPr>
        <w:t> </w:t>
      </w:r>
      <w:r>
        <w:rPr>
          <w:i/>
          <w:sz w:val="16"/>
        </w:rPr>
        <w:t>los</w:t>
      </w:r>
      <w:r>
        <w:rPr>
          <w:i/>
          <w:spacing w:val="-10"/>
          <w:sz w:val="16"/>
        </w:rPr>
        <w:t> </w:t>
      </w:r>
      <w:r>
        <w:rPr>
          <w:i/>
          <w:sz w:val="16"/>
        </w:rPr>
        <w:t>derechos</w:t>
      </w:r>
      <w:r>
        <w:rPr>
          <w:i/>
          <w:spacing w:val="-10"/>
          <w:sz w:val="16"/>
        </w:rPr>
        <w:t> </w:t>
      </w:r>
      <w:r>
        <w:rPr>
          <w:i/>
          <w:sz w:val="16"/>
        </w:rPr>
        <w:t>a</w:t>
      </w:r>
      <w:r>
        <w:rPr>
          <w:i/>
          <w:spacing w:val="-8"/>
          <w:sz w:val="16"/>
        </w:rPr>
        <w:t> </w:t>
      </w:r>
      <w:r>
        <w:rPr>
          <w:i/>
          <w:sz w:val="16"/>
        </w:rPr>
        <w:t>la</w:t>
      </w:r>
      <w:r>
        <w:rPr>
          <w:i/>
          <w:spacing w:val="-10"/>
          <w:sz w:val="16"/>
        </w:rPr>
        <w:t> </w:t>
      </w:r>
      <w:r>
        <w:rPr>
          <w:i/>
          <w:sz w:val="16"/>
        </w:rPr>
        <w:t>vida</w:t>
      </w:r>
      <w:r>
        <w:rPr>
          <w:i/>
          <w:spacing w:val="-13"/>
          <w:sz w:val="16"/>
        </w:rPr>
        <w:t> </w:t>
      </w:r>
      <w:r>
        <w:rPr>
          <w:i/>
          <w:sz w:val="16"/>
        </w:rPr>
        <w:t>y</w:t>
      </w:r>
      <w:r>
        <w:rPr>
          <w:i/>
          <w:spacing w:val="-7"/>
          <w:sz w:val="16"/>
        </w:rPr>
        <w:t> </w:t>
      </w:r>
      <w:r>
        <w:rPr>
          <w:i/>
          <w:sz w:val="16"/>
        </w:rPr>
        <w:t>a</w:t>
      </w:r>
      <w:r>
        <w:rPr>
          <w:i/>
          <w:spacing w:val="-10"/>
          <w:sz w:val="16"/>
        </w:rPr>
        <w:t> </w:t>
      </w:r>
      <w:r>
        <w:rPr>
          <w:i/>
          <w:sz w:val="16"/>
        </w:rPr>
        <w:t>la</w:t>
      </w:r>
      <w:r>
        <w:rPr>
          <w:i/>
          <w:spacing w:val="-8"/>
          <w:sz w:val="16"/>
        </w:rPr>
        <w:t> </w:t>
      </w:r>
      <w:r>
        <w:rPr>
          <w:i/>
          <w:sz w:val="16"/>
        </w:rPr>
        <w:t>integridad</w:t>
      </w:r>
      <w:r>
        <w:rPr>
          <w:i/>
          <w:spacing w:val="-9"/>
          <w:sz w:val="16"/>
        </w:rPr>
        <w:t> </w:t>
      </w:r>
      <w:r>
        <w:rPr>
          <w:i/>
          <w:sz w:val="16"/>
        </w:rPr>
        <w:t>personal</w:t>
      </w:r>
      <w:r>
        <w:rPr>
          <w:i/>
          <w:spacing w:val="-4"/>
          <w:sz w:val="16"/>
        </w:rPr>
        <w:t> </w:t>
      </w:r>
      <w:r>
        <w:rPr>
          <w:i/>
          <w:sz w:val="16"/>
        </w:rPr>
        <w:t>-</w:t>
      </w:r>
      <w:r>
        <w:rPr>
          <w:i/>
          <w:spacing w:val="-11"/>
          <w:sz w:val="16"/>
        </w:rPr>
        <w:t> </w:t>
      </w:r>
      <w:r>
        <w:rPr>
          <w:i/>
          <w:sz w:val="16"/>
        </w:rPr>
        <w:t>interpretación</w:t>
      </w:r>
      <w:r>
        <w:rPr>
          <w:i/>
          <w:spacing w:val="-11"/>
          <w:sz w:val="16"/>
        </w:rPr>
        <w:t> </w:t>
      </w:r>
      <w:r>
        <w:rPr>
          <w:i/>
          <w:sz w:val="16"/>
        </w:rPr>
        <w:t>y</w:t>
      </w:r>
      <w:r>
        <w:rPr>
          <w:i/>
          <w:spacing w:val="-9"/>
          <w:sz w:val="16"/>
        </w:rPr>
        <w:t> </w:t>
      </w:r>
      <w:r>
        <w:rPr>
          <w:i/>
          <w:sz w:val="16"/>
        </w:rPr>
        <w:t>alcance de los artículos 4.1 y 5.1, en relación con los artículos 1.1 y 2 de la Convención Americana sobre Derechos Humanos). Opinión Consultiva OC-23/17</w:t>
      </w:r>
      <w:r>
        <w:rPr>
          <w:sz w:val="16"/>
        </w:rPr>
        <w:t>, párr.</w:t>
      </w:r>
      <w:r>
        <w:rPr>
          <w:spacing w:val="-16"/>
          <w:sz w:val="16"/>
        </w:rPr>
        <w:t> </w:t>
      </w:r>
      <w:r>
        <w:rPr>
          <w:sz w:val="16"/>
        </w:rPr>
        <w:t>111.</w:t>
      </w:r>
    </w:p>
    <w:p>
      <w:pPr>
        <w:pStyle w:val="BodyText"/>
        <w:spacing w:before="11"/>
        <w:rPr>
          <w:sz w:val="15"/>
        </w:rPr>
      </w:pPr>
    </w:p>
    <w:p>
      <w:pPr>
        <w:tabs>
          <w:tab w:pos="829" w:val="left" w:leader="none"/>
        </w:tabs>
        <w:spacing w:before="0"/>
        <w:ind w:left="122" w:right="114" w:firstLine="0"/>
        <w:jc w:val="both"/>
        <w:rPr>
          <w:sz w:val="16"/>
        </w:rPr>
      </w:pPr>
      <w:r>
        <w:rPr>
          <w:position w:val="6"/>
          <w:sz w:val="10"/>
        </w:rPr>
        <w:t>231</w:t>
        <w:tab/>
      </w:r>
      <w:r>
        <w:rPr>
          <w:sz w:val="16"/>
        </w:rPr>
        <w:t>La Corte advirtió que igual consideración corresponde a la alimentación. </w:t>
      </w:r>
      <w:r>
        <w:rPr>
          <w:i/>
          <w:sz w:val="16"/>
        </w:rPr>
        <w:t>Medio ambiente</w:t>
      </w:r>
      <w:r>
        <w:rPr>
          <w:i/>
          <w:spacing w:val="22"/>
          <w:sz w:val="16"/>
        </w:rPr>
        <w:t> </w:t>
      </w:r>
      <w:r>
        <w:rPr>
          <w:i/>
          <w:sz w:val="16"/>
        </w:rPr>
        <w:t>y derechos</w:t>
      </w:r>
      <w:r>
        <w:rPr>
          <w:i/>
          <w:w w:val="100"/>
          <w:sz w:val="16"/>
        </w:rPr>
        <w:t> </w:t>
      </w:r>
      <w:r>
        <w:rPr>
          <w:i/>
          <w:sz w:val="16"/>
        </w:rPr>
        <w:t>humanos</w:t>
      </w:r>
      <w:r>
        <w:rPr>
          <w:i/>
          <w:spacing w:val="-6"/>
          <w:sz w:val="16"/>
        </w:rPr>
        <w:t> </w:t>
      </w:r>
      <w:r>
        <w:rPr>
          <w:i/>
          <w:sz w:val="16"/>
        </w:rPr>
        <w:t>(obligaciones</w:t>
      </w:r>
      <w:r>
        <w:rPr>
          <w:i/>
          <w:spacing w:val="-8"/>
          <w:sz w:val="16"/>
        </w:rPr>
        <w:t> </w:t>
      </w:r>
      <w:r>
        <w:rPr>
          <w:i/>
          <w:sz w:val="16"/>
        </w:rPr>
        <w:t>estatales</w:t>
      </w:r>
      <w:r>
        <w:rPr>
          <w:i/>
          <w:spacing w:val="-6"/>
          <w:sz w:val="16"/>
        </w:rPr>
        <w:t> </w:t>
      </w:r>
      <w:r>
        <w:rPr>
          <w:i/>
          <w:sz w:val="16"/>
        </w:rPr>
        <w:t>en</w:t>
      </w:r>
      <w:r>
        <w:rPr>
          <w:i/>
          <w:spacing w:val="-9"/>
          <w:sz w:val="16"/>
        </w:rPr>
        <w:t> </w:t>
      </w:r>
      <w:r>
        <w:rPr>
          <w:i/>
          <w:sz w:val="16"/>
        </w:rPr>
        <w:t>relación</w:t>
      </w:r>
      <w:r>
        <w:rPr>
          <w:i/>
          <w:spacing w:val="-7"/>
          <w:sz w:val="16"/>
        </w:rPr>
        <w:t> </w:t>
      </w:r>
      <w:r>
        <w:rPr>
          <w:i/>
          <w:sz w:val="16"/>
        </w:rPr>
        <w:t>con</w:t>
      </w:r>
      <w:r>
        <w:rPr>
          <w:i/>
          <w:spacing w:val="-7"/>
          <w:sz w:val="16"/>
        </w:rPr>
        <w:t> </w:t>
      </w:r>
      <w:r>
        <w:rPr>
          <w:i/>
          <w:sz w:val="16"/>
        </w:rPr>
        <w:t>el</w:t>
      </w:r>
      <w:r>
        <w:rPr>
          <w:i/>
          <w:spacing w:val="-7"/>
          <w:sz w:val="16"/>
        </w:rPr>
        <w:t> </w:t>
      </w:r>
      <w:r>
        <w:rPr>
          <w:i/>
          <w:sz w:val="16"/>
        </w:rPr>
        <w:t>medio</w:t>
      </w:r>
      <w:r>
        <w:rPr>
          <w:i/>
          <w:spacing w:val="-8"/>
          <w:sz w:val="16"/>
        </w:rPr>
        <w:t> </w:t>
      </w:r>
      <w:r>
        <w:rPr>
          <w:i/>
          <w:sz w:val="16"/>
        </w:rPr>
        <w:t>ambiente</w:t>
      </w:r>
      <w:r>
        <w:rPr>
          <w:i/>
          <w:spacing w:val="-6"/>
          <w:sz w:val="16"/>
        </w:rPr>
        <w:t> </w:t>
      </w:r>
      <w:r>
        <w:rPr>
          <w:i/>
          <w:sz w:val="16"/>
        </w:rPr>
        <w:t>en</w:t>
      </w:r>
      <w:r>
        <w:rPr>
          <w:i/>
          <w:spacing w:val="-9"/>
          <w:sz w:val="16"/>
        </w:rPr>
        <w:t> </w:t>
      </w:r>
      <w:r>
        <w:rPr>
          <w:i/>
          <w:sz w:val="16"/>
        </w:rPr>
        <w:t>el</w:t>
      </w:r>
      <w:r>
        <w:rPr>
          <w:i/>
          <w:spacing w:val="-7"/>
          <w:sz w:val="16"/>
        </w:rPr>
        <w:t> </w:t>
      </w:r>
      <w:r>
        <w:rPr>
          <w:i/>
          <w:sz w:val="16"/>
        </w:rPr>
        <w:t>marco</w:t>
      </w:r>
      <w:r>
        <w:rPr>
          <w:i/>
          <w:spacing w:val="-7"/>
          <w:sz w:val="16"/>
        </w:rPr>
        <w:t> </w:t>
      </w:r>
      <w:r>
        <w:rPr>
          <w:i/>
          <w:sz w:val="16"/>
        </w:rPr>
        <w:t>de</w:t>
      </w:r>
      <w:r>
        <w:rPr>
          <w:i/>
          <w:spacing w:val="-8"/>
          <w:sz w:val="16"/>
        </w:rPr>
        <w:t> </w:t>
      </w:r>
      <w:r>
        <w:rPr>
          <w:i/>
          <w:sz w:val="16"/>
        </w:rPr>
        <w:t>la</w:t>
      </w:r>
      <w:r>
        <w:rPr>
          <w:i/>
          <w:spacing w:val="-7"/>
          <w:sz w:val="16"/>
        </w:rPr>
        <w:t> </w:t>
      </w:r>
      <w:r>
        <w:rPr>
          <w:i/>
          <w:sz w:val="16"/>
        </w:rPr>
        <w:t>protección</w:t>
      </w:r>
      <w:r>
        <w:rPr>
          <w:i/>
          <w:spacing w:val="-9"/>
          <w:sz w:val="16"/>
        </w:rPr>
        <w:t> </w:t>
      </w:r>
      <w:r>
        <w:rPr>
          <w:i/>
          <w:sz w:val="16"/>
        </w:rPr>
        <w:t>y</w:t>
      </w:r>
      <w:r>
        <w:rPr>
          <w:i/>
          <w:spacing w:val="-8"/>
          <w:sz w:val="16"/>
        </w:rPr>
        <w:t> </w:t>
      </w:r>
      <w:r>
        <w:rPr>
          <w:i/>
          <w:sz w:val="16"/>
        </w:rPr>
        <w:t>garantía</w:t>
      </w:r>
      <w:r>
        <w:rPr>
          <w:i/>
          <w:spacing w:val="-7"/>
          <w:sz w:val="16"/>
        </w:rPr>
        <w:t> </w:t>
      </w:r>
      <w:r>
        <w:rPr>
          <w:i/>
          <w:sz w:val="16"/>
        </w:rPr>
        <w:t>de los</w:t>
      </w:r>
      <w:r>
        <w:rPr>
          <w:i/>
          <w:spacing w:val="-10"/>
          <w:sz w:val="16"/>
        </w:rPr>
        <w:t> </w:t>
      </w:r>
      <w:r>
        <w:rPr>
          <w:i/>
          <w:sz w:val="16"/>
        </w:rPr>
        <w:t>derechos</w:t>
      </w:r>
      <w:r>
        <w:rPr>
          <w:i/>
          <w:spacing w:val="-10"/>
          <w:sz w:val="16"/>
        </w:rPr>
        <w:t> </w:t>
      </w:r>
      <w:r>
        <w:rPr>
          <w:i/>
          <w:sz w:val="16"/>
        </w:rPr>
        <w:t>a</w:t>
      </w:r>
      <w:r>
        <w:rPr>
          <w:i/>
          <w:spacing w:val="-10"/>
          <w:sz w:val="16"/>
        </w:rPr>
        <w:t> </w:t>
      </w:r>
      <w:r>
        <w:rPr>
          <w:i/>
          <w:sz w:val="16"/>
        </w:rPr>
        <w:t>la</w:t>
      </w:r>
      <w:r>
        <w:rPr>
          <w:i/>
          <w:spacing w:val="-10"/>
          <w:sz w:val="16"/>
        </w:rPr>
        <w:t> </w:t>
      </w:r>
      <w:r>
        <w:rPr>
          <w:i/>
          <w:sz w:val="16"/>
        </w:rPr>
        <w:t>vida</w:t>
      </w:r>
      <w:r>
        <w:rPr>
          <w:i/>
          <w:spacing w:val="-10"/>
          <w:sz w:val="16"/>
        </w:rPr>
        <w:t> </w:t>
      </w:r>
      <w:r>
        <w:rPr>
          <w:i/>
          <w:sz w:val="16"/>
        </w:rPr>
        <w:t>y</w:t>
      </w:r>
      <w:r>
        <w:rPr>
          <w:i/>
          <w:spacing w:val="-9"/>
          <w:sz w:val="16"/>
        </w:rPr>
        <w:t> </w:t>
      </w:r>
      <w:r>
        <w:rPr>
          <w:i/>
          <w:sz w:val="16"/>
        </w:rPr>
        <w:t>a</w:t>
      </w:r>
      <w:r>
        <w:rPr>
          <w:i/>
          <w:spacing w:val="-10"/>
          <w:sz w:val="16"/>
        </w:rPr>
        <w:t> </w:t>
      </w:r>
      <w:r>
        <w:rPr>
          <w:i/>
          <w:sz w:val="16"/>
        </w:rPr>
        <w:t>la</w:t>
      </w:r>
      <w:r>
        <w:rPr>
          <w:i/>
          <w:spacing w:val="-10"/>
          <w:sz w:val="16"/>
        </w:rPr>
        <w:t> </w:t>
      </w:r>
      <w:r>
        <w:rPr>
          <w:i/>
          <w:sz w:val="16"/>
        </w:rPr>
        <w:t>integridad</w:t>
      </w:r>
      <w:r>
        <w:rPr>
          <w:i/>
          <w:spacing w:val="-9"/>
          <w:sz w:val="16"/>
        </w:rPr>
        <w:t> </w:t>
      </w:r>
      <w:r>
        <w:rPr>
          <w:i/>
          <w:sz w:val="16"/>
        </w:rPr>
        <w:t>personal</w:t>
      </w:r>
      <w:r>
        <w:rPr>
          <w:i/>
          <w:spacing w:val="-8"/>
          <w:sz w:val="16"/>
        </w:rPr>
        <w:t> </w:t>
      </w:r>
      <w:r>
        <w:rPr>
          <w:i/>
          <w:sz w:val="16"/>
        </w:rPr>
        <w:t>-</w:t>
      </w:r>
      <w:r>
        <w:rPr>
          <w:i/>
          <w:spacing w:val="-8"/>
          <w:sz w:val="16"/>
        </w:rPr>
        <w:t> </w:t>
      </w:r>
      <w:r>
        <w:rPr>
          <w:i/>
          <w:sz w:val="16"/>
        </w:rPr>
        <w:t>interpretación</w:t>
      </w:r>
      <w:r>
        <w:rPr>
          <w:i/>
          <w:spacing w:val="-11"/>
          <w:sz w:val="16"/>
        </w:rPr>
        <w:t> </w:t>
      </w:r>
      <w:r>
        <w:rPr>
          <w:i/>
          <w:sz w:val="16"/>
        </w:rPr>
        <w:t>y</w:t>
      </w:r>
      <w:r>
        <w:rPr>
          <w:i/>
          <w:spacing w:val="-9"/>
          <w:sz w:val="16"/>
        </w:rPr>
        <w:t> </w:t>
      </w:r>
      <w:r>
        <w:rPr>
          <w:i/>
          <w:sz w:val="16"/>
        </w:rPr>
        <w:t>alcance</w:t>
      </w:r>
      <w:r>
        <w:rPr>
          <w:i/>
          <w:spacing w:val="-12"/>
          <w:sz w:val="16"/>
        </w:rPr>
        <w:t> </w:t>
      </w:r>
      <w:r>
        <w:rPr>
          <w:i/>
          <w:sz w:val="16"/>
        </w:rPr>
        <w:t>de</w:t>
      </w:r>
      <w:r>
        <w:rPr>
          <w:i/>
          <w:spacing w:val="-10"/>
          <w:sz w:val="16"/>
        </w:rPr>
        <w:t> </w:t>
      </w:r>
      <w:r>
        <w:rPr>
          <w:i/>
          <w:sz w:val="16"/>
        </w:rPr>
        <w:t>los</w:t>
      </w:r>
      <w:r>
        <w:rPr>
          <w:i/>
          <w:spacing w:val="-10"/>
          <w:sz w:val="16"/>
        </w:rPr>
        <w:t> </w:t>
      </w:r>
      <w:r>
        <w:rPr>
          <w:i/>
          <w:sz w:val="16"/>
        </w:rPr>
        <w:t>artículos</w:t>
      </w:r>
      <w:r>
        <w:rPr>
          <w:i/>
          <w:spacing w:val="-12"/>
          <w:sz w:val="16"/>
        </w:rPr>
        <w:t> </w:t>
      </w:r>
      <w:r>
        <w:rPr>
          <w:i/>
          <w:sz w:val="16"/>
        </w:rPr>
        <w:t>4.1</w:t>
      </w:r>
      <w:r>
        <w:rPr>
          <w:i/>
          <w:spacing w:val="-9"/>
          <w:sz w:val="16"/>
        </w:rPr>
        <w:t> </w:t>
      </w:r>
      <w:r>
        <w:rPr>
          <w:i/>
          <w:sz w:val="16"/>
        </w:rPr>
        <w:t>y</w:t>
      </w:r>
      <w:r>
        <w:rPr>
          <w:i/>
          <w:spacing w:val="-11"/>
          <w:sz w:val="16"/>
        </w:rPr>
        <w:t> </w:t>
      </w:r>
      <w:r>
        <w:rPr>
          <w:i/>
          <w:sz w:val="16"/>
        </w:rPr>
        <w:t>5.1,</w:t>
      </w:r>
      <w:r>
        <w:rPr>
          <w:i/>
          <w:spacing w:val="-11"/>
          <w:sz w:val="16"/>
        </w:rPr>
        <w:t> </w:t>
      </w:r>
      <w:r>
        <w:rPr>
          <w:i/>
          <w:sz w:val="16"/>
        </w:rPr>
        <w:t>en</w:t>
      </w:r>
      <w:r>
        <w:rPr>
          <w:i/>
          <w:spacing w:val="-13"/>
          <w:sz w:val="16"/>
        </w:rPr>
        <w:t> </w:t>
      </w:r>
      <w:r>
        <w:rPr>
          <w:i/>
          <w:sz w:val="16"/>
        </w:rPr>
        <w:t>relación con</w:t>
      </w:r>
      <w:r>
        <w:rPr>
          <w:i/>
          <w:spacing w:val="-11"/>
          <w:sz w:val="16"/>
        </w:rPr>
        <w:t> </w:t>
      </w:r>
      <w:r>
        <w:rPr>
          <w:i/>
          <w:sz w:val="16"/>
        </w:rPr>
        <w:t>los</w:t>
      </w:r>
      <w:r>
        <w:rPr>
          <w:i/>
          <w:spacing w:val="-12"/>
          <w:sz w:val="16"/>
        </w:rPr>
        <w:t> </w:t>
      </w:r>
      <w:r>
        <w:rPr>
          <w:i/>
          <w:sz w:val="16"/>
        </w:rPr>
        <w:t>artículos</w:t>
      </w:r>
      <w:r>
        <w:rPr>
          <w:i/>
          <w:spacing w:val="-12"/>
          <w:sz w:val="16"/>
        </w:rPr>
        <w:t> </w:t>
      </w:r>
      <w:r>
        <w:rPr>
          <w:i/>
          <w:sz w:val="16"/>
        </w:rPr>
        <w:t>1.1</w:t>
      </w:r>
      <w:r>
        <w:rPr>
          <w:i/>
          <w:spacing w:val="-11"/>
          <w:sz w:val="16"/>
        </w:rPr>
        <w:t> </w:t>
      </w:r>
      <w:r>
        <w:rPr>
          <w:i/>
          <w:sz w:val="16"/>
        </w:rPr>
        <w:t>y</w:t>
      </w:r>
      <w:r>
        <w:rPr>
          <w:i/>
          <w:spacing w:val="-11"/>
          <w:sz w:val="16"/>
        </w:rPr>
        <w:t> </w:t>
      </w:r>
      <w:r>
        <w:rPr>
          <w:i/>
          <w:sz w:val="16"/>
        </w:rPr>
        <w:t>2</w:t>
      </w:r>
      <w:r>
        <w:rPr>
          <w:i/>
          <w:spacing w:val="-11"/>
          <w:sz w:val="16"/>
        </w:rPr>
        <w:t> </w:t>
      </w:r>
      <w:r>
        <w:rPr>
          <w:i/>
          <w:sz w:val="16"/>
        </w:rPr>
        <w:t>de</w:t>
      </w:r>
      <w:r>
        <w:rPr>
          <w:i/>
          <w:spacing w:val="-12"/>
          <w:sz w:val="16"/>
        </w:rPr>
        <w:t> </w:t>
      </w:r>
      <w:r>
        <w:rPr>
          <w:i/>
          <w:sz w:val="16"/>
        </w:rPr>
        <w:t>la</w:t>
      </w:r>
      <w:r>
        <w:rPr>
          <w:i/>
          <w:spacing w:val="-13"/>
          <w:sz w:val="16"/>
        </w:rPr>
        <w:t> </w:t>
      </w:r>
      <w:r>
        <w:rPr>
          <w:i/>
          <w:sz w:val="16"/>
        </w:rPr>
        <w:t>Convención</w:t>
      </w:r>
      <w:r>
        <w:rPr>
          <w:i/>
          <w:spacing w:val="-13"/>
          <w:sz w:val="16"/>
        </w:rPr>
        <w:t> </w:t>
      </w:r>
      <w:r>
        <w:rPr>
          <w:i/>
          <w:sz w:val="16"/>
        </w:rPr>
        <w:t>Americana</w:t>
      </w:r>
      <w:r>
        <w:rPr>
          <w:i/>
          <w:spacing w:val="-10"/>
          <w:sz w:val="16"/>
        </w:rPr>
        <w:t> </w:t>
      </w:r>
      <w:r>
        <w:rPr>
          <w:i/>
          <w:sz w:val="16"/>
        </w:rPr>
        <w:t>sobre</w:t>
      </w:r>
      <w:r>
        <w:rPr>
          <w:i/>
          <w:spacing w:val="-12"/>
          <w:sz w:val="16"/>
        </w:rPr>
        <w:t> </w:t>
      </w:r>
      <w:r>
        <w:rPr>
          <w:i/>
          <w:sz w:val="16"/>
        </w:rPr>
        <w:t>Derechos</w:t>
      </w:r>
      <w:r>
        <w:rPr>
          <w:i/>
          <w:spacing w:val="-9"/>
          <w:sz w:val="16"/>
        </w:rPr>
        <w:t> </w:t>
      </w:r>
      <w:r>
        <w:rPr>
          <w:i/>
          <w:sz w:val="16"/>
        </w:rPr>
        <w:t>Humanos).</w:t>
      </w:r>
      <w:r>
        <w:rPr>
          <w:i/>
          <w:spacing w:val="-11"/>
          <w:sz w:val="16"/>
        </w:rPr>
        <w:t> </w:t>
      </w:r>
      <w:r>
        <w:rPr>
          <w:i/>
          <w:sz w:val="16"/>
        </w:rPr>
        <w:t>Opinión</w:t>
      </w:r>
      <w:r>
        <w:rPr>
          <w:i/>
          <w:spacing w:val="-13"/>
          <w:sz w:val="16"/>
        </w:rPr>
        <w:t> </w:t>
      </w:r>
      <w:r>
        <w:rPr>
          <w:i/>
          <w:sz w:val="16"/>
        </w:rPr>
        <w:t>Consultiva</w:t>
      </w:r>
      <w:r>
        <w:rPr>
          <w:i/>
          <w:spacing w:val="-10"/>
          <w:sz w:val="16"/>
        </w:rPr>
        <w:t> </w:t>
      </w:r>
      <w:r>
        <w:rPr>
          <w:i/>
          <w:sz w:val="16"/>
        </w:rPr>
        <w:t>OC-23/17</w:t>
      </w:r>
      <w:r>
        <w:rPr>
          <w:sz w:val="16"/>
        </w:rPr>
        <w:t>, párr.</w:t>
      </w:r>
      <w:r>
        <w:rPr>
          <w:spacing w:val="-3"/>
          <w:sz w:val="16"/>
        </w:rPr>
        <w:t> </w:t>
      </w:r>
      <w:r>
        <w:rPr>
          <w:sz w:val="16"/>
        </w:rPr>
        <w:t>121.</w:t>
      </w:r>
    </w:p>
    <w:p>
      <w:pPr>
        <w:pStyle w:val="BodyText"/>
        <w:spacing w:before="11"/>
        <w:rPr>
          <w:sz w:val="15"/>
        </w:rPr>
      </w:pPr>
    </w:p>
    <w:p>
      <w:pPr>
        <w:tabs>
          <w:tab w:pos="829" w:val="left" w:leader="none"/>
        </w:tabs>
        <w:spacing w:before="0"/>
        <w:ind w:left="122" w:right="120" w:firstLine="0"/>
        <w:jc w:val="both"/>
        <w:rPr>
          <w:sz w:val="16"/>
        </w:rPr>
      </w:pPr>
      <w:r>
        <w:rPr>
          <w:position w:val="6"/>
          <w:sz w:val="10"/>
        </w:rPr>
        <w:t>232</w:t>
        <w:tab/>
      </w:r>
      <w:r>
        <w:rPr>
          <w:sz w:val="16"/>
        </w:rPr>
        <w:t>Comité DESC. </w:t>
      </w:r>
      <w:r>
        <w:rPr>
          <w:i/>
          <w:sz w:val="16"/>
        </w:rPr>
        <w:t>Observación General 15. El derecho al agua (artículos 11 y 12 del</w:t>
      </w:r>
      <w:r>
        <w:rPr>
          <w:i/>
          <w:spacing w:val="2"/>
          <w:sz w:val="16"/>
        </w:rPr>
        <w:t> </w:t>
      </w:r>
      <w:r>
        <w:rPr>
          <w:i/>
          <w:sz w:val="16"/>
        </w:rPr>
        <w:t>Pacto</w:t>
      </w:r>
      <w:r>
        <w:rPr>
          <w:i/>
          <w:spacing w:val="-1"/>
          <w:sz w:val="16"/>
        </w:rPr>
        <w:t> </w:t>
      </w:r>
      <w:r>
        <w:rPr>
          <w:i/>
          <w:sz w:val="16"/>
        </w:rPr>
        <w:t>Internacional</w:t>
      </w:r>
      <w:r>
        <w:rPr>
          <w:i/>
          <w:w w:val="100"/>
          <w:sz w:val="16"/>
        </w:rPr>
        <w:t> </w:t>
      </w:r>
      <w:r>
        <w:rPr>
          <w:i/>
          <w:sz w:val="16"/>
        </w:rPr>
        <w:t>de Derechos Económicos, Sociales y Culturales)</w:t>
      </w:r>
      <w:r>
        <w:rPr>
          <w:sz w:val="16"/>
        </w:rPr>
        <w:t>, párr.</w:t>
      </w:r>
      <w:r>
        <w:rPr>
          <w:spacing w:val="-19"/>
          <w:sz w:val="16"/>
        </w:rPr>
        <w:t> </w:t>
      </w:r>
      <w:r>
        <w:rPr>
          <w:sz w:val="16"/>
        </w:rPr>
        <w:t>16.</w:t>
      </w:r>
    </w:p>
    <w:p>
      <w:pPr>
        <w:pStyle w:val="BodyText"/>
        <w:spacing w:before="11"/>
        <w:rPr>
          <w:sz w:val="15"/>
        </w:rPr>
      </w:pPr>
    </w:p>
    <w:p>
      <w:pPr>
        <w:tabs>
          <w:tab w:pos="829" w:val="left" w:leader="none"/>
        </w:tabs>
        <w:spacing w:line="240" w:lineRule="auto" w:before="0"/>
        <w:ind w:left="122" w:right="113" w:firstLine="0"/>
        <w:jc w:val="both"/>
        <w:rPr>
          <w:sz w:val="16"/>
        </w:rPr>
      </w:pPr>
      <w:r>
        <w:rPr>
          <w:position w:val="6"/>
          <w:sz w:val="10"/>
        </w:rPr>
        <w:t>233</w:t>
        <w:tab/>
      </w:r>
      <w:r>
        <w:rPr>
          <w:sz w:val="16"/>
        </w:rPr>
        <w:t>En la presente Sentencia, dadas las características de los hechos relevantes que se examinan  </w:t>
      </w:r>
      <w:r>
        <w:rPr>
          <w:spacing w:val="4"/>
          <w:sz w:val="16"/>
        </w:rPr>
        <w:t> </w:t>
      </w:r>
      <w:r>
        <w:rPr>
          <w:sz w:val="16"/>
        </w:rPr>
        <w:t>y</w:t>
      </w:r>
      <w:r>
        <w:rPr>
          <w:spacing w:val="10"/>
          <w:sz w:val="16"/>
        </w:rPr>
        <w:t> </w:t>
      </w:r>
      <w:r>
        <w:rPr>
          <w:sz w:val="16"/>
        </w:rPr>
        <w:t>los</w:t>
      </w:r>
      <w:r>
        <w:rPr>
          <w:w w:val="100"/>
          <w:sz w:val="16"/>
        </w:rPr>
        <w:t> </w:t>
      </w:r>
      <w:r>
        <w:rPr>
          <w:sz w:val="16"/>
        </w:rPr>
        <w:t>alegatos</w:t>
      </w:r>
      <w:r>
        <w:rPr>
          <w:spacing w:val="-4"/>
          <w:sz w:val="16"/>
        </w:rPr>
        <w:t> </w:t>
      </w:r>
      <w:r>
        <w:rPr>
          <w:sz w:val="16"/>
        </w:rPr>
        <w:t>al</w:t>
      </w:r>
      <w:r>
        <w:rPr>
          <w:spacing w:val="-4"/>
          <w:sz w:val="16"/>
        </w:rPr>
        <w:t> </w:t>
      </w:r>
      <w:r>
        <w:rPr>
          <w:sz w:val="16"/>
        </w:rPr>
        <w:t>respecto,</w:t>
      </w:r>
      <w:r>
        <w:rPr>
          <w:spacing w:val="-5"/>
          <w:sz w:val="16"/>
        </w:rPr>
        <w:t> </w:t>
      </w:r>
      <w:r>
        <w:rPr>
          <w:sz w:val="16"/>
        </w:rPr>
        <w:t>se</w:t>
      </w:r>
      <w:r>
        <w:rPr>
          <w:spacing w:val="-3"/>
          <w:sz w:val="16"/>
        </w:rPr>
        <w:t> </w:t>
      </w:r>
      <w:r>
        <w:rPr>
          <w:sz w:val="16"/>
        </w:rPr>
        <w:t>abordará</w:t>
      </w:r>
      <w:r>
        <w:rPr>
          <w:spacing w:val="-4"/>
          <w:sz w:val="16"/>
        </w:rPr>
        <w:t> </w:t>
      </w:r>
      <w:r>
        <w:rPr>
          <w:sz w:val="16"/>
        </w:rPr>
        <w:t>el</w:t>
      </w:r>
      <w:r>
        <w:rPr>
          <w:spacing w:val="-4"/>
          <w:sz w:val="16"/>
        </w:rPr>
        <w:t> </w:t>
      </w:r>
      <w:r>
        <w:rPr>
          <w:sz w:val="16"/>
        </w:rPr>
        <w:t>derecho</w:t>
      </w:r>
      <w:r>
        <w:rPr>
          <w:spacing w:val="-3"/>
          <w:sz w:val="16"/>
        </w:rPr>
        <w:t> </w:t>
      </w:r>
      <w:r>
        <w:rPr>
          <w:sz w:val="16"/>
        </w:rPr>
        <w:t>a</w:t>
      </w:r>
      <w:r>
        <w:rPr>
          <w:spacing w:val="-4"/>
          <w:sz w:val="16"/>
        </w:rPr>
        <w:t> </w:t>
      </w:r>
      <w:r>
        <w:rPr>
          <w:sz w:val="16"/>
        </w:rPr>
        <w:t>“participar</w:t>
      </w:r>
      <w:r>
        <w:rPr>
          <w:spacing w:val="-3"/>
          <w:sz w:val="16"/>
        </w:rPr>
        <w:t> </w:t>
      </w:r>
      <w:r>
        <w:rPr>
          <w:sz w:val="16"/>
        </w:rPr>
        <w:t>en</w:t>
      </w:r>
      <w:r>
        <w:rPr>
          <w:spacing w:val="-5"/>
          <w:sz w:val="16"/>
        </w:rPr>
        <w:t> </w:t>
      </w:r>
      <w:r>
        <w:rPr>
          <w:sz w:val="16"/>
        </w:rPr>
        <w:t>la</w:t>
      </w:r>
      <w:r>
        <w:rPr>
          <w:spacing w:val="-4"/>
          <w:sz w:val="16"/>
        </w:rPr>
        <w:t> </w:t>
      </w:r>
      <w:r>
        <w:rPr>
          <w:sz w:val="16"/>
        </w:rPr>
        <w:t>vida</w:t>
      </w:r>
      <w:r>
        <w:rPr>
          <w:spacing w:val="-7"/>
          <w:sz w:val="16"/>
        </w:rPr>
        <w:t> </w:t>
      </w:r>
      <w:r>
        <w:rPr>
          <w:sz w:val="16"/>
        </w:rPr>
        <w:t>cultural”</w:t>
      </w:r>
      <w:r>
        <w:rPr>
          <w:spacing w:val="-3"/>
          <w:sz w:val="16"/>
        </w:rPr>
        <w:t> </w:t>
      </w:r>
      <w:r>
        <w:rPr>
          <w:sz w:val="16"/>
        </w:rPr>
        <w:t>en</w:t>
      </w:r>
      <w:r>
        <w:rPr>
          <w:spacing w:val="-5"/>
          <w:sz w:val="16"/>
        </w:rPr>
        <w:t> </w:t>
      </w:r>
      <w:r>
        <w:rPr>
          <w:sz w:val="16"/>
        </w:rPr>
        <w:t>un</w:t>
      </w:r>
      <w:r>
        <w:rPr>
          <w:spacing w:val="-2"/>
          <w:sz w:val="16"/>
        </w:rPr>
        <w:t> </w:t>
      </w:r>
      <w:r>
        <w:rPr>
          <w:sz w:val="16"/>
        </w:rPr>
        <w:t>aspecto</w:t>
      </w:r>
      <w:r>
        <w:rPr>
          <w:spacing w:val="-3"/>
          <w:sz w:val="16"/>
        </w:rPr>
        <w:t> </w:t>
      </w:r>
      <w:r>
        <w:rPr>
          <w:sz w:val="16"/>
        </w:rPr>
        <w:t>específico,</w:t>
      </w:r>
      <w:r>
        <w:rPr>
          <w:spacing w:val="-5"/>
          <w:sz w:val="16"/>
        </w:rPr>
        <w:t> </w:t>
      </w:r>
      <w:r>
        <w:rPr>
          <w:sz w:val="16"/>
        </w:rPr>
        <w:t>que</w:t>
      </w:r>
      <w:r>
        <w:rPr>
          <w:spacing w:val="-6"/>
          <w:sz w:val="16"/>
        </w:rPr>
        <w:t> </w:t>
      </w:r>
      <w:r>
        <w:rPr>
          <w:sz w:val="16"/>
        </w:rPr>
        <w:t>es el derecho a la “identidad cultural”. En ese sentido, se ha aducido en este caso la afectación a los rasgos culturales propios o identitarios, a la cultura como “modo de vida”. La noción de “identidad cultural” se encuentra en el Convenio 169 de la OIT y en la Declaración Americana sobre los Derechos de los Pueblos indígenas, y puede entenderse incorporada en la Declaración de Naciones Unidas sobre Derechos de los Pueblos Indígenas, que se expresa en términos equivalentes, y ha ya sido utilizada por la Corte respecto a comunidades</w:t>
      </w:r>
      <w:r>
        <w:rPr>
          <w:spacing w:val="-10"/>
          <w:sz w:val="16"/>
        </w:rPr>
        <w:t> </w:t>
      </w:r>
      <w:r>
        <w:rPr>
          <w:sz w:val="16"/>
        </w:rPr>
        <w:t>indígenas.</w:t>
      </w:r>
      <w:r>
        <w:rPr>
          <w:spacing w:val="-11"/>
          <w:sz w:val="16"/>
        </w:rPr>
        <w:t> </w:t>
      </w:r>
      <w:r>
        <w:rPr>
          <w:sz w:val="16"/>
        </w:rPr>
        <w:t>Este</w:t>
      </w:r>
      <w:r>
        <w:rPr>
          <w:spacing w:val="-13"/>
          <w:sz w:val="16"/>
        </w:rPr>
        <w:t> </w:t>
      </w:r>
      <w:r>
        <w:rPr>
          <w:sz w:val="16"/>
        </w:rPr>
        <w:t>Tribunal</w:t>
      </w:r>
      <w:r>
        <w:rPr>
          <w:spacing w:val="-11"/>
          <w:sz w:val="16"/>
        </w:rPr>
        <w:t> </w:t>
      </w:r>
      <w:r>
        <w:rPr>
          <w:sz w:val="16"/>
        </w:rPr>
        <w:t>ha</w:t>
      </w:r>
      <w:r>
        <w:rPr>
          <w:spacing w:val="-11"/>
          <w:sz w:val="16"/>
        </w:rPr>
        <w:t> </w:t>
      </w:r>
      <w:r>
        <w:rPr>
          <w:sz w:val="16"/>
        </w:rPr>
        <w:t>dicho</w:t>
      </w:r>
      <w:r>
        <w:rPr>
          <w:spacing w:val="-12"/>
          <w:sz w:val="16"/>
        </w:rPr>
        <w:t> </w:t>
      </w:r>
      <w:r>
        <w:rPr>
          <w:sz w:val="16"/>
        </w:rPr>
        <w:t>que</w:t>
      </w:r>
      <w:r>
        <w:rPr>
          <w:spacing w:val="-13"/>
          <w:sz w:val="16"/>
        </w:rPr>
        <w:t> </w:t>
      </w:r>
      <w:r>
        <w:rPr>
          <w:sz w:val="16"/>
        </w:rPr>
        <w:t>la</w:t>
      </w:r>
      <w:r>
        <w:rPr>
          <w:spacing w:val="-11"/>
          <w:sz w:val="16"/>
        </w:rPr>
        <w:t> </w:t>
      </w:r>
      <w:r>
        <w:rPr>
          <w:sz w:val="16"/>
        </w:rPr>
        <w:t>“identidad</w:t>
      </w:r>
      <w:r>
        <w:rPr>
          <w:spacing w:val="-10"/>
          <w:sz w:val="16"/>
        </w:rPr>
        <w:t> </w:t>
      </w:r>
      <w:r>
        <w:rPr>
          <w:sz w:val="16"/>
        </w:rPr>
        <w:t>cultural”</w:t>
      </w:r>
      <w:r>
        <w:rPr>
          <w:spacing w:val="-13"/>
          <w:sz w:val="16"/>
        </w:rPr>
        <w:t> </w:t>
      </w:r>
      <w:r>
        <w:rPr>
          <w:sz w:val="16"/>
        </w:rPr>
        <w:t>es</w:t>
      </w:r>
      <w:r>
        <w:rPr>
          <w:spacing w:val="-10"/>
          <w:sz w:val="16"/>
        </w:rPr>
        <w:t> </w:t>
      </w:r>
      <w:r>
        <w:rPr>
          <w:sz w:val="16"/>
        </w:rPr>
        <w:t>un</w:t>
      </w:r>
      <w:r>
        <w:rPr>
          <w:spacing w:val="-14"/>
          <w:sz w:val="16"/>
        </w:rPr>
        <w:t> </w:t>
      </w:r>
      <w:r>
        <w:rPr>
          <w:sz w:val="16"/>
        </w:rPr>
        <w:t>“derecho</w:t>
      </w:r>
      <w:r>
        <w:rPr>
          <w:spacing w:val="-12"/>
          <w:sz w:val="16"/>
        </w:rPr>
        <w:t> </w:t>
      </w:r>
      <w:r>
        <w:rPr>
          <w:sz w:val="16"/>
        </w:rPr>
        <w:t>humano</w:t>
      </w:r>
      <w:r>
        <w:rPr>
          <w:spacing w:val="-10"/>
          <w:sz w:val="16"/>
        </w:rPr>
        <w:t> </w:t>
      </w:r>
      <w:r>
        <w:rPr>
          <w:sz w:val="16"/>
        </w:rPr>
        <w:t>fundamental y</w:t>
      </w:r>
      <w:r>
        <w:rPr>
          <w:spacing w:val="-10"/>
          <w:sz w:val="16"/>
        </w:rPr>
        <w:t> </w:t>
      </w:r>
      <w:r>
        <w:rPr>
          <w:sz w:val="16"/>
        </w:rPr>
        <w:t>de</w:t>
      </w:r>
      <w:r>
        <w:rPr>
          <w:spacing w:val="-13"/>
          <w:sz w:val="16"/>
        </w:rPr>
        <w:t> </w:t>
      </w:r>
      <w:r>
        <w:rPr>
          <w:sz w:val="16"/>
        </w:rPr>
        <w:t>naturaleza</w:t>
      </w:r>
      <w:r>
        <w:rPr>
          <w:spacing w:val="-12"/>
          <w:sz w:val="16"/>
        </w:rPr>
        <w:t> </w:t>
      </w:r>
      <w:r>
        <w:rPr>
          <w:sz w:val="16"/>
        </w:rPr>
        <w:t>colectiva</w:t>
      </w:r>
      <w:r>
        <w:rPr>
          <w:spacing w:val="-11"/>
          <w:sz w:val="16"/>
        </w:rPr>
        <w:t> </w:t>
      </w:r>
      <w:r>
        <w:rPr>
          <w:sz w:val="16"/>
        </w:rPr>
        <w:t>de</w:t>
      </w:r>
      <w:r>
        <w:rPr>
          <w:spacing w:val="-10"/>
          <w:sz w:val="16"/>
        </w:rPr>
        <w:t> </w:t>
      </w:r>
      <w:r>
        <w:rPr>
          <w:sz w:val="16"/>
        </w:rPr>
        <w:t>las</w:t>
      </w:r>
      <w:r>
        <w:rPr>
          <w:spacing w:val="-10"/>
          <w:sz w:val="16"/>
        </w:rPr>
        <w:t> </w:t>
      </w:r>
      <w:r>
        <w:rPr>
          <w:sz w:val="16"/>
        </w:rPr>
        <w:t>comunidades</w:t>
      </w:r>
      <w:r>
        <w:rPr>
          <w:spacing w:val="-10"/>
          <w:sz w:val="16"/>
        </w:rPr>
        <w:t> </w:t>
      </w:r>
      <w:r>
        <w:rPr>
          <w:sz w:val="16"/>
        </w:rPr>
        <w:t>indígenas,</w:t>
      </w:r>
      <w:r>
        <w:rPr>
          <w:spacing w:val="-11"/>
          <w:sz w:val="16"/>
        </w:rPr>
        <w:t> </w:t>
      </w:r>
      <w:r>
        <w:rPr>
          <w:sz w:val="16"/>
        </w:rPr>
        <w:t>que</w:t>
      </w:r>
      <w:r>
        <w:rPr>
          <w:spacing w:val="-15"/>
          <w:sz w:val="16"/>
        </w:rPr>
        <w:t> </w:t>
      </w:r>
      <w:r>
        <w:rPr>
          <w:sz w:val="16"/>
        </w:rPr>
        <w:t>debe</w:t>
      </w:r>
      <w:r>
        <w:rPr>
          <w:spacing w:val="-13"/>
          <w:sz w:val="16"/>
        </w:rPr>
        <w:t> </w:t>
      </w:r>
      <w:r>
        <w:rPr>
          <w:sz w:val="16"/>
        </w:rPr>
        <w:t>ser</w:t>
      </w:r>
      <w:r>
        <w:rPr>
          <w:spacing w:val="-12"/>
          <w:sz w:val="16"/>
        </w:rPr>
        <w:t> </w:t>
      </w:r>
      <w:r>
        <w:rPr>
          <w:sz w:val="16"/>
        </w:rPr>
        <w:t>respetado</w:t>
      </w:r>
      <w:r>
        <w:rPr>
          <w:spacing w:val="-10"/>
          <w:sz w:val="16"/>
        </w:rPr>
        <w:t> </w:t>
      </w:r>
      <w:r>
        <w:rPr>
          <w:sz w:val="16"/>
        </w:rPr>
        <w:t>en</w:t>
      </w:r>
      <w:r>
        <w:rPr>
          <w:spacing w:val="-11"/>
          <w:sz w:val="16"/>
        </w:rPr>
        <w:t> </w:t>
      </w:r>
      <w:r>
        <w:rPr>
          <w:sz w:val="16"/>
        </w:rPr>
        <w:t>una</w:t>
      </w:r>
      <w:r>
        <w:rPr>
          <w:spacing w:val="-11"/>
          <w:sz w:val="16"/>
        </w:rPr>
        <w:t> </w:t>
      </w:r>
      <w:r>
        <w:rPr>
          <w:sz w:val="16"/>
        </w:rPr>
        <w:t>sociedad</w:t>
      </w:r>
      <w:r>
        <w:rPr>
          <w:spacing w:val="-10"/>
          <w:sz w:val="16"/>
        </w:rPr>
        <w:t> </w:t>
      </w:r>
      <w:r>
        <w:rPr>
          <w:sz w:val="16"/>
        </w:rPr>
        <w:t>multicultural, pluralista y democrática” (</w:t>
      </w:r>
      <w:r>
        <w:rPr>
          <w:i/>
          <w:sz w:val="16"/>
        </w:rPr>
        <w:t>Medio ambiente y derechos humanos (obligaciones estatales en relación con el </w:t>
      </w:r>
      <w:r>
        <w:rPr>
          <w:i/>
          <w:sz w:val="16"/>
        </w:rPr>
        <w:t>medio ambiente en el marco de la protección y garantía de los derechos a la vida y a la integridad personal - interpretación y alcance de los artículos 4.1 y 5.1, en relación con los artículos 1.1 y 2 de la Convención Americana sobre Derechos Humanos). Opinión Consultiva OC-23/17</w:t>
      </w:r>
      <w:r>
        <w:rPr>
          <w:sz w:val="16"/>
        </w:rPr>
        <w:t>, párr. 113; en el mismo sentido, </w:t>
      </w:r>
      <w:r>
        <w:rPr>
          <w:i/>
          <w:sz w:val="16"/>
        </w:rPr>
        <w:t>Caso </w:t>
      </w:r>
      <w:r>
        <w:rPr>
          <w:i/>
          <w:sz w:val="16"/>
        </w:rPr>
        <w:t>Pueblo Indígena Kichwa de Sarayaku Vs. Ecuador</w:t>
      </w:r>
      <w:r>
        <w:rPr>
          <w:sz w:val="16"/>
        </w:rPr>
        <w:t>, párr. 217.) El derecho a la identidad cultural es atinente a pueblos indígenas, pero no solo a ellos: presenta una estrecha relación con el derecho de toda persona a “participar en la vida cultural” y con el derecho de integrantes de grupos considerados “minorías” a “tener su propia</w:t>
      </w:r>
      <w:r>
        <w:rPr>
          <w:spacing w:val="32"/>
          <w:sz w:val="16"/>
        </w:rPr>
        <w:t> </w:t>
      </w:r>
      <w:r>
        <w:rPr>
          <w:sz w:val="16"/>
        </w:rPr>
        <w:t>vida</w:t>
      </w:r>
      <w:r>
        <w:rPr>
          <w:spacing w:val="32"/>
          <w:sz w:val="16"/>
        </w:rPr>
        <w:t> </w:t>
      </w:r>
      <w:r>
        <w:rPr>
          <w:sz w:val="16"/>
        </w:rPr>
        <w:t>cultural”,</w:t>
      </w:r>
      <w:r>
        <w:rPr>
          <w:spacing w:val="32"/>
          <w:sz w:val="16"/>
        </w:rPr>
        <w:t> </w:t>
      </w:r>
      <w:r>
        <w:rPr>
          <w:sz w:val="16"/>
        </w:rPr>
        <w:t>conforme,</w:t>
      </w:r>
      <w:r>
        <w:rPr>
          <w:spacing w:val="34"/>
          <w:sz w:val="16"/>
        </w:rPr>
        <w:t> </w:t>
      </w:r>
      <w:r>
        <w:rPr>
          <w:sz w:val="16"/>
        </w:rPr>
        <w:t>respectivamente,</w:t>
      </w:r>
      <w:r>
        <w:rPr>
          <w:spacing w:val="32"/>
          <w:sz w:val="16"/>
        </w:rPr>
        <w:t> </w:t>
      </w:r>
      <w:r>
        <w:rPr>
          <w:sz w:val="16"/>
        </w:rPr>
        <w:t>los</w:t>
      </w:r>
      <w:r>
        <w:rPr>
          <w:spacing w:val="33"/>
          <w:sz w:val="16"/>
        </w:rPr>
        <w:t> </w:t>
      </w:r>
      <w:r>
        <w:rPr>
          <w:sz w:val="16"/>
        </w:rPr>
        <w:t>artículos</w:t>
      </w:r>
      <w:r>
        <w:rPr>
          <w:spacing w:val="33"/>
          <w:sz w:val="16"/>
        </w:rPr>
        <w:t> </w:t>
      </w:r>
      <w:r>
        <w:rPr>
          <w:sz w:val="16"/>
        </w:rPr>
        <w:t>15</w:t>
      </w:r>
      <w:r>
        <w:rPr>
          <w:spacing w:val="32"/>
          <w:sz w:val="16"/>
        </w:rPr>
        <w:t> </w:t>
      </w:r>
      <w:r>
        <w:rPr>
          <w:sz w:val="16"/>
        </w:rPr>
        <w:t>y</w:t>
      </w:r>
      <w:r>
        <w:rPr>
          <w:spacing w:val="34"/>
          <w:sz w:val="16"/>
        </w:rPr>
        <w:t> </w:t>
      </w:r>
      <w:r>
        <w:rPr>
          <w:sz w:val="16"/>
        </w:rPr>
        <w:t>27</w:t>
      </w:r>
      <w:r>
        <w:rPr>
          <w:spacing w:val="34"/>
          <w:sz w:val="16"/>
        </w:rPr>
        <w:t> </w:t>
      </w:r>
      <w:r>
        <w:rPr>
          <w:sz w:val="16"/>
        </w:rPr>
        <w:t>de</w:t>
      </w:r>
      <w:r>
        <w:rPr>
          <w:spacing w:val="33"/>
          <w:sz w:val="16"/>
        </w:rPr>
        <w:t> </w:t>
      </w:r>
      <w:r>
        <w:rPr>
          <w:sz w:val="16"/>
        </w:rPr>
        <w:t>los</w:t>
      </w:r>
      <w:r>
        <w:rPr>
          <w:spacing w:val="33"/>
          <w:sz w:val="16"/>
        </w:rPr>
        <w:t> </w:t>
      </w:r>
      <w:r>
        <w:rPr>
          <w:sz w:val="16"/>
        </w:rPr>
        <w:t>Pactos</w:t>
      </w:r>
      <w:r>
        <w:rPr>
          <w:spacing w:val="33"/>
          <w:sz w:val="16"/>
        </w:rPr>
        <w:t> </w:t>
      </w:r>
      <w:r>
        <w:rPr>
          <w:sz w:val="16"/>
        </w:rPr>
        <w:t>Internacionales</w:t>
      </w:r>
      <w:r>
        <w:rPr>
          <w:spacing w:val="31"/>
          <w:sz w:val="16"/>
        </w:rPr>
        <w:t> </w:t>
      </w:r>
      <w:r>
        <w:rPr>
          <w:sz w:val="16"/>
        </w:rPr>
        <w:t>de</w:t>
      </w:r>
    </w:p>
    <w:p>
      <w:pPr>
        <w:spacing w:after="0" w:line="240" w:lineRule="auto"/>
        <w:jc w:val="both"/>
        <w:rPr>
          <w:sz w:val="16"/>
        </w:rPr>
        <w:sectPr>
          <w:footerReference w:type="default" r:id="rId26"/>
          <w:pgSz w:w="12240" w:h="15840"/>
          <w:pgMar w:footer="1000" w:header="0" w:top="1340" w:bottom="1200" w:left="1580" w:right="1580"/>
          <w:pgNumType w:start="81"/>
        </w:sectPr>
      </w:pPr>
    </w:p>
    <w:p>
      <w:pPr>
        <w:pStyle w:val="BodyText"/>
        <w:spacing w:before="76"/>
        <w:ind w:left="122" w:right="127"/>
        <w:jc w:val="both"/>
      </w:pPr>
      <w:r>
        <w:rPr/>
        <w:t>el</w:t>
      </w:r>
      <w:r>
        <w:rPr>
          <w:spacing w:val="-7"/>
        </w:rPr>
        <w:t> </w:t>
      </w:r>
      <w:r>
        <w:rPr/>
        <w:t>compromiso</w:t>
      </w:r>
      <w:r>
        <w:rPr>
          <w:spacing w:val="-9"/>
        </w:rPr>
        <w:t> </w:t>
      </w:r>
      <w:r>
        <w:rPr/>
        <w:t>de</w:t>
      </w:r>
      <w:r>
        <w:rPr>
          <w:spacing w:val="-9"/>
        </w:rPr>
        <w:t> </w:t>
      </w:r>
      <w:r>
        <w:rPr/>
        <w:t>los</w:t>
      </w:r>
      <w:r>
        <w:rPr>
          <w:spacing w:val="-9"/>
        </w:rPr>
        <w:t> </w:t>
      </w:r>
      <w:r>
        <w:rPr/>
        <w:t>Estados</w:t>
      </w:r>
      <w:r>
        <w:rPr>
          <w:spacing w:val="-9"/>
        </w:rPr>
        <w:t> </w:t>
      </w:r>
      <w:r>
        <w:rPr/>
        <w:t>para</w:t>
      </w:r>
      <w:r>
        <w:rPr>
          <w:spacing w:val="-8"/>
        </w:rPr>
        <w:t> </w:t>
      </w:r>
      <w:r>
        <w:rPr/>
        <w:t>a)</w:t>
      </w:r>
      <w:r>
        <w:rPr>
          <w:spacing w:val="-7"/>
        </w:rPr>
        <w:t> </w:t>
      </w:r>
      <w:r>
        <w:rPr/>
        <w:t>“que</w:t>
      </w:r>
      <w:r>
        <w:rPr>
          <w:spacing w:val="-7"/>
        </w:rPr>
        <w:t> </w:t>
      </w:r>
      <w:r>
        <w:rPr/>
        <w:t>sus</w:t>
      </w:r>
      <w:r>
        <w:rPr>
          <w:spacing w:val="-6"/>
        </w:rPr>
        <w:t> </w:t>
      </w:r>
      <w:r>
        <w:rPr/>
        <w:t>pueblos</w:t>
      </w:r>
      <w:r>
        <w:rPr>
          <w:spacing w:val="-9"/>
        </w:rPr>
        <w:t> </w:t>
      </w:r>
      <w:r>
        <w:rPr/>
        <w:t>alcancen</w:t>
      </w:r>
      <w:r>
        <w:rPr>
          <w:spacing w:val="-7"/>
        </w:rPr>
        <w:t> </w:t>
      </w:r>
      <w:r>
        <w:rPr/>
        <w:t>un</w:t>
      </w:r>
      <w:r>
        <w:rPr>
          <w:spacing w:val="-7"/>
        </w:rPr>
        <w:t> </w:t>
      </w:r>
      <w:r>
        <w:rPr/>
        <w:t>desarrollo</w:t>
      </w:r>
      <w:r>
        <w:rPr>
          <w:spacing w:val="-9"/>
        </w:rPr>
        <w:t> </w:t>
      </w:r>
      <w:r>
        <w:rPr/>
        <w:t>integral[, que] abarca [el] campo […] cultural […]”; b) [l]a incorporación y creciente</w:t>
      </w:r>
      <w:r>
        <w:rPr>
          <w:spacing w:val="-47"/>
        </w:rPr>
        <w:t> </w:t>
      </w:r>
      <w:r>
        <w:rPr/>
        <w:t>participación de los sectores marginales de la población, tanto del campo como de la ciudad, en la vida […] cultural […], a fin de lograr la plena integración de la comunidad nacional”; c) “estimul[ar…] la cultura” y d) “preservar y enriquecer el patrimonio cultural de los pueblos americanos”</w:t>
      </w:r>
      <w:r>
        <w:rPr>
          <w:spacing w:val="-36"/>
        </w:rPr>
        <w:t> </w:t>
      </w:r>
      <w:r>
        <w:rPr>
          <w:position w:val="7"/>
          <w:sz w:val="13"/>
        </w:rPr>
        <w:t>234</w:t>
      </w:r>
      <w:r>
        <w:rPr/>
        <w:t>.</w:t>
      </w:r>
    </w:p>
    <w:p>
      <w:pPr>
        <w:pStyle w:val="BodyText"/>
        <w:spacing w:before="10"/>
        <w:rPr>
          <w:sz w:val="19"/>
        </w:rPr>
      </w:pPr>
    </w:p>
    <w:p>
      <w:pPr>
        <w:pStyle w:val="ListParagraph"/>
        <w:numPr>
          <w:ilvl w:val="0"/>
          <w:numId w:val="31"/>
        </w:numPr>
        <w:tabs>
          <w:tab w:pos="830" w:val="left" w:leader="none"/>
        </w:tabs>
        <w:spacing w:line="240" w:lineRule="auto" w:before="0" w:after="0"/>
        <w:ind w:left="830" w:right="0" w:hanging="708"/>
        <w:jc w:val="both"/>
        <w:rPr>
          <w:sz w:val="20"/>
        </w:rPr>
      </w:pPr>
      <w:r>
        <w:rPr>
          <w:sz w:val="20"/>
        </w:rPr>
        <w:t>Además,</w:t>
      </w:r>
      <w:r>
        <w:rPr>
          <w:spacing w:val="-10"/>
          <w:sz w:val="20"/>
        </w:rPr>
        <w:t> </w:t>
      </w:r>
      <w:r>
        <w:rPr>
          <w:sz w:val="20"/>
        </w:rPr>
        <w:t>el</w:t>
      </w:r>
      <w:r>
        <w:rPr>
          <w:spacing w:val="-14"/>
          <w:sz w:val="20"/>
        </w:rPr>
        <w:t> </w:t>
      </w:r>
      <w:r>
        <w:rPr>
          <w:sz w:val="20"/>
        </w:rPr>
        <w:t>artículo</w:t>
      </w:r>
      <w:r>
        <w:rPr>
          <w:spacing w:val="-13"/>
          <w:sz w:val="20"/>
        </w:rPr>
        <w:t> </w:t>
      </w:r>
      <w:r>
        <w:rPr>
          <w:sz w:val="20"/>
        </w:rPr>
        <w:t>XIII</w:t>
      </w:r>
      <w:r>
        <w:rPr>
          <w:spacing w:val="-9"/>
          <w:sz w:val="20"/>
        </w:rPr>
        <w:t> </w:t>
      </w:r>
      <w:r>
        <w:rPr>
          <w:sz w:val="20"/>
        </w:rPr>
        <w:t>de</w:t>
      </w:r>
      <w:r>
        <w:rPr>
          <w:spacing w:val="-15"/>
          <w:sz w:val="20"/>
        </w:rPr>
        <w:t> </w:t>
      </w:r>
      <w:r>
        <w:rPr>
          <w:sz w:val="20"/>
        </w:rPr>
        <w:t>la</w:t>
      </w:r>
      <w:r>
        <w:rPr>
          <w:spacing w:val="-11"/>
          <w:sz w:val="20"/>
        </w:rPr>
        <w:t> </w:t>
      </w:r>
      <w:r>
        <w:rPr>
          <w:sz w:val="20"/>
        </w:rPr>
        <w:t>Declaración</w:t>
      </w:r>
      <w:r>
        <w:rPr>
          <w:spacing w:val="-13"/>
          <w:sz w:val="20"/>
        </w:rPr>
        <w:t> </w:t>
      </w:r>
      <w:r>
        <w:rPr>
          <w:sz w:val="20"/>
        </w:rPr>
        <w:t>Americana</w:t>
      </w:r>
      <w:r>
        <w:rPr>
          <w:spacing w:val="-13"/>
          <w:sz w:val="20"/>
        </w:rPr>
        <w:t> </w:t>
      </w:r>
      <w:r>
        <w:rPr>
          <w:sz w:val="20"/>
        </w:rPr>
        <w:t>indica,</w:t>
      </w:r>
      <w:r>
        <w:rPr>
          <w:spacing w:val="-10"/>
          <w:sz w:val="20"/>
        </w:rPr>
        <w:t> </w:t>
      </w:r>
      <w:r>
        <w:rPr>
          <w:sz w:val="20"/>
        </w:rPr>
        <w:t>en</w:t>
      </w:r>
      <w:r>
        <w:rPr>
          <w:spacing w:val="-13"/>
          <w:sz w:val="20"/>
        </w:rPr>
        <w:t> </w:t>
      </w:r>
      <w:r>
        <w:rPr>
          <w:sz w:val="20"/>
        </w:rPr>
        <w:t>lo</w:t>
      </w:r>
      <w:r>
        <w:rPr>
          <w:spacing w:val="-13"/>
          <w:sz w:val="20"/>
        </w:rPr>
        <w:t> </w:t>
      </w:r>
      <w:r>
        <w:rPr>
          <w:sz w:val="20"/>
        </w:rPr>
        <w:t>pertinente,</w:t>
      </w:r>
      <w:r>
        <w:rPr>
          <w:spacing w:val="-12"/>
          <w:sz w:val="20"/>
        </w:rPr>
        <w:t> </w:t>
      </w:r>
      <w:r>
        <w:rPr>
          <w:sz w:val="20"/>
        </w:rPr>
        <w:t>que</w:t>
      </w:r>
    </w:p>
    <w:p>
      <w:pPr>
        <w:pStyle w:val="BodyText"/>
        <w:spacing w:before="1"/>
        <w:ind w:left="122"/>
        <w:jc w:val="both"/>
      </w:pPr>
      <w:r>
        <w:rPr/>
        <w:t>“[t]oda persona tiene el derecho de participar en la vida cultural de la comunidad”.</w:t>
      </w:r>
    </w:p>
    <w:p>
      <w:pPr>
        <w:pStyle w:val="BodyText"/>
        <w:spacing w:before="10"/>
        <w:rPr>
          <w:sz w:val="19"/>
        </w:rPr>
      </w:pPr>
    </w:p>
    <w:p>
      <w:pPr>
        <w:pStyle w:val="ListParagraph"/>
        <w:numPr>
          <w:ilvl w:val="0"/>
          <w:numId w:val="31"/>
        </w:numPr>
        <w:tabs>
          <w:tab w:pos="830" w:val="left" w:leader="none"/>
        </w:tabs>
        <w:spacing w:line="240" w:lineRule="auto" w:before="0" w:after="0"/>
        <w:ind w:left="122" w:right="135" w:firstLine="0"/>
        <w:jc w:val="both"/>
        <w:rPr>
          <w:sz w:val="20"/>
        </w:rPr>
      </w:pPr>
      <w:r>
        <w:rPr>
          <w:sz w:val="20"/>
        </w:rPr>
        <w:t>El Protocolo de San Salvador, por su parte, reconoce en su artículo 14.1.a. “el derecho de toda persona a […] participar en la vida</w:t>
      </w:r>
      <w:r>
        <w:rPr>
          <w:spacing w:val="-23"/>
          <w:sz w:val="20"/>
        </w:rPr>
        <w:t> </w:t>
      </w:r>
      <w:r>
        <w:rPr>
          <w:sz w:val="20"/>
        </w:rPr>
        <w:t>cultural”.</w:t>
      </w:r>
    </w:p>
    <w:p>
      <w:pPr>
        <w:pStyle w:val="BodyText"/>
      </w:pPr>
    </w:p>
    <w:p>
      <w:pPr>
        <w:pStyle w:val="ListParagraph"/>
        <w:numPr>
          <w:ilvl w:val="0"/>
          <w:numId w:val="31"/>
        </w:numPr>
        <w:tabs>
          <w:tab w:pos="830" w:val="left" w:leader="none"/>
        </w:tabs>
        <w:spacing w:line="240" w:lineRule="auto" w:before="0" w:after="0"/>
        <w:ind w:left="122" w:right="123" w:firstLine="0"/>
        <w:jc w:val="both"/>
        <w:rPr>
          <w:sz w:val="20"/>
        </w:rPr>
      </w:pPr>
      <w:r>
        <w:rPr>
          <w:sz w:val="20"/>
        </w:rPr>
        <w:t>En</w:t>
      </w:r>
      <w:r>
        <w:rPr>
          <w:spacing w:val="-7"/>
          <w:sz w:val="20"/>
        </w:rPr>
        <w:t> </w:t>
      </w:r>
      <w:r>
        <w:rPr>
          <w:sz w:val="20"/>
        </w:rPr>
        <w:t>el</w:t>
      </w:r>
      <w:r>
        <w:rPr>
          <w:spacing w:val="-8"/>
          <w:sz w:val="20"/>
        </w:rPr>
        <w:t> </w:t>
      </w:r>
      <w:r>
        <w:rPr>
          <w:sz w:val="20"/>
        </w:rPr>
        <w:t>ámbito</w:t>
      </w:r>
      <w:r>
        <w:rPr>
          <w:spacing w:val="-9"/>
          <w:sz w:val="20"/>
        </w:rPr>
        <w:t> </w:t>
      </w:r>
      <w:r>
        <w:rPr>
          <w:sz w:val="20"/>
        </w:rPr>
        <w:t>universal,</w:t>
      </w:r>
      <w:r>
        <w:rPr>
          <w:spacing w:val="-6"/>
          <w:sz w:val="20"/>
        </w:rPr>
        <w:t> </w:t>
      </w:r>
      <w:r>
        <w:rPr>
          <w:sz w:val="20"/>
        </w:rPr>
        <w:t>la</w:t>
      </w:r>
      <w:r>
        <w:rPr>
          <w:spacing w:val="-8"/>
          <w:sz w:val="20"/>
        </w:rPr>
        <w:t> </w:t>
      </w:r>
      <w:r>
        <w:rPr>
          <w:sz w:val="20"/>
        </w:rPr>
        <w:t>Declaración</w:t>
      </w:r>
      <w:r>
        <w:rPr>
          <w:spacing w:val="-5"/>
          <w:sz w:val="20"/>
        </w:rPr>
        <w:t> </w:t>
      </w:r>
      <w:r>
        <w:rPr>
          <w:sz w:val="20"/>
        </w:rPr>
        <w:t>Universal</w:t>
      </w:r>
      <w:r>
        <w:rPr>
          <w:spacing w:val="-5"/>
          <w:sz w:val="20"/>
        </w:rPr>
        <w:t> </w:t>
      </w:r>
      <w:r>
        <w:rPr>
          <w:sz w:val="20"/>
        </w:rPr>
        <w:t>de</w:t>
      </w:r>
      <w:r>
        <w:rPr>
          <w:spacing w:val="-9"/>
          <w:sz w:val="20"/>
        </w:rPr>
        <w:t> </w:t>
      </w:r>
      <w:r>
        <w:rPr>
          <w:sz w:val="20"/>
        </w:rPr>
        <w:t>los</w:t>
      </w:r>
      <w:r>
        <w:rPr>
          <w:spacing w:val="-6"/>
          <w:sz w:val="20"/>
        </w:rPr>
        <w:t> </w:t>
      </w:r>
      <w:r>
        <w:rPr>
          <w:sz w:val="20"/>
        </w:rPr>
        <w:t>Derechos</w:t>
      </w:r>
      <w:r>
        <w:rPr>
          <w:spacing w:val="-4"/>
          <w:sz w:val="20"/>
        </w:rPr>
        <w:t> </w:t>
      </w:r>
      <w:r>
        <w:rPr>
          <w:sz w:val="20"/>
        </w:rPr>
        <w:t>Humanos,</w:t>
      </w:r>
      <w:r>
        <w:rPr>
          <w:spacing w:val="-4"/>
          <w:sz w:val="20"/>
        </w:rPr>
        <w:t> </w:t>
      </w:r>
      <w:r>
        <w:rPr>
          <w:sz w:val="20"/>
        </w:rPr>
        <w:t>en</w:t>
      </w:r>
      <w:r>
        <w:rPr>
          <w:spacing w:val="-5"/>
          <w:sz w:val="20"/>
        </w:rPr>
        <w:t> </w:t>
      </w:r>
      <w:r>
        <w:rPr>
          <w:sz w:val="20"/>
        </w:rPr>
        <w:t>su artículo 27.1, dispone que: “[t]oda persona tiene derecho a tomar parte libremente en la</w:t>
      </w:r>
      <w:r>
        <w:rPr>
          <w:spacing w:val="-8"/>
          <w:sz w:val="20"/>
        </w:rPr>
        <w:t> </w:t>
      </w:r>
      <w:r>
        <w:rPr>
          <w:sz w:val="20"/>
        </w:rPr>
        <w:t>vida</w:t>
      </w:r>
      <w:r>
        <w:rPr>
          <w:spacing w:val="-8"/>
          <w:sz w:val="20"/>
        </w:rPr>
        <w:t> </w:t>
      </w:r>
      <w:r>
        <w:rPr>
          <w:sz w:val="20"/>
        </w:rPr>
        <w:t>cultural</w:t>
      </w:r>
      <w:r>
        <w:rPr>
          <w:spacing w:val="-7"/>
          <w:sz w:val="20"/>
        </w:rPr>
        <w:t> </w:t>
      </w:r>
      <w:r>
        <w:rPr>
          <w:sz w:val="20"/>
        </w:rPr>
        <w:t>de</w:t>
      </w:r>
      <w:r>
        <w:rPr>
          <w:spacing w:val="-9"/>
          <w:sz w:val="20"/>
        </w:rPr>
        <w:t> </w:t>
      </w:r>
      <w:r>
        <w:rPr>
          <w:sz w:val="20"/>
        </w:rPr>
        <w:t>la</w:t>
      </w:r>
      <w:r>
        <w:rPr>
          <w:spacing w:val="-8"/>
          <w:sz w:val="20"/>
        </w:rPr>
        <w:t> </w:t>
      </w:r>
      <w:r>
        <w:rPr>
          <w:sz w:val="20"/>
        </w:rPr>
        <w:t>comunidad”.</w:t>
      </w:r>
      <w:r>
        <w:rPr>
          <w:spacing w:val="-6"/>
          <w:sz w:val="20"/>
        </w:rPr>
        <w:t> </w:t>
      </w:r>
      <w:r>
        <w:rPr>
          <w:sz w:val="20"/>
        </w:rPr>
        <w:t>El</w:t>
      </w:r>
      <w:r>
        <w:rPr>
          <w:spacing w:val="-7"/>
          <w:sz w:val="20"/>
        </w:rPr>
        <w:t> </w:t>
      </w:r>
      <w:r>
        <w:rPr>
          <w:sz w:val="20"/>
        </w:rPr>
        <w:t>PIDESC</w:t>
      </w:r>
      <w:r>
        <w:rPr>
          <w:spacing w:val="-7"/>
          <w:sz w:val="20"/>
        </w:rPr>
        <w:t> </w:t>
      </w:r>
      <w:r>
        <w:rPr>
          <w:sz w:val="20"/>
        </w:rPr>
        <w:t>en</w:t>
      </w:r>
      <w:r>
        <w:rPr>
          <w:spacing w:val="-7"/>
          <w:sz w:val="20"/>
        </w:rPr>
        <w:t> </w:t>
      </w:r>
      <w:r>
        <w:rPr>
          <w:sz w:val="20"/>
        </w:rPr>
        <w:t>su</w:t>
      </w:r>
      <w:r>
        <w:rPr>
          <w:spacing w:val="-7"/>
          <w:sz w:val="20"/>
        </w:rPr>
        <w:t> </w:t>
      </w:r>
      <w:r>
        <w:rPr>
          <w:sz w:val="20"/>
        </w:rPr>
        <w:t>artículo</w:t>
      </w:r>
      <w:r>
        <w:rPr>
          <w:spacing w:val="-9"/>
          <w:sz w:val="20"/>
        </w:rPr>
        <w:t> </w:t>
      </w:r>
      <w:r>
        <w:rPr>
          <w:sz w:val="20"/>
        </w:rPr>
        <w:t>15.1.a.</w:t>
      </w:r>
      <w:r>
        <w:rPr>
          <w:spacing w:val="-8"/>
          <w:sz w:val="20"/>
        </w:rPr>
        <w:t> </w:t>
      </w:r>
      <w:r>
        <w:rPr>
          <w:sz w:val="20"/>
        </w:rPr>
        <w:t>señala</w:t>
      </w:r>
      <w:r>
        <w:rPr>
          <w:spacing w:val="-8"/>
          <w:sz w:val="20"/>
        </w:rPr>
        <w:t> </w:t>
      </w:r>
      <w:r>
        <w:rPr>
          <w:sz w:val="20"/>
        </w:rPr>
        <w:t>“el</w:t>
      </w:r>
      <w:r>
        <w:rPr>
          <w:spacing w:val="-8"/>
          <w:sz w:val="20"/>
        </w:rPr>
        <w:t> </w:t>
      </w:r>
      <w:r>
        <w:rPr>
          <w:sz w:val="20"/>
        </w:rPr>
        <w:t>derecho</w:t>
      </w:r>
      <w:r>
        <w:rPr>
          <w:spacing w:val="-8"/>
          <w:sz w:val="20"/>
        </w:rPr>
        <w:t> </w:t>
      </w:r>
      <w:r>
        <w:rPr>
          <w:sz w:val="20"/>
        </w:rPr>
        <w:t>de toda persona a […p]articipar en la vida cultural”. Además, el Pacto Internacional de Derechos</w:t>
      </w:r>
      <w:r>
        <w:rPr>
          <w:spacing w:val="-11"/>
          <w:sz w:val="20"/>
        </w:rPr>
        <w:t> </w:t>
      </w:r>
      <w:r>
        <w:rPr>
          <w:sz w:val="20"/>
        </w:rPr>
        <w:t>Civiles</w:t>
      </w:r>
      <w:r>
        <w:rPr>
          <w:spacing w:val="-13"/>
          <w:sz w:val="20"/>
        </w:rPr>
        <w:t> </w:t>
      </w:r>
      <w:r>
        <w:rPr>
          <w:sz w:val="20"/>
        </w:rPr>
        <w:t>y</w:t>
      </w:r>
      <w:r>
        <w:rPr>
          <w:spacing w:val="-11"/>
          <w:sz w:val="20"/>
        </w:rPr>
        <w:t> </w:t>
      </w:r>
      <w:r>
        <w:rPr>
          <w:sz w:val="20"/>
        </w:rPr>
        <w:t>Políticos</w:t>
      </w:r>
      <w:r>
        <w:rPr>
          <w:spacing w:val="-11"/>
          <w:sz w:val="20"/>
        </w:rPr>
        <w:t> </w:t>
      </w:r>
      <w:r>
        <w:rPr>
          <w:sz w:val="20"/>
        </w:rPr>
        <w:t>(PIDCP)</w:t>
      </w:r>
      <w:r>
        <w:rPr>
          <w:spacing w:val="-9"/>
          <w:sz w:val="20"/>
        </w:rPr>
        <w:t> </w:t>
      </w:r>
      <w:r>
        <w:rPr>
          <w:sz w:val="20"/>
        </w:rPr>
        <w:t>prevé</w:t>
      </w:r>
      <w:r>
        <w:rPr>
          <w:spacing w:val="-11"/>
          <w:sz w:val="20"/>
        </w:rPr>
        <w:t> </w:t>
      </w:r>
      <w:r>
        <w:rPr>
          <w:sz w:val="20"/>
        </w:rPr>
        <w:t>en</w:t>
      </w:r>
      <w:r>
        <w:rPr>
          <w:spacing w:val="-12"/>
          <w:sz w:val="20"/>
        </w:rPr>
        <w:t> </w:t>
      </w:r>
      <w:r>
        <w:rPr>
          <w:sz w:val="20"/>
        </w:rPr>
        <w:t>su</w:t>
      </w:r>
      <w:r>
        <w:rPr>
          <w:spacing w:val="-10"/>
          <w:sz w:val="20"/>
        </w:rPr>
        <w:t> </w:t>
      </w:r>
      <w:r>
        <w:rPr>
          <w:sz w:val="20"/>
        </w:rPr>
        <w:t>artículo</w:t>
      </w:r>
      <w:r>
        <w:rPr>
          <w:spacing w:val="-14"/>
          <w:sz w:val="20"/>
        </w:rPr>
        <w:t> </w:t>
      </w:r>
      <w:r>
        <w:rPr>
          <w:sz w:val="20"/>
        </w:rPr>
        <w:t>27</w:t>
      </w:r>
      <w:r>
        <w:rPr>
          <w:spacing w:val="-10"/>
          <w:sz w:val="20"/>
        </w:rPr>
        <w:t> </w:t>
      </w:r>
      <w:r>
        <w:rPr>
          <w:sz w:val="20"/>
        </w:rPr>
        <w:t>que</w:t>
      </w:r>
      <w:r>
        <w:rPr>
          <w:spacing w:val="-14"/>
          <w:sz w:val="20"/>
        </w:rPr>
        <w:t> </w:t>
      </w:r>
      <w:r>
        <w:rPr>
          <w:sz w:val="20"/>
        </w:rPr>
        <w:t>“[e]n</w:t>
      </w:r>
      <w:r>
        <w:rPr>
          <w:spacing w:val="-12"/>
          <w:sz w:val="20"/>
        </w:rPr>
        <w:t> </w:t>
      </w:r>
      <w:r>
        <w:rPr>
          <w:sz w:val="20"/>
        </w:rPr>
        <w:t>los</w:t>
      </w:r>
      <w:r>
        <w:rPr>
          <w:spacing w:val="-13"/>
          <w:sz w:val="20"/>
        </w:rPr>
        <w:t> </w:t>
      </w:r>
      <w:r>
        <w:rPr>
          <w:sz w:val="20"/>
        </w:rPr>
        <w:t>Estados</w:t>
      </w:r>
      <w:r>
        <w:rPr>
          <w:spacing w:val="-13"/>
          <w:sz w:val="20"/>
        </w:rPr>
        <w:t> </w:t>
      </w:r>
      <w:r>
        <w:rPr>
          <w:sz w:val="20"/>
        </w:rPr>
        <w:t>en</w:t>
      </w:r>
      <w:r>
        <w:rPr>
          <w:spacing w:val="-12"/>
          <w:sz w:val="20"/>
        </w:rPr>
        <w:t> </w:t>
      </w:r>
      <w:r>
        <w:rPr>
          <w:sz w:val="20"/>
        </w:rPr>
        <w:t>que existan minorías étnicas, religiosas o lingüísticas, no se negará a las personas que pertenezcan</w:t>
      </w:r>
      <w:r>
        <w:rPr>
          <w:spacing w:val="-8"/>
          <w:sz w:val="20"/>
        </w:rPr>
        <w:t> </w:t>
      </w:r>
      <w:r>
        <w:rPr>
          <w:sz w:val="20"/>
        </w:rPr>
        <w:t>a</w:t>
      </w:r>
      <w:r>
        <w:rPr>
          <w:spacing w:val="-9"/>
          <w:sz w:val="20"/>
        </w:rPr>
        <w:t> </w:t>
      </w:r>
      <w:r>
        <w:rPr>
          <w:sz w:val="20"/>
        </w:rPr>
        <w:t>dichas</w:t>
      </w:r>
      <w:r>
        <w:rPr>
          <w:spacing w:val="-10"/>
          <w:sz w:val="20"/>
        </w:rPr>
        <w:t> </w:t>
      </w:r>
      <w:r>
        <w:rPr>
          <w:sz w:val="20"/>
        </w:rPr>
        <w:t>minorías</w:t>
      </w:r>
      <w:r>
        <w:rPr>
          <w:spacing w:val="-7"/>
          <w:sz w:val="20"/>
        </w:rPr>
        <w:t> </w:t>
      </w:r>
      <w:r>
        <w:rPr>
          <w:sz w:val="20"/>
        </w:rPr>
        <w:t>el</w:t>
      </w:r>
      <w:r>
        <w:rPr>
          <w:spacing w:val="-9"/>
          <w:sz w:val="20"/>
        </w:rPr>
        <w:t> </w:t>
      </w:r>
      <w:r>
        <w:rPr>
          <w:sz w:val="20"/>
        </w:rPr>
        <w:t>derecho</w:t>
      </w:r>
      <w:r>
        <w:rPr>
          <w:spacing w:val="-9"/>
          <w:sz w:val="20"/>
        </w:rPr>
        <w:t> </w:t>
      </w:r>
      <w:r>
        <w:rPr>
          <w:sz w:val="20"/>
        </w:rPr>
        <w:t>que</w:t>
      </w:r>
      <w:r>
        <w:rPr>
          <w:spacing w:val="-10"/>
          <w:sz w:val="20"/>
        </w:rPr>
        <w:t> </w:t>
      </w:r>
      <w:r>
        <w:rPr>
          <w:sz w:val="20"/>
        </w:rPr>
        <w:t>les</w:t>
      </w:r>
      <w:r>
        <w:rPr>
          <w:spacing w:val="-10"/>
          <w:sz w:val="20"/>
        </w:rPr>
        <w:t> </w:t>
      </w:r>
      <w:r>
        <w:rPr>
          <w:sz w:val="20"/>
        </w:rPr>
        <w:t>corresponde,</w:t>
      </w:r>
      <w:r>
        <w:rPr>
          <w:spacing w:val="-9"/>
          <w:sz w:val="20"/>
        </w:rPr>
        <w:t> </w:t>
      </w:r>
      <w:r>
        <w:rPr>
          <w:sz w:val="20"/>
        </w:rPr>
        <w:t>en</w:t>
      </w:r>
      <w:r>
        <w:rPr>
          <w:spacing w:val="-8"/>
          <w:sz w:val="20"/>
        </w:rPr>
        <w:t> </w:t>
      </w:r>
      <w:r>
        <w:rPr>
          <w:sz w:val="20"/>
        </w:rPr>
        <w:t>común</w:t>
      </w:r>
      <w:r>
        <w:rPr>
          <w:spacing w:val="-8"/>
          <w:sz w:val="20"/>
        </w:rPr>
        <w:t> </w:t>
      </w:r>
      <w:r>
        <w:rPr>
          <w:sz w:val="20"/>
        </w:rPr>
        <w:t>con</w:t>
      </w:r>
      <w:r>
        <w:rPr>
          <w:spacing w:val="-8"/>
          <w:sz w:val="20"/>
        </w:rPr>
        <w:t> </w:t>
      </w:r>
      <w:r>
        <w:rPr>
          <w:sz w:val="20"/>
        </w:rPr>
        <w:t>los</w:t>
      </w:r>
      <w:r>
        <w:rPr>
          <w:spacing w:val="-10"/>
          <w:sz w:val="20"/>
        </w:rPr>
        <w:t> </w:t>
      </w:r>
      <w:r>
        <w:rPr>
          <w:sz w:val="20"/>
        </w:rPr>
        <w:t>demás miembros de su grupo, a tener su propia vida cultural, a profesar y practicar su propia religión y a emplear su propio</w:t>
      </w:r>
      <w:r>
        <w:rPr>
          <w:spacing w:val="-7"/>
          <w:sz w:val="20"/>
        </w:rPr>
        <w:t> </w:t>
      </w:r>
      <w:r>
        <w:rPr>
          <w:sz w:val="20"/>
        </w:rPr>
        <w:t>idioma”.</w:t>
      </w:r>
    </w:p>
    <w:p>
      <w:pPr>
        <w:pStyle w:val="BodyText"/>
      </w:pPr>
    </w:p>
    <w:p>
      <w:pPr>
        <w:pStyle w:val="ListParagraph"/>
        <w:numPr>
          <w:ilvl w:val="0"/>
          <w:numId w:val="31"/>
        </w:numPr>
        <w:tabs>
          <w:tab w:pos="830" w:val="left" w:leader="none"/>
        </w:tabs>
        <w:spacing w:line="240" w:lineRule="auto" w:before="0" w:after="0"/>
        <w:ind w:left="122" w:right="122" w:firstLine="0"/>
        <w:jc w:val="both"/>
        <w:rPr>
          <w:sz w:val="20"/>
        </w:rPr>
      </w:pPr>
      <w:r>
        <w:rPr>
          <w:sz w:val="20"/>
        </w:rPr>
        <w:t>Por otra parte, la Constitución Nacional de Argentina, como ya se indicó, asignó “jerarquía constitucional” a la Declaración Universal de Derechos Humanos, a la Declaración Americana, a la Convención Americana, al PIDESC y al PIDCP.</w:t>
      </w:r>
      <w:r>
        <w:rPr>
          <w:spacing w:val="-49"/>
          <w:sz w:val="20"/>
        </w:rPr>
        <w:t> </w:t>
      </w:r>
      <w:r>
        <w:rPr>
          <w:sz w:val="20"/>
        </w:rPr>
        <w:t>En particular respecto a pueblos indígenas su artículo 75, como ya se señaló (</w:t>
      </w:r>
      <w:r>
        <w:rPr>
          <w:i/>
          <w:sz w:val="20"/>
        </w:rPr>
        <w:t>supra </w:t>
      </w:r>
      <w:r>
        <w:rPr>
          <w:sz w:val="20"/>
        </w:rPr>
        <w:t>párr. 54), estableció que “[c]orresponde al Congreso […r]econocer la preexistencia étnica y cultural</w:t>
      </w:r>
      <w:r>
        <w:rPr>
          <w:spacing w:val="-10"/>
          <w:sz w:val="20"/>
        </w:rPr>
        <w:t> </w:t>
      </w:r>
      <w:r>
        <w:rPr>
          <w:sz w:val="20"/>
        </w:rPr>
        <w:t>de</w:t>
      </w:r>
      <w:r>
        <w:rPr>
          <w:spacing w:val="-9"/>
          <w:sz w:val="20"/>
        </w:rPr>
        <w:t> </w:t>
      </w:r>
      <w:r>
        <w:rPr>
          <w:sz w:val="20"/>
        </w:rPr>
        <w:t>los</w:t>
      </w:r>
      <w:r>
        <w:rPr>
          <w:spacing w:val="-9"/>
          <w:sz w:val="20"/>
        </w:rPr>
        <w:t> </w:t>
      </w:r>
      <w:r>
        <w:rPr>
          <w:sz w:val="20"/>
        </w:rPr>
        <w:t>pueblos</w:t>
      </w:r>
      <w:r>
        <w:rPr>
          <w:spacing w:val="-11"/>
          <w:sz w:val="20"/>
        </w:rPr>
        <w:t> </w:t>
      </w:r>
      <w:r>
        <w:rPr>
          <w:sz w:val="20"/>
        </w:rPr>
        <w:t>indígenas</w:t>
      </w:r>
      <w:r>
        <w:rPr>
          <w:spacing w:val="-11"/>
          <w:sz w:val="20"/>
        </w:rPr>
        <w:t> </w:t>
      </w:r>
      <w:r>
        <w:rPr>
          <w:sz w:val="20"/>
        </w:rPr>
        <w:t>argentinos”,</w:t>
      </w:r>
      <w:r>
        <w:rPr>
          <w:spacing w:val="-9"/>
          <w:sz w:val="20"/>
        </w:rPr>
        <w:t> </w:t>
      </w:r>
      <w:r>
        <w:rPr>
          <w:sz w:val="20"/>
        </w:rPr>
        <w:t>y</w:t>
      </w:r>
      <w:r>
        <w:rPr>
          <w:spacing w:val="-6"/>
          <w:sz w:val="20"/>
        </w:rPr>
        <w:t> </w:t>
      </w:r>
      <w:r>
        <w:rPr>
          <w:sz w:val="20"/>
        </w:rPr>
        <w:t>también</w:t>
      </w:r>
      <w:r>
        <w:rPr>
          <w:spacing w:val="-9"/>
          <w:sz w:val="20"/>
        </w:rPr>
        <w:t> </w:t>
      </w:r>
      <w:r>
        <w:rPr>
          <w:sz w:val="20"/>
        </w:rPr>
        <w:t>que</w:t>
      </w:r>
      <w:r>
        <w:rPr>
          <w:spacing w:val="-9"/>
          <w:sz w:val="20"/>
        </w:rPr>
        <w:t> </w:t>
      </w:r>
      <w:r>
        <w:rPr>
          <w:sz w:val="20"/>
        </w:rPr>
        <w:t>le</w:t>
      </w:r>
      <w:r>
        <w:rPr>
          <w:spacing w:val="-9"/>
          <w:sz w:val="20"/>
        </w:rPr>
        <w:t> </w:t>
      </w:r>
      <w:r>
        <w:rPr>
          <w:sz w:val="20"/>
        </w:rPr>
        <w:t>corresponde,</w:t>
      </w:r>
      <w:r>
        <w:rPr>
          <w:spacing w:val="-8"/>
          <w:sz w:val="20"/>
        </w:rPr>
        <w:t> </w:t>
      </w:r>
      <w:r>
        <w:rPr>
          <w:sz w:val="20"/>
        </w:rPr>
        <w:t>entre</w:t>
      </w:r>
      <w:r>
        <w:rPr>
          <w:spacing w:val="-9"/>
          <w:sz w:val="20"/>
        </w:rPr>
        <w:t> </w:t>
      </w:r>
      <w:r>
        <w:rPr>
          <w:sz w:val="20"/>
        </w:rPr>
        <w:t>otros deberes,</w:t>
      </w:r>
      <w:r>
        <w:rPr>
          <w:spacing w:val="-9"/>
          <w:sz w:val="20"/>
        </w:rPr>
        <w:t> </w:t>
      </w:r>
      <w:r>
        <w:rPr>
          <w:sz w:val="20"/>
        </w:rPr>
        <w:t>“[g]arantizar</w:t>
      </w:r>
      <w:r>
        <w:rPr>
          <w:spacing w:val="-10"/>
          <w:sz w:val="20"/>
        </w:rPr>
        <w:t> </w:t>
      </w:r>
      <w:r>
        <w:rPr>
          <w:sz w:val="20"/>
        </w:rPr>
        <w:t>el</w:t>
      </w:r>
      <w:r>
        <w:rPr>
          <w:spacing w:val="-9"/>
          <w:sz w:val="20"/>
        </w:rPr>
        <w:t> </w:t>
      </w:r>
      <w:r>
        <w:rPr>
          <w:sz w:val="20"/>
        </w:rPr>
        <w:t>respeto</w:t>
      </w:r>
      <w:r>
        <w:rPr>
          <w:spacing w:val="-10"/>
          <w:sz w:val="20"/>
        </w:rPr>
        <w:t> </w:t>
      </w:r>
      <w:r>
        <w:rPr>
          <w:sz w:val="20"/>
        </w:rPr>
        <w:t>a</w:t>
      </w:r>
      <w:r>
        <w:rPr>
          <w:spacing w:val="-6"/>
          <w:sz w:val="20"/>
        </w:rPr>
        <w:t> </w:t>
      </w:r>
      <w:r>
        <w:rPr>
          <w:sz w:val="20"/>
        </w:rPr>
        <w:t>su</w:t>
      </w:r>
      <w:r>
        <w:rPr>
          <w:spacing w:val="-8"/>
          <w:sz w:val="20"/>
        </w:rPr>
        <w:t> </w:t>
      </w:r>
      <w:r>
        <w:rPr>
          <w:sz w:val="20"/>
        </w:rPr>
        <w:t>identidad”.</w:t>
      </w:r>
      <w:r>
        <w:rPr>
          <w:spacing w:val="-9"/>
          <w:sz w:val="20"/>
        </w:rPr>
        <w:t> </w:t>
      </w:r>
      <w:r>
        <w:rPr>
          <w:sz w:val="20"/>
        </w:rPr>
        <w:t>La</w:t>
      </w:r>
      <w:r>
        <w:rPr>
          <w:spacing w:val="-9"/>
          <w:sz w:val="20"/>
        </w:rPr>
        <w:t> </w:t>
      </w:r>
      <w:r>
        <w:rPr>
          <w:sz w:val="20"/>
        </w:rPr>
        <w:t>Constitución</w:t>
      </w:r>
      <w:r>
        <w:rPr>
          <w:spacing w:val="-8"/>
          <w:sz w:val="20"/>
        </w:rPr>
        <w:t> </w:t>
      </w:r>
      <w:r>
        <w:rPr>
          <w:sz w:val="20"/>
        </w:rPr>
        <w:t>de</w:t>
      </w:r>
      <w:r>
        <w:rPr>
          <w:spacing w:val="-10"/>
          <w:sz w:val="20"/>
        </w:rPr>
        <w:t> </w:t>
      </w:r>
      <w:r>
        <w:rPr>
          <w:sz w:val="20"/>
        </w:rPr>
        <w:t>Salta,</w:t>
      </w:r>
      <w:r>
        <w:rPr>
          <w:spacing w:val="-9"/>
          <w:sz w:val="20"/>
        </w:rPr>
        <w:t> </w:t>
      </w:r>
      <w:r>
        <w:rPr>
          <w:sz w:val="20"/>
        </w:rPr>
        <w:t>por</w:t>
      </w:r>
      <w:r>
        <w:rPr>
          <w:spacing w:val="-8"/>
          <w:sz w:val="20"/>
        </w:rPr>
        <w:t> </w:t>
      </w:r>
      <w:r>
        <w:rPr>
          <w:sz w:val="20"/>
        </w:rPr>
        <w:t>su</w:t>
      </w:r>
      <w:r>
        <w:rPr>
          <w:spacing w:val="-8"/>
          <w:sz w:val="20"/>
        </w:rPr>
        <w:t> </w:t>
      </w:r>
      <w:r>
        <w:rPr>
          <w:sz w:val="20"/>
        </w:rPr>
        <w:t>parte,</w:t>
      </w:r>
    </w:p>
    <w:p>
      <w:pPr>
        <w:pStyle w:val="BodyText"/>
        <w:spacing w:before="5"/>
        <w:rPr>
          <w:sz w:val="25"/>
        </w:rPr>
      </w:pPr>
      <w:r>
        <w:rPr/>
        <w:pict>
          <v:line style="position:absolute;mso-position-horizontal-relative:page;mso-position-vertical-relative:paragraph;z-index:2872;mso-wrap-distance-left:0;mso-wrap-distance-right:0" from="85.103996pt,17.801247pt" to="229.123996pt,17.801247pt" stroked="true" strokeweight=".72pt" strokecolor="#000000">
            <v:stroke dashstyle="solid"/>
            <w10:wrap type="topAndBottom"/>
          </v:line>
        </w:pict>
      </w:r>
    </w:p>
    <w:p>
      <w:pPr>
        <w:spacing w:before="71"/>
        <w:ind w:left="122" w:right="115" w:firstLine="0"/>
        <w:jc w:val="both"/>
        <w:rPr>
          <w:sz w:val="16"/>
        </w:rPr>
      </w:pPr>
      <w:r>
        <w:rPr>
          <w:sz w:val="16"/>
        </w:rPr>
        <w:t>Derechos Económicos, Sociales y Culturales y de Derechos Civiles y Políticos (</w:t>
      </w:r>
      <w:r>
        <w:rPr>
          <w:i/>
          <w:sz w:val="16"/>
        </w:rPr>
        <w:t>infra </w:t>
      </w:r>
      <w:r>
        <w:rPr>
          <w:sz w:val="16"/>
        </w:rPr>
        <w:t>párr. 234), según ha sido indicado por los Comités correspondientes (</w:t>
      </w:r>
      <w:r>
        <w:rPr>
          <w:i/>
          <w:sz w:val="16"/>
        </w:rPr>
        <w:t>cfr. </w:t>
      </w:r>
      <w:r>
        <w:rPr>
          <w:sz w:val="16"/>
        </w:rPr>
        <w:t>Comité DESC. </w:t>
      </w:r>
      <w:r>
        <w:rPr>
          <w:i/>
          <w:sz w:val="16"/>
        </w:rPr>
        <w:t>Observación General 21. Derecho de toda </w:t>
      </w:r>
      <w:r>
        <w:rPr>
          <w:i/>
          <w:sz w:val="16"/>
        </w:rPr>
        <w:t>persona a participar en la vida cultural (artículo 15, párrafo 1 a), del Pacto Internacional de Derechos Económicos,</w:t>
      </w:r>
      <w:r>
        <w:rPr>
          <w:i/>
          <w:spacing w:val="-6"/>
          <w:sz w:val="16"/>
        </w:rPr>
        <w:t> </w:t>
      </w:r>
      <w:r>
        <w:rPr>
          <w:i/>
          <w:sz w:val="16"/>
        </w:rPr>
        <w:t>Sociales</w:t>
      </w:r>
      <w:r>
        <w:rPr>
          <w:i/>
          <w:spacing w:val="-7"/>
          <w:sz w:val="16"/>
        </w:rPr>
        <w:t> </w:t>
      </w:r>
      <w:r>
        <w:rPr>
          <w:i/>
          <w:sz w:val="16"/>
        </w:rPr>
        <w:t>y</w:t>
      </w:r>
      <w:r>
        <w:rPr>
          <w:i/>
          <w:spacing w:val="-4"/>
          <w:sz w:val="16"/>
        </w:rPr>
        <w:t> </w:t>
      </w:r>
      <w:r>
        <w:rPr>
          <w:i/>
          <w:sz w:val="16"/>
        </w:rPr>
        <w:t>Culturales).</w:t>
      </w:r>
      <w:r>
        <w:rPr>
          <w:i/>
          <w:spacing w:val="-2"/>
          <w:sz w:val="16"/>
        </w:rPr>
        <w:t> </w:t>
      </w:r>
      <w:r>
        <w:rPr>
          <w:sz w:val="16"/>
        </w:rPr>
        <w:t>43º</w:t>
      </w:r>
      <w:r>
        <w:rPr>
          <w:spacing w:val="-4"/>
          <w:sz w:val="16"/>
        </w:rPr>
        <w:t> </w:t>
      </w:r>
      <w:r>
        <w:rPr>
          <w:sz w:val="16"/>
        </w:rPr>
        <w:t>período</w:t>
      </w:r>
      <w:r>
        <w:rPr>
          <w:spacing w:val="-7"/>
          <w:sz w:val="16"/>
        </w:rPr>
        <w:t> </w:t>
      </w:r>
      <w:r>
        <w:rPr>
          <w:sz w:val="16"/>
        </w:rPr>
        <w:t>de</w:t>
      </w:r>
      <w:r>
        <w:rPr>
          <w:spacing w:val="-5"/>
          <w:sz w:val="16"/>
        </w:rPr>
        <w:t> </w:t>
      </w:r>
      <w:r>
        <w:rPr>
          <w:sz w:val="16"/>
        </w:rPr>
        <w:t>sesiones</w:t>
      </w:r>
      <w:r>
        <w:rPr>
          <w:spacing w:val="-5"/>
          <w:sz w:val="16"/>
        </w:rPr>
        <w:t> </w:t>
      </w:r>
      <w:r>
        <w:rPr>
          <w:sz w:val="16"/>
        </w:rPr>
        <w:t>(2009)</w:t>
      </w:r>
      <w:r>
        <w:rPr>
          <w:spacing w:val="-6"/>
          <w:sz w:val="16"/>
        </w:rPr>
        <w:t> </w:t>
      </w:r>
      <w:r>
        <w:rPr>
          <w:sz w:val="16"/>
        </w:rPr>
        <w:t>Doc.</w:t>
      </w:r>
      <w:r>
        <w:rPr>
          <w:spacing w:val="-3"/>
          <w:sz w:val="16"/>
        </w:rPr>
        <w:t> </w:t>
      </w:r>
      <w:r>
        <w:rPr>
          <w:sz w:val="16"/>
        </w:rPr>
        <w:t>E/C.12/GC/21,</w:t>
      </w:r>
      <w:r>
        <w:rPr>
          <w:spacing w:val="-6"/>
          <w:sz w:val="16"/>
        </w:rPr>
        <w:t> </w:t>
      </w:r>
      <w:r>
        <w:rPr>
          <w:sz w:val="16"/>
        </w:rPr>
        <w:t>párrs</w:t>
      </w:r>
      <w:r>
        <w:rPr>
          <w:spacing w:val="-7"/>
          <w:sz w:val="16"/>
        </w:rPr>
        <w:t> </w:t>
      </w:r>
      <w:r>
        <w:rPr>
          <w:sz w:val="16"/>
        </w:rPr>
        <w:t>3,</w:t>
      </w:r>
      <w:r>
        <w:rPr>
          <w:spacing w:val="-6"/>
          <w:sz w:val="16"/>
        </w:rPr>
        <w:t> </w:t>
      </w:r>
      <w:r>
        <w:rPr>
          <w:sz w:val="16"/>
        </w:rPr>
        <w:t>7,</w:t>
      </w:r>
      <w:r>
        <w:rPr>
          <w:spacing w:val="-6"/>
          <w:sz w:val="16"/>
        </w:rPr>
        <w:t> </w:t>
      </w:r>
      <w:r>
        <w:rPr>
          <w:sz w:val="16"/>
        </w:rPr>
        <w:t>9,</w:t>
      </w:r>
      <w:r>
        <w:rPr>
          <w:spacing w:val="-6"/>
          <w:sz w:val="16"/>
        </w:rPr>
        <w:t> </w:t>
      </w:r>
      <w:r>
        <w:rPr>
          <w:sz w:val="16"/>
        </w:rPr>
        <w:t>13,</w:t>
      </w:r>
      <w:r>
        <w:rPr>
          <w:spacing w:val="-6"/>
          <w:sz w:val="16"/>
        </w:rPr>
        <w:t> </w:t>
      </w:r>
      <w:r>
        <w:rPr>
          <w:sz w:val="16"/>
        </w:rPr>
        <w:t>15,</w:t>
      </w:r>
    </w:p>
    <w:p>
      <w:pPr>
        <w:spacing w:before="0"/>
        <w:ind w:left="122" w:right="115" w:firstLine="0"/>
        <w:jc w:val="both"/>
        <w:rPr>
          <w:sz w:val="16"/>
        </w:rPr>
      </w:pPr>
      <w:r>
        <w:rPr>
          <w:sz w:val="16"/>
        </w:rPr>
        <w:t>32, 33, 36, 37, 42, 43, 49, 53 y 55 , y Comité de Derechos Humanos. </w:t>
      </w:r>
      <w:r>
        <w:rPr>
          <w:i/>
          <w:sz w:val="16"/>
        </w:rPr>
        <w:t>Observación General 23. Derecho de </w:t>
      </w:r>
      <w:r>
        <w:rPr>
          <w:i/>
          <w:sz w:val="16"/>
        </w:rPr>
        <w:t>las minorías (artículo 27). </w:t>
      </w:r>
      <w:r>
        <w:rPr>
          <w:sz w:val="16"/>
        </w:rPr>
        <w:t>50º período de sesiones (1994). Doc. CCPR/C/21/Rev.1/Add.5, párrs. 1 y 3). Por otra parte, este Tribunal aclara que los derechos culturales no se limitan a lo anterior. No resulta necesario aquí profundizar en esto último, baste con señalar que el artículo XIII de la Declaración Americana habla también de “gozar de las artes y disfrutar de los beneficios que resulten de los progresos intelectuales y especialmente de los descubrimientos científicos [y] asimismo [de] la protección de los intereses morales y materiales” relativos a “inventos [y] obras”. Puede observarse también, en el mismo sentido, lo señalado por el</w:t>
      </w:r>
      <w:r>
        <w:rPr>
          <w:spacing w:val="-1"/>
          <w:sz w:val="16"/>
        </w:rPr>
        <w:t> </w:t>
      </w:r>
      <w:r>
        <w:rPr>
          <w:sz w:val="16"/>
        </w:rPr>
        <w:t>Comité</w:t>
      </w:r>
      <w:r>
        <w:rPr>
          <w:spacing w:val="-3"/>
          <w:sz w:val="16"/>
        </w:rPr>
        <w:t> </w:t>
      </w:r>
      <w:r>
        <w:rPr>
          <w:sz w:val="16"/>
        </w:rPr>
        <w:t>DESC</w:t>
      </w:r>
      <w:r>
        <w:rPr>
          <w:spacing w:val="-2"/>
          <w:sz w:val="16"/>
        </w:rPr>
        <w:t> </w:t>
      </w:r>
      <w:r>
        <w:rPr>
          <w:sz w:val="16"/>
        </w:rPr>
        <w:t>en</w:t>
      </w:r>
      <w:r>
        <w:rPr>
          <w:spacing w:val="-4"/>
          <w:sz w:val="16"/>
        </w:rPr>
        <w:t> </w:t>
      </w:r>
      <w:r>
        <w:rPr>
          <w:sz w:val="16"/>
        </w:rPr>
        <w:t>el</w:t>
      </w:r>
      <w:r>
        <w:rPr>
          <w:spacing w:val="-3"/>
          <w:sz w:val="16"/>
        </w:rPr>
        <w:t> </w:t>
      </w:r>
      <w:r>
        <w:rPr>
          <w:sz w:val="16"/>
        </w:rPr>
        <w:t>párrafo</w:t>
      </w:r>
      <w:r>
        <w:rPr>
          <w:spacing w:val="-4"/>
          <w:sz w:val="16"/>
        </w:rPr>
        <w:t> </w:t>
      </w:r>
      <w:r>
        <w:rPr>
          <w:sz w:val="16"/>
        </w:rPr>
        <w:t>2</w:t>
      </w:r>
      <w:r>
        <w:rPr>
          <w:spacing w:val="-2"/>
          <w:sz w:val="16"/>
        </w:rPr>
        <w:t> </w:t>
      </w:r>
      <w:r>
        <w:rPr>
          <w:sz w:val="16"/>
        </w:rPr>
        <w:t>de</w:t>
      </w:r>
      <w:r>
        <w:rPr>
          <w:spacing w:val="-3"/>
          <w:sz w:val="16"/>
        </w:rPr>
        <w:t> </w:t>
      </w:r>
      <w:r>
        <w:rPr>
          <w:sz w:val="16"/>
        </w:rPr>
        <w:t>la</w:t>
      </w:r>
      <w:r>
        <w:rPr>
          <w:spacing w:val="-3"/>
          <w:sz w:val="16"/>
        </w:rPr>
        <w:t> </w:t>
      </w:r>
      <w:r>
        <w:rPr>
          <w:sz w:val="16"/>
        </w:rPr>
        <w:t>citada</w:t>
      </w:r>
      <w:r>
        <w:rPr>
          <w:spacing w:val="-3"/>
          <w:sz w:val="16"/>
        </w:rPr>
        <w:t> </w:t>
      </w:r>
      <w:r>
        <w:rPr>
          <w:sz w:val="16"/>
        </w:rPr>
        <w:t>Observación</w:t>
      </w:r>
      <w:r>
        <w:rPr>
          <w:spacing w:val="-4"/>
          <w:sz w:val="16"/>
        </w:rPr>
        <w:t> </w:t>
      </w:r>
      <w:r>
        <w:rPr>
          <w:sz w:val="16"/>
        </w:rPr>
        <w:t>General</w:t>
      </w:r>
      <w:r>
        <w:rPr>
          <w:spacing w:val="-3"/>
          <w:sz w:val="16"/>
        </w:rPr>
        <w:t> </w:t>
      </w:r>
      <w:r>
        <w:rPr>
          <w:sz w:val="16"/>
        </w:rPr>
        <w:t>21,</w:t>
      </w:r>
      <w:r>
        <w:rPr>
          <w:spacing w:val="-4"/>
          <w:sz w:val="16"/>
        </w:rPr>
        <w:t> </w:t>
      </w:r>
      <w:r>
        <w:rPr>
          <w:sz w:val="16"/>
        </w:rPr>
        <w:t>en</w:t>
      </w:r>
      <w:r>
        <w:rPr>
          <w:spacing w:val="-4"/>
          <w:sz w:val="16"/>
        </w:rPr>
        <w:t> </w:t>
      </w:r>
      <w:r>
        <w:rPr>
          <w:sz w:val="16"/>
        </w:rPr>
        <w:t>que</w:t>
      </w:r>
      <w:r>
        <w:rPr>
          <w:spacing w:val="-2"/>
          <w:sz w:val="16"/>
        </w:rPr>
        <w:t> </w:t>
      </w:r>
      <w:r>
        <w:rPr>
          <w:sz w:val="16"/>
        </w:rPr>
        <w:t>de</w:t>
      </w:r>
      <w:r>
        <w:rPr>
          <w:spacing w:val="-5"/>
          <w:sz w:val="16"/>
        </w:rPr>
        <w:t> </w:t>
      </w:r>
      <w:r>
        <w:rPr>
          <w:sz w:val="16"/>
        </w:rPr>
        <w:t>forma</w:t>
      </w:r>
      <w:r>
        <w:rPr>
          <w:spacing w:val="-4"/>
          <w:sz w:val="16"/>
        </w:rPr>
        <w:t> </w:t>
      </w:r>
      <w:r>
        <w:rPr>
          <w:sz w:val="16"/>
        </w:rPr>
        <w:t>clara</w:t>
      </w:r>
      <w:r>
        <w:rPr>
          <w:spacing w:val="-1"/>
          <w:sz w:val="16"/>
        </w:rPr>
        <w:t> </w:t>
      </w:r>
      <w:r>
        <w:rPr>
          <w:sz w:val="16"/>
        </w:rPr>
        <w:t>habla</w:t>
      </w:r>
      <w:r>
        <w:rPr>
          <w:spacing w:val="-3"/>
          <w:sz w:val="16"/>
        </w:rPr>
        <w:t> </w:t>
      </w:r>
      <w:r>
        <w:rPr>
          <w:sz w:val="16"/>
        </w:rPr>
        <w:t>del</w:t>
      </w:r>
      <w:r>
        <w:rPr>
          <w:spacing w:val="-3"/>
          <w:sz w:val="16"/>
        </w:rPr>
        <w:t> </w:t>
      </w:r>
      <w:r>
        <w:rPr>
          <w:sz w:val="16"/>
        </w:rPr>
        <w:t>derecho a “participar en la vida cultural” y, además, de “otros derechos</w:t>
      </w:r>
      <w:r>
        <w:rPr>
          <w:spacing w:val="-29"/>
          <w:sz w:val="16"/>
        </w:rPr>
        <w:t> </w:t>
      </w:r>
      <w:r>
        <w:rPr>
          <w:sz w:val="16"/>
        </w:rPr>
        <w:t>culturales”.</w:t>
      </w:r>
    </w:p>
    <w:p>
      <w:pPr>
        <w:pStyle w:val="BodyText"/>
        <w:rPr>
          <w:sz w:val="16"/>
        </w:rPr>
      </w:pPr>
    </w:p>
    <w:p>
      <w:pPr>
        <w:tabs>
          <w:tab w:pos="829" w:val="left" w:leader="none"/>
        </w:tabs>
        <w:spacing w:line="240" w:lineRule="auto" w:before="0"/>
        <w:ind w:left="122" w:right="116" w:firstLine="0"/>
        <w:jc w:val="both"/>
        <w:rPr>
          <w:sz w:val="16"/>
        </w:rPr>
      </w:pPr>
      <w:r>
        <w:rPr>
          <w:position w:val="6"/>
          <w:sz w:val="10"/>
        </w:rPr>
        <w:t>234</w:t>
        <w:tab/>
      </w:r>
      <w:r>
        <w:rPr>
          <w:sz w:val="16"/>
        </w:rPr>
        <w:t>La Corte considera relevante dejar sentado que las normas indicadas deben entenderse </w:t>
      </w:r>
      <w:r>
        <w:rPr>
          <w:spacing w:val="48"/>
          <w:sz w:val="16"/>
        </w:rPr>
        <w:t> </w:t>
      </w:r>
      <w:r>
        <w:rPr>
          <w:sz w:val="16"/>
        </w:rPr>
        <w:t>y</w:t>
      </w:r>
      <w:r>
        <w:rPr>
          <w:spacing w:val="10"/>
          <w:sz w:val="16"/>
        </w:rPr>
        <w:t> </w:t>
      </w:r>
      <w:r>
        <w:rPr>
          <w:sz w:val="16"/>
        </w:rPr>
        <w:t>aplicarse</w:t>
      </w:r>
      <w:r>
        <w:rPr>
          <w:w w:val="100"/>
          <w:sz w:val="16"/>
        </w:rPr>
        <w:t> </w:t>
      </w:r>
      <w:r>
        <w:rPr>
          <w:sz w:val="16"/>
        </w:rPr>
        <w:t>de forma armónica con otros compromisos internacionales de los Estados, tales como los que surgen, por ejemplo, del artículo 15 del Pacto Internacional de Derechos Económicos, Sociales y Culturales y del artículo 27 del Pacto Internacional de Derechos Civiles y Políticos (</w:t>
      </w:r>
      <w:r>
        <w:rPr>
          <w:i/>
          <w:sz w:val="16"/>
        </w:rPr>
        <w:t>infra </w:t>
      </w:r>
      <w:r>
        <w:rPr>
          <w:sz w:val="16"/>
        </w:rPr>
        <w:t>párr. 234), o del Convenio 169. Por ello, no corresponde entender que tales normas mandan políticas estatales que propendan a la asimilación de grupos minoritarios, o con pautas culturales propias, a una cultura que se pretenda mayoritaria o dominante. Por el contrario, los mandatos de procurar un desarrollo “integral”, “incorporar” y acrecentar la “participación” de sectores</w:t>
      </w:r>
      <w:r>
        <w:rPr>
          <w:spacing w:val="-18"/>
          <w:sz w:val="16"/>
        </w:rPr>
        <w:t> </w:t>
      </w:r>
      <w:r>
        <w:rPr>
          <w:sz w:val="16"/>
        </w:rPr>
        <w:t>poblacionales</w:t>
      </w:r>
      <w:r>
        <w:rPr>
          <w:spacing w:val="-18"/>
          <w:sz w:val="16"/>
        </w:rPr>
        <w:t> </w:t>
      </w:r>
      <w:r>
        <w:rPr>
          <w:sz w:val="16"/>
        </w:rPr>
        <w:t>para</w:t>
      </w:r>
      <w:r>
        <w:rPr>
          <w:spacing w:val="-19"/>
          <w:sz w:val="16"/>
        </w:rPr>
        <w:t> </w:t>
      </w:r>
      <w:r>
        <w:rPr>
          <w:sz w:val="16"/>
        </w:rPr>
        <w:t>su</w:t>
      </w:r>
      <w:r>
        <w:rPr>
          <w:spacing w:val="-16"/>
          <w:sz w:val="16"/>
        </w:rPr>
        <w:t> </w:t>
      </w:r>
      <w:r>
        <w:rPr>
          <w:sz w:val="16"/>
        </w:rPr>
        <w:t>“plena</w:t>
      </w:r>
      <w:r>
        <w:rPr>
          <w:spacing w:val="-16"/>
          <w:sz w:val="16"/>
        </w:rPr>
        <w:t> </w:t>
      </w:r>
      <w:r>
        <w:rPr>
          <w:sz w:val="16"/>
        </w:rPr>
        <w:t>integración”,</w:t>
      </w:r>
      <w:r>
        <w:rPr>
          <w:spacing w:val="-16"/>
          <w:sz w:val="16"/>
        </w:rPr>
        <w:t> </w:t>
      </w:r>
      <w:r>
        <w:rPr>
          <w:sz w:val="16"/>
        </w:rPr>
        <w:t>estimular</w:t>
      </w:r>
      <w:r>
        <w:rPr>
          <w:spacing w:val="-17"/>
          <w:sz w:val="16"/>
        </w:rPr>
        <w:t> </w:t>
      </w:r>
      <w:r>
        <w:rPr>
          <w:sz w:val="16"/>
        </w:rPr>
        <w:t>la</w:t>
      </w:r>
      <w:r>
        <w:rPr>
          <w:spacing w:val="-16"/>
          <w:sz w:val="16"/>
        </w:rPr>
        <w:t> </w:t>
      </w:r>
      <w:r>
        <w:rPr>
          <w:sz w:val="16"/>
        </w:rPr>
        <w:t>cultura</w:t>
      </w:r>
      <w:r>
        <w:rPr>
          <w:spacing w:val="-16"/>
          <w:sz w:val="16"/>
        </w:rPr>
        <w:t> </w:t>
      </w:r>
      <w:r>
        <w:rPr>
          <w:sz w:val="16"/>
        </w:rPr>
        <w:t>y</w:t>
      </w:r>
      <w:r>
        <w:rPr>
          <w:spacing w:val="-15"/>
          <w:sz w:val="16"/>
        </w:rPr>
        <w:t> </w:t>
      </w:r>
      <w:r>
        <w:rPr>
          <w:sz w:val="16"/>
        </w:rPr>
        <w:t>“preservar</w:t>
      </w:r>
      <w:r>
        <w:rPr>
          <w:spacing w:val="-17"/>
          <w:sz w:val="16"/>
        </w:rPr>
        <w:t> </w:t>
      </w:r>
      <w:r>
        <w:rPr>
          <w:sz w:val="16"/>
        </w:rPr>
        <w:t>y</w:t>
      </w:r>
      <w:r>
        <w:rPr>
          <w:spacing w:val="-17"/>
          <w:sz w:val="16"/>
        </w:rPr>
        <w:t> </w:t>
      </w:r>
      <w:r>
        <w:rPr>
          <w:sz w:val="16"/>
        </w:rPr>
        <w:t>enriquecer”</w:t>
      </w:r>
      <w:r>
        <w:rPr>
          <w:spacing w:val="-15"/>
          <w:sz w:val="16"/>
        </w:rPr>
        <w:t> </w:t>
      </w:r>
      <w:r>
        <w:rPr>
          <w:sz w:val="16"/>
        </w:rPr>
        <w:t>el</w:t>
      </w:r>
      <w:r>
        <w:rPr>
          <w:spacing w:val="-18"/>
          <w:sz w:val="16"/>
        </w:rPr>
        <w:t> </w:t>
      </w:r>
      <w:r>
        <w:rPr>
          <w:sz w:val="16"/>
        </w:rPr>
        <w:t>patrimonio cultural,</w:t>
      </w:r>
      <w:r>
        <w:rPr>
          <w:spacing w:val="-6"/>
          <w:sz w:val="16"/>
        </w:rPr>
        <w:t> </w:t>
      </w:r>
      <w:r>
        <w:rPr>
          <w:sz w:val="16"/>
        </w:rPr>
        <w:t>deben</w:t>
      </w:r>
      <w:r>
        <w:rPr>
          <w:spacing w:val="-8"/>
          <w:sz w:val="16"/>
        </w:rPr>
        <w:t> </w:t>
      </w:r>
      <w:r>
        <w:rPr>
          <w:sz w:val="16"/>
        </w:rPr>
        <w:t>entenderse</w:t>
      </w:r>
      <w:r>
        <w:rPr>
          <w:spacing w:val="-7"/>
          <w:sz w:val="16"/>
        </w:rPr>
        <w:t> </w:t>
      </w:r>
      <w:r>
        <w:rPr>
          <w:sz w:val="16"/>
        </w:rPr>
        <w:t>en</w:t>
      </w:r>
      <w:r>
        <w:rPr>
          <w:spacing w:val="-8"/>
          <w:sz w:val="16"/>
        </w:rPr>
        <w:t> </w:t>
      </w:r>
      <w:r>
        <w:rPr>
          <w:sz w:val="16"/>
        </w:rPr>
        <w:t>el</w:t>
      </w:r>
      <w:r>
        <w:rPr>
          <w:spacing w:val="-6"/>
          <w:sz w:val="16"/>
        </w:rPr>
        <w:t> </w:t>
      </w:r>
      <w:r>
        <w:rPr>
          <w:sz w:val="16"/>
        </w:rPr>
        <w:t>marco</w:t>
      </w:r>
      <w:r>
        <w:rPr>
          <w:spacing w:val="-7"/>
          <w:sz w:val="16"/>
        </w:rPr>
        <w:t> </w:t>
      </w:r>
      <w:r>
        <w:rPr>
          <w:sz w:val="16"/>
        </w:rPr>
        <w:t>del</w:t>
      </w:r>
      <w:r>
        <w:rPr>
          <w:spacing w:val="-8"/>
          <w:sz w:val="16"/>
        </w:rPr>
        <w:t> </w:t>
      </w:r>
      <w:r>
        <w:rPr>
          <w:sz w:val="16"/>
        </w:rPr>
        <w:t>respeto</w:t>
      </w:r>
      <w:r>
        <w:rPr>
          <w:spacing w:val="-4"/>
          <w:sz w:val="16"/>
        </w:rPr>
        <w:t> </w:t>
      </w:r>
      <w:r>
        <w:rPr>
          <w:sz w:val="16"/>
        </w:rPr>
        <w:t>a</w:t>
      </w:r>
      <w:r>
        <w:rPr>
          <w:spacing w:val="-8"/>
          <w:sz w:val="16"/>
        </w:rPr>
        <w:t> </w:t>
      </w:r>
      <w:r>
        <w:rPr>
          <w:sz w:val="16"/>
        </w:rPr>
        <w:t>la</w:t>
      </w:r>
      <w:r>
        <w:rPr>
          <w:spacing w:val="-6"/>
          <w:sz w:val="16"/>
        </w:rPr>
        <w:t> </w:t>
      </w:r>
      <w:r>
        <w:rPr>
          <w:sz w:val="16"/>
        </w:rPr>
        <w:t>propia</w:t>
      </w:r>
      <w:r>
        <w:rPr>
          <w:spacing w:val="-6"/>
          <w:sz w:val="16"/>
        </w:rPr>
        <w:t> </w:t>
      </w:r>
      <w:r>
        <w:rPr>
          <w:sz w:val="16"/>
        </w:rPr>
        <w:t>vida</w:t>
      </w:r>
      <w:r>
        <w:rPr>
          <w:spacing w:val="-8"/>
          <w:sz w:val="16"/>
        </w:rPr>
        <w:t> </w:t>
      </w:r>
      <w:r>
        <w:rPr>
          <w:sz w:val="16"/>
        </w:rPr>
        <w:t>cultural</w:t>
      </w:r>
      <w:r>
        <w:rPr>
          <w:spacing w:val="-6"/>
          <w:sz w:val="16"/>
        </w:rPr>
        <w:t> </w:t>
      </w:r>
      <w:r>
        <w:rPr>
          <w:sz w:val="16"/>
        </w:rPr>
        <w:t>de</w:t>
      </w:r>
      <w:r>
        <w:rPr>
          <w:spacing w:val="-7"/>
          <w:sz w:val="16"/>
        </w:rPr>
        <w:t> </w:t>
      </w:r>
      <w:r>
        <w:rPr>
          <w:sz w:val="16"/>
        </w:rPr>
        <w:t>los</w:t>
      </w:r>
      <w:r>
        <w:rPr>
          <w:spacing w:val="-7"/>
          <w:sz w:val="16"/>
        </w:rPr>
        <w:t> </w:t>
      </w:r>
      <w:r>
        <w:rPr>
          <w:sz w:val="16"/>
        </w:rPr>
        <w:t>diversos</w:t>
      </w:r>
      <w:r>
        <w:rPr>
          <w:spacing w:val="-7"/>
          <w:sz w:val="16"/>
        </w:rPr>
        <w:t> </w:t>
      </w:r>
      <w:r>
        <w:rPr>
          <w:sz w:val="16"/>
        </w:rPr>
        <w:t>grupos,</w:t>
      </w:r>
      <w:r>
        <w:rPr>
          <w:spacing w:val="-6"/>
          <w:sz w:val="16"/>
        </w:rPr>
        <w:t> </w:t>
      </w:r>
      <w:r>
        <w:rPr>
          <w:sz w:val="16"/>
        </w:rPr>
        <w:t>tales</w:t>
      </w:r>
      <w:r>
        <w:rPr>
          <w:spacing w:val="-7"/>
          <w:sz w:val="16"/>
        </w:rPr>
        <w:t> </w:t>
      </w:r>
      <w:r>
        <w:rPr>
          <w:sz w:val="16"/>
        </w:rPr>
        <w:t>como comunidades indígenas. Por lo tanto, la “participación”, “integración” o “incorporación” en la “vida cultural” deben procurarse sin perjuicio de la diversidad cultural, y entenderse de modo respetuoso de la misma y </w:t>
      </w:r>
      <w:r>
        <w:rPr>
          <w:spacing w:val="-3"/>
          <w:sz w:val="16"/>
        </w:rPr>
        <w:t>de </w:t>
      </w:r>
      <w:r>
        <w:rPr>
          <w:sz w:val="16"/>
        </w:rPr>
        <w:t>los derechos de los distintos grupos y las personas que los</w:t>
      </w:r>
      <w:r>
        <w:rPr>
          <w:spacing w:val="-21"/>
          <w:sz w:val="16"/>
        </w:rPr>
        <w:t> </w:t>
      </w:r>
      <w:r>
        <w:rPr>
          <w:sz w:val="16"/>
        </w:rPr>
        <w:t>integran.</w:t>
      </w:r>
    </w:p>
    <w:p>
      <w:pPr>
        <w:spacing w:after="0" w:line="240" w:lineRule="auto"/>
        <w:jc w:val="both"/>
        <w:rPr>
          <w:sz w:val="16"/>
        </w:rPr>
        <w:sectPr>
          <w:pgSz w:w="12240" w:h="15840"/>
          <w:pgMar w:header="0" w:footer="1000" w:top="1340" w:bottom="1200" w:left="1580" w:right="1580"/>
        </w:sectPr>
      </w:pPr>
    </w:p>
    <w:p>
      <w:pPr>
        <w:pStyle w:val="BodyText"/>
        <w:spacing w:before="76"/>
        <w:ind w:left="122" w:right="123"/>
        <w:jc w:val="both"/>
      </w:pPr>
      <w:r>
        <w:rPr/>
        <w:t>en su artículo 52 “asegura a todos los habitantes el derecho a acceder a la cultura” e indica que el Estado “[p]romueve las manifestaciones culturales […] colectivas”. Además, de modo puntual sobre pueblos indígenas, el artículo 15 de la Constitución salteña, entre otras cosas, dice que “[l]a Provincia reconoce la preexistencia étnica y cultural de los pueblos indígenas que residen en el territorio de Salta[, y que r]econoce y garantiza el respeto a su identidad”.</w:t>
      </w:r>
    </w:p>
    <w:p>
      <w:pPr>
        <w:pStyle w:val="BodyText"/>
        <w:spacing w:before="10"/>
        <w:rPr>
          <w:sz w:val="19"/>
        </w:rPr>
      </w:pPr>
    </w:p>
    <w:p>
      <w:pPr>
        <w:pStyle w:val="ListParagraph"/>
        <w:numPr>
          <w:ilvl w:val="0"/>
          <w:numId w:val="31"/>
        </w:numPr>
        <w:tabs>
          <w:tab w:pos="830" w:val="left" w:leader="none"/>
        </w:tabs>
        <w:spacing w:line="240" w:lineRule="auto" w:before="0" w:after="0"/>
        <w:ind w:left="122" w:right="122" w:firstLine="0"/>
        <w:jc w:val="both"/>
        <w:rPr>
          <w:sz w:val="20"/>
        </w:rPr>
      </w:pPr>
      <w:r>
        <w:rPr>
          <w:sz w:val="20"/>
        </w:rPr>
        <w:t>Textos constitucionales de diversos países de la región, con denominaciones diversas (entre ellas, por ejemplo, “identidad cultural” y “diversidad cultural”), en términos</w:t>
      </w:r>
      <w:r>
        <w:rPr>
          <w:spacing w:val="-10"/>
          <w:sz w:val="20"/>
        </w:rPr>
        <w:t> </w:t>
      </w:r>
      <w:r>
        <w:rPr>
          <w:sz w:val="20"/>
        </w:rPr>
        <w:t>generales</w:t>
      </w:r>
      <w:r>
        <w:rPr>
          <w:spacing w:val="-8"/>
          <w:sz w:val="20"/>
        </w:rPr>
        <w:t> </w:t>
      </w:r>
      <w:r>
        <w:rPr>
          <w:sz w:val="20"/>
        </w:rPr>
        <w:t>y/o</w:t>
      </w:r>
      <w:r>
        <w:rPr>
          <w:spacing w:val="-6"/>
          <w:sz w:val="20"/>
        </w:rPr>
        <w:t> </w:t>
      </w:r>
      <w:r>
        <w:rPr>
          <w:sz w:val="20"/>
        </w:rPr>
        <w:t>en</w:t>
      </w:r>
      <w:r>
        <w:rPr>
          <w:spacing w:val="-9"/>
          <w:sz w:val="20"/>
        </w:rPr>
        <w:t> </w:t>
      </w:r>
      <w:r>
        <w:rPr>
          <w:sz w:val="20"/>
        </w:rPr>
        <w:t>relación</w:t>
      </w:r>
      <w:r>
        <w:rPr>
          <w:spacing w:val="-9"/>
          <w:sz w:val="20"/>
        </w:rPr>
        <w:t> </w:t>
      </w:r>
      <w:r>
        <w:rPr>
          <w:sz w:val="20"/>
        </w:rPr>
        <w:t>con</w:t>
      </w:r>
      <w:r>
        <w:rPr>
          <w:spacing w:val="-9"/>
          <w:sz w:val="20"/>
        </w:rPr>
        <w:t> </w:t>
      </w:r>
      <w:r>
        <w:rPr>
          <w:sz w:val="20"/>
        </w:rPr>
        <w:t>pueblos</w:t>
      </w:r>
      <w:r>
        <w:rPr>
          <w:spacing w:val="-8"/>
          <w:sz w:val="20"/>
        </w:rPr>
        <w:t> </w:t>
      </w:r>
      <w:r>
        <w:rPr>
          <w:sz w:val="20"/>
        </w:rPr>
        <w:t>indígenas</w:t>
      </w:r>
      <w:r>
        <w:rPr>
          <w:spacing w:val="-10"/>
          <w:sz w:val="20"/>
        </w:rPr>
        <w:t> </w:t>
      </w:r>
      <w:r>
        <w:rPr>
          <w:sz w:val="20"/>
        </w:rPr>
        <w:t>o</w:t>
      </w:r>
      <w:r>
        <w:rPr>
          <w:spacing w:val="-5"/>
          <w:sz w:val="20"/>
        </w:rPr>
        <w:t> </w:t>
      </w:r>
      <w:r>
        <w:rPr>
          <w:sz w:val="20"/>
        </w:rPr>
        <w:t>tribales,</w:t>
      </w:r>
      <w:r>
        <w:rPr>
          <w:spacing w:val="-10"/>
          <w:sz w:val="20"/>
        </w:rPr>
        <w:t> </w:t>
      </w:r>
      <w:r>
        <w:rPr>
          <w:sz w:val="20"/>
        </w:rPr>
        <w:t>tutelan</w:t>
      </w:r>
      <w:r>
        <w:rPr>
          <w:spacing w:val="-9"/>
          <w:sz w:val="20"/>
        </w:rPr>
        <w:t> </w:t>
      </w:r>
      <w:r>
        <w:rPr>
          <w:sz w:val="20"/>
        </w:rPr>
        <w:t>la</w:t>
      </w:r>
      <w:r>
        <w:rPr>
          <w:spacing w:val="-10"/>
          <w:sz w:val="20"/>
        </w:rPr>
        <w:t> </w:t>
      </w:r>
      <w:r>
        <w:rPr>
          <w:sz w:val="20"/>
        </w:rPr>
        <w:t>identidad cultural</w:t>
      </w:r>
      <w:r>
        <w:rPr>
          <w:spacing w:val="-13"/>
          <w:sz w:val="20"/>
        </w:rPr>
        <w:t> </w:t>
      </w:r>
      <w:r>
        <w:rPr>
          <w:sz w:val="20"/>
        </w:rPr>
        <w:t>y/o</w:t>
      </w:r>
      <w:r>
        <w:rPr>
          <w:spacing w:val="-14"/>
          <w:sz w:val="20"/>
        </w:rPr>
        <w:t> </w:t>
      </w:r>
      <w:r>
        <w:rPr>
          <w:sz w:val="20"/>
        </w:rPr>
        <w:t>la</w:t>
      </w:r>
      <w:r>
        <w:rPr>
          <w:spacing w:val="-13"/>
          <w:sz w:val="20"/>
        </w:rPr>
        <w:t> </w:t>
      </w:r>
      <w:r>
        <w:rPr>
          <w:sz w:val="20"/>
        </w:rPr>
        <w:t>participación</w:t>
      </w:r>
      <w:r>
        <w:rPr>
          <w:spacing w:val="-13"/>
          <w:sz w:val="20"/>
        </w:rPr>
        <w:t> </w:t>
      </w:r>
      <w:r>
        <w:rPr>
          <w:sz w:val="20"/>
        </w:rPr>
        <w:t>en</w:t>
      </w:r>
      <w:r>
        <w:rPr>
          <w:spacing w:val="-13"/>
          <w:sz w:val="20"/>
        </w:rPr>
        <w:t> </w:t>
      </w:r>
      <w:r>
        <w:rPr>
          <w:sz w:val="20"/>
        </w:rPr>
        <w:t>la</w:t>
      </w:r>
      <w:r>
        <w:rPr>
          <w:spacing w:val="-13"/>
          <w:sz w:val="20"/>
        </w:rPr>
        <w:t> </w:t>
      </w:r>
      <w:r>
        <w:rPr>
          <w:sz w:val="20"/>
        </w:rPr>
        <w:t>vida</w:t>
      </w:r>
      <w:r>
        <w:rPr>
          <w:spacing w:val="-13"/>
          <w:sz w:val="20"/>
        </w:rPr>
        <w:t> </w:t>
      </w:r>
      <w:r>
        <w:rPr>
          <w:sz w:val="20"/>
        </w:rPr>
        <w:t>cultural.</w:t>
      </w:r>
      <w:r>
        <w:rPr>
          <w:spacing w:val="-14"/>
          <w:sz w:val="20"/>
        </w:rPr>
        <w:t> </w:t>
      </w:r>
      <w:r>
        <w:rPr>
          <w:sz w:val="20"/>
        </w:rPr>
        <w:t>Entre</w:t>
      </w:r>
      <w:r>
        <w:rPr>
          <w:spacing w:val="-15"/>
          <w:sz w:val="20"/>
        </w:rPr>
        <w:t> </w:t>
      </w:r>
      <w:r>
        <w:rPr>
          <w:sz w:val="20"/>
        </w:rPr>
        <w:t>las</w:t>
      </w:r>
      <w:r>
        <w:rPr>
          <w:spacing w:val="-14"/>
          <w:sz w:val="20"/>
        </w:rPr>
        <w:t> </w:t>
      </w:r>
      <w:r>
        <w:rPr>
          <w:sz w:val="20"/>
        </w:rPr>
        <w:t>disposiciones</w:t>
      </w:r>
      <w:r>
        <w:rPr>
          <w:spacing w:val="-14"/>
          <w:sz w:val="20"/>
        </w:rPr>
        <w:t> </w:t>
      </w:r>
      <w:r>
        <w:rPr>
          <w:sz w:val="20"/>
        </w:rPr>
        <w:t>relevantes</w:t>
      </w:r>
      <w:r>
        <w:rPr>
          <w:spacing w:val="-14"/>
          <w:sz w:val="20"/>
        </w:rPr>
        <w:t> </w:t>
      </w:r>
      <w:r>
        <w:rPr>
          <w:sz w:val="20"/>
        </w:rPr>
        <w:t>pueden señalarse el artículo 30 de la Constitución </w:t>
      </w:r>
      <w:r>
        <w:rPr>
          <w:spacing w:val="2"/>
          <w:sz w:val="20"/>
        </w:rPr>
        <w:t>de </w:t>
      </w:r>
      <w:r>
        <w:rPr>
          <w:sz w:val="20"/>
        </w:rPr>
        <w:t>Bolivia; los artículos 215 y 231 de la Constitución</w:t>
      </w:r>
      <w:r>
        <w:rPr>
          <w:spacing w:val="-8"/>
          <w:sz w:val="20"/>
        </w:rPr>
        <w:t> </w:t>
      </w:r>
      <w:r>
        <w:rPr>
          <w:sz w:val="20"/>
        </w:rPr>
        <w:t>de</w:t>
      </w:r>
      <w:r>
        <w:rPr>
          <w:spacing w:val="-7"/>
          <w:sz w:val="20"/>
        </w:rPr>
        <w:t> </w:t>
      </w:r>
      <w:r>
        <w:rPr>
          <w:sz w:val="20"/>
        </w:rPr>
        <w:t>Brasil;</w:t>
      </w:r>
      <w:r>
        <w:rPr>
          <w:spacing w:val="-5"/>
          <w:sz w:val="20"/>
        </w:rPr>
        <w:t> </w:t>
      </w:r>
      <w:r>
        <w:rPr>
          <w:sz w:val="20"/>
        </w:rPr>
        <w:t>el</w:t>
      </w:r>
      <w:r>
        <w:rPr>
          <w:spacing w:val="-8"/>
          <w:sz w:val="20"/>
        </w:rPr>
        <w:t> </w:t>
      </w:r>
      <w:r>
        <w:rPr>
          <w:sz w:val="20"/>
        </w:rPr>
        <w:t>artículo</w:t>
      </w:r>
      <w:r>
        <w:rPr>
          <w:spacing w:val="-9"/>
          <w:sz w:val="20"/>
        </w:rPr>
        <w:t> </w:t>
      </w:r>
      <w:r>
        <w:rPr>
          <w:sz w:val="20"/>
        </w:rPr>
        <w:t>7</w:t>
      </w:r>
      <w:r>
        <w:rPr>
          <w:spacing w:val="-7"/>
          <w:sz w:val="20"/>
        </w:rPr>
        <w:t> </w:t>
      </w:r>
      <w:r>
        <w:rPr>
          <w:sz w:val="20"/>
        </w:rPr>
        <w:t>de</w:t>
      </w:r>
      <w:r>
        <w:rPr>
          <w:spacing w:val="-8"/>
          <w:sz w:val="20"/>
        </w:rPr>
        <w:t> </w:t>
      </w:r>
      <w:r>
        <w:rPr>
          <w:sz w:val="20"/>
        </w:rPr>
        <w:t>la</w:t>
      </w:r>
      <w:r>
        <w:rPr>
          <w:spacing w:val="-8"/>
          <w:sz w:val="20"/>
        </w:rPr>
        <w:t> </w:t>
      </w:r>
      <w:r>
        <w:rPr>
          <w:sz w:val="20"/>
        </w:rPr>
        <w:t>Constitución</w:t>
      </w:r>
      <w:r>
        <w:rPr>
          <w:spacing w:val="-8"/>
          <w:sz w:val="20"/>
        </w:rPr>
        <w:t> </w:t>
      </w:r>
      <w:r>
        <w:rPr>
          <w:sz w:val="20"/>
        </w:rPr>
        <w:t>de</w:t>
      </w:r>
      <w:r>
        <w:rPr>
          <w:spacing w:val="-9"/>
          <w:sz w:val="20"/>
        </w:rPr>
        <w:t> </w:t>
      </w:r>
      <w:r>
        <w:rPr>
          <w:sz w:val="20"/>
        </w:rPr>
        <w:t>Colombia;</w:t>
      </w:r>
      <w:r>
        <w:rPr>
          <w:spacing w:val="-7"/>
          <w:sz w:val="20"/>
        </w:rPr>
        <w:t> </w:t>
      </w:r>
      <w:r>
        <w:rPr>
          <w:sz w:val="20"/>
        </w:rPr>
        <w:t>los</w:t>
      </w:r>
      <w:r>
        <w:rPr>
          <w:spacing w:val="-6"/>
          <w:sz w:val="20"/>
        </w:rPr>
        <w:t> </w:t>
      </w:r>
      <w:r>
        <w:rPr>
          <w:sz w:val="20"/>
        </w:rPr>
        <w:t>artículos</w:t>
      </w:r>
      <w:r>
        <w:rPr>
          <w:spacing w:val="-9"/>
          <w:sz w:val="20"/>
        </w:rPr>
        <w:t> </w:t>
      </w:r>
      <w:r>
        <w:rPr>
          <w:sz w:val="20"/>
        </w:rPr>
        <w:t>21</w:t>
      </w:r>
      <w:r>
        <w:rPr>
          <w:spacing w:val="-5"/>
          <w:sz w:val="20"/>
        </w:rPr>
        <w:t> </w:t>
      </w:r>
      <w:r>
        <w:rPr>
          <w:sz w:val="20"/>
        </w:rPr>
        <w:t>y</w:t>
      </w:r>
      <w:r>
        <w:rPr>
          <w:spacing w:val="-8"/>
          <w:sz w:val="20"/>
        </w:rPr>
        <w:t> </w:t>
      </w:r>
      <w:r>
        <w:rPr>
          <w:sz w:val="20"/>
        </w:rPr>
        <w:t>23 de</w:t>
      </w:r>
      <w:r>
        <w:rPr>
          <w:spacing w:val="-16"/>
          <w:sz w:val="20"/>
        </w:rPr>
        <w:t> </w:t>
      </w:r>
      <w:r>
        <w:rPr>
          <w:sz w:val="20"/>
        </w:rPr>
        <w:t>la</w:t>
      </w:r>
      <w:r>
        <w:rPr>
          <w:spacing w:val="-15"/>
          <w:sz w:val="20"/>
        </w:rPr>
        <w:t> </w:t>
      </w:r>
      <w:r>
        <w:rPr>
          <w:sz w:val="20"/>
        </w:rPr>
        <w:t>Constitución</w:t>
      </w:r>
      <w:r>
        <w:rPr>
          <w:spacing w:val="-15"/>
          <w:sz w:val="20"/>
        </w:rPr>
        <w:t> </w:t>
      </w:r>
      <w:r>
        <w:rPr>
          <w:sz w:val="20"/>
        </w:rPr>
        <w:t>de</w:t>
      </w:r>
      <w:r>
        <w:rPr>
          <w:spacing w:val="-15"/>
          <w:sz w:val="20"/>
        </w:rPr>
        <w:t> </w:t>
      </w:r>
      <w:r>
        <w:rPr>
          <w:sz w:val="20"/>
        </w:rPr>
        <w:t>Ecuador;</w:t>
      </w:r>
      <w:r>
        <w:rPr>
          <w:spacing w:val="-13"/>
          <w:sz w:val="20"/>
        </w:rPr>
        <w:t> </w:t>
      </w:r>
      <w:r>
        <w:rPr>
          <w:sz w:val="20"/>
        </w:rPr>
        <w:t>los</w:t>
      </w:r>
      <w:r>
        <w:rPr>
          <w:spacing w:val="-16"/>
          <w:sz w:val="20"/>
        </w:rPr>
        <w:t> </w:t>
      </w:r>
      <w:r>
        <w:rPr>
          <w:sz w:val="20"/>
        </w:rPr>
        <w:t>artículos</w:t>
      </w:r>
      <w:r>
        <w:rPr>
          <w:spacing w:val="-16"/>
          <w:sz w:val="20"/>
        </w:rPr>
        <w:t> </w:t>
      </w:r>
      <w:r>
        <w:rPr>
          <w:sz w:val="20"/>
        </w:rPr>
        <w:t>57,</w:t>
      </w:r>
      <w:r>
        <w:rPr>
          <w:spacing w:val="-11"/>
          <w:sz w:val="20"/>
        </w:rPr>
        <w:t> </w:t>
      </w:r>
      <w:r>
        <w:rPr>
          <w:sz w:val="20"/>
        </w:rPr>
        <w:t>58</w:t>
      </w:r>
      <w:r>
        <w:rPr>
          <w:spacing w:val="-14"/>
          <w:sz w:val="20"/>
        </w:rPr>
        <w:t> </w:t>
      </w:r>
      <w:r>
        <w:rPr>
          <w:sz w:val="20"/>
        </w:rPr>
        <w:t>y</w:t>
      </w:r>
      <w:r>
        <w:rPr>
          <w:spacing w:val="-15"/>
          <w:sz w:val="20"/>
        </w:rPr>
        <w:t> </w:t>
      </w:r>
      <w:r>
        <w:rPr>
          <w:sz w:val="20"/>
        </w:rPr>
        <w:t>66</w:t>
      </w:r>
      <w:r>
        <w:rPr>
          <w:spacing w:val="-14"/>
          <w:sz w:val="20"/>
        </w:rPr>
        <w:t> </w:t>
      </w:r>
      <w:r>
        <w:rPr>
          <w:sz w:val="20"/>
        </w:rPr>
        <w:t>de</w:t>
      </w:r>
      <w:r>
        <w:rPr>
          <w:spacing w:val="-16"/>
          <w:sz w:val="20"/>
        </w:rPr>
        <w:t> </w:t>
      </w:r>
      <w:r>
        <w:rPr>
          <w:sz w:val="20"/>
        </w:rPr>
        <w:t>la</w:t>
      </w:r>
      <w:r>
        <w:rPr>
          <w:spacing w:val="-15"/>
          <w:sz w:val="20"/>
        </w:rPr>
        <w:t> </w:t>
      </w:r>
      <w:r>
        <w:rPr>
          <w:sz w:val="20"/>
        </w:rPr>
        <w:t>Constitución</w:t>
      </w:r>
      <w:r>
        <w:rPr>
          <w:spacing w:val="-10"/>
          <w:sz w:val="20"/>
        </w:rPr>
        <w:t> </w:t>
      </w:r>
      <w:r>
        <w:rPr>
          <w:sz w:val="20"/>
        </w:rPr>
        <w:t>de</w:t>
      </w:r>
      <w:r>
        <w:rPr>
          <w:spacing w:val="-16"/>
          <w:sz w:val="20"/>
        </w:rPr>
        <w:t> </w:t>
      </w:r>
      <w:r>
        <w:rPr>
          <w:sz w:val="20"/>
        </w:rPr>
        <w:t>Guatemala; el</w:t>
      </w:r>
      <w:r>
        <w:rPr>
          <w:spacing w:val="-5"/>
          <w:sz w:val="20"/>
        </w:rPr>
        <w:t> </w:t>
      </w:r>
      <w:r>
        <w:rPr>
          <w:sz w:val="20"/>
        </w:rPr>
        <w:t>artículo</w:t>
      </w:r>
      <w:r>
        <w:rPr>
          <w:spacing w:val="-7"/>
          <w:sz w:val="20"/>
        </w:rPr>
        <w:t> </w:t>
      </w:r>
      <w:r>
        <w:rPr>
          <w:sz w:val="20"/>
        </w:rPr>
        <w:t>4</w:t>
      </w:r>
      <w:r>
        <w:rPr>
          <w:spacing w:val="-5"/>
          <w:sz w:val="20"/>
        </w:rPr>
        <w:t> </w:t>
      </w:r>
      <w:r>
        <w:rPr>
          <w:sz w:val="20"/>
        </w:rPr>
        <w:t>de</w:t>
      </w:r>
      <w:r>
        <w:rPr>
          <w:spacing w:val="-7"/>
          <w:sz w:val="20"/>
        </w:rPr>
        <w:t> </w:t>
      </w:r>
      <w:r>
        <w:rPr>
          <w:sz w:val="20"/>
        </w:rPr>
        <w:t>la</w:t>
      </w:r>
      <w:r>
        <w:rPr>
          <w:spacing w:val="-5"/>
          <w:sz w:val="20"/>
        </w:rPr>
        <w:t> </w:t>
      </w:r>
      <w:r>
        <w:rPr>
          <w:sz w:val="20"/>
        </w:rPr>
        <w:t>Constitución</w:t>
      </w:r>
      <w:r>
        <w:rPr>
          <w:spacing w:val="-3"/>
          <w:sz w:val="20"/>
        </w:rPr>
        <w:t> </w:t>
      </w:r>
      <w:r>
        <w:rPr>
          <w:sz w:val="20"/>
        </w:rPr>
        <w:t>de</w:t>
      </w:r>
      <w:r>
        <w:rPr>
          <w:spacing w:val="-7"/>
          <w:sz w:val="20"/>
        </w:rPr>
        <w:t> </w:t>
      </w:r>
      <w:r>
        <w:rPr>
          <w:sz w:val="20"/>
        </w:rPr>
        <w:t>México;</w:t>
      </w:r>
      <w:r>
        <w:rPr>
          <w:spacing w:val="-4"/>
          <w:sz w:val="20"/>
        </w:rPr>
        <w:t> </w:t>
      </w:r>
      <w:r>
        <w:rPr>
          <w:sz w:val="20"/>
        </w:rPr>
        <w:t>los</w:t>
      </w:r>
      <w:r>
        <w:rPr>
          <w:spacing w:val="-6"/>
          <w:sz w:val="20"/>
        </w:rPr>
        <w:t> </w:t>
      </w:r>
      <w:r>
        <w:rPr>
          <w:sz w:val="20"/>
        </w:rPr>
        <w:t>artículos</w:t>
      </w:r>
      <w:r>
        <w:rPr>
          <w:spacing w:val="-6"/>
          <w:sz w:val="20"/>
        </w:rPr>
        <w:t> </w:t>
      </w:r>
      <w:r>
        <w:rPr>
          <w:sz w:val="20"/>
        </w:rPr>
        <w:t>5</w:t>
      </w:r>
      <w:r>
        <w:rPr>
          <w:spacing w:val="-5"/>
          <w:sz w:val="20"/>
        </w:rPr>
        <w:t> </w:t>
      </w:r>
      <w:r>
        <w:rPr>
          <w:sz w:val="20"/>
        </w:rPr>
        <w:t>y</w:t>
      </w:r>
      <w:r>
        <w:rPr>
          <w:spacing w:val="-6"/>
          <w:sz w:val="20"/>
        </w:rPr>
        <w:t> </w:t>
      </w:r>
      <w:r>
        <w:rPr>
          <w:sz w:val="20"/>
        </w:rPr>
        <w:t>89</w:t>
      </w:r>
      <w:r>
        <w:rPr>
          <w:spacing w:val="-5"/>
          <w:sz w:val="20"/>
        </w:rPr>
        <w:t> </w:t>
      </w:r>
      <w:r>
        <w:rPr>
          <w:sz w:val="20"/>
        </w:rPr>
        <w:t>a</w:t>
      </w:r>
      <w:r>
        <w:rPr>
          <w:spacing w:val="-5"/>
          <w:sz w:val="20"/>
        </w:rPr>
        <w:t> </w:t>
      </w:r>
      <w:r>
        <w:rPr>
          <w:sz w:val="20"/>
        </w:rPr>
        <w:t>91</w:t>
      </w:r>
      <w:r>
        <w:rPr>
          <w:spacing w:val="-5"/>
          <w:sz w:val="20"/>
        </w:rPr>
        <w:t> </w:t>
      </w:r>
      <w:r>
        <w:rPr>
          <w:sz w:val="20"/>
        </w:rPr>
        <w:t>de</w:t>
      </w:r>
      <w:r>
        <w:rPr>
          <w:spacing w:val="-7"/>
          <w:sz w:val="20"/>
        </w:rPr>
        <w:t> </w:t>
      </w:r>
      <w:r>
        <w:rPr>
          <w:sz w:val="20"/>
        </w:rPr>
        <w:t>la</w:t>
      </w:r>
      <w:r>
        <w:rPr>
          <w:spacing w:val="-5"/>
          <w:sz w:val="20"/>
        </w:rPr>
        <w:t> </w:t>
      </w:r>
      <w:r>
        <w:rPr>
          <w:sz w:val="20"/>
        </w:rPr>
        <w:t>Constitución</w:t>
      </w:r>
      <w:r>
        <w:rPr>
          <w:spacing w:val="-6"/>
          <w:sz w:val="20"/>
        </w:rPr>
        <w:t> </w:t>
      </w:r>
      <w:r>
        <w:rPr>
          <w:sz w:val="20"/>
        </w:rPr>
        <w:t>de Nicaragua; el artículo 90 de la Constitución de Panamá; los artículos 63 y 65 de la Constitución de Paraguay; los artículos 2 y 89 de la Constitución de Perú, y el artículo 121 de la Constitución de</w:t>
      </w:r>
      <w:r>
        <w:rPr>
          <w:spacing w:val="-15"/>
          <w:sz w:val="20"/>
        </w:rPr>
        <w:t> </w:t>
      </w:r>
      <w:r>
        <w:rPr>
          <w:sz w:val="20"/>
        </w:rPr>
        <w:t>Venezuela.</w:t>
      </w:r>
    </w:p>
    <w:p>
      <w:pPr>
        <w:pStyle w:val="BodyText"/>
      </w:pPr>
    </w:p>
    <w:p>
      <w:pPr>
        <w:pStyle w:val="ListParagraph"/>
        <w:numPr>
          <w:ilvl w:val="0"/>
          <w:numId w:val="31"/>
        </w:numPr>
        <w:tabs>
          <w:tab w:pos="830" w:val="left" w:leader="none"/>
        </w:tabs>
        <w:spacing w:line="240" w:lineRule="auto" w:before="0" w:after="0"/>
        <w:ind w:left="122" w:right="121" w:firstLine="0"/>
        <w:jc w:val="both"/>
        <w:rPr>
          <w:sz w:val="20"/>
        </w:rPr>
      </w:pPr>
      <w:r>
        <w:rPr>
          <w:sz w:val="20"/>
        </w:rPr>
        <w:t>Ahora</w:t>
      </w:r>
      <w:r>
        <w:rPr>
          <w:spacing w:val="-8"/>
          <w:sz w:val="20"/>
        </w:rPr>
        <w:t> </w:t>
      </w:r>
      <w:r>
        <w:rPr>
          <w:sz w:val="20"/>
        </w:rPr>
        <w:t>bien,</w:t>
      </w:r>
      <w:r>
        <w:rPr>
          <w:spacing w:val="-8"/>
          <w:sz w:val="20"/>
        </w:rPr>
        <w:t> </w:t>
      </w:r>
      <w:r>
        <w:rPr>
          <w:sz w:val="20"/>
        </w:rPr>
        <w:t>en</w:t>
      </w:r>
      <w:r>
        <w:rPr>
          <w:spacing w:val="-6"/>
          <w:sz w:val="20"/>
        </w:rPr>
        <w:t> </w:t>
      </w:r>
      <w:r>
        <w:rPr>
          <w:sz w:val="20"/>
        </w:rPr>
        <w:t>lo</w:t>
      </w:r>
      <w:r>
        <w:rPr>
          <w:spacing w:val="-9"/>
          <w:sz w:val="20"/>
        </w:rPr>
        <w:t> </w:t>
      </w:r>
      <w:r>
        <w:rPr>
          <w:sz w:val="20"/>
        </w:rPr>
        <w:t>referente</w:t>
      </w:r>
      <w:r>
        <w:rPr>
          <w:spacing w:val="-9"/>
          <w:sz w:val="20"/>
        </w:rPr>
        <w:t> </w:t>
      </w:r>
      <w:r>
        <w:rPr>
          <w:sz w:val="20"/>
        </w:rPr>
        <w:t>al</w:t>
      </w:r>
      <w:r>
        <w:rPr>
          <w:spacing w:val="-5"/>
          <w:sz w:val="20"/>
        </w:rPr>
        <w:t> </w:t>
      </w:r>
      <w:r>
        <w:rPr>
          <w:sz w:val="20"/>
        </w:rPr>
        <w:t>concepto</w:t>
      </w:r>
      <w:r>
        <w:rPr>
          <w:spacing w:val="-9"/>
          <w:sz w:val="20"/>
        </w:rPr>
        <w:t> </w:t>
      </w:r>
      <w:r>
        <w:rPr>
          <w:sz w:val="20"/>
        </w:rPr>
        <w:t>pertinente</w:t>
      </w:r>
      <w:r>
        <w:rPr>
          <w:spacing w:val="-9"/>
          <w:sz w:val="20"/>
        </w:rPr>
        <w:t> </w:t>
      </w:r>
      <w:r>
        <w:rPr>
          <w:sz w:val="20"/>
        </w:rPr>
        <w:t>de</w:t>
      </w:r>
      <w:r>
        <w:rPr>
          <w:spacing w:val="-7"/>
          <w:sz w:val="20"/>
        </w:rPr>
        <w:t> </w:t>
      </w:r>
      <w:r>
        <w:rPr>
          <w:sz w:val="20"/>
        </w:rPr>
        <w:t>“cultura”,</w:t>
      </w:r>
      <w:r>
        <w:rPr>
          <w:spacing w:val="-6"/>
          <w:sz w:val="20"/>
        </w:rPr>
        <w:t> </w:t>
      </w:r>
      <w:r>
        <w:rPr>
          <w:sz w:val="20"/>
        </w:rPr>
        <w:t>resulta</w:t>
      </w:r>
      <w:r>
        <w:rPr>
          <w:spacing w:val="-5"/>
          <w:sz w:val="20"/>
        </w:rPr>
        <w:t> </w:t>
      </w:r>
      <w:r>
        <w:rPr>
          <w:sz w:val="20"/>
        </w:rPr>
        <w:t>útil</w:t>
      </w:r>
      <w:r>
        <w:rPr>
          <w:spacing w:val="-7"/>
          <w:sz w:val="20"/>
        </w:rPr>
        <w:t> </w:t>
      </w:r>
      <w:r>
        <w:rPr>
          <w:sz w:val="20"/>
        </w:rPr>
        <w:t>tomar en cuenta lo señalado por la Organización de las Naciones Unidas para la Educación, la Ciencia y la Cultura (UNESCO), que la ha definido como “el conjunto de los rasgos distintivos espirituales y materiales, intelectuales y afectivos que caracterizan a una sociedad o a un grupo social y que abarca, además de las artes y las letras, los modos de vida, las maneras de vivir juntos, los sistemas de valores, las tradiciones y las creencias”</w:t>
      </w:r>
      <w:r>
        <w:rPr>
          <w:position w:val="7"/>
          <w:sz w:val="13"/>
        </w:rPr>
        <w:t>235</w:t>
      </w:r>
      <w:r>
        <w:rPr>
          <w:sz w:val="20"/>
        </w:rPr>
        <w:t>.</w:t>
      </w:r>
    </w:p>
    <w:p>
      <w:pPr>
        <w:pStyle w:val="BodyText"/>
      </w:pPr>
    </w:p>
    <w:p>
      <w:pPr>
        <w:pStyle w:val="ListParagraph"/>
        <w:numPr>
          <w:ilvl w:val="0"/>
          <w:numId w:val="31"/>
        </w:numPr>
        <w:tabs>
          <w:tab w:pos="830" w:val="left" w:leader="none"/>
        </w:tabs>
        <w:spacing w:line="240" w:lineRule="auto" w:before="0" w:after="0"/>
        <w:ind w:left="122" w:right="127" w:firstLine="0"/>
        <w:jc w:val="both"/>
        <w:rPr>
          <w:sz w:val="20"/>
        </w:rPr>
      </w:pPr>
      <w:r>
        <w:rPr>
          <w:sz w:val="20"/>
        </w:rPr>
        <w:t>La diversidad cultural y su riqueza deben ser protegidas por los Estados ya que, en</w:t>
      </w:r>
      <w:r>
        <w:rPr>
          <w:spacing w:val="-7"/>
          <w:sz w:val="20"/>
        </w:rPr>
        <w:t> </w:t>
      </w:r>
      <w:r>
        <w:rPr>
          <w:sz w:val="20"/>
        </w:rPr>
        <w:t>palabras</w:t>
      </w:r>
      <w:r>
        <w:rPr>
          <w:spacing w:val="-8"/>
          <w:sz w:val="20"/>
        </w:rPr>
        <w:t> </w:t>
      </w:r>
      <w:r>
        <w:rPr>
          <w:sz w:val="20"/>
        </w:rPr>
        <w:t>de</w:t>
      </w:r>
      <w:r>
        <w:rPr>
          <w:spacing w:val="-9"/>
          <w:sz w:val="20"/>
        </w:rPr>
        <w:t> </w:t>
      </w:r>
      <w:r>
        <w:rPr>
          <w:sz w:val="20"/>
        </w:rPr>
        <w:t>la</w:t>
      </w:r>
      <w:r>
        <w:rPr>
          <w:spacing w:val="-8"/>
          <w:sz w:val="20"/>
        </w:rPr>
        <w:t> </w:t>
      </w:r>
      <w:r>
        <w:rPr>
          <w:sz w:val="20"/>
        </w:rPr>
        <w:t>UNESCO,</w:t>
      </w:r>
      <w:r>
        <w:rPr>
          <w:spacing w:val="-7"/>
          <w:sz w:val="20"/>
        </w:rPr>
        <w:t> </w:t>
      </w:r>
      <w:r>
        <w:rPr>
          <w:sz w:val="20"/>
        </w:rPr>
        <w:t>“es</w:t>
      </w:r>
      <w:r>
        <w:rPr>
          <w:spacing w:val="-9"/>
          <w:sz w:val="20"/>
        </w:rPr>
        <w:t> </w:t>
      </w:r>
      <w:r>
        <w:rPr>
          <w:sz w:val="20"/>
        </w:rPr>
        <w:t>tan</w:t>
      </w:r>
      <w:r>
        <w:rPr>
          <w:spacing w:val="-7"/>
          <w:sz w:val="20"/>
        </w:rPr>
        <w:t> </w:t>
      </w:r>
      <w:r>
        <w:rPr>
          <w:sz w:val="20"/>
        </w:rPr>
        <w:t>necesaria</w:t>
      </w:r>
      <w:r>
        <w:rPr>
          <w:spacing w:val="-6"/>
          <w:sz w:val="20"/>
        </w:rPr>
        <w:t> </w:t>
      </w:r>
      <w:r>
        <w:rPr>
          <w:sz w:val="20"/>
        </w:rPr>
        <w:t>para</w:t>
      </w:r>
      <w:r>
        <w:rPr>
          <w:spacing w:val="-8"/>
          <w:sz w:val="20"/>
        </w:rPr>
        <w:t> </w:t>
      </w:r>
      <w:r>
        <w:rPr>
          <w:sz w:val="20"/>
        </w:rPr>
        <w:t>el</w:t>
      </w:r>
      <w:r>
        <w:rPr>
          <w:spacing w:val="-8"/>
          <w:sz w:val="20"/>
        </w:rPr>
        <w:t> </w:t>
      </w:r>
      <w:r>
        <w:rPr>
          <w:sz w:val="20"/>
        </w:rPr>
        <w:t>género</w:t>
      </w:r>
      <w:r>
        <w:rPr>
          <w:spacing w:val="-9"/>
          <w:sz w:val="20"/>
        </w:rPr>
        <w:t> </w:t>
      </w:r>
      <w:r>
        <w:rPr>
          <w:sz w:val="20"/>
        </w:rPr>
        <w:t>humano</w:t>
      </w:r>
      <w:r>
        <w:rPr>
          <w:spacing w:val="-7"/>
          <w:sz w:val="20"/>
        </w:rPr>
        <w:t> </w:t>
      </w:r>
      <w:r>
        <w:rPr>
          <w:sz w:val="20"/>
        </w:rPr>
        <w:t>como</w:t>
      </w:r>
      <w:r>
        <w:rPr>
          <w:spacing w:val="-8"/>
          <w:sz w:val="20"/>
        </w:rPr>
        <w:t> </w:t>
      </w:r>
      <w:r>
        <w:rPr>
          <w:sz w:val="20"/>
        </w:rPr>
        <w:t>la</w:t>
      </w:r>
      <w:r>
        <w:rPr>
          <w:spacing w:val="-8"/>
          <w:sz w:val="20"/>
        </w:rPr>
        <w:t> </w:t>
      </w:r>
      <w:r>
        <w:rPr>
          <w:sz w:val="20"/>
        </w:rPr>
        <w:t>diversidad biológica para los organismos vivos[;] constituye el patrimonio común de la</w:t>
      </w:r>
      <w:r>
        <w:rPr>
          <w:spacing w:val="-28"/>
          <w:sz w:val="20"/>
        </w:rPr>
        <w:t> </w:t>
      </w:r>
      <w:r>
        <w:rPr>
          <w:sz w:val="20"/>
        </w:rPr>
        <w:t>humanidad y debe ser reconocida y consolidada en beneficio de las generaciones presentes y futuras”. En este sentido, los Estados están en la obligación de proteger y promover la diversidad</w:t>
      </w:r>
      <w:r>
        <w:rPr>
          <w:spacing w:val="-11"/>
          <w:sz w:val="20"/>
        </w:rPr>
        <w:t> </w:t>
      </w:r>
      <w:r>
        <w:rPr>
          <w:sz w:val="20"/>
        </w:rPr>
        <w:t>cultural</w:t>
      </w:r>
      <w:r>
        <w:rPr>
          <w:spacing w:val="-10"/>
          <w:sz w:val="20"/>
        </w:rPr>
        <w:t> </w:t>
      </w:r>
      <w:r>
        <w:rPr>
          <w:sz w:val="20"/>
        </w:rPr>
        <w:t>y</w:t>
      </w:r>
      <w:r>
        <w:rPr>
          <w:spacing w:val="-12"/>
          <w:sz w:val="20"/>
        </w:rPr>
        <w:t> </w:t>
      </w:r>
      <w:r>
        <w:rPr>
          <w:sz w:val="20"/>
        </w:rPr>
        <w:t>adoptar</w:t>
      </w:r>
      <w:r>
        <w:rPr>
          <w:spacing w:val="-12"/>
          <w:sz w:val="20"/>
        </w:rPr>
        <w:t> </w:t>
      </w:r>
      <w:r>
        <w:rPr>
          <w:sz w:val="20"/>
        </w:rPr>
        <w:t>“políticas</w:t>
      </w:r>
      <w:r>
        <w:rPr>
          <w:spacing w:val="-12"/>
          <w:sz w:val="20"/>
        </w:rPr>
        <w:t> </w:t>
      </w:r>
      <w:r>
        <w:rPr>
          <w:sz w:val="20"/>
        </w:rPr>
        <w:t>que</w:t>
      </w:r>
      <w:r>
        <w:rPr>
          <w:spacing w:val="-10"/>
          <w:sz w:val="20"/>
        </w:rPr>
        <w:t> </w:t>
      </w:r>
      <w:r>
        <w:rPr>
          <w:sz w:val="20"/>
        </w:rPr>
        <w:t>favore[zcan]</w:t>
      </w:r>
      <w:r>
        <w:rPr>
          <w:spacing w:val="-11"/>
          <w:sz w:val="20"/>
        </w:rPr>
        <w:t> </w:t>
      </w:r>
      <w:r>
        <w:rPr>
          <w:sz w:val="20"/>
        </w:rPr>
        <w:t>la</w:t>
      </w:r>
      <w:r>
        <w:rPr>
          <w:spacing w:val="-11"/>
          <w:sz w:val="20"/>
        </w:rPr>
        <w:t> </w:t>
      </w:r>
      <w:r>
        <w:rPr>
          <w:sz w:val="20"/>
        </w:rPr>
        <w:t>inclusión</w:t>
      </w:r>
      <w:r>
        <w:rPr>
          <w:spacing w:val="-11"/>
          <w:sz w:val="20"/>
        </w:rPr>
        <w:t> </w:t>
      </w:r>
      <w:r>
        <w:rPr>
          <w:sz w:val="20"/>
        </w:rPr>
        <w:t>y</w:t>
      </w:r>
      <w:r>
        <w:rPr>
          <w:spacing w:val="-12"/>
          <w:sz w:val="20"/>
        </w:rPr>
        <w:t> </w:t>
      </w:r>
      <w:r>
        <w:rPr>
          <w:sz w:val="20"/>
        </w:rPr>
        <w:t>la</w:t>
      </w:r>
      <w:r>
        <w:rPr>
          <w:spacing w:val="-11"/>
          <w:sz w:val="20"/>
        </w:rPr>
        <w:t> </w:t>
      </w:r>
      <w:r>
        <w:rPr>
          <w:sz w:val="20"/>
        </w:rPr>
        <w:t>participación</w:t>
      </w:r>
      <w:r>
        <w:rPr>
          <w:spacing w:val="-10"/>
          <w:sz w:val="20"/>
        </w:rPr>
        <w:t> </w:t>
      </w:r>
      <w:r>
        <w:rPr>
          <w:sz w:val="20"/>
        </w:rPr>
        <w:t>de todos los ciudadanos [para que así se] garanti[ce] la cohesión social, la vitalidad de la sociedad civil y la paz”. Por ello, “el pluralismo cultural constituye la respuesta política al hecho de la diversidad</w:t>
      </w:r>
      <w:r>
        <w:rPr>
          <w:spacing w:val="-9"/>
          <w:sz w:val="20"/>
        </w:rPr>
        <w:t> </w:t>
      </w:r>
      <w:r>
        <w:rPr>
          <w:sz w:val="20"/>
        </w:rPr>
        <w:t>cultural”</w:t>
      </w:r>
      <w:r>
        <w:rPr>
          <w:position w:val="7"/>
          <w:sz w:val="13"/>
        </w:rPr>
        <w:t>236</w:t>
      </w:r>
      <w:r>
        <w:rPr>
          <w:sz w:val="20"/>
        </w:rPr>
        <w:t>.</w:t>
      </w:r>
    </w:p>
    <w:p>
      <w:pPr>
        <w:pStyle w:val="BodyText"/>
      </w:pPr>
    </w:p>
    <w:p>
      <w:pPr>
        <w:pStyle w:val="ListParagraph"/>
        <w:numPr>
          <w:ilvl w:val="0"/>
          <w:numId w:val="31"/>
        </w:numPr>
        <w:tabs>
          <w:tab w:pos="830" w:val="left" w:leader="none"/>
        </w:tabs>
        <w:spacing w:line="240" w:lineRule="auto" w:before="0" w:after="0"/>
        <w:ind w:left="830" w:right="0" w:hanging="708"/>
        <w:jc w:val="both"/>
        <w:rPr>
          <w:sz w:val="20"/>
        </w:rPr>
      </w:pPr>
      <w:r>
        <w:rPr>
          <w:sz w:val="20"/>
        </w:rPr>
        <w:t>El Comité DESC ha señalado</w:t>
      </w:r>
      <w:r>
        <w:rPr>
          <w:spacing w:val="-11"/>
          <w:sz w:val="20"/>
        </w:rPr>
        <w:t> </w:t>
      </w:r>
      <w:r>
        <w:rPr>
          <w:sz w:val="20"/>
        </w:rPr>
        <w:t>que</w:t>
      </w:r>
    </w:p>
    <w:p>
      <w:pPr>
        <w:pStyle w:val="BodyText"/>
        <w:spacing w:before="9"/>
        <w:rPr>
          <w:sz w:val="19"/>
        </w:rPr>
      </w:pPr>
    </w:p>
    <w:p>
      <w:pPr>
        <w:spacing w:before="0"/>
        <w:ind w:left="405" w:right="120" w:firstLine="0"/>
        <w:jc w:val="left"/>
        <w:rPr>
          <w:sz w:val="16"/>
        </w:rPr>
      </w:pPr>
      <w:r>
        <w:rPr>
          <w:sz w:val="16"/>
        </w:rPr>
        <w:t>[e]l</w:t>
      </w:r>
      <w:r>
        <w:rPr>
          <w:spacing w:val="-14"/>
          <w:sz w:val="16"/>
        </w:rPr>
        <w:t> </w:t>
      </w:r>
      <w:r>
        <w:rPr>
          <w:sz w:val="16"/>
        </w:rPr>
        <w:t>concepto</w:t>
      </w:r>
      <w:r>
        <w:rPr>
          <w:spacing w:val="-15"/>
          <w:sz w:val="16"/>
        </w:rPr>
        <w:t> </w:t>
      </w:r>
      <w:r>
        <w:rPr>
          <w:sz w:val="16"/>
        </w:rPr>
        <w:t>de</w:t>
      </w:r>
      <w:r>
        <w:rPr>
          <w:spacing w:val="-15"/>
          <w:sz w:val="16"/>
        </w:rPr>
        <w:t> </w:t>
      </w:r>
      <w:r>
        <w:rPr>
          <w:sz w:val="16"/>
        </w:rPr>
        <w:t>cultura</w:t>
      </w:r>
      <w:r>
        <w:rPr>
          <w:spacing w:val="-14"/>
          <w:sz w:val="16"/>
        </w:rPr>
        <w:t> </w:t>
      </w:r>
      <w:r>
        <w:rPr>
          <w:sz w:val="16"/>
        </w:rPr>
        <w:t>no</w:t>
      </w:r>
      <w:r>
        <w:rPr>
          <w:spacing w:val="-15"/>
          <w:sz w:val="16"/>
        </w:rPr>
        <w:t> </w:t>
      </w:r>
      <w:r>
        <w:rPr>
          <w:sz w:val="16"/>
        </w:rPr>
        <w:t>debe</w:t>
      </w:r>
      <w:r>
        <w:rPr>
          <w:spacing w:val="-15"/>
          <w:sz w:val="16"/>
        </w:rPr>
        <w:t> </w:t>
      </w:r>
      <w:r>
        <w:rPr>
          <w:sz w:val="16"/>
        </w:rPr>
        <w:t>entenderse</w:t>
      </w:r>
      <w:r>
        <w:rPr>
          <w:spacing w:val="-15"/>
          <w:sz w:val="16"/>
        </w:rPr>
        <w:t> </w:t>
      </w:r>
      <w:r>
        <w:rPr>
          <w:sz w:val="16"/>
        </w:rPr>
        <w:t>como</w:t>
      </w:r>
      <w:r>
        <w:rPr>
          <w:spacing w:val="-15"/>
          <w:sz w:val="16"/>
        </w:rPr>
        <w:t> </w:t>
      </w:r>
      <w:r>
        <w:rPr>
          <w:sz w:val="16"/>
        </w:rPr>
        <w:t>una</w:t>
      </w:r>
      <w:r>
        <w:rPr>
          <w:spacing w:val="-14"/>
          <w:sz w:val="16"/>
        </w:rPr>
        <w:t> </w:t>
      </w:r>
      <w:r>
        <w:rPr>
          <w:sz w:val="16"/>
        </w:rPr>
        <w:t>serie</w:t>
      </w:r>
      <w:r>
        <w:rPr>
          <w:spacing w:val="-15"/>
          <w:sz w:val="16"/>
        </w:rPr>
        <w:t> </w:t>
      </w:r>
      <w:r>
        <w:rPr>
          <w:sz w:val="16"/>
        </w:rPr>
        <w:t>de</w:t>
      </w:r>
      <w:r>
        <w:rPr>
          <w:spacing w:val="-15"/>
          <w:sz w:val="16"/>
        </w:rPr>
        <w:t> </w:t>
      </w:r>
      <w:r>
        <w:rPr>
          <w:sz w:val="16"/>
        </w:rPr>
        <w:t>expresiones</w:t>
      </w:r>
      <w:r>
        <w:rPr>
          <w:spacing w:val="-15"/>
          <w:sz w:val="16"/>
        </w:rPr>
        <w:t> </w:t>
      </w:r>
      <w:r>
        <w:rPr>
          <w:sz w:val="16"/>
        </w:rPr>
        <w:t>aisladas</w:t>
      </w:r>
      <w:r>
        <w:rPr>
          <w:spacing w:val="-15"/>
          <w:sz w:val="16"/>
        </w:rPr>
        <w:t> </w:t>
      </w:r>
      <w:r>
        <w:rPr>
          <w:sz w:val="16"/>
        </w:rPr>
        <w:t>o</w:t>
      </w:r>
      <w:r>
        <w:rPr>
          <w:spacing w:val="-15"/>
          <w:sz w:val="16"/>
        </w:rPr>
        <w:t> </w:t>
      </w:r>
      <w:r>
        <w:rPr>
          <w:sz w:val="16"/>
        </w:rPr>
        <w:t>compartimientos estancos,</w:t>
      </w:r>
      <w:r>
        <w:rPr>
          <w:spacing w:val="39"/>
          <w:sz w:val="16"/>
        </w:rPr>
        <w:t> </w:t>
      </w:r>
      <w:r>
        <w:rPr>
          <w:sz w:val="16"/>
        </w:rPr>
        <w:t>sino</w:t>
      </w:r>
      <w:r>
        <w:rPr>
          <w:spacing w:val="42"/>
          <w:sz w:val="16"/>
        </w:rPr>
        <w:t> </w:t>
      </w:r>
      <w:r>
        <w:rPr>
          <w:sz w:val="16"/>
        </w:rPr>
        <w:t>como</w:t>
      </w:r>
      <w:r>
        <w:rPr>
          <w:spacing w:val="40"/>
          <w:sz w:val="16"/>
        </w:rPr>
        <w:t> </w:t>
      </w:r>
      <w:r>
        <w:rPr>
          <w:sz w:val="16"/>
        </w:rPr>
        <w:t>un</w:t>
      </w:r>
      <w:r>
        <w:rPr>
          <w:spacing w:val="41"/>
          <w:sz w:val="16"/>
        </w:rPr>
        <w:t> </w:t>
      </w:r>
      <w:r>
        <w:rPr>
          <w:sz w:val="16"/>
        </w:rPr>
        <w:t>proceso</w:t>
      </w:r>
      <w:r>
        <w:rPr>
          <w:spacing w:val="40"/>
          <w:sz w:val="16"/>
        </w:rPr>
        <w:t> </w:t>
      </w:r>
      <w:r>
        <w:rPr>
          <w:sz w:val="16"/>
        </w:rPr>
        <w:t>interactivo</w:t>
      </w:r>
      <w:r>
        <w:rPr>
          <w:spacing w:val="42"/>
          <w:sz w:val="16"/>
        </w:rPr>
        <w:t> </w:t>
      </w:r>
      <w:r>
        <w:rPr>
          <w:sz w:val="16"/>
        </w:rPr>
        <w:t>a</w:t>
      </w:r>
      <w:r>
        <w:rPr>
          <w:spacing w:val="41"/>
          <w:sz w:val="16"/>
        </w:rPr>
        <w:t> </w:t>
      </w:r>
      <w:r>
        <w:rPr>
          <w:sz w:val="16"/>
        </w:rPr>
        <w:t>través</w:t>
      </w:r>
      <w:r>
        <w:rPr>
          <w:spacing w:val="42"/>
          <w:sz w:val="16"/>
        </w:rPr>
        <w:t> </w:t>
      </w:r>
      <w:r>
        <w:rPr>
          <w:sz w:val="16"/>
        </w:rPr>
        <w:t>del</w:t>
      </w:r>
      <w:r>
        <w:rPr>
          <w:spacing w:val="41"/>
          <w:sz w:val="16"/>
        </w:rPr>
        <w:t> </w:t>
      </w:r>
      <w:r>
        <w:rPr>
          <w:sz w:val="16"/>
        </w:rPr>
        <w:t>cual</w:t>
      </w:r>
      <w:r>
        <w:rPr>
          <w:spacing w:val="41"/>
          <w:sz w:val="16"/>
        </w:rPr>
        <w:t> </w:t>
      </w:r>
      <w:r>
        <w:rPr>
          <w:sz w:val="16"/>
        </w:rPr>
        <w:t>los</w:t>
      </w:r>
      <w:r>
        <w:rPr>
          <w:spacing w:val="42"/>
          <w:sz w:val="16"/>
        </w:rPr>
        <w:t> </w:t>
      </w:r>
      <w:r>
        <w:rPr>
          <w:sz w:val="16"/>
        </w:rPr>
        <w:t>individuos</w:t>
      </w:r>
      <w:r>
        <w:rPr>
          <w:spacing w:val="39"/>
          <w:sz w:val="16"/>
        </w:rPr>
        <w:t> </w:t>
      </w:r>
      <w:r>
        <w:rPr>
          <w:sz w:val="16"/>
        </w:rPr>
        <w:t>y</w:t>
      </w:r>
      <w:r>
        <w:rPr>
          <w:spacing w:val="40"/>
          <w:sz w:val="16"/>
        </w:rPr>
        <w:t> </w:t>
      </w:r>
      <w:r>
        <w:rPr>
          <w:sz w:val="16"/>
        </w:rPr>
        <w:t>las</w:t>
      </w:r>
      <w:r>
        <w:rPr>
          <w:spacing w:val="42"/>
          <w:sz w:val="16"/>
        </w:rPr>
        <w:t> </w:t>
      </w:r>
      <w:r>
        <w:rPr>
          <w:sz w:val="16"/>
        </w:rPr>
        <w:t>comunidades,</w:t>
      </w:r>
    </w:p>
    <w:p>
      <w:pPr>
        <w:pStyle w:val="BodyText"/>
      </w:pPr>
    </w:p>
    <w:p>
      <w:pPr>
        <w:pStyle w:val="BodyText"/>
      </w:pPr>
    </w:p>
    <w:p>
      <w:pPr>
        <w:pStyle w:val="BodyText"/>
        <w:spacing w:before="4"/>
        <w:rPr>
          <w:sz w:val="13"/>
        </w:rPr>
      </w:pPr>
      <w:r>
        <w:rPr/>
        <w:pict>
          <v:line style="position:absolute;mso-position-horizontal-relative:page;mso-position-vertical-relative:paragraph;z-index:2896;mso-wrap-distance-left:0;mso-wrap-distance-right:0" from="85.103996pt,10.470494pt" to="229.123996pt,10.470494pt" stroked="true" strokeweight=".71997pt" strokecolor="#000000">
            <v:stroke dashstyle="solid"/>
            <w10:wrap type="topAndBottom"/>
          </v:line>
        </w:pict>
      </w:r>
    </w:p>
    <w:p>
      <w:pPr>
        <w:tabs>
          <w:tab w:pos="829" w:val="left" w:leader="none"/>
        </w:tabs>
        <w:spacing w:before="72"/>
        <w:ind w:left="122" w:right="114" w:firstLine="0"/>
        <w:jc w:val="both"/>
        <w:rPr>
          <w:sz w:val="16"/>
        </w:rPr>
      </w:pPr>
      <w:r>
        <w:rPr>
          <w:position w:val="6"/>
          <w:sz w:val="10"/>
        </w:rPr>
        <w:t>235</w:t>
        <w:tab/>
      </w:r>
      <w:r>
        <w:rPr>
          <w:sz w:val="16"/>
        </w:rPr>
        <w:t>Preámbulo de la Declaración Universal de la UNESCO sobre la diversidad cultural, de 2</w:t>
      </w:r>
      <w:r>
        <w:rPr>
          <w:spacing w:val="-34"/>
          <w:sz w:val="16"/>
        </w:rPr>
        <w:t> </w:t>
      </w:r>
      <w:r>
        <w:rPr>
          <w:sz w:val="16"/>
        </w:rPr>
        <w:t>de</w:t>
      </w:r>
      <w:r>
        <w:rPr>
          <w:spacing w:val="-3"/>
          <w:sz w:val="16"/>
        </w:rPr>
        <w:t> </w:t>
      </w:r>
      <w:r>
        <w:rPr>
          <w:sz w:val="16"/>
        </w:rPr>
        <w:t>noviembre</w:t>
      </w:r>
      <w:r>
        <w:rPr>
          <w:w w:val="100"/>
          <w:sz w:val="16"/>
        </w:rPr>
        <w:t> </w:t>
      </w:r>
      <w:r>
        <w:rPr>
          <w:sz w:val="16"/>
        </w:rPr>
        <w:t>de 2001. Allí se indica que es una “[d]efinición conforme a las conclusiones de la Conferencia Mundial sobre las</w:t>
      </w:r>
      <w:r>
        <w:rPr>
          <w:spacing w:val="-7"/>
          <w:sz w:val="16"/>
        </w:rPr>
        <w:t> </w:t>
      </w:r>
      <w:r>
        <w:rPr>
          <w:sz w:val="16"/>
        </w:rPr>
        <w:t>Políticas</w:t>
      </w:r>
      <w:r>
        <w:rPr>
          <w:spacing w:val="-7"/>
          <w:sz w:val="16"/>
        </w:rPr>
        <w:t> </w:t>
      </w:r>
      <w:r>
        <w:rPr>
          <w:sz w:val="16"/>
        </w:rPr>
        <w:t>Culturales</w:t>
      </w:r>
      <w:r>
        <w:rPr>
          <w:spacing w:val="-7"/>
          <w:sz w:val="16"/>
        </w:rPr>
        <w:t> </w:t>
      </w:r>
      <w:r>
        <w:rPr>
          <w:sz w:val="16"/>
        </w:rPr>
        <w:t>(MONDIACULT,</w:t>
      </w:r>
      <w:r>
        <w:rPr>
          <w:spacing w:val="-11"/>
          <w:sz w:val="16"/>
        </w:rPr>
        <w:t> </w:t>
      </w:r>
      <w:r>
        <w:rPr>
          <w:sz w:val="16"/>
        </w:rPr>
        <w:t>México,</w:t>
      </w:r>
      <w:r>
        <w:rPr>
          <w:spacing w:val="-8"/>
          <w:sz w:val="16"/>
        </w:rPr>
        <w:t> </w:t>
      </w:r>
      <w:r>
        <w:rPr>
          <w:sz w:val="16"/>
        </w:rPr>
        <w:t>1982),</w:t>
      </w:r>
      <w:r>
        <w:rPr>
          <w:spacing w:val="-8"/>
          <w:sz w:val="16"/>
        </w:rPr>
        <w:t> </w:t>
      </w:r>
      <w:r>
        <w:rPr>
          <w:sz w:val="16"/>
        </w:rPr>
        <w:t>de</w:t>
      </w:r>
      <w:r>
        <w:rPr>
          <w:spacing w:val="-7"/>
          <w:sz w:val="16"/>
        </w:rPr>
        <w:t> </w:t>
      </w:r>
      <w:r>
        <w:rPr>
          <w:sz w:val="16"/>
        </w:rPr>
        <w:t>la</w:t>
      </w:r>
      <w:r>
        <w:rPr>
          <w:spacing w:val="-8"/>
          <w:sz w:val="16"/>
        </w:rPr>
        <w:t> </w:t>
      </w:r>
      <w:r>
        <w:rPr>
          <w:sz w:val="16"/>
        </w:rPr>
        <w:t>Comisión</w:t>
      </w:r>
      <w:r>
        <w:rPr>
          <w:spacing w:val="-10"/>
          <w:sz w:val="16"/>
        </w:rPr>
        <w:t> </w:t>
      </w:r>
      <w:r>
        <w:rPr>
          <w:sz w:val="16"/>
        </w:rPr>
        <w:t>Mundial</w:t>
      </w:r>
      <w:r>
        <w:rPr>
          <w:spacing w:val="-5"/>
          <w:sz w:val="16"/>
        </w:rPr>
        <w:t> </w:t>
      </w:r>
      <w:r>
        <w:rPr>
          <w:sz w:val="16"/>
        </w:rPr>
        <w:t>de</w:t>
      </w:r>
      <w:r>
        <w:rPr>
          <w:spacing w:val="-10"/>
          <w:sz w:val="16"/>
        </w:rPr>
        <w:t> </w:t>
      </w:r>
      <w:r>
        <w:rPr>
          <w:sz w:val="16"/>
        </w:rPr>
        <w:t>Cultura</w:t>
      </w:r>
      <w:r>
        <w:rPr>
          <w:spacing w:val="-8"/>
          <w:sz w:val="16"/>
        </w:rPr>
        <w:t> </w:t>
      </w:r>
      <w:r>
        <w:rPr>
          <w:sz w:val="16"/>
        </w:rPr>
        <w:t>y</w:t>
      </w:r>
      <w:r>
        <w:rPr>
          <w:spacing w:val="-9"/>
          <w:sz w:val="16"/>
        </w:rPr>
        <w:t> </w:t>
      </w:r>
      <w:r>
        <w:rPr>
          <w:sz w:val="16"/>
        </w:rPr>
        <w:t>Desarrollo</w:t>
      </w:r>
      <w:r>
        <w:rPr>
          <w:spacing w:val="-7"/>
          <w:sz w:val="16"/>
        </w:rPr>
        <w:t> </w:t>
      </w:r>
      <w:r>
        <w:rPr>
          <w:sz w:val="16"/>
        </w:rPr>
        <w:t>(Nuestra Diversidad</w:t>
      </w:r>
      <w:r>
        <w:rPr>
          <w:spacing w:val="-15"/>
          <w:sz w:val="16"/>
        </w:rPr>
        <w:t> </w:t>
      </w:r>
      <w:r>
        <w:rPr>
          <w:sz w:val="16"/>
        </w:rPr>
        <w:t>Creativa,</w:t>
      </w:r>
      <w:r>
        <w:rPr>
          <w:spacing w:val="-16"/>
          <w:sz w:val="16"/>
        </w:rPr>
        <w:t> </w:t>
      </w:r>
      <w:r>
        <w:rPr>
          <w:sz w:val="16"/>
        </w:rPr>
        <w:t>1995)</w:t>
      </w:r>
      <w:r>
        <w:rPr>
          <w:spacing w:val="-16"/>
          <w:sz w:val="16"/>
        </w:rPr>
        <w:t> </w:t>
      </w:r>
      <w:r>
        <w:rPr>
          <w:sz w:val="16"/>
        </w:rPr>
        <w:t>y</w:t>
      </w:r>
      <w:r>
        <w:rPr>
          <w:spacing w:val="-15"/>
          <w:sz w:val="16"/>
        </w:rPr>
        <w:t> </w:t>
      </w:r>
      <w:r>
        <w:rPr>
          <w:sz w:val="16"/>
        </w:rPr>
        <w:t>de</w:t>
      </w:r>
      <w:r>
        <w:rPr>
          <w:spacing w:val="-13"/>
          <w:sz w:val="16"/>
        </w:rPr>
        <w:t> </w:t>
      </w:r>
      <w:r>
        <w:rPr>
          <w:sz w:val="16"/>
        </w:rPr>
        <w:t>la</w:t>
      </w:r>
      <w:r>
        <w:rPr>
          <w:spacing w:val="-16"/>
          <w:sz w:val="16"/>
        </w:rPr>
        <w:t> </w:t>
      </w:r>
      <w:r>
        <w:rPr>
          <w:sz w:val="16"/>
        </w:rPr>
        <w:t>Conferencia</w:t>
      </w:r>
      <w:r>
        <w:rPr>
          <w:spacing w:val="-14"/>
          <w:sz w:val="16"/>
        </w:rPr>
        <w:t> </w:t>
      </w:r>
      <w:r>
        <w:rPr>
          <w:sz w:val="16"/>
        </w:rPr>
        <w:t>Intergubernamental</w:t>
      </w:r>
      <w:r>
        <w:rPr>
          <w:spacing w:val="-14"/>
          <w:sz w:val="16"/>
        </w:rPr>
        <w:t> </w:t>
      </w:r>
      <w:r>
        <w:rPr>
          <w:sz w:val="16"/>
        </w:rPr>
        <w:t>sobre</w:t>
      </w:r>
      <w:r>
        <w:rPr>
          <w:spacing w:val="-15"/>
          <w:sz w:val="16"/>
        </w:rPr>
        <w:t> </w:t>
      </w:r>
      <w:r>
        <w:rPr>
          <w:sz w:val="16"/>
        </w:rPr>
        <w:t>Políticas</w:t>
      </w:r>
      <w:r>
        <w:rPr>
          <w:spacing w:val="-16"/>
          <w:sz w:val="16"/>
        </w:rPr>
        <w:t> </w:t>
      </w:r>
      <w:r>
        <w:rPr>
          <w:sz w:val="16"/>
        </w:rPr>
        <w:t>Culturales</w:t>
      </w:r>
      <w:r>
        <w:rPr>
          <w:spacing w:val="-15"/>
          <w:sz w:val="16"/>
        </w:rPr>
        <w:t> </w:t>
      </w:r>
      <w:r>
        <w:rPr>
          <w:sz w:val="16"/>
        </w:rPr>
        <w:t>para</w:t>
      </w:r>
      <w:r>
        <w:rPr>
          <w:spacing w:val="-16"/>
          <w:sz w:val="16"/>
        </w:rPr>
        <w:t> </w:t>
      </w:r>
      <w:r>
        <w:rPr>
          <w:sz w:val="16"/>
        </w:rPr>
        <w:t>el</w:t>
      </w:r>
      <w:r>
        <w:rPr>
          <w:spacing w:val="-16"/>
          <w:sz w:val="16"/>
        </w:rPr>
        <w:t> </w:t>
      </w:r>
      <w:r>
        <w:rPr>
          <w:sz w:val="16"/>
        </w:rPr>
        <w:t>Desarrollo (Estocolmo,</w:t>
      </w:r>
      <w:r>
        <w:rPr>
          <w:spacing w:val="-3"/>
          <w:sz w:val="16"/>
        </w:rPr>
        <w:t> </w:t>
      </w:r>
      <w:r>
        <w:rPr>
          <w:sz w:val="16"/>
        </w:rPr>
        <w:t>1998)”.</w:t>
      </w:r>
    </w:p>
    <w:p>
      <w:pPr>
        <w:pStyle w:val="BodyText"/>
        <w:spacing w:before="12"/>
        <w:rPr>
          <w:sz w:val="15"/>
        </w:rPr>
      </w:pPr>
    </w:p>
    <w:p>
      <w:pPr>
        <w:tabs>
          <w:tab w:pos="829" w:val="left" w:leader="none"/>
        </w:tabs>
        <w:spacing w:line="240" w:lineRule="auto" w:before="0"/>
        <w:ind w:left="122" w:right="131" w:firstLine="0"/>
        <w:jc w:val="both"/>
        <w:rPr>
          <w:sz w:val="16"/>
        </w:rPr>
      </w:pPr>
      <w:r>
        <w:rPr>
          <w:position w:val="6"/>
          <w:sz w:val="10"/>
        </w:rPr>
        <w:t>236</w:t>
        <w:tab/>
      </w:r>
      <w:r>
        <w:rPr>
          <w:sz w:val="16"/>
        </w:rPr>
        <w:t>Declaración</w:t>
      </w:r>
      <w:r>
        <w:rPr>
          <w:spacing w:val="-3"/>
          <w:sz w:val="16"/>
        </w:rPr>
        <w:t> </w:t>
      </w:r>
      <w:r>
        <w:rPr>
          <w:sz w:val="16"/>
        </w:rPr>
        <w:t>Universal</w:t>
      </w:r>
      <w:r>
        <w:rPr>
          <w:spacing w:val="-6"/>
          <w:sz w:val="16"/>
        </w:rPr>
        <w:t> </w:t>
      </w:r>
      <w:r>
        <w:rPr>
          <w:sz w:val="16"/>
        </w:rPr>
        <w:t>de</w:t>
      </w:r>
      <w:r>
        <w:rPr>
          <w:spacing w:val="-2"/>
          <w:sz w:val="16"/>
        </w:rPr>
        <w:t> </w:t>
      </w:r>
      <w:r>
        <w:rPr>
          <w:sz w:val="16"/>
        </w:rPr>
        <w:t>la</w:t>
      </w:r>
      <w:r>
        <w:rPr>
          <w:spacing w:val="-3"/>
          <w:sz w:val="16"/>
        </w:rPr>
        <w:t> </w:t>
      </w:r>
      <w:r>
        <w:rPr>
          <w:sz w:val="16"/>
        </w:rPr>
        <w:t>UNESCO</w:t>
      </w:r>
      <w:r>
        <w:rPr>
          <w:spacing w:val="-4"/>
          <w:sz w:val="16"/>
        </w:rPr>
        <w:t> </w:t>
      </w:r>
      <w:r>
        <w:rPr>
          <w:sz w:val="16"/>
        </w:rPr>
        <w:t>sobre</w:t>
      </w:r>
      <w:r>
        <w:rPr>
          <w:spacing w:val="-2"/>
          <w:sz w:val="16"/>
        </w:rPr>
        <w:t> </w:t>
      </w:r>
      <w:r>
        <w:rPr>
          <w:sz w:val="16"/>
        </w:rPr>
        <w:t>la</w:t>
      </w:r>
      <w:r>
        <w:rPr>
          <w:spacing w:val="-3"/>
          <w:sz w:val="16"/>
        </w:rPr>
        <w:t> </w:t>
      </w:r>
      <w:r>
        <w:rPr>
          <w:sz w:val="16"/>
        </w:rPr>
        <w:t>diversidad</w:t>
      </w:r>
      <w:r>
        <w:rPr>
          <w:spacing w:val="-5"/>
          <w:sz w:val="16"/>
        </w:rPr>
        <w:t> </w:t>
      </w:r>
      <w:r>
        <w:rPr>
          <w:sz w:val="16"/>
        </w:rPr>
        <w:t>cultural,</w:t>
      </w:r>
      <w:r>
        <w:rPr>
          <w:spacing w:val="-4"/>
          <w:sz w:val="16"/>
        </w:rPr>
        <w:t> </w:t>
      </w:r>
      <w:r>
        <w:rPr>
          <w:sz w:val="16"/>
        </w:rPr>
        <w:t>arts.</w:t>
      </w:r>
      <w:r>
        <w:rPr>
          <w:spacing w:val="-3"/>
          <w:sz w:val="16"/>
        </w:rPr>
        <w:t> </w:t>
      </w:r>
      <w:r>
        <w:rPr>
          <w:sz w:val="16"/>
        </w:rPr>
        <w:t>1</w:t>
      </w:r>
      <w:r>
        <w:rPr>
          <w:spacing w:val="-4"/>
          <w:sz w:val="16"/>
        </w:rPr>
        <w:t> </w:t>
      </w:r>
      <w:r>
        <w:rPr>
          <w:sz w:val="16"/>
        </w:rPr>
        <w:t>y</w:t>
      </w:r>
      <w:r>
        <w:rPr>
          <w:spacing w:val="-4"/>
          <w:sz w:val="16"/>
        </w:rPr>
        <w:t> </w:t>
      </w:r>
      <w:r>
        <w:rPr>
          <w:sz w:val="16"/>
        </w:rPr>
        <w:t>2.</w:t>
      </w:r>
      <w:r>
        <w:rPr>
          <w:spacing w:val="-4"/>
          <w:sz w:val="16"/>
        </w:rPr>
        <w:t> </w:t>
      </w:r>
      <w:r>
        <w:rPr>
          <w:sz w:val="16"/>
        </w:rPr>
        <w:t>El artículo</w:t>
      </w:r>
      <w:r>
        <w:rPr>
          <w:spacing w:val="-2"/>
          <w:sz w:val="16"/>
        </w:rPr>
        <w:t> </w:t>
      </w:r>
      <w:r>
        <w:rPr>
          <w:sz w:val="16"/>
        </w:rPr>
        <w:t>4</w:t>
      </w:r>
      <w:r>
        <w:rPr>
          <w:spacing w:val="-6"/>
          <w:sz w:val="16"/>
        </w:rPr>
        <w:t> </w:t>
      </w:r>
      <w:r>
        <w:rPr>
          <w:sz w:val="16"/>
        </w:rPr>
        <w:t>agrega</w:t>
      </w:r>
      <w:r>
        <w:rPr>
          <w:spacing w:val="-3"/>
          <w:sz w:val="16"/>
        </w:rPr>
        <w:t> </w:t>
      </w:r>
      <w:r>
        <w:rPr>
          <w:sz w:val="16"/>
        </w:rPr>
        <w:t>que</w:t>
      </w:r>
      <w:r>
        <w:rPr>
          <w:w w:val="100"/>
          <w:sz w:val="16"/>
        </w:rPr>
        <w:t> </w:t>
      </w:r>
      <w:r>
        <w:rPr>
          <w:sz w:val="16"/>
        </w:rPr>
        <w:t>“[l]a defensa de la diversidad cultural es un imperativo ético, inseparable del respeto de la dignidad de la persona humana. Ella supone el compromiso de respetar los derechos humanos y las libertades fundamentales, en particular los derechos de las personas que pertenecen a minorías y los de los pueblos indígenas”.</w:t>
      </w:r>
    </w:p>
    <w:p>
      <w:pPr>
        <w:spacing w:after="0" w:line="240" w:lineRule="auto"/>
        <w:jc w:val="both"/>
        <w:rPr>
          <w:sz w:val="16"/>
        </w:rPr>
        <w:sectPr>
          <w:pgSz w:w="12240" w:h="15840"/>
          <w:pgMar w:header="0" w:footer="1000" w:top="1340" w:bottom="1200" w:left="1580" w:right="1580"/>
        </w:sectPr>
      </w:pPr>
    </w:p>
    <w:p>
      <w:pPr>
        <w:spacing w:before="76"/>
        <w:ind w:left="405" w:right="120" w:firstLine="0"/>
        <w:jc w:val="left"/>
        <w:rPr>
          <w:sz w:val="16"/>
        </w:rPr>
      </w:pPr>
      <w:r>
        <w:rPr>
          <w:sz w:val="16"/>
        </w:rPr>
        <w:t>manteniendo</w:t>
      </w:r>
      <w:r>
        <w:rPr>
          <w:spacing w:val="-11"/>
          <w:sz w:val="16"/>
        </w:rPr>
        <w:t> </w:t>
      </w:r>
      <w:r>
        <w:rPr>
          <w:sz w:val="16"/>
        </w:rPr>
        <w:t>sus</w:t>
      </w:r>
      <w:r>
        <w:rPr>
          <w:spacing w:val="-14"/>
          <w:sz w:val="16"/>
        </w:rPr>
        <w:t> </w:t>
      </w:r>
      <w:r>
        <w:rPr>
          <w:sz w:val="16"/>
        </w:rPr>
        <w:t>particularidades</w:t>
      </w:r>
      <w:r>
        <w:rPr>
          <w:spacing w:val="-14"/>
          <w:sz w:val="16"/>
        </w:rPr>
        <w:t> </w:t>
      </w:r>
      <w:r>
        <w:rPr>
          <w:sz w:val="16"/>
        </w:rPr>
        <w:t>y</w:t>
      </w:r>
      <w:r>
        <w:rPr>
          <w:spacing w:val="-14"/>
          <w:sz w:val="16"/>
        </w:rPr>
        <w:t> </w:t>
      </w:r>
      <w:r>
        <w:rPr>
          <w:sz w:val="16"/>
        </w:rPr>
        <w:t>sus</w:t>
      </w:r>
      <w:r>
        <w:rPr>
          <w:spacing w:val="-14"/>
          <w:sz w:val="16"/>
        </w:rPr>
        <w:t> </w:t>
      </w:r>
      <w:r>
        <w:rPr>
          <w:sz w:val="16"/>
        </w:rPr>
        <w:t>fines,</w:t>
      </w:r>
      <w:r>
        <w:rPr>
          <w:spacing w:val="-15"/>
          <w:sz w:val="16"/>
        </w:rPr>
        <w:t> </w:t>
      </w:r>
      <w:r>
        <w:rPr>
          <w:sz w:val="16"/>
        </w:rPr>
        <w:t>dan</w:t>
      </w:r>
      <w:r>
        <w:rPr>
          <w:spacing w:val="-15"/>
          <w:sz w:val="16"/>
        </w:rPr>
        <w:t> </w:t>
      </w:r>
      <w:r>
        <w:rPr>
          <w:sz w:val="16"/>
        </w:rPr>
        <w:t>expresión</w:t>
      </w:r>
      <w:r>
        <w:rPr>
          <w:spacing w:val="-13"/>
          <w:sz w:val="16"/>
        </w:rPr>
        <w:t> </w:t>
      </w:r>
      <w:r>
        <w:rPr>
          <w:sz w:val="16"/>
        </w:rPr>
        <w:t>a</w:t>
      </w:r>
      <w:r>
        <w:rPr>
          <w:spacing w:val="-13"/>
          <w:sz w:val="16"/>
        </w:rPr>
        <w:t> </w:t>
      </w:r>
      <w:r>
        <w:rPr>
          <w:sz w:val="16"/>
        </w:rPr>
        <w:t>la</w:t>
      </w:r>
      <w:r>
        <w:rPr>
          <w:spacing w:val="-13"/>
          <w:sz w:val="16"/>
        </w:rPr>
        <w:t> </w:t>
      </w:r>
      <w:r>
        <w:rPr>
          <w:sz w:val="16"/>
        </w:rPr>
        <w:t>cultura</w:t>
      </w:r>
      <w:r>
        <w:rPr>
          <w:spacing w:val="-15"/>
          <w:sz w:val="16"/>
        </w:rPr>
        <w:t> </w:t>
      </w:r>
      <w:r>
        <w:rPr>
          <w:sz w:val="16"/>
        </w:rPr>
        <w:t>de</w:t>
      </w:r>
      <w:r>
        <w:rPr>
          <w:spacing w:val="-14"/>
          <w:sz w:val="16"/>
        </w:rPr>
        <w:t> </w:t>
      </w:r>
      <w:r>
        <w:rPr>
          <w:sz w:val="16"/>
        </w:rPr>
        <w:t>la</w:t>
      </w:r>
      <w:r>
        <w:rPr>
          <w:spacing w:val="-13"/>
          <w:sz w:val="16"/>
        </w:rPr>
        <w:t> </w:t>
      </w:r>
      <w:r>
        <w:rPr>
          <w:sz w:val="16"/>
        </w:rPr>
        <w:t>humanidad.</w:t>
      </w:r>
      <w:r>
        <w:rPr>
          <w:spacing w:val="-13"/>
          <w:sz w:val="16"/>
        </w:rPr>
        <w:t> </w:t>
      </w:r>
      <w:r>
        <w:rPr>
          <w:sz w:val="16"/>
        </w:rPr>
        <w:t>Ese</w:t>
      </w:r>
      <w:r>
        <w:rPr>
          <w:spacing w:val="-12"/>
          <w:sz w:val="16"/>
        </w:rPr>
        <w:t> </w:t>
      </w:r>
      <w:r>
        <w:rPr>
          <w:sz w:val="16"/>
        </w:rPr>
        <w:t>concepto tiene en cuenta la individualidad y la alteridad de la cultura como creación y producto</w:t>
      </w:r>
      <w:r>
        <w:rPr>
          <w:spacing w:val="-27"/>
          <w:sz w:val="16"/>
        </w:rPr>
        <w:t> </w:t>
      </w:r>
      <w:r>
        <w:rPr>
          <w:sz w:val="16"/>
        </w:rPr>
        <w:t>social</w:t>
      </w:r>
      <w:r>
        <w:rPr>
          <w:position w:val="6"/>
          <w:sz w:val="10"/>
        </w:rPr>
        <w:t>237</w:t>
      </w:r>
      <w:r>
        <w:rPr>
          <w:sz w:val="16"/>
        </w:rPr>
        <w:t>.</w:t>
      </w:r>
    </w:p>
    <w:p>
      <w:pPr>
        <w:pStyle w:val="BodyText"/>
        <w:spacing w:before="2"/>
      </w:pPr>
    </w:p>
    <w:p>
      <w:pPr>
        <w:pStyle w:val="ListParagraph"/>
        <w:numPr>
          <w:ilvl w:val="0"/>
          <w:numId w:val="31"/>
        </w:numPr>
        <w:tabs>
          <w:tab w:pos="830" w:val="left" w:leader="none"/>
        </w:tabs>
        <w:spacing w:line="240" w:lineRule="auto" w:before="0" w:after="0"/>
        <w:ind w:left="122" w:right="129" w:firstLine="0"/>
        <w:jc w:val="both"/>
        <w:rPr>
          <w:sz w:val="20"/>
        </w:rPr>
      </w:pPr>
      <w:r>
        <w:rPr>
          <w:sz w:val="20"/>
        </w:rPr>
        <w:t>La Corte entiende que el derecho a la identidad cultural tutela la libertad de las personas,</w:t>
      </w:r>
      <w:r>
        <w:rPr>
          <w:spacing w:val="-8"/>
          <w:sz w:val="20"/>
        </w:rPr>
        <w:t> </w:t>
      </w:r>
      <w:r>
        <w:rPr>
          <w:sz w:val="20"/>
        </w:rPr>
        <w:t>inclusive</w:t>
      </w:r>
      <w:r>
        <w:rPr>
          <w:spacing w:val="-7"/>
          <w:sz w:val="20"/>
        </w:rPr>
        <w:t> </w:t>
      </w:r>
      <w:r>
        <w:rPr>
          <w:sz w:val="20"/>
        </w:rPr>
        <w:t>actuando</w:t>
      </w:r>
      <w:r>
        <w:rPr>
          <w:spacing w:val="-7"/>
          <w:sz w:val="20"/>
        </w:rPr>
        <w:t> </w:t>
      </w:r>
      <w:r>
        <w:rPr>
          <w:sz w:val="20"/>
        </w:rPr>
        <w:t>en</w:t>
      </w:r>
      <w:r>
        <w:rPr>
          <w:spacing w:val="-4"/>
          <w:sz w:val="20"/>
        </w:rPr>
        <w:t> </w:t>
      </w:r>
      <w:r>
        <w:rPr>
          <w:sz w:val="20"/>
        </w:rPr>
        <w:t>forma</w:t>
      </w:r>
      <w:r>
        <w:rPr>
          <w:spacing w:val="-5"/>
          <w:sz w:val="20"/>
        </w:rPr>
        <w:t> </w:t>
      </w:r>
      <w:r>
        <w:rPr>
          <w:sz w:val="20"/>
        </w:rPr>
        <w:t>asociada</w:t>
      </w:r>
      <w:r>
        <w:rPr>
          <w:spacing w:val="-8"/>
          <w:sz w:val="20"/>
        </w:rPr>
        <w:t> </w:t>
      </w:r>
      <w:r>
        <w:rPr>
          <w:sz w:val="20"/>
        </w:rPr>
        <w:t>o</w:t>
      </w:r>
      <w:r>
        <w:rPr>
          <w:spacing w:val="-7"/>
          <w:sz w:val="20"/>
        </w:rPr>
        <w:t> </w:t>
      </w:r>
      <w:r>
        <w:rPr>
          <w:sz w:val="20"/>
        </w:rPr>
        <w:t>comunitaria,</w:t>
      </w:r>
      <w:r>
        <w:rPr>
          <w:spacing w:val="-6"/>
          <w:sz w:val="20"/>
        </w:rPr>
        <w:t> </w:t>
      </w:r>
      <w:r>
        <w:rPr>
          <w:sz w:val="20"/>
        </w:rPr>
        <w:t>a</w:t>
      </w:r>
      <w:r>
        <w:rPr>
          <w:spacing w:val="-8"/>
          <w:sz w:val="20"/>
        </w:rPr>
        <w:t> </w:t>
      </w:r>
      <w:r>
        <w:rPr>
          <w:sz w:val="20"/>
        </w:rPr>
        <w:t>identificarse</w:t>
      </w:r>
      <w:r>
        <w:rPr>
          <w:spacing w:val="-7"/>
          <w:sz w:val="20"/>
        </w:rPr>
        <w:t> </w:t>
      </w:r>
      <w:r>
        <w:rPr>
          <w:sz w:val="20"/>
        </w:rPr>
        <w:t>con</w:t>
      </w:r>
      <w:r>
        <w:rPr>
          <w:spacing w:val="-7"/>
          <w:sz w:val="20"/>
        </w:rPr>
        <w:t> </w:t>
      </w:r>
      <w:r>
        <w:rPr>
          <w:sz w:val="20"/>
        </w:rPr>
        <w:t>una</w:t>
      </w:r>
      <w:r>
        <w:rPr>
          <w:spacing w:val="-5"/>
          <w:sz w:val="20"/>
        </w:rPr>
        <w:t> </w:t>
      </w:r>
      <w:r>
        <w:rPr>
          <w:sz w:val="20"/>
        </w:rPr>
        <w:t>o varias sociedades, comunidades, o grupos sociales, a seguir una forma o estilo de vida vinculado a la cultura a la que pertenece y a participar en el desarrollo de la misma. En ese</w:t>
      </w:r>
      <w:r>
        <w:rPr>
          <w:spacing w:val="-13"/>
          <w:sz w:val="20"/>
        </w:rPr>
        <w:t> </w:t>
      </w:r>
      <w:r>
        <w:rPr>
          <w:sz w:val="20"/>
        </w:rPr>
        <w:t>sentido,</w:t>
      </w:r>
      <w:r>
        <w:rPr>
          <w:spacing w:val="-12"/>
          <w:sz w:val="20"/>
        </w:rPr>
        <w:t> </w:t>
      </w:r>
      <w:r>
        <w:rPr>
          <w:sz w:val="20"/>
        </w:rPr>
        <w:t>el</w:t>
      </w:r>
      <w:r>
        <w:rPr>
          <w:spacing w:val="-14"/>
          <w:sz w:val="20"/>
        </w:rPr>
        <w:t> </w:t>
      </w:r>
      <w:r>
        <w:rPr>
          <w:sz w:val="20"/>
        </w:rPr>
        <w:t>derecho</w:t>
      </w:r>
      <w:r>
        <w:rPr>
          <w:spacing w:val="-12"/>
          <w:sz w:val="20"/>
        </w:rPr>
        <w:t> </w:t>
      </w:r>
      <w:r>
        <w:rPr>
          <w:sz w:val="20"/>
        </w:rPr>
        <w:t>protege</w:t>
      </w:r>
      <w:r>
        <w:rPr>
          <w:spacing w:val="-13"/>
          <w:sz w:val="20"/>
        </w:rPr>
        <w:t> </w:t>
      </w:r>
      <w:r>
        <w:rPr>
          <w:sz w:val="20"/>
        </w:rPr>
        <w:t>los</w:t>
      </w:r>
      <w:r>
        <w:rPr>
          <w:spacing w:val="-10"/>
          <w:sz w:val="20"/>
        </w:rPr>
        <w:t> </w:t>
      </w:r>
      <w:r>
        <w:rPr>
          <w:sz w:val="20"/>
        </w:rPr>
        <w:t>rasgos</w:t>
      </w:r>
      <w:r>
        <w:rPr>
          <w:spacing w:val="-14"/>
          <w:sz w:val="20"/>
        </w:rPr>
        <w:t> </w:t>
      </w:r>
      <w:r>
        <w:rPr>
          <w:sz w:val="20"/>
        </w:rPr>
        <w:t>distintivos</w:t>
      </w:r>
      <w:r>
        <w:rPr>
          <w:spacing w:val="-12"/>
          <w:sz w:val="20"/>
        </w:rPr>
        <w:t> </w:t>
      </w:r>
      <w:r>
        <w:rPr>
          <w:sz w:val="20"/>
        </w:rPr>
        <w:t>que</w:t>
      </w:r>
      <w:r>
        <w:rPr>
          <w:spacing w:val="-13"/>
          <w:sz w:val="20"/>
        </w:rPr>
        <w:t> </w:t>
      </w:r>
      <w:r>
        <w:rPr>
          <w:sz w:val="20"/>
        </w:rPr>
        <w:t>caracterizan</w:t>
      </w:r>
      <w:r>
        <w:rPr>
          <w:spacing w:val="-13"/>
          <w:sz w:val="20"/>
        </w:rPr>
        <w:t> </w:t>
      </w:r>
      <w:r>
        <w:rPr>
          <w:sz w:val="20"/>
        </w:rPr>
        <w:t>a</w:t>
      </w:r>
      <w:r>
        <w:rPr>
          <w:spacing w:val="-11"/>
          <w:sz w:val="20"/>
        </w:rPr>
        <w:t> </w:t>
      </w:r>
      <w:r>
        <w:rPr>
          <w:sz w:val="20"/>
        </w:rPr>
        <w:t>un</w:t>
      </w:r>
      <w:r>
        <w:rPr>
          <w:spacing w:val="-13"/>
          <w:sz w:val="20"/>
        </w:rPr>
        <w:t> </w:t>
      </w:r>
      <w:r>
        <w:rPr>
          <w:sz w:val="20"/>
        </w:rPr>
        <w:t>grupo</w:t>
      </w:r>
      <w:r>
        <w:rPr>
          <w:spacing w:val="-12"/>
          <w:sz w:val="20"/>
        </w:rPr>
        <w:t> </w:t>
      </w:r>
      <w:r>
        <w:rPr>
          <w:sz w:val="20"/>
        </w:rPr>
        <w:t>social, sin que ello implique negar el carácter histórico, dinámico y evolutivo de la</w:t>
      </w:r>
      <w:r>
        <w:rPr>
          <w:spacing w:val="-30"/>
          <w:sz w:val="20"/>
        </w:rPr>
        <w:t> </w:t>
      </w:r>
      <w:r>
        <w:rPr>
          <w:sz w:val="20"/>
        </w:rPr>
        <w:t>cultura</w:t>
      </w:r>
      <w:r>
        <w:rPr>
          <w:position w:val="7"/>
          <w:sz w:val="13"/>
        </w:rPr>
        <w:t>238</w:t>
      </w:r>
      <w:r>
        <w:rPr>
          <w:sz w:val="20"/>
        </w:rPr>
        <w:t>.</w:t>
      </w:r>
    </w:p>
    <w:p>
      <w:pPr>
        <w:pStyle w:val="BodyText"/>
      </w:pPr>
    </w:p>
    <w:p>
      <w:pPr>
        <w:pStyle w:val="ListParagraph"/>
        <w:numPr>
          <w:ilvl w:val="0"/>
          <w:numId w:val="31"/>
        </w:numPr>
        <w:tabs>
          <w:tab w:pos="830" w:val="left" w:leader="none"/>
        </w:tabs>
        <w:spacing w:line="243" w:lineRule="exact" w:before="0" w:after="0"/>
        <w:ind w:left="830" w:right="0" w:hanging="708"/>
        <w:jc w:val="both"/>
        <w:rPr>
          <w:sz w:val="20"/>
        </w:rPr>
      </w:pPr>
      <w:r>
        <w:rPr>
          <w:sz w:val="20"/>
        </w:rPr>
        <w:t>El Comité DESC, en lo que es útil resaltar, ha destacado, entre los </w:t>
      </w:r>
      <w:r>
        <w:rPr>
          <w:spacing w:val="51"/>
          <w:sz w:val="20"/>
        </w:rPr>
        <w:t> </w:t>
      </w:r>
      <w:r>
        <w:rPr>
          <w:sz w:val="20"/>
        </w:rPr>
        <w:t>“elementos”</w:t>
      </w:r>
    </w:p>
    <w:p>
      <w:pPr>
        <w:pStyle w:val="BodyText"/>
        <w:spacing w:line="243" w:lineRule="exact"/>
        <w:ind w:left="122"/>
        <w:jc w:val="both"/>
      </w:pPr>
      <w:r>
        <w:rPr/>
        <w:t>que requiere la realización del derecho a participar en la vida cultural, los siguientes:</w:t>
      </w:r>
    </w:p>
    <w:p>
      <w:pPr>
        <w:pStyle w:val="BodyText"/>
        <w:spacing w:before="1"/>
      </w:pPr>
    </w:p>
    <w:p>
      <w:pPr>
        <w:pStyle w:val="ListParagraph"/>
        <w:numPr>
          <w:ilvl w:val="1"/>
          <w:numId w:val="31"/>
        </w:numPr>
        <w:tabs>
          <w:tab w:pos="533" w:val="left" w:leader="none"/>
        </w:tabs>
        <w:spacing w:line="240" w:lineRule="auto" w:before="1" w:after="0"/>
        <w:ind w:left="263" w:right="117" w:firstLine="0"/>
        <w:jc w:val="both"/>
        <w:rPr>
          <w:sz w:val="20"/>
        </w:rPr>
      </w:pPr>
      <w:r>
        <w:rPr>
          <w:sz w:val="20"/>
        </w:rPr>
        <w:t>la</w:t>
      </w:r>
      <w:r>
        <w:rPr>
          <w:spacing w:val="-15"/>
          <w:sz w:val="20"/>
        </w:rPr>
        <w:t> </w:t>
      </w:r>
      <w:r>
        <w:rPr>
          <w:i/>
          <w:sz w:val="20"/>
        </w:rPr>
        <w:t>disponibilidad,</w:t>
      </w:r>
      <w:r>
        <w:rPr>
          <w:i/>
          <w:spacing w:val="-15"/>
          <w:sz w:val="20"/>
        </w:rPr>
        <w:t> </w:t>
      </w:r>
      <w:r>
        <w:rPr>
          <w:sz w:val="20"/>
        </w:rPr>
        <w:t>que</w:t>
      </w:r>
      <w:r>
        <w:rPr>
          <w:spacing w:val="-17"/>
          <w:sz w:val="20"/>
        </w:rPr>
        <w:t> </w:t>
      </w:r>
      <w:r>
        <w:rPr>
          <w:sz w:val="20"/>
        </w:rPr>
        <w:t>conceptuó</w:t>
      </w:r>
      <w:r>
        <w:rPr>
          <w:spacing w:val="-17"/>
          <w:sz w:val="20"/>
        </w:rPr>
        <w:t> </w:t>
      </w:r>
      <w:r>
        <w:rPr>
          <w:sz w:val="20"/>
        </w:rPr>
        <w:t>como</w:t>
      </w:r>
      <w:r>
        <w:rPr>
          <w:spacing w:val="-14"/>
          <w:sz w:val="20"/>
        </w:rPr>
        <w:t> </w:t>
      </w:r>
      <w:r>
        <w:rPr>
          <w:sz w:val="20"/>
        </w:rPr>
        <w:t>“la</w:t>
      </w:r>
      <w:r>
        <w:rPr>
          <w:spacing w:val="-16"/>
          <w:sz w:val="20"/>
        </w:rPr>
        <w:t> </w:t>
      </w:r>
      <w:r>
        <w:rPr>
          <w:sz w:val="20"/>
        </w:rPr>
        <w:t>presencia</w:t>
      </w:r>
      <w:r>
        <w:rPr>
          <w:spacing w:val="-16"/>
          <w:sz w:val="20"/>
        </w:rPr>
        <w:t> </w:t>
      </w:r>
      <w:r>
        <w:rPr>
          <w:sz w:val="20"/>
        </w:rPr>
        <w:t>de</w:t>
      </w:r>
      <w:r>
        <w:rPr>
          <w:spacing w:val="-17"/>
          <w:sz w:val="20"/>
        </w:rPr>
        <w:t> </w:t>
      </w:r>
      <w:r>
        <w:rPr>
          <w:sz w:val="20"/>
        </w:rPr>
        <w:t>bienes</w:t>
      </w:r>
      <w:r>
        <w:rPr>
          <w:spacing w:val="-17"/>
          <w:sz w:val="20"/>
        </w:rPr>
        <w:t> </w:t>
      </w:r>
      <w:r>
        <w:rPr>
          <w:sz w:val="20"/>
        </w:rPr>
        <w:t>y</w:t>
      </w:r>
      <w:r>
        <w:rPr>
          <w:spacing w:val="-14"/>
          <w:sz w:val="20"/>
        </w:rPr>
        <w:t> </w:t>
      </w:r>
      <w:r>
        <w:rPr>
          <w:sz w:val="20"/>
        </w:rPr>
        <w:t>servicios</w:t>
      </w:r>
      <w:r>
        <w:rPr>
          <w:spacing w:val="-17"/>
          <w:sz w:val="20"/>
        </w:rPr>
        <w:t> </w:t>
      </w:r>
      <w:r>
        <w:rPr>
          <w:sz w:val="20"/>
        </w:rPr>
        <w:t>culturales”, entre los que destacó “dones de la naturaleza” tales como “ríos”, “bosques”, “flora” y “fauna”, así como “bienes culturales intangibles, como[, entre otros] costumbres [y] tradiciones […], así como valores, que configuran la identidad y contribuyen a la diversidad cultural de individuos y</w:t>
      </w:r>
      <w:r>
        <w:rPr>
          <w:spacing w:val="-19"/>
          <w:sz w:val="20"/>
        </w:rPr>
        <w:t> </w:t>
      </w:r>
      <w:r>
        <w:rPr>
          <w:sz w:val="20"/>
        </w:rPr>
        <w:t>comunidades”;</w:t>
      </w:r>
    </w:p>
    <w:p>
      <w:pPr>
        <w:pStyle w:val="ListParagraph"/>
        <w:numPr>
          <w:ilvl w:val="1"/>
          <w:numId w:val="31"/>
        </w:numPr>
        <w:tabs>
          <w:tab w:pos="564" w:val="left" w:leader="none"/>
        </w:tabs>
        <w:spacing w:line="242" w:lineRule="exact" w:before="0" w:after="0"/>
        <w:ind w:left="563" w:right="0" w:hanging="300"/>
        <w:jc w:val="both"/>
        <w:rPr>
          <w:sz w:val="20"/>
        </w:rPr>
      </w:pPr>
      <w:r>
        <w:rPr>
          <w:sz w:val="20"/>
        </w:rPr>
        <w:t>la </w:t>
      </w:r>
      <w:r>
        <w:rPr>
          <w:i/>
          <w:sz w:val="20"/>
        </w:rPr>
        <w:t>accesibilidad, </w:t>
      </w:r>
      <w:r>
        <w:rPr>
          <w:sz w:val="20"/>
        </w:rPr>
        <w:t>que “consiste en disponer de oportunidades efectivas y </w:t>
      </w:r>
      <w:r>
        <w:rPr>
          <w:spacing w:val="52"/>
          <w:sz w:val="20"/>
        </w:rPr>
        <w:t> </w:t>
      </w:r>
      <w:r>
        <w:rPr>
          <w:sz w:val="20"/>
        </w:rPr>
        <w:t>concretas</w:t>
      </w:r>
    </w:p>
    <w:p>
      <w:pPr>
        <w:pStyle w:val="BodyText"/>
        <w:spacing w:line="242" w:lineRule="exact"/>
        <w:ind w:left="263"/>
        <w:jc w:val="both"/>
      </w:pPr>
      <w:r>
        <w:rPr/>
        <w:t>de que los individuos y las comunidades disfruten plenamente de una cultura”;</w:t>
      </w:r>
    </w:p>
    <w:p>
      <w:pPr>
        <w:pStyle w:val="ListParagraph"/>
        <w:numPr>
          <w:ilvl w:val="1"/>
          <w:numId w:val="31"/>
        </w:numPr>
        <w:tabs>
          <w:tab w:pos="571" w:val="left" w:leader="none"/>
        </w:tabs>
        <w:spacing w:line="240" w:lineRule="auto" w:before="0" w:after="0"/>
        <w:ind w:left="263" w:right="123" w:firstLine="0"/>
        <w:jc w:val="both"/>
        <w:rPr>
          <w:sz w:val="20"/>
        </w:rPr>
      </w:pPr>
      <w:r>
        <w:rPr>
          <w:sz w:val="20"/>
        </w:rPr>
        <w:t>la </w:t>
      </w:r>
      <w:r>
        <w:rPr>
          <w:i/>
          <w:sz w:val="20"/>
        </w:rPr>
        <w:t>aceptabilidad, </w:t>
      </w:r>
      <w:r>
        <w:rPr>
          <w:sz w:val="20"/>
        </w:rPr>
        <w:t>que “implica que las leyes, políticas, estrategias, programas y medidas</w:t>
      </w:r>
      <w:r>
        <w:rPr>
          <w:spacing w:val="-6"/>
          <w:sz w:val="20"/>
        </w:rPr>
        <w:t> </w:t>
      </w:r>
      <w:r>
        <w:rPr>
          <w:sz w:val="20"/>
        </w:rPr>
        <w:t>adoptadas</w:t>
      </w:r>
      <w:r>
        <w:rPr>
          <w:spacing w:val="-6"/>
          <w:sz w:val="20"/>
        </w:rPr>
        <w:t> </w:t>
      </w:r>
      <w:r>
        <w:rPr>
          <w:sz w:val="20"/>
        </w:rPr>
        <w:t>por</w:t>
      </w:r>
      <w:r>
        <w:rPr>
          <w:spacing w:val="-2"/>
          <w:sz w:val="20"/>
        </w:rPr>
        <w:t> </w:t>
      </w:r>
      <w:r>
        <w:rPr>
          <w:sz w:val="20"/>
        </w:rPr>
        <w:t>el</w:t>
      </w:r>
      <w:r>
        <w:rPr>
          <w:spacing w:val="-5"/>
          <w:sz w:val="20"/>
        </w:rPr>
        <w:t> </w:t>
      </w:r>
      <w:r>
        <w:rPr>
          <w:sz w:val="20"/>
        </w:rPr>
        <w:t>Estado</w:t>
      </w:r>
      <w:r>
        <w:rPr>
          <w:spacing w:val="-3"/>
          <w:sz w:val="20"/>
        </w:rPr>
        <w:t> </w:t>
      </w:r>
      <w:r>
        <w:rPr>
          <w:sz w:val="20"/>
        </w:rPr>
        <w:t>[…]</w:t>
      </w:r>
      <w:r>
        <w:rPr>
          <w:spacing w:val="-4"/>
          <w:sz w:val="20"/>
        </w:rPr>
        <w:t> </w:t>
      </w:r>
      <w:r>
        <w:rPr>
          <w:sz w:val="20"/>
        </w:rPr>
        <w:t>para</w:t>
      </w:r>
      <w:r>
        <w:rPr>
          <w:spacing w:val="-3"/>
          <w:sz w:val="20"/>
        </w:rPr>
        <w:t> </w:t>
      </w:r>
      <w:r>
        <w:rPr>
          <w:sz w:val="20"/>
        </w:rPr>
        <w:t>el</w:t>
      </w:r>
      <w:r>
        <w:rPr>
          <w:spacing w:val="-3"/>
          <w:sz w:val="20"/>
        </w:rPr>
        <w:t> </w:t>
      </w:r>
      <w:r>
        <w:rPr>
          <w:sz w:val="20"/>
        </w:rPr>
        <w:t>disfrute</w:t>
      </w:r>
      <w:r>
        <w:rPr>
          <w:spacing w:val="-7"/>
          <w:sz w:val="20"/>
        </w:rPr>
        <w:t> </w:t>
      </w:r>
      <w:r>
        <w:rPr>
          <w:sz w:val="20"/>
        </w:rPr>
        <w:t>de</w:t>
      </w:r>
      <w:r>
        <w:rPr>
          <w:spacing w:val="-7"/>
          <w:sz w:val="20"/>
        </w:rPr>
        <w:t> </w:t>
      </w:r>
      <w:r>
        <w:rPr>
          <w:sz w:val="20"/>
        </w:rPr>
        <w:t>los</w:t>
      </w:r>
      <w:r>
        <w:rPr>
          <w:spacing w:val="-6"/>
          <w:sz w:val="20"/>
        </w:rPr>
        <w:t> </w:t>
      </w:r>
      <w:r>
        <w:rPr>
          <w:sz w:val="20"/>
        </w:rPr>
        <w:t>derechos</w:t>
      </w:r>
      <w:r>
        <w:rPr>
          <w:spacing w:val="-4"/>
          <w:sz w:val="20"/>
        </w:rPr>
        <w:t> </w:t>
      </w:r>
      <w:r>
        <w:rPr>
          <w:sz w:val="20"/>
        </w:rPr>
        <w:t>culturales</w:t>
      </w:r>
      <w:r>
        <w:rPr>
          <w:spacing w:val="-6"/>
          <w:sz w:val="20"/>
        </w:rPr>
        <w:t> </w:t>
      </w:r>
      <w:r>
        <w:rPr>
          <w:sz w:val="20"/>
        </w:rPr>
        <w:t>deben formularse y aplicarse de tal forma que sean aceptables para las personas y las comunidades de que se</w:t>
      </w:r>
      <w:r>
        <w:rPr>
          <w:spacing w:val="-13"/>
          <w:sz w:val="20"/>
        </w:rPr>
        <w:t> </w:t>
      </w:r>
      <w:r>
        <w:rPr>
          <w:sz w:val="20"/>
        </w:rPr>
        <w:t>trate”;</w:t>
      </w:r>
    </w:p>
    <w:p>
      <w:pPr>
        <w:pStyle w:val="ListParagraph"/>
        <w:numPr>
          <w:ilvl w:val="1"/>
          <w:numId w:val="31"/>
        </w:numPr>
        <w:tabs>
          <w:tab w:pos="552" w:val="left" w:leader="none"/>
        </w:tabs>
        <w:spacing w:line="243" w:lineRule="exact" w:before="2" w:after="0"/>
        <w:ind w:left="551" w:right="0" w:hanging="288"/>
        <w:jc w:val="both"/>
        <w:rPr>
          <w:sz w:val="20"/>
        </w:rPr>
      </w:pPr>
      <w:r>
        <w:rPr>
          <w:sz w:val="20"/>
        </w:rPr>
        <w:t>la </w:t>
      </w:r>
      <w:r>
        <w:rPr>
          <w:i/>
          <w:sz w:val="20"/>
        </w:rPr>
        <w:t>adaptabilidad</w:t>
      </w:r>
      <w:r>
        <w:rPr>
          <w:sz w:val="20"/>
        </w:rPr>
        <w:t>, que “se refiere a la flexibilidad y la pertinencia de las políticas,</w:t>
      </w:r>
      <w:r>
        <w:rPr>
          <w:spacing w:val="-21"/>
          <w:sz w:val="20"/>
        </w:rPr>
        <w:t> </w:t>
      </w:r>
      <w:r>
        <w:rPr>
          <w:sz w:val="20"/>
        </w:rPr>
        <w:t>los</w:t>
      </w:r>
    </w:p>
    <w:p>
      <w:pPr>
        <w:pStyle w:val="BodyText"/>
        <w:spacing w:line="243" w:lineRule="exact"/>
        <w:ind w:left="263"/>
        <w:jc w:val="both"/>
      </w:pPr>
      <w:r>
        <w:rPr/>
        <w:t>programas y las medidas adoptados por el Estado […] en cualquier ámbito de la  vida</w:t>
      </w:r>
    </w:p>
    <w:p>
      <w:pPr>
        <w:pStyle w:val="BodyText"/>
      </w:pPr>
    </w:p>
    <w:p>
      <w:pPr>
        <w:pStyle w:val="BodyText"/>
        <w:spacing w:before="4"/>
        <w:rPr>
          <w:sz w:val="13"/>
        </w:rPr>
      </w:pPr>
      <w:r>
        <w:rPr/>
        <w:pict>
          <v:line style="position:absolute;mso-position-horizontal-relative:page;mso-position-vertical-relative:paragraph;z-index:2920;mso-wrap-distance-left:0;mso-wrap-distance-right:0" from="85.103996pt,10.460898pt" to="229.123996pt,10.460898pt" stroked="true" strokeweight=".72pt" strokecolor="#000000">
            <v:stroke dashstyle="solid"/>
            <w10:wrap type="topAndBottom"/>
          </v:line>
        </w:pict>
      </w:r>
    </w:p>
    <w:p>
      <w:pPr>
        <w:tabs>
          <w:tab w:pos="829" w:val="left" w:leader="none"/>
        </w:tabs>
        <w:spacing w:before="71"/>
        <w:ind w:left="122" w:right="119" w:firstLine="0"/>
        <w:jc w:val="both"/>
        <w:rPr>
          <w:sz w:val="16"/>
        </w:rPr>
      </w:pPr>
      <w:r>
        <w:rPr>
          <w:position w:val="6"/>
          <w:sz w:val="10"/>
        </w:rPr>
        <w:t>237</w:t>
        <w:tab/>
      </w:r>
      <w:r>
        <w:rPr>
          <w:sz w:val="16"/>
        </w:rPr>
        <w:t>Comité DESC. </w:t>
      </w:r>
      <w:r>
        <w:rPr>
          <w:i/>
          <w:sz w:val="16"/>
        </w:rPr>
        <w:t>Observación General 21.  Derecho de  toda persona  a participar  en la  </w:t>
      </w:r>
      <w:r>
        <w:rPr>
          <w:i/>
          <w:spacing w:val="11"/>
          <w:sz w:val="16"/>
        </w:rPr>
        <w:t> </w:t>
      </w:r>
      <w:r>
        <w:rPr>
          <w:i/>
          <w:sz w:val="16"/>
        </w:rPr>
        <w:t>vida</w:t>
      </w:r>
      <w:r>
        <w:rPr>
          <w:i/>
          <w:spacing w:val="28"/>
          <w:sz w:val="16"/>
        </w:rPr>
        <w:t> </w:t>
      </w:r>
      <w:r>
        <w:rPr>
          <w:i/>
          <w:sz w:val="16"/>
        </w:rPr>
        <w:t>cultural</w:t>
      </w:r>
      <w:r>
        <w:rPr>
          <w:i/>
          <w:w w:val="100"/>
          <w:sz w:val="16"/>
        </w:rPr>
        <w:t> </w:t>
      </w:r>
      <w:r>
        <w:rPr>
          <w:i/>
          <w:sz w:val="16"/>
        </w:rPr>
        <w:t>(artículo 15, párrafo 1 a), del Pacto Internacional de Derechos Económicos, Sociales y Culturales)</w:t>
      </w:r>
      <w:r>
        <w:rPr>
          <w:sz w:val="16"/>
        </w:rPr>
        <w:t>, párr.</w:t>
      </w:r>
      <w:r>
        <w:rPr>
          <w:spacing w:val="-32"/>
          <w:sz w:val="16"/>
        </w:rPr>
        <w:t> </w:t>
      </w:r>
      <w:r>
        <w:rPr>
          <w:sz w:val="16"/>
        </w:rPr>
        <w:t>12.</w:t>
      </w:r>
    </w:p>
    <w:p>
      <w:pPr>
        <w:pStyle w:val="BodyText"/>
        <w:spacing w:before="12"/>
        <w:rPr>
          <w:sz w:val="15"/>
        </w:rPr>
      </w:pPr>
    </w:p>
    <w:p>
      <w:pPr>
        <w:tabs>
          <w:tab w:pos="1096" w:val="left" w:leader="none"/>
        </w:tabs>
        <w:spacing w:line="240" w:lineRule="auto" w:before="0"/>
        <w:ind w:left="122" w:right="112" w:firstLine="0"/>
        <w:jc w:val="both"/>
        <w:rPr>
          <w:sz w:val="16"/>
        </w:rPr>
      </w:pPr>
      <w:r>
        <w:rPr>
          <w:position w:val="6"/>
          <w:sz w:val="10"/>
        </w:rPr>
        <w:t>238</w:t>
        <w:tab/>
      </w:r>
      <w:r>
        <w:rPr>
          <w:sz w:val="16"/>
        </w:rPr>
        <w:t>Es</w:t>
      </w:r>
      <w:r>
        <w:rPr>
          <w:spacing w:val="-12"/>
          <w:sz w:val="16"/>
        </w:rPr>
        <w:t> </w:t>
      </w:r>
      <w:r>
        <w:rPr>
          <w:sz w:val="16"/>
        </w:rPr>
        <w:t>posible</w:t>
      </w:r>
      <w:r>
        <w:rPr>
          <w:spacing w:val="-18"/>
          <w:sz w:val="16"/>
        </w:rPr>
        <w:t> </w:t>
      </w:r>
      <w:r>
        <w:rPr>
          <w:sz w:val="16"/>
        </w:rPr>
        <w:t>señalar,</w:t>
      </w:r>
      <w:r>
        <w:rPr>
          <w:spacing w:val="-15"/>
          <w:sz w:val="16"/>
        </w:rPr>
        <w:t> </w:t>
      </w:r>
      <w:r>
        <w:rPr>
          <w:sz w:val="16"/>
        </w:rPr>
        <w:t>en</w:t>
      </w:r>
      <w:r>
        <w:rPr>
          <w:spacing w:val="-15"/>
          <w:sz w:val="16"/>
        </w:rPr>
        <w:t> </w:t>
      </w:r>
      <w:r>
        <w:rPr>
          <w:sz w:val="16"/>
        </w:rPr>
        <w:t>el</w:t>
      </w:r>
      <w:r>
        <w:rPr>
          <w:spacing w:val="-15"/>
          <w:sz w:val="16"/>
        </w:rPr>
        <w:t> </w:t>
      </w:r>
      <w:r>
        <w:rPr>
          <w:sz w:val="16"/>
        </w:rPr>
        <w:t>mismo</w:t>
      </w:r>
      <w:r>
        <w:rPr>
          <w:spacing w:val="-14"/>
          <w:sz w:val="16"/>
        </w:rPr>
        <w:t> </w:t>
      </w:r>
      <w:r>
        <w:rPr>
          <w:sz w:val="16"/>
        </w:rPr>
        <w:t>sentido</w:t>
      </w:r>
      <w:r>
        <w:rPr>
          <w:spacing w:val="-16"/>
          <w:sz w:val="16"/>
        </w:rPr>
        <w:t> </w:t>
      </w:r>
      <w:r>
        <w:rPr>
          <w:sz w:val="16"/>
        </w:rPr>
        <w:t>que</w:t>
      </w:r>
      <w:r>
        <w:rPr>
          <w:spacing w:val="-14"/>
          <w:sz w:val="16"/>
        </w:rPr>
        <w:t> </w:t>
      </w:r>
      <w:r>
        <w:rPr>
          <w:sz w:val="16"/>
        </w:rPr>
        <w:t>lo</w:t>
      </w:r>
      <w:r>
        <w:rPr>
          <w:spacing w:val="-14"/>
          <w:sz w:val="16"/>
        </w:rPr>
        <w:t> </w:t>
      </w:r>
      <w:r>
        <w:rPr>
          <w:sz w:val="16"/>
        </w:rPr>
        <w:t>indicado,</w:t>
      </w:r>
      <w:r>
        <w:rPr>
          <w:spacing w:val="-13"/>
          <w:sz w:val="16"/>
        </w:rPr>
        <w:t> </w:t>
      </w:r>
      <w:r>
        <w:rPr>
          <w:sz w:val="16"/>
        </w:rPr>
        <w:t>los</w:t>
      </w:r>
      <w:r>
        <w:rPr>
          <w:spacing w:val="-14"/>
          <w:sz w:val="16"/>
        </w:rPr>
        <w:t> </w:t>
      </w:r>
      <w:r>
        <w:rPr>
          <w:sz w:val="16"/>
        </w:rPr>
        <w:t>conceptos</w:t>
      </w:r>
      <w:r>
        <w:rPr>
          <w:spacing w:val="-14"/>
          <w:sz w:val="16"/>
        </w:rPr>
        <w:t> </w:t>
      </w:r>
      <w:r>
        <w:rPr>
          <w:sz w:val="16"/>
        </w:rPr>
        <w:t>referidos</w:t>
      </w:r>
      <w:r>
        <w:rPr>
          <w:spacing w:val="-14"/>
          <w:sz w:val="16"/>
        </w:rPr>
        <w:t> </w:t>
      </w:r>
      <w:r>
        <w:rPr>
          <w:sz w:val="16"/>
        </w:rPr>
        <w:t>por</w:t>
      </w:r>
      <w:r>
        <w:rPr>
          <w:spacing w:val="-16"/>
          <w:sz w:val="16"/>
        </w:rPr>
        <w:t> </w:t>
      </w:r>
      <w:r>
        <w:rPr>
          <w:sz w:val="16"/>
        </w:rPr>
        <w:t>UNESCO</w:t>
      </w:r>
      <w:r>
        <w:rPr>
          <w:spacing w:val="-12"/>
          <w:sz w:val="16"/>
        </w:rPr>
        <w:t> </w:t>
      </w:r>
      <w:r>
        <w:rPr>
          <w:sz w:val="16"/>
        </w:rPr>
        <w:t>(</w:t>
      </w:r>
      <w:r>
        <w:rPr>
          <w:i/>
          <w:sz w:val="16"/>
        </w:rPr>
        <w:t>supra</w:t>
      </w:r>
      <w:r>
        <w:rPr>
          <w:i/>
          <w:w w:val="100"/>
          <w:sz w:val="16"/>
        </w:rPr>
        <w:t> </w:t>
      </w:r>
      <w:r>
        <w:rPr>
          <w:sz w:val="16"/>
        </w:rPr>
        <w:t>párrs. 237 y 238</w:t>
      </w:r>
      <w:r>
        <w:rPr>
          <w:i/>
          <w:sz w:val="16"/>
        </w:rPr>
        <w:t>)</w:t>
      </w:r>
      <w:r>
        <w:rPr>
          <w:sz w:val="16"/>
        </w:rPr>
        <w:t>, el Comité de Derechos Humanos y el Comité DESC. El Comité de Derechos Humanos, respecto al artículo 27 del PIDCP (</w:t>
      </w:r>
      <w:r>
        <w:rPr>
          <w:i/>
          <w:sz w:val="16"/>
        </w:rPr>
        <w:t>supra</w:t>
      </w:r>
      <w:r>
        <w:rPr>
          <w:sz w:val="16"/>
        </w:rPr>
        <w:t>, párr. 234), ha expresado que “no se debe negar a las personas que pertenezcan a […] minorías el derecho que les corresponde, en común con los demás miembros de su grupo, a tener su propia vida cultural” (Comité de Derechos Humanos. </w:t>
      </w:r>
      <w:r>
        <w:rPr>
          <w:i/>
          <w:sz w:val="16"/>
        </w:rPr>
        <w:t>Observación General 23. Derecho de las </w:t>
      </w:r>
      <w:r>
        <w:rPr>
          <w:i/>
          <w:sz w:val="16"/>
        </w:rPr>
        <w:t>minorías (artículo 27), </w:t>
      </w:r>
      <w:r>
        <w:rPr>
          <w:sz w:val="16"/>
        </w:rPr>
        <w:t>párr 5). En la misma línea, el Comité DESC, explicando el artículo 15.1.a. del PIDESC (</w:t>
      </w:r>
      <w:r>
        <w:rPr>
          <w:i/>
          <w:sz w:val="16"/>
        </w:rPr>
        <w:t>supra, </w:t>
      </w:r>
      <w:r>
        <w:rPr>
          <w:sz w:val="16"/>
        </w:rPr>
        <w:t>párr. 234), indicó que “la cultura es un concepto amplio e inclusivo que comprende todas las expresiones de la existencia humana. La expresión ‘vida cultural’ hace referencia explícita al carácter de la cultura</w:t>
      </w:r>
      <w:r>
        <w:rPr>
          <w:spacing w:val="-4"/>
          <w:sz w:val="16"/>
        </w:rPr>
        <w:t> </w:t>
      </w:r>
      <w:r>
        <w:rPr>
          <w:sz w:val="16"/>
        </w:rPr>
        <w:t>como</w:t>
      </w:r>
      <w:r>
        <w:rPr>
          <w:spacing w:val="-3"/>
          <w:sz w:val="16"/>
        </w:rPr>
        <w:t> </w:t>
      </w:r>
      <w:r>
        <w:rPr>
          <w:sz w:val="16"/>
        </w:rPr>
        <w:t>un</w:t>
      </w:r>
      <w:r>
        <w:rPr>
          <w:spacing w:val="-5"/>
          <w:sz w:val="16"/>
        </w:rPr>
        <w:t> </w:t>
      </w:r>
      <w:r>
        <w:rPr>
          <w:sz w:val="16"/>
        </w:rPr>
        <w:t>proceso</w:t>
      </w:r>
      <w:r>
        <w:rPr>
          <w:spacing w:val="-3"/>
          <w:sz w:val="16"/>
        </w:rPr>
        <w:t> </w:t>
      </w:r>
      <w:r>
        <w:rPr>
          <w:sz w:val="16"/>
        </w:rPr>
        <w:t>vital,</w:t>
      </w:r>
      <w:r>
        <w:rPr>
          <w:spacing w:val="-5"/>
          <w:sz w:val="16"/>
        </w:rPr>
        <w:t> </w:t>
      </w:r>
      <w:r>
        <w:rPr>
          <w:sz w:val="16"/>
        </w:rPr>
        <w:t>histórico,</w:t>
      </w:r>
      <w:r>
        <w:rPr>
          <w:spacing w:val="-7"/>
          <w:sz w:val="16"/>
        </w:rPr>
        <w:t> </w:t>
      </w:r>
      <w:r>
        <w:rPr>
          <w:sz w:val="16"/>
        </w:rPr>
        <w:t>dinámico</w:t>
      </w:r>
      <w:r>
        <w:rPr>
          <w:spacing w:val="-5"/>
          <w:sz w:val="16"/>
        </w:rPr>
        <w:t> </w:t>
      </w:r>
      <w:r>
        <w:rPr>
          <w:sz w:val="16"/>
        </w:rPr>
        <w:t>y</w:t>
      </w:r>
      <w:r>
        <w:rPr>
          <w:spacing w:val="-3"/>
          <w:sz w:val="16"/>
        </w:rPr>
        <w:t> </w:t>
      </w:r>
      <w:r>
        <w:rPr>
          <w:sz w:val="16"/>
        </w:rPr>
        <w:t>evolutivo,</w:t>
      </w:r>
      <w:r>
        <w:rPr>
          <w:spacing w:val="-5"/>
          <w:sz w:val="16"/>
        </w:rPr>
        <w:t> </w:t>
      </w:r>
      <w:r>
        <w:rPr>
          <w:sz w:val="16"/>
        </w:rPr>
        <w:t>que</w:t>
      </w:r>
      <w:r>
        <w:rPr>
          <w:spacing w:val="-3"/>
          <w:sz w:val="16"/>
        </w:rPr>
        <w:t> </w:t>
      </w:r>
      <w:r>
        <w:rPr>
          <w:sz w:val="16"/>
        </w:rPr>
        <w:t>tiene</w:t>
      </w:r>
      <w:r>
        <w:rPr>
          <w:spacing w:val="-3"/>
          <w:sz w:val="16"/>
        </w:rPr>
        <w:t> </w:t>
      </w:r>
      <w:r>
        <w:rPr>
          <w:sz w:val="16"/>
        </w:rPr>
        <w:t>un</w:t>
      </w:r>
      <w:r>
        <w:rPr>
          <w:spacing w:val="-7"/>
          <w:sz w:val="16"/>
        </w:rPr>
        <w:t> </w:t>
      </w:r>
      <w:r>
        <w:rPr>
          <w:sz w:val="16"/>
        </w:rPr>
        <w:t>pasado,</w:t>
      </w:r>
      <w:r>
        <w:rPr>
          <w:spacing w:val="-5"/>
          <w:sz w:val="16"/>
        </w:rPr>
        <w:t> </w:t>
      </w:r>
      <w:r>
        <w:rPr>
          <w:sz w:val="16"/>
        </w:rPr>
        <w:t>un</w:t>
      </w:r>
      <w:r>
        <w:rPr>
          <w:spacing w:val="-5"/>
          <w:sz w:val="16"/>
        </w:rPr>
        <w:t> </w:t>
      </w:r>
      <w:r>
        <w:rPr>
          <w:sz w:val="16"/>
        </w:rPr>
        <w:t>presente</w:t>
      </w:r>
      <w:r>
        <w:rPr>
          <w:spacing w:val="-3"/>
          <w:sz w:val="16"/>
        </w:rPr>
        <w:t> </w:t>
      </w:r>
      <w:r>
        <w:rPr>
          <w:sz w:val="16"/>
        </w:rPr>
        <w:t>y</w:t>
      </w:r>
      <w:r>
        <w:rPr>
          <w:spacing w:val="-5"/>
          <w:sz w:val="16"/>
        </w:rPr>
        <w:t> </w:t>
      </w:r>
      <w:r>
        <w:rPr>
          <w:sz w:val="16"/>
        </w:rPr>
        <w:t>un</w:t>
      </w:r>
      <w:r>
        <w:rPr>
          <w:spacing w:val="-5"/>
          <w:sz w:val="16"/>
        </w:rPr>
        <w:t> </w:t>
      </w:r>
      <w:r>
        <w:rPr>
          <w:sz w:val="16"/>
        </w:rPr>
        <w:t>futuro”. Agregó que la “cultura”, en el sentido pertinente, abarca “las formas de vida, el lenguaje, la literatura escrita y oral, la música y las canciones, la comunicación no verbal, los sistemas de religión y de creencias, los ritos y las ceremonias, los deportes y juegos, los métodos de producción o la tecnología, el entorno natural y el producido</w:t>
      </w:r>
      <w:r>
        <w:rPr>
          <w:spacing w:val="-8"/>
          <w:sz w:val="16"/>
        </w:rPr>
        <w:t> </w:t>
      </w:r>
      <w:r>
        <w:rPr>
          <w:sz w:val="16"/>
        </w:rPr>
        <w:t>por</w:t>
      </w:r>
      <w:r>
        <w:rPr>
          <w:spacing w:val="-8"/>
          <w:sz w:val="16"/>
        </w:rPr>
        <w:t> </w:t>
      </w:r>
      <w:r>
        <w:rPr>
          <w:sz w:val="16"/>
        </w:rPr>
        <w:t>el</w:t>
      </w:r>
      <w:r>
        <w:rPr>
          <w:spacing w:val="-7"/>
          <w:sz w:val="16"/>
        </w:rPr>
        <w:t> </w:t>
      </w:r>
      <w:r>
        <w:rPr>
          <w:sz w:val="16"/>
        </w:rPr>
        <w:t>ser</w:t>
      </w:r>
      <w:r>
        <w:rPr>
          <w:spacing w:val="-5"/>
          <w:sz w:val="16"/>
        </w:rPr>
        <w:t> </w:t>
      </w:r>
      <w:r>
        <w:rPr>
          <w:sz w:val="16"/>
        </w:rPr>
        <w:t>humano,</w:t>
      </w:r>
      <w:r>
        <w:rPr>
          <w:spacing w:val="-9"/>
          <w:sz w:val="16"/>
        </w:rPr>
        <w:t> </w:t>
      </w:r>
      <w:r>
        <w:rPr>
          <w:sz w:val="16"/>
        </w:rPr>
        <w:t>la</w:t>
      </w:r>
      <w:r>
        <w:rPr>
          <w:spacing w:val="-7"/>
          <w:sz w:val="16"/>
        </w:rPr>
        <w:t> </w:t>
      </w:r>
      <w:r>
        <w:rPr>
          <w:sz w:val="16"/>
        </w:rPr>
        <w:t>comida,</w:t>
      </w:r>
      <w:r>
        <w:rPr>
          <w:spacing w:val="-7"/>
          <w:sz w:val="16"/>
        </w:rPr>
        <w:t> </w:t>
      </w:r>
      <w:r>
        <w:rPr>
          <w:sz w:val="16"/>
        </w:rPr>
        <w:t>el</w:t>
      </w:r>
      <w:r>
        <w:rPr>
          <w:spacing w:val="-9"/>
          <w:sz w:val="16"/>
        </w:rPr>
        <w:t> </w:t>
      </w:r>
      <w:r>
        <w:rPr>
          <w:sz w:val="16"/>
        </w:rPr>
        <w:t>vestido</w:t>
      </w:r>
      <w:r>
        <w:rPr>
          <w:spacing w:val="-8"/>
          <w:sz w:val="16"/>
        </w:rPr>
        <w:t> </w:t>
      </w:r>
      <w:r>
        <w:rPr>
          <w:sz w:val="16"/>
        </w:rPr>
        <w:t>y</w:t>
      </w:r>
      <w:r>
        <w:rPr>
          <w:spacing w:val="-5"/>
          <w:sz w:val="16"/>
        </w:rPr>
        <w:t> </w:t>
      </w:r>
      <w:r>
        <w:rPr>
          <w:sz w:val="16"/>
        </w:rPr>
        <w:t>la</w:t>
      </w:r>
      <w:r>
        <w:rPr>
          <w:spacing w:val="-9"/>
          <w:sz w:val="16"/>
        </w:rPr>
        <w:t> </w:t>
      </w:r>
      <w:r>
        <w:rPr>
          <w:sz w:val="16"/>
        </w:rPr>
        <w:t>vivienda,</w:t>
      </w:r>
      <w:r>
        <w:rPr>
          <w:spacing w:val="-7"/>
          <w:sz w:val="16"/>
        </w:rPr>
        <w:t> </w:t>
      </w:r>
      <w:r>
        <w:rPr>
          <w:sz w:val="16"/>
        </w:rPr>
        <w:t>así</w:t>
      </w:r>
      <w:r>
        <w:rPr>
          <w:spacing w:val="-7"/>
          <w:sz w:val="16"/>
        </w:rPr>
        <w:t> </w:t>
      </w:r>
      <w:r>
        <w:rPr>
          <w:sz w:val="16"/>
        </w:rPr>
        <w:t>como</w:t>
      </w:r>
      <w:r>
        <w:rPr>
          <w:spacing w:val="-8"/>
          <w:sz w:val="16"/>
        </w:rPr>
        <w:t> </w:t>
      </w:r>
      <w:r>
        <w:rPr>
          <w:sz w:val="16"/>
        </w:rPr>
        <w:t>las</w:t>
      </w:r>
      <w:r>
        <w:rPr>
          <w:spacing w:val="-6"/>
          <w:sz w:val="16"/>
        </w:rPr>
        <w:t> </w:t>
      </w:r>
      <w:r>
        <w:rPr>
          <w:sz w:val="16"/>
        </w:rPr>
        <w:t>artes,</w:t>
      </w:r>
      <w:r>
        <w:rPr>
          <w:spacing w:val="-6"/>
          <w:sz w:val="16"/>
        </w:rPr>
        <w:t> </w:t>
      </w:r>
      <w:r>
        <w:rPr>
          <w:sz w:val="16"/>
        </w:rPr>
        <w:t>costumbres</w:t>
      </w:r>
      <w:r>
        <w:rPr>
          <w:spacing w:val="-8"/>
          <w:sz w:val="16"/>
        </w:rPr>
        <w:t> </w:t>
      </w:r>
      <w:r>
        <w:rPr>
          <w:sz w:val="16"/>
        </w:rPr>
        <w:t>y</w:t>
      </w:r>
      <w:r>
        <w:rPr>
          <w:spacing w:val="-5"/>
          <w:sz w:val="16"/>
        </w:rPr>
        <w:t> </w:t>
      </w:r>
      <w:r>
        <w:rPr>
          <w:sz w:val="16"/>
        </w:rPr>
        <w:t>tradiciones, por</w:t>
      </w:r>
      <w:r>
        <w:rPr>
          <w:spacing w:val="-3"/>
          <w:sz w:val="16"/>
        </w:rPr>
        <w:t> </w:t>
      </w:r>
      <w:r>
        <w:rPr>
          <w:sz w:val="16"/>
        </w:rPr>
        <w:t>los</w:t>
      </w:r>
      <w:r>
        <w:rPr>
          <w:spacing w:val="-3"/>
          <w:sz w:val="16"/>
        </w:rPr>
        <w:t> </w:t>
      </w:r>
      <w:r>
        <w:rPr>
          <w:sz w:val="16"/>
        </w:rPr>
        <w:t>cuales</w:t>
      </w:r>
      <w:r>
        <w:rPr>
          <w:spacing w:val="-3"/>
          <w:sz w:val="16"/>
        </w:rPr>
        <w:t> </w:t>
      </w:r>
      <w:r>
        <w:rPr>
          <w:sz w:val="16"/>
        </w:rPr>
        <w:t>individuos,</w:t>
      </w:r>
      <w:r>
        <w:rPr>
          <w:spacing w:val="-7"/>
          <w:sz w:val="16"/>
        </w:rPr>
        <w:t> </w:t>
      </w:r>
      <w:r>
        <w:rPr>
          <w:sz w:val="16"/>
        </w:rPr>
        <w:t>grupos</w:t>
      </w:r>
      <w:r>
        <w:rPr>
          <w:spacing w:val="-6"/>
          <w:sz w:val="16"/>
        </w:rPr>
        <w:t> </w:t>
      </w:r>
      <w:r>
        <w:rPr>
          <w:sz w:val="16"/>
        </w:rPr>
        <w:t>y</w:t>
      </w:r>
      <w:r>
        <w:rPr>
          <w:spacing w:val="-5"/>
          <w:sz w:val="16"/>
        </w:rPr>
        <w:t> </w:t>
      </w:r>
      <w:r>
        <w:rPr>
          <w:sz w:val="16"/>
        </w:rPr>
        <w:t>comunidades</w:t>
      </w:r>
      <w:r>
        <w:rPr>
          <w:spacing w:val="-6"/>
          <w:sz w:val="16"/>
        </w:rPr>
        <w:t> </w:t>
      </w:r>
      <w:r>
        <w:rPr>
          <w:sz w:val="16"/>
        </w:rPr>
        <w:t>expresan</w:t>
      </w:r>
      <w:r>
        <w:rPr>
          <w:spacing w:val="-7"/>
          <w:sz w:val="16"/>
        </w:rPr>
        <w:t> </w:t>
      </w:r>
      <w:r>
        <w:rPr>
          <w:sz w:val="16"/>
        </w:rPr>
        <w:t>su</w:t>
      </w:r>
      <w:r>
        <w:rPr>
          <w:spacing w:val="-5"/>
          <w:sz w:val="16"/>
        </w:rPr>
        <w:t> </w:t>
      </w:r>
      <w:r>
        <w:rPr>
          <w:sz w:val="16"/>
        </w:rPr>
        <w:t>humanidad</w:t>
      </w:r>
      <w:r>
        <w:rPr>
          <w:spacing w:val="-6"/>
          <w:sz w:val="16"/>
        </w:rPr>
        <w:t> </w:t>
      </w:r>
      <w:r>
        <w:rPr>
          <w:sz w:val="16"/>
        </w:rPr>
        <w:t>y</w:t>
      </w:r>
      <w:r>
        <w:rPr>
          <w:spacing w:val="-5"/>
          <w:sz w:val="16"/>
        </w:rPr>
        <w:t> </w:t>
      </w:r>
      <w:r>
        <w:rPr>
          <w:sz w:val="16"/>
        </w:rPr>
        <w:t>el</w:t>
      </w:r>
      <w:r>
        <w:rPr>
          <w:spacing w:val="-4"/>
          <w:sz w:val="16"/>
        </w:rPr>
        <w:t> </w:t>
      </w:r>
      <w:r>
        <w:rPr>
          <w:sz w:val="16"/>
        </w:rPr>
        <w:t>sentido</w:t>
      </w:r>
      <w:r>
        <w:rPr>
          <w:spacing w:val="-5"/>
          <w:sz w:val="16"/>
        </w:rPr>
        <w:t> </w:t>
      </w:r>
      <w:r>
        <w:rPr>
          <w:sz w:val="16"/>
        </w:rPr>
        <w:t>que</w:t>
      </w:r>
      <w:r>
        <w:rPr>
          <w:spacing w:val="-6"/>
          <w:sz w:val="16"/>
        </w:rPr>
        <w:t> </w:t>
      </w:r>
      <w:r>
        <w:rPr>
          <w:sz w:val="16"/>
        </w:rPr>
        <w:t>dan</w:t>
      </w:r>
      <w:r>
        <w:rPr>
          <w:spacing w:val="-5"/>
          <w:sz w:val="16"/>
        </w:rPr>
        <w:t> </w:t>
      </w:r>
      <w:r>
        <w:rPr>
          <w:sz w:val="16"/>
        </w:rPr>
        <w:t>a</w:t>
      </w:r>
      <w:r>
        <w:rPr>
          <w:spacing w:val="-2"/>
          <w:sz w:val="16"/>
        </w:rPr>
        <w:t> </w:t>
      </w:r>
      <w:r>
        <w:rPr>
          <w:sz w:val="16"/>
        </w:rPr>
        <w:t>su</w:t>
      </w:r>
      <w:r>
        <w:rPr>
          <w:spacing w:val="-4"/>
          <w:sz w:val="16"/>
        </w:rPr>
        <w:t> </w:t>
      </w:r>
      <w:r>
        <w:rPr>
          <w:sz w:val="16"/>
        </w:rPr>
        <w:t>existencia, y configuran una visión del mundo que representa su encuentro con las fuerzas externas que afectan a sus vidas”.</w:t>
      </w:r>
      <w:r>
        <w:rPr>
          <w:spacing w:val="-8"/>
          <w:sz w:val="16"/>
        </w:rPr>
        <w:t> </w:t>
      </w:r>
      <w:r>
        <w:rPr>
          <w:sz w:val="16"/>
        </w:rPr>
        <w:t>Además,</w:t>
      </w:r>
      <w:r>
        <w:rPr>
          <w:spacing w:val="-8"/>
          <w:sz w:val="16"/>
        </w:rPr>
        <w:t> </w:t>
      </w:r>
      <w:r>
        <w:rPr>
          <w:sz w:val="16"/>
        </w:rPr>
        <w:t>señaló</w:t>
      </w:r>
      <w:r>
        <w:rPr>
          <w:spacing w:val="-7"/>
          <w:sz w:val="16"/>
        </w:rPr>
        <w:t> </w:t>
      </w:r>
      <w:r>
        <w:rPr>
          <w:sz w:val="16"/>
        </w:rPr>
        <w:t>que</w:t>
      </w:r>
      <w:r>
        <w:rPr>
          <w:spacing w:val="-7"/>
          <w:sz w:val="16"/>
        </w:rPr>
        <w:t> </w:t>
      </w:r>
      <w:r>
        <w:rPr>
          <w:sz w:val="16"/>
        </w:rPr>
        <w:t>“[l]a</w:t>
      </w:r>
      <w:r>
        <w:rPr>
          <w:spacing w:val="-6"/>
          <w:sz w:val="16"/>
        </w:rPr>
        <w:t> </w:t>
      </w:r>
      <w:r>
        <w:rPr>
          <w:sz w:val="16"/>
        </w:rPr>
        <w:t>participación</w:t>
      </w:r>
      <w:r>
        <w:rPr>
          <w:spacing w:val="-8"/>
          <w:sz w:val="16"/>
        </w:rPr>
        <w:t> </w:t>
      </w:r>
      <w:r>
        <w:rPr>
          <w:sz w:val="16"/>
        </w:rPr>
        <w:t>en</w:t>
      </w:r>
      <w:r>
        <w:rPr>
          <w:spacing w:val="-6"/>
          <w:sz w:val="16"/>
        </w:rPr>
        <w:t> </w:t>
      </w:r>
      <w:r>
        <w:rPr>
          <w:sz w:val="16"/>
        </w:rPr>
        <w:t>la</w:t>
      </w:r>
      <w:r>
        <w:rPr>
          <w:spacing w:val="-8"/>
          <w:sz w:val="16"/>
        </w:rPr>
        <w:t> </w:t>
      </w:r>
      <w:r>
        <w:rPr>
          <w:sz w:val="16"/>
        </w:rPr>
        <w:t>vida</w:t>
      </w:r>
      <w:r>
        <w:rPr>
          <w:spacing w:val="-8"/>
          <w:sz w:val="16"/>
        </w:rPr>
        <w:t> </w:t>
      </w:r>
      <w:r>
        <w:rPr>
          <w:sz w:val="16"/>
        </w:rPr>
        <w:t>cultural</w:t>
      </w:r>
      <w:r>
        <w:rPr>
          <w:spacing w:val="-5"/>
          <w:sz w:val="16"/>
        </w:rPr>
        <w:t> </w:t>
      </w:r>
      <w:r>
        <w:rPr>
          <w:sz w:val="16"/>
        </w:rPr>
        <w:t>comprende,</w:t>
      </w:r>
      <w:r>
        <w:rPr>
          <w:spacing w:val="-8"/>
          <w:sz w:val="16"/>
        </w:rPr>
        <w:t> </w:t>
      </w:r>
      <w:r>
        <w:rPr>
          <w:sz w:val="16"/>
        </w:rPr>
        <w:t>en</w:t>
      </w:r>
      <w:r>
        <w:rPr>
          <w:spacing w:val="-8"/>
          <w:sz w:val="16"/>
        </w:rPr>
        <w:t> </w:t>
      </w:r>
      <w:r>
        <w:rPr>
          <w:sz w:val="16"/>
        </w:rPr>
        <w:t>particular,</w:t>
      </w:r>
      <w:r>
        <w:rPr>
          <w:spacing w:val="-8"/>
          <w:sz w:val="16"/>
        </w:rPr>
        <w:t> </w:t>
      </w:r>
      <w:r>
        <w:rPr>
          <w:sz w:val="16"/>
        </w:rPr>
        <w:t>el</w:t>
      </w:r>
      <w:r>
        <w:rPr>
          <w:spacing w:val="-8"/>
          <w:sz w:val="16"/>
        </w:rPr>
        <w:t> </w:t>
      </w:r>
      <w:r>
        <w:rPr>
          <w:sz w:val="16"/>
        </w:rPr>
        <w:t>derecho</w:t>
      </w:r>
      <w:r>
        <w:rPr>
          <w:spacing w:val="-7"/>
          <w:sz w:val="16"/>
        </w:rPr>
        <w:t> </w:t>
      </w:r>
      <w:r>
        <w:rPr>
          <w:sz w:val="16"/>
        </w:rPr>
        <w:t>de</w:t>
      </w:r>
      <w:r>
        <w:rPr>
          <w:spacing w:val="-5"/>
          <w:sz w:val="16"/>
        </w:rPr>
        <w:t> </w:t>
      </w:r>
      <w:r>
        <w:rPr>
          <w:sz w:val="16"/>
        </w:rPr>
        <w:t>toda persona (sola, en asociación con otras o como una comunidad) a […] identificarse o no con una o con varias comunidades, […y] a ejercer sus propias prácticas culturales”; que “[e]l acceso a la vida cultural comprende, en particular, el derecho de toda persona (sola, en asociación con otras o como una comunidad) a conocer y comprender su propia cultura y la de otros, a través de la educación y la información, y a recibir educación y capacitación de calidad con pleno respeto a su identidad cultural. Toda persona tiene también derecho […] a seguir un estilo de vida asociado al uso de bienes culturales y de recursos como la tierra, el agua, la biodiversidad,</w:t>
      </w:r>
      <w:r>
        <w:rPr>
          <w:spacing w:val="-15"/>
          <w:sz w:val="16"/>
        </w:rPr>
        <w:t> </w:t>
      </w:r>
      <w:r>
        <w:rPr>
          <w:sz w:val="16"/>
        </w:rPr>
        <w:t>el</w:t>
      </w:r>
      <w:r>
        <w:rPr>
          <w:spacing w:val="-15"/>
          <w:sz w:val="16"/>
        </w:rPr>
        <w:t> </w:t>
      </w:r>
      <w:r>
        <w:rPr>
          <w:sz w:val="16"/>
        </w:rPr>
        <w:t>lenguaje</w:t>
      </w:r>
      <w:r>
        <w:rPr>
          <w:spacing w:val="-17"/>
          <w:sz w:val="16"/>
        </w:rPr>
        <w:t> </w:t>
      </w:r>
      <w:r>
        <w:rPr>
          <w:sz w:val="16"/>
        </w:rPr>
        <w:t>o</w:t>
      </w:r>
      <w:r>
        <w:rPr>
          <w:spacing w:val="-14"/>
          <w:sz w:val="16"/>
        </w:rPr>
        <w:t> </w:t>
      </w:r>
      <w:r>
        <w:rPr>
          <w:sz w:val="16"/>
        </w:rPr>
        <w:t>instituciones</w:t>
      </w:r>
      <w:r>
        <w:rPr>
          <w:spacing w:val="-14"/>
          <w:sz w:val="16"/>
        </w:rPr>
        <w:t> </w:t>
      </w:r>
      <w:r>
        <w:rPr>
          <w:sz w:val="16"/>
        </w:rPr>
        <w:t>específicas,</w:t>
      </w:r>
      <w:r>
        <w:rPr>
          <w:spacing w:val="-15"/>
          <w:sz w:val="16"/>
        </w:rPr>
        <w:t> </w:t>
      </w:r>
      <w:r>
        <w:rPr>
          <w:sz w:val="16"/>
        </w:rPr>
        <w:t>y</w:t>
      </w:r>
      <w:r>
        <w:rPr>
          <w:spacing w:val="-14"/>
          <w:sz w:val="16"/>
        </w:rPr>
        <w:t> </w:t>
      </w:r>
      <w:r>
        <w:rPr>
          <w:sz w:val="16"/>
        </w:rPr>
        <w:t>a</w:t>
      </w:r>
      <w:r>
        <w:rPr>
          <w:spacing w:val="-17"/>
          <w:sz w:val="16"/>
        </w:rPr>
        <w:t> </w:t>
      </w:r>
      <w:r>
        <w:rPr>
          <w:sz w:val="16"/>
        </w:rPr>
        <w:t>beneficiarse</w:t>
      </w:r>
      <w:r>
        <w:rPr>
          <w:spacing w:val="-17"/>
          <w:sz w:val="16"/>
        </w:rPr>
        <w:t> </w:t>
      </w:r>
      <w:r>
        <w:rPr>
          <w:sz w:val="16"/>
        </w:rPr>
        <w:t>del</w:t>
      </w:r>
      <w:r>
        <w:rPr>
          <w:spacing w:val="-15"/>
          <w:sz w:val="16"/>
        </w:rPr>
        <w:t> </w:t>
      </w:r>
      <w:r>
        <w:rPr>
          <w:sz w:val="16"/>
        </w:rPr>
        <w:t>patrimonio</w:t>
      </w:r>
      <w:r>
        <w:rPr>
          <w:spacing w:val="-14"/>
          <w:sz w:val="16"/>
        </w:rPr>
        <w:t> </w:t>
      </w:r>
      <w:r>
        <w:rPr>
          <w:sz w:val="16"/>
        </w:rPr>
        <w:t>cultural</w:t>
      </w:r>
      <w:r>
        <w:rPr>
          <w:spacing w:val="-18"/>
          <w:sz w:val="16"/>
        </w:rPr>
        <w:t> </w:t>
      </w:r>
      <w:r>
        <w:rPr>
          <w:sz w:val="16"/>
        </w:rPr>
        <w:t>y</w:t>
      </w:r>
      <w:r>
        <w:rPr>
          <w:spacing w:val="-14"/>
          <w:sz w:val="16"/>
        </w:rPr>
        <w:t> </w:t>
      </w:r>
      <w:r>
        <w:rPr>
          <w:sz w:val="16"/>
        </w:rPr>
        <w:t>de</w:t>
      </w:r>
      <w:r>
        <w:rPr>
          <w:spacing w:val="-14"/>
          <w:sz w:val="16"/>
        </w:rPr>
        <w:t> </w:t>
      </w:r>
      <w:r>
        <w:rPr>
          <w:sz w:val="16"/>
        </w:rPr>
        <w:t>las</w:t>
      </w:r>
      <w:r>
        <w:rPr>
          <w:spacing w:val="-17"/>
          <w:sz w:val="16"/>
        </w:rPr>
        <w:t> </w:t>
      </w:r>
      <w:r>
        <w:rPr>
          <w:sz w:val="16"/>
        </w:rPr>
        <w:t>creaciones de otros individuos y comunidades”. Agregó que la “contribución a la vida cultural” es una expresión que se refiere al derecho de toda persona a, entre otros aspectos, “participar en el desarrollo de la comunidad a la que pertenece”. (Comité DESC. </w:t>
      </w:r>
      <w:r>
        <w:rPr>
          <w:i/>
          <w:sz w:val="16"/>
        </w:rPr>
        <w:t>Observación General 21. Derecho de toda persona a participar en la vida </w:t>
      </w:r>
      <w:r>
        <w:rPr>
          <w:i/>
          <w:sz w:val="16"/>
        </w:rPr>
        <w:t>cultural (artículo 15, párrafo 1 a), del Pacto Internacional de Derechos Económicos, Sociales y Culturales)</w:t>
      </w:r>
      <w:r>
        <w:rPr>
          <w:sz w:val="16"/>
        </w:rPr>
        <w:t>, párrs. 11. 13 y</w:t>
      </w:r>
      <w:r>
        <w:rPr>
          <w:spacing w:val="-8"/>
          <w:sz w:val="16"/>
        </w:rPr>
        <w:t> </w:t>
      </w:r>
      <w:r>
        <w:rPr>
          <w:sz w:val="16"/>
        </w:rPr>
        <w:t>15.)</w:t>
      </w:r>
    </w:p>
    <w:p>
      <w:pPr>
        <w:spacing w:after="0" w:line="240" w:lineRule="auto"/>
        <w:jc w:val="both"/>
        <w:rPr>
          <w:sz w:val="16"/>
        </w:rPr>
        <w:sectPr>
          <w:pgSz w:w="12240" w:h="15840"/>
          <w:pgMar w:header="0" w:footer="1000" w:top="1340" w:bottom="1200" w:left="1580" w:right="1580"/>
        </w:sectPr>
      </w:pPr>
    </w:p>
    <w:p>
      <w:pPr>
        <w:pStyle w:val="BodyText"/>
        <w:spacing w:before="76"/>
        <w:ind w:left="263"/>
        <w:jc w:val="both"/>
      </w:pPr>
      <w:r>
        <w:rPr/>
        <w:t>cultural, que deben respetar la diversidad cultural de las personas y las comunidades”,</w:t>
      </w:r>
    </w:p>
    <w:p>
      <w:pPr>
        <w:pStyle w:val="BodyText"/>
        <w:spacing w:line="243" w:lineRule="exact" w:before="1"/>
        <w:ind w:left="263"/>
        <w:jc w:val="both"/>
      </w:pPr>
      <w:r>
        <w:rPr>
          <w:w w:val="99"/>
        </w:rPr>
        <w:t>y</w:t>
      </w:r>
    </w:p>
    <w:p>
      <w:pPr>
        <w:pStyle w:val="ListParagraph"/>
        <w:numPr>
          <w:ilvl w:val="1"/>
          <w:numId w:val="31"/>
        </w:numPr>
        <w:tabs>
          <w:tab w:pos="540" w:val="left" w:leader="none"/>
        </w:tabs>
        <w:spacing w:line="240" w:lineRule="auto" w:before="0" w:after="0"/>
        <w:ind w:left="263" w:right="123" w:firstLine="0"/>
        <w:jc w:val="both"/>
        <w:rPr>
          <w:sz w:val="20"/>
        </w:rPr>
      </w:pPr>
      <w:r>
        <w:rPr>
          <w:sz w:val="20"/>
        </w:rPr>
        <w:t>la</w:t>
      </w:r>
      <w:r>
        <w:rPr>
          <w:spacing w:val="-5"/>
          <w:sz w:val="20"/>
        </w:rPr>
        <w:t> </w:t>
      </w:r>
      <w:r>
        <w:rPr>
          <w:i/>
          <w:sz w:val="20"/>
        </w:rPr>
        <w:t>idoneidad</w:t>
      </w:r>
      <w:r>
        <w:rPr>
          <w:sz w:val="20"/>
        </w:rPr>
        <w:t>,</w:t>
      </w:r>
      <w:r>
        <w:rPr>
          <w:spacing w:val="-6"/>
          <w:sz w:val="20"/>
        </w:rPr>
        <w:t> </w:t>
      </w:r>
      <w:r>
        <w:rPr>
          <w:sz w:val="20"/>
        </w:rPr>
        <w:t>que</w:t>
      </w:r>
      <w:r>
        <w:rPr>
          <w:spacing w:val="-6"/>
          <w:sz w:val="20"/>
        </w:rPr>
        <w:t> </w:t>
      </w:r>
      <w:r>
        <w:rPr>
          <w:i/>
          <w:sz w:val="20"/>
        </w:rPr>
        <w:t>“</w:t>
      </w:r>
      <w:r>
        <w:rPr>
          <w:sz w:val="20"/>
        </w:rPr>
        <w:t>se</w:t>
      </w:r>
      <w:r>
        <w:rPr>
          <w:spacing w:val="-4"/>
          <w:sz w:val="20"/>
        </w:rPr>
        <w:t> </w:t>
      </w:r>
      <w:r>
        <w:rPr>
          <w:sz w:val="20"/>
        </w:rPr>
        <w:t>refiere</w:t>
      </w:r>
      <w:r>
        <w:rPr>
          <w:spacing w:val="-7"/>
          <w:sz w:val="20"/>
        </w:rPr>
        <w:t> </w:t>
      </w:r>
      <w:r>
        <w:rPr>
          <w:sz w:val="20"/>
        </w:rPr>
        <w:t>a</w:t>
      </w:r>
      <w:r>
        <w:rPr>
          <w:spacing w:val="-5"/>
          <w:sz w:val="20"/>
        </w:rPr>
        <w:t> </w:t>
      </w:r>
      <w:r>
        <w:rPr>
          <w:sz w:val="20"/>
        </w:rPr>
        <w:t>la</w:t>
      </w:r>
      <w:r>
        <w:rPr>
          <w:spacing w:val="-3"/>
          <w:sz w:val="20"/>
        </w:rPr>
        <w:t> </w:t>
      </w:r>
      <w:r>
        <w:rPr>
          <w:sz w:val="20"/>
        </w:rPr>
        <w:t>realización</w:t>
      </w:r>
      <w:r>
        <w:rPr>
          <w:spacing w:val="-5"/>
          <w:sz w:val="20"/>
        </w:rPr>
        <w:t> </w:t>
      </w:r>
      <w:r>
        <w:rPr>
          <w:sz w:val="20"/>
        </w:rPr>
        <w:t>de</w:t>
      </w:r>
      <w:r>
        <w:rPr>
          <w:spacing w:val="-7"/>
          <w:sz w:val="20"/>
        </w:rPr>
        <w:t> </w:t>
      </w:r>
      <w:r>
        <w:rPr>
          <w:sz w:val="20"/>
        </w:rPr>
        <w:t>un</w:t>
      </w:r>
      <w:r>
        <w:rPr>
          <w:spacing w:val="-5"/>
          <w:sz w:val="20"/>
        </w:rPr>
        <w:t> </w:t>
      </w:r>
      <w:r>
        <w:rPr>
          <w:sz w:val="20"/>
        </w:rPr>
        <w:t>determinado</w:t>
      </w:r>
      <w:r>
        <w:rPr>
          <w:spacing w:val="-7"/>
          <w:sz w:val="20"/>
        </w:rPr>
        <w:t> </w:t>
      </w:r>
      <w:r>
        <w:rPr>
          <w:sz w:val="20"/>
        </w:rPr>
        <w:t>derecho</w:t>
      </w:r>
      <w:r>
        <w:rPr>
          <w:spacing w:val="-7"/>
          <w:sz w:val="20"/>
        </w:rPr>
        <w:t> </w:t>
      </w:r>
      <w:r>
        <w:rPr>
          <w:sz w:val="20"/>
        </w:rPr>
        <w:t>humano</w:t>
      </w:r>
      <w:r>
        <w:rPr>
          <w:spacing w:val="-7"/>
          <w:sz w:val="20"/>
        </w:rPr>
        <w:t> </w:t>
      </w:r>
      <w:r>
        <w:rPr>
          <w:sz w:val="20"/>
        </w:rPr>
        <w:t>de manera pertinente y apta a un determinado contexto o una determinada modalidad cultural, vale decir, de manera que respete la cultura y los derechos culturales de las personas</w:t>
      </w:r>
      <w:r>
        <w:rPr>
          <w:spacing w:val="-6"/>
          <w:sz w:val="20"/>
        </w:rPr>
        <w:t> </w:t>
      </w:r>
      <w:r>
        <w:rPr>
          <w:sz w:val="20"/>
        </w:rPr>
        <w:t>y</w:t>
      </w:r>
      <w:r>
        <w:rPr>
          <w:spacing w:val="-8"/>
          <w:sz w:val="20"/>
        </w:rPr>
        <w:t> </w:t>
      </w:r>
      <w:r>
        <w:rPr>
          <w:sz w:val="20"/>
        </w:rPr>
        <w:t>las</w:t>
      </w:r>
      <w:r>
        <w:rPr>
          <w:spacing w:val="-9"/>
          <w:sz w:val="20"/>
        </w:rPr>
        <w:t> </w:t>
      </w:r>
      <w:r>
        <w:rPr>
          <w:sz w:val="20"/>
        </w:rPr>
        <w:t>comunidades,</w:t>
      </w:r>
      <w:r>
        <w:rPr>
          <w:spacing w:val="-7"/>
          <w:sz w:val="20"/>
        </w:rPr>
        <w:t> </w:t>
      </w:r>
      <w:r>
        <w:rPr>
          <w:sz w:val="20"/>
        </w:rPr>
        <w:t>con</w:t>
      </w:r>
      <w:r>
        <w:rPr>
          <w:spacing w:val="-7"/>
          <w:sz w:val="20"/>
        </w:rPr>
        <w:t> </w:t>
      </w:r>
      <w:r>
        <w:rPr>
          <w:sz w:val="20"/>
        </w:rPr>
        <w:t>inclusión</w:t>
      </w:r>
      <w:r>
        <w:rPr>
          <w:spacing w:val="-8"/>
          <w:sz w:val="20"/>
        </w:rPr>
        <w:t> </w:t>
      </w:r>
      <w:r>
        <w:rPr>
          <w:sz w:val="20"/>
        </w:rPr>
        <w:t>de</w:t>
      </w:r>
      <w:r>
        <w:rPr>
          <w:spacing w:val="-9"/>
          <w:sz w:val="20"/>
        </w:rPr>
        <w:t> </w:t>
      </w:r>
      <w:r>
        <w:rPr>
          <w:sz w:val="20"/>
        </w:rPr>
        <w:t>las</w:t>
      </w:r>
      <w:r>
        <w:rPr>
          <w:spacing w:val="-9"/>
          <w:sz w:val="20"/>
        </w:rPr>
        <w:t> </w:t>
      </w:r>
      <w:r>
        <w:rPr>
          <w:sz w:val="20"/>
        </w:rPr>
        <w:t>minorías</w:t>
      </w:r>
      <w:r>
        <w:rPr>
          <w:spacing w:val="-9"/>
          <w:sz w:val="20"/>
        </w:rPr>
        <w:t> </w:t>
      </w:r>
      <w:r>
        <w:rPr>
          <w:sz w:val="20"/>
        </w:rPr>
        <w:t>y</w:t>
      </w:r>
      <w:r>
        <w:rPr>
          <w:spacing w:val="-6"/>
          <w:sz w:val="20"/>
        </w:rPr>
        <w:t> </w:t>
      </w:r>
      <w:r>
        <w:rPr>
          <w:sz w:val="20"/>
        </w:rPr>
        <w:t>de</w:t>
      </w:r>
      <w:r>
        <w:rPr>
          <w:spacing w:val="-9"/>
          <w:sz w:val="20"/>
        </w:rPr>
        <w:t> </w:t>
      </w:r>
      <w:r>
        <w:rPr>
          <w:sz w:val="20"/>
        </w:rPr>
        <w:t>los</w:t>
      </w:r>
      <w:r>
        <w:rPr>
          <w:spacing w:val="-6"/>
          <w:sz w:val="20"/>
        </w:rPr>
        <w:t> </w:t>
      </w:r>
      <w:r>
        <w:rPr>
          <w:sz w:val="20"/>
        </w:rPr>
        <w:t>pueblos</w:t>
      </w:r>
      <w:r>
        <w:rPr>
          <w:spacing w:val="-9"/>
          <w:sz w:val="20"/>
        </w:rPr>
        <w:t> </w:t>
      </w:r>
      <w:r>
        <w:rPr>
          <w:sz w:val="20"/>
        </w:rPr>
        <w:t>indígenas”. Sobre este último elemento, el Comité DESC “recalc[ó…] la necesidad de tener en cuenta, en toda la medida de lo posible, los valores culturales asociados, entre otras cosas, con los alimentos y su consumo [y] la utilización del</w:t>
      </w:r>
      <w:r>
        <w:rPr>
          <w:spacing w:val="-17"/>
          <w:sz w:val="20"/>
        </w:rPr>
        <w:t> </w:t>
      </w:r>
      <w:r>
        <w:rPr>
          <w:sz w:val="20"/>
        </w:rPr>
        <w:t>agua”</w:t>
      </w:r>
      <w:r>
        <w:rPr>
          <w:position w:val="7"/>
          <w:sz w:val="13"/>
        </w:rPr>
        <w:t>239</w:t>
      </w:r>
      <w:r>
        <w:rPr>
          <w:sz w:val="20"/>
        </w:rPr>
        <w:t>.</w:t>
      </w:r>
    </w:p>
    <w:p>
      <w:pPr>
        <w:pStyle w:val="BodyText"/>
        <w:spacing w:before="11"/>
        <w:rPr>
          <w:sz w:val="19"/>
        </w:rPr>
      </w:pPr>
    </w:p>
    <w:p>
      <w:pPr>
        <w:pStyle w:val="ListParagraph"/>
        <w:numPr>
          <w:ilvl w:val="0"/>
          <w:numId w:val="31"/>
        </w:numPr>
        <w:tabs>
          <w:tab w:pos="830" w:val="left" w:leader="none"/>
        </w:tabs>
        <w:spacing w:line="240" w:lineRule="auto" w:before="0" w:after="0"/>
        <w:ind w:left="122" w:right="124" w:firstLine="0"/>
        <w:jc w:val="both"/>
        <w:rPr>
          <w:sz w:val="20"/>
        </w:rPr>
      </w:pPr>
      <w:r>
        <w:rPr>
          <w:sz w:val="20"/>
        </w:rPr>
        <w:t>El</w:t>
      </w:r>
      <w:r>
        <w:rPr>
          <w:spacing w:val="-6"/>
          <w:sz w:val="20"/>
        </w:rPr>
        <w:t> </w:t>
      </w:r>
      <w:r>
        <w:rPr>
          <w:sz w:val="20"/>
        </w:rPr>
        <w:t>Comité</w:t>
      </w:r>
      <w:r>
        <w:rPr>
          <w:spacing w:val="-8"/>
          <w:sz w:val="20"/>
        </w:rPr>
        <w:t> </w:t>
      </w:r>
      <w:r>
        <w:rPr>
          <w:sz w:val="20"/>
        </w:rPr>
        <w:t>DESC,</w:t>
      </w:r>
      <w:r>
        <w:rPr>
          <w:spacing w:val="-5"/>
          <w:sz w:val="20"/>
        </w:rPr>
        <w:t> </w:t>
      </w:r>
      <w:r>
        <w:rPr>
          <w:sz w:val="20"/>
        </w:rPr>
        <w:t>entre</w:t>
      </w:r>
      <w:r>
        <w:rPr>
          <w:spacing w:val="-8"/>
          <w:sz w:val="20"/>
        </w:rPr>
        <w:t> </w:t>
      </w:r>
      <w:r>
        <w:rPr>
          <w:sz w:val="20"/>
        </w:rPr>
        <w:t>las</w:t>
      </w:r>
      <w:r>
        <w:rPr>
          <w:spacing w:val="-7"/>
          <w:sz w:val="20"/>
        </w:rPr>
        <w:t> </w:t>
      </w:r>
      <w:r>
        <w:rPr>
          <w:sz w:val="20"/>
        </w:rPr>
        <w:t>obligaciones</w:t>
      </w:r>
      <w:r>
        <w:rPr>
          <w:spacing w:val="-5"/>
          <w:sz w:val="20"/>
        </w:rPr>
        <w:t> </w:t>
      </w:r>
      <w:r>
        <w:rPr>
          <w:sz w:val="20"/>
        </w:rPr>
        <w:t>estatales</w:t>
      </w:r>
      <w:r>
        <w:rPr>
          <w:spacing w:val="-7"/>
          <w:sz w:val="20"/>
        </w:rPr>
        <w:t> </w:t>
      </w:r>
      <w:r>
        <w:rPr>
          <w:sz w:val="20"/>
        </w:rPr>
        <w:t>referidas</w:t>
      </w:r>
      <w:r>
        <w:rPr>
          <w:spacing w:val="-7"/>
          <w:sz w:val="20"/>
        </w:rPr>
        <w:t> </w:t>
      </w:r>
      <w:r>
        <w:rPr>
          <w:sz w:val="20"/>
        </w:rPr>
        <w:t>al</w:t>
      </w:r>
      <w:r>
        <w:rPr>
          <w:spacing w:val="-6"/>
          <w:sz w:val="20"/>
        </w:rPr>
        <w:t> </w:t>
      </w:r>
      <w:r>
        <w:rPr>
          <w:sz w:val="20"/>
        </w:rPr>
        <w:t>derecho</w:t>
      </w:r>
      <w:r>
        <w:rPr>
          <w:spacing w:val="-7"/>
          <w:sz w:val="20"/>
        </w:rPr>
        <w:t> </w:t>
      </w:r>
      <w:r>
        <w:rPr>
          <w:sz w:val="20"/>
        </w:rPr>
        <w:t>a</w:t>
      </w:r>
      <w:r>
        <w:rPr>
          <w:spacing w:val="-4"/>
          <w:sz w:val="20"/>
        </w:rPr>
        <w:t> </w:t>
      </w:r>
      <w:r>
        <w:rPr>
          <w:sz w:val="20"/>
        </w:rPr>
        <w:t>participar en la vida cultural, señaló la de “cumplir”, que “requiere [la] adop[ción de] las medidas adecuadas legislativas, administrativas, judiciales, presupuestarias, de promoción y de otra</w:t>
      </w:r>
      <w:r>
        <w:rPr>
          <w:spacing w:val="-12"/>
          <w:sz w:val="20"/>
        </w:rPr>
        <w:t> </w:t>
      </w:r>
      <w:r>
        <w:rPr>
          <w:sz w:val="20"/>
        </w:rPr>
        <w:t>índole,</w:t>
      </w:r>
      <w:r>
        <w:rPr>
          <w:spacing w:val="-11"/>
          <w:sz w:val="20"/>
        </w:rPr>
        <w:t> </w:t>
      </w:r>
      <w:r>
        <w:rPr>
          <w:sz w:val="20"/>
        </w:rPr>
        <w:t>destinadas</w:t>
      </w:r>
      <w:r>
        <w:rPr>
          <w:spacing w:val="-11"/>
          <w:sz w:val="20"/>
        </w:rPr>
        <w:t> </w:t>
      </w:r>
      <w:r>
        <w:rPr>
          <w:sz w:val="20"/>
        </w:rPr>
        <w:t>a</w:t>
      </w:r>
      <w:r>
        <w:rPr>
          <w:spacing w:val="-12"/>
          <w:sz w:val="20"/>
        </w:rPr>
        <w:t> </w:t>
      </w:r>
      <w:r>
        <w:rPr>
          <w:sz w:val="20"/>
        </w:rPr>
        <w:t>la</w:t>
      </w:r>
      <w:r>
        <w:rPr>
          <w:spacing w:val="-12"/>
          <w:sz w:val="20"/>
        </w:rPr>
        <w:t> </w:t>
      </w:r>
      <w:r>
        <w:rPr>
          <w:sz w:val="20"/>
        </w:rPr>
        <w:t>plena</w:t>
      </w:r>
      <w:r>
        <w:rPr>
          <w:spacing w:val="-10"/>
          <w:sz w:val="20"/>
        </w:rPr>
        <w:t> </w:t>
      </w:r>
      <w:r>
        <w:rPr>
          <w:sz w:val="20"/>
        </w:rPr>
        <w:t>realización</w:t>
      </w:r>
      <w:r>
        <w:rPr>
          <w:spacing w:val="-12"/>
          <w:sz w:val="20"/>
        </w:rPr>
        <w:t> </w:t>
      </w:r>
      <w:r>
        <w:rPr>
          <w:sz w:val="20"/>
        </w:rPr>
        <w:t>del</w:t>
      </w:r>
      <w:r>
        <w:rPr>
          <w:spacing w:val="-10"/>
          <w:sz w:val="20"/>
        </w:rPr>
        <w:t> </w:t>
      </w:r>
      <w:r>
        <w:rPr>
          <w:sz w:val="20"/>
        </w:rPr>
        <w:t>derecho”,</w:t>
      </w:r>
      <w:r>
        <w:rPr>
          <w:spacing w:val="-13"/>
          <w:sz w:val="20"/>
        </w:rPr>
        <w:t> </w:t>
      </w:r>
      <w:r>
        <w:rPr>
          <w:sz w:val="20"/>
        </w:rPr>
        <w:t>y</w:t>
      </w:r>
      <w:r>
        <w:rPr>
          <w:spacing w:val="-11"/>
          <w:sz w:val="20"/>
        </w:rPr>
        <w:t> </w:t>
      </w:r>
      <w:r>
        <w:rPr>
          <w:sz w:val="20"/>
        </w:rPr>
        <w:t>la</w:t>
      </w:r>
      <w:r>
        <w:rPr>
          <w:spacing w:val="-12"/>
          <w:sz w:val="20"/>
        </w:rPr>
        <w:t> </w:t>
      </w:r>
      <w:r>
        <w:rPr>
          <w:sz w:val="20"/>
        </w:rPr>
        <w:t>de</w:t>
      </w:r>
      <w:r>
        <w:rPr>
          <w:spacing w:val="-14"/>
          <w:sz w:val="20"/>
        </w:rPr>
        <w:t> </w:t>
      </w:r>
      <w:r>
        <w:rPr>
          <w:sz w:val="20"/>
        </w:rPr>
        <w:t>“proteger”,</w:t>
      </w:r>
      <w:r>
        <w:rPr>
          <w:spacing w:val="-13"/>
          <w:sz w:val="20"/>
        </w:rPr>
        <w:t> </w:t>
      </w:r>
      <w:r>
        <w:rPr>
          <w:sz w:val="20"/>
        </w:rPr>
        <w:t>que</w:t>
      </w:r>
      <w:r>
        <w:rPr>
          <w:spacing w:val="-12"/>
          <w:sz w:val="20"/>
        </w:rPr>
        <w:t> </w:t>
      </w:r>
      <w:r>
        <w:rPr>
          <w:sz w:val="20"/>
        </w:rPr>
        <w:t>“exige que los Estados […] adopten medidas para impedir que otros actores interfieran con el derecho a participar en la vida cultural”. El Comité DESC explicó que los Estados tienen “obligaciones básicas”, entre las que mencionó “proteger el derecho de toda persona a ejercer sus propias prácticas culturales”. Señaló, asimismo, que el derecho se viola cuando un Estado “no toma las medidas necesarias para cumplir las obligaciones [respectivas]”</w:t>
      </w:r>
      <w:r>
        <w:rPr>
          <w:position w:val="7"/>
          <w:sz w:val="13"/>
        </w:rPr>
        <w:t>240</w:t>
      </w:r>
      <w:r>
        <w:rPr>
          <w:sz w:val="20"/>
        </w:rPr>
        <w:t>.</w:t>
      </w:r>
    </w:p>
    <w:p>
      <w:pPr>
        <w:pStyle w:val="BodyText"/>
        <w:spacing w:before="10"/>
        <w:rPr>
          <w:sz w:val="19"/>
        </w:rPr>
      </w:pPr>
    </w:p>
    <w:p>
      <w:pPr>
        <w:pStyle w:val="ListParagraph"/>
        <w:numPr>
          <w:ilvl w:val="2"/>
          <w:numId w:val="32"/>
        </w:numPr>
        <w:tabs>
          <w:tab w:pos="1692" w:val="left" w:leader="none"/>
        </w:tabs>
        <w:spacing w:line="240" w:lineRule="auto" w:before="0" w:after="0"/>
        <w:ind w:left="974" w:right="125" w:firstLine="0"/>
        <w:jc w:val="both"/>
        <w:rPr>
          <w:i/>
          <w:sz w:val="20"/>
        </w:rPr>
      </w:pPr>
      <w:bookmarkStart w:name="_bookmark67" w:id="115"/>
      <w:bookmarkEnd w:id="115"/>
      <w:r>
        <w:rPr/>
      </w:r>
      <w:bookmarkStart w:name="_bookmark67" w:id="116"/>
      <w:bookmarkEnd w:id="116"/>
      <w:r>
        <w:rPr>
          <w:i/>
          <w:sz w:val="20"/>
          <w:u w:val="single"/>
        </w:rPr>
        <w:t>I</w:t>
      </w:r>
      <w:r>
        <w:rPr>
          <w:i/>
          <w:sz w:val="20"/>
          <w:u w:val="single"/>
        </w:rPr>
        <w:t>nterdependencia entre los derechos a un ambiente sano, a la </w:t>
      </w:r>
      <w:r>
        <w:rPr>
          <w:i/>
          <w:sz w:val="20"/>
          <w:u w:val="single"/>
        </w:rPr>
        <w:t>alimentación adecuada, al agua y a la identidad cultural y especificidades en relación con pueblos</w:t>
      </w:r>
      <w:r>
        <w:rPr>
          <w:i/>
          <w:spacing w:val="-14"/>
          <w:sz w:val="20"/>
          <w:u w:val="single"/>
        </w:rPr>
        <w:t> </w:t>
      </w:r>
      <w:r>
        <w:rPr>
          <w:i/>
          <w:sz w:val="20"/>
          <w:u w:val="single"/>
        </w:rPr>
        <w:t>indígenas</w:t>
      </w:r>
    </w:p>
    <w:p>
      <w:pPr>
        <w:pStyle w:val="BodyText"/>
        <w:spacing w:before="8"/>
        <w:rPr>
          <w:i/>
          <w:sz w:val="11"/>
        </w:rPr>
      </w:pPr>
    </w:p>
    <w:p>
      <w:pPr>
        <w:pStyle w:val="ListParagraph"/>
        <w:numPr>
          <w:ilvl w:val="0"/>
          <w:numId w:val="31"/>
        </w:numPr>
        <w:tabs>
          <w:tab w:pos="830" w:val="left" w:leader="none"/>
        </w:tabs>
        <w:spacing w:line="240" w:lineRule="auto" w:before="100" w:after="0"/>
        <w:ind w:left="122" w:right="125" w:firstLine="0"/>
        <w:jc w:val="both"/>
        <w:rPr>
          <w:sz w:val="20"/>
        </w:rPr>
      </w:pPr>
      <w:r>
        <w:rPr>
          <w:sz w:val="20"/>
        </w:rPr>
        <w:t>Los derechos antes referidos presentan una estrecha vinculación, de modo que algunos aspectos que hacen a la observancia de uno de ellos pueden estar imbricados con la satisfacción de los</w:t>
      </w:r>
      <w:r>
        <w:rPr>
          <w:spacing w:val="-14"/>
          <w:sz w:val="20"/>
        </w:rPr>
        <w:t> </w:t>
      </w:r>
      <w:r>
        <w:rPr>
          <w:sz w:val="20"/>
        </w:rPr>
        <w:t>otros.</w:t>
      </w:r>
    </w:p>
    <w:p>
      <w:pPr>
        <w:pStyle w:val="BodyText"/>
        <w:spacing w:before="11"/>
        <w:rPr>
          <w:sz w:val="19"/>
        </w:rPr>
      </w:pPr>
    </w:p>
    <w:p>
      <w:pPr>
        <w:pStyle w:val="ListParagraph"/>
        <w:numPr>
          <w:ilvl w:val="0"/>
          <w:numId w:val="31"/>
        </w:numPr>
        <w:tabs>
          <w:tab w:pos="830" w:val="left" w:leader="none"/>
        </w:tabs>
        <w:spacing w:line="240" w:lineRule="auto" w:before="0" w:after="0"/>
        <w:ind w:left="122" w:right="122" w:firstLine="0"/>
        <w:jc w:val="both"/>
        <w:rPr>
          <w:sz w:val="20"/>
        </w:rPr>
      </w:pPr>
      <w:r>
        <w:rPr>
          <w:sz w:val="20"/>
        </w:rPr>
        <w:t>Esta</w:t>
      </w:r>
      <w:r>
        <w:rPr>
          <w:spacing w:val="-21"/>
          <w:sz w:val="20"/>
        </w:rPr>
        <w:t> </w:t>
      </w:r>
      <w:r>
        <w:rPr>
          <w:sz w:val="20"/>
        </w:rPr>
        <w:t>Corte</w:t>
      </w:r>
      <w:r>
        <w:rPr>
          <w:spacing w:val="-19"/>
          <w:sz w:val="20"/>
        </w:rPr>
        <w:t> </w:t>
      </w:r>
      <w:r>
        <w:rPr>
          <w:sz w:val="20"/>
        </w:rPr>
        <w:t>haciendo</w:t>
      </w:r>
      <w:r>
        <w:rPr>
          <w:spacing w:val="-20"/>
          <w:sz w:val="20"/>
        </w:rPr>
        <w:t> </w:t>
      </w:r>
      <w:r>
        <w:rPr>
          <w:sz w:val="20"/>
        </w:rPr>
        <w:t>referencia</w:t>
      </w:r>
      <w:r>
        <w:rPr>
          <w:spacing w:val="-18"/>
          <w:sz w:val="20"/>
        </w:rPr>
        <w:t> </w:t>
      </w:r>
      <w:r>
        <w:rPr>
          <w:sz w:val="20"/>
        </w:rPr>
        <w:t>a</w:t>
      </w:r>
      <w:r>
        <w:rPr>
          <w:spacing w:val="-21"/>
          <w:sz w:val="20"/>
        </w:rPr>
        <w:t> </w:t>
      </w:r>
      <w:r>
        <w:rPr>
          <w:sz w:val="20"/>
        </w:rPr>
        <w:t>diversos</w:t>
      </w:r>
      <w:r>
        <w:rPr>
          <w:spacing w:val="-19"/>
          <w:sz w:val="20"/>
        </w:rPr>
        <w:t> </w:t>
      </w:r>
      <w:r>
        <w:rPr>
          <w:sz w:val="20"/>
        </w:rPr>
        <w:t>pronunciamientos</w:t>
      </w:r>
      <w:r>
        <w:rPr>
          <w:spacing w:val="-17"/>
          <w:sz w:val="20"/>
        </w:rPr>
        <w:t> </w:t>
      </w:r>
      <w:r>
        <w:rPr>
          <w:sz w:val="20"/>
        </w:rPr>
        <w:t>emitidos</w:t>
      </w:r>
      <w:r>
        <w:rPr>
          <w:spacing w:val="-19"/>
          <w:sz w:val="20"/>
        </w:rPr>
        <w:t> </w:t>
      </w:r>
      <w:r>
        <w:rPr>
          <w:sz w:val="20"/>
        </w:rPr>
        <w:t>en</w:t>
      </w:r>
      <w:r>
        <w:rPr>
          <w:spacing w:val="-15"/>
          <w:sz w:val="20"/>
        </w:rPr>
        <w:t> </w:t>
      </w:r>
      <w:r>
        <w:rPr>
          <w:sz w:val="20"/>
        </w:rPr>
        <w:t>el</w:t>
      </w:r>
      <w:r>
        <w:rPr>
          <w:spacing w:val="-21"/>
          <w:sz w:val="20"/>
        </w:rPr>
        <w:t> </w:t>
      </w:r>
      <w:r>
        <w:rPr>
          <w:sz w:val="20"/>
        </w:rPr>
        <w:t>ámbito de organismos internacionales</w:t>
      </w:r>
      <w:r>
        <w:rPr>
          <w:position w:val="7"/>
          <w:sz w:val="13"/>
        </w:rPr>
        <w:t>241</w:t>
      </w:r>
      <w:r>
        <w:rPr>
          <w:sz w:val="20"/>
        </w:rPr>
        <w:t>, ha destacado la “estrecha” relación o “interdependencia” entre el ambiente y los derechos humanos. Lo dicho, por cuanto éstos pueden ser afectados por la degradación ambiental y, a su vez, dado </w:t>
      </w:r>
      <w:r>
        <w:rPr>
          <w:spacing w:val="2"/>
          <w:sz w:val="20"/>
        </w:rPr>
        <w:t>que, </w:t>
      </w:r>
      <w:r>
        <w:rPr>
          <w:sz w:val="20"/>
        </w:rPr>
        <w:t>como se ha indicado en el ámbito de la Organización de las Naciones Unidas, “la protección eficaz del […] ambiente depende con frecuencia del ejercicio de derechos</w:t>
      </w:r>
      <w:r>
        <w:rPr>
          <w:spacing w:val="-25"/>
          <w:sz w:val="20"/>
        </w:rPr>
        <w:t> </w:t>
      </w:r>
      <w:r>
        <w:rPr>
          <w:sz w:val="20"/>
        </w:rPr>
        <w:t>humanos”</w:t>
      </w:r>
      <w:r>
        <w:rPr>
          <w:position w:val="7"/>
          <w:sz w:val="13"/>
        </w:rPr>
        <w:t>242</w:t>
      </w:r>
      <w:r>
        <w:rPr>
          <w:sz w:val="20"/>
        </w:rPr>
        <w:t>.</w:t>
      </w:r>
    </w:p>
    <w:p>
      <w:pPr>
        <w:pStyle w:val="BodyText"/>
        <w:spacing w:before="4"/>
        <w:rPr>
          <w:sz w:val="21"/>
        </w:rPr>
      </w:pPr>
      <w:r>
        <w:rPr/>
        <w:pict>
          <v:line style="position:absolute;mso-position-horizontal-relative:page;mso-position-vertical-relative:paragraph;z-index:2944;mso-wrap-distance-left:0;mso-wrap-distance-right:0" from="85.103996pt,15.288776pt" to="229.123996pt,15.288776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239</w:t>
        <w:tab/>
      </w:r>
      <w:r>
        <w:rPr>
          <w:sz w:val="16"/>
        </w:rPr>
        <w:t>Comité DESC. </w:t>
      </w:r>
      <w:r>
        <w:rPr>
          <w:i/>
          <w:sz w:val="16"/>
        </w:rPr>
        <w:t>Observación General 21.  Derecho de  toda persona  a participar  en la  </w:t>
      </w:r>
      <w:r>
        <w:rPr>
          <w:i/>
          <w:spacing w:val="11"/>
          <w:sz w:val="16"/>
        </w:rPr>
        <w:t> </w:t>
      </w:r>
      <w:r>
        <w:rPr>
          <w:i/>
          <w:sz w:val="16"/>
        </w:rPr>
        <w:t>vida</w:t>
      </w:r>
      <w:r>
        <w:rPr>
          <w:i/>
          <w:spacing w:val="32"/>
          <w:sz w:val="16"/>
        </w:rPr>
        <w:t> </w:t>
      </w:r>
      <w:r>
        <w:rPr>
          <w:i/>
          <w:sz w:val="16"/>
        </w:rPr>
        <w:t>cultural</w:t>
      </w:r>
      <w:r>
        <w:rPr>
          <w:i/>
          <w:w w:val="100"/>
          <w:sz w:val="16"/>
        </w:rPr>
        <w:t> </w:t>
      </w:r>
      <w:r>
        <w:rPr>
          <w:i/>
          <w:sz w:val="16"/>
        </w:rPr>
        <w:t>(artículo 15, párrafo 1 a), del Pacto Internacional de Derechos Económicos, Sociales y Culturales)</w:t>
      </w:r>
      <w:r>
        <w:rPr>
          <w:sz w:val="16"/>
        </w:rPr>
        <w:t>, párr.</w:t>
      </w:r>
      <w:r>
        <w:rPr>
          <w:spacing w:val="-31"/>
          <w:sz w:val="16"/>
        </w:rPr>
        <w:t> </w:t>
      </w:r>
      <w:r>
        <w:rPr>
          <w:sz w:val="16"/>
        </w:rPr>
        <w:t>16.</w:t>
      </w:r>
    </w:p>
    <w:p>
      <w:pPr>
        <w:pStyle w:val="BodyText"/>
        <w:spacing w:before="11"/>
        <w:rPr>
          <w:sz w:val="15"/>
        </w:rPr>
      </w:pPr>
    </w:p>
    <w:p>
      <w:pPr>
        <w:tabs>
          <w:tab w:pos="829" w:val="left" w:leader="none"/>
        </w:tabs>
        <w:spacing w:before="0"/>
        <w:ind w:left="122" w:right="112" w:firstLine="0"/>
        <w:jc w:val="both"/>
        <w:rPr>
          <w:sz w:val="16"/>
        </w:rPr>
      </w:pPr>
      <w:r>
        <w:rPr>
          <w:position w:val="6"/>
          <w:sz w:val="10"/>
        </w:rPr>
        <w:t>240</w:t>
        <w:tab/>
      </w:r>
      <w:r>
        <w:rPr>
          <w:sz w:val="16"/>
        </w:rPr>
        <w:t>Comité DESC. </w:t>
      </w:r>
      <w:r>
        <w:rPr>
          <w:i/>
          <w:sz w:val="16"/>
        </w:rPr>
        <w:t>Observación General 21.  Derecho de  toda persona  a participar  en la  </w:t>
      </w:r>
      <w:r>
        <w:rPr>
          <w:i/>
          <w:spacing w:val="11"/>
          <w:sz w:val="16"/>
        </w:rPr>
        <w:t> </w:t>
      </w:r>
      <w:r>
        <w:rPr>
          <w:i/>
          <w:sz w:val="16"/>
        </w:rPr>
        <w:t>vida</w:t>
      </w:r>
      <w:r>
        <w:rPr>
          <w:i/>
          <w:spacing w:val="28"/>
          <w:sz w:val="16"/>
        </w:rPr>
        <w:t> </w:t>
      </w:r>
      <w:r>
        <w:rPr>
          <w:i/>
          <w:sz w:val="16"/>
        </w:rPr>
        <w:t>cultural</w:t>
      </w:r>
      <w:r>
        <w:rPr>
          <w:i/>
          <w:w w:val="100"/>
          <w:sz w:val="16"/>
        </w:rPr>
        <w:t> </w:t>
      </w:r>
      <w:r>
        <w:rPr>
          <w:i/>
          <w:sz w:val="16"/>
        </w:rPr>
        <w:t>(artículo 15, párrafo 1 a), del Pacto Internacional de Derechos Económicos, Sociales y Culturales)</w:t>
      </w:r>
      <w:r>
        <w:rPr>
          <w:sz w:val="16"/>
        </w:rPr>
        <w:t>, párrs.48, 55 y</w:t>
      </w:r>
      <w:r>
        <w:rPr>
          <w:spacing w:val="-2"/>
          <w:sz w:val="16"/>
        </w:rPr>
        <w:t> </w:t>
      </w:r>
      <w:r>
        <w:rPr>
          <w:sz w:val="16"/>
        </w:rPr>
        <w:t>63.</w:t>
      </w:r>
    </w:p>
    <w:p>
      <w:pPr>
        <w:pStyle w:val="BodyText"/>
        <w:spacing w:before="11"/>
        <w:rPr>
          <w:sz w:val="15"/>
        </w:rPr>
      </w:pPr>
    </w:p>
    <w:p>
      <w:pPr>
        <w:tabs>
          <w:tab w:pos="829" w:val="left" w:leader="none"/>
        </w:tabs>
        <w:spacing w:before="0"/>
        <w:ind w:left="122" w:right="114" w:firstLine="0"/>
        <w:jc w:val="both"/>
        <w:rPr>
          <w:sz w:val="16"/>
        </w:rPr>
      </w:pPr>
      <w:r>
        <w:rPr>
          <w:position w:val="6"/>
          <w:sz w:val="10"/>
        </w:rPr>
        <w:t>241</w:t>
        <w:tab/>
      </w:r>
      <w:r>
        <w:rPr>
          <w:sz w:val="16"/>
        </w:rPr>
        <w:t>Entre</w:t>
      </w:r>
      <w:r>
        <w:rPr>
          <w:spacing w:val="-8"/>
          <w:sz w:val="16"/>
        </w:rPr>
        <w:t> </w:t>
      </w:r>
      <w:r>
        <w:rPr>
          <w:sz w:val="16"/>
        </w:rPr>
        <w:t>ellos,</w:t>
      </w:r>
      <w:r>
        <w:rPr>
          <w:spacing w:val="-11"/>
          <w:sz w:val="16"/>
        </w:rPr>
        <w:t> </w:t>
      </w:r>
      <w:r>
        <w:rPr>
          <w:sz w:val="16"/>
        </w:rPr>
        <w:t>la</w:t>
      </w:r>
      <w:r>
        <w:rPr>
          <w:spacing w:val="-11"/>
          <w:sz w:val="16"/>
        </w:rPr>
        <w:t> </w:t>
      </w:r>
      <w:r>
        <w:rPr>
          <w:sz w:val="16"/>
        </w:rPr>
        <w:t>Corte</w:t>
      </w:r>
      <w:r>
        <w:rPr>
          <w:spacing w:val="-11"/>
          <w:sz w:val="16"/>
        </w:rPr>
        <w:t> </w:t>
      </w:r>
      <w:r>
        <w:rPr>
          <w:sz w:val="16"/>
        </w:rPr>
        <w:t>citó</w:t>
      </w:r>
      <w:r>
        <w:rPr>
          <w:spacing w:val="-10"/>
          <w:sz w:val="16"/>
        </w:rPr>
        <w:t> </w:t>
      </w:r>
      <w:r>
        <w:rPr>
          <w:sz w:val="16"/>
        </w:rPr>
        <w:t>documentos</w:t>
      </w:r>
      <w:r>
        <w:rPr>
          <w:spacing w:val="-11"/>
          <w:sz w:val="16"/>
        </w:rPr>
        <w:t> </w:t>
      </w:r>
      <w:r>
        <w:rPr>
          <w:sz w:val="16"/>
        </w:rPr>
        <w:t>emitidos</w:t>
      </w:r>
      <w:r>
        <w:rPr>
          <w:spacing w:val="-13"/>
          <w:sz w:val="16"/>
        </w:rPr>
        <w:t> </w:t>
      </w:r>
      <w:r>
        <w:rPr>
          <w:sz w:val="16"/>
        </w:rPr>
        <w:t>por</w:t>
      </w:r>
      <w:r>
        <w:rPr>
          <w:spacing w:val="-8"/>
          <w:sz w:val="16"/>
        </w:rPr>
        <w:t> </w:t>
      </w:r>
      <w:r>
        <w:rPr>
          <w:sz w:val="16"/>
        </w:rPr>
        <w:t>la</w:t>
      </w:r>
      <w:r>
        <w:rPr>
          <w:spacing w:val="-11"/>
          <w:sz w:val="16"/>
        </w:rPr>
        <w:t> </w:t>
      </w:r>
      <w:r>
        <w:rPr>
          <w:sz w:val="16"/>
        </w:rPr>
        <w:t>Comisión</w:t>
      </w:r>
      <w:r>
        <w:rPr>
          <w:spacing w:val="-9"/>
          <w:sz w:val="16"/>
        </w:rPr>
        <w:t> </w:t>
      </w:r>
      <w:r>
        <w:rPr>
          <w:sz w:val="16"/>
        </w:rPr>
        <w:t>Interamericana</w:t>
      </w:r>
      <w:r>
        <w:rPr>
          <w:spacing w:val="-11"/>
          <w:sz w:val="16"/>
        </w:rPr>
        <w:t> </w:t>
      </w:r>
      <w:r>
        <w:rPr>
          <w:sz w:val="16"/>
        </w:rPr>
        <w:t>de</w:t>
      </w:r>
      <w:r>
        <w:rPr>
          <w:spacing w:val="-10"/>
          <w:sz w:val="16"/>
        </w:rPr>
        <w:t> </w:t>
      </w:r>
      <w:r>
        <w:rPr>
          <w:sz w:val="16"/>
        </w:rPr>
        <w:t>Derechos</w:t>
      </w:r>
      <w:r>
        <w:rPr>
          <w:spacing w:val="-8"/>
          <w:sz w:val="16"/>
        </w:rPr>
        <w:t> </w:t>
      </w:r>
      <w:r>
        <w:rPr>
          <w:sz w:val="16"/>
        </w:rPr>
        <w:t>Humanos,</w:t>
      </w:r>
      <w:r>
        <w:rPr>
          <w:w w:val="100"/>
          <w:sz w:val="16"/>
        </w:rPr>
        <w:t> </w:t>
      </w:r>
      <w:r>
        <w:rPr>
          <w:sz w:val="16"/>
        </w:rPr>
        <w:t>la</w:t>
      </w:r>
      <w:r>
        <w:rPr>
          <w:spacing w:val="-2"/>
          <w:sz w:val="16"/>
        </w:rPr>
        <w:t> </w:t>
      </w:r>
      <w:r>
        <w:rPr>
          <w:sz w:val="16"/>
        </w:rPr>
        <w:t>Asamblea</w:t>
      </w:r>
      <w:r>
        <w:rPr>
          <w:spacing w:val="-4"/>
          <w:sz w:val="16"/>
        </w:rPr>
        <w:t> </w:t>
      </w:r>
      <w:r>
        <w:rPr>
          <w:sz w:val="16"/>
        </w:rPr>
        <w:t>General</w:t>
      </w:r>
      <w:r>
        <w:rPr>
          <w:spacing w:val="-5"/>
          <w:sz w:val="16"/>
        </w:rPr>
        <w:t> </w:t>
      </w:r>
      <w:r>
        <w:rPr>
          <w:sz w:val="16"/>
        </w:rPr>
        <w:t>de</w:t>
      </w:r>
      <w:r>
        <w:rPr>
          <w:spacing w:val="-4"/>
          <w:sz w:val="16"/>
        </w:rPr>
        <w:t> </w:t>
      </w:r>
      <w:r>
        <w:rPr>
          <w:sz w:val="16"/>
        </w:rPr>
        <w:t>la</w:t>
      </w:r>
      <w:r>
        <w:rPr>
          <w:spacing w:val="-4"/>
          <w:sz w:val="16"/>
        </w:rPr>
        <w:t> </w:t>
      </w:r>
      <w:r>
        <w:rPr>
          <w:sz w:val="16"/>
        </w:rPr>
        <w:t>OEA,</w:t>
      </w:r>
      <w:r>
        <w:rPr>
          <w:spacing w:val="-2"/>
          <w:sz w:val="16"/>
        </w:rPr>
        <w:t> </w:t>
      </w:r>
      <w:r>
        <w:rPr>
          <w:sz w:val="16"/>
        </w:rPr>
        <w:t>el</w:t>
      </w:r>
      <w:r>
        <w:rPr>
          <w:spacing w:val="-4"/>
          <w:sz w:val="16"/>
        </w:rPr>
        <w:t> </w:t>
      </w:r>
      <w:r>
        <w:rPr>
          <w:sz w:val="16"/>
        </w:rPr>
        <w:t>Tribunal</w:t>
      </w:r>
      <w:r>
        <w:rPr>
          <w:spacing w:val="-2"/>
          <w:sz w:val="16"/>
        </w:rPr>
        <w:t> </w:t>
      </w:r>
      <w:r>
        <w:rPr>
          <w:sz w:val="16"/>
        </w:rPr>
        <w:t>Europeo</w:t>
      </w:r>
      <w:r>
        <w:rPr>
          <w:spacing w:val="-3"/>
          <w:sz w:val="16"/>
        </w:rPr>
        <w:t> </w:t>
      </w:r>
      <w:r>
        <w:rPr>
          <w:sz w:val="16"/>
        </w:rPr>
        <w:t>de</w:t>
      </w:r>
      <w:r>
        <w:rPr>
          <w:spacing w:val="-5"/>
          <w:sz w:val="16"/>
        </w:rPr>
        <w:t> </w:t>
      </w:r>
      <w:r>
        <w:rPr>
          <w:sz w:val="16"/>
        </w:rPr>
        <w:t>Derechos</w:t>
      </w:r>
      <w:r>
        <w:rPr>
          <w:spacing w:val="-4"/>
          <w:sz w:val="16"/>
        </w:rPr>
        <w:t> </w:t>
      </w:r>
      <w:r>
        <w:rPr>
          <w:sz w:val="16"/>
        </w:rPr>
        <w:t>Humanos, la</w:t>
      </w:r>
      <w:r>
        <w:rPr>
          <w:spacing w:val="-4"/>
          <w:sz w:val="16"/>
        </w:rPr>
        <w:t> </w:t>
      </w:r>
      <w:r>
        <w:rPr>
          <w:sz w:val="16"/>
        </w:rPr>
        <w:t>Comisión</w:t>
      </w:r>
      <w:r>
        <w:rPr>
          <w:spacing w:val="-6"/>
          <w:sz w:val="16"/>
        </w:rPr>
        <w:t> </w:t>
      </w:r>
      <w:r>
        <w:rPr>
          <w:sz w:val="16"/>
        </w:rPr>
        <w:t>Africana</w:t>
      </w:r>
      <w:r>
        <w:rPr>
          <w:spacing w:val="-4"/>
          <w:sz w:val="16"/>
        </w:rPr>
        <w:t> </w:t>
      </w:r>
      <w:r>
        <w:rPr>
          <w:sz w:val="16"/>
        </w:rPr>
        <w:t>de</w:t>
      </w:r>
      <w:r>
        <w:rPr>
          <w:spacing w:val="-4"/>
          <w:sz w:val="16"/>
        </w:rPr>
        <w:t> </w:t>
      </w:r>
      <w:r>
        <w:rPr>
          <w:sz w:val="16"/>
        </w:rPr>
        <w:t>Derechos Humanos y el Experto independiente (hoy Relator Especial) sobre la cuestión de las obligaciones de derechos humanos relacionadas con el disfrute de un ambiente sin riesgos, limpio, saludable y sostenible de Naciones Unidas (</w:t>
      </w:r>
      <w:r>
        <w:rPr>
          <w:i/>
          <w:sz w:val="16"/>
        </w:rPr>
        <w:t>cfr</w:t>
      </w:r>
      <w:r>
        <w:rPr>
          <w:sz w:val="16"/>
        </w:rPr>
        <w:t>. </w:t>
      </w:r>
      <w:r>
        <w:rPr>
          <w:i/>
          <w:sz w:val="16"/>
        </w:rPr>
        <w:t>Medio ambiente y derechos humanos (obligaciones estatales en relación con el medio ambiente </w:t>
      </w:r>
      <w:r>
        <w:rPr>
          <w:i/>
          <w:sz w:val="16"/>
        </w:rPr>
        <w:t>en el marco de la protección y garantía de los derechos a la vida y a la integridad personal - interpretación y alcance de los artículos 4.1 y 5.1, en relación con los artículos 1.1 y 2 de la Convención Americana sobre Derechos Humanos). Opinión Consultiva OC-23/17</w:t>
      </w:r>
      <w:r>
        <w:rPr>
          <w:sz w:val="16"/>
        </w:rPr>
        <w:t>, párrs. 49 a</w:t>
      </w:r>
      <w:r>
        <w:rPr>
          <w:spacing w:val="-18"/>
          <w:sz w:val="16"/>
        </w:rPr>
        <w:t> </w:t>
      </w:r>
      <w:r>
        <w:rPr>
          <w:sz w:val="16"/>
        </w:rPr>
        <w:t>51).</w:t>
      </w:r>
    </w:p>
    <w:p>
      <w:pPr>
        <w:pStyle w:val="BodyText"/>
        <w:spacing w:before="11"/>
        <w:rPr>
          <w:sz w:val="15"/>
        </w:rPr>
      </w:pPr>
    </w:p>
    <w:p>
      <w:pPr>
        <w:tabs>
          <w:tab w:pos="829" w:val="left" w:leader="none"/>
        </w:tabs>
        <w:spacing w:line="240" w:lineRule="auto" w:before="0"/>
        <w:ind w:left="122" w:right="116" w:firstLine="0"/>
        <w:jc w:val="both"/>
        <w:rPr>
          <w:i/>
          <w:sz w:val="16"/>
        </w:rPr>
      </w:pPr>
      <w:r>
        <w:rPr>
          <w:position w:val="6"/>
          <w:sz w:val="10"/>
        </w:rPr>
        <w:t>242</w:t>
        <w:tab/>
      </w:r>
      <w:r>
        <w:rPr>
          <w:i/>
          <w:sz w:val="16"/>
        </w:rPr>
        <w:t>Medio</w:t>
      </w:r>
      <w:r>
        <w:rPr>
          <w:i/>
          <w:spacing w:val="-4"/>
          <w:sz w:val="16"/>
        </w:rPr>
        <w:t> </w:t>
      </w:r>
      <w:r>
        <w:rPr>
          <w:i/>
          <w:sz w:val="16"/>
        </w:rPr>
        <w:t>ambiente</w:t>
      </w:r>
      <w:r>
        <w:rPr>
          <w:i/>
          <w:spacing w:val="-7"/>
          <w:sz w:val="16"/>
        </w:rPr>
        <w:t> </w:t>
      </w:r>
      <w:r>
        <w:rPr>
          <w:i/>
          <w:sz w:val="16"/>
        </w:rPr>
        <w:t>y</w:t>
      </w:r>
      <w:r>
        <w:rPr>
          <w:i/>
          <w:spacing w:val="-6"/>
          <w:sz w:val="16"/>
        </w:rPr>
        <w:t> </w:t>
      </w:r>
      <w:r>
        <w:rPr>
          <w:i/>
          <w:sz w:val="16"/>
        </w:rPr>
        <w:t>derechos</w:t>
      </w:r>
      <w:r>
        <w:rPr>
          <w:i/>
          <w:spacing w:val="-4"/>
          <w:sz w:val="16"/>
        </w:rPr>
        <w:t> </w:t>
      </w:r>
      <w:r>
        <w:rPr>
          <w:i/>
          <w:sz w:val="16"/>
        </w:rPr>
        <w:t>humanos</w:t>
      </w:r>
      <w:r>
        <w:rPr>
          <w:i/>
          <w:spacing w:val="-4"/>
          <w:sz w:val="16"/>
        </w:rPr>
        <w:t> </w:t>
      </w:r>
      <w:r>
        <w:rPr>
          <w:i/>
          <w:sz w:val="16"/>
        </w:rPr>
        <w:t>(obligaciones</w:t>
      </w:r>
      <w:r>
        <w:rPr>
          <w:i/>
          <w:spacing w:val="-4"/>
          <w:sz w:val="16"/>
        </w:rPr>
        <w:t> </w:t>
      </w:r>
      <w:r>
        <w:rPr>
          <w:i/>
          <w:sz w:val="16"/>
        </w:rPr>
        <w:t>estatales</w:t>
      </w:r>
      <w:r>
        <w:rPr>
          <w:i/>
          <w:spacing w:val="-4"/>
          <w:sz w:val="16"/>
        </w:rPr>
        <w:t> </w:t>
      </w:r>
      <w:r>
        <w:rPr>
          <w:i/>
          <w:sz w:val="16"/>
        </w:rPr>
        <w:t>en</w:t>
      </w:r>
      <w:r>
        <w:rPr>
          <w:i/>
          <w:spacing w:val="-8"/>
          <w:sz w:val="16"/>
        </w:rPr>
        <w:t> </w:t>
      </w:r>
      <w:r>
        <w:rPr>
          <w:i/>
          <w:sz w:val="16"/>
        </w:rPr>
        <w:t>relación</w:t>
      </w:r>
      <w:r>
        <w:rPr>
          <w:i/>
          <w:spacing w:val="-6"/>
          <w:sz w:val="16"/>
        </w:rPr>
        <w:t> </w:t>
      </w:r>
      <w:r>
        <w:rPr>
          <w:i/>
          <w:sz w:val="16"/>
        </w:rPr>
        <w:t>con</w:t>
      </w:r>
      <w:r>
        <w:rPr>
          <w:i/>
          <w:spacing w:val="-6"/>
          <w:sz w:val="16"/>
        </w:rPr>
        <w:t> </w:t>
      </w:r>
      <w:r>
        <w:rPr>
          <w:i/>
          <w:sz w:val="16"/>
        </w:rPr>
        <w:t>el</w:t>
      </w:r>
      <w:r>
        <w:rPr>
          <w:i/>
          <w:spacing w:val="-8"/>
          <w:sz w:val="16"/>
        </w:rPr>
        <w:t> </w:t>
      </w:r>
      <w:r>
        <w:rPr>
          <w:i/>
          <w:sz w:val="16"/>
        </w:rPr>
        <w:t>medio</w:t>
      </w:r>
      <w:r>
        <w:rPr>
          <w:i/>
          <w:spacing w:val="-4"/>
          <w:sz w:val="16"/>
        </w:rPr>
        <w:t> </w:t>
      </w:r>
      <w:r>
        <w:rPr>
          <w:i/>
          <w:sz w:val="16"/>
        </w:rPr>
        <w:t>ambiente</w:t>
      </w:r>
      <w:r>
        <w:rPr>
          <w:i/>
          <w:spacing w:val="-4"/>
          <w:sz w:val="16"/>
        </w:rPr>
        <w:t> </w:t>
      </w:r>
      <w:r>
        <w:rPr>
          <w:i/>
          <w:sz w:val="16"/>
        </w:rPr>
        <w:t>en</w:t>
      </w:r>
      <w:r>
        <w:rPr>
          <w:i/>
          <w:spacing w:val="-8"/>
          <w:sz w:val="16"/>
        </w:rPr>
        <w:t> </w:t>
      </w:r>
      <w:r>
        <w:rPr>
          <w:i/>
          <w:sz w:val="16"/>
        </w:rPr>
        <w:t>el</w:t>
      </w:r>
      <w:r>
        <w:rPr>
          <w:i/>
          <w:w w:val="100"/>
          <w:sz w:val="16"/>
        </w:rPr>
        <w:t> </w:t>
      </w:r>
      <w:r>
        <w:rPr>
          <w:i/>
          <w:sz w:val="16"/>
        </w:rPr>
        <w:t>marco</w:t>
      </w:r>
      <w:r>
        <w:rPr>
          <w:i/>
          <w:spacing w:val="-9"/>
          <w:sz w:val="16"/>
        </w:rPr>
        <w:t> </w:t>
      </w:r>
      <w:r>
        <w:rPr>
          <w:i/>
          <w:sz w:val="16"/>
        </w:rPr>
        <w:t>de</w:t>
      </w:r>
      <w:r>
        <w:rPr>
          <w:i/>
          <w:spacing w:val="-7"/>
          <w:sz w:val="16"/>
        </w:rPr>
        <w:t> </w:t>
      </w:r>
      <w:r>
        <w:rPr>
          <w:i/>
          <w:sz w:val="16"/>
        </w:rPr>
        <w:t>la</w:t>
      </w:r>
      <w:r>
        <w:rPr>
          <w:i/>
          <w:spacing w:val="-10"/>
          <w:sz w:val="16"/>
        </w:rPr>
        <w:t> </w:t>
      </w:r>
      <w:r>
        <w:rPr>
          <w:i/>
          <w:sz w:val="16"/>
        </w:rPr>
        <w:t>protección</w:t>
      </w:r>
      <w:r>
        <w:rPr>
          <w:i/>
          <w:spacing w:val="-8"/>
          <w:sz w:val="16"/>
        </w:rPr>
        <w:t> </w:t>
      </w:r>
      <w:r>
        <w:rPr>
          <w:i/>
          <w:sz w:val="16"/>
        </w:rPr>
        <w:t>y</w:t>
      </w:r>
      <w:r>
        <w:rPr>
          <w:i/>
          <w:spacing w:val="-9"/>
          <w:sz w:val="16"/>
        </w:rPr>
        <w:t> </w:t>
      </w:r>
      <w:r>
        <w:rPr>
          <w:i/>
          <w:sz w:val="16"/>
        </w:rPr>
        <w:t>garantía</w:t>
      </w:r>
      <w:r>
        <w:rPr>
          <w:i/>
          <w:spacing w:val="-8"/>
          <w:sz w:val="16"/>
        </w:rPr>
        <w:t> </w:t>
      </w:r>
      <w:r>
        <w:rPr>
          <w:i/>
          <w:sz w:val="16"/>
        </w:rPr>
        <w:t>de</w:t>
      </w:r>
      <w:r>
        <w:rPr>
          <w:i/>
          <w:spacing w:val="-7"/>
          <w:sz w:val="16"/>
        </w:rPr>
        <w:t> </w:t>
      </w:r>
      <w:r>
        <w:rPr>
          <w:i/>
          <w:sz w:val="16"/>
        </w:rPr>
        <w:t>los</w:t>
      </w:r>
      <w:r>
        <w:rPr>
          <w:i/>
          <w:spacing w:val="-10"/>
          <w:sz w:val="16"/>
        </w:rPr>
        <w:t> </w:t>
      </w:r>
      <w:r>
        <w:rPr>
          <w:i/>
          <w:sz w:val="16"/>
        </w:rPr>
        <w:t>derechos</w:t>
      </w:r>
      <w:r>
        <w:rPr>
          <w:i/>
          <w:spacing w:val="-10"/>
          <w:sz w:val="16"/>
        </w:rPr>
        <w:t> </w:t>
      </w:r>
      <w:r>
        <w:rPr>
          <w:i/>
          <w:sz w:val="16"/>
        </w:rPr>
        <w:t>a</w:t>
      </w:r>
      <w:r>
        <w:rPr>
          <w:i/>
          <w:spacing w:val="-8"/>
          <w:sz w:val="16"/>
        </w:rPr>
        <w:t> </w:t>
      </w:r>
      <w:r>
        <w:rPr>
          <w:i/>
          <w:sz w:val="16"/>
        </w:rPr>
        <w:t>la</w:t>
      </w:r>
      <w:r>
        <w:rPr>
          <w:i/>
          <w:spacing w:val="-10"/>
          <w:sz w:val="16"/>
        </w:rPr>
        <w:t> </w:t>
      </w:r>
      <w:r>
        <w:rPr>
          <w:i/>
          <w:sz w:val="16"/>
        </w:rPr>
        <w:t>vida</w:t>
      </w:r>
      <w:r>
        <w:rPr>
          <w:i/>
          <w:spacing w:val="-13"/>
          <w:sz w:val="16"/>
        </w:rPr>
        <w:t> </w:t>
      </w:r>
      <w:r>
        <w:rPr>
          <w:i/>
          <w:sz w:val="16"/>
        </w:rPr>
        <w:t>y</w:t>
      </w:r>
      <w:r>
        <w:rPr>
          <w:i/>
          <w:spacing w:val="-7"/>
          <w:sz w:val="16"/>
        </w:rPr>
        <w:t> </w:t>
      </w:r>
      <w:r>
        <w:rPr>
          <w:i/>
          <w:sz w:val="16"/>
        </w:rPr>
        <w:t>a</w:t>
      </w:r>
      <w:r>
        <w:rPr>
          <w:i/>
          <w:spacing w:val="-10"/>
          <w:sz w:val="16"/>
        </w:rPr>
        <w:t> </w:t>
      </w:r>
      <w:r>
        <w:rPr>
          <w:i/>
          <w:sz w:val="16"/>
        </w:rPr>
        <w:t>la</w:t>
      </w:r>
      <w:r>
        <w:rPr>
          <w:i/>
          <w:spacing w:val="-8"/>
          <w:sz w:val="16"/>
        </w:rPr>
        <w:t> </w:t>
      </w:r>
      <w:r>
        <w:rPr>
          <w:i/>
          <w:sz w:val="16"/>
        </w:rPr>
        <w:t>integridad</w:t>
      </w:r>
      <w:r>
        <w:rPr>
          <w:i/>
          <w:spacing w:val="-9"/>
          <w:sz w:val="16"/>
        </w:rPr>
        <w:t> </w:t>
      </w:r>
      <w:r>
        <w:rPr>
          <w:i/>
          <w:sz w:val="16"/>
        </w:rPr>
        <w:t>personal</w:t>
      </w:r>
      <w:r>
        <w:rPr>
          <w:i/>
          <w:spacing w:val="-5"/>
          <w:sz w:val="16"/>
        </w:rPr>
        <w:t> </w:t>
      </w:r>
      <w:r>
        <w:rPr>
          <w:i/>
          <w:sz w:val="16"/>
        </w:rPr>
        <w:t>-</w:t>
      </w:r>
      <w:r>
        <w:rPr>
          <w:i/>
          <w:spacing w:val="-11"/>
          <w:sz w:val="16"/>
        </w:rPr>
        <w:t> </w:t>
      </w:r>
      <w:r>
        <w:rPr>
          <w:i/>
          <w:sz w:val="16"/>
        </w:rPr>
        <w:t>interpretación</w:t>
      </w:r>
      <w:r>
        <w:rPr>
          <w:i/>
          <w:spacing w:val="-11"/>
          <w:sz w:val="16"/>
        </w:rPr>
        <w:t> </w:t>
      </w:r>
      <w:r>
        <w:rPr>
          <w:i/>
          <w:sz w:val="16"/>
        </w:rPr>
        <w:t>y</w:t>
      </w:r>
      <w:r>
        <w:rPr>
          <w:i/>
          <w:spacing w:val="-9"/>
          <w:sz w:val="16"/>
        </w:rPr>
        <w:t> </w:t>
      </w:r>
      <w:r>
        <w:rPr>
          <w:i/>
          <w:sz w:val="16"/>
        </w:rPr>
        <w:t>alcance de los artículos 4.1 y 5.1, en relación con los artículos 1.1 y 2 de la Convención Americana sobre Derechos Humanos).</w:t>
      </w:r>
      <w:r>
        <w:rPr>
          <w:i/>
          <w:spacing w:val="-13"/>
          <w:sz w:val="16"/>
        </w:rPr>
        <w:t> </w:t>
      </w:r>
      <w:r>
        <w:rPr>
          <w:i/>
          <w:sz w:val="16"/>
        </w:rPr>
        <w:t>Opinión</w:t>
      </w:r>
      <w:r>
        <w:rPr>
          <w:i/>
          <w:spacing w:val="-13"/>
          <w:sz w:val="16"/>
        </w:rPr>
        <w:t> </w:t>
      </w:r>
      <w:r>
        <w:rPr>
          <w:i/>
          <w:sz w:val="16"/>
        </w:rPr>
        <w:t>Consultiva</w:t>
      </w:r>
      <w:r>
        <w:rPr>
          <w:i/>
          <w:spacing w:val="-15"/>
          <w:sz w:val="16"/>
        </w:rPr>
        <w:t> </w:t>
      </w:r>
      <w:r>
        <w:rPr>
          <w:i/>
          <w:sz w:val="16"/>
        </w:rPr>
        <w:t>OC-23/17</w:t>
      </w:r>
      <w:r>
        <w:rPr>
          <w:sz w:val="16"/>
        </w:rPr>
        <w:t>,</w:t>
      </w:r>
      <w:r>
        <w:rPr>
          <w:spacing w:val="-15"/>
          <w:sz w:val="16"/>
        </w:rPr>
        <w:t> </w:t>
      </w:r>
      <w:r>
        <w:rPr>
          <w:sz w:val="16"/>
        </w:rPr>
        <w:t>párrs.</w:t>
      </w:r>
      <w:r>
        <w:rPr>
          <w:spacing w:val="-15"/>
          <w:sz w:val="16"/>
        </w:rPr>
        <w:t> </w:t>
      </w:r>
      <w:r>
        <w:rPr>
          <w:sz w:val="16"/>
        </w:rPr>
        <w:t>54</w:t>
      </w:r>
      <w:r>
        <w:rPr>
          <w:spacing w:val="-13"/>
          <w:sz w:val="16"/>
        </w:rPr>
        <w:t> </w:t>
      </w:r>
      <w:r>
        <w:rPr>
          <w:sz w:val="16"/>
        </w:rPr>
        <w:t>y</w:t>
      </w:r>
      <w:r>
        <w:rPr>
          <w:spacing w:val="-14"/>
          <w:sz w:val="16"/>
        </w:rPr>
        <w:t> </w:t>
      </w:r>
      <w:r>
        <w:rPr>
          <w:sz w:val="16"/>
        </w:rPr>
        <w:t>51.</w:t>
      </w:r>
      <w:r>
        <w:rPr>
          <w:spacing w:val="-13"/>
          <w:sz w:val="16"/>
        </w:rPr>
        <w:t> </w:t>
      </w:r>
      <w:r>
        <w:rPr>
          <w:sz w:val="16"/>
        </w:rPr>
        <w:t>La</w:t>
      </w:r>
      <w:r>
        <w:rPr>
          <w:spacing w:val="-15"/>
          <w:sz w:val="16"/>
        </w:rPr>
        <w:t> </w:t>
      </w:r>
      <w:r>
        <w:rPr>
          <w:sz w:val="16"/>
        </w:rPr>
        <w:t>cita</w:t>
      </w:r>
      <w:r>
        <w:rPr>
          <w:spacing w:val="-13"/>
          <w:sz w:val="16"/>
        </w:rPr>
        <w:t> </w:t>
      </w:r>
      <w:r>
        <w:rPr>
          <w:sz w:val="16"/>
        </w:rPr>
        <w:t>señalada</w:t>
      </w:r>
      <w:r>
        <w:rPr>
          <w:spacing w:val="-13"/>
          <w:sz w:val="16"/>
        </w:rPr>
        <w:t> </w:t>
      </w:r>
      <w:r>
        <w:rPr>
          <w:sz w:val="16"/>
        </w:rPr>
        <w:t>corresponde</w:t>
      </w:r>
      <w:r>
        <w:rPr>
          <w:spacing w:val="-12"/>
          <w:sz w:val="16"/>
        </w:rPr>
        <w:t> </w:t>
      </w:r>
      <w:r>
        <w:rPr>
          <w:sz w:val="16"/>
        </w:rPr>
        <w:t>a</w:t>
      </w:r>
      <w:r>
        <w:rPr>
          <w:spacing w:val="-13"/>
          <w:sz w:val="16"/>
        </w:rPr>
        <w:t> </w:t>
      </w:r>
      <w:r>
        <w:rPr>
          <w:sz w:val="16"/>
        </w:rPr>
        <w:t>lo</w:t>
      </w:r>
      <w:r>
        <w:rPr>
          <w:spacing w:val="-16"/>
          <w:sz w:val="16"/>
        </w:rPr>
        <w:t> </w:t>
      </w:r>
      <w:r>
        <w:rPr>
          <w:sz w:val="16"/>
        </w:rPr>
        <w:t>dicho</w:t>
      </w:r>
      <w:r>
        <w:rPr>
          <w:spacing w:val="-14"/>
          <w:sz w:val="16"/>
        </w:rPr>
        <w:t> </w:t>
      </w:r>
      <w:r>
        <w:rPr>
          <w:sz w:val="16"/>
        </w:rPr>
        <w:t>por</w:t>
      </w:r>
      <w:r>
        <w:rPr>
          <w:spacing w:val="-11"/>
          <w:sz w:val="16"/>
        </w:rPr>
        <w:t> </w:t>
      </w:r>
      <w:r>
        <w:rPr>
          <w:sz w:val="16"/>
        </w:rPr>
        <w:t>el</w:t>
      </w:r>
      <w:r>
        <w:rPr>
          <w:spacing w:val="-13"/>
          <w:sz w:val="16"/>
        </w:rPr>
        <w:t> </w:t>
      </w:r>
      <w:r>
        <w:rPr>
          <w:sz w:val="16"/>
        </w:rPr>
        <w:t>Experto Independiente referido en la nota a pie de página anterior, en el siguiente documento: </w:t>
      </w:r>
      <w:r>
        <w:rPr>
          <w:i/>
          <w:sz w:val="16"/>
        </w:rPr>
        <w:t>Consejo de </w:t>
      </w:r>
      <w:r>
        <w:rPr>
          <w:i/>
          <w:spacing w:val="12"/>
          <w:sz w:val="16"/>
        </w:rPr>
        <w:t> </w:t>
      </w:r>
      <w:r>
        <w:rPr>
          <w:i/>
          <w:sz w:val="16"/>
        </w:rPr>
        <w:t>Derechos</w:t>
      </w:r>
    </w:p>
    <w:p>
      <w:pPr>
        <w:spacing w:after="0" w:line="240" w:lineRule="auto"/>
        <w:jc w:val="both"/>
        <w:rPr>
          <w:sz w:val="16"/>
        </w:rPr>
        <w:sectPr>
          <w:pgSz w:w="12240" w:h="15840"/>
          <w:pgMar w:header="0" w:footer="1000" w:top="1340" w:bottom="1200" w:left="1580" w:right="1580"/>
        </w:sectPr>
      </w:pPr>
    </w:p>
    <w:p>
      <w:pPr>
        <w:pStyle w:val="ListParagraph"/>
        <w:numPr>
          <w:ilvl w:val="0"/>
          <w:numId w:val="31"/>
        </w:numPr>
        <w:tabs>
          <w:tab w:pos="830" w:val="left" w:leader="none"/>
        </w:tabs>
        <w:spacing w:line="240" w:lineRule="auto" w:before="161" w:after="0"/>
        <w:ind w:left="122" w:right="125" w:firstLine="0"/>
        <w:jc w:val="both"/>
        <w:rPr>
          <w:sz w:val="20"/>
        </w:rPr>
      </w:pPr>
      <w:r>
        <w:rPr>
          <w:sz w:val="20"/>
        </w:rPr>
        <w:t>En</w:t>
      </w:r>
      <w:r>
        <w:rPr>
          <w:spacing w:val="-13"/>
          <w:sz w:val="20"/>
        </w:rPr>
        <w:t> </w:t>
      </w:r>
      <w:r>
        <w:rPr>
          <w:sz w:val="20"/>
        </w:rPr>
        <w:t>este</w:t>
      </w:r>
      <w:r>
        <w:rPr>
          <w:spacing w:val="-15"/>
          <w:sz w:val="20"/>
        </w:rPr>
        <w:t> </w:t>
      </w:r>
      <w:r>
        <w:rPr>
          <w:sz w:val="20"/>
        </w:rPr>
        <w:t>marco,</w:t>
      </w:r>
      <w:r>
        <w:rPr>
          <w:spacing w:val="-14"/>
          <w:sz w:val="20"/>
        </w:rPr>
        <w:t> </w:t>
      </w:r>
      <w:r>
        <w:rPr>
          <w:sz w:val="20"/>
        </w:rPr>
        <w:t>hay</w:t>
      </w:r>
      <w:r>
        <w:rPr>
          <w:spacing w:val="-14"/>
          <w:sz w:val="20"/>
        </w:rPr>
        <w:t> </w:t>
      </w:r>
      <w:r>
        <w:rPr>
          <w:sz w:val="20"/>
        </w:rPr>
        <w:t>amenazas</w:t>
      </w:r>
      <w:r>
        <w:rPr>
          <w:spacing w:val="-14"/>
          <w:sz w:val="20"/>
        </w:rPr>
        <w:t> </w:t>
      </w:r>
      <w:r>
        <w:rPr>
          <w:sz w:val="20"/>
        </w:rPr>
        <w:t>ambientales</w:t>
      </w:r>
      <w:r>
        <w:rPr>
          <w:spacing w:val="-14"/>
          <w:sz w:val="20"/>
        </w:rPr>
        <w:t> </w:t>
      </w:r>
      <w:r>
        <w:rPr>
          <w:sz w:val="20"/>
        </w:rPr>
        <w:t>que</w:t>
      </w:r>
      <w:r>
        <w:rPr>
          <w:spacing w:val="-13"/>
          <w:sz w:val="20"/>
        </w:rPr>
        <w:t> </w:t>
      </w:r>
      <w:r>
        <w:rPr>
          <w:sz w:val="20"/>
        </w:rPr>
        <w:t>pueden</w:t>
      </w:r>
      <w:r>
        <w:rPr>
          <w:spacing w:val="-13"/>
          <w:sz w:val="20"/>
        </w:rPr>
        <w:t> </w:t>
      </w:r>
      <w:r>
        <w:rPr>
          <w:sz w:val="20"/>
        </w:rPr>
        <w:t>incidir</w:t>
      </w:r>
      <w:r>
        <w:rPr>
          <w:spacing w:val="-15"/>
          <w:sz w:val="20"/>
        </w:rPr>
        <w:t> </w:t>
      </w:r>
      <w:r>
        <w:rPr>
          <w:sz w:val="20"/>
        </w:rPr>
        <w:t>en</w:t>
      </w:r>
      <w:r>
        <w:rPr>
          <w:spacing w:val="-13"/>
          <w:sz w:val="20"/>
        </w:rPr>
        <w:t> </w:t>
      </w:r>
      <w:r>
        <w:rPr>
          <w:sz w:val="20"/>
        </w:rPr>
        <w:t>la</w:t>
      </w:r>
      <w:r>
        <w:rPr>
          <w:spacing w:val="-13"/>
          <w:sz w:val="20"/>
        </w:rPr>
        <w:t> </w:t>
      </w:r>
      <w:r>
        <w:rPr>
          <w:sz w:val="20"/>
        </w:rPr>
        <w:t>alimentación; el derecho respectivo, como también el derecho a participar en la vida cultural y el derecho al agua, resultan “particularmente vulnerables” a “afectaciones ambientales” (</w:t>
      </w:r>
      <w:r>
        <w:rPr>
          <w:i/>
          <w:sz w:val="20"/>
        </w:rPr>
        <w:t>supra </w:t>
      </w:r>
      <w:r>
        <w:rPr>
          <w:sz w:val="20"/>
        </w:rPr>
        <w:t>párr. 228). En ese sentido, el Comité DESC ha indicado que entre las “políticas” cuya “adopción” el derecho a la alimentación “requiere” se encuentran las “ambientales”</w:t>
      </w:r>
      <w:r>
        <w:rPr>
          <w:position w:val="7"/>
          <w:sz w:val="13"/>
        </w:rPr>
        <w:t>243</w:t>
      </w:r>
      <w:r>
        <w:rPr>
          <w:sz w:val="20"/>
        </w:rPr>
        <w:t>. Del mismo modo, ha señalado que “en las políticas y los programas medioambientales</w:t>
      </w:r>
      <w:r>
        <w:rPr>
          <w:spacing w:val="-16"/>
          <w:sz w:val="20"/>
        </w:rPr>
        <w:t> </w:t>
      </w:r>
      <w:r>
        <w:rPr>
          <w:sz w:val="20"/>
        </w:rPr>
        <w:t>y</w:t>
      </w:r>
      <w:r>
        <w:rPr>
          <w:spacing w:val="-18"/>
          <w:sz w:val="20"/>
        </w:rPr>
        <w:t> </w:t>
      </w:r>
      <w:r>
        <w:rPr>
          <w:sz w:val="20"/>
        </w:rPr>
        <w:t>de</w:t>
      </w:r>
      <w:r>
        <w:rPr>
          <w:spacing w:val="-16"/>
          <w:sz w:val="20"/>
        </w:rPr>
        <w:t> </w:t>
      </w:r>
      <w:r>
        <w:rPr>
          <w:sz w:val="20"/>
        </w:rPr>
        <w:t>desarrollo</w:t>
      </w:r>
      <w:r>
        <w:rPr>
          <w:spacing w:val="-16"/>
          <w:sz w:val="20"/>
        </w:rPr>
        <w:t> </w:t>
      </w:r>
      <w:r>
        <w:rPr>
          <w:sz w:val="20"/>
        </w:rPr>
        <w:t>económico”,</w:t>
      </w:r>
      <w:r>
        <w:rPr>
          <w:spacing w:val="-18"/>
          <w:sz w:val="20"/>
        </w:rPr>
        <w:t> </w:t>
      </w:r>
      <w:r>
        <w:rPr>
          <w:sz w:val="20"/>
        </w:rPr>
        <w:t>los</w:t>
      </w:r>
      <w:r>
        <w:rPr>
          <w:spacing w:val="-18"/>
          <w:sz w:val="20"/>
        </w:rPr>
        <w:t> </w:t>
      </w:r>
      <w:r>
        <w:rPr>
          <w:sz w:val="20"/>
        </w:rPr>
        <w:t>Estados</w:t>
      </w:r>
      <w:r>
        <w:rPr>
          <w:spacing w:val="-16"/>
          <w:sz w:val="20"/>
        </w:rPr>
        <w:t> </w:t>
      </w:r>
      <w:r>
        <w:rPr>
          <w:sz w:val="20"/>
        </w:rPr>
        <w:t>deben</w:t>
      </w:r>
      <w:r>
        <w:rPr>
          <w:spacing w:val="-17"/>
          <w:sz w:val="20"/>
        </w:rPr>
        <w:t> </w:t>
      </w:r>
      <w:r>
        <w:rPr>
          <w:sz w:val="20"/>
        </w:rPr>
        <w:t>“[r]espetar</w:t>
      </w:r>
      <w:r>
        <w:rPr>
          <w:spacing w:val="-16"/>
          <w:sz w:val="20"/>
        </w:rPr>
        <w:t> </w:t>
      </w:r>
      <w:r>
        <w:rPr>
          <w:sz w:val="20"/>
        </w:rPr>
        <w:t>y</w:t>
      </w:r>
      <w:r>
        <w:rPr>
          <w:spacing w:val="-16"/>
          <w:sz w:val="20"/>
        </w:rPr>
        <w:t> </w:t>
      </w:r>
      <w:r>
        <w:rPr>
          <w:sz w:val="20"/>
        </w:rPr>
        <w:t>proteger” el</w:t>
      </w:r>
      <w:r>
        <w:rPr>
          <w:spacing w:val="-10"/>
          <w:sz w:val="20"/>
        </w:rPr>
        <w:t> </w:t>
      </w:r>
      <w:r>
        <w:rPr>
          <w:sz w:val="20"/>
        </w:rPr>
        <w:t>“patrimonio</w:t>
      </w:r>
      <w:r>
        <w:rPr>
          <w:spacing w:val="-9"/>
          <w:sz w:val="20"/>
        </w:rPr>
        <w:t> </w:t>
      </w:r>
      <w:r>
        <w:rPr>
          <w:sz w:val="20"/>
        </w:rPr>
        <w:t>cultural</w:t>
      </w:r>
      <w:r>
        <w:rPr>
          <w:spacing w:val="-7"/>
          <w:sz w:val="20"/>
        </w:rPr>
        <w:t> </w:t>
      </w:r>
      <w:r>
        <w:rPr>
          <w:sz w:val="20"/>
        </w:rPr>
        <w:t>de</w:t>
      </w:r>
      <w:r>
        <w:rPr>
          <w:spacing w:val="-12"/>
          <w:sz w:val="20"/>
        </w:rPr>
        <w:t> </w:t>
      </w:r>
      <w:r>
        <w:rPr>
          <w:sz w:val="20"/>
        </w:rPr>
        <w:t>todos</w:t>
      </w:r>
      <w:r>
        <w:rPr>
          <w:spacing w:val="-11"/>
          <w:sz w:val="20"/>
        </w:rPr>
        <w:t> </w:t>
      </w:r>
      <w:r>
        <w:rPr>
          <w:sz w:val="20"/>
        </w:rPr>
        <w:t>los</w:t>
      </w:r>
      <w:r>
        <w:rPr>
          <w:spacing w:val="-9"/>
          <w:sz w:val="20"/>
        </w:rPr>
        <w:t> </w:t>
      </w:r>
      <w:r>
        <w:rPr>
          <w:sz w:val="20"/>
        </w:rPr>
        <w:t>grupos</w:t>
      </w:r>
      <w:r>
        <w:rPr>
          <w:spacing w:val="-9"/>
          <w:sz w:val="20"/>
        </w:rPr>
        <w:t> </w:t>
      </w:r>
      <w:r>
        <w:rPr>
          <w:sz w:val="20"/>
        </w:rPr>
        <w:t>y</w:t>
      </w:r>
      <w:r>
        <w:rPr>
          <w:spacing w:val="-8"/>
          <w:sz w:val="20"/>
        </w:rPr>
        <w:t> </w:t>
      </w:r>
      <w:r>
        <w:rPr>
          <w:sz w:val="20"/>
        </w:rPr>
        <w:t>comunidades,</w:t>
      </w:r>
      <w:r>
        <w:rPr>
          <w:spacing w:val="-9"/>
          <w:sz w:val="20"/>
        </w:rPr>
        <w:t> </w:t>
      </w:r>
      <w:r>
        <w:rPr>
          <w:sz w:val="20"/>
        </w:rPr>
        <w:t>en</w:t>
      </w:r>
      <w:r>
        <w:rPr>
          <w:spacing w:val="-9"/>
          <w:sz w:val="20"/>
        </w:rPr>
        <w:t> </w:t>
      </w:r>
      <w:r>
        <w:rPr>
          <w:sz w:val="20"/>
        </w:rPr>
        <w:t>particular</w:t>
      </w:r>
      <w:r>
        <w:rPr>
          <w:spacing w:val="-11"/>
          <w:sz w:val="20"/>
        </w:rPr>
        <w:t> </w:t>
      </w:r>
      <w:r>
        <w:rPr>
          <w:sz w:val="20"/>
        </w:rPr>
        <w:t>de</w:t>
      </w:r>
      <w:r>
        <w:rPr>
          <w:spacing w:val="-12"/>
          <w:sz w:val="20"/>
        </w:rPr>
        <w:t> </w:t>
      </w:r>
      <w:r>
        <w:rPr>
          <w:sz w:val="20"/>
        </w:rPr>
        <w:t>las</w:t>
      </w:r>
      <w:r>
        <w:rPr>
          <w:spacing w:val="-11"/>
          <w:sz w:val="20"/>
        </w:rPr>
        <w:t> </w:t>
      </w:r>
      <w:r>
        <w:rPr>
          <w:sz w:val="20"/>
        </w:rPr>
        <w:t>personas y los grupos desfavorecidos y</w:t>
      </w:r>
      <w:r>
        <w:rPr>
          <w:spacing w:val="-13"/>
          <w:sz w:val="20"/>
        </w:rPr>
        <w:t> </w:t>
      </w:r>
      <w:r>
        <w:rPr>
          <w:sz w:val="20"/>
        </w:rPr>
        <w:t>marginados”</w:t>
      </w:r>
      <w:r>
        <w:rPr>
          <w:position w:val="7"/>
          <w:sz w:val="13"/>
        </w:rPr>
        <w:t>244</w:t>
      </w:r>
      <w:r>
        <w:rPr>
          <w:sz w:val="20"/>
        </w:rPr>
        <w:t>.</w:t>
      </w:r>
    </w:p>
    <w:p>
      <w:pPr>
        <w:pStyle w:val="BodyText"/>
        <w:spacing w:before="10"/>
        <w:rPr>
          <w:sz w:val="19"/>
        </w:rPr>
      </w:pPr>
    </w:p>
    <w:p>
      <w:pPr>
        <w:pStyle w:val="ListParagraph"/>
        <w:numPr>
          <w:ilvl w:val="0"/>
          <w:numId w:val="31"/>
        </w:numPr>
        <w:tabs>
          <w:tab w:pos="830" w:val="left" w:leader="none"/>
        </w:tabs>
        <w:spacing w:line="240" w:lineRule="auto" w:before="0" w:after="0"/>
        <w:ind w:left="830" w:right="0" w:hanging="708"/>
        <w:jc w:val="both"/>
        <w:rPr>
          <w:sz w:val="20"/>
        </w:rPr>
      </w:pPr>
      <w:r>
        <w:rPr>
          <w:sz w:val="20"/>
        </w:rPr>
        <w:t>El Comité DESC ha señalado también</w:t>
      </w:r>
      <w:r>
        <w:rPr>
          <w:spacing w:val="-15"/>
          <w:sz w:val="20"/>
        </w:rPr>
        <w:t> </w:t>
      </w:r>
      <w:r>
        <w:rPr>
          <w:sz w:val="20"/>
        </w:rPr>
        <w:t>que:</w:t>
      </w:r>
    </w:p>
    <w:p>
      <w:pPr>
        <w:pStyle w:val="BodyText"/>
      </w:pPr>
    </w:p>
    <w:p>
      <w:pPr>
        <w:spacing w:before="0"/>
        <w:ind w:left="405" w:right="448" w:firstLine="0"/>
        <w:jc w:val="both"/>
        <w:rPr>
          <w:sz w:val="16"/>
        </w:rPr>
      </w:pPr>
      <w:r>
        <w:rPr>
          <w:sz w:val="16"/>
        </w:rPr>
        <w:t>el derecho a una alimentación adecuada […] es indispensable para el disfrute de otros derechos humanos [e] inseparable de la justicia social, pues requiere la adopción de políticas económicas, ambientales y sociales adecuadas, en los planos nacional e internacional, orientadas a la erradicación de la pobreza y al disfrute de todos los derechos humanos por todos</w:t>
      </w:r>
      <w:r>
        <w:rPr>
          <w:position w:val="6"/>
          <w:sz w:val="10"/>
        </w:rPr>
        <w:t>245</w:t>
      </w:r>
      <w:r>
        <w:rPr>
          <w:sz w:val="16"/>
        </w:rPr>
        <w:t>.</w:t>
      </w:r>
    </w:p>
    <w:p>
      <w:pPr>
        <w:pStyle w:val="BodyText"/>
        <w:spacing w:before="11"/>
        <w:rPr>
          <w:sz w:val="19"/>
        </w:rPr>
      </w:pPr>
    </w:p>
    <w:p>
      <w:pPr>
        <w:pStyle w:val="BodyText"/>
        <w:ind w:left="122" w:right="122"/>
        <w:jc w:val="both"/>
      </w:pPr>
      <w:r>
        <w:rPr/>
        <w:t>Añadió que “el significado preciso de ‘adecuación’ viene determinado en buena medida por</w:t>
      </w:r>
      <w:r>
        <w:rPr>
          <w:spacing w:val="-13"/>
        </w:rPr>
        <w:t> </w:t>
      </w:r>
      <w:r>
        <w:rPr/>
        <w:t>las</w:t>
      </w:r>
      <w:r>
        <w:rPr>
          <w:spacing w:val="-12"/>
        </w:rPr>
        <w:t> </w:t>
      </w:r>
      <w:r>
        <w:rPr/>
        <w:t>condiciones</w:t>
      </w:r>
      <w:r>
        <w:rPr>
          <w:spacing w:val="-14"/>
        </w:rPr>
        <w:t> </w:t>
      </w:r>
      <w:r>
        <w:rPr/>
        <w:t>sociales,</w:t>
      </w:r>
      <w:r>
        <w:rPr>
          <w:spacing w:val="-13"/>
        </w:rPr>
        <w:t> </w:t>
      </w:r>
      <w:r>
        <w:rPr/>
        <w:t>económicas,</w:t>
      </w:r>
      <w:r>
        <w:rPr>
          <w:spacing w:val="-12"/>
        </w:rPr>
        <w:t> </w:t>
      </w:r>
      <w:r>
        <w:rPr/>
        <w:t>culturales,</w:t>
      </w:r>
      <w:r>
        <w:rPr>
          <w:spacing w:val="-13"/>
        </w:rPr>
        <w:t> </w:t>
      </w:r>
      <w:r>
        <w:rPr/>
        <w:t>climáticas,</w:t>
      </w:r>
      <w:r>
        <w:rPr>
          <w:spacing w:val="-12"/>
        </w:rPr>
        <w:t> </w:t>
      </w:r>
      <w:r>
        <w:rPr/>
        <w:t>ecológicas</w:t>
      </w:r>
      <w:r>
        <w:rPr>
          <w:spacing w:val="-12"/>
        </w:rPr>
        <w:t> </w:t>
      </w:r>
      <w:r>
        <w:rPr/>
        <w:t>y</w:t>
      </w:r>
      <w:r>
        <w:rPr>
          <w:spacing w:val="-14"/>
        </w:rPr>
        <w:t> </w:t>
      </w:r>
      <w:r>
        <w:rPr/>
        <w:t>de</w:t>
      </w:r>
      <w:r>
        <w:rPr>
          <w:spacing w:val="-13"/>
        </w:rPr>
        <w:t> </w:t>
      </w:r>
      <w:r>
        <w:rPr/>
        <w:t>otro</w:t>
      </w:r>
      <w:r>
        <w:rPr>
          <w:spacing w:val="-15"/>
        </w:rPr>
        <w:t> </w:t>
      </w:r>
      <w:r>
        <w:rPr/>
        <w:t>tipo imperantes</w:t>
      </w:r>
      <w:r>
        <w:rPr>
          <w:spacing w:val="-5"/>
        </w:rPr>
        <w:t> </w:t>
      </w:r>
      <w:r>
        <w:rPr/>
        <w:t>en</w:t>
      </w:r>
      <w:r>
        <w:rPr>
          <w:spacing w:val="-3"/>
        </w:rPr>
        <w:t> </w:t>
      </w:r>
      <w:r>
        <w:rPr/>
        <w:t>el</w:t>
      </w:r>
      <w:r>
        <w:rPr>
          <w:spacing w:val="-6"/>
        </w:rPr>
        <w:t> </w:t>
      </w:r>
      <w:r>
        <w:rPr/>
        <w:t>momento”</w:t>
      </w:r>
      <w:r>
        <w:rPr>
          <w:position w:val="7"/>
          <w:sz w:val="13"/>
        </w:rPr>
        <w:t>246</w:t>
      </w:r>
      <w:r>
        <w:rPr/>
        <w:t>.</w:t>
      </w:r>
      <w:r>
        <w:rPr>
          <w:spacing w:val="-7"/>
        </w:rPr>
        <w:t> </w:t>
      </w:r>
      <w:r>
        <w:rPr/>
        <w:t>El</w:t>
      </w:r>
      <w:r>
        <w:rPr>
          <w:spacing w:val="-3"/>
        </w:rPr>
        <w:t> </w:t>
      </w:r>
      <w:r>
        <w:rPr/>
        <w:t>Grupo</w:t>
      </w:r>
      <w:r>
        <w:rPr>
          <w:spacing w:val="-5"/>
        </w:rPr>
        <w:t> </w:t>
      </w:r>
      <w:r>
        <w:rPr/>
        <w:t>sobre</w:t>
      </w:r>
      <w:r>
        <w:rPr>
          <w:spacing w:val="-5"/>
        </w:rPr>
        <w:t> </w:t>
      </w:r>
      <w:r>
        <w:rPr/>
        <w:t>el</w:t>
      </w:r>
      <w:r>
        <w:rPr>
          <w:spacing w:val="-1"/>
        </w:rPr>
        <w:t> </w:t>
      </w:r>
      <w:r>
        <w:rPr/>
        <w:t>PSS</w:t>
      </w:r>
      <w:r>
        <w:rPr>
          <w:spacing w:val="-6"/>
        </w:rPr>
        <w:t> </w:t>
      </w:r>
      <w:r>
        <w:rPr/>
        <w:t>ha</w:t>
      </w:r>
      <w:r>
        <w:rPr>
          <w:spacing w:val="-6"/>
        </w:rPr>
        <w:t> </w:t>
      </w:r>
      <w:r>
        <w:rPr/>
        <w:t>indicado,</w:t>
      </w:r>
      <w:r>
        <w:rPr>
          <w:spacing w:val="-5"/>
        </w:rPr>
        <w:t> </w:t>
      </w:r>
      <w:r>
        <w:rPr/>
        <w:t>en</w:t>
      </w:r>
      <w:r>
        <w:rPr>
          <w:spacing w:val="-3"/>
        </w:rPr>
        <w:t> </w:t>
      </w:r>
      <w:r>
        <w:rPr/>
        <w:t>el</w:t>
      </w:r>
      <w:r>
        <w:rPr>
          <w:spacing w:val="-3"/>
        </w:rPr>
        <w:t> </w:t>
      </w:r>
      <w:r>
        <w:rPr/>
        <w:t>mismo</w:t>
      </w:r>
      <w:r>
        <w:rPr>
          <w:spacing w:val="-5"/>
        </w:rPr>
        <w:t> </w:t>
      </w:r>
      <w:r>
        <w:rPr/>
        <w:t>sentido, que es “necesario” considerar la “dimensi[ón…] cultural” del derecho a la alimentación adecuada y que “en tanto la alimentación es una expresión cultural de los pueblos es necesario su tratamiento integral y en directa interdependencia entre derechos civiles, políticos y económicos, sociales y</w:t>
      </w:r>
      <w:r>
        <w:rPr>
          <w:spacing w:val="-3"/>
        </w:rPr>
        <w:t> </w:t>
      </w:r>
      <w:r>
        <w:rPr/>
        <w:t>culturales”</w:t>
      </w:r>
      <w:r>
        <w:rPr>
          <w:position w:val="7"/>
          <w:sz w:val="13"/>
        </w:rPr>
        <w:t>247</w:t>
      </w:r>
      <w:r>
        <w:rPr/>
        <w:t>.</w:t>
      </w:r>
    </w:p>
    <w:p>
      <w:pPr>
        <w:pStyle w:val="BodyText"/>
      </w:pPr>
    </w:p>
    <w:p>
      <w:pPr>
        <w:pStyle w:val="ListParagraph"/>
        <w:numPr>
          <w:ilvl w:val="0"/>
          <w:numId w:val="31"/>
        </w:numPr>
        <w:tabs>
          <w:tab w:pos="830" w:val="left" w:leader="none"/>
        </w:tabs>
        <w:spacing w:line="240" w:lineRule="auto" w:before="0" w:after="0"/>
        <w:ind w:left="122" w:right="121" w:firstLine="0"/>
        <w:jc w:val="both"/>
        <w:rPr>
          <w:sz w:val="20"/>
        </w:rPr>
      </w:pPr>
      <w:r>
        <w:rPr>
          <w:sz w:val="20"/>
        </w:rPr>
        <w:t>Respecto a los pueblos indígenas en particular, debe señalarse que el Convenio 169, en sus artículos 4.1, 7.1, 15.1 y 23, establece, respectivamente, la obligación estatal de “adoptar […] las medidas especiales que se precisen para salvaguardar […] las culturas y el medio ambiente de los pueblos [indígenas o tribales]”; el derecho  </w:t>
      </w:r>
      <w:r>
        <w:rPr>
          <w:spacing w:val="48"/>
          <w:sz w:val="20"/>
        </w:rPr>
        <w:t> </w:t>
      </w:r>
      <w:r>
        <w:rPr>
          <w:sz w:val="20"/>
        </w:rPr>
        <w:t>de</w:t>
      </w:r>
    </w:p>
    <w:p>
      <w:pPr>
        <w:pStyle w:val="BodyText"/>
        <w:spacing w:before="6"/>
        <w:rPr>
          <w:sz w:val="25"/>
        </w:rPr>
      </w:pPr>
      <w:r>
        <w:rPr/>
        <w:pict>
          <v:line style="position:absolute;mso-position-horizontal-relative:page;mso-position-vertical-relative:paragraph;z-index:2968;mso-wrap-distance-left:0;mso-wrap-distance-right:0" from="85.103996pt,17.818546pt" to="229.123996pt,17.818546pt" stroked="true" strokeweight=".72pt" strokecolor="#000000">
            <v:stroke dashstyle="solid"/>
            <w10:wrap type="topAndBottom"/>
          </v:line>
        </w:pict>
      </w:r>
    </w:p>
    <w:p>
      <w:pPr>
        <w:spacing w:before="71"/>
        <w:ind w:left="122" w:right="114" w:firstLine="0"/>
        <w:jc w:val="both"/>
        <w:rPr>
          <w:sz w:val="16"/>
        </w:rPr>
      </w:pPr>
      <w:r>
        <w:rPr>
          <w:i/>
          <w:sz w:val="16"/>
        </w:rPr>
        <w:t>Humanos, Informe preliminar del Experto independiente sobre la cuestión de las obligaciones de derechos </w:t>
      </w:r>
      <w:r>
        <w:rPr>
          <w:i/>
          <w:sz w:val="16"/>
        </w:rPr>
        <w:t>humanos relacionadas con el disfrute de un medio ambiente sin riesgos, limpio, saludable y sostenible</w:t>
      </w:r>
      <w:r>
        <w:rPr>
          <w:sz w:val="16"/>
        </w:rPr>
        <w:t>,  John</w:t>
      </w:r>
    </w:p>
    <w:p>
      <w:pPr>
        <w:spacing w:before="0"/>
        <w:ind w:left="122" w:right="0" w:firstLine="0"/>
        <w:jc w:val="both"/>
        <w:rPr>
          <w:sz w:val="16"/>
        </w:rPr>
      </w:pPr>
      <w:r>
        <w:rPr>
          <w:sz w:val="16"/>
        </w:rPr>
        <w:t>H. Knox, 24 de diciembre de 2012, Doc. ONU A/HRC/22/43, párr. 10.</w:t>
      </w:r>
    </w:p>
    <w:p>
      <w:pPr>
        <w:pStyle w:val="BodyText"/>
        <w:rPr>
          <w:sz w:val="16"/>
        </w:rPr>
      </w:pPr>
    </w:p>
    <w:p>
      <w:pPr>
        <w:tabs>
          <w:tab w:pos="829" w:val="left" w:leader="none"/>
        </w:tabs>
        <w:spacing w:before="0"/>
        <w:ind w:left="122" w:right="114" w:firstLine="0"/>
        <w:jc w:val="both"/>
        <w:rPr>
          <w:sz w:val="16"/>
        </w:rPr>
      </w:pPr>
      <w:r>
        <w:rPr>
          <w:position w:val="6"/>
          <w:sz w:val="10"/>
        </w:rPr>
        <w:t>243</w:t>
        <w:tab/>
      </w:r>
      <w:r>
        <w:rPr>
          <w:sz w:val="16"/>
        </w:rPr>
        <w:t>Comité DESC. </w:t>
      </w:r>
      <w:r>
        <w:rPr>
          <w:i/>
          <w:sz w:val="16"/>
        </w:rPr>
        <w:t>Observación General. 12. El derecho a una alimentación adecuada (artículo</w:t>
      </w:r>
      <w:r>
        <w:rPr>
          <w:i/>
          <w:spacing w:val="4"/>
          <w:sz w:val="16"/>
        </w:rPr>
        <w:t> </w:t>
      </w:r>
      <w:r>
        <w:rPr>
          <w:i/>
          <w:sz w:val="16"/>
        </w:rPr>
        <w:t>11)</w:t>
      </w:r>
      <w:r>
        <w:rPr>
          <w:sz w:val="16"/>
        </w:rPr>
        <w:t>,</w:t>
      </w:r>
      <w:r>
        <w:rPr>
          <w:spacing w:val="-2"/>
          <w:sz w:val="16"/>
        </w:rPr>
        <w:t> </w:t>
      </w:r>
      <w:r>
        <w:rPr>
          <w:sz w:val="16"/>
        </w:rPr>
        <w:t>párr.</w:t>
      </w:r>
      <w:r>
        <w:rPr>
          <w:w w:val="100"/>
          <w:sz w:val="16"/>
        </w:rPr>
        <w:t> </w:t>
      </w:r>
      <w:r>
        <w:rPr>
          <w:sz w:val="16"/>
        </w:rPr>
        <w:t>4.</w:t>
      </w:r>
    </w:p>
    <w:p>
      <w:pPr>
        <w:pStyle w:val="BodyText"/>
        <w:spacing w:before="11"/>
        <w:rPr>
          <w:sz w:val="15"/>
        </w:rPr>
      </w:pPr>
    </w:p>
    <w:p>
      <w:pPr>
        <w:tabs>
          <w:tab w:pos="829" w:val="left" w:leader="none"/>
        </w:tabs>
        <w:spacing w:before="0"/>
        <w:ind w:left="122" w:right="119" w:firstLine="0"/>
        <w:jc w:val="both"/>
        <w:rPr>
          <w:sz w:val="16"/>
        </w:rPr>
      </w:pPr>
      <w:r>
        <w:rPr>
          <w:position w:val="6"/>
          <w:sz w:val="10"/>
        </w:rPr>
        <w:t>244</w:t>
        <w:tab/>
      </w:r>
      <w:r>
        <w:rPr>
          <w:sz w:val="16"/>
        </w:rPr>
        <w:t>Comité DESC. </w:t>
      </w:r>
      <w:r>
        <w:rPr>
          <w:i/>
          <w:sz w:val="16"/>
        </w:rPr>
        <w:t>Observación General 21.  Derecho de  toda persona  a participar  en la  </w:t>
      </w:r>
      <w:r>
        <w:rPr>
          <w:i/>
          <w:spacing w:val="11"/>
          <w:sz w:val="16"/>
        </w:rPr>
        <w:t> </w:t>
      </w:r>
      <w:r>
        <w:rPr>
          <w:i/>
          <w:sz w:val="16"/>
        </w:rPr>
        <w:t>vida</w:t>
      </w:r>
      <w:r>
        <w:rPr>
          <w:i/>
          <w:spacing w:val="28"/>
          <w:sz w:val="16"/>
        </w:rPr>
        <w:t> </w:t>
      </w:r>
      <w:r>
        <w:rPr>
          <w:i/>
          <w:sz w:val="16"/>
        </w:rPr>
        <w:t>cultural</w:t>
      </w:r>
      <w:r>
        <w:rPr>
          <w:i/>
          <w:w w:val="100"/>
          <w:sz w:val="16"/>
        </w:rPr>
        <w:t> </w:t>
      </w:r>
      <w:r>
        <w:rPr>
          <w:i/>
          <w:sz w:val="16"/>
        </w:rPr>
        <w:t>(artículo 15, párrafo 1 a), del Pacto Internacional de Derechos Económicos, Sociales y Culturales)</w:t>
      </w:r>
      <w:r>
        <w:rPr>
          <w:sz w:val="16"/>
        </w:rPr>
        <w:t>, párr.</w:t>
      </w:r>
      <w:r>
        <w:rPr>
          <w:spacing w:val="-31"/>
          <w:sz w:val="16"/>
        </w:rPr>
        <w:t> </w:t>
      </w:r>
      <w:r>
        <w:rPr>
          <w:sz w:val="16"/>
        </w:rPr>
        <w:t>50.</w:t>
      </w:r>
    </w:p>
    <w:p>
      <w:pPr>
        <w:pStyle w:val="BodyText"/>
        <w:spacing w:before="11"/>
        <w:rPr>
          <w:sz w:val="15"/>
        </w:rPr>
      </w:pPr>
    </w:p>
    <w:p>
      <w:pPr>
        <w:tabs>
          <w:tab w:pos="829" w:val="left" w:leader="none"/>
        </w:tabs>
        <w:spacing w:before="0"/>
        <w:ind w:left="122" w:right="114" w:firstLine="0"/>
        <w:jc w:val="both"/>
        <w:rPr>
          <w:sz w:val="16"/>
        </w:rPr>
      </w:pPr>
      <w:r>
        <w:rPr>
          <w:position w:val="6"/>
          <w:sz w:val="10"/>
        </w:rPr>
        <w:t>245</w:t>
        <w:tab/>
      </w:r>
      <w:r>
        <w:rPr>
          <w:sz w:val="16"/>
        </w:rPr>
        <w:t>Comité DESC. </w:t>
      </w:r>
      <w:r>
        <w:rPr>
          <w:i/>
          <w:sz w:val="16"/>
        </w:rPr>
        <w:t>Observación General 12. El derecho a una alimentación adecuada (artículo </w:t>
      </w:r>
      <w:r>
        <w:rPr>
          <w:i/>
          <w:spacing w:val="4"/>
          <w:sz w:val="16"/>
        </w:rPr>
        <w:t> </w:t>
      </w:r>
      <w:r>
        <w:rPr>
          <w:i/>
          <w:sz w:val="16"/>
        </w:rPr>
        <w:t>11)</w:t>
      </w:r>
      <w:r>
        <w:rPr>
          <w:sz w:val="16"/>
        </w:rPr>
        <w:t>,</w:t>
      </w:r>
      <w:r>
        <w:rPr>
          <w:spacing w:val="4"/>
          <w:sz w:val="16"/>
        </w:rPr>
        <w:t> </w:t>
      </w:r>
      <w:r>
        <w:rPr>
          <w:sz w:val="16"/>
        </w:rPr>
        <w:t>párr.</w:t>
      </w:r>
      <w:r>
        <w:rPr>
          <w:w w:val="100"/>
          <w:sz w:val="16"/>
        </w:rPr>
        <w:t> </w:t>
      </w:r>
      <w:r>
        <w:rPr>
          <w:sz w:val="16"/>
        </w:rPr>
        <w:t>4.</w:t>
      </w:r>
    </w:p>
    <w:p>
      <w:pPr>
        <w:pStyle w:val="BodyText"/>
        <w:spacing w:before="11"/>
        <w:rPr>
          <w:sz w:val="15"/>
        </w:rPr>
      </w:pPr>
    </w:p>
    <w:p>
      <w:pPr>
        <w:tabs>
          <w:tab w:pos="829" w:val="left" w:leader="none"/>
        </w:tabs>
        <w:spacing w:before="0"/>
        <w:ind w:left="122" w:right="114" w:firstLine="0"/>
        <w:jc w:val="both"/>
        <w:rPr>
          <w:sz w:val="16"/>
        </w:rPr>
      </w:pPr>
      <w:r>
        <w:rPr>
          <w:position w:val="6"/>
          <w:sz w:val="10"/>
        </w:rPr>
        <w:t>246</w:t>
        <w:tab/>
      </w:r>
      <w:r>
        <w:rPr>
          <w:sz w:val="16"/>
        </w:rPr>
        <w:t>Comité DESC. </w:t>
      </w:r>
      <w:r>
        <w:rPr>
          <w:i/>
          <w:sz w:val="16"/>
        </w:rPr>
        <w:t>Observación General 12. El derecho a una alimentación adecuada (artículo </w:t>
      </w:r>
      <w:r>
        <w:rPr>
          <w:i/>
          <w:spacing w:val="4"/>
          <w:sz w:val="16"/>
        </w:rPr>
        <w:t> </w:t>
      </w:r>
      <w:r>
        <w:rPr>
          <w:i/>
          <w:sz w:val="16"/>
        </w:rPr>
        <w:t>11)</w:t>
      </w:r>
      <w:r>
        <w:rPr>
          <w:sz w:val="16"/>
        </w:rPr>
        <w:t>,</w:t>
      </w:r>
      <w:r>
        <w:rPr>
          <w:spacing w:val="4"/>
          <w:sz w:val="16"/>
        </w:rPr>
        <w:t> </w:t>
      </w:r>
      <w:r>
        <w:rPr>
          <w:sz w:val="16"/>
        </w:rPr>
        <w:t>párr.</w:t>
      </w:r>
      <w:r>
        <w:rPr>
          <w:w w:val="100"/>
          <w:sz w:val="16"/>
        </w:rPr>
        <w:t> </w:t>
      </w:r>
      <w:r>
        <w:rPr>
          <w:sz w:val="16"/>
        </w:rPr>
        <w:t>7.</w:t>
      </w:r>
    </w:p>
    <w:p>
      <w:pPr>
        <w:pStyle w:val="BodyText"/>
        <w:spacing w:before="12"/>
        <w:rPr>
          <w:sz w:val="15"/>
        </w:rPr>
      </w:pPr>
    </w:p>
    <w:p>
      <w:pPr>
        <w:tabs>
          <w:tab w:pos="829" w:val="left" w:leader="none"/>
        </w:tabs>
        <w:spacing w:line="240" w:lineRule="auto" w:before="0"/>
        <w:ind w:left="122" w:right="114" w:firstLine="0"/>
        <w:jc w:val="both"/>
        <w:rPr>
          <w:sz w:val="16"/>
        </w:rPr>
      </w:pPr>
      <w:r>
        <w:rPr>
          <w:position w:val="6"/>
          <w:sz w:val="10"/>
        </w:rPr>
        <w:t>247</w:t>
        <w:tab/>
      </w:r>
      <w:r>
        <w:rPr>
          <w:sz w:val="16"/>
        </w:rPr>
        <w:t>Grupo</w:t>
      </w:r>
      <w:r>
        <w:rPr>
          <w:spacing w:val="31"/>
          <w:sz w:val="16"/>
        </w:rPr>
        <w:t> </w:t>
      </w:r>
      <w:r>
        <w:rPr>
          <w:sz w:val="16"/>
        </w:rPr>
        <w:t>sobre</w:t>
      </w:r>
      <w:r>
        <w:rPr>
          <w:spacing w:val="31"/>
          <w:sz w:val="16"/>
        </w:rPr>
        <w:t> </w:t>
      </w:r>
      <w:r>
        <w:rPr>
          <w:sz w:val="16"/>
        </w:rPr>
        <w:t>el</w:t>
      </w:r>
      <w:r>
        <w:rPr>
          <w:spacing w:val="30"/>
          <w:sz w:val="16"/>
        </w:rPr>
        <w:t> </w:t>
      </w:r>
      <w:r>
        <w:rPr>
          <w:sz w:val="16"/>
        </w:rPr>
        <w:t>PSS.</w:t>
      </w:r>
      <w:r>
        <w:rPr>
          <w:spacing w:val="32"/>
          <w:sz w:val="16"/>
        </w:rPr>
        <w:t> </w:t>
      </w:r>
      <w:r>
        <w:rPr>
          <w:i/>
          <w:sz w:val="16"/>
        </w:rPr>
        <w:t>Indicadores</w:t>
      </w:r>
      <w:r>
        <w:rPr>
          <w:i/>
          <w:spacing w:val="31"/>
          <w:sz w:val="16"/>
        </w:rPr>
        <w:t> </w:t>
      </w:r>
      <w:r>
        <w:rPr>
          <w:i/>
          <w:sz w:val="16"/>
        </w:rPr>
        <w:t>de</w:t>
      </w:r>
      <w:r>
        <w:rPr>
          <w:i/>
          <w:spacing w:val="32"/>
          <w:sz w:val="16"/>
        </w:rPr>
        <w:t> </w:t>
      </w:r>
      <w:r>
        <w:rPr>
          <w:i/>
          <w:sz w:val="16"/>
        </w:rPr>
        <w:t>progreso</w:t>
      </w:r>
      <w:r>
        <w:rPr>
          <w:i/>
          <w:spacing w:val="29"/>
          <w:sz w:val="16"/>
        </w:rPr>
        <w:t> </w:t>
      </w:r>
      <w:r>
        <w:rPr>
          <w:i/>
          <w:sz w:val="16"/>
        </w:rPr>
        <w:t>para</w:t>
      </w:r>
      <w:r>
        <w:rPr>
          <w:i/>
          <w:spacing w:val="30"/>
          <w:sz w:val="16"/>
        </w:rPr>
        <w:t> </w:t>
      </w:r>
      <w:r>
        <w:rPr>
          <w:i/>
          <w:sz w:val="16"/>
        </w:rPr>
        <w:t>la</w:t>
      </w:r>
      <w:r>
        <w:rPr>
          <w:i/>
          <w:spacing w:val="32"/>
          <w:sz w:val="16"/>
        </w:rPr>
        <w:t> </w:t>
      </w:r>
      <w:r>
        <w:rPr>
          <w:i/>
          <w:sz w:val="16"/>
        </w:rPr>
        <w:t>medición</w:t>
      </w:r>
      <w:r>
        <w:rPr>
          <w:i/>
          <w:spacing w:val="30"/>
          <w:sz w:val="16"/>
        </w:rPr>
        <w:t> </w:t>
      </w:r>
      <w:r>
        <w:rPr>
          <w:i/>
          <w:sz w:val="16"/>
        </w:rPr>
        <w:t>de</w:t>
      </w:r>
      <w:r>
        <w:rPr>
          <w:i/>
          <w:spacing w:val="31"/>
          <w:sz w:val="16"/>
        </w:rPr>
        <w:t> </w:t>
      </w:r>
      <w:r>
        <w:rPr>
          <w:i/>
          <w:sz w:val="16"/>
        </w:rPr>
        <w:t>derechos</w:t>
      </w:r>
      <w:r>
        <w:rPr>
          <w:i/>
          <w:spacing w:val="31"/>
          <w:sz w:val="16"/>
        </w:rPr>
        <w:t> </w:t>
      </w:r>
      <w:r>
        <w:rPr>
          <w:i/>
          <w:sz w:val="16"/>
        </w:rPr>
        <w:t>contemplados</w:t>
      </w:r>
      <w:r>
        <w:rPr>
          <w:i/>
          <w:spacing w:val="31"/>
          <w:sz w:val="16"/>
        </w:rPr>
        <w:t> </w:t>
      </w:r>
      <w:r>
        <w:rPr>
          <w:i/>
          <w:sz w:val="16"/>
        </w:rPr>
        <w:t>en</w:t>
      </w:r>
      <w:r>
        <w:rPr>
          <w:i/>
          <w:spacing w:val="30"/>
          <w:sz w:val="16"/>
        </w:rPr>
        <w:t> </w:t>
      </w:r>
      <w:r>
        <w:rPr>
          <w:i/>
          <w:sz w:val="16"/>
        </w:rPr>
        <w:t>el</w:t>
      </w:r>
      <w:r>
        <w:rPr>
          <w:i/>
          <w:w w:val="100"/>
          <w:sz w:val="16"/>
        </w:rPr>
        <w:t> </w:t>
      </w:r>
      <w:r>
        <w:rPr>
          <w:i/>
          <w:sz w:val="16"/>
        </w:rPr>
        <w:t>Protocolo</w:t>
      </w:r>
      <w:r>
        <w:rPr>
          <w:i/>
          <w:spacing w:val="-14"/>
          <w:sz w:val="16"/>
        </w:rPr>
        <w:t> </w:t>
      </w:r>
      <w:r>
        <w:rPr>
          <w:i/>
          <w:sz w:val="16"/>
        </w:rPr>
        <w:t>de</w:t>
      </w:r>
      <w:r>
        <w:rPr>
          <w:i/>
          <w:spacing w:val="-14"/>
          <w:sz w:val="16"/>
        </w:rPr>
        <w:t> </w:t>
      </w:r>
      <w:r>
        <w:rPr>
          <w:i/>
          <w:sz w:val="16"/>
        </w:rPr>
        <w:t>San</w:t>
      </w:r>
      <w:r>
        <w:rPr>
          <w:i/>
          <w:spacing w:val="-16"/>
          <w:sz w:val="16"/>
        </w:rPr>
        <w:t> </w:t>
      </w:r>
      <w:r>
        <w:rPr>
          <w:i/>
          <w:sz w:val="16"/>
        </w:rPr>
        <w:t>Salvador.</w:t>
      </w:r>
      <w:r>
        <w:rPr>
          <w:i/>
          <w:spacing w:val="-15"/>
          <w:sz w:val="16"/>
        </w:rPr>
        <w:t> </w:t>
      </w:r>
      <w:r>
        <w:rPr>
          <w:i/>
          <w:sz w:val="16"/>
        </w:rPr>
        <w:t>Segundo</w:t>
      </w:r>
      <w:r>
        <w:rPr>
          <w:i/>
          <w:spacing w:val="-12"/>
          <w:sz w:val="16"/>
        </w:rPr>
        <w:t> </w:t>
      </w:r>
      <w:r>
        <w:rPr>
          <w:i/>
          <w:sz w:val="16"/>
        </w:rPr>
        <w:t>agrupamiento</w:t>
      </w:r>
      <w:r>
        <w:rPr>
          <w:i/>
          <w:spacing w:val="-14"/>
          <w:sz w:val="16"/>
        </w:rPr>
        <w:t> </w:t>
      </w:r>
      <w:r>
        <w:rPr>
          <w:i/>
          <w:sz w:val="16"/>
        </w:rPr>
        <w:t>de</w:t>
      </w:r>
      <w:r>
        <w:rPr>
          <w:i/>
          <w:spacing w:val="-13"/>
          <w:sz w:val="16"/>
        </w:rPr>
        <w:t> </w:t>
      </w:r>
      <w:r>
        <w:rPr>
          <w:i/>
          <w:sz w:val="16"/>
        </w:rPr>
        <w:t>Derechos</w:t>
      </w:r>
      <w:r>
        <w:rPr>
          <w:sz w:val="16"/>
        </w:rPr>
        <w:t>,</w:t>
      </w:r>
      <w:r>
        <w:rPr>
          <w:spacing w:val="-13"/>
          <w:sz w:val="16"/>
        </w:rPr>
        <w:t> </w:t>
      </w:r>
      <w:r>
        <w:rPr>
          <w:sz w:val="16"/>
        </w:rPr>
        <w:t>párr.</w:t>
      </w:r>
      <w:r>
        <w:rPr>
          <w:spacing w:val="-15"/>
          <w:sz w:val="16"/>
        </w:rPr>
        <w:t> </w:t>
      </w:r>
      <w:r>
        <w:rPr>
          <w:sz w:val="16"/>
        </w:rPr>
        <w:t>21.</w:t>
      </w:r>
      <w:r>
        <w:rPr>
          <w:spacing w:val="-15"/>
          <w:sz w:val="16"/>
        </w:rPr>
        <w:t> </w:t>
      </w:r>
      <w:r>
        <w:rPr>
          <w:sz w:val="16"/>
        </w:rPr>
        <w:t>ACIJ,</w:t>
      </w:r>
      <w:r>
        <w:rPr>
          <w:spacing w:val="-13"/>
          <w:sz w:val="16"/>
        </w:rPr>
        <w:t> </w:t>
      </w:r>
      <w:r>
        <w:rPr>
          <w:sz w:val="16"/>
        </w:rPr>
        <w:t>en</w:t>
      </w:r>
      <w:r>
        <w:rPr>
          <w:spacing w:val="-15"/>
          <w:sz w:val="16"/>
        </w:rPr>
        <w:t> </w:t>
      </w:r>
      <w:r>
        <w:rPr>
          <w:sz w:val="16"/>
        </w:rPr>
        <w:t>su</w:t>
      </w:r>
      <w:r>
        <w:rPr>
          <w:spacing w:val="-13"/>
          <w:sz w:val="16"/>
        </w:rPr>
        <w:t> </w:t>
      </w:r>
      <w:r>
        <w:rPr>
          <w:sz w:val="16"/>
        </w:rPr>
        <w:t>escrito</w:t>
      </w:r>
      <w:r>
        <w:rPr>
          <w:spacing w:val="-12"/>
          <w:sz w:val="16"/>
        </w:rPr>
        <w:t> </w:t>
      </w:r>
      <w:r>
        <w:rPr>
          <w:sz w:val="16"/>
        </w:rPr>
        <w:t>de</w:t>
      </w:r>
      <w:r>
        <w:rPr>
          <w:spacing w:val="-13"/>
          <w:sz w:val="16"/>
        </w:rPr>
        <w:t> </w:t>
      </w:r>
      <w:r>
        <w:rPr>
          <w:i/>
          <w:sz w:val="16"/>
        </w:rPr>
        <w:t>amicus</w:t>
      </w:r>
      <w:r>
        <w:rPr>
          <w:i/>
          <w:spacing w:val="-13"/>
          <w:sz w:val="16"/>
        </w:rPr>
        <w:t> </w:t>
      </w:r>
      <w:r>
        <w:rPr>
          <w:i/>
          <w:sz w:val="16"/>
        </w:rPr>
        <w:t>curiae</w:t>
      </w:r>
      <w:r>
        <w:rPr>
          <w:sz w:val="16"/>
        </w:rPr>
        <w:t>, expresó que “[e]l derecho a la alimentación puede realizarse cuando existe un proceso social en el que las personas, mujeres y hombres por igual, tienen opciones a su disposición para decidir cómo relacionarse con la naturaleza, transformar recursos en alimentos, en especial de producción local, de acuerdo con principios agroecológicos y que constituyan una dieta diversificada que sea adecuada, segura y nutritiva. Esta idea es necesaria para que todas las personas logren el bienestar alimenticio, sustenten la identidad cultural y sean capaces de llevar una vida saludable, activa y social. También se aplica particularmente a los grupos vulnerables,</w:t>
      </w:r>
      <w:r>
        <w:rPr>
          <w:spacing w:val="-3"/>
          <w:sz w:val="16"/>
        </w:rPr>
        <w:t> </w:t>
      </w:r>
      <w:r>
        <w:rPr>
          <w:sz w:val="16"/>
        </w:rPr>
        <w:t>como</w:t>
      </w:r>
      <w:r>
        <w:rPr>
          <w:spacing w:val="-2"/>
          <w:sz w:val="16"/>
        </w:rPr>
        <w:t> </w:t>
      </w:r>
      <w:r>
        <w:rPr>
          <w:sz w:val="16"/>
        </w:rPr>
        <w:t>los</w:t>
      </w:r>
      <w:r>
        <w:rPr>
          <w:spacing w:val="-2"/>
          <w:sz w:val="16"/>
        </w:rPr>
        <w:t> </w:t>
      </w:r>
      <w:r>
        <w:rPr>
          <w:sz w:val="16"/>
        </w:rPr>
        <w:t>pueblos</w:t>
      </w:r>
      <w:r>
        <w:rPr>
          <w:spacing w:val="-3"/>
          <w:sz w:val="16"/>
        </w:rPr>
        <w:t> </w:t>
      </w:r>
      <w:r>
        <w:rPr>
          <w:sz w:val="16"/>
        </w:rPr>
        <w:t>indígenas”.</w:t>
      </w:r>
      <w:r>
        <w:rPr>
          <w:spacing w:val="-1"/>
          <w:sz w:val="16"/>
        </w:rPr>
        <w:t> </w:t>
      </w:r>
      <w:r>
        <w:rPr>
          <w:sz w:val="16"/>
        </w:rPr>
        <w:t>Notó</w:t>
      </w:r>
      <w:r>
        <w:rPr>
          <w:spacing w:val="-2"/>
          <w:sz w:val="16"/>
        </w:rPr>
        <w:t> </w:t>
      </w:r>
      <w:r>
        <w:rPr>
          <w:sz w:val="16"/>
        </w:rPr>
        <w:t>que</w:t>
      </w:r>
      <w:r>
        <w:rPr>
          <w:spacing w:val="-3"/>
          <w:sz w:val="16"/>
        </w:rPr>
        <w:t> </w:t>
      </w:r>
      <w:r>
        <w:rPr>
          <w:sz w:val="16"/>
        </w:rPr>
        <w:t>la</w:t>
      </w:r>
      <w:r>
        <w:rPr>
          <w:spacing w:val="-3"/>
          <w:sz w:val="16"/>
        </w:rPr>
        <w:t> </w:t>
      </w:r>
      <w:r>
        <w:rPr>
          <w:sz w:val="16"/>
        </w:rPr>
        <w:t>FAO</w:t>
      </w:r>
      <w:r>
        <w:rPr>
          <w:spacing w:val="-2"/>
          <w:sz w:val="16"/>
        </w:rPr>
        <w:t> </w:t>
      </w:r>
      <w:r>
        <w:rPr>
          <w:sz w:val="16"/>
        </w:rPr>
        <w:t>considera</w:t>
      </w:r>
      <w:r>
        <w:rPr>
          <w:spacing w:val="-3"/>
          <w:sz w:val="16"/>
        </w:rPr>
        <w:t> </w:t>
      </w:r>
      <w:r>
        <w:rPr>
          <w:sz w:val="16"/>
        </w:rPr>
        <w:t>que</w:t>
      </w:r>
      <w:r>
        <w:rPr>
          <w:spacing w:val="-3"/>
          <w:sz w:val="16"/>
        </w:rPr>
        <w:t> </w:t>
      </w:r>
      <w:r>
        <w:rPr>
          <w:sz w:val="16"/>
        </w:rPr>
        <w:t>“el</w:t>
      </w:r>
      <w:r>
        <w:rPr>
          <w:spacing w:val="-3"/>
          <w:sz w:val="16"/>
        </w:rPr>
        <w:t> </w:t>
      </w:r>
      <w:r>
        <w:rPr>
          <w:sz w:val="16"/>
        </w:rPr>
        <w:t>derecho</w:t>
      </w:r>
      <w:r>
        <w:rPr>
          <w:spacing w:val="-2"/>
          <w:sz w:val="16"/>
        </w:rPr>
        <w:t> </w:t>
      </w:r>
      <w:r>
        <w:rPr>
          <w:sz w:val="16"/>
        </w:rPr>
        <w:t>a</w:t>
      </w:r>
      <w:r>
        <w:rPr>
          <w:spacing w:val="-1"/>
          <w:sz w:val="16"/>
        </w:rPr>
        <w:t> </w:t>
      </w:r>
      <w:r>
        <w:rPr>
          <w:sz w:val="16"/>
        </w:rPr>
        <w:t>la</w:t>
      </w:r>
      <w:r>
        <w:rPr>
          <w:spacing w:val="-6"/>
          <w:sz w:val="16"/>
        </w:rPr>
        <w:t> </w:t>
      </w:r>
      <w:r>
        <w:rPr>
          <w:sz w:val="16"/>
        </w:rPr>
        <w:t>alimentación</w:t>
      </w:r>
      <w:r>
        <w:rPr>
          <w:spacing w:val="-1"/>
          <w:sz w:val="16"/>
        </w:rPr>
        <w:t> </w:t>
      </w:r>
      <w:r>
        <w:rPr>
          <w:sz w:val="16"/>
        </w:rPr>
        <w:t>de</w:t>
      </w:r>
      <w:r>
        <w:rPr>
          <w:spacing w:val="-3"/>
          <w:sz w:val="16"/>
        </w:rPr>
        <w:t> </w:t>
      </w:r>
      <w:r>
        <w:rPr>
          <w:sz w:val="16"/>
        </w:rPr>
        <w:t>los pueblos indígenas es inseparable de su derecho a la tierra, los territorios y los recursos, la cultura y </w:t>
      </w:r>
      <w:r>
        <w:rPr>
          <w:spacing w:val="3"/>
          <w:sz w:val="16"/>
        </w:rPr>
        <w:t>la </w:t>
      </w:r>
      <w:r>
        <w:rPr>
          <w:sz w:val="16"/>
        </w:rPr>
        <w:t>autodeterminación”.</w:t>
      </w:r>
    </w:p>
    <w:p>
      <w:pPr>
        <w:spacing w:after="0" w:line="240" w:lineRule="auto"/>
        <w:jc w:val="both"/>
        <w:rPr>
          <w:sz w:val="16"/>
        </w:rPr>
        <w:sectPr>
          <w:pgSz w:w="12240" w:h="15840"/>
          <w:pgMar w:header="0" w:footer="1000" w:top="1500" w:bottom="1200" w:left="1580" w:right="1580"/>
        </w:sectPr>
      </w:pPr>
    </w:p>
    <w:p>
      <w:pPr>
        <w:pStyle w:val="BodyText"/>
        <w:spacing w:before="76"/>
        <w:ind w:left="122" w:right="126"/>
        <w:jc w:val="both"/>
      </w:pPr>
      <w:r>
        <w:rPr/>
        <w:t>tales</w:t>
      </w:r>
      <w:r>
        <w:rPr>
          <w:spacing w:val="-11"/>
        </w:rPr>
        <w:t> </w:t>
      </w:r>
      <w:r>
        <w:rPr/>
        <w:t>pueblos</w:t>
      </w:r>
      <w:r>
        <w:rPr>
          <w:spacing w:val="-10"/>
        </w:rPr>
        <w:t> </w:t>
      </w:r>
      <w:r>
        <w:rPr/>
        <w:t>a</w:t>
      </w:r>
      <w:r>
        <w:rPr>
          <w:spacing w:val="-9"/>
        </w:rPr>
        <w:t> </w:t>
      </w:r>
      <w:r>
        <w:rPr/>
        <w:t>“decidir</w:t>
      </w:r>
      <w:r>
        <w:rPr>
          <w:spacing w:val="-10"/>
        </w:rPr>
        <w:t> </w:t>
      </w:r>
      <w:r>
        <w:rPr/>
        <w:t>sus</w:t>
      </w:r>
      <w:r>
        <w:rPr>
          <w:spacing w:val="-11"/>
        </w:rPr>
        <w:t> </w:t>
      </w:r>
      <w:r>
        <w:rPr/>
        <w:t>propias</w:t>
      </w:r>
      <w:r>
        <w:rPr>
          <w:spacing w:val="-7"/>
        </w:rPr>
        <w:t> </w:t>
      </w:r>
      <w:r>
        <w:rPr/>
        <w:t>prioridades</w:t>
      </w:r>
      <w:r>
        <w:rPr>
          <w:spacing w:val="-7"/>
        </w:rPr>
        <w:t> </w:t>
      </w:r>
      <w:r>
        <w:rPr/>
        <w:t>en</w:t>
      </w:r>
      <w:r>
        <w:rPr>
          <w:spacing w:val="-10"/>
        </w:rPr>
        <w:t> </w:t>
      </w:r>
      <w:r>
        <w:rPr/>
        <w:t>lo</w:t>
      </w:r>
      <w:r>
        <w:rPr>
          <w:spacing w:val="-10"/>
        </w:rPr>
        <w:t> </w:t>
      </w:r>
      <w:r>
        <w:rPr/>
        <w:t>que</w:t>
      </w:r>
      <w:r>
        <w:rPr>
          <w:spacing w:val="-10"/>
        </w:rPr>
        <w:t> </w:t>
      </w:r>
      <w:r>
        <w:rPr/>
        <w:t>atañe</w:t>
      </w:r>
      <w:r>
        <w:rPr>
          <w:spacing w:val="-10"/>
        </w:rPr>
        <w:t> </w:t>
      </w:r>
      <w:r>
        <w:rPr/>
        <w:t>al</w:t>
      </w:r>
      <w:r>
        <w:rPr>
          <w:spacing w:val="-11"/>
        </w:rPr>
        <w:t> </w:t>
      </w:r>
      <w:r>
        <w:rPr/>
        <w:t>proceso</w:t>
      </w:r>
      <w:r>
        <w:rPr>
          <w:spacing w:val="-11"/>
        </w:rPr>
        <w:t> </w:t>
      </w:r>
      <w:r>
        <w:rPr/>
        <w:t>de</w:t>
      </w:r>
      <w:r>
        <w:rPr>
          <w:spacing w:val="-10"/>
        </w:rPr>
        <w:t> </w:t>
      </w:r>
      <w:r>
        <w:rPr/>
        <w:t>desarrollo, en la medida en que éste afecte a sus vidas […] y a las tierras que ocupan o utilizan de alguna manera”; “los derechos de los pueblos [referidos] a los recursos naturales existentes en sus tierras”, que “comprenden el derecho de esos pueblos a participar en la utilización, administración y conservación de dichos recursos”, y que “las actividades tradicionales</w:t>
      </w:r>
      <w:r>
        <w:rPr>
          <w:spacing w:val="-10"/>
        </w:rPr>
        <w:t> </w:t>
      </w:r>
      <w:r>
        <w:rPr/>
        <w:t>y</w:t>
      </w:r>
      <w:r>
        <w:rPr>
          <w:spacing w:val="-9"/>
        </w:rPr>
        <w:t> </w:t>
      </w:r>
      <w:r>
        <w:rPr/>
        <w:t>relacionadas</w:t>
      </w:r>
      <w:r>
        <w:rPr>
          <w:spacing w:val="-12"/>
        </w:rPr>
        <w:t> </w:t>
      </w:r>
      <w:r>
        <w:rPr/>
        <w:t>con</w:t>
      </w:r>
      <w:r>
        <w:rPr>
          <w:spacing w:val="-10"/>
        </w:rPr>
        <w:t> </w:t>
      </w:r>
      <w:r>
        <w:rPr/>
        <w:t>la</w:t>
      </w:r>
      <w:r>
        <w:rPr>
          <w:spacing w:val="-7"/>
        </w:rPr>
        <w:t> </w:t>
      </w:r>
      <w:r>
        <w:rPr/>
        <w:t>economía</w:t>
      </w:r>
      <w:r>
        <w:rPr>
          <w:spacing w:val="-11"/>
        </w:rPr>
        <w:t> </w:t>
      </w:r>
      <w:r>
        <w:rPr/>
        <w:t>de</w:t>
      </w:r>
      <w:r>
        <w:rPr>
          <w:spacing w:val="-8"/>
        </w:rPr>
        <w:t> </w:t>
      </w:r>
      <w:r>
        <w:rPr/>
        <w:t>subsistencia</w:t>
      </w:r>
      <w:r>
        <w:rPr>
          <w:spacing w:val="-9"/>
        </w:rPr>
        <w:t> </w:t>
      </w:r>
      <w:r>
        <w:rPr/>
        <w:t>de</w:t>
      </w:r>
      <w:r>
        <w:rPr>
          <w:spacing w:val="-13"/>
        </w:rPr>
        <w:t> </w:t>
      </w:r>
      <w:r>
        <w:rPr/>
        <w:t>los</w:t>
      </w:r>
      <w:r>
        <w:rPr>
          <w:spacing w:val="-10"/>
        </w:rPr>
        <w:t> </w:t>
      </w:r>
      <w:r>
        <w:rPr/>
        <w:t>pueblos</w:t>
      </w:r>
      <w:r>
        <w:rPr>
          <w:spacing w:val="-12"/>
        </w:rPr>
        <w:t> </w:t>
      </w:r>
      <w:r>
        <w:rPr/>
        <w:t>interesados, como</w:t>
      </w:r>
      <w:r>
        <w:rPr>
          <w:spacing w:val="-9"/>
        </w:rPr>
        <w:t> </w:t>
      </w:r>
      <w:r>
        <w:rPr/>
        <w:t>la</w:t>
      </w:r>
      <w:r>
        <w:rPr>
          <w:spacing w:val="-5"/>
        </w:rPr>
        <w:t> </w:t>
      </w:r>
      <w:r>
        <w:rPr/>
        <w:t>caza,</w:t>
      </w:r>
      <w:r>
        <w:rPr>
          <w:spacing w:val="-8"/>
        </w:rPr>
        <w:t> </w:t>
      </w:r>
      <w:r>
        <w:rPr/>
        <w:t>la</w:t>
      </w:r>
      <w:r>
        <w:rPr>
          <w:spacing w:val="-8"/>
        </w:rPr>
        <w:t> </w:t>
      </w:r>
      <w:r>
        <w:rPr/>
        <w:t>pesca,</w:t>
      </w:r>
      <w:r>
        <w:rPr>
          <w:spacing w:val="-8"/>
        </w:rPr>
        <w:t> </w:t>
      </w:r>
      <w:r>
        <w:rPr/>
        <w:t>la</w:t>
      </w:r>
      <w:r>
        <w:rPr>
          <w:spacing w:val="-8"/>
        </w:rPr>
        <w:t> </w:t>
      </w:r>
      <w:r>
        <w:rPr/>
        <w:t>caza</w:t>
      </w:r>
      <w:r>
        <w:rPr>
          <w:spacing w:val="-8"/>
        </w:rPr>
        <w:t> </w:t>
      </w:r>
      <w:r>
        <w:rPr/>
        <w:t>con</w:t>
      </w:r>
      <w:r>
        <w:rPr>
          <w:spacing w:val="-7"/>
        </w:rPr>
        <w:t> </w:t>
      </w:r>
      <w:r>
        <w:rPr/>
        <w:t>trampas</w:t>
      </w:r>
      <w:r>
        <w:rPr>
          <w:spacing w:val="-9"/>
        </w:rPr>
        <w:t> </w:t>
      </w:r>
      <w:r>
        <w:rPr/>
        <w:t>y</w:t>
      </w:r>
      <w:r>
        <w:rPr>
          <w:spacing w:val="-6"/>
        </w:rPr>
        <w:t> </w:t>
      </w:r>
      <w:r>
        <w:rPr/>
        <w:t>la</w:t>
      </w:r>
      <w:r>
        <w:rPr>
          <w:spacing w:val="-5"/>
        </w:rPr>
        <w:t> </w:t>
      </w:r>
      <w:r>
        <w:rPr/>
        <w:t>recolección,</w:t>
      </w:r>
      <w:r>
        <w:rPr>
          <w:spacing w:val="-8"/>
        </w:rPr>
        <w:t> </w:t>
      </w:r>
      <w:r>
        <w:rPr/>
        <w:t>deberán</w:t>
      </w:r>
      <w:r>
        <w:rPr>
          <w:spacing w:val="-4"/>
        </w:rPr>
        <w:t> </w:t>
      </w:r>
      <w:r>
        <w:rPr/>
        <w:t>reconocerse</w:t>
      </w:r>
      <w:r>
        <w:rPr>
          <w:spacing w:val="-9"/>
        </w:rPr>
        <w:t> </w:t>
      </w:r>
      <w:r>
        <w:rPr/>
        <w:t>como factores</w:t>
      </w:r>
      <w:r>
        <w:rPr>
          <w:spacing w:val="-21"/>
        </w:rPr>
        <w:t> </w:t>
      </w:r>
      <w:r>
        <w:rPr/>
        <w:t>importantes</w:t>
      </w:r>
      <w:r>
        <w:rPr>
          <w:spacing w:val="-21"/>
        </w:rPr>
        <w:t> </w:t>
      </w:r>
      <w:r>
        <w:rPr/>
        <w:t>del</w:t>
      </w:r>
      <w:r>
        <w:rPr>
          <w:spacing w:val="-17"/>
        </w:rPr>
        <w:t> </w:t>
      </w:r>
      <w:r>
        <w:rPr/>
        <w:t>mantenimiento</w:t>
      </w:r>
      <w:r>
        <w:rPr>
          <w:spacing w:val="-21"/>
        </w:rPr>
        <w:t> </w:t>
      </w:r>
      <w:r>
        <w:rPr/>
        <w:t>de</w:t>
      </w:r>
      <w:r>
        <w:rPr>
          <w:spacing w:val="-19"/>
        </w:rPr>
        <w:t> </w:t>
      </w:r>
      <w:r>
        <w:rPr/>
        <w:t>su</w:t>
      </w:r>
      <w:r>
        <w:rPr>
          <w:spacing w:val="-19"/>
        </w:rPr>
        <w:t> </w:t>
      </w:r>
      <w:r>
        <w:rPr/>
        <w:t>cultura</w:t>
      </w:r>
      <w:r>
        <w:rPr>
          <w:spacing w:val="-20"/>
        </w:rPr>
        <w:t> </w:t>
      </w:r>
      <w:r>
        <w:rPr/>
        <w:t>y</w:t>
      </w:r>
      <w:r>
        <w:rPr>
          <w:spacing w:val="-20"/>
        </w:rPr>
        <w:t> </w:t>
      </w:r>
      <w:r>
        <w:rPr/>
        <w:t>de</w:t>
      </w:r>
      <w:r>
        <w:rPr>
          <w:spacing w:val="-19"/>
        </w:rPr>
        <w:t> </w:t>
      </w:r>
      <w:r>
        <w:rPr/>
        <w:t>su</w:t>
      </w:r>
      <w:r>
        <w:rPr>
          <w:spacing w:val="-19"/>
        </w:rPr>
        <w:t> </w:t>
      </w:r>
      <w:r>
        <w:rPr/>
        <w:t>autosuficiencia</w:t>
      </w:r>
      <w:r>
        <w:rPr>
          <w:spacing w:val="-20"/>
        </w:rPr>
        <w:t> </w:t>
      </w:r>
      <w:r>
        <w:rPr/>
        <w:t>y</w:t>
      </w:r>
      <w:r>
        <w:rPr>
          <w:spacing w:val="-20"/>
        </w:rPr>
        <w:t> </w:t>
      </w:r>
      <w:r>
        <w:rPr/>
        <w:t>desarrollo económicos”.</w:t>
      </w:r>
    </w:p>
    <w:p>
      <w:pPr>
        <w:pStyle w:val="BodyText"/>
        <w:spacing w:before="10"/>
        <w:rPr>
          <w:sz w:val="19"/>
        </w:rPr>
      </w:pPr>
    </w:p>
    <w:p>
      <w:pPr>
        <w:pStyle w:val="ListParagraph"/>
        <w:numPr>
          <w:ilvl w:val="0"/>
          <w:numId w:val="31"/>
        </w:numPr>
        <w:tabs>
          <w:tab w:pos="830" w:val="left" w:leader="none"/>
        </w:tabs>
        <w:spacing w:line="240" w:lineRule="auto" w:before="0" w:after="0"/>
        <w:ind w:left="122" w:right="125" w:firstLine="0"/>
        <w:jc w:val="both"/>
        <w:rPr>
          <w:sz w:val="13"/>
        </w:rPr>
      </w:pPr>
      <w:r>
        <w:rPr>
          <w:sz w:val="20"/>
        </w:rPr>
        <w:t>En el mismo sentido, la Declaración de las Naciones Unidas sobre los Derechos de</w:t>
      </w:r>
      <w:r>
        <w:rPr>
          <w:spacing w:val="-7"/>
          <w:sz w:val="20"/>
        </w:rPr>
        <w:t> </w:t>
      </w:r>
      <w:r>
        <w:rPr>
          <w:sz w:val="20"/>
        </w:rPr>
        <w:t>los</w:t>
      </w:r>
      <w:r>
        <w:rPr>
          <w:spacing w:val="-4"/>
          <w:sz w:val="20"/>
        </w:rPr>
        <w:t> </w:t>
      </w:r>
      <w:r>
        <w:rPr>
          <w:sz w:val="20"/>
        </w:rPr>
        <w:t>Pueblos</w:t>
      </w:r>
      <w:r>
        <w:rPr>
          <w:spacing w:val="-6"/>
          <w:sz w:val="20"/>
        </w:rPr>
        <w:t> </w:t>
      </w:r>
      <w:r>
        <w:rPr>
          <w:sz w:val="20"/>
        </w:rPr>
        <w:t>Indígenas</w:t>
      </w:r>
      <w:r>
        <w:rPr>
          <w:spacing w:val="-6"/>
          <w:sz w:val="20"/>
        </w:rPr>
        <w:t> </w:t>
      </w:r>
      <w:r>
        <w:rPr>
          <w:sz w:val="20"/>
        </w:rPr>
        <w:t>indica</w:t>
      </w:r>
      <w:r>
        <w:rPr>
          <w:spacing w:val="-4"/>
          <w:sz w:val="20"/>
        </w:rPr>
        <w:t> </w:t>
      </w:r>
      <w:r>
        <w:rPr>
          <w:sz w:val="20"/>
        </w:rPr>
        <w:t>en</w:t>
      </w:r>
      <w:r>
        <w:rPr>
          <w:spacing w:val="-3"/>
          <w:sz w:val="20"/>
        </w:rPr>
        <w:t> </w:t>
      </w:r>
      <w:r>
        <w:rPr>
          <w:sz w:val="20"/>
        </w:rPr>
        <w:t>sus</w:t>
      </w:r>
      <w:r>
        <w:rPr>
          <w:spacing w:val="-6"/>
          <w:sz w:val="20"/>
        </w:rPr>
        <w:t> </w:t>
      </w:r>
      <w:r>
        <w:rPr>
          <w:sz w:val="20"/>
        </w:rPr>
        <w:t>artículos</w:t>
      </w:r>
      <w:r>
        <w:rPr>
          <w:spacing w:val="-5"/>
          <w:sz w:val="20"/>
        </w:rPr>
        <w:t> </w:t>
      </w:r>
      <w:r>
        <w:rPr>
          <w:sz w:val="20"/>
        </w:rPr>
        <w:t>20.1,</w:t>
      </w:r>
      <w:r>
        <w:rPr>
          <w:spacing w:val="-5"/>
          <w:sz w:val="20"/>
        </w:rPr>
        <w:t> </w:t>
      </w:r>
      <w:r>
        <w:rPr>
          <w:sz w:val="20"/>
        </w:rPr>
        <w:t>29.1</w:t>
      </w:r>
      <w:r>
        <w:rPr>
          <w:spacing w:val="-4"/>
          <w:sz w:val="20"/>
        </w:rPr>
        <w:t> </w:t>
      </w:r>
      <w:r>
        <w:rPr>
          <w:sz w:val="20"/>
        </w:rPr>
        <w:t>y</w:t>
      </w:r>
      <w:r>
        <w:rPr>
          <w:spacing w:val="-6"/>
          <w:sz w:val="20"/>
        </w:rPr>
        <w:t> </w:t>
      </w:r>
      <w:r>
        <w:rPr>
          <w:sz w:val="20"/>
        </w:rPr>
        <w:t>32.1,</w:t>
      </w:r>
      <w:r>
        <w:rPr>
          <w:spacing w:val="-5"/>
          <w:sz w:val="20"/>
        </w:rPr>
        <w:t> </w:t>
      </w:r>
      <w:r>
        <w:rPr>
          <w:sz w:val="20"/>
        </w:rPr>
        <w:t>respectivamente,</w:t>
      </w:r>
      <w:r>
        <w:rPr>
          <w:spacing w:val="-5"/>
          <w:sz w:val="20"/>
        </w:rPr>
        <w:t> </w:t>
      </w:r>
      <w:r>
        <w:rPr>
          <w:sz w:val="20"/>
        </w:rPr>
        <w:t>los derechos de los pueblos indígenas “a disfrutar de forma segura de sus propios medios de subsistencia y desarrollo”; “a la conservación y protección del medio ambiente y de la</w:t>
      </w:r>
      <w:r>
        <w:rPr>
          <w:spacing w:val="-20"/>
          <w:sz w:val="20"/>
        </w:rPr>
        <w:t> </w:t>
      </w:r>
      <w:r>
        <w:rPr>
          <w:sz w:val="20"/>
        </w:rPr>
        <w:t>capacidad</w:t>
      </w:r>
      <w:r>
        <w:rPr>
          <w:spacing w:val="-19"/>
          <w:sz w:val="20"/>
        </w:rPr>
        <w:t> </w:t>
      </w:r>
      <w:r>
        <w:rPr>
          <w:sz w:val="20"/>
        </w:rPr>
        <w:t>productiva</w:t>
      </w:r>
      <w:r>
        <w:rPr>
          <w:spacing w:val="-18"/>
          <w:sz w:val="20"/>
        </w:rPr>
        <w:t> </w:t>
      </w:r>
      <w:r>
        <w:rPr>
          <w:sz w:val="20"/>
        </w:rPr>
        <w:t>de</w:t>
      </w:r>
      <w:r>
        <w:rPr>
          <w:spacing w:val="-21"/>
          <w:sz w:val="20"/>
        </w:rPr>
        <w:t> </w:t>
      </w:r>
      <w:r>
        <w:rPr>
          <w:sz w:val="20"/>
        </w:rPr>
        <w:t>sus</w:t>
      </w:r>
      <w:r>
        <w:rPr>
          <w:spacing w:val="-20"/>
          <w:sz w:val="20"/>
        </w:rPr>
        <w:t> </w:t>
      </w:r>
      <w:r>
        <w:rPr>
          <w:sz w:val="20"/>
        </w:rPr>
        <w:t>tierras</w:t>
      </w:r>
      <w:r>
        <w:rPr>
          <w:spacing w:val="-18"/>
          <w:sz w:val="20"/>
        </w:rPr>
        <w:t> </w:t>
      </w:r>
      <w:r>
        <w:rPr>
          <w:sz w:val="20"/>
        </w:rPr>
        <w:t>o</w:t>
      </w:r>
      <w:r>
        <w:rPr>
          <w:spacing w:val="-21"/>
          <w:sz w:val="20"/>
        </w:rPr>
        <w:t> </w:t>
      </w:r>
      <w:r>
        <w:rPr>
          <w:sz w:val="20"/>
        </w:rPr>
        <w:t>territorios</w:t>
      </w:r>
      <w:r>
        <w:rPr>
          <w:spacing w:val="-21"/>
          <w:sz w:val="20"/>
        </w:rPr>
        <w:t> </w:t>
      </w:r>
      <w:r>
        <w:rPr>
          <w:sz w:val="20"/>
        </w:rPr>
        <w:t>y</w:t>
      </w:r>
      <w:r>
        <w:rPr>
          <w:spacing w:val="-20"/>
          <w:sz w:val="20"/>
        </w:rPr>
        <w:t> </w:t>
      </w:r>
      <w:r>
        <w:rPr>
          <w:sz w:val="20"/>
        </w:rPr>
        <w:t>recursos”,</w:t>
      </w:r>
      <w:r>
        <w:rPr>
          <w:spacing w:val="-21"/>
          <w:sz w:val="20"/>
        </w:rPr>
        <w:t> </w:t>
      </w:r>
      <w:r>
        <w:rPr>
          <w:sz w:val="20"/>
        </w:rPr>
        <w:t>y</w:t>
      </w:r>
      <w:r>
        <w:rPr>
          <w:spacing w:val="-18"/>
          <w:sz w:val="20"/>
        </w:rPr>
        <w:t> </w:t>
      </w:r>
      <w:r>
        <w:rPr>
          <w:sz w:val="20"/>
        </w:rPr>
        <w:t>“a</w:t>
      </w:r>
      <w:r>
        <w:rPr>
          <w:spacing w:val="-20"/>
          <w:sz w:val="20"/>
        </w:rPr>
        <w:t> </w:t>
      </w:r>
      <w:r>
        <w:rPr>
          <w:sz w:val="20"/>
        </w:rPr>
        <w:t>determinar</w:t>
      </w:r>
      <w:r>
        <w:rPr>
          <w:spacing w:val="-21"/>
          <w:sz w:val="20"/>
        </w:rPr>
        <w:t> </w:t>
      </w:r>
      <w:r>
        <w:rPr>
          <w:sz w:val="20"/>
        </w:rPr>
        <w:t>y</w:t>
      </w:r>
      <w:r>
        <w:rPr>
          <w:spacing w:val="-20"/>
          <w:sz w:val="20"/>
        </w:rPr>
        <w:t> </w:t>
      </w:r>
      <w:r>
        <w:rPr>
          <w:sz w:val="20"/>
        </w:rPr>
        <w:t>elaborar las</w:t>
      </w:r>
      <w:r>
        <w:rPr>
          <w:spacing w:val="-7"/>
          <w:sz w:val="20"/>
        </w:rPr>
        <w:t> </w:t>
      </w:r>
      <w:r>
        <w:rPr>
          <w:sz w:val="20"/>
        </w:rPr>
        <w:t>prioridades</w:t>
      </w:r>
      <w:r>
        <w:rPr>
          <w:spacing w:val="-5"/>
          <w:sz w:val="20"/>
        </w:rPr>
        <w:t> </w:t>
      </w:r>
      <w:r>
        <w:rPr>
          <w:sz w:val="20"/>
        </w:rPr>
        <w:t>y</w:t>
      </w:r>
      <w:r>
        <w:rPr>
          <w:spacing w:val="-4"/>
          <w:sz w:val="20"/>
        </w:rPr>
        <w:t> </w:t>
      </w:r>
      <w:r>
        <w:rPr>
          <w:sz w:val="20"/>
        </w:rPr>
        <w:t>estrategias</w:t>
      </w:r>
      <w:r>
        <w:rPr>
          <w:spacing w:val="-7"/>
          <w:sz w:val="20"/>
        </w:rPr>
        <w:t> </w:t>
      </w:r>
      <w:r>
        <w:rPr>
          <w:sz w:val="20"/>
        </w:rPr>
        <w:t>para</w:t>
      </w:r>
      <w:r>
        <w:rPr>
          <w:spacing w:val="-4"/>
          <w:sz w:val="20"/>
        </w:rPr>
        <w:t> </w:t>
      </w:r>
      <w:r>
        <w:rPr>
          <w:sz w:val="20"/>
        </w:rPr>
        <w:t>el</w:t>
      </w:r>
      <w:r>
        <w:rPr>
          <w:spacing w:val="-4"/>
          <w:sz w:val="20"/>
        </w:rPr>
        <w:t> </w:t>
      </w:r>
      <w:r>
        <w:rPr>
          <w:sz w:val="20"/>
        </w:rPr>
        <w:t>desarrollo</w:t>
      </w:r>
      <w:r>
        <w:rPr>
          <w:spacing w:val="-5"/>
          <w:sz w:val="20"/>
        </w:rPr>
        <w:t> </w:t>
      </w:r>
      <w:r>
        <w:rPr>
          <w:sz w:val="20"/>
        </w:rPr>
        <w:t>o</w:t>
      </w:r>
      <w:r>
        <w:rPr>
          <w:spacing w:val="-6"/>
          <w:sz w:val="20"/>
        </w:rPr>
        <w:t> </w:t>
      </w:r>
      <w:r>
        <w:rPr>
          <w:sz w:val="20"/>
        </w:rPr>
        <w:t>la</w:t>
      </w:r>
      <w:r>
        <w:rPr>
          <w:spacing w:val="-6"/>
          <w:sz w:val="20"/>
        </w:rPr>
        <w:t> </w:t>
      </w:r>
      <w:r>
        <w:rPr>
          <w:sz w:val="20"/>
        </w:rPr>
        <w:t>utilización</w:t>
      </w:r>
      <w:r>
        <w:rPr>
          <w:spacing w:val="-6"/>
          <w:sz w:val="20"/>
        </w:rPr>
        <w:t> </w:t>
      </w:r>
      <w:r>
        <w:rPr>
          <w:sz w:val="20"/>
        </w:rPr>
        <w:t>de</w:t>
      </w:r>
      <w:r>
        <w:rPr>
          <w:spacing w:val="-6"/>
          <w:sz w:val="20"/>
        </w:rPr>
        <w:t> </w:t>
      </w:r>
      <w:r>
        <w:rPr>
          <w:sz w:val="20"/>
        </w:rPr>
        <w:t>sus</w:t>
      </w:r>
      <w:r>
        <w:rPr>
          <w:spacing w:val="-4"/>
          <w:sz w:val="20"/>
        </w:rPr>
        <w:t> </w:t>
      </w:r>
      <w:r>
        <w:rPr>
          <w:sz w:val="20"/>
        </w:rPr>
        <w:t>tierras</w:t>
      </w:r>
      <w:r>
        <w:rPr>
          <w:spacing w:val="-5"/>
          <w:sz w:val="20"/>
        </w:rPr>
        <w:t> </w:t>
      </w:r>
      <w:r>
        <w:rPr>
          <w:sz w:val="20"/>
        </w:rPr>
        <w:t>o</w:t>
      </w:r>
      <w:r>
        <w:rPr>
          <w:spacing w:val="-8"/>
          <w:sz w:val="20"/>
        </w:rPr>
        <w:t> </w:t>
      </w:r>
      <w:r>
        <w:rPr>
          <w:sz w:val="20"/>
        </w:rPr>
        <w:t>territorios y otros recursos”. La Declaración Americana sobre Derechos de los Pueblos Indígenas, por su parte, en su artículo XIX recepta el “derecho a la protección del medio ambiente sano”, que incluye el derecho de los “pueblos indígenas” a “vivir en armonía con la naturaleza y a un ambiente sano, seguro y sustentable”; a “conservar, restaurar y proteger el medio ambiente y al manejo sustentable de sus tierras, territorios y recursos”, y “a la conservación y protección del medio ambiente y de la capacidad productiva de sus tierras o territorios y</w:t>
      </w:r>
      <w:r>
        <w:rPr>
          <w:spacing w:val="-10"/>
          <w:sz w:val="20"/>
        </w:rPr>
        <w:t> </w:t>
      </w:r>
      <w:r>
        <w:rPr>
          <w:sz w:val="20"/>
        </w:rPr>
        <w:t>recursos”</w:t>
      </w:r>
      <w:r>
        <w:rPr>
          <w:position w:val="7"/>
          <w:sz w:val="13"/>
        </w:rPr>
        <w:t>248</w:t>
      </w:r>
    </w:p>
    <w:p>
      <w:pPr>
        <w:pStyle w:val="BodyText"/>
        <w:spacing w:before="10"/>
        <w:rPr>
          <w:sz w:val="19"/>
        </w:rPr>
      </w:pPr>
    </w:p>
    <w:p>
      <w:pPr>
        <w:pStyle w:val="ListParagraph"/>
        <w:numPr>
          <w:ilvl w:val="0"/>
          <w:numId w:val="31"/>
        </w:numPr>
        <w:tabs>
          <w:tab w:pos="830" w:val="left" w:leader="none"/>
        </w:tabs>
        <w:spacing w:line="240" w:lineRule="auto" w:before="0" w:after="0"/>
        <w:ind w:left="122" w:right="132" w:firstLine="0"/>
        <w:jc w:val="both"/>
        <w:rPr>
          <w:sz w:val="20"/>
        </w:rPr>
      </w:pPr>
      <w:r>
        <w:rPr>
          <w:sz w:val="20"/>
        </w:rPr>
        <w:t>Sobre el particular, es pertinente tener en consideración que el Comité DESC expresó</w:t>
      </w:r>
      <w:r>
        <w:rPr>
          <w:spacing w:val="-5"/>
          <w:sz w:val="20"/>
        </w:rPr>
        <w:t> </w:t>
      </w:r>
      <w:r>
        <w:rPr>
          <w:sz w:val="20"/>
        </w:rPr>
        <w:t>que:</w:t>
      </w:r>
    </w:p>
    <w:p>
      <w:pPr>
        <w:pStyle w:val="BodyText"/>
        <w:spacing w:before="12"/>
        <w:rPr>
          <w:sz w:val="19"/>
        </w:rPr>
      </w:pPr>
    </w:p>
    <w:p>
      <w:pPr>
        <w:spacing w:before="0"/>
        <w:ind w:left="405" w:right="402" w:firstLine="0"/>
        <w:jc w:val="both"/>
        <w:rPr>
          <w:sz w:val="16"/>
        </w:rPr>
      </w:pPr>
      <w:r>
        <w:rPr>
          <w:sz w:val="16"/>
        </w:rPr>
        <w:t>La fuerte dimensión colectiva de la vida cultural de los pueblos indígenas es indispensable para su existencia, bienestar y desarrollo integral, y comprende el derecho a las tierras, territorios y recursos que tradicionalmente han poseído, ocupado o de otra forma utilizado o adquirido. Hay que respetar y proteger los valores culturales y los derechos de los pueblos indígenas asociados a sus tierras ancestrales</w:t>
      </w:r>
      <w:r>
        <w:rPr>
          <w:spacing w:val="-9"/>
          <w:sz w:val="16"/>
        </w:rPr>
        <w:t> </w:t>
      </w:r>
      <w:r>
        <w:rPr>
          <w:sz w:val="16"/>
        </w:rPr>
        <w:t>y</w:t>
      </w:r>
      <w:r>
        <w:rPr>
          <w:spacing w:val="-9"/>
          <w:sz w:val="16"/>
        </w:rPr>
        <w:t> </w:t>
      </w:r>
      <w:r>
        <w:rPr>
          <w:sz w:val="16"/>
        </w:rPr>
        <w:t>a</w:t>
      </w:r>
      <w:r>
        <w:rPr>
          <w:spacing w:val="-10"/>
          <w:sz w:val="16"/>
        </w:rPr>
        <w:t> </w:t>
      </w:r>
      <w:r>
        <w:rPr>
          <w:sz w:val="16"/>
        </w:rPr>
        <w:t>su</w:t>
      </w:r>
      <w:r>
        <w:rPr>
          <w:spacing w:val="-10"/>
          <w:sz w:val="16"/>
        </w:rPr>
        <w:t> </w:t>
      </w:r>
      <w:r>
        <w:rPr>
          <w:sz w:val="16"/>
        </w:rPr>
        <w:t>relación</w:t>
      </w:r>
      <w:r>
        <w:rPr>
          <w:spacing w:val="-11"/>
          <w:sz w:val="16"/>
        </w:rPr>
        <w:t> </w:t>
      </w:r>
      <w:r>
        <w:rPr>
          <w:sz w:val="16"/>
        </w:rPr>
        <w:t>con</w:t>
      </w:r>
      <w:r>
        <w:rPr>
          <w:spacing w:val="-8"/>
          <w:sz w:val="16"/>
        </w:rPr>
        <w:t> </w:t>
      </w:r>
      <w:r>
        <w:rPr>
          <w:sz w:val="16"/>
        </w:rPr>
        <w:t>la</w:t>
      </w:r>
      <w:r>
        <w:rPr>
          <w:spacing w:val="-8"/>
          <w:sz w:val="16"/>
        </w:rPr>
        <w:t> </w:t>
      </w:r>
      <w:r>
        <w:rPr>
          <w:sz w:val="16"/>
        </w:rPr>
        <w:t>naturaleza,</w:t>
      </w:r>
      <w:r>
        <w:rPr>
          <w:spacing w:val="-8"/>
          <w:sz w:val="16"/>
        </w:rPr>
        <w:t> </w:t>
      </w:r>
      <w:r>
        <w:rPr>
          <w:sz w:val="16"/>
        </w:rPr>
        <w:t>a</w:t>
      </w:r>
      <w:r>
        <w:rPr>
          <w:spacing w:val="-10"/>
          <w:sz w:val="16"/>
        </w:rPr>
        <w:t> </w:t>
      </w:r>
      <w:r>
        <w:rPr>
          <w:sz w:val="16"/>
        </w:rPr>
        <w:t>fin</w:t>
      </w:r>
      <w:r>
        <w:rPr>
          <w:spacing w:val="-11"/>
          <w:sz w:val="16"/>
        </w:rPr>
        <w:t> </w:t>
      </w:r>
      <w:r>
        <w:rPr>
          <w:sz w:val="16"/>
        </w:rPr>
        <w:t>de</w:t>
      </w:r>
      <w:r>
        <w:rPr>
          <w:spacing w:val="-10"/>
          <w:sz w:val="16"/>
        </w:rPr>
        <w:t> </w:t>
      </w:r>
      <w:r>
        <w:rPr>
          <w:sz w:val="16"/>
        </w:rPr>
        <w:t>evitar</w:t>
      </w:r>
      <w:r>
        <w:rPr>
          <w:spacing w:val="-7"/>
          <w:sz w:val="16"/>
        </w:rPr>
        <w:t> </w:t>
      </w:r>
      <w:r>
        <w:rPr>
          <w:sz w:val="16"/>
        </w:rPr>
        <w:t>la</w:t>
      </w:r>
      <w:r>
        <w:rPr>
          <w:spacing w:val="-8"/>
          <w:sz w:val="16"/>
        </w:rPr>
        <w:t> </w:t>
      </w:r>
      <w:r>
        <w:rPr>
          <w:sz w:val="16"/>
        </w:rPr>
        <w:t>degradación</w:t>
      </w:r>
      <w:r>
        <w:rPr>
          <w:spacing w:val="-11"/>
          <w:sz w:val="16"/>
        </w:rPr>
        <w:t> </w:t>
      </w:r>
      <w:r>
        <w:rPr>
          <w:sz w:val="16"/>
        </w:rPr>
        <w:t>de</w:t>
      </w:r>
      <w:r>
        <w:rPr>
          <w:spacing w:val="-10"/>
          <w:sz w:val="16"/>
        </w:rPr>
        <w:t> </w:t>
      </w:r>
      <w:r>
        <w:rPr>
          <w:sz w:val="16"/>
        </w:rPr>
        <w:t>su</w:t>
      </w:r>
      <w:r>
        <w:rPr>
          <w:spacing w:val="-11"/>
          <w:sz w:val="16"/>
        </w:rPr>
        <w:t> </w:t>
      </w:r>
      <w:r>
        <w:rPr>
          <w:sz w:val="16"/>
        </w:rPr>
        <w:t>peculiar</w:t>
      </w:r>
      <w:r>
        <w:rPr>
          <w:spacing w:val="-9"/>
          <w:sz w:val="16"/>
        </w:rPr>
        <w:t> </w:t>
      </w:r>
      <w:r>
        <w:rPr>
          <w:sz w:val="16"/>
        </w:rPr>
        <w:t>estilo</w:t>
      </w:r>
      <w:r>
        <w:rPr>
          <w:spacing w:val="-7"/>
          <w:sz w:val="16"/>
        </w:rPr>
        <w:t> </w:t>
      </w:r>
      <w:r>
        <w:rPr>
          <w:sz w:val="16"/>
        </w:rPr>
        <w:t>de</w:t>
      </w:r>
      <w:r>
        <w:rPr>
          <w:spacing w:val="-12"/>
          <w:sz w:val="16"/>
        </w:rPr>
        <w:t> </w:t>
      </w:r>
      <w:r>
        <w:rPr>
          <w:sz w:val="16"/>
        </w:rPr>
        <w:t>vida, incluidos los medios de subsistencia, la pérdida de recursos naturales y, en última instancia, su identidad</w:t>
      </w:r>
      <w:r>
        <w:rPr>
          <w:spacing w:val="-3"/>
          <w:sz w:val="16"/>
        </w:rPr>
        <w:t> </w:t>
      </w:r>
      <w:r>
        <w:rPr>
          <w:sz w:val="16"/>
        </w:rPr>
        <w:t>cultural.</w:t>
      </w:r>
      <w:r>
        <w:rPr>
          <w:spacing w:val="-2"/>
          <w:sz w:val="16"/>
        </w:rPr>
        <w:t> </w:t>
      </w:r>
      <w:r>
        <w:rPr>
          <w:sz w:val="16"/>
        </w:rPr>
        <w:t>Por</w:t>
      </w:r>
      <w:r>
        <w:rPr>
          <w:spacing w:val="-3"/>
          <w:sz w:val="16"/>
        </w:rPr>
        <w:t> </w:t>
      </w:r>
      <w:r>
        <w:rPr>
          <w:sz w:val="16"/>
        </w:rPr>
        <w:t>lo</w:t>
      </w:r>
      <w:r>
        <w:rPr>
          <w:spacing w:val="-3"/>
          <w:sz w:val="16"/>
        </w:rPr>
        <w:t> </w:t>
      </w:r>
      <w:r>
        <w:rPr>
          <w:sz w:val="16"/>
        </w:rPr>
        <w:t>tanto,</w:t>
      </w:r>
      <w:r>
        <w:rPr>
          <w:spacing w:val="-2"/>
          <w:sz w:val="16"/>
        </w:rPr>
        <w:t> </w:t>
      </w:r>
      <w:r>
        <w:rPr>
          <w:sz w:val="16"/>
        </w:rPr>
        <w:t>los</w:t>
      </w:r>
      <w:r>
        <w:rPr>
          <w:spacing w:val="-4"/>
          <w:sz w:val="16"/>
        </w:rPr>
        <w:t> </w:t>
      </w:r>
      <w:r>
        <w:rPr>
          <w:sz w:val="16"/>
        </w:rPr>
        <w:t>Estados</w:t>
      </w:r>
      <w:r>
        <w:rPr>
          <w:spacing w:val="-6"/>
          <w:sz w:val="16"/>
        </w:rPr>
        <w:t> </w:t>
      </w:r>
      <w:r>
        <w:rPr>
          <w:sz w:val="16"/>
        </w:rPr>
        <w:t>partes</w:t>
      </w:r>
      <w:r>
        <w:rPr>
          <w:spacing w:val="-4"/>
          <w:sz w:val="16"/>
        </w:rPr>
        <w:t> </w:t>
      </w:r>
      <w:r>
        <w:rPr>
          <w:sz w:val="16"/>
        </w:rPr>
        <w:t>deben</w:t>
      </w:r>
      <w:r>
        <w:rPr>
          <w:spacing w:val="-5"/>
          <w:sz w:val="16"/>
        </w:rPr>
        <w:t> </w:t>
      </w:r>
      <w:r>
        <w:rPr>
          <w:sz w:val="16"/>
        </w:rPr>
        <w:t>tomar</w:t>
      </w:r>
      <w:r>
        <w:rPr>
          <w:spacing w:val="-3"/>
          <w:sz w:val="16"/>
        </w:rPr>
        <w:t> </w:t>
      </w:r>
      <w:r>
        <w:rPr>
          <w:sz w:val="16"/>
        </w:rPr>
        <w:t>medidas</w:t>
      </w:r>
      <w:r>
        <w:rPr>
          <w:spacing w:val="-4"/>
          <w:sz w:val="16"/>
        </w:rPr>
        <w:t> </w:t>
      </w:r>
      <w:r>
        <w:rPr>
          <w:sz w:val="16"/>
        </w:rPr>
        <w:t>para</w:t>
      </w:r>
      <w:r>
        <w:rPr>
          <w:spacing w:val="-4"/>
          <w:sz w:val="16"/>
        </w:rPr>
        <w:t> </w:t>
      </w:r>
      <w:r>
        <w:rPr>
          <w:sz w:val="16"/>
        </w:rPr>
        <w:t>reconocer</w:t>
      </w:r>
      <w:r>
        <w:rPr>
          <w:spacing w:val="-5"/>
          <w:sz w:val="16"/>
        </w:rPr>
        <w:t> </w:t>
      </w:r>
      <w:r>
        <w:rPr>
          <w:sz w:val="16"/>
        </w:rPr>
        <w:t>y</w:t>
      </w:r>
      <w:r>
        <w:rPr>
          <w:spacing w:val="-3"/>
          <w:sz w:val="16"/>
        </w:rPr>
        <w:t> </w:t>
      </w:r>
      <w:r>
        <w:rPr>
          <w:sz w:val="16"/>
        </w:rPr>
        <w:t>proteger</w:t>
      </w:r>
      <w:r>
        <w:rPr>
          <w:spacing w:val="-3"/>
          <w:sz w:val="16"/>
        </w:rPr>
        <w:t> </w:t>
      </w:r>
      <w:r>
        <w:rPr>
          <w:sz w:val="16"/>
        </w:rPr>
        <w:t>los derechos de los pueblos indígenas a poseer, explotar, controlar y utilizar sus tierras, territorios y recursos comunales y, en los casos en que se hubieren ocupado o utilizado de otro modo esas tierras o territorios sin su consentimiento libre e informado, adoptar medidas para que les sean</w:t>
      </w:r>
      <w:r>
        <w:rPr>
          <w:spacing w:val="-29"/>
          <w:sz w:val="16"/>
        </w:rPr>
        <w:t> </w:t>
      </w:r>
      <w:r>
        <w:rPr>
          <w:sz w:val="16"/>
        </w:rPr>
        <w:t>devueltos</w:t>
      </w:r>
      <w:r>
        <w:rPr>
          <w:position w:val="6"/>
          <w:sz w:val="10"/>
        </w:rPr>
        <w:t>249</w:t>
      </w:r>
      <w:r>
        <w:rPr>
          <w:sz w:val="16"/>
        </w:rPr>
        <w:t>.</w:t>
      </w:r>
    </w:p>
    <w:p>
      <w:pPr>
        <w:pStyle w:val="BodyText"/>
        <w:spacing w:before="11"/>
        <w:rPr>
          <w:sz w:val="19"/>
        </w:rPr>
      </w:pPr>
    </w:p>
    <w:p>
      <w:pPr>
        <w:pStyle w:val="ListParagraph"/>
        <w:numPr>
          <w:ilvl w:val="0"/>
          <w:numId w:val="31"/>
        </w:numPr>
        <w:tabs>
          <w:tab w:pos="830" w:val="left" w:leader="none"/>
        </w:tabs>
        <w:spacing w:line="240" w:lineRule="auto" w:before="1" w:after="0"/>
        <w:ind w:left="122" w:right="124" w:firstLine="0"/>
        <w:jc w:val="both"/>
        <w:rPr>
          <w:sz w:val="20"/>
        </w:rPr>
      </w:pPr>
      <w:r>
        <w:rPr>
          <w:sz w:val="20"/>
        </w:rPr>
        <w:t>Por otra parte, es importante destacar que el manejo por parte de las comunidades</w:t>
      </w:r>
      <w:r>
        <w:rPr>
          <w:spacing w:val="-8"/>
          <w:sz w:val="20"/>
        </w:rPr>
        <w:t> </w:t>
      </w:r>
      <w:r>
        <w:rPr>
          <w:sz w:val="20"/>
        </w:rPr>
        <w:t>indígenas</w:t>
      </w:r>
      <w:r>
        <w:rPr>
          <w:spacing w:val="-6"/>
          <w:sz w:val="20"/>
        </w:rPr>
        <w:t> </w:t>
      </w:r>
      <w:r>
        <w:rPr>
          <w:sz w:val="20"/>
        </w:rPr>
        <w:t>de</w:t>
      </w:r>
      <w:r>
        <w:rPr>
          <w:spacing w:val="-11"/>
          <w:sz w:val="20"/>
        </w:rPr>
        <w:t> </w:t>
      </w:r>
      <w:r>
        <w:rPr>
          <w:sz w:val="20"/>
        </w:rPr>
        <w:t>los</w:t>
      </w:r>
      <w:r>
        <w:rPr>
          <w:spacing w:val="-8"/>
          <w:sz w:val="20"/>
        </w:rPr>
        <w:t> </w:t>
      </w:r>
      <w:r>
        <w:rPr>
          <w:sz w:val="20"/>
        </w:rPr>
        <w:t>recursos</w:t>
      </w:r>
      <w:r>
        <w:rPr>
          <w:spacing w:val="-8"/>
          <w:sz w:val="20"/>
        </w:rPr>
        <w:t> </w:t>
      </w:r>
      <w:r>
        <w:rPr>
          <w:sz w:val="20"/>
        </w:rPr>
        <w:t>existentes</w:t>
      </w:r>
      <w:r>
        <w:rPr>
          <w:spacing w:val="-8"/>
          <w:sz w:val="20"/>
        </w:rPr>
        <w:t> </w:t>
      </w:r>
      <w:r>
        <w:rPr>
          <w:sz w:val="20"/>
        </w:rPr>
        <w:t>en</w:t>
      </w:r>
      <w:r>
        <w:rPr>
          <w:spacing w:val="-7"/>
          <w:sz w:val="20"/>
        </w:rPr>
        <w:t> </w:t>
      </w:r>
      <w:r>
        <w:rPr>
          <w:sz w:val="20"/>
        </w:rPr>
        <w:t>sus</w:t>
      </w:r>
      <w:r>
        <w:rPr>
          <w:spacing w:val="-8"/>
          <w:sz w:val="20"/>
        </w:rPr>
        <w:t> </w:t>
      </w:r>
      <w:r>
        <w:rPr>
          <w:sz w:val="20"/>
        </w:rPr>
        <w:t>territorios</w:t>
      </w:r>
      <w:r>
        <w:rPr>
          <w:spacing w:val="-8"/>
          <w:sz w:val="20"/>
        </w:rPr>
        <w:t> </w:t>
      </w:r>
      <w:r>
        <w:rPr>
          <w:sz w:val="20"/>
        </w:rPr>
        <w:t>debe</w:t>
      </w:r>
      <w:r>
        <w:rPr>
          <w:spacing w:val="-9"/>
          <w:sz w:val="20"/>
        </w:rPr>
        <w:t> </w:t>
      </w:r>
      <w:r>
        <w:rPr>
          <w:sz w:val="20"/>
        </w:rPr>
        <w:t>entenderse,</w:t>
      </w:r>
      <w:r>
        <w:rPr>
          <w:spacing w:val="-8"/>
          <w:sz w:val="20"/>
        </w:rPr>
        <w:t> </w:t>
      </w:r>
      <w:r>
        <w:rPr>
          <w:sz w:val="20"/>
        </w:rPr>
        <w:t>al menos en términos apriorísticos, favorable a la preservación del ambiente. Esta Corte ha considerado</w:t>
      </w:r>
      <w:r>
        <w:rPr>
          <w:spacing w:val="-9"/>
          <w:sz w:val="20"/>
        </w:rPr>
        <w:t> </w:t>
      </w:r>
      <w:r>
        <w:rPr>
          <w:sz w:val="20"/>
        </w:rPr>
        <w:t>que:</w:t>
      </w:r>
    </w:p>
    <w:p>
      <w:pPr>
        <w:pStyle w:val="BodyText"/>
      </w:pPr>
    </w:p>
    <w:p>
      <w:pPr>
        <w:spacing w:before="0"/>
        <w:ind w:left="405" w:right="404" w:firstLine="0"/>
        <w:jc w:val="both"/>
        <w:rPr>
          <w:sz w:val="16"/>
        </w:rPr>
      </w:pPr>
      <w:r>
        <w:rPr>
          <w:sz w:val="16"/>
        </w:rPr>
        <w:t>los pueblos indígenas, por lo general, pueden desempeñar un rol relevante en la conservación de la naturaleza, dado que ciertos usos tradicionales conllevan prácticas de sustentabilidad y se consideran</w:t>
      </w:r>
    </w:p>
    <w:p>
      <w:pPr>
        <w:pStyle w:val="BodyText"/>
        <w:spacing w:before="3"/>
        <w:rPr>
          <w:sz w:val="13"/>
        </w:rPr>
      </w:pPr>
      <w:r>
        <w:rPr/>
        <w:pict>
          <v:line style="position:absolute;mso-position-horizontal-relative:page;mso-position-vertical-relative:paragraph;z-index:2992;mso-wrap-distance-left:0;mso-wrap-distance-right:0" from="85.103996pt,10.411623pt" to="229.123996pt,10.411623pt" stroked="true" strokeweight=".71997pt" strokecolor="#000000">
            <v:stroke dashstyle="solid"/>
            <w10:wrap type="topAndBottom"/>
          </v:line>
        </w:pict>
      </w:r>
    </w:p>
    <w:p>
      <w:pPr>
        <w:tabs>
          <w:tab w:pos="829" w:val="left" w:leader="none"/>
        </w:tabs>
        <w:spacing w:before="72"/>
        <w:ind w:left="122" w:right="119" w:firstLine="0"/>
        <w:jc w:val="both"/>
        <w:rPr>
          <w:sz w:val="16"/>
        </w:rPr>
      </w:pPr>
      <w:r>
        <w:rPr>
          <w:position w:val="6"/>
          <w:sz w:val="10"/>
        </w:rPr>
        <w:t>248</w:t>
        <w:tab/>
      </w:r>
      <w:r>
        <w:rPr>
          <w:sz w:val="16"/>
        </w:rPr>
        <w:t>De forma adicional, la Corte nota que otros instrumentos internacionales se han referido  </w:t>
      </w:r>
      <w:r>
        <w:rPr>
          <w:spacing w:val="18"/>
          <w:sz w:val="16"/>
        </w:rPr>
        <w:t> </w:t>
      </w:r>
      <w:r>
        <w:rPr>
          <w:sz w:val="16"/>
        </w:rPr>
        <w:t>al</w:t>
      </w:r>
      <w:r>
        <w:rPr>
          <w:spacing w:val="7"/>
          <w:sz w:val="16"/>
        </w:rPr>
        <w:t> </w:t>
      </w:r>
      <w:r>
        <w:rPr>
          <w:sz w:val="16"/>
        </w:rPr>
        <w:t>vínculo</w:t>
      </w:r>
      <w:r>
        <w:rPr>
          <w:w w:val="100"/>
          <w:sz w:val="16"/>
        </w:rPr>
        <w:t> </w:t>
      </w:r>
      <w:r>
        <w:rPr>
          <w:sz w:val="16"/>
        </w:rPr>
        <w:t>entre el ambiente y pueblos indígenas. Así, es posible mencionar el Convenio sobre Diversidad Biológica (aprobado por Argentina por la ley 24.375, promulgada el 3 de octubre de 1994), que impone en su</w:t>
      </w:r>
      <w:r>
        <w:rPr>
          <w:spacing w:val="53"/>
          <w:sz w:val="16"/>
        </w:rPr>
        <w:t> </w:t>
      </w:r>
      <w:r>
        <w:rPr>
          <w:sz w:val="16"/>
        </w:rPr>
        <w:t>artículo</w:t>
      </w:r>
    </w:p>
    <w:p>
      <w:pPr>
        <w:spacing w:before="0"/>
        <w:ind w:left="122" w:right="117" w:firstLine="0"/>
        <w:jc w:val="both"/>
        <w:rPr>
          <w:sz w:val="16"/>
        </w:rPr>
      </w:pPr>
      <w:r>
        <w:rPr>
          <w:sz w:val="16"/>
        </w:rPr>
        <w:t>8.j. respetar, preservar y mantener conocimientos, innovaciones y prácticas de comunidades indígenas que sean pertinentes para la conservación y utilización sostenible de la diversidad biológica. También puede mencionarse la Agenda 21, firmada en la Conferencia de Naciones Unidas sobre el Medio Ambiente y el Desarrollo en 1992, cuyo capítulo 26 destaca el papel de los pueblos indígenas en la definición del desarrollo sostenible.</w:t>
      </w:r>
    </w:p>
    <w:p>
      <w:pPr>
        <w:pStyle w:val="BodyText"/>
        <w:spacing w:before="2"/>
        <w:rPr>
          <w:sz w:val="16"/>
        </w:rPr>
      </w:pPr>
    </w:p>
    <w:p>
      <w:pPr>
        <w:tabs>
          <w:tab w:pos="829" w:val="left" w:leader="none"/>
        </w:tabs>
        <w:spacing w:before="0"/>
        <w:ind w:left="122" w:right="119" w:firstLine="0"/>
        <w:jc w:val="both"/>
        <w:rPr>
          <w:sz w:val="16"/>
        </w:rPr>
      </w:pPr>
      <w:r>
        <w:rPr>
          <w:position w:val="6"/>
          <w:sz w:val="10"/>
        </w:rPr>
        <w:t>249</w:t>
        <w:tab/>
      </w:r>
      <w:r>
        <w:rPr>
          <w:sz w:val="16"/>
        </w:rPr>
        <w:t>Comité DESC. </w:t>
      </w:r>
      <w:r>
        <w:rPr>
          <w:i/>
          <w:sz w:val="16"/>
        </w:rPr>
        <w:t>Observación General 21.  Derecho de  toda persona  a participar  en la  </w:t>
      </w:r>
      <w:r>
        <w:rPr>
          <w:i/>
          <w:spacing w:val="11"/>
          <w:sz w:val="16"/>
        </w:rPr>
        <w:t> </w:t>
      </w:r>
      <w:r>
        <w:rPr>
          <w:i/>
          <w:sz w:val="16"/>
        </w:rPr>
        <w:t>vida</w:t>
      </w:r>
      <w:r>
        <w:rPr>
          <w:i/>
          <w:spacing w:val="28"/>
          <w:sz w:val="16"/>
        </w:rPr>
        <w:t> </w:t>
      </w:r>
      <w:r>
        <w:rPr>
          <w:i/>
          <w:sz w:val="16"/>
        </w:rPr>
        <w:t>cultural</w:t>
      </w:r>
      <w:r>
        <w:rPr>
          <w:i/>
          <w:w w:val="100"/>
          <w:sz w:val="16"/>
        </w:rPr>
        <w:t> </w:t>
      </w:r>
      <w:r>
        <w:rPr>
          <w:i/>
          <w:sz w:val="16"/>
        </w:rPr>
        <w:t>(artículo 15, párrafo 1 a), del Pacto Internacional de Derechos Económicos, Sociales y Culturales)</w:t>
      </w:r>
      <w:r>
        <w:rPr>
          <w:sz w:val="16"/>
        </w:rPr>
        <w:t>, párr.</w:t>
      </w:r>
      <w:r>
        <w:rPr>
          <w:spacing w:val="-30"/>
          <w:sz w:val="16"/>
        </w:rPr>
        <w:t> </w:t>
      </w:r>
      <w:r>
        <w:rPr>
          <w:sz w:val="16"/>
        </w:rPr>
        <w:t>36.</w:t>
      </w:r>
    </w:p>
    <w:p>
      <w:pPr>
        <w:spacing w:after="0"/>
        <w:jc w:val="both"/>
        <w:rPr>
          <w:sz w:val="16"/>
        </w:rPr>
        <w:sectPr>
          <w:pgSz w:w="12240" w:h="15840"/>
          <w:pgMar w:header="0" w:footer="1000" w:top="1340" w:bottom="1200" w:left="1580" w:right="1580"/>
        </w:sectPr>
      </w:pPr>
    </w:p>
    <w:p>
      <w:pPr>
        <w:spacing w:before="76"/>
        <w:ind w:left="405" w:right="407" w:firstLine="0"/>
        <w:jc w:val="both"/>
        <w:rPr>
          <w:sz w:val="16"/>
        </w:rPr>
      </w:pPr>
      <w:r>
        <w:rPr>
          <w:sz w:val="16"/>
        </w:rPr>
        <w:t>fundamentales para la eficacia de las estrategias de conservación. Por ello, el respeto de los derechos de los pueblos indígenas, puede redundar positivamente en la conservación del medioambiente. Por</w:t>
      </w:r>
      <w:r>
        <w:rPr>
          <w:spacing w:val="-37"/>
          <w:sz w:val="16"/>
        </w:rPr>
        <w:t> </w:t>
      </w:r>
      <w:r>
        <w:rPr>
          <w:sz w:val="16"/>
        </w:rPr>
        <w:t>lo expuesto, el derecho de estas comunidades y las normas internacionales de medio ambiente deben comprenderse como derechos complementarios y no</w:t>
      </w:r>
      <w:r>
        <w:rPr>
          <w:spacing w:val="-17"/>
          <w:sz w:val="16"/>
        </w:rPr>
        <w:t> </w:t>
      </w:r>
      <w:r>
        <w:rPr>
          <w:sz w:val="16"/>
        </w:rPr>
        <w:t>excluyentes</w:t>
      </w:r>
      <w:r>
        <w:rPr>
          <w:position w:val="6"/>
          <w:sz w:val="10"/>
        </w:rPr>
        <w:t>250</w:t>
      </w:r>
      <w:r>
        <w:rPr>
          <w:sz w:val="16"/>
        </w:rPr>
        <w:t>.</w:t>
      </w:r>
    </w:p>
    <w:p>
      <w:pPr>
        <w:pStyle w:val="BodyText"/>
        <w:spacing w:before="2"/>
      </w:pPr>
    </w:p>
    <w:p>
      <w:pPr>
        <w:pStyle w:val="BodyText"/>
        <w:ind w:left="122" w:right="119"/>
        <w:jc w:val="both"/>
      </w:pPr>
      <w:r>
        <w:rPr/>
        <w:t>Es claro, en ese sentido, el Principio 22 de la Declaración de Río, que señala que “las poblaciones</w:t>
      </w:r>
      <w:r>
        <w:rPr>
          <w:spacing w:val="-6"/>
        </w:rPr>
        <w:t> </w:t>
      </w:r>
      <w:r>
        <w:rPr/>
        <w:t>indígenas</w:t>
      </w:r>
      <w:r>
        <w:rPr>
          <w:spacing w:val="-6"/>
        </w:rPr>
        <w:t> </w:t>
      </w:r>
      <w:r>
        <w:rPr/>
        <w:t>y</w:t>
      </w:r>
      <w:r>
        <w:rPr>
          <w:spacing w:val="-5"/>
        </w:rPr>
        <w:t> </w:t>
      </w:r>
      <w:r>
        <w:rPr/>
        <w:t>sus</w:t>
      </w:r>
      <w:r>
        <w:rPr>
          <w:spacing w:val="-5"/>
        </w:rPr>
        <w:t> </w:t>
      </w:r>
      <w:r>
        <w:rPr/>
        <w:t>comunidades,</w:t>
      </w:r>
      <w:r>
        <w:rPr>
          <w:spacing w:val="-6"/>
        </w:rPr>
        <w:t> </w:t>
      </w:r>
      <w:r>
        <w:rPr/>
        <w:t>[…]</w:t>
      </w:r>
      <w:r>
        <w:rPr>
          <w:spacing w:val="-7"/>
        </w:rPr>
        <w:t> </w:t>
      </w:r>
      <w:r>
        <w:rPr/>
        <w:t>desempeñan</w:t>
      </w:r>
      <w:r>
        <w:rPr>
          <w:spacing w:val="-4"/>
        </w:rPr>
        <w:t> </w:t>
      </w:r>
      <w:r>
        <w:rPr/>
        <w:t>un</w:t>
      </w:r>
      <w:r>
        <w:rPr>
          <w:spacing w:val="-7"/>
        </w:rPr>
        <w:t> </w:t>
      </w:r>
      <w:r>
        <w:rPr/>
        <w:t>papel</w:t>
      </w:r>
      <w:r>
        <w:rPr>
          <w:spacing w:val="-4"/>
        </w:rPr>
        <w:t> </w:t>
      </w:r>
      <w:r>
        <w:rPr/>
        <w:t>fundamental</w:t>
      </w:r>
      <w:r>
        <w:rPr>
          <w:spacing w:val="-6"/>
        </w:rPr>
        <w:t> </w:t>
      </w:r>
      <w:r>
        <w:rPr/>
        <w:t>en</w:t>
      </w:r>
      <w:r>
        <w:rPr>
          <w:spacing w:val="-4"/>
        </w:rPr>
        <w:t> </w:t>
      </w:r>
      <w:r>
        <w:rPr/>
        <w:t>la ordenación</w:t>
      </w:r>
      <w:r>
        <w:rPr>
          <w:spacing w:val="-13"/>
        </w:rPr>
        <w:t> </w:t>
      </w:r>
      <w:r>
        <w:rPr/>
        <w:t>del</w:t>
      </w:r>
      <w:r>
        <w:rPr>
          <w:spacing w:val="-14"/>
        </w:rPr>
        <w:t> </w:t>
      </w:r>
      <w:r>
        <w:rPr/>
        <w:t>medio</w:t>
      </w:r>
      <w:r>
        <w:rPr>
          <w:spacing w:val="-15"/>
        </w:rPr>
        <w:t> </w:t>
      </w:r>
      <w:r>
        <w:rPr/>
        <w:t>ambiente</w:t>
      </w:r>
      <w:r>
        <w:rPr>
          <w:spacing w:val="-15"/>
        </w:rPr>
        <w:t> </w:t>
      </w:r>
      <w:r>
        <w:rPr/>
        <w:t>y</w:t>
      </w:r>
      <w:r>
        <w:rPr>
          <w:spacing w:val="-12"/>
        </w:rPr>
        <w:t> </w:t>
      </w:r>
      <w:r>
        <w:rPr/>
        <w:t>en</w:t>
      </w:r>
      <w:r>
        <w:rPr>
          <w:spacing w:val="-13"/>
        </w:rPr>
        <w:t> </w:t>
      </w:r>
      <w:r>
        <w:rPr/>
        <w:t>el</w:t>
      </w:r>
      <w:r>
        <w:rPr>
          <w:spacing w:val="-14"/>
        </w:rPr>
        <w:t> </w:t>
      </w:r>
      <w:r>
        <w:rPr/>
        <w:t>desarrollo</w:t>
      </w:r>
      <w:r>
        <w:rPr>
          <w:spacing w:val="-15"/>
        </w:rPr>
        <w:t> </w:t>
      </w:r>
      <w:r>
        <w:rPr/>
        <w:t>debido</w:t>
      </w:r>
      <w:r>
        <w:rPr>
          <w:spacing w:val="-12"/>
        </w:rPr>
        <w:t> </w:t>
      </w:r>
      <w:r>
        <w:rPr/>
        <w:t>a</w:t>
      </w:r>
      <w:r>
        <w:rPr>
          <w:spacing w:val="-13"/>
        </w:rPr>
        <w:t> </w:t>
      </w:r>
      <w:r>
        <w:rPr/>
        <w:t>sus</w:t>
      </w:r>
      <w:r>
        <w:rPr>
          <w:spacing w:val="-11"/>
        </w:rPr>
        <w:t> </w:t>
      </w:r>
      <w:r>
        <w:rPr/>
        <w:t>conocimientos</w:t>
      </w:r>
      <w:r>
        <w:rPr>
          <w:spacing w:val="-12"/>
        </w:rPr>
        <w:t> </w:t>
      </w:r>
      <w:r>
        <w:rPr/>
        <w:t>y</w:t>
      </w:r>
      <w:r>
        <w:rPr>
          <w:spacing w:val="-14"/>
        </w:rPr>
        <w:t> </w:t>
      </w:r>
      <w:r>
        <w:rPr/>
        <w:t>prácticas tradicionales. Los Estados deberían reconocer y apoyar debidamente su identidad, cultura e intereses y hacer posible su participación efectiva en el logro del desarrollo sostenible”</w:t>
      </w:r>
      <w:r>
        <w:rPr>
          <w:position w:val="7"/>
          <w:sz w:val="13"/>
        </w:rPr>
        <w:t>251</w:t>
      </w:r>
      <w:r>
        <w:rPr/>
        <w:t>.</w:t>
      </w:r>
    </w:p>
    <w:p>
      <w:pPr>
        <w:pStyle w:val="BodyText"/>
      </w:pPr>
    </w:p>
    <w:p>
      <w:pPr>
        <w:pStyle w:val="ListParagraph"/>
        <w:numPr>
          <w:ilvl w:val="0"/>
          <w:numId w:val="31"/>
        </w:numPr>
        <w:tabs>
          <w:tab w:pos="830" w:val="left" w:leader="none"/>
        </w:tabs>
        <w:spacing w:line="240" w:lineRule="auto" w:before="0" w:after="0"/>
        <w:ind w:left="122" w:right="124" w:firstLine="0"/>
        <w:jc w:val="both"/>
        <w:rPr>
          <w:sz w:val="20"/>
        </w:rPr>
      </w:pPr>
      <w:r>
        <w:rPr>
          <w:sz w:val="20"/>
        </w:rPr>
        <w:t>Adicionalmente, corresponde tener en cuenta lo que ha explicado el Comité de Derechos</w:t>
      </w:r>
      <w:r>
        <w:rPr>
          <w:spacing w:val="-6"/>
          <w:sz w:val="20"/>
        </w:rPr>
        <w:t> </w:t>
      </w:r>
      <w:r>
        <w:rPr>
          <w:sz w:val="20"/>
        </w:rPr>
        <w:t>Humanos,</w:t>
      </w:r>
      <w:r>
        <w:rPr>
          <w:spacing w:val="-7"/>
          <w:sz w:val="20"/>
        </w:rPr>
        <w:t> </w:t>
      </w:r>
      <w:r>
        <w:rPr>
          <w:sz w:val="20"/>
        </w:rPr>
        <w:t>en</w:t>
      </w:r>
      <w:r>
        <w:rPr>
          <w:spacing w:val="-2"/>
          <w:sz w:val="20"/>
        </w:rPr>
        <w:t> </w:t>
      </w:r>
      <w:r>
        <w:rPr>
          <w:sz w:val="20"/>
        </w:rPr>
        <w:t>cuanto</w:t>
      </w:r>
      <w:r>
        <w:rPr>
          <w:spacing w:val="-9"/>
          <w:sz w:val="20"/>
        </w:rPr>
        <w:t> </w:t>
      </w:r>
      <w:r>
        <w:rPr>
          <w:sz w:val="20"/>
        </w:rPr>
        <w:t>a</w:t>
      </w:r>
      <w:r>
        <w:rPr>
          <w:spacing w:val="-8"/>
          <w:sz w:val="20"/>
        </w:rPr>
        <w:t> </w:t>
      </w:r>
      <w:r>
        <w:rPr>
          <w:sz w:val="20"/>
        </w:rPr>
        <w:t>que</w:t>
      </w:r>
      <w:r>
        <w:rPr>
          <w:spacing w:val="-7"/>
          <w:sz w:val="20"/>
        </w:rPr>
        <w:t> </w:t>
      </w:r>
      <w:r>
        <w:rPr>
          <w:sz w:val="20"/>
        </w:rPr>
        <w:t>el</w:t>
      </w:r>
      <w:r>
        <w:rPr>
          <w:spacing w:val="-8"/>
          <w:sz w:val="20"/>
        </w:rPr>
        <w:t> </w:t>
      </w:r>
      <w:r>
        <w:rPr>
          <w:sz w:val="20"/>
        </w:rPr>
        <w:t>derecho</w:t>
      </w:r>
      <w:r>
        <w:rPr>
          <w:spacing w:val="-7"/>
          <w:sz w:val="20"/>
        </w:rPr>
        <w:t> </w:t>
      </w:r>
      <w:r>
        <w:rPr>
          <w:sz w:val="20"/>
        </w:rPr>
        <w:t>de</w:t>
      </w:r>
      <w:r>
        <w:rPr>
          <w:spacing w:val="-7"/>
          <w:sz w:val="20"/>
        </w:rPr>
        <w:t> </w:t>
      </w:r>
      <w:r>
        <w:rPr>
          <w:sz w:val="20"/>
        </w:rPr>
        <w:t>las</w:t>
      </w:r>
      <w:r>
        <w:rPr>
          <w:spacing w:val="-8"/>
          <w:sz w:val="20"/>
        </w:rPr>
        <w:t> </w:t>
      </w:r>
      <w:r>
        <w:rPr>
          <w:sz w:val="20"/>
        </w:rPr>
        <w:t>personas</w:t>
      </w:r>
      <w:r>
        <w:rPr>
          <w:spacing w:val="-9"/>
          <w:sz w:val="20"/>
        </w:rPr>
        <w:t> </w:t>
      </w:r>
      <w:r>
        <w:rPr>
          <w:sz w:val="20"/>
        </w:rPr>
        <w:t>a</w:t>
      </w:r>
      <w:r>
        <w:rPr>
          <w:spacing w:val="-6"/>
          <w:sz w:val="20"/>
        </w:rPr>
        <w:t> </w:t>
      </w:r>
      <w:r>
        <w:rPr>
          <w:sz w:val="20"/>
        </w:rPr>
        <w:t>disfrutar</w:t>
      </w:r>
      <w:r>
        <w:rPr>
          <w:spacing w:val="-9"/>
          <w:sz w:val="20"/>
        </w:rPr>
        <w:t> </w:t>
      </w:r>
      <w:r>
        <w:rPr>
          <w:sz w:val="20"/>
        </w:rPr>
        <w:t>de</w:t>
      </w:r>
      <w:r>
        <w:rPr>
          <w:spacing w:val="-9"/>
          <w:sz w:val="20"/>
        </w:rPr>
        <w:t> </w:t>
      </w:r>
      <w:r>
        <w:rPr>
          <w:sz w:val="20"/>
        </w:rPr>
        <w:t>su</w:t>
      </w:r>
      <w:r>
        <w:rPr>
          <w:spacing w:val="-5"/>
          <w:sz w:val="20"/>
        </w:rPr>
        <w:t> </w:t>
      </w:r>
      <w:r>
        <w:rPr>
          <w:sz w:val="20"/>
        </w:rPr>
        <w:t>propia cultura, “puede […] guardar relación con modos de vida estrechamente asociados al territorio y al uso de sus recursos”, como es el caso de los miembros de comunidades indígenas</w:t>
      </w:r>
      <w:r>
        <w:rPr>
          <w:position w:val="7"/>
          <w:sz w:val="13"/>
        </w:rPr>
        <w:t>252</w:t>
      </w:r>
      <w:r>
        <w:rPr>
          <w:sz w:val="20"/>
        </w:rPr>
        <w:t>. El derecho a la identidad cultural, puede manifestarse, entonces, de diversas formas; en el caso de los pueblos indígenas se observa, sin perjuicio de otros aspectos, en “un modo particular de vida relacionado con el uso de recursos terrestres […]. Ese derecho puede incluir actividades tradicionales tales como la pesca o la caza y el</w:t>
      </w:r>
      <w:r>
        <w:rPr>
          <w:spacing w:val="-10"/>
          <w:sz w:val="20"/>
        </w:rPr>
        <w:t> </w:t>
      </w:r>
      <w:r>
        <w:rPr>
          <w:sz w:val="20"/>
        </w:rPr>
        <w:t>derecho</w:t>
      </w:r>
      <w:r>
        <w:rPr>
          <w:spacing w:val="-11"/>
          <w:sz w:val="20"/>
        </w:rPr>
        <w:t> </w:t>
      </w:r>
      <w:r>
        <w:rPr>
          <w:sz w:val="20"/>
        </w:rPr>
        <w:t>a</w:t>
      </w:r>
      <w:r>
        <w:rPr>
          <w:spacing w:val="-8"/>
          <w:sz w:val="20"/>
        </w:rPr>
        <w:t> </w:t>
      </w:r>
      <w:r>
        <w:rPr>
          <w:sz w:val="20"/>
        </w:rPr>
        <w:t>vivir</w:t>
      </w:r>
      <w:r>
        <w:rPr>
          <w:spacing w:val="-9"/>
          <w:sz w:val="20"/>
        </w:rPr>
        <w:t> </w:t>
      </w:r>
      <w:r>
        <w:rPr>
          <w:sz w:val="20"/>
        </w:rPr>
        <w:t>en</w:t>
      </w:r>
      <w:r>
        <w:rPr>
          <w:spacing w:val="-7"/>
          <w:sz w:val="20"/>
        </w:rPr>
        <w:t> </w:t>
      </w:r>
      <w:r>
        <w:rPr>
          <w:sz w:val="20"/>
        </w:rPr>
        <w:t>reservas</w:t>
      </w:r>
      <w:r>
        <w:rPr>
          <w:spacing w:val="-9"/>
          <w:sz w:val="20"/>
        </w:rPr>
        <w:t> </w:t>
      </w:r>
      <w:r>
        <w:rPr>
          <w:sz w:val="20"/>
        </w:rPr>
        <w:t>protegidas</w:t>
      </w:r>
      <w:r>
        <w:rPr>
          <w:spacing w:val="-8"/>
          <w:sz w:val="20"/>
        </w:rPr>
        <w:t> </w:t>
      </w:r>
      <w:r>
        <w:rPr>
          <w:sz w:val="20"/>
        </w:rPr>
        <w:t>por</w:t>
      </w:r>
      <w:r>
        <w:rPr>
          <w:spacing w:val="-9"/>
          <w:sz w:val="20"/>
        </w:rPr>
        <w:t> </w:t>
      </w:r>
      <w:r>
        <w:rPr>
          <w:sz w:val="20"/>
        </w:rPr>
        <w:t>la</w:t>
      </w:r>
      <w:r>
        <w:rPr>
          <w:spacing w:val="-10"/>
          <w:sz w:val="20"/>
        </w:rPr>
        <w:t> </w:t>
      </w:r>
      <w:r>
        <w:rPr>
          <w:sz w:val="20"/>
        </w:rPr>
        <w:t>ley”</w:t>
      </w:r>
      <w:r>
        <w:rPr>
          <w:position w:val="7"/>
          <w:sz w:val="13"/>
        </w:rPr>
        <w:t>253</w:t>
      </w:r>
      <w:r>
        <w:rPr>
          <w:sz w:val="20"/>
        </w:rPr>
        <w:t>.</w:t>
      </w:r>
      <w:r>
        <w:rPr>
          <w:spacing w:val="-11"/>
          <w:sz w:val="20"/>
        </w:rPr>
        <w:t> </w:t>
      </w:r>
      <w:r>
        <w:rPr>
          <w:sz w:val="20"/>
        </w:rPr>
        <w:t>En</w:t>
      </w:r>
      <w:r>
        <w:rPr>
          <w:spacing w:val="-9"/>
          <w:sz w:val="20"/>
        </w:rPr>
        <w:t> </w:t>
      </w:r>
      <w:r>
        <w:rPr>
          <w:sz w:val="20"/>
        </w:rPr>
        <w:t>la</w:t>
      </w:r>
      <w:r>
        <w:rPr>
          <w:spacing w:val="-8"/>
          <w:sz w:val="20"/>
        </w:rPr>
        <w:t> </w:t>
      </w:r>
      <w:r>
        <w:rPr>
          <w:sz w:val="20"/>
        </w:rPr>
        <w:t>misma</w:t>
      </w:r>
      <w:r>
        <w:rPr>
          <w:spacing w:val="-8"/>
          <w:sz w:val="20"/>
        </w:rPr>
        <w:t> </w:t>
      </w:r>
      <w:r>
        <w:rPr>
          <w:sz w:val="20"/>
        </w:rPr>
        <w:t>línea,</w:t>
      </w:r>
      <w:r>
        <w:rPr>
          <w:spacing w:val="-8"/>
          <w:sz w:val="20"/>
        </w:rPr>
        <w:t> </w:t>
      </w:r>
      <w:r>
        <w:rPr>
          <w:spacing w:val="2"/>
          <w:sz w:val="20"/>
        </w:rPr>
        <w:t>la</w:t>
      </w:r>
      <w:r>
        <w:rPr>
          <w:spacing w:val="-10"/>
          <w:sz w:val="20"/>
        </w:rPr>
        <w:t> </w:t>
      </w:r>
      <w:r>
        <w:rPr>
          <w:sz w:val="20"/>
        </w:rPr>
        <w:t>Corte</w:t>
      </w:r>
      <w:r>
        <w:rPr>
          <w:spacing w:val="-9"/>
          <w:sz w:val="20"/>
        </w:rPr>
        <w:t> </w:t>
      </w:r>
      <w:r>
        <w:rPr>
          <w:sz w:val="20"/>
        </w:rPr>
        <w:t>ya</w:t>
      </w:r>
      <w:r>
        <w:rPr>
          <w:spacing w:val="-8"/>
          <w:sz w:val="20"/>
        </w:rPr>
        <w:t> </w:t>
      </w:r>
      <w:r>
        <w:rPr>
          <w:sz w:val="20"/>
        </w:rPr>
        <w:t>ha tenido oportunidad de advertir que el derecho a la propiedad colectiva de los pueblos indígenas está vinculado con la protección y acceso a los recursos naturales que se encuentran en sus territorios (</w:t>
      </w:r>
      <w:r>
        <w:rPr>
          <w:i/>
          <w:sz w:val="20"/>
        </w:rPr>
        <w:t>supra </w:t>
      </w:r>
      <w:r>
        <w:rPr>
          <w:sz w:val="20"/>
        </w:rPr>
        <w:t>párr. 94). De modo concordante, el Grupo sobre el PSS</w:t>
      </w:r>
      <w:r>
        <w:rPr>
          <w:spacing w:val="-15"/>
          <w:sz w:val="20"/>
        </w:rPr>
        <w:t> </w:t>
      </w:r>
      <w:r>
        <w:rPr>
          <w:sz w:val="20"/>
        </w:rPr>
        <w:t>ha</w:t>
      </w:r>
      <w:r>
        <w:rPr>
          <w:spacing w:val="-16"/>
          <w:sz w:val="20"/>
        </w:rPr>
        <w:t> </w:t>
      </w:r>
      <w:r>
        <w:rPr>
          <w:sz w:val="20"/>
        </w:rPr>
        <w:t>notado</w:t>
      </w:r>
      <w:r>
        <w:rPr>
          <w:spacing w:val="-16"/>
          <w:sz w:val="20"/>
        </w:rPr>
        <w:t> </w:t>
      </w:r>
      <w:r>
        <w:rPr>
          <w:sz w:val="20"/>
        </w:rPr>
        <w:t>que</w:t>
      </w:r>
      <w:r>
        <w:rPr>
          <w:spacing w:val="-16"/>
          <w:sz w:val="20"/>
        </w:rPr>
        <w:t> </w:t>
      </w:r>
      <w:r>
        <w:rPr>
          <w:sz w:val="20"/>
        </w:rPr>
        <w:t>“el</w:t>
      </w:r>
      <w:r>
        <w:rPr>
          <w:spacing w:val="-16"/>
          <w:sz w:val="20"/>
        </w:rPr>
        <w:t> </w:t>
      </w:r>
      <w:r>
        <w:rPr>
          <w:sz w:val="20"/>
        </w:rPr>
        <w:t>bienestar</w:t>
      </w:r>
      <w:r>
        <w:rPr>
          <w:spacing w:val="-16"/>
          <w:sz w:val="20"/>
        </w:rPr>
        <w:t> </w:t>
      </w:r>
      <w:r>
        <w:rPr>
          <w:sz w:val="20"/>
        </w:rPr>
        <w:t>físico,</w:t>
      </w:r>
      <w:r>
        <w:rPr>
          <w:spacing w:val="-14"/>
          <w:sz w:val="20"/>
        </w:rPr>
        <w:t> </w:t>
      </w:r>
      <w:r>
        <w:rPr>
          <w:sz w:val="20"/>
        </w:rPr>
        <w:t>espiritual</w:t>
      </w:r>
      <w:r>
        <w:rPr>
          <w:spacing w:val="-13"/>
          <w:sz w:val="20"/>
        </w:rPr>
        <w:t> </w:t>
      </w:r>
      <w:r>
        <w:rPr>
          <w:sz w:val="20"/>
        </w:rPr>
        <w:t>y</w:t>
      </w:r>
      <w:r>
        <w:rPr>
          <w:spacing w:val="-16"/>
          <w:sz w:val="20"/>
        </w:rPr>
        <w:t> </w:t>
      </w:r>
      <w:r>
        <w:rPr>
          <w:sz w:val="20"/>
        </w:rPr>
        <w:t>cultural</w:t>
      </w:r>
      <w:r>
        <w:rPr>
          <w:spacing w:val="-16"/>
          <w:sz w:val="20"/>
        </w:rPr>
        <w:t> </w:t>
      </w:r>
      <w:r>
        <w:rPr>
          <w:sz w:val="20"/>
        </w:rPr>
        <w:t>de</w:t>
      </w:r>
      <w:r>
        <w:rPr>
          <w:spacing w:val="-15"/>
          <w:sz w:val="20"/>
        </w:rPr>
        <w:t> </w:t>
      </w:r>
      <w:r>
        <w:rPr>
          <w:sz w:val="20"/>
        </w:rPr>
        <w:t>las</w:t>
      </w:r>
      <w:r>
        <w:rPr>
          <w:spacing w:val="-16"/>
          <w:sz w:val="20"/>
        </w:rPr>
        <w:t> </w:t>
      </w:r>
      <w:r>
        <w:rPr>
          <w:sz w:val="20"/>
        </w:rPr>
        <w:t>comunidades</w:t>
      </w:r>
      <w:r>
        <w:rPr>
          <w:spacing w:val="-16"/>
          <w:sz w:val="20"/>
        </w:rPr>
        <w:t> </w:t>
      </w:r>
      <w:r>
        <w:rPr>
          <w:sz w:val="20"/>
        </w:rPr>
        <w:t>indígenas está íntimamente ligado con la calidad del medio ambiente en que desarrollan sus vidas”</w:t>
      </w:r>
      <w:r>
        <w:rPr>
          <w:position w:val="7"/>
          <w:sz w:val="13"/>
        </w:rPr>
        <w:t>254</w:t>
      </w:r>
      <w:r>
        <w:rPr>
          <w:sz w:val="20"/>
        </w:rPr>
        <w:t>.</w:t>
      </w:r>
    </w:p>
    <w:p>
      <w:pPr>
        <w:pStyle w:val="BodyText"/>
        <w:spacing w:before="10"/>
        <w:rPr>
          <w:sz w:val="19"/>
        </w:rPr>
      </w:pPr>
    </w:p>
    <w:p>
      <w:pPr>
        <w:pStyle w:val="ListParagraph"/>
        <w:numPr>
          <w:ilvl w:val="0"/>
          <w:numId w:val="31"/>
        </w:numPr>
        <w:tabs>
          <w:tab w:pos="830" w:val="left" w:leader="none"/>
        </w:tabs>
        <w:spacing w:line="240" w:lineRule="auto" w:before="0" w:after="0"/>
        <w:ind w:left="122" w:right="124" w:firstLine="0"/>
        <w:jc w:val="both"/>
        <w:rPr>
          <w:sz w:val="20"/>
        </w:rPr>
      </w:pPr>
      <w:r>
        <w:rPr>
          <w:sz w:val="20"/>
        </w:rPr>
        <w:t>La Corte, a su vez, ha tenido oportunidad de apreciar circunstancias que mostraron</w:t>
      </w:r>
      <w:r>
        <w:rPr>
          <w:spacing w:val="-14"/>
          <w:sz w:val="20"/>
        </w:rPr>
        <w:t> </w:t>
      </w:r>
      <w:r>
        <w:rPr>
          <w:sz w:val="20"/>
        </w:rPr>
        <w:t>que</w:t>
      </w:r>
      <w:r>
        <w:rPr>
          <w:spacing w:val="-15"/>
          <w:sz w:val="20"/>
        </w:rPr>
        <w:t> </w:t>
      </w:r>
      <w:r>
        <w:rPr>
          <w:sz w:val="20"/>
        </w:rPr>
        <w:t>“el</w:t>
      </w:r>
      <w:r>
        <w:rPr>
          <w:spacing w:val="-12"/>
          <w:sz w:val="20"/>
        </w:rPr>
        <w:t> </w:t>
      </w:r>
      <w:r>
        <w:rPr>
          <w:sz w:val="20"/>
        </w:rPr>
        <w:t>vínculo</w:t>
      </w:r>
      <w:r>
        <w:rPr>
          <w:spacing w:val="-16"/>
          <w:sz w:val="20"/>
        </w:rPr>
        <w:t> </w:t>
      </w:r>
      <w:r>
        <w:rPr>
          <w:sz w:val="20"/>
        </w:rPr>
        <w:t>de</w:t>
      </w:r>
      <w:r>
        <w:rPr>
          <w:spacing w:val="-14"/>
          <w:sz w:val="20"/>
        </w:rPr>
        <w:t> </w:t>
      </w:r>
      <w:r>
        <w:rPr>
          <w:sz w:val="20"/>
        </w:rPr>
        <w:t>los</w:t>
      </w:r>
      <w:r>
        <w:rPr>
          <w:spacing w:val="-16"/>
          <w:sz w:val="20"/>
        </w:rPr>
        <w:t> </w:t>
      </w:r>
      <w:r>
        <w:rPr>
          <w:sz w:val="20"/>
        </w:rPr>
        <w:t>miembros</w:t>
      </w:r>
      <w:r>
        <w:rPr>
          <w:spacing w:val="-16"/>
          <w:sz w:val="20"/>
        </w:rPr>
        <w:t> </w:t>
      </w:r>
      <w:r>
        <w:rPr>
          <w:sz w:val="20"/>
        </w:rPr>
        <w:t>de</w:t>
      </w:r>
      <w:r>
        <w:rPr>
          <w:spacing w:val="-16"/>
          <w:sz w:val="20"/>
        </w:rPr>
        <w:t> </w:t>
      </w:r>
      <w:r>
        <w:rPr>
          <w:sz w:val="20"/>
        </w:rPr>
        <w:t>una</w:t>
      </w:r>
      <w:r>
        <w:rPr>
          <w:spacing w:val="-15"/>
          <w:sz w:val="20"/>
        </w:rPr>
        <w:t> </w:t>
      </w:r>
      <w:r>
        <w:rPr>
          <w:sz w:val="20"/>
        </w:rPr>
        <w:t>comunidad</w:t>
      </w:r>
      <w:r>
        <w:rPr>
          <w:spacing w:val="-14"/>
          <w:sz w:val="20"/>
        </w:rPr>
        <w:t> </w:t>
      </w:r>
      <w:r>
        <w:rPr>
          <w:sz w:val="20"/>
        </w:rPr>
        <w:t>con</w:t>
      </w:r>
      <w:r>
        <w:rPr>
          <w:spacing w:val="-14"/>
          <w:sz w:val="20"/>
        </w:rPr>
        <w:t> </w:t>
      </w:r>
      <w:r>
        <w:rPr>
          <w:sz w:val="20"/>
        </w:rPr>
        <w:t>sus</w:t>
      </w:r>
      <w:r>
        <w:rPr>
          <w:spacing w:val="-13"/>
          <w:sz w:val="20"/>
        </w:rPr>
        <w:t> </w:t>
      </w:r>
      <w:r>
        <w:rPr>
          <w:sz w:val="20"/>
        </w:rPr>
        <w:t>territorios”</w:t>
      </w:r>
      <w:r>
        <w:rPr>
          <w:spacing w:val="-7"/>
          <w:sz w:val="20"/>
        </w:rPr>
        <w:t> </w:t>
      </w:r>
      <w:r>
        <w:rPr>
          <w:sz w:val="20"/>
        </w:rPr>
        <w:t>resulta “fundamental e inescindible para su supervivencia alimentaria y cultural”</w:t>
      </w:r>
      <w:r>
        <w:rPr>
          <w:position w:val="7"/>
          <w:sz w:val="13"/>
        </w:rPr>
        <w:t>255</w:t>
      </w:r>
      <w:r>
        <w:rPr>
          <w:sz w:val="20"/>
        </w:rPr>
        <w:t>. En ese entendimiento, el Relator Especial de las Naciones Unidas sobre el derecho a la alimentación se ha referido a aspectos problemáticos respecto al goce de ese derecho que suelen ser atinentes a pueblos indígenas. Ha afirmado</w:t>
      </w:r>
      <w:r>
        <w:rPr>
          <w:spacing w:val="-24"/>
          <w:sz w:val="20"/>
        </w:rPr>
        <w:t> </w:t>
      </w:r>
      <w:r>
        <w:rPr>
          <w:sz w:val="20"/>
        </w:rPr>
        <w:t>que:</w:t>
      </w:r>
    </w:p>
    <w:p>
      <w:pPr>
        <w:pStyle w:val="BodyText"/>
        <w:spacing w:before="3"/>
        <w:rPr>
          <w:sz w:val="25"/>
        </w:rPr>
      </w:pPr>
      <w:r>
        <w:rPr/>
        <w:pict>
          <v:line style="position:absolute;mso-position-horizontal-relative:page;mso-position-vertical-relative:paragraph;z-index:3016;mso-wrap-distance-left:0;mso-wrap-distance-right:0" from="85.103996pt,17.696482pt" to="229.123996pt,17.696482pt" stroked="true" strokeweight=".72pt" strokecolor="#000000">
            <v:stroke dashstyle="solid"/>
            <w10:wrap type="topAndBottom"/>
          </v:line>
        </w:pict>
      </w:r>
    </w:p>
    <w:p>
      <w:pPr>
        <w:tabs>
          <w:tab w:pos="829" w:val="left" w:leader="none"/>
        </w:tabs>
        <w:spacing w:before="71"/>
        <w:ind w:left="122" w:right="0" w:firstLine="0"/>
        <w:jc w:val="both"/>
        <w:rPr>
          <w:sz w:val="16"/>
        </w:rPr>
      </w:pPr>
      <w:r>
        <w:rPr>
          <w:position w:val="6"/>
          <w:sz w:val="10"/>
        </w:rPr>
        <w:t>250</w:t>
        <w:tab/>
      </w:r>
      <w:r>
        <w:rPr>
          <w:i/>
          <w:sz w:val="16"/>
        </w:rPr>
        <w:t>Caso Pueblos Kaliña y Lokono Vs. Surinam</w:t>
      </w:r>
      <w:r>
        <w:rPr>
          <w:sz w:val="16"/>
        </w:rPr>
        <w:t>, párr.</w:t>
      </w:r>
      <w:r>
        <w:rPr>
          <w:spacing w:val="-15"/>
          <w:sz w:val="16"/>
        </w:rPr>
        <w:t> </w:t>
      </w:r>
      <w:r>
        <w:rPr>
          <w:sz w:val="16"/>
        </w:rPr>
        <w:t>173.</w:t>
      </w:r>
    </w:p>
    <w:p>
      <w:pPr>
        <w:pStyle w:val="BodyText"/>
        <w:spacing w:before="11"/>
        <w:rPr>
          <w:sz w:val="15"/>
        </w:rPr>
      </w:pPr>
    </w:p>
    <w:p>
      <w:pPr>
        <w:tabs>
          <w:tab w:pos="829" w:val="left" w:leader="none"/>
        </w:tabs>
        <w:spacing w:before="0"/>
        <w:ind w:left="122" w:right="112" w:firstLine="0"/>
        <w:jc w:val="both"/>
        <w:rPr>
          <w:sz w:val="16"/>
        </w:rPr>
      </w:pPr>
      <w:r>
        <w:rPr>
          <w:position w:val="6"/>
          <w:sz w:val="10"/>
        </w:rPr>
        <w:t>251</w:t>
        <w:tab/>
      </w:r>
      <w:r>
        <w:rPr>
          <w:sz w:val="16"/>
        </w:rPr>
        <w:t>En</w:t>
      </w:r>
      <w:r>
        <w:rPr>
          <w:spacing w:val="-4"/>
          <w:sz w:val="16"/>
        </w:rPr>
        <w:t> </w:t>
      </w:r>
      <w:r>
        <w:rPr>
          <w:sz w:val="16"/>
        </w:rPr>
        <w:t>esta</w:t>
      </w:r>
      <w:r>
        <w:rPr>
          <w:spacing w:val="-3"/>
          <w:sz w:val="16"/>
        </w:rPr>
        <w:t> </w:t>
      </w:r>
      <w:r>
        <w:rPr>
          <w:sz w:val="16"/>
        </w:rPr>
        <w:t>línea,</w:t>
      </w:r>
      <w:r>
        <w:rPr>
          <w:spacing w:val="-4"/>
          <w:sz w:val="16"/>
        </w:rPr>
        <w:t> </w:t>
      </w:r>
      <w:r>
        <w:rPr>
          <w:sz w:val="16"/>
        </w:rPr>
        <w:t>el</w:t>
      </w:r>
      <w:r>
        <w:rPr>
          <w:spacing w:val="-3"/>
          <w:sz w:val="16"/>
        </w:rPr>
        <w:t> </w:t>
      </w:r>
      <w:r>
        <w:rPr>
          <w:sz w:val="16"/>
        </w:rPr>
        <w:t>artículo</w:t>
      </w:r>
      <w:r>
        <w:rPr>
          <w:spacing w:val="-2"/>
          <w:sz w:val="16"/>
        </w:rPr>
        <w:t> </w:t>
      </w:r>
      <w:r>
        <w:rPr>
          <w:sz w:val="16"/>
        </w:rPr>
        <w:t>10.</w:t>
      </w:r>
      <w:r>
        <w:rPr>
          <w:spacing w:val="-6"/>
          <w:sz w:val="16"/>
        </w:rPr>
        <w:t> </w:t>
      </w:r>
      <w:r>
        <w:rPr>
          <w:sz w:val="16"/>
        </w:rPr>
        <w:t>c)</w:t>
      </w:r>
      <w:r>
        <w:rPr>
          <w:spacing w:val="-4"/>
          <w:sz w:val="16"/>
        </w:rPr>
        <w:t> </w:t>
      </w:r>
      <w:r>
        <w:rPr>
          <w:sz w:val="16"/>
        </w:rPr>
        <w:t>del</w:t>
      </w:r>
      <w:r>
        <w:rPr>
          <w:spacing w:val="-3"/>
          <w:sz w:val="16"/>
        </w:rPr>
        <w:t> </w:t>
      </w:r>
      <w:r>
        <w:rPr>
          <w:sz w:val="16"/>
        </w:rPr>
        <w:t>Convenio</w:t>
      </w:r>
      <w:r>
        <w:rPr>
          <w:spacing w:val="-4"/>
          <w:sz w:val="16"/>
        </w:rPr>
        <w:t> </w:t>
      </w:r>
      <w:r>
        <w:rPr>
          <w:sz w:val="16"/>
        </w:rPr>
        <w:t>sobre</w:t>
      </w:r>
      <w:r>
        <w:rPr>
          <w:spacing w:val="-5"/>
          <w:sz w:val="16"/>
        </w:rPr>
        <w:t> </w:t>
      </w:r>
      <w:r>
        <w:rPr>
          <w:sz w:val="16"/>
        </w:rPr>
        <w:t>la</w:t>
      </w:r>
      <w:r>
        <w:rPr>
          <w:spacing w:val="-3"/>
          <w:sz w:val="16"/>
        </w:rPr>
        <w:t> </w:t>
      </w:r>
      <w:r>
        <w:rPr>
          <w:sz w:val="16"/>
        </w:rPr>
        <w:t>Diversidad</w:t>
      </w:r>
      <w:r>
        <w:rPr>
          <w:spacing w:val="-2"/>
          <w:sz w:val="16"/>
        </w:rPr>
        <w:t> </w:t>
      </w:r>
      <w:r>
        <w:rPr>
          <w:sz w:val="16"/>
        </w:rPr>
        <w:t>Biológica</w:t>
      </w:r>
      <w:r>
        <w:rPr>
          <w:spacing w:val="-3"/>
          <w:sz w:val="16"/>
        </w:rPr>
        <w:t> </w:t>
      </w:r>
      <w:r>
        <w:rPr>
          <w:sz w:val="16"/>
        </w:rPr>
        <w:t>señala</w:t>
      </w:r>
      <w:r>
        <w:rPr>
          <w:spacing w:val="1"/>
          <w:sz w:val="16"/>
        </w:rPr>
        <w:t> </w:t>
      </w:r>
      <w:r>
        <w:rPr>
          <w:sz w:val="16"/>
        </w:rPr>
        <w:t>que</w:t>
      </w:r>
      <w:r>
        <w:rPr>
          <w:spacing w:val="-2"/>
          <w:sz w:val="16"/>
        </w:rPr>
        <w:t> </w:t>
      </w:r>
      <w:r>
        <w:rPr>
          <w:sz w:val="16"/>
        </w:rPr>
        <w:t>se</w:t>
      </w:r>
      <w:r>
        <w:rPr>
          <w:spacing w:val="-5"/>
          <w:sz w:val="16"/>
        </w:rPr>
        <w:t> </w:t>
      </w:r>
      <w:r>
        <w:rPr>
          <w:sz w:val="16"/>
        </w:rPr>
        <w:t>“[p]rotegerá</w:t>
      </w:r>
      <w:r>
        <w:rPr>
          <w:w w:val="100"/>
          <w:sz w:val="16"/>
        </w:rPr>
        <w:t> </w:t>
      </w:r>
      <w:r>
        <w:rPr>
          <w:sz w:val="16"/>
        </w:rPr>
        <w:t>y</w:t>
      </w:r>
      <w:r>
        <w:rPr>
          <w:spacing w:val="-5"/>
          <w:sz w:val="16"/>
        </w:rPr>
        <w:t> </w:t>
      </w:r>
      <w:r>
        <w:rPr>
          <w:sz w:val="16"/>
        </w:rPr>
        <w:t>alentará</w:t>
      </w:r>
      <w:r>
        <w:rPr>
          <w:spacing w:val="-7"/>
          <w:sz w:val="16"/>
        </w:rPr>
        <w:t> </w:t>
      </w:r>
      <w:r>
        <w:rPr>
          <w:sz w:val="16"/>
        </w:rPr>
        <w:t>la</w:t>
      </w:r>
      <w:r>
        <w:rPr>
          <w:spacing w:val="-9"/>
          <w:sz w:val="16"/>
        </w:rPr>
        <w:t> </w:t>
      </w:r>
      <w:r>
        <w:rPr>
          <w:sz w:val="16"/>
        </w:rPr>
        <w:t>utilización</w:t>
      </w:r>
      <w:r>
        <w:rPr>
          <w:spacing w:val="-7"/>
          <w:sz w:val="16"/>
        </w:rPr>
        <w:t> </w:t>
      </w:r>
      <w:r>
        <w:rPr>
          <w:sz w:val="16"/>
        </w:rPr>
        <w:t>consuetudinaria</w:t>
      </w:r>
      <w:r>
        <w:rPr>
          <w:spacing w:val="-7"/>
          <w:sz w:val="16"/>
        </w:rPr>
        <w:t> </w:t>
      </w:r>
      <w:r>
        <w:rPr>
          <w:sz w:val="16"/>
        </w:rPr>
        <w:t>de</w:t>
      </w:r>
      <w:r>
        <w:rPr>
          <w:spacing w:val="-8"/>
          <w:sz w:val="16"/>
        </w:rPr>
        <w:t> </w:t>
      </w:r>
      <w:r>
        <w:rPr>
          <w:sz w:val="16"/>
        </w:rPr>
        <w:t>los</w:t>
      </w:r>
      <w:r>
        <w:rPr>
          <w:spacing w:val="-8"/>
          <w:sz w:val="16"/>
        </w:rPr>
        <w:t> </w:t>
      </w:r>
      <w:r>
        <w:rPr>
          <w:sz w:val="16"/>
        </w:rPr>
        <w:t>recursos</w:t>
      </w:r>
      <w:r>
        <w:rPr>
          <w:spacing w:val="-8"/>
          <w:sz w:val="16"/>
        </w:rPr>
        <w:t> </w:t>
      </w:r>
      <w:r>
        <w:rPr>
          <w:sz w:val="16"/>
        </w:rPr>
        <w:t>biológicos,</w:t>
      </w:r>
      <w:r>
        <w:rPr>
          <w:spacing w:val="-7"/>
          <w:sz w:val="16"/>
        </w:rPr>
        <w:t> </w:t>
      </w:r>
      <w:r>
        <w:rPr>
          <w:sz w:val="16"/>
        </w:rPr>
        <w:t>de</w:t>
      </w:r>
      <w:r>
        <w:rPr>
          <w:spacing w:val="-6"/>
          <w:sz w:val="16"/>
        </w:rPr>
        <w:t> </w:t>
      </w:r>
      <w:r>
        <w:rPr>
          <w:sz w:val="16"/>
        </w:rPr>
        <w:t>conformidad</w:t>
      </w:r>
      <w:r>
        <w:rPr>
          <w:spacing w:val="-8"/>
          <w:sz w:val="16"/>
        </w:rPr>
        <w:t> </w:t>
      </w:r>
      <w:r>
        <w:rPr>
          <w:sz w:val="16"/>
        </w:rPr>
        <w:t>con</w:t>
      </w:r>
      <w:r>
        <w:rPr>
          <w:spacing w:val="-9"/>
          <w:sz w:val="16"/>
        </w:rPr>
        <w:t> </w:t>
      </w:r>
      <w:r>
        <w:rPr>
          <w:sz w:val="16"/>
        </w:rPr>
        <w:t>las</w:t>
      </w:r>
      <w:r>
        <w:rPr>
          <w:spacing w:val="-6"/>
          <w:sz w:val="16"/>
        </w:rPr>
        <w:t> </w:t>
      </w:r>
      <w:r>
        <w:rPr>
          <w:sz w:val="16"/>
        </w:rPr>
        <w:t>prácticas</w:t>
      </w:r>
      <w:r>
        <w:rPr>
          <w:spacing w:val="-8"/>
          <w:sz w:val="16"/>
        </w:rPr>
        <w:t> </w:t>
      </w:r>
      <w:r>
        <w:rPr>
          <w:sz w:val="16"/>
        </w:rPr>
        <w:t>culturales tradicionales que sean compatibles con las exigencias de la conservación o de la utilización sostenible”. En el mismo sentido, FARN, en su escrito de </w:t>
      </w:r>
      <w:r>
        <w:rPr>
          <w:i/>
          <w:sz w:val="16"/>
        </w:rPr>
        <w:t>amicus curiae </w:t>
      </w:r>
      <w:r>
        <w:rPr>
          <w:sz w:val="16"/>
        </w:rPr>
        <w:t>destacó “[e]l rol que cumplen los [p]ueblos [i]ndígenas en las estrategias integrales de mitigación y adaptación al cambio climático es su cosmovisión, su forma de vida, la cual contribuye al sistema de subsistencia sostenible y a la conservación de la biodiversidad, conformando una herramienta necesaria para refrenar los efectos catastróficos del cambio climático”. Resaltó al respecto el “rol activo de las mujeres indígenas, cuyo conocimiento ecológico tradicional y especializado debe ser considerado una de las soluciones más adecuadas al cambio</w:t>
      </w:r>
      <w:r>
        <w:rPr>
          <w:spacing w:val="-22"/>
          <w:sz w:val="16"/>
        </w:rPr>
        <w:t> </w:t>
      </w:r>
      <w:r>
        <w:rPr>
          <w:sz w:val="16"/>
        </w:rPr>
        <w:t>climático”.</w:t>
      </w:r>
    </w:p>
    <w:p>
      <w:pPr>
        <w:pStyle w:val="BodyText"/>
        <w:spacing w:before="12"/>
        <w:rPr>
          <w:sz w:val="15"/>
        </w:rPr>
      </w:pPr>
    </w:p>
    <w:p>
      <w:pPr>
        <w:tabs>
          <w:tab w:pos="829" w:val="left" w:leader="none"/>
        </w:tabs>
        <w:spacing w:before="0"/>
        <w:ind w:left="122" w:right="114" w:firstLine="0"/>
        <w:jc w:val="both"/>
        <w:rPr>
          <w:sz w:val="16"/>
        </w:rPr>
      </w:pPr>
      <w:r>
        <w:rPr>
          <w:position w:val="6"/>
          <w:sz w:val="10"/>
        </w:rPr>
        <w:t>252</w:t>
        <w:tab/>
      </w:r>
      <w:r>
        <w:rPr>
          <w:sz w:val="16"/>
        </w:rPr>
        <w:t>Comité de Derechos Humanos. </w:t>
      </w:r>
      <w:r>
        <w:rPr>
          <w:i/>
          <w:sz w:val="16"/>
        </w:rPr>
        <w:t>Observación General 23. Derecho de las minorías (artículo</w:t>
      </w:r>
      <w:r>
        <w:rPr>
          <w:i/>
          <w:spacing w:val="-1"/>
          <w:sz w:val="16"/>
        </w:rPr>
        <w:t> </w:t>
      </w:r>
      <w:r>
        <w:rPr>
          <w:i/>
          <w:sz w:val="16"/>
        </w:rPr>
        <w:t>27), </w:t>
      </w:r>
      <w:r>
        <w:rPr>
          <w:sz w:val="16"/>
        </w:rPr>
        <w:t>párr.</w:t>
      </w:r>
      <w:r>
        <w:rPr>
          <w:w w:val="100"/>
          <w:sz w:val="16"/>
        </w:rPr>
        <w:t> </w:t>
      </w:r>
      <w:r>
        <w:rPr>
          <w:sz w:val="16"/>
        </w:rPr>
        <w:t>3.</w:t>
      </w:r>
    </w:p>
    <w:p>
      <w:pPr>
        <w:pStyle w:val="BodyText"/>
        <w:spacing w:before="12"/>
        <w:rPr>
          <w:sz w:val="15"/>
        </w:rPr>
      </w:pPr>
    </w:p>
    <w:p>
      <w:pPr>
        <w:tabs>
          <w:tab w:pos="829" w:val="left" w:leader="none"/>
        </w:tabs>
        <w:spacing w:before="0"/>
        <w:ind w:left="122" w:right="114" w:firstLine="0"/>
        <w:jc w:val="both"/>
        <w:rPr>
          <w:sz w:val="16"/>
        </w:rPr>
      </w:pPr>
      <w:r>
        <w:rPr>
          <w:position w:val="6"/>
          <w:sz w:val="10"/>
        </w:rPr>
        <w:t>253</w:t>
        <w:tab/>
      </w:r>
      <w:r>
        <w:rPr>
          <w:sz w:val="16"/>
        </w:rPr>
        <w:t>Comité de Derechos Humanos. </w:t>
      </w:r>
      <w:r>
        <w:rPr>
          <w:i/>
          <w:sz w:val="16"/>
        </w:rPr>
        <w:t>Observación General 23. Derecho de las minorías (artículo</w:t>
      </w:r>
      <w:r>
        <w:rPr>
          <w:i/>
          <w:spacing w:val="-1"/>
          <w:sz w:val="16"/>
        </w:rPr>
        <w:t> </w:t>
      </w:r>
      <w:r>
        <w:rPr>
          <w:i/>
          <w:sz w:val="16"/>
        </w:rPr>
        <w:t>27),</w:t>
      </w:r>
      <w:r>
        <w:rPr>
          <w:i/>
          <w:spacing w:val="1"/>
          <w:sz w:val="16"/>
        </w:rPr>
        <w:t> </w:t>
      </w:r>
      <w:r>
        <w:rPr>
          <w:sz w:val="16"/>
        </w:rPr>
        <w:t>párr.</w:t>
      </w:r>
      <w:r>
        <w:rPr>
          <w:w w:val="100"/>
          <w:sz w:val="16"/>
        </w:rPr>
        <w:t> </w:t>
      </w:r>
      <w:r>
        <w:rPr>
          <w:sz w:val="16"/>
        </w:rPr>
        <w:t>7.</w:t>
      </w:r>
    </w:p>
    <w:p>
      <w:pPr>
        <w:pStyle w:val="BodyText"/>
        <w:spacing w:before="12"/>
        <w:rPr>
          <w:sz w:val="15"/>
        </w:rPr>
      </w:pPr>
    </w:p>
    <w:p>
      <w:pPr>
        <w:tabs>
          <w:tab w:pos="829" w:val="left" w:leader="none"/>
        </w:tabs>
        <w:spacing w:before="0"/>
        <w:ind w:left="122" w:right="119" w:firstLine="0"/>
        <w:jc w:val="both"/>
        <w:rPr>
          <w:sz w:val="16"/>
        </w:rPr>
      </w:pPr>
      <w:r>
        <w:rPr>
          <w:position w:val="6"/>
          <w:sz w:val="10"/>
        </w:rPr>
        <w:t>254</w:t>
        <w:tab/>
      </w:r>
      <w:r>
        <w:rPr>
          <w:sz w:val="16"/>
        </w:rPr>
        <w:t>Grupo</w:t>
      </w:r>
      <w:r>
        <w:rPr>
          <w:spacing w:val="31"/>
          <w:sz w:val="16"/>
        </w:rPr>
        <w:t> </w:t>
      </w:r>
      <w:r>
        <w:rPr>
          <w:sz w:val="16"/>
        </w:rPr>
        <w:t>sobre</w:t>
      </w:r>
      <w:r>
        <w:rPr>
          <w:spacing w:val="31"/>
          <w:sz w:val="16"/>
        </w:rPr>
        <w:t> </w:t>
      </w:r>
      <w:r>
        <w:rPr>
          <w:sz w:val="16"/>
        </w:rPr>
        <w:t>el</w:t>
      </w:r>
      <w:r>
        <w:rPr>
          <w:spacing w:val="30"/>
          <w:sz w:val="16"/>
        </w:rPr>
        <w:t> </w:t>
      </w:r>
      <w:r>
        <w:rPr>
          <w:sz w:val="16"/>
        </w:rPr>
        <w:t>PSS.</w:t>
      </w:r>
      <w:r>
        <w:rPr>
          <w:spacing w:val="32"/>
          <w:sz w:val="16"/>
        </w:rPr>
        <w:t> </w:t>
      </w:r>
      <w:r>
        <w:rPr>
          <w:i/>
          <w:sz w:val="16"/>
        </w:rPr>
        <w:t>Indicadores</w:t>
      </w:r>
      <w:r>
        <w:rPr>
          <w:i/>
          <w:spacing w:val="31"/>
          <w:sz w:val="16"/>
        </w:rPr>
        <w:t> </w:t>
      </w:r>
      <w:r>
        <w:rPr>
          <w:i/>
          <w:sz w:val="16"/>
        </w:rPr>
        <w:t>de</w:t>
      </w:r>
      <w:r>
        <w:rPr>
          <w:i/>
          <w:spacing w:val="31"/>
          <w:sz w:val="16"/>
        </w:rPr>
        <w:t> </w:t>
      </w:r>
      <w:r>
        <w:rPr>
          <w:i/>
          <w:sz w:val="16"/>
        </w:rPr>
        <w:t>progreso</w:t>
      </w:r>
      <w:r>
        <w:rPr>
          <w:i/>
          <w:spacing w:val="29"/>
          <w:sz w:val="16"/>
        </w:rPr>
        <w:t> </w:t>
      </w:r>
      <w:r>
        <w:rPr>
          <w:i/>
          <w:sz w:val="16"/>
        </w:rPr>
        <w:t>para</w:t>
      </w:r>
      <w:r>
        <w:rPr>
          <w:i/>
          <w:spacing w:val="30"/>
          <w:sz w:val="16"/>
        </w:rPr>
        <w:t> </w:t>
      </w:r>
      <w:r>
        <w:rPr>
          <w:i/>
          <w:sz w:val="16"/>
        </w:rPr>
        <w:t>la</w:t>
      </w:r>
      <w:r>
        <w:rPr>
          <w:i/>
          <w:spacing w:val="32"/>
          <w:sz w:val="16"/>
        </w:rPr>
        <w:t> </w:t>
      </w:r>
      <w:r>
        <w:rPr>
          <w:i/>
          <w:sz w:val="16"/>
        </w:rPr>
        <w:t>medición</w:t>
      </w:r>
      <w:r>
        <w:rPr>
          <w:i/>
          <w:spacing w:val="30"/>
          <w:sz w:val="16"/>
        </w:rPr>
        <w:t> </w:t>
      </w:r>
      <w:r>
        <w:rPr>
          <w:i/>
          <w:sz w:val="16"/>
        </w:rPr>
        <w:t>de</w:t>
      </w:r>
      <w:r>
        <w:rPr>
          <w:i/>
          <w:spacing w:val="31"/>
          <w:sz w:val="16"/>
        </w:rPr>
        <w:t> </w:t>
      </w:r>
      <w:r>
        <w:rPr>
          <w:i/>
          <w:sz w:val="16"/>
        </w:rPr>
        <w:t>derechos</w:t>
      </w:r>
      <w:r>
        <w:rPr>
          <w:i/>
          <w:spacing w:val="31"/>
          <w:sz w:val="16"/>
        </w:rPr>
        <w:t> </w:t>
      </w:r>
      <w:r>
        <w:rPr>
          <w:i/>
          <w:sz w:val="16"/>
        </w:rPr>
        <w:t>contemplados</w:t>
      </w:r>
      <w:r>
        <w:rPr>
          <w:i/>
          <w:spacing w:val="31"/>
          <w:sz w:val="16"/>
        </w:rPr>
        <w:t> </w:t>
      </w:r>
      <w:r>
        <w:rPr>
          <w:i/>
          <w:sz w:val="16"/>
        </w:rPr>
        <w:t>en</w:t>
      </w:r>
      <w:r>
        <w:rPr>
          <w:i/>
          <w:spacing w:val="30"/>
          <w:sz w:val="16"/>
        </w:rPr>
        <w:t> </w:t>
      </w:r>
      <w:r>
        <w:rPr>
          <w:i/>
          <w:sz w:val="16"/>
        </w:rPr>
        <w:t>el</w:t>
      </w:r>
      <w:r>
        <w:rPr>
          <w:i/>
          <w:w w:val="100"/>
          <w:sz w:val="16"/>
        </w:rPr>
        <w:t> </w:t>
      </w:r>
      <w:r>
        <w:rPr>
          <w:i/>
          <w:sz w:val="16"/>
        </w:rPr>
        <w:t>Protocolo de San Salvador. Segundo agrupamiento de Derechos</w:t>
      </w:r>
      <w:r>
        <w:rPr>
          <w:sz w:val="16"/>
        </w:rPr>
        <w:t>, párr.</w:t>
      </w:r>
      <w:r>
        <w:rPr>
          <w:spacing w:val="-23"/>
          <w:sz w:val="16"/>
        </w:rPr>
        <w:t> </w:t>
      </w:r>
      <w:r>
        <w:rPr>
          <w:sz w:val="16"/>
        </w:rPr>
        <w:t>36.</w:t>
      </w:r>
    </w:p>
    <w:p>
      <w:pPr>
        <w:pStyle w:val="BodyText"/>
        <w:spacing w:before="2"/>
        <w:rPr>
          <w:sz w:val="16"/>
        </w:rPr>
      </w:pPr>
    </w:p>
    <w:p>
      <w:pPr>
        <w:tabs>
          <w:tab w:pos="829" w:val="left" w:leader="none"/>
        </w:tabs>
        <w:spacing w:before="0"/>
        <w:ind w:left="122" w:right="0" w:firstLine="0"/>
        <w:jc w:val="both"/>
        <w:rPr>
          <w:sz w:val="16"/>
        </w:rPr>
      </w:pPr>
      <w:r>
        <w:rPr>
          <w:position w:val="6"/>
          <w:sz w:val="10"/>
        </w:rPr>
        <w:t>255</w:t>
        <w:tab/>
      </w:r>
      <w:r>
        <w:rPr>
          <w:i/>
          <w:sz w:val="16"/>
        </w:rPr>
        <w:t>Caso Comunidad Indígena Xákmok Kásek Vs. Paraguay</w:t>
      </w:r>
      <w:r>
        <w:rPr>
          <w:sz w:val="16"/>
        </w:rPr>
        <w:t>, párr</w:t>
      </w:r>
      <w:r>
        <w:rPr>
          <w:spacing w:val="-18"/>
          <w:sz w:val="16"/>
        </w:rPr>
        <w:t> </w:t>
      </w:r>
      <w:r>
        <w:rPr>
          <w:sz w:val="16"/>
        </w:rPr>
        <w:t>282.</w:t>
      </w:r>
    </w:p>
    <w:p>
      <w:pPr>
        <w:spacing w:after="0"/>
        <w:jc w:val="both"/>
        <w:rPr>
          <w:sz w:val="16"/>
        </w:rPr>
        <w:sectPr>
          <w:pgSz w:w="12240" w:h="15840"/>
          <w:pgMar w:header="0" w:footer="1000" w:top="1340" w:bottom="1200" w:left="1580" w:right="1580"/>
        </w:sectPr>
      </w:pPr>
    </w:p>
    <w:p>
      <w:pPr>
        <w:spacing w:before="161"/>
        <w:ind w:left="405" w:right="450" w:firstLine="0"/>
        <w:jc w:val="both"/>
        <w:rPr>
          <w:sz w:val="16"/>
        </w:rPr>
      </w:pPr>
      <w:r>
        <w:rPr>
          <w:sz w:val="16"/>
        </w:rPr>
        <w:t>[e]l</w:t>
      </w:r>
      <w:r>
        <w:rPr>
          <w:spacing w:val="-8"/>
          <w:sz w:val="16"/>
        </w:rPr>
        <w:t> </w:t>
      </w:r>
      <w:r>
        <w:rPr>
          <w:sz w:val="16"/>
        </w:rPr>
        <w:t>ejercicio</w:t>
      </w:r>
      <w:r>
        <w:rPr>
          <w:spacing w:val="-9"/>
          <w:sz w:val="16"/>
        </w:rPr>
        <w:t> </w:t>
      </w:r>
      <w:r>
        <w:rPr>
          <w:sz w:val="16"/>
        </w:rPr>
        <w:t>del</w:t>
      </w:r>
      <w:r>
        <w:rPr>
          <w:spacing w:val="-11"/>
          <w:sz w:val="16"/>
        </w:rPr>
        <w:t> </w:t>
      </w:r>
      <w:r>
        <w:rPr>
          <w:sz w:val="16"/>
        </w:rPr>
        <w:t>derecho</w:t>
      </w:r>
      <w:r>
        <w:rPr>
          <w:spacing w:val="-11"/>
          <w:sz w:val="16"/>
        </w:rPr>
        <w:t> </w:t>
      </w:r>
      <w:r>
        <w:rPr>
          <w:sz w:val="16"/>
        </w:rPr>
        <w:t>de</w:t>
      </w:r>
      <w:r>
        <w:rPr>
          <w:spacing w:val="-7"/>
          <w:sz w:val="16"/>
        </w:rPr>
        <w:t> </w:t>
      </w:r>
      <w:r>
        <w:rPr>
          <w:spacing w:val="-2"/>
          <w:sz w:val="16"/>
        </w:rPr>
        <w:t>los</w:t>
      </w:r>
      <w:r>
        <w:rPr>
          <w:spacing w:val="-7"/>
          <w:sz w:val="16"/>
        </w:rPr>
        <w:t> </w:t>
      </w:r>
      <w:r>
        <w:rPr>
          <w:sz w:val="16"/>
        </w:rPr>
        <w:t>pueblos</w:t>
      </w:r>
      <w:r>
        <w:rPr>
          <w:spacing w:val="-10"/>
          <w:sz w:val="16"/>
        </w:rPr>
        <w:t> </w:t>
      </w:r>
      <w:r>
        <w:rPr>
          <w:sz w:val="16"/>
        </w:rPr>
        <w:t>indígenas</w:t>
      </w:r>
      <w:r>
        <w:rPr>
          <w:spacing w:val="-10"/>
          <w:sz w:val="16"/>
        </w:rPr>
        <w:t> </w:t>
      </w:r>
      <w:r>
        <w:rPr>
          <w:sz w:val="16"/>
        </w:rPr>
        <w:t>a</w:t>
      </w:r>
      <w:r>
        <w:rPr>
          <w:spacing w:val="-10"/>
          <w:sz w:val="16"/>
        </w:rPr>
        <w:t> </w:t>
      </w:r>
      <w:r>
        <w:rPr>
          <w:sz w:val="16"/>
        </w:rPr>
        <w:t>la</w:t>
      </w:r>
      <w:r>
        <w:rPr>
          <w:spacing w:val="-8"/>
          <w:sz w:val="16"/>
        </w:rPr>
        <w:t> </w:t>
      </w:r>
      <w:r>
        <w:rPr>
          <w:sz w:val="16"/>
        </w:rPr>
        <w:t>alimentación</w:t>
      </w:r>
      <w:r>
        <w:rPr>
          <w:spacing w:val="-8"/>
          <w:sz w:val="16"/>
        </w:rPr>
        <w:t> </w:t>
      </w:r>
      <w:r>
        <w:rPr>
          <w:sz w:val="16"/>
        </w:rPr>
        <w:t>suele</w:t>
      </w:r>
      <w:r>
        <w:rPr>
          <w:spacing w:val="-10"/>
          <w:sz w:val="16"/>
        </w:rPr>
        <w:t> </w:t>
      </w:r>
      <w:r>
        <w:rPr>
          <w:sz w:val="16"/>
        </w:rPr>
        <w:t>depender</w:t>
      </w:r>
      <w:r>
        <w:rPr>
          <w:spacing w:val="-9"/>
          <w:sz w:val="16"/>
        </w:rPr>
        <w:t> </w:t>
      </w:r>
      <w:r>
        <w:rPr>
          <w:sz w:val="16"/>
        </w:rPr>
        <w:t>fundamentalmente de sus posibilidades de acceder a los recursos naturales existentes en la tierra o los territorios que ocupan</w:t>
      </w:r>
      <w:r>
        <w:rPr>
          <w:spacing w:val="-18"/>
          <w:sz w:val="16"/>
        </w:rPr>
        <w:t> </w:t>
      </w:r>
      <w:r>
        <w:rPr>
          <w:sz w:val="16"/>
        </w:rPr>
        <w:t>o</w:t>
      </w:r>
      <w:r>
        <w:rPr>
          <w:spacing w:val="-14"/>
          <w:sz w:val="16"/>
        </w:rPr>
        <w:t> </w:t>
      </w:r>
      <w:r>
        <w:rPr>
          <w:sz w:val="16"/>
        </w:rPr>
        <w:t>usan,</w:t>
      </w:r>
      <w:r>
        <w:rPr>
          <w:spacing w:val="-15"/>
          <w:sz w:val="16"/>
        </w:rPr>
        <w:t> </w:t>
      </w:r>
      <w:r>
        <w:rPr>
          <w:sz w:val="16"/>
        </w:rPr>
        <w:t>y</w:t>
      </w:r>
      <w:r>
        <w:rPr>
          <w:spacing w:val="-16"/>
          <w:sz w:val="16"/>
        </w:rPr>
        <w:t> </w:t>
      </w:r>
      <w:r>
        <w:rPr>
          <w:sz w:val="16"/>
        </w:rPr>
        <w:t>del</w:t>
      </w:r>
      <w:r>
        <w:rPr>
          <w:spacing w:val="-18"/>
          <w:sz w:val="16"/>
        </w:rPr>
        <w:t> </w:t>
      </w:r>
      <w:r>
        <w:rPr>
          <w:sz w:val="16"/>
        </w:rPr>
        <w:t>control</w:t>
      </w:r>
      <w:r>
        <w:rPr>
          <w:spacing w:val="-15"/>
          <w:sz w:val="16"/>
        </w:rPr>
        <w:t> </w:t>
      </w:r>
      <w:r>
        <w:rPr>
          <w:sz w:val="16"/>
        </w:rPr>
        <w:t>que</w:t>
      </w:r>
      <w:r>
        <w:rPr>
          <w:spacing w:val="-14"/>
          <w:sz w:val="16"/>
        </w:rPr>
        <w:t> </w:t>
      </w:r>
      <w:r>
        <w:rPr>
          <w:sz w:val="16"/>
        </w:rPr>
        <w:t>ejercen</w:t>
      </w:r>
      <w:r>
        <w:rPr>
          <w:spacing w:val="-17"/>
          <w:sz w:val="16"/>
        </w:rPr>
        <w:t> </w:t>
      </w:r>
      <w:r>
        <w:rPr>
          <w:sz w:val="16"/>
        </w:rPr>
        <w:t>sobre</w:t>
      </w:r>
      <w:r>
        <w:rPr>
          <w:spacing w:val="-17"/>
          <w:sz w:val="16"/>
        </w:rPr>
        <w:t> </w:t>
      </w:r>
      <w:r>
        <w:rPr>
          <w:sz w:val="16"/>
        </w:rPr>
        <w:t>esos</w:t>
      </w:r>
      <w:r>
        <w:rPr>
          <w:spacing w:val="-17"/>
          <w:sz w:val="16"/>
        </w:rPr>
        <w:t> </w:t>
      </w:r>
      <w:r>
        <w:rPr>
          <w:sz w:val="16"/>
        </w:rPr>
        <w:t>recursos.</w:t>
      </w:r>
      <w:r>
        <w:rPr>
          <w:spacing w:val="-15"/>
          <w:sz w:val="16"/>
        </w:rPr>
        <w:t> </w:t>
      </w:r>
      <w:r>
        <w:rPr>
          <w:sz w:val="16"/>
        </w:rPr>
        <w:t>Sólo</w:t>
      </w:r>
      <w:r>
        <w:rPr>
          <w:spacing w:val="-16"/>
          <w:sz w:val="16"/>
        </w:rPr>
        <w:t> </w:t>
      </w:r>
      <w:r>
        <w:rPr>
          <w:sz w:val="16"/>
        </w:rPr>
        <w:t>así</w:t>
      </w:r>
      <w:r>
        <w:rPr>
          <w:spacing w:val="-15"/>
          <w:sz w:val="16"/>
        </w:rPr>
        <w:t> </w:t>
      </w:r>
      <w:r>
        <w:rPr>
          <w:sz w:val="16"/>
        </w:rPr>
        <w:t>pueden</w:t>
      </w:r>
      <w:r>
        <w:rPr>
          <w:spacing w:val="-15"/>
          <w:sz w:val="16"/>
        </w:rPr>
        <w:t> </w:t>
      </w:r>
      <w:r>
        <w:rPr>
          <w:sz w:val="16"/>
        </w:rPr>
        <w:t>mantener</w:t>
      </w:r>
      <w:r>
        <w:rPr>
          <w:spacing w:val="-14"/>
          <w:sz w:val="16"/>
        </w:rPr>
        <w:t> </w:t>
      </w:r>
      <w:r>
        <w:rPr>
          <w:sz w:val="16"/>
        </w:rPr>
        <w:t>sus</w:t>
      </w:r>
      <w:r>
        <w:rPr>
          <w:spacing w:val="-14"/>
          <w:sz w:val="16"/>
        </w:rPr>
        <w:t> </w:t>
      </w:r>
      <w:r>
        <w:rPr>
          <w:sz w:val="16"/>
        </w:rPr>
        <w:t>actividades económicas y de subsistencia tradicionales, como la caza, la recolección o la pesca, que les permite alimentarse y preservar su cultura e</w:t>
      </w:r>
      <w:r>
        <w:rPr>
          <w:spacing w:val="-12"/>
          <w:sz w:val="16"/>
        </w:rPr>
        <w:t> </w:t>
      </w:r>
      <w:r>
        <w:rPr>
          <w:sz w:val="16"/>
        </w:rPr>
        <w:t>identidad</w:t>
      </w:r>
      <w:r>
        <w:rPr>
          <w:position w:val="6"/>
          <w:sz w:val="10"/>
        </w:rPr>
        <w:t>256</w:t>
      </w:r>
      <w:r>
        <w:rPr>
          <w:sz w:val="16"/>
        </w:rPr>
        <w:t>.</w:t>
      </w:r>
    </w:p>
    <w:p>
      <w:pPr>
        <w:pStyle w:val="BodyText"/>
        <w:spacing w:before="11"/>
        <w:rPr>
          <w:sz w:val="19"/>
        </w:rPr>
      </w:pPr>
    </w:p>
    <w:p>
      <w:pPr>
        <w:pStyle w:val="ListParagraph"/>
        <w:numPr>
          <w:ilvl w:val="0"/>
          <w:numId w:val="31"/>
        </w:numPr>
        <w:tabs>
          <w:tab w:pos="830" w:val="left" w:leader="none"/>
        </w:tabs>
        <w:spacing w:line="240" w:lineRule="auto" w:before="1" w:after="0"/>
        <w:ind w:left="122" w:right="126" w:firstLine="0"/>
        <w:jc w:val="both"/>
        <w:rPr>
          <w:sz w:val="20"/>
        </w:rPr>
      </w:pPr>
      <w:r>
        <w:rPr>
          <w:sz w:val="20"/>
        </w:rPr>
        <w:t>En forma concordante, el Relator Especial sobre la situación de los derechos humanos</w:t>
      </w:r>
      <w:r>
        <w:rPr>
          <w:spacing w:val="-9"/>
          <w:sz w:val="20"/>
        </w:rPr>
        <w:t> </w:t>
      </w:r>
      <w:r>
        <w:rPr>
          <w:sz w:val="20"/>
        </w:rPr>
        <w:t>y</w:t>
      </w:r>
      <w:r>
        <w:rPr>
          <w:spacing w:val="-6"/>
          <w:sz w:val="20"/>
        </w:rPr>
        <w:t> </w:t>
      </w:r>
      <w:r>
        <w:rPr>
          <w:sz w:val="20"/>
        </w:rPr>
        <w:t>las</w:t>
      </w:r>
      <w:r>
        <w:rPr>
          <w:spacing w:val="-9"/>
          <w:sz w:val="20"/>
        </w:rPr>
        <w:t> </w:t>
      </w:r>
      <w:r>
        <w:rPr>
          <w:sz w:val="20"/>
        </w:rPr>
        <w:t>libertades</w:t>
      </w:r>
      <w:r>
        <w:rPr>
          <w:spacing w:val="-6"/>
          <w:sz w:val="20"/>
        </w:rPr>
        <w:t> </w:t>
      </w:r>
      <w:r>
        <w:rPr>
          <w:sz w:val="20"/>
        </w:rPr>
        <w:t>fundamentales</w:t>
      </w:r>
      <w:r>
        <w:rPr>
          <w:spacing w:val="-6"/>
          <w:sz w:val="20"/>
        </w:rPr>
        <w:t> </w:t>
      </w:r>
      <w:r>
        <w:rPr>
          <w:sz w:val="20"/>
        </w:rPr>
        <w:t>de</w:t>
      </w:r>
      <w:r>
        <w:rPr>
          <w:spacing w:val="-9"/>
          <w:sz w:val="20"/>
        </w:rPr>
        <w:t> </w:t>
      </w:r>
      <w:r>
        <w:rPr>
          <w:sz w:val="20"/>
        </w:rPr>
        <w:t>los</w:t>
      </w:r>
      <w:r>
        <w:rPr>
          <w:spacing w:val="-4"/>
          <w:sz w:val="20"/>
        </w:rPr>
        <w:t> </w:t>
      </w:r>
      <w:r>
        <w:rPr>
          <w:sz w:val="20"/>
        </w:rPr>
        <w:t>pueblos</w:t>
      </w:r>
      <w:r>
        <w:rPr>
          <w:spacing w:val="-6"/>
          <w:sz w:val="20"/>
        </w:rPr>
        <w:t> </w:t>
      </w:r>
      <w:r>
        <w:rPr>
          <w:sz w:val="20"/>
        </w:rPr>
        <w:t>indígenas,</w:t>
      </w:r>
      <w:r>
        <w:rPr>
          <w:spacing w:val="-7"/>
          <w:sz w:val="20"/>
        </w:rPr>
        <w:t> </w:t>
      </w:r>
      <w:r>
        <w:rPr>
          <w:sz w:val="20"/>
        </w:rPr>
        <w:t>ha</w:t>
      </w:r>
      <w:r>
        <w:rPr>
          <w:spacing w:val="-6"/>
          <w:sz w:val="20"/>
        </w:rPr>
        <w:t> </w:t>
      </w:r>
      <w:r>
        <w:rPr>
          <w:sz w:val="20"/>
        </w:rPr>
        <w:t>aseverado</w:t>
      </w:r>
      <w:r>
        <w:rPr>
          <w:spacing w:val="-7"/>
          <w:sz w:val="20"/>
        </w:rPr>
        <w:t> </w:t>
      </w:r>
      <w:r>
        <w:rPr>
          <w:sz w:val="20"/>
        </w:rPr>
        <w:t>que</w:t>
      </w:r>
      <w:r>
        <w:rPr>
          <w:spacing w:val="-7"/>
          <w:sz w:val="20"/>
        </w:rPr>
        <w:t> </w:t>
      </w:r>
      <w:r>
        <w:rPr>
          <w:sz w:val="20"/>
        </w:rPr>
        <w:t>“el conjunto formado por la tierra, el territorio y los recursos constituye una cuestión de derechos humanos esencial para la supervivencia de los pueblos indígenas”</w:t>
      </w:r>
      <w:r>
        <w:rPr>
          <w:position w:val="7"/>
          <w:sz w:val="13"/>
        </w:rPr>
        <w:t>257</w:t>
      </w:r>
      <w:r>
        <w:rPr>
          <w:sz w:val="20"/>
        </w:rPr>
        <w:t>, y en el ámbito de la Organización de las Naciones Unidas para la Alimentación y la Agricultura (FAO) se ha indicado que “[l]os Estados deberían […] promover y proteger la</w:t>
      </w:r>
      <w:r>
        <w:rPr>
          <w:spacing w:val="-31"/>
          <w:sz w:val="20"/>
        </w:rPr>
        <w:t> </w:t>
      </w:r>
      <w:r>
        <w:rPr>
          <w:sz w:val="20"/>
        </w:rPr>
        <w:t>seguridad de la tenencia de la tierra[,…] promov[iendo su] conservación y […]utilización sostenible”, debiendo “prestarse particular atención a la situación de las comunidades indígenas”</w:t>
      </w:r>
      <w:r>
        <w:rPr>
          <w:position w:val="7"/>
          <w:sz w:val="13"/>
        </w:rPr>
        <w:t>258</w:t>
      </w:r>
      <w:r>
        <w:rPr>
          <w:sz w:val="20"/>
        </w:rPr>
        <w:t>. El Comité DESC ha destacado, al respecto, que “son especialmente vulnerables”</w:t>
      </w:r>
      <w:r>
        <w:rPr>
          <w:spacing w:val="-18"/>
          <w:sz w:val="20"/>
        </w:rPr>
        <w:t> </w:t>
      </w:r>
      <w:r>
        <w:rPr>
          <w:sz w:val="20"/>
        </w:rPr>
        <w:t>a</w:t>
      </w:r>
      <w:r>
        <w:rPr>
          <w:spacing w:val="-17"/>
          <w:sz w:val="20"/>
        </w:rPr>
        <w:t> </w:t>
      </w:r>
      <w:r>
        <w:rPr>
          <w:sz w:val="20"/>
        </w:rPr>
        <w:t>ver</w:t>
      </w:r>
      <w:r>
        <w:rPr>
          <w:spacing w:val="-19"/>
          <w:sz w:val="20"/>
        </w:rPr>
        <w:t> </w:t>
      </w:r>
      <w:r>
        <w:rPr>
          <w:sz w:val="20"/>
        </w:rPr>
        <w:t>menoscabado</w:t>
      </w:r>
      <w:r>
        <w:rPr>
          <w:spacing w:val="-16"/>
          <w:sz w:val="20"/>
        </w:rPr>
        <w:t> </w:t>
      </w:r>
      <w:r>
        <w:rPr>
          <w:sz w:val="20"/>
        </w:rPr>
        <w:t>el</w:t>
      </w:r>
      <w:r>
        <w:rPr>
          <w:spacing w:val="-17"/>
          <w:sz w:val="20"/>
        </w:rPr>
        <w:t> </w:t>
      </w:r>
      <w:r>
        <w:rPr>
          <w:sz w:val="20"/>
        </w:rPr>
        <w:t>goce</w:t>
      </w:r>
      <w:r>
        <w:rPr>
          <w:spacing w:val="-19"/>
          <w:sz w:val="20"/>
        </w:rPr>
        <w:t> </w:t>
      </w:r>
      <w:r>
        <w:rPr>
          <w:sz w:val="20"/>
        </w:rPr>
        <w:t>de</w:t>
      </w:r>
      <w:r>
        <w:rPr>
          <w:spacing w:val="-19"/>
          <w:sz w:val="20"/>
        </w:rPr>
        <w:t> </w:t>
      </w:r>
      <w:r>
        <w:rPr>
          <w:sz w:val="20"/>
        </w:rPr>
        <w:t>su</w:t>
      </w:r>
      <w:r>
        <w:rPr>
          <w:spacing w:val="-17"/>
          <w:sz w:val="20"/>
        </w:rPr>
        <w:t> </w:t>
      </w:r>
      <w:r>
        <w:rPr>
          <w:sz w:val="20"/>
        </w:rPr>
        <w:t>derecho</w:t>
      </w:r>
      <w:r>
        <w:rPr>
          <w:spacing w:val="-19"/>
          <w:sz w:val="20"/>
        </w:rPr>
        <w:t> </w:t>
      </w:r>
      <w:r>
        <w:rPr>
          <w:sz w:val="20"/>
        </w:rPr>
        <w:t>a</w:t>
      </w:r>
      <w:r>
        <w:rPr>
          <w:spacing w:val="-17"/>
          <w:sz w:val="20"/>
        </w:rPr>
        <w:t> </w:t>
      </w:r>
      <w:r>
        <w:rPr>
          <w:sz w:val="20"/>
        </w:rPr>
        <w:t>la</w:t>
      </w:r>
      <w:r>
        <w:rPr>
          <w:spacing w:val="-17"/>
          <w:sz w:val="20"/>
        </w:rPr>
        <w:t> </w:t>
      </w:r>
      <w:r>
        <w:rPr>
          <w:sz w:val="20"/>
        </w:rPr>
        <w:t>alimentación</w:t>
      </w:r>
      <w:r>
        <w:rPr>
          <w:spacing w:val="-17"/>
          <w:sz w:val="20"/>
        </w:rPr>
        <w:t> </w:t>
      </w:r>
      <w:r>
        <w:rPr>
          <w:sz w:val="20"/>
        </w:rPr>
        <w:t>“muchos</w:t>
      </w:r>
      <w:r>
        <w:rPr>
          <w:spacing w:val="-19"/>
          <w:sz w:val="20"/>
        </w:rPr>
        <w:t> </w:t>
      </w:r>
      <w:r>
        <w:rPr>
          <w:sz w:val="20"/>
        </w:rPr>
        <w:t>grupos de pueblos indígenas cuyo acceso a las tierras ancestrales puede verse</w:t>
      </w:r>
      <w:r>
        <w:rPr>
          <w:spacing w:val="-28"/>
          <w:sz w:val="20"/>
        </w:rPr>
        <w:t> </w:t>
      </w:r>
      <w:r>
        <w:rPr>
          <w:sz w:val="20"/>
        </w:rPr>
        <w:t>amenazado”</w:t>
      </w:r>
      <w:r>
        <w:rPr>
          <w:position w:val="7"/>
          <w:sz w:val="13"/>
        </w:rPr>
        <w:t>259</w:t>
      </w:r>
      <w:r>
        <w:rPr>
          <w:sz w:val="20"/>
        </w:rPr>
        <w:t>.</w:t>
      </w:r>
    </w:p>
    <w:p>
      <w:pPr>
        <w:pStyle w:val="BodyText"/>
        <w:spacing w:before="10"/>
        <w:rPr>
          <w:sz w:val="19"/>
        </w:rPr>
      </w:pPr>
    </w:p>
    <w:p>
      <w:pPr>
        <w:pStyle w:val="ListParagraph"/>
        <w:numPr>
          <w:ilvl w:val="0"/>
          <w:numId w:val="31"/>
        </w:numPr>
        <w:tabs>
          <w:tab w:pos="830" w:val="left" w:leader="none"/>
        </w:tabs>
        <w:spacing w:line="240" w:lineRule="auto" w:before="1" w:after="0"/>
        <w:ind w:left="122" w:right="123" w:firstLine="0"/>
        <w:jc w:val="both"/>
        <w:rPr>
          <w:sz w:val="20"/>
        </w:rPr>
      </w:pPr>
      <w:r>
        <w:rPr>
          <w:sz w:val="20"/>
        </w:rPr>
        <w:t>Por otra parte, el derecho a la alimentación no debe entenderse de forma restrictiva. El bien protegido por el derecho no es la mera subsistencia física y, en particular respecto de pueblos indígenas, tiene una dimensión cultural relevante. El Relator Especial sobre el derecho a la alimentación ha explicado</w:t>
      </w:r>
      <w:r>
        <w:rPr>
          <w:spacing w:val="-20"/>
          <w:sz w:val="20"/>
        </w:rPr>
        <w:t> </w:t>
      </w:r>
      <w:r>
        <w:rPr>
          <w:sz w:val="20"/>
        </w:rPr>
        <w:t>que:</w:t>
      </w:r>
    </w:p>
    <w:p>
      <w:pPr>
        <w:pStyle w:val="BodyText"/>
      </w:pPr>
    </w:p>
    <w:p>
      <w:pPr>
        <w:spacing w:before="0"/>
        <w:ind w:left="263" w:right="260" w:firstLine="0"/>
        <w:jc w:val="both"/>
        <w:rPr>
          <w:sz w:val="16"/>
        </w:rPr>
      </w:pPr>
      <w:r>
        <w:rPr>
          <w:sz w:val="16"/>
        </w:rPr>
        <w:t>comprender</w:t>
      </w:r>
      <w:r>
        <w:rPr>
          <w:spacing w:val="-13"/>
          <w:sz w:val="16"/>
        </w:rPr>
        <w:t> </w:t>
      </w:r>
      <w:r>
        <w:rPr>
          <w:sz w:val="16"/>
        </w:rPr>
        <w:t>lo</w:t>
      </w:r>
      <w:r>
        <w:rPr>
          <w:spacing w:val="-14"/>
          <w:sz w:val="16"/>
        </w:rPr>
        <w:t> </w:t>
      </w:r>
      <w:r>
        <w:rPr>
          <w:sz w:val="16"/>
        </w:rPr>
        <w:t>que</w:t>
      </w:r>
      <w:r>
        <w:rPr>
          <w:spacing w:val="-14"/>
          <w:sz w:val="16"/>
        </w:rPr>
        <w:t> </w:t>
      </w:r>
      <w:r>
        <w:rPr>
          <w:sz w:val="16"/>
        </w:rPr>
        <w:t>significa</w:t>
      </w:r>
      <w:r>
        <w:rPr>
          <w:spacing w:val="-15"/>
          <w:sz w:val="16"/>
        </w:rPr>
        <w:t> </w:t>
      </w:r>
      <w:r>
        <w:rPr>
          <w:sz w:val="16"/>
        </w:rPr>
        <w:t>el</w:t>
      </w:r>
      <w:r>
        <w:rPr>
          <w:spacing w:val="-15"/>
          <w:sz w:val="16"/>
        </w:rPr>
        <w:t> </w:t>
      </w:r>
      <w:r>
        <w:rPr>
          <w:sz w:val="16"/>
        </w:rPr>
        <w:t>derecho</w:t>
      </w:r>
      <w:r>
        <w:rPr>
          <w:spacing w:val="-14"/>
          <w:sz w:val="16"/>
        </w:rPr>
        <w:t> </w:t>
      </w:r>
      <w:r>
        <w:rPr>
          <w:sz w:val="16"/>
        </w:rPr>
        <w:t>a</w:t>
      </w:r>
      <w:r>
        <w:rPr>
          <w:spacing w:val="-13"/>
          <w:sz w:val="16"/>
        </w:rPr>
        <w:t> </w:t>
      </w:r>
      <w:r>
        <w:rPr>
          <w:sz w:val="16"/>
        </w:rPr>
        <w:t>la</w:t>
      </w:r>
      <w:r>
        <w:rPr>
          <w:spacing w:val="-13"/>
          <w:sz w:val="16"/>
        </w:rPr>
        <w:t> </w:t>
      </w:r>
      <w:r>
        <w:rPr>
          <w:sz w:val="16"/>
        </w:rPr>
        <w:t>alimentación</w:t>
      </w:r>
      <w:r>
        <w:rPr>
          <w:spacing w:val="-15"/>
          <w:sz w:val="16"/>
        </w:rPr>
        <w:t> </w:t>
      </w:r>
      <w:r>
        <w:rPr>
          <w:sz w:val="16"/>
        </w:rPr>
        <w:t>para</w:t>
      </w:r>
      <w:r>
        <w:rPr>
          <w:spacing w:val="-15"/>
          <w:sz w:val="16"/>
        </w:rPr>
        <w:t> </w:t>
      </w:r>
      <w:r>
        <w:rPr>
          <w:sz w:val="16"/>
        </w:rPr>
        <w:t>los</w:t>
      </w:r>
      <w:r>
        <w:rPr>
          <w:spacing w:val="-14"/>
          <w:sz w:val="16"/>
        </w:rPr>
        <w:t> </w:t>
      </w:r>
      <w:r>
        <w:rPr>
          <w:sz w:val="16"/>
        </w:rPr>
        <w:t>pueblos</w:t>
      </w:r>
      <w:r>
        <w:rPr>
          <w:spacing w:val="-12"/>
          <w:sz w:val="16"/>
        </w:rPr>
        <w:t> </w:t>
      </w:r>
      <w:r>
        <w:rPr>
          <w:sz w:val="16"/>
        </w:rPr>
        <w:t>indígenas</w:t>
      </w:r>
      <w:r>
        <w:rPr>
          <w:spacing w:val="-14"/>
          <w:sz w:val="16"/>
        </w:rPr>
        <w:t> </w:t>
      </w:r>
      <w:r>
        <w:rPr>
          <w:sz w:val="16"/>
        </w:rPr>
        <w:t>es</w:t>
      </w:r>
      <w:r>
        <w:rPr>
          <w:spacing w:val="-12"/>
          <w:sz w:val="16"/>
        </w:rPr>
        <w:t> </w:t>
      </w:r>
      <w:r>
        <w:rPr>
          <w:sz w:val="16"/>
        </w:rPr>
        <w:t>mucho</w:t>
      </w:r>
      <w:r>
        <w:rPr>
          <w:spacing w:val="-11"/>
          <w:sz w:val="16"/>
        </w:rPr>
        <w:t> </w:t>
      </w:r>
      <w:r>
        <w:rPr>
          <w:sz w:val="16"/>
        </w:rPr>
        <w:t>más</w:t>
      </w:r>
      <w:r>
        <w:rPr>
          <w:spacing w:val="-14"/>
          <w:sz w:val="16"/>
        </w:rPr>
        <w:t> </w:t>
      </w:r>
      <w:r>
        <w:rPr>
          <w:sz w:val="16"/>
        </w:rPr>
        <w:t>complejo que</w:t>
      </w:r>
      <w:r>
        <w:rPr>
          <w:spacing w:val="-5"/>
          <w:sz w:val="16"/>
        </w:rPr>
        <w:t> </w:t>
      </w:r>
      <w:r>
        <w:rPr>
          <w:sz w:val="16"/>
        </w:rPr>
        <w:t>lo</w:t>
      </w:r>
      <w:r>
        <w:rPr>
          <w:spacing w:val="-4"/>
          <w:sz w:val="16"/>
        </w:rPr>
        <w:t> </w:t>
      </w:r>
      <w:r>
        <w:rPr>
          <w:sz w:val="16"/>
        </w:rPr>
        <w:t>que</w:t>
      </w:r>
      <w:r>
        <w:rPr>
          <w:spacing w:val="-7"/>
          <w:sz w:val="16"/>
        </w:rPr>
        <w:t> </w:t>
      </w:r>
      <w:r>
        <w:rPr>
          <w:sz w:val="16"/>
        </w:rPr>
        <w:t>dimana</w:t>
      </w:r>
      <w:r>
        <w:rPr>
          <w:spacing w:val="-6"/>
          <w:sz w:val="16"/>
        </w:rPr>
        <w:t> </w:t>
      </w:r>
      <w:r>
        <w:rPr>
          <w:sz w:val="16"/>
        </w:rPr>
        <w:t>de</w:t>
      </w:r>
      <w:r>
        <w:rPr>
          <w:spacing w:val="-5"/>
          <w:sz w:val="16"/>
        </w:rPr>
        <w:t> </w:t>
      </w:r>
      <w:r>
        <w:rPr>
          <w:sz w:val="16"/>
        </w:rPr>
        <w:t>un</w:t>
      </w:r>
      <w:r>
        <w:rPr>
          <w:spacing w:val="-6"/>
          <w:sz w:val="16"/>
        </w:rPr>
        <w:t> </w:t>
      </w:r>
      <w:r>
        <w:rPr>
          <w:sz w:val="16"/>
        </w:rPr>
        <w:t>simple</w:t>
      </w:r>
      <w:r>
        <w:rPr>
          <w:spacing w:val="-2"/>
          <w:sz w:val="16"/>
        </w:rPr>
        <w:t> </w:t>
      </w:r>
      <w:r>
        <w:rPr>
          <w:sz w:val="16"/>
        </w:rPr>
        <w:t>análisis</w:t>
      </w:r>
      <w:r>
        <w:rPr>
          <w:spacing w:val="-5"/>
          <w:sz w:val="16"/>
        </w:rPr>
        <w:t> </w:t>
      </w:r>
      <w:r>
        <w:rPr>
          <w:sz w:val="16"/>
        </w:rPr>
        <w:t>de</w:t>
      </w:r>
      <w:r>
        <w:rPr>
          <w:spacing w:val="-5"/>
          <w:sz w:val="16"/>
        </w:rPr>
        <w:t> </w:t>
      </w:r>
      <w:r>
        <w:rPr>
          <w:sz w:val="16"/>
        </w:rPr>
        <w:t>las</w:t>
      </w:r>
      <w:r>
        <w:rPr>
          <w:spacing w:val="-5"/>
          <w:sz w:val="16"/>
        </w:rPr>
        <w:t> </w:t>
      </w:r>
      <w:r>
        <w:rPr>
          <w:sz w:val="16"/>
        </w:rPr>
        <w:t>estadísticas</w:t>
      </w:r>
      <w:r>
        <w:rPr>
          <w:spacing w:val="-5"/>
          <w:sz w:val="16"/>
        </w:rPr>
        <w:t> </w:t>
      </w:r>
      <w:r>
        <w:rPr>
          <w:sz w:val="16"/>
        </w:rPr>
        <w:t>sobre</w:t>
      </w:r>
      <w:r>
        <w:rPr>
          <w:spacing w:val="-5"/>
          <w:sz w:val="16"/>
        </w:rPr>
        <w:t> </w:t>
      </w:r>
      <w:r>
        <w:rPr>
          <w:sz w:val="16"/>
        </w:rPr>
        <w:t>hambre,</w:t>
      </w:r>
      <w:r>
        <w:rPr>
          <w:spacing w:val="-6"/>
          <w:sz w:val="16"/>
        </w:rPr>
        <w:t> </w:t>
      </w:r>
      <w:r>
        <w:rPr>
          <w:sz w:val="16"/>
        </w:rPr>
        <w:t>malnutrición</w:t>
      </w:r>
      <w:r>
        <w:rPr>
          <w:spacing w:val="-6"/>
          <w:sz w:val="16"/>
        </w:rPr>
        <w:t> </w:t>
      </w:r>
      <w:r>
        <w:rPr>
          <w:sz w:val="16"/>
        </w:rPr>
        <w:t>o</w:t>
      </w:r>
      <w:r>
        <w:rPr>
          <w:spacing w:val="-4"/>
          <w:sz w:val="16"/>
        </w:rPr>
        <w:t> </w:t>
      </w:r>
      <w:r>
        <w:rPr>
          <w:sz w:val="16"/>
        </w:rPr>
        <w:t>pobreza.</w:t>
      </w:r>
      <w:r>
        <w:rPr>
          <w:spacing w:val="-6"/>
          <w:sz w:val="16"/>
        </w:rPr>
        <w:t> </w:t>
      </w:r>
      <w:r>
        <w:rPr>
          <w:sz w:val="16"/>
        </w:rPr>
        <w:t>Muchos pueblos indígenas tienen sus propias concepciones particulares de lo que es la alimentación, el hambre y la subsistencia. En general, es difícil separar conceptualmente la relación de los pueblos indígenas con los alimentos,</w:t>
      </w:r>
      <w:r>
        <w:rPr>
          <w:spacing w:val="-2"/>
          <w:sz w:val="16"/>
        </w:rPr>
        <w:t> </w:t>
      </w:r>
      <w:r>
        <w:rPr>
          <w:sz w:val="16"/>
        </w:rPr>
        <w:t>de</w:t>
      </w:r>
      <w:r>
        <w:rPr>
          <w:spacing w:val="-4"/>
          <w:sz w:val="16"/>
        </w:rPr>
        <w:t> </w:t>
      </w:r>
      <w:r>
        <w:rPr>
          <w:sz w:val="16"/>
        </w:rPr>
        <w:t>sus</w:t>
      </w:r>
      <w:r>
        <w:rPr>
          <w:spacing w:val="-4"/>
          <w:sz w:val="16"/>
        </w:rPr>
        <w:t> </w:t>
      </w:r>
      <w:r>
        <w:rPr>
          <w:sz w:val="16"/>
        </w:rPr>
        <w:t>relaciones</w:t>
      </w:r>
      <w:r>
        <w:rPr>
          <w:spacing w:val="-4"/>
          <w:sz w:val="16"/>
        </w:rPr>
        <w:t> </w:t>
      </w:r>
      <w:r>
        <w:rPr>
          <w:sz w:val="16"/>
        </w:rPr>
        <w:t>con</w:t>
      </w:r>
      <w:r>
        <w:rPr>
          <w:spacing w:val="-2"/>
          <w:sz w:val="16"/>
        </w:rPr>
        <w:t> </w:t>
      </w:r>
      <w:r>
        <w:rPr>
          <w:sz w:val="16"/>
        </w:rPr>
        <w:t>la</w:t>
      </w:r>
      <w:r>
        <w:rPr>
          <w:spacing w:val="-2"/>
          <w:sz w:val="16"/>
        </w:rPr>
        <w:t> </w:t>
      </w:r>
      <w:r>
        <w:rPr>
          <w:sz w:val="16"/>
        </w:rPr>
        <w:t>tierra,</w:t>
      </w:r>
      <w:r>
        <w:rPr>
          <w:spacing w:val="-2"/>
          <w:sz w:val="16"/>
        </w:rPr>
        <w:t> </w:t>
      </w:r>
      <w:r>
        <w:rPr>
          <w:sz w:val="16"/>
        </w:rPr>
        <w:t>los</w:t>
      </w:r>
      <w:r>
        <w:rPr>
          <w:spacing w:val="-3"/>
          <w:sz w:val="16"/>
        </w:rPr>
        <w:t> </w:t>
      </w:r>
      <w:r>
        <w:rPr>
          <w:sz w:val="16"/>
        </w:rPr>
        <w:t>recursos,</w:t>
      </w:r>
      <w:r>
        <w:rPr>
          <w:spacing w:val="-2"/>
          <w:sz w:val="16"/>
        </w:rPr>
        <w:t> </w:t>
      </w:r>
      <w:r>
        <w:rPr>
          <w:sz w:val="16"/>
        </w:rPr>
        <w:t>la</w:t>
      </w:r>
      <w:r>
        <w:rPr>
          <w:spacing w:val="-4"/>
          <w:sz w:val="16"/>
        </w:rPr>
        <w:t> </w:t>
      </w:r>
      <w:r>
        <w:rPr>
          <w:sz w:val="16"/>
        </w:rPr>
        <w:t>cultura,</w:t>
      </w:r>
      <w:r>
        <w:rPr>
          <w:spacing w:val="-2"/>
          <w:sz w:val="16"/>
        </w:rPr>
        <w:t> </w:t>
      </w:r>
      <w:r>
        <w:rPr>
          <w:sz w:val="16"/>
        </w:rPr>
        <w:t>los</w:t>
      </w:r>
      <w:r>
        <w:rPr>
          <w:spacing w:val="-1"/>
          <w:sz w:val="16"/>
        </w:rPr>
        <w:t> </w:t>
      </w:r>
      <w:r>
        <w:rPr>
          <w:sz w:val="16"/>
        </w:rPr>
        <w:t>valores</w:t>
      </w:r>
      <w:r>
        <w:rPr>
          <w:spacing w:val="-3"/>
          <w:sz w:val="16"/>
        </w:rPr>
        <w:t> </w:t>
      </w:r>
      <w:r>
        <w:rPr>
          <w:sz w:val="16"/>
        </w:rPr>
        <w:t>y</w:t>
      </w:r>
      <w:r>
        <w:rPr>
          <w:spacing w:val="-1"/>
          <w:sz w:val="16"/>
        </w:rPr>
        <w:t> </w:t>
      </w:r>
      <w:r>
        <w:rPr>
          <w:sz w:val="16"/>
        </w:rPr>
        <w:t>la</w:t>
      </w:r>
      <w:r>
        <w:rPr>
          <w:spacing w:val="-4"/>
          <w:sz w:val="16"/>
        </w:rPr>
        <w:t> </w:t>
      </w:r>
      <w:r>
        <w:rPr>
          <w:sz w:val="16"/>
        </w:rPr>
        <w:t>organización</w:t>
      </w:r>
      <w:r>
        <w:rPr>
          <w:spacing w:val="-2"/>
          <w:sz w:val="16"/>
        </w:rPr>
        <w:t> </w:t>
      </w:r>
      <w:r>
        <w:rPr>
          <w:sz w:val="16"/>
        </w:rPr>
        <w:t>social.</w:t>
      </w:r>
    </w:p>
    <w:p>
      <w:pPr>
        <w:pStyle w:val="BodyText"/>
        <w:spacing w:before="11"/>
        <w:rPr>
          <w:sz w:val="15"/>
        </w:rPr>
      </w:pPr>
    </w:p>
    <w:p>
      <w:pPr>
        <w:spacing w:before="0"/>
        <w:ind w:left="263" w:right="259" w:firstLine="0"/>
        <w:jc w:val="both"/>
        <w:rPr>
          <w:sz w:val="16"/>
        </w:rPr>
      </w:pPr>
      <w:r>
        <w:rPr>
          <w:sz w:val="16"/>
        </w:rPr>
        <w:t>Los alimentos, la obtención y el consumo de alimentos suelen ser una parte importante de la cultura, así como</w:t>
      </w:r>
      <w:r>
        <w:rPr>
          <w:spacing w:val="-12"/>
          <w:sz w:val="16"/>
        </w:rPr>
        <w:t> </w:t>
      </w:r>
      <w:r>
        <w:rPr>
          <w:sz w:val="16"/>
        </w:rPr>
        <w:t>de</w:t>
      </w:r>
      <w:r>
        <w:rPr>
          <w:spacing w:val="-10"/>
          <w:sz w:val="16"/>
        </w:rPr>
        <w:t> </w:t>
      </w:r>
      <w:r>
        <w:rPr>
          <w:sz w:val="16"/>
        </w:rPr>
        <w:t>la</w:t>
      </w:r>
      <w:r>
        <w:rPr>
          <w:spacing w:val="-10"/>
          <w:sz w:val="16"/>
        </w:rPr>
        <w:t> </w:t>
      </w:r>
      <w:r>
        <w:rPr>
          <w:sz w:val="16"/>
        </w:rPr>
        <w:t>organización</w:t>
      </w:r>
      <w:r>
        <w:rPr>
          <w:spacing w:val="-8"/>
          <w:sz w:val="16"/>
        </w:rPr>
        <w:t> </w:t>
      </w:r>
      <w:r>
        <w:rPr>
          <w:sz w:val="16"/>
        </w:rPr>
        <w:t>social,</w:t>
      </w:r>
      <w:r>
        <w:rPr>
          <w:spacing w:val="-8"/>
          <w:sz w:val="16"/>
        </w:rPr>
        <w:t> </w:t>
      </w:r>
      <w:r>
        <w:rPr>
          <w:sz w:val="16"/>
        </w:rPr>
        <w:t>económica</w:t>
      </w:r>
      <w:r>
        <w:rPr>
          <w:spacing w:val="-10"/>
          <w:sz w:val="16"/>
        </w:rPr>
        <w:t> </w:t>
      </w:r>
      <w:r>
        <w:rPr>
          <w:sz w:val="16"/>
        </w:rPr>
        <w:t>y</w:t>
      </w:r>
      <w:r>
        <w:rPr>
          <w:spacing w:val="-9"/>
          <w:sz w:val="16"/>
        </w:rPr>
        <w:t> </w:t>
      </w:r>
      <w:r>
        <w:rPr>
          <w:sz w:val="16"/>
        </w:rPr>
        <w:t>política.</w:t>
      </w:r>
      <w:r>
        <w:rPr>
          <w:spacing w:val="-9"/>
          <w:sz w:val="16"/>
        </w:rPr>
        <w:t> </w:t>
      </w:r>
      <w:r>
        <w:rPr>
          <w:sz w:val="16"/>
        </w:rPr>
        <w:t>Muchos</w:t>
      </w:r>
      <w:r>
        <w:rPr>
          <w:spacing w:val="-10"/>
          <w:sz w:val="16"/>
        </w:rPr>
        <w:t> </w:t>
      </w:r>
      <w:r>
        <w:rPr>
          <w:sz w:val="16"/>
        </w:rPr>
        <w:t>pueblos</w:t>
      </w:r>
      <w:r>
        <w:rPr>
          <w:spacing w:val="-6"/>
          <w:sz w:val="16"/>
        </w:rPr>
        <w:t> </w:t>
      </w:r>
      <w:r>
        <w:rPr>
          <w:sz w:val="16"/>
        </w:rPr>
        <w:t>indígenas</w:t>
      </w:r>
      <w:r>
        <w:rPr>
          <w:spacing w:val="-10"/>
          <w:sz w:val="16"/>
        </w:rPr>
        <w:t> </w:t>
      </w:r>
      <w:r>
        <w:rPr>
          <w:sz w:val="16"/>
        </w:rPr>
        <w:t>entienden</w:t>
      </w:r>
      <w:r>
        <w:rPr>
          <w:spacing w:val="-13"/>
          <w:sz w:val="16"/>
        </w:rPr>
        <w:t> </w:t>
      </w:r>
      <w:r>
        <w:rPr>
          <w:sz w:val="16"/>
        </w:rPr>
        <w:t>el</w:t>
      </w:r>
      <w:r>
        <w:rPr>
          <w:spacing w:val="-8"/>
          <w:sz w:val="16"/>
        </w:rPr>
        <w:t> </w:t>
      </w:r>
      <w:r>
        <w:rPr>
          <w:sz w:val="16"/>
        </w:rPr>
        <w:t>derecho</w:t>
      </w:r>
      <w:r>
        <w:rPr>
          <w:spacing w:val="-9"/>
          <w:sz w:val="16"/>
        </w:rPr>
        <w:t> </w:t>
      </w:r>
      <w:r>
        <w:rPr>
          <w:sz w:val="16"/>
        </w:rPr>
        <w:t>a</w:t>
      </w:r>
      <w:r>
        <w:rPr>
          <w:spacing w:val="-8"/>
          <w:sz w:val="16"/>
        </w:rPr>
        <w:t> </w:t>
      </w:r>
      <w:r>
        <w:rPr>
          <w:sz w:val="16"/>
        </w:rPr>
        <w:t>una alimentación adecuada como un derecho colectivo. Normalmente consideran que las actividades de subsistencia</w:t>
      </w:r>
      <w:r>
        <w:rPr>
          <w:spacing w:val="-4"/>
          <w:sz w:val="16"/>
        </w:rPr>
        <w:t> </w:t>
      </w:r>
      <w:r>
        <w:rPr>
          <w:sz w:val="16"/>
        </w:rPr>
        <w:t>como</w:t>
      </w:r>
      <w:r>
        <w:rPr>
          <w:spacing w:val="-5"/>
          <w:sz w:val="16"/>
        </w:rPr>
        <w:t> </w:t>
      </w:r>
      <w:r>
        <w:rPr>
          <w:sz w:val="16"/>
        </w:rPr>
        <w:t>la</w:t>
      </w:r>
      <w:r>
        <w:rPr>
          <w:spacing w:val="-3"/>
          <w:sz w:val="16"/>
        </w:rPr>
        <w:t> </w:t>
      </w:r>
      <w:r>
        <w:rPr>
          <w:sz w:val="16"/>
        </w:rPr>
        <w:t>caza,</w:t>
      </w:r>
      <w:r>
        <w:rPr>
          <w:spacing w:val="-6"/>
          <w:sz w:val="16"/>
        </w:rPr>
        <w:t> </w:t>
      </w:r>
      <w:r>
        <w:rPr>
          <w:sz w:val="16"/>
        </w:rPr>
        <w:t>la</w:t>
      </w:r>
      <w:r>
        <w:rPr>
          <w:spacing w:val="-6"/>
          <w:sz w:val="16"/>
        </w:rPr>
        <w:t> </w:t>
      </w:r>
      <w:r>
        <w:rPr>
          <w:sz w:val="16"/>
        </w:rPr>
        <w:t>pesca</w:t>
      </w:r>
      <w:r>
        <w:rPr>
          <w:spacing w:val="-6"/>
          <w:sz w:val="16"/>
        </w:rPr>
        <w:t> </w:t>
      </w:r>
      <w:r>
        <w:rPr>
          <w:sz w:val="16"/>
        </w:rPr>
        <w:t>y</w:t>
      </w:r>
      <w:r>
        <w:rPr>
          <w:spacing w:val="-4"/>
          <w:sz w:val="16"/>
        </w:rPr>
        <w:t> </w:t>
      </w:r>
      <w:r>
        <w:rPr>
          <w:sz w:val="16"/>
        </w:rPr>
        <w:t>la</w:t>
      </w:r>
      <w:r>
        <w:rPr>
          <w:spacing w:val="-3"/>
          <w:sz w:val="16"/>
        </w:rPr>
        <w:t> </w:t>
      </w:r>
      <w:r>
        <w:rPr>
          <w:sz w:val="16"/>
        </w:rPr>
        <w:t>recolección</w:t>
      </w:r>
      <w:r>
        <w:rPr>
          <w:spacing w:val="-6"/>
          <w:sz w:val="16"/>
        </w:rPr>
        <w:t> </w:t>
      </w:r>
      <w:r>
        <w:rPr>
          <w:sz w:val="16"/>
        </w:rPr>
        <w:t>son</w:t>
      </w:r>
      <w:r>
        <w:rPr>
          <w:spacing w:val="-6"/>
          <w:sz w:val="16"/>
        </w:rPr>
        <w:t> </w:t>
      </w:r>
      <w:r>
        <w:rPr>
          <w:sz w:val="16"/>
        </w:rPr>
        <w:t>fundamentales</w:t>
      </w:r>
      <w:r>
        <w:rPr>
          <w:spacing w:val="-2"/>
          <w:sz w:val="16"/>
        </w:rPr>
        <w:t> </w:t>
      </w:r>
      <w:r>
        <w:rPr>
          <w:sz w:val="16"/>
        </w:rPr>
        <w:t>no</w:t>
      </w:r>
      <w:r>
        <w:rPr>
          <w:spacing w:val="-4"/>
          <w:sz w:val="16"/>
        </w:rPr>
        <w:t> </w:t>
      </w:r>
      <w:r>
        <w:rPr>
          <w:sz w:val="16"/>
        </w:rPr>
        <w:t>sólo</w:t>
      </w:r>
      <w:r>
        <w:rPr>
          <w:spacing w:val="-4"/>
          <w:sz w:val="16"/>
        </w:rPr>
        <w:t> </w:t>
      </w:r>
      <w:r>
        <w:rPr>
          <w:sz w:val="16"/>
        </w:rPr>
        <w:t>para</w:t>
      </w:r>
      <w:r>
        <w:rPr>
          <w:spacing w:val="-6"/>
          <w:sz w:val="16"/>
        </w:rPr>
        <w:t> </w:t>
      </w:r>
      <w:r>
        <w:rPr>
          <w:sz w:val="16"/>
        </w:rPr>
        <w:t>garantizar</w:t>
      </w:r>
      <w:r>
        <w:rPr>
          <w:spacing w:val="-2"/>
          <w:sz w:val="16"/>
        </w:rPr>
        <w:t> </w:t>
      </w:r>
      <w:r>
        <w:rPr>
          <w:sz w:val="16"/>
        </w:rPr>
        <w:t>su</w:t>
      </w:r>
      <w:r>
        <w:rPr>
          <w:spacing w:val="-3"/>
          <w:sz w:val="16"/>
        </w:rPr>
        <w:t> </w:t>
      </w:r>
      <w:r>
        <w:rPr>
          <w:sz w:val="16"/>
        </w:rPr>
        <w:t>derecho a la alimentación, sino también para nutrir sus culturas, idiomas, vida social e identidad. Con frecuencia, su derecho a la alimentación depende estrechamente del acceso y el control que tengan respecto de sus tierras y otros recursos naturales existentes en sus</w:t>
      </w:r>
      <w:r>
        <w:rPr>
          <w:spacing w:val="-19"/>
          <w:sz w:val="16"/>
        </w:rPr>
        <w:t> </w:t>
      </w:r>
      <w:r>
        <w:rPr>
          <w:sz w:val="16"/>
        </w:rPr>
        <w:t>territorios</w:t>
      </w:r>
      <w:r>
        <w:rPr>
          <w:position w:val="6"/>
          <w:sz w:val="10"/>
        </w:rPr>
        <w:t>260</w:t>
      </w:r>
      <w:r>
        <w:rPr>
          <w:sz w:val="16"/>
        </w:rPr>
        <w:t>.</w:t>
      </w:r>
    </w:p>
    <w:p>
      <w:pPr>
        <w:pStyle w:val="BodyText"/>
        <w:spacing w:before="4"/>
        <w:rPr>
          <w:sz w:val="21"/>
        </w:rPr>
      </w:pPr>
      <w:r>
        <w:rPr/>
        <w:pict>
          <v:line style="position:absolute;mso-position-horizontal-relative:page;mso-position-vertical-relative:paragraph;z-index:3040;mso-wrap-distance-left:0;mso-wrap-distance-right:0" from="85.103996pt,15.33497pt" to="229.123996pt,15.33497pt" stroked="true" strokeweight=".72pt" strokecolor="#000000">
            <v:stroke dashstyle="solid"/>
            <w10:wrap type="topAndBottom"/>
          </v:line>
        </w:pict>
      </w:r>
    </w:p>
    <w:p>
      <w:pPr>
        <w:tabs>
          <w:tab w:pos="829" w:val="left" w:leader="none"/>
        </w:tabs>
        <w:spacing w:before="71"/>
        <w:ind w:left="122" w:right="113" w:firstLine="0"/>
        <w:jc w:val="both"/>
        <w:rPr>
          <w:sz w:val="16"/>
        </w:rPr>
      </w:pPr>
      <w:r>
        <w:rPr>
          <w:position w:val="6"/>
          <w:sz w:val="10"/>
        </w:rPr>
        <w:t>256</w:t>
        <w:tab/>
      </w:r>
      <w:r>
        <w:rPr>
          <w:sz w:val="16"/>
        </w:rPr>
        <w:t>Relator  especial  de  las  Naciones  Unidas  sobre  el  derecho  a  la  alimentación.  </w:t>
      </w:r>
      <w:r>
        <w:rPr>
          <w:i/>
          <w:sz w:val="16"/>
        </w:rPr>
        <w:t>El  derecho</w:t>
      </w:r>
      <w:r>
        <w:rPr>
          <w:i/>
          <w:spacing w:val="20"/>
          <w:sz w:val="16"/>
        </w:rPr>
        <w:t> </w:t>
      </w:r>
      <w:r>
        <w:rPr>
          <w:i/>
          <w:sz w:val="16"/>
        </w:rPr>
        <w:t>a</w:t>
      </w:r>
      <w:r>
        <w:rPr>
          <w:i/>
          <w:spacing w:val="54"/>
          <w:sz w:val="16"/>
        </w:rPr>
        <w:t> </w:t>
      </w:r>
      <w:r>
        <w:rPr>
          <w:i/>
          <w:sz w:val="16"/>
        </w:rPr>
        <w:t>la</w:t>
      </w:r>
      <w:r>
        <w:rPr>
          <w:i/>
          <w:w w:val="100"/>
          <w:sz w:val="16"/>
        </w:rPr>
        <w:t> </w:t>
      </w:r>
      <w:r>
        <w:rPr>
          <w:i/>
          <w:sz w:val="16"/>
        </w:rPr>
        <w:t>alimentación</w:t>
      </w:r>
      <w:r>
        <w:rPr>
          <w:sz w:val="16"/>
        </w:rPr>
        <w:t>. 12 de septiembre de 2005. Doc. A/60/350, párr.</w:t>
      </w:r>
      <w:r>
        <w:rPr>
          <w:spacing w:val="-27"/>
          <w:sz w:val="16"/>
        </w:rPr>
        <w:t> </w:t>
      </w:r>
      <w:r>
        <w:rPr>
          <w:sz w:val="16"/>
        </w:rPr>
        <w:t>23.</w:t>
      </w:r>
    </w:p>
    <w:p>
      <w:pPr>
        <w:pStyle w:val="BodyText"/>
        <w:spacing w:before="11"/>
        <w:rPr>
          <w:sz w:val="15"/>
        </w:rPr>
      </w:pPr>
    </w:p>
    <w:p>
      <w:pPr>
        <w:tabs>
          <w:tab w:pos="829" w:val="left" w:leader="none"/>
        </w:tabs>
        <w:spacing w:before="0"/>
        <w:ind w:left="122" w:right="118" w:firstLine="0"/>
        <w:jc w:val="both"/>
        <w:rPr>
          <w:sz w:val="16"/>
        </w:rPr>
      </w:pPr>
      <w:r>
        <w:rPr>
          <w:position w:val="6"/>
          <w:sz w:val="10"/>
        </w:rPr>
        <w:t>257</w:t>
        <w:tab/>
      </w:r>
      <w:r>
        <w:rPr>
          <w:i/>
          <w:sz w:val="16"/>
        </w:rPr>
        <w:t>Derechos humanos y  cuestiones  indígenas Informe del Relator  Especial  sobre la situación </w:t>
      </w:r>
      <w:r>
        <w:rPr>
          <w:i/>
          <w:spacing w:val="50"/>
          <w:sz w:val="16"/>
        </w:rPr>
        <w:t> </w:t>
      </w:r>
      <w:r>
        <w:rPr>
          <w:i/>
          <w:sz w:val="16"/>
        </w:rPr>
        <w:t>de</w:t>
      </w:r>
      <w:r>
        <w:rPr>
          <w:i/>
          <w:spacing w:val="27"/>
          <w:sz w:val="16"/>
        </w:rPr>
        <w:t> </w:t>
      </w:r>
      <w:r>
        <w:rPr>
          <w:i/>
          <w:sz w:val="16"/>
        </w:rPr>
        <w:t>los</w:t>
      </w:r>
      <w:r>
        <w:rPr>
          <w:i/>
          <w:w w:val="100"/>
          <w:sz w:val="16"/>
        </w:rPr>
        <w:t> </w:t>
      </w:r>
      <w:r>
        <w:rPr>
          <w:i/>
          <w:sz w:val="16"/>
        </w:rPr>
        <w:t>derechos humanos y las libertades fundamentales de los indígenas, Sr. Rodolfo Stavenhagen, presentado de conformidad</w:t>
      </w:r>
      <w:r>
        <w:rPr>
          <w:i/>
          <w:spacing w:val="-6"/>
          <w:sz w:val="16"/>
        </w:rPr>
        <w:t> </w:t>
      </w:r>
      <w:r>
        <w:rPr>
          <w:i/>
          <w:sz w:val="16"/>
        </w:rPr>
        <w:t>con</w:t>
      </w:r>
      <w:r>
        <w:rPr>
          <w:i/>
          <w:spacing w:val="-7"/>
          <w:sz w:val="16"/>
        </w:rPr>
        <w:t> </w:t>
      </w:r>
      <w:r>
        <w:rPr>
          <w:i/>
          <w:sz w:val="16"/>
        </w:rPr>
        <w:t>la</w:t>
      </w:r>
      <w:r>
        <w:rPr>
          <w:i/>
          <w:spacing w:val="-4"/>
          <w:sz w:val="16"/>
        </w:rPr>
        <w:t> </w:t>
      </w:r>
      <w:r>
        <w:rPr>
          <w:i/>
          <w:sz w:val="16"/>
        </w:rPr>
        <w:t>resolución</w:t>
      </w:r>
      <w:r>
        <w:rPr>
          <w:i/>
          <w:spacing w:val="-9"/>
          <w:sz w:val="16"/>
        </w:rPr>
        <w:t> </w:t>
      </w:r>
      <w:r>
        <w:rPr>
          <w:i/>
          <w:sz w:val="16"/>
        </w:rPr>
        <w:t>2001/57</w:t>
      </w:r>
      <w:r>
        <w:rPr>
          <w:i/>
          <w:spacing w:val="-5"/>
          <w:sz w:val="16"/>
        </w:rPr>
        <w:t> </w:t>
      </w:r>
      <w:r>
        <w:rPr>
          <w:i/>
          <w:sz w:val="16"/>
        </w:rPr>
        <w:t>de</w:t>
      </w:r>
      <w:r>
        <w:rPr>
          <w:i/>
          <w:spacing w:val="-3"/>
          <w:sz w:val="16"/>
        </w:rPr>
        <w:t> </w:t>
      </w:r>
      <w:r>
        <w:rPr>
          <w:i/>
          <w:sz w:val="16"/>
        </w:rPr>
        <w:t>la</w:t>
      </w:r>
      <w:r>
        <w:rPr>
          <w:i/>
          <w:spacing w:val="-7"/>
          <w:sz w:val="16"/>
        </w:rPr>
        <w:t> </w:t>
      </w:r>
      <w:r>
        <w:rPr>
          <w:i/>
          <w:sz w:val="16"/>
        </w:rPr>
        <w:t>Comisión.</w:t>
      </w:r>
      <w:r>
        <w:rPr>
          <w:i/>
          <w:spacing w:val="-2"/>
          <w:sz w:val="16"/>
        </w:rPr>
        <w:t> </w:t>
      </w:r>
      <w:r>
        <w:rPr>
          <w:sz w:val="16"/>
        </w:rPr>
        <w:t>4</w:t>
      </w:r>
      <w:r>
        <w:rPr>
          <w:spacing w:val="-5"/>
          <w:sz w:val="16"/>
        </w:rPr>
        <w:t> </w:t>
      </w:r>
      <w:r>
        <w:rPr>
          <w:sz w:val="16"/>
        </w:rPr>
        <w:t>de</w:t>
      </w:r>
      <w:r>
        <w:rPr>
          <w:spacing w:val="-6"/>
          <w:sz w:val="16"/>
        </w:rPr>
        <w:t> </w:t>
      </w:r>
      <w:r>
        <w:rPr>
          <w:sz w:val="16"/>
        </w:rPr>
        <w:t>febrero</w:t>
      </w:r>
      <w:r>
        <w:rPr>
          <w:spacing w:val="-5"/>
          <w:sz w:val="16"/>
        </w:rPr>
        <w:t> </w:t>
      </w:r>
      <w:r>
        <w:rPr>
          <w:sz w:val="16"/>
        </w:rPr>
        <w:t>de</w:t>
      </w:r>
      <w:r>
        <w:rPr>
          <w:spacing w:val="-8"/>
          <w:sz w:val="16"/>
        </w:rPr>
        <w:t> </w:t>
      </w:r>
      <w:r>
        <w:rPr>
          <w:sz w:val="16"/>
        </w:rPr>
        <w:t>2002.</w:t>
      </w:r>
      <w:r>
        <w:rPr>
          <w:spacing w:val="-7"/>
          <w:sz w:val="16"/>
        </w:rPr>
        <w:t> </w:t>
      </w:r>
      <w:r>
        <w:rPr>
          <w:sz w:val="16"/>
        </w:rPr>
        <w:t>Doc.</w:t>
      </w:r>
      <w:r>
        <w:rPr>
          <w:spacing w:val="-4"/>
          <w:sz w:val="16"/>
        </w:rPr>
        <w:t> </w:t>
      </w:r>
      <w:r>
        <w:rPr>
          <w:sz w:val="16"/>
        </w:rPr>
        <w:t>E/CN.4/2002/97,</w:t>
      </w:r>
      <w:r>
        <w:rPr>
          <w:spacing w:val="-7"/>
          <w:sz w:val="16"/>
        </w:rPr>
        <w:t> </w:t>
      </w:r>
      <w:r>
        <w:rPr>
          <w:sz w:val="16"/>
        </w:rPr>
        <w:t>párr.</w:t>
      </w:r>
      <w:r>
        <w:rPr>
          <w:spacing w:val="-7"/>
          <w:sz w:val="16"/>
        </w:rPr>
        <w:t> </w:t>
      </w:r>
      <w:r>
        <w:rPr>
          <w:sz w:val="16"/>
        </w:rPr>
        <w:t>57.</w:t>
      </w:r>
    </w:p>
    <w:p>
      <w:pPr>
        <w:pStyle w:val="BodyText"/>
        <w:spacing w:before="11"/>
        <w:rPr>
          <w:sz w:val="15"/>
        </w:rPr>
      </w:pPr>
    </w:p>
    <w:p>
      <w:pPr>
        <w:tabs>
          <w:tab w:pos="829" w:val="left" w:leader="none"/>
        </w:tabs>
        <w:spacing w:before="0"/>
        <w:ind w:left="122" w:right="117" w:firstLine="0"/>
        <w:jc w:val="both"/>
        <w:rPr>
          <w:sz w:val="16"/>
        </w:rPr>
      </w:pPr>
      <w:r>
        <w:rPr>
          <w:position w:val="6"/>
          <w:sz w:val="10"/>
        </w:rPr>
        <w:t>258</w:t>
        <w:tab/>
      </w:r>
      <w:r>
        <w:rPr>
          <w:sz w:val="16"/>
        </w:rPr>
        <w:t>FAO.</w:t>
      </w:r>
      <w:r>
        <w:rPr>
          <w:spacing w:val="17"/>
          <w:sz w:val="16"/>
        </w:rPr>
        <w:t> </w:t>
      </w:r>
      <w:r>
        <w:rPr>
          <w:i/>
          <w:sz w:val="16"/>
        </w:rPr>
        <w:t>Directrices</w:t>
      </w:r>
      <w:r>
        <w:rPr>
          <w:i/>
          <w:spacing w:val="16"/>
          <w:sz w:val="16"/>
        </w:rPr>
        <w:t> </w:t>
      </w:r>
      <w:r>
        <w:rPr>
          <w:i/>
          <w:sz w:val="16"/>
        </w:rPr>
        <w:t>voluntarias</w:t>
      </w:r>
      <w:r>
        <w:rPr>
          <w:i/>
          <w:spacing w:val="18"/>
          <w:sz w:val="16"/>
        </w:rPr>
        <w:t> </w:t>
      </w:r>
      <w:r>
        <w:rPr>
          <w:i/>
          <w:sz w:val="16"/>
        </w:rPr>
        <w:t>en</w:t>
      </w:r>
      <w:r>
        <w:rPr>
          <w:i/>
          <w:spacing w:val="17"/>
          <w:sz w:val="16"/>
        </w:rPr>
        <w:t> </w:t>
      </w:r>
      <w:r>
        <w:rPr>
          <w:i/>
          <w:sz w:val="16"/>
        </w:rPr>
        <w:t>apoyo</w:t>
      </w:r>
      <w:r>
        <w:rPr>
          <w:i/>
          <w:spacing w:val="16"/>
          <w:sz w:val="16"/>
        </w:rPr>
        <w:t> </w:t>
      </w:r>
      <w:r>
        <w:rPr>
          <w:i/>
          <w:sz w:val="16"/>
        </w:rPr>
        <w:t>de</w:t>
      </w:r>
      <w:r>
        <w:rPr>
          <w:i/>
          <w:spacing w:val="21"/>
          <w:sz w:val="16"/>
        </w:rPr>
        <w:t> </w:t>
      </w:r>
      <w:r>
        <w:rPr>
          <w:i/>
          <w:sz w:val="16"/>
        </w:rPr>
        <w:t>la</w:t>
      </w:r>
      <w:r>
        <w:rPr>
          <w:i/>
          <w:spacing w:val="17"/>
          <w:sz w:val="16"/>
        </w:rPr>
        <w:t> </w:t>
      </w:r>
      <w:r>
        <w:rPr>
          <w:i/>
          <w:sz w:val="16"/>
        </w:rPr>
        <w:t>realización</w:t>
      </w:r>
      <w:r>
        <w:rPr>
          <w:i/>
          <w:spacing w:val="17"/>
          <w:sz w:val="16"/>
        </w:rPr>
        <w:t> </w:t>
      </w:r>
      <w:r>
        <w:rPr>
          <w:i/>
          <w:sz w:val="16"/>
        </w:rPr>
        <w:t>progresiva</w:t>
      </w:r>
      <w:r>
        <w:rPr>
          <w:i/>
          <w:spacing w:val="17"/>
          <w:sz w:val="16"/>
        </w:rPr>
        <w:t> </w:t>
      </w:r>
      <w:r>
        <w:rPr>
          <w:i/>
          <w:sz w:val="16"/>
        </w:rPr>
        <w:t>del</w:t>
      </w:r>
      <w:r>
        <w:rPr>
          <w:i/>
          <w:spacing w:val="17"/>
          <w:sz w:val="16"/>
        </w:rPr>
        <w:t> </w:t>
      </w:r>
      <w:r>
        <w:rPr>
          <w:i/>
          <w:sz w:val="16"/>
        </w:rPr>
        <w:t>derecho</w:t>
      </w:r>
      <w:r>
        <w:rPr>
          <w:i/>
          <w:spacing w:val="19"/>
          <w:sz w:val="16"/>
        </w:rPr>
        <w:t> </w:t>
      </w:r>
      <w:r>
        <w:rPr>
          <w:i/>
          <w:sz w:val="16"/>
        </w:rPr>
        <w:t>a</w:t>
      </w:r>
      <w:r>
        <w:rPr>
          <w:i/>
          <w:spacing w:val="17"/>
          <w:sz w:val="16"/>
        </w:rPr>
        <w:t> </w:t>
      </w:r>
      <w:r>
        <w:rPr>
          <w:i/>
          <w:sz w:val="16"/>
        </w:rPr>
        <w:t>una</w:t>
      </w:r>
      <w:r>
        <w:rPr>
          <w:i/>
          <w:spacing w:val="17"/>
          <w:sz w:val="16"/>
        </w:rPr>
        <w:t> </w:t>
      </w:r>
      <w:r>
        <w:rPr>
          <w:i/>
          <w:sz w:val="16"/>
        </w:rPr>
        <w:t>alimentación</w:t>
      </w:r>
      <w:r>
        <w:rPr>
          <w:i/>
          <w:w w:val="100"/>
          <w:sz w:val="16"/>
        </w:rPr>
        <w:t> </w:t>
      </w:r>
      <w:r>
        <w:rPr>
          <w:i/>
          <w:sz w:val="16"/>
        </w:rPr>
        <w:t>adecuada</w:t>
      </w:r>
      <w:r>
        <w:rPr>
          <w:i/>
          <w:spacing w:val="-6"/>
          <w:sz w:val="16"/>
        </w:rPr>
        <w:t> </w:t>
      </w:r>
      <w:r>
        <w:rPr>
          <w:i/>
          <w:sz w:val="16"/>
        </w:rPr>
        <w:t>en</w:t>
      </w:r>
      <w:r>
        <w:rPr>
          <w:i/>
          <w:spacing w:val="-6"/>
          <w:sz w:val="16"/>
        </w:rPr>
        <w:t> </w:t>
      </w:r>
      <w:r>
        <w:rPr>
          <w:i/>
          <w:sz w:val="16"/>
        </w:rPr>
        <w:t>el</w:t>
      </w:r>
      <w:r>
        <w:rPr>
          <w:i/>
          <w:spacing w:val="-6"/>
          <w:sz w:val="16"/>
        </w:rPr>
        <w:t> </w:t>
      </w:r>
      <w:r>
        <w:rPr>
          <w:i/>
          <w:sz w:val="16"/>
        </w:rPr>
        <w:t>contexto</w:t>
      </w:r>
      <w:r>
        <w:rPr>
          <w:i/>
          <w:spacing w:val="-4"/>
          <w:sz w:val="16"/>
        </w:rPr>
        <w:t> </w:t>
      </w:r>
      <w:r>
        <w:rPr>
          <w:i/>
          <w:sz w:val="16"/>
        </w:rPr>
        <w:t>de</w:t>
      </w:r>
      <w:r>
        <w:rPr>
          <w:i/>
          <w:spacing w:val="-5"/>
          <w:sz w:val="16"/>
        </w:rPr>
        <w:t> </w:t>
      </w:r>
      <w:r>
        <w:rPr>
          <w:i/>
          <w:sz w:val="16"/>
        </w:rPr>
        <w:t>la</w:t>
      </w:r>
      <w:r>
        <w:rPr>
          <w:i/>
          <w:spacing w:val="-6"/>
          <w:sz w:val="16"/>
        </w:rPr>
        <w:t> </w:t>
      </w:r>
      <w:r>
        <w:rPr>
          <w:i/>
          <w:sz w:val="16"/>
        </w:rPr>
        <w:t>seguridad</w:t>
      </w:r>
      <w:r>
        <w:rPr>
          <w:i/>
          <w:spacing w:val="-4"/>
          <w:sz w:val="16"/>
        </w:rPr>
        <w:t> </w:t>
      </w:r>
      <w:r>
        <w:rPr>
          <w:i/>
          <w:sz w:val="16"/>
        </w:rPr>
        <w:t>alimentaria</w:t>
      </w:r>
      <w:r>
        <w:rPr>
          <w:i/>
          <w:spacing w:val="-3"/>
          <w:sz w:val="16"/>
        </w:rPr>
        <w:t> </w:t>
      </w:r>
      <w:r>
        <w:rPr>
          <w:i/>
          <w:sz w:val="16"/>
        </w:rPr>
        <w:t>nacional.</w:t>
      </w:r>
      <w:r>
        <w:rPr>
          <w:i/>
          <w:spacing w:val="-1"/>
          <w:sz w:val="16"/>
        </w:rPr>
        <w:t> </w:t>
      </w:r>
      <w:r>
        <w:rPr>
          <w:sz w:val="16"/>
        </w:rPr>
        <w:t>Aprobadas</w:t>
      </w:r>
      <w:r>
        <w:rPr>
          <w:spacing w:val="-5"/>
          <w:sz w:val="16"/>
        </w:rPr>
        <w:t> </w:t>
      </w:r>
      <w:r>
        <w:rPr>
          <w:sz w:val="16"/>
        </w:rPr>
        <w:t>por</w:t>
      </w:r>
      <w:r>
        <w:rPr>
          <w:spacing w:val="-4"/>
          <w:sz w:val="16"/>
        </w:rPr>
        <w:t> </w:t>
      </w:r>
      <w:r>
        <w:rPr>
          <w:sz w:val="16"/>
        </w:rPr>
        <w:t>el</w:t>
      </w:r>
      <w:r>
        <w:rPr>
          <w:spacing w:val="-6"/>
          <w:sz w:val="16"/>
        </w:rPr>
        <w:t> </w:t>
      </w:r>
      <w:r>
        <w:rPr>
          <w:sz w:val="16"/>
        </w:rPr>
        <w:t>Consejo</w:t>
      </w:r>
      <w:r>
        <w:rPr>
          <w:spacing w:val="-4"/>
          <w:sz w:val="16"/>
        </w:rPr>
        <w:t> </w:t>
      </w:r>
      <w:r>
        <w:rPr>
          <w:sz w:val="16"/>
        </w:rPr>
        <w:t>de</w:t>
      </w:r>
      <w:r>
        <w:rPr>
          <w:spacing w:val="-2"/>
          <w:sz w:val="16"/>
        </w:rPr>
        <w:t> </w:t>
      </w:r>
      <w:r>
        <w:rPr>
          <w:sz w:val="16"/>
        </w:rPr>
        <w:t>la</w:t>
      </w:r>
      <w:r>
        <w:rPr>
          <w:spacing w:val="-6"/>
          <w:sz w:val="16"/>
        </w:rPr>
        <w:t> </w:t>
      </w:r>
      <w:r>
        <w:rPr>
          <w:sz w:val="16"/>
        </w:rPr>
        <w:t>FAO</w:t>
      </w:r>
      <w:r>
        <w:rPr>
          <w:spacing w:val="-4"/>
          <w:sz w:val="16"/>
        </w:rPr>
        <w:t> </w:t>
      </w:r>
      <w:r>
        <w:rPr>
          <w:sz w:val="16"/>
        </w:rPr>
        <w:t>en</w:t>
      </w:r>
      <w:r>
        <w:rPr>
          <w:spacing w:val="-6"/>
          <w:sz w:val="16"/>
        </w:rPr>
        <w:t> </w:t>
      </w:r>
      <w:r>
        <w:rPr>
          <w:sz w:val="16"/>
        </w:rPr>
        <w:t>su</w:t>
      </w:r>
      <w:r>
        <w:rPr>
          <w:spacing w:val="-6"/>
          <w:sz w:val="16"/>
        </w:rPr>
        <w:t> </w:t>
      </w:r>
      <w:r>
        <w:rPr>
          <w:sz w:val="16"/>
        </w:rPr>
        <w:t>127º período de sesiones, noviembre de 2004. Directriz 8B.</w:t>
      </w:r>
      <w:r>
        <w:rPr>
          <w:spacing w:val="-23"/>
          <w:sz w:val="16"/>
        </w:rPr>
        <w:t> </w:t>
      </w:r>
      <w:r>
        <w:rPr>
          <w:sz w:val="16"/>
        </w:rPr>
        <w:t>Tierra.</w:t>
      </w:r>
    </w:p>
    <w:p>
      <w:pPr>
        <w:pStyle w:val="BodyText"/>
        <w:rPr>
          <w:sz w:val="16"/>
        </w:rPr>
      </w:pPr>
    </w:p>
    <w:p>
      <w:pPr>
        <w:tabs>
          <w:tab w:pos="829" w:val="left" w:leader="none"/>
        </w:tabs>
        <w:spacing w:before="0"/>
        <w:ind w:left="122" w:right="114" w:firstLine="0"/>
        <w:jc w:val="both"/>
        <w:rPr>
          <w:sz w:val="16"/>
        </w:rPr>
      </w:pPr>
      <w:r>
        <w:rPr>
          <w:position w:val="6"/>
          <w:sz w:val="10"/>
        </w:rPr>
        <w:t>259</w:t>
        <w:tab/>
      </w:r>
      <w:r>
        <w:rPr>
          <w:sz w:val="16"/>
        </w:rPr>
        <w:t>Comité DESC. </w:t>
      </w:r>
      <w:r>
        <w:rPr>
          <w:i/>
          <w:sz w:val="16"/>
        </w:rPr>
        <w:t>Observación General 12. El derecho a una alimentación adecuada (artículo </w:t>
      </w:r>
      <w:r>
        <w:rPr>
          <w:i/>
          <w:spacing w:val="4"/>
          <w:sz w:val="16"/>
        </w:rPr>
        <w:t> </w:t>
      </w:r>
      <w:r>
        <w:rPr>
          <w:i/>
          <w:sz w:val="16"/>
        </w:rPr>
        <w:t>11)</w:t>
      </w:r>
      <w:r>
        <w:rPr>
          <w:sz w:val="16"/>
        </w:rPr>
        <w:t>,</w:t>
      </w:r>
      <w:r>
        <w:rPr>
          <w:spacing w:val="4"/>
          <w:sz w:val="16"/>
        </w:rPr>
        <w:t> </w:t>
      </w:r>
      <w:r>
        <w:rPr>
          <w:sz w:val="16"/>
        </w:rPr>
        <w:t>párr.</w:t>
      </w:r>
      <w:r>
        <w:rPr>
          <w:w w:val="100"/>
          <w:sz w:val="16"/>
        </w:rPr>
        <w:t> </w:t>
      </w:r>
      <w:r>
        <w:rPr>
          <w:sz w:val="16"/>
        </w:rPr>
        <w:t>13.</w:t>
      </w:r>
    </w:p>
    <w:p>
      <w:pPr>
        <w:pStyle w:val="BodyText"/>
        <w:spacing w:before="12"/>
        <w:rPr>
          <w:sz w:val="15"/>
        </w:rPr>
      </w:pPr>
    </w:p>
    <w:p>
      <w:pPr>
        <w:tabs>
          <w:tab w:pos="829" w:val="left" w:leader="none"/>
        </w:tabs>
        <w:spacing w:line="240" w:lineRule="auto" w:before="0"/>
        <w:ind w:left="122" w:right="112" w:firstLine="0"/>
        <w:jc w:val="both"/>
        <w:rPr>
          <w:sz w:val="16"/>
        </w:rPr>
      </w:pPr>
      <w:r>
        <w:rPr>
          <w:position w:val="6"/>
          <w:sz w:val="10"/>
        </w:rPr>
        <w:t>260</w:t>
        <w:tab/>
      </w:r>
      <w:r>
        <w:rPr>
          <w:sz w:val="16"/>
        </w:rPr>
        <w:t>Relator  especial  de  las  Naciones  Unidas  sobre  el  derecho  a  la  alimentación.  </w:t>
      </w:r>
      <w:r>
        <w:rPr>
          <w:i/>
          <w:sz w:val="16"/>
        </w:rPr>
        <w:t>El  derecho</w:t>
      </w:r>
      <w:r>
        <w:rPr>
          <w:i/>
          <w:spacing w:val="20"/>
          <w:sz w:val="16"/>
        </w:rPr>
        <w:t> </w:t>
      </w:r>
      <w:r>
        <w:rPr>
          <w:i/>
          <w:sz w:val="16"/>
        </w:rPr>
        <w:t>a</w:t>
      </w:r>
      <w:r>
        <w:rPr>
          <w:i/>
          <w:spacing w:val="54"/>
          <w:sz w:val="16"/>
        </w:rPr>
        <w:t> </w:t>
      </w:r>
      <w:r>
        <w:rPr>
          <w:i/>
          <w:sz w:val="16"/>
        </w:rPr>
        <w:t>la</w:t>
      </w:r>
      <w:r>
        <w:rPr>
          <w:i/>
          <w:w w:val="100"/>
          <w:sz w:val="16"/>
        </w:rPr>
        <w:t> </w:t>
      </w:r>
      <w:r>
        <w:rPr>
          <w:i/>
          <w:sz w:val="16"/>
        </w:rPr>
        <w:t>alimentación</w:t>
      </w:r>
      <w:r>
        <w:rPr>
          <w:sz w:val="16"/>
        </w:rPr>
        <w:t>, párr. 21. Además, en el párrafo 19 del documento indicado, el Relator manifestó que “debido a los prolongados procesos históricos de colonización, explotación y exclusión política y económica, los pueblos indígenas están entre los grupos más vulnerables a la pobreza, el hambre y la malnutrición. El derecho a la alimentación está directamente vinculado a la situación de extrema pobreza en la que viven muchos pueblos indígenas”. En el párrafo anterior agregó que “[L]las actividades de desarrollo inadecuadas a menudo intensifican</w:t>
      </w:r>
      <w:r>
        <w:rPr>
          <w:spacing w:val="-7"/>
          <w:sz w:val="16"/>
        </w:rPr>
        <w:t> </w:t>
      </w:r>
      <w:r>
        <w:rPr>
          <w:sz w:val="16"/>
        </w:rPr>
        <w:t>la</w:t>
      </w:r>
      <w:r>
        <w:rPr>
          <w:spacing w:val="-7"/>
          <w:sz w:val="16"/>
        </w:rPr>
        <w:t> </w:t>
      </w:r>
      <w:r>
        <w:rPr>
          <w:sz w:val="16"/>
        </w:rPr>
        <w:t>marginación,</w:t>
      </w:r>
      <w:r>
        <w:rPr>
          <w:spacing w:val="-7"/>
          <w:sz w:val="16"/>
        </w:rPr>
        <w:t> </w:t>
      </w:r>
      <w:r>
        <w:rPr>
          <w:sz w:val="16"/>
        </w:rPr>
        <w:t>la</w:t>
      </w:r>
      <w:r>
        <w:rPr>
          <w:spacing w:val="-9"/>
          <w:sz w:val="16"/>
        </w:rPr>
        <w:t> </w:t>
      </w:r>
      <w:r>
        <w:rPr>
          <w:sz w:val="16"/>
        </w:rPr>
        <w:t>pobreza</w:t>
      </w:r>
      <w:r>
        <w:rPr>
          <w:spacing w:val="-9"/>
          <w:sz w:val="16"/>
        </w:rPr>
        <w:t> </w:t>
      </w:r>
      <w:r>
        <w:rPr>
          <w:sz w:val="16"/>
        </w:rPr>
        <w:t>y</w:t>
      </w:r>
      <w:r>
        <w:rPr>
          <w:spacing w:val="-8"/>
          <w:sz w:val="16"/>
        </w:rPr>
        <w:t> </w:t>
      </w:r>
      <w:r>
        <w:rPr>
          <w:sz w:val="16"/>
        </w:rPr>
        <w:t>la</w:t>
      </w:r>
      <w:r>
        <w:rPr>
          <w:spacing w:val="-7"/>
          <w:sz w:val="16"/>
        </w:rPr>
        <w:t> </w:t>
      </w:r>
      <w:r>
        <w:rPr>
          <w:sz w:val="16"/>
        </w:rPr>
        <w:t>inseguridad</w:t>
      </w:r>
      <w:r>
        <w:rPr>
          <w:spacing w:val="-8"/>
          <w:sz w:val="16"/>
        </w:rPr>
        <w:t> </w:t>
      </w:r>
      <w:r>
        <w:rPr>
          <w:sz w:val="16"/>
        </w:rPr>
        <w:t>alimentaria</w:t>
      </w:r>
      <w:r>
        <w:rPr>
          <w:spacing w:val="-7"/>
          <w:sz w:val="16"/>
        </w:rPr>
        <w:t> </w:t>
      </w:r>
      <w:r>
        <w:rPr>
          <w:sz w:val="16"/>
        </w:rPr>
        <w:t>de</w:t>
      </w:r>
      <w:r>
        <w:rPr>
          <w:spacing w:val="-8"/>
          <w:sz w:val="16"/>
        </w:rPr>
        <w:t> </w:t>
      </w:r>
      <w:r>
        <w:rPr>
          <w:sz w:val="16"/>
        </w:rPr>
        <w:t>los</w:t>
      </w:r>
      <w:r>
        <w:rPr>
          <w:spacing w:val="-8"/>
          <w:sz w:val="16"/>
        </w:rPr>
        <w:t> </w:t>
      </w:r>
      <w:r>
        <w:rPr>
          <w:sz w:val="16"/>
        </w:rPr>
        <w:t>pueblos</w:t>
      </w:r>
      <w:r>
        <w:rPr>
          <w:spacing w:val="-8"/>
          <w:sz w:val="16"/>
        </w:rPr>
        <w:t> </w:t>
      </w:r>
      <w:r>
        <w:rPr>
          <w:sz w:val="16"/>
        </w:rPr>
        <w:t>indígenas;</w:t>
      </w:r>
      <w:r>
        <w:rPr>
          <w:spacing w:val="-7"/>
          <w:sz w:val="16"/>
        </w:rPr>
        <w:t> </w:t>
      </w:r>
      <w:r>
        <w:rPr>
          <w:sz w:val="16"/>
        </w:rPr>
        <w:t>no</w:t>
      </w:r>
      <w:r>
        <w:rPr>
          <w:spacing w:val="-8"/>
          <w:sz w:val="16"/>
        </w:rPr>
        <w:t> </w:t>
      </w:r>
      <w:r>
        <w:rPr>
          <w:sz w:val="16"/>
        </w:rPr>
        <w:t>reconocen</w:t>
      </w:r>
      <w:r>
        <w:rPr>
          <w:spacing w:val="-9"/>
          <w:sz w:val="16"/>
        </w:rPr>
        <w:t> </w:t>
      </w:r>
      <w:r>
        <w:rPr>
          <w:sz w:val="16"/>
        </w:rPr>
        <w:t>los métodos que usan los indígenas para asegurar su propia subsistencia, y hacen caso omiso del derecho de éstos a definir su propia forma de alcanzar el desarrollo”. En forma concordante con lo expuesto, el señor</w:t>
      </w:r>
      <w:r>
        <w:rPr>
          <w:spacing w:val="-7"/>
          <w:sz w:val="16"/>
        </w:rPr>
        <w:t> </w:t>
      </w:r>
      <w:r>
        <w:rPr>
          <w:sz w:val="16"/>
        </w:rPr>
        <w:t>De</w:t>
      </w:r>
    </w:p>
    <w:p>
      <w:pPr>
        <w:spacing w:after="0" w:line="240" w:lineRule="auto"/>
        <w:jc w:val="both"/>
        <w:rPr>
          <w:sz w:val="16"/>
        </w:rPr>
        <w:sectPr>
          <w:pgSz w:w="12240" w:h="15840"/>
          <w:pgMar w:header="0" w:footer="1000" w:top="1500" w:bottom="1200" w:left="1580" w:right="1580"/>
        </w:sectPr>
      </w:pPr>
    </w:p>
    <w:p>
      <w:pPr>
        <w:pStyle w:val="Heading4"/>
        <w:spacing w:before="161"/>
        <w:ind w:left="688"/>
        <w:rPr>
          <w:i/>
        </w:rPr>
      </w:pPr>
      <w:bookmarkStart w:name="_bookmark68" w:id="117"/>
      <w:bookmarkEnd w:id="117"/>
      <w:r>
        <w:rPr>
          <w:b w:val="0"/>
          <w:i w:val="0"/>
        </w:rPr>
      </w:r>
      <w:r>
        <w:rPr>
          <w:i/>
        </w:rPr>
        <w:t>B.2. </w:t>
      </w:r>
      <w:r>
        <w:rPr>
          <w:i/>
          <w:u w:val="thick"/>
        </w:rPr>
        <w:t>Hechos relevantes del caso y análisis de la responsabilidad estatal</w:t>
      </w:r>
    </w:p>
    <w:p>
      <w:pPr>
        <w:pStyle w:val="BodyText"/>
        <w:spacing w:before="8"/>
        <w:rPr>
          <w:b/>
          <w:i/>
          <w:sz w:val="11"/>
        </w:rPr>
      </w:pPr>
    </w:p>
    <w:p>
      <w:pPr>
        <w:spacing w:before="99"/>
        <w:ind w:left="974" w:right="0" w:firstLine="0"/>
        <w:jc w:val="left"/>
        <w:rPr>
          <w:i/>
          <w:sz w:val="20"/>
        </w:rPr>
      </w:pPr>
      <w:bookmarkStart w:name="_bookmark69" w:id="118"/>
      <w:bookmarkEnd w:id="118"/>
      <w:r>
        <w:rPr/>
      </w:r>
      <w:r>
        <w:rPr>
          <w:i/>
          <w:sz w:val="20"/>
        </w:rPr>
        <w:t>B.2.1 </w:t>
      </w:r>
      <w:r>
        <w:rPr>
          <w:i/>
          <w:sz w:val="20"/>
          <w:u w:val="single"/>
        </w:rPr>
        <w:t>Hechos</w:t>
      </w:r>
    </w:p>
    <w:p>
      <w:pPr>
        <w:pStyle w:val="BodyText"/>
        <w:spacing w:before="10"/>
        <w:rPr>
          <w:i/>
          <w:sz w:val="11"/>
        </w:rPr>
      </w:pPr>
    </w:p>
    <w:p>
      <w:pPr>
        <w:pStyle w:val="ListParagraph"/>
        <w:numPr>
          <w:ilvl w:val="0"/>
          <w:numId w:val="31"/>
        </w:numPr>
        <w:tabs>
          <w:tab w:pos="830" w:val="left" w:leader="none"/>
        </w:tabs>
        <w:spacing w:line="240" w:lineRule="auto" w:before="100" w:after="0"/>
        <w:ind w:left="122" w:right="123" w:firstLine="0"/>
        <w:jc w:val="both"/>
        <w:rPr>
          <w:sz w:val="20"/>
        </w:rPr>
      </w:pPr>
      <w:r>
        <w:rPr>
          <w:sz w:val="20"/>
        </w:rPr>
        <w:t>Respecto a los hechos del caso relevantes debe resaltarse que no está controvertido que en los lotes 14 y 55 se desarrolle actividad ganadera por parte de población criolla, que se hayan instalado alambrados y que se hayan producido hechos de tala ilegal. En ese sentido, interesa destacar que Argentina ha expresado que hay “cercas de […] familias criollas”, indicando que “fueron construidas con anterioridad al [I]nforme de [F]ondo”. Además, en el “Plan Integral de Trabajo” que elaboró en 2017 propuso acciones para el traslado del ganado. Aunado a ello, el Estado adoptó diversas disposiciones para prevenir la tala ilegal, dando cuenta de que se encontraron “aprovechamientos forestales” sin “autorización legal” (</w:t>
      </w:r>
      <w:r>
        <w:rPr>
          <w:i/>
          <w:sz w:val="20"/>
        </w:rPr>
        <w:t>infra </w:t>
      </w:r>
      <w:r>
        <w:rPr>
          <w:sz w:val="20"/>
        </w:rPr>
        <w:t>párrs. 269 a</w:t>
      </w:r>
      <w:r>
        <w:rPr>
          <w:spacing w:val="-23"/>
          <w:sz w:val="20"/>
        </w:rPr>
        <w:t> </w:t>
      </w:r>
      <w:r>
        <w:rPr>
          <w:sz w:val="20"/>
        </w:rPr>
        <w:t>271).</w:t>
      </w:r>
    </w:p>
    <w:p>
      <w:pPr>
        <w:pStyle w:val="BodyText"/>
        <w:spacing w:before="1"/>
      </w:pPr>
    </w:p>
    <w:p>
      <w:pPr>
        <w:pStyle w:val="ListParagraph"/>
        <w:numPr>
          <w:ilvl w:val="0"/>
          <w:numId w:val="31"/>
        </w:numPr>
        <w:tabs>
          <w:tab w:pos="830" w:val="left" w:leader="none"/>
        </w:tabs>
        <w:spacing w:line="240" w:lineRule="auto" w:before="0" w:after="0"/>
        <w:ind w:left="122" w:right="123" w:firstLine="0"/>
        <w:jc w:val="both"/>
        <w:rPr>
          <w:sz w:val="20"/>
        </w:rPr>
      </w:pPr>
      <w:r>
        <w:rPr>
          <w:sz w:val="20"/>
        </w:rPr>
        <w:t>Es un hecho, entonces, que las comunidades indígenas no tienen una posesión de su territorio libre de interferencia. La misma no se limita a la mera presencia de pobladores no indígenas, sino también a las actividades indicadas. Seguidamente se da cuenta de las mismas y su</w:t>
      </w:r>
      <w:r>
        <w:rPr>
          <w:spacing w:val="-10"/>
          <w:sz w:val="20"/>
        </w:rPr>
        <w:t> </w:t>
      </w:r>
      <w:r>
        <w:rPr>
          <w:sz w:val="20"/>
        </w:rPr>
        <w:t>impacto.</w:t>
      </w:r>
    </w:p>
    <w:p>
      <w:pPr>
        <w:pStyle w:val="BodyText"/>
      </w:pPr>
    </w:p>
    <w:p>
      <w:pPr>
        <w:pStyle w:val="ListParagraph"/>
        <w:numPr>
          <w:ilvl w:val="3"/>
          <w:numId w:val="33"/>
        </w:numPr>
        <w:tabs>
          <w:tab w:pos="2061" w:val="left" w:leader="none"/>
        </w:tabs>
        <w:spacing w:line="240" w:lineRule="auto" w:before="0" w:after="0"/>
        <w:ind w:left="2060" w:right="0" w:hanging="806"/>
        <w:jc w:val="left"/>
        <w:rPr>
          <w:i/>
          <w:sz w:val="20"/>
        </w:rPr>
      </w:pPr>
      <w:bookmarkStart w:name="_bookmark70" w:id="119"/>
      <w:bookmarkEnd w:id="119"/>
      <w:r>
        <w:rPr/>
      </w:r>
      <w:bookmarkStart w:name="_bookmark70" w:id="120"/>
      <w:bookmarkEnd w:id="120"/>
      <w:r>
        <w:rPr>
          <w:i/>
          <w:sz w:val="20"/>
        </w:rPr>
        <w:t>G</w:t>
      </w:r>
      <w:r>
        <w:rPr>
          <w:i/>
          <w:sz w:val="20"/>
        </w:rPr>
        <w:t>anado, tala ilegal y</w:t>
      </w:r>
      <w:r>
        <w:rPr>
          <w:i/>
          <w:spacing w:val="-15"/>
          <w:sz w:val="20"/>
        </w:rPr>
        <w:t> </w:t>
      </w:r>
      <w:r>
        <w:rPr>
          <w:i/>
          <w:sz w:val="20"/>
        </w:rPr>
        <w:t>alambrados</w:t>
      </w:r>
    </w:p>
    <w:p>
      <w:pPr>
        <w:pStyle w:val="BodyText"/>
        <w:rPr>
          <w:i/>
        </w:rPr>
      </w:pPr>
    </w:p>
    <w:p>
      <w:pPr>
        <w:pStyle w:val="ListParagraph"/>
        <w:numPr>
          <w:ilvl w:val="0"/>
          <w:numId w:val="31"/>
        </w:numPr>
        <w:tabs>
          <w:tab w:pos="830" w:val="left" w:leader="none"/>
        </w:tabs>
        <w:spacing w:line="240" w:lineRule="auto" w:before="0" w:after="0"/>
        <w:ind w:left="122" w:right="125" w:firstLine="0"/>
        <w:jc w:val="both"/>
        <w:rPr>
          <w:sz w:val="20"/>
        </w:rPr>
      </w:pPr>
      <w:r>
        <w:rPr>
          <w:i/>
          <w:sz w:val="20"/>
        </w:rPr>
        <w:t>Ganado.- </w:t>
      </w:r>
      <w:r>
        <w:rPr>
          <w:sz w:val="20"/>
        </w:rPr>
        <w:t>De conformidad con la prueba documental allegada por los representantes,</w:t>
      </w:r>
      <w:r>
        <w:rPr>
          <w:spacing w:val="-10"/>
          <w:sz w:val="20"/>
        </w:rPr>
        <w:t> </w:t>
      </w:r>
      <w:r>
        <w:rPr>
          <w:sz w:val="20"/>
        </w:rPr>
        <w:t>una</w:t>
      </w:r>
      <w:r>
        <w:rPr>
          <w:spacing w:val="-11"/>
          <w:sz w:val="20"/>
        </w:rPr>
        <w:t> </w:t>
      </w:r>
      <w:r>
        <w:rPr>
          <w:sz w:val="20"/>
        </w:rPr>
        <w:t>problemática</w:t>
      </w:r>
      <w:r>
        <w:rPr>
          <w:spacing w:val="-9"/>
          <w:sz w:val="20"/>
        </w:rPr>
        <w:t> </w:t>
      </w:r>
      <w:r>
        <w:rPr>
          <w:sz w:val="20"/>
        </w:rPr>
        <w:t>ambiental</w:t>
      </w:r>
      <w:r>
        <w:rPr>
          <w:spacing w:val="-11"/>
          <w:sz w:val="20"/>
        </w:rPr>
        <w:t> </w:t>
      </w:r>
      <w:r>
        <w:rPr>
          <w:sz w:val="20"/>
        </w:rPr>
        <w:t>de</w:t>
      </w:r>
      <w:r>
        <w:rPr>
          <w:spacing w:val="-8"/>
          <w:sz w:val="20"/>
        </w:rPr>
        <w:t> </w:t>
      </w:r>
      <w:r>
        <w:rPr>
          <w:sz w:val="20"/>
        </w:rPr>
        <w:t>gravedad</w:t>
      </w:r>
      <w:r>
        <w:rPr>
          <w:spacing w:val="-11"/>
          <w:sz w:val="20"/>
        </w:rPr>
        <w:t> </w:t>
      </w:r>
      <w:r>
        <w:rPr>
          <w:sz w:val="20"/>
        </w:rPr>
        <w:t>para</w:t>
      </w:r>
      <w:r>
        <w:rPr>
          <w:spacing w:val="-9"/>
          <w:sz w:val="20"/>
        </w:rPr>
        <w:t> </w:t>
      </w:r>
      <w:r>
        <w:rPr>
          <w:sz w:val="20"/>
        </w:rPr>
        <w:t>el</w:t>
      </w:r>
      <w:r>
        <w:rPr>
          <w:spacing w:val="-9"/>
          <w:sz w:val="20"/>
        </w:rPr>
        <w:t> </w:t>
      </w:r>
      <w:r>
        <w:rPr>
          <w:sz w:val="20"/>
        </w:rPr>
        <w:t>pueblo</w:t>
      </w:r>
      <w:r>
        <w:rPr>
          <w:spacing w:val="-10"/>
          <w:sz w:val="20"/>
        </w:rPr>
        <w:t> </w:t>
      </w:r>
      <w:r>
        <w:rPr>
          <w:sz w:val="20"/>
        </w:rPr>
        <w:t>wichí</w:t>
      </w:r>
      <w:r>
        <w:rPr>
          <w:spacing w:val="-8"/>
          <w:sz w:val="20"/>
        </w:rPr>
        <w:t> </w:t>
      </w:r>
      <w:r>
        <w:rPr>
          <w:sz w:val="20"/>
        </w:rPr>
        <w:t>ha</w:t>
      </w:r>
      <w:r>
        <w:rPr>
          <w:spacing w:val="-9"/>
          <w:sz w:val="20"/>
        </w:rPr>
        <w:t> </w:t>
      </w:r>
      <w:r>
        <w:rPr>
          <w:sz w:val="20"/>
        </w:rPr>
        <w:t>sido</w:t>
      </w:r>
      <w:r>
        <w:rPr>
          <w:spacing w:val="-10"/>
          <w:sz w:val="20"/>
        </w:rPr>
        <w:t> </w:t>
      </w:r>
      <w:r>
        <w:rPr>
          <w:sz w:val="20"/>
        </w:rPr>
        <w:t>la “introducción de ganado, sobrepastoreo y contaminación de los cuerpos de agua con heces de animales”</w:t>
      </w:r>
      <w:r>
        <w:rPr>
          <w:position w:val="7"/>
          <w:sz w:val="13"/>
        </w:rPr>
        <w:t>261</w:t>
      </w:r>
      <w:r>
        <w:rPr>
          <w:sz w:val="20"/>
        </w:rPr>
        <w:t>. Documentación emitida por Salta, explica que antes de 1860 las comunidades indígenas “basaban su economía en la caza-pesca-recolección y alguna agricultura incipiente, sin tener asentamientos poblacionales estables[, y que] solamente</w:t>
      </w:r>
      <w:r>
        <w:rPr>
          <w:spacing w:val="-10"/>
          <w:sz w:val="20"/>
        </w:rPr>
        <w:t> </w:t>
      </w:r>
      <w:r>
        <w:rPr>
          <w:sz w:val="20"/>
        </w:rPr>
        <w:t>habían</w:t>
      </w:r>
      <w:r>
        <w:rPr>
          <w:spacing w:val="-8"/>
          <w:sz w:val="20"/>
        </w:rPr>
        <w:t> </w:t>
      </w:r>
      <w:r>
        <w:rPr>
          <w:sz w:val="20"/>
        </w:rPr>
        <w:t>incorporado</w:t>
      </w:r>
      <w:r>
        <w:rPr>
          <w:spacing w:val="-10"/>
          <w:sz w:val="20"/>
        </w:rPr>
        <w:t> </w:t>
      </w:r>
      <w:r>
        <w:rPr>
          <w:sz w:val="20"/>
        </w:rPr>
        <w:t>la</w:t>
      </w:r>
      <w:r>
        <w:rPr>
          <w:spacing w:val="-6"/>
          <w:sz w:val="20"/>
        </w:rPr>
        <w:t> </w:t>
      </w:r>
      <w:r>
        <w:rPr>
          <w:sz w:val="20"/>
        </w:rPr>
        <w:t>oveja</w:t>
      </w:r>
      <w:r>
        <w:rPr>
          <w:spacing w:val="-6"/>
          <w:sz w:val="20"/>
        </w:rPr>
        <w:t> </w:t>
      </w:r>
      <w:r>
        <w:rPr>
          <w:sz w:val="20"/>
        </w:rPr>
        <w:t>y</w:t>
      </w:r>
      <w:r>
        <w:rPr>
          <w:spacing w:val="-7"/>
          <w:sz w:val="20"/>
        </w:rPr>
        <w:t> </w:t>
      </w:r>
      <w:r>
        <w:rPr>
          <w:sz w:val="20"/>
        </w:rPr>
        <w:t>el</w:t>
      </w:r>
      <w:r>
        <w:rPr>
          <w:spacing w:val="-8"/>
          <w:sz w:val="20"/>
        </w:rPr>
        <w:t> </w:t>
      </w:r>
      <w:r>
        <w:rPr>
          <w:sz w:val="20"/>
        </w:rPr>
        <w:t>caballo,</w:t>
      </w:r>
      <w:r>
        <w:rPr>
          <w:spacing w:val="-9"/>
          <w:sz w:val="20"/>
        </w:rPr>
        <w:t> </w:t>
      </w:r>
      <w:r>
        <w:rPr>
          <w:sz w:val="20"/>
        </w:rPr>
        <w:t>que</w:t>
      </w:r>
      <w:r>
        <w:rPr>
          <w:spacing w:val="-8"/>
          <w:sz w:val="20"/>
        </w:rPr>
        <w:t> </w:t>
      </w:r>
      <w:r>
        <w:rPr>
          <w:sz w:val="20"/>
        </w:rPr>
        <w:t>criaron</w:t>
      </w:r>
      <w:r>
        <w:rPr>
          <w:spacing w:val="-6"/>
          <w:sz w:val="20"/>
        </w:rPr>
        <w:t> </w:t>
      </w:r>
      <w:r>
        <w:rPr>
          <w:sz w:val="20"/>
        </w:rPr>
        <w:t>en</w:t>
      </w:r>
      <w:r>
        <w:rPr>
          <w:spacing w:val="-8"/>
          <w:sz w:val="20"/>
        </w:rPr>
        <w:t> </w:t>
      </w:r>
      <w:r>
        <w:rPr>
          <w:sz w:val="20"/>
        </w:rPr>
        <w:t>número</w:t>
      </w:r>
      <w:r>
        <w:rPr>
          <w:spacing w:val="-8"/>
          <w:sz w:val="20"/>
        </w:rPr>
        <w:t> </w:t>
      </w:r>
      <w:r>
        <w:rPr>
          <w:sz w:val="20"/>
        </w:rPr>
        <w:t>reducido”.</w:t>
      </w:r>
      <w:r>
        <w:rPr>
          <w:spacing w:val="-10"/>
          <w:sz w:val="20"/>
        </w:rPr>
        <w:t> </w:t>
      </w:r>
      <w:r>
        <w:rPr>
          <w:sz w:val="20"/>
        </w:rPr>
        <w:t>El mismo texto expresa que, a partir de la década de 1860, la población criolla asentada en</w:t>
      </w:r>
      <w:r>
        <w:rPr>
          <w:spacing w:val="-15"/>
          <w:sz w:val="20"/>
        </w:rPr>
        <w:t> </w:t>
      </w:r>
      <w:r>
        <w:rPr>
          <w:sz w:val="20"/>
        </w:rPr>
        <w:t>el</w:t>
      </w:r>
      <w:r>
        <w:rPr>
          <w:spacing w:val="-16"/>
          <w:sz w:val="20"/>
        </w:rPr>
        <w:t> </w:t>
      </w:r>
      <w:r>
        <w:rPr>
          <w:sz w:val="20"/>
        </w:rPr>
        <w:t>Departamento</w:t>
      </w:r>
      <w:r>
        <w:rPr>
          <w:spacing w:val="-17"/>
          <w:sz w:val="20"/>
        </w:rPr>
        <w:t> </w:t>
      </w:r>
      <w:r>
        <w:rPr>
          <w:sz w:val="20"/>
        </w:rPr>
        <w:t>Rivadavia</w:t>
      </w:r>
      <w:r>
        <w:rPr>
          <w:spacing w:val="-16"/>
          <w:sz w:val="20"/>
        </w:rPr>
        <w:t> </w:t>
      </w:r>
      <w:r>
        <w:rPr>
          <w:sz w:val="20"/>
        </w:rPr>
        <w:t>introdujo</w:t>
      </w:r>
      <w:r>
        <w:rPr>
          <w:spacing w:val="-17"/>
          <w:sz w:val="20"/>
        </w:rPr>
        <w:t> </w:t>
      </w:r>
      <w:r>
        <w:rPr>
          <w:sz w:val="20"/>
        </w:rPr>
        <w:t>la</w:t>
      </w:r>
      <w:r>
        <w:rPr>
          <w:spacing w:val="-16"/>
          <w:sz w:val="20"/>
        </w:rPr>
        <w:t> </w:t>
      </w:r>
      <w:r>
        <w:rPr>
          <w:sz w:val="20"/>
        </w:rPr>
        <w:t>ganadería</w:t>
      </w:r>
      <w:r>
        <w:rPr>
          <w:spacing w:val="-16"/>
          <w:sz w:val="20"/>
        </w:rPr>
        <w:t> </w:t>
      </w:r>
      <w:r>
        <w:rPr>
          <w:sz w:val="20"/>
        </w:rPr>
        <w:t>mayor,</w:t>
      </w:r>
      <w:r>
        <w:rPr>
          <w:spacing w:val="-17"/>
          <w:sz w:val="20"/>
        </w:rPr>
        <w:t> </w:t>
      </w:r>
      <w:r>
        <w:rPr>
          <w:sz w:val="20"/>
        </w:rPr>
        <w:t>y</w:t>
      </w:r>
      <w:r>
        <w:rPr>
          <w:spacing w:val="-16"/>
          <w:sz w:val="20"/>
        </w:rPr>
        <w:t> </w:t>
      </w:r>
      <w:r>
        <w:rPr>
          <w:sz w:val="20"/>
        </w:rPr>
        <w:t>que</w:t>
      </w:r>
      <w:r>
        <w:rPr>
          <w:spacing w:val="-17"/>
          <w:sz w:val="20"/>
        </w:rPr>
        <w:t> </w:t>
      </w:r>
      <w:r>
        <w:rPr>
          <w:sz w:val="20"/>
        </w:rPr>
        <w:t>desde</w:t>
      </w:r>
      <w:r>
        <w:rPr>
          <w:spacing w:val="-17"/>
          <w:sz w:val="20"/>
        </w:rPr>
        <w:t> </w:t>
      </w:r>
      <w:r>
        <w:rPr>
          <w:sz w:val="20"/>
        </w:rPr>
        <w:t>inicios</w:t>
      </w:r>
      <w:r>
        <w:rPr>
          <w:spacing w:val="-18"/>
          <w:sz w:val="20"/>
        </w:rPr>
        <w:t> </w:t>
      </w:r>
      <w:r>
        <w:rPr>
          <w:sz w:val="20"/>
        </w:rPr>
        <w:t>del</w:t>
      </w:r>
      <w:r>
        <w:rPr>
          <w:spacing w:val="-16"/>
          <w:sz w:val="20"/>
        </w:rPr>
        <w:t> </w:t>
      </w:r>
      <w:r>
        <w:rPr>
          <w:sz w:val="20"/>
        </w:rPr>
        <w:t>siglo XX, esto “condujo al deterioro de los recursos forrajeros herbáceos y arbustivos y a la expansión de especies leñosas</w:t>
      </w:r>
      <w:r>
        <w:rPr>
          <w:spacing w:val="-13"/>
          <w:sz w:val="20"/>
        </w:rPr>
        <w:t> </w:t>
      </w:r>
      <w:r>
        <w:rPr>
          <w:sz w:val="20"/>
        </w:rPr>
        <w:t>invasoras”</w:t>
      </w:r>
      <w:r>
        <w:rPr>
          <w:position w:val="7"/>
          <w:sz w:val="13"/>
        </w:rPr>
        <w:t>262</w:t>
      </w:r>
      <w:r>
        <w:rPr>
          <w:sz w:val="20"/>
        </w:rPr>
        <w:t>.</w:t>
      </w:r>
    </w:p>
    <w:p>
      <w:pPr>
        <w:pStyle w:val="BodyText"/>
      </w:pPr>
    </w:p>
    <w:p>
      <w:pPr>
        <w:pStyle w:val="ListParagraph"/>
        <w:numPr>
          <w:ilvl w:val="0"/>
          <w:numId w:val="31"/>
        </w:numPr>
        <w:tabs>
          <w:tab w:pos="830" w:val="left" w:leader="none"/>
        </w:tabs>
        <w:spacing w:line="240" w:lineRule="auto" w:before="0" w:after="0"/>
        <w:ind w:left="122" w:right="126" w:firstLine="0"/>
        <w:jc w:val="both"/>
        <w:rPr>
          <w:sz w:val="20"/>
        </w:rPr>
      </w:pPr>
      <w:r>
        <w:rPr>
          <w:sz w:val="20"/>
        </w:rPr>
        <w:t>En términos más puntuales, ha sido afirmado por el Estado, que los pobladores criollos crían “ganado mayor” a campo abierto. La Comisión Asesora Honoraria creada por</w:t>
      </w:r>
      <w:r>
        <w:rPr>
          <w:spacing w:val="-9"/>
          <w:sz w:val="20"/>
        </w:rPr>
        <w:t> </w:t>
      </w:r>
      <w:r>
        <w:rPr>
          <w:sz w:val="20"/>
        </w:rPr>
        <w:t>el</w:t>
      </w:r>
      <w:r>
        <w:rPr>
          <w:spacing w:val="-8"/>
          <w:sz w:val="20"/>
        </w:rPr>
        <w:t> </w:t>
      </w:r>
      <w:r>
        <w:rPr>
          <w:sz w:val="20"/>
        </w:rPr>
        <w:t>Decreto</w:t>
      </w:r>
      <w:r>
        <w:rPr>
          <w:spacing w:val="-11"/>
          <w:sz w:val="20"/>
        </w:rPr>
        <w:t> </w:t>
      </w:r>
      <w:r>
        <w:rPr>
          <w:sz w:val="20"/>
        </w:rPr>
        <w:t>18/93</w:t>
      </w:r>
      <w:r>
        <w:rPr>
          <w:spacing w:val="-10"/>
          <w:sz w:val="20"/>
        </w:rPr>
        <w:t> </w:t>
      </w:r>
      <w:r>
        <w:rPr>
          <w:sz w:val="20"/>
        </w:rPr>
        <w:t>del</w:t>
      </w:r>
      <w:r>
        <w:rPr>
          <w:spacing w:val="-8"/>
          <w:sz w:val="20"/>
        </w:rPr>
        <w:t> </w:t>
      </w:r>
      <w:r>
        <w:rPr>
          <w:sz w:val="20"/>
        </w:rPr>
        <w:t>año</w:t>
      </w:r>
      <w:r>
        <w:rPr>
          <w:spacing w:val="-11"/>
          <w:sz w:val="20"/>
        </w:rPr>
        <w:t> </w:t>
      </w:r>
      <w:r>
        <w:rPr>
          <w:sz w:val="20"/>
        </w:rPr>
        <w:t>1993</w:t>
      </w:r>
      <w:r>
        <w:rPr>
          <w:spacing w:val="-8"/>
          <w:sz w:val="20"/>
        </w:rPr>
        <w:t> </w:t>
      </w:r>
      <w:r>
        <w:rPr>
          <w:sz w:val="20"/>
        </w:rPr>
        <w:t>para</w:t>
      </w:r>
      <w:r>
        <w:rPr>
          <w:spacing w:val="-8"/>
          <w:sz w:val="20"/>
        </w:rPr>
        <w:t> </w:t>
      </w:r>
      <w:r>
        <w:rPr>
          <w:sz w:val="20"/>
        </w:rPr>
        <w:t>la</w:t>
      </w:r>
      <w:r>
        <w:rPr>
          <w:spacing w:val="-8"/>
          <w:sz w:val="20"/>
        </w:rPr>
        <w:t> </w:t>
      </w:r>
      <w:r>
        <w:rPr>
          <w:sz w:val="20"/>
        </w:rPr>
        <w:t>regularización</w:t>
      </w:r>
      <w:r>
        <w:rPr>
          <w:spacing w:val="-9"/>
          <w:sz w:val="20"/>
        </w:rPr>
        <w:t> </w:t>
      </w:r>
      <w:r>
        <w:rPr>
          <w:sz w:val="20"/>
        </w:rPr>
        <w:t>de</w:t>
      </w:r>
      <w:r>
        <w:rPr>
          <w:spacing w:val="-9"/>
          <w:sz w:val="20"/>
        </w:rPr>
        <w:t> </w:t>
      </w:r>
      <w:r>
        <w:rPr>
          <w:sz w:val="20"/>
        </w:rPr>
        <w:t>los</w:t>
      </w:r>
      <w:r>
        <w:rPr>
          <w:spacing w:val="-9"/>
          <w:sz w:val="20"/>
        </w:rPr>
        <w:t> </w:t>
      </w:r>
      <w:r>
        <w:rPr>
          <w:sz w:val="20"/>
        </w:rPr>
        <w:t>asentamientos</w:t>
      </w:r>
      <w:r>
        <w:rPr>
          <w:spacing w:val="-9"/>
          <w:sz w:val="20"/>
        </w:rPr>
        <w:t> </w:t>
      </w:r>
      <w:r>
        <w:rPr>
          <w:sz w:val="20"/>
        </w:rPr>
        <w:t>en</w:t>
      </w:r>
      <w:r>
        <w:rPr>
          <w:spacing w:val="-8"/>
          <w:sz w:val="20"/>
        </w:rPr>
        <w:t> </w:t>
      </w:r>
      <w:r>
        <w:rPr>
          <w:sz w:val="20"/>
        </w:rPr>
        <w:t>el</w:t>
      </w:r>
      <w:r>
        <w:rPr>
          <w:spacing w:val="-8"/>
          <w:sz w:val="20"/>
        </w:rPr>
        <w:t> </w:t>
      </w:r>
      <w:r>
        <w:rPr>
          <w:sz w:val="20"/>
        </w:rPr>
        <w:t>lote fiscal</w:t>
      </w:r>
      <w:r>
        <w:rPr>
          <w:spacing w:val="-9"/>
          <w:sz w:val="20"/>
        </w:rPr>
        <w:t> </w:t>
      </w:r>
      <w:r>
        <w:rPr>
          <w:sz w:val="20"/>
        </w:rPr>
        <w:t>55,</w:t>
      </w:r>
      <w:r>
        <w:rPr>
          <w:spacing w:val="-11"/>
          <w:sz w:val="20"/>
        </w:rPr>
        <w:t> </w:t>
      </w:r>
      <w:r>
        <w:rPr>
          <w:sz w:val="20"/>
        </w:rPr>
        <w:t>señaló</w:t>
      </w:r>
      <w:r>
        <w:rPr>
          <w:spacing w:val="-12"/>
          <w:sz w:val="20"/>
        </w:rPr>
        <w:t> </w:t>
      </w:r>
      <w:r>
        <w:rPr>
          <w:sz w:val="20"/>
        </w:rPr>
        <w:t>que</w:t>
      </w:r>
      <w:r>
        <w:rPr>
          <w:spacing w:val="-12"/>
          <w:sz w:val="20"/>
        </w:rPr>
        <w:t> </w:t>
      </w:r>
      <w:r>
        <w:rPr>
          <w:sz w:val="20"/>
        </w:rPr>
        <w:t>“la</w:t>
      </w:r>
      <w:r>
        <w:rPr>
          <w:spacing w:val="-9"/>
          <w:sz w:val="20"/>
        </w:rPr>
        <w:t> </w:t>
      </w:r>
      <w:r>
        <w:rPr>
          <w:sz w:val="20"/>
        </w:rPr>
        <w:t>ganadería</w:t>
      </w:r>
      <w:r>
        <w:rPr>
          <w:spacing w:val="-10"/>
          <w:sz w:val="20"/>
        </w:rPr>
        <w:t> </w:t>
      </w:r>
      <w:r>
        <w:rPr>
          <w:sz w:val="20"/>
        </w:rPr>
        <w:t>sin</w:t>
      </w:r>
      <w:r>
        <w:rPr>
          <w:spacing w:val="-9"/>
          <w:sz w:val="20"/>
        </w:rPr>
        <w:t> </w:t>
      </w:r>
      <w:r>
        <w:rPr>
          <w:sz w:val="20"/>
        </w:rPr>
        <w:t>control</w:t>
      </w:r>
      <w:r>
        <w:rPr>
          <w:spacing w:val="-10"/>
          <w:sz w:val="20"/>
        </w:rPr>
        <w:t> </w:t>
      </w:r>
      <w:r>
        <w:rPr>
          <w:sz w:val="20"/>
        </w:rPr>
        <w:t>del</w:t>
      </w:r>
      <w:r>
        <w:rPr>
          <w:spacing w:val="-12"/>
          <w:sz w:val="20"/>
        </w:rPr>
        <w:t> </w:t>
      </w:r>
      <w:r>
        <w:rPr>
          <w:sz w:val="20"/>
        </w:rPr>
        <w:t>pastoreo</w:t>
      </w:r>
      <w:r>
        <w:rPr>
          <w:spacing w:val="-12"/>
          <w:sz w:val="20"/>
        </w:rPr>
        <w:t> </w:t>
      </w:r>
      <w:r>
        <w:rPr>
          <w:sz w:val="20"/>
        </w:rPr>
        <w:t>ha</w:t>
      </w:r>
      <w:r>
        <w:rPr>
          <w:spacing w:val="-10"/>
          <w:sz w:val="20"/>
        </w:rPr>
        <w:t> </w:t>
      </w:r>
      <w:r>
        <w:rPr>
          <w:sz w:val="20"/>
        </w:rPr>
        <w:t>conducido</w:t>
      </w:r>
      <w:r>
        <w:rPr>
          <w:spacing w:val="-9"/>
          <w:sz w:val="20"/>
        </w:rPr>
        <w:t> </w:t>
      </w:r>
      <w:r>
        <w:rPr>
          <w:sz w:val="20"/>
        </w:rPr>
        <w:t>a</w:t>
      </w:r>
      <w:r>
        <w:rPr>
          <w:spacing w:val="-12"/>
          <w:sz w:val="20"/>
        </w:rPr>
        <w:t> </w:t>
      </w:r>
      <w:r>
        <w:rPr>
          <w:sz w:val="20"/>
        </w:rPr>
        <w:t>la</w:t>
      </w:r>
      <w:r>
        <w:rPr>
          <w:spacing w:val="-12"/>
          <w:sz w:val="20"/>
        </w:rPr>
        <w:t> </w:t>
      </w:r>
      <w:r>
        <w:rPr>
          <w:sz w:val="20"/>
        </w:rPr>
        <w:t>destrucción de los recursos, desapareciendo alrededor de cincuenta especies herbáceas y</w:t>
      </w:r>
      <w:r>
        <w:rPr>
          <w:spacing w:val="64"/>
          <w:sz w:val="20"/>
        </w:rPr>
        <w:t> </w:t>
      </w:r>
      <w:r>
        <w:rPr>
          <w:sz w:val="20"/>
        </w:rPr>
        <w:t>arbustos</w:t>
      </w:r>
    </w:p>
    <w:p>
      <w:pPr>
        <w:pStyle w:val="BodyText"/>
        <w:spacing w:before="3"/>
        <w:rPr>
          <w:sz w:val="21"/>
        </w:rPr>
      </w:pPr>
      <w:r>
        <w:rPr/>
        <w:pict>
          <v:line style="position:absolute;mso-position-horizontal-relative:page;mso-position-vertical-relative:paragraph;z-index:3064;mso-wrap-distance-left:0;mso-wrap-distance-right:0" from="85.103996pt,15.274135pt" to="229.123996pt,15.274135pt" stroked="true" strokeweight=".71997pt" strokecolor="#000000">
            <v:stroke dashstyle="solid"/>
            <w10:wrap type="topAndBottom"/>
          </v:line>
        </w:pict>
      </w:r>
    </w:p>
    <w:p>
      <w:pPr>
        <w:spacing w:before="71"/>
        <w:ind w:left="122" w:right="115" w:firstLine="0"/>
        <w:jc w:val="both"/>
        <w:rPr>
          <w:sz w:val="16"/>
        </w:rPr>
      </w:pPr>
      <w:r>
        <w:rPr>
          <w:sz w:val="16"/>
        </w:rPr>
        <w:t>Shutter, ex Relator Especial de las Naciones Unidas sobre el Derecho a la Alimentación, en su presentación como</w:t>
      </w:r>
      <w:r>
        <w:rPr>
          <w:spacing w:val="-5"/>
          <w:sz w:val="16"/>
        </w:rPr>
        <w:t> </w:t>
      </w:r>
      <w:r>
        <w:rPr>
          <w:i/>
          <w:sz w:val="16"/>
        </w:rPr>
        <w:t>amicus</w:t>
      </w:r>
      <w:r>
        <w:rPr>
          <w:i/>
          <w:spacing w:val="-3"/>
          <w:sz w:val="16"/>
        </w:rPr>
        <w:t> </w:t>
      </w:r>
      <w:r>
        <w:rPr>
          <w:i/>
          <w:sz w:val="16"/>
        </w:rPr>
        <w:t>curiae</w:t>
      </w:r>
      <w:r>
        <w:rPr>
          <w:sz w:val="16"/>
        </w:rPr>
        <w:t>,</w:t>
      </w:r>
      <w:r>
        <w:rPr>
          <w:spacing w:val="-5"/>
          <w:sz w:val="16"/>
        </w:rPr>
        <w:t> </w:t>
      </w:r>
      <w:r>
        <w:rPr>
          <w:sz w:val="16"/>
        </w:rPr>
        <w:t>explicó</w:t>
      </w:r>
      <w:r>
        <w:rPr>
          <w:spacing w:val="-3"/>
          <w:sz w:val="16"/>
        </w:rPr>
        <w:t> </w:t>
      </w:r>
      <w:r>
        <w:rPr>
          <w:sz w:val="16"/>
        </w:rPr>
        <w:t>que</w:t>
      </w:r>
      <w:r>
        <w:rPr>
          <w:spacing w:val="-3"/>
          <w:sz w:val="16"/>
        </w:rPr>
        <w:t> </w:t>
      </w:r>
      <w:r>
        <w:rPr>
          <w:sz w:val="16"/>
        </w:rPr>
        <w:t>“la</w:t>
      </w:r>
      <w:r>
        <w:rPr>
          <w:spacing w:val="-4"/>
          <w:sz w:val="16"/>
        </w:rPr>
        <w:t> </w:t>
      </w:r>
      <w:r>
        <w:rPr>
          <w:sz w:val="16"/>
        </w:rPr>
        <w:t>cultura</w:t>
      </w:r>
      <w:r>
        <w:rPr>
          <w:spacing w:val="-4"/>
          <w:sz w:val="16"/>
        </w:rPr>
        <w:t> </w:t>
      </w:r>
      <w:r>
        <w:rPr>
          <w:sz w:val="16"/>
        </w:rPr>
        <w:t>se</w:t>
      </w:r>
      <w:r>
        <w:rPr>
          <w:spacing w:val="-3"/>
          <w:sz w:val="16"/>
        </w:rPr>
        <w:t> </w:t>
      </w:r>
      <w:r>
        <w:rPr>
          <w:sz w:val="16"/>
        </w:rPr>
        <w:t>manifiesta</w:t>
      </w:r>
      <w:r>
        <w:rPr>
          <w:spacing w:val="-4"/>
          <w:sz w:val="16"/>
        </w:rPr>
        <w:t> </w:t>
      </w:r>
      <w:r>
        <w:rPr>
          <w:sz w:val="16"/>
        </w:rPr>
        <w:t>en</w:t>
      </w:r>
      <w:r>
        <w:rPr>
          <w:spacing w:val="-7"/>
          <w:sz w:val="16"/>
        </w:rPr>
        <w:t> </w:t>
      </w:r>
      <w:r>
        <w:rPr>
          <w:sz w:val="16"/>
        </w:rPr>
        <w:t>muchas</w:t>
      </w:r>
      <w:r>
        <w:rPr>
          <w:spacing w:val="-3"/>
          <w:sz w:val="16"/>
        </w:rPr>
        <w:t> </w:t>
      </w:r>
      <w:r>
        <w:rPr>
          <w:sz w:val="16"/>
        </w:rPr>
        <w:t>formas,</w:t>
      </w:r>
      <w:r>
        <w:rPr>
          <w:spacing w:val="-4"/>
          <w:sz w:val="16"/>
        </w:rPr>
        <w:t> </w:t>
      </w:r>
      <w:r>
        <w:rPr>
          <w:sz w:val="16"/>
        </w:rPr>
        <w:t>incluida</w:t>
      </w:r>
      <w:r>
        <w:rPr>
          <w:spacing w:val="-4"/>
          <w:sz w:val="16"/>
        </w:rPr>
        <w:t> </w:t>
      </w:r>
      <w:r>
        <w:rPr>
          <w:sz w:val="16"/>
        </w:rPr>
        <w:t>una</w:t>
      </w:r>
      <w:r>
        <w:rPr>
          <w:spacing w:val="-4"/>
          <w:sz w:val="16"/>
        </w:rPr>
        <w:t> </w:t>
      </w:r>
      <w:r>
        <w:rPr>
          <w:sz w:val="16"/>
        </w:rPr>
        <w:t>forma</w:t>
      </w:r>
      <w:r>
        <w:rPr>
          <w:spacing w:val="-5"/>
          <w:sz w:val="16"/>
        </w:rPr>
        <w:t> </w:t>
      </w:r>
      <w:r>
        <w:rPr>
          <w:sz w:val="16"/>
        </w:rPr>
        <w:t>particular</w:t>
      </w:r>
      <w:r>
        <w:rPr>
          <w:spacing w:val="-3"/>
          <w:sz w:val="16"/>
        </w:rPr>
        <w:t> </w:t>
      </w:r>
      <w:r>
        <w:rPr>
          <w:sz w:val="16"/>
        </w:rPr>
        <w:t>de vida</w:t>
      </w:r>
      <w:r>
        <w:rPr>
          <w:spacing w:val="-8"/>
          <w:sz w:val="16"/>
        </w:rPr>
        <w:t> </w:t>
      </w:r>
      <w:r>
        <w:rPr>
          <w:sz w:val="16"/>
        </w:rPr>
        <w:t>asociada</w:t>
      </w:r>
      <w:r>
        <w:rPr>
          <w:spacing w:val="-8"/>
          <w:sz w:val="16"/>
        </w:rPr>
        <w:t> </w:t>
      </w:r>
      <w:r>
        <w:rPr>
          <w:sz w:val="16"/>
        </w:rPr>
        <w:t>con</w:t>
      </w:r>
      <w:r>
        <w:rPr>
          <w:spacing w:val="-8"/>
          <w:sz w:val="16"/>
        </w:rPr>
        <w:t> </w:t>
      </w:r>
      <w:r>
        <w:rPr>
          <w:sz w:val="16"/>
        </w:rPr>
        <w:t>el</w:t>
      </w:r>
      <w:r>
        <w:rPr>
          <w:spacing w:val="-8"/>
          <w:sz w:val="16"/>
        </w:rPr>
        <w:t> </w:t>
      </w:r>
      <w:r>
        <w:rPr>
          <w:sz w:val="16"/>
        </w:rPr>
        <w:t>uso</w:t>
      </w:r>
      <w:r>
        <w:rPr>
          <w:spacing w:val="-9"/>
          <w:sz w:val="16"/>
        </w:rPr>
        <w:t> </w:t>
      </w:r>
      <w:r>
        <w:rPr>
          <w:sz w:val="16"/>
        </w:rPr>
        <w:t>de</w:t>
      </w:r>
      <w:r>
        <w:rPr>
          <w:spacing w:val="-7"/>
          <w:sz w:val="16"/>
        </w:rPr>
        <w:t> </w:t>
      </w:r>
      <w:r>
        <w:rPr>
          <w:sz w:val="16"/>
        </w:rPr>
        <w:t>los</w:t>
      </w:r>
      <w:r>
        <w:rPr>
          <w:spacing w:val="-10"/>
          <w:sz w:val="16"/>
        </w:rPr>
        <w:t> </w:t>
      </w:r>
      <w:r>
        <w:rPr>
          <w:sz w:val="16"/>
        </w:rPr>
        <w:t>recursos</w:t>
      </w:r>
      <w:r>
        <w:rPr>
          <w:spacing w:val="-7"/>
          <w:sz w:val="16"/>
        </w:rPr>
        <w:t> </w:t>
      </w:r>
      <w:r>
        <w:rPr>
          <w:sz w:val="16"/>
        </w:rPr>
        <w:t>de</w:t>
      </w:r>
      <w:r>
        <w:rPr>
          <w:spacing w:val="-10"/>
          <w:sz w:val="16"/>
        </w:rPr>
        <w:t> </w:t>
      </w:r>
      <w:r>
        <w:rPr>
          <w:sz w:val="16"/>
        </w:rPr>
        <w:t>la</w:t>
      </w:r>
      <w:r>
        <w:rPr>
          <w:spacing w:val="-8"/>
          <w:sz w:val="16"/>
        </w:rPr>
        <w:t> </w:t>
      </w:r>
      <w:r>
        <w:rPr>
          <w:sz w:val="16"/>
        </w:rPr>
        <w:t>tierra,</w:t>
      </w:r>
      <w:r>
        <w:rPr>
          <w:spacing w:val="-8"/>
          <w:sz w:val="16"/>
        </w:rPr>
        <w:t> </w:t>
      </w:r>
      <w:r>
        <w:rPr>
          <w:sz w:val="16"/>
        </w:rPr>
        <w:t>especialmente</w:t>
      </w:r>
      <w:r>
        <w:rPr>
          <w:spacing w:val="-7"/>
          <w:sz w:val="16"/>
        </w:rPr>
        <w:t> </w:t>
      </w:r>
      <w:r>
        <w:rPr>
          <w:sz w:val="16"/>
        </w:rPr>
        <w:t>en</w:t>
      </w:r>
      <w:r>
        <w:rPr>
          <w:spacing w:val="-8"/>
          <w:sz w:val="16"/>
        </w:rPr>
        <w:t> </w:t>
      </w:r>
      <w:r>
        <w:rPr>
          <w:sz w:val="16"/>
        </w:rPr>
        <w:t>el</w:t>
      </w:r>
      <w:r>
        <w:rPr>
          <w:spacing w:val="-8"/>
          <w:sz w:val="16"/>
        </w:rPr>
        <w:t> </w:t>
      </w:r>
      <w:r>
        <w:rPr>
          <w:sz w:val="16"/>
        </w:rPr>
        <w:t>caso</w:t>
      </w:r>
      <w:r>
        <w:rPr>
          <w:spacing w:val="-7"/>
          <w:sz w:val="16"/>
        </w:rPr>
        <w:t> </w:t>
      </w:r>
      <w:r>
        <w:rPr>
          <w:sz w:val="16"/>
        </w:rPr>
        <w:t>de</w:t>
      </w:r>
      <w:r>
        <w:rPr>
          <w:spacing w:val="-10"/>
          <w:sz w:val="16"/>
        </w:rPr>
        <w:t> </w:t>
      </w:r>
      <w:r>
        <w:rPr>
          <w:sz w:val="16"/>
        </w:rPr>
        <w:t>los</w:t>
      </w:r>
      <w:r>
        <w:rPr>
          <w:spacing w:val="-9"/>
          <w:sz w:val="16"/>
        </w:rPr>
        <w:t> </w:t>
      </w:r>
      <w:r>
        <w:rPr>
          <w:sz w:val="16"/>
        </w:rPr>
        <w:t>pueblos</w:t>
      </w:r>
      <w:r>
        <w:rPr>
          <w:spacing w:val="-7"/>
          <w:sz w:val="16"/>
        </w:rPr>
        <w:t> </w:t>
      </w:r>
      <w:r>
        <w:rPr>
          <w:sz w:val="16"/>
        </w:rPr>
        <w:t>indígenas”,</w:t>
      </w:r>
      <w:r>
        <w:rPr>
          <w:spacing w:val="-8"/>
          <w:sz w:val="16"/>
        </w:rPr>
        <w:t> </w:t>
      </w:r>
      <w:r>
        <w:rPr>
          <w:sz w:val="16"/>
        </w:rPr>
        <w:t>y</w:t>
      </w:r>
      <w:r>
        <w:rPr>
          <w:spacing w:val="-9"/>
          <w:sz w:val="16"/>
        </w:rPr>
        <w:t> </w:t>
      </w:r>
      <w:r>
        <w:rPr>
          <w:sz w:val="16"/>
        </w:rPr>
        <w:t>que respecto a estos “el derecho a la alimentación no puede verse aislado del control y soberanía sobre sus territorios”. En el mismo sentido, el escrito de </w:t>
      </w:r>
      <w:r>
        <w:rPr>
          <w:i/>
          <w:sz w:val="16"/>
        </w:rPr>
        <w:t>amicus curiae </w:t>
      </w:r>
      <w:r>
        <w:rPr>
          <w:sz w:val="16"/>
        </w:rPr>
        <w:t>presentado por DPLF y otras organizaciones señala que al impedir que una comunidad indígena procure su sustento alimenticio conforme a su propia cultura se estaría vulnerando también el derecho a una alimentación adecuada, por la ausencia de aceptabilidad de</w:t>
      </w:r>
      <w:r>
        <w:rPr>
          <w:spacing w:val="-6"/>
          <w:sz w:val="16"/>
        </w:rPr>
        <w:t> </w:t>
      </w:r>
      <w:r>
        <w:rPr>
          <w:sz w:val="16"/>
        </w:rPr>
        <w:t>alimentos.</w:t>
      </w:r>
    </w:p>
    <w:p>
      <w:pPr>
        <w:pStyle w:val="BodyText"/>
        <w:spacing w:before="11"/>
        <w:rPr>
          <w:sz w:val="15"/>
        </w:rPr>
      </w:pPr>
    </w:p>
    <w:p>
      <w:pPr>
        <w:tabs>
          <w:tab w:pos="829" w:val="left" w:leader="none"/>
        </w:tabs>
        <w:spacing w:before="0"/>
        <w:ind w:left="122" w:right="115" w:firstLine="0"/>
        <w:jc w:val="both"/>
        <w:rPr>
          <w:sz w:val="16"/>
        </w:rPr>
      </w:pPr>
      <w:r>
        <w:rPr>
          <w:position w:val="6"/>
          <w:sz w:val="10"/>
        </w:rPr>
        <w:t>261</w:t>
        <w:tab/>
      </w:r>
      <w:r>
        <w:rPr>
          <w:i/>
          <w:sz w:val="16"/>
        </w:rPr>
        <w:t>Cfr.</w:t>
      </w:r>
      <w:r>
        <w:rPr>
          <w:i/>
          <w:spacing w:val="42"/>
          <w:sz w:val="16"/>
        </w:rPr>
        <w:t> </w:t>
      </w:r>
      <w:r>
        <w:rPr>
          <w:sz w:val="16"/>
        </w:rPr>
        <w:t>“Etnobotánica</w:t>
      </w:r>
      <w:r>
        <w:rPr>
          <w:spacing w:val="40"/>
          <w:sz w:val="16"/>
        </w:rPr>
        <w:t> </w:t>
      </w:r>
      <w:r>
        <w:rPr>
          <w:sz w:val="16"/>
        </w:rPr>
        <w:t>wichí</w:t>
      </w:r>
      <w:r>
        <w:rPr>
          <w:spacing w:val="42"/>
          <w:sz w:val="16"/>
        </w:rPr>
        <w:t> </w:t>
      </w:r>
      <w:r>
        <w:rPr>
          <w:sz w:val="16"/>
        </w:rPr>
        <w:t>del</w:t>
      </w:r>
      <w:r>
        <w:rPr>
          <w:spacing w:val="40"/>
          <w:sz w:val="16"/>
        </w:rPr>
        <w:t> </w:t>
      </w:r>
      <w:r>
        <w:rPr>
          <w:sz w:val="16"/>
        </w:rPr>
        <w:t>bosque</w:t>
      </w:r>
      <w:r>
        <w:rPr>
          <w:spacing w:val="40"/>
          <w:sz w:val="16"/>
        </w:rPr>
        <w:t> </w:t>
      </w:r>
      <w:r>
        <w:rPr>
          <w:sz w:val="16"/>
        </w:rPr>
        <w:t>xerófito</w:t>
      </w:r>
      <w:r>
        <w:rPr>
          <w:spacing w:val="41"/>
          <w:sz w:val="16"/>
        </w:rPr>
        <w:t> </w:t>
      </w:r>
      <w:r>
        <w:rPr>
          <w:sz w:val="16"/>
        </w:rPr>
        <w:t>en</w:t>
      </w:r>
      <w:r>
        <w:rPr>
          <w:spacing w:val="42"/>
          <w:sz w:val="16"/>
        </w:rPr>
        <w:t> </w:t>
      </w:r>
      <w:r>
        <w:rPr>
          <w:sz w:val="16"/>
        </w:rPr>
        <w:t>el</w:t>
      </w:r>
      <w:r>
        <w:rPr>
          <w:spacing w:val="40"/>
          <w:sz w:val="16"/>
        </w:rPr>
        <w:t> </w:t>
      </w:r>
      <w:r>
        <w:rPr>
          <w:sz w:val="16"/>
        </w:rPr>
        <w:t>Chaco</w:t>
      </w:r>
      <w:r>
        <w:rPr>
          <w:spacing w:val="41"/>
          <w:sz w:val="16"/>
        </w:rPr>
        <w:t> </w:t>
      </w:r>
      <w:r>
        <w:rPr>
          <w:sz w:val="16"/>
        </w:rPr>
        <w:t>semiárido</w:t>
      </w:r>
      <w:r>
        <w:rPr>
          <w:spacing w:val="41"/>
          <w:sz w:val="16"/>
        </w:rPr>
        <w:t> </w:t>
      </w:r>
      <w:r>
        <w:rPr>
          <w:sz w:val="16"/>
        </w:rPr>
        <w:t>Salteño”,</w:t>
      </w:r>
      <w:r>
        <w:rPr>
          <w:spacing w:val="45"/>
          <w:sz w:val="16"/>
        </w:rPr>
        <w:t> </w:t>
      </w:r>
      <w:r>
        <w:rPr>
          <w:sz w:val="16"/>
        </w:rPr>
        <w:t>de</w:t>
      </w:r>
      <w:r>
        <w:rPr>
          <w:spacing w:val="40"/>
          <w:sz w:val="16"/>
        </w:rPr>
        <w:t> </w:t>
      </w:r>
      <w:r>
        <w:rPr>
          <w:sz w:val="16"/>
        </w:rPr>
        <w:t>Suárez,</w:t>
      </w:r>
      <w:r>
        <w:rPr>
          <w:spacing w:val="39"/>
          <w:sz w:val="16"/>
        </w:rPr>
        <w:t> </w:t>
      </w:r>
      <w:r>
        <w:rPr>
          <w:sz w:val="16"/>
        </w:rPr>
        <w:t>María</w:t>
      </w:r>
      <w:r>
        <w:rPr>
          <w:w w:val="100"/>
          <w:sz w:val="16"/>
        </w:rPr>
        <w:t> </w:t>
      </w:r>
      <w:r>
        <w:rPr>
          <w:sz w:val="16"/>
        </w:rPr>
        <w:t>Eugencia- 1a ed. - Don Torcuato: Autores de Argentina, 2014. Expediente de prueba, anexo M.1 al escrito de solicitudes y argumentos, f. 34.618 a 35.141.</w:t>
      </w:r>
      <w:r>
        <w:rPr>
          <w:spacing w:val="-15"/>
          <w:sz w:val="16"/>
        </w:rPr>
        <w:t> </w:t>
      </w:r>
      <w:r>
        <w:rPr>
          <w:sz w:val="16"/>
        </w:rPr>
        <w:t>.</w:t>
      </w:r>
    </w:p>
    <w:p>
      <w:pPr>
        <w:pStyle w:val="BodyText"/>
        <w:spacing w:before="1"/>
        <w:rPr>
          <w:sz w:val="16"/>
        </w:rPr>
      </w:pPr>
    </w:p>
    <w:p>
      <w:pPr>
        <w:tabs>
          <w:tab w:pos="829" w:val="left" w:leader="none"/>
        </w:tabs>
        <w:spacing w:before="0"/>
        <w:ind w:left="122" w:right="117" w:firstLine="0"/>
        <w:jc w:val="both"/>
        <w:rPr>
          <w:sz w:val="16"/>
        </w:rPr>
      </w:pPr>
      <w:r>
        <w:rPr>
          <w:position w:val="6"/>
          <w:sz w:val="10"/>
        </w:rPr>
        <w:t>262</w:t>
        <w:tab/>
      </w:r>
      <w:r>
        <w:rPr>
          <w:i/>
          <w:sz w:val="16"/>
        </w:rPr>
        <w:t>Cfr. </w:t>
      </w:r>
      <w:r>
        <w:rPr>
          <w:sz w:val="16"/>
        </w:rPr>
        <w:t>Informe Comisión Asesora Honoraria, pág. 182. Expediente de prueba, anexo M.3 al </w:t>
      </w:r>
      <w:r>
        <w:rPr>
          <w:spacing w:val="36"/>
          <w:sz w:val="16"/>
        </w:rPr>
        <w:t> </w:t>
      </w:r>
      <w:r>
        <w:rPr>
          <w:sz w:val="16"/>
        </w:rPr>
        <w:t>escrito</w:t>
      </w:r>
      <w:r>
        <w:rPr>
          <w:spacing w:val="7"/>
          <w:sz w:val="16"/>
        </w:rPr>
        <w:t> </w:t>
      </w:r>
      <w:r>
        <w:rPr>
          <w:spacing w:val="-3"/>
          <w:sz w:val="16"/>
        </w:rPr>
        <w:t>de</w:t>
      </w:r>
      <w:r>
        <w:rPr>
          <w:w w:val="100"/>
          <w:sz w:val="16"/>
        </w:rPr>
        <w:t> </w:t>
      </w:r>
      <w:r>
        <w:rPr>
          <w:sz w:val="16"/>
        </w:rPr>
        <w:t>solicitudes y argumentos, fs. 35.152 al</w:t>
      </w:r>
      <w:r>
        <w:rPr>
          <w:spacing w:val="-11"/>
          <w:sz w:val="16"/>
        </w:rPr>
        <w:t> </w:t>
      </w:r>
      <w:r>
        <w:rPr>
          <w:sz w:val="16"/>
        </w:rPr>
        <w:t>35.377.</w:t>
      </w:r>
    </w:p>
    <w:p>
      <w:pPr>
        <w:spacing w:after="0"/>
        <w:jc w:val="both"/>
        <w:rPr>
          <w:sz w:val="16"/>
        </w:rPr>
        <w:sectPr>
          <w:footerReference w:type="default" r:id="rId27"/>
          <w:pgSz w:w="12240" w:h="15840"/>
          <w:pgMar w:footer="1000" w:header="0" w:top="1500" w:bottom="1200" w:left="1580" w:right="1580"/>
        </w:sectPr>
      </w:pPr>
    </w:p>
    <w:p>
      <w:pPr>
        <w:pStyle w:val="BodyText"/>
        <w:spacing w:line="237" w:lineRule="auto" w:before="78"/>
        <w:ind w:left="122" w:right="123"/>
        <w:jc w:val="both"/>
      </w:pPr>
      <w:r>
        <w:rPr/>
        <w:t>en corto tiempo”. También destacó que, por producto del pastoreo sin control, se constató “una perdida generalizada de biodiversidad, por efecto de la selectividad del ganado</w:t>
      </w:r>
      <w:r>
        <w:rPr>
          <w:spacing w:val="-11"/>
        </w:rPr>
        <w:t> </w:t>
      </w:r>
      <w:r>
        <w:rPr/>
        <w:t>en</w:t>
      </w:r>
      <w:r>
        <w:rPr>
          <w:spacing w:val="-7"/>
        </w:rPr>
        <w:t> </w:t>
      </w:r>
      <w:r>
        <w:rPr/>
        <w:t>su</w:t>
      </w:r>
      <w:r>
        <w:rPr>
          <w:spacing w:val="-10"/>
        </w:rPr>
        <w:t> </w:t>
      </w:r>
      <w:r>
        <w:rPr/>
        <w:t>alimentación,</w:t>
      </w:r>
      <w:r>
        <w:rPr>
          <w:spacing w:val="-11"/>
        </w:rPr>
        <w:t> </w:t>
      </w:r>
      <w:r>
        <w:rPr/>
        <w:t>mientras</w:t>
      </w:r>
      <w:r>
        <w:rPr>
          <w:spacing w:val="-11"/>
        </w:rPr>
        <w:t> </w:t>
      </w:r>
      <w:r>
        <w:rPr/>
        <w:t>que</w:t>
      </w:r>
      <w:r>
        <w:rPr>
          <w:spacing w:val="-12"/>
        </w:rPr>
        <w:t> </w:t>
      </w:r>
      <w:r>
        <w:rPr/>
        <w:t>se</w:t>
      </w:r>
      <w:r>
        <w:rPr>
          <w:spacing w:val="-12"/>
        </w:rPr>
        <w:t> </w:t>
      </w:r>
      <w:r>
        <w:rPr/>
        <w:t>produce</w:t>
      </w:r>
      <w:r>
        <w:rPr>
          <w:spacing w:val="-12"/>
        </w:rPr>
        <w:t> </w:t>
      </w:r>
      <w:r>
        <w:rPr/>
        <w:t>una</w:t>
      </w:r>
      <w:r>
        <w:rPr>
          <w:spacing w:val="-10"/>
        </w:rPr>
        <w:t> </w:t>
      </w:r>
      <w:r>
        <w:rPr/>
        <w:t>transformación</w:t>
      </w:r>
      <w:r>
        <w:rPr>
          <w:spacing w:val="-9"/>
        </w:rPr>
        <w:t> </w:t>
      </w:r>
      <w:r>
        <w:rPr/>
        <w:t>del</w:t>
      </w:r>
      <w:r>
        <w:rPr>
          <w:spacing w:val="-10"/>
        </w:rPr>
        <w:t> </w:t>
      </w:r>
      <w:r>
        <w:rPr/>
        <w:t>paisaje</w:t>
      </w:r>
      <w:r>
        <w:rPr>
          <w:spacing w:val="-9"/>
        </w:rPr>
        <w:t> </w:t>
      </w:r>
      <w:r>
        <w:rPr/>
        <w:t>por la eliminación de áreas de pastizales</w:t>
      </w:r>
      <w:r>
        <w:rPr>
          <w:spacing w:val="-19"/>
        </w:rPr>
        <w:t> </w:t>
      </w:r>
      <w:r>
        <w:rPr/>
        <w:t>abiertos”</w:t>
      </w:r>
      <w:r>
        <w:rPr>
          <w:rFonts w:ascii="Calibri" w:hAnsi="Calibri"/>
          <w:position w:val="8"/>
          <w:sz w:val="14"/>
        </w:rPr>
        <w:t>263</w:t>
      </w:r>
      <w:r>
        <w:rPr/>
        <w:t>.</w:t>
      </w:r>
    </w:p>
    <w:p>
      <w:pPr>
        <w:pStyle w:val="BodyText"/>
        <w:spacing w:before="5"/>
        <w:rPr>
          <w:sz w:val="21"/>
        </w:rPr>
      </w:pPr>
    </w:p>
    <w:p>
      <w:pPr>
        <w:pStyle w:val="ListParagraph"/>
        <w:numPr>
          <w:ilvl w:val="0"/>
          <w:numId w:val="31"/>
        </w:numPr>
        <w:tabs>
          <w:tab w:pos="830" w:val="left" w:leader="none"/>
        </w:tabs>
        <w:spacing w:line="242" w:lineRule="auto" w:before="0" w:after="0"/>
        <w:ind w:left="122" w:right="124" w:firstLine="0"/>
        <w:jc w:val="both"/>
        <w:rPr>
          <w:sz w:val="20"/>
        </w:rPr>
      </w:pPr>
      <w:r>
        <w:rPr>
          <w:sz w:val="20"/>
        </w:rPr>
        <w:t>Por otra parte, en un documento presentado por el Estado Nacional en 2006, se reconoció</w:t>
      </w:r>
      <w:r>
        <w:rPr>
          <w:spacing w:val="-11"/>
          <w:sz w:val="20"/>
        </w:rPr>
        <w:t> </w:t>
      </w:r>
      <w:r>
        <w:rPr>
          <w:sz w:val="20"/>
        </w:rPr>
        <w:t>explícitamente</w:t>
      </w:r>
      <w:r>
        <w:rPr>
          <w:spacing w:val="-15"/>
          <w:sz w:val="20"/>
        </w:rPr>
        <w:t> </w:t>
      </w:r>
      <w:r>
        <w:rPr>
          <w:sz w:val="20"/>
        </w:rPr>
        <w:t>la</w:t>
      </w:r>
      <w:r>
        <w:rPr>
          <w:spacing w:val="-11"/>
          <w:sz w:val="20"/>
        </w:rPr>
        <w:t> </w:t>
      </w:r>
      <w:r>
        <w:rPr>
          <w:sz w:val="20"/>
        </w:rPr>
        <w:t>grave</w:t>
      </w:r>
      <w:r>
        <w:rPr>
          <w:spacing w:val="-13"/>
          <w:sz w:val="20"/>
        </w:rPr>
        <w:t> </w:t>
      </w:r>
      <w:r>
        <w:rPr>
          <w:sz w:val="20"/>
        </w:rPr>
        <w:t>degradación</w:t>
      </w:r>
      <w:r>
        <w:rPr>
          <w:spacing w:val="-13"/>
          <w:sz w:val="20"/>
        </w:rPr>
        <w:t> </w:t>
      </w:r>
      <w:r>
        <w:rPr>
          <w:sz w:val="20"/>
        </w:rPr>
        <w:t>ambiental</w:t>
      </w:r>
      <w:r>
        <w:rPr>
          <w:spacing w:val="-13"/>
          <w:sz w:val="20"/>
        </w:rPr>
        <w:t> </w:t>
      </w:r>
      <w:r>
        <w:rPr>
          <w:sz w:val="20"/>
        </w:rPr>
        <w:t>por</w:t>
      </w:r>
      <w:r>
        <w:rPr>
          <w:spacing w:val="-15"/>
          <w:sz w:val="20"/>
        </w:rPr>
        <w:t> </w:t>
      </w:r>
      <w:r>
        <w:rPr>
          <w:sz w:val="20"/>
        </w:rPr>
        <w:t>acción</w:t>
      </w:r>
      <w:r>
        <w:rPr>
          <w:spacing w:val="-13"/>
          <w:sz w:val="20"/>
        </w:rPr>
        <w:t> </w:t>
      </w:r>
      <w:r>
        <w:rPr>
          <w:sz w:val="20"/>
        </w:rPr>
        <w:t>antrópica</w:t>
      </w:r>
      <w:r>
        <w:rPr>
          <w:spacing w:val="-12"/>
          <w:sz w:val="20"/>
        </w:rPr>
        <w:t> </w:t>
      </w:r>
      <w:r>
        <w:rPr>
          <w:sz w:val="20"/>
        </w:rPr>
        <w:t>sufrida</w:t>
      </w:r>
      <w:r>
        <w:rPr>
          <w:spacing w:val="-11"/>
          <w:sz w:val="20"/>
        </w:rPr>
        <w:t> </w:t>
      </w:r>
      <w:r>
        <w:rPr>
          <w:sz w:val="20"/>
        </w:rPr>
        <w:t>en el territorio de las comunidades. La actividad ganadera, se indicó, “impactó en la composición y abundancia de la fauna silvestre que contribuye en buena medida a la dieta proteica de la población indígena”</w:t>
      </w:r>
      <w:r>
        <w:rPr>
          <w:rFonts w:ascii="Calibri" w:hAnsi="Calibri"/>
          <w:position w:val="8"/>
          <w:sz w:val="14"/>
        </w:rPr>
        <w:t>264</w:t>
      </w:r>
      <w:r>
        <w:rPr>
          <w:sz w:val="20"/>
        </w:rPr>
        <w:t>. De acuerdo a lo declarado por el Cacique Francisco Pérez, el ganado consume alimentos que utilizaría la población</w:t>
      </w:r>
      <w:r>
        <w:rPr>
          <w:spacing w:val="-30"/>
          <w:sz w:val="20"/>
        </w:rPr>
        <w:t> </w:t>
      </w:r>
      <w:r>
        <w:rPr>
          <w:sz w:val="20"/>
        </w:rPr>
        <w:t>indígena.</w:t>
      </w:r>
    </w:p>
    <w:p>
      <w:pPr>
        <w:pStyle w:val="BodyText"/>
        <w:spacing w:before="10"/>
        <w:rPr>
          <w:sz w:val="19"/>
        </w:rPr>
      </w:pPr>
    </w:p>
    <w:p>
      <w:pPr>
        <w:pStyle w:val="ListParagraph"/>
        <w:numPr>
          <w:ilvl w:val="0"/>
          <w:numId w:val="31"/>
        </w:numPr>
        <w:tabs>
          <w:tab w:pos="830" w:val="left" w:leader="none"/>
        </w:tabs>
        <w:spacing w:line="242" w:lineRule="auto" w:before="0" w:after="0"/>
        <w:ind w:left="122" w:right="123" w:firstLine="0"/>
        <w:jc w:val="both"/>
        <w:rPr>
          <w:sz w:val="20"/>
        </w:rPr>
      </w:pPr>
      <w:r>
        <w:rPr>
          <w:sz w:val="20"/>
        </w:rPr>
        <w:t>En el mismo sentido, estudios remitidos como prueba documental advierten que “el</w:t>
      </w:r>
      <w:r>
        <w:rPr>
          <w:spacing w:val="-17"/>
          <w:sz w:val="20"/>
        </w:rPr>
        <w:t> </w:t>
      </w:r>
      <w:r>
        <w:rPr>
          <w:sz w:val="20"/>
        </w:rPr>
        <w:t>ganado</w:t>
      </w:r>
      <w:r>
        <w:rPr>
          <w:spacing w:val="-19"/>
          <w:sz w:val="20"/>
        </w:rPr>
        <w:t> </w:t>
      </w:r>
      <w:r>
        <w:rPr>
          <w:sz w:val="20"/>
        </w:rPr>
        <w:t>de</w:t>
      </w:r>
      <w:r>
        <w:rPr>
          <w:spacing w:val="-19"/>
          <w:sz w:val="20"/>
        </w:rPr>
        <w:t> </w:t>
      </w:r>
      <w:r>
        <w:rPr>
          <w:sz w:val="20"/>
        </w:rPr>
        <w:t>los</w:t>
      </w:r>
      <w:r>
        <w:rPr>
          <w:spacing w:val="-16"/>
          <w:sz w:val="20"/>
        </w:rPr>
        <w:t> </w:t>
      </w:r>
      <w:r>
        <w:rPr>
          <w:sz w:val="20"/>
        </w:rPr>
        <w:t>criollos</w:t>
      </w:r>
      <w:r>
        <w:rPr>
          <w:spacing w:val="-16"/>
          <w:sz w:val="20"/>
        </w:rPr>
        <w:t> </w:t>
      </w:r>
      <w:r>
        <w:rPr>
          <w:sz w:val="20"/>
        </w:rPr>
        <w:t>come</w:t>
      </w:r>
      <w:r>
        <w:rPr>
          <w:spacing w:val="-19"/>
          <w:sz w:val="20"/>
        </w:rPr>
        <w:t> </w:t>
      </w:r>
      <w:r>
        <w:rPr>
          <w:sz w:val="20"/>
        </w:rPr>
        <w:t>los</w:t>
      </w:r>
      <w:r>
        <w:rPr>
          <w:spacing w:val="-18"/>
          <w:sz w:val="20"/>
        </w:rPr>
        <w:t> </w:t>
      </w:r>
      <w:r>
        <w:rPr>
          <w:sz w:val="20"/>
        </w:rPr>
        <w:t>mismos</w:t>
      </w:r>
      <w:r>
        <w:rPr>
          <w:spacing w:val="-18"/>
          <w:sz w:val="20"/>
        </w:rPr>
        <w:t> </w:t>
      </w:r>
      <w:r>
        <w:rPr>
          <w:sz w:val="20"/>
        </w:rPr>
        <w:t>frutos</w:t>
      </w:r>
      <w:r>
        <w:rPr>
          <w:spacing w:val="-16"/>
          <w:sz w:val="20"/>
        </w:rPr>
        <w:t> </w:t>
      </w:r>
      <w:r>
        <w:rPr>
          <w:sz w:val="20"/>
        </w:rPr>
        <w:t>que</w:t>
      </w:r>
      <w:r>
        <w:rPr>
          <w:spacing w:val="-19"/>
          <w:sz w:val="20"/>
        </w:rPr>
        <w:t> </w:t>
      </w:r>
      <w:r>
        <w:rPr>
          <w:sz w:val="20"/>
        </w:rPr>
        <w:t>las</w:t>
      </w:r>
      <w:r>
        <w:rPr>
          <w:spacing w:val="-15"/>
          <w:sz w:val="20"/>
        </w:rPr>
        <w:t> </w:t>
      </w:r>
      <w:r>
        <w:rPr>
          <w:sz w:val="20"/>
        </w:rPr>
        <w:t>comunidades</w:t>
      </w:r>
      <w:r>
        <w:rPr>
          <w:spacing w:val="-18"/>
          <w:sz w:val="20"/>
        </w:rPr>
        <w:t> </w:t>
      </w:r>
      <w:r>
        <w:rPr>
          <w:sz w:val="20"/>
        </w:rPr>
        <w:t>como</w:t>
      </w:r>
      <w:r>
        <w:rPr>
          <w:spacing w:val="-18"/>
          <w:sz w:val="20"/>
        </w:rPr>
        <w:t> </w:t>
      </w:r>
      <w:r>
        <w:rPr>
          <w:sz w:val="20"/>
        </w:rPr>
        <w:t>la</w:t>
      </w:r>
      <w:r>
        <w:rPr>
          <w:spacing w:val="-17"/>
          <w:sz w:val="20"/>
        </w:rPr>
        <w:t> </w:t>
      </w:r>
      <w:r>
        <w:rPr>
          <w:sz w:val="20"/>
        </w:rPr>
        <w:t>algarroba el mistol y el chañar; come los renovales de árboles palatables como el algarrobo y el quebracho; destruye los cercos de las comunidades y se come el producto de la horticultura indígena”</w:t>
      </w:r>
      <w:r>
        <w:rPr>
          <w:rFonts w:ascii="Calibri" w:hAnsi="Calibri"/>
          <w:position w:val="8"/>
          <w:sz w:val="14"/>
        </w:rPr>
        <w:t>265</w:t>
      </w:r>
      <w:r>
        <w:rPr>
          <w:sz w:val="20"/>
        </w:rPr>
        <w:t>. Se ha indicado, asimismo, “la importancia del ‘algarrobo’ para los</w:t>
      </w:r>
      <w:r>
        <w:rPr>
          <w:spacing w:val="-10"/>
          <w:sz w:val="20"/>
        </w:rPr>
        <w:t> </w:t>
      </w:r>
      <w:r>
        <w:rPr>
          <w:sz w:val="20"/>
        </w:rPr>
        <w:t>wichís</w:t>
      </w:r>
      <w:r>
        <w:rPr>
          <w:spacing w:val="-7"/>
          <w:sz w:val="20"/>
        </w:rPr>
        <w:t> </w:t>
      </w:r>
      <w:r>
        <w:rPr>
          <w:sz w:val="20"/>
        </w:rPr>
        <w:t>y</w:t>
      </w:r>
      <w:r>
        <w:rPr>
          <w:spacing w:val="-9"/>
          <w:sz w:val="20"/>
        </w:rPr>
        <w:t> </w:t>
      </w:r>
      <w:r>
        <w:rPr>
          <w:sz w:val="20"/>
        </w:rPr>
        <w:t>para</w:t>
      </w:r>
      <w:r>
        <w:rPr>
          <w:spacing w:val="-9"/>
          <w:sz w:val="20"/>
        </w:rPr>
        <w:t> </w:t>
      </w:r>
      <w:r>
        <w:rPr>
          <w:sz w:val="20"/>
        </w:rPr>
        <w:t>las</w:t>
      </w:r>
      <w:r>
        <w:rPr>
          <w:spacing w:val="-9"/>
          <w:sz w:val="20"/>
        </w:rPr>
        <w:t> </w:t>
      </w:r>
      <w:r>
        <w:rPr>
          <w:sz w:val="20"/>
        </w:rPr>
        <w:t>diversas</w:t>
      </w:r>
      <w:r>
        <w:rPr>
          <w:spacing w:val="-7"/>
          <w:sz w:val="20"/>
        </w:rPr>
        <w:t> </w:t>
      </w:r>
      <w:r>
        <w:rPr>
          <w:sz w:val="20"/>
        </w:rPr>
        <w:t>etnias</w:t>
      </w:r>
      <w:r>
        <w:rPr>
          <w:spacing w:val="-9"/>
          <w:sz w:val="20"/>
        </w:rPr>
        <w:t> </w:t>
      </w:r>
      <w:r>
        <w:rPr>
          <w:sz w:val="20"/>
        </w:rPr>
        <w:t>del</w:t>
      </w:r>
      <w:r>
        <w:rPr>
          <w:spacing w:val="-9"/>
          <w:sz w:val="20"/>
        </w:rPr>
        <w:t> </w:t>
      </w:r>
      <w:r>
        <w:rPr>
          <w:sz w:val="20"/>
        </w:rPr>
        <w:t>Chaco</w:t>
      </w:r>
      <w:r>
        <w:rPr>
          <w:spacing w:val="-10"/>
          <w:sz w:val="20"/>
        </w:rPr>
        <w:t> </w:t>
      </w:r>
      <w:r>
        <w:rPr>
          <w:sz w:val="20"/>
        </w:rPr>
        <w:t>en</w:t>
      </w:r>
      <w:r>
        <w:rPr>
          <w:spacing w:val="-8"/>
          <w:sz w:val="20"/>
        </w:rPr>
        <w:t> </w:t>
      </w:r>
      <w:r>
        <w:rPr>
          <w:sz w:val="20"/>
        </w:rPr>
        <w:t>general,</w:t>
      </w:r>
      <w:r>
        <w:rPr>
          <w:spacing w:val="-7"/>
          <w:sz w:val="20"/>
        </w:rPr>
        <w:t> </w:t>
      </w:r>
      <w:r>
        <w:rPr>
          <w:sz w:val="20"/>
        </w:rPr>
        <w:t>ya</w:t>
      </w:r>
      <w:r>
        <w:rPr>
          <w:spacing w:val="-9"/>
          <w:sz w:val="20"/>
        </w:rPr>
        <w:t> </w:t>
      </w:r>
      <w:r>
        <w:rPr>
          <w:sz w:val="20"/>
        </w:rPr>
        <w:t>que</w:t>
      </w:r>
      <w:r>
        <w:rPr>
          <w:spacing w:val="-8"/>
          <w:sz w:val="20"/>
        </w:rPr>
        <w:t> </w:t>
      </w:r>
      <w:r>
        <w:rPr>
          <w:sz w:val="20"/>
        </w:rPr>
        <w:t>es</w:t>
      </w:r>
      <w:r>
        <w:rPr>
          <w:spacing w:val="-10"/>
          <w:sz w:val="20"/>
        </w:rPr>
        <w:t> </w:t>
      </w:r>
      <w:r>
        <w:rPr>
          <w:sz w:val="20"/>
        </w:rPr>
        <w:t>un</w:t>
      </w:r>
      <w:r>
        <w:rPr>
          <w:spacing w:val="-8"/>
          <w:sz w:val="20"/>
        </w:rPr>
        <w:t> </w:t>
      </w:r>
      <w:r>
        <w:rPr>
          <w:sz w:val="20"/>
        </w:rPr>
        <w:t>elemento</w:t>
      </w:r>
      <w:r>
        <w:rPr>
          <w:spacing w:val="-10"/>
          <w:sz w:val="20"/>
        </w:rPr>
        <w:t> </w:t>
      </w:r>
      <w:r>
        <w:rPr>
          <w:sz w:val="20"/>
        </w:rPr>
        <w:t>básico en la alimentación de la gente de la región y motivo de celebraciones tradicionales de envergadura, como fueron antaño las ‘fiestas de la algarroba’”</w:t>
      </w:r>
      <w:r>
        <w:rPr>
          <w:rFonts w:ascii="Calibri" w:hAnsi="Calibri"/>
          <w:position w:val="8"/>
          <w:sz w:val="14"/>
        </w:rPr>
        <w:t>266</w:t>
      </w:r>
      <w:r>
        <w:rPr>
          <w:sz w:val="20"/>
        </w:rPr>
        <w:t>. Además, las especies nativas son utilizadas por los pueblos originarios de la zona para la elaboración de medicinas</w:t>
      </w:r>
      <w:r>
        <w:rPr>
          <w:spacing w:val="-11"/>
          <w:sz w:val="20"/>
        </w:rPr>
        <w:t> </w:t>
      </w:r>
      <w:r>
        <w:rPr>
          <w:sz w:val="20"/>
        </w:rPr>
        <w:t>tradicionales.</w:t>
      </w:r>
    </w:p>
    <w:p>
      <w:pPr>
        <w:pStyle w:val="BodyText"/>
        <w:spacing w:before="8"/>
        <w:rPr>
          <w:sz w:val="19"/>
        </w:rPr>
      </w:pPr>
    </w:p>
    <w:p>
      <w:pPr>
        <w:pStyle w:val="ListParagraph"/>
        <w:numPr>
          <w:ilvl w:val="0"/>
          <w:numId w:val="31"/>
        </w:numPr>
        <w:tabs>
          <w:tab w:pos="830" w:val="left" w:leader="none"/>
        </w:tabs>
        <w:spacing w:line="240" w:lineRule="auto" w:before="0" w:after="0"/>
        <w:ind w:left="122" w:right="124" w:firstLine="0"/>
        <w:jc w:val="both"/>
        <w:rPr>
          <w:sz w:val="20"/>
        </w:rPr>
      </w:pPr>
      <w:r>
        <w:rPr>
          <w:sz w:val="20"/>
        </w:rPr>
        <w:t>Además, se ha visto afectado el acceso al agua</w:t>
      </w:r>
      <w:r>
        <w:rPr>
          <w:position w:val="7"/>
          <w:sz w:val="13"/>
        </w:rPr>
        <w:t>267</w:t>
      </w:r>
      <w:r>
        <w:rPr>
          <w:sz w:val="20"/>
        </w:rPr>
        <w:t>. E</w:t>
      </w:r>
      <w:r>
        <w:rPr>
          <w:color w:val="2A2A2A"/>
          <w:sz w:val="20"/>
        </w:rPr>
        <w:t>n determinadas </w:t>
      </w:r>
      <w:r>
        <w:rPr>
          <w:color w:val="171717"/>
          <w:sz w:val="20"/>
        </w:rPr>
        <w:t>zonas, la presión  mayor  de  pastoreo  produjo  desertificación  </w:t>
      </w:r>
      <w:r>
        <w:rPr>
          <w:color w:val="2A2A2A"/>
          <w:sz w:val="20"/>
        </w:rPr>
        <w:t>(formación  </w:t>
      </w:r>
      <w:r>
        <w:rPr>
          <w:color w:val="171717"/>
          <w:sz w:val="20"/>
        </w:rPr>
        <w:t>de  </w:t>
      </w:r>
      <w:r>
        <w:rPr>
          <w:color w:val="171717"/>
          <w:spacing w:val="1"/>
          <w:sz w:val="20"/>
        </w:rPr>
        <w:t> </w:t>
      </w:r>
      <w:r>
        <w:rPr>
          <w:color w:val="2A2A2A"/>
          <w:sz w:val="20"/>
        </w:rPr>
        <w:t>“peladares”)</w:t>
      </w:r>
      <w:r>
        <w:rPr>
          <w:position w:val="7"/>
          <w:sz w:val="13"/>
        </w:rPr>
        <w:t>268</w:t>
      </w:r>
      <w:r>
        <w:rPr>
          <w:sz w:val="20"/>
        </w:rPr>
        <w:t>.</w:t>
      </w:r>
    </w:p>
    <w:p>
      <w:pPr>
        <w:pStyle w:val="BodyText"/>
        <w:spacing w:before="11"/>
      </w:pPr>
      <w:r>
        <w:rPr/>
        <w:pict>
          <v:line style="position:absolute;mso-position-horizontal-relative:page;mso-position-vertical-relative:paragraph;z-index:3088;mso-wrap-distance-left:0;mso-wrap-distance-right:0" from="85.103996pt,15.050549pt" to="229.123996pt,15.050549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263</w:t>
        <w:tab/>
      </w:r>
      <w:r>
        <w:rPr>
          <w:i/>
          <w:sz w:val="16"/>
        </w:rPr>
        <w:t>Cfr. </w:t>
      </w:r>
      <w:r>
        <w:rPr>
          <w:sz w:val="16"/>
        </w:rPr>
        <w:t>Informe Comisión Asesora Honoraria. Además, este mismo informe expuso que   </w:t>
      </w:r>
      <w:r>
        <w:rPr>
          <w:spacing w:val="16"/>
          <w:sz w:val="16"/>
        </w:rPr>
        <w:t> </w:t>
      </w:r>
      <w:r>
        <w:rPr>
          <w:sz w:val="16"/>
        </w:rPr>
        <w:t>“producto</w:t>
      </w:r>
      <w:r>
        <w:rPr>
          <w:spacing w:val="16"/>
          <w:sz w:val="16"/>
        </w:rPr>
        <w:t> </w:t>
      </w:r>
      <w:r>
        <w:rPr>
          <w:sz w:val="16"/>
        </w:rPr>
        <w:t>del</w:t>
      </w:r>
      <w:r>
        <w:rPr>
          <w:w w:val="100"/>
          <w:sz w:val="16"/>
        </w:rPr>
        <w:t> </w:t>
      </w:r>
      <w:r>
        <w:rPr>
          <w:sz w:val="16"/>
        </w:rPr>
        <w:t>pisoteo del ganado se ha producido la compactación del suelo de las áreas interarbustos, lo que a su vez reduce el contenido de materia orgánica y el espacio de poros, lo que disminuye la infiltración, aumenta el escurrimiento y provoca una mayor erosión hídrica, a la vez que reduce la disponibilidad de agua en el suelo para las plantas”. El escrito de </w:t>
      </w:r>
      <w:r>
        <w:rPr>
          <w:i/>
          <w:sz w:val="16"/>
        </w:rPr>
        <w:t>amicus curiae </w:t>
      </w:r>
      <w:r>
        <w:rPr>
          <w:sz w:val="16"/>
        </w:rPr>
        <w:t>de DPLF y otras organizaciones da cuenda del Informe Técnico 2015</w:t>
      </w:r>
      <w:r>
        <w:rPr>
          <w:spacing w:val="-6"/>
          <w:sz w:val="16"/>
        </w:rPr>
        <w:t> </w:t>
      </w:r>
      <w:r>
        <w:rPr>
          <w:sz w:val="16"/>
        </w:rPr>
        <w:t>de</w:t>
      </w:r>
      <w:r>
        <w:rPr>
          <w:spacing w:val="-5"/>
          <w:sz w:val="16"/>
        </w:rPr>
        <w:t> </w:t>
      </w:r>
      <w:r>
        <w:rPr>
          <w:sz w:val="16"/>
        </w:rPr>
        <w:t>la</w:t>
      </w:r>
      <w:r>
        <w:rPr>
          <w:spacing w:val="-6"/>
          <w:sz w:val="16"/>
        </w:rPr>
        <w:t> </w:t>
      </w:r>
      <w:r>
        <w:rPr>
          <w:sz w:val="16"/>
        </w:rPr>
        <w:t>FAO</w:t>
      </w:r>
      <w:r>
        <w:rPr>
          <w:spacing w:val="-5"/>
          <w:sz w:val="16"/>
        </w:rPr>
        <w:t> </w:t>
      </w:r>
      <w:r>
        <w:rPr>
          <w:sz w:val="16"/>
        </w:rPr>
        <w:t>sobre</w:t>
      </w:r>
      <w:r>
        <w:rPr>
          <w:spacing w:val="-5"/>
          <w:sz w:val="16"/>
        </w:rPr>
        <w:t> </w:t>
      </w:r>
      <w:r>
        <w:rPr>
          <w:sz w:val="16"/>
        </w:rPr>
        <w:t>el</w:t>
      </w:r>
      <w:r>
        <w:rPr>
          <w:spacing w:val="-5"/>
          <w:sz w:val="16"/>
        </w:rPr>
        <w:t> </w:t>
      </w:r>
      <w:r>
        <w:rPr>
          <w:i/>
          <w:sz w:val="16"/>
        </w:rPr>
        <w:t>Estado</w:t>
      </w:r>
      <w:r>
        <w:rPr>
          <w:i/>
          <w:spacing w:val="-4"/>
          <w:sz w:val="16"/>
        </w:rPr>
        <w:t> </w:t>
      </w:r>
      <w:r>
        <w:rPr>
          <w:i/>
          <w:sz w:val="16"/>
        </w:rPr>
        <w:t>Mundial</w:t>
      </w:r>
      <w:r>
        <w:rPr>
          <w:i/>
          <w:spacing w:val="-6"/>
          <w:sz w:val="16"/>
        </w:rPr>
        <w:t> </w:t>
      </w:r>
      <w:r>
        <w:rPr>
          <w:i/>
          <w:sz w:val="16"/>
        </w:rPr>
        <w:t>del</w:t>
      </w:r>
      <w:r>
        <w:rPr>
          <w:i/>
          <w:spacing w:val="-6"/>
          <w:sz w:val="16"/>
        </w:rPr>
        <w:t> </w:t>
      </w:r>
      <w:r>
        <w:rPr>
          <w:i/>
          <w:sz w:val="16"/>
        </w:rPr>
        <w:t>Recurso</w:t>
      </w:r>
      <w:r>
        <w:rPr>
          <w:i/>
          <w:spacing w:val="-5"/>
          <w:sz w:val="16"/>
        </w:rPr>
        <w:t> </w:t>
      </w:r>
      <w:r>
        <w:rPr>
          <w:i/>
          <w:sz w:val="16"/>
        </w:rPr>
        <w:t>Suelo:</w:t>
      </w:r>
      <w:r>
        <w:rPr>
          <w:i/>
          <w:spacing w:val="-4"/>
          <w:sz w:val="16"/>
        </w:rPr>
        <w:t> </w:t>
      </w:r>
      <w:r>
        <w:rPr>
          <w:sz w:val="16"/>
        </w:rPr>
        <w:t>indica</w:t>
      </w:r>
      <w:r>
        <w:rPr>
          <w:spacing w:val="-5"/>
          <w:sz w:val="16"/>
        </w:rPr>
        <w:t> </w:t>
      </w:r>
      <w:r>
        <w:rPr>
          <w:sz w:val="16"/>
        </w:rPr>
        <w:t>que</w:t>
      </w:r>
      <w:r>
        <w:rPr>
          <w:spacing w:val="-3"/>
          <w:sz w:val="16"/>
        </w:rPr>
        <w:t> </w:t>
      </w:r>
      <w:r>
        <w:rPr>
          <w:sz w:val="16"/>
        </w:rPr>
        <w:t>la</w:t>
      </w:r>
      <w:r>
        <w:rPr>
          <w:spacing w:val="-6"/>
          <w:sz w:val="16"/>
        </w:rPr>
        <w:t> </w:t>
      </w:r>
      <w:r>
        <w:rPr>
          <w:sz w:val="16"/>
        </w:rPr>
        <w:t>degradación</w:t>
      </w:r>
      <w:r>
        <w:rPr>
          <w:spacing w:val="-6"/>
          <w:sz w:val="16"/>
        </w:rPr>
        <w:t> </w:t>
      </w:r>
      <w:r>
        <w:rPr>
          <w:sz w:val="16"/>
        </w:rPr>
        <w:t>del</w:t>
      </w:r>
      <w:r>
        <w:rPr>
          <w:spacing w:val="-6"/>
          <w:sz w:val="16"/>
        </w:rPr>
        <w:t> </w:t>
      </w:r>
      <w:r>
        <w:rPr>
          <w:sz w:val="16"/>
        </w:rPr>
        <w:t>suelo</w:t>
      </w:r>
      <w:r>
        <w:rPr>
          <w:spacing w:val="-4"/>
          <w:sz w:val="16"/>
        </w:rPr>
        <w:t> </w:t>
      </w:r>
      <w:r>
        <w:rPr>
          <w:sz w:val="16"/>
        </w:rPr>
        <w:t>constituye</w:t>
      </w:r>
      <w:r>
        <w:rPr>
          <w:spacing w:val="-5"/>
          <w:sz w:val="16"/>
        </w:rPr>
        <w:t> </w:t>
      </w:r>
      <w:r>
        <w:rPr>
          <w:sz w:val="16"/>
        </w:rPr>
        <w:t>una gran amenaza para la producción sostenible y la seguridad alimenticia de algunas regiones del mundo. Entre las fuentes de esta degradación, la FAO incluye la compactación del suelo, la cual, en América Latina, es principalmente “causada por el sobrepastoreo y el tráfico agrícola intensivo” (Consejo de la Organización de las Naciones Unidas para la Alimentación y la Agricultura (FAO), </w:t>
      </w:r>
      <w:r>
        <w:rPr>
          <w:i/>
          <w:sz w:val="16"/>
        </w:rPr>
        <w:t>Estado Mundial del Recurso Suelo, Resumen </w:t>
      </w:r>
      <w:r>
        <w:rPr>
          <w:i/>
          <w:sz w:val="16"/>
        </w:rPr>
        <w:t>Técnico, </w:t>
      </w:r>
      <w:r>
        <w:rPr>
          <w:sz w:val="16"/>
        </w:rPr>
        <w:t>2016, p.</w:t>
      </w:r>
      <w:r>
        <w:rPr>
          <w:spacing w:val="-7"/>
          <w:sz w:val="16"/>
        </w:rPr>
        <w:t> </w:t>
      </w:r>
      <w:r>
        <w:rPr>
          <w:sz w:val="16"/>
        </w:rPr>
        <w:t>37).</w:t>
      </w:r>
    </w:p>
    <w:p>
      <w:pPr>
        <w:pStyle w:val="BodyText"/>
        <w:spacing w:before="11"/>
        <w:rPr>
          <w:sz w:val="15"/>
        </w:rPr>
      </w:pPr>
    </w:p>
    <w:p>
      <w:pPr>
        <w:tabs>
          <w:tab w:pos="829" w:val="left" w:leader="none"/>
        </w:tabs>
        <w:spacing w:before="0"/>
        <w:ind w:left="122" w:right="113" w:firstLine="0"/>
        <w:jc w:val="both"/>
        <w:rPr>
          <w:sz w:val="16"/>
        </w:rPr>
      </w:pPr>
      <w:r>
        <w:rPr>
          <w:position w:val="6"/>
          <w:sz w:val="10"/>
        </w:rPr>
        <w:t>264</w:t>
        <w:tab/>
      </w:r>
      <w:r>
        <w:rPr>
          <w:i/>
          <w:sz w:val="16"/>
        </w:rPr>
        <w:t>Cfr. </w:t>
      </w:r>
      <w:r>
        <w:rPr>
          <w:sz w:val="16"/>
        </w:rPr>
        <w:t>Borrador de propuesta de distribución de tierras Lotes Fiscales 55 y 14   </w:t>
      </w:r>
      <w:r>
        <w:rPr>
          <w:spacing w:val="23"/>
          <w:sz w:val="16"/>
        </w:rPr>
        <w:t> </w:t>
      </w:r>
      <w:r>
        <w:rPr>
          <w:sz w:val="16"/>
        </w:rPr>
        <w:t>-Petición CIDH</w:t>
      </w:r>
      <w:r>
        <w:rPr>
          <w:spacing w:val="12"/>
          <w:sz w:val="16"/>
        </w:rPr>
        <w:t> </w:t>
      </w:r>
      <w:r>
        <w:rPr>
          <w:sz w:val="16"/>
        </w:rPr>
        <w:t>“Lhaka</w:t>
      </w:r>
      <w:r>
        <w:rPr>
          <w:w w:val="100"/>
          <w:sz w:val="16"/>
        </w:rPr>
        <w:t> </w:t>
      </w:r>
      <w:r>
        <w:rPr>
          <w:sz w:val="16"/>
        </w:rPr>
        <w:t>Honhat”,</w:t>
      </w:r>
      <w:r>
        <w:rPr>
          <w:spacing w:val="-11"/>
          <w:sz w:val="16"/>
        </w:rPr>
        <w:t> </w:t>
      </w:r>
      <w:r>
        <w:rPr>
          <w:sz w:val="16"/>
        </w:rPr>
        <w:t>presentada</w:t>
      </w:r>
      <w:r>
        <w:rPr>
          <w:spacing w:val="-13"/>
          <w:sz w:val="16"/>
        </w:rPr>
        <w:t> </w:t>
      </w:r>
      <w:r>
        <w:rPr>
          <w:sz w:val="16"/>
        </w:rPr>
        <w:t>por</w:t>
      </w:r>
      <w:r>
        <w:rPr>
          <w:spacing w:val="-11"/>
          <w:sz w:val="16"/>
        </w:rPr>
        <w:t> </w:t>
      </w:r>
      <w:r>
        <w:rPr>
          <w:sz w:val="16"/>
        </w:rPr>
        <w:t>el</w:t>
      </w:r>
      <w:r>
        <w:rPr>
          <w:spacing w:val="-10"/>
          <w:sz w:val="16"/>
        </w:rPr>
        <w:t> </w:t>
      </w:r>
      <w:r>
        <w:rPr>
          <w:sz w:val="16"/>
        </w:rPr>
        <w:t>Estado</w:t>
      </w:r>
      <w:r>
        <w:rPr>
          <w:spacing w:val="-9"/>
          <w:sz w:val="16"/>
        </w:rPr>
        <w:t> </w:t>
      </w:r>
      <w:r>
        <w:rPr>
          <w:sz w:val="16"/>
        </w:rPr>
        <w:t>Nacional</w:t>
      </w:r>
      <w:r>
        <w:rPr>
          <w:spacing w:val="-10"/>
          <w:sz w:val="16"/>
        </w:rPr>
        <w:t> </w:t>
      </w:r>
      <w:r>
        <w:rPr>
          <w:sz w:val="16"/>
        </w:rPr>
        <w:t>a</w:t>
      </w:r>
      <w:r>
        <w:rPr>
          <w:spacing w:val="-10"/>
          <w:sz w:val="16"/>
        </w:rPr>
        <w:t> </w:t>
      </w:r>
      <w:r>
        <w:rPr>
          <w:sz w:val="16"/>
        </w:rPr>
        <w:t>la</w:t>
      </w:r>
      <w:r>
        <w:rPr>
          <w:spacing w:val="-13"/>
          <w:sz w:val="16"/>
        </w:rPr>
        <w:t> </w:t>
      </w:r>
      <w:r>
        <w:rPr>
          <w:sz w:val="16"/>
        </w:rPr>
        <w:t>Comisión</w:t>
      </w:r>
      <w:r>
        <w:rPr>
          <w:spacing w:val="-13"/>
          <w:sz w:val="16"/>
        </w:rPr>
        <w:t> </w:t>
      </w:r>
      <w:r>
        <w:rPr>
          <w:sz w:val="16"/>
        </w:rPr>
        <w:t>el</w:t>
      </w:r>
      <w:r>
        <w:rPr>
          <w:spacing w:val="-13"/>
          <w:sz w:val="16"/>
        </w:rPr>
        <w:t> </w:t>
      </w:r>
      <w:r>
        <w:rPr>
          <w:sz w:val="16"/>
        </w:rPr>
        <w:t>5</w:t>
      </w:r>
      <w:r>
        <w:rPr>
          <w:spacing w:val="-9"/>
          <w:sz w:val="16"/>
        </w:rPr>
        <w:t> </w:t>
      </w:r>
      <w:r>
        <w:rPr>
          <w:sz w:val="16"/>
        </w:rPr>
        <w:t>de</w:t>
      </w:r>
      <w:r>
        <w:rPr>
          <w:spacing w:val="-9"/>
          <w:sz w:val="16"/>
        </w:rPr>
        <w:t> </w:t>
      </w:r>
      <w:r>
        <w:rPr>
          <w:sz w:val="16"/>
        </w:rPr>
        <w:t>septiembre</w:t>
      </w:r>
      <w:r>
        <w:rPr>
          <w:spacing w:val="-12"/>
          <w:sz w:val="16"/>
        </w:rPr>
        <w:t> </w:t>
      </w:r>
      <w:r>
        <w:rPr>
          <w:sz w:val="16"/>
        </w:rPr>
        <w:t>de</w:t>
      </w:r>
      <w:r>
        <w:rPr>
          <w:spacing w:val="-12"/>
          <w:sz w:val="16"/>
        </w:rPr>
        <w:t> </w:t>
      </w:r>
      <w:r>
        <w:rPr>
          <w:sz w:val="16"/>
        </w:rPr>
        <w:t>2006</w:t>
      </w:r>
      <w:r>
        <w:rPr>
          <w:spacing w:val="-11"/>
          <w:sz w:val="16"/>
        </w:rPr>
        <w:t> </w:t>
      </w:r>
      <w:r>
        <w:rPr>
          <w:sz w:val="16"/>
        </w:rPr>
        <w:t>y</w:t>
      </w:r>
      <w:r>
        <w:rPr>
          <w:spacing w:val="-11"/>
          <w:sz w:val="16"/>
        </w:rPr>
        <w:t> </w:t>
      </w:r>
      <w:r>
        <w:rPr>
          <w:sz w:val="16"/>
        </w:rPr>
        <w:t>remitida</w:t>
      </w:r>
      <w:r>
        <w:rPr>
          <w:spacing w:val="-10"/>
          <w:sz w:val="16"/>
        </w:rPr>
        <w:t> </w:t>
      </w:r>
      <w:r>
        <w:rPr>
          <w:sz w:val="16"/>
        </w:rPr>
        <w:t>a</w:t>
      </w:r>
      <w:r>
        <w:rPr>
          <w:spacing w:val="-10"/>
          <w:sz w:val="16"/>
        </w:rPr>
        <w:t> </w:t>
      </w:r>
      <w:r>
        <w:rPr>
          <w:sz w:val="16"/>
        </w:rPr>
        <w:t>los</w:t>
      </w:r>
      <w:r>
        <w:rPr>
          <w:spacing w:val="-12"/>
          <w:sz w:val="16"/>
        </w:rPr>
        <w:t> </w:t>
      </w:r>
      <w:r>
        <w:rPr>
          <w:sz w:val="16"/>
        </w:rPr>
        <w:t>entonces peticionarios el 27 de septiembre de 2006. Expediente de prueba, anexo M.4 al escrito de solicitudes y argumentos, fs. 35.378 a</w:t>
      </w:r>
      <w:r>
        <w:rPr>
          <w:spacing w:val="-13"/>
          <w:sz w:val="16"/>
        </w:rPr>
        <w:t> </w:t>
      </w:r>
      <w:r>
        <w:rPr>
          <w:sz w:val="16"/>
        </w:rPr>
        <w:t>35.401.</w:t>
      </w:r>
    </w:p>
    <w:p>
      <w:pPr>
        <w:pStyle w:val="BodyText"/>
        <w:spacing w:before="11"/>
        <w:rPr>
          <w:sz w:val="15"/>
        </w:rPr>
      </w:pPr>
    </w:p>
    <w:p>
      <w:pPr>
        <w:tabs>
          <w:tab w:pos="829" w:val="left" w:leader="none"/>
        </w:tabs>
        <w:spacing w:before="0"/>
        <w:ind w:left="122" w:right="117" w:firstLine="0"/>
        <w:jc w:val="both"/>
        <w:rPr>
          <w:sz w:val="16"/>
        </w:rPr>
      </w:pPr>
      <w:r>
        <w:rPr>
          <w:position w:val="6"/>
          <w:sz w:val="10"/>
        </w:rPr>
        <w:t>265</w:t>
        <w:tab/>
      </w:r>
      <w:r>
        <w:rPr>
          <w:i/>
          <w:sz w:val="16"/>
        </w:rPr>
        <w:t>Cfr.</w:t>
      </w:r>
      <w:r>
        <w:rPr>
          <w:i/>
          <w:spacing w:val="-6"/>
          <w:sz w:val="16"/>
        </w:rPr>
        <w:t> </w:t>
      </w:r>
      <w:r>
        <w:rPr>
          <w:sz w:val="16"/>
        </w:rPr>
        <w:t>“Uso</w:t>
      </w:r>
      <w:r>
        <w:rPr>
          <w:spacing w:val="-3"/>
          <w:sz w:val="16"/>
        </w:rPr>
        <w:t> </w:t>
      </w:r>
      <w:r>
        <w:rPr>
          <w:sz w:val="16"/>
        </w:rPr>
        <w:t>tradicional</w:t>
      </w:r>
      <w:r>
        <w:rPr>
          <w:spacing w:val="-6"/>
          <w:sz w:val="16"/>
        </w:rPr>
        <w:t> </w:t>
      </w:r>
      <w:r>
        <w:rPr>
          <w:sz w:val="16"/>
        </w:rPr>
        <w:t>de</w:t>
      </w:r>
      <w:r>
        <w:rPr>
          <w:spacing w:val="-6"/>
          <w:sz w:val="16"/>
        </w:rPr>
        <w:t> </w:t>
      </w:r>
      <w:r>
        <w:rPr>
          <w:sz w:val="16"/>
        </w:rPr>
        <w:t>la</w:t>
      </w:r>
      <w:r>
        <w:rPr>
          <w:spacing w:val="-7"/>
          <w:sz w:val="16"/>
        </w:rPr>
        <w:t> </w:t>
      </w:r>
      <w:r>
        <w:rPr>
          <w:sz w:val="16"/>
        </w:rPr>
        <w:t>tierra</w:t>
      </w:r>
      <w:r>
        <w:rPr>
          <w:spacing w:val="-4"/>
          <w:sz w:val="16"/>
        </w:rPr>
        <w:t> </w:t>
      </w:r>
      <w:r>
        <w:rPr>
          <w:sz w:val="16"/>
        </w:rPr>
        <w:t>y</w:t>
      </w:r>
      <w:r>
        <w:rPr>
          <w:spacing w:val="-8"/>
          <w:sz w:val="16"/>
        </w:rPr>
        <w:t> </w:t>
      </w:r>
      <w:r>
        <w:rPr>
          <w:sz w:val="16"/>
        </w:rPr>
        <w:t>sus</w:t>
      </w:r>
      <w:r>
        <w:rPr>
          <w:spacing w:val="-6"/>
          <w:sz w:val="16"/>
        </w:rPr>
        <w:t> </w:t>
      </w:r>
      <w:r>
        <w:rPr>
          <w:sz w:val="16"/>
        </w:rPr>
        <w:t>recursos:</w:t>
      </w:r>
      <w:r>
        <w:rPr>
          <w:spacing w:val="-7"/>
          <w:sz w:val="16"/>
        </w:rPr>
        <w:t> </w:t>
      </w:r>
      <w:r>
        <w:rPr>
          <w:sz w:val="16"/>
        </w:rPr>
        <w:t>Presiones</w:t>
      </w:r>
      <w:r>
        <w:rPr>
          <w:spacing w:val="-6"/>
          <w:sz w:val="16"/>
        </w:rPr>
        <w:t> </w:t>
      </w:r>
      <w:r>
        <w:rPr>
          <w:sz w:val="16"/>
        </w:rPr>
        <w:t>sobre</w:t>
      </w:r>
      <w:r>
        <w:rPr>
          <w:spacing w:val="-6"/>
          <w:sz w:val="16"/>
        </w:rPr>
        <w:t> </w:t>
      </w:r>
      <w:r>
        <w:rPr>
          <w:sz w:val="16"/>
        </w:rPr>
        <w:t>este</w:t>
      </w:r>
      <w:r>
        <w:rPr>
          <w:spacing w:val="-6"/>
          <w:sz w:val="16"/>
        </w:rPr>
        <w:t> </w:t>
      </w:r>
      <w:r>
        <w:rPr>
          <w:sz w:val="16"/>
        </w:rPr>
        <w:t>uso</w:t>
      </w:r>
      <w:r>
        <w:rPr>
          <w:spacing w:val="-5"/>
          <w:sz w:val="16"/>
        </w:rPr>
        <w:t> </w:t>
      </w:r>
      <w:r>
        <w:rPr>
          <w:sz w:val="16"/>
        </w:rPr>
        <w:t>en</w:t>
      </w:r>
      <w:r>
        <w:rPr>
          <w:spacing w:val="-7"/>
          <w:sz w:val="16"/>
        </w:rPr>
        <w:t> </w:t>
      </w:r>
      <w:r>
        <w:rPr>
          <w:sz w:val="16"/>
        </w:rPr>
        <w:t>el</w:t>
      </w:r>
      <w:r>
        <w:rPr>
          <w:spacing w:val="-6"/>
          <w:sz w:val="16"/>
        </w:rPr>
        <w:t> </w:t>
      </w:r>
      <w:r>
        <w:rPr>
          <w:sz w:val="16"/>
        </w:rPr>
        <w:t>contexto</w:t>
      </w:r>
      <w:r>
        <w:rPr>
          <w:spacing w:val="-5"/>
          <w:sz w:val="16"/>
        </w:rPr>
        <w:t> </w:t>
      </w:r>
      <w:r>
        <w:rPr>
          <w:sz w:val="16"/>
        </w:rPr>
        <w:t>moderno”</w:t>
      </w:r>
      <w:r>
        <w:rPr>
          <w:spacing w:val="-6"/>
          <w:sz w:val="16"/>
        </w:rPr>
        <w:t> </w:t>
      </w:r>
      <w:r>
        <w:rPr>
          <w:sz w:val="16"/>
        </w:rPr>
        <w:t>de</w:t>
      </w:r>
      <w:r>
        <w:rPr>
          <w:w w:val="100"/>
          <w:sz w:val="16"/>
        </w:rPr>
        <w:t> </w:t>
      </w:r>
      <w:r>
        <w:rPr>
          <w:sz w:val="16"/>
        </w:rPr>
        <w:t>Wallis, Cristóbal. Ponencia presentada en el Seminario sobre Temática Indígena, organizado por el Centro de Estudios Canadienses, Universidad de Rosario, octubre de 1994. Expediente de prueba, anexo M.5 al escrito de solicitudes y argumentos, fs.  35. 402 a</w:t>
      </w:r>
      <w:r>
        <w:rPr>
          <w:spacing w:val="-14"/>
          <w:sz w:val="16"/>
        </w:rPr>
        <w:t> </w:t>
      </w:r>
      <w:r>
        <w:rPr>
          <w:sz w:val="16"/>
        </w:rPr>
        <w:t>35.419.</w:t>
      </w:r>
    </w:p>
    <w:p>
      <w:pPr>
        <w:pStyle w:val="BodyText"/>
        <w:rPr>
          <w:sz w:val="16"/>
        </w:rPr>
      </w:pPr>
    </w:p>
    <w:p>
      <w:pPr>
        <w:tabs>
          <w:tab w:pos="829" w:val="left" w:leader="none"/>
        </w:tabs>
        <w:spacing w:before="0"/>
        <w:ind w:left="122" w:right="0" w:firstLine="0"/>
        <w:jc w:val="both"/>
        <w:rPr>
          <w:sz w:val="16"/>
        </w:rPr>
      </w:pPr>
      <w:r>
        <w:rPr>
          <w:position w:val="6"/>
          <w:sz w:val="10"/>
        </w:rPr>
        <w:t>266</w:t>
        <w:tab/>
      </w:r>
      <w:r>
        <w:rPr>
          <w:i/>
          <w:sz w:val="16"/>
        </w:rPr>
        <w:t>Cfr.</w:t>
      </w:r>
      <w:r>
        <w:rPr>
          <w:i/>
          <w:spacing w:val="-9"/>
          <w:sz w:val="16"/>
        </w:rPr>
        <w:t> </w:t>
      </w:r>
      <w:r>
        <w:rPr>
          <w:sz w:val="16"/>
        </w:rPr>
        <w:t>“Etnobotánica</w:t>
      </w:r>
      <w:r>
        <w:rPr>
          <w:spacing w:val="-11"/>
          <w:sz w:val="16"/>
        </w:rPr>
        <w:t> </w:t>
      </w:r>
      <w:r>
        <w:rPr>
          <w:sz w:val="16"/>
        </w:rPr>
        <w:t>wichí</w:t>
      </w:r>
      <w:r>
        <w:rPr>
          <w:spacing w:val="-11"/>
          <w:sz w:val="16"/>
        </w:rPr>
        <w:t> </w:t>
      </w:r>
      <w:r>
        <w:rPr>
          <w:sz w:val="16"/>
        </w:rPr>
        <w:t>del</w:t>
      </w:r>
      <w:r>
        <w:rPr>
          <w:spacing w:val="-11"/>
          <w:sz w:val="16"/>
        </w:rPr>
        <w:t> </w:t>
      </w:r>
      <w:r>
        <w:rPr>
          <w:sz w:val="16"/>
        </w:rPr>
        <w:t>bosque</w:t>
      </w:r>
      <w:r>
        <w:rPr>
          <w:spacing w:val="-11"/>
          <w:sz w:val="16"/>
        </w:rPr>
        <w:t> </w:t>
      </w:r>
      <w:r>
        <w:rPr>
          <w:sz w:val="16"/>
        </w:rPr>
        <w:t>xerófito</w:t>
      </w:r>
      <w:r>
        <w:rPr>
          <w:spacing w:val="-10"/>
          <w:sz w:val="16"/>
        </w:rPr>
        <w:t> </w:t>
      </w:r>
      <w:r>
        <w:rPr>
          <w:sz w:val="16"/>
        </w:rPr>
        <w:t>en</w:t>
      </w:r>
      <w:r>
        <w:rPr>
          <w:spacing w:val="-12"/>
          <w:sz w:val="16"/>
        </w:rPr>
        <w:t> </w:t>
      </w:r>
      <w:r>
        <w:rPr>
          <w:sz w:val="16"/>
        </w:rPr>
        <w:t>el</w:t>
      </w:r>
      <w:r>
        <w:rPr>
          <w:spacing w:val="-11"/>
          <w:sz w:val="16"/>
        </w:rPr>
        <w:t> </w:t>
      </w:r>
      <w:r>
        <w:rPr>
          <w:sz w:val="16"/>
        </w:rPr>
        <w:t>Chaco</w:t>
      </w:r>
      <w:r>
        <w:rPr>
          <w:spacing w:val="-10"/>
          <w:sz w:val="16"/>
        </w:rPr>
        <w:t> </w:t>
      </w:r>
      <w:r>
        <w:rPr>
          <w:sz w:val="16"/>
        </w:rPr>
        <w:t>semiárido</w:t>
      </w:r>
      <w:r>
        <w:rPr>
          <w:spacing w:val="-10"/>
          <w:sz w:val="16"/>
        </w:rPr>
        <w:t> </w:t>
      </w:r>
      <w:r>
        <w:rPr>
          <w:sz w:val="16"/>
        </w:rPr>
        <w:t>salteño”,</w:t>
      </w:r>
      <w:r>
        <w:rPr>
          <w:spacing w:val="-12"/>
          <w:sz w:val="16"/>
        </w:rPr>
        <w:t> </w:t>
      </w:r>
      <w:r>
        <w:rPr>
          <w:sz w:val="16"/>
        </w:rPr>
        <w:t>de</w:t>
      </w:r>
      <w:r>
        <w:rPr>
          <w:spacing w:val="-11"/>
          <w:sz w:val="16"/>
        </w:rPr>
        <w:t> </w:t>
      </w:r>
      <w:r>
        <w:rPr>
          <w:sz w:val="16"/>
        </w:rPr>
        <w:t>Suárez,</w:t>
      </w:r>
      <w:r>
        <w:rPr>
          <w:spacing w:val="-12"/>
          <w:sz w:val="16"/>
        </w:rPr>
        <w:t> </w:t>
      </w:r>
      <w:r>
        <w:rPr>
          <w:sz w:val="16"/>
        </w:rPr>
        <w:t>María</w:t>
      </w:r>
      <w:r>
        <w:rPr>
          <w:spacing w:val="-9"/>
          <w:sz w:val="16"/>
        </w:rPr>
        <w:t> </w:t>
      </w:r>
      <w:r>
        <w:rPr>
          <w:sz w:val="16"/>
        </w:rPr>
        <w:t>Eugenia</w:t>
      </w:r>
    </w:p>
    <w:p>
      <w:pPr>
        <w:spacing w:before="0"/>
        <w:ind w:left="122" w:right="0" w:firstLine="0"/>
        <w:jc w:val="both"/>
        <w:rPr>
          <w:sz w:val="16"/>
        </w:rPr>
      </w:pPr>
      <w:r>
        <w:rPr>
          <w:sz w:val="16"/>
        </w:rPr>
        <w:t>- 1a ed. - Don Torcuato: Autores de Argentina, 2014.</w:t>
      </w:r>
    </w:p>
    <w:p>
      <w:pPr>
        <w:pStyle w:val="BodyText"/>
        <w:spacing w:before="12"/>
        <w:rPr>
          <w:sz w:val="15"/>
        </w:rPr>
      </w:pPr>
    </w:p>
    <w:p>
      <w:pPr>
        <w:tabs>
          <w:tab w:pos="829" w:val="left" w:leader="none"/>
        </w:tabs>
        <w:spacing w:before="0"/>
        <w:ind w:left="122" w:right="116" w:firstLine="0"/>
        <w:jc w:val="both"/>
        <w:rPr>
          <w:sz w:val="16"/>
        </w:rPr>
      </w:pPr>
      <w:r>
        <w:rPr>
          <w:position w:val="6"/>
          <w:sz w:val="10"/>
        </w:rPr>
        <w:t>267</w:t>
        <w:tab/>
      </w:r>
      <w:r>
        <w:rPr>
          <w:sz w:val="16"/>
        </w:rPr>
        <w:t>Los</w:t>
      </w:r>
      <w:r>
        <w:rPr>
          <w:spacing w:val="-6"/>
          <w:sz w:val="16"/>
        </w:rPr>
        <w:t> </w:t>
      </w:r>
      <w:r>
        <w:rPr>
          <w:sz w:val="16"/>
        </w:rPr>
        <w:t>representantes</w:t>
      </w:r>
      <w:r>
        <w:rPr>
          <w:spacing w:val="-3"/>
          <w:sz w:val="16"/>
        </w:rPr>
        <w:t> </w:t>
      </w:r>
      <w:r>
        <w:rPr>
          <w:sz w:val="16"/>
        </w:rPr>
        <w:t>han</w:t>
      </w:r>
      <w:r>
        <w:rPr>
          <w:spacing w:val="-7"/>
          <w:sz w:val="16"/>
        </w:rPr>
        <w:t> </w:t>
      </w:r>
      <w:r>
        <w:rPr>
          <w:sz w:val="16"/>
        </w:rPr>
        <w:t>manifestado</w:t>
      </w:r>
      <w:r>
        <w:rPr>
          <w:spacing w:val="-5"/>
          <w:sz w:val="16"/>
        </w:rPr>
        <w:t> </w:t>
      </w:r>
      <w:r>
        <w:rPr>
          <w:sz w:val="16"/>
        </w:rPr>
        <w:t>que</w:t>
      </w:r>
      <w:r>
        <w:rPr>
          <w:spacing w:val="-6"/>
          <w:sz w:val="16"/>
        </w:rPr>
        <w:t> </w:t>
      </w:r>
      <w:r>
        <w:rPr>
          <w:sz w:val="16"/>
        </w:rPr>
        <w:t>“[s]egún</w:t>
      </w:r>
      <w:r>
        <w:rPr>
          <w:spacing w:val="-5"/>
          <w:sz w:val="16"/>
        </w:rPr>
        <w:t> </w:t>
      </w:r>
      <w:r>
        <w:rPr>
          <w:sz w:val="16"/>
        </w:rPr>
        <w:t>señala</w:t>
      </w:r>
      <w:r>
        <w:rPr>
          <w:spacing w:val="-4"/>
          <w:sz w:val="16"/>
        </w:rPr>
        <w:t> </w:t>
      </w:r>
      <w:r>
        <w:rPr>
          <w:sz w:val="16"/>
        </w:rPr>
        <w:t>el</w:t>
      </w:r>
      <w:r>
        <w:rPr>
          <w:spacing w:val="-7"/>
          <w:sz w:val="16"/>
        </w:rPr>
        <w:t> </w:t>
      </w:r>
      <w:r>
        <w:rPr>
          <w:sz w:val="16"/>
        </w:rPr>
        <w:t>Estado</w:t>
      </w:r>
      <w:r>
        <w:rPr>
          <w:spacing w:val="-5"/>
          <w:sz w:val="16"/>
        </w:rPr>
        <w:t> </w:t>
      </w:r>
      <w:r>
        <w:rPr>
          <w:sz w:val="16"/>
        </w:rPr>
        <w:t>Nacional,</w:t>
      </w:r>
      <w:r>
        <w:rPr>
          <w:spacing w:val="-3"/>
          <w:sz w:val="16"/>
        </w:rPr>
        <w:t> </w:t>
      </w:r>
      <w:r>
        <w:rPr>
          <w:sz w:val="16"/>
        </w:rPr>
        <w:t>los</w:t>
      </w:r>
      <w:r>
        <w:rPr>
          <w:spacing w:val="-6"/>
          <w:sz w:val="16"/>
        </w:rPr>
        <w:t> </w:t>
      </w:r>
      <w:r>
        <w:rPr>
          <w:sz w:val="16"/>
        </w:rPr>
        <w:t>colonos,</w:t>
      </w:r>
      <w:r>
        <w:rPr>
          <w:spacing w:val="-4"/>
          <w:sz w:val="16"/>
        </w:rPr>
        <w:t> </w:t>
      </w:r>
      <w:r>
        <w:rPr>
          <w:sz w:val="16"/>
        </w:rPr>
        <w:t>impulsados</w:t>
      </w:r>
      <w:r>
        <w:rPr>
          <w:w w:val="100"/>
          <w:sz w:val="16"/>
        </w:rPr>
        <w:t> </w:t>
      </w:r>
      <w:r>
        <w:rPr>
          <w:sz w:val="16"/>
        </w:rPr>
        <w:t>por las políticas estatales, se afincaron dentro de la matriz indígena a partir de 1902 con la fundación de la Colonia Buenaventura, haciendo uso extensivo de la tierra y las fuentes de agua para la subsistencia del ganado”.</w:t>
      </w:r>
    </w:p>
    <w:p>
      <w:pPr>
        <w:pStyle w:val="BodyText"/>
        <w:spacing w:before="2"/>
        <w:rPr>
          <w:sz w:val="16"/>
        </w:rPr>
      </w:pPr>
    </w:p>
    <w:p>
      <w:pPr>
        <w:tabs>
          <w:tab w:pos="829" w:val="left" w:leader="none"/>
        </w:tabs>
        <w:spacing w:before="0"/>
        <w:ind w:left="122" w:right="114" w:firstLine="0"/>
        <w:jc w:val="both"/>
        <w:rPr>
          <w:sz w:val="16"/>
        </w:rPr>
      </w:pPr>
      <w:r>
        <w:rPr>
          <w:position w:val="6"/>
          <w:sz w:val="10"/>
        </w:rPr>
        <w:t>268</w:t>
        <w:tab/>
      </w:r>
      <w:r>
        <w:rPr>
          <w:sz w:val="16"/>
        </w:rPr>
        <w:t>En  ese  sentido,  el  constante  pisoteo  del  ganado  vacuno  impide  la  renovación  de </w:t>
      </w:r>
      <w:r>
        <w:rPr>
          <w:spacing w:val="52"/>
          <w:sz w:val="16"/>
        </w:rPr>
        <w:t> </w:t>
      </w:r>
      <w:r>
        <w:rPr>
          <w:sz w:val="16"/>
        </w:rPr>
        <w:t>flora </w:t>
      </w:r>
      <w:r>
        <w:rPr>
          <w:spacing w:val="2"/>
          <w:sz w:val="16"/>
        </w:rPr>
        <w:t> </w:t>
      </w:r>
      <w:r>
        <w:rPr>
          <w:sz w:val="16"/>
        </w:rPr>
        <w:t>(</w:t>
      </w:r>
      <w:r>
        <w:rPr>
          <w:i/>
          <w:sz w:val="16"/>
        </w:rPr>
        <w:t>cfr.</w:t>
      </w:r>
      <w:r>
        <w:rPr>
          <w:i/>
          <w:w w:val="100"/>
          <w:sz w:val="16"/>
        </w:rPr>
        <w:t> </w:t>
      </w:r>
      <w:r>
        <w:rPr>
          <w:sz w:val="16"/>
        </w:rPr>
        <w:t>Presentación realizada por Lhaka Honhat ante la Comisión en fecha 4 de enero 2007. Expediente de prueba, anexo 6 al Informe de Fondo, fs. 47 a 101. De igual forma se ha pronunciado la perita</w:t>
      </w:r>
      <w:r>
        <w:rPr>
          <w:spacing w:val="-28"/>
          <w:sz w:val="16"/>
        </w:rPr>
        <w:t> </w:t>
      </w:r>
      <w:r>
        <w:rPr>
          <w:sz w:val="16"/>
        </w:rPr>
        <w:t>Naharro).</w:t>
      </w:r>
    </w:p>
    <w:p>
      <w:pPr>
        <w:spacing w:after="0"/>
        <w:jc w:val="both"/>
        <w:rPr>
          <w:sz w:val="16"/>
        </w:rPr>
        <w:sectPr>
          <w:footerReference w:type="default" r:id="rId28"/>
          <w:pgSz w:w="12240" w:h="15840"/>
          <w:pgMar w:footer="1000" w:header="0" w:top="1340" w:bottom="1200" w:left="1580" w:right="1580"/>
          <w:pgNumType w:start="91"/>
        </w:sectPr>
      </w:pPr>
    </w:p>
    <w:p>
      <w:pPr>
        <w:pStyle w:val="BodyText"/>
        <w:spacing w:before="76"/>
        <w:ind w:left="122" w:right="131"/>
        <w:jc w:val="both"/>
      </w:pPr>
      <w:r>
        <w:rPr/>
        <w:t>Además el ganado consume el agua que también las comunidades requieren para su subsistencia</w:t>
      </w:r>
      <w:r>
        <w:rPr>
          <w:position w:val="7"/>
          <w:sz w:val="13"/>
        </w:rPr>
        <w:t>269</w:t>
      </w:r>
      <w:r>
        <w:rPr/>
        <w:t>, verificándose muchas veces situaciones en las que el agua es contaminada por las heces de los animales. Aunado a ello, conforme indicó la perita Naharro, “[a]nte la escasez de agua, las comunidades a veces ven vedado el acceso a los reservorios de agua, ya que las familias criollas alambran alrededor, impidiendo el uso a los indígenas”</w:t>
      </w:r>
      <w:r>
        <w:rPr>
          <w:position w:val="7"/>
          <w:sz w:val="13"/>
        </w:rPr>
        <w:t>270</w:t>
      </w:r>
      <w:r>
        <w:rPr/>
        <w:t>.</w:t>
      </w:r>
    </w:p>
    <w:p>
      <w:pPr>
        <w:pStyle w:val="BodyText"/>
        <w:spacing w:before="10"/>
        <w:rPr>
          <w:sz w:val="19"/>
        </w:rPr>
      </w:pPr>
    </w:p>
    <w:p>
      <w:pPr>
        <w:pStyle w:val="ListParagraph"/>
        <w:numPr>
          <w:ilvl w:val="0"/>
          <w:numId w:val="31"/>
        </w:numPr>
        <w:tabs>
          <w:tab w:pos="830" w:val="left" w:leader="none"/>
        </w:tabs>
        <w:spacing w:line="240" w:lineRule="auto" w:before="0" w:after="0"/>
        <w:ind w:left="122" w:right="124" w:firstLine="0"/>
        <w:jc w:val="both"/>
        <w:rPr>
          <w:sz w:val="20"/>
        </w:rPr>
      </w:pPr>
      <w:r>
        <w:rPr>
          <w:i/>
          <w:sz w:val="20"/>
        </w:rPr>
        <w:t>Tala ilegal.- </w:t>
      </w:r>
      <w:r>
        <w:rPr>
          <w:sz w:val="20"/>
        </w:rPr>
        <w:t>Otro aspecto señalado por los representantes es el de la tala ilegal. De</w:t>
      </w:r>
      <w:r>
        <w:rPr>
          <w:spacing w:val="-12"/>
          <w:sz w:val="20"/>
        </w:rPr>
        <w:t> </w:t>
      </w:r>
      <w:r>
        <w:rPr>
          <w:sz w:val="20"/>
        </w:rPr>
        <w:t>acuerdo</w:t>
      </w:r>
      <w:r>
        <w:rPr>
          <w:spacing w:val="-11"/>
          <w:sz w:val="20"/>
        </w:rPr>
        <w:t> </w:t>
      </w:r>
      <w:r>
        <w:rPr>
          <w:sz w:val="20"/>
        </w:rPr>
        <w:t>a</w:t>
      </w:r>
      <w:r>
        <w:rPr>
          <w:spacing w:val="-8"/>
          <w:sz w:val="20"/>
        </w:rPr>
        <w:t> </w:t>
      </w:r>
      <w:r>
        <w:rPr>
          <w:sz w:val="20"/>
        </w:rPr>
        <w:t>señalamientos</w:t>
      </w:r>
      <w:r>
        <w:rPr>
          <w:spacing w:val="-11"/>
          <w:sz w:val="20"/>
        </w:rPr>
        <w:t> </w:t>
      </w:r>
      <w:r>
        <w:rPr>
          <w:sz w:val="20"/>
        </w:rPr>
        <w:t>de</w:t>
      </w:r>
      <w:r>
        <w:rPr>
          <w:spacing w:val="-9"/>
          <w:sz w:val="20"/>
        </w:rPr>
        <w:t> </w:t>
      </w:r>
      <w:r>
        <w:rPr>
          <w:sz w:val="20"/>
        </w:rPr>
        <w:t>los</w:t>
      </w:r>
      <w:r>
        <w:rPr>
          <w:spacing w:val="-9"/>
          <w:sz w:val="20"/>
        </w:rPr>
        <w:t> </w:t>
      </w:r>
      <w:r>
        <w:rPr>
          <w:sz w:val="20"/>
        </w:rPr>
        <w:t>representantes,</w:t>
      </w:r>
      <w:r>
        <w:rPr>
          <w:spacing w:val="-9"/>
          <w:sz w:val="20"/>
        </w:rPr>
        <w:t> </w:t>
      </w:r>
      <w:r>
        <w:rPr>
          <w:sz w:val="20"/>
        </w:rPr>
        <w:t>el</w:t>
      </w:r>
      <w:r>
        <w:rPr>
          <w:spacing w:val="-7"/>
          <w:sz w:val="20"/>
        </w:rPr>
        <w:t> </w:t>
      </w:r>
      <w:r>
        <w:rPr>
          <w:sz w:val="20"/>
        </w:rPr>
        <w:t>carácter</w:t>
      </w:r>
      <w:r>
        <w:rPr>
          <w:spacing w:val="-11"/>
          <w:sz w:val="20"/>
        </w:rPr>
        <w:t> </w:t>
      </w:r>
      <w:r>
        <w:rPr>
          <w:sz w:val="20"/>
        </w:rPr>
        <w:t>“ilegal”</w:t>
      </w:r>
      <w:r>
        <w:rPr>
          <w:spacing w:val="-11"/>
          <w:sz w:val="20"/>
        </w:rPr>
        <w:t> </w:t>
      </w:r>
      <w:r>
        <w:rPr>
          <w:sz w:val="20"/>
        </w:rPr>
        <w:t>de</w:t>
      </w:r>
      <w:r>
        <w:rPr>
          <w:spacing w:val="-12"/>
          <w:sz w:val="20"/>
        </w:rPr>
        <w:t> </w:t>
      </w:r>
      <w:r>
        <w:rPr>
          <w:sz w:val="20"/>
        </w:rPr>
        <w:t>la</w:t>
      </w:r>
      <w:r>
        <w:rPr>
          <w:spacing w:val="-5"/>
          <w:sz w:val="20"/>
        </w:rPr>
        <w:t> </w:t>
      </w:r>
      <w:r>
        <w:rPr>
          <w:sz w:val="20"/>
        </w:rPr>
        <w:t>actividad</w:t>
      </w:r>
      <w:r>
        <w:rPr>
          <w:spacing w:val="-10"/>
          <w:sz w:val="20"/>
        </w:rPr>
        <w:t> </w:t>
      </w:r>
      <w:r>
        <w:rPr>
          <w:sz w:val="20"/>
        </w:rPr>
        <w:t>de tala tiene sustento en distintas disposiciones que, a partir de 1991, restringieron la explotación forestal (</w:t>
      </w:r>
      <w:r>
        <w:rPr>
          <w:i/>
          <w:sz w:val="20"/>
        </w:rPr>
        <w:t>infra</w:t>
      </w:r>
      <w:r>
        <w:rPr>
          <w:sz w:val="20"/>
        </w:rPr>
        <w:t>, párr. 269). Documentación estatal ha indicado como una de las</w:t>
      </w:r>
      <w:r>
        <w:rPr>
          <w:spacing w:val="-12"/>
          <w:sz w:val="20"/>
        </w:rPr>
        <w:t> </w:t>
      </w:r>
      <w:r>
        <w:rPr>
          <w:sz w:val="20"/>
        </w:rPr>
        <w:t>causas</w:t>
      </w:r>
      <w:r>
        <w:rPr>
          <w:spacing w:val="-12"/>
          <w:sz w:val="20"/>
        </w:rPr>
        <w:t> </w:t>
      </w:r>
      <w:r>
        <w:rPr>
          <w:sz w:val="20"/>
        </w:rPr>
        <w:t>de</w:t>
      </w:r>
      <w:r>
        <w:rPr>
          <w:spacing w:val="-13"/>
          <w:sz w:val="20"/>
        </w:rPr>
        <w:t> </w:t>
      </w:r>
      <w:r>
        <w:rPr>
          <w:sz w:val="20"/>
        </w:rPr>
        <w:t>la</w:t>
      </w:r>
      <w:r>
        <w:rPr>
          <w:spacing w:val="-9"/>
          <w:sz w:val="20"/>
        </w:rPr>
        <w:t> </w:t>
      </w:r>
      <w:r>
        <w:rPr>
          <w:sz w:val="20"/>
        </w:rPr>
        <w:t>“degradación</w:t>
      </w:r>
      <w:r>
        <w:rPr>
          <w:spacing w:val="-10"/>
          <w:sz w:val="20"/>
        </w:rPr>
        <w:t> </w:t>
      </w:r>
      <w:r>
        <w:rPr>
          <w:sz w:val="20"/>
        </w:rPr>
        <w:t>bio-socio-económica</w:t>
      </w:r>
      <w:r>
        <w:rPr>
          <w:spacing w:val="-12"/>
          <w:sz w:val="20"/>
        </w:rPr>
        <w:t> </w:t>
      </w:r>
      <w:r>
        <w:rPr>
          <w:sz w:val="20"/>
        </w:rPr>
        <w:t>del</w:t>
      </w:r>
      <w:r>
        <w:rPr>
          <w:spacing w:val="-8"/>
          <w:sz w:val="20"/>
        </w:rPr>
        <w:t> </w:t>
      </w:r>
      <w:r>
        <w:rPr>
          <w:sz w:val="20"/>
        </w:rPr>
        <w:t>D[e]p[artamen]to</w:t>
      </w:r>
      <w:r>
        <w:rPr>
          <w:spacing w:val="-10"/>
          <w:sz w:val="20"/>
        </w:rPr>
        <w:t> </w:t>
      </w:r>
      <w:r>
        <w:rPr>
          <w:sz w:val="20"/>
        </w:rPr>
        <w:t>[…]</w:t>
      </w:r>
      <w:r>
        <w:rPr>
          <w:spacing w:val="-11"/>
          <w:sz w:val="20"/>
        </w:rPr>
        <w:t> </w:t>
      </w:r>
      <w:r>
        <w:rPr>
          <w:sz w:val="20"/>
        </w:rPr>
        <w:t>Rivadavia” la</w:t>
      </w:r>
      <w:r>
        <w:rPr>
          <w:spacing w:val="-17"/>
          <w:sz w:val="20"/>
        </w:rPr>
        <w:t> </w:t>
      </w:r>
      <w:r>
        <w:rPr>
          <w:sz w:val="20"/>
        </w:rPr>
        <w:t>“actividad</w:t>
      </w:r>
      <w:r>
        <w:rPr>
          <w:spacing w:val="-17"/>
          <w:sz w:val="20"/>
        </w:rPr>
        <w:t> </w:t>
      </w:r>
      <w:r>
        <w:rPr>
          <w:sz w:val="20"/>
        </w:rPr>
        <w:t>forestal”</w:t>
      </w:r>
      <w:r>
        <w:rPr>
          <w:spacing w:val="-18"/>
          <w:sz w:val="20"/>
        </w:rPr>
        <w:t> </w:t>
      </w:r>
      <w:r>
        <w:rPr>
          <w:sz w:val="20"/>
        </w:rPr>
        <w:t>que</w:t>
      </w:r>
      <w:r>
        <w:rPr>
          <w:spacing w:val="-19"/>
          <w:sz w:val="20"/>
        </w:rPr>
        <w:t> </w:t>
      </w:r>
      <w:r>
        <w:rPr>
          <w:sz w:val="20"/>
        </w:rPr>
        <w:t>se</w:t>
      </w:r>
      <w:r>
        <w:rPr>
          <w:spacing w:val="-16"/>
          <w:sz w:val="20"/>
        </w:rPr>
        <w:t> </w:t>
      </w:r>
      <w:r>
        <w:rPr>
          <w:sz w:val="20"/>
        </w:rPr>
        <w:t>“realiza</w:t>
      </w:r>
      <w:r>
        <w:rPr>
          <w:spacing w:val="-17"/>
          <w:sz w:val="20"/>
        </w:rPr>
        <w:t> </w:t>
      </w:r>
      <w:r>
        <w:rPr>
          <w:sz w:val="20"/>
        </w:rPr>
        <w:t>sin</w:t>
      </w:r>
      <w:r>
        <w:rPr>
          <w:spacing w:val="-16"/>
          <w:sz w:val="20"/>
        </w:rPr>
        <w:t> </w:t>
      </w:r>
      <w:r>
        <w:rPr>
          <w:sz w:val="20"/>
        </w:rPr>
        <w:t>la</w:t>
      </w:r>
      <w:r>
        <w:rPr>
          <w:spacing w:val="-17"/>
          <w:sz w:val="20"/>
        </w:rPr>
        <w:t> </w:t>
      </w:r>
      <w:r>
        <w:rPr>
          <w:sz w:val="20"/>
        </w:rPr>
        <w:t>aplicación</w:t>
      </w:r>
      <w:r>
        <w:rPr>
          <w:spacing w:val="-17"/>
          <w:sz w:val="20"/>
        </w:rPr>
        <w:t> </w:t>
      </w:r>
      <w:r>
        <w:rPr>
          <w:sz w:val="20"/>
        </w:rPr>
        <w:t>de</w:t>
      </w:r>
      <w:r>
        <w:rPr>
          <w:spacing w:val="-17"/>
          <w:sz w:val="20"/>
        </w:rPr>
        <w:t> </w:t>
      </w:r>
      <w:r>
        <w:rPr>
          <w:sz w:val="20"/>
        </w:rPr>
        <w:t>mínimas</w:t>
      </w:r>
      <w:r>
        <w:rPr>
          <w:spacing w:val="-18"/>
          <w:sz w:val="20"/>
        </w:rPr>
        <w:t> </w:t>
      </w:r>
      <w:r>
        <w:rPr>
          <w:sz w:val="20"/>
        </w:rPr>
        <w:t>normas</w:t>
      </w:r>
      <w:r>
        <w:rPr>
          <w:spacing w:val="-16"/>
          <w:sz w:val="20"/>
        </w:rPr>
        <w:t> </w:t>
      </w:r>
      <w:r>
        <w:rPr>
          <w:sz w:val="20"/>
        </w:rPr>
        <w:t>de</w:t>
      </w:r>
      <w:r>
        <w:rPr>
          <w:spacing w:val="-16"/>
          <w:sz w:val="20"/>
        </w:rPr>
        <w:t> </w:t>
      </w:r>
      <w:r>
        <w:rPr>
          <w:sz w:val="20"/>
        </w:rPr>
        <w:t>racionalidad ni de precauciones que tiendan a asegurar el porvenir de las masas boscosas, y menos aún de compatibilizar con los usos ganaderos y requerimientos de la fauna. La [vasta] legislación ambiental vigente no tiene ningún efecto positivo, […] la actividad forestal clandestina es casi una</w:t>
      </w:r>
      <w:r>
        <w:rPr>
          <w:spacing w:val="-15"/>
          <w:sz w:val="20"/>
        </w:rPr>
        <w:t> </w:t>
      </w:r>
      <w:r>
        <w:rPr>
          <w:sz w:val="20"/>
        </w:rPr>
        <w:t>habitualidad”</w:t>
      </w:r>
      <w:r>
        <w:rPr>
          <w:position w:val="7"/>
          <w:sz w:val="13"/>
        </w:rPr>
        <w:t>271</w:t>
      </w:r>
      <w:r>
        <w:rPr>
          <w:sz w:val="20"/>
        </w:rPr>
        <w:t>.</w:t>
      </w:r>
    </w:p>
    <w:p>
      <w:pPr>
        <w:pStyle w:val="BodyText"/>
        <w:spacing w:before="10"/>
        <w:rPr>
          <w:sz w:val="19"/>
        </w:rPr>
      </w:pPr>
    </w:p>
    <w:p>
      <w:pPr>
        <w:pStyle w:val="ListParagraph"/>
        <w:numPr>
          <w:ilvl w:val="0"/>
          <w:numId w:val="31"/>
        </w:numPr>
        <w:tabs>
          <w:tab w:pos="830" w:val="left" w:leader="none"/>
        </w:tabs>
        <w:spacing w:line="240" w:lineRule="auto" w:before="0" w:after="0"/>
        <w:ind w:left="122" w:right="126" w:firstLine="0"/>
        <w:jc w:val="both"/>
        <w:rPr>
          <w:sz w:val="20"/>
        </w:rPr>
      </w:pPr>
      <w:r>
        <w:rPr>
          <w:sz w:val="20"/>
        </w:rPr>
        <w:t>Las</w:t>
      </w:r>
      <w:r>
        <w:rPr>
          <w:spacing w:val="-10"/>
          <w:sz w:val="20"/>
        </w:rPr>
        <w:t> </w:t>
      </w:r>
      <w:r>
        <w:rPr>
          <w:sz w:val="20"/>
        </w:rPr>
        <w:t>comunidades</w:t>
      </w:r>
      <w:r>
        <w:rPr>
          <w:spacing w:val="-10"/>
          <w:sz w:val="20"/>
        </w:rPr>
        <w:t> </w:t>
      </w:r>
      <w:r>
        <w:rPr>
          <w:sz w:val="20"/>
        </w:rPr>
        <w:t>indígenas</w:t>
      </w:r>
      <w:r>
        <w:rPr>
          <w:spacing w:val="-10"/>
          <w:sz w:val="20"/>
        </w:rPr>
        <w:t> </w:t>
      </w:r>
      <w:r>
        <w:rPr>
          <w:sz w:val="20"/>
        </w:rPr>
        <w:t>señalaron</w:t>
      </w:r>
      <w:r>
        <w:rPr>
          <w:spacing w:val="-9"/>
          <w:sz w:val="20"/>
        </w:rPr>
        <w:t> </w:t>
      </w:r>
      <w:r>
        <w:rPr>
          <w:sz w:val="20"/>
        </w:rPr>
        <w:t>que</w:t>
      </w:r>
      <w:r>
        <w:rPr>
          <w:spacing w:val="-10"/>
          <w:sz w:val="20"/>
        </w:rPr>
        <w:t> </w:t>
      </w:r>
      <w:r>
        <w:rPr>
          <w:sz w:val="20"/>
        </w:rPr>
        <w:t>la</w:t>
      </w:r>
      <w:r>
        <w:rPr>
          <w:spacing w:val="-10"/>
          <w:sz w:val="20"/>
        </w:rPr>
        <w:t> </w:t>
      </w:r>
      <w:r>
        <w:rPr>
          <w:sz w:val="20"/>
        </w:rPr>
        <w:t>degradación</w:t>
      </w:r>
      <w:r>
        <w:rPr>
          <w:spacing w:val="-9"/>
          <w:sz w:val="20"/>
        </w:rPr>
        <w:t> </w:t>
      </w:r>
      <w:r>
        <w:rPr>
          <w:sz w:val="20"/>
        </w:rPr>
        <w:t>ambiental</w:t>
      </w:r>
      <w:r>
        <w:rPr>
          <w:spacing w:val="-9"/>
          <w:sz w:val="20"/>
        </w:rPr>
        <w:t> </w:t>
      </w:r>
      <w:r>
        <w:rPr>
          <w:sz w:val="20"/>
        </w:rPr>
        <w:t>del</w:t>
      </w:r>
      <w:r>
        <w:rPr>
          <w:spacing w:val="-7"/>
          <w:sz w:val="20"/>
        </w:rPr>
        <w:t> </w:t>
      </w:r>
      <w:r>
        <w:rPr>
          <w:sz w:val="20"/>
        </w:rPr>
        <w:t>territorio comenzó en los albores del siglo XX, de modo simultáneo a la introducción de animales por parte de los criollos colonizadores. Arguyeron que las actividades que fueron desarrollándose trajeron como consecuencia inmediata la tala de los bosques para su utilización en la industria maderera y de carbón y en los cerramientos y cercos de las familias</w:t>
      </w:r>
      <w:r>
        <w:rPr>
          <w:spacing w:val="-8"/>
          <w:sz w:val="20"/>
        </w:rPr>
        <w:t> </w:t>
      </w:r>
      <w:r>
        <w:rPr>
          <w:sz w:val="20"/>
        </w:rPr>
        <w:t>criollas.</w:t>
      </w:r>
    </w:p>
    <w:p>
      <w:pPr>
        <w:pStyle w:val="BodyText"/>
        <w:spacing w:before="10"/>
        <w:rPr>
          <w:sz w:val="19"/>
        </w:rPr>
      </w:pPr>
    </w:p>
    <w:p>
      <w:pPr>
        <w:pStyle w:val="ListParagraph"/>
        <w:numPr>
          <w:ilvl w:val="0"/>
          <w:numId w:val="31"/>
        </w:numPr>
        <w:tabs>
          <w:tab w:pos="830" w:val="left" w:leader="none"/>
        </w:tabs>
        <w:spacing w:line="240" w:lineRule="auto" w:before="0" w:after="0"/>
        <w:ind w:left="122" w:right="124" w:firstLine="0"/>
        <w:jc w:val="both"/>
        <w:rPr>
          <w:sz w:val="20"/>
        </w:rPr>
      </w:pPr>
      <w:r>
        <w:rPr>
          <w:sz w:val="20"/>
        </w:rPr>
        <w:t>La Comisión Interamericana expresó, a su vez, que las comunidades indígenas peticionarias han denunciado en forma constante y consistente que en su territorio se han realizado actividades de tala y extracción ilegal de madera y otros recursos naturales, y que tales actividades han sido puestas en conocimiento de las autoridades estatales en distintos ámbitos, particularmente en el curso del proceso ante la propia Comisión. Los representantes han señalado la metodología utilizada para realizar esta práctica: el corte de árboles en el monte y, posteriormente, el ingreso de tractores y camiones</w:t>
      </w:r>
      <w:r>
        <w:rPr>
          <w:spacing w:val="-17"/>
          <w:sz w:val="20"/>
        </w:rPr>
        <w:t> </w:t>
      </w:r>
      <w:r>
        <w:rPr>
          <w:sz w:val="20"/>
        </w:rPr>
        <w:t>que</w:t>
      </w:r>
      <w:r>
        <w:rPr>
          <w:spacing w:val="-15"/>
          <w:sz w:val="20"/>
        </w:rPr>
        <w:t> </w:t>
      </w:r>
      <w:r>
        <w:rPr>
          <w:sz w:val="20"/>
        </w:rPr>
        <w:t>retiran</w:t>
      </w:r>
      <w:r>
        <w:rPr>
          <w:spacing w:val="-15"/>
          <w:sz w:val="20"/>
        </w:rPr>
        <w:t> </w:t>
      </w:r>
      <w:r>
        <w:rPr>
          <w:sz w:val="20"/>
        </w:rPr>
        <w:t>la</w:t>
      </w:r>
      <w:r>
        <w:rPr>
          <w:spacing w:val="-16"/>
          <w:sz w:val="20"/>
        </w:rPr>
        <w:t> </w:t>
      </w:r>
      <w:r>
        <w:rPr>
          <w:sz w:val="20"/>
        </w:rPr>
        <w:t>leña</w:t>
      </w:r>
      <w:r>
        <w:rPr>
          <w:spacing w:val="-16"/>
          <w:sz w:val="20"/>
        </w:rPr>
        <w:t> </w:t>
      </w:r>
      <w:r>
        <w:rPr>
          <w:sz w:val="20"/>
        </w:rPr>
        <w:t>por</w:t>
      </w:r>
      <w:r>
        <w:rPr>
          <w:spacing w:val="-17"/>
          <w:sz w:val="20"/>
        </w:rPr>
        <w:t> </w:t>
      </w:r>
      <w:r>
        <w:rPr>
          <w:sz w:val="20"/>
        </w:rPr>
        <w:t>caminos</w:t>
      </w:r>
      <w:r>
        <w:rPr>
          <w:spacing w:val="-17"/>
          <w:sz w:val="20"/>
        </w:rPr>
        <w:t> </w:t>
      </w:r>
      <w:r>
        <w:rPr>
          <w:sz w:val="20"/>
        </w:rPr>
        <w:t>diversos.</w:t>
      </w:r>
      <w:r>
        <w:rPr>
          <w:spacing w:val="-12"/>
          <w:sz w:val="20"/>
        </w:rPr>
        <w:t> </w:t>
      </w:r>
      <w:r>
        <w:rPr>
          <w:sz w:val="20"/>
        </w:rPr>
        <w:t>Autoridades</w:t>
      </w:r>
      <w:r>
        <w:rPr>
          <w:spacing w:val="-14"/>
          <w:sz w:val="20"/>
        </w:rPr>
        <w:t> </w:t>
      </w:r>
      <w:r>
        <w:rPr>
          <w:sz w:val="20"/>
        </w:rPr>
        <w:t>estatales</w:t>
      </w:r>
      <w:r>
        <w:rPr>
          <w:spacing w:val="-14"/>
          <w:sz w:val="20"/>
        </w:rPr>
        <w:t> </w:t>
      </w:r>
      <w:r>
        <w:rPr>
          <w:sz w:val="20"/>
        </w:rPr>
        <w:t>han</w:t>
      </w:r>
      <w:r>
        <w:rPr>
          <w:spacing w:val="-14"/>
          <w:sz w:val="20"/>
        </w:rPr>
        <w:t> </w:t>
      </w:r>
      <w:r>
        <w:rPr>
          <w:sz w:val="20"/>
        </w:rPr>
        <w:t>reconocido la</w:t>
      </w:r>
      <w:r>
        <w:rPr>
          <w:spacing w:val="-15"/>
          <w:sz w:val="20"/>
        </w:rPr>
        <w:t> </w:t>
      </w:r>
      <w:r>
        <w:rPr>
          <w:sz w:val="20"/>
        </w:rPr>
        <w:t>existencia</w:t>
      </w:r>
      <w:r>
        <w:rPr>
          <w:spacing w:val="-13"/>
          <w:sz w:val="20"/>
        </w:rPr>
        <w:t> </w:t>
      </w:r>
      <w:r>
        <w:rPr>
          <w:sz w:val="20"/>
        </w:rPr>
        <w:t>de</w:t>
      </w:r>
      <w:r>
        <w:rPr>
          <w:spacing w:val="-14"/>
          <w:sz w:val="20"/>
        </w:rPr>
        <w:t> </w:t>
      </w:r>
      <w:r>
        <w:rPr>
          <w:sz w:val="20"/>
        </w:rPr>
        <w:t>este</w:t>
      </w:r>
      <w:r>
        <w:rPr>
          <w:spacing w:val="-14"/>
          <w:sz w:val="20"/>
        </w:rPr>
        <w:t> </w:t>
      </w:r>
      <w:r>
        <w:rPr>
          <w:sz w:val="20"/>
        </w:rPr>
        <w:t>problema,</w:t>
      </w:r>
      <w:r>
        <w:rPr>
          <w:spacing w:val="-13"/>
          <w:sz w:val="20"/>
        </w:rPr>
        <w:t> </w:t>
      </w:r>
      <w:r>
        <w:rPr>
          <w:sz w:val="20"/>
        </w:rPr>
        <w:t>como</w:t>
      </w:r>
      <w:r>
        <w:rPr>
          <w:spacing w:val="-14"/>
          <w:sz w:val="20"/>
        </w:rPr>
        <w:t> </w:t>
      </w:r>
      <w:r>
        <w:rPr>
          <w:sz w:val="20"/>
        </w:rPr>
        <w:t>surge</w:t>
      </w:r>
      <w:r>
        <w:rPr>
          <w:spacing w:val="-16"/>
          <w:sz w:val="20"/>
        </w:rPr>
        <w:t> </w:t>
      </w:r>
      <w:r>
        <w:rPr>
          <w:sz w:val="20"/>
        </w:rPr>
        <w:t>de</w:t>
      </w:r>
      <w:r>
        <w:rPr>
          <w:spacing w:val="-16"/>
          <w:sz w:val="20"/>
        </w:rPr>
        <w:t> </w:t>
      </w:r>
      <w:r>
        <w:rPr>
          <w:sz w:val="20"/>
        </w:rPr>
        <w:t>las</w:t>
      </w:r>
      <w:r>
        <w:rPr>
          <w:spacing w:val="-16"/>
          <w:sz w:val="20"/>
        </w:rPr>
        <w:t> </w:t>
      </w:r>
      <w:r>
        <w:rPr>
          <w:sz w:val="20"/>
        </w:rPr>
        <w:t>acciones</w:t>
      </w:r>
      <w:r>
        <w:rPr>
          <w:spacing w:val="-16"/>
          <w:sz w:val="20"/>
        </w:rPr>
        <w:t> </w:t>
      </w:r>
      <w:r>
        <w:rPr>
          <w:sz w:val="20"/>
        </w:rPr>
        <w:t>que</w:t>
      </w:r>
      <w:r>
        <w:rPr>
          <w:spacing w:val="-14"/>
          <w:sz w:val="20"/>
        </w:rPr>
        <w:t> </w:t>
      </w:r>
      <w:r>
        <w:rPr>
          <w:sz w:val="20"/>
        </w:rPr>
        <w:t>se</w:t>
      </w:r>
      <w:r>
        <w:rPr>
          <w:spacing w:val="-15"/>
          <w:sz w:val="20"/>
        </w:rPr>
        <w:t> </w:t>
      </w:r>
      <w:r>
        <w:rPr>
          <w:sz w:val="20"/>
        </w:rPr>
        <w:t>detallan</w:t>
      </w:r>
      <w:r>
        <w:rPr>
          <w:spacing w:val="-14"/>
          <w:sz w:val="20"/>
        </w:rPr>
        <w:t> </w:t>
      </w:r>
      <w:r>
        <w:rPr>
          <w:sz w:val="20"/>
        </w:rPr>
        <w:t>más</w:t>
      </w:r>
      <w:r>
        <w:rPr>
          <w:spacing w:val="-16"/>
          <w:sz w:val="20"/>
        </w:rPr>
        <w:t> </w:t>
      </w:r>
      <w:r>
        <w:rPr>
          <w:sz w:val="20"/>
        </w:rPr>
        <w:t>adelante (</w:t>
      </w:r>
      <w:r>
        <w:rPr>
          <w:i/>
          <w:sz w:val="20"/>
        </w:rPr>
        <w:t>infra</w:t>
      </w:r>
      <w:r>
        <w:rPr>
          <w:sz w:val="20"/>
        </w:rPr>
        <w:t>, párrs. 269 a 271)</w:t>
      </w:r>
      <w:r>
        <w:rPr>
          <w:position w:val="7"/>
          <w:sz w:val="13"/>
        </w:rPr>
        <w:t>272 </w:t>
      </w:r>
      <w:r>
        <w:rPr>
          <w:sz w:val="20"/>
        </w:rPr>
        <w:t>y en el trámite del caso se han comprometido a adoptar acciones para prevenir su</w:t>
      </w:r>
      <w:r>
        <w:rPr>
          <w:spacing w:val="-16"/>
          <w:sz w:val="20"/>
        </w:rPr>
        <w:t> </w:t>
      </w:r>
      <w:r>
        <w:rPr>
          <w:sz w:val="20"/>
        </w:rPr>
        <w:t>ocurrencia.</w:t>
      </w:r>
    </w:p>
    <w:p>
      <w:pPr>
        <w:pStyle w:val="BodyText"/>
      </w:pPr>
    </w:p>
    <w:p>
      <w:pPr>
        <w:pStyle w:val="BodyText"/>
      </w:pPr>
    </w:p>
    <w:p>
      <w:pPr>
        <w:pStyle w:val="BodyText"/>
        <w:spacing w:before="4"/>
        <w:rPr>
          <w:sz w:val="25"/>
        </w:rPr>
      </w:pPr>
      <w:r>
        <w:rPr/>
        <w:pict>
          <v:line style="position:absolute;mso-position-horizontal-relative:page;mso-position-vertical-relative:paragraph;z-index:3112;mso-wrap-distance-left:0;mso-wrap-distance-right:0" from="85.103996pt,17.739008pt" to="229.123996pt,17.739008pt" stroked="true" strokeweight=".72003pt" strokecolor="#000000">
            <v:stroke dashstyle="solid"/>
            <w10:wrap type="topAndBottom"/>
          </v:line>
        </w:pict>
      </w:r>
    </w:p>
    <w:p>
      <w:pPr>
        <w:pStyle w:val="BodyText"/>
        <w:spacing w:before="7"/>
        <w:rPr>
          <w:sz w:val="13"/>
        </w:rPr>
      </w:pPr>
    </w:p>
    <w:p>
      <w:pPr>
        <w:tabs>
          <w:tab w:pos="829" w:val="left" w:leader="none"/>
        </w:tabs>
        <w:spacing w:before="101"/>
        <w:ind w:left="122" w:right="0" w:firstLine="0"/>
        <w:jc w:val="both"/>
        <w:rPr>
          <w:sz w:val="16"/>
        </w:rPr>
      </w:pPr>
      <w:r>
        <w:rPr>
          <w:position w:val="6"/>
          <w:sz w:val="10"/>
        </w:rPr>
        <w:t>269</w:t>
        <w:tab/>
      </w:r>
      <w:r>
        <w:rPr>
          <w:i/>
          <w:sz w:val="16"/>
        </w:rPr>
        <w:t>Cfr. </w:t>
      </w:r>
      <w:r>
        <w:rPr>
          <w:sz w:val="16"/>
        </w:rPr>
        <w:t>Pericia rendida por la señora</w:t>
      </w:r>
      <w:r>
        <w:rPr>
          <w:spacing w:val="-12"/>
          <w:sz w:val="16"/>
        </w:rPr>
        <w:t> </w:t>
      </w:r>
      <w:r>
        <w:rPr>
          <w:sz w:val="16"/>
        </w:rPr>
        <w:t>Buliubasich.</w:t>
      </w:r>
    </w:p>
    <w:p>
      <w:pPr>
        <w:pStyle w:val="BodyText"/>
        <w:rPr>
          <w:sz w:val="16"/>
        </w:rPr>
      </w:pPr>
    </w:p>
    <w:p>
      <w:pPr>
        <w:tabs>
          <w:tab w:pos="829" w:val="left" w:leader="none"/>
        </w:tabs>
        <w:spacing w:before="0"/>
        <w:ind w:left="122" w:right="116" w:firstLine="0"/>
        <w:jc w:val="both"/>
        <w:rPr>
          <w:sz w:val="16"/>
        </w:rPr>
      </w:pPr>
      <w:r>
        <w:rPr>
          <w:position w:val="6"/>
          <w:sz w:val="10"/>
        </w:rPr>
        <w:t>270</w:t>
        <w:tab/>
      </w:r>
      <w:r>
        <w:rPr>
          <w:sz w:val="16"/>
        </w:rPr>
        <w:t>En</w:t>
      </w:r>
      <w:r>
        <w:rPr>
          <w:spacing w:val="16"/>
          <w:sz w:val="16"/>
        </w:rPr>
        <w:t> </w:t>
      </w:r>
      <w:r>
        <w:rPr>
          <w:sz w:val="16"/>
        </w:rPr>
        <w:t>su</w:t>
      </w:r>
      <w:r>
        <w:rPr>
          <w:spacing w:val="16"/>
          <w:sz w:val="16"/>
        </w:rPr>
        <w:t> </w:t>
      </w:r>
      <w:r>
        <w:rPr>
          <w:sz w:val="16"/>
        </w:rPr>
        <w:t>escrito</w:t>
      </w:r>
      <w:r>
        <w:rPr>
          <w:spacing w:val="15"/>
          <w:sz w:val="16"/>
        </w:rPr>
        <w:t> </w:t>
      </w:r>
      <w:r>
        <w:rPr>
          <w:sz w:val="16"/>
        </w:rPr>
        <w:t>de</w:t>
      </w:r>
      <w:r>
        <w:rPr>
          <w:spacing w:val="17"/>
          <w:sz w:val="16"/>
        </w:rPr>
        <w:t> </w:t>
      </w:r>
      <w:r>
        <w:rPr>
          <w:i/>
          <w:sz w:val="16"/>
        </w:rPr>
        <w:t>amicus</w:t>
      </w:r>
      <w:r>
        <w:rPr>
          <w:i/>
          <w:spacing w:val="14"/>
          <w:sz w:val="16"/>
        </w:rPr>
        <w:t> </w:t>
      </w:r>
      <w:r>
        <w:rPr>
          <w:i/>
          <w:sz w:val="16"/>
        </w:rPr>
        <w:t>curiae</w:t>
      </w:r>
      <w:r>
        <w:rPr>
          <w:sz w:val="16"/>
        </w:rPr>
        <w:t>,</w:t>
      </w:r>
      <w:r>
        <w:rPr>
          <w:spacing w:val="16"/>
          <w:sz w:val="16"/>
        </w:rPr>
        <w:t> </w:t>
      </w:r>
      <w:r>
        <w:rPr>
          <w:sz w:val="16"/>
        </w:rPr>
        <w:t>FARN</w:t>
      </w:r>
      <w:r>
        <w:rPr>
          <w:spacing w:val="16"/>
          <w:sz w:val="16"/>
        </w:rPr>
        <w:t> </w:t>
      </w:r>
      <w:r>
        <w:rPr>
          <w:sz w:val="16"/>
        </w:rPr>
        <w:t>indicó</w:t>
      </w:r>
      <w:r>
        <w:rPr>
          <w:spacing w:val="15"/>
          <w:sz w:val="16"/>
        </w:rPr>
        <w:t> </w:t>
      </w:r>
      <w:r>
        <w:rPr>
          <w:sz w:val="16"/>
        </w:rPr>
        <w:t>que</w:t>
      </w:r>
      <w:r>
        <w:rPr>
          <w:spacing w:val="14"/>
          <w:sz w:val="16"/>
        </w:rPr>
        <w:t> </w:t>
      </w:r>
      <w:r>
        <w:rPr>
          <w:sz w:val="16"/>
        </w:rPr>
        <w:t>“[l]a</w:t>
      </w:r>
      <w:r>
        <w:rPr>
          <w:spacing w:val="16"/>
          <w:sz w:val="16"/>
        </w:rPr>
        <w:t> </w:t>
      </w:r>
      <w:r>
        <w:rPr>
          <w:sz w:val="16"/>
        </w:rPr>
        <w:t>actividad</w:t>
      </w:r>
      <w:r>
        <w:rPr>
          <w:spacing w:val="17"/>
          <w:sz w:val="16"/>
        </w:rPr>
        <w:t> </w:t>
      </w:r>
      <w:r>
        <w:rPr>
          <w:sz w:val="16"/>
        </w:rPr>
        <w:t>antrópica</w:t>
      </w:r>
      <w:r>
        <w:rPr>
          <w:spacing w:val="14"/>
          <w:sz w:val="16"/>
        </w:rPr>
        <w:t> </w:t>
      </w:r>
      <w:r>
        <w:rPr>
          <w:sz w:val="16"/>
        </w:rPr>
        <w:t>en</w:t>
      </w:r>
      <w:r>
        <w:rPr>
          <w:spacing w:val="16"/>
          <w:sz w:val="16"/>
        </w:rPr>
        <w:t> </w:t>
      </w:r>
      <w:r>
        <w:rPr>
          <w:sz w:val="16"/>
        </w:rPr>
        <w:t>la</w:t>
      </w:r>
      <w:r>
        <w:rPr>
          <w:spacing w:val="14"/>
          <w:sz w:val="16"/>
        </w:rPr>
        <w:t> </w:t>
      </w:r>
      <w:r>
        <w:rPr>
          <w:sz w:val="16"/>
        </w:rPr>
        <w:t>zona</w:t>
      </w:r>
      <w:r>
        <w:rPr>
          <w:spacing w:val="14"/>
          <w:sz w:val="16"/>
        </w:rPr>
        <w:t> </w:t>
      </w:r>
      <w:r>
        <w:rPr>
          <w:sz w:val="16"/>
        </w:rPr>
        <w:t>[del</w:t>
      </w:r>
      <w:r>
        <w:rPr>
          <w:spacing w:val="16"/>
          <w:sz w:val="16"/>
        </w:rPr>
        <w:t> </w:t>
      </w:r>
      <w:r>
        <w:rPr>
          <w:sz w:val="16"/>
        </w:rPr>
        <w:t>caso]</w:t>
      </w:r>
      <w:r>
        <w:rPr>
          <w:spacing w:val="13"/>
          <w:sz w:val="16"/>
        </w:rPr>
        <w:t> </w:t>
      </w:r>
      <w:r>
        <w:rPr>
          <w:sz w:val="16"/>
        </w:rPr>
        <w:t>se</w:t>
      </w:r>
      <w:r>
        <w:rPr>
          <w:w w:val="100"/>
          <w:sz w:val="16"/>
        </w:rPr>
        <w:t> </w:t>
      </w:r>
      <w:r>
        <w:rPr>
          <w:sz w:val="16"/>
        </w:rPr>
        <w:t>realiza sin ningún tipo de supervisión o previsión, siendo preocupante los impactos que genera en el río y en su relación con la comunidad. Consideró que las “actividades de impacto en el río, […] podría[n] afectar [el] derecho al</w:t>
      </w:r>
      <w:r>
        <w:rPr>
          <w:spacing w:val="-5"/>
          <w:sz w:val="16"/>
        </w:rPr>
        <w:t> </w:t>
      </w:r>
      <w:r>
        <w:rPr>
          <w:sz w:val="16"/>
        </w:rPr>
        <w:t>agua”.</w:t>
      </w:r>
    </w:p>
    <w:p>
      <w:pPr>
        <w:pStyle w:val="BodyText"/>
        <w:spacing w:before="12"/>
        <w:rPr>
          <w:sz w:val="15"/>
        </w:rPr>
      </w:pPr>
    </w:p>
    <w:p>
      <w:pPr>
        <w:tabs>
          <w:tab w:pos="829" w:val="left" w:leader="none"/>
        </w:tabs>
        <w:spacing w:before="0"/>
        <w:ind w:left="122" w:right="116" w:firstLine="0"/>
        <w:jc w:val="both"/>
        <w:rPr>
          <w:sz w:val="16"/>
        </w:rPr>
      </w:pPr>
      <w:r>
        <w:rPr>
          <w:position w:val="6"/>
          <w:sz w:val="10"/>
        </w:rPr>
        <w:t>271</w:t>
        <w:tab/>
      </w:r>
      <w:r>
        <w:rPr>
          <w:i/>
          <w:sz w:val="16"/>
        </w:rPr>
        <w:t>Cfr. </w:t>
      </w:r>
      <w:r>
        <w:rPr>
          <w:sz w:val="16"/>
        </w:rPr>
        <w:t>Informe Comisión Asesora Honoraria. Expediente de prueba, anexo M.3 al escrito</w:t>
      </w:r>
      <w:r>
        <w:rPr>
          <w:spacing w:val="28"/>
          <w:sz w:val="16"/>
        </w:rPr>
        <w:t> </w:t>
      </w:r>
      <w:r>
        <w:rPr>
          <w:sz w:val="16"/>
        </w:rPr>
        <w:t>de</w:t>
      </w:r>
      <w:r>
        <w:rPr>
          <w:spacing w:val="1"/>
          <w:sz w:val="16"/>
        </w:rPr>
        <w:t> </w:t>
      </w:r>
      <w:r>
        <w:rPr>
          <w:sz w:val="16"/>
        </w:rPr>
        <w:t>solicitudes</w:t>
      </w:r>
      <w:r>
        <w:rPr>
          <w:w w:val="100"/>
          <w:sz w:val="16"/>
        </w:rPr>
        <w:t> </w:t>
      </w:r>
      <w:r>
        <w:rPr>
          <w:sz w:val="16"/>
        </w:rPr>
        <w:t>y argumentos, fs. 35.152 a</w:t>
      </w:r>
      <w:r>
        <w:rPr>
          <w:spacing w:val="-13"/>
          <w:sz w:val="16"/>
        </w:rPr>
        <w:t> </w:t>
      </w:r>
      <w:r>
        <w:rPr>
          <w:sz w:val="16"/>
        </w:rPr>
        <w:t>35.377.</w:t>
      </w:r>
    </w:p>
    <w:p>
      <w:pPr>
        <w:pStyle w:val="BodyText"/>
        <w:spacing w:before="12"/>
        <w:rPr>
          <w:sz w:val="15"/>
        </w:rPr>
      </w:pPr>
    </w:p>
    <w:p>
      <w:pPr>
        <w:tabs>
          <w:tab w:pos="829" w:val="left" w:leader="none"/>
        </w:tabs>
        <w:spacing w:line="240" w:lineRule="auto" w:before="0"/>
        <w:ind w:left="122" w:right="114" w:firstLine="0"/>
        <w:jc w:val="both"/>
        <w:rPr>
          <w:sz w:val="16"/>
        </w:rPr>
      </w:pPr>
      <w:r>
        <w:rPr>
          <w:position w:val="6"/>
          <w:sz w:val="10"/>
        </w:rPr>
        <w:t>272</w:t>
        <w:tab/>
      </w:r>
      <w:r>
        <w:rPr>
          <w:sz w:val="16"/>
        </w:rPr>
        <w:t>De</w:t>
      </w:r>
      <w:r>
        <w:rPr>
          <w:spacing w:val="-12"/>
          <w:sz w:val="16"/>
        </w:rPr>
        <w:t> </w:t>
      </w:r>
      <w:r>
        <w:rPr>
          <w:sz w:val="16"/>
        </w:rPr>
        <w:t>modo</w:t>
      </w:r>
      <w:r>
        <w:rPr>
          <w:spacing w:val="-11"/>
          <w:sz w:val="16"/>
        </w:rPr>
        <w:t> </w:t>
      </w:r>
      <w:r>
        <w:rPr>
          <w:sz w:val="16"/>
        </w:rPr>
        <w:t>adicional,</w:t>
      </w:r>
      <w:r>
        <w:rPr>
          <w:spacing w:val="-11"/>
          <w:sz w:val="16"/>
        </w:rPr>
        <w:t> </w:t>
      </w:r>
      <w:r>
        <w:rPr>
          <w:sz w:val="16"/>
        </w:rPr>
        <w:t>consta</w:t>
      </w:r>
      <w:r>
        <w:rPr>
          <w:spacing w:val="-10"/>
          <w:sz w:val="16"/>
        </w:rPr>
        <w:t> </w:t>
      </w:r>
      <w:r>
        <w:rPr>
          <w:sz w:val="16"/>
        </w:rPr>
        <w:t>una</w:t>
      </w:r>
      <w:r>
        <w:rPr>
          <w:spacing w:val="-13"/>
          <w:sz w:val="16"/>
        </w:rPr>
        <w:t> </w:t>
      </w:r>
      <w:r>
        <w:rPr>
          <w:sz w:val="16"/>
        </w:rPr>
        <w:t>nota</w:t>
      </w:r>
      <w:r>
        <w:rPr>
          <w:spacing w:val="-13"/>
          <w:sz w:val="16"/>
        </w:rPr>
        <w:t> </w:t>
      </w:r>
      <w:r>
        <w:rPr>
          <w:sz w:val="16"/>
        </w:rPr>
        <w:t>de</w:t>
      </w:r>
      <w:r>
        <w:rPr>
          <w:spacing w:val="-12"/>
          <w:sz w:val="16"/>
        </w:rPr>
        <w:t> </w:t>
      </w:r>
      <w:r>
        <w:rPr>
          <w:sz w:val="16"/>
        </w:rPr>
        <w:t>los</w:t>
      </w:r>
      <w:r>
        <w:rPr>
          <w:spacing w:val="-12"/>
          <w:sz w:val="16"/>
        </w:rPr>
        <w:t> </w:t>
      </w:r>
      <w:r>
        <w:rPr>
          <w:sz w:val="16"/>
        </w:rPr>
        <w:t>peticionarios</w:t>
      </w:r>
      <w:r>
        <w:rPr>
          <w:spacing w:val="-12"/>
          <w:sz w:val="16"/>
        </w:rPr>
        <w:t> </w:t>
      </w:r>
      <w:r>
        <w:rPr>
          <w:sz w:val="16"/>
        </w:rPr>
        <w:t>dirigida</w:t>
      </w:r>
      <w:r>
        <w:rPr>
          <w:spacing w:val="-10"/>
          <w:sz w:val="16"/>
        </w:rPr>
        <w:t> </w:t>
      </w:r>
      <w:r>
        <w:rPr>
          <w:sz w:val="16"/>
        </w:rPr>
        <w:t>a</w:t>
      </w:r>
      <w:r>
        <w:rPr>
          <w:spacing w:val="-13"/>
          <w:sz w:val="16"/>
        </w:rPr>
        <w:t> </w:t>
      </w:r>
      <w:r>
        <w:rPr>
          <w:sz w:val="16"/>
        </w:rPr>
        <w:t>la</w:t>
      </w:r>
      <w:r>
        <w:rPr>
          <w:spacing w:val="-13"/>
          <w:sz w:val="16"/>
        </w:rPr>
        <w:t> </w:t>
      </w:r>
      <w:r>
        <w:rPr>
          <w:sz w:val="16"/>
        </w:rPr>
        <w:t>Comisión</w:t>
      </w:r>
      <w:r>
        <w:rPr>
          <w:spacing w:val="-13"/>
          <w:sz w:val="16"/>
        </w:rPr>
        <w:t> </w:t>
      </w:r>
      <w:r>
        <w:rPr>
          <w:sz w:val="16"/>
        </w:rPr>
        <w:t>en</w:t>
      </w:r>
      <w:r>
        <w:rPr>
          <w:spacing w:val="-13"/>
          <w:sz w:val="16"/>
        </w:rPr>
        <w:t> </w:t>
      </w:r>
      <w:r>
        <w:rPr>
          <w:sz w:val="16"/>
        </w:rPr>
        <w:t>que</w:t>
      </w:r>
      <w:r>
        <w:rPr>
          <w:spacing w:val="-12"/>
          <w:sz w:val="16"/>
        </w:rPr>
        <w:t> </w:t>
      </w:r>
      <w:r>
        <w:rPr>
          <w:sz w:val="16"/>
        </w:rPr>
        <w:t>se</w:t>
      </w:r>
      <w:r>
        <w:rPr>
          <w:spacing w:val="-12"/>
          <w:sz w:val="16"/>
        </w:rPr>
        <w:t> </w:t>
      </w:r>
      <w:r>
        <w:rPr>
          <w:sz w:val="16"/>
        </w:rPr>
        <w:t>informa</w:t>
      </w:r>
      <w:r>
        <w:rPr>
          <w:spacing w:val="-13"/>
          <w:sz w:val="16"/>
        </w:rPr>
        <w:t> </w:t>
      </w:r>
      <w:r>
        <w:rPr>
          <w:sz w:val="16"/>
        </w:rPr>
        <w:t>sobre</w:t>
      </w:r>
      <w:r>
        <w:rPr>
          <w:w w:val="100"/>
          <w:sz w:val="16"/>
        </w:rPr>
        <w:t> </w:t>
      </w:r>
      <w:r>
        <w:rPr>
          <w:sz w:val="16"/>
        </w:rPr>
        <w:t>una</w:t>
      </w:r>
      <w:r>
        <w:rPr>
          <w:spacing w:val="-8"/>
          <w:sz w:val="16"/>
        </w:rPr>
        <w:t> </w:t>
      </w:r>
      <w:r>
        <w:rPr>
          <w:sz w:val="16"/>
        </w:rPr>
        <w:t>reunión</w:t>
      </w:r>
      <w:r>
        <w:rPr>
          <w:spacing w:val="-11"/>
          <w:sz w:val="16"/>
        </w:rPr>
        <w:t> </w:t>
      </w:r>
      <w:r>
        <w:rPr>
          <w:sz w:val="16"/>
        </w:rPr>
        <w:t>mantenida</w:t>
      </w:r>
      <w:r>
        <w:rPr>
          <w:spacing w:val="-10"/>
          <w:sz w:val="16"/>
        </w:rPr>
        <w:t> </w:t>
      </w:r>
      <w:r>
        <w:rPr>
          <w:sz w:val="16"/>
        </w:rPr>
        <w:t>el</w:t>
      </w:r>
      <w:r>
        <w:rPr>
          <w:spacing w:val="-10"/>
          <w:sz w:val="16"/>
        </w:rPr>
        <w:t> </w:t>
      </w:r>
      <w:r>
        <w:rPr>
          <w:sz w:val="16"/>
        </w:rPr>
        <w:t>6</w:t>
      </w:r>
      <w:r>
        <w:rPr>
          <w:spacing w:val="-9"/>
          <w:sz w:val="16"/>
        </w:rPr>
        <w:t> </w:t>
      </w:r>
      <w:r>
        <w:rPr>
          <w:sz w:val="16"/>
        </w:rPr>
        <w:t>de</w:t>
      </w:r>
      <w:r>
        <w:rPr>
          <w:spacing w:val="-10"/>
          <w:sz w:val="16"/>
        </w:rPr>
        <w:t> </w:t>
      </w:r>
      <w:r>
        <w:rPr>
          <w:sz w:val="16"/>
        </w:rPr>
        <w:t>febrero</w:t>
      </w:r>
      <w:r>
        <w:rPr>
          <w:spacing w:val="-9"/>
          <w:sz w:val="16"/>
        </w:rPr>
        <w:t> </w:t>
      </w:r>
      <w:r>
        <w:rPr>
          <w:sz w:val="16"/>
        </w:rPr>
        <w:t>de</w:t>
      </w:r>
      <w:r>
        <w:rPr>
          <w:spacing w:val="-10"/>
          <w:sz w:val="16"/>
        </w:rPr>
        <w:t> </w:t>
      </w:r>
      <w:r>
        <w:rPr>
          <w:sz w:val="16"/>
        </w:rPr>
        <w:t>2001,</w:t>
      </w:r>
      <w:r>
        <w:rPr>
          <w:spacing w:val="-11"/>
          <w:sz w:val="16"/>
        </w:rPr>
        <w:t> </w:t>
      </w:r>
      <w:r>
        <w:rPr>
          <w:sz w:val="16"/>
        </w:rPr>
        <w:t>en</w:t>
      </w:r>
      <w:r>
        <w:rPr>
          <w:spacing w:val="-11"/>
          <w:sz w:val="16"/>
        </w:rPr>
        <w:t> </w:t>
      </w:r>
      <w:r>
        <w:rPr>
          <w:sz w:val="16"/>
        </w:rPr>
        <w:t>la</w:t>
      </w:r>
      <w:r>
        <w:rPr>
          <w:spacing w:val="-10"/>
          <w:sz w:val="16"/>
        </w:rPr>
        <w:t> </w:t>
      </w:r>
      <w:r>
        <w:rPr>
          <w:sz w:val="16"/>
        </w:rPr>
        <w:t>que,</w:t>
      </w:r>
      <w:r>
        <w:rPr>
          <w:spacing w:val="-10"/>
          <w:sz w:val="16"/>
        </w:rPr>
        <w:t> </w:t>
      </w:r>
      <w:r>
        <w:rPr>
          <w:sz w:val="16"/>
        </w:rPr>
        <w:t>según</w:t>
      </w:r>
      <w:r>
        <w:rPr>
          <w:spacing w:val="-8"/>
          <w:sz w:val="16"/>
        </w:rPr>
        <w:t> </w:t>
      </w:r>
      <w:r>
        <w:rPr>
          <w:sz w:val="16"/>
        </w:rPr>
        <w:t>se</w:t>
      </w:r>
      <w:r>
        <w:rPr>
          <w:spacing w:val="-7"/>
          <w:sz w:val="16"/>
        </w:rPr>
        <w:t> </w:t>
      </w:r>
      <w:r>
        <w:rPr>
          <w:sz w:val="16"/>
        </w:rPr>
        <w:t>indicó,</w:t>
      </w:r>
      <w:r>
        <w:rPr>
          <w:spacing w:val="-11"/>
          <w:sz w:val="16"/>
        </w:rPr>
        <w:t> </w:t>
      </w:r>
      <w:r>
        <w:rPr>
          <w:sz w:val="16"/>
        </w:rPr>
        <w:t>“[e]l</w:t>
      </w:r>
      <w:r>
        <w:rPr>
          <w:spacing w:val="-11"/>
          <w:sz w:val="16"/>
        </w:rPr>
        <w:t> </w:t>
      </w:r>
      <w:r>
        <w:rPr>
          <w:sz w:val="16"/>
        </w:rPr>
        <w:t>Secretario</w:t>
      </w:r>
      <w:r>
        <w:rPr>
          <w:spacing w:val="-9"/>
          <w:sz w:val="16"/>
        </w:rPr>
        <w:t> </w:t>
      </w:r>
      <w:r>
        <w:rPr>
          <w:sz w:val="16"/>
        </w:rPr>
        <w:t>de</w:t>
      </w:r>
      <w:r>
        <w:rPr>
          <w:spacing w:val="-10"/>
          <w:sz w:val="16"/>
        </w:rPr>
        <w:t> </w:t>
      </w:r>
      <w:r>
        <w:rPr>
          <w:sz w:val="16"/>
        </w:rPr>
        <w:t>Medio</w:t>
      </w:r>
      <w:r>
        <w:rPr>
          <w:spacing w:val="-11"/>
          <w:sz w:val="16"/>
        </w:rPr>
        <w:t> </w:t>
      </w:r>
      <w:r>
        <w:rPr>
          <w:sz w:val="16"/>
        </w:rPr>
        <w:t>Ambiente y Desarrollo Sustentable reconoció expresamente que la tala de árboles que se lleva a cabo en los [l]otes</w:t>
      </w:r>
      <w:r>
        <w:rPr>
          <w:spacing w:val="-36"/>
          <w:sz w:val="16"/>
        </w:rPr>
        <w:t> </w:t>
      </w:r>
      <w:r>
        <w:rPr>
          <w:sz w:val="16"/>
        </w:rPr>
        <w:t>[…] 55 y 14 es ilegal” (</w:t>
      </w:r>
      <w:r>
        <w:rPr>
          <w:i/>
          <w:sz w:val="16"/>
        </w:rPr>
        <w:t>cfr. </w:t>
      </w:r>
      <w:r>
        <w:rPr>
          <w:sz w:val="16"/>
        </w:rPr>
        <w:t>Nota de la Comunidad indígena Lhaka Honhat a la Comisión, Anexo L.2 al escrito </w:t>
      </w:r>
      <w:r>
        <w:rPr>
          <w:spacing w:val="-3"/>
          <w:sz w:val="16"/>
        </w:rPr>
        <w:t>de </w:t>
      </w:r>
      <w:r>
        <w:rPr>
          <w:sz w:val="16"/>
        </w:rPr>
        <w:t>solicitudes y argumentos. de 21 de febrero de 2001, fs. 34.047 a</w:t>
      </w:r>
      <w:r>
        <w:rPr>
          <w:spacing w:val="-31"/>
          <w:sz w:val="16"/>
        </w:rPr>
        <w:t> </w:t>
      </w:r>
      <w:r>
        <w:rPr>
          <w:sz w:val="16"/>
        </w:rPr>
        <w:t>34.050).</w:t>
      </w:r>
    </w:p>
    <w:p>
      <w:pPr>
        <w:spacing w:after="0" w:line="240" w:lineRule="auto"/>
        <w:jc w:val="both"/>
        <w:rPr>
          <w:sz w:val="16"/>
        </w:rPr>
        <w:sectPr>
          <w:pgSz w:w="12240" w:h="15840"/>
          <w:pgMar w:header="0" w:footer="1000" w:top="1340" w:bottom="1200" w:left="1580" w:right="1580"/>
        </w:sectPr>
      </w:pPr>
    </w:p>
    <w:p>
      <w:pPr>
        <w:pStyle w:val="ListParagraph"/>
        <w:numPr>
          <w:ilvl w:val="0"/>
          <w:numId w:val="31"/>
        </w:numPr>
        <w:tabs>
          <w:tab w:pos="830" w:val="left" w:leader="none"/>
        </w:tabs>
        <w:spacing w:line="240" w:lineRule="auto" w:before="76" w:after="0"/>
        <w:ind w:left="122" w:right="123" w:firstLine="0"/>
        <w:jc w:val="both"/>
        <w:rPr>
          <w:sz w:val="20"/>
        </w:rPr>
      </w:pPr>
      <w:r>
        <w:rPr>
          <w:sz w:val="20"/>
        </w:rPr>
        <w:t>El Cacique Rogelio Segundo, en la audiencia pública ante este Tribunal, explicó que la tala es algo que “perjudica mucho al territorio” pues se “degrada el monte”, “no hay</w:t>
      </w:r>
      <w:r>
        <w:rPr>
          <w:spacing w:val="-10"/>
          <w:sz w:val="20"/>
        </w:rPr>
        <w:t> </w:t>
      </w:r>
      <w:r>
        <w:rPr>
          <w:sz w:val="20"/>
        </w:rPr>
        <w:t>flor</w:t>
      </w:r>
      <w:r>
        <w:rPr>
          <w:spacing w:val="-11"/>
          <w:sz w:val="20"/>
        </w:rPr>
        <w:t> </w:t>
      </w:r>
      <w:r>
        <w:rPr>
          <w:sz w:val="20"/>
        </w:rPr>
        <w:t>ni</w:t>
      </w:r>
      <w:r>
        <w:rPr>
          <w:spacing w:val="-10"/>
          <w:sz w:val="20"/>
        </w:rPr>
        <w:t> </w:t>
      </w:r>
      <w:r>
        <w:rPr>
          <w:sz w:val="20"/>
        </w:rPr>
        <w:t>fruta”,</w:t>
      </w:r>
      <w:r>
        <w:rPr>
          <w:spacing w:val="-11"/>
          <w:sz w:val="20"/>
        </w:rPr>
        <w:t> </w:t>
      </w:r>
      <w:r>
        <w:rPr>
          <w:sz w:val="20"/>
        </w:rPr>
        <w:t>hay</w:t>
      </w:r>
      <w:r>
        <w:rPr>
          <w:spacing w:val="-10"/>
          <w:sz w:val="20"/>
        </w:rPr>
        <w:t> </w:t>
      </w:r>
      <w:r>
        <w:rPr>
          <w:sz w:val="20"/>
        </w:rPr>
        <w:t>animales</w:t>
      </w:r>
      <w:r>
        <w:rPr>
          <w:spacing w:val="-11"/>
          <w:sz w:val="20"/>
        </w:rPr>
        <w:t> </w:t>
      </w:r>
      <w:r>
        <w:rPr>
          <w:sz w:val="20"/>
        </w:rPr>
        <w:t>que</w:t>
      </w:r>
      <w:r>
        <w:rPr>
          <w:spacing w:val="-9"/>
          <w:sz w:val="20"/>
        </w:rPr>
        <w:t> </w:t>
      </w:r>
      <w:r>
        <w:rPr>
          <w:sz w:val="20"/>
        </w:rPr>
        <w:t>se</w:t>
      </w:r>
      <w:r>
        <w:rPr>
          <w:spacing w:val="-12"/>
          <w:sz w:val="20"/>
        </w:rPr>
        <w:t> </w:t>
      </w:r>
      <w:r>
        <w:rPr>
          <w:sz w:val="20"/>
        </w:rPr>
        <w:t>van</w:t>
      </w:r>
      <w:r>
        <w:rPr>
          <w:spacing w:val="-7"/>
          <w:sz w:val="20"/>
        </w:rPr>
        <w:t> </w:t>
      </w:r>
      <w:r>
        <w:rPr>
          <w:sz w:val="20"/>
        </w:rPr>
        <w:t>y</w:t>
      </w:r>
      <w:r>
        <w:rPr>
          <w:spacing w:val="-11"/>
          <w:sz w:val="20"/>
        </w:rPr>
        <w:t> </w:t>
      </w:r>
      <w:r>
        <w:rPr>
          <w:sz w:val="20"/>
        </w:rPr>
        <w:t>menos</w:t>
      </w:r>
      <w:r>
        <w:rPr>
          <w:spacing w:val="-11"/>
          <w:sz w:val="20"/>
        </w:rPr>
        <w:t> </w:t>
      </w:r>
      <w:r>
        <w:rPr>
          <w:sz w:val="20"/>
        </w:rPr>
        <w:t>colmenas</w:t>
      </w:r>
      <w:r>
        <w:rPr>
          <w:spacing w:val="-11"/>
          <w:sz w:val="20"/>
        </w:rPr>
        <w:t> </w:t>
      </w:r>
      <w:r>
        <w:rPr>
          <w:sz w:val="20"/>
        </w:rPr>
        <w:t>para</w:t>
      </w:r>
      <w:r>
        <w:rPr>
          <w:spacing w:val="-10"/>
          <w:sz w:val="20"/>
        </w:rPr>
        <w:t> </w:t>
      </w:r>
      <w:r>
        <w:rPr>
          <w:sz w:val="20"/>
        </w:rPr>
        <w:t>recoger</w:t>
      </w:r>
      <w:r>
        <w:rPr>
          <w:spacing w:val="-11"/>
          <w:sz w:val="20"/>
        </w:rPr>
        <w:t> </w:t>
      </w:r>
      <w:r>
        <w:rPr>
          <w:sz w:val="20"/>
        </w:rPr>
        <w:t>miel.</w:t>
      </w:r>
      <w:r>
        <w:rPr>
          <w:spacing w:val="-11"/>
          <w:sz w:val="20"/>
        </w:rPr>
        <w:t> </w:t>
      </w:r>
      <w:r>
        <w:rPr>
          <w:sz w:val="20"/>
        </w:rPr>
        <w:t>Agregó que,</w:t>
      </w:r>
      <w:r>
        <w:rPr>
          <w:spacing w:val="-20"/>
          <w:sz w:val="20"/>
        </w:rPr>
        <w:t> </w:t>
      </w:r>
      <w:r>
        <w:rPr>
          <w:sz w:val="20"/>
        </w:rPr>
        <w:t>pese</w:t>
      </w:r>
      <w:r>
        <w:rPr>
          <w:spacing w:val="-19"/>
          <w:sz w:val="20"/>
        </w:rPr>
        <w:t> </w:t>
      </w:r>
      <w:r>
        <w:rPr>
          <w:sz w:val="20"/>
        </w:rPr>
        <w:t>a</w:t>
      </w:r>
      <w:r>
        <w:rPr>
          <w:spacing w:val="-18"/>
          <w:sz w:val="20"/>
        </w:rPr>
        <w:t> </w:t>
      </w:r>
      <w:r>
        <w:rPr>
          <w:sz w:val="20"/>
        </w:rPr>
        <w:t>las</w:t>
      </w:r>
      <w:r>
        <w:rPr>
          <w:spacing w:val="-18"/>
          <w:sz w:val="20"/>
        </w:rPr>
        <w:t> </w:t>
      </w:r>
      <w:r>
        <w:rPr>
          <w:sz w:val="20"/>
        </w:rPr>
        <w:t>denuncias</w:t>
      </w:r>
      <w:r>
        <w:rPr>
          <w:spacing w:val="-18"/>
          <w:sz w:val="20"/>
        </w:rPr>
        <w:t> </w:t>
      </w:r>
      <w:r>
        <w:rPr>
          <w:sz w:val="20"/>
        </w:rPr>
        <w:t>realizadas</w:t>
      </w:r>
      <w:r>
        <w:rPr>
          <w:spacing w:val="-18"/>
          <w:sz w:val="20"/>
        </w:rPr>
        <w:t> </w:t>
      </w:r>
      <w:r>
        <w:rPr>
          <w:sz w:val="20"/>
        </w:rPr>
        <w:t>ante</w:t>
      </w:r>
      <w:r>
        <w:rPr>
          <w:spacing w:val="-17"/>
          <w:sz w:val="20"/>
        </w:rPr>
        <w:t> </w:t>
      </w:r>
      <w:r>
        <w:rPr>
          <w:sz w:val="20"/>
        </w:rPr>
        <w:t>el</w:t>
      </w:r>
      <w:r>
        <w:rPr>
          <w:spacing w:val="-20"/>
          <w:sz w:val="20"/>
        </w:rPr>
        <w:t> </w:t>
      </w:r>
      <w:r>
        <w:rPr>
          <w:sz w:val="20"/>
        </w:rPr>
        <w:t>Estado,</w:t>
      </w:r>
      <w:r>
        <w:rPr>
          <w:spacing w:val="-18"/>
          <w:sz w:val="20"/>
        </w:rPr>
        <w:t> </w:t>
      </w:r>
      <w:r>
        <w:rPr>
          <w:sz w:val="20"/>
        </w:rPr>
        <w:t>no</w:t>
      </w:r>
      <w:r>
        <w:rPr>
          <w:spacing w:val="-19"/>
          <w:sz w:val="20"/>
        </w:rPr>
        <w:t> </w:t>
      </w:r>
      <w:r>
        <w:rPr>
          <w:sz w:val="20"/>
        </w:rPr>
        <w:t>han</w:t>
      </w:r>
      <w:r>
        <w:rPr>
          <w:spacing w:val="-19"/>
          <w:sz w:val="20"/>
        </w:rPr>
        <w:t> </w:t>
      </w:r>
      <w:r>
        <w:rPr>
          <w:sz w:val="20"/>
        </w:rPr>
        <w:t>logrado</w:t>
      </w:r>
      <w:r>
        <w:rPr>
          <w:spacing w:val="-19"/>
          <w:sz w:val="20"/>
        </w:rPr>
        <w:t> </w:t>
      </w:r>
      <w:r>
        <w:rPr>
          <w:sz w:val="20"/>
        </w:rPr>
        <w:t>frenar</w:t>
      </w:r>
      <w:r>
        <w:rPr>
          <w:spacing w:val="-18"/>
          <w:sz w:val="20"/>
        </w:rPr>
        <w:t> </w:t>
      </w:r>
      <w:r>
        <w:rPr>
          <w:sz w:val="20"/>
        </w:rPr>
        <w:t>esta</w:t>
      </w:r>
      <w:r>
        <w:rPr>
          <w:spacing w:val="-17"/>
          <w:sz w:val="20"/>
        </w:rPr>
        <w:t> </w:t>
      </w:r>
      <w:r>
        <w:rPr>
          <w:sz w:val="20"/>
        </w:rPr>
        <w:t>actividad, y</w:t>
      </w:r>
      <w:r>
        <w:rPr>
          <w:spacing w:val="-8"/>
          <w:sz w:val="20"/>
        </w:rPr>
        <w:t> </w:t>
      </w:r>
      <w:r>
        <w:rPr>
          <w:sz w:val="20"/>
        </w:rPr>
        <w:t>que</w:t>
      </w:r>
      <w:r>
        <w:rPr>
          <w:spacing w:val="-8"/>
          <w:sz w:val="20"/>
        </w:rPr>
        <w:t> </w:t>
      </w:r>
      <w:r>
        <w:rPr>
          <w:sz w:val="20"/>
        </w:rPr>
        <w:t>producto</w:t>
      </w:r>
      <w:r>
        <w:rPr>
          <w:spacing w:val="-8"/>
          <w:sz w:val="20"/>
        </w:rPr>
        <w:t> </w:t>
      </w:r>
      <w:r>
        <w:rPr>
          <w:sz w:val="20"/>
        </w:rPr>
        <w:t>de</w:t>
      </w:r>
      <w:r>
        <w:rPr>
          <w:spacing w:val="-7"/>
          <w:sz w:val="20"/>
        </w:rPr>
        <w:t> </w:t>
      </w:r>
      <w:r>
        <w:rPr>
          <w:sz w:val="20"/>
        </w:rPr>
        <w:t>la</w:t>
      </w:r>
      <w:r>
        <w:rPr>
          <w:spacing w:val="-8"/>
          <w:sz w:val="20"/>
        </w:rPr>
        <w:t> </w:t>
      </w:r>
      <w:r>
        <w:rPr>
          <w:sz w:val="20"/>
        </w:rPr>
        <w:t>misma,</w:t>
      </w:r>
      <w:r>
        <w:rPr>
          <w:spacing w:val="-8"/>
          <w:sz w:val="20"/>
        </w:rPr>
        <w:t> </w:t>
      </w:r>
      <w:r>
        <w:rPr>
          <w:sz w:val="20"/>
        </w:rPr>
        <w:t>se</w:t>
      </w:r>
      <w:r>
        <w:rPr>
          <w:spacing w:val="-8"/>
          <w:sz w:val="20"/>
        </w:rPr>
        <w:t> </w:t>
      </w:r>
      <w:r>
        <w:rPr>
          <w:sz w:val="20"/>
        </w:rPr>
        <w:t>han</w:t>
      </w:r>
      <w:r>
        <w:rPr>
          <w:spacing w:val="-7"/>
          <w:sz w:val="20"/>
        </w:rPr>
        <w:t> </w:t>
      </w:r>
      <w:r>
        <w:rPr>
          <w:sz w:val="20"/>
        </w:rPr>
        <w:t>generado</w:t>
      </w:r>
      <w:r>
        <w:rPr>
          <w:spacing w:val="-8"/>
          <w:sz w:val="20"/>
        </w:rPr>
        <w:t> </w:t>
      </w:r>
      <w:r>
        <w:rPr>
          <w:sz w:val="20"/>
        </w:rPr>
        <w:t>inundaciones.</w:t>
      </w:r>
      <w:r>
        <w:rPr>
          <w:spacing w:val="-4"/>
          <w:sz w:val="20"/>
        </w:rPr>
        <w:t> </w:t>
      </w:r>
      <w:r>
        <w:rPr>
          <w:sz w:val="20"/>
        </w:rPr>
        <w:t>El</w:t>
      </w:r>
      <w:r>
        <w:rPr>
          <w:spacing w:val="-8"/>
          <w:sz w:val="20"/>
        </w:rPr>
        <w:t> </w:t>
      </w:r>
      <w:r>
        <w:rPr>
          <w:sz w:val="20"/>
        </w:rPr>
        <w:t>Cacique</w:t>
      </w:r>
      <w:r>
        <w:rPr>
          <w:spacing w:val="-6"/>
          <w:sz w:val="20"/>
        </w:rPr>
        <w:t> </w:t>
      </w:r>
      <w:r>
        <w:rPr>
          <w:sz w:val="20"/>
        </w:rPr>
        <w:t>Francisco</w:t>
      </w:r>
      <w:r>
        <w:rPr>
          <w:spacing w:val="-7"/>
          <w:sz w:val="20"/>
        </w:rPr>
        <w:t> </w:t>
      </w:r>
      <w:r>
        <w:rPr>
          <w:sz w:val="20"/>
        </w:rPr>
        <w:t>Pérez, por su parte, señaló que “el Estado no controla, los criollos son los primeros que cortan y nosotros los caciques decimos ‘vamos a denunciar’, y nada, denunciar, denunciar y nada,</w:t>
      </w:r>
      <w:r>
        <w:rPr>
          <w:spacing w:val="-6"/>
          <w:sz w:val="20"/>
        </w:rPr>
        <w:t> </w:t>
      </w:r>
      <w:r>
        <w:rPr>
          <w:sz w:val="20"/>
        </w:rPr>
        <w:t>no</w:t>
      </w:r>
      <w:r>
        <w:rPr>
          <w:spacing w:val="-7"/>
          <w:sz w:val="20"/>
        </w:rPr>
        <w:t> </w:t>
      </w:r>
      <w:r>
        <w:rPr>
          <w:sz w:val="20"/>
        </w:rPr>
        <w:t>hay</w:t>
      </w:r>
      <w:r>
        <w:rPr>
          <w:spacing w:val="-6"/>
          <w:sz w:val="20"/>
        </w:rPr>
        <w:t> </w:t>
      </w:r>
      <w:r>
        <w:rPr>
          <w:sz w:val="20"/>
        </w:rPr>
        <w:t>respuesta”.</w:t>
      </w:r>
      <w:r>
        <w:rPr>
          <w:spacing w:val="-4"/>
          <w:sz w:val="20"/>
        </w:rPr>
        <w:t> </w:t>
      </w:r>
      <w:r>
        <w:rPr>
          <w:sz w:val="20"/>
        </w:rPr>
        <w:t>Tras</w:t>
      </w:r>
      <w:r>
        <w:rPr>
          <w:spacing w:val="-6"/>
          <w:sz w:val="20"/>
        </w:rPr>
        <w:t> </w:t>
      </w:r>
      <w:r>
        <w:rPr>
          <w:sz w:val="20"/>
        </w:rPr>
        <w:t>la</w:t>
      </w:r>
      <w:r>
        <w:rPr>
          <w:spacing w:val="-5"/>
          <w:sz w:val="20"/>
        </w:rPr>
        <w:t> </w:t>
      </w:r>
      <w:r>
        <w:rPr>
          <w:sz w:val="20"/>
        </w:rPr>
        <w:t>consulta</w:t>
      </w:r>
      <w:r>
        <w:rPr>
          <w:spacing w:val="-5"/>
          <w:sz w:val="20"/>
        </w:rPr>
        <w:t> </w:t>
      </w:r>
      <w:r>
        <w:rPr>
          <w:sz w:val="20"/>
        </w:rPr>
        <w:t>en</w:t>
      </w:r>
      <w:r>
        <w:rPr>
          <w:spacing w:val="-5"/>
          <w:sz w:val="20"/>
        </w:rPr>
        <w:t> </w:t>
      </w:r>
      <w:r>
        <w:rPr>
          <w:sz w:val="20"/>
        </w:rPr>
        <w:t>la</w:t>
      </w:r>
      <w:r>
        <w:rPr>
          <w:spacing w:val="-3"/>
          <w:sz w:val="20"/>
        </w:rPr>
        <w:t> </w:t>
      </w:r>
      <w:r>
        <w:rPr>
          <w:sz w:val="20"/>
        </w:rPr>
        <w:t>audiencia</w:t>
      </w:r>
      <w:r>
        <w:rPr>
          <w:spacing w:val="-5"/>
          <w:sz w:val="20"/>
        </w:rPr>
        <w:t> </w:t>
      </w:r>
      <w:r>
        <w:rPr>
          <w:sz w:val="20"/>
        </w:rPr>
        <w:t>pública</w:t>
      </w:r>
      <w:r>
        <w:rPr>
          <w:spacing w:val="-3"/>
          <w:sz w:val="20"/>
        </w:rPr>
        <w:t> </w:t>
      </w:r>
      <w:r>
        <w:rPr>
          <w:sz w:val="20"/>
        </w:rPr>
        <w:t>sobre</w:t>
      </w:r>
      <w:r>
        <w:rPr>
          <w:spacing w:val="-4"/>
          <w:sz w:val="20"/>
        </w:rPr>
        <w:t> </w:t>
      </w:r>
      <w:r>
        <w:rPr>
          <w:sz w:val="20"/>
        </w:rPr>
        <w:t>cómo</w:t>
      </w:r>
      <w:r>
        <w:rPr>
          <w:spacing w:val="-7"/>
          <w:sz w:val="20"/>
        </w:rPr>
        <w:t> </w:t>
      </w:r>
      <w:r>
        <w:rPr>
          <w:sz w:val="20"/>
        </w:rPr>
        <w:t>consiguen sus medicinas a raíz de la escasez de especies arbóreas típicas, el señor Pérez señaló que su sistema de medicina depende de los bosques y que “cuando [hay] lluvia crecen las</w:t>
      </w:r>
      <w:r>
        <w:rPr>
          <w:spacing w:val="-11"/>
          <w:sz w:val="20"/>
        </w:rPr>
        <w:t> </w:t>
      </w:r>
      <w:r>
        <w:rPr>
          <w:sz w:val="20"/>
        </w:rPr>
        <w:t>plantas</w:t>
      </w:r>
      <w:r>
        <w:rPr>
          <w:spacing w:val="-8"/>
          <w:sz w:val="20"/>
        </w:rPr>
        <w:t> </w:t>
      </w:r>
      <w:r>
        <w:rPr>
          <w:sz w:val="20"/>
        </w:rPr>
        <w:t>pero</w:t>
      </w:r>
      <w:r>
        <w:rPr>
          <w:spacing w:val="-9"/>
          <w:sz w:val="20"/>
        </w:rPr>
        <w:t> </w:t>
      </w:r>
      <w:r>
        <w:rPr>
          <w:sz w:val="20"/>
        </w:rPr>
        <w:t>el</w:t>
      </w:r>
      <w:r>
        <w:rPr>
          <w:spacing w:val="-8"/>
          <w:sz w:val="20"/>
        </w:rPr>
        <w:t> </w:t>
      </w:r>
      <w:r>
        <w:rPr>
          <w:sz w:val="20"/>
        </w:rPr>
        <w:t>problema</w:t>
      </w:r>
      <w:r>
        <w:rPr>
          <w:spacing w:val="-7"/>
          <w:sz w:val="20"/>
        </w:rPr>
        <w:t> </w:t>
      </w:r>
      <w:r>
        <w:rPr>
          <w:sz w:val="20"/>
        </w:rPr>
        <w:t>es</w:t>
      </w:r>
      <w:r>
        <w:rPr>
          <w:spacing w:val="-11"/>
          <w:sz w:val="20"/>
        </w:rPr>
        <w:t> </w:t>
      </w:r>
      <w:r>
        <w:rPr>
          <w:sz w:val="20"/>
        </w:rPr>
        <w:t>que</w:t>
      </w:r>
      <w:r>
        <w:rPr>
          <w:spacing w:val="-9"/>
          <w:sz w:val="20"/>
        </w:rPr>
        <w:t> </w:t>
      </w:r>
      <w:r>
        <w:rPr>
          <w:sz w:val="20"/>
        </w:rPr>
        <w:t>cuando</w:t>
      </w:r>
      <w:r>
        <w:rPr>
          <w:spacing w:val="-9"/>
          <w:sz w:val="20"/>
        </w:rPr>
        <w:t> </w:t>
      </w:r>
      <w:r>
        <w:rPr>
          <w:sz w:val="20"/>
        </w:rPr>
        <w:t>crece</w:t>
      </w:r>
      <w:r>
        <w:rPr>
          <w:spacing w:val="-12"/>
          <w:sz w:val="20"/>
        </w:rPr>
        <w:t> </w:t>
      </w:r>
      <w:r>
        <w:rPr>
          <w:sz w:val="20"/>
        </w:rPr>
        <w:t>la</w:t>
      </w:r>
      <w:r>
        <w:rPr>
          <w:spacing w:val="-8"/>
          <w:sz w:val="20"/>
        </w:rPr>
        <w:t> </w:t>
      </w:r>
      <w:r>
        <w:rPr>
          <w:sz w:val="20"/>
        </w:rPr>
        <w:t>planta,</w:t>
      </w:r>
      <w:r>
        <w:rPr>
          <w:spacing w:val="-8"/>
          <w:sz w:val="20"/>
        </w:rPr>
        <w:t> </w:t>
      </w:r>
      <w:r>
        <w:rPr>
          <w:sz w:val="20"/>
        </w:rPr>
        <w:t>tiernito,</w:t>
      </w:r>
      <w:r>
        <w:rPr>
          <w:spacing w:val="-9"/>
          <w:sz w:val="20"/>
        </w:rPr>
        <w:t> </w:t>
      </w:r>
      <w:r>
        <w:rPr>
          <w:sz w:val="20"/>
        </w:rPr>
        <w:t>vienen</w:t>
      </w:r>
      <w:r>
        <w:rPr>
          <w:spacing w:val="-9"/>
          <w:sz w:val="20"/>
        </w:rPr>
        <w:t> </w:t>
      </w:r>
      <w:r>
        <w:rPr>
          <w:sz w:val="20"/>
        </w:rPr>
        <w:t>los</w:t>
      </w:r>
      <w:r>
        <w:rPr>
          <w:spacing w:val="-9"/>
          <w:sz w:val="20"/>
        </w:rPr>
        <w:t> </w:t>
      </w:r>
      <w:r>
        <w:rPr>
          <w:sz w:val="20"/>
        </w:rPr>
        <w:t>animales y</w:t>
      </w:r>
      <w:r>
        <w:rPr>
          <w:spacing w:val="-10"/>
          <w:sz w:val="20"/>
        </w:rPr>
        <w:t> </w:t>
      </w:r>
      <w:r>
        <w:rPr>
          <w:sz w:val="20"/>
        </w:rPr>
        <w:t>comen</w:t>
      </w:r>
      <w:r>
        <w:rPr>
          <w:spacing w:val="-8"/>
          <w:sz w:val="20"/>
        </w:rPr>
        <w:t> </w:t>
      </w:r>
      <w:r>
        <w:rPr>
          <w:sz w:val="20"/>
        </w:rPr>
        <w:t>la</w:t>
      </w:r>
      <w:r>
        <w:rPr>
          <w:spacing w:val="-7"/>
          <w:sz w:val="20"/>
        </w:rPr>
        <w:t> </w:t>
      </w:r>
      <w:r>
        <w:rPr>
          <w:sz w:val="20"/>
        </w:rPr>
        <w:t>planta,</w:t>
      </w:r>
      <w:r>
        <w:rPr>
          <w:spacing w:val="-10"/>
          <w:sz w:val="20"/>
        </w:rPr>
        <w:t> </w:t>
      </w:r>
      <w:r>
        <w:rPr>
          <w:sz w:val="20"/>
        </w:rPr>
        <w:t>por</w:t>
      </w:r>
      <w:r>
        <w:rPr>
          <w:spacing w:val="-8"/>
          <w:sz w:val="20"/>
        </w:rPr>
        <w:t> </w:t>
      </w:r>
      <w:r>
        <w:rPr>
          <w:sz w:val="20"/>
        </w:rPr>
        <w:t>eso</w:t>
      </w:r>
      <w:r>
        <w:rPr>
          <w:spacing w:val="-9"/>
          <w:sz w:val="20"/>
        </w:rPr>
        <w:t> </w:t>
      </w:r>
      <w:r>
        <w:rPr>
          <w:sz w:val="20"/>
        </w:rPr>
        <w:t>no</w:t>
      </w:r>
      <w:r>
        <w:rPr>
          <w:spacing w:val="-8"/>
          <w:sz w:val="20"/>
        </w:rPr>
        <w:t> </w:t>
      </w:r>
      <w:r>
        <w:rPr>
          <w:sz w:val="20"/>
        </w:rPr>
        <w:t>hay.</w:t>
      </w:r>
      <w:r>
        <w:rPr>
          <w:spacing w:val="-8"/>
          <w:sz w:val="20"/>
        </w:rPr>
        <w:t> </w:t>
      </w:r>
      <w:r>
        <w:rPr>
          <w:sz w:val="20"/>
        </w:rPr>
        <w:t>Pensamos</w:t>
      </w:r>
      <w:r>
        <w:rPr>
          <w:spacing w:val="-10"/>
          <w:sz w:val="20"/>
        </w:rPr>
        <w:t> </w:t>
      </w:r>
      <w:r>
        <w:rPr>
          <w:sz w:val="20"/>
        </w:rPr>
        <w:t>que</w:t>
      </w:r>
      <w:r>
        <w:rPr>
          <w:spacing w:val="-8"/>
          <w:sz w:val="20"/>
        </w:rPr>
        <w:t> </w:t>
      </w:r>
      <w:r>
        <w:rPr>
          <w:sz w:val="20"/>
        </w:rPr>
        <w:t>si</w:t>
      </w:r>
      <w:r>
        <w:rPr>
          <w:spacing w:val="-5"/>
          <w:sz w:val="20"/>
        </w:rPr>
        <w:t> </w:t>
      </w:r>
      <w:r>
        <w:rPr>
          <w:sz w:val="20"/>
        </w:rPr>
        <w:t>[de]</w:t>
      </w:r>
      <w:r>
        <w:rPr>
          <w:spacing w:val="-8"/>
          <w:sz w:val="20"/>
        </w:rPr>
        <w:t> </w:t>
      </w:r>
      <w:r>
        <w:rPr>
          <w:sz w:val="20"/>
        </w:rPr>
        <w:t>una</w:t>
      </w:r>
      <w:r>
        <w:rPr>
          <w:spacing w:val="-9"/>
          <w:sz w:val="20"/>
        </w:rPr>
        <w:t> </w:t>
      </w:r>
      <w:r>
        <w:rPr>
          <w:sz w:val="20"/>
        </w:rPr>
        <w:t>vez</w:t>
      </w:r>
      <w:r>
        <w:rPr>
          <w:spacing w:val="-6"/>
          <w:sz w:val="20"/>
        </w:rPr>
        <w:t> </w:t>
      </w:r>
      <w:r>
        <w:rPr>
          <w:sz w:val="20"/>
        </w:rPr>
        <w:t>se</w:t>
      </w:r>
      <w:r>
        <w:rPr>
          <w:spacing w:val="-8"/>
          <w:sz w:val="20"/>
        </w:rPr>
        <w:t> </w:t>
      </w:r>
      <w:r>
        <w:rPr>
          <w:sz w:val="20"/>
        </w:rPr>
        <w:t>sacan</w:t>
      </w:r>
      <w:r>
        <w:rPr>
          <w:spacing w:val="-8"/>
          <w:sz w:val="20"/>
        </w:rPr>
        <w:t> </w:t>
      </w:r>
      <w:r>
        <w:rPr>
          <w:sz w:val="20"/>
        </w:rPr>
        <w:t>los</w:t>
      </w:r>
      <w:r>
        <w:rPr>
          <w:spacing w:val="-8"/>
          <w:sz w:val="20"/>
        </w:rPr>
        <w:t> </w:t>
      </w:r>
      <w:r>
        <w:rPr>
          <w:sz w:val="20"/>
        </w:rPr>
        <w:t>animales, en dos años podemos tener un hermoso</w:t>
      </w:r>
      <w:r>
        <w:rPr>
          <w:spacing w:val="-19"/>
          <w:sz w:val="20"/>
        </w:rPr>
        <w:t> </w:t>
      </w:r>
      <w:r>
        <w:rPr>
          <w:sz w:val="20"/>
        </w:rPr>
        <w:t>bosque”.</w:t>
      </w:r>
    </w:p>
    <w:p>
      <w:pPr>
        <w:pStyle w:val="BodyText"/>
        <w:spacing w:before="10"/>
        <w:rPr>
          <w:sz w:val="19"/>
        </w:rPr>
      </w:pPr>
    </w:p>
    <w:p>
      <w:pPr>
        <w:pStyle w:val="ListParagraph"/>
        <w:numPr>
          <w:ilvl w:val="0"/>
          <w:numId w:val="31"/>
        </w:numPr>
        <w:tabs>
          <w:tab w:pos="830" w:val="left" w:leader="none"/>
        </w:tabs>
        <w:spacing w:line="242" w:lineRule="auto" w:before="0" w:after="0"/>
        <w:ind w:left="122" w:right="122" w:firstLine="0"/>
        <w:jc w:val="both"/>
        <w:rPr>
          <w:sz w:val="20"/>
        </w:rPr>
      </w:pPr>
      <w:r>
        <w:rPr>
          <w:i/>
          <w:sz w:val="20"/>
        </w:rPr>
        <w:t>Alambrados.- </w:t>
      </w:r>
      <w:r>
        <w:rPr>
          <w:sz w:val="20"/>
        </w:rPr>
        <w:t>Respecto a los referidos alambrados, ya en 1991 las comunidades afirmaron</w:t>
      </w:r>
      <w:r>
        <w:rPr>
          <w:spacing w:val="-8"/>
          <w:sz w:val="20"/>
        </w:rPr>
        <w:t> </w:t>
      </w:r>
      <w:r>
        <w:rPr>
          <w:sz w:val="20"/>
        </w:rPr>
        <w:t>que</w:t>
      </w:r>
      <w:r>
        <w:rPr>
          <w:spacing w:val="-8"/>
          <w:sz w:val="20"/>
        </w:rPr>
        <w:t> </w:t>
      </w:r>
      <w:r>
        <w:rPr>
          <w:sz w:val="20"/>
        </w:rPr>
        <w:t>existían</w:t>
      </w:r>
      <w:r>
        <w:rPr>
          <w:spacing w:val="-8"/>
          <w:sz w:val="20"/>
        </w:rPr>
        <w:t> </w:t>
      </w:r>
      <w:r>
        <w:rPr>
          <w:sz w:val="20"/>
        </w:rPr>
        <w:t>alambrados</w:t>
      </w:r>
      <w:r>
        <w:rPr>
          <w:spacing w:val="-10"/>
          <w:sz w:val="20"/>
        </w:rPr>
        <w:t> </w:t>
      </w:r>
      <w:r>
        <w:rPr>
          <w:sz w:val="20"/>
        </w:rPr>
        <w:t>puestos</w:t>
      </w:r>
      <w:r>
        <w:rPr>
          <w:spacing w:val="-10"/>
          <w:sz w:val="20"/>
        </w:rPr>
        <w:t> </w:t>
      </w:r>
      <w:r>
        <w:rPr>
          <w:sz w:val="20"/>
        </w:rPr>
        <w:t>por</w:t>
      </w:r>
      <w:r>
        <w:rPr>
          <w:spacing w:val="-10"/>
          <w:sz w:val="20"/>
        </w:rPr>
        <w:t> </w:t>
      </w:r>
      <w:r>
        <w:rPr>
          <w:sz w:val="20"/>
        </w:rPr>
        <w:t>los</w:t>
      </w:r>
      <w:r>
        <w:rPr>
          <w:spacing w:val="-10"/>
          <w:sz w:val="20"/>
        </w:rPr>
        <w:t> </w:t>
      </w:r>
      <w:r>
        <w:rPr>
          <w:sz w:val="20"/>
        </w:rPr>
        <w:t>criollos.</w:t>
      </w:r>
      <w:r>
        <w:rPr>
          <w:spacing w:val="-10"/>
          <w:sz w:val="20"/>
        </w:rPr>
        <w:t> </w:t>
      </w:r>
      <w:r>
        <w:rPr>
          <w:sz w:val="20"/>
        </w:rPr>
        <w:t>Ese</w:t>
      </w:r>
      <w:r>
        <w:rPr>
          <w:spacing w:val="-10"/>
          <w:sz w:val="20"/>
        </w:rPr>
        <w:t> </w:t>
      </w:r>
      <w:r>
        <w:rPr>
          <w:sz w:val="20"/>
        </w:rPr>
        <w:t>año</w:t>
      </w:r>
      <w:r>
        <w:rPr>
          <w:spacing w:val="-10"/>
          <w:sz w:val="20"/>
        </w:rPr>
        <w:t> </w:t>
      </w:r>
      <w:r>
        <w:rPr>
          <w:sz w:val="20"/>
        </w:rPr>
        <w:t>indicaron</w:t>
      </w:r>
      <w:r>
        <w:rPr>
          <w:spacing w:val="-8"/>
          <w:sz w:val="20"/>
        </w:rPr>
        <w:t> </w:t>
      </w:r>
      <w:r>
        <w:rPr>
          <w:sz w:val="20"/>
        </w:rPr>
        <w:t>que</w:t>
      </w:r>
      <w:r>
        <w:rPr>
          <w:spacing w:val="-8"/>
          <w:sz w:val="20"/>
        </w:rPr>
        <w:t> </w:t>
      </w:r>
      <w:r>
        <w:rPr>
          <w:sz w:val="20"/>
        </w:rPr>
        <w:t>en</w:t>
      </w:r>
      <w:r>
        <w:rPr>
          <w:spacing w:val="-8"/>
          <w:sz w:val="20"/>
        </w:rPr>
        <w:t> </w:t>
      </w:r>
      <w:r>
        <w:rPr>
          <w:sz w:val="20"/>
        </w:rPr>
        <w:t>los diez años anteriores, los criollos ya t[enían muchos] kilómetros […] de alambrado, cortando el paso al río y al monte</w:t>
      </w:r>
      <w:r>
        <w:rPr>
          <w:rFonts w:ascii="Calibri" w:hAnsi="Calibri"/>
          <w:position w:val="8"/>
          <w:sz w:val="14"/>
        </w:rPr>
        <w:t>273</w:t>
      </w:r>
      <w:r>
        <w:rPr>
          <w:sz w:val="20"/>
        </w:rPr>
        <w:t>. El cacique Rogelio Segundo declaró que los alambrados</w:t>
      </w:r>
      <w:r>
        <w:rPr>
          <w:spacing w:val="-14"/>
          <w:sz w:val="20"/>
        </w:rPr>
        <w:t> </w:t>
      </w:r>
      <w:r>
        <w:rPr>
          <w:sz w:val="20"/>
        </w:rPr>
        <w:t>afectan</w:t>
      </w:r>
      <w:r>
        <w:rPr>
          <w:spacing w:val="-12"/>
          <w:sz w:val="20"/>
        </w:rPr>
        <w:t> </w:t>
      </w:r>
      <w:r>
        <w:rPr>
          <w:sz w:val="20"/>
        </w:rPr>
        <w:t>a</w:t>
      </w:r>
      <w:r>
        <w:rPr>
          <w:spacing w:val="-13"/>
          <w:sz w:val="20"/>
        </w:rPr>
        <w:t> </w:t>
      </w:r>
      <w:r>
        <w:rPr>
          <w:sz w:val="20"/>
        </w:rPr>
        <w:t>los</w:t>
      </w:r>
      <w:r>
        <w:rPr>
          <w:spacing w:val="-14"/>
          <w:sz w:val="20"/>
        </w:rPr>
        <w:t> </w:t>
      </w:r>
      <w:r>
        <w:rPr>
          <w:sz w:val="20"/>
        </w:rPr>
        <w:t>indígenas,</w:t>
      </w:r>
      <w:r>
        <w:rPr>
          <w:spacing w:val="-14"/>
          <w:sz w:val="20"/>
        </w:rPr>
        <w:t> </w:t>
      </w:r>
      <w:r>
        <w:rPr>
          <w:sz w:val="20"/>
        </w:rPr>
        <w:t>pues</w:t>
      </w:r>
      <w:r>
        <w:rPr>
          <w:spacing w:val="-14"/>
          <w:sz w:val="20"/>
        </w:rPr>
        <w:t> </w:t>
      </w:r>
      <w:r>
        <w:rPr>
          <w:sz w:val="20"/>
        </w:rPr>
        <w:t>les</w:t>
      </w:r>
      <w:r>
        <w:rPr>
          <w:spacing w:val="-14"/>
          <w:sz w:val="20"/>
        </w:rPr>
        <w:t> </w:t>
      </w:r>
      <w:r>
        <w:rPr>
          <w:sz w:val="20"/>
        </w:rPr>
        <w:t>obstaculiza</w:t>
      </w:r>
      <w:r>
        <w:rPr>
          <w:spacing w:val="-3"/>
          <w:sz w:val="20"/>
        </w:rPr>
        <w:t> </w:t>
      </w:r>
      <w:r>
        <w:rPr>
          <w:sz w:val="20"/>
        </w:rPr>
        <w:t>“caminar</w:t>
      </w:r>
      <w:r>
        <w:rPr>
          <w:spacing w:val="-14"/>
          <w:sz w:val="20"/>
        </w:rPr>
        <w:t> </w:t>
      </w:r>
      <w:r>
        <w:rPr>
          <w:sz w:val="20"/>
        </w:rPr>
        <w:t>libres</w:t>
      </w:r>
      <w:r>
        <w:rPr>
          <w:spacing w:val="-12"/>
          <w:sz w:val="20"/>
        </w:rPr>
        <w:t> </w:t>
      </w:r>
      <w:r>
        <w:rPr>
          <w:sz w:val="20"/>
        </w:rPr>
        <w:t>[…]</w:t>
      </w:r>
      <w:r>
        <w:rPr>
          <w:spacing w:val="-13"/>
          <w:sz w:val="20"/>
        </w:rPr>
        <w:t> </w:t>
      </w:r>
      <w:r>
        <w:rPr>
          <w:sz w:val="20"/>
        </w:rPr>
        <w:t>para</w:t>
      </w:r>
      <w:r>
        <w:rPr>
          <w:spacing w:val="-13"/>
          <w:sz w:val="20"/>
        </w:rPr>
        <w:t> </w:t>
      </w:r>
      <w:r>
        <w:rPr>
          <w:sz w:val="20"/>
        </w:rPr>
        <w:t>buscar el alimento”. Diversos actos, inclusive emanados del Estado (</w:t>
      </w:r>
      <w:r>
        <w:rPr>
          <w:i/>
          <w:sz w:val="20"/>
        </w:rPr>
        <w:t>infra </w:t>
      </w:r>
      <w:r>
        <w:rPr>
          <w:sz w:val="20"/>
        </w:rPr>
        <w:t>párrs. 267 y 268), denotan que la presencia de alambrados se ha mantenido en el curso de los</w:t>
      </w:r>
      <w:r>
        <w:rPr>
          <w:spacing w:val="-35"/>
          <w:sz w:val="20"/>
        </w:rPr>
        <w:t> </w:t>
      </w:r>
      <w:r>
        <w:rPr>
          <w:sz w:val="20"/>
        </w:rPr>
        <w:t>años.</w:t>
      </w:r>
    </w:p>
    <w:p>
      <w:pPr>
        <w:pStyle w:val="BodyText"/>
        <w:spacing w:before="8"/>
        <w:rPr>
          <w:sz w:val="19"/>
        </w:rPr>
      </w:pPr>
    </w:p>
    <w:p>
      <w:pPr>
        <w:pStyle w:val="ListParagraph"/>
        <w:numPr>
          <w:ilvl w:val="3"/>
          <w:numId w:val="33"/>
        </w:numPr>
        <w:tabs>
          <w:tab w:pos="2059" w:val="left" w:leader="none"/>
        </w:tabs>
        <w:spacing w:line="240" w:lineRule="auto" w:before="0" w:after="0"/>
        <w:ind w:left="2058" w:right="0" w:hanging="804"/>
        <w:jc w:val="left"/>
        <w:rPr>
          <w:i/>
          <w:sz w:val="20"/>
        </w:rPr>
      </w:pPr>
      <w:bookmarkStart w:name="_bookmark71" w:id="121"/>
      <w:bookmarkEnd w:id="121"/>
      <w:r>
        <w:rPr/>
      </w:r>
      <w:bookmarkStart w:name="_bookmark71" w:id="122"/>
      <w:bookmarkEnd w:id="122"/>
      <w:r>
        <w:rPr>
          <w:i/>
          <w:sz w:val="20"/>
        </w:rPr>
        <w:t>A</w:t>
      </w:r>
      <w:r>
        <w:rPr>
          <w:i/>
          <w:sz w:val="20"/>
        </w:rPr>
        <w:t>cciones desarrolladas por el</w:t>
      </w:r>
      <w:r>
        <w:rPr>
          <w:i/>
          <w:spacing w:val="-11"/>
          <w:sz w:val="20"/>
        </w:rPr>
        <w:t> </w:t>
      </w:r>
      <w:r>
        <w:rPr>
          <w:i/>
          <w:sz w:val="20"/>
        </w:rPr>
        <w:t>Estado</w:t>
      </w:r>
    </w:p>
    <w:p>
      <w:pPr>
        <w:pStyle w:val="BodyText"/>
        <w:rPr>
          <w:i/>
        </w:rPr>
      </w:pPr>
    </w:p>
    <w:p>
      <w:pPr>
        <w:pStyle w:val="ListParagraph"/>
        <w:numPr>
          <w:ilvl w:val="0"/>
          <w:numId w:val="31"/>
        </w:numPr>
        <w:tabs>
          <w:tab w:pos="830" w:val="left" w:leader="none"/>
        </w:tabs>
        <w:spacing w:line="244" w:lineRule="auto" w:before="1" w:after="0"/>
        <w:ind w:left="122" w:right="126" w:firstLine="0"/>
        <w:jc w:val="both"/>
        <w:rPr>
          <w:sz w:val="20"/>
        </w:rPr>
      </w:pPr>
      <w:r>
        <w:rPr>
          <w:sz w:val="20"/>
        </w:rPr>
        <w:t>En diversas oportunidades el Estado se comprometió a tomar acciones sobre los alambrados. En diciembre de 2000 afirmó que tomaría medidas para impedir su instalación y “ajustar” controles al respecto</w:t>
      </w:r>
      <w:r>
        <w:rPr>
          <w:rFonts w:ascii="Calibri" w:hAnsi="Calibri"/>
          <w:position w:val="8"/>
          <w:sz w:val="14"/>
        </w:rPr>
        <w:t>274</w:t>
      </w:r>
      <w:r>
        <w:rPr>
          <w:sz w:val="20"/>
        </w:rPr>
        <w:t>. Después, el 6 de febrero de 2001, la Provincia se comprometió a presentar un informe con relación al tendido ilegal de alambrados</w:t>
      </w:r>
      <w:r>
        <w:rPr>
          <w:rFonts w:ascii="Calibri" w:hAnsi="Calibri"/>
          <w:position w:val="8"/>
          <w:sz w:val="14"/>
        </w:rPr>
        <w:t>275</w:t>
      </w:r>
      <w:r>
        <w:rPr>
          <w:sz w:val="20"/>
        </w:rPr>
        <w:t>,</w:t>
      </w:r>
      <w:r>
        <w:rPr>
          <w:spacing w:val="-19"/>
          <w:sz w:val="20"/>
        </w:rPr>
        <w:t> </w:t>
      </w:r>
      <w:r>
        <w:rPr>
          <w:sz w:val="20"/>
        </w:rPr>
        <w:t>sin</w:t>
      </w:r>
      <w:r>
        <w:rPr>
          <w:spacing w:val="-18"/>
          <w:sz w:val="20"/>
        </w:rPr>
        <w:t> </w:t>
      </w:r>
      <w:r>
        <w:rPr>
          <w:sz w:val="20"/>
        </w:rPr>
        <w:t>que</w:t>
      </w:r>
      <w:r>
        <w:rPr>
          <w:spacing w:val="-18"/>
          <w:sz w:val="20"/>
        </w:rPr>
        <w:t> </w:t>
      </w:r>
      <w:r>
        <w:rPr>
          <w:sz w:val="20"/>
        </w:rPr>
        <w:t>conste</w:t>
      </w:r>
      <w:r>
        <w:rPr>
          <w:spacing w:val="-20"/>
          <w:sz w:val="20"/>
        </w:rPr>
        <w:t> </w:t>
      </w:r>
      <w:r>
        <w:rPr>
          <w:sz w:val="20"/>
        </w:rPr>
        <w:t>que</w:t>
      </w:r>
      <w:r>
        <w:rPr>
          <w:spacing w:val="-16"/>
          <w:sz w:val="20"/>
        </w:rPr>
        <w:t> </w:t>
      </w:r>
      <w:r>
        <w:rPr>
          <w:sz w:val="20"/>
        </w:rPr>
        <w:t>se</w:t>
      </w:r>
      <w:r>
        <w:rPr>
          <w:spacing w:val="-18"/>
          <w:sz w:val="20"/>
        </w:rPr>
        <w:t> </w:t>
      </w:r>
      <w:r>
        <w:rPr>
          <w:sz w:val="20"/>
        </w:rPr>
        <w:t>haya</w:t>
      </w:r>
      <w:r>
        <w:rPr>
          <w:spacing w:val="-17"/>
          <w:sz w:val="20"/>
        </w:rPr>
        <w:t> </w:t>
      </w:r>
      <w:r>
        <w:rPr>
          <w:sz w:val="20"/>
        </w:rPr>
        <w:t>efectuado.</w:t>
      </w:r>
      <w:r>
        <w:rPr>
          <w:spacing w:val="-19"/>
          <w:sz w:val="20"/>
        </w:rPr>
        <w:t> </w:t>
      </w:r>
      <w:r>
        <w:rPr>
          <w:sz w:val="20"/>
        </w:rPr>
        <w:t>El</w:t>
      </w:r>
      <w:r>
        <w:rPr>
          <w:spacing w:val="-16"/>
          <w:sz w:val="20"/>
        </w:rPr>
        <w:t> </w:t>
      </w:r>
      <w:r>
        <w:rPr>
          <w:sz w:val="20"/>
        </w:rPr>
        <w:t>2</w:t>
      </w:r>
      <w:r>
        <w:rPr>
          <w:spacing w:val="-18"/>
          <w:sz w:val="20"/>
        </w:rPr>
        <w:t> </w:t>
      </w:r>
      <w:r>
        <w:rPr>
          <w:sz w:val="20"/>
        </w:rPr>
        <w:t>de</w:t>
      </w:r>
      <w:r>
        <w:rPr>
          <w:spacing w:val="-20"/>
          <w:sz w:val="20"/>
        </w:rPr>
        <w:t> </w:t>
      </w:r>
      <w:r>
        <w:rPr>
          <w:sz w:val="20"/>
        </w:rPr>
        <w:t>agosto</w:t>
      </w:r>
      <w:r>
        <w:rPr>
          <w:spacing w:val="-20"/>
          <w:sz w:val="20"/>
        </w:rPr>
        <w:t> </w:t>
      </w:r>
      <w:r>
        <w:rPr>
          <w:sz w:val="20"/>
        </w:rPr>
        <w:t>de</w:t>
      </w:r>
      <w:r>
        <w:rPr>
          <w:spacing w:val="-20"/>
          <w:sz w:val="20"/>
        </w:rPr>
        <w:t> </w:t>
      </w:r>
      <w:r>
        <w:rPr>
          <w:sz w:val="20"/>
        </w:rPr>
        <w:t>2002</w:t>
      </w:r>
      <w:r>
        <w:rPr>
          <w:spacing w:val="-18"/>
          <w:sz w:val="20"/>
        </w:rPr>
        <w:t> </w:t>
      </w:r>
      <w:r>
        <w:rPr>
          <w:sz w:val="20"/>
        </w:rPr>
        <w:t>el</w:t>
      </w:r>
      <w:r>
        <w:rPr>
          <w:spacing w:val="-16"/>
          <w:sz w:val="20"/>
        </w:rPr>
        <w:t> </w:t>
      </w:r>
      <w:r>
        <w:rPr>
          <w:sz w:val="20"/>
        </w:rPr>
        <w:t>Ministerio de la Producción y el Empleo de Salta emitió la Resolución 295 en la que prohibió la instalación de alambrados en los lotes fiscales 14 y 55 hasta que culminara el proceso de regularización de tierras</w:t>
      </w:r>
      <w:r>
        <w:rPr>
          <w:rFonts w:ascii="Calibri" w:hAnsi="Calibri"/>
          <w:position w:val="8"/>
          <w:sz w:val="14"/>
        </w:rPr>
        <w:t>276</w:t>
      </w:r>
      <w:r>
        <w:rPr>
          <w:sz w:val="20"/>
        </w:rPr>
        <w:t>. En similar sentido, en 2014 aprobó el Decreto 1498/14 </w:t>
      </w:r>
      <w:r>
        <w:rPr>
          <w:i/>
          <w:sz w:val="20"/>
        </w:rPr>
        <w:t>(supra </w:t>
      </w:r>
      <w:r>
        <w:rPr>
          <w:sz w:val="20"/>
        </w:rPr>
        <w:t>párr. 80), que en su artículo 8 especificó que “[h]asta tanto no se delimite el territorio que les corresponde a las comunidades indígenas, y los lotes de las familias criollas,</w:t>
      </w:r>
      <w:r>
        <w:rPr>
          <w:spacing w:val="-22"/>
          <w:sz w:val="20"/>
        </w:rPr>
        <w:t> </w:t>
      </w:r>
      <w:r>
        <w:rPr>
          <w:sz w:val="20"/>
        </w:rPr>
        <w:t>no</w:t>
      </w:r>
      <w:r>
        <w:rPr>
          <w:spacing w:val="-22"/>
          <w:sz w:val="20"/>
        </w:rPr>
        <w:t> </w:t>
      </w:r>
      <w:r>
        <w:rPr>
          <w:sz w:val="20"/>
        </w:rPr>
        <w:t>podrán</w:t>
      </w:r>
      <w:r>
        <w:rPr>
          <w:spacing w:val="-20"/>
          <w:sz w:val="20"/>
        </w:rPr>
        <w:t> </w:t>
      </w:r>
      <w:r>
        <w:rPr>
          <w:sz w:val="20"/>
        </w:rPr>
        <w:t>construirse</w:t>
      </w:r>
      <w:r>
        <w:rPr>
          <w:spacing w:val="-22"/>
          <w:sz w:val="20"/>
        </w:rPr>
        <w:t> </w:t>
      </w:r>
      <w:r>
        <w:rPr>
          <w:sz w:val="20"/>
        </w:rPr>
        <w:t>nuevos</w:t>
      </w:r>
      <w:r>
        <w:rPr>
          <w:spacing w:val="-22"/>
          <w:sz w:val="20"/>
        </w:rPr>
        <w:t> </w:t>
      </w:r>
      <w:r>
        <w:rPr>
          <w:sz w:val="20"/>
        </w:rPr>
        <w:t>alambrados</w:t>
      </w:r>
      <w:r>
        <w:rPr>
          <w:spacing w:val="-22"/>
          <w:sz w:val="20"/>
        </w:rPr>
        <w:t> </w:t>
      </w:r>
      <w:r>
        <w:rPr>
          <w:sz w:val="20"/>
        </w:rPr>
        <w:t>ni</w:t>
      </w:r>
      <w:r>
        <w:rPr>
          <w:spacing w:val="-18"/>
          <w:sz w:val="20"/>
        </w:rPr>
        <w:t> </w:t>
      </w:r>
      <w:r>
        <w:rPr>
          <w:sz w:val="20"/>
        </w:rPr>
        <w:t>explotarse</w:t>
      </w:r>
      <w:r>
        <w:rPr>
          <w:spacing w:val="-20"/>
          <w:sz w:val="20"/>
        </w:rPr>
        <w:t> </w:t>
      </w:r>
      <w:r>
        <w:rPr>
          <w:sz w:val="20"/>
        </w:rPr>
        <w:t>recursos</w:t>
      </w:r>
      <w:r>
        <w:rPr>
          <w:spacing w:val="-22"/>
          <w:sz w:val="20"/>
        </w:rPr>
        <w:t> </w:t>
      </w:r>
      <w:r>
        <w:rPr>
          <w:sz w:val="20"/>
        </w:rPr>
        <w:t>forestales</w:t>
      </w:r>
      <w:r>
        <w:rPr>
          <w:spacing w:val="-19"/>
          <w:sz w:val="20"/>
        </w:rPr>
        <w:t> </w:t>
      </w:r>
      <w:r>
        <w:rPr>
          <w:sz w:val="20"/>
        </w:rPr>
        <w:t>fuera de las necesidades de</w:t>
      </w:r>
      <w:r>
        <w:rPr>
          <w:spacing w:val="-12"/>
          <w:sz w:val="20"/>
        </w:rPr>
        <w:t> </w:t>
      </w:r>
      <w:r>
        <w:rPr>
          <w:sz w:val="20"/>
        </w:rPr>
        <w:t>subsistencia”.</w:t>
      </w:r>
    </w:p>
    <w:p>
      <w:pPr>
        <w:pStyle w:val="BodyText"/>
        <w:spacing w:before="6"/>
        <w:rPr>
          <w:sz w:val="19"/>
        </w:rPr>
      </w:pPr>
    </w:p>
    <w:p>
      <w:pPr>
        <w:pStyle w:val="ListParagraph"/>
        <w:numPr>
          <w:ilvl w:val="0"/>
          <w:numId w:val="31"/>
        </w:numPr>
        <w:tabs>
          <w:tab w:pos="830" w:val="left" w:leader="none"/>
        </w:tabs>
        <w:spacing w:line="240" w:lineRule="auto" w:before="0" w:after="0"/>
        <w:ind w:left="122" w:right="122" w:firstLine="0"/>
        <w:jc w:val="both"/>
        <w:rPr>
          <w:sz w:val="20"/>
        </w:rPr>
      </w:pPr>
      <w:r>
        <w:rPr>
          <w:sz w:val="20"/>
        </w:rPr>
        <w:t>El Estado informó en su contestación que “[s]e continúa trabajando en la prevención y control de construcción de alambrados nuevos prohibidos en zona de reclamo indígena”, e informó que, luego de emitido el Informe de Fondo,  </w:t>
      </w:r>
      <w:r>
        <w:rPr>
          <w:spacing w:val="50"/>
          <w:sz w:val="20"/>
        </w:rPr>
        <w:t> </w:t>
      </w:r>
      <w:r>
        <w:rPr>
          <w:sz w:val="20"/>
        </w:rPr>
        <w:t>autoridades</w:t>
      </w:r>
    </w:p>
    <w:p>
      <w:pPr>
        <w:pStyle w:val="BodyText"/>
        <w:spacing w:before="6"/>
        <w:rPr>
          <w:sz w:val="10"/>
        </w:rPr>
      </w:pPr>
      <w:r>
        <w:rPr/>
        <w:pict>
          <v:line style="position:absolute;mso-position-horizontal-relative:page;mso-position-vertical-relative:paragraph;z-index:3136;mso-wrap-distance-left:0;mso-wrap-distance-right:0" from="85.103996pt,8.701040pt" to="229.123996pt,8.701040pt" stroked="true" strokeweight=".72003pt" strokecolor="#000000">
            <v:stroke dashstyle="solid"/>
            <w10:wrap type="topAndBottom"/>
          </v:line>
        </w:pict>
      </w:r>
    </w:p>
    <w:p>
      <w:pPr>
        <w:tabs>
          <w:tab w:pos="829" w:val="left" w:leader="none"/>
        </w:tabs>
        <w:spacing w:before="71"/>
        <w:ind w:left="122" w:right="114" w:firstLine="0"/>
        <w:jc w:val="both"/>
        <w:rPr>
          <w:sz w:val="16"/>
        </w:rPr>
      </w:pPr>
      <w:r>
        <w:rPr>
          <w:position w:val="6"/>
          <w:sz w:val="10"/>
        </w:rPr>
        <w:t>273</w:t>
        <w:tab/>
      </w:r>
      <w:r>
        <w:rPr>
          <w:i/>
          <w:sz w:val="16"/>
        </w:rPr>
        <w:t>Cfr. </w:t>
      </w:r>
      <w:r>
        <w:rPr>
          <w:sz w:val="16"/>
        </w:rPr>
        <w:t>Pedido de tierras de Lhaka Honhat de 28 de julio de 1991. Expediente de prueba, anexo </w:t>
      </w:r>
      <w:r>
        <w:rPr>
          <w:spacing w:val="43"/>
          <w:sz w:val="16"/>
        </w:rPr>
        <w:t> </w:t>
      </w:r>
      <w:r>
        <w:rPr>
          <w:sz w:val="16"/>
        </w:rPr>
        <w:t>K.2</w:t>
      </w:r>
      <w:r>
        <w:rPr>
          <w:spacing w:val="7"/>
          <w:sz w:val="16"/>
        </w:rPr>
        <w:t> </w:t>
      </w:r>
      <w:r>
        <w:rPr>
          <w:sz w:val="16"/>
        </w:rPr>
        <w:t>al</w:t>
      </w:r>
      <w:r>
        <w:rPr>
          <w:w w:val="100"/>
          <w:sz w:val="16"/>
        </w:rPr>
        <w:t> </w:t>
      </w:r>
      <w:r>
        <w:rPr>
          <w:sz w:val="16"/>
        </w:rPr>
        <w:t>escrito de solicitudes y argumentos, fs. 33.573 a</w:t>
      </w:r>
      <w:r>
        <w:rPr>
          <w:spacing w:val="-21"/>
          <w:sz w:val="16"/>
        </w:rPr>
        <w:t> </w:t>
      </w:r>
      <w:r>
        <w:rPr>
          <w:sz w:val="16"/>
        </w:rPr>
        <w:t>33.582.</w:t>
      </w:r>
    </w:p>
    <w:p>
      <w:pPr>
        <w:tabs>
          <w:tab w:pos="829" w:val="left" w:leader="none"/>
        </w:tabs>
        <w:spacing w:before="175"/>
        <w:ind w:left="122" w:right="117" w:firstLine="0"/>
        <w:jc w:val="both"/>
        <w:rPr>
          <w:sz w:val="16"/>
        </w:rPr>
      </w:pPr>
      <w:r>
        <w:rPr>
          <w:position w:val="6"/>
          <w:sz w:val="10"/>
        </w:rPr>
        <w:t>274</w:t>
        <w:tab/>
      </w:r>
      <w:r>
        <w:rPr>
          <w:i/>
          <w:sz w:val="16"/>
        </w:rPr>
        <w:t>Cfr.</w:t>
      </w:r>
      <w:r>
        <w:rPr>
          <w:i/>
          <w:spacing w:val="18"/>
          <w:sz w:val="16"/>
        </w:rPr>
        <w:t> </w:t>
      </w:r>
      <w:r>
        <w:rPr>
          <w:sz w:val="16"/>
        </w:rPr>
        <w:t>Acta</w:t>
      </w:r>
      <w:r>
        <w:rPr>
          <w:spacing w:val="17"/>
          <w:sz w:val="16"/>
        </w:rPr>
        <w:t> </w:t>
      </w:r>
      <w:r>
        <w:rPr>
          <w:sz w:val="16"/>
        </w:rPr>
        <w:t>de</w:t>
      </w:r>
      <w:r>
        <w:rPr>
          <w:spacing w:val="18"/>
          <w:sz w:val="16"/>
        </w:rPr>
        <w:t> </w:t>
      </w:r>
      <w:r>
        <w:rPr>
          <w:sz w:val="16"/>
        </w:rPr>
        <w:t>reunión</w:t>
      </w:r>
      <w:r>
        <w:rPr>
          <w:spacing w:val="17"/>
          <w:sz w:val="16"/>
        </w:rPr>
        <w:t> </w:t>
      </w:r>
      <w:r>
        <w:rPr>
          <w:sz w:val="16"/>
        </w:rPr>
        <w:t>de</w:t>
      </w:r>
      <w:r>
        <w:rPr>
          <w:spacing w:val="18"/>
          <w:sz w:val="16"/>
        </w:rPr>
        <w:t> </w:t>
      </w:r>
      <w:r>
        <w:rPr>
          <w:sz w:val="16"/>
        </w:rPr>
        <w:t>15</w:t>
      </w:r>
      <w:r>
        <w:rPr>
          <w:spacing w:val="19"/>
          <w:sz w:val="16"/>
        </w:rPr>
        <w:t> </w:t>
      </w:r>
      <w:r>
        <w:rPr>
          <w:sz w:val="16"/>
        </w:rPr>
        <w:t>de</w:t>
      </w:r>
      <w:r>
        <w:rPr>
          <w:spacing w:val="18"/>
          <w:sz w:val="16"/>
        </w:rPr>
        <w:t> </w:t>
      </w:r>
      <w:r>
        <w:rPr>
          <w:sz w:val="16"/>
        </w:rPr>
        <w:t>diciembre</w:t>
      </w:r>
      <w:r>
        <w:rPr>
          <w:spacing w:val="18"/>
          <w:sz w:val="16"/>
        </w:rPr>
        <w:t> </w:t>
      </w:r>
      <w:r>
        <w:rPr>
          <w:sz w:val="16"/>
        </w:rPr>
        <w:t>de</w:t>
      </w:r>
      <w:r>
        <w:rPr>
          <w:spacing w:val="16"/>
          <w:sz w:val="16"/>
        </w:rPr>
        <w:t> </w:t>
      </w:r>
      <w:r>
        <w:rPr>
          <w:sz w:val="16"/>
        </w:rPr>
        <w:t>2000.</w:t>
      </w:r>
      <w:r>
        <w:rPr>
          <w:spacing w:val="22"/>
          <w:sz w:val="16"/>
        </w:rPr>
        <w:t> </w:t>
      </w:r>
      <w:r>
        <w:rPr>
          <w:sz w:val="16"/>
        </w:rPr>
        <w:t>Expediente</w:t>
      </w:r>
      <w:r>
        <w:rPr>
          <w:spacing w:val="21"/>
          <w:sz w:val="16"/>
        </w:rPr>
        <w:t> </w:t>
      </w:r>
      <w:r>
        <w:rPr>
          <w:sz w:val="16"/>
        </w:rPr>
        <w:t>de</w:t>
      </w:r>
      <w:r>
        <w:rPr>
          <w:spacing w:val="18"/>
          <w:sz w:val="16"/>
        </w:rPr>
        <w:t> </w:t>
      </w:r>
      <w:r>
        <w:rPr>
          <w:sz w:val="16"/>
        </w:rPr>
        <w:t>prueba,</w:t>
      </w:r>
      <w:r>
        <w:rPr>
          <w:spacing w:val="19"/>
          <w:sz w:val="16"/>
        </w:rPr>
        <w:t> </w:t>
      </w:r>
      <w:r>
        <w:rPr>
          <w:sz w:val="16"/>
        </w:rPr>
        <w:t>anexo</w:t>
      </w:r>
      <w:r>
        <w:rPr>
          <w:spacing w:val="21"/>
          <w:sz w:val="16"/>
        </w:rPr>
        <w:t> </w:t>
      </w:r>
      <w:r>
        <w:rPr>
          <w:sz w:val="16"/>
        </w:rPr>
        <w:t>K.4</w:t>
      </w:r>
      <w:r>
        <w:rPr>
          <w:spacing w:val="21"/>
          <w:sz w:val="16"/>
        </w:rPr>
        <w:t> </w:t>
      </w:r>
      <w:r>
        <w:rPr>
          <w:sz w:val="16"/>
        </w:rPr>
        <w:t>al</w:t>
      </w:r>
      <w:r>
        <w:rPr>
          <w:spacing w:val="17"/>
          <w:sz w:val="16"/>
        </w:rPr>
        <w:t> </w:t>
      </w:r>
      <w:r>
        <w:rPr>
          <w:sz w:val="16"/>
        </w:rPr>
        <w:t>escrito</w:t>
      </w:r>
      <w:r>
        <w:rPr>
          <w:spacing w:val="19"/>
          <w:sz w:val="16"/>
        </w:rPr>
        <w:t> </w:t>
      </w:r>
      <w:r>
        <w:rPr>
          <w:sz w:val="16"/>
        </w:rPr>
        <w:t>de</w:t>
      </w:r>
      <w:r>
        <w:rPr>
          <w:w w:val="100"/>
          <w:sz w:val="16"/>
        </w:rPr>
        <w:t> </w:t>
      </w:r>
      <w:r>
        <w:rPr>
          <w:sz w:val="16"/>
        </w:rPr>
        <w:t>solicitudes y argumentos, fs. 33.586 a</w:t>
      </w:r>
      <w:r>
        <w:rPr>
          <w:spacing w:val="-15"/>
          <w:sz w:val="16"/>
        </w:rPr>
        <w:t> </w:t>
      </w:r>
      <w:r>
        <w:rPr>
          <w:sz w:val="16"/>
        </w:rPr>
        <w:t>33.588.</w:t>
      </w:r>
    </w:p>
    <w:p>
      <w:pPr>
        <w:pStyle w:val="BodyText"/>
        <w:spacing w:before="11"/>
        <w:rPr>
          <w:sz w:val="15"/>
        </w:rPr>
      </w:pPr>
    </w:p>
    <w:p>
      <w:pPr>
        <w:tabs>
          <w:tab w:pos="829" w:val="left" w:leader="none"/>
        </w:tabs>
        <w:spacing w:before="0"/>
        <w:ind w:left="122" w:right="121" w:firstLine="0"/>
        <w:jc w:val="both"/>
        <w:rPr>
          <w:sz w:val="16"/>
        </w:rPr>
      </w:pPr>
      <w:r>
        <w:rPr>
          <w:position w:val="6"/>
          <w:sz w:val="10"/>
        </w:rPr>
        <w:t>275</w:t>
        <w:tab/>
      </w:r>
      <w:r>
        <w:rPr>
          <w:i/>
          <w:sz w:val="16"/>
        </w:rPr>
        <w:t>Cfr.</w:t>
      </w:r>
      <w:r>
        <w:rPr>
          <w:i/>
          <w:spacing w:val="16"/>
          <w:sz w:val="16"/>
        </w:rPr>
        <w:t> </w:t>
      </w:r>
      <w:r>
        <w:rPr>
          <w:sz w:val="16"/>
        </w:rPr>
        <w:t>Nota</w:t>
      </w:r>
      <w:r>
        <w:rPr>
          <w:spacing w:val="16"/>
          <w:sz w:val="16"/>
        </w:rPr>
        <w:t> </w:t>
      </w:r>
      <w:r>
        <w:rPr>
          <w:sz w:val="16"/>
        </w:rPr>
        <w:t>a</w:t>
      </w:r>
      <w:r>
        <w:rPr>
          <w:spacing w:val="16"/>
          <w:sz w:val="16"/>
        </w:rPr>
        <w:t> </w:t>
      </w:r>
      <w:r>
        <w:rPr>
          <w:sz w:val="16"/>
        </w:rPr>
        <w:t>la</w:t>
      </w:r>
      <w:r>
        <w:rPr>
          <w:spacing w:val="14"/>
          <w:sz w:val="16"/>
        </w:rPr>
        <w:t> </w:t>
      </w:r>
      <w:r>
        <w:rPr>
          <w:sz w:val="16"/>
        </w:rPr>
        <w:t>Comisión</w:t>
      </w:r>
      <w:r>
        <w:rPr>
          <w:spacing w:val="16"/>
          <w:sz w:val="16"/>
        </w:rPr>
        <w:t> </w:t>
      </w:r>
      <w:r>
        <w:rPr>
          <w:sz w:val="16"/>
        </w:rPr>
        <w:t>de</w:t>
      </w:r>
      <w:r>
        <w:rPr>
          <w:spacing w:val="14"/>
          <w:sz w:val="16"/>
        </w:rPr>
        <w:t> </w:t>
      </w:r>
      <w:r>
        <w:rPr>
          <w:sz w:val="16"/>
        </w:rPr>
        <w:t>21</w:t>
      </w:r>
      <w:r>
        <w:rPr>
          <w:spacing w:val="17"/>
          <w:sz w:val="16"/>
        </w:rPr>
        <w:t> </w:t>
      </w:r>
      <w:r>
        <w:rPr>
          <w:sz w:val="16"/>
        </w:rPr>
        <w:t>de</w:t>
      </w:r>
      <w:r>
        <w:rPr>
          <w:spacing w:val="17"/>
          <w:sz w:val="16"/>
        </w:rPr>
        <w:t> </w:t>
      </w:r>
      <w:r>
        <w:rPr>
          <w:sz w:val="16"/>
        </w:rPr>
        <w:t>febrero</w:t>
      </w:r>
      <w:r>
        <w:rPr>
          <w:spacing w:val="15"/>
          <w:sz w:val="16"/>
        </w:rPr>
        <w:t> </w:t>
      </w:r>
      <w:r>
        <w:rPr>
          <w:sz w:val="16"/>
        </w:rPr>
        <w:t>de</w:t>
      </w:r>
      <w:r>
        <w:rPr>
          <w:spacing w:val="14"/>
          <w:sz w:val="16"/>
        </w:rPr>
        <w:t> </w:t>
      </w:r>
      <w:r>
        <w:rPr>
          <w:sz w:val="16"/>
        </w:rPr>
        <w:t>2001.</w:t>
      </w:r>
      <w:r>
        <w:rPr>
          <w:spacing w:val="16"/>
          <w:sz w:val="16"/>
        </w:rPr>
        <w:t> </w:t>
      </w:r>
      <w:r>
        <w:rPr>
          <w:sz w:val="16"/>
        </w:rPr>
        <w:t>Expediente</w:t>
      </w:r>
      <w:r>
        <w:rPr>
          <w:spacing w:val="17"/>
          <w:sz w:val="16"/>
        </w:rPr>
        <w:t> </w:t>
      </w:r>
      <w:r>
        <w:rPr>
          <w:sz w:val="16"/>
        </w:rPr>
        <w:t>de</w:t>
      </w:r>
      <w:r>
        <w:rPr>
          <w:spacing w:val="14"/>
          <w:sz w:val="16"/>
        </w:rPr>
        <w:t> </w:t>
      </w:r>
      <w:r>
        <w:rPr>
          <w:sz w:val="16"/>
        </w:rPr>
        <w:t>prueba,</w:t>
      </w:r>
      <w:r>
        <w:rPr>
          <w:spacing w:val="16"/>
          <w:sz w:val="16"/>
        </w:rPr>
        <w:t> </w:t>
      </w:r>
      <w:r>
        <w:rPr>
          <w:sz w:val="16"/>
        </w:rPr>
        <w:t>anexo</w:t>
      </w:r>
      <w:r>
        <w:rPr>
          <w:spacing w:val="17"/>
          <w:sz w:val="16"/>
        </w:rPr>
        <w:t> </w:t>
      </w:r>
      <w:r>
        <w:rPr>
          <w:sz w:val="16"/>
        </w:rPr>
        <w:t>K.5</w:t>
      </w:r>
      <w:r>
        <w:rPr>
          <w:spacing w:val="15"/>
          <w:sz w:val="16"/>
        </w:rPr>
        <w:t> </w:t>
      </w:r>
      <w:r>
        <w:rPr>
          <w:sz w:val="16"/>
        </w:rPr>
        <w:t>al</w:t>
      </w:r>
      <w:r>
        <w:rPr>
          <w:spacing w:val="16"/>
          <w:sz w:val="16"/>
        </w:rPr>
        <w:t> </w:t>
      </w:r>
      <w:r>
        <w:rPr>
          <w:sz w:val="16"/>
        </w:rPr>
        <w:t>escrito</w:t>
      </w:r>
      <w:r>
        <w:rPr>
          <w:spacing w:val="17"/>
          <w:sz w:val="16"/>
        </w:rPr>
        <w:t> </w:t>
      </w:r>
      <w:r>
        <w:rPr>
          <w:spacing w:val="-3"/>
          <w:sz w:val="16"/>
        </w:rPr>
        <w:t>de</w:t>
      </w:r>
      <w:r>
        <w:rPr>
          <w:w w:val="100"/>
          <w:sz w:val="16"/>
        </w:rPr>
        <w:t> </w:t>
      </w:r>
      <w:r>
        <w:rPr>
          <w:sz w:val="16"/>
        </w:rPr>
        <w:t>solicitudes y argumentos, fs. 33.589 a</w:t>
      </w:r>
      <w:r>
        <w:rPr>
          <w:spacing w:val="-15"/>
          <w:sz w:val="16"/>
        </w:rPr>
        <w:t> </w:t>
      </w:r>
      <w:r>
        <w:rPr>
          <w:sz w:val="16"/>
        </w:rPr>
        <w:t>33.592.</w:t>
      </w:r>
    </w:p>
    <w:p>
      <w:pPr>
        <w:pStyle w:val="BodyText"/>
        <w:spacing w:before="11"/>
        <w:rPr>
          <w:sz w:val="15"/>
        </w:rPr>
      </w:pPr>
    </w:p>
    <w:p>
      <w:pPr>
        <w:tabs>
          <w:tab w:pos="829" w:val="left" w:leader="none"/>
        </w:tabs>
        <w:spacing w:line="240" w:lineRule="auto" w:before="0"/>
        <w:ind w:left="122" w:right="118" w:firstLine="0"/>
        <w:jc w:val="both"/>
        <w:rPr>
          <w:sz w:val="16"/>
        </w:rPr>
      </w:pPr>
      <w:r>
        <w:rPr>
          <w:position w:val="6"/>
          <w:sz w:val="10"/>
        </w:rPr>
        <w:t>276</w:t>
        <w:tab/>
      </w:r>
      <w:r>
        <w:rPr>
          <w:i/>
          <w:sz w:val="16"/>
        </w:rPr>
        <w:t>Cfr.</w:t>
      </w:r>
      <w:r>
        <w:rPr>
          <w:i/>
          <w:spacing w:val="-10"/>
          <w:sz w:val="16"/>
        </w:rPr>
        <w:t> </w:t>
      </w:r>
      <w:r>
        <w:rPr>
          <w:sz w:val="16"/>
        </w:rPr>
        <w:t>Resolución</w:t>
      </w:r>
      <w:r>
        <w:rPr>
          <w:spacing w:val="-11"/>
          <w:sz w:val="16"/>
        </w:rPr>
        <w:t> </w:t>
      </w:r>
      <w:r>
        <w:rPr>
          <w:sz w:val="16"/>
        </w:rPr>
        <w:t>295</w:t>
      </w:r>
      <w:r>
        <w:rPr>
          <w:spacing w:val="-9"/>
          <w:sz w:val="16"/>
        </w:rPr>
        <w:t> </w:t>
      </w:r>
      <w:r>
        <w:rPr>
          <w:sz w:val="16"/>
        </w:rPr>
        <w:t>de</w:t>
      </w:r>
      <w:r>
        <w:rPr>
          <w:spacing w:val="-12"/>
          <w:sz w:val="16"/>
        </w:rPr>
        <w:t> </w:t>
      </w:r>
      <w:r>
        <w:rPr>
          <w:sz w:val="16"/>
        </w:rPr>
        <w:t>2</w:t>
      </w:r>
      <w:r>
        <w:rPr>
          <w:spacing w:val="-9"/>
          <w:sz w:val="16"/>
        </w:rPr>
        <w:t> </w:t>
      </w:r>
      <w:r>
        <w:rPr>
          <w:sz w:val="16"/>
        </w:rPr>
        <w:t>de</w:t>
      </w:r>
      <w:r>
        <w:rPr>
          <w:spacing w:val="-10"/>
          <w:sz w:val="16"/>
        </w:rPr>
        <w:t> </w:t>
      </w:r>
      <w:r>
        <w:rPr>
          <w:sz w:val="16"/>
        </w:rPr>
        <w:t>agosto</w:t>
      </w:r>
      <w:r>
        <w:rPr>
          <w:spacing w:val="-9"/>
          <w:sz w:val="16"/>
        </w:rPr>
        <w:t> </w:t>
      </w:r>
      <w:r>
        <w:rPr>
          <w:sz w:val="16"/>
        </w:rPr>
        <w:t>de</w:t>
      </w:r>
      <w:r>
        <w:rPr>
          <w:spacing w:val="-10"/>
          <w:sz w:val="16"/>
        </w:rPr>
        <w:t> </w:t>
      </w:r>
      <w:r>
        <w:rPr>
          <w:sz w:val="16"/>
        </w:rPr>
        <w:t>2002.</w:t>
      </w:r>
      <w:r>
        <w:rPr>
          <w:spacing w:val="-11"/>
          <w:sz w:val="16"/>
        </w:rPr>
        <w:t> </w:t>
      </w:r>
      <w:r>
        <w:rPr>
          <w:sz w:val="16"/>
        </w:rPr>
        <w:t>Expediente</w:t>
      </w:r>
      <w:r>
        <w:rPr>
          <w:spacing w:val="-12"/>
          <w:sz w:val="16"/>
        </w:rPr>
        <w:t> </w:t>
      </w:r>
      <w:r>
        <w:rPr>
          <w:sz w:val="16"/>
        </w:rPr>
        <w:t>de</w:t>
      </w:r>
      <w:r>
        <w:rPr>
          <w:spacing w:val="-10"/>
          <w:sz w:val="16"/>
        </w:rPr>
        <w:t> </w:t>
      </w:r>
      <w:r>
        <w:rPr>
          <w:sz w:val="16"/>
        </w:rPr>
        <w:t>prueba,</w:t>
      </w:r>
      <w:r>
        <w:rPr>
          <w:spacing w:val="-11"/>
          <w:sz w:val="16"/>
        </w:rPr>
        <w:t> </w:t>
      </w:r>
      <w:r>
        <w:rPr>
          <w:sz w:val="16"/>
        </w:rPr>
        <w:t>anexo</w:t>
      </w:r>
      <w:r>
        <w:rPr>
          <w:spacing w:val="-9"/>
          <w:sz w:val="16"/>
        </w:rPr>
        <w:t> </w:t>
      </w:r>
      <w:r>
        <w:rPr>
          <w:sz w:val="16"/>
        </w:rPr>
        <w:t>K.6</w:t>
      </w:r>
      <w:r>
        <w:rPr>
          <w:spacing w:val="-9"/>
          <w:sz w:val="16"/>
        </w:rPr>
        <w:t> </w:t>
      </w:r>
      <w:r>
        <w:rPr>
          <w:sz w:val="16"/>
        </w:rPr>
        <w:t>al</w:t>
      </w:r>
      <w:r>
        <w:rPr>
          <w:spacing w:val="-11"/>
          <w:sz w:val="16"/>
        </w:rPr>
        <w:t> </w:t>
      </w:r>
      <w:r>
        <w:rPr>
          <w:sz w:val="16"/>
        </w:rPr>
        <w:t>escrito</w:t>
      </w:r>
      <w:r>
        <w:rPr>
          <w:spacing w:val="-9"/>
          <w:sz w:val="16"/>
        </w:rPr>
        <w:t> </w:t>
      </w:r>
      <w:r>
        <w:rPr>
          <w:sz w:val="16"/>
        </w:rPr>
        <w:t>de</w:t>
      </w:r>
      <w:r>
        <w:rPr>
          <w:spacing w:val="-12"/>
          <w:sz w:val="16"/>
        </w:rPr>
        <w:t> </w:t>
      </w:r>
      <w:r>
        <w:rPr>
          <w:sz w:val="16"/>
        </w:rPr>
        <w:t>solicitudes</w:t>
      </w:r>
      <w:r>
        <w:rPr>
          <w:w w:val="100"/>
          <w:sz w:val="16"/>
        </w:rPr>
        <w:t> </w:t>
      </w:r>
      <w:r>
        <w:rPr>
          <w:sz w:val="16"/>
        </w:rPr>
        <w:t>y argumentos, fs. 33.593 a 33.594. La misma señala en su artículo 1 “Dejar establecido que en virtud del proceso</w:t>
      </w:r>
      <w:r>
        <w:rPr>
          <w:spacing w:val="-5"/>
          <w:sz w:val="16"/>
        </w:rPr>
        <w:t> </w:t>
      </w:r>
      <w:r>
        <w:rPr>
          <w:sz w:val="16"/>
        </w:rPr>
        <w:t>de</w:t>
      </w:r>
      <w:r>
        <w:rPr>
          <w:spacing w:val="-6"/>
          <w:sz w:val="16"/>
        </w:rPr>
        <w:t> </w:t>
      </w:r>
      <w:r>
        <w:rPr>
          <w:sz w:val="16"/>
        </w:rPr>
        <w:t>regularización</w:t>
      </w:r>
      <w:r>
        <w:rPr>
          <w:spacing w:val="-4"/>
          <w:sz w:val="16"/>
        </w:rPr>
        <w:t> </w:t>
      </w:r>
      <w:r>
        <w:rPr>
          <w:sz w:val="16"/>
        </w:rPr>
        <w:t>territorial</w:t>
      </w:r>
      <w:r>
        <w:rPr>
          <w:spacing w:val="-4"/>
          <w:sz w:val="16"/>
        </w:rPr>
        <w:t> </w:t>
      </w:r>
      <w:r>
        <w:rPr>
          <w:sz w:val="16"/>
        </w:rPr>
        <w:t>de</w:t>
      </w:r>
      <w:r>
        <w:rPr>
          <w:spacing w:val="-6"/>
          <w:sz w:val="16"/>
        </w:rPr>
        <w:t> </w:t>
      </w:r>
      <w:r>
        <w:rPr>
          <w:sz w:val="16"/>
        </w:rPr>
        <w:t>los</w:t>
      </w:r>
      <w:r>
        <w:rPr>
          <w:spacing w:val="-6"/>
          <w:sz w:val="16"/>
        </w:rPr>
        <w:t> </w:t>
      </w:r>
      <w:r>
        <w:rPr>
          <w:sz w:val="16"/>
        </w:rPr>
        <w:t>Lotes</w:t>
      </w:r>
      <w:r>
        <w:rPr>
          <w:spacing w:val="-6"/>
          <w:sz w:val="16"/>
        </w:rPr>
        <w:t> </w:t>
      </w:r>
      <w:r>
        <w:rPr>
          <w:sz w:val="16"/>
        </w:rPr>
        <w:t>Fiscales</w:t>
      </w:r>
      <w:r>
        <w:rPr>
          <w:spacing w:val="-3"/>
          <w:sz w:val="16"/>
        </w:rPr>
        <w:t> </w:t>
      </w:r>
      <w:r>
        <w:rPr>
          <w:sz w:val="16"/>
        </w:rPr>
        <w:t>Números</w:t>
      </w:r>
      <w:r>
        <w:rPr>
          <w:spacing w:val="-6"/>
          <w:sz w:val="16"/>
        </w:rPr>
        <w:t> </w:t>
      </w:r>
      <w:r>
        <w:rPr>
          <w:sz w:val="16"/>
        </w:rPr>
        <w:t>55</w:t>
      </w:r>
      <w:r>
        <w:rPr>
          <w:spacing w:val="-5"/>
          <w:sz w:val="16"/>
        </w:rPr>
        <w:t> </w:t>
      </w:r>
      <w:r>
        <w:rPr>
          <w:sz w:val="16"/>
        </w:rPr>
        <w:t>y</w:t>
      </w:r>
      <w:r>
        <w:rPr>
          <w:spacing w:val="-5"/>
          <w:sz w:val="16"/>
        </w:rPr>
        <w:t> </w:t>
      </w:r>
      <w:r>
        <w:rPr>
          <w:sz w:val="16"/>
        </w:rPr>
        <w:t>14,</w:t>
      </w:r>
      <w:r>
        <w:rPr>
          <w:spacing w:val="-5"/>
          <w:sz w:val="16"/>
        </w:rPr>
        <w:t> </w:t>
      </w:r>
      <w:r>
        <w:rPr>
          <w:sz w:val="16"/>
        </w:rPr>
        <w:t>los</w:t>
      </w:r>
      <w:r>
        <w:rPr>
          <w:spacing w:val="-6"/>
          <w:sz w:val="16"/>
        </w:rPr>
        <w:t> </w:t>
      </w:r>
      <w:r>
        <w:rPr>
          <w:sz w:val="16"/>
        </w:rPr>
        <w:t>ocupantes</w:t>
      </w:r>
      <w:r>
        <w:rPr>
          <w:spacing w:val="-6"/>
          <w:sz w:val="16"/>
        </w:rPr>
        <w:t> </w:t>
      </w:r>
      <w:r>
        <w:rPr>
          <w:sz w:val="16"/>
        </w:rPr>
        <w:t>deberán</w:t>
      </w:r>
      <w:r>
        <w:rPr>
          <w:spacing w:val="-5"/>
          <w:sz w:val="16"/>
        </w:rPr>
        <w:t> </w:t>
      </w:r>
      <w:r>
        <w:rPr>
          <w:sz w:val="16"/>
        </w:rPr>
        <w:t>abstenerse de efectuar todo nuevo cerramiento con alambrados o elementos similares hasta tanto culmine el citado proceso de regularización de la situación de los</w:t>
      </w:r>
      <w:r>
        <w:rPr>
          <w:spacing w:val="-16"/>
          <w:sz w:val="16"/>
        </w:rPr>
        <w:t> </w:t>
      </w:r>
      <w:r>
        <w:rPr>
          <w:sz w:val="16"/>
        </w:rPr>
        <w:t>predios”.</w:t>
      </w:r>
    </w:p>
    <w:p>
      <w:pPr>
        <w:spacing w:after="0" w:line="240" w:lineRule="auto"/>
        <w:jc w:val="both"/>
        <w:rPr>
          <w:sz w:val="16"/>
        </w:rPr>
        <w:sectPr>
          <w:pgSz w:w="12240" w:h="15840"/>
          <w:pgMar w:header="0" w:footer="1000" w:top="1340" w:bottom="1200" w:left="1580" w:right="1580"/>
        </w:sectPr>
      </w:pPr>
    </w:p>
    <w:p>
      <w:pPr>
        <w:pStyle w:val="BodyText"/>
        <w:spacing w:line="242" w:lineRule="auto" w:before="76"/>
        <w:ind w:left="122" w:right="123"/>
        <w:jc w:val="both"/>
      </w:pPr>
      <w:r>
        <w:rPr/>
        <w:t>provinciales</w:t>
      </w:r>
      <w:r>
        <w:rPr>
          <w:spacing w:val="-12"/>
        </w:rPr>
        <w:t> </w:t>
      </w:r>
      <w:r>
        <w:rPr/>
        <w:t>adoptaron</w:t>
      </w:r>
      <w:r>
        <w:rPr>
          <w:spacing w:val="-10"/>
        </w:rPr>
        <w:t> </w:t>
      </w:r>
      <w:r>
        <w:rPr/>
        <w:t>un</w:t>
      </w:r>
      <w:r>
        <w:rPr>
          <w:spacing w:val="-10"/>
        </w:rPr>
        <w:t> </w:t>
      </w:r>
      <w:r>
        <w:rPr/>
        <w:t>“Protocolo</w:t>
      </w:r>
      <w:r>
        <w:rPr>
          <w:spacing w:val="-12"/>
        </w:rPr>
        <w:t> </w:t>
      </w:r>
      <w:r>
        <w:rPr/>
        <w:t>de</w:t>
      </w:r>
      <w:r>
        <w:rPr>
          <w:spacing w:val="-13"/>
        </w:rPr>
        <w:t> </w:t>
      </w:r>
      <w:r>
        <w:rPr/>
        <w:t>Actuación</w:t>
      </w:r>
      <w:r>
        <w:rPr>
          <w:spacing w:val="-10"/>
        </w:rPr>
        <w:t> </w:t>
      </w:r>
      <w:r>
        <w:rPr/>
        <w:t>para</w:t>
      </w:r>
      <w:r>
        <w:rPr>
          <w:spacing w:val="-11"/>
        </w:rPr>
        <w:t> </w:t>
      </w:r>
      <w:r>
        <w:rPr/>
        <w:t>el</w:t>
      </w:r>
      <w:r>
        <w:rPr>
          <w:spacing w:val="-11"/>
        </w:rPr>
        <w:t> </w:t>
      </w:r>
      <w:r>
        <w:rPr/>
        <w:t>Fortalecimiento</w:t>
      </w:r>
      <w:r>
        <w:rPr>
          <w:spacing w:val="-12"/>
        </w:rPr>
        <w:t> </w:t>
      </w:r>
      <w:r>
        <w:rPr/>
        <w:t>del</w:t>
      </w:r>
      <w:r>
        <w:rPr>
          <w:spacing w:val="-11"/>
        </w:rPr>
        <w:t> </w:t>
      </w:r>
      <w:r>
        <w:rPr/>
        <w:t>Control</w:t>
      </w:r>
      <w:r>
        <w:rPr>
          <w:spacing w:val="-11"/>
        </w:rPr>
        <w:t> </w:t>
      </w:r>
      <w:r>
        <w:rPr/>
        <w:t>de los Alambrados”, que establece acciones de prevención o control a partir de denuncias formales.</w:t>
      </w:r>
      <w:r>
        <w:rPr>
          <w:spacing w:val="-11"/>
        </w:rPr>
        <w:t> </w:t>
      </w:r>
      <w:r>
        <w:rPr/>
        <w:t>Afirmó</w:t>
      </w:r>
      <w:r>
        <w:rPr>
          <w:spacing w:val="-11"/>
        </w:rPr>
        <w:t> </w:t>
      </w:r>
      <w:r>
        <w:rPr/>
        <w:t>que</w:t>
      </w:r>
      <w:r>
        <w:rPr>
          <w:spacing w:val="-12"/>
        </w:rPr>
        <w:t> </w:t>
      </w:r>
      <w:r>
        <w:rPr/>
        <w:t>“[a]</w:t>
      </w:r>
      <w:r>
        <w:rPr>
          <w:spacing w:val="-10"/>
        </w:rPr>
        <w:t> </w:t>
      </w:r>
      <w:r>
        <w:rPr/>
        <w:t>diciembre</w:t>
      </w:r>
      <w:r>
        <w:rPr>
          <w:spacing w:val="-12"/>
        </w:rPr>
        <w:t> </w:t>
      </w:r>
      <w:r>
        <w:rPr/>
        <w:t>de</w:t>
      </w:r>
      <w:r>
        <w:rPr>
          <w:spacing w:val="-12"/>
        </w:rPr>
        <w:t> </w:t>
      </w:r>
      <w:r>
        <w:rPr/>
        <w:t>2017”,</w:t>
      </w:r>
      <w:r>
        <w:rPr>
          <w:spacing w:val="-8"/>
        </w:rPr>
        <w:t> </w:t>
      </w:r>
      <w:r>
        <w:rPr/>
        <w:t>no</w:t>
      </w:r>
      <w:r>
        <w:rPr>
          <w:spacing w:val="-11"/>
        </w:rPr>
        <w:t> </w:t>
      </w:r>
      <w:r>
        <w:rPr/>
        <w:t>se</w:t>
      </w:r>
      <w:r>
        <w:rPr>
          <w:spacing w:val="-12"/>
        </w:rPr>
        <w:t> </w:t>
      </w:r>
      <w:r>
        <w:rPr/>
        <w:t>había</w:t>
      </w:r>
      <w:r>
        <w:rPr>
          <w:spacing w:val="-10"/>
        </w:rPr>
        <w:t> </w:t>
      </w:r>
      <w:r>
        <w:rPr/>
        <w:t>recibido</w:t>
      </w:r>
      <w:r>
        <w:rPr>
          <w:spacing w:val="-9"/>
        </w:rPr>
        <w:t> </w:t>
      </w:r>
      <w:r>
        <w:rPr/>
        <w:t>ninguna</w:t>
      </w:r>
      <w:r>
        <w:rPr>
          <w:spacing w:val="-10"/>
        </w:rPr>
        <w:t> </w:t>
      </w:r>
      <w:r>
        <w:rPr/>
        <w:t>denuncia</w:t>
      </w:r>
      <w:r>
        <w:rPr>
          <w:spacing w:val="-10"/>
        </w:rPr>
        <w:t> </w:t>
      </w:r>
      <w:r>
        <w:rPr/>
        <w:t>de instalación de nuevos alambrados, y que “en los distintos casos en que tuvo conocimiento […] de la existencia de alambrados nuevos, construidos en la zona de reclamo indígena, se instaron las acciones administrativas y judiciales”. No </w:t>
      </w:r>
      <w:r>
        <w:rPr>
          <w:spacing w:val="4"/>
        </w:rPr>
        <w:t>dio </w:t>
      </w:r>
      <w:r>
        <w:rPr/>
        <w:t>cuenta de la cantidad y resultados de esas acciones. En abril de 2018, existían numerosos alambrados</w:t>
      </w:r>
      <w:r>
        <w:rPr>
          <w:spacing w:val="-14"/>
        </w:rPr>
        <w:t> </w:t>
      </w:r>
      <w:r>
        <w:rPr/>
        <w:t>en</w:t>
      </w:r>
      <w:r>
        <w:rPr>
          <w:spacing w:val="-13"/>
        </w:rPr>
        <w:t> </w:t>
      </w:r>
      <w:r>
        <w:rPr/>
        <w:t>territorio</w:t>
      </w:r>
      <w:r>
        <w:rPr>
          <w:spacing w:val="-13"/>
        </w:rPr>
        <w:t> </w:t>
      </w:r>
      <w:r>
        <w:rPr/>
        <w:t>indígena</w:t>
      </w:r>
      <w:r>
        <w:rPr>
          <w:rFonts w:ascii="Calibri" w:hAnsi="Calibri"/>
          <w:position w:val="8"/>
          <w:sz w:val="14"/>
        </w:rPr>
        <w:t>277</w:t>
      </w:r>
      <w:r>
        <w:rPr/>
        <w:t>,</w:t>
      </w:r>
      <w:r>
        <w:rPr>
          <w:spacing w:val="-14"/>
        </w:rPr>
        <w:t> </w:t>
      </w:r>
      <w:r>
        <w:rPr/>
        <w:t>y</w:t>
      </w:r>
      <w:r>
        <w:rPr>
          <w:spacing w:val="-14"/>
        </w:rPr>
        <w:t> </w:t>
      </w:r>
      <w:r>
        <w:rPr/>
        <w:t>se</w:t>
      </w:r>
      <w:r>
        <w:rPr>
          <w:spacing w:val="-15"/>
        </w:rPr>
        <w:t> </w:t>
      </w:r>
      <w:r>
        <w:rPr/>
        <w:t>observaron</w:t>
      </w:r>
      <w:r>
        <w:rPr>
          <w:spacing w:val="-13"/>
        </w:rPr>
        <w:t> </w:t>
      </w:r>
      <w:r>
        <w:rPr/>
        <w:t>alambrados</w:t>
      </w:r>
      <w:r>
        <w:rPr>
          <w:spacing w:val="-14"/>
        </w:rPr>
        <w:t> </w:t>
      </w:r>
      <w:r>
        <w:rPr/>
        <w:t>durante</w:t>
      </w:r>
      <w:r>
        <w:rPr>
          <w:spacing w:val="-15"/>
        </w:rPr>
        <w:t> </w:t>
      </w:r>
      <w:r>
        <w:rPr/>
        <w:t>la</w:t>
      </w:r>
      <w:r>
        <w:rPr>
          <w:spacing w:val="-13"/>
        </w:rPr>
        <w:t> </w:t>
      </w:r>
      <w:r>
        <w:rPr/>
        <w:t>visita</w:t>
      </w:r>
      <w:r>
        <w:rPr>
          <w:spacing w:val="-9"/>
        </w:rPr>
        <w:t> </w:t>
      </w:r>
      <w:r>
        <w:rPr>
          <w:i/>
        </w:rPr>
        <w:t>in</w:t>
      </w:r>
      <w:r>
        <w:rPr>
          <w:i/>
          <w:spacing w:val="-13"/>
        </w:rPr>
        <w:t> </w:t>
      </w:r>
      <w:r>
        <w:rPr>
          <w:i/>
        </w:rPr>
        <w:t>situ </w:t>
      </w:r>
      <w:r>
        <w:rPr/>
        <w:t>de mayo de 2019 (</w:t>
      </w:r>
      <w:r>
        <w:rPr>
          <w:i/>
        </w:rPr>
        <w:t>supra </w:t>
      </w:r>
      <w:r>
        <w:rPr/>
        <w:t>párr.</w:t>
      </w:r>
      <w:r>
        <w:rPr>
          <w:spacing w:val="-12"/>
        </w:rPr>
        <w:t> </w:t>
      </w:r>
      <w:r>
        <w:rPr/>
        <w:t>10).</w:t>
      </w:r>
    </w:p>
    <w:p>
      <w:pPr>
        <w:pStyle w:val="BodyText"/>
        <w:spacing w:before="10"/>
        <w:rPr>
          <w:sz w:val="19"/>
        </w:rPr>
      </w:pPr>
    </w:p>
    <w:p>
      <w:pPr>
        <w:pStyle w:val="ListParagraph"/>
        <w:numPr>
          <w:ilvl w:val="0"/>
          <w:numId w:val="31"/>
        </w:numPr>
        <w:tabs>
          <w:tab w:pos="830" w:val="left" w:leader="none"/>
        </w:tabs>
        <w:spacing w:line="240" w:lineRule="auto" w:before="0" w:after="0"/>
        <w:ind w:left="122" w:right="120" w:firstLine="0"/>
        <w:jc w:val="both"/>
        <w:rPr>
          <w:sz w:val="20"/>
        </w:rPr>
      </w:pPr>
      <w:r>
        <w:rPr>
          <w:sz w:val="20"/>
        </w:rPr>
        <w:t>Sobre la tala ilegal, el Estado adoptó diversas normas: consta que </w:t>
      </w:r>
      <w:r>
        <w:rPr>
          <w:spacing w:val="2"/>
          <w:sz w:val="20"/>
        </w:rPr>
        <w:t>en </w:t>
      </w:r>
      <w:r>
        <w:rPr>
          <w:sz w:val="20"/>
        </w:rPr>
        <w:t>1991 y 1995 la Provincia dictó dos decretos, numerados 2609 y 3097, respectivamente, que ordenaban</w:t>
      </w:r>
      <w:r>
        <w:rPr>
          <w:spacing w:val="-7"/>
          <w:sz w:val="20"/>
        </w:rPr>
        <w:t> </w:t>
      </w:r>
      <w:r>
        <w:rPr>
          <w:sz w:val="20"/>
        </w:rPr>
        <w:t>la</w:t>
      </w:r>
      <w:r>
        <w:rPr>
          <w:spacing w:val="-5"/>
          <w:sz w:val="20"/>
        </w:rPr>
        <w:t> </w:t>
      </w:r>
      <w:r>
        <w:rPr>
          <w:sz w:val="20"/>
        </w:rPr>
        <w:t>suspensión</w:t>
      </w:r>
      <w:r>
        <w:rPr>
          <w:spacing w:val="-7"/>
          <w:sz w:val="20"/>
        </w:rPr>
        <w:t> </w:t>
      </w:r>
      <w:r>
        <w:rPr>
          <w:sz w:val="20"/>
        </w:rPr>
        <w:t>de</w:t>
      </w:r>
      <w:r>
        <w:rPr>
          <w:spacing w:val="-9"/>
          <w:sz w:val="20"/>
        </w:rPr>
        <w:t> </w:t>
      </w:r>
      <w:r>
        <w:rPr>
          <w:sz w:val="20"/>
        </w:rPr>
        <w:t>permisos</w:t>
      </w:r>
      <w:r>
        <w:rPr>
          <w:spacing w:val="-9"/>
          <w:sz w:val="20"/>
        </w:rPr>
        <w:t> </w:t>
      </w:r>
      <w:r>
        <w:rPr>
          <w:sz w:val="20"/>
        </w:rPr>
        <w:t>de</w:t>
      </w:r>
      <w:r>
        <w:rPr>
          <w:spacing w:val="-7"/>
          <w:sz w:val="20"/>
        </w:rPr>
        <w:t> </w:t>
      </w:r>
      <w:r>
        <w:rPr>
          <w:sz w:val="20"/>
        </w:rPr>
        <w:t>explotación</w:t>
      </w:r>
      <w:r>
        <w:rPr>
          <w:spacing w:val="-7"/>
          <w:sz w:val="20"/>
        </w:rPr>
        <w:t> </w:t>
      </w:r>
      <w:r>
        <w:rPr>
          <w:sz w:val="20"/>
        </w:rPr>
        <w:t>forestal</w:t>
      </w:r>
      <w:r>
        <w:rPr>
          <w:spacing w:val="-7"/>
          <w:sz w:val="20"/>
        </w:rPr>
        <w:t> </w:t>
      </w:r>
      <w:r>
        <w:rPr>
          <w:sz w:val="20"/>
        </w:rPr>
        <w:t>dentro</w:t>
      </w:r>
      <w:r>
        <w:rPr>
          <w:spacing w:val="-7"/>
          <w:sz w:val="20"/>
        </w:rPr>
        <w:t> </w:t>
      </w:r>
      <w:r>
        <w:rPr>
          <w:sz w:val="20"/>
        </w:rPr>
        <w:t>de</w:t>
      </w:r>
      <w:r>
        <w:rPr>
          <w:spacing w:val="-5"/>
          <w:sz w:val="20"/>
        </w:rPr>
        <w:t> </w:t>
      </w:r>
      <w:r>
        <w:rPr>
          <w:sz w:val="20"/>
        </w:rPr>
        <w:t>los</w:t>
      </w:r>
      <w:r>
        <w:rPr>
          <w:spacing w:val="-9"/>
          <w:sz w:val="20"/>
        </w:rPr>
        <w:t> </w:t>
      </w:r>
      <w:r>
        <w:rPr>
          <w:sz w:val="20"/>
        </w:rPr>
        <w:t>lotes</w:t>
      </w:r>
      <w:r>
        <w:rPr>
          <w:spacing w:val="-9"/>
          <w:sz w:val="20"/>
        </w:rPr>
        <w:t> </w:t>
      </w:r>
      <w:r>
        <w:rPr>
          <w:sz w:val="20"/>
        </w:rPr>
        <w:t>fiscales 14</w:t>
      </w:r>
      <w:r>
        <w:rPr>
          <w:spacing w:val="-5"/>
          <w:sz w:val="20"/>
        </w:rPr>
        <w:t> </w:t>
      </w:r>
      <w:r>
        <w:rPr>
          <w:sz w:val="20"/>
        </w:rPr>
        <w:t>y</w:t>
      </w:r>
      <w:r>
        <w:rPr>
          <w:spacing w:val="-6"/>
          <w:sz w:val="20"/>
        </w:rPr>
        <w:t> </w:t>
      </w:r>
      <w:r>
        <w:rPr>
          <w:sz w:val="20"/>
        </w:rPr>
        <w:t>55</w:t>
      </w:r>
      <w:r>
        <w:rPr>
          <w:spacing w:val="-3"/>
          <w:sz w:val="20"/>
        </w:rPr>
        <w:t> </w:t>
      </w:r>
      <w:r>
        <w:rPr>
          <w:sz w:val="20"/>
        </w:rPr>
        <w:t>y</w:t>
      </w:r>
      <w:r>
        <w:rPr>
          <w:spacing w:val="-4"/>
          <w:sz w:val="20"/>
        </w:rPr>
        <w:t> </w:t>
      </w:r>
      <w:r>
        <w:rPr>
          <w:sz w:val="20"/>
        </w:rPr>
        <w:t>los</w:t>
      </w:r>
      <w:r>
        <w:rPr>
          <w:spacing w:val="-6"/>
          <w:sz w:val="20"/>
        </w:rPr>
        <w:t> </w:t>
      </w:r>
      <w:r>
        <w:rPr>
          <w:sz w:val="20"/>
        </w:rPr>
        <w:t>declaraba</w:t>
      </w:r>
      <w:r>
        <w:rPr>
          <w:spacing w:val="-3"/>
          <w:sz w:val="20"/>
        </w:rPr>
        <w:t> </w:t>
      </w:r>
      <w:r>
        <w:rPr>
          <w:sz w:val="20"/>
        </w:rPr>
        <w:t>área</w:t>
      </w:r>
      <w:r>
        <w:rPr>
          <w:spacing w:val="-3"/>
          <w:sz w:val="20"/>
        </w:rPr>
        <w:t> </w:t>
      </w:r>
      <w:r>
        <w:rPr>
          <w:sz w:val="20"/>
        </w:rPr>
        <w:t>de</w:t>
      </w:r>
      <w:r>
        <w:rPr>
          <w:spacing w:val="-5"/>
          <w:sz w:val="20"/>
        </w:rPr>
        <w:t> </w:t>
      </w:r>
      <w:r>
        <w:rPr>
          <w:sz w:val="20"/>
        </w:rPr>
        <w:t>preservación</w:t>
      </w:r>
      <w:r>
        <w:rPr>
          <w:spacing w:val="-3"/>
          <w:sz w:val="20"/>
        </w:rPr>
        <w:t> </w:t>
      </w:r>
      <w:r>
        <w:rPr>
          <w:sz w:val="20"/>
        </w:rPr>
        <w:t>y</w:t>
      </w:r>
      <w:r>
        <w:rPr>
          <w:spacing w:val="-3"/>
          <w:sz w:val="20"/>
        </w:rPr>
        <w:t> </w:t>
      </w:r>
      <w:r>
        <w:rPr>
          <w:sz w:val="20"/>
        </w:rPr>
        <w:t>recuperación</w:t>
      </w:r>
      <w:r>
        <w:rPr>
          <w:spacing w:val="-5"/>
          <w:sz w:val="20"/>
        </w:rPr>
        <w:t> </w:t>
      </w:r>
      <w:r>
        <w:rPr>
          <w:sz w:val="20"/>
        </w:rPr>
        <w:t>ambiental</w:t>
      </w:r>
      <w:r>
        <w:rPr>
          <w:spacing w:val="-2"/>
          <w:sz w:val="20"/>
        </w:rPr>
        <w:t> </w:t>
      </w:r>
      <w:r>
        <w:rPr>
          <w:sz w:val="20"/>
        </w:rPr>
        <w:t>hasta</w:t>
      </w:r>
      <w:r>
        <w:rPr>
          <w:spacing w:val="-5"/>
          <w:sz w:val="20"/>
        </w:rPr>
        <w:t> </w:t>
      </w:r>
      <w:r>
        <w:rPr>
          <w:sz w:val="20"/>
        </w:rPr>
        <w:t>la</w:t>
      </w:r>
      <w:r>
        <w:rPr>
          <w:spacing w:val="-3"/>
          <w:sz w:val="20"/>
        </w:rPr>
        <w:t> </w:t>
      </w:r>
      <w:r>
        <w:rPr>
          <w:sz w:val="20"/>
        </w:rPr>
        <w:t>entrega de títulos definitivos a las comunidades indígenas y a criollos. En diciembre de 2000 se comprometió a que la Policía y la Secretaría de Medio Ambiente provinciales, así como la</w:t>
      </w:r>
      <w:r>
        <w:rPr>
          <w:spacing w:val="-16"/>
          <w:sz w:val="20"/>
        </w:rPr>
        <w:t> </w:t>
      </w:r>
      <w:r>
        <w:rPr>
          <w:sz w:val="20"/>
        </w:rPr>
        <w:t>Gendarmería</w:t>
      </w:r>
      <w:r>
        <w:rPr>
          <w:spacing w:val="-16"/>
          <w:sz w:val="20"/>
        </w:rPr>
        <w:t> </w:t>
      </w:r>
      <w:r>
        <w:rPr>
          <w:sz w:val="20"/>
        </w:rPr>
        <w:t>Nacional,</w:t>
      </w:r>
      <w:r>
        <w:rPr>
          <w:spacing w:val="-17"/>
          <w:sz w:val="20"/>
        </w:rPr>
        <w:t> </w:t>
      </w:r>
      <w:r>
        <w:rPr>
          <w:sz w:val="20"/>
        </w:rPr>
        <w:t>efectuaran</w:t>
      </w:r>
      <w:r>
        <w:rPr>
          <w:spacing w:val="-15"/>
          <w:sz w:val="20"/>
        </w:rPr>
        <w:t> </w:t>
      </w:r>
      <w:r>
        <w:rPr>
          <w:sz w:val="20"/>
        </w:rPr>
        <w:t>controles</w:t>
      </w:r>
      <w:r>
        <w:rPr>
          <w:rFonts w:ascii="Calibri" w:hAnsi="Calibri"/>
          <w:position w:val="8"/>
          <w:sz w:val="14"/>
        </w:rPr>
        <w:t>278</w:t>
      </w:r>
      <w:r>
        <w:rPr>
          <w:sz w:val="20"/>
        </w:rPr>
        <w:t>.</w:t>
      </w:r>
      <w:r>
        <w:rPr>
          <w:spacing w:val="-16"/>
          <w:sz w:val="20"/>
        </w:rPr>
        <w:t> </w:t>
      </w:r>
      <w:r>
        <w:rPr>
          <w:sz w:val="20"/>
        </w:rPr>
        <w:t>El</w:t>
      </w:r>
      <w:r>
        <w:rPr>
          <w:spacing w:val="-16"/>
          <w:sz w:val="20"/>
        </w:rPr>
        <w:t> </w:t>
      </w:r>
      <w:r>
        <w:rPr>
          <w:sz w:val="20"/>
        </w:rPr>
        <w:t>10</w:t>
      </w:r>
      <w:r>
        <w:rPr>
          <w:spacing w:val="-15"/>
          <w:sz w:val="20"/>
        </w:rPr>
        <w:t> </w:t>
      </w:r>
      <w:r>
        <w:rPr>
          <w:sz w:val="20"/>
        </w:rPr>
        <w:t>de</w:t>
      </w:r>
      <w:r>
        <w:rPr>
          <w:spacing w:val="-17"/>
          <w:sz w:val="20"/>
        </w:rPr>
        <w:t> </w:t>
      </w:r>
      <w:r>
        <w:rPr>
          <w:sz w:val="20"/>
        </w:rPr>
        <w:t>octubre</w:t>
      </w:r>
      <w:r>
        <w:rPr>
          <w:spacing w:val="-17"/>
          <w:sz w:val="20"/>
        </w:rPr>
        <w:t> </w:t>
      </w:r>
      <w:r>
        <w:rPr>
          <w:sz w:val="20"/>
        </w:rPr>
        <w:t>de</w:t>
      </w:r>
      <w:r>
        <w:rPr>
          <w:spacing w:val="-17"/>
          <w:sz w:val="20"/>
        </w:rPr>
        <w:t> </w:t>
      </w:r>
      <w:r>
        <w:rPr>
          <w:sz w:val="20"/>
        </w:rPr>
        <w:t>2007,</w:t>
      </w:r>
      <w:r>
        <w:rPr>
          <w:spacing w:val="-15"/>
          <w:sz w:val="20"/>
        </w:rPr>
        <w:t> </w:t>
      </w:r>
      <w:r>
        <w:rPr>
          <w:sz w:val="20"/>
        </w:rPr>
        <w:t>la</w:t>
      </w:r>
      <w:r>
        <w:rPr>
          <w:spacing w:val="-16"/>
          <w:sz w:val="20"/>
        </w:rPr>
        <w:t> </w:t>
      </w:r>
      <w:r>
        <w:rPr>
          <w:sz w:val="20"/>
        </w:rPr>
        <w:t>Secretaría de</w:t>
      </w:r>
      <w:r>
        <w:rPr>
          <w:spacing w:val="-21"/>
          <w:sz w:val="20"/>
        </w:rPr>
        <w:t> </w:t>
      </w:r>
      <w:r>
        <w:rPr>
          <w:sz w:val="20"/>
        </w:rPr>
        <w:t>Medio</w:t>
      </w:r>
      <w:r>
        <w:rPr>
          <w:spacing w:val="-19"/>
          <w:sz w:val="20"/>
        </w:rPr>
        <w:t> </w:t>
      </w:r>
      <w:r>
        <w:rPr>
          <w:sz w:val="20"/>
        </w:rPr>
        <w:t>Ambiente</w:t>
      </w:r>
      <w:r>
        <w:rPr>
          <w:spacing w:val="-21"/>
          <w:sz w:val="20"/>
        </w:rPr>
        <w:t> </w:t>
      </w:r>
      <w:r>
        <w:rPr>
          <w:sz w:val="20"/>
        </w:rPr>
        <w:t>y</w:t>
      </w:r>
      <w:r>
        <w:rPr>
          <w:spacing w:val="-18"/>
          <w:sz w:val="20"/>
        </w:rPr>
        <w:t> </w:t>
      </w:r>
      <w:r>
        <w:rPr>
          <w:sz w:val="20"/>
        </w:rPr>
        <w:t>Desarrollo</w:t>
      </w:r>
      <w:r>
        <w:rPr>
          <w:spacing w:val="-21"/>
          <w:sz w:val="20"/>
        </w:rPr>
        <w:t> </w:t>
      </w:r>
      <w:r>
        <w:rPr>
          <w:sz w:val="20"/>
        </w:rPr>
        <w:t>Sustentable</w:t>
      </w:r>
      <w:r>
        <w:rPr>
          <w:spacing w:val="-21"/>
          <w:sz w:val="20"/>
        </w:rPr>
        <w:t> </w:t>
      </w:r>
      <w:r>
        <w:rPr>
          <w:sz w:val="20"/>
        </w:rPr>
        <w:t>de</w:t>
      </w:r>
      <w:r>
        <w:rPr>
          <w:spacing w:val="-21"/>
          <w:sz w:val="20"/>
        </w:rPr>
        <w:t> </w:t>
      </w:r>
      <w:r>
        <w:rPr>
          <w:sz w:val="20"/>
        </w:rPr>
        <w:t>la</w:t>
      </w:r>
      <w:r>
        <w:rPr>
          <w:spacing w:val="-20"/>
          <w:sz w:val="20"/>
        </w:rPr>
        <w:t> </w:t>
      </w:r>
      <w:r>
        <w:rPr>
          <w:sz w:val="20"/>
        </w:rPr>
        <w:t>Provincia</w:t>
      </w:r>
      <w:r>
        <w:rPr>
          <w:spacing w:val="-20"/>
          <w:sz w:val="20"/>
        </w:rPr>
        <w:t> </w:t>
      </w:r>
      <w:r>
        <w:rPr>
          <w:sz w:val="20"/>
        </w:rPr>
        <w:t>de</w:t>
      </w:r>
      <w:r>
        <w:rPr>
          <w:spacing w:val="-21"/>
          <w:sz w:val="20"/>
        </w:rPr>
        <w:t> </w:t>
      </w:r>
      <w:r>
        <w:rPr>
          <w:sz w:val="20"/>
        </w:rPr>
        <w:t>Salta</w:t>
      </w:r>
      <w:r>
        <w:rPr>
          <w:spacing w:val="-18"/>
          <w:sz w:val="20"/>
        </w:rPr>
        <w:t> </w:t>
      </w:r>
      <w:r>
        <w:rPr>
          <w:sz w:val="20"/>
        </w:rPr>
        <w:t>aprobó</w:t>
      </w:r>
      <w:r>
        <w:rPr>
          <w:spacing w:val="-21"/>
          <w:sz w:val="20"/>
        </w:rPr>
        <w:t> </w:t>
      </w:r>
      <w:r>
        <w:rPr>
          <w:sz w:val="20"/>
        </w:rPr>
        <w:t>la</w:t>
      </w:r>
      <w:r>
        <w:rPr>
          <w:spacing w:val="-18"/>
          <w:sz w:val="20"/>
        </w:rPr>
        <w:t> </w:t>
      </w:r>
      <w:r>
        <w:rPr>
          <w:sz w:val="20"/>
        </w:rPr>
        <w:t>Resolución 948 en la que confirmó que “se habían encontrado numerosos aprovechamientos forestales de Palo Santo en los lotes fiscales, y algunas sin una autorización legal”, por lo que dispuso medidas al respecto</w:t>
      </w:r>
      <w:r>
        <w:rPr>
          <w:rFonts w:ascii="Calibri" w:hAnsi="Calibri"/>
          <w:position w:val="8"/>
          <w:sz w:val="14"/>
        </w:rPr>
        <w:t>279</w:t>
      </w:r>
      <w:r>
        <w:rPr>
          <w:sz w:val="20"/>
        </w:rPr>
        <w:t>. El mismo año, el Decreto 2786/07 (</w:t>
      </w:r>
      <w:r>
        <w:rPr>
          <w:i/>
          <w:sz w:val="20"/>
        </w:rPr>
        <w:t>supra  </w:t>
      </w:r>
      <w:r>
        <w:rPr>
          <w:i/>
          <w:spacing w:val="45"/>
          <w:sz w:val="20"/>
        </w:rPr>
        <w:t> </w:t>
      </w:r>
      <w:r>
        <w:rPr>
          <w:sz w:val="20"/>
        </w:rPr>
        <w:t>párr.</w:t>
      </w:r>
    </w:p>
    <w:p>
      <w:pPr>
        <w:pStyle w:val="BodyText"/>
        <w:spacing w:before="18"/>
        <w:ind w:left="122" w:right="127"/>
        <w:jc w:val="both"/>
      </w:pPr>
      <w:r>
        <w:rPr/>
        <w:t>75) dispuso que el Estado provincial instalara puestos de control para evitar la transgresión a legislación vigente respecto al corte de madera. Después, en julio de 2012,</w:t>
      </w:r>
      <w:r>
        <w:rPr>
          <w:spacing w:val="-19"/>
        </w:rPr>
        <w:t> </w:t>
      </w:r>
      <w:r>
        <w:rPr/>
        <w:t>el</w:t>
      </w:r>
      <w:r>
        <w:rPr>
          <w:spacing w:val="-18"/>
        </w:rPr>
        <w:t> </w:t>
      </w:r>
      <w:r>
        <w:rPr/>
        <w:t>Decreto</w:t>
      </w:r>
      <w:r>
        <w:rPr>
          <w:spacing w:val="-20"/>
        </w:rPr>
        <w:t> </w:t>
      </w:r>
      <w:r>
        <w:rPr/>
        <w:t>2398/12</w:t>
      </w:r>
      <w:r>
        <w:rPr>
          <w:spacing w:val="-17"/>
        </w:rPr>
        <w:t> </w:t>
      </w:r>
      <w:r>
        <w:rPr/>
        <w:t>(</w:t>
      </w:r>
      <w:r>
        <w:rPr>
          <w:i/>
        </w:rPr>
        <w:t>supra</w:t>
      </w:r>
      <w:r>
        <w:rPr>
          <w:i/>
          <w:spacing w:val="-18"/>
        </w:rPr>
        <w:t> </w:t>
      </w:r>
      <w:r>
        <w:rPr/>
        <w:t>párr.</w:t>
      </w:r>
      <w:r>
        <w:rPr>
          <w:spacing w:val="-19"/>
        </w:rPr>
        <w:t> </w:t>
      </w:r>
      <w:r>
        <w:rPr/>
        <w:t>78)</w:t>
      </w:r>
      <w:r>
        <w:rPr>
          <w:spacing w:val="-18"/>
        </w:rPr>
        <w:t> </w:t>
      </w:r>
      <w:r>
        <w:rPr/>
        <w:t>ordenó</w:t>
      </w:r>
      <w:r>
        <w:rPr>
          <w:spacing w:val="-20"/>
        </w:rPr>
        <w:t> </w:t>
      </w:r>
      <w:r>
        <w:rPr/>
        <w:t>que</w:t>
      </w:r>
      <w:r>
        <w:rPr>
          <w:spacing w:val="-20"/>
        </w:rPr>
        <w:t> </w:t>
      </w:r>
      <w:r>
        <w:rPr/>
        <w:t>Ministerios</w:t>
      </w:r>
      <w:r>
        <w:rPr>
          <w:spacing w:val="-19"/>
        </w:rPr>
        <w:t> </w:t>
      </w:r>
      <w:r>
        <w:rPr/>
        <w:t>provinciales</w:t>
      </w:r>
      <w:r>
        <w:rPr>
          <w:spacing w:val="-19"/>
        </w:rPr>
        <w:t> </w:t>
      </w:r>
      <w:r>
        <w:rPr/>
        <w:t>adoptaran “todas las medidas conducentes a fin de garantizar la preservación de los recursos naturales y el efectivo control de </w:t>
      </w:r>
      <w:r>
        <w:rPr>
          <w:spacing w:val="2"/>
        </w:rPr>
        <w:t>la </w:t>
      </w:r>
      <w:r>
        <w:rPr/>
        <w:t>deforestación de los [l]lotes […] 55 y 14”. En 2014 el Decreto 1498/14 (</w:t>
      </w:r>
      <w:r>
        <w:rPr>
          <w:i/>
        </w:rPr>
        <w:t>supra </w:t>
      </w:r>
      <w:r>
        <w:rPr/>
        <w:t>párr. 80) estipuló que “[h]asta tanto no se delimite el territorio que les corresponde a las comunidades indígenas, y los lotes de las familias criollas,</w:t>
      </w:r>
      <w:r>
        <w:rPr>
          <w:spacing w:val="-20"/>
        </w:rPr>
        <w:t> </w:t>
      </w:r>
      <w:r>
        <w:rPr/>
        <w:t>no</w:t>
      </w:r>
      <w:r>
        <w:rPr>
          <w:spacing w:val="-20"/>
        </w:rPr>
        <w:t> </w:t>
      </w:r>
      <w:r>
        <w:rPr/>
        <w:t>podrán</w:t>
      </w:r>
      <w:r>
        <w:rPr>
          <w:spacing w:val="-16"/>
        </w:rPr>
        <w:t> </w:t>
      </w:r>
      <w:r>
        <w:rPr/>
        <w:t>construirse</w:t>
      </w:r>
      <w:r>
        <w:rPr>
          <w:spacing w:val="-20"/>
        </w:rPr>
        <w:t> </w:t>
      </w:r>
      <w:r>
        <w:rPr/>
        <w:t>nuevos</w:t>
      </w:r>
      <w:r>
        <w:rPr>
          <w:spacing w:val="-17"/>
        </w:rPr>
        <w:t> </w:t>
      </w:r>
      <w:r>
        <w:rPr/>
        <w:t>alambrados</w:t>
      </w:r>
      <w:r>
        <w:rPr>
          <w:spacing w:val="-36"/>
        </w:rPr>
        <w:t> </w:t>
      </w:r>
      <w:r>
        <w:rPr/>
        <w:t>ni</w:t>
      </w:r>
      <w:r>
        <w:rPr>
          <w:spacing w:val="-18"/>
        </w:rPr>
        <w:t> </w:t>
      </w:r>
      <w:r>
        <w:rPr/>
        <w:t>explotarse</w:t>
      </w:r>
      <w:r>
        <w:rPr>
          <w:spacing w:val="-20"/>
        </w:rPr>
        <w:t> </w:t>
      </w:r>
      <w:r>
        <w:rPr/>
        <w:t>recursos</w:t>
      </w:r>
      <w:r>
        <w:rPr>
          <w:spacing w:val="-17"/>
        </w:rPr>
        <w:t> </w:t>
      </w:r>
      <w:r>
        <w:rPr/>
        <w:t>forestales</w:t>
      </w:r>
      <w:r>
        <w:rPr>
          <w:spacing w:val="-19"/>
        </w:rPr>
        <w:t> </w:t>
      </w:r>
      <w:r>
        <w:rPr/>
        <w:t>fuera de las necesidades de subsistencia”. En enero de ese año autoridades provinciales entregaron a funcionarios estatales casillas de vigilancia y vehículos para tareas de control  de  la  deforestación</w:t>
      </w:r>
      <w:r>
        <w:rPr>
          <w:rFonts w:ascii="Calibri" w:hAnsi="Calibri"/>
          <w:position w:val="8"/>
          <w:sz w:val="14"/>
        </w:rPr>
        <w:t>280</w:t>
      </w:r>
      <w:r>
        <w:rPr/>
        <w:t>.  El  17  de  octubre  del  mismo  año  se  suscribió  </w:t>
      </w:r>
      <w:r>
        <w:rPr>
          <w:spacing w:val="29"/>
        </w:rPr>
        <w:t> </w:t>
      </w:r>
      <w:r>
        <w:rPr/>
        <w:t>un</w:t>
      </w:r>
    </w:p>
    <w:p>
      <w:pPr>
        <w:pStyle w:val="BodyText"/>
        <w:spacing w:before="5"/>
        <w:rPr>
          <w:sz w:val="26"/>
        </w:rPr>
      </w:pPr>
      <w:r>
        <w:rPr/>
        <w:pict>
          <v:line style="position:absolute;mso-position-horizontal-relative:page;mso-position-vertical-relative:paragraph;z-index:3160;mso-wrap-distance-left:0;mso-wrap-distance-right:0" from="85.103996pt,18.406927pt" to="229.123996pt,18.406927pt" stroked="true" strokeweight=".72pt" strokecolor="#000000">
            <v:stroke dashstyle="solid"/>
            <w10:wrap type="topAndBottom"/>
          </v:line>
        </w:pict>
      </w:r>
    </w:p>
    <w:p>
      <w:pPr>
        <w:tabs>
          <w:tab w:pos="829" w:val="left" w:leader="none"/>
        </w:tabs>
        <w:spacing w:before="71"/>
        <w:ind w:left="122" w:right="113" w:firstLine="0"/>
        <w:jc w:val="both"/>
        <w:rPr>
          <w:sz w:val="16"/>
        </w:rPr>
      </w:pPr>
      <w:r>
        <w:rPr>
          <w:position w:val="6"/>
          <w:sz w:val="10"/>
        </w:rPr>
        <w:t>277</w:t>
        <w:tab/>
      </w:r>
      <w:r>
        <w:rPr>
          <w:i/>
          <w:sz w:val="16"/>
        </w:rPr>
        <w:t>Cfr.</w:t>
      </w:r>
      <w:r>
        <w:rPr>
          <w:i/>
          <w:spacing w:val="-9"/>
          <w:sz w:val="16"/>
        </w:rPr>
        <w:t> </w:t>
      </w:r>
      <w:r>
        <w:rPr>
          <w:sz w:val="16"/>
        </w:rPr>
        <w:t>videos</w:t>
      </w:r>
      <w:r>
        <w:rPr>
          <w:spacing w:val="-8"/>
          <w:sz w:val="16"/>
        </w:rPr>
        <w:t> </w:t>
      </w:r>
      <w:r>
        <w:rPr>
          <w:sz w:val="16"/>
        </w:rPr>
        <w:t>de</w:t>
      </w:r>
      <w:r>
        <w:rPr>
          <w:spacing w:val="-8"/>
          <w:sz w:val="16"/>
        </w:rPr>
        <w:t> </w:t>
      </w:r>
      <w:r>
        <w:rPr>
          <w:sz w:val="16"/>
        </w:rPr>
        <w:t>mayo</w:t>
      </w:r>
      <w:r>
        <w:rPr>
          <w:spacing w:val="-8"/>
          <w:sz w:val="16"/>
        </w:rPr>
        <w:t> </w:t>
      </w:r>
      <w:r>
        <w:rPr>
          <w:sz w:val="16"/>
        </w:rPr>
        <w:t>de</w:t>
      </w:r>
      <w:r>
        <w:rPr>
          <w:spacing w:val="-11"/>
          <w:sz w:val="16"/>
        </w:rPr>
        <w:t> </w:t>
      </w:r>
      <w:r>
        <w:rPr>
          <w:sz w:val="16"/>
        </w:rPr>
        <w:t>2018</w:t>
      </w:r>
      <w:r>
        <w:rPr>
          <w:spacing w:val="-7"/>
          <w:sz w:val="16"/>
        </w:rPr>
        <w:t> </w:t>
      </w:r>
      <w:r>
        <w:rPr>
          <w:sz w:val="16"/>
        </w:rPr>
        <w:t>presentados</w:t>
      </w:r>
      <w:r>
        <w:rPr>
          <w:spacing w:val="-8"/>
          <w:sz w:val="16"/>
        </w:rPr>
        <w:t> </w:t>
      </w:r>
      <w:r>
        <w:rPr>
          <w:sz w:val="16"/>
        </w:rPr>
        <w:t>como</w:t>
      </w:r>
      <w:r>
        <w:rPr>
          <w:spacing w:val="-5"/>
          <w:sz w:val="16"/>
        </w:rPr>
        <w:t> </w:t>
      </w:r>
      <w:r>
        <w:rPr>
          <w:sz w:val="16"/>
        </w:rPr>
        <w:t>anexos</w:t>
      </w:r>
      <w:r>
        <w:rPr>
          <w:spacing w:val="-8"/>
          <w:sz w:val="16"/>
        </w:rPr>
        <w:t> </w:t>
      </w:r>
      <w:r>
        <w:rPr>
          <w:sz w:val="16"/>
        </w:rPr>
        <w:t>K.41,</w:t>
      </w:r>
      <w:r>
        <w:rPr>
          <w:spacing w:val="-7"/>
          <w:sz w:val="16"/>
        </w:rPr>
        <w:t> </w:t>
      </w:r>
      <w:r>
        <w:rPr>
          <w:sz w:val="16"/>
        </w:rPr>
        <w:t>K.42,</w:t>
      </w:r>
      <w:r>
        <w:rPr>
          <w:spacing w:val="-9"/>
          <w:sz w:val="16"/>
        </w:rPr>
        <w:t> </w:t>
      </w:r>
      <w:r>
        <w:rPr>
          <w:sz w:val="16"/>
        </w:rPr>
        <w:t>K.43,</w:t>
      </w:r>
      <w:r>
        <w:rPr>
          <w:spacing w:val="-9"/>
          <w:sz w:val="16"/>
        </w:rPr>
        <w:t> </w:t>
      </w:r>
      <w:r>
        <w:rPr>
          <w:sz w:val="16"/>
        </w:rPr>
        <w:t>K.44,</w:t>
      </w:r>
      <w:r>
        <w:rPr>
          <w:spacing w:val="-9"/>
          <w:sz w:val="16"/>
        </w:rPr>
        <w:t> </w:t>
      </w:r>
      <w:r>
        <w:rPr>
          <w:sz w:val="16"/>
        </w:rPr>
        <w:t>K.45</w:t>
      </w:r>
      <w:r>
        <w:rPr>
          <w:spacing w:val="-7"/>
          <w:sz w:val="16"/>
        </w:rPr>
        <w:t> </w:t>
      </w:r>
      <w:r>
        <w:rPr>
          <w:sz w:val="16"/>
        </w:rPr>
        <w:t>y</w:t>
      </w:r>
      <w:r>
        <w:rPr>
          <w:spacing w:val="-8"/>
          <w:sz w:val="16"/>
        </w:rPr>
        <w:t> </w:t>
      </w:r>
      <w:r>
        <w:rPr>
          <w:sz w:val="16"/>
        </w:rPr>
        <w:t>K.46</w:t>
      </w:r>
      <w:r>
        <w:rPr>
          <w:spacing w:val="-7"/>
          <w:sz w:val="16"/>
        </w:rPr>
        <w:t> </w:t>
      </w:r>
      <w:r>
        <w:rPr>
          <w:sz w:val="16"/>
        </w:rPr>
        <w:t>al</w:t>
      </w:r>
      <w:r>
        <w:rPr>
          <w:spacing w:val="-7"/>
          <w:sz w:val="16"/>
        </w:rPr>
        <w:t> </w:t>
      </w:r>
      <w:r>
        <w:rPr>
          <w:sz w:val="16"/>
        </w:rPr>
        <w:t>escrito</w:t>
      </w:r>
      <w:r>
        <w:rPr>
          <w:w w:val="100"/>
          <w:sz w:val="16"/>
        </w:rPr>
        <w:t> </w:t>
      </w:r>
      <w:r>
        <w:rPr>
          <w:sz w:val="16"/>
        </w:rPr>
        <w:t>de solicitudes y argumentos, de las comunidades Bajo Grande, Misión La Paz, Pozo La China, Rancho El Ñato y San Luis. Ver también denuncias de septiembre de 2008 (expediente de prueba, anexos K.39 y K.40 al escrito de solicitudes y argumentos, fs. 34.024 a 34.025 y 34.026 a 34.029). Por otro lado, en entrevistas hechas a los pobladores indígenas del territorio se expone que las cañadas en donde pescan las comunidades han estado cerradas por alambrados (</w:t>
      </w:r>
      <w:r>
        <w:rPr>
          <w:i/>
          <w:sz w:val="16"/>
        </w:rPr>
        <w:t>cfr. </w:t>
      </w:r>
      <w:r>
        <w:rPr>
          <w:sz w:val="16"/>
        </w:rPr>
        <w:t>entrevista a poblador de la comunidad San Miguel; expediente de prueba,</w:t>
      </w:r>
      <w:r>
        <w:rPr>
          <w:spacing w:val="-9"/>
          <w:sz w:val="16"/>
        </w:rPr>
        <w:t> </w:t>
      </w:r>
      <w:r>
        <w:rPr>
          <w:sz w:val="16"/>
        </w:rPr>
        <w:t>anexo</w:t>
      </w:r>
      <w:r>
        <w:rPr>
          <w:spacing w:val="-10"/>
          <w:sz w:val="16"/>
        </w:rPr>
        <w:t> </w:t>
      </w:r>
      <w:r>
        <w:rPr>
          <w:sz w:val="16"/>
        </w:rPr>
        <w:t>K.46</w:t>
      </w:r>
      <w:r>
        <w:rPr>
          <w:spacing w:val="-8"/>
          <w:sz w:val="16"/>
        </w:rPr>
        <w:t> </w:t>
      </w:r>
      <w:r>
        <w:rPr>
          <w:sz w:val="16"/>
        </w:rPr>
        <w:t>al</w:t>
      </w:r>
      <w:r>
        <w:rPr>
          <w:spacing w:val="-12"/>
          <w:sz w:val="16"/>
        </w:rPr>
        <w:t> </w:t>
      </w:r>
      <w:r>
        <w:rPr>
          <w:sz w:val="16"/>
        </w:rPr>
        <w:t>escrito</w:t>
      </w:r>
      <w:r>
        <w:rPr>
          <w:spacing w:val="-12"/>
          <w:sz w:val="16"/>
        </w:rPr>
        <w:t> </w:t>
      </w:r>
      <w:r>
        <w:rPr>
          <w:sz w:val="16"/>
        </w:rPr>
        <w:t>de</w:t>
      </w:r>
      <w:r>
        <w:rPr>
          <w:spacing w:val="-10"/>
          <w:sz w:val="16"/>
        </w:rPr>
        <w:t> </w:t>
      </w:r>
      <w:r>
        <w:rPr>
          <w:sz w:val="16"/>
        </w:rPr>
        <w:t>solicitudes</w:t>
      </w:r>
      <w:r>
        <w:rPr>
          <w:spacing w:val="-10"/>
          <w:sz w:val="16"/>
        </w:rPr>
        <w:t> </w:t>
      </w:r>
      <w:r>
        <w:rPr>
          <w:sz w:val="16"/>
        </w:rPr>
        <w:t>y</w:t>
      </w:r>
      <w:r>
        <w:rPr>
          <w:spacing w:val="-10"/>
          <w:sz w:val="16"/>
        </w:rPr>
        <w:t> </w:t>
      </w:r>
      <w:r>
        <w:rPr>
          <w:sz w:val="16"/>
        </w:rPr>
        <w:t>argumentos).</w:t>
      </w:r>
      <w:r>
        <w:rPr>
          <w:spacing w:val="-10"/>
          <w:sz w:val="16"/>
        </w:rPr>
        <w:t> </w:t>
      </w:r>
      <w:r>
        <w:rPr>
          <w:sz w:val="16"/>
        </w:rPr>
        <w:t>Además,</w:t>
      </w:r>
      <w:r>
        <w:rPr>
          <w:spacing w:val="-9"/>
          <w:sz w:val="16"/>
        </w:rPr>
        <w:t> </w:t>
      </w:r>
      <w:r>
        <w:rPr>
          <w:sz w:val="16"/>
        </w:rPr>
        <w:t>los</w:t>
      </w:r>
      <w:r>
        <w:rPr>
          <w:spacing w:val="-10"/>
          <w:sz w:val="16"/>
        </w:rPr>
        <w:t> </w:t>
      </w:r>
      <w:r>
        <w:rPr>
          <w:sz w:val="16"/>
        </w:rPr>
        <w:t>representantes</w:t>
      </w:r>
      <w:r>
        <w:rPr>
          <w:spacing w:val="-8"/>
          <w:sz w:val="16"/>
        </w:rPr>
        <w:t> </w:t>
      </w:r>
      <w:r>
        <w:rPr>
          <w:sz w:val="16"/>
        </w:rPr>
        <w:t>señalaron</w:t>
      </w:r>
      <w:r>
        <w:rPr>
          <w:spacing w:val="-9"/>
          <w:sz w:val="16"/>
        </w:rPr>
        <w:t> </w:t>
      </w:r>
      <w:r>
        <w:rPr>
          <w:sz w:val="16"/>
        </w:rPr>
        <w:t>que</w:t>
      </w:r>
      <w:r>
        <w:rPr>
          <w:spacing w:val="-10"/>
          <w:sz w:val="16"/>
        </w:rPr>
        <w:t> </w:t>
      </w:r>
      <w:r>
        <w:rPr>
          <w:sz w:val="16"/>
        </w:rPr>
        <w:t>existen alambrados sobre una superficie aproximada de 20.000 ha en tierras libres de reclamo indígena que impiden la relocalización y traslados de las familias criollas. Entendieron que la existencia de tales alambrados obstaculiza el traslado de criollos, por lo que afecta derechos de las comunidades. Aclararon que tales alambrados también son</w:t>
      </w:r>
      <w:r>
        <w:rPr>
          <w:spacing w:val="-9"/>
          <w:sz w:val="16"/>
        </w:rPr>
        <w:t> </w:t>
      </w:r>
      <w:r>
        <w:rPr>
          <w:sz w:val="16"/>
        </w:rPr>
        <w:t>ilegales.</w:t>
      </w:r>
    </w:p>
    <w:p>
      <w:pPr>
        <w:pStyle w:val="BodyText"/>
        <w:rPr>
          <w:sz w:val="16"/>
        </w:rPr>
      </w:pPr>
    </w:p>
    <w:p>
      <w:pPr>
        <w:tabs>
          <w:tab w:pos="829" w:val="left" w:leader="none"/>
        </w:tabs>
        <w:spacing w:before="0"/>
        <w:ind w:left="122" w:right="0" w:firstLine="0"/>
        <w:jc w:val="both"/>
        <w:rPr>
          <w:sz w:val="16"/>
        </w:rPr>
      </w:pPr>
      <w:r>
        <w:rPr>
          <w:position w:val="6"/>
          <w:sz w:val="10"/>
        </w:rPr>
        <w:t>278</w:t>
        <w:tab/>
      </w:r>
      <w:r>
        <w:rPr>
          <w:sz w:val="16"/>
        </w:rPr>
        <w:t>Acta de reunión de 15 de diciembre de</w:t>
      </w:r>
      <w:r>
        <w:rPr>
          <w:spacing w:val="-11"/>
          <w:sz w:val="16"/>
        </w:rPr>
        <w:t> </w:t>
      </w:r>
      <w:r>
        <w:rPr>
          <w:sz w:val="16"/>
        </w:rPr>
        <w:t>2000.</w:t>
      </w:r>
    </w:p>
    <w:p>
      <w:pPr>
        <w:pStyle w:val="BodyText"/>
        <w:spacing w:before="12"/>
        <w:rPr>
          <w:sz w:val="15"/>
        </w:rPr>
      </w:pPr>
    </w:p>
    <w:p>
      <w:pPr>
        <w:tabs>
          <w:tab w:pos="829" w:val="left" w:leader="none"/>
        </w:tabs>
        <w:spacing w:before="0"/>
        <w:ind w:left="122" w:right="120" w:firstLine="0"/>
        <w:jc w:val="both"/>
        <w:rPr>
          <w:sz w:val="16"/>
        </w:rPr>
      </w:pPr>
      <w:r>
        <w:rPr>
          <w:position w:val="6"/>
          <w:sz w:val="10"/>
        </w:rPr>
        <w:t>279</w:t>
        <w:tab/>
      </w:r>
      <w:r>
        <w:rPr>
          <w:sz w:val="16"/>
        </w:rPr>
        <w:t>Dispuso</w:t>
      </w:r>
      <w:r>
        <w:rPr>
          <w:spacing w:val="-8"/>
          <w:sz w:val="16"/>
        </w:rPr>
        <w:t> </w:t>
      </w:r>
      <w:r>
        <w:rPr>
          <w:sz w:val="16"/>
        </w:rPr>
        <w:t>que</w:t>
      </w:r>
      <w:r>
        <w:rPr>
          <w:spacing w:val="-10"/>
          <w:sz w:val="16"/>
        </w:rPr>
        <w:t> </w:t>
      </w:r>
      <w:r>
        <w:rPr>
          <w:sz w:val="16"/>
        </w:rPr>
        <w:t>“en</w:t>
      </w:r>
      <w:r>
        <w:rPr>
          <w:spacing w:val="-9"/>
          <w:sz w:val="16"/>
        </w:rPr>
        <w:t> </w:t>
      </w:r>
      <w:r>
        <w:rPr>
          <w:sz w:val="16"/>
        </w:rPr>
        <w:t>todos</w:t>
      </w:r>
      <w:r>
        <w:rPr>
          <w:spacing w:val="-8"/>
          <w:sz w:val="16"/>
        </w:rPr>
        <w:t> </w:t>
      </w:r>
      <w:r>
        <w:rPr>
          <w:sz w:val="16"/>
        </w:rPr>
        <w:t>los</w:t>
      </w:r>
      <w:r>
        <w:rPr>
          <w:spacing w:val="-10"/>
          <w:sz w:val="16"/>
        </w:rPr>
        <w:t> </w:t>
      </w:r>
      <w:r>
        <w:rPr>
          <w:sz w:val="16"/>
        </w:rPr>
        <w:t>casos</w:t>
      </w:r>
      <w:r>
        <w:rPr>
          <w:spacing w:val="-8"/>
          <w:sz w:val="16"/>
        </w:rPr>
        <w:t> </w:t>
      </w:r>
      <w:r>
        <w:rPr>
          <w:sz w:val="16"/>
        </w:rPr>
        <w:t>de</w:t>
      </w:r>
      <w:r>
        <w:rPr>
          <w:spacing w:val="-8"/>
          <w:sz w:val="16"/>
        </w:rPr>
        <w:t> </w:t>
      </w:r>
      <w:r>
        <w:rPr>
          <w:sz w:val="16"/>
        </w:rPr>
        <w:t>autorizaciones</w:t>
      </w:r>
      <w:r>
        <w:rPr>
          <w:spacing w:val="-8"/>
          <w:sz w:val="16"/>
        </w:rPr>
        <w:t> </w:t>
      </w:r>
      <w:r>
        <w:rPr>
          <w:sz w:val="16"/>
        </w:rPr>
        <w:t>de</w:t>
      </w:r>
      <w:r>
        <w:rPr>
          <w:spacing w:val="-8"/>
          <w:sz w:val="16"/>
        </w:rPr>
        <w:t> </w:t>
      </w:r>
      <w:r>
        <w:rPr>
          <w:sz w:val="16"/>
        </w:rPr>
        <w:t>desmontes</w:t>
      </w:r>
      <w:r>
        <w:rPr>
          <w:spacing w:val="-8"/>
          <w:sz w:val="16"/>
        </w:rPr>
        <w:t> </w:t>
      </w:r>
      <w:r>
        <w:rPr>
          <w:sz w:val="16"/>
        </w:rPr>
        <w:t>y/o</w:t>
      </w:r>
      <w:r>
        <w:rPr>
          <w:spacing w:val="-8"/>
          <w:sz w:val="16"/>
        </w:rPr>
        <w:t> </w:t>
      </w:r>
      <w:r>
        <w:rPr>
          <w:sz w:val="16"/>
        </w:rPr>
        <w:t>aprovechamientos</w:t>
      </w:r>
      <w:r>
        <w:rPr>
          <w:spacing w:val="-10"/>
          <w:sz w:val="16"/>
        </w:rPr>
        <w:t> </w:t>
      </w:r>
      <w:r>
        <w:rPr>
          <w:sz w:val="16"/>
        </w:rPr>
        <w:t>forestales,</w:t>
      </w:r>
      <w:r>
        <w:rPr>
          <w:spacing w:val="-9"/>
          <w:sz w:val="16"/>
        </w:rPr>
        <w:t> </w:t>
      </w:r>
      <w:r>
        <w:rPr>
          <w:sz w:val="16"/>
        </w:rPr>
        <w:t>se</w:t>
      </w:r>
      <w:r>
        <w:rPr>
          <w:w w:val="100"/>
          <w:sz w:val="16"/>
        </w:rPr>
        <w:t> </w:t>
      </w:r>
      <w:r>
        <w:rPr>
          <w:sz w:val="16"/>
        </w:rPr>
        <w:t>verificará</w:t>
      </w:r>
      <w:r>
        <w:rPr>
          <w:spacing w:val="-10"/>
          <w:sz w:val="16"/>
        </w:rPr>
        <w:t> </w:t>
      </w:r>
      <w:r>
        <w:rPr>
          <w:i/>
          <w:sz w:val="16"/>
        </w:rPr>
        <w:t>in</w:t>
      </w:r>
      <w:r>
        <w:rPr>
          <w:i/>
          <w:spacing w:val="-8"/>
          <w:sz w:val="16"/>
        </w:rPr>
        <w:t> </w:t>
      </w:r>
      <w:r>
        <w:rPr>
          <w:i/>
          <w:sz w:val="16"/>
        </w:rPr>
        <w:t>situ</w:t>
      </w:r>
      <w:r>
        <w:rPr>
          <w:i/>
          <w:spacing w:val="-8"/>
          <w:sz w:val="16"/>
        </w:rPr>
        <w:t> </w:t>
      </w:r>
      <w:r>
        <w:rPr>
          <w:sz w:val="16"/>
        </w:rPr>
        <w:t>el</w:t>
      </w:r>
      <w:r>
        <w:rPr>
          <w:spacing w:val="-10"/>
          <w:sz w:val="16"/>
        </w:rPr>
        <w:t> </w:t>
      </w:r>
      <w:r>
        <w:rPr>
          <w:sz w:val="16"/>
        </w:rPr>
        <w:t>volumen</w:t>
      </w:r>
      <w:r>
        <w:rPr>
          <w:spacing w:val="-11"/>
          <w:sz w:val="16"/>
        </w:rPr>
        <w:t> </w:t>
      </w:r>
      <w:r>
        <w:rPr>
          <w:sz w:val="16"/>
        </w:rPr>
        <w:t>y</w:t>
      </w:r>
      <w:r>
        <w:rPr>
          <w:spacing w:val="-11"/>
          <w:sz w:val="16"/>
        </w:rPr>
        <w:t> </w:t>
      </w:r>
      <w:r>
        <w:rPr>
          <w:sz w:val="16"/>
        </w:rPr>
        <w:t>origen</w:t>
      </w:r>
      <w:r>
        <w:rPr>
          <w:spacing w:val="-8"/>
          <w:sz w:val="16"/>
        </w:rPr>
        <w:t> </w:t>
      </w:r>
      <w:r>
        <w:rPr>
          <w:sz w:val="16"/>
        </w:rPr>
        <w:t>del</w:t>
      </w:r>
      <w:r>
        <w:rPr>
          <w:spacing w:val="-10"/>
          <w:sz w:val="16"/>
        </w:rPr>
        <w:t> </w:t>
      </w:r>
      <w:r>
        <w:rPr>
          <w:sz w:val="16"/>
        </w:rPr>
        <w:t>producto</w:t>
      </w:r>
      <w:r>
        <w:rPr>
          <w:spacing w:val="-7"/>
          <w:sz w:val="16"/>
        </w:rPr>
        <w:t> </w:t>
      </w:r>
      <w:r>
        <w:rPr>
          <w:sz w:val="16"/>
        </w:rPr>
        <w:t>acopiado</w:t>
      </w:r>
      <w:r>
        <w:rPr>
          <w:spacing w:val="-11"/>
          <w:sz w:val="16"/>
        </w:rPr>
        <w:t> </w:t>
      </w:r>
      <w:r>
        <w:rPr>
          <w:sz w:val="16"/>
        </w:rPr>
        <w:t>de</w:t>
      </w:r>
      <w:r>
        <w:rPr>
          <w:spacing w:val="-7"/>
          <w:sz w:val="16"/>
        </w:rPr>
        <w:t> </w:t>
      </w:r>
      <w:r>
        <w:rPr>
          <w:sz w:val="16"/>
        </w:rPr>
        <w:t>la</w:t>
      </w:r>
      <w:r>
        <w:rPr>
          <w:spacing w:val="-10"/>
          <w:sz w:val="16"/>
        </w:rPr>
        <w:t> </w:t>
      </w:r>
      <w:r>
        <w:rPr>
          <w:sz w:val="16"/>
        </w:rPr>
        <w:t>especie</w:t>
      </w:r>
      <w:r>
        <w:rPr>
          <w:spacing w:val="-10"/>
          <w:sz w:val="16"/>
        </w:rPr>
        <w:t> </w:t>
      </w:r>
      <w:r>
        <w:rPr>
          <w:sz w:val="16"/>
        </w:rPr>
        <w:t>Palo</w:t>
      </w:r>
      <w:r>
        <w:rPr>
          <w:spacing w:val="-9"/>
          <w:sz w:val="16"/>
        </w:rPr>
        <w:t> </w:t>
      </w:r>
      <w:r>
        <w:rPr>
          <w:sz w:val="16"/>
        </w:rPr>
        <w:t>Santo”,</w:t>
      </w:r>
      <w:r>
        <w:rPr>
          <w:spacing w:val="-8"/>
          <w:sz w:val="16"/>
        </w:rPr>
        <w:t> </w:t>
      </w:r>
      <w:r>
        <w:rPr>
          <w:sz w:val="16"/>
        </w:rPr>
        <w:t>así</w:t>
      </w:r>
      <w:r>
        <w:rPr>
          <w:spacing w:val="-12"/>
          <w:sz w:val="16"/>
        </w:rPr>
        <w:t> </w:t>
      </w:r>
      <w:r>
        <w:rPr>
          <w:sz w:val="16"/>
        </w:rPr>
        <w:t>como</w:t>
      </w:r>
      <w:r>
        <w:rPr>
          <w:spacing w:val="-9"/>
          <w:sz w:val="16"/>
        </w:rPr>
        <w:t> </w:t>
      </w:r>
      <w:r>
        <w:rPr>
          <w:sz w:val="16"/>
        </w:rPr>
        <w:t>la</w:t>
      </w:r>
      <w:r>
        <w:rPr>
          <w:spacing w:val="-10"/>
          <w:sz w:val="16"/>
        </w:rPr>
        <w:t> </w:t>
      </w:r>
      <w:r>
        <w:rPr>
          <w:sz w:val="16"/>
        </w:rPr>
        <w:t>presentación de declaraciones juradas sobre la</w:t>
      </w:r>
      <w:r>
        <w:rPr>
          <w:spacing w:val="-10"/>
          <w:sz w:val="16"/>
        </w:rPr>
        <w:t> </w:t>
      </w:r>
      <w:r>
        <w:rPr>
          <w:sz w:val="16"/>
        </w:rPr>
        <w:t>madera.</w:t>
      </w:r>
    </w:p>
    <w:p>
      <w:pPr>
        <w:pStyle w:val="BodyText"/>
        <w:spacing w:before="12"/>
        <w:rPr>
          <w:sz w:val="15"/>
        </w:rPr>
      </w:pPr>
    </w:p>
    <w:p>
      <w:pPr>
        <w:tabs>
          <w:tab w:pos="829" w:val="left" w:leader="none"/>
        </w:tabs>
        <w:spacing w:line="240" w:lineRule="auto" w:before="0"/>
        <w:ind w:left="122" w:right="117" w:firstLine="0"/>
        <w:jc w:val="both"/>
        <w:rPr>
          <w:sz w:val="16"/>
        </w:rPr>
      </w:pPr>
      <w:r>
        <w:rPr>
          <w:position w:val="6"/>
          <w:sz w:val="10"/>
        </w:rPr>
        <w:t>280</w:t>
        <w:tab/>
      </w:r>
      <w:r>
        <w:rPr>
          <w:sz w:val="16"/>
        </w:rPr>
        <w:t>Informe</w:t>
      </w:r>
      <w:r>
        <w:rPr>
          <w:spacing w:val="-5"/>
          <w:sz w:val="16"/>
        </w:rPr>
        <w:t> </w:t>
      </w:r>
      <w:r>
        <w:rPr>
          <w:sz w:val="16"/>
        </w:rPr>
        <w:t>presentado</w:t>
      </w:r>
      <w:r>
        <w:rPr>
          <w:spacing w:val="-7"/>
          <w:sz w:val="16"/>
        </w:rPr>
        <w:t> </w:t>
      </w:r>
      <w:r>
        <w:rPr>
          <w:sz w:val="16"/>
        </w:rPr>
        <w:t>por</w:t>
      </w:r>
      <w:r>
        <w:rPr>
          <w:spacing w:val="-4"/>
          <w:sz w:val="16"/>
        </w:rPr>
        <w:t> </w:t>
      </w:r>
      <w:r>
        <w:rPr>
          <w:sz w:val="16"/>
        </w:rPr>
        <w:t>Lhaka</w:t>
      </w:r>
      <w:r>
        <w:rPr>
          <w:spacing w:val="-8"/>
          <w:sz w:val="16"/>
        </w:rPr>
        <w:t> </w:t>
      </w:r>
      <w:r>
        <w:rPr>
          <w:sz w:val="16"/>
        </w:rPr>
        <w:t>Honhat</w:t>
      </w:r>
      <w:r>
        <w:rPr>
          <w:spacing w:val="-6"/>
          <w:sz w:val="16"/>
        </w:rPr>
        <w:t> </w:t>
      </w:r>
      <w:r>
        <w:rPr>
          <w:sz w:val="16"/>
        </w:rPr>
        <w:t>con</w:t>
      </w:r>
      <w:r>
        <w:rPr>
          <w:spacing w:val="-6"/>
          <w:sz w:val="16"/>
        </w:rPr>
        <w:t> </w:t>
      </w:r>
      <w:r>
        <w:rPr>
          <w:sz w:val="16"/>
        </w:rPr>
        <w:t>representación</w:t>
      </w:r>
      <w:r>
        <w:rPr>
          <w:spacing w:val="-8"/>
          <w:sz w:val="16"/>
        </w:rPr>
        <w:t> </w:t>
      </w:r>
      <w:r>
        <w:rPr>
          <w:sz w:val="16"/>
        </w:rPr>
        <w:t>del</w:t>
      </w:r>
      <w:r>
        <w:rPr>
          <w:spacing w:val="-6"/>
          <w:sz w:val="16"/>
        </w:rPr>
        <w:t> </w:t>
      </w:r>
      <w:r>
        <w:rPr>
          <w:sz w:val="16"/>
        </w:rPr>
        <w:t>CELS</w:t>
      </w:r>
      <w:r>
        <w:rPr>
          <w:spacing w:val="-4"/>
          <w:sz w:val="16"/>
        </w:rPr>
        <w:t> </w:t>
      </w:r>
      <w:r>
        <w:rPr>
          <w:sz w:val="16"/>
        </w:rPr>
        <w:t>en</w:t>
      </w:r>
      <w:r>
        <w:rPr>
          <w:spacing w:val="-6"/>
          <w:sz w:val="16"/>
        </w:rPr>
        <w:t> </w:t>
      </w:r>
      <w:r>
        <w:rPr>
          <w:sz w:val="16"/>
        </w:rPr>
        <w:t>relación</w:t>
      </w:r>
      <w:r>
        <w:rPr>
          <w:spacing w:val="-6"/>
          <w:sz w:val="16"/>
        </w:rPr>
        <w:t> </w:t>
      </w:r>
      <w:r>
        <w:rPr>
          <w:sz w:val="16"/>
        </w:rPr>
        <w:t>al</w:t>
      </w:r>
      <w:r>
        <w:rPr>
          <w:spacing w:val="-6"/>
          <w:sz w:val="16"/>
        </w:rPr>
        <w:t> </w:t>
      </w:r>
      <w:r>
        <w:rPr>
          <w:sz w:val="16"/>
        </w:rPr>
        <w:t>estado</w:t>
      </w:r>
      <w:r>
        <w:rPr>
          <w:spacing w:val="-7"/>
          <w:sz w:val="16"/>
        </w:rPr>
        <w:t> </w:t>
      </w:r>
      <w:r>
        <w:rPr>
          <w:sz w:val="16"/>
        </w:rPr>
        <w:t>de</w:t>
      </w:r>
      <w:r>
        <w:rPr>
          <w:spacing w:val="-5"/>
          <w:sz w:val="16"/>
        </w:rPr>
        <w:t> </w:t>
      </w:r>
      <w:r>
        <w:rPr>
          <w:sz w:val="16"/>
        </w:rPr>
        <w:t>situación</w:t>
      </w:r>
      <w:r>
        <w:rPr>
          <w:w w:val="100"/>
          <w:sz w:val="16"/>
        </w:rPr>
        <w:t> </w:t>
      </w:r>
      <w:r>
        <w:rPr>
          <w:sz w:val="16"/>
        </w:rPr>
        <w:t>de la demarcación y traslados, deforestación, presencia en la zona por parte del Estado, visita a pobladores relocalizados, reparaciones y consultas sobre proyectos de infraestructura y conflictividad en la zona, desde finales</w:t>
      </w:r>
      <w:r>
        <w:rPr>
          <w:spacing w:val="-9"/>
          <w:sz w:val="16"/>
        </w:rPr>
        <w:t> </w:t>
      </w:r>
      <w:r>
        <w:rPr>
          <w:sz w:val="16"/>
        </w:rPr>
        <w:t>de</w:t>
      </w:r>
      <w:r>
        <w:rPr>
          <w:spacing w:val="-12"/>
          <w:sz w:val="16"/>
        </w:rPr>
        <w:t> </w:t>
      </w:r>
      <w:r>
        <w:rPr>
          <w:sz w:val="16"/>
        </w:rPr>
        <w:t>2013,</w:t>
      </w:r>
      <w:r>
        <w:rPr>
          <w:spacing w:val="-11"/>
          <w:sz w:val="16"/>
        </w:rPr>
        <w:t> </w:t>
      </w:r>
      <w:r>
        <w:rPr>
          <w:sz w:val="16"/>
        </w:rPr>
        <w:t>de</w:t>
      </w:r>
      <w:r>
        <w:rPr>
          <w:spacing w:val="-12"/>
          <w:sz w:val="16"/>
        </w:rPr>
        <w:t> </w:t>
      </w:r>
      <w:r>
        <w:rPr>
          <w:sz w:val="16"/>
        </w:rPr>
        <w:t>24</w:t>
      </w:r>
      <w:r>
        <w:rPr>
          <w:spacing w:val="-11"/>
          <w:sz w:val="16"/>
        </w:rPr>
        <w:t> </w:t>
      </w:r>
      <w:r>
        <w:rPr>
          <w:sz w:val="16"/>
        </w:rPr>
        <w:t>de</w:t>
      </w:r>
      <w:r>
        <w:rPr>
          <w:spacing w:val="-9"/>
          <w:sz w:val="16"/>
        </w:rPr>
        <w:t> </w:t>
      </w:r>
      <w:r>
        <w:rPr>
          <w:sz w:val="16"/>
        </w:rPr>
        <w:t>abril</w:t>
      </w:r>
      <w:r>
        <w:rPr>
          <w:spacing w:val="-13"/>
          <w:sz w:val="16"/>
        </w:rPr>
        <w:t> </w:t>
      </w:r>
      <w:r>
        <w:rPr>
          <w:sz w:val="16"/>
        </w:rPr>
        <w:t>2014.</w:t>
      </w:r>
      <w:r>
        <w:rPr>
          <w:spacing w:val="-13"/>
          <w:sz w:val="16"/>
        </w:rPr>
        <w:t> </w:t>
      </w:r>
      <w:r>
        <w:rPr>
          <w:sz w:val="16"/>
        </w:rPr>
        <w:t>Expediente</w:t>
      </w:r>
      <w:r>
        <w:rPr>
          <w:spacing w:val="-12"/>
          <w:sz w:val="16"/>
        </w:rPr>
        <w:t> </w:t>
      </w:r>
      <w:r>
        <w:rPr>
          <w:sz w:val="16"/>
        </w:rPr>
        <w:t>de</w:t>
      </w:r>
      <w:r>
        <w:rPr>
          <w:spacing w:val="-12"/>
          <w:sz w:val="16"/>
        </w:rPr>
        <w:t> </w:t>
      </w:r>
      <w:r>
        <w:rPr>
          <w:sz w:val="16"/>
        </w:rPr>
        <w:t>prueba,</w:t>
      </w:r>
      <w:r>
        <w:rPr>
          <w:spacing w:val="-13"/>
          <w:sz w:val="16"/>
        </w:rPr>
        <w:t> </w:t>
      </w:r>
      <w:r>
        <w:rPr>
          <w:sz w:val="16"/>
        </w:rPr>
        <w:t>anexo</w:t>
      </w:r>
      <w:r>
        <w:rPr>
          <w:spacing w:val="-11"/>
          <w:sz w:val="16"/>
        </w:rPr>
        <w:t> </w:t>
      </w:r>
      <w:r>
        <w:rPr>
          <w:sz w:val="16"/>
        </w:rPr>
        <w:t>L.</w:t>
      </w:r>
      <w:r>
        <w:rPr>
          <w:spacing w:val="-11"/>
          <w:sz w:val="16"/>
        </w:rPr>
        <w:t> </w:t>
      </w:r>
      <w:r>
        <w:rPr>
          <w:sz w:val="16"/>
        </w:rPr>
        <w:t>29</w:t>
      </w:r>
      <w:r>
        <w:rPr>
          <w:spacing w:val="-11"/>
          <w:sz w:val="16"/>
        </w:rPr>
        <w:t> </w:t>
      </w:r>
      <w:r>
        <w:rPr>
          <w:sz w:val="16"/>
        </w:rPr>
        <w:t>al</w:t>
      </w:r>
      <w:r>
        <w:rPr>
          <w:spacing w:val="-11"/>
          <w:sz w:val="16"/>
        </w:rPr>
        <w:t> </w:t>
      </w:r>
      <w:r>
        <w:rPr>
          <w:sz w:val="16"/>
        </w:rPr>
        <w:t>escrito</w:t>
      </w:r>
      <w:r>
        <w:rPr>
          <w:spacing w:val="-11"/>
          <w:sz w:val="16"/>
        </w:rPr>
        <w:t> </w:t>
      </w:r>
      <w:r>
        <w:rPr>
          <w:sz w:val="16"/>
        </w:rPr>
        <w:t>de</w:t>
      </w:r>
      <w:r>
        <w:rPr>
          <w:spacing w:val="-12"/>
          <w:sz w:val="16"/>
        </w:rPr>
        <w:t> </w:t>
      </w:r>
      <w:r>
        <w:rPr>
          <w:sz w:val="16"/>
        </w:rPr>
        <w:t>solicitudes</w:t>
      </w:r>
      <w:r>
        <w:rPr>
          <w:spacing w:val="-12"/>
          <w:sz w:val="16"/>
        </w:rPr>
        <w:t> </w:t>
      </w:r>
      <w:r>
        <w:rPr>
          <w:sz w:val="16"/>
        </w:rPr>
        <w:t>y</w:t>
      </w:r>
      <w:r>
        <w:rPr>
          <w:spacing w:val="-11"/>
          <w:sz w:val="16"/>
        </w:rPr>
        <w:t> </w:t>
      </w:r>
      <w:r>
        <w:rPr>
          <w:sz w:val="16"/>
        </w:rPr>
        <w:t>argumentos, fs. 34.456 a</w:t>
      </w:r>
      <w:r>
        <w:rPr>
          <w:spacing w:val="-10"/>
          <w:sz w:val="16"/>
        </w:rPr>
        <w:t> </w:t>
      </w:r>
      <w:r>
        <w:rPr>
          <w:sz w:val="16"/>
        </w:rPr>
        <w:t>34.460.</w:t>
      </w:r>
    </w:p>
    <w:p>
      <w:pPr>
        <w:spacing w:after="0" w:line="240" w:lineRule="auto"/>
        <w:jc w:val="both"/>
        <w:rPr>
          <w:sz w:val="16"/>
        </w:rPr>
        <w:sectPr>
          <w:pgSz w:w="12240" w:h="15840"/>
          <w:pgMar w:header="0" w:footer="1000" w:top="1340" w:bottom="1200" w:left="1580" w:right="1580"/>
        </w:sectPr>
      </w:pPr>
    </w:p>
    <w:p>
      <w:pPr>
        <w:pStyle w:val="BodyText"/>
        <w:spacing w:line="252" w:lineRule="exact" w:before="76"/>
        <w:ind w:left="122" w:right="133"/>
        <w:jc w:val="both"/>
      </w:pPr>
      <w:r>
        <w:rPr/>
        <w:t>compromiso</w:t>
      </w:r>
      <w:r>
        <w:rPr>
          <w:spacing w:val="-20"/>
        </w:rPr>
        <w:t> </w:t>
      </w:r>
      <w:r>
        <w:rPr/>
        <w:t>entre</w:t>
      </w:r>
      <w:r>
        <w:rPr>
          <w:spacing w:val="-20"/>
        </w:rPr>
        <w:t> </w:t>
      </w:r>
      <w:r>
        <w:rPr/>
        <w:t>el</w:t>
      </w:r>
      <w:r>
        <w:rPr>
          <w:spacing w:val="-21"/>
        </w:rPr>
        <w:t> </w:t>
      </w:r>
      <w:r>
        <w:rPr/>
        <w:t>Ministerio</w:t>
      </w:r>
      <w:r>
        <w:rPr>
          <w:spacing w:val="-22"/>
        </w:rPr>
        <w:t> </w:t>
      </w:r>
      <w:r>
        <w:rPr/>
        <w:t>de</w:t>
      </w:r>
      <w:r>
        <w:rPr>
          <w:spacing w:val="-22"/>
        </w:rPr>
        <w:t> </w:t>
      </w:r>
      <w:r>
        <w:rPr/>
        <w:t>Seguridad</w:t>
      </w:r>
      <w:r>
        <w:rPr>
          <w:spacing w:val="-20"/>
        </w:rPr>
        <w:t> </w:t>
      </w:r>
      <w:r>
        <w:rPr/>
        <w:t>y</w:t>
      </w:r>
      <w:r>
        <w:rPr>
          <w:spacing w:val="-19"/>
        </w:rPr>
        <w:t> </w:t>
      </w:r>
      <w:r>
        <w:rPr/>
        <w:t>el</w:t>
      </w:r>
      <w:r>
        <w:rPr>
          <w:spacing w:val="-18"/>
        </w:rPr>
        <w:t> </w:t>
      </w:r>
      <w:r>
        <w:rPr/>
        <w:t>de</w:t>
      </w:r>
      <w:r>
        <w:rPr>
          <w:spacing w:val="-22"/>
        </w:rPr>
        <w:t> </w:t>
      </w:r>
      <w:r>
        <w:rPr/>
        <w:t>Derechos</w:t>
      </w:r>
      <w:r>
        <w:rPr>
          <w:spacing w:val="-19"/>
        </w:rPr>
        <w:t> </w:t>
      </w:r>
      <w:r>
        <w:rPr/>
        <w:t>Humanos,</w:t>
      </w:r>
      <w:r>
        <w:rPr>
          <w:spacing w:val="-20"/>
        </w:rPr>
        <w:t> </w:t>
      </w:r>
      <w:r>
        <w:rPr/>
        <w:t>ambos</w:t>
      </w:r>
      <w:r>
        <w:rPr>
          <w:spacing w:val="-22"/>
        </w:rPr>
        <w:t> </w:t>
      </w:r>
      <w:r>
        <w:rPr/>
        <w:t>de</w:t>
      </w:r>
      <w:r>
        <w:rPr>
          <w:spacing w:val="-22"/>
        </w:rPr>
        <w:t> </w:t>
      </w:r>
      <w:r>
        <w:rPr/>
        <w:t>Salta, para tratar la cuestión de la</w:t>
      </w:r>
      <w:r>
        <w:rPr>
          <w:spacing w:val="-15"/>
        </w:rPr>
        <w:t> </w:t>
      </w:r>
      <w:r>
        <w:rPr/>
        <w:t>deforestación</w:t>
      </w:r>
      <w:r>
        <w:rPr>
          <w:rFonts w:ascii="Calibri" w:hAnsi="Calibri"/>
          <w:position w:val="8"/>
          <w:sz w:val="14"/>
        </w:rPr>
        <w:t>281</w:t>
      </w:r>
      <w:r>
        <w:rPr/>
        <w:t>.</w:t>
      </w:r>
    </w:p>
    <w:p>
      <w:pPr>
        <w:pStyle w:val="BodyText"/>
        <w:spacing w:before="9"/>
      </w:pPr>
    </w:p>
    <w:p>
      <w:pPr>
        <w:pStyle w:val="ListParagraph"/>
        <w:numPr>
          <w:ilvl w:val="0"/>
          <w:numId w:val="31"/>
        </w:numPr>
        <w:tabs>
          <w:tab w:pos="830" w:val="left" w:leader="none"/>
        </w:tabs>
        <w:spacing w:line="244" w:lineRule="auto" w:before="0" w:after="0"/>
        <w:ind w:left="122" w:right="122" w:firstLine="0"/>
        <w:jc w:val="both"/>
        <w:rPr>
          <w:sz w:val="20"/>
        </w:rPr>
      </w:pPr>
      <w:r>
        <w:rPr>
          <w:sz w:val="20"/>
        </w:rPr>
        <w:t>Pese a lo anterior, el 4 de enero de 2007, los representantes entregaron a la Comisión un informe hecho por la organización civil ASOCIANA, que confirmó que se había agravado la situación de la tala ilegal</w:t>
      </w:r>
      <w:r>
        <w:rPr>
          <w:rFonts w:ascii="Calibri" w:hAnsi="Calibri"/>
          <w:position w:val="8"/>
          <w:sz w:val="14"/>
        </w:rPr>
        <w:t>282</w:t>
      </w:r>
      <w:r>
        <w:rPr>
          <w:sz w:val="20"/>
        </w:rPr>
        <w:t>. En agosto del mismo año Lhaka Honhat y</w:t>
      </w:r>
      <w:r>
        <w:rPr>
          <w:spacing w:val="-8"/>
          <w:sz w:val="20"/>
        </w:rPr>
        <w:t> </w:t>
      </w:r>
      <w:r>
        <w:rPr>
          <w:sz w:val="20"/>
        </w:rPr>
        <w:t>la</w:t>
      </w:r>
      <w:r>
        <w:rPr>
          <w:spacing w:val="-5"/>
          <w:sz w:val="20"/>
        </w:rPr>
        <w:t> </w:t>
      </w:r>
      <w:r>
        <w:rPr>
          <w:sz w:val="20"/>
        </w:rPr>
        <w:t>OFC</w:t>
      </w:r>
      <w:r>
        <w:rPr>
          <w:spacing w:val="-6"/>
          <w:sz w:val="20"/>
        </w:rPr>
        <w:t> </w:t>
      </w:r>
      <w:r>
        <w:rPr>
          <w:sz w:val="20"/>
        </w:rPr>
        <w:t>suscribieron</w:t>
      </w:r>
      <w:r>
        <w:rPr>
          <w:spacing w:val="-7"/>
          <w:sz w:val="20"/>
        </w:rPr>
        <w:t> </w:t>
      </w:r>
      <w:r>
        <w:rPr>
          <w:sz w:val="20"/>
        </w:rPr>
        <w:t>un</w:t>
      </w:r>
      <w:r>
        <w:rPr>
          <w:spacing w:val="-7"/>
          <w:sz w:val="20"/>
        </w:rPr>
        <w:t> </w:t>
      </w:r>
      <w:r>
        <w:rPr>
          <w:sz w:val="20"/>
        </w:rPr>
        <w:t>Acta-Acuerdo</w:t>
      </w:r>
      <w:r>
        <w:rPr>
          <w:rFonts w:ascii="Calibri" w:hAnsi="Calibri"/>
          <w:position w:val="8"/>
          <w:sz w:val="14"/>
        </w:rPr>
        <w:t>283</w:t>
      </w:r>
      <w:r>
        <w:rPr>
          <w:sz w:val="20"/>
        </w:rPr>
        <w:t>,</w:t>
      </w:r>
      <w:r>
        <w:rPr>
          <w:spacing w:val="-8"/>
          <w:sz w:val="20"/>
        </w:rPr>
        <w:t> </w:t>
      </w:r>
      <w:r>
        <w:rPr>
          <w:sz w:val="20"/>
        </w:rPr>
        <w:t>en</w:t>
      </w:r>
      <w:r>
        <w:rPr>
          <w:spacing w:val="-7"/>
          <w:sz w:val="20"/>
        </w:rPr>
        <w:t> </w:t>
      </w:r>
      <w:r>
        <w:rPr>
          <w:sz w:val="20"/>
        </w:rPr>
        <w:t>la</w:t>
      </w:r>
      <w:r>
        <w:rPr>
          <w:spacing w:val="-5"/>
          <w:sz w:val="20"/>
        </w:rPr>
        <w:t> </w:t>
      </w:r>
      <w:r>
        <w:rPr>
          <w:sz w:val="20"/>
        </w:rPr>
        <w:t>que</w:t>
      </w:r>
      <w:r>
        <w:rPr>
          <w:spacing w:val="-7"/>
          <w:sz w:val="20"/>
        </w:rPr>
        <w:t> </w:t>
      </w:r>
      <w:r>
        <w:rPr>
          <w:sz w:val="20"/>
        </w:rPr>
        <w:t>se</w:t>
      </w:r>
      <w:r>
        <w:rPr>
          <w:spacing w:val="-8"/>
          <w:sz w:val="20"/>
        </w:rPr>
        <w:t> </w:t>
      </w:r>
      <w:r>
        <w:rPr>
          <w:sz w:val="20"/>
        </w:rPr>
        <w:t>dispuso</w:t>
      </w:r>
      <w:r>
        <w:rPr>
          <w:spacing w:val="-7"/>
          <w:sz w:val="20"/>
        </w:rPr>
        <w:t> </w:t>
      </w:r>
      <w:r>
        <w:rPr>
          <w:sz w:val="20"/>
        </w:rPr>
        <w:t>exigir</w:t>
      </w:r>
      <w:r>
        <w:rPr>
          <w:spacing w:val="-7"/>
          <w:sz w:val="20"/>
        </w:rPr>
        <w:t> </w:t>
      </w:r>
      <w:r>
        <w:rPr>
          <w:sz w:val="20"/>
        </w:rPr>
        <w:t>al</w:t>
      </w:r>
      <w:r>
        <w:rPr>
          <w:spacing w:val="-5"/>
          <w:sz w:val="20"/>
        </w:rPr>
        <w:t> </w:t>
      </w:r>
      <w:r>
        <w:rPr>
          <w:sz w:val="20"/>
        </w:rPr>
        <w:t>Gobierno</w:t>
      </w:r>
      <w:r>
        <w:rPr>
          <w:spacing w:val="-4"/>
          <w:sz w:val="20"/>
        </w:rPr>
        <w:t> </w:t>
      </w:r>
      <w:r>
        <w:rPr>
          <w:sz w:val="20"/>
        </w:rPr>
        <w:t>el</w:t>
      </w:r>
      <w:r>
        <w:rPr>
          <w:spacing w:val="-8"/>
          <w:sz w:val="20"/>
        </w:rPr>
        <w:t> </w:t>
      </w:r>
      <w:r>
        <w:rPr>
          <w:sz w:val="20"/>
        </w:rPr>
        <w:t>cese total de la tala indiscriminada de madera, en cumplimiento con el decreto 3097/95 y la ley</w:t>
      </w:r>
      <w:r>
        <w:rPr>
          <w:spacing w:val="-11"/>
          <w:sz w:val="20"/>
        </w:rPr>
        <w:t> </w:t>
      </w:r>
      <w:r>
        <w:rPr>
          <w:sz w:val="20"/>
        </w:rPr>
        <w:t>Provincial</w:t>
      </w:r>
      <w:r>
        <w:rPr>
          <w:spacing w:val="-10"/>
          <w:sz w:val="20"/>
        </w:rPr>
        <w:t> </w:t>
      </w:r>
      <w:r>
        <w:rPr>
          <w:sz w:val="20"/>
        </w:rPr>
        <w:t>7.070</w:t>
      </w:r>
      <w:r>
        <w:rPr>
          <w:spacing w:val="-8"/>
          <w:sz w:val="20"/>
        </w:rPr>
        <w:t> </w:t>
      </w:r>
      <w:r>
        <w:rPr>
          <w:sz w:val="20"/>
        </w:rPr>
        <w:t>de</w:t>
      </w:r>
      <w:r>
        <w:rPr>
          <w:spacing w:val="-9"/>
          <w:sz w:val="20"/>
        </w:rPr>
        <w:t> </w:t>
      </w:r>
      <w:r>
        <w:rPr>
          <w:sz w:val="20"/>
        </w:rPr>
        <w:t>Protección</w:t>
      </w:r>
      <w:r>
        <w:rPr>
          <w:spacing w:val="-9"/>
          <w:sz w:val="20"/>
        </w:rPr>
        <w:t> </w:t>
      </w:r>
      <w:r>
        <w:rPr>
          <w:sz w:val="20"/>
        </w:rPr>
        <w:t>al</w:t>
      </w:r>
      <w:r>
        <w:rPr>
          <w:spacing w:val="-7"/>
          <w:sz w:val="20"/>
        </w:rPr>
        <w:t> </w:t>
      </w:r>
      <w:r>
        <w:rPr>
          <w:sz w:val="20"/>
        </w:rPr>
        <w:t>Medio</w:t>
      </w:r>
      <w:r>
        <w:rPr>
          <w:spacing w:val="-11"/>
          <w:sz w:val="20"/>
        </w:rPr>
        <w:t> </w:t>
      </w:r>
      <w:r>
        <w:rPr>
          <w:sz w:val="20"/>
        </w:rPr>
        <w:t>Ambiente</w:t>
      </w:r>
      <w:r>
        <w:rPr>
          <w:rFonts w:ascii="Calibri" w:hAnsi="Calibri"/>
          <w:position w:val="8"/>
          <w:sz w:val="14"/>
        </w:rPr>
        <w:t>284</w:t>
      </w:r>
      <w:r>
        <w:rPr>
          <w:sz w:val="20"/>
        </w:rPr>
        <w:t>.</w:t>
      </w:r>
      <w:r>
        <w:rPr>
          <w:spacing w:val="-11"/>
          <w:sz w:val="20"/>
        </w:rPr>
        <w:t> </w:t>
      </w:r>
      <w:r>
        <w:rPr>
          <w:sz w:val="20"/>
        </w:rPr>
        <w:t>En</w:t>
      </w:r>
      <w:r>
        <w:rPr>
          <w:spacing w:val="-9"/>
          <w:sz w:val="20"/>
        </w:rPr>
        <w:t> </w:t>
      </w:r>
      <w:r>
        <w:rPr>
          <w:sz w:val="20"/>
        </w:rPr>
        <w:t>2010</w:t>
      </w:r>
      <w:r>
        <w:rPr>
          <w:spacing w:val="-10"/>
          <w:sz w:val="20"/>
        </w:rPr>
        <w:t> </w:t>
      </w:r>
      <w:r>
        <w:rPr>
          <w:sz w:val="20"/>
        </w:rPr>
        <w:t>y</w:t>
      </w:r>
      <w:r>
        <w:rPr>
          <w:spacing w:val="-11"/>
          <w:sz w:val="20"/>
        </w:rPr>
        <w:t> </w:t>
      </w:r>
      <w:r>
        <w:rPr>
          <w:sz w:val="20"/>
        </w:rPr>
        <w:t>2013,</w:t>
      </w:r>
      <w:r>
        <w:rPr>
          <w:spacing w:val="-10"/>
          <w:sz w:val="20"/>
        </w:rPr>
        <w:t> </w:t>
      </w:r>
      <w:r>
        <w:rPr>
          <w:sz w:val="20"/>
        </w:rPr>
        <w:t>la</w:t>
      </w:r>
      <w:r>
        <w:rPr>
          <w:spacing w:val="-10"/>
          <w:sz w:val="20"/>
        </w:rPr>
        <w:t> </w:t>
      </w:r>
      <w:r>
        <w:rPr>
          <w:sz w:val="20"/>
        </w:rPr>
        <w:t>OFC</w:t>
      </w:r>
      <w:r>
        <w:rPr>
          <w:spacing w:val="-8"/>
          <w:sz w:val="20"/>
        </w:rPr>
        <w:t> </w:t>
      </w:r>
      <w:r>
        <w:rPr>
          <w:sz w:val="20"/>
        </w:rPr>
        <w:t>y</w:t>
      </w:r>
      <w:r>
        <w:rPr>
          <w:spacing w:val="-8"/>
          <w:sz w:val="20"/>
        </w:rPr>
        <w:t> </w:t>
      </w:r>
      <w:r>
        <w:rPr>
          <w:sz w:val="20"/>
        </w:rPr>
        <w:t>Lhaka Honhat</w:t>
      </w:r>
      <w:r>
        <w:rPr>
          <w:spacing w:val="-11"/>
          <w:sz w:val="20"/>
        </w:rPr>
        <w:t> </w:t>
      </w:r>
      <w:r>
        <w:rPr>
          <w:sz w:val="20"/>
        </w:rPr>
        <w:t>hicieron</w:t>
      </w:r>
      <w:r>
        <w:rPr>
          <w:spacing w:val="-10"/>
          <w:sz w:val="20"/>
        </w:rPr>
        <w:t> </w:t>
      </w:r>
      <w:r>
        <w:rPr>
          <w:sz w:val="20"/>
        </w:rPr>
        <w:t>presentaciones</w:t>
      </w:r>
      <w:r>
        <w:rPr>
          <w:spacing w:val="-10"/>
          <w:sz w:val="20"/>
        </w:rPr>
        <w:t> </w:t>
      </w:r>
      <w:r>
        <w:rPr>
          <w:sz w:val="20"/>
        </w:rPr>
        <w:t>requiriendo</w:t>
      </w:r>
      <w:r>
        <w:rPr>
          <w:spacing w:val="-12"/>
          <w:sz w:val="20"/>
        </w:rPr>
        <w:t> </w:t>
      </w:r>
      <w:r>
        <w:rPr>
          <w:sz w:val="20"/>
        </w:rPr>
        <w:t>a</w:t>
      </w:r>
      <w:r>
        <w:rPr>
          <w:spacing w:val="-9"/>
          <w:sz w:val="20"/>
        </w:rPr>
        <w:t> </w:t>
      </w:r>
      <w:r>
        <w:rPr>
          <w:sz w:val="20"/>
        </w:rPr>
        <w:t>autoridades</w:t>
      </w:r>
      <w:r>
        <w:rPr>
          <w:spacing w:val="-12"/>
          <w:sz w:val="20"/>
        </w:rPr>
        <w:t> </w:t>
      </w:r>
      <w:r>
        <w:rPr>
          <w:sz w:val="20"/>
        </w:rPr>
        <w:t>la</w:t>
      </w:r>
      <w:r>
        <w:rPr>
          <w:spacing w:val="-11"/>
          <w:sz w:val="20"/>
        </w:rPr>
        <w:t> </w:t>
      </w:r>
      <w:r>
        <w:rPr>
          <w:sz w:val="20"/>
        </w:rPr>
        <w:t>implementación</w:t>
      </w:r>
      <w:r>
        <w:rPr>
          <w:spacing w:val="-11"/>
          <w:sz w:val="20"/>
        </w:rPr>
        <w:t> </w:t>
      </w:r>
      <w:r>
        <w:rPr>
          <w:sz w:val="20"/>
        </w:rPr>
        <w:t>efectiva</w:t>
      </w:r>
      <w:r>
        <w:rPr>
          <w:spacing w:val="-11"/>
          <w:sz w:val="20"/>
        </w:rPr>
        <w:t> </w:t>
      </w:r>
      <w:r>
        <w:rPr>
          <w:sz w:val="20"/>
        </w:rPr>
        <w:t>de sistemas de control de la tala ilegal en la zona</w:t>
      </w:r>
      <w:r>
        <w:rPr>
          <w:rFonts w:ascii="Calibri" w:hAnsi="Calibri"/>
          <w:position w:val="8"/>
          <w:sz w:val="14"/>
        </w:rPr>
        <w:t>285</w:t>
      </w:r>
      <w:r>
        <w:rPr>
          <w:sz w:val="20"/>
        </w:rPr>
        <w:t>. Los representantes afirmaron que los puestos de control previstos por el Decreto 2786/07 no fueron instalados. También informaron que se hicieron diversas denuncias</w:t>
      </w:r>
      <w:r>
        <w:rPr>
          <w:rFonts w:ascii="Calibri" w:hAnsi="Calibri"/>
          <w:position w:val="8"/>
          <w:sz w:val="14"/>
        </w:rPr>
        <w:t>286</w:t>
      </w:r>
      <w:r>
        <w:rPr>
          <w:sz w:val="20"/>
        </w:rPr>
        <w:t>. En nota de 26 de abril de 2017 a la Comisión,</w:t>
      </w:r>
      <w:r>
        <w:rPr>
          <w:spacing w:val="-17"/>
          <w:sz w:val="20"/>
        </w:rPr>
        <w:t> </w:t>
      </w:r>
      <w:r>
        <w:rPr>
          <w:sz w:val="20"/>
        </w:rPr>
        <w:t>los</w:t>
      </w:r>
      <w:r>
        <w:rPr>
          <w:spacing w:val="-15"/>
          <w:sz w:val="20"/>
        </w:rPr>
        <w:t> </w:t>
      </w:r>
      <w:r>
        <w:rPr>
          <w:sz w:val="20"/>
        </w:rPr>
        <w:t>representantes</w:t>
      </w:r>
      <w:r>
        <w:rPr>
          <w:spacing w:val="-14"/>
          <w:sz w:val="20"/>
        </w:rPr>
        <w:t> </w:t>
      </w:r>
      <w:r>
        <w:rPr>
          <w:sz w:val="20"/>
        </w:rPr>
        <w:t>señalaron</w:t>
      </w:r>
      <w:r>
        <w:rPr>
          <w:spacing w:val="-13"/>
          <w:sz w:val="20"/>
        </w:rPr>
        <w:t> </w:t>
      </w:r>
      <w:r>
        <w:rPr>
          <w:sz w:val="20"/>
        </w:rPr>
        <w:t>que</w:t>
      </w:r>
      <w:r>
        <w:rPr>
          <w:spacing w:val="-15"/>
          <w:sz w:val="20"/>
        </w:rPr>
        <w:t> </w:t>
      </w:r>
      <w:r>
        <w:rPr>
          <w:sz w:val="20"/>
        </w:rPr>
        <w:t>se</w:t>
      </w:r>
      <w:r>
        <w:rPr>
          <w:spacing w:val="-15"/>
          <w:sz w:val="20"/>
        </w:rPr>
        <w:t> </w:t>
      </w:r>
      <w:r>
        <w:rPr>
          <w:sz w:val="20"/>
        </w:rPr>
        <w:t>estaban</w:t>
      </w:r>
      <w:r>
        <w:rPr>
          <w:spacing w:val="-13"/>
          <w:sz w:val="20"/>
        </w:rPr>
        <w:t> </w:t>
      </w:r>
      <w:r>
        <w:rPr>
          <w:sz w:val="20"/>
        </w:rPr>
        <w:t>realizando</w:t>
      </w:r>
      <w:r>
        <w:rPr>
          <w:spacing w:val="-17"/>
          <w:sz w:val="20"/>
        </w:rPr>
        <w:t> </w:t>
      </w:r>
      <w:r>
        <w:rPr>
          <w:sz w:val="20"/>
        </w:rPr>
        <w:t>acciones</w:t>
      </w:r>
      <w:r>
        <w:rPr>
          <w:spacing w:val="-17"/>
          <w:sz w:val="20"/>
        </w:rPr>
        <w:t> </w:t>
      </w:r>
      <w:r>
        <w:rPr>
          <w:sz w:val="20"/>
        </w:rPr>
        <w:t>de</w:t>
      </w:r>
      <w:r>
        <w:rPr>
          <w:spacing w:val="-15"/>
          <w:sz w:val="20"/>
        </w:rPr>
        <w:t> </w:t>
      </w:r>
      <w:r>
        <w:rPr>
          <w:sz w:val="20"/>
        </w:rPr>
        <w:t>tala</w:t>
      </w:r>
      <w:r>
        <w:rPr>
          <w:spacing w:val="-16"/>
          <w:sz w:val="20"/>
        </w:rPr>
        <w:t> </w:t>
      </w:r>
      <w:r>
        <w:rPr>
          <w:sz w:val="20"/>
        </w:rPr>
        <w:t>ilegal en:</w:t>
      </w:r>
      <w:r>
        <w:rPr>
          <w:spacing w:val="-7"/>
          <w:sz w:val="20"/>
        </w:rPr>
        <w:t> </w:t>
      </w:r>
      <w:r>
        <w:rPr>
          <w:sz w:val="20"/>
        </w:rPr>
        <w:t>a)</w:t>
      </w:r>
      <w:r>
        <w:rPr>
          <w:spacing w:val="-5"/>
          <w:sz w:val="20"/>
        </w:rPr>
        <w:t> </w:t>
      </w:r>
      <w:r>
        <w:rPr>
          <w:sz w:val="20"/>
        </w:rPr>
        <w:t>el</w:t>
      </w:r>
      <w:r>
        <w:rPr>
          <w:spacing w:val="-5"/>
          <w:sz w:val="20"/>
        </w:rPr>
        <w:t> </w:t>
      </w:r>
      <w:r>
        <w:rPr>
          <w:sz w:val="20"/>
        </w:rPr>
        <w:t>límite</w:t>
      </w:r>
      <w:r>
        <w:rPr>
          <w:spacing w:val="-7"/>
          <w:sz w:val="20"/>
        </w:rPr>
        <w:t> </w:t>
      </w:r>
      <w:r>
        <w:rPr>
          <w:sz w:val="20"/>
        </w:rPr>
        <w:t>cercano</w:t>
      </w:r>
      <w:r>
        <w:rPr>
          <w:spacing w:val="-4"/>
          <w:sz w:val="20"/>
        </w:rPr>
        <w:t> </w:t>
      </w:r>
      <w:r>
        <w:rPr>
          <w:sz w:val="20"/>
        </w:rPr>
        <w:t>del</w:t>
      </w:r>
      <w:r>
        <w:rPr>
          <w:spacing w:val="-7"/>
          <w:sz w:val="20"/>
        </w:rPr>
        <w:t> </w:t>
      </w:r>
      <w:r>
        <w:rPr>
          <w:sz w:val="20"/>
        </w:rPr>
        <w:t>“Puesto</w:t>
      </w:r>
      <w:r>
        <w:rPr>
          <w:spacing w:val="-7"/>
          <w:sz w:val="20"/>
        </w:rPr>
        <w:t> </w:t>
      </w:r>
      <w:r>
        <w:rPr>
          <w:sz w:val="20"/>
        </w:rPr>
        <w:t>Azuquilar”,</w:t>
      </w:r>
      <w:r>
        <w:rPr>
          <w:spacing w:val="-6"/>
          <w:sz w:val="20"/>
        </w:rPr>
        <w:t> </w:t>
      </w:r>
      <w:r>
        <w:rPr>
          <w:sz w:val="20"/>
        </w:rPr>
        <w:t>reclamadas</w:t>
      </w:r>
      <w:r>
        <w:rPr>
          <w:spacing w:val="-6"/>
          <w:sz w:val="20"/>
        </w:rPr>
        <w:t> </w:t>
      </w:r>
      <w:r>
        <w:rPr>
          <w:sz w:val="20"/>
        </w:rPr>
        <w:t>por</w:t>
      </w:r>
      <w:r>
        <w:rPr>
          <w:spacing w:val="-7"/>
          <w:sz w:val="20"/>
        </w:rPr>
        <w:t> </w:t>
      </w:r>
      <w:r>
        <w:rPr>
          <w:sz w:val="20"/>
        </w:rPr>
        <w:t>la</w:t>
      </w:r>
      <w:r>
        <w:rPr>
          <w:spacing w:val="-6"/>
          <w:sz w:val="20"/>
        </w:rPr>
        <w:t> </w:t>
      </w:r>
      <w:r>
        <w:rPr>
          <w:sz w:val="20"/>
        </w:rPr>
        <w:t>Comunidad</w:t>
      </w:r>
      <w:r>
        <w:rPr>
          <w:spacing w:val="-7"/>
          <w:sz w:val="20"/>
        </w:rPr>
        <w:t> </w:t>
      </w:r>
      <w:r>
        <w:rPr>
          <w:sz w:val="20"/>
        </w:rPr>
        <w:t>de</w:t>
      </w:r>
      <w:r>
        <w:rPr>
          <w:spacing w:val="-7"/>
          <w:sz w:val="20"/>
        </w:rPr>
        <w:t> </w:t>
      </w:r>
      <w:r>
        <w:rPr>
          <w:sz w:val="20"/>
        </w:rPr>
        <w:t>Pozo</w:t>
      </w:r>
      <w:r>
        <w:rPr>
          <w:spacing w:val="-9"/>
          <w:sz w:val="20"/>
        </w:rPr>
        <w:t> </w:t>
      </w:r>
      <w:r>
        <w:rPr>
          <w:sz w:val="20"/>
        </w:rPr>
        <w:t>El Toro, que se encuentran dentro de las 400.000 ha reconocidas a los peticionarios; b) Puesto el Anta, de familia Pereyra, al sur de la Comunidad de Pozo El Bravo; c) la localidad de Desemboque; d) San Miguel; e) las Vertientes Chicas y Pozo La China, y f) Rancho El</w:t>
      </w:r>
      <w:r>
        <w:rPr>
          <w:spacing w:val="-6"/>
          <w:sz w:val="20"/>
        </w:rPr>
        <w:t> </w:t>
      </w:r>
      <w:r>
        <w:rPr>
          <w:sz w:val="20"/>
        </w:rPr>
        <w:t>Ñato.</w:t>
      </w:r>
    </w:p>
    <w:p>
      <w:pPr>
        <w:pStyle w:val="BodyText"/>
        <w:spacing w:before="7"/>
        <w:rPr>
          <w:sz w:val="19"/>
        </w:rPr>
      </w:pPr>
    </w:p>
    <w:p>
      <w:pPr>
        <w:pStyle w:val="ListParagraph"/>
        <w:numPr>
          <w:ilvl w:val="0"/>
          <w:numId w:val="31"/>
        </w:numPr>
        <w:tabs>
          <w:tab w:pos="830" w:val="left" w:leader="none"/>
        </w:tabs>
        <w:spacing w:line="240" w:lineRule="auto" w:before="1" w:after="0"/>
        <w:ind w:left="122" w:right="133" w:firstLine="0"/>
        <w:jc w:val="both"/>
        <w:rPr>
          <w:sz w:val="20"/>
        </w:rPr>
      </w:pPr>
      <w:r>
        <w:rPr>
          <w:sz w:val="20"/>
        </w:rPr>
        <w:t>Según afirmaciones de los representantes, las actividades ilegales de tala y extracción continúan. El Estado aseveró que “realiza constantes tareas de monitoreo y seguimiento</w:t>
      </w:r>
      <w:r>
        <w:rPr>
          <w:spacing w:val="-12"/>
          <w:sz w:val="20"/>
        </w:rPr>
        <w:t> </w:t>
      </w:r>
      <w:r>
        <w:rPr>
          <w:sz w:val="20"/>
        </w:rPr>
        <w:t>del</w:t>
      </w:r>
      <w:r>
        <w:rPr>
          <w:spacing w:val="-11"/>
          <w:sz w:val="20"/>
        </w:rPr>
        <w:t> </w:t>
      </w:r>
      <w:r>
        <w:rPr>
          <w:sz w:val="20"/>
        </w:rPr>
        <w:t>territorio</w:t>
      </w:r>
      <w:r>
        <w:rPr>
          <w:spacing w:val="-12"/>
          <w:sz w:val="20"/>
        </w:rPr>
        <w:t> </w:t>
      </w:r>
      <w:r>
        <w:rPr>
          <w:sz w:val="20"/>
        </w:rPr>
        <w:t>mediante</w:t>
      </w:r>
      <w:r>
        <w:rPr>
          <w:spacing w:val="-13"/>
          <w:sz w:val="20"/>
        </w:rPr>
        <w:t> </w:t>
      </w:r>
      <w:r>
        <w:rPr>
          <w:sz w:val="20"/>
        </w:rPr>
        <w:t>la</w:t>
      </w:r>
      <w:r>
        <w:rPr>
          <w:spacing w:val="-11"/>
          <w:sz w:val="20"/>
        </w:rPr>
        <w:t> </w:t>
      </w:r>
      <w:r>
        <w:rPr>
          <w:sz w:val="20"/>
        </w:rPr>
        <w:t>teledetección</w:t>
      </w:r>
      <w:r>
        <w:rPr>
          <w:spacing w:val="-10"/>
          <w:sz w:val="20"/>
        </w:rPr>
        <w:t> </w:t>
      </w:r>
      <w:r>
        <w:rPr>
          <w:sz w:val="20"/>
        </w:rPr>
        <w:t>de</w:t>
      </w:r>
      <w:r>
        <w:rPr>
          <w:spacing w:val="-13"/>
          <w:sz w:val="20"/>
        </w:rPr>
        <w:t> </w:t>
      </w:r>
      <w:r>
        <w:rPr>
          <w:sz w:val="20"/>
        </w:rPr>
        <w:t>imágenes</w:t>
      </w:r>
      <w:r>
        <w:rPr>
          <w:spacing w:val="-10"/>
          <w:sz w:val="20"/>
        </w:rPr>
        <w:t> </w:t>
      </w:r>
      <w:r>
        <w:rPr>
          <w:sz w:val="20"/>
        </w:rPr>
        <w:t>satelitales”,</w:t>
      </w:r>
      <w:r>
        <w:rPr>
          <w:spacing w:val="-12"/>
          <w:sz w:val="20"/>
        </w:rPr>
        <w:t> </w:t>
      </w:r>
      <w:r>
        <w:rPr>
          <w:sz w:val="20"/>
        </w:rPr>
        <w:t>ya</w:t>
      </w:r>
      <w:r>
        <w:rPr>
          <w:spacing w:val="-11"/>
          <w:sz w:val="20"/>
        </w:rPr>
        <w:t> </w:t>
      </w:r>
      <w:r>
        <w:rPr>
          <w:sz w:val="20"/>
        </w:rPr>
        <w:t>sea</w:t>
      </w:r>
      <w:r>
        <w:rPr>
          <w:spacing w:val="-11"/>
          <w:sz w:val="20"/>
        </w:rPr>
        <w:t> </w:t>
      </w:r>
      <w:r>
        <w:rPr>
          <w:sz w:val="20"/>
        </w:rPr>
        <w:t>“de oficio” o a partir de</w:t>
      </w:r>
      <w:r>
        <w:rPr>
          <w:spacing w:val="-7"/>
          <w:sz w:val="20"/>
        </w:rPr>
        <w:t> </w:t>
      </w:r>
      <w:r>
        <w:rPr>
          <w:sz w:val="20"/>
        </w:rPr>
        <w:t>denuncias.</w:t>
      </w:r>
    </w:p>
    <w:p>
      <w:pPr>
        <w:pStyle w:val="BodyText"/>
        <w:spacing w:before="10"/>
        <w:rPr>
          <w:sz w:val="19"/>
        </w:rPr>
      </w:pPr>
    </w:p>
    <w:p>
      <w:pPr>
        <w:pStyle w:val="ListParagraph"/>
        <w:numPr>
          <w:ilvl w:val="2"/>
          <w:numId w:val="33"/>
        </w:numPr>
        <w:tabs>
          <w:tab w:pos="1579" w:val="left" w:leader="none"/>
        </w:tabs>
        <w:spacing w:line="240" w:lineRule="auto" w:before="1" w:after="0"/>
        <w:ind w:left="1578" w:right="0" w:hanging="604"/>
        <w:jc w:val="left"/>
        <w:rPr>
          <w:i/>
          <w:sz w:val="20"/>
        </w:rPr>
      </w:pPr>
      <w:bookmarkStart w:name="_bookmark72" w:id="123"/>
      <w:bookmarkEnd w:id="123"/>
      <w:r>
        <w:rPr/>
      </w:r>
      <w:bookmarkStart w:name="_bookmark72" w:id="124"/>
      <w:bookmarkEnd w:id="124"/>
      <w:r>
        <w:rPr>
          <w:i/>
          <w:sz w:val="20"/>
          <w:u w:val="single"/>
        </w:rPr>
        <w:t>A</w:t>
      </w:r>
      <w:r>
        <w:rPr>
          <w:i/>
          <w:sz w:val="20"/>
          <w:u w:val="single"/>
        </w:rPr>
        <w:t>nálisis de la responsabilidad</w:t>
      </w:r>
      <w:r>
        <w:rPr>
          <w:i/>
          <w:spacing w:val="-14"/>
          <w:sz w:val="20"/>
          <w:u w:val="single"/>
        </w:rPr>
        <w:t> </w:t>
      </w:r>
      <w:r>
        <w:rPr>
          <w:i/>
          <w:sz w:val="20"/>
          <w:u w:val="single"/>
        </w:rPr>
        <w:t>estatal</w:t>
      </w:r>
    </w:p>
    <w:p>
      <w:pPr>
        <w:pStyle w:val="BodyText"/>
        <w:spacing w:before="11"/>
        <w:rPr>
          <w:i/>
          <w:sz w:val="11"/>
        </w:rPr>
      </w:pPr>
    </w:p>
    <w:p>
      <w:pPr>
        <w:pStyle w:val="ListParagraph"/>
        <w:numPr>
          <w:ilvl w:val="0"/>
          <w:numId w:val="31"/>
        </w:numPr>
        <w:tabs>
          <w:tab w:pos="830" w:val="left" w:leader="none"/>
        </w:tabs>
        <w:spacing w:line="240" w:lineRule="auto" w:before="99" w:after="0"/>
        <w:ind w:left="122" w:right="130" w:firstLine="0"/>
        <w:jc w:val="both"/>
        <w:rPr>
          <w:sz w:val="20"/>
        </w:rPr>
      </w:pPr>
      <w:r>
        <w:rPr>
          <w:sz w:val="20"/>
        </w:rPr>
        <w:t>A fin de examinar la responsabilidad estatal, es preciso dejar establecido que, como surge de lo ya expuesto, sin perjuicio de la obligación de adoptar providencias para, “progresivamente”, lograr la “plena efectividad” de los derechos   </w:t>
      </w:r>
      <w:r>
        <w:rPr>
          <w:spacing w:val="32"/>
          <w:sz w:val="20"/>
        </w:rPr>
        <w:t> </w:t>
      </w:r>
      <w:r>
        <w:rPr>
          <w:sz w:val="20"/>
        </w:rPr>
        <w:t>incluidos en el</w:t>
      </w:r>
    </w:p>
    <w:p>
      <w:pPr>
        <w:pStyle w:val="BodyText"/>
        <w:spacing w:before="9"/>
        <w:rPr>
          <w:sz w:val="28"/>
        </w:rPr>
      </w:pPr>
      <w:r>
        <w:rPr/>
        <w:pict>
          <v:line style="position:absolute;mso-position-horizontal-relative:page;mso-position-vertical-relative:paragraph;z-index:3184;mso-wrap-distance-left:0;mso-wrap-distance-right:0" from="85.103996pt,19.834091pt" to="229.123996pt,19.834091pt" stroked="true" strokeweight=".72pt" strokecolor="#000000">
            <v:stroke dashstyle="solid"/>
            <w10:wrap type="topAndBottom"/>
          </v:line>
        </w:pict>
      </w:r>
    </w:p>
    <w:p>
      <w:pPr>
        <w:tabs>
          <w:tab w:pos="829" w:val="left" w:leader="none"/>
        </w:tabs>
        <w:spacing w:before="71"/>
        <w:ind w:left="122" w:right="116" w:firstLine="0"/>
        <w:jc w:val="both"/>
        <w:rPr>
          <w:sz w:val="16"/>
        </w:rPr>
      </w:pPr>
      <w:r>
        <w:rPr>
          <w:position w:val="6"/>
          <w:sz w:val="10"/>
        </w:rPr>
        <w:t>281</w:t>
        <w:tab/>
      </w:r>
      <w:r>
        <w:rPr>
          <w:sz w:val="16"/>
        </w:rPr>
        <w:t>Respuesta</w:t>
      </w:r>
      <w:r>
        <w:rPr>
          <w:spacing w:val="18"/>
          <w:sz w:val="16"/>
        </w:rPr>
        <w:t> </w:t>
      </w:r>
      <w:r>
        <w:rPr>
          <w:sz w:val="16"/>
        </w:rPr>
        <w:t>enviada</w:t>
      </w:r>
      <w:r>
        <w:rPr>
          <w:spacing w:val="16"/>
          <w:sz w:val="16"/>
        </w:rPr>
        <w:t> </w:t>
      </w:r>
      <w:r>
        <w:rPr>
          <w:sz w:val="16"/>
        </w:rPr>
        <w:t>por</w:t>
      </w:r>
      <w:r>
        <w:rPr>
          <w:spacing w:val="20"/>
          <w:sz w:val="16"/>
        </w:rPr>
        <w:t> </w:t>
      </w:r>
      <w:r>
        <w:rPr>
          <w:sz w:val="16"/>
        </w:rPr>
        <w:t>Lhaka</w:t>
      </w:r>
      <w:r>
        <w:rPr>
          <w:spacing w:val="16"/>
          <w:sz w:val="16"/>
        </w:rPr>
        <w:t> </w:t>
      </w:r>
      <w:r>
        <w:rPr>
          <w:sz w:val="16"/>
        </w:rPr>
        <w:t>Honhat</w:t>
      </w:r>
      <w:r>
        <w:rPr>
          <w:spacing w:val="18"/>
          <w:sz w:val="16"/>
        </w:rPr>
        <w:t> </w:t>
      </w:r>
      <w:r>
        <w:rPr>
          <w:sz w:val="16"/>
        </w:rPr>
        <w:t>con</w:t>
      </w:r>
      <w:r>
        <w:rPr>
          <w:spacing w:val="16"/>
          <w:sz w:val="16"/>
        </w:rPr>
        <w:t> </w:t>
      </w:r>
      <w:r>
        <w:rPr>
          <w:sz w:val="16"/>
        </w:rPr>
        <w:t>representación</w:t>
      </w:r>
      <w:r>
        <w:rPr>
          <w:spacing w:val="16"/>
          <w:sz w:val="16"/>
        </w:rPr>
        <w:t> </w:t>
      </w:r>
      <w:r>
        <w:rPr>
          <w:sz w:val="16"/>
        </w:rPr>
        <w:t>del</w:t>
      </w:r>
      <w:r>
        <w:rPr>
          <w:spacing w:val="18"/>
          <w:sz w:val="16"/>
        </w:rPr>
        <w:t> </w:t>
      </w:r>
      <w:r>
        <w:rPr>
          <w:sz w:val="16"/>
        </w:rPr>
        <w:t>CELS</w:t>
      </w:r>
      <w:r>
        <w:rPr>
          <w:spacing w:val="19"/>
          <w:sz w:val="16"/>
        </w:rPr>
        <w:t> </w:t>
      </w:r>
      <w:r>
        <w:rPr>
          <w:sz w:val="16"/>
        </w:rPr>
        <w:t>a</w:t>
      </w:r>
      <w:r>
        <w:rPr>
          <w:spacing w:val="16"/>
          <w:sz w:val="16"/>
        </w:rPr>
        <w:t> </w:t>
      </w:r>
      <w:r>
        <w:rPr>
          <w:sz w:val="16"/>
        </w:rPr>
        <w:t>la</w:t>
      </w:r>
      <w:r>
        <w:rPr>
          <w:spacing w:val="18"/>
          <w:sz w:val="16"/>
        </w:rPr>
        <w:t> </w:t>
      </w:r>
      <w:r>
        <w:rPr>
          <w:sz w:val="16"/>
        </w:rPr>
        <w:t>Comisión,</w:t>
      </w:r>
      <w:r>
        <w:rPr>
          <w:spacing w:val="18"/>
          <w:sz w:val="16"/>
        </w:rPr>
        <w:t> </w:t>
      </w:r>
      <w:r>
        <w:rPr>
          <w:sz w:val="16"/>
        </w:rPr>
        <w:t>en</w:t>
      </w:r>
      <w:r>
        <w:rPr>
          <w:spacing w:val="16"/>
          <w:sz w:val="16"/>
        </w:rPr>
        <w:t> </w:t>
      </w:r>
      <w:r>
        <w:rPr>
          <w:sz w:val="16"/>
        </w:rPr>
        <w:t>relación</w:t>
      </w:r>
      <w:r>
        <w:rPr>
          <w:spacing w:val="18"/>
          <w:sz w:val="16"/>
        </w:rPr>
        <w:t> </w:t>
      </w:r>
      <w:r>
        <w:rPr>
          <w:sz w:val="16"/>
        </w:rPr>
        <w:t>a</w:t>
      </w:r>
      <w:r>
        <w:rPr>
          <w:spacing w:val="18"/>
          <w:sz w:val="16"/>
        </w:rPr>
        <w:t> </w:t>
      </w:r>
      <w:r>
        <w:rPr>
          <w:sz w:val="16"/>
        </w:rPr>
        <w:t>la</w:t>
      </w:r>
      <w:r>
        <w:rPr>
          <w:w w:val="100"/>
          <w:sz w:val="16"/>
        </w:rPr>
        <w:t> </w:t>
      </w:r>
      <w:r>
        <w:rPr>
          <w:sz w:val="16"/>
        </w:rPr>
        <w:t>información enviada por el Estado el 18 de noviembre de 2014, el 27 de noviembre de 2014. Expediente de prueba, anexo L. 34 al escrito de solicitudes y argumentos, fs. 34.495 a</w:t>
      </w:r>
      <w:r>
        <w:rPr>
          <w:spacing w:val="-30"/>
          <w:sz w:val="16"/>
        </w:rPr>
        <w:t> </w:t>
      </w:r>
      <w:r>
        <w:rPr>
          <w:sz w:val="16"/>
        </w:rPr>
        <w:t>34.499.</w:t>
      </w:r>
    </w:p>
    <w:p>
      <w:pPr>
        <w:pStyle w:val="BodyText"/>
        <w:spacing w:before="11"/>
        <w:rPr>
          <w:sz w:val="15"/>
        </w:rPr>
      </w:pPr>
    </w:p>
    <w:p>
      <w:pPr>
        <w:tabs>
          <w:tab w:pos="829" w:val="left" w:leader="none"/>
        </w:tabs>
        <w:spacing w:before="0"/>
        <w:ind w:left="122" w:right="117" w:firstLine="0"/>
        <w:jc w:val="both"/>
        <w:rPr>
          <w:sz w:val="16"/>
        </w:rPr>
      </w:pPr>
      <w:r>
        <w:rPr>
          <w:position w:val="6"/>
          <w:sz w:val="10"/>
        </w:rPr>
        <w:t>282</w:t>
        <w:tab/>
      </w:r>
      <w:r>
        <w:rPr>
          <w:sz w:val="16"/>
        </w:rPr>
        <w:t>Informe de ASOCIANA sobre tala ilegal. Expediente de prueba, anexo L.10 al escrito de</w:t>
      </w:r>
      <w:r>
        <w:rPr>
          <w:spacing w:val="-13"/>
          <w:sz w:val="16"/>
        </w:rPr>
        <w:t> </w:t>
      </w:r>
      <w:r>
        <w:rPr>
          <w:sz w:val="16"/>
        </w:rPr>
        <w:t>solicitudes</w:t>
      </w:r>
      <w:r>
        <w:rPr>
          <w:spacing w:val="-1"/>
          <w:sz w:val="16"/>
        </w:rPr>
        <w:t> </w:t>
      </w:r>
      <w:r>
        <w:rPr>
          <w:sz w:val="16"/>
        </w:rPr>
        <w:t>y</w:t>
      </w:r>
      <w:r>
        <w:rPr>
          <w:w w:val="100"/>
          <w:sz w:val="16"/>
        </w:rPr>
        <w:t> </w:t>
      </w:r>
      <w:r>
        <w:rPr>
          <w:sz w:val="16"/>
        </w:rPr>
        <w:t>argumentos, fs. 34.117 a 34.133. El informe indica que hay miembros de las comunidades indígenas que participan de la tala, aclarando que lo hacen como único medio de trabajo, pagado por criollos u otros empresarios.</w:t>
      </w:r>
    </w:p>
    <w:p>
      <w:pPr>
        <w:pStyle w:val="BodyText"/>
        <w:spacing w:before="11"/>
        <w:rPr>
          <w:sz w:val="15"/>
        </w:rPr>
      </w:pPr>
    </w:p>
    <w:p>
      <w:pPr>
        <w:tabs>
          <w:tab w:pos="829" w:val="left" w:leader="none"/>
        </w:tabs>
        <w:spacing w:before="0"/>
        <w:ind w:left="122" w:right="119" w:firstLine="0"/>
        <w:jc w:val="both"/>
        <w:rPr>
          <w:sz w:val="16"/>
        </w:rPr>
      </w:pPr>
      <w:r>
        <w:rPr>
          <w:position w:val="6"/>
          <w:sz w:val="10"/>
        </w:rPr>
        <w:t>283</w:t>
        <w:tab/>
      </w:r>
      <w:r>
        <w:rPr>
          <w:sz w:val="16"/>
        </w:rPr>
        <w:t>Acta</w:t>
      </w:r>
      <w:r>
        <w:rPr>
          <w:spacing w:val="-3"/>
          <w:sz w:val="16"/>
        </w:rPr>
        <w:t> </w:t>
      </w:r>
      <w:r>
        <w:rPr>
          <w:sz w:val="16"/>
        </w:rPr>
        <w:t>suscrita</w:t>
      </w:r>
      <w:r>
        <w:rPr>
          <w:spacing w:val="-3"/>
          <w:sz w:val="16"/>
        </w:rPr>
        <w:t> </w:t>
      </w:r>
      <w:r>
        <w:rPr>
          <w:sz w:val="16"/>
        </w:rPr>
        <w:t>por</w:t>
      </w:r>
      <w:r>
        <w:rPr>
          <w:spacing w:val="-3"/>
          <w:sz w:val="16"/>
        </w:rPr>
        <w:t> </w:t>
      </w:r>
      <w:r>
        <w:rPr>
          <w:sz w:val="16"/>
        </w:rPr>
        <w:t>Lhaka</w:t>
      </w:r>
      <w:r>
        <w:rPr>
          <w:spacing w:val="-3"/>
          <w:sz w:val="16"/>
        </w:rPr>
        <w:t> </w:t>
      </w:r>
      <w:r>
        <w:rPr>
          <w:sz w:val="16"/>
        </w:rPr>
        <w:t>Honhat</w:t>
      </w:r>
      <w:r>
        <w:rPr>
          <w:spacing w:val="-4"/>
          <w:sz w:val="16"/>
        </w:rPr>
        <w:t> </w:t>
      </w:r>
      <w:r>
        <w:rPr>
          <w:sz w:val="16"/>
        </w:rPr>
        <w:t>y</w:t>
      </w:r>
      <w:r>
        <w:rPr>
          <w:spacing w:val="-3"/>
          <w:sz w:val="16"/>
        </w:rPr>
        <w:t> </w:t>
      </w:r>
      <w:r>
        <w:rPr>
          <w:sz w:val="16"/>
        </w:rPr>
        <w:t>la</w:t>
      </w:r>
      <w:r>
        <w:rPr>
          <w:spacing w:val="-3"/>
          <w:sz w:val="16"/>
        </w:rPr>
        <w:t> </w:t>
      </w:r>
      <w:r>
        <w:rPr>
          <w:sz w:val="16"/>
        </w:rPr>
        <w:t>OFC</w:t>
      </w:r>
      <w:r>
        <w:rPr>
          <w:spacing w:val="-5"/>
          <w:sz w:val="16"/>
        </w:rPr>
        <w:t> </w:t>
      </w:r>
      <w:r>
        <w:rPr>
          <w:sz w:val="16"/>
        </w:rPr>
        <w:t>de</w:t>
      </w:r>
      <w:r>
        <w:rPr>
          <w:spacing w:val="-5"/>
          <w:sz w:val="16"/>
        </w:rPr>
        <w:t> </w:t>
      </w:r>
      <w:r>
        <w:rPr>
          <w:sz w:val="16"/>
        </w:rPr>
        <w:t>1</w:t>
      </w:r>
      <w:r>
        <w:rPr>
          <w:spacing w:val="-3"/>
          <w:sz w:val="16"/>
        </w:rPr>
        <w:t> </w:t>
      </w:r>
      <w:r>
        <w:rPr>
          <w:sz w:val="16"/>
        </w:rPr>
        <w:t>de</w:t>
      </w:r>
      <w:r>
        <w:rPr>
          <w:spacing w:val="-3"/>
          <w:sz w:val="16"/>
        </w:rPr>
        <w:t> </w:t>
      </w:r>
      <w:r>
        <w:rPr>
          <w:sz w:val="16"/>
        </w:rPr>
        <w:t>junio</w:t>
      </w:r>
      <w:r>
        <w:rPr>
          <w:spacing w:val="-3"/>
          <w:sz w:val="16"/>
        </w:rPr>
        <w:t> </w:t>
      </w:r>
      <w:r>
        <w:rPr>
          <w:sz w:val="16"/>
        </w:rPr>
        <w:t>de</w:t>
      </w:r>
      <w:r>
        <w:rPr>
          <w:spacing w:val="-3"/>
          <w:sz w:val="16"/>
        </w:rPr>
        <w:t> </w:t>
      </w:r>
      <w:r>
        <w:rPr>
          <w:sz w:val="16"/>
        </w:rPr>
        <w:t>2007.</w:t>
      </w:r>
      <w:r>
        <w:rPr>
          <w:spacing w:val="-4"/>
          <w:sz w:val="16"/>
        </w:rPr>
        <w:t> </w:t>
      </w:r>
      <w:r>
        <w:rPr>
          <w:sz w:val="16"/>
        </w:rPr>
        <w:t>Expediente</w:t>
      </w:r>
      <w:r>
        <w:rPr>
          <w:spacing w:val="-3"/>
          <w:sz w:val="16"/>
        </w:rPr>
        <w:t> </w:t>
      </w:r>
      <w:r>
        <w:rPr>
          <w:sz w:val="16"/>
        </w:rPr>
        <w:t>de</w:t>
      </w:r>
      <w:r>
        <w:rPr>
          <w:spacing w:val="-5"/>
          <w:sz w:val="16"/>
        </w:rPr>
        <w:t> </w:t>
      </w:r>
      <w:r>
        <w:rPr>
          <w:sz w:val="16"/>
        </w:rPr>
        <w:t>prueba,</w:t>
      </w:r>
      <w:r>
        <w:rPr>
          <w:spacing w:val="-4"/>
          <w:sz w:val="16"/>
        </w:rPr>
        <w:t> </w:t>
      </w:r>
      <w:r>
        <w:rPr>
          <w:sz w:val="16"/>
        </w:rPr>
        <w:t>anexo</w:t>
      </w:r>
      <w:r>
        <w:rPr>
          <w:spacing w:val="-4"/>
          <w:sz w:val="16"/>
        </w:rPr>
        <w:t> </w:t>
      </w:r>
      <w:r>
        <w:rPr>
          <w:sz w:val="16"/>
        </w:rPr>
        <w:t>L.11</w:t>
      </w:r>
      <w:r>
        <w:rPr>
          <w:spacing w:val="-4"/>
          <w:sz w:val="16"/>
        </w:rPr>
        <w:t> </w:t>
      </w:r>
      <w:r>
        <w:rPr>
          <w:sz w:val="16"/>
        </w:rPr>
        <w:t>al</w:t>
      </w:r>
      <w:r>
        <w:rPr>
          <w:w w:val="100"/>
          <w:sz w:val="16"/>
        </w:rPr>
        <w:t> </w:t>
      </w:r>
      <w:r>
        <w:rPr>
          <w:sz w:val="16"/>
        </w:rPr>
        <w:t>escrito de solicitudes y argumentos, fs. 34.134 a</w:t>
      </w:r>
      <w:r>
        <w:rPr>
          <w:spacing w:val="-22"/>
          <w:sz w:val="16"/>
        </w:rPr>
        <w:t> </w:t>
      </w:r>
      <w:r>
        <w:rPr>
          <w:sz w:val="16"/>
        </w:rPr>
        <w:t>34.135.</w:t>
      </w:r>
    </w:p>
    <w:p>
      <w:pPr>
        <w:pStyle w:val="BodyText"/>
        <w:spacing w:before="11"/>
        <w:rPr>
          <w:sz w:val="15"/>
        </w:rPr>
      </w:pPr>
    </w:p>
    <w:p>
      <w:pPr>
        <w:tabs>
          <w:tab w:pos="829" w:val="left" w:leader="none"/>
        </w:tabs>
        <w:spacing w:before="0"/>
        <w:ind w:left="122" w:right="114" w:firstLine="0"/>
        <w:jc w:val="both"/>
        <w:rPr>
          <w:sz w:val="16"/>
        </w:rPr>
      </w:pPr>
      <w:r>
        <w:rPr>
          <w:position w:val="6"/>
          <w:sz w:val="10"/>
        </w:rPr>
        <w:t>284</w:t>
        <w:tab/>
      </w:r>
      <w:r>
        <w:rPr>
          <w:sz w:val="16"/>
        </w:rPr>
        <w:t>La</w:t>
      </w:r>
      <w:r>
        <w:rPr>
          <w:spacing w:val="20"/>
          <w:sz w:val="16"/>
        </w:rPr>
        <w:t> </w:t>
      </w:r>
      <w:r>
        <w:rPr>
          <w:sz w:val="16"/>
        </w:rPr>
        <w:t>obligación</w:t>
      </w:r>
      <w:r>
        <w:rPr>
          <w:spacing w:val="17"/>
          <w:sz w:val="16"/>
        </w:rPr>
        <w:t> </w:t>
      </w:r>
      <w:r>
        <w:rPr>
          <w:sz w:val="16"/>
        </w:rPr>
        <w:t>de</w:t>
      </w:r>
      <w:r>
        <w:rPr>
          <w:spacing w:val="18"/>
          <w:sz w:val="16"/>
        </w:rPr>
        <w:t> </w:t>
      </w:r>
      <w:r>
        <w:rPr>
          <w:sz w:val="16"/>
        </w:rPr>
        <w:t>proteger</w:t>
      </w:r>
      <w:r>
        <w:rPr>
          <w:spacing w:val="21"/>
          <w:sz w:val="16"/>
        </w:rPr>
        <w:t> </w:t>
      </w:r>
      <w:r>
        <w:rPr>
          <w:sz w:val="16"/>
        </w:rPr>
        <w:t>los</w:t>
      </w:r>
      <w:r>
        <w:rPr>
          <w:spacing w:val="20"/>
          <w:sz w:val="16"/>
        </w:rPr>
        <w:t> </w:t>
      </w:r>
      <w:r>
        <w:rPr>
          <w:sz w:val="16"/>
        </w:rPr>
        <w:t>recursos</w:t>
      </w:r>
      <w:r>
        <w:rPr>
          <w:spacing w:val="18"/>
          <w:sz w:val="16"/>
        </w:rPr>
        <w:t> </w:t>
      </w:r>
      <w:r>
        <w:rPr>
          <w:sz w:val="16"/>
        </w:rPr>
        <w:t>naturales</w:t>
      </w:r>
      <w:r>
        <w:rPr>
          <w:spacing w:val="18"/>
          <w:sz w:val="16"/>
        </w:rPr>
        <w:t> </w:t>
      </w:r>
      <w:r>
        <w:rPr>
          <w:sz w:val="16"/>
        </w:rPr>
        <w:t>también</w:t>
      </w:r>
      <w:r>
        <w:rPr>
          <w:spacing w:val="16"/>
          <w:sz w:val="16"/>
        </w:rPr>
        <w:t> </w:t>
      </w:r>
      <w:r>
        <w:rPr>
          <w:sz w:val="16"/>
        </w:rPr>
        <w:t>había</w:t>
      </w:r>
      <w:r>
        <w:rPr>
          <w:spacing w:val="20"/>
          <w:sz w:val="16"/>
        </w:rPr>
        <w:t> </w:t>
      </w:r>
      <w:r>
        <w:rPr>
          <w:sz w:val="16"/>
        </w:rPr>
        <w:t>sido</w:t>
      </w:r>
      <w:r>
        <w:rPr>
          <w:spacing w:val="21"/>
          <w:sz w:val="16"/>
        </w:rPr>
        <w:t> </w:t>
      </w:r>
      <w:r>
        <w:rPr>
          <w:sz w:val="16"/>
        </w:rPr>
        <w:t>asumida</w:t>
      </w:r>
      <w:r>
        <w:rPr>
          <w:spacing w:val="17"/>
          <w:sz w:val="16"/>
        </w:rPr>
        <w:t> </w:t>
      </w:r>
      <w:r>
        <w:rPr>
          <w:sz w:val="16"/>
        </w:rPr>
        <w:t>por</w:t>
      </w:r>
      <w:r>
        <w:rPr>
          <w:spacing w:val="19"/>
          <w:sz w:val="16"/>
        </w:rPr>
        <w:t> </w:t>
      </w:r>
      <w:r>
        <w:rPr>
          <w:sz w:val="16"/>
        </w:rPr>
        <w:t>Salta</w:t>
      </w:r>
      <w:r>
        <w:rPr>
          <w:spacing w:val="20"/>
          <w:sz w:val="16"/>
        </w:rPr>
        <w:t> </w:t>
      </w:r>
      <w:r>
        <w:rPr>
          <w:sz w:val="16"/>
        </w:rPr>
        <w:t>en</w:t>
      </w:r>
      <w:r>
        <w:rPr>
          <w:spacing w:val="17"/>
          <w:sz w:val="16"/>
        </w:rPr>
        <w:t> </w:t>
      </w:r>
      <w:r>
        <w:rPr>
          <w:sz w:val="16"/>
        </w:rPr>
        <w:t>el</w:t>
      </w:r>
      <w:r>
        <w:rPr>
          <w:spacing w:val="19"/>
          <w:sz w:val="16"/>
        </w:rPr>
        <w:t> </w:t>
      </w:r>
      <w:r>
        <w:rPr>
          <w:sz w:val="16"/>
        </w:rPr>
        <w:t>acta</w:t>
      </w:r>
      <w:r>
        <w:rPr>
          <w:w w:val="100"/>
          <w:sz w:val="16"/>
        </w:rPr>
        <w:t> </w:t>
      </w:r>
      <w:r>
        <w:rPr>
          <w:sz w:val="16"/>
        </w:rPr>
        <w:t>firmada el 17 de octubre del 2007, en su cláusula cuarta (</w:t>
      </w:r>
      <w:r>
        <w:rPr>
          <w:i/>
          <w:sz w:val="16"/>
        </w:rPr>
        <w:t>cfr</w:t>
      </w:r>
      <w:r>
        <w:rPr>
          <w:sz w:val="16"/>
        </w:rPr>
        <w:t>. Acta de 17 de octubre de 2007; expediente de prueba,</w:t>
      </w:r>
      <w:r>
        <w:rPr>
          <w:spacing w:val="-12"/>
          <w:sz w:val="16"/>
        </w:rPr>
        <w:t> </w:t>
      </w:r>
      <w:r>
        <w:rPr>
          <w:sz w:val="16"/>
        </w:rPr>
        <w:t>anexo</w:t>
      </w:r>
      <w:r>
        <w:rPr>
          <w:spacing w:val="-12"/>
          <w:sz w:val="16"/>
        </w:rPr>
        <w:t> </w:t>
      </w:r>
      <w:r>
        <w:rPr>
          <w:sz w:val="16"/>
        </w:rPr>
        <w:t>L.15</w:t>
      </w:r>
      <w:r>
        <w:rPr>
          <w:spacing w:val="-12"/>
          <w:sz w:val="16"/>
        </w:rPr>
        <w:t> </w:t>
      </w:r>
      <w:r>
        <w:rPr>
          <w:sz w:val="16"/>
        </w:rPr>
        <w:t>al</w:t>
      </w:r>
      <w:r>
        <w:rPr>
          <w:spacing w:val="-14"/>
          <w:sz w:val="16"/>
        </w:rPr>
        <w:t> </w:t>
      </w:r>
      <w:r>
        <w:rPr>
          <w:sz w:val="16"/>
        </w:rPr>
        <w:t>escrito</w:t>
      </w:r>
      <w:r>
        <w:rPr>
          <w:spacing w:val="-15"/>
          <w:sz w:val="16"/>
        </w:rPr>
        <w:t> </w:t>
      </w:r>
      <w:r>
        <w:rPr>
          <w:sz w:val="16"/>
        </w:rPr>
        <w:t>de</w:t>
      </w:r>
      <w:r>
        <w:rPr>
          <w:spacing w:val="-13"/>
          <w:sz w:val="16"/>
        </w:rPr>
        <w:t> </w:t>
      </w:r>
      <w:r>
        <w:rPr>
          <w:sz w:val="16"/>
        </w:rPr>
        <w:t>solicitudes</w:t>
      </w:r>
      <w:r>
        <w:rPr>
          <w:spacing w:val="-15"/>
          <w:sz w:val="16"/>
        </w:rPr>
        <w:t> </w:t>
      </w:r>
      <w:r>
        <w:rPr>
          <w:sz w:val="16"/>
        </w:rPr>
        <w:t>y</w:t>
      </w:r>
      <w:r>
        <w:rPr>
          <w:spacing w:val="-12"/>
          <w:sz w:val="16"/>
        </w:rPr>
        <w:t> </w:t>
      </w:r>
      <w:r>
        <w:rPr>
          <w:sz w:val="16"/>
        </w:rPr>
        <w:t>argumentos,</w:t>
      </w:r>
      <w:r>
        <w:rPr>
          <w:spacing w:val="-16"/>
          <w:sz w:val="16"/>
        </w:rPr>
        <w:t> </w:t>
      </w:r>
      <w:r>
        <w:rPr>
          <w:sz w:val="16"/>
        </w:rPr>
        <w:t>fs.</w:t>
      </w:r>
      <w:r>
        <w:rPr>
          <w:spacing w:val="-14"/>
          <w:sz w:val="16"/>
        </w:rPr>
        <w:t> </w:t>
      </w:r>
      <w:r>
        <w:rPr>
          <w:sz w:val="16"/>
        </w:rPr>
        <w:t>34.179</w:t>
      </w:r>
      <w:r>
        <w:rPr>
          <w:spacing w:val="-12"/>
          <w:sz w:val="16"/>
        </w:rPr>
        <w:t> </w:t>
      </w:r>
      <w:r>
        <w:rPr>
          <w:sz w:val="16"/>
        </w:rPr>
        <w:t>a</w:t>
      </w:r>
      <w:r>
        <w:rPr>
          <w:spacing w:val="-14"/>
          <w:sz w:val="16"/>
        </w:rPr>
        <w:t> </w:t>
      </w:r>
      <w:r>
        <w:rPr>
          <w:sz w:val="16"/>
        </w:rPr>
        <w:t>34.183).</w:t>
      </w:r>
      <w:r>
        <w:rPr>
          <w:spacing w:val="-12"/>
          <w:sz w:val="16"/>
        </w:rPr>
        <w:t> </w:t>
      </w:r>
      <w:r>
        <w:rPr>
          <w:sz w:val="16"/>
        </w:rPr>
        <w:t>Allí,</w:t>
      </w:r>
      <w:r>
        <w:rPr>
          <w:spacing w:val="-12"/>
          <w:sz w:val="16"/>
        </w:rPr>
        <w:t> </w:t>
      </w:r>
      <w:r>
        <w:rPr>
          <w:sz w:val="16"/>
        </w:rPr>
        <w:t>se</w:t>
      </w:r>
      <w:r>
        <w:rPr>
          <w:spacing w:val="-13"/>
          <w:sz w:val="16"/>
        </w:rPr>
        <w:t> </w:t>
      </w:r>
      <w:r>
        <w:rPr>
          <w:sz w:val="16"/>
        </w:rPr>
        <w:t>estableció</w:t>
      </w:r>
      <w:r>
        <w:rPr>
          <w:spacing w:val="-12"/>
          <w:sz w:val="16"/>
        </w:rPr>
        <w:t> </w:t>
      </w:r>
      <w:r>
        <w:rPr>
          <w:sz w:val="16"/>
        </w:rPr>
        <w:t>que</w:t>
      </w:r>
      <w:r>
        <w:rPr>
          <w:spacing w:val="-13"/>
          <w:sz w:val="16"/>
        </w:rPr>
        <w:t> </w:t>
      </w:r>
      <w:r>
        <w:rPr>
          <w:sz w:val="16"/>
        </w:rPr>
        <w:t>“[c]omo resulta imprescindible proteger los recursos naturales de los lotes 55 y 14 para la viabilidad y cumplimiento de</w:t>
      </w:r>
      <w:r>
        <w:rPr>
          <w:spacing w:val="-6"/>
          <w:sz w:val="16"/>
        </w:rPr>
        <w:t> </w:t>
      </w:r>
      <w:r>
        <w:rPr>
          <w:sz w:val="16"/>
        </w:rPr>
        <w:t>este</w:t>
      </w:r>
      <w:r>
        <w:rPr>
          <w:spacing w:val="-3"/>
          <w:sz w:val="16"/>
        </w:rPr>
        <w:t> </w:t>
      </w:r>
      <w:r>
        <w:rPr>
          <w:sz w:val="16"/>
        </w:rPr>
        <w:t>acuerdo</w:t>
      </w:r>
      <w:r>
        <w:rPr>
          <w:spacing w:val="-5"/>
          <w:sz w:val="16"/>
        </w:rPr>
        <w:t> </w:t>
      </w:r>
      <w:r>
        <w:rPr>
          <w:sz w:val="16"/>
        </w:rPr>
        <w:t>las</w:t>
      </w:r>
      <w:r>
        <w:rPr>
          <w:spacing w:val="-6"/>
          <w:sz w:val="16"/>
        </w:rPr>
        <w:t> </w:t>
      </w:r>
      <w:r>
        <w:rPr>
          <w:sz w:val="16"/>
        </w:rPr>
        <w:t>partes</w:t>
      </w:r>
      <w:r>
        <w:rPr>
          <w:spacing w:val="-6"/>
          <w:sz w:val="16"/>
        </w:rPr>
        <w:t> </w:t>
      </w:r>
      <w:r>
        <w:rPr>
          <w:sz w:val="16"/>
        </w:rPr>
        <w:t>comprometen</w:t>
      </w:r>
      <w:r>
        <w:rPr>
          <w:spacing w:val="-4"/>
          <w:sz w:val="16"/>
        </w:rPr>
        <w:t> </w:t>
      </w:r>
      <w:r>
        <w:rPr>
          <w:sz w:val="16"/>
        </w:rPr>
        <w:t>a</w:t>
      </w:r>
      <w:r>
        <w:rPr>
          <w:spacing w:val="-7"/>
          <w:sz w:val="16"/>
        </w:rPr>
        <w:t> </w:t>
      </w:r>
      <w:r>
        <w:rPr>
          <w:sz w:val="16"/>
        </w:rPr>
        <w:t>evitar</w:t>
      </w:r>
      <w:r>
        <w:rPr>
          <w:spacing w:val="-3"/>
          <w:sz w:val="16"/>
        </w:rPr>
        <w:t> </w:t>
      </w:r>
      <w:r>
        <w:rPr>
          <w:sz w:val="16"/>
        </w:rPr>
        <w:t>todo</w:t>
      </w:r>
      <w:r>
        <w:rPr>
          <w:spacing w:val="-3"/>
          <w:sz w:val="16"/>
        </w:rPr>
        <w:t> </w:t>
      </w:r>
      <w:r>
        <w:rPr>
          <w:sz w:val="16"/>
        </w:rPr>
        <w:t>tipo</w:t>
      </w:r>
      <w:r>
        <w:rPr>
          <w:spacing w:val="-8"/>
          <w:sz w:val="16"/>
        </w:rPr>
        <w:t> </w:t>
      </w:r>
      <w:r>
        <w:rPr>
          <w:sz w:val="16"/>
        </w:rPr>
        <w:t>de</w:t>
      </w:r>
      <w:r>
        <w:rPr>
          <w:spacing w:val="-6"/>
          <w:sz w:val="16"/>
        </w:rPr>
        <w:t> </w:t>
      </w:r>
      <w:r>
        <w:rPr>
          <w:sz w:val="16"/>
        </w:rPr>
        <w:t>corte</w:t>
      </w:r>
      <w:r>
        <w:rPr>
          <w:spacing w:val="-6"/>
          <w:sz w:val="16"/>
        </w:rPr>
        <w:t> </w:t>
      </w:r>
      <w:r>
        <w:rPr>
          <w:sz w:val="16"/>
        </w:rPr>
        <w:t>de</w:t>
      </w:r>
      <w:r>
        <w:rPr>
          <w:spacing w:val="-6"/>
          <w:sz w:val="16"/>
        </w:rPr>
        <w:t> </w:t>
      </w:r>
      <w:r>
        <w:rPr>
          <w:sz w:val="16"/>
        </w:rPr>
        <w:t>madera</w:t>
      </w:r>
      <w:r>
        <w:rPr>
          <w:spacing w:val="-7"/>
          <w:sz w:val="16"/>
        </w:rPr>
        <w:t> </w:t>
      </w:r>
      <w:r>
        <w:rPr>
          <w:sz w:val="16"/>
        </w:rPr>
        <w:t>y</w:t>
      </w:r>
      <w:r>
        <w:rPr>
          <w:spacing w:val="-3"/>
          <w:sz w:val="16"/>
        </w:rPr>
        <w:t> </w:t>
      </w:r>
      <w:r>
        <w:rPr>
          <w:sz w:val="16"/>
        </w:rPr>
        <w:t>aprovechamiento</w:t>
      </w:r>
      <w:r>
        <w:rPr>
          <w:spacing w:val="-3"/>
          <w:sz w:val="16"/>
        </w:rPr>
        <w:t> </w:t>
      </w:r>
      <w:r>
        <w:rPr>
          <w:sz w:val="16"/>
        </w:rPr>
        <w:t>forestal</w:t>
      </w:r>
      <w:r>
        <w:rPr>
          <w:spacing w:val="-4"/>
          <w:sz w:val="16"/>
        </w:rPr>
        <w:t> </w:t>
      </w:r>
      <w:r>
        <w:rPr>
          <w:sz w:val="16"/>
        </w:rPr>
        <w:t>de ambos</w:t>
      </w:r>
      <w:r>
        <w:rPr>
          <w:spacing w:val="-3"/>
          <w:sz w:val="16"/>
        </w:rPr>
        <w:t> </w:t>
      </w:r>
      <w:r>
        <w:rPr>
          <w:sz w:val="16"/>
        </w:rPr>
        <w:t>lotes”.</w:t>
      </w:r>
    </w:p>
    <w:p>
      <w:pPr>
        <w:pStyle w:val="BodyText"/>
        <w:spacing w:before="11"/>
        <w:rPr>
          <w:sz w:val="15"/>
        </w:rPr>
      </w:pPr>
    </w:p>
    <w:p>
      <w:pPr>
        <w:tabs>
          <w:tab w:pos="829" w:val="left" w:leader="none"/>
        </w:tabs>
        <w:spacing w:before="0"/>
        <w:ind w:left="122" w:right="118" w:firstLine="0"/>
        <w:jc w:val="both"/>
        <w:rPr>
          <w:sz w:val="16"/>
        </w:rPr>
      </w:pPr>
      <w:r>
        <w:rPr>
          <w:position w:val="6"/>
          <w:sz w:val="10"/>
        </w:rPr>
        <w:t>285</w:t>
        <w:tab/>
      </w:r>
      <w:r>
        <w:rPr>
          <w:sz w:val="16"/>
        </w:rPr>
        <w:t>Acta</w:t>
      </w:r>
      <w:r>
        <w:rPr>
          <w:spacing w:val="-6"/>
          <w:sz w:val="16"/>
        </w:rPr>
        <w:t> </w:t>
      </w:r>
      <w:r>
        <w:rPr>
          <w:sz w:val="16"/>
        </w:rPr>
        <w:t>de</w:t>
      </w:r>
      <w:r>
        <w:rPr>
          <w:spacing w:val="-2"/>
          <w:sz w:val="16"/>
        </w:rPr>
        <w:t> </w:t>
      </w:r>
      <w:r>
        <w:rPr>
          <w:sz w:val="16"/>
        </w:rPr>
        <w:t>la</w:t>
      </w:r>
      <w:r>
        <w:rPr>
          <w:spacing w:val="-6"/>
          <w:sz w:val="16"/>
        </w:rPr>
        <w:t> </w:t>
      </w:r>
      <w:r>
        <w:rPr>
          <w:sz w:val="16"/>
        </w:rPr>
        <w:t>OFC</w:t>
      </w:r>
      <w:r>
        <w:rPr>
          <w:spacing w:val="-7"/>
          <w:sz w:val="16"/>
        </w:rPr>
        <w:t> </w:t>
      </w:r>
      <w:r>
        <w:rPr>
          <w:sz w:val="16"/>
        </w:rPr>
        <w:t>y</w:t>
      </w:r>
      <w:r>
        <w:rPr>
          <w:spacing w:val="-2"/>
          <w:sz w:val="16"/>
        </w:rPr>
        <w:t> </w:t>
      </w:r>
      <w:r>
        <w:rPr>
          <w:sz w:val="16"/>
        </w:rPr>
        <w:t>Lhaka</w:t>
      </w:r>
      <w:r>
        <w:rPr>
          <w:spacing w:val="-3"/>
          <w:sz w:val="16"/>
        </w:rPr>
        <w:t> </w:t>
      </w:r>
      <w:r>
        <w:rPr>
          <w:sz w:val="16"/>
        </w:rPr>
        <w:t>Honhat</w:t>
      </w:r>
      <w:r>
        <w:rPr>
          <w:spacing w:val="-4"/>
          <w:sz w:val="16"/>
        </w:rPr>
        <w:t> </w:t>
      </w:r>
      <w:r>
        <w:rPr>
          <w:sz w:val="16"/>
        </w:rPr>
        <w:t>de</w:t>
      </w:r>
      <w:r>
        <w:rPr>
          <w:spacing w:val="-5"/>
          <w:sz w:val="16"/>
        </w:rPr>
        <w:t> </w:t>
      </w:r>
      <w:r>
        <w:rPr>
          <w:sz w:val="16"/>
        </w:rPr>
        <w:t>9</w:t>
      </w:r>
      <w:r>
        <w:rPr>
          <w:spacing w:val="-6"/>
          <w:sz w:val="16"/>
        </w:rPr>
        <w:t> </w:t>
      </w:r>
      <w:r>
        <w:rPr>
          <w:sz w:val="16"/>
        </w:rPr>
        <w:t>de</w:t>
      </w:r>
      <w:r>
        <w:rPr>
          <w:spacing w:val="-5"/>
          <w:sz w:val="16"/>
        </w:rPr>
        <w:t> </w:t>
      </w:r>
      <w:r>
        <w:rPr>
          <w:sz w:val="16"/>
        </w:rPr>
        <w:t>mayo</w:t>
      </w:r>
      <w:r>
        <w:rPr>
          <w:spacing w:val="-4"/>
          <w:sz w:val="16"/>
        </w:rPr>
        <w:t> </w:t>
      </w:r>
      <w:r>
        <w:rPr>
          <w:sz w:val="16"/>
        </w:rPr>
        <w:t>de</w:t>
      </w:r>
      <w:r>
        <w:rPr>
          <w:spacing w:val="-5"/>
          <w:sz w:val="16"/>
        </w:rPr>
        <w:t> </w:t>
      </w:r>
      <w:r>
        <w:rPr>
          <w:sz w:val="16"/>
        </w:rPr>
        <w:t>2013.</w:t>
      </w:r>
      <w:r>
        <w:rPr>
          <w:spacing w:val="-6"/>
          <w:sz w:val="16"/>
        </w:rPr>
        <w:t> </w:t>
      </w:r>
      <w:r>
        <w:rPr>
          <w:sz w:val="16"/>
        </w:rPr>
        <w:t>Expediente</w:t>
      </w:r>
      <w:r>
        <w:rPr>
          <w:spacing w:val="-2"/>
          <w:sz w:val="16"/>
        </w:rPr>
        <w:t> </w:t>
      </w:r>
      <w:r>
        <w:rPr>
          <w:sz w:val="16"/>
        </w:rPr>
        <w:t>de</w:t>
      </w:r>
      <w:r>
        <w:rPr>
          <w:spacing w:val="-5"/>
          <w:sz w:val="16"/>
        </w:rPr>
        <w:t> </w:t>
      </w:r>
      <w:r>
        <w:rPr>
          <w:sz w:val="16"/>
        </w:rPr>
        <w:t>prueba,</w:t>
      </w:r>
      <w:r>
        <w:rPr>
          <w:spacing w:val="-4"/>
          <w:sz w:val="16"/>
        </w:rPr>
        <w:t> </w:t>
      </w:r>
      <w:r>
        <w:rPr>
          <w:sz w:val="16"/>
        </w:rPr>
        <w:t>anexos</w:t>
      </w:r>
      <w:r>
        <w:rPr>
          <w:spacing w:val="-2"/>
          <w:sz w:val="16"/>
        </w:rPr>
        <w:t> </w:t>
      </w:r>
      <w:r>
        <w:rPr>
          <w:sz w:val="16"/>
        </w:rPr>
        <w:t>L.</w:t>
      </w:r>
      <w:r>
        <w:rPr>
          <w:spacing w:val="-6"/>
          <w:sz w:val="16"/>
        </w:rPr>
        <w:t> </w:t>
      </w:r>
      <w:r>
        <w:rPr>
          <w:sz w:val="16"/>
        </w:rPr>
        <w:t>24</w:t>
      </w:r>
      <w:r>
        <w:rPr>
          <w:spacing w:val="-2"/>
          <w:sz w:val="16"/>
        </w:rPr>
        <w:t> </w:t>
      </w:r>
      <w:r>
        <w:rPr>
          <w:sz w:val="16"/>
        </w:rPr>
        <w:t>al</w:t>
      </w:r>
      <w:r>
        <w:rPr>
          <w:spacing w:val="-6"/>
          <w:sz w:val="16"/>
        </w:rPr>
        <w:t> </w:t>
      </w:r>
      <w:r>
        <w:rPr>
          <w:sz w:val="16"/>
        </w:rPr>
        <w:t>escrito</w:t>
      </w:r>
      <w:r>
        <w:rPr>
          <w:w w:val="100"/>
          <w:sz w:val="16"/>
        </w:rPr>
        <w:t> </w:t>
      </w:r>
      <w:r>
        <w:rPr>
          <w:sz w:val="16"/>
        </w:rPr>
        <w:t>de solicitudes y argumentos, fs. 34.296 a</w:t>
      </w:r>
      <w:r>
        <w:rPr>
          <w:spacing w:val="-14"/>
          <w:sz w:val="16"/>
        </w:rPr>
        <w:t> </w:t>
      </w:r>
      <w:r>
        <w:rPr>
          <w:sz w:val="16"/>
        </w:rPr>
        <w:t>34.298.</w:t>
      </w:r>
    </w:p>
    <w:p>
      <w:pPr>
        <w:pStyle w:val="BodyText"/>
        <w:spacing w:before="11"/>
        <w:rPr>
          <w:sz w:val="15"/>
        </w:rPr>
      </w:pPr>
    </w:p>
    <w:p>
      <w:pPr>
        <w:tabs>
          <w:tab w:pos="829" w:val="left" w:leader="none"/>
        </w:tabs>
        <w:spacing w:line="242" w:lineRule="auto" w:before="0"/>
        <w:ind w:left="122" w:right="115" w:firstLine="0"/>
        <w:jc w:val="both"/>
        <w:rPr>
          <w:sz w:val="16"/>
        </w:rPr>
      </w:pPr>
      <w:r>
        <w:rPr>
          <w:position w:val="6"/>
          <w:sz w:val="10"/>
        </w:rPr>
        <w:t>286</w:t>
        <w:tab/>
      </w:r>
      <w:r>
        <w:rPr>
          <w:sz w:val="16"/>
        </w:rPr>
        <w:t>Por ejemplo, el 11 de diciembre de 2008 o en febrero de 2009 (</w:t>
      </w:r>
      <w:r>
        <w:rPr>
          <w:i/>
          <w:sz w:val="16"/>
        </w:rPr>
        <w:t>cfr. </w:t>
      </w:r>
      <w:r>
        <w:rPr>
          <w:sz w:val="16"/>
        </w:rPr>
        <w:t>Acta de denuncia  </w:t>
      </w:r>
      <w:r>
        <w:rPr>
          <w:spacing w:val="7"/>
          <w:sz w:val="16"/>
        </w:rPr>
        <w:t> </w:t>
      </w:r>
      <w:r>
        <w:rPr>
          <w:sz w:val="16"/>
        </w:rPr>
        <w:t>realizada</w:t>
      </w:r>
      <w:r>
        <w:rPr>
          <w:spacing w:val="9"/>
          <w:sz w:val="16"/>
        </w:rPr>
        <w:t> </w:t>
      </w:r>
      <w:r>
        <w:rPr>
          <w:sz w:val="16"/>
        </w:rPr>
        <w:t>por</w:t>
      </w:r>
      <w:r>
        <w:rPr>
          <w:w w:val="100"/>
          <w:sz w:val="16"/>
        </w:rPr>
        <w:t> </w:t>
      </w:r>
      <w:r>
        <w:rPr>
          <w:sz w:val="16"/>
        </w:rPr>
        <w:t>Francisco</w:t>
      </w:r>
      <w:r>
        <w:rPr>
          <w:spacing w:val="-7"/>
          <w:sz w:val="16"/>
        </w:rPr>
        <w:t> </w:t>
      </w:r>
      <w:r>
        <w:rPr>
          <w:sz w:val="16"/>
        </w:rPr>
        <w:t>Pérez</w:t>
      </w:r>
      <w:r>
        <w:rPr>
          <w:spacing w:val="-8"/>
          <w:sz w:val="16"/>
        </w:rPr>
        <w:t> </w:t>
      </w:r>
      <w:r>
        <w:rPr>
          <w:sz w:val="16"/>
        </w:rPr>
        <w:t>ante</w:t>
      </w:r>
      <w:r>
        <w:rPr>
          <w:spacing w:val="-5"/>
          <w:sz w:val="16"/>
        </w:rPr>
        <w:t> </w:t>
      </w:r>
      <w:r>
        <w:rPr>
          <w:sz w:val="16"/>
        </w:rPr>
        <w:t>la</w:t>
      </w:r>
      <w:r>
        <w:rPr>
          <w:spacing w:val="-8"/>
          <w:sz w:val="16"/>
        </w:rPr>
        <w:t> </w:t>
      </w:r>
      <w:r>
        <w:rPr>
          <w:sz w:val="16"/>
        </w:rPr>
        <w:t>Secretaría</w:t>
      </w:r>
      <w:r>
        <w:rPr>
          <w:spacing w:val="-6"/>
          <w:sz w:val="16"/>
        </w:rPr>
        <w:t> </w:t>
      </w:r>
      <w:r>
        <w:rPr>
          <w:sz w:val="16"/>
        </w:rPr>
        <w:t>de</w:t>
      </w:r>
      <w:r>
        <w:rPr>
          <w:spacing w:val="-7"/>
          <w:sz w:val="16"/>
        </w:rPr>
        <w:t> </w:t>
      </w:r>
      <w:r>
        <w:rPr>
          <w:sz w:val="16"/>
        </w:rPr>
        <w:t>Política</w:t>
      </w:r>
      <w:r>
        <w:rPr>
          <w:spacing w:val="-5"/>
          <w:sz w:val="16"/>
        </w:rPr>
        <w:t> </w:t>
      </w:r>
      <w:r>
        <w:rPr>
          <w:sz w:val="16"/>
        </w:rPr>
        <w:t>Ambiental</w:t>
      </w:r>
      <w:r>
        <w:rPr>
          <w:spacing w:val="-6"/>
          <w:sz w:val="16"/>
        </w:rPr>
        <w:t> </w:t>
      </w:r>
      <w:r>
        <w:rPr>
          <w:sz w:val="16"/>
        </w:rPr>
        <w:t>y</w:t>
      </w:r>
      <w:r>
        <w:rPr>
          <w:spacing w:val="-7"/>
          <w:sz w:val="16"/>
        </w:rPr>
        <w:t> </w:t>
      </w:r>
      <w:r>
        <w:rPr>
          <w:sz w:val="16"/>
        </w:rPr>
        <w:t>por</w:t>
      </w:r>
      <w:r>
        <w:rPr>
          <w:spacing w:val="-7"/>
          <w:sz w:val="16"/>
        </w:rPr>
        <w:t> </w:t>
      </w:r>
      <w:r>
        <w:rPr>
          <w:sz w:val="16"/>
        </w:rPr>
        <w:t>Calixto</w:t>
      </w:r>
      <w:r>
        <w:rPr>
          <w:spacing w:val="-7"/>
          <w:sz w:val="16"/>
        </w:rPr>
        <w:t> </w:t>
      </w:r>
      <w:r>
        <w:rPr>
          <w:sz w:val="16"/>
        </w:rPr>
        <w:t>Ceballos</w:t>
      </w:r>
      <w:r>
        <w:rPr>
          <w:spacing w:val="-5"/>
          <w:sz w:val="16"/>
        </w:rPr>
        <w:t> </w:t>
      </w:r>
      <w:r>
        <w:rPr>
          <w:sz w:val="16"/>
        </w:rPr>
        <w:t>ante</w:t>
      </w:r>
      <w:r>
        <w:rPr>
          <w:spacing w:val="-5"/>
          <w:sz w:val="16"/>
        </w:rPr>
        <w:t> </w:t>
      </w:r>
      <w:r>
        <w:rPr>
          <w:sz w:val="16"/>
        </w:rPr>
        <w:t>la</w:t>
      </w:r>
      <w:r>
        <w:rPr>
          <w:spacing w:val="-8"/>
          <w:sz w:val="16"/>
        </w:rPr>
        <w:t> </w:t>
      </w:r>
      <w:r>
        <w:rPr>
          <w:sz w:val="16"/>
        </w:rPr>
        <w:t>Policía</w:t>
      </w:r>
      <w:r>
        <w:rPr>
          <w:spacing w:val="-6"/>
          <w:sz w:val="16"/>
        </w:rPr>
        <w:t> </w:t>
      </w:r>
      <w:r>
        <w:rPr>
          <w:sz w:val="16"/>
        </w:rPr>
        <w:t>de</w:t>
      </w:r>
      <w:r>
        <w:rPr>
          <w:spacing w:val="-7"/>
          <w:sz w:val="16"/>
        </w:rPr>
        <w:t> </w:t>
      </w:r>
      <w:r>
        <w:rPr>
          <w:sz w:val="16"/>
        </w:rPr>
        <w:t>la</w:t>
      </w:r>
      <w:r>
        <w:rPr>
          <w:spacing w:val="-6"/>
          <w:sz w:val="16"/>
        </w:rPr>
        <w:t> </w:t>
      </w:r>
      <w:r>
        <w:rPr>
          <w:sz w:val="16"/>
        </w:rPr>
        <w:t>Provincia</w:t>
      </w:r>
      <w:r>
        <w:rPr>
          <w:spacing w:val="-9"/>
          <w:sz w:val="16"/>
        </w:rPr>
        <w:t> </w:t>
      </w:r>
      <w:r>
        <w:rPr>
          <w:sz w:val="16"/>
        </w:rPr>
        <w:t>de Salta.</w:t>
      </w:r>
      <w:r>
        <w:rPr>
          <w:spacing w:val="-5"/>
          <w:sz w:val="16"/>
        </w:rPr>
        <w:t> </w:t>
      </w:r>
      <w:r>
        <w:rPr>
          <w:sz w:val="16"/>
        </w:rPr>
        <w:t>Expediente</w:t>
      </w:r>
      <w:r>
        <w:rPr>
          <w:spacing w:val="-6"/>
          <w:sz w:val="16"/>
        </w:rPr>
        <w:t> </w:t>
      </w:r>
      <w:r>
        <w:rPr>
          <w:sz w:val="16"/>
        </w:rPr>
        <w:t>de</w:t>
      </w:r>
      <w:r>
        <w:rPr>
          <w:spacing w:val="-6"/>
          <w:sz w:val="16"/>
        </w:rPr>
        <w:t> </w:t>
      </w:r>
      <w:r>
        <w:rPr>
          <w:sz w:val="16"/>
        </w:rPr>
        <w:t>prueba,</w:t>
      </w:r>
      <w:r>
        <w:rPr>
          <w:spacing w:val="-7"/>
          <w:sz w:val="16"/>
        </w:rPr>
        <w:t> </w:t>
      </w:r>
      <w:r>
        <w:rPr>
          <w:sz w:val="16"/>
        </w:rPr>
        <w:t>anexos</w:t>
      </w:r>
      <w:r>
        <w:rPr>
          <w:spacing w:val="-6"/>
          <w:sz w:val="16"/>
        </w:rPr>
        <w:t> </w:t>
      </w:r>
      <w:r>
        <w:rPr>
          <w:sz w:val="16"/>
        </w:rPr>
        <w:t>L.16</w:t>
      </w:r>
      <w:r>
        <w:rPr>
          <w:spacing w:val="-3"/>
          <w:sz w:val="16"/>
        </w:rPr>
        <w:t> </w:t>
      </w:r>
      <w:r>
        <w:rPr>
          <w:sz w:val="16"/>
        </w:rPr>
        <w:t>y</w:t>
      </w:r>
      <w:r>
        <w:rPr>
          <w:spacing w:val="-5"/>
          <w:sz w:val="16"/>
        </w:rPr>
        <w:t> </w:t>
      </w:r>
      <w:r>
        <w:rPr>
          <w:sz w:val="16"/>
        </w:rPr>
        <w:t>L.17</w:t>
      </w:r>
      <w:r>
        <w:rPr>
          <w:spacing w:val="-3"/>
          <w:sz w:val="16"/>
        </w:rPr>
        <w:t> </w:t>
      </w:r>
      <w:r>
        <w:rPr>
          <w:sz w:val="16"/>
        </w:rPr>
        <w:t>al</w:t>
      </w:r>
      <w:r>
        <w:rPr>
          <w:spacing w:val="-4"/>
          <w:sz w:val="16"/>
        </w:rPr>
        <w:t> </w:t>
      </w:r>
      <w:r>
        <w:rPr>
          <w:sz w:val="16"/>
        </w:rPr>
        <w:t>escrito</w:t>
      </w:r>
      <w:r>
        <w:rPr>
          <w:spacing w:val="-8"/>
          <w:sz w:val="16"/>
        </w:rPr>
        <w:t> </w:t>
      </w:r>
      <w:r>
        <w:rPr>
          <w:sz w:val="16"/>
        </w:rPr>
        <w:t>de</w:t>
      </w:r>
      <w:r>
        <w:rPr>
          <w:spacing w:val="-3"/>
          <w:sz w:val="16"/>
        </w:rPr>
        <w:t> </w:t>
      </w:r>
      <w:r>
        <w:rPr>
          <w:sz w:val="16"/>
        </w:rPr>
        <w:t>solicitudes</w:t>
      </w:r>
      <w:r>
        <w:rPr>
          <w:spacing w:val="-6"/>
          <w:sz w:val="16"/>
        </w:rPr>
        <w:t> </w:t>
      </w:r>
      <w:r>
        <w:rPr>
          <w:sz w:val="16"/>
        </w:rPr>
        <w:t>y</w:t>
      </w:r>
      <w:r>
        <w:rPr>
          <w:spacing w:val="-3"/>
          <w:sz w:val="16"/>
        </w:rPr>
        <w:t> </w:t>
      </w:r>
      <w:r>
        <w:rPr>
          <w:sz w:val="16"/>
        </w:rPr>
        <w:t>argumentos,</w:t>
      </w:r>
      <w:r>
        <w:rPr>
          <w:spacing w:val="-4"/>
          <w:sz w:val="16"/>
        </w:rPr>
        <w:t> </w:t>
      </w:r>
      <w:r>
        <w:rPr>
          <w:sz w:val="16"/>
        </w:rPr>
        <w:t>fs.</w:t>
      </w:r>
      <w:r>
        <w:rPr>
          <w:spacing w:val="-4"/>
          <w:sz w:val="16"/>
        </w:rPr>
        <w:t> </w:t>
      </w:r>
      <w:r>
        <w:rPr>
          <w:sz w:val="16"/>
        </w:rPr>
        <w:t>34.184</w:t>
      </w:r>
      <w:r>
        <w:rPr>
          <w:spacing w:val="-3"/>
          <w:sz w:val="16"/>
        </w:rPr>
        <w:t> </w:t>
      </w:r>
      <w:r>
        <w:rPr>
          <w:sz w:val="16"/>
        </w:rPr>
        <w:t>a</w:t>
      </w:r>
      <w:r>
        <w:rPr>
          <w:spacing w:val="-7"/>
          <w:sz w:val="16"/>
        </w:rPr>
        <w:t> </w:t>
      </w:r>
      <w:r>
        <w:rPr>
          <w:sz w:val="16"/>
        </w:rPr>
        <w:t>34.187).</w:t>
      </w:r>
    </w:p>
    <w:p>
      <w:pPr>
        <w:spacing w:after="0" w:line="242" w:lineRule="auto"/>
        <w:jc w:val="both"/>
        <w:rPr>
          <w:sz w:val="16"/>
        </w:rPr>
        <w:sectPr>
          <w:pgSz w:w="12240" w:h="15840"/>
          <w:pgMar w:header="0" w:footer="1000" w:top="1340" w:bottom="1200" w:left="1580" w:right="1580"/>
        </w:sectPr>
      </w:pPr>
    </w:p>
    <w:p>
      <w:pPr>
        <w:pStyle w:val="BodyText"/>
        <w:spacing w:before="76"/>
        <w:ind w:left="122" w:right="125"/>
        <w:jc w:val="both"/>
      </w:pPr>
      <w:r>
        <w:rPr/>
        <w:t>artículo 26 de la Convención, el contenido de tales derechos incluye aspectos que son de</w:t>
      </w:r>
      <w:r>
        <w:rPr>
          <w:spacing w:val="-21"/>
        </w:rPr>
        <w:t> </w:t>
      </w:r>
      <w:r>
        <w:rPr/>
        <w:t>inmediata</w:t>
      </w:r>
      <w:r>
        <w:rPr>
          <w:spacing w:val="-17"/>
        </w:rPr>
        <w:t> </w:t>
      </w:r>
      <w:r>
        <w:rPr/>
        <w:t>exigibilidad.</w:t>
      </w:r>
      <w:r>
        <w:rPr>
          <w:spacing w:val="-20"/>
        </w:rPr>
        <w:t> </w:t>
      </w:r>
      <w:r>
        <w:rPr/>
        <w:t>Se</w:t>
      </w:r>
      <w:r>
        <w:rPr>
          <w:spacing w:val="-21"/>
        </w:rPr>
        <w:t> </w:t>
      </w:r>
      <w:r>
        <w:rPr/>
        <w:t>ha</w:t>
      </w:r>
      <w:r>
        <w:rPr>
          <w:spacing w:val="-18"/>
        </w:rPr>
        <w:t> </w:t>
      </w:r>
      <w:r>
        <w:rPr/>
        <w:t>indicado</w:t>
      </w:r>
      <w:r>
        <w:rPr>
          <w:spacing w:val="-18"/>
        </w:rPr>
        <w:t> </w:t>
      </w:r>
      <w:r>
        <w:rPr/>
        <w:t>que</w:t>
      </w:r>
      <w:r>
        <w:rPr>
          <w:spacing w:val="-19"/>
        </w:rPr>
        <w:t> </w:t>
      </w:r>
      <w:r>
        <w:rPr/>
        <w:t>rigen</w:t>
      </w:r>
      <w:r>
        <w:rPr>
          <w:spacing w:val="-19"/>
        </w:rPr>
        <w:t> </w:t>
      </w:r>
      <w:r>
        <w:rPr/>
        <w:t>al</w:t>
      </w:r>
      <w:r>
        <w:rPr>
          <w:spacing w:val="-17"/>
        </w:rPr>
        <w:t> </w:t>
      </w:r>
      <w:r>
        <w:rPr/>
        <w:t>respecto</w:t>
      </w:r>
      <w:r>
        <w:rPr>
          <w:spacing w:val="-21"/>
        </w:rPr>
        <w:t> </w:t>
      </w:r>
      <w:r>
        <w:rPr/>
        <w:t>las</w:t>
      </w:r>
      <w:r>
        <w:rPr>
          <w:spacing w:val="-18"/>
        </w:rPr>
        <w:t> </w:t>
      </w:r>
      <w:r>
        <w:rPr/>
        <w:t>obligaciones</w:t>
      </w:r>
      <w:r>
        <w:rPr>
          <w:spacing w:val="-21"/>
        </w:rPr>
        <w:t> </w:t>
      </w:r>
      <w:r>
        <w:rPr/>
        <w:t>prescritas en los artículos 1.1 y 2 de la Convención</w:t>
      </w:r>
      <w:r>
        <w:rPr>
          <w:position w:val="7"/>
          <w:sz w:val="13"/>
        </w:rPr>
        <w:t>287</w:t>
      </w:r>
      <w:r>
        <w:rPr/>
        <w:t>. En el presente caso, los alegatos de las partes aluden a la obligación estatal de garantizar el goce de los derechos, previniendo o evitando su lesión por parte de particulares. En esto centrará su examen la Corte. El caso</w:t>
      </w:r>
      <w:r>
        <w:rPr>
          <w:spacing w:val="-12"/>
        </w:rPr>
        <w:t> </w:t>
      </w:r>
      <w:r>
        <w:rPr/>
        <w:t>no</w:t>
      </w:r>
      <w:r>
        <w:rPr>
          <w:spacing w:val="-14"/>
        </w:rPr>
        <w:t> </w:t>
      </w:r>
      <w:r>
        <w:rPr/>
        <w:t>requiere</w:t>
      </w:r>
      <w:r>
        <w:rPr>
          <w:spacing w:val="-14"/>
        </w:rPr>
        <w:t> </w:t>
      </w:r>
      <w:r>
        <w:rPr/>
        <w:t>un</w:t>
      </w:r>
      <w:r>
        <w:rPr>
          <w:spacing w:val="-12"/>
        </w:rPr>
        <w:t> </w:t>
      </w:r>
      <w:r>
        <w:rPr/>
        <w:t>análisis</w:t>
      </w:r>
      <w:r>
        <w:rPr>
          <w:spacing w:val="-13"/>
        </w:rPr>
        <w:t> </w:t>
      </w:r>
      <w:r>
        <w:rPr/>
        <w:t>sobre</w:t>
      </w:r>
      <w:r>
        <w:rPr>
          <w:spacing w:val="-14"/>
        </w:rPr>
        <w:t> </w:t>
      </w:r>
      <w:r>
        <w:rPr/>
        <w:t>conductas</w:t>
      </w:r>
      <w:r>
        <w:rPr>
          <w:spacing w:val="-11"/>
        </w:rPr>
        <w:t> </w:t>
      </w:r>
      <w:r>
        <w:rPr/>
        <w:t>estatales</w:t>
      </w:r>
      <w:r>
        <w:rPr>
          <w:spacing w:val="-13"/>
        </w:rPr>
        <w:t> </w:t>
      </w:r>
      <w:r>
        <w:rPr/>
        <w:t>vinculadas</w:t>
      </w:r>
      <w:r>
        <w:rPr>
          <w:spacing w:val="-13"/>
        </w:rPr>
        <w:t> </w:t>
      </w:r>
      <w:r>
        <w:rPr/>
        <w:t>al</w:t>
      </w:r>
      <w:r>
        <w:rPr>
          <w:spacing w:val="-12"/>
        </w:rPr>
        <w:t> </w:t>
      </w:r>
      <w:r>
        <w:rPr/>
        <w:t>avance</w:t>
      </w:r>
      <w:r>
        <w:rPr>
          <w:spacing w:val="-15"/>
        </w:rPr>
        <w:t> </w:t>
      </w:r>
      <w:r>
        <w:rPr/>
        <w:t>“progresivo” en la “plena efectividad” de los</w:t>
      </w:r>
      <w:r>
        <w:rPr>
          <w:spacing w:val="-16"/>
        </w:rPr>
        <w:t> </w:t>
      </w:r>
      <w:r>
        <w:rPr/>
        <w:t>derechos.</w:t>
      </w:r>
    </w:p>
    <w:p>
      <w:pPr>
        <w:pStyle w:val="BodyText"/>
      </w:pPr>
    </w:p>
    <w:p>
      <w:pPr>
        <w:pStyle w:val="ListParagraph"/>
        <w:numPr>
          <w:ilvl w:val="0"/>
          <w:numId w:val="31"/>
        </w:numPr>
        <w:tabs>
          <w:tab w:pos="830" w:val="left" w:leader="none"/>
        </w:tabs>
        <w:spacing w:line="240" w:lineRule="auto" w:before="0" w:after="0"/>
        <w:ind w:left="122" w:right="123" w:firstLine="0"/>
        <w:jc w:val="both"/>
        <w:rPr>
          <w:sz w:val="20"/>
        </w:rPr>
      </w:pPr>
      <w:r>
        <w:rPr>
          <w:sz w:val="20"/>
        </w:rPr>
        <w:t>La Corte advierte que los hechos referidos muestran que la presencia </w:t>
      </w:r>
      <w:r>
        <w:rPr>
          <w:spacing w:val="6"/>
          <w:sz w:val="20"/>
        </w:rPr>
        <w:t>de </w:t>
      </w:r>
      <w:r>
        <w:rPr>
          <w:sz w:val="20"/>
        </w:rPr>
        <w:t>criollos en el territorio indígena, así como distintas actividades, han generado un impacto. La cuestión a determinar es, si en el caso, dicho impacto ha implicado el menoscabo a derechos específicos, en forma adicional a la mera interferencia con el </w:t>
      </w:r>
      <w:r>
        <w:rPr>
          <w:spacing w:val="2"/>
          <w:sz w:val="20"/>
        </w:rPr>
        <w:t>goce </w:t>
      </w:r>
      <w:r>
        <w:rPr>
          <w:sz w:val="20"/>
        </w:rPr>
        <w:t>de la propiedad,</w:t>
      </w:r>
      <w:r>
        <w:rPr>
          <w:spacing w:val="-13"/>
          <w:sz w:val="20"/>
        </w:rPr>
        <w:t> </w:t>
      </w:r>
      <w:r>
        <w:rPr>
          <w:sz w:val="20"/>
        </w:rPr>
        <w:t>cuestión</w:t>
      </w:r>
      <w:r>
        <w:rPr>
          <w:spacing w:val="-11"/>
          <w:sz w:val="20"/>
        </w:rPr>
        <w:t> </w:t>
      </w:r>
      <w:r>
        <w:rPr>
          <w:sz w:val="20"/>
        </w:rPr>
        <w:t>ya</w:t>
      </w:r>
      <w:r>
        <w:rPr>
          <w:spacing w:val="-10"/>
          <w:sz w:val="20"/>
        </w:rPr>
        <w:t> </w:t>
      </w:r>
      <w:r>
        <w:rPr>
          <w:sz w:val="20"/>
        </w:rPr>
        <w:t>examinada</w:t>
      </w:r>
      <w:r>
        <w:rPr>
          <w:spacing w:val="-12"/>
          <w:sz w:val="20"/>
        </w:rPr>
        <w:t> </w:t>
      </w:r>
      <w:r>
        <w:rPr>
          <w:sz w:val="20"/>
        </w:rPr>
        <w:t>en</w:t>
      </w:r>
      <w:r>
        <w:rPr>
          <w:spacing w:val="-11"/>
          <w:sz w:val="20"/>
        </w:rPr>
        <w:t> </w:t>
      </w:r>
      <w:r>
        <w:rPr>
          <w:sz w:val="20"/>
        </w:rPr>
        <w:t>el</w:t>
      </w:r>
      <w:r>
        <w:rPr>
          <w:spacing w:val="-12"/>
          <w:sz w:val="20"/>
        </w:rPr>
        <w:t> </w:t>
      </w:r>
      <w:r>
        <w:rPr>
          <w:sz w:val="20"/>
        </w:rPr>
        <w:t>capítulo</w:t>
      </w:r>
      <w:r>
        <w:rPr>
          <w:spacing w:val="-11"/>
          <w:sz w:val="20"/>
        </w:rPr>
        <w:t> </w:t>
      </w:r>
      <w:r>
        <w:rPr>
          <w:sz w:val="20"/>
        </w:rPr>
        <w:t>anterior</w:t>
      </w:r>
      <w:r>
        <w:rPr>
          <w:spacing w:val="-13"/>
          <w:sz w:val="20"/>
        </w:rPr>
        <w:t> </w:t>
      </w:r>
      <w:r>
        <w:rPr>
          <w:sz w:val="20"/>
        </w:rPr>
        <w:t>de</w:t>
      </w:r>
      <w:r>
        <w:rPr>
          <w:spacing w:val="-11"/>
          <w:sz w:val="20"/>
        </w:rPr>
        <w:t> </w:t>
      </w:r>
      <w:r>
        <w:rPr>
          <w:sz w:val="20"/>
        </w:rPr>
        <w:t>esta</w:t>
      </w:r>
      <w:r>
        <w:rPr>
          <w:spacing w:val="-12"/>
          <w:sz w:val="20"/>
        </w:rPr>
        <w:t> </w:t>
      </w:r>
      <w:r>
        <w:rPr>
          <w:sz w:val="20"/>
        </w:rPr>
        <w:t>Sentencia.</w:t>
      </w:r>
      <w:r>
        <w:rPr>
          <w:spacing w:val="-13"/>
          <w:sz w:val="20"/>
        </w:rPr>
        <w:t> </w:t>
      </w:r>
      <w:r>
        <w:rPr>
          <w:sz w:val="20"/>
        </w:rPr>
        <w:t>Además,</w:t>
      </w:r>
      <w:r>
        <w:rPr>
          <w:spacing w:val="-13"/>
          <w:sz w:val="20"/>
        </w:rPr>
        <w:t> </w:t>
      </w:r>
      <w:r>
        <w:rPr>
          <w:sz w:val="20"/>
        </w:rPr>
        <w:t>en su caso, debe determinarse si es atribuible al Estado el daño</w:t>
      </w:r>
      <w:r>
        <w:rPr>
          <w:spacing w:val="-30"/>
          <w:sz w:val="20"/>
        </w:rPr>
        <w:t> </w:t>
      </w:r>
      <w:r>
        <w:rPr>
          <w:sz w:val="20"/>
        </w:rPr>
        <w:t>acaecido.</w:t>
      </w:r>
    </w:p>
    <w:p>
      <w:pPr>
        <w:pStyle w:val="BodyText"/>
        <w:spacing w:before="1"/>
      </w:pPr>
    </w:p>
    <w:p>
      <w:pPr>
        <w:pStyle w:val="ListParagraph"/>
        <w:numPr>
          <w:ilvl w:val="0"/>
          <w:numId w:val="31"/>
        </w:numPr>
        <w:tabs>
          <w:tab w:pos="830" w:val="left" w:leader="none"/>
        </w:tabs>
        <w:spacing w:line="240" w:lineRule="auto" w:before="0" w:after="0"/>
        <w:ind w:left="122" w:right="123" w:firstLine="0"/>
        <w:jc w:val="both"/>
        <w:rPr>
          <w:sz w:val="20"/>
        </w:rPr>
      </w:pPr>
      <w:r>
        <w:rPr>
          <w:sz w:val="20"/>
        </w:rPr>
        <w:t>La Corte entiende que corresponde tener en consideración la interdependencia de los derechos analizados y la vinculación que presenta el goce de los mismos en las circunstancias del caso. Asimismo, tales derechos no deben ser entendidos en forma restrictiva. Ya se ha dicho (</w:t>
      </w:r>
      <w:r>
        <w:rPr>
          <w:i/>
          <w:sz w:val="20"/>
        </w:rPr>
        <w:t>supra </w:t>
      </w:r>
      <w:r>
        <w:rPr>
          <w:sz w:val="20"/>
        </w:rPr>
        <w:t>párrs. 203, 209, 222, 228, 243 a 247 y 251) que el ambiente se encuentra relacionado con otros derechos, y que hay “amenazas ambientales” que pueden impactar en la alimentación, el agua y en la vida cultural. Por otra</w:t>
      </w:r>
      <w:r>
        <w:rPr>
          <w:spacing w:val="-6"/>
          <w:sz w:val="20"/>
        </w:rPr>
        <w:t> </w:t>
      </w:r>
      <w:r>
        <w:rPr>
          <w:sz w:val="20"/>
        </w:rPr>
        <w:t>parte,</w:t>
      </w:r>
      <w:r>
        <w:rPr>
          <w:spacing w:val="-7"/>
          <w:sz w:val="20"/>
        </w:rPr>
        <w:t> </w:t>
      </w:r>
      <w:r>
        <w:rPr>
          <w:sz w:val="20"/>
        </w:rPr>
        <w:t>no</w:t>
      </w:r>
      <w:r>
        <w:rPr>
          <w:spacing w:val="-5"/>
          <w:sz w:val="20"/>
        </w:rPr>
        <w:t> </w:t>
      </w:r>
      <w:r>
        <w:rPr>
          <w:sz w:val="20"/>
        </w:rPr>
        <w:t>cualquier</w:t>
      </w:r>
      <w:r>
        <w:rPr>
          <w:spacing w:val="-5"/>
          <w:sz w:val="20"/>
        </w:rPr>
        <w:t> </w:t>
      </w:r>
      <w:r>
        <w:rPr>
          <w:sz w:val="20"/>
        </w:rPr>
        <w:t>alimentación</w:t>
      </w:r>
      <w:r>
        <w:rPr>
          <w:spacing w:val="-6"/>
          <w:sz w:val="20"/>
        </w:rPr>
        <w:t> </w:t>
      </w:r>
      <w:r>
        <w:rPr>
          <w:sz w:val="20"/>
        </w:rPr>
        <w:t>satisface</w:t>
      </w:r>
      <w:r>
        <w:rPr>
          <w:spacing w:val="-5"/>
          <w:sz w:val="20"/>
        </w:rPr>
        <w:t> </w:t>
      </w:r>
      <w:r>
        <w:rPr>
          <w:sz w:val="20"/>
        </w:rPr>
        <w:t>el</w:t>
      </w:r>
      <w:r>
        <w:rPr>
          <w:spacing w:val="-6"/>
          <w:sz w:val="20"/>
        </w:rPr>
        <w:t> </w:t>
      </w:r>
      <w:r>
        <w:rPr>
          <w:sz w:val="20"/>
        </w:rPr>
        <w:t>derecho</w:t>
      </w:r>
      <w:r>
        <w:rPr>
          <w:spacing w:val="-8"/>
          <w:sz w:val="20"/>
        </w:rPr>
        <w:t> </w:t>
      </w:r>
      <w:r>
        <w:rPr>
          <w:sz w:val="20"/>
        </w:rPr>
        <w:t>respectivo,</w:t>
      </w:r>
      <w:r>
        <w:rPr>
          <w:spacing w:val="-5"/>
          <w:sz w:val="20"/>
        </w:rPr>
        <w:t> </w:t>
      </w:r>
      <w:r>
        <w:rPr>
          <w:sz w:val="20"/>
        </w:rPr>
        <w:t>sino</w:t>
      </w:r>
      <w:r>
        <w:rPr>
          <w:spacing w:val="-8"/>
          <w:sz w:val="20"/>
        </w:rPr>
        <w:t> </w:t>
      </w:r>
      <w:r>
        <w:rPr>
          <w:sz w:val="20"/>
        </w:rPr>
        <w:t>que</w:t>
      </w:r>
      <w:r>
        <w:rPr>
          <w:spacing w:val="-8"/>
          <w:sz w:val="20"/>
        </w:rPr>
        <w:t> </w:t>
      </w:r>
      <w:r>
        <w:rPr>
          <w:sz w:val="20"/>
        </w:rPr>
        <w:t>la</w:t>
      </w:r>
      <w:r>
        <w:rPr>
          <w:spacing w:val="-6"/>
          <w:sz w:val="20"/>
        </w:rPr>
        <w:t> </w:t>
      </w:r>
      <w:r>
        <w:rPr>
          <w:sz w:val="20"/>
        </w:rPr>
        <w:t>misma debe</w:t>
      </w:r>
      <w:r>
        <w:rPr>
          <w:spacing w:val="-10"/>
          <w:sz w:val="20"/>
        </w:rPr>
        <w:t> </w:t>
      </w:r>
      <w:r>
        <w:rPr>
          <w:sz w:val="20"/>
        </w:rPr>
        <w:t>ser</w:t>
      </w:r>
      <w:r>
        <w:rPr>
          <w:spacing w:val="-10"/>
          <w:sz w:val="20"/>
        </w:rPr>
        <w:t> </w:t>
      </w:r>
      <w:r>
        <w:rPr>
          <w:sz w:val="20"/>
        </w:rPr>
        <w:t>aceptable</w:t>
      </w:r>
      <w:r>
        <w:rPr>
          <w:spacing w:val="-10"/>
          <w:sz w:val="20"/>
        </w:rPr>
        <w:t> </w:t>
      </w:r>
      <w:r>
        <w:rPr>
          <w:sz w:val="20"/>
        </w:rPr>
        <w:t>para</w:t>
      </w:r>
      <w:r>
        <w:rPr>
          <w:spacing w:val="-7"/>
          <w:sz w:val="20"/>
        </w:rPr>
        <w:t> </w:t>
      </w:r>
      <w:r>
        <w:rPr>
          <w:sz w:val="20"/>
        </w:rPr>
        <w:t>una</w:t>
      </w:r>
      <w:r>
        <w:rPr>
          <w:spacing w:val="-9"/>
          <w:sz w:val="20"/>
        </w:rPr>
        <w:t> </w:t>
      </w:r>
      <w:r>
        <w:rPr>
          <w:sz w:val="20"/>
        </w:rPr>
        <w:t>cultura</w:t>
      </w:r>
      <w:r>
        <w:rPr>
          <w:spacing w:val="-9"/>
          <w:sz w:val="20"/>
        </w:rPr>
        <w:t> </w:t>
      </w:r>
      <w:r>
        <w:rPr>
          <w:sz w:val="20"/>
        </w:rPr>
        <w:t>determinada,</w:t>
      </w:r>
      <w:r>
        <w:rPr>
          <w:spacing w:val="-9"/>
          <w:sz w:val="20"/>
        </w:rPr>
        <w:t> </w:t>
      </w:r>
      <w:r>
        <w:rPr>
          <w:sz w:val="20"/>
        </w:rPr>
        <w:t>lo</w:t>
      </w:r>
      <w:r>
        <w:rPr>
          <w:spacing w:val="-10"/>
          <w:sz w:val="20"/>
        </w:rPr>
        <w:t> </w:t>
      </w:r>
      <w:r>
        <w:rPr>
          <w:sz w:val="20"/>
        </w:rPr>
        <w:t>que</w:t>
      </w:r>
      <w:r>
        <w:rPr>
          <w:spacing w:val="-10"/>
          <w:sz w:val="20"/>
        </w:rPr>
        <w:t> </w:t>
      </w:r>
      <w:r>
        <w:rPr>
          <w:sz w:val="20"/>
        </w:rPr>
        <w:t>lleva</w:t>
      </w:r>
      <w:r>
        <w:rPr>
          <w:spacing w:val="-9"/>
          <w:sz w:val="20"/>
        </w:rPr>
        <w:t> </w:t>
      </w:r>
      <w:r>
        <w:rPr>
          <w:sz w:val="20"/>
        </w:rPr>
        <w:t>a</w:t>
      </w:r>
      <w:r>
        <w:rPr>
          <w:spacing w:val="-9"/>
          <w:sz w:val="20"/>
        </w:rPr>
        <w:t> </w:t>
      </w:r>
      <w:r>
        <w:rPr>
          <w:sz w:val="20"/>
        </w:rPr>
        <w:t>tener</w:t>
      </w:r>
      <w:r>
        <w:rPr>
          <w:spacing w:val="-10"/>
          <w:sz w:val="20"/>
        </w:rPr>
        <w:t> </w:t>
      </w:r>
      <w:r>
        <w:rPr>
          <w:sz w:val="20"/>
        </w:rPr>
        <w:t>en</w:t>
      </w:r>
      <w:r>
        <w:rPr>
          <w:spacing w:val="-8"/>
          <w:sz w:val="20"/>
        </w:rPr>
        <w:t> </w:t>
      </w:r>
      <w:r>
        <w:rPr>
          <w:sz w:val="20"/>
        </w:rPr>
        <w:t>cuenta</w:t>
      </w:r>
      <w:r>
        <w:rPr>
          <w:spacing w:val="-9"/>
          <w:sz w:val="20"/>
        </w:rPr>
        <w:t> </w:t>
      </w:r>
      <w:r>
        <w:rPr>
          <w:sz w:val="20"/>
        </w:rPr>
        <w:t>valores no</w:t>
      </w:r>
      <w:r>
        <w:rPr>
          <w:spacing w:val="-16"/>
          <w:sz w:val="20"/>
        </w:rPr>
        <w:t> </w:t>
      </w:r>
      <w:r>
        <w:rPr>
          <w:sz w:val="20"/>
        </w:rPr>
        <w:t>relacionados</w:t>
      </w:r>
      <w:r>
        <w:rPr>
          <w:spacing w:val="-13"/>
          <w:sz w:val="20"/>
        </w:rPr>
        <w:t> </w:t>
      </w:r>
      <w:r>
        <w:rPr>
          <w:sz w:val="20"/>
        </w:rPr>
        <w:t>con</w:t>
      </w:r>
      <w:r>
        <w:rPr>
          <w:spacing w:val="-12"/>
          <w:sz w:val="20"/>
        </w:rPr>
        <w:t> </w:t>
      </w:r>
      <w:r>
        <w:rPr>
          <w:sz w:val="20"/>
        </w:rPr>
        <w:t>la</w:t>
      </w:r>
      <w:r>
        <w:rPr>
          <w:spacing w:val="-15"/>
          <w:sz w:val="20"/>
        </w:rPr>
        <w:t> </w:t>
      </w:r>
      <w:r>
        <w:rPr>
          <w:sz w:val="20"/>
        </w:rPr>
        <w:t>nutrición.</w:t>
      </w:r>
      <w:r>
        <w:rPr>
          <w:spacing w:val="-14"/>
          <w:sz w:val="20"/>
        </w:rPr>
        <w:t> </w:t>
      </w:r>
      <w:r>
        <w:rPr>
          <w:sz w:val="20"/>
        </w:rPr>
        <w:t>La</w:t>
      </w:r>
      <w:r>
        <w:rPr>
          <w:spacing w:val="-13"/>
          <w:sz w:val="20"/>
        </w:rPr>
        <w:t> </w:t>
      </w:r>
      <w:r>
        <w:rPr>
          <w:sz w:val="20"/>
        </w:rPr>
        <w:t>alimentación,</w:t>
      </w:r>
      <w:r>
        <w:rPr>
          <w:spacing w:val="-16"/>
          <w:sz w:val="20"/>
        </w:rPr>
        <w:t> </w:t>
      </w:r>
      <w:r>
        <w:rPr>
          <w:sz w:val="20"/>
        </w:rPr>
        <w:t>a</w:t>
      </w:r>
      <w:r>
        <w:rPr>
          <w:spacing w:val="-13"/>
          <w:sz w:val="20"/>
        </w:rPr>
        <w:t> </w:t>
      </w:r>
      <w:r>
        <w:rPr>
          <w:sz w:val="20"/>
        </w:rPr>
        <w:t>su</w:t>
      </w:r>
      <w:r>
        <w:rPr>
          <w:spacing w:val="-12"/>
          <w:sz w:val="20"/>
        </w:rPr>
        <w:t> </w:t>
      </w:r>
      <w:r>
        <w:rPr>
          <w:sz w:val="20"/>
        </w:rPr>
        <w:t>vez,</w:t>
      </w:r>
      <w:r>
        <w:rPr>
          <w:spacing w:val="-11"/>
          <w:sz w:val="20"/>
        </w:rPr>
        <w:t> </w:t>
      </w:r>
      <w:r>
        <w:rPr>
          <w:sz w:val="20"/>
        </w:rPr>
        <w:t>es</w:t>
      </w:r>
      <w:r>
        <w:rPr>
          <w:spacing w:val="-14"/>
          <w:sz w:val="20"/>
        </w:rPr>
        <w:t> </w:t>
      </w:r>
      <w:r>
        <w:rPr>
          <w:sz w:val="20"/>
        </w:rPr>
        <w:t>indispensable</w:t>
      </w:r>
      <w:r>
        <w:rPr>
          <w:spacing w:val="-16"/>
          <w:sz w:val="20"/>
        </w:rPr>
        <w:t> </w:t>
      </w:r>
      <w:r>
        <w:rPr>
          <w:sz w:val="20"/>
        </w:rPr>
        <w:t>para</w:t>
      </w:r>
      <w:r>
        <w:rPr>
          <w:spacing w:val="-12"/>
          <w:sz w:val="20"/>
        </w:rPr>
        <w:t> </w:t>
      </w:r>
      <w:r>
        <w:rPr>
          <w:sz w:val="20"/>
        </w:rPr>
        <w:t>el</w:t>
      </w:r>
      <w:r>
        <w:rPr>
          <w:spacing w:val="-15"/>
          <w:sz w:val="20"/>
        </w:rPr>
        <w:t> </w:t>
      </w:r>
      <w:r>
        <w:rPr>
          <w:sz w:val="20"/>
        </w:rPr>
        <w:t>goce de otros derechos, y su carácter “adecuado” puede depender de factores ambientales y culturales. La alimentación es, en sí, una expresión cultural. En ese sentido, puede considerarse a la alimentación como uno de los “rasgos distintivos” que caracterizan a un grupo social, quedando comprendido, por ende, en la protección del derecho a la identidad</w:t>
      </w:r>
      <w:r>
        <w:rPr>
          <w:spacing w:val="-10"/>
          <w:sz w:val="20"/>
        </w:rPr>
        <w:t> </w:t>
      </w:r>
      <w:r>
        <w:rPr>
          <w:sz w:val="20"/>
        </w:rPr>
        <w:t>cultural</w:t>
      </w:r>
      <w:r>
        <w:rPr>
          <w:spacing w:val="-10"/>
          <w:sz w:val="20"/>
        </w:rPr>
        <w:t> </w:t>
      </w:r>
      <w:r>
        <w:rPr>
          <w:sz w:val="20"/>
        </w:rPr>
        <w:t>a</w:t>
      </w:r>
      <w:r>
        <w:rPr>
          <w:spacing w:val="-10"/>
          <w:sz w:val="20"/>
        </w:rPr>
        <w:t> </w:t>
      </w:r>
      <w:r>
        <w:rPr>
          <w:sz w:val="20"/>
        </w:rPr>
        <w:t>través</w:t>
      </w:r>
      <w:r>
        <w:rPr>
          <w:spacing w:val="-11"/>
          <w:sz w:val="20"/>
        </w:rPr>
        <w:t> </w:t>
      </w:r>
      <w:r>
        <w:rPr>
          <w:sz w:val="20"/>
        </w:rPr>
        <w:t>de</w:t>
      </w:r>
      <w:r>
        <w:rPr>
          <w:spacing w:val="-12"/>
          <w:sz w:val="20"/>
        </w:rPr>
        <w:t> </w:t>
      </w:r>
      <w:r>
        <w:rPr>
          <w:sz w:val="20"/>
        </w:rPr>
        <w:t>la</w:t>
      </w:r>
      <w:r>
        <w:rPr>
          <w:spacing w:val="-10"/>
          <w:sz w:val="20"/>
        </w:rPr>
        <w:t> </w:t>
      </w:r>
      <w:r>
        <w:rPr>
          <w:sz w:val="20"/>
        </w:rPr>
        <w:t>salvaguarda</w:t>
      </w:r>
      <w:r>
        <w:rPr>
          <w:spacing w:val="-10"/>
          <w:sz w:val="20"/>
        </w:rPr>
        <w:t> </w:t>
      </w:r>
      <w:r>
        <w:rPr>
          <w:sz w:val="20"/>
        </w:rPr>
        <w:t>de</w:t>
      </w:r>
      <w:r>
        <w:rPr>
          <w:spacing w:val="-9"/>
          <w:sz w:val="20"/>
        </w:rPr>
        <w:t> </w:t>
      </w:r>
      <w:r>
        <w:rPr>
          <w:sz w:val="20"/>
        </w:rPr>
        <w:t>tales</w:t>
      </w:r>
      <w:r>
        <w:rPr>
          <w:spacing w:val="-9"/>
          <w:sz w:val="20"/>
        </w:rPr>
        <w:t> </w:t>
      </w:r>
      <w:r>
        <w:rPr>
          <w:sz w:val="20"/>
        </w:rPr>
        <w:t>rasgos,</w:t>
      </w:r>
      <w:r>
        <w:rPr>
          <w:spacing w:val="-9"/>
          <w:sz w:val="20"/>
        </w:rPr>
        <w:t> </w:t>
      </w:r>
      <w:r>
        <w:rPr>
          <w:sz w:val="20"/>
        </w:rPr>
        <w:t>sin</w:t>
      </w:r>
      <w:r>
        <w:rPr>
          <w:spacing w:val="-9"/>
          <w:sz w:val="20"/>
        </w:rPr>
        <w:t> </w:t>
      </w:r>
      <w:r>
        <w:rPr>
          <w:sz w:val="20"/>
        </w:rPr>
        <w:t>que</w:t>
      </w:r>
      <w:r>
        <w:rPr>
          <w:spacing w:val="-9"/>
          <w:sz w:val="20"/>
        </w:rPr>
        <w:t> </w:t>
      </w:r>
      <w:r>
        <w:rPr>
          <w:sz w:val="20"/>
        </w:rPr>
        <w:t>ello</w:t>
      </w:r>
      <w:r>
        <w:rPr>
          <w:spacing w:val="-11"/>
          <w:sz w:val="20"/>
        </w:rPr>
        <w:t> </w:t>
      </w:r>
      <w:r>
        <w:rPr>
          <w:sz w:val="20"/>
        </w:rPr>
        <w:t>implique</w:t>
      </w:r>
      <w:r>
        <w:rPr>
          <w:spacing w:val="-12"/>
          <w:sz w:val="20"/>
        </w:rPr>
        <w:t> </w:t>
      </w:r>
      <w:r>
        <w:rPr>
          <w:sz w:val="20"/>
        </w:rPr>
        <w:t>negar el carácter histórico, dinámico y evolutivo de la</w:t>
      </w:r>
      <w:r>
        <w:rPr>
          <w:spacing w:val="-25"/>
          <w:sz w:val="20"/>
        </w:rPr>
        <w:t> </w:t>
      </w:r>
      <w:r>
        <w:rPr>
          <w:sz w:val="20"/>
        </w:rPr>
        <w:t>cultura.</w:t>
      </w:r>
    </w:p>
    <w:p>
      <w:pPr>
        <w:pStyle w:val="BodyText"/>
      </w:pPr>
    </w:p>
    <w:p>
      <w:pPr>
        <w:pStyle w:val="ListParagraph"/>
        <w:numPr>
          <w:ilvl w:val="0"/>
          <w:numId w:val="31"/>
        </w:numPr>
        <w:tabs>
          <w:tab w:pos="830" w:val="left" w:leader="none"/>
        </w:tabs>
        <w:spacing w:line="240" w:lineRule="auto" w:before="1" w:after="0"/>
        <w:ind w:left="122" w:right="123" w:firstLine="0"/>
        <w:jc w:val="both"/>
        <w:rPr>
          <w:sz w:val="20"/>
        </w:rPr>
      </w:pPr>
      <w:r>
        <w:rPr>
          <w:sz w:val="20"/>
        </w:rPr>
        <w:t>Lo expresado es, a su vez, más evidente respecto de pueblos indígenas, en relación a los que normas específicas mandan la salvaguarda de su ambiente, la protección de la capacidad productiva de sus tierras y recursos, y a la consider como “factores importantes del mantenimiento de su cultura” actividades tradicionales y relacionadas con su economía de subsistencia, como caza, recolección y otras (</w:t>
      </w:r>
      <w:r>
        <w:rPr>
          <w:i/>
          <w:sz w:val="20"/>
        </w:rPr>
        <w:t>supra </w:t>
      </w:r>
      <w:r>
        <w:rPr>
          <w:sz w:val="20"/>
        </w:rPr>
        <w:t>párrs. 247 y 248). Así, la Corte ha destacado que “la falta de acceso a los territorios y los recursos naturales correspondientes puede exponer a las comunidades indígenas a […] varias violaciones de sus derechos humanos, además de ocasionarles sufrimiento y perjudicar la preservación de su forma de vida, costumbres e idioma”. Asimismo, ha advertido que los Estados deben proteger “la estrecha relación que [los pueblos indígenas] mantienen con la tierra” y “su proyecto de vida, tanto en su dimensión individual como</w:t>
      </w:r>
      <w:r>
        <w:rPr>
          <w:spacing w:val="-12"/>
          <w:sz w:val="20"/>
        </w:rPr>
        <w:t> </w:t>
      </w:r>
      <w:r>
        <w:rPr>
          <w:sz w:val="20"/>
        </w:rPr>
        <w:t>colectiva”</w:t>
      </w:r>
      <w:r>
        <w:rPr>
          <w:position w:val="7"/>
          <w:sz w:val="13"/>
        </w:rPr>
        <w:t>288</w:t>
      </w:r>
      <w:r>
        <w:rPr>
          <w:sz w:val="20"/>
        </w:rPr>
        <w:t>.</w:t>
      </w:r>
    </w:p>
    <w:p>
      <w:pPr>
        <w:pStyle w:val="BodyText"/>
      </w:pPr>
    </w:p>
    <w:p>
      <w:pPr>
        <w:pStyle w:val="BodyText"/>
        <w:spacing w:before="4"/>
        <w:rPr>
          <w:sz w:val="17"/>
        </w:rPr>
      </w:pPr>
      <w:r>
        <w:rPr/>
        <w:pict>
          <v:line style="position:absolute;mso-position-horizontal-relative:page;mso-position-vertical-relative:paragraph;z-index:3208;mso-wrap-distance-left:0;mso-wrap-distance-right:0" from="85.103996pt,12.900042pt" to="229.123996pt,12.900042pt" stroked="true" strokeweight=".72003pt" strokecolor="#000000">
            <v:stroke dashstyle="solid"/>
            <w10:wrap type="topAndBottom"/>
          </v:line>
        </w:pict>
      </w:r>
    </w:p>
    <w:p>
      <w:pPr>
        <w:tabs>
          <w:tab w:pos="829" w:val="left" w:leader="none"/>
        </w:tabs>
        <w:spacing w:before="71"/>
        <w:ind w:left="122" w:right="0" w:firstLine="0"/>
        <w:jc w:val="both"/>
        <w:rPr>
          <w:sz w:val="16"/>
        </w:rPr>
      </w:pPr>
      <w:r>
        <w:rPr>
          <w:position w:val="6"/>
          <w:sz w:val="10"/>
        </w:rPr>
        <w:t>287</w:t>
        <w:tab/>
      </w:r>
      <w:r>
        <w:rPr>
          <w:i/>
          <w:sz w:val="16"/>
        </w:rPr>
        <w:t>Cfr. Caso Muelle Flores Vs. Perú</w:t>
      </w:r>
      <w:r>
        <w:rPr>
          <w:sz w:val="16"/>
        </w:rPr>
        <w:t>, párrs. 174 y 190, y </w:t>
      </w:r>
      <w:r>
        <w:rPr>
          <w:i/>
          <w:sz w:val="16"/>
        </w:rPr>
        <w:t>Caso Hernández Vs. Argentina</w:t>
      </w:r>
      <w:r>
        <w:rPr>
          <w:sz w:val="16"/>
        </w:rPr>
        <w:t>, párr.</w:t>
      </w:r>
      <w:r>
        <w:rPr>
          <w:spacing w:val="-27"/>
          <w:sz w:val="16"/>
        </w:rPr>
        <w:t> </w:t>
      </w:r>
      <w:r>
        <w:rPr>
          <w:sz w:val="16"/>
        </w:rPr>
        <w:t>65.</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288</w:t>
        <w:tab/>
      </w:r>
      <w:r>
        <w:rPr>
          <w:i/>
          <w:sz w:val="16"/>
        </w:rPr>
        <w:t>Caso</w:t>
      </w:r>
      <w:r>
        <w:rPr>
          <w:i/>
          <w:spacing w:val="-12"/>
          <w:sz w:val="16"/>
        </w:rPr>
        <w:t> </w:t>
      </w:r>
      <w:r>
        <w:rPr>
          <w:i/>
          <w:sz w:val="16"/>
        </w:rPr>
        <w:t>Comunidad</w:t>
      </w:r>
      <w:r>
        <w:rPr>
          <w:i/>
          <w:spacing w:val="-10"/>
          <w:sz w:val="16"/>
        </w:rPr>
        <w:t> </w:t>
      </w:r>
      <w:r>
        <w:rPr>
          <w:i/>
          <w:sz w:val="16"/>
        </w:rPr>
        <w:t>Indígena</w:t>
      </w:r>
      <w:r>
        <w:rPr>
          <w:i/>
          <w:spacing w:val="-11"/>
          <w:sz w:val="16"/>
        </w:rPr>
        <w:t> </w:t>
      </w:r>
      <w:r>
        <w:rPr>
          <w:i/>
          <w:sz w:val="16"/>
        </w:rPr>
        <w:t>Yakye</w:t>
      </w:r>
      <w:r>
        <w:rPr>
          <w:i/>
          <w:spacing w:val="-11"/>
          <w:sz w:val="16"/>
        </w:rPr>
        <w:t> </w:t>
      </w:r>
      <w:r>
        <w:rPr>
          <w:i/>
          <w:sz w:val="16"/>
        </w:rPr>
        <w:t>Axa</w:t>
      </w:r>
      <w:r>
        <w:rPr>
          <w:i/>
          <w:spacing w:val="-11"/>
          <w:sz w:val="16"/>
        </w:rPr>
        <w:t> </w:t>
      </w:r>
      <w:r>
        <w:rPr>
          <w:i/>
          <w:sz w:val="16"/>
        </w:rPr>
        <w:t>Vs.</w:t>
      </w:r>
      <w:r>
        <w:rPr>
          <w:i/>
          <w:spacing w:val="-9"/>
          <w:sz w:val="16"/>
        </w:rPr>
        <w:t> </w:t>
      </w:r>
      <w:r>
        <w:rPr>
          <w:i/>
          <w:sz w:val="16"/>
        </w:rPr>
        <w:t>Paraguay</w:t>
      </w:r>
      <w:r>
        <w:rPr>
          <w:sz w:val="16"/>
        </w:rPr>
        <w:t>,</w:t>
      </w:r>
      <w:r>
        <w:rPr>
          <w:spacing w:val="-12"/>
          <w:sz w:val="16"/>
        </w:rPr>
        <w:t> </w:t>
      </w:r>
      <w:r>
        <w:rPr>
          <w:sz w:val="16"/>
        </w:rPr>
        <w:t>párr.</w:t>
      </w:r>
      <w:r>
        <w:rPr>
          <w:spacing w:val="-12"/>
          <w:sz w:val="16"/>
        </w:rPr>
        <w:t> </w:t>
      </w:r>
      <w:r>
        <w:rPr>
          <w:sz w:val="16"/>
        </w:rPr>
        <w:t>163,</w:t>
      </w:r>
      <w:r>
        <w:rPr>
          <w:spacing w:val="-12"/>
          <w:sz w:val="16"/>
        </w:rPr>
        <w:t> </w:t>
      </w:r>
      <w:r>
        <w:rPr>
          <w:sz w:val="16"/>
        </w:rPr>
        <w:t>y</w:t>
      </w:r>
      <w:r>
        <w:rPr>
          <w:spacing w:val="-12"/>
          <w:sz w:val="16"/>
        </w:rPr>
        <w:t> </w:t>
      </w:r>
      <w:r>
        <w:rPr>
          <w:i/>
          <w:sz w:val="16"/>
        </w:rPr>
        <w:t>Medio</w:t>
      </w:r>
      <w:r>
        <w:rPr>
          <w:i/>
          <w:spacing w:val="-10"/>
          <w:sz w:val="16"/>
        </w:rPr>
        <w:t> </w:t>
      </w:r>
      <w:r>
        <w:rPr>
          <w:i/>
          <w:sz w:val="16"/>
        </w:rPr>
        <w:t>ambiente</w:t>
      </w:r>
      <w:r>
        <w:rPr>
          <w:i/>
          <w:spacing w:val="-13"/>
          <w:sz w:val="16"/>
        </w:rPr>
        <w:t> </w:t>
      </w:r>
      <w:r>
        <w:rPr>
          <w:i/>
          <w:sz w:val="16"/>
        </w:rPr>
        <w:t>y</w:t>
      </w:r>
      <w:r>
        <w:rPr>
          <w:i/>
          <w:spacing w:val="-10"/>
          <w:sz w:val="16"/>
        </w:rPr>
        <w:t> </w:t>
      </w:r>
      <w:r>
        <w:rPr>
          <w:i/>
          <w:sz w:val="16"/>
        </w:rPr>
        <w:t>derechos</w:t>
      </w:r>
      <w:r>
        <w:rPr>
          <w:i/>
          <w:spacing w:val="-8"/>
          <w:sz w:val="16"/>
        </w:rPr>
        <w:t> </w:t>
      </w:r>
      <w:r>
        <w:rPr>
          <w:i/>
          <w:sz w:val="16"/>
        </w:rPr>
        <w:t>humanos</w:t>
      </w:r>
      <w:r>
        <w:rPr>
          <w:i/>
          <w:w w:val="100"/>
          <w:sz w:val="16"/>
        </w:rPr>
        <w:t> </w:t>
      </w:r>
      <w:r>
        <w:rPr>
          <w:i/>
          <w:sz w:val="16"/>
        </w:rPr>
        <w:t>(obligaciones estatales en relación con el medio ambiente en el marco de la protección y garantía de los derechos a la vida y a la integridad personal - interpretación y alcance de los artículos 4.1 y 5.1, en relación con</w:t>
      </w:r>
      <w:r>
        <w:rPr>
          <w:i/>
          <w:spacing w:val="-11"/>
          <w:sz w:val="16"/>
        </w:rPr>
        <w:t> </w:t>
      </w:r>
      <w:r>
        <w:rPr>
          <w:i/>
          <w:sz w:val="16"/>
        </w:rPr>
        <w:t>los</w:t>
      </w:r>
      <w:r>
        <w:rPr>
          <w:i/>
          <w:spacing w:val="-12"/>
          <w:sz w:val="16"/>
        </w:rPr>
        <w:t> </w:t>
      </w:r>
      <w:r>
        <w:rPr>
          <w:i/>
          <w:sz w:val="16"/>
        </w:rPr>
        <w:t>artículos</w:t>
      </w:r>
      <w:r>
        <w:rPr>
          <w:i/>
          <w:spacing w:val="-12"/>
          <w:sz w:val="16"/>
        </w:rPr>
        <w:t> </w:t>
      </w:r>
      <w:r>
        <w:rPr>
          <w:i/>
          <w:sz w:val="16"/>
        </w:rPr>
        <w:t>1.1</w:t>
      </w:r>
      <w:r>
        <w:rPr>
          <w:i/>
          <w:spacing w:val="-11"/>
          <w:sz w:val="16"/>
        </w:rPr>
        <w:t> </w:t>
      </w:r>
      <w:r>
        <w:rPr>
          <w:i/>
          <w:sz w:val="16"/>
        </w:rPr>
        <w:t>y</w:t>
      </w:r>
      <w:r>
        <w:rPr>
          <w:i/>
          <w:spacing w:val="-11"/>
          <w:sz w:val="16"/>
        </w:rPr>
        <w:t> </w:t>
      </w:r>
      <w:r>
        <w:rPr>
          <w:i/>
          <w:sz w:val="16"/>
        </w:rPr>
        <w:t>2</w:t>
      </w:r>
      <w:r>
        <w:rPr>
          <w:i/>
          <w:spacing w:val="-11"/>
          <w:sz w:val="16"/>
        </w:rPr>
        <w:t> </w:t>
      </w:r>
      <w:r>
        <w:rPr>
          <w:i/>
          <w:sz w:val="16"/>
        </w:rPr>
        <w:t>de</w:t>
      </w:r>
      <w:r>
        <w:rPr>
          <w:i/>
          <w:spacing w:val="-12"/>
          <w:sz w:val="16"/>
        </w:rPr>
        <w:t> </w:t>
      </w:r>
      <w:r>
        <w:rPr>
          <w:i/>
          <w:sz w:val="16"/>
        </w:rPr>
        <w:t>la</w:t>
      </w:r>
      <w:r>
        <w:rPr>
          <w:i/>
          <w:spacing w:val="-13"/>
          <w:sz w:val="16"/>
        </w:rPr>
        <w:t> </w:t>
      </w:r>
      <w:r>
        <w:rPr>
          <w:i/>
          <w:sz w:val="16"/>
        </w:rPr>
        <w:t>Convención</w:t>
      </w:r>
      <w:r>
        <w:rPr>
          <w:i/>
          <w:spacing w:val="-13"/>
          <w:sz w:val="16"/>
        </w:rPr>
        <w:t> </w:t>
      </w:r>
      <w:r>
        <w:rPr>
          <w:i/>
          <w:sz w:val="16"/>
        </w:rPr>
        <w:t>Americana</w:t>
      </w:r>
      <w:r>
        <w:rPr>
          <w:i/>
          <w:spacing w:val="-10"/>
          <w:sz w:val="16"/>
        </w:rPr>
        <w:t> </w:t>
      </w:r>
      <w:r>
        <w:rPr>
          <w:i/>
          <w:sz w:val="16"/>
        </w:rPr>
        <w:t>sobre</w:t>
      </w:r>
      <w:r>
        <w:rPr>
          <w:i/>
          <w:spacing w:val="-12"/>
          <w:sz w:val="16"/>
        </w:rPr>
        <w:t> </w:t>
      </w:r>
      <w:r>
        <w:rPr>
          <w:i/>
          <w:sz w:val="16"/>
        </w:rPr>
        <w:t>Derechos</w:t>
      </w:r>
      <w:r>
        <w:rPr>
          <w:i/>
          <w:spacing w:val="-9"/>
          <w:sz w:val="16"/>
        </w:rPr>
        <w:t> </w:t>
      </w:r>
      <w:r>
        <w:rPr>
          <w:i/>
          <w:sz w:val="16"/>
        </w:rPr>
        <w:t>Humanos).</w:t>
      </w:r>
      <w:r>
        <w:rPr>
          <w:i/>
          <w:spacing w:val="-11"/>
          <w:sz w:val="16"/>
        </w:rPr>
        <w:t> </w:t>
      </w:r>
      <w:r>
        <w:rPr>
          <w:i/>
          <w:sz w:val="16"/>
        </w:rPr>
        <w:t>Opinión</w:t>
      </w:r>
      <w:r>
        <w:rPr>
          <w:i/>
          <w:spacing w:val="-13"/>
          <w:sz w:val="16"/>
        </w:rPr>
        <w:t> </w:t>
      </w:r>
      <w:r>
        <w:rPr>
          <w:i/>
          <w:sz w:val="16"/>
        </w:rPr>
        <w:t>Consultiva</w:t>
      </w:r>
      <w:r>
        <w:rPr>
          <w:i/>
          <w:spacing w:val="-7"/>
          <w:sz w:val="16"/>
        </w:rPr>
        <w:t> </w:t>
      </w:r>
      <w:r>
        <w:rPr>
          <w:i/>
          <w:sz w:val="16"/>
        </w:rPr>
        <w:t>OC-23/17</w:t>
      </w:r>
      <w:r>
        <w:rPr>
          <w:sz w:val="16"/>
        </w:rPr>
        <w:t>, párr. 48. En ese entendimiento, el escrito de </w:t>
      </w:r>
      <w:r>
        <w:rPr>
          <w:i/>
          <w:sz w:val="16"/>
        </w:rPr>
        <w:t>amicus curiae </w:t>
      </w:r>
      <w:r>
        <w:rPr>
          <w:sz w:val="16"/>
        </w:rPr>
        <w:t>de DPLF y otras organizaciones afirmó que “el derecho al medio ambiente sano, no solo implica la posibilidad de acceder a recursos materiales vitales para la subsistencia y desarrollo económico de pueblos indígenas. Debe considerarse también que existe una conexión</w:t>
      </w:r>
      <w:r>
        <w:rPr>
          <w:spacing w:val="19"/>
          <w:sz w:val="16"/>
        </w:rPr>
        <w:t> </w:t>
      </w:r>
      <w:r>
        <w:rPr>
          <w:sz w:val="16"/>
        </w:rPr>
        <w:t>especial</w:t>
      </w:r>
      <w:r>
        <w:rPr>
          <w:spacing w:val="20"/>
          <w:sz w:val="16"/>
        </w:rPr>
        <w:t> </w:t>
      </w:r>
      <w:r>
        <w:rPr>
          <w:sz w:val="16"/>
        </w:rPr>
        <w:t>entre</w:t>
      </w:r>
      <w:r>
        <w:rPr>
          <w:spacing w:val="21"/>
          <w:sz w:val="16"/>
        </w:rPr>
        <w:t> </w:t>
      </w:r>
      <w:r>
        <w:rPr>
          <w:sz w:val="16"/>
        </w:rPr>
        <w:t>las</w:t>
      </w:r>
      <w:r>
        <w:rPr>
          <w:spacing w:val="18"/>
          <w:sz w:val="16"/>
        </w:rPr>
        <w:t> </w:t>
      </w:r>
      <w:r>
        <w:rPr>
          <w:sz w:val="16"/>
        </w:rPr>
        <w:t>comunidades,</w:t>
      </w:r>
      <w:r>
        <w:rPr>
          <w:spacing w:val="17"/>
          <w:sz w:val="16"/>
        </w:rPr>
        <w:t> </w:t>
      </w:r>
      <w:r>
        <w:rPr>
          <w:sz w:val="16"/>
        </w:rPr>
        <w:t>el</w:t>
      </w:r>
      <w:r>
        <w:rPr>
          <w:spacing w:val="19"/>
          <w:sz w:val="16"/>
        </w:rPr>
        <w:t> </w:t>
      </w:r>
      <w:r>
        <w:rPr>
          <w:sz w:val="16"/>
        </w:rPr>
        <w:t>medio</w:t>
      </w:r>
      <w:r>
        <w:rPr>
          <w:spacing w:val="21"/>
          <w:sz w:val="16"/>
        </w:rPr>
        <w:t> </w:t>
      </w:r>
      <w:r>
        <w:rPr>
          <w:sz w:val="16"/>
        </w:rPr>
        <w:t>ambiente</w:t>
      </w:r>
      <w:r>
        <w:rPr>
          <w:spacing w:val="21"/>
          <w:sz w:val="16"/>
        </w:rPr>
        <w:t> </w:t>
      </w:r>
      <w:r>
        <w:rPr>
          <w:sz w:val="16"/>
        </w:rPr>
        <w:t>sano</w:t>
      </w:r>
      <w:r>
        <w:rPr>
          <w:spacing w:val="19"/>
          <w:sz w:val="16"/>
        </w:rPr>
        <w:t> </w:t>
      </w:r>
      <w:r>
        <w:rPr>
          <w:sz w:val="16"/>
        </w:rPr>
        <w:t>y</w:t>
      </w:r>
      <w:r>
        <w:rPr>
          <w:spacing w:val="21"/>
          <w:sz w:val="16"/>
        </w:rPr>
        <w:t> </w:t>
      </w:r>
      <w:r>
        <w:rPr>
          <w:sz w:val="16"/>
        </w:rPr>
        <w:t>su</w:t>
      </w:r>
      <w:r>
        <w:rPr>
          <w:spacing w:val="17"/>
          <w:sz w:val="16"/>
        </w:rPr>
        <w:t> </w:t>
      </w:r>
      <w:r>
        <w:rPr>
          <w:sz w:val="16"/>
        </w:rPr>
        <w:t>cultura.</w:t>
      </w:r>
      <w:r>
        <w:rPr>
          <w:spacing w:val="19"/>
          <w:sz w:val="16"/>
        </w:rPr>
        <w:t> </w:t>
      </w:r>
      <w:r>
        <w:rPr>
          <w:sz w:val="16"/>
        </w:rPr>
        <w:t>La</w:t>
      </w:r>
      <w:r>
        <w:rPr>
          <w:spacing w:val="20"/>
          <w:sz w:val="16"/>
        </w:rPr>
        <w:t> </w:t>
      </w:r>
      <w:r>
        <w:rPr>
          <w:sz w:val="16"/>
        </w:rPr>
        <w:t>subsistencia</w:t>
      </w:r>
      <w:r>
        <w:rPr>
          <w:spacing w:val="19"/>
          <w:sz w:val="16"/>
        </w:rPr>
        <w:t> </w:t>
      </w:r>
      <w:r>
        <w:rPr>
          <w:sz w:val="16"/>
        </w:rPr>
        <w:t>del</w:t>
      </w:r>
      <w:r>
        <w:rPr>
          <w:spacing w:val="19"/>
          <w:sz w:val="16"/>
        </w:rPr>
        <w:t> </w:t>
      </w:r>
      <w:r>
        <w:rPr>
          <w:sz w:val="16"/>
        </w:rPr>
        <w:t>medio</w:t>
      </w:r>
    </w:p>
    <w:p>
      <w:pPr>
        <w:spacing w:after="0" w:line="240" w:lineRule="auto"/>
        <w:jc w:val="both"/>
        <w:rPr>
          <w:sz w:val="16"/>
        </w:rPr>
        <w:sectPr>
          <w:pgSz w:w="12240" w:h="15840"/>
          <w:pgMar w:header="0" w:footer="1000" w:top="1340" w:bottom="1200" w:left="1580" w:right="1580"/>
        </w:sectPr>
      </w:pPr>
    </w:p>
    <w:p>
      <w:pPr>
        <w:pStyle w:val="ListParagraph"/>
        <w:numPr>
          <w:ilvl w:val="0"/>
          <w:numId w:val="31"/>
        </w:numPr>
        <w:tabs>
          <w:tab w:pos="830" w:val="left" w:leader="none"/>
        </w:tabs>
        <w:spacing w:line="240" w:lineRule="auto" w:before="161" w:after="0"/>
        <w:ind w:left="122" w:right="126" w:firstLine="0"/>
        <w:jc w:val="both"/>
        <w:rPr>
          <w:sz w:val="20"/>
        </w:rPr>
      </w:pPr>
      <w:r>
        <w:rPr>
          <w:sz w:val="20"/>
        </w:rPr>
        <w:t>Ahora bien, el Estado no ha admitido un daño ambiental, y ha sostenido, en relación</w:t>
      </w:r>
      <w:r>
        <w:rPr>
          <w:spacing w:val="-6"/>
          <w:sz w:val="20"/>
        </w:rPr>
        <w:t> </w:t>
      </w:r>
      <w:r>
        <w:rPr>
          <w:sz w:val="20"/>
        </w:rPr>
        <w:t>con</w:t>
      </w:r>
      <w:r>
        <w:rPr>
          <w:spacing w:val="-7"/>
          <w:sz w:val="20"/>
        </w:rPr>
        <w:t> </w:t>
      </w:r>
      <w:r>
        <w:rPr>
          <w:sz w:val="20"/>
        </w:rPr>
        <w:t>la</w:t>
      </w:r>
      <w:r>
        <w:rPr>
          <w:spacing w:val="-6"/>
          <w:sz w:val="20"/>
        </w:rPr>
        <w:t> </w:t>
      </w:r>
      <w:r>
        <w:rPr>
          <w:sz w:val="20"/>
        </w:rPr>
        <w:t>alimentación</w:t>
      </w:r>
      <w:r>
        <w:rPr>
          <w:spacing w:val="-8"/>
          <w:sz w:val="20"/>
        </w:rPr>
        <w:t> </w:t>
      </w:r>
      <w:r>
        <w:rPr>
          <w:sz w:val="20"/>
        </w:rPr>
        <w:t>y</w:t>
      </w:r>
      <w:r>
        <w:rPr>
          <w:spacing w:val="-6"/>
          <w:sz w:val="20"/>
        </w:rPr>
        <w:t> </w:t>
      </w:r>
      <w:r>
        <w:rPr>
          <w:sz w:val="20"/>
        </w:rPr>
        <w:t>la</w:t>
      </w:r>
      <w:r>
        <w:rPr>
          <w:spacing w:val="-8"/>
          <w:sz w:val="20"/>
        </w:rPr>
        <w:t> </w:t>
      </w:r>
      <w:r>
        <w:rPr>
          <w:sz w:val="20"/>
        </w:rPr>
        <w:t>identidad</w:t>
      </w:r>
      <w:r>
        <w:rPr>
          <w:spacing w:val="-5"/>
          <w:sz w:val="20"/>
        </w:rPr>
        <w:t> </w:t>
      </w:r>
      <w:r>
        <w:rPr>
          <w:sz w:val="20"/>
        </w:rPr>
        <w:t>cultural,</w:t>
      </w:r>
      <w:r>
        <w:rPr>
          <w:spacing w:val="-8"/>
          <w:sz w:val="20"/>
        </w:rPr>
        <w:t> </w:t>
      </w:r>
      <w:r>
        <w:rPr>
          <w:sz w:val="20"/>
        </w:rPr>
        <w:t>que</w:t>
      </w:r>
      <w:r>
        <w:rPr>
          <w:spacing w:val="-9"/>
          <w:sz w:val="20"/>
        </w:rPr>
        <w:t> </w:t>
      </w:r>
      <w:r>
        <w:rPr>
          <w:spacing w:val="3"/>
          <w:sz w:val="20"/>
        </w:rPr>
        <w:t>no</w:t>
      </w:r>
      <w:r>
        <w:rPr>
          <w:spacing w:val="-7"/>
          <w:sz w:val="20"/>
        </w:rPr>
        <w:t> </w:t>
      </w:r>
      <w:r>
        <w:rPr>
          <w:sz w:val="20"/>
        </w:rPr>
        <w:t>hay</w:t>
      </w:r>
      <w:r>
        <w:rPr>
          <w:spacing w:val="-8"/>
          <w:sz w:val="20"/>
        </w:rPr>
        <w:t> </w:t>
      </w:r>
      <w:r>
        <w:rPr>
          <w:sz w:val="20"/>
        </w:rPr>
        <w:t>prueba</w:t>
      </w:r>
      <w:r>
        <w:rPr>
          <w:spacing w:val="-5"/>
          <w:sz w:val="20"/>
        </w:rPr>
        <w:t> </w:t>
      </w:r>
      <w:r>
        <w:rPr>
          <w:sz w:val="20"/>
        </w:rPr>
        <w:t>de</w:t>
      </w:r>
      <w:r>
        <w:rPr>
          <w:spacing w:val="-9"/>
          <w:sz w:val="20"/>
        </w:rPr>
        <w:t> </w:t>
      </w:r>
      <w:r>
        <w:rPr>
          <w:sz w:val="20"/>
        </w:rPr>
        <w:t>desnutrición</w:t>
      </w:r>
      <w:r>
        <w:rPr>
          <w:spacing w:val="-7"/>
          <w:sz w:val="20"/>
        </w:rPr>
        <w:t> </w:t>
      </w:r>
      <w:r>
        <w:rPr>
          <w:sz w:val="20"/>
        </w:rPr>
        <w:t>o déficit alimentario y que son las mismas comunidades las que han introducido cambios a su forma de vida (</w:t>
      </w:r>
      <w:r>
        <w:rPr>
          <w:i/>
          <w:sz w:val="20"/>
        </w:rPr>
        <w:t>supra </w:t>
      </w:r>
      <w:r>
        <w:rPr>
          <w:sz w:val="20"/>
        </w:rPr>
        <w:t>párrs. 192 y</w:t>
      </w:r>
      <w:r>
        <w:rPr>
          <w:spacing w:val="-13"/>
          <w:sz w:val="20"/>
        </w:rPr>
        <w:t> </w:t>
      </w:r>
      <w:r>
        <w:rPr>
          <w:sz w:val="20"/>
        </w:rPr>
        <w:t>193).</w:t>
      </w:r>
    </w:p>
    <w:p>
      <w:pPr>
        <w:pStyle w:val="BodyText"/>
        <w:spacing w:before="10"/>
        <w:rPr>
          <w:sz w:val="19"/>
        </w:rPr>
      </w:pPr>
    </w:p>
    <w:p>
      <w:pPr>
        <w:pStyle w:val="ListParagraph"/>
        <w:numPr>
          <w:ilvl w:val="0"/>
          <w:numId w:val="31"/>
        </w:numPr>
        <w:tabs>
          <w:tab w:pos="830" w:val="left" w:leader="none"/>
        </w:tabs>
        <w:spacing w:line="240" w:lineRule="auto" w:before="0" w:after="0"/>
        <w:ind w:left="122" w:right="125" w:firstLine="0"/>
        <w:jc w:val="both"/>
        <w:rPr>
          <w:sz w:val="20"/>
        </w:rPr>
      </w:pPr>
      <w:r>
        <w:rPr>
          <w:sz w:val="20"/>
        </w:rPr>
        <w:t>La</w:t>
      </w:r>
      <w:r>
        <w:rPr>
          <w:spacing w:val="-8"/>
          <w:sz w:val="20"/>
        </w:rPr>
        <w:t> </w:t>
      </w:r>
      <w:r>
        <w:rPr>
          <w:sz w:val="20"/>
        </w:rPr>
        <w:t>Corte</w:t>
      </w:r>
      <w:r>
        <w:rPr>
          <w:spacing w:val="-7"/>
          <w:sz w:val="20"/>
        </w:rPr>
        <w:t> </w:t>
      </w:r>
      <w:r>
        <w:rPr>
          <w:sz w:val="20"/>
        </w:rPr>
        <w:t>entiende</w:t>
      </w:r>
      <w:r>
        <w:rPr>
          <w:spacing w:val="-9"/>
          <w:sz w:val="20"/>
        </w:rPr>
        <w:t> </w:t>
      </w:r>
      <w:r>
        <w:rPr>
          <w:sz w:val="20"/>
        </w:rPr>
        <w:t>que</w:t>
      </w:r>
      <w:r>
        <w:rPr>
          <w:spacing w:val="-9"/>
          <w:sz w:val="20"/>
        </w:rPr>
        <w:t> </w:t>
      </w:r>
      <w:r>
        <w:rPr>
          <w:sz w:val="20"/>
        </w:rPr>
        <w:t>la</w:t>
      </w:r>
      <w:r>
        <w:rPr>
          <w:spacing w:val="-6"/>
          <w:sz w:val="20"/>
        </w:rPr>
        <w:t> </w:t>
      </w:r>
      <w:r>
        <w:rPr>
          <w:sz w:val="20"/>
        </w:rPr>
        <w:t>aseveración</w:t>
      </w:r>
      <w:r>
        <w:rPr>
          <w:spacing w:val="-7"/>
          <w:sz w:val="20"/>
        </w:rPr>
        <w:t> </w:t>
      </w:r>
      <w:r>
        <w:rPr>
          <w:sz w:val="20"/>
        </w:rPr>
        <w:t>estatal</w:t>
      </w:r>
      <w:r>
        <w:rPr>
          <w:spacing w:val="-7"/>
          <w:sz w:val="20"/>
        </w:rPr>
        <w:t> </w:t>
      </w:r>
      <w:r>
        <w:rPr>
          <w:sz w:val="20"/>
        </w:rPr>
        <w:t>implica</w:t>
      </w:r>
      <w:r>
        <w:rPr>
          <w:spacing w:val="-8"/>
          <w:sz w:val="20"/>
        </w:rPr>
        <w:t> </w:t>
      </w:r>
      <w:r>
        <w:rPr>
          <w:sz w:val="20"/>
        </w:rPr>
        <w:t>un</w:t>
      </w:r>
      <w:r>
        <w:rPr>
          <w:spacing w:val="-7"/>
          <w:sz w:val="20"/>
        </w:rPr>
        <w:t> </w:t>
      </w:r>
      <w:r>
        <w:rPr>
          <w:sz w:val="20"/>
        </w:rPr>
        <w:t>entendimiento</w:t>
      </w:r>
      <w:r>
        <w:rPr>
          <w:spacing w:val="-7"/>
          <w:sz w:val="20"/>
        </w:rPr>
        <w:t> </w:t>
      </w:r>
      <w:r>
        <w:rPr>
          <w:sz w:val="20"/>
        </w:rPr>
        <w:t>restrictivo o limitado de los derechos en cuestión, que no considera su interdependencia y particularidades respecto a pueblos</w:t>
      </w:r>
      <w:r>
        <w:rPr>
          <w:spacing w:val="-19"/>
          <w:sz w:val="20"/>
        </w:rPr>
        <w:t> </w:t>
      </w:r>
      <w:r>
        <w:rPr>
          <w:sz w:val="20"/>
        </w:rPr>
        <w:t>indígenas.</w:t>
      </w:r>
    </w:p>
    <w:p>
      <w:pPr>
        <w:pStyle w:val="BodyText"/>
        <w:spacing w:before="10"/>
        <w:rPr>
          <w:sz w:val="19"/>
        </w:rPr>
      </w:pPr>
    </w:p>
    <w:p>
      <w:pPr>
        <w:pStyle w:val="ListParagraph"/>
        <w:numPr>
          <w:ilvl w:val="0"/>
          <w:numId w:val="31"/>
        </w:numPr>
        <w:tabs>
          <w:tab w:pos="830" w:val="left" w:leader="none"/>
        </w:tabs>
        <w:spacing w:line="240" w:lineRule="auto" w:before="0" w:after="0"/>
        <w:ind w:left="122" w:right="131" w:firstLine="0"/>
        <w:jc w:val="both"/>
        <w:rPr>
          <w:sz w:val="20"/>
        </w:rPr>
      </w:pPr>
      <w:r>
        <w:rPr>
          <w:sz w:val="20"/>
        </w:rPr>
        <w:t>Considerando las pautas antes expresadas, este Tribunal entiende que sí hubo un impacto relevante en el modo de vida de las comunidades indígenas respecto de su territorio. Es preciso aclarar las características de ese</w:t>
      </w:r>
      <w:r>
        <w:rPr>
          <w:spacing w:val="-19"/>
          <w:sz w:val="20"/>
        </w:rPr>
        <w:t> </w:t>
      </w:r>
      <w:r>
        <w:rPr>
          <w:sz w:val="20"/>
        </w:rPr>
        <w:t>impacto.</w:t>
      </w:r>
    </w:p>
    <w:p>
      <w:pPr>
        <w:pStyle w:val="BodyText"/>
        <w:spacing w:before="10"/>
        <w:rPr>
          <w:sz w:val="19"/>
        </w:rPr>
      </w:pPr>
    </w:p>
    <w:p>
      <w:pPr>
        <w:pStyle w:val="ListParagraph"/>
        <w:numPr>
          <w:ilvl w:val="0"/>
          <w:numId w:val="31"/>
        </w:numPr>
        <w:tabs>
          <w:tab w:pos="830" w:val="left" w:leader="none"/>
        </w:tabs>
        <w:spacing w:line="240" w:lineRule="auto" w:before="0" w:after="0"/>
        <w:ind w:left="122" w:right="125" w:firstLine="0"/>
        <w:jc w:val="both"/>
        <w:rPr>
          <w:sz w:val="20"/>
        </w:rPr>
      </w:pPr>
      <w:r>
        <w:rPr>
          <w:sz w:val="20"/>
        </w:rPr>
        <w:t>La perita Yáñez Fuenzalida, en cuanto a la “pertinencia cultural” que debe tener el “título que reconoce la propiedad y posesión colectiva indígena sobre sus tierras ancestrales”, explicó que ello implica que el título sea idóneo para reconocer las formas “específicas del derecho al uso y goce de los bienes, dadas por la cultura, usos, costumbres</w:t>
      </w:r>
      <w:r>
        <w:rPr>
          <w:spacing w:val="-6"/>
          <w:sz w:val="20"/>
        </w:rPr>
        <w:t> </w:t>
      </w:r>
      <w:r>
        <w:rPr>
          <w:sz w:val="20"/>
        </w:rPr>
        <w:t>y</w:t>
      </w:r>
      <w:r>
        <w:rPr>
          <w:spacing w:val="-3"/>
          <w:sz w:val="20"/>
        </w:rPr>
        <w:t> </w:t>
      </w:r>
      <w:r>
        <w:rPr>
          <w:sz w:val="20"/>
        </w:rPr>
        <w:t>creencias</w:t>
      </w:r>
      <w:r>
        <w:rPr>
          <w:spacing w:val="-1"/>
          <w:sz w:val="20"/>
        </w:rPr>
        <w:t> </w:t>
      </w:r>
      <w:r>
        <w:rPr>
          <w:sz w:val="20"/>
        </w:rPr>
        <w:t>de</w:t>
      </w:r>
      <w:r>
        <w:rPr>
          <w:spacing w:val="-7"/>
          <w:sz w:val="20"/>
        </w:rPr>
        <w:t> </w:t>
      </w:r>
      <w:r>
        <w:rPr>
          <w:sz w:val="20"/>
        </w:rPr>
        <w:t>cada</w:t>
      </w:r>
      <w:r>
        <w:rPr>
          <w:spacing w:val="-3"/>
          <w:sz w:val="20"/>
        </w:rPr>
        <w:t> </w:t>
      </w:r>
      <w:r>
        <w:rPr>
          <w:sz w:val="20"/>
        </w:rPr>
        <w:t>pueblo”.</w:t>
      </w:r>
      <w:r>
        <w:rPr>
          <w:spacing w:val="-6"/>
          <w:sz w:val="20"/>
        </w:rPr>
        <w:t> </w:t>
      </w:r>
      <w:r>
        <w:rPr>
          <w:sz w:val="20"/>
        </w:rPr>
        <w:t>Por</w:t>
      </w:r>
      <w:r>
        <w:rPr>
          <w:spacing w:val="-4"/>
          <w:sz w:val="20"/>
        </w:rPr>
        <w:t> </w:t>
      </w:r>
      <w:r>
        <w:rPr>
          <w:sz w:val="20"/>
        </w:rPr>
        <w:t>ello</w:t>
      </w:r>
      <w:r>
        <w:rPr>
          <w:spacing w:val="-7"/>
          <w:sz w:val="20"/>
        </w:rPr>
        <w:t> </w:t>
      </w:r>
      <w:r>
        <w:rPr>
          <w:sz w:val="20"/>
        </w:rPr>
        <w:t>afirmó</w:t>
      </w:r>
      <w:r>
        <w:rPr>
          <w:spacing w:val="-4"/>
          <w:sz w:val="20"/>
        </w:rPr>
        <w:t> </w:t>
      </w:r>
      <w:r>
        <w:rPr>
          <w:sz w:val="20"/>
        </w:rPr>
        <w:t>que,</w:t>
      </w:r>
      <w:r>
        <w:rPr>
          <w:spacing w:val="-4"/>
          <w:sz w:val="20"/>
        </w:rPr>
        <w:t> </w:t>
      </w:r>
      <w:r>
        <w:rPr>
          <w:sz w:val="20"/>
        </w:rPr>
        <w:t>en</w:t>
      </w:r>
      <w:r>
        <w:rPr>
          <w:spacing w:val="-2"/>
          <w:sz w:val="20"/>
        </w:rPr>
        <w:t> </w:t>
      </w:r>
      <w:r>
        <w:rPr>
          <w:sz w:val="20"/>
        </w:rPr>
        <w:t>el</w:t>
      </w:r>
      <w:r>
        <w:rPr>
          <w:spacing w:val="-5"/>
          <w:sz w:val="20"/>
        </w:rPr>
        <w:t> </w:t>
      </w:r>
      <w:r>
        <w:rPr>
          <w:sz w:val="20"/>
        </w:rPr>
        <w:t>caso,</w:t>
      </w:r>
      <w:r>
        <w:rPr>
          <w:spacing w:val="-6"/>
          <w:sz w:val="20"/>
        </w:rPr>
        <w:t> </w:t>
      </w:r>
      <w:r>
        <w:rPr>
          <w:sz w:val="20"/>
        </w:rPr>
        <w:t>el</w:t>
      </w:r>
      <w:r>
        <w:rPr>
          <w:spacing w:val="-5"/>
          <w:sz w:val="20"/>
        </w:rPr>
        <w:t> </w:t>
      </w:r>
      <w:r>
        <w:rPr>
          <w:sz w:val="20"/>
        </w:rPr>
        <w:t>Estado</w:t>
      </w:r>
      <w:r>
        <w:rPr>
          <w:spacing w:val="-7"/>
          <w:sz w:val="20"/>
        </w:rPr>
        <w:t> </w:t>
      </w:r>
      <w:r>
        <w:rPr>
          <w:sz w:val="20"/>
        </w:rPr>
        <w:t>debe proveer un “título de dominio que reconozca [la] especificidad étnica y cultural [de las] comunidades […] que utilizan el territorio en circuitos de trashumancia que se van trazando</w:t>
      </w:r>
      <w:r>
        <w:rPr>
          <w:spacing w:val="-16"/>
          <w:sz w:val="20"/>
        </w:rPr>
        <w:t> </w:t>
      </w:r>
      <w:r>
        <w:rPr>
          <w:sz w:val="20"/>
        </w:rPr>
        <w:t>de</w:t>
      </w:r>
      <w:r>
        <w:rPr>
          <w:spacing w:val="-14"/>
          <w:sz w:val="20"/>
        </w:rPr>
        <w:t> </w:t>
      </w:r>
      <w:r>
        <w:rPr>
          <w:sz w:val="20"/>
        </w:rPr>
        <w:t>conformidad</w:t>
      </w:r>
      <w:r>
        <w:rPr>
          <w:spacing w:val="-15"/>
          <w:sz w:val="20"/>
        </w:rPr>
        <w:t> </w:t>
      </w:r>
      <w:r>
        <w:rPr>
          <w:sz w:val="20"/>
        </w:rPr>
        <w:t>con</w:t>
      </w:r>
      <w:r>
        <w:rPr>
          <w:spacing w:val="-14"/>
          <w:sz w:val="20"/>
        </w:rPr>
        <w:t> </w:t>
      </w:r>
      <w:r>
        <w:rPr>
          <w:sz w:val="20"/>
        </w:rPr>
        <w:t>su</w:t>
      </w:r>
      <w:r>
        <w:rPr>
          <w:spacing w:val="-12"/>
          <w:sz w:val="20"/>
        </w:rPr>
        <w:t> </w:t>
      </w:r>
      <w:r>
        <w:rPr>
          <w:sz w:val="20"/>
        </w:rPr>
        <w:t>tradición</w:t>
      </w:r>
      <w:r>
        <w:rPr>
          <w:spacing w:val="-13"/>
          <w:sz w:val="20"/>
        </w:rPr>
        <w:t> </w:t>
      </w:r>
      <w:r>
        <w:rPr>
          <w:sz w:val="20"/>
        </w:rPr>
        <w:t>cultural</w:t>
      </w:r>
      <w:r>
        <w:rPr>
          <w:spacing w:val="-15"/>
          <w:sz w:val="20"/>
        </w:rPr>
        <w:t> </w:t>
      </w:r>
      <w:r>
        <w:rPr>
          <w:sz w:val="20"/>
        </w:rPr>
        <w:t>y</w:t>
      </w:r>
      <w:r>
        <w:rPr>
          <w:spacing w:val="-13"/>
          <w:sz w:val="20"/>
        </w:rPr>
        <w:t> </w:t>
      </w:r>
      <w:r>
        <w:rPr>
          <w:sz w:val="20"/>
        </w:rPr>
        <w:t>la</w:t>
      </w:r>
      <w:r>
        <w:rPr>
          <w:spacing w:val="-15"/>
          <w:sz w:val="20"/>
        </w:rPr>
        <w:t> </w:t>
      </w:r>
      <w:r>
        <w:rPr>
          <w:sz w:val="20"/>
        </w:rPr>
        <w:t>disponibilidad</w:t>
      </w:r>
      <w:r>
        <w:rPr>
          <w:spacing w:val="-14"/>
          <w:sz w:val="20"/>
        </w:rPr>
        <w:t> </w:t>
      </w:r>
      <w:r>
        <w:rPr>
          <w:sz w:val="20"/>
        </w:rPr>
        <w:t>efectiva</w:t>
      </w:r>
      <w:r>
        <w:rPr>
          <w:spacing w:val="-15"/>
          <w:sz w:val="20"/>
        </w:rPr>
        <w:t> </w:t>
      </w:r>
      <w:r>
        <w:rPr>
          <w:sz w:val="20"/>
        </w:rPr>
        <w:t>de</w:t>
      </w:r>
      <w:r>
        <w:rPr>
          <w:spacing w:val="-14"/>
          <w:sz w:val="20"/>
        </w:rPr>
        <w:t> </w:t>
      </w:r>
      <w:r>
        <w:rPr>
          <w:sz w:val="20"/>
        </w:rPr>
        <w:t>recursos naturales para su subsistencia, ocupando la totalidad del hábitat que configura su territorio</w:t>
      </w:r>
      <w:r>
        <w:rPr>
          <w:spacing w:val="-8"/>
          <w:sz w:val="20"/>
        </w:rPr>
        <w:t> </w:t>
      </w:r>
      <w:r>
        <w:rPr>
          <w:sz w:val="20"/>
        </w:rPr>
        <w:t>tradicional</w:t>
      </w:r>
      <w:r>
        <w:rPr>
          <w:spacing w:val="-5"/>
          <w:sz w:val="20"/>
        </w:rPr>
        <w:t> </w:t>
      </w:r>
      <w:r>
        <w:rPr>
          <w:sz w:val="20"/>
        </w:rPr>
        <w:t>y</w:t>
      </w:r>
      <w:r>
        <w:rPr>
          <w:spacing w:val="-4"/>
          <w:sz w:val="20"/>
        </w:rPr>
        <w:t> </w:t>
      </w:r>
      <w:r>
        <w:rPr>
          <w:sz w:val="20"/>
        </w:rPr>
        <w:t>cuyos</w:t>
      </w:r>
      <w:r>
        <w:rPr>
          <w:spacing w:val="-5"/>
          <w:sz w:val="20"/>
        </w:rPr>
        <w:t> </w:t>
      </w:r>
      <w:r>
        <w:rPr>
          <w:sz w:val="20"/>
        </w:rPr>
        <w:t>recorridos</w:t>
      </w:r>
      <w:r>
        <w:rPr>
          <w:spacing w:val="-7"/>
          <w:sz w:val="20"/>
        </w:rPr>
        <w:t> </w:t>
      </w:r>
      <w:r>
        <w:rPr>
          <w:sz w:val="20"/>
        </w:rPr>
        <w:t>[…]</w:t>
      </w:r>
      <w:r>
        <w:rPr>
          <w:spacing w:val="-3"/>
          <w:sz w:val="20"/>
        </w:rPr>
        <w:t> </w:t>
      </w:r>
      <w:r>
        <w:rPr>
          <w:sz w:val="20"/>
        </w:rPr>
        <w:t>se</w:t>
      </w:r>
      <w:r>
        <w:rPr>
          <w:spacing w:val="-5"/>
          <w:sz w:val="20"/>
        </w:rPr>
        <w:t> </w:t>
      </w:r>
      <w:r>
        <w:rPr>
          <w:sz w:val="20"/>
        </w:rPr>
        <w:t>superponen,</w:t>
      </w:r>
      <w:r>
        <w:rPr>
          <w:spacing w:val="-7"/>
          <w:sz w:val="20"/>
        </w:rPr>
        <w:t> </w:t>
      </w:r>
      <w:r>
        <w:rPr>
          <w:sz w:val="20"/>
        </w:rPr>
        <w:t>traslapan</w:t>
      </w:r>
      <w:r>
        <w:rPr>
          <w:spacing w:val="-5"/>
          <w:sz w:val="20"/>
        </w:rPr>
        <w:t> </w:t>
      </w:r>
      <w:r>
        <w:rPr>
          <w:sz w:val="20"/>
        </w:rPr>
        <w:t>y</w:t>
      </w:r>
      <w:r>
        <w:rPr>
          <w:spacing w:val="-4"/>
          <w:sz w:val="20"/>
        </w:rPr>
        <w:t> </w:t>
      </w:r>
      <w:r>
        <w:rPr>
          <w:sz w:val="20"/>
        </w:rPr>
        <w:t>cruzan</w:t>
      </w:r>
      <w:r>
        <w:rPr>
          <w:spacing w:val="-5"/>
          <w:sz w:val="20"/>
        </w:rPr>
        <w:t> </w:t>
      </w:r>
      <w:r>
        <w:rPr>
          <w:sz w:val="20"/>
        </w:rPr>
        <w:t>entre</w:t>
      </w:r>
      <w:r>
        <w:rPr>
          <w:spacing w:val="-8"/>
          <w:sz w:val="20"/>
        </w:rPr>
        <w:t> </w:t>
      </w:r>
      <w:r>
        <w:rPr>
          <w:sz w:val="20"/>
        </w:rPr>
        <w:t>sí”. La perita concluyó que “si no se reconoce la propiedad comunal indígena se podría vulnerar otros derechos conexos como son[, entre otros,] el derecho a la identidad cultural, a la supervivencia organizada como pueblo [y] a la alimentación”</w:t>
      </w:r>
      <w:r>
        <w:rPr>
          <w:position w:val="7"/>
          <w:sz w:val="13"/>
        </w:rPr>
        <w:t>289</w:t>
      </w:r>
      <w:r>
        <w:rPr>
          <w:sz w:val="20"/>
        </w:rPr>
        <w:t>. Lo expuesto es relevante puesto que, como ya se ha determinado en esta Sentencia, el Estado no ha garantizado en forma adecuada el derecho de</w:t>
      </w:r>
      <w:r>
        <w:rPr>
          <w:spacing w:val="-30"/>
          <w:sz w:val="20"/>
        </w:rPr>
        <w:t> </w:t>
      </w:r>
      <w:r>
        <w:rPr>
          <w:sz w:val="20"/>
        </w:rPr>
        <w:t>propiedad.</w:t>
      </w:r>
    </w:p>
    <w:p>
      <w:pPr>
        <w:pStyle w:val="BodyText"/>
        <w:spacing w:before="1"/>
      </w:pPr>
    </w:p>
    <w:p>
      <w:pPr>
        <w:pStyle w:val="ListParagraph"/>
        <w:numPr>
          <w:ilvl w:val="0"/>
          <w:numId w:val="31"/>
        </w:numPr>
        <w:tabs>
          <w:tab w:pos="830" w:val="left" w:leader="none"/>
        </w:tabs>
        <w:spacing w:line="240" w:lineRule="auto" w:before="0" w:after="0"/>
        <w:ind w:left="122" w:right="123" w:firstLine="0"/>
        <w:jc w:val="both"/>
        <w:rPr>
          <w:sz w:val="20"/>
        </w:rPr>
      </w:pPr>
      <w:r>
        <w:rPr>
          <w:sz w:val="20"/>
        </w:rPr>
        <w:t>La</w:t>
      </w:r>
      <w:r>
        <w:rPr>
          <w:spacing w:val="-9"/>
          <w:sz w:val="20"/>
        </w:rPr>
        <w:t> </w:t>
      </w:r>
      <w:r>
        <w:rPr>
          <w:sz w:val="20"/>
        </w:rPr>
        <w:t>perita</w:t>
      </w:r>
      <w:r>
        <w:rPr>
          <w:spacing w:val="-7"/>
          <w:sz w:val="20"/>
        </w:rPr>
        <w:t> </w:t>
      </w:r>
      <w:r>
        <w:rPr>
          <w:sz w:val="20"/>
        </w:rPr>
        <w:t>Naharro</w:t>
      </w:r>
      <w:r>
        <w:rPr>
          <w:spacing w:val="-8"/>
          <w:sz w:val="20"/>
        </w:rPr>
        <w:t> </w:t>
      </w:r>
      <w:r>
        <w:rPr>
          <w:sz w:val="20"/>
        </w:rPr>
        <w:t>refirió</w:t>
      </w:r>
      <w:r>
        <w:rPr>
          <w:spacing w:val="-8"/>
          <w:sz w:val="20"/>
        </w:rPr>
        <w:t> </w:t>
      </w:r>
      <w:r>
        <w:rPr>
          <w:sz w:val="20"/>
        </w:rPr>
        <w:t>estudios</w:t>
      </w:r>
      <w:r>
        <w:rPr>
          <w:spacing w:val="-7"/>
          <w:sz w:val="20"/>
        </w:rPr>
        <w:t> </w:t>
      </w:r>
      <w:r>
        <w:rPr>
          <w:sz w:val="20"/>
        </w:rPr>
        <w:t>que</w:t>
      </w:r>
      <w:r>
        <w:rPr>
          <w:spacing w:val="-8"/>
          <w:sz w:val="20"/>
        </w:rPr>
        <w:t> </w:t>
      </w:r>
      <w:r>
        <w:rPr>
          <w:sz w:val="20"/>
        </w:rPr>
        <w:t>denotan</w:t>
      </w:r>
      <w:r>
        <w:rPr>
          <w:spacing w:val="-5"/>
          <w:sz w:val="20"/>
        </w:rPr>
        <w:t> </w:t>
      </w:r>
      <w:r>
        <w:rPr>
          <w:sz w:val="20"/>
        </w:rPr>
        <w:t>como</w:t>
      </w:r>
      <w:r>
        <w:rPr>
          <w:spacing w:val="-7"/>
          <w:sz w:val="20"/>
        </w:rPr>
        <w:t> </w:t>
      </w:r>
      <w:r>
        <w:rPr>
          <w:sz w:val="20"/>
        </w:rPr>
        <w:t>“altamente</w:t>
      </w:r>
      <w:r>
        <w:rPr>
          <w:spacing w:val="-8"/>
          <w:sz w:val="20"/>
        </w:rPr>
        <w:t> </w:t>
      </w:r>
      <w:r>
        <w:rPr>
          <w:sz w:val="20"/>
        </w:rPr>
        <w:t>probable”</w:t>
      </w:r>
      <w:r>
        <w:rPr>
          <w:spacing w:val="-7"/>
          <w:sz w:val="20"/>
        </w:rPr>
        <w:t> </w:t>
      </w:r>
      <w:r>
        <w:rPr>
          <w:sz w:val="20"/>
        </w:rPr>
        <w:t>que</w:t>
      </w:r>
      <w:r>
        <w:rPr>
          <w:spacing w:val="-8"/>
          <w:sz w:val="20"/>
        </w:rPr>
        <w:t> </w:t>
      </w:r>
      <w:r>
        <w:rPr>
          <w:sz w:val="20"/>
        </w:rPr>
        <w:t>la “ganadería vacuna esté acelerando procesos de deterioro ambiental”, y que la “distribución</w:t>
      </w:r>
      <w:r>
        <w:rPr>
          <w:spacing w:val="-3"/>
          <w:sz w:val="20"/>
        </w:rPr>
        <w:t> </w:t>
      </w:r>
      <w:r>
        <w:rPr>
          <w:sz w:val="20"/>
        </w:rPr>
        <w:t>espacial</w:t>
      </w:r>
      <w:r>
        <w:rPr>
          <w:spacing w:val="-5"/>
          <w:sz w:val="20"/>
        </w:rPr>
        <w:t> </w:t>
      </w:r>
      <w:r>
        <w:rPr>
          <w:sz w:val="20"/>
        </w:rPr>
        <w:t>del</w:t>
      </w:r>
      <w:r>
        <w:rPr>
          <w:spacing w:val="-6"/>
          <w:sz w:val="20"/>
        </w:rPr>
        <w:t> </w:t>
      </w:r>
      <w:r>
        <w:rPr>
          <w:sz w:val="20"/>
        </w:rPr>
        <w:t>pastoreo</w:t>
      </w:r>
      <w:r>
        <w:rPr>
          <w:spacing w:val="-8"/>
          <w:sz w:val="20"/>
        </w:rPr>
        <w:t> </w:t>
      </w:r>
      <w:r>
        <w:rPr>
          <w:sz w:val="20"/>
        </w:rPr>
        <w:t>[…]</w:t>
      </w:r>
      <w:r>
        <w:rPr>
          <w:spacing w:val="-3"/>
          <w:sz w:val="20"/>
        </w:rPr>
        <w:t> </w:t>
      </w:r>
      <w:r>
        <w:rPr>
          <w:sz w:val="20"/>
        </w:rPr>
        <w:t>estaría</w:t>
      </w:r>
      <w:r>
        <w:rPr>
          <w:spacing w:val="-6"/>
          <w:sz w:val="20"/>
        </w:rPr>
        <w:t> </w:t>
      </w:r>
      <w:r>
        <w:rPr>
          <w:sz w:val="20"/>
        </w:rPr>
        <w:t>generando</w:t>
      </w:r>
      <w:r>
        <w:rPr>
          <w:spacing w:val="-8"/>
          <w:sz w:val="20"/>
        </w:rPr>
        <w:t> </w:t>
      </w:r>
      <w:r>
        <w:rPr>
          <w:sz w:val="20"/>
        </w:rPr>
        <w:t>[…]</w:t>
      </w:r>
      <w:r>
        <w:rPr>
          <w:spacing w:val="-6"/>
          <w:sz w:val="20"/>
        </w:rPr>
        <w:t> </w:t>
      </w:r>
      <w:r>
        <w:rPr>
          <w:sz w:val="20"/>
        </w:rPr>
        <w:t>deterioro</w:t>
      </w:r>
      <w:r>
        <w:rPr>
          <w:spacing w:val="-5"/>
          <w:sz w:val="20"/>
        </w:rPr>
        <w:t> </w:t>
      </w:r>
      <w:r>
        <w:rPr>
          <w:sz w:val="20"/>
        </w:rPr>
        <w:t>ecosistémico”.</w:t>
      </w:r>
      <w:r>
        <w:rPr>
          <w:spacing w:val="-7"/>
          <w:sz w:val="20"/>
        </w:rPr>
        <w:t> </w:t>
      </w:r>
      <w:r>
        <w:rPr>
          <w:sz w:val="20"/>
        </w:rPr>
        <w:t>A su vez, en su declaración pericial se indica que “[e]l ganado vacuno a medida que se incrementa va paulatinamente derribando los medios de vida del indígena”. Explicó</w:t>
      </w:r>
      <w:r>
        <w:rPr>
          <w:spacing w:val="-37"/>
          <w:sz w:val="20"/>
        </w:rPr>
        <w:t> </w:t>
      </w:r>
      <w:r>
        <w:rPr>
          <w:sz w:val="20"/>
        </w:rPr>
        <w:t>que el</w:t>
      </w:r>
      <w:r>
        <w:rPr>
          <w:spacing w:val="-5"/>
          <w:sz w:val="20"/>
        </w:rPr>
        <w:t> </w:t>
      </w:r>
      <w:r>
        <w:rPr>
          <w:sz w:val="20"/>
        </w:rPr>
        <w:t>ganado</w:t>
      </w:r>
      <w:r>
        <w:rPr>
          <w:spacing w:val="-4"/>
          <w:sz w:val="20"/>
        </w:rPr>
        <w:t> </w:t>
      </w:r>
      <w:r>
        <w:rPr>
          <w:sz w:val="20"/>
        </w:rPr>
        <w:t>afecta</w:t>
      </w:r>
      <w:r>
        <w:rPr>
          <w:spacing w:val="-5"/>
          <w:sz w:val="20"/>
        </w:rPr>
        <w:t> </w:t>
      </w:r>
      <w:r>
        <w:rPr>
          <w:sz w:val="20"/>
        </w:rPr>
        <w:t>la</w:t>
      </w:r>
      <w:r>
        <w:rPr>
          <w:spacing w:val="-3"/>
          <w:sz w:val="20"/>
        </w:rPr>
        <w:t> </w:t>
      </w:r>
      <w:r>
        <w:rPr>
          <w:sz w:val="20"/>
        </w:rPr>
        <w:t>fauna</w:t>
      </w:r>
      <w:r>
        <w:rPr>
          <w:spacing w:val="-5"/>
          <w:sz w:val="20"/>
        </w:rPr>
        <w:t> </w:t>
      </w:r>
      <w:r>
        <w:rPr>
          <w:sz w:val="20"/>
        </w:rPr>
        <w:t>silvestre</w:t>
      </w:r>
      <w:r>
        <w:rPr>
          <w:spacing w:val="-5"/>
          <w:sz w:val="20"/>
        </w:rPr>
        <w:t> </w:t>
      </w:r>
      <w:r>
        <w:rPr>
          <w:sz w:val="20"/>
        </w:rPr>
        <w:t>y,</w:t>
      </w:r>
      <w:r>
        <w:rPr>
          <w:spacing w:val="-4"/>
          <w:sz w:val="20"/>
        </w:rPr>
        <w:t> </w:t>
      </w:r>
      <w:r>
        <w:rPr>
          <w:sz w:val="20"/>
        </w:rPr>
        <w:t>además,</w:t>
      </w:r>
      <w:r>
        <w:rPr>
          <w:spacing w:val="-4"/>
          <w:sz w:val="20"/>
        </w:rPr>
        <w:t> </w:t>
      </w:r>
      <w:r>
        <w:rPr>
          <w:sz w:val="20"/>
        </w:rPr>
        <w:t>se</w:t>
      </w:r>
      <w:r>
        <w:rPr>
          <w:spacing w:val="-7"/>
          <w:sz w:val="20"/>
        </w:rPr>
        <w:t> </w:t>
      </w:r>
      <w:r>
        <w:rPr>
          <w:sz w:val="20"/>
        </w:rPr>
        <w:t>alimenta</w:t>
      </w:r>
      <w:r>
        <w:rPr>
          <w:spacing w:val="-5"/>
          <w:sz w:val="20"/>
        </w:rPr>
        <w:t> </w:t>
      </w:r>
      <w:r>
        <w:rPr>
          <w:sz w:val="20"/>
        </w:rPr>
        <w:t>de</w:t>
      </w:r>
      <w:r>
        <w:rPr>
          <w:spacing w:val="-5"/>
          <w:sz w:val="20"/>
        </w:rPr>
        <w:t> </w:t>
      </w:r>
      <w:r>
        <w:rPr>
          <w:sz w:val="20"/>
        </w:rPr>
        <w:t>frutos</w:t>
      </w:r>
      <w:r>
        <w:rPr>
          <w:spacing w:val="-4"/>
          <w:sz w:val="20"/>
        </w:rPr>
        <w:t> </w:t>
      </w:r>
      <w:r>
        <w:rPr>
          <w:sz w:val="20"/>
        </w:rPr>
        <w:t>que</w:t>
      </w:r>
      <w:r>
        <w:rPr>
          <w:spacing w:val="-7"/>
          <w:sz w:val="20"/>
        </w:rPr>
        <w:t> </w:t>
      </w:r>
      <w:r>
        <w:rPr>
          <w:sz w:val="20"/>
        </w:rPr>
        <w:t>son</w:t>
      </w:r>
      <w:r>
        <w:rPr>
          <w:spacing w:val="-5"/>
          <w:sz w:val="20"/>
        </w:rPr>
        <w:t> </w:t>
      </w:r>
      <w:r>
        <w:rPr>
          <w:sz w:val="20"/>
        </w:rPr>
        <w:t>parte</w:t>
      </w:r>
      <w:r>
        <w:rPr>
          <w:spacing w:val="-5"/>
          <w:sz w:val="20"/>
        </w:rPr>
        <w:t> </w:t>
      </w:r>
      <w:r>
        <w:rPr>
          <w:sz w:val="20"/>
        </w:rPr>
        <w:t>de</w:t>
      </w:r>
      <w:r>
        <w:rPr>
          <w:spacing w:val="-5"/>
          <w:sz w:val="20"/>
        </w:rPr>
        <w:t> </w:t>
      </w:r>
      <w:r>
        <w:rPr>
          <w:sz w:val="20"/>
        </w:rPr>
        <w:t>la “dieta aborigen”, y que la ganadería ha “perjudica[do]” la “forma que tienen las comunidades indígenas de circular por el territorio y aprovechar bienes comunes”. Advirtió</w:t>
      </w:r>
      <w:r>
        <w:rPr>
          <w:spacing w:val="-19"/>
          <w:sz w:val="20"/>
        </w:rPr>
        <w:t> </w:t>
      </w:r>
      <w:r>
        <w:rPr>
          <w:sz w:val="20"/>
        </w:rPr>
        <w:t>también</w:t>
      </w:r>
      <w:r>
        <w:rPr>
          <w:spacing w:val="-19"/>
          <w:sz w:val="20"/>
        </w:rPr>
        <w:t> </w:t>
      </w:r>
      <w:r>
        <w:rPr>
          <w:sz w:val="20"/>
        </w:rPr>
        <w:t>que,</w:t>
      </w:r>
      <w:r>
        <w:rPr>
          <w:spacing w:val="-18"/>
          <w:sz w:val="20"/>
        </w:rPr>
        <w:t> </w:t>
      </w:r>
      <w:r>
        <w:rPr>
          <w:sz w:val="20"/>
        </w:rPr>
        <w:t>conforme</w:t>
      </w:r>
      <w:r>
        <w:rPr>
          <w:spacing w:val="-19"/>
          <w:sz w:val="20"/>
        </w:rPr>
        <w:t> </w:t>
      </w:r>
      <w:r>
        <w:rPr>
          <w:sz w:val="20"/>
        </w:rPr>
        <w:t>distintos</w:t>
      </w:r>
      <w:r>
        <w:rPr>
          <w:spacing w:val="-18"/>
          <w:sz w:val="20"/>
        </w:rPr>
        <w:t> </w:t>
      </w:r>
      <w:r>
        <w:rPr>
          <w:sz w:val="20"/>
        </w:rPr>
        <w:t>especialistas,</w:t>
      </w:r>
      <w:r>
        <w:rPr>
          <w:spacing w:val="-18"/>
          <w:sz w:val="20"/>
        </w:rPr>
        <w:t> </w:t>
      </w:r>
      <w:r>
        <w:rPr>
          <w:sz w:val="20"/>
        </w:rPr>
        <w:t>“la</w:t>
      </w:r>
      <w:r>
        <w:rPr>
          <w:spacing w:val="-20"/>
          <w:sz w:val="20"/>
        </w:rPr>
        <w:t> </w:t>
      </w:r>
      <w:r>
        <w:rPr>
          <w:sz w:val="20"/>
        </w:rPr>
        <w:t>ganadería</w:t>
      </w:r>
      <w:r>
        <w:rPr>
          <w:spacing w:val="-18"/>
          <w:sz w:val="20"/>
        </w:rPr>
        <w:t> </w:t>
      </w:r>
      <w:r>
        <w:rPr>
          <w:sz w:val="20"/>
        </w:rPr>
        <w:t>ha</w:t>
      </w:r>
      <w:r>
        <w:rPr>
          <w:spacing w:val="-20"/>
          <w:sz w:val="20"/>
        </w:rPr>
        <w:t> </w:t>
      </w:r>
      <w:r>
        <w:rPr>
          <w:sz w:val="20"/>
        </w:rPr>
        <w:t>tenido</w:t>
      </w:r>
      <w:r>
        <w:rPr>
          <w:spacing w:val="-21"/>
          <w:sz w:val="20"/>
        </w:rPr>
        <w:t> </w:t>
      </w:r>
      <w:r>
        <w:rPr>
          <w:sz w:val="20"/>
        </w:rPr>
        <w:t>incidencia sobre el río Pilcomayo” por la “erosión” de las “cabeceras de cuenca” y de “su curso medio por sobrepastoreo”, viéndose “afectada la supervivencia de las culturas aborígenes</w:t>
      </w:r>
      <w:r>
        <w:rPr>
          <w:spacing w:val="-10"/>
          <w:sz w:val="20"/>
        </w:rPr>
        <w:t> </w:t>
      </w:r>
      <w:r>
        <w:rPr>
          <w:sz w:val="20"/>
        </w:rPr>
        <w:t>que</w:t>
      </w:r>
      <w:r>
        <w:rPr>
          <w:spacing w:val="-10"/>
          <w:sz w:val="20"/>
        </w:rPr>
        <w:t> </w:t>
      </w:r>
      <w:r>
        <w:rPr>
          <w:sz w:val="20"/>
        </w:rPr>
        <w:t>habitan</w:t>
      </w:r>
      <w:r>
        <w:rPr>
          <w:spacing w:val="-8"/>
          <w:sz w:val="20"/>
        </w:rPr>
        <w:t> </w:t>
      </w:r>
      <w:r>
        <w:rPr>
          <w:sz w:val="20"/>
        </w:rPr>
        <w:t>y</w:t>
      </w:r>
      <w:r>
        <w:rPr>
          <w:spacing w:val="-9"/>
          <w:sz w:val="20"/>
        </w:rPr>
        <w:t> </w:t>
      </w:r>
      <w:r>
        <w:rPr>
          <w:sz w:val="20"/>
        </w:rPr>
        <w:t>dependen</w:t>
      </w:r>
      <w:r>
        <w:rPr>
          <w:spacing w:val="-8"/>
          <w:sz w:val="20"/>
        </w:rPr>
        <w:t> </w:t>
      </w:r>
      <w:r>
        <w:rPr>
          <w:sz w:val="20"/>
        </w:rPr>
        <w:t>del</w:t>
      </w:r>
      <w:r>
        <w:rPr>
          <w:spacing w:val="-9"/>
          <w:sz w:val="20"/>
        </w:rPr>
        <w:t> </w:t>
      </w:r>
      <w:r>
        <w:rPr>
          <w:sz w:val="20"/>
        </w:rPr>
        <w:t>río</w:t>
      </w:r>
      <w:r>
        <w:rPr>
          <w:sz w:val="16"/>
        </w:rPr>
        <w:t>”.</w:t>
      </w:r>
      <w:r>
        <w:rPr>
          <w:spacing w:val="-7"/>
          <w:sz w:val="16"/>
        </w:rPr>
        <w:t> </w:t>
      </w:r>
      <w:r>
        <w:rPr>
          <w:sz w:val="20"/>
        </w:rPr>
        <w:t>La</w:t>
      </w:r>
      <w:r>
        <w:rPr>
          <w:spacing w:val="-7"/>
          <w:sz w:val="20"/>
        </w:rPr>
        <w:t> </w:t>
      </w:r>
      <w:r>
        <w:rPr>
          <w:sz w:val="20"/>
        </w:rPr>
        <w:t>perita</w:t>
      </w:r>
      <w:r>
        <w:rPr>
          <w:spacing w:val="-9"/>
          <w:sz w:val="20"/>
        </w:rPr>
        <w:t> </w:t>
      </w:r>
      <w:r>
        <w:rPr>
          <w:sz w:val="20"/>
        </w:rPr>
        <w:t>indicó</w:t>
      </w:r>
      <w:r>
        <w:rPr>
          <w:spacing w:val="-8"/>
          <w:sz w:val="20"/>
        </w:rPr>
        <w:t> </w:t>
      </w:r>
      <w:r>
        <w:rPr>
          <w:sz w:val="20"/>
        </w:rPr>
        <w:t>estudios</w:t>
      </w:r>
      <w:r>
        <w:rPr>
          <w:spacing w:val="-10"/>
          <w:sz w:val="20"/>
        </w:rPr>
        <w:t> </w:t>
      </w:r>
      <w:r>
        <w:rPr>
          <w:sz w:val="20"/>
        </w:rPr>
        <w:t>que</w:t>
      </w:r>
      <w:r>
        <w:rPr>
          <w:spacing w:val="-10"/>
          <w:sz w:val="20"/>
        </w:rPr>
        <w:t> </w:t>
      </w:r>
      <w:r>
        <w:rPr>
          <w:sz w:val="20"/>
        </w:rPr>
        <w:t>señalan</w:t>
      </w:r>
      <w:r>
        <w:rPr>
          <w:spacing w:val="-8"/>
          <w:sz w:val="20"/>
        </w:rPr>
        <w:t> </w:t>
      </w:r>
      <w:r>
        <w:rPr>
          <w:sz w:val="20"/>
        </w:rPr>
        <w:t>que</w:t>
      </w:r>
      <w:r>
        <w:rPr>
          <w:spacing w:val="-10"/>
          <w:sz w:val="20"/>
        </w:rPr>
        <w:t> </w:t>
      </w:r>
      <w:r>
        <w:rPr>
          <w:sz w:val="20"/>
        </w:rPr>
        <w:t>la “explotación maderera” potencia los efectos nocivos expresados, pues contribuye a la “desapar[ición</w:t>
      </w:r>
      <w:r>
        <w:rPr>
          <w:spacing w:val="45"/>
          <w:sz w:val="20"/>
        </w:rPr>
        <w:t> </w:t>
      </w:r>
      <w:r>
        <w:rPr>
          <w:sz w:val="20"/>
        </w:rPr>
        <w:t>de]</w:t>
      </w:r>
      <w:r>
        <w:rPr>
          <w:spacing w:val="45"/>
          <w:sz w:val="20"/>
        </w:rPr>
        <w:t> </w:t>
      </w:r>
      <w:r>
        <w:rPr>
          <w:sz w:val="20"/>
        </w:rPr>
        <w:t>la</w:t>
      </w:r>
      <w:r>
        <w:rPr>
          <w:spacing w:val="45"/>
          <w:sz w:val="20"/>
        </w:rPr>
        <w:t> </w:t>
      </w:r>
      <w:r>
        <w:rPr>
          <w:sz w:val="20"/>
        </w:rPr>
        <w:t>cubierta</w:t>
      </w:r>
      <w:r>
        <w:rPr>
          <w:spacing w:val="45"/>
          <w:sz w:val="20"/>
        </w:rPr>
        <w:t> </w:t>
      </w:r>
      <w:r>
        <w:rPr>
          <w:sz w:val="20"/>
        </w:rPr>
        <w:t>vegetal</w:t>
      </w:r>
      <w:r>
        <w:rPr>
          <w:spacing w:val="45"/>
          <w:sz w:val="20"/>
        </w:rPr>
        <w:t> </w:t>
      </w:r>
      <w:r>
        <w:rPr>
          <w:sz w:val="20"/>
        </w:rPr>
        <w:t>y</w:t>
      </w:r>
      <w:r>
        <w:rPr>
          <w:spacing w:val="46"/>
          <w:sz w:val="20"/>
        </w:rPr>
        <w:t> </w:t>
      </w:r>
      <w:r>
        <w:rPr>
          <w:sz w:val="20"/>
        </w:rPr>
        <w:t>por</w:t>
      </w:r>
      <w:r>
        <w:rPr>
          <w:spacing w:val="45"/>
          <w:sz w:val="20"/>
        </w:rPr>
        <w:t> </w:t>
      </w:r>
      <w:r>
        <w:rPr>
          <w:sz w:val="20"/>
        </w:rPr>
        <w:t>ende</w:t>
      </w:r>
      <w:r>
        <w:rPr>
          <w:spacing w:val="43"/>
          <w:sz w:val="20"/>
        </w:rPr>
        <w:t> </w:t>
      </w:r>
      <w:r>
        <w:rPr>
          <w:sz w:val="20"/>
        </w:rPr>
        <w:t>animal</w:t>
      </w:r>
      <w:r>
        <w:rPr>
          <w:spacing w:val="43"/>
          <w:sz w:val="20"/>
        </w:rPr>
        <w:t> </w:t>
      </w:r>
      <w:r>
        <w:rPr>
          <w:sz w:val="20"/>
        </w:rPr>
        <w:t>de</w:t>
      </w:r>
      <w:r>
        <w:rPr>
          <w:spacing w:val="43"/>
          <w:sz w:val="20"/>
        </w:rPr>
        <w:t> </w:t>
      </w:r>
      <w:r>
        <w:rPr>
          <w:sz w:val="20"/>
        </w:rPr>
        <w:t>la</w:t>
      </w:r>
      <w:r>
        <w:rPr>
          <w:spacing w:val="44"/>
          <w:sz w:val="20"/>
        </w:rPr>
        <w:t> </w:t>
      </w:r>
      <w:r>
        <w:rPr>
          <w:sz w:val="20"/>
        </w:rPr>
        <w:t>zona”.</w:t>
      </w:r>
      <w:r>
        <w:rPr>
          <w:spacing w:val="25"/>
          <w:sz w:val="20"/>
        </w:rPr>
        <w:t> </w:t>
      </w:r>
      <w:r>
        <w:rPr>
          <w:sz w:val="20"/>
        </w:rPr>
        <w:t>Expresó</w:t>
      </w:r>
      <w:r>
        <w:rPr>
          <w:spacing w:val="41"/>
          <w:sz w:val="20"/>
        </w:rPr>
        <w:t> </w:t>
      </w:r>
      <w:r>
        <w:rPr>
          <w:sz w:val="20"/>
        </w:rPr>
        <w:t>que</w:t>
      </w:r>
    </w:p>
    <w:p>
      <w:pPr>
        <w:pStyle w:val="BodyText"/>
        <w:spacing w:before="5"/>
        <w:rPr>
          <w:sz w:val="17"/>
        </w:rPr>
      </w:pPr>
      <w:r>
        <w:rPr/>
        <w:pict>
          <v:line style="position:absolute;mso-position-horizontal-relative:page;mso-position-vertical-relative:paragraph;z-index:3232;mso-wrap-distance-left:0;mso-wrap-distance-right:0" from="85.103996pt,12.911659pt" to="229.123996pt,12.911659pt" stroked="true" strokeweight=".72003pt" strokecolor="#000000">
            <v:stroke dashstyle="solid"/>
            <w10:wrap type="topAndBottom"/>
          </v:line>
        </w:pict>
      </w:r>
    </w:p>
    <w:p>
      <w:pPr>
        <w:spacing w:before="71"/>
        <w:ind w:left="122" w:right="0" w:firstLine="0"/>
        <w:jc w:val="both"/>
        <w:rPr>
          <w:sz w:val="16"/>
        </w:rPr>
      </w:pPr>
      <w:r>
        <w:rPr>
          <w:sz w:val="16"/>
        </w:rPr>
        <w:t>ambiente forma parte de sus actividades religiosas, rituales, formas de vida, creencias y por consecuencia de</w:t>
      </w:r>
    </w:p>
    <w:p>
      <w:pPr>
        <w:spacing w:before="0"/>
        <w:ind w:left="122" w:right="0" w:firstLine="0"/>
        <w:jc w:val="both"/>
        <w:rPr>
          <w:sz w:val="16"/>
        </w:rPr>
      </w:pPr>
      <w:r>
        <w:rPr>
          <w:sz w:val="16"/>
        </w:rPr>
        <w:t>su derecho más amplio a la vida cultural”.</w:t>
      </w:r>
    </w:p>
    <w:p>
      <w:pPr>
        <w:pStyle w:val="BodyText"/>
        <w:rPr>
          <w:sz w:val="16"/>
        </w:rPr>
      </w:pPr>
    </w:p>
    <w:p>
      <w:pPr>
        <w:tabs>
          <w:tab w:pos="829" w:val="left" w:leader="none"/>
        </w:tabs>
        <w:spacing w:line="240" w:lineRule="auto" w:before="0"/>
        <w:ind w:left="122" w:right="115" w:firstLine="0"/>
        <w:jc w:val="both"/>
        <w:rPr>
          <w:sz w:val="16"/>
        </w:rPr>
      </w:pPr>
      <w:r>
        <w:rPr>
          <w:position w:val="6"/>
          <w:sz w:val="10"/>
        </w:rPr>
        <w:t>289</w:t>
        <w:tab/>
      </w:r>
      <w:r>
        <w:rPr>
          <w:sz w:val="16"/>
        </w:rPr>
        <w:t>En igual sentido, el escrito de </w:t>
      </w:r>
      <w:r>
        <w:rPr>
          <w:i/>
          <w:sz w:val="16"/>
        </w:rPr>
        <w:t>amicus curiae </w:t>
      </w:r>
      <w:r>
        <w:rPr>
          <w:sz w:val="16"/>
        </w:rPr>
        <w:t>de DPLF y otras organizaciones destacó el</w:t>
      </w:r>
      <w:r>
        <w:rPr>
          <w:spacing w:val="12"/>
          <w:sz w:val="16"/>
        </w:rPr>
        <w:t> </w:t>
      </w:r>
      <w:r>
        <w:rPr>
          <w:sz w:val="16"/>
        </w:rPr>
        <w:t>vínculo</w:t>
      </w:r>
      <w:r>
        <w:rPr>
          <w:spacing w:val="2"/>
          <w:sz w:val="16"/>
        </w:rPr>
        <w:t> </w:t>
      </w:r>
      <w:r>
        <w:rPr>
          <w:sz w:val="16"/>
        </w:rPr>
        <w:t>entre</w:t>
      </w:r>
      <w:r>
        <w:rPr>
          <w:w w:val="100"/>
          <w:sz w:val="16"/>
        </w:rPr>
        <w:t> </w:t>
      </w:r>
      <w:r>
        <w:rPr>
          <w:sz w:val="16"/>
        </w:rPr>
        <w:t>la alimentación y la titulación adecuada de la tierra. Expresó que si bien la violación del derecho a acceder a alimentos</w:t>
      </w:r>
      <w:r>
        <w:rPr>
          <w:spacing w:val="-10"/>
          <w:sz w:val="16"/>
        </w:rPr>
        <w:t> </w:t>
      </w:r>
      <w:r>
        <w:rPr>
          <w:sz w:val="16"/>
        </w:rPr>
        <w:t>culturalmente</w:t>
      </w:r>
      <w:r>
        <w:rPr>
          <w:spacing w:val="-13"/>
          <w:sz w:val="16"/>
        </w:rPr>
        <w:t> </w:t>
      </w:r>
      <w:r>
        <w:rPr>
          <w:sz w:val="16"/>
        </w:rPr>
        <w:t>adecuados</w:t>
      </w:r>
      <w:r>
        <w:rPr>
          <w:spacing w:val="-13"/>
          <w:sz w:val="16"/>
        </w:rPr>
        <w:t> </w:t>
      </w:r>
      <w:r>
        <w:rPr>
          <w:sz w:val="16"/>
        </w:rPr>
        <w:t>se</w:t>
      </w:r>
      <w:r>
        <w:rPr>
          <w:spacing w:val="-15"/>
          <w:sz w:val="16"/>
        </w:rPr>
        <w:t> </w:t>
      </w:r>
      <w:r>
        <w:rPr>
          <w:sz w:val="16"/>
        </w:rPr>
        <w:t>encuentra</w:t>
      </w:r>
      <w:r>
        <w:rPr>
          <w:spacing w:val="-14"/>
          <w:sz w:val="16"/>
        </w:rPr>
        <w:t> </w:t>
      </w:r>
      <w:r>
        <w:rPr>
          <w:sz w:val="16"/>
        </w:rPr>
        <w:t>estrechamente</w:t>
      </w:r>
      <w:r>
        <w:rPr>
          <w:spacing w:val="-13"/>
          <w:sz w:val="16"/>
        </w:rPr>
        <w:t> </w:t>
      </w:r>
      <w:r>
        <w:rPr>
          <w:sz w:val="16"/>
        </w:rPr>
        <w:t>vinculado</w:t>
      </w:r>
      <w:r>
        <w:rPr>
          <w:spacing w:val="-12"/>
          <w:sz w:val="16"/>
        </w:rPr>
        <w:t> </w:t>
      </w:r>
      <w:r>
        <w:rPr>
          <w:sz w:val="16"/>
        </w:rPr>
        <w:t>a</w:t>
      </w:r>
      <w:r>
        <w:rPr>
          <w:spacing w:val="-14"/>
          <w:sz w:val="16"/>
        </w:rPr>
        <w:t> </w:t>
      </w:r>
      <w:r>
        <w:rPr>
          <w:sz w:val="16"/>
        </w:rPr>
        <w:t>la</w:t>
      </w:r>
      <w:r>
        <w:rPr>
          <w:spacing w:val="-14"/>
          <w:sz w:val="16"/>
        </w:rPr>
        <w:t> </w:t>
      </w:r>
      <w:r>
        <w:rPr>
          <w:sz w:val="16"/>
        </w:rPr>
        <w:t>violación</w:t>
      </w:r>
      <w:r>
        <w:rPr>
          <w:spacing w:val="-14"/>
          <w:sz w:val="16"/>
        </w:rPr>
        <w:t> </w:t>
      </w:r>
      <w:r>
        <w:rPr>
          <w:sz w:val="16"/>
        </w:rPr>
        <w:t>del</w:t>
      </w:r>
      <w:r>
        <w:rPr>
          <w:spacing w:val="-12"/>
          <w:sz w:val="16"/>
        </w:rPr>
        <w:t> </w:t>
      </w:r>
      <w:r>
        <w:rPr>
          <w:sz w:val="16"/>
        </w:rPr>
        <w:t>aspecto</w:t>
      </w:r>
      <w:r>
        <w:rPr>
          <w:spacing w:val="-12"/>
          <w:sz w:val="16"/>
        </w:rPr>
        <w:t> </w:t>
      </w:r>
      <w:r>
        <w:rPr>
          <w:sz w:val="16"/>
        </w:rPr>
        <w:t>territorial, y pueden derivar del mismo acto detonante de responsabilidad estatal (como la omisión de expedir un título de</w:t>
      </w:r>
      <w:r>
        <w:rPr>
          <w:spacing w:val="-6"/>
          <w:sz w:val="16"/>
        </w:rPr>
        <w:t> </w:t>
      </w:r>
      <w:r>
        <w:rPr>
          <w:sz w:val="16"/>
        </w:rPr>
        <w:t>propiedad</w:t>
      </w:r>
      <w:r>
        <w:rPr>
          <w:spacing w:val="-5"/>
          <w:sz w:val="16"/>
        </w:rPr>
        <w:t> </w:t>
      </w:r>
      <w:r>
        <w:rPr>
          <w:sz w:val="16"/>
        </w:rPr>
        <w:t>a</w:t>
      </w:r>
      <w:r>
        <w:rPr>
          <w:spacing w:val="-7"/>
          <w:sz w:val="16"/>
        </w:rPr>
        <w:t> </w:t>
      </w:r>
      <w:r>
        <w:rPr>
          <w:sz w:val="16"/>
        </w:rPr>
        <w:t>favor</w:t>
      </w:r>
      <w:r>
        <w:rPr>
          <w:spacing w:val="-5"/>
          <w:sz w:val="16"/>
        </w:rPr>
        <w:t> </w:t>
      </w:r>
      <w:r>
        <w:rPr>
          <w:sz w:val="16"/>
        </w:rPr>
        <w:t>de</w:t>
      </w:r>
      <w:r>
        <w:rPr>
          <w:spacing w:val="-6"/>
          <w:sz w:val="16"/>
        </w:rPr>
        <w:t> </w:t>
      </w:r>
      <w:r>
        <w:rPr>
          <w:sz w:val="16"/>
        </w:rPr>
        <w:t>la</w:t>
      </w:r>
      <w:r>
        <w:rPr>
          <w:spacing w:val="-7"/>
          <w:sz w:val="16"/>
        </w:rPr>
        <w:t> </w:t>
      </w:r>
      <w:r>
        <w:rPr>
          <w:sz w:val="16"/>
        </w:rPr>
        <w:t>comunidad),</w:t>
      </w:r>
      <w:r>
        <w:rPr>
          <w:spacing w:val="-5"/>
          <w:sz w:val="16"/>
        </w:rPr>
        <w:t> </w:t>
      </w:r>
      <w:r>
        <w:rPr>
          <w:sz w:val="16"/>
        </w:rPr>
        <w:t>es</w:t>
      </w:r>
      <w:r>
        <w:rPr>
          <w:spacing w:val="-6"/>
          <w:sz w:val="16"/>
        </w:rPr>
        <w:t> </w:t>
      </w:r>
      <w:r>
        <w:rPr>
          <w:sz w:val="16"/>
        </w:rPr>
        <w:t>importante</w:t>
      </w:r>
      <w:r>
        <w:rPr>
          <w:spacing w:val="-6"/>
          <w:sz w:val="16"/>
        </w:rPr>
        <w:t> </w:t>
      </w:r>
      <w:r>
        <w:rPr>
          <w:sz w:val="16"/>
        </w:rPr>
        <w:t>mantener</w:t>
      </w:r>
      <w:r>
        <w:rPr>
          <w:spacing w:val="-3"/>
          <w:sz w:val="16"/>
        </w:rPr>
        <w:t> </w:t>
      </w:r>
      <w:r>
        <w:rPr>
          <w:sz w:val="16"/>
        </w:rPr>
        <w:t>una</w:t>
      </w:r>
      <w:r>
        <w:rPr>
          <w:spacing w:val="-7"/>
          <w:sz w:val="16"/>
        </w:rPr>
        <w:t> </w:t>
      </w:r>
      <w:r>
        <w:rPr>
          <w:sz w:val="16"/>
        </w:rPr>
        <w:t>distinción</w:t>
      </w:r>
      <w:r>
        <w:rPr>
          <w:spacing w:val="-7"/>
          <w:sz w:val="16"/>
        </w:rPr>
        <w:t> </w:t>
      </w:r>
      <w:r>
        <w:rPr>
          <w:sz w:val="16"/>
        </w:rPr>
        <w:t>conceptual</w:t>
      </w:r>
      <w:r>
        <w:rPr>
          <w:spacing w:val="-4"/>
          <w:sz w:val="16"/>
        </w:rPr>
        <w:t> </w:t>
      </w:r>
      <w:r>
        <w:rPr>
          <w:sz w:val="16"/>
        </w:rPr>
        <w:t>de</w:t>
      </w:r>
      <w:r>
        <w:rPr>
          <w:spacing w:val="-6"/>
          <w:sz w:val="16"/>
        </w:rPr>
        <w:t> </w:t>
      </w:r>
      <w:r>
        <w:rPr>
          <w:sz w:val="16"/>
        </w:rPr>
        <w:t>ambos</w:t>
      </w:r>
      <w:r>
        <w:rPr>
          <w:spacing w:val="-6"/>
          <w:sz w:val="16"/>
        </w:rPr>
        <w:t> </w:t>
      </w:r>
      <w:r>
        <w:rPr>
          <w:sz w:val="16"/>
        </w:rPr>
        <w:t>aspectos para “percibir de forma holística la gravedad” de la lesión a los</w:t>
      </w:r>
      <w:r>
        <w:rPr>
          <w:spacing w:val="-28"/>
          <w:sz w:val="16"/>
        </w:rPr>
        <w:t> </w:t>
      </w:r>
      <w:r>
        <w:rPr>
          <w:sz w:val="16"/>
        </w:rPr>
        <w:t>derechos.</w:t>
      </w:r>
    </w:p>
    <w:p>
      <w:pPr>
        <w:spacing w:after="0" w:line="240" w:lineRule="auto"/>
        <w:jc w:val="both"/>
        <w:rPr>
          <w:sz w:val="16"/>
        </w:rPr>
        <w:sectPr>
          <w:footerReference w:type="default" r:id="rId29"/>
          <w:pgSz w:w="12240" w:h="15840"/>
          <w:pgMar w:footer="1000" w:header="0" w:top="1500" w:bottom="1200" w:left="1580" w:right="1580"/>
          <w:pgNumType w:start="97"/>
        </w:sectPr>
      </w:pPr>
    </w:p>
    <w:p>
      <w:pPr>
        <w:pStyle w:val="BodyText"/>
        <w:spacing w:before="76"/>
        <w:ind w:left="122" w:right="105"/>
        <w:jc w:val="both"/>
      </w:pPr>
      <w:r>
        <w:rPr/>
        <w:t>durante un trabajo de campo realizado en septiembre de 2017 se evidenció que la “ilegalidad de la tala tuvo consecuencias negativas para el ambiente y para las comunidades indígenas”</w:t>
      </w:r>
      <w:r>
        <w:rPr>
          <w:position w:val="7"/>
          <w:sz w:val="13"/>
        </w:rPr>
        <w:t>290</w:t>
      </w:r>
      <w:r>
        <w:rPr/>
        <w:t>. La prueba presentada muestra que los bienes tutelados</w:t>
      </w:r>
      <w:r>
        <w:rPr>
          <w:spacing w:val="-34"/>
        </w:rPr>
        <w:t> </w:t>
      </w:r>
      <w:r>
        <w:rPr/>
        <w:t>por los derechos citados han sido</w:t>
      </w:r>
      <w:r>
        <w:rPr>
          <w:spacing w:val="-14"/>
        </w:rPr>
        <w:t> </w:t>
      </w:r>
      <w:r>
        <w:rPr/>
        <w:t>impactados.</w:t>
      </w:r>
    </w:p>
    <w:p>
      <w:pPr>
        <w:pStyle w:val="BodyText"/>
      </w:pPr>
    </w:p>
    <w:p>
      <w:pPr>
        <w:pStyle w:val="ListParagraph"/>
        <w:numPr>
          <w:ilvl w:val="0"/>
          <w:numId w:val="31"/>
        </w:numPr>
        <w:tabs>
          <w:tab w:pos="830" w:val="left" w:leader="none"/>
        </w:tabs>
        <w:spacing w:line="240" w:lineRule="auto" w:before="0" w:after="0"/>
        <w:ind w:left="122" w:right="108" w:firstLine="0"/>
        <w:jc w:val="both"/>
        <w:rPr>
          <w:sz w:val="20"/>
        </w:rPr>
      </w:pPr>
      <w:r>
        <w:rPr>
          <w:sz w:val="20"/>
        </w:rPr>
        <w:t>La</w:t>
      </w:r>
      <w:r>
        <w:rPr>
          <w:spacing w:val="-17"/>
          <w:sz w:val="20"/>
        </w:rPr>
        <w:t> </w:t>
      </w:r>
      <w:r>
        <w:rPr>
          <w:sz w:val="20"/>
        </w:rPr>
        <w:t>perita</w:t>
      </w:r>
      <w:r>
        <w:rPr>
          <w:spacing w:val="-14"/>
          <w:sz w:val="20"/>
        </w:rPr>
        <w:t> </w:t>
      </w:r>
      <w:r>
        <w:rPr>
          <w:sz w:val="20"/>
        </w:rPr>
        <w:t>Buliubasich,</w:t>
      </w:r>
      <w:r>
        <w:rPr>
          <w:spacing w:val="-17"/>
          <w:sz w:val="20"/>
        </w:rPr>
        <w:t> </w:t>
      </w:r>
      <w:r>
        <w:rPr>
          <w:sz w:val="20"/>
        </w:rPr>
        <w:t>por</w:t>
      </w:r>
      <w:r>
        <w:rPr>
          <w:spacing w:val="-15"/>
          <w:sz w:val="20"/>
        </w:rPr>
        <w:t> </w:t>
      </w:r>
      <w:r>
        <w:rPr>
          <w:sz w:val="20"/>
        </w:rPr>
        <w:t>su</w:t>
      </w:r>
      <w:r>
        <w:rPr>
          <w:spacing w:val="-16"/>
          <w:sz w:val="20"/>
        </w:rPr>
        <w:t> </w:t>
      </w:r>
      <w:r>
        <w:rPr>
          <w:sz w:val="20"/>
        </w:rPr>
        <w:t>parte,</w:t>
      </w:r>
      <w:r>
        <w:rPr>
          <w:spacing w:val="-15"/>
          <w:sz w:val="20"/>
        </w:rPr>
        <w:t> </w:t>
      </w:r>
      <w:r>
        <w:rPr>
          <w:sz w:val="20"/>
        </w:rPr>
        <w:t>destacó</w:t>
      </w:r>
      <w:r>
        <w:rPr>
          <w:spacing w:val="-18"/>
          <w:sz w:val="20"/>
        </w:rPr>
        <w:t> </w:t>
      </w:r>
      <w:r>
        <w:rPr>
          <w:sz w:val="20"/>
        </w:rPr>
        <w:t>que</w:t>
      </w:r>
      <w:r>
        <w:rPr>
          <w:spacing w:val="-18"/>
          <w:sz w:val="20"/>
        </w:rPr>
        <w:t> </w:t>
      </w:r>
      <w:r>
        <w:rPr>
          <w:sz w:val="20"/>
        </w:rPr>
        <w:t>la</w:t>
      </w:r>
      <w:r>
        <w:rPr>
          <w:spacing w:val="-16"/>
          <w:sz w:val="20"/>
        </w:rPr>
        <w:t> </w:t>
      </w:r>
      <w:r>
        <w:rPr>
          <w:sz w:val="20"/>
        </w:rPr>
        <w:t>“degradación</w:t>
      </w:r>
      <w:r>
        <w:rPr>
          <w:spacing w:val="-16"/>
          <w:sz w:val="20"/>
        </w:rPr>
        <w:t> </w:t>
      </w:r>
      <w:r>
        <w:rPr>
          <w:sz w:val="20"/>
        </w:rPr>
        <w:t>del</w:t>
      </w:r>
      <w:r>
        <w:rPr>
          <w:spacing w:val="-16"/>
          <w:sz w:val="20"/>
        </w:rPr>
        <w:t> </w:t>
      </w:r>
      <w:r>
        <w:rPr>
          <w:sz w:val="20"/>
        </w:rPr>
        <w:t>medio</w:t>
      </w:r>
      <w:r>
        <w:rPr>
          <w:spacing w:val="-18"/>
          <w:sz w:val="20"/>
        </w:rPr>
        <w:t> </w:t>
      </w:r>
      <w:r>
        <w:rPr>
          <w:sz w:val="20"/>
        </w:rPr>
        <w:t>natural como</w:t>
      </w:r>
      <w:r>
        <w:rPr>
          <w:spacing w:val="-9"/>
          <w:sz w:val="20"/>
        </w:rPr>
        <w:t> </w:t>
      </w:r>
      <w:r>
        <w:rPr>
          <w:sz w:val="20"/>
        </w:rPr>
        <w:t>consecuencia</w:t>
      </w:r>
      <w:r>
        <w:rPr>
          <w:spacing w:val="-7"/>
          <w:sz w:val="20"/>
        </w:rPr>
        <w:t> </w:t>
      </w:r>
      <w:r>
        <w:rPr>
          <w:sz w:val="20"/>
        </w:rPr>
        <w:t>de</w:t>
      </w:r>
      <w:r>
        <w:rPr>
          <w:spacing w:val="-9"/>
          <w:sz w:val="20"/>
        </w:rPr>
        <w:t> </w:t>
      </w:r>
      <w:r>
        <w:rPr>
          <w:sz w:val="20"/>
        </w:rPr>
        <w:t>las</w:t>
      </w:r>
      <w:r>
        <w:rPr>
          <w:spacing w:val="-8"/>
          <w:sz w:val="20"/>
        </w:rPr>
        <w:t> </w:t>
      </w:r>
      <w:r>
        <w:rPr>
          <w:sz w:val="20"/>
        </w:rPr>
        <w:t>formas</w:t>
      </w:r>
      <w:r>
        <w:rPr>
          <w:spacing w:val="-9"/>
          <w:sz w:val="20"/>
        </w:rPr>
        <w:t> </w:t>
      </w:r>
      <w:r>
        <w:rPr>
          <w:sz w:val="20"/>
        </w:rPr>
        <w:t>de</w:t>
      </w:r>
      <w:r>
        <w:rPr>
          <w:spacing w:val="-7"/>
          <w:sz w:val="20"/>
        </w:rPr>
        <w:t> </w:t>
      </w:r>
      <w:r>
        <w:rPr>
          <w:sz w:val="20"/>
        </w:rPr>
        <w:t>explotación</w:t>
      </w:r>
      <w:r>
        <w:rPr>
          <w:spacing w:val="-7"/>
          <w:sz w:val="20"/>
        </w:rPr>
        <w:t> </w:t>
      </w:r>
      <w:r>
        <w:rPr>
          <w:sz w:val="20"/>
        </w:rPr>
        <w:t>ganadera</w:t>
      </w:r>
      <w:r>
        <w:rPr>
          <w:spacing w:val="-6"/>
          <w:sz w:val="20"/>
        </w:rPr>
        <w:t> </w:t>
      </w:r>
      <w:r>
        <w:rPr>
          <w:sz w:val="20"/>
        </w:rPr>
        <w:t>y</w:t>
      </w:r>
      <w:r>
        <w:rPr>
          <w:spacing w:val="-6"/>
          <w:sz w:val="20"/>
        </w:rPr>
        <w:t> </w:t>
      </w:r>
      <w:r>
        <w:rPr>
          <w:sz w:val="20"/>
        </w:rPr>
        <w:t>forestal”</w:t>
      </w:r>
      <w:r>
        <w:rPr>
          <w:spacing w:val="-8"/>
          <w:sz w:val="20"/>
        </w:rPr>
        <w:t> </w:t>
      </w:r>
      <w:r>
        <w:rPr>
          <w:sz w:val="20"/>
        </w:rPr>
        <w:t>afecta</w:t>
      </w:r>
      <w:r>
        <w:rPr>
          <w:spacing w:val="-5"/>
          <w:sz w:val="20"/>
        </w:rPr>
        <w:t> </w:t>
      </w:r>
      <w:r>
        <w:rPr>
          <w:sz w:val="20"/>
        </w:rPr>
        <w:t>el</w:t>
      </w:r>
      <w:r>
        <w:rPr>
          <w:spacing w:val="-5"/>
          <w:sz w:val="20"/>
        </w:rPr>
        <w:t> </w:t>
      </w:r>
      <w:r>
        <w:rPr>
          <w:sz w:val="20"/>
        </w:rPr>
        <w:t>modo</w:t>
      </w:r>
      <w:r>
        <w:rPr>
          <w:spacing w:val="-9"/>
          <w:sz w:val="20"/>
        </w:rPr>
        <w:t> </w:t>
      </w:r>
      <w:r>
        <w:rPr>
          <w:sz w:val="20"/>
        </w:rPr>
        <w:t>de vida indígena, y que, en ese sentido, hay una “incompatibilidad entre ganadería y actividades tradicionales indígenas”. Notó que la “erosión ambiental es progresiva “de modo que [criollos e indígenas] requieren cada vez más territorio, conduciendo a una exclusión competitiva más</w:t>
      </w:r>
      <w:r>
        <w:rPr>
          <w:spacing w:val="-11"/>
          <w:sz w:val="20"/>
        </w:rPr>
        <w:t> </w:t>
      </w:r>
      <w:r>
        <w:rPr>
          <w:sz w:val="20"/>
        </w:rPr>
        <w:t>intensa”.</w:t>
      </w:r>
    </w:p>
    <w:p>
      <w:pPr>
        <w:pStyle w:val="BodyText"/>
      </w:pPr>
    </w:p>
    <w:p>
      <w:pPr>
        <w:pStyle w:val="ListParagraph"/>
        <w:numPr>
          <w:ilvl w:val="0"/>
          <w:numId w:val="31"/>
        </w:numPr>
        <w:tabs>
          <w:tab w:pos="830" w:val="left" w:leader="none"/>
        </w:tabs>
        <w:spacing w:line="240" w:lineRule="auto" w:before="0" w:after="0"/>
        <w:ind w:left="122" w:right="102" w:firstLine="0"/>
        <w:jc w:val="both"/>
        <w:rPr>
          <w:sz w:val="20"/>
        </w:rPr>
      </w:pPr>
      <w:r>
        <w:rPr>
          <w:sz w:val="20"/>
        </w:rPr>
        <w:t>La perita Naharro explicó también que “[a]nte la escasez de agua, las comunidades [indígenas] a veces ven vedado el acceso a los reservorios de agua, ya que las familias criollas alambran alrededor, impidiendo el uso a los indígenas”. Agregó que la “situación alimentaria de los pueblos cazadores y recolectores del área del [río] Pilcomayo, debe entenderse en relación a los cambios que incidieron en la provisión de alimentos”. En ese sentido, “[c]omo producto de la degradación ambiental, la oferta de recursos del monte se ha vuelto cada vez más insuficiente, con lo cual los pueblos indígenas han debido incorporar nuevos alimentos industrializados. Estos[,] al ser obtenidos mediante ingresos monetarios que son sumamente escasos[,…] no alcanzan a completar una alimentación suficiente”. Además, expresó que “la mayoría de las comunidades no posee agua apta para consumo y si bien tienen pozo a bomba, el</w:t>
      </w:r>
      <w:r>
        <w:rPr>
          <w:spacing w:val="-41"/>
          <w:sz w:val="20"/>
        </w:rPr>
        <w:t> </w:t>
      </w:r>
      <w:r>
        <w:rPr>
          <w:sz w:val="20"/>
        </w:rPr>
        <w:t>agua que se obtiene […] no recibe tratamiento. La disposición de excretas es a ‘cielo abierto’ y</w:t>
      </w:r>
      <w:r>
        <w:rPr>
          <w:spacing w:val="-10"/>
          <w:sz w:val="20"/>
        </w:rPr>
        <w:t> </w:t>
      </w:r>
      <w:r>
        <w:rPr>
          <w:sz w:val="20"/>
        </w:rPr>
        <w:t>muchas</w:t>
      </w:r>
      <w:r>
        <w:rPr>
          <w:spacing w:val="-8"/>
          <w:sz w:val="20"/>
        </w:rPr>
        <w:t> </w:t>
      </w:r>
      <w:r>
        <w:rPr>
          <w:sz w:val="20"/>
        </w:rPr>
        <w:t>no</w:t>
      </w:r>
      <w:r>
        <w:rPr>
          <w:spacing w:val="-10"/>
          <w:sz w:val="20"/>
        </w:rPr>
        <w:t> </w:t>
      </w:r>
      <w:r>
        <w:rPr>
          <w:sz w:val="20"/>
        </w:rPr>
        <w:t>tienen</w:t>
      </w:r>
      <w:r>
        <w:rPr>
          <w:spacing w:val="-8"/>
          <w:sz w:val="20"/>
        </w:rPr>
        <w:t> </w:t>
      </w:r>
      <w:r>
        <w:rPr>
          <w:sz w:val="20"/>
        </w:rPr>
        <w:t>tratamiento</w:t>
      </w:r>
      <w:r>
        <w:rPr>
          <w:spacing w:val="-10"/>
          <w:sz w:val="20"/>
        </w:rPr>
        <w:t> </w:t>
      </w:r>
      <w:r>
        <w:rPr>
          <w:sz w:val="20"/>
        </w:rPr>
        <w:t>de</w:t>
      </w:r>
      <w:r>
        <w:rPr>
          <w:spacing w:val="-8"/>
          <w:sz w:val="20"/>
        </w:rPr>
        <w:t> </w:t>
      </w:r>
      <w:r>
        <w:rPr>
          <w:sz w:val="20"/>
        </w:rPr>
        <w:t>residuos”.</w:t>
      </w:r>
      <w:r>
        <w:rPr>
          <w:spacing w:val="-10"/>
          <w:sz w:val="20"/>
        </w:rPr>
        <w:t> </w:t>
      </w:r>
      <w:r>
        <w:rPr>
          <w:sz w:val="20"/>
        </w:rPr>
        <w:t>Agregó</w:t>
      </w:r>
      <w:r>
        <w:rPr>
          <w:spacing w:val="-10"/>
          <w:sz w:val="20"/>
        </w:rPr>
        <w:t> </w:t>
      </w:r>
      <w:r>
        <w:rPr>
          <w:sz w:val="20"/>
        </w:rPr>
        <w:t>que</w:t>
      </w:r>
      <w:r>
        <w:rPr>
          <w:spacing w:val="-8"/>
          <w:sz w:val="20"/>
        </w:rPr>
        <w:t> </w:t>
      </w:r>
      <w:r>
        <w:rPr>
          <w:sz w:val="20"/>
        </w:rPr>
        <w:t>“el</w:t>
      </w:r>
      <w:r>
        <w:rPr>
          <w:spacing w:val="-9"/>
          <w:sz w:val="20"/>
        </w:rPr>
        <w:t> </w:t>
      </w:r>
      <w:r>
        <w:rPr>
          <w:sz w:val="20"/>
        </w:rPr>
        <w:t>agua</w:t>
      </w:r>
      <w:r>
        <w:rPr>
          <w:spacing w:val="-9"/>
          <w:sz w:val="20"/>
        </w:rPr>
        <w:t> </w:t>
      </w:r>
      <w:r>
        <w:rPr>
          <w:sz w:val="20"/>
        </w:rPr>
        <w:t>para</w:t>
      </w:r>
      <w:r>
        <w:rPr>
          <w:spacing w:val="-7"/>
          <w:sz w:val="20"/>
        </w:rPr>
        <w:t> </w:t>
      </w:r>
      <w:r>
        <w:rPr>
          <w:sz w:val="20"/>
        </w:rPr>
        <w:t>consumo</w:t>
      </w:r>
      <w:r>
        <w:rPr>
          <w:spacing w:val="-10"/>
          <w:sz w:val="20"/>
        </w:rPr>
        <w:t> </w:t>
      </w:r>
      <w:r>
        <w:rPr>
          <w:sz w:val="20"/>
        </w:rPr>
        <w:t>tiende a ser compartida con […] criollos”, y que el agua a la que acceden las comunidades es de “cantidad</w:t>
      </w:r>
      <w:r>
        <w:rPr>
          <w:spacing w:val="-9"/>
          <w:sz w:val="20"/>
        </w:rPr>
        <w:t> </w:t>
      </w:r>
      <w:r>
        <w:rPr>
          <w:sz w:val="20"/>
        </w:rPr>
        <w:t>insuficiente”.</w:t>
      </w:r>
    </w:p>
    <w:p>
      <w:pPr>
        <w:pStyle w:val="BodyText"/>
        <w:spacing w:before="10"/>
        <w:rPr>
          <w:sz w:val="19"/>
        </w:rPr>
      </w:pPr>
    </w:p>
    <w:p>
      <w:pPr>
        <w:pStyle w:val="ListParagraph"/>
        <w:numPr>
          <w:ilvl w:val="0"/>
          <w:numId w:val="31"/>
        </w:numPr>
        <w:tabs>
          <w:tab w:pos="830" w:val="left" w:leader="none"/>
        </w:tabs>
        <w:spacing w:line="240" w:lineRule="auto" w:before="0" w:after="0"/>
        <w:ind w:left="122" w:right="105" w:firstLine="0"/>
        <w:jc w:val="both"/>
        <w:rPr>
          <w:sz w:val="20"/>
        </w:rPr>
      </w:pPr>
      <w:r>
        <w:rPr>
          <w:sz w:val="20"/>
        </w:rPr>
        <w:t>Sobre lo anterior, la Corte nota que tanto el Estado como los representantes</w:t>
      </w:r>
      <w:r>
        <w:rPr>
          <w:spacing w:val="-43"/>
          <w:sz w:val="20"/>
        </w:rPr>
        <w:t> </w:t>
      </w:r>
      <w:r>
        <w:rPr>
          <w:sz w:val="20"/>
        </w:rPr>
        <w:t>son contestes en sostener que ha habido cambios en la forma de vida de las comunidades indígenas, señalando los representantes “alteraciones” en sus “costumbres”, “hábitos sociales e individuales”, “prácticas económicas” y “concepciones” (</w:t>
      </w:r>
      <w:r>
        <w:rPr>
          <w:i/>
          <w:sz w:val="20"/>
        </w:rPr>
        <w:t>supra </w:t>
      </w:r>
      <w:r>
        <w:rPr>
          <w:sz w:val="20"/>
        </w:rPr>
        <w:t>párrs. 189 y 193).</w:t>
      </w:r>
    </w:p>
    <w:p>
      <w:pPr>
        <w:pStyle w:val="BodyText"/>
      </w:pPr>
    </w:p>
    <w:p>
      <w:pPr>
        <w:pStyle w:val="ListParagraph"/>
        <w:numPr>
          <w:ilvl w:val="0"/>
          <w:numId w:val="31"/>
        </w:numPr>
        <w:tabs>
          <w:tab w:pos="830" w:val="left" w:leader="none"/>
        </w:tabs>
        <w:spacing w:line="240" w:lineRule="auto" w:before="0" w:after="0"/>
        <w:ind w:left="122" w:right="101" w:firstLine="0"/>
        <w:jc w:val="both"/>
        <w:rPr>
          <w:sz w:val="20"/>
        </w:rPr>
      </w:pPr>
      <w:r>
        <w:rPr>
          <w:sz w:val="20"/>
        </w:rPr>
        <w:t>Ahora bien, en primer término, es preciso dejar sentado que, dado el carácter evolutivo y dinámico de la cultura, pautas culturales propias de los pueblos indígenas pueden</w:t>
      </w:r>
      <w:r>
        <w:rPr>
          <w:spacing w:val="-7"/>
          <w:sz w:val="20"/>
        </w:rPr>
        <w:t> </w:t>
      </w:r>
      <w:r>
        <w:rPr>
          <w:sz w:val="20"/>
        </w:rPr>
        <w:t>ir</w:t>
      </w:r>
      <w:r>
        <w:rPr>
          <w:spacing w:val="-7"/>
          <w:sz w:val="20"/>
        </w:rPr>
        <w:t> </w:t>
      </w:r>
      <w:r>
        <w:rPr>
          <w:sz w:val="20"/>
        </w:rPr>
        <w:t>modificándose</w:t>
      </w:r>
      <w:r>
        <w:rPr>
          <w:spacing w:val="-7"/>
          <w:sz w:val="20"/>
        </w:rPr>
        <w:t> </w:t>
      </w:r>
      <w:r>
        <w:rPr>
          <w:sz w:val="20"/>
        </w:rPr>
        <w:t>a</w:t>
      </w:r>
      <w:r>
        <w:rPr>
          <w:spacing w:val="-8"/>
          <w:sz w:val="20"/>
        </w:rPr>
        <w:t> </w:t>
      </w:r>
      <w:r>
        <w:rPr>
          <w:sz w:val="20"/>
        </w:rPr>
        <w:t>lo</w:t>
      </w:r>
      <w:r>
        <w:rPr>
          <w:spacing w:val="-9"/>
          <w:sz w:val="20"/>
        </w:rPr>
        <w:t> </w:t>
      </w:r>
      <w:r>
        <w:rPr>
          <w:sz w:val="20"/>
        </w:rPr>
        <w:t>largo</w:t>
      </w:r>
      <w:r>
        <w:rPr>
          <w:spacing w:val="-7"/>
          <w:sz w:val="20"/>
        </w:rPr>
        <w:t> </w:t>
      </w:r>
      <w:r>
        <w:rPr>
          <w:sz w:val="20"/>
        </w:rPr>
        <w:t>del</w:t>
      </w:r>
      <w:r>
        <w:rPr>
          <w:spacing w:val="-8"/>
          <w:sz w:val="20"/>
        </w:rPr>
        <w:t> </w:t>
      </w:r>
      <w:r>
        <w:rPr>
          <w:sz w:val="20"/>
        </w:rPr>
        <w:t>tiempo</w:t>
      </w:r>
      <w:r>
        <w:rPr>
          <w:spacing w:val="-7"/>
          <w:sz w:val="20"/>
        </w:rPr>
        <w:t> </w:t>
      </w:r>
      <w:r>
        <w:rPr>
          <w:sz w:val="20"/>
        </w:rPr>
        <w:t>y</w:t>
      </w:r>
      <w:r>
        <w:rPr>
          <w:spacing w:val="-6"/>
          <w:sz w:val="20"/>
        </w:rPr>
        <w:t> </w:t>
      </w:r>
      <w:r>
        <w:rPr>
          <w:sz w:val="20"/>
        </w:rPr>
        <w:t>a</w:t>
      </w:r>
      <w:r>
        <w:rPr>
          <w:spacing w:val="-8"/>
          <w:sz w:val="20"/>
        </w:rPr>
        <w:t> </w:t>
      </w:r>
      <w:r>
        <w:rPr>
          <w:sz w:val="20"/>
        </w:rPr>
        <w:t>partir</w:t>
      </w:r>
      <w:r>
        <w:rPr>
          <w:spacing w:val="-9"/>
          <w:sz w:val="20"/>
        </w:rPr>
        <w:t> </w:t>
      </w:r>
      <w:r>
        <w:rPr>
          <w:sz w:val="20"/>
        </w:rPr>
        <w:t>de</w:t>
      </w:r>
      <w:r>
        <w:rPr>
          <w:spacing w:val="-7"/>
          <w:sz w:val="20"/>
        </w:rPr>
        <w:t> </w:t>
      </w:r>
      <w:r>
        <w:rPr>
          <w:sz w:val="20"/>
        </w:rPr>
        <w:t>su</w:t>
      </w:r>
      <w:r>
        <w:rPr>
          <w:spacing w:val="-7"/>
          <w:sz w:val="20"/>
        </w:rPr>
        <w:t> </w:t>
      </w:r>
      <w:r>
        <w:rPr>
          <w:sz w:val="20"/>
        </w:rPr>
        <w:t>contacto</w:t>
      </w:r>
      <w:r>
        <w:rPr>
          <w:spacing w:val="-6"/>
          <w:sz w:val="20"/>
        </w:rPr>
        <w:t> </w:t>
      </w:r>
      <w:r>
        <w:rPr>
          <w:sz w:val="20"/>
        </w:rPr>
        <w:t>con</w:t>
      </w:r>
      <w:r>
        <w:rPr>
          <w:spacing w:val="-7"/>
          <w:sz w:val="20"/>
        </w:rPr>
        <w:t> </w:t>
      </w:r>
      <w:r>
        <w:rPr>
          <w:sz w:val="20"/>
        </w:rPr>
        <w:t>otros</w:t>
      </w:r>
      <w:r>
        <w:rPr>
          <w:spacing w:val="-9"/>
          <w:sz w:val="20"/>
        </w:rPr>
        <w:t> </w:t>
      </w:r>
      <w:r>
        <w:rPr>
          <w:sz w:val="20"/>
        </w:rPr>
        <w:t>grupos humanos. Desde luego, ello no priva a los pueblos respectivos de su carácter indígena. A su vez, esta característica dinámica no puede, por sí misma, llevar a negar la ocurrencia,</w:t>
      </w:r>
      <w:r>
        <w:rPr>
          <w:spacing w:val="-12"/>
          <w:sz w:val="20"/>
        </w:rPr>
        <w:t> </w:t>
      </w:r>
      <w:r>
        <w:rPr>
          <w:sz w:val="20"/>
        </w:rPr>
        <w:t>según</w:t>
      </w:r>
      <w:r>
        <w:rPr>
          <w:spacing w:val="-13"/>
          <w:sz w:val="20"/>
        </w:rPr>
        <w:t> </w:t>
      </w:r>
      <w:r>
        <w:rPr>
          <w:sz w:val="20"/>
        </w:rPr>
        <w:t>los</w:t>
      </w:r>
      <w:r>
        <w:rPr>
          <w:spacing w:val="-13"/>
          <w:sz w:val="20"/>
        </w:rPr>
        <w:t> </w:t>
      </w:r>
      <w:r>
        <w:rPr>
          <w:sz w:val="20"/>
        </w:rPr>
        <w:t>casos,</w:t>
      </w:r>
      <w:r>
        <w:rPr>
          <w:spacing w:val="-15"/>
          <w:sz w:val="20"/>
        </w:rPr>
        <w:t> </w:t>
      </w:r>
      <w:r>
        <w:rPr>
          <w:sz w:val="20"/>
        </w:rPr>
        <w:t>de</w:t>
      </w:r>
      <w:r>
        <w:rPr>
          <w:spacing w:val="-13"/>
          <w:sz w:val="20"/>
        </w:rPr>
        <w:t> </w:t>
      </w:r>
      <w:r>
        <w:rPr>
          <w:sz w:val="20"/>
        </w:rPr>
        <w:t>reales</w:t>
      </w:r>
      <w:r>
        <w:rPr>
          <w:spacing w:val="-15"/>
          <w:sz w:val="20"/>
        </w:rPr>
        <w:t> </w:t>
      </w:r>
      <w:r>
        <w:rPr>
          <w:sz w:val="20"/>
        </w:rPr>
        <w:t>daños</w:t>
      </w:r>
      <w:r>
        <w:rPr>
          <w:spacing w:val="-15"/>
          <w:sz w:val="20"/>
        </w:rPr>
        <w:t> </w:t>
      </w:r>
      <w:r>
        <w:rPr>
          <w:sz w:val="20"/>
        </w:rPr>
        <w:t>a</w:t>
      </w:r>
      <w:r>
        <w:rPr>
          <w:spacing w:val="-12"/>
          <w:sz w:val="20"/>
        </w:rPr>
        <w:t> </w:t>
      </w:r>
      <w:r>
        <w:rPr>
          <w:sz w:val="20"/>
        </w:rPr>
        <w:t>la</w:t>
      </w:r>
      <w:r>
        <w:rPr>
          <w:spacing w:val="-12"/>
          <w:sz w:val="20"/>
        </w:rPr>
        <w:t> </w:t>
      </w:r>
      <w:r>
        <w:rPr>
          <w:sz w:val="20"/>
        </w:rPr>
        <w:t>identidad</w:t>
      </w:r>
      <w:r>
        <w:rPr>
          <w:spacing w:val="-13"/>
          <w:sz w:val="20"/>
        </w:rPr>
        <w:t> </w:t>
      </w:r>
      <w:r>
        <w:rPr>
          <w:sz w:val="20"/>
        </w:rPr>
        <w:t>cultural.</w:t>
      </w:r>
      <w:r>
        <w:rPr>
          <w:spacing w:val="-13"/>
          <w:sz w:val="20"/>
        </w:rPr>
        <w:t> </w:t>
      </w:r>
      <w:r>
        <w:rPr>
          <w:sz w:val="20"/>
        </w:rPr>
        <w:t>En</w:t>
      </w:r>
      <w:r>
        <w:rPr>
          <w:spacing w:val="-13"/>
          <w:sz w:val="20"/>
        </w:rPr>
        <w:t> </w:t>
      </w:r>
      <w:r>
        <w:rPr>
          <w:sz w:val="20"/>
        </w:rPr>
        <w:t>las</w:t>
      </w:r>
      <w:r>
        <w:rPr>
          <w:spacing w:val="-15"/>
          <w:sz w:val="20"/>
        </w:rPr>
        <w:t> </w:t>
      </w:r>
      <w:r>
        <w:rPr>
          <w:sz w:val="20"/>
        </w:rPr>
        <w:t>circunstancias del caso, los cambios en la forma de vida de las comunidades, advertidos tanto por el Estado</w:t>
      </w:r>
      <w:r>
        <w:rPr>
          <w:spacing w:val="-10"/>
          <w:sz w:val="20"/>
        </w:rPr>
        <w:t> </w:t>
      </w:r>
      <w:r>
        <w:rPr>
          <w:sz w:val="20"/>
        </w:rPr>
        <w:t>como</w:t>
      </w:r>
      <w:r>
        <w:rPr>
          <w:spacing w:val="-9"/>
          <w:sz w:val="20"/>
        </w:rPr>
        <w:t> </w:t>
      </w:r>
      <w:r>
        <w:rPr>
          <w:sz w:val="20"/>
        </w:rPr>
        <w:t>por</w:t>
      </w:r>
      <w:r>
        <w:rPr>
          <w:spacing w:val="-10"/>
          <w:sz w:val="20"/>
        </w:rPr>
        <w:t> </w:t>
      </w:r>
      <w:r>
        <w:rPr>
          <w:sz w:val="20"/>
        </w:rPr>
        <w:t>los</w:t>
      </w:r>
      <w:r>
        <w:rPr>
          <w:spacing w:val="-7"/>
          <w:sz w:val="20"/>
        </w:rPr>
        <w:t> </w:t>
      </w:r>
      <w:r>
        <w:rPr>
          <w:sz w:val="20"/>
        </w:rPr>
        <w:t>representantes,</w:t>
      </w:r>
      <w:r>
        <w:rPr>
          <w:spacing w:val="-10"/>
          <w:sz w:val="20"/>
        </w:rPr>
        <w:t> </w:t>
      </w:r>
      <w:r>
        <w:rPr>
          <w:sz w:val="20"/>
        </w:rPr>
        <w:t>han</w:t>
      </w:r>
      <w:r>
        <w:rPr>
          <w:spacing w:val="-8"/>
          <w:sz w:val="20"/>
        </w:rPr>
        <w:t> </w:t>
      </w:r>
      <w:r>
        <w:rPr>
          <w:sz w:val="20"/>
        </w:rPr>
        <w:t>estado</w:t>
      </w:r>
      <w:r>
        <w:rPr>
          <w:spacing w:val="-8"/>
          <w:sz w:val="20"/>
        </w:rPr>
        <w:t> </w:t>
      </w:r>
      <w:r>
        <w:rPr>
          <w:sz w:val="20"/>
        </w:rPr>
        <w:t>relacionados</w:t>
      </w:r>
      <w:r>
        <w:rPr>
          <w:spacing w:val="-10"/>
          <w:sz w:val="20"/>
        </w:rPr>
        <w:t> </w:t>
      </w:r>
      <w:r>
        <w:rPr>
          <w:sz w:val="20"/>
        </w:rPr>
        <w:t>con</w:t>
      </w:r>
      <w:r>
        <w:rPr>
          <w:spacing w:val="-8"/>
          <w:sz w:val="20"/>
        </w:rPr>
        <w:t> </w:t>
      </w:r>
      <w:r>
        <w:rPr>
          <w:sz w:val="20"/>
        </w:rPr>
        <w:t>la</w:t>
      </w:r>
      <w:r>
        <w:rPr>
          <w:spacing w:val="-9"/>
          <w:sz w:val="20"/>
        </w:rPr>
        <w:t> </w:t>
      </w:r>
      <w:r>
        <w:rPr>
          <w:sz w:val="20"/>
        </w:rPr>
        <w:t>interferencia,</w:t>
      </w:r>
      <w:r>
        <w:rPr>
          <w:spacing w:val="-7"/>
          <w:sz w:val="20"/>
        </w:rPr>
        <w:t> </w:t>
      </w:r>
      <w:r>
        <w:rPr>
          <w:sz w:val="20"/>
        </w:rPr>
        <w:t>en</w:t>
      </w:r>
      <w:r>
        <w:rPr>
          <w:spacing w:val="-8"/>
          <w:sz w:val="20"/>
        </w:rPr>
        <w:t> </w:t>
      </w:r>
      <w:r>
        <w:rPr>
          <w:sz w:val="20"/>
        </w:rPr>
        <w:t>su territorio, de pobladores no indígenas y actividades ajenas a sus costumbres tradicionales. Esta interferencia, que nunca fue consentida por las comunidades, sino que se enmarcó en una lesión al libre disfrute de su territorio ancestral, afectó bienes naturales o ambientales de dicho territorio, incidiendo en el modo tradicional de alimentación de las comunidades indígenas y en su acceso al agua. En este marco, las alteraciones</w:t>
      </w:r>
      <w:r>
        <w:rPr>
          <w:spacing w:val="-10"/>
          <w:sz w:val="20"/>
        </w:rPr>
        <w:t> </w:t>
      </w:r>
      <w:r>
        <w:rPr>
          <w:sz w:val="20"/>
        </w:rPr>
        <w:t>a</w:t>
      </w:r>
      <w:r>
        <w:rPr>
          <w:spacing w:val="-9"/>
          <w:sz w:val="20"/>
        </w:rPr>
        <w:t> </w:t>
      </w:r>
      <w:r>
        <w:rPr>
          <w:sz w:val="20"/>
        </w:rPr>
        <w:t>la</w:t>
      </w:r>
      <w:r>
        <w:rPr>
          <w:spacing w:val="-9"/>
          <w:sz w:val="20"/>
        </w:rPr>
        <w:t> </w:t>
      </w:r>
      <w:r>
        <w:rPr>
          <w:sz w:val="20"/>
        </w:rPr>
        <w:t>forma</w:t>
      </w:r>
      <w:r>
        <w:rPr>
          <w:spacing w:val="-6"/>
          <w:sz w:val="20"/>
        </w:rPr>
        <w:t> </w:t>
      </w:r>
      <w:r>
        <w:rPr>
          <w:sz w:val="20"/>
        </w:rPr>
        <w:t>de</w:t>
      </w:r>
      <w:r>
        <w:rPr>
          <w:spacing w:val="-10"/>
          <w:sz w:val="20"/>
        </w:rPr>
        <w:t> </w:t>
      </w:r>
      <w:r>
        <w:rPr>
          <w:sz w:val="20"/>
        </w:rPr>
        <w:t>vida</w:t>
      </w:r>
      <w:r>
        <w:rPr>
          <w:spacing w:val="-9"/>
          <w:sz w:val="20"/>
        </w:rPr>
        <w:t> </w:t>
      </w:r>
      <w:r>
        <w:rPr>
          <w:sz w:val="20"/>
        </w:rPr>
        <w:t>indígena</w:t>
      </w:r>
      <w:r>
        <w:rPr>
          <w:spacing w:val="-9"/>
          <w:sz w:val="20"/>
        </w:rPr>
        <w:t> </w:t>
      </w:r>
      <w:r>
        <w:rPr>
          <w:sz w:val="20"/>
        </w:rPr>
        <w:t>no</w:t>
      </w:r>
      <w:r>
        <w:rPr>
          <w:spacing w:val="-10"/>
          <w:sz w:val="20"/>
        </w:rPr>
        <w:t> </w:t>
      </w:r>
      <w:r>
        <w:rPr>
          <w:sz w:val="20"/>
        </w:rPr>
        <w:t>pueden</w:t>
      </w:r>
      <w:r>
        <w:rPr>
          <w:spacing w:val="-8"/>
          <w:sz w:val="20"/>
        </w:rPr>
        <w:t> </w:t>
      </w:r>
      <w:r>
        <w:rPr>
          <w:sz w:val="20"/>
        </w:rPr>
        <w:t>ser</w:t>
      </w:r>
      <w:r>
        <w:rPr>
          <w:spacing w:val="-8"/>
          <w:sz w:val="20"/>
        </w:rPr>
        <w:t> </w:t>
      </w:r>
      <w:r>
        <w:rPr>
          <w:sz w:val="20"/>
        </w:rPr>
        <w:t>vistas,</w:t>
      </w:r>
      <w:r>
        <w:rPr>
          <w:spacing w:val="-7"/>
          <w:sz w:val="20"/>
        </w:rPr>
        <w:t> </w:t>
      </w:r>
      <w:r>
        <w:rPr>
          <w:sz w:val="20"/>
        </w:rPr>
        <w:t>como</w:t>
      </w:r>
      <w:r>
        <w:rPr>
          <w:spacing w:val="-9"/>
          <w:sz w:val="20"/>
        </w:rPr>
        <w:t> </w:t>
      </w:r>
      <w:r>
        <w:rPr>
          <w:sz w:val="20"/>
        </w:rPr>
        <w:t>pretende</w:t>
      </w:r>
      <w:r>
        <w:rPr>
          <w:spacing w:val="-8"/>
          <w:sz w:val="20"/>
        </w:rPr>
        <w:t> </w:t>
      </w:r>
      <w:r>
        <w:rPr>
          <w:sz w:val="20"/>
        </w:rPr>
        <w:t>el</w:t>
      </w:r>
      <w:r>
        <w:rPr>
          <w:spacing w:val="-9"/>
          <w:sz w:val="20"/>
        </w:rPr>
        <w:t> </w:t>
      </w:r>
      <w:r>
        <w:rPr>
          <w:sz w:val="20"/>
        </w:rPr>
        <w:t>Estado,</w:t>
      </w:r>
    </w:p>
    <w:p>
      <w:pPr>
        <w:pStyle w:val="BodyText"/>
        <w:spacing w:before="1"/>
        <w:rPr>
          <w:sz w:val="19"/>
        </w:rPr>
      </w:pPr>
      <w:r>
        <w:rPr/>
        <w:pict>
          <v:line style="position:absolute;mso-position-horizontal-relative:page;mso-position-vertical-relative:paragraph;z-index:3256;mso-wrap-distance-left:0;mso-wrap-distance-right:0" from="85.103996pt,13.94173pt" to="229.123996pt,13.94173pt" stroked="true" strokeweight=".72003pt" strokecolor="#000000">
            <v:stroke dashstyle="solid"/>
            <w10:wrap type="topAndBottom"/>
          </v:line>
        </w:pict>
      </w:r>
    </w:p>
    <w:p>
      <w:pPr>
        <w:tabs>
          <w:tab w:pos="829" w:val="left" w:leader="none"/>
        </w:tabs>
        <w:spacing w:before="71"/>
        <w:ind w:left="122" w:right="99" w:firstLine="0"/>
        <w:jc w:val="both"/>
        <w:rPr>
          <w:sz w:val="16"/>
        </w:rPr>
      </w:pPr>
      <w:r>
        <w:rPr>
          <w:position w:val="6"/>
          <w:sz w:val="10"/>
        </w:rPr>
        <w:t>290</w:t>
        <w:tab/>
      </w:r>
      <w:r>
        <w:rPr>
          <w:sz w:val="16"/>
        </w:rPr>
        <w:t>Destacó  que  dicha  “ilegalidad”  hizo  que  “otras  personas  contratasen  a  los  </w:t>
      </w:r>
      <w:r>
        <w:rPr>
          <w:spacing w:val="53"/>
          <w:sz w:val="16"/>
        </w:rPr>
        <w:t> </w:t>
      </w:r>
      <w:r>
        <w:rPr>
          <w:sz w:val="16"/>
        </w:rPr>
        <w:t>indígenas, </w:t>
      </w:r>
      <w:r>
        <w:rPr>
          <w:spacing w:val="10"/>
          <w:sz w:val="16"/>
        </w:rPr>
        <w:t> </w:t>
      </w:r>
      <w:r>
        <w:rPr>
          <w:sz w:val="16"/>
        </w:rPr>
        <w:t>como</w:t>
      </w:r>
      <w:r>
        <w:rPr>
          <w:w w:val="100"/>
          <w:sz w:val="16"/>
        </w:rPr>
        <w:t> </w:t>
      </w:r>
      <w:r>
        <w:rPr>
          <w:sz w:val="16"/>
        </w:rPr>
        <w:t>trabajadores mal pagados, para sacar madera de sus propias tierras”, y que las “comunidades se vieron impedidas de llevar adelante un plan de manejo del bosque, y no pudieron gestionar apoyo técnico para planificar su propio ordenamiento</w:t>
      </w:r>
      <w:r>
        <w:rPr>
          <w:spacing w:val="-15"/>
          <w:sz w:val="16"/>
        </w:rPr>
        <w:t> </w:t>
      </w:r>
      <w:r>
        <w:rPr>
          <w:sz w:val="16"/>
        </w:rPr>
        <w:t>territorial”.</w:t>
      </w:r>
    </w:p>
    <w:p>
      <w:pPr>
        <w:spacing w:after="0"/>
        <w:jc w:val="both"/>
        <w:rPr>
          <w:sz w:val="16"/>
        </w:rPr>
        <w:sectPr>
          <w:pgSz w:w="12240" w:h="15840"/>
          <w:pgMar w:header="0" w:footer="1000" w:top="1340" w:bottom="1200" w:left="1580" w:right="1600"/>
        </w:sectPr>
      </w:pPr>
    </w:p>
    <w:p>
      <w:pPr>
        <w:pStyle w:val="BodyText"/>
        <w:spacing w:before="76"/>
        <w:ind w:left="122" w:right="111"/>
        <w:jc w:val="both"/>
      </w:pPr>
      <w:r>
        <w:rPr/>
        <w:t>como introducidas por las propias comunidades, como si hubiera sido el resultado de una</w:t>
      </w:r>
      <w:r>
        <w:rPr>
          <w:spacing w:val="-11"/>
        </w:rPr>
        <w:t> </w:t>
      </w:r>
      <w:r>
        <w:rPr/>
        <w:t>determinación</w:t>
      </w:r>
      <w:r>
        <w:rPr>
          <w:spacing w:val="-8"/>
        </w:rPr>
        <w:t> </w:t>
      </w:r>
      <w:r>
        <w:rPr/>
        <w:t>deliberada</w:t>
      </w:r>
      <w:r>
        <w:rPr>
          <w:spacing w:val="-9"/>
        </w:rPr>
        <w:t> </w:t>
      </w:r>
      <w:r>
        <w:rPr/>
        <w:t>y</w:t>
      </w:r>
      <w:r>
        <w:rPr>
          <w:spacing w:val="-10"/>
        </w:rPr>
        <w:t> </w:t>
      </w:r>
      <w:r>
        <w:rPr/>
        <w:t>voluntaria.</w:t>
      </w:r>
      <w:r>
        <w:rPr>
          <w:spacing w:val="-9"/>
        </w:rPr>
        <w:t> </w:t>
      </w:r>
      <w:r>
        <w:rPr/>
        <w:t>Por</w:t>
      </w:r>
      <w:r>
        <w:rPr>
          <w:spacing w:val="-8"/>
        </w:rPr>
        <w:t> </w:t>
      </w:r>
      <w:r>
        <w:rPr/>
        <w:t>ello,</w:t>
      </w:r>
      <w:r>
        <w:rPr>
          <w:spacing w:val="-10"/>
        </w:rPr>
        <w:t> </w:t>
      </w:r>
      <w:r>
        <w:rPr/>
        <w:t>ha</w:t>
      </w:r>
      <w:r>
        <w:rPr>
          <w:spacing w:val="-9"/>
        </w:rPr>
        <w:t> </w:t>
      </w:r>
      <w:r>
        <w:rPr/>
        <w:t>existido</w:t>
      </w:r>
      <w:r>
        <w:rPr>
          <w:spacing w:val="-10"/>
        </w:rPr>
        <w:t> </w:t>
      </w:r>
      <w:r>
        <w:rPr/>
        <w:t>una</w:t>
      </w:r>
      <w:r>
        <w:rPr>
          <w:spacing w:val="-11"/>
        </w:rPr>
        <w:t> </w:t>
      </w:r>
      <w:r>
        <w:rPr/>
        <w:t>lesión</w:t>
      </w:r>
      <w:r>
        <w:rPr>
          <w:spacing w:val="-10"/>
        </w:rPr>
        <w:t> </w:t>
      </w:r>
      <w:r>
        <w:rPr/>
        <w:t>a</w:t>
      </w:r>
      <w:r>
        <w:rPr>
          <w:spacing w:val="-9"/>
        </w:rPr>
        <w:t> </w:t>
      </w:r>
      <w:r>
        <w:rPr/>
        <w:t>la</w:t>
      </w:r>
      <w:r>
        <w:rPr>
          <w:spacing w:val="-11"/>
        </w:rPr>
        <w:t> </w:t>
      </w:r>
      <w:r>
        <w:rPr/>
        <w:t>identidad cultural relacionada con recursos naturales y</w:t>
      </w:r>
      <w:r>
        <w:rPr>
          <w:spacing w:val="-22"/>
        </w:rPr>
        <w:t> </w:t>
      </w:r>
      <w:r>
        <w:rPr/>
        <w:t>alimentarios.</w:t>
      </w:r>
    </w:p>
    <w:p>
      <w:pPr>
        <w:pStyle w:val="BodyText"/>
      </w:pPr>
    </w:p>
    <w:p>
      <w:pPr>
        <w:pStyle w:val="ListParagraph"/>
        <w:numPr>
          <w:ilvl w:val="0"/>
          <w:numId w:val="31"/>
        </w:numPr>
        <w:tabs>
          <w:tab w:pos="830" w:val="left" w:leader="none"/>
        </w:tabs>
        <w:spacing w:line="240" w:lineRule="auto" w:before="0" w:after="0"/>
        <w:ind w:left="122" w:right="103" w:firstLine="0"/>
        <w:jc w:val="both"/>
        <w:rPr>
          <w:sz w:val="20"/>
        </w:rPr>
      </w:pPr>
      <w:r>
        <w:rPr>
          <w:sz w:val="20"/>
        </w:rPr>
        <w:t>La perita Buliubasich llamó la atención sobre la gravedad de la situación, expresando que en la medida en que esa solución no se presenta, criollos e indígenas requieren cada vez mayor territorio. Expresó</w:t>
      </w:r>
      <w:r>
        <w:rPr>
          <w:spacing w:val="-17"/>
          <w:sz w:val="20"/>
        </w:rPr>
        <w:t> </w:t>
      </w:r>
      <w:r>
        <w:rPr>
          <w:sz w:val="20"/>
        </w:rPr>
        <w:t>que:</w:t>
      </w:r>
    </w:p>
    <w:p>
      <w:pPr>
        <w:pStyle w:val="BodyText"/>
        <w:spacing w:before="12"/>
        <w:rPr>
          <w:sz w:val="19"/>
        </w:rPr>
      </w:pPr>
    </w:p>
    <w:p>
      <w:pPr>
        <w:spacing w:before="0"/>
        <w:ind w:left="263" w:right="288" w:firstLine="0"/>
        <w:jc w:val="both"/>
        <w:rPr>
          <w:sz w:val="16"/>
        </w:rPr>
      </w:pPr>
      <w:r>
        <w:rPr>
          <w:sz w:val="16"/>
        </w:rPr>
        <w:t>[l]La</w:t>
      </w:r>
      <w:r>
        <w:rPr>
          <w:spacing w:val="-2"/>
          <w:sz w:val="16"/>
        </w:rPr>
        <w:t> </w:t>
      </w:r>
      <w:r>
        <w:rPr>
          <w:sz w:val="16"/>
        </w:rPr>
        <w:t>primera</w:t>
      </w:r>
      <w:r>
        <w:rPr>
          <w:spacing w:val="-4"/>
          <w:sz w:val="16"/>
        </w:rPr>
        <w:t> </w:t>
      </w:r>
      <w:r>
        <w:rPr>
          <w:sz w:val="16"/>
        </w:rPr>
        <w:t>víctima</w:t>
      </w:r>
      <w:r>
        <w:rPr>
          <w:spacing w:val="-2"/>
          <w:sz w:val="16"/>
        </w:rPr>
        <w:t> </w:t>
      </w:r>
      <w:r>
        <w:rPr>
          <w:sz w:val="16"/>
        </w:rPr>
        <w:t>[de</w:t>
      </w:r>
      <w:r>
        <w:rPr>
          <w:spacing w:val="-4"/>
          <w:sz w:val="16"/>
        </w:rPr>
        <w:t> </w:t>
      </w:r>
      <w:r>
        <w:rPr>
          <w:sz w:val="16"/>
        </w:rPr>
        <w:t>lo</w:t>
      </w:r>
      <w:r>
        <w:rPr>
          <w:spacing w:val="-3"/>
          <w:sz w:val="16"/>
        </w:rPr>
        <w:t> </w:t>
      </w:r>
      <w:r>
        <w:rPr>
          <w:sz w:val="16"/>
        </w:rPr>
        <w:t>anterior]</w:t>
      </w:r>
      <w:r>
        <w:rPr>
          <w:spacing w:val="-5"/>
          <w:sz w:val="16"/>
        </w:rPr>
        <w:t> </w:t>
      </w:r>
      <w:r>
        <w:rPr>
          <w:sz w:val="16"/>
        </w:rPr>
        <w:t>es</w:t>
      </w:r>
      <w:r>
        <w:rPr>
          <w:spacing w:val="-3"/>
          <w:sz w:val="16"/>
        </w:rPr>
        <w:t> </w:t>
      </w:r>
      <w:r>
        <w:rPr>
          <w:sz w:val="16"/>
        </w:rPr>
        <w:t>el</w:t>
      </w:r>
      <w:r>
        <w:rPr>
          <w:spacing w:val="-4"/>
          <w:sz w:val="16"/>
        </w:rPr>
        <w:t> </w:t>
      </w:r>
      <w:r>
        <w:rPr>
          <w:sz w:val="16"/>
        </w:rPr>
        <w:t>aborigen,</w:t>
      </w:r>
      <w:r>
        <w:rPr>
          <w:spacing w:val="-5"/>
          <w:sz w:val="16"/>
        </w:rPr>
        <w:t> </w:t>
      </w:r>
      <w:r>
        <w:rPr>
          <w:sz w:val="16"/>
        </w:rPr>
        <w:t>quien</w:t>
      </w:r>
      <w:r>
        <w:rPr>
          <w:spacing w:val="-4"/>
          <w:sz w:val="16"/>
        </w:rPr>
        <w:t> </w:t>
      </w:r>
      <w:r>
        <w:rPr>
          <w:sz w:val="16"/>
        </w:rPr>
        <w:t>privado</w:t>
      </w:r>
      <w:r>
        <w:rPr>
          <w:spacing w:val="-5"/>
          <w:sz w:val="16"/>
        </w:rPr>
        <w:t> </w:t>
      </w:r>
      <w:r>
        <w:rPr>
          <w:sz w:val="16"/>
        </w:rPr>
        <w:t>de</w:t>
      </w:r>
      <w:r>
        <w:rPr>
          <w:spacing w:val="-4"/>
          <w:sz w:val="16"/>
        </w:rPr>
        <w:t> </w:t>
      </w:r>
      <w:r>
        <w:rPr>
          <w:sz w:val="16"/>
        </w:rPr>
        <w:t>los</w:t>
      </w:r>
      <w:r>
        <w:rPr>
          <w:spacing w:val="-5"/>
          <w:sz w:val="16"/>
        </w:rPr>
        <w:t> </w:t>
      </w:r>
      <w:r>
        <w:rPr>
          <w:sz w:val="16"/>
        </w:rPr>
        <w:t>recursos</w:t>
      </w:r>
      <w:r>
        <w:rPr>
          <w:spacing w:val="-1"/>
          <w:sz w:val="16"/>
        </w:rPr>
        <w:t> </w:t>
      </w:r>
      <w:r>
        <w:rPr>
          <w:sz w:val="16"/>
        </w:rPr>
        <w:t>alimenticios</w:t>
      </w:r>
      <w:r>
        <w:rPr>
          <w:spacing w:val="-1"/>
          <w:sz w:val="16"/>
        </w:rPr>
        <w:t> </w:t>
      </w:r>
      <w:r>
        <w:rPr>
          <w:sz w:val="16"/>
        </w:rPr>
        <w:t>del</w:t>
      </w:r>
      <w:r>
        <w:rPr>
          <w:spacing w:val="-2"/>
          <w:sz w:val="16"/>
        </w:rPr>
        <w:t> </w:t>
      </w:r>
      <w:r>
        <w:rPr>
          <w:sz w:val="16"/>
        </w:rPr>
        <w:t>monte no podrá sobrevivir. Tampoco tiene posibilidades de migración, por haber llegado a un sector de arrinconamiento, ni se encuentra preparado para una migración a centros urbanos. […] El destino es simplemente el hambre, con sus etapas de desnutrición, enfermedades y muerte. En un medio ambiente degradado no habrá animales y plantas alimenticias, frutos que explotar y vender[….] En este escenario, se destruye un territorio culturalmente significado, la cosmovisión y la diversidad</w:t>
      </w:r>
      <w:r>
        <w:rPr>
          <w:spacing w:val="-35"/>
          <w:sz w:val="16"/>
        </w:rPr>
        <w:t> </w:t>
      </w:r>
      <w:r>
        <w:rPr>
          <w:sz w:val="16"/>
        </w:rPr>
        <w:t>lingüística.</w:t>
      </w:r>
    </w:p>
    <w:p>
      <w:pPr>
        <w:pStyle w:val="BodyText"/>
        <w:spacing w:before="11"/>
        <w:rPr>
          <w:sz w:val="19"/>
        </w:rPr>
      </w:pPr>
    </w:p>
    <w:p>
      <w:pPr>
        <w:pStyle w:val="BodyText"/>
        <w:spacing w:before="1"/>
        <w:ind w:left="122" w:right="100"/>
        <w:jc w:val="both"/>
      </w:pPr>
      <w:r>
        <w:rPr/>
        <w:t>La perita mencionó como “segunda víctima” al “criollo”, que se ve empobrecido y cuyo futuro previsible es la migración a centros urbanos; como “tercera víctima” identificó al “ambiente[,…] al transformarse el monte en desierto, con pérdida de recursos valiosos y de la biodiversidad”.</w:t>
      </w:r>
    </w:p>
    <w:p>
      <w:pPr>
        <w:pStyle w:val="BodyText"/>
        <w:spacing w:before="10"/>
        <w:rPr>
          <w:sz w:val="19"/>
        </w:rPr>
      </w:pPr>
    </w:p>
    <w:p>
      <w:pPr>
        <w:pStyle w:val="ListParagraph"/>
        <w:numPr>
          <w:ilvl w:val="0"/>
          <w:numId w:val="31"/>
        </w:numPr>
        <w:tabs>
          <w:tab w:pos="830" w:val="left" w:leader="none"/>
        </w:tabs>
        <w:spacing w:line="240" w:lineRule="auto" w:before="1" w:after="0"/>
        <w:ind w:left="122" w:right="107" w:firstLine="0"/>
        <w:jc w:val="both"/>
        <w:rPr>
          <w:sz w:val="20"/>
        </w:rPr>
      </w:pPr>
      <w:r>
        <w:rPr>
          <w:sz w:val="20"/>
        </w:rPr>
        <w:t>Establecido lo anterior, corresponde examinar si el Estado tiene responsabilidad en tal</w:t>
      </w:r>
      <w:r>
        <w:rPr>
          <w:spacing w:val="-8"/>
          <w:sz w:val="20"/>
        </w:rPr>
        <w:t> </w:t>
      </w:r>
      <w:r>
        <w:rPr>
          <w:sz w:val="20"/>
        </w:rPr>
        <w:t>lesión.</w:t>
      </w:r>
    </w:p>
    <w:p>
      <w:pPr>
        <w:pStyle w:val="BodyText"/>
        <w:spacing w:before="10"/>
        <w:rPr>
          <w:sz w:val="19"/>
        </w:rPr>
      </w:pPr>
    </w:p>
    <w:p>
      <w:pPr>
        <w:pStyle w:val="ListParagraph"/>
        <w:numPr>
          <w:ilvl w:val="0"/>
          <w:numId w:val="31"/>
        </w:numPr>
        <w:tabs>
          <w:tab w:pos="830" w:val="left" w:leader="none"/>
        </w:tabs>
        <w:spacing w:line="240" w:lineRule="auto" w:before="1" w:after="0"/>
        <w:ind w:left="122" w:right="103" w:firstLine="0"/>
        <w:jc w:val="both"/>
        <w:rPr>
          <w:sz w:val="20"/>
        </w:rPr>
      </w:pPr>
      <w:r>
        <w:rPr>
          <w:sz w:val="20"/>
        </w:rPr>
        <w:t>Es</w:t>
      </w:r>
      <w:r>
        <w:rPr>
          <w:spacing w:val="-18"/>
          <w:sz w:val="20"/>
        </w:rPr>
        <w:t> </w:t>
      </w:r>
      <w:r>
        <w:rPr>
          <w:sz w:val="20"/>
        </w:rPr>
        <w:t>evidente,</w:t>
      </w:r>
      <w:r>
        <w:rPr>
          <w:spacing w:val="-18"/>
          <w:sz w:val="20"/>
        </w:rPr>
        <w:t> </w:t>
      </w:r>
      <w:r>
        <w:rPr>
          <w:sz w:val="20"/>
        </w:rPr>
        <w:t>a</w:t>
      </w:r>
      <w:r>
        <w:rPr>
          <w:spacing w:val="-15"/>
          <w:sz w:val="20"/>
        </w:rPr>
        <w:t> </w:t>
      </w:r>
      <w:r>
        <w:rPr>
          <w:sz w:val="20"/>
        </w:rPr>
        <w:t>partir</w:t>
      </w:r>
      <w:r>
        <w:rPr>
          <w:spacing w:val="-16"/>
          <w:sz w:val="20"/>
        </w:rPr>
        <w:t> </w:t>
      </w:r>
      <w:r>
        <w:rPr>
          <w:sz w:val="20"/>
        </w:rPr>
        <w:t>de</w:t>
      </w:r>
      <w:r>
        <w:rPr>
          <w:spacing w:val="-19"/>
          <w:sz w:val="20"/>
        </w:rPr>
        <w:t> </w:t>
      </w:r>
      <w:r>
        <w:rPr>
          <w:sz w:val="20"/>
        </w:rPr>
        <w:t>los</w:t>
      </w:r>
      <w:r>
        <w:rPr>
          <w:spacing w:val="-18"/>
          <w:sz w:val="20"/>
        </w:rPr>
        <w:t> </w:t>
      </w:r>
      <w:r>
        <w:rPr>
          <w:sz w:val="20"/>
        </w:rPr>
        <w:t>hechos,</w:t>
      </w:r>
      <w:r>
        <w:rPr>
          <w:spacing w:val="-19"/>
          <w:sz w:val="20"/>
        </w:rPr>
        <w:t> </w:t>
      </w:r>
      <w:r>
        <w:rPr>
          <w:sz w:val="20"/>
        </w:rPr>
        <w:t>que</w:t>
      </w:r>
      <w:r>
        <w:rPr>
          <w:spacing w:val="-19"/>
          <w:sz w:val="20"/>
        </w:rPr>
        <w:t> </w:t>
      </w:r>
      <w:r>
        <w:rPr>
          <w:sz w:val="20"/>
        </w:rPr>
        <w:t>el</w:t>
      </w:r>
      <w:r>
        <w:rPr>
          <w:spacing w:val="-17"/>
          <w:sz w:val="20"/>
        </w:rPr>
        <w:t> </w:t>
      </w:r>
      <w:r>
        <w:rPr>
          <w:sz w:val="20"/>
        </w:rPr>
        <w:t>Estado</w:t>
      </w:r>
      <w:r>
        <w:rPr>
          <w:spacing w:val="-16"/>
          <w:sz w:val="20"/>
        </w:rPr>
        <w:t> </w:t>
      </w:r>
      <w:r>
        <w:rPr>
          <w:sz w:val="20"/>
        </w:rPr>
        <w:t>ha</w:t>
      </w:r>
      <w:r>
        <w:rPr>
          <w:spacing w:val="-17"/>
          <w:sz w:val="20"/>
        </w:rPr>
        <w:t> </w:t>
      </w:r>
      <w:r>
        <w:rPr>
          <w:sz w:val="20"/>
        </w:rPr>
        <w:t>tenido</w:t>
      </w:r>
      <w:r>
        <w:rPr>
          <w:spacing w:val="-19"/>
          <w:sz w:val="20"/>
        </w:rPr>
        <w:t> </w:t>
      </w:r>
      <w:r>
        <w:rPr>
          <w:sz w:val="20"/>
        </w:rPr>
        <w:t>conocimiento</w:t>
      </w:r>
      <w:r>
        <w:rPr>
          <w:spacing w:val="-16"/>
          <w:sz w:val="20"/>
        </w:rPr>
        <w:t> </w:t>
      </w:r>
      <w:r>
        <w:rPr>
          <w:sz w:val="20"/>
        </w:rPr>
        <w:t>de</w:t>
      </w:r>
      <w:r>
        <w:rPr>
          <w:spacing w:val="-19"/>
          <w:sz w:val="20"/>
        </w:rPr>
        <w:t> </w:t>
      </w:r>
      <w:r>
        <w:rPr>
          <w:sz w:val="20"/>
        </w:rPr>
        <w:t>todas las</w:t>
      </w:r>
      <w:r>
        <w:rPr>
          <w:spacing w:val="-8"/>
          <w:sz w:val="20"/>
        </w:rPr>
        <w:t> </w:t>
      </w:r>
      <w:r>
        <w:rPr>
          <w:sz w:val="20"/>
        </w:rPr>
        <w:t>actividades</w:t>
      </w:r>
      <w:r>
        <w:rPr>
          <w:spacing w:val="-4"/>
          <w:sz w:val="20"/>
        </w:rPr>
        <w:t> </w:t>
      </w:r>
      <w:r>
        <w:rPr>
          <w:sz w:val="20"/>
        </w:rPr>
        <w:t>referidas.</w:t>
      </w:r>
      <w:r>
        <w:rPr>
          <w:spacing w:val="-8"/>
          <w:sz w:val="20"/>
        </w:rPr>
        <w:t> </w:t>
      </w:r>
      <w:r>
        <w:rPr>
          <w:sz w:val="20"/>
        </w:rPr>
        <w:t>También</w:t>
      </w:r>
      <w:r>
        <w:rPr>
          <w:spacing w:val="-5"/>
          <w:sz w:val="20"/>
        </w:rPr>
        <w:t> </w:t>
      </w:r>
      <w:r>
        <w:rPr>
          <w:sz w:val="20"/>
        </w:rPr>
        <w:t>es</w:t>
      </w:r>
      <w:r>
        <w:rPr>
          <w:spacing w:val="-6"/>
          <w:sz w:val="20"/>
        </w:rPr>
        <w:t> </w:t>
      </w:r>
      <w:r>
        <w:rPr>
          <w:sz w:val="20"/>
        </w:rPr>
        <w:t>claro</w:t>
      </w:r>
      <w:r>
        <w:rPr>
          <w:spacing w:val="-9"/>
          <w:sz w:val="20"/>
        </w:rPr>
        <w:t> </w:t>
      </w:r>
      <w:r>
        <w:rPr>
          <w:sz w:val="20"/>
        </w:rPr>
        <w:t>que</w:t>
      </w:r>
      <w:r>
        <w:rPr>
          <w:spacing w:val="-5"/>
          <w:sz w:val="20"/>
        </w:rPr>
        <w:t> </w:t>
      </w:r>
      <w:r>
        <w:rPr>
          <w:sz w:val="20"/>
        </w:rPr>
        <w:t>el</w:t>
      </w:r>
      <w:r>
        <w:rPr>
          <w:spacing w:val="-8"/>
          <w:sz w:val="20"/>
        </w:rPr>
        <w:t> </w:t>
      </w:r>
      <w:r>
        <w:rPr>
          <w:sz w:val="20"/>
        </w:rPr>
        <w:t>Estado</w:t>
      </w:r>
      <w:r>
        <w:rPr>
          <w:spacing w:val="-9"/>
          <w:sz w:val="20"/>
        </w:rPr>
        <w:t> </w:t>
      </w:r>
      <w:r>
        <w:rPr>
          <w:sz w:val="20"/>
        </w:rPr>
        <w:t>ha</w:t>
      </w:r>
      <w:r>
        <w:rPr>
          <w:spacing w:val="-6"/>
          <w:sz w:val="20"/>
        </w:rPr>
        <w:t> </w:t>
      </w:r>
      <w:r>
        <w:rPr>
          <w:sz w:val="20"/>
        </w:rPr>
        <w:t>adoptado</w:t>
      </w:r>
      <w:r>
        <w:rPr>
          <w:spacing w:val="-9"/>
          <w:sz w:val="20"/>
        </w:rPr>
        <w:t> </w:t>
      </w:r>
      <w:r>
        <w:rPr>
          <w:sz w:val="20"/>
        </w:rPr>
        <w:t>distintas</w:t>
      </w:r>
      <w:r>
        <w:rPr>
          <w:spacing w:val="-8"/>
          <w:sz w:val="20"/>
        </w:rPr>
        <w:t> </w:t>
      </w:r>
      <w:r>
        <w:rPr>
          <w:sz w:val="20"/>
        </w:rPr>
        <w:t>acciones (</w:t>
      </w:r>
      <w:r>
        <w:rPr>
          <w:i/>
          <w:sz w:val="20"/>
        </w:rPr>
        <w:t>supra </w:t>
      </w:r>
      <w:r>
        <w:rPr>
          <w:sz w:val="20"/>
        </w:rPr>
        <w:t>párrs. 267 a 269). No obstante, las mismas no han sido efectivas para detener las</w:t>
      </w:r>
      <w:r>
        <w:rPr>
          <w:spacing w:val="-7"/>
          <w:sz w:val="20"/>
        </w:rPr>
        <w:t> </w:t>
      </w:r>
      <w:r>
        <w:rPr>
          <w:sz w:val="20"/>
        </w:rPr>
        <w:t>actividades</w:t>
      </w:r>
      <w:r>
        <w:rPr>
          <w:spacing w:val="-6"/>
          <w:sz w:val="20"/>
        </w:rPr>
        <w:t> </w:t>
      </w:r>
      <w:r>
        <w:rPr>
          <w:sz w:val="20"/>
        </w:rPr>
        <w:t>lesivas.</w:t>
      </w:r>
      <w:r>
        <w:rPr>
          <w:spacing w:val="-6"/>
          <w:sz w:val="20"/>
        </w:rPr>
        <w:t> </w:t>
      </w:r>
      <w:r>
        <w:rPr>
          <w:sz w:val="20"/>
        </w:rPr>
        <w:t>Surge</w:t>
      </w:r>
      <w:r>
        <w:rPr>
          <w:spacing w:val="-8"/>
          <w:sz w:val="20"/>
        </w:rPr>
        <w:t> </w:t>
      </w:r>
      <w:r>
        <w:rPr>
          <w:sz w:val="20"/>
        </w:rPr>
        <w:t>de</w:t>
      </w:r>
      <w:r>
        <w:rPr>
          <w:spacing w:val="-7"/>
          <w:sz w:val="20"/>
        </w:rPr>
        <w:t> </w:t>
      </w:r>
      <w:r>
        <w:rPr>
          <w:sz w:val="20"/>
        </w:rPr>
        <w:t>los</w:t>
      </w:r>
      <w:r>
        <w:rPr>
          <w:spacing w:val="-6"/>
          <w:sz w:val="20"/>
        </w:rPr>
        <w:t> </w:t>
      </w:r>
      <w:r>
        <w:rPr>
          <w:sz w:val="20"/>
        </w:rPr>
        <w:t>hechos</w:t>
      </w:r>
      <w:r>
        <w:rPr>
          <w:spacing w:val="-8"/>
          <w:sz w:val="20"/>
        </w:rPr>
        <w:t> </w:t>
      </w:r>
      <w:r>
        <w:rPr>
          <w:sz w:val="20"/>
        </w:rPr>
        <w:t>que,</w:t>
      </w:r>
      <w:r>
        <w:rPr>
          <w:spacing w:val="-7"/>
          <w:sz w:val="20"/>
        </w:rPr>
        <w:t> </w:t>
      </w:r>
      <w:r>
        <w:rPr>
          <w:sz w:val="20"/>
        </w:rPr>
        <w:t>luego</w:t>
      </w:r>
      <w:r>
        <w:rPr>
          <w:spacing w:val="-8"/>
          <w:sz w:val="20"/>
        </w:rPr>
        <w:t> </w:t>
      </w:r>
      <w:r>
        <w:rPr>
          <w:sz w:val="20"/>
        </w:rPr>
        <w:t>de</w:t>
      </w:r>
      <w:r>
        <w:rPr>
          <w:spacing w:val="-7"/>
          <w:sz w:val="20"/>
        </w:rPr>
        <w:t> </w:t>
      </w:r>
      <w:r>
        <w:rPr>
          <w:sz w:val="20"/>
        </w:rPr>
        <w:t>más</w:t>
      </w:r>
      <w:r>
        <w:rPr>
          <w:spacing w:val="-6"/>
          <w:sz w:val="20"/>
        </w:rPr>
        <w:t> </w:t>
      </w:r>
      <w:r>
        <w:rPr>
          <w:sz w:val="20"/>
        </w:rPr>
        <w:t>de</w:t>
      </w:r>
      <w:r>
        <w:rPr>
          <w:spacing w:val="-7"/>
          <w:sz w:val="20"/>
        </w:rPr>
        <w:t> </w:t>
      </w:r>
      <w:r>
        <w:rPr>
          <w:sz w:val="20"/>
        </w:rPr>
        <w:t>28</w:t>
      </w:r>
      <w:r>
        <w:rPr>
          <w:spacing w:val="-7"/>
          <w:sz w:val="20"/>
        </w:rPr>
        <w:t> </w:t>
      </w:r>
      <w:r>
        <w:rPr>
          <w:sz w:val="20"/>
        </w:rPr>
        <w:t>años</w:t>
      </w:r>
      <w:r>
        <w:rPr>
          <w:spacing w:val="-6"/>
          <w:sz w:val="20"/>
        </w:rPr>
        <w:t> </w:t>
      </w:r>
      <w:r>
        <w:rPr>
          <w:sz w:val="20"/>
        </w:rPr>
        <w:t>de</w:t>
      </w:r>
      <w:r>
        <w:rPr>
          <w:spacing w:val="-7"/>
          <w:sz w:val="20"/>
        </w:rPr>
        <w:t> </w:t>
      </w:r>
      <w:r>
        <w:rPr>
          <w:sz w:val="20"/>
        </w:rPr>
        <w:t>iniciado</w:t>
      </w:r>
      <w:r>
        <w:rPr>
          <w:spacing w:val="-7"/>
          <w:sz w:val="20"/>
        </w:rPr>
        <w:t> </w:t>
      </w:r>
      <w:r>
        <w:rPr>
          <w:sz w:val="20"/>
        </w:rPr>
        <w:t>el reclamo</w:t>
      </w:r>
      <w:r>
        <w:rPr>
          <w:spacing w:val="-12"/>
          <w:sz w:val="20"/>
        </w:rPr>
        <w:t> </w:t>
      </w:r>
      <w:r>
        <w:rPr>
          <w:sz w:val="20"/>
        </w:rPr>
        <w:t>indígena</w:t>
      </w:r>
      <w:r>
        <w:rPr>
          <w:spacing w:val="-11"/>
          <w:sz w:val="20"/>
        </w:rPr>
        <w:t> </w:t>
      </w:r>
      <w:r>
        <w:rPr>
          <w:sz w:val="20"/>
        </w:rPr>
        <w:t>respecto</w:t>
      </w:r>
      <w:r>
        <w:rPr>
          <w:spacing w:val="-15"/>
          <w:sz w:val="20"/>
        </w:rPr>
        <w:t> </w:t>
      </w:r>
      <w:r>
        <w:rPr>
          <w:sz w:val="20"/>
        </w:rPr>
        <w:t>del</w:t>
      </w:r>
      <w:r>
        <w:rPr>
          <w:spacing w:val="-14"/>
          <w:sz w:val="20"/>
        </w:rPr>
        <w:t> </w:t>
      </w:r>
      <w:r>
        <w:rPr>
          <w:sz w:val="20"/>
        </w:rPr>
        <w:t>territorio,</w:t>
      </w:r>
      <w:r>
        <w:rPr>
          <w:spacing w:val="-10"/>
          <w:sz w:val="20"/>
        </w:rPr>
        <w:t> </w:t>
      </w:r>
      <w:r>
        <w:rPr>
          <w:sz w:val="20"/>
        </w:rPr>
        <w:t>continúa</w:t>
      </w:r>
      <w:r>
        <w:rPr>
          <w:spacing w:val="-13"/>
          <w:sz w:val="20"/>
        </w:rPr>
        <w:t> </w:t>
      </w:r>
      <w:r>
        <w:rPr>
          <w:sz w:val="20"/>
        </w:rPr>
        <w:t>la</w:t>
      </w:r>
      <w:r>
        <w:rPr>
          <w:spacing w:val="-13"/>
          <w:sz w:val="20"/>
        </w:rPr>
        <w:t> </w:t>
      </w:r>
      <w:r>
        <w:rPr>
          <w:sz w:val="20"/>
        </w:rPr>
        <w:t>presencia</w:t>
      </w:r>
      <w:r>
        <w:rPr>
          <w:spacing w:val="-14"/>
          <w:sz w:val="20"/>
        </w:rPr>
        <w:t> </w:t>
      </w:r>
      <w:r>
        <w:rPr>
          <w:sz w:val="20"/>
        </w:rPr>
        <w:t>del</w:t>
      </w:r>
      <w:r>
        <w:rPr>
          <w:spacing w:val="-14"/>
          <w:sz w:val="20"/>
        </w:rPr>
        <w:t> </w:t>
      </w:r>
      <w:r>
        <w:rPr>
          <w:sz w:val="20"/>
        </w:rPr>
        <w:t>ganado</w:t>
      </w:r>
      <w:r>
        <w:rPr>
          <w:spacing w:val="-12"/>
          <w:sz w:val="20"/>
        </w:rPr>
        <w:t> </w:t>
      </w:r>
      <w:r>
        <w:rPr>
          <w:sz w:val="20"/>
        </w:rPr>
        <w:t>y</w:t>
      </w:r>
      <w:r>
        <w:rPr>
          <w:spacing w:val="-14"/>
          <w:sz w:val="20"/>
        </w:rPr>
        <w:t> </w:t>
      </w:r>
      <w:r>
        <w:rPr>
          <w:sz w:val="20"/>
        </w:rPr>
        <w:t>alambrados. En</w:t>
      </w:r>
      <w:r>
        <w:rPr>
          <w:spacing w:val="-12"/>
          <w:sz w:val="20"/>
        </w:rPr>
        <w:t> </w:t>
      </w:r>
      <w:r>
        <w:rPr>
          <w:sz w:val="20"/>
        </w:rPr>
        <w:t>cuanto</w:t>
      </w:r>
      <w:r>
        <w:rPr>
          <w:spacing w:val="-14"/>
          <w:sz w:val="20"/>
        </w:rPr>
        <w:t> </w:t>
      </w:r>
      <w:r>
        <w:rPr>
          <w:sz w:val="20"/>
        </w:rPr>
        <w:t>a</w:t>
      </w:r>
      <w:r>
        <w:rPr>
          <w:spacing w:val="-12"/>
          <w:sz w:val="20"/>
        </w:rPr>
        <w:t> </w:t>
      </w:r>
      <w:r>
        <w:rPr>
          <w:sz w:val="20"/>
        </w:rPr>
        <w:t>la</w:t>
      </w:r>
      <w:r>
        <w:rPr>
          <w:spacing w:val="-10"/>
          <w:sz w:val="20"/>
        </w:rPr>
        <w:t> </w:t>
      </w:r>
      <w:r>
        <w:rPr>
          <w:sz w:val="20"/>
        </w:rPr>
        <w:t>tala</w:t>
      </w:r>
      <w:r>
        <w:rPr>
          <w:spacing w:val="-12"/>
          <w:sz w:val="20"/>
        </w:rPr>
        <w:t> </w:t>
      </w:r>
      <w:r>
        <w:rPr>
          <w:sz w:val="20"/>
        </w:rPr>
        <w:t>ilegal,</w:t>
      </w:r>
      <w:r>
        <w:rPr>
          <w:spacing w:val="-13"/>
          <w:sz w:val="20"/>
        </w:rPr>
        <w:t> </w:t>
      </w:r>
      <w:r>
        <w:rPr>
          <w:sz w:val="20"/>
        </w:rPr>
        <w:t>su</w:t>
      </w:r>
      <w:r>
        <w:rPr>
          <w:spacing w:val="-10"/>
          <w:sz w:val="20"/>
        </w:rPr>
        <w:t> </w:t>
      </w:r>
      <w:r>
        <w:rPr>
          <w:sz w:val="20"/>
        </w:rPr>
        <w:t>carácter</w:t>
      </w:r>
      <w:r>
        <w:rPr>
          <w:spacing w:val="-11"/>
          <w:sz w:val="20"/>
        </w:rPr>
        <w:t> </w:t>
      </w:r>
      <w:r>
        <w:rPr>
          <w:sz w:val="20"/>
        </w:rPr>
        <w:t>clandestino</w:t>
      </w:r>
      <w:r>
        <w:rPr>
          <w:spacing w:val="-12"/>
          <w:sz w:val="20"/>
        </w:rPr>
        <w:t> </w:t>
      </w:r>
      <w:r>
        <w:rPr>
          <w:sz w:val="20"/>
        </w:rPr>
        <w:t>impide</w:t>
      </w:r>
      <w:r>
        <w:rPr>
          <w:spacing w:val="-14"/>
          <w:sz w:val="20"/>
        </w:rPr>
        <w:t> </w:t>
      </w:r>
      <w:r>
        <w:rPr>
          <w:sz w:val="20"/>
        </w:rPr>
        <w:t>tener</w:t>
      </w:r>
      <w:r>
        <w:rPr>
          <w:spacing w:val="-11"/>
          <w:sz w:val="20"/>
        </w:rPr>
        <w:t> </w:t>
      </w:r>
      <w:r>
        <w:rPr>
          <w:sz w:val="20"/>
        </w:rPr>
        <w:t>certeza</w:t>
      </w:r>
      <w:r>
        <w:rPr>
          <w:spacing w:val="-10"/>
          <w:sz w:val="20"/>
        </w:rPr>
        <w:t> </w:t>
      </w:r>
      <w:r>
        <w:rPr>
          <w:sz w:val="20"/>
        </w:rPr>
        <w:t>de</w:t>
      </w:r>
      <w:r>
        <w:rPr>
          <w:spacing w:val="-12"/>
          <w:sz w:val="20"/>
        </w:rPr>
        <w:t> </w:t>
      </w:r>
      <w:r>
        <w:rPr>
          <w:sz w:val="20"/>
        </w:rPr>
        <w:t>en</w:t>
      </w:r>
      <w:r>
        <w:rPr>
          <w:spacing w:val="-12"/>
          <w:sz w:val="20"/>
        </w:rPr>
        <w:t> </w:t>
      </w:r>
      <w:r>
        <w:rPr>
          <w:sz w:val="20"/>
        </w:rPr>
        <w:t>qué</w:t>
      </w:r>
      <w:r>
        <w:rPr>
          <w:spacing w:val="-14"/>
          <w:sz w:val="20"/>
        </w:rPr>
        <w:t> </w:t>
      </w:r>
      <w:r>
        <w:rPr>
          <w:sz w:val="20"/>
        </w:rPr>
        <w:t>medida ésta</w:t>
      </w:r>
      <w:r>
        <w:rPr>
          <w:spacing w:val="-5"/>
          <w:sz w:val="20"/>
        </w:rPr>
        <w:t> </w:t>
      </w:r>
      <w:r>
        <w:rPr>
          <w:sz w:val="20"/>
        </w:rPr>
        <w:t>sigue</w:t>
      </w:r>
      <w:r>
        <w:rPr>
          <w:spacing w:val="-7"/>
          <w:sz w:val="20"/>
        </w:rPr>
        <w:t> </w:t>
      </w:r>
      <w:r>
        <w:rPr>
          <w:sz w:val="20"/>
        </w:rPr>
        <w:t>produciéndose.</w:t>
      </w:r>
      <w:r>
        <w:rPr>
          <w:spacing w:val="-6"/>
          <w:sz w:val="20"/>
        </w:rPr>
        <w:t> </w:t>
      </w:r>
      <w:r>
        <w:rPr>
          <w:sz w:val="20"/>
        </w:rPr>
        <w:t>Sin</w:t>
      </w:r>
      <w:r>
        <w:rPr>
          <w:spacing w:val="-5"/>
          <w:sz w:val="20"/>
        </w:rPr>
        <w:t> </w:t>
      </w:r>
      <w:r>
        <w:rPr>
          <w:sz w:val="20"/>
        </w:rPr>
        <w:t>embargo,</w:t>
      </w:r>
      <w:r>
        <w:rPr>
          <w:spacing w:val="-6"/>
          <w:sz w:val="20"/>
        </w:rPr>
        <w:t> </w:t>
      </w:r>
      <w:r>
        <w:rPr>
          <w:sz w:val="20"/>
        </w:rPr>
        <w:t>el</w:t>
      </w:r>
      <w:r>
        <w:rPr>
          <w:spacing w:val="-5"/>
          <w:sz w:val="20"/>
        </w:rPr>
        <w:t> </w:t>
      </w:r>
      <w:r>
        <w:rPr>
          <w:sz w:val="20"/>
        </w:rPr>
        <w:t>Estado</w:t>
      </w:r>
      <w:r>
        <w:rPr>
          <w:spacing w:val="-9"/>
          <w:sz w:val="20"/>
        </w:rPr>
        <w:t> </w:t>
      </w:r>
      <w:r>
        <w:rPr>
          <w:sz w:val="20"/>
        </w:rPr>
        <w:t>no</w:t>
      </w:r>
      <w:r>
        <w:rPr>
          <w:spacing w:val="-9"/>
          <w:sz w:val="20"/>
        </w:rPr>
        <w:t> </w:t>
      </w:r>
      <w:r>
        <w:rPr>
          <w:sz w:val="20"/>
        </w:rPr>
        <w:t>ha</w:t>
      </w:r>
      <w:r>
        <w:rPr>
          <w:spacing w:val="-6"/>
          <w:sz w:val="20"/>
        </w:rPr>
        <w:t> </w:t>
      </w:r>
      <w:r>
        <w:rPr>
          <w:sz w:val="20"/>
        </w:rPr>
        <w:t>negado</w:t>
      </w:r>
      <w:r>
        <w:rPr>
          <w:spacing w:val="-9"/>
          <w:sz w:val="20"/>
        </w:rPr>
        <w:t> </w:t>
      </w:r>
      <w:r>
        <w:rPr>
          <w:sz w:val="20"/>
        </w:rPr>
        <w:t>que</w:t>
      </w:r>
      <w:r>
        <w:rPr>
          <w:spacing w:val="-7"/>
          <w:sz w:val="20"/>
        </w:rPr>
        <w:t> </w:t>
      </w:r>
      <w:r>
        <w:rPr>
          <w:sz w:val="20"/>
        </w:rPr>
        <w:t>se</w:t>
      </w:r>
      <w:r>
        <w:rPr>
          <w:spacing w:val="-7"/>
          <w:sz w:val="20"/>
        </w:rPr>
        <w:t> </w:t>
      </w:r>
      <w:r>
        <w:rPr>
          <w:sz w:val="20"/>
        </w:rPr>
        <w:t>hayan</w:t>
      </w:r>
      <w:r>
        <w:rPr>
          <w:spacing w:val="-4"/>
          <w:sz w:val="20"/>
        </w:rPr>
        <w:t> </w:t>
      </w:r>
      <w:r>
        <w:rPr>
          <w:sz w:val="20"/>
        </w:rPr>
        <w:t>cometido estos actos, los cuales han sido denunciados por los representantes al menos </w:t>
      </w:r>
      <w:r>
        <w:rPr>
          <w:spacing w:val="2"/>
          <w:sz w:val="20"/>
        </w:rPr>
        <w:t>hasta </w:t>
      </w:r>
      <w:r>
        <w:rPr>
          <w:sz w:val="20"/>
        </w:rPr>
        <w:t>el año</w:t>
      </w:r>
      <w:r>
        <w:rPr>
          <w:spacing w:val="-5"/>
          <w:sz w:val="20"/>
        </w:rPr>
        <w:t> </w:t>
      </w:r>
      <w:r>
        <w:rPr>
          <w:sz w:val="20"/>
        </w:rPr>
        <w:t>2017.</w:t>
      </w:r>
    </w:p>
    <w:p>
      <w:pPr>
        <w:pStyle w:val="BodyText"/>
        <w:spacing w:before="1"/>
      </w:pPr>
    </w:p>
    <w:p>
      <w:pPr>
        <w:pStyle w:val="ListParagraph"/>
        <w:numPr>
          <w:ilvl w:val="0"/>
          <w:numId w:val="31"/>
        </w:numPr>
        <w:tabs>
          <w:tab w:pos="830" w:val="left" w:leader="none"/>
        </w:tabs>
        <w:spacing w:line="240" w:lineRule="auto" w:before="0" w:after="0"/>
        <w:ind w:left="122" w:right="109" w:firstLine="0"/>
        <w:jc w:val="both"/>
        <w:rPr>
          <w:sz w:val="20"/>
        </w:rPr>
      </w:pPr>
      <w:r>
        <w:rPr>
          <w:sz w:val="20"/>
        </w:rPr>
        <w:t>En el presente caso, la falta de efectividad de las acciones estatales se</w:t>
      </w:r>
      <w:r>
        <w:rPr>
          <w:spacing w:val="-42"/>
          <w:sz w:val="20"/>
        </w:rPr>
        <w:t> </w:t>
      </w:r>
      <w:r>
        <w:rPr>
          <w:sz w:val="20"/>
        </w:rPr>
        <w:t>enmarca, además, en una situación en la que el Estado no ha garantizado a las comunidades indígenas la posibilidad de determinar, libremente o mediante consultas adecuadas, las actividades sobre su</w:t>
      </w:r>
      <w:r>
        <w:rPr>
          <w:spacing w:val="-12"/>
          <w:sz w:val="20"/>
        </w:rPr>
        <w:t> </w:t>
      </w:r>
      <w:r>
        <w:rPr>
          <w:sz w:val="20"/>
        </w:rPr>
        <w:t>territorio.</w:t>
      </w:r>
    </w:p>
    <w:p>
      <w:pPr>
        <w:pStyle w:val="BodyText"/>
        <w:spacing w:before="10"/>
        <w:rPr>
          <w:sz w:val="19"/>
        </w:rPr>
      </w:pPr>
    </w:p>
    <w:p>
      <w:pPr>
        <w:pStyle w:val="ListParagraph"/>
        <w:numPr>
          <w:ilvl w:val="0"/>
          <w:numId w:val="31"/>
        </w:numPr>
        <w:tabs>
          <w:tab w:pos="830" w:val="left" w:leader="none"/>
        </w:tabs>
        <w:spacing w:line="240" w:lineRule="auto" w:before="0" w:after="0"/>
        <w:ind w:left="122" w:right="102" w:firstLine="0"/>
        <w:jc w:val="both"/>
        <w:rPr>
          <w:sz w:val="20"/>
        </w:rPr>
      </w:pPr>
      <w:r>
        <w:rPr>
          <w:sz w:val="20"/>
        </w:rPr>
        <w:t>Por lo dicho, la Corte determina que Argentina violó, en perjuicio de las comunidades indígenas víctimas del presente caso, sus derechos, relacionados entre</w:t>
      </w:r>
      <w:r>
        <w:rPr>
          <w:spacing w:val="-43"/>
          <w:sz w:val="20"/>
        </w:rPr>
        <w:t> </w:t>
      </w:r>
      <w:r>
        <w:rPr>
          <w:sz w:val="20"/>
        </w:rPr>
        <w:t>sí, a</w:t>
      </w:r>
      <w:r>
        <w:rPr>
          <w:spacing w:val="-17"/>
          <w:sz w:val="20"/>
        </w:rPr>
        <w:t> </w:t>
      </w:r>
      <w:r>
        <w:rPr>
          <w:sz w:val="20"/>
        </w:rPr>
        <w:t>participar</w:t>
      </w:r>
      <w:r>
        <w:rPr>
          <w:spacing w:val="-18"/>
          <w:sz w:val="20"/>
        </w:rPr>
        <w:t> </w:t>
      </w:r>
      <w:r>
        <w:rPr>
          <w:sz w:val="20"/>
        </w:rPr>
        <w:t>en</w:t>
      </w:r>
      <w:r>
        <w:rPr>
          <w:spacing w:val="-17"/>
          <w:sz w:val="20"/>
        </w:rPr>
        <w:t> </w:t>
      </w:r>
      <w:r>
        <w:rPr>
          <w:sz w:val="20"/>
        </w:rPr>
        <w:t>la</w:t>
      </w:r>
      <w:r>
        <w:rPr>
          <w:spacing w:val="-17"/>
          <w:sz w:val="20"/>
        </w:rPr>
        <w:t> </w:t>
      </w:r>
      <w:r>
        <w:rPr>
          <w:sz w:val="20"/>
        </w:rPr>
        <w:t>vida</w:t>
      </w:r>
      <w:r>
        <w:rPr>
          <w:spacing w:val="-17"/>
          <w:sz w:val="20"/>
        </w:rPr>
        <w:t> </w:t>
      </w:r>
      <w:r>
        <w:rPr>
          <w:sz w:val="20"/>
        </w:rPr>
        <w:t>cultural,</w:t>
      </w:r>
      <w:r>
        <w:rPr>
          <w:spacing w:val="-18"/>
          <w:sz w:val="20"/>
        </w:rPr>
        <w:t> </w:t>
      </w:r>
      <w:r>
        <w:rPr>
          <w:sz w:val="20"/>
        </w:rPr>
        <w:t>en</w:t>
      </w:r>
      <w:r>
        <w:rPr>
          <w:spacing w:val="-17"/>
          <w:sz w:val="20"/>
        </w:rPr>
        <w:t> </w:t>
      </w:r>
      <w:r>
        <w:rPr>
          <w:sz w:val="20"/>
        </w:rPr>
        <w:t>lo</w:t>
      </w:r>
      <w:r>
        <w:rPr>
          <w:spacing w:val="-19"/>
          <w:sz w:val="20"/>
        </w:rPr>
        <w:t> </w:t>
      </w:r>
      <w:r>
        <w:rPr>
          <w:sz w:val="20"/>
        </w:rPr>
        <w:t>atinente</w:t>
      </w:r>
      <w:r>
        <w:rPr>
          <w:spacing w:val="-19"/>
          <w:sz w:val="20"/>
        </w:rPr>
        <w:t> </w:t>
      </w:r>
      <w:r>
        <w:rPr>
          <w:sz w:val="20"/>
        </w:rPr>
        <w:t>a</w:t>
      </w:r>
      <w:r>
        <w:rPr>
          <w:spacing w:val="-17"/>
          <w:sz w:val="20"/>
        </w:rPr>
        <w:t> </w:t>
      </w:r>
      <w:r>
        <w:rPr>
          <w:sz w:val="20"/>
        </w:rPr>
        <w:t>la</w:t>
      </w:r>
      <w:r>
        <w:rPr>
          <w:spacing w:val="-13"/>
          <w:sz w:val="20"/>
        </w:rPr>
        <w:t> </w:t>
      </w:r>
      <w:r>
        <w:rPr>
          <w:sz w:val="20"/>
        </w:rPr>
        <w:t>identidad</w:t>
      </w:r>
      <w:r>
        <w:rPr>
          <w:spacing w:val="-17"/>
          <w:sz w:val="20"/>
        </w:rPr>
        <w:t> </w:t>
      </w:r>
      <w:r>
        <w:rPr>
          <w:sz w:val="20"/>
        </w:rPr>
        <w:t>cultural,</w:t>
      </w:r>
      <w:r>
        <w:rPr>
          <w:spacing w:val="-18"/>
          <w:sz w:val="20"/>
        </w:rPr>
        <w:t> </w:t>
      </w:r>
      <w:r>
        <w:rPr>
          <w:sz w:val="20"/>
        </w:rPr>
        <w:t>a</w:t>
      </w:r>
      <w:r>
        <w:rPr>
          <w:spacing w:val="-17"/>
          <w:sz w:val="20"/>
        </w:rPr>
        <w:t> </w:t>
      </w:r>
      <w:r>
        <w:rPr>
          <w:sz w:val="20"/>
        </w:rPr>
        <w:t>un</w:t>
      </w:r>
      <w:r>
        <w:rPr>
          <w:spacing w:val="-17"/>
          <w:sz w:val="20"/>
        </w:rPr>
        <w:t> </w:t>
      </w:r>
      <w:r>
        <w:rPr>
          <w:sz w:val="20"/>
        </w:rPr>
        <w:t>medio</w:t>
      </w:r>
      <w:r>
        <w:rPr>
          <w:spacing w:val="-18"/>
          <w:sz w:val="20"/>
        </w:rPr>
        <w:t> </w:t>
      </w:r>
      <w:r>
        <w:rPr>
          <w:sz w:val="20"/>
        </w:rPr>
        <w:t>ambiente sano, a la alimentación adecuada, y al agua, contenidos en el artículo 26 de la Convención</w:t>
      </w:r>
      <w:r>
        <w:rPr>
          <w:spacing w:val="-9"/>
          <w:sz w:val="20"/>
        </w:rPr>
        <w:t> </w:t>
      </w:r>
      <w:r>
        <w:rPr>
          <w:sz w:val="20"/>
        </w:rPr>
        <w:t>Americana,</w:t>
      </w:r>
      <w:r>
        <w:rPr>
          <w:spacing w:val="-7"/>
          <w:sz w:val="20"/>
        </w:rPr>
        <w:t> </w:t>
      </w:r>
      <w:r>
        <w:rPr>
          <w:sz w:val="20"/>
        </w:rPr>
        <w:t>en</w:t>
      </w:r>
      <w:r>
        <w:rPr>
          <w:spacing w:val="-8"/>
          <w:sz w:val="20"/>
        </w:rPr>
        <w:t> </w:t>
      </w:r>
      <w:r>
        <w:rPr>
          <w:sz w:val="20"/>
        </w:rPr>
        <w:t>relación</w:t>
      </w:r>
      <w:r>
        <w:rPr>
          <w:spacing w:val="-8"/>
          <w:sz w:val="20"/>
        </w:rPr>
        <w:t> </w:t>
      </w:r>
      <w:r>
        <w:rPr>
          <w:sz w:val="20"/>
        </w:rPr>
        <w:t>con</w:t>
      </w:r>
      <w:r>
        <w:rPr>
          <w:spacing w:val="-8"/>
          <w:sz w:val="20"/>
        </w:rPr>
        <w:t> </w:t>
      </w:r>
      <w:r>
        <w:rPr>
          <w:sz w:val="20"/>
        </w:rPr>
        <w:t>la</w:t>
      </w:r>
      <w:r>
        <w:rPr>
          <w:spacing w:val="-6"/>
          <w:sz w:val="20"/>
        </w:rPr>
        <w:t> </w:t>
      </w:r>
      <w:r>
        <w:rPr>
          <w:sz w:val="20"/>
        </w:rPr>
        <w:t>obligación</w:t>
      </w:r>
      <w:r>
        <w:rPr>
          <w:spacing w:val="-9"/>
          <w:sz w:val="20"/>
        </w:rPr>
        <w:t> </w:t>
      </w:r>
      <w:r>
        <w:rPr>
          <w:sz w:val="20"/>
        </w:rPr>
        <w:t>de</w:t>
      </w:r>
      <w:r>
        <w:rPr>
          <w:spacing w:val="-10"/>
          <w:sz w:val="20"/>
        </w:rPr>
        <w:t> </w:t>
      </w:r>
      <w:r>
        <w:rPr>
          <w:sz w:val="20"/>
        </w:rPr>
        <w:t>garantizar</w:t>
      </w:r>
      <w:r>
        <w:rPr>
          <w:spacing w:val="-10"/>
          <w:sz w:val="20"/>
        </w:rPr>
        <w:t> </w:t>
      </w:r>
      <w:r>
        <w:rPr>
          <w:sz w:val="20"/>
        </w:rPr>
        <w:t>los</w:t>
      </w:r>
      <w:r>
        <w:rPr>
          <w:spacing w:val="-10"/>
          <w:sz w:val="20"/>
        </w:rPr>
        <w:t> </w:t>
      </w:r>
      <w:r>
        <w:rPr>
          <w:sz w:val="20"/>
        </w:rPr>
        <w:t>derechos</w:t>
      </w:r>
      <w:r>
        <w:rPr>
          <w:spacing w:val="-10"/>
          <w:sz w:val="20"/>
        </w:rPr>
        <w:t> </w:t>
      </w:r>
      <w:r>
        <w:rPr>
          <w:sz w:val="20"/>
        </w:rPr>
        <w:t>prevista en el artículo 1.1 del mismo</w:t>
      </w:r>
      <w:r>
        <w:rPr>
          <w:spacing w:val="-16"/>
          <w:sz w:val="20"/>
        </w:rPr>
        <w:t> </w:t>
      </w:r>
      <w:r>
        <w:rPr>
          <w:sz w:val="20"/>
        </w:rPr>
        <w:t>instrumento.</w:t>
      </w:r>
    </w:p>
    <w:p>
      <w:pPr>
        <w:pStyle w:val="BodyText"/>
        <w:spacing w:before="10"/>
        <w:rPr>
          <w:sz w:val="19"/>
        </w:rPr>
      </w:pPr>
    </w:p>
    <w:p>
      <w:pPr>
        <w:pStyle w:val="Heading3"/>
        <w:ind w:left="183" w:right="164"/>
      </w:pPr>
      <w:bookmarkStart w:name="_bookmark73" w:id="125"/>
      <w:bookmarkEnd w:id="125"/>
      <w:r>
        <w:rPr>
          <w:b w:val="0"/>
        </w:rPr>
      </w:r>
      <w:r>
        <w:rPr/>
        <w:t>VII.3</w:t>
      </w:r>
    </w:p>
    <w:p>
      <w:pPr>
        <w:spacing w:before="1"/>
        <w:ind w:left="184" w:right="164" w:firstLine="0"/>
        <w:jc w:val="center"/>
        <w:rPr>
          <w:sz w:val="13"/>
        </w:rPr>
      </w:pPr>
      <w:bookmarkStart w:name="_bookmark74" w:id="126"/>
      <w:bookmarkEnd w:id="126"/>
      <w:r>
        <w:rPr/>
      </w:r>
      <w:r>
        <w:rPr>
          <w:b/>
          <w:sz w:val="20"/>
        </w:rPr>
        <w:t>DERECHOS A LAS GARANTIAS Y PROTECCIÓN JUDICIALES EN RELACIÓN CON LAS OBLIGACIONES DE RESPETAR Y GARANTIZAR LOS DERECHOS RESPECTO A ACCIONES JUDICIALES PRESENTADAS POR LHAKA HONHAT</w:t>
      </w:r>
      <w:r>
        <w:rPr>
          <w:position w:val="7"/>
          <w:sz w:val="13"/>
        </w:rPr>
        <w:t>291</w:t>
      </w:r>
    </w:p>
    <w:p>
      <w:pPr>
        <w:pStyle w:val="BodyText"/>
        <w:spacing w:before="1"/>
      </w:pPr>
    </w:p>
    <w:p>
      <w:pPr>
        <w:pStyle w:val="ListParagraph"/>
        <w:numPr>
          <w:ilvl w:val="0"/>
          <w:numId w:val="34"/>
        </w:numPr>
        <w:tabs>
          <w:tab w:pos="830" w:val="left" w:leader="none"/>
        </w:tabs>
        <w:spacing w:line="240" w:lineRule="auto" w:before="0" w:after="0"/>
        <w:ind w:left="122" w:right="104" w:firstLine="0"/>
        <w:jc w:val="both"/>
        <w:rPr>
          <w:sz w:val="20"/>
        </w:rPr>
      </w:pPr>
      <w:r>
        <w:rPr>
          <w:sz w:val="20"/>
        </w:rPr>
        <w:t>En lo que sigue, la Corte analizará los alegatos de las partes sobre diversos procesos entablados respecto a algunas circunstancias suscitadas en el caso. En</w:t>
      </w:r>
      <w:r>
        <w:rPr>
          <w:spacing w:val="-12"/>
          <w:sz w:val="20"/>
        </w:rPr>
        <w:t> </w:t>
      </w:r>
      <w:r>
        <w:rPr>
          <w:sz w:val="20"/>
        </w:rPr>
        <w:t>primer</w:t>
      </w:r>
    </w:p>
    <w:p>
      <w:pPr>
        <w:pStyle w:val="BodyText"/>
        <w:spacing w:before="5"/>
        <w:rPr>
          <w:sz w:val="9"/>
        </w:rPr>
      </w:pPr>
      <w:r>
        <w:rPr/>
        <w:pict>
          <v:line style="position:absolute;mso-position-horizontal-relative:page;mso-position-vertical-relative:paragraph;z-index:3280;mso-wrap-distance-left:0;mso-wrap-distance-right:0" from="85.103996pt,8.092522pt" to="229.123996pt,8.092522pt" stroked="true" strokeweight=".71997pt" strokecolor="#000000">
            <v:stroke dashstyle="solid"/>
            <w10:wrap type="topAndBottom"/>
          </v:line>
        </w:pict>
      </w:r>
    </w:p>
    <w:p>
      <w:pPr>
        <w:tabs>
          <w:tab w:pos="829" w:val="left" w:leader="none"/>
        </w:tabs>
        <w:spacing w:before="71"/>
        <w:ind w:left="122" w:right="0" w:firstLine="0"/>
        <w:jc w:val="left"/>
        <w:rPr>
          <w:sz w:val="16"/>
        </w:rPr>
      </w:pPr>
      <w:r>
        <w:rPr>
          <w:position w:val="6"/>
          <w:sz w:val="10"/>
        </w:rPr>
        <w:t>291</w:t>
        <w:tab/>
      </w:r>
      <w:r>
        <w:rPr>
          <w:sz w:val="16"/>
        </w:rPr>
        <w:t>Artículos 8, 25 y 1.1 de la</w:t>
      </w:r>
      <w:r>
        <w:rPr>
          <w:spacing w:val="-11"/>
          <w:sz w:val="16"/>
        </w:rPr>
        <w:t> </w:t>
      </w:r>
      <w:r>
        <w:rPr>
          <w:sz w:val="16"/>
        </w:rPr>
        <w:t>Convención.</w:t>
      </w:r>
    </w:p>
    <w:p>
      <w:pPr>
        <w:spacing w:after="0"/>
        <w:jc w:val="left"/>
        <w:rPr>
          <w:sz w:val="16"/>
        </w:rPr>
        <w:sectPr>
          <w:pgSz w:w="12240" w:h="15840"/>
          <w:pgMar w:header="0" w:footer="1000" w:top="1340" w:bottom="1200" w:left="1580" w:right="1600"/>
        </w:sectPr>
      </w:pPr>
    </w:p>
    <w:p>
      <w:pPr>
        <w:pStyle w:val="BodyText"/>
        <w:spacing w:line="242" w:lineRule="auto" w:before="76"/>
        <w:ind w:left="122" w:right="120"/>
      </w:pPr>
      <w:r>
        <w:rPr/>
        <w:t>término, reseñará los argumentos de las partes y luego dará cuenta de las consideraciones de este Tribunal.</w:t>
      </w:r>
    </w:p>
    <w:p>
      <w:pPr>
        <w:pStyle w:val="BodyText"/>
        <w:spacing w:before="7"/>
        <w:rPr>
          <w:sz w:val="19"/>
        </w:rPr>
      </w:pPr>
    </w:p>
    <w:p>
      <w:pPr>
        <w:pStyle w:val="Heading4"/>
        <w:numPr>
          <w:ilvl w:val="1"/>
          <w:numId w:val="34"/>
        </w:numPr>
        <w:tabs>
          <w:tab w:pos="830" w:val="left" w:leader="none"/>
        </w:tabs>
        <w:spacing w:line="240" w:lineRule="auto" w:before="1" w:after="0"/>
        <w:ind w:left="830" w:right="0" w:hanging="425"/>
        <w:jc w:val="left"/>
        <w:rPr>
          <w:i/>
        </w:rPr>
      </w:pPr>
      <w:bookmarkStart w:name="_bookmark75" w:id="127"/>
      <w:bookmarkEnd w:id="127"/>
      <w:r>
        <w:rPr>
          <w:b w:val="0"/>
          <w:i w:val="0"/>
        </w:rPr>
      </w:r>
      <w:bookmarkStart w:name="_bookmark75" w:id="128"/>
      <w:bookmarkEnd w:id="128"/>
      <w:r>
        <w:rPr>
          <w:i/>
          <w:u w:val="thick"/>
        </w:rPr>
        <w:t>A</w:t>
      </w:r>
      <w:r>
        <w:rPr>
          <w:i/>
          <w:u w:val="thick"/>
        </w:rPr>
        <w:t>rgumentos de las</w:t>
      </w:r>
      <w:r>
        <w:rPr>
          <w:i/>
          <w:spacing w:val="-12"/>
          <w:u w:val="thick"/>
        </w:rPr>
        <w:t> </w:t>
      </w:r>
      <w:r>
        <w:rPr>
          <w:i/>
          <w:u w:val="thick"/>
        </w:rPr>
        <w:t>partes</w:t>
      </w:r>
    </w:p>
    <w:p>
      <w:pPr>
        <w:pStyle w:val="BodyText"/>
        <w:spacing w:before="11"/>
        <w:rPr>
          <w:b/>
          <w:i/>
          <w:sz w:val="11"/>
        </w:rPr>
      </w:pPr>
    </w:p>
    <w:p>
      <w:pPr>
        <w:pStyle w:val="ListParagraph"/>
        <w:numPr>
          <w:ilvl w:val="0"/>
          <w:numId w:val="34"/>
        </w:numPr>
        <w:tabs>
          <w:tab w:pos="830" w:val="left" w:leader="none"/>
        </w:tabs>
        <w:spacing w:line="242" w:lineRule="auto" w:before="99" w:after="0"/>
        <w:ind w:left="122" w:right="122" w:firstLine="0"/>
        <w:jc w:val="both"/>
        <w:rPr>
          <w:sz w:val="20"/>
        </w:rPr>
      </w:pPr>
      <w:r>
        <w:rPr>
          <w:sz w:val="20"/>
        </w:rPr>
        <w:t>Los </w:t>
      </w:r>
      <w:r>
        <w:rPr>
          <w:b/>
          <w:i/>
          <w:sz w:val="20"/>
        </w:rPr>
        <w:t>representantes </w:t>
      </w:r>
      <w:r>
        <w:rPr>
          <w:sz w:val="20"/>
        </w:rPr>
        <w:t>alegaron la violación a las garantías judiciales y al derecho a la protección judicial, establecidos en los artículos 8 y 25 de la Convención, dada la falta de idoneidad y efectividad de los recursos disponibles para la salvaguarda de los derechos de las comunidades indígenas cuando éstos se encontraban amenazados o habían</w:t>
      </w:r>
      <w:r>
        <w:rPr>
          <w:spacing w:val="-10"/>
          <w:sz w:val="20"/>
        </w:rPr>
        <w:t> </w:t>
      </w:r>
      <w:r>
        <w:rPr>
          <w:sz w:val="20"/>
        </w:rPr>
        <w:t>sido</w:t>
      </w:r>
      <w:r>
        <w:rPr>
          <w:spacing w:val="-12"/>
          <w:sz w:val="20"/>
        </w:rPr>
        <w:t> </w:t>
      </w:r>
      <w:r>
        <w:rPr>
          <w:sz w:val="20"/>
        </w:rPr>
        <w:t>violados.</w:t>
      </w:r>
      <w:r>
        <w:rPr>
          <w:spacing w:val="-12"/>
          <w:sz w:val="20"/>
        </w:rPr>
        <w:t> </w:t>
      </w:r>
      <w:r>
        <w:rPr>
          <w:sz w:val="20"/>
        </w:rPr>
        <w:t>Adujeron</w:t>
      </w:r>
      <w:r>
        <w:rPr>
          <w:spacing w:val="-10"/>
          <w:sz w:val="20"/>
        </w:rPr>
        <w:t> </w:t>
      </w:r>
      <w:r>
        <w:rPr>
          <w:sz w:val="20"/>
        </w:rPr>
        <w:t>distintas</w:t>
      </w:r>
      <w:r>
        <w:rPr>
          <w:spacing w:val="-9"/>
          <w:sz w:val="20"/>
        </w:rPr>
        <w:t> </w:t>
      </w:r>
      <w:r>
        <w:rPr>
          <w:sz w:val="20"/>
        </w:rPr>
        <w:t>situaciones</w:t>
      </w:r>
      <w:r>
        <w:rPr>
          <w:spacing w:val="-10"/>
          <w:sz w:val="20"/>
        </w:rPr>
        <w:t> </w:t>
      </w:r>
      <w:r>
        <w:rPr>
          <w:sz w:val="20"/>
        </w:rPr>
        <w:t>en</w:t>
      </w:r>
      <w:r>
        <w:rPr>
          <w:spacing w:val="-9"/>
          <w:sz w:val="20"/>
        </w:rPr>
        <w:t> </w:t>
      </w:r>
      <w:r>
        <w:rPr>
          <w:sz w:val="20"/>
        </w:rPr>
        <w:t>las</w:t>
      </w:r>
      <w:r>
        <w:rPr>
          <w:spacing w:val="-12"/>
          <w:sz w:val="20"/>
        </w:rPr>
        <w:t> </w:t>
      </w:r>
      <w:r>
        <w:rPr>
          <w:sz w:val="20"/>
        </w:rPr>
        <w:t>que,</w:t>
      </w:r>
      <w:r>
        <w:rPr>
          <w:spacing w:val="-9"/>
          <w:sz w:val="20"/>
        </w:rPr>
        <w:t> </w:t>
      </w:r>
      <w:r>
        <w:rPr>
          <w:sz w:val="20"/>
        </w:rPr>
        <w:t>según</w:t>
      </w:r>
      <w:r>
        <w:rPr>
          <w:spacing w:val="-10"/>
          <w:sz w:val="20"/>
        </w:rPr>
        <w:t> </w:t>
      </w:r>
      <w:r>
        <w:rPr>
          <w:sz w:val="20"/>
        </w:rPr>
        <w:t>sostuvieron,</w:t>
      </w:r>
      <w:r>
        <w:rPr>
          <w:spacing w:val="-12"/>
          <w:sz w:val="20"/>
        </w:rPr>
        <w:t> </w:t>
      </w:r>
      <w:r>
        <w:rPr>
          <w:sz w:val="20"/>
        </w:rPr>
        <w:t>hubo “completa […] inefectiv[idad]”, en alusión al “devenir judicial” relacionado con: a) la construcción por la Provincia de Salta del puente internacional en 1995</w:t>
      </w:r>
      <w:r>
        <w:rPr>
          <w:position w:val="8"/>
          <w:sz w:val="14"/>
        </w:rPr>
        <w:t>292</w:t>
      </w:r>
      <w:r>
        <w:rPr>
          <w:sz w:val="20"/>
        </w:rPr>
        <w:t>; b) la realización de adjudicaciones parciales de terrenos en diciembre de 1999</w:t>
      </w:r>
      <w:r>
        <w:rPr>
          <w:position w:val="8"/>
          <w:sz w:val="14"/>
        </w:rPr>
        <w:t>293 </w:t>
      </w:r>
      <w:r>
        <w:rPr>
          <w:sz w:val="20"/>
        </w:rPr>
        <w:t>y c) los intentos de detener la realización del referéndum en el 2005</w:t>
      </w:r>
      <w:r>
        <w:rPr>
          <w:position w:val="8"/>
          <w:sz w:val="14"/>
        </w:rPr>
        <w:t>294</w:t>
      </w:r>
      <w:r>
        <w:rPr>
          <w:sz w:val="20"/>
        </w:rPr>
        <w:t>. Sostuvieron que “[e]n un momento de extrema vulnerabilidad, los tribunales de justicia se convirtieron en artífices de la transgresión de derechos, y profundizaron aquella</w:t>
      </w:r>
      <w:r>
        <w:rPr>
          <w:spacing w:val="-29"/>
          <w:sz w:val="20"/>
        </w:rPr>
        <w:t> </w:t>
      </w:r>
      <w:r>
        <w:rPr>
          <w:sz w:val="20"/>
        </w:rPr>
        <w:t>vulnerabilidad”.</w:t>
      </w:r>
    </w:p>
    <w:p>
      <w:pPr>
        <w:pStyle w:val="BodyText"/>
        <w:spacing w:before="10"/>
        <w:rPr>
          <w:sz w:val="19"/>
        </w:rPr>
      </w:pPr>
    </w:p>
    <w:p>
      <w:pPr>
        <w:pStyle w:val="ListParagraph"/>
        <w:numPr>
          <w:ilvl w:val="0"/>
          <w:numId w:val="34"/>
        </w:numPr>
        <w:tabs>
          <w:tab w:pos="830" w:val="left" w:leader="none"/>
        </w:tabs>
        <w:spacing w:line="240" w:lineRule="auto" w:before="0" w:after="0"/>
        <w:ind w:left="122" w:right="124" w:firstLine="0"/>
        <w:jc w:val="both"/>
        <w:rPr>
          <w:sz w:val="20"/>
        </w:rPr>
      </w:pPr>
      <w:r>
        <w:rPr>
          <w:sz w:val="20"/>
        </w:rPr>
        <w:t>El </w:t>
      </w:r>
      <w:r>
        <w:rPr>
          <w:b/>
          <w:i/>
          <w:sz w:val="20"/>
        </w:rPr>
        <w:t>Estado </w:t>
      </w:r>
      <w:r>
        <w:rPr>
          <w:sz w:val="20"/>
        </w:rPr>
        <w:t>adujo que conforme a lo que reconocieron los propios “peticionarios”, éstos tuvieron acceso a los remedios judiciales legalmente previstos, obteniendo en un caso una sentencia favorable a su pretensión. Expresó que el referéndum no ha producido efecto alguno. En concordancia con esto, indicó que no se puede invocar violación a los artículos citados, ya que a lo largo de estos años las comunidades indígenas han tenido la posibilidad de recurrir a la justicia provincial, nacional e internacional.</w:t>
      </w:r>
    </w:p>
    <w:p>
      <w:pPr>
        <w:pStyle w:val="BodyText"/>
      </w:pPr>
    </w:p>
    <w:p>
      <w:pPr>
        <w:pStyle w:val="BodyText"/>
        <w:spacing w:before="5"/>
        <w:rPr>
          <w:sz w:val="23"/>
        </w:rPr>
      </w:pPr>
      <w:r>
        <w:rPr/>
        <w:pict>
          <v:line style="position:absolute;mso-position-horizontal-relative:page;mso-position-vertical-relative:paragraph;z-index:3304;mso-wrap-distance-left:0;mso-wrap-distance-right:0" from="85.103996pt,16.576708pt" to="229.123996pt,16.576708pt" stroked="true" strokeweight=".72pt" strokecolor="#000000">
            <v:stroke dashstyle="solid"/>
            <w10:wrap type="topAndBottom"/>
          </v:line>
        </w:pict>
      </w:r>
    </w:p>
    <w:p>
      <w:pPr>
        <w:tabs>
          <w:tab w:pos="829" w:val="left" w:leader="none"/>
        </w:tabs>
        <w:spacing w:before="71"/>
        <w:ind w:left="122" w:right="115" w:firstLine="0"/>
        <w:jc w:val="both"/>
        <w:rPr>
          <w:sz w:val="16"/>
        </w:rPr>
      </w:pPr>
      <w:r>
        <w:rPr>
          <w:position w:val="6"/>
          <w:sz w:val="10"/>
        </w:rPr>
        <w:t>292</w:t>
        <w:tab/>
      </w:r>
      <w:r>
        <w:rPr>
          <w:sz w:val="16"/>
        </w:rPr>
        <w:t>Explicaron</w:t>
      </w:r>
      <w:r>
        <w:rPr>
          <w:spacing w:val="13"/>
          <w:sz w:val="16"/>
        </w:rPr>
        <w:t> </w:t>
      </w:r>
      <w:r>
        <w:rPr>
          <w:sz w:val="16"/>
        </w:rPr>
        <w:t>que</w:t>
      </w:r>
      <w:r>
        <w:rPr>
          <w:spacing w:val="12"/>
          <w:sz w:val="16"/>
        </w:rPr>
        <w:t> </w:t>
      </w:r>
      <w:r>
        <w:rPr>
          <w:sz w:val="16"/>
        </w:rPr>
        <w:t>el</w:t>
      </w:r>
      <w:r>
        <w:rPr>
          <w:spacing w:val="13"/>
          <w:sz w:val="16"/>
        </w:rPr>
        <w:t> </w:t>
      </w:r>
      <w:r>
        <w:rPr>
          <w:sz w:val="16"/>
        </w:rPr>
        <w:t>11</w:t>
      </w:r>
      <w:r>
        <w:rPr>
          <w:spacing w:val="13"/>
          <w:sz w:val="16"/>
        </w:rPr>
        <w:t> </w:t>
      </w:r>
      <w:r>
        <w:rPr>
          <w:sz w:val="16"/>
        </w:rPr>
        <w:t>de</w:t>
      </w:r>
      <w:r>
        <w:rPr>
          <w:spacing w:val="14"/>
          <w:sz w:val="16"/>
        </w:rPr>
        <w:t> </w:t>
      </w:r>
      <w:r>
        <w:rPr>
          <w:sz w:val="16"/>
        </w:rPr>
        <w:t>septiembre</w:t>
      </w:r>
      <w:r>
        <w:rPr>
          <w:spacing w:val="14"/>
          <w:sz w:val="16"/>
        </w:rPr>
        <w:t> </w:t>
      </w:r>
      <w:r>
        <w:rPr>
          <w:sz w:val="16"/>
        </w:rPr>
        <w:t>de</w:t>
      </w:r>
      <w:r>
        <w:rPr>
          <w:spacing w:val="12"/>
          <w:sz w:val="16"/>
        </w:rPr>
        <w:t> </w:t>
      </w:r>
      <w:r>
        <w:rPr>
          <w:sz w:val="16"/>
        </w:rPr>
        <w:t>1995,</w:t>
      </w:r>
      <w:r>
        <w:rPr>
          <w:spacing w:val="13"/>
          <w:sz w:val="16"/>
        </w:rPr>
        <w:t> </w:t>
      </w:r>
      <w:r>
        <w:rPr>
          <w:sz w:val="16"/>
        </w:rPr>
        <w:t>Lhaka</w:t>
      </w:r>
      <w:r>
        <w:rPr>
          <w:spacing w:val="14"/>
          <w:sz w:val="16"/>
        </w:rPr>
        <w:t> </w:t>
      </w:r>
      <w:r>
        <w:rPr>
          <w:sz w:val="16"/>
        </w:rPr>
        <w:t>Honhat</w:t>
      </w:r>
      <w:r>
        <w:rPr>
          <w:spacing w:val="13"/>
          <w:sz w:val="16"/>
        </w:rPr>
        <w:t> </w:t>
      </w:r>
      <w:r>
        <w:rPr>
          <w:sz w:val="16"/>
        </w:rPr>
        <w:t>presentó</w:t>
      </w:r>
      <w:r>
        <w:rPr>
          <w:spacing w:val="15"/>
          <w:sz w:val="16"/>
        </w:rPr>
        <w:t> </w:t>
      </w:r>
      <w:r>
        <w:rPr>
          <w:sz w:val="16"/>
        </w:rPr>
        <w:t>una</w:t>
      </w:r>
      <w:r>
        <w:rPr>
          <w:spacing w:val="14"/>
          <w:sz w:val="16"/>
        </w:rPr>
        <w:t> </w:t>
      </w:r>
      <w:r>
        <w:rPr>
          <w:sz w:val="16"/>
        </w:rPr>
        <w:t>acción</w:t>
      </w:r>
      <w:r>
        <w:rPr>
          <w:spacing w:val="13"/>
          <w:sz w:val="16"/>
        </w:rPr>
        <w:t> </w:t>
      </w:r>
      <w:r>
        <w:rPr>
          <w:sz w:val="16"/>
        </w:rPr>
        <w:t>de</w:t>
      </w:r>
      <w:r>
        <w:rPr>
          <w:spacing w:val="12"/>
          <w:sz w:val="16"/>
        </w:rPr>
        <w:t> </w:t>
      </w:r>
      <w:r>
        <w:rPr>
          <w:sz w:val="16"/>
        </w:rPr>
        <w:t>amparo</w:t>
      </w:r>
      <w:r>
        <w:rPr>
          <w:spacing w:val="13"/>
          <w:sz w:val="16"/>
        </w:rPr>
        <w:t> </w:t>
      </w:r>
      <w:r>
        <w:rPr>
          <w:sz w:val="16"/>
        </w:rPr>
        <w:t>y</w:t>
      </w:r>
      <w:r>
        <w:rPr>
          <w:spacing w:val="13"/>
          <w:sz w:val="16"/>
        </w:rPr>
        <w:t> </w:t>
      </w:r>
      <w:r>
        <w:rPr>
          <w:sz w:val="16"/>
        </w:rPr>
        <w:t>una</w:t>
      </w:r>
      <w:r>
        <w:rPr>
          <w:w w:val="100"/>
          <w:sz w:val="16"/>
        </w:rPr>
        <w:t> </w:t>
      </w:r>
      <w:r>
        <w:rPr>
          <w:sz w:val="16"/>
        </w:rPr>
        <w:t>solicitud cautelar para que se suspendan las obras de construcción del puente. Agregaron que los días 8 de noviembre de 1995 y 29 de abril de 1996 la Corte de Justicia de Salta rechazó, respectivamente, la medida cautelar de “no innovar” presentada y el amparo, por entender que el asunto requería mayor “debate y amplitud de prueba” que la permitida por la vía rápida del amparo. Conforme expresaron, el 10 de diciembre de 1997, la Corte Suprema de Justicia de la Nación desestimó un recurso intentado, por entender que no procedía por no atacarse una sentencia definitiva. Los representantes explicaron que “[a] pesar de que la sentencia</w:t>
      </w:r>
      <w:r>
        <w:rPr>
          <w:spacing w:val="-9"/>
          <w:sz w:val="16"/>
        </w:rPr>
        <w:t> </w:t>
      </w:r>
      <w:r>
        <w:rPr>
          <w:sz w:val="16"/>
        </w:rPr>
        <w:t>definitiva</w:t>
      </w:r>
      <w:r>
        <w:rPr>
          <w:spacing w:val="-8"/>
          <w:sz w:val="16"/>
        </w:rPr>
        <w:t> </w:t>
      </w:r>
      <w:r>
        <w:rPr>
          <w:sz w:val="16"/>
        </w:rPr>
        <w:t>se</w:t>
      </w:r>
      <w:r>
        <w:rPr>
          <w:spacing w:val="-9"/>
          <w:sz w:val="16"/>
        </w:rPr>
        <w:t> </w:t>
      </w:r>
      <w:r>
        <w:rPr>
          <w:sz w:val="16"/>
        </w:rPr>
        <w:t>dictó</w:t>
      </w:r>
      <w:r>
        <w:rPr>
          <w:spacing w:val="-7"/>
          <w:sz w:val="16"/>
        </w:rPr>
        <w:t> </w:t>
      </w:r>
      <w:r>
        <w:rPr>
          <w:sz w:val="16"/>
        </w:rPr>
        <w:t>en</w:t>
      </w:r>
      <w:r>
        <w:rPr>
          <w:spacing w:val="-6"/>
          <w:sz w:val="16"/>
        </w:rPr>
        <w:t> </w:t>
      </w:r>
      <w:r>
        <w:rPr>
          <w:sz w:val="16"/>
        </w:rPr>
        <w:t>1997,</w:t>
      </w:r>
      <w:r>
        <w:rPr>
          <w:spacing w:val="-8"/>
          <w:sz w:val="16"/>
        </w:rPr>
        <w:t> </w:t>
      </w:r>
      <w:r>
        <w:rPr>
          <w:sz w:val="16"/>
        </w:rPr>
        <w:t>para</w:t>
      </w:r>
      <w:r>
        <w:rPr>
          <w:spacing w:val="-8"/>
          <w:sz w:val="16"/>
        </w:rPr>
        <w:t> </w:t>
      </w:r>
      <w:r>
        <w:rPr>
          <w:sz w:val="16"/>
        </w:rPr>
        <w:t>esa</w:t>
      </w:r>
      <w:r>
        <w:rPr>
          <w:spacing w:val="-10"/>
          <w:sz w:val="16"/>
        </w:rPr>
        <w:t> </w:t>
      </w:r>
      <w:r>
        <w:rPr>
          <w:sz w:val="16"/>
        </w:rPr>
        <w:t>fecha</w:t>
      </w:r>
      <w:r>
        <w:rPr>
          <w:spacing w:val="-6"/>
          <w:sz w:val="16"/>
        </w:rPr>
        <w:t> </w:t>
      </w:r>
      <w:r>
        <w:rPr>
          <w:sz w:val="16"/>
        </w:rPr>
        <w:t>la</w:t>
      </w:r>
      <w:r>
        <w:rPr>
          <w:spacing w:val="-8"/>
          <w:sz w:val="16"/>
        </w:rPr>
        <w:t> </w:t>
      </w:r>
      <w:r>
        <w:rPr>
          <w:sz w:val="16"/>
        </w:rPr>
        <w:t>Provincia</w:t>
      </w:r>
      <w:r>
        <w:rPr>
          <w:spacing w:val="-6"/>
          <w:sz w:val="16"/>
        </w:rPr>
        <w:t> </w:t>
      </w:r>
      <w:r>
        <w:rPr>
          <w:sz w:val="16"/>
        </w:rPr>
        <w:t>ya</w:t>
      </w:r>
      <w:r>
        <w:rPr>
          <w:spacing w:val="-8"/>
          <w:sz w:val="16"/>
        </w:rPr>
        <w:t> </w:t>
      </w:r>
      <w:r>
        <w:rPr>
          <w:sz w:val="16"/>
        </w:rPr>
        <w:t>había</w:t>
      </w:r>
      <w:r>
        <w:rPr>
          <w:spacing w:val="-8"/>
          <w:sz w:val="16"/>
        </w:rPr>
        <w:t> </w:t>
      </w:r>
      <w:r>
        <w:rPr>
          <w:sz w:val="16"/>
        </w:rPr>
        <w:t>concluido</w:t>
      </w:r>
      <w:r>
        <w:rPr>
          <w:spacing w:val="-7"/>
          <w:sz w:val="16"/>
        </w:rPr>
        <w:t> </w:t>
      </w:r>
      <w:r>
        <w:rPr>
          <w:sz w:val="16"/>
        </w:rPr>
        <w:t>la</w:t>
      </w:r>
      <w:r>
        <w:rPr>
          <w:spacing w:val="-8"/>
          <w:sz w:val="16"/>
        </w:rPr>
        <w:t> </w:t>
      </w:r>
      <w:r>
        <w:rPr>
          <w:sz w:val="16"/>
        </w:rPr>
        <w:t>construcción</w:t>
      </w:r>
      <w:r>
        <w:rPr>
          <w:spacing w:val="-8"/>
          <w:sz w:val="16"/>
        </w:rPr>
        <w:t> </w:t>
      </w:r>
      <w:r>
        <w:rPr>
          <w:sz w:val="16"/>
        </w:rPr>
        <w:t>del</w:t>
      </w:r>
      <w:r>
        <w:rPr>
          <w:spacing w:val="-8"/>
          <w:sz w:val="16"/>
        </w:rPr>
        <w:t> </w:t>
      </w:r>
      <w:r>
        <w:rPr>
          <w:sz w:val="16"/>
        </w:rPr>
        <w:t>puente sin tomar ningún recaudo a favor de las comunidades</w:t>
      </w:r>
      <w:r>
        <w:rPr>
          <w:spacing w:val="-23"/>
          <w:sz w:val="16"/>
        </w:rPr>
        <w:t> </w:t>
      </w:r>
      <w:r>
        <w:rPr>
          <w:sz w:val="16"/>
        </w:rPr>
        <w:t>indígenas”.</w:t>
      </w:r>
    </w:p>
    <w:p>
      <w:pPr>
        <w:pStyle w:val="BodyText"/>
        <w:spacing w:before="11"/>
        <w:rPr>
          <w:sz w:val="15"/>
        </w:rPr>
      </w:pPr>
    </w:p>
    <w:p>
      <w:pPr>
        <w:tabs>
          <w:tab w:pos="829" w:val="left" w:leader="none"/>
        </w:tabs>
        <w:spacing w:before="0"/>
        <w:ind w:left="122" w:right="117" w:firstLine="0"/>
        <w:jc w:val="both"/>
        <w:rPr>
          <w:sz w:val="16"/>
        </w:rPr>
      </w:pPr>
      <w:r>
        <w:rPr>
          <w:position w:val="6"/>
          <w:sz w:val="10"/>
        </w:rPr>
        <w:t>293</w:t>
        <w:tab/>
      </w:r>
      <w:r>
        <w:rPr>
          <w:sz w:val="16"/>
        </w:rPr>
        <w:t>En</w:t>
      </w:r>
      <w:r>
        <w:rPr>
          <w:spacing w:val="25"/>
          <w:sz w:val="16"/>
        </w:rPr>
        <w:t> </w:t>
      </w:r>
      <w:r>
        <w:rPr>
          <w:sz w:val="16"/>
        </w:rPr>
        <w:t>noviembre</w:t>
      </w:r>
      <w:r>
        <w:rPr>
          <w:spacing w:val="24"/>
          <w:sz w:val="16"/>
        </w:rPr>
        <w:t> </w:t>
      </w:r>
      <w:r>
        <w:rPr>
          <w:sz w:val="16"/>
        </w:rPr>
        <w:t>de</w:t>
      </w:r>
      <w:r>
        <w:rPr>
          <w:spacing w:val="21"/>
          <w:sz w:val="16"/>
        </w:rPr>
        <w:t> </w:t>
      </w:r>
      <w:r>
        <w:rPr>
          <w:sz w:val="16"/>
        </w:rPr>
        <w:t>1999</w:t>
      </w:r>
      <w:r>
        <w:rPr>
          <w:spacing w:val="22"/>
          <w:sz w:val="16"/>
        </w:rPr>
        <w:t> </w:t>
      </w:r>
      <w:r>
        <w:rPr>
          <w:sz w:val="16"/>
        </w:rPr>
        <w:t>Salta</w:t>
      </w:r>
      <w:r>
        <w:rPr>
          <w:spacing w:val="25"/>
          <w:sz w:val="16"/>
        </w:rPr>
        <w:t> </w:t>
      </w:r>
      <w:r>
        <w:rPr>
          <w:sz w:val="16"/>
        </w:rPr>
        <w:t>dictó</w:t>
      </w:r>
      <w:r>
        <w:rPr>
          <w:spacing w:val="24"/>
          <w:sz w:val="16"/>
        </w:rPr>
        <w:t> </w:t>
      </w:r>
      <w:r>
        <w:rPr>
          <w:sz w:val="16"/>
        </w:rPr>
        <w:t>la</w:t>
      </w:r>
      <w:r>
        <w:rPr>
          <w:spacing w:val="23"/>
          <w:sz w:val="16"/>
        </w:rPr>
        <w:t> </w:t>
      </w:r>
      <w:r>
        <w:rPr>
          <w:sz w:val="16"/>
        </w:rPr>
        <w:t>Resolución</w:t>
      </w:r>
      <w:r>
        <w:rPr>
          <w:spacing w:val="20"/>
          <w:sz w:val="16"/>
        </w:rPr>
        <w:t> </w:t>
      </w:r>
      <w:r>
        <w:rPr>
          <w:sz w:val="16"/>
        </w:rPr>
        <w:t>423/99,</w:t>
      </w:r>
      <w:r>
        <w:rPr>
          <w:spacing w:val="23"/>
          <w:sz w:val="16"/>
        </w:rPr>
        <w:t> </w:t>
      </w:r>
      <w:r>
        <w:rPr>
          <w:sz w:val="16"/>
        </w:rPr>
        <w:t>que</w:t>
      </w:r>
      <w:r>
        <w:rPr>
          <w:spacing w:val="24"/>
          <w:sz w:val="16"/>
        </w:rPr>
        <w:t> </w:t>
      </w:r>
      <w:r>
        <w:rPr>
          <w:sz w:val="16"/>
        </w:rPr>
        <w:t>preveía</w:t>
      </w:r>
      <w:r>
        <w:rPr>
          <w:spacing w:val="22"/>
          <w:sz w:val="16"/>
        </w:rPr>
        <w:t> </w:t>
      </w:r>
      <w:r>
        <w:rPr>
          <w:sz w:val="16"/>
        </w:rPr>
        <w:t>acciones</w:t>
      </w:r>
      <w:r>
        <w:rPr>
          <w:spacing w:val="24"/>
          <w:sz w:val="16"/>
        </w:rPr>
        <w:t> </w:t>
      </w:r>
      <w:r>
        <w:rPr>
          <w:sz w:val="16"/>
        </w:rPr>
        <w:t>a</w:t>
      </w:r>
      <w:r>
        <w:rPr>
          <w:spacing w:val="23"/>
          <w:sz w:val="16"/>
        </w:rPr>
        <w:t> </w:t>
      </w:r>
      <w:r>
        <w:rPr>
          <w:sz w:val="16"/>
        </w:rPr>
        <w:t>fin</w:t>
      </w:r>
      <w:r>
        <w:rPr>
          <w:spacing w:val="23"/>
          <w:sz w:val="16"/>
        </w:rPr>
        <w:t> </w:t>
      </w:r>
      <w:r>
        <w:rPr>
          <w:sz w:val="16"/>
        </w:rPr>
        <w:t>de</w:t>
      </w:r>
      <w:r>
        <w:rPr>
          <w:spacing w:val="26"/>
          <w:sz w:val="16"/>
        </w:rPr>
        <w:t> </w:t>
      </w:r>
      <w:r>
        <w:rPr>
          <w:sz w:val="16"/>
        </w:rPr>
        <w:t>adjudicar</w:t>
      </w:r>
      <w:r>
        <w:rPr>
          <w:w w:val="100"/>
          <w:sz w:val="16"/>
        </w:rPr>
        <w:t> </w:t>
      </w:r>
      <w:r>
        <w:rPr>
          <w:sz w:val="16"/>
        </w:rPr>
        <w:t>terrenos (</w:t>
      </w:r>
      <w:r>
        <w:rPr>
          <w:i/>
          <w:sz w:val="16"/>
        </w:rPr>
        <w:t>supra </w:t>
      </w:r>
      <w:r>
        <w:rPr>
          <w:sz w:val="16"/>
        </w:rPr>
        <w:t>párr. 65). Los representantes señalaron que, luego de una sentencia de la Corte Suprema de Justicia de la Nación de 15 de junio de 2004, el 8 de mayo de 2007 la Corte de Justicia de Salta declaró la nulidad</w:t>
      </w:r>
      <w:r>
        <w:rPr>
          <w:spacing w:val="-6"/>
          <w:sz w:val="16"/>
        </w:rPr>
        <w:t> </w:t>
      </w:r>
      <w:r>
        <w:rPr>
          <w:sz w:val="16"/>
        </w:rPr>
        <w:t>de</w:t>
      </w:r>
      <w:r>
        <w:rPr>
          <w:spacing w:val="-6"/>
          <w:sz w:val="16"/>
        </w:rPr>
        <w:t> </w:t>
      </w:r>
      <w:r>
        <w:rPr>
          <w:sz w:val="16"/>
        </w:rPr>
        <w:t>la</w:t>
      </w:r>
      <w:r>
        <w:rPr>
          <w:spacing w:val="-9"/>
          <w:sz w:val="16"/>
        </w:rPr>
        <w:t> </w:t>
      </w:r>
      <w:r>
        <w:rPr>
          <w:sz w:val="16"/>
        </w:rPr>
        <w:t>Resolución</w:t>
      </w:r>
      <w:r>
        <w:rPr>
          <w:spacing w:val="-7"/>
          <w:sz w:val="16"/>
        </w:rPr>
        <w:t> </w:t>
      </w:r>
      <w:r>
        <w:rPr>
          <w:sz w:val="16"/>
        </w:rPr>
        <w:t>423/99</w:t>
      </w:r>
      <w:r>
        <w:rPr>
          <w:spacing w:val="-5"/>
          <w:sz w:val="16"/>
        </w:rPr>
        <w:t> </w:t>
      </w:r>
      <w:r>
        <w:rPr>
          <w:sz w:val="16"/>
        </w:rPr>
        <w:t>(y</w:t>
      </w:r>
      <w:r>
        <w:rPr>
          <w:spacing w:val="-5"/>
          <w:sz w:val="16"/>
        </w:rPr>
        <w:t> </w:t>
      </w:r>
      <w:r>
        <w:rPr>
          <w:sz w:val="16"/>
        </w:rPr>
        <w:t>del</w:t>
      </w:r>
      <w:r>
        <w:rPr>
          <w:spacing w:val="-7"/>
          <w:sz w:val="16"/>
        </w:rPr>
        <w:t> </w:t>
      </w:r>
      <w:r>
        <w:rPr>
          <w:sz w:val="16"/>
        </w:rPr>
        <w:t>Decreto</w:t>
      </w:r>
      <w:r>
        <w:rPr>
          <w:spacing w:val="-8"/>
          <w:sz w:val="16"/>
        </w:rPr>
        <w:t> </w:t>
      </w:r>
      <w:r>
        <w:rPr>
          <w:sz w:val="16"/>
        </w:rPr>
        <w:t>461/99).</w:t>
      </w:r>
      <w:r>
        <w:rPr>
          <w:spacing w:val="-7"/>
          <w:sz w:val="16"/>
        </w:rPr>
        <w:t> </w:t>
      </w:r>
      <w:r>
        <w:rPr>
          <w:sz w:val="16"/>
        </w:rPr>
        <w:t>Adujeron</w:t>
      </w:r>
      <w:r>
        <w:rPr>
          <w:spacing w:val="-9"/>
          <w:sz w:val="16"/>
        </w:rPr>
        <w:t> </w:t>
      </w:r>
      <w:r>
        <w:rPr>
          <w:sz w:val="16"/>
        </w:rPr>
        <w:t>que,</w:t>
      </w:r>
      <w:r>
        <w:rPr>
          <w:spacing w:val="-7"/>
          <w:sz w:val="16"/>
        </w:rPr>
        <w:t> </w:t>
      </w:r>
      <w:r>
        <w:rPr>
          <w:sz w:val="16"/>
        </w:rPr>
        <w:t>pese</w:t>
      </w:r>
      <w:r>
        <w:rPr>
          <w:spacing w:val="-6"/>
          <w:sz w:val="16"/>
        </w:rPr>
        <w:t> </w:t>
      </w:r>
      <w:r>
        <w:rPr>
          <w:sz w:val="16"/>
        </w:rPr>
        <w:t>al</w:t>
      </w:r>
      <w:r>
        <w:rPr>
          <w:spacing w:val="-9"/>
          <w:sz w:val="16"/>
        </w:rPr>
        <w:t> </w:t>
      </w:r>
      <w:r>
        <w:rPr>
          <w:sz w:val="16"/>
        </w:rPr>
        <w:t>resultado,</w:t>
      </w:r>
      <w:r>
        <w:rPr>
          <w:spacing w:val="-9"/>
          <w:sz w:val="16"/>
        </w:rPr>
        <w:t> </w:t>
      </w:r>
      <w:r>
        <w:rPr>
          <w:sz w:val="16"/>
        </w:rPr>
        <w:t>la</w:t>
      </w:r>
      <w:r>
        <w:rPr>
          <w:spacing w:val="-7"/>
          <w:sz w:val="16"/>
        </w:rPr>
        <w:t> </w:t>
      </w:r>
      <w:r>
        <w:rPr>
          <w:sz w:val="16"/>
        </w:rPr>
        <w:t>vía</w:t>
      </w:r>
      <w:r>
        <w:rPr>
          <w:spacing w:val="-7"/>
          <w:sz w:val="16"/>
        </w:rPr>
        <w:t> </w:t>
      </w:r>
      <w:r>
        <w:rPr>
          <w:sz w:val="16"/>
        </w:rPr>
        <w:t>judicial</w:t>
      </w:r>
      <w:r>
        <w:rPr>
          <w:spacing w:val="-7"/>
          <w:sz w:val="16"/>
        </w:rPr>
        <w:t> </w:t>
      </w:r>
      <w:r>
        <w:rPr>
          <w:sz w:val="16"/>
        </w:rPr>
        <w:t>no</w:t>
      </w:r>
      <w:r>
        <w:rPr>
          <w:spacing w:val="-5"/>
          <w:sz w:val="16"/>
        </w:rPr>
        <w:t> </w:t>
      </w:r>
      <w:r>
        <w:rPr>
          <w:sz w:val="16"/>
        </w:rPr>
        <w:t>fue “expedita</w:t>
      </w:r>
      <w:r>
        <w:rPr>
          <w:spacing w:val="-3"/>
          <w:sz w:val="16"/>
        </w:rPr>
        <w:t> </w:t>
      </w:r>
      <w:r>
        <w:rPr>
          <w:sz w:val="16"/>
        </w:rPr>
        <w:t>e</w:t>
      </w:r>
      <w:r>
        <w:rPr>
          <w:spacing w:val="-2"/>
          <w:sz w:val="16"/>
        </w:rPr>
        <w:t> </w:t>
      </w:r>
      <w:r>
        <w:rPr>
          <w:sz w:val="16"/>
        </w:rPr>
        <w:t>idónea”</w:t>
      </w:r>
      <w:r>
        <w:rPr>
          <w:spacing w:val="-5"/>
          <w:sz w:val="16"/>
        </w:rPr>
        <w:t> </w:t>
      </w:r>
      <w:r>
        <w:rPr>
          <w:sz w:val="16"/>
        </w:rPr>
        <w:t>pues</w:t>
      </w:r>
      <w:r>
        <w:rPr>
          <w:spacing w:val="-5"/>
          <w:sz w:val="16"/>
        </w:rPr>
        <w:t> </w:t>
      </w:r>
      <w:r>
        <w:rPr>
          <w:sz w:val="16"/>
        </w:rPr>
        <w:t>“tuvieron</w:t>
      </w:r>
      <w:r>
        <w:rPr>
          <w:spacing w:val="-6"/>
          <w:sz w:val="16"/>
        </w:rPr>
        <w:t> </w:t>
      </w:r>
      <w:r>
        <w:rPr>
          <w:sz w:val="16"/>
        </w:rPr>
        <w:t>que</w:t>
      </w:r>
      <w:r>
        <w:rPr>
          <w:spacing w:val="-2"/>
          <w:sz w:val="16"/>
        </w:rPr>
        <w:t> </w:t>
      </w:r>
      <w:r>
        <w:rPr>
          <w:sz w:val="16"/>
        </w:rPr>
        <w:t>pasar</w:t>
      </w:r>
      <w:r>
        <w:rPr>
          <w:spacing w:val="-2"/>
          <w:sz w:val="16"/>
        </w:rPr>
        <w:t> </w:t>
      </w:r>
      <w:r>
        <w:rPr>
          <w:sz w:val="16"/>
        </w:rPr>
        <w:t>alrededor</w:t>
      </w:r>
      <w:r>
        <w:rPr>
          <w:spacing w:val="-4"/>
          <w:sz w:val="16"/>
        </w:rPr>
        <w:t> </w:t>
      </w:r>
      <w:r>
        <w:rPr>
          <w:sz w:val="16"/>
        </w:rPr>
        <w:t>de</w:t>
      </w:r>
      <w:r>
        <w:rPr>
          <w:spacing w:val="-5"/>
          <w:sz w:val="16"/>
        </w:rPr>
        <w:t> </w:t>
      </w:r>
      <w:r>
        <w:rPr>
          <w:sz w:val="16"/>
        </w:rPr>
        <w:t>ocho</w:t>
      </w:r>
      <w:r>
        <w:rPr>
          <w:spacing w:val="-2"/>
          <w:sz w:val="16"/>
        </w:rPr>
        <w:t> </w:t>
      </w:r>
      <w:r>
        <w:rPr>
          <w:sz w:val="16"/>
        </w:rPr>
        <w:t>años</w:t>
      </w:r>
      <w:r>
        <w:rPr>
          <w:spacing w:val="-5"/>
          <w:sz w:val="16"/>
        </w:rPr>
        <w:t> </w:t>
      </w:r>
      <w:r>
        <w:rPr>
          <w:sz w:val="16"/>
        </w:rPr>
        <w:t>para</w:t>
      </w:r>
      <w:r>
        <w:rPr>
          <w:spacing w:val="-6"/>
          <w:sz w:val="16"/>
        </w:rPr>
        <w:t> </w:t>
      </w:r>
      <w:r>
        <w:rPr>
          <w:sz w:val="16"/>
        </w:rPr>
        <w:t>que</w:t>
      </w:r>
      <w:r>
        <w:rPr>
          <w:spacing w:val="-2"/>
          <w:sz w:val="16"/>
        </w:rPr>
        <w:t> </w:t>
      </w:r>
      <w:r>
        <w:rPr>
          <w:sz w:val="16"/>
        </w:rPr>
        <w:t>se</w:t>
      </w:r>
      <w:r>
        <w:rPr>
          <w:spacing w:val="-2"/>
          <w:sz w:val="16"/>
        </w:rPr>
        <w:t> </w:t>
      </w:r>
      <w:r>
        <w:rPr>
          <w:sz w:val="16"/>
        </w:rPr>
        <w:t>dejaran</w:t>
      </w:r>
      <w:r>
        <w:rPr>
          <w:spacing w:val="-6"/>
          <w:sz w:val="16"/>
        </w:rPr>
        <w:t> </w:t>
      </w:r>
      <w:r>
        <w:rPr>
          <w:sz w:val="16"/>
        </w:rPr>
        <w:t>sin</w:t>
      </w:r>
      <w:r>
        <w:rPr>
          <w:spacing w:val="-4"/>
          <w:sz w:val="16"/>
        </w:rPr>
        <w:t> </w:t>
      </w:r>
      <w:r>
        <w:rPr>
          <w:sz w:val="16"/>
        </w:rPr>
        <w:t>efecto</w:t>
      </w:r>
      <w:r>
        <w:rPr>
          <w:spacing w:val="-2"/>
          <w:sz w:val="16"/>
        </w:rPr>
        <w:t> </w:t>
      </w:r>
      <w:r>
        <w:rPr>
          <w:sz w:val="16"/>
        </w:rPr>
        <w:t>los</w:t>
      </w:r>
      <w:r>
        <w:rPr>
          <w:spacing w:val="-2"/>
          <w:sz w:val="16"/>
        </w:rPr>
        <w:t> </w:t>
      </w:r>
      <w:r>
        <w:rPr>
          <w:sz w:val="16"/>
        </w:rPr>
        <w:t>actos administrativos”.</w:t>
      </w:r>
    </w:p>
    <w:p>
      <w:pPr>
        <w:pStyle w:val="BodyText"/>
        <w:spacing w:before="11"/>
        <w:rPr>
          <w:sz w:val="15"/>
        </w:rPr>
      </w:pPr>
    </w:p>
    <w:p>
      <w:pPr>
        <w:tabs>
          <w:tab w:pos="829" w:val="left" w:leader="none"/>
        </w:tabs>
        <w:spacing w:line="240" w:lineRule="auto" w:before="0"/>
        <w:ind w:left="122" w:right="113" w:firstLine="0"/>
        <w:jc w:val="both"/>
        <w:rPr>
          <w:sz w:val="16"/>
        </w:rPr>
      </w:pPr>
      <w:r>
        <w:rPr>
          <w:position w:val="6"/>
          <w:sz w:val="10"/>
        </w:rPr>
        <w:t>294</w:t>
        <w:tab/>
      </w:r>
      <w:r>
        <w:rPr>
          <w:sz w:val="16"/>
        </w:rPr>
        <w:t>Los representantes manifestaron que la ley 7.352, que convocó al referéndum, motivó</w:t>
      </w:r>
      <w:r>
        <w:rPr>
          <w:spacing w:val="3"/>
          <w:sz w:val="16"/>
        </w:rPr>
        <w:t> </w:t>
      </w:r>
      <w:r>
        <w:rPr>
          <w:sz w:val="16"/>
        </w:rPr>
        <w:t>tres</w:t>
      </w:r>
      <w:r>
        <w:rPr>
          <w:spacing w:val="1"/>
          <w:sz w:val="16"/>
        </w:rPr>
        <w:t> </w:t>
      </w:r>
      <w:r>
        <w:rPr>
          <w:sz w:val="16"/>
        </w:rPr>
        <w:t>acciones</w:t>
      </w:r>
      <w:r>
        <w:rPr>
          <w:w w:val="100"/>
          <w:sz w:val="16"/>
        </w:rPr>
        <w:t> </w:t>
      </w:r>
      <w:r>
        <w:rPr>
          <w:sz w:val="16"/>
        </w:rPr>
        <w:t>judiciales: una de Lhaka Honhat ante la Corte Suprema de Justicia de la Nación; otra, de una agrupación de derechos humanos local ante la Corte de Justicia de Salta; la tercera, del “gobierno salteño” a través de un “cacique ajeno al conflicto […] y afín políticamente al entonces gobernador”, contra Lhaka Honhat, ante la justicia de Salta, para que Lhaka Honhat desistiera de sus acciones. De acuerdo a lo informado por los representantes, respecto a tales acciones judiciales ocurrió lo que sigue. La primera, una acción “declarativa de</w:t>
      </w:r>
      <w:r>
        <w:rPr>
          <w:spacing w:val="-2"/>
          <w:sz w:val="16"/>
        </w:rPr>
        <w:t> </w:t>
      </w:r>
      <w:r>
        <w:rPr>
          <w:sz w:val="16"/>
        </w:rPr>
        <w:t>certeza”,</w:t>
      </w:r>
      <w:r>
        <w:rPr>
          <w:spacing w:val="-4"/>
          <w:sz w:val="16"/>
        </w:rPr>
        <w:t> </w:t>
      </w:r>
      <w:r>
        <w:rPr>
          <w:sz w:val="16"/>
        </w:rPr>
        <w:t>fue</w:t>
      </w:r>
      <w:r>
        <w:rPr>
          <w:spacing w:val="-5"/>
          <w:sz w:val="16"/>
        </w:rPr>
        <w:t> </w:t>
      </w:r>
      <w:r>
        <w:rPr>
          <w:sz w:val="16"/>
        </w:rPr>
        <w:t>rechazada</w:t>
      </w:r>
      <w:r>
        <w:rPr>
          <w:spacing w:val="-6"/>
          <w:sz w:val="16"/>
        </w:rPr>
        <w:t> </w:t>
      </w:r>
      <w:r>
        <w:rPr>
          <w:sz w:val="16"/>
        </w:rPr>
        <w:t>por</w:t>
      </w:r>
      <w:r>
        <w:rPr>
          <w:spacing w:val="-2"/>
          <w:sz w:val="16"/>
        </w:rPr>
        <w:t> </w:t>
      </w:r>
      <w:r>
        <w:rPr>
          <w:sz w:val="16"/>
        </w:rPr>
        <w:t>la</w:t>
      </w:r>
      <w:r>
        <w:rPr>
          <w:spacing w:val="-6"/>
          <w:sz w:val="16"/>
        </w:rPr>
        <w:t> </w:t>
      </w:r>
      <w:r>
        <w:rPr>
          <w:sz w:val="16"/>
        </w:rPr>
        <w:t>Corte</w:t>
      </w:r>
      <w:r>
        <w:rPr>
          <w:spacing w:val="-5"/>
          <w:sz w:val="16"/>
        </w:rPr>
        <w:t> </w:t>
      </w:r>
      <w:r>
        <w:rPr>
          <w:sz w:val="16"/>
        </w:rPr>
        <w:t>Suprema</w:t>
      </w:r>
      <w:r>
        <w:rPr>
          <w:spacing w:val="-6"/>
          <w:sz w:val="16"/>
        </w:rPr>
        <w:t> </w:t>
      </w:r>
      <w:r>
        <w:rPr>
          <w:sz w:val="16"/>
        </w:rPr>
        <w:t>de</w:t>
      </w:r>
      <w:r>
        <w:rPr>
          <w:spacing w:val="-2"/>
          <w:sz w:val="16"/>
        </w:rPr>
        <w:t> </w:t>
      </w:r>
      <w:r>
        <w:rPr>
          <w:sz w:val="16"/>
        </w:rPr>
        <w:t>Justicia</w:t>
      </w:r>
      <w:r>
        <w:rPr>
          <w:spacing w:val="-6"/>
          <w:sz w:val="16"/>
        </w:rPr>
        <w:t> </w:t>
      </w:r>
      <w:r>
        <w:rPr>
          <w:sz w:val="16"/>
        </w:rPr>
        <w:t>de</w:t>
      </w:r>
      <w:r>
        <w:rPr>
          <w:spacing w:val="-5"/>
          <w:sz w:val="16"/>
        </w:rPr>
        <w:t> </w:t>
      </w:r>
      <w:r>
        <w:rPr>
          <w:sz w:val="16"/>
        </w:rPr>
        <w:t>la</w:t>
      </w:r>
      <w:r>
        <w:rPr>
          <w:spacing w:val="-3"/>
          <w:sz w:val="16"/>
        </w:rPr>
        <w:t> </w:t>
      </w:r>
      <w:r>
        <w:rPr>
          <w:sz w:val="16"/>
        </w:rPr>
        <w:t>Nación</w:t>
      </w:r>
      <w:r>
        <w:rPr>
          <w:spacing w:val="-5"/>
          <w:sz w:val="16"/>
        </w:rPr>
        <w:t> </w:t>
      </w:r>
      <w:r>
        <w:rPr>
          <w:sz w:val="16"/>
        </w:rPr>
        <w:t>el</w:t>
      </w:r>
      <w:r>
        <w:rPr>
          <w:spacing w:val="-5"/>
          <w:sz w:val="16"/>
        </w:rPr>
        <w:t> </w:t>
      </w:r>
      <w:r>
        <w:rPr>
          <w:sz w:val="16"/>
        </w:rPr>
        <w:t>27</w:t>
      </w:r>
      <w:r>
        <w:rPr>
          <w:spacing w:val="-4"/>
          <w:sz w:val="16"/>
        </w:rPr>
        <w:t> </w:t>
      </w:r>
      <w:r>
        <w:rPr>
          <w:sz w:val="16"/>
        </w:rPr>
        <w:t>de</w:t>
      </w:r>
      <w:r>
        <w:rPr>
          <w:spacing w:val="-2"/>
          <w:sz w:val="16"/>
        </w:rPr>
        <w:t> </w:t>
      </w:r>
      <w:r>
        <w:rPr>
          <w:sz w:val="16"/>
        </w:rPr>
        <w:t>septiembre</w:t>
      </w:r>
      <w:r>
        <w:rPr>
          <w:spacing w:val="-5"/>
          <w:sz w:val="16"/>
        </w:rPr>
        <w:t> </w:t>
      </w:r>
      <w:r>
        <w:rPr>
          <w:sz w:val="16"/>
        </w:rPr>
        <w:t>de</w:t>
      </w:r>
      <w:r>
        <w:rPr>
          <w:spacing w:val="-5"/>
          <w:sz w:val="16"/>
        </w:rPr>
        <w:t> </w:t>
      </w:r>
      <w:r>
        <w:rPr>
          <w:sz w:val="16"/>
        </w:rPr>
        <w:t>2005</w:t>
      </w:r>
      <w:r>
        <w:rPr>
          <w:spacing w:val="-4"/>
          <w:sz w:val="16"/>
        </w:rPr>
        <w:t> </w:t>
      </w:r>
      <w:r>
        <w:rPr>
          <w:sz w:val="16"/>
        </w:rPr>
        <w:t>porque entendió que no estaba en juego la vigencia de la Constitución Nacional y que el Estado Nacional no estaba involucrado, por lo que se declaró incompetente. Respecto a la segunda, fue rechazada el 29 de septiembre de 2005: la Corte de Justicia de Salta afirmó que la ley 7.352 no resultaba arbitraria en forma manifiesta, y no podía “desvanecer[se] la presunción de legalidad que […] ostenta[ba]”. La tercera acción fue acogida favorablemente, el 7 de septiembre de 2005, por un juez de primera instancia, entendiendo que las presentaciones judiciales y extrajudiciales de Lhaka Honhat eran “arbitrarias”. La decisión fue apelada, y la Corte de Justicia de Salta rechazó la apelación el 14 de febrero de 2006, cuatro meses después de realizado el referéndum, indicando que “la cuestión había devenido</w:t>
      </w:r>
      <w:r>
        <w:rPr>
          <w:spacing w:val="-20"/>
          <w:sz w:val="16"/>
        </w:rPr>
        <w:t> </w:t>
      </w:r>
      <w:r>
        <w:rPr>
          <w:sz w:val="16"/>
        </w:rPr>
        <w:t>abstracta”.</w:t>
      </w:r>
    </w:p>
    <w:p>
      <w:pPr>
        <w:spacing w:after="0" w:line="240" w:lineRule="auto"/>
        <w:jc w:val="both"/>
        <w:rPr>
          <w:sz w:val="16"/>
        </w:rPr>
        <w:sectPr>
          <w:footerReference w:type="default" r:id="rId30"/>
          <w:pgSz w:w="12240" w:h="15840"/>
          <w:pgMar w:footer="1000" w:header="0" w:top="1340" w:bottom="1200" w:left="1580" w:right="1580"/>
          <w:pgNumType w:start="100"/>
        </w:sectPr>
      </w:pPr>
    </w:p>
    <w:p>
      <w:pPr>
        <w:pStyle w:val="Heading4"/>
        <w:spacing w:before="76"/>
        <w:ind w:left="481"/>
        <w:rPr>
          <w:i/>
        </w:rPr>
      </w:pPr>
      <w:bookmarkStart w:name="_bookmark76" w:id="129"/>
      <w:bookmarkEnd w:id="129"/>
      <w:r>
        <w:rPr>
          <w:b w:val="0"/>
          <w:i w:val="0"/>
        </w:rPr>
      </w:r>
      <w:r>
        <w:rPr>
          <w:i/>
        </w:rPr>
        <w:t>B) </w:t>
      </w:r>
      <w:r>
        <w:rPr>
          <w:i/>
          <w:u w:val="thick"/>
        </w:rPr>
        <w:t>Consideraciones de la Corte</w:t>
      </w:r>
    </w:p>
    <w:p>
      <w:pPr>
        <w:pStyle w:val="BodyText"/>
        <w:spacing w:before="11"/>
        <w:rPr>
          <w:b/>
          <w:i/>
          <w:sz w:val="11"/>
        </w:rPr>
      </w:pPr>
    </w:p>
    <w:p>
      <w:pPr>
        <w:pStyle w:val="ListParagraph"/>
        <w:numPr>
          <w:ilvl w:val="0"/>
          <w:numId w:val="34"/>
        </w:numPr>
        <w:tabs>
          <w:tab w:pos="830" w:val="left" w:leader="none"/>
        </w:tabs>
        <w:spacing w:line="240" w:lineRule="auto" w:before="99" w:after="0"/>
        <w:ind w:left="122" w:right="131" w:firstLine="0"/>
        <w:jc w:val="both"/>
        <w:rPr>
          <w:sz w:val="20"/>
        </w:rPr>
      </w:pPr>
      <w:r>
        <w:rPr>
          <w:sz w:val="20"/>
        </w:rPr>
        <w:t>En primer término, la Corte realizará consideraciones generales respecto de los artículos</w:t>
      </w:r>
      <w:r>
        <w:rPr>
          <w:spacing w:val="-15"/>
          <w:sz w:val="20"/>
        </w:rPr>
        <w:t> </w:t>
      </w:r>
      <w:r>
        <w:rPr>
          <w:sz w:val="20"/>
        </w:rPr>
        <w:t>8.1</w:t>
      </w:r>
      <w:r>
        <w:rPr>
          <w:spacing w:val="-16"/>
          <w:sz w:val="20"/>
        </w:rPr>
        <w:t> </w:t>
      </w:r>
      <w:r>
        <w:rPr>
          <w:sz w:val="20"/>
        </w:rPr>
        <w:t>y</w:t>
      </w:r>
      <w:r>
        <w:rPr>
          <w:spacing w:val="-16"/>
          <w:sz w:val="20"/>
        </w:rPr>
        <w:t> </w:t>
      </w:r>
      <w:r>
        <w:rPr>
          <w:sz w:val="20"/>
        </w:rPr>
        <w:t>25.1</w:t>
      </w:r>
      <w:r>
        <w:rPr>
          <w:spacing w:val="-16"/>
          <w:sz w:val="20"/>
        </w:rPr>
        <w:t> </w:t>
      </w:r>
      <w:r>
        <w:rPr>
          <w:sz w:val="20"/>
        </w:rPr>
        <w:t>de</w:t>
      </w:r>
      <w:r>
        <w:rPr>
          <w:spacing w:val="-15"/>
          <w:sz w:val="20"/>
        </w:rPr>
        <w:t> </w:t>
      </w:r>
      <w:r>
        <w:rPr>
          <w:sz w:val="20"/>
        </w:rPr>
        <w:t>la</w:t>
      </w:r>
      <w:r>
        <w:rPr>
          <w:spacing w:val="-16"/>
          <w:sz w:val="20"/>
        </w:rPr>
        <w:t> </w:t>
      </w:r>
      <w:r>
        <w:rPr>
          <w:sz w:val="20"/>
        </w:rPr>
        <w:t>Convención</w:t>
      </w:r>
      <w:r>
        <w:rPr>
          <w:spacing w:val="-14"/>
          <w:sz w:val="20"/>
        </w:rPr>
        <w:t> </w:t>
      </w:r>
      <w:r>
        <w:rPr>
          <w:sz w:val="20"/>
        </w:rPr>
        <w:t>y</w:t>
      </w:r>
      <w:r>
        <w:rPr>
          <w:spacing w:val="-16"/>
          <w:sz w:val="20"/>
        </w:rPr>
        <w:t> </w:t>
      </w:r>
      <w:r>
        <w:rPr>
          <w:sz w:val="20"/>
        </w:rPr>
        <w:t>seguidamente</w:t>
      </w:r>
      <w:r>
        <w:rPr>
          <w:spacing w:val="-15"/>
          <w:sz w:val="20"/>
        </w:rPr>
        <w:t> </w:t>
      </w:r>
      <w:r>
        <w:rPr>
          <w:sz w:val="20"/>
        </w:rPr>
        <w:t>examinará</w:t>
      </w:r>
      <w:r>
        <w:rPr>
          <w:spacing w:val="-14"/>
          <w:sz w:val="20"/>
        </w:rPr>
        <w:t> </w:t>
      </w:r>
      <w:r>
        <w:rPr>
          <w:sz w:val="20"/>
        </w:rPr>
        <w:t>el</w:t>
      </w:r>
      <w:r>
        <w:rPr>
          <w:spacing w:val="-14"/>
          <w:sz w:val="20"/>
        </w:rPr>
        <w:t> </w:t>
      </w:r>
      <w:r>
        <w:rPr>
          <w:sz w:val="20"/>
        </w:rPr>
        <w:t>caso</w:t>
      </w:r>
      <w:r>
        <w:rPr>
          <w:spacing w:val="-17"/>
          <w:sz w:val="20"/>
        </w:rPr>
        <w:t> </w:t>
      </w:r>
      <w:r>
        <w:rPr>
          <w:sz w:val="20"/>
        </w:rPr>
        <w:t>concreto.</w:t>
      </w:r>
      <w:r>
        <w:rPr>
          <w:spacing w:val="-17"/>
          <w:sz w:val="20"/>
        </w:rPr>
        <w:t> </w:t>
      </w:r>
      <w:r>
        <w:rPr>
          <w:sz w:val="20"/>
        </w:rPr>
        <w:t>Luego expondrá su</w:t>
      </w:r>
      <w:r>
        <w:rPr>
          <w:spacing w:val="-9"/>
          <w:sz w:val="20"/>
        </w:rPr>
        <w:t> </w:t>
      </w:r>
      <w:r>
        <w:rPr>
          <w:sz w:val="20"/>
        </w:rPr>
        <w:t>conclusión.</w:t>
      </w:r>
    </w:p>
    <w:p>
      <w:pPr>
        <w:pStyle w:val="BodyText"/>
        <w:rPr>
          <w:sz w:val="24"/>
        </w:rPr>
      </w:pPr>
    </w:p>
    <w:p>
      <w:pPr>
        <w:pStyle w:val="Heading4"/>
        <w:spacing w:before="192"/>
        <w:ind w:left="688"/>
        <w:rPr>
          <w:i/>
        </w:rPr>
      </w:pPr>
      <w:bookmarkStart w:name="_bookmark77" w:id="130"/>
      <w:bookmarkEnd w:id="130"/>
      <w:r>
        <w:rPr>
          <w:b w:val="0"/>
          <w:i w:val="0"/>
        </w:rPr>
      </w:r>
      <w:r>
        <w:rPr>
          <w:i/>
        </w:rPr>
        <w:t>B.1. Consideraciones generales</w:t>
      </w:r>
    </w:p>
    <w:p>
      <w:pPr>
        <w:pStyle w:val="BodyText"/>
        <w:rPr>
          <w:b/>
          <w:i/>
        </w:rPr>
      </w:pPr>
    </w:p>
    <w:p>
      <w:pPr>
        <w:pStyle w:val="ListParagraph"/>
        <w:numPr>
          <w:ilvl w:val="0"/>
          <w:numId w:val="34"/>
        </w:numPr>
        <w:tabs>
          <w:tab w:pos="830" w:val="left" w:leader="none"/>
        </w:tabs>
        <w:spacing w:line="242" w:lineRule="auto" w:before="1" w:after="0"/>
        <w:ind w:left="122" w:right="127" w:firstLine="0"/>
        <w:jc w:val="both"/>
        <w:rPr>
          <w:sz w:val="20"/>
        </w:rPr>
      </w:pPr>
      <w:r>
        <w:rPr>
          <w:sz w:val="20"/>
        </w:rPr>
        <w:t>Respecto de las garantías judiciales comprendidas en el artículo 8.1 de la Convención,</w:t>
      </w:r>
      <w:r>
        <w:rPr>
          <w:spacing w:val="-12"/>
          <w:sz w:val="20"/>
        </w:rPr>
        <w:t> </w:t>
      </w:r>
      <w:r>
        <w:rPr>
          <w:sz w:val="20"/>
        </w:rPr>
        <w:t>esta</w:t>
      </w:r>
      <w:r>
        <w:rPr>
          <w:spacing w:val="-13"/>
          <w:sz w:val="20"/>
        </w:rPr>
        <w:t> </w:t>
      </w:r>
      <w:r>
        <w:rPr>
          <w:sz w:val="20"/>
        </w:rPr>
        <w:t>Corte</w:t>
      </w:r>
      <w:r>
        <w:rPr>
          <w:spacing w:val="-13"/>
          <w:sz w:val="20"/>
        </w:rPr>
        <w:t> </w:t>
      </w:r>
      <w:r>
        <w:rPr>
          <w:sz w:val="20"/>
        </w:rPr>
        <w:t>ha</w:t>
      </w:r>
      <w:r>
        <w:rPr>
          <w:spacing w:val="-13"/>
          <w:sz w:val="20"/>
        </w:rPr>
        <w:t> </w:t>
      </w:r>
      <w:r>
        <w:rPr>
          <w:sz w:val="20"/>
        </w:rPr>
        <w:t>entendido</w:t>
      </w:r>
      <w:r>
        <w:rPr>
          <w:spacing w:val="-15"/>
          <w:sz w:val="20"/>
        </w:rPr>
        <w:t> </w:t>
      </w:r>
      <w:r>
        <w:rPr>
          <w:sz w:val="20"/>
        </w:rPr>
        <w:t>que</w:t>
      </w:r>
      <w:r>
        <w:rPr>
          <w:spacing w:val="-15"/>
          <w:sz w:val="20"/>
        </w:rPr>
        <w:t> </w:t>
      </w:r>
      <w:r>
        <w:rPr>
          <w:sz w:val="20"/>
        </w:rPr>
        <w:t>el</w:t>
      </w:r>
      <w:r>
        <w:rPr>
          <w:spacing w:val="-13"/>
          <w:sz w:val="20"/>
        </w:rPr>
        <w:t> </w:t>
      </w:r>
      <w:r>
        <w:rPr>
          <w:sz w:val="20"/>
        </w:rPr>
        <w:t>debido</w:t>
      </w:r>
      <w:r>
        <w:rPr>
          <w:spacing w:val="-15"/>
          <w:sz w:val="20"/>
        </w:rPr>
        <w:t> </w:t>
      </w:r>
      <w:r>
        <w:rPr>
          <w:sz w:val="20"/>
        </w:rPr>
        <w:t>proceso</w:t>
      </w:r>
      <w:r>
        <w:rPr>
          <w:spacing w:val="-15"/>
          <w:sz w:val="20"/>
        </w:rPr>
        <w:t> </w:t>
      </w:r>
      <w:r>
        <w:rPr>
          <w:sz w:val="20"/>
        </w:rPr>
        <w:t>legal</w:t>
      </w:r>
      <w:r>
        <w:rPr>
          <w:spacing w:val="-13"/>
          <w:sz w:val="20"/>
        </w:rPr>
        <w:t> </w:t>
      </w:r>
      <w:r>
        <w:rPr>
          <w:sz w:val="20"/>
        </w:rPr>
        <w:t>“abarca</w:t>
      </w:r>
      <w:r>
        <w:rPr>
          <w:spacing w:val="-12"/>
          <w:sz w:val="20"/>
        </w:rPr>
        <w:t> </w:t>
      </w:r>
      <w:r>
        <w:rPr>
          <w:sz w:val="20"/>
        </w:rPr>
        <w:t>las</w:t>
      </w:r>
      <w:r>
        <w:rPr>
          <w:spacing w:val="-14"/>
          <w:sz w:val="20"/>
        </w:rPr>
        <w:t> </w:t>
      </w:r>
      <w:r>
        <w:rPr>
          <w:sz w:val="20"/>
        </w:rPr>
        <w:t>condiciones que deben cumplirse para asegurar la adecuada defensa de aquéllos cuyos derechos u obligaciones que están bajo consideración judicial”</w:t>
      </w:r>
      <w:r>
        <w:rPr>
          <w:rFonts w:ascii="Calibri" w:hAnsi="Calibri"/>
          <w:position w:val="8"/>
          <w:sz w:val="14"/>
        </w:rPr>
        <w:t>295</w:t>
      </w:r>
      <w:r>
        <w:rPr>
          <w:sz w:val="20"/>
        </w:rPr>
        <w:t>. Por otro lado, el artículo 25 de la Convención contempla “la obligación de los Estados Partes de garantizar, a todas las personas bajo su jurisdicción, un recurso judicial sencillo, rápido y efectivo ante juez o tribunal competente"</w:t>
      </w:r>
      <w:r>
        <w:rPr>
          <w:rFonts w:ascii="Calibri" w:hAnsi="Calibri"/>
          <w:position w:val="8"/>
          <w:sz w:val="14"/>
        </w:rPr>
        <w:t>296</w:t>
      </w:r>
      <w:r>
        <w:rPr>
          <w:sz w:val="20"/>
        </w:rPr>
        <w:t>. Los artículos 8, 25 y 1 se encuentran interrelacionados en la medida que “[l]os […] recursos judiciales efectivos […] deben ser sustanciados de conformidad</w:t>
      </w:r>
      <w:r>
        <w:rPr>
          <w:spacing w:val="-6"/>
          <w:sz w:val="20"/>
        </w:rPr>
        <w:t> </w:t>
      </w:r>
      <w:r>
        <w:rPr>
          <w:sz w:val="20"/>
        </w:rPr>
        <w:t>con</w:t>
      </w:r>
      <w:r>
        <w:rPr>
          <w:spacing w:val="-6"/>
          <w:sz w:val="20"/>
        </w:rPr>
        <w:t> </w:t>
      </w:r>
      <w:r>
        <w:rPr>
          <w:sz w:val="20"/>
        </w:rPr>
        <w:t>las</w:t>
      </w:r>
      <w:r>
        <w:rPr>
          <w:spacing w:val="-4"/>
          <w:sz w:val="20"/>
        </w:rPr>
        <w:t> </w:t>
      </w:r>
      <w:r>
        <w:rPr>
          <w:sz w:val="20"/>
        </w:rPr>
        <w:t>reglas</w:t>
      </w:r>
      <w:r>
        <w:rPr>
          <w:spacing w:val="-7"/>
          <w:sz w:val="20"/>
        </w:rPr>
        <w:t> </w:t>
      </w:r>
      <w:r>
        <w:rPr>
          <w:sz w:val="20"/>
        </w:rPr>
        <w:t>del</w:t>
      </w:r>
      <w:r>
        <w:rPr>
          <w:spacing w:val="-6"/>
          <w:sz w:val="20"/>
        </w:rPr>
        <w:t> </w:t>
      </w:r>
      <w:r>
        <w:rPr>
          <w:sz w:val="20"/>
        </w:rPr>
        <w:t>debido</w:t>
      </w:r>
      <w:r>
        <w:rPr>
          <w:spacing w:val="-8"/>
          <w:sz w:val="20"/>
        </w:rPr>
        <w:t> </w:t>
      </w:r>
      <w:r>
        <w:rPr>
          <w:sz w:val="20"/>
        </w:rPr>
        <w:t>proceso</w:t>
      </w:r>
      <w:r>
        <w:rPr>
          <w:spacing w:val="-8"/>
          <w:sz w:val="20"/>
        </w:rPr>
        <w:t> </w:t>
      </w:r>
      <w:r>
        <w:rPr>
          <w:sz w:val="20"/>
        </w:rPr>
        <w:t>legal,</w:t>
      </w:r>
      <w:r>
        <w:rPr>
          <w:spacing w:val="-7"/>
          <w:sz w:val="20"/>
        </w:rPr>
        <w:t> </w:t>
      </w:r>
      <w:r>
        <w:rPr>
          <w:sz w:val="20"/>
        </w:rPr>
        <w:t>[…]</w:t>
      </w:r>
      <w:r>
        <w:rPr>
          <w:spacing w:val="-6"/>
          <w:sz w:val="20"/>
        </w:rPr>
        <w:t> </w:t>
      </w:r>
      <w:r>
        <w:rPr>
          <w:sz w:val="20"/>
        </w:rPr>
        <w:t>dentro</w:t>
      </w:r>
      <w:r>
        <w:rPr>
          <w:spacing w:val="-8"/>
          <w:sz w:val="20"/>
        </w:rPr>
        <w:t> </w:t>
      </w:r>
      <w:r>
        <w:rPr>
          <w:sz w:val="20"/>
        </w:rPr>
        <w:t>de</w:t>
      </w:r>
      <w:r>
        <w:rPr>
          <w:spacing w:val="-8"/>
          <w:sz w:val="20"/>
        </w:rPr>
        <w:t> </w:t>
      </w:r>
      <w:r>
        <w:rPr>
          <w:sz w:val="20"/>
        </w:rPr>
        <w:t>la</w:t>
      </w:r>
      <w:r>
        <w:rPr>
          <w:spacing w:val="-4"/>
          <w:sz w:val="20"/>
        </w:rPr>
        <w:t> </w:t>
      </w:r>
      <w:r>
        <w:rPr>
          <w:sz w:val="20"/>
        </w:rPr>
        <w:t>obligación</w:t>
      </w:r>
      <w:r>
        <w:rPr>
          <w:spacing w:val="-6"/>
          <w:sz w:val="20"/>
        </w:rPr>
        <w:t> </w:t>
      </w:r>
      <w:r>
        <w:rPr>
          <w:sz w:val="20"/>
        </w:rPr>
        <w:t>general a cargo de los […] Estados, de garantizar el libre y pleno ejercicio de los derechos reconocidos</w:t>
      </w:r>
      <w:r>
        <w:rPr>
          <w:spacing w:val="-16"/>
          <w:sz w:val="20"/>
        </w:rPr>
        <w:t> </w:t>
      </w:r>
      <w:r>
        <w:rPr>
          <w:sz w:val="20"/>
        </w:rPr>
        <w:t>por</w:t>
      </w:r>
      <w:r>
        <w:rPr>
          <w:spacing w:val="-16"/>
          <w:sz w:val="20"/>
        </w:rPr>
        <w:t> </w:t>
      </w:r>
      <w:r>
        <w:rPr>
          <w:sz w:val="20"/>
        </w:rPr>
        <w:t>la</w:t>
      </w:r>
      <w:r>
        <w:rPr>
          <w:spacing w:val="-13"/>
          <w:sz w:val="20"/>
        </w:rPr>
        <w:t> </w:t>
      </w:r>
      <w:r>
        <w:rPr>
          <w:sz w:val="20"/>
        </w:rPr>
        <w:t>Convención</w:t>
      </w:r>
      <w:r>
        <w:rPr>
          <w:spacing w:val="-13"/>
          <w:sz w:val="20"/>
        </w:rPr>
        <w:t> </w:t>
      </w:r>
      <w:r>
        <w:rPr>
          <w:sz w:val="20"/>
        </w:rPr>
        <w:t>a</w:t>
      </w:r>
      <w:r>
        <w:rPr>
          <w:spacing w:val="-15"/>
          <w:sz w:val="20"/>
        </w:rPr>
        <w:t> </w:t>
      </w:r>
      <w:r>
        <w:rPr>
          <w:sz w:val="20"/>
        </w:rPr>
        <w:t>toda</w:t>
      </w:r>
      <w:r>
        <w:rPr>
          <w:spacing w:val="-15"/>
          <w:sz w:val="20"/>
        </w:rPr>
        <w:t> </w:t>
      </w:r>
      <w:r>
        <w:rPr>
          <w:sz w:val="20"/>
        </w:rPr>
        <w:t>persona</w:t>
      </w:r>
      <w:r>
        <w:rPr>
          <w:spacing w:val="-15"/>
          <w:sz w:val="20"/>
        </w:rPr>
        <w:t> </w:t>
      </w:r>
      <w:r>
        <w:rPr>
          <w:sz w:val="20"/>
        </w:rPr>
        <w:t>que</w:t>
      </w:r>
      <w:r>
        <w:rPr>
          <w:spacing w:val="-16"/>
          <w:sz w:val="20"/>
        </w:rPr>
        <w:t> </w:t>
      </w:r>
      <w:r>
        <w:rPr>
          <w:sz w:val="20"/>
        </w:rPr>
        <w:t>se</w:t>
      </w:r>
      <w:r>
        <w:rPr>
          <w:spacing w:val="-14"/>
          <w:sz w:val="20"/>
        </w:rPr>
        <w:t> </w:t>
      </w:r>
      <w:r>
        <w:rPr>
          <w:sz w:val="20"/>
        </w:rPr>
        <w:t>encuentre</w:t>
      </w:r>
      <w:r>
        <w:rPr>
          <w:spacing w:val="-16"/>
          <w:sz w:val="20"/>
        </w:rPr>
        <w:t> </w:t>
      </w:r>
      <w:r>
        <w:rPr>
          <w:sz w:val="20"/>
        </w:rPr>
        <w:t>bajo</w:t>
      </w:r>
      <w:r>
        <w:rPr>
          <w:spacing w:val="-14"/>
          <w:sz w:val="20"/>
        </w:rPr>
        <w:t> </w:t>
      </w:r>
      <w:r>
        <w:rPr>
          <w:sz w:val="20"/>
        </w:rPr>
        <w:t>su</w:t>
      </w:r>
      <w:r>
        <w:rPr>
          <w:spacing w:val="-12"/>
          <w:sz w:val="20"/>
        </w:rPr>
        <w:t> </w:t>
      </w:r>
      <w:r>
        <w:rPr>
          <w:sz w:val="20"/>
        </w:rPr>
        <w:t>jurisdicción</w:t>
      </w:r>
      <w:r>
        <w:rPr>
          <w:spacing w:val="-12"/>
          <w:sz w:val="20"/>
        </w:rPr>
        <w:t> </w:t>
      </w:r>
      <w:r>
        <w:rPr>
          <w:sz w:val="20"/>
        </w:rPr>
        <w:t>(art. 1)”</w:t>
      </w:r>
      <w:r>
        <w:rPr>
          <w:rFonts w:ascii="Calibri" w:hAnsi="Calibri"/>
          <w:position w:val="8"/>
          <w:sz w:val="14"/>
        </w:rPr>
        <w:t>297</w:t>
      </w:r>
      <w:r>
        <w:rPr>
          <w:sz w:val="20"/>
        </w:rPr>
        <w:t>. La efectividad de los recursos debe evaluarse en el caso particular teniendo en cuenta si “existieron vías internas que garantizaran un verdadero acceso a la justicia para reclamar la reparación de la</w:t>
      </w:r>
      <w:r>
        <w:rPr>
          <w:spacing w:val="-14"/>
          <w:sz w:val="20"/>
        </w:rPr>
        <w:t> </w:t>
      </w:r>
      <w:r>
        <w:rPr>
          <w:sz w:val="20"/>
        </w:rPr>
        <w:t>violación”</w:t>
      </w:r>
      <w:r>
        <w:rPr>
          <w:rFonts w:ascii="Calibri" w:hAnsi="Calibri"/>
          <w:position w:val="8"/>
          <w:sz w:val="14"/>
        </w:rPr>
        <w:t>298</w:t>
      </w:r>
      <w:r>
        <w:rPr>
          <w:sz w:val="20"/>
        </w:rPr>
        <w:t>.</w:t>
      </w:r>
    </w:p>
    <w:p>
      <w:pPr>
        <w:pStyle w:val="BodyText"/>
        <w:spacing w:before="5"/>
        <w:rPr>
          <w:sz w:val="21"/>
        </w:rPr>
      </w:pPr>
    </w:p>
    <w:p>
      <w:pPr>
        <w:pStyle w:val="ListParagraph"/>
        <w:numPr>
          <w:ilvl w:val="0"/>
          <w:numId w:val="34"/>
        </w:numPr>
        <w:tabs>
          <w:tab w:pos="830" w:val="left" w:leader="none"/>
        </w:tabs>
        <w:spacing w:line="240" w:lineRule="auto" w:before="0" w:after="0"/>
        <w:ind w:left="122" w:right="124" w:firstLine="0"/>
        <w:jc w:val="both"/>
        <w:rPr>
          <w:sz w:val="20"/>
        </w:rPr>
      </w:pPr>
      <w:r>
        <w:rPr>
          <w:sz w:val="20"/>
        </w:rPr>
        <w:t>La Corte ha precisado que el Estado está obligado a proveer recursos efectivos que permitan a las personas impugnar aquellos actos de autoridades que consideren violatorios de sus derechos “independientemente de si la autoridad judicial declarare infundado</w:t>
      </w:r>
      <w:r>
        <w:rPr>
          <w:spacing w:val="-9"/>
          <w:sz w:val="20"/>
        </w:rPr>
        <w:t> </w:t>
      </w:r>
      <w:r>
        <w:rPr>
          <w:sz w:val="20"/>
        </w:rPr>
        <w:t>el</w:t>
      </w:r>
      <w:r>
        <w:rPr>
          <w:spacing w:val="-5"/>
          <w:sz w:val="20"/>
        </w:rPr>
        <w:t> </w:t>
      </w:r>
      <w:r>
        <w:rPr>
          <w:sz w:val="20"/>
        </w:rPr>
        <w:t>reclamo</w:t>
      </w:r>
      <w:r>
        <w:rPr>
          <w:spacing w:val="-6"/>
          <w:sz w:val="20"/>
        </w:rPr>
        <w:t> </w:t>
      </w:r>
      <w:r>
        <w:rPr>
          <w:sz w:val="20"/>
        </w:rPr>
        <w:t>de</w:t>
      </w:r>
      <w:r>
        <w:rPr>
          <w:spacing w:val="-7"/>
          <w:sz w:val="20"/>
        </w:rPr>
        <w:t> </w:t>
      </w:r>
      <w:r>
        <w:rPr>
          <w:sz w:val="20"/>
        </w:rPr>
        <w:t>la</w:t>
      </w:r>
      <w:r>
        <w:rPr>
          <w:spacing w:val="-8"/>
          <w:sz w:val="20"/>
        </w:rPr>
        <w:t> </w:t>
      </w:r>
      <w:r>
        <w:rPr>
          <w:sz w:val="20"/>
        </w:rPr>
        <w:t>persona</w:t>
      </w:r>
      <w:r>
        <w:rPr>
          <w:spacing w:val="-8"/>
          <w:sz w:val="20"/>
        </w:rPr>
        <w:t> </w:t>
      </w:r>
      <w:r>
        <w:rPr>
          <w:sz w:val="20"/>
        </w:rPr>
        <w:t>que</w:t>
      </w:r>
      <w:r>
        <w:rPr>
          <w:spacing w:val="-7"/>
          <w:sz w:val="20"/>
        </w:rPr>
        <w:t> </w:t>
      </w:r>
      <w:r>
        <w:rPr>
          <w:sz w:val="20"/>
        </w:rPr>
        <w:t>interpone</w:t>
      </w:r>
      <w:r>
        <w:rPr>
          <w:spacing w:val="-7"/>
          <w:sz w:val="20"/>
        </w:rPr>
        <w:t> </w:t>
      </w:r>
      <w:r>
        <w:rPr>
          <w:sz w:val="20"/>
        </w:rPr>
        <w:t>el</w:t>
      </w:r>
      <w:r>
        <w:rPr>
          <w:spacing w:val="-5"/>
          <w:sz w:val="20"/>
        </w:rPr>
        <w:t> </w:t>
      </w:r>
      <w:r>
        <w:rPr>
          <w:sz w:val="20"/>
        </w:rPr>
        <w:t>recurso</w:t>
      </w:r>
      <w:r>
        <w:rPr>
          <w:spacing w:val="-9"/>
          <w:sz w:val="20"/>
        </w:rPr>
        <w:t> </w:t>
      </w:r>
      <w:r>
        <w:rPr>
          <w:sz w:val="20"/>
        </w:rPr>
        <w:t>por</w:t>
      </w:r>
      <w:r>
        <w:rPr>
          <w:spacing w:val="-7"/>
          <w:sz w:val="20"/>
        </w:rPr>
        <w:t> </w:t>
      </w:r>
      <w:r>
        <w:rPr>
          <w:sz w:val="20"/>
        </w:rPr>
        <w:t>no</w:t>
      </w:r>
      <w:r>
        <w:rPr>
          <w:spacing w:val="-7"/>
          <w:sz w:val="20"/>
        </w:rPr>
        <w:t> </w:t>
      </w:r>
      <w:r>
        <w:rPr>
          <w:sz w:val="20"/>
        </w:rPr>
        <w:t>estar</w:t>
      </w:r>
      <w:r>
        <w:rPr>
          <w:spacing w:val="-6"/>
          <w:sz w:val="20"/>
        </w:rPr>
        <w:t> </w:t>
      </w:r>
      <w:r>
        <w:rPr>
          <w:sz w:val="20"/>
        </w:rPr>
        <w:t>cubierto</w:t>
      </w:r>
      <w:r>
        <w:rPr>
          <w:spacing w:val="-9"/>
          <w:sz w:val="20"/>
        </w:rPr>
        <w:t> </w:t>
      </w:r>
      <w:r>
        <w:rPr>
          <w:sz w:val="20"/>
        </w:rPr>
        <w:t>por</w:t>
      </w:r>
      <w:r>
        <w:rPr>
          <w:spacing w:val="-9"/>
          <w:sz w:val="20"/>
        </w:rPr>
        <w:t> </w:t>
      </w:r>
      <w:r>
        <w:rPr>
          <w:sz w:val="20"/>
        </w:rPr>
        <w:t>la norma</w:t>
      </w:r>
      <w:r>
        <w:rPr>
          <w:spacing w:val="-7"/>
          <w:sz w:val="20"/>
        </w:rPr>
        <w:t> </w:t>
      </w:r>
      <w:r>
        <w:rPr>
          <w:sz w:val="20"/>
        </w:rPr>
        <w:t>que</w:t>
      </w:r>
      <w:r>
        <w:rPr>
          <w:spacing w:val="-9"/>
          <w:sz w:val="20"/>
        </w:rPr>
        <w:t> </w:t>
      </w:r>
      <w:r>
        <w:rPr>
          <w:sz w:val="20"/>
        </w:rPr>
        <w:t>invoca</w:t>
      </w:r>
      <w:r>
        <w:rPr>
          <w:spacing w:val="-6"/>
          <w:sz w:val="20"/>
        </w:rPr>
        <w:t> </w:t>
      </w:r>
      <w:r>
        <w:rPr>
          <w:sz w:val="20"/>
        </w:rPr>
        <w:t>o</w:t>
      </w:r>
      <w:r>
        <w:rPr>
          <w:spacing w:val="-7"/>
          <w:sz w:val="20"/>
        </w:rPr>
        <w:t> </w:t>
      </w:r>
      <w:r>
        <w:rPr>
          <w:sz w:val="20"/>
        </w:rPr>
        <w:t>no</w:t>
      </w:r>
      <w:r>
        <w:rPr>
          <w:spacing w:val="-7"/>
          <w:sz w:val="20"/>
        </w:rPr>
        <w:t> </w:t>
      </w:r>
      <w:r>
        <w:rPr>
          <w:sz w:val="20"/>
        </w:rPr>
        <w:t>encontrare</w:t>
      </w:r>
      <w:r>
        <w:rPr>
          <w:spacing w:val="-9"/>
          <w:sz w:val="20"/>
        </w:rPr>
        <w:t> </w:t>
      </w:r>
      <w:r>
        <w:rPr>
          <w:sz w:val="20"/>
        </w:rPr>
        <w:t>una</w:t>
      </w:r>
      <w:r>
        <w:rPr>
          <w:spacing w:val="-5"/>
          <w:sz w:val="20"/>
        </w:rPr>
        <w:t> </w:t>
      </w:r>
      <w:r>
        <w:rPr>
          <w:sz w:val="20"/>
        </w:rPr>
        <w:t>violación</w:t>
      </w:r>
      <w:r>
        <w:rPr>
          <w:spacing w:val="-2"/>
          <w:sz w:val="20"/>
        </w:rPr>
        <w:t> </w:t>
      </w:r>
      <w:r>
        <w:rPr>
          <w:sz w:val="20"/>
        </w:rPr>
        <w:t>del</w:t>
      </w:r>
      <w:r>
        <w:rPr>
          <w:spacing w:val="-7"/>
          <w:sz w:val="20"/>
        </w:rPr>
        <w:t> </w:t>
      </w:r>
      <w:r>
        <w:rPr>
          <w:sz w:val="20"/>
        </w:rPr>
        <w:t>derecho</w:t>
      </w:r>
      <w:r>
        <w:rPr>
          <w:spacing w:val="-9"/>
          <w:sz w:val="20"/>
        </w:rPr>
        <w:t> </w:t>
      </w:r>
      <w:r>
        <w:rPr>
          <w:sz w:val="20"/>
        </w:rPr>
        <w:t>que</w:t>
      </w:r>
      <w:r>
        <w:rPr>
          <w:spacing w:val="-7"/>
          <w:sz w:val="20"/>
        </w:rPr>
        <w:t> </w:t>
      </w:r>
      <w:r>
        <w:rPr>
          <w:sz w:val="20"/>
        </w:rPr>
        <w:t>se</w:t>
      </w:r>
      <w:r>
        <w:rPr>
          <w:spacing w:val="-9"/>
          <w:sz w:val="20"/>
        </w:rPr>
        <w:t> </w:t>
      </w:r>
      <w:r>
        <w:rPr>
          <w:sz w:val="20"/>
        </w:rPr>
        <w:t>alega</w:t>
      </w:r>
      <w:r>
        <w:rPr>
          <w:spacing w:val="-8"/>
          <w:sz w:val="20"/>
        </w:rPr>
        <w:t> </w:t>
      </w:r>
      <w:r>
        <w:rPr>
          <w:sz w:val="20"/>
        </w:rPr>
        <w:t>vulnerado”</w:t>
      </w:r>
      <w:r>
        <w:rPr>
          <w:rFonts w:ascii="Calibri" w:hAnsi="Calibri"/>
          <w:position w:val="8"/>
          <w:sz w:val="14"/>
        </w:rPr>
        <w:t>299</w:t>
      </w:r>
      <w:r>
        <w:rPr>
          <w:sz w:val="20"/>
        </w:rPr>
        <w:t>. En esta línea, el Tribunal advierte que los artículos 8 y 25 de la Convención también consagran el derecho de obtener respuesta a las demandas y solicitudes planteadas a las autoridades judiciales, ya que la eficacia del recurso implica una obligación positiva de proporcionar una respuesta en un plazo</w:t>
      </w:r>
      <w:r>
        <w:rPr>
          <w:spacing w:val="-19"/>
          <w:sz w:val="20"/>
        </w:rPr>
        <w:t> </w:t>
      </w:r>
      <w:r>
        <w:rPr>
          <w:sz w:val="20"/>
        </w:rPr>
        <w:t>razonable</w:t>
      </w:r>
      <w:r>
        <w:rPr>
          <w:rFonts w:ascii="Calibri" w:hAnsi="Calibri"/>
          <w:position w:val="8"/>
          <w:sz w:val="14"/>
        </w:rPr>
        <w:t>300</w:t>
      </w:r>
      <w:r>
        <w:rPr>
          <w:sz w:val="20"/>
        </w:rPr>
        <w:t>.</w:t>
      </w:r>
    </w:p>
    <w:p>
      <w:pPr>
        <w:pStyle w:val="BodyText"/>
        <w:spacing w:before="4"/>
        <w:rPr>
          <w:sz w:val="18"/>
        </w:rPr>
      </w:pPr>
      <w:r>
        <w:rPr/>
        <w:pict>
          <v:line style="position:absolute;mso-position-horizontal-relative:page;mso-position-vertical-relative:paragraph;z-index:3328;mso-wrap-distance-left:0;mso-wrap-distance-right:0" from="85.103996pt,13.46913pt" to="229.123996pt,13.46913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295</w:t>
        <w:tab/>
      </w:r>
      <w:r>
        <w:rPr>
          <w:i/>
          <w:sz w:val="16"/>
        </w:rPr>
        <w:t>Cfr.</w:t>
      </w:r>
      <w:r>
        <w:rPr>
          <w:i/>
          <w:spacing w:val="18"/>
          <w:sz w:val="16"/>
        </w:rPr>
        <w:t> </w:t>
      </w:r>
      <w:r>
        <w:rPr>
          <w:i/>
          <w:sz w:val="16"/>
        </w:rPr>
        <w:t>Caso</w:t>
      </w:r>
      <w:r>
        <w:rPr>
          <w:i/>
          <w:spacing w:val="20"/>
          <w:sz w:val="16"/>
        </w:rPr>
        <w:t> </w:t>
      </w:r>
      <w:r>
        <w:rPr>
          <w:i/>
          <w:sz w:val="16"/>
        </w:rPr>
        <w:t>del</w:t>
      </w:r>
      <w:r>
        <w:rPr>
          <w:i/>
          <w:spacing w:val="18"/>
          <w:sz w:val="16"/>
        </w:rPr>
        <w:t> </w:t>
      </w:r>
      <w:r>
        <w:rPr>
          <w:i/>
          <w:sz w:val="16"/>
        </w:rPr>
        <w:t>Tribunal</w:t>
      </w:r>
      <w:r>
        <w:rPr>
          <w:i/>
          <w:spacing w:val="18"/>
          <w:sz w:val="16"/>
        </w:rPr>
        <w:t> </w:t>
      </w:r>
      <w:r>
        <w:rPr>
          <w:i/>
          <w:sz w:val="16"/>
        </w:rPr>
        <w:t>Constitucional</w:t>
      </w:r>
      <w:r>
        <w:rPr>
          <w:i/>
          <w:spacing w:val="18"/>
          <w:sz w:val="16"/>
        </w:rPr>
        <w:t> </w:t>
      </w:r>
      <w:r>
        <w:rPr>
          <w:i/>
          <w:sz w:val="16"/>
        </w:rPr>
        <w:t>Vs.</w:t>
      </w:r>
      <w:r>
        <w:rPr>
          <w:i/>
          <w:spacing w:val="18"/>
          <w:sz w:val="16"/>
        </w:rPr>
        <w:t> </w:t>
      </w:r>
      <w:r>
        <w:rPr>
          <w:i/>
          <w:sz w:val="16"/>
        </w:rPr>
        <w:t>Perú.</w:t>
      </w:r>
      <w:r>
        <w:rPr>
          <w:i/>
          <w:spacing w:val="16"/>
          <w:sz w:val="16"/>
        </w:rPr>
        <w:t> </w:t>
      </w:r>
      <w:r>
        <w:rPr>
          <w:i/>
          <w:sz w:val="16"/>
        </w:rPr>
        <w:t>Fondo,</w:t>
      </w:r>
      <w:r>
        <w:rPr>
          <w:i/>
          <w:spacing w:val="16"/>
          <w:sz w:val="16"/>
        </w:rPr>
        <w:t> </w:t>
      </w:r>
      <w:r>
        <w:rPr>
          <w:i/>
          <w:sz w:val="16"/>
        </w:rPr>
        <w:t>Reparaciones</w:t>
      </w:r>
      <w:r>
        <w:rPr>
          <w:i/>
          <w:spacing w:val="17"/>
          <w:sz w:val="16"/>
        </w:rPr>
        <w:t> </w:t>
      </w:r>
      <w:r>
        <w:rPr>
          <w:i/>
          <w:sz w:val="16"/>
        </w:rPr>
        <w:t>y</w:t>
      </w:r>
      <w:r>
        <w:rPr>
          <w:i/>
          <w:spacing w:val="17"/>
          <w:sz w:val="16"/>
        </w:rPr>
        <w:t> </w:t>
      </w:r>
      <w:r>
        <w:rPr>
          <w:i/>
          <w:sz w:val="16"/>
        </w:rPr>
        <w:t>Costas</w:t>
      </w:r>
      <w:r>
        <w:rPr>
          <w:sz w:val="16"/>
        </w:rPr>
        <w:t>.</w:t>
      </w:r>
      <w:r>
        <w:rPr>
          <w:spacing w:val="18"/>
          <w:sz w:val="16"/>
        </w:rPr>
        <w:t> </w:t>
      </w:r>
      <w:r>
        <w:rPr>
          <w:sz w:val="16"/>
        </w:rPr>
        <w:t>Sentencia</w:t>
      </w:r>
      <w:r>
        <w:rPr>
          <w:spacing w:val="18"/>
          <w:sz w:val="16"/>
        </w:rPr>
        <w:t> </w:t>
      </w:r>
      <w:r>
        <w:rPr>
          <w:sz w:val="16"/>
        </w:rPr>
        <w:t>de</w:t>
      </w:r>
      <w:r>
        <w:rPr>
          <w:spacing w:val="17"/>
          <w:sz w:val="16"/>
        </w:rPr>
        <w:t> </w:t>
      </w:r>
      <w:r>
        <w:rPr>
          <w:sz w:val="16"/>
        </w:rPr>
        <w:t>31</w:t>
      </w:r>
      <w:r>
        <w:rPr>
          <w:spacing w:val="18"/>
          <w:sz w:val="16"/>
        </w:rPr>
        <w:t> </w:t>
      </w:r>
      <w:r>
        <w:rPr>
          <w:sz w:val="16"/>
        </w:rPr>
        <w:t>de</w:t>
      </w:r>
      <w:r>
        <w:rPr>
          <w:w w:val="100"/>
          <w:sz w:val="16"/>
        </w:rPr>
        <w:t> </w:t>
      </w:r>
      <w:r>
        <w:rPr>
          <w:sz w:val="16"/>
        </w:rPr>
        <w:t>enero de 2001, Serie C No. 71, párr. 69, párr. 108, y </w:t>
      </w:r>
      <w:r>
        <w:rPr>
          <w:i/>
          <w:sz w:val="16"/>
        </w:rPr>
        <w:t>Caso López y otros Vs. Argentina. Excepciones </w:t>
      </w:r>
      <w:r>
        <w:rPr>
          <w:i/>
          <w:sz w:val="16"/>
        </w:rPr>
        <w:t>Preliminares, Fondo, Reparaciones y Costas. </w:t>
      </w:r>
      <w:r>
        <w:rPr>
          <w:sz w:val="16"/>
        </w:rPr>
        <w:t>Sentencia de 25 de noviembre de 2019. Serie C No. 396, párr. 199.</w:t>
      </w:r>
    </w:p>
    <w:p>
      <w:pPr>
        <w:pStyle w:val="BodyText"/>
        <w:spacing w:before="11"/>
        <w:rPr>
          <w:sz w:val="15"/>
        </w:rPr>
      </w:pPr>
    </w:p>
    <w:p>
      <w:pPr>
        <w:tabs>
          <w:tab w:pos="829" w:val="left" w:leader="none"/>
        </w:tabs>
        <w:spacing w:before="0"/>
        <w:ind w:left="122" w:right="114" w:firstLine="0"/>
        <w:jc w:val="both"/>
        <w:rPr>
          <w:sz w:val="16"/>
        </w:rPr>
      </w:pPr>
      <w:r>
        <w:rPr>
          <w:position w:val="6"/>
          <w:sz w:val="10"/>
        </w:rPr>
        <w:t>296</w:t>
        <w:tab/>
      </w:r>
      <w:r>
        <w:rPr>
          <w:i/>
          <w:sz w:val="16"/>
        </w:rPr>
        <w:t>Cfr.  Caso  Mejía  Idrovo  Vs.  Ecuador.  Excepciones  Preliminares,  Fondo,  Reparaciones</w:t>
      </w:r>
      <w:r>
        <w:rPr>
          <w:i/>
          <w:spacing w:val="3"/>
          <w:sz w:val="16"/>
        </w:rPr>
        <w:t> </w:t>
      </w:r>
      <w:r>
        <w:rPr>
          <w:i/>
          <w:sz w:val="16"/>
        </w:rPr>
        <w:t>y</w:t>
      </w:r>
      <w:r>
        <w:rPr>
          <w:i/>
          <w:spacing w:val="53"/>
          <w:sz w:val="16"/>
        </w:rPr>
        <w:t> </w:t>
      </w:r>
      <w:r>
        <w:rPr>
          <w:i/>
          <w:sz w:val="16"/>
        </w:rPr>
        <w:t>Costas</w:t>
      </w:r>
      <w:r>
        <w:rPr>
          <w:sz w:val="16"/>
        </w:rPr>
        <w:t>.</w:t>
      </w:r>
      <w:r>
        <w:rPr>
          <w:w w:val="100"/>
          <w:sz w:val="16"/>
        </w:rPr>
        <w:t> </w:t>
      </w:r>
      <w:r>
        <w:rPr>
          <w:sz w:val="16"/>
        </w:rPr>
        <w:t>Sentencia de 5 de julio de 2011, Serie C No. 228, párr. 95, y </w:t>
      </w:r>
      <w:r>
        <w:rPr>
          <w:i/>
          <w:sz w:val="16"/>
        </w:rPr>
        <w:t>Caso López y otros Vs. Argentina</w:t>
      </w:r>
      <w:r>
        <w:rPr>
          <w:sz w:val="16"/>
        </w:rPr>
        <w:t>, párr.</w:t>
      </w:r>
      <w:r>
        <w:rPr>
          <w:spacing w:val="-35"/>
          <w:sz w:val="16"/>
        </w:rPr>
        <w:t> </w:t>
      </w:r>
      <w:r>
        <w:rPr>
          <w:sz w:val="16"/>
        </w:rPr>
        <w:t>209.</w:t>
      </w:r>
    </w:p>
    <w:p>
      <w:pPr>
        <w:pStyle w:val="BodyText"/>
        <w:spacing w:before="11"/>
        <w:rPr>
          <w:sz w:val="15"/>
        </w:rPr>
      </w:pPr>
    </w:p>
    <w:p>
      <w:pPr>
        <w:tabs>
          <w:tab w:pos="829" w:val="left" w:leader="none"/>
        </w:tabs>
        <w:spacing w:before="0"/>
        <w:ind w:left="122" w:right="114" w:firstLine="0"/>
        <w:jc w:val="both"/>
        <w:rPr>
          <w:sz w:val="16"/>
        </w:rPr>
      </w:pPr>
      <w:r>
        <w:rPr>
          <w:position w:val="6"/>
          <w:sz w:val="10"/>
        </w:rPr>
        <w:t>297</w:t>
        <w:tab/>
      </w:r>
      <w:r>
        <w:rPr>
          <w:i/>
          <w:sz w:val="16"/>
        </w:rPr>
        <w:t>Cfr</w:t>
      </w:r>
      <w:r>
        <w:rPr>
          <w:sz w:val="16"/>
        </w:rPr>
        <w:t>. </w:t>
      </w:r>
      <w:r>
        <w:rPr>
          <w:i/>
          <w:sz w:val="16"/>
        </w:rPr>
        <w:t>Caso Velásquez Rodríguez Vs. Honduras. Excepciones Preliminares. </w:t>
      </w:r>
      <w:r>
        <w:rPr>
          <w:sz w:val="16"/>
        </w:rPr>
        <w:t>Sentencia de 26 de</w:t>
      </w:r>
      <w:r>
        <w:rPr>
          <w:spacing w:val="-1"/>
          <w:sz w:val="16"/>
        </w:rPr>
        <w:t> </w:t>
      </w:r>
      <w:r>
        <w:rPr>
          <w:sz w:val="16"/>
        </w:rPr>
        <w:t>junio</w:t>
      </w:r>
      <w:r>
        <w:rPr>
          <w:spacing w:val="-1"/>
          <w:sz w:val="16"/>
        </w:rPr>
        <w:t> </w:t>
      </w:r>
      <w:r>
        <w:rPr>
          <w:sz w:val="16"/>
        </w:rPr>
        <w:t>de</w:t>
      </w:r>
      <w:r>
        <w:rPr>
          <w:w w:val="100"/>
          <w:sz w:val="16"/>
        </w:rPr>
        <w:t> </w:t>
      </w:r>
      <w:r>
        <w:rPr>
          <w:sz w:val="16"/>
        </w:rPr>
        <w:t>1987. Serie C No. 1, párr. 91, y </w:t>
      </w:r>
      <w:r>
        <w:rPr>
          <w:i/>
          <w:sz w:val="16"/>
        </w:rPr>
        <w:t>Caso Gómez Virula y otros Vs. Guatemala. Excepción Preliminar, Fondo, </w:t>
      </w:r>
      <w:r>
        <w:rPr>
          <w:i/>
          <w:sz w:val="16"/>
        </w:rPr>
        <w:t>Reparaciones y Costas. </w:t>
      </w:r>
      <w:r>
        <w:rPr>
          <w:sz w:val="16"/>
        </w:rPr>
        <w:t>Sentencia de 21 de noviembre de 2019. Serie C No. 393, párr.</w:t>
      </w:r>
      <w:r>
        <w:rPr>
          <w:spacing w:val="-36"/>
          <w:sz w:val="16"/>
        </w:rPr>
        <w:t> </w:t>
      </w:r>
      <w:r>
        <w:rPr>
          <w:sz w:val="16"/>
        </w:rPr>
        <w:t>64.</w:t>
      </w:r>
    </w:p>
    <w:p>
      <w:pPr>
        <w:spacing w:before="0"/>
        <w:ind w:left="122" w:right="0" w:firstLine="0"/>
        <w:jc w:val="both"/>
        <w:rPr>
          <w:sz w:val="16"/>
        </w:rPr>
      </w:pPr>
      <w:r>
        <w:rPr>
          <w:w w:val="100"/>
          <w:sz w:val="16"/>
        </w:rPr>
        <w:t>.</w:t>
      </w:r>
    </w:p>
    <w:p>
      <w:pPr>
        <w:tabs>
          <w:tab w:pos="829" w:val="left" w:leader="none"/>
        </w:tabs>
        <w:spacing w:before="0"/>
        <w:ind w:left="122" w:right="114" w:firstLine="0"/>
        <w:jc w:val="both"/>
        <w:rPr>
          <w:sz w:val="16"/>
        </w:rPr>
      </w:pPr>
      <w:r>
        <w:rPr>
          <w:position w:val="6"/>
          <w:sz w:val="10"/>
        </w:rPr>
        <w:t>298</w:t>
        <w:tab/>
      </w:r>
      <w:r>
        <w:rPr>
          <w:i/>
          <w:sz w:val="16"/>
        </w:rPr>
        <w:t>Caso</w:t>
      </w:r>
      <w:r>
        <w:rPr>
          <w:i/>
          <w:spacing w:val="-6"/>
          <w:sz w:val="16"/>
        </w:rPr>
        <w:t> </w:t>
      </w:r>
      <w:r>
        <w:rPr>
          <w:i/>
          <w:sz w:val="16"/>
        </w:rPr>
        <w:t>Goiburú</w:t>
      </w:r>
      <w:r>
        <w:rPr>
          <w:i/>
          <w:spacing w:val="-8"/>
          <w:sz w:val="16"/>
        </w:rPr>
        <w:t> </w:t>
      </w:r>
      <w:r>
        <w:rPr>
          <w:i/>
          <w:sz w:val="16"/>
        </w:rPr>
        <w:t>y</w:t>
      </w:r>
      <w:r>
        <w:rPr>
          <w:i/>
          <w:spacing w:val="-9"/>
          <w:sz w:val="16"/>
        </w:rPr>
        <w:t> </w:t>
      </w:r>
      <w:r>
        <w:rPr>
          <w:i/>
          <w:sz w:val="16"/>
        </w:rPr>
        <w:t>otros</w:t>
      </w:r>
      <w:r>
        <w:rPr>
          <w:i/>
          <w:spacing w:val="-7"/>
          <w:sz w:val="16"/>
        </w:rPr>
        <w:t> </w:t>
      </w:r>
      <w:r>
        <w:rPr>
          <w:i/>
          <w:sz w:val="16"/>
        </w:rPr>
        <w:t>Vs.</w:t>
      </w:r>
      <w:r>
        <w:rPr>
          <w:i/>
          <w:spacing w:val="-8"/>
          <w:sz w:val="16"/>
        </w:rPr>
        <w:t> </w:t>
      </w:r>
      <w:r>
        <w:rPr>
          <w:i/>
          <w:sz w:val="16"/>
        </w:rPr>
        <w:t>Paraguay.</w:t>
      </w:r>
      <w:r>
        <w:rPr>
          <w:i/>
          <w:spacing w:val="-8"/>
          <w:sz w:val="16"/>
        </w:rPr>
        <w:t> </w:t>
      </w:r>
      <w:r>
        <w:rPr>
          <w:i/>
          <w:sz w:val="16"/>
        </w:rPr>
        <w:t>Fondo,</w:t>
      </w:r>
      <w:r>
        <w:rPr>
          <w:i/>
          <w:spacing w:val="-11"/>
          <w:sz w:val="16"/>
        </w:rPr>
        <w:t> </w:t>
      </w:r>
      <w:r>
        <w:rPr>
          <w:i/>
          <w:sz w:val="16"/>
        </w:rPr>
        <w:t>Reparaciones</w:t>
      </w:r>
      <w:r>
        <w:rPr>
          <w:i/>
          <w:spacing w:val="-7"/>
          <w:sz w:val="16"/>
        </w:rPr>
        <w:t> </w:t>
      </w:r>
      <w:r>
        <w:rPr>
          <w:i/>
          <w:sz w:val="16"/>
        </w:rPr>
        <w:t>y</w:t>
      </w:r>
      <w:r>
        <w:rPr>
          <w:i/>
          <w:spacing w:val="-9"/>
          <w:sz w:val="16"/>
        </w:rPr>
        <w:t> </w:t>
      </w:r>
      <w:r>
        <w:rPr>
          <w:i/>
          <w:sz w:val="16"/>
        </w:rPr>
        <w:t>Costas.</w:t>
      </w:r>
      <w:r>
        <w:rPr>
          <w:i/>
          <w:spacing w:val="-6"/>
          <w:sz w:val="16"/>
        </w:rPr>
        <w:t> </w:t>
      </w:r>
      <w:r>
        <w:rPr>
          <w:sz w:val="16"/>
        </w:rPr>
        <w:t>Sentencia</w:t>
      </w:r>
      <w:r>
        <w:rPr>
          <w:spacing w:val="-9"/>
          <w:sz w:val="16"/>
        </w:rPr>
        <w:t> </w:t>
      </w:r>
      <w:r>
        <w:rPr>
          <w:sz w:val="16"/>
        </w:rPr>
        <w:t>de</w:t>
      </w:r>
      <w:r>
        <w:rPr>
          <w:spacing w:val="-10"/>
          <w:sz w:val="16"/>
        </w:rPr>
        <w:t> </w:t>
      </w:r>
      <w:r>
        <w:rPr>
          <w:sz w:val="16"/>
        </w:rPr>
        <w:t>22</w:t>
      </w:r>
      <w:r>
        <w:rPr>
          <w:spacing w:val="-9"/>
          <w:sz w:val="16"/>
        </w:rPr>
        <w:t> </w:t>
      </w:r>
      <w:r>
        <w:rPr>
          <w:sz w:val="16"/>
        </w:rPr>
        <w:t>de</w:t>
      </w:r>
      <w:r>
        <w:rPr>
          <w:spacing w:val="-7"/>
          <w:sz w:val="16"/>
        </w:rPr>
        <w:t> </w:t>
      </w:r>
      <w:r>
        <w:rPr>
          <w:sz w:val="16"/>
        </w:rPr>
        <w:t>septiembre</w:t>
      </w:r>
      <w:r>
        <w:rPr>
          <w:spacing w:val="-7"/>
          <w:sz w:val="16"/>
        </w:rPr>
        <w:t> </w:t>
      </w:r>
      <w:r>
        <w:rPr>
          <w:sz w:val="16"/>
        </w:rPr>
        <w:t>de</w:t>
      </w:r>
      <w:r>
        <w:rPr>
          <w:w w:val="100"/>
          <w:sz w:val="16"/>
        </w:rPr>
        <w:t> </w:t>
      </w:r>
      <w:r>
        <w:rPr>
          <w:sz w:val="16"/>
        </w:rPr>
        <w:t>2006. Serie C No. 153, párr. 120, y </w:t>
      </w:r>
      <w:r>
        <w:rPr>
          <w:i/>
          <w:sz w:val="16"/>
        </w:rPr>
        <w:t>Caso García Lucero y otras Vs. Chile. Excepción Preliminar, Fondo y </w:t>
      </w:r>
      <w:r>
        <w:rPr>
          <w:i/>
          <w:sz w:val="16"/>
        </w:rPr>
        <w:t>Reparaciones. </w:t>
      </w:r>
      <w:r>
        <w:rPr>
          <w:sz w:val="16"/>
        </w:rPr>
        <w:t>Sentencia de 28 de agosto de 2013. Serie C No. 267, párr.</w:t>
      </w:r>
      <w:r>
        <w:rPr>
          <w:spacing w:val="-28"/>
          <w:sz w:val="16"/>
        </w:rPr>
        <w:t> </w:t>
      </w:r>
      <w:r>
        <w:rPr>
          <w:sz w:val="16"/>
        </w:rPr>
        <w:t>182.</w:t>
      </w:r>
    </w:p>
    <w:p>
      <w:pPr>
        <w:pStyle w:val="BodyText"/>
        <w:rPr>
          <w:sz w:val="16"/>
        </w:rPr>
      </w:pPr>
    </w:p>
    <w:p>
      <w:pPr>
        <w:tabs>
          <w:tab w:pos="829" w:val="left" w:leader="none"/>
        </w:tabs>
        <w:spacing w:before="0"/>
        <w:ind w:left="122" w:right="0" w:firstLine="0"/>
        <w:jc w:val="both"/>
        <w:rPr>
          <w:i/>
          <w:sz w:val="16"/>
        </w:rPr>
      </w:pPr>
      <w:r>
        <w:rPr>
          <w:position w:val="6"/>
          <w:sz w:val="10"/>
        </w:rPr>
        <w:t>299</w:t>
        <w:tab/>
      </w:r>
      <w:r>
        <w:rPr>
          <w:i/>
          <w:sz w:val="16"/>
        </w:rPr>
        <w:t>Caso  Castañeda  Gutman  Vs.  México.  Excepciones  Preliminares,  Fondo,  Reparaciones y</w:t>
      </w:r>
      <w:r>
        <w:rPr>
          <w:i/>
          <w:spacing w:val="22"/>
          <w:sz w:val="16"/>
        </w:rPr>
        <w:t> </w:t>
      </w:r>
      <w:r>
        <w:rPr>
          <w:i/>
          <w:sz w:val="16"/>
        </w:rPr>
        <w:t>Costas.</w:t>
      </w:r>
    </w:p>
    <w:p>
      <w:pPr>
        <w:spacing w:before="0"/>
        <w:ind w:left="122" w:right="0" w:firstLine="0"/>
        <w:jc w:val="both"/>
        <w:rPr>
          <w:sz w:val="16"/>
        </w:rPr>
      </w:pPr>
      <w:r>
        <w:rPr>
          <w:sz w:val="16"/>
        </w:rPr>
        <w:t>Sentencia de 6 de agosto de 2008. Serie C No. 184, párr. 101.</w:t>
      </w:r>
    </w:p>
    <w:p>
      <w:pPr>
        <w:pStyle w:val="BodyText"/>
        <w:spacing w:before="12"/>
        <w:rPr>
          <w:sz w:val="15"/>
        </w:rPr>
      </w:pPr>
    </w:p>
    <w:p>
      <w:pPr>
        <w:tabs>
          <w:tab w:pos="829" w:val="left" w:leader="none"/>
        </w:tabs>
        <w:spacing w:line="240" w:lineRule="auto" w:before="0"/>
        <w:ind w:left="122" w:right="116" w:firstLine="0"/>
        <w:jc w:val="both"/>
        <w:rPr>
          <w:sz w:val="16"/>
        </w:rPr>
      </w:pPr>
      <w:r>
        <w:rPr>
          <w:position w:val="6"/>
          <w:sz w:val="10"/>
        </w:rPr>
        <w:t>300</w:t>
        <w:tab/>
      </w:r>
      <w:r>
        <w:rPr>
          <w:i/>
          <w:sz w:val="16"/>
        </w:rPr>
        <w:t>Cfr.</w:t>
      </w:r>
      <w:r>
        <w:rPr>
          <w:i/>
          <w:spacing w:val="17"/>
          <w:sz w:val="16"/>
        </w:rPr>
        <w:t> </w:t>
      </w:r>
      <w:r>
        <w:rPr>
          <w:i/>
          <w:sz w:val="16"/>
        </w:rPr>
        <w:t>Caso</w:t>
      </w:r>
      <w:r>
        <w:rPr>
          <w:i/>
          <w:spacing w:val="17"/>
          <w:sz w:val="16"/>
        </w:rPr>
        <w:t> </w:t>
      </w:r>
      <w:r>
        <w:rPr>
          <w:i/>
          <w:sz w:val="16"/>
        </w:rPr>
        <w:t>Cantos</w:t>
      </w:r>
      <w:r>
        <w:rPr>
          <w:i/>
          <w:spacing w:val="16"/>
          <w:sz w:val="16"/>
        </w:rPr>
        <w:t> </w:t>
      </w:r>
      <w:r>
        <w:rPr>
          <w:i/>
          <w:sz w:val="16"/>
        </w:rPr>
        <w:t>Vs.</w:t>
      </w:r>
      <w:r>
        <w:rPr>
          <w:i/>
          <w:spacing w:val="17"/>
          <w:sz w:val="16"/>
        </w:rPr>
        <w:t> </w:t>
      </w:r>
      <w:r>
        <w:rPr>
          <w:i/>
          <w:sz w:val="16"/>
        </w:rPr>
        <w:t>Argentina.</w:t>
      </w:r>
      <w:r>
        <w:rPr>
          <w:i/>
          <w:spacing w:val="19"/>
          <w:sz w:val="16"/>
        </w:rPr>
        <w:t> </w:t>
      </w:r>
      <w:r>
        <w:rPr>
          <w:i/>
          <w:sz w:val="16"/>
        </w:rPr>
        <w:t>Fondo,</w:t>
      </w:r>
      <w:r>
        <w:rPr>
          <w:i/>
          <w:spacing w:val="17"/>
          <w:sz w:val="16"/>
        </w:rPr>
        <w:t> </w:t>
      </w:r>
      <w:r>
        <w:rPr>
          <w:i/>
          <w:sz w:val="16"/>
        </w:rPr>
        <w:t>Reparaciones</w:t>
      </w:r>
      <w:r>
        <w:rPr>
          <w:i/>
          <w:spacing w:val="16"/>
          <w:sz w:val="16"/>
        </w:rPr>
        <w:t> </w:t>
      </w:r>
      <w:r>
        <w:rPr>
          <w:i/>
          <w:sz w:val="16"/>
        </w:rPr>
        <w:t>y</w:t>
      </w:r>
      <w:r>
        <w:rPr>
          <w:i/>
          <w:spacing w:val="19"/>
          <w:sz w:val="16"/>
        </w:rPr>
        <w:t> </w:t>
      </w:r>
      <w:r>
        <w:rPr>
          <w:i/>
          <w:sz w:val="16"/>
        </w:rPr>
        <w:t>Costas.</w:t>
      </w:r>
      <w:r>
        <w:rPr>
          <w:i/>
          <w:spacing w:val="22"/>
          <w:sz w:val="16"/>
        </w:rPr>
        <w:t> </w:t>
      </w:r>
      <w:r>
        <w:rPr>
          <w:sz w:val="16"/>
        </w:rPr>
        <w:t>Sentencia</w:t>
      </w:r>
      <w:r>
        <w:rPr>
          <w:spacing w:val="17"/>
          <w:sz w:val="16"/>
        </w:rPr>
        <w:t> </w:t>
      </w:r>
      <w:r>
        <w:rPr>
          <w:sz w:val="16"/>
        </w:rPr>
        <w:t>de</w:t>
      </w:r>
      <w:r>
        <w:rPr>
          <w:spacing w:val="16"/>
          <w:sz w:val="16"/>
        </w:rPr>
        <w:t> </w:t>
      </w:r>
      <w:r>
        <w:rPr>
          <w:sz w:val="16"/>
        </w:rPr>
        <w:t>28</w:t>
      </w:r>
      <w:r>
        <w:rPr>
          <w:spacing w:val="19"/>
          <w:sz w:val="16"/>
        </w:rPr>
        <w:t> </w:t>
      </w:r>
      <w:r>
        <w:rPr>
          <w:sz w:val="16"/>
        </w:rPr>
        <w:t>de</w:t>
      </w:r>
      <w:r>
        <w:rPr>
          <w:spacing w:val="18"/>
          <w:sz w:val="16"/>
        </w:rPr>
        <w:t> </w:t>
      </w:r>
      <w:r>
        <w:rPr>
          <w:sz w:val="16"/>
        </w:rPr>
        <w:t>noviembre</w:t>
      </w:r>
      <w:r>
        <w:rPr>
          <w:spacing w:val="18"/>
          <w:sz w:val="16"/>
        </w:rPr>
        <w:t> </w:t>
      </w:r>
      <w:r>
        <w:rPr>
          <w:sz w:val="16"/>
        </w:rPr>
        <w:t>de</w:t>
      </w:r>
      <w:r>
        <w:rPr>
          <w:w w:val="100"/>
          <w:sz w:val="16"/>
        </w:rPr>
        <w:t> </w:t>
      </w:r>
      <w:r>
        <w:rPr>
          <w:sz w:val="16"/>
        </w:rPr>
        <w:t>2002.</w:t>
      </w:r>
      <w:r>
        <w:rPr>
          <w:spacing w:val="-13"/>
          <w:sz w:val="16"/>
        </w:rPr>
        <w:t> </w:t>
      </w:r>
      <w:r>
        <w:rPr>
          <w:sz w:val="16"/>
        </w:rPr>
        <w:t>Serie</w:t>
      </w:r>
      <w:r>
        <w:rPr>
          <w:spacing w:val="-12"/>
          <w:sz w:val="16"/>
        </w:rPr>
        <w:t> </w:t>
      </w:r>
      <w:r>
        <w:rPr>
          <w:sz w:val="16"/>
        </w:rPr>
        <w:t>C</w:t>
      </w:r>
      <w:r>
        <w:rPr>
          <w:spacing w:val="-11"/>
          <w:sz w:val="16"/>
        </w:rPr>
        <w:t> </w:t>
      </w:r>
      <w:r>
        <w:rPr>
          <w:sz w:val="16"/>
        </w:rPr>
        <w:t>No.</w:t>
      </w:r>
      <w:r>
        <w:rPr>
          <w:spacing w:val="-13"/>
          <w:sz w:val="16"/>
        </w:rPr>
        <w:t> </w:t>
      </w:r>
      <w:r>
        <w:rPr>
          <w:sz w:val="16"/>
        </w:rPr>
        <w:t>97,</w:t>
      </w:r>
      <w:r>
        <w:rPr>
          <w:spacing w:val="-13"/>
          <w:sz w:val="16"/>
        </w:rPr>
        <w:t> </w:t>
      </w:r>
      <w:r>
        <w:rPr>
          <w:sz w:val="16"/>
        </w:rPr>
        <w:t>párr.</w:t>
      </w:r>
      <w:r>
        <w:rPr>
          <w:spacing w:val="-13"/>
          <w:sz w:val="16"/>
        </w:rPr>
        <w:t> </w:t>
      </w:r>
      <w:r>
        <w:rPr>
          <w:sz w:val="16"/>
        </w:rPr>
        <w:t>57.</w:t>
      </w:r>
      <w:r>
        <w:rPr>
          <w:spacing w:val="-11"/>
          <w:sz w:val="16"/>
        </w:rPr>
        <w:t> </w:t>
      </w:r>
      <w:r>
        <w:rPr>
          <w:sz w:val="16"/>
        </w:rPr>
        <w:t>En</w:t>
      </w:r>
      <w:r>
        <w:rPr>
          <w:spacing w:val="-11"/>
          <w:sz w:val="16"/>
        </w:rPr>
        <w:t> </w:t>
      </w:r>
      <w:r>
        <w:rPr>
          <w:sz w:val="16"/>
        </w:rPr>
        <w:t>el</w:t>
      </w:r>
      <w:r>
        <w:rPr>
          <w:spacing w:val="-11"/>
          <w:sz w:val="16"/>
        </w:rPr>
        <w:t> </w:t>
      </w:r>
      <w:r>
        <w:rPr>
          <w:sz w:val="16"/>
        </w:rPr>
        <w:t>mismo</w:t>
      </w:r>
      <w:r>
        <w:rPr>
          <w:spacing w:val="-11"/>
          <w:sz w:val="16"/>
        </w:rPr>
        <w:t> </w:t>
      </w:r>
      <w:r>
        <w:rPr>
          <w:sz w:val="16"/>
        </w:rPr>
        <w:t>sentido,</w:t>
      </w:r>
      <w:r>
        <w:rPr>
          <w:spacing w:val="-13"/>
          <w:sz w:val="16"/>
        </w:rPr>
        <w:t> </w:t>
      </w:r>
      <w:r>
        <w:rPr>
          <w:sz w:val="16"/>
        </w:rPr>
        <w:t>señalando</w:t>
      </w:r>
      <w:r>
        <w:rPr>
          <w:spacing w:val="-11"/>
          <w:sz w:val="16"/>
        </w:rPr>
        <w:t> </w:t>
      </w:r>
      <w:r>
        <w:rPr>
          <w:sz w:val="16"/>
        </w:rPr>
        <w:t>que</w:t>
      </w:r>
      <w:r>
        <w:rPr>
          <w:spacing w:val="-12"/>
          <w:sz w:val="16"/>
        </w:rPr>
        <w:t> </w:t>
      </w:r>
      <w:r>
        <w:rPr>
          <w:sz w:val="16"/>
        </w:rPr>
        <w:t>la</w:t>
      </w:r>
      <w:r>
        <w:rPr>
          <w:spacing w:val="-13"/>
          <w:sz w:val="16"/>
        </w:rPr>
        <w:t> </w:t>
      </w:r>
      <w:r>
        <w:rPr>
          <w:sz w:val="16"/>
        </w:rPr>
        <w:t>responsabilidad</w:t>
      </w:r>
      <w:r>
        <w:rPr>
          <w:spacing w:val="-9"/>
          <w:sz w:val="16"/>
        </w:rPr>
        <w:t> </w:t>
      </w:r>
      <w:r>
        <w:rPr>
          <w:sz w:val="16"/>
        </w:rPr>
        <w:t>estatal</w:t>
      </w:r>
      <w:r>
        <w:rPr>
          <w:spacing w:val="-11"/>
          <w:sz w:val="16"/>
        </w:rPr>
        <w:t> </w:t>
      </w:r>
      <w:r>
        <w:rPr>
          <w:sz w:val="16"/>
        </w:rPr>
        <w:t>frente</w:t>
      </w:r>
      <w:r>
        <w:rPr>
          <w:spacing w:val="-12"/>
          <w:sz w:val="16"/>
        </w:rPr>
        <w:t> </w:t>
      </w:r>
      <w:r>
        <w:rPr>
          <w:sz w:val="16"/>
        </w:rPr>
        <w:t>al</w:t>
      </w:r>
      <w:r>
        <w:rPr>
          <w:spacing w:val="-11"/>
          <w:sz w:val="16"/>
        </w:rPr>
        <w:t> </w:t>
      </w:r>
      <w:r>
        <w:rPr>
          <w:sz w:val="16"/>
        </w:rPr>
        <w:t>derecho a la protección judicial implica la emisión de una decisión, </w:t>
      </w:r>
      <w:r>
        <w:rPr>
          <w:i/>
          <w:sz w:val="16"/>
        </w:rPr>
        <w:t>Caso Asociación Nacional de Cesantes y Jubilados </w:t>
      </w:r>
      <w:r>
        <w:rPr>
          <w:i/>
          <w:sz w:val="16"/>
        </w:rPr>
        <w:t>de la Superintendencia Nacional de Administración Tributaria (ANCEJUB-SUNAT) Vs. Perú</w:t>
      </w:r>
      <w:r>
        <w:rPr>
          <w:sz w:val="16"/>
        </w:rPr>
        <w:t>, párr.</w:t>
      </w:r>
      <w:r>
        <w:rPr>
          <w:spacing w:val="-27"/>
          <w:sz w:val="16"/>
        </w:rPr>
        <w:t> </w:t>
      </w:r>
      <w:r>
        <w:rPr>
          <w:sz w:val="16"/>
        </w:rPr>
        <w:t>103.</w:t>
      </w:r>
    </w:p>
    <w:p>
      <w:pPr>
        <w:spacing w:after="0" w:line="240" w:lineRule="auto"/>
        <w:jc w:val="both"/>
        <w:rPr>
          <w:sz w:val="16"/>
        </w:rPr>
        <w:sectPr>
          <w:pgSz w:w="12240" w:h="15840"/>
          <w:pgMar w:header="0" w:footer="1000" w:top="1340" w:bottom="1200" w:left="1580" w:right="1580"/>
        </w:sectPr>
      </w:pPr>
    </w:p>
    <w:p>
      <w:pPr>
        <w:pStyle w:val="ListParagraph"/>
        <w:numPr>
          <w:ilvl w:val="0"/>
          <w:numId w:val="34"/>
        </w:numPr>
        <w:tabs>
          <w:tab w:pos="829" w:val="left" w:leader="none"/>
          <w:tab w:pos="830" w:val="left" w:leader="none"/>
        </w:tabs>
        <w:spacing w:line="240" w:lineRule="auto" w:before="161" w:after="0"/>
        <w:ind w:left="122" w:right="113" w:firstLine="0"/>
        <w:jc w:val="left"/>
        <w:rPr>
          <w:sz w:val="20"/>
        </w:rPr>
      </w:pPr>
      <w:r>
        <w:rPr>
          <w:sz w:val="20"/>
        </w:rPr>
        <w:t>Con base en lo dicho, este Tribunal analizará los distintos recursos judiciales indicados por los</w:t>
      </w:r>
      <w:r>
        <w:rPr>
          <w:spacing w:val="-17"/>
          <w:sz w:val="20"/>
        </w:rPr>
        <w:t> </w:t>
      </w:r>
      <w:r>
        <w:rPr>
          <w:sz w:val="20"/>
        </w:rPr>
        <w:t>representantes.</w:t>
      </w:r>
    </w:p>
    <w:p>
      <w:pPr>
        <w:pStyle w:val="BodyText"/>
      </w:pPr>
    </w:p>
    <w:p>
      <w:pPr>
        <w:pStyle w:val="Heading4"/>
        <w:numPr>
          <w:ilvl w:val="1"/>
          <w:numId w:val="35"/>
        </w:numPr>
        <w:tabs>
          <w:tab w:pos="1121" w:val="left" w:leader="none"/>
        </w:tabs>
        <w:spacing w:line="240" w:lineRule="auto" w:before="0" w:after="0"/>
        <w:ind w:left="1120" w:right="0" w:hanging="432"/>
        <w:jc w:val="left"/>
        <w:rPr>
          <w:i/>
        </w:rPr>
      </w:pPr>
      <w:bookmarkStart w:name="_bookmark78" w:id="131"/>
      <w:bookmarkEnd w:id="131"/>
      <w:r>
        <w:rPr>
          <w:b w:val="0"/>
          <w:i w:val="0"/>
        </w:rPr>
      </w:r>
      <w:bookmarkStart w:name="_bookmark78" w:id="132"/>
      <w:bookmarkEnd w:id="132"/>
      <w:r>
        <w:rPr>
          <w:i/>
        </w:rPr>
        <w:t>E</w:t>
      </w:r>
      <w:r>
        <w:rPr>
          <w:i/>
        </w:rPr>
        <w:t>xamen de las circunstancias del</w:t>
      </w:r>
      <w:r>
        <w:rPr>
          <w:i/>
          <w:spacing w:val="-16"/>
        </w:rPr>
        <w:t> </w:t>
      </w:r>
      <w:r>
        <w:rPr>
          <w:i/>
        </w:rPr>
        <w:t>caso</w:t>
      </w:r>
    </w:p>
    <w:p>
      <w:pPr>
        <w:pStyle w:val="BodyText"/>
        <w:spacing w:before="10"/>
        <w:rPr>
          <w:b/>
          <w:i/>
          <w:sz w:val="19"/>
        </w:rPr>
      </w:pPr>
    </w:p>
    <w:p>
      <w:pPr>
        <w:pStyle w:val="ListParagraph"/>
        <w:numPr>
          <w:ilvl w:val="2"/>
          <w:numId w:val="35"/>
        </w:numPr>
        <w:tabs>
          <w:tab w:pos="1579" w:val="left" w:leader="none"/>
        </w:tabs>
        <w:spacing w:line="240" w:lineRule="auto" w:before="0" w:after="0"/>
        <w:ind w:left="1578" w:right="0" w:hanging="604"/>
        <w:jc w:val="left"/>
        <w:rPr>
          <w:i/>
          <w:sz w:val="20"/>
        </w:rPr>
      </w:pPr>
      <w:bookmarkStart w:name="_bookmark79" w:id="133"/>
      <w:bookmarkEnd w:id="133"/>
      <w:r>
        <w:rPr/>
      </w:r>
      <w:bookmarkStart w:name="_bookmark79" w:id="134"/>
      <w:bookmarkEnd w:id="134"/>
      <w:r>
        <w:rPr>
          <w:i/>
          <w:sz w:val="20"/>
          <w:u w:val="single"/>
        </w:rPr>
        <w:t>A</w:t>
      </w:r>
      <w:r>
        <w:rPr>
          <w:i/>
          <w:sz w:val="20"/>
          <w:u w:val="single"/>
        </w:rPr>
        <w:t>cción de amparo respecto a la construcción del puente</w:t>
      </w:r>
      <w:r>
        <w:rPr>
          <w:i/>
          <w:spacing w:val="-21"/>
          <w:sz w:val="20"/>
          <w:u w:val="single"/>
        </w:rPr>
        <w:t> </w:t>
      </w:r>
      <w:r>
        <w:rPr>
          <w:i/>
          <w:sz w:val="20"/>
          <w:u w:val="single"/>
        </w:rPr>
        <w:t>internacional</w:t>
      </w:r>
    </w:p>
    <w:p>
      <w:pPr>
        <w:pStyle w:val="BodyText"/>
        <w:spacing w:before="10"/>
        <w:rPr>
          <w:i/>
          <w:sz w:val="11"/>
        </w:rPr>
      </w:pPr>
    </w:p>
    <w:p>
      <w:pPr>
        <w:pStyle w:val="ListParagraph"/>
        <w:numPr>
          <w:ilvl w:val="0"/>
          <w:numId w:val="34"/>
        </w:numPr>
        <w:tabs>
          <w:tab w:pos="830" w:val="left" w:leader="none"/>
        </w:tabs>
        <w:spacing w:line="240" w:lineRule="auto" w:before="100" w:after="0"/>
        <w:ind w:left="122" w:right="102" w:firstLine="0"/>
        <w:jc w:val="both"/>
        <w:rPr>
          <w:sz w:val="20"/>
        </w:rPr>
      </w:pPr>
      <w:r>
        <w:rPr>
          <w:i/>
          <w:sz w:val="20"/>
        </w:rPr>
        <w:t>Hechos.- </w:t>
      </w:r>
      <w:r>
        <w:rPr>
          <w:sz w:val="20"/>
        </w:rPr>
        <w:t>La construcción del puente internacional se inició en 1995 (</w:t>
      </w:r>
      <w:r>
        <w:rPr>
          <w:i/>
          <w:sz w:val="20"/>
        </w:rPr>
        <w:t>supra </w:t>
      </w:r>
      <w:r>
        <w:rPr>
          <w:sz w:val="20"/>
        </w:rPr>
        <w:t>párr. 63).</w:t>
      </w:r>
      <w:r>
        <w:rPr>
          <w:spacing w:val="-14"/>
          <w:sz w:val="20"/>
        </w:rPr>
        <w:t> </w:t>
      </w:r>
      <w:r>
        <w:rPr>
          <w:sz w:val="20"/>
        </w:rPr>
        <w:t>El</w:t>
      </w:r>
      <w:r>
        <w:rPr>
          <w:spacing w:val="-14"/>
          <w:sz w:val="20"/>
        </w:rPr>
        <w:t> </w:t>
      </w:r>
      <w:r>
        <w:rPr>
          <w:sz w:val="20"/>
        </w:rPr>
        <w:t>11</w:t>
      </w:r>
      <w:r>
        <w:rPr>
          <w:spacing w:val="-13"/>
          <w:sz w:val="20"/>
        </w:rPr>
        <w:t> </w:t>
      </w:r>
      <w:r>
        <w:rPr>
          <w:sz w:val="20"/>
        </w:rPr>
        <w:t>de</w:t>
      </w:r>
      <w:r>
        <w:rPr>
          <w:spacing w:val="-15"/>
          <w:sz w:val="20"/>
        </w:rPr>
        <w:t> </w:t>
      </w:r>
      <w:r>
        <w:rPr>
          <w:sz w:val="20"/>
        </w:rPr>
        <w:t>septiembre</w:t>
      </w:r>
      <w:r>
        <w:rPr>
          <w:spacing w:val="-15"/>
          <w:sz w:val="20"/>
        </w:rPr>
        <w:t> </w:t>
      </w:r>
      <w:r>
        <w:rPr>
          <w:sz w:val="20"/>
        </w:rPr>
        <w:t>de</w:t>
      </w:r>
      <w:r>
        <w:rPr>
          <w:spacing w:val="-15"/>
          <w:sz w:val="20"/>
        </w:rPr>
        <w:t> </w:t>
      </w:r>
      <w:r>
        <w:rPr>
          <w:sz w:val="20"/>
        </w:rPr>
        <w:t>1995,</w:t>
      </w:r>
      <w:r>
        <w:rPr>
          <w:spacing w:val="-14"/>
          <w:sz w:val="20"/>
        </w:rPr>
        <w:t> </w:t>
      </w:r>
      <w:r>
        <w:rPr>
          <w:sz w:val="20"/>
        </w:rPr>
        <w:t>un</w:t>
      </w:r>
      <w:r>
        <w:rPr>
          <w:spacing w:val="-13"/>
          <w:sz w:val="20"/>
        </w:rPr>
        <w:t> </w:t>
      </w:r>
      <w:r>
        <w:rPr>
          <w:sz w:val="20"/>
        </w:rPr>
        <w:t>representante</w:t>
      </w:r>
      <w:r>
        <w:rPr>
          <w:spacing w:val="-15"/>
          <w:sz w:val="20"/>
        </w:rPr>
        <w:t> </w:t>
      </w:r>
      <w:r>
        <w:rPr>
          <w:sz w:val="20"/>
        </w:rPr>
        <w:t>legal</w:t>
      </w:r>
      <w:r>
        <w:rPr>
          <w:spacing w:val="-13"/>
          <w:sz w:val="20"/>
        </w:rPr>
        <w:t> </w:t>
      </w:r>
      <w:r>
        <w:rPr>
          <w:sz w:val="20"/>
        </w:rPr>
        <w:t>de</w:t>
      </w:r>
      <w:r>
        <w:rPr>
          <w:spacing w:val="-15"/>
          <w:sz w:val="20"/>
        </w:rPr>
        <w:t> </w:t>
      </w:r>
      <w:r>
        <w:rPr>
          <w:sz w:val="20"/>
        </w:rPr>
        <w:t>Lhaka</w:t>
      </w:r>
      <w:r>
        <w:rPr>
          <w:spacing w:val="-11"/>
          <w:sz w:val="20"/>
        </w:rPr>
        <w:t> </w:t>
      </w:r>
      <w:r>
        <w:rPr>
          <w:sz w:val="20"/>
        </w:rPr>
        <w:t>Honhat</w:t>
      </w:r>
      <w:r>
        <w:rPr>
          <w:spacing w:val="-13"/>
          <w:sz w:val="20"/>
        </w:rPr>
        <w:t> </w:t>
      </w:r>
      <w:r>
        <w:rPr>
          <w:sz w:val="20"/>
        </w:rPr>
        <w:t>presentó</w:t>
      </w:r>
      <w:r>
        <w:rPr>
          <w:spacing w:val="-15"/>
          <w:sz w:val="20"/>
        </w:rPr>
        <w:t> </w:t>
      </w:r>
      <w:r>
        <w:rPr>
          <w:sz w:val="20"/>
        </w:rPr>
        <w:t>una acción</w:t>
      </w:r>
      <w:r>
        <w:rPr>
          <w:spacing w:val="-5"/>
          <w:sz w:val="20"/>
        </w:rPr>
        <w:t> </w:t>
      </w:r>
      <w:r>
        <w:rPr>
          <w:sz w:val="20"/>
        </w:rPr>
        <w:t>de</w:t>
      </w:r>
      <w:r>
        <w:rPr>
          <w:spacing w:val="-7"/>
          <w:sz w:val="20"/>
        </w:rPr>
        <w:t> </w:t>
      </w:r>
      <w:r>
        <w:rPr>
          <w:sz w:val="20"/>
        </w:rPr>
        <w:t>amparo</w:t>
      </w:r>
      <w:r>
        <w:rPr>
          <w:spacing w:val="-7"/>
          <w:sz w:val="20"/>
        </w:rPr>
        <w:t> </w:t>
      </w:r>
      <w:r>
        <w:rPr>
          <w:sz w:val="20"/>
        </w:rPr>
        <w:t>ante</w:t>
      </w:r>
      <w:r>
        <w:rPr>
          <w:spacing w:val="-7"/>
          <w:sz w:val="20"/>
        </w:rPr>
        <w:t> </w:t>
      </w:r>
      <w:r>
        <w:rPr>
          <w:sz w:val="20"/>
        </w:rPr>
        <w:t>la</w:t>
      </w:r>
      <w:r>
        <w:rPr>
          <w:spacing w:val="-5"/>
          <w:sz w:val="20"/>
        </w:rPr>
        <w:t> </w:t>
      </w:r>
      <w:r>
        <w:rPr>
          <w:sz w:val="20"/>
        </w:rPr>
        <w:t>Corte</w:t>
      </w:r>
      <w:r>
        <w:rPr>
          <w:spacing w:val="-7"/>
          <w:sz w:val="20"/>
        </w:rPr>
        <w:t> </w:t>
      </w:r>
      <w:r>
        <w:rPr>
          <w:sz w:val="20"/>
        </w:rPr>
        <w:t>de</w:t>
      </w:r>
      <w:r>
        <w:rPr>
          <w:spacing w:val="-7"/>
          <w:sz w:val="20"/>
        </w:rPr>
        <w:t> </w:t>
      </w:r>
      <w:r>
        <w:rPr>
          <w:sz w:val="20"/>
        </w:rPr>
        <w:t>Justicia</w:t>
      </w:r>
      <w:r>
        <w:rPr>
          <w:spacing w:val="-5"/>
          <w:sz w:val="20"/>
        </w:rPr>
        <w:t> </w:t>
      </w:r>
      <w:r>
        <w:rPr>
          <w:sz w:val="20"/>
        </w:rPr>
        <w:t>de</w:t>
      </w:r>
      <w:r>
        <w:rPr>
          <w:spacing w:val="-7"/>
          <w:sz w:val="20"/>
        </w:rPr>
        <w:t> </w:t>
      </w:r>
      <w:r>
        <w:rPr>
          <w:sz w:val="20"/>
        </w:rPr>
        <w:t>Salta</w:t>
      </w:r>
      <w:r>
        <w:rPr>
          <w:spacing w:val="-5"/>
          <w:sz w:val="20"/>
        </w:rPr>
        <w:t> </w:t>
      </w:r>
      <w:r>
        <w:rPr>
          <w:sz w:val="20"/>
        </w:rPr>
        <w:t>(CJS)</w:t>
      </w:r>
      <w:r>
        <w:rPr>
          <w:spacing w:val="-4"/>
          <w:sz w:val="20"/>
        </w:rPr>
        <w:t> </w:t>
      </w:r>
      <w:r>
        <w:rPr>
          <w:sz w:val="20"/>
        </w:rPr>
        <w:t>solicitando</w:t>
      </w:r>
      <w:r>
        <w:rPr>
          <w:spacing w:val="-7"/>
          <w:sz w:val="20"/>
        </w:rPr>
        <w:t> </w:t>
      </w:r>
      <w:r>
        <w:rPr>
          <w:sz w:val="20"/>
        </w:rPr>
        <w:t>que</w:t>
      </w:r>
      <w:r>
        <w:rPr>
          <w:spacing w:val="-7"/>
          <w:sz w:val="20"/>
        </w:rPr>
        <w:t> </w:t>
      </w:r>
      <w:r>
        <w:rPr>
          <w:sz w:val="20"/>
        </w:rPr>
        <w:t>se</w:t>
      </w:r>
      <w:r>
        <w:rPr>
          <w:spacing w:val="-7"/>
          <w:sz w:val="20"/>
        </w:rPr>
        <w:t> </w:t>
      </w:r>
      <w:r>
        <w:rPr>
          <w:sz w:val="20"/>
        </w:rPr>
        <w:t>ordenara</w:t>
      </w:r>
      <w:r>
        <w:rPr>
          <w:spacing w:val="-5"/>
          <w:sz w:val="20"/>
        </w:rPr>
        <w:t> </w:t>
      </w:r>
      <w:r>
        <w:rPr>
          <w:sz w:val="20"/>
        </w:rPr>
        <w:t>la suspensión inmediata de las obras</w:t>
      </w:r>
      <w:r>
        <w:rPr>
          <w:rFonts w:ascii="Calibri" w:hAnsi="Calibri"/>
          <w:position w:val="8"/>
          <w:sz w:val="14"/>
        </w:rPr>
        <w:t>301</w:t>
      </w:r>
      <w:r>
        <w:rPr>
          <w:sz w:val="20"/>
        </w:rPr>
        <w:t>. La solicitud de medida cautelar de “no innovar” y la acción de amparo fueron rechazadas el 8 de noviembre de 1995 y el 29 de abril de 1996, respectivamente. La CJS entendió que el acto reclamado carecía de “ilegitimidad o arbitrariedad manifiesta” y requería “mayor debate y prueba” que lo que permitía la vía judicial intentada. El 14 de mayo de 1996, Lhaka Honhat interpuso un recurso extraordinario federal, que fue rechazado. El 27 de febrero de 1997, los representantes de</w:t>
      </w:r>
      <w:r>
        <w:rPr>
          <w:spacing w:val="-21"/>
          <w:sz w:val="20"/>
        </w:rPr>
        <w:t> </w:t>
      </w:r>
      <w:r>
        <w:rPr>
          <w:sz w:val="20"/>
        </w:rPr>
        <w:t>la</w:t>
      </w:r>
      <w:r>
        <w:rPr>
          <w:spacing w:val="-20"/>
          <w:sz w:val="20"/>
        </w:rPr>
        <w:t> </w:t>
      </w:r>
      <w:r>
        <w:rPr>
          <w:sz w:val="20"/>
        </w:rPr>
        <w:t>Asociación</w:t>
      </w:r>
      <w:r>
        <w:rPr>
          <w:spacing w:val="-20"/>
          <w:sz w:val="20"/>
        </w:rPr>
        <w:t> </w:t>
      </w:r>
      <w:r>
        <w:rPr>
          <w:sz w:val="20"/>
        </w:rPr>
        <w:t>interpusieron</w:t>
      </w:r>
      <w:r>
        <w:rPr>
          <w:spacing w:val="-19"/>
          <w:sz w:val="20"/>
        </w:rPr>
        <w:t> </w:t>
      </w:r>
      <w:r>
        <w:rPr>
          <w:sz w:val="20"/>
        </w:rPr>
        <w:t>un</w:t>
      </w:r>
      <w:r>
        <w:rPr>
          <w:spacing w:val="-19"/>
          <w:sz w:val="20"/>
        </w:rPr>
        <w:t> </w:t>
      </w:r>
      <w:r>
        <w:rPr>
          <w:sz w:val="20"/>
        </w:rPr>
        <w:t>recurso</w:t>
      </w:r>
      <w:r>
        <w:rPr>
          <w:spacing w:val="-19"/>
          <w:sz w:val="20"/>
        </w:rPr>
        <w:t> </w:t>
      </w:r>
      <w:r>
        <w:rPr>
          <w:sz w:val="20"/>
        </w:rPr>
        <w:t>de</w:t>
      </w:r>
      <w:r>
        <w:rPr>
          <w:spacing w:val="-21"/>
          <w:sz w:val="20"/>
        </w:rPr>
        <w:t> </w:t>
      </w:r>
      <w:r>
        <w:rPr>
          <w:sz w:val="20"/>
        </w:rPr>
        <w:t>queja</w:t>
      </w:r>
      <w:r>
        <w:rPr>
          <w:spacing w:val="-20"/>
          <w:sz w:val="20"/>
        </w:rPr>
        <w:t> </w:t>
      </w:r>
      <w:r>
        <w:rPr>
          <w:sz w:val="20"/>
        </w:rPr>
        <w:t>en</w:t>
      </w:r>
      <w:r>
        <w:rPr>
          <w:spacing w:val="-19"/>
          <w:sz w:val="20"/>
        </w:rPr>
        <w:t> </w:t>
      </w:r>
      <w:r>
        <w:rPr>
          <w:sz w:val="20"/>
        </w:rPr>
        <w:t>contra</w:t>
      </w:r>
      <w:r>
        <w:rPr>
          <w:spacing w:val="-20"/>
          <w:sz w:val="20"/>
        </w:rPr>
        <w:t> </w:t>
      </w:r>
      <w:r>
        <w:rPr>
          <w:sz w:val="20"/>
        </w:rPr>
        <w:t>de</w:t>
      </w:r>
      <w:r>
        <w:rPr>
          <w:spacing w:val="-21"/>
          <w:sz w:val="20"/>
        </w:rPr>
        <w:t> </w:t>
      </w:r>
      <w:r>
        <w:rPr>
          <w:sz w:val="20"/>
        </w:rPr>
        <w:t>la</w:t>
      </w:r>
      <w:r>
        <w:rPr>
          <w:spacing w:val="-20"/>
          <w:sz w:val="20"/>
        </w:rPr>
        <w:t> </w:t>
      </w:r>
      <w:r>
        <w:rPr>
          <w:sz w:val="20"/>
        </w:rPr>
        <w:t>denegación</w:t>
      </w:r>
      <w:r>
        <w:rPr>
          <w:spacing w:val="-20"/>
          <w:sz w:val="20"/>
        </w:rPr>
        <w:t> </w:t>
      </w:r>
      <w:r>
        <w:rPr>
          <w:sz w:val="20"/>
        </w:rPr>
        <w:t>del</w:t>
      </w:r>
      <w:r>
        <w:rPr>
          <w:spacing w:val="-17"/>
          <w:sz w:val="20"/>
        </w:rPr>
        <w:t> </w:t>
      </w:r>
      <w:r>
        <w:rPr>
          <w:sz w:val="20"/>
        </w:rPr>
        <w:t>recurso extraordinario federal. El recurso fue desestimado por la Corte Suprema de Justicia de la Nación (CSJN) mediante resolución de 10 de diciembre de 1997, notificada el 5 de febrero de 1998, porque el recurso no había sido interpuesto contra una sentencia definitiva</w:t>
      </w:r>
      <w:r>
        <w:rPr>
          <w:rFonts w:ascii="Calibri" w:hAnsi="Calibri"/>
          <w:position w:val="8"/>
          <w:sz w:val="14"/>
        </w:rPr>
        <w:t>302</w:t>
      </w:r>
      <w:r>
        <w:rPr>
          <w:sz w:val="20"/>
        </w:rPr>
        <w:t>. Para entonces, el puente ya había sido</w:t>
      </w:r>
      <w:r>
        <w:rPr>
          <w:spacing w:val="-27"/>
          <w:sz w:val="20"/>
        </w:rPr>
        <w:t> </w:t>
      </w:r>
      <w:r>
        <w:rPr>
          <w:sz w:val="20"/>
        </w:rPr>
        <w:t>construido.</w:t>
      </w:r>
    </w:p>
    <w:p>
      <w:pPr>
        <w:pStyle w:val="BodyText"/>
        <w:spacing w:before="5"/>
        <w:rPr>
          <w:sz w:val="21"/>
        </w:rPr>
      </w:pPr>
    </w:p>
    <w:p>
      <w:pPr>
        <w:pStyle w:val="ListParagraph"/>
        <w:numPr>
          <w:ilvl w:val="0"/>
          <w:numId w:val="34"/>
        </w:numPr>
        <w:tabs>
          <w:tab w:pos="830" w:val="left" w:leader="none"/>
        </w:tabs>
        <w:spacing w:line="240" w:lineRule="auto" w:before="0" w:after="0"/>
        <w:ind w:left="122" w:right="107" w:firstLine="0"/>
        <w:jc w:val="both"/>
        <w:rPr>
          <w:sz w:val="20"/>
        </w:rPr>
      </w:pPr>
      <w:r>
        <w:rPr>
          <w:i/>
          <w:sz w:val="20"/>
        </w:rPr>
        <w:t>Consideraciones.- </w:t>
      </w:r>
      <w:r>
        <w:rPr>
          <w:sz w:val="20"/>
        </w:rPr>
        <w:t>Como ya se ha señalado, los derechos receptados en los artículos 25 y 8 de la Convención deben examinarse conforme a si existió, en el caso concreto,</w:t>
      </w:r>
      <w:r>
        <w:rPr>
          <w:spacing w:val="-13"/>
          <w:sz w:val="20"/>
        </w:rPr>
        <w:t> </w:t>
      </w:r>
      <w:r>
        <w:rPr>
          <w:sz w:val="20"/>
        </w:rPr>
        <w:t>una</w:t>
      </w:r>
      <w:r>
        <w:rPr>
          <w:spacing w:val="-14"/>
          <w:sz w:val="20"/>
        </w:rPr>
        <w:t> </w:t>
      </w:r>
      <w:r>
        <w:rPr>
          <w:sz w:val="20"/>
        </w:rPr>
        <w:t>posibilidad</w:t>
      </w:r>
      <w:r>
        <w:rPr>
          <w:spacing w:val="-14"/>
          <w:sz w:val="20"/>
        </w:rPr>
        <w:t> </w:t>
      </w:r>
      <w:r>
        <w:rPr>
          <w:sz w:val="20"/>
        </w:rPr>
        <w:t>real</w:t>
      </w:r>
      <w:r>
        <w:rPr>
          <w:spacing w:val="-11"/>
          <w:sz w:val="20"/>
        </w:rPr>
        <w:t> </w:t>
      </w:r>
      <w:r>
        <w:rPr>
          <w:sz w:val="20"/>
        </w:rPr>
        <w:t>de</w:t>
      </w:r>
      <w:r>
        <w:rPr>
          <w:spacing w:val="-13"/>
          <w:sz w:val="20"/>
        </w:rPr>
        <w:t> </w:t>
      </w:r>
      <w:r>
        <w:rPr>
          <w:sz w:val="20"/>
        </w:rPr>
        <w:t>acceso</w:t>
      </w:r>
      <w:r>
        <w:rPr>
          <w:spacing w:val="-15"/>
          <w:sz w:val="20"/>
        </w:rPr>
        <w:t> </w:t>
      </w:r>
      <w:r>
        <w:rPr>
          <w:sz w:val="20"/>
        </w:rPr>
        <w:t>a</w:t>
      </w:r>
      <w:r>
        <w:rPr>
          <w:spacing w:val="-12"/>
          <w:sz w:val="20"/>
        </w:rPr>
        <w:t> </w:t>
      </w:r>
      <w:r>
        <w:rPr>
          <w:sz w:val="20"/>
        </w:rPr>
        <w:t>la</w:t>
      </w:r>
      <w:r>
        <w:rPr>
          <w:spacing w:val="-12"/>
          <w:sz w:val="20"/>
        </w:rPr>
        <w:t> </w:t>
      </w:r>
      <w:r>
        <w:rPr>
          <w:sz w:val="20"/>
        </w:rPr>
        <w:t>justicia</w:t>
      </w:r>
      <w:r>
        <w:rPr>
          <w:spacing w:val="-14"/>
          <w:sz w:val="20"/>
        </w:rPr>
        <w:t> </w:t>
      </w:r>
      <w:r>
        <w:rPr>
          <w:sz w:val="20"/>
        </w:rPr>
        <w:t>y</w:t>
      </w:r>
      <w:r>
        <w:rPr>
          <w:spacing w:val="-12"/>
          <w:sz w:val="20"/>
        </w:rPr>
        <w:t> </w:t>
      </w:r>
      <w:r>
        <w:rPr>
          <w:sz w:val="20"/>
        </w:rPr>
        <w:t>a</w:t>
      </w:r>
      <w:r>
        <w:rPr>
          <w:spacing w:val="-12"/>
          <w:sz w:val="20"/>
        </w:rPr>
        <w:t> </w:t>
      </w:r>
      <w:r>
        <w:rPr>
          <w:sz w:val="20"/>
        </w:rPr>
        <w:t>si</w:t>
      </w:r>
      <w:r>
        <w:rPr>
          <w:spacing w:val="-12"/>
          <w:sz w:val="20"/>
        </w:rPr>
        <w:t> </w:t>
      </w:r>
      <w:r>
        <w:rPr>
          <w:sz w:val="20"/>
        </w:rPr>
        <w:t>se</w:t>
      </w:r>
      <w:r>
        <w:rPr>
          <w:spacing w:val="-13"/>
          <w:sz w:val="20"/>
        </w:rPr>
        <w:t> </w:t>
      </w:r>
      <w:r>
        <w:rPr>
          <w:sz w:val="20"/>
        </w:rPr>
        <w:t>han</w:t>
      </w:r>
      <w:r>
        <w:rPr>
          <w:spacing w:val="-11"/>
          <w:sz w:val="20"/>
        </w:rPr>
        <w:t> </w:t>
      </w:r>
      <w:r>
        <w:rPr>
          <w:sz w:val="20"/>
        </w:rPr>
        <w:t>respetado</w:t>
      </w:r>
      <w:r>
        <w:rPr>
          <w:spacing w:val="-15"/>
          <w:sz w:val="20"/>
        </w:rPr>
        <w:t> </w:t>
      </w:r>
      <w:r>
        <w:rPr>
          <w:sz w:val="20"/>
        </w:rPr>
        <w:t>las</w:t>
      </w:r>
      <w:r>
        <w:rPr>
          <w:spacing w:val="-15"/>
          <w:sz w:val="20"/>
        </w:rPr>
        <w:t> </w:t>
      </w:r>
      <w:r>
        <w:rPr>
          <w:sz w:val="20"/>
        </w:rPr>
        <w:t>garantías del debido proceso. La Corte observa que el amparo intentado no causó el resultado esperado por Lhaka Honhat, pero eso no demuestra por sí solo que el Estado no haya proveído acciones judiciales adecuadas y</w:t>
      </w:r>
      <w:r>
        <w:rPr>
          <w:spacing w:val="-18"/>
          <w:sz w:val="20"/>
        </w:rPr>
        <w:t> </w:t>
      </w:r>
      <w:r>
        <w:rPr>
          <w:sz w:val="20"/>
        </w:rPr>
        <w:t>efectivas.</w:t>
      </w:r>
    </w:p>
    <w:p>
      <w:pPr>
        <w:pStyle w:val="BodyText"/>
      </w:pPr>
    </w:p>
    <w:p>
      <w:pPr>
        <w:pStyle w:val="ListParagraph"/>
        <w:numPr>
          <w:ilvl w:val="0"/>
          <w:numId w:val="34"/>
        </w:numPr>
        <w:tabs>
          <w:tab w:pos="830" w:val="left" w:leader="none"/>
        </w:tabs>
        <w:spacing w:line="240" w:lineRule="auto" w:before="0" w:after="0"/>
        <w:ind w:left="122" w:right="101" w:firstLine="0"/>
        <w:jc w:val="both"/>
        <w:rPr>
          <w:sz w:val="20"/>
        </w:rPr>
      </w:pPr>
      <w:r>
        <w:rPr>
          <w:sz w:val="20"/>
        </w:rPr>
        <w:t>En este sentido, la CJS entendió que la acción no era procedente, y que la pretensión planteada requería otra vía judicial. Luego la CSJN entendió que, al no cuestionarse una sentencia definitiva, no procedía el recurso intentado ante ella. La decisión de la CJS indicó que la vía procesal intentada por Lhaka Honhat no era la correspondiente. No han sido presentados a la Corte Interamericana argumentos sobre la</w:t>
      </w:r>
      <w:r>
        <w:rPr>
          <w:spacing w:val="-9"/>
          <w:sz w:val="20"/>
        </w:rPr>
        <w:t> </w:t>
      </w:r>
      <w:r>
        <w:rPr>
          <w:sz w:val="20"/>
        </w:rPr>
        <w:t>inexistencia</w:t>
      </w:r>
      <w:r>
        <w:rPr>
          <w:spacing w:val="-9"/>
          <w:sz w:val="20"/>
        </w:rPr>
        <w:t> </w:t>
      </w:r>
      <w:r>
        <w:rPr>
          <w:sz w:val="20"/>
        </w:rPr>
        <w:t>de</w:t>
      </w:r>
      <w:r>
        <w:rPr>
          <w:spacing w:val="-8"/>
          <w:sz w:val="20"/>
        </w:rPr>
        <w:t> </w:t>
      </w:r>
      <w:r>
        <w:rPr>
          <w:sz w:val="20"/>
        </w:rPr>
        <w:t>otras</w:t>
      </w:r>
      <w:r>
        <w:rPr>
          <w:spacing w:val="-7"/>
          <w:sz w:val="20"/>
        </w:rPr>
        <w:t> </w:t>
      </w:r>
      <w:r>
        <w:rPr>
          <w:sz w:val="20"/>
        </w:rPr>
        <w:t>vías</w:t>
      </w:r>
      <w:r>
        <w:rPr>
          <w:spacing w:val="-9"/>
          <w:sz w:val="20"/>
        </w:rPr>
        <w:t> </w:t>
      </w:r>
      <w:r>
        <w:rPr>
          <w:sz w:val="20"/>
        </w:rPr>
        <w:t>judiciales</w:t>
      </w:r>
      <w:r>
        <w:rPr>
          <w:spacing w:val="-7"/>
          <w:sz w:val="20"/>
        </w:rPr>
        <w:t> </w:t>
      </w:r>
      <w:r>
        <w:rPr>
          <w:sz w:val="20"/>
        </w:rPr>
        <w:t>o</w:t>
      </w:r>
      <w:r>
        <w:rPr>
          <w:spacing w:val="-8"/>
          <w:sz w:val="20"/>
        </w:rPr>
        <w:t> </w:t>
      </w:r>
      <w:r>
        <w:rPr>
          <w:sz w:val="20"/>
        </w:rPr>
        <w:t>sobre</w:t>
      </w:r>
      <w:r>
        <w:rPr>
          <w:spacing w:val="-8"/>
          <w:sz w:val="20"/>
        </w:rPr>
        <w:t> </w:t>
      </w:r>
      <w:r>
        <w:rPr>
          <w:sz w:val="20"/>
        </w:rPr>
        <w:t>su</w:t>
      </w:r>
      <w:r>
        <w:rPr>
          <w:spacing w:val="-8"/>
          <w:sz w:val="20"/>
        </w:rPr>
        <w:t> </w:t>
      </w:r>
      <w:r>
        <w:rPr>
          <w:sz w:val="20"/>
        </w:rPr>
        <w:t>inefectividad.</w:t>
      </w:r>
      <w:r>
        <w:rPr>
          <w:spacing w:val="-9"/>
          <w:sz w:val="20"/>
        </w:rPr>
        <w:t> </w:t>
      </w:r>
      <w:r>
        <w:rPr>
          <w:sz w:val="20"/>
        </w:rPr>
        <w:t>Por</w:t>
      </w:r>
      <w:r>
        <w:rPr>
          <w:spacing w:val="-8"/>
          <w:sz w:val="20"/>
        </w:rPr>
        <w:t> </w:t>
      </w:r>
      <w:r>
        <w:rPr>
          <w:sz w:val="20"/>
        </w:rPr>
        <w:t>eso,</w:t>
      </w:r>
      <w:r>
        <w:rPr>
          <w:spacing w:val="-7"/>
          <w:sz w:val="20"/>
        </w:rPr>
        <w:t> </w:t>
      </w:r>
      <w:r>
        <w:rPr>
          <w:sz w:val="20"/>
        </w:rPr>
        <w:t>este</w:t>
      </w:r>
      <w:r>
        <w:rPr>
          <w:spacing w:val="-10"/>
          <w:sz w:val="20"/>
        </w:rPr>
        <w:t> </w:t>
      </w:r>
      <w:r>
        <w:rPr>
          <w:sz w:val="20"/>
        </w:rPr>
        <w:t>Tribunal</w:t>
      </w:r>
      <w:r>
        <w:rPr>
          <w:spacing w:val="-8"/>
          <w:sz w:val="20"/>
        </w:rPr>
        <w:t> </w:t>
      </w:r>
      <w:r>
        <w:rPr>
          <w:sz w:val="20"/>
        </w:rPr>
        <w:t>no puede entender que el rechazo del amparo implicara la negación del derecho a la protección judicial. Además, la decisión de la CSJN se basó en aspectos procesales de admisibilidad del recurso extraordinario, propios del sistema jurídico argentino, y la Corte Interamericana no tiene elementos para considerar que ello sea contrario a la Convención. En definitiva, la Corte no cuenta con los argumentos necesarios </w:t>
      </w:r>
      <w:r>
        <w:rPr>
          <w:spacing w:val="3"/>
          <w:sz w:val="20"/>
        </w:rPr>
        <w:t>para </w:t>
      </w:r>
      <w:r>
        <w:rPr>
          <w:sz w:val="20"/>
        </w:rPr>
        <w:t>determinar</w:t>
      </w:r>
      <w:r>
        <w:rPr>
          <w:spacing w:val="-20"/>
          <w:sz w:val="20"/>
        </w:rPr>
        <w:t> </w:t>
      </w:r>
      <w:r>
        <w:rPr>
          <w:sz w:val="20"/>
        </w:rPr>
        <w:t>que</w:t>
      </w:r>
      <w:r>
        <w:rPr>
          <w:spacing w:val="-20"/>
          <w:sz w:val="20"/>
        </w:rPr>
        <w:t> </w:t>
      </w:r>
      <w:r>
        <w:rPr>
          <w:sz w:val="20"/>
        </w:rPr>
        <w:t>haya</w:t>
      </w:r>
      <w:r>
        <w:rPr>
          <w:spacing w:val="-19"/>
          <w:sz w:val="20"/>
        </w:rPr>
        <w:t> </w:t>
      </w:r>
      <w:r>
        <w:rPr>
          <w:sz w:val="20"/>
        </w:rPr>
        <w:t>existido</w:t>
      </w:r>
      <w:r>
        <w:rPr>
          <w:spacing w:val="-20"/>
          <w:sz w:val="20"/>
        </w:rPr>
        <w:t> </w:t>
      </w:r>
      <w:r>
        <w:rPr>
          <w:sz w:val="20"/>
        </w:rPr>
        <w:t>violación</w:t>
      </w:r>
      <w:r>
        <w:rPr>
          <w:spacing w:val="-19"/>
          <w:sz w:val="20"/>
        </w:rPr>
        <w:t> </w:t>
      </w:r>
      <w:r>
        <w:rPr>
          <w:sz w:val="20"/>
        </w:rPr>
        <w:t>a</w:t>
      </w:r>
      <w:r>
        <w:rPr>
          <w:spacing w:val="-21"/>
          <w:sz w:val="20"/>
        </w:rPr>
        <w:t> </w:t>
      </w:r>
      <w:r>
        <w:rPr>
          <w:sz w:val="20"/>
        </w:rPr>
        <w:t>la</w:t>
      </w:r>
      <w:r>
        <w:rPr>
          <w:spacing w:val="-19"/>
          <w:sz w:val="20"/>
        </w:rPr>
        <w:t> </w:t>
      </w:r>
      <w:r>
        <w:rPr>
          <w:sz w:val="20"/>
        </w:rPr>
        <w:t>protección</w:t>
      </w:r>
      <w:r>
        <w:rPr>
          <w:spacing w:val="-18"/>
          <w:sz w:val="20"/>
        </w:rPr>
        <w:t> </w:t>
      </w:r>
      <w:r>
        <w:rPr>
          <w:sz w:val="20"/>
        </w:rPr>
        <w:t>judicial</w:t>
      </w:r>
      <w:r>
        <w:rPr>
          <w:spacing w:val="-18"/>
          <w:sz w:val="20"/>
        </w:rPr>
        <w:t> </w:t>
      </w:r>
      <w:r>
        <w:rPr>
          <w:sz w:val="20"/>
        </w:rPr>
        <w:t>o</w:t>
      </w:r>
      <w:r>
        <w:rPr>
          <w:spacing w:val="-22"/>
          <w:sz w:val="20"/>
        </w:rPr>
        <w:t> </w:t>
      </w:r>
      <w:r>
        <w:rPr>
          <w:sz w:val="20"/>
        </w:rPr>
        <w:t>a</w:t>
      </w:r>
      <w:r>
        <w:rPr>
          <w:spacing w:val="-19"/>
          <w:sz w:val="20"/>
        </w:rPr>
        <w:t> </w:t>
      </w:r>
      <w:r>
        <w:rPr>
          <w:sz w:val="20"/>
        </w:rPr>
        <w:t>las</w:t>
      </w:r>
      <w:r>
        <w:rPr>
          <w:spacing w:val="-19"/>
          <w:sz w:val="20"/>
        </w:rPr>
        <w:t> </w:t>
      </w:r>
      <w:r>
        <w:rPr>
          <w:sz w:val="20"/>
        </w:rPr>
        <w:t>garantías</w:t>
      </w:r>
      <w:r>
        <w:rPr>
          <w:spacing w:val="-21"/>
          <w:sz w:val="20"/>
        </w:rPr>
        <w:t> </w:t>
      </w:r>
      <w:r>
        <w:rPr>
          <w:sz w:val="20"/>
        </w:rPr>
        <w:t>judiciales.</w:t>
      </w:r>
    </w:p>
    <w:p>
      <w:pPr>
        <w:pStyle w:val="BodyText"/>
      </w:pPr>
    </w:p>
    <w:p>
      <w:pPr>
        <w:pStyle w:val="BodyText"/>
      </w:pPr>
    </w:p>
    <w:p>
      <w:pPr>
        <w:pStyle w:val="BodyText"/>
      </w:pPr>
    </w:p>
    <w:p>
      <w:pPr>
        <w:pStyle w:val="BodyText"/>
      </w:pPr>
    </w:p>
    <w:p>
      <w:pPr>
        <w:pStyle w:val="BodyText"/>
        <w:spacing w:before="1"/>
        <w:rPr>
          <w:sz w:val="21"/>
        </w:rPr>
      </w:pPr>
      <w:r>
        <w:rPr/>
        <w:pict>
          <v:line style="position:absolute;mso-position-horizontal-relative:page;mso-position-vertical-relative:paragraph;z-index:3352;mso-wrap-distance-left:0;mso-wrap-distance-right:0" from="85.103996pt,15.161039pt" to="229.123996pt,15.161039pt" stroked="true" strokeweight=".72003pt" strokecolor="#000000">
            <v:stroke dashstyle="solid"/>
            <w10:wrap type="topAndBottom"/>
          </v:line>
        </w:pict>
      </w:r>
    </w:p>
    <w:p>
      <w:pPr>
        <w:pStyle w:val="BodyText"/>
        <w:spacing w:before="7"/>
        <w:rPr>
          <w:sz w:val="13"/>
        </w:rPr>
      </w:pPr>
    </w:p>
    <w:p>
      <w:pPr>
        <w:tabs>
          <w:tab w:pos="829" w:val="left" w:leader="none"/>
        </w:tabs>
        <w:spacing w:before="101"/>
        <w:ind w:left="122" w:right="98" w:firstLine="0"/>
        <w:jc w:val="left"/>
        <w:rPr>
          <w:sz w:val="16"/>
        </w:rPr>
      </w:pPr>
      <w:r>
        <w:rPr>
          <w:position w:val="6"/>
          <w:sz w:val="10"/>
        </w:rPr>
        <w:t>301</w:t>
        <w:tab/>
      </w:r>
      <w:r>
        <w:rPr>
          <w:sz w:val="16"/>
        </w:rPr>
        <w:t>Presentación</w:t>
      </w:r>
      <w:r>
        <w:rPr>
          <w:spacing w:val="-6"/>
          <w:sz w:val="16"/>
        </w:rPr>
        <w:t> </w:t>
      </w:r>
      <w:r>
        <w:rPr>
          <w:sz w:val="16"/>
        </w:rPr>
        <w:t>de</w:t>
      </w:r>
      <w:r>
        <w:rPr>
          <w:spacing w:val="-5"/>
          <w:sz w:val="16"/>
        </w:rPr>
        <w:t> </w:t>
      </w:r>
      <w:r>
        <w:rPr>
          <w:sz w:val="16"/>
        </w:rPr>
        <w:t>amparo</w:t>
      </w:r>
      <w:r>
        <w:rPr>
          <w:spacing w:val="-4"/>
          <w:sz w:val="16"/>
        </w:rPr>
        <w:t> </w:t>
      </w:r>
      <w:r>
        <w:rPr>
          <w:sz w:val="16"/>
        </w:rPr>
        <w:t>de</w:t>
      </w:r>
      <w:r>
        <w:rPr>
          <w:spacing w:val="-5"/>
          <w:sz w:val="16"/>
        </w:rPr>
        <w:t> </w:t>
      </w:r>
      <w:r>
        <w:rPr>
          <w:sz w:val="16"/>
        </w:rPr>
        <w:t>11</w:t>
      </w:r>
      <w:r>
        <w:rPr>
          <w:spacing w:val="-4"/>
          <w:sz w:val="16"/>
        </w:rPr>
        <w:t> </w:t>
      </w:r>
      <w:r>
        <w:rPr>
          <w:sz w:val="16"/>
        </w:rPr>
        <w:t>de</w:t>
      </w:r>
      <w:r>
        <w:rPr>
          <w:spacing w:val="-5"/>
          <w:sz w:val="16"/>
        </w:rPr>
        <w:t> </w:t>
      </w:r>
      <w:r>
        <w:rPr>
          <w:sz w:val="16"/>
        </w:rPr>
        <w:t>septiembre</w:t>
      </w:r>
      <w:r>
        <w:rPr>
          <w:spacing w:val="-5"/>
          <w:sz w:val="16"/>
        </w:rPr>
        <w:t> </w:t>
      </w:r>
      <w:r>
        <w:rPr>
          <w:sz w:val="16"/>
        </w:rPr>
        <w:t>de</w:t>
      </w:r>
      <w:r>
        <w:rPr>
          <w:spacing w:val="-7"/>
          <w:sz w:val="16"/>
        </w:rPr>
        <w:t> </w:t>
      </w:r>
      <w:r>
        <w:rPr>
          <w:sz w:val="16"/>
        </w:rPr>
        <w:t>1995.</w:t>
      </w:r>
      <w:r>
        <w:rPr>
          <w:spacing w:val="-6"/>
          <w:sz w:val="16"/>
        </w:rPr>
        <w:t> </w:t>
      </w:r>
      <w:r>
        <w:rPr>
          <w:sz w:val="16"/>
        </w:rPr>
        <w:t>Expediente</w:t>
      </w:r>
      <w:r>
        <w:rPr>
          <w:spacing w:val="-2"/>
          <w:sz w:val="16"/>
        </w:rPr>
        <w:t> </w:t>
      </w:r>
      <w:r>
        <w:rPr>
          <w:sz w:val="16"/>
        </w:rPr>
        <w:t>de</w:t>
      </w:r>
      <w:r>
        <w:rPr>
          <w:spacing w:val="-5"/>
          <w:sz w:val="16"/>
        </w:rPr>
        <w:t> </w:t>
      </w:r>
      <w:r>
        <w:rPr>
          <w:sz w:val="16"/>
        </w:rPr>
        <w:t>prueba,</w:t>
      </w:r>
      <w:r>
        <w:rPr>
          <w:spacing w:val="-4"/>
          <w:sz w:val="16"/>
        </w:rPr>
        <w:t> </w:t>
      </w:r>
      <w:r>
        <w:rPr>
          <w:sz w:val="16"/>
        </w:rPr>
        <w:t>anexo</w:t>
      </w:r>
      <w:r>
        <w:rPr>
          <w:spacing w:val="-4"/>
          <w:sz w:val="16"/>
        </w:rPr>
        <w:t> </w:t>
      </w:r>
      <w:r>
        <w:rPr>
          <w:sz w:val="16"/>
        </w:rPr>
        <w:t>I.3</w:t>
      </w:r>
      <w:r>
        <w:rPr>
          <w:spacing w:val="-4"/>
          <w:sz w:val="16"/>
        </w:rPr>
        <w:t> </w:t>
      </w:r>
      <w:r>
        <w:rPr>
          <w:sz w:val="16"/>
        </w:rPr>
        <w:t>al</w:t>
      </w:r>
      <w:r>
        <w:rPr>
          <w:spacing w:val="-3"/>
          <w:sz w:val="16"/>
        </w:rPr>
        <w:t> </w:t>
      </w:r>
      <w:r>
        <w:rPr>
          <w:sz w:val="16"/>
        </w:rPr>
        <w:t>escrito</w:t>
      </w:r>
      <w:r>
        <w:rPr>
          <w:spacing w:val="-4"/>
          <w:sz w:val="16"/>
        </w:rPr>
        <w:t> </w:t>
      </w:r>
      <w:r>
        <w:rPr>
          <w:sz w:val="16"/>
        </w:rPr>
        <w:t>de</w:t>
      </w:r>
      <w:r>
        <w:rPr>
          <w:w w:val="100"/>
          <w:sz w:val="16"/>
        </w:rPr>
        <w:t> </w:t>
      </w:r>
      <w:r>
        <w:rPr>
          <w:sz w:val="16"/>
        </w:rPr>
        <w:t>solicitudes y argumentos, fs. 31.823 a</w:t>
      </w:r>
      <w:r>
        <w:rPr>
          <w:spacing w:val="-15"/>
          <w:sz w:val="16"/>
        </w:rPr>
        <w:t> </w:t>
      </w:r>
      <w:r>
        <w:rPr>
          <w:sz w:val="16"/>
        </w:rPr>
        <w:t>31.844.</w:t>
      </w:r>
    </w:p>
    <w:p>
      <w:pPr>
        <w:pStyle w:val="BodyText"/>
        <w:spacing w:before="2"/>
        <w:rPr>
          <w:sz w:val="16"/>
        </w:rPr>
      </w:pPr>
    </w:p>
    <w:p>
      <w:pPr>
        <w:tabs>
          <w:tab w:pos="829" w:val="left" w:leader="none"/>
        </w:tabs>
        <w:spacing w:before="0"/>
        <w:ind w:left="122" w:right="99" w:firstLine="0"/>
        <w:jc w:val="left"/>
        <w:rPr>
          <w:sz w:val="16"/>
        </w:rPr>
      </w:pPr>
      <w:r>
        <w:rPr>
          <w:position w:val="6"/>
          <w:sz w:val="10"/>
        </w:rPr>
        <w:t>302</w:t>
        <w:tab/>
      </w:r>
      <w:r>
        <w:rPr>
          <w:sz w:val="16"/>
        </w:rPr>
        <w:t>Petición inicial de 4 de agosto de 1998. Expediente de prueba, anexo 2 al Informe de Fondo, fs.</w:t>
      </w:r>
      <w:r>
        <w:rPr>
          <w:spacing w:val="51"/>
          <w:sz w:val="16"/>
        </w:rPr>
        <w:t> </w:t>
      </w:r>
      <w:r>
        <w:rPr>
          <w:sz w:val="16"/>
        </w:rPr>
        <w:t>7</w:t>
      </w:r>
      <w:r>
        <w:rPr>
          <w:spacing w:val="3"/>
          <w:sz w:val="16"/>
        </w:rPr>
        <w:t> </w:t>
      </w:r>
      <w:r>
        <w:rPr>
          <w:sz w:val="16"/>
        </w:rPr>
        <w:t>a</w:t>
      </w:r>
      <w:r>
        <w:rPr>
          <w:w w:val="100"/>
          <w:sz w:val="16"/>
        </w:rPr>
        <w:t> </w:t>
      </w:r>
      <w:r>
        <w:rPr>
          <w:sz w:val="16"/>
        </w:rPr>
        <w:t>33.</w:t>
      </w:r>
    </w:p>
    <w:p>
      <w:pPr>
        <w:spacing w:after="0"/>
        <w:jc w:val="left"/>
        <w:rPr>
          <w:sz w:val="16"/>
        </w:rPr>
        <w:sectPr>
          <w:pgSz w:w="12240" w:h="15840"/>
          <w:pgMar w:header="0" w:footer="1000" w:top="1500" w:bottom="1200" w:left="1580" w:right="1600"/>
        </w:sectPr>
      </w:pPr>
    </w:p>
    <w:p>
      <w:pPr>
        <w:pStyle w:val="ListParagraph"/>
        <w:numPr>
          <w:ilvl w:val="2"/>
          <w:numId w:val="35"/>
        </w:numPr>
        <w:tabs>
          <w:tab w:pos="1579" w:val="left" w:leader="none"/>
        </w:tabs>
        <w:spacing w:line="240" w:lineRule="auto" w:before="76" w:after="0"/>
        <w:ind w:left="1578" w:right="0" w:hanging="604"/>
        <w:jc w:val="left"/>
        <w:rPr>
          <w:i/>
          <w:sz w:val="20"/>
        </w:rPr>
      </w:pPr>
      <w:bookmarkStart w:name="_bookmark80" w:id="135"/>
      <w:bookmarkEnd w:id="135"/>
      <w:r>
        <w:rPr/>
      </w:r>
      <w:bookmarkStart w:name="_bookmark80" w:id="136"/>
      <w:bookmarkEnd w:id="136"/>
      <w:r>
        <w:rPr>
          <w:i/>
          <w:sz w:val="20"/>
          <w:u w:val="single"/>
        </w:rPr>
        <w:t>A</w:t>
      </w:r>
      <w:r>
        <w:rPr>
          <w:i/>
          <w:sz w:val="20"/>
          <w:u w:val="single"/>
        </w:rPr>
        <w:t>cciones sobre el Decreto 461/99 y la Resolución</w:t>
      </w:r>
      <w:r>
        <w:rPr>
          <w:i/>
          <w:spacing w:val="-22"/>
          <w:sz w:val="20"/>
          <w:u w:val="single"/>
        </w:rPr>
        <w:t> </w:t>
      </w:r>
      <w:r>
        <w:rPr>
          <w:i/>
          <w:sz w:val="20"/>
          <w:u w:val="single"/>
        </w:rPr>
        <w:t>423/99</w:t>
      </w:r>
    </w:p>
    <w:p>
      <w:pPr>
        <w:pStyle w:val="BodyText"/>
        <w:spacing w:before="11"/>
        <w:rPr>
          <w:i/>
          <w:sz w:val="11"/>
        </w:rPr>
      </w:pPr>
    </w:p>
    <w:p>
      <w:pPr>
        <w:pStyle w:val="ListParagraph"/>
        <w:numPr>
          <w:ilvl w:val="0"/>
          <w:numId w:val="34"/>
        </w:numPr>
        <w:tabs>
          <w:tab w:pos="830" w:val="left" w:leader="none"/>
        </w:tabs>
        <w:spacing w:line="240" w:lineRule="auto" w:before="99" w:after="0"/>
        <w:ind w:left="122" w:right="126" w:firstLine="0"/>
        <w:jc w:val="both"/>
        <w:rPr>
          <w:sz w:val="20"/>
        </w:rPr>
      </w:pPr>
      <w:r>
        <w:rPr>
          <w:i/>
          <w:sz w:val="20"/>
        </w:rPr>
        <w:t>Hechos.- </w:t>
      </w:r>
      <w:r>
        <w:rPr>
          <w:sz w:val="20"/>
        </w:rPr>
        <w:t>Como se ha indicado, en 1999 Salta dictó el Decreto 461/99 y la Resolución 423/99, relacionados con la adjudicación de parcelas (</w:t>
      </w:r>
      <w:r>
        <w:rPr>
          <w:i/>
          <w:sz w:val="20"/>
        </w:rPr>
        <w:t>supra </w:t>
      </w:r>
      <w:r>
        <w:rPr>
          <w:sz w:val="20"/>
        </w:rPr>
        <w:t>párr. 65). El 8 de marzo de 2000, Lhaka Honhat presentó una acción de amparo contra tales actos gubernamentales</w:t>
      </w:r>
      <w:r>
        <w:rPr>
          <w:position w:val="7"/>
          <w:sz w:val="13"/>
        </w:rPr>
        <w:t>303</w:t>
      </w:r>
      <w:r>
        <w:rPr>
          <w:sz w:val="20"/>
        </w:rPr>
        <w:t>. La acción fue rechazada en la justicia provincial. Luego de la presentación de un recurso extraordinario federal</w:t>
      </w:r>
      <w:r>
        <w:rPr>
          <w:position w:val="7"/>
          <w:sz w:val="13"/>
        </w:rPr>
        <w:t>304</w:t>
      </w:r>
      <w:r>
        <w:rPr>
          <w:sz w:val="20"/>
        </w:rPr>
        <w:t>, el 15 de junio de 2004 la CSJN revocó ese rechazo, disponiendo que la justicia provincial adoptase una nueva decisión</w:t>
      </w:r>
      <w:r>
        <w:rPr>
          <w:position w:val="7"/>
          <w:sz w:val="13"/>
        </w:rPr>
        <w:t>305</w:t>
      </w:r>
      <w:r>
        <w:rPr>
          <w:sz w:val="20"/>
        </w:rPr>
        <w:t>. El 8 de mayo de 2007 la CJS dejó sin efectos la Resolución y el</w:t>
      </w:r>
      <w:r>
        <w:rPr>
          <w:spacing w:val="-37"/>
          <w:sz w:val="20"/>
        </w:rPr>
        <w:t> </w:t>
      </w:r>
      <w:r>
        <w:rPr>
          <w:sz w:val="20"/>
        </w:rPr>
        <w:t>Decreto</w:t>
      </w:r>
      <w:r>
        <w:rPr>
          <w:position w:val="7"/>
          <w:sz w:val="13"/>
        </w:rPr>
        <w:t>306</w:t>
      </w:r>
      <w:r>
        <w:rPr>
          <w:sz w:val="20"/>
        </w:rPr>
        <w:t>.</w:t>
      </w:r>
    </w:p>
    <w:p>
      <w:pPr>
        <w:pStyle w:val="BodyText"/>
      </w:pPr>
    </w:p>
    <w:p>
      <w:pPr>
        <w:pStyle w:val="ListParagraph"/>
        <w:numPr>
          <w:ilvl w:val="0"/>
          <w:numId w:val="34"/>
        </w:numPr>
        <w:tabs>
          <w:tab w:pos="830" w:val="left" w:leader="none"/>
        </w:tabs>
        <w:spacing w:line="237" w:lineRule="auto" w:before="0" w:after="0"/>
        <w:ind w:left="122" w:right="128" w:firstLine="0"/>
        <w:jc w:val="both"/>
        <w:rPr>
          <w:sz w:val="20"/>
        </w:rPr>
      </w:pPr>
      <w:r>
        <w:rPr>
          <w:i/>
          <w:sz w:val="20"/>
        </w:rPr>
        <w:t>Consideraciones.- </w:t>
      </w:r>
      <w:r>
        <w:rPr>
          <w:sz w:val="20"/>
        </w:rPr>
        <w:t>La jurisprudencia de este Tribunal ya ha señalado que “la obligación</w:t>
      </w:r>
      <w:r>
        <w:rPr>
          <w:spacing w:val="-8"/>
          <w:sz w:val="20"/>
        </w:rPr>
        <w:t> </w:t>
      </w:r>
      <w:r>
        <w:rPr>
          <w:sz w:val="20"/>
        </w:rPr>
        <w:t>de</w:t>
      </w:r>
      <w:r>
        <w:rPr>
          <w:spacing w:val="-10"/>
          <w:sz w:val="20"/>
        </w:rPr>
        <w:t> </w:t>
      </w:r>
      <w:r>
        <w:rPr>
          <w:sz w:val="20"/>
        </w:rPr>
        <w:t>proveer</w:t>
      </w:r>
      <w:r>
        <w:rPr>
          <w:spacing w:val="-8"/>
          <w:sz w:val="20"/>
        </w:rPr>
        <w:t> </w:t>
      </w:r>
      <w:r>
        <w:rPr>
          <w:sz w:val="20"/>
        </w:rPr>
        <w:t>recursos</w:t>
      </w:r>
      <w:r>
        <w:rPr>
          <w:spacing w:val="-10"/>
          <w:sz w:val="20"/>
        </w:rPr>
        <w:t> </w:t>
      </w:r>
      <w:r>
        <w:rPr>
          <w:sz w:val="20"/>
        </w:rPr>
        <w:t>judiciales</w:t>
      </w:r>
      <w:r>
        <w:rPr>
          <w:spacing w:val="-10"/>
          <w:sz w:val="20"/>
        </w:rPr>
        <w:t> </w:t>
      </w:r>
      <w:r>
        <w:rPr>
          <w:sz w:val="20"/>
        </w:rPr>
        <w:t>adecuados</w:t>
      </w:r>
      <w:r>
        <w:rPr>
          <w:spacing w:val="-10"/>
          <w:sz w:val="20"/>
        </w:rPr>
        <w:t> </w:t>
      </w:r>
      <w:r>
        <w:rPr>
          <w:sz w:val="20"/>
        </w:rPr>
        <w:t>y</w:t>
      </w:r>
      <w:r>
        <w:rPr>
          <w:spacing w:val="-7"/>
          <w:sz w:val="20"/>
        </w:rPr>
        <w:t> </w:t>
      </w:r>
      <w:r>
        <w:rPr>
          <w:sz w:val="20"/>
        </w:rPr>
        <w:t>efectivos</w:t>
      </w:r>
      <w:r>
        <w:rPr>
          <w:spacing w:val="-10"/>
          <w:sz w:val="20"/>
        </w:rPr>
        <w:t> </w:t>
      </w:r>
      <w:r>
        <w:rPr>
          <w:sz w:val="20"/>
        </w:rPr>
        <w:t>implica</w:t>
      </w:r>
      <w:r>
        <w:rPr>
          <w:spacing w:val="-9"/>
          <w:sz w:val="20"/>
        </w:rPr>
        <w:t> </w:t>
      </w:r>
      <w:r>
        <w:rPr>
          <w:sz w:val="20"/>
        </w:rPr>
        <w:t>que</w:t>
      </w:r>
      <w:r>
        <w:rPr>
          <w:spacing w:val="-10"/>
          <w:sz w:val="20"/>
        </w:rPr>
        <w:t> </w:t>
      </w:r>
      <w:r>
        <w:rPr>
          <w:sz w:val="20"/>
        </w:rPr>
        <w:t>los</w:t>
      </w:r>
      <w:r>
        <w:rPr>
          <w:spacing w:val="-10"/>
          <w:sz w:val="20"/>
        </w:rPr>
        <w:t> </w:t>
      </w:r>
      <w:r>
        <w:rPr>
          <w:sz w:val="20"/>
        </w:rPr>
        <w:t>procesos se realicen en un plazo razonable”</w:t>
      </w:r>
      <w:r>
        <w:rPr>
          <w:position w:val="7"/>
          <w:sz w:val="13"/>
        </w:rPr>
        <w:t>307</w:t>
      </w:r>
      <w:r>
        <w:rPr>
          <w:sz w:val="20"/>
        </w:rPr>
        <w:t>. La Corte ha considerado que, en vista de “un retardo</w:t>
      </w:r>
      <w:r>
        <w:rPr>
          <w:spacing w:val="-8"/>
          <w:sz w:val="20"/>
        </w:rPr>
        <w:t> </w:t>
      </w:r>
      <w:r>
        <w:rPr>
          <w:sz w:val="20"/>
        </w:rPr>
        <w:t>notorio</w:t>
      </w:r>
      <w:r>
        <w:rPr>
          <w:spacing w:val="-8"/>
          <w:sz w:val="20"/>
        </w:rPr>
        <w:t> </w:t>
      </w:r>
      <w:r>
        <w:rPr>
          <w:sz w:val="20"/>
        </w:rPr>
        <w:t>del</w:t>
      </w:r>
      <w:r>
        <w:rPr>
          <w:spacing w:val="-8"/>
          <w:sz w:val="20"/>
        </w:rPr>
        <w:t> </w:t>
      </w:r>
      <w:r>
        <w:rPr>
          <w:sz w:val="20"/>
        </w:rPr>
        <w:t>proceso</w:t>
      </w:r>
      <w:r>
        <w:rPr>
          <w:spacing w:val="-10"/>
          <w:sz w:val="20"/>
        </w:rPr>
        <w:t> </w:t>
      </w:r>
      <w:r>
        <w:rPr>
          <w:sz w:val="20"/>
        </w:rPr>
        <w:t>[…]</w:t>
      </w:r>
      <w:r>
        <w:rPr>
          <w:spacing w:val="-6"/>
          <w:sz w:val="20"/>
        </w:rPr>
        <w:t> </w:t>
      </w:r>
      <w:r>
        <w:rPr>
          <w:sz w:val="20"/>
        </w:rPr>
        <w:t>carente</w:t>
      </w:r>
      <w:r>
        <w:rPr>
          <w:spacing w:val="-10"/>
          <w:sz w:val="20"/>
        </w:rPr>
        <w:t> </w:t>
      </w:r>
      <w:r>
        <w:rPr>
          <w:sz w:val="20"/>
        </w:rPr>
        <w:t>de</w:t>
      </w:r>
      <w:r>
        <w:rPr>
          <w:spacing w:val="-8"/>
          <w:sz w:val="20"/>
        </w:rPr>
        <w:t> </w:t>
      </w:r>
      <w:r>
        <w:rPr>
          <w:sz w:val="20"/>
        </w:rPr>
        <w:t>explicación</w:t>
      </w:r>
      <w:r>
        <w:rPr>
          <w:spacing w:val="-6"/>
          <w:sz w:val="20"/>
        </w:rPr>
        <w:t> </w:t>
      </w:r>
      <w:r>
        <w:rPr>
          <w:sz w:val="20"/>
        </w:rPr>
        <w:t>razonada”,</w:t>
      </w:r>
      <w:r>
        <w:rPr>
          <w:spacing w:val="-9"/>
          <w:sz w:val="20"/>
        </w:rPr>
        <w:t> </w:t>
      </w:r>
      <w:r>
        <w:rPr>
          <w:sz w:val="20"/>
        </w:rPr>
        <w:t>no</w:t>
      </w:r>
      <w:r>
        <w:rPr>
          <w:spacing w:val="-8"/>
          <w:sz w:val="20"/>
        </w:rPr>
        <w:t> </w:t>
      </w:r>
      <w:r>
        <w:rPr>
          <w:sz w:val="20"/>
        </w:rPr>
        <w:t>se</w:t>
      </w:r>
      <w:r>
        <w:rPr>
          <w:spacing w:val="-8"/>
          <w:sz w:val="20"/>
        </w:rPr>
        <w:t> </w:t>
      </w:r>
      <w:r>
        <w:rPr>
          <w:sz w:val="20"/>
        </w:rPr>
        <w:t>hace</w:t>
      </w:r>
      <w:r>
        <w:rPr>
          <w:spacing w:val="-10"/>
          <w:sz w:val="20"/>
        </w:rPr>
        <w:t> </w:t>
      </w:r>
      <w:r>
        <w:rPr>
          <w:sz w:val="20"/>
        </w:rPr>
        <w:t>“necesario realizar el análisis de los [distintos] criterios [de evaluación del tiempo</w:t>
      </w:r>
      <w:r>
        <w:rPr>
          <w:spacing w:val="-25"/>
          <w:sz w:val="20"/>
        </w:rPr>
        <w:t> </w:t>
      </w:r>
      <w:r>
        <w:rPr>
          <w:sz w:val="20"/>
        </w:rPr>
        <w:t>insumido]”</w:t>
      </w:r>
      <w:r>
        <w:rPr>
          <w:rFonts w:ascii="Calibri" w:hAnsi="Calibri"/>
          <w:position w:val="8"/>
          <w:sz w:val="14"/>
        </w:rPr>
        <w:t>308</w:t>
      </w:r>
      <w:r>
        <w:rPr>
          <w:sz w:val="20"/>
        </w:rPr>
        <w:t>.</w:t>
      </w:r>
    </w:p>
    <w:p>
      <w:pPr>
        <w:pStyle w:val="BodyText"/>
        <w:spacing w:before="6"/>
        <w:rPr>
          <w:sz w:val="21"/>
        </w:rPr>
      </w:pPr>
    </w:p>
    <w:p>
      <w:pPr>
        <w:pStyle w:val="ListParagraph"/>
        <w:numPr>
          <w:ilvl w:val="0"/>
          <w:numId w:val="34"/>
        </w:numPr>
        <w:tabs>
          <w:tab w:pos="830" w:val="left" w:leader="none"/>
        </w:tabs>
        <w:spacing w:line="240" w:lineRule="auto" w:before="0" w:after="0"/>
        <w:ind w:left="122" w:right="124" w:firstLine="0"/>
        <w:jc w:val="both"/>
        <w:rPr>
          <w:sz w:val="20"/>
        </w:rPr>
      </w:pPr>
      <w:r>
        <w:rPr>
          <w:sz w:val="20"/>
        </w:rPr>
        <w:t>Respecto</w:t>
      </w:r>
      <w:r>
        <w:rPr>
          <w:spacing w:val="-16"/>
          <w:sz w:val="20"/>
        </w:rPr>
        <w:t> </w:t>
      </w:r>
      <w:r>
        <w:rPr>
          <w:sz w:val="20"/>
        </w:rPr>
        <w:t>del</w:t>
      </w:r>
      <w:r>
        <w:rPr>
          <w:spacing w:val="-16"/>
          <w:sz w:val="20"/>
        </w:rPr>
        <w:t> </w:t>
      </w:r>
      <w:r>
        <w:rPr>
          <w:sz w:val="20"/>
        </w:rPr>
        <w:t>caso</w:t>
      </w:r>
      <w:r>
        <w:rPr>
          <w:spacing w:val="-16"/>
          <w:sz w:val="20"/>
        </w:rPr>
        <w:t> </w:t>
      </w:r>
      <w:r>
        <w:rPr>
          <w:sz w:val="20"/>
        </w:rPr>
        <w:t>bajo</w:t>
      </w:r>
      <w:r>
        <w:rPr>
          <w:spacing w:val="-16"/>
          <w:sz w:val="20"/>
        </w:rPr>
        <w:t> </w:t>
      </w:r>
      <w:r>
        <w:rPr>
          <w:sz w:val="20"/>
        </w:rPr>
        <w:t>examen,</w:t>
      </w:r>
      <w:r>
        <w:rPr>
          <w:spacing w:val="-11"/>
          <w:sz w:val="20"/>
        </w:rPr>
        <w:t> </w:t>
      </w:r>
      <w:r>
        <w:rPr>
          <w:sz w:val="20"/>
        </w:rPr>
        <w:t>este</w:t>
      </w:r>
      <w:r>
        <w:rPr>
          <w:spacing w:val="-15"/>
          <w:sz w:val="20"/>
        </w:rPr>
        <w:t> </w:t>
      </w:r>
      <w:r>
        <w:rPr>
          <w:sz w:val="20"/>
        </w:rPr>
        <w:t>Tribunal</w:t>
      </w:r>
      <w:r>
        <w:rPr>
          <w:spacing w:val="-16"/>
          <w:sz w:val="20"/>
        </w:rPr>
        <w:t> </w:t>
      </w:r>
      <w:r>
        <w:rPr>
          <w:sz w:val="20"/>
        </w:rPr>
        <w:t>nota</w:t>
      </w:r>
      <w:r>
        <w:rPr>
          <w:spacing w:val="-17"/>
          <w:sz w:val="20"/>
        </w:rPr>
        <w:t> </w:t>
      </w:r>
      <w:r>
        <w:rPr>
          <w:sz w:val="20"/>
        </w:rPr>
        <w:t>que</w:t>
      </w:r>
      <w:r>
        <w:rPr>
          <w:spacing w:val="-17"/>
          <w:sz w:val="20"/>
        </w:rPr>
        <w:t> </w:t>
      </w:r>
      <w:r>
        <w:rPr>
          <w:sz w:val="20"/>
        </w:rPr>
        <w:t>en</w:t>
      </w:r>
      <w:r>
        <w:rPr>
          <w:spacing w:val="-15"/>
          <w:sz w:val="20"/>
        </w:rPr>
        <w:t> </w:t>
      </w:r>
      <w:r>
        <w:rPr>
          <w:sz w:val="20"/>
        </w:rPr>
        <w:t>total</w:t>
      </w:r>
      <w:r>
        <w:rPr>
          <w:spacing w:val="-13"/>
          <w:sz w:val="20"/>
        </w:rPr>
        <w:t> </w:t>
      </w:r>
      <w:r>
        <w:rPr>
          <w:sz w:val="20"/>
        </w:rPr>
        <w:t>el</w:t>
      </w:r>
      <w:r>
        <w:rPr>
          <w:spacing w:val="-17"/>
          <w:sz w:val="20"/>
        </w:rPr>
        <w:t> </w:t>
      </w:r>
      <w:r>
        <w:rPr>
          <w:sz w:val="20"/>
        </w:rPr>
        <w:t>proceso</w:t>
      </w:r>
      <w:r>
        <w:rPr>
          <w:spacing w:val="-19"/>
          <w:sz w:val="20"/>
        </w:rPr>
        <w:t> </w:t>
      </w:r>
      <w:r>
        <w:rPr>
          <w:sz w:val="20"/>
        </w:rPr>
        <w:t>judicial demoró cerca de siete años. En particular, desde que la CSJN ordenó dictar a la justicia provincial una sentencia, transcurrieron alrededor de 3 años. La Corte Interamericana no advierte justificación para esta demora de tres años y el Estado no ha presentado explicaciones al respecto</w:t>
      </w:r>
      <w:r>
        <w:rPr>
          <w:position w:val="7"/>
          <w:sz w:val="13"/>
        </w:rPr>
        <w:t>309</w:t>
      </w:r>
      <w:r>
        <w:rPr>
          <w:sz w:val="20"/>
        </w:rPr>
        <w:t>. En consecuencia, este Tribunal observa que hay motivos suficientes para entender que el plazo mencionado ha sido excesivo e injustificado </w:t>
      </w:r>
      <w:r>
        <w:rPr>
          <w:spacing w:val="4"/>
          <w:sz w:val="20"/>
        </w:rPr>
        <w:t>y, </w:t>
      </w:r>
      <w:r>
        <w:rPr>
          <w:sz w:val="20"/>
        </w:rPr>
        <w:t>por lo tanto, no puede considerarse razonable en los términos del artículo 8.1 de la Convención.</w:t>
      </w:r>
    </w:p>
    <w:p>
      <w:pPr>
        <w:pStyle w:val="BodyText"/>
      </w:pPr>
    </w:p>
    <w:p>
      <w:pPr>
        <w:pStyle w:val="BodyText"/>
      </w:pPr>
    </w:p>
    <w:p>
      <w:pPr>
        <w:pStyle w:val="BodyText"/>
        <w:spacing w:before="4"/>
        <w:rPr>
          <w:sz w:val="23"/>
        </w:rPr>
      </w:pPr>
      <w:r>
        <w:rPr/>
        <w:pict>
          <v:line style="position:absolute;mso-position-horizontal-relative:page;mso-position-vertical-relative:paragraph;z-index:3376;mso-wrap-distance-left:0;mso-wrap-distance-right:0" from="85.103996pt,16.534891pt" to="229.123996pt,16.534891pt" stroked="true" strokeweight=".72pt" strokecolor="#000000">
            <v:stroke dashstyle="solid"/>
            <w10:wrap type="topAndBottom"/>
          </v:line>
        </w:pict>
      </w:r>
    </w:p>
    <w:p>
      <w:pPr>
        <w:tabs>
          <w:tab w:pos="829" w:val="left" w:leader="none"/>
        </w:tabs>
        <w:spacing w:before="71"/>
        <w:ind w:left="122" w:right="115" w:firstLine="0"/>
        <w:jc w:val="both"/>
        <w:rPr>
          <w:sz w:val="16"/>
        </w:rPr>
      </w:pPr>
      <w:r>
        <w:rPr>
          <w:position w:val="6"/>
          <w:sz w:val="10"/>
        </w:rPr>
        <w:t>303</w:t>
        <w:tab/>
      </w:r>
      <w:r>
        <w:rPr>
          <w:sz w:val="16"/>
        </w:rPr>
        <w:t>Antes</w:t>
      </w:r>
      <w:r>
        <w:rPr>
          <w:spacing w:val="23"/>
          <w:sz w:val="16"/>
        </w:rPr>
        <w:t> </w:t>
      </w:r>
      <w:r>
        <w:rPr>
          <w:sz w:val="16"/>
        </w:rPr>
        <w:t>Lhaka</w:t>
      </w:r>
      <w:r>
        <w:rPr>
          <w:spacing w:val="20"/>
          <w:sz w:val="16"/>
        </w:rPr>
        <w:t> </w:t>
      </w:r>
      <w:r>
        <w:rPr>
          <w:sz w:val="16"/>
        </w:rPr>
        <w:t>Honhat</w:t>
      </w:r>
      <w:r>
        <w:rPr>
          <w:spacing w:val="22"/>
          <w:sz w:val="16"/>
        </w:rPr>
        <w:t> </w:t>
      </w:r>
      <w:r>
        <w:rPr>
          <w:sz w:val="16"/>
        </w:rPr>
        <w:t>había</w:t>
      </w:r>
      <w:r>
        <w:rPr>
          <w:spacing w:val="22"/>
          <w:sz w:val="16"/>
        </w:rPr>
        <w:t> </w:t>
      </w:r>
      <w:r>
        <w:rPr>
          <w:sz w:val="16"/>
        </w:rPr>
        <w:t>presentado</w:t>
      </w:r>
      <w:r>
        <w:rPr>
          <w:spacing w:val="21"/>
          <w:sz w:val="16"/>
        </w:rPr>
        <w:t> </w:t>
      </w:r>
      <w:r>
        <w:rPr>
          <w:sz w:val="16"/>
        </w:rPr>
        <w:t>un</w:t>
      </w:r>
      <w:r>
        <w:rPr>
          <w:spacing w:val="22"/>
          <w:sz w:val="16"/>
        </w:rPr>
        <w:t> </w:t>
      </w:r>
      <w:r>
        <w:rPr>
          <w:sz w:val="16"/>
        </w:rPr>
        <w:t>recurso</w:t>
      </w:r>
      <w:r>
        <w:rPr>
          <w:spacing w:val="21"/>
          <w:sz w:val="16"/>
        </w:rPr>
        <w:t> </w:t>
      </w:r>
      <w:r>
        <w:rPr>
          <w:sz w:val="16"/>
        </w:rPr>
        <w:t>Administrativo</w:t>
      </w:r>
      <w:r>
        <w:rPr>
          <w:spacing w:val="23"/>
          <w:sz w:val="16"/>
        </w:rPr>
        <w:t> </w:t>
      </w:r>
      <w:r>
        <w:rPr>
          <w:sz w:val="16"/>
        </w:rPr>
        <w:t>contra</w:t>
      </w:r>
      <w:r>
        <w:rPr>
          <w:spacing w:val="20"/>
          <w:sz w:val="16"/>
        </w:rPr>
        <w:t> </w:t>
      </w:r>
      <w:r>
        <w:rPr>
          <w:sz w:val="16"/>
        </w:rPr>
        <w:t>dicha</w:t>
      </w:r>
      <w:r>
        <w:rPr>
          <w:spacing w:val="20"/>
          <w:sz w:val="16"/>
        </w:rPr>
        <w:t> </w:t>
      </w:r>
      <w:r>
        <w:rPr>
          <w:sz w:val="16"/>
        </w:rPr>
        <w:t>resolución,</w:t>
      </w:r>
      <w:r>
        <w:rPr>
          <w:spacing w:val="22"/>
          <w:sz w:val="16"/>
        </w:rPr>
        <w:t> </w:t>
      </w:r>
      <w:r>
        <w:rPr>
          <w:sz w:val="16"/>
        </w:rPr>
        <w:t>que</w:t>
      </w:r>
      <w:r>
        <w:rPr>
          <w:spacing w:val="21"/>
          <w:sz w:val="16"/>
        </w:rPr>
        <w:t> </w:t>
      </w:r>
      <w:r>
        <w:rPr>
          <w:sz w:val="16"/>
        </w:rPr>
        <w:t>fue</w:t>
      </w:r>
      <w:r>
        <w:rPr>
          <w:w w:val="100"/>
          <w:sz w:val="16"/>
        </w:rPr>
        <w:t> </w:t>
      </w:r>
      <w:r>
        <w:rPr>
          <w:sz w:val="16"/>
        </w:rPr>
        <w:t>rechazado (</w:t>
      </w:r>
      <w:r>
        <w:rPr>
          <w:i/>
          <w:sz w:val="16"/>
        </w:rPr>
        <w:t>cfr. </w:t>
      </w:r>
      <w:r>
        <w:rPr>
          <w:color w:val="121212"/>
          <w:sz w:val="16"/>
        </w:rPr>
        <w:t>Resolución 500</w:t>
      </w:r>
      <w:r>
        <w:rPr>
          <w:color w:val="4D4D4D"/>
          <w:sz w:val="16"/>
        </w:rPr>
        <w:t>/</w:t>
      </w:r>
      <w:r>
        <w:rPr>
          <w:color w:val="282828"/>
          <w:sz w:val="16"/>
        </w:rPr>
        <w:t>99 </w:t>
      </w:r>
      <w:r>
        <w:rPr>
          <w:color w:val="121212"/>
          <w:sz w:val="16"/>
        </w:rPr>
        <w:t>de la </w:t>
      </w:r>
      <w:r>
        <w:rPr>
          <w:color w:val="282828"/>
          <w:sz w:val="16"/>
        </w:rPr>
        <w:t>Secretaría </w:t>
      </w:r>
      <w:r>
        <w:rPr>
          <w:color w:val="121212"/>
          <w:sz w:val="16"/>
        </w:rPr>
        <w:t>General de Gobernación; </w:t>
      </w:r>
      <w:r>
        <w:rPr>
          <w:sz w:val="16"/>
        </w:rPr>
        <w:t>expediente de prueba, anexo 14 al Informe de Fondo, fs. 279 a</w:t>
      </w:r>
      <w:r>
        <w:rPr>
          <w:spacing w:val="-14"/>
          <w:sz w:val="16"/>
        </w:rPr>
        <w:t> </w:t>
      </w:r>
      <w:r>
        <w:rPr>
          <w:sz w:val="16"/>
        </w:rPr>
        <w:t>291).</w:t>
      </w:r>
    </w:p>
    <w:p>
      <w:pPr>
        <w:pStyle w:val="BodyText"/>
        <w:spacing w:before="11"/>
        <w:rPr>
          <w:sz w:val="15"/>
        </w:rPr>
      </w:pPr>
    </w:p>
    <w:p>
      <w:pPr>
        <w:tabs>
          <w:tab w:pos="829" w:val="left" w:leader="none"/>
        </w:tabs>
        <w:spacing w:before="0"/>
        <w:ind w:left="122" w:right="114" w:firstLine="0"/>
        <w:jc w:val="both"/>
        <w:rPr>
          <w:sz w:val="16"/>
        </w:rPr>
      </w:pPr>
      <w:r>
        <w:rPr>
          <w:position w:val="6"/>
          <w:sz w:val="10"/>
        </w:rPr>
        <w:t>304</w:t>
        <w:tab/>
      </w:r>
      <w:r>
        <w:rPr>
          <w:sz w:val="16"/>
        </w:rPr>
        <w:t>La</w:t>
      </w:r>
      <w:r>
        <w:rPr>
          <w:spacing w:val="-9"/>
          <w:sz w:val="16"/>
        </w:rPr>
        <w:t> </w:t>
      </w:r>
      <w:r>
        <w:rPr>
          <w:sz w:val="16"/>
        </w:rPr>
        <w:t>procedencia</w:t>
      </w:r>
      <w:r>
        <w:rPr>
          <w:spacing w:val="-10"/>
          <w:sz w:val="16"/>
        </w:rPr>
        <w:t> </w:t>
      </w:r>
      <w:r>
        <w:rPr>
          <w:sz w:val="16"/>
        </w:rPr>
        <w:t>del</w:t>
      </w:r>
      <w:r>
        <w:rPr>
          <w:spacing w:val="-9"/>
          <w:sz w:val="16"/>
        </w:rPr>
        <w:t> </w:t>
      </w:r>
      <w:r>
        <w:rPr>
          <w:sz w:val="16"/>
        </w:rPr>
        <w:t>recurso</w:t>
      </w:r>
      <w:r>
        <w:rPr>
          <w:spacing w:val="-8"/>
          <w:sz w:val="16"/>
        </w:rPr>
        <w:t> </w:t>
      </w:r>
      <w:r>
        <w:rPr>
          <w:sz w:val="16"/>
        </w:rPr>
        <w:t>extraordinario</w:t>
      </w:r>
      <w:r>
        <w:rPr>
          <w:spacing w:val="-10"/>
          <w:sz w:val="16"/>
        </w:rPr>
        <w:t> </w:t>
      </w:r>
      <w:r>
        <w:rPr>
          <w:sz w:val="16"/>
        </w:rPr>
        <w:t>fue</w:t>
      </w:r>
      <w:r>
        <w:rPr>
          <w:spacing w:val="-5"/>
          <w:sz w:val="16"/>
        </w:rPr>
        <w:t> </w:t>
      </w:r>
      <w:r>
        <w:rPr>
          <w:sz w:val="16"/>
        </w:rPr>
        <w:t>negada</w:t>
      </w:r>
      <w:r>
        <w:rPr>
          <w:spacing w:val="-11"/>
          <w:sz w:val="16"/>
        </w:rPr>
        <w:t> </w:t>
      </w:r>
      <w:r>
        <w:rPr>
          <w:sz w:val="16"/>
        </w:rPr>
        <w:t>en</w:t>
      </w:r>
      <w:r>
        <w:rPr>
          <w:spacing w:val="-9"/>
          <w:sz w:val="16"/>
        </w:rPr>
        <w:t> </w:t>
      </w:r>
      <w:r>
        <w:rPr>
          <w:sz w:val="16"/>
        </w:rPr>
        <w:t>primer</w:t>
      </w:r>
      <w:r>
        <w:rPr>
          <w:spacing w:val="-8"/>
          <w:sz w:val="16"/>
        </w:rPr>
        <w:t> </w:t>
      </w:r>
      <w:r>
        <w:rPr>
          <w:sz w:val="16"/>
        </w:rPr>
        <w:t>término,</w:t>
      </w:r>
      <w:r>
        <w:rPr>
          <w:spacing w:val="-9"/>
          <w:sz w:val="16"/>
        </w:rPr>
        <w:t> </w:t>
      </w:r>
      <w:r>
        <w:rPr>
          <w:sz w:val="16"/>
        </w:rPr>
        <w:t>el</w:t>
      </w:r>
      <w:r>
        <w:rPr>
          <w:spacing w:val="-12"/>
          <w:sz w:val="16"/>
        </w:rPr>
        <w:t> </w:t>
      </w:r>
      <w:r>
        <w:rPr>
          <w:sz w:val="16"/>
        </w:rPr>
        <w:t>14</w:t>
      </w:r>
      <w:r>
        <w:rPr>
          <w:spacing w:val="-10"/>
          <w:sz w:val="16"/>
        </w:rPr>
        <w:t> </w:t>
      </w:r>
      <w:r>
        <w:rPr>
          <w:sz w:val="16"/>
        </w:rPr>
        <w:t>de</w:t>
      </w:r>
      <w:r>
        <w:rPr>
          <w:spacing w:val="-11"/>
          <w:sz w:val="16"/>
        </w:rPr>
        <w:t> </w:t>
      </w:r>
      <w:r>
        <w:rPr>
          <w:sz w:val="16"/>
        </w:rPr>
        <w:t>marzo</w:t>
      </w:r>
      <w:r>
        <w:rPr>
          <w:spacing w:val="-8"/>
          <w:sz w:val="16"/>
        </w:rPr>
        <w:t> </w:t>
      </w:r>
      <w:r>
        <w:rPr>
          <w:sz w:val="16"/>
        </w:rPr>
        <w:t>de</w:t>
      </w:r>
      <w:r>
        <w:rPr>
          <w:spacing w:val="-8"/>
          <w:sz w:val="16"/>
        </w:rPr>
        <w:t> </w:t>
      </w:r>
      <w:r>
        <w:rPr>
          <w:sz w:val="16"/>
        </w:rPr>
        <w:t>2001,</w:t>
      </w:r>
      <w:r>
        <w:rPr>
          <w:spacing w:val="-7"/>
          <w:sz w:val="16"/>
        </w:rPr>
        <w:t> </w:t>
      </w:r>
      <w:r>
        <w:rPr>
          <w:sz w:val="16"/>
        </w:rPr>
        <w:t>por</w:t>
      </w:r>
      <w:r>
        <w:rPr>
          <w:w w:val="100"/>
          <w:sz w:val="16"/>
        </w:rPr>
        <w:t> </w:t>
      </w:r>
      <w:r>
        <w:rPr>
          <w:sz w:val="16"/>
        </w:rPr>
        <w:t>la</w:t>
      </w:r>
      <w:r>
        <w:rPr>
          <w:spacing w:val="-3"/>
          <w:sz w:val="16"/>
        </w:rPr>
        <w:t> </w:t>
      </w:r>
      <w:r>
        <w:rPr>
          <w:sz w:val="16"/>
        </w:rPr>
        <w:t>Corte</w:t>
      </w:r>
      <w:r>
        <w:rPr>
          <w:spacing w:val="-5"/>
          <w:sz w:val="16"/>
        </w:rPr>
        <w:t> </w:t>
      </w:r>
      <w:r>
        <w:rPr>
          <w:sz w:val="16"/>
        </w:rPr>
        <w:t>de</w:t>
      </w:r>
      <w:r>
        <w:rPr>
          <w:spacing w:val="-2"/>
          <w:sz w:val="16"/>
        </w:rPr>
        <w:t> </w:t>
      </w:r>
      <w:r>
        <w:rPr>
          <w:sz w:val="16"/>
        </w:rPr>
        <w:t>Justicia</w:t>
      </w:r>
      <w:r>
        <w:rPr>
          <w:spacing w:val="-4"/>
          <w:sz w:val="16"/>
        </w:rPr>
        <w:t> </w:t>
      </w:r>
      <w:r>
        <w:rPr>
          <w:sz w:val="16"/>
        </w:rPr>
        <w:t>de</w:t>
      </w:r>
      <w:r>
        <w:rPr>
          <w:spacing w:val="-5"/>
          <w:sz w:val="16"/>
        </w:rPr>
        <w:t> </w:t>
      </w:r>
      <w:r>
        <w:rPr>
          <w:sz w:val="16"/>
        </w:rPr>
        <w:t>Salta,</w:t>
      </w:r>
      <w:r>
        <w:rPr>
          <w:spacing w:val="-4"/>
          <w:sz w:val="16"/>
        </w:rPr>
        <w:t> </w:t>
      </w:r>
      <w:r>
        <w:rPr>
          <w:sz w:val="16"/>
        </w:rPr>
        <w:t>por</w:t>
      </w:r>
      <w:r>
        <w:rPr>
          <w:spacing w:val="-2"/>
          <w:sz w:val="16"/>
        </w:rPr>
        <w:t> </w:t>
      </w:r>
      <w:r>
        <w:rPr>
          <w:sz w:val="16"/>
        </w:rPr>
        <w:t>lo</w:t>
      </w:r>
      <w:r>
        <w:rPr>
          <w:spacing w:val="-4"/>
          <w:sz w:val="16"/>
        </w:rPr>
        <w:t> </w:t>
      </w:r>
      <w:r>
        <w:rPr>
          <w:sz w:val="16"/>
        </w:rPr>
        <w:t>que</w:t>
      </w:r>
      <w:r>
        <w:rPr>
          <w:spacing w:val="-2"/>
          <w:sz w:val="16"/>
        </w:rPr>
        <w:t> </w:t>
      </w:r>
      <w:r>
        <w:rPr>
          <w:sz w:val="16"/>
        </w:rPr>
        <w:t>Lhaka</w:t>
      </w:r>
      <w:r>
        <w:rPr>
          <w:spacing w:val="-3"/>
          <w:sz w:val="16"/>
        </w:rPr>
        <w:t> </w:t>
      </w:r>
      <w:r>
        <w:rPr>
          <w:sz w:val="16"/>
        </w:rPr>
        <w:t>Honhat</w:t>
      </w:r>
      <w:r>
        <w:rPr>
          <w:spacing w:val="-4"/>
          <w:sz w:val="16"/>
        </w:rPr>
        <w:t> </w:t>
      </w:r>
      <w:r>
        <w:rPr>
          <w:sz w:val="16"/>
        </w:rPr>
        <w:t>presentó</w:t>
      </w:r>
      <w:r>
        <w:rPr>
          <w:spacing w:val="-2"/>
          <w:sz w:val="16"/>
        </w:rPr>
        <w:t> </w:t>
      </w:r>
      <w:r>
        <w:rPr>
          <w:sz w:val="16"/>
        </w:rPr>
        <w:t>un</w:t>
      </w:r>
      <w:r>
        <w:rPr>
          <w:spacing w:val="-4"/>
          <w:sz w:val="16"/>
        </w:rPr>
        <w:t> </w:t>
      </w:r>
      <w:r>
        <w:rPr>
          <w:sz w:val="16"/>
        </w:rPr>
        <w:t>recurso</w:t>
      </w:r>
      <w:r>
        <w:rPr>
          <w:spacing w:val="-4"/>
          <w:sz w:val="16"/>
        </w:rPr>
        <w:t> </w:t>
      </w:r>
      <w:r>
        <w:rPr>
          <w:sz w:val="16"/>
        </w:rPr>
        <w:t>de</w:t>
      </w:r>
      <w:r>
        <w:rPr>
          <w:spacing w:val="-2"/>
          <w:sz w:val="16"/>
        </w:rPr>
        <w:t> </w:t>
      </w:r>
      <w:r>
        <w:rPr>
          <w:sz w:val="16"/>
        </w:rPr>
        <w:t>queja</w:t>
      </w:r>
      <w:r>
        <w:rPr>
          <w:spacing w:val="1"/>
          <w:sz w:val="16"/>
        </w:rPr>
        <w:t> </w:t>
      </w:r>
      <w:r>
        <w:rPr>
          <w:sz w:val="16"/>
        </w:rPr>
        <w:t>directo</w:t>
      </w:r>
      <w:r>
        <w:rPr>
          <w:spacing w:val="-2"/>
          <w:sz w:val="16"/>
        </w:rPr>
        <w:t> </w:t>
      </w:r>
      <w:r>
        <w:rPr>
          <w:sz w:val="16"/>
        </w:rPr>
        <w:t>ante</w:t>
      </w:r>
      <w:r>
        <w:rPr>
          <w:spacing w:val="-2"/>
          <w:sz w:val="16"/>
        </w:rPr>
        <w:t> </w:t>
      </w:r>
      <w:r>
        <w:rPr>
          <w:sz w:val="16"/>
        </w:rPr>
        <w:t>la</w:t>
      </w:r>
      <w:r>
        <w:rPr>
          <w:spacing w:val="-3"/>
          <w:sz w:val="16"/>
        </w:rPr>
        <w:t> </w:t>
      </w:r>
      <w:r>
        <w:rPr>
          <w:sz w:val="16"/>
        </w:rPr>
        <w:t>CSJN,</w:t>
      </w:r>
      <w:r>
        <w:rPr>
          <w:spacing w:val="-4"/>
          <w:sz w:val="16"/>
        </w:rPr>
        <w:t> </w:t>
      </w:r>
      <w:r>
        <w:rPr>
          <w:sz w:val="16"/>
        </w:rPr>
        <w:t>que aceptó el</w:t>
      </w:r>
      <w:r>
        <w:rPr>
          <w:spacing w:val="-6"/>
          <w:sz w:val="16"/>
        </w:rPr>
        <w:t> </w:t>
      </w:r>
      <w:r>
        <w:rPr>
          <w:sz w:val="16"/>
        </w:rPr>
        <w:t>recurso.</w:t>
      </w:r>
    </w:p>
    <w:p>
      <w:pPr>
        <w:pStyle w:val="BodyText"/>
        <w:spacing w:before="11"/>
        <w:rPr>
          <w:sz w:val="15"/>
        </w:rPr>
      </w:pPr>
    </w:p>
    <w:p>
      <w:pPr>
        <w:tabs>
          <w:tab w:pos="829" w:val="left" w:leader="none"/>
        </w:tabs>
        <w:spacing w:before="0"/>
        <w:ind w:left="122" w:right="117" w:firstLine="0"/>
        <w:jc w:val="both"/>
        <w:rPr>
          <w:sz w:val="16"/>
        </w:rPr>
      </w:pPr>
      <w:r>
        <w:rPr>
          <w:position w:val="6"/>
          <w:sz w:val="10"/>
        </w:rPr>
        <w:t>305</w:t>
        <w:tab/>
      </w:r>
      <w:r>
        <w:rPr>
          <w:sz w:val="16"/>
        </w:rPr>
        <w:t>CSJN,</w:t>
      </w:r>
      <w:r>
        <w:rPr>
          <w:spacing w:val="18"/>
          <w:sz w:val="16"/>
        </w:rPr>
        <w:t> </w:t>
      </w:r>
      <w:r>
        <w:rPr>
          <w:sz w:val="16"/>
        </w:rPr>
        <w:t>“Asociación</w:t>
      </w:r>
      <w:r>
        <w:rPr>
          <w:spacing w:val="18"/>
          <w:sz w:val="16"/>
        </w:rPr>
        <w:t> </w:t>
      </w:r>
      <w:r>
        <w:rPr>
          <w:sz w:val="16"/>
        </w:rPr>
        <w:t>de</w:t>
      </w:r>
      <w:r>
        <w:rPr>
          <w:spacing w:val="19"/>
          <w:sz w:val="16"/>
        </w:rPr>
        <w:t> </w:t>
      </w:r>
      <w:r>
        <w:rPr>
          <w:sz w:val="16"/>
        </w:rPr>
        <w:t>Comunidades</w:t>
      </w:r>
      <w:r>
        <w:rPr>
          <w:spacing w:val="17"/>
          <w:sz w:val="16"/>
        </w:rPr>
        <w:t> </w:t>
      </w:r>
      <w:r>
        <w:rPr>
          <w:sz w:val="16"/>
        </w:rPr>
        <w:t>Aborígenes</w:t>
      </w:r>
      <w:r>
        <w:rPr>
          <w:spacing w:val="17"/>
          <w:sz w:val="16"/>
        </w:rPr>
        <w:t> </w:t>
      </w:r>
      <w:r>
        <w:rPr>
          <w:sz w:val="16"/>
        </w:rPr>
        <w:t>Lhaka</w:t>
      </w:r>
      <w:r>
        <w:rPr>
          <w:spacing w:val="18"/>
          <w:sz w:val="16"/>
        </w:rPr>
        <w:t> </w:t>
      </w:r>
      <w:r>
        <w:rPr>
          <w:sz w:val="16"/>
        </w:rPr>
        <w:t>Honhat</w:t>
      </w:r>
      <w:r>
        <w:rPr>
          <w:spacing w:val="18"/>
          <w:sz w:val="16"/>
        </w:rPr>
        <w:t> </w:t>
      </w:r>
      <w:r>
        <w:rPr>
          <w:sz w:val="16"/>
        </w:rPr>
        <w:t>c/Poder</w:t>
      </w:r>
      <w:r>
        <w:rPr>
          <w:spacing w:val="18"/>
          <w:sz w:val="16"/>
        </w:rPr>
        <w:t> </w:t>
      </w:r>
      <w:r>
        <w:rPr>
          <w:sz w:val="16"/>
        </w:rPr>
        <w:t>Ejecutivo</w:t>
      </w:r>
      <w:r>
        <w:rPr>
          <w:spacing w:val="17"/>
          <w:sz w:val="16"/>
        </w:rPr>
        <w:t> </w:t>
      </w:r>
      <w:r>
        <w:rPr>
          <w:sz w:val="16"/>
        </w:rPr>
        <w:t>de</w:t>
      </w:r>
      <w:r>
        <w:rPr>
          <w:spacing w:val="17"/>
          <w:sz w:val="16"/>
        </w:rPr>
        <w:t> </w:t>
      </w:r>
      <w:r>
        <w:rPr>
          <w:sz w:val="16"/>
        </w:rPr>
        <w:t>la</w:t>
      </w:r>
      <w:r>
        <w:rPr>
          <w:spacing w:val="18"/>
          <w:sz w:val="16"/>
        </w:rPr>
        <w:t> </w:t>
      </w:r>
      <w:r>
        <w:rPr>
          <w:sz w:val="16"/>
        </w:rPr>
        <w:t>Provincia</w:t>
      </w:r>
      <w:r>
        <w:rPr>
          <w:spacing w:val="18"/>
          <w:sz w:val="16"/>
        </w:rPr>
        <w:t> </w:t>
      </w:r>
      <w:r>
        <w:rPr>
          <w:sz w:val="16"/>
        </w:rPr>
        <w:t>de</w:t>
      </w:r>
      <w:r>
        <w:rPr>
          <w:w w:val="100"/>
          <w:sz w:val="16"/>
        </w:rPr>
        <w:t> </w:t>
      </w:r>
      <w:r>
        <w:rPr>
          <w:sz w:val="16"/>
        </w:rPr>
        <w:t>Salta”,</w:t>
      </w:r>
      <w:r>
        <w:rPr>
          <w:spacing w:val="-6"/>
          <w:sz w:val="16"/>
        </w:rPr>
        <w:t> </w:t>
      </w:r>
      <w:r>
        <w:rPr>
          <w:sz w:val="16"/>
        </w:rPr>
        <w:t>Recurso</w:t>
      </w:r>
      <w:r>
        <w:rPr>
          <w:spacing w:val="-7"/>
          <w:sz w:val="16"/>
        </w:rPr>
        <w:t> </w:t>
      </w:r>
      <w:r>
        <w:rPr>
          <w:sz w:val="16"/>
        </w:rPr>
        <w:t>de</w:t>
      </w:r>
      <w:r>
        <w:rPr>
          <w:spacing w:val="-7"/>
          <w:sz w:val="16"/>
        </w:rPr>
        <w:t> </w:t>
      </w:r>
      <w:r>
        <w:rPr>
          <w:sz w:val="16"/>
        </w:rPr>
        <w:t>Hecho,</w:t>
      </w:r>
      <w:r>
        <w:rPr>
          <w:spacing w:val="-8"/>
          <w:sz w:val="16"/>
        </w:rPr>
        <w:t> </w:t>
      </w:r>
      <w:r>
        <w:rPr>
          <w:sz w:val="16"/>
        </w:rPr>
        <w:t>A.182.XXXVII.</w:t>
      </w:r>
      <w:r>
        <w:rPr>
          <w:spacing w:val="-6"/>
          <w:sz w:val="16"/>
        </w:rPr>
        <w:t> </w:t>
      </w:r>
      <w:r>
        <w:rPr>
          <w:sz w:val="16"/>
        </w:rPr>
        <w:t>Expediente</w:t>
      </w:r>
      <w:r>
        <w:rPr>
          <w:spacing w:val="-7"/>
          <w:sz w:val="16"/>
        </w:rPr>
        <w:t> </w:t>
      </w:r>
      <w:r>
        <w:rPr>
          <w:sz w:val="16"/>
        </w:rPr>
        <w:t>de</w:t>
      </w:r>
      <w:r>
        <w:rPr>
          <w:spacing w:val="-10"/>
          <w:sz w:val="16"/>
        </w:rPr>
        <w:t> </w:t>
      </w:r>
      <w:r>
        <w:rPr>
          <w:sz w:val="16"/>
        </w:rPr>
        <w:t>prueba,</w:t>
      </w:r>
      <w:r>
        <w:rPr>
          <w:spacing w:val="-6"/>
          <w:sz w:val="16"/>
        </w:rPr>
        <w:t> </w:t>
      </w:r>
      <w:r>
        <w:rPr>
          <w:sz w:val="16"/>
        </w:rPr>
        <w:t>anexo</w:t>
      </w:r>
      <w:r>
        <w:rPr>
          <w:spacing w:val="-9"/>
          <w:sz w:val="16"/>
        </w:rPr>
        <w:t> </w:t>
      </w:r>
      <w:r>
        <w:rPr>
          <w:sz w:val="16"/>
        </w:rPr>
        <w:t>18</w:t>
      </w:r>
      <w:r>
        <w:rPr>
          <w:spacing w:val="-6"/>
          <w:sz w:val="16"/>
        </w:rPr>
        <w:t> </w:t>
      </w:r>
      <w:r>
        <w:rPr>
          <w:sz w:val="16"/>
        </w:rPr>
        <w:t>al</w:t>
      </w:r>
      <w:r>
        <w:rPr>
          <w:spacing w:val="-6"/>
          <w:sz w:val="16"/>
        </w:rPr>
        <w:t> </w:t>
      </w:r>
      <w:r>
        <w:rPr>
          <w:sz w:val="16"/>
        </w:rPr>
        <w:t>Informe</w:t>
      </w:r>
      <w:r>
        <w:rPr>
          <w:spacing w:val="-8"/>
          <w:sz w:val="16"/>
        </w:rPr>
        <w:t> </w:t>
      </w:r>
      <w:r>
        <w:rPr>
          <w:sz w:val="16"/>
        </w:rPr>
        <w:t>de</w:t>
      </w:r>
      <w:r>
        <w:rPr>
          <w:spacing w:val="-10"/>
          <w:sz w:val="16"/>
        </w:rPr>
        <w:t> </w:t>
      </w:r>
      <w:r>
        <w:rPr>
          <w:sz w:val="16"/>
        </w:rPr>
        <w:t>Fondo,</w:t>
      </w:r>
      <w:r>
        <w:rPr>
          <w:spacing w:val="-8"/>
          <w:sz w:val="16"/>
        </w:rPr>
        <w:t> </w:t>
      </w:r>
      <w:r>
        <w:rPr>
          <w:sz w:val="16"/>
        </w:rPr>
        <w:t>fs.</w:t>
      </w:r>
      <w:r>
        <w:rPr>
          <w:spacing w:val="-8"/>
          <w:sz w:val="16"/>
        </w:rPr>
        <w:t> </w:t>
      </w:r>
      <w:r>
        <w:rPr>
          <w:sz w:val="16"/>
        </w:rPr>
        <w:t>329</w:t>
      </w:r>
      <w:r>
        <w:rPr>
          <w:spacing w:val="-4"/>
          <w:sz w:val="16"/>
        </w:rPr>
        <w:t> </w:t>
      </w:r>
      <w:r>
        <w:rPr>
          <w:sz w:val="16"/>
        </w:rPr>
        <w:t>a</w:t>
      </w:r>
      <w:r>
        <w:rPr>
          <w:spacing w:val="-10"/>
          <w:sz w:val="16"/>
        </w:rPr>
        <w:t> </w:t>
      </w:r>
      <w:r>
        <w:rPr>
          <w:sz w:val="16"/>
        </w:rPr>
        <w:t>335.</w:t>
      </w:r>
    </w:p>
    <w:p>
      <w:pPr>
        <w:pStyle w:val="BodyText"/>
        <w:spacing w:before="11"/>
        <w:rPr>
          <w:sz w:val="15"/>
        </w:rPr>
      </w:pPr>
    </w:p>
    <w:p>
      <w:pPr>
        <w:tabs>
          <w:tab w:pos="829" w:val="left" w:leader="none"/>
        </w:tabs>
        <w:spacing w:before="0"/>
        <w:ind w:left="122" w:right="118" w:firstLine="0"/>
        <w:jc w:val="both"/>
        <w:rPr>
          <w:sz w:val="16"/>
        </w:rPr>
      </w:pPr>
      <w:r>
        <w:rPr>
          <w:position w:val="6"/>
          <w:sz w:val="10"/>
        </w:rPr>
        <w:t>306</w:t>
        <w:tab/>
      </w:r>
      <w:r>
        <w:rPr>
          <w:sz w:val="16"/>
        </w:rPr>
        <w:t>CJS, Sentencia del 8 de mayo de 2007. Expediente de prueba, anexo F.6. al escrito de </w:t>
      </w:r>
      <w:r>
        <w:rPr>
          <w:spacing w:val="2"/>
          <w:sz w:val="16"/>
        </w:rPr>
        <w:t> </w:t>
      </w:r>
      <w:r>
        <w:rPr>
          <w:sz w:val="16"/>
        </w:rPr>
        <w:t>solicitudes</w:t>
      </w:r>
      <w:r>
        <w:rPr>
          <w:spacing w:val="5"/>
          <w:sz w:val="16"/>
        </w:rPr>
        <w:t> </w:t>
      </w:r>
      <w:r>
        <w:rPr>
          <w:sz w:val="16"/>
        </w:rPr>
        <w:t>y</w:t>
      </w:r>
      <w:r>
        <w:rPr>
          <w:w w:val="100"/>
          <w:sz w:val="16"/>
        </w:rPr>
        <w:t> </w:t>
      </w:r>
      <w:r>
        <w:rPr>
          <w:sz w:val="16"/>
        </w:rPr>
        <w:t>argumentos, fs. 30.874 a</w:t>
      </w:r>
      <w:r>
        <w:rPr>
          <w:spacing w:val="-13"/>
          <w:sz w:val="16"/>
        </w:rPr>
        <w:t> </w:t>
      </w:r>
      <w:r>
        <w:rPr>
          <w:sz w:val="16"/>
        </w:rPr>
        <w:t>30.881.</w:t>
      </w:r>
    </w:p>
    <w:p>
      <w:pPr>
        <w:pStyle w:val="BodyText"/>
        <w:spacing w:before="11"/>
        <w:rPr>
          <w:sz w:val="15"/>
        </w:rPr>
      </w:pPr>
    </w:p>
    <w:p>
      <w:pPr>
        <w:tabs>
          <w:tab w:pos="829" w:val="left" w:leader="none"/>
        </w:tabs>
        <w:spacing w:before="0"/>
        <w:ind w:left="122" w:right="116" w:firstLine="0"/>
        <w:jc w:val="both"/>
        <w:rPr>
          <w:sz w:val="16"/>
        </w:rPr>
      </w:pPr>
      <w:r>
        <w:rPr>
          <w:position w:val="6"/>
          <w:sz w:val="10"/>
        </w:rPr>
        <w:t>307</w:t>
        <w:tab/>
      </w:r>
      <w:r>
        <w:rPr>
          <w:i/>
          <w:sz w:val="16"/>
        </w:rPr>
        <w:t>Caso</w:t>
      </w:r>
      <w:r>
        <w:rPr>
          <w:i/>
          <w:spacing w:val="36"/>
          <w:sz w:val="16"/>
        </w:rPr>
        <w:t> </w:t>
      </w:r>
      <w:r>
        <w:rPr>
          <w:i/>
          <w:sz w:val="16"/>
        </w:rPr>
        <w:t>Ramírez</w:t>
      </w:r>
      <w:r>
        <w:rPr>
          <w:i/>
          <w:spacing w:val="37"/>
          <w:sz w:val="16"/>
        </w:rPr>
        <w:t> </w:t>
      </w:r>
      <w:r>
        <w:rPr>
          <w:i/>
          <w:sz w:val="16"/>
        </w:rPr>
        <w:t>Escobar</w:t>
      </w:r>
      <w:r>
        <w:rPr>
          <w:i/>
          <w:spacing w:val="36"/>
          <w:sz w:val="16"/>
        </w:rPr>
        <w:t> </w:t>
      </w:r>
      <w:r>
        <w:rPr>
          <w:i/>
          <w:sz w:val="16"/>
        </w:rPr>
        <w:t>y</w:t>
      </w:r>
      <w:r>
        <w:rPr>
          <w:i/>
          <w:spacing w:val="39"/>
          <w:sz w:val="16"/>
        </w:rPr>
        <w:t> </w:t>
      </w:r>
      <w:r>
        <w:rPr>
          <w:i/>
          <w:sz w:val="16"/>
        </w:rPr>
        <w:t>otros</w:t>
      </w:r>
      <w:r>
        <w:rPr>
          <w:i/>
          <w:spacing w:val="38"/>
          <w:sz w:val="16"/>
        </w:rPr>
        <w:t> </w:t>
      </w:r>
      <w:r>
        <w:rPr>
          <w:i/>
          <w:sz w:val="16"/>
        </w:rPr>
        <w:t>Vs.</w:t>
      </w:r>
      <w:r>
        <w:rPr>
          <w:i/>
          <w:spacing w:val="37"/>
          <w:sz w:val="16"/>
        </w:rPr>
        <w:t> </w:t>
      </w:r>
      <w:r>
        <w:rPr>
          <w:i/>
          <w:sz w:val="16"/>
        </w:rPr>
        <w:t>Guatemala</w:t>
      </w:r>
      <w:r>
        <w:rPr>
          <w:sz w:val="16"/>
        </w:rPr>
        <w:t>,</w:t>
      </w:r>
      <w:r>
        <w:rPr>
          <w:spacing w:val="39"/>
          <w:sz w:val="16"/>
        </w:rPr>
        <w:t> </w:t>
      </w:r>
      <w:r>
        <w:rPr>
          <w:sz w:val="16"/>
        </w:rPr>
        <w:t>párr.</w:t>
      </w:r>
      <w:r>
        <w:rPr>
          <w:spacing w:val="35"/>
          <w:sz w:val="16"/>
        </w:rPr>
        <w:t> </w:t>
      </w:r>
      <w:r>
        <w:rPr>
          <w:sz w:val="16"/>
        </w:rPr>
        <w:t>257,</w:t>
      </w:r>
      <w:r>
        <w:rPr>
          <w:spacing w:val="39"/>
          <w:sz w:val="16"/>
        </w:rPr>
        <w:t> </w:t>
      </w:r>
      <w:r>
        <w:rPr>
          <w:sz w:val="16"/>
        </w:rPr>
        <w:t>y</w:t>
      </w:r>
      <w:r>
        <w:rPr>
          <w:spacing w:val="38"/>
          <w:sz w:val="16"/>
        </w:rPr>
        <w:t> </w:t>
      </w:r>
      <w:r>
        <w:rPr>
          <w:i/>
          <w:sz w:val="16"/>
        </w:rPr>
        <w:t>Caso</w:t>
      </w:r>
      <w:r>
        <w:rPr>
          <w:i/>
          <w:spacing w:val="36"/>
          <w:sz w:val="16"/>
        </w:rPr>
        <w:t> </w:t>
      </w:r>
      <w:r>
        <w:rPr>
          <w:i/>
          <w:sz w:val="16"/>
        </w:rPr>
        <w:t>Colindres</w:t>
      </w:r>
      <w:r>
        <w:rPr>
          <w:i/>
          <w:spacing w:val="36"/>
          <w:sz w:val="16"/>
        </w:rPr>
        <w:t> </w:t>
      </w:r>
      <w:r>
        <w:rPr>
          <w:i/>
          <w:sz w:val="16"/>
        </w:rPr>
        <w:t>Schonenberg</w:t>
      </w:r>
      <w:r>
        <w:rPr>
          <w:i/>
          <w:spacing w:val="39"/>
          <w:sz w:val="16"/>
        </w:rPr>
        <w:t> </w:t>
      </w:r>
      <w:r>
        <w:rPr>
          <w:i/>
          <w:sz w:val="16"/>
        </w:rPr>
        <w:t>Vs.</w:t>
      </w:r>
      <w:r>
        <w:rPr>
          <w:i/>
          <w:spacing w:val="40"/>
          <w:sz w:val="16"/>
        </w:rPr>
        <w:t> </w:t>
      </w:r>
      <w:r>
        <w:rPr>
          <w:i/>
          <w:sz w:val="16"/>
        </w:rPr>
        <w:t>El</w:t>
      </w:r>
      <w:r>
        <w:rPr>
          <w:i/>
          <w:w w:val="100"/>
          <w:sz w:val="16"/>
        </w:rPr>
        <w:t> </w:t>
      </w:r>
      <w:r>
        <w:rPr>
          <w:i/>
          <w:sz w:val="16"/>
        </w:rPr>
        <w:t>Salvador. Fondo, Reparaciones y Costas</w:t>
      </w:r>
      <w:r>
        <w:rPr>
          <w:sz w:val="16"/>
        </w:rPr>
        <w:t>. Sentencia de 4 de febrero de 2019. Serie C No. 373, párr.</w:t>
      </w:r>
      <w:r>
        <w:rPr>
          <w:spacing w:val="-39"/>
          <w:sz w:val="16"/>
        </w:rPr>
        <w:t> </w:t>
      </w:r>
      <w:r>
        <w:rPr>
          <w:sz w:val="16"/>
        </w:rPr>
        <w:t>118.</w:t>
      </w:r>
    </w:p>
    <w:p>
      <w:pPr>
        <w:pStyle w:val="BodyText"/>
        <w:spacing w:before="11"/>
        <w:rPr>
          <w:sz w:val="15"/>
        </w:rPr>
      </w:pPr>
    </w:p>
    <w:p>
      <w:pPr>
        <w:tabs>
          <w:tab w:pos="829" w:val="left" w:leader="none"/>
        </w:tabs>
        <w:spacing w:before="0"/>
        <w:ind w:left="122" w:right="114" w:firstLine="0"/>
        <w:jc w:val="both"/>
        <w:rPr>
          <w:sz w:val="16"/>
        </w:rPr>
      </w:pPr>
      <w:r>
        <w:rPr>
          <w:position w:val="6"/>
          <w:sz w:val="10"/>
        </w:rPr>
        <w:t>308</w:t>
        <w:tab/>
      </w:r>
      <w:r>
        <w:rPr>
          <w:i/>
          <w:sz w:val="16"/>
        </w:rPr>
        <w:t>Caso Bayarri Vs. Argentina. Excepción Preliminar, Fondo, Reparaciones y Costas</w:t>
      </w:r>
      <w:r>
        <w:rPr>
          <w:sz w:val="16"/>
        </w:rPr>
        <w:t>. Sentencia de</w:t>
      </w:r>
      <w:r>
        <w:rPr>
          <w:spacing w:val="-38"/>
          <w:sz w:val="16"/>
        </w:rPr>
        <w:t> </w:t>
      </w:r>
      <w:r>
        <w:rPr>
          <w:sz w:val="16"/>
        </w:rPr>
        <w:t>30</w:t>
      </w:r>
      <w:r>
        <w:rPr>
          <w:spacing w:val="-3"/>
          <w:sz w:val="16"/>
        </w:rPr>
        <w:t> </w:t>
      </w:r>
      <w:r>
        <w:rPr>
          <w:sz w:val="16"/>
        </w:rPr>
        <w:t>de</w:t>
      </w:r>
      <w:r>
        <w:rPr>
          <w:w w:val="100"/>
          <w:sz w:val="16"/>
        </w:rPr>
        <w:t> </w:t>
      </w:r>
      <w:r>
        <w:rPr>
          <w:sz w:val="16"/>
        </w:rPr>
        <w:t>octubre de 2008. Serie C No. 187, párr. 107. De manera consistente la Corte ha tomado en cuenta cuatro elementos para determinar la razonabilidad del plazo: i) complejidad del asunto; ii) actividad procesal del interesado; iii) conducta de las autoridades judiciales, y iv) afectación generada en la situación jurídica de la persona involucrada en el proceso (</w:t>
      </w:r>
      <w:r>
        <w:rPr>
          <w:i/>
          <w:sz w:val="16"/>
        </w:rPr>
        <w:t>cfr. Caso Ramírez Escobar y otros Vs. Guatemala</w:t>
      </w:r>
      <w:r>
        <w:rPr>
          <w:sz w:val="16"/>
        </w:rPr>
        <w:t>, párr. 257, y </w:t>
      </w:r>
      <w:r>
        <w:rPr>
          <w:i/>
          <w:sz w:val="16"/>
        </w:rPr>
        <w:t>Caso </w:t>
      </w:r>
      <w:r>
        <w:rPr>
          <w:i/>
          <w:sz w:val="16"/>
        </w:rPr>
        <w:t>Colindres Schonenberg Vs. El Salvador</w:t>
      </w:r>
      <w:r>
        <w:rPr>
          <w:sz w:val="16"/>
        </w:rPr>
        <w:t>, párr.</w:t>
      </w:r>
      <w:r>
        <w:rPr>
          <w:spacing w:val="-17"/>
          <w:sz w:val="16"/>
        </w:rPr>
        <w:t> </w:t>
      </w:r>
      <w:r>
        <w:rPr>
          <w:sz w:val="16"/>
        </w:rPr>
        <w:t>118).</w:t>
      </w:r>
    </w:p>
    <w:p>
      <w:pPr>
        <w:pStyle w:val="BodyText"/>
        <w:spacing w:before="11"/>
        <w:rPr>
          <w:sz w:val="15"/>
        </w:rPr>
      </w:pPr>
    </w:p>
    <w:p>
      <w:pPr>
        <w:tabs>
          <w:tab w:pos="829" w:val="left" w:leader="none"/>
        </w:tabs>
        <w:spacing w:line="240" w:lineRule="auto" w:before="0"/>
        <w:ind w:left="122" w:right="114" w:firstLine="0"/>
        <w:jc w:val="both"/>
        <w:rPr>
          <w:sz w:val="16"/>
        </w:rPr>
      </w:pPr>
      <w:r>
        <w:rPr>
          <w:position w:val="6"/>
          <w:sz w:val="10"/>
        </w:rPr>
        <w:t>309</w:t>
        <w:tab/>
      </w:r>
      <w:r>
        <w:rPr>
          <w:sz w:val="16"/>
        </w:rPr>
        <w:t>Corresponde</w:t>
      </w:r>
      <w:r>
        <w:rPr>
          <w:spacing w:val="-5"/>
          <w:sz w:val="16"/>
        </w:rPr>
        <w:t> </w:t>
      </w:r>
      <w:r>
        <w:rPr>
          <w:sz w:val="16"/>
        </w:rPr>
        <w:t>al</w:t>
      </w:r>
      <w:r>
        <w:rPr>
          <w:spacing w:val="-6"/>
          <w:sz w:val="16"/>
        </w:rPr>
        <w:t> </w:t>
      </w:r>
      <w:r>
        <w:rPr>
          <w:sz w:val="16"/>
        </w:rPr>
        <w:t>Estado</w:t>
      </w:r>
      <w:r>
        <w:rPr>
          <w:spacing w:val="-7"/>
          <w:sz w:val="16"/>
        </w:rPr>
        <w:t> </w:t>
      </w:r>
      <w:r>
        <w:rPr>
          <w:sz w:val="16"/>
        </w:rPr>
        <w:t>exponer</w:t>
      </w:r>
      <w:r>
        <w:rPr>
          <w:spacing w:val="-3"/>
          <w:sz w:val="16"/>
        </w:rPr>
        <w:t> </w:t>
      </w:r>
      <w:r>
        <w:rPr>
          <w:sz w:val="16"/>
        </w:rPr>
        <w:t>la</w:t>
      </w:r>
      <w:r>
        <w:rPr>
          <w:spacing w:val="-8"/>
          <w:sz w:val="16"/>
        </w:rPr>
        <w:t> </w:t>
      </w:r>
      <w:r>
        <w:rPr>
          <w:sz w:val="16"/>
        </w:rPr>
        <w:t>razón</w:t>
      </w:r>
      <w:r>
        <w:rPr>
          <w:spacing w:val="-6"/>
          <w:sz w:val="16"/>
        </w:rPr>
        <w:t> </w:t>
      </w:r>
      <w:r>
        <w:rPr>
          <w:sz w:val="16"/>
        </w:rPr>
        <w:t>por</w:t>
      </w:r>
      <w:r>
        <w:rPr>
          <w:spacing w:val="-4"/>
          <w:sz w:val="16"/>
        </w:rPr>
        <w:t> </w:t>
      </w:r>
      <w:r>
        <w:rPr>
          <w:sz w:val="16"/>
        </w:rPr>
        <w:t>la</w:t>
      </w:r>
      <w:r>
        <w:rPr>
          <w:spacing w:val="-6"/>
          <w:sz w:val="16"/>
        </w:rPr>
        <w:t> </w:t>
      </w:r>
      <w:r>
        <w:rPr>
          <w:sz w:val="16"/>
        </w:rPr>
        <w:t>que</w:t>
      </w:r>
      <w:r>
        <w:rPr>
          <w:spacing w:val="-5"/>
          <w:sz w:val="16"/>
        </w:rPr>
        <w:t> </w:t>
      </w:r>
      <w:r>
        <w:rPr>
          <w:sz w:val="16"/>
        </w:rPr>
        <w:t>ha</w:t>
      </w:r>
      <w:r>
        <w:rPr>
          <w:spacing w:val="-6"/>
          <w:sz w:val="16"/>
        </w:rPr>
        <w:t> </w:t>
      </w:r>
      <w:r>
        <w:rPr>
          <w:sz w:val="16"/>
        </w:rPr>
        <w:t>requerido</w:t>
      </w:r>
      <w:r>
        <w:rPr>
          <w:spacing w:val="-4"/>
          <w:sz w:val="16"/>
        </w:rPr>
        <w:t> </w:t>
      </w:r>
      <w:r>
        <w:rPr>
          <w:sz w:val="16"/>
        </w:rPr>
        <w:t>esa</w:t>
      </w:r>
      <w:r>
        <w:rPr>
          <w:spacing w:val="-5"/>
          <w:sz w:val="16"/>
        </w:rPr>
        <w:t> </w:t>
      </w:r>
      <w:r>
        <w:rPr>
          <w:sz w:val="16"/>
        </w:rPr>
        <w:t>cantidad</w:t>
      </w:r>
      <w:r>
        <w:rPr>
          <w:spacing w:val="-7"/>
          <w:sz w:val="16"/>
        </w:rPr>
        <w:t> </w:t>
      </w:r>
      <w:r>
        <w:rPr>
          <w:sz w:val="16"/>
        </w:rPr>
        <w:t>de</w:t>
      </w:r>
      <w:r>
        <w:rPr>
          <w:spacing w:val="-5"/>
          <w:sz w:val="16"/>
        </w:rPr>
        <w:t> </w:t>
      </w:r>
      <w:r>
        <w:rPr>
          <w:sz w:val="16"/>
        </w:rPr>
        <w:t>tiempo;</w:t>
      </w:r>
      <w:r>
        <w:rPr>
          <w:spacing w:val="-6"/>
          <w:sz w:val="16"/>
        </w:rPr>
        <w:t> </w:t>
      </w:r>
      <w:r>
        <w:rPr>
          <w:sz w:val="16"/>
        </w:rPr>
        <w:t>en</w:t>
      </w:r>
      <w:r>
        <w:rPr>
          <w:spacing w:val="-4"/>
          <w:sz w:val="16"/>
        </w:rPr>
        <w:t> </w:t>
      </w:r>
      <w:r>
        <w:rPr>
          <w:sz w:val="16"/>
        </w:rPr>
        <w:t>ausencia</w:t>
      </w:r>
      <w:r>
        <w:rPr>
          <w:w w:val="100"/>
          <w:sz w:val="16"/>
        </w:rPr>
        <w:t> </w:t>
      </w:r>
      <w:r>
        <w:rPr>
          <w:sz w:val="16"/>
        </w:rPr>
        <w:t>de</w:t>
      </w:r>
      <w:r>
        <w:rPr>
          <w:spacing w:val="-8"/>
          <w:sz w:val="16"/>
        </w:rPr>
        <w:t> </w:t>
      </w:r>
      <w:r>
        <w:rPr>
          <w:sz w:val="16"/>
        </w:rPr>
        <w:t>ello,</w:t>
      </w:r>
      <w:r>
        <w:rPr>
          <w:spacing w:val="-9"/>
          <w:sz w:val="16"/>
        </w:rPr>
        <w:t> </w:t>
      </w:r>
      <w:r>
        <w:rPr>
          <w:sz w:val="16"/>
        </w:rPr>
        <w:t>este</w:t>
      </w:r>
      <w:r>
        <w:rPr>
          <w:spacing w:val="-8"/>
          <w:sz w:val="16"/>
        </w:rPr>
        <w:t> </w:t>
      </w:r>
      <w:r>
        <w:rPr>
          <w:sz w:val="16"/>
        </w:rPr>
        <w:t>Tribunal</w:t>
      </w:r>
      <w:r>
        <w:rPr>
          <w:spacing w:val="-7"/>
          <w:sz w:val="16"/>
        </w:rPr>
        <w:t> </w:t>
      </w:r>
      <w:r>
        <w:rPr>
          <w:sz w:val="16"/>
        </w:rPr>
        <w:t>tiene</w:t>
      </w:r>
      <w:r>
        <w:rPr>
          <w:spacing w:val="-8"/>
          <w:sz w:val="16"/>
        </w:rPr>
        <w:t> </w:t>
      </w:r>
      <w:r>
        <w:rPr>
          <w:sz w:val="16"/>
        </w:rPr>
        <w:t>amplias</w:t>
      </w:r>
      <w:r>
        <w:rPr>
          <w:spacing w:val="-6"/>
          <w:sz w:val="16"/>
        </w:rPr>
        <w:t> </w:t>
      </w:r>
      <w:r>
        <w:rPr>
          <w:sz w:val="16"/>
        </w:rPr>
        <w:t>atribuciones</w:t>
      </w:r>
      <w:r>
        <w:rPr>
          <w:spacing w:val="-8"/>
          <w:sz w:val="16"/>
        </w:rPr>
        <w:t> </w:t>
      </w:r>
      <w:r>
        <w:rPr>
          <w:sz w:val="16"/>
        </w:rPr>
        <w:t>para</w:t>
      </w:r>
      <w:r>
        <w:rPr>
          <w:spacing w:val="-7"/>
          <w:sz w:val="16"/>
        </w:rPr>
        <w:t> </w:t>
      </w:r>
      <w:r>
        <w:rPr>
          <w:sz w:val="16"/>
        </w:rPr>
        <w:t>hacer</w:t>
      </w:r>
      <w:r>
        <w:rPr>
          <w:spacing w:val="-7"/>
          <w:sz w:val="16"/>
        </w:rPr>
        <w:t> </w:t>
      </w:r>
      <w:r>
        <w:rPr>
          <w:sz w:val="16"/>
        </w:rPr>
        <w:t>su</w:t>
      </w:r>
      <w:r>
        <w:rPr>
          <w:spacing w:val="-7"/>
          <w:sz w:val="16"/>
        </w:rPr>
        <w:t> </w:t>
      </w:r>
      <w:r>
        <w:rPr>
          <w:sz w:val="16"/>
        </w:rPr>
        <w:t>propia</w:t>
      </w:r>
      <w:r>
        <w:rPr>
          <w:spacing w:val="-7"/>
          <w:sz w:val="16"/>
        </w:rPr>
        <w:t> </w:t>
      </w:r>
      <w:r>
        <w:rPr>
          <w:sz w:val="16"/>
        </w:rPr>
        <w:t>estimación</w:t>
      </w:r>
      <w:r>
        <w:rPr>
          <w:spacing w:val="-7"/>
          <w:sz w:val="16"/>
        </w:rPr>
        <w:t> </w:t>
      </w:r>
      <w:r>
        <w:rPr>
          <w:sz w:val="16"/>
        </w:rPr>
        <w:t>al</w:t>
      </w:r>
      <w:r>
        <w:rPr>
          <w:spacing w:val="-9"/>
          <w:sz w:val="16"/>
        </w:rPr>
        <w:t> </w:t>
      </w:r>
      <w:r>
        <w:rPr>
          <w:sz w:val="16"/>
        </w:rPr>
        <w:t>respecto</w:t>
      </w:r>
      <w:r>
        <w:rPr>
          <w:spacing w:val="-5"/>
          <w:sz w:val="16"/>
        </w:rPr>
        <w:t> </w:t>
      </w:r>
      <w:r>
        <w:rPr>
          <w:sz w:val="16"/>
        </w:rPr>
        <w:t>(</w:t>
      </w:r>
      <w:r>
        <w:rPr>
          <w:i/>
          <w:sz w:val="16"/>
        </w:rPr>
        <w:t>cfr.</w:t>
      </w:r>
      <w:r>
        <w:rPr>
          <w:i/>
          <w:spacing w:val="-8"/>
          <w:sz w:val="16"/>
        </w:rPr>
        <w:t> </w:t>
      </w:r>
      <w:r>
        <w:rPr>
          <w:i/>
          <w:sz w:val="16"/>
        </w:rPr>
        <w:t>Caso</w:t>
      </w:r>
      <w:r>
        <w:rPr>
          <w:i/>
          <w:spacing w:val="-7"/>
          <w:sz w:val="16"/>
        </w:rPr>
        <w:t> </w:t>
      </w:r>
      <w:r>
        <w:rPr>
          <w:i/>
          <w:sz w:val="16"/>
        </w:rPr>
        <w:t>Granier </w:t>
      </w:r>
      <w:r>
        <w:rPr>
          <w:i/>
          <w:sz w:val="16"/>
        </w:rPr>
        <w:t>y otros (Radio Caracas Televisión) Vs. Venezuela. Excepciones Preliminares, Fondo, Reparaciones y Costas</w:t>
      </w:r>
      <w:r>
        <w:rPr>
          <w:sz w:val="16"/>
        </w:rPr>
        <w:t>. Sentencia de 22 de junio de 2015. Serie C No. 293, párr. 255, y </w:t>
      </w:r>
      <w:r>
        <w:rPr>
          <w:i/>
          <w:sz w:val="16"/>
        </w:rPr>
        <w:t>Caso Amrhein y otros Vs. Costa Rica. </w:t>
      </w:r>
      <w:r>
        <w:rPr>
          <w:i/>
          <w:sz w:val="16"/>
        </w:rPr>
        <w:t>Excepciones Preliminares, Fondo, Reparaciones y Costas</w:t>
      </w:r>
      <w:r>
        <w:rPr>
          <w:sz w:val="16"/>
        </w:rPr>
        <w:t>. Sentencia de 25 de abril de 2018. Serie C No. 354, párr. 422). Dada la falta de explicación respecto a los tres años de demora por la justicia provincial, no hace falta hacer una evaluación particular sobre el tiempo insumido por la CSJN para adoptar su</w:t>
      </w:r>
      <w:r>
        <w:rPr>
          <w:spacing w:val="-28"/>
          <w:sz w:val="16"/>
        </w:rPr>
        <w:t> </w:t>
      </w:r>
      <w:r>
        <w:rPr>
          <w:sz w:val="16"/>
        </w:rPr>
        <w:t>decisión.</w:t>
      </w:r>
    </w:p>
    <w:p>
      <w:pPr>
        <w:spacing w:after="0" w:line="240" w:lineRule="auto"/>
        <w:jc w:val="both"/>
        <w:rPr>
          <w:sz w:val="16"/>
        </w:rPr>
        <w:sectPr>
          <w:pgSz w:w="12240" w:h="15840"/>
          <w:pgMar w:header="0" w:footer="1000" w:top="1340" w:bottom="1200" w:left="1580" w:right="1580"/>
        </w:sectPr>
      </w:pPr>
    </w:p>
    <w:p>
      <w:pPr>
        <w:spacing w:before="71"/>
        <w:ind w:left="974" w:right="0" w:firstLine="0"/>
        <w:jc w:val="left"/>
        <w:rPr>
          <w:rFonts w:ascii="Calibri" w:hAnsi="Calibri"/>
          <w:i/>
          <w:sz w:val="14"/>
        </w:rPr>
      </w:pPr>
      <w:bookmarkStart w:name="_bookmark81" w:id="137"/>
      <w:bookmarkEnd w:id="137"/>
      <w:r>
        <w:rPr/>
      </w:r>
      <w:r>
        <w:rPr>
          <w:i/>
          <w:sz w:val="20"/>
        </w:rPr>
        <w:t>B.2.3. </w:t>
      </w:r>
      <w:r>
        <w:rPr>
          <w:i/>
          <w:sz w:val="20"/>
          <w:u w:val="single"/>
        </w:rPr>
        <w:t>Acción judicial contra el referéndum de 2005</w:t>
      </w:r>
      <w:r>
        <w:rPr>
          <w:rFonts w:ascii="Calibri" w:hAnsi="Calibri"/>
          <w:i/>
          <w:position w:val="8"/>
          <w:sz w:val="14"/>
        </w:rPr>
        <w:t>310</w:t>
      </w:r>
    </w:p>
    <w:p>
      <w:pPr>
        <w:pStyle w:val="BodyText"/>
        <w:spacing w:before="5"/>
        <w:rPr>
          <w:rFonts w:ascii="Calibri"/>
          <w:i/>
          <w:sz w:val="13"/>
        </w:rPr>
      </w:pPr>
    </w:p>
    <w:p>
      <w:pPr>
        <w:pStyle w:val="ListParagraph"/>
        <w:numPr>
          <w:ilvl w:val="0"/>
          <w:numId w:val="34"/>
        </w:numPr>
        <w:tabs>
          <w:tab w:pos="830" w:val="left" w:leader="none"/>
        </w:tabs>
        <w:spacing w:line="240" w:lineRule="auto" w:before="99" w:after="0"/>
        <w:ind w:left="122" w:right="125" w:firstLine="0"/>
        <w:jc w:val="both"/>
        <w:rPr>
          <w:sz w:val="20"/>
        </w:rPr>
      </w:pPr>
      <w:r>
        <w:rPr>
          <w:i/>
          <w:sz w:val="20"/>
        </w:rPr>
        <w:t>Hechos.</w:t>
      </w:r>
      <w:r>
        <w:rPr>
          <w:sz w:val="20"/>
        </w:rPr>
        <w:t>-</w:t>
      </w:r>
      <w:r>
        <w:rPr>
          <w:spacing w:val="-14"/>
          <w:sz w:val="20"/>
        </w:rPr>
        <w:t> </w:t>
      </w:r>
      <w:r>
        <w:rPr>
          <w:sz w:val="20"/>
        </w:rPr>
        <w:t>El</w:t>
      </w:r>
      <w:r>
        <w:rPr>
          <w:spacing w:val="-15"/>
          <w:sz w:val="20"/>
        </w:rPr>
        <w:t> </w:t>
      </w:r>
      <w:r>
        <w:rPr>
          <w:sz w:val="20"/>
        </w:rPr>
        <w:t>11</w:t>
      </w:r>
      <w:r>
        <w:rPr>
          <w:spacing w:val="-14"/>
          <w:sz w:val="20"/>
        </w:rPr>
        <w:t> </w:t>
      </w:r>
      <w:r>
        <w:rPr>
          <w:sz w:val="20"/>
        </w:rPr>
        <w:t>de</w:t>
      </w:r>
      <w:r>
        <w:rPr>
          <w:spacing w:val="-16"/>
          <w:sz w:val="20"/>
        </w:rPr>
        <w:t> </w:t>
      </w:r>
      <w:r>
        <w:rPr>
          <w:sz w:val="20"/>
        </w:rPr>
        <w:t>agosto</w:t>
      </w:r>
      <w:r>
        <w:rPr>
          <w:spacing w:val="-16"/>
          <w:sz w:val="20"/>
        </w:rPr>
        <w:t> </w:t>
      </w:r>
      <w:r>
        <w:rPr>
          <w:sz w:val="20"/>
        </w:rPr>
        <w:t>de</w:t>
      </w:r>
      <w:r>
        <w:rPr>
          <w:spacing w:val="-16"/>
          <w:sz w:val="20"/>
        </w:rPr>
        <w:t> </w:t>
      </w:r>
      <w:r>
        <w:rPr>
          <w:sz w:val="20"/>
        </w:rPr>
        <w:t>2005,</w:t>
      </w:r>
      <w:r>
        <w:rPr>
          <w:spacing w:val="-16"/>
          <w:sz w:val="20"/>
        </w:rPr>
        <w:t> </w:t>
      </w:r>
      <w:r>
        <w:rPr>
          <w:sz w:val="20"/>
        </w:rPr>
        <w:t>Lhaka</w:t>
      </w:r>
      <w:r>
        <w:rPr>
          <w:spacing w:val="-13"/>
          <w:sz w:val="20"/>
        </w:rPr>
        <w:t> </w:t>
      </w:r>
      <w:r>
        <w:rPr>
          <w:sz w:val="20"/>
        </w:rPr>
        <w:t>Honhat</w:t>
      </w:r>
      <w:r>
        <w:rPr>
          <w:spacing w:val="-15"/>
          <w:sz w:val="20"/>
        </w:rPr>
        <w:t> </w:t>
      </w:r>
      <w:r>
        <w:rPr>
          <w:sz w:val="20"/>
        </w:rPr>
        <w:t>interpuso</w:t>
      </w:r>
      <w:r>
        <w:rPr>
          <w:spacing w:val="-17"/>
          <w:sz w:val="20"/>
        </w:rPr>
        <w:t> </w:t>
      </w:r>
      <w:r>
        <w:rPr>
          <w:sz w:val="20"/>
        </w:rPr>
        <w:t>una</w:t>
      </w:r>
      <w:r>
        <w:rPr>
          <w:spacing w:val="-15"/>
          <w:sz w:val="20"/>
        </w:rPr>
        <w:t> </w:t>
      </w:r>
      <w:r>
        <w:rPr>
          <w:sz w:val="20"/>
        </w:rPr>
        <w:t>acción</w:t>
      </w:r>
      <w:r>
        <w:rPr>
          <w:spacing w:val="-15"/>
          <w:sz w:val="20"/>
        </w:rPr>
        <w:t> </w:t>
      </w:r>
      <w:r>
        <w:rPr>
          <w:sz w:val="20"/>
        </w:rPr>
        <w:t>declarativa de certeza ante la CSJN en contra de la ley de referéndum, buscando que se declarara su inconstitucionalidad. Mediante sentencia del 27 de septiembre de 2005</w:t>
      </w:r>
      <w:r>
        <w:rPr>
          <w:position w:val="7"/>
          <w:sz w:val="13"/>
        </w:rPr>
        <w:t>311</w:t>
      </w:r>
      <w:r>
        <w:rPr>
          <w:sz w:val="20"/>
        </w:rPr>
        <w:t>, la CSJN rechazó el recurso interpuesto, al considerar que no tenía competencia para pronunciarse sobre actos del ordenamiento jurídico</w:t>
      </w:r>
      <w:r>
        <w:rPr>
          <w:spacing w:val="-25"/>
          <w:sz w:val="20"/>
        </w:rPr>
        <w:t> </w:t>
      </w:r>
      <w:r>
        <w:rPr>
          <w:sz w:val="20"/>
        </w:rPr>
        <w:t>provincial.</w:t>
      </w:r>
    </w:p>
    <w:p>
      <w:pPr>
        <w:pStyle w:val="BodyText"/>
        <w:spacing w:before="10"/>
        <w:rPr>
          <w:sz w:val="19"/>
        </w:rPr>
      </w:pPr>
    </w:p>
    <w:p>
      <w:pPr>
        <w:pStyle w:val="ListParagraph"/>
        <w:numPr>
          <w:ilvl w:val="0"/>
          <w:numId w:val="34"/>
        </w:numPr>
        <w:tabs>
          <w:tab w:pos="830" w:val="left" w:leader="none"/>
        </w:tabs>
        <w:spacing w:line="240" w:lineRule="auto" w:before="0" w:after="0"/>
        <w:ind w:left="122" w:right="123" w:firstLine="0"/>
        <w:jc w:val="both"/>
        <w:rPr>
          <w:sz w:val="20"/>
        </w:rPr>
      </w:pPr>
      <w:r>
        <w:rPr>
          <w:i/>
          <w:sz w:val="20"/>
        </w:rPr>
        <w:t>Consideraciones.</w:t>
      </w:r>
      <w:r>
        <w:rPr>
          <w:sz w:val="20"/>
        </w:rPr>
        <w:t>- Como se ha mencionado anteriormente (</w:t>
      </w:r>
      <w:r>
        <w:rPr>
          <w:i/>
          <w:sz w:val="20"/>
        </w:rPr>
        <w:t>supra </w:t>
      </w:r>
      <w:r>
        <w:rPr>
          <w:sz w:val="20"/>
        </w:rPr>
        <w:t>párrs. 295 y 298), la respuesta, por parte de un tribunal interno, no favorable a las pretensiones de los</w:t>
      </w:r>
      <w:r>
        <w:rPr>
          <w:spacing w:val="-13"/>
          <w:sz w:val="20"/>
        </w:rPr>
        <w:t> </w:t>
      </w:r>
      <w:r>
        <w:rPr>
          <w:sz w:val="20"/>
        </w:rPr>
        <w:t>solicitantes,</w:t>
      </w:r>
      <w:r>
        <w:rPr>
          <w:spacing w:val="-13"/>
          <w:sz w:val="20"/>
        </w:rPr>
        <w:t> </w:t>
      </w:r>
      <w:r>
        <w:rPr>
          <w:sz w:val="20"/>
        </w:rPr>
        <w:t>no</w:t>
      </w:r>
      <w:r>
        <w:rPr>
          <w:spacing w:val="-11"/>
          <w:sz w:val="20"/>
        </w:rPr>
        <w:t> </w:t>
      </w:r>
      <w:r>
        <w:rPr>
          <w:sz w:val="20"/>
        </w:rPr>
        <w:t>es</w:t>
      </w:r>
      <w:r>
        <w:rPr>
          <w:spacing w:val="-13"/>
          <w:sz w:val="20"/>
        </w:rPr>
        <w:t> </w:t>
      </w:r>
      <w:r>
        <w:rPr>
          <w:sz w:val="20"/>
        </w:rPr>
        <w:t>necesariamente</w:t>
      </w:r>
      <w:r>
        <w:rPr>
          <w:spacing w:val="-14"/>
          <w:sz w:val="20"/>
        </w:rPr>
        <w:t> </w:t>
      </w:r>
      <w:r>
        <w:rPr>
          <w:sz w:val="20"/>
        </w:rPr>
        <w:t>violatoria</w:t>
      </w:r>
      <w:r>
        <w:rPr>
          <w:spacing w:val="-12"/>
          <w:sz w:val="20"/>
        </w:rPr>
        <w:t> </w:t>
      </w:r>
      <w:r>
        <w:rPr>
          <w:sz w:val="20"/>
        </w:rPr>
        <w:t>de</w:t>
      </w:r>
      <w:r>
        <w:rPr>
          <w:spacing w:val="-14"/>
          <w:sz w:val="20"/>
        </w:rPr>
        <w:t> </w:t>
      </w:r>
      <w:r>
        <w:rPr>
          <w:sz w:val="20"/>
        </w:rPr>
        <w:t>los</w:t>
      </w:r>
      <w:r>
        <w:rPr>
          <w:spacing w:val="-13"/>
          <w:sz w:val="20"/>
        </w:rPr>
        <w:t> </w:t>
      </w:r>
      <w:r>
        <w:rPr>
          <w:sz w:val="20"/>
        </w:rPr>
        <w:t>artículos</w:t>
      </w:r>
      <w:r>
        <w:rPr>
          <w:spacing w:val="-13"/>
          <w:sz w:val="20"/>
        </w:rPr>
        <w:t> </w:t>
      </w:r>
      <w:r>
        <w:rPr>
          <w:sz w:val="20"/>
        </w:rPr>
        <w:t>8</w:t>
      </w:r>
      <w:r>
        <w:rPr>
          <w:spacing w:val="-12"/>
          <w:sz w:val="20"/>
        </w:rPr>
        <w:t> </w:t>
      </w:r>
      <w:r>
        <w:rPr>
          <w:sz w:val="20"/>
        </w:rPr>
        <w:t>y</w:t>
      </w:r>
      <w:r>
        <w:rPr>
          <w:spacing w:val="-13"/>
          <w:sz w:val="20"/>
        </w:rPr>
        <w:t> </w:t>
      </w:r>
      <w:r>
        <w:rPr>
          <w:sz w:val="20"/>
        </w:rPr>
        <w:t>25</w:t>
      </w:r>
      <w:r>
        <w:rPr>
          <w:spacing w:val="-12"/>
          <w:sz w:val="20"/>
        </w:rPr>
        <w:t> </w:t>
      </w:r>
      <w:r>
        <w:rPr>
          <w:sz w:val="20"/>
        </w:rPr>
        <w:t>de</w:t>
      </w:r>
      <w:r>
        <w:rPr>
          <w:spacing w:val="-14"/>
          <w:sz w:val="20"/>
        </w:rPr>
        <w:t> </w:t>
      </w:r>
      <w:r>
        <w:rPr>
          <w:sz w:val="20"/>
        </w:rPr>
        <w:t>la</w:t>
      </w:r>
      <w:r>
        <w:rPr>
          <w:spacing w:val="-12"/>
          <w:sz w:val="20"/>
        </w:rPr>
        <w:t> </w:t>
      </w:r>
      <w:r>
        <w:rPr>
          <w:sz w:val="20"/>
        </w:rPr>
        <w:t>Convención. En este caso, el rechazo de la acción declarativa de certeza fue por un motivo procesal, la falta de competencia. Los supuestos en los que la CSJN sea competente refieren a cuestiones de orden procesal interno, que no corresponde a la Corte Interamericana dirimir. Sentado lo anterior, debe aclararse que el hecho de que la CSJN se declarase incompetente, no muestra, por sí mismo, que no hubiera otros medios judiciales idóneos. Por ende, la Corte Interamericana no puede determinar la responsabilidad del Estado.</w:t>
      </w:r>
    </w:p>
    <w:p>
      <w:pPr>
        <w:pStyle w:val="BodyText"/>
        <w:spacing w:before="10"/>
        <w:rPr>
          <w:sz w:val="19"/>
        </w:rPr>
      </w:pPr>
    </w:p>
    <w:p>
      <w:pPr>
        <w:pStyle w:val="Heading4"/>
        <w:numPr>
          <w:ilvl w:val="1"/>
          <w:numId w:val="36"/>
        </w:numPr>
        <w:tabs>
          <w:tab w:pos="1195" w:val="left" w:leader="none"/>
        </w:tabs>
        <w:spacing w:line="240" w:lineRule="auto" w:before="0" w:after="0"/>
        <w:ind w:left="668" w:right="0" w:firstLine="20"/>
        <w:jc w:val="left"/>
        <w:rPr>
          <w:i/>
        </w:rPr>
      </w:pPr>
      <w:bookmarkStart w:name="_bookmark82" w:id="138"/>
      <w:bookmarkEnd w:id="138"/>
      <w:r>
        <w:rPr>
          <w:b w:val="0"/>
          <w:i w:val="0"/>
        </w:rPr>
      </w:r>
      <w:bookmarkStart w:name="_bookmark82" w:id="139"/>
      <w:bookmarkEnd w:id="139"/>
      <w:r>
        <w:rPr>
          <w:i/>
        </w:rPr>
        <w:t>Con</w:t>
      </w:r>
      <w:r>
        <w:rPr>
          <w:i/>
        </w:rPr>
        <w:t>clusión</w:t>
      </w:r>
    </w:p>
    <w:p>
      <w:pPr>
        <w:pStyle w:val="BodyText"/>
        <w:spacing w:before="2"/>
        <w:rPr>
          <w:b/>
          <w:i/>
        </w:rPr>
      </w:pPr>
    </w:p>
    <w:p>
      <w:pPr>
        <w:pStyle w:val="ListParagraph"/>
        <w:numPr>
          <w:ilvl w:val="0"/>
          <w:numId w:val="34"/>
        </w:numPr>
        <w:tabs>
          <w:tab w:pos="830" w:val="left" w:leader="none"/>
        </w:tabs>
        <w:spacing w:line="237" w:lineRule="auto" w:before="0" w:after="0"/>
        <w:ind w:left="122" w:right="125" w:firstLine="0"/>
        <w:jc w:val="both"/>
        <w:rPr>
          <w:sz w:val="20"/>
        </w:rPr>
      </w:pPr>
      <w:r>
        <w:rPr>
          <w:sz w:val="20"/>
        </w:rPr>
        <w:t>De acuerdo a lo expuesto sobre las acciones contra el Decreto 461/99 y la Resolución 423/99, la Corte determina que el Estado violó la garantía del plazo razonable. Por consiguiente violó, en perjuicio de las comunidades indígenas</w:t>
      </w:r>
      <w:r>
        <w:rPr>
          <w:spacing w:val="-45"/>
          <w:sz w:val="20"/>
        </w:rPr>
        <w:t> </w:t>
      </w:r>
      <w:r>
        <w:rPr>
          <w:sz w:val="20"/>
        </w:rPr>
        <w:t>habitantes de los lotes 14 y 55</w:t>
      </w:r>
      <w:r>
        <w:rPr>
          <w:rFonts w:ascii="Calibri" w:hAnsi="Calibri"/>
          <w:position w:val="8"/>
          <w:sz w:val="14"/>
        </w:rPr>
        <w:t>312</w:t>
      </w:r>
      <w:r>
        <w:rPr>
          <w:sz w:val="20"/>
        </w:rPr>
        <w:t>, el artículo 8.1 de la Convención, en relación con su artículo</w:t>
      </w:r>
      <w:r>
        <w:rPr>
          <w:spacing w:val="-37"/>
          <w:sz w:val="20"/>
        </w:rPr>
        <w:t> </w:t>
      </w:r>
      <w:r>
        <w:rPr>
          <w:sz w:val="20"/>
        </w:rPr>
        <w:t>1.1.</w:t>
      </w:r>
    </w:p>
    <w:p>
      <w:pPr>
        <w:pStyle w:val="BodyText"/>
        <w:spacing w:before="5"/>
        <w:rPr>
          <w:sz w:val="21"/>
        </w:rPr>
      </w:pPr>
    </w:p>
    <w:p>
      <w:pPr>
        <w:pStyle w:val="Heading3"/>
        <w:ind w:left="3648" w:right="3655" w:firstLine="4"/>
      </w:pPr>
      <w:bookmarkStart w:name="_bookmark83" w:id="140"/>
      <w:bookmarkEnd w:id="140"/>
      <w:r>
        <w:rPr>
          <w:b w:val="0"/>
        </w:rPr>
      </w:r>
      <w:r>
        <w:rPr/>
        <w:t>VIII   </w:t>
      </w:r>
      <w:bookmarkStart w:name="_bookmark84" w:id="141"/>
      <w:bookmarkEnd w:id="141"/>
      <w:r>
        <w:rPr/>
      </w:r>
      <w:r>
        <w:rPr>
          <w:w w:val="95"/>
        </w:rPr>
        <w:t>REPARACIONES</w:t>
      </w:r>
    </w:p>
    <w:p>
      <w:pPr>
        <w:pStyle w:val="BodyText"/>
        <w:rPr>
          <w:b/>
        </w:rPr>
      </w:pPr>
    </w:p>
    <w:p>
      <w:pPr>
        <w:pStyle w:val="ListParagraph"/>
        <w:numPr>
          <w:ilvl w:val="0"/>
          <w:numId w:val="37"/>
        </w:numPr>
        <w:tabs>
          <w:tab w:pos="830" w:val="left" w:leader="none"/>
        </w:tabs>
        <w:spacing w:line="240" w:lineRule="auto" w:before="1" w:after="0"/>
        <w:ind w:left="122" w:right="131" w:firstLine="0"/>
        <w:jc w:val="both"/>
        <w:rPr>
          <w:sz w:val="20"/>
        </w:rPr>
      </w:pPr>
      <w:r>
        <w:rPr>
          <w:sz w:val="20"/>
        </w:rPr>
        <w:t>Sobre la base de lo dispuesto en el artículo 63.1 de la Convención Americana, la Corte</w:t>
      </w:r>
      <w:r>
        <w:rPr>
          <w:spacing w:val="-12"/>
          <w:sz w:val="20"/>
        </w:rPr>
        <w:t> </w:t>
      </w:r>
      <w:r>
        <w:rPr>
          <w:sz w:val="20"/>
        </w:rPr>
        <w:t>ha</w:t>
      </w:r>
      <w:r>
        <w:rPr>
          <w:spacing w:val="-10"/>
          <w:sz w:val="20"/>
        </w:rPr>
        <w:t> </w:t>
      </w:r>
      <w:r>
        <w:rPr>
          <w:sz w:val="20"/>
        </w:rPr>
        <w:t>indicado</w:t>
      </w:r>
      <w:r>
        <w:rPr>
          <w:spacing w:val="-11"/>
          <w:sz w:val="20"/>
        </w:rPr>
        <w:t> </w:t>
      </w:r>
      <w:r>
        <w:rPr>
          <w:sz w:val="20"/>
        </w:rPr>
        <w:t>que</w:t>
      </w:r>
      <w:r>
        <w:rPr>
          <w:spacing w:val="-12"/>
          <w:sz w:val="20"/>
        </w:rPr>
        <w:t> </w:t>
      </w:r>
      <w:r>
        <w:rPr>
          <w:sz w:val="20"/>
        </w:rPr>
        <w:t>toda</w:t>
      </w:r>
      <w:r>
        <w:rPr>
          <w:spacing w:val="-10"/>
          <w:sz w:val="20"/>
        </w:rPr>
        <w:t> </w:t>
      </w:r>
      <w:r>
        <w:rPr>
          <w:sz w:val="20"/>
        </w:rPr>
        <w:t>violación</w:t>
      </w:r>
      <w:r>
        <w:rPr>
          <w:spacing w:val="-9"/>
          <w:sz w:val="20"/>
        </w:rPr>
        <w:t> </w:t>
      </w:r>
      <w:r>
        <w:rPr>
          <w:sz w:val="20"/>
        </w:rPr>
        <w:t>de</w:t>
      </w:r>
      <w:r>
        <w:rPr>
          <w:spacing w:val="-9"/>
          <w:sz w:val="20"/>
        </w:rPr>
        <w:t> </w:t>
      </w:r>
      <w:r>
        <w:rPr>
          <w:sz w:val="20"/>
        </w:rPr>
        <w:t>una</w:t>
      </w:r>
      <w:r>
        <w:rPr>
          <w:spacing w:val="-10"/>
          <w:sz w:val="20"/>
        </w:rPr>
        <w:t> </w:t>
      </w:r>
      <w:r>
        <w:rPr>
          <w:sz w:val="20"/>
        </w:rPr>
        <w:t>obligación</w:t>
      </w:r>
      <w:r>
        <w:rPr>
          <w:spacing w:val="-9"/>
          <w:sz w:val="20"/>
        </w:rPr>
        <w:t> </w:t>
      </w:r>
      <w:r>
        <w:rPr>
          <w:sz w:val="20"/>
        </w:rPr>
        <w:t>internacional</w:t>
      </w:r>
      <w:r>
        <w:rPr>
          <w:spacing w:val="-10"/>
          <w:sz w:val="20"/>
        </w:rPr>
        <w:t> </w:t>
      </w:r>
      <w:r>
        <w:rPr>
          <w:sz w:val="20"/>
        </w:rPr>
        <w:t>que</w:t>
      </w:r>
      <w:r>
        <w:rPr>
          <w:spacing w:val="-9"/>
          <w:sz w:val="20"/>
        </w:rPr>
        <w:t> </w:t>
      </w:r>
      <w:r>
        <w:rPr>
          <w:sz w:val="20"/>
        </w:rPr>
        <w:t>haya</w:t>
      </w:r>
      <w:r>
        <w:rPr>
          <w:spacing w:val="-10"/>
          <w:sz w:val="20"/>
        </w:rPr>
        <w:t> </w:t>
      </w:r>
      <w:r>
        <w:rPr>
          <w:sz w:val="20"/>
        </w:rPr>
        <w:t>producido daño comporta el deber de repararlo adecuadamente, y que esa disposición recoge</w:t>
      </w:r>
      <w:r>
        <w:rPr>
          <w:spacing w:val="-38"/>
          <w:sz w:val="20"/>
        </w:rPr>
        <w:t> </w:t>
      </w:r>
      <w:r>
        <w:rPr>
          <w:sz w:val="20"/>
        </w:rPr>
        <w:t>una norma consuetudinaria que constituye uno de los principios fundamentales del derecho internacional contemporáneo sobre responsabilidad de un</w:t>
      </w:r>
      <w:r>
        <w:rPr>
          <w:spacing w:val="-19"/>
          <w:sz w:val="20"/>
        </w:rPr>
        <w:t> </w:t>
      </w:r>
      <w:r>
        <w:rPr>
          <w:sz w:val="20"/>
        </w:rPr>
        <w:t>Estado</w:t>
      </w:r>
      <w:r>
        <w:rPr>
          <w:position w:val="7"/>
          <w:sz w:val="13"/>
        </w:rPr>
        <w:t>313</w:t>
      </w:r>
      <w:r>
        <w:rPr>
          <w:sz w:val="20"/>
        </w:rPr>
        <w:t>.</w:t>
      </w:r>
    </w:p>
    <w:p>
      <w:pPr>
        <w:pStyle w:val="BodyText"/>
      </w:pPr>
    </w:p>
    <w:p>
      <w:pPr>
        <w:pStyle w:val="BodyText"/>
      </w:pPr>
    </w:p>
    <w:p>
      <w:pPr>
        <w:pStyle w:val="BodyText"/>
        <w:spacing w:before="1"/>
        <w:rPr>
          <w:sz w:val="13"/>
        </w:rPr>
      </w:pPr>
      <w:r>
        <w:rPr/>
        <w:pict>
          <v:line style="position:absolute;mso-position-horizontal-relative:page;mso-position-vertical-relative:paragraph;z-index:3400;mso-wrap-distance-left:0;mso-wrap-distance-right:0" from="85.103996pt,10.320401pt" to="229.123996pt,10.320401pt" stroked="true" strokeweight=".71997pt" strokecolor="#000000">
            <v:stroke dashstyle="solid"/>
            <w10:wrap type="topAndBottom"/>
          </v:line>
        </w:pict>
      </w:r>
    </w:p>
    <w:p>
      <w:pPr>
        <w:tabs>
          <w:tab w:pos="829" w:val="left" w:leader="none"/>
        </w:tabs>
        <w:spacing w:before="71"/>
        <w:ind w:left="122" w:right="118" w:firstLine="0"/>
        <w:jc w:val="both"/>
        <w:rPr>
          <w:sz w:val="16"/>
        </w:rPr>
      </w:pPr>
      <w:r>
        <w:rPr>
          <w:position w:val="6"/>
          <w:sz w:val="10"/>
        </w:rPr>
        <w:t>310</w:t>
        <w:tab/>
      </w:r>
      <w:r>
        <w:rPr>
          <w:sz w:val="16"/>
        </w:rPr>
        <w:t>Los representantes  mencionaron que  hubo  otras  acciones  judiciales, presentadas  </w:t>
      </w:r>
      <w:r>
        <w:rPr>
          <w:spacing w:val="15"/>
          <w:sz w:val="16"/>
        </w:rPr>
        <w:t> </w:t>
      </w:r>
      <w:r>
        <w:rPr>
          <w:sz w:val="16"/>
        </w:rPr>
        <w:t>por</w:t>
      </w:r>
      <w:r>
        <w:rPr>
          <w:spacing w:val="44"/>
          <w:sz w:val="16"/>
        </w:rPr>
        <w:t> </w:t>
      </w:r>
      <w:r>
        <w:rPr>
          <w:sz w:val="16"/>
        </w:rPr>
        <w:t>personas</w:t>
      </w:r>
      <w:r>
        <w:rPr>
          <w:w w:val="100"/>
          <w:sz w:val="16"/>
        </w:rPr>
        <w:t> </w:t>
      </w:r>
      <w:r>
        <w:rPr>
          <w:sz w:val="16"/>
        </w:rPr>
        <w:t>distintas a Lhaka Honhat, relacionadas con el referéndum (</w:t>
      </w:r>
      <w:r>
        <w:rPr>
          <w:i/>
          <w:sz w:val="16"/>
        </w:rPr>
        <w:t>supra </w:t>
      </w:r>
      <w:r>
        <w:rPr>
          <w:sz w:val="16"/>
        </w:rPr>
        <w:t>nota a pie de página 294). La Corte solo analizará la acción judicial iniciada por la organización representante de las comunidades indígenas, ya que las otras no se vinculan con </w:t>
      </w:r>
      <w:r>
        <w:rPr>
          <w:spacing w:val="-2"/>
          <w:sz w:val="16"/>
        </w:rPr>
        <w:t>los </w:t>
      </w:r>
      <w:r>
        <w:rPr>
          <w:sz w:val="16"/>
        </w:rPr>
        <w:t>derechos a las garantías y protección judiciales de dichas</w:t>
      </w:r>
      <w:r>
        <w:rPr>
          <w:spacing w:val="-19"/>
          <w:sz w:val="16"/>
        </w:rPr>
        <w:t> </w:t>
      </w:r>
      <w:r>
        <w:rPr>
          <w:sz w:val="16"/>
        </w:rPr>
        <w:t>comunidades.</w:t>
      </w:r>
    </w:p>
    <w:p>
      <w:pPr>
        <w:pStyle w:val="BodyText"/>
        <w:spacing w:before="11"/>
        <w:rPr>
          <w:sz w:val="15"/>
        </w:rPr>
      </w:pPr>
    </w:p>
    <w:p>
      <w:pPr>
        <w:tabs>
          <w:tab w:pos="829" w:val="left" w:leader="none"/>
        </w:tabs>
        <w:spacing w:before="0"/>
        <w:ind w:left="122" w:right="118" w:firstLine="0"/>
        <w:jc w:val="both"/>
        <w:rPr>
          <w:sz w:val="16"/>
        </w:rPr>
      </w:pPr>
      <w:r>
        <w:rPr>
          <w:position w:val="6"/>
          <w:sz w:val="10"/>
        </w:rPr>
        <w:t>311</w:t>
        <w:tab/>
      </w:r>
      <w:r>
        <w:rPr>
          <w:sz w:val="16"/>
        </w:rPr>
        <w:t>CSJN, “Asociación de Comunidades Aborígenes Lhaka Honhat c/ Salta, Provincia de y    otro</w:t>
      </w:r>
      <w:r>
        <w:rPr>
          <w:spacing w:val="15"/>
          <w:sz w:val="16"/>
        </w:rPr>
        <w:t> </w:t>
      </w:r>
      <w:r>
        <w:rPr>
          <w:sz w:val="16"/>
        </w:rPr>
        <w:t>(Estado</w:t>
      </w:r>
      <w:r>
        <w:rPr>
          <w:w w:val="100"/>
          <w:sz w:val="16"/>
        </w:rPr>
        <w:t> </w:t>
      </w:r>
      <w:r>
        <w:rPr>
          <w:sz w:val="16"/>
        </w:rPr>
        <w:t>Nacional)</w:t>
      </w:r>
      <w:r>
        <w:rPr>
          <w:spacing w:val="-7"/>
          <w:sz w:val="16"/>
        </w:rPr>
        <w:t> </w:t>
      </w:r>
      <w:r>
        <w:rPr>
          <w:sz w:val="16"/>
        </w:rPr>
        <w:t>s/</w:t>
      </w:r>
      <w:r>
        <w:rPr>
          <w:spacing w:val="-7"/>
          <w:sz w:val="16"/>
        </w:rPr>
        <w:t> </w:t>
      </w:r>
      <w:r>
        <w:rPr>
          <w:sz w:val="16"/>
        </w:rPr>
        <w:t>acción</w:t>
      </w:r>
      <w:r>
        <w:rPr>
          <w:spacing w:val="-9"/>
          <w:sz w:val="16"/>
        </w:rPr>
        <w:t> </w:t>
      </w:r>
      <w:r>
        <w:rPr>
          <w:sz w:val="16"/>
        </w:rPr>
        <w:t>declarativa</w:t>
      </w:r>
      <w:r>
        <w:rPr>
          <w:spacing w:val="-9"/>
          <w:sz w:val="16"/>
        </w:rPr>
        <w:t> </w:t>
      </w:r>
      <w:r>
        <w:rPr>
          <w:sz w:val="16"/>
        </w:rPr>
        <w:t>de</w:t>
      </w:r>
      <w:r>
        <w:rPr>
          <w:spacing w:val="-8"/>
          <w:sz w:val="16"/>
        </w:rPr>
        <w:t> </w:t>
      </w:r>
      <w:r>
        <w:rPr>
          <w:sz w:val="16"/>
        </w:rPr>
        <w:t>certeza”.</w:t>
      </w:r>
      <w:r>
        <w:rPr>
          <w:spacing w:val="-7"/>
          <w:sz w:val="16"/>
        </w:rPr>
        <w:t> </w:t>
      </w:r>
      <w:r>
        <w:rPr>
          <w:sz w:val="16"/>
        </w:rPr>
        <w:t>Expte.</w:t>
      </w:r>
      <w:r>
        <w:rPr>
          <w:spacing w:val="-9"/>
          <w:sz w:val="16"/>
        </w:rPr>
        <w:t> </w:t>
      </w:r>
      <w:r>
        <w:rPr>
          <w:sz w:val="16"/>
        </w:rPr>
        <w:t>Nº</w:t>
      </w:r>
      <w:r>
        <w:rPr>
          <w:spacing w:val="-10"/>
          <w:sz w:val="16"/>
        </w:rPr>
        <w:t> </w:t>
      </w:r>
      <w:r>
        <w:rPr>
          <w:sz w:val="16"/>
        </w:rPr>
        <w:t>A</w:t>
      </w:r>
      <w:r>
        <w:rPr>
          <w:spacing w:val="-8"/>
          <w:sz w:val="16"/>
        </w:rPr>
        <w:t> </w:t>
      </w:r>
      <w:r>
        <w:rPr>
          <w:sz w:val="16"/>
        </w:rPr>
        <w:t>1596/05.</w:t>
      </w:r>
      <w:r>
        <w:rPr>
          <w:spacing w:val="-7"/>
          <w:sz w:val="16"/>
        </w:rPr>
        <w:t> </w:t>
      </w:r>
      <w:r>
        <w:rPr>
          <w:sz w:val="16"/>
        </w:rPr>
        <w:t>Expediente</w:t>
      </w:r>
      <w:r>
        <w:rPr>
          <w:spacing w:val="-8"/>
          <w:sz w:val="16"/>
        </w:rPr>
        <w:t> </w:t>
      </w:r>
      <w:r>
        <w:rPr>
          <w:sz w:val="16"/>
        </w:rPr>
        <w:t>de</w:t>
      </w:r>
      <w:r>
        <w:rPr>
          <w:spacing w:val="-11"/>
          <w:sz w:val="16"/>
        </w:rPr>
        <w:t> </w:t>
      </w:r>
      <w:r>
        <w:rPr>
          <w:sz w:val="16"/>
        </w:rPr>
        <w:t>prueba,</w:t>
      </w:r>
      <w:r>
        <w:rPr>
          <w:spacing w:val="-7"/>
          <w:sz w:val="16"/>
        </w:rPr>
        <w:t> </w:t>
      </w:r>
      <w:r>
        <w:rPr>
          <w:sz w:val="16"/>
        </w:rPr>
        <w:t>anexo</w:t>
      </w:r>
      <w:r>
        <w:rPr>
          <w:spacing w:val="-10"/>
          <w:sz w:val="16"/>
        </w:rPr>
        <w:t> </w:t>
      </w:r>
      <w:r>
        <w:rPr>
          <w:sz w:val="16"/>
        </w:rPr>
        <w:t>D.22</w:t>
      </w:r>
      <w:r>
        <w:rPr>
          <w:spacing w:val="-7"/>
          <w:sz w:val="16"/>
        </w:rPr>
        <w:t> </w:t>
      </w:r>
      <w:r>
        <w:rPr>
          <w:sz w:val="16"/>
        </w:rPr>
        <w:t>al</w:t>
      </w:r>
      <w:r>
        <w:rPr>
          <w:spacing w:val="-6"/>
          <w:sz w:val="16"/>
        </w:rPr>
        <w:t> </w:t>
      </w:r>
      <w:r>
        <w:rPr>
          <w:sz w:val="16"/>
        </w:rPr>
        <w:t>escrito de solicitudes y argumentos, fs. 30.481 a</w:t>
      </w:r>
      <w:r>
        <w:rPr>
          <w:spacing w:val="-13"/>
          <w:sz w:val="16"/>
        </w:rPr>
        <w:t> </w:t>
      </w:r>
      <w:r>
        <w:rPr>
          <w:sz w:val="16"/>
        </w:rPr>
        <w:t>30.502.</w:t>
      </w:r>
    </w:p>
    <w:p>
      <w:pPr>
        <w:pStyle w:val="BodyText"/>
        <w:spacing w:before="12"/>
        <w:rPr>
          <w:sz w:val="15"/>
        </w:rPr>
      </w:pPr>
    </w:p>
    <w:p>
      <w:pPr>
        <w:tabs>
          <w:tab w:pos="829" w:val="left" w:leader="none"/>
        </w:tabs>
        <w:spacing w:before="0"/>
        <w:ind w:left="122" w:right="113" w:firstLine="0"/>
        <w:jc w:val="both"/>
        <w:rPr>
          <w:sz w:val="16"/>
        </w:rPr>
      </w:pPr>
      <w:r>
        <w:rPr>
          <w:position w:val="6"/>
          <w:sz w:val="10"/>
        </w:rPr>
        <w:t>312</w:t>
        <w:tab/>
      </w:r>
      <w:r>
        <w:rPr>
          <w:sz w:val="16"/>
        </w:rPr>
        <w:t>Las acciones fueron intentadas por Lhaka Honhat. De acuerdo a los términos del estatuto  </w:t>
      </w:r>
      <w:r>
        <w:rPr>
          <w:spacing w:val="30"/>
          <w:sz w:val="16"/>
        </w:rPr>
        <w:t> </w:t>
      </w:r>
      <w:r>
        <w:rPr>
          <w:sz w:val="16"/>
        </w:rPr>
        <w:t>de</w:t>
      </w:r>
      <w:r>
        <w:rPr>
          <w:spacing w:val="9"/>
          <w:sz w:val="16"/>
        </w:rPr>
        <w:t> </w:t>
      </w:r>
      <w:r>
        <w:rPr>
          <w:sz w:val="16"/>
        </w:rPr>
        <w:t>dicha</w:t>
      </w:r>
      <w:r>
        <w:rPr>
          <w:w w:val="100"/>
          <w:sz w:val="16"/>
        </w:rPr>
        <w:t> </w:t>
      </w:r>
      <w:r>
        <w:rPr>
          <w:sz w:val="16"/>
        </w:rPr>
        <w:t>Asociación,</w:t>
      </w:r>
      <w:r>
        <w:rPr>
          <w:spacing w:val="-1"/>
          <w:sz w:val="16"/>
        </w:rPr>
        <w:t> </w:t>
      </w:r>
      <w:r>
        <w:rPr>
          <w:sz w:val="16"/>
        </w:rPr>
        <w:t>la</w:t>
      </w:r>
      <w:r>
        <w:rPr>
          <w:spacing w:val="-3"/>
          <w:sz w:val="16"/>
        </w:rPr>
        <w:t> </w:t>
      </w:r>
      <w:r>
        <w:rPr>
          <w:sz w:val="16"/>
        </w:rPr>
        <w:t>misma</w:t>
      </w:r>
      <w:r>
        <w:rPr>
          <w:spacing w:val="-3"/>
          <w:sz w:val="16"/>
        </w:rPr>
        <w:t> </w:t>
      </w:r>
      <w:r>
        <w:rPr>
          <w:sz w:val="16"/>
        </w:rPr>
        <w:t>se</w:t>
      </w:r>
      <w:r>
        <w:rPr>
          <w:spacing w:val="-3"/>
          <w:sz w:val="16"/>
        </w:rPr>
        <w:t> </w:t>
      </w:r>
      <w:r>
        <w:rPr>
          <w:sz w:val="16"/>
        </w:rPr>
        <w:t>ha</w:t>
      </w:r>
      <w:r>
        <w:rPr>
          <w:spacing w:val="-3"/>
          <w:sz w:val="16"/>
        </w:rPr>
        <w:t> </w:t>
      </w:r>
      <w:r>
        <w:rPr>
          <w:sz w:val="16"/>
        </w:rPr>
        <w:t>constituido de</w:t>
      </w:r>
      <w:r>
        <w:rPr>
          <w:spacing w:val="-3"/>
          <w:sz w:val="16"/>
        </w:rPr>
        <w:t> </w:t>
      </w:r>
      <w:r>
        <w:rPr>
          <w:sz w:val="16"/>
        </w:rPr>
        <w:t>un</w:t>
      </w:r>
      <w:r>
        <w:rPr>
          <w:spacing w:val="-1"/>
          <w:sz w:val="16"/>
        </w:rPr>
        <w:t> </w:t>
      </w:r>
      <w:r>
        <w:rPr>
          <w:sz w:val="16"/>
        </w:rPr>
        <w:t>modo</w:t>
      </w:r>
      <w:r>
        <w:rPr>
          <w:spacing w:val="-2"/>
          <w:sz w:val="16"/>
        </w:rPr>
        <w:t> </w:t>
      </w:r>
      <w:r>
        <w:rPr>
          <w:sz w:val="16"/>
        </w:rPr>
        <w:t>que,</w:t>
      </w:r>
      <w:r>
        <w:rPr>
          <w:spacing w:val="-6"/>
          <w:sz w:val="16"/>
        </w:rPr>
        <w:t> </w:t>
      </w:r>
      <w:r>
        <w:rPr>
          <w:sz w:val="16"/>
        </w:rPr>
        <w:t>formalmente,</w:t>
      </w:r>
      <w:r>
        <w:rPr>
          <w:spacing w:val="-1"/>
          <w:sz w:val="16"/>
        </w:rPr>
        <w:t> </w:t>
      </w:r>
      <w:r>
        <w:rPr>
          <w:sz w:val="16"/>
        </w:rPr>
        <w:t>integra</w:t>
      </w:r>
      <w:r>
        <w:rPr>
          <w:spacing w:val="-6"/>
          <w:sz w:val="16"/>
        </w:rPr>
        <w:t> </w:t>
      </w:r>
      <w:r>
        <w:rPr>
          <w:sz w:val="16"/>
        </w:rPr>
        <w:t>como</w:t>
      </w:r>
      <w:r>
        <w:rPr>
          <w:spacing w:val="-2"/>
          <w:sz w:val="16"/>
        </w:rPr>
        <w:t> </w:t>
      </w:r>
      <w:r>
        <w:rPr>
          <w:sz w:val="16"/>
        </w:rPr>
        <w:t>miembros</w:t>
      </w:r>
      <w:r>
        <w:rPr>
          <w:spacing w:val="-3"/>
          <w:sz w:val="16"/>
        </w:rPr>
        <w:t> </w:t>
      </w:r>
      <w:r>
        <w:rPr>
          <w:sz w:val="16"/>
        </w:rPr>
        <w:t>a</w:t>
      </w:r>
      <w:r>
        <w:rPr>
          <w:spacing w:val="-3"/>
          <w:sz w:val="16"/>
        </w:rPr>
        <w:t> </w:t>
      </w:r>
      <w:r>
        <w:rPr>
          <w:sz w:val="16"/>
        </w:rPr>
        <w:t>las</w:t>
      </w:r>
      <w:r>
        <w:rPr>
          <w:spacing w:val="-3"/>
          <w:sz w:val="16"/>
        </w:rPr>
        <w:t> </w:t>
      </w:r>
      <w:r>
        <w:rPr>
          <w:sz w:val="16"/>
        </w:rPr>
        <w:t>personas mayores de edad que pertenezcan a las comunidades habitantes de los lotes 14 y 55. La Corte entiende que puede, razonablemente, asumirse un interés relevante de todas las comunidades aludidas (</w:t>
      </w:r>
      <w:r>
        <w:rPr>
          <w:i/>
          <w:sz w:val="16"/>
        </w:rPr>
        <w:t>supra </w:t>
      </w:r>
      <w:r>
        <w:rPr>
          <w:sz w:val="16"/>
        </w:rPr>
        <w:t>párr. 35 y Anexo V) en los procesos iniciados por Lhaka Honhat. Por ello, considera que la violación declarada perjudica a todas esas comunidades. (En similar sentido, </w:t>
      </w:r>
      <w:r>
        <w:rPr>
          <w:i/>
          <w:sz w:val="16"/>
        </w:rPr>
        <w:t>Caso Coc Max y otros (Masacre de Xamán) Vs. Guatemala</w:t>
      </w:r>
      <w:r>
        <w:rPr>
          <w:sz w:val="16"/>
        </w:rPr>
        <w:t>, párr. 92, nota pie de página</w:t>
      </w:r>
      <w:r>
        <w:rPr>
          <w:spacing w:val="-12"/>
          <w:sz w:val="16"/>
        </w:rPr>
        <w:t> </w:t>
      </w:r>
      <w:r>
        <w:rPr>
          <w:sz w:val="16"/>
        </w:rPr>
        <w:t>144.)</w:t>
      </w:r>
    </w:p>
    <w:p>
      <w:pPr>
        <w:pStyle w:val="BodyText"/>
        <w:spacing w:before="2"/>
        <w:rPr>
          <w:sz w:val="16"/>
        </w:rPr>
      </w:pPr>
    </w:p>
    <w:p>
      <w:pPr>
        <w:tabs>
          <w:tab w:pos="829" w:val="left" w:leader="none"/>
        </w:tabs>
        <w:spacing w:before="0"/>
        <w:ind w:left="122" w:right="116" w:firstLine="0"/>
        <w:jc w:val="both"/>
        <w:rPr>
          <w:sz w:val="16"/>
        </w:rPr>
      </w:pPr>
      <w:r>
        <w:rPr>
          <w:position w:val="6"/>
          <w:sz w:val="10"/>
        </w:rPr>
        <w:t>313</w:t>
        <w:tab/>
      </w:r>
      <w:r>
        <w:rPr>
          <w:i/>
          <w:sz w:val="16"/>
        </w:rPr>
        <w:t>Cfr.</w:t>
      </w:r>
      <w:r>
        <w:rPr>
          <w:i/>
          <w:spacing w:val="20"/>
          <w:sz w:val="16"/>
        </w:rPr>
        <w:t> </w:t>
      </w:r>
      <w:r>
        <w:rPr>
          <w:i/>
          <w:sz w:val="16"/>
        </w:rPr>
        <w:t>Caso</w:t>
      </w:r>
      <w:r>
        <w:rPr>
          <w:i/>
          <w:spacing w:val="19"/>
          <w:sz w:val="16"/>
        </w:rPr>
        <w:t> </w:t>
      </w:r>
      <w:r>
        <w:rPr>
          <w:i/>
          <w:sz w:val="16"/>
        </w:rPr>
        <w:t>Velásquez</w:t>
      </w:r>
      <w:r>
        <w:rPr>
          <w:i/>
          <w:spacing w:val="18"/>
          <w:sz w:val="16"/>
        </w:rPr>
        <w:t> </w:t>
      </w:r>
      <w:r>
        <w:rPr>
          <w:i/>
          <w:sz w:val="16"/>
        </w:rPr>
        <w:t>Rodríguez</w:t>
      </w:r>
      <w:r>
        <w:rPr>
          <w:i/>
          <w:spacing w:val="20"/>
          <w:sz w:val="16"/>
        </w:rPr>
        <w:t> </w:t>
      </w:r>
      <w:r>
        <w:rPr>
          <w:i/>
          <w:sz w:val="16"/>
        </w:rPr>
        <w:t>Vs.</w:t>
      </w:r>
      <w:r>
        <w:rPr>
          <w:i/>
          <w:spacing w:val="17"/>
          <w:sz w:val="16"/>
        </w:rPr>
        <w:t> </w:t>
      </w:r>
      <w:r>
        <w:rPr>
          <w:i/>
          <w:sz w:val="16"/>
        </w:rPr>
        <w:t>Honduras.</w:t>
      </w:r>
      <w:r>
        <w:rPr>
          <w:i/>
          <w:spacing w:val="17"/>
          <w:sz w:val="16"/>
        </w:rPr>
        <w:t> </w:t>
      </w:r>
      <w:r>
        <w:rPr>
          <w:i/>
          <w:sz w:val="16"/>
        </w:rPr>
        <w:t>Reparaciones</w:t>
      </w:r>
      <w:r>
        <w:rPr>
          <w:i/>
          <w:spacing w:val="18"/>
          <w:sz w:val="16"/>
        </w:rPr>
        <w:t> </w:t>
      </w:r>
      <w:r>
        <w:rPr>
          <w:i/>
          <w:sz w:val="16"/>
        </w:rPr>
        <w:t>y</w:t>
      </w:r>
      <w:r>
        <w:rPr>
          <w:i/>
          <w:spacing w:val="19"/>
          <w:sz w:val="16"/>
        </w:rPr>
        <w:t> </w:t>
      </w:r>
      <w:r>
        <w:rPr>
          <w:i/>
          <w:sz w:val="16"/>
        </w:rPr>
        <w:t>Costas.</w:t>
      </w:r>
      <w:r>
        <w:rPr>
          <w:i/>
          <w:spacing w:val="20"/>
          <w:sz w:val="16"/>
        </w:rPr>
        <w:t> </w:t>
      </w:r>
      <w:r>
        <w:rPr>
          <w:sz w:val="16"/>
        </w:rPr>
        <w:t>Sentencia</w:t>
      </w:r>
      <w:r>
        <w:rPr>
          <w:spacing w:val="19"/>
          <w:sz w:val="16"/>
        </w:rPr>
        <w:t> </w:t>
      </w:r>
      <w:r>
        <w:rPr>
          <w:sz w:val="16"/>
        </w:rPr>
        <w:t>de</w:t>
      </w:r>
      <w:r>
        <w:rPr>
          <w:spacing w:val="18"/>
          <w:sz w:val="16"/>
        </w:rPr>
        <w:t> </w:t>
      </w:r>
      <w:r>
        <w:rPr>
          <w:sz w:val="16"/>
        </w:rPr>
        <w:t>21</w:t>
      </w:r>
      <w:r>
        <w:rPr>
          <w:spacing w:val="19"/>
          <w:sz w:val="16"/>
        </w:rPr>
        <w:t> </w:t>
      </w:r>
      <w:r>
        <w:rPr>
          <w:sz w:val="16"/>
        </w:rPr>
        <w:t>de</w:t>
      </w:r>
      <w:r>
        <w:rPr>
          <w:spacing w:val="21"/>
          <w:sz w:val="16"/>
        </w:rPr>
        <w:t> </w:t>
      </w:r>
      <w:r>
        <w:rPr>
          <w:sz w:val="16"/>
        </w:rPr>
        <w:t>julio</w:t>
      </w:r>
      <w:r>
        <w:rPr>
          <w:spacing w:val="19"/>
          <w:sz w:val="16"/>
        </w:rPr>
        <w:t> </w:t>
      </w:r>
      <w:r>
        <w:rPr>
          <w:spacing w:val="-3"/>
          <w:sz w:val="16"/>
        </w:rPr>
        <w:t>de</w:t>
      </w:r>
      <w:r>
        <w:rPr>
          <w:w w:val="100"/>
          <w:sz w:val="16"/>
        </w:rPr>
        <w:t> </w:t>
      </w:r>
      <w:r>
        <w:rPr>
          <w:sz w:val="16"/>
        </w:rPr>
        <w:t>1989. Serie C No. 7, párrs. 25 a 27, y </w:t>
      </w:r>
      <w:r>
        <w:rPr>
          <w:i/>
          <w:sz w:val="16"/>
        </w:rPr>
        <w:t>Caso Jenkins Vs. Argentina</w:t>
      </w:r>
      <w:r>
        <w:rPr>
          <w:sz w:val="16"/>
        </w:rPr>
        <w:t>, párr.</w:t>
      </w:r>
      <w:r>
        <w:rPr>
          <w:spacing w:val="-27"/>
          <w:sz w:val="16"/>
        </w:rPr>
        <w:t> </w:t>
      </w:r>
      <w:r>
        <w:rPr>
          <w:sz w:val="16"/>
        </w:rPr>
        <w:t>122.</w:t>
      </w:r>
    </w:p>
    <w:p>
      <w:pPr>
        <w:spacing w:after="0"/>
        <w:jc w:val="both"/>
        <w:rPr>
          <w:sz w:val="16"/>
        </w:rPr>
        <w:sectPr>
          <w:pgSz w:w="12240" w:h="15840"/>
          <w:pgMar w:header="0" w:footer="1000" w:top="1340" w:bottom="1200" w:left="1580" w:right="1580"/>
        </w:sectPr>
      </w:pPr>
    </w:p>
    <w:p>
      <w:pPr>
        <w:pStyle w:val="ListParagraph"/>
        <w:numPr>
          <w:ilvl w:val="0"/>
          <w:numId w:val="37"/>
        </w:numPr>
        <w:tabs>
          <w:tab w:pos="830" w:val="left" w:leader="none"/>
        </w:tabs>
        <w:spacing w:line="240" w:lineRule="auto" w:before="76" w:after="0"/>
        <w:ind w:left="122" w:right="122" w:firstLine="0"/>
        <w:jc w:val="both"/>
        <w:rPr>
          <w:sz w:val="20"/>
        </w:rPr>
      </w:pPr>
      <w:r>
        <w:rPr>
          <w:sz w:val="20"/>
        </w:rPr>
        <w:t>La reparación del daño ocasionado por la infracción de una obligación internacional requiere, siempre que sea posible, la plena restitución (</w:t>
      </w:r>
      <w:r>
        <w:rPr>
          <w:i/>
          <w:sz w:val="20"/>
        </w:rPr>
        <w:t>restitutio in </w:t>
      </w:r>
      <w:r>
        <w:rPr>
          <w:i/>
          <w:sz w:val="20"/>
        </w:rPr>
        <w:t>integrum</w:t>
      </w:r>
      <w:r>
        <w:rPr>
          <w:sz w:val="20"/>
        </w:rPr>
        <w:t>), que consiste en el restablecimiento de la situación anterior. De no ser esto factible, como ocurre en la mayoría de los casos de violaciones a derechos humanos, el Tribunal determinará medidas para garantizar los derechos conculcados y reparar las consecuencias que las infracciones produjeron. De acuerdo al caso, la Corte ha considerado la necesidad de otorgar diversas medidas de reparación; las medidas pecuniarias, de restitución, rehabilitación, satisfacción y garantías de no repetición pueden tener especial relevancia por los daños ocasionados. Las reparaciones deben tener un nexo causal con los hechos del caso, las violaciones declaradas, los daños acreditados, así como relación con las medidas</w:t>
      </w:r>
      <w:r>
        <w:rPr>
          <w:spacing w:val="-23"/>
          <w:sz w:val="20"/>
        </w:rPr>
        <w:t> </w:t>
      </w:r>
      <w:r>
        <w:rPr>
          <w:sz w:val="20"/>
        </w:rPr>
        <w:t>solicitadas</w:t>
      </w:r>
      <w:r>
        <w:rPr>
          <w:position w:val="7"/>
          <w:sz w:val="13"/>
        </w:rPr>
        <w:t>314</w:t>
      </w:r>
      <w:r>
        <w:rPr>
          <w:sz w:val="20"/>
        </w:rPr>
        <w:t>.</w:t>
      </w:r>
    </w:p>
    <w:p>
      <w:pPr>
        <w:pStyle w:val="BodyText"/>
      </w:pPr>
    </w:p>
    <w:p>
      <w:pPr>
        <w:pStyle w:val="ListParagraph"/>
        <w:numPr>
          <w:ilvl w:val="0"/>
          <w:numId w:val="37"/>
        </w:numPr>
        <w:tabs>
          <w:tab w:pos="830" w:val="left" w:leader="none"/>
        </w:tabs>
        <w:spacing w:line="240" w:lineRule="auto" w:before="0" w:after="0"/>
        <w:ind w:left="122" w:right="132" w:firstLine="0"/>
        <w:jc w:val="both"/>
        <w:rPr>
          <w:sz w:val="20"/>
        </w:rPr>
      </w:pPr>
      <w:r>
        <w:rPr>
          <w:sz w:val="20"/>
        </w:rPr>
        <w:t>En</w:t>
      </w:r>
      <w:r>
        <w:rPr>
          <w:spacing w:val="-6"/>
          <w:sz w:val="20"/>
        </w:rPr>
        <w:t> </w:t>
      </w:r>
      <w:r>
        <w:rPr>
          <w:sz w:val="20"/>
        </w:rPr>
        <w:t>consideración</w:t>
      </w:r>
      <w:r>
        <w:rPr>
          <w:spacing w:val="-6"/>
          <w:sz w:val="20"/>
        </w:rPr>
        <w:t> </w:t>
      </w:r>
      <w:r>
        <w:rPr>
          <w:sz w:val="20"/>
        </w:rPr>
        <w:t>de</w:t>
      </w:r>
      <w:r>
        <w:rPr>
          <w:spacing w:val="-8"/>
          <w:sz w:val="20"/>
        </w:rPr>
        <w:t> </w:t>
      </w:r>
      <w:r>
        <w:rPr>
          <w:sz w:val="20"/>
        </w:rPr>
        <w:t>las</w:t>
      </w:r>
      <w:r>
        <w:rPr>
          <w:spacing w:val="-5"/>
          <w:sz w:val="20"/>
        </w:rPr>
        <w:t> </w:t>
      </w:r>
      <w:r>
        <w:rPr>
          <w:sz w:val="20"/>
        </w:rPr>
        <w:t>violaciones</w:t>
      </w:r>
      <w:r>
        <w:rPr>
          <w:spacing w:val="-5"/>
          <w:sz w:val="20"/>
        </w:rPr>
        <w:t> </w:t>
      </w:r>
      <w:r>
        <w:rPr>
          <w:sz w:val="20"/>
        </w:rPr>
        <w:t>declaradas</w:t>
      </w:r>
      <w:r>
        <w:rPr>
          <w:spacing w:val="-5"/>
          <w:sz w:val="20"/>
        </w:rPr>
        <w:t> </w:t>
      </w:r>
      <w:r>
        <w:rPr>
          <w:sz w:val="20"/>
        </w:rPr>
        <w:t>en</w:t>
      </w:r>
      <w:r>
        <w:rPr>
          <w:spacing w:val="-6"/>
          <w:sz w:val="20"/>
        </w:rPr>
        <w:t> </w:t>
      </w:r>
      <w:r>
        <w:rPr>
          <w:sz w:val="20"/>
        </w:rPr>
        <w:t>el</w:t>
      </w:r>
      <w:r>
        <w:rPr>
          <w:spacing w:val="-6"/>
          <w:sz w:val="20"/>
        </w:rPr>
        <w:t> </w:t>
      </w:r>
      <w:r>
        <w:rPr>
          <w:sz w:val="20"/>
        </w:rPr>
        <w:t>capítulo</w:t>
      </w:r>
      <w:r>
        <w:rPr>
          <w:spacing w:val="-8"/>
          <w:sz w:val="20"/>
        </w:rPr>
        <w:t> </w:t>
      </w:r>
      <w:r>
        <w:rPr>
          <w:sz w:val="20"/>
        </w:rPr>
        <w:t>anterior,</w:t>
      </w:r>
      <w:r>
        <w:rPr>
          <w:spacing w:val="-5"/>
          <w:sz w:val="20"/>
        </w:rPr>
        <w:t> </w:t>
      </w:r>
      <w:r>
        <w:rPr>
          <w:sz w:val="20"/>
        </w:rPr>
        <w:t>el</w:t>
      </w:r>
      <w:r>
        <w:rPr>
          <w:spacing w:val="-4"/>
          <w:sz w:val="20"/>
        </w:rPr>
        <w:t> </w:t>
      </w:r>
      <w:r>
        <w:rPr>
          <w:sz w:val="20"/>
        </w:rPr>
        <w:t>Tribunal procederá a analizar las pretensiones presentadas por la Comisión y los representantes de las víctimas, así como los argumentos del</w:t>
      </w:r>
      <w:r>
        <w:rPr>
          <w:spacing w:val="-23"/>
          <w:sz w:val="20"/>
        </w:rPr>
        <w:t> </w:t>
      </w:r>
      <w:r>
        <w:rPr>
          <w:sz w:val="20"/>
        </w:rPr>
        <w:t>Estado.</w:t>
      </w:r>
    </w:p>
    <w:p>
      <w:pPr>
        <w:pStyle w:val="BodyText"/>
        <w:spacing w:before="1"/>
      </w:pPr>
    </w:p>
    <w:p>
      <w:pPr>
        <w:pStyle w:val="Heading4"/>
        <w:numPr>
          <w:ilvl w:val="1"/>
          <w:numId w:val="37"/>
        </w:numPr>
        <w:tabs>
          <w:tab w:pos="830" w:val="left" w:leader="none"/>
        </w:tabs>
        <w:spacing w:line="240" w:lineRule="auto" w:before="0" w:after="0"/>
        <w:ind w:left="830" w:right="0" w:hanging="425"/>
        <w:jc w:val="left"/>
        <w:rPr>
          <w:i/>
        </w:rPr>
      </w:pPr>
      <w:bookmarkStart w:name="_bookmark85" w:id="142"/>
      <w:bookmarkEnd w:id="142"/>
      <w:r>
        <w:rPr>
          <w:b w:val="0"/>
          <w:i w:val="0"/>
        </w:rPr>
      </w:r>
      <w:bookmarkStart w:name="_bookmark85" w:id="143"/>
      <w:bookmarkEnd w:id="143"/>
      <w:r>
        <w:rPr>
          <w:i/>
          <w:u w:val="thick"/>
        </w:rPr>
        <w:t>P</w:t>
      </w:r>
      <w:r>
        <w:rPr>
          <w:i/>
          <w:u w:val="thick"/>
        </w:rPr>
        <w:t>arte</w:t>
      </w:r>
      <w:r>
        <w:rPr>
          <w:i/>
          <w:spacing w:val="-10"/>
          <w:u w:val="thick"/>
        </w:rPr>
        <w:t> </w:t>
      </w:r>
      <w:r>
        <w:rPr>
          <w:i/>
          <w:u w:val="thick"/>
        </w:rPr>
        <w:t>Lesionada</w:t>
      </w:r>
    </w:p>
    <w:p>
      <w:pPr>
        <w:pStyle w:val="BodyText"/>
        <w:spacing w:before="8"/>
        <w:rPr>
          <w:b/>
          <w:i/>
          <w:sz w:val="11"/>
        </w:rPr>
      </w:pPr>
    </w:p>
    <w:p>
      <w:pPr>
        <w:pStyle w:val="ListParagraph"/>
        <w:numPr>
          <w:ilvl w:val="0"/>
          <w:numId w:val="37"/>
        </w:numPr>
        <w:tabs>
          <w:tab w:pos="830" w:val="left" w:leader="none"/>
        </w:tabs>
        <w:spacing w:line="240" w:lineRule="auto" w:before="100" w:after="0"/>
        <w:ind w:left="122" w:right="124" w:firstLine="0"/>
        <w:jc w:val="both"/>
        <w:rPr>
          <w:sz w:val="20"/>
        </w:rPr>
      </w:pPr>
      <w:r>
        <w:rPr>
          <w:sz w:val="20"/>
        </w:rPr>
        <w:t>Se</w:t>
      </w:r>
      <w:r>
        <w:rPr>
          <w:spacing w:val="-7"/>
          <w:sz w:val="20"/>
        </w:rPr>
        <w:t> </w:t>
      </w:r>
      <w:r>
        <w:rPr>
          <w:sz w:val="20"/>
        </w:rPr>
        <w:t>considera</w:t>
      </w:r>
      <w:r>
        <w:rPr>
          <w:spacing w:val="-6"/>
          <w:sz w:val="20"/>
        </w:rPr>
        <w:t> </w:t>
      </w:r>
      <w:r>
        <w:rPr>
          <w:sz w:val="20"/>
        </w:rPr>
        <w:t>parte</w:t>
      </w:r>
      <w:r>
        <w:rPr>
          <w:spacing w:val="-8"/>
          <w:sz w:val="20"/>
        </w:rPr>
        <w:t> </w:t>
      </w:r>
      <w:r>
        <w:rPr>
          <w:sz w:val="20"/>
        </w:rPr>
        <w:t>lesionada,</w:t>
      </w:r>
      <w:r>
        <w:rPr>
          <w:spacing w:val="-7"/>
          <w:sz w:val="20"/>
        </w:rPr>
        <w:t> </w:t>
      </w:r>
      <w:r>
        <w:rPr>
          <w:sz w:val="20"/>
        </w:rPr>
        <w:t>en</w:t>
      </w:r>
      <w:r>
        <w:rPr>
          <w:spacing w:val="-6"/>
          <w:sz w:val="20"/>
        </w:rPr>
        <w:t> </w:t>
      </w:r>
      <w:r>
        <w:rPr>
          <w:sz w:val="20"/>
        </w:rPr>
        <w:t>los</w:t>
      </w:r>
      <w:r>
        <w:rPr>
          <w:spacing w:val="-7"/>
          <w:sz w:val="20"/>
        </w:rPr>
        <w:t> </w:t>
      </w:r>
      <w:r>
        <w:rPr>
          <w:sz w:val="20"/>
        </w:rPr>
        <w:t>términos</w:t>
      </w:r>
      <w:r>
        <w:rPr>
          <w:spacing w:val="-7"/>
          <w:sz w:val="20"/>
        </w:rPr>
        <w:t> </w:t>
      </w:r>
      <w:r>
        <w:rPr>
          <w:sz w:val="20"/>
        </w:rPr>
        <w:t>del</w:t>
      </w:r>
      <w:r>
        <w:rPr>
          <w:spacing w:val="-6"/>
          <w:sz w:val="20"/>
        </w:rPr>
        <w:t> </w:t>
      </w:r>
      <w:r>
        <w:rPr>
          <w:sz w:val="20"/>
        </w:rPr>
        <w:t>artículo</w:t>
      </w:r>
      <w:r>
        <w:rPr>
          <w:spacing w:val="-8"/>
          <w:sz w:val="20"/>
        </w:rPr>
        <w:t> </w:t>
      </w:r>
      <w:r>
        <w:rPr>
          <w:sz w:val="20"/>
        </w:rPr>
        <w:t>63.1</w:t>
      </w:r>
      <w:r>
        <w:rPr>
          <w:spacing w:val="-7"/>
          <w:sz w:val="20"/>
        </w:rPr>
        <w:t> </w:t>
      </w:r>
      <w:r>
        <w:rPr>
          <w:sz w:val="20"/>
        </w:rPr>
        <w:t>de</w:t>
      </w:r>
      <w:r>
        <w:rPr>
          <w:spacing w:val="-8"/>
          <w:sz w:val="20"/>
        </w:rPr>
        <w:t> </w:t>
      </w:r>
      <w:r>
        <w:rPr>
          <w:sz w:val="20"/>
        </w:rPr>
        <w:t>la</w:t>
      </w:r>
      <w:r>
        <w:rPr>
          <w:spacing w:val="-6"/>
          <w:sz w:val="20"/>
        </w:rPr>
        <w:t> </w:t>
      </w:r>
      <w:r>
        <w:rPr>
          <w:sz w:val="20"/>
        </w:rPr>
        <w:t>Convención, a quien ha sido declarado víctima de la violación de algún derecho reconocido en la misma</w:t>
      </w:r>
      <w:r>
        <w:rPr>
          <w:position w:val="7"/>
          <w:sz w:val="13"/>
        </w:rPr>
        <w:t>315</w:t>
      </w:r>
      <w:r>
        <w:rPr>
          <w:sz w:val="20"/>
        </w:rPr>
        <w:t>. Por lo tanto, de conformidad con lo ya expuesto, esta Corte considera como “parte lesionada” a las 132 comunidades indígenas </w:t>
      </w:r>
      <w:r>
        <w:rPr>
          <w:spacing w:val="2"/>
          <w:sz w:val="20"/>
        </w:rPr>
        <w:t>que </w:t>
      </w:r>
      <w:r>
        <w:rPr>
          <w:sz w:val="20"/>
        </w:rPr>
        <w:t>se identifican en el Anexo V de esta Sentencia, asentadas en el territorio antes identificado como lotes fiscales 14 y 55 e identificado actualmente como lotes con las matrículas catastrales 175 y 5557 del Departamento de Rivadavia, en la Provincia argentina de Salta, en el entendido de que ello</w:t>
      </w:r>
      <w:r>
        <w:rPr>
          <w:spacing w:val="-20"/>
          <w:sz w:val="20"/>
        </w:rPr>
        <w:t> </w:t>
      </w:r>
      <w:r>
        <w:rPr>
          <w:sz w:val="20"/>
        </w:rPr>
        <w:t>abarca</w:t>
      </w:r>
      <w:r>
        <w:rPr>
          <w:spacing w:val="-21"/>
          <w:sz w:val="20"/>
        </w:rPr>
        <w:t> </w:t>
      </w:r>
      <w:r>
        <w:rPr>
          <w:sz w:val="20"/>
        </w:rPr>
        <w:t>a</w:t>
      </w:r>
      <w:r>
        <w:rPr>
          <w:spacing w:val="-19"/>
          <w:sz w:val="20"/>
        </w:rPr>
        <w:t> </w:t>
      </w:r>
      <w:r>
        <w:rPr>
          <w:sz w:val="20"/>
        </w:rPr>
        <w:t>las</w:t>
      </w:r>
      <w:r>
        <w:rPr>
          <w:spacing w:val="-19"/>
          <w:sz w:val="20"/>
        </w:rPr>
        <w:t> </w:t>
      </w:r>
      <w:r>
        <w:rPr>
          <w:sz w:val="20"/>
        </w:rPr>
        <w:t>comunidades</w:t>
      </w:r>
      <w:r>
        <w:rPr>
          <w:spacing w:val="-19"/>
          <w:sz w:val="20"/>
        </w:rPr>
        <w:t> </w:t>
      </w:r>
      <w:r>
        <w:rPr>
          <w:sz w:val="20"/>
        </w:rPr>
        <w:t>que,</w:t>
      </w:r>
      <w:r>
        <w:rPr>
          <w:spacing w:val="-19"/>
          <w:sz w:val="20"/>
        </w:rPr>
        <w:t> </w:t>
      </w:r>
      <w:r>
        <w:rPr>
          <w:sz w:val="20"/>
        </w:rPr>
        <w:t>aumentando</w:t>
      </w:r>
      <w:r>
        <w:rPr>
          <w:spacing w:val="-20"/>
          <w:sz w:val="20"/>
        </w:rPr>
        <w:t> </w:t>
      </w:r>
      <w:r>
        <w:rPr>
          <w:sz w:val="20"/>
        </w:rPr>
        <w:t>o</w:t>
      </w:r>
      <w:r>
        <w:rPr>
          <w:spacing w:val="-20"/>
          <w:sz w:val="20"/>
        </w:rPr>
        <w:t> </w:t>
      </w:r>
      <w:r>
        <w:rPr>
          <w:sz w:val="20"/>
        </w:rPr>
        <w:t>disminuyendo</w:t>
      </w:r>
      <w:r>
        <w:rPr>
          <w:spacing w:val="-20"/>
          <w:sz w:val="20"/>
        </w:rPr>
        <w:t> </w:t>
      </w:r>
      <w:r>
        <w:rPr>
          <w:sz w:val="20"/>
        </w:rPr>
        <w:t>el</w:t>
      </w:r>
      <w:r>
        <w:rPr>
          <w:spacing w:val="-21"/>
          <w:sz w:val="20"/>
        </w:rPr>
        <w:t> </w:t>
      </w:r>
      <w:r>
        <w:rPr>
          <w:sz w:val="20"/>
        </w:rPr>
        <w:t>número</w:t>
      </w:r>
      <w:r>
        <w:rPr>
          <w:spacing w:val="-22"/>
          <w:sz w:val="20"/>
        </w:rPr>
        <w:t> </w:t>
      </w:r>
      <w:r>
        <w:rPr>
          <w:sz w:val="20"/>
        </w:rPr>
        <w:t>total,</w:t>
      </w:r>
      <w:r>
        <w:rPr>
          <w:spacing w:val="-19"/>
          <w:sz w:val="20"/>
        </w:rPr>
        <w:t> </w:t>
      </w:r>
      <w:r>
        <w:rPr>
          <w:sz w:val="20"/>
        </w:rPr>
        <w:t>puedan derivarse</w:t>
      </w:r>
      <w:r>
        <w:rPr>
          <w:spacing w:val="-21"/>
          <w:sz w:val="20"/>
        </w:rPr>
        <w:t> </w:t>
      </w:r>
      <w:r>
        <w:rPr>
          <w:sz w:val="20"/>
        </w:rPr>
        <w:t>de</w:t>
      </w:r>
      <w:r>
        <w:rPr>
          <w:spacing w:val="-19"/>
          <w:sz w:val="20"/>
        </w:rPr>
        <w:t> </w:t>
      </w:r>
      <w:r>
        <w:rPr>
          <w:sz w:val="20"/>
        </w:rPr>
        <w:t>esas</w:t>
      </w:r>
      <w:r>
        <w:rPr>
          <w:spacing w:val="-21"/>
          <w:sz w:val="20"/>
        </w:rPr>
        <w:t> </w:t>
      </w:r>
      <w:r>
        <w:rPr>
          <w:sz w:val="20"/>
        </w:rPr>
        <w:t>132</w:t>
      </w:r>
      <w:r>
        <w:rPr>
          <w:spacing w:val="-17"/>
          <w:sz w:val="20"/>
        </w:rPr>
        <w:t> </w:t>
      </w:r>
      <w:r>
        <w:rPr>
          <w:sz w:val="20"/>
        </w:rPr>
        <w:t>por</w:t>
      </w:r>
      <w:r>
        <w:rPr>
          <w:spacing w:val="-19"/>
          <w:sz w:val="20"/>
        </w:rPr>
        <w:t> </w:t>
      </w:r>
      <w:r>
        <w:rPr>
          <w:sz w:val="20"/>
        </w:rPr>
        <w:t>acción</w:t>
      </w:r>
      <w:r>
        <w:rPr>
          <w:spacing w:val="-19"/>
          <w:sz w:val="20"/>
        </w:rPr>
        <w:t> </w:t>
      </w:r>
      <w:r>
        <w:rPr>
          <w:sz w:val="20"/>
        </w:rPr>
        <w:t>del</w:t>
      </w:r>
      <w:r>
        <w:rPr>
          <w:spacing w:val="-19"/>
          <w:sz w:val="20"/>
        </w:rPr>
        <w:t> </w:t>
      </w:r>
      <w:r>
        <w:rPr>
          <w:sz w:val="20"/>
        </w:rPr>
        <w:t>proceso</w:t>
      </w:r>
      <w:r>
        <w:rPr>
          <w:spacing w:val="-21"/>
          <w:sz w:val="20"/>
        </w:rPr>
        <w:t> </w:t>
      </w:r>
      <w:r>
        <w:rPr>
          <w:sz w:val="20"/>
        </w:rPr>
        <w:t>de</w:t>
      </w:r>
      <w:r>
        <w:rPr>
          <w:spacing w:val="-19"/>
          <w:sz w:val="20"/>
        </w:rPr>
        <w:t> </w:t>
      </w:r>
      <w:r>
        <w:rPr>
          <w:sz w:val="20"/>
        </w:rPr>
        <w:t>“fisión-fusión”</w:t>
      </w:r>
      <w:r>
        <w:rPr>
          <w:spacing w:val="-18"/>
          <w:sz w:val="20"/>
        </w:rPr>
        <w:t> </w:t>
      </w:r>
      <w:r>
        <w:rPr>
          <w:sz w:val="20"/>
        </w:rPr>
        <w:t>referido</w:t>
      </w:r>
      <w:r>
        <w:rPr>
          <w:spacing w:val="-19"/>
          <w:sz w:val="20"/>
        </w:rPr>
        <w:t> </w:t>
      </w:r>
      <w:r>
        <w:rPr>
          <w:sz w:val="20"/>
        </w:rPr>
        <w:t>en</w:t>
      </w:r>
      <w:r>
        <w:rPr>
          <w:spacing w:val="-19"/>
          <w:sz w:val="20"/>
        </w:rPr>
        <w:t> </w:t>
      </w:r>
      <w:r>
        <w:rPr>
          <w:sz w:val="20"/>
        </w:rPr>
        <w:t>esta</w:t>
      </w:r>
      <w:r>
        <w:rPr>
          <w:spacing w:val="-20"/>
          <w:sz w:val="20"/>
        </w:rPr>
        <w:t> </w:t>
      </w:r>
      <w:r>
        <w:rPr>
          <w:sz w:val="20"/>
        </w:rPr>
        <w:t>Sentencia (</w:t>
      </w:r>
      <w:r>
        <w:rPr>
          <w:i/>
          <w:sz w:val="20"/>
        </w:rPr>
        <w:t>supra </w:t>
      </w:r>
      <w:r>
        <w:rPr>
          <w:sz w:val="20"/>
        </w:rPr>
        <w:t>párrs. 33, 35, 50 y 156 y notas a pie de página 22 y</w:t>
      </w:r>
      <w:r>
        <w:rPr>
          <w:spacing w:val="-18"/>
          <w:sz w:val="20"/>
        </w:rPr>
        <w:t> </w:t>
      </w:r>
      <w:r>
        <w:rPr>
          <w:sz w:val="20"/>
        </w:rPr>
        <w:t>23).</w:t>
      </w:r>
    </w:p>
    <w:p>
      <w:pPr>
        <w:pStyle w:val="BodyText"/>
        <w:spacing w:before="11"/>
        <w:rPr>
          <w:sz w:val="19"/>
        </w:rPr>
      </w:pPr>
    </w:p>
    <w:p>
      <w:pPr>
        <w:pStyle w:val="Heading4"/>
        <w:numPr>
          <w:ilvl w:val="0"/>
          <w:numId w:val="38"/>
        </w:numPr>
        <w:tabs>
          <w:tab w:pos="830" w:val="left" w:leader="none"/>
        </w:tabs>
        <w:spacing w:line="240" w:lineRule="auto" w:before="0" w:after="0"/>
        <w:ind w:left="830" w:right="0" w:hanging="425"/>
        <w:jc w:val="left"/>
        <w:rPr>
          <w:i/>
        </w:rPr>
      </w:pPr>
      <w:bookmarkStart w:name="_bookmark86" w:id="144"/>
      <w:bookmarkEnd w:id="144"/>
      <w:r>
        <w:rPr>
          <w:b w:val="0"/>
          <w:i w:val="0"/>
        </w:rPr>
      </w:r>
      <w:bookmarkStart w:name="_bookmark86" w:id="145"/>
      <w:bookmarkEnd w:id="145"/>
      <w:r>
        <w:rPr>
          <w:i/>
          <w:u w:val="thick"/>
        </w:rPr>
        <w:t>M</w:t>
      </w:r>
      <w:r>
        <w:rPr>
          <w:i/>
          <w:u w:val="thick"/>
        </w:rPr>
        <w:t>edidas de</w:t>
      </w:r>
      <w:r>
        <w:rPr>
          <w:i/>
          <w:spacing w:val="-7"/>
          <w:u w:val="thick"/>
        </w:rPr>
        <w:t> </w:t>
      </w:r>
      <w:r>
        <w:rPr>
          <w:i/>
          <w:u w:val="thick"/>
        </w:rPr>
        <w:t>restitución</w:t>
      </w:r>
    </w:p>
    <w:p>
      <w:pPr>
        <w:pStyle w:val="BodyText"/>
        <w:spacing w:before="10"/>
        <w:rPr>
          <w:b/>
          <w:i/>
          <w:sz w:val="11"/>
        </w:rPr>
      </w:pPr>
    </w:p>
    <w:p>
      <w:pPr>
        <w:pStyle w:val="ListParagraph"/>
        <w:numPr>
          <w:ilvl w:val="0"/>
          <w:numId w:val="37"/>
        </w:numPr>
        <w:tabs>
          <w:tab w:pos="830" w:val="left" w:leader="none"/>
        </w:tabs>
        <w:spacing w:line="240" w:lineRule="auto" w:before="100" w:after="0"/>
        <w:ind w:left="122" w:right="124" w:firstLine="0"/>
        <w:jc w:val="both"/>
        <w:rPr>
          <w:sz w:val="20"/>
        </w:rPr>
      </w:pPr>
      <w:r>
        <w:rPr>
          <w:sz w:val="20"/>
        </w:rPr>
        <w:t>La </w:t>
      </w:r>
      <w:r>
        <w:rPr>
          <w:b/>
          <w:i/>
          <w:sz w:val="20"/>
        </w:rPr>
        <w:t>Comisión </w:t>
      </w:r>
      <w:r>
        <w:rPr>
          <w:sz w:val="20"/>
        </w:rPr>
        <w:t>señaló, al someter el caso a la Corte, como medida de reparación pertinente</w:t>
      </w:r>
      <w:r>
        <w:rPr>
          <w:spacing w:val="-9"/>
          <w:sz w:val="20"/>
        </w:rPr>
        <w:t> </w:t>
      </w:r>
      <w:r>
        <w:rPr>
          <w:sz w:val="20"/>
        </w:rPr>
        <w:t>“concluir</w:t>
      </w:r>
      <w:r>
        <w:rPr>
          <w:spacing w:val="-9"/>
          <w:sz w:val="20"/>
        </w:rPr>
        <w:t> </w:t>
      </w:r>
      <w:r>
        <w:rPr>
          <w:sz w:val="20"/>
        </w:rPr>
        <w:t>el</w:t>
      </w:r>
      <w:r>
        <w:rPr>
          <w:spacing w:val="-10"/>
          <w:sz w:val="20"/>
        </w:rPr>
        <w:t> </w:t>
      </w:r>
      <w:r>
        <w:rPr>
          <w:sz w:val="20"/>
        </w:rPr>
        <w:t>proceso</w:t>
      </w:r>
      <w:r>
        <w:rPr>
          <w:spacing w:val="-8"/>
          <w:sz w:val="20"/>
        </w:rPr>
        <w:t> </w:t>
      </w:r>
      <w:r>
        <w:rPr>
          <w:sz w:val="20"/>
        </w:rPr>
        <w:t>[que</w:t>
      </w:r>
      <w:r>
        <w:rPr>
          <w:spacing w:val="-9"/>
          <w:sz w:val="20"/>
        </w:rPr>
        <w:t> </w:t>
      </w:r>
      <w:r>
        <w:rPr>
          <w:sz w:val="20"/>
        </w:rPr>
        <w:t>se</w:t>
      </w:r>
      <w:r>
        <w:rPr>
          <w:spacing w:val="-12"/>
          <w:sz w:val="20"/>
        </w:rPr>
        <w:t> </w:t>
      </w:r>
      <w:r>
        <w:rPr>
          <w:sz w:val="20"/>
        </w:rPr>
        <w:t>ha]</w:t>
      </w:r>
      <w:r>
        <w:rPr>
          <w:spacing w:val="-8"/>
          <w:sz w:val="20"/>
        </w:rPr>
        <w:t> </w:t>
      </w:r>
      <w:r>
        <w:rPr>
          <w:sz w:val="20"/>
        </w:rPr>
        <w:t>llevado</w:t>
      </w:r>
      <w:r>
        <w:rPr>
          <w:spacing w:val="-11"/>
          <w:sz w:val="20"/>
        </w:rPr>
        <w:t> </w:t>
      </w:r>
      <w:r>
        <w:rPr>
          <w:sz w:val="20"/>
        </w:rPr>
        <w:t>a</w:t>
      </w:r>
      <w:r>
        <w:rPr>
          <w:spacing w:val="-10"/>
          <w:sz w:val="20"/>
        </w:rPr>
        <w:t> </w:t>
      </w:r>
      <w:r>
        <w:rPr>
          <w:sz w:val="20"/>
        </w:rPr>
        <w:t>cabo”</w:t>
      </w:r>
      <w:r>
        <w:rPr>
          <w:spacing w:val="-8"/>
          <w:sz w:val="20"/>
        </w:rPr>
        <w:t> </w:t>
      </w:r>
      <w:r>
        <w:rPr>
          <w:sz w:val="20"/>
        </w:rPr>
        <w:t>en</w:t>
      </w:r>
      <w:r>
        <w:rPr>
          <w:spacing w:val="-9"/>
          <w:sz w:val="20"/>
        </w:rPr>
        <w:t> </w:t>
      </w:r>
      <w:r>
        <w:rPr>
          <w:sz w:val="20"/>
        </w:rPr>
        <w:t>los</w:t>
      </w:r>
      <w:r>
        <w:rPr>
          <w:spacing w:val="-11"/>
          <w:sz w:val="20"/>
        </w:rPr>
        <w:t> </w:t>
      </w:r>
      <w:r>
        <w:rPr>
          <w:sz w:val="20"/>
        </w:rPr>
        <w:t>lotes</w:t>
      </w:r>
      <w:r>
        <w:rPr>
          <w:spacing w:val="-11"/>
          <w:sz w:val="20"/>
        </w:rPr>
        <w:t> </w:t>
      </w:r>
      <w:r>
        <w:rPr>
          <w:sz w:val="20"/>
        </w:rPr>
        <w:t>14</w:t>
      </w:r>
      <w:r>
        <w:rPr>
          <w:spacing w:val="-10"/>
          <w:sz w:val="20"/>
        </w:rPr>
        <w:t> </w:t>
      </w:r>
      <w:r>
        <w:rPr>
          <w:sz w:val="20"/>
        </w:rPr>
        <w:t>y</w:t>
      </w:r>
      <w:r>
        <w:rPr>
          <w:spacing w:val="-11"/>
          <w:sz w:val="20"/>
        </w:rPr>
        <w:t> </w:t>
      </w:r>
      <w:r>
        <w:rPr>
          <w:sz w:val="20"/>
        </w:rPr>
        <w:t>55.</w:t>
      </w:r>
      <w:r>
        <w:rPr>
          <w:spacing w:val="-11"/>
          <w:sz w:val="20"/>
        </w:rPr>
        <w:t> </w:t>
      </w:r>
      <w:r>
        <w:rPr>
          <w:sz w:val="20"/>
        </w:rPr>
        <w:t>Después especificó que entiende que corresponde que se ordene la </w:t>
      </w:r>
      <w:r>
        <w:rPr>
          <w:i/>
          <w:sz w:val="20"/>
        </w:rPr>
        <w:t>titulación, delimitación, </w:t>
      </w:r>
      <w:r>
        <w:rPr>
          <w:i/>
          <w:sz w:val="20"/>
        </w:rPr>
        <w:t>demarcación </w:t>
      </w:r>
      <w:r>
        <w:rPr>
          <w:sz w:val="20"/>
        </w:rPr>
        <w:t>y </w:t>
      </w:r>
      <w:r>
        <w:rPr>
          <w:i/>
          <w:sz w:val="20"/>
        </w:rPr>
        <w:t>saneamiento </w:t>
      </w:r>
      <w:r>
        <w:rPr>
          <w:sz w:val="20"/>
        </w:rPr>
        <w:t>de la totalidad del territorio indígena. Solicitó también a la Corte que ordene al Estado disponer de los recursos humanos y financieros necesarios para la </w:t>
      </w:r>
      <w:r>
        <w:rPr>
          <w:i/>
          <w:sz w:val="20"/>
        </w:rPr>
        <w:t>reubicación de las familias criollas</w:t>
      </w:r>
      <w:r>
        <w:rPr>
          <w:sz w:val="20"/>
        </w:rPr>
        <w:t>. Entendió que una fijación concreta de plazos favorecería el cumplimiento de la</w:t>
      </w:r>
      <w:r>
        <w:rPr>
          <w:spacing w:val="-21"/>
          <w:sz w:val="20"/>
        </w:rPr>
        <w:t> </w:t>
      </w:r>
      <w:r>
        <w:rPr>
          <w:sz w:val="20"/>
        </w:rPr>
        <w:t>Sentencia.</w:t>
      </w:r>
    </w:p>
    <w:p>
      <w:pPr>
        <w:pStyle w:val="BodyText"/>
        <w:spacing w:before="10"/>
        <w:rPr>
          <w:sz w:val="19"/>
        </w:rPr>
      </w:pPr>
    </w:p>
    <w:p>
      <w:pPr>
        <w:pStyle w:val="ListParagraph"/>
        <w:numPr>
          <w:ilvl w:val="0"/>
          <w:numId w:val="37"/>
        </w:numPr>
        <w:tabs>
          <w:tab w:pos="830" w:val="left" w:leader="none"/>
        </w:tabs>
        <w:spacing w:line="240" w:lineRule="auto" w:before="0" w:after="0"/>
        <w:ind w:left="122" w:right="125" w:firstLine="0"/>
        <w:jc w:val="both"/>
        <w:rPr>
          <w:sz w:val="20"/>
        </w:rPr>
      </w:pPr>
      <w:r>
        <w:rPr>
          <w:sz w:val="20"/>
        </w:rPr>
        <w:t>Los</w:t>
      </w:r>
      <w:r>
        <w:rPr>
          <w:spacing w:val="-18"/>
          <w:sz w:val="20"/>
        </w:rPr>
        <w:t> </w:t>
      </w:r>
      <w:r>
        <w:rPr>
          <w:b/>
          <w:i/>
          <w:sz w:val="20"/>
        </w:rPr>
        <w:t>representantes</w:t>
      </w:r>
      <w:r>
        <w:rPr>
          <w:b/>
          <w:i/>
          <w:spacing w:val="-16"/>
          <w:sz w:val="20"/>
        </w:rPr>
        <w:t> </w:t>
      </w:r>
      <w:r>
        <w:rPr>
          <w:sz w:val="20"/>
        </w:rPr>
        <w:t>solicitaron</w:t>
      </w:r>
      <w:r>
        <w:rPr>
          <w:spacing w:val="-18"/>
          <w:sz w:val="20"/>
        </w:rPr>
        <w:t> </w:t>
      </w:r>
      <w:r>
        <w:rPr>
          <w:sz w:val="20"/>
        </w:rPr>
        <w:t>que</w:t>
      </w:r>
      <w:r>
        <w:rPr>
          <w:spacing w:val="-21"/>
          <w:sz w:val="20"/>
        </w:rPr>
        <w:t> </w:t>
      </w:r>
      <w:r>
        <w:rPr>
          <w:sz w:val="20"/>
        </w:rPr>
        <w:t>se</w:t>
      </w:r>
      <w:r>
        <w:rPr>
          <w:spacing w:val="-19"/>
          <w:sz w:val="20"/>
        </w:rPr>
        <w:t> </w:t>
      </w:r>
      <w:r>
        <w:rPr>
          <w:sz w:val="20"/>
        </w:rPr>
        <w:t>ordene</w:t>
      </w:r>
      <w:r>
        <w:rPr>
          <w:spacing w:val="-19"/>
          <w:sz w:val="20"/>
        </w:rPr>
        <w:t> </w:t>
      </w:r>
      <w:r>
        <w:rPr>
          <w:sz w:val="20"/>
        </w:rPr>
        <w:t>al</w:t>
      </w:r>
      <w:r>
        <w:rPr>
          <w:spacing w:val="-18"/>
          <w:sz w:val="20"/>
        </w:rPr>
        <w:t> </w:t>
      </w:r>
      <w:r>
        <w:rPr>
          <w:sz w:val="20"/>
        </w:rPr>
        <w:t>Estado:</w:t>
      </w:r>
      <w:r>
        <w:rPr>
          <w:spacing w:val="-19"/>
          <w:sz w:val="20"/>
        </w:rPr>
        <w:t> </w:t>
      </w:r>
      <w:r>
        <w:rPr>
          <w:sz w:val="20"/>
        </w:rPr>
        <w:t>a)</w:t>
      </w:r>
      <w:r>
        <w:rPr>
          <w:spacing w:val="-18"/>
          <w:sz w:val="20"/>
        </w:rPr>
        <w:t> </w:t>
      </w:r>
      <w:r>
        <w:rPr>
          <w:sz w:val="20"/>
        </w:rPr>
        <w:t>en</w:t>
      </w:r>
      <w:r>
        <w:rPr>
          <w:spacing w:val="-19"/>
          <w:sz w:val="20"/>
        </w:rPr>
        <w:t> </w:t>
      </w:r>
      <w:r>
        <w:rPr>
          <w:sz w:val="20"/>
        </w:rPr>
        <w:t>un</w:t>
      </w:r>
      <w:r>
        <w:rPr>
          <w:spacing w:val="-19"/>
          <w:sz w:val="20"/>
        </w:rPr>
        <w:t> </w:t>
      </w:r>
      <w:r>
        <w:rPr>
          <w:sz w:val="20"/>
        </w:rPr>
        <w:t>plazo</w:t>
      </w:r>
      <w:r>
        <w:rPr>
          <w:spacing w:val="-19"/>
          <w:sz w:val="20"/>
        </w:rPr>
        <w:t> </w:t>
      </w:r>
      <w:r>
        <w:rPr>
          <w:sz w:val="20"/>
        </w:rPr>
        <w:t>no</w:t>
      </w:r>
      <w:r>
        <w:rPr>
          <w:spacing w:val="-21"/>
          <w:sz w:val="20"/>
        </w:rPr>
        <w:t> </w:t>
      </w:r>
      <w:r>
        <w:rPr>
          <w:sz w:val="20"/>
        </w:rPr>
        <w:t>mayor a seis meses, i) la </w:t>
      </w:r>
      <w:r>
        <w:rPr>
          <w:i/>
          <w:sz w:val="20"/>
        </w:rPr>
        <w:t>titulación, delimitación y demarcación </w:t>
      </w:r>
      <w:r>
        <w:rPr>
          <w:sz w:val="20"/>
        </w:rPr>
        <w:t>de 400.000 ha reclamadas dentro</w:t>
      </w:r>
      <w:r>
        <w:rPr>
          <w:spacing w:val="-16"/>
          <w:sz w:val="20"/>
        </w:rPr>
        <w:t> </w:t>
      </w:r>
      <w:r>
        <w:rPr>
          <w:sz w:val="20"/>
        </w:rPr>
        <w:t>de</w:t>
      </w:r>
      <w:r>
        <w:rPr>
          <w:spacing w:val="-19"/>
          <w:sz w:val="20"/>
        </w:rPr>
        <w:t> </w:t>
      </w:r>
      <w:r>
        <w:rPr>
          <w:sz w:val="20"/>
        </w:rPr>
        <w:t>los</w:t>
      </w:r>
      <w:r>
        <w:rPr>
          <w:spacing w:val="-16"/>
          <w:sz w:val="20"/>
        </w:rPr>
        <w:t> </w:t>
      </w:r>
      <w:r>
        <w:rPr>
          <w:sz w:val="20"/>
        </w:rPr>
        <w:t>lotes</w:t>
      </w:r>
      <w:r>
        <w:rPr>
          <w:spacing w:val="-16"/>
          <w:sz w:val="20"/>
        </w:rPr>
        <w:t> </w:t>
      </w:r>
      <w:r>
        <w:rPr>
          <w:sz w:val="20"/>
        </w:rPr>
        <w:t>14</w:t>
      </w:r>
      <w:r>
        <w:rPr>
          <w:spacing w:val="-14"/>
          <w:sz w:val="20"/>
        </w:rPr>
        <w:t> </w:t>
      </w:r>
      <w:r>
        <w:rPr>
          <w:sz w:val="20"/>
        </w:rPr>
        <w:t>y</w:t>
      </w:r>
      <w:r>
        <w:rPr>
          <w:spacing w:val="-13"/>
          <w:sz w:val="20"/>
        </w:rPr>
        <w:t> </w:t>
      </w:r>
      <w:r>
        <w:rPr>
          <w:sz w:val="20"/>
        </w:rPr>
        <w:t>55</w:t>
      </w:r>
      <w:r>
        <w:rPr>
          <w:spacing w:val="-17"/>
          <w:sz w:val="20"/>
        </w:rPr>
        <w:t> </w:t>
      </w:r>
      <w:r>
        <w:rPr>
          <w:sz w:val="20"/>
        </w:rPr>
        <w:t>en</w:t>
      </w:r>
      <w:r>
        <w:rPr>
          <w:spacing w:val="-14"/>
          <w:sz w:val="20"/>
        </w:rPr>
        <w:t> </w:t>
      </w:r>
      <w:r>
        <w:rPr>
          <w:sz w:val="20"/>
        </w:rPr>
        <w:t>un</w:t>
      </w:r>
      <w:r>
        <w:rPr>
          <w:spacing w:val="-17"/>
          <w:sz w:val="20"/>
        </w:rPr>
        <w:t> </w:t>
      </w:r>
      <w:r>
        <w:rPr>
          <w:sz w:val="20"/>
        </w:rPr>
        <w:t>solo</w:t>
      </w:r>
      <w:r>
        <w:rPr>
          <w:spacing w:val="-19"/>
          <w:sz w:val="20"/>
        </w:rPr>
        <w:t> </w:t>
      </w:r>
      <w:r>
        <w:rPr>
          <w:sz w:val="20"/>
        </w:rPr>
        <w:t>título</w:t>
      </w:r>
      <w:r>
        <w:rPr>
          <w:spacing w:val="-16"/>
          <w:sz w:val="20"/>
        </w:rPr>
        <w:t> </w:t>
      </w:r>
      <w:r>
        <w:rPr>
          <w:sz w:val="20"/>
        </w:rPr>
        <w:t>colectivo</w:t>
      </w:r>
      <w:r>
        <w:rPr>
          <w:spacing w:val="-17"/>
          <w:sz w:val="20"/>
        </w:rPr>
        <w:t> </w:t>
      </w:r>
      <w:r>
        <w:rPr>
          <w:sz w:val="20"/>
        </w:rPr>
        <w:t>a</w:t>
      </w:r>
      <w:r>
        <w:rPr>
          <w:spacing w:val="-15"/>
          <w:sz w:val="20"/>
        </w:rPr>
        <w:t> </w:t>
      </w:r>
      <w:r>
        <w:rPr>
          <w:sz w:val="20"/>
        </w:rPr>
        <w:t>nombre</w:t>
      </w:r>
      <w:r>
        <w:rPr>
          <w:spacing w:val="-17"/>
          <w:sz w:val="20"/>
        </w:rPr>
        <w:t> </w:t>
      </w:r>
      <w:r>
        <w:rPr>
          <w:sz w:val="20"/>
        </w:rPr>
        <w:t>de</w:t>
      </w:r>
      <w:r>
        <w:rPr>
          <w:spacing w:val="-17"/>
          <w:sz w:val="20"/>
        </w:rPr>
        <w:t> </w:t>
      </w:r>
      <w:r>
        <w:rPr>
          <w:sz w:val="20"/>
        </w:rPr>
        <w:t>todas</w:t>
      </w:r>
      <w:r>
        <w:rPr>
          <w:spacing w:val="-13"/>
          <w:sz w:val="20"/>
        </w:rPr>
        <w:t> </w:t>
      </w:r>
      <w:r>
        <w:rPr>
          <w:sz w:val="20"/>
        </w:rPr>
        <w:t>las</w:t>
      </w:r>
      <w:r>
        <w:rPr>
          <w:spacing w:val="-16"/>
          <w:sz w:val="20"/>
        </w:rPr>
        <w:t> </w:t>
      </w:r>
      <w:r>
        <w:rPr>
          <w:sz w:val="20"/>
        </w:rPr>
        <w:t>comunidades indígenas</w:t>
      </w:r>
      <w:r>
        <w:rPr>
          <w:spacing w:val="-13"/>
          <w:sz w:val="20"/>
        </w:rPr>
        <w:t> </w:t>
      </w:r>
      <w:r>
        <w:rPr>
          <w:sz w:val="20"/>
        </w:rPr>
        <w:t>habitantes</w:t>
      </w:r>
      <w:r>
        <w:rPr>
          <w:spacing w:val="-13"/>
          <w:sz w:val="20"/>
        </w:rPr>
        <w:t> </w:t>
      </w:r>
      <w:r>
        <w:rPr>
          <w:sz w:val="20"/>
        </w:rPr>
        <w:t>de</w:t>
      </w:r>
      <w:r>
        <w:rPr>
          <w:spacing w:val="-12"/>
          <w:sz w:val="20"/>
        </w:rPr>
        <w:t> </w:t>
      </w:r>
      <w:r>
        <w:rPr>
          <w:sz w:val="20"/>
        </w:rPr>
        <w:t>dichos</w:t>
      </w:r>
      <w:r>
        <w:rPr>
          <w:spacing w:val="-14"/>
          <w:sz w:val="20"/>
        </w:rPr>
        <w:t> </w:t>
      </w:r>
      <w:r>
        <w:rPr>
          <w:sz w:val="20"/>
        </w:rPr>
        <w:t>lotes;</w:t>
      </w:r>
      <w:r>
        <w:rPr>
          <w:spacing w:val="-13"/>
          <w:sz w:val="20"/>
        </w:rPr>
        <w:t> </w:t>
      </w:r>
      <w:r>
        <w:rPr>
          <w:sz w:val="20"/>
        </w:rPr>
        <w:t>ii)</w:t>
      </w:r>
      <w:r>
        <w:rPr>
          <w:spacing w:val="-9"/>
          <w:sz w:val="20"/>
        </w:rPr>
        <w:t> </w:t>
      </w:r>
      <w:r>
        <w:rPr>
          <w:sz w:val="20"/>
        </w:rPr>
        <w:t>la</w:t>
      </w:r>
      <w:r>
        <w:rPr>
          <w:spacing w:val="-12"/>
          <w:sz w:val="20"/>
        </w:rPr>
        <w:t> </w:t>
      </w:r>
      <w:r>
        <w:rPr>
          <w:sz w:val="20"/>
        </w:rPr>
        <w:t>erradicación</w:t>
      </w:r>
      <w:r>
        <w:rPr>
          <w:spacing w:val="-12"/>
          <w:sz w:val="20"/>
        </w:rPr>
        <w:t> </w:t>
      </w:r>
      <w:r>
        <w:rPr>
          <w:sz w:val="20"/>
        </w:rPr>
        <w:t>de</w:t>
      </w:r>
      <w:r>
        <w:rPr>
          <w:spacing w:val="-14"/>
          <w:sz w:val="20"/>
        </w:rPr>
        <w:t> </w:t>
      </w:r>
      <w:r>
        <w:rPr>
          <w:sz w:val="20"/>
        </w:rPr>
        <w:t>la</w:t>
      </w:r>
      <w:r>
        <w:rPr>
          <w:spacing w:val="-12"/>
          <w:sz w:val="20"/>
        </w:rPr>
        <w:t> </w:t>
      </w:r>
      <w:r>
        <w:rPr>
          <w:sz w:val="20"/>
        </w:rPr>
        <w:t>totalidad</w:t>
      </w:r>
      <w:r>
        <w:rPr>
          <w:spacing w:val="-12"/>
          <w:sz w:val="20"/>
        </w:rPr>
        <w:t> </w:t>
      </w:r>
      <w:r>
        <w:rPr>
          <w:sz w:val="20"/>
        </w:rPr>
        <w:t>de</w:t>
      </w:r>
      <w:r>
        <w:rPr>
          <w:spacing w:val="-12"/>
          <w:sz w:val="20"/>
        </w:rPr>
        <w:t> </w:t>
      </w:r>
      <w:r>
        <w:rPr>
          <w:sz w:val="20"/>
        </w:rPr>
        <w:t>los</w:t>
      </w:r>
      <w:r>
        <w:rPr>
          <w:spacing w:val="-10"/>
          <w:sz w:val="20"/>
        </w:rPr>
        <w:t> </w:t>
      </w:r>
      <w:r>
        <w:rPr>
          <w:i/>
          <w:sz w:val="20"/>
        </w:rPr>
        <w:t>alambrados </w:t>
      </w:r>
      <w:r>
        <w:rPr>
          <w:sz w:val="20"/>
        </w:rPr>
        <w:t>y</w:t>
      </w:r>
      <w:r>
        <w:rPr>
          <w:spacing w:val="-18"/>
          <w:sz w:val="20"/>
        </w:rPr>
        <w:t> </w:t>
      </w:r>
      <w:r>
        <w:rPr>
          <w:sz w:val="20"/>
        </w:rPr>
        <w:t>que</w:t>
      </w:r>
      <w:r>
        <w:rPr>
          <w:spacing w:val="-17"/>
          <w:sz w:val="20"/>
        </w:rPr>
        <w:t> </w:t>
      </w:r>
      <w:r>
        <w:rPr>
          <w:sz w:val="20"/>
        </w:rPr>
        <w:t>se</w:t>
      </w:r>
      <w:r>
        <w:rPr>
          <w:spacing w:val="-17"/>
          <w:sz w:val="20"/>
        </w:rPr>
        <w:t> </w:t>
      </w:r>
      <w:r>
        <w:rPr>
          <w:sz w:val="20"/>
        </w:rPr>
        <w:t>tomen</w:t>
      </w:r>
      <w:r>
        <w:rPr>
          <w:spacing w:val="-17"/>
          <w:sz w:val="20"/>
        </w:rPr>
        <w:t> </w:t>
      </w:r>
      <w:r>
        <w:rPr>
          <w:sz w:val="20"/>
        </w:rPr>
        <w:t>las</w:t>
      </w:r>
      <w:r>
        <w:rPr>
          <w:spacing w:val="-18"/>
          <w:sz w:val="20"/>
        </w:rPr>
        <w:t> </w:t>
      </w:r>
      <w:r>
        <w:rPr>
          <w:sz w:val="20"/>
        </w:rPr>
        <w:t>medidas</w:t>
      </w:r>
      <w:r>
        <w:rPr>
          <w:spacing w:val="-18"/>
          <w:sz w:val="20"/>
        </w:rPr>
        <w:t> </w:t>
      </w:r>
      <w:r>
        <w:rPr>
          <w:sz w:val="20"/>
        </w:rPr>
        <w:t>necesarias</w:t>
      </w:r>
      <w:r>
        <w:rPr>
          <w:spacing w:val="-16"/>
          <w:sz w:val="20"/>
        </w:rPr>
        <w:t> </w:t>
      </w:r>
      <w:r>
        <w:rPr>
          <w:sz w:val="20"/>
        </w:rPr>
        <w:t>para</w:t>
      </w:r>
      <w:r>
        <w:rPr>
          <w:spacing w:val="-15"/>
          <w:sz w:val="20"/>
        </w:rPr>
        <w:t> </w:t>
      </w:r>
      <w:r>
        <w:rPr>
          <w:sz w:val="20"/>
        </w:rPr>
        <w:t>prevenir</w:t>
      </w:r>
      <w:r>
        <w:rPr>
          <w:spacing w:val="-16"/>
          <w:sz w:val="20"/>
        </w:rPr>
        <w:t> </w:t>
      </w:r>
      <w:r>
        <w:rPr>
          <w:sz w:val="20"/>
        </w:rPr>
        <w:t>el</w:t>
      </w:r>
      <w:r>
        <w:rPr>
          <w:spacing w:val="-15"/>
          <w:sz w:val="20"/>
        </w:rPr>
        <w:t> </w:t>
      </w:r>
      <w:r>
        <w:rPr>
          <w:sz w:val="20"/>
        </w:rPr>
        <w:t>levantamiento</w:t>
      </w:r>
      <w:r>
        <w:rPr>
          <w:spacing w:val="-16"/>
          <w:sz w:val="20"/>
        </w:rPr>
        <w:t> </w:t>
      </w:r>
      <w:r>
        <w:rPr>
          <w:sz w:val="20"/>
        </w:rPr>
        <w:t>de</w:t>
      </w:r>
      <w:r>
        <w:rPr>
          <w:spacing w:val="-19"/>
          <w:sz w:val="20"/>
        </w:rPr>
        <w:t> </w:t>
      </w:r>
      <w:r>
        <w:rPr>
          <w:sz w:val="20"/>
        </w:rPr>
        <w:t>nuevos</w:t>
      </w:r>
      <w:r>
        <w:rPr>
          <w:spacing w:val="-16"/>
          <w:sz w:val="20"/>
        </w:rPr>
        <w:t> </w:t>
      </w:r>
      <w:r>
        <w:rPr>
          <w:sz w:val="20"/>
        </w:rPr>
        <w:t>cercos, inclusive la  confección  e implementación, en  consulta con  las  comunidades, de  </w:t>
      </w:r>
      <w:r>
        <w:rPr>
          <w:spacing w:val="49"/>
          <w:sz w:val="20"/>
        </w:rPr>
        <w:t> </w:t>
      </w:r>
      <w:r>
        <w:rPr>
          <w:sz w:val="20"/>
        </w:rPr>
        <w:t>un</w:t>
      </w:r>
    </w:p>
    <w:p>
      <w:pPr>
        <w:pStyle w:val="BodyText"/>
        <w:spacing w:before="2"/>
        <w:rPr>
          <w:sz w:val="13"/>
        </w:rPr>
      </w:pPr>
      <w:r>
        <w:rPr/>
        <w:pict>
          <v:line style="position:absolute;mso-position-horizontal-relative:page;mso-position-vertical-relative:paragraph;z-index:3424;mso-wrap-distance-left:0;mso-wrap-distance-right:0" from="85.103996pt,10.346692pt" to="229.123996pt,10.346692pt" stroked="true" strokeweight=".71997pt" strokecolor="#000000">
            <v:stroke dashstyle="solid"/>
            <w10:wrap type="topAndBottom"/>
          </v:line>
        </w:pict>
      </w:r>
    </w:p>
    <w:p>
      <w:pPr>
        <w:tabs>
          <w:tab w:pos="829" w:val="left" w:leader="none"/>
        </w:tabs>
        <w:spacing w:before="71"/>
        <w:ind w:left="122" w:right="114" w:firstLine="0"/>
        <w:jc w:val="both"/>
        <w:rPr>
          <w:sz w:val="16"/>
        </w:rPr>
      </w:pPr>
      <w:r>
        <w:rPr>
          <w:position w:val="6"/>
          <w:sz w:val="10"/>
        </w:rPr>
        <w:t>314</w:t>
        <w:tab/>
      </w:r>
      <w:r>
        <w:rPr>
          <w:i/>
          <w:sz w:val="16"/>
        </w:rPr>
        <w:t>Cfr.</w:t>
      </w:r>
      <w:r>
        <w:rPr>
          <w:i/>
          <w:spacing w:val="16"/>
          <w:sz w:val="16"/>
        </w:rPr>
        <w:t> </w:t>
      </w:r>
      <w:r>
        <w:rPr>
          <w:i/>
          <w:sz w:val="16"/>
        </w:rPr>
        <w:t>Caso</w:t>
      </w:r>
      <w:r>
        <w:rPr>
          <w:i/>
          <w:spacing w:val="15"/>
          <w:sz w:val="16"/>
        </w:rPr>
        <w:t> </w:t>
      </w:r>
      <w:r>
        <w:rPr>
          <w:i/>
          <w:sz w:val="16"/>
        </w:rPr>
        <w:t>Velásquez</w:t>
      </w:r>
      <w:r>
        <w:rPr>
          <w:i/>
          <w:spacing w:val="14"/>
          <w:sz w:val="16"/>
        </w:rPr>
        <w:t> </w:t>
      </w:r>
      <w:r>
        <w:rPr>
          <w:i/>
          <w:sz w:val="16"/>
        </w:rPr>
        <w:t>Rodríguez</w:t>
      </w:r>
      <w:r>
        <w:rPr>
          <w:i/>
          <w:spacing w:val="18"/>
          <w:sz w:val="16"/>
        </w:rPr>
        <w:t> </w:t>
      </w:r>
      <w:r>
        <w:rPr>
          <w:i/>
          <w:sz w:val="16"/>
        </w:rPr>
        <w:t>Vs.</w:t>
      </w:r>
      <w:r>
        <w:rPr>
          <w:i/>
          <w:spacing w:val="18"/>
          <w:sz w:val="16"/>
        </w:rPr>
        <w:t> </w:t>
      </w:r>
      <w:r>
        <w:rPr>
          <w:i/>
          <w:sz w:val="16"/>
        </w:rPr>
        <w:t>Honduras.</w:t>
      </w:r>
      <w:r>
        <w:rPr>
          <w:i/>
          <w:spacing w:val="14"/>
          <w:sz w:val="16"/>
        </w:rPr>
        <w:t> </w:t>
      </w:r>
      <w:r>
        <w:rPr>
          <w:i/>
          <w:sz w:val="16"/>
        </w:rPr>
        <w:t>Reparaciones</w:t>
      </w:r>
      <w:r>
        <w:rPr>
          <w:i/>
          <w:spacing w:val="17"/>
          <w:sz w:val="16"/>
        </w:rPr>
        <w:t> </w:t>
      </w:r>
      <w:r>
        <w:rPr>
          <w:i/>
          <w:sz w:val="16"/>
        </w:rPr>
        <w:t>y</w:t>
      </w:r>
      <w:r>
        <w:rPr>
          <w:i/>
          <w:spacing w:val="15"/>
          <w:sz w:val="16"/>
        </w:rPr>
        <w:t> </w:t>
      </w:r>
      <w:r>
        <w:rPr>
          <w:i/>
          <w:sz w:val="16"/>
        </w:rPr>
        <w:t>Costas</w:t>
      </w:r>
      <w:r>
        <w:rPr>
          <w:sz w:val="16"/>
        </w:rPr>
        <w:t>,</w:t>
      </w:r>
      <w:r>
        <w:rPr>
          <w:spacing w:val="18"/>
          <w:sz w:val="16"/>
        </w:rPr>
        <w:t> </w:t>
      </w:r>
      <w:r>
        <w:rPr>
          <w:sz w:val="16"/>
        </w:rPr>
        <w:t>párrs.</w:t>
      </w:r>
      <w:r>
        <w:rPr>
          <w:spacing w:val="16"/>
          <w:sz w:val="16"/>
        </w:rPr>
        <w:t> </w:t>
      </w:r>
      <w:r>
        <w:rPr>
          <w:sz w:val="16"/>
        </w:rPr>
        <w:t>25</w:t>
      </w:r>
      <w:r>
        <w:rPr>
          <w:spacing w:val="17"/>
          <w:sz w:val="16"/>
        </w:rPr>
        <w:t> </w:t>
      </w:r>
      <w:r>
        <w:rPr>
          <w:sz w:val="16"/>
        </w:rPr>
        <w:t>y</w:t>
      </w:r>
      <w:r>
        <w:rPr>
          <w:spacing w:val="17"/>
          <w:sz w:val="16"/>
        </w:rPr>
        <w:t> </w:t>
      </w:r>
      <w:r>
        <w:rPr>
          <w:sz w:val="16"/>
        </w:rPr>
        <w:t>26;</w:t>
      </w:r>
      <w:r>
        <w:rPr>
          <w:spacing w:val="17"/>
          <w:sz w:val="16"/>
        </w:rPr>
        <w:t> </w:t>
      </w:r>
      <w:r>
        <w:rPr>
          <w:i/>
          <w:sz w:val="16"/>
        </w:rPr>
        <w:t>Caso</w:t>
      </w:r>
      <w:r>
        <w:rPr>
          <w:i/>
          <w:spacing w:val="18"/>
          <w:sz w:val="16"/>
        </w:rPr>
        <w:t> </w:t>
      </w:r>
      <w:r>
        <w:rPr>
          <w:i/>
          <w:sz w:val="16"/>
        </w:rPr>
        <w:t>Ticona</w:t>
      </w:r>
      <w:r>
        <w:rPr>
          <w:i/>
          <w:w w:val="100"/>
          <w:sz w:val="16"/>
        </w:rPr>
        <w:t> </w:t>
      </w:r>
      <w:r>
        <w:rPr>
          <w:i/>
          <w:sz w:val="16"/>
        </w:rPr>
        <w:t>Estrada Vs. Bolivia. Fondo, Reparaciones y Costas. </w:t>
      </w:r>
      <w:r>
        <w:rPr>
          <w:sz w:val="16"/>
        </w:rPr>
        <w:t>Sentencia de 27 de noviembre de 2008. Serie C No. 191, párr. 110; </w:t>
      </w:r>
      <w:r>
        <w:rPr>
          <w:i/>
          <w:sz w:val="16"/>
        </w:rPr>
        <w:t>Caso de la Masacre de Las Dos Erres Vs. Guatemala. Excepción Preliminar, Fondo, Reparaciones y </w:t>
      </w:r>
      <w:r>
        <w:rPr>
          <w:i/>
          <w:sz w:val="16"/>
        </w:rPr>
        <w:t>Costas. </w:t>
      </w:r>
      <w:r>
        <w:rPr>
          <w:sz w:val="16"/>
        </w:rPr>
        <w:t>Sentencia de 24 de noviembre de 2009. Serie C No. 211, párr. 226, y </w:t>
      </w:r>
      <w:r>
        <w:rPr>
          <w:i/>
          <w:sz w:val="16"/>
        </w:rPr>
        <w:t>Caso Jenkins Vs. Argentina</w:t>
      </w:r>
      <w:r>
        <w:rPr>
          <w:sz w:val="16"/>
        </w:rPr>
        <w:t>, párrs. 123 y</w:t>
      </w:r>
      <w:r>
        <w:rPr>
          <w:spacing w:val="-5"/>
          <w:sz w:val="16"/>
        </w:rPr>
        <w:t> </w:t>
      </w:r>
      <w:r>
        <w:rPr>
          <w:sz w:val="16"/>
        </w:rPr>
        <w:t>124.</w:t>
      </w:r>
    </w:p>
    <w:p>
      <w:pPr>
        <w:pStyle w:val="BodyText"/>
        <w:spacing w:before="1"/>
        <w:rPr>
          <w:sz w:val="16"/>
        </w:rPr>
      </w:pPr>
    </w:p>
    <w:p>
      <w:pPr>
        <w:tabs>
          <w:tab w:pos="829" w:val="left" w:leader="none"/>
        </w:tabs>
        <w:spacing w:before="0"/>
        <w:ind w:left="122" w:right="117" w:firstLine="0"/>
        <w:jc w:val="both"/>
        <w:rPr>
          <w:sz w:val="16"/>
        </w:rPr>
      </w:pPr>
      <w:r>
        <w:rPr>
          <w:position w:val="6"/>
          <w:sz w:val="10"/>
        </w:rPr>
        <w:t>315</w:t>
        <w:tab/>
      </w:r>
      <w:r>
        <w:rPr>
          <w:i/>
          <w:sz w:val="16"/>
        </w:rPr>
        <w:t>Cfr. Caso de la Masacre de la Rochela Vs. Colombia. Fondo, Reparaciones y Costas</w:t>
      </w:r>
      <w:r>
        <w:rPr>
          <w:sz w:val="16"/>
        </w:rPr>
        <w:t>. Sentencia</w:t>
      </w:r>
      <w:r>
        <w:rPr>
          <w:spacing w:val="14"/>
          <w:sz w:val="16"/>
        </w:rPr>
        <w:t> </w:t>
      </w:r>
      <w:r>
        <w:rPr>
          <w:sz w:val="16"/>
        </w:rPr>
        <w:t>de 11</w:t>
      </w:r>
      <w:r>
        <w:rPr>
          <w:w w:val="100"/>
          <w:sz w:val="16"/>
        </w:rPr>
        <w:t> </w:t>
      </w:r>
      <w:r>
        <w:rPr>
          <w:sz w:val="16"/>
        </w:rPr>
        <w:t>de mayo de 2007. Serie C No. 163, párr. 233, y </w:t>
      </w:r>
      <w:r>
        <w:rPr>
          <w:i/>
          <w:sz w:val="16"/>
        </w:rPr>
        <w:t>Caso Jenkins Vs. Argentina</w:t>
      </w:r>
      <w:r>
        <w:rPr>
          <w:sz w:val="16"/>
        </w:rPr>
        <w:t>, párr.</w:t>
      </w:r>
      <w:r>
        <w:rPr>
          <w:spacing w:val="-32"/>
          <w:sz w:val="16"/>
        </w:rPr>
        <w:t> </w:t>
      </w:r>
      <w:r>
        <w:rPr>
          <w:sz w:val="16"/>
        </w:rPr>
        <w:t>126.</w:t>
      </w:r>
    </w:p>
    <w:p>
      <w:pPr>
        <w:spacing w:after="0"/>
        <w:jc w:val="both"/>
        <w:rPr>
          <w:sz w:val="16"/>
        </w:rPr>
        <w:sectPr>
          <w:pgSz w:w="12240" w:h="15840"/>
          <w:pgMar w:header="0" w:footer="1000" w:top="1340" w:bottom="1200" w:left="1580" w:right="1580"/>
        </w:sectPr>
      </w:pPr>
    </w:p>
    <w:p>
      <w:pPr>
        <w:pStyle w:val="BodyText"/>
        <w:spacing w:before="76"/>
        <w:ind w:left="122" w:right="127"/>
        <w:jc w:val="both"/>
      </w:pPr>
      <w:r>
        <w:rPr/>
        <w:t>protocolo de acción estatal al efecto; iii) garantizar, de modo adecuado, suficiente, accesible y permanente, la </w:t>
      </w:r>
      <w:r>
        <w:rPr>
          <w:i/>
        </w:rPr>
        <w:t>provisión de agua </w:t>
      </w:r>
      <w:r>
        <w:rPr/>
        <w:t>apta para consumo humano a las comunidades</w:t>
      </w:r>
      <w:r>
        <w:rPr>
          <w:spacing w:val="-10"/>
        </w:rPr>
        <w:t> </w:t>
      </w:r>
      <w:r>
        <w:rPr/>
        <w:t>indígenas,</w:t>
      </w:r>
      <w:r>
        <w:rPr>
          <w:spacing w:val="-7"/>
        </w:rPr>
        <w:t> </w:t>
      </w:r>
      <w:r>
        <w:rPr/>
        <w:t>y</w:t>
      </w:r>
      <w:r>
        <w:rPr>
          <w:spacing w:val="-10"/>
        </w:rPr>
        <w:t> </w:t>
      </w:r>
      <w:r>
        <w:rPr/>
        <w:t>iv)</w:t>
      </w:r>
      <w:r>
        <w:rPr>
          <w:spacing w:val="-11"/>
        </w:rPr>
        <w:t> </w:t>
      </w:r>
      <w:r>
        <w:rPr/>
        <w:t>detener</w:t>
      </w:r>
      <w:r>
        <w:rPr>
          <w:spacing w:val="-10"/>
        </w:rPr>
        <w:t> </w:t>
      </w:r>
      <w:r>
        <w:rPr/>
        <w:t>la</w:t>
      </w:r>
      <w:r>
        <w:rPr>
          <w:spacing w:val="-7"/>
        </w:rPr>
        <w:t> </w:t>
      </w:r>
      <w:r>
        <w:rPr>
          <w:i/>
        </w:rPr>
        <w:t>tala</w:t>
      </w:r>
      <w:r>
        <w:rPr>
          <w:i/>
          <w:spacing w:val="-11"/>
        </w:rPr>
        <w:t> </w:t>
      </w:r>
      <w:r>
        <w:rPr>
          <w:i/>
        </w:rPr>
        <w:t>ilegal</w:t>
      </w:r>
      <w:r>
        <w:rPr>
          <w:i/>
          <w:spacing w:val="-9"/>
        </w:rPr>
        <w:t> </w:t>
      </w:r>
      <w:r>
        <w:rPr/>
        <w:t>de</w:t>
      </w:r>
      <w:r>
        <w:rPr>
          <w:spacing w:val="-10"/>
        </w:rPr>
        <w:t> </w:t>
      </w:r>
      <w:r>
        <w:rPr/>
        <w:t>madera</w:t>
      </w:r>
      <w:r>
        <w:rPr>
          <w:spacing w:val="-9"/>
        </w:rPr>
        <w:t> </w:t>
      </w:r>
      <w:r>
        <w:rPr/>
        <w:t>en</w:t>
      </w:r>
      <w:r>
        <w:rPr>
          <w:spacing w:val="-8"/>
        </w:rPr>
        <w:t> </w:t>
      </w:r>
      <w:r>
        <w:rPr/>
        <w:t>el</w:t>
      </w:r>
      <w:r>
        <w:rPr>
          <w:spacing w:val="-9"/>
        </w:rPr>
        <w:t> </w:t>
      </w:r>
      <w:r>
        <w:rPr/>
        <w:t>territorio</w:t>
      </w:r>
      <w:r>
        <w:rPr>
          <w:spacing w:val="-12"/>
        </w:rPr>
        <w:t> </w:t>
      </w:r>
      <w:r>
        <w:rPr/>
        <w:t>indígena</w:t>
      </w:r>
      <w:r>
        <w:rPr>
          <w:spacing w:val="-9"/>
        </w:rPr>
        <w:t> </w:t>
      </w:r>
      <w:r>
        <w:rPr/>
        <w:t>y, para esto, “[c]rear una dependencia estatal, con presencia permanente de policía con competencia ambiental[, y c]rear un modelo de control de deforestación en la zona”;</w:t>
      </w:r>
      <w:r>
        <w:rPr>
          <w:spacing w:val="23"/>
        </w:rPr>
        <w:t> </w:t>
      </w:r>
      <w:r>
        <w:rPr/>
        <w:t>y</w:t>
      </w:r>
    </w:p>
    <w:p>
      <w:pPr>
        <w:pStyle w:val="BodyText"/>
        <w:ind w:left="122" w:right="126"/>
        <w:jc w:val="both"/>
      </w:pPr>
      <w:r>
        <w:rPr/>
        <w:t>b)</w:t>
      </w:r>
      <w:r>
        <w:rPr>
          <w:spacing w:val="-10"/>
        </w:rPr>
        <w:t> </w:t>
      </w:r>
      <w:r>
        <w:rPr/>
        <w:t>en</w:t>
      </w:r>
      <w:r>
        <w:rPr>
          <w:spacing w:val="-7"/>
        </w:rPr>
        <w:t> </w:t>
      </w:r>
      <w:r>
        <w:rPr/>
        <w:t>un</w:t>
      </w:r>
      <w:r>
        <w:rPr>
          <w:spacing w:val="-9"/>
        </w:rPr>
        <w:t> </w:t>
      </w:r>
      <w:r>
        <w:rPr/>
        <w:t>plazo</w:t>
      </w:r>
      <w:r>
        <w:rPr>
          <w:spacing w:val="-9"/>
        </w:rPr>
        <w:t> </w:t>
      </w:r>
      <w:r>
        <w:rPr/>
        <w:t>no</w:t>
      </w:r>
      <w:r>
        <w:rPr>
          <w:spacing w:val="-9"/>
        </w:rPr>
        <w:t> </w:t>
      </w:r>
      <w:r>
        <w:rPr/>
        <w:t>mayor</w:t>
      </w:r>
      <w:r>
        <w:rPr>
          <w:spacing w:val="-9"/>
        </w:rPr>
        <w:t> </w:t>
      </w:r>
      <w:r>
        <w:rPr/>
        <w:t>a</w:t>
      </w:r>
      <w:r>
        <w:rPr>
          <w:spacing w:val="-8"/>
        </w:rPr>
        <w:t> </w:t>
      </w:r>
      <w:r>
        <w:rPr/>
        <w:t>dos</w:t>
      </w:r>
      <w:r>
        <w:rPr>
          <w:spacing w:val="-9"/>
        </w:rPr>
        <w:t> </w:t>
      </w:r>
      <w:r>
        <w:rPr/>
        <w:t>años,</w:t>
      </w:r>
      <w:r>
        <w:rPr>
          <w:spacing w:val="-7"/>
        </w:rPr>
        <w:t> </w:t>
      </w:r>
      <w:r>
        <w:rPr/>
        <w:t>concretar</w:t>
      </w:r>
      <w:r>
        <w:rPr>
          <w:spacing w:val="-3"/>
        </w:rPr>
        <w:t> </w:t>
      </w:r>
      <w:r>
        <w:rPr/>
        <w:t>el</w:t>
      </w:r>
      <w:r>
        <w:rPr>
          <w:spacing w:val="-7"/>
        </w:rPr>
        <w:t> </w:t>
      </w:r>
      <w:r>
        <w:rPr>
          <w:i/>
        </w:rPr>
        <w:t>traslado</w:t>
      </w:r>
      <w:r>
        <w:rPr>
          <w:i/>
          <w:spacing w:val="-9"/>
        </w:rPr>
        <w:t> </w:t>
      </w:r>
      <w:r>
        <w:rPr>
          <w:i/>
        </w:rPr>
        <w:t>de</w:t>
      </w:r>
      <w:r>
        <w:rPr>
          <w:i/>
          <w:spacing w:val="-9"/>
        </w:rPr>
        <w:t> </w:t>
      </w:r>
      <w:r>
        <w:rPr>
          <w:i/>
        </w:rPr>
        <w:t>la</w:t>
      </w:r>
      <w:r>
        <w:rPr>
          <w:i/>
          <w:spacing w:val="-8"/>
        </w:rPr>
        <w:t> </w:t>
      </w:r>
      <w:r>
        <w:rPr>
          <w:i/>
        </w:rPr>
        <w:t>totalidad</w:t>
      </w:r>
      <w:r>
        <w:rPr>
          <w:i/>
          <w:spacing w:val="-5"/>
        </w:rPr>
        <w:t> </w:t>
      </w:r>
      <w:r>
        <w:rPr>
          <w:i/>
        </w:rPr>
        <w:t>de</w:t>
      </w:r>
      <w:r>
        <w:rPr>
          <w:i/>
          <w:spacing w:val="-12"/>
        </w:rPr>
        <w:t> </w:t>
      </w:r>
      <w:r>
        <w:rPr>
          <w:i/>
        </w:rPr>
        <w:t>la</w:t>
      </w:r>
      <w:r>
        <w:rPr>
          <w:i/>
          <w:spacing w:val="-8"/>
        </w:rPr>
        <w:t> </w:t>
      </w:r>
      <w:r>
        <w:rPr>
          <w:i/>
        </w:rPr>
        <w:t>población </w:t>
      </w:r>
      <w:r>
        <w:rPr>
          <w:i/>
        </w:rPr>
        <w:t>criolla</w:t>
      </w:r>
      <w:r>
        <w:rPr/>
        <w:t>,</w:t>
      </w:r>
      <w:r>
        <w:rPr>
          <w:spacing w:val="-11"/>
        </w:rPr>
        <w:t> </w:t>
      </w:r>
      <w:r>
        <w:rPr/>
        <w:t>así</w:t>
      </w:r>
      <w:r>
        <w:rPr>
          <w:spacing w:val="-8"/>
        </w:rPr>
        <w:t> </w:t>
      </w:r>
      <w:r>
        <w:rPr/>
        <w:t>como</w:t>
      </w:r>
      <w:r>
        <w:rPr>
          <w:spacing w:val="-11"/>
        </w:rPr>
        <w:t> </w:t>
      </w:r>
      <w:r>
        <w:rPr/>
        <w:t>de</w:t>
      </w:r>
      <w:r>
        <w:rPr>
          <w:spacing w:val="-9"/>
        </w:rPr>
        <w:t> </w:t>
      </w:r>
      <w:r>
        <w:rPr/>
        <w:t>todo</w:t>
      </w:r>
      <w:r>
        <w:rPr>
          <w:spacing w:val="-9"/>
        </w:rPr>
        <w:t> </w:t>
      </w:r>
      <w:r>
        <w:rPr/>
        <w:t>su</w:t>
      </w:r>
      <w:r>
        <w:rPr>
          <w:spacing w:val="-10"/>
        </w:rPr>
        <w:t> </w:t>
      </w:r>
      <w:r>
        <w:rPr/>
        <w:t>ganado</w:t>
      </w:r>
      <w:r>
        <w:rPr>
          <w:position w:val="7"/>
          <w:sz w:val="13"/>
        </w:rPr>
        <w:t>316</w:t>
      </w:r>
      <w:r>
        <w:rPr/>
        <w:t>.</w:t>
      </w:r>
      <w:r>
        <w:rPr>
          <w:spacing w:val="-11"/>
        </w:rPr>
        <w:t> </w:t>
      </w:r>
      <w:r>
        <w:rPr/>
        <w:t>Entendieron</w:t>
      </w:r>
      <w:r>
        <w:rPr>
          <w:spacing w:val="-7"/>
        </w:rPr>
        <w:t> </w:t>
      </w:r>
      <w:r>
        <w:rPr/>
        <w:t>que</w:t>
      </w:r>
      <w:r>
        <w:rPr>
          <w:spacing w:val="-9"/>
        </w:rPr>
        <w:t> </w:t>
      </w:r>
      <w:r>
        <w:rPr/>
        <w:t>deben</w:t>
      </w:r>
      <w:r>
        <w:rPr>
          <w:spacing w:val="-9"/>
        </w:rPr>
        <w:t> </w:t>
      </w:r>
      <w:r>
        <w:rPr/>
        <w:t>instituirse</w:t>
      </w:r>
      <w:r>
        <w:rPr>
          <w:spacing w:val="-12"/>
        </w:rPr>
        <w:t> </w:t>
      </w:r>
      <w:r>
        <w:rPr/>
        <w:t>medios</w:t>
      </w:r>
      <w:r>
        <w:rPr>
          <w:spacing w:val="-9"/>
        </w:rPr>
        <w:t> </w:t>
      </w:r>
      <w:r>
        <w:rPr/>
        <w:t>legales para “restituir” la “posesión y propiedad” indígenas en casos de falta de acuerdos con pobladores</w:t>
      </w:r>
      <w:r>
        <w:rPr>
          <w:spacing w:val="-10"/>
        </w:rPr>
        <w:t> </w:t>
      </w:r>
      <w:r>
        <w:rPr/>
        <w:t>criollos.</w:t>
      </w:r>
    </w:p>
    <w:p>
      <w:pPr>
        <w:pStyle w:val="BodyText"/>
        <w:spacing w:before="12"/>
        <w:rPr>
          <w:sz w:val="19"/>
        </w:rPr>
      </w:pPr>
    </w:p>
    <w:p>
      <w:pPr>
        <w:pStyle w:val="ListParagraph"/>
        <w:numPr>
          <w:ilvl w:val="0"/>
          <w:numId w:val="37"/>
        </w:numPr>
        <w:tabs>
          <w:tab w:pos="830" w:val="left" w:leader="none"/>
        </w:tabs>
        <w:spacing w:line="240" w:lineRule="auto" w:before="0" w:after="0"/>
        <w:ind w:left="122" w:right="126" w:firstLine="0"/>
        <w:jc w:val="both"/>
        <w:rPr>
          <w:sz w:val="20"/>
        </w:rPr>
      </w:pPr>
      <w:r>
        <w:rPr>
          <w:sz w:val="20"/>
        </w:rPr>
        <w:t>También consideraron necesario que se “prohib[a]” al Estado emprender “cualquier </w:t>
      </w:r>
      <w:r>
        <w:rPr>
          <w:i/>
          <w:sz w:val="20"/>
        </w:rPr>
        <w:t>proyecto en el territorio</w:t>
      </w:r>
      <w:r>
        <w:rPr>
          <w:sz w:val="20"/>
        </w:rPr>
        <w:t>” indígena, sin antes “cumplir cabalmente con los estándares” del sistema</w:t>
      </w:r>
      <w:r>
        <w:rPr>
          <w:spacing w:val="-14"/>
          <w:sz w:val="20"/>
        </w:rPr>
        <w:t> </w:t>
      </w:r>
      <w:r>
        <w:rPr>
          <w:sz w:val="20"/>
        </w:rPr>
        <w:t>Interamericano.</w:t>
      </w:r>
    </w:p>
    <w:p>
      <w:pPr>
        <w:pStyle w:val="BodyText"/>
        <w:spacing w:before="10"/>
        <w:rPr>
          <w:sz w:val="19"/>
        </w:rPr>
      </w:pPr>
    </w:p>
    <w:p>
      <w:pPr>
        <w:pStyle w:val="ListParagraph"/>
        <w:numPr>
          <w:ilvl w:val="0"/>
          <w:numId w:val="37"/>
        </w:numPr>
        <w:tabs>
          <w:tab w:pos="830" w:val="left" w:leader="none"/>
        </w:tabs>
        <w:spacing w:line="240" w:lineRule="auto" w:before="1" w:after="0"/>
        <w:ind w:left="122" w:right="134" w:firstLine="0"/>
        <w:jc w:val="both"/>
        <w:rPr>
          <w:sz w:val="20"/>
        </w:rPr>
      </w:pPr>
      <w:r>
        <w:rPr>
          <w:sz w:val="20"/>
        </w:rPr>
        <w:t>Los representantes solicitaron que se “ordene al Estado realizar informes bimestrales</w:t>
      </w:r>
      <w:r>
        <w:rPr>
          <w:spacing w:val="-7"/>
          <w:sz w:val="20"/>
        </w:rPr>
        <w:t> </w:t>
      </w:r>
      <w:r>
        <w:rPr>
          <w:sz w:val="20"/>
        </w:rPr>
        <w:t>respeto</w:t>
      </w:r>
      <w:r>
        <w:rPr>
          <w:spacing w:val="-9"/>
          <w:sz w:val="20"/>
        </w:rPr>
        <w:t> </w:t>
      </w:r>
      <w:r>
        <w:rPr>
          <w:sz w:val="20"/>
        </w:rPr>
        <w:t>al</w:t>
      </w:r>
      <w:r>
        <w:rPr>
          <w:spacing w:val="-10"/>
          <w:sz w:val="20"/>
        </w:rPr>
        <w:t> </w:t>
      </w:r>
      <w:r>
        <w:rPr>
          <w:sz w:val="20"/>
        </w:rPr>
        <w:t>avance</w:t>
      </w:r>
      <w:r>
        <w:rPr>
          <w:spacing w:val="-10"/>
          <w:sz w:val="20"/>
        </w:rPr>
        <w:t> </w:t>
      </w:r>
      <w:r>
        <w:rPr>
          <w:sz w:val="20"/>
        </w:rPr>
        <w:t>de</w:t>
      </w:r>
      <w:r>
        <w:rPr>
          <w:spacing w:val="-12"/>
          <w:sz w:val="20"/>
        </w:rPr>
        <w:t> </w:t>
      </w:r>
      <w:r>
        <w:rPr>
          <w:sz w:val="20"/>
        </w:rPr>
        <w:t>las</w:t>
      </w:r>
      <w:r>
        <w:rPr>
          <w:spacing w:val="-11"/>
          <w:sz w:val="20"/>
        </w:rPr>
        <w:t> </w:t>
      </w:r>
      <w:r>
        <w:rPr>
          <w:sz w:val="20"/>
        </w:rPr>
        <w:t>medidas</w:t>
      </w:r>
      <w:r>
        <w:rPr>
          <w:spacing w:val="-8"/>
          <w:sz w:val="20"/>
        </w:rPr>
        <w:t> </w:t>
      </w:r>
      <w:r>
        <w:rPr>
          <w:sz w:val="20"/>
        </w:rPr>
        <w:t>de</w:t>
      </w:r>
      <w:r>
        <w:rPr>
          <w:spacing w:val="-9"/>
          <w:sz w:val="20"/>
        </w:rPr>
        <w:t> </w:t>
      </w:r>
      <w:r>
        <w:rPr>
          <w:sz w:val="20"/>
        </w:rPr>
        <w:t>restitución,</w:t>
      </w:r>
      <w:r>
        <w:rPr>
          <w:spacing w:val="-11"/>
          <w:sz w:val="20"/>
        </w:rPr>
        <w:t> </w:t>
      </w:r>
      <w:r>
        <w:rPr>
          <w:sz w:val="20"/>
        </w:rPr>
        <w:t>incluyendo</w:t>
      </w:r>
      <w:r>
        <w:rPr>
          <w:spacing w:val="-8"/>
          <w:sz w:val="20"/>
        </w:rPr>
        <w:t> </w:t>
      </w:r>
      <w:r>
        <w:rPr>
          <w:sz w:val="20"/>
        </w:rPr>
        <w:t>su</w:t>
      </w:r>
      <w:r>
        <w:rPr>
          <w:spacing w:val="-10"/>
          <w:sz w:val="20"/>
        </w:rPr>
        <w:t> </w:t>
      </w:r>
      <w:r>
        <w:rPr>
          <w:sz w:val="20"/>
        </w:rPr>
        <w:t>presentación en una matriz de</w:t>
      </w:r>
      <w:r>
        <w:rPr>
          <w:spacing w:val="-13"/>
          <w:sz w:val="20"/>
        </w:rPr>
        <w:t> </w:t>
      </w:r>
      <w:r>
        <w:rPr>
          <w:sz w:val="20"/>
        </w:rPr>
        <w:t>indicadores”.</w:t>
      </w:r>
    </w:p>
    <w:p>
      <w:pPr>
        <w:pStyle w:val="BodyText"/>
        <w:spacing w:before="11"/>
        <w:rPr>
          <w:sz w:val="19"/>
        </w:rPr>
      </w:pPr>
    </w:p>
    <w:p>
      <w:pPr>
        <w:pStyle w:val="ListParagraph"/>
        <w:numPr>
          <w:ilvl w:val="0"/>
          <w:numId w:val="37"/>
        </w:numPr>
        <w:tabs>
          <w:tab w:pos="830" w:val="left" w:leader="none"/>
        </w:tabs>
        <w:spacing w:line="240" w:lineRule="auto" w:before="0" w:after="0"/>
        <w:ind w:left="122" w:right="126" w:firstLine="0"/>
        <w:jc w:val="both"/>
        <w:rPr>
          <w:sz w:val="20"/>
        </w:rPr>
      </w:pPr>
      <w:r>
        <w:rPr>
          <w:sz w:val="20"/>
        </w:rPr>
        <w:t>Los representantes solicitaron también la </w:t>
      </w:r>
      <w:r>
        <w:rPr>
          <w:i/>
          <w:sz w:val="20"/>
        </w:rPr>
        <w:t>creación de un fondo de desarrollo </w:t>
      </w:r>
      <w:r>
        <w:rPr>
          <w:i/>
          <w:sz w:val="20"/>
        </w:rPr>
        <w:t>comunitario, </w:t>
      </w:r>
      <w:r>
        <w:rPr>
          <w:sz w:val="20"/>
        </w:rPr>
        <w:t>destinado a las comunidades indígenas habitantes de los ex lotes fiscales 14 y 55. Alegaron la pertinencia del mismo, dado el deterioro de los recursos naturales por</w:t>
      </w:r>
      <w:r>
        <w:rPr>
          <w:spacing w:val="-7"/>
          <w:sz w:val="20"/>
        </w:rPr>
        <w:t> </w:t>
      </w:r>
      <w:r>
        <w:rPr>
          <w:sz w:val="20"/>
        </w:rPr>
        <w:t>la</w:t>
      </w:r>
      <w:r>
        <w:rPr>
          <w:spacing w:val="-6"/>
          <w:sz w:val="20"/>
        </w:rPr>
        <w:t> </w:t>
      </w:r>
      <w:r>
        <w:rPr>
          <w:sz w:val="20"/>
        </w:rPr>
        <w:t>presencia</w:t>
      </w:r>
      <w:r>
        <w:rPr>
          <w:spacing w:val="-6"/>
          <w:sz w:val="20"/>
        </w:rPr>
        <w:t> </w:t>
      </w:r>
      <w:r>
        <w:rPr>
          <w:sz w:val="20"/>
        </w:rPr>
        <w:t>de</w:t>
      </w:r>
      <w:r>
        <w:rPr>
          <w:spacing w:val="-7"/>
          <w:sz w:val="20"/>
        </w:rPr>
        <w:t> </w:t>
      </w:r>
      <w:r>
        <w:rPr>
          <w:sz w:val="20"/>
        </w:rPr>
        <w:t>alambrados</w:t>
      </w:r>
      <w:r>
        <w:rPr>
          <w:spacing w:val="-6"/>
          <w:sz w:val="20"/>
        </w:rPr>
        <w:t> </w:t>
      </w:r>
      <w:r>
        <w:rPr>
          <w:sz w:val="20"/>
        </w:rPr>
        <w:t>y</w:t>
      </w:r>
      <w:r>
        <w:rPr>
          <w:spacing w:val="-6"/>
          <w:sz w:val="20"/>
        </w:rPr>
        <w:t> </w:t>
      </w:r>
      <w:r>
        <w:rPr>
          <w:sz w:val="20"/>
        </w:rPr>
        <w:t>ganado</w:t>
      </w:r>
      <w:r>
        <w:rPr>
          <w:spacing w:val="-5"/>
          <w:sz w:val="20"/>
        </w:rPr>
        <w:t> </w:t>
      </w:r>
      <w:r>
        <w:rPr>
          <w:sz w:val="20"/>
        </w:rPr>
        <w:t>en</w:t>
      </w:r>
      <w:r>
        <w:rPr>
          <w:spacing w:val="-6"/>
          <w:sz w:val="20"/>
        </w:rPr>
        <w:t> </w:t>
      </w:r>
      <w:r>
        <w:rPr>
          <w:sz w:val="20"/>
        </w:rPr>
        <w:t>el</w:t>
      </w:r>
      <w:r>
        <w:rPr>
          <w:spacing w:val="-4"/>
          <w:sz w:val="20"/>
        </w:rPr>
        <w:t> </w:t>
      </w:r>
      <w:r>
        <w:rPr>
          <w:sz w:val="20"/>
        </w:rPr>
        <w:t>territorio,</w:t>
      </w:r>
      <w:r>
        <w:rPr>
          <w:spacing w:val="-5"/>
          <w:sz w:val="20"/>
        </w:rPr>
        <w:t> </w:t>
      </w:r>
      <w:r>
        <w:rPr>
          <w:sz w:val="20"/>
        </w:rPr>
        <w:t>y</w:t>
      </w:r>
      <w:r>
        <w:rPr>
          <w:spacing w:val="-6"/>
          <w:sz w:val="20"/>
        </w:rPr>
        <w:t> </w:t>
      </w:r>
      <w:r>
        <w:rPr>
          <w:sz w:val="20"/>
        </w:rPr>
        <w:t>por</w:t>
      </w:r>
      <w:r>
        <w:rPr>
          <w:spacing w:val="-7"/>
          <w:sz w:val="20"/>
        </w:rPr>
        <w:t> </w:t>
      </w:r>
      <w:r>
        <w:rPr>
          <w:sz w:val="20"/>
        </w:rPr>
        <w:t>la</w:t>
      </w:r>
      <w:r>
        <w:rPr>
          <w:spacing w:val="-6"/>
          <w:sz w:val="20"/>
        </w:rPr>
        <w:t> </w:t>
      </w:r>
      <w:r>
        <w:rPr>
          <w:sz w:val="20"/>
        </w:rPr>
        <w:t>tala</w:t>
      </w:r>
      <w:r>
        <w:rPr>
          <w:spacing w:val="-6"/>
          <w:sz w:val="20"/>
        </w:rPr>
        <w:t> </w:t>
      </w:r>
      <w:r>
        <w:rPr>
          <w:sz w:val="20"/>
        </w:rPr>
        <w:t>ilegal,</w:t>
      </w:r>
      <w:r>
        <w:rPr>
          <w:spacing w:val="-6"/>
          <w:sz w:val="20"/>
        </w:rPr>
        <w:t> </w:t>
      </w:r>
      <w:r>
        <w:rPr>
          <w:sz w:val="20"/>
        </w:rPr>
        <w:t>que,</w:t>
      </w:r>
      <w:r>
        <w:rPr>
          <w:spacing w:val="-5"/>
          <w:sz w:val="20"/>
        </w:rPr>
        <w:t> </w:t>
      </w:r>
      <w:r>
        <w:rPr>
          <w:sz w:val="20"/>
        </w:rPr>
        <w:t>según adujeron,</w:t>
      </w:r>
      <w:r>
        <w:rPr>
          <w:spacing w:val="-7"/>
          <w:sz w:val="20"/>
        </w:rPr>
        <w:t> </w:t>
      </w:r>
      <w:r>
        <w:rPr>
          <w:sz w:val="20"/>
        </w:rPr>
        <w:t>ha</w:t>
      </w:r>
      <w:r>
        <w:rPr>
          <w:spacing w:val="-6"/>
          <w:sz w:val="20"/>
        </w:rPr>
        <w:t> </w:t>
      </w:r>
      <w:r>
        <w:rPr>
          <w:sz w:val="20"/>
        </w:rPr>
        <w:t>provocado</w:t>
      </w:r>
      <w:r>
        <w:rPr>
          <w:spacing w:val="-5"/>
          <w:sz w:val="20"/>
        </w:rPr>
        <w:t> </w:t>
      </w:r>
      <w:r>
        <w:rPr>
          <w:sz w:val="20"/>
        </w:rPr>
        <w:t>un</w:t>
      </w:r>
      <w:r>
        <w:rPr>
          <w:spacing w:val="-5"/>
          <w:sz w:val="20"/>
        </w:rPr>
        <w:t> </w:t>
      </w:r>
      <w:r>
        <w:rPr>
          <w:sz w:val="20"/>
        </w:rPr>
        <w:t>fuerte</w:t>
      </w:r>
      <w:r>
        <w:rPr>
          <w:spacing w:val="-8"/>
          <w:sz w:val="20"/>
        </w:rPr>
        <w:t> </w:t>
      </w:r>
      <w:r>
        <w:rPr>
          <w:sz w:val="20"/>
        </w:rPr>
        <w:t>impacto</w:t>
      </w:r>
      <w:r>
        <w:rPr>
          <w:spacing w:val="-8"/>
          <w:sz w:val="20"/>
        </w:rPr>
        <w:t> </w:t>
      </w:r>
      <w:r>
        <w:rPr>
          <w:sz w:val="20"/>
        </w:rPr>
        <w:t>ambiental</w:t>
      </w:r>
      <w:r>
        <w:rPr>
          <w:spacing w:val="-6"/>
          <w:sz w:val="20"/>
        </w:rPr>
        <w:t> </w:t>
      </w:r>
      <w:r>
        <w:rPr>
          <w:sz w:val="20"/>
        </w:rPr>
        <w:t>y</w:t>
      </w:r>
      <w:r>
        <w:rPr>
          <w:spacing w:val="-7"/>
          <w:sz w:val="20"/>
        </w:rPr>
        <w:t> </w:t>
      </w:r>
      <w:r>
        <w:rPr>
          <w:sz w:val="20"/>
        </w:rPr>
        <w:t>ha</w:t>
      </w:r>
      <w:r>
        <w:rPr>
          <w:spacing w:val="-6"/>
          <w:sz w:val="20"/>
        </w:rPr>
        <w:t> </w:t>
      </w:r>
      <w:r>
        <w:rPr>
          <w:sz w:val="20"/>
        </w:rPr>
        <w:t>menoscabado</w:t>
      </w:r>
      <w:r>
        <w:rPr>
          <w:spacing w:val="-5"/>
          <w:sz w:val="20"/>
        </w:rPr>
        <w:t> </w:t>
      </w:r>
      <w:r>
        <w:rPr>
          <w:sz w:val="20"/>
        </w:rPr>
        <w:t>la</w:t>
      </w:r>
      <w:r>
        <w:rPr>
          <w:spacing w:val="-6"/>
          <w:sz w:val="20"/>
        </w:rPr>
        <w:t> </w:t>
      </w:r>
      <w:r>
        <w:rPr>
          <w:sz w:val="20"/>
        </w:rPr>
        <w:t>alimentación e</w:t>
      </w:r>
      <w:r>
        <w:rPr>
          <w:spacing w:val="-8"/>
          <w:sz w:val="20"/>
        </w:rPr>
        <w:t> </w:t>
      </w:r>
      <w:r>
        <w:rPr>
          <w:sz w:val="20"/>
        </w:rPr>
        <w:t>identidad</w:t>
      </w:r>
      <w:r>
        <w:rPr>
          <w:spacing w:val="-6"/>
          <w:sz w:val="20"/>
        </w:rPr>
        <w:t> </w:t>
      </w:r>
      <w:r>
        <w:rPr>
          <w:sz w:val="20"/>
        </w:rPr>
        <w:t>cultural</w:t>
      </w:r>
      <w:r>
        <w:rPr>
          <w:spacing w:val="-5"/>
          <w:sz w:val="20"/>
        </w:rPr>
        <w:t> </w:t>
      </w:r>
      <w:r>
        <w:rPr>
          <w:sz w:val="20"/>
        </w:rPr>
        <w:t>de</w:t>
      </w:r>
      <w:r>
        <w:rPr>
          <w:spacing w:val="-8"/>
          <w:sz w:val="20"/>
        </w:rPr>
        <w:t> </w:t>
      </w:r>
      <w:r>
        <w:rPr>
          <w:sz w:val="20"/>
        </w:rPr>
        <w:t>las</w:t>
      </w:r>
      <w:r>
        <w:rPr>
          <w:spacing w:val="-7"/>
          <w:sz w:val="20"/>
        </w:rPr>
        <w:t> </w:t>
      </w:r>
      <w:r>
        <w:rPr>
          <w:sz w:val="20"/>
        </w:rPr>
        <w:t>comunidades.</w:t>
      </w:r>
      <w:r>
        <w:rPr>
          <w:spacing w:val="-8"/>
          <w:sz w:val="20"/>
        </w:rPr>
        <w:t> </w:t>
      </w:r>
      <w:r>
        <w:rPr>
          <w:sz w:val="20"/>
        </w:rPr>
        <w:t>Consideraron</w:t>
      </w:r>
      <w:r>
        <w:rPr>
          <w:spacing w:val="-6"/>
          <w:sz w:val="20"/>
        </w:rPr>
        <w:t> </w:t>
      </w:r>
      <w:r>
        <w:rPr>
          <w:sz w:val="20"/>
        </w:rPr>
        <w:t>que</w:t>
      </w:r>
      <w:r>
        <w:rPr>
          <w:spacing w:val="-8"/>
          <w:sz w:val="20"/>
        </w:rPr>
        <w:t> </w:t>
      </w:r>
      <w:r>
        <w:rPr>
          <w:sz w:val="20"/>
        </w:rPr>
        <w:t>la</w:t>
      </w:r>
      <w:r>
        <w:rPr>
          <w:spacing w:val="-6"/>
          <w:sz w:val="20"/>
        </w:rPr>
        <w:t> </w:t>
      </w:r>
      <w:r>
        <w:rPr>
          <w:sz w:val="20"/>
        </w:rPr>
        <w:t>utilización</w:t>
      </w:r>
      <w:r>
        <w:rPr>
          <w:spacing w:val="-3"/>
          <w:sz w:val="20"/>
        </w:rPr>
        <w:t> </w:t>
      </w:r>
      <w:r>
        <w:rPr>
          <w:sz w:val="20"/>
        </w:rPr>
        <w:t>del</w:t>
      </w:r>
      <w:r>
        <w:rPr>
          <w:spacing w:val="-6"/>
          <w:sz w:val="20"/>
        </w:rPr>
        <w:t> </w:t>
      </w:r>
      <w:r>
        <w:rPr>
          <w:sz w:val="20"/>
        </w:rPr>
        <w:t>fondo</w:t>
      </w:r>
      <w:r>
        <w:rPr>
          <w:spacing w:val="-8"/>
          <w:sz w:val="20"/>
        </w:rPr>
        <w:t> </w:t>
      </w:r>
      <w:r>
        <w:rPr>
          <w:sz w:val="20"/>
        </w:rPr>
        <w:t>“sería una gran oportunidad para implementar programas en relación a educación, salud, seguridad alimentaria, técnicas de cultivo, sobre la historia de las tradiciones de las comunidades, talleres de gestión territorial, material de difusión sobre el proceso de reivindicación territorial, entre muchos otros usos posibles”. Los representantes expresaron</w:t>
      </w:r>
      <w:r>
        <w:rPr>
          <w:spacing w:val="-10"/>
          <w:sz w:val="20"/>
        </w:rPr>
        <w:t> </w:t>
      </w:r>
      <w:r>
        <w:rPr>
          <w:sz w:val="20"/>
        </w:rPr>
        <w:t>su</w:t>
      </w:r>
      <w:r>
        <w:rPr>
          <w:spacing w:val="-11"/>
          <w:sz w:val="20"/>
        </w:rPr>
        <w:t> </w:t>
      </w:r>
      <w:r>
        <w:rPr>
          <w:sz w:val="20"/>
        </w:rPr>
        <w:t>“comprom[iso]”</w:t>
      </w:r>
      <w:r>
        <w:rPr>
          <w:spacing w:val="-12"/>
          <w:sz w:val="20"/>
        </w:rPr>
        <w:t> </w:t>
      </w:r>
      <w:r>
        <w:rPr>
          <w:sz w:val="20"/>
        </w:rPr>
        <w:t>de</w:t>
      </w:r>
      <w:r>
        <w:rPr>
          <w:spacing w:val="-13"/>
          <w:sz w:val="20"/>
        </w:rPr>
        <w:t> </w:t>
      </w:r>
      <w:r>
        <w:rPr>
          <w:sz w:val="20"/>
        </w:rPr>
        <w:t>presentar</w:t>
      </w:r>
      <w:r>
        <w:rPr>
          <w:spacing w:val="-12"/>
          <w:sz w:val="20"/>
        </w:rPr>
        <w:t> </w:t>
      </w:r>
      <w:r>
        <w:rPr>
          <w:sz w:val="20"/>
        </w:rPr>
        <w:t>“información</w:t>
      </w:r>
      <w:r>
        <w:rPr>
          <w:spacing w:val="-9"/>
          <w:sz w:val="20"/>
        </w:rPr>
        <w:t> </w:t>
      </w:r>
      <w:r>
        <w:rPr>
          <w:sz w:val="20"/>
        </w:rPr>
        <w:t>concreta”</w:t>
      </w:r>
      <w:r>
        <w:rPr>
          <w:spacing w:val="-11"/>
          <w:sz w:val="20"/>
        </w:rPr>
        <w:t> </w:t>
      </w:r>
      <w:r>
        <w:rPr>
          <w:sz w:val="20"/>
        </w:rPr>
        <w:t>sobre</w:t>
      </w:r>
      <w:r>
        <w:rPr>
          <w:spacing w:val="-10"/>
          <w:sz w:val="20"/>
        </w:rPr>
        <w:t> </w:t>
      </w:r>
      <w:r>
        <w:rPr>
          <w:sz w:val="20"/>
        </w:rPr>
        <w:t>el</w:t>
      </w:r>
      <w:r>
        <w:rPr>
          <w:spacing w:val="-11"/>
          <w:sz w:val="20"/>
        </w:rPr>
        <w:t> </w:t>
      </w:r>
      <w:r>
        <w:rPr>
          <w:sz w:val="20"/>
        </w:rPr>
        <w:t>destino</w:t>
      </w:r>
      <w:r>
        <w:rPr>
          <w:spacing w:val="-12"/>
          <w:sz w:val="20"/>
        </w:rPr>
        <w:t> </w:t>
      </w:r>
      <w:r>
        <w:rPr>
          <w:sz w:val="20"/>
        </w:rPr>
        <w:t>que puede darse a los fondos “en el plazo de dos meses luego de dicta[da] la sentencia”. Solicitaron que este Tribunal determine el monto del fondo y que se implemente un Comité para su administración, con representación estatal, académica y de Lhaka Honhat.</w:t>
      </w:r>
    </w:p>
    <w:p>
      <w:pPr>
        <w:pStyle w:val="BodyText"/>
        <w:spacing w:before="1"/>
      </w:pPr>
    </w:p>
    <w:p>
      <w:pPr>
        <w:pStyle w:val="ListParagraph"/>
        <w:numPr>
          <w:ilvl w:val="0"/>
          <w:numId w:val="37"/>
        </w:numPr>
        <w:tabs>
          <w:tab w:pos="830" w:val="left" w:leader="none"/>
        </w:tabs>
        <w:spacing w:line="240" w:lineRule="auto" w:before="0" w:after="0"/>
        <w:ind w:left="122" w:right="124" w:firstLine="0"/>
        <w:jc w:val="both"/>
        <w:rPr>
          <w:sz w:val="20"/>
        </w:rPr>
      </w:pPr>
      <w:r>
        <w:rPr>
          <w:sz w:val="20"/>
        </w:rPr>
        <w:t>El</w:t>
      </w:r>
      <w:r>
        <w:rPr>
          <w:spacing w:val="-18"/>
          <w:sz w:val="20"/>
        </w:rPr>
        <w:t> </w:t>
      </w:r>
      <w:r>
        <w:rPr>
          <w:b/>
          <w:i/>
          <w:sz w:val="20"/>
        </w:rPr>
        <w:t>Estado</w:t>
      </w:r>
      <w:r>
        <w:rPr>
          <w:b/>
          <w:i/>
          <w:spacing w:val="-16"/>
          <w:sz w:val="20"/>
        </w:rPr>
        <w:t> </w:t>
      </w:r>
      <w:r>
        <w:rPr>
          <w:sz w:val="20"/>
        </w:rPr>
        <w:t>manifestó</w:t>
      </w:r>
      <w:r>
        <w:rPr>
          <w:spacing w:val="-20"/>
          <w:sz w:val="20"/>
        </w:rPr>
        <w:t> </w:t>
      </w:r>
      <w:r>
        <w:rPr>
          <w:sz w:val="20"/>
        </w:rPr>
        <w:t>que</w:t>
      </w:r>
      <w:r>
        <w:rPr>
          <w:spacing w:val="-20"/>
          <w:sz w:val="20"/>
        </w:rPr>
        <w:t> </w:t>
      </w:r>
      <w:r>
        <w:rPr>
          <w:sz w:val="20"/>
        </w:rPr>
        <w:t>“el</w:t>
      </w:r>
      <w:r>
        <w:rPr>
          <w:spacing w:val="-18"/>
          <w:sz w:val="20"/>
        </w:rPr>
        <w:t> </w:t>
      </w:r>
      <w:r>
        <w:rPr>
          <w:sz w:val="20"/>
        </w:rPr>
        <w:t>plazo</w:t>
      </w:r>
      <w:r>
        <w:rPr>
          <w:spacing w:val="-20"/>
          <w:sz w:val="20"/>
        </w:rPr>
        <w:t> </w:t>
      </w:r>
      <w:r>
        <w:rPr>
          <w:sz w:val="20"/>
        </w:rPr>
        <w:t>de</w:t>
      </w:r>
      <w:r>
        <w:rPr>
          <w:spacing w:val="-14"/>
          <w:sz w:val="20"/>
        </w:rPr>
        <w:t> </w:t>
      </w:r>
      <w:r>
        <w:rPr>
          <w:sz w:val="20"/>
        </w:rPr>
        <w:t>[seis]</w:t>
      </w:r>
      <w:r>
        <w:rPr>
          <w:spacing w:val="-18"/>
          <w:sz w:val="20"/>
        </w:rPr>
        <w:t> </w:t>
      </w:r>
      <w:r>
        <w:rPr>
          <w:sz w:val="20"/>
        </w:rPr>
        <w:t>meses”</w:t>
      </w:r>
      <w:r>
        <w:rPr>
          <w:spacing w:val="-19"/>
          <w:sz w:val="20"/>
        </w:rPr>
        <w:t> </w:t>
      </w:r>
      <w:r>
        <w:rPr>
          <w:sz w:val="20"/>
        </w:rPr>
        <w:t>para</w:t>
      </w:r>
      <w:r>
        <w:rPr>
          <w:spacing w:val="-18"/>
          <w:sz w:val="20"/>
        </w:rPr>
        <w:t> </w:t>
      </w:r>
      <w:r>
        <w:rPr>
          <w:sz w:val="20"/>
        </w:rPr>
        <w:t>la</w:t>
      </w:r>
      <w:r>
        <w:rPr>
          <w:spacing w:val="-17"/>
          <w:sz w:val="20"/>
        </w:rPr>
        <w:t> </w:t>
      </w:r>
      <w:r>
        <w:rPr>
          <w:i/>
          <w:sz w:val="20"/>
        </w:rPr>
        <w:t>titulación,</w:t>
      </w:r>
      <w:r>
        <w:rPr>
          <w:i/>
          <w:spacing w:val="-19"/>
          <w:sz w:val="20"/>
        </w:rPr>
        <w:t> </w:t>
      </w:r>
      <w:r>
        <w:rPr>
          <w:i/>
          <w:sz w:val="20"/>
        </w:rPr>
        <w:t>delimitación </w:t>
      </w:r>
      <w:r>
        <w:rPr>
          <w:i/>
          <w:sz w:val="20"/>
        </w:rPr>
        <w:t>y demarcación </w:t>
      </w:r>
      <w:r>
        <w:rPr>
          <w:sz w:val="20"/>
        </w:rPr>
        <w:t>es muy exiguo ya que lo que más demora son los acuerdos entre las familias</w:t>
      </w:r>
      <w:r>
        <w:rPr>
          <w:spacing w:val="-20"/>
          <w:sz w:val="20"/>
        </w:rPr>
        <w:t> </w:t>
      </w:r>
      <w:r>
        <w:rPr>
          <w:sz w:val="20"/>
        </w:rPr>
        <w:t>criollas</w:t>
      </w:r>
      <w:r>
        <w:rPr>
          <w:spacing w:val="-21"/>
          <w:sz w:val="20"/>
        </w:rPr>
        <w:t> </w:t>
      </w:r>
      <w:r>
        <w:rPr>
          <w:sz w:val="20"/>
        </w:rPr>
        <w:t>y</w:t>
      </w:r>
      <w:r>
        <w:rPr>
          <w:spacing w:val="-18"/>
          <w:sz w:val="20"/>
        </w:rPr>
        <w:t> </w:t>
      </w:r>
      <w:r>
        <w:rPr>
          <w:sz w:val="20"/>
        </w:rPr>
        <w:t>las</w:t>
      </w:r>
      <w:r>
        <w:rPr>
          <w:spacing w:val="-18"/>
          <w:sz w:val="20"/>
        </w:rPr>
        <w:t> </w:t>
      </w:r>
      <w:r>
        <w:rPr>
          <w:sz w:val="20"/>
        </w:rPr>
        <w:t>comunidades,</w:t>
      </w:r>
      <w:r>
        <w:rPr>
          <w:spacing w:val="-19"/>
          <w:sz w:val="20"/>
        </w:rPr>
        <w:t> </w:t>
      </w:r>
      <w:r>
        <w:rPr>
          <w:sz w:val="20"/>
        </w:rPr>
        <w:t>y</w:t>
      </w:r>
      <w:r>
        <w:rPr>
          <w:spacing w:val="-20"/>
          <w:sz w:val="20"/>
        </w:rPr>
        <w:t> </w:t>
      </w:r>
      <w:r>
        <w:rPr>
          <w:sz w:val="20"/>
        </w:rPr>
        <w:t>que</w:t>
      </w:r>
      <w:r>
        <w:rPr>
          <w:spacing w:val="-19"/>
          <w:sz w:val="20"/>
        </w:rPr>
        <w:t> </w:t>
      </w:r>
      <w:r>
        <w:rPr>
          <w:sz w:val="20"/>
        </w:rPr>
        <w:t>esto</w:t>
      </w:r>
      <w:r>
        <w:rPr>
          <w:spacing w:val="-19"/>
          <w:sz w:val="20"/>
        </w:rPr>
        <w:t> </w:t>
      </w:r>
      <w:r>
        <w:rPr>
          <w:sz w:val="20"/>
        </w:rPr>
        <w:t>no</w:t>
      </w:r>
      <w:r>
        <w:rPr>
          <w:spacing w:val="-21"/>
          <w:sz w:val="20"/>
        </w:rPr>
        <w:t> </w:t>
      </w:r>
      <w:r>
        <w:rPr>
          <w:sz w:val="20"/>
        </w:rPr>
        <w:t>depende</w:t>
      </w:r>
      <w:r>
        <w:rPr>
          <w:spacing w:val="-21"/>
          <w:sz w:val="20"/>
        </w:rPr>
        <w:t> </w:t>
      </w:r>
      <w:r>
        <w:rPr>
          <w:sz w:val="20"/>
        </w:rPr>
        <w:t>solo</w:t>
      </w:r>
      <w:r>
        <w:rPr>
          <w:spacing w:val="-19"/>
          <w:sz w:val="20"/>
        </w:rPr>
        <w:t> </w:t>
      </w:r>
      <w:r>
        <w:rPr>
          <w:sz w:val="20"/>
        </w:rPr>
        <w:t>de</w:t>
      </w:r>
      <w:r>
        <w:rPr>
          <w:spacing w:val="-21"/>
          <w:sz w:val="20"/>
        </w:rPr>
        <w:t> </w:t>
      </w:r>
      <w:r>
        <w:rPr>
          <w:sz w:val="20"/>
        </w:rPr>
        <w:t>la</w:t>
      </w:r>
      <w:r>
        <w:rPr>
          <w:spacing w:val="-18"/>
          <w:sz w:val="20"/>
        </w:rPr>
        <w:t> </w:t>
      </w:r>
      <w:r>
        <w:rPr>
          <w:sz w:val="20"/>
        </w:rPr>
        <w:t>voluntad</w:t>
      </w:r>
      <w:r>
        <w:rPr>
          <w:spacing w:val="-19"/>
          <w:sz w:val="20"/>
        </w:rPr>
        <w:t> </w:t>
      </w:r>
      <w:r>
        <w:rPr>
          <w:sz w:val="20"/>
        </w:rPr>
        <w:t>del</w:t>
      </w:r>
      <w:r>
        <w:rPr>
          <w:spacing w:val="-20"/>
          <w:sz w:val="20"/>
        </w:rPr>
        <w:t> </w:t>
      </w:r>
      <w:r>
        <w:rPr>
          <w:sz w:val="20"/>
        </w:rPr>
        <w:t>Estado. Estimó que requiere hasta un año para la demarcación del territorio, hasta 18 meses para la realización de mensuras</w:t>
      </w:r>
      <w:r>
        <w:rPr>
          <w:position w:val="7"/>
          <w:sz w:val="13"/>
        </w:rPr>
        <w:t>317</w:t>
      </w:r>
      <w:r>
        <w:rPr>
          <w:sz w:val="20"/>
        </w:rPr>
        <w:t>, y hasta dos años para “la entrega del título definitivo”. Pese a lo anterior, Argentina indicó también que es condición para la “demarcación,</w:t>
      </w:r>
      <w:r>
        <w:rPr>
          <w:spacing w:val="-11"/>
          <w:sz w:val="20"/>
        </w:rPr>
        <w:t> </w:t>
      </w:r>
      <w:r>
        <w:rPr>
          <w:sz w:val="20"/>
        </w:rPr>
        <w:t>delimitación</w:t>
      </w:r>
      <w:r>
        <w:rPr>
          <w:spacing w:val="-12"/>
          <w:sz w:val="20"/>
        </w:rPr>
        <w:t> </w:t>
      </w:r>
      <w:r>
        <w:rPr>
          <w:sz w:val="20"/>
        </w:rPr>
        <w:t>y</w:t>
      </w:r>
      <w:r>
        <w:rPr>
          <w:spacing w:val="-11"/>
          <w:sz w:val="20"/>
        </w:rPr>
        <w:t> </w:t>
      </w:r>
      <w:r>
        <w:rPr>
          <w:sz w:val="20"/>
        </w:rPr>
        <w:t>titulación”</w:t>
      </w:r>
      <w:r>
        <w:rPr>
          <w:spacing w:val="-8"/>
          <w:sz w:val="20"/>
        </w:rPr>
        <w:t> </w:t>
      </w:r>
      <w:r>
        <w:rPr>
          <w:sz w:val="20"/>
        </w:rPr>
        <w:t>el</w:t>
      </w:r>
      <w:r>
        <w:rPr>
          <w:spacing w:val="-8"/>
          <w:sz w:val="20"/>
        </w:rPr>
        <w:t> </w:t>
      </w:r>
      <w:r>
        <w:rPr>
          <w:i/>
          <w:sz w:val="20"/>
        </w:rPr>
        <w:t>traslado</w:t>
      </w:r>
      <w:r>
        <w:rPr>
          <w:i/>
          <w:spacing w:val="-14"/>
          <w:sz w:val="20"/>
        </w:rPr>
        <w:t> </w:t>
      </w:r>
      <w:r>
        <w:rPr>
          <w:i/>
          <w:sz w:val="20"/>
        </w:rPr>
        <w:t>de</w:t>
      </w:r>
      <w:r>
        <w:rPr>
          <w:i/>
          <w:spacing w:val="-12"/>
          <w:sz w:val="20"/>
        </w:rPr>
        <w:t> </w:t>
      </w:r>
      <w:r>
        <w:rPr>
          <w:i/>
          <w:sz w:val="20"/>
        </w:rPr>
        <w:t>familias</w:t>
      </w:r>
      <w:r>
        <w:rPr>
          <w:i/>
          <w:spacing w:val="-11"/>
          <w:sz w:val="20"/>
        </w:rPr>
        <w:t> </w:t>
      </w:r>
      <w:r>
        <w:rPr>
          <w:i/>
          <w:sz w:val="20"/>
        </w:rPr>
        <w:t>criollas</w:t>
      </w:r>
      <w:r>
        <w:rPr>
          <w:i/>
          <w:spacing w:val="-11"/>
          <w:sz w:val="20"/>
        </w:rPr>
        <w:t> </w:t>
      </w:r>
      <w:r>
        <w:rPr>
          <w:i/>
          <w:sz w:val="20"/>
        </w:rPr>
        <w:t>y</w:t>
      </w:r>
      <w:r>
        <w:rPr>
          <w:i/>
          <w:spacing w:val="-10"/>
          <w:sz w:val="20"/>
        </w:rPr>
        <w:t> </w:t>
      </w:r>
      <w:r>
        <w:rPr>
          <w:i/>
          <w:sz w:val="20"/>
        </w:rPr>
        <w:t>su</w:t>
      </w:r>
      <w:r>
        <w:rPr>
          <w:i/>
          <w:spacing w:val="-12"/>
          <w:sz w:val="20"/>
        </w:rPr>
        <w:t> </w:t>
      </w:r>
      <w:r>
        <w:rPr>
          <w:i/>
          <w:sz w:val="20"/>
        </w:rPr>
        <w:t>ganado</w:t>
      </w:r>
      <w:r>
        <w:rPr>
          <w:sz w:val="20"/>
        </w:rPr>
        <w:t>,</w:t>
      </w:r>
      <w:r>
        <w:rPr>
          <w:spacing w:val="-11"/>
          <w:sz w:val="20"/>
        </w:rPr>
        <w:t> </w:t>
      </w:r>
      <w:r>
        <w:rPr>
          <w:sz w:val="20"/>
        </w:rPr>
        <w:t>para</w:t>
      </w:r>
    </w:p>
    <w:p>
      <w:pPr>
        <w:pStyle w:val="BodyText"/>
        <w:spacing w:before="3"/>
        <w:rPr>
          <w:sz w:val="13"/>
        </w:rPr>
      </w:pPr>
      <w:r>
        <w:rPr/>
        <w:pict>
          <v:line style="position:absolute;mso-position-horizontal-relative:page;mso-position-vertical-relative:paragraph;z-index:3448;mso-wrap-distance-left:0;mso-wrap-distance-right:0" from="85.103996pt,10.377724pt" to="229.123996pt,10.377724pt" stroked="true" strokeweight=".71997pt" strokecolor="#000000">
            <v:stroke dashstyle="solid"/>
            <w10:wrap type="topAndBottom"/>
          </v:line>
        </w:pict>
      </w:r>
    </w:p>
    <w:p>
      <w:pPr>
        <w:tabs>
          <w:tab w:pos="829" w:val="left" w:leader="none"/>
        </w:tabs>
        <w:spacing w:before="71"/>
        <w:ind w:left="122" w:right="115" w:firstLine="0"/>
        <w:jc w:val="both"/>
        <w:rPr>
          <w:sz w:val="16"/>
        </w:rPr>
      </w:pPr>
      <w:r>
        <w:rPr>
          <w:position w:val="6"/>
          <w:sz w:val="10"/>
        </w:rPr>
        <w:t>316</w:t>
        <w:tab/>
      </w:r>
      <w:r>
        <w:rPr>
          <w:sz w:val="16"/>
        </w:rPr>
        <w:t>Los  representantes  consideraron  que  “respecto  de  la  metodología  de  trabajo  en   terreno, </w:t>
      </w:r>
      <w:r>
        <w:rPr>
          <w:spacing w:val="4"/>
          <w:sz w:val="16"/>
        </w:rPr>
        <w:t> </w:t>
      </w:r>
      <w:r>
        <w:rPr>
          <w:sz w:val="16"/>
        </w:rPr>
        <w:t>es</w:t>
      </w:r>
      <w:r>
        <w:rPr>
          <w:w w:val="100"/>
          <w:sz w:val="16"/>
        </w:rPr>
        <w:t> </w:t>
      </w:r>
      <w:r>
        <w:rPr>
          <w:sz w:val="16"/>
        </w:rPr>
        <w:t>imprescindible[,]</w:t>
      </w:r>
      <w:r>
        <w:rPr>
          <w:spacing w:val="-8"/>
          <w:sz w:val="16"/>
        </w:rPr>
        <w:t> </w:t>
      </w:r>
      <w:r>
        <w:rPr>
          <w:sz w:val="16"/>
        </w:rPr>
        <w:t>en</w:t>
      </w:r>
      <w:r>
        <w:rPr>
          <w:spacing w:val="-8"/>
          <w:sz w:val="16"/>
        </w:rPr>
        <w:t> </w:t>
      </w:r>
      <w:r>
        <w:rPr>
          <w:sz w:val="16"/>
        </w:rPr>
        <w:t>casos</w:t>
      </w:r>
      <w:r>
        <w:rPr>
          <w:spacing w:val="-7"/>
          <w:sz w:val="16"/>
        </w:rPr>
        <w:t> </w:t>
      </w:r>
      <w:r>
        <w:rPr>
          <w:sz w:val="16"/>
        </w:rPr>
        <w:t>en</w:t>
      </w:r>
      <w:r>
        <w:rPr>
          <w:spacing w:val="-10"/>
          <w:sz w:val="16"/>
        </w:rPr>
        <w:t> </w:t>
      </w:r>
      <w:r>
        <w:rPr>
          <w:sz w:val="16"/>
        </w:rPr>
        <w:t>que</w:t>
      </w:r>
      <w:r>
        <w:rPr>
          <w:spacing w:val="-7"/>
          <w:sz w:val="16"/>
        </w:rPr>
        <w:t> </w:t>
      </w:r>
      <w:r>
        <w:rPr>
          <w:sz w:val="16"/>
        </w:rPr>
        <w:t>no</w:t>
      </w:r>
      <w:r>
        <w:rPr>
          <w:spacing w:val="-7"/>
          <w:sz w:val="16"/>
        </w:rPr>
        <w:t> </w:t>
      </w:r>
      <w:r>
        <w:rPr>
          <w:sz w:val="16"/>
        </w:rPr>
        <w:t>hubiere</w:t>
      </w:r>
      <w:r>
        <w:rPr>
          <w:spacing w:val="-7"/>
          <w:sz w:val="16"/>
        </w:rPr>
        <w:t> </w:t>
      </w:r>
      <w:r>
        <w:rPr>
          <w:sz w:val="16"/>
        </w:rPr>
        <w:t>acuerdo</w:t>
      </w:r>
      <w:r>
        <w:rPr>
          <w:spacing w:val="-7"/>
          <w:sz w:val="16"/>
        </w:rPr>
        <w:t> </w:t>
      </w:r>
      <w:r>
        <w:rPr>
          <w:sz w:val="16"/>
        </w:rPr>
        <w:t>con</w:t>
      </w:r>
      <w:r>
        <w:rPr>
          <w:spacing w:val="-8"/>
          <w:sz w:val="16"/>
        </w:rPr>
        <w:t> </w:t>
      </w:r>
      <w:r>
        <w:rPr>
          <w:sz w:val="16"/>
        </w:rPr>
        <w:t>los</w:t>
      </w:r>
      <w:r>
        <w:rPr>
          <w:spacing w:val="-7"/>
          <w:sz w:val="16"/>
        </w:rPr>
        <w:t> </w:t>
      </w:r>
      <w:r>
        <w:rPr>
          <w:sz w:val="16"/>
        </w:rPr>
        <w:t>criollos,</w:t>
      </w:r>
      <w:r>
        <w:rPr>
          <w:spacing w:val="-8"/>
          <w:sz w:val="16"/>
        </w:rPr>
        <w:t> </w:t>
      </w:r>
      <w:r>
        <w:rPr>
          <w:sz w:val="16"/>
        </w:rPr>
        <w:t>que</w:t>
      </w:r>
      <w:r>
        <w:rPr>
          <w:spacing w:val="-7"/>
          <w:sz w:val="16"/>
        </w:rPr>
        <w:t> </w:t>
      </w:r>
      <w:r>
        <w:rPr>
          <w:sz w:val="16"/>
        </w:rPr>
        <w:t>se</w:t>
      </w:r>
      <w:r>
        <w:rPr>
          <w:spacing w:val="-7"/>
          <w:sz w:val="16"/>
        </w:rPr>
        <w:t> </w:t>
      </w:r>
      <w:r>
        <w:rPr>
          <w:sz w:val="16"/>
        </w:rPr>
        <w:t>instituyan</w:t>
      </w:r>
      <w:r>
        <w:rPr>
          <w:spacing w:val="-8"/>
          <w:sz w:val="16"/>
        </w:rPr>
        <w:t> </w:t>
      </w:r>
      <w:r>
        <w:rPr>
          <w:sz w:val="16"/>
        </w:rPr>
        <w:t>con</w:t>
      </w:r>
      <w:r>
        <w:rPr>
          <w:spacing w:val="-8"/>
          <w:sz w:val="16"/>
        </w:rPr>
        <w:t> </w:t>
      </w:r>
      <w:r>
        <w:rPr>
          <w:sz w:val="16"/>
        </w:rPr>
        <w:t>urgencia</w:t>
      </w:r>
      <w:r>
        <w:rPr>
          <w:spacing w:val="-9"/>
          <w:sz w:val="16"/>
        </w:rPr>
        <w:t> </w:t>
      </w:r>
      <w:r>
        <w:rPr>
          <w:sz w:val="16"/>
        </w:rPr>
        <w:t>los</w:t>
      </w:r>
      <w:r>
        <w:rPr>
          <w:spacing w:val="-9"/>
          <w:sz w:val="16"/>
        </w:rPr>
        <w:t> </w:t>
      </w:r>
      <w:r>
        <w:rPr>
          <w:sz w:val="16"/>
        </w:rPr>
        <w:t>pasos administrativos</w:t>
      </w:r>
      <w:r>
        <w:rPr>
          <w:spacing w:val="-11"/>
          <w:sz w:val="16"/>
        </w:rPr>
        <w:t> </w:t>
      </w:r>
      <w:r>
        <w:rPr>
          <w:sz w:val="16"/>
        </w:rPr>
        <w:t>y</w:t>
      </w:r>
      <w:r>
        <w:rPr>
          <w:spacing w:val="-10"/>
          <w:sz w:val="16"/>
        </w:rPr>
        <w:t> </w:t>
      </w:r>
      <w:r>
        <w:rPr>
          <w:sz w:val="16"/>
        </w:rPr>
        <w:t>legales</w:t>
      </w:r>
      <w:r>
        <w:rPr>
          <w:spacing w:val="-8"/>
          <w:sz w:val="16"/>
        </w:rPr>
        <w:t> </w:t>
      </w:r>
      <w:r>
        <w:rPr>
          <w:sz w:val="16"/>
        </w:rPr>
        <w:t>necesarios,</w:t>
      </w:r>
      <w:r>
        <w:rPr>
          <w:spacing w:val="-11"/>
          <w:sz w:val="16"/>
        </w:rPr>
        <w:t> </w:t>
      </w:r>
      <w:r>
        <w:rPr>
          <w:sz w:val="16"/>
        </w:rPr>
        <w:t>conforme</w:t>
      </w:r>
      <w:r>
        <w:rPr>
          <w:spacing w:val="-11"/>
          <w:sz w:val="16"/>
        </w:rPr>
        <w:t> </w:t>
      </w:r>
      <w:r>
        <w:rPr>
          <w:sz w:val="16"/>
        </w:rPr>
        <w:t>estándares</w:t>
      </w:r>
      <w:r>
        <w:rPr>
          <w:spacing w:val="-10"/>
          <w:sz w:val="16"/>
        </w:rPr>
        <w:t> </w:t>
      </w:r>
      <w:r>
        <w:rPr>
          <w:sz w:val="16"/>
        </w:rPr>
        <w:t>del</w:t>
      </w:r>
      <w:r>
        <w:rPr>
          <w:spacing w:val="-9"/>
          <w:sz w:val="16"/>
        </w:rPr>
        <w:t> </w:t>
      </w:r>
      <w:r>
        <w:rPr>
          <w:sz w:val="16"/>
        </w:rPr>
        <w:t>Sistema</w:t>
      </w:r>
      <w:r>
        <w:rPr>
          <w:spacing w:val="-12"/>
          <w:sz w:val="16"/>
        </w:rPr>
        <w:t> </w:t>
      </w:r>
      <w:r>
        <w:rPr>
          <w:sz w:val="16"/>
        </w:rPr>
        <w:t>Interamericano</w:t>
      </w:r>
      <w:r>
        <w:rPr>
          <w:spacing w:val="-10"/>
          <w:sz w:val="16"/>
        </w:rPr>
        <w:t> </w:t>
      </w:r>
      <w:r>
        <w:rPr>
          <w:sz w:val="16"/>
        </w:rPr>
        <w:t>de</w:t>
      </w:r>
      <w:r>
        <w:rPr>
          <w:spacing w:val="-10"/>
          <w:sz w:val="16"/>
        </w:rPr>
        <w:t> </w:t>
      </w:r>
      <w:r>
        <w:rPr>
          <w:sz w:val="16"/>
        </w:rPr>
        <w:t>Derechos</w:t>
      </w:r>
      <w:r>
        <w:rPr>
          <w:spacing w:val="-8"/>
          <w:sz w:val="16"/>
        </w:rPr>
        <w:t> </w:t>
      </w:r>
      <w:r>
        <w:rPr>
          <w:sz w:val="16"/>
        </w:rPr>
        <w:t>Humanos, para restituir a la máxima brevedad, la posesión y propiedad a las comunidades indígenas[;] [i]ncrementar equipos</w:t>
      </w:r>
      <w:r>
        <w:rPr>
          <w:spacing w:val="-8"/>
          <w:sz w:val="16"/>
        </w:rPr>
        <w:t> </w:t>
      </w:r>
      <w:r>
        <w:rPr>
          <w:sz w:val="16"/>
        </w:rPr>
        <w:t>con</w:t>
      </w:r>
      <w:r>
        <w:rPr>
          <w:spacing w:val="-9"/>
          <w:sz w:val="16"/>
        </w:rPr>
        <w:t> </w:t>
      </w:r>
      <w:r>
        <w:rPr>
          <w:sz w:val="16"/>
        </w:rPr>
        <w:t>personal</w:t>
      </w:r>
      <w:r>
        <w:rPr>
          <w:spacing w:val="-9"/>
          <w:sz w:val="16"/>
        </w:rPr>
        <w:t> </w:t>
      </w:r>
      <w:r>
        <w:rPr>
          <w:sz w:val="16"/>
        </w:rPr>
        <w:t>suficiente</w:t>
      </w:r>
      <w:r>
        <w:rPr>
          <w:spacing w:val="-8"/>
          <w:sz w:val="16"/>
        </w:rPr>
        <w:t> </w:t>
      </w:r>
      <w:r>
        <w:rPr>
          <w:sz w:val="16"/>
        </w:rPr>
        <w:t>y</w:t>
      </w:r>
      <w:r>
        <w:rPr>
          <w:spacing w:val="-10"/>
          <w:sz w:val="16"/>
        </w:rPr>
        <w:t> </w:t>
      </w:r>
      <w:r>
        <w:rPr>
          <w:sz w:val="16"/>
        </w:rPr>
        <w:t>estable,</w:t>
      </w:r>
      <w:r>
        <w:rPr>
          <w:spacing w:val="-9"/>
          <w:sz w:val="16"/>
        </w:rPr>
        <w:t> </w:t>
      </w:r>
      <w:r>
        <w:rPr>
          <w:sz w:val="16"/>
        </w:rPr>
        <w:t>que</w:t>
      </w:r>
      <w:r>
        <w:rPr>
          <w:spacing w:val="-11"/>
          <w:sz w:val="16"/>
        </w:rPr>
        <w:t> </w:t>
      </w:r>
      <w:r>
        <w:rPr>
          <w:sz w:val="16"/>
        </w:rPr>
        <w:t>permitan</w:t>
      </w:r>
      <w:r>
        <w:rPr>
          <w:spacing w:val="-9"/>
          <w:sz w:val="16"/>
        </w:rPr>
        <w:t> </w:t>
      </w:r>
      <w:r>
        <w:rPr>
          <w:sz w:val="16"/>
        </w:rPr>
        <w:t>concluir</w:t>
      </w:r>
      <w:r>
        <w:rPr>
          <w:spacing w:val="-8"/>
          <w:sz w:val="16"/>
        </w:rPr>
        <w:t> </w:t>
      </w:r>
      <w:r>
        <w:rPr>
          <w:sz w:val="16"/>
        </w:rPr>
        <w:t>con</w:t>
      </w:r>
      <w:r>
        <w:rPr>
          <w:spacing w:val="-9"/>
          <w:sz w:val="16"/>
        </w:rPr>
        <w:t> </w:t>
      </w:r>
      <w:r>
        <w:rPr>
          <w:sz w:val="16"/>
        </w:rPr>
        <w:t>urgencia</w:t>
      </w:r>
      <w:r>
        <w:rPr>
          <w:spacing w:val="-9"/>
          <w:sz w:val="16"/>
        </w:rPr>
        <w:t> </w:t>
      </w:r>
      <w:r>
        <w:rPr>
          <w:sz w:val="16"/>
        </w:rPr>
        <w:t>el</w:t>
      </w:r>
      <w:r>
        <w:rPr>
          <w:spacing w:val="-9"/>
          <w:sz w:val="16"/>
        </w:rPr>
        <w:t> </w:t>
      </w:r>
      <w:r>
        <w:rPr>
          <w:sz w:val="16"/>
        </w:rPr>
        <w:t>trabajo</w:t>
      </w:r>
      <w:r>
        <w:rPr>
          <w:spacing w:val="-8"/>
          <w:sz w:val="16"/>
        </w:rPr>
        <w:t> </w:t>
      </w:r>
      <w:r>
        <w:rPr>
          <w:sz w:val="16"/>
        </w:rPr>
        <w:t>técnico</w:t>
      </w:r>
      <w:r>
        <w:rPr>
          <w:spacing w:val="-8"/>
          <w:sz w:val="16"/>
        </w:rPr>
        <w:t> </w:t>
      </w:r>
      <w:r>
        <w:rPr>
          <w:sz w:val="16"/>
        </w:rPr>
        <w:t>en</w:t>
      </w:r>
      <w:r>
        <w:rPr>
          <w:spacing w:val="-9"/>
          <w:sz w:val="16"/>
        </w:rPr>
        <w:t> </w:t>
      </w:r>
      <w:r>
        <w:rPr>
          <w:sz w:val="16"/>
        </w:rPr>
        <w:t>terreno</w:t>
      </w:r>
      <w:r>
        <w:rPr>
          <w:spacing w:val="-8"/>
          <w:sz w:val="16"/>
        </w:rPr>
        <w:t> </w:t>
      </w:r>
      <w:r>
        <w:rPr>
          <w:sz w:val="16"/>
        </w:rPr>
        <w:t>[…] (delimitación y demarcación)[;] [d]iseñar estrategias de trabajo, con participación y consulta con las comunidades</w:t>
      </w:r>
      <w:r>
        <w:rPr>
          <w:spacing w:val="-10"/>
          <w:sz w:val="16"/>
        </w:rPr>
        <w:t> </w:t>
      </w:r>
      <w:r>
        <w:rPr>
          <w:sz w:val="16"/>
        </w:rPr>
        <w:t>indígenas,</w:t>
      </w:r>
      <w:r>
        <w:rPr>
          <w:spacing w:val="-11"/>
          <w:sz w:val="16"/>
        </w:rPr>
        <w:t> </w:t>
      </w:r>
      <w:r>
        <w:rPr>
          <w:sz w:val="16"/>
        </w:rPr>
        <w:t>que</w:t>
      </w:r>
      <w:r>
        <w:rPr>
          <w:spacing w:val="-13"/>
          <w:sz w:val="16"/>
        </w:rPr>
        <w:t> </w:t>
      </w:r>
      <w:r>
        <w:rPr>
          <w:sz w:val="16"/>
        </w:rPr>
        <w:t>permitan</w:t>
      </w:r>
      <w:r>
        <w:rPr>
          <w:spacing w:val="-12"/>
          <w:sz w:val="16"/>
        </w:rPr>
        <w:t> </w:t>
      </w:r>
      <w:r>
        <w:rPr>
          <w:sz w:val="16"/>
        </w:rPr>
        <w:t>incrementar</w:t>
      </w:r>
      <w:r>
        <w:rPr>
          <w:spacing w:val="-10"/>
          <w:sz w:val="16"/>
        </w:rPr>
        <w:t> </w:t>
      </w:r>
      <w:r>
        <w:rPr>
          <w:sz w:val="16"/>
        </w:rPr>
        <w:t>todos</w:t>
      </w:r>
      <w:r>
        <w:rPr>
          <w:spacing w:val="-10"/>
          <w:sz w:val="16"/>
        </w:rPr>
        <w:t> </w:t>
      </w:r>
      <w:r>
        <w:rPr>
          <w:sz w:val="16"/>
        </w:rPr>
        <w:t>los</w:t>
      </w:r>
      <w:r>
        <w:rPr>
          <w:spacing w:val="-13"/>
          <w:sz w:val="16"/>
        </w:rPr>
        <w:t> </w:t>
      </w:r>
      <w:r>
        <w:rPr>
          <w:sz w:val="16"/>
        </w:rPr>
        <w:t>esfuerzos</w:t>
      </w:r>
      <w:r>
        <w:rPr>
          <w:spacing w:val="-10"/>
          <w:sz w:val="16"/>
        </w:rPr>
        <w:t> </w:t>
      </w:r>
      <w:r>
        <w:rPr>
          <w:sz w:val="16"/>
        </w:rPr>
        <w:t>de</w:t>
      </w:r>
      <w:r>
        <w:rPr>
          <w:spacing w:val="-10"/>
          <w:sz w:val="16"/>
        </w:rPr>
        <w:t> </w:t>
      </w:r>
      <w:r>
        <w:rPr>
          <w:sz w:val="16"/>
        </w:rPr>
        <w:t>trabajo</w:t>
      </w:r>
      <w:r>
        <w:rPr>
          <w:spacing w:val="-12"/>
          <w:sz w:val="16"/>
        </w:rPr>
        <w:t> </w:t>
      </w:r>
      <w:r>
        <w:rPr>
          <w:sz w:val="16"/>
        </w:rPr>
        <w:t>[...]</w:t>
      </w:r>
      <w:r>
        <w:rPr>
          <w:spacing w:val="-12"/>
          <w:sz w:val="16"/>
        </w:rPr>
        <w:t> </w:t>
      </w:r>
      <w:r>
        <w:rPr>
          <w:sz w:val="16"/>
        </w:rPr>
        <w:t>en</w:t>
      </w:r>
      <w:r>
        <w:rPr>
          <w:spacing w:val="-11"/>
          <w:sz w:val="16"/>
        </w:rPr>
        <w:t> </w:t>
      </w:r>
      <w:r>
        <w:rPr>
          <w:sz w:val="16"/>
        </w:rPr>
        <w:t>la</w:t>
      </w:r>
      <w:r>
        <w:rPr>
          <w:spacing w:val="-11"/>
          <w:sz w:val="16"/>
        </w:rPr>
        <w:t> </w:t>
      </w:r>
      <w:r>
        <w:rPr>
          <w:sz w:val="16"/>
        </w:rPr>
        <w:t>época</w:t>
      </w:r>
      <w:r>
        <w:rPr>
          <w:spacing w:val="-11"/>
          <w:sz w:val="16"/>
        </w:rPr>
        <w:t> </w:t>
      </w:r>
      <w:r>
        <w:rPr>
          <w:sz w:val="16"/>
        </w:rPr>
        <w:t>no</w:t>
      </w:r>
      <w:r>
        <w:rPr>
          <w:spacing w:val="-12"/>
          <w:sz w:val="16"/>
        </w:rPr>
        <w:t> </w:t>
      </w:r>
      <w:r>
        <w:rPr>
          <w:sz w:val="16"/>
        </w:rPr>
        <w:t>estival[;] [e]n caso de acuerdos con familias criollas que requieren traslados, avanzar en su instrumentación mediante la</w:t>
      </w:r>
      <w:r>
        <w:rPr>
          <w:spacing w:val="-7"/>
          <w:sz w:val="16"/>
        </w:rPr>
        <w:t> </w:t>
      </w:r>
      <w:r>
        <w:rPr>
          <w:sz w:val="16"/>
        </w:rPr>
        <w:t>protocolización</w:t>
      </w:r>
      <w:r>
        <w:rPr>
          <w:spacing w:val="-7"/>
          <w:sz w:val="16"/>
        </w:rPr>
        <w:t> </w:t>
      </w:r>
      <w:r>
        <w:rPr>
          <w:sz w:val="16"/>
        </w:rPr>
        <w:t>con</w:t>
      </w:r>
      <w:r>
        <w:rPr>
          <w:spacing w:val="-9"/>
          <w:sz w:val="16"/>
        </w:rPr>
        <w:t> </w:t>
      </w:r>
      <w:r>
        <w:rPr>
          <w:sz w:val="16"/>
        </w:rPr>
        <w:t>la</w:t>
      </w:r>
      <w:r>
        <w:rPr>
          <w:spacing w:val="-7"/>
          <w:sz w:val="16"/>
        </w:rPr>
        <w:t> </w:t>
      </w:r>
      <w:r>
        <w:rPr>
          <w:sz w:val="16"/>
        </w:rPr>
        <w:t>Escribanía</w:t>
      </w:r>
      <w:r>
        <w:rPr>
          <w:spacing w:val="-7"/>
          <w:sz w:val="16"/>
        </w:rPr>
        <w:t> </w:t>
      </w:r>
      <w:r>
        <w:rPr>
          <w:sz w:val="16"/>
        </w:rPr>
        <w:t>de</w:t>
      </w:r>
      <w:r>
        <w:rPr>
          <w:spacing w:val="-6"/>
          <w:sz w:val="16"/>
        </w:rPr>
        <w:t> </w:t>
      </w:r>
      <w:r>
        <w:rPr>
          <w:sz w:val="16"/>
        </w:rPr>
        <w:t>Gobierno</w:t>
      </w:r>
      <w:r>
        <w:rPr>
          <w:spacing w:val="-8"/>
          <w:sz w:val="16"/>
        </w:rPr>
        <w:t> </w:t>
      </w:r>
      <w:r>
        <w:rPr>
          <w:sz w:val="16"/>
        </w:rPr>
        <w:t>y</w:t>
      </w:r>
      <w:r>
        <w:rPr>
          <w:spacing w:val="-5"/>
          <w:sz w:val="16"/>
        </w:rPr>
        <w:t> </w:t>
      </w:r>
      <w:r>
        <w:rPr>
          <w:sz w:val="16"/>
        </w:rPr>
        <w:t>las</w:t>
      </w:r>
      <w:r>
        <w:rPr>
          <w:spacing w:val="-8"/>
          <w:sz w:val="16"/>
        </w:rPr>
        <w:t> </w:t>
      </w:r>
      <w:r>
        <w:rPr>
          <w:sz w:val="16"/>
        </w:rPr>
        <w:t>tareas</w:t>
      </w:r>
      <w:r>
        <w:rPr>
          <w:spacing w:val="-11"/>
          <w:sz w:val="16"/>
        </w:rPr>
        <w:t> </w:t>
      </w:r>
      <w:r>
        <w:rPr>
          <w:sz w:val="16"/>
        </w:rPr>
        <w:t>de</w:t>
      </w:r>
      <w:r>
        <w:rPr>
          <w:spacing w:val="-8"/>
          <w:sz w:val="16"/>
        </w:rPr>
        <w:t> </w:t>
      </w:r>
      <w:r>
        <w:rPr>
          <w:sz w:val="16"/>
        </w:rPr>
        <w:t>delimitación</w:t>
      </w:r>
      <w:r>
        <w:rPr>
          <w:spacing w:val="-7"/>
          <w:sz w:val="16"/>
        </w:rPr>
        <w:t> </w:t>
      </w:r>
      <w:r>
        <w:rPr>
          <w:sz w:val="16"/>
        </w:rPr>
        <w:t>y</w:t>
      </w:r>
      <w:r>
        <w:rPr>
          <w:spacing w:val="-8"/>
          <w:sz w:val="16"/>
        </w:rPr>
        <w:t> </w:t>
      </w:r>
      <w:r>
        <w:rPr>
          <w:sz w:val="16"/>
        </w:rPr>
        <w:t>demarcación</w:t>
      </w:r>
      <w:r>
        <w:rPr>
          <w:spacing w:val="-7"/>
          <w:sz w:val="16"/>
        </w:rPr>
        <w:t> </w:t>
      </w:r>
      <w:r>
        <w:rPr>
          <w:sz w:val="16"/>
        </w:rPr>
        <w:t>con</w:t>
      </w:r>
      <w:r>
        <w:rPr>
          <w:spacing w:val="-7"/>
          <w:sz w:val="16"/>
        </w:rPr>
        <w:t> </w:t>
      </w:r>
      <w:r>
        <w:rPr>
          <w:sz w:val="16"/>
        </w:rPr>
        <w:t>la</w:t>
      </w:r>
      <w:r>
        <w:rPr>
          <w:spacing w:val="-7"/>
          <w:sz w:val="16"/>
        </w:rPr>
        <w:t> </w:t>
      </w:r>
      <w:r>
        <w:rPr>
          <w:sz w:val="16"/>
        </w:rPr>
        <w:t>intervención de agrimensores a fin de que den las ubicaciones precisas en un plano que luego debe ser registrado en la Dirección General de Inmuebles de la Provincia de</w:t>
      </w:r>
      <w:r>
        <w:rPr>
          <w:spacing w:val="-17"/>
          <w:sz w:val="16"/>
        </w:rPr>
        <w:t> </w:t>
      </w:r>
      <w:r>
        <w:rPr>
          <w:sz w:val="16"/>
        </w:rPr>
        <w:t>Salta”.</w:t>
      </w:r>
    </w:p>
    <w:p>
      <w:pPr>
        <w:pStyle w:val="BodyText"/>
        <w:spacing w:before="1"/>
        <w:rPr>
          <w:sz w:val="16"/>
        </w:rPr>
      </w:pPr>
    </w:p>
    <w:p>
      <w:pPr>
        <w:tabs>
          <w:tab w:pos="829" w:val="left" w:leader="none"/>
        </w:tabs>
        <w:spacing w:before="0"/>
        <w:ind w:left="122" w:right="0" w:firstLine="0"/>
        <w:jc w:val="both"/>
        <w:rPr>
          <w:sz w:val="16"/>
        </w:rPr>
      </w:pPr>
      <w:r>
        <w:rPr>
          <w:position w:val="6"/>
          <w:sz w:val="10"/>
        </w:rPr>
        <w:t>317</w:t>
        <w:tab/>
      </w:r>
      <w:r>
        <w:rPr>
          <w:i/>
          <w:sz w:val="16"/>
        </w:rPr>
        <w:t>Cfr. </w:t>
      </w:r>
      <w:r>
        <w:rPr>
          <w:sz w:val="16"/>
        </w:rPr>
        <w:t>“Propuesta Integral de</w:t>
      </w:r>
      <w:r>
        <w:rPr>
          <w:spacing w:val="-12"/>
          <w:sz w:val="16"/>
        </w:rPr>
        <w:t> </w:t>
      </w:r>
      <w:r>
        <w:rPr>
          <w:sz w:val="16"/>
        </w:rPr>
        <w:t>Trabajo”.</w:t>
      </w:r>
    </w:p>
    <w:p>
      <w:pPr>
        <w:spacing w:after="0"/>
        <w:jc w:val="both"/>
        <w:rPr>
          <w:sz w:val="16"/>
        </w:rPr>
        <w:sectPr>
          <w:pgSz w:w="12240" w:h="15840"/>
          <w:pgMar w:header="0" w:footer="1000" w:top="1340" w:bottom="1200" w:left="1580" w:right="1580"/>
        </w:sectPr>
      </w:pPr>
    </w:p>
    <w:p>
      <w:pPr>
        <w:pStyle w:val="BodyText"/>
        <w:spacing w:before="76"/>
        <w:ind w:left="122" w:right="119"/>
        <w:jc w:val="both"/>
      </w:pPr>
      <w:r>
        <w:rPr/>
        <w:t>lo que requiere un plazo estimado de ocho años, dadas las diversas acciones y obras que</w:t>
      </w:r>
      <w:r>
        <w:rPr>
          <w:spacing w:val="-10"/>
        </w:rPr>
        <w:t> </w:t>
      </w:r>
      <w:r>
        <w:rPr/>
        <w:t>es</w:t>
      </w:r>
      <w:r>
        <w:rPr>
          <w:spacing w:val="-10"/>
        </w:rPr>
        <w:t> </w:t>
      </w:r>
      <w:r>
        <w:rPr/>
        <w:t>necesario</w:t>
      </w:r>
      <w:r>
        <w:rPr>
          <w:spacing w:val="-8"/>
        </w:rPr>
        <w:t> </w:t>
      </w:r>
      <w:r>
        <w:rPr/>
        <w:t>realizar</w:t>
      </w:r>
      <w:r>
        <w:rPr>
          <w:position w:val="7"/>
          <w:sz w:val="13"/>
        </w:rPr>
        <w:t>318</w:t>
      </w:r>
      <w:r>
        <w:rPr/>
        <w:t>.</w:t>
      </w:r>
      <w:r>
        <w:rPr>
          <w:spacing w:val="-9"/>
        </w:rPr>
        <w:t> </w:t>
      </w:r>
      <w:r>
        <w:rPr/>
        <w:t>Argentina</w:t>
      </w:r>
      <w:r>
        <w:rPr>
          <w:spacing w:val="-9"/>
        </w:rPr>
        <w:t> </w:t>
      </w:r>
      <w:r>
        <w:rPr/>
        <w:t>entendió</w:t>
      </w:r>
      <w:r>
        <w:rPr>
          <w:spacing w:val="-10"/>
        </w:rPr>
        <w:t> </w:t>
      </w:r>
      <w:r>
        <w:rPr/>
        <w:t>“incongruente”</w:t>
      </w:r>
      <w:r>
        <w:rPr>
          <w:spacing w:val="-9"/>
        </w:rPr>
        <w:t> </w:t>
      </w:r>
      <w:r>
        <w:rPr/>
        <w:t>las</w:t>
      </w:r>
      <w:r>
        <w:rPr>
          <w:spacing w:val="-7"/>
        </w:rPr>
        <w:t> </w:t>
      </w:r>
      <w:r>
        <w:rPr/>
        <w:t>solicitudes</w:t>
      </w:r>
      <w:r>
        <w:rPr>
          <w:spacing w:val="-5"/>
        </w:rPr>
        <w:t> </w:t>
      </w:r>
      <w:r>
        <w:rPr/>
        <w:t>de</w:t>
      </w:r>
      <w:r>
        <w:rPr>
          <w:spacing w:val="-10"/>
        </w:rPr>
        <w:t> </w:t>
      </w:r>
      <w:r>
        <w:rPr/>
        <w:t>que</w:t>
      </w:r>
      <w:r>
        <w:rPr>
          <w:spacing w:val="-10"/>
        </w:rPr>
        <w:t> </w:t>
      </w:r>
      <w:r>
        <w:rPr>
          <w:spacing w:val="4"/>
        </w:rPr>
        <w:t>se </w:t>
      </w:r>
      <w:r>
        <w:rPr/>
        <w:t>fijen plazos de seis meses y de dos años, respectivamente, para la delimitación, demarcación y titulación del territorio y para la reubicación de familias criollas. Resaltó la importancia de que, para este último fin, “se insista en el proceso de acuerdo entre partes (indígenas y criollos)”. Solicitó que “se tome[n] en cuenta los plazos propuestos en el plan integral” presentado a la Comisión (</w:t>
      </w:r>
      <w:r>
        <w:rPr>
          <w:i/>
        </w:rPr>
        <w:t>supra </w:t>
      </w:r>
      <w:r>
        <w:rPr/>
        <w:t>párr. 85), que coinciden con los expresados.</w:t>
      </w:r>
    </w:p>
    <w:p>
      <w:pPr>
        <w:pStyle w:val="BodyText"/>
      </w:pPr>
    </w:p>
    <w:p>
      <w:pPr>
        <w:pStyle w:val="ListParagraph"/>
        <w:numPr>
          <w:ilvl w:val="0"/>
          <w:numId w:val="37"/>
        </w:numPr>
        <w:tabs>
          <w:tab w:pos="830" w:val="left" w:leader="none"/>
        </w:tabs>
        <w:spacing w:line="240" w:lineRule="auto" w:before="0" w:after="0"/>
        <w:ind w:left="122" w:right="123" w:firstLine="0"/>
        <w:jc w:val="both"/>
        <w:rPr>
          <w:sz w:val="20"/>
        </w:rPr>
      </w:pPr>
      <w:r>
        <w:rPr>
          <w:sz w:val="20"/>
        </w:rPr>
        <w:t>Por otra parte, el Estado afirmó que los </w:t>
      </w:r>
      <w:r>
        <w:rPr>
          <w:i/>
          <w:sz w:val="20"/>
        </w:rPr>
        <w:t>alambrados </w:t>
      </w:r>
      <w:r>
        <w:rPr>
          <w:sz w:val="20"/>
        </w:rPr>
        <w:t>de las familias criollas serán removidos “a medida que las familias efectivicen su relocalización”</w:t>
      </w:r>
      <w:r>
        <w:rPr>
          <w:position w:val="7"/>
          <w:sz w:val="13"/>
        </w:rPr>
        <w:t>319</w:t>
      </w:r>
      <w:r>
        <w:rPr>
          <w:sz w:val="20"/>
        </w:rPr>
        <w:t>. Argentina manifestó</w:t>
      </w:r>
      <w:r>
        <w:rPr>
          <w:spacing w:val="-12"/>
          <w:sz w:val="20"/>
        </w:rPr>
        <w:t> </w:t>
      </w:r>
      <w:r>
        <w:rPr>
          <w:sz w:val="20"/>
        </w:rPr>
        <w:t>también</w:t>
      </w:r>
      <w:r>
        <w:rPr>
          <w:spacing w:val="-9"/>
          <w:sz w:val="20"/>
        </w:rPr>
        <w:t> </w:t>
      </w:r>
      <w:r>
        <w:rPr>
          <w:sz w:val="20"/>
        </w:rPr>
        <w:t>que</w:t>
      </w:r>
      <w:r>
        <w:rPr>
          <w:spacing w:val="-9"/>
          <w:sz w:val="20"/>
        </w:rPr>
        <w:t> </w:t>
      </w:r>
      <w:r>
        <w:rPr>
          <w:sz w:val="20"/>
        </w:rPr>
        <w:t>se</w:t>
      </w:r>
      <w:r>
        <w:rPr>
          <w:spacing w:val="-11"/>
          <w:sz w:val="20"/>
        </w:rPr>
        <w:t> </w:t>
      </w:r>
      <w:r>
        <w:rPr>
          <w:sz w:val="20"/>
        </w:rPr>
        <w:t>encuentra</w:t>
      </w:r>
      <w:r>
        <w:rPr>
          <w:spacing w:val="-11"/>
          <w:sz w:val="20"/>
        </w:rPr>
        <w:t> </w:t>
      </w:r>
      <w:r>
        <w:rPr>
          <w:sz w:val="20"/>
        </w:rPr>
        <w:t>demostrada</w:t>
      </w:r>
      <w:r>
        <w:rPr>
          <w:spacing w:val="-11"/>
          <w:sz w:val="20"/>
        </w:rPr>
        <w:t> </w:t>
      </w:r>
      <w:r>
        <w:rPr>
          <w:sz w:val="20"/>
        </w:rPr>
        <w:t>la</w:t>
      </w:r>
      <w:r>
        <w:rPr>
          <w:spacing w:val="-11"/>
          <w:sz w:val="20"/>
        </w:rPr>
        <w:t> </w:t>
      </w:r>
      <w:r>
        <w:rPr>
          <w:sz w:val="20"/>
        </w:rPr>
        <w:t>construcción</w:t>
      </w:r>
      <w:r>
        <w:rPr>
          <w:spacing w:val="-11"/>
          <w:sz w:val="20"/>
        </w:rPr>
        <w:t> </w:t>
      </w:r>
      <w:r>
        <w:rPr>
          <w:sz w:val="20"/>
        </w:rPr>
        <w:t>de</w:t>
      </w:r>
      <w:r>
        <w:rPr>
          <w:spacing w:val="-13"/>
          <w:sz w:val="20"/>
        </w:rPr>
        <w:t> </w:t>
      </w:r>
      <w:r>
        <w:rPr>
          <w:sz w:val="20"/>
        </w:rPr>
        <w:t>pozos</w:t>
      </w:r>
      <w:r>
        <w:rPr>
          <w:spacing w:val="-12"/>
          <w:sz w:val="20"/>
        </w:rPr>
        <w:t> </w:t>
      </w:r>
      <w:r>
        <w:rPr>
          <w:sz w:val="20"/>
        </w:rPr>
        <w:t>y</w:t>
      </w:r>
      <w:r>
        <w:rPr>
          <w:spacing w:val="-12"/>
          <w:sz w:val="20"/>
        </w:rPr>
        <w:t> </w:t>
      </w:r>
      <w:r>
        <w:rPr>
          <w:sz w:val="20"/>
        </w:rPr>
        <w:t>la</w:t>
      </w:r>
      <w:r>
        <w:rPr>
          <w:spacing w:val="-7"/>
          <w:sz w:val="20"/>
        </w:rPr>
        <w:t> </w:t>
      </w:r>
      <w:r>
        <w:rPr>
          <w:sz w:val="20"/>
        </w:rPr>
        <w:t>elevación de tanques de </w:t>
      </w:r>
      <w:r>
        <w:rPr>
          <w:i/>
          <w:sz w:val="20"/>
        </w:rPr>
        <w:t>agua</w:t>
      </w:r>
      <w:r>
        <w:rPr>
          <w:sz w:val="20"/>
        </w:rPr>
        <w:t>. Respecto a la </w:t>
      </w:r>
      <w:r>
        <w:rPr>
          <w:i/>
          <w:sz w:val="20"/>
        </w:rPr>
        <w:t>tala ilegal</w:t>
      </w:r>
      <w:r>
        <w:rPr>
          <w:sz w:val="20"/>
        </w:rPr>
        <w:t>, afirmó que ya cuenta con los organismos correspondientes para</w:t>
      </w:r>
      <w:r>
        <w:rPr>
          <w:spacing w:val="-13"/>
          <w:sz w:val="20"/>
        </w:rPr>
        <w:t> </w:t>
      </w:r>
      <w:r>
        <w:rPr>
          <w:sz w:val="20"/>
        </w:rPr>
        <w:t>prevenirla.</w:t>
      </w:r>
    </w:p>
    <w:p>
      <w:pPr>
        <w:pStyle w:val="BodyText"/>
        <w:spacing w:before="1"/>
      </w:pPr>
    </w:p>
    <w:p>
      <w:pPr>
        <w:pStyle w:val="ListParagraph"/>
        <w:numPr>
          <w:ilvl w:val="0"/>
          <w:numId w:val="37"/>
        </w:numPr>
        <w:tabs>
          <w:tab w:pos="830" w:val="left" w:leader="none"/>
        </w:tabs>
        <w:spacing w:line="240" w:lineRule="auto" w:before="0" w:after="0"/>
        <w:ind w:left="122" w:right="127" w:firstLine="0"/>
        <w:jc w:val="both"/>
        <w:rPr>
          <w:sz w:val="20"/>
        </w:rPr>
      </w:pPr>
      <w:r>
        <w:rPr>
          <w:sz w:val="20"/>
        </w:rPr>
        <w:t>En</w:t>
      </w:r>
      <w:r>
        <w:rPr>
          <w:spacing w:val="-18"/>
          <w:sz w:val="20"/>
        </w:rPr>
        <w:t> </w:t>
      </w:r>
      <w:r>
        <w:rPr>
          <w:sz w:val="20"/>
        </w:rPr>
        <w:t>cuanto</w:t>
      </w:r>
      <w:r>
        <w:rPr>
          <w:spacing w:val="-20"/>
          <w:sz w:val="20"/>
        </w:rPr>
        <w:t> </w:t>
      </w:r>
      <w:r>
        <w:rPr>
          <w:sz w:val="20"/>
        </w:rPr>
        <w:t>a</w:t>
      </w:r>
      <w:r>
        <w:rPr>
          <w:spacing w:val="-18"/>
          <w:sz w:val="20"/>
        </w:rPr>
        <w:t> </w:t>
      </w:r>
      <w:r>
        <w:rPr>
          <w:sz w:val="20"/>
        </w:rPr>
        <w:t>posibles</w:t>
      </w:r>
      <w:r>
        <w:rPr>
          <w:spacing w:val="-17"/>
          <w:sz w:val="20"/>
        </w:rPr>
        <w:t> </w:t>
      </w:r>
      <w:r>
        <w:rPr>
          <w:sz w:val="20"/>
        </w:rPr>
        <w:t>futuros</w:t>
      </w:r>
      <w:r>
        <w:rPr>
          <w:spacing w:val="-14"/>
          <w:sz w:val="20"/>
        </w:rPr>
        <w:t> </w:t>
      </w:r>
      <w:r>
        <w:rPr>
          <w:i/>
          <w:sz w:val="20"/>
        </w:rPr>
        <w:t>proyectos</w:t>
      </w:r>
      <w:r>
        <w:rPr>
          <w:i/>
          <w:spacing w:val="-17"/>
          <w:sz w:val="20"/>
        </w:rPr>
        <w:t> </w:t>
      </w:r>
      <w:r>
        <w:rPr>
          <w:i/>
          <w:sz w:val="20"/>
        </w:rPr>
        <w:t>en</w:t>
      </w:r>
      <w:r>
        <w:rPr>
          <w:i/>
          <w:spacing w:val="-18"/>
          <w:sz w:val="20"/>
        </w:rPr>
        <w:t> </w:t>
      </w:r>
      <w:r>
        <w:rPr>
          <w:i/>
          <w:sz w:val="20"/>
        </w:rPr>
        <w:t>el</w:t>
      </w:r>
      <w:r>
        <w:rPr>
          <w:i/>
          <w:spacing w:val="-16"/>
          <w:sz w:val="20"/>
        </w:rPr>
        <w:t> </w:t>
      </w:r>
      <w:r>
        <w:rPr>
          <w:i/>
          <w:sz w:val="20"/>
        </w:rPr>
        <w:t>territorio</w:t>
      </w:r>
      <w:r>
        <w:rPr>
          <w:sz w:val="20"/>
        </w:rPr>
        <w:t>,</w:t>
      </w:r>
      <w:r>
        <w:rPr>
          <w:spacing w:val="-19"/>
          <w:sz w:val="20"/>
        </w:rPr>
        <w:t> </w:t>
      </w:r>
      <w:r>
        <w:rPr>
          <w:sz w:val="20"/>
        </w:rPr>
        <w:t>Argentina</w:t>
      </w:r>
      <w:r>
        <w:rPr>
          <w:spacing w:val="-18"/>
          <w:sz w:val="20"/>
        </w:rPr>
        <w:t> </w:t>
      </w:r>
      <w:r>
        <w:rPr>
          <w:sz w:val="20"/>
        </w:rPr>
        <w:t>recordó</w:t>
      </w:r>
      <w:r>
        <w:rPr>
          <w:spacing w:val="-17"/>
          <w:sz w:val="20"/>
        </w:rPr>
        <w:t> </w:t>
      </w:r>
      <w:r>
        <w:rPr>
          <w:sz w:val="20"/>
        </w:rPr>
        <w:t>que</w:t>
      </w:r>
      <w:r>
        <w:rPr>
          <w:spacing w:val="-17"/>
          <w:sz w:val="20"/>
        </w:rPr>
        <w:t> </w:t>
      </w:r>
      <w:r>
        <w:rPr>
          <w:sz w:val="20"/>
        </w:rPr>
        <w:t>está pendiente</w:t>
      </w:r>
      <w:r>
        <w:rPr>
          <w:spacing w:val="-5"/>
          <w:sz w:val="20"/>
        </w:rPr>
        <w:t> </w:t>
      </w:r>
      <w:r>
        <w:rPr>
          <w:sz w:val="20"/>
        </w:rPr>
        <w:t>que</w:t>
      </w:r>
      <w:r>
        <w:rPr>
          <w:spacing w:val="-5"/>
          <w:sz w:val="20"/>
        </w:rPr>
        <w:t> </w:t>
      </w:r>
      <w:r>
        <w:rPr>
          <w:sz w:val="20"/>
        </w:rPr>
        <w:t>las</w:t>
      </w:r>
      <w:r>
        <w:rPr>
          <w:spacing w:val="-4"/>
          <w:sz w:val="20"/>
        </w:rPr>
        <w:t> </w:t>
      </w:r>
      <w:r>
        <w:rPr>
          <w:sz w:val="20"/>
        </w:rPr>
        <w:t>comunidades</w:t>
      </w:r>
      <w:r>
        <w:rPr>
          <w:spacing w:val="-6"/>
          <w:sz w:val="20"/>
        </w:rPr>
        <w:t> </w:t>
      </w:r>
      <w:r>
        <w:rPr>
          <w:sz w:val="20"/>
        </w:rPr>
        <w:t>den</w:t>
      </w:r>
      <w:r>
        <w:rPr>
          <w:spacing w:val="-3"/>
          <w:sz w:val="20"/>
        </w:rPr>
        <w:t> </w:t>
      </w:r>
      <w:r>
        <w:rPr>
          <w:sz w:val="20"/>
        </w:rPr>
        <w:t>su</w:t>
      </w:r>
      <w:r>
        <w:rPr>
          <w:spacing w:val="-5"/>
          <w:sz w:val="20"/>
        </w:rPr>
        <w:t> </w:t>
      </w:r>
      <w:r>
        <w:rPr>
          <w:sz w:val="20"/>
        </w:rPr>
        <w:t>parecer</w:t>
      </w:r>
      <w:r>
        <w:rPr>
          <w:spacing w:val="-2"/>
          <w:sz w:val="20"/>
        </w:rPr>
        <w:t> </w:t>
      </w:r>
      <w:r>
        <w:rPr>
          <w:sz w:val="20"/>
        </w:rPr>
        <w:t>respecto</w:t>
      </w:r>
      <w:r>
        <w:rPr>
          <w:spacing w:val="-4"/>
          <w:sz w:val="20"/>
        </w:rPr>
        <w:t> </w:t>
      </w:r>
      <w:r>
        <w:rPr>
          <w:sz w:val="20"/>
        </w:rPr>
        <w:t>a</w:t>
      </w:r>
      <w:r>
        <w:rPr>
          <w:spacing w:val="-5"/>
          <w:sz w:val="20"/>
        </w:rPr>
        <w:t> </w:t>
      </w:r>
      <w:r>
        <w:rPr>
          <w:sz w:val="20"/>
        </w:rPr>
        <w:t>un</w:t>
      </w:r>
      <w:r>
        <w:rPr>
          <w:spacing w:val="-3"/>
          <w:sz w:val="20"/>
        </w:rPr>
        <w:t> </w:t>
      </w:r>
      <w:r>
        <w:rPr>
          <w:sz w:val="20"/>
        </w:rPr>
        <w:t>protocolo</w:t>
      </w:r>
      <w:r>
        <w:rPr>
          <w:spacing w:val="-4"/>
          <w:sz w:val="20"/>
        </w:rPr>
        <w:t> </w:t>
      </w:r>
      <w:r>
        <w:rPr>
          <w:sz w:val="20"/>
        </w:rPr>
        <w:t>de</w:t>
      </w:r>
      <w:r>
        <w:rPr>
          <w:spacing w:val="-4"/>
          <w:sz w:val="20"/>
        </w:rPr>
        <w:t> </w:t>
      </w:r>
      <w:r>
        <w:rPr>
          <w:sz w:val="20"/>
        </w:rPr>
        <w:t>consulta</w:t>
      </w:r>
      <w:r>
        <w:rPr>
          <w:spacing w:val="-3"/>
          <w:sz w:val="20"/>
        </w:rPr>
        <w:t> </w:t>
      </w:r>
      <w:r>
        <w:rPr>
          <w:sz w:val="20"/>
        </w:rPr>
        <w:t>que el Estado les había</w:t>
      </w:r>
      <w:r>
        <w:rPr>
          <w:spacing w:val="-12"/>
          <w:sz w:val="20"/>
        </w:rPr>
        <w:t> </w:t>
      </w:r>
      <w:r>
        <w:rPr>
          <w:sz w:val="20"/>
        </w:rPr>
        <w:t>remitido.</w:t>
      </w:r>
    </w:p>
    <w:p>
      <w:pPr>
        <w:pStyle w:val="BodyText"/>
      </w:pPr>
    </w:p>
    <w:p>
      <w:pPr>
        <w:pStyle w:val="ListParagraph"/>
        <w:numPr>
          <w:ilvl w:val="0"/>
          <w:numId w:val="37"/>
        </w:numPr>
        <w:tabs>
          <w:tab w:pos="830" w:val="left" w:leader="none"/>
        </w:tabs>
        <w:spacing w:line="240" w:lineRule="auto" w:before="1" w:after="0"/>
        <w:ind w:left="122" w:right="125" w:firstLine="0"/>
        <w:jc w:val="both"/>
        <w:rPr>
          <w:sz w:val="20"/>
        </w:rPr>
      </w:pPr>
      <w:r>
        <w:rPr>
          <w:sz w:val="20"/>
        </w:rPr>
        <w:t>Sobre la solicitud de un fondo de desarrollo comunitario, el Estado alegó que se ha demostrado que la Provincia de Salta y el Estado Nacional han destinado permanentemente sus recursos económicos y humanos con la finalidad de mejorar el acceso a la educación, salud, seguridad e infraestructura de las comunidades que habitan</w:t>
      </w:r>
      <w:r>
        <w:rPr>
          <w:spacing w:val="-7"/>
          <w:sz w:val="20"/>
        </w:rPr>
        <w:t> </w:t>
      </w:r>
      <w:r>
        <w:rPr>
          <w:sz w:val="20"/>
        </w:rPr>
        <w:t>la</w:t>
      </w:r>
      <w:r>
        <w:rPr>
          <w:spacing w:val="-8"/>
          <w:sz w:val="20"/>
        </w:rPr>
        <w:t> </w:t>
      </w:r>
      <w:r>
        <w:rPr>
          <w:sz w:val="20"/>
        </w:rPr>
        <w:t>zona.</w:t>
      </w:r>
      <w:r>
        <w:rPr>
          <w:spacing w:val="-8"/>
          <w:sz w:val="20"/>
        </w:rPr>
        <w:t> </w:t>
      </w:r>
      <w:r>
        <w:rPr>
          <w:sz w:val="20"/>
        </w:rPr>
        <w:t>Señaló</w:t>
      </w:r>
      <w:r>
        <w:rPr>
          <w:spacing w:val="-4"/>
          <w:sz w:val="20"/>
        </w:rPr>
        <w:t> </w:t>
      </w:r>
      <w:r>
        <w:rPr>
          <w:sz w:val="20"/>
        </w:rPr>
        <w:t>que</w:t>
      </w:r>
      <w:r>
        <w:rPr>
          <w:spacing w:val="-9"/>
          <w:sz w:val="20"/>
        </w:rPr>
        <w:t> </w:t>
      </w:r>
      <w:r>
        <w:rPr>
          <w:sz w:val="20"/>
        </w:rPr>
        <w:t>los</w:t>
      </w:r>
      <w:r>
        <w:rPr>
          <w:spacing w:val="-6"/>
          <w:sz w:val="20"/>
        </w:rPr>
        <w:t> </w:t>
      </w:r>
      <w:r>
        <w:rPr>
          <w:sz w:val="20"/>
        </w:rPr>
        <w:t>representantes</w:t>
      </w:r>
      <w:r>
        <w:rPr>
          <w:spacing w:val="-4"/>
          <w:sz w:val="20"/>
        </w:rPr>
        <w:t> </w:t>
      </w:r>
      <w:r>
        <w:rPr>
          <w:sz w:val="20"/>
        </w:rPr>
        <w:t>no</w:t>
      </w:r>
      <w:r>
        <w:rPr>
          <w:spacing w:val="-9"/>
          <w:sz w:val="20"/>
        </w:rPr>
        <w:t> </w:t>
      </w:r>
      <w:r>
        <w:rPr>
          <w:sz w:val="20"/>
        </w:rPr>
        <w:t>determinaron</w:t>
      </w:r>
      <w:r>
        <w:rPr>
          <w:spacing w:val="-5"/>
          <w:sz w:val="20"/>
        </w:rPr>
        <w:t> </w:t>
      </w:r>
      <w:r>
        <w:rPr>
          <w:sz w:val="20"/>
        </w:rPr>
        <w:t>cuál</w:t>
      </w:r>
      <w:r>
        <w:rPr>
          <w:spacing w:val="-5"/>
          <w:sz w:val="20"/>
        </w:rPr>
        <w:t> </w:t>
      </w:r>
      <w:r>
        <w:rPr>
          <w:sz w:val="20"/>
        </w:rPr>
        <w:t>era</w:t>
      </w:r>
      <w:r>
        <w:rPr>
          <w:spacing w:val="-8"/>
          <w:sz w:val="20"/>
        </w:rPr>
        <w:t> </w:t>
      </w:r>
      <w:r>
        <w:rPr>
          <w:sz w:val="20"/>
        </w:rPr>
        <w:t>la</w:t>
      </w:r>
      <w:r>
        <w:rPr>
          <w:spacing w:val="-8"/>
          <w:sz w:val="20"/>
        </w:rPr>
        <w:t> </w:t>
      </w:r>
      <w:r>
        <w:rPr>
          <w:sz w:val="20"/>
        </w:rPr>
        <w:t>finalidad</w:t>
      </w:r>
      <w:r>
        <w:rPr>
          <w:spacing w:val="-7"/>
          <w:sz w:val="20"/>
        </w:rPr>
        <w:t> </w:t>
      </w:r>
      <w:r>
        <w:rPr>
          <w:sz w:val="20"/>
        </w:rPr>
        <w:t>del fondo</w:t>
      </w:r>
      <w:r>
        <w:rPr>
          <w:spacing w:val="-8"/>
          <w:sz w:val="20"/>
        </w:rPr>
        <w:t> </w:t>
      </w:r>
      <w:r>
        <w:rPr>
          <w:sz w:val="20"/>
        </w:rPr>
        <w:t>solicitado.</w:t>
      </w:r>
    </w:p>
    <w:p>
      <w:pPr>
        <w:pStyle w:val="BodyText"/>
        <w:spacing w:before="1"/>
      </w:pPr>
    </w:p>
    <w:p>
      <w:pPr>
        <w:pStyle w:val="ListParagraph"/>
        <w:numPr>
          <w:ilvl w:val="0"/>
          <w:numId w:val="37"/>
        </w:numPr>
        <w:tabs>
          <w:tab w:pos="830" w:val="left" w:leader="none"/>
        </w:tabs>
        <w:spacing w:line="240" w:lineRule="auto" w:before="0" w:after="0"/>
        <w:ind w:left="122" w:right="125" w:firstLine="0"/>
        <w:jc w:val="both"/>
        <w:rPr>
          <w:sz w:val="20"/>
        </w:rPr>
      </w:pPr>
      <w:r>
        <w:rPr>
          <w:sz w:val="20"/>
        </w:rPr>
        <w:t>La </w:t>
      </w:r>
      <w:r>
        <w:rPr>
          <w:b/>
          <w:i/>
          <w:sz w:val="20"/>
        </w:rPr>
        <w:t>Corte </w:t>
      </w:r>
      <w:r>
        <w:rPr>
          <w:sz w:val="20"/>
        </w:rPr>
        <w:t>ha declarado que Argentina violó el derecho a la propiedad de las comunidades indígenas habitantes de los lotes 14 y 55. El Estado no ha actuado en forma adecuada para garantizar el derecho de propiedad y, además, ha llevado a cabo actividades sobre el territorio sin el previo proceso de consulta correspondiente. Por ende, es pertinente que este Tribunal ordene medidas de restitución del derecho de propiedad, como así también de otros derechos</w:t>
      </w:r>
      <w:r>
        <w:rPr>
          <w:spacing w:val="-23"/>
          <w:sz w:val="20"/>
        </w:rPr>
        <w:t> </w:t>
      </w:r>
      <w:r>
        <w:rPr>
          <w:sz w:val="20"/>
        </w:rPr>
        <w:t>lesionados.</w:t>
      </w:r>
    </w:p>
    <w:p>
      <w:pPr>
        <w:pStyle w:val="BodyText"/>
      </w:pPr>
    </w:p>
    <w:p>
      <w:pPr>
        <w:pStyle w:val="ListParagraph"/>
        <w:numPr>
          <w:ilvl w:val="0"/>
          <w:numId w:val="37"/>
        </w:numPr>
        <w:tabs>
          <w:tab w:pos="830" w:val="left" w:leader="none"/>
        </w:tabs>
        <w:spacing w:line="240" w:lineRule="auto" w:before="1" w:after="0"/>
        <w:ind w:left="122" w:right="125" w:firstLine="0"/>
        <w:jc w:val="both"/>
        <w:rPr>
          <w:sz w:val="20"/>
        </w:rPr>
      </w:pPr>
      <w:r>
        <w:rPr>
          <w:sz w:val="20"/>
        </w:rPr>
        <w:t>La Corte considera necesario expresar que, a fin de ordenar las medidas de reparación procedentes, tiene en consideración las características particulares del caso. Ello, en cuanto a la gran extensión territorial que abarca, así como el elevado número de</w:t>
      </w:r>
      <w:r>
        <w:rPr>
          <w:spacing w:val="-12"/>
          <w:sz w:val="20"/>
        </w:rPr>
        <w:t> </w:t>
      </w:r>
      <w:r>
        <w:rPr>
          <w:sz w:val="20"/>
        </w:rPr>
        <w:t>personas,</w:t>
      </w:r>
      <w:r>
        <w:rPr>
          <w:spacing w:val="-9"/>
          <w:sz w:val="20"/>
        </w:rPr>
        <w:t> </w:t>
      </w:r>
      <w:r>
        <w:rPr>
          <w:sz w:val="20"/>
        </w:rPr>
        <w:t>tanto</w:t>
      </w:r>
      <w:r>
        <w:rPr>
          <w:spacing w:val="-11"/>
          <w:sz w:val="20"/>
        </w:rPr>
        <w:t> </w:t>
      </w:r>
      <w:r>
        <w:rPr>
          <w:sz w:val="20"/>
        </w:rPr>
        <w:t>indígenas</w:t>
      </w:r>
      <w:r>
        <w:rPr>
          <w:spacing w:val="-8"/>
          <w:sz w:val="20"/>
        </w:rPr>
        <w:t> </w:t>
      </w:r>
      <w:r>
        <w:rPr>
          <w:sz w:val="20"/>
        </w:rPr>
        <w:t>como</w:t>
      </w:r>
      <w:r>
        <w:rPr>
          <w:spacing w:val="-9"/>
          <w:sz w:val="20"/>
        </w:rPr>
        <w:t> </w:t>
      </w:r>
      <w:r>
        <w:rPr>
          <w:sz w:val="20"/>
        </w:rPr>
        <w:t>criollas,</w:t>
      </w:r>
      <w:r>
        <w:rPr>
          <w:spacing w:val="-11"/>
          <w:sz w:val="20"/>
        </w:rPr>
        <w:t> </w:t>
      </w:r>
      <w:r>
        <w:rPr>
          <w:sz w:val="20"/>
        </w:rPr>
        <w:t>que</w:t>
      </w:r>
      <w:r>
        <w:rPr>
          <w:spacing w:val="-9"/>
          <w:sz w:val="20"/>
        </w:rPr>
        <w:t> </w:t>
      </w:r>
      <w:r>
        <w:rPr>
          <w:sz w:val="20"/>
        </w:rPr>
        <w:t>habitan</w:t>
      </w:r>
      <w:r>
        <w:rPr>
          <w:spacing w:val="-9"/>
          <w:sz w:val="20"/>
        </w:rPr>
        <w:t> </w:t>
      </w:r>
      <w:r>
        <w:rPr>
          <w:sz w:val="20"/>
        </w:rPr>
        <w:t>el</w:t>
      </w:r>
      <w:r>
        <w:rPr>
          <w:spacing w:val="-10"/>
          <w:sz w:val="20"/>
        </w:rPr>
        <w:t> </w:t>
      </w:r>
      <w:r>
        <w:rPr>
          <w:sz w:val="20"/>
        </w:rPr>
        <w:t>lugar.</w:t>
      </w:r>
      <w:r>
        <w:rPr>
          <w:spacing w:val="-11"/>
          <w:sz w:val="20"/>
        </w:rPr>
        <w:t> </w:t>
      </w:r>
      <w:r>
        <w:rPr>
          <w:sz w:val="20"/>
        </w:rPr>
        <w:t>En</w:t>
      </w:r>
      <w:r>
        <w:rPr>
          <w:spacing w:val="-7"/>
          <w:sz w:val="20"/>
        </w:rPr>
        <w:t> </w:t>
      </w:r>
      <w:r>
        <w:rPr>
          <w:sz w:val="20"/>
        </w:rPr>
        <w:t>ese</w:t>
      </w:r>
      <w:r>
        <w:rPr>
          <w:spacing w:val="-7"/>
          <w:sz w:val="20"/>
        </w:rPr>
        <w:t> </w:t>
      </w:r>
      <w:r>
        <w:rPr>
          <w:sz w:val="20"/>
        </w:rPr>
        <w:t>marco,</w:t>
      </w:r>
      <w:r>
        <w:rPr>
          <w:spacing w:val="-9"/>
          <w:sz w:val="20"/>
        </w:rPr>
        <w:t> </w:t>
      </w:r>
      <w:r>
        <w:rPr>
          <w:sz w:val="20"/>
        </w:rPr>
        <w:t>tiene</w:t>
      </w:r>
      <w:r>
        <w:rPr>
          <w:spacing w:val="-7"/>
          <w:sz w:val="20"/>
        </w:rPr>
        <w:t> </w:t>
      </w:r>
      <w:r>
        <w:rPr>
          <w:sz w:val="20"/>
        </w:rPr>
        <w:t>en cuenta la complejidad del caso respecto a las acciones estatales que deben llevarse a cabo para reparar las violaciones vinculadas a la propiedad, así como el impacto de las mismas en los distintos grupos humanos que habitan la</w:t>
      </w:r>
      <w:r>
        <w:rPr>
          <w:spacing w:val="-25"/>
          <w:sz w:val="20"/>
        </w:rPr>
        <w:t> </w:t>
      </w:r>
      <w:r>
        <w:rPr>
          <w:sz w:val="20"/>
        </w:rPr>
        <w:t>zona.</w:t>
      </w:r>
    </w:p>
    <w:p>
      <w:pPr>
        <w:pStyle w:val="BodyText"/>
      </w:pPr>
    </w:p>
    <w:p>
      <w:pPr>
        <w:pStyle w:val="BodyText"/>
      </w:pPr>
    </w:p>
    <w:p>
      <w:pPr>
        <w:pStyle w:val="BodyText"/>
        <w:spacing w:before="4"/>
        <w:rPr>
          <w:sz w:val="25"/>
        </w:rPr>
      </w:pPr>
      <w:r>
        <w:rPr/>
        <w:pict>
          <v:line style="position:absolute;mso-position-horizontal-relative:page;mso-position-vertical-relative:paragraph;z-index:3472;mso-wrap-distance-left:0;mso-wrap-distance-right:0" from="85.103996pt,17.756716pt" to="229.123996pt,17.756716pt" stroked="true" strokeweight=".71997pt" strokecolor="#000000">
            <v:stroke dashstyle="solid"/>
            <w10:wrap type="topAndBottom"/>
          </v:line>
        </w:pict>
      </w:r>
    </w:p>
    <w:p>
      <w:pPr>
        <w:tabs>
          <w:tab w:pos="829" w:val="left" w:leader="none"/>
        </w:tabs>
        <w:spacing w:before="72"/>
        <w:ind w:left="122" w:right="0" w:firstLine="0"/>
        <w:jc w:val="both"/>
        <w:rPr>
          <w:sz w:val="16"/>
        </w:rPr>
      </w:pPr>
      <w:r>
        <w:rPr>
          <w:position w:val="6"/>
          <w:sz w:val="10"/>
        </w:rPr>
        <w:t>318</w:t>
        <w:tab/>
      </w:r>
      <w:r>
        <w:rPr>
          <w:sz w:val="16"/>
        </w:rPr>
        <w:t>Entre</w:t>
      </w:r>
      <w:r>
        <w:rPr>
          <w:spacing w:val="-3"/>
          <w:sz w:val="16"/>
        </w:rPr>
        <w:t> </w:t>
      </w:r>
      <w:r>
        <w:rPr>
          <w:sz w:val="16"/>
        </w:rPr>
        <w:t>ellas,</w:t>
      </w:r>
      <w:r>
        <w:rPr>
          <w:spacing w:val="-7"/>
          <w:sz w:val="16"/>
        </w:rPr>
        <w:t> </w:t>
      </w:r>
      <w:r>
        <w:rPr>
          <w:sz w:val="16"/>
        </w:rPr>
        <w:t>Argentina</w:t>
      </w:r>
      <w:r>
        <w:rPr>
          <w:spacing w:val="-4"/>
          <w:sz w:val="16"/>
        </w:rPr>
        <w:t> </w:t>
      </w:r>
      <w:r>
        <w:rPr>
          <w:sz w:val="16"/>
        </w:rPr>
        <w:t>indicó:</w:t>
      </w:r>
      <w:r>
        <w:rPr>
          <w:spacing w:val="-9"/>
          <w:sz w:val="16"/>
        </w:rPr>
        <w:t> </w:t>
      </w:r>
      <w:r>
        <w:rPr>
          <w:sz w:val="16"/>
        </w:rPr>
        <w:t>a)</w:t>
      </w:r>
      <w:r>
        <w:rPr>
          <w:spacing w:val="-5"/>
          <w:sz w:val="16"/>
        </w:rPr>
        <w:t> </w:t>
      </w:r>
      <w:r>
        <w:rPr>
          <w:sz w:val="16"/>
        </w:rPr>
        <w:t>“la</w:t>
      </w:r>
      <w:r>
        <w:rPr>
          <w:spacing w:val="-7"/>
          <w:sz w:val="16"/>
        </w:rPr>
        <w:t> </w:t>
      </w:r>
      <w:r>
        <w:rPr>
          <w:sz w:val="16"/>
        </w:rPr>
        <w:t>culminación</w:t>
      </w:r>
      <w:r>
        <w:rPr>
          <w:spacing w:val="-4"/>
          <w:sz w:val="16"/>
        </w:rPr>
        <w:t> </w:t>
      </w:r>
      <w:r>
        <w:rPr>
          <w:sz w:val="16"/>
        </w:rPr>
        <w:t>del</w:t>
      </w:r>
      <w:r>
        <w:rPr>
          <w:spacing w:val="-6"/>
          <w:sz w:val="16"/>
        </w:rPr>
        <w:t> </w:t>
      </w:r>
      <w:r>
        <w:rPr>
          <w:sz w:val="16"/>
        </w:rPr>
        <w:t>proceso</w:t>
      </w:r>
      <w:r>
        <w:rPr>
          <w:spacing w:val="-5"/>
          <w:sz w:val="16"/>
        </w:rPr>
        <w:t> </w:t>
      </w:r>
      <w:r>
        <w:rPr>
          <w:sz w:val="16"/>
        </w:rPr>
        <w:t>de</w:t>
      </w:r>
      <w:r>
        <w:rPr>
          <w:spacing w:val="-8"/>
          <w:sz w:val="16"/>
        </w:rPr>
        <w:t> </w:t>
      </w:r>
      <w:r>
        <w:rPr>
          <w:sz w:val="16"/>
        </w:rPr>
        <w:t>relocalización</w:t>
      </w:r>
      <w:r>
        <w:rPr>
          <w:spacing w:val="-4"/>
          <w:sz w:val="16"/>
        </w:rPr>
        <w:t> </w:t>
      </w:r>
      <w:r>
        <w:rPr>
          <w:sz w:val="16"/>
        </w:rPr>
        <w:t>de</w:t>
      </w:r>
      <w:r>
        <w:rPr>
          <w:spacing w:val="-3"/>
          <w:sz w:val="16"/>
        </w:rPr>
        <w:t> </w:t>
      </w:r>
      <w:r>
        <w:rPr>
          <w:sz w:val="16"/>
        </w:rPr>
        <w:t>las</w:t>
      </w:r>
      <w:r>
        <w:rPr>
          <w:spacing w:val="-8"/>
          <w:sz w:val="16"/>
        </w:rPr>
        <w:t> </w:t>
      </w:r>
      <w:r>
        <w:rPr>
          <w:sz w:val="16"/>
        </w:rPr>
        <w:t>familias</w:t>
      </w:r>
      <w:r>
        <w:rPr>
          <w:spacing w:val="-3"/>
          <w:sz w:val="16"/>
        </w:rPr>
        <w:t> </w:t>
      </w:r>
      <w:r>
        <w:rPr>
          <w:sz w:val="16"/>
        </w:rPr>
        <w:t>criollas”;</w:t>
      </w:r>
    </w:p>
    <w:p>
      <w:pPr>
        <w:spacing w:before="0"/>
        <w:ind w:left="122" w:right="117" w:firstLine="0"/>
        <w:jc w:val="both"/>
        <w:rPr>
          <w:sz w:val="16"/>
        </w:rPr>
      </w:pPr>
      <w:r>
        <w:rPr>
          <w:sz w:val="16"/>
        </w:rPr>
        <w:t>b) “sentar las bases para establecer protocolos de actuación en materia de consulta y estudios ambientales sobre</w:t>
      </w:r>
      <w:r>
        <w:rPr>
          <w:spacing w:val="-11"/>
          <w:sz w:val="16"/>
        </w:rPr>
        <w:t> </w:t>
      </w:r>
      <w:r>
        <w:rPr>
          <w:sz w:val="16"/>
        </w:rPr>
        <w:t>obras</w:t>
      </w:r>
      <w:r>
        <w:rPr>
          <w:spacing w:val="-8"/>
          <w:sz w:val="16"/>
        </w:rPr>
        <w:t> </w:t>
      </w:r>
      <w:r>
        <w:rPr>
          <w:sz w:val="16"/>
        </w:rPr>
        <w:t>o</w:t>
      </w:r>
      <w:r>
        <w:rPr>
          <w:spacing w:val="-10"/>
          <w:sz w:val="16"/>
        </w:rPr>
        <w:t> </w:t>
      </w:r>
      <w:r>
        <w:rPr>
          <w:sz w:val="16"/>
        </w:rPr>
        <w:t>concesiones</w:t>
      </w:r>
      <w:r>
        <w:rPr>
          <w:spacing w:val="-10"/>
          <w:sz w:val="16"/>
        </w:rPr>
        <w:t> </w:t>
      </w:r>
      <w:r>
        <w:rPr>
          <w:sz w:val="16"/>
        </w:rPr>
        <w:t>que</w:t>
      </w:r>
      <w:r>
        <w:rPr>
          <w:spacing w:val="-8"/>
          <w:sz w:val="16"/>
        </w:rPr>
        <w:t> </w:t>
      </w:r>
      <w:r>
        <w:rPr>
          <w:sz w:val="16"/>
        </w:rPr>
        <w:t>quieran</w:t>
      </w:r>
      <w:r>
        <w:rPr>
          <w:spacing w:val="-9"/>
          <w:sz w:val="16"/>
        </w:rPr>
        <w:t> </w:t>
      </w:r>
      <w:r>
        <w:rPr>
          <w:sz w:val="16"/>
        </w:rPr>
        <w:t>realizarse</w:t>
      </w:r>
      <w:r>
        <w:rPr>
          <w:spacing w:val="-8"/>
          <w:sz w:val="16"/>
        </w:rPr>
        <w:t> </w:t>
      </w:r>
      <w:r>
        <w:rPr>
          <w:sz w:val="16"/>
        </w:rPr>
        <w:t>en</w:t>
      </w:r>
      <w:r>
        <w:rPr>
          <w:spacing w:val="-9"/>
          <w:sz w:val="16"/>
        </w:rPr>
        <w:t> </w:t>
      </w:r>
      <w:r>
        <w:rPr>
          <w:sz w:val="16"/>
        </w:rPr>
        <w:t>tierras</w:t>
      </w:r>
      <w:r>
        <w:rPr>
          <w:spacing w:val="-8"/>
          <w:sz w:val="16"/>
        </w:rPr>
        <w:t> </w:t>
      </w:r>
      <w:r>
        <w:rPr>
          <w:sz w:val="16"/>
        </w:rPr>
        <w:t>comunitarias</w:t>
      </w:r>
      <w:r>
        <w:rPr>
          <w:spacing w:val="-6"/>
          <w:sz w:val="16"/>
        </w:rPr>
        <w:t> </w:t>
      </w:r>
      <w:r>
        <w:rPr>
          <w:sz w:val="16"/>
        </w:rPr>
        <w:t>en</w:t>
      </w:r>
      <w:r>
        <w:rPr>
          <w:spacing w:val="-12"/>
          <w:sz w:val="16"/>
        </w:rPr>
        <w:t> </w:t>
      </w:r>
      <w:r>
        <w:rPr>
          <w:sz w:val="16"/>
        </w:rPr>
        <w:t>el</w:t>
      </w:r>
      <w:r>
        <w:rPr>
          <w:spacing w:val="-9"/>
          <w:sz w:val="16"/>
        </w:rPr>
        <w:t> </w:t>
      </w:r>
      <w:r>
        <w:rPr>
          <w:sz w:val="16"/>
        </w:rPr>
        <w:t>futuro”;</w:t>
      </w:r>
      <w:r>
        <w:rPr>
          <w:spacing w:val="-9"/>
          <w:sz w:val="16"/>
        </w:rPr>
        <w:t> </w:t>
      </w:r>
      <w:r>
        <w:rPr>
          <w:sz w:val="16"/>
        </w:rPr>
        <w:t>c)</w:t>
      </w:r>
      <w:r>
        <w:rPr>
          <w:spacing w:val="-9"/>
          <w:sz w:val="16"/>
        </w:rPr>
        <w:t> </w:t>
      </w:r>
      <w:r>
        <w:rPr>
          <w:sz w:val="16"/>
        </w:rPr>
        <w:t>respetar</w:t>
      </w:r>
      <w:r>
        <w:rPr>
          <w:spacing w:val="-7"/>
          <w:sz w:val="16"/>
        </w:rPr>
        <w:t> </w:t>
      </w:r>
      <w:r>
        <w:rPr>
          <w:sz w:val="16"/>
        </w:rPr>
        <w:t>los</w:t>
      </w:r>
      <w:r>
        <w:rPr>
          <w:spacing w:val="-8"/>
          <w:sz w:val="16"/>
        </w:rPr>
        <w:t> </w:t>
      </w:r>
      <w:r>
        <w:rPr>
          <w:sz w:val="16"/>
        </w:rPr>
        <w:t>tiempos necesarios para la adopción de tecnología y las nuevas pautas productivas por parte de las familias criollas. También que “el traslado de los animales debe ser necesariamente el último componente del módulo productivo, ya que […] es indispensable garantizar el agua, los cerramientos y las pasturas”. Señaló que ese plazo es necesario por el tiempo “que necesitan [las familia criollas] para realizar la readecuación productiva, acorde a las nuevas superficies y traslados”. </w:t>
      </w:r>
      <w:r>
        <w:rPr>
          <w:i/>
          <w:sz w:val="16"/>
        </w:rPr>
        <w:t>Cfr</w:t>
      </w:r>
      <w:r>
        <w:rPr>
          <w:sz w:val="16"/>
        </w:rPr>
        <w:t>. “Propuesta Integral de</w:t>
      </w:r>
      <w:r>
        <w:rPr>
          <w:spacing w:val="-29"/>
          <w:sz w:val="16"/>
        </w:rPr>
        <w:t> </w:t>
      </w:r>
      <w:r>
        <w:rPr>
          <w:sz w:val="16"/>
        </w:rPr>
        <w:t>Trabajo”.</w:t>
      </w:r>
    </w:p>
    <w:p>
      <w:pPr>
        <w:pStyle w:val="BodyText"/>
        <w:spacing w:before="2"/>
        <w:rPr>
          <w:sz w:val="16"/>
        </w:rPr>
      </w:pPr>
    </w:p>
    <w:p>
      <w:pPr>
        <w:tabs>
          <w:tab w:pos="829" w:val="left" w:leader="none"/>
        </w:tabs>
        <w:spacing w:before="0"/>
        <w:ind w:left="122" w:right="0" w:firstLine="0"/>
        <w:jc w:val="both"/>
        <w:rPr>
          <w:sz w:val="16"/>
        </w:rPr>
      </w:pPr>
      <w:r>
        <w:rPr>
          <w:position w:val="6"/>
          <w:sz w:val="10"/>
        </w:rPr>
        <w:t>319</w:t>
        <w:tab/>
      </w:r>
      <w:r>
        <w:rPr>
          <w:sz w:val="16"/>
        </w:rPr>
        <w:t>Explicó el Estado que “levantar los cerramientos donde se encuentra el ganado implicaría una</w:t>
      </w:r>
      <w:r>
        <w:rPr>
          <w:spacing w:val="-25"/>
          <w:sz w:val="16"/>
        </w:rPr>
        <w:t> </w:t>
      </w:r>
      <w:r>
        <w:rPr>
          <w:sz w:val="16"/>
        </w:rPr>
        <w:t>mayor</w:t>
      </w:r>
    </w:p>
    <w:p>
      <w:pPr>
        <w:spacing w:before="0"/>
        <w:ind w:left="122" w:right="0" w:firstLine="0"/>
        <w:jc w:val="both"/>
        <w:rPr>
          <w:sz w:val="16"/>
        </w:rPr>
      </w:pPr>
      <w:r>
        <w:rPr>
          <w:sz w:val="16"/>
        </w:rPr>
        <w:t>invasión de animales en el territorio de uso tradicional de las comunidades”.</w:t>
      </w:r>
    </w:p>
    <w:p>
      <w:pPr>
        <w:spacing w:after="0"/>
        <w:jc w:val="both"/>
        <w:rPr>
          <w:sz w:val="16"/>
        </w:rPr>
        <w:sectPr>
          <w:pgSz w:w="12240" w:h="15840"/>
          <w:pgMar w:header="0" w:footer="1000" w:top="1340" w:bottom="1200" w:left="1580" w:right="1580"/>
        </w:sectPr>
      </w:pPr>
    </w:p>
    <w:p>
      <w:pPr>
        <w:pStyle w:val="ListParagraph"/>
        <w:numPr>
          <w:ilvl w:val="0"/>
          <w:numId w:val="37"/>
        </w:numPr>
        <w:tabs>
          <w:tab w:pos="810" w:val="left" w:leader="none"/>
        </w:tabs>
        <w:spacing w:line="240" w:lineRule="auto" w:before="76" w:after="0"/>
        <w:ind w:left="102" w:right="101" w:firstLine="0"/>
        <w:jc w:val="both"/>
        <w:rPr>
          <w:sz w:val="20"/>
        </w:rPr>
      </w:pPr>
      <w:r>
        <w:rPr>
          <w:sz w:val="20"/>
        </w:rPr>
        <w:t>La Corte: a) indicará primero el plazo para el cumplimiento de </w:t>
      </w:r>
      <w:r>
        <w:rPr>
          <w:spacing w:val="2"/>
          <w:sz w:val="20"/>
        </w:rPr>
        <w:t>las </w:t>
      </w:r>
      <w:r>
        <w:rPr>
          <w:sz w:val="20"/>
        </w:rPr>
        <w:t>medidas de restitución; b) luego se referirá a dichas medidas, respecto al derecho de propiedad y respecto de los derechos al medio ambiente sano, a la alimentación, al agua y a la identidad cultural, y c) por último, hará consideraciones sobre el deber estatal de informar</w:t>
      </w:r>
      <w:r>
        <w:rPr>
          <w:spacing w:val="-21"/>
          <w:sz w:val="20"/>
        </w:rPr>
        <w:t> </w:t>
      </w:r>
      <w:r>
        <w:rPr>
          <w:sz w:val="20"/>
        </w:rPr>
        <w:t>sobre</w:t>
      </w:r>
      <w:r>
        <w:rPr>
          <w:spacing w:val="-19"/>
          <w:sz w:val="20"/>
        </w:rPr>
        <w:t> </w:t>
      </w:r>
      <w:r>
        <w:rPr>
          <w:sz w:val="20"/>
        </w:rPr>
        <w:t>el</w:t>
      </w:r>
      <w:r>
        <w:rPr>
          <w:spacing w:val="-20"/>
          <w:sz w:val="20"/>
        </w:rPr>
        <w:t> </w:t>
      </w:r>
      <w:r>
        <w:rPr>
          <w:sz w:val="20"/>
        </w:rPr>
        <w:t>cumplimiento</w:t>
      </w:r>
      <w:r>
        <w:rPr>
          <w:spacing w:val="-21"/>
          <w:sz w:val="20"/>
        </w:rPr>
        <w:t> </w:t>
      </w:r>
      <w:r>
        <w:rPr>
          <w:sz w:val="20"/>
        </w:rPr>
        <w:t>de</w:t>
      </w:r>
      <w:r>
        <w:rPr>
          <w:spacing w:val="-19"/>
          <w:sz w:val="20"/>
        </w:rPr>
        <w:t> </w:t>
      </w:r>
      <w:r>
        <w:rPr>
          <w:sz w:val="20"/>
        </w:rPr>
        <w:t>medidas</w:t>
      </w:r>
      <w:r>
        <w:rPr>
          <w:spacing w:val="-21"/>
          <w:sz w:val="20"/>
        </w:rPr>
        <w:t> </w:t>
      </w:r>
      <w:r>
        <w:rPr>
          <w:sz w:val="20"/>
        </w:rPr>
        <w:t>de</w:t>
      </w:r>
      <w:r>
        <w:rPr>
          <w:spacing w:val="-19"/>
          <w:sz w:val="20"/>
        </w:rPr>
        <w:t> </w:t>
      </w:r>
      <w:r>
        <w:rPr>
          <w:sz w:val="20"/>
        </w:rPr>
        <w:t>restitución</w:t>
      </w:r>
      <w:r>
        <w:rPr>
          <w:spacing w:val="-14"/>
          <w:sz w:val="20"/>
        </w:rPr>
        <w:t> </w:t>
      </w:r>
      <w:r>
        <w:rPr>
          <w:sz w:val="20"/>
        </w:rPr>
        <w:t>y</w:t>
      </w:r>
      <w:r>
        <w:rPr>
          <w:spacing w:val="-20"/>
          <w:sz w:val="20"/>
        </w:rPr>
        <w:t> </w:t>
      </w:r>
      <w:r>
        <w:rPr>
          <w:sz w:val="20"/>
        </w:rPr>
        <w:t>acciones</w:t>
      </w:r>
      <w:r>
        <w:rPr>
          <w:spacing w:val="-21"/>
          <w:sz w:val="20"/>
        </w:rPr>
        <w:t> </w:t>
      </w:r>
      <w:r>
        <w:rPr>
          <w:sz w:val="20"/>
        </w:rPr>
        <w:t>para</w:t>
      </w:r>
      <w:r>
        <w:rPr>
          <w:spacing w:val="-18"/>
          <w:sz w:val="20"/>
        </w:rPr>
        <w:t> </w:t>
      </w:r>
      <w:r>
        <w:rPr>
          <w:sz w:val="20"/>
        </w:rPr>
        <w:t>su</w:t>
      </w:r>
      <w:r>
        <w:rPr>
          <w:spacing w:val="-19"/>
          <w:sz w:val="20"/>
        </w:rPr>
        <w:t> </w:t>
      </w:r>
      <w:r>
        <w:rPr>
          <w:sz w:val="20"/>
        </w:rPr>
        <w:t>supervisión.</w:t>
      </w:r>
    </w:p>
    <w:p>
      <w:pPr>
        <w:pStyle w:val="BodyText"/>
        <w:spacing w:before="10"/>
        <w:rPr>
          <w:sz w:val="19"/>
        </w:rPr>
      </w:pPr>
    </w:p>
    <w:p>
      <w:pPr>
        <w:pStyle w:val="Heading4"/>
        <w:numPr>
          <w:ilvl w:val="1"/>
          <w:numId w:val="39"/>
        </w:numPr>
        <w:tabs>
          <w:tab w:pos="1101" w:val="left" w:leader="none"/>
        </w:tabs>
        <w:spacing w:line="240" w:lineRule="auto" w:before="0" w:after="0"/>
        <w:ind w:left="688" w:right="0" w:hanging="20"/>
        <w:jc w:val="left"/>
        <w:rPr>
          <w:i/>
        </w:rPr>
      </w:pPr>
      <w:bookmarkStart w:name="_bookmark87" w:id="146"/>
      <w:bookmarkEnd w:id="146"/>
      <w:r>
        <w:rPr>
          <w:b w:val="0"/>
          <w:i w:val="0"/>
        </w:rPr>
      </w:r>
      <w:bookmarkStart w:name="_bookmark87" w:id="147"/>
      <w:bookmarkEnd w:id="147"/>
      <w:r>
        <w:rPr>
          <w:i/>
        </w:rPr>
        <w:t>P</w:t>
      </w:r>
      <w:r>
        <w:rPr>
          <w:i/>
        </w:rPr>
        <w:t>lazo para el cumplimiento de las medias de restitución</w:t>
      </w:r>
      <w:r>
        <w:rPr>
          <w:i/>
          <w:spacing w:val="-35"/>
        </w:rPr>
        <w:t> </w:t>
      </w:r>
      <w:r>
        <w:rPr>
          <w:i/>
        </w:rPr>
        <w:t>ordenadas</w:t>
      </w:r>
    </w:p>
    <w:p>
      <w:pPr>
        <w:pStyle w:val="BodyText"/>
        <w:rPr>
          <w:b/>
          <w:i/>
        </w:rPr>
      </w:pPr>
    </w:p>
    <w:p>
      <w:pPr>
        <w:pStyle w:val="ListParagraph"/>
        <w:numPr>
          <w:ilvl w:val="0"/>
          <w:numId w:val="37"/>
        </w:numPr>
        <w:tabs>
          <w:tab w:pos="810" w:val="left" w:leader="none"/>
        </w:tabs>
        <w:spacing w:line="240" w:lineRule="auto" w:before="0" w:after="0"/>
        <w:ind w:left="102" w:right="111" w:firstLine="0"/>
        <w:jc w:val="both"/>
        <w:rPr>
          <w:sz w:val="20"/>
        </w:rPr>
      </w:pPr>
      <w:r>
        <w:rPr>
          <w:sz w:val="20"/>
        </w:rPr>
        <w:t>De los argumentos de las partes surge que existe controversia en cuanto a los plazos necesarios para llevar a cabo las acciones correspondientes, por lo que entiende relevante pronunciarse al respecto. Mientras los representantes solicitan que las distintas acciones se realicen, según el caso, en dos años o menos, el Estado sostiene que requiere de ocho años para completar todo el proceso (</w:t>
      </w:r>
      <w:r>
        <w:rPr>
          <w:i/>
          <w:sz w:val="20"/>
        </w:rPr>
        <w:t>supra </w:t>
      </w:r>
      <w:r>
        <w:rPr>
          <w:sz w:val="20"/>
        </w:rPr>
        <w:t>párrs. 311 y</w:t>
      </w:r>
      <w:r>
        <w:rPr>
          <w:spacing w:val="-22"/>
          <w:sz w:val="20"/>
        </w:rPr>
        <w:t> </w:t>
      </w:r>
      <w:r>
        <w:rPr>
          <w:sz w:val="20"/>
        </w:rPr>
        <w:t>315).</w:t>
      </w:r>
    </w:p>
    <w:p>
      <w:pPr>
        <w:pStyle w:val="BodyText"/>
        <w:spacing w:before="10"/>
        <w:rPr>
          <w:sz w:val="19"/>
        </w:rPr>
      </w:pPr>
    </w:p>
    <w:p>
      <w:pPr>
        <w:pStyle w:val="ListParagraph"/>
        <w:numPr>
          <w:ilvl w:val="0"/>
          <w:numId w:val="37"/>
        </w:numPr>
        <w:tabs>
          <w:tab w:pos="810" w:val="left" w:leader="none"/>
        </w:tabs>
        <w:spacing w:line="240" w:lineRule="auto" w:before="0" w:after="0"/>
        <w:ind w:left="102" w:right="102" w:firstLine="0"/>
        <w:jc w:val="both"/>
        <w:rPr>
          <w:sz w:val="20"/>
        </w:rPr>
      </w:pPr>
      <w:r>
        <w:rPr>
          <w:sz w:val="20"/>
        </w:rPr>
        <w:t>La Corte entiende que el caso reviste un alto nivel de complejidad (</w:t>
      </w:r>
      <w:r>
        <w:rPr>
          <w:i/>
          <w:sz w:val="20"/>
        </w:rPr>
        <w:t>supra </w:t>
      </w:r>
      <w:r>
        <w:rPr>
          <w:sz w:val="20"/>
        </w:rPr>
        <w:t>párrs. 90, 139, 147 y 320, y nota a pie de página 130) y valora las acciones realizadas por el Estado hasta ahora, que han implicado erogaciones presupuestarias y la actuación de diversas</w:t>
      </w:r>
      <w:r>
        <w:rPr>
          <w:spacing w:val="-7"/>
          <w:sz w:val="20"/>
        </w:rPr>
        <w:t> </w:t>
      </w:r>
      <w:r>
        <w:rPr>
          <w:sz w:val="20"/>
        </w:rPr>
        <w:t>entidades</w:t>
      </w:r>
      <w:r>
        <w:rPr>
          <w:spacing w:val="-9"/>
          <w:sz w:val="20"/>
        </w:rPr>
        <w:t> </w:t>
      </w:r>
      <w:r>
        <w:rPr>
          <w:sz w:val="20"/>
        </w:rPr>
        <w:t>gubernamentales.</w:t>
      </w:r>
      <w:r>
        <w:rPr>
          <w:spacing w:val="-9"/>
          <w:sz w:val="20"/>
        </w:rPr>
        <w:t> </w:t>
      </w:r>
      <w:r>
        <w:rPr>
          <w:sz w:val="20"/>
        </w:rPr>
        <w:t>El</w:t>
      </w:r>
      <w:r>
        <w:rPr>
          <w:spacing w:val="-8"/>
          <w:sz w:val="20"/>
        </w:rPr>
        <w:t> </w:t>
      </w:r>
      <w:r>
        <w:rPr>
          <w:sz w:val="20"/>
        </w:rPr>
        <w:t>plazo</w:t>
      </w:r>
      <w:r>
        <w:rPr>
          <w:spacing w:val="-9"/>
          <w:sz w:val="20"/>
        </w:rPr>
        <w:t> </w:t>
      </w:r>
      <w:r>
        <w:rPr>
          <w:sz w:val="20"/>
        </w:rPr>
        <w:t>total</w:t>
      </w:r>
      <w:r>
        <w:rPr>
          <w:spacing w:val="-7"/>
          <w:sz w:val="20"/>
        </w:rPr>
        <w:t> </w:t>
      </w:r>
      <w:r>
        <w:rPr>
          <w:sz w:val="20"/>
        </w:rPr>
        <w:t>de</w:t>
      </w:r>
      <w:r>
        <w:rPr>
          <w:spacing w:val="-7"/>
          <w:sz w:val="20"/>
        </w:rPr>
        <w:t> </w:t>
      </w:r>
      <w:r>
        <w:rPr>
          <w:sz w:val="20"/>
        </w:rPr>
        <w:t>ocho</w:t>
      </w:r>
      <w:r>
        <w:rPr>
          <w:spacing w:val="-9"/>
          <w:sz w:val="20"/>
        </w:rPr>
        <w:t> </w:t>
      </w:r>
      <w:r>
        <w:rPr>
          <w:sz w:val="20"/>
        </w:rPr>
        <w:t>años</w:t>
      </w:r>
      <w:r>
        <w:rPr>
          <w:spacing w:val="-9"/>
          <w:sz w:val="20"/>
        </w:rPr>
        <w:t> </w:t>
      </w:r>
      <w:r>
        <w:rPr>
          <w:sz w:val="20"/>
        </w:rPr>
        <w:t>indicado</w:t>
      </w:r>
      <w:r>
        <w:rPr>
          <w:spacing w:val="-9"/>
          <w:sz w:val="20"/>
        </w:rPr>
        <w:t> </w:t>
      </w:r>
      <w:r>
        <w:rPr>
          <w:sz w:val="20"/>
        </w:rPr>
        <w:t>por</w:t>
      </w:r>
      <w:r>
        <w:rPr>
          <w:spacing w:val="-7"/>
          <w:sz w:val="20"/>
        </w:rPr>
        <w:t> </w:t>
      </w:r>
      <w:r>
        <w:rPr>
          <w:sz w:val="20"/>
        </w:rPr>
        <w:t>Argentina fue señalado en un documento estatal fechado el 24 de noviembre de 2017 (</w:t>
      </w:r>
      <w:r>
        <w:rPr>
          <w:i/>
          <w:sz w:val="20"/>
        </w:rPr>
        <w:t>supra</w:t>
      </w:r>
      <w:r>
        <w:rPr>
          <w:i/>
          <w:spacing w:val="-46"/>
          <w:sz w:val="20"/>
        </w:rPr>
        <w:t> </w:t>
      </w:r>
      <w:r>
        <w:rPr>
          <w:sz w:val="20"/>
        </w:rPr>
        <w:t>nota a pie de página</w:t>
      </w:r>
      <w:r>
        <w:rPr>
          <w:spacing w:val="-7"/>
          <w:sz w:val="20"/>
        </w:rPr>
        <w:t> </w:t>
      </w:r>
      <w:r>
        <w:rPr>
          <w:sz w:val="20"/>
        </w:rPr>
        <w:t>87).</w:t>
      </w:r>
    </w:p>
    <w:p>
      <w:pPr>
        <w:pStyle w:val="BodyText"/>
        <w:spacing w:before="10"/>
        <w:rPr>
          <w:sz w:val="19"/>
        </w:rPr>
      </w:pPr>
    </w:p>
    <w:p>
      <w:pPr>
        <w:pStyle w:val="ListParagraph"/>
        <w:numPr>
          <w:ilvl w:val="0"/>
          <w:numId w:val="37"/>
        </w:numPr>
        <w:tabs>
          <w:tab w:pos="810" w:val="left" w:leader="none"/>
        </w:tabs>
        <w:spacing w:line="240" w:lineRule="auto" w:before="0" w:after="0"/>
        <w:ind w:left="102" w:right="112" w:firstLine="0"/>
        <w:jc w:val="both"/>
        <w:rPr>
          <w:sz w:val="20"/>
        </w:rPr>
      </w:pPr>
      <w:r>
        <w:rPr>
          <w:sz w:val="20"/>
        </w:rPr>
        <w:t>Este Tribunal entiende que corresponde fijar un plazo que tenga en cuenta la obligación del Estado de restituir a las víctimas en el goce de sus derechos, pero que resulte apto para que ello materialmente sea</w:t>
      </w:r>
      <w:r>
        <w:rPr>
          <w:spacing w:val="-20"/>
          <w:sz w:val="20"/>
        </w:rPr>
        <w:t> </w:t>
      </w:r>
      <w:r>
        <w:rPr>
          <w:sz w:val="20"/>
        </w:rPr>
        <w:t>factible.</w:t>
      </w:r>
    </w:p>
    <w:p>
      <w:pPr>
        <w:pStyle w:val="BodyText"/>
        <w:spacing w:before="10"/>
        <w:rPr>
          <w:sz w:val="19"/>
        </w:rPr>
      </w:pPr>
    </w:p>
    <w:p>
      <w:pPr>
        <w:pStyle w:val="ListParagraph"/>
        <w:numPr>
          <w:ilvl w:val="0"/>
          <w:numId w:val="37"/>
        </w:numPr>
        <w:tabs>
          <w:tab w:pos="810" w:val="left" w:leader="none"/>
        </w:tabs>
        <w:spacing w:line="240" w:lineRule="auto" w:before="0" w:after="0"/>
        <w:ind w:left="102" w:right="105" w:firstLine="0"/>
        <w:jc w:val="both"/>
        <w:rPr>
          <w:sz w:val="20"/>
        </w:rPr>
      </w:pPr>
      <w:r>
        <w:rPr>
          <w:sz w:val="20"/>
        </w:rPr>
        <w:t>A partir de todo lo antes expuesto, la Corte ordena que cada una de las</w:t>
      </w:r>
      <w:r>
        <w:rPr>
          <w:spacing w:val="-43"/>
          <w:sz w:val="20"/>
        </w:rPr>
        <w:t> </w:t>
      </w:r>
      <w:r>
        <w:rPr>
          <w:sz w:val="20"/>
        </w:rPr>
        <w:t>medidas de restitución que se establecen a continuación sea realizada por el Estado en un plazo máximo de seis años a partir de la notificación de la presente Sentencia, debiendo el Estado comenzar en forma inmediata, a partir de dicha notificación, las acciones correspondientes para su implementación, la que debe llevar a cabo con la mayor celeridad</w:t>
      </w:r>
      <w:r>
        <w:rPr>
          <w:spacing w:val="-6"/>
          <w:sz w:val="20"/>
        </w:rPr>
        <w:t> </w:t>
      </w:r>
      <w:r>
        <w:rPr>
          <w:sz w:val="20"/>
        </w:rPr>
        <w:t>posible,</w:t>
      </w:r>
      <w:r>
        <w:rPr>
          <w:spacing w:val="-5"/>
          <w:sz w:val="20"/>
        </w:rPr>
        <w:t> </w:t>
      </w:r>
      <w:r>
        <w:rPr>
          <w:sz w:val="20"/>
        </w:rPr>
        <w:t>sin</w:t>
      </w:r>
      <w:r>
        <w:rPr>
          <w:spacing w:val="-6"/>
          <w:sz w:val="20"/>
        </w:rPr>
        <w:t> </w:t>
      </w:r>
      <w:r>
        <w:rPr>
          <w:sz w:val="20"/>
        </w:rPr>
        <w:t>perjuicio</w:t>
      </w:r>
      <w:r>
        <w:rPr>
          <w:spacing w:val="-8"/>
          <w:sz w:val="20"/>
        </w:rPr>
        <w:t> </w:t>
      </w:r>
      <w:r>
        <w:rPr>
          <w:sz w:val="20"/>
        </w:rPr>
        <w:t>del</w:t>
      </w:r>
      <w:r>
        <w:rPr>
          <w:spacing w:val="-6"/>
          <w:sz w:val="20"/>
        </w:rPr>
        <w:t> </w:t>
      </w:r>
      <w:r>
        <w:rPr>
          <w:sz w:val="20"/>
        </w:rPr>
        <w:t>tiempo</w:t>
      </w:r>
      <w:r>
        <w:rPr>
          <w:spacing w:val="-8"/>
          <w:sz w:val="20"/>
        </w:rPr>
        <w:t> </w:t>
      </w:r>
      <w:r>
        <w:rPr>
          <w:sz w:val="20"/>
        </w:rPr>
        <w:t>máximo</w:t>
      </w:r>
      <w:r>
        <w:rPr>
          <w:spacing w:val="-7"/>
          <w:sz w:val="20"/>
        </w:rPr>
        <w:t> </w:t>
      </w:r>
      <w:r>
        <w:rPr>
          <w:sz w:val="20"/>
        </w:rPr>
        <w:t>indicado</w:t>
      </w:r>
      <w:r>
        <w:rPr>
          <w:spacing w:val="-7"/>
          <w:sz w:val="20"/>
        </w:rPr>
        <w:t> </w:t>
      </w:r>
      <w:r>
        <w:rPr>
          <w:sz w:val="20"/>
        </w:rPr>
        <w:t>y</w:t>
      </w:r>
      <w:r>
        <w:rPr>
          <w:spacing w:val="-7"/>
          <w:sz w:val="20"/>
        </w:rPr>
        <w:t> </w:t>
      </w:r>
      <w:r>
        <w:rPr>
          <w:sz w:val="20"/>
        </w:rPr>
        <w:t>de</w:t>
      </w:r>
      <w:r>
        <w:rPr>
          <w:spacing w:val="-8"/>
          <w:sz w:val="20"/>
        </w:rPr>
        <w:t> </w:t>
      </w:r>
      <w:r>
        <w:rPr>
          <w:sz w:val="20"/>
        </w:rPr>
        <w:t>las</w:t>
      </w:r>
      <w:r>
        <w:rPr>
          <w:spacing w:val="-7"/>
          <w:sz w:val="20"/>
        </w:rPr>
        <w:t> </w:t>
      </w:r>
      <w:r>
        <w:rPr>
          <w:sz w:val="20"/>
        </w:rPr>
        <w:t>precisiones</w:t>
      </w:r>
      <w:r>
        <w:rPr>
          <w:spacing w:val="-7"/>
          <w:sz w:val="20"/>
        </w:rPr>
        <w:t> </w:t>
      </w:r>
      <w:r>
        <w:rPr>
          <w:sz w:val="20"/>
        </w:rPr>
        <w:t>y</w:t>
      </w:r>
      <w:r>
        <w:rPr>
          <w:spacing w:val="-7"/>
          <w:sz w:val="20"/>
        </w:rPr>
        <w:t> </w:t>
      </w:r>
      <w:r>
        <w:rPr>
          <w:sz w:val="20"/>
        </w:rPr>
        <w:t>plazos específicos que se detallan más</w:t>
      </w:r>
      <w:r>
        <w:rPr>
          <w:spacing w:val="-16"/>
          <w:sz w:val="20"/>
        </w:rPr>
        <w:t> </w:t>
      </w:r>
      <w:r>
        <w:rPr>
          <w:sz w:val="20"/>
        </w:rPr>
        <w:t>adelante.</w:t>
      </w:r>
    </w:p>
    <w:p>
      <w:pPr>
        <w:pStyle w:val="BodyText"/>
        <w:spacing w:before="1"/>
      </w:pPr>
    </w:p>
    <w:p>
      <w:pPr>
        <w:pStyle w:val="Heading4"/>
        <w:numPr>
          <w:ilvl w:val="1"/>
          <w:numId w:val="39"/>
        </w:numPr>
        <w:tabs>
          <w:tab w:pos="1101" w:val="left" w:leader="none"/>
        </w:tabs>
        <w:spacing w:line="240" w:lineRule="auto" w:before="0" w:after="0"/>
        <w:ind w:left="1100" w:right="0" w:hanging="432"/>
        <w:jc w:val="left"/>
        <w:rPr>
          <w:i/>
        </w:rPr>
      </w:pPr>
      <w:bookmarkStart w:name="_bookmark88" w:id="148"/>
      <w:bookmarkEnd w:id="148"/>
      <w:r>
        <w:rPr>
          <w:b w:val="0"/>
          <w:i w:val="0"/>
        </w:rPr>
      </w:r>
      <w:bookmarkStart w:name="_bookmark88" w:id="149"/>
      <w:bookmarkEnd w:id="149"/>
      <w:r>
        <w:rPr>
          <w:i/>
        </w:rPr>
        <w:t>M</w:t>
      </w:r>
      <w:r>
        <w:rPr>
          <w:i/>
        </w:rPr>
        <w:t>edidas para la restitución del derecho de</w:t>
      </w:r>
      <w:r>
        <w:rPr>
          <w:i/>
          <w:spacing w:val="-20"/>
        </w:rPr>
        <w:t> </w:t>
      </w:r>
      <w:r>
        <w:rPr>
          <w:i/>
        </w:rPr>
        <w:t>propiedad</w:t>
      </w:r>
    </w:p>
    <w:p>
      <w:pPr>
        <w:pStyle w:val="BodyText"/>
        <w:spacing w:before="10"/>
        <w:rPr>
          <w:b/>
          <w:i/>
          <w:sz w:val="19"/>
        </w:rPr>
      </w:pPr>
    </w:p>
    <w:p>
      <w:pPr>
        <w:pStyle w:val="ListParagraph"/>
        <w:numPr>
          <w:ilvl w:val="2"/>
          <w:numId w:val="39"/>
        </w:numPr>
        <w:tabs>
          <w:tab w:pos="1559" w:val="left" w:leader="none"/>
        </w:tabs>
        <w:spacing w:line="240" w:lineRule="auto" w:before="1" w:after="0"/>
        <w:ind w:left="1558" w:right="0" w:hanging="604"/>
        <w:jc w:val="left"/>
        <w:rPr>
          <w:i/>
          <w:sz w:val="20"/>
        </w:rPr>
      </w:pPr>
      <w:bookmarkStart w:name="_bookmark89" w:id="150"/>
      <w:bookmarkEnd w:id="150"/>
      <w:r>
        <w:rPr/>
      </w:r>
      <w:bookmarkStart w:name="_bookmark89" w:id="151"/>
      <w:bookmarkEnd w:id="151"/>
      <w:r>
        <w:rPr>
          <w:i/>
          <w:sz w:val="20"/>
          <w:u w:val="single"/>
        </w:rPr>
        <w:t>D</w:t>
      </w:r>
      <w:r>
        <w:rPr>
          <w:i/>
          <w:sz w:val="20"/>
          <w:u w:val="single"/>
        </w:rPr>
        <w:t>elimitación, demarcación y</w:t>
      </w:r>
      <w:r>
        <w:rPr>
          <w:i/>
          <w:spacing w:val="-14"/>
          <w:sz w:val="20"/>
          <w:u w:val="single"/>
        </w:rPr>
        <w:t> </w:t>
      </w:r>
      <w:r>
        <w:rPr>
          <w:i/>
          <w:sz w:val="20"/>
          <w:u w:val="single"/>
        </w:rPr>
        <w:t>titulación</w:t>
      </w:r>
    </w:p>
    <w:p>
      <w:pPr>
        <w:pStyle w:val="BodyText"/>
        <w:spacing w:before="11"/>
        <w:rPr>
          <w:i/>
          <w:sz w:val="11"/>
        </w:rPr>
      </w:pPr>
    </w:p>
    <w:p>
      <w:pPr>
        <w:pStyle w:val="ListParagraph"/>
        <w:numPr>
          <w:ilvl w:val="0"/>
          <w:numId w:val="37"/>
        </w:numPr>
        <w:tabs>
          <w:tab w:pos="810" w:val="left" w:leader="none"/>
        </w:tabs>
        <w:spacing w:line="240" w:lineRule="auto" w:before="99" w:after="0"/>
        <w:ind w:left="102" w:right="106" w:firstLine="0"/>
        <w:jc w:val="both"/>
        <w:rPr>
          <w:sz w:val="20"/>
        </w:rPr>
      </w:pPr>
      <w:r>
        <w:rPr>
          <w:sz w:val="20"/>
        </w:rPr>
        <w:t>La Corte ha entendido que, si bien el Decreto 1498/14 resulta un acto de reconocimiento del derecho de propiedad, ello conlleva actos posteriores, aun no realizados, de “determinación” y “delimitación” de la</w:t>
      </w:r>
      <w:r>
        <w:rPr>
          <w:spacing w:val="-25"/>
          <w:sz w:val="20"/>
        </w:rPr>
        <w:t> </w:t>
      </w:r>
      <w:r>
        <w:rPr>
          <w:sz w:val="20"/>
        </w:rPr>
        <w:t>propiedad.</w:t>
      </w:r>
    </w:p>
    <w:p>
      <w:pPr>
        <w:pStyle w:val="BodyText"/>
      </w:pPr>
    </w:p>
    <w:p>
      <w:pPr>
        <w:pStyle w:val="ListParagraph"/>
        <w:numPr>
          <w:ilvl w:val="0"/>
          <w:numId w:val="37"/>
        </w:numPr>
        <w:tabs>
          <w:tab w:pos="810" w:val="left" w:leader="none"/>
        </w:tabs>
        <w:spacing w:line="240" w:lineRule="auto" w:before="0" w:after="0"/>
        <w:ind w:left="102" w:right="102" w:firstLine="0"/>
        <w:jc w:val="both"/>
        <w:rPr>
          <w:sz w:val="20"/>
        </w:rPr>
      </w:pPr>
      <w:r>
        <w:rPr>
          <w:sz w:val="20"/>
        </w:rPr>
        <w:t>Por ello, la Corte ordena al Estado adoptar y concluir las acciones necesarias, sean estas legislativas, administrativas, judiciales, registrales, notariales o de cualquier otro tipo, a fin de </w:t>
      </w:r>
      <w:r>
        <w:rPr>
          <w:i/>
          <w:sz w:val="20"/>
        </w:rPr>
        <w:t>delimitar, demarcar y otorgar un título colectivo </w:t>
      </w:r>
      <w:r>
        <w:rPr>
          <w:sz w:val="20"/>
        </w:rPr>
        <w:t>que reconozca la propiedad de todas las comunidades indígenas víctimas (</w:t>
      </w:r>
      <w:r>
        <w:rPr>
          <w:i/>
          <w:sz w:val="20"/>
        </w:rPr>
        <w:t>supra </w:t>
      </w:r>
      <w:r>
        <w:rPr>
          <w:sz w:val="20"/>
        </w:rPr>
        <w:t>párr. 309) sobre su territorio, es decir, sobre una superficie de 400.000 hectáreas en la tierra identificada como lotes con las matrículas catastrales 175 y 5557 del Departamento de Rivadavia, en</w:t>
      </w:r>
      <w:r>
        <w:rPr>
          <w:spacing w:val="-14"/>
          <w:sz w:val="20"/>
        </w:rPr>
        <w:t> </w:t>
      </w:r>
      <w:r>
        <w:rPr>
          <w:sz w:val="20"/>
        </w:rPr>
        <w:t>la</w:t>
      </w:r>
      <w:r>
        <w:rPr>
          <w:spacing w:val="-15"/>
          <w:sz w:val="20"/>
        </w:rPr>
        <w:t> </w:t>
      </w:r>
      <w:r>
        <w:rPr>
          <w:sz w:val="20"/>
        </w:rPr>
        <w:t>Provincia</w:t>
      </w:r>
      <w:r>
        <w:rPr>
          <w:spacing w:val="-13"/>
          <w:sz w:val="20"/>
        </w:rPr>
        <w:t> </w:t>
      </w:r>
      <w:r>
        <w:rPr>
          <w:sz w:val="20"/>
        </w:rPr>
        <w:t>argentina</w:t>
      </w:r>
      <w:r>
        <w:rPr>
          <w:spacing w:val="-15"/>
          <w:sz w:val="20"/>
        </w:rPr>
        <w:t> </w:t>
      </w:r>
      <w:r>
        <w:rPr>
          <w:sz w:val="20"/>
        </w:rPr>
        <w:t>de</w:t>
      </w:r>
      <w:r>
        <w:rPr>
          <w:spacing w:val="-16"/>
          <w:sz w:val="20"/>
        </w:rPr>
        <w:t> </w:t>
      </w:r>
      <w:r>
        <w:rPr>
          <w:sz w:val="20"/>
        </w:rPr>
        <w:t>Salta,</w:t>
      </w:r>
      <w:r>
        <w:rPr>
          <w:spacing w:val="-13"/>
          <w:sz w:val="20"/>
        </w:rPr>
        <w:t> </w:t>
      </w:r>
      <w:r>
        <w:rPr>
          <w:sz w:val="20"/>
        </w:rPr>
        <w:t>y</w:t>
      </w:r>
      <w:r>
        <w:rPr>
          <w:spacing w:val="-15"/>
          <w:sz w:val="20"/>
        </w:rPr>
        <w:t> </w:t>
      </w:r>
      <w:r>
        <w:rPr>
          <w:sz w:val="20"/>
        </w:rPr>
        <w:t>antes</w:t>
      </w:r>
      <w:r>
        <w:rPr>
          <w:spacing w:val="-16"/>
          <w:sz w:val="20"/>
        </w:rPr>
        <w:t> </w:t>
      </w:r>
      <w:r>
        <w:rPr>
          <w:sz w:val="20"/>
        </w:rPr>
        <w:t>identificada</w:t>
      </w:r>
      <w:r>
        <w:rPr>
          <w:spacing w:val="-13"/>
          <w:sz w:val="20"/>
        </w:rPr>
        <w:t> </w:t>
      </w:r>
      <w:r>
        <w:rPr>
          <w:sz w:val="20"/>
        </w:rPr>
        <w:t>como</w:t>
      </w:r>
      <w:r>
        <w:rPr>
          <w:spacing w:val="-13"/>
          <w:sz w:val="20"/>
        </w:rPr>
        <w:t> </w:t>
      </w:r>
      <w:r>
        <w:rPr>
          <w:sz w:val="20"/>
        </w:rPr>
        <w:t>lotes</w:t>
      </w:r>
      <w:r>
        <w:rPr>
          <w:spacing w:val="-14"/>
          <w:sz w:val="20"/>
        </w:rPr>
        <w:t> </w:t>
      </w:r>
      <w:r>
        <w:rPr>
          <w:sz w:val="20"/>
        </w:rPr>
        <w:t>fiscales</w:t>
      </w:r>
      <w:r>
        <w:rPr>
          <w:spacing w:val="-15"/>
          <w:sz w:val="20"/>
        </w:rPr>
        <w:t> </w:t>
      </w:r>
      <w:r>
        <w:rPr>
          <w:sz w:val="20"/>
        </w:rPr>
        <w:t>14</w:t>
      </w:r>
      <w:r>
        <w:rPr>
          <w:spacing w:val="-12"/>
          <w:sz w:val="20"/>
        </w:rPr>
        <w:t> </w:t>
      </w:r>
      <w:r>
        <w:rPr>
          <w:sz w:val="20"/>
        </w:rPr>
        <w:t>y</w:t>
      </w:r>
      <w:r>
        <w:rPr>
          <w:spacing w:val="-15"/>
          <w:sz w:val="20"/>
        </w:rPr>
        <w:t> </w:t>
      </w:r>
      <w:r>
        <w:rPr>
          <w:sz w:val="20"/>
        </w:rPr>
        <w:t>55</w:t>
      </w:r>
      <w:r>
        <w:rPr>
          <w:spacing w:val="-14"/>
          <w:sz w:val="20"/>
        </w:rPr>
        <w:t> </w:t>
      </w:r>
      <w:r>
        <w:rPr>
          <w:sz w:val="20"/>
        </w:rPr>
        <w:t>(</w:t>
      </w:r>
      <w:r>
        <w:rPr>
          <w:i/>
          <w:sz w:val="20"/>
        </w:rPr>
        <w:t>supra </w:t>
      </w:r>
      <w:r>
        <w:rPr>
          <w:sz w:val="20"/>
        </w:rPr>
        <w:t>párrs. 1, 47, 80, 145 y notas a pie de página 30 y 79). A efectos del cumplimiento de esta medida, deberán observarse las siguientes</w:t>
      </w:r>
      <w:r>
        <w:rPr>
          <w:spacing w:val="-18"/>
          <w:sz w:val="20"/>
        </w:rPr>
        <w:t> </w:t>
      </w:r>
      <w:r>
        <w:rPr>
          <w:sz w:val="20"/>
        </w:rPr>
        <w:t>pautas:</w:t>
      </w:r>
    </w:p>
    <w:p>
      <w:pPr>
        <w:pStyle w:val="BodyText"/>
      </w:pPr>
    </w:p>
    <w:p>
      <w:pPr>
        <w:pStyle w:val="BodyText"/>
        <w:ind w:left="385"/>
      </w:pPr>
      <w:r>
        <w:rPr/>
        <w:t>1.- El título debe ser único; es decir, uno para el conjunto de todas las comunidades indígenas</w:t>
      </w:r>
      <w:r>
        <w:rPr>
          <w:spacing w:val="-16"/>
        </w:rPr>
        <w:t> </w:t>
      </w:r>
      <w:r>
        <w:rPr/>
        <w:t>víctimas</w:t>
      </w:r>
      <w:r>
        <w:rPr>
          <w:spacing w:val="-13"/>
        </w:rPr>
        <w:t> </w:t>
      </w:r>
      <w:r>
        <w:rPr/>
        <w:t>y</w:t>
      </w:r>
      <w:r>
        <w:rPr>
          <w:spacing w:val="-13"/>
        </w:rPr>
        <w:t> </w:t>
      </w:r>
      <w:r>
        <w:rPr/>
        <w:t>relativo</w:t>
      </w:r>
      <w:r>
        <w:rPr>
          <w:spacing w:val="-16"/>
        </w:rPr>
        <w:t> </w:t>
      </w:r>
      <w:r>
        <w:rPr/>
        <w:t>a</w:t>
      </w:r>
      <w:r>
        <w:rPr>
          <w:spacing w:val="-13"/>
        </w:rPr>
        <w:t> </w:t>
      </w:r>
      <w:r>
        <w:rPr/>
        <w:t>todo</w:t>
      </w:r>
      <w:r>
        <w:rPr>
          <w:spacing w:val="-14"/>
        </w:rPr>
        <w:t> </w:t>
      </w:r>
      <w:r>
        <w:rPr/>
        <w:t>el</w:t>
      </w:r>
      <w:r>
        <w:rPr>
          <w:spacing w:val="-13"/>
        </w:rPr>
        <w:t> </w:t>
      </w:r>
      <w:r>
        <w:rPr/>
        <w:t>territorio,</w:t>
      </w:r>
      <w:r>
        <w:rPr>
          <w:spacing w:val="-14"/>
        </w:rPr>
        <w:t> </w:t>
      </w:r>
      <w:r>
        <w:rPr/>
        <w:t>sin</w:t>
      </w:r>
      <w:r>
        <w:rPr>
          <w:spacing w:val="-13"/>
        </w:rPr>
        <w:t> </w:t>
      </w:r>
      <w:r>
        <w:rPr/>
        <w:t>subdivisiones</w:t>
      </w:r>
      <w:r>
        <w:rPr>
          <w:spacing w:val="-14"/>
        </w:rPr>
        <w:t> </w:t>
      </w:r>
      <w:r>
        <w:rPr/>
        <w:t>ni</w:t>
      </w:r>
      <w:r>
        <w:rPr>
          <w:spacing w:val="-15"/>
        </w:rPr>
        <w:t> </w:t>
      </w:r>
      <w:r>
        <w:rPr/>
        <w:t>fragmentaciones.</w:t>
      </w:r>
    </w:p>
    <w:p>
      <w:pPr>
        <w:spacing w:after="0"/>
        <w:sectPr>
          <w:pgSz w:w="12240" w:h="15840"/>
          <w:pgMar w:header="0" w:footer="1000" w:top="1340" w:bottom="1200" w:left="1600" w:right="1600"/>
        </w:sectPr>
      </w:pPr>
    </w:p>
    <w:p>
      <w:pPr>
        <w:pStyle w:val="BodyText"/>
        <w:spacing w:before="76"/>
        <w:ind w:left="405" w:right="118"/>
        <w:jc w:val="both"/>
      </w:pPr>
      <w:r>
        <w:rPr/>
        <w:t>Sin perjuicio de lo anterior, la Corte considera pertinente aclarar que el carácter “único” del título, antes expresado, no obsta a los acuerdos que pudieran tener las comunidades víctimas entre sí sobre el uso de su territorio común</w:t>
      </w:r>
      <w:r>
        <w:rPr>
          <w:position w:val="7"/>
          <w:sz w:val="13"/>
        </w:rPr>
        <w:t>320</w:t>
      </w:r>
      <w:r>
        <w:rPr/>
        <w:t>.</w:t>
      </w:r>
    </w:p>
    <w:p>
      <w:pPr>
        <w:pStyle w:val="BodyText"/>
        <w:ind w:left="405" w:right="122"/>
        <w:jc w:val="both"/>
      </w:pPr>
      <w:r>
        <w:rPr/>
        <w:t>2.</w:t>
      </w:r>
      <w:r>
        <w:rPr>
          <w:b/>
        </w:rPr>
        <w:t>-</w:t>
      </w:r>
      <w:r>
        <w:rPr>
          <w:b/>
          <w:spacing w:val="-9"/>
        </w:rPr>
        <w:t> </w:t>
      </w:r>
      <w:r>
        <w:rPr/>
        <w:t>Dicho</w:t>
      </w:r>
      <w:r>
        <w:rPr>
          <w:spacing w:val="-9"/>
        </w:rPr>
        <w:t> </w:t>
      </w:r>
      <w:r>
        <w:rPr/>
        <w:t>título</w:t>
      </w:r>
      <w:r>
        <w:rPr>
          <w:spacing w:val="-10"/>
        </w:rPr>
        <w:t> </w:t>
      </w:r>
      <w:r>
        <w:rPr/>
        <w:t>debe</w:t>
      </w:r>
      <w:r>
        <w:rPr>
          <w:spacing w:val="-10"/>
        </w:rPr>
        <w:t> </w:t>
      </w:r>
      <w:r>
        <w:rPr/>
        <w:t>garantizar</w:t>
      </w:r>
      <w:r>
        <w:rPr>
          <w:spacing w:val="-10"/>
        </w:rPr>
        <w:t> </w:t>
      </w:r>
      <w:r>
        <w:rPr/>
        <w:t>el</w:t>
      </w:r>
      <w:r>
        <w:rPr>
          <w:spacing w:val="-9"/>
        </w:rPr>
        <w:t> </w:t>
      </w:r>
      <w:r>
        <w:rPr/>
        <w:t>carácter</w:t>
      </w:r>
      <w:r>
        <w:rPr>
          <w:spacing w:val="-10"/>
        </w:rPr>
        <w:t> </w:t>
      </w:r>
      <w:r>
        <w:rPr/>
        <w:t>colectivo</w:t>
      </w:r>
      <w:r>
        <w:rPr>
          <w:spacing w:val="-10"/>
        </w:rPr>
        <w:t> </w:t>
      </w:r>
      <w:r>
        <w:rPr/>
        <w:t>o</w:t>
      </w:r>
      <w:r>
        <w:rPr>
          <w:spacing w:val="-10"/>
        </w:rPr>
        <w:t> </w:t>
      </w:r>
      <w:r>
        <w:rPr/>
        <w:t>comunitario,</w:t>
      </w:r>
      <w:r>
        <w:rPr>
          <w:spacing w:val="-9"/>
        </w:rPr>
        <w:t> </w:t>
      </w:r>
      <w:r>
        <w:rPr/>
        <w:t>de</w:t>
      </w:r>
      <w:r>
        <w:rPr>
          <w:spacing w:val="-2"/>
        </w:rPr>
        <w:t> </w:t>
      </w:r>
      <w:r>
        <w:rPr/>
        <w:t>administración autónoma, imprescriptible, inembargable, no enajenable ni susceptible de gravámenes o embargos de la propiedad de la superficie</w:t>
      </w:r>
      <w:r>
        <w:rPr>
          <w:spacing w:val="-26"/>
        </w:rPr>
        <w:t> </w:t>
      </w:r>
      <w:r>
        <w:rPr/>
        <w:t>indicada.</w:t>
      </w:r>
    </w:p>
    <w:p>
      <w:pPr>
        <w:pStyle w:val="BodyText"/>
        <w:ind w:left="405" w:right="124"/>
        <w:jc w:val="both"/>
      </w:pPr>
      <w:r>
        <w:rPr/>
        <w:t>3.- A efectos del cumplimiento de esta medida, debe tenerse en cuenta, como referencia, el mapa entregado por Lhaka Honhat, aludido en las consideraciones del Decreto 1498/14 (</w:t>
      </w:r>
      <w:r>
        <w:rPr>
          <w:i/>
        </w:rPr>
        <w:t>supra </w:t>
      </w:r>
      <w:r>
        <w:rPr/>
        <w:t>párr. 81).</w:t>
      </w:r>
    </w:p>
    <w:p>
      <w:pPr>
        <w:pStyle w:val="ListParagraph"/>
        <w:numPr>
          <w:ilvl w:val="2"/>
          <w:numId w:val="39"/>
        </w:numPr>
        <w:tabs>
          <w:tab w:pos="1582" w:val="left" w:leader="none"/>
        </w:tabs>
        <w:spacing w:line="240" w:lineRule="auto" w:before="193" w:after="0"/>
        <w:ind w:left="1581" w:right="0" w:hanging="607"/>
        <w:jc w:val="left"/>
        <w:rPr>
          <w:i/>
          <w:sz w:val="20"/>
        </w:rPr>
      </w:pPr>
      <w:bookmarkStart w:name="_bookmark90" w:id="152"/>
      <w:bookmarkEnd w:id="152"/>
      <w:r>
        <w:rPr/>
      </w:r>
      <w:bookmarkStart w:name="_bookmark90" w:id="153"/>
      <w:bookmarkEnd w:id="153"/>
      <w:r>
        <w:rPr>
          <w:i/>
          <w:sz w:val="20"/>
          <w:u w:val="single"/>
        </w:rPr>
        <w:t>O</w:t>
      </w:r>
      <w:r>
        <w:rPr>
          <w:i/>
          <w:sz w:val="20"/>
          <w:u w:val="single"/>
        </w:rPr>
        <w:t>bligación de consulta</w:t>
      </w:r>
      <w:r>
        <w:rPr>
          <w:i/>
          <w:spacing w:val="-11"/>
          <w:sz w:val="20"/>
          <w:u w:val="single"/>
        </w:rPr>
        <w:t> </w:t>
      </w:r>
      <w:r>
        <w:rPr>
          <w:i/>
          <w:sz w:val="20"/>
          <w:u w:val="single"/>
        </w:rPr>
        <w:t>previa</w:t>
      </w:r>
    </w:p>
    <w:p>
      <w:pPr>
        <w:pStyle w:val="BodyText"/>
        <w:spacing w:before="8"/>
        <w:rPr>
          <w:i/>
          <w:sz w:val="11"/>
        </w:rPr>
      </w:pPr>
    </w:p>
    <w:p>
      <w:pPr>
        <w:pStyle w:val="ListParagraph"/>
        <w:numPr>
          <w:ilvl w:val="0"/>
          <w:numId w:val="37"/>
        </w:numPr>
        <w:tabs>
          <w:tab w:pos="830" w:val="left" w:leader="none"/>
        </w:tabs>
        <w:spacing w:line="240" w:lineRule="auto" w:before="100" w:after="0"/>
        <w:ind w:left="122" w:right="121" w:firstLine="0"/>
        <w:jc w:val="both"/>
        <w:rPr>
          <w:sz w:val="20"/>
        </w:rPr>
      </w:pPr>
      <w:r>
        <w:rPr>
          <w:sz w:val="20"/>
        </w:rPr>
        <w:t>El Estado debe </w:t>
      </w:r>
      <w:r>
        <w:rPr>
          <w:i/>
          <w:sz w:val="20"/>
        </w:rPr>
        <w:t>abstenerse de realizar actos, obras o emprendimientos sobre el </w:t>
      </w:r>
      <w:r>
        <w:rPr>
          <w:i/>
          <w:sz w:val="20"/>
        </w:rPr>
        <w:t>territorio indígena </w:t>
      </w:r>
      <w:r>
        <w:rPr>
          <w:sz w:val="20"/>
        </w:rPr>
        <w:t>que puedan afectar su existencia, valor, uso o goce por parte de las comunidades</w:t>
      </w:r>
      <w:r>
        <w:rPr>
          <w:spacing w:val="-8"/>
          <w:sz w:val="20"/>
        </w:rPr>
        <w:t> </w:t>
      </w:r>
      <w:r>
        <w:rPr>
          <w:sz w:val="20"/>
        </w:rPr>
        <w:t>víctimas,</w:t>
      </w:r>
      <w:r>
        <w:rPr>
          <w:spacing w:val="-9"/>
          <w:sz w:val="20"/>
        </w:rPr>
        <w:t> </w:t>
      </w:r>
      <w:r>
        <w:rPr>
          <w:sz w:val="20"/>
        </w:rPr>
        <w:t>u</w:t>
      </w:r>
      <w:r>
        <w:rPr>
          <w:spacing w:val="-9"/>
          <w:sz w:val="20"/>
        </w:rPr>
        <w:t> </w:t>
      </w:r>
      <w:r>
        <w:rPr>
          <w:sz w:val="20"/>
        </w:rPr>
        <w:t>ordenar,</w:t>
      </w:r>
      <w:r>
        <w:rPr>
          <w:spacing w:val="-8"/>
          <w:sz w:val="20"/>
        </w:rPr>
        <w:t> </w:t>
      </w:r>
      <w:r>
        <w:rPr>
          <w:sz w:val="20"/>
        </w:rPr>
        <w:t>requerir,</w:t>
      </w:r>
      <w:r>
        <w:rPr>
          <w:spacing w:val="-10"/>
          <w:sz w:val="20"/>
        </w:rPr>
        <w:t> </w:t>
      </w:r>
      <w:r>
        <w:rPr>
          <w:sz w:val="20"/>
        </w:rPr>
        <w:t>autorizar,</w:t>
      </w:r>
      <w:r>
        <w:rPr>
          <w:spacing w:val="-10"/>
          <w:sz w:val="20"/>
        </w:rPr>
        <w:t> </w:t>
      </w:r>
      <w:r>
        <w:rPr>
          <w:sz w:val="20"/>
        </w:rPr>
        <w:t>tolerar</w:t>
      </w:r>
      <w:r>
        <w:rPr>
          <w:spacing w:val="-11"/>
          <w:sz w:val="20"/>
        </w:rPr>
        <w:t> </w:t>
      </w:r>
      <w:r>
        <w:rPr>
          <w:sz w:val="20"/>
        </w:rPr>
        <w:t>o</w:t>
      </w:r>
      <w:r>
        <w:rPr>
          <w:spacing w:val="-9"/>
          <w:sz w:val="20"/>
        </w:rPr>
        <w:t> </w:t>
      </w:r>
      <w:r>
        <w:rPr>
          <w:sz w:val="20"/>
        </w:rPr>
        <w:t>consentir</w:t>
      </w:r>
      <w:r>
        <w:rPr>
          <w:spacing w:val="-11"/>
          <w:sz w:val="20"/>
        </w:rPr>
        <w:t> </w:t>
      </w:r>
      <w:r>
        <w:rPr>
          <w:sz w:val="20"/>
        </w:rPr>
        <w:t>que</w:t>
      </w:r>
      <w:r>
        <w:rPr>
          <w:spacing w:val="-11"/>
          <w:sz w:val="20"/>
        </w:rPr>
        <w:t> </w:t>
      </w:r>
      <w:r>
        <w:rPr>
          <w:sz w:val="20"/>
        </w:rPr>
        <w:t>terceros</w:t>
      </w:r>
      <w:r>
        <w:rPr>
          <w:spacing w:val="-11"/>
          <w:sz w:val="20"/>
        </w:rPr>
        <w:t> </w:t>
      </w:r>
      <w:r>
        <w:rPr>
          <w:sz w:val="20"/>
        </w:rPr>
        <w:t>lo hagan</w:t>
      </w:r>
      <w:r>
        <w:rPr>
          <w:position w:val="7"/>
          <w:sz w:val="13"/>
        </w:rPr>
        <w:t>321</w:t>
      </w:r>
      <w:r>
        <w:rPr>
          <w:sz w:val="20"/>
        </w:rPr>
        <w:t>. En caso de realizarse alguno de los actos indicados, debe estar precedido, según</w:t>
      </w:r>
      <w:r>
        <w:rPr>
          <w:spacing w:val="-19"/>
          <w:sz w:val="20"/>
        </w:rPr>
        <w:t> </w:t>
      </w:r>
      <w:r>
        <w:rPr>
          <w:sz w:val="20"/>
        </w:rPr>
        <w:t>corresponda,</w:t>
      </w:r>
      <w:r>
        <w:rPr>
          <w:spacing w:val="-20"/>
          <w:sz w:val="20"/>
        </w:rPr>
        <w:t> </w:t>
      </w:r>
      <w:r>
        <w:rPr>
          <w:sz w:val="20"/>
        </w:rPr>
        <w:t>de</w:t>
      </w:r>
      <w:r>
        <w:rPr>
          <w:spacing w:val="-19"/>
          <w:sz w:val="20"/>
        </w:rPr>
        <w:t> </w:t>
      </w:r>
      <w:r>
        <w:rPr>
          <w:sz w:val="20"/>
        </w:rPr>
        <w:t>la</w:t>
      </w:r>
      <w:r>
        <w:rPr>
          <w:spacing w:val="-20"/>
          <w:sz w:val="20"/>
        </w:rPr>
        <w:t> </w:t>
      </w:r>
      <w:r>
        <w:rPr>
          <w:sz w:val="20"/>
        </w:rPr>
        <w:t>provisión</w:t>
      </w:r>
      <w:r>
        <w:rPr>
          <w:spacing w:val="-14"/>
          <w:sz w:val="20"/>
        </w:rPr>
        <w:t> </w:t>
      </w:r>
      <w:r>
        <w:rPr>
          <w:sz w:val="20"/>
        </w:rPr>
        <w:t>de</w:t>
      </w:r>
      <w:r>
        <w:rPr>
          <w:spacing w:val="-21"/>
          <w:sz w:val="20"/>
        </w:rPr>
        <w:t> </w:t>
      </w:r>
      <w:r>
        <w:rPr>
          <w:sz w:val="20"/>
        </w:rPr>
        <w:t>información</w:t>
      </w:r>
      <w:r>
        <w:rPr>
          <w:spacing w:val="-19"/>
          <w:sz w:val="20"/>
        </w:rPr>
        <w:t> </w:t>
      </w:r>
      <w:r>
        <w:rPr>
          <w:sz w:val="20"/>
        </w:rPr>
        <w:t>a</w:t>
      </w:r>
      <w:r>
        <w:rPr>
          <w:spacing w:val="-20"/>
          <w:sz w:val="20"/>
        </w:rPr>
        <w:t> </w:t>
      </w:r>
      <w:r>
        <w:rPr>
          <w:sz w:val="20"/>
        </w:rPr>
        <w:t>las</w:t>
      </w:r>
      <w:r>
        <w:rPr>
          <w:spacing w:val="-18"/>
          <w:sz w:val="20"/>
        </w:rPr>
        <w:t> </w:t>
      </w:r>
      <w:r>
        <w:rPr>
          <w:sz w:val="20"/>
        </w:rPr>
        <w:t>comunidades</w:t>
      </w:r>
      <w:r>
        <w:rPr>
          <w:spacing w:val="-21"/>
          <w:sz w:val="20"/>
        </w:rPr>
        <w:t> </w:t>
      </w:r>
      <w:r>
        <w:rPr>
          <w:sz w:val="20"/>
        </w:rPr>
        <w:t>indígenas</w:t>
      </w:r>
      <w:r>
        <w:rPr>
          <w:spacing w:val="-20"/>
          <w:sz w:val="20"/>
        </w:rPr>
        <w:t> </w:t>
      </w:r>
      <w:r>
        <w:rPr>
          <w:sz w:val="20"/>
        </w:rPr>
        <w:t>víctimas, así como de la realización de consultas previas adecuadas, libres e informadas, de acuerdo a pautas señaladas por la Corte en la presente Sentencia (</w:t>
      </w:r>
      <w:r>
        <w:rPr>
          <w:i/>
          <w:sz w:val="20"/>
        </w:rPr>
        <w:t>supra </w:t>
      </w:r>
      <w:r>
        <w:rPr>
          <w:sz w:val="20"/>
        </w:rPr>
        <w:t>párrs 174 y 175).</w:t>
      </w:r>
      <w:r>
        <w:rPr>
          <w:spacing w:val="-6"/>
          <w:sz w:val="20"/>
        </w:rPr>
        <w:t> </w:t>
      </w:r>
      <w:r>
        <w:rPr>
          <w:sz w:val="20"/>
        </w:rPr>
        <w:t>Esta</w:t>
      </w:r>
      <w:r>
        <w:rPr>
          <w:spacing w:val="-5"/>
          <w:sz w:val="20"/>
        </w:rPr>
        <w:t> </w:t>
      </w:r>
      <w:r>
        <w:rPr>
          <w:sz w:val="20"/>
        </w:rPr>
        <w:t>conducta</w:t>
      </w:r>
      <w:r>
        <w:rPr>
          <w:spacing w:val="-5"/>
          <w:sz w:val="20"/>
        </w:rPr>
        <w:t> </w:t>
      </w:r>
      <w:r>
        <w:rPr>
          <w:sz w:val="20"/>
        </w:rPr>
        <w:t>debe</w:t>
      </w:r>
      <w:r>
        <w:rPr>
          <w:spacing w:val="-7"/>
          <w:sz w:val="20"/>
        </w:rPr>
        <w:t> </w:t>
      </w:r>
      <w:r>
        <w:rPr>
          <w:sz w:val="20"/>
        </w:rPr>
        <w:t>ser</w:t>
      </w:r>
      <w:r>
        <w:rPr>
          <w:spacing w:val="-7"/>
          <w:sz w:val="20"/>
        </w:rPr>
        <w:t> </w:t>
      </w:r>
      <w:r>
        <w:rPr>
          <w:sz w:val="20"/>
        </w:rPr>
        <w:t>observada</w:t>
      </w:r>
      <w:r>
        <w:rPr>
          <w:spacing w:val="-3"/>
          <w:sz w:val="20"/>
        </w:rPr>
        <w:t> </w:t>
      </w:r>
      <w:r>
        <w:rPr>
          <w:sz w:val="20"/>
        </w:rPr>
        <w:t>por</w:t>
      </w:r>
      <w:r>
        <w:rPr>
          <w:spacing w:val="-7"/>
          <w:sz w:val="20"/>
        </w:rPr>
        <w:t> </w:t>
      </w:r>
      <w:r>
        <w:rPr>
          <w:sz w:val="20"/>
        </w:rPr>
        <w:t>el</w:t>
      </w:r>
      <w:r>
        <w:rPr>
          <w:spacing w:val="-3"/>
          <w:sz w:val="20"/>
        </w:rPr>
        <w:t> </w:t>
      </w:r>
      <w:r>
        <w:rPr>
          <w:sz w:val="20"/>
        </w:rPr>
        <w:t>Estado</w:t>
      </w:r>
      <w:r>
        <w:rPr>
          <w:spacing w:val="-4"/>
          <w:sz w:val="20"/>
        </w:rPr>
        <w:t> </w:t>
      </w:r>
      <w:r>
        <w:rPr>
          <w:sz w:val="20"/>
        </w:rPr>
        <w:t>en</w:t>
      </w:r>
      <w:r>
        <w:rPr>
          <w:spacing w:val="-5"/>
          <w:sz w:val="20"/>
        </w:rPr>
        <w:t> </w:t>
      </w:r>
      <w:r>
        <w:rPr>
          <w:sz w:val="20"/>
        </w:rPr>
        <w:t>forma</w:t>
      </w:r>
      <w:r>
        <w:rPr>
          <w:spacing w:val="-3"/>
          <w:sz w:val="20"/>
        </w:rPr>
        <w:t> </w:t>
      </w:r>
      <w:r>
        <w:rPr>
          <w:sz w:val="20"/>
        </w:rPr>
        <w:t>inmediata</w:t>
      </w:r>
      <w:r>
        <w:rPr>
          <w:spacing w:val="-5"/>
          <w:sz w:val="20"/>
        </w:rPr>
        <w:t> </w:t>
      </w:r>
      <w:r>
        <w:rPr>
          <w:sz w:val="20"/>
        </w:rPr>
        <w:t>a</w:t>
      </w:r>
      <w:r>
        <w:rPr>
          <w:spacing w:val="-5"/>
          <w:sz w:val="20"/>
        </w:rPr>
        <w:t> </w:t>
      </w:r>
      <w:r>
        <w:rPr>
          <w:sz w:val="20"/>
        </w:rPr>
        <w:t>partir</w:t>
      </w:r>
      <w:r>
        <w:rPr>
          <w:spacing w:val="-4"/>
          <w:sz w:val="20"/>
        </w:rPr>
        <w:t> </w:t>
      </w:r>
      <w:r>
        <w:rPr>
          <w:sz w:val="20"/>
        </w:rPr>
        <w:t>de</w:t>
      </w:r>
      <w:r>
        <w:rPr>
          <w:spacing w:val="-7"/>
          <w:sz w:val="20"/>
        </w:rPr>
        <w:t> </w:t>
      </w:r>
      <w:r>
        <w:rPr>
          <w:sz w:val="20"/>
        </w:rPr>
        <w:t>la notificación de la presente Sentencia; será supervisada por la Corte hasta tanto se determine el cumplimiento de la medida, antes ordenada, consistente en delimitar, demarcar y otorgar un título colectivo que reconozca la propiedad de territorio (</w:t>
      </w:r>
      <w:r>
        <w:rPr>
          <w:i/>
          <w:sz w:val="20"/>
        </w:rPr>
        <w:t>supra </w:t>
      </w:r>
      <w:r>
        <w:rPr>
          <w:sz w:val="20"/>
        </w:rPr>
        <w:t>párr.</w:t>
      </w:r>
      <w:r>
        <w:rPr>
          <w:spacing w:val="-6"/>
          <w:sz w:val="20"/>
        </w:rPr>
        <w:t> </w:t>
      </w:r>
      <w:r>
        <w:rPr>
          <w:sz w:val="20"/>
        </w:rPr>
        <w:t>327).</w:t>
      </w:r>
    </w:p>
    <w:p>
      <w:pPr>
        <w:pStyle w:val="BodyText"/>
        <w:spacing w:before="11"/>
        <w:rPr>
          <w:sz w:val="19"/>
        </w:rPr>
      </w:pPr>
    </w:p>
    <w:p>
      <w:pPr>
        <w:pStyle w:val="ListParagraph"/>
        <w:numPr>
          <w:ilvl w:val="2"/>
          <w:numId w:val="39"/>
        </w:numPr>
        <w:tabs>
          <w:tab w:pos="1579" w:val="left" w:leader="none"/>
        </w:tabs>
        <w:spacing w:line="240" w:lineRule="auto" w:before="0" w:after="0"/>
        <w:ind w:left="1578" w:right="0" w:hanging="604"/>
        <w:jc w:val="left"/>
        <w:rPr>
          <w:i/>
          <w:sz w:val="20"/>
        </w:rPr>
      </w:pPr>
      <w:bookmarkStart w:name="_bookmark91" w:id="154"/>
      <w:bookmarkEnd w:id="154"/>
      <w:r>
        <w:rPr/>
      </w:r>
      <w:bookmarkStart w:name="_bookmark91" w:id="155"/>
      <w:bookmarkEnd w:id="155"/>
      <w:r>
        <w:rPr>
          <w:i/>
          <w:sz w:val="20"/>
          <w:u w:val="single"/>
        </w:rPr>
        <w:t>T</w:t>
      </w:r>
      <w:r>
        <w:rPr>
          <w:i/>
          <w:sz w:val="20"/>
          <w:u w:val="single"/>
        </w:rPr>
        <w:t>raslado de la población</w:t>
      </w:r>
      <w:r>
        <w:rPr>
          <w:i/>
          <w:spacing w:val="-13"/>
          <w:sz w:val="20"/>
          <w:u w:val="single"/>
        </w:rPr>
        <w:t> </w:t>
      </w:r>
      <w:r>
        <w:rPr>
          <w:i/>
          <w:sz w:val="20"/>
          <w:u w:val="single"/>
        </w:rPr>
        <w:t>criolla</w:t>
      </w:r>
    </w:p>
    <w:p>
      <w:pPr>
        <w:pStyle w:val="BodyText"/>
        <w:spacing w:before="11"/>
        <w:rPr>
          <w:i/>
          <w:sz w:val="11"/>
        </w:rPr>
      </w:pPr>
    </w:p>
    <w:p>
      <w:pPr>
        <w:pStyle w:val="ListParagraph"/>
        <w:numPr>
          <w:ilvl w:val="0"/>
          <w:numId w:val="37"/>
        </w:numPr>
        <w:tabs>
          <w:tab w:pos="830" w:val="left" w:leader="none"/>
        </w:tabs>
        <w:spacing w:line="240" w:lineRule="auto" w:before="99" w:after="0"/>
        <w:ind w:left="122" w:right="121" w:firstLine="0"/>
        <w:jc w:val="both"/>
        <w:rPr>
          <w:sz w:val="20"/>
        </w:rPr>
      </w:pPr>
      <w:r>
        <w:rPr>
          <w:sz w:val="20"/>
        </w:rPr>
        <w:t>A efectos de garantizar el pleno ejercicio del derecho de propiedad sobre su territorio</w:t>
      </w:r>
      <w:r>
        <w:rPr>
          <w:spacing w:val="-16"/>
          <w:sz w:val="20"/>
        </w:rPr>
        <w:t> </w:t>
      </w:r>
      <w:r>
        <w:rPr>
          <w:sz w:val="20"/>
        </w:rPr>
        <w:t>por</w:t>
      </w:r>
      <w:r>
        <w:rPr>
          <w:spacing w:val="-19"/>
          <w:sz w:val="20"/>
        </w:rPr>
        <w:t> </w:t>
      </w:r>
      <w:r>
        <w:rPr>
          <w:sz w:val="20"/>
        </w:rPr>
        <w:t>parte</w:t>
      </w:r>
      <w:r>
        <w:rPr>
          <w:spacing w:val="-17"/>
          <w:sz w:val="20"/>
        </w:rPr>
        <w:t> </w:t>
      </w:r>
      <w:r>
        <w:rPr>
          <w:sz w:val="20"/>
        </w:rPr>
        <w:t>de</w:t>
      </w:r>
      <w:r>
        <w:rPr>
          <w:spacing w:val="-17"/>
          <w:sz w:val="20"/>
        </w:rPr>
        <w:t> </w:t>
      </w:r>
      <w:r>
        <w:rPr>
          <w:sz w:val="20"/>
        </w:rPr>
        <w:t>las</w:t>
      </w:r>
      <w:r>
        <w:rPr>
          <w:spacing w:val="-18"/>
          <w:sz w:val="20"/>
        </w:rPr>
        <w:t> </w:t>
      </w:r>
      <w:r>
        <w:rPr>
          <w:sz w:val="20"/>
        </w:rPr>
        <w:t>comunidades</w:t>
      </w:r>
      <w:r>
        <w:rPr>
          <w:spacing w:val="-16"/>
          <w:sz w:val="20"/>
        </w:rPr>
        <w:t> </w:t>
      </w:r>
      <w:r>
        <w:rPr>
          <w:sz w:val="20"/>
        </w:rPr>
        <w:t>indígenas</w:t>
      </w:r>
      <w:r>
        <w:rPr>
          <w:spacing w:val="-18"/>
          <w:sz w:val="20"/>
        </w:rPr>
        <w:t> </w:t>
      </w:r>
      <w:r>
        <w:rPr>
          <w:sz w:val="20"/>
        </w:rPr>
        <w:t>víctimas,</w:t>
      </w:r>
      <w:r>
        <w:rPr>
          <w:spacing w:val="-16"/>
          <w:sz w:val="20"/>
        </w:rPr>
        <w:t> </w:t>
      </w:r>
      <w:r>
        <w:rPr>
          <w:sz w:val="20"/>
        </w:rPr>
        <w:t>y</w:t>
      </w:r>
      <w:r>
        <w:rPr>
          <w:spacing w:val="-16"/>
          <w:sz w:val="20"/>
        </w:rPr>
        <w:t> </w:t>
      </w:r>
      <w:r>
        <w:rPr>
          <w:sz w:val="20"/>
        </w:rPr>
        <w:t>como</w:t>
      </w:r>
      <w:r>
        <w:rPr>
          <w:spacing w:val="-16"/>
          <w:sz w:val="20"/>
        </w:rPr>
        <w:t> </w:t>
      </w:r>
      <w:r>
        <w:rPr>
          <w:sz w:val="20"/>
        </w:rPr>
        <w:t>surge</w:t>
      </w:r>
      <w:r>
        <w:rPr>
          <w:spacing w:val="-17"/>
          <w:sz w:val="20"/>
        </w:rPr>
        <w:t> </w:t>
      </w:r>
      <w:r>
        <w:rPr>
          <w:sz w:val="20"/>
        </w:rPr>
        <w:t>de</w:t>
      </w:r>
      <w:r>
        <w:rPr>
          <w:spacing w:val="-7"/>
          <w:sz w:val="20"/>
        </w:rPr>
        <w:t> </w:t>
      </w:r>
      <w:r>
        <w:rPr>
          <w:sz w:val="20"/>
        </w:rPr>
        <w:t>los</w:t>
      </w:r>
      <w:r>
        <w:rPr>
          <w:spacing w:val="-18"/>
          <w:sz w:val="20"/>
        </w:rPr>
        <w:t> </w:t>
      </w:r>
      <w:r>
        <w:rPr>
          <w:sz w:val="20"/>
        </w:rPr>
        <w:t>acuerdos alcanzados entre las mismas, el Estado y la Organización de Familias Criollas en 2007, aprobados por el Decreto 2786/07 y considerados como antecedentes por el Decreto 1498/14, deben concretarse acciones para el traslado de la población criolla fuera del territorio indígena definido de acuerdo a lo ya ordenado (</w:t>
      </w:r>
      <w:r>
        <w:rPr>
          <w:i/>
          <w:sz w:val="20"/>
        </w:rPr>
        <w:t>supra </w:t>
      </w:r>
      <w:r>
        <w:rPr>
          <w:sz w:val="20"/>
        </w:rPr>
        <w:t>párr. 327).</w:t>
      </w:r>
      <w:r>
        <w:rPr>
          <w:spacing w:val="-48"/>
          <w:sz w:val="20"/>
        </w:rPr>
        <w:t> </w:t>
      </w:r>
      <w:r>
        <w:rPr>
          <w:sz w:val="20"/>
        </w:rPr>
        <w:t>Para el logro de tal fin, la Corte ordena al Estado </w:t>
      </w:r>
      <w:r>
        <w:rPr>
          <w:i/>
          <w:sz w:val="20"/>
        </w:rPr>
        <w:t>hacer efectivo el traslado de la población criolla</w:t>
      </w:r>
      <w:r>
        <w:rPr>
          <w:sz w:val="20"/>
        </w:rPr>
        <w:t>, de acuerdo a las pautas que se fijan a</w:t>
      </w:r>
      <w:r>
        <w:rPr>
          <w:spacing w:val="-18"/>
          <w:sz w:val="20"/>
        </w:rPr>
        <w:t> </w:t>
      </w:r>
      <w:r>
        <w:rPr>
          <w:sz w:val="20"/>
        </w:rPr>
        <w:t>continuación:</w:t>
      </w:r>
    </w:p>
    <w:p>
      <w:pPr>
        <w:pStyle w:val="BodyText"/>
      </w:pPr>
    </w:p>
    <w:p>
      <w:pPr>
        <w:pStyle w:val="BodyText"/>
      </w:pPr>
    </w:p>
    <w:p>
      <w:pPr>
        <w:pStyle w:val="BodyText"/>
      </w:pPr>
    </w:p>
    <w:p>
      <w:pPr>
        <w:pStyle w:val="BodyText"/>
        <w:spacing w:before="3"/>
        <w:rPr>
          <w:sz w:val="29"/>
        </w:rPr>
      </w:pPr>
      <w:r>
        <w:rPr/>
        <w:pict>
          <v:line style="position:absolute;mso-position-horizontal-relative:page;mso-position-vertical-relative:paragraph;z-index:3496;mso-wrap-distance-left:0;mso-wrap-distance-right:0" from="85.103996pt,20.097143pt" to="229.123996pt,20.097143pt" stroked="true" strokeweight=".72003pt" strokecolor="#000000">
            <v:stroke dashstyle="solid"/>
            <w10:wrap type="topAndBottom"/>
          </v:line>
        </w:pict>
      </w:r>
    </w:p>
    <w:p>
      <w:pPr>
        <w:tabs>
          <w:tab w:pos="829" w:val="left" w:leader="none"/>
        </w:tabs>
        <w:spacing w:before="71"/>
        <w:ind w:left="122" w:right="114" w:firstLine="0"/>
        <w:jc w:val="both"/>
        <w:rPr>
          <w:sz w:val="16"/>
        </w:rPr>
      </w:pPr>
      <w:r>
        <w:rPr>
          <w:position w:val="6"/>
          <w:sz w:val="10"/>
        </w:rPr>
        <w:t>320</w:t>
        <w:tab/>
      </w:r>
      <w:r>
        <w:rPr>
          <w:sz w:val="16"/>
        </w:rPr>
        <w:t>La</w:t>
      </w:r>
      <w:r>
        <w:rPr>
          <w:spacing w:val="18"/>
          <w:sz w:val="16"/>
        </w:rPr>
        <w:t> </w:t>
      </w:r>
      <w:r>
        <w:rPr>
          <w:sz w:val="16"/>
        </w:rPr>
        <w:t>aclaración</w:t>
      </w:r>
      <w:r>
        <w:rPr>
          <w:spacing w:val="16"/>
          <w:sz w:val="16"/>
        </w:rPr>
        <w:t> </w:t>
      </w:r>
      <w:r>
        <w:rPr>
          <w:sz w:val="16"/>
        </w:rPr>
        <w:t>es</w:t>
      </w:r>
      <w:r>
        <w:rPr>
          <w:spacing w:val="14"/>
          <w:sz w:val="16"/>
        </w:rPr>
        <w:t> </w:t>
      </w:r>
      <w:r>
        <w:rPr>
          <w:sz w:val="16"/>
        </w:rPr>
        <w:t>relevante,</w:t>
      </w:r>
      <w:r>
        <w:rPr>
          <w:spacing w:val="18"/>
          <w:sz w:val="16"/>
        </w:rPr>
        <w:t> </w:t>
      </w:r>
      <w:r>
        <w:rPr>
          <w:sz w:val="16"/>
        </w:rPr>
        <w:t>pues</w:t>
      </w:r>
      <w:r>
        <w:rPr>
          <w:spacing w:val="19"/>
          <w:sz w:val="16"/>
        </w:rPr>
        <w:t> </w:t>
      </w:r>
      <w:r>
        <w:rPr>
          <w:sz w:val="16"/>
        </w:rPr>
        <w:t>si</w:t>
      </w:r>
      <w:r>
        <w:rPr>
          <w:spacing w:val="16"/>
          <w:sz w:val="16"/>
        </w:rPr>
        <w:t> </w:t>
      </w:r>
      <w:r>
        <w:rPr>
          <w:sz w:val="16"/>
        </w:rPr>
        <w:t>bien</w:t>
      </w:r>
      <w:r>
        <w:rPr>
          <w:spacing w:val="16"/>
          <w:sz w:val="16"/>
        </w:rPr>
        <w:t> </w:t>
      </w:r>
      <w:r>
        <w:rPr>
          <w:sz w:val="16"/>
        </w:rPr>
        <w:t>se</w:t>
      </w:r>
      <w:r>
        <w:rPr>
          <w:spacing w:val="17"/>
          <w:sz w:val="16"/>
        </w:rPr>
        <w:t> </w:t>
      </w:r>
      <w:r>
        <w:rPr>
          <w:sz w:val="16"/>
        </w:rPr>
        <w:t>ha</w:t>
      </w:r>
      <w:r>
        <w:rPr>
          <w:spacing w:val="18"/>
          <w:sz w:val="16"/>
        </w:rPr>
        <w:t> </w:t>
      </w:r>
      <w:r>
        <w:rPr>
          <w:sz w:val="16"/>
        </w:rPr>
        <w:t>indicado</w:t>
      </w:r>
      <w:r>
        <w:rPr>
          <w:spacing w:val="17"/>
          <w:sz w:val="16"/>
        </w:rPr>
        <w:t> </w:t>
      </w:r>
      <w:r>
        <w:rPr>
          <w:sz w:val="16"/>
        </w:rPr>
        <w:t>que</w:t>
      </w:r>
      <w:r>
        <w:rPr>
          <w:spacing w:val="19"/>
          <w:sz w:val="16"/>
        </w:rPr>
        <w:t> </w:t>
      </w:r>
      <w:r>
        <w:rPr>
          <w:sz w:val="16"/>
        </w:rPr>
        <w:t>la</w:t>
      </w:r>
      <w:r>
        <w:rPr>
          <w:spacing w:val="18"/>
          <w:sz w:val="16"/>
        </w:rPr>
        <w:t> </w:t>
      </w:r>
      <w:r>
        <w:rPr>
          <w:sz w:val="16"/>
        </w:rPr>
        <w:t>unidad</w:t>
      </w:r>
      <w:r>
        <w:rPr>
          <w:spacing w:val="17"/>
          <w:sz w:val="16"/>
        </w:rPr>
        <w:t> </w:t>
      </w:r>
      <w:r>
        <w:rPr>
          <w:sz w:val="16"/>
        </w:rPr>
        <w:t>del</w:t>
      </w:r>
      <w:r>
        <w:rPr>
          <w:spacing w:val="18"/>
          <w:sz w:val="16"/>
        </w:rPr>
        <w:t> </w:t>
      </w:r>
      <w:r>
        <w:rPr>
          <w:sz w:val="16"/>
        </w:rPr>
        <w:t>territorio</w:t>
      </w:r>
      <w:r>
        <w:rPr>
          <w:spacing w:val="17"/>
          <w:sz w:val="16"/>
        </w:rPr>
        <w:t> </w:t>
      </w:r>
      <w:r>
        <w:rPr>
          <w:sz w:val="16"/>
        </w:rPr>
        <w:t>se</w:t>
      </w:r>
      <w:r>
        <w:rPr>
          <w:spacing w:val="15"/>
          <w:sz w:val="16"/>
        </w:rPr>
        <w:t> </w:t>
      </w:r>
      <w:r>
        <w:rPr>
          <w:sz w:val="16"/>
        </w:rPr>
        <w:t>vincula</w:t>
      </w:r>
      <w:r>
        <w:rPr>
          <w:spacing w:val="18"/>
          <w:sz w:val="16"/>
        </w:rPr>
        <w:t> </w:t>
      </w:r>
      <w:r>
        <w:rPr>
          <w:sz w:val="16"/>
        </w:rPr>
        <w:t>a</w:t>
      </w:r>
      <w:r>
        <w:rPr>
          <w:spacing w:val="18"/>
          <w:sz w:val="16"/>
        </w:rPr>
        <w:t> </w:t>
      </w:r>
      <w:r>
        <w:rPr>
          <w:sz w:val="16"/>
        </w:rPr>
        <w:t>la</w:t>
      </w:r>
      <w:r>
        <w:rPr>
          <w:w w:val="100"/>
          <w:sz w:val="16"/>
        </w:rPr>
        <w:t> </w:t>
      </w:r>
      <w:r>
        <w:rPr>
          <w:sz w:val="16"/>
        </w:rPr>
        <w:t>identidad cultural y modo de vida de las comunidades víctimas en el caso (</w:t>
      </w:r>
      <w:r>
        <w:rPr>
          <w:i/>
          <w:sz w:val="16"/>
        </w:rPr>
        <w:t>cfr. </w:t>
      </w:r>
      <w:r>
        <w:rPr>
          <w:sz w:val="16"/>
        </w:rPr>
        <w:t>declaraciones periciales de las señoras Naharro y Yáñez Fuenzalida), la Corte recibió algunas declaraciones de integrantes de comunidades indígenas que bregaban porque se dieran títulos separados a cada comunidad (pueden señalarse, en este sentido, las declaraciones de Víctor González, Francisco Gomez y Humberto Chenes (expediente de fondo, fs. 938 a 941, 954 a 958 y 963 a 966)). La Corte entiende que lo expuesto no modifica la obligación estatal de reconocer la propiedad en forma unificada, conforme se ha determinado y se ordena en esta Sentencia. Ello no</w:t>
      </w:r>
      <w:r>
        <w:rPr>
          <w:spacing w:val="-2"/>
          <w:sz w:val="16"/>
        </w:rPr>
        <w:t> </w:t>
      </w:r>
      <w:r>
        <w:rPr>
          <w:sz w:val="16"/>
        </w:rPr>
        <w:t>impide</w:t>
      </w:r>
      <w:r>
        <w:rPr>
          <w:spacing w:val="-5"/>
          <w:sz w:val="16"/>
        </w:rPr>
        <w:t> </w:t>
      </w:r>
      <w:r>
        <w:rPr>
          <w:sz w:val="16"/>
        </w:rPr>
        <w:t>los</w:t>
      </w:r>
      <w:r>
        <w:rPr>
          <w:spacing w:val="-5"/>
          <w:sz w:val="16"/>
        </w:rPr>
        <w:t> </w:t>
      </w:r>
      <w:r>
        <w:rPr>
          <w:sz w:val="16"/>
        </w:rPr>
        <w:t>eventuales</w:t>
      </w:r>
      <w:r>
        <w:rPr>
          <w:spacing w:val="-2"/>
          <w:sz w:val="16"/>
        </w:rPr>
        <w:t> </w:t>
      </w:r>
      <w:r>
        <w:rPr>
          <w:sz w:val="16"/>
        </w:rPr>
        <w:t>acuerdos</w:t>
      </w:r>
      <w:r>
        <w:rPr>
          <w:spacing w:val="-5"/>
          <w:sz w:val="16"/>
        </w:rPr>
        <w:t> </w:t>
      </w:r>
      <w:r>
        <w:rPr>
          <w:sz w:val="16"/>
        </w:rPr>
        <w:t>que</w:t>
      </w:r>
      <w:r>
        <w:rPr>
          <w:spacing w:val="-5"/>
          <w:sz w:val="16"/>
        </w:rPr>
        <w:t> </w:t>
      </w:r>
      <w:r>
        <w:rPr>
          <w:sz w:val="16"/>
        </w:rPr>
        <w:t>adopten</w:t>
      </w:r>
      <w:r>
        <w:rPr>
          <w:spacing w:val="-6"/>
          <w:sz w:val="16"/>
        </w:rPr>
        <w:t> </w:t>
      </w:r>
      <w:r>
        <w:rPr>
          <w:sz w:val="16"/>
        </w:rPr>
        <w:t>las</w:t>
      </w:r>
      <w:r>
        <w:rPr>
          <w:spacing w:val="-5"/>
          <w:sz w:val="16"/>
        </w:rPr>
        <w:t> </w:t>
      </w:r>
      <w:r>
        <w:rPr>
          <w:sz w:val="16"/>
        </w:rPr>
        <w:t>comunidades</w:t>
      </w:r>
      <w:r>
        <w:rPr>
          <w:spacing w:val="-5"/>
          <w:sz w:val="16"/>
        </w:rPr>
        <w:t> </w:t>
      </w:r>
      <w:r>
        <w:rPr>
          <w:sz w:val="16"/>
        </w:rPr>
        <w:t>para</w:t>
      </w:r>
      <w:r>
        <w:rPr>
          <w:spacing w:val="-6"/>
          <w:sz w:val="16"/>
        </w:rPr>
        <w:t> </w:t>
      </w:r>
      <w:r>
        <w:rPr>
          <w:sz w:val="16"/>
        </w:rPr>
        <w:t>el</w:t>
      </w:r>
      <w:r>
        <w:rPr>
          <w:spacing w:val="-3"/>
          <w:sz w:val="16"/>
        </w:rPr>
        <w:t> </w:t>
      </w:r>
      <w:r>
        <w:rPr>
          <w:sz w:val="16"/>
        </w:rPr>
        <w:t>uso</w:t>
      </w:r>
      <w:r>
        <w:rPr>
          <w:spacing w:val="-4"/>
          <w:sz w:val="16"/>
        </w:rPr>
        <w:t> </w:t>
      </w:r>
      <w:r>
        <w:rPr>
          <w:sz w:val="16"/>
        </w:rPr>
        <w:t>de</w:t>
      </w:r>
      <w:r>
        <w:rPr>
          <w:spacing w:val="-5"/>
          <w:sz w:val="16"/>
        </w:rPr>
        <w:t> </w:t>
      </w:r>
      <w:r>
        <w:rPr>
          <w:sz w:val="16"/>
        </w:rPr>
        <w:t>su</w:t>
      </w:r>
      <w:r>
        <w:rPr>
          <w:spacing w:val="-6"/>
          <w:sz w:val="16"/>
        </w:rPr>
        <w:t> </w:t>
      </w:r>
      <w:r>
        <w:rPr>
          <w:sz w:val="16"/>
        </w:rPr>
        <w:t>territorio,</w:t>
      </w:r>
      <w:r>
        <w:rPr>
          <w:spacing w:val="-4"/>
          <w:sz w:val="16"/>
        </w:rPr>
        <w:t> </w:t>
      </w:r>
      <w:r>
        <w:rPr>
          <w:sz w:val="16"/>
        </w:rPr>
        <w:t>cuestión</w:t>
      </w:r>
      <w:r>
        <w:rPr>
          <w:spacing w:val="-6"/>
          <w:sz w:val="16"/>
        </w:rPr>
        <w:t> </w:t>
      </w:r>
      <w:r>
        <w:rPr>
          <w:sz w:val="16"/>
        </w:rPr>
        <w:t>que,</w:t>
      </w:r>
      <w:r>
        <w:rPr>
          <w:spacing w:val="-6"/>
          <w:sz w:val="16"/>
        </w:rPr>
        <w:t> </w:t>
      </w:r>
      <w:r>
        <w:rPr>
          <w:spacing w:val="-3"/>
          <w:sz w:val="16"/>
        </w:rPr>
        <w:t>de </w:t>
      </w:r>
      <w:r>
        <w:rPr>
          <w:sz w:val="16"/>
        </w:rPr>
        <w:t>ser el caso, compete a las mismas decidir, no a autoridades estatales ni a esta Corte. En ese sentido cabe recordar la declaración oral, en la audiencia pública, del Cacique Rogelio Segundo, quien al solicitar que el Estado</w:t>
      </w:r>
      <w:r>
        <w:rPr>
          <w:spacing w:val="-5"/>
          <w:sz w:val="16"/>
        </w:rPr>
        <w:t> </w:t>
      </w:r>
      <w:r>
        <w:rPr>
          <w:sz w:val="16"/>
        </w:rPr>
        <w:t>“delimite</w:t>
      </w:r>
      <w:r>
        <w:rPr>
          <w:spacing w:val="-3"/>
          <w:sz w:val="16"/>
        </w:rPr>
        <w:t> </w:t>
      </w:r>
      <w:r>
        <w:rPr>
          <w:sz w:val="16"/>
        </w:rPr>
        <w:t>las</w:t>
      </w:r>
      <w:r>
        <w:rPr>
          <w:spacing w:val="-6"/>
          <w:sz w:val="16"/>
        </w:rPr>
        <w:t> </w:t>
      </w:r>
      <w:r>
        <w:rPr>
          <w:sz w:val="16"/>
        </w:rPr>
        <w:t>400.000</w:t>
      </w:r>
      <w:r>
        <w:rPr>
          <w:spacing w:val="-5"/>
          <w:sz w:val="16"/>
        </w:rPr>
        <w:t> </w:t>
      </w:r>
      <w:r>
        <w:rPr>
          <w:sz w:val="16"/>
        </w:rPr>
        <w:t>[ha],</w:t>
      </w:r>
      <w:r>
        <w:rPr>
          <w:spacing w:val="-5"/>
          <w:sz w:val="16"/>
        </w:rPr>
        <w:t> </w:t>
      </w:r>
      <w:r>
        <w:rPr>
          <w:sz w:val="16"/>
        </w:rPr>
        <w:t>que</w:t>
      </w:r>
      <w:r>
        <w:rPr>
          <w:spacing w:val="-3"/>
          <w:sz w:val="16"/>
        </w:rPr>
        <w:t> </w:t>
      </w:r>
      <w:r>
        <w:rPr>
          <w:sz w:val="16"/>
        </w:rPr>
        <w:t>[las]</w:t>
      </w:r>
      <w:r>
        <w:rPr>
          <w:spacing w:val="-4"/>
          <w:sz w:val="16"/>
        </w:rPr>
        <w:t> </w:t>
      </w:r>
      <w:r>
        <w:rPr>
          <w:sz w:val="16"/>
        </w:rPr>
        <w:t>demarque</w:t>
      </w:r>
      <w:r>
        <w:rPr>
          <w:spacing w:val="-6"/>
          <w:sz w:val="16"/>
        </w:rPr>
        <w:t> </w:t>
      </w:r>
      <w:r>
        <w:rPr>
          <w:sz w:val="16"/>
        </w:rPr>
        <w:t>y</w:t>
      </w:r>
      <w:r>
        <w:rPr>
          <w:spacing w:val="-3"/>
          <w:sz w:val="16"/>
        </w:rPr>
        <w:t> </w:t>
      </w:r>
      <w:r>
        <w:rPr>
          <w:sz w:val="16"/>
        </w:rPr>
        <w:t>[otorgue</w:t>
      </w:r>
      <w:r>
        <w:rPr>
          <w:spacing w:val="-3"/>
          <w:sz w:val="16"/>
        </w:rPr>
        <w:t> </w:t>
      </w:r>
      <w:r>
        <w:rPr>
          <w:sz w:val="16"/>
        </w:rPr>
        <w:t>el]</w:t>
      </w:r>
      <w:r>
        <w:rPr>
          <w:spacing w:val="-5"/>
          <w:sz w:val="16"/>
        </w:rPr>
        <w:t> </w:t>
      </w:r>
      <w:r>
        <w:rPr>
          <w:sz w:val="16"/>
        </w:rPr>
        <w:t>títul[o]”,</w:t>
      </w:r>
      <w:r>
        <w:rPr>
          <w:spacing w:val="-1"/>
          <w:sz w:val="16"/>
        </w:rPr>
        <w:t> </w:t>
      </w:r>
      <w:r>
        <w:rPr>
          <w:sz w:val="16"/>
        </w:rPr>
        <w:t>afirmó</w:t>
      </w:r>
      <w:r>
        <w:rPr>
          <w:spacing w:val="-6"/>
          <w:sz w:val="16"/>
        </w:rPr>
        <w:t> </w:t>
      </w:r>
      <w:r>
        <w:rPr>
          <w:sz w:val="16"/>
        </w:rPr>
        <w:t>que</w:t>
      </w:r>
      <w:r>
        <w:rPr>
          <w:spacing w:val="-8"/>
          <w:sz w:val="16"/>
        </w:rPr>
        <w:t> </w:t>
      </w:r>
      <w:r>
        <w:rPr>
          <w:sz w:val="16"/>
        </w:rPr>
        <w:t>con</w:t>
      </w:r>
      <w:r>
        <w:rPr>
          <w:spacing w:val="-5"/>
          <w:sz w:val="16"/>
        </w:rPr>
        <w:t> </w:t>
      </w:r>
      <w:r>
        <w:rPr>
          <w:sz w:val="16"/>
        </w:rPr>
        <w:t>eso</w:t>
      </w:r>
      <w:r>
        <w:rPr>
          <w:spacing w:val="-5"/>
          <w:sz w:val="16"/>
        </w:rPr>
        <w:t> </w:t>
      </w:r>
      <w:r>
        <w:rPr>
          <w:sz w:val="16"/>
        </w:rPr>
        <w:t>“termina</w:t>
      </w:r>
      <w:r>
        <w:rPr>
          <w:spacing w:val="-4"/>
          <w:sz w:val="16"/>
        </w:rPr>
        <w:t> </w:t>
      </w:r>
      <w:r>
        <w:rPr>
          <w:sz w:val="16"/>
        </w:rPr>
        <w:t>el trabajo” estatal y que “para adentro […] lo soluciona[n las comunidades], según las leyes [que] no están escritas pero [que] permanece[n] en […] las</w:t>
      </w:r>
      <w:r>
        <w:rPr>
          <w:spacing w:val="-18"/>
          <w:sz w:val="16"/>
        </w:rPr>
        <w:t> </w:t>
      </w:r>
      <w:r>
        <w:rPr>
          <w:sz w:val="16"/>
        </w:rPr>
        <w:t>comunidades”.</w:t>
      </w:r>
    </w:p>
    <w:p>
      <w:pPr>
        <w:pStyle w:val="BodyText"/>
        <w:spacing w:before="1"/>
        <w:rPr>
          <w:sz w:val="16"/>
        </w:rPr>
      </w:pPr>
    </w:p>
    <w:p>
      <w:pPr>
        <w:tabs>
          <w:tab w:pos="829" w:val="left" w:leader="none"/>
        </w:tabs>
        <w:spacing w:before="0"/>
        <w:ind w:left="122" w:right="112" w:firstLine="0"/>
        <w:jc w:val="both"/>
        <w:rPr>
          <w:sz w:val="16"/>
        </w:rPr>
      </w:pPr>
      <w:r>
        <w:rPr>
          <w:position w:val="6"/>
          <w:sz w:val="10"/>
        </w:rPr>
        <w:t>321</w:t>
        <w:tab/>
      </w:r>
      <w:r>
        <w:rPr>
          <w:i/>
          <w:sz w:val="16"/>
        </w:rPr>
        <w:t>Cfr</w:t>
      </w:r>
      <w:r>
        <w:rPr>
          <w:sz w:val="16"/>
        </w:rPr>
        <w:t>. en el mismo sentido, </w:t>
      </w:r>
      <w:r>
        <w:rPr>
          <w:i/>
          <w:sz w:val="16"/>
        </w:rPr>
        <w:t>Caso de la Comunidad Mayagna (Sumo) Awas Tingni Vs  </w:t>
      </w:r>
      <w:r>
        <w:rPr>
          <w:i/>
          <w:spacing w:val="19"/>
          <w:sz w:val="16"/>
        </w:rPr>
        <w:t> </w:t>
      </w:r>
      <w:r>
        <w:rPr>
          <w:i/>
          <w:sz w:val="16"/>
        </w:rPr>
        <w:t>Nicaragua,</w:t>
      </w:r>
      <w:r>
        <w:rPr>
          <w:i/>
          <w:spacing w:val="13"/>
          <w:sz w:val="16"/>
        </w:rPr>
        <w:t> </w:t>
      </w:r>
      <w:r>
        <w:rPr>
          <w:sz w:val="16"/>
        </w:rPr>
        <w:t>párr.</w:t>
      </w:r>
      <w:r>
        <w:rPr>
          <w:w w:val="100"/>
          <w:sz w:val="16"/>
        </w:rPr>
        <w:t> </w:t>
      </w:r>
      <w:r>
        <w:rPr>
          <w:sz w:val="16"/>
        </w:rPr>
        <w:t>153.2, y </w:t>
      </w:r>
      <w:r>
        <w:rPr>
          <w:i/>
          <w:sz w:val="16"/>
        </w:rPr>
        <w:t>Caso Pueblos Kaliña y Lokono Vs. Surinam</w:t>
      </w:r>
      <w:r>
        <w:rPr>
          <w:sz w:val="16"/>
        </w:rPr>
        <w:t>, párr.</w:t>
      </w:r>
      <w:r>
        <w:rPr>
          <w:spacing w:val="-19"/>
          <w:sz w:val="16"/>
        </w:rPr>
        <w:t> </w:t>
      </w:r>
      <w:r>
        <w:rPr>
          <w:sz w:val="16"/>
        </w:rPr>
        <w:t>282.</w:t>
      </w:r>
    </w:p>
    <w:p>
      <w:pPr>
        <w:spacing w:after="0"/>
        <w:jc w:val="both"/>
        <w:rPr>
          <w:sz w:val="16"/>
        </w:rPr>
        <w:sectPr>
          <w:pgSz w:w="12240" w:h="15840"/>
          <w:pgMar w:header="0" w:footer="1000" w:top="1340" w:bottom="1200" w:left="1580" w:right="1580"/>
        </w:sectPr>
      </w:pPr>
    </w:p>
    <w:p>
      <w:pPr>
        <w:pStyle w:val="ListParagraph"/>
        <w:numPr>
          <w:ilvl w:val="0"/>
          <w:numId w:val="40"/>
        </w:numPr>
        <w:tabs>
          <w:tab w:pos="830" w:val="left" w:leader="none"/>
        </w:tabs>
        <w:spacing w:line="242" w:lineRule="auto" w:before="76" w:after="0"/>
        <w:ind w:left="263" w:right="122" w:firstLine="0"/>
        <w:jc w:val="both"/>
        <w:rPr>
          <w:sz w:val="20"/>
        </w:rPr>
      </w:pPr>
      <w:r>
        <w:rPr>
          <w:sz w:val="20"/>
        </w:rPr>
        <w:t>El Estado debe promover procedimientos tendientes al traslado voluntario de la población criolla, procurando evitar desalojos</w:t>
      </w:r>
      <w:r>
        <w:rPr>
          <w:spacing w:val="-18"/>
          <w:sz w:val="20"/>
        </w:rPr>
        <w:t> </w:t>
      </w:r>
      <w:r>
        <w:rPr>
          <w:sz w:val="20"/>
        </w:rPr>
        <w:t>compulsivos</w:t>
      </w:r>
      <w:r>
        <w:rPr>
          <w:position w:val="7"/>
          <w:sz w:val="13"/>
        </w:rPr>
        <w:t>322</w:t>
      </w:r>
      <w:r>
        <w:rPr>
          <w:sz w:val="20"/>
        </w:rPr>
        <w:t>.</w:t>
      </w:r>
    </w:p>
    <w:p>
      <w:pPr>
        <w:pStyle w:val="ListParagraph"/>
        <w:numPr>
          <w:ilvl w:val="0"/>
          <w:numId w:val="40"/>
        </w:numPr>
        <w:tabs>
          <w:tab w:pos="830" w:val="left" w:leader="none"/>
        </w:tabs>
        <w:spacing w:line="240" w:lineRule="auto" w:before="0" w:after="0"/>
        <w:ind w:left="263" w:right="117" w:firstLine="0"/>
        <w:jc w:val="both"/>
        <w:rPr>
          <w:sz w:val="20"/>
        </w:rPr>
      </w:pPr>
      <w:r>
        <w:rPr>
          <w:sz w:val="20"/>
        </w:rPr>
        <w:t>A fin de garantizar lo anterior, durante los primeros tres años contados a partir de la notificación de la presente Sentencia, las autoridades estatales, judiciales, administrativas o de cualquier índole, provinciales o nacionales, no podrán ejecutar acciones de desalojo forzoso o compulsivo de pobladores</w:t>
      </w:r>
      <w:r>
        <w:rPr>
          <w:spacing w:val="-20"/>
          <w:sz w:val="20"/>
        </w:rPr>
        <w:t> </w:t>
      </w:r>
      <w:r>
        <w:rPr>
          <w:sz w:val="20"/>
        </w:rPr>
        <w:t>criollos</w:t>
      </w:r>
      <w:r>
        <w:rPr>
          <w:position w:val="7"/>
          <w:sz w:val="13"/>
        </w:rPr>
        <w:t>323</w:t>
      </w:r>
      <w:r>
        <w:rPr>
          <w:sz w:val="20"/>
        </w:rPr>
        <w:t>.</w:t>
      </w:r>
    </w:p>
    <w:p>
      <w:pPr>
        <w:pStyle w:val="ListParagraph"/>
        <w:numPr>
          <w:ilvl w:val="0"/>
          <w:numId w:val="40"/>
        </w:numPr>
        <w:tabs>
          <w:tab w:pos="830" w:val="left" w:leader="none"/>
        </w:tabs>
        <w:spacing w:line="240" w:lineRule="auto" w:before="3" w:after="0"/>
        <w:ind w:left="263" w:right="117" w:firstLine="0"/>
        <w:jc w:val="both"/>
        <w:rPr>
          <w:sz w:val="20"/>
        </w:rPr>
      </w:pPr>
      <w:r>
        <w:rPr>
          <w:sz w:val="20"/>
        </w:rPr>
        <w:t>Sin</w:t>
      </w:r>
      <w:r>
        <w:rPr>
          <w:spacing w:val="-10"/>
          <w:sz w:val="20"/>
        </w:rPr>
        <w:t> </w:t>
      </w:r>
      <w:r>
        <w:rPr>
          <w:sz w:val="20"/>
        </w:rPr>
        <w:t>perjuicio</w:t>
      </w:r>
      <w:r>
        <w:rPr>
          <w:spacing w:val="-12"/>
          <w:sz w:val="20"/>
        </w:rPr>
        <w:t> </w:t>
      </w:r>
      <w:r>
        <w:rPr>
          <w:sz w:val="20"/>
        </w:rPr>
        <w:t>del</w:t>
      </w:r>
      <w:r>
        <w:rPr>
          <w:spacing w:val="-11"/>
          <w:sz w:val="20"/>
        </w:rPr>
        <w:t> </w:t>
      </w:r>
      <w:r>
        <w:rPr>
          <w:sz w:val="20"/>
        </w:rPr>
        <w:t>proceso</w:t>
      </w:r>
      <w:r>
        <w:rPr>
          <w:spacing w:val="-10"/>
          <w:sz w:val="20"/>
        </w:rPr>
        <w:t> </w:t>
      </w:r>
      <w:r>
        <w:rPr>
          <w:sz w:val="20"/>
        </w:rPr>
        <w:t>de</w:t>
      </w:r>
      <w:r>
        <w:rPr>
          <w:spacing w:val="-13"/>
          <w:sz w:val="20"/>
        </w:rPr>
        <w:t> </w:t>
      </w:r>
      <w:r>
        <w:rPr>
          <w:sz w:val="20"/>
        </w:rPr>
        <w:t>acuerdos</w:t>
      </w:r>
      <w:r>
        <w:rPr>
          <w:spacing w:val="-10"/>
          <w:sz w:val="20"/>
        </w:rPr>
        <w:t> </w:t>
      </w:r>
      <w:r>
        <w:rPr>
          <w:sz w:val="20"/>
        </w:rPr>
        <w:t>establecido</w:t>
      </w:r>
      <w:r>
        <w:rPr>
          <w:spacing w:val="-12"/>
          <w:sz w:val="20"/>
        </w:rPr>
        <w:t> </w:t>
      </w:r>
      <w:r>
        <w:rPr>
          <w:sz w:val="20"/>
        </w:rPr>
        <w:t>a</w:t>
      </w:r>
      <w:r>
        <w:rPr>
          <w:spacing w:val="-11"/>
          <w:sz w:val="20"/>
        </w:rPr>
        <w:t> </w:t>
      </w:r>
      <w:r>
        <w:rPr>
          <w:sz w:val="20"/>
        </w:rPr>
        <w:t>partir</w:t>
      </w:r>
      <w:r>
        <w:rPr>
          <w:spacing w:val="-12"/>
          <w:sz w:val="20"/>
        </w:rPr>
        <w:t> </w:t>
      </w:r>
      <w:r>
        <w:rPr>
          <w:sz w:val="20"/>
        </w:rPr>
        <w:t>del</w:t>
      </w:r>
      <w:r>
        <w:rPr>
          <w:spacing w:val="-11"/>
          <w:sz w:val="20"/>
        </w:rPr>
        <w:t> </w:t>
      </w:r>
      <w:r>
        <w:rPr>
          <w:sz w:val="20"/>
        </w:rPr>
        <w:t>Decreto</w:t>
      </w:r>
      <w:r>
        <w:rPr>
          <w:spacing w:val="-12"/>
          <w:sz w:val="20"/>
        </w:rPr>
        <w:t> </w:t>
      </w:r>
      <w:r>
        <w:rPr>
          <w:sz w:val="20"/>
        </w:rPr>
        <w:t>2786/07</w:t>
      </w:r>
      <w:r>
        <w:rPr>
          <w:spacing w:val="-11"/>
          <w:sz w:val="20"/>
        </w:rPr>
        <w:t> </w:t>
      </w:r>
      <w:r>
        <w:rPr>
          <w:sz w:val="20"/>
        </w:rPr>
        <w:t>de 2007 en adelante, y descrito en esta Sentencia, el Estado deberá poner a disposición de los interesados procesos de mediación o arbitrales para determinar las condiciones del traslado; en caso de no acudirse a los mismos, podrá recurrirse a la vía jurisdiccional que corresponda</w:t>
      </w:r>
      <w:r>
        <w:rPr>
          <w:position w:val="7"/>
          <w:sz w:val="13"/>
        </w:rPr>
        <w:t>324</w:t>
      </w:r>
      <w:r>
        <w:rPr>
          <w:sz w:val="20"/>
        </w:rPr>
        <w:t>. En el marco de cualquiera de los procesos</w:t>
      </w:r>
      <w:r>
        <w:rPr>
          <w:spacing w:val="-40"/>
          <w:sz w:val="20"/>
        </w:rPr>
        <w:t> </w:t>
      </w:r>
      <w:r>
        <w:rPr>
          <w:sz w:val="20"/>
        </w:rPr>
        <w:t>referidos, quienes</w:t>
      </w:r>
      <w:r>
        <w:rPr>
          <w:spacing w:val="-19"/>
          <w:sz w:val="20"/>
        </w:rPr>
        <w:t> </w:t>
      </w:r>
      <w:r>
        <w:rPr>
          <w:sz w:val="20"/>
        </w:rPr>
        <w:t>concurran</w:t>
      </w:r>
      <w:r>
        <w:rPr>
          <w:spacing w:val="-20"/>
          <w:sz w:val="20"/>
        </w:rPr>
        <w:t> </w:t>
      </w:r>
      <w:r>
        <w:rPr>
          <w:sz w:val="20"/>
        </w:rPr>
        <w:t>a</w:t>
      </w:r>
      <w:r>
        <w:rPr>
          <w:spacing w:val="-18"/>
          <w:sz w:val="20"/>
        </w:rPr>
        <w:t> </w:t>
      </w:r>
      <w:r>
        <w:rPr>
          <w:sz w:val="20"/>
        </w:rPr>
        <w:t>ellos</w:t>
      </w:r>
      <w:r>
        <w:rPr>
          <w:spacing w:val="-22"/>
          <w:sz w:val="20"/>
        </w:rPr>
        <w:t> </w:t>
      </w:r>
      <w:r>
        <w:rPr>
          <w:sz w:val="20"/>
        </w:rPr>
        <w:t>podrán</w:t>
      </w:r>
      <w:r>
        <w:rPr>
          <w:spacing w:val="-20"/>
          <w:sz w:val="20"/>
        </w:rPr>
        <w:t> </w:t>
      </w:r>
      <w:r>
        <w:rPr>
          <w:sz w:val="20"/>
        </w:rPr>
        <w:t>aducir</w:t>
      </w:r>
      <w:r>
        <w:rPr>
          <w:spacing w:val="-20"/>
          <w:sz w:val="20"/>
        </w:rPr>
        <w:t> </w:t>
      </w:r>
      <w:r>
        <w:rPr>
          <w:sz w:val="20"/>
        </w:rPr>
        <w:t>sus</w:t>
      </w:r>
      <w:r>
        <w:rPr>
          <w:spacing w:val="-21"/>
          <w:sz w:val="20"/>
        </w:rPr>
        <w:t> </w:t>
      </w:r>
      <w:r>
        <w:rPr>
          <w:sz w:val="20"/>
        </w:rPr>
        <w:t>pretensiones</w:t>
      </w:r>
      <w:r>
        <w:rPr>
          <w:spacing w:val="-19"/>
          <w:sz w:val="20"/>
        </w:rPr>
        <w:t> </w:t>
      </w:r>
      <w:r>
        <w:rPr>
          <w:sz w:val="20"/>
        </w:rPr>
        <w:t>y</w:t>
      </w:r>
      <w:r>
        <w:rPr>
          <w:spacing w:val="-21"/>
          <w:sz w:val="20"/>
        </w:rPr>
        <w:t> </w:t>
      </w:r>
      <w:r>
        <w:rPr>
          <w:sz w:val="20"/>
        </w:rPr>
        <w:t>los</w:t>
      </w:r>
      <w:r>
        <w:rPr>
          <w:spacing w:val="-19"/>
          <w:sz w:val="20"/>
        </w:rPr>
        <w:t> </w:t>
      </w:r>
      <w:r>
        <w:rPr>
          <w:sz w:val="20"/>
        </w:rPr>
        <w:t>derechos</w:t>
      </w:r>
      <w:r>
        <w:rPr>
          <w:spacing w:val="-19"/>
          <w:sz w:val="20"/>
        </w:rPr>
        <w:t> </w:t>
      </w:r>
      <w:r>
        <w:rPr>
          <w:sz w:val="20"/>
        </w:rPr>
        <w:t>que</w:t>
      </w:r>
      <w:r>
        <w:rPr>
          <w:spacing w:val="-22"/>
          <w:sz w:val="20"/>
        </w:rPr>
        <w:t> </w:t>
      </w:r>
      <w:r>
        <w:rPr>
          <w:sz w:val="20"/>
        </w:rPr>
        <w:t>consideren que les asisten, mas no podrán cuestionar el derecho de propiedad comunitaria indígena</w:t>
      </w:r>
      <w:r>
        <w:rPr>
          <w:spacing w:val="-17"/>
          <w:sz w:val="20"/>
        </w:rPr>
        <w:t> </w:t>
      </w:r>
      <w:r>
        <w:rPr>
          <w:sz w:val="20"/>
        </w:rPr>
        <w:t>determinado</w:t>
      </w:r>
      <w:r>
        <w:rPr>
          <w:spacing w:val="-16"/>
          <w:sz w:val="20"/>
        </w:rPr>
        <w:t> </w:t>
      </w:r>
      <w:r>
        <w:rPr>
          <w:sz w:val="20"/>
        </w:rPr>
        <w:t>en</w:t>
      </w:r>
      <w:r>
        <w:rPr>
          <w:spacing w:val="-16"/>
          <w:sz w:val="20"/>
        </w:rPr>
        <w:t> </w:t>
      </w:r>
      <w:r>
        <w:rPr>
          <w:sz w:val="20"/>
        </w:rPr>
        <w:t>esta</w:t>
      </w:r>
      <w:r>
        <w:rPr>
          <w:spacing w:val="-17"/>
          <w:sz w:val="20"/>
        </w:rPr>
        <w:t> </w:t>
      </w:r>
      <w:r>
        <w:rPr>
          <w:sz w:val="20"/>
        </w:rPr>
        <w:t>Sentencia</w:t>
      </w:r>
      <w:r>
        <w:rPr>
          <w:spacing w:val="-15"/>
          <w:sz w:val="20"/>
        </w:rPr>
        <w:t> </w:t>
      </w:r>
      <w:r>
        <w:rPr>
          <w:sz w:val="20"/>
        </w:rPr>
        <w:t>y,</w:t>
      </w:r>
      <w:r>
        <w:rPr>
          <w:spacing w:val="-16"/>
          <w:sz w:val="20"/>
        </w:rPr>
        <w:t> </w:t>
      </w:r>
      <w:r>
        <w:rPr>
          <w:sz w:val="20"/>
        </w:rPr>
        <w:t>consecuentemente,</w:t>
      </w:r>
      <w:r>
        <w:rPr>
          <w:spacing w:val="-18"/>
          <w:sz w:val="20"/>
        </w:rPr>
        <w:t> </w:t>
      </w:r>
      <w:r>
        <w:rPr>
          <w:sz w:val="20"/>
        </w:rPr>
        <w:t>tampoco</w:t>
      </w:r>
      <w:r>
        <w:rPr>
          <w:spacing w:val="-16"/>
          <w:sz w:val="20"/>
        </w:rPr>
        <w:t> </w:t>
      </w:r>
      <w:r>
        <w:rPr>
          <w:sz w:val="20"/>
        </w:rPr>
        <w:t>la</w:t>
      </w:r>
      <w:r>
        <w:rPr>
          <w:spacing w:val="-17"/>
          <w:sz w:val="20"/>
        </w:rPr>
        <w:t> </w:t>
      </w:r>
      <w:r>
        <w:rPr>
          <w:sz w:val="20"/>
        </w:rPr>
        <w:t>procedencia del</w:t>
      </w:r>
      <w:r>
        <w:rPr>
          <w:spacing w:val="-15"/>
          <w:sz w:val="20"/>
        </w:rPr>
        <w:t> </w:t>
      </w:r>
      <w:r>
        <w:rPr>
          <w:sz w:val="20"/>
        </w:rPr>
        <w:t>traslado</w:t>
      </w:r>
      <w:r>
        <w:rPr>
          <w:spacing w:val="-15"/>
          <w:sz w:val="20"/>
        </w:rPr>
        <w:t> </w:t>
      </w:r>
      <w:r>
        <w:rPr>
          <w:sz w:val="20"/>
        </w:rPr>
        <w:t>fuera</w:t>
      </w:r>
      <w:r>
        <w:rPr>
          <w:spacing w:val="-14"/>
          <w:sz w:val="20"/>
        </w:rPr>
        <w:t> </w:t>
      </w:r>
      <w:r>
        <w:rPr>
          <w:sz w:val="20"/>
        </w:rPr>
        <w:t>del</w:t>
      </w:r>
      <w:r>
        <w:rPr>
          <w:spacing w:val="-15"/>
          <w:sz w:val="20"/>
        </w:rPr>
        <w:t> </w:t>
      </w:r>
      <w:r>
        <w:rPr>
          <w:sz w:val="20"/>
        </w:rPr>
        <w:t>territorio</w:t>
      </w:r>
      <w:r>
        <w:rPr>
          <w:spacing w:val="-15"/>
          <w:sz w:val="20"/>
        </w:rPr>
        <w:t> </w:t>
      </w:r>
      <w:r>
        <w:rPr>
          <w:sz w:val="20"/>
        </w:rPr>
        <w:t>indígena.</w:t>
      </w:r>
      <w:r>
        <w:rPr>
          <w:spacing w:val="-15"/>
          <w:sz w:val="20"/>
        </w:rPr>
        <w:t> </w:t>
      </w:r>
      <w:r>
        <w:rPr>
          <w:sz w:val="20"/>
        </w:rPr>
        <w:t>Las</w:t>
      </w:r>
      <w:r>
        <w:rPr>
          <w:spacing w:val="-15"/>
          <w:sz w:val="20"/>
        </w:rPr>
        <w:t> </w:t>
      </w:r>
      <w:r>
        <w:rPr>
          <w:sz w:val="20"/>
        </w:rPr>
        <w:t>autoridades</w:t>
      </w:r>
      <w:r>
        <w:rPr>
          <w:spacing w:val="-15"/>
          <w:sz w:val="20"/>
        </w:rPr>
        <w:t> </w:t>
      </w:r>
      <w:r>
        <w:rPr>
          <w:sz w:val="20"/>
        </w:rPr>
        <w:t>que</w:t>
      </w:r>
      <w:r>
        <w:rPr>
          <w:spacing w:val="-14"/>
          <w:sz w:val="20"/>
        </w:rPr>
        <w:t> </w:t>
      </w:r>
      <w:r>
        <w:rPr>
          <w:sz w:val="20"/>
        </w:rPr>
        <w:t>eventualmente</w:t>
      </w:r>
      <w:r>
        <w:rPr>
          <w:spacing w:val="-15"/>
          <w:sz w:val="20"/>
        </w:rPr>
        <w:t> </w:t>
      </w:r>
      <w:r>
        <w:rPr>
          <w:sz w:val="20"/>
        </w:rPr>
        <w:t>resuelvan en tales procesos no podrán adoptar decisiones que impidan el cumplimiento de esta Sentencia.</w:t>
      </w:r>
    </w:p>
    <w:p>
      <w:pPr>
        <w:pStyle w:val="ListParagraph"/>
        <w:numPr>
          <w:ilvl w:val="0"/>
          <w:numId w:val="40"/>
        </w:numPr>
        <w:tabs>
          <w:tab w:pos="830" w:val="left" w:leader="none"/>
        </w:tabs>
        <w:spacing w:line="240" w:lineRule="auto" w:before="0" w:after="0"/>
        <w:ind w:left="263" w:right="116" w:firstLine="0"/>
        <w:jc w:val="both"/>
        <w:rPr>
          <w:sz w:val="20"/>
        </w:rPr>
      </w:pPr>
      <w:r>
        <w:rPr>
          <w:sz w:val="20"/>
        </w:rPr>
        <w:t>En cualquier caso, las autoridades competentes, administrativas, judiciales o de cualquier carácter, deberán procurar que el traslado de la población criolla se haga efectivo resguardando los derechos de dicha población. En ese sentido, debe posibilitarse de modo efectivo el reasentamiento o acceso a tierras productivas con adecuada infraestructura predial (inclusive implantación de pasturas y acceso a agua para</w:t>
      </w:r>
      <w:r>
        <w:rPr>
          <w:spacing w:val="-19"/>
          <w:sz w:val="20"/>
        </w:rPr>
        <w:t> </w:t>
      </w:r>
      <w:r>
        <w:rPr>
          <w:sz w:val="20"/>
        </w:rPr>
        <w:t>producción</w:t>
      </w:r>
      <w:r>
        <w:rPr>
          <w:spacing w:val="-18"/>
          <w:sz w:val="20"/>
        </w:rPr>
        <w:t> </w:t>
      </w:r>
      <w:r>
        <w:rPr>
          <w:sz w:val="20"/>
        </w:rPr>
        <w:t>y</w:t>
      </w:r>
      <w:r>
        <w:rPr>
          <w:spacing w:val="-17"/>
          <w:sz w:val="20"/>
        </w:rPr>
        <w:t> </w:t>
      </w:r>
      <w:r>
        <w:rPr>
          <w:sz w:val="20"/>
        </w:rPr>
        <w:t>consumo</w:t>
      </w:r>
      <w:r>
        <w:rPr>
          <w:spacing w:val="-20"/>
          <w:sz w:val="20"/>
        </w:rPr>
        <w:t> </w:t>
      </w:r>
      <w:r>
        <w:rPr>
          <w:sz w:val="20"/>
        </w:rPr>
        <w:t>suficientes,</w:t>
      </w:r>
      <w:r>
        <w:rPr>
          <w:spacing w:val="-20"/>
          <w:sz w:val="20"/>
        </w:rPr>
        <w:t> </w:t>
      </w:r>
      <w:r>
        <w:rPr>
          <w:sz w:val="20"/>
        </w:rPr>
        <w:t>así</w:t>
      </w:r>
      <w:r>
        <w:rPr>
          <w:spacing w:val="-20"/>
          <w:sz w:val="20"/>
        </w:rPr>
        <w:t> </w:t>
      </w:r>
      <w:r>
        <w:rPr>
          <w:sz w:val="20"/>
        </w:rPr>
        <w:t>como</w:t>
      </w:r>
      <w:r>
        <w:rPr>
          <w:spacing w:val="-18"/>
          <w:sz w:val="20"/>
        </w:rPr>
        <w:t> </w:t>
      </w:r>
      <w:r>
        <w:rPr>
          <w:sz w:val="20"/>
        </w:rPr>
        <w:t>instalación</w:t>
      </w:r>
      <w:r>
        <w:rPr>
          <w:spacing w:val="-19"/>
          <w:sz w:val="20"/>
        </w:rPr>
        <w:t> </w:t>
      </w:r>
      <w:r>
        <w:rPr>
          <w:sz w:val="20"/>
        </w:rPr>
        <w:t>de</w:t>
      </w:r>
      <w:r>
        <w:rPr>
          <w:spacing w:val="-20"/>
          <w:sz w:val="20"/>
        </w:rPr>
        <w:t> </w:t>
      </w:r>
      <w:r>
        <w:rPr>
          <w:sz w:val="20"/>
        </w:rPr>
        <w:t>alambrados</w:t>
      </w:r>
      <w:r>
        <w:rPr>
          <w:spacing w:val="-20"/>
          <w:sz w:val="20"/>
        </w:rPr>
        <w:t> </w:t>
      </w:r>
      <w:r>
        <w:rPr>
          <w:sz w:val="20"/>
        </w:rPr>
        <w:t>necesarios) y, en su caso, asistencia técnica y capacitación para la realización de actividades productivas.</w:t>
      </w:r>
    </w:p>
    <w:p>
      <w:pPr>
        <w:pStyle w:val="BodyText"/>
        <w:spacing w:before="1"/>
      </w:pPr>
    </w:p>
    <w:p>
      <w:pPr>
        <w:pStyle w:val="ListParagraph"/>
        <w:numPr>
          <w:ilvl w:val="0"/>
          <w:numId w:val="37"/>
        </w:numPr>
        <w:tabs>
          <w:tab w:pos="829" w:val="left" w:leader="none"/>
          <w:tab w:pos="830" w:val="left" w:leader="none"/>
        </w:tabs>
        <w:spacing w:line="243" w:lineRule="exact" w:before="0" w:after="0"/>
        <w:ind w:left="830" w:right="0" w:hanging="708"/>
        <w:jc w:val="left"/>
        <w:rPr>
          <w:i/>
          <w:sz w:val="20"/>
        </w:rPr>
      </w:pPr>
      <w:r>
        <w:rPr>
          <w:sz w:val="20"/>
        </w:rPr>
        <w:t>El  Estado debe  </w:t>
      </w:r>
      <w:r>
        <w:rPr>
          <w:i/>
          <w:sz w:val="20"/>
        </w:rPr>
        <w:t>remover del  territorio indígena  los alambrados y el    </w:t>
      </w:r>
      <w:r>
        <w:rPr>
          <w:i/>
          <w:spacing w:val="57"/>
          <w:sz w:val="20"/>
        </w:rPr>
        <w:t> </w:t>
      </w:r>
      <w:r>
        <w:rPr>
          <w:i/>
          <w:sz w:val="20"/>
        </w:rPr>
        <w:t>ganado</w:t>
      </w:r>
    </w:p>
    <w:p>
      <w:pPr>
        <w:pStyle w:val="BodyText"/>
        <w:spacing w:line="243" w:lineRule="exact"/>
        <w:ind w:left="122"/>
      </w:pPr>
      <w:r>
        <w:rPr/>
        <w:t>perteneciente a pobladores criollos.</w:t>
      </w:r>
    </w:p>
    <w:p>
      <w:pPr>
        <w:pStyle w:val="BodyText"/>
        <w:spacing w:before="11"/>
        <w:rPr>
          <w:sz w:val="19"/>
        </w:rPr>
      </w:pPr>
    </w:p>
    <w:p>
      <w:pPr>
        <w:pStyle w:val="Heading4"/>
        <w:numPr>
          <w:ilvl w:val="1"/>
          <w:numId w:val="39"/>
        </w:numPr>
        <w:tabs>
          <w:tab w:pos="1116" w:val="left" w:leader="none"/>
        </w:tabs>
        <w:spacing w:line="240" w:lineRule="auto" w:before="1" w:after="0"/>
        <w:ind w:left="688" w:right="126" w:firstLine="0"/>
        <w:jc w:val="left"/>
      </w:pPr>
      <w:bookmarkStart w:name="_bookmark92" w:id="156"/>
      <w:bookmarkEnd w:id="156"/>
      <w:r>
        <w:rPr>
          <w:b w:val="0"/>
          <w:i w:val="0"/>
        </w:rPr>
      </w:r>
      <w:bookmarkStart w:name="_bookmark92" w:id="157"/>
      <w:bookmarkEnd w:id="157"/>
      <w:r>
        <w:rPr>
          <w:i/>
        </w:rPr>
        <w:t>M</w:t>
      </w:r>
      <w:r>
        <w:rPr>
          <w:i/>
        </w:rPr>
        <w:t>edidas</w:t>
      </w:r>
      <w:r>
        <w:rPr>
          <w:i/>
          <w:spacing w:val="-7"/>
        </w:rPr>
        <w:t> </w:t>
      </w:r>
      <w:r>
        <w:rPr>
          <w:i/>
        </w:rPr>
        <w:t>para</w:t>
      </w:r>
      <w:r>
        <w:rPr>
          <w:i/>
          <w:spacing w:val="-7"/>
        </w:rPr>
        <w:t> </w:t>
      </w:r>
      <w:r>
        <w:rPr>
          <w:i/>
        </w:rPr>
        <w:t>la</w:t>
      </w:r>
      <w:r>
        <w:rPr>
          <w:i/>
          <w:spacing w:val="-7"/>
        </w:rPr>
        <w:t> </w:t>
      </w:r>
      <w:r>
        <w:rPr>
          <w:i/>
        </w:rPr>
        <w:t>restitución</w:t>
      </w:r>
      <w:r>
        <w:rPr>
          <w:i/>
          <w:spacing w:val="-9"/>
        </w:rPr>
        <w:t> </w:t>
      </w:r>
      <w:r>
        <w:rPr>
          <w:i/>
        </w:rPr>
        <w:t>de</w:t>
      </w:r>
      <w:r>
        <w:rPr>
          <w:i/>
          <w:spacing w:val="-6"/>
        </w:rPr>
        <w:t> </w:t>
      </w:r>
      <w:r>
        <w:rPr>
          <w:i/>
        </w:rPr>
        <w:t>los</w:t>
      </w:r>
      <w:r>
        <w:rPr>
          <w:i/>
          <w:spacing w:val="-7"/>
        </w:rPr>
        <w:t> </w:t>
      </w:r>
      <w:r>
        <w:rPr>
          <w:i/>
        </w:rPr>
        <w:t>derechos</w:t>
      </w:r>
      <w:r>
        <w:rPr>
          <w:i/>
          <w:spacing w:val="-6"/>
        </w:rPr>
        <w:t> </w:t>
      </w:r>
      <w:r>
        <w:rPr>
          <w:i/>
        </w:rPr>
        <w:t>al</w:t>
      </w:r>
      <w:r>
        <w:rPr>
          <w:i/>
          <w:spacing w:val="-9"/>
        </w:rPr>
        <w:t> </w:t>
      </w:r>
      <w:r>
        <w:rPr>
          <w:i/>
        </w:rPr>
        <w:t>medio</w:t>
      </w:r>
      <w:r>
        <w:rPr>
          <w:i/>
          <w:spacing w:val="-6"/>
        </w:rPr>
        <w:t> </w:t>
      </w:r>
      <w:r>
        <w:rPr>
          <w:i/>
        </w:rPr>
        <w:t>ambiente</w:t>
      </w:r>
      <w:r>
        <w:rPr>
          <w:i/>
          <w:spacing w:val="-8"/>
        </w:rPr>
        <w:t> </w:t>
      </w:r>
      <w:r>
        <w:rPr>
          <w:i/>
        </w:rPr>
        <w:t>sano,</w:t>
      </w:r>
      <w:r>
        <w:rPr>
          <w:i/>
          <w:spacing w:val="-6"/>
        </w:rPr>
        <w:t> </w:t>
      </w:r>
      <w:r>
        <w:rPr>
          <w:i/>
        </w:rPr>
        <w:t>a </w:t>
      </w:r>
      <w:r>
        <w:rPr/>
        <w:t>la alimentación, al agua y a la identidad</w:t>
      </w:r>
      <w:r>
        <w:rPr>
          <w:spacing w:val="-24"/>
        </w:rPr>
        <w:t> </w:t>
      </w:r>
      <w:r>
        <w:rPr/>
        <w:t>cultural</w:t>
      </w:r>
    </w:p>
    <w:p>
      <w:pPr>
        <w:pStyle w:val="BodyText"/>
        <w:spacing w:before="10"/>
        <w:rPr>
          <w:b/>
          <w:i/>
          <w:sz w:val="19"/>
        </w:rPr>
      </w:pPr>
    </w:p>
    <w:p>
      <w:pPr>
        <w:pStyle w:val="ListParagraph"/>
        <w:numPr>
          <w:ilvl w:val="0"/>
          <w:numId w:val="37"/>
        </w:numPr>
        <w:tabs>
          <w:tab w:pos="829" w:val="left" w:leader="none"/>
          <w:tab w:pos="830" w:val="left" w:leader="none"/>
        </w:tabs>
        <w:spacing w:line="240" w:lineRule="auto" w:before="1" w:after="0"/>
        <w:ind w:left="122" w:right="131" w:firstLine="0"/>
        <w:jc w:val="left"/>
        <w:rPr>
          <w:sz w:val="20"/>
        </w:rPr>
      </w:pPr>
      <w:r>
        <w:rPr>
          <w:sz w:val="20"/>
        </w:rPr>
        <w:t>Por otra parte, se ha señalado en esta Sentencia que la presencia de ganado en el territorio de las   </w:t>
      </w:r>
      <w:r>
        <w:rPr>
          <w:spacing w:val="30"/>
          <w:sz w:val="20"/>
        </w:rPr>
        <w:t> </w:t>
      </w:r>
      <w:r>
        <w:rPr>
          <w:sz w:val="20"/>
        </w:rPr>
        <w:t>comunidades indígenas víctimas y actividades desarrolladas por la</w:t>
      </w:r>
    </w:p>
    <w:p>
      <w:pPr>
        <w:pStyle w:val="BodyText"/>
        <w:spacing w:before="3"/>
        <w:rPr>
          <w:sz w:val="25"/>
        </w:rPr>
      </w:pPr>
      <w:r>
        <w:rPr/>
        <w:pict>
          <v:line style="position:absolute;mso-position-horizontal-relative:page;mso-position-vertical-relative:paragraph;z-index:3520;mso-wrap-distance-left:0;mso-wrap-distance-right:0" from="85.103996pt,17.704952pt" to="229.123996pt,17.704952pt" stroked="true" strokeweight=".72pt" strokecolor="#000000">
            <v:stroke dashstyle="solid"/>
            <w10:wrap type="topAndBottom"/>
          </v:line>
        </w:pict>
      </w:r>
    </w:p>
    <w:p>
      <w:pPr>
        <w:tabs>
          <w:tab w:pos="829" w:val="left" w:leader="none"/>
        </w:tabs>
        <w:spacing w:before="71"/>
        <w:ind w:left="122" w:right="115" w:firstLine="0"/>
        <w:jc w:val="both"/>
        <w:rPr>
          <w:sz w:val="16"/>
        </w:rPr>
      </w:pPr>
      <w:r>
        <w:rPr>
          <w:position w:val="6"/>
          <w:sz w:val="10"/>
        </w:rPr>
        <w:t>322</w:t>
        <w:tab/>
      </w:r>
      <w:r>
        <w:rPr>
          <w:sz w:val="16"/>
        </w:rPr>
        <w:t>Se hace notar que esto es consistente con uno de los aspectos indicados por familias criollas  </w:t>
      </w:r>
      <w:r>
        <w:rPr>
          <w:spacing w:val="19"/>
          <w:sz w:val="16"/>
        </w:rPr>
        <w:t> </w:t>
      </w:r>
      <w:r>
        <w:rPr>
          <w:sz w:val="16"/>
        </w:rPr>
        <w:t>en</w:t>
      </w:r>
      <w:r>
        <w:rPr>
          <w:spacing w:val="8"/>
          <w:sz w:val="16"/>
        </w:rPr>
        <w:t> </w:t>
      </w:r>
      <w:r>
        <w:rPr>
          <w:sz w:val="16"/>
        </w:rPr>
        <w:t>su</w:t>
      </w:r>
      <w:r>
        <w:rPr>
          <w:w w:val="100"/>
          <w:sz w:val="16"/>
        </w:rPr>
        <w:t> </w:t>
      </w:r>
      <w:r>
        <w:rPr>
          <w:sz w:val="16"/>
        </w:rPr>
        <w:t>“propuesta” hecha llegar a la Corte, en la que se expresa que “se debería prever un tiempo para desarrollar diálogos en las zonas sin acuerdos”. Además, en el documento se recuerda que “[e]n la propuesta del Estado […] esto estaba previsto realizar[se] en un año” y se "[c]onsidera que es tiempo suficiente para realizar los acuerdos y mensuras faltantes a través de la metodología de dialogo instaurada en el proceso de tierras” (Propuesta Criolla. Expediente de fondo, fs. 1823 a</w:t>
      </w:r>
      <w:r>
        <w:rPr>
          <w:spacing w:val="-20"/>
          <w:sz w:val="16"/>
        </w:rPr>
        <w:t> </w:t>
      </w:r>
      <w:r>
        <w:rPr>
          <w:sz w:val="16"/>
        </w:rPr>
        <w:t>1841).</w:t>
      </w:r>
    </w:p>
    <w:p>
      <w:pPr>
        <w:pStyle w:val="BodyText"/>
        <w:spacing w:before="11"/>
        <w:rPr>
          <w:sz w:val="15"/>
        </w:rPr>
      </w:pPr>
    </w:p>
    <w:p>
      <w:pPr>
        <w:tabs>
          <w:tab w:pos="829" w:val="left" w:leader="none"/>
        </w:tabs>
        <w:spacing w:before="0"/>
        <w:ind w:left="122" w:right="115" w:firstLine="0"/>
        <w:jc w:val="both"/>
        <w:rPr>
          <w:sz w:val="16"/>
        </w:rPr>
      </w:pPr>
      <w:r>
        <w:rPr>
          <w:position w:val="6"/>
          <w:sz w:val="10"/>
        </w:rPr>
        <w:t>323</w:t>
        <w:tab/>
      </w:r>
      <w:r>
        <w:rPr>
          <w:sz w:val="16"/>
        </w:rPr>
        <w:t>Se</w:t>
      </w:r>
      <w:r>
        <w:rPr>
          <w:spacing w:val="-2"/>
          <w:sz w:val="16"/>
        </w:rPr>
        <w:t> </w:t>
      </w:r>
      <w:r>
        <w:rPr>
          <w:sz w:val="16"/>
        </w:rPr>
        <w:t>ha</w:t>
      </w:r>
      <w:r>
        <w:rPr>
          <w:spacing w:val="-6"/>
          <w:sz w:val="16"/>
        </w:rPr>
        <w:t> </w:t>
      </w:r>
      <w:r>
        <w:rPr>
          <w:sz w:val="16"/>
        </w:rPr>
        <w:t>indicado</w:t>
      </w:r>
      <w:r>
        <w:rPr>
          <w:spacing w:val="-2"/>
          <w:sz w:val="16"/>
        </w:rPr>
        <w:t> </w:t>
      </w:r>
      <w:r>
        <w:rPr>
          <w:sz w:val="16"/>
        </w:rPr>
        <w:t>en</w:t>
      </w:r>
      <w:r>
        <w:rPr>
          <w:spacing w:val="-6"/>
          <w:sz w:val="16"/>
        </w:rPr>
        <w:t> </w:t>
      </w:r>
      <w:r>
        <w:rPr>
          <w:sz w:val="16"/>
        </w:rPr>
        <w:t>esta</w:t>
      </w:r>
      <w:r>
        <w:rPr>
          <w:spacing w:val="-6"/>
          <w:sz w:val="16"/>
        </w:rPr>
        <w:t> </w:t>
      </w:r>
      <w:r>
        <w:rPr>
          <w:sz w:val="16"/>
        </w:rPr>
        <w:t>Sentencia</w:t>
      </w:r>
      <w:r>
        <w:rPr>
          <w:spacing w:val="-4"/>
          <w:sz w:val="16"/>
        </w:rPr>
        <w:t> </w:t>
      </w:r>
      <w:r>
        <w:rPr>
          <w:sz w:val="16"/>
        </w:rPr>
        <w:t>que</w:t>
      </w:r>
      <w:r>
        <w:rPr>
          <w:spacing w:val="-5"/>
          <w:sz w:val="16"/>
        </w:rPr>
        <w:t> </w:t>
      </w:r>
      <w:r>
        <w:rPr>
          <w:sz w:val="16"/>
        </w:rPr>
        <w:t>la</w:t>
      </w:r>
      <w:r>
        <w:rPr>
          <w:spacing w:val="-3"/>
          <w:sz w:val="16"/>
        </w:rPr>
        <w:t> </w:t>
      </w:r>
      <w:r>
        <w:rPr>
          <w:sz w:val="16"/>
        </w:rPr>
        <w:t>población</w:t>
      </w:r>
      <w:r>
        <w:rPr>
          <w:spacing w:val="-6"/>
          <w:sz w:val="16"/>
        </w:rPr>
        <w:t> </w:t>
      </w:r>
      <w:r>
        <w:rPr>
          <w:sz w:val="16"/>
        </w:rPr>
        <w:t>criolla</w:t>
      </w:r>
      <w:r>
        <w:rPr>
          <w:spacing w:val="-3"/>
          <w:sz w:val="16"/>
        </w:rPr>
        <w:t> </w:t>
      </w:r>
      <w:r>
        <w:rPr>
          <w:sz w:val="16"/>
        </w:rPr>
        <w:t>es</w:t>
      </w:r>
      <w:r>
        <w:rPr>
          <w:spacing w:val="-7"/>
          <w:sz w:val="16"/>
        </w:rPr>
        <w:t> </w:t>
      </w:r>
      <w:r>
        <w:rPr>
          <w:sz w:val="16"/>
        </w:rPr>
        <w:t>una</w:t>
      </w:r>
      <w:r>
        <w:rPr>
          <w:spacing w:val="-3"/>
          <w:sz w:val="16"/>
        </w:rPr>
        <w:t> </w:t>
      </w:r>
      <w:r>
        <w:rPr>
          <w:sz w:val="16"/>
        </w:rPr>
        <w:t>población</w:t>
      </w:r>
      <w:r>
        <w:rPr>
          <w:spacing w:val="-6"/>
          <w:sz w:val="16"/>
        </w:rPr>
        <w:t> </w:t>
      </w:r>
      <w:r>
        <w:rPr>
          <w:sz w:val="16"/>
        </w:rPr>
        <w:t>vulnerable</w:t>
      </w:r>
      <w:r>
        <w:rPr>
          <w:spacing w:val="-5"/>
          <w:sz w:val="16"/>
        </w:rPr>
        <w:t> </w:t>
      </w:r>
      <w:r>
        <w:rPr>
          <w:sz w:val="16"/>
        </w:rPr>
        <w:t>y</w:t>
      </w:r>
      <w:r>
        <w:rPr>
          <w:spacing w:val="-4"/>
          <w:sz w:val="16"/>
        </w:rPr>
        <w:t> </w:t>
      </w:r>
      <w:r>
        <w:rPr>
          <w:sz w:val="16"/>
        </w:rPr>
        <w:t>que</w:t>
      </w:r>
      <w:r>
        <w:rPr>
          <w:spacing w:val="-2"/>
          <w:sz w:val="16"/>
        </w:rPr>
        <w:t> </w:t>
      </w:r>
      <w:r>
        <w:rPr>
          <w:sz w:val="16"/>
        </w:rPr>
        <w:t>el</w:t>
      </w:r>
      <w:r>
        <w:rPr>
          <w:spacing w:val="-3"/>
          <w:sz w:val="16"/>
        </w:rPr>
        <w:t> </w:t>
      </w:r>
      <w:r>
        <w:rPr>
          <w:sz w:val="16"/>
        </w:rPr>
        <w:t>Estado</w:t>
      </w:r>
      <w:r>
        <w:rPr>
          <w:w w:val="100"/>
          <w:sz w:val="16"/>
        </w:rPr>
        <w:t> </w:t>
      </w:r>
      <w:r>
        <w:rPr>
          <w:sz w:val="16"/>
        </w:rPr>
        <w:t>tiene</w:t>
      </w:r>
      <w:r>
        <w:rPr>
          <w:spacing w:val="-9"/>
          <w:sz w:val="16"/>
        </w:rPr>
        <w:t> </w:t>
      </w:r>
      <w:r>
        <w:rPr>
          <w:sz w:val="16"/>
        </w:rPr>
        <w:t>deberes</w:t>
      </w:r>
      <w:r>
        <w:rPr>
          <w:spacing w:val="-12"/>
          <w:sz w:val="16"/>
        </w:rPr>
        <w:t> </w:t>
      </w:r>
      <w:r>
        <w:rPr>
          <w:sz w:val="16"/>
        </w:rPr>
        <w:t>respecto</w:t>
      </w:r>
      <w:r>
        <w:rPr>
          <w:spacing w:val="-11"/>
          <w:sz w:val="16"/>
        </w:rPr>
        <w:t> </w:t>
      </w:r>
      <w:r>
        <w:rPr>
          <w:sz w:val="16"/>
        </w:rPr>
        <w:t>de</w:t>
      </w:r>
      <w:r>
        <w:rPr>
          <w:spacing w:val="-12"/>
          <w:sz w:val="16"/>
        </w:rPr>
        <w:t> </w:t>
      </w:r>
      <w:r>
        <w:rPr>
          <w:sz w:val="16"/>
        </w:rPr>
        <w:t>ella.</w:t>
      </w:r>
      <w:r>
        <w:rPr>
          <w:spacing w:val="-11"/>
          <w:sz w:val="16"/>
        </w:rPr>
        <w:t> </w:t>
      </w:r>
      <w:r>
        <w:rPr>
          <w:sz w:val="16"/>
        </w:rPr>
        <w:t>La</w:t>
      </w:r>
      <w:r>
        <w:rPr>
          <w:spacing w:val="-10"/>
          <w:sz w:val="16"/>
        </w:rPr>
        <w:t> </w:t>
      </w:r>
      <w:r>
        <w:rPr>
          <w:sz w:val="16"/>
        </w:rPr>
        <w:t>Corte</w:t>
      </w:r>
      <w:r>
        <w:rPr>
          <w:spacing w:val="-12"/>
          <w:sz w:val="16"/>
        </w:rPr>
        <w:t> </w:t>
      </w:r>
      <w:r>
        <w:rPr>
          <w:sz w:val="16"/>
        </w:rPr>
        <w:t>aclara</w:t>
      </w:r>
      <w:r>
        <w:rPr>
          <w:spacing w:val="-13"/>
          <w:sz w:val="16"/>
        </w:rPr>
        <w:t> </w:t>
      </w:r>
      <w:r>
        <w:rPr>
          <w:sz w:val="16"/>
        </w:rPr>
        <w:t>que</w:t>
      </w:r>
      <w:r>
        <w:rPr>
          <w:spacing w:val="-12"/>
          <w:sz w:val="16"/>
        </w:rPr>
        <w:t> </w:t>
      </w:r>
      <w:r>
        <w:rPr>
          <w:sz w:val="16"/>
        </w:rPr>
        <w:t>el</w:t>
      </w:r>
      <w:r>
        <w:rPr>
          <w:spacing w:val="-13"/>
          <w:sz w:val="16"/>
        </w:rPr>
        <w:t> </w:t>
      </w:r>
      <w:r>
        <w:rPr>
          <w:sz w:val="16"/>
        </w:rPr>
        <w:t>cumplimiento</w:t>
      </w:r>
      <w:r>
        <w:rPr>
          <w:spacing w:val="-9"/>
          <w:sz w:val="16"/>
        </w:rPr>
        <w:t> </w:t>
      </w:r>
      <w:r>
        <w:rPr>
          <w:sz w:val="16"/>
        </w:rPr>
        <w:t>de</w:t>
      </w:r>
      <w:r>
        <w:rPr>
          <w:spacing w:val="-12"/>
          <w:sz w:val="16"/>
        </w:rPr>
        <w:t> </w:t>
      </w:r>
      <w:r>
        <w:rPr>
          <w:sz w:val="16"/>
        </w:rPr>
        <w:t>esta</w:t>
      </w:r>
      <w:r>
        <w:rPr>
          <w:spacing w:val="-10"/>
          <w:sz w:val="16"/>
        </w:rPr>
        <w:t> </w:t>
      </w:r>
      <w:r>
        <w:rPr>
          <w:sz w:val="16"/>
        </w:rPr>
        <w:t>Sentencia,</w:t>
      </w:r>
      <w:r>
        <w:rPr>
          <w:spacing w:val="-13"/>
          <w:sz w:val="16"/>
        </w:rPr>
        <w:t> </w:t>
      </w:r>
      <w:r>
        <w:rPr>
          <w:sz w:val="16"/>
        </w:rPr>
        <w:t>en</w:t>
      </w:r>
      <w:r>
        <w:rPr>
          <w:spacing w:val="-13"/>
          <w:sz w:val="16"/>
        </w:rPr>
        <w:t> </w:t>
      </w:r>
      <w:r>
        <w:rPr>
          <w:sz w:val="16"/>
        </w:rPr>
        <w:t>particular</w:t>
      </w:r>
      <w:r>
        <w:rPr>
          <w:spacing w:val="-9"/>
          <w:sz w:val="16"/>
        </w:rPr>
        <w:t> </w:t>
      </w:r>
      <w:r>
        <w:rPr>
          <w:sz w:val="16"/>
        </w:rPr>
        <w:t>en</w:t>
      </w:r>
      <w:r>
        <w:rPr>
          <w:spacing w:val="-13"/>
          <w:sz w:val="16"/>
        </w:rPr>
        <w:t> </w:t>
      </w:r>
      <w:r>
        <w:rPr>
          <w:sz w:val="16"/>
        </w:rPr>
        <w:t>relación con</w:t>
      </w:r>
      <w:r>
        <w:rPr>
          <w:spacing w:val="-5"/>
          <w:sz w:val="16"/>
        </w:rPr>
        <w:t> </w:t>
      </w:r>
      <w:r>
        <w:rPr>
          <w:sz w:val="16"/>
        </w:rPr>
        <w:t>el</w:t>
      </w:r>
      <w:r>
        <w:rPr>
          <w:spacing w:val="-2"/>
          <w:sz w:val="16"/>
        </w:rPr>
        <w:t> </w:t>
      </w:r>
      <w:r>
        <w:rPr>
          <w:sz w:val="16"/>
        </w:rPr>
        <w:t>traslado</w:t>
      </w:r>
      <w:r>
        <w:rPr>
          <w:spacing w:val="-3"/>
          <w:sz w:val="16"/>
        </w:rPr>
        <w:t> </w:t>
      </w:r>
      <w:r>
        <w:rPr>
          <w:sz w:val="16"/>
        </w:rPr>
        <w:t>de</w:t>
      </w:r>
      <w:r>
        <w:rPr>
          <w:spacing w:val="-1"/>
          <w:sz w:val="16"/>
        </w:rPr>
        <w:t> </w:t>
      </w:r>
      <w:r>
        <w:rPr>
          <w:sz w:val="16"/>
        </w:rPr>
        <w:t>la</w:t>
      </w:r>
      <w:r>
        <w:rPr>
          <w:spacing w:val="-4"/>
          <w:sz w:val="16"/>
        </w:rPr>
        <w:t> </w:t>
      </w:r>
      <w:r>
        <w:rPr>
          <w:sz w:val="16"/>
        </w:rPr>
        <w:t>población</w:t>
      </w:r>
      <w:r>
        <w:rPr>
          <w:spacing w:val="-2"/>
          <w:sz w:val="16"/>
        </w:rPr>
        <w:t> </w:t>
      </w:r>
      <w:r>
        <w:rPr>
          <w:sz w:val="16"/>
        </w:rPr>
        <w:t>criolla,</w:t>
      </w:r>
      <w:r>
        <w:rPr>
          <w:spacing w:val="-2"/>
          <w:sz w:val="16"/>
        </w:rPr>
        <w:t> </w:t>
      </w:r>
      <w:r>
        <w:rPr>
          <w:sz w:val="16"/>
        </w:rPr>
        <w:t>debe</w:t>
      </w:r>
      <w:r>
        <w:rPr>
          <w:spacing w:val="-4"/>
          <w:sz w:val="16"/>
        </w:rPr>
        <w:t> </w:t>
      </w:r>
      <w:r>
        <w:rPr>
          <w:sz w:val="16"/>
        </w:rPr>
        <w:t>efectuarse</w:t>
      </w:r>
      <w:r>
        <w:rPr>
          <w:spacing w:val="-3"/>
          <w:sz w:val="16"/>
        </w:rPr>
        <w:t> </w:t>
      </w:r>
      <w:r>
        <w:rPr>
          <w:sz w:val="16"/>
        </w:rPr>
        <w:t>de</w:t>
      </w:r>
      <w:r>
        <w:rPr>
          <w:spacing w:val="-4"/>
          <w:sz w:val="16"/>
        </w:rPr>
        <w:t> </w:t>
      </w:r>
      <w:r>
        <w:rPr>
          <w:sz w:val="16"/>
        </w:rPr>
        <w:t>modo</w:t>
      </w:r>
      <w:r>
        <w:rPr>
          <w:spacing w:val="-3"/>
          <w:sz w:val="16"/>
        </w:rPr>
        <w:t> </w:t>
      </w:r>
      <w:r>
        <w:rPr>
          <w:sz w:val="16"/>
        </w:rPr>
        <w:t>respetuoso</w:t>
      </w:r>
      <w:r>
        <w:rPr>
          <w:spacing w:val="-3"/>
          <w:sz w:val="16"/>
        </w:rPr>
        <w:t> </w:t>
      </w:r>
      <w:r>
        <w:rPr>
          <w:sz w:val="16"/>
        </w:rPr>
        <w:t>de</w:t>
      </w:r>
      <w:r>
        <w:rPr>
          <w:spacing w:val="-4"/>
          <w:sz w:val="16"/>
        </w:rPr>
        <w:t> </w:t>
      </w:r>
      <w:r>
        <w:rPr>
          <w:sz w:val="16"/>
        </w:rPr>
        <w:t>los</w:t>
      </w:r>
      <w:r>
        <w:rPr>
          <w:spacing w:val="-3"/>
          <w:sz w:val="16"/>
        </w:rPr>
        <w:t> </w:t>
      </w:r>
      <w:r>
        <w:rPr>
          <w:sz w:val="16"/>
        </w:rPr>
        <w:t>derechos</w:t>
      </w:r>
      <w:r>
        <w:rPr>
          <w:spacing w:val="-4"/>
          <w:sz w:val="16"/>
        </w:rPr>
        <w:t> </w:t>
      </w:r>
      <w:r>
        <w:rPr>
          <w:sz w:val="16"/>
        </w:rPr>
        <w:t>de</w:t>
      </w:r>
      <w:r>
        <w:rPr>
          <w:spacing w:val="-4"/>
          <w:sz w:val="16"/>
        </w:rPr>
        <w:t> </w:t>
      </w:r>
      <w:r>
        <w:rPr>
          <w:sz w:val="16"/>
        </w:rPr>
        <w:t>esa</w:t>
      </w:r>
      <w:r>
        <w:rPr>
          <w:spacing w:val="-4"/>
          <w:sz w:val="16"/>
        </w:rPr>
        <w:t> </w:t>
      </w:r>
      <w:r>
        <w:rPr>
          <w:sz w:val="16"/>
        </w:rPr>
        <w:t>población. Al</w:t>
      </w:r>
      <w:r>
        <w:rPr>
          <w:spacing w:val="-7"/>
          <w:sz w:val="16"/>
        </w:rPr>
        <w:t> </w:t>
      </w:r>
      <w:r>
        <w:rPr>
          <w:sz w:val="16"/>
        </w:rPr>
        <w:t>respecto,</w:t>
      </w:r>
      <w:r>
        <w:rPr>
          <w:spacing w:val="-9"/>
          <w:sz w:val="16"/>
        </w:rPr>
        <w:t> </w:t>
      </w:r>
      <w:r>
        <w:rPr>
          <w:sz w:val="16"/>
        </w:rPr>
        <w:t>en</w:t>
      </w:r>
      <w:r>
        <w:rPr>
          <w:spacing w:val="-9"/>
          <w:sz w:val="16"/>
        </w:rPr>
        <w:t> </w:t>
      </w:r>
      <w:r>
        <w:rPr>
          <w:sz w:val="16"/>
        </w:rPr>
        <w:t>el</w:t>
      </w:r>
      <w:r>
        <w:rPr>
          <w:spacing w:val="-7"/>
          <w:sz w:val="16"/>
        </w:rPr>
        <w:t> </w:t>
      </w:r>
      <w:r>
        <w:rPr>
          <w:sz w:val="16"/>
        </w:rPr>
        <w:t>marco</w:t>
      </w:r>
      <w:r>
        <w:rPr>
          <w:spacing w:val="-7"/>
          <w:sz w:val="16"/>
        </w:rPr>
        <w:t> </w:t>
      </w:r>
      <w:r>
        <w:rPr>
          <w:sz w:val="16"/>
        </w:rPr>
        <w:t>de</w:t>
      </w:r>
      <w:r>
        <w:rPr>
          <w:spacing w:val="-6"/>
          <w:sz w:val="16"/>
        </w:rPr>
        <w:t> </w:t>
      </w:r>
      <w:r>
        <w:rPr>
          <w:sz w:val="16"/>
        </w:rPr>
        <w:t>las</w:t>
      </w:r>
      <w:r>
        <w:rPr>
          <w:spacing w:val="-6"/>
          <w:sz w:val="16"/>
        </w:rPr>
        <w:t> </w:t>
      </w:r>
      <w:r>
        <w:rPr>
          <w:sz w:val="16"/>
        </w:rPr>
        <w:t>pautas</w:t>
      </w:r>
      <w:r>
        <w:rPr>
          <w:spacing w:val="-8"/>
          <w:sz w:val="16"/>
        </w:rPr>
        <w:t> </w:t>
      </w:r>
      <w:r>
        <w:rPr>
          <w:sz w:val="16"/>
        </w:rPr>
        <w:t>fijadas,</w:t>
      </w:r>
      <w:r>
        <w:rPr>
          <w:spacing w:val="-7"/>
          <w:sz w:val="16"/>
        </w:rPr>
        <w:t> </w:t>
      </w:r>
      <w:r>
        <w:rPr>
          <w:sz w:val="16"/>
        </w:rPr>
        <w:t>este</w:t>
      </w:r>
      <w:r>
        <w:rPr>
          <w:spacing w:val="-6"/>
          <w:sz w:val="16"/>
        </w:rPr>
        <w:t> </w:t>
      </w:r>
      <w:r>
        <w:rPr>
          <w:sz w:val="16"/>
        </w:rPr>
        <w:t>Tribunal</w:t>
      </w:r>
      <w:r>
        <w:rPr>
          <w:spacing w:val="-7"/>
          <w:sz w:val="16"/>
        </w:rPr>
        <w:t> </w:t>
      </w:r>
      <w:r>
        <w:rPr>
          <w:sz w:val="16"/>
        </w:rPr>
        <w:t>entiende</w:t>
      </w:r>
      <w:r>
        <w:rPr>
          <w:spacing w:val="-8"/>
          <w:sz w:val="16"/>
        </w:rPr>
        <w:t> </w:t>
      </w:r>
      <w:r>
        <w:rPr>
          <w:sz w:val="16"/>
        </w:rPr>
        <w:t>pertinente</w:t>
      </w:r>
      <w:r>
        <w:rPr>
          <w:spacing w:val="-6"/>
          <w:sz w:val="16"/>
        </w:rPr>
        <w:t> </w:t>
      </w:r>
      <w:r>
        <w:rPr>
          <w:sz w:val="16"/>
        </w:rPr>
        <w:t>que</w:t>
      </w:r>
      <w:r>
        <w:rPr>
          <w:spacing w:val="-8"/>
          <w:sz w:val="16"/>
        </w:rPr>
        <w:t> </w:t>
      </w:r>
      <w:r>
        <w:rPr>
          <w:sz w:val="16"/>
        </w:rPr>
        <w:t>el</w:t>
      </w:r>
      <w:r>
        <w:rPr>
          <w:spacing w:val="-9"/>
          <w:sz w:val="16"/>
        </w:rPr>
        <w:t> </w:t>
      </w:r>
      <w:r>
        <w:rPr>
          <w:sz w:val="16"/>
        </w:rPr>
        <w:t>Estado</w:t>
      </w:r>
      <w:r>
        <w:rPr>
          <w:spacing w:val="-5"/>
          <w:sz w:val="16"/>
        </w:rPr>
        <w:t> </w:t>
      </w:r>
      <w:r>
        <w:rPr>
          <w:sz w:val="16"/>
        </w:rPr>
        <w:t>tome</w:t>
      </w:r>
      <w:r>
        <w:rPr>
          <w:spacing w:val="-9"/>
          <w:sz w:val="16"/>
        </w:rPr>
        <w:t> </w:t>
      </w:r>
      <w:r>
        <w:rPr>
          <w:sz w:val="16"/>
        </w:rPr>
        <w:t>en</w:t>
      </w:r>
      <w:r>
        <w:rPr>
          <w:spacing w:val="-9"/>
          <w:sz w:val="16"/>
        </w:rPr>
        <w:t> </w:t>
      </w:r>
      <w:r>
        <w:rPr>
          <w:sz w:val="16"/>
        </w:rPr>
        <w:t>cuenta los siguientes señalamientos del Comité DESC: “[l]os desalojos no deberían dar lugar a que haya personas que se queden sin vivienda o expuestas a violaciones de otros derechos humanos. Cuando los afectados por el desalojo no dispongan de recursos, el Estado Parte deberá adoptar todas las medidas necesarias, en la mayor medida que permitan sus recursos, para que se proporcione otra vivienda, reasentamiento o acceso a tierras</w:t>
      </w:r>
      <w:r>
        <w:rPr>
          <w:spacing w:val="-6"/>
          <w:sz w:val="16"/>
        </w:rPr>
        <w:t> </w:t>
      </w:r>
      <w:r>
        <w:rPr>
          <w:sz w:val="16"/>
        </w:rPr>
        <w:t>productivas,</w:t>
      </w:r>
      <w:r>
        <w:rPr>
          <w:spacing w:val="-7"/>
          <w:sz w:val="16"/>
        </w:rPr>
        <w:t> </w:t>
      </w:r>
      <w:r>
        <w:rPr>
          <w:sz w:val="16"/>
        </w:rPr>
        <w:t>según</w:t>
      </w:r>
      <w:r>
        <w:rPr>
          <w:spacing w:val="-7"/>
          <w:sz w:val="16"/>
        </w:rPr>
        <w:t> </w:t>
      </w:r>
      <w:r>
        <w:rPr>
          <w:sz w:val="16"/>
        </w:rPr>
        <w:t>proceda”</w:t>
      </w:r>
      <w:r>
        <w:rPr>
          <w:spacing w:val="-5"/>
          <w:sz w:val="16"/>
        </w:rPr>
        <w:t> </w:t>
      </w:r>
      <w:r>
        <w:rPr>
          <w:sz w:val="16"/>
        </w:rPr>
        <w:t>(</w:t>
      </w:r>
      <w:r>
        <w:rPr>
          <w:i/>
          <w:sz w:val="16"/>
        </w:rPr>
        <w:t>Observación</w:t>
      </w:r>
      <w:r>
        <w:rPr>
          <w:i/>
          <w:spacing w:val="-7"/>
          <w:sz w:val="16"/>
        </w:rPr>
        <w:t> </w:t>
      </w:r>
      <w:r>
        <w:rPr>
          <w:i/>
          <w:sz w:val="16"/>
        </w:rPr>
        <w:t>General</w:t>
      </w:r>
      <w:r>
        <w:rPr>
          <w:i/>
          <w:spacing w:val="-7"/>
          <w:sz w:val="16"/>
        </w:rPr>
        <w:t> </w:t>
      </w:r>
      <w:r>
        <w:rPr>
          <w:i/>
          <w:sz w:val="16"/>
        </w:rPr>
        <w:t>No.</w:t>
      </w:r>
      <w:r>
        <w:rPr>
          <w:i/>
          <w:spacing w:val="-7"/>
          <w:sz w:val="16"/>
        </w:rPr>
        <w:t> </w:t>
      </w:r>
      <w:r>
        <w:rPr>
          <w:i/>
          <w:sz w:val="16"/>
        </w:rPr>
        <w:t>7.</w:t>
      </w:r>
      <w:r>
        <w:rPr>
          <w:i/>
          <w:spacing w:val="-4"/>
          <w:sz w:val="16"/>
        </w:rPr>
        <w:t> </w:t>
      </w:r>
      <w:r>
        <w:rPr>
          <w:i/>
          <w:sz w:val="16"/>
        </w:rPr>
        <w:t>El</w:t>
      </w:r>
      <w:r>
        <w:rPr>
          <w:i/>
          <w:spacing w:val="-7"/>
          <w:sz w:val="16"/>
        </w:rPr>
        <w:t> </w:t>
      </w:r>
      <w:r>
        <w:rPr>
          <w:i/>
          <w:sz w:val="16"/>
        </w:rPr>
        <w:t>derecho</w:t>
      </w:r>
      <w:r>
        <w:rPr>
          <w:i/>
          <w:spacing w:val="-5"/>
          <w:sz w:val="16"/>
        </w:rPr>
        <w:t> </w:t>
      </w:r>
      <w:r>
        <w:rPr>
          <w:i/>
          <w:sz w:val="16"/>
        </w:rPr>
        <w:t>a</w:t>
      </w:r>
      <w:r>
        <w:rPr>
          <w:i/>
          <w:spacing w:val="-5"/>
          <w:sz w:val="16"/>
        </w:rPr>
        <w:t> </w:t>
      </w:r>
      <w:r>
        <w:rPr>
          <w:i/>
          <w:sz w:val="16"/>
        </w:rPr>
        <w:t>una</w:t>
      </w:r>
      <w:r>
        <w:rPr>
          <w:i/>
          <w:spacing w:val="-7"/>
          <w:sz w:val="16"/>
        </w:rPr>
        <w:t> </w:t>
      </w:r>
      <w:r>
        <w:rPr>
          <w:i/>
          <w:sz w:val="16"/>
        </w:rPr>
        <w:t>vivienda</w:t>
      </w:r>
      <w:r>
        <w:rPr>
          <w:i/>
          <w:spacing w:val="-5"/>
          <w:sz w:val="16"/>
        </w:rPr>
        <w:t> </w:t>
      </w:r>
      <w:r>
        <w:rPr>
          <w:i/>
          <w:sz w:val="16"/>
        </w:rPr>
        <w:t>adecuada</w:t>
      </w:r>
      <w:r>
        <w:rPr>
          <w:i/>
          <w:spacing w:val="-7"/>
          <w:sz w:val="16"/>
        </w:rPr>
        <w:t> </w:t>
      </w:r>
      <w:r>
        <w:rPr>
          <w:i/>
          <w:sz w:val="16"/>
        </w:rPr>
        <w:t>(párrafo </w:t>
      </w:r>
      <w:r>
        <w:rPr>
          <w:i/>
          <w:sz w:val="16"/>
        </w:rPr>
        <w:t>1 del artículo 11 del Pacto): los desalojos forzosos</w:t>
      </w:r>
      <w:r>
        <w:rPr>
          <w:sz w:val="16"/>
        </w:rPr>
        <w:t>, 16º período de sesiones (1997). Doc. E/1998/22, anexo IV, párr.</w:t>
      </w:r>
      <w:r>
        <w:rPr>
          <w:spacing w:val="-6"/>
          <w:sz w:val="16"/>
        </w:rPr>
        <w:t> </w:t>
      </w:r>
      <w:r>
        <w:rPr>
          <w:sz w:val="16"/>
        </w:rPr>
        <w:t>16).</w:t>
      </w:r>
    </w:p>
    <w:p>
      <w:pPr>
        <w:pStyle w:val="BodyText"/>
        <w:spacing w:before="1"/>
        <w:rPr>
          <w:sz w:val="16"/>
        </w:rPr>
      </w:pPr>
    </w:p>
    <w:p>
      <w:pPr>
        <w:tabs>
          <w:tab w:pos="829" w:val="left" w:leader="none"/>
        </w:tabs>
        <w:spacing w:before="0"/>
        <w:ind w:left="122" w:right="116" w:firstLine="0"/>
        <w:jc w:val="both"/>
        <w:rPr>
          <w:sz w:val="16"/>
        </w:rPr>
      </w:pPr>
      <w:r>
        <w:rPr>
          <w:position w:val="6"/>
          <w:sz w:val="10"/>
        </w:rPr>
        <w:t>324</w:t>
        <w:tab/>
      </w:r>
      <w:r>
        <w:rPr>
          <w:sz w:val="16"/>
        </w:rPr>
        <w:t>La</w:t>
      </w:r>
      <w:r>
        <w:rPr>
          <w:spacing w:val="-6"/>
          <w:sz w:val="16"/>
        </w:rPr>
        <w:t> </w:t>
      </w:r>
      <w:r>
        <w:rPr>
          <w:sz w:val="16"/>
        </w:rPr>
        <w:t>Corte</w:t>
      </w:r>
      <w:r>
        <w:rPr>
          <w:spacing w:val="-5"/>
          <w:sz w:val="16"/>
        </w:rPr>
        <w:t> </w:t>
      </w:r>
      <w:r>
        <w:rPr>
          <w:sz w:val="16"/>
        </w:rPr>
        <w:t>tiene</w:t>
      </w:r>
      <w:r>
        <w:rPr>
          <w:spacing w:val="-5"/>
          <w:sz w:val="16"/>
        </w:rPr>
        <w:t> </w:t>
      </w:r>
      <w:r>
        <w:rPr>
          <w:sz w:val="16"/>
        </w:rPr>
        <w:t>en</w:t>
      </w:r>
      <w:r>
        <w:rPr>
          <w:spacing w:val="-6"/>
          <w:sz w:val="16"/>
        </w:rPr>
        <w:t> </w:t>
      </w:r>
      <w:r>
        <w:rPr>
          <w:sz w:val="16"/>
        </w:rPr>
        <w:t>cuenta</w:t>
      </w:r>
      <w:r>
        <w:rPr>
          <w:spacing w:val="-8"/>
          <w:sz w:val="16"/>
        </w:rPr>
        <w:t> </w:t>
      </w:r>
      <w:r>
        <w:rPr>
          <w:sz w:val="16"/>
        </w:rPr>
        <w:t>que</w:t>
      </w:r>
      <w:r>
        <w:rPr>
          <w:spacing w:val="-7"/>
          <w:sz w:val="16"/>
        </w:rPr>
        <w:t> </w:t>
      </w:r>
      <w:r>
        <w:rPr>
          <w:sz w:val="16"/>
        </w:rPr>
        <w:t>un</w:t>
      </w:r>
      <w:r>
        <w:rPr>
          <w:spacing w:val="-6"/>
          <w:sz w:val="16"/>
        </w:rPr>
        <w:t> </w:t>
      </w:r>
      <w:r>
        <w:rPr>
          <w:sz w:val="16"/>
        </w:rPr>
        <w:t>mecanismo</w:t>
      </w:r>
      <w:r>
        <w:rPr>
          <w:spacing w:val="-5"/>
          <w:sz w:val="16"/>
        </w:rPr>
        <w:t> </w:t>
      </w:r>
      <w:r>
        <w:rPr>
          <w:sz w:val="16"/>
        </w:rPr>
        <w:t>similar</w:t>
      </w:r>
      <w:r>
        <w:rPr>
          <w:spacing w:val="-7"/>
          <w:sz w:val="16"/>
        </w:rPr>
        <w:t> </w:t>
      </w:r>
      <w:r>
        <w:rPr>
          <w:sz w:val="16"/>
        </w:rPr>
        <w:t>fue</w:t>
      </w:r>
      <w:r>
        <w:rPr>
          <w:spacing w:val="-7"/>
          <w:sz w:val="16"/>
        </w:rPr>
        <w:t> </w:t>
      </w:r>
      <w:r>
        <w:rPr>
          <w:sz w:val="16"/>
        </w:rPr>
        <w:t>dispuesto</w:t>
      </w:r>
      <w:r>
        <w:rPr>
          <w:spacing w:val="-4"/>
          <w:sz w:val="16"/>
        </w:rPr>
        <w:t> </w:t>
      </w:r>
      <w:r>
        <w:rPr>
          <w:sz w:val="16"/>
        </w:rPr>
        <w:t>en</w:t>
      </w:r>
      <w:r>
        <w:rPr>
          <w:spacing w:val="-6"/>
          <w:sz w:val="16"/>
        </w:rPr>
        <w:t> </w:t>
      </w:r>
      <w:r>
        <w:rPr>
          <w:sz w:val="16"/>
        </w:rPr>
        <w:t>el</w:t>
      </w:r>
      <w:r>
        <w:rPr>
          <w:spacing w:val="-8"/>
          <w:sz w:val="16"/>
        </w:rPr>
        <w:t> </w:t>
      </w:r>
      <w:r>
        <w:rPr>
          <w:sz w:val="16"/>
        </w:rPr>
        <w:t>Acta-Acuerdo</w:t>
      </w:r>
      <w:r>
        <w:rPr>
          <w:spacing w:val="-4"/>
          <w:sz w:val="16"/>
        </w:rPr>
        <w:t> </w:t>
      </w:r>
      <w:r>
        <w:rPr>
          <w:sz w:val="16"/>
        </w:rPr>
        <w:t>aprobada</w:t>
      </w:r>
      <w:r>
        <w:rPr>
          <w:spacing w:val="-6"/>
          <w:sz w:val="16"/>
        </w:rPr>
        <w:t> </w:t>
      </w:r>
      <w:r>
        <w:rPr>
          <w:sz w:val="16"/>
        </w:rPr>
        <w:t>por</w:t>
      </w:r>
      <w:r>
        <w:rPr>
          <w:spacing w:val="-4"/>
          <w:sz w:val="16"/>
        </w:rPr>
        <w:t> </w:t>
      </w:r>
      <w:r>
        <w:rPr>
          <w:sz w:val="16"/>
        </w:rPr>
        <w:t>el</w:t>
      </w:r>
      <w:r>
        <w:rPr>
          <w:w w:val="100"/>
          <w:sz w:val="16"/>
        </w:rPr>
        <w:t> </w:t>
      </w:r>
      <w:r>
        <w:rPr>
          <w:sz w:val="16"/>
        </w:rPr>
        <w:t>Decreto 2786/07 (</w:t>
      </w:r>
      <w:r>
        <w:rPr>
          <w:i/>
          <w:sz w:val="16"/>
        </w:rPr>
        <w:t>supra </w:t>
      </w:r>
      <w:r>
        <w:rPr>
          <w:sz w:val="16"/>
        </w:rPr>
        <w:t>párrs. 75 y</w:t>
      </w:r>
      <w:r>
        <w:rPr>
          <w:spacing w:val="-17"/>
          <w:sz w:val="16"/>
        </w:rPr>
        <w:t> </w:t>
      </w:r>
      <w:r>
        <w:rPr>
          <w:sz w:val="16"/>
        </w:rPr>
        <w:t>144).</w:t>
      </w:r>
    </w:p>
    <w:p>
      <w:pPr>
        <w:spacing w:after="0"/>
        <w:jc w:val="both"/>
        <w:rPr>
          <w:sz w:val="16"/>
        </w:rPr>
        <w:sectPr>
          <w:footerReference w:type="default" r:id="rId31"/>
          <w:pgSz w:w="12240" w:h="15840"/>
          <w:pgMar w:footer="1000" w:header="0" w:top="1340" w:bottom="1200" w:left="1580" w:right="1580"/>
          <w:pgNumType w:start="110"/>
        </w:sectPr>
      </w:pPr>
    </w:p>
    <w:p>
      <w:pPr>
        <w:pStyle w:val="BodyText"/>
        <w:spacing w:before="76"/>
        <w:ind w:left="122" w:right="125"/>
        <w:jc w:val="both"/>
      </w:pPr>
      <w:r>
        <w:rPr/>
        <w:t>población criolla ha afectado el agua existente en el lugar y el acceso de comunidades indígenas</w:t>
      </w:r>
      <w:r>
        <w:rPr>
          <w:spacing w:val="-20"/>
        </w:rPr>
        <w:t> </w:t>
      </w:r>
      <w:r>
        <w:rPr/>
        <w:t>al</w:t>
      </w:r>
      <w:r>
        <w:rPr>
          <w:spacing w:val="-19"/>
        </w:rPr>
        <w:t> </w:t>
      </w:r>
      <w:r>
        <w:rPr/>
        <w:t>agua</w:t>
      </w:r>
      <w:r>
        <w:rPr>
          <w:spacing w:val="-18"/>
        </w:rPr>
        <w:t> </w:t>
      </w:r>
      <w:r>
        <w:rPr/>
        <w:t>potable.</w:t>
      </w:r>
      <w:r>
        <w:rPr>
          <w:spacing w:val="-18"/>
        </w:rPr>
        <w:t> </w:t>
      </w:r>
      <w:r>
        <w:rPr/>
        <w:t>Además,</w:t>
      </w:r>
      <w:r>
        <w:rPr>
          <w:spacing w:val="-18"/>
        </w:rPr>
        <w:t> </w:t>
      </w:r>
      <w:r>
        <w:rPr/>
        <w:t>se</w:t>
      </w:r>
      <w:r>
        <w:rPr>
          <w:spacing w:val="-21"/>
        </w:rPr>
        <w:t> </w:t>
      </w:r>
      <w:r>
        <w:rPr/>
        <w:t>ha</w:t>
      </w:r>
      <w:r>
        <w:rPr>
          <w:spacing w:val="-20"/>
        </w:rPr>
        <w:t> </w:t>
      </w:r>
      <w:r>
        <w:rPr/>
        <w:t>indicado</w:t>
      </w:r>
      <w:r>
        <w:rPr>
          <w:spacing w:val="-21"/>
        </w:rPr>
        <w:t> </w:t>
      </w:r>
      <w:r>
        <w:rPr/>
        <w:t>la</w:t>
      </w:r>
      <w:r>
        <w:rPr>
          <w:spacing w:val="-18"/>
        </w:rPr>
        <w:t> </w:t>
      </w:r>
      <w:r>
        <w:rPr/>
        <w:t>degradación</w:t>
      </w:r>
      <w:r>
        <w:rPr>
          <w:spacing w:val="-19"/>
        </w:rPr>
        <w:t> </w:t>
      </w:r>
      <w:r>
        <w:rPr/>
        <w:t>ambiental</w:t>
      </w:r>
      <w:r>
        <w:rPr>
          <w:spacing w:val="-19"/>
        </w:rPr>
        <w:t> </w:t>
      </w:r>
      <w:r>
        <w:rPr/>
        <w:t>que</w:t>
      </w:r>
      <w:r>
        <w:rPr>
          <w:spacing w:val="-21"/>
        </w:rPr>
        <w:t> </w:t>
      </w:r>
      <w:r>
        <w:rPr/>
        <w:t>produce la tala ilegal. Se ha determinado la vulneración de los derechos a un medio ambiente sano, a alimentación adecuada, al agua y a la identidad</w:t>
      </w:r>
      <w:r>
        <w:rPr>
          <w:spacing w:val="-18"/>
        </w:rPr>
        <w:t> </w:t>
      </w:r>
      <w:r>
        <w:rPr/>
        <w:t>cultural.</w:t>
      </w:r>
    </w:p>
    <w:p>
      <w:pPr>
        <w:pStyle w:val="BodyText"/>
      </w:pPr>
    </w:p>
    <w:p>
      <w:pPr>
        <w:spacing w:before="0"/>
        <w:ind w:left="974" w:right="0" w:firstLine="0"/>
        <w:jc w:val="left"/>
        <w:rPr>
          <w:i/>
          <w:sz w:val="20"/>
        </w:rPr>
      </w:pPr>
      <w:bookmarkStart w:name="_bookmark93" w:id="158"/>
      <w:bookmarkEnd w:id="158"/>
      <w:r>
        <w:rPr/>
      </w:r>
      <w:r>
        <w:rPr>
          <w:i/>
          <w:sz w:val="20"/>
        </w:rPr>
        <w:t>B.3.1. </w:t>
      </w:r>
      <w:r>
        <w:rPr>
          <w:i/>
          <w:sz w:val="20"/>
          <w:u w:val="single"/>
        </w:rPr>
        <w:t>Acciones dirigidas al agua, la alimentación y los recursos forestales</w:t>
      </w:r>
    </w:p>
    <w:p>
      <w:pPr>
        <w:pStyle w:val="BodyText"/>
        <w:spacing w:before="8"/>
        <w:rPr>
          <w:i/>
          <w:sz w:val="11"/>
        </w:rPr>
      </w:pPr>
    </w:p>
    <w:p>
      <w:pPr>
        <w:pStyle w:val="ListParagraph"/>
        <w:numPr>
          <w:ilvl w:val="0"/>
          <w:numId w:val="37"/>
        </w:numPr>
        <w:tabs>
          <w:tab w:pos="830" w:val="left" w:leader="none"/>
        </w:tabs>
        <w:spacing w:line="240" w:lineRule="auto" w:before="99" w:after="0"/>
        <w:ind w:left="122" w:right="124" w:firstLine="0"/>
        <w:jc w:val="both"/>
        <w:rPr>
          <w:sz w:val="20"/>
        </w:rPr>
      </w:pPr>
      <w:r>
        <w:rPr>
          <w:sz w:val="20"/>
        </w:rPr>
        <w:t>Sin perjuicio de las acciones de atención de situaciones urgentes que el Estado pueda realizar, esta Corte ordena al Estado que, en el plazo máximo de seis meses a partir de la notificación de la presente Sentencia, presente a la Corte un estudio en que identifique, dentro del conjunto de personas que integran las comunidades indígenas víctimas, situaciones críticas de falta de acceso a agua potable o alimentación, que puedan poner en grave riesgo la salud o la vida, y que formule un plan de acción en el que determine las acciones que el Estado realizará, que deben ser aptas para atender tales situaciones críticas en forma adecuada, señalando el tiempo en que las mismas serán ejecutadas. El Estado deberá comenzar la implementación de las acciones indicadas en el plan de acción en forma inmediata a la presentación del mismo a este Tribunal.</w:t>
      </w:r>
      <w:r>
        <w:rPr>
          <w:spacing w:val="-7"/>
          <w:sz w:val="20"/>
        </w:rPr>
        <w:t> </w:t>
      </w:r>
      <w:r>
        <w:rPr>
          <w:sz w:val="20"/>
        </w:rPr>
        <w:t>La</w:t>
      </w:r>
      <w:r>
        <w:rPr>
          <w:spacing w:val="-7"/>
          <w:sz w:val="20"/>
        </w:rPr>
        <w:t> </w:t>
      </w:r>
      <w:r>
        <w:rPr>
          <w:sz w:val="20"/>
        </w:rPr>
        <w:t>Corte</w:t>
      </w:r>
      <w:r>
        <w:rPr>
          <w:spacing w:val="-7"/>
          <w:sz w:val="20"/>
        </w:rPr>
        <w:t> </w:t>
      </w:r>
      <w:r>
        <w:rPr>
          <w:sz w:val="20"/>
        </w:rPr>
        <w:t>transmitirá</w:t>
      </w:r>
      <w:r>
        <w:rPr>
          <w:spacing w:val="-6"/>
          <w:sz w:val="20"/>
        </w:rPr>
        <w:t> </w:t>
      </w:r>
      <w:r>
        <w:rPr>
          <w:sz w:val="20"/>
        </w:rPr>
        <w:t>a</w:t>
      </w:r>
      <w:r>
        <w:rPr>
          <w:spacing w:val="-6"/>
          <w:sz w:val="20"/>
        </w:rPr>
        <w:t> </w:t>
      </w:r>
      <w:r>
        <w:rPr>
          <w:sz w:val="20"/>
        </w:rPr>
        <w:t>la</w:t>
      </w:r>
      <w:r>
        <w:rPr>
          <w:spacing w:val="-6"/>
          <w:sz w:val="20"/>
        </w:rPr>
        <w:t> </w:t>
      </w:r>
      <w:r>
        <w:rPr>
          <w:sz w:val="20"/>
        </w:rPr>
        <w:t>Comisión</w:t>
      </w:r>
      <w:r>
        <w:rPr>
          <w:spacing w:val="-7"/>
          <w:sz w:val="20"/>
        </w:rPr>
        <w:t> </w:t>
      </w:r>
      <w:r>
        <w:rPr>
          <w:sz w:val="20"/>
        </w:rPr>
        <w:t>y</w:t>
      </w:r>
      <w:r>
        <w:rPr>
          <w:spacing w:val="-7"/>
          <w:sz w:val="20"/>
        </w:rPr>
        <w:t> </w:t>
      </w:r>
      <w:r>
        <w:rPr>
          <w:sz w:val="20"/>
        </w:rPr>
        <w:t>a</w:t>
      </w:r>
      <w:r>
        <w:rPr>
          <w:spacing w:val="-1"/>
          <w:sz w:val="20"/>
        </w:rPr>
        <w:t> </w:t>
      </w:r>
      <w:r>
        <w:rPr>
          <w:sz w:val="20"/>
        </w:rPr>
        <w:t>los</w:t>
      </w:r>
      <w:r>
        <w:rPr>
          <w:spacing w:val="-4"/>
          <w:sz w:val="20"/>
        </w:rPr>
        <w:t> </w:t>
      </w:r>
      <w:r>
        <w:rPr>
          <w:sz w:val="20"/>
        </w:rPr>
        <w:t>representantes</w:t>
      </w:r>
      <w:r>
        <w:rPr>
          <w:spacing w:val="-7"/>
          <w:sz w:val="20"/>
        </w:rPr>
        <w:t> </w:t>
      </w:r>
      <w:r>
        <w:rPr>
          <w:sz w:val="20"/>
        </w:rPr>
        <w:t>el</w:t>
      </w:r>
      <w:r>
        <w:rPr>
          <w:spacing w:val="-3"/>
          <w:sz w:val="20"/>
        </w:rPr>
        <w:t> </w:t>
      </w:r>
      <w:r>
        <w:rPr>
          <w:sz w:val="20"/>
        </w:rPr>
        <w:t>estudio</w:t>
      </w:r>
      <w:r>
        <w:rPr>
          <w:spacing w:val="-8"/>
          <w:sz w:val="20"/>
        </w:rPr>
        <w:t> </w:t>
      </w:r>
      <w:r>
        <w:rPr>
          <w:sz w:val="20"/>
        </w:rPr>
        <w:t>referido,</w:t>
      </w:r>
      <w:r>
        <w:rPr>
          <w:spacing w:val="-5"/>
          <w:sz w:val="20"/>
        </w:rPr>
        <w:t> </w:t>
      </w:r>
      <w:r>
        <w:rPr>
          <w:sz w:val="20"/>
        </w:rPr>
        <w:t>a efectos de que remitan las observaciones que estimen pertinentes. Teniendo en cuenta el</w:t>
      </w:r>
      <w:r>
        <w:rPr>
          <w:spacing w:val="-5"/>
          <w:sz w:val="20"/>
        </w:rPr>
        <w:t> </w:t>
      </w:r>
      <w:r>
        <w:rPr>
          <w:sz w:val="20"/>
        </w:rPr>
        <w:t>parecer</w:t>
      </w:r>
      <w:r>
        <w:rPr>
          <w:spacing w:val="-7"/>
          <w:sz w:val="20"/>
        </w:rPr>
        <w:t> </w:t>
      </w:r>
      <w:r>
        <w:rPr>
          <w:sz w:val="20"/>
        </w:rPr>
        <w:t>de</w:t>
      </w:r>
      <w:r>
        <w:rPr>
          <w:spacing w:val="-5"/>
          <w:sz w:val="20"/>
        </w:rPr>
        <w:t> </w:t>
      </w:r>
      <w:r>
        <w:rPr>
          <w:sz w:val="20"/>
        </w:rPr>
        <w:t>las</w:t>
      </w:r>
      <w:r>
        <w:rPr>
          <w:spacing w:val="-6"/>
          <w:sz w:val="20"/>
        </w:rPr>
        <w:t> </w:t>
      </w:r>
      <w:r>
        <w:rPr>
          <w:sz w:val="20"/>
        </w:rPr>
        <w:t>partes</w:t>
      </w:r>
      <w:r>
        <w:rPr>
          <w:spacing w:val="-4"/>
          <w:sz w:val="20"/>
        </w:rPr>
        <w:t> </w:t>
      </w:r>
      <w:r>
        <w:rPr>
          <w:sz w:val="20"/>
        </w:rPr>
        <w:t>y</w:t>
      </w:r>
      <w:r>
        <w:rPr>
          <w:spacing w:val="-6"/>
          <w:sz w:val="20"/>
        </w:rPr>
        <w:t> </w:t>
      </w:r>
      <w:r>
        <w:rPr>
          <w:sz w:val="20"/>
        </w:rPr>
        <w:t>la</w:t>
      </w:r>
      <w:r>
        <w:rPr>
          <w:spacing w:val="-5"/>
          <w:sz w:val="20"/>
        </w:rPr>
        <w:t> </w:t>
      </w:r>
      <w:r>
        <w:rPr>
          <w:sz w:val="20"/>
        </w:rPr>
        <w:t>Comisión,</w:t>
      </w:r>
      <w:r>
        <w:rPr>
          <w:spacing w:val="-4"/>
          <w:sz w:val="20"/>
        </w:rPr>
        <w:t> </w:t>
      </w:r>
      <w:r>
        <w:rPr>
          <w:sz w:val="20"/>
        </w:rPr>
        <w:t>la</w:t>
      </w:r>
      <w:r>
        <w:rPr>
          <w:spacing w:val="-5"/>
          <w:sz w:val="20"/>
        </w:rPr>
        <w:t> </w:t>
      </w:r>
      <w:r>
        <w:rPr>
          <w:sz w:val="20"/>
        </w:rPr>
        <w:t>Corte</w:t>
      </w:r>
      <w:r>
        <w:rPr>
          <w:spacing w:val="-4"/>
          <w:sz w:val="20"/>
        </w:rPr>
        <w:t> </w:t>
      </w:r>
      <w:r>
        <w:rPr>
          <w:sz w:val="20"/>
        </w:rPr>
        <w:t>evaluará</w:t>
      </w:r>
      <w:r>
        <w:rPr>
          <w:spacing w:val="-3"/>
          <w:sz w:val="20"/>
        </w:rPr>
        <w:t> </w:t>
      </w:r>
      <w:r>
        <w:rPr>
          <w:sz w:val="20"/>
        </w:rPr>
        <w:t>si</w:t>
      </w:r>
      <w:r>
        <w:rPr>
          <w:spacing w:val="-3"/>
          <w:sz w:val="20"/>
        </w:rPr>
        <w:t> </w:t>
      </w:r>
      <w:r>
        <w:rPr>
          <w:sz w:val="20"/>
        </w:rPr>
        <w:t>el</w:t>
      </w:r>
      <w:r>
        <w:rPr>
          <w:spacing w:val="-2"/>
          <w:sz w:val="20"/>
        </w:rPr>
        <w:t> </w:t>
      </w:r>
      <w:r>
        <w:rPr>
          <w:sz w:val="20"/>
        </w:rPr>
        <w:t>estudio</w:t>
      </w:r>
      <w:r>
        <w:rPr>
          <w:spacing w:val="-4"/>
          <w:sz w:val="20"/>
        </w:rPr>
        <w:t> </w:t>
      </w:r>
      <w:r>
        <w:rPr>
          <w:sz w:val="20"/>
        </w:rPr>
        <w:t>y</w:t>
      </w:r>
      <w:r>
        <w:rPr>
          <w:spacing w:val="-3"/>
          <w:sz w:val="20"/>
        </w:rPr>
        <w:t> </w:t>
      </w:r>
      <w:r>
        <w:rPr>
          <w:sz w:val="20"/>
        </w:rPr>
        <w:t>el</w:t>
      </w:r>
      <w:r>
        <w:rPr>
          <w:spacing w:val="-5"/>
          <w:sz w:val="20"/>
        </w:rPr>
        <w:t> </w:t>
      </w:r>
      <w:r>
        <w:rPr>
          <w:sz w:val="20"/>
        </w:rPr>
        <w:t>plan</w:t>
      </w:r>
      <w:r>
        <w:rPr>
          <w:spacing w:val="-4"/>
          <w:sz w:val="20"/>
        </w:rPr>
        <w:t> </w:t>
      </w:r>
      <w:r>
        <w:rPr>
          <w:sz w:val="20"/>
        </w:rPr>
        <w:t>de</w:t>
      </w:r>
      <w:r>
        <w:rPr>
          <w:spacing w:val="-4"/>
          <w:sz w:val="20"/>
        </w:rPr>
        <w:t> </w:t>
      </w:r>
      <w:r>
        <w:rPr>
          <w:sz w:val="20"/>
        </w:rPr>
        <w:t>acción presentados son adecuados y se corresponden con los términos de las presente Sentencia, pudiendo requerir que se completen o amplíen. La Corte supervisará la implementación de las acciones respectivas hasta que evalúe que cuenta con información suficiente para considerar cumplida la medida de reparación</w:t>
      </w:r>
      <w:r>
        <w:rPr>
          <w:spacing w:val="-33"/>
          <w:sz w:val="20"/>
        </w:rPr>
        <w:t> </w:t>
      </w:r>
      <w:r>
        <w:rPr>
          <w:sz w:val="20"/>
        </w:rPr>
        <w:t>ordenada.</w:t>
      </w:r>
    </w:p>
    <w:p>
      <w:pPr>
        <w:pStyle w:val="BodyText"/>
        <w:spacing w:before="10"/>
        <w:rPr>
          <w:sz w:val="19"/>
        </w:rPr>
      </w:pPr>
    </w:p>
    <w:p>
      <w:pPr>
        <w:pStyle w:val="ListParagraph"/>
        <w:numPr>
          <w:ilvl w:val="0"/>
          <w:numId w:val="37"/>
        </w:numPr>
        <w:tabs>
          <w:tab w:pos="830" w:val="left" w:leader="none"/>
        </w:tabs>
        <w:spacing w:line="240" w:lineRule="auto" w:before="0" w:after="0"/>
        <w:ind w:left="122" w:right="124" w:firstLine="0"/>
        <w:jc w:val="both"/>
        <w:rPr>
          <w:sz w:val="20"/>
        </w:rPr>
      </w:pPr>
      <w:r>
        <w:rPr>
          <w:sz w:val="20"/>
        </w:rPr>
        <w:t>Adicionalmente a las acciones ordenadas en el párrafo anterior, a efectos de lograr</w:t>
      </w:r>
      <w:r>
        <w:rPr>
          <w:spacing w:val="-21"/>
          <w:sz w:val="20"/>
        </w:rPr>
        <w:t> </w:t>
      </w:r>
      <w:r>
        <w:rPr>
          <w:sz w:val="20"/>
        </w:rPr>
        <w:t>de</w:t>
      </w:r>
      <w:r>
        <w:rPr>
          <w:spacing w:val="-20"/>
          <w:sz w:val="20"/>
        </w:rPr>
        <w:t> </w:t>
      </w:r>
      <w:r>
        <w:rPr>
          <w:sz w:val="20"/>
        </w:rPr>
        <w:t>forma</w:t>
      </w:r>
      <w:r>
        <w:rPr>
          <w:spacing w:val="-20"/>
          <w:sz w:val="20"/>
        </w:rPr>
        <w:t> </w:t>
      </w:r>
      <w:r>
        <w:rPr>
          <w:sz w:val="20"/>
        </w:rPr>
        <w:t>permanente</w:t>
      </w:r>
      <w:r>
        <w:rPr>
          <w:spacing w:val="-21"/>
          <w:sz w:val="20"/>
        </w:rPr>
        <w:t> </w:t>
      </w:r>
      <w:r>
        <w:rPr>
          <w:sz w:val="20"/>
        </w:rPr>
        <w:t>que</w:t>
      </w:r>
      <w:r>
        <w:rPr>
          <w:spacing w:val="-20"/>
          <w:sz w:val="20"/>
        </w:rPr>
        <w:t> </w:t>
      </w:r>
      <w:r>
        <w:rPr>
          <w:sz w:val="20"/>
        </w:rPr>
        <w:t>la</w:t>
      </w:r>
      <w:r>
        <w:rPr>
          <w:spacing w:val="-21"/>
          <w:sz w:val="20"/>
        </w:rPr>
        <w:t> </w:t>
      </w:r>
      <w:r>
        <w:rPr>
          <w:sz w:val="20"/>
        </w:rPr>
        <w:t>prestación</w:t>
      </w:r>
      <w:r>
        <w:rPr>
          <w:spacing w:val="-21"/>
          <w:sz w:val="20"/>
        </w:rPr>
        <w:t> </w:t>
      </w:r>
      <w:r>
        <w:rPr>
          <w:sz w:val="20"/>
        </w:rPr>
        <w:t>de</w:t>
      </w:r>
      <w:r>
        <w:rPr>
          <w:spacing w:val="-21"/>
          <w:sz w:val="20"/>
        </w:rPr>
        <w:t> </w:t>
      </w:r>
      <w:r>
        <w:rPr>
          <w:sz w:val="20"/>
        </w:rPr>
        <w:t>bienes</w:t>
      </w:r>
      <w:r>
        <w:rPr>
          <w:spacing w:val="-19"/>
          <w:sz w:val="20"/>
        </w:rPr>
        <w:t> </w:t>
      </w:r>
      <w:r>
        <w:rPr>
          <w:sz w:val="20"/>
        </w:rPr>
        <w:t>y</w:t>
      </w:r>
      <w:r>
        <w:rPr>
          <w:spacing w:val="-21"/>
          <w:sz w:val="20"/>
        </w:rPr>
        <w:t> </w:t>
      </w:r>
      <w:r>
        <w:rPr>
          <w:sz w:val="20"/>
        </w:rPr>
        <w:t>servicios</w:t>
      </w:r>
      <w:r>
        <w:rPr>
          <w:spacing w:val="-21"/>
          <w:sz w:val="20"/>
        </w:rPr>
        <w:t> </w:t>
      </w:r>
      <w:r>
        <w:rPr>
          <w:sz w:val="20"/>
        </w:rPr>
        <w:t>básicos</w:t>
      </w:r>
      <w:r>
        <w:rPr>
          <w:spacing w:val="-19"/>
          <w:sz w:val="20"/>
        </w:rPr>
        <w:t> </w:t>
      </w:r>
      <w:r>
        <w:rPr>
          <w:sz w:val="20"/>
        </w:rPr>
        <w:t>sea</w:t>
      </w:r>
      <w:r>
        <w:rPr>
          <w:spacing w:val="-21"/>
          <w:sz w:val="20"/>
        </w:rPr>
        <w:t> </w:t>
      </w:r>
      <w:r>
        <w:rPr>
          <w:sz w:val="20"/>
        </w:rPr>
        <w:t>adecuada y</w:t>
      </w:r>
      <w:r>
        <w:rPr>
          <w:spacing w:val="-8"/>
          <w:sz w:val="20"/>
        </w:rPr>
        <w:t> </w:t>
      </w:r>
      <w:r>
        <w:rPr>
          <w:sz w:val="20"/>
        </w:rPr>
        <w:t>periódica,</w:t>
      </w:r>
      <w:r>
        <w:rPr>
          <w:spacing w:val="-8"/>
          <w:sz w:val="20"/>
        </w:rPr>
        <w:t> </w:t>
      </w:r>
      <w:r>
        <w:rPr>
          <w:sz w:val="20"/>
        </w:rPr>
        <w:t>así</w:t>
      </w:r>
      <w:r>
        <w:rPr>
          <w:spacing w:val="-6"/>
          <w:sz w:val="20"/>
        </w:rPr>
        <w:t> </w:t>
      </w:r>
      <w:r>
        <w:rPr>
          <w:sz w:val="20"/>
        </w:rPr>
        <w:t>como</w:t>
      </w:r>
      <w:r>
        <w:rPr>
          <w:spacing w:val="-6"/>
          <w:sz w:val="20"/>
        </w:rPr>
        <w:t> </w:t>
      </w:r>
      <w:r>
        <w:rPr>
          <w:sz w:val="20"/>
        </w:rPr>
        <w:t>una</w:t>
      </w:r>
      <w:r>
        <w:rPr>
          <w:spacing w:val="-8"/>
          <w:sz w:val="20"/>
        </w:rPr>
        <w:t> </w:t>
      </w:r>
      <w:r>
        <w:rPr>
          <w:sz w:val="20"/>
        </w:rPr>
        <w:t>razonable</w:t>
      </w:r>
      <w:r>
        <w:rPr>
          <w:spacing w:val="-9"/>
          <w:sz w:val="20"/>
        </w:rPr>
        <w:t> </w:t>
      </w:r>
      <w:r>
        <w:rPr>
          <w:sz w:val="20"/>
        </w:rPr>
        <w:t>preservación</w:t>
      </w:r>
      <w:r>
        <w:rPr>
          <w:spacing w:val="-7"/>
          <w:sz w:val="20"/>
        </w:rPr>
        <w:t> </w:t>
      </w:r>
      <w:r>
        <w:rPr>
          <w:sz w:val="20"/>
        </w:rPr>
        <w:t>y</w:t>
      </w:r>
      <w:r>
        <w:rPr>
          <w:spacing w:val="-8"/>
          <w:sz w:val="20"/>
        </w:rPr>
        <w:t> </w:t>
      </w:r>
      <w:r>
        <w:rPr>
          <w:sz w:val="20"/>
        </w:rPr>
        <w:t>mejora</w:t>
      </w:r>
      <w:r>
        <w:rPr>
          <w:spacing w:val="-8"/>
          <w:sz w:val="20"/>
        </w:rPr>
        <w:t> </w:t>
      </w:r>
      <w:r>
        <w:rPr>
          <w:sz w:val="20"/>
        </w:rPr>
        <w:t>de</w:t>
      </w:r>
      <w:r>
        <w:rPr>
          <w:spacing w:val="-9"/>
          <w:sz w:val="20"/>
        </w:rPr>
        <w:t> </w:t>
      </w:r>
      <w:r>
        <w:rPr>
          <w:sz w:val="20"/>
        </w:rPr>
        <w:t>los</w:t>
      </w:r>
      <w:r>
        <w:rPr>
          <w:spacing w:val="-6"/>
          <w:sz w:val="20"/>
        </w:rPr>
        <w:t> </w:t>
      </w:r>
      <w:r>
        <w:rPr>
          <w:sz w:val="20"/>
        </w:rPr>
        <w:t>recursos</w:t>
      </w:r>
      <w:r>
        <w:rPr>
          <w:spacing w:val="-9"/>
          <w:sz w:val="20"/>
        </w:rPr>
        <w:t> </w:t>
      </w:r>
      <w:r>
        <w:rPr>
          <w:sz w:val="20"/>
        </w:rPr>
        <w:t>ambientales, el Estado deberá elaborar un estudio, en el plazo máximo de un año a partir de la notificación de esta Sentencia, en el que establezca las acciones que deben instrumentarse</w:t>
      </w:r>
      <w:r>
        <w:rPr>
          <w:spacing w:val="-9"/>
          <w:sz w:val="20"/>
        </w:rPr>
        <w:t> </w:t>
      </w:r>
      <w:r>
        <w:rPr>
          <w:sz w:val="20"/>
        </w:rPr>
        <w:t>para:</w:t>
      </w:r>
    </w:p>
    <w:p>
      <w:pPr>
        <w:pStyle w:val="BodyText"/>
        <w:spacing w:before="10"/>
        <w:rPr>
          <w:sz w:val="19"/>
        </w:rPr>
      </w:pPr>
    </w:p>
    <w:p>
      <w:pPr>
        <w:pStyle w:val="ListParagraph"/>
        <w:numPr>
          <w:ilvl w:val="0"/>
          <w:numId w:val="41"/>
        </w:numPr>
        <w:tabs>
          <w:tab w:pos="751" w:val="left" w:leader="none"/>
        </w:tabs>
        <w:spacing w:line="240" w:lineRule="auto" w:before="0" w:after="0"/>
        <w:ind w:left="405" w:right="122" w:firstLine="0"/>
        <w:jc w:val="both"/>
        <w:rPr>
          <w:sz w:val="20"/>
        </w:rPr>
      </w:pPr>
      <w:r>
        <w:rPr>
          <w:sz w:val="20"/>
        </w:rPr>
        <w:t>la conservación de las aguas, superficiales o subterráneas, existentes en el territorio indígena dentro de los lotes 14 y 55, que sean de utilización por parte de las comunidades indígenas víctimas, así como para evitar su contaminación o remediar la contaminación ya</w:t>
      </w:r>
      <w:r>
        <w:rPr>
          <w:spacing w:val="-20"/>
          <w:sz w:val="20"/>
        </w:rPr>
        <w:t> </w:t>
      </w:r>
      <w:r>
        <w:rPr>
          <w:sz w:val="20"/>
        </w:rPr>
        <w:t>existente;</w:t>
      </w:r>
    </w:p>
    <w:p>
      <w:pPr>
        <w:pStyle w:val="ListParagraph"/>
        <w:numPr>
          <w:ilvl w:val="0"/>
          <w:numId w:val="41"/>
        </w:numPr>
        <w:tabs>
          <w:tab w:pos="703" w:val="left" w:leader="none"/>
        </w:tabs>
        <w:spacing w:line="240" w:lineRule="auto" w:before="0" w:after="0"/>
        <w:ind w:left="405" w:right="129" w:firstLine="0"/>
        <w:jc w:val="both"/>
        <w:rPr>
          <w:sz w:val="20"/>
        </w:rPr>
      </w:pPr>
      <w:r>
        <w:rPr>
          <w:sz w:val="20"/>
        </w:rPr>
        <w:t>garantizar el acceso permanente a agua potable por parte de todas las personas integrantes de las comunidades indígenas víctimas en este</w:t>
      </w:r>
      <w:r>
        <w:rPr>
          <w:spacing w:val="-25"/>
          <w:sz w:val="20"/>
        </w:rPr>
        <w:t> </w:t>
      </w:r>
      <w:r>
        <w:rPr>
          <w:sz w:val="20"/>
        </w:rPr>
        <w:t>caso;</w:t>
      </w:r>
    </w:p>
    <w:p>
      <w:pPr>
        <w:pStyle w:val="ListParagraph"/>
        <w:numPr>
          <w:ilvl w:val="0"/>
          <w:numId w:val="41"/>
        </w:numPr>
        <w:tabs>
          <w:tab w:pos="672" w:val="left" w:leader="none"/>
        </w:tabs>
        <w:spacing w:line="240" w:lineRule="auto" w:before="0" w:after="0"/>
        <w:ind w:left="405" w:right="128" w:firstLine="0"/>
        <w:jc w:val="both"/>
        <w:rPr>
          <w:sz w:val="20"/>
        </w:rPr>
      </w:pPr>
      <w:r>
        <w:rPr>
          <w:sz w:val="20"/>
        </w:rPr>
        <w:t>evitar que continúe la pérdida o disminución de recursos forestales en el territorio indicado, así como procurar su paulatina recuperación,</w:t>
      </w:r>
      <w:r>
        <w:rPr>
          <w:spacing w:val="-20"/>
          <w:sz w:val="20"/>
        </w:rPr>
        <w:t> </w:t>
      </w:r>
      <w:r>
        <w:rPr>
          <w:sz w:val="20"/>
        </w:rPr>
        <w:t>y</w:t>
      </w:r>
    </w:p>
    <w:p>
      <w:pPr>
        <w:pStyle w:val="ListParagraph"/>
        <w:numPr>
          <w:ilvl w:val="0"/>
          <w:numId w:val="41"/>
        </w:numPr>
        <w:tabs>
          <w:tab w:pos="784" w:val="left" w:leader="none"/>
        </w:tabs>
        <w:spacing w:line="240" w:lineRule="auto" w:before="1" w:after="0"/>
        <w:ind w:left="405" w:right="121" w:firstLine="0"/>
        <w:jc w:val="both"/>
        <w:rPr>
          <w:sz w:val="20"/>
        </w:rPr>
      </w:pPr>
      <w:r>
        <w:rPr>
          <w:sz w:val="20"/>
        </w:rPr>
        <w:t>posibilitar de forma permanente a todas las personas integrantes de las comunidades indígenas víctimas en el presente caso, el acceso a alimentación en forma nutricional y culturalmente</w:t>
      </w:r>
      <w:r>
        <w:rPr>
          <w:spacing w:val="-16"/>
          <w:sz w:val="20"/>
        </w:rPr>
        <w:t> </w:t>
      </w:r>
      <w:r>
        <w:rPr>
          <w:sz w:val="20"/>
        </w:rPr>
        <w:t>adecuada</w:t>
      </w:r>
      <w:r>
        <w:rPr>
          <w:position w:val="7"/>
          <w:sz w:val="13"/>
        </w:rPr>
        <w:t>325</w:t>
      </w:r>
      <w:r>
        <w:rPr>
          <w:sz w:val="20"/>
        </w:rPr>
        <w:t>.</w:t>
      </w:r>
    </w:p>
    <w:p>
      <w:pPr>
        <w:pStyle w:val="BodyText"/>
      </w:pPr>
    </w:p>
    <w:p>
      <w:pPr>
        <w:pStyle w:val="BodyText"/>
        <w:spacing w:before="4"/>
        <w:rPr>
          <w:sz w:val="17"/>
        </w:rPr>
      </w:pPr>
      <w:r>
        <w:rPr/>
        <w:pict>
          <v:line style="position:absolute;mso-position-horizontal-relative:page;mso-position-vertical-relative:paragraph;z-index:3544;mso-wrap-distance-left:0;mso-wrap-distance-right:0" from="85.103996pt,12.885686pt" to="229.123996pt,12.885686pt" stroked="true" strokeweight=".72003pt" strokecolor="#000000">
            <v:stroke dashstyle="solid"/>
            <w10:wrap type="topAndBottom"/>
          </v:line>
        </w:pict>
      </w:r>
    </w:p>
    <w:p>
      <w:pPr>
        <w:tabs>
          <w:tab w:pos="829" w:val="left" w:leader="none"/>
        </w:tabs>
        <w:spacing w:line="240" w:lineRule="auto" w:before="71"/>
        <w:ind w:left="122" w:right="114" w:firstLine="0"/>
        <w:jc w:val="both"/>
        <w:rPr>
          <w:sz w:val="16"/>
        </w:rPr>
      </w:pPr>
      <w:r>
        <w:rPr>
          <w:position w:val="6"/>
          <w:sz w:val="10"/>
        </w:rPr>
        <w:t>325</w:t>
        <w:tab/>
      </w:r>
      <w:r>
        <w:rPr>
          <w:sz w:val="16"/>
        </w:rPr>
        <w:t>No</w:t>
      </w:r>
      <w:r>
        <w:rPr>
          <w:spacing w:val="-12"/>
          <w:sz w:val="16"/>
        </w:rPr>
        <w:t> </w:t>
      </w:r>
      <w:r>
        <w:rPr>
          <w:sz w:val="16"/>
        </w:rPr>
        <w:t>debe</w:t>
      </w:r>
      <w:r>
        <w:rPr>
          <w:spacing w:val="-14"/>
          <w:sz w:val="16"/>
        </w:rPr>
        <w:t> </w:t>
      </w:r>
      <w:r>
        <w:rPr>
          <w:sz w:val="16"/>
        </w:rPr>
        <w:t>entenderse</w:t>
      </w:r>
      <w:r>
        <w:rPr>
          <w:spacing w:val="-14"/>
          <w:sz w:val="16"/>
        </w:rPr>
        <w:t> </w:t>
      </w:r>
      <w:r>
        <w:rPr>
          <w:sz w:val="16"/>
        </w:rPr>
        <w:t>que</w:t>
      </w:r>
      <w:r>
        <w:rPr>
          <w:spacing w:val="-14"/>
          <w:sz w:val="16"/>
        </w:rPr>
        <w:t> </w:t>
      </w:r>
      <w:r>
        <w:rPr>
          <w:sz w:val="16"/>
        </w:rPr>
        <w:t>las</w:t>
      </w:r>
      <w:r>
        <w:rPr>
          <w:spacing w:val="-12"/>
          <w:sz w:val="16"/>
        </w:rPr>
        <w:t> </w:t>
      </w:r>
      <w:r>
        <w:rPr>
          <w:sz w:val="16"/>
        </w:rPr>
        <w:t>medidas</w:t>
      </w:r>
      <w:r>
        <w:rPr>
          <w:spacing w:val="-14"/>
          <w:sz w:val="16"/>
        </w:rPr>
        <w:t> </w:t>
      </w:r>
      <w:r>
        <w:rPr>
          <w:sz w:val="16"/>
        </w:rPr>
        <w:t>ordenadas</w:t>
      </w:r>
      <w:r>
        <w:rPr>
          <w:spacing w:val="-12"/>
          <w:sz w:val="16"/>
        </w:rPr>
        <w:t> </w:t>
      </w:r>
      <w:r>
        <w:rPr>
          <w:sz w:val="16"/>
        </w:rPr>
        <w:t>bajo</w:t>
      </w:r>
      <w:r>
        <w:rPr>
          <w:spacing w:val="-14"/>
          <w:sz w:val="16"/>
        </w:rPr>
        <w:t> </w:t>
      </w:r>
      <w:r>
        <w:rPr>
          <w:sz w:val="16"/>
        </w:rPr>
        <w:t>el</w:t>
      </w:r>
      <w:r>
        <w:rPr>
          <w:spacing w:val="-13"/>
          <w:sz w:val="16"/>
        </w:rPr>
        <w:t> </w:t>
      </w:r>
      <w:r>
        <w:rPr>
          <w:sz w:val="16"/>
        </w:rPr>
        <w:t>apartado</w:t>
      </w:r>
      <w:r>
        <w:rPr>
          <w:spacing w:val="-14"/>
          <w:sz w:val="16"/>
        </w:rPr>
        <w:t> </w:t>
      </w:r>
      <w:r>
        <w:rPr>
          <w:sz w:val="16"/>
        </w:rPr>
        <w:t>B.3.1</w:t>
      </w:r>
      <w:r>
        <w:rPr>
          <w:spacing w:val="-13"/>
          <w:sz w:val="16"/>
        </w:rPr>
        <w:t> </w:t>
      </w:r>
      <w:r>
        <w:rPr>
          <w:sz w:val="16"/>
        </w:rPr>
        <w:t>del</w:t>
      </w:r>
      <w:r>
        <w:rPr>
          <w:spacing w:val="-15"/>
          <w:sz w:val="16"/>
        </w:rPr>
        <w:t> </w:t>
      </w:r>
      <w:r>
        <w:rPr>
          <w:sz w:val="16"/>
        </w:rPr>
        <w:t>Capítulo</w:t>
      </w:r>
      <w:r>
        <w:rPr>
          <w:spacing w:val="-11"/>
          <w:sz w:val="16"/>
        </w:rPr>
        <w:t> </w:t>
      </w:r>
      <w:r>
        <w:rPr>
          <w:sz w:val="16"/>
        </w:rPr>
        <w:t>VIII</w:t>
      </w:r>
      <w:r>
        <w:rPr>
          <w:spacing w:val="-15"/>
          <w:sz w:val="16"/>
        </w:rPr>
        <w:t> </w:t>
      </w:r>
      <w:r>
        <w:rPr>
          <w:sz w:val="16"/>
        </w:rPr>
        <w:t>de</w:t>
      </w:r>
      <w:r>
        <w:rPr>
          <w:spacing w:val="-12"/>
          <w:sz w:val="16"/>
        </w:rPr>
        <w:t> </w:t>
      </w:r>
      <w:r>
        <w:rPr>
          <w:sz w:val="16"/>
        </w:rPr>
        <w:t>la</w:t>
      </w:r>
      <w:r>
        <w:rPr>
          <w:spacing w:val="-13"/>
          <w:sz w:val="16"/>
        </w:rPr>
        <w:t> </w:t>
      </w:r>
      <w:r>
        <w:rPr>
          <w:sz w:val="16"/>
        </w:rPr>
        <w:t>presente</w:t>
      </w:r>
      <w:r>
        <w:rPr>
          <w:w w:val="100"/>
          <w:sz w:val="16"/>
        </w:rPr>
        <w:t> </w:t>
      </w:r>
      <w:r>
        <w:rPr>
          <w:sz w:val="16"/>
        </w:rPr>
        <w:t>Sentencia (“Acciones dirigidas al agua, la alimentación y los recursos forestales”) imponen, necesariamente, la</w:t>
      </w:r>
      <w:r>
        <w:rPr>
          <w:spacing w:val="-14"/>
          <w:sz w:val="16"/>
        </w:rPr>
        <w:t> </w:t>
      </w:r>
      <w:r>
        <w:rPr>
          <w:sz w:val="16"/>
        </w:rPr>
        <w:t>provisión</w:t>
      </w:r>
      <w:r>
        <w:rPr>
          <w:spacing w:val="-15"/>
          <w:sz w:val="16"/>
        </w:rPr>
        <w:t> </w:t>
      </w:r>
      <w:r>
        <w:rPr>
          <w:sz w:val="16"/>
        </w:rPr>
        <w:t>directa</w:t>
      </w:r>
      <w:r>
        <w:rPr>
          <w:spacing w:val="-14"/>
          <w:sz w:val="16"/>
        </w:rPr>
        <w:t> </w:t>
      </w:r>
      <w:r>
        <w:rPr>
          <w:sz w:val="16"/>
        </w:rPr>
        <w:t>y/o</w:t>
      </w:r>
      <w:r>
        <w:rPr>
          <w:spacing w:val="-14"/>
          <w:sz w:val="16"/>
        </w:rPr>
        <w:t> </w:t>
      </w:r>
      <w:r>
        <w:rPr>
          <w:sz w:val="16"/>
        </w:rPr>
        <w:t>gratuita</w:t>
      </w:r>
      <w:r>
        <w:rPr>
          <w:spacing w:val="-14"/>
          <w:sz w:val="16"/>
        </w:rPr>
        <w:t> </w:t>
      </w:r>
      <w:r>
        <w:rPr>
          <w:sz w:val="16"/>
        </w:rPr>
        <w:t>de</w:t>
      </w:r>
      <w:r>
        <w:rPr>
          <w:spacing w:val="-14"/>
          <w:sz w:val="16"/>
        </w:rPr>
        <w:t> </w:t>
      </w:r>
      <w:r>
        <w:rPr>
          <w:sz w:val="16"/>
        </w:rPr>
        <w:t>agua</w:t>
      </w:r>
      <w:r>
        <w:rPr>
          <w:spacing w:val="-15"/>
          <w:sz w:val="16"/>
        </w:rPr>
        <w:t> </w:t>
      </w:r>
      <w:r>
        <w:rPr>
          <w:sz w:val="16"/>
        </w:rPr>
        <w:t>y</w:t>
      </w:r>
      <w:r>
        <w:rPr>
          <w:spacing w:val="-12"/>
          <w:sz w:val="16"/>
        </w:rPr>
        <w:t> </w:t>
      </w:r>
      <w:r>
        <w:rPr>
          <w:sz w:val="16"/>
        </w:rPr>
        <w:t>alimento</w:t>
      </w:r>
      <w:r>
        <w:rPr>
          <w:spacing w:val="-14"/>
          <w:sz w:val="16"/>
        </w:rPr>
        <w:t> </w:t>
      </w:r>
      <w:r>
        <w:rPr>
          <w:sz w:val="16"/>
        </w:rPr>
        <w:t>por</w:t>
      </w:r>
      <w:r>
        <w:rPr>
          <w:spacing w:val="-14"/>
          <w:sz w:val="16"/>
        </w:rPr>
        <w:t> </w:t>
      </w:r>
      <w:r>
        <w:rPr>
          <w:sz w:val="16"/>
        </w:rPr>
        <w:t>parte</w:t>
      </w:r>
      <w:r>
        <w:rPr>
          <w:spacing w:val="-14"/>
          <w:sz w:val="16"/>
        </w:rPr>
        <w:t> </w:t>
      </w:r>
      <w:r>
        <w:rPr>
          <w:sz w:val="16"/>
        </w:rPr>
        <w:t>de</w:t>
      </w:r>
      <w:r>
        <w:rPr>
          <w:spacing w:val="-14"/>
          <w:sz w:val="16"/>
        </w:rPr>
        <w:t> </w:t>
      </w:r>
      <w:r>
        <w:rPr>
          <w:sz w:val="16"/>
        </w:rPr>
        <w:t>autoridades</w:t>
      </w:r>
      <w:r>
        <w:rPr>
          <w:spacing w:val="-14"/>
          <w:sz w:val="16"/>
        </w:rPr>
        <w:t> </w:t>
      </w:r>
      <w:r>
        <w:rPr>
          <w:sz w:val="16"/>
        </w:rPr>
        <w:t>estatales;</w:t>
      </w:r>
      <w:r>
        <w:rPr>
          <w:spacing w:val="-14"/>
          <w:sz w:val="16"/>
        </w:rPr>
        <w:t> </w:t>
      </w:r>
      <w:r>
        <w:rPr>
          <w:sz w:val="16"/>
        </w:rPr>
        <w:t>el</w:t>
      </w:r>
      <w:r>
        <w:rPr>
          <w:spacing w:val="-14"/>
          <w:sz w:val="16"/>
        </w:rPr>
        <w:t> </w:t>
      </w:r>
      <w:r>
        <w:rPr>
          <w:sz w:val="16"/>
        </w:rPr>
        <w:t>Estado</w:t>
      </w:r>
      <w:r>
        <w:rPr>
          <w:spacing w:val="-14"/>
          <w:sz w:val="16"/>
        </w:rPr>
        <w:t> </w:t>
      </w:r>
      <w:r>
        <w:rPr>
          <w:sz w:val="16"/>
        </w:rPr>
        <w:t>puede</w:t>
      </w:r>
      <w:r>
        <w:rPr>
          <w:spacing w:val="-13"/>
          <w:sz w:val="16"/>
        </w:rPr>
        <w:t> </w:t>
      </w:r>
      <w:r>
        <w:rPr>
          <w:sz w:val="16"/>
        </w:rPr>
        <w:t>cumplir lo ordenado de esas formas o de otras, en tanto las medidas que determine adoptar sean adecuadas para garantizar en forma efectiva el acceso a agua potable y a alimentos conforme lo dispuesto, en armonía con políticas</w:t>
      </w:r>
      <w:r>
        <w:rPr>
          <w:spacing w:val="-4"/>
          <w:sz w:val="16"/>
        </w:rPr>
        <w:t> </w:t>
      </w:r>
      <w:r>
        <w:rPr>
          <w:sz w:val="16"/>
        </w:rPr>
        <w:t>públicas</w:t>
      </w:r>
      <w:r>
        <w:rPr>
          <w:spacing w:val="-6"/>
          <w:sz w:val="16"/>
        </w:rPr>
        <w:t> </w:t>
      </w:r>
      <w:r>
        <w:rPr>
          <w:sz w:val="16"/>
        </w:rPr>
        <w:t>estatales,</w:t>
      </w:r>
      <w:r>
        <w:rPr>
          <w:spacing w:val="-4"/>
          <w:sz w:val="16"/>
        </w:rPr>
        <w:t> </w:t>
      </w:r>
      <w:r>
        <w:rPr>
          <w:sz w:val="16"/>
        </w:rPr>
        <w:t>planes</w:t>
      </w:r>
      <w:r>
        <w:rPr>
          <w:spacing w:val="-3"/>
          <w:sz w:val="16"/>
        </w:rPr>
        <w:t> </w:t>
      </w:r>
      <w:r>
        <w:rPr>
          <w:sz w:val="16"/>
        </w:rPr>
        <w:t>de</w:t>
      </w:r>
      <w:r>
        <w:rPr>
          <w:spacing w:val="-6"/>
          <w:sz w:val="16"/>
        </w:rPr>
        <w:t> </w:t>
      </w:r>
      <w:r>
        <w:rPr>
          <w:sz w:val="16"/>
        </w:rPr>
        <w:t>gobierno</w:t>
      </w:r>
      <w:r>
        <w:rPr>
          <w:spacing w:val="-5"/>
          <w:sz w:val="16"/>
        </w:rPr>
        <w:t> </w:t>
      </w:r>
      <w:r>
        <w:rPr>
          <w:sz w:val="16"/>
        </w:rPr>
        <w:t>y</w:t>
      </w:r>
      <w:r>
        <w:rPr>
          <w:spacing w:val="-5"/>
          <w:sz w:val="16"/>
        </w:rPr>
        <w:t> </w:t>
      </w:r>
      <w:r>
        <w:rPr>
          <w:sz w:val="16"/>
        </w:rPr>
        <w:t>la</w:t>
      </w:r>
      <w:r>
        <w:rPr>
          <w:spacing w:val="-4"/>
          <w:sz w:val="16"/>
        </w:rPr>
        <w:t> </w:t>
      </w:r>
      <w:r>
        <w:rPr>
          <w:sz w:val="16"/>
        </w:rPr>
        <w:t>normativa</w:t>
      </w:r>
      <w:r>
        <w:rPr>
          <w:spacing w:val="-4"/>
          <w:sz w:val="16"/>
        </w:rPr>
        <w:t> </w:t>
      </w:r>
      <w:r>
        <w:rPr>
          <w:sz w:val="16"/>
        </w:rPr>
        <w:t>nacional</w:t>
      </w:r>
      <w:r>
        <w:rPr>
          <w:spacing w:val="-7"/>
          <w:sz w:val="16"/>
        </w:rPr>
        <w:t> </w:t>
      </w:r>
      <w:r>
        <w:rPr>
          <w:sz w:val="16"/>
        </w:rPr>
        <w:t>o</w:t>
      </w:r>
      <w:r>
        <w:rPr>
          <w:spacing w:val="-5"/>
          <w:sz w:val="16"/>
        </w:rPr>
        <w:t> </w:t>
      </w:r>
      <w:r>
        <w:rPr>
          <w:sz w:val="16"/>
        </w:rPr>
        <w:t>provincial</w:t>
      </w:r>
      <w:r>
        <w:rPr>
          <w:spacing w:val="-4"/>
          <w:sz w:val="16"/>
        </w:rPr>
        <w:t> </w:t>
      </w:r>
      <w:r>
        <w:rPr>
          <w:sz w:val="16"/>
        </w:rPr>
        <w:t>pertinente.</w:t>
      </w:r>
      <w:r>
        <w:rPr>
          <w:spacing w:val="-4"/>
          <w:sz w:val="16"/>
        </w:rPr>
        <w:t> </w:t>
      </w:r>
      <w:r>
        <w:rPr>
          <w:sz w:val="16"/>
        </w:rPr>
        <w:t>Por</w:t>
      </w:r>
      <w:r>
        <w:rPr>
          <w:spacing w:val="-7"/>
          <w:sz w:val="16"/>
        </w:rPr>
        <w:t> </w:t>
      </w:r>
      <w:r>
        <w:rPr>
          <w:sz w:val="16"/>
        </w:rPr>
        <w:t>otra</w:t>
      </w:r>
      <w:r>
        <w:rPr>
          <w:spacing w:val="-7"/>
          <w:sz w:val="16"/>
        </w:rPr>
        <w:t> </w:t>
      </w:r>
      <w:r>
        <w:rPr>
          <w:sz w:val="16"/>
        </w:rPr>
        <w:t>parte, se aclara que la Corte no supervisará la implementación de aquellas “acciones de atención de situaciones urgentes que el Estado pueda realizar”, en los términos del párrafo 332 de la presente Sentencia, que sean distintas a aquellas que se deriven del plan de acción indicado en el mismo</w:t>
      </w:r>
      <w:r>
        <w:rPr>
          <w:spacing w:val="-25"/>
          <w:sz w:val="16"/>
        </w:rPr>
        <w:t> </w:t>
      </w:r>
      <w:r>
        <w:rPr>
          <w:sz w:val="16"/>
        </w:rPr>
        <w:t>párrafo.</w:t>
      </w:r>
    </w:p>
    <w:p>
      <w:pPr>
        <w:spacing w:after="0" w:line="240" w:lineRule="auto"/>
        <w:jc w:val="both"/>
        <w:rPr>
          <w:sz w:val="16"/>
        </w:rPr>
        <w:sectPr>
          <w:pgSz w:w="12240" w:h="15840"/>
          <w:pgMar w:header="0" w:footer="1000" w:top="1340" w:bottom="1200" w:left="1580" w:right="1580"/>
        </w:sectPr>
      </w:pPr>
    </w:p>
    <w:p>
      <w:pPr>
        <w:pStyle w:val="ListParagraph"/>
        <w:numPr>
          <w:ilvl w:val="0"/>
          <w:numId w:val="37"/>
        </w:numPr>
        <w:tabs>
          <w:tab w:pos="830" w:val="left" w:leader="none"/>
        </w:tabs>
        <w:spacing w:line="240" w:lineRule="auto" w:before="76" w:after="0"/>
        <w:ind w:left="122" w:right="129" w:firstLine="0"/>
        <w:jc w:val="both"/>
        <w:rPr>
          <w:sz w:val="20"/>
        </w:rPr>
      </w:pPr>
      <w:r>
        <w:rPr>
          <w:sz w:val="20"/>
        </w:rPr>
        <w:t>Para la elaboración del estudio mencionado en el párrafo anterior, los especialistas</w:t>
      </w:r>
      <w:r>
        <w:rPr>
          <w:spacing w:val="-18"/>
          <w:sz w:val="20"/>
        </w:rPr>
        <w:t> </w:t>
      </w:r>
      <w:r>
        <w:rPr>
          <w:sz w:val="20"/>
        </w:rPr>
        <w:t>encargados</w:t>
      </w:r>
      <w:r>
        <w:rPr>
          <w:spacing w:val="-21"/>
          <w:sz w:val="20"/>
        </w:rPr>
        <w:t> </w:t>
      </w:r>
      <w:r>
        <w:rPr>
          <w:sz w:val="20"/>
        </w:rPr>
        <w:t>del</w:t>
      </w:r>
      <w:r>
        <w:rPr>
          <w:spacing w:val="-20"/>
          <w:sz w:val="20"/>
        </w:rPr>
        <w:t> </w:t>
      </w:r>
      <w:r>
        <w:rPr>
          <w:sz w:val="20"/>
        </w:rPr>
        <w:t>mismo</w:t>
      </w:r>
      <w:r>
        <w:rPr>
          <w:spacing w:val="-22"/>
          <w:sz w:val="20"/>
        </w:rPr>
        <w:t> </w:t>
      </w:r>
      <w:r>
        <w:rPr>
          <w:sz w:val="20"/>
        </w:rPr>
        <w:t>deberán</w:t>
      </w:r>
      <w:r>
        <w:rPr>
          <w:spacing w:val="-19"/>
          <w:sz w:val="20"/>
        </w:rPr>
        <w:t> </w:t>
      </w:r>
      <w:r>
        <w:rPr>
          <w:sz w:val="20"/>
        </w:rPr>
        <w:t>tener</w:t>
      </w:r>
      <w:r>
        <w:rPr>
          <w:spacing w:val="-22"/>
          <w:sz w:val="20"/>
        </w:rPr>
        <w:t> </w:t>
      </w:r>
      <w:r>
        <w:rPr>
          <w:sz w:val="20"/>
        </w:rPr>
        <w:t>los</w:t>
      </w:r>
      <w:r>
        <w:rPr>
          <w:spacing w:val="-21"/>
          <w:sz w:val="20"/>
        </w:rPr>
        <w:t> </w:t>
      </w:r>
      <w:r>
        <w:rPr>
          <w:sz w:val="20"/>
        </w:rPr>
        <w:t>conocimientos</w:t>
      </w:r>
      <w:r>
        <w:rPr>
          <w:spacing w:val="-21"/>
          <w:sz w:val="20"/>
        </w:rPr>
        <w:t> </w:t>
      </w:r>
      <w:r>
        <w:rPr>
          <w:sz w:val="20"/>
        </w:rPr>
        <w:t>técnicos</w:t>
      </w:r>
      <w:r>
        <w:rPr>
          <w:spacing w:val="-19"/>
          <w:sz w:val="20"/>
        </w:rPr>
        <w:t> </w:t>
      </w:r>
      <w:r>
        <w:rPr>
          <w:sz w:val="20"/>
        </w:rPr>
        <w:t>específicos requeridos para cada tarea. Además, tales especialistas deberán contar siempre con el punto</w:t>
      </w:r>
      <w:r>
        <w:rPr>
          <w:spacing w:val="-19"/>
          <w:sz w:val="20"/>
        </w:rPr>
        <w:t> </w:t>
      </w:r>
      <w:r>
        <w:rPr>
          <w:sz w:val="20"/>
        </w:rPr>
        <w:t>de</w:t>
      </w:r>
      <w:r>
        <w:rPr>
          <w:spacing w:val="-19"/>
          <w:sz w:val="20"/>
        </w:rPr>
        <w:t> </w:t>
      </w:r>
      <w:r>
        <w:rPr>
          <w:sz w:val="20"/>
        </w:rPr>
        <w:t>vista</w:t>
      </w:r>
      <w:r>
        <w:rPr>
          <w:spacing w:val="-17"/>
          <w:sz w:val="20"/>
        </w:rPr>
        <w:t> </w:t>
      </w:r>
      <w:r>
        <w:rPr>
          <w:sz w:val="20"/>
        </w:rPr>
        <w:t>de</w:t>
      </w:r>
      <w:r>
        <w:rPr>
          <w:spacing w:val="-19"/>
          <w:sz w:val="20"/>
        </w:rPr>
        <w:t> </w:t>
      </w:r>
      <w:r>
        <w:rPr>
          <w:sz w:val="20"/>
        </w:rPr>
        <w:t>las</w:t>
      </w:r>
      <w:r>
        <w:rPr>
          <w:spacing w:val="-18"/>
          <w:sz w:val="20"/>
        </w:rPr>
        <w:t> </w:t>
      </w:r>
      <w:r>
        <w:rPr>
          <w:sz w:val="20"/>
        </w:rPr>
        <w:t>comunidades</w:t>
      </w:r>
      <w:r>
        <w:rPr>
          <w:spacing w:val="-18"/>
          <w:sz w:val="20"/>
        </w:rPr>
        <w:t> </w:t>
      </w:r>
      <w:r>
        <w:rPr>
          <w:sz w:val="20"/>
        </w:rPr>
        <w:t>indígenas</w:t>
      </w:r>
      <w:r>
        <w:rPr>
          <w:spacing w:val="-18"/>
          <w:sz w:val="20"/>
        </w:rPr>
        <w:t> </w:t>
      </w:r>
      <w:r>
        <w:rPr>
          <w:sz w:val="20"/>
        </w:rPr>
        <w:t>víctimas,</w:t>
      </w:r>
      <w:r>
        <w:rPr>
          <w:spacing w:val="-19"/>
          <w:sz w:val="20"/>
        </w:rPr>
        <w:t> </w:t>
      </w:r>
      <w:r>
        <w:rPr>
          <w:sz w:val="20"/>
        </w:rPr>
        <w:t>expresado</w:t>
      </w:r>
      <w:r>
        <w:rPr>
          <w:spacing w:val="-19"/>
          <w:sz w:val="20"/>
        </w:rPr>
        <w:t> </w:t>
      </w:r>
      <w:r>
        <w:rPr>
          <w:sz w:val="20"/>
        </w:rPr>
        <w:t>conforme</w:t>
      </w:r>
      <w:r>
        <w:rPr>
          <w:spacing w:val="-18"/>
          <w:sz w:val="20"/>
        </w:rPr>
        <w:t> </w:t>
      </w:r>
      <w:r>
        <w:rPr>
          <w:sz w:val="20"/>
        </w:rPr>
        <w:t>a</w:t>
      </w:r>
      <w:r>
        <w:rPr>
          <w:spacing w:val="-17"/>
          <w:sz w:val="20"/>
        </w:rPr>
        <w:t> </w:t>
      </w:r>
      <w:r>
        <w:rPr>
          <w:sz w:val="20"/>
        </w:rPr>
        <w:t>sus</w:t>
      </w:r>
      <w:r>
        <w:rPr>
          <w:spacing w:val="-18"/>
          <w:sz w:val="20"/>
        </w:rPr>
        <w:t> </w:t>
      </w:r>
      <w:r>
        <w:rPr>
          <w:sz w:val="20"/>
        </w:rPr>
        <w:t>propias formas de toma de</w:t>
      </w:r>
      <w:r>
        <w:rPr>
          <w:spacing w:val="-11"/>
          <w:sz w:val="20"/>
        </w:rPr>
        <w:t> </w:t>
      </w:r>
      <w:r>
        <w:rPr>
          <w:sz w:val="20"/>
        </w:rPr>
        <w:t>decisiones.</w:t>
      </w:r>
    </w:p>
    <w:p>
      <w:pPr>
        <w:pStyle w:val="BodyText"/>
        <w:spacing w:before="10"/>
        <w:rPr>
          <w:sz w:val="19"/>
        </w:rPr>
      </w:pPr>
    </w:p>
    <w:p>
      <w:pPr>
        <w:pStyle w:val="ListParagraph"/>
        <w:numPr>
          <w:ilvl w:val="0"/>
          <w:numId w:val="37"/>
        </w:numPr>
        <w:tabs>
          <w:tab w:pos="830" w:val="left" w:leader="none"/>
        </w:tabs>
        <w:spacing w:line="240" w:lineRule="auto" w:before="0" w:after="0"/>
        <w:ind w:left="122" w:right="125" w:firstLine="0"/>
        <w:jc w:val="both"/>
        <w:rPr>
          <w:sz w:val="20"/>
        </w:rPr>
      </w:pPr>
      <w:r>
        <w:rPr>
          <w:sz w:val="20"/>
        </w:rPr>
        <w:t>Una vez que el Estado remita al Tribunal el estudio, el mismo será transmitido a la Comisión y a los representantes, a efectos de que remitan las observaciones que estimen</w:t>
      </w:r>
      <w:r>
        <w:rPr>
          <w:spacing w:val="-16"/>
          <w:sz w:val="20"/>
        </w:rPr>
        <w:t> </w:t>
      </w:r>
      <w:r>
        <w:rPr>
          <w:sz w:val="20"/>
        </w:rPr>
        <w:t>pertinentes.</w:t>
      </w:r>
      <w:r>
        <w:rPr>
          <w:spacing w:val="-17"/>
          <w:sz w:val="20"/>
        </w:rPr>
        <w:t> </w:t>
      </w:r>
      <w:r>
        <w:rPr>
          <w:sz w:val="20"/>
        </w:rPr>
        <w:t>La</w:t>
      </w:r>
      <w:r>
        <w:rPr>
          <w:spacing w:val="-14"/>
          <w:sz w:val="20"/>
        </w:rPr>
        <w:t> </w:t>
      </w:r>
      <w:r>
        <w:rPr>
          <w:sz w:val="20"/>
        </w:rPr>
        <w:t>Corte,</w:t>
      </w:r>
      <w:r>
        <w:rPr>
          <w:spacing w:val="-17"/>
          <w:sz w:val="20"/>
        </w:rPr>
        <w:t> </w:t>
      </w:r>
      <w:r>
        <w:rPr>
          <w:sz w:val="20"/>
        </w:rPr>
        <w:t>teniendo</w:t>
      </w:r>
      <w:r>
        <w:rPr>
          <w:spacing w:val="-15"/>
          <w:sz w:val="20"/>
        </w:rPr>
        <w:t> </w:t>
      </w:r>
      <w:r>
        <w:rPr>
          <w:sz w:val="20"/>
        </w:rPr>
        <w:t>en</w:t>
      </w:r>
      <w:r>
        <w:rPr>
          <w:spacing w:val="-13"/>
          <w:sz w:val="20"/>
        </w:rPr>
        <w:t> </w:t>
      </w:r>
      <w:r>
        <w:rPr>
          <w:sz w:val="20"/>
        </w:rPr>
        <w:t>cuenta</w:t>
      </w:r>
      <w:r>
        <w:rPr>
          <w:spacing w:val="-16"/>
          <w:sz w:val="20"/>
        </w:rPr>
        <w:t> </w:t>
      </w:r>
      <w:r>
        <w:rPr>
          <w:sz w:val="20"/>
        </w:rPr>
        <w:t>el</w:t>
      </w:r>
      <w:r>
        <w:rPr>
          <w:spacing w:val="-16"/>
          <w:sz w:val="20"/>
        </w:rPr>
        <w:t> </w:t>
      </w:r>
      <w:r>
        <w:rPr>
          <w:sz w:val="20"/>
        </w:rPr>
        <w:t>parecer</w:t>
      </w:r>
      <w:r>
        <w:rPr>
          <w:spacing w:val="-17"/>
          <w:sz w:val="20"/>
        </w:rPr>
        <w:t> </w:t>
      </w:r>
      <w:r>
        <w:rPr>
          <w:sz w:val="20"/>
        </w:rPr>
        <w:t>de</w:t>
      </w:r>
      <w:r>
        <w:rPr>
          <w:spacing w:val="-15"/>
          <w:sz w:val="20"/>
        </w:rPr>
        <w:t> </w:t>
      </w:r>
      <w:r>
        <w:rPr>
          <w:sz w:val="20"/>
        </w:rPr>
        <w:t>la</w:t>
      </w:r>
      <w:r>
        <w:rPr>
          <w:spacing w:val="-16"/>
          <w:sz w:val="20"/>
        </w:rPr>
        <w:t> </w:t>
      </w:r>
      <w:r>
        <w:rPr>
          <w:sz w:val="20"/>
        </w:rPr>
        <w:t>Comisión</w:t>
      </w:r>
      <w:r>
        <w:rPr>
          <w:spacing w:val="-15"/>
          <w:sz w:val="20"/>
        </w:rPr>
        <w:t> </w:t>
      </w:r>
      <w:r>
        <w:rPr>
          <w:sz w:val="20"/>
        </w:rPr>
        <w:t>y</w:t>
      </w:r>
      <w:r>
        <w:rPr>
          <w:spacing w:val="-16"/>
          <w:sz w:val="20"/>
        </w:rPr>
        <w:t> </w:t>
      </w:r>
      <w:r>
        <w:rPr>
          <w:sz w:val="20"/>
        </w:rPr>
        <w:t>las</w:t>
      </w:r>
      <w:r>
        <w:rPr>
          <w:spacing w:val="-17"/>
          <w:sz w:val="20"/>
        </w:rPr>
        <w:t> </w:t>
      </w:r>
      <w:r>
        <w:rPr>
          <w:sz w:val="20"/>
        </w:rPr>
        <w:t>partes, y en correspondencia con los términos de esta Sentencia, podrá disponer que el Estado requiera a los especialistas que completen o amplíen el estudio. Una vez que la Corte, luego de evaluar el estudio con base en lo señalado, así lo determine, el Estado deberá implementar</w:t>
      </w:r>
      <w:r>
        <w:rPr>
          <w:spacing w:val="-15"/>
          <w:sz w:val="20"/>
        </w:rPr>
        <w:t> </w:t>
      </w:r>
      <w:r>
        <w:rPr>
          <w:sz w:val="20"/>
        </w:rPr>
        <w:t>las</w:t>
      </w:r>
      <w:r>
        <w:rPr>
          <w:spacing w:val="-17"/>
          <w:sz w:val="20"/>
        </w:rPr>
        <w:t> </w:t>
      </w:r>
      <w:r>
        <w:rPr>
          <w:sz w:val="20"/>
        </w:rPr>
        <w:t>acciones</w:t>
      </w:r>
      <w:r>
        <w:rPr>
          <w:spacing w:val="-17"/>
          <w:sz w:val="20"/>
        </w:rPr>
        <w:t> </w:t>
      </w:r>
      <w:r>
        <w:rPr>
          <w:sz w:val="20"/>
        </w:rPr>
        <w:t>que</w:t>
      </w:r>
      <w:r>
        <w:rPr>
          <w:spacing w:val="-15"/>
          <w:sz w:val="20"/>
        </w:rPr>
        <w:t> </w:t>
      </w:r>
      <w:r>
        <w:rPr>
          <w:sz w:val="20"/>
        </w:rPr>
        <w:t>el</w:t>
      </w:r>
      <w:r>
        <w:rPr>
          <w:spacing w:val="-14"/>
          <w:sz w:val="20"/>
        </w:rPr>
        <w:t> </w:t>
      </w:r>
      <w:r>
        <w:rPr>
          <w:sz w:val="20"/>
        </w:rPr>
        <w:t>estudio</w:t>
      </w:r>
      <w:r>
        <w:rPr>
          <w:spacing w:val="-17"/>
          <w:sz w:val="20"/>
        </w:rPr>
        <w:t> </w:t>
      </w:r>
      <w:r>
        <w:rPr>
          <w:sz w:val="20"/>
        </w:rPr>
        <w:t>indique.</w:t>
      </w:r>
      <w:r>
        <w:rPr>
          <w:spacing w:val="-13"/>
          <w:sz w:val="20"/>
        </w:rPr>
        <w:t> </w:t>
      </w:r>
      <w:r>
        <w:rPr>
          <w:sz w:val="20"/>
        </w:rPr>
        <w:t>La</w:t>
      </w:r>
      <w:r>
        <w:rPr>
          <w:spacing w:val="-16"/>
          <w:sz w:val="20"/>
        </w:rPr>
        <w:t> </w:t>
      </w:r>
      <w:r>
        <w:rPr>
          <w:sz w:val="20"/>
        </w:rPr>
        <w:t>Corte</w:t>
      </w:r>
      <w:r>
        <w:rPr>
          <w:spacing w:val="-17"/>
          <w:sz w:val="20"/>
        </w:rPr>
        <w:t> </w:t>
      </w:r>
      <w:r>
        <w:rPr>
          <w:sz w:val="20"/>
        </w:rPr>
        <w:t>supervisará</w:t>
      </w:r>
      <w:r>
        <w:rPr>
          <w:spacing w:val="-16"/>
          <w:sz w:val="20"/>
        </w:rPr>
        <w:t> </w:t>
      </w:r>
      <w:r>
        <w:rPr>
          <w:sz w:val="20"/>
        </w:rPr>
        <w:t>la</w:t>
      </w:r>
      <w:r>
        <w:rPr>
          <w:spacing w:val="-13"/>
          <w:sz w:val="20"/>
        </w:rPr>
        <w:t> </w:t>
      </w:r>
      <w:r>
        <w:rPr>
          <w:sz w:val="20"/>
        </w:rPr>
        <w:t>implementación de</w:t>
      </w:r>
      <w:r>
        <w:rPr>
          <w:spacing w:val="-12"/>
          <w:sz w:val="20"/>
        </w:rPr>
        <w:t> </w:t>
      </w:r>
      <w:r>
        <w:rPr>
          <w:sz w:val="20"/>
        </w:rPr>
        <w:t>las</w:t>
      </w:r>
      <w:r>
        <w:rPr>
          <w:spacing w:val="-11"/>
          <w:sz w:val="20"/>
        </w:rPr>
        <w:t> </w:t>
      </w:r>
      <w:r>
        <w:rPr>
          <w:sz w:val="20"/>
        </w:rPr>
        <w:t>acciones</w:t>
      </w:r>
      <w:r>
        <w:rPr>
          <w:spacing w:val="-11"/>
          <w:sz w:val="20"/>
        </w:rPr>
        <w:t> </w:t>
      </w:r>
      <w:r>
        <w:rPr>
          <w:sz w:val="20"/>
        </w:rPr>
        <w:t>respectivas</w:t>
      </w:r>
      <w:r>
        <w:rPr>
          <w:spacing w:val="-11"/>
          <w:sz w:val="20"/>
        </w:rPr>
        <w:t> </w:t>
      </w:r>
      <w:r>
        <w:rPr>
          <w:sz w:val="20"/>
        </w:rPr>
        <w:t>hasta</w:t>
      </w:r>
      <w:r>
        <w:rPr>
          <w:spacing w:val="-10"/>
          <w:sz w:val="20"/>
        </w:rPr>
        <w:t> </w:t>
      </w:r>
      <w:r>
        <w:rPr>
          <w:sz w:val="20"/>
        </w:rPr>
        <w:t>que</w:t>
      </w:r>
      <w:r>
        <w:rPr>
          <w:spacing w:val="-9"/>
          <w:sz w:val="20"/>
        </w:rPr>
        <w:t> </w:t>
      </w:r>
      <w:r>
        <w:rPr>
          <w:sz w:val="20"/>
        </w:rPr>
        <w:t>evalúe</w:t>
      </w:r>
      <w:r>
        <w:rPr>
          <w:spacing w:val="-9"/>
          <w:sz w:val="20"/>
        </w:rPr>
        <w:t> </w:t>
      </w:r>
      <w:r>
        <w:rPr>
          <w:sz w:val="20"/>
        </w:rPr>
        <w:t>que</w:t>
      </w:r>
      <w:r>
        <w:rPr>
          <w:spacing w:val="-12"/>
          <w:sz w:val="20"/>
        </w:rPr>
        <w:t> </w:t>
      </w:r>
      <w:r>
        <w:rPr>
          <w:sz w:val="20"/>
        </w:rPr>
        <w:t>cuenta</w:t>
      </w:r>
      <w:r>
        <w:rPr>
          <w:spacing w:val="-10"/>
          <w:sz w:val="20"/>
        </w:rPr>
        <w:t> </w:t>
      </w:r>
      <w:r>
        <w:rPr>
          <w:sz w:val="20"/>
        </w:rPr>
        <w:t>con</w:t>
      </w:r>
      <w:r>
        <w:rPr>
          <w:spacing w:val="-9"/>
          <w:sz w:val="20"/>
        </w:rPr>
        <w:t> </w:t>
      </w:r>
      <w:r>
        <w:rPr>
          <w:sz w:val="20"/>
        </w:rPr>
        <w:t>información</w:t>
      </w:r>
      <w:r>
        <w:rPr>
          <w:spacing w:val="-9"/>
          <w:sz w:val="20"/>
        </w:rPr>
        <w:t> </w:t>
      </w:r>
      <w:r>
        <w:rPr>
          <w:sz w:val="20"/>
        </w:rPr>
        <w:t>suficiente</w:t>
      </w:r>
      <w:r>
        <w:rPr>
          <w:spacing w:val="-9"/>
          <w:sz w:val="20"/>
        </w:rPr>
        <w:t> </w:t>
      </w:r>
      <w:r>
        <w:rPr>
          <w:sz w:val="20"/>
        </w:rPr>
        <w:t>para considerar cumplida la medida de reparación</w:t>
      </w:r>
      <w:r>
        <w:rPr>
          <w:spacing w:val="-19"/>
          <w:sz w:val="20"/>
        </w:rPr>
        <w:t> </w:t>
      </w:r>
      <w:r>
        <w:rPr>
          <w:sz w:val="20"/>
        </w:rPr>
        <w:t>ordenada.</w:t>
      </w:r>
    </w:p>
    <w:p>
      <w:pPr>
        <w:pStyle w:val="BodyText"/>
        <w:spacing w:before="1"/>
      </w:pPr>
    </w:p>
    <w:p>
      <w:pPr>
        <w:pStyle w:val="ListParagraph"/>
        <w:numPr>
          <w:ilvl w:val="0"/>
          <w:numId w:val="37"/>
        </w:numPr>
        <w:tabs>
          <w:tab w:pos="830" w:val="left" w:leader="none"/>
        </w:tabs>
        <w:spacing w:line="240" w:lineRule="auto" w:before="0" w:after="0"/>
        <w:ind w:left="122" w:right="122" w:firstLine="0"/>
        <w:jc w:val="both"/>
        <w:rPr>
          <w:sz w:val="20"/>
        </w:rPr>
      </w:pPr>
      <w:r>
        <w:rPr>
          <w:sz w:val="20"/>
        </w:rPr>
        <w:t>En</w:t>
      </w:r>
      <w:r>
        <w:rPr>
          <w:spacing w:val="-17"/>
          <w:sz w:val="20"/>
        </w:rPr>
        <w:t> </w:t>
      </w:r>
      <w:r>
        <w:rPr>
          <w:sz w:val="20"/>
        </w:rPr>
        <w:t>cuanto</w:t>
      </w:r>
      <w:r>
        <w:rPr>
          <w:spacing w:val="-19"/>
          <w:sz w:val="20"/>
        </w:rPr>
        <w:t> </w:t>
      </w:r>
      <w:r>
        <w:rPr>
          <w:sz w:val="20"/>
        </w:rPr>
        <w:t>a</w:t>
      </w:r>
      <w:r>
        <w:rPr>
          <w:spacing w:val="-15"/>
          <w:sz w:val="20"/>
        </w:rPr>
        <w:t> </w:t>
      </w:r>
      <w:r>
        <w:rPr>
          <w:sz w:val="20"/>
        </w:rPr>
        <w:t>la</w:t>
      </w:r>
      <w:r>
        <w:rPr>
          <w:spacing w:val="-17"/>
          <w:sz w:val="20"/>
        </w:rPr>
        <w:t> </w:t>
      </w:r>
      <w:r>
        <w:rPr>
          <w:sz w:val="20"/>
        </w:rPr>
        <w:t>tala</w:t>
      </w:r>
      <w:r>
        <w:rPr>
          <w:spacing w:val="-15"/>
          <w:sz w:val="20"/>
        </w:rPr>
        <w:t> </w:t>
      </w:r>
      <w:r>
        <w:rPr>
          <w:sz w:val="20"/>
        </w:rPr>
        <w:t>ilegal,</w:t>
      </w:r>
      <w:r>
        <w:rPr>
          <w:spacing w:val="-16"/>
          <w:sz w:val="20"/>
        </w:rPr>
        <w:t> </w:t>
      </w:r>
      <w:r>
        <w:rPr>
          <w:sz w:val="20"/>
        </w:rPr>
        <w:t>este</w:t>
      </w:r>
      <w:r>
        <w:rPr>
          <w:spacing w:val="-19"/>
          <w:sz w:val="20"/>
        </w:rPr>
        <w:t> </w:t>
      </w:r>
      <w:r>
        <w:rPr>
          <w:sz w:val="20"/>
        </w:rPr>
        <w:t>Tribunal</w:t>
      </w:r>
      <w:r>
        <w:rPr>
          <w:spacing w:val="-17"/>
          <w:sz w:val="20"/>
        </w:rPr>
        <w:t> </w:t>
      </w:r>
      <w:r>
        <w:rPr>
          <w:sz w:val="20"/>
        </w:rPr>
        <w:t>nota</w:t>
      </w:r>
      <w:r>
        <w:rPr>
          <w:spacing w:val="-15"/>
          <w:sz w:val="20"/>
        </w:rPr>
        <w:t> </w:t>
      </w:r>
      <w:r>
        <w:rPr>
          <w:sz w:val="20"/>
        </w:rPr>
        <w:t>que</w:t>
      </w:r>
      <w:r>
        <w:rPr>
          <w:spacing w:val="-14"/>
          <w:sz w:val="20"/>
        </w:rPr>
        <w:t> </w:t>
      </w:r>
      <w:r>
        <w:rPr>
          <w:sz w:val="20"/>
        </w:rPr>
        <w:t>el</w:t>
      </w:r>
      <w:r>
        <w:rPr>
          <w:spacing w:val="-17"/>
          <w:sz w:val="20"/>
        </w:rPr>
        <w:t> </w:t>
      </w:r>
      <w:r>
        <w:rPr>
          <w:sz w:val="20"/>
        </w:rPr>
        <w:t>Estado</w:t>
      </w:r>
      <w:r>
        <w:rPr>
          <w:spacing w:val="-19"/>
          <w:sz w:val="20"/>
        </w:rPr>
        <w:t> </w:t>
      </w:r>
      <w:r>
        <w:rPr>
          <w:sz w:val="20"/>
        </w:rPr>
        <w:t>ha</w:t>
      </w:r>
      <w:r>
        <w:rPr>
          <w:spacing w:val="-15"/>
          <w:sz w:val="20"/>
        </w:rPr>
        <w:t> </w:t>
      </w:r>
      <w:r>
        <w:rPr>
          <w:sz w:val="20"/>
        </w:rPr>
        <w:t>afirmado</w:t>
      </w:r>
      <w:r>
        <w:rPr>
          <w:spacing w:val="-16"/>
          <w:sz w:val="20"/>
        </w:rPr>
        <w:t> </w:t>
      </w:r>
      <w:r>
        <w:rPr>
          <w:sz w:val="20"/>
        </w:rPr>
        <w:t>que</w:t>
      </w:r>
      <w:r>
        <w:rPr>
          <w:spacing w:val="-16"/>
          <w:sz w:val="20"/>
        </w:rPr>
        <w:t> </w:t>
      </w:r>
      <w:r>
        <w:rPr>
          <w:sz w:val="20"/>
        </w:rPr>
        <w:t>realiza tareas de “monitoreo” y “seguimiento”, inclusive a partir de “denuncias”. Por lo tanto, sin</w:t>
      </w:r>
      <w:r>
        <w:rPr>
          <w:spacing w:val="-9"/>
          <w:sz w:val="20"/>
        </w:rPr>
        <w:t> </w:t>
      </w:r>
      <w:r>
        <w:rPr>
          <w:sz w:val="20"/>
        </w:rPr>
        <w:t>perjuicio</w:t>
      </w:r>
      <w:r>
        <w:rPr>
          <w:spacing w:val="-11"/>
          <w:sz w:val="20"/>
        </w:rPr>
        <w:t> </w:t>
      </w:r>
      <w:r>
        <w:rPr>
          <w:sz w:val="20"/>
        </w:rPr>
        <w:t>de</w:t>
      </w:r>
      <w:r>
        <w:rPr>
          <w:spacing w:val="-12"/>
          <w:sz w:val="20"/>
        </w:rPr>
        <w:t> </w:t>
      </w:r>
      <w:r>
        <w:rPr>
          <w:sz w:val="20"/>
        </w:rPr>
        <w:t>las</w:t>
      </w:r>
      <w:r>
        <w:rPr>
          <w:spacing w:val="-11"/>
          <w:sz w:val="20"/>
        </w:rPr>
        <w:t> </w:t>
      </w:r>
      <w:r>
        <w:rPr>
          <w:sz w:val="20"/>
        </w:rPr>
        <w:t>medidas</w:t>
      </w:r>
      <w:r>
        <w:rPr>
          <w:spacing w:val="-11"/>
          <w:sz w:val="20"/>
        </w:rPr>
        <w:t> </w:t>
      </w:r>
      <w:r>
        <w:rPr>
          <w:sz w:val="20"/>
        </w:rPr>
        <w:t>ordenadas,</w:t>
      </w:r>
      <w:r>
        <w:rPr>
          <w:spacing w:val="-7"/>
          <w:sz w:val="20"/>
        </w:rPr>
        <w:t> </w:t>
      </w:r>
      <w:r>
        <w:rPr>
          <w:sz w:val="20"/>
        </w:rPr>
        <w:t>este</w:t>
      </w:r>
      <w:r>
        <w:rPr>
          <w:spacing w:val="-12"/>
          <w:sz w:val="20"/>
        </w:rPr>
        <w:t> </w:t>
      </w:r>
      <w:r>
        <w:rPr>
          <w:sz w:val="20"/>
        </w:rPr>
        <w:t>Tribunal</w:t>
      </w:r>
      <w:r>
        <w:rPr>
          <w:spacing w:val="-10"/>
          <w:sz w:val="20"/>
        </w:rPr>
        <w:t> </w:t>
      </w:r>
      <w:r>
        <w:rPr>
          <w:sz w:val="20"/>
        </w:rPr>
        <w:t>insta</w:t>
      </w:r>
      <w:r>
        <w:rPr>
          <w:spacing w:val="-10"/>
          <w:sz w:val="20"/>
        </w:rPr>
        <w:t> </w:t>
      </w:r>
      <w:r>
        <w:rPr>
          <w:sz w:val="20"/>
        </w:rPr>
        <w:t>al</w:t>
      </w:r>
      <w:r>
        <w:rPr>
          <w:spacing w:val="-10"/>
          <w:sz w:val="20"/>
        </w:rPr>
        <w:t> </w:t>
      </w:r>
      <w:r>
        <w:rPr>
          <w:sz w:val="20"/>
        </w:rPr>
        <w:t>Estado</w:t>
      </w:r>
      <w:r>
        <w:rPr>
          <w:spacing w:val="-11"/>
          <w:sz w:val="20"/>
        </w:rPr>
        <w:t> </w:t>
      </w:r>
      <w:r>
        <w:rPr>
          <w:sz w:val="20"/>
        </w:rPr>
        <w:t>a</w:t>
      </w:r>
      <w:r>
        <w:rPr>
          <w:spacing w:val="-10"/>
          <w:sz w:val="20"/>
        </w:rPr>
        <w:t> </w:t>
      </w:r>
      <w:r>
        <w:rPr>
          <w:sz w:val="20"/>
        </w:rPr>
        <w:t>continuar</w:t>
      </w:r>
      <w:r>
        <w:rPr>
          <w:spacing w:val="-11"/>
          <w:sz w:val="20"/>
        </w:rPr>
        <w:t> </w:t>
      </w:r>
      <w:r>
        <w:rPr>
          <w:sz w:val="20"/>
        </w:rPr>
        <w:t>con</w:t>
      </w:r>
      <w:r>
        <w:rPr>
          <w:spacing w:val="-7"/>
          <w:sz w:val="20"/>
        </w:rPr>
        <w:t> </w:t>
      </w:r>
      <w:r>
        <w:rPr>
          <w:sz w:val="20"/>
        </w:rPr>
        <w:t>sus acciones de monitoreo y seguimiento, y adoptar otras que sean eficaces a tal fin. En particular, la Corte exhorta al Estado a mantener o instalar puestos de control, en concordancia con lo que fue previsto por el Decreto 2786/07. Estas acciones no serán supervisadas por la</w:t>
      </w:r>
      <w:r>
        <w:rPr>
          <w:spacing w:val="-13"/>
          <w:sz w:val="20"/>
        </w:rPr>
        <w:t> </w:t>
      </w:r>
      <w:r>
        <w:rPr>
          <w:sz w:val="20"/>
        </w:rPr>
        <w:t>Corte.</w:t>
      </w:r>
    </w:p>
    <w:p>
      <w:pPr>
        <w:pStyle w:val="BodyText"/>
        <w:spacing w:before="10"/>
        <w:rPr>
          <w:sz w:val="19"/>
        </w:rPr>
      </w:pPr>
    </w:p>
    <w:p>
      <w:pPr>
        <w:spacing w:before="0"/>
        <w:ind w:left="974" w:right="0" w:firstLine="0"/>
        <w:jc w:val="left"/>
        <w:rPr>
          <w:i/>
          <w:sz w:val="20"/>
        </w:rPr>
      </w:pPr>
      <w:bookmarkStart w:name="_bookmark94" w:id="159"/>
      <w:bookmarkEnd w:id="159"/>
      <w:r>
        <w:rPr/>
      </w:r>
      <w:r>
        <w:rPr>
          <w:i/>
          <w:sz w:val="20"/>
        </w:rPr>
        <w:t>B.3.2 </w:t>
      </w:r>
      <w:r>
        <w:rPr>
          <w:i/>
          <w:sz w:val="20"/>
          <w:u w:val="single"/>
        </w:rPr>
        <w:t>Fondo de Desarrollo Comunitario para la cultura indígena</w:t>
      </w:r>
    </w:p>
    <w:p>
      <w:pPr>
        <w:pStyle w:val="BodyText"/>
        <w:spacing w:before="10"/>
        <w:rPr>
          <w:i/>
          <w:sz w:val="11"/>
        </w:rPr>
      </w:pPr>
    </w:p>
    <w:p>
      <w:pPr>
        <w:pStyle w:val="ListParagraph"/>
        <w:numPr>
          <w:ilvl w:val="0"/>
          <w:numId w:val="37"/>
        </w:numPr>
        <w:tabs>
          <w:tab w:pos="830" w:val="left" w:leader="none"/>
        </w:tabs>
        <w:spacing w:line="240" w:lineRule="auto" w:before="100" w:after="0"/>
        <w:ind w:left="122" w:right="122" w:firstLine="0"/>
        <w:jc w:val="both"/>
        <w:rPr>
          <w:sz w:val="20"/>
        </w:rPr>
      </w:pPr>
      <w:r>
        <w:rPr>
          <w:sz w:val="20"/>
        </w:rPr>
        <w:t>La </w:t>
      </w:r>
      <w:r>
        <w:rPr>
          <w:b/>
          <w:i/>
          <w:sz w:val="20"/>
        </w:rPr>
        <w:t>Corte </w:t>
      </w:r>
      <w:r>
        <w:rPr>
          <w:sz w:val="20"/>
        </w:rPr>
        <w:t>recuerda que ha determinado una lesión de los derechos, relacionados entre</w:t>
      </w:r>
      <w:r>
        <w:rPr>
          <w:spacing w:val="-7"/>
          <w:sz w:val="20"/>
        </w:rPr>
        <w:t> </w:t>
      </w:r>
      <w:r>
        <w:rPr>
          <w:sz w:val="20"/>
        </w:rPr>
        <w:t>sí,</w:t>
      </w:r>
      <w:r>
        <w:rPr>
          <w:spacing w:val="-6"/>
          <w:sz w:val="20"/>
        </w:rPr>
        <w:t> </w:t>
      </w:r>
      <w:r>
        <w:rPr>
          <w:sz w:val="20"/>
        </w:rPr>
        <w:t>a</w:t>
      </w:r>
      <w:r>
        <w:rPr>
          <w:spacing w:val="-10"/>
          <w:sz w:val="20"/>
        </w:rPr>
        <w:t> </w:t>
      </w:r>
      <w:r>
        <w:rPr>
          <w:sz w:val="20"/>
        </w:rPr>
        <w:t>la</w:t>
      </w:r>
      <w:r>
        <w:rPr>
          <w:spacing w:val="-8"/>
          <w:sz w:val="20"/>
        </w:rPr>
        <w:t> </w:t>
      </w:r>
      <w:r>
        <w:rPr>
          <w:sz w:val="20"/>
        </w:rPr>
        <w:t>identidad</w:t>
      </w:r>
      <w:r>
        <w:rPr>
          <w:spacing w:val="-7"/>
          <w:sz w:val="20"/>
        </w:rPr>
        <w:t> </w:t>
      </w:r>
      <w:r>
        <w:rPr>
          <w:sz w:val="20"/>
        </w:rPr>
        <w:t>cultural,</w:t>
      </w:r>
      <w:r>
        <w:rPr>
          <w:spacing w:val="-8"/>
          <w:sz w:val="20"/>
        </w:rPr>
        <w:t> </w:t>
      </w:r>
      <w:r>
        <w:rPr>
          <w:sz w:val="20"/>
        </w:rPr>
        <w:t>al</w:t>
      </w:r>
      <w:r>
        <w:rPr>
          <w:spacing w:val="-7"/>
          <w:sz w:val="20"/>
        </w:rPr>
        <w:t> </w:t>
      </w:r>
      <w:r>
        <w:rPr>
          <w:sz w:val="20"/>
        </w:rPr>
        <w:t>ambiente</w:t>
      </w:r>
      <w:r>
        <w:rPr>
          <w:spacing w:val="-3"/>
          <w:sz w:val="20"/>
        </w:rPr>
        <w:t> </w:t>
      </w:r>
      <w:r>
        <w:rPr>
          <w:sz w:val="20"/>
        </w:rPr>
        <w:t>sano,</w:t>
      </w:r>
      <w:r>
        <w:rPr>
          <w:spacing w:val="-8"/>
          <w:sz w:val="20"/>
        </w:rPr>
        <w:t> </w:t>
      </w:r>
      <w:r>
        <w:rPr>
          <w:sz w:val="20"/>
        </w:rPr>
        <w:t>a</w:t>
      </w:r>
      <w:r>
        <w:rPr>
          <w:spacing w:val="-8"/>
          <w:sz w:val="20"/>
        </w:rPr>
        <w:t> </w:t>
      </w:r>
      <w:r>
        <w:rPr>
          <w:sz w:val="20"/>
        </w:rPr>
        <w:t>la</w:t>
      </w:r>
      <w:r>
        <w:rPr>
          <w:spacing w:val="-6"/>
          <w:sz w:val="20"/>
        </w:rPr>
        <w:t> </w:t>
      </w:r>
      <w:r>
        <w:rPr>
          <w:sz w:val="20"/>
        </w:rPr>
        <w:t>alimentación</w:t>
      </w:r>
      <w:r>
        <w:rPr>
          <w:spacing w:val="-5"/>
          <w:sz w:val="20"/>
        </w:rPr>
        <w:t> </w:t>
      </w:r>
      <w:r>
        <w:rPr>
          <w:sz w:val="20"/>
        </w:rPr>
        <w:t>adecuada</w:t>
      </w:r>
      <w:r>
        <w:rPr>
          <w:spacing w:val="-6"/>
          <w:sz w:val="20"/>
        </w:rPr>
        <w:t> </w:t>
      </w:r>
      <w:r>
        <w:rPr>
          <w:sz w:val="20"/>
        </w:rPr>
        <w:t>y</w:t>
      </w:r>
      <w:r>
        <w:rPr>
          <w:spacing w:val="-8"/>
          <w:sz w:val="20"/>
        </w:rPr>
        <w:t> </w:t>
      </w:r>
      <w:r>
        <w:rPr>
          <w:sz w:val="20"/>
        </w:rPr>
        <w:t>al</w:t>
      </w:r>
      <w:r>
        <w:rPr>
          <w:spacing w:val="-7"/>
          <w:sz w:val="20"/>
        </w:rPr>
        <w:t> </w:t>
      </w:r>
      <w:r>
        <w:rPr>
          <w:sz w:val="20"/>
        </w:rPr>
        <w:t>agua.</w:t>
      </w:r>
    </w:p>
    <w:p>
      <w:pPr>
        <w:pStyle w:val="BodyText"/>
        <w:spacing w:before="11"/>
        <w:rPr>
          <w:sz w:val="19"/>
        </w:rPr>
      </w:pPr>
    </w:p>
    <w:p>
      <w:pPr>
        <w:pStyle w:val="ListParagraph"/>
        <w:numPr>
          <w:ilvl w:val="0"/>
          <w:numId w:val="37"/>
        </w:numPr>
        <w:tabs>
          <w:tab w:pos="830" w:val="left" w:leader="none"/>
        </w:tabs>
        <w:spacing w:line="240" w:lineRule="auto" w:before="0" w:after="0"/>
        <w:ind w:left="122" w:right="126" w:firstLine="0"/>
        <w:jc w:val="both"/>
        <w:rPr>
          <w:sz w:val="20"/>
        </w:rPr>
      </w:pPr>
      <w:r>
        <w:rPr>
          <w:sz w:val="20"/>
        </w:rPr>
        <w:t>En vista de lo anterior, la Corte estima apropiado, como lo ha hecho en casos anteriores</w:t>
      </w:r>
      <w:r>
        <w:rPr>
          <w:position w:val="8"/>
          <w:sz w:val="14"/>
        </w:rPr>
        <w:t>326</w:t>
      </w:r>
      <w:r>
        <w:rPr>
          <w:sz w:val="20"/>
        </w:rPr>
        <w:t>, ordenar al Estado la creación de un fondo de desarrollo comunitario (en adelante también “Fondo”) a efectos, principalmente, de reparar el daño a la identidad cultural, y considerando que funge también como compensación del daño material e inmaterial sufrido. En este sentido, dicho Fondo es adicional a cualquier otro beneficio presente o futuro que corresponda a las comunidades con motivo de los deberes generales de desarrollo del</w:t>
      </w:r>
      <w:r>
        <w:rPr>
          <w:spacing w:val="-12"/>
          <w:sz w:val="20"/>
        </w:rPr>
        <w:t> </w:t>
      </w:r>
      <w:r>
        <w:rPr>
          <w:sz w:val="20"/>
        </w:rPr>
        <w:t>Estado</w:t>
      </w:r>
      <w:r>
        <w:rPr>
          <w:position w:val="8"/>
          <w:sz w:val="14"/>
        </w:rPr>
        <w:t>327</w:t>
      </w:r>
      <w:r>
        <w:rPr>
          <w:sz w:val="20"/>
        </w:rPr>
        <w:t>.</w:t>
      </w:r>
    </w:p>
    <w:p>
      <w:pPr>
        <w:pStyle w:val="BodyText"/>
        <w:spacing w:before="5"/>
      </w:pPr>
    </w:p>
    <w:p>
      <w:pPr>
        <w:pStyle w:val="ListParagraph"/>
        <w:numPr>
          <w:ilvl w:val="0"/>
          <w:numId w:val="37"/>
        </w:numPr>
        <w:tabs>
          <w:tab w:pos="830" w:val="left" w:leader="none"/>
        </w:tabs>
        <w:spacing w:line="240" w:lineRule="auto" w:before="0" w:after="0"/>
        <w:ind w:left="122" w:right="124" w:firstLine="0"/>
        <w:jc w:val="both"/>
        <w:rPr>
          <w:sz w:val="20"/>
        </w:rPr>
      </w:pPr>
      <w:r>
        <w:rPr>
          <w:sz w:val="20"/>
        </w:rPr>
        <w:t>En</w:t>
      </w:r>
      <w:r>
        <w:rPr>
          <w:spacing w:val="-7"/>
          <w:sz w:val="20"/>
        </w:rPr>
        <w:t> </w:t>
      </w:r>
      <w:r>
        <w:rPr>
          <w:sz w:val="20"/>
        </w:rPr>
        <w:t>la</w:t>
      </w:r>
      <w:r>
        <w:rPr>
          <w:spacing w:val="-8"/>
          <w:sz w:val="20"/>
        </w:rPr>
        <w:t> </w:t>
      </w:r>
      <w:r>
        <w:rPr>
          <w:sz w:val="20"/>
        </w:rPr>
        <w:t>presente</w:t>
      </w:r>
      <w:r>
        <w:rPr>
          <w:spacing w:val="-7"/>
          <w:sz w:val="20"/>
        </w:rPr>
        <w:t> </w:t>
      </w:r>
      <w:r>
        <w:rPr>
          <w:sz w:val="20"/>
        </w:rPr>
        <w:t>Sentencia,</w:t>
      </w:r>
      <w:r>
        <w:rPr>
          <w:spacing w:val="-8"/>
          <w:sz w:val="20"/>
        </w:rPr>
        <w:t> </w:t>
      </w:r>
      <w:r>
        <w:rPr>
          <w:sz w:val="20"/>
        </w:rPr>
        <w:t>la</w:t>
      </w:r>
      <w:r>
        <w:rPr>
          <w:spacing w:val="-6"/>
          <w:sz w:val="20"/>
        </w:rPr>
        <w:t> </w:t>
      </w:r>
      <w:r>
        <w:rPr>
          <w:sz w:val="20"/>
        </w:rPr>
        <w:t>Corte</w:t>
      </w:r>
      <w:r>
        <w:rPr>
          <w:spacing w:val="-7"/>
          <w:sz w:val="20"/>
        </w:rPr>
        <w:t> </w:t>
      </w:r>
      <w:r>
        <w:rPr>
          <w:sz w:val="20"/>
        </w:rPr>
        <w:t>estableció</w:t>
      </w:r>
      <w:r>
        <w:rPr>
          <w:spacing w:val="-7"/>
          <w:sz w:val="20"/>
        </w:rPr>
        <w:t> </w:t>
      </w:r>
      <w:r>
        <w:rPr>
          <w:sz w:val="20"/>
        </w:rPr>
        <w:t>una</w:t>
      </w:r>
      <w:r>
        <w:rPr>
          <w:spacing w:val="-8"/>
          <w:sz w:val="20"/>
        </w:rPr>
        <w:t> </w:t>
      </w:r>
      <w:r>
        <w:rPr>
          <w:sz w:val="20"/>
        </w:rPr>
        <w:t>lesión</w:t>
      </w:r>
      <w:r>
        <w:rPr>
          <w:spacing w:val="-6"/>
          <w:sz w:val="20"/>
        </w:rPr>
        <w:t> </w:t>
      </w:r>
      <w:r>
        <w:rPr>
          <w:sz w:val="20"/>
        </w:rPr>
        <w:t>a</w:t>
      </w:r>
      <w:r>
        <w:rPr>
          <w:spacing w:val="-6"/>
          <w:sz w:val="20"/>
        </w:rPr>
        <w:t> </w:t>
      </w:r>
      <w:r>
        <w:rPr>
          <w:sz w:val="20"/>
        </w:rPr>
        <w:t>la</w:t>
      </w:r>
      <w:r>
        <w:rPr>
          <w:spacing w:val="-8"/>
          <w:sz w:val="20"/>
        </w:rPr>
        <w:t> </w:t>
      </w:r>
      <w:r>
        <w:rPr>
          <w:sz w:val="20"/>
        </w:rPr>
        <w:t>identidad</w:t>
      </w:r>
      <w:r>
        <w:rPr>
          <w:spacing w:val="-7"/>
          <w:sz w:val="20"/>
        </w:rPr>
        <w:t> </w:t>
      </w:r>
      <w:r>
        <w:rPr>
          <w:sz w:val="20"/>
        </w:rPr>
        <w:t>cultural</w:t>
      </w:r>
      <w:r>
        <w:rPr>
          <w:spacing w:val="-7"/>
          <w:sz w:val="20"/>
        </w:rPr>
        <w:t> </w:t>
      </w:r>
      <w:r>
        <w:rPr>
          <w:sz w:val="20"/>
        </w:rPr>
        <w:t>de las comunidades indígenas víctimas, relacionada con recursos naturales y alimentarios. En consecuencia, la Corte ordena que el fondo de desarrollo comunitario sea destinado a acciones dirigidas a la recuperación de la cultura indígena, incluyendo entre sus objetivos, sin perjuicio de otros posibles, el desarrollo de programas atinentes a seguridad alimentaria y documentación, enseñanza o difusión de la historia de las tradiciones de las comunidades indígenas víctimas. La determinación de los objetivos puntuales a los que debe destinarse el Fondo, que deben contemplar los indicados, deberá ser decidida por las comunidades indígenas víctimas, y comunicada a las autoridades</w:t>
      </w:r>
      <w:r>
        <w:rPr>
          <w:spacing w:val="32"/>
          <w:sz w:val="20"/>
        </w:rPr>
        <w:t> </w:t>
      </w:r>
      <w:r>
        <w:rPr>
          <w:sz w:val="20"/>
        </w:rPr>
        <w:t>estatales</w:t>
      </w:r>
      <w:r>
        <w:rPr>
          <w:spacing w:val="34"/>
          <w:sz w:val="20"/>
        </w:rPr>
        <w:t> </w:t>
      </w:r>
      <w:r>
        <w:rPr>
          <w:sz w:val="20"/>
        </w:rPr>
        <w:t>y</w:t>
      </w:r>
      <w:r>
        <w:rPr>
          <w:spacing w:val="34"/>
          <w:sz w:val="20"/>
        </w:rPr>
        <w:t> </w:t>
      </w:r>
      <w:r>
        <w:rPr>
          <w:sz w:val="20"/>
        </w:rPr>
        <w:t>a</w:t>
      </w:r>
      <w:r>
        <w:rPr>
          <w:spacing w:val="33"/>
          <w:sz w:val="20"/>
        </w:rPr>
        <w:t> </w:t>
      </w:r>
      <w:r>
        <w:rPr>
          <w:sz w:val="20"/>
        </w:rPr>
        <w:t>la</w:t>
      </w:r>
      <w:r>
        <w:rPr>
          <w:spacing w:val="33"/>
          <w:sz w:val="20"/>
        </w:rPr>
        <w:t> </w:t>
      </w:r>
      <w:r>
        <w:rPr>
          <w:sz w:val="20"/>
        </w:rPr>
        <w:t>Corte</w:t>
      </w:r>
      <w:r>
        <w:rPr>
          <w:spacing w:val="34"/>
          <w:sz w:val="20"/>
        </w:rPr>
        <w:t> </w:t>
      </w:r>
      <w:r>
        <w:rPr>
          <w:sz w:val="20"/>
        </w:rPr>
        <w:t>en</w:t>
      </w:r>
      <w:r>
        <w:rPr>
          <w:spacing w:val="33"/>
          <w:sz w:val="20"/>
        </w:rPr>
        <w:t> </w:t>
      </w:r>
      <w:r>
        <w:rPr>
          <w:sz w:val="20"/>
        </w:rPr>
        <w:t>el</w:t>
      </w:r>
      <w:r>
        <w:rPr>
          <w:spacing w:val="38"/>
          <w:sz w:val="20"/>
        </w:rPr>
        <w:t> </w:t>
      </w:r>
      <w:r>
        <w:rPr>
          <w:sz w:val="20"/>
        </w:rPr>
        <w:t>plazo</w:t>
      </w:r>
      <w:r>
        <w:rPr>
          <w:spacing w:val="33"/>
          <w:sz w:val="20"/>
        </w:rPr>
        <w:t> </w:t>
      </w:r>
      <w:r>
        <w:rPr>
          <w:sz w:val="20"/>
        </w:rPr>
        <w:t>máximo</w:t>
      </w:r>
      <w:r>
        <w:rPr>
          <w:spacing w:val="32"/>
          <w:sz w:val="20"/>
        </w:rPr>
        <w:t> </w:t>
      </w:r>
      <w:r>
        <w:rPr>
          <w:sz w:val="20"/>
        </w:rPr>
        <w:t>de</w:t>
      </w:r>
      <w:r>
        <w:rPr>
          <w:spacing w:val="31"/>
          <w:sz w:val="20"/>
        </w:rPr>
        <w:t> </w:t>
      </w:r>
      <w:r>
        <w:rPr>
          <w:sz w:val="20"/>
        </w:rPr>
        <w:t>seis</w:t>
      </w:r>
      <w:r>
        <w:rPr>
          <w:spacing w:val="32"/>
          <w:sz w:val="20"/>
        </w:rPr>
        <w:t> </w:t>
      </w:r>
      <w:r>
        <w:rPr>
          <w:sz w:val="20"/>
        </w:rPr>
        <w:t>meses</w:t>
      </w:r>
      <w:r>
        <w:rPr>
          <w:spacing w:val="32"/>
          <w:sz w:val="20"/>
        </w:rPr>
        <w:t> </w:t>
      </w:r>
      <w:r>
        <w:rPr>
          <w:sz w:val="20"/>
        </w:rPr>
        <w:t>a</w:t>
      </w:r>
      <w:r>
        <w:rPr>
          <w:spacing w:val="33"/>
          <w:sz w:val="20"/>
        </w:rPr>
        <w:t> </w:t>
      </w:r>
      <w:r>
        <w:rPr>
          <w:sz w:val="20"/>
        </w:rPr>
        <w:t>partir</w:t>
      </w:r>
      <w:r>
        <w:rPr>
          <w:spacing w:val="32"/>
          <w:sz w:val="20"/>
        </w:rPr>
        <w:t> </w:t>
      </w:r>
      <w:r>
        <w:rPr>
          <w:sz w:val="20"/>
        </w:rPr>
        <w:t>de</w:t>
      </w:r>
      <w:r>
        <w:rPr>
          <w:spacing w:val="37"/>
          <w:sz w:val="20"/>
        </w:rPr>
        <w:t> </w:t>
      </w:r>
      <w:r>
        <w:rPr>
          <w:sz w:val="20"/>
        </w:rPr>
        <w:t>la</w:t>
      </w:r>
    </w:p>
    <w:p>
      <w:pPr>
        <w:pStyle w:val="BodyText"/>
        <w:spacing w:before="4"/>
        <w:rPr>
          <w:sz w:val="17"/>
        </w:rPr>
      </w:pPr>
      <w:r>
        <w:rPr/>
        <w:pict>
          <v:line style="position:absolute;mso-position-horizontal-relative:page;mso-position-vertical-relative:paragraph;z-index:3568;mso-wrap-distance-left:0;mso-wrap-distance-right:0" from="85.103996pt,12.868093pt" to="229.123996pt,12.868093pt" stroked="true" strokeweight=".71997pt" strokecolor="#000000">
            <v:stroke dashstyle="solid"/>
            <w10:wrap type="topAndBottom"/>
          </v:line>
        </w:pict>
      </w:r>
    </w:p>
    <w:p>
      <w:pPr>
        <w:tabs>
          <w:tab w:pos="829" w:val="left" w:leader="none"/>
        </w:tabs>
        <w:spacing w:before="71"/>
        <w:ind w:left="122" w:right="118" w:firstLine="0"/>
        <w:jc w:val="left"/>
        <w:rPr>
          <w:sz w:val="16"/>
        </w:rPr>
      </w:pPr>
      <w:r>
        <w:rPr>
          <w:position w:val="6"/>
          <w:sz w:val="10"/>
        </w:rPr>
        <w:t>326</w:t>
        <w:tab/>
      </w:r>
      <w:r>
        <w:rPr>
          <w:i/>
          <w:sz w:val="16"/>
        </w:rPr>
        <w:t>Cfr. Caso Comunidad Indígena Yakye Axa Vs. Paraguay</w:t>
      </w:r>
      <w:r>
        <w:rPr>
          <w:sz w:val="16"/>
        </w:rPr>
        <w:t>, párr. 205, y </w:t>
      </w:r>
      <w:r>
        <w:rPr>
          <w:i/>
          <w:sz w:val="16"/>
        </w:rPr>
        <w:t>Caso Pueblos Kaliña </w:t>
      </w:r>
      <w:r>
        <w:rPr>
          <w:i/>
          <w:spacing w:val="44"/>
          <w:sz w:val="16"/>
        </w:rPr>
        <w:t> </w:t>
      </w:r>
      <w:r>
        <w:rPr>
          <w:i/>
          <w:sz w:val="16"/>
        </w:rPr>
        <w:t>y</w:t>
      </w:r>
      <w:r>
        <w:rPr>
          <w:i/>
          <w:spacing w:val="7"/>
          <w:sz w:val="16"/>
        </w:rPr>
        <w:t> </w:t>
      </w:r>
      <w:r>
        <w:rPr>
          <w:i/>
          <w:sz w:val="16"/>
        </w:rPr>
        <w:t>Lokono</w:t>
      </w:r>
      <w:r>
        <w:rPr>
          <w:i/>
          <w:w w:val="100"/>
          <w:sz w:val="16"/>
        </w:rPr>
        <w:t> </w:t>
      </w:r>
      <w:r>
        <w:rPr>
          <w:i/>
          <w:sz w:val="16"/>
        </w:rPr>
        <w:t>Vs. Surinam</w:t>
      </w:r>
      <w:r>
        <w:rPr>
          <w:sz w:val="16"/>
        </w:rPr>
        <w:t>, párr.</w:t>
      </w:r>
      <w:r>
        <w:rPr>
          <w:spacing w:val="-7"/>
          <w:sz w:val="16"/>
        </w:rPr>
        <w:t> </w:t>
      </w:r>
      <w:r>
        <w:rPr>
          <w:sz w:val="16"/>
        </w:rPr>
        <w:t>295.</w:t>
      </w:r>
    </w:p>
    <w:p>
      <w:pPr>
        <w:pStyle w:val="BodyText"/>
        <w:spacing w:before="1"/>
        <w:rPr>
          <w:sz w:val="16"/>
        </w:rPr>
      </w:pPr>
    </w:p>
    <w:p>
      <w:pPr>
        <w:tabs>
          <w:tab w:pos="829" w:val="left" w:leader="none"/>
        </w:tabs>
        <w:spacing w:before="0"/>
        <w:ind w:left="122" w:right="0" w:firstLine="0"/>
        <w:jc w:val="left"/>
        <w:rPr>
          <w:sz w:val="16"/>
        </w:rPr>
      </w:pPr>
      <w:r>
        <w:rPr>
          <w:position w:val="6"/>
          <w:sz w:val="10"/>
        </w:rPr>
        <w:t>327</w:t>
        <w:tab/>
      </w:r>
      <w:r>
        <w:rPr>
          <w:i/>
          <w:sz w:val="16"/>
        </w:rPr>
        <w:t>Cfr.</w:t>
      </w:r>
      <w:r>
        <w:rPr>
          <w:i/>
          <w:spacing w:val="15"/>
          <w:sz w:val="16"/>
        </w:rPr>
        <w:t> </w:t>
      </w:r>
      <w:r>
        <w:rPr>
          <w:i/>
          <w:sz w:val="16"/>
        </w:rPr>
        <w:t>Caso</w:t>
      </w:r>
      <w:r>
        <w:rPr>
          <w:i/>
          <w:spacing w:val="16"/>
          <w:sz w:val="16"/>
        </w:rPr>
        <w:t> </w:t>
      </w:r>
      <w:r>
        <w:rPr>
          <w:i/>
          <w:sz w:val="16"/>
        </w:rPr>
        <w:t>Comunidad</w:t>
      </w:r>
      <w:r>
        <w:rPr>
          <w:i/>
          <w:spacing w:val="18"/>
          <w:sz w:val="16"/>
        </w:rPr>
        <w:t> </w:t>
      </w:r>
      <w:r>
        <w:rPr>
          <w:i/>
          <w:sz w:val="16"/>
        </w:rPr>
        <w:t>Garífuna</w:t>
      </w:r>
      <w:r>
        <w:rPr>
          <w:i/>
          <w:spacing w:val="15"/>
          <w:sz w:val="16"/>
        </w:rPr>
        <w:t> </w:t>
      </w:r>
      <w:r>
        <w:rPr>
          <w:i/>
          <w:sz w:val="16"/>
        </w:rPr>
        <w:t>de</w:t>
      </w:r>
      <w:r>
        <w:rPr>
          <w:i/>
          <w:spacing w:val="16"/>
          <w:sz w:val="16"/>
        </w:rPr>
        <w:t> </w:t>
      </w:r>
      <w:r>
        <w:rPr>
          <w:i/>
          <w:sz w:val="16"/>
        </w:rPr>
        <w:t>Punta</w:t>
      </w:r>
      <w:r>
        <w:rPr>
          <w:i/>
          <w:spacing w:val="15"/>
          <w:sz w:val="16"/>
        </w:rPr>
        <w:t> </w:t>
      </w:r>
      <w:r>
        <w:rPr>
          <w:i/>
          <w:sz w:val="16"/>
        </w:rPr>
        <w:t>Piedra</w:t>
      </w:r>
      <w:r>
        <w:rPr>
          <w:i/>
          <w:spacing w:val="15"/>
          <w:sz w:val="16"/>
        </w:rPr>
        <w:t> </w:t>
      </w:r>
      <w:r>
        <w:rPr>
          <w:i/>
          <w:sz w:val="16"/>
        </w:rPr>
        <w:t>y</w:t>
      </w:r>
      <w:r>
        <w:rPr>
          <w:i/>
          <w:spacing w:val="14"/>
          <w:sz w:val="16"/>
        </w:rPr>
        <w:t> </w:t>
      </w:r>
      <w:r>
        <w:rPr>
          <w:i/>
          <w:sz w:val="16"/>
        </w:rPr>
        <w:t>sus</w:t>
      </w:r>
      <w:r>
        <w:rPr>
          <w:i/>
          <w:spacing w:val="16"/>
          <w:sz w:val="16"/>
        </w:rPr>
        <w:t> </w:t>
      </w:r>
      <w:r>
        <w:rPr>
          <w:i/>
          <w:sz w:val="16"/>
        </w:rPr>
        <w:t>miembros</w:t>
      </w:r>
      <w:r>
        <w:rPr>
          <w:i/>
          <w:spacing w:val="16"/>
          <w:sz w:val="16"/>
        </w:rPr>
        <w:t> </w:t>
      </w:r>
      <w:r>
        <w:rPr>
          <w:i/>
          <w:sz w:val="16"/>
        </w:rPr>
        <w:t>Vs</w:t>
      </w:r>
      <w:r>
        <w:rPr>
          <w:i/>
          <w:spacing w:val="16"/>
          <w:sz w:val="16"/>
        </w:rPr>
        <w:t> </w:t>
      </w:r>
      <w:r>
        <w:rPr>
          <w:i/>
          <w:sz w:val="16"/>
        </w:rPr>
        <w:t>Honduras</w:t>
      </w:r>
      <w:r>
        <w:rPr>
          <w:sz w:val="16"/>
        </w:rPr>
        <w:t>,</w:t>
      </w:r>
      <w:r>
        <w:rPr>
          <w:spacing w:val="15"/>
          <w:sz w:val="16"/>
        </w:rPr>
        <w:t> </w:t>
      </w:r>
      <w:r>
        <w:rPr>
          <w:sz w:val="16"/>
        </w:rPr>
        <w:t>párrs.</w:t>
      </w:r>
      <w:r>
        <w:rPr>
          <w:spacing w:val="15"/>
          <w:sz w:val="16"/>
        </w:rPr>
        <w:t> </w:t>
      </w:r>
      <w:r>
        <w:rPr>
          <w:sz w:val="16"/>
        </w:rPr>
        <w:t>332</w:t>
      </w:r>
      <w:r>
        <w:rPr>
          <w:spacing w:val="16"/>
          <w:sz w:val="16"/>
        </w:rPr>
        <w:t> </w:t>
      </w:r>
      <w:r>
        <w:rPr>
          <w:sz w:val="16"/>
        </w:rPr>
        <w:t>a</w:t>
      </w:r>
      <w:r>
        <w:rPr>
          <w:spacing w:val="13"/>
          <w:sz w:val="16"/>
        </w:rPr>
        <w:t> </w:t>
      </w:r>
      <w:r>
        <w:rPr>
          <w:sz w:val="16"/>
        </w:rPr>
        <w:t>336,</w:t>
      </w:r>
      <w:r>
        <w:rPr>
          <w:spacing w:val="12"/>
          <w:sz w:val="16"/>
        </w:rPr>
        <w:t> </w:t>
      </w:r>
      <w:r>
        <w:rPr>
          <w:sz w:val="16"/>
        </w:rPr>
        <w:t>y</w:t>
      </w:r>
    </w:p>
    <w:p>
      <w:pPr>
        <w:spacing w:before="0"/>
        <w:ind w:left="122" w:right="0" w:firstLine="0"/>
        <w:jc w:val="left"/>
        <w:rPr>
          <w:sz w:val="16"/>
        </w:rPr>
      </w:pPr>
      <w:r>
        <w:rPr>
          <w:i/>
          <w:sz w:val="16"/>
        </w:rPr>
        <w:t>Caso Pueblos Kaliña y Lokono Vs. Surinam</w:t>
      </w:r>
      <w:r>
        <w:rPr>
          <w:sz w:val="16"/>
        </w:rPr>
        <w:t>, párr. 295.</w:t>
      </w:r>
    </w:p>
    <w:p>
      <w:pPr>
        <w:spacing w:after="0"/>
        <w:jc w:val="left"/>
        <w:rPr>
          <w:sz w:val="16"/>
        </w:rPr>
        <w:sectPr>
          <w:pgSz w:w="12240" w:h="15840"/>
          <w:pgMar w:header="0" w:footer="1000" w:top="1340" w:bottom="1200" w:left="1580" w:right="1580"/>
        </w:sectPr>
      </w:pPr>
    </w:p>
    <w:p>
      <w:pPr>
        <w:pStyle w:val="BodyText"/>
        <w:spacing w:before="76"/>
        <w:ind w:left="102" w:right="109"/>
        <w:jc w:val="both"/>
      </w:pPr>
      <w:r>
        <w:rPr/>
        <w:t>notificación de la presente Sentencia. El diseño y ejecución de los programas respectivos,</w:t>
      </w:r>
      <w:r>
        <w:rPr>
          <w:spacing w:val="-12"/>
        </w:rPr>
        <w:t> </w:t>
      </w:r>
      <w:r>
        <w:rPr/>
        <w:t>a</w:t>
      </w:r>
      <w:r>
        <w:rPr>
          <w:spacing w:val="-11"/>
        </w:rPr>
        <w:t> </w:t>
      </w:r>
      <w:r>
        <w:rPr/>
        <w:t>partir</w:t>
      </w:r>
      <w:r>
        <w:rPr>
          <w:spacing w:val="-12"/>
        </w:rPr>
        <w:t> </w:t>
      </w:r>
      <w:r>
        <w:rPr/>
        <w:t>de</w:t>
      </w:r>
      <w:r>
        <w:rPr>
          <w:spacing w:val="-13"/>
        </w:rPr>
        <w:t> </w:t>
      </w:r>
      <w:r>
        <w:rPr/>
        <w:t>los</w:t>
      </w:r>
      <w:r>
        <w:rPr>
          <w:spacing w:val="-10"/>
        </w:rPr>
        <w:t> </w:t>
      </w:r>
      <w:r>
        <w:rPr/>
        <w:t>objetivos</w:t>
      </w:r>
      <w:r>
        <w:rPr>
          <w:spacing w:val="-12"/>
        </w:rPr>
        <w:t> </w:t>
      </w:r>
      <w:r>
        <w:rPr/>
        <w:t>fijados,</w:t>
      </w:r>
      <w:r>
        <w:rPr>
          <w:spacing w:val="-12"/>
        </w:rPr>
        <w:t> </w:t>
      </w:r>
      <w:r>
        <w:rPr/>
        <w:t>deberá</w:t>
      </w:r>
      <w:r>
        <w:rPr>
          <w:spacing w:val="-9"/>
        </w:rPr>
        <w:t> </w:t>
      </w:r>
      <w:r>
        <w:rPr/>
        <w:t>contar</w:t>
      </w:r>
      <w:r>
        <w:rPr>
          <w:spacing w:val="-10"/>
        </w:rPr>
        <w:t> </w:t>
      </w:r>
      <w:r>
        <w:rPr/>
        <w:t>con</w:t>
      </w:r>
      <w:r>
        <w:rPr>
          <w:spacing w:val="-10"/>
        </w:rPr>
        <w:t> </w:t>
      </w:r>
      <w:r>
        <w:rPr/>
        <w:t>la</w:t>
      </w:r>
      <w:r>
        <w:rPr>
          <w:spacing w:val="-11"/>
        </w:rPr>
        <w:t> </w:t>
      </w:r>
      <w:r>
        <w:rPr/>
        <w:t>participación</w:t>
      </w:r>
      <w:r>
        <w:rPr>
          <w:spacing w:val="-10"/>
        </w:rPr>
        <w:t> </w:t>
      </w:r>
      <w:r>
        <w:rPr/>
        <w:t>activa</w:t>
      </w:r>
      <w:r>
        <w:rPr>
          <w:spacing w:val="-11"/>
        </w:rPr>
        <w:t> </w:t>
      </w:r>
      <w:r>
        <w:rPr/>
        <w:t>de las comunidades indígenas víctimas y sus</w:t>
      </w:r>
      <w:r>
        <w:rPr>
          <w:spacing w:val="-19"/>
        </w:rPr>
        <w:t> </w:t>
      </w:r>
      <w:r>
        <w:rPr/>
        <w:t>representantes.</w:t>
      </w:r>
    </w:p>
    <w:p>
      <w:pPr>
        <w:pStyle w:val="BodyText"/>
      </w:pPr>
    </w:p>
    <w:p>
      <w:pPr>
        <w:pStyle w:val="ListParagraph"/>
        <w:numPr>
          <w:ilvl w:val="0"/>
          <w:numId w:val="37"/>
        </w:numPr>
        <w:tabs>
          <w:tab w:pos="810" w:val="left" w:leader="none"/>
        </w:tabs>
        <w:spacing w:line="240" w:lineRule="auto" w:before="0" w:after="0"/>
        <w:ind w:left="102" w:right="101" w:firstLine="0"/>
        <w:jc w:val="both"/>
        <w:rPr>
          <w:sz w:val="20"/>
        </w:rPr>
      </w:pPr>
      <w:r>
        <w:rPr>
          <w:sz w:val="20"/>
        </w:rPr>
        <w:t>El Estado deberá adoptar todas las medidas administrativas, legislativas, financieras, de recursos humanos y de cualquier otra índole necesarias para la constitución oportuna de este Fondo, de modo que el dinero asignado al mismo pueda invertirse</w:t>
      </w:r>
      <w:r>
        <w:rPr>
          <w:spacing w:val="-19"/>
          <w:sz w:val="20"/>
        </w:rPr>
        <w:t> </w:t>
      </w:r>
      <w:r>
        <w:rPr>
          <w:sz w:val="20"/>
        </w:rPr>
        <w:t>en</w:t>
      </w:r>
      <w:r>
        <w:rPr>
          <w:spacing w:val="-19"/>
          <w:sz w:val="20"/>
        </w:rPr>
        <w:t> </w:t>
      </w:r>
      <w:r>
        <w:rPr>
          <w:sz w:val="20"/>
        </w:rPr>
        <w:t>forma</w:t>
      </w:r>
      <w:r>
        <w:rPr>
          <w:spacing w:val="-17"/>
          <w:sz w:val="20"/>
        </w:rPr>
        <w:t> </w:t>
      </w:r>
      <w:r>
        <w:rPr>
          <w:sz w:val="20"/>
        </w:rPr>
        <w:t>efectiva,</w:t>
      </w:r>
      <w:r>
        <w:rPr>
          <w:spacing w:val="-20"/>
          <w:sz w:val="20"/>
        </w:rPr>
        <w:t> </w:t>
      </w:r>
      <w:r>
        <w:rPr>
          <w:sz w:val="20"/>
        </w:rPr>
        <w:t>en</w:t>
      </w:r>
      <w:r>
        <w:rPr>
          <w:spacing w:val="-19"/>
          <w:sz w:val="20"/>
        </w:rPr>
        <w:t> </w:t>
      </w:r>
      <w:r>
        <w:rPr>
          <w:sz w:val="20"/>
        </w:rPr>
        <w:t>los</w:t>
      </w:r>
      <w:r>
        <w:rPr>
          <w:spacing w:val="-20"/>
          <w:sz w:val="20"/>
        </w:rPr>
        <w:t> </w:t>
      </w:r>
      <w:r>
        <w:rPr>
          <w:sz w:val="20"/>
        </w:rPr>
        <w:t>programas</w:t>
      </w:r>
      <w:r>
        <w:rPr>
          <w:spacing w:val="-20"/>
          <w:sz w:val="20"/>
        </w:rPr>
        <w:t> </w:t>
      </w:r>
      <w:r>
        <w:rPr>
          <w:sz w:val="20"/>
        </w:rPr>
        <w:t>y</w:t>
      </w:r>
      <w:r>
        <w:rPr>
          <w:spacing w:val="-17"/>
          <w:sz w:val="20"/>
        </w:rPr>
        <w:t> </w:t>
      </w:r>
      <w:r>
        <w:rPr>
          <w:sz w:val="20"/>
        </w:rPr>
        <w:t>acciones</w:t>
      </w:r>
      <w:r>
        <w:rPr>
          <w:spacing w:val="-18"/>
          <w:sz w:val="20"/>
        </w:rPr>
        <w:t> </w:t>
      </w:r>
      <w:r>
        <w:rPr>
          <w:sz w:val="20"/>
        </w:rPr>
        <w:t>correspondientes,</w:t>
      </w:r>
      <w:r>
        <w:rPr>
          <w:spacing w:val="-18"/>
          <w:sz w:val="20"/>
        </w:rPr>
        <w:t> </w:t>
      </w:r>
      <w:r>
        <w:rPr>
          <w:sz w:val="20"/>
        </w:rPr>
        <w:t>en</w:t>
      </w:r>
      <w:r>
        <w:rPr>
          <w:spacing w:val="-19"/>
          <w:sz w:val="20"/>
        </w:rPr>
        <w:t> </w:t>
      </w:r>
      <w:r>
        <w:rPr>
          <w:sz w:val="20"/>
        </w:rPr>
        <w:t>los</w:t>
      </w:r>
      <w:r>
        <w:rPr>
          <w:spacing w:val="-20"/>
          <w:sz w:val="20"/>
        </w:rPr>
        <w:t> </w:t>
      </w:r>
      <w:r>
        <w:rPr>
          <w:sz w:val="20"/>
        </w:rPr>
        <w:t>plazos fijados</w:t>
      </w:r>
      <w:r>
        <w:rPr>
          <w:spacing w:val="-6"/>
          <w:sz w:val="20"/>
        </w:rPr>
        <w:t> </w:t>
      </w:r>
      <w:r>
        <w:rPr>
          <w:sz w:val="20"/>
        </w:rPr>
        <w:t>en</w:t>
      </w:r>
      <w:r>
        <w:rPr>
          <w:spacing w:val="-7"/>
          <w:sz w:val="20"/>
        </w:rPr>
        <w:t> </w:t>
      </w:r>
      <w:r>
        <w:rPr>
          <w:sz w:val="20"/>
        </w:rPr>
        <w:t>los</w:t>
      </w:r>
      <w:r>
        <w:rPr>
          <w:spacing w:val="-9"/>
          <w:sz w:val="20"/>
        </w:rPr>
        <w:t> </w:t>
      </w:r>
      <w:r>
        <w:rPr>
          <w:sz w:val="20"/>
        </w:rPr>
        <w:t>mismos</w:t>
      </w:r>
      <w:r>
        <w:rPr>
          <w:spacing w:val="-9"/>
          <w:sz w:val="20"/>
        </w:rPr>
        <w:t> </w:t>
      </w:r>
      <w:r>
        <w:rPr>
          <w:sz w:val="20"/>
        </w:rPr>
        <w:t>y,</w:t>
      </w:r>
      <w:r>
        <w:rPr>
          <w:spacing w:val="-6"/>
          <w:sz w:val="20"/>
        </w:rPr>
        <w:t> </w:t>
      </w:r>
      <w:r>
        <w:rPr>
          <w:sz w:val="20"/>
        </w:rPr>
        <w:t>en</w:t>
      </w:r>
      <w:r>
        <w:rPr>
          <w:spacing w:val="-7"/>
          <w:sz w:val="20"/>
        </w:rPr>
        <w:t> </w:t>
      </w:r>
      <w:r>
        <w:rPr>
          <w:sz w:val="20"/>
        </w:rPr>
        <w:t>todo</w:t>
      </w:r>
      <w:r>
        <w:rPr>
          <w:spacing w:val="-7"/>
          <w:sz w:val="20"/>
        </w:rPr>
        <w:t> </w:t>
      </w:r>
      <w:r>
        <w:rPr>
          <w:sz w:val="20"/>
        </w:rPr>
        <w:t>caso,</w:t>
      </w:r>
      <w:r>
        <w:rPr>
          <w:spacing w:val="-6"/>
          <w:sz w:val="20"/>
        </w:rPr>
        <w:t> </w:t>
      </w:r>
      <w:r>
        <w:rPr>
          <w:sz w:val="20"/>
        </w:rPr>
        <w:t>en</w:t>
      </w:r>
      <w:r>
        <w:rPr>
          <w:spacing w:val="-7"/>
          <w:sz w:val="20"/>
        </w:rPr>
        <w:t> </w:t>
      </w:r>
      <w:r>
        <w:rPr>
          <w:sz w:val="20"/>
        </w:rPr>
        <w:t>un</w:t>
      </w:r>
      <w:r>
        <w:rPr>
          <w:spacing w:val="-7"/>
          <w:sz w:val="20"/>
        </w:rPr>
        <w:t> </w:t>
      </w:r>
      <w:r>
        <w:rPr>
          <w:sz w:val="20"/>
        </w:rPr>
        <w:t>período</w:t>
      </w:r>
      <w:r>
        <w:rPr>
          <w:spacing w:val="-9"/>
          <w:sz w:val="20"/>
        </w:rPr>
        <w:t> </w:t>
      </w:r>
      <w:r>
        <w:rPr>
          <w:sz w:val="20"/>
        </w:rPr>
        <w:t>no</w:t>
      </w:r>
      <w:r>
        <w:rPr>
          <w:spacing w:val="-9"/>
          <w:sz w:val="20"/>
        </w:rPr>
        <w:t> </w:t>
      </w:r>
      <w:r>
        <w:rPr>
          <w:sz w:val="20"/>
        </w:rPr>
        <w:t>mayor</w:t>
      </w:r>
      <w:r>
        <w:rPr>
          <w:spacing w:val="-9"/>
          <w:sz w:val="20"/>
        </w:rPr>
        <w:t> </w:t>
      </w:r>
      <w:r>
        <w:rPr>
          <w:sz w:val="20"/>
        </w:rPr>
        <w:t>a</w:t>
      </w:r>
      <w:r>
        <w:rPr>
          <w:spacing w:val="-5"/>
          <w:sz w:val="20"/>
        </w:rPr>
        <w:t> </w:t>
      </w:r>
      <w:r>
        <w:rPr>
          <w:sz w:val="20"/>
        </w:rPr>
        <w:t>cuatro</w:t>
      </w:r>
      <w:r>
        <w:rPr>
          <w:spacing w:val="-7"/>
          <w:sz w:val="20"/>
        </w:rPr>
        <w:t> </w:t>
      </w:r>
      <w:r>
        <w:rPr>
          <w:sz w:val="20"/>
        </w:rPr>
        <w:t>años</w:t>
      </w:r>
      <w:r>
        <w:rPr>
          <w:spacing w:val="-9"/>
          <w:sz w:val="20"/>
        </w:rPr>
        <w:t> </w:t>
      </w:r>
      <w:r>
        <w:rPr>
          <w:sz w:val="20"/>
        </w:rPr>
        <w:t>a</w:t>
      </w:r>
      <w:r>
        <w:rPr>
          <w:spacing w:val="-6"/>
          <w:sz w:val="20"/>
        </w:rPr>
        <w:t> </w:t>
      </w:r>
      <w:r>
        <w:rPr>
          <w:sz w:val="20"/>
        </w:rPr>
        <w:t>partir</w:t>
      </w:r>
      <w:r>
        <w:rPr>
          <w:spacing w:val="-7"/>
          <w:sz w:val="20"/>
        </w:rPr>
        <w:t> </w:t>
      </w:r>
      <w:r>
        <w:rPr>
          <w:sz w:val="20"/>
        </w:rPr>
        <w:t>de la notificación de la presente Sentencia. La administración del Fondo estará a cargo de un Comité que se creará al efecto, que estará integrado por una persona designada</w:t>
      </w:r>
      <w:r>
        <w:rPr>
          <w:spacing w:val="-45"/>
          <w:sz w:val="20"/>
        </w:rPr>
        <w:t> </w:t>
      </w:r>
      <w:r>
        <w:rPr>
          <w:sz w:val="20"/>
        </w:rPr>
        <w:t>por las comunidades indígenas víctimas en el presente caso, una persona designada por el Estado y una tercera persona designada de común acuerdo por las dos primeras. El Comité indicado debe quedar constituido en el plazo de seis meses a partir de la notificación de la presente</w:t>
      </w:r>
      <w:r>
        <w:rPr>
          <w:spacing w:val="-12"/>
          <w:sz w:val="20"/>
        </w:rPr>
        <w:t> </w:t>
      </w:r>
      <w:r>
        <w:rPr>
          <w:sz w:val="20"/>
        </w:rPr>
        <w:t>Sentencia.</w:t>
      </w:r>
    </w:p>
    <w:p>
      <w:pPr>
        <w:pStyle w:val="BodyText"/>
        <w:spacing w:before="1"/>
      </w:pPr>
    </w:p>
    <w:p>
      <w:pPr>
        <w:pStyle w:val="ListParagraph"/>
        <w:numPr>
          <w:ilvl w:val="0"/>
          <w:numId w:val="37"/>
        </w:numPr>
        <w:tabs>
          <w:tab w:pos="810" w:val="left" w:leader="none"/>
        </w:tabs>
        <w:spacing w:line="240" w:lineRule="auto" w:before="0" w:after="0"/>
        <w:ind w:left="102" w:right="107" w:firstLine="0"/>
        <w:jc w:val="both"/>
        <w:rPr>
          <w:sz w:val="20"/>
        </w:rPr>
      </w:pPr>
      <w:r>
        <w:rPr>
          <w:sz w:val="20"/>
        </w:rPr>
        <w:t>El eventual incumplimiento de los plazos fijados en los dos párrafos anteriores para la determinación de los objetivos a los que debe destinarse el Fondo o respecto a la determinación del Comité, no exime al Estado del cumplimiento de la medida ordenada. En su caso, las autoridades estatales quedarán habilitadas para realizar las determinaciones correspondientes y deberán efectuar </w:t>
      </w:r>
      <w:r>
        <w:rPr>
          <w:spacing w:val="3"/>
          <w:sz w:val="20"/>
        </w:rPr>
        <w:t>las </w:t>
      </w:r>
      <w:r>
        <w:rPr>
          <w:sz w:val="20"/>
        </w:rPr>
        <w:t>acciones necesarias para la utilización efectiva del monto asignado al Fondo dentro del plazo</w:t>
      </w:r>
      <w:r>
        <w:rPr>
          <w:spacing w:val="-32"/>
          <w:sz w:val="20"/>
        </w:rPr>
        <w:t> </w:t>
      </w:r>
      <w:r>
        <w:rPr>
          <w:sz w:val="20"/>
        </w:rPr>
        <w:t>previsto.</w:t>
      </w:r>
    </w:p>
    <w:p>
      <w:pPr>
        <w:pStyle w:val="BodyText"/>
      </w:pPr>
    </w:p>
    <w:p>
      <w:pPr>
        <w:pStyle w:val="ListParagraph"/>
        <w:numPr>
          <w:ilvl w:val="0"/>
          <w:numId w:val="37"/>
        </w:numPr>
        <w:tabs>
          <w:tab w:pos="810" w:val="left" w:leader="none"/>
        </w:tabs>
        <w:spacing w:line="240" w:lineRule="auto" w:before="1" w:after="0"/>
        <w:ind w:left="102" w:right="100" w:firstLine="0"/>
        <w:jc w:val="both"/>
        <w:rPr>
          <w:sz w:val="20"/>
        </w:rPr>
      </w:pPr>
      <w:r>
        <w:rPr>
          <w:sz w:val="20"/>
        </w:rPr>
        <w:t>Para el Fondo indicado, el Estado deberá destinar la cantidad de US$ 2.000.000,00 (dos millones de dólares de los Estados Unidos de América), la cual será invertida</w:t>
      </w:r>
      <w:r>
        <w:rPr>
          <w:spacing w:val="-16"/>
          <w:sz w:val="20"/>
        </w:rPr>
        <w:t> </w:t>
      </w:r>
      <w:r>
        <w:rPr>
          <w:sz w:val="20"/>
        </w:rPr>
        <w:t>de</w:t>
      </w:r>
      <w:r>
        <w:rPr>
          <w:spacing w:val="-17"/>
          <w:sz w:val="20"/>
        </w:rPr>
        <w:t> </w:t>
      </w:r>
      <w:r>
        <w:rPr>
          <w:sz w:val="20"/>
        </w:rPr>
        <w:t>acuerdo</w:t>
      </w:r>
      <w:r>
        <w:rPr>
          <w:spacing w:val="-17"/>
          <w:sz w:val="20"/>
        </w:rPr>
        <w:t> </w:t>
      </w:r>
      <w:r>
        <w:rPr>
          <w:sz w:val="20"/>
        </w:rPr>
        <w:t>con</w:t>
      </w:r>
      <w:r>
        <w:rPr>
          <w:spacing w:val="-13"/>
          <w:sz w:val="20"/>
        </w:rPr>
        <w:t> </w:t>
      </w:r>
      <w:r>
        <w:rPr>
          <w:sz w:val="20"/>
        </w:rPr>
        <w:t>los</w:t>
      </w:r>
      <w:r>
        <w:rPr>
          <w:spacing w:val="-14"/>
          <w:sz w:val="20"/>
        </w:rPr>
        <w:t> </w:t>
      </w:r>
      <w:r>
        <w:rPr>
          <w:sz w:val="20"/>
        </w:rPr>
        <w:t>objetivos</w:t>
      </w:r>
      <w:r>
        <w:rPr>
          <w:spacing w:val="-17"/>
          <w:sz w:val="20"/>
        </w:rPr>
        <w:t> </w:t>
      </w:r>
      <w:r>
        <w:rPr>
          <w:sz w:val="20"/>
        </w:rPr>
        <w:t>propuestos,</w:t>
      </w:r>
      <w:r>
        <w:rPr>
          <w:spacing w:val="-17"/>
          <w:sz w:val="20"/>
        </w:rPr>
        <w:t> </w:t>
      </w:r>
      <w:r>
        <w:rPr>
          <w:sz w:val="20"/>
        </w:rPr>
        <w:t>en</w:t>
      </w:r>
      <w:r>
        <w:rPr>
          <w:spacing w:val="-15"/>
          <w:sz w:val="20"/>
        </w:rPr>
        <w:t> </w:t>
      </w:r>
      <w:r>
        <w:rPr>
          <w:sz w:val="20"/>
        </w:rPr>
        <w:t>el</w:t>
      </w:r>
      <w:r>
        <w:rPr>
          <w:spacing w:val="-16"/>
          <w:sz w:val="20"/>
        </w:rPr>
        <w:t> </w:t>
      </w:r>
      <w:r>
        <w:rPr>
          <w:sz w:val="20"/>
        </w:rPr>
        <w:t>período</w:t>
      </w:r>
      <w:r>
        <w:rPr>
          <w:spacing w:val="-17"/>
          <w:sz w:val="20"/>
        </w:rPr>
        <w:t> </w:t>
      </w:r>
      <w:r>
        <w:rPr>
          <w:sz w:val="20"/>
        </w:rPr>
        <w:t>fijado</w:t>
      </w:r>
      <w:r>
        <w:rPr>
          <w:spacing w:val="-17"/>
          <w:sz w:val="20"/>
        </w:rPr>
        <w:t> </w:t>
      </w:r>
      <w:r>
        <w:rPr>
          <w:sz w:val="20"/>
        </w:rPr>
        <w:t>no</w:t>
      </w:r>
      <w:r>
        <w:rPr>
          <w:spacing w:val="-15"/>
          <w:sz w:val="20"/>
        </w:rPr>
        <w:t> </w:t>
      </w:r>
      <w:r>
        <w:rPr>
          <w:sz w:val="20"/>
        </w:rPr>
        <w:t>mayor</w:t>
      </w:r>
      <w:r>
        <w:rPr>
          <w:spacing w:val="-17"/>
          <w:sz w:val="20"/>
        </w:rPr>
        <w:t> </w:t>
      </w:r>
      <w:r>
        <w:rPr>
          <w:sz w:val="20"/>
        </w:rPr>
        <w:t>a</w:t>
      </w:r>
      <w:r>
        <w:rPr>
          <w:spacing w:val="-12"/>
          <w:sz w:val="20"/>
        </w:rPr>
        <w:t> </w:t>
      </w:r>
      <w:r>
        <w:rPr>
          <w:sz w:val="20"/>
        </w:rPr>
        <w:t>cuatro años a partir de la notificación de la presente Sentencia. En la determinación del</w:t>
      </w:r>
      <w:r>
        <w:rPr>
          <w:spacing w:val="-33"/>
          <w:sz w:val="20"/>
        </w:rPr>
        <w:t> </w:t>
      </w:r>
      <w:r>
        <w:rPr>
          <w:sz w:val="20"/>
        </w:rPr>
        <w:t>monto asignado al Fondo, la Corte tiene en cuenta la necesidad de que el mismo resulte razonable para cumplir con la finalidad de la medida y también el resto de las medidas dispuestas y la complejidad y costos que</w:t>
      </w:r>
      <w:r>
        <w:rPr>
          <w:spacing w:val="-19"/>
          <w:sz w:val="20"/>
        </w:rPr>
        <w:t> </w:t>
      </w:r>
      <w:r>
        <w:rPr>
          <w:sz w:val="20"/>
        </w:rPr>
        <w:t>conllevan.</w:t>
      </w:r>
    </w:p>
    <w:p>
      <w:pPr>
        <w:pStyle w:val="BodyText"/>
        <w:spacing w:before="1"/>
      </w:pPr>
    </w:p>
    <w:p>
      <w:pPr>
        <w:pStyle w:val="Heading4"/>
        <w:numPr>
          <w:ilvl w:val="1"/>
          <w:numId w:val="36"/>
        </w:numPr>
        <w:tabs>
          <w:tab w:pos="1107" w:val="left" w:leader="none"/>
        </w:tabs>
        <w:spacing w:line="240" w:lineRule="auto" w:before="0" w:after="0"/>
        <w:ind w:left="668" w:right="497" w:firstLine="0"/>
        <w:jc w:val="left"/>
      </w:pPr>
      <w:bookmarkStart w:name="_bookmark95" w:id="160"/>
      <w:bookmarkEnd w:id="160"/>
      <w:r>
        <w:rPr>
          <w:b w:val="0"/>
          <w:i w:val="0"/>
        </w:rPr>
      </w:r>
      <w:bookmarkStart w:name="_bookmark95" w:id="161"/>
      <w:bookmarkEnd w:id="161"/>
      <w:r>
        <w:rPr>
          <w:i/>
        </w:rPr>
        <w:t>C</w:t>
      </w:r>
      <w:r>
        <w:rPr>
          <w:i/>
        </w:rPr>
        <w:t>onsideraciones adicionales, informes estatales, plan de trabajo</w:t>
      </w:r>
      <w:r>
        <w:rPr>
          <w:i/>
          <w:spacing w:val="-22"/>
        </w:rPr>
        <w:t> </w:t>
      </w:r>
      <w:r>
        <w:rPr>
          <w:i/>
        </w:rPr>
        <w:t>y </w:t>
      </w:r>
      <w:r>
        <w:rPr/>
        <w:t>acciones para la supervisión de las medias</w:t>
      </w:r>
      <w:r>
        <w:rPr>
          <w:spacing w:val="-19"/>
        </w:rPr>
        <w:t> </w:t>
      </w:r>
      <w:r>
        <w:rPr/>
        <w:t>ordenadas</w:t>
      </w:r>
    </w:p>
    <w:p>
      <w:pPr>
        <w:pStyle w:val="BodyText"/>
        <w:rPr>
          <w:b/>
          <w:i/>
        </w:rPr>
      </w:pPr>
    </w:p>
    <w:p>
      <w:pPr>
        <w:pStyle w:val="ListParagraph"/>
        <w:numPr>
          <w:ilvl w:val="0"/>
          <w:numId w:val="37"/>
        </w:numPr>
        <w:tabs>
          <w:tab w:pos="810" w:val="left" w:leader="none"/>
        </w:tabs>
        <w:spacing w:line="240" w:lineRule="auto" w:before="1" w:after="0"/>
        <w:ind w:left="102" w:right="107" w:firstLine="0"/>
        <w:jc w:val="both"/>
        <w:rPr>
          <w:sz w:val="20"/>
        </w:rPr>
      </w:pPr>
      <w:r>
        <w:rPr>
          <w:sz w:val="20"/>
        </w:rPr>
        <w:t>Todo lo ordenado en los párrafos precedentes compromete al Estado en su conjunto,</w:t>
      </w:r>
      <w:r>
        <w:rPr>
          <w:spacing w:val="-8"/>
          <w:sz w:val="20"/>
        </w:rPr>
        <w:t> </w:t>
      </w:r>
      <w:r>
        <w:rPr>
          <w:sz w:val="20"/>
        </w:rPr>
        <w:t>en</w:t>
      </w:r>
      <w:r>
        <w:rPr>
          <w:spacing w:val="-9"/>
          <w:sz w:val="20"/>
        </w:rPr>
        <w:t> </w:t>
      </w:r>
      <w:r>
        <w:rPr>
          <w:sz w:val="20"/>
        </w:rPr>
        <w:t>los</w:t>
      </w:r>
      <w:r>
        <w:rPr>
          <w:spacing w:val="-9"/>
          <w:sz w:val="20"/>
        </w:rPr>
        <w:t> </w:t>
      </w:r>
      <w:r>
        <w:rPr>
          <w:sz w:val="20"/>
        </w:rPr>
        <w:t>términos</w:t>
      </w:r>
      <w:r>
        <w:rPr>
          <w:spacing w:val="-11"/>
          <w:sz w:val="20"/>
        </w:rPr>
        <w:t> </w:t>
      </w:r>
      <w:r>
        <w:rPr>
          <w:sz w:val="20"/>
        </w:rPr>
        <w:t>del</w:t>
      </w:r>
      <w:r>
        <w:rPr>
          <w:spacing w:val="-10"/>
          <w:sz w:val="20"/>
        </w:rPr>
        <w:t> </w:t>
      </w:r>
      <w:r>
        <w:rPr>
          <w:sz w:val="20"/>
        </w:rPr>
        <w:t>artículo</w:t>
      </w:r>
      <w:r>
        <w:rPr>
          <w:spacing w:val="-9"/>
          <w:sz w:val="20"/>
        </w:rPr>
        <w:t> </w:t>
      </w:r>
      <w:r>
        <w:rPr>
          <w:sz w:val="20"/>
        </w:rPr>
        <w:t>28</w:t>
      </w:r>
      <w:r>
        <w:rPr>
          <w:spacing w:val="-10"/>
          <w:sz w:val="20"/>
        </w:rPr>
        <w:t> </w:t>
      </w:r>
      <w:r>
        <w:rPr>
          <w:sz w:val="20"/>
        </w:rPr>
        <w:t>de</w:t>
      </w:r>
      <w:r>
        <w:rPr>
          <w:spacing w:val="-9"/>
          <w:sz w:val="20"/>
        </w:rPr>
        <w:t> </w:t>
      </w:r>
      <w:r>
        <w:rPr>
          <w:sz w:val="20"/>
        </w:rPr>
        <w:t>la</w:t>
      </w:r>
      <w:r>
        <w:rPr>
          <w:spacing w:val="-10"/>
          <w:sz w:val="20"/>
        </w:rPr>
        <w:t> </w:t>
      </w:r>
      <w:r>
        <w:rPr>
          <w:sz w:val="20"/>
        </w:rPr>
        <w:t>Convención.</w:t>
      </w:r>
      <w:r>
        <w:rPr>
          <w:spacing w:val="-9"/>
          <w:sz w:val="20"/>
        </w:rPr>
        <w:t> </w:t>
      </w:r>
      <w:r>
        <w:rPr>
          <w:sz w:val="20"/>
        </w:rPr>
        <w:t>El</w:t>
      </w:r>
      <w:r>
        <w:rPr>
          <w:spacing w:val="-10"/>
          <w:sz w:val="20"/>
        </w:rPr>
        <w:t> </w:t>
      </w:r>
      <w:r>
        <w:rPr>
          <w:sz w:val="20"/>
        </w:rPr>
        <w:t>Estado</w:t>
      </w:r>
      <w:r>
        <w:rPr>
          <w:spacing w:val="-9"/>
          <w:sz w:val="20"/>
        </w:rPr>
        <w:t> </w:t>
      </w:r>
      <w:r>
        <w:rPr>
          <w:sz w:val="20"/>
        </w:rPr>
        <w:t>no</w:t>
      </w:r>
      <w:r>
        <w:rPr>
          <w:spacing w:val="-7"/>
          <w:sz w:val="20"/>
        </w:rPr>
        <w:t> </w:t>
      </w:r>
      <w:r>
        <w:rPr>
          <w:sz w:val="20"/>
        </w:rPr>
        <w:t>puede</w:t>
      </w:r>
      <w:r>
        <w:rPr>
          <w:spacing w:val="-9"/>
          <w:sz w:val="20"/>
        </w:rPr>
        <w:t> </w:t>
      </w:r>
      <w:r>
        <w:rPr>
          <w:sz w:val="20"/>
        </w:rPr>
        <w:t>aducir</w:t>
      </w:r>
      <w:r>
        <w:rPr>
          <w:spacing w:val="-9"/>
          <w:sz w:val="20"/>
        </w:rPr>
        <w:t> </w:t>
      </w:r>
      <w:r>
        <w:rPr>
          <w:sz w:val="20"/>
        </w:rPr>
        <w:t>su sistema federal como obstáculo para el cumplimiento de ninguna de las medidas ordenadas en la presente</w:t>
      </w:r>
      <w:r>
        <w:rPr>
          <w:spacing w:val="-16"/>
          <w:sz w:val="20"/>
        </w:rPr>
        <w:t> </w:t>
      </w:r>
      <w:r>
        <w:rPr>
          <w:sz w:val="20"/>
        </w:rPr>
        <w:t>Sentencia.</w:t>
      </w:r>
    </w:p>
    <w:p>
      <w:pPr>
        <w:pStyle w:val="BodyText"/>
        <w:spacing w:before="10"/>
        <w:rPr>
          <w:sz w:val="19"/>
        </w:rPr>
      </w:pPr>
    </w:p>
    <w:p>
      <w:pPr>
        <w:pStyle w:val="ListParagraph"/>
        <w:numPr>
          <w:ilvl w:val="0"/>
          <w:numId w:val="37"/>
        </w:numPr>
        <w:tabs>
          <w:tab w:pos="810" w:val="left" w:leader="none"/>
        </w:tabs>
        <w:spacing w:line="240" w:lineRule="auto" w:before="1" w:after="0"/>
        <w:ind w:left="102" w:right="105" w:firstLine="0"/>
        <w:jc w:val="both"/>
        <w:rPr>
          <w:sz w:val="20"/>
        </w:rPr>
      </w:pPr>
      <w:r>
        <w:rPr>
          <w:sz w:val="20"/>
        </w:rPr>
        <w:t>A</w:t>
      </w:r>
      <w:r>
        <w:rPr>
          <w:spacing w:val="-10"/>
          <w:sz w:val="20"/>
        </w:rPr>
        <w:t> </w:t>
      </w:r>
      <w:r>
        <w:rPr>
          <w:sz w:val="20"/>
        </w:rPr>
        <w:t>fin</w:t>
      </w:r>
      <w:r>
        <w:rPr>
          <w:spacing w:val="-10"/>
          <w:sz w:val="20"/>
        </w:rPr>
        <w:t> </w:t>
      </w:r>
      <w:r>
        <w:rPr>
          <w:sz w:val="20"/>
        </w:rPr>
        <w:t>de</w:t>
      </w:r>
      <w:r>
        <w:rPr>
          <w:spacing w:val="-11"/>
          <w:sz w:val="20"/>
        </w:rPr>
        <w:t> </w:t>
      </w:r>
      <w:r>
        <w:rPr>
          <w:sz w:val="20"/>
        </w:rPr>
        <w:t>facilitar</w:t>
      </w:r>
      <w:r>
        <w:rPr>
          <w:spacing w:val="-11"/>
          <w:sz w:val="20"/>
        </w:rPr>
        <w:t> </w:t>
      </w:r>
      <w:r>
        <w:rPr>
          <w:sz w:val="20"/>
        </w:rPr>
        <w:t>la</w:t>
      </w:r>
      <w:r>
        <w:rPr>
          <w:spacing w:val="-8"/>
          <w:sz w:val="20"/>
        </w:rPr>
        <w:t> </w:t>
      </w:r>
      <w:r>
        <w:rPr>
          <w:sz w:val="20"/>
        </w:rPr>
        <w:t>supervisión</w:t>
      </w:r>
      <w:r>
        <w:rPr>
          <w:spacing w:val="-10"/>
          <w:sz w:val="20"/>
        </w:rPr>
        <w:t> </w:t>
      </w:r>
      <w:r>
        <w:rPr>
          <w:sz w:val="20"/>
        </w:rPr>
        <w:t>del</w:t>
      </w:r>
      <w:r>
        <w:rPr>
          <w:spacing w:val="-10"/>
          <w:sz w:val="20"/>
        </w:rPr>
        <w:t> </w:t>
      </w:r>
      <w:r>
        <w:rPr>
          <w:sz w:val="20"/>
        </w:rPr>
        <w:t>cumplimiento</w:t>
      </w:r>
      <w:r>
        <w:rPr>
          <w:spacing w:val="-9"/>
          <w:sz w:val="20"/>
        </w:rPr>
        <w:t> </w:t>
      </w:r>
      <w:r>
        <w:rPr>
          <w:sz w:val="20"/>
        </w:rPr>
        <w:t>de</w:t>
      </w:r>
      <w:r>
        <w:rPr>
          <w:spacing w:val="-12"/>
          <w:sz w:val="20"/>
        </w:rPr>
        <w:t> </w:t>
      </w:r>
      <w:r>
        <w:rPr>
          <w:sz w:val="20"/>
        </w:rPr>
        <w:t>las</w:t>
      </w:r>
      <w:r>
        <w:rPr>
          <w:spacing w:val="-11"/>
          <w:sz w:val="20"/>
        </w:rPr>
        <w:t> </w:t>
      </w:r>
      <w:r>
        <w:rPr>
          <w:sz w:val="20"/>
        </w:rPr>
        <w:t>medidas</w:t>
      </w:r>
      <w:r>
        <w:rPr>
          <w:spacing w:val="-11"/>
          <w:sz w:val="20"/>
        </w:rPr>
        <w:t> </w:t>
      </w:r>
      <w:r>
        <w:rPr>
          <w:sz w:val="20"/>
        </w:rPr>
        <w:t>de</w:t>
      </w:r>
      <w:r>
        <w:rPr>
          <w:spacing w:val="-9"/>
          <w:sz w:val="20"/>
        </w:rPr>
        <w:t> </w:t>
      </w:r>
      <w:r>
        <w:rPr>
          <w:sz w:val="20"/>
        </w:rPr>
        <w:t>restitución</w:t>
      </w:r>
      <w:r>
        <w:rPr>
          <w:spacing w:val="-3"/>
          <w:sz w:val="20"/>
        </w:rPr>
        <w:t> </w:t>
      </w:r>
      <w:r>
        <w:rPr>
          <w:sz w:val="20"/>
        </w:rPr>
        <w:t>del derecho de propiedad ordenadas (</w:t>
      </w:r>
      <w:r>
        <w:rPr>
          <w:i/>
          <w:sz w:val="20"/>
        </w:rPr>
        <w:t>supra </w:t>
      </w:r>
      <w:r>
        <w:rPr>
          <w:sz w:val="20"/>
        </w:rPr>
        <w:t>párrs. 327 a 330), y en atención a los plazos fijados para ello, la Corte considera útil que el Estado, durante seis años a partir de la notificación de esta Sentencia, presente a este Tribunal información periódica. Por ello, ordena</w:t>
      </w:r>
      <w:r>
        <w:rPr>
          <w:spacing w:val="-17"/>
          <w:sz w:val="20"/>
        </w:rPr>
        <w:t> </w:t>
      </w:r>
      <w:r>
        <w:rPr>
          <w:sz w:val="20"/>
        </w:rPr>
        <w:t>al</w:t>
      </w:r>
      <w:r>
        <w:rPr>
          <w:spacing w:val="-15"/>
          <w:sz w:val="20"/>
        </w:rPr>
        <w:t> </w:t>
      </w:r>
      <w:r>
        <w:rPr>
          <w:sz w:val="20"/>
        </w:rPr>
        <w:t>Estado</w:t>
      </w:r>
      <w:r>
        <w:rPr>
          <w:spacing w:val="-16"/>
          <w:sz w:val="20"/>
        </w:rPr>
        <w:t> </w:t>
      </w:r>
      <w:r>
        <w:rPr>
          <w:sz w:val="20"/>
        </w:rPr>
        <w:t>que,</w:t>
      </w:r>
      <w:r>
        <w:rPr>
          <w:spacing w:val="-16"/>
          <w:sz w:val="20"/>
        </w:rPr>
        <w:t> </w:t>
      </w:r>
      <w:r>
        <w:rPr>
          <w:sz w:val="20"/>
        </w:rPr>
        <w:t>a</w:t>
      </w:r>
      <w:r>
        <w:rPr>
          <w:spacing w:val="-15"/>
          <w:sz w:val="20"/>
        </w:rPr>
        <w:t> </w:t>
      </w:r>
      <w:r>
        <w:rPr>
          <w:sz w:val="20"/>
        </w:rPr>
        <w:t>partir</w:t>
      </w:r>
      <w:r>
        <w:rPr>
          <w:spacing w:val="-19"/>
          <w:sz w:val="20"/>
        </w:rPr>
        <w:t> </w:t>
      </w:r>
      <w:r>
        <w:rPr>
          <w:sz w:val="20"/>
        </w:rPr>
        <w:t>de</w:t>
      </w:r>
      <w:r>
        <w:rPr>
          <w:spacing w:val="-17"/>
          <w:sz w:val="20"/>
        </w:rPr>
        <w:t> </w:t>
      </w:r>
      <w:r>
        <w:rPr>
          <w:sz w:val="20"/>
        </w:rPr>
        <w:t>dicha</w:t>
      </w:r>
      <w:r>
        <w:rPr>
          <w:spacing w:val="-17"/>
          <w:sz w:val="20"/>
        </w:rPr>
        <w:t> </w:t>
      </w:r>
      <w:r>
        <w:rPr>
          <w:sz w:val="20"/>
        </w:rPr>
        <w:t>notificación,</w:t>
      </w:r>
      <w:r>
        <w:rPr>
          <w:spacing w:val="-16"/>
          <w:sz w:val="20"/>
        </w:rPr>
        <w:t> </w:t>
      </w:r>
      <w:r>
        <w:rPr>
          <w:sz w:val="20"/>
        </w:rPr>
        <w:t>cada</w:t>
      </w:r>
      <w:r>
        <w:rPr>
          <w:spacing w:val="-10"/>
          <w:sz w:val="20"/>
        </w:rPr>
        <w:t> </w:t>
      </w:r>
      <w:r>
        <w:rPr>
          <w:sz w:val="20"/>
        </w:rPr>
        <w:t>seis</w:t>
      </w:r>
      <w:r>
        <w:rPr>
          <w:spacing w:val="-18"/>
          <w:sz w:val="20"/>
        </w:rPr>
        <w:t> </w:t>
      </w:r>
      <w:r>
        <w:rPr>
          <w:sz w:val="20"/>
        </w:rPr>
        <w:t>meses</w:t>
      </w:r>
      <w:r>
        <w:rPr>
          <w:spacing w:val="-16"/>
          <w:sz w:val="20"/>
        </w:rPr>
        <w:t> </w:t>
      </w:r>
      <w:r>
        <w:rPr>
          <w:sz w:val="20"/>
        </w:rPr>
        <w:t>presente</w:t>
      </w:r>
      <w:r>
        <w:rPr>
          <w:spacing w:val="-17"/>
          <w:sz w:val="20"/>
        </w:rPr>
        <w:t> </w:t>
      </w:r>
      <w:r>
        <w:rPr>
          <w:sz w:val="20"/>
        </w:rPr>
        <w:t>un</w:t>
      </w:r>
      <w:r>
        <w:rPr>
          <w:spacing w:val="-17"/>
          <w:sz w:val="20"/>
        </w:rPr>
        <w:t> </w:t>
      </w:r>
      <w:r>
        <w:rPr>
          <w:sz w:val="20"/>
        </w:rPr>
        <w:t>informe en</w:t>
      </w:r>
      <w:r>
        <w:rPr>
          <w:spacing w:val="-3"/>
          <w:sz w:val="20"/>
        </w:rPr>
        <w:t> </w:t>
      </w:r>
      <w:r>
        <w:rPr>
          <w:sz w:val="20"/>
        </w:rPr>
        <w:t>que</w:t>
      </w:r>
      <w:r>
        <w:rPr>
          <w:spacing w:val="-5"/>
          <w:sz w:val="20"/>
        </w:rPr>
        <w:t> </w:t>
      </w:r>
      <w:r>
        <w:rPr>
          <w:sz w:val="20"/>
        </w:rPr>
        <w:t>se</w:t>
      </w:r>
      <w:r>
        <w:rPr>
          <w:spacing w:val="-5"/>
          <w:sz w:val="20"/>
        </w:rPr>
        <w:t> </w:t>
      </w:r>
      <w:r>
        <w:rPr>
          <w:sz w:val="20"/>
        </w:rPr>
        <w:t>detallen</w:t>
      </w:r>
      <w:r>
        <w:rPr>
          <w:spacing w:val="-3"/>
          <w:sz w:val="20"/>
        </w:rPr>
        <w:t> </w:t>
      </w:r>
      <w:r>
        <w:rPr>
          <w:sz w:val="20"/>
        </w:rPr>
        <w:t>las</w:t>
      </w:r>
      <w:r>
        <w:rPr>
          <w:spacing w:val="-5"/>
          <w:sz w:val="20"/>
        </w:rPr>
        <w:t> </w:t>
      </w:r>
      <w:r>
        <w:rPr>
          <w:sz w:val="20"/>
        </w:rPr>
        <w:t>acciones</w:t>
      </w:r>
      <w:r>
        <w:rPr>
          <w:spacing w:val="-5"/>
          <w:sz w:val="20"/>
        </w:rPr>
        <w:t> </w:t>
      </w:r>
      <w:r>
        <w:rPr>
          <w:sz w:val="20"/>
        </w:rPr>
        <w:t>y</w:t>
      </w:r>
      <w:r>
        <w:rPr>
          <w:spacing w:val="-4"/>
          <w:sz w:val="20"/>
        </w:rPr>
        <w:t> </w:t>
      </w:r>
      <w:r>
        <w:rPr>
          <w:sz w:val="20"/>
        </w:rPr>
        <w:t>avances</w:t>
      </w:r>
      <w:r>
        <w:rPr>
          <w:spacing w:val="-2"/>
          <w:sz w:val="20"/>
        </w:rPr>
        <w:t> </w:t>
      </w:r>
      <w:r>
        <w:rPr>
          <w:sz w:val="20"/>
        </w:rPr>
        <w:t>efectivizados</w:t>
      </w:r>
      <w:r>
        <w:rPr>
          <w:spacing w:val="-2"/>
          <w:sz w:val="20"/>
        </w:rPr>
        <w:t> </w:t>
      </w:r>
      <w:r>
        <w:rPr>
          <w:sz w:val="20"/>
        </w:rPr>
        <w:t>en</w:t>
      </w:r>
      <w:r>
        <w:rPr>
          <w:spacing w:val="-3"/>
          <w:sz w:val="20"/>
        </w:rPr>
        <w:t> </w:t>
      </w:r>
      <w:r>
        <w:rPr>
          <w:sz w:val="20"/>
        </w:rPr>
        <w:t>el</w:t>
      </w:r>
      <w:r>
        <w:rPr>
          <w:spacing w:val="-3"/>
          <w:sz w:val="20"/>
        </w:rPr>
        <w:t> </w:t>
      </w:r>
      <w:r>
        <w:rPr>
          <w:sz w:val="20"/>
        </w:rPr>
        <w:t>cumplimiento</w:t>
      </w:r>
      <w:r>
        <w:rPr>
          <w:spacing w:val="-5"/>
          <w:sz w:val="20"/>
        </w:rPr>
        <w:t> </w:t>
      </w:r>
      <w:r>
        <w:rPr>
          <w:sz w:val="20"/>
        </w:rPr>
        <w:t>de</w:t>
      </w:r>
      <w:r>
        <w:rPr>
          <w:spacing w:val="-5"/>
          <w:sz w:val="20"/>
        </w:rPr>
        <w:t> </w:t>
      </w:r>
      <w:r>
        <w:rPr>
          <w:sz w:val="20"/>
        </w:rPr>
        <w:t>cada</w:t>
      </w:r>
      <w:r>
        <w:rPr>
          <w:spacing w:val="-4"/>
          <w:sz w:val="20"/>
        </w:rPr>
        <w:t> </w:t>
      </w:r>
      <w:r>
        <w:rPr>
          <w:sz w:val="20"/>
        </w:rPr>
        <w:t>una de las medidas de restitución del derecho de propiedad ordenadas. El primer informe semestral que rinda Argentina, además de incluir los avances que se hubieren logrado, deberá consistir en un plan de trabajo detallado, a cumplirse en seis años desde la notificación</w:t>
      </w:r>
      <w:r>
        <w:rPr>
          <w:spacing w:val="-9"/>
          <w:sz w:val="20"/>
        </w:rPr>
        <w:t> </w:t>
      </w:r>
      <w:r>
        <w:rPr>
          <w:sz w:val="20"/>
        </w:rPr>
        <w:t>al</w:t>
      </w:r>
      <w:r>
        <w:rPr>
          <w:spacing w:val="-10"/>
          <w:sz w:val="20"/>
        </w:rPr>
        <w:t> </w:t>
      </w:r>
      <w:r>
        <w:rPr>
          <w:sz w:val="20"/>
        </w:rPr>
        <w:t>Estado</w:t>
      </w:r>
      <w:r>
        <w:rPr>
          <w:spacing w:val="-9"/>
          <w:sz w:val="20"/>
        </w:rPr>
        <w:t> </w:t>
      </w:r>
      <w:r>
        <w:rPr>
          <w:sz w:val="20"/>
        </w:rPr>
        <w:t>de</w:t>
      </w:r>
      <w:r>
        <w:rPr>
          <w:spacing w:val="-9"/>
          <w:sz w:val="20"/>
        </w:rPr>
        <w:t> </w:t>
      </w:r>
      <w:r>
        <w:rPr>
          <w:sz w:val="20"/>
        </w:rPr>
        <w:t>la</w:t>
      </w:r>
      <w:r>
        <w:rPr>
          <w:spacing w:val="-10"/>
          <w:sz w:val="20"/>
        </w:rPr>
        <w:t> </w:t>
      </w:r>
      <w:r>
        <w:rPr>
          <w:sz w:val="20"/>
        </w:rPr>
        <w:t>presente</w:t>
      </w:r>
      <w:r>
        <w:rPr>
          <w:spacing w:val="-12"/>
          <w:sz w:val="20"/>
        </w:rPr>
        <w:t> </w:t>
      </w:r>
      <w:r>
        <w:rPr>
          <w:sz w:val="20"/>
        </w:rPr>
        <w:t>Sentencia,</w:t>
      </w:r>
      <w:r>
        <w:rPr>
          <w:spacing w:val="-6"/>
          <w:sz w:val="20"/>
        </w:rPr>
        <w:t> </w:t>
      </w:r>
      <w:r>
        <w:rPr>
          <w:sz w:val="20"/>
        </w:rPr>
        <w:t>de</w:t>
      </w:r>
      <w:r>
        <w:rPr>
          <w:spacing w:val="-9"/>
          <w:sz w:val="20"/>
        </w:rPr>
        <w:t> </w:t>
      </w:r>
      <w:r>
        <w:rPr>
          <w:sz w:val="20"/>
        </w:rPr>
        <w:t>cada</w:t>
      </w:r>
      <w:r>
        <w:rPr>
          <w:spacing w:val="-10"/>
          <w:sz w:val="20"/>
        </w:rPr>
        <w:t> </w:t>
      </w:r>
      <w:r>
        <w:rPr>
          <w:sz w:val="20"/>
        </w:rPr>
        <w:t>una</w:t>
      </w:r>
      <w:r>
        <w:rPr>
          <w:spacing w:val="-10"/>
          <w:sz w:val="20"/>
        </w:rPr>
        <w:t> </w:t>
      </w:r>
      <w:r>
        <w:rPr>
          <w:sz w:val="20"/>
        </w:rPr>
        <w:t>de</w:t>
      </w:r>
      <w:r>
        <w:rPr>
          <w:spacing w:val="-9"/>
          <w:sz w:val="20"/>
        </w:rPr>
        <w:t> </w:t>
      </w:r>
      <w:r>
        <w:rPr>
          <w:sz w:val="20"/>
        </w:rPr>
        <w:t>las</w:t>
      </w:r>
      <w:r>
        <w:rPr>
          <w:spacing w:val="-8"/>
          <w:sz w:val="20"/>
        </w:rPr>
        <w:t> </w:t>
      </w:r>
      <w:r>
        <w:rPr>
          <w:sz w:val="20"/>
        </w:rPr>
        <w:t>acciones</w:t>
      </w:r>
      <w:r>
        <w:rPr>
          <w:spacing w:val="-9"/>
          <w:sz w:val="20"/>
        </w:rPr>
        <w:t> </w:t>
      </w:r>
      <w:r>
        <w:rPr>
          <w:sz w:val="20"/>
        </w:rPr>
        <w:t>o</w:t>
      </w:r>
      <w:r>
        <w:rPr>
          <w:spacing w:val="-9"/>
          <w:sz w:val="20"/>
        </w:rPr>
        <w:t> </w:t>
      </w:r>
      <w:r>
        <w:rPr>
          <w:sz w:val="20"/>
        </w:rPr>
        <w:t>pasos</w:t>
      </w:r>
      <w:r>
        <w:rPr>
          <w:spacing w:val="-9"/>
          <w:sz w:val="20"/>
        </w:rPr>
        <w:t> </w:t>
      </w:r>
      <w:r>
        <w:rPr>
          <w:sz w:val="20"/>
        </w:rPr>
        <w:t>que deben ser ejecutados por el Estado para alcanzar el cumplimiento total de cada una de las medidas de restitución del derecho de propiedad ordenadas. En este plan se debe indicar, además de las referidas acciones o pasos, cuáles son los órganos, instituciones o</w:t>
      </w:r>
      <w:r>
        <w:rPr>
          <w:spacing w:val="21"/>
          <w:sz w:val="20"/>
        </w:rPr>
        <w:t> </w:t>
      </w:r>
      <w:r>
        <w:rPr>
          <w:sz w:val="20"/>
        </w:rPr>
        <w:t>autoridades</w:t>
      </w:r>
      <w:r>
        <w:rPr>
          <w:spacing w:val="24"/>
          <w:sz w:val="20"/>
        </w:rPr>
        <w:t> </w:t>
      </w:r>
      <w:r>
        <w:rPr>
          <w:sz w:val="20"/>
        </w:rPr>
        <w:t>estatales</w:t>
      </w:r>
      <w:r>
        <w:rPr>
          <w:spacing w:val="24"/>
          <w:sz w:val="20"/>
        </w:rPr>
        <w:t> </w:t>
      </w:r>
      <w:r>
        <w:rPr>
          <w:sz w:val="20"/>
        </w:rPr>
        <w:t>que</w:t>
      </w:r>
      <w:r>
        <w:rPr>
          <w:spacing w:val="23"/>
          <w:sz w:val="20"/>
        </w:rPr>
        <w:t> </w:t>
      </w:r>
      <w:r>
        <w:rPr>
          <w:sz w:val="20"/>
        </w:rPr>
        <w:t>serán</w:t>
      </w:r>
      <w:r>
        <w:rPr>
          <w:spacing w:val="26"/>
          <w:sz w:val="20"/>
        </w:rPr>
        <w:t> </w:t>
      </w:r>
      <w:r>
        <w:rPr>
          <w:sz w:val="20"/>
        </w:rPr>
        <w:t>responsables</w:t>
      </w:r>
      <w:r>
        <w:rPr>
          <w:spacing w:val="21"/>
          <w:sz w:val="20"/>
        </w:rPr>
        <w:t> </w:t>
      </w:r>
      <w:r>
        <w:rPr>
          <w:sz w:val="20"/>
        </w:rPr>
        <w:t>de</w:t>
      </w:r>
      <w:r>
        <w:rPr>
          <w:spacing w:val="23"/>
          <w:sz w:val="20"/>
        </w:rPr>
        <w:t> </w:t>
      </w:r>
      <w:r>
        <w:rPr>
          <w:sz w:val="20"/>
        </w:rPr>
        <w:t>implementarlos</w:t>
      </w:r>
      <w:r>
        <w:rPr>
          <w:spacing w:val="24"/>
          <w:sz w:val="20"/>
        </w:rPr>
        <w:t> </w:t>
      </w:r>
      <w:r>
        <w:rPr>
          <w:sz w:val="20"/>
        </w:rPr>
        <w:t>y</w:t>
      </w:r>
      <w:r>
        <w:rPr>
          <w:spacing w:val="24"/>
          <w:sz w:val="20"/>
        </w:rPr>
        <w:t> </w:t>
      </w:r>
      <w:r>
        <w:rPr>
          <w:sz w:val="20"/>
        </w:rPr>
        <w:t>el</w:t>
      </w:r>
      <w:r>
        <w:rPr>
          <w:spacing w:val="22"/>
          <w:sz w:val="20"/>
        </w:rPr>
        <w:t> </w:t>
      </w:r>
      <w:r>
        <w:rPr>
          <w:sz w:val="20"/>
        </w:rPr>
        <w:t>plazo</w:t>
      </w:r>
      <w:r>
        <w:rPr>
          <w:spacing w:val="23"/>
          <w:sz w:val="20"/>
        </w:rPr>
        <w:t> </w:t>
      </w:r>
      <w:r>
        <w:rPr>
          <w:sz w:val="20"/>
        </w:rPr>
        <w:t>en</w:t>
      </w:r>
      <w:r>
        <w:rPr>
          <w:spacing w:val="25"/>
          <w:sz w:val="20"/>
        </w:rPr>
        <w:t> </w:t>
      </w:r>
      <w:r>
        <w:rPr>
          <w:sz w:val="20"/>
        </w:rPr>
        <w:t>que</w:t>
      </w:r>
    </w:p>
    <w:p>
      <w:pPr>
        <w:spacing w:after="0" w:line="240" w:lineRule="auto"/>
        <w:jc w:val="both"/>
        <w:rPr>
          <w:sz w:val="20"/>
        </w:rPr>
        <w:sectPr>
          <w:pgSz w:w="12240" w:h="15840"/>
          <w:pgMar w:header="0" w:footer="1000" w:top="1340" w:bottom="1200" w:left="1600" w:right="1600"/>
        </w:sectPr>
      </w:pPr>
    </w:p>
    <w:p>
      <w:pPr>
        <w:pStyle w:val="BodyText"/>
        <w:spacing w:before="76"/>
        <w:ind w:left="122" w:right="123"/>
        <w:jc w:val="both"/>
      </w:pPr>
      <w:r>
        <w:rPr/>
        <w:t>cada acción será ejecutada. La presentación del plan de trabajo es responsabilidad del Estado, pero Argentina debe, de modo previo a tal acto, permitir a los representantes, si</w:t>
      </w:r>
      <w:r>
        <w:rPr>
          <w:spacing w:val="-8"/>
        </w:rPr>
        <w:t> </w:t>
      </w:r>
      <w:r>
        <w:rPr/>
        <w:t>estos</w:t>
      </w:r>
      <w:r>
        <w:rPr>
          <w:spacing w:val="-9"/>
        </w:rPr>
        <w:t> </w:t>
      </w:r>
      <w:r>
        <w:rPr/>
        <w:t>lo</w:t>
      </w:r>
      <w:r>
        <w:rPr>
          <w:spacing w:val="-9"/>
        </w:rPr>
        <w:t> </w:t>
      </w:r>
      <w:r>
        <w:rPr/>
        <w:t>solicitan,</w:t>
      </w:r>
      <w:r>
        <w:rPr>
          <w:spacing w:val="-8"/>
        </w:rPr>
        <w:t> </w:t>
      </w:r>
      <w:r>
        <w:rPr/>
        <w:t>remitir</w:t>
      </w:r>
      <w:r>
        <w:rPr>
          <w:spacing w:val="-9"/>
        </w:rPr>
        <w:t> </w:t>
      </w:r>
      <w:r>
        <w:rPr/>
        <w:t>consideraciones</w:t>
      </w:r>
      <w:r>
        <w:rPr>
          <w:spacing w:val="-6"/>
        </w:rPr>
        <w:t> </w:t>
      </w:r>
      <w:r>
        <w:rPr/>
        <w:t>o</w:t>
      </w:r>
      <w:r>
        <w:rPr>
          <w:spacing w:val="-9"/>
        </w:rPr>
        <w:t> </w:t>
      </w:r>
      <w:r>
        <w:rPr/>
        <w:t>propuestas</w:t>
      </w:r>
      <w:r>
        <w:rPr>
          <w:spacing w:val="-9"/>
        </w:rPr>
        <w:t> </w:t>
      </w:r>
      <w:r>
        <w:rPr/>
        <w:t>a</w:t>
      </w:r>
      <w:r>
        <w:rPr>
          <w:spacing w:val="-8"/>
        </w:rPr>
        <w:t> </w:t>
      </w:r>
      <w:r>
        <w:rPr/>
        <w:t>las</w:t>
      </w:r>
      <w:r>
        <w:rPr>
          <w:spacing w:val="-8"/>
        </w:rPr>
        <w:t> </w:t>
      </w:r>
      <w:r>
        <w:rPr/>
        <w:t>autoridades</w:t>
      </w:r>
      <w:r>
        <w:rPr>
          <w:spacing w:val="-9"/>
        </w:rPr>
        <w:t> </w:t>
      </w:r>
      <w:r>
        <w:rPr/>
        <w:t>a</w:t>
      </w:r>
      <w:r>
        <w:rPr>
          <w:spacing w:val="-5"/>
        </w:rPr>
        <w:t> </w:t>
      </w:r>
      <w:r>
        <w:rPr/>
        <w:t>cargo</w:t>
      </w:r>
      <w:r>
        <w:rPr>
          <w:spacing w:val="-1"/>
        </w:rPr>
        <w:t> </w:t>
      </w:r>
      <w:r>
        <w:rPr/>
        <w:t>de</w:t>
      </w:r>
      <w:r>
        <w:rPr>
          <w:spacing w:val="-9"/>
        </w:rPr>
        <w:t> </w:t>
      </w:r>
      <w:r>
        <w:rPr/>
        <w:t>la elaboración de dicho plan. Los siguientes informes semestrales que rinda el Estado deberán</w:t>
      </w:r>
      <w:r>
        <w:rPr>
          <w:spacing w:val="-8"/>
        </w:rPr>
        <w:t> </w:t>
      </w:r>
      <w:r>
        <w:rPr/>
        <w:t>dar</w:t>
      </w:r>
      <w:r>
        <w:rPr>
          <w:spacing w:val="-9"/>
        </w:rPr>
        <w:t> </w:t>
      </w:r>
      <w:r>
        <w:rPr/>
        <w:t>cuenta,</w:t>
      </w:r>
      <w:r>
        <w:rPr>
          <w:spacing w:val="-8"/>
        </w:rPr>
        <w:t> </w:t>
      </w:r>
      <w:r>
        <w:rPr/>
        <w:t>de</w:t>
      </w:r>
      <w:r>
        <w:rPr>
          <w:spacing w:val="-8"/>
        </w:rPr>
        <w:t> </w:t>
      </w:r>
      <w:r>
        <w:rPr/>
        <w:t>manera</w:t>
      </w:r>
      <w:r>
        <w:rPr>
          <w:spacing w:val="-8"/>
        </w:rPr>
        <w:t> </w:t>
      </w:r>
      <w:r>
        <w:rPr/>
        <w:t>detallada</w:t>
      </w:r>
      <w:r>
        <w:rPr>
          <w:spacing w:val="-8"/>
        </w:rPr>
        <w:t> </w:t>
      </w:r>
      <w:r>
        <w:rPr/>
        <w:t>y</w:t>
      </w:r>
      <w:r>
        <w:rPr>
          <w:spacing w:val="-8"/>
        </w:rPr>
        <w:t> </w:t>
      </w:r>
      <w:r>
        <w:rPr/>
        <w:t>actualizada,</w:t>
      </w:r>
      <w:r>
        <w:rPr>
          <w:spacing w:val="-8"/>
        </w:rPr>
        <w:t> </w:t>
      </w:r>
      <w:r>
        <w:rPr/>
        <w:t>sobre</w:t>
      </w:r>
      <w:r>
        <w:rPr>
          <w:spacing w:val="-9"/>
        </w:rPr>
        <w:t> </w:t>
      </w:r>
      <w:r>
        <w:rPr/>
        <w:t>los</w:t>
      </w:r>
      <w:r>
        <w:rPr>
          <w:spacing w:val="-9"/>
        </w:rPr>
        <w:t> </w:t>
      </w:r>
      <w:r>
        <w:rPr/>
        <w:t>avances</w:t>
      </w:r>
      <w:r>
        <w:rPr>
          <w:spacing w:val="-9"/>
        </w:rPr>
        <w:t> </w:t>
      </w:r>
      <w:r>
        <w:rPr/>
        <w:t>que</w:t>
      </w:r>
      <w:r>
        <w:rPr>
          <w:spacing w:val="-8"/>
        </w:rPr>
        <w:t> </w:t>
      </w:r>
      <w:r>
        <w:rPr/>
        <w:t>se</w:t>
      </w:r>
      <w:r>
        <w:rPr>
          <w:spacing w:val="-8"/>
        </w:rPr>
        <w:t> </w:t>
      </w:r>
      <w:r>
        <w:rPr/>
        <w:t>vayan presentando en la ejecución de cada una las medidas de restitución del derecho </w:t>
      </w:r>
      <w:r>
        <w:rPr>
          <w:spacing w:val="2"/>
        </w:rPr>
        <w:t>de </w:t>
      </w:r>
      <w:r>
        <w:rPr/>
        <w:t>propiedad,</w:t>
      </w:r>
      <w:r>
        <w:rPr>
          <w:spacing w:val="-20"/>
        </w:rPr>
        <w:t> </w:t>
      </w:r>
      <w:r>
        <w:rPr/>
        <w:t>en</w:t>
      </w:r>
      <w:r>
        <w:rPr>
          <w:spacing w:val="-19"/>
        </w:rPr>
        <w:t> </w:t>
      </w:r>
      <w:r>
        <w:rPr/>
        <w:t>seguimiento</w:t>
      </w:r>
      <w:r>
        <w:rPr>
          <w:spacing w:val="-22"/>
        </w:rPr>
        <w:t> </w:t>
      </w:r>
      <w:r>
        <w:rPr/>
        <w:t>al</w:t>
      </w:r>
      <w:r>
        <w:rPr>
          <w:spacing w:val="-20"/>
        </w:rPr>
        <w:t> </w:t>
      </w:r>
      <w:r>
        <w:rPr/>
        <w:t>plan</w:t>
      </w:r>
      <w:r>
        <w:rPr>
          <w:spacing w:val="-18"/>
        </w:rPr>
        <w:t> </w:t>
      </w:r>
      <w:r>
        <w:rPr/>
        <w:t>de</w:t>
      </w:r>
      <w:r>
        <w:rPr>
          <w:spacing w:val="-20"/>
        </w:rPr>
        <w:t> </w:t>
      </w:r>
      <w:r>
        <w:rPr/>
        <w:t>trabajo</w:t>
      </w:r>
      <w:r>
        <w:rPr>
          <w:spacing w:val="-20"/>
        </w:rPr>
        <w:t> </w:t>
      </w:r>
      <w:r>
        <w:rPr/>
        <w:t>presentado</w:t>
      </w:r>
      <w:r>
        <w:rPr>
          <w:spacing w:val="-20"/>
        </w:rPr>
        <w:t> </w:t>
      </w:r>
      <w:r>
        <w:rPr/>
        <w:t>en</w:t>
      </w:r>
      <w:r>
        <w:rPr>
          <w:spacing w:val="-19"/>
        </w:rPr>
        <w:t> </w:t>
      </w:r>
      <w:r>
        <w:rPr/>
        <w:t>el</w:t>
      </w:r>
      <w:r>
        <w:rPr>
          <w:spacing w:val="-19"/>
        </w:rPr>
        <w:t> </w:t>
      </w:r>
      <w:r>
        <w:rPr/>
        <w:t>referido</w:t>
      </w:r>
      <w:r>
        <w:rPr>
          <w:spacing w:val="-22"/>
        </w:rPr>
        <w:t> </w:t>
      </w:r>
      <w:r>
        <w:rPr/>
        <w:t>informe</w:t>
      </w:r>
      <w:r>
        <w:rPr>
          <w:spacing w:val="-20"/>
        </w:rPr>
        <w:t> </w:t>
      </w:r>
      <w:r>
        <w:rPr/>
        <w:t>semestral inicial. La presentación de estos informes estatales es independiente de la remisión de los estudios y el plan de acción mandada en los párrafos 332 a 335 de esta Sentencia, de los informes previstos en los párrafos 348 y 349 para las publicaciones y transmisiones</w:t>
      </w:r>
      <w:r>
        <w:rPr>
          <w:spacing w:val="-16"/>
        </w:rPr>
        <w:t> </w:t>
      </w:r>
      <w:r>
        <w:rPr/>
        <w:t>radiales</w:t>
      </w:r>
      <w:r>
        <w:rPr>
          <w:spacing w:val="-16"/>
        </w:rPr>
        <w:t> </w:t>
      </w:r>
      <w:r>
        <w:rPr/>
        <w:t>que</w:t>
      </w:r>
      <w:r>
        <w:rPr>
          <w:spacing w:val="-19"/>
        </w:rPr>
        <w:t> </w:t>
      </w:r>
      <w:r>
        <w:rPr/>
        <w:t>se</w:t>
      </w:r>
      <w:r>
        <w:rPr>
          <w:spacing w:val="-17"/>
        </w:rPr>
        <w:t> </w:t>
      </w:r>
      <w:r>
        <w:rPr/>
        <w:t>ordenan,</w:t>
      </w:r>
      <w:r>
        <w:rPr>
          <w:spacing w:val="-16"/>
        </w:rPr>
        <w:t> </w:t>
      </w:r>
      <w:r>
        <w:rPr/>
        <w:t>así</w:t>
      </w:r>
      <w:r>
        <w:rPr>
          <w:spacing w:val="-15"/>
        </w:rPr>
        <w:t> </w:t>
      </w:r>
      <w:r>
        <w:rPr/>
        <w:t>como</w:t>
      </w:r>
      <w:r>
        <w:rPr>
          <w:spacing w:val="-16"/>
        </w:rPr>
        <w:t> </w:t>
      </w:r>
      <w:r>
        <w:rPr/>
        <w:t>del</w:t>
      </w:r>
      <w:r>
        <w:rPr>
          <w:spacing w:val="-15"/>
        </w:rPr>
        <w:t> </w:t>
      </w:r>
      <w:r>
        <w:rPr/>
        <w:t>plazo</w:t>
      </w:r>
      <w:r>
        <w:rPr>
          <w:spacing w:val="-19"/>
        </w:rPr>
        <w:t> </w:t>
      </w:r>
      <w:r>
        <w:rPr/>
        <w:t>de</w:t>
      </w:r>
      <w:r>
        <w:rPr>
          <w:spacing w:val="-17"/>
        </w:rPr>
        <w:t> </w:t>
      </w:r>
      <w:r>
        <w:rPr/>
        <w:t>un</w:t>
      </w:r>
      <w:r>
        <w:rPr>
          <w:spacing w:val="-17"/>
        </w:rPr>
        <w:t> </w:t>
      </w:r>
      <w:r>
        <w:rPr/>
        <w:t>año</w:t>
      </w:r>
      <w:r>
        <w:rPr>
          <w:spacing w:val="-16"/>
        </w:rPr>
        <w:t> </w:t>
      </w:r>
      <w:r>
        <w:rPr/>
        <w:t>previsto</w:t>
      </w:r>
      <w:r>
        <w:rPr>
          <w:spacing w:val="-16"/>
        </w:rPr>
        <w:t> </w:t>
      </w:r>
      <w:r>
        <w:rPr/>
        <w:t>en</w:t>
      </w:r>
      <w:r>
        <w:rPr>
          <w:spacing w:val="-14"/>
        </w:rPr>
        <w:t> </w:t>
      </w:r>
      <w:r>
        <w:rPr/>
        <w:t>el</w:t>
      </w:r>
      <w:r>
        <w:rPr>
          <w:spacing w:val="-15"/>
        </w:rPr>
        <w:t> </w:t>
      </w:r>
      <w:r>
        <w:rPr/>
        <w:t>punto resolutivo</w:t>
      </w:r>
      <w:r>
        <w:rPr>
          <w:spacing w:val="-8"/>
        </w:rPr>
        <w:t> </w:t>
      </w:r>
      <w:r>
        <w:rPr/>
        <w:t>18</w:t>
      </w:r>
      <w:r>
        <w:rPr>
          <w:spacing w:val="-10"/>
        </w:rPr>
        <w:t> </w:t>
      </w:r>
      <w:r>
        <w:rPr/>
        <w:t>para</w:t>
      </w:r>
      <w:r>
        <w:rPr>
          <w:spacing w:val="-10"/>
        </w:rPr>
        <w:t> </w:t>
      </w:r>
      <w:r>
        <w:rPr/>
        <w:t>presentar</w:t>
      </w:r>
      <w:r>
        <w:rPr>
          <w:spacing w:val="-11"/>
        </w:rPr>
        <w:t> </w:t>
      </w:r>
      <w:r>
        <w:rPr/>
        <w:t>información</w:t>
      </w:r>
      <w:r>
        <w:rPr>
          <w:spacing w:val="-9"/>
        </w:rPr>
        <w:t> </w:t>
      </w:r>
      <w:r>
        <w:rPr/>
        <w:t>sobre</w:t>
      </w:r>
      <w:r>
        <w:rPr>
          <w:spacing w:val="-9"/>
        </w:rPr>
        <w:t> </w:t>
      </w:r>
      <w:r>
        <w:rPr/>
        <w:t>el</w:t>
      </w:r>
      <w:r>
        <w:rPr>
          <w:spacing w:val="-10"/>
        </w:rPr>
        <w:t> </w:t>
      </w:r>
      <w:r>
        <w:rPr/>
        <w:t>cumplimiento</w:t>
      </w:r>
      <w:r>
        <w:rPr>
          <w:spacing w:val="-11"/>
        </w:rPr>
        <w:t> </w:t>
      </w:r>
      <w:r>
        <w:rPr/>
        <w:t>de</w:t>
      </w:r>
      <w:r>
        <w:rPr>
          <w:spacing w:val="-12"/>
        </w:rPr>
        <w:t> </w:t>
      </w:r>
      <w:r>
        <w:rPr/>
        <w:t>todas</w:t>
      </w:r>
      <w:r>
        <w:rPr>
          <w:spacing w:val="-9"/>
        </w:rPr>
        <w:t> </w:t>
      </w:r>
      <w:r>
        <w:rPr>
          <w:spacing w:val="2"/>
        </w:rPr>
        <w:t>las</w:t>
      </w:r>
      <w:r>
        <w:rPr>
          <w:spacing w:val="-11"/>
        </w:rPr>
        <w:t> </w:t>
      </w:r>
      <w:r>
        <w:rPr/>
        <w:t>medidas</w:t>
      </w:r>
      <w:r>
        <w:rPr>
          <w:spacing w:val="-11"/>
        </w:rPr>
        <w:t> </w:t>
      </w:r>
      <w:r>
        <w:rPr/>
        <w:t>de reparación ordenadas en esta</w:t>
      </w:r>
      <w:r>
        <w:rPr>
          <w:spacing w:val="-16"/>
        </w:rPr>
        <w:t> </w:t>
      </w:r>
      <w:r>
        <w:rPr/>
        <w:t>Sentencia.</w:t>
      </w:r>
    </w:p>
    <w:p>
      <w:pPr>
        <w:pStyle w:val="BodyText"/>
        <w:spacing w:before="10"/>
        <w:rPr>
          <w:sz w:val="19"/>
        </w:rPr>
      </w:pPr>
    </w:p>
    <w:p>
      <w:pPr>
        <w:pStyle w:val="ListParagraph"/>
        <w:numPr>
          <w:ilvl w:val="0"/>
          <w:numId w:val="37"/>
        </w:numPr>
        <w:tabs>
          <w:tab w:pos="830" w:val="left" w:leader="none"/>
        </w:tabs>
        <w:spacing w:line="240" w:lineRule="auto" w:before="0" w:after="0"/>
        <w:ind w:left="122" w:right="130" w:firstLine="0"/>
        <w:jc w:val="both"/>
        <w:rPr>
          <w:sz w:val="20"/>
        </w:rPr>
      </w:pPr>
      <w:r>
        <w:rPr>
          <w:sz w:val="20"/>
        </w:rPr>
        <w:t>Además de lo anterior, la Corte resalta la actuación que ha tenido la Comisión Interamericana en el proceso llevado a cabo a partir de la publicación del Informe de Fondo,</w:t>
      </w:r>
      <w:r>
        <w:rPr>
          <w:spacing w:val="-11"/>
          <w:sz w:val="20"/>
        </w:rPr>
        <w:t> </w:t>
      </w:r>
      <w:r>
        <w:rPr>
          <w:sz w:val="20"/>
        </w:rPr>
        <w:t>luego</w:t>
      </w:r>
      <w:r>
        <w:rPr>
          <w:spacing w:val="-9"/>
          <w:sz w:val="20"/>
        </w:rPr>
        <w:t> </w:t>
      </w:r>
      <w:r>
        <w:rPr>
          <w:sz w:val="20"/>
        </w:rPr>
        <w:t>de</w:t>
      </w:r>
      <w:r>
        <w:rPr>
          <w:spacing w:val="-9"/>
          <w:sz w:val="20"/>
        </w:rPr>
        <w:t> </w:t>
      </w:r>
      <w:r>
        <w:rPr>
          <w:sz w:val="20"/>
        </w:rPr>
        <w:t>lo</w:t>
      </w:r>
      <w:r>
        <w:rPr>
          <w:spacing w:val="-9"/>
          <w:sz w:val="20"/>
        </w:rPr>
        <w:t> </w:t>
      </w:r>
      <w:r>
        <w:rPr>
          <w:sz w:val="20"/>
        </w:rPr>
        <w:t>cual</w:t>
      </w:r>
      <w:r>
        <w:rPr>
          <w:spacing w:val="-10"/>
          <w:sz w:val="20"/>
        </w:rPr>
        <w:t> </w:t>
      </w:r>
      <w:r>
        <w:rPr>
          <w:sz w:val="20"/>
        </w:rPr>
        <w:t>realizó</w:t>
      </w:r>
      <w:r>
        <w:rPr>
          <w:spacing w:val="-11"/>
          <w:sz w:val="20"/>
        </w:rPr>
        <w:t> </w:t>
      </w:r>
      <w:r>
        <w:rPr>
          <w:sz w:val="20"/>
        </w:rPr>
        <w:t>tres</w:t>
      </w:r>
      <w:r>
        <w:rPr>
          <w:spacing w:val="-7"/>
          <w:sz w:val="20"/>
        </w:rPr>
        <w:t> </w:t>
      </w:r>
      <w:r>
        <w:rPr>
          <w:sz w:val="20"/>
        </w:rPr>
        <w:t>visitas</w:t>
      </w:r>
      <w:r>
        <w:rPr>
          <w:spacing w:val="-11"/>
          <w:sz w:val="20"/>
        </w:rPr>
        <w:t> </w:t>
      </w:r>
      <w:r>
        <w:rPr>
          <w:sz w:val="20"/>
        </w:rPr>
        <w:t>al</w:t>
      </w:r>
      <w:r>
        <w:rPr>
          <w:spacing w:val="-7"/>
          <w:sz w:val="20"/>
        </w:rPr>
        <w:t> </w:t>
      </w:r>
      <w:r>
        <w:rPr>
          <w:sz w:val="20"/>
        </w:rPr>
        <w:t>terreno</w:t>
      </w:r>
      <w:r>
        <w:rPr>
          <w:spacing w:val="-9"/>
          <w:sz w:val="20"/>
        </w:rPr>
        <w:t> </w:t>
      </w:r>
      <w:r>
        <w:rPr>
          <w:sz w:val="20"/>
        </w:rPr>
        <w:t>e</w:t>
      </w:r>
      <w:r>
        <w:rPr>
          <w:spacing w:val="-12"/>
          <w:sz w:val="20"/>
        </w:rPr>
        <w:t> </w:t>
      </w:r>
      <w:r>
        <w:rPr>
          <w:sz w:val="20"/>
        </w:rPr>
        <w:t>impulsó</w:t>
      </w:r>
      <w:r>
        <w:rPr>
          <w:spacing w:val="-11"/>
          <w:sz w:val="20"/>
        </w:rPr>
        <w:t> </w:t>
      </w:r>
      <w:r>
        <w:rPr>
          <w:sz w:val="20"/>
        </w:rPr>
        <w:t>avances.</w:t>
      </w:r>
      <w:r>
        <w:rPr>
          <w:spacing w:val="-7"/>
          <w:sz w:val="20"/>
        </w:rPr>
        <w:t> </w:t>
      </w:r>
      <w:r>
        <w:rPr>
          <w:sz w:val="20"/>
        </w:rPr>
        <w:t>La</w:t>
      </w:r>
      <w:r>
        <w:rPr>
          <w:spacing w:val="-11"/>
          <w:sz w:val="20"/>
        </w:rPr>
        <w:t> </w:t>
      </w:r>
      <w:r>
        <w:rPr>
          <w:sz w:val="20"/>
        </w:rPr>
        <w:t>Corte</w:t>
      </w:r>
      <w:r>
        <w:rPr>
          <w:spacing w:val="-9"/>
          <w:sz w:val="20"/>
        </w:rPr>
        <w:t> </w:t>
      </w:r>
      <w:r>
        <w:rPr>
          <w:sz w:val="20"/>
        </w:rPr>
        <w:t>estima conveniente que la Comisión Interamericana continúe asumiendo una conducta activa en el marco del proceso de cumplimiento de las medidas de restitución establecidas en esta Sentencia. Este Tribunal exhorta a la Comisión Interamericana, por ello, a asumir, en</w:t>
      </w:r>
      <w:r>
        <w:rPr>
          <w:spacing w:val="-9"/>
          <w:sz w:val="20"/>
        </w:rPr>
        <w:t> </w:t>
      </w:r>
      <w:r>
        <w:rPr>
          <w:sz w:val="20"/>
        </w:rPr>
        <w:t>el</w:t>
      </w:r>
      <w:r>
        <w:rPr>
          <w:spacing w:val="-10"/>
          <w:sz w:val="20"/>
        </w:rPr>
        <w:t> </w:t>
      </w:r>
      <w:r>
        <w:rPr>
          <w:sz w:val="20"/>
        </w:rPr>
        <w:t>marco</w:t>
      </w:r>
      <w:r>
        <w:rPr>
          <w:spacing w:val="-11"/>
          <w:sz w:val="20"/>
        </w:rPr>
        <w:t> </w:t>
      </w:r>
      <w:r>
        <w:rPr>
          <w:sz w:val="20"/>
        </w:rPr>
        <w:t>de</w:t>
      </w:r>
      <w:r>
        <w:rPr>
          <w:spacing w:val="-9"/>
          <w:sz w:val="20"/>
        </w:rPr>
        <w:t> </w:t>
      </w:r>
      <w:r>
        <w:rPr>
          <w:sz w:val="20"/>
        </w:rPr>
        <w:t>sus</w:t>
      </w:r>
      <w:r>
        <w:rPr>
          <w:spacing w:val="-10"/>
          <w:sz w:val="20"/>
        </w:rPr>
        <w:t> </w:t>
      </w:r>
      <w:r>
        <w:rPr>
          <w:sz w:val="20"/>
        </w:rPr>
        <w:t>posibilidades</w:t>
      </w:r>
      <w:r>
        <w:rPr>
          <w:spacing w:val="-11"/>
          <w:sz w:val="20"/>
        </w:rPr>
        <w:t> </w:t>
      </w:r>
      <w:r>
        <w:rPr>
          <w:sz w:val="20"/>
        </w:rPr>
        <w:t>y</w:t>
      </w:r>
      <w:r>
        <w:rPr>
          <w:spacing w:val="-8"/>
          <w:sz w:val="20"/>
        </w:rPr>
        <w:t> </w:t>
      </w:r>
      <w:r>
        <w:rPr>
          <w:sz w:val="20"/>
        </w:rPr>
        <w:t>funciones,</w:t>
      </w:r>
      <w:r>
        <w:rPr>
          <w:spacing w:val="-11"/>
          <w:sz w:val="20"/>
        </w:rPr>
        <w:t> </w:t>
      </w:r>
      <w:r>
        <w:rPr>
          <w:sz w:val="20"/>
        </w:rPr>
        <w:t>un</w:t>
      </w:r>
      <w:r>
        <w:rPr>
          <w:spacing w:val="-9"/>
          <w:sz w:val="20"/>
        </w:rPr>
        <w:t> </w:t>
      </w:r>
      <w:r>
        <w:rPr>
          <w:sz w:val="20"/>
        </w:rPr>
        <w:t>rol</w:t>
      </w:r>
      <w:r>
        <w:rPr>
          <w:spacing w:val="-10"/>
          <w:sz w:val="20"/>
        </w:rPr>
        <w:t> </w:t>
      </w:r>
      <w:r>
        <w:rPr>
          <w:sz w:val="20"/>
        </w:rPr>
        <w:t>de</w:t>
      </w:r>
      <w:r>
        <w:rPr>
          <w:spacing w:val="-12"/>
          <w:sz w:val="20"/>
        </w:rPr>
        <w:t> </w:t>
      </w:r>
      <w:r>
        <w:rPr>
          <w:sz w:val="20"/>
        </w:rPr>
        <w:t>facilitadora</w:t>
      </w:r>
      <w:r>
        <w:rPr>
          <w:spacing w:val="-8"/>
          <w:sz w:val="20"/>
        </w:rPr>
        <w:t> </w:t>
      </w:r>
      <w:r>
        <w:rPr>
          <w:sz w:val="20"/>
        </w:rPr>
        <w:t>entre</w:t>
      </w:r>
      <w:r>
        <w:rPr>
          <w:spacing w:val="-12"/>
          <w:sz w:val="20"/>
        </w:rPr>
        <w:t> </w:t>
      </w:r>
      <w:r>
        <w:rPr>
          <w:sz w:val="20"/>
        </w:rPr>
        <w:t>las</w:t>
      </w:r>
      <w:r>
        <w:rPr>
          <w:spacing w:val="-11"/>
          <w:sz w:val="20"/>
        </w:rPr>
        <w:t> </w:t>
      </w:r>
      <w:r>
        <w:rPr>
          <w:sz w:val="20"/>
        </w:rPr>
        <w:t>partes,</w:t>
      </w:r>
      <w:r>
        <w:rPr>
          <w:spacing w:val="-11"/>
          <w:sz w:val="20"/>
        </w:rPr>
        <w:t> </w:t>
      </w:r>
      <w:r>
        <w:rPr>
          <w:sz w:val="20"/>
        </w:rPr>
        <w:t>para coadyuvar al cumplimiento de las medidas de restitución que aquí se ordenan. Lo indicado es complementario al quehacer habitual de la Comisión en el marco de la supervisión del cumplimiento de las sentencias que realiza esta Corte y no obsta en modo alguno al</w:t>
      </w:r>
      <w:r>
        <w:rPr>
          <w:spacing w:val="-9"/>
          <w:sz w:val="20"/>
        </w:rPr>
        <w:t> </w:t>
      </w:r>
      <w:r>
        <w:rPr>
          <w:sz w:val="20"/>
        </w:rPr>
        <w:t>mismo.</w:t>
      </w:r>
    </w:p>
    <w:p>
      <w:pPr>
        <w:pStyle w:val="BodyText"/>
      </w:pPr>
    </w:p>
    <w:p>
      <w:pPr>
        <w:pStyle w:val="Heading4"/>
        <w:numPr>
          <w:ilvl w:val="0"/>
          <w:numId w:val="38"/>
        </w:numPr>
        <w:tabs>
          <w:tab w:pos="830" w:val="left" w:leader="none"/>
        </w:tabs>
        <w:spacing w:line="240" w:lineRule="auto" w:before="0" w:after="0"/>
        <w:ind w:left="830" w:right="0" w:hanging="425"/>
        <w:jc w:val="left"/>
        <w:rPr>
          <w:i/>
        </w:rPr>
      </w:pPr>
      <w:bookmarkStart w:name="_bookmark96" w:id="162"/>
      <w:bookmarkEnd w:id="162"/>
      <w:r>
        <w:rPr>
          <w:b w:val="0"/>
          <w:i w:val="0"/>
        </w:rPr>
      </w:r>
      <w:bookmarkStart w:name="_bookmark96" w:id="163"/>
      <w:bookmarkEnd w:id="163"/>
      <w:r>
        <w:rPr>
          <w:i/>
          <w:u w:val="thick"/>
        </w:rPr>
        <w:t>M</w:t>
      </w:r>
      <w:r>
        <w:rPr>
          <w:i/>
          <w:u w:val="thick"/>
        </w:rPr>
        <w:t>edidas de</w:t>
      </w:r>
      <w:r>
        <w:rPr>
          <w:i/>
          <w:spacing w:val="-11"/>
          <w:u w:val="thick"/>
        </w:rPr>
        <w:t> </w:t>
      </w:r>
      <w:r>
        <w:rPr>
          <w:i/>
          <w:u w:val="thick"/>
        </w:rPr>
        <w:t>Satisfacción</w:t>
      </w:r>
    </w:p>
    <w:p>
      <w:pPr>
        <w:pStyle w:val="BodyText"/>
        <w:spacing w:before="8"/>
        <w:rPr>
          <w:b/>
          <w:i/>
          <w:sz w:val="11"/>
        </w:rPr>
      </w:pPr>
    </w:p>
    <w:p>
      <w:pPr>
        <w:pStyle w:val="ListParagraph"/>
        <w:numPr>
          <w:ilvl w:val="0"/>
          <w:numId w:val="37"/>
        </w:numPr>
        <w:tabs>
          <w:tab w:pos="830" w:val="left" w:leader="none"/>
        </w:tabs>
        <w:spacing w:line="240" w:lineRule="auto" w:before="99" w:after="0"/>
        <w:ind w:left="122" w:right="122" w:firstLine="0"/>
        <w:jc w:val="both"/>
        <w:rPr>
          <w:sz w:val="20"/>
        </w:rPr>
      </w:pPr>
      <w:r>
        <w:rPr>
          <w:sz w:val="20"/>
        </w:rPr>
        <w:t>Los </w:t>
      </w:r>
      <w:r>
        <w:rPr>
          <w:b/>
          <w:i/>
          <w:sz w:val="20"/>
        </w:rPr>
        <w:t>representantes </w:t>
      </w:r>
      <w:r>
        <w:rPr>
          <w:sz w:val="20"/>
        </w:rPr>
        <w:t>consideraron que es de suma importancia que se conozca públicamente y por distintas vías la responsabilidad internacional del Estado. Para ello solicitaron a la Corte que ordene al Estado cumplir, en el término de un año desde la notificación de la Sentencia, las siguientes medidas: traducción y difusión del resumen oficial de la sentencia en los idiomas de las comunidades indígenas; publicación del resumen oficial de la sentencia en su integridad, en español, en los siguientes medios: Diario</w:t>
      </w:r>
      <w:r>
        <w:rPr>
          <w:spacing w:val="-6"/>
          <w:sz w:val="20"/>
        </w:rPr>
        <w:t> </w:t>
      </w:r>
      <w:r>
        <w:rPr>
          <w:sz w:val="20"/>
        </w:rPr>
        <w:t>“El</w:t>
      </w:r>
      <w:r>
        <w:rPr>
          <w:spacing w:val="-7"/>
          <w:sz w:val="20"/>
        </w:rPr>
        <w:t> </w:t>
      </w:r>
      <w:r>
        <w:rPr>
          <w:sz w:val="20"/>
        </w:rPr>
        <w:t>Tribuno”</w:t>
      </w:r>
      <w:r>
        <w:rPr>
          <w:spacing w:val="-5"/>
          <w:sz w:val="20"/>
        </w:rPr>
        <w:t> </w:t>
      </w:r>
      <w:r>
        <w:rPr>
          <w:sz w:val="20"/>
        </w:rPr>
        <w:t>de</w:t>
      </w:r>
      <w:r>
        <w:rPr>
          <w:spacing w:val="-7"/>
          <w:sz w:val="20"/>
        </w:rPr>
        <w:t> </w:t>
      </w:r>
      <w:r>
        <w:rPr>
          <w:sz w:val="20"/>
        </w:rPr>
        <w:t>Salta</w:t>
      </w:r>
      <w:r>
        <w:rPr>
          <w:spacing w:val="-6"/>
          <w:sz w:val="20"/>
        </w:rPr>
        <w:t> </w:t>
      </w:r>
      <w:r>
        <w:rPr>
          <w:sz w:val="20"/>
        </w:rPr>
        <w:t>y</w:t>
      </w:r>
      <w:r>
        <w:rPr>
          <w:spacing w:val="-6"/>
          <w:sz w:val="20"/>
        </w:rPr>
        <w:t> </w:t>
      </w:r>
      <w:r>
        <w:rPr>
          <w:sz w:val="20"/>
        </w:rPr>
        <w:t>en</w:t>
      </w:r>
      <w:r>
        <w:rPr>
          <w:spacing w:val="-7"/>
          <w:sz w:val="20"/>
        </w:rPr>
        <w:t> </w:t>
      </w:r>
      <w:r>
        <w:rPr>
          <w:sz w:val="20"/>
        </w:rPr>
        <w:t>un</w:t>
      </w:r>
      <w:r>
        <w:rPr>
          <w:spacing w:val="-7"/>
          <w:sz w:val="20"/>
        </w:rPr>
        <w:t> </w:t>
      </w:r>
      <w:r>
        <w:rPr>
          <w:sz w:val="20"/>
        </w:rPr>
        <w:t>diario</w:t>
      </w:r>
      <w:r>
        <w:rPr>
          <w:spacing w:val="-7"/>
          <w:sz w:val="20"/>
        </w:rPr>
        <w:t> </w:t>
      </w:r>
      <w:r>
        <w:rPr>
          <w:sz w:val="20"/>
        </w:rPr>
        <w:t>de</w:t>
      </w:r>
      <w:r>
        <w:rPr>
          <w:spacing w:val="-7"/>
          <w:sz w:val="20"/>
        </w:rPr>
        <w:t> </w:t>
      </w:r>
      <w:r>
        <w:rPr>
          <w:sz w:val="20"/>
        </w:rPr>
        <w:t>circulación</w:t>
      </w:r>
      <w:r>
        <w:rPr>
          <w:spacing w:val="-7"/>
          <w:sz w:val="20"/>
        </w:rPr>
        <w:t> </w:t>
      </w:r>
      <w:r>
        <w:rPr>
          <w:sz w:val="20"/>
        </w:rPr>
        <w:t>nacional,</w:t>
      </w:r>
      <w:r>
        <w:rPr>
          <w:spacing w:val="-8"/>
          <w:sz w:val="20"/>
        </w:rPr>
        <w:t> </w:t>
      </w:r>
      <w:r>
        <w:rPr>
          <w:sz w:val="20"/>
        </w:rPr>
        <w:t>así</w:t>
      </w:r>
      <w:r>
        <w:rPr>
          <w:spacing w:val="-6"/>
          <w:sz w:val="20"/>
        </w:rPr>
        <w:t> </w:t>
      </w:r>
      <w:r>
        <w:rPr>
          <w:sz w:val="20"/>
        </w:rPr>
        <w:t>como</w:t>
      </w:r>
      <w:r>
        <w:rPr>
          <w:spacing w:val="-6"/>
          <w:sz w:val="20"/>
        </w:rPr>
        <w:t> </w:t>
      </w:r>
      <w:r>
        <w:rPr>
          <w:sz w:val="20"/>
        </w:rPr>
        <w:t>en</w:t>
      </w:r>
      <w:r>
        <w:rPr>
          <w:spacing w:val="-5"/>
          <w:sz w:val="20"/>
        </w:rPr>
        <w:t> </w:t>
      </w:r>
      <w:r>
        <w:rPr>
          <w:sz w:val="20"/>
        </w:rPr>
        <w:t>el</w:t>
      </w:r>
      <w:r>
        <w:rPr>
          <w:spacing w:val="-8"/>
          <w:sz w:val="20"/>
        </w:rPr>
        <w:t> </w:t>
      </w:r>
      <w:r>
        <w:rPr>
          <w:sz w:val="20"/>
        </w:rPr>
        <w:t>boletín oficial de la República Argentina y en el de la Provincia de Salta; publicación de la Sentencia</w:t>
      </w:r>
      <w:r>
        <w:rPr>
          <w:spacing w:val="-18"/>
          <w:sz w:val="20"/>
        </w:rPr>
        <w:t> </w:t>
      </w:r>
      <w:r>
        <w:rPr>
          <w:sz w:val="20"/>
        </w:rPr>
        <w:t>en</w:t>
      </w:r>
      <w:r>
        <w:rPr>
          <w:spacing w:val="-18"/>
          <w:sz w:val="20"/>
        </w:rPr>
        <w:t> </w:t>
      </w:r>
      <w:r>
        <w:rPr>
          <w:sz w:val="20"/>
        </w:rPr>
        <w:t>su</w:t>
      </w:r>
      <w:r>
        <w:rPr>
          <w:spacing w:val="-20"/>
          <w:sz w:val="20"/>
        </w:rPr>
        <w:t> </w:t>
      </w:r>
      <w:r>
        <w:rPr>
          <w:sz w:val="20"/>
        </w:rPr>
        <w:t>integridad,</w:t>
      </w:r>
      <w:r>
        <w:rPr>
          <w:spacing w:val="-21"/>
          <w:sz w:val="20"/>
        </w:rPr>
        <w:t> </w:t>
      </w:r>
      <w:r>
        <w:rPr>
          <w:sz w:val="20"/>
        </w:rPr>
        <w:t>en</w:t>
      </w:r>
      <w:r>
        <w:rPr>
          <w:spacing w:val="-18"/>
          <w:sz w:val="20"/>
        </w:rPr>
        <w:t> </w:t>
      </w:r>
      <w:r>
        <w:rPr>
          <w:sz w:val="20"/>
        </w:rPr>
        <w:t>español,</w:t>
      </w:r>
      <w:r>
        <w:rPr>
          <w:spacing w:val="-19"/>
          <w:sz w:val="20"/>
        </w:rPr>
        <w:t> </w:t>
      </w:r>
      <w:r>
        <w:rPr>
          <w:sz w:val="20"/>
        </w:rPr>
        <w:t>en</w:t>
      </w:r>
      <w:r>
        <w:rPr>
          <w:spacing w:val="-20"/>
          <w:sz w:val="20"/>
        </w:rPr>
        <w:t> </w:t>
      </w:r>
      <w:r>
        <w:rPr>
          <w:sz w:val="20"/>
        </w:rPr>
        <w:t>instituciones</w:t>
      </w:r>
      <w:r>
        <w:rPr>
          <w:spacing w:val="-19"/>
          <w:sz w:val="20"/>
        </w:rPr>
        <w:t> </w:t>
      </w:r>
      <w:r>
        <w:rPr>
          <w:sz w:val="20"/>
        </w:rPr>
        <w:t>estatales,</w:t>
      </w:r>
      <w:r>
        <w:rPr>
          <w:spacing w:val="-20"/>
          <w:sz w:val="20"/>
        </w:rPr>
        <w:t> </w:t>
      </w:r>
      <w:r>
        <w:rPr>
          <w:sz w:val="20"/>
        </w:rPr>
        <w:t>y</w:t>
      </w:r>
      <w:r>
        <w:rPr>
          <w:spacing w:val="-21"/>
          <w:sz w:val="20"/>
        </w:rPr>
        <w:t> </w:t>
      </w:r>
      <w:r>
        <w:rPr>
          <w:sz w:val="20"/>
        </w:rPr>
        <w:t>difusión</w:t>
      </w:r>
      <w:r>
        <w:rPr>
          <w:spacing w:val="-21"/>
          <w:sz w:val="20"/>
        </w:rPr>
        <w:t> </w:t>
      </w:r>
      <w:r>
        <w:rPr>
          <w:sz w:val="20"/>
        </w:rPr>
        <w:t>del</w:t>
      </w:r>
      <w:r>
        <w:rPr>
          <w:spacing w:val="-21"/>
          <w:sz w:val="20"/>
        </w:rPr>
        <w:t> </w:t>
      </w:r>
      <w:r>
        <w:rPr>
          <w:sz w:val="20"/>
        </w:rPr>
        <w:t>resumen oficial de la Sentencia, en español y en los idiomas de las comunidades indígenas, a través de una emisora</w:t>
      </w:r>
      <w:r>
        <w:rPr>
          <w:spacing w:val="-13"/>
          <w:sz w:val="20"/>
        </w:rPr>
        <w:t> </w:t>
      </w:r>
      <w:r>
        <w:rPr>
          <w:sz w:val="20"/>
        </w:rPr>
        <w:t>radial</w:t>
      </w:r>
      <w:r>
        <w:rPr>
          <w:rFonts w:ascii="Calibri" w:hAnsi="Calibri"/>
          <w:position w:val="8"/>
          <w:sz w:val="14"/>
        </w:rPr>
        <w:t>328</w:t>
      </w:r>
      <w:r>
        <w:rPr>
          <w:sz w:val="20"/>
        </w:rPr>
        <w:t>.</w:t>
      </w:r>
    </w:p>
    <w:p>
      <w:pPr>
        <w:pStyle w:val="BodyText"/>
        <w:spacing w:before="5"/>
        <w:rPr>
          <w:sz w:val="21"/>
        </w:rPr>
      </w:pPr>
    </w:p>
    <w:p>
      <w:pPr>
        <w:pStyle w:val="ListParagraph"/>
        <w:numPr>
          <w:ilvl w:val="0"/>
          <w:numId w:val="37"/>
        </w:numPr>
        <w:tabs>
          <w:tab w:pos="830" w:val="left" w:leader="none"/>
        </w:tabs>
        <w:spacing w:line="240" w:lineRule="auto" w:before="0" w:after="0"/>
        <w:ind w:left="122" w:right="124" w:firstLine="0"/>
        <w:jc w:val="both"/>
        <w:rPr>
          <w:sz w:val="20"/>
        </w:rPr>
      </w:pPr>
      <w:r>
        <w:rPr>
          <w:sz w:val="20"/>
        </w:rPr>
        <w:t>El </w:t>
      </w:r>
      <w:r>
        <w:rPr>
          <w:b/>
          <w:i/>
          <w:sz w:val="20"/>
        </w:rPr>
        <w:t>Estado </w:t>
      </w:r>
      <w:r>
        <w:rPr>
          <w:sz w:val="20"/>
        </w:rPr>
        <w:t>consideró que las medidas de satisfacción solicitadas por los representantes</w:t>
      </w:r>
      <w:r>
        <w:rPr>
          <w:spacing w:val="-10"/>
          <w:sz w:val="20"/>
        </w:rPr>
        <w:t> </w:t>
      </w:r>
      <w:r>
        <w:rPr>
          <w:sz w:val="20"/>
        </w:rPr>
        <w:t>resultan</w:t>
      </w:r>
      <w:r>
        <w:rPr>
          <w:spacing w:val="-10"/>
          <w:sz w:val="20"/>
        </w:rPr>
        <w:t> </w:t>
      </w:r>
      <w:r>
        <w:rPr>
          <w:sz w:val="20"/>
        </w:rPr>
        <w:t>innecesarias.</w:t>
      </w:r>
      <w:r>
        <w:rPr>
          <w:spacing w:val="-12"/>
          <w:sz w:val="20"/>
        </w:rPr>
        <w:t> </w:t>
      </w:r>
      <w:r>
        <w:rPr>
          <w:sz w:val="20"/>
        </w:rPr>
        <w:t>Indicó</w:t>
      </w:r>
      <w:r>
        <w:rPr>
          <w:spacing w:val="-12"/>
          <w:sz w:val="20"/>
        </w:rPr>
        <w:t> </w:t>
      </w:r>
      <w:r>
        <w:rPr>
          <w:sz w:val="20"/>
        </w:rPr>
        <w:t>que</w:t>
      </w:r>
      <w:r>
        <w:rPr>
          <w:spacing w:val="-10"/>
          <w:sz w:val="20"/>
        </w:rPr>
        <w:t> </w:t>
      </w:r>
      <w:r>
        <w:rPr>
          <w:sz w:val="20"/>
        </w:rPr>
        <w:t>ha</w:t>
      </w:r>
      <w:r>
        <w:rPr>
          <w:spacing w:val="-11"/>
          <w:sz w:val="20"/>
        </w:rPr>
        <w:t> </w:t>
      </w:r>
      <w:r>
        <w:rPr>
          <w:sz w:val="20"/>
        </w:rPr>
        <w:t>reconocido,</w:t>
      </w:r>
      <w:r>
        <w:rPr>
          <w:spacing w:val="-9"/>
          <w:sz w:val="20"/>
        </w:rPr>
        <w:t> </w:t>
      </w:r>
      <w:r>
        <w:rPr>
          <w:sz w:val="20"/>
        </w:rPr>
        <w:t>en</w:t>
      </w:r>
      <w:r>
        <w:rPr>
          <w:spacing w:val="-8"/>
          <w:sz w:val="20"/>
        </w:rPr>
        <w:t> </w:t>
      </w:r>
      <w:r>
        <w:rPr>
          <w:sz w:val="20"/>
        </w:rPr>
        <w:t>reiteradas</w:t>
      </w:r>
      <w:r>
        <w:rPr>
          <w:spacing w:val="-12"/>
          <w:sz w:val="20"/>
        </w:rPr>
        <w:t> </w:t>
      </w:r>
      <w:r>
        <w:rPr>
          <w:sz w:val="20"/>
        </w:rPr>
        <w:t>ocasiones</w:t>
      </w:r>
    </w:p>
    <w:p>
      <w:pPr>
        <w:pStyle w:val="BodyText"/>
      </w:pPr>
    </w:p>
    <w:p>
      <w:pPr>
        <w:pStyle w:val="BodyText"/>
        <w:spacing w:before="4"/>
        <w:rPr>
          <w:sz w:val="19"/>
        </w:rPr>
      </w:pPr>
      <w:r>
        <w:rPr/>
        <w:pict>
          <v:line style="position:absolute;mso-position-horizontal-relative:page;mso-position-vertical-relative:paragraph;z-index:3592;mso-wrap-distance-left:0;mso-wrap-distance-right:0" from="85.103996pt,14.07509pt" to="229.123996pt,14.07509pt" stroked="true" strokeweight=".71997pt" strokecolor="#000000">
            <v:stroke dashstyle="solid"/>
            <w10:wrap type="topAndBottom"/>
          </v:line>
        </w:pict>
      </w:r>
    </w:p>
    <w:p>
      <w:pPr>
        <w:tabs>
          <w:tab w:pos="829" w:val="left" w:leader="none"/>
        </w:tabs>
        <w:spacing w:line="240" w:lineRule="auto" w:before="71"/>
        <w:ind w:left="122" w:right="114" w:firstLine="0"/>
        <w:jc w:val="both"/>
        <w:rPr>
          <w:sz w:val="16"/>
        </w:rPr>
      </w:pPr>
      <w:r>
        <w:rPr>
          <w:position w:val="6"/>
          <w:sz w:val="10"/>
        </w:rPr>
        <w:t>328</w:t>
        <w:tab/>
      </w:r>
      <w:r>
        <w:rPr>
          <w:sz w:val="16"/>
        </w:rPr>
        <w:t>Los representantes, en cuanto a las medidas indicadas, solicitaron: a) sobre el resumen </w:t>
      </w:r>
      <w:r>
        <w:rPr>
          <w:spacing w:val="5"/>
          <w:sz w:val="16"/>
        </w:rPr>
        <w:t> </w:t>
      </w:r>
      <w:r>
        <w:rPr>
          <w:sz w:val="16"/>
        </w:rPr>
        <w:t>oficial:</w:t>
      </w:r>
      <w:r>
        <w:rPr>
          <w:spacing w:val="4"/>
          <w:sz w:val="16"/>
        </w:rPr>
        <w:t> </w:t>
      </w:r>
      <w:r>
        <w:rPr>
          <w:sz w:val="16"/>
        </w:rPr>
        <w:t>que</w:t>
      </w:r>
      <w:r>
        <w:rPr>
          <w:w w:val="100"/>
          <w:sz w:val="16"/>
        </w:rPr>
        <w:t> </w:t>
      </w:r>
      <w:r>
        <w:rPr>
          <w:sz w:val="16"/>
        </w:rPr>
        <w:t>su versión impresa sea difundida entre las comunidades nucleadas en Lhaka Honhat; b) respecto a las publicaciones en periódicos de circulación provincial y nacional: que el Estado les informe una semana antes de que las haga, “[a] fin de difundir ampliamente la noticia entre las comunidades indígenas, considerando la enorme dificultad de comunicación que en ocasiones existe”; c) sobre la publicación íntegra de la sentencia: que sea durante un año: i.- en Salta, en las páginas oficiales de la Gobernación, del Ministerio de Asunto Indígenas</w:t>
      </w:r>
      <w:r>
        <w:rPr>
          <w:spacing w:val="-7"/>
          <w:sz w:val="16"/>
        </w:rPr>
        <w:t> </w:t>
      </w:r>
      <w:r>
        <w:rPr>
          <w:sz w:val="16"/>
        </w:rPr>
        <w:t>y</w:t>
      </w:r>
      <w:r>
        <w:rPr>
          <w:spacing w:val="-7"/>
          <w:sz w:val="16"/>
        </w:rPr>
        <w:t> </w:t>
      </w:r>
      <w:r>
        <w:rPr>
          <w:sz w:val="16"/>
        </w:rPr>
        <w:t>Desarrollo</w:t>
      </w:r>
      <w:r>
        <w:rPr>
          <w:spacing w:val="-7"/>
          <w:sz w:val="16"/>
        </w:rPr>
        <w:t> </w:t>
      </w:r>
      <w:r>
        <w:rPr>
          <w:sz w:val="16"/>
        </w:rPr>
        <w:t>Social</w:t>
      </w:r>
      <w:r>
        <w:rPr>
          <w:spacing w:val="-8"/>
          <w:sz w:val="16"/>
        </w:rPr>
        <w:t> </w:t>
      </w:r>
      <w:r>
        <w:rPr>
          <w:sz w:val="16"/>
        </w:rPr>
        <w:t>y</w:t>
      </w:r>
      <w:r>
        <w:rPr>
          <w:spacing w:val="-7"/>
          <w:sz w:val="16"/>
        </w:rPr>
        <w:t> </w:t>
      </w:r>
      <w:r>
        <w:rPr>
          <w:sz w:val="16"/>
        </w:rPr>
        <w:t>del</w:t>
      </w:r>
      <w:r>
        <w:rPr>
          <w:spacing w:val="-6"/>
          <w:sz w:val="16"/>
        </w:rPr>
        <w:t> </w:t>
      </w:r>
      <w:r>
        <w:rPr>
          <w:sz w:val="16"/>
        </w:rPr>
        <w:t>Poder</w:t>
      </w:r>
      <w:r>
        <w:rPr>
          <w:spacing w:val="-4"/>
          <w:sz w:val="16"/>
        </w:rPr>
        <w:t> </w:t>
      </w:r>
      <w:r>
        <w:rPr>
          <w:sz w:val="16"/>
        </w:rPr>
        <w:t>Judicial;</w:t>
      </w:r>
      <w:r>
        <w:rPr>
          <w:spacing w:val="-6"/>
          <w:sz w:val="16"/>
        </w:rPr>
        <w:t> </w:t>
      </w:r>
      <w:r>
        <w:rPr>
          <w:sz w:val="16"/>
        </w:rPr>
        <w:t>ii.-</w:t>
      </w:r>
      <w:r>
        <w:rPr>
          <w:spacing w:val="-6"/>
          <w:sz w:val="16"/>
        </w:rPr>
        <w:t> </w:t>
      </w:r>
      <w:r>
        <w:rPr>
          <w:sz w:val="16"/>
        </w:rPr>
        <w:t>en</w:t>
      </w:r>
      <w:r>
        <w:rPr>
          <w:spacing w:val="-8"/>
          <w:sz w:val="16"/>
        </w:rPr>
        <w:t> </w:t>
      </w:r>
      <w:r>
        <w:rPr>
          <w:sz w:val="16"/>
        </w:rPr>
        <w:t>el</w:t>
      </w:r>
      <w:r>
        <w:rPr>
          <w:spacing w:val="-8"/>
          <w:sz w:val="16"/>
        </w:rPr>
        <w:t> </w:t>
      </w:r>
      <w:r>
        <w:rPr>
          <w:sz w:val="16"/>
        </w:rPr>
        <w:t>Estado</w:t>
      </w:r>
      <w:r>
        <w:rPr>
          <w:spacing w:val="-7"/>
          <w:sz w:val="16"/>
        </w:rPr>
        <w:t> </w:t>
      </w:r>
      <w:r>
        <w:rPr>
          <w:sz w:val="16"/>
        </w:rPr>
        <w:t>Nacional,</w:t>
      </w:r>
      <w:r>
        <w:rPr>
          <w:spacing w:val="-6"/>
          <w:sz w:val="16"/>
        </w:rPr>
        <w:t> </w:t>
      </w:r>
      <w:r>
        <w:rPr>
          <w:sz w:val="16"/>
        </w:rPr>
        <w:t>en</w:t>
      </w:r>
      <w:r>
        <w:rPr>
          <w:spacing w:val="-8"/>
          <w:sz w:val="16"/>
        </w:rPr>
        <w:t> </w:t>
      </w:r>
      <w:r>
        <w:rPr>
          <w:sz w:val="16"/>
        </w:rPr>
        <w:t>las</w:t>
      </w:r>
      <w:r>
        <w:rPr>
          <w:spacing w:val="-7"/>
          <w:sz w:val="16"/>
        </w:rPr>
        <w:t> </w:t>
      </w:r>
      <w:r>
        <w:rPr>
          <w:sz w:val="16"/>
        </w:rPr>
        <w:t>páginas</w:t>
      </w:r>
      <w:r>
        <w:rPr>
          <w:spacing w:val="-5"/>
          <w:sz w:val="16"/>
        </w:rPr>
        <w:t> </w:t>
      </w:r>
      <w:r>
        <w:rPr>
          <w:sz w:val="16"/>
        </w:rPr>
        <w:t>oficiales</w:t>
      </w:r>
      <w:r>
        <w:rPr>
          <w:spacing w:val="-7"/>
          <w:sz w:val="16"/>
        </w:rPr>
        <w:t> </w:t>
      </w:r>
      <w:r>
        <w:rPr>
          <w:sz w:val="16"/>
        </w:rPr>
        <w:t>del</w:t>
      </w:r>
      <w:r>
        <w:rPr>
          <w:spacing w:val="-8"/>
          <w:sz w:val="16"/>
        </w:rPr>
        <w:t> </w:t>
      </w:r>
      <w:r>
        <w:rPr>
          <w:sz w:val="16"/>
        </w:rPr>
        <w:t>Centro de Información Judicial de la CSJN y del INAI, y d) que la transmisión radial se efectúe cada primer domingo de mes durante cuatro meses, y que se ordene al Estado que les informe con al menos tres semanas de antelación la fecha, horario y emisora que efectuará la</w:t>
      </w:r>
      <w:r>
        <w:rPr>
          <w:spacing w:val="-23"/>
          <w:sz w:val="16"/>
        </w:rPr>
        <w:t> </w:t>
      </w:r>
      <w:r>
        <w:rPr>
          <w:sz w:val="16"/>
        </w:rPr>
        <w:t>difusión.</w:t>
      </w:r>
    </w:p>
    <w:p>
      <w:pPr>
        <w:spacing w:after="0" w:line="240" w:lineRule="auto"/>
        <w:jc w:val="both"/>
        <w:rPr>
          <w:sz w:val="16"/>
        </w:rPr>
        <w:sectPr>
          <w:pgSz w:w="12240" w:h="15840"/>
          <w:pgMar w:header="0" w:footer="1000" w:top="1340" w:bottom="1200" w:left="1580" w:right="1580"/>
        </w:sectPr>
      </w:pPr>
    </w:p>
    <w:p>
      <w:pPr>
        <w:pStyle w:val="BodyText"/>
        <w:spacing w:line="242" w:lineRule="auto" w:before="76"/>
        <w:ind w:left="122" w:right="132"/>
        <w:jc w:val="both"/>
      </w:pPr>
      <w:r>
        <w:rPr/>
        <w:t>a través de decretos y resoluciones, que las comunidades indígenas víctimas de este caso tenían derecho a su territorio ancestral.</w:t>
      </w:r>
    </w:p>
    <w:p>
      <w:pPr>
        <w:pStyle w:val="BodyText"/>
        <w:spacing w:before="2"/>
        <w:rPr>
          <w:sz w:val="19"/>
        </w:rPr>
      </w:pPr>
    </w:p>
    <w:p>
      <w:pPr>
        <w:pStyle w:val="ListParagraph"/>
        <w:numPr>
          <w:ilvl w:val="0"/>
          <w:numId w:val="37"/>
        </w:numPr>
        <w:tabs>
          <w:tab w:pos="830" w:val="left" w:leader="none"/>
        </w:tabs>
        <w:spacing w:line="240" w:lineRule="auto" w:before="1" w:after="0"/>
        <w:ind w:left="122" w:right="125" w:firstLine="0"/>
        <w:jc w:val="both"/>
        <w:rPr>
          <w:sz w:val="20"/>
        </w:rPr>
      </w:pPr>
      <w:r>
        <w:rPr>
          <w:sz w:val="20"/>
        </w:rPr>
        <w:t>La </w:t>
      </w:r>
      <w:r>
        <w:rPr>
          <w:b/>
          <w:i/>
          <w:sz w:val="20"/>
        </w:rPr>
        <w:t>Corte </w:t>
      </w:r>
      <w:r>
        <w:rPr>
          <w:sz w:val="20"/>
        </w:rPr>
        <w:t>estima pertinente ordenar, como lo ha hecho en otros casos</w:t>
      </w:r>
      <w:r>
        <w:rPr>
          <w:rFonts w:ascii="Calibri" w:hAnsi="Calibri"/>
          <w:position w:val="8"/>
          <w:sz w:val="14"/>
        </w:rPr>
        <w:t>329</w:t>
      </w:r>
      <w:r>
        <w:rPr>
          <w:sz w:val="20"/>
        </w:rPr>
        <w:t>, que en el plazo máximo de seis meses a partir de la notificación de la presente Sentencia el Estado: a) publique en un tamaño de letra legible y adecuado la presente Sentencia en su</w:t>
      </w:r>
      <w:r>
        <w:rPr>
          <w:spacing w:val="-12"/>
          <w:sz w:val="20"/>
        </w:rPr>
        <w:t> </w:t>
      </w:r>
      <w:r>
        <w:rPr>
          <w:sz w:val="20"/>
        </w:rPr>
        <w:t>integridad,</w:t>
      </w:r>
      <w:r>
        <w:rPr>
          <w:spacing w:val="-13"/>
          <w:sz w:val="20"/>
        </w:rPr>
        <w:t> </w:t>
      </w:r>
      <w:r>
        <w:rPr>
          <w:sz w:val="20"/>
        </w:rPr>
        <w:t>de</w:t>
      </w:r>
      <w:r>
        <w:rPr>
          <w:spacing w:val="-14"/>
          <w:sz w:val="20"/>
        </w:rPr>
        <w:t> </w:t>
      </w:r>
      <w:r>
        <w:rPr>
          <w:sz w:val="20"/>
        </w:rPr>
        <w:t>modo</w:t>
      </w:r>
      <w:r>
        <w:rPr>
          <w:spacing w:val="-9"/>
          <w:sz w:val="20"/>
        </w:rPr>
        <w:t> </w:t>
      </w:r>
      <w:r>
        <w:rPr>
          <w:sz w:val="20"/>
        </w:rPr>
        <w:t>que</w:t>
      </w:r>
      <w:r>
        <w:rPr>
          <w:spacing w:val="-14"/>
          <w:sz w:val="20"/>
        </w:rPr>
        <w:t> </w:t>
      </w:r>
      <w:r>
        <w:rPr>
          <w:sz w:val="20"/>
        </w:rPr>
        <w:t>esté</w:t>
      </w:r>
      <w:r>
        <w:rPr>
          <w:spacing w:val="-14"/>
          <w:sz w:val="20"/>
        </w:rPr>
        <w:t> </w:t>
      </w:r>
      <w:r>
        <w:rPr>
          <w:sz w:val="20"/>
        </w:rPr>
        <w:t>disponible</w:t>
      </w:r>
      <w:r>
        <w:rPr>
          <w:spacing w:val="-12"/>
          <w:sz w:val="20"/>
        </w:rPr>
        <w:t> </w:t>
      </w:r>
      <w:r>
        <w:rPr>
          <w:sz w:val="20"/>
        </w:rPr>
        <w:t>por</w:t>
      </w:r>
      <w:r>
        <w:rPr>
          <w:spacing w:val="-11"/>
          <w:sz w:val="20"/>
        </w:rPr>
        <w:t> </w:t>
      </w:r>
      <w:r>
        <w:rPr>
          <w:sz w:val="20"/>
        </w:rPr>
        <w:t>un</w:t>
      </w:r>
      <w:r>
        <w:rPr>
          <w:spacing w:val="-12"/>
          <w:sz w:val="20"/>
        </w:rPr>
        <w:t> </w:t>
      </w:r>
      <w:r>
        <w:rPr>
          <w:sz w:val="20"/>
        </w:rPr>
        <w:t>período</w:t>
      </w:r>
      <w:r>
        <w:rPr>
          <w:spacing w:val="-14"/>
          <w:sz w:val="20"/>
        </w:rPr>
        <w:t> </w:t>
      </w:r>
      <w:r>
        <w:rPr>
          <w:sz w:val="20"/>
        </w:rPr>
        <w:t>de</w:t>
      </w:r>
      <w:r>
        <w:rPr>
          <w:spacing w:val="-14"/>
          <w:sz w:val="20"/>
        </w:rPr>
        <w:t> </w:t>
      </w:r>
      <w:r>
        <w:rPr>
          <w:sz w:val="20"/>
        </w:rPr>
        <w:t>al</w:t>
      </w:r>
      <w:r>
        <w:rPr>
          <w:spacing w:val="-12"/>
          <w:sz w:val="20"/>
        </w:rPr>
        <w:t> </w:t>
      </w:r>
      <w:r>
        <w:rPr>
          <w:sz w:val="20"/>
        </w:rPr>
        <w:t>menos</w:t>
      </w:r>
      <w:r>
        <w:rPr>
          <w:spacing w:val="-11"/>
          <w:sz w:val="20"/>
        </w:rPr>
        <w:t> </w:t>
      </w:r>
      <w:r>
        <w:rPr>
          <w:sz w:val="20"/>
        </w:rPr>
        <w:t>un</w:t>
      </w:r>
      <w:r>
        <w:rPr>
          <w:spacing w:val="-12"/>
          <w:sz w:val="20"/>
        </w:rPr>
        <w:t> </w:t>
      </w:r>
      <w:r>
        <w:rPr>
          <w:sz w:val="20"/>
        </w:rPr>
        <w:t>año</w:t>
      </w:r>
      <w:r>
        <w:rPr>
          <w:spacing w:val="-14"/>
          <w:sz w:val="20"/>
        </w:rPr>
        <w:t> </w:t>
      </w:r>
      <w:r>
        <w:rPr>
          <w:sz w:val="20"/>
        </w:rPr>
        <w:t>en</w:t>
      </w:r>
      <w:r>
        <w:rPr>
          <w:spacing w:val="-9"/>
          <w:sz w:val="20"/>
        </w:rPr>
        <w:t> </w:t>
      </w:r>
      <w:r>
        <w:rPr>
          <w:sz w:val="20"/>
        </w:rPr>
        <w:t>el</w:t>
      </w:r>
      <w:r>
        <w:rPr>
          <w:spacing w:val="-13"/>
          <w:sz w:val="20"/>
        </w:rPr>
        <w:t> </w:t>
      </w:r>
      <w:r>
        <w:rPr>
          <w:sz w:val="20"/>
        </w:rPr>
        <w:t>sitio web oficial del INAI y en la página de la Gobernación de Salta, de manera accesible al público</w:t>
      </w:r>
      <w:r>
        <w:rPr>
          <w:spacing w:val="-17"/>
          <w:sz w:val="20"/>
        </w:rPr>
        <w:t> </w:t>
      </w:r>
      <w:r>
        <w:rPr>
          <w:sz w:val="20"/>
        </w:rPr>
        <w:t>desde</w:t>
      </w:r>
      <w:r>
        <w:rPr>
          <w:spacing w:val="-15"/>
          <w:sz w:val="20"/>
        </w:rPr>
        <w:t> </w:t>
      </w:r>
      <w:r>
        <w:rPr>
          <w:sz w:val="20"/>
        </w:rPr>
        <w:t>las</w:t>
      </w:r>
      <w:r>
        <w:rPr>
          <w:spacing w:val="-13"/>
          <w:sz w:val="20"/>
        </w:rPr>
        <w:t> </w:t>
      </w:r>
      <w:r>
        <w:rPr>
          <w:sz w:val="20"/>
        </w:rPr>
        <w:t>respectivas</w:t>
      </w:r>
      <w:r>
        <w:rPr>
          <w:spacing w:val="-16"/>
          <w:sz w:val="20"/>
        </w:rPr>
        <w:t> </w:t>
      </w:r>
      <w:r>
        <w:rPr>
          <w:sz w:val="20"/>
        </w:rPr>
        <w:t>páginas</w:t>
      </w:r>
      <w:r>
        <w:rPr>
          <w:spacing w:val="-16"/>
          <w:sz w:val="20"/>
        </w:rPr>
        <w:t> </w:t>
      </w:r>
      <w:r>
        <w:rPr>
          <w:sz w:val="20"/>
        </w:rPr>
        <w:t>de</w:t>
      </w:r>
      <w:r>
        <w:rPr>
          <w:spacing w:val="-16"/>
          <w:sz w:val="20"/>
        </w:rPr>
        <w:t> </w:t>
      </w:r>
      <w:r>
        <w:rPr>
          <w:sz w:val="20"/>
        </w:rPr>
        <w:t>inicio;</w:t>
      </w:r>
      <w:r>
        <w:rPr>
          <w:spacing w:val="-13"/>
          <w:sz w:val="20"/>
        </w:rPr>
        <w:t> </w:t>
      </w:r>
      <w:r>
        <w:rPr>
          <w:sz w:val="20"/>
        </w:rPr>
        <w:t>b)</w:t>
      </w:r>
      <w:r>
        <w:rPr>
          <w:spacing w:val="-15"/>
          <w:sz w:val="20"/>
        </w:rPr>
        <w:t> </w:t>
      </w:r>
      <w:r>
        <w:rPr>
          <w:sz w:val="20"/>
        </w:rPr>
        <w:t>publique</w:t>
      </w:r>
      <w:r>
        <w:rPr>
          <w:spacing w:val="-16"/>
          <w:sz w:val="20"/>
        </w:rPr>
        <w:t> </w:t>
      </w:r>
      <w:r>
        <w:rPr>
          <w:sz w:val="20"/>
        </w:rPr>
        <w:t>en</w:t>
      </w:r>
      <w:r>
        <w:rPr>
          <w:spacing w:val="-14"/>
          <w:sz w:val="20"/>
        </w:rPr>
        <w:t> </w:t>
      </w:r>
      <w:r>
        <w:rPr>
          <w:sz w:val="20"/>
        </w:rPr>
        <w:t>un</w:t>
      </w:r>
      <w:r>
        <w:rPr>
          <w:spacing w:val="-14"/>
          <w:sz w:val="20"/>
        </w:rPr>
        <w:t> </w:t>
      </w:r>
      <w:r>
        <w:rPr>
          <w:sz w:val="20"/>
        </w:rPr>
        <w:t>tamaño</w:t>
      </w:r>
      <w:r>
        <w:rPr>
          <w:spacing w:val="-16"/>
          <w:sz w:val="20"/>
        </w:rPr>
        <w:t> </w:t>
      </w:r>
      <w:r>
        <w:rPr>
          <w:sz w:val="20"/>
        </w:rPr>
        <w:t>de</w:t>
      </w:r>
      <w:r>
        <w:rPr>
          <w:spacing w:val="-16"/>
          <w:sz w:val="20"/>
        </w:rPr>
        <w:t> </w:t>
      </w:r>
      <w:r>
        <w:rPr>
          <w:sz w:val="20"/>
        </w:rPr>
        <w:t>letra</w:t>
      </w:r>
      <w:r>
        <w:rPr>
          <w:spacing w:val="-15"/>
          <w:sz w:val="20"/>
        </w:rPr>
        <w:t> </w:t>
      </w:r>
      <w:r>
        <w:rPr>
          <w:sz w:val="20"/>
        </w:rPr>
        <w:t>legible y</w:t>
      </w:r>
      <w:r>
        <w:rPr>
          <w:spacing w:val="-19"/>
          <w:sz w:val="20"/>
        </w:rPr>
        <w:t> </w:t>
      </w:r>
      <w:r>
        <w:rPr>
          <w:sz w:val="20"/>
        </w:rPr>
        <w:t>adecuado,</w:t>
      </w:r>
      <w:r>
        <w:rPr>
          <w:spacing w:val="-19"/>
          <w:sz w:val="20"/>
        </w:rPr>
        <w:t> </w:t>
      </w:r>
      <w:r>
        <w:rPr>
          <w:sz w:val="20"/>
        </w:rPr>
        <w:t>en</w:t>
      </w:r>
      <w:r>
        <w:rPr>
          <w:spacing w:val="-18"/>
          <w:sz w:val="20"/>
        </w:rPr>
        <w:t> </w:t>
      </w:r>
      <w:r>
        <w:rPr>
          <w:sz w:val="20"/>
        </w:rPr>
        <w:t>idioma</w:t>
      </w:r>
      <w:r>
        <w:rPr>
          <w:spacing w:val="-18"/>
          <w:sz w:val="20"/>
        </w:rPr>
        <w:t> </w:t>
      </w:r>
      <w:r>
        <w:rPr>
          <w:sz w:val="20"/>
        </w:rPr>
        <w:t>español,</w:t>
      </w:r>
      <w:r>
        <w:rPr>
          <w:spacing w:val="-19"/>
          <w:sz w:val="20"/>
        </w:rPr>
        <w:t> </w:t>
      </w:r>
      <w:r>
        <w:rPr>
          <w:sz w:val="20"/>
        </w:rPr>
        <w:t>el</w:t>
      </w:r>
      <w:r>
        <w:rPr>
          <w:spacing w:val="-16"/>
          <w:sz w:val="20"/>
        </w:rPr>
        <w:t> </w:t>
      </w:r>
      <w:r>
        <w:rPr>
          <w:sz w:val="20"/>
        </w:rPr>
        <w:t>resumen</w:t>
      </w:r>
      <w:r>
        <w:rPr>
          <w:spacing w:val="-15"/>
          <w:sz w:val="20"/>
        </w:rPr>
        <w:t> </w:t>
      </w:r>
      <w:r>
        <w:rPr>
          <w:sz w:val="20"/>
        </w:rPr>
        <w:t>oficial</w:t>
      </w:r>
      <w:r>
        <w:rPr>
          <w:spacing w:val="-18"/>
          <w:sz w:val="20"/>
        </w:rPr>
        <w:t> </w:t>
      </w:r>
      <w:r>
        <w:rPr>
          <w:sz w:val="20"/>
        </w:rPr>
        <w:t>de</w:t>
      </w:r>
      <w:r>
        <w:rPr>
          <w:spacing w:val="-20"/>
          <w:sz w:val="20"/>
        </w:rPr>
        <w:t> </w:t>
      </w:r>
      <w:r>
        <w:rPr>
          <w:sz w:val="20"/>
        </w:rPr>
        <w:t>la</w:t>
      </w:r>
      <w:r>
        <w:rPr>
          <w:spacing w:val="-18"/>
          <w:sz w:val="20"/>
        </w:rPr>
        <w:t> </w:t>
      </w:r>
      <w:r>
        <w:rPr>
          <w:sz w:val="20"/>
        </w:rPr>
        <w:t>Sentencia</w:t>
      </w:r>
      <w:r>
        <w:rPr>
          <w:spacing w:val="-16"/>
          <w:sz w:val="20"/>
        </w:rPr>
        <w:t> </w:t>
      </w:r>
      <w:r>
        <w:rPr>
          <w:sz w:val="20"/>
        </w:rPr>
        <w:t>elaborado</w:t>
      </w:r>
      <w:r>
        <w:rPr>
          <w:spacing w:val="-20"/>
          <w:sz w:val="20"/>
        </w:rPr>
        <w:t> </w:t>
      </w:r>
      <w:r>
        <w:rPr>
          <w:sz w:val="20"/>
        </w:rPr>
        <w:t>por</w:t>
      </w:r>
      <w:r>
        <w:rPr>
          <w:spacing w:val="-20"/>
          <w:sz w:val="20"/>
        </w:rPr>
        <w:t> </w:t>
      </w:r>
      <w:r>
        <w:rPr>
          <w:sz w:val="20"/>
        </w:rPr>
        <w:t>la</w:t>
      </w:r>
      <w:r>
        <w:rPr>
          <w:spacing w:val="-18"/>
          <w:sz w:val="20"/>
        </w:rPr>
        <w:t> </w:t>
      </w:r>
      <w:r>
        <w:rPr>
          <w:sz w:val="20"/>
        </w:rPr>
        <w:t>Corte, por una sola vez, en: i) el Boletín Oficial de la República Argentina, ii) el Boletín oficial de la Provincia de Salta, iii) un diario de circulación provincial en Salta, y iv) un diario de amplia circulación nacional; c) difunda el resumen oficial de la presente Sentencia elaborado</w:t>
      </w:r>
      <w:r>
        <w:rPr>
          <w:spacing w:val="-12"/>
          <w:sz w:val="20"/>
        </w:rPr>
        <w:t> </w:t>
      </w:r>
      <w:r>
        <w:rPr>
          <w:sz w:val="20"/>
        </w:rPr>
        <w:t>por</w:t>
      </w:r>
      <w:r>
        <w:rPr>
          <w:spacing w:val="-10"/>
          <w:sz w:val="20"/>
        </w:rPr>
        <w:t> </w:t>
      </w:r>
      <w:r>
        <w:rPr>
          <w:sz w:val="20"/>
        </w:rPr>
        <w:t>la</w:t>
      </w:r>
      <w:r>
        <w:rPr>
          <w:spacing w:val="-11"/>
          <w:sz w:val="20"/>
        </w:rPr>
        <w:t> </w:t>
      </w:r>
      <w:r>
        <w:rPr>
          <w:sz w:val="20"/>
        </w:rPr>
        <w:t>Corte,</w:t>
      </w:r>
      <w:r>
        <w:rPr>
          <w:spacing w:val="-9"/>
          <w:sz w:val="20"/>
        </w:rPr>
        <w:t> </w:t>
      </w:r>
      <w:r>
        <w:rPr>
          <w:sz w:val="20"/>
        </w:rPr>
        <w:t>en</w:t>
      </w:r>
      <w:r>
        <w:rPr>
          <w:spacing w:val="-10"/>
          <w:sz w:val="20"/>
        </w:rPr>
        <w:t> </w:t>
      </w:r>
      <w:r>
        <w:rPr>
          <w:sz w:val="20"/>
        </w:rPr>
        <w:t>lenguas</w:t>
      </w:r>
      <w:r>
        <w:rPr>
          <w:spacing w:val="-12"/>
          <w:sz w:val="20"/>
        </w:rPr>
        <w:t> </w:t>
      </w:r>
      <w:r>
        <w:rPr>
          <w:sz w:val="20"/>
        </w:rPr>
        <w:t>indígenas</w:t>
      </w:r>
      <w:r>
        <w:rPr>
          <w:spacing w:val="-9"/>
          <w:sz w:val="20"/>
        </w:rPr>
        <w:t> </w:t>
      </w:r>
      <w:r>
        <w:rPr>
          <w:sz w:val="20"/>
        </w:rPr>
        <w:t>y</w:t>
      </w:r>
      <w:r>
        <w:rPr>
          <w:spacing w:val="-9"/>
          <w:sz w:val="20"/>
        </w:rPr>
        <w:t> </w:t>
      </w:r>
      <w:r>
        <w:rPr>
          <w:sz w:val="20"/>
        </w:rPr>
        <w:t>en</w:t>
      </w:r>
      <w:r>
        <w:rPr>
          <w:spacing w:val="-10"/>
          <w:sz w:val="20"/>
        </w:rPr>
        <w:t> </w:t>
      </w:r>
      <w:r>
        <w:rPr>
          <w:sz w:val="20"/>
        </w:rPr>
        <w:t>español,</w:t>
      </w:r>
      <w:r>
        <w:rPr>
          <w:spacing w:val="-9"/>
          <w:sz w:val="20"/>
        </w:rPr>
        <w:t> </w:t>
      </w:r>
      <w:r>
        <w:rPr>
          <w:sz w:val="20"/>
        </w:rPr>
        <w:t>entre</w:t>
      </w:r>
      <w:r>
        <w:rPr>
          <w:spacing w:val="-13"/>
          <w:sz w:val="20"/>
        </w:rPr>
        <w:t> </w:t>
      </w:r>
      <w:r>
        <w:rPr>
          <w:sz w:val="20"/>
        </w:rPr>
        <w:t>la</w:t>
      </w:r>
      <w:r>
        <w:rPr>
          <w:spacing w:val="-11"/>
          <w:sz w:val="20"/>
        </w:rPr>
        <w:t> </w:t>
      </w:r>
      <w:r>
        <w:rPr>
          <w:sz w:val="20"/>
        </w:rPr>
        <w:t>población</w:t>
      </w:r>
      <w:r>
        <w:rPr>
          <w:spacing w:val="-10"/>
          <w:sz w:val="20"/>
        </w:rPr>
        <w:t> </w:t>
      </w:r>
      <w:r>
        <w:rPr>
          <w:sz w:val="20"/>
        </w:rPr>
        <w:t>que</w:t>
      </w:r>
      <w:r>
        <w:rPr>
          <w:spacing w:val="-13"/>
          <w:sz w:val="20"/>
        </w:rPr>
        <w:t> </w:t>
      </w:r>
      <w:r>
        <w:rPr>
          <w:sz w:val="20"/>
        </w:rPr>
        <w:t>habita actualmente los lotes 14 y 55, inclusive cada una de las comunidades víctimas. A fin</w:t>
      </w:r>
      <w:r>
        <w:rPr>
          <w:spacing w:val="-44"/>
          <w:sz w:val="20"/>
        </w:rPr>
        <w:t> </w:t>
      </w:r>
      <w:r>
        <w:rPr>
          <w:sz w:val="20"/>
        </w:rPr>
        <w:t>de cumplir</w:t>
      </w:r>
      <w:r>
        <w:rPr>
          <w:spacing w:val="-11"/>
          <w:sz w:val="20"/>
        </w:rPr>
        <w:t> </w:t>
      </w:r>
      <w:r>
        <w:rPr>
          <w:sz w:val="20"/>
        </w:rPr>
        <w:t>lo</w:t>
      </w:r>
      <w:r>
        <w:rPr>
          <w:spacing w:val="-11"/>
          <w:sz w:val="20"/>
        </w:rPr>
        <w:t> </w:t>
      </w:r>
      <w:r>
        <w:rPr>
          <w:sz w:val="20"/>
        </w:rPr>
        <w:t>último</w:t>
      </w:r>
      <w:r>
        <w:rPr>
          <w:spacing w:val="-9"/>
          <w:sz w:val="20"/>
        </w:rPr>
        <w:t> </w:t>
      </w:r>
      <w:r>
        <w:rPr>
          <w:sz w:val="20"/>
        </w:rPr>
        <w:t>ordenado,</w:t>
      </w:r>
      <w:r>
        <w:rPr>
          <w:spacing w:val="-9"/>
          <w:sz w:val="20"/>
        </w:rPr>
        <w:t> </w:t>
      </w:r>
      <w:r>
        <w:rPr>
          <w:sz w:val="20"/>
        </w:rPr>
        <w:t>el</w:t>
      </w:r>
      <w:r>
        <w:rPr>
          <w:spacing w:val="-11"/>
          <w:sz w:val="20"/>
        </w:rPr>
        <w:t> </w:t>
      </w:r>
      <w:r>
        <w:rPr>
          <w:sz w:val="20"/>
        </w:rPr>
        <w:t>Estado</w:t>
      </w:r>
      <w:r>
        <w:rPr>
          <w:spacing w:val="-11"/>
          <w:sz w:val="20"/>
        </w:rPr>
        <w:t> </w:t>
      </w:r>
      <w:r>
        <w:rPr>
          <w:sz w:val="20"/>
        </w:rPr>
        <w:t>tendrá</w:t>
      </w:r>
      <w:r>
        <w:rPr>
          <w:spacing w:val="-11"/>
          <w:sz w:val="20"/>
        </w:rPr>
        <w:t> </w:t>
      </w:r>
      <w:r>
        <w:rPr>
          <w:sz w:val="20"/>
        </w:rPr>
        <w:t>a</w:t>
      </w:r>
      <w:r>
        <w:rPr>
          <w:spacing w:val="-9"/>
          <w:sz w:val="20"/>
        </w:rPr>
        <w:t> </w:t>
      </w:r>
      <w:r>
        <w:rPr>
          <w:sz w:val="20"/>
        </w:rPr>
        <w:t>su</w:t>
      </w:r>
      <w:r>
        <w:rPr>
          <w:spacing w:val="-10"/>
          <w:sz w:val="20"/>
        </w:rPr>
        <w:t> </w:t>
      </w:r>
      <w:r>
        <w:rPr>
          <w:sz w:val="20"/>
        </w:rPr>
        <w:t>cargo</w:t>
      </w:r>
      <w:r>
        <w:rPr>
          <w:spacing w:val="-11"/>
          <w:sz w:val="20"/>
        </w:rPr>
        <w:t> </w:t>
      </w:r>
      <w:r>
        <w:rPr>
          <w:sz w:val="20"/>
        </w:rPr>
        <w:t>la</w:t>
      </w:r>
      <w:r>
        <w:rPr>
          <w:spacing w:val="-11"/>
          <w:sz w:val="20"/>
        </w:rPr>
        <w:t> </w:t>
      </w:r>
      <w:r>
        <w:rPr>
          <w:sz w:val="20"/>
        </w:rPr>
        <w:t>traducción</w:t>
      </w:r>
      <w:r>
        <w:rPr>
          <w:spacing w:val="-10"/>
          <w:sz w:val="20"/>
        </w:rPr>
        <w:t> </w:t>
      </w:r>
      <w:r>
        <w:rPr>
          <w:sz w:val="20"/>
        </w:rPr>
        <w:t>del</w:t>
      </w:r>
      <w:r>
        <w:rPr>
          <w:spacing w:val="-9"/>
          <w:sz w:val="20"/>
        </w:rPr>
        <w:t> </w:t>
      </w:r>
      <w:r>
        <w:rPr>
          <w:sz w:val="20"/>
        </w:rPr>
        <w:t>resumen</w:t>
      </w:r>
      <w:r>
        <w:rPr>
          <w:spacing w:val="-8"/>
          <w:sz w:val="20"/>
        </w:rPr>
        <w:t> </w:t>
      </w:r>
      <w:r>
        <w:rPr>
          <w:sz w:val="20"/>
        </w:rPr>
        <w:t>oficial de</w:t>
      </w:r>
      <w:r>
        <w:rPr>
          <w:spacing w:val="-13"/>
          <w:sz w:val="20"/>
        </w:rPr>
        <w:t> </w:t>
      </w:r>
      <w:r>
        <w:rPr>
          <w:sz w:val="20"/>
        </w:rPr>
        <w:t>esta</w:t>
      </w:r>
      <w:r>
        <w:rPr>
          <w:spacing w:val="-13"/>
          <w:sz w:val="20"/>
        </w:rPr>
        <w:t> </w:t>
      </w:r>
      <w:r>
        <w:rPr>
          <w:sz w:val="20"/>
        </w:rPr>
        <w:t>Sentencia,</w:t>
      </w:r>
      <w:r>
        <w:rPr>
          <w:spacing w:val="-14"/>
          <w:sz w:val="20"/>
        </w:rPr>
        <w:t> </w:t>
      </w:r>
      <w:r>
        <w:rPr>
          <w:sz w:val="20"/>
        </w:rPr>
        <w:t>pero</w:t>
      </w:r>
      <w:r>
        <w:rPr>
          <w:spacing w:val="-12"/>
          <w:sz w:val="20"/>
        </w:rPr>
        <w:t> </w:t>
      </w:r>
      <w:r>
        <w:rPr>
          <w:sz w:val="20"/>
        </w:rPr>
        <w:t>deberá</w:t>
      </w:r>
      <w:r>
        <w:rPr>
          <w:spacing w:val="-11"/>
          <w:sz w:val="20"/>
        </w:rPr>
        <w:t> </w:t>
      </w:r>
      <w:r>
        <w:rPr>
          <w:sz w:val="20"/>
        </w:rPr>
        <w:t>consensuar</w:t>
      </w:r>
      <w:r>
        <w:rPr>
          <w:spacing w:val="-13"/>
          <w:sz w:val="20"/>
        </w:rPr>
        <w:t> </w:t>
      </w:r>
      <w:r>
        <w:rPr>
          <w:sz w:val="20"/>
        </w:rPr>
        <w:t>con</w:t>
      </w:r>
      <w:r>
        <w:rPr>
          <w:spacing w:val="-13"/>
          <w:sz w:val="20"/>
        </w:rPr>
        <w:t> </w:t>
      </w:r>
      <w:r>
        <w:rPr>
          <w:sz w:val="20"/>
        </w:rPr>
        <w:t>los</w:t>
      </w:r>
      <w:r>
        <w:rPr>
          <w:spacing w:val="-12"/>
          <w:sz w:val="20"/>
        </w:rPr>
        <w:t> </w:t>
      </w:r>
      <w:r>
        <w:rPr>
          <w:sz w:val="20"/>
        </w:rPr>
        <w:t>representantes</w:t>
      </w:r>
      <w:r>
        <w:rPr>
          <w:spacing w:val="-12"/>
          <w:sz w:val="20"/>
        </w:rPr>
        <w:t> </w:t>
      </w:r>
      <w:r>
        <w:rPr>
          <w:sz w:val="20"/>
        </w:rPr>
        <w:t>las</w:t>
      </w:r>
      <w:r>
        <w:rPr>
          <w:spacing w:val="-14"/>
          <w:sz w:val="20"/>
        </w:rPr>
        <w:t> </w:t>
      </w:r>
      <w:r>
        <w:rPr>
          <w:sz w:val="20"/>
        </w:rPr>
        <w:t>lenguas</w:t>
      </w:r>
      <w:r>
        <w:rPr>
          <w:spacing w:val="-14"/>
          <w:sz w:val="20"/>
        </w:rPr>
        <w:t> </w:t>
      </w:r>
      <w:r>
        <w:rPr>
          <w:sz w:val="20"/>
        </w:rPr>
        <w:t>indígenas a</w:t>
      </w:r>
      <w:r>
        <w:rPr>
          <w:spacing w:val="-15"/>
          <w:sz w:val="20"/>
        </w:rPr>
        <w:t> </w:t>
      </w:r>
      <w:r>
        <w:rPr>
          <w:sz w:val="20"/>
        </w:rPr>
        <w:t>las</w:t>
      </w:r>
      <w:r>
        <w:rPr>
          <w:spacing w:val="-16"/>
          <w:sz w:val="20"/>
        </w:rPr>
        <w:t> </w:t>
      </w:r>
      <w:r>
        <w:rPr>
          <w:sz w:val="20"/>
        </w:rPr>
        <w:t>que</w:t>
      </w:r>
      <w:r>
        <w:rPr>
          <w:spacing w:val="-14"/>
          <w:sz w:val="20"/>
        </w:rPr>
        <w:t> </w:t>
      </w:r>
      <w:r>
        <w:rPr>
          <w:sz w:val="20"/>
        </w:rPr>
        <w:t>se</w:t>
      </w:r>
      <w:r>
        <w:rPr>
          <w:spacing w:val="-17"/>
          <w:sz w:val="20"/>
        </w:rPr>
        <w:t> </w:t>
      </w:r>
      <w:r>
        <w:rPr>
          <w:sz w:val="20"/>
        </w:rPr>
        <w:t>traducirá</w:t>
      </w:r>
      <w:r>
        <w:rPr>
          <w:spacing w:val="-13"/>
          <w:sz w:val="20"/>
        </w:rPr>
        <w:t> </w:t>
      </w:r>
      <w:r>
        <w:rPr>
          <w:sz w:val="20"/>
        </w:rPr>
        <w:t>el</w:t>
      </w:r>
      <w:r>
        <w:rPr>
          <w:spacing w:val="-13"/>
          <w:sz w:val="20"/>
        </w:rPr>
        <w:t> </w:t>
      </w:r>
      <w:r>
        <w:rPr>
          <w:sz w:val="20"/>
        </w:rPr>
        <w:t>resumen,</w:t>
      </w:r>
      <w:r>
        <w:rPr>
          <w:spacing w:val="-13"/>
          <w:sz w:val="20"/>
        </w:rPr>
        <w:t> </w:t>
      </w:r>
      <w:r>
        <w:rPr>
          <w:sz w:val="20"/>
        </w:rPr>
        <w:t>y</w:t>
      </w:r>
      <w:r>
        <w:rPr>
          <w:spacing w:val="-15"/>
          <w:sz w:val="20"/>
        </w:rPr>
        <w:t> </w:t>
      </w:r>
      <w:r>
        <w:rPr>
          <w:sz w:val="20"/>
        </w:rPr>
        <w:t>posibilitar</w:t>
      </w:r>
      <w:r>
        <w:rPr>
          <w:spacing w:val="-16"/>
          <w:sz w:val="20"/>
        </w:rPr>
        <w:t> </w:t>
      </w:r>
      <w:r>
        <w:rPr>
          <w:sz w:val="20"/>
        </w:rPr>
        <w:t>que</w:t>
      </w:r>
      <w:r>
        <w:rPr>
          <w:spacing w:val="-16"/>
          <w:sz w:val="20"/>
        </w:rPr>
        <w:t> </w:t>
      </w:r>
      <w:r>
        <w:rPr>
          <w:sz w:val="20"/>
        </w:rPr>
        <w:t>estos</w:t>
      </w:r>
      <w:r>
        <w:rPr>
          <w:spacing w:val="-14"/>
          <w:sz w:val="20"/>
        </w:rPr>
        <w:t> </w:t>
      </w:r>
      <w:r>
        <w:rPr>
          <w:sz w:val="20"/>
        </w:rPr>
        <w:t>verifiquen,</w:t>
      </w:r>
      <w:r>
        <w:rPr>
          <w:spacing w:val="-16"/>
          <w:sz w:val="20"/>
        </w:rPr>
        <w:t> </w:t>
      </w:r>
      <w:r>
        <w:rPr>
          <w:sz w:val="20"/>
        </w:rPr>
        <w:t>antes</w:t>
      </w:r>
      <w:r>
        <w:rPr>
          <w:spacing w:val="-16"/>
          <w:sz w:val="20"/>
        </w:rPr>
        <w:t> </w:t>
      </w:r>
      <w:r>
        <w:rPr>
          <w:sz w:val="20"/>
        </w:rPr>
        <w:t>de</w:t>
      </w:r>
      <w:r>
        <w:rPr>
          <w:spacing w:val="-16"/>
          <w:sz w:val="20"/>
        </w:rPr>
        <w:t> </w:t>
      </w:r>
      <w:r>
        <w:rPr>
          <w:sz w:val="20"/>
        </w:rPr>
        <w:t>su</w:t>
      </w:r>
      <w:r>
        <w:rPr>
          <w:spacing w:val="-15"/>
          <w:sz w:val="20"/>
        </w:rPr>
        <w:t> </w:t>
      </w:r>
      <w:r>
        <w:rPr>
          <w:sz w:val="20"/>
        </w:rPr>
        <w:t>difusión, la corrección de las traducciones. Además, el Estado deberá comunicar a los representantes con una semana de anticipación la realización de las publicaciones dispuestas en los puntos a) y b) precedentes, así como los actos de difusión dispuestos en el punto</w:t>
      </w:r>
      <w:r>
        <w:rPr>
          <w:spacing w:val="-9"/>
          <w:sz w:val="20"/>
        </w:rPr>
        <w:t> </w:t>
      </w:r>
      <w:r>
        <w:rPr>
          <w:sz w:val="20"/>
        </w:rPr>
        <w:t>c).</w:t>
      </w:r>
    </w:p>
    <w:p>
      <w:pPr>
        <w:pStyle w:val="BodyText"/>
        <w:spacing w:before="11"/>
        <w:rPr>
          <w:sz w:val="19"/>
        </w:rPr>
      </w:pPr>
    </w:p>
    <w:p>
      <w:pPr>
        <w:pStyle w:val="ListParagraph"/>
        <w:numPr>
          <w:ilvl w:val="0"/>
          <w:numId w:val="37"/>
        </w:numPr>
        <w:tabs>
          <w:tab w:pos="830" w:val="left" w:leader="none"/>
        </w:tabs>
        <w:spacing w:line="240" w:lineRule="auto" w:before="0" w:after="0"/>
        <w:ind w:left="122" w:right="125" w:firstLine="0"/>
        <w:jc w:val="both"/>
        <w:rPr>
          <w:sz w:val="20"/>
        </w:rPr>
      </w:pPr>
      <w:r>
        <w:rPr>
          <w:sz w:val="20"/>
        </w:rPr>
        <w:t>Asimismo, la Corte considera pertinente, tal como lo ha dispuesto en otros casos</w:t>
      </w:r>
      <w:r>
        <w:rPr>
          <w:rFonts w:ascii="Calibri" w:hAnsi="Calibri"/>
          <w:position w:val="8"/>
          <w:sz w:val="14"/>
        </w:rPr>
        <w:t>330</w:t>
      </w:r>
      <w:r>
        <w:rPr>
          <w:sz w:val="20"/>
        </w:rPr>
        <w:t>,</w:t>
      </w:r>
      <w:r>
        <w:rPr>
          <w:spacing w:val="-8"/>
          <w:sz w:val="20"/>
        </w:rPr>
        <w:t> </w:t>
      </w:r>
      <w:r>
        <w:rPr>
          <w:sz w:val="20"/>
        </w:rPr>
        <w:t>que</w:t>
      </w:r>
      <w:r>
        <w:rPr>
          <w:spacing w:val="-9"/>
          <w:sz w:val="20"/>
        </w:rPr>
        <w:t> </w:t>
      </w:r>
      <w:r>
        <w:rPr>
          <w:sz w:val="20"/>
        </w:rPr>
        <w:t>el</w:t>
      </w:r>
      <w:r>
        <w:rPr>
          <w:spacing w:val="-8"/>
          <w:sz w:val="20"/>
        </w:rPr>
        <w:t> </w:t>
      </w:r>
      <w:r>
        <w:rPr>
          <w:sz w:val="20"/>
        </w:rPr>
        <w:t>Estado</w:t>
      </w:r>
      <w:r>
        <w:rPr>
          <w:spacing w:val="-9"/>
          <w:sz w:val="20"/>
        </w:rPr>
        <w:t> </w:t>
      </w:r>
      <w:r>
        <w:rPr>
          <w:sz w:val="20"/>
        </w:rPr>
        <w:t>difunda,</w:t>
      </w:r>
      <w:r>
        <w:rPr>
          <w:spacing w:val="-8"/>
          <w:sz w:val="20"/>
        </w:rPr>
        <w:t> </w:t>
      </w:r>
      <w:r>
        <w:rPr>
          <w:sz w:val="20"/>
        </w:rPr>
        <w:t>a</w:t>
      </w:r>
      <w:r>
        <w:rPr>
          <w:spacing w:val="-8"/>
          <w:sz w:val="20"/>
        </w:rPr>
        <w:t> </w:t>
      </w:r>
      <w:r>
        <w:rPr>
          <w:sz w:val="20"/>
        </w:rPr>
        <w:t>través</w:t>
      </w:r>
      <w:r>
        <w:rPr>
          <w:spacing w:val="-9"/>
          <w:sz w:val="20"/>
        </w:rPr>
        <w:t> </w:t>
      </w:r>
      <w:r>
        <w:rPr>
          <w:sz w:val="20"/>
        </w:rPr>
        <w:t>de</w:t>
      </w:r>
      <w:r>
        <w:rPr>
          <w:spacing w:val="-9"/>
          <w:sz w:val="20"/>
        </w:rPr>
        <w:t> </w:t>
      </w:r>
      <w:r>
        <w:rPr>
          <w:sz w:val="20"/>
        </w:rPr>
        <w:t>una</w:t>
      </w:r>
      <w:r>
        <w:rPr>
          <w:spacing w:val="-5"/>
          <w:sz w:val="20"/>
        </w:rPr>
        <w:t> </w:t>
      </w:r>
      <w:r>
        <w:rPr>
          <w:sz w:val="20"/>
        </w:rPr>
        <w:t>emisora</w:t>
      </w:r>
      <w:r>
        <w:rPr>
          <w:spacing w:val="-8"/>
          <w:sz w:val="20"/>
        </w:rPr>
        <w:t> </w:t>
      </w:r>
      <w:r>
        <w:rPr>
          <w:sz w:val="20"/>
        </w:rPr>
        <w:t>radial</w:t>
      </w:r>
      <w:r>
        <w:rPr>
          <w:spacing w:val="-7"/>
          <w:sz w:val="20"/>
        </w:rPr>
        <w:t> </w:t>
      </w:r>
      <w:r>
        <w:rPr>
          <w:sz w:val="20"/>
        </w:rPr>
        <w:t>de</w:t>
      </w:r>
      <w:r>
        <w:rPr>
          <w:spacing w:val="-7"/>
          <w:sz w:val="20"/>
        </w:rPr>
        <w:t> </w:t>
      </w:r>
      <w:r>
        <w:rPr>
          <w:sz w:val="20"/>
        </w:rPr>
        <w:t>amplia</w:t>
      </w:r>
      <w:r>
        <w:rPr>
          <w:spacing w:val="-8"/>
          <w:sz w:val="20"/>
        </w:rPr>
        <w:t> </w:t>
      </w:r>
      <w:r>
        <w:rPr>
          <w:sz w:val="20"/>
        </w:rPr>
        <w:t>cobertura,</w:t>
      </w:r>
      <w:r>
        <w:rPr>
          <w:spacing w:val="-8"/>
          <w:sz w:val="20"/>
        </w:rPr>
        <w:t> </w:t>
      </w:r>
      <w:r>
        <w:rPr>
          <w:sz w:val="20"/>
        </w:rPr>
        <w:t>que alcance a toda la extensión de los lotes fiscales 14 y 15 del Departamento de Rivadavia en</w:t>
      </w:r>
      <w:r>
        <w:rPr>
          <w:spacing w:val="-20"/>
          <w:sz w:val="20"/>
        </w:rPr>
        <w:t> </w:t>
      </w:r>
      <w:r>
        <w:rPr>
          <w:sz w:val="20"/>
        </w:rPr>
        <w:t>la</w:t>
      </w:r>
      <w:r>
        <w:rPr>
          <w:spacing w:val="-18"/>
          <w:sz w:val="20"/>
        </w:rPr>
        <w:t> </w:t>
      </w:r>
      <w:r>
        <w:rPr>
          <w:sz w:val="20"/>
        </w:rPr>
        <w:t>Provincia</w:t>
      </w:r>
      <w:r>
        <w:rPr>
          <w:spacing w:val="-18"/>
          <w:sz w:val="20"/>
        </w:rPr>
        <w:t> </w:t>
      </w:r>
      <w:r>
        <w:rPr>
          <w:sz w:val="20"/>
        </w:rPr>
        <w:t>de</w:t>
      </w:r>
      <w:r>
        <w:rPr>
          <w:spacing w:val="-20"/>
          <w:sz w:val="20"/>
        </w:rPr>
        <w:t> </w:t>
      </w:r>
      <w:r>
        <w:rPr>
          <w:sz w:val="20"/>
        </w:rPr>
        <w:t>Salta,</w:t>
      </w:r>
      <w:r>
        <w:rPr>
          <w:spacing w:val="-19"/>
          <w:sz w:val="20"/>
        </w:rPr>
        <w:t> </w:t>
      </w:r>
      <w:r>
        <w:rPr>
          <w:sz w:val="20"/>
        </w:rPr>
        <w:t>el</w:t>
      </w:r>
      <w:r>
        <w:rPr>
          <w:spacing w:val="-18"/>
          <w:sz w:val="20"/>
        </w:rPr>
        <w:t> </w:t>
      </w:r>
      <w:r>
        <w:rPr>
          <w:sz w:val="20"/>
        </w:rPr>
        <w:t>resumen</w:t>
      </w:r>
      <w:r>
        <w:rPr>
          <w:spacing w:val="-18"/>
          <w:sz w:val="20"/>
        </w:rPr>
        <w:t> </w:t>
      </w:r>
      <w:r>
        <w:rPr>
          <w:sz w:val="20"/>
        </w:rPr>
        <w:t>oficial</w:t>
      </w:r>
      <w:r>
        <w:rPr>
          <w:spacing w:val="-21"/>
          <w:sz w:val="20"/>
        </w:rPr>
        <w:t> </w:t>
      </w:r>
      <w:r>
        <w:rPr>
          <w:sz w:val="20"/>
        </w:rPr>
        <w:t>de</w:t>
      </w:r>
      <w:r>
        <w:rPr>
          <w:spacing w:val="-16"/>
          <w:sz w:val="20"/>
        </w:rPr>
        <w:t> </w:t>
      </w:r>
      <w:r>
        <w:rPr>
          <w:sz w:val="20"/>
        </w:rPr>
        <w:t>la</w:t>
      </w:r>
      <w:r>
        <w:rPr>
          <w:spacing w:val="-21"/>
          <w:sz w:val="20"/>
        </w:rPr>
        <w:t> </w:t>
      </w:r>
      <w:r>
        <w:rPr>
          <w:sz w:val="20"/>
        </w:rPr>
        <w:t>Sentencia,</w:t>
      </w:r>
      <w:r>
        <w:rPr>
          <w:spacing w:val="-19"/>
          <w:sz w:val="20"/>
        </w:rPr>
        <w:t> </w:t>
      </w:r>
      <w:r>
        <w:rPr>
          <w:sz w:val="20"/>
        </w:rPr>
        <w:t>en</w:t>
      </w:r>
      <w:r>
        <w:rPr>
          <w:spacing w:val="-18"/>
          <w:sz w:val="20"/>
        </w:rPr>
        <w:t> </w:t>
      </w:r>
      <w:r>
        <w:rPr>
          <w:sz w:val="20"/>
        </w:rPr>
        <w:t>español</w:t>
      </w:r>
      <w:r>
        <w:rPr>
          <w:spacing w:val="-18"/>
          <w:sz w:val="20"/>
        </w:rPr>
        <w:t> </w:t>
      </w:r>
      <w:r>
        <w:rPr>
          <w:sz w:val="20"/>
        </w:rPr>
        <w:t>y,</w:t>
      </w:r>
      <w:r>
        <w:rPr>
          <w:spacing w:val="-17"/>
          <w:sz w:val="20"/>
        </w:rPr>
        <w:t> </w:t>
      </w:r>
      <w:r>
        <w:rPr>
          <w:sz w:val="20"/>
        </w:rPr>
        <w:t>previo</w:t>
      </w:r>
      <w:r>
        <w:rPr>
          <w:spacing w:val="-20"/>
          <w:sz w:val="20"/>
        </w:rPr>
        <w:t> </w:t>
      </w:r>
      <w:r>
        <w:rPr>
          <w:sz w:val="20"/>
        </w:rPr>
        <w:t>consenso con los representantes, en lenguas de las comunidades indígenas víctimas. La transmisión radial deberá efectuarse cada primer domingo de mes al menos durante cuatro meses, después de las 8:00 hs. y antes de las 22:00 hs. Dos semanas antes de que el Estado realice la primera acción de radiodifusión deberá comunicar por escrito a esta Corte y a los representantes la fecha, horario y emisora en que efectuará tal acto. El Estado deberá cumplir con esta medida dentro </w:t>
      </w:r>
      <w:r>
        <w:rPr>
          <w:spacing w:val="2"/>
          <w:sz w:val="20"/>
        </w:rPr>
        <w:t>del </w:t>
      </w:r>
      <w:r>
        <w:rPr>
          <w:sz w:val="20"/>
        </w:rPr>
        <w:t>plazo de seis meses contado a partir de la notificación de la presente Sentencia. Argentina deberá comunicar de</w:t>
      </w:r>
      <w:r>
        <w:rPr>
          <w:spacing w:val="-42"/>
          <w:sz w:val="20"/>
        </w:rPr>
        <w:t> </w:t>
      </w:r>
      <w:r>
        <w:rPr>
          <w:sz w:val="20"/>
        </w:rPr>
        <w:t>forma inmediata a esta Corte una vez que haya procedido a realizar cada una de las transmisiones radiales dispuestas en este párrafo y de las publicaciones ordenadas en el párrafo</w:t>
      </w:r>
      <w:r>
        <w:rPr>
          <w:spacing w:val="-10"/>
          <w:sz w:val="20"/>
        </w:rPr>
        <w:t> </w:t>
      </w:r>
      <w:r>
        <w:rPr>
          <w:sz w:val="20"/>
        </w:rPr>
        <w:t>anterior.</w:t>
      </w:r>
    </w:p>
    <w:p>
      <w:pPr>
        <w:pStyle w:val="BodyText"/>
        <w:spacing w:before="10"/>
        <w:rPr>
          <w:sz w:val="19"/>
        </w:rPr>
      </w:pPr>
    </w:p>
    <w:p>
      <w:pPr>
        <w:pStyle w:val="Heading4"/>
        <w:numPr>
          <w:ilvl w:val="0"/>
          <w:numId w:val="38"/>
        </w:numPr>
        <w:tabs>
          <w:tab w:pos="842" w:val="left" w:leader="none"/>
        </w:tabs>
        <w:spacing w:line="240" w:lineRule="auto" w:before="1" w:after="0"/>
        <w:ind w:left="842" w:right="0" w:hanging="360"/>
        <w:jc w:val="left"/>
        <w:rPr>
          <w:i/>
        </w:rPr>
      </w:pPr>
      <w:bookmarkStart w:name="_bookmark97" w:id="164"/>
      <w:bookmarkEnd w:id="164"/>
      <w:r>
        <w:rPr>
          <w:b w:val="0"/>
          <w:i w:val="0"/>
        </w:rPr>
      </w:r>
      <w:bookmarkStart w:name="_bookmark97" w:id="165"/>
      <w:bookmarkEnd w:id="165"/>
      <w:r>
        <w:rPr>
          <w:i/>
          <w:u w:val="thick"/>
        </w:rPr>
        <w:t>M</w:t>
      </w:r>
      <w:r>
        <w:rPr>
          <w:i/>
          <w:u w:val="thick"/>
        </w:rPr>
        <w:t>edidas de no</w:t>
      </w:r>
      <w:r>
        <w:rPr>
          <w:i/>
          <w:spacing w:val="-12"/>
          <w:u w:val="thick"/>
        </w:rPr>
        <w:t> </w:t>
      </w:r>
      <w:r>
        <w:rPr>
          <w:i/>
          <w:u w:val="thick"/>
        </w:rPr>
        <w:t>repetición</w:t>
      </w:r>
    </w:p>
    <w:p>
      <w:pPr>
        <w:pStyle w:val="BodyText"/>
        <w:spacing w:before="11"/>
        <w:rPr>
          <w:b/>
          <w:i/>
          <w:sz w:val="11"/>
        </w:rPr>
      </w:pPr>
    </w:p>
    <w:p>
      <w:pPr>
        <w:pStyle w:val="ListParagraph"/>
        <w:numPr>
          <w:ilvl w:val="0"/>
          <w:numId w:val="37"/>
        </w:numPr>
        <w:tabs>
          <w:tab w:pos="830" w:val="left" w:leader="none"/>
        </w:tabs>
        <w:spacing w:line="240" w:lineRule="auto" w:before="99" w:after="0"/>
        <w:ind w:left="122" w:right="126" w:firstLine="0"/>
        <w:jc w:val="both"/>
        <w:rPr>
          <w:sz w:val="20"/>
        </w:rPr>
      </w:pPr>
      <w:r>
        <w:rPr>
          <w:sz w:val="20"/>
        </w:rPr>
        <w:t>La </w:t>
      </w:r>
      <w:r>
        <w:rPr>
          <w:b/>
          <w:i/>
          <w:sz w:val="20"/>
        </w:rPr>
        <w:t>Comisión </w:t>
      </w:r>
      <w:r>
        <w:rPr>
          <w:sz w:val="20"/>
        </w:rPr>
        <w:t>solicitó a la Corte que el Estado adopara medidas legislativas, administrativas y de cualquier otro carácter, que sean pertinentes para la creación de un mecanismo eficaz de reclamación de la tierra ancestral de los pueblos</w:t>
      </w:r>
      <w:r>
        <w:rPr>
          <w:spacing w:val="-29"/>
          <w:sz w:val="20"/>
        </w:rPr>
        <w:t> </w:t>
      </w:r>
      <w:r>
        <w:rPr>
          <w:sz w:val="20"/>
        </w:rPr>
        <w:t>indígenas.</w:t>
      </w:r>
    </w:p>
    <w:p>
      <w:pPr>
        <w:pStyle w:val="BodyText"/>
        <w:spacing w:before="1"/>
      </w:pPr>
    </w:p>
    <w:p>
      <w:pPr>
        <w:pStyle w:val="ListParagraph"/>
        <w:numPr>
          <w:ilvl w:val="0"/>
          <w:numId w:val="37"/>
        </w:numPr>
        <w:tabs>
          <w:tab w:pos="830" w:val="left" w:leader="none"/>
        </w:tabs>
        <w:spacing w:line="240" w:lineRule="auto" w:before="0" w:after="0"/>
        <w:ind w:left="122" w:right="123" w:firstLine="0"/>
        <w:jc w:val="both"/>
        <w:rPr>
          <w:sz w:val="20"/>
        </w:rPr>
      </w:pPr>
      <w:r>
        <w:rPr>
          <w:sz w:val="20"/>
        </w:rPr>
        <w:t>Los </w:t>
      </w:r>
      <w:r>
        <w:rPr>
          <w:b/>
          <w:i/>
          <w:sz w:val="20"/>
        </w:rPr>
        <w:t>representantes </w:t>
      </w:r>
      <w:r>
        <w:rPr>
          <w:sz w:val="20"/>
        </w:rPr>
        <w:t>solicitaron a la Corte que ordenara al Estado sancionar normativa nacional y provincial sobre consulta libre, previa e informada a</w:t>
      </w:r>
      <w:r>
        <w:rPr>
          <w:spacing w:val="-2"/>
          <w:sz w:val="20"/>
        </w:rPr>
        <w:t> </w:t>
      </w:r>
      <w:r>
        <w:rPr>
          <w:sz w:val="20"/>
        </w:rPr>
        <w:t>comunidades</w:t>
      </w:r>
    </w:p>
    <w:p>
      <w:pPr>
        <w:pStyle w:val="BodyText"/>
        <w:spacing w:before="1"/>
        <w:rPr>
          <w:sz w:val="21"/>
        </w:rPr>
      </w:pPr>
      <w:r>
        <w:rPr/>
        <w:pict>
          <v:line style="position:absolute;mso-position-horizontal-relative:page;mso-position-vertical-relative:paragraph;z-index:3616;mso-wrap-distance-left:0;mso-wrap-distance-right:0" from="85.103996pt,15.177519pt" to="229.123996pt,15.177519pt" stroked="true" strokeweight=".72003pt" strokecolor="#000000">
            <v:stroke dashstyle="solid"/>
            <w10:wrap type="topAndBottom"/>
          </v:line>
        </w:pict>
      </w:r>
    </w:p>
    <w:p>
      <w:pPr>
        <w:tabs>
          <w:tab w:pos="829" w:val="left" w:leader="none"/>
        </w:tabs>
        <w:spacing w:before="71"/>
        <w:ind w:left="122" w:right="115" w:firstLine="0"/>
        <w:jc w:val="both"/>
        <w:rPr>
          <w:sz w:val="16"/>
        </w:rPr>
      </w:pPr>
      <w:r>
        <w:rPr>
          <w:position w:val="6"/>
          <w:sz w:val="10"/>
        </w:rPr>
        <w:t>329</w:t>
        <w:tab/>
      </w:r>
      <w:r>
        <w:rPr>
          <w:i/>
          <w:sz w:val="16"/>
        </w:rPr>
        <w:t>Cfr.</w:t>
      </w:r>
      <w:r>
        <w:rPr>
          <w:i/>
          <w:spacing w:val="-6"/>
          <w:sz w:val="16"/>
        </w:rPr>
        <w:t> </w:t>
      </w:r>
      <w:r>
        <w:rPr>
          <w:i/>
          <w:sz w:val="16"/>
        </w:rPr>
        <w:t>Caso</w:t>
      </w:r>
      <w:r>
        <w:rPr>
          <w:i/>
          <w:spacing w:val="-7"/>
          <w:sz w:val="16"/>
        </w:rPr>
        <w:t> </w:t>
      </w:r>
      <w:r>
        <w:rPr>
          <w:i/>
          <w:sz w:val="16"/>
        </w:rPr>
        <w:t>Cantoral</w:t>
      </w:r>
      <w:r>
        <w:rPr>
          <w:i/>
          <w:spacing w:val="-7"/>
          <w:sz w:val="16"/>
        </w:rPr>
        <w:t> </w:t>
      </w:r>
      <w:r>
        <w:rPr>
          <w:i/>
          <w:sz w:val="16"/>
        </w:rPr>
        <w:t>Benavides</w:t>
      </w:r>
      <w:r>
        <w:rPr>
          <w:i/>
          <w:spacing w:val="-6"/>
          <w:sz w:val="16"/>
        </w:rPr>
        <w:t> </w:t>
      </w:r>
      <w:r>
        <w:rPr>
          <w:i/>
          <w:sz w:val="16"/>
        </w:rPr>
        <w:t>Vs.</w:t>
      </w:r>
      <w:r>
        <w:rPr>
          <w:i/>
          <w:spacing w:val="-4"/>
          <w:sz w:val="16"/>
        </w:rPr>
        <w:t> </w:t>
      </w:r>
      <w:r>
        <w:rPr>
          <w:i/>
          <w:sz w:val="16"/>
        </w:rPr>
        <w:t>Perú.</w:t>
      </w:r>
      <w:r>
        <w:rPr>
          <w:i/>
          <w:spacing w:val="-7"/>
          <w:sz w:val="16"/>
        </w:rPr>
        <w:t> </w:t>
      </w:r>
      <w:r>
        <w:rPr>
          <w:i/>
          <w:sz w:val="16"/>
        </w:rPr>
        <w:t>Reparaciones</w:t>
      </w:r>
      <w:r>
        <w:rPr>
          <w:i/>
          <w:spacing w:val="-8"/>
          <w:sz w:val="16"/>
        </w:rPr>
        <w:t> </w:t>
      </w:r>
      <w:r>
        <w:rPr>
          <w:i/>
          <w:sz w:val="16"/>
        </w:rPr>
        <w:t>y</w:t>
      </w:r>
      <w:r>
        <w:rPr>
          <w:i/>
          <w:spacing w:val="-5"/>
          <w:sz w:val="16"/>
        </w:rPr>
        <w:t> </w:t>
      </w:r>
      <w:r>
        <w:rPr>
          <w:i/>
          <w:sz w:val="16"/>
        </w:rPr>
        <w:t>Costas.</w:t>
      </w:r>
      <w:r>
        <w:rPr>
          <w:i/>
          <w:spacing w:val="-1"/>
          <w:sz w:val="16"/>
        </w:rPr>
        <w:t> </w:t>
      </w:r>
      <w:r>
        <w:rPr>
          <w:sz w:val="16"/>
        </w:rPr>
        <w:t>Sentencia</w:t>
      </w:r>
      <w:r>
        <w:rPr>
          <w:spacing w:val="-5"/>
          <w:sz w:val="16"/>
        </w:rPr>
        <w:t> </w:t>
      </w:r>
      <w:r>
        <w:rPr>
          <w:sz w:val="16"/>
        </w:rPr>
        <w:t>de</w:t>
      </w:r>
      <w:r>
        <w:rPr>
          <w:spacing w:val="-6"/>
          <w:sz w:val="16"/>
        </w:rPr>
        <w:t> </w:t>
      </w:r>
      <w:r>
        <w:rPr>
          <w:sz w:val="16"/>
        </w:rPr>
        <w:t>3</w:t>
      </w:r>
      <w:r>
        <w:rPr>
          <w:spacing w:val="-7"/>
          <w:sz w:val="16"/>
        </w:rPr>
        <w:t> </w:t>
      </w:r>
      <w:r>
        <w:rPr>
          <w:sz w:val="16"/>
        </w:rPr>
        <w:t>de</w:t>
      </w:r>
      <w:r>
        <w:rPr>
          <w:spacing w:val="-6"/>
          <w:sz w:val="16"/>
        </w:rPr>
        <w:t> </w:t>
      </w:r>
      <w:r>
        <w:rPr>
          <w:sz w:val="16"/>
        </w:rPr>
        <w:t>diciembre</w:t>
      </w:r>
      <w:r>
        <w:rPr>
          <w:spacing w:val="-6"/>
          <w:sz w:val="16"/>
        </w:rPr>
        <w:t> </w:t>
      </w:r>
      <w:r>
        <w:rPr>
          <w:sz w:val="16"/>
        </w:rPr>
        <w:t>de</w:t>
      </w:r>
      <w:r>
        <w:rPr>
          <w:spacing w:val="-8"/>
          <w:sz w:val="16"/>
        </w:rPr>
        <w:t> </w:t>
      </w:r>
      <w:r>
        <w:rPr>
          <w:sz w:val="16"/>
        </w:rPr>
        <w:t>2001.</w:t>
      </w:r>
      <w:r>
        <w:rPr>
          <w:w w:val="100"/>
          <w:sz w:val="16"/>
        </w:rPr>
        <w:t> </w:t>
      </w:r>
      <w:r>
        <w:rPr>
          <w:sz w:val="16"/>
        </w:rPr>
        <w:t>Serie C No. 88, párr. 79, y </w:t>
      </w:r>
      <w:r>
        <w:rPr>
          <w:i/>
          <w:sz w:val="16"/>
        </w:rPr>
        <w:t>Caso Jenkins Vs Argentina</w:t>
      </w:r>
      <w:r>
        <w:rPr>
          <w:sz w:val="16"/>
        </w:rPr>
        <w:t>, párr.</w:t>
      </w:r>
      <w:r>
        <w:rPr>
          <w:spacing w:val="-22"/>
          <w:sz w:val="16"/>
        </w:rPr>
        <w:t> </w:t>
      </w:r>
      <w:r>
        <w:rPr>
          <w:sz w:val="16"/>
        </w:rPr>
        <w:t>134.</w:t>
      </w:r>
    </w:p>
    <w:p>
      <w:pPr>
        <w:pStyle w:val="BodyText"/>
        <w:spacing w:before="11"/>
        <w:rPr>
          <w:sz w:val="15"/>
        </w:rPr>
      </w:pPr>
    </w:p>
    <w:p>
      <w:pPr>
        <w:tabs>
          <w:tab w:pos="829" w:val="left" w:leader="none"/>
        </w:tabs>
        <w:spacing w:line="242" w:lineRule="auto" w:before="0"/>
        <w:ind w:left="122" w:right="113" w:firstLine="0"/>
        <w:jc w:val="both"/>
        <w:rPr>
          <w:sz w:val="16"/>
        </w:rPr>
      </w:pPr>
      <w:r>
        <w:rPr>
          <w:position w:val="6"/>
          <w:sz w:val="10"/>
        </w:rPr>
        <w:t>330</w:t>
        <w:tab/>
      </w:r>
      <w:r>
        <w:rPr>
          <w:i/>
          <w:sz w:val="16"/>
        </w:rPr>
        <w:t>Cfr.</w:t>
      </w:r>
      <w:r>
        <w:rPr>
          <w:i/>
          <w:spacing w:val="16"/>
          <w:sz w:val="16"/>
        </w:rPr>
        <w:t> </w:t>
      </w:r>
      <w:r>
        <w:rPr>
          <w:i/>
          <w:sz w:val="16"/>
        </w:rPr>
        <w:t>Caso</w:t>
      </w:r>
      <w:r>
        <w:rPr>
          <w:i/>
          <w:spacing w:val="15"/>
          <w:sz w:val="16"/>
        </w:rPr>
        <w:t> </w:t>
      </w:r>
      <w:r>
        <w:rPr>
          <w:i/>
          <w:sz w:val="16"/>
        </w:rPr>
        <w:t>Comunidad</w:t>
      </w:r>
      <w:r>
        <w:rPr>
          <w:i/>
          <w:spacing w:val="15"/>
          <w:sz w:val="16"/>
        </w:rPr>
        <w:t> </w:t>
      </w:r>
      <w:r>
        <w:rPr>
          <w:i/>
          <w:sz w:val="16"/>
        </w:rPr>
        <w:t>Indígena</w:t>
      </w:r>
      <w:r>
        <w:rPr>
          <w:i/>
          <w:spacing w:val="16"/>
          <w:sz w:val="16"/>
        </w:rPr>
        <w:t> </w:t>
      </w:r>
      <w:r>
        <w:rPr>
          <w:i/>
          <w:sz w:val="16"/>
        </w:rPr>
        <w:t>Yakye</w:t>
      </w:r>
      <w:r>
        <w:rPr>
          <w:i/>
          <w:spacing w:val="12"/>
          <w:sz w:val="16"/>
        </w:rPr>
        <w:t> </w:t>
      </w:r>
      <w:r>
        <w:rPr>
          <w:i/>
          <w:sz w:val="16"/>
        </w:rPr>
        <w:t>Axa</w:t>
      </w:r>
      <w:r>
        <w:rPr>
          <w:i/>
          <w:spacing w:val="14"/>
          <w:sz w:val="16"/>
        </w:rPr>
        <w:t> </w:t>
      </w:r>
      <w:r>
        <w:rPr>
          <w:i/>
          <w:sz w:val="16"/>
        </w:rPr>
        <w:t>Vs.</w:t>
      </w:r>
      <w:r>
        <w:rPr>
          <w:i/>
          <w:spacing w:val="14"/>
          <w:sz w:val="16"/>
        </w:rPr>
        <w:t> </w:t>
      </w:r>
      <w:r>
        <w:rPr>
          <w:i/>
          <w:sz w:val="16"/>
        </w:rPr>
        <w:t>Paraguay</w:t>
      </w:r>
      <w:r>
        <w:rPr>
          <w:sz w:val="16"/>
        </w:rPr>
        <w:t>,</w:t>
      </w:r>
      <w:r>
        <w:rPr>
          <w:spacing w:val="13"/>
          <w:sz w:val="16"/>
        </w:rPr>
        <w:t> </w:t>
      </w:r>
      <w:r>
        <w:rPr>
          <w:sz w:val="16"/>
        </w:rPr>
        <w:t>párr.</w:t>
      </w:r>
      <w:r>
        <w:rPr>
          <w:spacing w:val="13"/>
          <w:sz w:val="16"/>
        </w:rPr>
        <w:t> </w:t>
      </w:r>
      <w:r>
        <w:rPr>
          <w:sz w:val="16"/>
        </w:rPr>
        <w:t>227,</w:t>
      </w:r>
      <w:r>
        <w:rPr>
          <w:spacing w:val="13"/>
          <w:sz w:val="16"/>
        </w:rPr>
        <w:t> </w:t>
      </w:r>
      <w:r>
        <w:rPr>
          <w:sz w:val="16"/>
        </w:rPr>
        <w:t>y</w:t>
      </w:r>
      <w:r>
        <w:rPr>
          <w:spacing w:val="16"/>
          <w:sz w:val="16"/>
        </w:rPr>
        <w:t> </w:t>
      </w:r>
      <w:r>
        <w:rPr>
          <w:i/>
          <w:sz w:val="16"/>
        </w:rPr>
        <w:t>Caso</w:t>
      </w:r>
      <w:r>
        <w:rPr>
          <w:i/>
          <w:spacing w:val="15"/>
          <w:sz w:val="16"/>
        </w:rPr>
        <w:t> </w:t>
      </w:r>
      <w:r>
        <w:rPr>
          <w:i/>
          <w:sz w:val="16"/>
        </w:rPr>
        <w:t>Rodríguez</w:t>
      </w:r>
      <w:r>
        <w:rPr>
          <w:i/>
          <w:spacing w:val="11"/>
          <w:sz w:val="16"/>
        </w:rPr>
        <w:t> </w:t>
      </w:r>
      <w:r>
        <w:rPr>
          <w:i/>
          <w:sz w:val="16"/>
        </w:rPr>
        <w:t>Vera</w:t>
      </w:r>
      <w:r>
        <w:rPr>
          <w:i/>
          <w:spacing w:val="14"/>
          <w:sz w:val="16"/>
        </w:rPr>
        <w:t> </w:t>
      </w:r>
      <w:r>
        <w:rPr>
          <w:i/>
          <w:sz w:val="16"/>
        </w:rPr>
        <w:t>y</w:t>
      </w:r>
      <w:r>
        <w:rPr>
          <w:i/>
          <w:spacing w:val="15"/>
          <w:sz w:val="16"/>
        </w:rPr>
        <w:t> </w:t>
      </w:r>
      <w:r>
        <w:rPr>
          <w:i/>
          <w:sz w:val="16"/>
        </w:rPr>
        <w:t>otros</w:t>
      </w:r>
      <w:r>
        <w:rPr>
          <w:i/>
          <w:w w:val="100"/>
          <w:sz w:val="16"/>
        </w:rPr>
        <w:t> </w:t>
      </w:r>
      <w:r>
        <w:rPr>
          <w:i/>
          <w:sz w:val="16"/>
        </w:rPr>
        <w:t>(desaparecidos</w:t>
      </w:r>
      <w:r>
        <w:rPr>
          <w:i/>
          <w:spacing w:val="-6"/>
          <w:sz w:val="16"/>
        </w:rPr>
        <w:t> </w:t>
      </w:r>
      <w:r>
        <w:rPr>
          <w:i/>
          <w:sz w:val="16"/>
        </w:rPr>
        <w:t>del</w:t>
      </w:r>
      <w:r>
        <w:rPr>
          <w:i/>
          <w:spacing w:val="-4"/>
          <w:sz w:val="16"/>
        </w:rPr>
        <w:t> </w:t>
      </w:r>
      <w:r>
        <w:rPr>
          <w:i/>
          <w:sz w:val="16"/>
        </w:rPr>
        <w:t>Palacio</w:t>
      </w:r>
      <w:r>
        <w:rPr>
          <w:i/>
          <w:spacing w:val="-5"/>
          <w:sz w:val="16"/>
        </w:rPr>
        <w:t> </w:t>
      </w:r>
      <w:r>
        <w:rPr>
          <w:i/>
          <w:sz w:val="16"/>
        </w:rPr>
        <w:t>de</w:t>
      </w:r>
      <w:r>
        <w:rPr>
          <w:i/>
          <w:spacing w:val="-8"/>
          <w:sz w:val="16"/>
        </w:rPr>
        <w:t> </w:t>
      </w:r>
      <w:r>
        <w:rPr>
          <w:i/>
          <w:sz w:val="16"/>
        </w:rPr>
        <w:t>Justicia)</w:t>
      </w:r>
      <w:r>
        <w:rPr>
          <w:i/>
          <w:spacing w:val="-5"/>
          <w:sz w:val="16"/>
        </w:rPr>
        <w:t> </w:t>
      </w:r>
      <w:r>
        <w:rPr>
          <w:i/>
          <w:sz w:val="16"/>
        </w:rPr>
        <w:t>Vs</w:t>
      </w:r>
      <w:r>
        <w:rPr>
          <w:i/>
          <w:spacing w:val="-6"/>
          <w:sz w:val="16"/>
        </w:rPr>
        <w:t> </w:t>
      </w:r>
      <w:r>
        <w:rPr>
          <w:i/>
          <w:sz w:val="16"/>
        </w:rPr>
        <w:t>Colombia.</w:t>
      </w:r>
      <w:r>
        <w:rPr>
          <w:i/>
          <w:spacing w:val="-5"/>
          <w:sz w:val="16"/>
        </w:rPr>
        <w:t> </w:t>
      </w:r>
      <w:r>
        <w:rPr>
          <w:i/>
          <w:sz w:val="16"/>
        </w:rPr>
        <w:t>Excepciones</w:t>
      </w:r>
      <w:r>
        <w:rPr>
          <w:i/>
          <w:spacing w:val="-6"/>
          <w:sz w:val="16"/>
        </w:rPr>
        <w:t> </w:t>
      </w:r>
      <w:r>
        <w:rPr>
          <w:i/>
          <w:sz w:val="16"/>
        </w:rPr>
        <w:t>preliminares,</w:t>
      </w:r>
      <w:r>
        <w:rPr>
          <w:i/>
          <w:spacing w:val="-6"/>
          <w:sz w:val="16"/>
        </w:rPr>
        <w:t> </w:t>
      </w:r>
      <w:r>
        <w:rPr>
          <w:i/>
          <w:sz w:val="16"/>
        </w:rPr>
        <w:t>Fondo,</w:t>
      </w:r>
      <w:r>
        <w:rPr>
          <w:i/>
          <w:spacing w:val="-9"/>
          <w:sz w:val="16"/>
        </w:rPr>
        <w:t> </w:t>
      </w:r>
      <w:r>
        <w:rPr>
          <w:i/>
          <w:sz w:val="16"/>
        </w:rPr>
        <w:t>Reparaciones</w:t>
      </w:r>
      <w:r>
        <w:rPr>
          <w:i/>
          <w:spacing w:val="-8"/>
          <w:sz w:val="16"/>
        </w:rPr>
        <w:t> </w:t>
      </w:r>
      <w:r>
        <w:rPr>
          <w:i/>
          <w:sz w:val="16"/>
        </w:rPr>
        <w:t>y</w:t>
      </w:r>
      <w:r>
        <w:rPr>
          <w:i/>
          <w:spacing w:val="-5"/>
          <w:sz w:val="16"/>
        </w:rPr>
        <w:t> </w:t>
      </w:r>
      <w:r>
        <w:rPr>
          <w:i/>
          <w:sz w:val="16"/>
        </w:rPr>
        <w:t>Costas. </w:t>
      </w:r>
      <w:r>
        <w:rPr>
          <w:sz w:val="16"/>
        </w:rPr>
        <w:t>Sentencia de 14 de noviembre de 2014. Serie C No. 287, párr.</w:t>
      </w:r>
      <w:r>
        <w:rPr>
          <w:spacing w:val="-21"/>
          <w:sz w:val="16"/>
        </w:rPr>
        <w:t> </w:t>
      </w:r>
      <w:r>
        <w:rPr>
          <w:sz w:val="16"/>
        </w:rPr>
        <w:t>573.</w:t>
      </w:r>
    </w:p>
    <w:p>
      <w:pPr>
        <w:spacing w:after="0" w:line="242" w:lineRule="auto"/>
        <w:jc w:val="both"/>
        <w:rPr>
          <w:sz w:val="16"/>
        </w:rPr>
        <w:sectPr>
          <w:pgSz w:w="12240" w:h="15840"/>
          <w:pgMar w:header="0" w:footer="1000" w:top="1340" w:bottom="1200" w:left="1580" w:right="1580"/>
        </w:sectPr>
      </w:pPr>
    </w:p>
    <w:p>
      <w:pPr>
        <w:pStyle w:val="BodyText"/>
        <w:spacing w:before="76"/>
        <w:ind w:left="122" w:right="124"/>
        <w:jc w:val="both"/>
      </w:pPr>
      <w:r>
        <w:rPr/>
        <w:t>indígenas</w:t>
      </w:r>
      <w:r>
        <w:rPr>
          <w:spacing w:val="-9"/>
        </w:rPr>
        <w:t> </w:t>
      </w:r>
      <w:r>
        <w:rPr/>
        <w:t>por</w:t>
      </w:r>
      <w:r>
        <w:rPr>
          <w:spacing w:val="-10"/>
        </w:rPr>
        <w:t> </w:t>
      </w:r>
      <w:r>
        <w:rPr/>
        <w:t>proyectos</w:t>
      </w:r>
      <w:r>
        <w:rPr>
          <w:spacing w:val="-7"/>
        </w:rPr>
        <w:t> </w:t>
      </w:r>
      <w:r>
        <w:rPr/>
        <w:t>a</w:t>
      </w:r>
      <w:r>
        <w:rPr>
          <w:spacing w:val="-9"/>
        </w:rPr>
        <w:t> </w:t>
      </w:r>
      <w:r>
        <w:rPr/>
        <w:t>ejecutarse</w:t>
      </w:r>
      <w:r>
        <w:rPr>
          <w:spacing w:val="-8"/>
        </w:rPr>
        <w:t> </w:t>
      </w:r>
      <w:r>
        <w:rPr/>
        <w:t>en</w:t>
      </w:r>
      <w:r>
        <w:rPr>
          <w:spacing w:val="-8"/>
        </w:rPr>
        <w:t> </w:t>
      </w:r>
      <w:r>
        <w:rPr/>
        <w:t>sus</w:t>
      </w:r>
      <w:r>
        <w:rPr>
          <w:spacing w:val="-9"/>
        </w:rPr>
        <w:t> </w:t>
      </w:r>
      <w:r>
        <w:rPr/>
        <w:t>territorios.</w:t>
      </w:r>
      <w:r>
        <w:rPr>
          <w:spacing w:val="-10"/>
        </w:rPr>
        <w:t> </w:t>
      </w:r>
      <w:r>
        <w:rPr/>
        <w:t>También</w:t>
      </w:r>
      <w:r>
        <w:rPr>
          <w:spacing w:val="-8"/>
        </w:rPr>
        <w:t> </w:t>
      </w:r>
      <w:r>
        <w:rPr/>
        <w:t>solicitaron</w:t>
      </w:r>
      <w:r>
        <w:rPr>
          <w:spacing w:val="-8"/>
        </w:rPr>
        <w:t> </w:t>
      </w:r>
      <w:r>
        <w:rPr/>
        <w:t>que</w:t>
      </w:r>
      <w:r>
        <w:rPr>
          <w:spacing w:val="-10"/>
        </w:rPr>
        <w:t> </w:t>
      </w:r>
      <w:r>
        <w:rPr/>
        <w:t>la</w:t>
      </w:r>
      <w:r>
        <w:rPr>
          <w:spacing w:val="-6"/>
        </w:rPr>
        <w:t> </w:t>
      </w:r>
      <w:r>
        <w:rPr/>
        <w:t>Corte ordene</w:t>
      </w:r>
      <w:r>
        <w:rPr>
          <w:spacing w:val="-17"/>
        </w:rPr>
        <w:t> </w:t>
      </w:r>
      <w:r>
        <w:rPr/>
        <w:t>al</w:t>
      </w:r>
      <w:r>
        <w:rPr>
          <w:spacing w:val="-17"/>
        </w:rPr>
        <w:t> </w:t>
      </w:r>
      <w:r>
        <w:rPr/>
        <w:t>Estado</w:t>
      </w:r>
      <w:r>
        <w:rPr>
          <w:spacing w:val="-16"/>
        </w:rPr>
        <w:t> </w:t>
      </w:r>
      <w:r>
        <w:rPr/>
        <w:t>sancionar</w:t>
      </w:r>
      <w:r>
        <w:rPr>
          <w:spacing w:val="-18"/>
        </w:rPr>
        <w:t> </w:t>
      </w:r>
      <w:r>
        <w:rPr/>
        <w:t>e</w:t>
      </w:r>
      <w:r>
        <w:rPr>
          <w:spacing w:val="-17"/>
        </w:rPr>
        <w:t> </w:t>
      </w:r>
      <w:r>
        <w:rPr/>
        <w:t>implementar</w:t>
      </w:r>
      <w:r>
        <w:rPr>
          <w:spacing w:val="-16"/>
        </w:rPr>
        <w:t> </w:t>
      </w:r>
      <w:r>
        <w:rPr/>
        <w:t>la</w:t>
      </w:r>
      <w:r>
        <w:rPr>
          <w:spacing w:val="-17"/>
        </w:rPr>
        <w:t> </w:t>
      </w:r>
      <w:r>
        <w:rPr/>
        <w:t>normativa</w:t>
      </w:r>
      <w:r>
        <w:rPr>
          <w:spacing w:val="-18"/>
        </w:rPr>
        <w:t> </w:t>
      </w:r>
      <w:r>
        <w:rPr/>
        <w:t>nacional</w:t>
      </w:r>
      <w:r>
        <w:rPr>
          <w:spacing w:val="-17"/>
        </w:rPr>
        <w:t> </w:t>
      </w:r>
      <w:r>
        <w:rPr/>
        <w:t>y</w:t>
      </w:r>
      <w:r>
        <w:rPr>
          <w:spacing w:val="-9"/>
        </w:rPr>
        <w:t> </w:t>
      </w:r>
      <w:r>
        <w:rPr/>
        <w:t>provincial</w:t>
      </w:r>
      <w:r>
        <w:rPr>
          <w:spacing w:val="-16"/>
        </w:rPr>
        <w:t> </w:t>
      </w:r>
      <w:r>
        <w:rPr/>
        <w:t>que</w:t>
      </w:r>
      <w:r>
        <w:rPr>
          <w:spacing w:val="-19"/>
        </w:rPr>
        <w:t> </w:t>
      </w:r>
      <w:r>
        <w:rPr/>
        <w:t>permita el registro adecuado de la Asociación Lhaka Honhat y de otras organizaciones y asociaciones</w:t>
      </w:r>
      <w:r>
        <w:rPr>
          <w:spacing w:val="-16"/>
        </w:rPr>
        <w:t> </w:t>
      </w:r>
      <w:r>
        <w:rPr/>
        <w:t>indígenas</w:t>
      </w:r>
      <w:r>
        <w:rPr>
          <w:spacing w:val="-16"/>
        </w:rPr>
        <w:t> </w:t>
      </w:r>
      <w:r>
        <w:rPr/>
        <w:t>de</w:t>
      </w:r>
      <w:r>
        <w:rPr>
          <w:spacing w:val="-16"/>
        </w:rPr>
        <w:t> </w:t>
      </w:r>
      <w:r>
        <w:rPr/>
        <w:t>su</w:t>
      </w:r>
      <w:r>
        <w:rPr>
          <w:spacing w:val="-15"/>
        </w:rPr>
        <w:t> </w:t>
      </w:r>
      <w:r>
        <w:rPr/>
        <w:t>naturaleza.</w:t>
      </w:r>
      <w:r>
        <w:rPr>
          <w:spacing w:val="-15"/>
        </w:rPr>
        <w:t> </w:t>
      </w:r>
      <w:r>
        <w:rPr/>
        <w:t>Agregaron</w:t>
      </w:r>
      <w:r>
        <w:rPr>
          <w:spacing w:val="-14"/>
        </w:rPr>
        <w:t> </w:t>
      </w:r>
      <w:r>
        <w:rPr/>
        <w:t>a</w:t>
      </w:r>
      <w:r>
        <w:rPr>
          <w:spacing w:val="-15"/>
        </w:rPr>
        <w:t> </w:t>
      </w:r>
      <w:r>
        <w:rPr/>
        <w:t>su</w:t>
      </w:r>
      <w:r>
        <w:rPr>
          <w:spacing w:val="-12"/>
        </w:rPr>
        <w:t> </w:t>
      </w:r>
      <w:r>
        <w:rPr/>
        <w:t>solicitud</w:t>
      </w:r>
      <w:r>
        <w:rPr>
          <w:spacing w:val="-15"/>
        </w:rPr>
        <w:t> </w:t>
      </w:r>
      <w:r>
        <w:rPr/>
        <w:t>que</w:t>
      </w:r>
      <w:r>
        <w:rPr>
          <w:spacing w:val="-14"/>
        </w:rPr>
        <w:t> </w:t>
      </w:r>
      <w:r>
        <w:rPr/>
        <w:t>el</w:t>
      </w:r>
      <w:r>
        <w:rPr>
          <w:spacing w:val="-15"/>
        </w:rPr>
        <w:t> </w:t>
      </w:r>
      <w:r>
        <w:rPr/>
        <w:t>Estado</w:t>
      </w:r>
      <w:r>
        <w:rPr>
          <w:spacing w:val="-14"/>
        </w:rPr>
        <w:t> </w:t>
      </w:r>
      <w:r>
        <w:rPr/>
        <w:t>sancione e implemente en su normativa nacional y provincial la garantía del derecho a la propiedad</w:t>
      </w:r>
      <w:r>
        <w:rPr>
          <w:spacing w:val="-11"/>
        </w:rPr>
        <w:t> </w:t>
      </w:r>
      <w:r>
        <w:rPr/>
        <w:t>comunitaria.</w:t>
      </w:r>
    </w:p>
    <w:p>
      <w:pPr>
        <w:pStyle w:val="BodyText"/>
        <w:spacing w:before="10"/>
        <w:rPr>
          <w:sz w:val="19"/>
        </w:rPr>
      </w:pPr>
    </w:p>
    <w:p>
      <w:pPr>
        <w:pStyle w:val="ListParagraph"/>
        <w:numPr>
          <w:ilvl w:val="0"/>
          <w:numId w:val="37"/>
        </w:numPr>
        <w:tabs>
          <w:tab w:pos="830" w:val="left" w:leader="none"/>
        </w:tabs>
        <w:spacing w:line="240" w:lineRule="auto" w:before="0" w:after="0"/>
        <w:ind w:left="122" w:right="128" w:firstLine="0"/>
        <w:jc w:val="both"/>
        <w:rPr>
          <w:sz w:val="20"/>
        </w:rPr>
      </w:pPr>
      <w:r>
        <w:rPr>
          <w:sz w:val="20"/>
        </w:rPr>
        <w:t>El </w:t>
      </w:r>
      <w:r>
        <w:rPr>
          <w:b/>
          <w:i/>
          <w:sz w:val="20"/>
        </w:rPr>
        <w:t>Estado </w:t>
      </w:r>
      <w:r>
        <w:rPr>
          <w:sz w:val="20"/>
        </w:rPr>
        <w:t>consideró que la normativa interna es pertinente y adecuada a los estándares</w:t>
      </w:r>
      <w:r>
        <w:rPr>
          <w:spacing w:val="-14"/>
          <w:sz w:val="20"/>
        </w:rPr>
        <w:t> </w:t>
      </w:r>
      <w:r>
        <w:rPr>
          <w:sz w:val="20"/>
        </w:rPr>
        <w:t>internacionales.</w:t>
      </w:r>
      <w:r>
        <w:rPr>
          <w:spacing w:val="-12"/>
          <w:sz w:val="20"/>
        </w:rPr>
        <w:t> </w:t>
      </w:r>
      <w:r>
        <w:rPr>
          <w:sz w:val="20"/>
        </w:rPr>
        <w:t>También</w:t>
      </w:r>
      <w:r>
        <w:rPr>
          <w:spacing w:val="-13"/>
          <w:sz w:val="20"/>
        </w:rPr>
        <w:t> </w:t>
      </w:r>
      <w:r>
        <w:rPr>
          <w:sz w:val="20"/>
        </w:rPr>
        <w:t>alegó</w:t>
      </w:r>
      <w:r>
        <w:rPr>
          <w:spacing w:val="-12"/>
          <w:sz w:val="20"/>
        </w:rPr>
        <w:t> </w:t>
      </w:r>
      <w:r>
        <w:rPr>
          <w:sz w:val="20"/>
        </w:rPr>
        <w:t>que</w:t>
      </w:r>
      <w:r>
        <w:rPr>
          <w:spacing w:val="-15"/>
          <w:sz w:val="20"/>
        </w:rPr>
        <w:t> </w:t>
      </w:r>
      <w:r>
        <w:rPr>
          <w:sz w:val="20"/>
        </w:rPr>
        <w:t>el</w:t>
      </w:r>
      <w:r>
        <w:rPr>
          <w:spacing w:val="-14"/>
          <w:sz w:val="20"/>
        </w:rPr>
        <w:t> </w:t>
      </w:r>
      <w:r>
        <w:rPr>
          <w:sz w:val="20"/>
        </w:rPr>
        <w:t>Estado</w:t>
      </w:r>
      <w:r>
        <w:rPr>
          <w:spacing w:val="-15"/>
          <w:sz w:val="20"/>
        </w:rPr>
        <w:t> </w:t>
      </w:r>
      <w:r>
        <w:rPr>
          <w:sz w:val="20"/>
        </w:rPr>
        <w:t>Provincial</w:t>
      </w:r>
      <w:r>
        <w:rPr>
          <w:spacing w:val="-14"/>
          <w:sz w:val="20"/>
        </w:rPr>
        <w:t> </w:t>
      </w:r>
      <w:r>
        <w:rPr>
          <w:sz w:val="20"/>
        </w:rPr>
        <w:t>ha</w:t>
      </w:r>
      <w:r>
        <w:rPr>
          <w:spacing w:val="-13"/>
          <w:sz w:val="20"/>
        </w:rPr>
        <w:t> </w:t>
      </w:r>
      <w:r>
        <w:rPr>
          <w:sz w:val="20"/>
        </w:rPr>
        <w:t>hecho</w:t>
      </w:r>
      <w:r>
        <w:rPr>
          <w:spacing w:val="-14"/>
          <w:sz w:val="20"/>
        </w:rPr>
        <w:t> </w:t>
      </w:r>
      <w:r>
        <w:rPr>
          <w:sz w:val="20"/>
        </w:rPr>
        <w:t>propuestas de protocolos para consultas previas, y que los representantes no dieron respuestas ni consideraciones.</w:t>
      </w:r>
    </w:p>
    <w:p>
      <w:pPr>
        <w:pStyle w:val="BodyText"/>
      </w:pPr>
    </w:p>
    <w:p>
      <w:pPr>
        <w:pStyle w:val="ListParagraph"/>
        <w:numPr>
          <w:ilvl w:val="0"/>
          <w:numId w:val="37"/>
        </w:numPr>
        <w:tabs>
          <w:tab w:pos="830" w:val="left" w:leader="none"/>
        </w:tabs>
        <w:spacing w:line="240" w:lineRule="auto" w:before="0" w:after="0"/>
        <w:ind w:left="122" w:right="122" w:firstLine="0"/>
        <w:jc w:val="both"/>
        <w:rPr>
          <w:sz w:val="20"/>
        </w:rPr>
      </w:pPr>
      <w:r>
        <w:rPr>
          <w:sz w:val="20"/>
        </w:rPr>
        <w:t>La</w:t>
      </w:r>
      <w:r>
        <w:rPr>
          <w:spacing w:val="-20"/>
          <w:sz w:val="20"/>
        </w:rPr>
        <w:t> </w:t>
      </w:r>
      <w:r>
        <w:rPr>
          <w:b/>
          <w:i/>
          <w:sz w:val="20"/>
        </w:rPr>
        <w:t>Corte</w:t>
      </w:r>
      <w:r>
        <w:rPr>
          <w:b/>
          <w:i/>
          <w:spacing w:val="-15"/>
          <w:sz w:val="20"/>
        </w:rPr>
        <w:t> </w:t>
      </w:r>
      <w:r>
        <w:rPr>
          <w:sz w:val="20"/>
        </w:rPr>
        <w:t>determinó</w:t>
      </w:r>
      <w:r>
        <w:rPr>
          <w:spacing w:val="-21"/>
          <w:sz w:val="20"/>
        </w:rPr>
        <w:t> </w:t>
      </w:r>
      <w:r>
        <w:rPr>
          <w:sz w:val="20"/>
        </w:rPr>
        <w:t>que</w:t>
      </w:r>
      <w:r>
        <w:rPr>
          <w:spacing w:val="-19"/>
          <w:sz w:val="20"/>
        </w:rPr>
        <w:t> </w:t>
      </w:r>
      <w:r>
        <w:rPr>
          <w:sz w:val="20"/>
        </w:rPr>
        <w:t>las</w:t>
      </w:r>
      <w:r>
        <w:rPr>
          <w:spacing w:val="-20"/>
          <w:sz w:val="20"/>
        </w:rPr>
        <w:t> </w:t>
      </w:r>
      <w:r>
        <w:rPr>
          <w:sz w:val="20"/>
        </w:rPr>
        <w:t>regulaciones</w:t>
      </w:r>
      <w:r>
        <w:rPr>
          <w:spacing w:val="-18"/>
          <w:sz w:val="20"/>
        </w:rPr>
        <w:t> </w:t>
      </w:r>
      <w:r>
        <w:rPr>
          <w:sz w:val="20"/>
        </w:rPr>
        <w:t>normativas</w:t>
      </w:r>
      <w:r>
        <w:rPr>
          <w:spacing w:val="-18"/>
          <w:sz w:val="20"/>
        </w:rPr>
        <w:t> </w:t>
      </w:r>
      <w:r>
        <w:rPr>
          <w:sz w:val="20"/>
        </w:rPr>
        <w:t>existentes</w:t>
      </w:r>
      <w:r>
        <w:rPr>
          <w:spacing w:val="-21"/>
          <w:sz w:val="20"/>
        </w:rPr>
        <w:t> </w:t>
      </w:r>
      <w:r>
        <w:rPr>
          <w:sz w:val="20"/>
        </w:rPr>
        <w:t>no</w:t>
      </w:r>
      <w:r>
        <w:rPr>
          <w:spacing w:val="-19"/>
          <w:sz w:val="20"/>
        </w:rPr>
        <w:t> </w:t>
      </w:r>
      <w:r>
        <w:rPr>
          <w:sz w:val="20"/>
        </w:rPr>
        <w:t>son</w:t>
      </w:r>
      <w:r>
        <w:rPr>
          <w:spacing w:val="-17"/>
          <w:sz w:val="20"/>
        </w:rPr>
        <w:t> </w:t>
      </w:r>
      <w:r>
        <w:rPr>
          <w:sz w:val="20"/>
        </w:rPr>
        <w:t>suficientes para dotar de seguridad jurídica al derecho de propiedad comunitaria indígena, previendo procedimientos específicos adecuados para tal fin. En ese sentido, surge de lo expuesto antes en esta Sentencia que las propias autoridades argentinas han notado la insuficiencia del ordenamiento interno y la necesidad de adoptar medidas respecto a la propiedad indígena (</w:t>
      </w:r>
      <w:r>
        <w:rPr>
          <w:i/>
          <w:sz w:val="20"/>
        </w:rPr>
        <w:t>supra </w:t>
      </w:r>
      <w:r>
        <w:rPr>
          <w:sz w:val="20"/>
        </w:rPr>
        <w:t>párrs. 54 y 165). A su vez, el perito Solá ha indicado que “no existen procedimientos adecuados a nivel nacional ni provincial para recibir pretensiones territoriales de pueblos indígenas conforme a los estándares del sistema interamericano”</w:t>
      </w:r>
      <w:r>
        <w:rPr>
          <w:rFonts w:ascii="Calibri" w:hAnsi="Calibri"/>
          <w:position w:val="8"/>
          <w:sz w:val="14"/>
        </w:rPr>
        <w:t>331</w:t>
      </w:r>
      <w:r>
        <w:rPr>
          <w:sz w:val="20"/>
        </w:rPr>
        <w:t>.</w:t>
      </w:r>
    </w:p>
    <w:p>
      <w:pPr>
        <w:pStyle w:val="BodyText"/>
        <w:spacing w:before="12"/>
      </w:pPr>
    </w:p>
    <w:p>
      <w:pPr>
        <w:pStyle w:val="ListParagraph"/>
        <w:numPr>
          <w:ilvl w:val="0"/>
          <w:numId w:val="37"/>
        </w:numPr>
        <w:tabs>
          <w:tab w:pos="830" w:val="left" w:leader="none"/>
        </w:tabs>
        <w:spacing w:line="244" w:lineRule="auto" w:before="0" w:after="0"/>
        <w:ind w:left="122" w:right="125" w:firstLine="0"/>
        <w:jc w:val="both"/>
        <w:rPr>
          <w:sz w:val="20"/>
        </w:rPr>
      </w:pPr>
      <w:r>
        <w:rPr>
          <w:sz w:val="20"/>
        </w:rPr>
        <w:t>Por</w:t>
      </w:r>
      <w:r>
        <w:rPr>
          <w:spacing w:val="-4"/>
          <w:sz w:val="20"/>
        </w:rPr>
        <w:t> </w:t>
      </w:r>
      <w:r>
        <w:rPr>
          <w:sz w:val="20"/>
        </w:rPr>
        <w:t>lo</w:t>
      </w:r>
      <w:r>
        <w:rPr>
          <w:spacing w:val="-4"/>
          <w:sz w:val="20"/>
        </w:rPr>
        <w:t> </w:t>
      </w:r>
      <w:r>
        <w:rPr>
          <w:sz w:val="20"/>
        </w:rPr>
        <w:t>anterior,</w:t>
      </w:r>
      <w:r>
        <w:rPr>
          <w:spacing w:val="-6"/>
          <w:sz w:val="20"/>
        </w:rPr>
        <w:t> </w:t>
      </w:r>
      <w:r>
        <w:rPr>
          <w:sz w:val="20"/>
        </w:rPr>
        <w:t>de</w:t>
      </w:r>
      <w:r>
        <w:rPr>
          <w:spacing w:val="-5"/>
          <w:sz w:val="20"/>
        </w:rPr>
        <w:t> </w:t>
      </w:r>
      <w:r>
        <w:rPr>
          <w:sz w:val="20"/>
        </w:rPr>
        <w:t>modo</w:t>
      </w:r>
      <w:r>
        <w:rPr>
          <w:spacing w:val="-4"/>
          <w:sz w:val="20"/>
        </w:rPr>
        <w:t> </w:t>
      </w:r>
      <w:r>
        <w:rPr>
          <w:sz w:val="20"/>
        </w:rPr>
        <w:t>similar</w:t>
      </w:r>
      <w:r>
        <w:rPr>
          <w:spacing w:val="-6"/>
          <w:sz w:val="20"/>
        </w:rPr>
        <w:t> </w:t>
      </w:r>
      <w:r>
        <w:rPr>
          <w:sz w:val="20"/>
        </w:rPr>
        <w:t>a</w:t>
      </w:r>
      <w:r>
        <w:rPr>
          <w:spacing w:val="-3"/>
          <w:sz w:val="20"/>
        </w:rPr>
        <w:t> </w:t>
      </w:r>
      <w:r>
        <w:rPr>
          <w:sz w:val="20"/>
        </w:rPr>
        <w:t>como</w:t>
      </w:r>
      <w:r>
        <w:rPr>
          <w:spacing w:val="-4"/>
          <w:sz w:val="20"/>
        </w:rPr>
        <w:t> </w:t>
      </w:r>
      <w:r>
        <w:rPr>
          <w:sz w:val="20"/>
        </w:rPr>
        <w:t>lo</w:t>
      </w:r>
      <w:r>
        <w:rPr>
          <w:spacing w:val="-7"/>
          <w:sz w:val="20"/>
        </w:rPr>
        <w:t> </w:t>
      </w:r>
      <w:r>
        <w:rPr>
          <w:sz w:val="20"/>
        </w:rPr>
        <w:t>ha</w:t>
      </w:r>
      <w:r>
        <w:rPr>
          <w:spacing w:val="-5"/>
          <w:sz w:val="20"/>
        </w:rPr>
        <w:t> </w:t>
      </w:r>
      <w:r>
        <w:rPr>
          <w:sz w:val="20"/>
        </w:rPr>
        <w:t>hecho</w:t>
      </w:r>
      <w:r>
        <w:rPr>
          <w:spacing w:val="-4"/>
          <w:sz w:val="20"/>
        </w:rPr>
        <w:t> </w:t>
      </w:r>
      <w:r>
        <w:rPr>
          <w:sz w:val="20"/>
        </w:rPr>
        <w:t>en</w:t>
      </w:r>
      <w:r>
        <w:rPr>
          <w:spacing w:val="-5"/>
          <w:sz w:val="20"/>
        </w:rPr>
        <w:t> </w:t>
      </w:r>
      <w:r>
        <w:rPr>
          <w:sz w:val="20"/>
        </w:rPr>
        <w:t>otras</w:t>
      </w:r>
      <w:r>
        <w:rPr>
          <w:spacing w:val="3"/>
          <w:sz w:val="20"/>
        </w:rPr>
        <w:t> </w:t>
      </w:r>
      <w:r>
        <w:rPr>
          <w:sz w:val="20"/>
        </w:rPr>
        <w:t>oportunidades</w:t>
      </w:r>
      <w:r>
        <w:rPr>
          <w:rFonts w:ascii="Calibri" w:hAnsi="Calibri"/>
          <w:position w:val="8"/>
          <w:sz w:val="14"/>
        </w:rPr>
        <w:t>332</w:t>
      </w:r>
      <w:r>
        <w:rPr>
          <w:sz w:val="20"/>
        </w:rPr>
        <w:t>,</w:t>
      </w:r>
      <w:r>
        <w:rPr>
          <w:spacing w:val="-6"/>
          <w:sz w:val="20"/>
        </w:rPr>
        <w:t> </w:t>
      </w:r>
      <w:r>
        <w:rPr>
          <w:sz w:val="20"/>
        </w:rPr>
        <w:t>la Corte ordena al Estado que, en un plazo razonable, adopte las medidas legislativas y/o de otro carácter que fueren necesarias para, conforme a las pautas indicadas en la presente Sentencia (</w:t>
      </w:r>
      <w:r>
        <w:rPr>
          <w:i/>
          <w:sz w:val="20"/>
        </w:rPr>
        <w:t>supra </w:t>
      </w:r>
      <w:r>
        <w:rPr>
          <w:sz w:val="20"/>
        </w:rPr>
        <w:t>párrs. 93 a 98, 115 y 116), dotar de seguridad jurídica al derecho humano de propiedad comunitaria indígena, previendo procedimientos específicos adecuados para tal</w:t>
      </w:r>
      <w:r>
        <w:rPr>
          <w:spacing w:val="-15"/>
          <w:sz w:val="20"/>
        </w:rPr>
        <w:t> </w:t>
      </w:r>
      <w:r>
        <w:rPr>
          <w:sz w:val="20"/>
        </w:rPr>
        <w:t>fin.</w:t>
      </w:r>
    </w:p>
    <w:p>
      <w:pPr>
        <w:pStyle w:val="BodyText"/>
        <w:spacing w:before="8"/>
        <w:rPr>
          <w:sz w:val="19"/>
        </w:rPr>
      </w:pPr>
    </w:p>
    <w:p>
      <w:pPr>
        <w:pStyle w:val="ListParagraph"/>
        <w:numPr>
          <w:ilvl w:val="0"/>
          <w:numId w:val="37"/>
        </w:numPr>
        <w:tabs>
          <w:tab w:pos="830" w:val="left" w:leader="none"/>
        </w:tabs>
        <w:spacing w:line="240" w:lineRule="auto" w:before="0" w:after="0"/>
        <w:ind w:left="122" w:right="130" w:firstLine="0"/>
        <w:jc w:val="both"/>
        <w:rPr>
          <w:sz w:val="20"/>
        </w:rPr>
      </w:pPr>
      <w:r>
        <w:rPr>
          <w:sz w:val="20"/>
        </w:rPr>
        <w:t>Este Tribunal advierte que el artículo XXIII de la Declaración Americana sobre Derechos</w:t>
      </w:r>
      <w:r>
        <w:rPr>
          <w:spacing w:val="-12"/>
          <w:sz w:val="20"/>
        </w:rPr>
        <w:t> </w:t>
      </w:r>
      <w:r>
        <w:rPr>
          <w:sz w:val="20"/>
        </w:rPr>
        <w:t>de</w:t>
      </w:r>
      <w:r>
        <w:rPr>
          <w:spacing w:val="-13"/>
          <w:sz w:val="20"/>
        </w:rPr>
        <w:t> </w:t>
      </w:r>
      <w:r>
        <w:rPr>
          <w:sz w:val="20"/>
        </w:rPr>
        <w:t>los</w:t>
      </w:r>
      <w:r>
        <w:rPr>
          <w:spacing w:val="-14"/>
          <w:sz w:val="20"/>
        </w:rPr>
        <w:t> </w:t>
      </w:r>
      <w:r>
        <w:rPr>
          <w:sz w:val="20"/>
        </w:rPr>
        <w:t>Pueblos</w:t>
      </w:r>
      <w:r>
        <w:rPr>
          <w:spacing w:val="-12"/>
          <w:sz w:val="20"/>
        </w:rPr>
        <w:t> </w:t>
      </w:r>
      <w:r>
        <w:rPr>
          <w:sz w:val="20"/>
        </w:rPr>
        <w:t>Indígenas,</w:t>
      </w:r>
      <w:r>
        <w:rPr>
          <w:spacing w:val="-12"/>
          <w:sz w:val="20"/>
        </w:rPr>
        <w:t> </w:t>
      </w:r>
      <w:r>
        <w:rPr>
          <w:sz w:val="20"/>
        </w:rPr>
        <w:t>expresa</w:t>
      </w:r>
      <w:r>
        <w:rPr>
          <w:spacing w:val="-12"/>
          <w:sz w:val="20"/>
        </w:rPr>
        <w:t> </w:t>
      </w:r>
      <w:r>
        <w:rPr>
          <w:sz w:val="20"/>
        </w:rPr>
        <w:t>que</w:t>
      </w:r>
      <w:r>
        <w:rPr>
          <w:spacing w:val="-13"/>
          <w:sz w:val="20"/>
        </w:rPr>
        <w:t> </w:t>
      </w:r>
      <w:r>
        <w:rPr>
          <w:sz w:val="20"/>
        </w:rPr>
        <w:t>“[l]os</w:t>
      </w:r>
      <w:r>
        <w:rPr>
          <w:spacing w:val="-12"/>
          <w:sz w:val="20"/>
        </w:rPr>
        <w:t> </w:t>
      </w:r>
      <w:r>
        <w:rPr>
          <w:sz w:val="20"/>
        </w:rPr>
        <w:t>pueblos</w:t>
      </w:r>
      <w:r>
        <w:rPr>
          <w:spacing w:val="-14"/>
          <w:sz w:val="20"/>
        </w:rPr>
        <w:t> </w:t>
      </w:r>
      <w:r>
        <w:rPr>
          <w:sz w:val="20"/>
        </w:rPr>
        <w:t>indígenas</w:t>
      </w:r>
      <w:r>
        <w:rPr>
          <w:spacing w:val="-14"/>
          <w:sz w:val="20"/>
        </w:rPr>
        <w:t> </w:t>
      </w:r>
      <w:r>
        <w:rPr>
          <w:sz w:val="20"/>
        </w:rPr>
        <w:t>tienen</w:t>
      </w:r>
      <w:r>
        <w:rPr>
          <w:spacing w:val="-13"/>
          <w:sz w:val="20"/>
        </w:rPr>
        <w:t> </w:t>
      </w:r>
      <w:r>
        <w:rPr>
          <w:sz w:val="20"/>
        </w:rPr>
        <w:t>derecho a</w:t>
      </w:r>
      <w:r>
        <w:rPr>
          <w:spacing w:val="-6"/>
          <w:sz w:val="20"/>
        </w:rPr>
        <w:t> </w:t>
      </w:r>
      <w:r>
        <w:rPr>
          <w:sz w:val="20"/>
        </w:rPr>
        <w:t>la</w:t>
      </w:r>
      <w:r>
        <w:rPr>
          <w:spacing w:val="-6"/>
          <w:sz w:val="20"/>
        </w:rPr>
        <w:t> </w:t>
      </w:r>
      <w:r>
        <w:rPr>
          <w:sz w:val="20"/>
        </w:rPr>
        <w:t>participación</w:t>
      </w:r>
      <w:r>
        <w:rPr>
          <w:spacing w:val="-6"/>
          <w:sz w:val="20"/>
        </w:rPr>
        <w:t> </w:t>
      </w:r>
      <w:r>
        <w:rPr>
          <w:sz w:val="20"/>
        </w:rPr>
        <w:t>plena</w:t>
      </w:r>
      <w:r>
        <w:rPr>
          <w:spacing w:val="-4"/>
          <w:sz w:val="20"/>
        </w:rPr>
        <w:t> </w:t>
      </w:r>
      <w:r>
        <w:rPr>
          <w:sz w:val="20"/>
        </w:rPr>
        <w:t>y</w:t>
      </w:r>
      <w:r>
        <w:rPr>
          <w:spacing w:val="-5"/>
          <w:sz w:val="20"/>
        </w:rPr>
        <w:t> </w:t>
      </w:r>
      <w:r>
        <w:rPr>
          <w:sz w:val="20"/>
        </w:rPr>
        <w:t>efectiva,</w:t>
      </w:r>
      <w:r>
        <w:rPr>
          <w:spacing w:val="-5"/>
          <w:sz w:val="20"/>
        </w:rPr>
        <w:t> </w:t>
      </w:r>
      <w:r>
        <w:rPr>
          <w:sz w:val="20"/>
        </w:rPr>
        <w:t>por</w:t>
      </w:r>
      <w:r>
        <w:rPr>
          <w:spacing w:val="-5"/>
          <w:sz w:val="20"/>
        </w:rPr>
        <w:t> </w:t>
      </w:r>
      <w:r>
        <w:rPr>
          <w:sz w:val="20"/>
        </w:rPr>
        <w:t>conducto</w:t>
      </w:r>
      <w:r>
        <w:rPr>
          <w:spacing w:val="-5"/>
          <w:sz w:val="20"/>
        </w:rPr>
        <w:t> </w:t>
      </w:r>
      <w:r>
        <w:rPr>
          <w:sz w:val="20"/>
        </w:rPr>
        <w:t>de</w:t>
      </w:r>
      <w:r>
        <w:rPr>
          <w:spacing w:val="-6"/>
          <w:sz w:val="20"/>
        </w:rPr>
        <w:t> </w:t>
      </w:r>
      <w:r>
        <w:rPr>
          <w:sz w:val="20"/>
        </w:rPr>
        <w:t>representantes</w:t>
      </w:r>
      <w:r>
        <w:rPr>
          <w:spacing w:val="-5"/>
          <w:sz w:val="20"/>
        </w:rPr>
        <w:t> </w:t>
      </w:r>
      <w:r>
        <w:rPr>
          <w:sz w:val="20"/>
        </w:rPr>
        <w:t>elegidos</w:t>
      </w:r>
      <w:r>
        <w:rPr>
          <w:spacing w:val="-5"/>
          <w:sz w:val="20"/>
        </w:rPr>
        <w:t> </w:t>
      </w:r>
      <w:r>
        <w:rPr>
          <w:sz w:val="20"/>
        </w:rPr>
        <w:t>por</w:t>
      </w:r>
      <w:r>
        <w:rPr>
          <w:spacing w:val="-5"/>
          <w:sz w:val="20"/>
        </w:rPr>
        <w:t> </w:t>
      </w:r>
      <w:r>
        <w:rPr>
          <w:sz w:val="20"/>
        </w:rPr>
        <w:t>ellos</w:t>
      </w:r>
      <w:r>
        <w:rPr>
          <w:spacing w:val="-6"/>
          <w:sz w:val="20"/>
        </w:rPr>
        <w:t> </w:t>
      </w:r>
      <w:r>
        <w:rPr>
          <w:sz w:val="20"/>
        </w:rPr>
        <w:t>de conformidad</w:t>
      </w:r>
      <w:r>
        <w:rPr>
          <w:spacing w:val="-18"/>
          <w:sz w:val="20"/>
        </w:rPr>
        <w:t> </w:t>
      </w:r>
      <w:r>
        <w:rPr>
          <w:sz w:val="20"/>
        </w:rPr>
        <w:t>con</w:t>
      </w:r>
      <w:r>
        <w:rPr>
          <w:spacing w:val="-18"/>
          <w:sz w:val="20"/>
        </w:rPr>
        <w:t> </w:t>
      </w:r>
      <w:r>
        <w:rPr>
          <w:sz w:val="20"/>
        </w:rPr>
        <w:t>sus</w:t>
      </w:r>
      <w:r>
        <w:rPr>
          <w:spacing w:val="-19"/>
          <w:sz w:val="20"/>
        </w:rPr>
        <w:t> </w:t>
      </w:r>
      <w:r>
        <w:rPr>
          <w:sz w:val="20"/>
        </w:rPr>
        <w:t>propias</w:t>
      </w:r>
      <w:r>
        <w:rPr>
          <w:spacing w:val="-21"/>
          <w:sz w:val="20"/>
        </w:rPr>
        <w:t> </w:t>
      </w:r>
      <w:r>
        <w:rPr>
          <w:sz w:val="20"/>
        </w:rPr>
        <w:t>instituciones,</w:t>
      </w:r>
      <w:r>
        <w:rPr>
          <w:spacing w:val="-17"/>
          <w:sz w:val="20"/>
        </w:rPr>
        <w:t> </w:t>
      </w:r>
      <w:r>
        <w:rPr>
          <w:sz w:val="20"/>
        </w:rPr>
        <w:t>en</w:t>
      </w:r>
      <w:r>
        <w:rPr>
          <w:spacing w:val="-20"/>
          <w:sz w:val="20"/>
        </w:rPr>
        <w:t> </w:t>
      </w:r>
      <w:r>
        <w:rPr>
          <w:sz w:val="20"/>
        </w:rPr>
        <w:t>la</w:t>
      </w:r>
      <w:r>
        <w:rPr>
          <w:spacing w:val="-16"/>
          <w:sz w:val="20"/>
        </w:rPr>
        <w:t> </w:t>
      </w:r>
      <w:r>
        <w:rPr>
          <w:sz w:val="20"/>
        </w:rPr>
        <w:t>adopción</w:t>
      </w:r>
      <w:r>
        <w:rPr>
          <w:spacing w:val="-19"/>
          <w:sz w:val="20"/>
        </w:rPr>
        <w:t> </w:t>
      </w:r>
      <w:r>
        <w:rPr>
          <w:sz w:val="20"/>
        </w:rPr>
        <w:t>de</w:t>
      </w:r>
      <w:r>
        <w:rPr>
          <w:spacing w:val="-20"/>
          <w:sz w:val="20"/>
        </w:rPr>
        <w:t> </w:t>
      </w:r>
      <w:r>
        <w:rPr>
          <w:sz w:val="20"/>
        </w:rPr>
        <w:t>decisiones</w:t>
      </w:r>
      <w:r>
        <w:rPr>
          <w:spacing w:val="-19"/>
          <w:sz w:val="20"/>
        </w:rPr>
        <w:t> </w:t>
      </w:r>
      <w:r>
        <w:rPr>
          <w:sz w:val="20"/>
        </w:rPr>
        <w:t>en</w:t>
      </w:r>
      <w:r>
        <w:rPr>
          <w:spacing w:val="-20"/>
          <w:sz w:val="20"/>
        </w:rPr>
        <w:t> </w:t>
      </w:r>
      <w:r>
        <w:rPr>
          <w:sz w:val="20"/>
        </w:rPr>
        <w:t>las</w:t>
      </w:r>
      <w:r>
        <w:rPr>
          <w:spacing w:val="-17"/>
          <w:sz w:val="20"/>
        </w:rPr>
        <w:t> </w:t>
      </w:r>
      <w:r>
        <w:rPr>
          <w:sz w:val="20"/>
        </w:rPr>
        <w:t>cuestiones que</w:t>
      </w:r>
      <w:r>
        <w:rPr>
          <w:spacing w:val="-8"/>
          <w:sz w:val="20"/>
        </w:rPr>
        <w:t> </w:t>
      </w:r>
      <w:r>
        <w:rPr>
          <w:sz w:val="20"/>
        </w:rPr>
        <w:t>afecten</w:t>
      </w:r>
      <w:r>
        <w:rPr>
          <w:spacing w:val="-6"/>
          <w:sz w:val="20"/>
        </w:rPr>
        <w:t> </w:t>
      </w:r>
      <w:r>
        <w:rPr>
          <w:sz w:val="20"/>
        </w:rPr>
        <w:t>sus</w:t>
      </w:r>
      <w:r>
        <w:rPr>
          <w:spacing w:val="-7"/>
          <w:sz w:val="20"/>
        </w:rPr>
        <w:t> </w:t>
      </w:r>
      <w:r>
        <w:rPr>
          <w:sz w:val="20"/>
        </w:rPr>
        <w:t>derechos</w:t>
      </w:r>
      <w:r>
        <w:rPr>
          <w:spacing w:val="-7"/>
          <w:sz w:val="20"/>
        </w:rPr>
        <w:t> </w:t>
      </w:r>
      <w:r>
        <w:rPr>
          <w:sz w:val="20"/>
        </w:rPr>
        <w:t>y</w:t>
      </w:r>
      <w:r>
        <w:rPr>
          <w:spacing w:val="-7"/>
          <w:sz w:val="20"/>
        </w:rPr>
        <w:t> </w:t>
      </w:r>
      <w:r>
        <w:rPr>
          <w:sz w:val="20"/>
        </w:rPr>
        <w:t>que</w:t>
      </w:r>
      <w:r>
        <w:rPr>
          <w:spacing w:val="-8"/>
          <w:sz w:val="20"/>
        </w:rPr>
        <w:t> </w:t>
      </w:r>
      <w:r>
        <w:rPr>
          <w:sz w:val="20"/>
        </w:rPr>
        <w:t>tengan</w:t>
      </w:r>
      <w:r>
        <w:rPr>
          <w:spacing w:val="-5"/>
          <w:sz w:val="20"/>
        </w:rPr>
        <w:t> </w:t>
      </w:r>
      <w:r>
        <w:rPr>
          <w:sz w:val="20"/>
        </w:rPr>
        <w:t>relación</w:t>
      </w:r>
      <w:r>
        <w:rPr>
          <w:spacing w:val="-6"/>
          <w:sz w:val="20"/>
        </w:rPr>
        <w:t> </w:t>
      </w:r>
      <w:r>
        <w:rPr>
          <w:sz w:val="20"/>
        </w:rPr>
        <w:t>con</w:t>
      </w:r>
      <w:r>
        <w:rPr>
          <w:spacing w:val="-6"/>
          <w:sz w:val="20"/>
        </w:rPr>
        <w:t> </w:t>
      </w:r>
      <w:r>
        <w:rPr>
          <w:sz w:val="20"/>
        </w:rPr>
        <w:t>la</w:t>
      </w:r>
      <w:r>
        <w:rPr>
          <w:spacing w:val="-6"/>
          <w:sz w:val="20"/>
        </w:rPr>
        <w:t> </w:t>
      </w:r>
      <w:r>
        <w:rPr>
          <w:sz w:val="20"/>
        </w:rPr>
        <w:t>elaboración</w:t>
      </w:r>
      <w:r>
        <w:rPr>
          <w:spacing w:val="-7"/>
          <w:sz w:val="20"/>
        </w:rPr>
        <w:t> </w:t>
      </w:r>
      <w:r>
        <w:rPr>
          <w:sz w:val="20"/>
        </w:rPr>
        <w:t>y</w:t>
      </w:r>
      <w:r>
        <w:rPr>
          <w:spacing w:val="-4"/>
          <w:sz w:val="20"/>
        </w:rPr>
        <w:t> </w:t>
      </w:r>
      <w:r>
        <w:rPr>
          <w:sz w:val="20"/>
        </w:rPr>
        <w:t>ejecución</w:t>
      </w:r>
      <w:r>
        <w:rPr>
          <w:spacing w:val="-6"/>
          <w:sz w:val="20"/>
        </w:rPr>
        <w:t> </w:t>
      </w:r>
      <w:r>
        <w:rPr>
          <w:sz w:val="20"/>
        </w:rPr>
        <w:t>de</w:t>
      </w:r>
      <w:r>
        <w:rPr>
          <w:spacing w:val="-8"/>
          <w:sz w:val="20"/>
        </w:rPr>
        <w:t> </w:t>
      </w:r>
      <w:r>
        <w:rPr>
          <w:sz w:val="20"/>
        </w:rPr>
        <w:t>leyes, políticas</w:t>
      </w:r>
      <w:r>
        <w:rPr>
          <w:spacing w:val="-19"/>
          <w:sz w:val="20"/>
        </w:rPr>
        <w:t> </w:t>
      </w:r>
      <w:r>
        <w:rPr>
          <w:sz w:val="20"/>
        </w:rPr>
        <w:t>públicas,</w:t>
      </w:r>
      <w:r>
        <w:rPr>
          <w:spacing w:val="-19"/>
          <w:sz w:val="20"/>
        </w:rPr>
        <w:t> </w:t>
      </w:r>
      <w:r>
        <w:rPr>
          <w:sz w:val="20"/>
        </w:rPr>
        <w:t>programas,</w:t>
      </w:r>
      <w:r>
        <w:rPr>
          <w:spacing w:val="-19"/>
          <w:sz w:val="20"/>
        </w:rPr>
        <w:t> </w:t>
      </w:r>
      <w:r>
        <w:rPr>
          <w:sz w:val="20"/>
        </w:rPr>
        <w:t>planes</w:t>
      </w:r>
      <w:r>
        <w:rPr>
          <w:spacing w:val="-17"/>
          <w:sz w:val="20"/>
        </w:rPr>
        <w:t> </w:t>
      </w:r>
      <w:r>
        <w:rPr>
          <w:sz w:val="20"/>
        </w:rPr>
        <w:t>y</w:t>
      </w:r>
      <w:r>
        <w:rPr>
          <w:spacing w:val="-19"/>
          <w:sz w:val="20"/>
        </w:rPr>
        <w:t> </w:t>
      </w:r>
      <w:r>
        <w:rPr>
          <w:sz w:val="20"/>
        </w:rPr>
        <w:t>acciones</w:t>
      </w:r>
      <w:r>
        <w:rPr>
          <w:spacing w:val="-17"/>
          <w:sz w:val="20"/>
        </w:rPr>
        <w:t> </w:t>
      </w:r>
      <w:r>
        <w:rPr>
          <w:sz w:val="20"/>
        </w:rPr>
        <w:t>relacionadas</w:t>
      </w:r>
      <w:r>
        <w:rPr>
          <w:spacing w:val="-19"/>
          <w:sz w:val="20"/>
        </w:rPr>
        <w:t> </w:t>
      </w:r>
      <w:r>
        <w:rPr>
          <w:sz w:val="20"/>
        </w:rPr>
        <w:t>con</w:t>
      </w:r>
      <w:r>
        <w:rPr>
          <w:spacing w:val="-18"/>
          <w:sz w:val="20"/>
        </w:rPr>
        <w:t> </w:t>
      </w:r>
      <w:r>
        <w:rPr>
          <w:sz w:val="20"/>
        </w:rPr>
        <w:t>los</w:t>
      </w:r>
      <w:r>
        <w:rPr>
          <w:spacing w:val="-19"/>
          <w:sz w:val="20"/>
        </w:rPr>
        <w:t> </w:t>
      </w:r>
      <w:r>
        <w:rPr>
          <w:sz w:val="20"/>
        </w:rPr>
        <w:t>asuntos</w:t>
      </w:r>
      <w:r>
        <w:rPr>
          <w:spacing w:val="-19"/>
          <w:sz w:val="20"/>
        </w:rPr>
        <w:t> </w:t>
      </w:r>
      <w:r>
        <w:rPr>
          <w:sz w:val="20"/>
        </w:rPr>
        <w:t>indígenas”.</w:t>
      </w:r>
    </w:p>
    <w:p>
      <w:pPr>
        <w:pStyle w:val="BodyText"/>
        <w:spacing w:before="1"/>
        <w:rPr>
          <w:sz w:val="17"/>
        </w:rPr>
      </w:pPr>
      <w:r>
        <w:rPr/>
        <w:pict>
          <v:line style="position:absolute;mso-position-horizontal-relative:page;mso-position-vertical-relative:paragraph;z-index:3640;mso-wrap-distance-left:0;mso-wrap-distance-right:0" from="85.103996pt,12.745832pt" to="229.123996pt,12.745832pt" stroked="true" strokeweight=".72pt" strokecolor="#000000">
            <v:stroke dashstyle="solid"/>
            <w10:wrap type="topAndBottom"/>
          </v:line>
        </w:pict>
      </w:r>
    </w:p>
    <w:p>
      <w:pPr>
        <w:tabs>
          <w:tab w:pos="829" w:val="left" w:leader="none"/>
        </w:tabs>
        <w:spacing w:before="71"/>
        <w:ind w:left="122" w:right="112" w:firstLine="0"/>
        <w:jc w:val="both"/>
        <w:rPr>
          <w:sz w:val="16"/>
        </w:rPr>
      </w:pPr>
      <w:r>
        <w:rPr>
          <w:position w:val="6"/>
          <w:sz w:val="10"/>
        </w:rPr>
        <w:t>331</w:t>
        <w:tab/>
      </w:r>
      <w:r>
        <w:rPr>
          <w:sz w:val="16"/>
        </w:rPr>
        <w:t>Además,  el  perito  Solá,  luego  de  dar  cuenta  de  un  relevamiento  de  2018  de  más</w:t>
      </w:r>
      <w:r>
        <w:rPr>
          <w:spacing w:val="-16"/>
          <w:sz w:val="16"/>
        </w:rPr>
        <w:t> </w:t>
      </w:r>
      <w:r>
        <w:rPr>
          <w:sz w:val="16"/>
        </w:rPr>
        <w:t>de</w:t>
      </w:r>
      <w:r>
        <w:rPr>
          <w:spacing w:val="50"/>
          <w:sz w:val="16"/>
        </w:rPr>
        <w:t> </w:t>
      </w:r>
      <w:r>
        <w:rPr>
          <w:sz w:val="16"/>
        </w:rPr>
        <w:t>1.500</w:t>
      </w:r>
      <w:r>
        <w:rPr>
          <w:w w:val="100"/>
          <w:sz w:val="16"/>
        </w:rPr>
        <w:t> </w:t>
      </w:r>
      <w:r>
        <w:rPr>
          <w:sz w:val="16"/>
        </w:rPr>
        <w:t>comunidades indígenas, señaló que para 2017, en todo el país, solo 110 “contaban con título de propiedad comunitaria”, lograda por “procedimientos ajenos al Derecho Indígena tales como expropiaciones, prescripciones adquisitivas o donaciones de particulares”. Agregó que “[e]xcepcionalmente se adjudicaron títulos de propiedad comunitaria […] en caso de tierras fiscales, especialmente en la provincia de Jujuy”. Informó también que en febrero de 2019, en el ámbito nacional, tres proyectos de ley “vinculados a la instrumentación de la propiedad comunitaria indígena” se encontraban en “trámite legislativo”, pero indicó que ninguno “ha sido considerado aún […] y todos se encuentran próximos a caducar en [el marco de dicho] trámite”. En sentido concordante, el CDH-UBA afirmó, en su escrito de </w:t>
      </w:r>
      <w:r>
        <w:rPr>
          <w:i/>
          <w:sz w:val="16"/>
        </w:rPr>
        <w:t>amicus curiae, </w:t>
      </w:r>
      <w:r>
        <w:rPr>
          <w:sz w:val="16"/>
        </w:rPr>
        <w:t>que “los obstáculos enfrentados por las comunidades [víctimas] para ejercer su derecho al territorio ejemplifican la realidad </w:t>
      </w:r>
      <w:r>
        <w:rPr>
          <w:spacing w:val="-3"/>
          <w:sz w:val="16"/>
        </w:rPr>
        <w:t>de </w:t>
      </w:r>
      <w:r>
        <w:rPr>
          <w:sz w:val="16"/>
        </w:rPr>
        <w:t>centenas</w:t>
      </w:r>
      <w:r>
        <w:rPr>
          <w:spacing w:val="-6"/>
          <w:sz w:val="16"/>
        </w:rPr>
        <w:t> </w:t>
      </w:r>
      <w:r>
        <w:rPr>
          <w:sz w:val="16"/>
        </w:rPr>
        <w:t>de</w:t>
      </w:r>
      <w:r>
        <w:rPr>
          <w:spacing w:val="-8"/>
          <w:sz w:val="16"/>
        </w:rPr>
        <w:t> </w:t>
      </w:r>
      <w:r>
        <w:rPr>
          <w:sz w:val="16"/>
        </w:rPr>
        <w:t>otras</w:t>
      </w:r>
      <w:r>
        <w:rPr>
          <w:spacing w:val="-6"/>
          <w:sz w:val="16"/>
        </w:rPr>
        <w:t> </w:t>
      </w:r>
      <w:r>
        <w:rPr>
          <w:sz w:val="16"/>
        </w:rPr>
        <w:t>comunidades</w:t>
      </w:r>
      <w:r>
        <w:rPr>
          <w:spacing w:val="-6"/>
          <w:sz w:val="16"/>
        </w:rPr>
        <w:t> </w:t>
      </w:r>
      <w:r>
        <w:rPr>
          <w:sz w:val="16"/>
        </w:rPr>
        <w:t>indígenas</w:t>
      </w:r>
      <w:r>
        <w:rPr>
          <w:spacing w:val="-8"/>
          <w:sz w:val="16"/>
        </w:rPr>
        <w:t> </w:t>
      </w:r>
      <w:r>
        <w:rPr>
          <w:sz w:val="16"/>
        </w:rPr>
        <w:t>del</w:t>
      </w:r>
      <w:r>
        <w:rPr>
          <w:spacing w:val="-9"/>
          <w:sz w:val="16"/>
        </w:rPr>
        <w:t> </w:t>
      </w:r>
      <w:r>
        <w:rPr>
          <w:sz w:val="16"/>
        </w:rPr>
        <w:t>país”;</w:t>
      </w:r>
      <w:r>
        <w:rPr>
          <w:spacing w:val="-7"/>
          <w:sz w:val="16"/>
        </w:rPr>
        <w:t> </w:t>
      </w:r>
      <w:r>
        <w:rPr>
          <w:sz w:val="16"/>
        </w:rPr>
        <w:t>entendió</w:t>
      </w:r>
      <w:r>
        <w:rPr>
          <w:spacing w:val="-5"/>
          <w:sz w:val="16"/>
        </w:rPr>
        <w:t> </w:t>
      </w:r>
      <w:r>
        <w:rPr>
          <w:sz w:val="16"/>
        </w:rPr>
        <w:t>que</w:t>
      </w:r>
      <w:r>
        <w:rPr>
          <w:spacing w:val="-8"/>
          <w:sz w:val="16"/>
        </w:rPr>
        <w:t> </w:t>
      </w:r>
      <w:r>
        <w:rPr>
          <w:sz w:val="16"/>
        </w:rPr>
        <w:t>la</w:t>
      </w:r>
      <w:r>
        <w:rPr>
          <w:spacing w:val="-7"/>
          <w:sz w:val="16"/>
        </w:rPr>
        <w:t> </w:t>
      </w:r>
      <w:r>
        <w:rPr>
          <w:sz w:val="16"/>
        </w:rPr>
        <w:t>“inadecuación</w:t>
      </w:r>
      <w:r>
        <w:rPr>
          <w:spacing w:val="-9"/>
          <w:sz w:val="16"/>
        </w:rPr>
        <w:t> </w:t>
      </w:r>
      <w:r>
        <w:rPr>
          <w:sz w:val="16"/>
        </w:rPr>
        <w:t>de</w:t>
      </w:r>
      <w:r>
        <w:rPr>
          <w:spacing w:val="-6"/>
          <w:sz w:val="16"/>
        </w:rPr>
        <w:t> </w:t>
      </w:r>
      <w:r>
        <w:rPr>
          <w:sz w:val="16"/>
        </w:rPr>
        <w:t>la</w:t>
      </w:r>
      <w:r>
        <w:rPr>
          <w:spacing w:val="-7"/>
          <w:sz w:val="16"/>
        </w:rPr>
        <w:t> </w:t>
      </w:r>
      <w:r>
        <w:rPr>
          <w:sz w:val="16"/>
        </w:rPr>
        <w:t>normativa</w:t>
      </w:r>
      <w:r>
        <w:rPr>
          <w:spacing w:val="-9"/>
          <w:sz w:val="16"/>
        </w:rPr>
        <w:t> </w:t>
      </w:r>
      <w:r>
        <w:rPr>
          <w:sz w:val="16"/>
        </w:rPr>
        <w:t>federal”</w:t>
      </w:r>
      <w:r>
        <w:rPr>
          <w:spacing w:val="-6"/>
          <w:sz w:val="16"/>
        </w:rPr>
        <w:t> </w:t>
      </w:r>
      <w:r>
        <w:rPr>
          <w:sz w:val="16"/>
        </w:rPr>
        <w:t>es uno de los obstáculos referidos principales, y recordó que en 2012 el entonces Relator de Naciones Unidas sobre derechos de los pueblos indígenas había advertido, en referencia a Argentina, que “[l]a mayoría de las comunidades indígenas del país no cuentan con un ‘reconocimiento legal de sus tierras acorde a sus formas de uso y ocupación</w:t>
      </w:r>
      <w:r>
        <w:rPr>
          <w:spacing w:val="-9"/>
          <w:sz w:val="16"/>
        </w:rPr>
        <w:t> </w:t>
      </w:r>
      <w:r>
        <w:rPr>
          <w:sz w:val="16"/>
        </w:rPr>
        <w:t>tradicional’”.</w:t>
      </w:r>
    </w:p>
    <w:p>
      <w:pPr>
        <w:pStyle w:val="BodyText"/>
        <w:spacing w:before="11"/>
        <w:rPr>
          <w:sz w:val="15"/>
        </w:rPr>
      </w:pPr>
    </w:p>
    <w:p>
      <w:pPr>
        <w:tabs>
          <w:tab w:pos="829" w:val="left" w:leader="none"/>
        </w:tabs>
        <w:spacing w:line="240" w:lineRule="auto" w:before="0"/>
        <w:ind w:left="122" w:right="113" w:firstLine="0"/>
        <w:jc w:val="both"/>
        <w:rPr>
          <w:sz w:val="16"/>
        </w:rPr>
      </w:pPr>
      <w:r>
        <w:rPr>
          <w:position w:val="6"/>
          <w:sz w:val="10"/>
        </w:rPr>
        <w:t>332</w:t>
        <w:tab/>
      </w:r>
      <w:r>
        <w:rPr>
          <w:i/>
          <w:sz w:val="16"/>
        </w:rPr>
        <w:t>Cfr.</w:t>
      </w:r>
      <w:r>
        <w:rPr>
          <w:sz w:val="16"/>
        </w:rPr>
        <w:t>, entre otras decisiones, </w:t>
      </w:r>
      <w:r>
        <w:rPr>
          <w:i/>
          <w:sz w:val="16"/>
        </w:rPr>
        <w:t>Caso Loayza Tamayo Vs. Perú. Reparaciones y Costas. </w:t>
      </w:r>
      <w:r>
        <w:rPr>
          <w:sz w:val="16"/>
        </w:rPr>
        <w:t>Sentencia</w:t>
      </w:r>
      <w:r>
        <w:rPr>
          <w:spacing w:val="43"/>
          <w:sz w:val="16"/>
        </w:rPr>
        <w:t> </w:t>
      </w:r>
      <w:r>
        <w:rPr>
          <w:sz w:val="16"/>
        </w:rPr>
        <w:t>de</w:t>
      </w:r>
      <w:r>
        <w:rPr>
          <w:spacing w:val="2"/>
          <w:sz w:val="16"/>
        </w:rPr>
        <w:t> </w:t>
      </w:r>
      <w:r>
        <w:rPr>
          <w:sz w:val="16"/>
        </w:rPr>
        <w:t>27</w:t>
      </w:r>
      <w:r>
        <w:rPr>
          <w:w w:val="100"/>
          <w:sz w:val="16"/>
        </w:rPr>
        <w:t> </w:t>
      </w:r>
      <w:r>
        <w:rPr>
          <w:sz w:val="16"/>
        </w:rPr>
        <w:t>de noviembre de 1998. Serie C No. 42, párr. 171 y punto resolutivo 5; </w:t>
      </w:r>
      <w:r>
        <w:rPr>
          <w:i/>
          <w:sz w:val="16"/>
        </w:rPr>
        <w:t>Caso de la Comunidad Moiwana Vs. </w:t>
      </w:r>
      <w:r>
        <w:rPr>
          <w:i/>
          <w:sz w:val="16"/>
        </w:rPr>
        <w:t>Surinam</w:t>
      </w:r>
      <w:r>
        <w:rPr>
          <w:sz w:val="16"/>
        </w:rPr>
        <w:t>, párr. 209; </w:t>
      </w:r>
      <w:r>
        <w:rPr>
          <w:i/>
          <w:sz w:val="16"/>
        </w:rPr>
        <w:t>Caso Comunidad Indígena Sawhoyamaxa Vs. Paraguay</w:t>
      </w:r>
      <w:r>
        <w:rPr>
          <w:sz w:val="16"/>
        </w:rPr>
        <w:t>, párr. 235, y </w:t>
      </w:r>
      <w:r>
        <w:rPr>
          <w:i/>
          <w:sz w:val="16"/>
        </w:rPr>
        <w:t>Caso López y otros </w:t>
      </w:r>
      <w:r>
        <w:rPr>
          <w:i/>
          <w:sz w:val="16"/>
        </w:rPr>
        <w:t>Vs. Argentina</w:t>
      </w:r>
      <w:r>
        <w:rPr>
          <w:sz w:val="16"/>
        </w:rPr>
        <w:t>, párr.</w:t>
      </w:r>
      <w:r>
        <w:rPr>
          <w:spacing w:val="-8"/>
          <w:sz w:val="16"/>
        </w:rPr>
        <w:t> </w:t>
      </w:r>
      <w:r>
        <w:rPr>
          <w:sz w:val="16"/>
        </w:rPr>
        <w:t>247.</w:t>
      </w:r>
    </w:p>
    <w:p>
      <w:pPr>
        <w:spacing w:after="0" w:line="240" w:lineRule="auto"/>
        <w:jc w:val="both"/>
        <w:rPr>
          <w:sz w:val="16"/>
        </w:rPr>
        <w:sectPr>
          <w:pgSz w:w="12240" w:h="15840"/>
          <w:pgMar w:header="0" w:footer="1000" w:top="1340" w:bottom="1200" w:left="1580" w:right="1580"/>
        </w:sectPr>
      </w:pPr>
    </w:p>
    <w:p>
      <w:pPr>
        <w:pStyle w:val="BodyText"/>
        <w:spacing w:before="76"/>
        <w:ind w:left="122" w:right="122"/>
        <w:jc w:val="both"/>
      </w:pPr>
      <w:r>
        <w:rPr/>
        <w:t>En el mismo sentido, el Poder Ejecutivo Nacional argentino ha advertido la procedencia e importancia de la participación de los pueblos indígenas en asuntos que les afecten, como surge del Decreto 672/2016</w:t>
      </w:r>
      <w:r>
        <w:rPr>
          <w:position w:val="7"/>
          <w:sz w:val="13"/>
        </w:rPr>
        <w:t>333</w:t>
      </w:r>
      <w:r>
        <w:rPr/>
        <w:t>. La Corte ordena al Estado que, de forma previa a la</w:t>
      </w:r>
      <w:r>
        <w:rPr>
          <w:spacing w:val="-15"/>
        </w:rPr>
        <w:t> </w:t>
      </w:r>
      <w:r>
        <w:rPr/>
        <w:t>adopción</w:t>
      </w:r>
      <w:r>
        <w:rPr>
          <w:spacing w:val="-15"/>
        </w:rPr>
        <w:t> </w:t>
      </w:r>
      <w:r>
        <w:rPr/>
        <w:t>de</w:t>
      </w:r>
      <w:r>
        <w:rPr>
          <w:spacing w:val="-16"/>
        </w:rPr>
        <w:t> </w:t>
      </w:r>
      <w:r>
        <w:rPr/>
        <w:t>las</w:t>
      </w:r>
      <w:r>
        <w:rPr>
          <w:spacing w:val="-16"/>
        </w:rPr>
        <w:t> </w:t>
      </w:r>
      <w:r>
        <w:rPr/>
        <w:t>medidas</w:t>
      </w:r>
      <w:r>
        <w:rPr>
          <w:spacing w:val="-16"/>
        </w:rPr>
        <w:t> </w:t>
      </w:r>
      <w:r>
        <w:rPr/>
        <w:t>legislativas</w:t>
      </w:r>
      <w:r>
        <w:rPr>
          <w:spacing w:val="-16"/>
        </w:rPr>
        <w:t> </w:t>
      </w:r>
      <w:r>
        <w:rPr/>
        <w:t>y/o</w:t>
      </w:r>
      <w:r>
        <w:rPr>
          <w:spacing w:val="-16"/>
        </w:rPr>
        <w:t> </w:t>
      </w:r>
      <w:r>
        <w:rPr/>
        <w:t>de</w:t>
      </w:r>
      <w:r>
        <w:rPr>
          <w:spacing w:val="-16"/>
        </w:rPr>
        <w:t> </w:t>
      </w:r>
      <w:r>
        <w:rPr/>
        <w:t>otro</w:t>
      </w:r>
      <w:r>
        <w:rPr>
          <w:spacing w:val="-16"/>
        </w:rPr>
        <w:t> </w:t>
      </w:r>
      <w:r>
        <w:rPr/>
        <w:t>carácter</w:t>
      </w:r>
      <w:r>
        <w:rPr>
          <w:spacing w:val="-14"/>
        </w:rPr>
        <w:t> </w:t>
      </w:r>
      <w:r>
        <w:rPr/>
        <w:t>ordenadas</w:t>
      </w:r>
      <w:r>
        <w:rPr>
          <w:spacing w:val="-13"/>
        </w:rPr>
        <w:t> </w:t>
      </w:r>
      <w:r>
        <w:rPr/>
        <w:t>(</w:t>
      </w:r>
      <w:r>
        <w:rPr>
          <w:i/>
        </w:rPr>
        <w:t>supra</w:t>
      </w:r>
      <w:r>
        <w:rPr>
          <w:i/>
          <w:spacing w:val="-14"/>
        </w:rPr>
        <w:t> </w:t>
      </w:r>
      <w:r>
        <w:rPr/>
        <w:t>párr.</w:t>
      </w:r>
      <w:r>
        <w:rPr>
          <w:spacing w:val="-15"/>
        </w:rPr>
        <w:t> </w:t>
      </w:r>
      <w:r>
        <w:rPr/>
        <w:t>354), arbitre</w:t>
      </w:r>
      <w:r>
        <w:rPr>
          <w:spacing w:val="-13"/>
        </w:rPr>
        <w:t> </w:t>
      </w:r>
      <w:r>
        <w:rPr/>
        <w:t>acciones</w:t>
      </w:r>
      <w:r>
        <w:rPr>
          <w:spacing w:val="-14"/>
        </w:rPr>
        <w:t> </w:t>
      </w:r>
      <w:r>
        <w:rPr/>
        <w:t>que</w:t>
      </w:r>
      <w:r>
        <w:rPr>
          <w:spacing w:val="-15"/>
        </w:rPr>
        <w:t> </w:t>
      </w:r>
      <w:r>
        <w:rPr/>
        <w:t>permitan</w:t>
      </w:r>
      <w:r>
        <w:rPr>
          <w:spacing w:val="-13"/>
        </w:rPr>
        <w:t> </w:t>
      </w:r>
      <w:r>
        <w:rPr/>
        <w:t>la</w:t>
      </w:r>
      <w:r>
        <w:rPr>
          <w:spacing w:val="-13"/>
        </w:rPr>
        <w:t> </w:t>
      </w:r>
      <w:r>
        <w:rPr/>
        <w:t>participación</w:t>
      </w:r>
      <w:r>
        <w:rPr>
          <w:spacing w:val="-13"/>
        </w:rPr>
        <w:t> </w:t>
      </w:r>
      <w:r>
        <w:rPr/>
        <w:t>de</w:t>
      </w:r>
      <w:r>
        <w:rPr>
          <w:spacing w:val="-13"/>
        </w:rPr>
        <w:t> </w:t>
      </w:r>
      <w:r>
        <w:rPr/>
        <w:t>pueblos</w:t>
      </w:r>
      <w:r>
        <w:rPr>
          <w:spacing w:val="-14"/>
        </w:rPr>
        <w:t> </w:t>
      </w:r>
      <w:r>
        <w:rPr/>
        <w:t>y/o</w:t>
      </w:r>
      <w:r>
        <w:rPr>
          <w:spacing w:val="-15"/>
        </w:rPr>
        <w:t> </w:t>
      </w:r>
      <w:r>
        <w:rPr/>
        <w:t>comunidades</w:t>
      </w:r>
      <w:r>
        <w:rPr>
          <w:spacing w:val="-14"/>
        </w:rPr>
        <w:t> </w:t>
      </w:r>
      <w:r>
        <w:rPr/>
        <w:t>indígenas</w:t>
      </w:r>
      <w:r>
        <w:rPr>
          <w:spacing w:val="-14"/>
        </w:rPr>
        <w:t> </w:t>
      </w:r>
      <w:r>
        <w:rPr/>
        <w:t>del país (no sólo las víctimas de este caso) en procesos de consulta respecto de tales medidas</w:t>
      </w:r>
      <w:r>
        <w:rPr>
          <w:rFonts w:ascii="Calibri" w:hAnsi="Calibri"/>
          <w:position w:val="8"/>
          <w:sz w:val="14"/>
        </w:rPr>
        <w:t>334</w:t>
      </w:r>
      <w:r>
        <w:rPr/>
        <w:t>.</w:t>
      </w:r>
    </w:p>
    <w:p>
      <w:pPr>
        <w:pStyle w:val="BodyText"/>
        <w:spacing w:before="5"/>
        <w:rPr>
          <w:sz w:val="21"/>
        </w:rPr>
      </w:pPr>
    </w:p>
    <w:p>
      <w:pPr>
        <w:pStyle w:val="ListParagraph"/>
        <w:numPr>
          <w:ilvl w:val="0"/>
          <w:numId w:val="37"/>
        </w:numPr>
        <w:tabs>
          <w:tab w:pos="830" w:val="left" w:leader="none"/>
        </w:tabs>
        <w:spacing w:line="240" w:lineRule="auto" w:before="0" w:after="0"/>
        <w:ind w:left="122" w:right="122" w:firstLine="0"/>
        <w:jc w:val="both"/>
        <w:rPr>
          <w:sz w:val="20"/>
        </w:rPr>
      </w:pPr>
      <w:r>
        <w:rPr>
          <w:sz w:val="20"/>
        </w:rPr>
        <w:t>La Corte recuerda que, de conformidad con el artículo 28 de la Convención Americana, un Estado no puede válidamente oponer el sistema federal para incumplir normas convencionales. Aunado a ello, este Tribunal nota que las máximas</w:t>
      </w:r>
      <w:r>
        <w:rPr>
          <w:spacing w:val="-29"/>
          <w:sz w:val="20"/>
        </w:rPr>
        <w:t> </w:t>
      </w:r>
      <w:r>
        <w:rPr>
          <w:sz w:val="20"/>
        </w:rPr>
        <w:t>autoridades judiciales</w:t>
      </w:r>
      <w:r>
        <w:rPr>
          <w:spacing w:val="-13"/>
          <w:sz w:val="20"/>
        </w:rPr>
        <w:t> </w:t>
      </w:r>
      <w:r>
        <w:rPr>
          <w:sz w:val="20"/>
        </w:rPr>
        <w:t>de</w:t>
      </w:r>
      <w:r>
        <w:rPr>
          <w:spacing w:val="-12"/>
          <w:sz w:val="20"/>
        </w:rPr>
        <w:t> </w:t>
      </w:r>
      <w:r>
        <w:rPr>
          <w:sz w:val="20"/>
        </w:rPr>
        <w:t>Argentina</w:t>
      </w:r>
      <w:r>
        <w:rPr>
          <w:spacing w:val="-12"/>
          <w:sz w:val="20"/>
        </w:rPr>
        <w:t> </w:t>
      </w:r>
      <w:r>
        <w:rPr>
          <w:sz w:val="20"/>
        </w:rPr>
        <w:t>y</w:t>
      </w:r>
      <w:r>
        <w:rPr>
          <w:spacing w:val="-11"/>
          <w:sz w:val="20"/>
        </w:rPr>
        <w:t> </w:t>
      </w:r>
      <w:r>
        <w:rPr>
          <w:sz w:val="20"/>
        </w:rPr>
        <w:t>de</w:t>
      </w:r>
      <w:r>
        <w:rPr>
          <w:spacing w:val="-12"/>
          <w:sz w:val="20"/>
        </w:rPr>
        <w:t> </w:t>
      </w:r>
      <w:r>
        <w:rPr>
          <w:sz w:val="20"/>
        </w:rPr>
        <w:t>Salta</w:t>
      </w:r>
      <w:r>
        <w:rPr>
          <w:spacing w:val="-10"/>
          <w:sz w:val="20"/>
        </w:rPr>
        <w:t> </w:t>
      </w:r>
      <w:r>
        <w:rPr>
          <w:sz w:val="20"/>
        </w:rPr>
        <w:t>han</w:t>
      </w:r>
      <w:r>
        <w:rPr>
          <w:spacing w:val="-12"/>
          <w:sz w:val="20"/>
        </w:rPr>
        <w:t> </w:t>
      </w:r>
      <w:r>
        <w:rPr>
          <w:sz w:val="20"/>
        </w:rPr>
        <w:t>indicado,</w:t>
      </w:r>
      <w:r>
        <w:rPr>
          <w:spacing w:val="-11"/>
          <w:sz w:val="20"/>
        </w:rPr>
        <w:t> </w:t>
      </w:r>
      <w:r>
        <w:rPr>
          <w:sz w:val="20"/>
        </w:rPr>
        <w:t>con</w:t>
      </w:r>
      <w:r>
        <w:rPr>
          <w:spacing w:val="-5"/>
          <w:sz w:val="20"/>
        </w:rPr>
        <w:t> </w:t>
      </w:r>
      <w:r>
        <w:rPr>
          <w:sz w:val="20"/>
        </w:rPr>
        <w:t>base</w:t>
      </w:r>
      <w:r>
        <w:rPr>
          <w:spacing w:val="-12"/>
          <w:sz w:val="20"/>
        </w:rPr>
        <w:t> </w:t>
      </w:r>
      <w:r>
        <w:rPr>
          <w:sz w:val="20"/>
        </w:rPr>
        <w:t>en</w:t>
      </w:r>
      <w:r>
        <w:rPr>
          <w:spacing w:val="-9"/>
          <w:sz w:val="20"/>
        </w:rPr>
        <w:t> </w:t>
      </w:r>
      <w:r>
        <w:rPr>
          <w:sz w:val="20"/>
        </w:rPr>
        <w:t>textos</w:t>
      </w:r>
      <w:r>
        <w:rPr>
          <w:spacing w:val="-11"/>
          <w:sz w:val="20"/>
        </w:rPr>
        <w:t> </w:t>
      </w:r>
      <w:r>
        <w:rPr>
          <w:sz w:val="20"/>
        </w:rPr>
        <w:t>constitucionales,</w:t>
      </w:r>
      <w:r>
        <w:rPr>
          <w:spacing w:val="-12"/>
          <w:sz w:val="20"/>
        </w:rPr>
        <w:t> </w:t>
      </w:r>
      <w:r>
        <w:rPr>
          <w:sz w:val="20"/>
        </w:rPr>
        <w:t>que en materia de derechos de pueblos indígenas las facultades nacionales y provinciales son</w:t>
      </w:r>
      <w:r>
        <w:rPr>
          <w:spacing w:val="-9"/>
          <w:sz w:val="20"/>
        </w:rPr>
        <w:t> </w:t>
      </w:r>
      <w:r>
        <w:rPr>
          <w:sz w:val="20"/>
        </w:rPr>
        <w:t>“concurrentes”,</w:t>
      </w:r>
      <w:r>
        <w:rPr>
          <w:spacing w:val="-11"/>
          <w:sz w:val="20"/>
        </w:rPr>
        <w:t> </w:t>
      </w:r>
      <w:r>
        <w:rPr>
          <w:sz w:val="20"/>
        </w:rPr>
        <w:t>y</w:t>
      </w:r>
      <w:r>
        <w:rPr>
          <w:spacing w:val="-11"/>
          <w:sz w:val="20"/>
        </w:rPr>
        <w:t> </w:t>
      </w:r>
      <w:r>
        <w:rPr>
          <w:sz w:val="20"/>
        </w:rPr>
        <w:t>que</w:t>
      </w:r>
      <w:r>
        <w:rPr>
          <w:spacing w:val="-12"/>
          <w:sz w:val="20"/>
        </w:rPr>
        <w:t> </w:t>
      </w:r>
      <w:r>
        <w:rPr>
          <w:sz w:val="20"/>
        </w:rPr>
        <w:t>normativa</w:t>
      </w:r>
      <w:r>
        <w:rPr>
          <w:spacing w:val="-10"/>
          <w:sz w:val="20"/>
        </w:rPr>
        <w:t> </w:t>
      </w:r>
      <w:r>
        <w:rPr>
          <w:sz w:val="20"/>
        </w:rPr>
        <w:t>nacional</w:t>
      </w:r>
      <w:r>
        <w:rPr>
          <w:spacing w:val="-9"/>
          <w:sz w:val="20"/>
        </w:rPr>
        <w:t> </w:t>
      </w:r>
      <w:r>
        <w:rPr>
          <w:sz w:val="20"/>
        </w:rPr>
        <w:t>opera</w:t>
      </w:r>
      <w:r>
        <w:rPr>
          <w:spacing w:val="-10"/>
          <w:sz w:val="20"/>
        </w:rPr>
        <w:t> </w:t>
      </w:r>
      <w:r>
        <w:rPr>
          <w:sz w:val="20"/>
        </w:rPr>
        <w:t>como</w:t>
      </w:r>
      <w:r>
        <w:rPr>
          <w:spacing w:val="-11"/>
          <w:sz w:val="20"/>
        </w:rPr>
        <w:t> </w:t>
      </w:r>
      <w:r>
        <w:rPr>
          <w:sz w:val="20"/>
        </w:rPr>
        <w:t>un</w:t>
      </w:r>
      <w:r>
        <w:rPr>
          <w:spacing w:val="-9"/>
          <w:sz w:val="20"/>
        </w:rPr>
        <w:t> </w:t>
      </w:r>
      <w:r>
        <w:rPr>
          <w:sz w:val="20"/>
        </w:rPr>
        <w:t>“piso</w:t>
      </w:r>
      <w:r>
        <w:rPr>
          <w:spacing w:val="-12"/>
          <w:sz w:val="20"/>
        </w:rPr>
        <w:t> </w:t>
      </w:r>
      <w:r>
        <w:rPr>
          <w:sz w:val="20"/>
        </w:rPr>
        <w:t>mínimo”</w:t>
      </w:r>
      <w:r>
        <w:rPr>
          <w:spacing w:val="-11"/>
          <w:sz w:val="20"/>
        </w:rPr>
        <w:t> </w:t>
      </w:r>
      <w:r>
        <w:rPr>
          <w:sz w:val="20"/>
        </w:rPr>
        <w:t>(</w:t>
      </w:r>
      <w:r>
        <w:rPr>
          <w:i/>
          <w:sz w:val="20"/>
        </w:rPr>
        <w:t>supra</w:t>
      </w:r>
      <w:r>
        <w:rPr>
          <w:i/>
          <w:spacing w:val="-10"/>
          <w:sz w:val="20"/>
        </w:rPr>
        <w:t> </w:t>
      </w:r>
      <w:r>
        <w:rPr>
          <w:sz w:val="20"/>
        </w:rPr>
        <w:t>párr. 161). La Corte entiende, considerando lo dicho, que a efectos de garantizar efectivamente la no repetición de las violaciones declaradas en el presente caso, es pertinente que las regulaciones normativas y/o de otro carácter cuya adopción fue ordenada sean aplicables en todo el territorio nacional, tanto por el Estado Nacional como por todas la entidades estatales federativas que conforman la federación argentina; es decir, todas las Provincias y la Ciudad Autónoma de Buenos</w:t>
      </w:r>
      <w:r>
        <w:rPr>
          <w:spacing w:val="-23"/>
          <w:sz w:val="20"/>
        </w:rPr>
        <w:t> </w:t>
      </w:r>
      <w:r>
        <w:rPr>
          <w:sz w:val="20"/>
        </w:rPr>
        <w:t>Aires</w:t>
      </w:r>
      <w:r>
        <w:rPr>
          <w:rFonts w:ascii="Calibri" w:hAnsi="Calibri"/>
          <w:position w:val="8"/>
          <w:sz w:val="14"/>
        </w:rPr>
        <w:t>335</w:t>
      </w:r>
      <w:r>
        <w:rPr>
          <w:sz w:val="20"/>
        </w:rPr>
        <w:t>.</w:t>
      </w:r>
    </w:p>
    <w:p>
      <w:pPr>
        <w:pStyle w:val="BodyText"/>
        <w:spacing w:before="9"/>
        <w:rPr>
          <w:sz w:val="14"/>
        </w:rPr>
      </w:pPr>
      <w:r>
        <w:rPr/>
        <w:pict>
          <v:line style="position:absolute;mso-position-horizontal-relative:page;mso-position-vertical-relative:paragraph;z-index:3664;mso-wrap-distance-left:0;mso-wrap-distance-right:0" from="85.103996pt,11.330989pt" to="229.123996pt,11.330989pt" stroked="true" strokeweight=".72pt" strokecolor="#000000">
            <v:stroke dashstyle="solid"/>
            <w10:wrap type="topAndBottom"/>
          </v:line>
        </w:pict>
      </w:r>
    </w:p>
    <w:p>
      <w:pPr>
        <w:tabs>
          <w:tab w:pos="829" w:val="left" w:leader="none"/>
        </w:tabs>
        <w:spacing w:before="71"/>
        <w:ind w:left="122" w:right="114" w:firstLine="0"/>
        <w:jc w:val="both"/>
        <w:rPr>
          <w:sz w:val="16"/>
        </w:rPr>
      </w:pPr>
      <w:r>
        <w:rPr>
          <w:position w:val="6"/>
          <w:sz w:val="10"/>
        </w:rPr>
        <w:t>333</w:t>
        <w:tab/>
      </w:r>
      <w:r>
        <w:rPr>
          <w:i/>
          <w:sz w:val="16"/>
        </w:rPr>
        <w:t>Cfr. </w:t>
      </w:r>
      <w:r>
        <w:rPr>
          <w:sz w:val="16"/>
        </w:rPr>
        <w:t>Decreto 672/2016, emitido el 12 de mayo de 2016. En sus fundamentos indica que</w:t>
      </w:r>
      <w:r>
        <w:rPr>
          <w:spacing w:val="19"/>
          <w:sz w:val="16"/>
        </w:rPr>
        <w:t> </w:t>
      </w:r>
      <w:r>
        <w:rPr>
          <w:sz w:val="16"/>
        </w:rPr>
        <w:t>“la</w:t>
      </w:r>
      <w:r>
        <w:rPr>
          <w:spacing w:val="3"/>
          <w:sz w:val="16"/>
        </w:rPr>
        <w:t> </w:t>
      </w:r>
      <w:r>
        <w:rPr>
          <w:sz w:val="16"/>
        </w:rPr>
        <w:t>consulta</w:t>
      </w:r>
      <w:r>
        <w:rPr>
          <w:w w:val="100"/>
          <w:sz w:val="16"/>
        </w:rPr>
        <w:t> </w:t>
      </w:r>
      <w:r>
        <w:rPr>
          <w:sz w:val="16"/>
        </w:rPr>
        <w:t>es el derecho de los [p]ueblos [i]ndígenas […] de poder intervenir de forma previa sobre las medidas legislativas o administrativas que afecten directamente sus derechos colectivos”. Dicho Decreto creo el “Consejo Consultivo y Participativo de los Pueblos Indígenas”, estableciendo en el artículo 2 que el mismo “propenderá a generar condiciones para que se efectivice un diálogo intercultural, a fin de que las medidas legislativas y/o administrativas que afecten directamente a los Pueblos y/o Comunidades Indígenas, hayan contado con su intervención previa, incluyéndolos en los procesos de toma de decisión”. El Decreto cita como antecedente</w:t>
      </w:r>
      <w:r>
        <w:rPr>
          <w:spacing w:val="-4"/>
          <w:sz w:val="16"/>
        </w:rPr>
        <w:t> </w:t>
      </w:r>
      <w:r>
        <w:rPr>
          <w:sz w:val="16"/>
        </w:rPr>
        <w:t>una</w:t>
      </w:r>
      <w:r>
        <w:rPr>
          <w:spacing w:val="-7"/>
          <w:sz w:val="16"/>
        </w:rPr>
        <w:t> </w:t>
      </w:r>
      <w:r>
        <w:rPr>
          <w:sz w:val="16"/>
        </w:rPr>
        <w:t>Resolución</w:t>
      </w:r>
      <w:r>
        <w:rPr>
          <w:spacing w:val="-6"/>
          <w:sz w:val="16"/>
        </w:rPr>
        <w:t> </w:t>
      </w:r>
      <w:r>
        <w:rPr>
          <w:sz w:val="16"/>
        </w:rPr>
        <w:t>que</w:t>
      </w:r>
      <w:r>
        <w:rPr>
          <w:spacing w:val="-4"/>
          <w:sz w:val="16"/>
        </w:rPr>
        <w:t> </w:t>
      </w:r>
      <w:r>
        <w:rPr>
          <w:sz w:val="16"/>
        </w:rPr>
        <w:t>“reconoció”</w:t>
      </w:r>
      <w:r>
        <w:rPr>
          <w:spacing w:val="-5"/>
          <w:sz w:val="16"/>
        </w:rPr>
        <w:t> </w:t>
      </w:r>
      <w:r>
        <w:rPr>
          <w:sz w:val="16"/>
        </w:rPr>
        <w:t>una</w:t>
      </w:r>
      <w:r>
        <w:rPr>
          <w:spacing w:val="-4"/>
          <w:sz w:val="16"/>
        </w:rPr>
        <w:t> </w:t>
      </w:r>
      <w:r>
        <w:rPr>
          <w:sz w:val="16"/>
        </w:rPr>
        <w:t>“Mesa</w:t>
      </w:r>
      <w:r>
        <w:rPr>
          <w:spacing w:val="-6"/>
          <w:sz w:val="16"/>
        </w:rPr>
        <w:t> </w:t>
      </w:r>
      <w:r>
        <w:rPr>
          <w:sz w:val="16"/>
        </w:rPr>
        <w:t>de</w:t>
      </w:r>
      <w:r>
        <w:rPr>
          <w:spacing w:val="-4"/>
          <w:sz w:val="16"/>
        </w:rPr>
        <w:t> </w:t>
      </w:r>
      <w:r>
        <w:rPr>
          <w:sz w:val="16"/>
        </w:rPr>
        <w:t>Trabajo</w:t>
      </w:r>
      <w:r>
        <w:rPr>
          <w:spacing w:val="-5"/>
          <w:sz w:val="16"/>
        </w:rPr>
        <w:t> </w:t>
      </w:r>
      <w:r>
        <w:rPr>
          <w:sz w:val="16"/>
        </w:rPr>
        <w:t>y</w:t>
      </w:r>
      <w:r>
        <w:rPr>
          <w:spacing w:val="-5"/>
          <w:sz w:val="16"/>
        </w:rPr>
        <w:t> </w:t>
      </w:r>
      <w:r>
        <w:rPr>
          <w:sz w:val="16"/>
        </w:rPr>
        <w:t>Diálogo</w:t>
      </w:r>
      <w:r>
        <w:rPr>
          <w:spacing w:val="-4"/>
          <w:sz w:val="16"/>
        </w:rPr>
        <w:t> </w:t>
      </w:r>
      <w:r>
        <w:rPr>
          <w:sz w:val="16"/>
        </w:rPr>
        <w:t>Político</w:t>
      </w:r>
      <w:r>
        <w:rPr>
          <w:spacing w:val="-4"/>
          <w:sz w:val="16"/>
        </w:rPr>
        <w:t> </w:t>
      </w:r>
      <w:r>
        <w:rPr>
          <w:sz w:val="16"/>
        </w:rPr>
        <w:t>de</w:t>
      </w:r>
      <w:r>
        <w:rPr>
          <w:spacing w:val="-4"/>
          <w:sz w:val="16"/>
        </w:rPr>
        <w:t> </w:t>
      </w:r>
      <w:r>
        <w:rPr>
          <w:sz w:val="16"/>
        </w:rPr>
        <w:t>los</w:t>
      </w:r>
      <w:r>
        <w:rPr>
          <w:spacing w:val="-4"/>
          <w:sz w:val="16"/>
        </w:rPr>
        <w:t> </w:t>
      </w:r>
      <w:r>
        <w:rPr>
          <w:sz w:val="16"/>
        </w:rPr>
        <w:t>Pueblos</w:t>
      </w:r>
      <w:r>
        <w:rPr>
          <w:spacing w:val="-4"/>
          <w:sz w:val="16"/>
        </w:rPr>
        <w:t> </w:t>
      </w:r>
      <w:r>
        <w:rPr>
          <w:sz w:val="16"/>
        </w:rPr>
        <w:t>Indígenas de Argentina con el Estado Nacional”. La Corte aclara que la mención a lo anterior tiene por objeto sólo dar cuenta de que las autoridades argentinas consideraron relevante propiciar medios para posibilitar la participación de pueblos indígenas. Por otra parte, es pertinente hacer notar que el peritó Solá señaló que “Argentina aprobó la Declaración Americana sobre los Derechos de los Pueblos Indígenas, en el 46º Periodo Ordinario de Sesiones de la Asamblea General de la Organización de Estados Americanos el 15 de junio de 2016”.</w:t>
      </w:r>
    </w:p>
    <w:p>
      <w:pPr>
        <w:pStyle w:val="BodyText"/>
        <w:spacing w:before="11"/>
        <w:rPr>
          <w:sz w:val="15"/>
        </w:rPr>
      </w:pPr>
    </w:p>
    <w:p>
      <w:pPr>
        <w:tabs>
          <w:tab w:pos="829" w:val="left" w:leader="none"/>
        </w:tabs>
        <w:spacing w:before="0"/>
        <w:ind w:left="122" w:right="113" w:firstLine="0"/>
        <w:jc w:val="both"/>
        <w:rPr>
          <w:sz w:val="16"/>
        </w:rPr>
      </w:pPr>
      <w:r>
        <w:rPr>
          <w:position w:val="6"/>
          <w:sz w:val="10"/>
        </w:rPr>
        <w:t>334</w:t>
        <w:tab/>
      </w:r>
      <w:r>
        <w:rPr>
          <w:sz w:val="16"/>
        </w:rPr>
        <w:t>La</w:t>
      </w:r>
      <w:r>
        <w:rPr>
          <w:spacing w:val="-14"/>
          <w:sz w:val="16"/>
        </w:rPr>
        <w:t> </w:t>
      </w:r>
      <w:r>
        <w:rPr>
          <w:sz w:val="16"/>
        </w:rPr>
        <w:t>Corte</w:t>
      </w:r>
      <w:r>
        <w:rPr>
          <w:spacing w:val="-15"/>
          <w:sz w:val="16"/>
        </w:rPr>
        <w:t> </w:t>
      </w:r>
      <w:r>
        <w:rPr>
          <w:sz w:val="16"/>
        </w:rPr>
        <w:t>ordena</w:t>
      </w:r>
      <w:r>
        <w:rPr>
          <w:spacing w:val="-16"/>
          <w:sz w:val="16"/>
        </w:rPr>
        <w:t> </w:t>
      </w:r>
      <w:r>
        <w:rPr>
          <w:sz w:val="16"/>
        </w:rPr>
        <w:t>esta</w:t>
      </w:r>
      <w:r>
        <w:rPr>
          <w:spacing w:val="-14"/>
          <w:sz w:val="16"/>
        </w:rPr>
        <w:t> </w:t>
      </w:r>
      <w:r>
        <w:rPr>
          <w:sz w:val="16"/>
        </w:rPr>
        <w:t>medida</w:t>
      </w:r>
      <w:r>
        <w:rPr>
          <w:spacing w:val="-16"/>
          <w:sz w:val="16"/>
        </w:rPr>
        <w:t> </w:t>
      </w:r>
      <w:r>
        <w:rPr>
          <w:sz w:val="16"/>
        </w:rPr>
        <w:t>tomando</w:t>
      </w:r>
      <w:r>
        <w:rPr>
          <w:spacing w:val="-15"/>
          <w:sz w:val="16"/>
        </w:rPr>
        <w:t> </w:t>
      </w:r>
      <w:r>
        <w:rPr>
          <w:sz w:val="16"/>
        </w:rPr>
        <w:t>nota</w:t>
      </w:r>
      <w:r>
        <w:rPr>
          <w:spacing w:val="-16"/>
          <w:sz w:val="16"/>
        </w:rPr>
        <w:t> </w:t>
      </w:r>
      <w:r>
        <w:rPr>
          <w:sz w:val="16"/>
        </w:rPr>
        <w:t>de</w:t>
      </w:r>
      <w:r>
        <w:rPr>
          <w:spacing w:val="-15"/>
          <w:sz w:val="16"/>
        </w:rPr>
        <w:t> </w:t>
      </w:r>
      <w:r>
        <w:rPr>
          <w:sz w:val="16"/>
        </w:rPr>
        <w:t>los</w:t>
      </w:r>
      <w:r>
        <w:rPr>
          <w:spacing w:val="-15"/>
          <w:sz w:val="16"/>
        </w:rPr>
        <w:t> </w:t>
      </w:r>
      <w:r>
        <w:rPr>
          <w:sz w:val="16"/>
        </w:rPr>
        <w:t>antecedentes</w:t>
      </w:r>
      <w:r>
        <w:rPr>
          <w:spacing w:val="-13"/>
          <w:sz w:val="16"/>
        </w:rPr>
        <w:t> </w:t>
      </w:r>
      <w:r>
        <w:rPr>
          <w:sz w:val="16"/>
        </w:rPr>
        <w:t>referidos</w:t>
      </w:r>
      <w:r>
        <w:rPr>
          <w:spacing w:val="-15"/>
          <w:sz w:val="16"/>
        </w:rPr>
        <w:t> </w:t>
      </w:r>
      <w:r>
        <w:rPr>
          <w:sz w:val="16"/>
        </w:rPr>
        <w:t>y</w:t>
      </w:r>
      <w:r>
        <w:rPr>
          <w:spacing w:val="-15"/>
          <w:sz w:val="16"/>
        </w:rPr>
        <w:t> </w:t>
      </w:r>
      <w:r>
        <w:rPr>
          <w:sz w:val="16"/>
        </w:rPr>
        <w:t>por</w:t>
      </w:r>
      <w:r>
        <w:rPr>
          <w:spacing w:val="-14"/>
          <w:sz w:val="16"/>
        </w:rPr>
        <w:t> </w:t>
      </w:r>
      <w:r>
        <w:rPr>
          <w:sz w:val="16"/>
        </w:rPr>
        <w:t>considerarlo</w:t>
      </w:r>
      <w:r>
        <w:rPr>
          <w:spacing w:val="-12"/>
          <w:sz w:val="16"/>
        </w:rPr>
        <w:t> </w:t>
      </w:r>
      <w:r>
        <w:rPr>
          <w:sz w:val="16"/>
        </w:rPr>
        <w:t>apropiado</w:t>
      </w:r>
      <w:r>
        <w:rPr>
          <w:w w:val="100"/>
          <w:sz w:val="16"/>
        </w:rPr>
        <w:t> </w:t>
      </w:r>
      <w:r>
        <w:rPr>
          <w:sz w:val="16"/>
        </w:rPr>
        <w:t>y</w:t>
      </w:r>
      <w:r>
        <w:rPr>
          <w:spacing w:val="-14"/>
          <w:sz w:val="16"/>
        </w:rPr>
        <w:t> </w:t>
      </w:r>
      <w:r>
        <w:rPr>
          <w:sz w:val="16"/>
        </w:rPr>
        <w:t>útil</w:t>
      </w:r>
      <w:r>
        <w:rPr>
          <w:spacing w:val="-15"/>
          <w:sz w:val="16"/>
        </w:rPr>
        <w:t> </w:t>
      </w:r>
      <w:r>
        <w:rPr>
          <w:sz w:val="16"/>
        </w:rPr>
        <w:t>para</w:t>
      </w:r>
      <w:r>
        <w:rPr>
          <w:spacing w:val="-17"/>
          <w:sz w:val="16"/>
        </w:rPr>
        <w:t> </w:t>
      </w:r>
      <w:r>
        <w:rPr>
          <w:sz w:val="16"/>
        </w:rPr>
        <w:t>la</w:t>
      </w:r>
      <w:r>
        <w:rPr>
          <w:spacing w:val="-15"/>
          <w:sz w:val="16"/>
        </w:rPr>
        <w:t> </w:t>
      </w:r>
      <w:r>
        <w:rPr>
          <w:sz w:val="16"/>
        </w:rPr>
        <w:t>efectividad</w:t>
      </w:r>
      <w:r>
        <w:rPr>
          <w:spacing w:val="-14"/>
          <w:sz w:val="16"/>
        </w:rPr>
        <w:t> </w:t>
      </w:r>
      <w:r>
        <w:rPr>
          <w:sz w:val="16"/>
        </w:rPr>
        <w:t>de</w:t>
      </w:r>
      <w:r>
        <w:rPr>
          <w:spacing w:val="-14"/>
          <w:sz w:val="16"/>
        </w:rPr>
        <w:t> </w:t>
      </w:r>
      <w:r>
        <w:rPr>
          <w:sz w:val="16"/>
        </w:rPr>
        <w:t>las</w:t>
      </w:r>
      <w:r>
        <w:rPr>
          <w:spacing w:val="-19"/>
          <w:sz w:val="16"/>
        </w:rPr>
        <w:t> </w:t>
      </w:r>
      <w:r>
        <w:rPr>
          <w:sz w:val="16"/>
        </w:rPr>
        <w:t>medidas</w:t>
      </w:r>
      <w:r>
        <w:rPr>
          <w:spacing w:val="-17"/>
          <w:sz w:val="16"/>
        </w:rPr>
        <w:t> </w:t>
      </w:r>
      <w:r>
        <w:rPr>
          <w:sz w:val="16"/>
        </w:rPr>
        <w:t>legislativas</w:t>
      </w:r>
      <w:r>
        <w:rPr>
          <w:spacing w:val="-17"/>
          <w:sz w:val="16"/>
        </w:rPr>
        <w:t> </w:t>
      </w:r>
      <w:r>
        <w:rPr>
          <w:sz w:val="16"/>
        </w:rPr>
        <w:t>y/o</w:t>
      </w:r>
      <w:r>
        <w:rPr>
          <w:spacing w:val="-16"/>
          <w:sz w:val="16"/>
        </w:rPr>
        <w:t> </w:t>
      </w:r>
      <w:r>
        <w:rPr>
          <w:sz w:val="16"/>
        </w:rPr>
        <w:t>de</w:t>
      </w:r>
      <w:r>
        <w:rPr>
          <w:spacing w:val="-17"/>
          <w:sz w:val="16"/>
        </w:rPr>
        <w:t> </w:t>
      </w:r>
      <w:r>
        <w:rPr>
          <w:sz w:val="16"/>
        </w:rPr>
        <w:t>otro</w:t>
      </w:r>
      <w:r>
        <w:rPr>
          <w:spacing w:val="-14"/>
          <w:sz w:val="16"/>
        </w:rPr>
        <w:t> </w:t>
      </w:r>
      <w:r>
        <w:rPr>
          <w:sz w:val="16"/>
        </w:rPr>
        <w:t>carácter</w:t>
      </w:r>
      <w:r>
        <w:rPr>
          <w:spacing w:val="-16"/>
          <w:sz w:val="16"/>
        </w:rPr>
        <w:t> </w:t>
      </w:r>
      <w:r>
        <w:rPr>
          <w:sz w:val="16"/>
        </w:rPr>
        <w:t>ordenadas,</w:t>
      </w:r>
      <w:r>
        <w:rPr>
          <w:spacing w:val="-15"/>
          <w:sz w:val="16"/>
        </w:rPr>
        <w:t> </w:t>
      </w:r>
      <w:r>
        <w:rPr>
          <w:sz w:val="16"/>
        </w:rPr>
        <w:t>teniendo</w:t>
      </w:r>
      <w:r>
        <w:rPr>
          <w:spacing w:val="-14"/>
          <w:sz w:val="16"/>
        </w:rPr>
        <w:t> </w:t>
      </w:r>
      <w:r>
        <w:rPr>
          <w:sz w:val="16"/>
        </w:rPr>
        <w:t>en</w:t>
      </w:r>
      <w:r>
        <w:rPr>
          <w:spacing w:val="-18"/>
          <w:sz w:val="16"/>
        </w:rPr>
        <w:t> </w:t>
      </w:r>
      <w:r>
        <w:rPr>
          <w:sz w:val="16"/>
        </w:rPr>
        <w:t>cuenta</w:t>
      </w:r>
      <w:r>
        <w:rPr>
          <w:spacing w:val="-15"/>
          <w:sz w:val="16"/>
        </w:rPr>
        <w:t> </w:t>
      </w:r>
      <w:r>
        <w:rPr>
          <w:sz w:val="16"/>
        </w:rPr>
        <w:t>también circunstancias</w:t>
      </w:r>
      <w:r>
        <w:rPr>
          <w:spacing w:val="-10"/>
          <w:sz w:val="16"/>
        </w:rPr>
        <w:t> </w:t>
      </w:r>
      <w:r>
        <w:rPr>
          <w:sz w:val="16"/>
        </w:rPr>
        <w:t>previas</w:t>
      </w:r>
      <w:r>
        <w:rPr>
          <w:spacing w:val="-10"/>
          <w:sz w:val="16"/>
        </w:rPr>
        <w:t> </w:t>
      </w:r>
      <w:r>
        <w:rPr>
          <w:sz w:val="16"/>
        </w:rPr>
        <w:t>acaecidas</w:t>
      </w:r>
      <w:r>
        <w:rPr>
          <w:spacing w:val="-10"/>
          <w:sz w:val="16"/>
        </w:rPr>
        <w:t> </w:t>
      </w:r>
      <w:r>
        <w:rPr>
          <w:sz w:val="16"/>
        </w:rPr>
        <w:t>en</w:t>
      </w:r>
      <w:r>
        <w:rPr>
          <w:spacing w:val="-14"/>
          <w:sz w:val="16"/>
        </w:rPr>
        <w:t> </w:t>
      </w:r>
      <w:r>
        <w:rPr>
          <w:sz w:val="16"/>
        </w:rPr>
        <w:t>Argentina.</w:t>
      </w:r>
      <w:r>
        <w:rPr>
          <w:spacing w:val="-12"/>
          <w:sz w:val="16"/>
        </w:rPr>
        <w:t> </w:t>
      </w:r>
      <w:r>
        <w:rPr>
          <w:sz w:val="16"/>
        </w:rPr>
        <w:t>En</w:t>
      </w:r>
      <w:r>
        <w:rPr>
          <w:spacing w:val="-12"/>
          <w:sz w:val="16"/>
        </w:rPr>
        <w:t> </w:t>
      </w:r>
      <w:r>
        <w:rPr>
          <w:sz w:val="16"/>
        </w:rPr>
        <w:t>ese</w:t>
      </w:r>
      <w:r>
        <w:rPr>
          <w:spacing w:val="-13"/>
          <w:sz w:val="16"/>
        </w:rPr>
        <w:t> </w:t>
      </w:r>
      <w:r>
        <w:rPr>
          <w:sz w:val="16"/>
        </w:rPr>
        <w:t>sentido,</w:t>
      </w:r>
      <w:r>
        <w:rPr>
          <w:spacing w:val="-12"/>
          <w:sz w:val="16"/>
        </w:rPr>
        <w:t> </w:t>
      </w:r>
      <w:r>
        <w:rPr>
          <w:sz w:val="16"/>
        </w:rPr>
        <w:t>el</w:t>
      </w:r>
      <w:r>
        <w:rPr>
          <w:spacing w:val="-14"/>
          <w:sz w:val="16"/>
        </w:rPr>
        <w:t> </w:t>
      </w:r>
      <w:r>
        <w:rPr>
          <w:sz w:val="16"/>
        </w:rPr>
        <w:t>escrito</w:t>
      </w:r>
      <w:r>
        <w:rPr>
          <w:spacing w:val="-12"/>
          <w:sz w:val="16"/>
        </w:rPr>
        <w:t> </w:t>
      </w:r>
      <w:r>
        <w:rPr>
          <w:sz w:val="16"/>
        </w:rPr>
        <w:t>de</w:t>
      </w:r>
      <w:r>
        <w:rPr>
          <w:spacing w:val="-10"/>
          <w:sz w:val="16"/>
        </w:rPr>
        <w:t> </w:t>
      </w:r>
      <w:r>
        <w:rPr>
          <w:i/>
          <w:sz w:val="16"/>
        </w:rPr>
        <w:t>amicus</w:t>
      </w:r>
      <w:r>
        <w:rPr>
          <w:i/>
          <w:spacing w:val="-13"/>
          <w:sz w:val="16"/>
        </w:rPr>
        <w:t> </w:t>
      </w:r>
      <w:r>
        <w:rPr>
          <w:i/>
          <w:sz w:val="16"/>
        </w:rPr>
        <w:t>curiae</w:t>
      </w:r>
      <w:r>
        <w:rPr>
          <w:i/>
          <w:spacing w:val="-13"/>
          <w:sz w:val="16"/>
        </w:rPr>
        <w:t> </w:t>
      </w:r>
      <w:r>
        <w:rPr>
          <w:sz w:val="16"/>
        </w:rPr>
        <w:t>presentado</w:t>
      </w:r>
      <w:r>
        <w:rPr>
          <w:spacing w:val="-12"/>
          <w:sz w:val="16"/>
        </w:rPr>
        <w:t> </w:t>
      </w:r>
      <w:r>
        <w:rPr>
          <w:sz w:val="16"/>
        </w:rPr>
        <w:t>por</w:t>
      </w:r>
      <w:r>
        <w:rPr>
          <w:spacing w:val="-12"/>
          <w:sz w:val="16"/>
        </w:rPr>
        <w:t> </w:t>
      </w:r>
      <w:r>
        <w:rPr>
          <w:sz w:val="16"/>
        </w:rPr>
        <w:t>AADI y SERPAJ indicó que durante el tratamiento, iniciado en 2012, del proyecto de Código Civil y Comercial Unificado, hubo un “intento” de “reglamentación del derecho de propiedad comunitaria indígena”, pero que durante</w:t>
      </w:r>
      <w:r>
        <w:rPr>
          <w:spacing w:val="-8"/>
          <w:sz w:val="16"/>
        </w:rPr>
        <w:t> </w:t>
      </w:r>
      <w:r>
        <w:rPr>
          <w:sz w:val="16"/>
        </w:rPr>
        <w:t>audiencias</w:t>
      </w:r>
      <w:r>
        <w:rPr>
          <w:spacing w:val="-8"/>
          <w:sz w:val="16"/>
        </w:rPr>
        <w:t> </w:t>
      </w:r>
      <w:r>
        <w:rPr>
          <w:sz w:val="16"/>
        </w:rPr>
        <w:t>públicas</w:t>
      </w:r>
      <w:r>
        <w:rPr>
          <w:spacing w:val="-11"/>
          <w:sz w:val="16"/>
        </w:rPr>
        <w:t> </w:t>
      </w:r>
      <w:r>
        <w:rPr>
          <w:sz w:val="16"/>
        </w:rPr>
        <w:t>realizadas</w:t>
      </w:r>
      <w:r>
        <w:rPr>
          <w:spacing w:val="-6"/>
          <w:sz w:val="16"/>
        </w:rPr>
        <w:t> </w:t>
      </w:r>
      <w:r>
        <w:rPr>
          <w:sz w:val="16"/>
        </w:rPr>
        <w:t>en</w:t>
      </w:r>
      <w:r>
        <w:rPr>
          <w:spacing w:val="-9"/>
          <w:sz w:val="16"/>
        </w:rPr>
        <w:t> </w:t>
      </w:r>
      <w:r>
        <w:rPr>
          <w:sz w:val="16"/>
        </w:rPr>
        <w:t>ese</w:t>
      </w:r>
      <w:r>
        <w:rPr>
          <w:spacing w:val="-8"/>
          <w:sz w:val="16"/>
        </w:rPr>
        <w:t> </w:t>
      </w:r>
      <w:r>
        <w:rPr>
          <w:sz w:val="16"/>
        </w:rPr>
        <w:t>marco</w:t>
      </w:r>
      <w:r>
        <w:rPr>
          <w:spacing w:val="-7"/>
          <w:sz w:val="16"/>
        </w:rPr>
        <w:t> </w:t>
      </w:r>
      <w:r>
        <w:rPr>
          <w:sz w:val="16"/>
        </w:rPr>
        <w:t>se</w:t>
      </w:r>
      <w:r>
        <w:rPr>
          <w:spacing w:val="-8"/>
          <w:sz w:val="16"/>
        </w:rPr>
        <w:t> </w:t>
      </w:r>
      <w:r>
        <w:rPr>
          <w:sz w:val="16"/>
        </w:rPr>
        <w:t>evidenció</w:t>
      </w:r>
      <w:r>
        <w:rPr>
          <w:spacing w:val="-8"/>
          <w:sz w:val="16"/>
        </w:rPr>
        <w:t> </w:t>
      </w:r>
      <w:r>
        <w:rPr>
          <w:sz w:val="16"/>
        </w:rPr>
        <w:t>un</w:t>
      </w:r>
      <w:r>
        <w:rPr>
          <w:spacing w:val="-7"/>
          <w:sz w:val="16"/>
        </w:rPr>
        <w:t> </w:t>
      </w:r>
      <w:r>
        <w:rPr>
          <w:sz w:val="16"/>
        </w:rPr>
        <w:t>“rechazo</w:t>
      </w:r>
      <w:r>
        <w:rPr>
          <w:spacing w:val="-8"/>
          <w:sz w:val="16"/>
        </w:rPr>
        <w:t> </w:t>
      </w:r>
      <w:r>
        <w:rPr>
          <w:sz w:val="16"/>
        </w:rPr>
        <w:t>generalizado”,</w:t>
      </w:r>
      <w:r>
        <w:rPr>
          <w:spacing w:val="-9"/>
          <w:sz w:val="16"/>
        </w:rPr>
        <w:t> </w:t>
      </w:r>
      <w:r>
        <w:rPr>
          <w:sz w:val="16"/>
        </w:rPr>
        <w:t>pues</w:t>
      </w:r>
      <w:r>
        <w:rPr>
          <w:spacing w:val="-8"/>
          <w:sz w:val="16"/>
        </w:rPr>
        <w:t> </w:t>
      </w:r>
      <w:r>
        <w:rPr>
          <w:sz w:val="16"/>
        </w:rPr>
        <w:t>no</w:t>
      </w:r>
      <w:r>
        <w:rPr>
          <w:spacing w:val="-8"/>
          <w:sz w:val="16"/>
        </w:rPr>
        <w:t> </w:t>
      </w:r>
      <w:r>
        <w:rPr>
          <w:sz w:val="16"/>
        </w:rPr>
        <w:t>se</w:t>
      </w:r>
      <w:r>
        <w:rPr>
          <w:spacing w:val="-8"/>
          <w:sz w:val="16"/>
        </w:rPr>
        <w:t> </w:t>
      </w:r>
      <w:r>
        <w:rPr>
          <w:sz w:val="16"/>
        </w:rPr>
        <w:t>había realizado</w:t>
      </w:r>
      <w:r>
        <w:rPr>
          <w:spacing w:val="-5"/>
          <w:sz w:val="16"/>
        </w:rPr>
        <w:t> </w:t>
      </w:r>
      <w:r>
        <w:rPr>
          <w:sz w:val="16"/>
        </w:rPr>
        <w:t>“ningún</w:t>
      </w:r>
      <w:r>
        <w:rPr>
          <w:spacing w:val="-5"/>
          <w:sz w:val="16"/>
        </w:rPr>
        <w:t> </w:t>
      </w:r>
      <w:r>
        <w:rPr>
          <w:sz w:val="16"/>
        </w:rPr>
        <w:t>tipo</w:t>
      </w:r>
      <w:r>
        <w:rPr>
          <w:spacing w:val="-5"/>
          <w:sz w:val="16"/>
        </w:rPr>
        <w:t> </w:t>
      </w:r>
      <w:r>
        <w:rPr>
          <w:sz w:val="16"/>
        </w:rPr>
        <w:t>de</w:t>
      </w:r>
      <w:r>
        <w:rPr>
          <w:spacing w:val="-3"/>
          <w:sz w:val="16"/>
        </w:rPr>
        <w:t> </w:t>
      </w:r>
      <w:r>
        <w:rPr>
          <w:sz w:val="16"/>
        </w:rPr>
        <w:t>consulta</w:t>
      </w:r>
      <w:r>
        <w:rPr>
          <w:spacing w:val="-4"/>
          <w:sz w:val="16"/>
        </w:rPr>
        <w:t> </w:t>
      </w:r>
      <w:r>
        <w:rPr>
          <w:sz w:val="16"/>
        </w:rPr>
        <w:t>con</w:t>
      </w:r>
      <w:r>
        <w:rPr>
          <w:spacing w:val="-5"/>
          <w:sz w:val="16"/>
        </w:rPr>
        <w:t> </w:t>
      </w:r>
      <w:r>
        <w:rPr>
          <w:sz w:val="16"/>
        </w:rPr>
        <w:t>las</w:t>
      </w:r>
      <w:r>
        <w:rPr>
          <w:spacing w:val="-6"/>
          <w:sz w:val="16"/>
        </w:rPr>
        <w:t> </w:t>
      </w:r>
      <w:r>
        <w:rPr>
          <w:sz w:val="16"/>
        </w:rPr>
        <w:t>comunidades</w:t>
      </w:r>
      <w:r>
        <w:rPr>
          <w:spacing w:val="-3"/>
          <w:sz w:val="16"/>
        </w:rPr>
        <w:t> </w:t>
      </w:r>
      <w:r>
        <w:rPr>
          <w:sz w:val="16"/>
        </w:rPr>
        <w:t>[indígenas]</w:t>
      </w:r>
      <w:r>
        <w:rPr>
          <w:spacing w:val="-4"/>
          <w:sz w:val="16"/>
        </w:rPr>
        <w:t> </w:t>
      </w:r>
      <w:r>
        <w:rPr>
          <w:sz w:val="16"/>
        </w:rPr>
        <w:t>ni</w:t>
      </w:r>
      <w:r>
        <w:rPr>
          <w:spacing w:val="-4"/>
          <w:sz w:val="16"/>
        </w:rPr>
        <w:t> </w:t>
      </w:r>
      <w:r>
        <w:rPr>
          <w:sz w:val="16"/>
        </w:rPr>
        <w:t>con</w:t>
      </w:r>
      <w:r>
        <w:rPr>
          <w:spacing w:val="-5"/>
          <w:sz w:val="16"/>
        </w:rPr>
        <w:t> </w:t>
      </w:r>
      <w:r>
        <w:rPr>
          <w:sz w:val="16"/>
        </w:rPr>
        <w:t>las</w:t>
      </w:r>
      <w:r>
        <w:rPr>
          <w:spacing w:val="-6"/>
          <w:sz w:val="16"/>
        </w:rPr>
        <w:t> </w:t>
      </w:r>
      <w:r>
        <w:rPr>
          <w:sz w:val="16"/>
        </w:rPr>
        <w:t>instituciones</w:t>
      </w:r>
      <w:r>
        <w:rPr>
          <w:spacing w:val="-3"/>
          <w:sz w:val="16"/>
        </w:rPr>
        <w:t> </w:t>
      </w:r>
      <w:r>
        <w:rPr>
          <w:sz w:val="16"/>
        </w:rPr>
        <w:t>representativas</w:t>
      </w:r>
      <w:r>
        <w:rPr>
          <w:spacing w:val="-6"/>
          <w:sz w:val="16"/>
        </w:rPr>
        <w:t> </w:t>
      </w:r>
      <w:r>
        <w:rPr>
          <w:sz w:val="16"/>
        </w:rPr>
        <w:t>de los pueblos indígenas”. El mismo documento dio cuenta del trámite de uno de los proyectos referidos por el perito</w:t>
      </w:r>
      <w:r>
        <w:rPr>
          <w:spacing w:val="-7"/>
          <w:sz w:val="16"/>
        </w:rPr>
        <w:t> </w:t>
      </w:r>
      <w:r>
        <w:rPr>
          <w:sz w:val="16"/>
        </w:rPr>
        <w:t>Solá</w:t>
      </w:r>
      <w:r>
        <w:rPr>
          <w:spacing w:val="-6"/>
          <w:sz w:val="16"/>
        </w:rPr>
        <w:t> </w:t>
      </w:r>
      <w:r>
        <w:rPr>
          <w:sz w:val="16"/>
        </w:rPr>
        <w:t>(</w:t>
      </w:r>
      <w:r>
        <w:rPr>
          <w:i/>
          <w:sz w:val="16"/>
        </w:rPr>
        <w:t>supra</w:t>
      </w:r>
      <w:r>
        <w:rPr>
          <w:i/>
          <w:spacing w:val="-8"/>
          <w:sz w:val="16"/>
        </w:rPr>
        <w:t> </w:t>
      </w:r>
      <w:r>
        <w:rPr>
          <w:sz w:val="16"/>
        </w:rPr>
        <w:t>nota</w:t>
      </w:r>
      <w:r>
        <w:rPr>
          <w:spacing w:val="-6"/>
          <w:sz w:val="16"/>
        </w:rPr>
        <w:t> </w:t>
      </w:r>
      <w:r>
        <w:rPr>
          <w:sz w:val="16"/>
        </w:rPr>
        <w:t>a</w:t>
      </w:r>
      <w:r>
        <w:rPr>
          <w:spacing w:val="-10"/>
          <w:sz w:val="16"/>
        </w:rPr>
        <w:t> </w:t>
      </w:r>
      <w:r>
        <w:rPr>
          <w:sz w:val="16"/>
        </w:rPr>
        <w:t>pie</w:t>
      </w:r>
      <w:r>
        <w:rPr>
          <w:spacing w:val="-7"/>
          <w:sz w:val="16"/>
        </w:rPr>
        <w:t> </w:t>
      </w:r>
      <w:r>
        <w:rPr>
          <w:sz w:val="16"/>
        </w:rPr>
        <w:t>de</w:t>
      </w:r>
      <w:r>
        <w:rPr>
          <w:spacing w:val="-5"/>
          <w:sz w:val="16"/>
        </w:rPr>
        <w:t> </w:t>
      </w:r>
      <w:r>
        <w:rPr>
          <w:sz w:val="16"/>
        </w:rPr>
        <w:t>página</w:t>
      </w:r>
      <w:r>
        <w:rPr>
          <w:spacing w:val="-8"/>
          <w:sz w:val="16"/>
        </w:rPr>
        <w:t> </w:t>
      </w:r>
      <w:r>
        <w:rPr>
          <w:sz w:val="16"/>
        </w:rPr>
        <w:t>331),</w:t>
      </w:r>
      <w:r>
        <w:rPr>
          <w:spacing w:val="-8"/>
          <w:sz w:val="16"/>
        </w:rPr>
        <w:t> </w:t>
      </w:r>
      <w:r>
        <w:rPr>
          <w:sz w:val="16"/>
        </w:rPr>
        <w:t>y</w:t>
      </w:r>
      <w:r>
        <w:rPr>
          <w:spacing w:val="-7"/>
          <w:sz w:val="16"/>
        </w:rPr>
        <w:t> </w:t>
      </w:r>
      <w:r>
        <w:rPr>
          <w:sz w:val="16"/>
        </w:rPr>
        <w:t>expresó</w:t>
      </w:r>
      <w:r>
        <w:rPr>
          <w:spacing w:val="-6"/>
          <w:sz w:val="16"/>
        </w:rPr>
        <w:t> </w:t>
      </w:r>
      <w:r>
        <w:rPr>
          <w:sz w:val="16"/>
        </w:rPr>
        <w:t>que</w:t>
      </w:r>
      <w:r>
        <w:rPr>
          <w:spacing w:val="-10"/>
          <w:sz w:val="16"/>
        </w:rPr>
        <w:t> </w:t>
      </w:r>
      <w:r>
        <w:rPr>
          <w:sz w:val="16"/>
        </w:rPr>
        <w:t>el</w:t>
      </w:r>
      <w:r>
        <w:rPr>
          <w:spacing w:val="-5"/>
          <w:sz w:val="16"/>
        </w:rPr>
        <w:t> </w:t>
      </w:r>
      <w:r>
        <w:rPr>
          <w:sz w:val="16"/>
        </w:rPr>
        <w:t>mismo</w:t>
      </w:r>
      <w:r>
        <w:rPr>
          <w:spacing w:val="-9"/>
          <w:sz w:val="16"/>
        </w:rPr>
        <w:t> </w:t>
      </w:r>
      <w:r>
        <w:rPr>
          <w:sz w:val="16"/>
        </w:rPr>
        <w:t>“ha</w:t>
      </w:r>
      <w:r>
        <w:rPr>
          <w:spacing w:val="-8"/>
          <w:sz w:val="16"/>
        </w:rPr>
        <w:t> </w:t>
      </w:r>
      <w:r>
        <w:rPr>
          <w:sz w:val="16"/>
        </w:rPr>
        <w:t>debido</w:t>
      </w:r>
      <w:r>
        <w:rPr>
          <w:spacing w:val="-7"/>
          <w:sz w:val="16"/>
        </w:rPr>
        <w:t> </w:t>
      </w:r>
      <w:r>
        <w:rPr>
          <w:sz w:val="16"/>
        </w:rPr>
        <w:t>observar</w:t>
      </w:r>
      <w:r>
        <w:rPr>
          <w:spacing w:val="-7"/>
          <w:sz w:val="16"/>
        </w:rPr>
        <w:t> </w:t>
      </w:r>
      <w:r>
        <w:rPr>
          <w:sz w:val="16"/>
        </w:rPr>
        <w:t>diversos</w:t>
      </w:r>
      <w:r>
        <w:rPr>
          <w:spacing w:val="-7"/>
          <w:sz w:val="16"/>
        </w:rPr>
        <w:t> </w:t>
      </w:r>
      <w:r>
        <w:rPr>
          <w:sz w:val="16"/>
        </w:rPr>
        <w:t>obstáculos para su tratamiento y su efectiva consulta, en tanto los mecanismos destinados a la consulta con los pueblos indígenas aún no se hayan debidamente reglamentados en la República Argentina”. Explicó que aún pese a esa</w:t>
      </w:r>
      <w:r>
        <w:rPr>
          <w:spacing w:val="-11"/>
          <w:sz w:val="16"/>
        </w:rPr>
        <w:t> </w:t>
      </w:r>
      <w:r>
        <w:rPr>
          <w:sz w:val="16"/>
        </w:rPr>
        <w:t>situación</w:t>
      </w:r>
      <w:r>
        <w:rPr>
          <w:spacing w:val="-11"/>
          <w:sz w:val="16"/>
        </w:rPr>
        <w:t> </w:t>
      </w:r>
      <w:r>
        <w:rPr>
          <w:sz w:val="16"/>
        </w:rPr>
        <w:t>“desde</w:t>
      </w:r>
      <w:r>
        <w:rPr>
          <w:spacing w:val="-11"/>
          <w:sz w:val="16"/>
        </w:rPr>
        <w:t> </w:t>
      </w:r>
      <w:r>
        <w:rPr>
          <w:sz w:val="16"/>
        </w:rPr>
        <w:t>la</w:t>
      </w:r>
      <w:r>
        <w:rPr>
          <w:spacing w:val="-13"/>
          <w:sz w:val="16"/>
        </w:rPr>
        <w:t> </w:t>
      </w:r>
      <w:r>
        <w:rPr>
          <w:sz w:val="16"/>
        </w:rPr>
        <w:t>Comisión</w:t>
      </w:r>
      <w:r>
        <w:rPr>
          <w:spacing w:val="-9"/>
          <w:sz w:val="16"/>
        </w:rPr>
        <w:t> </w:t>
      </w:r>
      <w:r>
        <w:rPr>
          <w:sz w:val="16"/>
        </w:rPr>
        <w:t>Especial</w:t>
      </w:r>
      <w:r>
        <w:rPr>
          <w:spacing w:val="-11"/>
          <w:sz w:val="16"/>
        </w:rPr>
        <w:t> </w:t>
      </w:r>
      <w:r>
        <w:rPr>
          <w:sz w:val="16"/>
        </w:rPr>
        <w:t>de</w:t>
      </w:r>
      <w:r>
        <w:rPr>
          <w:spacing w:val="-11"/>
          <w:sz w:val="16"/>
        </w:rPr>
        <w:t> </w:t>
      </w:r>
      <w:r>
        <w:rPr>
          <w:sz w:val="16"/>
        </w:rPr>
        <w:t>Pueblos</w:t>
      </w:r>
      <w:r>
        <w:rPr>
          <w:spacing w:val="-11"/>
          <w:sz w:val="16"/>
        </w:rPr>
        <w:t> </w:t>
      </w:r>
      <w:r>
        <w:rPr>
          <w:sz w:val="16"/>
        </w:rPr>
        <w:t>Indígenas</w:t>
      </w:r>
      <w:r>
        <w:rPr>
          <w:spacing w:val="-10"/>
          <w:sz w:val="16"/>
        </w:rPr>
        <w:t> </w:t>
      </w:r>
      <w:r>
        <w:rPr>
          <w:sz w:val="16"/>
        </w:rPr>
        <w:t>del</w:t>
      </w:r>
      <w:r>
        <w:rPr>
          <w:spacing w:val="-11"/>
          <w:sz w:val="16"/>
        </w:rPr>
        <w:t> </w:t>
      </w:r>
      <w:r>
        <w:rPr>
          <w:sz w:val="16"/>
        </w:rPr>
        <w:t>Senado</w:t>
      </w:r>
      <w:r>
        <w:rPr>
          <w:spacing w:val="-10"/>
          <w:sz w:val="16"/>
        </w:rPr>
        <w:t> </w:t>
      </w:r>
      <w:r>
        <w:rPr>
          <w:sz w:val="16"/>
        </w:rPr>
        <w:t>[…]</w:t>
      </w:r>
      <w:r>
        <w:rPr>
          <w:spacing w:val="-11"/>
          <w:sz w:val="16"/>
        </w:rPr>
        <w:t> </w:t>
      </w:r>
      <w:r>
        <w:rPr>
          <w:sz w:val="16"/>
        </w:rPr>
        <w:t>se</w:t>
      </w:r>
      <w:r>
        <w:rPr>
          <w:spacing w:val="-10"/>
          <w:sz w:val="16"/>
        </w:rPr>
        <w:t> </w:t>
      </w:r>
      <w:r>
        <w:rPr>
          <w:sz w:val="16"/>
        </w:rPr>
        <w:t>han</w:t>
      </w:r>
      <w:r>
        <w:rPr>
          <w:spacing w:val="-12"/>
          <w:sz w:val="16"/>
        </w:rPr>
        <w:t> </w:t>
      </w:r>
      <w:r>
        <w:rPr>
          <w:sz w:val="16"/>
        </w:rPr>
        <w:t>llevado</w:t>
      </w:r>
      <w:r>
        <w:rPr>
          <w:spacing w:val="-10"/>
          <w:sz w:val="16"/>
        </w:rPr>
        <w:t> </w:t>
      </w:r>
      <w:r>
        <w:rPr>
          <w:sz w:val="16"/>
        </w:rPr>
        <w:t>a</w:t>
      </w:r>
      <w:r>
        <w:rPr>
          <w:spacing w:val="-11"/>
          <w:sz w:val="16"/>
        </w:rPr>
        <w:t> </w:t>
      </w:r>
      <w:r>
        <w:rPr>
          <w:sz w:val="16"/>
        </w:rPr>
        <w:t>cabo</w:t>
      </w:r>
      <w:r>
        <w:rPr>
          <w:spacing w:val="-6"/>
          <w:sz w:val="16"/>
        </w:rPr>
        <w:t> </w:t>
      </w:r>
      <w:r>
        <w:rPr>
          <w:sz w:val="16"/>
        </w:rPr>
        <w:t>una</w:t>
      </w:r>
      <w:r>
        <w:rPr>
          <w:spacing w:val="-11"/>
          <w:sz w:val="16"/>
        </w:rPr>
        <w:t> </w:t>
      </w:r>
      <w:r>
        <w:rPr>
          <w:sz w:val="16"/>
        </w:rPr>
        <w:t>serie de talleres y actividades destinados a la socialización, debate y análisis de dicho proyecto a lo largo y ancho del país”. El texto, recibido el 28 de marzo de 2018, describió esas actividades y aclaró que el proyecto en cuestión “ha vuelto a perder estado parlamentario recientemente, a pesar de lo cual se ha […] venido trabajando sobre un nuevo borrador en diferentes regiones del país, a través de la Comisión Especial de Pueblos Indígenas creada en […] 2017 en el Senado de la Nación, y cuyos aportes serán nuevamente presentados en un nuevo proyecto de ley”. Por otra parte, en el marco del Examen Periódico Universal de Naciones Unidas, en 2018 se ha recomendado a Argentina, “[v]elar por que los pueblos indígenas participen plenamente</w:t>
      </w:r>
      <w:r>
        <w:rPr>
          <w:spacing w:val="-3"/>
          <w:sz w:val="16"/>
        </w:rPr>
        <w:t> </w:t>
      </w:r>
      <w:r>
        <w:rPr>
          <w:sz w:val="16"/>
        </w:rPr>
        <w:t>en</w:t>
      </w:r>
      <w:r>
        <w:rPr>
          <w:spacing w:val="-7"/>
          <w:sz w:val="16"/>
        </w:rPr>
        <w:t> </w:t>
      </w:r>
      <w:r>
        <w:rPr>
          <w:sz w:val="16"/>
        </w:rPr>
        <w:t>el</w:t>
      </w:r>
      <w:r>
        <w:rPr>
          <w:spacing w:val="-4"/>
          <w:sz w:val="16"/>
        </w:rPr>
        <w:t> </w:t>
      </w:r>
      <w:r>
        <w:rPr>
          <w:sz w:val="16"/>
        </w:rPr>
        <w:t>proceso</w:t>
      </w:r>
      <w:r>
        <w:rPr>
          <w:spacing w:val="-3"/>
          <w:sz w:val="16"/>
        </w:rPr>
        <w:t> </w:t>
      </w:r>
      <w:r>
        <w:rPr>
          <w:sz w:val="16"/>
        </w:rPr>
        <w:t>de</w:t>
      </w:r>
      <w:r>
        <w:rPr>
          <w:spacing w:val="-6"/>
          <w:sz w:val="16"/>
        </w:rPr>
        <w:t> </w:t>
      </w:r>
      <w:r>
        <w:rPr>
          <w:sz w:val="16"/>
        </w:rPr>
        <w:t>elaboración</w:t>
      </w:r>
      <w:r>
        <w:rPr>
          <w:spacing w:val="-6"/>
          <w:sz w:val="16"/>
        </w:rPr>
        <w:t> </w:t>
      </w:r>
      <w:r>
        <w:rPr>
          <w:sz w:val="16"/>
        </w:rPr>
        <w:t>de</w:t>
      </w:r>
      <w:r>
        <w:rPr>
          <w:spacing w:val="-3"/>
          <w:sz w:val="16"/>
        </w:rPr>
        <w:t> </w:t>
      </w:r>
      <w:r>
        <w:rPr>
          <w:sz w:val="16"/>
        </w:rPr>
        <w:t>las</w:t>
      </w:r>
      <w:r>
        <w:rPr>
          <w:spacing w:val="-6"/>
          <w:sz w:val="16"/>
        </w:rPr>
        <w:t> </w:t>
      </w:r>
      <w:r>
        <w:rPr>
          <w:sz w:val="16"/>
        </w:rPr>
        <w:t>medidas</w:t>
      </w:r>
      <w:r>
        <w:rPr>
          <w:spacing w:val="-3"/>
          <w:sz w:val="16"/>
        </w:rPr>
        <w:t> </w:t>
      </w:r>
      <w:r>
        <w:rPr>
          <w:sz w:val="16"/>
        </w:rPr>
        <w:t>legislativas</w:t>
      </w:r>
      <w:r>
        <w:rPr>
          <w:spacing w:val="-3"/>
          <w:sz w:val="16"/>
        </w:rPr>
        <w:t> </w:t>
      </w:r>
      <w:r>
        <w:rPr>
          <w:sz w:val="16"/>
        </w:rPr>
        <w:t>o</w:t>
      </w:r>
      <w:r>
        <w:rPr>
          <w:spacing w:val="-5"/>
          <w:sz w:val="16"/>
        </w:rPr>
        <w:t> </w:t>
      </w:r>
      <w:r>
        <w:rPr>
          <w:sz w:val="16"/>
        </w:rPr>
        <w:t>administrativas</w:t>
      </w:r>
      <w:r>
        <w:rPr>
          <w:spacing w:val="-6"/>
          <w:sz w:val="16"/>
        </w:rPr>
        <w:t> </w:t>
      </w:r>
      <w:r>
        <w:rPr>
          <w:sz w:val="16"/>
        </w:rPr>
        <w:t>que</w:t>
      </w:r>
      <w:r>
        <w:rPr>
          <w:spacing w:val="-3"/>
          <w:sz w:val="16"/>
        </w:rPr>
        <w:t> </w:t>
      </w:r>
      <w:r>
        <w:rPr>
          <w:sz w:val="16"/>
        </w:rPr>
        <w:t>puedan</w:t>
      </w:r>
      <w:r>
        <w:rPr>
          <w:spacing w:val="-5"/>
          <w:sz w:val="16"/>
        </w:rPr>
        <w:t> </w:t>
      </w:r>
      <w:r>
        <w:rPr>
          <w:sz w:val="16"/>
        </w:rPr>
        <w:t>afectarlos” (Consejo de Derechos Humanos. 37º período de sesiones. 26 de febrero a 23 de marzo de 2018. Informe del Grupo de Trabajo sobre el Examen Periódico Universal. Argentina. Doc. A/HRC/37/5, párr.</w:t>
      </w:r>
      <w:r>
        <w:rPr>
          <w:spacing w:val="-35"/>
          <w:sz w:val="16"/>
        </w:rPr>
        <w:t> </w:t>
      </w:r>
      <w:r>
        <w:rPr>
          <w:sz w:val="16"/>
        </w:rPr>
        <w:t>107.175).</w:t>
      </w:r>
    </w:p>
    <w:p>
      <w:pPr>
        <w:pStyle w:val="BodyText"/>
        <w:spacing w:before="1"/>
        <w:rPr>
          <w:sz w:val="16"/>
        </w:rPr>
      </w:pPr>
    </w:p>
    <w:p>
      <w:pPr>
        <w:tabs>
          <w:tab w:pos="829" w:val="left" w:leader="none"/>
        </w:tabs>
        <w:spacing w:before="0"/>
        <w:ind w:left="122" w:right="0" w:firstLine="0"/>
        <w:jc w:val="both"/>
        <w:rPr>
          <w:sz w:val="16"/>
        </w:rPr>
      </w:pPr>
      <w:r>
        <w:rPr>
          <w:position w:val="6"/>
          <w:sz w:val="10"/>
        </w:rPr>
        <w:t>335</w:t>
        <w:tab/>
      </w:r>
      <w:r>
        <w:rPr>
          <w:sz w:val="16"/>
        </w:rPr>
        <w:t>Al</w:t>
      </w:r>
      <w:r>
        <w:rPr>
          <w:spacing w:val="14"/>
          <w:sz w:val="16"/>
        </w:rPr>
        <w:t> </w:t>
      </w:r>
      <w:r>
        <w:rPr>
          <w:sz w:val="16"/>
        </w:rPr>
        <w:t>respecto,</w:t>
      </w:r>
      <w:r>
        <w:rPr>
          <w:spacing w:val="13"/>
          <w:sz w:val="16"/>
        </w:rPr>
        <w:t> </w:t>
      </w:r>
      <w:r>
        <w:rPr>
          <w:sz w:val="16"/>
        </w:rPr>
        <w:t>el</w:t>
      </w:r>
      <w:r>
        <w:rPr>
          <w:spacing w:val="13"/>
          <w:sz w:val="16"/>
        </w:rPr>
        <w:t> </w:t>
      </w:r>
      <w:r>
        <w:rPr>
          <w:sz w:val="16"/>
        </w:rPr>
        <w:t>escrito</w:t>
      </w:r>
      <w:r>
        <w:rPr>
          <w:spacing w:val="12"/>
          <w:sz w:val="16"/>
        </w:rPr>
        <w:t> </w:t>
      </w:r>
      <w:r>
        <w:rPr>
          <w:sz w:val="16"/>
        </w:rPr>
        <w:t>de</w:t>
      </w:r>
      <w:r>
        <w:rPr>
          <w:spacing w:val="17"/>
          <w:sz w:val="16"/>
        </w:rPr>
        <w:t> </w:t>
      </w:r>
      <w:r>
        <w:rPr>
          <w:i/>
          <w:sz w:val="16"/>
        </w:rPr>
        <w:t>amicus</w:t>
      </w:r>
      <w:r>
        <w:rPr>
          <w:i/>
          <w:spacing w:val="14"/>
          <w:sz w:val="16"/>
        </w:rPr>
        <w:t> </w:t>
      </w:r>
      <w:r>
        <w:rPr>
          <w:i/>
          <w:sz w:val="16"/>
        </w:rPr>
        <w:t>curiae</w:t>
      </w:r>
      <w:r>
        <w:rPr>
          <w:i/>
          <w:spacing w:val="12"/>
          <w:sz w:val="16"/>
        </w:rPr>
        <w:t> </w:t>
      </w:r>
      <w:r>
        <w:rPr>
          <w:sz w:val="16"/>
        </w:rPr>
        <w:t>presentado</w:t>
      </w:r>
      <w:r>
        <w:rPr>
          <w:spacing w:val="15"/>
          <w:sz w:val="16"/>
        </w:rPr>
        <w:t> </w:t>
      </w:r>
      <w:r>
        <w:rPr>
          <w:sz w:val="16"/>
        </w:rPr>
        <w:t>por</w:t>
      </w:r>
      <w:r>
        <w:rPr>
          <w:spacing w:val="13"/>
          <w:sz w:val="16"/>
        </w:rPr>
        <w:t> </w:t>
      </w:r>
      <w:r>
        <w:rPr>
          <w:sz w:val="16"/>
        </w:rPr>
        <w:t>AADI</w:t>
      </w:r>
      <w:r>
        <w:rPr>
          <w:spacing w:val="14"/>
          <w:sz w:val="16"/>
        </w:rPr>
        <w:t> </w:t>
      </w:r>
      <w:r>
        <w:rPr>
          <w:sz w:val="16"/>
        </w:rPr>
        <w:t>y</w:t>
      </w:r>
      <w:r>
        <w:rPr>
          <w:spacing w:val="12"/>
          <w:sz w:val="16"/>
        </w:rPr>
        <w:t> </w:t>
      </w:r>
      <w:r>
        <w:rPr>
          <w:sz w:val="16"/>
        </w:rPr>
        <w:t>SERPAJ</w:t>
      </w:r>
      <w:r>
        <w:rPr>
          <w:spacing w:val="13"/>
          <w:sz w:val="16"/>
        </w:rPr>
        <w:t> </w:t>
      </w:r>
      <w:r>
        <w:rPr>
          <w:sz w:val="16"/>
        </w:rPr>
        <w:t>señala</w:t>
      </w:r>
      <w:r>
        <w:rPr>
          <w:spacing w:val="14"/>
          <w:sz w:val="16"/>
        </w:rPr>
        <w:t> </w:t>
      </w:r>
      <w:r>
        <w:rPr>
          <w:sz w:val="16"/>
        </w:rPr>
        <w:t>que</w:t>
      </w:r>
      <w:r>
        <w:rPr>
          <w:spacing w:val="12"/>
          <w:sz w:val="16"/>
        </w:rPr>
        <w:t> </w:t>
      </w:r>
      <w:r>
        <w:rPr>
          <w:sz w:val="16"/>
        </w:rPr>
        <w:t>el</w:t>
      </w:r>
      <w:r>
        <w:rPr>
          <w:spacing w:val="13"/>
          <w:sz w:val="16"/>
        </w:rPr>
        <w:t> </w:t>
      </w:r>
      <w:r>
        <w:rPr>
          <w:sz w:val="16"/>
        </w:rPr>
        <w:t>derecho</w:t>
      </w:r>
      <w:r>
        <w:rPr>
          <w:spacing w:val="15"/>
          <w:sz w:val="16"/>
        </w:rPr>
        <w:t> </w:t>
      </w:r>
      <w:r>
        <w:rPr>
          <w:sz w:val="16"/>
        </w:rPr>
        <w:t>a</w:t>
      </w:r>
      <w:r>
        <w:rPr>
          <w:spacing w:val="14"/>
          <w:sz w:val="16"/>
        </w:rPr>
        <w:t> </w:t>
      </w:r>
      <w:r>
        <w:rPr>
          <w:sz w:val="16"/>
        </w:rPr>
        <w:t>la</w:t>
      </w:r>
    </w:p>
    <w:p>
      <w:pPr>
        <w:spacing w:before="0"/>
        <w:ind w:left="122" w:right="0" w:firstLine="0"/>
        <w:jc w:val="both"/>
        <w:rPr>
          <w:sz w:val="16"/>
        </w:rPr>
      </w:pPr>
      <w:r>
        <w:rPr>
          <w:sz w:val="16"/>
        </w:rPr>
        <w:t>propiedad comunitaria indígena carece actualmente “de una legislación específica que lo reglamente y unifique</w:t>
      </w:r>
    </w:p>
    <w:p>
      <w:pPr>
        <w:spacing w:after="0"/>
        <w:jc w:val="both"/>
        <w:rPr>
          <w:sz w:val="16"/>
        </w:rPr>
        <w:sectPr>
          <w:pgSz w:w="12240" w:h="15840"/>
          <w:pgMar w:header="0" w:footer="1000" w:top="1340" w:bottom="1200" w:left="1580" w:right="1580"/>
        </w:sectPr>
      </w:pPr>
    </w:p>
    <w:p>
      <w:pPr>
        <w:pStyle w:val="ListParagraph"/>
        <w:numPr>
          <w:ilvl w:val="0"/>
          <w:numId w:val="37"/>
        </w:numPr>
        <w:tabs>
          <w:tab w:pos="830" w:val="left" w:leader="none"/>
        </w:tabs>
        <w:spacing w:line="240" w:lineRule="auto" w:before="161" w:after="0"/>
        <w:ind w:left="122" w:right="105" w:firstLine="0"/>
        <w:jc w:val="both"/>
        <w:rPr>
          <w:sz w:val="20"/>
        </w:rPr>
      </w:pPr>
      <w:r>
        <w:rPr>
          <w:sz w:val="20"/>
        </w:rPr>
        <w:t>Por lo dicho, el Estado, de conformidad con el marco de las competencias y funciones propias de su sistema de organización federal, debe adoptar las medidas pertinentes a fin de que: a) las medidas normativas y/o de otro carácter ordenadas (</w:t>
      </w:r>
      <w:r>
        <w:rPr>
          <w:i/>
          <w:sz w:val="20"/>
        </w:rPr>
        <w:t>supra </w:t>
      </w:r>
      <w:r>
        <w:rPr>
          <w:sz w:val="20"/>
        </w:rPr>
        <w:t>párr. 354) sean de aplicación tanto respecto al Estado nacional como a todas</w:t>
      </w:r>
      <w:r>
        <w:rPr>
          <w:spacing w:val="-40"/>
          <w:sz w:val="20"/>
        </w:rPr>
        <w:t> </w:t>
      </w:r>
      <w:r>
        <w:rPr>
          <w:sz w:val="20"/>
        </w:rPr>
        <w:t>las entidades</w:t>
      </w:r>
      <w:r>
        <w:rPr>
          <w:spacing w:val="-7"/>
          <w:sz w:val="20"/>
        </w:rPr>
        <w:t> </w:t>
      </w:r>
      <w:r>
        <w:rPr>
          <w:sz w:val="20"/>
        </w:rPr>
        <w:t>federativas,</w:t>
      </w:r>
      <w:r>
        <w:rPr>
          <w:spacing w:val="-9"/>
          <w:sz w:val="20"/>
        </w:rPr>
        <w:t> </w:t>
      </w:r>
      <w:r>
        <w:rPr>
          <w:sz w:val="20"/>
        </w:rPr>
        <w:t>y</w:t>
      </w:r>
      <w:r>
        <w:rPr>
          <w:spacing w:val="-7"/>
          <w:sz w:val="20"/>
        </w:rPr>
        <w:t> </w:t>
      </w:r>
      <w:r>
        <w:rPr>
          <w:sz w:val="20"/>
        </w:rPr>
        <w:t>b)</w:t>
      </w:r>
      <w:r>
        <w:rPr>
          <w:spacing w:val="-8"/>
          <w:sz w:val="20"/>
        </w:rPr>
        <w:t> </w:t>
      </w:r>
      <w:r>
        <w:rPr>
          <w:sz w:val="20"/>
        </w:rPr>
        <w:t>respecto</w:t>
      </w:r>
      <w:r>
        <w:rPr>
          <w:spacing w:val="-10"/>
          <w:sz w:val="20"/>
        </w:rPr>
        <w:t> </w:t>
      </w:r>
      <w:r>
        <w:rPr>
          <w:sz w:val="20"/>
        </w:rPr>
        <w:t>de</w:t>
      </w:r>
      <w:r>
        <w:rPr>
          <w:spacing w:val="-8"/>
          <w:sz w:val="20"/>
        </w:rPr>
        <w:t> </w:t>
      </w:r>
      <w:r>
        <w:rPr>
          <w:sz w:val="20"/>
        </w:rPr>
        <w:t>las</w:t>
      </w:r>
      <w:r>
        <w:rPr>
          <w:spacing w:val="-9"/>
          <w:sz w:val="20"/>
        </w:rPr>
        <w:t> </w:t>
      </w:r>
      <w:r>
        <w:rPr>
          <w:sz w:val="20"/>
        </w:rPr>
        <w:t>acciones</w:t>
      </w:r>
      <w:r>
        <w:rPr>
          <w:spacing w:val="-10"/>
          <w:sz w:val="20"/>
        </w:rPr>
        <w:t> </w:t>
      </w:r>
      <w:r>
        <w:rPr>
          <w:sz w:val="20"/>
        </w:rPr>
        <w:t>de</w:t>
      </w:r>
      <w:r>
        <w:rPr>
          <w:spacing w:val="-8"/>
          <w:sz w:val="20"/>
        </w:rPr>
        <w:t> </w:t>
      </w:r>
      <w:r>
        <w:rPr>
          <w:sz w:val="20"/>
        </w:rPr>
        <w:t>reconocimiento,</w:t>
      </w:r>
      <w:r>
        <w:rPr>
          <w:spacing w:val="-7"/>
          <w:sz w:val="20"/>
        </w:rPr>
        <w:t> </w:t>
      </w:r>
      <w:r>
        <w:rPr>
          <w:sz w:val="20"/>
        </w:rPr>
        <w:t>implementación o garantía de los derechos de pueblos o comunidades indígenas al reconocimiento de</w:t>
      </w:r>
      <w:r>
        <w:rPr>
          <w:spacing w:val="-41"/>
          <w:sz w:val="20"/>
        </w:rPr>
        <w:t> </w:t>
      </w:r>
      <w:r>
        <w:rPr>
          <w:sz w:val="20"/>
        </w:rPr>
        <w:t>la propiedad colectiva, se asegure la coordinación del ámbito federal y de las entidades federativas, de modo que las actuaciones desarrolladas en uno de tales ámbitos</w:t>
      </w:r>
      <w:r>
        <w:rPr>
          <w:spacing w:val="-45"/>
          <w:sz w:val="20"/>
        </w:rPr>
        <w:t> </w:t>
      </w:r>
      <w:r>
        <w:rPr>
          <w:sz w:val="20"/>
        </w:rPr>
        <w:t>tengan validez en los otros y que se evite la duplicidad, superposición o contradicción de procedimientos o actos</w:t>
      </w:r>
      <w:r>
        <w:rPr>
          <w:spacing w:val="-14"/>
          <w:sz w:val="20"/>
        </w:rPr>
        <w:t> </w:t>
      </w:r>
      <w:r>
        <w:rPr>
          <w:sz w:val="20"/>
        </w:rPr>
        <w:t>jurídicos.</w:t>
      </w:r>
    </w:p>
    <w:p>
      <w:pPr>
        <w:pStyle w:val="BodyText"/>
      </w:pPr>
    </w:p>
    <w:p>
      <w:pPr>
        <w:pStyle w:val="Heading4"/>
        <w:numPr>
          <w:ilvl w:val="0"/>
          <w:numId w:val="38"/>
        </w:numPr>
        <w:tabs>
          <w:tab w:pos="842" w:val="left" w:leader="none"/>
        </w:tabs>
        <w:spacing w:line="240" w:lineRule="auto" w:before="0" w:after="0"/>
        <w:ind w:left="842" w:right="0" w:hanging="360"/>
        <w:jc w:val="left"/>
        <w:rPr>
          <w:i/>
        </w:rPr>
      </w:pPr>
      <w:bookmarkStart w:name="_bookmark98" w:id="166"/>
      <w:bookmarkEnd w:id="166"/>
      <w:r>
        <w:rPr>
          <w:b w:val="0"/>
          <w:i w:val="0"/>
        </w:rPr>
      </w:r>
      <w:bookmarkStart w:name="_bookmark98" w:id="167"/>
      <w:bookmarkEnd w:id="167"/>
      <w:r>
        <w:rPr>
          <w:i/>
          <w:u w:val="thick"/>
        </w:rPr>
        <w:t>O</w:t>
      </w:r>
      <w:r>
        <w:rPr>
          <w:i/>
          <w:u w:val="thick"/>
        </w:rPr>
        <w:t>tras medidas</w:t>
      </w:r>
      <w:r>
        <w:rPr>
          <w:i/>
          <w:spacing w:val="-11"/>
          <w:u w:val="thick"/>
        </w:rPr>
        <w:t> </w:t>
      </w:r>
      <w:r>
        <w:rPr>
          <w:i/>
          <w:u w:val="thick"/>
        </w:rPr>
        <w:t>solicitadas</w:t>
      </w:r>
    </w:p>
    <w:p>
      <w:pPr>
        <w:pStyle w:val="BodyText"/>
        <w:spacing w:before="8"/>
        <w:rPr>
          <w:b/>
          <w:i/>
          <w:sz w:val="11"/>
        </w:rPr>
      </w:pPr>
    </w:p>
    <w:p>
      <w:pPr>
        <w:pStyle w:val="ListParagraph"/>
        <w:numPr>
          <w:ilvl w:val="0"/>
          <w:numId w:val="37"/>
        </w:numPr>
        <w:tabs>
          <w:tab w:pos="830" w:val="left" w:leader="none"/>
        </w:tabs>
        <w:spacing w:line="240" w:lineRule="auto" w:before="99" w:after="0"/>
        <w:ind w:left="122" w:right="104" w:firstLine="0"/>
        <w:jc w:val="both"/>
        <w:rPr>
          <w:sz w:val="20"/>
        </w:rPr>
      </w:pPr>
      <w:r>
        <w:rPr>
          <w:sz w:val="20"/>
        </w:rPr>
        <w:t>Los </w:t>
      </w:r>
      <w:r>
        <w:rPr>
          <w:b/>
          <w:i/>
          <w:sz w:val="20"/>
        </w:rPr>
        <w:t>representantes </w:t>
      </w:r>
      <w:r>
        <w:rPr>
          <w:sz w:val="20"/>
        </w:rPr>
        <w:t>solicitaron que se disponga que, “de inmediato”, el Estado “solvente los </w:t>
      </w:r>
      <w:r>
        <w:rPr>
          <w:i/>
          <w:sz w:val="20"/>
        </w:rPr>
        <w:t>gastos de acompañamiento</w:t>
      </w:r>
      <w:r>
        <w:rPr>
          <w:sz w:val="20"/>
        </w:rPr>
        <w:t>” de la Asociación de Comunidades Aborígenes Lhaka Honhat, para que pueda haber “continuidad en el acompañamiento de Lhaka Honhat</w:t>
      </w:r>
      <w:r>
        <w:rPr>
          <w:spacing w:val="-7"/>
          <w:sz w:val="20"/>
        </w:rPr>
        <w:t> </w:t>
      </w:r>
      <w:r>
        <w:rPr>
          <w:sz w:val="20"/>
        </w:rPr>
        <w:t>en</w:t>
      </w:r>
      <w:r>
        <w:rPr>
          <w:spacing w:val="-9"/>
          <w:sz w:val="20"/>
        </w:rPr>
        <w:t> </w:t>
      </w:r>
      <w:r>
        <w:rPr>
          <w:sz w:val="20"/>
        </w:rPr>
        <w:t>terreno”.</w:t>
      </w:r>
      <w:r>
        <w:rPr>
          <w:spacing w:val="-11"/>
          <w:sz w:val="20"/>
        </w:rPr>
        <w:t> </w:t>
      </w:r>
      <w:r>
        <w:rPr>
          <w:sz w:val="20"/>
        </w:rPr>
        <w:t>Además,</w:t>
      </w:r>
      <w:r>
        <w:rPr>
          <w:spacing w:val="-9"/>
          <w:sz w:val="20"/>
        </w:rPr>
        <w:t> </w:t>
      </w:r>
      <w:r>
        <w:rPr>
          <w:sz w:val="20"/>
        </w:rPr>
        <w:t>requirieron</w:t>
      </w:r>
      <w:r>
        <w:rPr>
          <w:spacing w:val="-9"/>
          <w:sz w:val="20"/>
        </w:rPr>
        <w:t> </w:t>
      </w:r>
      <w:r>
        <w:rPr>
          <w:sz w:val="20"/>
        </w:rPr>
        <w:t>que</w:t>
      </w:r>
      <w:r>
        <w:rPr>
          <w:spacing w:val="-12"/>
          <w:sz w:val="20"/>
        </w:rPr>
        <w:t> </w:t>
      </w:r>
      <w:r>
        <w:rPr>
          <w:sz w:val="20"/>
        </w:rPr>
        <w:t>se</w:t>
      </w:r>
      <w:r>
        <w:rPr>
          <w:spacing w:val="-9"/>
          <w:sz w:val="20"/>
        </w:rPr>
        <w:t> </w:t>
      </w:r>
      <w:r>
        <w:rPr>
          <w:sz w:val="20"/>
        </w:rPr>
        <w:t>ordene</w:t>
      </w:r>
      <w:r>
        <w:rPr>
          <w:spacing w:val="-12"/>
          <w:sz w:val="20"/>
        </w:rPr>
        <w:t> </w:t>
      </w:r>
      <w:r>
        <w:rPr>
          <w:sz w:val="20"/>
        </w:rPr>
        <w:t>la</w:t>
      </w:r>
      <w:r>
        <w:rPr>
          <w:spacing w:val="-8"/>
          <w:sz w:val="20"/>
        </w:rPr>
        <w:t> </w:t>
      </w:r>
      <w:r>
        <w:rPr>
          <w:sz w:val="20"/>
        </w:rPr>
        <w:t>realización</w:t>
      </w:r>
      <w:r>
        <w:rPr>
          <w:spacing w:val="-7"/>
          <w:sz w:val="20"/>
        </w:rPr>
        <w:t> </w:t>
      </w:r>
      <w:r>
        <w:rPr>
          <w:sz w:val="20"/>
        </w:rPr>
        <w:t>de</w:t>
      </w:r>
      <w:r>
        <w:rPr>
          <w:spacing w:val="-7"/>
          <w:sz w:val="20"/>
        </w:rPr>
        <w:t> </w:t>
      </w:r>
      <w:r>
        <w:rPr>
          <w:sz w:val="20"/>
        </w:rPr>
        <w:t>un</w:t>
      </w:r>
      <w:r>
        <w:rPr>
          <w:spacing w:val="-2"/>
          <w:sz w:val="20"/>
        </w:rPr>
        <w:t> </w:t>
      </w:r>
      <w:r>
        <w:rPr>
          <w:i/>
          <w:sz w:val="20"/>
        </w:rPr>
        <w:t>acto</w:t>
      </w:r>
      <w:r>
        <w:rPr>
          <w:i/>
          <w:spacing w:val="-11"/>
          <w:sz w:val="20"/>
        </w:rPr>
        <w:t> </w:t>
      </w:r>
      <w:r>
        <w:rPr>
          <w:i/>
          <w:sz w:val="20"/>
        </w:rPr>
        <w:t>público </w:t>
      </w:r>
      <w:r>
        <w:rPr>
          <w:sz w:val="20"/>
        </w:rPr>
        <w:t>de reconocimiento de</w:t>
      </w:r>
      <w:r>
        <w:rPr>
          <w:spacing w:val="-14"/>
          <w:sz w:val="20"/>
        </w:rPr>
        <w:t> </w:t>
      </w:r>
      <w:r>
        <w:rPr>
          <w:sz w:val="20"/>
        </w:rPr>
        <w:t>responsabilidad.</w:t>
      </w:r>
    </w:p>
    <w:p>
      <w:pPr>
        <w:pStyle w:val="BodyText"/>
      </w:pPr>
    </w:p>
    <w:p>
      <w:pPr>
        <w:pStyle w:val="ListParagraph"/>
        <w:numPr>
          <w:ilvl w:val="0"/>
          <w:numId w:val="37"/>
        </w:numPr>
        <w:tabs>
          <w:tab w:pos="830" w:val="left" w:leader="none"/>
        </w:tabs>
        <w:spacing w:line="240" w:lineRule="auto" w:before="0" w:after="0"/>
        <w:ind w:left="122" w:right="101" w:firstLine="0"/>
        <w:jc w:val="both"/>
        <w:rPr>
          <w:sz w:val="20"/>
        </w:rPr>
      </w:pPr>
      <w:r>
        <w:rPr>
          <w:sz w:val="20"/>
        </w:rPr>
        <w:t>El </w:t>
      </w:r>
      <w:r>
        <w:rPr>
          <w:b/>
          <w:i/>
          <w:sz w:val="20"/>
        </w:rPr>
        <w:t>Estado </w:t>
      </w:r>
      <w:r>
        <w:rPr>
          <w:sz w:val="20"/>
        </w:rPr>
        <w:t>afirmó que los “gastos de acompañamiento” para Lhaka Honha</w:t>
      </w:r>
      <w:r>
        <w:rPr>
          <w:spacing w:val="-49"/>
          <w:sz w:val="20"/>
        </w:rPr>
        <w:t> </w:t>
      </w:r>
      <w:r>
        <w:rPr>
          <w:sz w:val="20"/>
        </w:rPr>
        <w:t>“están contemplados”, aunque no de modo explícito, en un convenio entre el INAI y Salta. Por otra</w:t>
      </w:r>
      <w:r>
        <w:rPr>
          <w:spacing w:val="-6"/>
          <w:sz w:val="20"/>
        </w:rPr>
        <w:t> </w:t>
      </w:r>
      <w:r>
        <w:rPr>
          <w:sz w:val="20"/>
        </w:rPr>
        <w:t>parte,</w:t>
      </w:r>
      <w:r>
        <w:rPr>
          <w:spacing w:val="-5"/>
          <w:sz w:val="20"/>
        </w:rPr>
        <w:t> </w:t>
      </w:r>
      <w:r>
        <w:rPr>
          <w:sz w:val="20"/>
        </w:rPr>
        <w:t>como</w:t>
      </w:r>
      <w:r>
        <w:rPr>
          <w:spacing w:val="-8"/>
          <w:sz w:val="20"/>
        </w:rPr>
        <w:t> </w:t>
      </w:r>
      <w:r>
        <w:rPr>
          <w:sz w:val="20"/>
        </w:rPr>
        <w:t>ya</w:t>
      </w:r>
      <w:r>
        <w:rPr>
          <w:spacing w:val="-4"/>
          <w:sz w:val="20"/>
        </w:rPr>
        <w:t> </w:t>
      </w:r>
      <w:r>
        <w:rPr>
          <w:sz w:val="20"/>
        </w:rPr>
        <w:t>se</w:t>
      </w:r>
      <w:r>
        <w:rPr>
          <w:spacing w:val="-5"/>
          <w:sz w:val="20"/>
        </w:rPr>
        <w:t> </w:t>
      </w:r>
      <w:r>
        <w:rPr>
          <w:sz w:val="20"/>
        </w:rPr>
        <w:t>señaló,</w:t>
      </w:r>
      <w:r>
        <w:rPr>
          <w:spacing w:val="-5"/>
          <w:sz w:val="20"/>
        </w:rPr>
        <w:t> </w:t>
      </w:r>
      <w:r>
        <w:rPr>
          <w:sz w:val="20"/>
        </w:rPr>
        <w:t>se</w:t>
      </w:r>
      <w:r>
        <w:rPr>
          <w:spacing w:val="-5"/>
          <w:sz w:val="20"/>
        </w:rPr>
        <w:t> </w:t>
      </w:r>
      <w:r>
        <w:rPr>
          <w:sz w:val="20"/>
        </w:rPr>
        <w:t>opuso</w:t>
      </w:r>
      <w:r>
        <w:rPr>
          <w:spacing w:val="-8"/>
          <w:sz w:val="20"/>
        </w:rPr>
        <w:t> </w:t>
      </w:r>
      <w:r>
        <w:rPr>
          <w:sz w:val="20"/>
        </w:rPr>
        <w:t>a</w:t>
      </w:r>
      <w:r>
        <w:rPr>
          <w:spacing w:val="-4"/>
          <w:sz w:val="20"/>
        </w:rPr>
        <w:t> </w:t>
      </w:r>
      <w:r>
        <w:rPr>
          <w:sz w:val="20"/>
        </w:rPr>
        <w:t>las</w:t>
      </w:r>
      <w:r>
        <w:rPr>
          <w:spacing w:val="-7"/>
          <w:sz w:val="20"/>
        </w:rPr>
        <w:t> </w:t>
      </w:r>
      <w:r>
        <w:rPr>
          <w:sz w:val="20"/>
        </w:rPr>
        <w:t>medidas</w:t>
      </w:r>
      <w:r>
        <w:rPr>
          <w:spacing w:val="-7"/>
          <w:sz w:val="20"/>
        </w:rPr>
        <w:t> </w:t>
      </w:r>
      <w:r>
        <w:rPr>
          <w:sz w:val="20"/>
        </w:rPr>
        <w:t>de</w:t>
      </w:r>
      <w:r>
        <w:rPr>
          <w:spacing w:val="-5"/>
          <w:sz w:val="20"/>
        </w:rPr>
        <w:t> </w:t>
      </w:r>
      <w:r>
        <w:rPr>
          <w:sz w:val="20"/>
        </w:rPr>
        <w:t>satisfacción</w:t>
      </w:r>
      <w:r>
        <w:rPr>
          <w:spacing w:val="-3"/>
          <w:sz w:val="20"/>
        </w:rPr>
        <w:t> </w:t>
      </w:r>
      <w:r>
        <w:rPr>
          <w:sz w:val="20"/>
        </w:rPr>
        <w:t>solicitadas</w:t>
      </w:r>
      <w:r>
        <w:rPr>
          <w:spacing w:val="-5"/>
          <w:sz w:val="20"/>
        </w:rPr>
        <w:t> </w:t>
      </w:r>
      <w:r>
        <w:rPr>
          <w:sz w:val="20"/>
        </w:rPr>
        <w:t>(</w:t>
      </w:r>
      <w:r>
        <w:rPr>
          <w:i/>
          <w:sz w:val="20"/>
        </w:rPr>
        <w:t>supra </w:t>
      </w:r>
      <w:r>
        <w:rPr>
          <w:sz w:val="20"/>
        </w:rPr>
        <w:t>párr.</w:t>
      </w:r>
      <w:r>
        <w:rPr>
          <w:spacing w:val="-6"/>
          <w:sz w:val="20"/>
        </w:rPr>
        <w:t> </w:t>
      </w:r>
      <w:r>
        <w:rPr>
          <w:sz w:val="20"/>
        </w:rPr>
        <w:t>347).</w:t>
      </w:r>
    </w:p>
    <w:p>
      <w:pPr>
        <w:pStyle w:val="BodyText"/>
        <w:spacing w:before="10"/>
        <w:rPr>
          <w:sz w:val="19"/>
        </w:rPr>
      </w:pPr>
    </w:p>
    <w:p>
      <w:pPr>
        <w:pStyle w:val="ListParagraph"/>
        <w:numPr>
          <w:ilvl w:val="0"/>
          <w:numId w:val="37"/>
        </w:numPr>
        <w:tabs>
          <w:tab w:pos="830" w:val="left" w:leader="none"/>
        </w:tabs>
        <w:spacing w:line="240" w:lineRule="auto" w:before="0" w:after="0"/>
        <w:ind w:left="122" w:right="103" w:firstLine="0"/>
        <w:jc w:val="both"/>
        <w:rPr>
          <w:sz w:val="20"/>
        </w:rPr>
      </w:pPr>
      <w:r>
        <w:rPr>
          <w:sz w:val="20"/>
        </w:rPr>
        <w:t>La </w:t>
      </w:r>
      <w:r>
        <w:rPr>
          <w:b/>
          <w:i/>
          <w:sz w:val="20"/>
        </w:rPr>
        <w:t>Corte </w:t>
      </w:r>
      <w:r>
        <w:rPr>
          <w:sz w:val="20"/>
        </w:rPr>
        <w:t>rechaza la solicitud de los representantes de que se ordene al Estado solventar</w:t>
      </w:r>
      <w:r>
        <w:rPr>
          <w:spacing w:val="-9"/>
          <w:sz w:val="20"/>
        </w:rPr>
        <w:t> </w:t>
      </w:r>
      <w:r>
        <w:rPr>
          <w:sz w:val="20"/>
        </w:rPr>
        <w:t>“</w:t>
      </w:r>
      <w:r>
        <w:rPr>
          <w:i/>
          <w:sz w:val="20"/>
        </w:rPr>
        <w:t>gastos</w:t>
      </w:r>
      <w:r>
        <w:rPr>
          <w:i/>
          <w:spacing w:val="-10"/>
          <w:sz w:val="20"/>
        </w:rPr>
        <w:t> </w:t>
      </w:r>
      <w:r>
        <w:rPr>
          <w:i/>
          <w:sz w:val="20"/>
        </w:rPr>
        <w:t>de</w:t>
      </w:r>
      <w:r>
        <w:rPr>
          <w:i/>
          <w:spacing w:val="-8"/>
          <w:sz w:val="20"/>
        </w:rPr>
        <w:t> </w:t>
      </w:r>
      <w:r>
        <w:rPr>
          <w:i/>
          <w:sz w:val="20"/>
        </w:rPr>
        <w:t>acompañamiento</w:t>
      </w:r>
      <w:r>
        <w:rPr>
          <w:sz w:val="20"/>
        </w:rPr>
        <w:t>”</w:t>
      </w:r>
      <w:r>
        <w:rPr>
          <w:spacing w:val="-7"/>
          <w:sz w:val="20"/>
        </w:rPr>
        <w:t> </w:t>
      </w:r>
      <w:r>
        <w:rPr>
          <w:sz w:val="20"/>
        </w:rPr>
        <w:t>para</w:t>
      </w:r>
      <w:r>
        <w:rPr>
          <w:spacing w:val="-6"/>
          <w:sz w:val="20"/>
        </w:rPr>
        <w:t> </w:t>
      </w:r>
      <w:r>
        <w:rPr>
          <w:sz w:val="20"/>
        </w:rPr>
        <w:t>Lhaka</w:t>
      </w:r>
      <w:r>
        <w:rPr>
          <w:spacing w:val="-9"/>
          <w:sz w:val="20"/>
        </w:rPr>
        <w:t> </w:t>
      </w:r>
      <w:r>
        <w:rPr>
          <w:sz w:val="20"/>
        </w:rPr>
        <w:t>Honhat.</w:t>
      </w:r>
      <w:r>
        <w:rPr>
          <w:spacing w:val="-9"/>
          <w:sz w:val="20"/>
        </w:rPr>
        <w:t> </w:t>
      </w:r>
      <w:r>
        <w:rPr>
          <w:sz w:val="20"/>
        </w:rPr>
        <w:t>La</w:t>
      </w:r>
      <w:r>
        <w:rPr>
          <w:spacing w:val="-9"/>
          <w:sz w:val="20"/>
        </w:rPr>
        <w:t> </w:t>
      </w:r>
      <w:r>
        <w:rPr>
          <w:sz w:val="20"/>
        </w:rPr>
        <w:t>Asociación</w:t>
      </w:r>
      <w:r>
        <w:rPr>
          <w:spacing w:val="-8"/>
          <w:sz w:val="20"/>
        </w:rPr>
        <w:t> </w:t>
      </w:r>
      <w:r>
        <w:rPr>
          <w:sz w:val="20"/>
        </w:rPr>
        <w:t>Lhaka</w:t>
      </w:r>
      <w:r>
        <w:rPr>
          <w:spacing w:val="-7"/>
          <w:sz w:val="20"/>
        </w:rPr>
        <w:t> </w:t>
      </w:r>
      <w:r>
        <w:rPr>
          <w:sz w:val="20"/>
        </w:rPr>
        <w:t>Honhat no es en sí misma víctima en el caso (</w:t>
      </w:r>
      <w:r>
        <w:rPr>
          <w:i/>
          <w:sz w:val="20"/>
        </w:rPr>
        <w:t>supra </w:t>
      </w:r>
      <w:r>
        <w:rPr>
          <w:sz w:val="20"/>
        </w:rPr>
        <w:t>párrs. 35 y 309, y Anexo V a la presente Sentencia), y no se ha explicado de qué forma esa prestación patrimonial del Estado a Lhaka Honhat estaría vinculada a la lesión de derechos de las comunidades víctimas o sería</w:t>
      </w:r>
      <w:r>
        <w:rPr>
          <w:spacing w:val="-12"/>
          <w:sz w:val="20"/>
        </w:rPr>
        <w:t> </w:t>
      </w:r>
      <w:r>
        <w:rPr>
          <w:sz w:val="20"/>
        </w:rPr>
        <w:t>necesaria</w:t>
      </w:r>
      <w:r>
        <w:rPr>
          <w:spacing w:val="-10"/>
          <w:sz w:val="20"/>
        </w:rPr>
        <w:t> </w:t>
      </w:r>
      <w:r>
        <w:rPr>
          <w:sz w:val="20"/>
        </w:rPr>
        <w:t>para</w:t>
      </w:r>
      <w:r>
        <w:rPr>
          <w:spacing w:val="-10"/>
          <w:sz w:val="20"/>
        </w:rPr>
        <w:t> </w:t>
      </w:r>
      <w:r>
        <w:rPr>
          <w:sz w:val="20"/>
        </w:rPr>
        <w:t>la</w:t>
      </w:r>
      <w:r>
        <w:rPr>
          <w:spacing w:val="-10"/>
          <w:sz w:val="20"/>
        </w:rPr>
        <w:t> </w:t>
      </w:r>
      <w:r>
        <w:rPr>
          <w:sz w:val="20"/>
        </w:rPr>
        <w:t>reparación</w:t>
      </w:r>
      <w:r>
        <w:rPr>
          <w:spacing w:val="-13"/>
          <w:sz w:val="20"/>
        </w:rPr>
        <w:t> </w:t>
      </w:r>
      <w:r>
        <w:rPr>
          <w:sz w:val="20"/>
        </w:rPr>
        <w:t>de</w:t>
      </w:r>
      <w:r>
        <w:rPr>
          <w:spacing w:val="-14"/>
          <w:sz w:val="20"/>
        </w:rPr>
        <w:t> </w:t>
      </w:r>
      <w:r>
        <w:rPr>
          <w:sz w:val="20"/>
        </w:rPr>
        <w:t>los</w:t>
      </w:r>
      <w:r>
        <w:rPr>
          <w:spacing w:val="-11"/>
          <w:sz w:val="20"/>
        </w:rPr>
        <w:t> </w:t>
      </w:r>
      <w:r>
        <w:rPr>
          <w:sz w:val="20"/>
        </w:rPr>
        <w:t>mismos.</w:t>
      </w:r>
      <w:r>
        <w:rPr>
          <w:spacing w:val="-14"/>
          <w:sz w:val="20"/>
        </w:rPr>
        <w:t> </w:t>
      </w:r>
      <w:r>
        <w:rPr>
          <w:sz w:val="20"/>
        </w:rPr>
        <w:t>Por</w:t>
      </w:r>
      <w:r>
        <w:rPr>
          <w:spacing w:val="-11"/>
          <w:sz w:val="20"/>
        </w:rPr>
        <w:t> </w:t>
      </w:r>
      <w:r>
        <w:rPr>
          <w:sz w:val="20"/>
        </w:rPr>
        <w:t>otra</w:t>
      </w:r>
      <w:r>
        <w:rPr>
          <w:spacing w:val="-12"/>
          <w:sz w:val="20"/>
        </w:rPr>
        <w:t> </w:t>
      </w:r>
      <w:r>
        <w:rPr>
          <w:sz w:val="20"/>
        </w:rPr>
        <w:t>parte,</w:t>
      </w:r>
      <w:r>
        <w:rPr>
          <w:spacing w:val="-11"/>
          <w:sz w:val="20"/>
        </w:rPr>
        <w:t> </w:t>
      </w:r>
      <w:r>
        <w:rPr>
          <w:sz w:val="20"/>
        </w:rPr>
        <w:t>entiende</w:t>
      </w:r>
      <w:r>
        <w:rPr>
          <w:spacing w:val="-14"/>
          <w:sz w:val="20"/>
        </w:rPr>
        <w:t> </w:t>
      </w:r>
      <w:r>
        <w:rPr>
          <w:sz w:val="20"/>
        </w:rPr>
        <w:t>suficientes</w:t>
      </w:r>
      <w:r>
        <w:rPr>
          <w:spacing w:val="-13"/>
          <w:sz w:val="20"/>
        </w:rPr>
        <w:t> </w:t>
      </w:r>
      <w:r>
        <w:rPr>
          <w:sz w:val="20"/>
        </w:rPr>
        <w:t>las medidas</w:t>
      </w:r>
      <w:r>
        <w:rPr>
          <w:spacing w:val="-12"/>
          <w:sz w:val="20"/>
        </w:rPr>
        <w:t> </w:t>
      </w:r>
      <w:r>
        <w:rPr>
          <w:sz w:val="20"/>
        </w:rPr>
        <w:t>de</w:t>
      </w:r>
      <w:r>
        <w:rPr>
          <w:spacing w:val="-10"/>
          <w:sz w:val="20"/>
        </w:rPr>
        <w:t> </w:t>
      </w:r>
      <w:r>
        <w:rPr>
          <w:sz w:val="20"/>
        </w:rPr>
        <w:t>satisfacción</w:t>
      </w:r>
      <w:r>
        <w:rPr>
          <w:spacing w:val="-10"/>
          <w:sz w:val="20"/>
        </w:rPr>
        <w:t> </w:t>
      </w:r>
      <w:r>
        <w:rPr>
          <w:sz w:val="20"/>
        </w:rPr>
        <w:t>ya</w:t>
      </w:r>
      <w:r>
        <w:rPr>
          <w:spacing w:val="-11"/>
          <w:sz w:val="20"/>
        </w:rPr>
        <w:t> </w:t>
      </w:r>
      <w:r>
        <w:rPr>
          <w:sz w:val="20"/>
        </w:rPr>
        <w:t>dispuestas</w:t>
      </w:r>
      <w:r>
        <w:rPr>
          <w:spacing w:val="-12"/>
          <w:sz w:val="20"/>
        </w:rPr>
        <w:t> </w:t>
      </w:r>
      <w:r>
        <w:rPr>
          <w:sz w:val="20"/>
        </w:rPr>
        <w:t>y</w:t>
      </w:r>
      <w:r>
        <w:rPr>
          <w:spacing w:val="-12"/>
          <w:sz w:val="20"/>
        </w:rPr>
        <w:t> </w:t>
      </w:r>
      <w:r>
        <w:rPr>
          <w:sz w:val="20"/>
        </w:rPr>
        <w:t>no</w:t>
      </w:r>
      <w:r>
        <w:rPr>
          <w:spacing w:val="-10"/>
          <w:sz w:val="20"/>
        </w:rPr>
        <w:t> </w:t>
      </w:r>
      <w:r>
        <w:rPr>
          <w:sz w:val="20"/>
        </w:rPr>
        <w:t>considera</w:t>
      </w:r>
      <w:r>
        <w:rPr>
          <w:spacing w:val="-11"/>
          <w:sz w:val="20"/>
        </w:rPr>
        <w:t> </w:t>
      </w:r>
      <w:r>
        <w:rPr>
          <w:sz w:val="20"/>
        </w:rPr>
        <w:t>pertinente</w:t>
      </w:r>
      <w:r>
        <w:rPr>
          <w:spacing w:val="-13"/>
          <w:sz w:val="20"/>
        </w:rPr>
        <w:t> </w:t>
      </w:r>
      <w:r>
        <w:rPr>
          <w:sz w:val="20"/>
        </w:rPr>
        <w:t>en</w:t>
      </w:r>
      <w:r>
        <w:rPr>
          <w:spacing w:val="-8"/>
          <w:sz w:val="20"/>
        </w:rPr>
        <w:t> </w:t>
      </w:r>
      <w:r>
        <w:rPr>
          <w:sz w:val="20"/>
        </w:rPr>
        <w:t>el</w:t>
      </w:r>
      <w:r>
        <w:rPr>
          <w:spacing w:val="-11"/>
          <w:sz w:val="20"/>
        </w:rPr>
        <w:t> </w:t>
      </w:r>
      <w:r>
        <w:rPr>
          <w:sz w:val="20"/>
        </w:rPr>
        <w:t>caso</w:t>
      </w:r>
      <w:r>
        <w:rPr>
          <w:spacing w:val="-13"/>
          <w:sz w:val="20"/>
        </w:rPr>
        <w:t> </w:t>
      </w:r>
      <w:r>
        <w:rPr>
          <w:sz w:val="20"/>
        </w:rPr>
        <w:t>la</w:t>
      </w:r>
      <w:r>
        <w:rPr>
          <w:spacing w:val="-9"/>
          <w:sz w:val="20"/>
        </w:rPr>
        <w:t> </w:t>
      </w:r>
      <w:r>
        <w:rPr>
          <w:sz w:val="20"/>
        </w:rPr>
        <w:t>realización de un </w:t>
      </w:r>
      <w:r>
        <w:rPr>
          <w:i/>
          <w:sz w:val="20"/>
        </w:rPr>
        <w:t>acto público </w:t>
      </w:r>
      <w:r>
        <w:rPr>
          <w:sz w:val="20"/>
        </w:rPr>
        <w:t>de reconocimiento de</w:t>
      </w:r>
      <w:r>
        <w:rPr>
          <w:spacing w:val="-19"/>
          <w:sz w:val="20"/>
        </w:rPr>
        <w:t> </w:t>
      </w:r>
      <w:r>
        <w:rPr>
          <w:sz w:val="20"/>
        </w:rPr>
        <w:t>responsabilidad.</w:t>
      </w:r>
    </w:p>
    <w:p>
      <w:pPr>
        <w:pStyle w:val="BodyText"/>
      </w:pPr>
    </w:p>
    <w:p>
      <w:pPr>
        <w:pStyle w:val="Heading4"/>
        <w:numPr>
          <w:ilvl w:val="0"/>
          <w:numId w:val="38"/>
        </w:numPr>
        <w:tabs>
          <w:tab w:pos="842" w:val="left" w:leader="none"/>
        </w:tabs>
        <w:spacing w:line="240" w:lineRule="auto" w:before="0" w:after="0"/>
        <w:ind w:left="842" w:right="0" w:hanging="360"/>
        <w:jc w:val="left"/>
        <w:rPr>
          <w:i/>
        </w:rPr>
      </w:pPr>
      <w:bookmarkStart w:name="_bookmark99" w:id="168"/>
      <w:bookmarkEnd w:id="168"/>
      <w:r>
        <w:rPr>
          <w:b w:val="0"/>
          <w:i w:val="0"/>
        </w:rPr>
      </w:r>
      <w:bookmarkStart w:name="_bookmark99" w:id="169"/>
      <w:bookmarkEnd w:id="169"/>
      <w:r>
        <w:rPr>
          <w:i/>
          <w:u w:val="thick"/>
        </w:rPr>
        <w:t>Co</w:t>
      </w:r>
      <w:r>
        <w:rPr>
          <w:i/>
          <w:u w:val="thick"/>
        </w:rPr>
        <w:t>stas y</w:t>
      </w:r>
      <w:r>
        <w:rPr>
          <w:i/>
          <w:spacing w:val="-10"/>
          <w:u w:val="thick"/>
        </w:rPr>
        <w:t> </w:t>
      </w:r>
      <w:r>
        <w:rPr>
          <w:i/>
          <w:u w:val="thick"/>
        </w:rPr>
        <w:t>gastos</w:t>
      </w:r>
    </w:p>
    <w:p>
      <w:pPr>
        <w:pStyle w:val="BodyText"/>
        <w:spacing w:before="8"/>
        <w:rPr>
          <w:b/>
          <w:i/>
          <w:sz w:val="11"/>
        </w:rPr>
      </w:pPr>
    </w:p>
    <w:p>
      <w:pPr>
        <w:pStyle w:val="ListParagraph"/>
        <w:numPr>
          <w:ilvl w:val="0"/>
          <w:numId w:val="37"/>
        </w:numPr>
        <w:tabs>
          <w:tab w:pos="830" w:val="left" w:leader="none"/>
        </w:tabs>
        <w:spacing w:line="240" w:lineRule="auto" w:before="99" w:after="0"/>
        <w:ind w:left="122" w:right="108" w:firstLine="0"/>
        <w:jc w:val="both"/>
        <w:rPr>
          <w:sz w:val="20"/>
        </w:rPr>
      </w:pPr>
      <w:r>
        <w:rPr>
          <w:sz w:val="20"/>
        </w:rPr>
        <w:t>Los </w:t>
      </w:r>
      <w:r>
        <w:rPr>
          <w:b/>
          <w:i/>
          <w:sz w:val="20"/>
        </w:rPr>
        <w:t>representantes </w:t>
      </w:r>
      <w:r>
        <w:rPr>
          <w:sz w:val="20"/>
        </w:rPr>
        <w:t>recordaron que el caso se originó en la década de 1980, y expresaron que debido a su “complejidad y magnitud” se formó un equipo de varias personas</w:t>
      </w:r>
      <w:r>
        <w:rPr>
          <w:spacing w:val="-5"/>
          <w:sz w:val="20"/>
        </w:rPr>
        <w:t> </w:t>
      </w:r>
      <w:r>
        <w:rPr>
          <w:sz w:val="20"/>
        </w:rPr>
        <w:t>del</w:t>
      </w:r>
      <w:r>
        <w:rPr>
          <w:spacing w:val="-6"/>
          <w:sz w:val="20"/>
        </w:rPr>
        <w:t> </w:t>
      </w:r>
      <w:r>
        <w:rPr>
          <w:sz w:val="20"/>
        </w:rPr>
        <w:t>CELS,</w:t>
      </w:r>
      <w:r>
        <w:rPr>
          <w:spacing w:val="-7"/>
          <w:sz w:val="20"/>
        </w:rPr>
        <w:t> </w:t>
      </w:r>
      <w:r>
        <w:rPr>
          <w:sz w:val="20"/>
        </w:rPr>
        <w:t>que</w:t>
      </w:r>
      <w:r>
        <w:rPr>
          <w:spacing w:val="-5"/>
          <w:sz w:val="20"/>
        </w:rPr>
        <w:t> </w:t>
      </w:r>
      <w:r>
        <w:rPr>
          <w:sz w:val="20"/>
        </w:rPr>
        <w:t>“han</w:t>
      </w:r>
      <w:r>
        <w:rPr>
          <w:spacing w:val="-5"/>
          <w:sz w:val="20"/>
        </w:rPr>
        <w:t> </w:t>
      </w:r>
      <w:r>
        <w:rPr>
          <w:sz w:val="20"/>
        </w:rPr>
        <w:t>tenido</w:t>
      </w:r>
      <w:r>
        <w:rPr>
          <w:spacing w:val="-8"/>
          <w:sz w:val="20"/>
        </w:rPr>
        <w:t> </w:t>
      </w:r>
      <w:r>
        <w:rPr>
          <w:sz w:val="20"/>
        </w:rPr>
        <w:t>que</w:t>
      </w:r>
      <w:r>
        <w:rPr>
          <w:spacing w:val="-5"/>
          <w:sz w:val="20"/>
        </w:rPr>
        <w:t> </w:t>
      </w:r>
      <w:r>
        <w:rPr>
          <w:sz w:val="20"/>
        </w:rPr>
        <w:t>sobrellevar</w:t>
      </w:r>
      <w:r>
        <w:rPr>
          <w:spacing w:val="-8"/>
          <w:sz w:val="20"/>
        </w:rPr>
        <w:t> </w:t>
      </w:r>
      <w:r>
        <w:rPr>
          <w:sz w:val="20"/>
        </w:rPr>
        <w:t>muchísimas</w:t>
      </w:r>
      <w:r>
        <w:rPr>
          <w:spacing w:val="-7"/>
          <w:sz w:val="20"/>
        </w:rPr>
        <w:t> </w:t>
      </w:r>
      <w:r>
        <w:rPr>
          <w:sz w:val="20"/>
        </w:rPr>
        <w:t>tareas”.</w:t>
      </w:r>
      <w:r>
        <w:rPr>
          <w:spacing w:val="-5"/>
          <w:sz w:val="20"/>
        </w:rPr>
        <w:t> </w:t>
      </w:r>
      <w:r>
        <w:rPr>
          <w:sz w:val="20"/>
        </w:rPr>
        <w:t>Señalaron</w:t>
      </w:r>
      <w:r>
        <w:rPr>
          <w:spacing w:val="-6"/>
          <w:sz w:val="20"/>
        </w:rPr>
        <w:t> </w:t>
      </w:r>
      <w:r>
        <w:rPr>
          <w:sz w:val="20"/>
        </w:rPr>
        <w:t>que si bien cuentan con respaldo documental de gastos realizados, “no considera[n] prudente solicitar un monto fijo” y pidieron que lo determine la</w:t>
      </w:r>
      <w:r>
        <w:rPr>
          <w:spacing w:val="-28"/>
          <w:sz w:val="20"/>
        </w:rPr>
        <w:t> </w:t>
      </w:r>
      <w:r>
        <w:rPr>
          <w:sz w:val="20"/>
        </w:rPr>
        <w:t>Corte.</w:t>
      </w:r>
    </w:p>
    <w:p>
      <w:pPr>
        <w:pStyle w:val="BodyText"/>
        <w:spacing w:before="10"/>
        <w:rPr>
          <w:sz w:val="19"/>
        </w:rPr>
      </w:pPr>
    </w:p>
    <w:p>
      <w:pPr>
        <w:pStyle w:val="ListParagraph"/>
        <w:numPr>
          <w:ilvl w:val="0"/>
          <w:numId w:val="37"/>
        </w:numPr>
        <w:tabs>
          <w:tab w:pos="830" w:val="left" w:leader="none"/>
        </w:tabs>
        <w:spacing w:line="240" w:lineRule="auto" w:before="0" w:after="0"/>
        <w:ind w:left="122" w:right="106" w:firstLine="0"/>
        <w:jc w:val="both"/>
        <w:rPr>
          <w:sz w:val="20"/>
        </w:rPr>
      </w:pPr>
      <w:r>
        <w:rPr>
          <w:sz w:val="20"/>
        </w:rPr>
        <w:t>El </w:t>
      </w:r>
      <w:r>
        <w:rPr>
          <w:b/>
          <w:i/>
          <w:sz w:val="20"/>
        </w:rPr>
        <w:t>Estado</w:t>
      </w:r>
      <w:r>
        <w:rPr>
          <w:sz w:val="20"/>
        </w:rPr>
        <w:t>, al referirse a las costas y gastos demandados, recordó que tanto el Estado nacional como el provincial se encuentran ejecutando un plan de regularización de tierras, destinando recursos económicos a tal</w:t>
      </w:r>
      <w:r>
        <w:rPr>
          <w:spacing w:val="-20"/>
          <w:sz w:val="20"/>
        </w:rPr>
        <w:t> </w:t>
      </w:r>
      <w:r>
        <w:rPr>
          <w:sz w:val="20"/>
        </w:rPr>
        <w:t>fin.</w:t>
      </w:r>
    </w:p>
    <w:p>
      <w:pPr>
        <w:pStyle w:val="BodyText"/>
        <w:spacing w:before="10"/>
        <w:rPr>
          <w:sz w:val="19"/>
        </w:rPr>
      </w:pPr>
    </w:p>
    <w:p>
      <w:pPr>
        <w:pStyle w:val="ListParagraph"/>
        <w:numPr>
          <w:ilvl w:val="0"/>
          <w:numId w:val="37"/>
        </w:numPr>
        <w:tabs>
          <w:tab w:pos="830" w:val="left" w:leader="none"/>
        </w:tabs>
        <w:spacing w:line="240" w:lineRule="auto" w:before="0" w:after="0"/>
        <w:ind w:left="830" w:right="0" w:hanging="708"/>
        <w:jc w:val="both"/>
        <w:rPr>
          <w:sz w:val="20"/>
        </w:rPr>
      </w:pPr>
      <w:r>
        <w:rPr>
          <w:sz w:val="20"/>
        </w:rPr>
        <w:t>La </w:t>
      </w:r>
      <w:r>
        <w:rPr>
          <w:b/>
          <w:i/>
          <w:sz w:val="20"/>
        </w:rPr>
        <w:t>Corte </w:t>
      </w:r>
      <w:r>
        <w:rPr>
          <w:sz w:val="20"/>
        </w:rPr>
        <w:t>reitera</w:t>
      </w:r>
      <w:r>
        <w:rPr>
          <w:spacing w:val="-8"/>
          <w:sz w:val="20"/>
        </w:rPr>
        <w:t> </w:t>
      </w:r>
      <w:r>
        <w:rPr>
          <w:sz w:val="20"/>
        </w:rPr>
        <w:t>que,</w:t>
      </w:r>
    </w:p>
    <w:p>
      <w:pPr>
        <w:pStyle w:val="BodyText"/>
      </w:pPr>
    </w:p>
    <w:p>
      <w:pPr>
        <w:spacing w:before="0"/>
        <w:ind w:left="405" w:right="361" w:firstLine="0"/>
        <w:jc w:val="left"/>
        <w:rPr>
          <w:sz w:val="16"/>
        </w:rPr>
      </w:pPr>
      <w:r>
        <w:rPr>
          <w:sz w:val="16"/>
        </w:rPr>
        <w:t>conforme a su jurisprudencia, las costas y gastos son parte del concepto de reparación, toda vez que la actividad desplegada por las víctimas con el fin de obtener justicia, tanto a nivel nacional como</w:t>
      </w:r>
    </w:p>
    <w:p>
      <w:pPr>
        <w:pStyle w:val="BodyText"/>
        <w:spacing w:before="6"/>
        <w:rPr>
          <w:sz w:val="17"/>
        </w:rPr>
      </w:pPr>
      <w:r>
        <w:rPr/>
        <w:pict>
          <v:line style="position:absolute;mso-position-horizontal-relative:page;mso-position-vertical-relative:paragraph;z-index:3688;mso-wrap-distance-left:0;mso-wrap-distance-right:0" from="85.103996pt,12.958133pt" to="229.123996pt,12.958133pt" stroked="true" strokeweight=".72003pt" strokecolor="#000000">
            <v:stroke dashstyle="solid"/>
            <w10:wrap type="topAndBottom"/>
          </v:line>
        </w:pict>
      </w:r>
    </w:p>
    <w:p>
      <w:pPr>
        <w:spacing w:before="71"/>
        <w:ind w:left="122" w:right="0" w:firstLine="0"/>
        <w:jc w:val="left"/>
        <w:rPr>
          <w:sz w:val="16"/>
        </w:rPr>
      </w:pPr>
      <w:r>
        <w:rPr>
          <w:sz w:val="16"/>
        </w:rPr>
        <w:t>de forma adecuada para toda la República Argentina” y que “se viene proponiendo desde distintos sectores políticos la necesidad de sancionar una [l]ey de fondo” sobre ello.</w:t>
      </w:r>
    </w:p>
    <w:p>
      <w:pPr>
        <w:spacing w:after="0"/>
        <w:jc w:val="left"/>
        <w:rPr>
          <w:sz w:val="16"/>
        </w:rPr>
        <w:sectPr>
          <w:pgSz w:w="12240" w:h="15840"/>
          <w:pgMar w:header="0" w:footer="1000" w:top="1500" w:bottom="1200" w:left="1580" w:right="1600"/>
        </w:sectPr>
      </w:pPr>
    </w:p>
    <w:p>
      <w:pPr>
        <w:spacing w:line="240" w:lineRule="auto" w:before="76"/>
        <w:ind w:left="405" w:right="396" w:firstLine="0"/>
        <w:jc w:val="both"/>
        <w:rPr>
          <w:sz w:val="16"/>
        </w:rPr>
      </w:pPr>
      <w:r>
        <w:rPr>
          <w:sz w:val="16"/>
        </w:rPr>
        <w:t>internacional,</w:t>
      </w:r>
      <w:r>
        <w:rPr>
          <w:spacing w:val="-6"/>
          <w:sz w:val="16"/>
        </w:rPr>
        <w:t> </w:t>
      </w:r>
      <w:r>
        <w:rPr>
          <w:sz w:val="16"/>
        </w:rPr>
        <w:t>implica</w:t>
      </w:r>
      <w:r>
        <w:rPr>
          <w:spacing w:val="-5"/>
          <w:sz w:val="16"/>
        </w:rPr>
        <w:t> </w:t>
      </w:r>
      <w:r>
        <w:rPr>
          <w:sz w:val="16"/>
        </w:rPr>
        <w:t>erogaciones</w:t>
      </w:r>
      <w:r>
        <w:rPr>
          <w:spacing w:val="-5"/>
          <w:sz w:val="16"/>
        </w:rPr>
        <w:t> </w:t>
      </w:r>
      <w:r>
        <w:rPr>
          <w:sz w:val="16"/>
        </w:rPr>
        <w:t>que</w:t>
      </w:r>
      <w:r>
        <w:rPr>
          <w:spacing w:val="-7"/>
          <w:sz w:val="16"/>
        </w:rPr>
        <w:t> </w:t>
      </w:r>
      <w:r>
        <w:rPr>
          <w:sz w:val="16"/>
        </w:rPr>
        <w:t>deben</w:t>
      </w:r>
      <w:r>
        <w:rPr>
          <w:spacing w:val="-8"/>
          <w:sz w:val="16"/>
        </w:rPr>
        <w:t> </w:t>
      </w:r>
      <w:r>
        <w:rPr>
          <w:sz w:val="16"/>
        </w:rPr>
        <w:t>ser</w:t>
      </w:r>
      <w:r>
        <w:rPr>
          <w:spacing w:val="-6"/>
          <w:sz w:val="16"/>
        </w:rPr>
        <w:t> </w:t>
      </w:r>
      <w:r>
        <w:rPr>
          <w:sz w:val="16"/>
        </w:rPr>
        <w:t>compensadas</w:t>
      </w:r>
      <w:r>
        <w:rPr>
          <w:spacing w:val="-5"/>
          <w:sz w:val="16"/>
        </w:rPr>
        <w:t> </w:t>
      </w:r>
      <w:r>
        <w:rPr>
          <w:sz w:val="16"/>
        </w:rPr>
        <w:t>cuando</w:t>
      </w:r>
      <w:r>
        <w:rPr>
          <w:spacing w:val="-7"/>
          <w:sz w:val="16"/>
        </w:rPr>
        <w:t> </w:t>
      </w:r>
      <w:r>
        <w:rPr>
          <w:sz w:val="16"/>
        </w:rPr>
        <w:t>la</w:t>
      </w:r>
      <w:r>
        <w:rPr>
          <w:spacing w:val="-6"/>
          <w:sz w:val="16"/>
        </w:rPr>
        <w:t> </w:t>
      </w:r>
      <w:r>
        <w:rPr>
          <w:sz w:val="16"/>
        </w:rPr>
        <w:t>responsabilidad</w:t>
      </w:r>
      <w:r>
        <w:rPr>
          <w:spacing w:val="-7"/>
          <w:sz w:val="16"/>
        </w:rPr>
        <w:t> </w:t>
      </w:r>
      <w:r>
        <w:rPr>
          <w:sz w:val="16"/>
        </w:rPr>
        <w:t>internacional del Estado es declarada mediante una sentencia condenatoria. En cuanto al reembolso de las costas y gastos, corresponde al Tribunal apreciar prudentemente su alcance, el cual comprende los gastos generados</w:t>
      </w:r>
      <w:r>
        <w:rPr>
          <w:spacing w:val="-15"/>
          <w:sz w:val="16"/>
        </w:rPr>
        <w:t> </w:t>
      </w:r>
      <w:r>
        <w:rPr>
          <w:sz w:val="16"/>
        </w:rPr>
        <w:t>ante</w:t>
      </w:r>
      <w:r>
        <w:rPr>
          <w:spacing w:val="-13"/>
          <w:sz w:val="16"/>
        </w:rPr>
        <w:t> </w:t>
      </w:r>
      <w:r>
        <w:rPr>
          <w:sz w:val="16"/>
        </w:rPr>
        <w:t>las</w:t>
      </w:r>
      <w:r>
        <w:rPr>
          <w:spacing w:val="-15"/>
          <w:sz w:val="16"/>
        </w:rPr>
        <w:t> </w:t>
      </w:r>
      <w:r>
        <w:rPr>
          <w:sz w:val="16"/>
        </w:rPr>
        <w:t>autoridades</w:t>
      </w:r>
      <w:r>
        <w:rPr>
          <w:spacing w:val="-15"/>
          <w:sz w:val="16"/>
        </w:rPr>
        <w:t> </w:t>
      </w:r>
      <w:r>
        <w:rPr>
          <w:sz w:val="16"/>
        </w:rPr>
        <w:t>de</w:t>
      </w:r>
      <w:r>
        <w:rPr>
          <w:spacing w:val="-15"/>
          <w:sz w:val="16"/>
        </w:rPr>
        <w:t> </w:t>
      </w:r>
      <w:r>
        <w:rPr>
          <w:sz w:val="16"/>
        </w:rPr>
        <w:t>la</w:t>
      </w:r>
      <w:r>
        <w:rPr>
          <w:spacing w:val="-14"/>
          <w:sz w:val="16"/>
        </w:rPr>
        <w:t> </w:t>
      </w:r>
      <w:r>
        <w:rPr>
          <w:sz w:val="16"/>
        </w:rPr>
        <w:t>jurisdicción</w:t>
      </w:r>
      <w:r>
        <w:rPr>
          <w:spacing w:val="-14"/>
          <w:sz w:val="16"/>
        </w:rPr>
        <w:t> </w:t>
      </w:r>
      <w:r>
        <w:rPr>
          <w:sz w:val="16"/>
        </w:rPr>
        <w:t>interna,</w:t>
      </w:r>
      <w:r>
        <w:rPr>
          <w:spacing w:val="-16"/>
          <w:sz w:val="16"/>
        </w:rPr>
        <w:t> </w:t>
      </w:r>
      <w:r>
        <w:rPr>
          <w:sz w:val="16"/>
        </w:rPr>
        <w:t>así</w:t>
      </w:r>
      <w:r>
        <w:rPr>
          <w:spacing w:val="-19"/>
          <w:sz w:val="16"/>
        </w:rPr>
        <w:t> </w:t>
      </w:r>
      <w:r>
        <w:rPr>
          <w:sz w:val="16"/>
        </w:rPr>
        <w:t>como</w:t>
      </w:r>
      <w:r>
        <w:rPr>
          <w:spacing w:val="-15"/>
          <w:sz w:val="16"/>
        </w:rPr>
        <w:t> </w:t>
      </w:r>
      <w:r>
        <w:rPr>
          <w:sz w:val="16"/>
        </w:rPr>
        <w:t>los</w:t>
      </w:r>
      <w:r>
        <w:rPr>
          <w:spacing w:val="-15"/>
          <w:sz w:val="16"/>
        </w:rPr>
        <w:t> </w:t>
      </w:r>
      <w:r>
        <w:rPr>
          <w:sz w:val="16"/>
        </w:rPr>
        <w:t>generados</w:t>
      </w:r>
      <w:r>
        <w:rPr>
          <w:spacing w:val="-18"/>
          <w:sz w:val="16"/>
        </w:rPr>
        <w:t> </w:t>
      </w:r>
      <w:r>
        <w:rPr>
          <w:sz w:val="16"/>
        </w:rPr>
        <w:t>en</w:t>
      </w:r>
      <w:r>
        <w:rPr>
          <w:spacing w:val="-16"/>
          <w:sz w:val="16"/>
        </w:rPr>
        <w:t> </w:t>
      </w:r>
      <w:r>
        <w:rPr>
          <w:sz w:val="16"/>
        </w:rPr>
        <w:t>el</w:t>
      </w:r>
      <w:r>
        <w:rPr>
          <w:spacing w:val="-14"/>
          <w:sz w:val="16"/>
        </w:rPr>
        <w:t> </w:t>
      </w:r>
      <w:r>
        <w:rPr>
          <w:sz w:val="16"/>
        </w:rPr>
        <w:t>curso</w:t>
      </w:r>
      <w:r>
        <w:rPr>
          <w:spacing w:val="-15"/>
          <w:sz w:val="16"/>
        </w:rPr>
        <w:t> </w:t>
      </w:r>
      <w:r>
        <w:rPr>
          <w:sz w:val="16"/>
        </w:rPr>
        <w:t>del</w:t>
      </w:r>
      <w:r>
        <w:rPr>
          <w:spacing w:val="-16"/>
          <w:sz w:val="16"/>
        </w:rPr>
        <w:t> </w:t>
      </w:r>
      <w:r>
        <w:rPr>
          <w:sz w:val="16"/>
        </w:rPr>
        <w:t>proceso ante</w:t>
      </w:r>
      <w:r>
        <w:rPr>
          <w:spacing w:val="-6"/>
          <w:sz w:val="16"/>
        </w:rPr>
        <w:t> </w:t>
      </w:r>
      <w:r>
        <w:rPr>
          <w:sz w:val="16"/>
        </w:rPr>
        <w:t>el</w:t>
      </w:r>
      <w:r>
        <w:rPr>
          <w:spacing w:val="-7"/>
          <w:sz w:val="16"/>
        </w:rPr>
        <w:t> </w:t>
      </w:r>
      <w:r>
        <w:rPr>
          <w:sz w:val="16"/>
        </w:rPr>
        <w:t>sistema</w:t>
      </w:r>
      <w:r>
        <w:rPr>
          <w:spacing w:val="-7"/>
          <w:sz w:val="16"/>
        </w:rPr>
        <w:t> </w:t>
      </w:r>
      <w:r>
        <w:rPr>
          <w:sz w:val="16"/>
        </w:rPr>
        <w:t>interamericano,</w:t>
      </w:r>
      <w:r>
        <w:rPr>
          <w:spacing w:val="-7"/>
          <w:sz w:val="16"/>
        </w:rPr>
        <w:t> </w:t>
      </w:r>
      <w:r>
        <w:rPr>
          <w:sz w:val="16"/>
        </w:rPr>
        <w:t>teniendo</w:t>
      </w:r>
      <w:r>
        <w:rPr>
          <w:spacing w:val="-8"/>
          <w:sz w:val="16"/>
        </w:rPr>
        <w:t> </w:t>
      </w:r>
      <w:r>
        <w:rPr>
          <w:sz w:val="16"/>
        </w:rPr>
        <w:t>en</w:t>
      </w:r>
      <w:r>
        <w:rPr>
          <w:spacing w:val="-7"/>
          <w:sz w:val="16"/>
        </w:rPr>
        <w:t> </w:t>
      </w:r>
      <w:r>
        <w:rPr>
          <w:sz w:val="16"/>
        </w:rPr>
        <w:t>cuenta</w:t>
      </w:r>
      <w:r>
        <w:rPr>
          <w:spacing w:val="-5"/>
          <w:sz w:val="16"/>
        </w:rPr>
        <w:t> </w:t>
      </w:r>
      <w:r>
        <w:rPr>
          <w:sz w:val="16"/>
        </w:rPr>
        <w:t>las</w:t>
      </w:r>
      <w:r>
        <w:rPr>
          <w:spacing w:val="-6"/>
          <w:sz w:val="16"/>
        </w:rPr>
        <w:t> </w:t>
      </w:r>
      <w:r>
        <w:rPr>
          <w:sz w:val="16"/>
        </w:rPr>
        <w:t>circunstancias</w:t>
      </w:r>
      <w:r>
        <w:rPr>
          <w:spacing w:val="-6"/>
          <w:sz w:val="16"/>
        </w:rPr>
        <w:t> </w:t>
      </w:r>
      <w:r>
        <w:rPr>
          <w:sz w:val="16"/>
        </w:rPr>
        <w:t>del</w:t>
      </w:r>
      <w:r>
        <w:rPr>
          <w:spacing w:val="-7"/>
          <w:sz w:val="16"/>
        </w:rPr>
        <w:t> </w:t>
      </w:r>
      <w:r>
        <w:rPr>
          <w:sz w:val="16"/>
        </w:rPr>
        <w:t>caso</w:t>
      </w:r>
      <w:r>
        <w:rPr>
          <w:spacing w:val="-5"/>
          <w:sz w:val="16"/>
        </w:rPr>
        <w:t> </w:t>
      </w:r>
      <w:r>
        <w:rPr>
          <w:sz w:val="16"/>
        </w:rPr>
        <w:t>concreto</w:t>
      </w:r>
      <w:r>
        <w:rPr>
          <w:spacing w:val="-8"/>
          <w:sz w:val="16"/>
        </w:rPr>
        <w:t> </w:t>
      </w:r>
      <w:r>
        <w:rPr>
          <w:sz w:val="16"/>
        </w:rPr>
        <w:t>y</w:t>
      </w:r>
      <w:r>
        <w:rPr>
          <w:spacing w:val="-5"/>
          <w:sz w:val="16"/>
        </w:rPr>
        <w:t> </w:t>
      </w:r>
      <w:r>
        <w:rPr>
          <w:sz w:val="16"/>
        </w:rPr>
        <w:t>la</w:t>
      </w:r>
      <w:r>
        <w:rPr>
          <w:spacing w:val="-7"/>
          <w:sz w:val="16"/>
        </w:rPr>
        <w:t> </w:t>
      </w:r>
      <w:r>
        <w:rPr>
          <w:sz w:val="16"/>
        </w:rPr>
        <w:t>naturaleza de la jurisdicción internacional de protección de derechos humanos. Esta apreciación puede ser realizada</w:t>
      </w:r>
      <w:r>
        <w:rPr>
          <w:spacing w:val="-6"/>
          <w:sz w:val="16"/>
        </w:rPr>
        <w:t> </w:t>
      </w:r>
      <w:r>
        <w:rPr>
          <w:sz w:val="16"/>
        </w:rPr>
        <w:t>con</w:t>
      </w:r>
      <w:r>
        <w:rPr>
          <w:spacing w:val="-6"/>
          <w:sz w:val="16"/>
        </w:rPr>
        <w:t> </w:t>
      </w:r>
      <w:r>
        <w:rPr>
          <w:sz w:val="16"/>
        </w:rPr>
        <w:t>base</w:t>
      </w:r>
      <w:r>
        <w:rPr>
          <w:spacing w:val="-5"/>
          <w:sz w:val="16"/>
        </w:rPr>
        <w:t> </w:t>
      </w:r>
      <w:r>
        <w:rPr>
          <w:sz w:val="16"/>
        </w:rPr>
        <w:t>en</w:t>
      </w:r>
      <w:r>
        <w:rPr>
          <w:spacing w:val="-6"/>
          <w:sz w:val="16"/>
        </w:rPr>
        <w:t> </w:t>
      </w:r>
      <w:r>
        <w:rPr>
          <w:sz w:val="16"/>
        </w:rPr>
        <w:t>el</w:t>
      </w:r>
      <w:r>
        <w:rPr>
          <w:spacing w:val="-6"/>
          <w:sz w:val="16"/>
        </w:rPr>
        <w:t> </w:t>
      </w:r>
      <w:r>
        <w:rPr>
          <w:sz w:val="16"/>
        </w:rPr>
        <w:t>principio</w:t>
      </w:r>
      <w:r>
        <w:rPr>
          <w:spacing w:val="-4"/>
          <w:sz w:val="16"/>
        </w:rPr>
        <w:t> </w:t>
      </w:r>
      <w:r>
        <w:rPr>
          <w:sz w:val="16"/>
        </w:rPr>
        <w:t>de</w:t>
      </w:r>
      <w:r>
        <w:rPr>
          <w:spacing w:val="-5"/>
          <w:sz w:val="16"/>
        </w:rPr>
        <w:t> </w:t>
      </w:r>
      <w:r>
        <w:rPr>
          <w:sz w:val="16"/>
        </w:rPr>
        <w:t>equidad</w:t>
      </w:r>
      <w:r>
        <w:rPr>
          <w:spacing w:val="-7"/>
          <w:sz w:val="16"/>
        </w:rPr>
        <w:t> </w:t>
      </w:r>
      <w:r>
        <w:rPr>
          <w:sz w:val="16"/>
        </w:rPr>
        <w:t>y</w:t>
      </w:r>
      <w:r>
        <w:rPr>
          <w:spacing w:val="-2"/>
          <w:sz w:val="16"/>
        </w:rPr>
        <w:t> </w:t>
      </w:r>
      <w:r>
        <w:rPr>
          <w:sz w:val="16"/>
        </w:rPr>
        <w:t>tomando</w:t>
      </w:r>
      <w:r>
        <w:rPr>
          <w:spacing w:val="-7"/>
          <w:sz w:val="16"/>
        </w:rPr>
        <w:t> </w:t>
      </w:r>
      <w:r>
        <w:rPr>
          <w:sz w:val="16"/>
        </w:rPr>
        <w:t>en</w:t>
      </w:r>
      <w:r>
        <w:rPr>
          <w:spacing w:val="-6"/>
          <w:sz w:val="16"/>
        </w:rPr>
        <w:t> </w:t>
      </w:r>
      <w:r>
        <w:rPr>
          <w:sz w:val="16"/>
        </w:rPr>
        <w:t>cuenta</w:t>
      </w:r>
      <w:r>
        <w:rPr>
          <w:spacing w:val="-3"/>
          <w:sz w:val="16"/>
        </w:rPr>
        <w:t> </w:t>
      </w:r>
      <w:r>
        <w:rPr>
          <w:sz w:val="16"/>
        </w:rPr>
        <w:t>los</w:t>
      </w:r>
      <w:r>
        <w:rPr>
          <w:spacing w:val="-5"/>
          <w:sz w:val="16"/>
        </w:rPr>
        <w:t> </w:t>
      </w:r>
      <w:r>
        <w:rPr>
          <w:sz w:val="16"/>
        </w:rPr>
        <w:t>gastos</w:t>
      </w:r>
      <w:r>
        <w:rPr>
          <w:spacing w:val="-5"/>
          <w:sz w:val="16"/>
        </w:rPr>
        <w:t> </w:t>
      </w:r>
      <w:r>
        <w:rPr>
          <w:sz w:val="16"/>
        </w:rPr>
        <w:t>señalados</w:t>
      </w:r>
      <w:r>
        <w:rPr>
          <w:spacing w:val="-5"/>
          <w:sz w:val="16"/>
        </w:rPr>
        <w:t> </w:t>
      </w:r>
      <w:r>
        <w:rPr>
          <w:sz w:val="16"/>
        </w:rPr>
        <w:t>por</w:t>
      </w:r>
      <w:r>
        <w:rPr>
          <w:spacing w:val="-4"/>
          <w:sz w:val="16"/>
        </w:rPr>
        <w:t> </w:t>
      </w:r>
      <w:r>
        <w:rPr>
          <w:sz w:val="16"/>
        </w:rPr>
        <w:t>las</w:t>
      </w:r>
      <w:r>
        <w:rPr>
          <w:spacing w:val="-5"/>
          <w:sz w:val="16"/>
        </w:rPr>
        <w:t> </w:t>
      </w:r>
      <w:r>
        <w:rPr>
          <w:sz w:val="16"/>
        </w:rPr>
        <w:t>partes, siempre que su </w:t>
      </w:r>
      <w:r>
        <w:rPr>
          <w:i/>
          <w:sz w:val="16"/>
        </w:rPr>
        <w:t>quantum </w:t>
      </w:r>
      <w:r>
        <w:rPr>
          <w:sz w:val="16"/>
        </w:rPr>
        <w:t>sea</w:t>
      </w:r>
      <w:r>
        <w:rPr>
          <w:spacing w:val="-6"/>
          <w:sz w:val="16"/>
        </w:rPr>
        <w:t> </w:t>
      </w:r>
      <w:r>
        <w:rPr>
          <w:sz w:val="16"/>
        </w:rPr>
        <w:t>razonable</w:t>
      </w:r>
      <w:r>
        <w:rPr>
          <w:position w:val="6"/>
          <w:sz w:val="10"/>
        </w:rPr>
        <w:t>336</w:t>
      </w:r>
      <w:r>
        <w:rPr>
          <w:sz w:val="16"/>
        </w:rPr>
        <w:t>.</w:t>
      </w:r>
    </w:p>
    <w:p>
      <w:pPr>
        <w:pStyle w:val="BodyText"/>
        <w:spacing w:before="12"/>
        <w:rPr>
          <w:sz w:val="19"/>
        </w:rPr>
      </w:pPr>
    </w:p>
    <w:p>
      <w:pPr>
        <w:pStyle w:val="ListParagraph"/>
        <w:numPr>
          <w:ilvl w:val="0"/>
          <w:numId w:val="37"/>
        </w:numPr>
        <w:tabs>
          <w:tab w:pos="830" w:val="left" w:leader="none"/>
        </w:tabs>
        <w:spacing w:line="240" w:lineRule="auto" w:before="0" w:after="0"/>
        <w:ind w:left="122" w:right="130" w:firstLine="0"/>
        <w:jc w:val="both"/>
        <w:rPr>
          <w:sz w:val="20"/>
        </w:rPr>
      </w:pPr>
      <w:r>
        <w:rPr>
          <w:sz w:val="20"/>
        </w:rPr>
        <w:t>Este Tribunal nota que los representantes no han solicitado un monto dinerario específico</w:t>
      </w:r>
      <w:r>
        <w:rPr>
          <w:spacing w:val="-18"/>
          <w:sz w:val="20"/>
        </w:rPr>
        <w:t> </w:t>
      </w:r>
      <w:r>
        <w:rPr>
          <w:sz w:val="20"/>
        </w:rPr>
        <w:t>para</w:t>
      </w:r>
      <w:r>
        <w:rPr>
          <w:spacing w:val="-13"/>
          <w:sz w:val="20"/>
        </w:rPr>
        <w:t> </w:t>
      </w:r>
      <w:r>
        <w:rPr>
          <w:sz w:val="20"/>
        </w:rPr>
        <w:t>el</w:t>
      </w:r>
      <w:r>
        <w:rPr>
          <w:spacing w:val="-16"/>
          <w:sz w:val="20"/>
        </w:rPr>
        <w:t> </w:t>
      </w:r>
      <w:r>
        <w:rPr>
          <w:sz w:val="20"/>
        </w:rPr>
        <w:t>reintegro</w:t>
      </w:r>
      <w:r>
        <w:rPr>
          <w:spacing w:val="-17"/>
          <w:sz w:val="20"/>
        </w:rPr>
        <w:t> </w:t>
      </w:r>
      <w:r>
        <w:rPr>
          <w:sz w:val="20"/>
        </w:rPr>
        <w:t>de</w:t>
      </w:r>
      <w:r>
        <w:rPr>
          <w:spacing w:val="-17"/>
          <w:sz w:val="20"/>
        </w:rPr>
        <w:t> </w:t>
      </w:r>
      <w:r>
        <w:rPr>
          <w:sz w:val="20"/>
        </w:rPr>
        <w:t>gastos</w:t>
      </w:r>
      <w:r>
        <w:rPr>
          <w:spacing w:val="-14"/>
          <w:sz w:val="20"/>
        </w:rPr>
        <w:t> </w:t>
      </w:r>
      <w:r>
        <w:rPr>
          <w:sz w:val="20"/>
        </w:rPr>
        <w:t>y</w:t>
      </w:r>
      <w:r>
        <w:rPr>
          <w:spacing w:val="-16"/>
          <w:sz w:val="20"/>
        </w:rPr>
        <w:t> </w:t>
      </w:r>
      <w:r>
        <w:rPr>
          <w:sz w:val="20"/>
        </w:rPr>
        <w:t>costas,</w:t>
      </w:r>
      <w:r>
        <w:rPr>
          <w:spacing w:val="-15"/>
          <w:sz w:val="20"/>
        </w:rPr>
        <w:t> </w:t>
      </w:r>
      <w:r>
        <w:rPr>
          <w:sz w:val="20"/>
        </w:rPr>
        <w:t>ni</w:t>
      </w:r>
      <w:r>
        <w:rPr>
          <w:spacing w:val="-16"/>
          <w:sz w:val="20"/>
        </w:rPr>
        <w:t> </w:t>
      </w:r>
      <w:r>
        <w:rPr>
          <w:sz w:val="20"/>
        </w:rPr>
        <w:t>acreditado</w:t>
      </w:r>
      <w:r>
        <w:rPr>
          <w:spacing w:val="-15"/>
          <w:sz w:val="20"/>
        </w:rPr>
        <w:t> </w:t>
      </w:r>
      <w:r>
        <w:rPr>
          <w:sz w:val="20"/>
        </w:rPr>
        <w:t>en</w:t>
      </w:r>
      <w:r>
        <w:rPr>
          <w:spacing w:val="-15"/>
          <w:sz w:val="20"/>
        </w:rPr>
        <w:t> </w:t>
      </w:r>
      <w:r>
        <w:rPr>
          <w:sz w:val="20"/>
        </w:rPr>
        <w:t>forma</w:t>
      </w:r>
      <w:r>
        <w:rPr>
          <w:spacing w:val="-16"/>
          <w:sz w:val="20"/>
        </w:rPr>
        <w:t> </w:t>
      </w:r>
      <w:r>
        <w:rPr>
          <w:sz w:val="20"/>
        </w:rPr>
        <w:t>debida</w:t>
      </w:r>
      <w:r>
        <w:rPr>
          <w:spacing w:val="-16"/>
          <w:sz w:val="20"/>
        </w:rPr>
        <w:t> </w:t>
      </w:r>
      <w:r>
        <w:rPr>
          <w:sz w:val="20"/>
        </w:rPr>
        <w:t>y</w:t>
      </w:r>
      <w:r>
        <w:rPr>
          <w:spacing w:val="-14"/>
          <w:sz w:val="20"/>
        </w:rPr>
        <w:t> </w:t>
      </w:r>
      <w:r>
        <w:rPr>
          <w:sz w:val="20"/>
        </w:rPr>
        <w:t>razonada la totalidad de los gastos efectuados. El argumento estatal, por otra parte, no se relaciona con esta</w:t>
      </w:r>
      <w:r>
        <w:rPr>
          <w:spacing w:val="-11"/>
          <w:sz w:val="20"/>
        </w:rPr>
        <w:t> </w:t>
      </w:r>
      <w:r>
        <w:rPr>
          <w:sz w:val="20"/>
        </w:rPr>
        <w:t>cuestión.</w:t>
      </w:r>
    </w:p>
    <w:p>
      <w:pPr>
        <w:pStyle w:val="BodyText"/>
        <w:spacing w:before="10"/>
        <w:rPr>
          <w:sz w:val="19"/>
        </w:rPr>
      </w:pPr>
    </w:p>
    <w:p>
      <w:pPr>
        <w:pStyle w:val="ListParagraph"/>
        <w:numPr>
          <w:ilvl w:val="0"/>
          <w:numId w:val="37"/>
        </w:numPr>
        <w:tabs>
          <w:tab w:pos="830" w:val="left" w:leader="none"/>
        </w:tabs>
        <w:spacing w:line="240" w:lineRule="auto" w:before="0" w:after="0"/>
        <w:ind w:left="830" w:right="0" w:hanging="708"/>
        <w:jc w:val="both"/>
        <w:rPr>
          <w:sz w:val="20"/>
        </w:rPr>
      </w:pPr>
      <w:r>
        <w:rPr>
          <w:sz w:val="20"/>
        </w:rPr>
        <w:t>La</w:t>
      </w:r>
      <w:r>
        <w:rPr>
          <w:spacing w:val="-13"/>
          <w:sz w:val="20"/>
        </w:rPr>
        <w:t> </w:t>
      </w:r>
      <w:r>
        <w:rPr>
          <w:sz w:val="20"/>
        </w:rPr>
        <w:t>Corte</w:t>
      </w:r>
      <w:r>
        <w:rPr>
          <w:spacing w:val="-14"/>
          <w:sz w:val="20"/>
        </w:rPr>
        <w:t> </w:t>
      </w:r>
      <w:r>
        <w:rPr>
          <w:sz w:val="20"/>
        </w:rPr>
        <w:t>decide,</w:t>
      </w:r>
      <w:r>
        <w:rPr>
          <w:spacing w:val="-11"/>
          <w:sz w:val="20"/>
        </w:rPr>
        <w:t> </w:t>
      </w:r>
      <w:r>
        <w:rPr>
          <w:sz w:val="20"/>
        </w:rPr>
        <w:t>por</w:t>
      </w:r>
      <w:r>
        <w:rPr>
          <w:spacing w:val="-11"/>
          <w:sz w:val="20"/>
        </w:rPr>
        <w:t> </w:t>
      </w:r>
      <w:r>
        <w:rPr>
          <w:sz w:val="20"/>
        </w:rPr>
        <w:t>entenderlo</w:t>
      </w:r>
      <w:r>
        <w:rPr>
          <w:spacing w:val="-12"/>
          <w:sz w:val="20"/>
        </w:rPr>
        <w:t> </w:t>
      </w:r>
      <w:r>
        <w:rPr>
          <w:sz w:val="20"/>
        </w:rPr>
        <w:t>razonable,</w:t>
      </w:r>
      <w:r>
        <w:rPr>
          <w:spacing w:val="-11"/>
          <w:sz w:val="20"/>
        </w:rPr>
        <w:t> </w:t>
      </w:r>
      <w:r>
        <w:rPr>
          <w:sz w:val="20"/>
        </w:rPr>
        <w:t>fijar</w:t>
      </w:r>
      <w:r>
        <w:rPr>
          <w:spacing w:val="-9"/>
          <w:sz w:val="20"/>
        </w:rPr>
        <w:t> </w:t>
      </w:r>
      <w:r>
        <w:rPr>
          <w:sz w:val="20"/>
        </w:rPr>
        <w:t>el</w:t>
      </w:r>
      <w:r>
        <w:rPr>
          <w:spacing w:val="-13"/>
          <w:sz w:val="20"/>
        </w:rPr>
        <w:t> </w:t>
      </w:r>
      <w:r>
        <w:rPr>
          <w:sz w:val="20"/>
        </w:rPr>
        <w:t>pago</w:t>
      </w:r>
      <w:r>
        <w:rPr>
          <w:spacing w:val="-14"/>
          <w:sz w:val="20"/>
        </w:rPr>
        <w:t> </w:t>
      </w:r>
      <w:r>
        <w:rPr>
          <w:sz w:val="20"/>
        </w:rPr>
        <w:t>de</w:t>
      </w:r>
      <w:r>
        <w:rPr>
          <w:spacing w:val="-14"/>
          <w:sz w:val="20"/>
        </w:rPr>
        <w:t> </w:t>
      </w:r>
      <w:r>
        <w:rPr>
          <w:sz w:val="20"/>
        </w:rPr>
        <w:t>un</w:t>
      </w:r>
      <w:r>
        <w:rPr>
          <w:spacing w:val="-9"/>
          <w:sz w:val="20"/>
        </w:rPr>
        <w:t> </w:t>
      </w:r>
      <w:r>
        <w:rPr>
          <w:sz w:val="20"/>
        </w:rPr>
        <w:t>monto</w:t>
      </w:r>
      <w:r>
        <w:rPr>
          <w:spacing w:val="-12"/>
          <w:sz w:val="20"/>
        </w:rPr>
        <w:t> </w:t>
      </w:r>
      <w:r>
        <w:rPr>
          <w:sz w:val="20"/>
        </w:rPr>
        <w:t>total</w:t>
      </w:r>
      <w:r>
        <w:rPr>
          <w:spacing w:val="-4"/>
          <w:sz w:val="20"/>
        </w:rPr>
        <w:t> </w:t>
      </w:r>
      <w:r>
        <w:rPr>
          <w:sz w:val="20"/>
        </w:rPr>
        <w:t>de</w:t>
      </w:r>
      <w:r>
        <w:rPr>
          <w:spacing w:val="-12"/>
          <w:sz w:val="20"/>
        </w:rPr>
        <w:t> </w:t>
      </w:r>
      <w:r>
        <w:rPr>
          <w:sz w:val="20"/>
        </w:rPr>
        <w:t>US$</w:t>
      </w:r>
    </w:p>
    <w:p>
      <w:pPr>
        <w:pStyle w:val="BodyText"/>
        <w:spacing w:line="242" w:lineRule="auto" w:before="1"/>
        <w:ind w:left="122" w:right="124"/>
        <w:jc w:val="both"/>
      </w:pPr>
      <w:r>
        <w:rPr/>
        <w:t>50.000.00 (cincuenta mil dólares de los Estados Unidos de América) por concepto de costas y gastos. Dicha cantidad será entregada, en el plazo de seis meses a partir de</w:t>
      </w:r>
      <w:r>
        <w:rPr>
          <w:spacing w:val="-39"/>
        </w:rPr>
        <w:t> </w:t>
      </w:r>
      <w:r>
        <w:rPr/>
        <w:t>la notificación</w:t>
      </w:r>
      <w:r>
        <w:rPr>
          <w:spacing w:val="-12"/>
        </w:rPr>
        <w:t> </w:t>
      </w:r>
      <w:r>
        <w:rPr/>
        <w:t>de</w:t>
      </w:r>
      <w:r>
        <w:rPr>
          <w:spacing w:val="-14"/>
        </w:rPr>
        <w:t> </w:t>
      </w:r>
      <w:r>
        <w:rPr/>
        <w:t>la</w:t>
      </w:r>
      <w:r>
        <w:rPr>
          <w:spacing w:val="-10"/>
        </w:rPr>
        <w:t> </w:t>
      </w:r>
      <w:r>
        <w:rPr/>
        <w:t>presente</w:t>
      </w:r>
      <w:r>
        <w:rPr>
          <w:spacing w:val="-14"/>
        </w:rPr>
        <w:t> </w:t>
      </w:r>
      <w:r>
        <w:rPr/>
        <w:t>Sentencia,</w:t>
      </w:r>
      <w:r>
        <w:rPr>
          <w:spacing w:val="-11"/>
        </w:rPr>
        <w:t> </w:t>
      </w:r>
      <w:r>
        <w:rPr/>
        <w:t>al</w:t>
      </w:r>
      <w:r>
        <w:rPr>
          <w:spacing w:val="-10"/>
        </w:rPr>
        <w:t> </w:t>
      </w:r>
      <w:r>
        <w:rPr/>
        <w:t>Centro</w:t>
      </w:r>
      <w:r>
        <w:rPr>
          <w:spacing w:val="-9"/>
        </w:rPr>
        <w:t> </w:t>
      </w:r>
      <w:r>
        <w:rPr/>
        <w:t>de</w:t>
      </w:r>
      <w:r>
        <w:rPr>
          <w:spacing w:val="-14"/>
        </w:rPr>
        <w:t> </w:t>
      </w:r>
      <w:r>
        <w:rPr/>
        <w:t>Estudios</w:t>
      </w:r>
      <w:r>
        <w:rPr>
          <w:spacing w:val="-11"/>
        </w:rPr>
        <w:t> </w:t>
      </w:r>
      <w:r>
        <w:rPr/>
        <w:t>Legales</w:t>
      </w:r>
      <w:r>
        <w:rPr>
          <w:spacing w:val="-11"/>
        </w:rPr>
        <w:t> </w:t>
      </w:r>
      <w:r>
        <w:rPr/>
        <w:t>y</w:t>
      </w:r>
      <w:r>
        <w:rPr>
          <w:spacing w:val="-11"/>
        </w:rPr>
        <w:t> </w:t>
      </w:r>
      <w:r>
        <w:rPr/>
        <w:t>Sociales</w:t>
      </w:r>
      <w:r>
        <w:rPr>
          <w:spacing w:val="-11"/>
        </w:rPr>
        <w:t> </w:t>
      </w:r>
      <w:r>
        <w:rPr/>
        <w:t>(CELS)</w:t>
      </w:r>
      <w:r>
        <w:rPr>
          <w:rFonts w:ascii="Calibri" w:hAnsi="Calibri"/>
          <w:position w:val="8"/>
          <w:sz w:val="14"/>
        </w:rPr>
        <w:t>337</w:t>
      </w:r>
      <w:r>
        <w:rPr/>
        <w:t>. En</w:t>
      </w:r>
      <w:r>
        <w:rPr>
          <w:spacing w:val="-19"/>
        </w:rPr>
        <w:t> </w:t>
      </w:r>
      <w:r>
        <w:rPr/>
        <w:t>el</w:t>
      </w:r>
      <w:r>
        <w:rPr>
          <w:spacing w:val="-20"/>
        </w:rPr>
        <w:t> </w:t>
      </w:r>
      <w:r>
        <w:rPr/>
        <w:t>procedimiento</w:t>
      </w:r>
      <w:r>
        <w:rPr>
          <w:spacing w:val="-21"/>
        </w:rPr>
        <w:t> </w:t>
      </w:r>
      <w:r>
        <w:rPr/>
        <w:t>de</w:t>
      </w:r>
      <w:r>
        <w:rPr>
          <w:spacing w:val="-19"/>
        </w:rPr>
        <w:t> </w:t>
      </w:r>
      <w:r>
        <w:rPr/>
        <w:t>supervisión</w:t>
      </w:r>
      <w:r>
        <w:rPr>
          <w:spacing w:val="-19"/>
        </w:rPr>
        <w:t> </w:t>
      </w:r>
      <w:r>
        <w:rPr/>
        <w:t>de</w:t>
      </w:r>
      <w:r>
        <w:rPr>
          <w:spacing w:val="-19"/>
        </w:rPr>
        <w:t> </w:t>
      </w:r>
      <w:r>
        <w:rPr/>
        <w:t>cumplimiento</w:t>
      </w:r>
      <w:r>
        <w:rPr>
          <w:spacing w:val="-21"/>
        </w:rPr>
        <w:t> </w:t>
      </w:r>
      <w:r>
        <w:rPr/>
        <w:t>de</w:t>
      </w:r>
      <w:r>
        <w:rPr>
          <w:spacing w:val="-19"/>
        </w:rPr>
        <w:t> </w:t>
      </w:r>
      <w:r>
        <w:rPr/>
        <w:t>la</w:t>
      </w:r>
      <w:r>
        <w:rPr>
          <w:spacing w:val="-20"/>
        </w:rPr>
        <w:t> </w:t>
      </w:r>
      <w:r>
        <w:rPr/>
        <w:t>presente</w:t>
      </w:r>
      <w:r>
        <w:rPr>
          <w:spacing w:val="-21"/>
        </w:rPr>
        <w:t> </w:t>
      </w:r>
      <w:r>
        <w:rPr/>
        <w:t>Sentencia,</w:t>
      </w:r>
      <w:r>
        <w:rPr>
          <w:spacing w:val="-18"/>
        </w:rPr>
        <w:t> </w:t>
      </w:r>
      <w:r>
        <w:rPr/>
        <w:t>el</w:t>
      </w:r>
      <w:r>
        <w:rPr>
          <w:spacing w:val="-20"/>
        </w:rPr>
        <w:t> </w:t>
      </w:r>
      <w:r>
        <w:rPr/>
        <w:t>Tribunal podrá</w:t>
      </w:r>
      <w:r>
        <w:rPr>
          <w:spacing w:val="-8"/>
        </w:rPr>
        <w:t> </w:t>
      </w:r>
      <w:r>
        <w:rPr/>
        <w:t>disponer</w:t>
      </w:r>
      <w:r>
        <w:rPr>
          <w:spacing w:val="-9"/>
        </w:rPr>
        <w:t> </w:t>
      </w:r>
      <w:r>
        <w:rPr/>
        <w:t>el</w:t>
      </w:r>
      <w:r>
        <w:rPr>
          <w:spacing w:val="-8"/>
        </w:rPr>
        <w:t> </w:t>
      </w:r>
      <w:r>
        <w:rPr/>
        <w:t>reembolso</w:t>
      </w:r>
      <w:r>
        <w:rPr>
          <w:spacing w:val="-10"/>
        </w:rPr>
        <w:t> </w:t>
      </w:r>
      <w:r>
        <w:rPr/>
        <w:t>por</w:t>
      </w:r>
      <w:r>
        <w:rPr>
          <w:spacing w:val="-9"/>
        </w:rPr>
        <w:t> </w:t>
      </w:r>
      <w:r>
        <w:rPr/>
        <w:t>parte</w:t>
      </w:r>
      <w:r>
        <w:rPr>
          <w:spacing w:val="-9"/>
        </w:rPr>
        <w:t> </w:t>
      </w:r>
      <w:r>
        <w:rPr/>
        <w:t>del</w:t>
      </w:r>
      <w:r>
        <w:rPr>
          <w:spacing w:val="-8"/>
        </w:rPr>
        <w:t> </w:t>
      </w:r>
      <w:r>
        <w:rPr/>
        <w:t>Estado</w:t>
      </w:r>
      <w:r>
        <w:rPr>
          <w:spacing w:val="-9"/>
        </w:rPr>
        <w:t> </w:t>
      </w:r>
      <w:r>
        <w:rPr/>
        <w:t>a</w:t>
      </w:r>
      <w:r>
        <w:rPr>
          <w:spacing w:val="-8"/>
        </w:rPr>
        <w:t> </w:t>
      </w:r>
      <w:r>
        <w:rPr/>
        <w:t>las</w:t>
      </w:r>
      <w:r>
        <w:rPr>
          <w:spacing w:val="-8"/>
        </w:rPr>
        <w:t> </w:t>
      </w:r>
      <w:r>
        <w:rPr/>
        <w:t>víctimas</w:t>
      </w:r>
      <w:r>
        <w:rPr>
          <w:spacing w:val="-6"/>
        </w:rPr>
        <w:t> </w:t>
      </w:r>
      <w:r>
        <w:rPr/>
        <w:t>o</w:t>
      </w:r>
      <w:r>
        <w:rPr>
          <w:spacing w:val="-9"/>
        </w:rPr>
        <w:t> </w:t>
      </w:r>
      <w:r>
        <w:rPr/>
        <w:t>sus</w:t>
      </w:r>
      <w:r>
        <w:rPr>
          <w:spacing w:val="-6"/>
        </w:rPr>
        <w:t> </w:t>
      </w:r>
      <w:r>
        <w:rPr/>
        <w:t>representantes</w:t>
      </w:r>
      <w:r>
        <w:rPr>
          <w:spacing w:val="-9"/>
        </w:rPr>
        <w:t> </w:t>
      </w:r>
      <w:r>
        <w:rPr/>
        <w:t>de los gastos razonables debidamente comprobados en dicha etapa</w:t>
      </w:r>
      <w:r>
        <w:rPr>
          <w:spacing w:val="-23"/>
        </w:rPr>
        <w:t> </w:t>
      </w:r>
      <w:r>
        <w:rPr/>
        <w:t>procesal</w:t>
      </w:r>
      <w:r>
        <w:rPr>
          <w:rFonts w:ascii="Calibri" w:hAnsi="Calibri"/>
          <w:position w:val="8"/>
          <w:sz w:val="14"/>
        </w:rPr>
        <w:t>338</w:t>
      </w:r>
      <w:r>
        <w:rPr/>
        <w:t>.</w:t>
      </w:r>
    </w:p>
    <w:p>
      <w:pPr>
        <w:pStyle w:val="BodyText"/>
        <w:spacing w:before="5"/>
        <w:rPr>
          <w:sz w:val="21"/>
        </w:rPr>
      </w:pPr>
    </w:p>
    <w:p>
      <w:pPr>
        <w:pStyle w:val="Heading4"/>
        <w:numPr>
          <w:ilvl w:val="0"/>
          <w:numId w:val="38"/>
        </w:numPr>
        <w:tabs>
          <w:tab w:pos="842" w:val="left" w:leader="none"/>
        </w:tabs>
        <w:spacing w:line="240" w:lineRule="auto" w:before="0" w:after="0"/>
        <w:ind w:left="842" w:right="0" w:hanging="360"/>
        <w:jc w:val="both"/>
        <w:rPr>
          <w:i/>
        </w:rPr>
      </w:pPr>
      <w:bookmarkStart w:name="_bookmark100" w:id="170"/>
      <w:bookmarkEnd w:id="170"/>
      <w:r>
        <w:rPr>
          <w:b w:val="0"/>
          <w:i w:val="0"/>
        </w:rPr>
      </w:r>
      <w:bookmarkStart w:name="_bookmark100" w:id="171"/>
      <w:bookmarkEnd w:id="171"/>
      <w:r>
        <w:rPr>
          <w:i/>
          <w:u w:val="thick"/>
        </w:rPr>
        <w:t>M</w:t>
      </w:r>
      <w:r>
        <w:rPr>
          <w:i/>
          <w:u w:val="thick"/>
        </w:rPr>
        <w:t>odalidad de</w:t>
      </w:r>
      <w:r>
        <w:rPr>
          <w:i/>
          <w:spacing w:val="-18"/>
          <w:u w:val="thick"/>
        </w:rPr>
        <w:t> </w:t>
      </w:r>
      <w:r>
        <w:rPr>
          <w:i/>
          <w:u w:val="thick"/>
        </w:rPr>
        <w:t>cumplimiento</w:t>
      </w:r>
    </w:p>
    <w:p>
      <w:pPr>
        <w:pStyle w:val="BodyText"/>
        <w:spacing w:before="8"/>
        <w:rPr>
          <w:b/>
          <w:i/>
          <w:sz w:val="11"/>
        </w:rPr>
      </w:pPr>
    </w:p>
    <w:p>
      <w:pPr>
        <w:pStyle w:val="ListParagraph"/>
        <w:numPr>
          <w:ilvl w:val="0"/>
          <w:numId w:val="37"/>
        </w:numPr>
        <w:tabs>
          <w:tab w:pos="830" w:val="left" w:leader="none"/>
        </w:tabs>
        <w:spacing w:line="240" w:lineRule="auto" w:before="99" w:after="0"/>
        <w:ind w:left="122" w:right="124" w:firstLine="0"/>
        <w:jc w:val="both"/>
        <w:rPr>
          <w:sz w:val="20"/>
        </w:rPr>
      </w:pPr>
      <w:r>
        <w:rPr>
          <w:sz w:val="20"/>
        </w:rPr>
        <w:t>El Estado debe cumplir sus obligaciones monetarias mediante el pago en</w:t>
      </w:r>
      <w:r>
        <w:rPr>
          <w:spacing w:val="-38"/>
          <w:sz w:val="20"/>
        </w:rPr>
        <w:t> </w:t>
      </w:r>
      <w:r>
        <w:rPr>
          <w:sz w:val="20"/>
        </w:rPr>
        <w:t>dólares de</w:t>
      </w:r>
      <w:r>
        <w:rPr>
          <w:spacing w:val="-18"/>
          <w:sz w:val="20"/>
        </w:rPr>
        <w:t> </w:t>
      </w:r>
      <w:r>
        <w:rPr>
          <w:sz w:val="20"/>
        </w:rPr>
        <w:t>los</w:t>
      </w:r>
      <w:r>
        <w:rPr>
          <w:spacing w:val="-15"/>
          <w:sz w:val="20"/>
        </w:rPr>
        <w:t> </w:t>
      </w:r>
      <w:r>
        <w:rPr>
          <w:sz w:val="20"/>
        </w:rPr>
        <w:t>Estados</w:t>
      </w:r>
      <w:r>
        <w:rPr>
          <w:spacing w:val="-17"/>
          <w:sz w:val="20"/>
        </w:rPr>
        <w:t> </w:t>
      </w:r>
      <w:r>
        <w:rPr>
          <w:sz w:val="20"/>
        </w:rPr>
        <w:t>Unidos</w:t>
      </w:r>
      <w:r>
        <w:rPr>
          <w:spacing w:val="-17"/>
          <w:sz w:val="20"/>
        </w:rPr>
        <w:t> </w:t>
      </w:r>
      <w:r>
        <w:rPr>
          <w:sz w:val="20"/>
        </w:rPr>
        <w:t>de</w:t>
      </w:r>
      <w:r>
        <w:rPr>
          <w:spacing w:val="-16"/>
          <w:sz w:val="20"/>
        </w:rPr>
        <w:t> </w:t>
      </w:r>
      <w:r>
        <w:rPr>
          <w:sz w:val="20"/>
        </w:rPr>
        <w:t>América</w:t>
      </w:r>
      <w:r>
        <w:rPr>
          <w:spacing w:val="-12"/>
          <w:sz w:val="20"/>
        </w:rPr>
        <w:t> </w:t>
      </w:r>
      <w:r>
        <w:rPr>
          <w:sz w:val="20"/>
        </w:rPr>
        <w:t>o,</w:t>
      </w:r>
      <w:r>
        <w:rPr>
          <w:spacing w:val="-17"/>
          <w:sz w:val="20"/>
        </w:rPr>
        <w:t> </w:t>
      </w:r>
      <w:r>
        <w:rPr>
          <w:sz w:val="20"/>
        </w:rPr>
        <w:t>de</w:t>
      </w:r>
      <w:r>
        <w:rPr>
          <w:spacing w:val="-18"/>
          <w:sz w:val="20"/>
        </w:rPr>
        <w:t> </w:t>
      </w:r>
      <w:r>
        <w:rPr>
          <w:sz w:val="20"/>
        </w:rPr>
        <w:t>no</w:t>
      </w:r>
      <w:r>
        <w:rPr>
          <w:spacing w:val="-15"/>
          <w:sz w:val="20"/>
        </w:rPr>
        <w:t> </w:t>
      </w:r>
      <w:r>
        <w:rPr>
          <w:sz w:val="20"/>
        </w:rPr>
        <w:t>ser</w:t>
      </w:r>
      <w:r>
        <w:rPr>
          <w:spacing w:val="-15"/>
          <w:sz w:val="20"/>
        </w:rPr>
        <w:t> </w:t>
      </w:r>
      <w:r>
        <w:rPr>
          <w:sz w:val="20"/>
        </w:rPr>
        <w:t>esto</w:t>
      </w:r>
      <w:r>
        <w:rPr>
          <w:spacing w:val="-17"/>
          <w:sz w:val="20"/>
        </w:rPr>
        <w:t> </w:t>
      </w:r>
      <w:r>
        <w:rPr>
          <w:sz w:val="20"/>
        </w:rPr>
        <w:t>posible,</w:t>
      </w:r>
      <w:r>
        <w:rPr>
          <w:spacing w:val="-15"/>
          <w:sz w:val="20"/>
        </w:rPr>
        <w:t> </w:t>
      </w:r>
      <w:r>
        <w:rPr>
          <w:sz w:val="20"/>
        </w:rPr>
        <w:t>en</w:t>
      </w:r>
      <w:r>
        <w:rPr>
          <w:spacing w:val="-14"/>
          <w:sz w:val="20"/>
        </w:rPr>
        <w:t> </w:t>
      </w:r>
      <w:r>
        <w:rPr>
          <w:sz w:val="20"/>
        </w:rPr>
        <w:t>su</w:t>
      </w:r>
      <w:r>
        <w:rPr>
          <w:spacing w:val="-15"/>
          <w:sz w:val="20"/>
        </w:rPr>
        <w:t> </w:t>
      </w:r>
      <w:r>
        <w:rPr>
          <w:sz w:val="20"/>
        </w:rPr>
        <w:t>equivalente</w:t>
      </w:r>
      <w:r>
        <w:rPr>
          <w:spacing w:val="-18"/>
          <w:sz w:val="20"/>
        </w:rPr>
        <w:t> </w:t>
      </w:r>
      <w:r>
        <w:rPr>
          <w:sz w:val="20"/>
        </w:rPr>
        <w:t>en</w:t>
      </w:r>
      <w:r>
        <w:rPr>
          <w:spacing w:val="-14"/>
          <w:sz w:val="20"/>
        </w:rPr>
        <w:t> </w:t>
      </w:r>
      <w:r>
        <w:rPr>
          <w:sz w:val="20"/>
        </w:rPr>
        <w:t>moneda argentina, utilizando para el cálculo respectivo la tasa más alta y más beneficiosa para las</w:t>
      </w:r>
      <w:r>
        <w:rPr>
          <w:spacing w:val="-14"/>
          <w:sz w:val="20"/>
        </w:rPr>
        <w:t> </w:t>
      </w:r>
      <w:r>
        <w:rPr>
          <w:sz w:val="20"/>
        </w:rPr>
        <w:t>personas</w:t>
      </w:r>
      <w:r>
        <w:rPr>
          <w:spacing w:val="-14"/>
          <w:sz w:val="20"/>
        </w:rPr>
        <w:t> </w:t>
      </w:r>
      <w:r>
        <w:rPr>
          <w:sz w:val="20"/>
        </w:rPr>
        <w:t>beneficiarias</w:t>
      </w:r>
      <w:r>
        <w:rPr>
          <w:spacing w:val="-14"/>
          <w:sz w:val="20"/>
        </w:rPr>
        <w:t> </w:t>
      </w:r>
      <w:r>
        <w:rPr>
          <w:sz w:val="20"/>
        </w:rPr>
        <w:t>que</w:t>
      </w:r>
      <w:r>
        <w:rPr>
          <w:spacing w:val="-15"/>
          <w:sz w:val="20"/>
        </w:rPr>
        <w:t> </w:t>
      </w:r>
      <w:r>
        <w:rPr>
          <w:sz w:val="20"/>
        </w:rPr>
        <w:t>permita</w:t>
      </w:r>
      <w:r>
        <w:rPr>
          <w:spacing w:val="-13"/>
          <w:sz w:val="20"/>
        </w:rPr>
        <w:t> </w:t>
      </w:r>
      <w:r>
        <w:rPr>
          <w:sz w:val="20"/>
        </w:rPr>
        <w:t>su</w:t>
      </w:r>
      <w:r>
        <w:rPr>
          <w:spacing w:val="-11"/>
          <w:sz w:val="20"/>
        </w:rPr>
        <w:t> </w:t>
      </w:r>
      <w:r>
        <w:rPr>
          <w:sz w:val="20"/>
        </w:rPr>
        <w:t>ordenamiento</w:t>
      </w:r>
      <w:r>
        <w:rPr>
          <w:spacing w:val="-15"/>
          <w:sz w:val="20"/>
        </w:rPr>
        <w:t> </w:t>
      </w:r>
      <w:r>
        <w:rPr>
          <w:sz w:val="20"/>
        </w:rPr>
        <w:t>interno,</w:t>
      </w:r>
      <w:r>
        <w:rPr>
          <w:spacing w:val="-14"/>
          <w:sz w:val="20"/>
        </w:rPr>
        <w:t> </w:t>
      </w:r>
      <w:r>
        <w:rPr>
          <w:sz w:val="20"/>
        </w:rPr>
        <w:t>vigente</w:t>
      </w:r>
      <w:r>
        <w:rPr>
          <w:spacing w:val="-15"/>
          <w:sz w:val="20"/>
        </w:rPr>
        <w:t> </w:t>
      </w:r>
      <w:r>
        <w:rPr>
          <w:sz w:val="20"/>
        </w:rPr>
        <w:t>al</w:t>
      </w:r>
      <w:r>
        <w:rPr>
          <w:spacing w:val="-13"/>
          <w:sz w:val="20"/>
        </w:rPr>
        <w:t> </w:t>
      </w:r>
      <w:r>
        <w:rPr>
          <w:sz w:val="20"/>
        </w:rPr>
        <w:t>momento</w:t>
      </w:r>
      <w:r>
        <w:rPr>
          <w:spacing w:val="-15"/>
          <w:sz w:val="20"/>
        </w:rPr>
        <w:t> </w:t>
      </w:r>
      <w:r>
        <w:rPr>
          <w:sz w:val="20"/>
        </w:rPr>
        <w:t>del pago. Durante la etapa de supervisión de cumplimento de la sentencia, la Corte podrá reajustar prudentemente el equivalente de estas cifras en moneda argentina, con el objeto de evitar que las variaciones cambiarias afecten sustancialmente el valor adquisitivo de esos</w:t>
      </w:r>
      <w:r>
        <w:rPr>
          <w:spacing w:val="-10"/>
          <w:sz w:val="20"/>
        </w:rPr>
        <w:t> </w:t>
      </w:r>
      <w:r>
        <w:rPr>
          <w:sz w:val="20"/>
        </w:rPr>
        <w:t>montos.</w:t>
      </w:r>
    </w:p>
    <w:p>
      <w:pPr>
        <w:pStyle w:val="BodyText"/>
      </w:pPr>
    </w:p>
    <w:p>
      <w:pPr>
        <w:pStyle w:val="ListParagraph"/>
        <w:numPr>
          <w:ilvl w:val="0"/>
          <w:numId w:val="37"/>
        </w:numPr>
        <w:tabs>
          <w:tab w:pos="830" w:val="left" w:leader="none"/>
        </w:tabs>
        <w:spacing w:line="240" w:lineRule="auto" w:before="0" w:after="0"/>
        <w:ind w:left="122" w:right="126" w:firstLine="0"/>
        <w:jc w:val="both"/>
        <w:rPr>
          <w:sz w:val="20"/>
        </w:rPr>
      </w:pPr>
      <w:r>
        <w:rPr>
          <w:sz w:val="20"/>
        </w:rPr>
        <w:t>Si</w:t>
      </w:r>
      <w:r>
        <w:rPr>
          <w:spacing w:val="-17"/>
          <w:sz w:val="20"/>
        </w:rPr>
        <w:t> </w:t>
      </w:r>
      <w:r>
        <w:rPr>
          <w:sz w:val="20"/>
        </w:rPr>
        <w:t>por</w:t>
      </w:r>
      <w:r>
        <w:rPr>
          <w:spacing w:val="-16"/>
          <w:sz w:val="20"/>
        </w:rPr>
        <w:t> </w:t>
      </w:r>
      <w:r>
        <w:rPr>
          <w:sz w:val="20"/>
        </w:rPr>
        <w:t>causas</w:t>
      </w:r>
      <w:r>
        <w:rPr>
          <w:spacing w:val="-18"/>
          <w:sz w:val="20"/>
        </w:rPr>
        <w:t> </w:t>
      </w:r>
      <w:r>
        <w:rPr>
          <w:sz w:val="20"/>
        </w:rPr>
        <w:t>atribuibles</w:t>
      </w:r>
      <w:r>
        <w:rPr>
          <w:spacing w:val="-16"/>
          <w:sz w:val="20"/>
        </w:rPr>
        <w:t> </w:t>
      </w:r>
      <w:r>
        <w:rPr>
          <w:sz w:val="20"/>
        </w:rPr>
        <w:t>a</w:t>
      </w:r>
      <w:r>
        <w:rPr>
          <w:spacing w:val="-17"/>
          <w:sz w:val="20"/>
        </w:rPr>
        <w:t> </w:t>
      </w:r>
      <w:r>
        <w:rPr>
          <w:sz w:val="20"/>
        </w:rPr>
        <w:t>los</w:t>
      </w:r>
      <w:r>
        <w:rPr>
          <w:spacing w:val="-18"/>
          <w:sz w:val="20"/>
        </w:rPr>
        <w:t> </w:t>
      </w:r>
      <w:r>
        <w:rPr>
          <w:sz w:val="20"/>
        </w:rPr>
        <w:t>beneficiarios</w:t>
      </w:r>
      <w:r>
        <w:rPr>
          <w:spacing w:val="-18"/>
          <w:sz w:val="20"/>
        </w:rPr>
        <w:t> </w:t>
      </w:r>
      <w:r>
        <w:rPr>
          <w:sz w:val="20"/>
        </w:rPr>
        <w:t>no</w:t>
      </w:r>
      <w:r>
        <w:rPr>
          <w:spacing w:val="-19"/>
          <w:sz w:val="20"/>
        </w:rPr>
        <w:t> </w:t>
      </w:r>
      <w:r>
        <w:rPr>
          <w:sz w:val="20"/>
        </w:rPr>
        <w:t>fuese</w:t>
      </w:r>
      <w:r>
        <w:rPr>
          <w:spacing w:val="-19"/>
          <w:sz w:val="20"/>
        </w:rPr>
        <w:t> </w:t>
      </w:r>
      <w:r>
        <w:rPr>
          <w:sz w:val="20"/>
        </w:rPr>
        <w:t>posible</w:t>
      </w:r>
      <w:r>
        <w:rPr>
          <w:spacing w:val="-17"/>
          <w:sz w:val="20"/>
        </w:rPr>
        <w:t> </w:t>
      </w:r>
      <w:r>
        <w:rPr>
          <w:sz w:val="20"/>
        </w:rPr>
        <w:t>el</w:t>
      </w:r>
      <w:r>
        <w:rPr>
          <w:spacing w:val="-15"/>
          <w:sz w:val="20"/>
        </w:rPr>
        <w:t> </w:t>
      </w:r>
      <w:r>
        <w:rPr>
          <w:sz w:val="20"/>
        </w:rPr>
        <w:t>pago</w:t>
      </w:r>
      <w:r>
        <w:rPr>
          <w:spacing w:val="-19"/>
          <w:sz w:val="20"/>
        </w:rPr>
        <w:t> </w:t>
      </w:r>
      <w:r>
        <w:rPr>
          <w:sz w:val="20"/>
        </w:rPr>
        <w:t>de</w:t>
      </w:r>
      <w:r>
        <w:rPr>
          <w:spacing w:val="-19"/>
          <w:sz w:val="20"/>
        </w:rPr>
        <w:t> </w:t>
      </w:r>
      <w:r>
        <w:rPr>
          <w:sz w:val="20"/>
        </w:rPr>
        <w:t>la</w:t>
      </w:r>
      <w:r>
        <w:rPr>
          <w:spacing w:val="-15"/>
          <w:sz w:val="20"/>
        </w:rPr>
        <w:t> </w:t>
      </w:r>
      <w:r>
        <w:rPr>
          <w:sz w:val="20"/>
        </w:rPr>
        <w:t>cantidad determinada dentro del plazo indicado, el Estado consignará dicho monto a su favor en una</w:t>
      </w:r>
      <w:r>
        <w:rPr>
          <w:spacing w:val="-8"/>
          <w:sz w:val="20"/>
        </w:rPr>
        <w:t> </w:t>
      </w:r>
      <w:r>
        <w:rPr>
          <w:sz w:val="20"/>
        </w:rPr>
        <w:t>cuenta</w:t>
      </w:r>
      <w:r>
        <w:rPr>
          <w:spacing w:val="-8"/>
          <w:sz w:val="20"/>
        </w:rPr>
        <w:t> </w:t>
      </w:r>
      <w:r>
        <w:rPr>
          <w:sz w:val="20"/>
        </w:rPr>
        <w:t>o</w:t>
      </w:r>
      <w:r>
        <w:rPr>
          <w:spacing w:val="-9"/>
          <w:sz w:val="20"/>
        </w:rPr>
        <w:t> </w:t>
      </w:r>
      <w:r>
        <w:rPr>
          <w:sz w:val="20"/>
        </w:rPr>
        <w:t>certificado</w:t>
      </w:r>
      <w:r>
        <w:rPr>
          <w:spacing w:val="-7"/>
          <w:sz w:val="20"/>
        </w:rPr>
        <w:t> </w:t>
      </w:r>
      <w:r>
        <w:rPr>
          <w:sz w:val="20"/>
        </w:rPr>
        <w:t>de</w:t>
      </w:r>
      <w:r>
        <w:rPr>
          <w:spacing w:val="-9"/>
          <w:sz w:val="20"/>
        </w:rPr>
        <w:t> </w:t>
      </w:r>
      <w:r>
        <w:rPr>
          <w:sz w:val="20"/>
        </w:rPr>
        <w:t>depósito</w:t>
      </w:r>
      <w:r>
        <w:rPr>
          <w:spacing w:val="-9"/>
          <w:sz w:val="20"/>
        </w:rPr>
        <w:t> </w:t>
      </w:r>
      <w:r>
        <w:rPr>
          <w:sz w:val="20"/>
        </w:rPr>
        <w:t>en</w:t>
      </w:r>
      <w:r>
        <w:rPr>
          <w:spacing w:val="-7"/>
          <w:sz w:val="20"/>
        </w:rPr>
        <w:t> </w:t>
      </w:r>
      <w:r>
        <w:rPr>
          <w:sz w:val="20"/>
        </w:rPr>
        <w:t>una</w:t>
      </w:r>
      <w:r>
        <w:rPr>
          <w:spacing w:val="-8"/>
          <w:sz w:val="20"/>
        </w:rPr>
        <w:t> </w:t>
      </w:r>
      <w:r>
        <w:rPr>
          <w:sz w:val="20"/>
        </w:rPr>
        <w:t>institución</w:t>
      </w:r>
      <w:r>
        <w:rPr>
          <w:spacing w:val="-8"/>
          <w:sz w:val="20"/>
        </w:rPr>
        <w:t> </w:t>
      </w:r>
      <w:r>
        <w:rPr>
          <w:sz w:val="20"/>
        </w:rPr>
        <w:t>financiera</w:t>
      </w:r>
      <w:r>
        <w:rPr>
          <w:spacing w:val="-6"/>
          <w:sz w:val="20"/>
        </w:rPr>
        <w:t> </w:t>
      </w:r>
      <w:r>
        <w:rPr>
          <w:sz w:val="20"/>
        </w:rPr>
        <w:t>argentina</w:t>
      </w:r>
      <w:r>
        <w:rPr>
          <w:spacing w:val="-8"/>
          <w:sz w:val="20"/>
        </w:rPr>
        <w:t> </w:t>
      </w:r>
      <w:r>
        <w:rPr>
          <w:sz w:val="20"/>
        </w:rPr>
        <w:t>solvente,</w:t>
      </w:r>
      <w:r>
        <w:rPr>
          <w:spacing w:val="-6"/>
          <w:sz w:val="20"/>
        </w:rPr>
        <w:t> </w:t>
      </w:r>
      <w:r>
        <w:rPr>
          <w:sz w:val="20"/>
        </w:rPr>
        <w:t>en dólares de los Estados Unidos de América, y en las condiciones financieras más favorables que permitan la legislación y la práctica bancaria. Si no se reclama el monto correspondiente una vez transcurridos diez años, las cantidades serán devueltas al Estado con los intereses</w:t>
      </w:r>
      <w:r>
        <w:rPr>
          <w:spacing w:val="-14"/>
          <w:sz w:val="20"/>
        </w:rPr>
        <w:t> </w:t>
      </w:r>
      <w:r>
        <w:rPr>
          <w:sz w:val="20"/>
        </w:rPr>
        <w:t>devengados.</w:t>
      </w:r>
    </w:p>
    <w:p>
      <w:pPr>
        <w:pStyle w:val="BodyText"/>
      </w:pPr>
    </w:p>
    <w:p>
      <w:pPr>
        <w:pStyle w:val="ListParagraph"/>
        <w:numPr>
          <w:ilvl w:val="0"/>
          <w:numId w:val="37"/>
        </w:numPr>
        <w:tabs>
          <w:tab w:pos="830" w:val="left" w:leader="none"/>
        </w:tabs>
        <w:spacing w:line="240" w:lineRule="auto" w:before="0" w:after="0"/>
        <w:ind w:left="122" w:right="130" w:firstLine="0"/>
        <w:jc w:val="both"/>
        <w:rPr>
          <w:sz w:val="20"/>
        </w:rPr>
      </w:pPr>
      <w:r>
        <w:rPr>
          <w:sz w:val="20"/>
        </w:rPr>
        <w:t>Las cantidades asignadas en la presente Sentencia como medidas de reparación del</w:t>
      </w:r>
      <w:r>
        <w:rPr>
          <w:spacing w:val="-6"/>
          <w:sz w:val="20"/>
        </w:rPr>
        <w:t> </w:t>
      </w:r>
      <w:r>
        <w:rPr>
          <w:sz w:val="20"/>
        </w:rPr>
        <w:t>daño</w:t>
      </w:r>
      <w:r>
        <w:rPr>
          <w:spacing w:val="-5"/>
          <w:sz w:val="20"/>
        </w:rPr>
        <w:t> </w:t>
      </w:r>
      <w:r>
        <w:rPr>
          <w:sz w:val="20"/>
        </w:rPr>
        <w:t>y</w:t>
      </w:r>
      <w:r>
        <w:rPr>
          <w:spacing w:val="-7"/>
          <w:sz w:val="20"/>
        </w:rPr>
        <w:t> </w:t>
      </w:r>
      <w:r>
        <w:rPr>
          <w:sz w:val="20"/>
        </w:rPr>
        <w:t>como</w:t>
      </w:r>
      <w:r>
        <w:rPr>
          <w:spacing w:val="-5"/>
          <w:sz w:val="20"/>
        </w:rPr>
        <w:t> </w:t>
      </w:r>
      <w:r>
        <w:rPr>
          <w:sz w:val="20"/>
        </w:rPr>
        <w:t>reintegro</w:t>
      </w:r>
      <w:r>
        <w:rPr>
          <w:spacing w:val="-8"/>
          <w:sz w:val="20"/>
        </w:rPr>
        <w:t> </w:t>
      </w:r>
      <w:r>
        <w:rPr>
          <w:sz w:val="20"/>
        </w:rPr>
        <w:t>de</w:t>
      </w:r>
      <w:r>
        <w:rPr>
          <w:spacing w:val="-5"/>
          <w:sz w:val="20"/>
        </w:rPr>
        <w:t> </w:t>
      </w:r>
      <w:r>
        <w:rPr>
          <w:sz w:val="20"/>
        </w:rPr>
        <w:t>costas</w:t>
      </w:r>
      <w:r>
        <w:rPr>
          <w:spacing w:val="-7"/>
          <w:sz w:val="20"/>
        </w:rPr>
        <w:t> </w:t>
      </w:r>
      <w:r>
        <w:rPr>
          <w:sz w:val="20"/>
        </w:rPr>
        <w:t>y</w:t>
      </w:r>
      <w:r>
        <w:rPr>
          <w:spacing w:val="-5"/>
          <w:sz w:val="20"/>
        </w:rPr>
        <w:t> </w:t>
      </w:r>
      <w:r>
        <w:rPr>
          <w:sz w:val="20"/>
        </w:rPr>
        <w:t>gastos</w:t>
      </w:r>
      <w:r>
        <w:rPr>
          <w:spacing w:val="-7"/>
          <w:sz w:val="20"/>
        </w:rPr>
        <w:t> </w:t>
      </w:r>
      <w:r>
        <w:rPr>
          <w:sz w:val="20"/>
        </w:rPr>
        <w:t>deberán</w:t>
      </w:r>
      <w:r>
        <w:rPr>
          <w:spacing w:val="-2"/>
          <w:sz w:val="20"/>
        </w:rPr>
        <w:t> </w:t>
      </w:r>
      <w:r>
        <w:rPr>
          <w:sz w:val="20"/>
        </w:rPr>
        <w:t>ser</w:t>
      </w:r>
      <w:r>
        <w:rPr>
          <w:spacing w:val="-5"/>
          <w:sz w:val="20"/>
        </w:rPr>
        <w:t> </w:t>
      </w:r>
      <w:r>
        <w:rPr>
          <w:sz w:val="20"/>
        </w:rPr>
        <w:t>entregadas</w:t>
      </w:r>
      <w:r>
        <w:rPr>
          <w:spacing w:val="-7"/>
          <w:sz w:val="20"/>
        </w:rPr>
        <w:t> </w:t>
      </w:r>
      <w:r>
        <w:rPr>
          <w:sz w:val="20"/>
        </w:rPr>
        <w:t>de</w:t>
      </w:r>
      <w:r>
        <w:rPr>
          <w:spacing w:val="-6"/>
          <w:sz w:val="20"/>
        </w:rPr>
        <w:t> </w:t>
      </w:r>
      <w:r>
        <w:rPr>
          <w:sz w:val="20"/>
        </w:rPr>
        <w:t>forma</w:t>
      </w:r>
      <w:r>
        <w:rPr>
          <w:spacing w:val="-6"/>
          <w:sz w:val="20"/>
        </w:rPr>
        <w:t> </w:t>
      </w:r>
      <w:r>
        <w:rPr>
          <w:sz w:val="20"/>
        </w:rPr>
        <w:t>íntegra, sin reducciones derivadas de eventuales cargas</w:t>
      </w:r>
      <w:r>
        <w:rPr>
          <w:spacing w:val="-19"/>
          <w:sz w:val="20"/>
        </w:rPr>
        <w:t> </w:t>
      </w:r>
      <w:r>
        <w:rPr>
          <w:sz w:val="20"/>
        </w:rPr>
        <w:t>fiscales.</w:t>
      </w:r>
    </w:p>
    <w:p>
      <w:pPr>
        <w:pStyle w:val="BodyText"/>
      </w:pPr>
    </w:p>
    <w:p>
      <w:pPr>
        <w:pStyle w:val="BodyText"/>
      </w:pPr>
    </w:p>
    <w:p>
      <w:pPr>
        <w:pStyle w:val="BodyText"/>
        <w:spacing w:before="1"/>
        <w:rPr>
          <w:sz w:val="19"/>
        </w:rPr>
      </w:pPr>
      <w:r>
        <w:rPr/>
        <w:pict>
          <v:line style="position:absolute;mso-position-horizontal-relative:page;mso-position-vertical-relative:paragraph;z-index:3712;mso-wrap-distance-left:0;mso-wrap-distance-right:0" from="85.103996pt,13.919881pt" to="229.123996pt,13.919881pt" stroked="true" strokeweight=".71997pt" strokecolor="#000000">
            <v:stroke dashstyle="solid"/>
            <w10:wrap type="topAndBottom"/>
          </v:line>
        </w:pict>
      </w:r>
    </w:p>
    <w:p>
      <w:pPr>
        <w:tabs>
          <w:tab w:pos="829" w:val="left" w:leader="none"/>
        </w:tabs>
        <w:spacing w:before="71"/>
        <w:ind w:left="122" w:right="116" w:firstLine="0"/>
        <w:jc w:val="left"/>
        <w:rPr>
          <w:sz w:val="16"/>
        </w:rPr>
      </w:pPr>
      <w:r>
        <w:rPr>
          <w:position w:val="6"/>
          <w:sz w:val="10"/>
        </w:rPr>
        <w:t>336</w:t>
        <w:tab/>
      </w:r>
      <w:r>
        <w:rPr>
          <w:i/>
          <w:sz w:val="16"/>
        </w:rPr>
        <w:t>Caso Garrido y Baigorria Vs. Argentina. Reparaciones y Costas</w:t>
      </w:r>
      <w:r>
        <w:rPr>
          <w:sz w:val="16"/>
        </w:rPr>
        <w:t>. Sentencia de 27 de agosto</w:t>
      </w:r>
      <w:r>
        <w:rPr>
          <w:spacing w:val="26"/>
          <w:sz w:val="16"/>
        </w:rPr>
        <w:t> </w:t>
      </w:r>
      <w:r>
        <w:rPr>
          <w:sz w:val="16"/>
        </w:rPr>
        <w:t>de</w:t>
      </w:r>
      <w:r>
        <w:rPr>
          <w:spacing w:val="1"/>
          <w:sz w:val="16"/>
        </w:rPr>
        <w:t> </w:t>
      </w:r>
      <w:r>
        <w:rPr>
          <w:sz w:val="16"/>
        </w:rPr>
        <w:t>1998.</w:t>
      </w:r>
      <w:r>
        <w:rPr>
          <w:w w:val="100"/>
          <w:sz w:val="16"/>
        </w:rPr>
        <w:t> </w:t>
      </w:r>
      <w:r>
        <w:rPr>
          <w:sz w:val="16"/>
        </w:rPr>
        <w:t>Serie C No. 39, párrs. 79 y 82, y </w:t>
      </w:r>
      <w:r>
        <w:rPr>
          <w:i/>
          <w:sz w:val="16"/>
        </w:rPr>
        <w:t>Caso Muelle Flores Vs. Perú</w:t>
      </w:r>
      <w:r>
        <w:rPr>
          <w:sz w:val="16"/>
        </w:rPr>
        <w:t>, párr.</w:t>
      </w:r>
      <w:r>
        <w:rPr>
          <w:spacing w:val="-25"/>
          <w:sz w:val="16"/>
        </w:rPr>
        <w:t> </w:t>
      </w:r>
      <w:r>
        <w:rPr>
          <w:sz w:val="16"/>
        </w:rPr>
        <w:t>271.</w:t>
      </w:r>
    </w:p>
    <w:p>
      <w:pPr>
        <w:pStyle w:val="BodyText"/>
        <w:spacing w:before="11"/>
        <w:rPr>
          <w:sz w:val="15"/>
        </w:rPr>
      </w:pPr>
    </w:p>
    <w:p>
      <w:pPr>
        <w:tabs>
          <w:tab w:pos="829" w:val="left" w:leader="none"/>
        </w:tabs>
        <w:spacing w:before="0"/>
        <w:ind w:left="122" w:right="120" w:firstLine="0"/>
        <w:jc w:val="left"/>
        <w:rPr>
          <w:sz w:val="16"/>
        </w:rPr>
      </w:pPr>
      <w:r>
        <w:rPr>
          <w:position w:val="6"/>
          <w:sz w:val="10"/>
        </w:rPr>
        <w:t>337</w:t>
        <w:tab/>
      </w:r>
      <w:r>
        <w:rPr>
          <w:sz w:val="16"/>
        </w:rPr>
        <w:t>La</w:t>
      </w:r>
      <w:r>
        <w:rPr>
          <w:spacing w:val="-4"/>
          <w:sz w:val="16"/>
        </w:rPr>
        <w:t> </w:t>
      </w:r>
      <w:r>
        <w:rPr>
          <w:sz w:val="16"/>
        </w:rPr>
        <w:t>Corte</w:t>
      </w:r>
      <w:r>
        <w:rPr>
          <w:spacing w:val="-6"/>
          <w:sz w:val="16"/>
        </w:rPr>
        <w:t> </w:t>
      </w:r>
      <w:r>
        <w:rPr>
          <w:sz w:val="16"/>
        </w:rPr>
        <w:t>advierte</w:t>
      </w:r>
      <w:r>
        <w:rPr>
          <w:spacing w:val="-6"/>
          <w:sz w:val="16"/>
        </w:rPr>
        <w:t> </w:t>
      </w:r>
      <w:r>
        <w:rPr>
          <w:sz w:val="16"/>
        </w:rPr>
        <w:t>que</w:t>
      </w:r>
      <w:r>
        <w:rPr>
          <w:spacing w:val="-6"/>
          <w:sz w:val="16"/>
        </w:rPr>
        <w:t> </w:t>
      </w:r>
      <w:r>
        <w:rPr>
          <w:sz w:val="16"/>
        </w:rPr>
        <w:t>no</w:t>
      </w:r>
      <w:r>
        <w:rPr>
          <w:spacing w:val="-5"/>
          <w:sz w:val="16"/>
        </w:rPr>
        <w:t> </w:t>
      </w:r>
      <w:r>
        <w:rPr>
          <w:sz w:val="16"/>
        </w:rPr>
        <w:t>se</w:t>
      </w:r>
      <w:r>
        <w:rPr>
          <w:spacing w:val="-6"/>
          <w:sz w:val="16"/>
        </w:rPr>
        <w:t> </w:t>
      </w:r>
      <w:r>
        <w:rPr>
          <w:sz w:val="16"/>
        </w:rPr>
        <w:t>ha</w:t>
      </w:r>
      <w:r>
        <w:rPr>
          <w:spacing w:val="-4"/>
          <w:sz w:val="16"/>
        </w:rPr>
        <w:t> </w:t>
      </w:r>
      <w:r>
        <w:rPr>
          <w:sz w:val="16"/>
        </w:rPr>
        <w:t>señalado</w:t>
      </w:r>
      <w:r>
        <w:rPr>
          <w:spacing w:val="-5"/>
          <w:sz w:val="16"/>
        </w:rPr>
        <w:t> </w:t>
      </w:r>
      <w:r>
        <w:rPr>
          <w:sz w:val="16"/>
        </w:rPr>
        <w:t>que</w:t>
      </w:r>
      <w:r>
        <w:rPr>
          <w:spacing w:val="-6"/>
          <w:sz w:val="16"/>
        </w:rPr>
        <w:t> </w:t>
      </w:r>
      <w:r>
        <w:rPr>
          <w:sz w:val="16"/>
        </w:rPr>
        <w:t>la</w:t>
      </w:r>
      <w:r>
        <w:rPr>
          <w:spacing w:val="-7"/>
          <w:sz w:val="16"/>
        </w:rPr>
        <w:t> </w:t>
      </w:r>
      <w:r>
        <w:rPr>
          <w:sz w:val="16"/>
        </w:rPr>
        <w:t>Lhaka</w:t>
      </w:r>
      <w:r>
        <w:rPr>
          <w:spacing w:val="-7"/>
          <w:sz w:val="16"/>
        </w:rPr>
        <w:t> </w:t>
      </w:r>
      <w:r>
        <w:rPr>
          <w:sz w:val="16"/>
        </w:rPr>
        <w:t>Honhat</w:t>
      </w:r>
      <w:r>
        <w:rPr>
          <w:spacing w:val="-5"/>
          <w:sz w:val="16"/>
        </w:rPr>
        <w:t> </w:t>
      </w:r>
      <w:r>
        <w:rPr>
          <w:sz w:val="16"/>
        </w:rPr>
        <w:t>realizara</w:t>
      </w:r>
      <w:r>
        <w:rPr>
          <w:spacing w:val="-7"/>
          <w:sz w:val="16"/>
        </w:rPr>
        <w:t> </w:t>
      </w:r>
      <w:r>
        <w:rPr>
          <w:sz w:val="16"/>
        </w:rPr>
        <w:t>gastos</w:t>
      </w:r>
      <w:r>
        <w:rPr>
          <w:spacing w:val="-6"/>
          <w:sz w:val="16"/>
        </w:rPr>
        <w:t> </w:t>
      </w:r>
      <w:r>
        <w:rPr>
          <w:sz w:val="16"/>
        </w:rPr>
        <w:t>procesales,</w:t>
      </w:r>
      <w:r>
        <w:rPr>
          <w:spacing w:val="-6"/>
          <w:sz w:val="16"/>
        </w:rPr>
        <w:t> </w:t>
      </w:r>
      <w:r>
        <w:rPr>
          <w:sz w:val="16"/>
        </w:rPr>
        <w:t>sino</w:t>
      </w:r>
      <w:r>
        <w:rPr>
          <w:spacing w:val="-8"/>
          <w:sz w:val="16"/>
        </w:rPr>
        <w:t> </w:t>
      </w:r>
      <w:r>
        <w:rPr>
          <w:sz w:val="16"/>
        </w:rPr>
        <w:t>que</w:t>
      </w:r>
      <w:r>
        <w:rPr>
          <w:spacing w:val="-6"/>
          <w:sz w:val="16"/>
        </w:rPr>
        <w:t> </w:t>
      </w:r>
      <w:r>
        <w:rPr>
          <w:sz w:val="16"/>
        </w:rPr>
        <w:t>el</w:t>
      </w:r>
      <w:r>
        <w:rPr>
          <w:w w:val="100"/>
          <w:sz w:val="16"/>
        </w:rPr>
        <w:t> </w:t>
      </w:r>
      <w:r>
        <w:rPr>
          <w:sz w:val="16"/>
        </w:rPr>
        <w:t>reclamo de ese reintegro se ha limitado al</w:t>
      </w:r>
      <w:r>
        <w:rPr>
          <w:spacing w:val="-9"/>
          <w:sz w:val="16"/>
        </w:rPr>
        <w:t> </w:t>
      </w:r>
      <w:r>
        <w:rPr>
          <w:sz w:val="16"/>
        </w:rPr>
        <w:t>CELS.</w:t>
      </w:r>
    </w:p>
    <w:p>
      <w:pPr>
        <w:pStyle w:val="BodyText"/>
        <w:spacing w:before="11"/>
        <w:rPr>
          <w:sz w:val="15"/>
        </w:rPr>
      </w:pPr>
    </w:p>
    <w:p>
      <w:pPr>
        <w:tabs>
          <w:tab w:pos="829" w:val="left" w:leader="none"/>
        </w:tabs>
        <w:spacing w:before="0"/>
        <w:ind w:left="122" w:right="120" w:firstLine="0"/>
        <w:jc w:val="left"/>
        <w:rPr>
          <w:sz w:val="16"/>
        </w:rPr>
      </w:pPr>
      <w:r>
        <w:rPr>
          <w:position w:val="6"/>
          <w:sz w:val="10"/>
        </w:rPr>
        <w:t>338</w:t>
        <w:tab/>
      </w:r>
      <w:r>
        <w:rPr>
          <w:i/>
          <w:sz w:val="16"/>
        </w:rPr>
        <w:t>Cfr.</w:t>
      </w:r>
      <w:r>
        <w:rPr>
          <w:i/>
          <w:spacing w:val="-9"/>
          <w:sz w:val="16"/>
        </w:rPr>
        <w:t> </w:t>
      </w:r>
      <w:r>
        <w:rPr>
          <w:i/>
          <w:sz w:val="16"/>
        </w:rPr>
        <w:t>Caso</w:t>
      </w:r>
      <w:r>
        <w:rPr>
          <w:i/>
          <w:spacing w:val="-8"/>
          <w:sz w:val="16"/>
        </w:rPr>
        <w:t> </w:t>
      </w:r>
      <w:r>
        <w:rPr>
          <w:i/>
          <w:sz w:val="16"/>
        </w:rPr>
        <w:t>Comunidad</w:t>
      </w:r>
      <w:r>
        <w:rPr>
          <w:i/>
          <w:spacing w:val="-8"/>
          <w:sz w:val="16"/>
        </w:rPr>
        <w:t> </w:t>
      </w:r>
      <w:r>
        <w:rPr>
          <w:i/>
          <w:sz w:val="16"/>
        </w:rPr>
        <w:t>Indígena</w:t>
      </w:r>
      <w:r>
        <w:rPr>
          <w:i/>
          <w:spacing w:val="-11"/>
          <w:sz w:val="16"/>
        </w:rPr>
        <w:t> </w:t>
      </w:r>
      <w:r>
        <w:rPr>
          <w:i/>
          <w:sz w:val="16"/>
        </w:rPr>
        <w:t>Xákmok</w:t>
      </w:r>
      <w:r>
        <w:rPr>
          <w:i/>
          <w:spacing w:val="-9"/>
          <w:sz w:val="16"/>
        </w:rPr>
        <w:t> </w:t>
      </w:r>
      <w:r>
        <w:rPr>
          <w:i/>
          <w:sz w:val="16"/>
        </w:rPr>
        <w:t>Kásek</w:t>
      </w:r>
      <w:r>
        <w:rPr>
          <w:i/>
          <w:spacing w:val="-11"/>
          <w:sz w:val="16"/>
        </w:rPr>
        <w:t> </w:t>
      </w:r>
      <w:r>
        <w:rPr>
          <w:i/>
          <w:sz w:val="16"/>
        </w:rPr>
        <w:t>Vs.</w:t>
      </w:r>
      <w:r>
        <w:rPr>
          <w:i/>
          <w:spacing w:val="-9"/>
          <w:sz w:val="16"/>
        </w:rPr>
        <w:t> </w:t>
      </w:r>
      <w:r>
        <w:rPr>
          <w:i/>
          <w:sz w:val="16"/>
        </w:rPr>
        <w:t>Paraguay</w:t>
      </w:r>
      <w:r>
        <w:rPr>
          <w:sz w:val="16"/>
        </w:rPr>
        <w:t>,</w:t>
      </w:r>
      <w:r>
        <w:rPr>
          <w:spacing w:val="-12"/>
          <w:sz w:val="16"/>
        </w:rPr>
        <w:t> </w:t>
      </w:r>
      <w:r>
        <w:rPr>
          <w:sz w:val="16"/>
        </w:rPr>
        <w:t>párr.</w:t>
      </w:r>
      <w:r>
        <w:rPr>
          <w:spacing w:val="-9"/>
          <w:sz w:val="16"/>
        </w:rPr>
        <w:t> </w:t>
      </w:r>
      <w:r>
        <w:rPr>
          <w:sz w:val="16"/>
        </w:rPr>
        <w:t>331,</w:t>
      </w:r>
      <w:r>
        <w:rPr>
          <w:spacing w:val="-12"/>
          <w:sz w:val="16"/>
        </w:rPr>
        <w:t> </w:t>
      </w:r>
      <w:r>
        <w:rPr>
          <w:sz w:val="16"/>
        </w:rPr>
        <w:t>y</w:t>
      </w:r>
      <w:r>
        <w:rPr>
          <w:spacing w:val="-7"/>
          <w:sz w:val="16"/>
        </w:rPr>
        <w:t> </w:t>
      </w:r>
      <w:r>
        <w:rPr>
          <w:i/>
          <w:sz w:val="16"/>
        </w:rPr>
        <w:t>Caso</w:t>
      </w:r>
      <w:r>
        <w:rPr>
          <w:i/>
          <w:spacing w:val="-10"/>
          <w:sz w:val="16"/>
        </w:rPr>
        <w:t> </w:t>
      </w:r>
      <w:r>
        <w:rPr>
          <w:i/>
          <w:sz w:val="16"/>
        </w:rPr>
        <w:t>Muelle</w:t>
      </w:r>
      <w:r>
        <w:rPr>
          <w:i/>
          <w:spacing w:val="-8"/>
          <w:sz w:val="16"/>
        </w:rPr>
        <w:t> </w:t>
      </w:r>
      <w:r>
        <w:rPr>
          <w:i/>
          <w:sz w:val="16"/>
        </w:rPr>
        <w:t>Flores</w:t>
      </w:r>
      <w:r>
        <w:rPr>
          <w:i/>
          <w:spacing w:val="-8"/>
          <w:sz w:val="16"/>
        </w:rPr>
        <w:t> </w:t>
      </w:r>
      <w:r>
        <w:rPr>
          <w:i/>
          <w:sz w:val="16"/>
        </w:rPr>
        <w:t>Vs.</w:t>
      </w:r>
      <w:r>
        <w:rPr>
          <w:i/>
          <w:spacing w:val="-9"/>
          <w:sz w:val="16"/>
        </w:rPr>
        <w:t> </w:t>
      </w:r>
      <w:r>
        <w:rPr>
          <w:i/>
          <w:sz w:val="16"/>
        </w:rPr>
        <w:t>Perú</w:t>
      </w:r>
      <w:r>
        <w:rPr>
          <w:sz w:val="16"/>
        </w:rPr>
        <w:t>,</w:t>
      </w:r>
      <w:r>
        <w:rPr>
          <w:w w:val="100"/>
          <w:sz w:val="16"/>
        </w:rPr>
        <w:t> </w:t>
      </w:r>
      <w:r>
        <w:rPr>
          <w:sz w:val="16"/>
        </w:rPr>
        <w:t>párr.</w:t>
      </w:r>
      <w:r>
        <w:rPr>
          <w:spacing w:val="-4"/>
          <w:sz w:val="16"/>
        </w:rPr>
        <w:t> </w:t>
      </w:r>
      <w:r>
        <w:rPr>
          <w:sz w:val="16"/>
        </w:rPr>
        <w:t>274</w:t>
      </w:r>
    </w:p>
    <w:p>
      <w:pPr>
        <w:spacing w:after="0"/>
        <w:jc w:val="left"/>
        <w:rPr>
          <w:sz w:val="16"/>
        </w:rPr>
        <w:sectPr>
          <w:pgSz w:w="12240" w:h="15840"/>
          <w:pgMar w:header="0" w:footer="1000" w:top="1340" w:bottom="1200" w:left="1580" w:right="1580"/>
        </w:sectPr>
      </w:pPr>
    </w:p>
    <w:p>
      <w:pPr>
        <w:pStyle w:val="ListParagraph"/>
        <w:numPr>
          <w:ilvl w:val="0"/>
          <w:numId w:val="37"/>
        </w:numPr>
        <w:tabs>
          <w:tab w:pos="830" w:val="left" w:leader="none"/>
        </w:tabs>
        <w:spacing w:line="240" w:lineRule="auto" w:before="76" w:after="0"/>
        <w:ind w:left="122" w:right="134" w:firstLine="0"/>
        <w:jc w:val="both"/>
        <w:rPr>
          <w:sz w:val="20"/>
        </w:rPr>
      </w:pPr>
      <w:r>
        <w:rPr>
          <w:sz w:val="20"/>
        </w:rPr>
        <w:t>En caso de que el Estado incurriera en mora deberá pagar un interés sobre la cantidad adeudada, correspondiente al interés bancario moratorio en la República Argentina.</w:t>
      </w:r>
    </w:p>
    <w:p>
      <w:pPr>
        <w:pStyle w:val="BodyText"/>
      </w:pPr>
    </w:p>
    <w:p>
      <w:pPr>
        <w:pStyle w:val="Heading3"/>
        <w:spacing w:line="243" w:lineRule="exact"/>
        <w:ind w:right="313"/>
      </w:pPr>
      <w:bookmarkStart w:name="_bookmark101" w:id="172"/>
      <w:bookmarkEnd w:id="172"/>
      <w:r>
        <w:rPr>
          <w:b w:val="0"/>
        </w:rPr>
      </w:r>
      <w:r>
        <w:rPr/>
        <w:t>IX</w:t>
      </w:r>
    </w:p>
    <w:p>
      <w:pPr>
        <w:spacing w:line="243" w:lineRule="exact" w:before="0"/>
        <w:ind w:left="312" w:right="312" w:firstLine="0"/>
        <w:jc w:val="center"/>
        <w:rPr>
          <w:b/>
          <w:sz w:val="20"/>
        </w:rPr>
      </w:pPr>
      <w:bookmarkStart w:name="_bookmark102" w:id="173"/>
      <w:bookmarkEnd w:id="173"/>
      <w:r>
        <w:rPr/>
      </w:r>
      <w:r>
        <w:rPr>
          <w:b/>
          <w:sz w:val="20"/>
        </w:rPr>
        <w:t>PUNTOS RESOLUTIVOS</w:t>
      </w:r>
    </w:p>
    <w:p>
      <w:pPr>
        <w:pStyle w:val="BodyText"/>
        <w:spacing w:before="1"/>
        <w:rPr>
          <w:b/>
          <w:sz w:val="23"/>
        </w:rPr>
      </w:pPr>
    </w:p>
    <w:p>
      <w:pPr>
        <w:pStyle w:val="ListParagraph"/>
        <w:numPr>
          <w:ilvl w:val="0"/>
          <w:numId w:val="37"/>
        </w:numPr>
        <w:tabs>
          <w:tab w:pos="830" w:val="left" w:leader="none"/>
        </w:tabs>
        <w:spacing w:line="240" w:lineRule="auto" w:before="0" w:after="0"/>
        <w:ind w:left="830" w:right="0" w:hanging="708"/>
        <w:jc w:val="both"/>
        <w:rPr>
          <w:sz w:val="20"/>
        </w:rPr>
      </w:pPr>
      <w:r>
        <w:rPr>
          <w:sz w:val="20"/>
        </w:rPr>
        <w:t>Por</w:t>
      </w:r>
      <w:r>
        <w:rPr>
          <w:spacing w:val="-4"/>
          <w:sz w:val="20"/>
        </w:rPr>
        <w:t> </w:t>
      </w:r>
      <w:r>
        <w:rPr>
          <w:sz w:val="20"/>
        </w:rPr>
        <w:t>tanto,</w:t>
      </w:r>
    </w:p>
    <w:p>
      <w:pPr>
        <w:pStyle w:val="BodyText"/>
        <w:rPr>
          <w:sz w:val="24"/>
        </w:rPr>
      </w:pPr>
    </w:p>
    <w:p>
      <w:pPr>
        <w:pStyle w:val="Heading3"/>
        <w:spacing w:line="480" w:lineRule="auto" w:before="192"/>
        <w:ind w:left="122" w:right="7815"/>
        <w:jc w:val="left"/>
      </w:pPr>
      <w:r>
        <w:rPr/>
        <w:t>LA CORTE DECLARA:</w:t>
      </w:r>
    </w:p>
    <w:p>
      <w:pPr>
        <w:pStyle w:val="BodyText"/>
        <w:rPr>
          <w:b/>
        </w:rPr>
      </w:pPr>
    </w:p>
    <w:p>
      <w:pPr>
        <w:pStyle w:val="BodyText"/>
        <w:ind w:left="122"/>
        <w:jc w:val="both"/>
      </w:pPr>
      <w:r>
        <w:rPr/>
        <w:t>Por unanimidad, que:</w:t>
      </w:r>
    </w:p>
    <w:p>
      <w:pPr>
        <w:pStyle w:val="BodyText"/>
        <w:spacing w:before="10"/>
        <w:rPr>
          <w:sz w:val="19"/>
        </w:rPr>
      </w:pPr>
    </w:p>
    <w:p>
      <w:pPr>
        <w:pStyle w:val="ListParagraph"/>
        <w:numPr>
          <w:ilvl w:val="0"/>
          <w:numId w:val="42"/>
        </w:numPr>
        <w:tabs>
          <w:tab w:pos="830" w:val="left" w:leader="none"/>
        </w:tabs>
        <w:spacing w:line="240" w:lineRule="auto" w:before="0" w:after="0"/>
        <w:ind w:left="122" w:right="118" w:firstLine="0"/>
        <w:jc w:val="both"/>
        <w:rPr>
          <w:sz w:val="20"/>
        </w:rPr>
      </w:pPr>
      <w:r>
        <w:rPr>
          <w:sz w:val="20"/>
        </w:rPr>
        <w:t>El Estado es responsable por la violación del derecho a la propiedad, establecido en</w:t>
      </w:r>
      <w:r>
        <w:rPr>
          <w:spacing w:val="-3"/>
          <w:sz w:val="20"/>
        </w:rPr>
        <w:t> </w:t>
      </w:r>
      <w:r>
        <w:rPr>
          <w:sz w:val="20"/>
        </w:rPr>
        <w:t>el</w:t>
      </w:r>
      <w:r>
        <w:rPr>
          <w:spacing w:val="-6"/>
          <w:sz w:val="20"/>
        </w:rPr>
        <w:t> </w:t>
      </w:r>
      <w:r>
        <w:rPr>
          <w:sz w:val="20"/>
        </w:rPr>
        <w:t>artículo</w:t>
      </w:r>
      <w:r>
        <w:rPr>
          <w:spacing w:val="-8"/>
          <w:sz w:val="20"/>
        </w:rPr>
        <w:t> </w:t>
      </w:r>
      <w:r>
        <w:rPr>
          <w:sz w:val="20"/>
        </w:rPr>
        <w:t>21</w:t>
      </w:r>
      <w:r>
        <w:rPr>
          <w:spacing w:val="-3"/>
          <w:sz w:val="20"/>
        </w:rPr>
        <w:t> </w:t>
      </w:r>
      <w:r>
        <w:rPr>
          <w:sz w:val="20"/>
        </w:rPr>
        <w:t>de</w:t>
      </w:r>
      <w:r>
        <w:rPr>
          <w:spacing w:val="-6"/>
          <w:sz w:val="20"/>
        </w:rPr>
        <w:t> </w:t>
      </w:r>
      <w:r>
        <w:rPr>
          <w:sz w:val="20"/>
        </w:rPr>
        <w:t>la</w:t>
      </w:r>
      <w:r>
        <w:rPr>
          <w:spacing w:val="-6"/>
          <w:sz w:val="20"/>
        </w:rPr>
        <w:t> </w:t>
      </w:r>
      <w:r>
        <w:rPr>
          <w:sz w:val="20"/>
        </w:rPr>
        <w:t>Convención</w:t>
      </w:r>
      <w:r>
        <w:rPr>
          <w:spacing w:val="-6"/>
          <w:sz w:val="20"/>
        </w:rPr>
        <w:t> </w:t>
      </w:r>
      <w:r>
        <w:rPr>
          <w:sz w:val="20"/>
        </w:rPr>
        <w:t>Americana</w:t>
      </w:r>
      <w:r>
        <w:rPr>
          <w:spacing w:val="-6"/>
          <w:sz w:val="20"/>
        </w:rPr>
        <w:t> </w:t>
      </w:r>
      <w:r>
        <w:rPr>
          <w:sz w:val="20"/>
        </w:rPr>
        <w:t>sobre</w:t>
      </w:r>
      <w:r>
        <w:rPr>
          <w:spacing w:val="-6"/>
          <w:sz w:val="20"/>
        </w:rPr>
        <w:t> </w:t>
      </w:r>
      <w:r>
        <w:rPr>
          <w:sz w:val="20"/>
        </w:rPr>
        <w:t>Derechos</w:t>
      </w:r>
      <w:r>
        <w:rPr>
          <w:spacing w:val="-5"/>
          <w:sz w:val="20"/>
        </w:rPr>
        <w:t> </w:t>
      </w:r>
      <w:r>
        <w:rPr>
          <w:sz w:val="20"/>
        </w:rPr>
        <w:t>Humanos,</w:t>
      </w:r>
      <w:r>
        <w:rPr>
          <w:spacing w:val="-5"/>
          <w:sz w:val="20"/>
        </w:rPr>
        <w:t> </w:t>
      </w:r>
      <w:r>
        <w:rPr>
          <w:sz w:val="20"/>
        </w:rPr>
        <w:t>en</w:t>
      </w:r>
      <w:r>
        <w:rPr>
          <w:spacing w:val="-3"/>
          <w:sz w:val="20"/>
        </w:rPr>
        <w:t> </w:t>
      </w:r>
      <w:r>
        <w:rPr>
          <w:sz w:val="20"/>
        </w:rPr>
        <w:t>relación</w:t>
      </w:r>
      <w:r>
        <w:rPr>
          <w:spacing w:val="-3"/>
          <w:sz w:val="20"/>
        </w:rPr>
        <w:t> </w:t>
      </w:r>
      <w:r>
        <w:rPr>
          <w:sz w:val="20"/>
        </w:rPr>
        <w:t>con los derechos a las garantías judiciales y a la protección judicial, establecidos en los artículos 8.1 y 25.1 del mismo tratado, y con los deberes establecidos en los  </w:t>
      </w:r>
      <w:r>
        <w:rPr>
          <w:spacing w:val="12"/>
          <w:sz w:val="20"/>
        </w:rPr>
        <w:t> </w:t>
      </w:r>
      <w:r>
        <w:rPr>
          <w:sz w:val="20"/>
        </w:rPr>
        <w:t>artículos</w:t>
      </w:r>
    </w:p>
    <w:p>
      <w:pPr>
        <w:pStyle w:val="BodyText"/>
        <w:ind w:left="122" w:right="120"/>
        <w:jc w:val="both"/>
      </w:pPr>
      <w:r>
        <w:rPr/>
        <w:t>1.1</w:t>
      </w:r>
      <w:r>
        <w:rPr>
          <w:spacing w:val="-18"/>
        </w:rPr>
        <w:t> </w:t>
      </w:r>
      <w:r>
        <w:rPr/>
        <w:t>y</w:t>
      </w:r>
      <w:r>
        <w:rPr>
          <w:spacing w:val="-19"/>
        </w:rPr>
        <w:t> </w:t>
      </w:r>
      <w:r>
        <w:rPr/>
        <w:t>2</w:t>
      </w:r>
      <w:r>
        <w:rPr>
          <w:spacing w:val="-16"/>
        </w:rPr>
        <w:t> </w:t>
      </w:r>
      <w:r>
        <w:rPr/>
        <w:t>del</w:t>
      </w:r>
      <w:r>
        <w:rPr>
          <w:spacing w:val="-18"/>
        </w:rPr>
        <w:t> </w:t>
      </w:r>
      <w:r>
        <w:rPr/>
        <w:t>mismo</w:t>
      </w:r>
      <w:r>
        <w:rPr>
          <w:spacing w:val="-17"/>
        </w:rPr>
        <w:t> </w:t>
      </w:r>
      <w:r>
        <w:rPr/>
        <w:t>instrumento,</w:t>
      </w:r>
      <w:r>
        <w:rPr>
          <w:spacing w:val="-14"/>
        </w:rPr>
        <w:t> </w:t>
      </w:r>
      <w:r>
        <w:rPr/>
        <w:t>en</w:t>
      </w:r>
      <w:r>
        <w:rPr>
          <w:spacing w:val="-18"/>
        </w:rPr>
        <w:t> </w:t>
      </w:r>
      <w:r>
        <w:rPr/>
        <w:t>perjuicio</w:t>
      </w:r>
      <w:r>
        <w:rPr>
          <w:spacing w:val="-19"/>
        </w:rPr>
        <w:t> </w:t>
      </w:r>
      <w:r>
        <w:rPr/>
        <w:t>de</w:t>
      </w:r>
      <w:r>
        <w:rPr>
          <w:spacing w:val="-18"/>
        </w:rPr>
        <w:t> </w:t>
      </w:r>
      <w:r>
        <w:rPr/>
        <w:t>las</w:t>
      </w:r>
      <w:r>
        <w:rPr>
          <w:spacing w:val="-19"/>
        </w:rPr>
        <w:t> </w:t>
      </w:r>
      <w:r>
        <w:rPr/>
        <w:t>132</w:t>
      </w:r>
      <w:r>
        <w:rPr>
          <w:spacing w:val="-18"/>
        </w:rPr>
        <w:t> </w:t>
      </w:r>
      <w:r>
        <w:rPr/>
        <w:t>comunidades</w:t>
      </w:r>
      <w:r>
        <w:rPr>
          <w:spacing w:val="-17"/>
        </w:rPr>
        <w:t> </w:t>
      </w:r>
      <w:r>
        <w:rPr/>
        <w:t>indígenas</w:t>
      </w:r>
      <w:r>
        <w:rPr>
          <w:spacing w:val="-17"/>
        </w:rPr>
        <w:t> </w:t>
      </w:r>
      <w:r>
        <w:rPr/>
        <w:t>señaladas en el Anexo V a la presente Sentencia, en los términos de sus párrafos 92 a 98, 114 a 152 y 158 a</w:t>
      </w:r>
      <w:r>
        <w:rPr>
          <w:spacing w:val="-7"/>
        </w:rPr>
        <w:t> </w:t>
      </w:r>
      <w:r>
        <w:rPr/>
        <w:t>168.</w:t>
      </w:r>
    </w:p>
    <w:p>
      <w:pPr>
        <w:pStyle w:val="BodyText"/>
        <w:rPr>
          <w:sz w:val="24"/>
        </w:rPr>
      </w:pPr>
    </w:p>
    <w:p>
      <w:pPr>
        <w:pStyle w:val="BodyText"/>
        <w:spacing w:before="195"/>
        <w:ind w:left="122"/>
        <w:jc w:val="both"/>
      </w:pPr>
      <w:r>
        <w:rPr/>
        <w:t>Por unanimidad, que:</w:t>
      </w:r>
    </w:p>
    <w:p>
      <w:pPr>
        <w:pStyle w:val="BodyText"/>
        <w:spacing w:before="10"/>
        <w:rPr>
          <w:sz w:val="19"/>
        </w:rPr>
      </w:pPr>
    </w:p>
    <w:p>
      <w:pPr>
        <w:pStyle w:val="ListParagraph"/>
        <w:numPr>
          <w:ilvl w:val="0"/>
          <w:numId w:val="42"/>
        </w:numPr>
        <w:tabs>
          <w:tab w:pos="830" w:val="left" w:leader="none"/>
        </w:tabs>
        <w:spacing w:line="240" w:lineRule="auto" w:before="0" w:after="0"/>
        <w:ind w:left="122" w:right="117" w:firstLine="0"/>
        <w:jc w:val="both"/>
        <w:rPr>
          <w:sz w:val="20"/>
        </w:rPr>
      </w:pPr>
      <w:r>
        <w:rPr>
          <w:sz w:val="20"/>
        </w:rPr>
        <w:t>El Estado es responsable por la violación al derecho a la propiedad y a los derechos políticos, establecidos en los artículos 21 y 23.1 de la Convención Americana sobre</w:t>
      </w:r>
      <w:r>
        <w:rPr>
          <w:spacing w:val="-10"/>
          <w:sz w:val="20"/>
        </w:rPr>
        <w:t> </w:t>
      </w:r>
      <w:r>
        <w:rPr>
          <w:sz w:val="20"/>
        </w:rPr>
        <w:t>Derechos</w:t>
      </w:r>
      <w:r>
        <w:rPr>
          <w:spacing w:val="-10"/>
          <w:sz w:val="20"/>
        </w:rPr>
        <w:t> </w:t>
      </w:r>
      <w:r>
        <w:rPr>
          <w:sz w:val="20"/>
        </w:rPr>
        <w:t>Humanos,</w:t>
      </w:r>
      <w:r>
        <w:rPr>
          <w:spacing w:val="-7"/>
          <w:sz w:val="20"/>
        </w:rPr>
        <w:t> </w:t>
      </w:r>
      <w:r>
        <w:rPr>
          <w:sz w:val="20"/>
        </w:rPr>
        <w:t>en</w:t>
      </w:r>
      <w:r>
        <w:rPr>
          <w:spacing w:val="-8"/>
          <w:sz w:val="20"/>
        </w:rPr>
        <w:t> </w:t>
      </w:r>
      <w:r>
        <w:rPr>
          <w:sz w:val="20"/>
        </w:rPr>
        <w:t>relación</w:t>
      </w:r>
      <w:r>
        <w:rPr>
          <w:spacing w:val="-9"/>
          <w:sz w:val="20"/>
        </w:rPr>
        <w:t> </w:t>
      </w:r>
      <w:r>
        <w:rPr>
          <w:sz w:val="20"/>
        </w:rPr>
        <w:t>con</w:t>
      </w:r>
      <w:r>
        <w:rPr>
          <w:spacing w:val="-8"/>
          <w:sz w:val="20"/>
        </w:rPr>
        <w:t> </w:t>
      </w:r>
      <w:r>
        <w:rPr>
          <w:sz w:val="20"/>
        </w:rPr>
        <w:t>el</w:t>
      </w:r>
      <w:r>
        <w:rPr>
          <w:spacing w:val="-11"/>
          <w:sz w:val="20"/>
        </w:rPr>
        <w:t> </w:t>
      </w:r>
      <w:r>
        <w:rPr>
          <w:sz w:val="20"/>
        </w:rPr>
        <w:t>artículo</w:t>
      </w:r>
      <w:r>
        <w:rPr>
          <w:spacing w:val="-12"/>
          <w:sz w:val="20"/>
        </w:rPr>
        <w:t> </w:t>
      </w:r>
      <w:r>
        <w:rPr>
          <w:sz w:val="20"/>
        </w:rPr>
        <w:t>1.1</w:t>
      </w:r>
      <w:r>
        <w:rPr>
          <w:spacing w:val="-9"/>
          <w:sz w:val="20"/>
        </w:rPr>
        <w:t> </w:t>
      </w:r>
      <w:r>
        <w:rPr>
          <w:sz w:val="20"/>
        </w:rPr>
        <w:t>del</w:t>
      </w:r>
      <w:r>
        <w:rPr>
          <w:spacing w:val="-9"/>
          <w:sz w:val="20"/>
        </w:rPr>
        <w:t> </w:t>
      </w:r>
      <w:r>
        <w:rPr>
          <w:sz w:val="20"/>
        </w:rPr>
        <w:t>mismo</w:t>
      </w:r>
      <w:r>
        <w:rPr>
          <w:spacing w:val="-12"/>
          <w:sz w:val="20"/>
        </w:rPr>
        <w:t> </w:t>
      </w:r>
      <w:r>
        <w:rPr>
          <w:sz w:val="20"/>
        </w:rPr>
        <w:t>tratado,</w:t>
      </w:r>
      <w:r>
        <w:rPr>
          <w:spacing w:val="-4"/>
          <w:sz w:val="20"/>
        </w:rPr>
        <w:t> </w:t>
      </w:r>
      <w:r>
        <w:rPr>
          <w:sz w:val="20"/>
        </w:rPr>
        <w:t>en</w:t>
      </w:r>
      <w:r>
        <w:rPr>
          <w:spacing w:val="-10"/>
          <w:sz w:val="20"/>
        </w:rPr>
        <w:t> </w:t>
      </w:r>
      <w:r>
        <w:rPr>
          <w:sz w:val="20"/>
        </w:rPr>
        <w:t>perjuicio de las 132 comunidades indígenas señaladas en el Anexo V a la presente Sentencia, en los términos de sus párrafos 173 a</w:t>
      </w:r>
      <w:r>
        <w:rPr>
          <w:spacing w:val="-16"/>
          <w:sz w:val="20"/>
        </w:rPr>
        <w:t> </w:t>
      </w:r>
      <w:r>
        <w:rPr>
          <w:sz w:val="20"/>
        </w:rPr>
        <w:t>184.</w:t>
      </w:r>
    </w:p>
    <w:p>
      <w:pPr>
        <w:pStyle w:val="BodyText"/>
        <w:rPr>
          <w:sz w:val="24"/>
        </w:rPr>
      </w:pPr>
    </w:p>
    <w:p>
      <w:pPr>
        <w:pStyle w:val="BodyText"/>
        <w:spacing w:before="194"/>
        <w:ind w:left="122"/>
        <w:jc w:val="both"/>
      </w:pPr>
      <w:r>
        <w:rPr/>
        <w:t>Por tres votos a favor, incluido el de la Presidenta de la Corte, y tres en contra</w:t>
      </w:r>
      <w:r>
        <w:rPr>
          <w:position w:val="7"/>
          <w:sz w:val="13"/>
        </w:rPr>
        <w:t>339</w:t>
      </w:r>
      <w:r>
        <w:rPr/>
        <w:t>, que:</w:t>
      </w:r>
    </w:p>
    <w:p>
      <w:pPr>
        <w:pStyle w:val="BodyText"/>
      </w:pPr>
    </w:p>
    <w:p>
      <w:pPr>
        <w:pStyle w:val="ListParagraph"/>
        <w:numPr>
          <w:ilvl w:val="0"/>
          <w:numId w:val="42"/>
        </w:numPr>
        <w:tabs>
          <w:tab w:pos="830" w:val="left" w:leader="none"/>
        </w:tabs>
        <w:spacing w:line="240" w:lineRule="auto" w:before="0" w:after="0"/>
        <w:ind w:left="122" w:right="121" w:firstLine="0"/>
        <w:jc w:val="both"/>
        <w:rPr>
          <w:sz w:val="20"/>
        </w:rPr>
      </w:pPr>
      <w:r>
        <w:rPr>
          <w:sz w:val="20"/>
        </w:rPr>
        <w:t>El Estado es responsable por la violación a los derechos a participar en la vida cultural,</w:t>
      </w:r>
      <w:r>
        <w:rPr>
          <w:spacing w:val="-12"/>
          <w:sz w:val="20"/>
        </w:rPr>
        <w:t> </w:t>
      </w:r>
      <w:r>
        <w:rPr>
          <w:sz w:val="20"/>
        </w:rPr>
        <w:t>en</w:t>
      </w:r>
      <w:r>
        <w:rPr>
          <w:spacing w:val="-10"/>
          <w:sz w:val="20"/>
        </w:rPr>
        <w:t> </w:t>
      </w:r>
      <w:r>
        <w:rPr>
          <w:sz w:val="20"/>
        </w:rPr>
        <w:t>lo</w:t>
      </w:r>
      <w:r>
        <w:rPr>
          <w:spacing w:val="-10"/>
          <w:sz w:val="20"/>
        </w:rPr>
        <w:t> </w:t>
      </w:r>
      <w:r>
        <w:rPr>
          <w:sz w:val="20"/>
        </w:rPr>
        <w:t>atinente</w:t>
      </w:r>
      <w:r>
        <w:rPr>
          <w:spacing w:val="-13"/>
          <w:sz w:val="20"/>
        </w:rPr>
        <w:t> </w:t>
      </w:r>
      <w:r>
        <w:rPr>
          <w:sz w:val="20"/>
        </w:rPr>
        <w:t>a</w:t>
      </w:r>
      <w:r>
        <w:rPr>
          <w:spacing w:val="-6"/>
          <w:sz w:val="20"/>
        </w:rPr>
        <w:t> </w:t>
      </w:r>
      <w:r>
        <w:rPr>
          <w:sz w:val="20"/>
        </w:rPr>
        <w:t>la</w:t>
      </w:r>
      <w:r>
        <w:rPr>
          <w:spacing w:val="-11"/>
          <w:sz w:val="20"/>
        </w:rPr>
        <w:t> </w:t>
      </w:r>
      <w:r>
        <w:rPr>
          <w:sz w:val="20"/>
        </w:rPr>
        <w:t>identidad</w:t>
      </w:r>
      <w:r>
        <w:rPr>
          <w:spacing w:val="-11"/>
          <w:sz w:val="20"/>
        </w:rPr>
        <w:t> </w:t>
      </w:r>
      <w:r>
        <w:rPr>
          <w:sz w:val="20"/>
        </w:rPr>
        <w:t>cultural,</w:t>
      </w:r>
      <w:r>
        <w:rPr>
          <w:spacing w:val="-12"/>
          <w:sz w:val="20"/>
        </w:rPr>
        <w:t> </w:t>
      </w:r>
      <w:r>
        <w:rPr>
          <w:sz w:val="20"/>
        </w:rPr>
        <w:t>al</w:t>
      </w:r>
      <w:r>
        <w:rPr>
          <w:spacing w:val="-8"/>
          <w:sz w:val="20"/>
        </w:rPr>
        <w:t> </w:t>
      </w:r>
      <w:r>
        <w:rPr>
          <w:sz w:val="20"/>
        </w:rPr>
        <w:t>medio</w:t>
      </w:r>
      <w:r>
        <w:rPr>
          <w:spacing w:val="-12"/>
          <w:sz w:val="20"/>
        </w:rPr>
        <w:t> </w:t>
      </w:r>
      <w:r>
        <w:rPr>
          <w:sz w:val="20"/>
        </w:rPr>
        <w:t>ambiente</w:t>
      </w:r>
      <w:r>
        <w:rPr>
          <w:spacing w:val="-13"/>
          <w:sz w:val="20"/>
        </w:rPr>
        <w:t> </w:t>
      </w:r>
      <w:r>
        <w:rPr>
          <w:sz w:val="20"/>
        </w:rPr>
        <w:t>sano,</w:t>
      </w:r>
      <w:r>
        <w:rPr>
          <w:spacing w:val="-12"/>
          <w:sz w:val="20"/>
        </w:rPr>
        <w:t> </w:t>
      </w:r>
      <w:r>
        <w:rPr>
          <w:sz w:val="20"/>
        </w:rPr>
        <w:t>a</w:t>
      </w:r>
      <w:r>
        <w:rPr>
          <w:spacing w:val="-9"/>
          <w:sz w:val="20"/>
        </w:rPr>
        <w:t> </w:t>
      </w:r>
      <w:r>
        <w:rPr>
          <w:sz w:val="20"/>
        </w:rPr>
        <w:t>la</w:t>
      </w:r>
      <w:r>
        <w:rPr>
          <w:spacing w:val="-11"/>
          <w:sz w:val="20"/>
        </w:rPr>
        <w:t> </w:t>
      </w:r>
      <w:r>
        <w:rPr>
          <w:sz w:val="20"/>
        </w:rPr>
        <w:t>alimentación adecuada y al agua, establecidos en el artículo 26 de la Convención Americana sobre Derechos Humanos, en relación con el artículo 1.1 del mismo tratado, en perjuicio de las 132 comunidades indígenas señaladas en el Anexo V a la presente Sentencia, en</w:t>
      </w:r>
      <w:r>
        <w:rPr>
          <w:spacing w:val="-48"/>
          <w:sz w:val="20"/>
        </w:rPr>
        <w:t> </w:t>
      </w:r>
      <w:r>
        <w:rPr>
          <w:sz w:val="20"/>
        </w:rPr>
        <w:t>los términos de sus párrafos 195 a</w:t>
      </w:r>
      <w:r>
        <w:rPr>
          <w:spacing w:val="-12"/>
          <w:sz w:val="20"/>
        </w:rPr>
        <w:t> </w:t>
      </w:r>
      <w:r>
        <w:rPr>
          <w:sz w:val="20"/>
        </w:rPr>
        <w:t>289.</w:t>
      </w:r>
    </w:p>
    <w:p>
      <w:pPr>
        <w:pStyle w:val="BodyText"/>
        <w:spacing w:before="1"/>
      </w:pPr>
    </w:p>
    <w:p>
      <w:pPr>
        <w:pStyle w:val="BodyText"/>
        <w:ind w:left="122" w:right="120"/>
        <w:jc w:val="both"/>
      </w:pPr>
      <w:r>
        <w:rPr/>
        <w:t>Disienten los jueces Eduardo Vio Grossi, Humberto Antonio Sierra Porto y Ricardo</w:t>
      </w:r>
      <w:r>
        <w:rPr>
          <w:spacing w:val="-44"/>
        </w:rPr>
        <w:t> </w:t>
      </w:r>
      <w:r>
        <w:rPr/>
        <w:t>Pérez Manrique</w:t>
      </w:r>
    </w:p>
    <w:p>
      <w:pPr>
        <w:pStyle w:val="BodyText"/>
      </w:pPr>
    </w:p>
    <w:p>
      <w:pPr>
        <w:pStyle w:val="BodyText"/>
      </w:pPr>
    </w:p>
    <w:p>
      <w:pPr>
        <w:pStyle w:val="BodyText"/>
        <w:spacing w:before="3"/>
        <w:rPr>
          <w:sz w:val="14"/>
        </w:rPr>
      </w:pPr>
      <w:r>
        <w:rPr/>
        <w:pict>
          <v:line style="position:absolute;mso-position-horizontal-relative:page;mso-position-vertical-relative:paragraph;z-index:3736;mso-wrap-distance-left:0;mso-wrap-distance-right:0" from="85.103996pt,11.019854pt" to="229.123996pt,11.019854pt" stroked="true" strokeweight=".72003pt" strokecolor="#000000">
            <v:stroke dashstyle="solid"/>
            <w10:wrap type="topAndBottom"/>
          </v:line>
        </w:pict>
      </w:r>
    </w:p>
    <w:p>
      <w:pPr>
        <w:spacing w:line="240" w:lineRule="auto" w:before="71"/>
        <w:ind w:left="122" w:right="115" w:firstLine="0"/>
        <w:jc w:val="both"/>
        <w:rPr>
          <w:sz w:val="16"/>
        </w:rPr>
      </w:pPr>
      <w:r>
        <w:rPr>
          <w:position w:val="6"/>
          <w:sz w:val="10"/>
        </w:rPr>
        <w:t>339</w:t>
      </w:r>
      <w:r>
        <w:rPr>
          <w:spacing w:val="6"/>
          <w:position w:val="6"/>
          <w:sz w:val="10"/>
        </w:rPr>
        <w:t> </w:t>
      </w:r>
      <w:r>
        <w:rPr>
          <w:sz w:val="16"/>
        </w:rPr>
        <w:t>El</w:t>
      </w:r>
      <w:r>
        <w:rPr>
          <w:spacing w:val="-16"/>
          <w:sz w:val="16"/>
        </w:rPr>
        <w:t> </w:t>
      </w:r>
      <w:r>
        <w:rPr>
          <w:sz w:val="16"/>
        </w:rPr>
        <w:t>artículo</w:t>
      </w:r>
      <w:r>
        <w:rPr>
          <w:spacing w:val="-15"/>
          <w:sz w:val="16"/>
        </w:rPr>
        <w:t> </w:t>
      </w:r>
      <w:r>
        <w:rPr>
          <w:sz w:val="16"/>
        </w:rPr>
        <w:t>23</w:t>
      </w:r>
      <w:r>
        <w:rPr>
          <w:spacing w:val="-17"/>
          <w:sz w:val="16"/>
        </w:rPr>
        <w:t> </w:t>
      </w:r>
      <w:r>
        <w:rPr>
          <w:sz w:val="16"/>
        </w:rPr>
        <w:t>del</w:t>
      </w:r>
      <w:r>
        <w:rPr>
          <w:spacing w:val="-16"/>
          <w:sz w:val="16"/>
        </w:rPr>
        <w:t> </w:t>
      </w:r>
      <w:r>
        <w:rPr>
          <w:sz w:val="16"/>
        </w:rPr>
        <w:t>Estatuto</w:t>
      </w:r>
      <w:r>
        <w:rPr>
          <w:spacing w:val="-15"/>
          <w:sz w:val="16"/>
        </w:rPr>
        <w:t> </w:t>
      </w:r>
      <w:r>
        <w:rPr>
          <w:sz w:val="16"/>
        </w:rPr>
        <w:t>de</w:t>
      </w:r>
      <w:r>
        <w:rPr>
          <w:spacing w:val="-15"/>
          <w:sz w:val="16"/>
        </w:rPr>
        <w:t> </w:t>
      </w:r>
      <w:r>
        <w:rPr>
          <w:sz w:val="16"/>
        </w:rPr>
        <w:t>la</w:t>
      </w:r>
      <w:r>
        <w:rPr>
          <w:spacing w:val="-16"/>
          <w:sz w:val="16"/>
        </w:rPr>
        <w:t> </w:t>
      </w:r>
      <w:r>
        <w:rPr>
          <w:sz w:val="16"/>
        </w:rPr>
        <w:t>Corte,</w:t>
      </w:r>
      <w:r>
        <w:rPr>
          <w:spacing w:val="-16"/>
          <w:sz w:val="16"/>
        </w:rPr>
        <w:t> </w:t>
      </w:r>
      <w:r>
        <w:rPr>
          <w:sz w:val="16"/>
        </w:rPr>
        <w:t>titulado</w:t>
      </w:r>
      <w:r>
        <w:rPr>
          <w:spacing w:val="-15"/>
          <w:sz w:val="16"/>
        </w:rPr>
        <w:t> </w:t>
      </w:r>
      <w:r>
        <w:rPr>
          <w:sz w:val="16"/>
        </w:rPr>
        <w:t>“</w:t>
      </w:r>
      <w:r>
        <w:rPr>
          <w:i/>
          <w:sz w:val="16"/>
        </w:rPr>
        <w:t>Quorum”,</w:t>
      </w:r>
      <w:r>
        <w:rPr>
          <w:i/>
          <w:spacing w:val="-16"/>
          <w:sz w:val="16"/>
        </w:rPr>
        <w:t> </w:t>
      </w:r>
      <w:r>
        <w:rPr>
          <w:sz w:val="16"/>
        </w:rPr>
        <w:t>en</w:t>
      </w:r>
      <w:r>
        <w:rPr>
          <w:spacing w:val="-19"/>
          <w:sz w:val="16"/>
        </w:rPr>
        <w:t> </w:t>
      </w:r>
      <w:r>
        <w:rPr>
          <w:sz w:val="16"/>
        </w:rPr>
        <w:t>sus</w:t>
      </w:r>
      <w:r>
        <w:rPr>
          <w:spacing w:val="-15"/>
          <w:sz w:val="16"/>
        </w:rPr>
        <w:t> </w:t>
      </w:r>
      <w:r>
        <w:rPr>
          <w:sz w:val="16"/>
        </w:rPr>
        <w:t>apartados</w:t>
      </w:r>
      <w:r>
        <w:rPr>
          <w:spacing w:val="-18"/>
          <w:sz w:val="16"/>
        </w:rPr>
        <w:t> </w:t>
      </w:r>
      <w:r>
        <w:rPr>
          <w:sz w:val="16"/>
        </w:rPr>
        <w:t>2</w:t>
      </w:r>
      <w:r>
        <w:rPr>
          <w:spacing w:val="-17"/>
          <w:sz w:val="16"/>
        </w:rPr>
        <w:t> </w:t>
      </w:r>
      <w:r>
        <w:rPr>
          <w:sz w:val="16"/>
        </w:rPr>
        <w:t>y</w:t>
      </w:r>
      <w:r>
        <w:rPr>
          <w:spacing w:val="-15"/>
          <w:sz w:val="16"/>
        </w:rPr>
        <w:t> </w:t>
      </w:r>
      <w:r>
        <w:rPr>
          <w:sz w:val="16"/>
        </w:rPr>
        <w:t>3,</w:t>
      </w:r>
      <w:r>
        <w:rPr>
          <w:spacing w:val="-16"/>
          <w:sz w:val="16"/>
        </w:rPr>
        <w:t> </w:t>
      </w:r>
      <w:r>
        <w:rPr>
          <w:sz w:val="16"/>
        </w:rPr>
        <w:t>indica</w:t>
      </w:r>
      <w:r>
        <w:rPr>
          <w:spacing w:val="-18"/>
          <w:sz w:val="16"/>
        </w:rPr>
        <w:t> </w:t>
      </w:r>
      <w:r>
        <w:rPr>
          <w:sz w:val="16"/>
        </w:rPr>
        <w:t>que</w:t>
      </w:r>
      <w:r>
        <w:rPr>
          <w:spacing w:val="-15"/>
          <w:sz w:val="16"/>
        </w:rPr>
        <w:t> </w:t>
      </w:r>
      <w:r>
        <w:rPr>
          <w:sz w:val="16"/>
        </w:rPr>
        <w:t>“[l]as</w:t>
      </w:r>
      <w:r>
        <w:rPr>
          <w:spacing w:val="-15"/>
          <w:sz w:val="16"/>
        </w:rPr>
        <w:t> </w:t>
      </w:r>
      <w:r>
        <w:rPr>
          <w:sz w:val="16"/>
        </w:rPr>
        <w:t>decisiones de</w:t>
      </w:r>
      <w:r>
        <w:rPr>
          <w:spacing w:val="-14"/>
          <w:sz w:val="16"/>
        </w:rPr>
        <w:t> </w:t>
      </w:r>
      <w:r>
        <w:rPr>
          <w:sz w:val="16"/>
        </w:rPr>
        <w:t>la</w:t>
      </w:r>
      <w:r>
        <w:rPr>
          <w:spacing w:val="-17"/>
          <w:sz w:val="16"/>
        </w:rPr>
        <w:t> </w:t>
      </w:r>
      <w:r>
        <w:rPr>
          <w:sz w:val="16"/>
        </w:rPr>
        <w:t>Corte</w:t>
      </w:r>
      <w:r>
        <w:rPr>
          <w:spacing w:val="-14"/>
          <w:sz w:val="16"/>
        </w:rPr>
        <w:t> </w:t>
      </w:r>
      <w:r>
        <w:rPr>
          <w:sz w:val="16"/>
        </w:rPr>
        <w:t>se</w:t>
      </w:r>
      <w:r>
        <w:rPr>
          <w:spacing w:val="-17"/>
          <w:sz w:val="16"/>
        </w:rPr>
        <w:t> </w:t>
      </w:r>
      <w:r>
        <w:rPr>
          <w:sz w:val="16"/>
        </w:rPr>
        <w:t>tomarán</w:t>
      </w:r>
      <w:r>
        <w:rPr>
          <w:spacing w:val="-15"/>
          <w:sz w:val="16"/>
        </w:rPr>
        <w:t> </w:t>
      </w:r>
      <w:r>
        <w:rPr>
          <w:sz w:val="16"/>
        </w:rPr>
        <w:t>por</w:t>
      </w:r>
      <w:r>
        <w:rPr>
          <w:spacing w:val="-16"/>
          <w:sz w:val="16"/>
        </w:rPr>
        <w:t> </w:t>
      </w:r>
      <w:r>
        <w:rPr>
          <w:sz w:val="16"/>
        </w:rPr>
        <w:t>mayoría</w:t>
      </w:r>
      <w:r>
        <w:rPr>
          <w:spacing w:val="-15"/>
          <w:sz w:val="16"/>
        </w:rPr>
        <w:t> </w:t>
      </w:r>
      <w:r>
        <w:rPr>
          <w:sz w:val="16"/>
        </w:rPr>
        <w:t>de</w:t>
      </w:r>
      <w:r>
        <w:rPr>
          <w:spacing w:val="-17"/>
          <w:sz w:val="16"/>
        </w:rPr>
        <w:t> </w:t>
      </w:r>
      <w:r>
        <w:rPr>
          <w:sz w:val="16"/>
        </w:rPr>
        <w:t>los</w:t>
      </w:r>
      <w:r>
        <w:rPr>
          <w:spacing w:val="-17"/>
          <w:sz w:val="16"/>
        </w:rPr>
        <w:t> </w:t>
      </w:r>
      <w:r>
        <w:rPr>
          <w:sz w:val="16"/>
        </w:rPr>
        <w:t>jueces</w:t>
      </w:r>
      <w:r>
        <w:rPr>
          <w:spacing w:val="-17"/>
          <w:sz w:val="16"/>
        </w:rPr>
        <w:t> </w:t>
      </w:r>
      <w:r>
        <w:rPr>
          <w:sz w:val="16"/>
        </w:rPr>
        <w:t>presentes”,</w:t>
      </w:r>
      <w:r>
        <w:rPr>
          <w:spacing w:val="-18"/>
          <w:sz w:val="16"/>
        </w:rPr>
        <w:t> </w:t>
      </w:r>
      <w:r>
        <w:rPr>
          <w:sz w:val="16"/>
        </w:rPr>
        <w:t>y</w:t>
      </w:r>
      <w:r>
        <w:rPr>
          <w:spacing w:val="-16"/>
          <w:sz w:val="16"/>
        </w:rPr>
        <w:t> </w:t>
      </w:r>
      <w:r>
        <w:rPr>
          <w:sz w:val="16"/>
        </w:rPr>
        <w:t>que</w:t>
      </w:r>
      <w:r>
        <w:rPr>
          <w:spacing w:val="-14"/>
          <w:sz w:val="16"/>
        </w:rPr>
        <w:t> </w:t>
      </w:r>
      <w:r>
        <w:rPr>
          <w:sz w:val="16"/>
        </w:rPr>
        <w:t>“[e]n</w:t>
      </w:r>
      <w:r>
        <w:rPr>
          <w:spacing w:val="-18"/>
          <w:sz w:val="16"/>
        </w:rPr>
        <w:t> </w:t>
      </w:r>
      <w:r>
        <w:rPr>
          <w:sz w:val="16"/>
        </w:rPr>
        <w:t>caso</w:t>
      </w:r>
      <w:r>
        <w:rPr>
          <w:spacing w:val="-16"/>
          <w:sz w:val="16"/>
        </w:rPr>
        <w:t> </w:t>
      </w:r>
      <w:r>
        <w:rPr>
          <w:sz w:val="16"/>
        </w:rPr>
        <w:t>de</w:t>
      </w:r>
      <w:r>
        <w:rPr>
          <w:spacing w:val="-17"/>
          <w:sz w:val="16"/>
        </w:rPr>
        <w:t> </w:t>
      </w:r>
      <w:r>
        <w:rPr>
          <w:sz w:val="16"/>
        </w:rPr>
        <w:t>empate,</w:t>
      </w:r>
      <w:r>
        <w:rPr>
          <w:spacing w:val="-15"/>
          <w:sz w:val="16"/>
        </w:rPr>
        <w:t> </w:t>
      </w:r>
      <w:r>
        <w:rPr>
          <w:sz w:val="16"/>
        </w:rPr>
        <w:t>el</w:t>
      </w:r>
      <w:r>
        <w:rPr>
          <w:spacing w:val="-15"/>
          <w:sz w:val="16"/>
        </w:rPr>
        <w:t> </w:t>
      </w:r>
      <w:r>
        <w:rPr>
          <w:sz w:val="16"/>
        </w:rPr>
        <w:t>voto</w:t>
      </w:r>
      <w:r>
        <w:rPr>
          <w:spacing w:val="-16"/>
          <w:sz w:val="16"/>
        </w:rPr>
        <w:t> </w:t>
      </w:r>
      <w:r>
        <w:rPr>
          <w:sz w:val="16"/>
        </w:rPr>
        <w:t>del</w:t>
      </w:r>
      <w:r>
        <w:rPr>
          <w:spacing w:val="-15"/>
          <w:sz w:val="16"/>
        </w:rPr>
        <w:t> </w:t>
      </w:r>
      <w:r>
        <w:rPr>
          <w:sz w:val="16"/>
        </w:rPr>
        <w:t>Presidente decidirá”. El artículo 16 del Reglamento de la Corte, titulado “Decisiones y votaciones”, establece en sus apartados 3 y 4 que “[l]as decisiones de la Corte se tomarán por mayoría de los Jueces presentes en el momento de la votación” y que “[e]n caso de empate decidirá el voto de la</w:t>
      </w:r>
      <w:r>
        <w:rPr>
          <w:spacing w:val="-25"/>
          <w:sz w:val="16"/>
        </w:rPr>
        <w:t> </w:t>
      </w:r>
      <w:r>
        <w:rPr>
          <w:sz w:val="16"/>
        </w:rPr>
        <w:t>Presidencia”.</w:t>
      </w:r>
    </w:p>
    <w:p>
      <w:pPr>
        <w:spacing w:after="0" w:line="240" w:lineRule="auto"/>
        <w:jc w:val="both"/>
        <w:rPr>
          <w:sz w:val="16"/>
        </w:rPr>
        <w:sectPr>
          <w:footerReference w:type="default" r:id="rId32"/>
          <w:pgSz w:w="12240" w:h="15840"/>
          <w:pgMar w:footer="940" w:header="0" w:top="1340" w:bottom="1140" w:left="1580" w:right="1580"/>
          <w:pgNumType w:start="120"/>
        </w:sectPr>
      </w:pPr>
    </w:p>
    <w:p>
      <w:pPr>
        <w:pStyle w:val="BodyText"/>
      </w:pPr>
    </w:p>
    <w:p>
      <w:pPr>
        <w:pStyle w:val="BodyText"/>
        <w:rPr>
          <w:sz w:val="25"/>
        </w:rPr>
      </w:pPr>
    </w:p>
    <w:p>
      <w:pPr>
        <w:pStyle w:val="BodyText"/>
        <w:spacing w:before="99"/>
        <w:ind w:left="102"/>
        <w:jc w:val="both"/>
      </w:pPr>
      <w:r>
        <w:rPr/>
        <w:t>Por unanimidad, que:</w:t>
      </w:r>
    </w:p>
    <w:p>
      <w:pPr>
        <w:pStyle w:val="BodyText"/>
      </w:pPr>
    </w:p>
    <w:p>
      <w:pPr>
        <w:pStyle w:val="ListParagraph"/>
        <w:numPr>
          <w:ilvl w:val="0"/>
          <w:numId w:val="42"/>
        </w:numPr>
        <w:tabs>
          <w:tab w:pos="810" w:val="left" w:leader="none"/>
        </w:tabs>
        <w:spacing w:line="240" w:lineRule="auto" w:before="0" w:after="0"/>
        <w:ind w:left="102" w:right="125" w:firstLine="0"/>
        <w:jc w:val="both"/>
        <w:rPr>
          <w:sz w:val="20"/>
        </w:rPr>
      </w:pPr>
      <w:r>
        <w:rPr>
          <w:sz w:val="20"/>
        </w:rPr>
        <w:t>El Estado es responsable por la violación al derecho a las garantías judiciales, establecido en el artículo 8.1 de la Convención Americana sobre Derechos Humanos,</w:t>
      </w:r>
      <w:r>
        <w:rPr>
          <w:spacing w:val="-46"/>
          <w:sz w:val="20"/>
        </w:rPr>
        <w:t> </w:t>
      </w:r>
      <w:r>
        <w:rPr>
          <w:sz w:val="20"/>
        </w:rPr>
        <w:t>en relación con el artículo 1.1 del mismo tratado, en perjuicio de las 132 comunidades indígenas señaladas en el Anexo V de la presente Sentencia, en los términos de los párrafos 294, 295, 300 a 302 y</w:t>
      </w:r>
      <w:r>
        <w:rPr>
          <w:spacing w:val="-12"/>
          <w:sz w:val="20"/>
        </w:rPr>
        <w:t> </w:t>
      </w:r>
      <w:r>
        <w:rPr>
          <w:sz w:val="20"/>
        </w:rPr>
        <w:t>305.</w:t>
      </w:r>
    </w:p>
    <w:p>
      <w:pPr>
        <w:pStyle w:val="BodyText"/>
        <w:rPr>
          <w:sz w:val="24"/>
        </w:rPr>
      </w:pPr>
    </w:p>
    <w:p>
      <w:pPr>
        <w:pStyle w:val="BodyText"/>
        <w:spacing w:before="194"/>
        <w:ind w:left="102"/>
        <w:jc w:val="both"/>
      </w:pPr>
      <w:r>
        <w:rPr/>
        <w:t>Por unanimidad, que:</w:t>
      </w:r>
    </w:p>
    <w:p>
      <w:pPr>
        <w:pStyle w:val="BodyText"/>
        <w:spacing w:before="10"/>
        <w:rPr>
          <w:sz w:val="19"/>
        </w:rPr>
      </w:pPr>
    </w:p>
    <w:p>
      <w:pPr>
        <w:pStyle w:val="ListParagraph"/>
        <w:numPr>
          <w:ilvl w:val="0"/>
          <w:numId w:val="42"/>
        </w:numPr>
        <w:tabs>
          <w:tab w:pos="810" w:val="left" w:leader="none"/>
        </w:tabs>
        <w:spacing w:line="240" w:lineRule="auto" w:before="0" w:after="0"/>
        <w:ind w:left="102" w:right="120" w:firstLine="0"/>
        <w:jc w:val="both"/>
        <w:rPr>
          <w:sz w:val="20"/>
        </w:rPr>
      </w:pPr>
      <w:r>
        <w:rPr>
          <w:sz w:val="20"/>
        </w:rPr>
        <w:t>El Estado no es responsable por la violación al derecho al reconocimiento de la personalidad jurídica ni de las libertades de pensamiento y de expresión, de asociación y</w:t>
      </w:r>
      <w:r>
        <w:rPr>
          <w:spacing w:val="-8"/>
          <w:sz w:val="20"/>
        </w:rPr>
        <w:t> </w:t>
      </w:r>
      <w:r>
        <w:rPr>
          <w:sz w:val="20"/>
        </w:rPr>
        <w:t>de</w:t>
      </w:r>
      <w:r>
        <w:rPr>
          <w:spacing w:val="-7"/>
          <w:sz w:val="20"/>
        </w:rPr>
        <w:t> </w:t>
      </w:r>
      <w:r>
        <w:rPr>
          <w:sz w:val="20"/>
        </w:rPr>
        <w:t>circulación</w:t>
      </w:r>
      <w:r>
        <w:rPr>
          <w:spacing w:val="-7"/>
          <w:sz w:val="20"/>
        </w:rPr>
        <w:t> </w:t>
      </w:r>
      <w:r>
        <w:rPr>
          <w:sz w:val="20"/>
        </w:rPr>
        <w:t>y</w:t>
      </w:r>
      <w:r>
        <w:rPr>
          <w:spacing w:val="-6"/>
          <w:sz w:val="20"/>
        </w:rPr>
        <w:t> </w:t>
      </w:r>
      <w:r>
        <w:rPr>
          <w:sz w:val="20"/>
        </w:rPr>
        <w:t>de</w:t>
      </w:r>
      <w:r>
        <w:rPr>
          <w:spacing w:val="-7"/>
          <w:sz w:val="20"/>
        </w:rPr>
        <w:t> </w:t>
      </w:r>
      <w:r>
        <w:rPr>
          <w:sz w:val="20"/>
        </w:rPr>
        <w:t>residencia,</w:t>
      </w:r>
      <w:r>
        <w:rPr>
          <w:spacing w:val="-6"/>
          <w:sz w:val="20"/>
        </w:rPr>
        <w:t> </w:t>
      </w:r>
      <w:r>
        <w:rPr>
          <w:sz w:val="20"/>
        </w:rPr>
        <w:t>conforme</w:t>
      </w:r>
      <w:r>
        <w:rPr>
          <w:spacing w:val="-6"/>
          <w:sz w:val="20"/>
        </w:rPr>
        <w:t> </w:t>
      </w:r>
      <w:r>
        <w:rPr>
          <w:sz w:val="20"/>
        </w:rPr>
        <w:t>establecen</w:t>
      </w:r>
      <w:r>
        <w:rPr>
          <w:spacing w:val="-2"/>
          <w:sz w:val="20"/>
        </w:rPr>
        <w:t> </w:t>
      </w:r>
      <w:r>
        <w:rPr>
          <w:sz w:val="20"/>
        </w:rPr>
        <w:t>los</w:t>
      </w:r>
      <w:r>
        <w:rPr>
          <w:spacing w:val="-9"/>
          <w:sz w:val="20"/>
        </w:rPr>
        <w:t> </w:t>
      </w:r>
      <w:r>
        <w:rPr>
          <w:sz w:val="20"/>
        </w:rPr>
        <w:t>artículos</w:t>
      </w:r>
      <w:r>
        <w:rPr>
          <w:spacing w:val="-7"/>
          <w:sz w:val="20"/>
        </w:rPr>
        <w:t> </w:t>
      </w:r>
      <w:r>
        <w:rPr>
          <w:sz w:val="20"/>
        </w:rPr>
        <w:t>3,</w:t>
      </w:r>
      <w:r>
        <w:rPr>
          <w:spacing w:val="-6"/>
          <w:sz w:val="20"/>
        </w:rPr>
        <w:t> </w:t>
      </w:r>
      <w:r>
        <w:rPr>
          <w:sz w:val="20"/>
        </w:rPr>
        <w:t>13,</w:t>
      </w:r>
      <w:r>
        <w:rPr>
          <w:spacing w:val="-6"/>
          <w:sz w:val="20"/>
        </w:rPr>
        <w:t> </w:t>
      </w:r>
      <w:r>
        <w:rPr>
          <w:sz w:val="20"/>
        </w:rPr>
        <w:t>16</w:t>
      </w:r>
      <w:r>
        <w:rPr>
          <w:spacing w:val="-6"/>
          <w:sz w:val="20"/>
        </w:rPr>
        <w:t> </w:t>
      </w:r>
      <w:r>
        <w:rPr>
          <w:sz w:val="20"/>
        </w:rPr>
        <w:t>y</w:t>
      </w:r>
      <w:r>
        <w:rPr>
          <w:spacing w:val="-8"/>
          <w:sz w:val="20"/>
        </w:rPr>
        <w:t> </w:t>
      </w:r>
      <w:r>
        <w:rPr>
          <w:sz w:val="20"/>
        </w:rPr>
        <w:t>22.1</w:t>
      </w:r>
      <w:r>
        <w:rPr>
          <w:spacing w:val="-6"/>
          <w:sz w:val="20"/>
        </w:rPr>
        <w:t> </w:t>
      </w:r>
      <w:r>
        <w:rPr>
          <w:sz w:val="20"/>
        </w:rPr>
        <w:t>de</w:t>
      </w:r>
      <w:r>
        <w:rPr>
          <w:spacing w:val="-7"/>
          <w:sz w:val="20"/>
        </w:rPr>
        <w:t> </w:t>
      </w:r>
      <w:r>
        <w:rPr>
          <w:sz w:val="20"/>
        </w:rPr>
        <w:t>la Convención Americana sobre Derechos Humanos, en los términos de los párrafos 153</w:t>
      </w:r>
      <w:r>
        <w:rPr>
          <w:spacing w:val="-24"/>
          <w:sz w:val="20"/>
        </w:rPr>
        <w:t> </w:t>
      </w:r>
      <w:r>
        <w:rPr>
          <w:sz w:val="20"/>
        </w:rPr>
        <w:t>a 157, 185 y 194 de la presente</w:t>
      </w:r>
      <w:r>
        <w:rPr>
          <w:spacing w:val="-18"/>
          <w:sz w:val="20"/>
        </w:rPr>
        <w:t> </w:t>
      </w:r>
      <w:r>
        <w:rPr>
          <w:sz w:val="20"/>
        </w:rPr>
        <w:t>Sentencia.</w:t>
      </w:r>
    </w:p>
    <w:p>
      <w:pPr>
        <w:pStyle w:val="BodyText"/>
        <w:rPr>
          <w:sz w:val="24"/>
        </w:rPr>
      </w:pPr>
    </w:p>
    <w:p>
      <w:pPr>
        <w:pStyle w:val="Heading3"/>
        <w:spacing w:before="194"/>
        <w:ind w:left="102"/>
        <w:jc w:val="both"/>
      </w:pPr>
      <w:r>
        <w:rPr/>
        <w:t>Y DISPONE,</w:t>
      </w:r>
    </w:p>
    <w:p>
      <w:pPr>
        <w:pStyle w:val="BodyText"/>
        <w:rPr>
          <w:b/>
          <w:sz w:val="24"/>
        </w:rPr>
      </w:pPr>
    </w:p>
    <w:p>
      <w:pPr>
        <w:pStyle w:val="BodyText"/>
        <w:spacing w:before="194"/>
        <w:ind w:left="102"/>
        <w:jc w:val="both"/>
      </w:pPr>
      <w:r>
        <w:rPr/>
        <w:t>Por unanimidad, que:</w:t>
      </w:r>
    </w:p>
    <w:p>
      <w:pPr>
        <w:pStyle w:val="BodyText"/>
      </w:pPr>
    </w:p>
    <w:p>
      <w:pPr>
        <w:pStyle w:val="ListParagraph"/>
        <w:numPr>
          <w:ilvl w:val="0"/>
          <w:numId w:val="42"/>
        </w:numPr>
        <w:tabs>
          <w:tab w:pos="810" w:val="left" w:leader="none"/>
        </w:tabs>
        <w:spacing w:line="240" w:lineRule="auto" w:before="0" w:after="0"/>
        <w:ind w:left="810" w:right="0" w:hanging="708"/>
        <w:jc w:val="both"/>
        <w:rPr>
          <w:sz w:val="20"/>
        </w:rPr>
      </w:pPr>
      <w:r>
        <w:rPr>
          <w:sz w:val="20"/>
        </w:rPr>
        <w:t>Esta Sentencia constituye por sí misma una forma de</w:t>
      </w:r>
      <w:r>
        <w:rPr>
          <w:spacing w:val="-16"/>
          <w:sz w:val="20"/>
        </w:rPr>
        <w:t> </w:t>
      </w:r>
      <w:r>
        <w:rPr>
          <w:sz w:val="20"/>
        </w:rPr>
        <w:t>reparación.</w:t>
      </w:r>
    </w:p>
    <w:p>
      <w:pPr>
        <w:pStyle w:val="BodyText"/>
        <w:rPr>
          <w:sz w:val="24"/>
        </w:rPr>
      </w:pPr>
    </w:p>
    <w:p>
      <w:pPr>
        <w:pStyle w:val="BodyText"/>
        <w:spacing w:before="192"/>
        <w:ind w:left="102"/>
        <w:jc w:val="both"/>
      </w:pPr>
      <w:r>
        <w:rPr/>
        <w:t>Por unanimidad, que:</w:t>
      </w:r>
    </w:p>
    <w:p>
      <w:pPr>
        <w:pStyle w:val="BodyText"/>
      </w:pPr>
    </w:p>
    <w:p>
      <w:pPr>
        <w:pStyle w:val="ListParagraph"/>
        <w:numPr>
          <w:ilvl w:val="0"/>
          <w:numId w:val="42"/>
        </w:numPr>
        <w:tabs>
          <w:tab w:pos="810" w:val="left" w:leader="none"/>
        </w:tabs>
        <w:spacing w:line="240" w:lineRule="auto" w:before="1" w:after="0"/>
        <w:ind w:left="102" w:right="124" w:firstLine="0"/>
        <w:jc w:val="both"/>
        <w:rPr>
          <w:sz w:val="20"/>
        </w:rPr>
      </w:pPr>
      <w:r>
        <w:rPr>
          <w:sz w:val="20"/>
        </w:rPr>
        <w:t>El</w:t>
      </w:r>
      <w:r>
        <w:rPr>
          <w:spacing w:val="-15"/>
          <w:sz w:val="20"/>
        </w:rPr>
        <w:t> </w:t>
      </w:r>
      <w:r>
        <w:rPr>
          <w:sz w:val="20"/>
        </w:rPr>
        <w:t>Estado,</w:t>
      </w:r>
      <w:r>
        <w:rPr>
          <w:spacing w:val="-13"/>
          <w:sz w:val="20"/>
        </w:rPr>
        <w:t> </w:t>
      </w:r>
      <w:r>
        <w:rPr>
          <w:sz w:val="20"/>
        </w:rPr>
        <w:t>en</w:t>
      </w:r>
      <w:r>
        <w:rPr>
          <w:spacing w:val="-14"/>
          <w:sz w:val="20"/>
        </w:rPr>
        <w:t> </w:t>
      </w:r>
      <w:r>
        <w:rPr>
          <w:sz w:val="20"/>
        </w:rPr>
        <w:t>un</w:t>
      </w:r>
      <w:r>
        <w:rPr>
          <w:spacing w:val="-14"/>
          <w:sz w:val="20"/>
        </w:rPr>
        <w:t> </w:t>
      </w:r>
      <w:r>
        <w:rPr>
          <w:sz w:val="20"/>
        </w:rPr>
        <w:t>plazo</w:t>
      </w:r>
      <w:r>
        <w:rPr>
          <w:spacing w:val="-16"/>
          <w:sz w:val="20"/>
        </w:rPr>
        <w:t> </w:t>
      </w:r>
      <w:r>
        <w:rPr>
          <w:sz w:val="20"/>
        </w:rPr>
        <w:t>de</w:t>
      </w:r>
      <w:r>
        <w:rPr>
          <w:spacing w:val="-14"/>
          <w:sz w:val="20"/>
        </w:rPr>
        <w:t> </w:t>
      </w:r>
      <w:r>
        <w:rPr>
          <w:sz w:val="20"/>
        </w:rPr>
        <w:t>seis</w:t>
      </w:r>
      <w:r>
        <w:rPr>
          <w:spacing w:val="-13"/>
          <w:sz w:val="20"/>
        </w:rPr>
        <w:t> </w:t>
      </w:r>
      <w:r>
        <w:rPr>
          <w:sz w:val="20"/>
        </w:rPr>
        <w:t>años</w:t>
      </w:r>
      <w:r>
        <w:rPr>
          <w:spacing w:val="-14"/>
          <w:sz w:val="20"/>
        </w:rPr>
        <w:t> </w:t>
      </w:r>
      <w:r>
        <w:rPr>
          <w:sz w:val="20"/>
        </w:rPr>
        <w:t>desde</w:t>
      </w:r>
      <w:r>
        <w:rPr>
          <w:spacing w:val="-14"/>
          <w:sz w:val="20"/>
        </w:rPr>
        <w:t> </w:t>
      </w:r>
      <w:r>
        <w:rPr>
          <w:sz w:val="20"/>
        </w:rPr>
        <w:t>la</w:t>
      </w:r>
      <w:r>
        <w:rPr>
          <w:spacing w:val="-15"/>
          <w:sz w:val="20"/>
        </w:rPr>
        <w:t> </w:t>
      </w:r>
      <w:r>
        <w:rPr>
          <w:sz w:val="20"/>
        </w:rPr>
        <w:t>notificación</w:t>
      </w:r>
      <w:r>
        <w:rPr>
          <w:spacing w:val="-14"/>
          <w:sz w:val="20"/>
        </w:rPr>
        <w:t> </w:t>
      </w:r>
      <w:r>
        <w:rPr>
          <w:sz w:val="20"/>
        </w:rPr>
        <w:t>de</w:t>
      </w:r>
      <w:r>
        <w:rPr>
          <w:spacing w:val="-16"/>
          <w:sz w:val="20"/>
        </w:rPr>
        <w:t> </w:t>
      </w:r>
      <w:r>
        <w:rPr>
          <w:sz w:val="20"/>
        </w:rPr>
        <w:t>la</w:t>
      </w:r>
      <w:r>
        <w:rPr>
          <w:spacing w:val="-13"/>
          <w:sz w:val="20"/>
        </w:rPr>
        <w:t> </w:t>
      </w:r>
      <w:r>
        <w:rPr>
          <w:sz w:val="20"/>
        </w:rPr>
        <w:t>presente</w:t>
      </w:r>
      <w:r>
        <w:rPr>
          <w:spacing w:val="-16"/>
          <w:sz w:val="20"/>
        </w:rPr>
        <w:t> </w:t>
      </w:r>
      <w:r>
        <w:rPr>
          <w:sz w:val="20"/>
        </w:rPr>
        <w:t>Sentencia, adoptará y concluirá las acciones necesarias a fin de delimitar, demarcar y otorgar un título que reconozca la propiedad de las 132 comunidades indígenas víctimas del presente</w:t>
      </w:r>
      <w:r>
        <w:rPr>
          <w:spacing w:val="-7"/>
          <w:sz w:val="20"/>
        </w:rPr>
        <w:t> </w:t>
      </w:r>
      <w:r>
        <w:rPr>
          <w:sz w:val="20"/>
        </w:rPr>
        <w:t>caso,</w:t>
      </w:r>
      <w:r>
        <w:rPr>
          <w:spacing w:val="-6"/>
          <w:sz w:val="20"/>
        </w:rPr>
        <w:t> </w:t>
      </w:r>
      <w:r>
        <w:rPr>
          <w:sz w:val="20"/>
        </w:rPr>
        <w:t>señaladas</w:t>
      </w:r>
      <w:r>
        <w:rPr>
          <w:spacing w:val="-6"/>
          <w:sz w:val="20"/>
        </w:rPr>
        <w:t> </w:t>
      </w:r>
      <w:r>
        <w:rPr>
          <w:sz w:val="20"/>
        </w:rPr>
        <w:t>en</w:t>
      </w:r>
      <w:r>
        <w:rPr>
          <w:spacing w:val="-7"/>
          <w:sz w:val="20"/>
        </w:rPr>
        <w:t> </w:t>
      </w:r>
      <w:r>
        <w:rPr>
          <w:sz w:val="20"/>
        </w:rPr>
        <w:t>el</w:t>
      </w:r>
      <w:r>
        <w:rPr>
          <w:spacing w:val="-6"/>
          <w:sz w:val="20"/>
        </w:rPr>
        <w:t> </w:t>
      </w:r>
      <w:r>
        <w:rPr>
          <w:sz w:val="20"/>
        </w:rPr>
        <w:t>Anexo</w:t>
      </w:r>
      <w:r>
        <w:rPr>
          <w:spacing w:val="-9"/>
          <w:sz w:val="20"/>
        </w:rPr>
        <w:t> </w:t>
      </w:r>
      <w:r>
        <w:rPr>
          <w:sz w:val="20"/>
        </w:rPr>
        <w:t>V</w:t>
      </w:r>
      <w:r>
        <w:rPr>
          <w:spacing w:val="-6"/>
          <w:sz w:val="20"/>
        </w:rPr>
        <w:t> </w:t>
      </w:r>
      <w:r>
        <w:rPr>
          <w:sz w:val="20"/>
        </w:rPr>
        <w:t>de</w:t>
      </w:r>
      <w:r>
        <w:rPr>
          <w:spacing w:val="-7"/>
          <w:sz w:val="20"/>
        </w:rPr>
        <w:t> </w:t>
      </w:r>
      <w:r>
        <w:rPr>
          <w:sz w:val="20"/>
        </w:rPr>
        <w:t>la</w:t>
      </w:r>
      <w:r>
        <w:rPr>
          <w:spacing w:val="-8"/>
          <w:sz w:val="20"/>
        </w:rPr>
        <w:t> </w:t>
      </w:r>
      <w:r>
        <w:rPr>
          <w:sz w:val="20"/>
        </w:rPr>
        <w:t>presente</w:t>
      </w:r>
      <w:r>
        <w:rPr>
          <w:spacing w:val="-9"/>
          <w:sz w:val="20"/>
        </w:rPr>
        <w:t> </w:t>
      </w:r>
      <w:r>
        <w:rPr>
          <w:sz w:val="20"/>
        </w:rPr>
        <w:t>Sentencia,</w:t>
      </w:r>
      <w:r>
        <w:rPr>
          <w:spacing w:val="-8"/>
          <w:sz w:val="20"/>
        </w:rPr>
        <w:t> </w:t>
      </w:r>
      <w:r>
        <w:rPr>
          <w:sz w:val="20"/>
        </w:rPr>
        <w:t>sobre</w:t>
      </w:r>
      <w:r>
        <w:rPr>
          <w:spacing w:val="-7"/>
          <w:sz w:val="20"/>
        </w:rPr>
        <w:t> </w:t>
      </w:r>
      <w:r>
        <w:rPr>
          <w:sz w:val="20"/>
        </w:rPr>
        <w:t>su</w:t>
      </w:r>
      <w:r>
        <w:rPr>
          <w:spacing w:val="-7"/>
          <w:sz w:val="20"/>
        </w:rPr>
        <w:t> </w:t>
      </w:r>
      <w:r>
        <w:rPr>
          <w:sz w:val="20"/>
        </w:rPr>
        <w:t>territorio,</w:t>
      </w:r>
      <w:r>
        <w:rPr>
          <w:spacing w:val="-6"/>
          <w:sz w:val="20"/>
        </w:rPr>
        <w:t> </w:t>
      </w:r>
      <w:r>
        <w:rPr>
          <w:sz w:val="20"/>
        </w:rPr>
        <w:t>en los términos de los párrafos 325, 327 y 343 de la presente</w:t>
      </w:r>
      <w:r>
        <w:rPr>
          <w:spacing w:val="-27"/>
          <w:sz w:val="20"/>
        </w:rPr>
        <w:t> </w:t>
      </w:r>
      <w:r>
        <w:rPr>
          <w:sz w:val="20"/>
        </w:rPr>
        <w:t>Sentencia.</w:t>
      </w:r>
    </w:p>
    <w:p>
      <w:pPr>
        <w:pStyle w:val="BodyText"/>
        <w:rPr>
          <w:sz w:val="24"/>
        </w:rPr>
      </w:pPr>
    </w:p>
    <w:p>
      <w:pPr>
        <w:pStyle w:val="BodyText"/>
        <w:spacing w:before="195"/>
        <w:ind w:left="102"/>
        <w:jc w:val="both"/>
      </w:pPr>
      <w:r>
        <w:rPr/>
        <w:t>Por unanimidad, que:</w:t>
      </w:r>
    </w:p>
    <w:p>
      <w:pPr>
        <w:pStyle w:val="BodyText"/>
        <w:spacing w:before="1"/>
      </w:pPr>
    </w:p>
    <w:p>
      <w:pPr>
        <w:pStyle w:val="ListParagraph"/>
        <w:numPr>
          <w:ilvl w:val="0"/>
          <w:numId w:val="42"/>
        </w:numPr>
        <w:tabs>
          <w:tab w:pos="810" w:val="left" w:leader="none"/>
        </w:tabs>
        <w:spacing w:line="240" w:lineRule="auto" w:before="0" w:after="0"/>
        <w:ind w:left="102" w:right="117" w:firstLine="0"/>
        <w:jc w:val="both"/>
        <w:rPr>
          <w:sz w:val="20"/>
        </w:rPr>
      </w:pPr>
      <w:r>
        <w:rPr>
          <w:sz w:val="20"/>
        </w:rPr>
        <w:t>El Estado se abstendrá de realizar actos, obras o emprendimientos sobre el territorio indígena o que puedan afectar su existencia, valor, uso o goce, sin la previa provisión de información a las comunidades indígenas víctimas, así como de la realización</w:t>
      </w:r>
      <w:r>
        <w:rPr>
          <w:spacing w:val="-10"/>
          <w:sz w:val="20"/>
        </w:rPr>
        <w:t> </w:t>
      </w:r>
      <w:r>
        <w:rPr>
          <w:sz w:val="20"/>
        </w:rPr>
        <w:t>de</w:t>
      </w:r>
      <w:r>
        <w:rPr>
          <w:spacing w:val="-13"/>
          <w:sz w:val="20"/>
        </w:rPr>
        <w:t> </w:t>
      </w:r>
      <w:r>
        <w:rPr>
          <w:sz w:val="20"/>
        </w:rPr>
        <w:t>consultas</w:t>
      </w:r>
      <w:r>
        <w:rPr>
          <w:spacing w:val="-9"/>
          <w:sz w:val="20"/>
        </w:rPr>
        <w:t> </w:t>
      </w:r>
      <w:r>
        <w:rPr>
          <w:sz w:val="20"/>
        </w:rPr>
        <w:t>previas</w:t>
      </w:r>
      <w:r>
        <w:rPr>
          <w:spacing w:val="-12"/>
          <w:sz w:val="20"/>
        </w:rPr>
        <w:t> </w:t>
      </w:r>
      <w:r>
        <w:rPr>
          <w:sz w:val="20"/>
        </w:rPr>
        <w:t>adecuadas,</w:t>
      </w:r>
      <w:r>
        <w:rPr>
          <w:spacing w:val="-12"/>
          <w:sz w:val="20"/>
        </w:rPr>
        <w:t> </w:t>
      </w:r>
      <w:r>
        <w:rPr>
          <w:sz w:val="20"/>
        </w:rPr>
        <w:t>libres</w:t>
      </w:r>
      <w:r>
        <w:rPr>
          <w:spacing w:val="-12"/>
          <w:sz w:val="20"/>
        </w:rPr>
        <w:t> </w:t>
      </w:r>
      <w:r>
        <w:rPr>
          <w:sz w:val="20"/>
        </w:rPr>
        <w:t>e</w:t>
      </w:r>
      <w:r>
        <w:rPr>
          <w:spacing w:val="-13"/>
          <w:sz w:val="20"/>
        </w:rPr>
        <w:t> </w:t>
      </w:r>
      <w:r>
        <w:rPr>
          <w:sz w:val="20"/>
        </w:rPr>
        <w:t>informadas,</w:t>
      </w:r>
      <w:r>
        <w:rPr>
          <w:spacing w:val="-12"/>
          <w:sz w:val="20"/>
        </w:rPr>
        <w:t> </w:t>
      </w:r>
      <w:r>
        <w:rPr>
          <w:sz w:val="20"/>
        </w:rPr>
        <w:t>de</w:t>
      </w:r>
      <w:r>
        <w:rPr>
          <w:spacing w:val="-13"/>
          <w:sz w:val="20"/>
        </w:rPr>
        <w:t> </w:t>
      </w:r>
      <w:r>
        <w:rPr>
          <w:sz w:val="20"/>
        </w:rPr>
        <w:t>acuerdo</w:t>
      </w:r>
      <w:r>
        <w:rPr>
          <w:spacing w:val="-12"/>
          <w:sz w:val="20"/>
        </w:rPr>
        <w:t> </w:t>
      </w:r>
      <w:r>
        <w:rPr>
          <w:sz w:val="20"/>
        </w:rPr>
        <w:t>a</w:t>
      </w:r>
      <w:r>
        <w:rPr>
          <w:spacing w:val="-3"/>
          <w:sz w:val="20"/>
        </w:rPr>
        <w:t> </w:t>
      </w:r>
      <w:r>
        <w:rPr>
          <w:sz w:val="20"/>
        </w:rPr>
        <w:t>las</w:t>
      </w:r>
      <w:r>
        <w:rPr>
          <w:spacing w:val="-12"/>
          <w:sz w:val="20"/>
        </w:rPr>
        <w:t> </w:t>
      </w:r>
      <w:r>
        <w:rPr>
          <w:sz w:val="20"/>
        </w:rPr>
        <w:t>pautas señaladas</w:t>
      </w:r>
      <w:r>
        <w:rPr>
          <w:spacing w:val="-7"/>
          <w:sz w:val="20"/>
        </w:rPr>
        <w:t> </w:t>
      </w:r>
      <w:r>
        <w:rPr>
          <w:sz w:val="20"/>
        </w:rPr>
        <w:t>en</w:t>
      </w:r>
      <w:r>
        <w:rPr>
          <w:spacing w:val="-8"/>
          <w:sz w:val="20"/>
        </w:rPr>
        <w:t> </w:t>
      </w:r>
      <w:r>
        <w:rPr>
          <w:sz w:val="20"/>
        </w:rPr>
        <w:t>la</w:t>
      </w:r>
      <w:r>
        <w:rPr>
          <w:spacing w:val="-9"/>
          <w:sz w:val="20"/>
        </w:rPr>
        <w:t> </w:t>
      </w:r>
      <w:r>
        <w:rPr>
          <w:sz w:val="20"/>
        </w:rPr>
        <w:t>presente</w:t>
      </w:r>
      <w:r>
        <w:rPr>
          <w:spacing w:val="-9"/>
          <w:sz w:val="20"/>
        </w:rPr>
        <w:t> </w:t>
      </w:r>
      <w:r>
        <w:rPr>
          <w:sz w:val="20"/>
        </w:rPr>
        <w:t>Sentencia,</w:t>
      </w:r>
      <w:r>
        <w:rPr>
          <w:spacing w:val="-9"/>
          <w:sz w:val="20"/>
        </w:rPr>
        <w:t> </w:t>
      </w:r>
      <w:r>
        <w:rPr>
          <w:sz w:val="20"/>
        </w:rPr>
        <w:t>en</w:t>
      </w:r>
      <w:r>
        <w:rPr>
          <w:spacing w:val="-8"/>
          <w:sz w:val="20"/>
        </w:rPr>
        <w:t> </w:t>
      </w:r>
      <w:r>
        <w:rPr>
          <w:sz w:val="20"/>
        </w:rPr>
        <w:t>los</w:t>
      </w:r>
      <w:r>
        <w:rPr>
          <w:spacing w:val="-9"/>
          <w:sz w:val="20"/>
        </w:rPr>
        <w:t> </w:t>
      </w:r>
      <w:r>
        <w:rPr>
          <w:sz w:val="20"/>
        </w:rPr>
        <w:t>términos</w:t>
      </w:r>
      <w:r>
        <w:rPr>
          <w:spacing w:val="-7"/>
          <w:sz w:val="20"/>
        </w:rPr>
        <w:t> </w:t>
      </w:r>
      <w:r>
        <w:rPr>
          <w:sz w:val="20"/>
        </w:rPr>
        <w:t>indicados</w:t>
      </w:r>
      <w:r>
        <w:rPr>
          <w:spacing w:val="-7"/>
          <w:sz w:val="20"/>
        </w:rPr>
        <w:t> </w:t>
      </w:r>
      <w:r>
        <w:rPr>
          <w:sz w:val="20"/>
        </w:rPr>
        <w:t>en</w:t>
      </w:r>
      <w:r>
        <w:rPr>
          <w:spacing w:val="-8"/>
          <w:sz w:val="20"/>
        </w:rPr>
        <w:t> </w:t>
      </w:r>
      <w:r>
        <w:rPr>
          <w:sz w:val="20"/>
        </w:rPr>
        <w:t>los</w:t>
      </w:r>
      <w:r>
        <w:rPr>
          <w:spacing w:val="-9"/>
          <w:sz w:val="20"/>
        </w:rPr>
        <w:t> </w:t>
      </w:r>
      <w:r>
        <w:rPr>
          <w:sz w:val="20"/>
        </w:rPr>
        <w:t>párrafos</w:t>
      </w:r>
      <w:r>
        <w:rPr>
          <w:spacing w:val="-9"/>
          <w:sz w:val="20"/>
        </w:rPr>
        <w:t> </w:t>
      </w:r>
      <w:r>
        <w:rPr>
          <w:sz w:val="20"/>
        </w:rPr>
        <w:t>328</w:t>
      </w:r>
      <w:r>
        <w:rPr>
          <w:spacing w:val="-8"/>
          <w:sz w:val="20"/>
        </w:rPr>
        <w:t> </w:t>
      </w:r>
      <w:r>
        <w:rPr>
          <w:sz w:val="20"/>
        </w:rPr>
        <w:t>y</w:t>
      </w:r>
      <w:r>
        <w:rPr>
          <w:spacing w:val="-9"/>
          <w:sz w:val="20"/>
        </w:rPr>
        <w:t> </w:t>
      </w:r>
      <w:r>
        <w:rPr>
          <w:sz w:val="20"/>
        </w:rPr>
        <w:t>343 de la presente</w:t>
      </w:r>
      <w:r>
        <w:rPr>
          <w:spacing w:val="-9"/>
          <w:sz w:val="20"/>
        </w:rPr>
        <w:t> </w:t>
      </w:r>
      <w:r>
        <w:rPr>
          <w:sz w:val="20"/>
        </w:rPr>
        <w:t>Sentencia.</w:t>
      </w:r>
    </w:p>
    <w:p>
      <w:pPr>
        <w:pStyle w:val="BodyText"/>
        <w:rPr>
          <w:sz w:val="24"/>
        </w:rPr>
      </w:pPr>
    </w:p>
    <w:p>
      <w:pPr>
        <w:pStyle w:val="BodyText"/>
        <w:spacing w:before="194"/>
        <w:ind w:left="102"/>
        <w:jc w:val="both"/>
      </w:pPr>
      <w:r>
        <w:rPr/>
        <w:t>Por unanimidad, que:</w:t>
      </w:r>
    </w:p>
    <w:p>
      <w:pPr>
        <w:pStyle w:val="BodyText"/>
        <w:spacing w:before="10"/>
        <w:rPr>
          <w:sz w:val="19"/>
        </w:rPr>
      </w:pPr>
    </w:p>
    <w:p>
      <w:pPr>
        <w:pStyle w:val="ListParagraph"/>
        <w:numPr>
          <w:ilvl w:val="0"/>
          <w:numId w:val="42"/>
        </w:numPr>
        <w:tabs>
          <w:tab w:pos="810" w:val="left" w:leader="none"/>
        </w:tabs>
        <w:spacing w:line="240" w:lineRule="auto" w:before="0" w:after="0"/>
        <w:ind w:left="102" w:right="122" w:firstLine="0"/>
        <w:jc w:val="both"/>
        <w:rPr>
          <w:sz w:val="20"/>
        </w:rPr>
      </w:pPr>
      <w:r>
        <w:rPr>
          <w:sz w:val="20"/>
        </w:rPr>
        <w:t>El Estado, en un plazo de seis años contado desde la notificación de la presente Sentencia, concretará el traslado de la población criolla fuera del territorio indígena, en los términos señalados en los párrafos 325, 329 y 343 de la presente</w:t>
      </w:r>
      <w:r>
        <w:rPr>
          <w:spacing w:val="-26"/>
          <w:sz w:val="20"/>
        </w:rPr>
        <w:t> </w:t>
      </w:r>
      <w:r>
        <w:rPr>
          <w:sz w:val="20"/>
        </w:rPr>
        <w:t>Sentencia.</w:t>
      </w:r>
    </w:p>
    <w:p>
      <w:pPr>
        <w:spacing w:after="0" w:line="240" w:lineRule="auto"/>
        <w:jc w:val="both"/>
        <w:rPr>
          <w:sz w:val="20"/>
        </w:rPr>
        <w:sectPr>
          <w:pgSz w:w="12240" w:h="15840"/>
          <w:pgMar w:header="0" w:footer="940" w:top="1500" w:bottom="1200" w:left="1600" w:right="1580"/>
        </w:sectPr>
      </w:pPr>
    </w:p>
    <w:p>
      <w:pPr>
        <w:pStyle w:val="BodyText"/>
      </w:pPr>
    </w:p>
    <w:p>
      <w:pPr>
        <w:pStyle w:val="BodyText"/>
        <w:rPr>
          <w:sz w:val="25"/>
        </w:rPr>
      </w:pPr>
    </w:p>
    <w:p>
      <w:pPr>
        <w:pStyle w:val="BodyText"/>
        <w:spacing w:before="99"/>
        <w:ind w:left="102"/>
        <w:jc w:val="both"/>
      </w:pPr>
      <w:r>
        <w:rPr/>
        <w:t>Por unanimidad, que:</w:t>
      </w:r>
    </w:p>
    <w:p>
      <w:pPr>
        <w:pStyle w:val="BodyText"/>
      </w:pPr>
    </w:p>
    <w:p>
      <w:pPr>
        <w:pStyle w:val="ListParagraph"/>
        <w:numPr>
          <w:ilvl w:val="0"/>
          <w:numId w:val="42"/>
        </w:numPr>
        <w:tabs>
          <w:tab w:pos="810" w:val="left" w:leader="none"/>
        </w:tabs>
        <w:spacing w:line="240" w:lineRule="auto" w:before="0" w:after="0"/>
        <w:ind w:left="102" w:right="120" w:firstLine="0"/>
        <w:jc w:val="both"/>
        <w:rPr>
          <w:sz w:val="20"/>
        </w:rPr>
      </w:pPr>
      <w:r>
        <w:rPr>
          <w:sz w:val="20"/>
        </w:rPr>
        <w:t>El Estado, en un plazo de seis años contado desde la notificación de la presente Sentencia, removerá del territorio indígena los alambrados y el ganado perteneciente a pobladores criollos, en los términos señalados en los párrafos 325, 330 y 343 de la presente</w:t>
      </w:r>
      <w:r>
        <w:rPr>
          <w:spacing w:val="-8"/>
          <w:sz w:val="20"/>
        </w:rPr>
        <w:t> </w:t>
      </w:r>
      <w:r>
        <w:rPr>
          <w:sz w:val="20"/>
        </w:rPr>
        <w:t>Sentencia.</w:t>
      </w:r>
    </w:p>
    <w:p>
      <w:pPr>
        <w:pStyle w:val="BodyText"/>
        <w:rPr>
          <w:sz w:val="24"/>
        </w:rPr>
      </w:pPr>
    </w:p>
    <w:p>
      <w:pPr>
        <w:pStyle w:val="BodyText"/>
        <w:spacing w:before="192"/>
        <w:ind w:left="102"/>
        <w:jc w:val="both"/>
      </w:pPr>
      <w:r>
        <w:rPr/>
        <w:t>Por cinco votos contra uno, que:</w:t>
      </w:r>
    </w:p>
    <w:p>
      <w:pPr>
        <w:pStyle w:val="BodyText"/>
        <w:spacing w:before="1"/>
      </w:pPr>
    </w:p>
    <w:p>
      <w:pPr>
        <w:pStyle w:val="ListParagraph"/>
        <w:numPr>
          <w:ilvl w:val="0"/>
          <w:numId w:val="42"/>
        </w:numPr>
        <w:tabs>
          <w:tab w:pos="810" w:val="left" w:leader="none"/>
        </w:tabs>
        <w:spacing w:line="240" w:lineRule="auto" w:before="0" w:after="0"/>
        <w:ind w:left="102" w:right="118" w:firstLine="0"/>
        <w:jc w:val="both"/>
        <w:rPr>
          <w:sz w:val="20"/>
        </w:rPr>
      </w:pPr>
      <w:r>
        <w:rPr>
          <w:sz w:val="20"/>
        </w:rPr>
        <w:t>El Estado, en el plazo máximo de seis meses contado a partir de la notificación de</w:t>
      </w:r>
      <w:r>
        <w:rPr>
          <w:spacing w:val="-15"/>
          <w:sz w:val="20"/>
        </w:rPr>
        <w:t> </w:t>
      </w:r>
      <w:r>
        <w:rPr>
          <w:sz w:val="20"/>
        </w:rPr>
        <w:t>la</w:t>
      </w:r>
      <w:r>
        <w:rPr>
          <w:spacing w:val="-13"/>
          <w:sz w:val="20"/>
        </w:rPr>
        <w:t> </w:t>
      </w:r>
      <w:r>
        <w:rPr>
          <w:sz w:val="20"/>
        </w:rPr>
        <w:t>presente</w:t>
      </w:r>
      <w:r>
        <w:rPr>
          <w:spacing w:val="-15"/>
          <w:sz w:val="20"/>
        </w:rPr>
        <w:t> </w:t>
      </w:r>
      <w:r>
        <w:rPr>
          <w:sz w:val="20"/>
        </w:rPr>
        <w:t>Sentencia,</w:t>
      </w:r>
      <w:r>
        <w:rPr>
          <w:spacing w:val="-14"/>
          <w:sz w:val="20"/>
        </w:rPr>
        <w:t> </w:t>
      </w:r>
      <w:r>
        <w:rPr>
          <w:sz w:val="20"/>
        </w:rPr>
        <w:t>presentará</w:t>
      </w:r>
      <w:r>
        <w:rPr>
          <w:spacing w:val="-11"/>
          <w:sz w:val="20"/>
        </w:rPr>
        <w:t> </w:t>
      </w:r>
      <w:r>
        <w:rPr>
          <w:sz w:val="20"/>
        </w:rPr>
        <w:t>a</w:t>
      </w:r>
      <w:r>
        <w:rPr>
          <w:spacing w:val="-13"/>
          <w:sz w:val="20"/>
        </w:rPr>
        <w:t> </w:t>
      </w:r>
      <w:r>
        <w:rPr>
          <w:sz w:val="20"/>
        </w:rPr>
        <w:t>la</w:t>
      </w:r>
      <w:r>
        <w:rPr>
          <w:spacing w:val="-11"/>
          <w:sz w:val="20"/>
        </w:rPr>
        <w:t> </w:t>
      </w:r>
      <w:r>
        <w:rPr>
          <w:sz w:val="20"/>
        </w:rPr>
        <w:t>Corte</w:t>
      </w:r>
      <w:r>
        <w:rPr>
          <w:spacing w:val="-10"/>
          <w:sz w:val="20"/>
        </w:rPr>
        <w:t> </w:t>
      </w:r>
      <w:r>
        <w:rPr>
          <w:sz w:val="20"/>
        </w:rPr>
        <w:t>un</w:t>
      </w:r>
      <w:r>
        <w:rPr>
          <w:spacing w:val="-13"/>
          <w:sz w:val="20"/>
        </w:rPr>
        <w:t> </w:t>
      </w:r>
      <w:r>
        <w:rPr>
          <w:sz w:val="20"/>
        </w:rPr>
        <w:t>estudio</w:t>
      </w:r>
      <w:r>
        <w:rPr>
          <w:spacing w:val="-12"/>
          <w:sz w:val="20"/>
        </w:rPr>
        <w:t> </w:t>
      </w:r>
      <w:r>
        <w:rPr>
          <w:sz w:val="20"/>
        </w:rPr>
        <w:t>en</w:t>
      </w:r>
      <w:r>
        <w:rPr>
          <w:spacing w:val="-13"/>
          <w:sz w:val="20"/>
        </w:rPr>
        <w:t> </w:t>
      </w:r>
      <w:r>
        <w:rPr>
          <w:sz w:val="20"/>
        </w:rPr>
        <w:t>que</w:t>
      </w:r>
      <w:r>
        <w:rPr>
          <w:spacing w:val="-13"/>
          <w:sz w:val="20"/>
        </w:rPr>
        <w:t> </w:t>
      </w:r>
      <w:r>
        <w:rPr>
          <w:sz w:val="20"/>
        </w:rPr>
        <w:t>identifique</w:t>
      </w:r>
      <w:r>
        <w:rPr>
          <w:spacing w:val="-15"/>
          <w:sz w:val="20"/>
        </w:rPr>
        <w:t> </w:t>
      </w:r>
      <w:r>
        <w:rPr>
          <w:sz w:val="20"/>
        </w:rPr>
        <w:t>situaciones críticas</w:t>
      </w:r>
      <w:r>
        <w:rPr>
          <w:spacing w:val="-7"/>
          <w:sz w:val="20"/>
        </w:rPr>
        <w:t> </w:t>
      </w:r>
      <w:r>
        <w:rPr>
          <w:sz w:val="20"/>
        </w:rPr>
        <w:t>de</w:t>
      </w:r>
      <w:r>
        <w:rPr>
          <w:spacing w:val="-7"/>
          <w:sz w:val="20"/>
        </w:rPr>
        <w:t> </w:t>
      </w:r>
      <w:r>
        <w:rPr>
          <w:sz w:val="20"/>
        </w:rPr>
        <w:t>falta</w:t>
      </w:r>
      <w:r>
        <w:rPr>
          <w:spacing w:val="-8"/>
          <w:sz w:val="20"/>
        </w:rPr>
        <w:t> </w:t>
      </w:r>
      <w:r>
        <w:rPr>
          <w:sz w:val="20"/>
        </w:rPr>
        <w:t>de</w:t>
      </w:r>
      <w:r>
        <w:rPr>
          <w:spacing w:val="-9"/>
          <w:sz w:val="20"/>
        </w:rPr>
        <w:t> </w:t>
      </w:r>
      <w:r>
        <w:rPr>
          <w:sz w:val="20"/>
        </w:rPr>
        <w:t>acceso</w:t>
      </w:r>
      <w:r>
        <w:rPr>
          <w:spacing w:val="-9"/>
          <w:sz w:val="20"/>
        </w:rPr>
        <w:t> </w:t>
      </w:r>
      <w:r>
        <w:rPr>
          <w:sz w:val="20"/>
        </w:rPr>
        <w:t>a</w:t>
      </w:r>
      <w:r>
        <w:rPr>
          <w:spacing w:val="-8"/>
          <w:sz w:val="20"/>
        </w:rPr>
        <w:t> </w:t>
      </w:r>
      <w:r>
        <w:rPr>
          <w:sz w:val="20"/>
        </w:rPr>
        <w:t>agua</w:t>
      </w:r>
      <w:r>
        <w:rPr>
          <w:spacing w:val="-8"/>
          <w:sz w:val="20"/>
        </w:rPr>
        <w:t> </w:t>
      </w:r>
      <w:r>
        <w:rPr>
          <w:sz w:val="20"/>
        </w:rPr>
        <w:t>potable</w:t>
      </w:r>
      <w:r>
        <w:rPr>
          <w:spacing w:val="-9"/>
          <w:sz w:val="20"/>
        </w:rPr>
        <w:t> </w:t>
      </w:r>
      <w:r>
        <w:rPr>
          <w:sz w:val="20"/>
        </w:rPr>
        <w:t>o</w:t>
      </w:r>
      <w:r>
        <w:rPr>
          <w:spacing w:val="-7"/>
          <w:sz w:val="20"/>
        </w:rPr>
        <w:t> </w:t>
      </w:r>
      <w:r>
        <w:rPr>
          <w:sz w:val="20"/>
        </w:rPr>
        <w:t>alimentación</w:t>
      </w:r>
      <w:r>
        <w:rPr>
          <w:spacing w:val="-7"/>
          <w:sz w:val="20"/>
        </w:rPr>
        <w:t> </w:t>
      </w:r>
      <w:r>
        <w:rPr>
          <w:sz w:val="20"/>
        </w:rPr>
        <w:t>y</w:t>
      </w:r>
      <w:r>
        <w:rPr>
          <w:spacing w:val="-6"/>
          <w:sz w:val="20"/>
        </w:rPr>
        <w:t> </w:t>
      </w:r>
      <w:r>
        <w:rPr>
          <w:sz w:val="20"/>
        </w:rPr>
        <w:t>formulará</w:t>
      </w:r>
      <w:r>
        <w:rPr>
          <w:spacing w:val="-5"/>
          <w:sz w:val="20"/>
        </w:rPr>
        <w:t> </w:t>
      </w:r>
      <w:r>
        <w:rPr>
          <w:sz w:val="20"/>
        </w:rPr>
        <w:t>e</w:t>
      </w:r>
      <w:r>
        <w:rPr>
          <w:spacing w:val="-9"/>
          <w:sz w:val="20"/>
        </w:rPr>
        <w:t> </w:t>
      </w:r>
      <w:r>
        <w:rPr>
          <w:sz w:val="20"/>
        </w:rPr>
        <w:t>implementará</w:t>
      </w:r>
      <w:r>
        <w:rPr>
          <w:spacing w:val="-6"/>
          <w:sz w:val="20"/>
        </w:rPr>
        <w:t> </w:t>
      </w:r>
      <w:r>
        <w:rPr>
          <w:sz w:val="20"/>
        </w:rPr>
        <w:t>un plan de acción, en los términos señalados en los párrafos 332 y 343 de la presente Sentencia.</w:t>
      </w:r>
    </w:p>
    <w:p>
      <w:pPr>
        <w:pStyle w:val="BodyText"/>
        <w:spacing w:before="1"/>
      </w:pPr>
    </w:p>
    <w:p>
      <w:pPr>
        <w:pStyle w:val="BodyText"/>
        <w:ind w:left="102"/>
        <w:jc w:val="both"/>
      </w:pPr>
      <w:r>
        <w:rPr/>
        <w:t>Disiente el Juez Eduardo Vio Grossi.</w:t>
      </w:r>
    </w:p>
    <w:p>
      <w:pPr>
        <w:pStyle w:val="BodyText"/>
        <w:rPr>
          <w:sz w:val="24"/>
        </w:rPr>
      </w:pPr>
    </w:p>
    <w:p>
      <w:pPr>
        <w:pStyle w:val="BodyText"/>
        <w:spacing w:before="195"/>
        <w:ind w:left="102"/>
        <w:jc w:val="both"/>
      </w:pPr>
      <w:r>
        <w:rPr/>
        <w:t>Por cinco votos contra uno, que:</w:t>
      </w:r>
    </w:p>
    <w:p>
      <w:pPr>
        <w:pStyle w:val="BodyText"/>
        <w:spacing w:before="11"/>
        <w:rPr>
          <w:sz w:val="19"/>
        </w:rPr>
      </w:pPr>
    </w:p>
    <w:p>
      <w:pPr>
        <w:pStyle w:val="ListParagraph"/>
        <w:numPr>
          <w:ilvl w:val="0"/>
          <w:numId w:val="42"/>
        </w:numPr>
        <w:tabs>
          <w:tab w:pos="810" w:val="left" w:leader="none"/>
        </w:tabs>
        <w:spacing w:line="240" w:lineRule="auto" w:before="0" w:after="0"/>
        <w:ind w:left="102" w:right="119" w:firstLine="0"/>
        <w:jc w:val="both"/>
        <w:rPr>
          <w:sz w:val="20"/>
        </w:rPr>
      </w:pPr>
      <w:r>
        <w:rPr>
          <w:sz w:val="20"/>
        </w:rPr>
        <w:t>El</w:t>
      </w:r>
      <w:r>
        <w:rPr>
          <w:spacing w:val="-10"/>
          <w:sz w:val="20"/>
        </w:rPr>
        <w:t> </w:t>
      </w:r>
      <w:r>
        <w:rPr>
          <w:sz w:val="20"/>
        </w:rPr>
        <w:t>Estado,</w:t>
      </w:r>
      <w:r>
        <w:rPr>
          <w:spacing w:val="-11"/>
          <w:sz w:val="20"/>
        </w:rPr>
        <w:t> </w:t>
      </w:r>
      <w:r>
        <w:rPr>
          <w:sz w:val="20"/>
        </w:rPr>
        <w:t>en</w:t>
      </w:r>
      <w:r>
        <w:rPr>
          <w:spacing w:val="-9"/>
          <w:sz w:val="20"/>
        </w:rPr>
        <w:t> </w:t>
      </w:r>
      <w:r>
        <w:rPr>
          <w:sz w:val="20"/>
        </w:rPr>
        <w:t>un</w:t>
      </w:r>
      <w:r>
        <w:rPr>
          <w:spacing w:val="-9"/>
          <w:sz w:val="20"/>
        </w:rPr>
        <w:t> </w:t>
      </w:r>
      <w:r>
        <w:rPr>
          <w:sz w:val="20"/>
        </w:rPr>
        <w:t>plazo</w:t>
      </w:r>
      <w:r>
        <w:rPr>
          <w:spacing w:val="-11"/>
          <w:sz w:val="20"/>
        </w:rPr>
        <w:t> </w:t>
      </w:r>
      <w:r>
        <w:rPr>
          <w:sz w:val="20"/>
        </w:rPr>
        <w:t>de</w:t>
      </w:r>
      <w:r>
        <w:rPr>
          <w:spacing w:val="-12"/>
          <w:sz w:val="20"/>
        </w:rPr>
        <w:t> </w:t>
      </w:r>
      <w:r>
        <w:rPr>
          <w:sz w:val="20"/>
        </w:rPr>
        <w:t>un</w:t>
      </w:r>
      <w:r>
        <w:rPr>
          <w:spacing w:val="-7"/>
          <w:sz w:val="20"/>
        </w:rPr>
        <w:t> </w:t>
      </w:r>
      <w:r>
        <w:rPr>
          <w:sz w:val="20"/>
        </w:rPr>
        <w:t>año</w:t>
      </w:r>
      <w:r>
        <w:rPr>
          <w:spacing w:val="-11"/>
          <w:sz w:val="20"/>
        </w:rPr>
        <w:t> </w:t>
      </w:r>
      <w:r>
        <w:rPr>
          <w:sz w:val="20"/>
        </w:rPr>
        <w:t>contado</w:t>
      </w:r>
      <w:r>
        <w:rPr>
          <w:spacing w:val="-11"/>
          <w:sz w:val="20"/>
        </w:rPr>
        <w:t> </w:t>
      </w:r>
      <w:r>
        <w:rPr>
          <w:sz w:val="20"/>
        </w:rPr>
        <w:t>a</w:t>
      </w:r>
      <w:r>
        <w:rPr>
          <w:spacing w:val="-10"/>
          <w:sz w:val="20"/>
        </w:rPr>
        <w:t> </w:t>
      </w:r>
      <w:r>
        <w:rPr>
          <w:sz w:val="20"/>
        </w:rPr>
        <w:t>partir</w:t>
      </w:r>
      <w:r>
        <w:rPr>
          <w:spacing w:val="-11"/>
          <w:sz w:val="20"/>
        </w:rPr>
        <w:t> </w:t>
      </w:r>
      <w:r>
        <w:rPr>
          <w:sz w:val="20"/>
        </w:rPr>
        <w:t>de</w:t>
      </w:r>
      <w:r>
        <w:rPr>
          <w:spacing w:val="-12"/>
          <w:sz w:val="20"/>
        </w:rPr>
        <w:t> </w:t>
      </w:r>
      <w:r>
        <w:rPr>
          <w:sz w:val="20"/>
        </w:rPr>
        <w:t>la</w:t>
      </w:r>
      <w:r>
        <w:rPr>
          <w:spacing w:val="-10"/>
          <w:sz w:val="20"/>
        </w:rPr>
        <w:t> </w:t>
      </w:r>
      <w:r>
        <w:rPr>
          <w:sz w:val="20"/>
        </w:rPr>
        <w:t>notificación</w:t>
      </w:r>
      <w:r>
        <w:rPr>
          <w:spacing w:val="-10"/>
          <w:sz w:val="20"/>
        </w:rPr>
        <w:t> </w:t>
      </w:r>
      <w:r>
        <w:rPr>
          <w:sz w:val="20"/>
        </w:rPr>
        <w:t>de</w:t>
      </w:r>
      <w:r>
        <w:rPr>
          <w:spacing w:val="-12"/>
          <w:sz w:val="20"/>
        </w:rPr>
        <w:t> </w:t>
      </w:r>
      <w:r>
        <w:rPr>
          <w:sz w:val="20"/>
        </w:rPr>
        <w:t>la</w:t>
      </w:r>
      <w:r>
        <w:rPr>
          <w:spacing w:val="-8"/>
          <w:sz w:val="20"/>
        </w:rPr>
        <w:t> </w:t>
      </w:r>
      <w:r>
        <w:rPr>
          <w:sz w:val="20"/>
        </w:rPr>
        <w:t>presente Sentencia,</w:t>
      </w:r>
      <w:r>
        <w:rPr>
          <w:spacing w:val="-15"/>
          <w:sz w:val="20"/>
        </w:rPr>
        <w:t> </w:t>
      </w:r>
      <w:r>
        <w:rPr>
          <w:sz w:val="20"/>
        </w:rPr>
        <w:t>elaborará</w:t>
      </w:r>
      <w:r>
        <w:rPr>
          <w:spacing w:val="-16"/>
          <w:sz w:val="20"/>
        </w:rPr>
        <w:t> </w:t>
      </w:r>
      <w:r>
        <w:rPr>
          <w:sz w:val="20"/>
        </w:rPr>
        <w:t>un</w:t>
      </w:r>
      <w:r>
        <w:rPr>
          <w:spacing w:val="-13"/>
          <w:sz w:val="20"/>
        </w:rPr>
        <w:t> </w:t>
      </w:r>
      <w:r>
        <w:rPr>
          <w:sz w:val="20"/>
        </w:rPr>
        <w:t>estudio</w:t>
      </w:r>
      <w:r>
        <w:rPr>
          <w:spacing w:val="-15"/>
          <w:sz w:val="20"/>
        </w:rPr>
        <w:t> </w:t>
      </w:r>
      <w:r>
        <w:rPr>
          <w:sz w:val="20"/>
        </w:rPr>
        <w:t>en</w:t>
      </w:r>
      <w:r>
        <w:rPr>
          <w:spacing w:val="-13"/>
          <w:sz w:val="20"/>
        </w:rPr>
        <w:t> </w:t>
      </w:r>
      <w:r>
        <w:rPr>
          <w:sz w:val="20"/>
        </w:rPr>
        <w:t>el</w:t>
      </w:r>
      <w:r>
        <w:rPr>
          <w:spacing w:val="-16"/>
          <w:sz w:val="20"/>
        </w:rPr>
        <w:t> </w:t>
      </w:r>
      <w:r>
        <w:rPr>
          <w:sz w:val="20"/>
        </w:rPr>
        <w:t>que</w:t>
      </w:r>
      <w:r>
        <w:rPr>
          <w:spacing w:val="-15"/>
          <w:sz w:val="20"/>
        </w:rPr>
        <w:t> </w:t>
      </w:r>
      <w:r>
        <w:rPr>
          <w:sz w:val="20"/>
        </w:rPr>
        <w:t>establezca</w:t>
      </w:r>
      <w:r>
        <w:rPr>
          <w:spacing w:val="-16"/>
          <w:sz w:val="20"/>
        </w:rPr>
        <w:t> </w:t>
      </w:r>
      <w:r>
        <w:rPr>
          <w:sz w:val="20"/>
        </w:rPr>
        <w:t>acciones</w:t>
      </w:r>
      <w:r>
        <w:rPr>
          <w:spacing w:val="-15"/>
          <w:sz w:val="20"/>
        </w:rPr>
        <w:t> </w:t>
      </w:r>
      <w:r>
        <w:rPr>
          <w:sz w:val="20"/>
        </w:rPr>
        <w:t>que</w:t>
      </w:r>
      <w:r>
        <w:rPr>
          <w:spacing w:val="-17"/>
          <w:sz w:val="20"/>
        </w:rPr>
        <w:t> </w:t>
      </w:r>
      <w:r>
        <w:rPr>
          <w:sz w:val="20"/>
        </w:rPr>
        <w:t>deben</w:t>
      </w:r>
      <w:r>
        <w:rPr>
          <w:spacing w:val="-15"/>
          <w:sz w:val="20"/>
        </w:rPr>
        <w:t> </w:t>
      </w:r>
      <w:r>
        <w:rPr>
          <w:sz w:val="20"/>
        </w:rPr>
        <w:t>instrumentarse para la conservación de aguas y para evitar y remediar su contaminación; garantizar el acceso permanente a agua potable; evitar que continué la pérdida o disminución de recursos forestales y procurar su recuperación, y posibilitar el acceso a alimentación nutricional y culturalmente adecuada, en los términos de los párrafos 333 a 335 y 343 de la presente</w:t>
      </w:r>
      <w:r>
        <w:rPr>
          <w:spacing w:val="-9"/>
          <w:sz w:val="20"/>
        </w:rPr>
        <w:t> </w:t>
      </w:r>
      <w:r>
        <w:rPr>
          <w:sz w:val="20"/>
        </w:rPr>
        <w:t>Sentencia.</w:t>
      </w:r>
    </w:p>
    <w:p>
      <w:pPr>
        <w:pStyle w:val="BodyText"/>
        <w:spacing w:before="10"/>
        <w:rPr>
          <w:sz w:val="19"/>
        </w:rPr>
      </w:pPr>
    </w:p>
    <w:p>
      <w:pPr>
        <w:pStyle w:val="BodyText"/>
        <w:spacing w:before="1"/>
        <w:ind w:left="102"/>
        <w:jc w:val="both"/>
      </w:pPr>
      <w:r>
        <w:rPr/>
        <w:t>Disiente el Juez Eduardo Vio Grossi.</w:t>
      </w:r>
    </w:p>
    <w:p>
      <w:pPr>
        <w:pStyle w:val="BodyText"/>
        <w:rPr>
          <w:sz w:val="24"/>
        </w:rPr>
      </w:pPr>
    </w:p>
    <w:p>
      <w:pPr>
        <w:pStyle w:val="BodyText"/>
        <w:spacing w:before="195"/>
        <w:ind w:left="102"/>
        <w:jc w:val="both"/>
      </w:pPr>
      <w:r>
        <w:rPr/>
        <w:t>Por cinco votos contra uno, que:</w:t>
      </w:r>
    </w:p>
    <w:p>
      <w:pPr>
        <w:pStyle w:val="BodyText"/>
        <w:spacing w:before="1"/>
      </w:pPr>
    </w:p>
    <w:p>
      <w:pPr>
        <w:pStyle w:val="ListParagraph"/>
        <w:numPr>
          <w:ilvl w:val="0"/>
          <w:numId w:val="42"/>
        </w:numPr>
        <w:tabs>
          <w:tab w:pos="810" w:val="left" w:leader="none"/>
        </w:tabs>
        <w:spacing w:line="240" w:lineRule="auto" w:before="0" w:after="0"/>
        <w:ind w:left="102" w:right="117" w:firstLine="0"/>
        <w:jc w:val="both"/>
        <w:rPr>
          <w:sz w:val="20"/>
        </w:rPr>
      </w:pPr>
      <w:r>
        <w:rPr>
          <w:sz w:val="20"/>
        </w:rPr>
        <w:t>El</w:t>
      </w:r>
      <w:r>
        <w:rPr>
          <w:spacing w:val="-9"/>
          <w:sz w:val="20"/>
        </w:rPr>
        <w:t> </w:t>
      </w:r>
      <w:r>
        <w:rPr>
          <w:sz w:val="20"/>
        </w:rPr>
        <w:t>Estado</w:t>
      </w:r>
      <w:r>
        <w:rPr>
          <w:spacing w:val="-10"/>
          <w:sz w:val="20"/>
        </w:rPr>
        <w:t> </w:t>
      </w:r>
      <w:r>
        <w:rPr>
          <w:sz w:val="20"/>
        </w:rPr>
        <w:t>creará</w:t>
      </w:r>
      <w:r>
        <w:rPr>
          <w:spacing w:val="-9"/>
          <w:sz w:val="20"/>
        </w:rPr>
        <w:t> </w:t>
      </w:r>
      <w:r>
        <w:rPr>
          <w:sz w:val="20"/>
        </w:rPr>
        <w:t>un</w:t>
      </w:r>
      <w:r>
        <w:rPr>
          <w:spacing w:val="-8"/>
          <w:sz w:val="20"/>
        </w:rPr>
        <w:t> </w:t>
      </w:r>
      <w:r>
        <w:rPr>
          <w:sz w:val="20"/>
        </w:rPr>
        <w:t>fondo</w:t>
      </w:r>
      <w:r>
        <w:rPr>
          <w:spacing w:val="-10"/>
          <w:sz w:val="20"/>
        </w:rPr>
        <w:t> </w:t>
      </w:r>
      <w:r>
        <w:rPr>
          <w:sz w:val="20"/>
        </w:rPr>
        <w:t>de</w:t>
      </w:r>
      <w:r>
        <w:rPr>
          <w:spacing w:val="-10"/>
          <w:sz w:val="20"/>
        </w:rPr>
        <w:t> </w:t>
      </w:r>
      <w:r>
        <w:rPr>
          <w:sz w:val="20"/>
        </w:rPr>
        <w:t>desarrollo</w:t>
      </w:r>
      <w:r>
        <w:rPr>
          <w:spacing w:val="-10"/>
          <w:sz w:val="20"/>
        </w:rPr>
        <w:t> </w:t>
      </w:r>
      <w:r>
        <w:rPr>
          <w:sz w:val="20"/>
        </w:rPr>
        <w:t>comunitario</w:t>
      </w:r>
      <w:r>
        <w:rPr>
          <w:spacing w:val="-2"/>
          <w:sz w:val="20"/>
        </w:rPr>
        <w:t> </w:t>
      </w:r>
      <w:r>
        <w:rPr>
          <w:sz w:val="20"/>
        </w:rPr>
        <w:t>e</w:t>
      </w:r>
      <w:r>
        <w:rPr>
          <w:spacing w:val="-10"/>
          <w:sz w:val="20"/>
        </w:rPr>
        <w:t> </w:t>
      </w:r>
      <w:r>
        <w:rPr>
          <w:sz w:val="20"/>
        </w:rPr>
        <w:t>implementará</w:t>
      </w:r>
      <w:r>
        <w:rPr>
          <w:spacing w:val="-9"/>
          <w:sz w:val="20"/>
        </w:rPr>
        <w:t> </w:t>
      </w:r>
      <w:r>
        <w:rPr>
          <w:sz w:val="20"/>
        </w:rPr>
        <w:t>su</w:t>
      </w:r>
      <w:r>
        <w:rPr>
          <w:spacing w:val="-6"/>
          <w:sz w:val="20"/>
        </w:rPr>
        <w:t> </w:t>
      </w:r>
      <w:r>
        <w:rPr>
          <w:sz w:val="20"/>
        </w:rPr>
        <w:t>ejecución en un plazo no mayor a cuatro años a partir de la notificación de la presente</w:t>
      </w:r>
      <w:r>
        <w:rPr>
          <w:spacing w:val="-35"/>
          <w:sz w:val="20"/>
        </w:rPr>
        <w:t> </w:t>
      </w:r>
      <w:r>
        <w:rPr>
          <w:sz w:val="20"/>
        </w:rPr>
        <w:t>Sentencia, en los términos señalados en los párrafos 338 a 343 de la presente</w:t>
      </w:r>
      <w:r>
        <w:rPr>
          <w:spacing w:val="-29"/>
          <w:sz w:val="20"/>
        </w:rPr>
        <w:t> </w:t>
      </w:r>
      <w:r>
        <w:rPr>
          <w:sz w:val="20"/>
        </w:rPr>
        <w:t>Sentencia.</w:t>
      </w:r>
    </w:p>
    <w:p>
      <w:pPr>
        <w:pStyle w:val="BodyText"/>
        <w:spacing w:before="1"/>
      </w:pPr>
    </w:p>
    <w:p>
      <w:pPr>
        <w:pStyle w:val="BodyText"/>
        <w:ind w:left="102"/>
        <w:jc w:val="both"/>
      </w:pPr>
      <w:r>
        <w:rPr/>
        <w:t>Disiente el Juez Eduardo Vio Grossi.</w:t>
      </w:r>
    </w:p>
    <w:p>
      <w:pPr>
        <w:pStyle w:val="BodyText"/>
        <w:rPr>
          <w:sz w:val="24"/>
        </w:rPr>
      </w:pPr>
    </w:p>
    <w:p>
      <w:pPr>
        <w:pStyle w:val="BodyText"/>
        <w:spacing w:before="198"/>
        <w:ind w:left="102"/>
        <w:jc w:val="both"/>
      </w:pPr>
      <w:r>
        <w:rPr/>
        <w:t>Por unanimidad, que:</w:t>
      </w:r>
    </w:p>
    <w:p>
      <w:pPr>
        <w:pStyle w:val="BodyText"/>
        <w:spacing w:before="11"/>
        <w:rPr>
          <w:sz w:val="19"/>
        </w:rPr>
      </w:pPr>
    </w:p>
    <w:p>
      <w:pPr>
        <w:pStyle w:val="ListParagraph"/>
        <w:numPr>
          <w:ilvl w:val="0"/>
          <w:numId w:val="42"/>
        </w:numPr>
        <w:tabs>
          <w:tab w:pos="810" w:val="left" w:leader="none"/>
        </w:tabs>
        <w:spacing w:line="240" w:lineRule="auto" w:before="0" w:after="0"/>
        <w:ind w:left="102" w:right="123" w:firstLine="0"/>
        <w:jc w:val="both"/>
        <w:rPr>
          <w:sz w:val="20"/>
        </w:rPr>
      </w:pPr>
      <w:r>
        <w:rPr>
          <w:sz w:val="20"/>
        </w:rPr>
        <w:t>El Estado, en un plazo de seis meses a partir de la notificación de la presente Sentencia,</w:t>
      </w:r>
      <w:r>
        <w:rPr>
          <w:spacing w:val="-15"/>
          <w:sz w:val="20"/>
        </w:rPr>
        <w:t> </w:t>
      </w:r>
      <w:r>
        <w:rPr>
          <w:sz w:val="20"/>
        </w:rPr>
        <w:t>realizará</w:t>
      </w:r>
      <w:r>
        <w:rPr>
          <w:spacing w:val="-17"/>
          <w:sz w:val="20"/>
        </w:rPr>
        <w:t> </w:t>
      </w:r>
      <w:r>
        <w:rPr>
          <w:sz w:val="20"/>
        </w:rPr>
        <w:t>las</w:t>
      </w:r>
      <w:r>
        <w:rPr>
          <w:spacing w:val="-13"/>
          <w:sz w:val="20"/>
        </w:rPr>
        <w:t> </w:t>
      </w:r>
      <w:r>
        <w:rPr>
          <w:sz w:val="20"/>
        </w:rPr>
        <w:t>publicaciones</w:t>
      </w:r>
      <w:r>
        <w:rPr>
          <w:spacing w:val="-16"/>
          <w:sz w:val="20"/>
        </w:rPr>
        <w:t> </w:t>
      </w:r>
      <w:r>
        <w:rPr>
          <w:sz w:val="20"/>
        </w:rPr>
        <w:t>y</w:t>
      </w:r>
      <w:r>
        <w:rPr>
          <w:spacing w:val="-17"/>
          <w:sz w:val="20"/>
        </w:rPr>
        <w:t> </w:t>
      </w:r>
      <w:r>
        <w:rPr>
          <w:sz w:val="20"/>
        </w:rPr>
        <w:t>transmisiones</w:t>
      </w:r>
      <w:r>
        <w:rPr>
          <w:spacing w:val="-15"/>
          <w:sz w:val="20"/>
        </w:rPr>
        <w:t> </w:t>
      </w:r>
      <w:r>
        <w:rPr>
          <w:sz w:val="20"/>
        </w:rPr>
        <w:t>radiales</w:t>
      </w:r>
      <w:r>
        <w:rPr>
          <w:spacing w:val="-18"/>
          <w:sz w:val="20"/>
        </w:rPr>
        <w:t> </w:t>
      </w:r>
      <w:r>
        <w:rPr>
          <w:sz w:val="20"/>
        </w:rPr>
        <w:t>indicadas,</w:t>
      </w:r>
      <w:r>
        <w:rPr>
          <w:spacing w:val="-16"/>
          <w:sz w:val="20"/>
        </w:rPr>
        <w:t> </w:t>
      </w:r>
      <w:r>
        <w:rPr>
          <w:sz w:val="20"/>
        </w:rPr>
        <w:t>en</w:t>
      </w:r>
      <w:r>
        <w:rPr>
          <w:spacing w:val="-16"/>
          <w:sz w:val="20"/>
        </w:rPr>
        <w:t> </w:t>
      </w:r>
      <w:r>
        <w:rPr>
          <w:sz w:val="20"/>
        </w:rPr>
        <w:t>los</w:t>
      </w:r>
      <w:r>
        <w:rPr>
          <w:spacing w:val="-18"/>
          <w:sz w:val="20"/>
        </w:rPr>
        <w:t> </w:t>
      </w:r>
      <w:r>
        <w:rPr>
          <w:sz w:val="20"/>
        </w:rPr>
        <w:t>términos señalados en los párrafos 348 y 349 de la presente</w:t>
      </w:r>
      <w:r>
        <w:rPr>
          <w:spacing w:val="-25"/>
          <w:sz w:val="20"/>
        </w:rPr>
        <w:t> </w:t>
      </w:r>
      <w:r>
        <w:rPr>
          <w:sz w:val="20"/>
        </w:rPr>
        <w:t>Sentencia.</w:t>
      </w:r>
    </w:p>
    <w:p>
      <w:pPr>
        <w:spacing w:after="0" w:line="240" w:lineRule="auto"/>
        <w:jc w:val="both"/>
        <w:rPr>
          <w:sz w:val="20"/>
        </w:rPr>
        <w:sectPr>
          <w:pgSz w:w="12240" w:h="15840"/>
          <w:pgMar w:header="0" w:footer="940" w:top="1500" w:bottom="1200" w:left="1600" w:right="1580"/>
        </w:sectPr>
      </w:pPr>
    </w:p>
    <w:p>
      <w:pPr>
        <w:pStyle w:val="BodyText"/>
      </w:pPr>
    </w:p>
    <w:p>
      <w:pPr>
        <w:pStyle w:val="BodyText"/>
        <w:rPr>
          <w:sz w:val="25"/>
        </w:rPr>
      </w:pPr>
    </w:p>
    <w:p>
      <w:pPr>
        <w:pStyle w:val="BodyText"/>
        <w:spacing w:before="99"/>
        <w:ind w:left="102"/>
        <w:jc w:val="both"/>
      </w:pPr>
      <w:r>
        <w:rPr/>
        <w:t>Por cinco votos contra uno, que:</w:t>
      </w:r>
    </w:p>
    <w:p>
      <w:pPr>
        <w:pStyle w:val="BodyText"/>
      </w:pPr>
    </w:p>
    <w:p>
      <w:pPr>
        <w:pStyle w:val="ListParagraph"/>
        <w:numPr>
          <w:ilvl w:val="0"/>
          <w:numId w:val="42"/>
        </w:numPr>
        <w:tabs>
          <w:tab w:pos="810" w:val="left" w:leader="none"/>
        </w:tabs>
        <w:spacing w:line="240" w:lineRule="auto" w:before="0" w:after="0"/>
        <w:ind w:left="102" w:right="103" w:firstLine="0"/>
        <w:jc w:val="both"/>
        <w:rPr>
          <w:sz w:val="20"/>
        </w:rPr>
      </w:pPr>
      <w:r>
        <w:rPr>
          <w:sz w:val="20"/>
        </w:rPr>
        <w:t>El Estado, en un plazo razonable, adoptará las medidas legislativas y/o de otro carácter</w:t>
      </w:r>
      <w:r>
        <w:rPr>
          <w:spacing w:val="-10"/>
          <w:sz w:val="20"/>
        </w:rPr>
        <w:t> </w:t>
      </w:r>
      <w:r>
        <w:rPr>
          <w:sz w:val="20"/>
        </w:rPr>
        <w:t>que</w:t>
      </w:r>
      <w:r>
        <w:rPr>
          <w:spacing w:val="-10"/>
          <w:sz w:val="20"/>
        </w:rPr>
        <w:t> </w:t>
      </w:r>
      <w:r>
        <w:rPr>
          <w:sz w:val="20"/>
        </w:rPr>
        <w:t>fueren</w:t>
      </w:r>
      <w:r>
        <w:rPr>
          <w:spacing w:val="-8"/>
          <w:sz w:val="20"/>
        </w:rPr>
        <w:t> </w:t>
      </w:r>
      <w:r>
        <w:rPr>
          <w:sz w:val="20"/>
        </w:rPr>
        <w:t>necesarias</w:t>
      </w:r>
      <w:r>
        <w:rPr>
          <w:spacing w:val="-9"/>
          <w:sz w:val="20"/>
        </w:rPr>
        <w:t> </w:t>
      </w:r>
      <w:r>
        <w:rPr>
          <w:sz w:val="20"/>
        </w:rPr>
        <w:t>para</w:t>
      </w:r>
      <w:r>
        <w:rPr>
          <w:spacing w:val="-6"/>
          <w:sz w:val="20"/>
        </w:rPr>
        <w:t> </w:t>
      </w:r>
      <w:r>
        <w:rPr>
          <w:sz w:val="20"/>
        </w:rPr>
        <w:t>dotar</w:t>
      </w:r>
      <w:r>
        <w:rPr>
          <w:spacing w:val="-10"/>
          <w:sz w:val="20"/>
        </w:rPr>
        <w:t> </w:t>
      </w:r>
      <w:r>
        <w:rPr>
          <w:sz w:val="20"/>
        </w:rPr>
        <w:t>de</w:t>
      </w:r>
      <w:r>
        <w:rPr>
          <w:spacing w:val="-8"/>
          <w:sz w:val="20"/>
        </w:rPr>
        <w:t> </w:t>
      </w:r>
      <w:r>
        <w:rPr>
          <w:sz w:val="20"/>
        </w:rPr>
        <w:t>seguridad</w:t>
      </w:r>
      <w:r>
        <w:rPr>
          <w:spacing w:val="-8"/>
          <w:sz w:val="20"/>
        </w:rPr>
        <w:t> </w:t>
      </w:r>
      <w:r>
        <w:rPr>
          <w:sz w:val="20"/>
        </w:rPr>
        <w:t>jurídica</w:t>
      </w:r>
      <w:r>
        <w:rPr>
          <w:spacing w:val="-9"/>
          <w:sz w:val="20"/>
        </w:rPr>
        <w:t> </w:t>
      </w:r>
      <w:r>
        <w:rPr>
          <w:sz w:val="20"/>
        </w:rPr>
        <w:t>al</w:t>
      </w:r>
      <w:r>
        <w:rPr>
          <w:spacing w:val="-8"/>
          <w:sz w:val="20"/>
        </w:rPr>
        <w:t> </w:t>
      </w:r>
      <w:r>
        <w:rPr>
          <w:sz w:val="20"/>
        </w:rPr>
        <w:t>derecho</w:t>
      </w:r>
      <w:r>
        <w:rPr>
          <w:spacing w:val="-10"/>
          <w:sz w:val="20"/>
        </w:rPr>
        <w:t> </w:t>
      </w:r>
      <w:r>
        <w:rPr>
          <w:sz w:val="20"/>
        </w:rPr>
        <w:t>de</w:t>
      </w:r>
      <w:r>
        <w:rPr>
          <w:spacing w:val="-10"/>
          <w:sz w:val="20"/>
        </w:rPr>
        <w:t> </w:t>
      </w:r>
      <w:r>
        <w:rPr>
          <w:sz w:val="20"/>
        </w:rPr>
        <w:t>propiedad comunitaria</w:t>
      </w:r>
      <w:r>
        <w:rPr>
          <w:spacing w:val="-17"/>
          <w:sz w:val="20"/>
        </w:rPr>
        <w:t> </w:t>
      </w:r>
      <w:r>
        <w:rPr>
          <w:sz w:val="20"/>
        </w:rPr>
        <w:t>indígena,</w:t>
      </w:r>
      <w:r>
        <w:rPr>
          <w:spacing w:val="-16"/>
          <w:sz w:val="20"/>
        </w:rPr>
        <w:t> </w:t>
      </w:r>
      <w:r>
        <w:rPr>
          <w:sz w:val="20"/>
        </w:rPr>
        <w:t>en</w:t>
      </w:r>
      <w:r>
        <w:rPr>
          <w:spacing w:val="-17"/>
          <w:sz w:val="20"/>
        </w:rPr>
        <w:t> </w:t>
      </w:r>
      <w:r>
        <w:rPr>
          <w:sz w:val="20"/>
        </w:rPr>
        <w:t>los</w:t>
      </w:r>
      <w:r>
        <w:rPr>
          <w:spacing w:val="-18"/>
          <w:sz w:val="20"/>
        </w:rPr>
        <w:t> </w:t>
      </w:r>
      <w:r>
        <w:rPr>
          <w:sz w:val="20"/>
        </w:rPr>
        <w:t>términos</w:t>
      </w:r>
      <w:r>
        <w:rPr>
          <w:spacing w:val="-16"/>
          <w:sz w:val="20"/>
        </w:rPr>
        <w:t> </w:t>
      </w:r>
      <w:r>
        <w:rPr>
          <w:sz w:val="20"/>
        </w:rPr>
        <w:t>señalados</w:t>
      </w:r>
      <w:r>
        <w:rPr>
          <w:spacing w:val="-16"/>
          <w:sz w:val="20"/>
        </w:rPr>
        <w:t> </w:t>
      </w:r>
      <w:r>
        <w:rPr>
          <w:sz w:val="20"/>
        </w:rPr>
        <w:t>en</w:t>
      </w:r>
      <w:r>
        <w:rPr>
          <w:spacing w:val="-17"/>
          <w:sz w:val="20"/>
        </w:rPr>
        <w:t> </w:t>
      </w:r>
      <w:r>
        <w:rPr>
          <w:sz w:val="20"/>
        </w:rPr>
        <w:t>los</w:t>
      </w:r>
      <w:r>
        <w:rPr>
          <w:spacing w:val="-18"/>
          <w:sz w:val="20"/>
        </w:rPr>
        <w:t> </w:t>
      </w:r>
      <w:r>
        <w:rPr>
          <w:sz w:val="20"/>
        </w:rPr>
        <w:t>párrafos</w:t>
      </w:r>
      <w:r>
        <w:rPr>
          <w:spacing w:val="-18"/>
          <w:sz w:val="20"/>
        </w:rPr>
        <w:t> </w:t>
      </w:r>
      <w:r>
        <w:rPr>
          <w:sz w:val="20"/>
        </w:rPr>
        <w:t>354</w:t>
      </w:r>
      <w:r>
        <w:rPr>
          <w:spacing w:val="-17"/>
          <w:sz w:val="20"/>
        </w:rPr>
        <w:t> </w:t>
      </w:r>
      <w:r>
        <w:rPr>
          <w:sz w:val="20"/>
        </w:rPr>
        <w:t>a</w:t>
      </w:r>
      <w:r>
        <w:rPr>
          <w:spacing w:val="-15"/>
          <w:sz w:val="20"/>
        </w:rPr>
        <w:t> </w:t>
      </w:r>
      <w:r>
        <w:rPr>
          <w:sz w:val="20"/>
        </w:rPr>
        <w:t>357</w:t>
      </w:r>
      <w:r>
        <w:rPr>
          <w:spacing w:val="-17"/>
          <w:sz w:val="20"/>
        </w:rPr>
        <w:t> </w:t>
      </w:r>
      <w:r>
        <w:rPr>
          <w:sz w:val="20"/>
        </w:rPr>
        <w:t>de</w:t>
      </w:r>
      <w:r>
        <w:rPr>
          <w:spacing w:val="-19"/>
          <w:sz w:val="20"/>
        </w:rPr>
        <w:t> </w:t>
      </w:r>
      <w:r>
        <w:rPr>
          <w:sz w:val="20"/>
        </w:rPr>
        <w:t>la</w:t>
      </w:r>
      <w:r>
        <w:rPr>
          <w:spacing w:val="-17"/>
          <w:sz w:val="20"/>
        </w:rPr>
        <w:t> </w:t>
      </w:r>
      <w:r>
        <w:rPr>
          <w:sz w:val="20"/>
        </w:rPr>
        <w:t>presente Sentencia.</w:t>
      </w:r>
    </w:p>
    <w:p>
      <w:pPr>
        <w:pStyle w:val="BodyText"/>
        <w:spacing w:before="10"/>
        <w:rPr>
          <w:sz w:val="19"/>
        </w:rPr>
      </w:pPr>
    </w:p>
    <w:p>
      <w:pPr>
        <w:pStyle w:val="BodyText"/>
        <w:ind w:left="102"/>
        <w:jc w:val="both"/>
      </w:pPr>
      <w:r>
        <w:rPr/>
        <w:t>Disiente el Juez Humberto Antonio Sierra Porto.</w:t>
      </w:r>
    </w:p>
    <w:p>
      <w:pPr>
        <w:pStyle w:val="BodyText"/>
        <w:rPr>
          <w:sz w:val="24"/>
        </w:rPr>
      </w:pPr>
    </w:p>
    <w:p>
      <w:pPr>
        <w:pStyle w:val="BodyText"/>
        <w:spacing w:before="194"/>
        <w:ind w:left="102"/>
        <w:jc w:val="both"/>
      </w:pPr>
      <w:r>
        <w:rPr/>
        <w:t>Por unanimidad, que:</w:t>
      </w:r>
    </w:p>
    <w:p>
      <w:pPr>
        <w:pStyle w:val="BodyText"/>
        <w:spacing w:before="1"/>
      </w:pPr>
    </w:p>
    <w:p>
      <w:pPr>
        <w:pStyle w:val="ListParagraph"/>
        <w:numPr>
          <w:ilvl w:val="0"/>
          <w:numId w:val="42"/>
        </w:numPr>
        <w:tabs>
          <w:tab w:pos="810" w:val="left" w:leader="none"/>
        </w:tabs>
        <w:spacing w:line="240" w:lineRule="auto" w:before="0" w:after="0"/>
        <w:ind w:left="102" w:right="103" w:firstLine="0"/>
        <w:jc w:val="both"/>
        <w:rPr>
          <w:sz w:val="20"/>
        </w:rPr>
      </w:pPr>
      <w:r>
        <w:rPr>
          <w:sz w:val="20"/>
        </w:rPr>
        <w:t>El</w:t>
      </w:r>
      <w:r>
        <w:rPr>
          <w:spacing w:val="-9"/>
          <w:sz w:val="20"/>
        </w:rPr>
        <w:t> </w:t>
      </w:r>
      <w:r>
        <w:rPr>
          <w:sz w:val="20"/>
        </w:rPr>
        <w:t>Estado</w:t>
      </w:r>
      <w:r>
        <w:rPr>
          <w:spacing w:val="-8"/>
          <w:sz w:val="20"/>
        </w:rPr>
        <w:t> </w:t>
      </w:r>
      <w:r>
        <w:rPr>
          <w:sz w:val="20"/>
        </w:rPr>
        <w:t>pagará</w:t>
      </w:r>
      <w:r>
        <w:rPr>
          <w:spacing w:val="-5"/>
          <w:sz w:val="20"/>
        </w:rPr>
        <w:t> </w:t>
      </w:r>
      <w:r>
        <w:rPr>
          <w:sz w:val="20"/>
        </w:rPr>
        <w:t>en</w:t>
      </w:r>
      <w:r>
        <w:rPr>
          <w:spacing w:val="-7"/>
          <w:sz w:val="20"/>
        </w:rPr>
        <w:t> </w:t>
      </w:r>
      <w:r>
        <w:rPr>
          <w:sz w:val="20"/>
        </w:rPr>
        <w:t>el</w:t>
      </w:r>
      <w:r>
        <w:rPr>
          <w:spacing w:val="-9"/>
          <w:sz w:val="20"/>
        </w:rPr>
        <w:t> </w:t>
      </w:r>
      <w:r>
        <w:rPr>
          <w:sz w:val="20"/>
        </w:rPr>
        <w:t>plazo</w:t>
      </w:r>
      <w:r>
        <w:rPr>
          <w:spacing w:val="-10"/>
          <w:sz w:val="20"/>
        </w:rPr>
        <w:t> </w:t>
      </w:r>
      <w:r>
        <w:rPr>
          <w:sz w:val="20"/>
        </w:rPr>
        <w:t>de</w:t>
      </w:r>
      <w:r>
        <w:rPr>
          <w:spacing w:val="-8"/>
          <w:sz w:val="20"/>
        </w:rPr>
        <w:t> </w:t>
      </w:r>
      <w:r>
        <w:rPr>
          <w:sz w:val="20"/>
        </w:rPr>
        <w:t>seis</w:t>
      </w:r>
      <w:r>
        <w:rPr>
          <w:spacing w:val="-8"/>
          <w:sz w:val="20"/>
        </w:rPr>
        <w:t> </w:t>
      </w:r>
      <w:r>
        <w:rPr>
          <w:sz w:val="20"/>
        </w:rPr>
        <w:t>meses</w:t>
      </w:r>
      <w:r>
        <w:rPr>
          <w:spacing w:val="-9"/>
          <w:sz w:val="20"/>
        </w:rPr>
        <w:t> </w:t>
      </w:r>
      <w:r>
        <w:rPr>
          <w:sz w:val="20"/>
        </w:rPr>
        <w:t>partir</w:t>
      </w:r>
      <w:r>
        <w:rPr>
          <w:spacing w:val="-10"/>
          <w:sz w:val="20"/>
        </w:rPr>
        <w:t> </w:t>
      </w:r>
      <w:r>
        <w:rPr>
          <w:sz w:val="20"/>
        </w:rPr>
        <w:t>de</w:t>
      </w:r>
      <w:r>
        <w:rPr>
          <w:spacing w:val="-8"/>
          <w:sz w:val="20"/>
        </w:rPr>
        <w:t> </w:t>
      </w:r>
      <w:r>
        <w:rPr>
          <w:sz w:val="20"/>
        </w:rPr>
        <w:t>la</w:t>
      </w:r>
      <w:r>
        <w:rPr>
          <w:spacing w:val="-9"/>
          <w:sz w:val="20"/>
        </w:rPr>
        <w:t> </w:t>
      </w:r>
      <w:r>
        <w:rPr>
          <w:sz w:val="20"/>
        </w:rPr>
        <w:t>notificación</w:t>
      </w:r>
      <w:r>
        <w:rPr>
          <w:spacing w:val="-8"/>
          <w:sz w:val="20"/>
        </w:rPr>
        <w:t> </w:t>
      </w:r>
      <w:r>
        <w:rPr>
          <w:sz w:val="20"/>
        </w:rPr>
        <w:t>de</w:t>
      </w:r>
      <w:r>
        <w:rPr>
          <w:spacing w:val="-8"/>
          <w:sz w:val="20"/>
        </w:rPr>
        <w:t> </w:t>
      </w:r>
      <w:r>
        <w:rPr>
          <w:sz w:val="20"/>
        </w:rPr>
        <w:t>la</w:t>
      </w:r>
      <w:r>
        <w:rPr>
          <w:spacing w:val="-8"/>
          <w:sz w:val="20"/>
        </w:rPr>
        <w:t> </w:t>
      </w:r>
      <w:r>
        <w:rPr>
          <w:sz w:val="20"/>
        </w:rPr>
        <w:t>presente Sentencia, la cantidad fijada en su párrafo 365 por concepto de reintegro de gastos y costas, en los términos de los párrafos 366 a 369 del presente</w:t>
      </w:r>
      <w:r>
        <w:rPr>
          <w:spacing w:val="-28"/>
          <w:sz w:val="20"/>
        </w:rPr>
        <w:t> </w:t>
      </w:r>
      <w:r>
        <w:rPr>
          <w:sz w:val="20"/>
        </w:rPr>
        <w:t>Fallo.</w:t>
      </w:r>
    </w:p>
    <w:p>
      <w:pPr>
        <w:pStyle w:val="BodyText"/>
        <w:rPr>
          <w:sz w:val="24"/>
        </w:rPr>
      </w:pPr>
    </w:p>
    <w:p>
      <w:pPr>
        <w:pStyle w:val="BodyText"/>
        <w:spacing w:before="194"/>
        <w:ind w:left="102"/>
        <w:jc w:val="both"/>
      </w:pPr>
      <w:r>
        <w:rPr/>
        <w:t>Por cinco votos contra uno, que:</w:t>
      </w:r>
    </w:p>
    <w:p>
      <w:pPr>
        <w:pStyle w:val="BodyText"/>
      </w:pPr>
    </w:p>
    <w:p>
      <w:pPr>
        <w:pStyle w:val="ListParagraph"/>
        <w:numPr>
          <w:ilvl w:val="0"/>
          <w:numId w:val="42"/>
        </w:numPr>
        <w:tabs>
          <w:tab w:pos="810" w:val="left" w:leader="none"/>
        </w:tabs>
        <w:spacing w:line="240" w:lineRule="auto" w:before="0" w:after="0"/>
        <w:ind w:left="102" w:right="99" w:firstLine="0"/>
        <w:jc w:val="both"/>
        <w:rPr>
          <w:sz w:val="20"/>
        </w:rPr>
      </w:pPr>
      <w:r>
        <w:rPr>
          <w:sz w:val="20"/>
        </w:rPr>
        <w:t>El Estado rendirá al Tribunal los informes semestrales ordenados en el párrafo 344 de la presente</w:t>
      </w:r>
      <w:r>
        <w:rPr>
          <w:spacing w:val="-15"/>
          <w:sz w:val="20"/>
        </w:rPr>
        <w:t> </w:t>
      </w:r>
      <w:r>
        <w:rPr>
          <w:sz w:val="20"/>
        </w:rPr>
        <w:t>Sentencia.</w:t>
      </w:r>
    </w:p>
    <w:p>
      <w:pPr>
        <w:pStyle w:val="BodyText"/>
        <w:spacing w:before="10"/>
        <w:rPr>
          <w:sz w:val="19"/>
        </w:rPr>
      </w:pPr>
    </w:p>
    <w:p>
      <w:pPr>
        <w:pStyle w:val="BodyText"/>
        <w:ind w:left="102"/>
        <w:jc w:val="both"/>
      </w:pPr>
      <w:r>
        <w:rPr/>
        <w:t>Disiente el Juez Humberto Antonio Sierra Porto.</w:t>
      </w:r>
    </w:p>
    <w:p>
      <w:pPr>
        <w:pStyle w:val="BodyText"/>
        <w:rPr>
          <w:sz w:val="24"/>
        </w:rPr>
      </w:pPr>
    </w:p>
    <w:p>
      <w:pPr>
        <w:pStyle w:val="BodyText"/>
        <w:spacing w:before="194"/>
        <w:ind w:left="102"/>
        <w:jc w:val="both"/>
      </w:pPr>
      <w:r>
        <w:rPr/>
        <w:t>Por unanimidad, que:</w:t>
      </w:r>
    </w:p>
    <w:p>
      <w:pPr>
        <w:pStyle w:val="BodyText"/>
        <w:spacing w:before="1"/>
      </w:pPr>
    </w:p>
    <w:p>
      <w:pPr>
        <w:pStyle w:val="ListParagraph"/>
        <w:numPr>
          <w:ilvl w:val="0"/>
          <w:numId w:val="42"/>
        </w:numPr>
        <w:tabs>
          <w:tab w:pos="810" w:val="left" w:leader="none"/>
        </w:tabs>
        <w:spacing w:line="240" w:lineRule="auto" w:before="0" w:after="0"/>
        <w:ind w:left="102" w:right="103" w:firstLine="0"/>
        <w:jc w:val="both"/>
        <w:rPr>
          <w:sz w:val="20"/>
        </w:rPr>
      </w:pPr>
      <w:r>
        <w:rPr>
          <w:sz w:val="20"/>
        </w:rPr>
        <w:t>El</w:t>
      </w:r>
      <w:r>
        <w:rPr>
          <w:spacing w:val="-12"/>
          <w:sz w:val="20"/>
        </w:rPr>
        <w:t> </w:t>
      </w:r>
      <w:r>
        <w:rPr>
          <w:sz w:val="20"/>
        </w:rPr>
        <w:t>Estado</w:t>
      </w:r>
      <w:r>
        <w:rPr>
          <w:spacing w:val="-12"/>
          <w:sz w:val="20"/>
        </w:rPr>
        <w:t> </w:t>
      </w:r>
      <w:r>
        <w:rPr>
          <w:sz w:val="20"/>
        </w:rPr>
        <w:t>informará,</w:t>
      </w:r>
      <w:r>
        <w:rPr>
          <w:spacing w:val="-12"/>
          <w:sz w:val="20"/>
        </w:rPr>
        <w:t> </w:t>
      </w:r>
      <w:r>
        <w:rPr>
          <w:sz w:val="20"/>
        </w:rPr>
        <w:t>dentro</w:t>
      </w:r>
      <w:r>
        <w:rPr>
          <w:spacing w:val="-13"/>
          <w:sz w:val="20"/>
        </w:rPr>
        <w:t> </w:t>
      </w:r>
      <w:r>
        <w:rPr>
          <w:sz w:val="20"/>
        </w:rPr>
        <w:t>del</w:t>
      </w:r>
      <w:r>
        <w:rPr>
          <w:spacing w:val="-12"/>
          <w:sz w:val="20"/>
        </w:rPr>
        <w:t> </w:t>
      </w:r>
      <w:r>
        <w:rPr>
          <w:sz w:val="20"/>
        </w:rPr>
        <w:t>plazo</w:t>
      </w:r>
      <w:r>
        <w:rPr>
          <w:spacing w:val="-11"/>
          <w:sz w:val="20"/>
        </w:rPr>
        <w:t> </w:t>
      </w:r>
      <w:r>
        <w:rPr>
          <w:sz w:val="20"/>
        </w:rPr>
        <w:t>de</w:t>
      </w:r>
      <w:r>
        <w:rPr>
          <w:spacing w:val="-13"/>
          <w:sz w:val="20"/>
        </w:rPr>
        <w:t> </w:t>
      </w:r>
      <w:r>
        <w:rPr>
          <w:sz w:val="20"/>
        </w:rPr>
        <w:t>un</w:t>
      </w:r>
      <w:r>
        <w:rPr>
          <w:spacing w:val="-11"/>
          <w:sz w:val="20"/>
        </w:rPr>
        <w:t> </w:t>
      </w:r>
      <w:r>
        <w:rPr>
          <w:sz w:val="20"/>
        </w:rPr>
        <w:t>año</w:t>
      </w:r>
      <w:r>
        <w:rPr>
          <w:spacing w:val="-11"/>
          <w:sz w:val="20"/>
        </w:rPr>
        <w:t> </w:t>
      </w:r>
      <w:r>
        <w:rPr>
          <w:sz w:val="20"/>
        </w:rPr>
        <w:t>contado</w:t>
      </w:r>
      <w:r>
        <w:rPr>
          <w:spacing w:val="-13"/>
          <w:sz w:val="20"/>
        </w:rPr>
        <w:t> </w:t>
      </w:r>
      <w:r>
        <w:rPr>
          <w:sz w:val="20"/>
        </w:rPr>
        <w:t>a</w:t>
      </w:r>
      <w:r>
        <w:rPr>
          <w:spacing w:val="-11"/>
          <w:sz w:val="20"/>
        </w:rPr>
        <w:t> </w:t>
      </w:r>
      <w:r>
        <w:rPr>
          <w:sz w:val="20"/>
        </w:rPr>
        <w:t>partir</w:t>
      </w:r>
      <w:r>
        <w:rPr>
          <w:spacing w:val="-11"/>
          <w:sz w:val="20"/>
        </w:rPr>
        <w:t> </w:t>
      </w:r>
      <w:r>
        <w:rPr>
          <w:sz w:val="20"/>
        </w:rPr>
        <w:t>de</w:t>
      </w:r>
      <w:r>
        <w:rPr>
          <w:spacing w:val="-11"/>
          <w:sz w:val="20"/>
        </w:rPr>
        <w:t> </w:t>
      </w:r>
      <w:r>
        <w:rPr>
          <w:sz w:val="20"/>
        </w:rPr>
        <w:t>la</w:t>
      </w:r>
      <w:r>
        <w:rPr>
          <w:spacing w:val="-11"/>
          <w:sz w:val="20"/>
        </w:rPr>
        <w:t> </w:t>
      </w:r>
      <w:r>
        <w:rPr>
          <w:sz w:val="20"/>
        </w:rPr>
        <w:t>notificación de esta Sentencia, sobre las medidas adoptadas para cumplir con todas las medidas ordenadas en la misma, sin perjuicio de lo establecido en el punto resolutivo 17 y los párrafos 344 y 349 de la presente</w:t>
      </w:r>
      <w:r>
        <w:rPr>
          <w:spacing w:val="-16"/>
          <w:sz w:val="20"/>
        </w:rPr>
        <w:t> </w:t>
      </w:r>
      <w:r>
        <w:rPr>
          <w:sz w:val="20"/>
        </w:rPr>
        <w:t>Sentencia.</w:t>
      </w:r>
    </w:p>
    <w:p>
      <w:pPr>
        <w:pStyle w:val="BodyText"/>
        <w:spacing w:before="10"/>
        <w:rPr>
          <w:sz w:val="19"/>
        </w:rPr>
      </w:pPr>
    </w:p>
    <w:p>
      <w:pPr>
        <w:pStyle w:val="BodyText"/>
        <w:ind w:left="102"/>
        <w:jc w:val="both"/>
      </w:pPr>
      <w:r>
        <w:rPr/>
        <w:t>Por unanimidad, que:</w:t>
      </w:r>
    </w:p>
    <w:p>
      <w:pPr>
        <w:pStyle w:val="BodyText"/>
      </w:pPr>
    </w:p>
    <w:p>
      <w:pPr>
        <w:pStyle w:val="ListParagraph"/>
        <w:numPr>
          <w:ilvl w:val="0"/>
          <w:numId w:val="42"/>
        </w:numPr>
        <w:tabs>
          <w:tab w:pos="810" w:val="left" w:leader="none"/>
        </w:tabs>
        <w:spacing w:line="240" w:lineRule="auto" w:before="0" w:after="0"/>
        <w:ind w:left="102" w:right="103" w:firstLine="0"/>
        <w:jc w:val="both"/>
        <w:rPr>
          <w:sz w:val="20"/>
        </w:rPr>
      </w:pPr>
      <w:r>
        <w:rPr>
          <w:sz w:val="20"/>
        </w:rPr>
        <w:t>La Corte supervisará el cumplimiento íntegro de esta Sentencia, en ejercicio de sus</w:t>
      </w:r>
      <w:r>
        <w:rPr>
          <w:spacing w:val="-13"/>
          <w:sz w:val="20"/>
        </w:rPr>
        <w:t> </w:t>
      </w:r>
      <w:r>
        <w:rPr>
          <w:sz w:val="20"/>
        </w:rPr>
        <w:t>atribuciones</w:t>
      </w:r>
      <w:r>
        <w:rPr>
          <w:spacing w:val="-13"/>
          <w:sz w:val="20"/>
        </w:rPr>
        <w:t> </w:t>
      </w:r>
      <w:r>
        <w:rPr>
          <w:sz w:val="20"/>
        </w:rPr>
        <w:t>y</w:t>
      </w:r>
      <w:r>
        <w:rPr>
          <w:spacing w:val="-11"/>
          <w:sz w:val="20"/>
        </w:rPr>
        <w:t> </w:t>
      </w:r>
      <w:r>
        <w:rPr>
          <w:sz w:val="20"/>
        </w:rPr>
        <w:t>en</w:t>
      </w:r>
      <w:r>
        <w:rPr>
          <w:spacing w:val="-9"/>
          <w:sz w:val="20"/>
        </w:rPr>
        <w:t> </w:t>
      </w:r>
      <w:r>
        <w:rPr>
          <w:sz w:val="20"/>
        </w:rPr>
        <w:t>cumplimiento</w:t>
      </w:r>
      <w:r>
        <w:rPr>
          <w:spacing w:val="-14"/>
          <w:sz w:val="20"/>
        </w:rPr>
        <w:t> </w:t>
      </w:r>
      <w:r>
        <w:rPr>
          <w:sz w:val="20"/>
        </w:rPr>
        <w:t>de</w:t>
      </w:r>
      <w:r>
        <w:rPr>
          <w:spacing w:val="-12"/>
          <w:sz w:val="20"/>
        </w:rPr>
        <w:t> </w:t>
      </w:r>
      <w:r>
        <w:rPr>
          <w:sz w:val="20"/>
        </w:rPr>
        <w:t>sus</w:t>
      </w:r>
      <w:r>
        <w:rPr>
          <w:spacing w:val="-11"/>
          <w:sz w:val="20"/>
        </w:rPr>
        <w:t> </w:t>
      </w:r>
      <w:r>
        <w:rPr>
          <w:sz w:val="20"/>
        </w:rPr>
        <w:t>deberes</w:t>
      </w:r>
      <w:r>
        <w:rPr>
          <w:spacing w:val="-13"/>
          <w:sz w:val="20"/>
        </w:rPr>
        <w:t> </w:t>
      </w:r>
      <w:r>
        <w:rPr>
          <w:sz w:val="20"/>
        </w:rPr>
        <w:t>conforme</w:t>
      </w:r>
      <w:r>
        <w:rPr>
          <w:spacing w:val="-14"/>
          <w:sz w:val="20"/>
        </w:rPr>
        <w:t> </w:t>
      </w:r>
      <w:r>
        <w:rPr>
          <w:sz w:val="20"/>
        </w:rPr>
        <w:t>a</w:t>
      </w:r>
      <w:r>
        <w:rPr>
          <w:spacing w:val="-10"/>
          <w:sz w:val="20"/>
        </w:rPr>
        <w:t> </w:t>
      </w:r>
      <w:r>
        <w:rPr>
          <w:sz w:val="20"/>
        </w:rPr>
        <w:t>la</w:t>
      </w:r>
      <w:r>
        <w:rPr>
          <w:spacing w:val="-12"/>
          <w:sz w:val="20"/>
        </w:rPr>
        <w:t> </w:t>
      </w:r>
      <w:r>
        <w:rPr>
          <w:sz w:val="20"/>
        </w:rPr>
        <w:t>Convención</w:t>
      </w:r>
      <w:r>
        <w:rPr>
          <w:spacing w:val="-13"/>
          <w:sz w:val="20"/>
        </w:rPr>
        <w:t> </w:t>
      </w:r>
      <w:r>
        <w:rPr>
          <w:sz w:val="20"/>
        </w:rPr>
        <w:t>Americana sobre Derechos Humanos, y dará́ por concluido el presente caso una vez que el Estado haya dado cabal cumplimiento a lo dispuesto en la</w:t>
      </w:r>
      <w:r>
        <w:rPr>
          <w:spacing w:val="-21"/>
          <w:sz w:val="20"/>
        </w:rPr>
        <w:t> </w:t>
      </w:r>
      <w:r>
        <w:rPr>
          <w:sz w:val="20"/>
        </w:rPr>
        <w:t>misma.</w:t>
      </w:r>
    </w:p>
    <w:p>
      <w:pPr>
        <w:pStyle w:val="BodyText"/>
        <w:rPr>
          <w:sz w:val="24"/>
        </w:rPr>
      </w:pPr>
    </w:p>
    <w:p>
      <w:pPr>
        <w:pStyle w:val="BodyText"/>
        <w:spacing w:before="192"/>
        <w:ind w:left="102" w:right="98"/>
        <w:jc w:val="both"/>
      </w:pPr>
      <w:r>
        <w:rPr/>
        <w:t>Los jueces L. Patricio Pazmiño Freire y Eduardo Ferrer Mac-Gregor Poisot dieron a conocer sus votos individuales concurrentes. Los jueces Eduardo Vio Grossi, Humberto Antonio Sierra Porto y Ricardo Pérez Manrique dieron a conocer sus votos individuales parcialmente disidentes.</w:t>
      </w:r>
    </w:p>
    <w:p>
      <w:pPr>
        <w:pStyle w:val="BodyText"/>
        <w:rPr>
          <w:sz w:val="24"/>
        </w:rPr>
      </w:pPr>
    </w:p>
    <w:p>
      <w:pPr>
        <w:pStyle w:val="BodyText"/>
        <w:spacing w:before="194"/>
        <w:ind w:left="102"/>
        <w:jc w:val="both"/>
      </w:pPr>
      <w:r>
        <w:rPr/>
        <w:t>Redactada en español en San José, Costa Rica, el 6 de febrero de 2020.</w:t>
      </w:r>
    </w:p>
    <w:p>
      <w:pPr>
        <w:spacing w:after="0"/>
        <w:jc w:val="both"/>
        <w:sectPr>
          <w:pgSz w:w="12240" w:h="15840"/>
          <w:pgMar w:header="0" w:footer="940" w:top="1500" w:bottom="1200" w:left="1600" w:right="1600"/>
        </w:sectPr>
      </w:pPr>
    </w:p>
    <w:p>
      <w:pPr>
        <w:spacing w:before="161"/>
        <w:ind w:left="102" w:right="100" w:firstLine="0"/>
        <w:jc w:val="both"/>
        <w:rPr>
          <w:sz w:val="20"/>
        </w:rPr>
      </w:pPr>
      <w:r>
        <w:rPr>
          <w:sz w:val="20"/>
        </w:rPr>
        <w:t>Corte IDH. </w:t>
      </w:r>
      <w:r>
        <w:rPr>
          <w:i/>
          <w:sz w:val="20"/>
        </w:rPr>
        <w:t>Caso Comunidades Indígenas Miembros de la Asociación Lhaka Honhat </w:t>
      </w:r>
      <w:r>
        <w:rPr>
          <w:i/>
          <w:sz w:val="20"/>
        </w:rPr>
        <w:t>(Nuestra Tierra) Vs. Argentina</w:t>
      </w:r>
      <w:r>
        <w:rPr>
          <w:sz w:val="20"/>
        </w:rPr>
        <w:t>. Excepción Preliminar, Fondo, Reparaciones y Costas. Sentencia de 6 de febrero de 2020.</w:t>
      </w:r>
    </w:p>
    <w:p>
      <w:pPr>
        <w:pStyle w:val="BodyText"/>
        <w:rPr>
          <w:sz w:val="24"/>
        </w:rPr>
      </w:pPr>
    </w:p>
    <w:p>
      <w:pPr>
        <w:pStyle w:val="BodyText"/>
        <w:rPr>
          <w:sz w:val="24"/>
        </w:rPr>
      </w:pPr>
    </w:p>
    <w:p>
      <w:pPr>
        <w:pStyle w:val="BodyText"/>
        <w:rPr>
          <w:sz w:val="24"/>
        </w:rPr>
      </w:pPr>
    </w:p>
    <w:p>
      <w:pPr>
        <w:pStyle w:val="BodyText"/>
        <w:rPr>
          <w:sz w:val="28"/>
        </w:rPr>
      </w:pPr>
    </w:p>
    <w:p>
      <w:pPr>
        <w:pStyle w:val="BodyText"/>
        <w:ind w:left="3188" w:right="3191"/>
        <w:jc w:val="center"/>
      </w:pPr>
      <w:r>
        <w:rPr/>
        <w:t>Elizabeth Odio Benito Presidenta</w:t>
      </w:r>
    </w:p>
    <w:p>
      <w:pPr>
        <w:pStyle w:val="BodyText"/>
        <w:rPr>
          <w:sz w:val="24"/>
        </w:rPr>
      </w:pPr>
    </w:p>
    <w:p>
      <w:pPr>
        <w:pStyle w:val="BodyText"/>
        <w:rPr>
          <w:sz w:val="24"/>
        </w:rPr>
      </w:pPr>
    </w:p>
    <w:p>
      <w:pPr>
        <w:pStyle w:val="BodyText"/>
        <w:spacing w:before="2"/>
        <w:rPr>
          <w:sz w:val="32"/>
        </w:rPr>
      </w:pPr>
    </w:p>
    <w:p>
      <w:pPr>
        <w:pStyle w:val="BodyText"/>
        <w:tabs>
          <w:tab w:pos="6609" w:val="left" w:leader="none"/>
        </w:tabs>
        <w:ind w:left="102"/>
        <w:jc w:val="both"/>
      </w:pPr>
      <w:r>
        <w:rPr/>
        <w:t>L. Patricio</w:t>
      </w:r>
      <w:r>
        <w:rPr>
          <w:spacing w:val="-3"/>
        </w:rPr>
        <w:t> </w:t>
      </w:r>
      <w:r>
        <w:rPr/>
        <w:t>Pazmiño</w:t>
      </w:r>
      <w:r>
        <w:rPr>
          <w:spacing w:val="-3"/>
        </w:rPr>
        <w:t> </w:t>
      </w:r>
      <w:r>
        <w:rPr/>
        <w:t>Freire</w:t>
        <w:tab/>
        <w:t>Eduardo Vio</w:t>
      </w:r>
      <w:r>
        <w:rPr>
          <w:spacing w:val="-10"/>
        </w:rPr>
        <w:t> </w:t>
      </w:r>
      <w:r>
        <w:rPr/>
        <w:t>Grossi</w:t>
      </w:r>
    </w:p>
    <w:p>
      <w:pPr>
        <w:pStyle w:val="BodyText"/>
        <w:rPr>
          <w:sz w:val="24"/>
        </w:rPr>
      </w:pPr>
    </w:p>
    <w:p>
      <w:pPr>
        <w:pStyle w:val="BodyText"/>
        <w:rPr>
          <w:sz w:val="24"/>
        </w:rPr>
      </w:pPr>
    </w:p>
    <w:p>
      <w:pPr>
        <w:pStyle w:val="BodyText"/>
        <w:rPr>
          <w:sz w:val="24"/>
        </w:rPr>
      </w:pPr>
    </w:p>
    <w:p>
      <w:pPr>
        <w:pStyle w:val="BodyText"/>
        <w:spacing w:before="10"/>
        <w:rPr>
          <w:sz w:val="27"/>
        </w:rPr>
      </w:pPr>
    </w:p>
    <w:p>
      <w:pPr>
        <w:pStyle w:val="BodyText"/>
        <w:tabs>
          <w:tab w:pos="5058" w:val="left" w:leader="none"/>
        </w:tabs>
        <w:ind w:left="102"/>
        <w:jc w:val="both"/>
      </w:pPr>
      <w:r>
        <w:rPr/>
        <w:t>Humberto Antonio</w:t>
      </w:r>
      <w:r>
        <w:rPr>
          <w:spacing w:val="-6"/>
        </w:rPr>
        <w:t> </w:t>
      </w:r>
      <w:r>
        <w:rPr/>
        <w:t>Sierra</w:t>
      </w:r>
      <w:r>
        <w:rPr>
          <w:spacing w:val="-2"/>
        </w:rPr>
        <w:t> </w:t>
      </w:r>
      <w:r>
        <w:rPr/>
        <w:t>Porto</w:t>
        <w:tab/>
        <w:t>Eduardo Ferrer Mac-Gregor</w:t>
      </w:r>
      <w:r>
        <w:rPr>
          <w:spacing w:val="-13"/>
        </w:rPr>
        <w:t> </w:t>
      </w:r>
      <w:r>
        <w:rPr/>
        <w:t>Poisot</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3"/>
        </w:rPr>
      </w:pPr>
    </w:p>
    <w:p>
      <w:pPr>
        <w:pStyle w:val="BodyText"/>
        <w:jc w:val="center"/>
      </w:pPr>
      <w:r>
        <w:rPr/>
        <w:t>Ricardo C. Pérez Manrique</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3"/>
        </w:rPr>
      </w:pPr>
    </w:p>
    <w:p>
      <w:pPr>
        <w:pStyle w:val="BodyText"/>
        <w:spacing w:before="1"/>
        <w:ind w:left="3191" w:right="3191"/>
        <w:jc w:val="center"/>
      </w:pPr>
      <w:r>
        <w:rPr/>
        <w:t>Pablo Saavedra Alessandri Secretario</w:t>
      </w:r>
    </w:p>
    <w:p>
      <w:pPr>
        <w:pStyle w:val="BodyText"/>
        <w:rPr>
          <w:sz w:val="24"/>
        </w:rPr>
      </w:pPr>
    </w:p>
    <w:p>
      <w:pPr>
        <w:pStyle w:val="BodyText"/>
        <w:rPr>
          <w:sz w:val="24"/>
        </w:rPr>
      </w:pPr>
    </w:p>
    <w:p>
      <w:pPr>
        <w:pStyle w:val="BodyText"/>
        <w:spacing w:before="148"/>
        <w:ind w:left="102"/>
        <w:jc w:val="both"/>
      </w:pPr>
      <w:r>
        <w:rPr/>
        <w:t>Comuníquese y ejecútese,</w:t>
      </w:r>
    </w:p>
    <w:p>
      <w:pPr>
        <w:pStyle w:val="BodyText"/>
        <w:rPr>
          <w:sz w:val="24"/>
        </w:rPr>
      </w:pPr>
    </w:p>
    <w:p>
      <w:pPr>
        <w:pStyle w:val="BodyText"/>
        <w:rPr>
          <w:sz w:val="24"/>
        </w:rPr>
      </w:pPr>
    </w:p>
    <w:p>
      <w:pPr>
        <w:pStyle w:val="BodyText"/>
        <w:spacing w:before="146"/>
        <w:ind w:left="7252" w:right="124" w:hanging="504"/>
      </w:pPr>
      <w:r>
        <w:rPr/>
        <w:t>Elizabeth Odio Benito Presidenta</w:t>
      </w:r>
    </w:p>
    <w:p>
      <w:pPr>
        <w:pStyle w:val="BodyText"/>
        <w:rPr>
          <w:sz w:val="24"/>
        </w:rPr>
      </w:pPr>
    </w:p>
    <w:p>
      <w:pPr>
        <w:pStyle w:val="BodyText"/>
        <w:spacing w:before="11"/>
        <w:rPr>
          <w:sz w:val="35"/>
        </w:rPr>
      </w:pPr>
    </w:p>
    <w:p>
      <w:pPr>
        <w:pStyle w:val="BodyText"/>
        <w:ind w:left="802" w:right="6261" w:hanging="701"/>
      </w:pPr>
      <w:r>
        <w:rPr/>
        <w:t>Pablo Saavedra Alessandri Secretario</w:t>
      </w:r>
    </w:p>
    <w:p>
      <w:pPr>
        <w:spacing w:after="0"/>
        <w:sectPr>
          <w:pgSz w:w="12240" w:h="15840"/>
          <w:pgMar w:header="0" w:footer="940" w:top="1500" w:bottom="1200" w:left="1600" w:right="1600"/>
        </w:sectPr>
      </w:pPr>
    </w:p>
    <w:p>
      <w:pPr>
        <w:pStyle w:val="Heading3"/>
        <w:spacing w:before="76" w:after="37"/>
        <w:ind w:left="144" w:right="164"/>
      </w:pPr>
      <w:bookmarkStart w:name="_bookmark103" w:id="174"/>
      <w:bookmarkEnd w:id="174"/>
      <w:r>
        <w:rPr>
          <w:b w:val="0"/>
        </w:rPr>
      </w:r>
      <w:r>
        <w:rPr/>
        <w:t>ANEXO I</w:t>
      </w:r>
    </w:p>
    <w:tbl>
      <w:tblPr>
        <w:tblW w:w="0" w:type="auto"/>
        <w:jc w:val="left"/>
        <w:tblInd w:w="10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CellMar>
          <w:top w:w="0" w:type="dxa"/>
          <w:left w:w="0" w:type="dxa"/>
          <w:bottom w:w="0" w:type="dxa"/>
          <w:right w:w="0" w:type="dxa"/>
        </w:tblCellMar>
        <w:tblLook w:val="01E0"/>
      </w:tblPr>
      <w:tblGrid>
        <w:gridCol w:w="8819"/>
      </w:tblGrid>
      <w:tr>
        <w:trPr>
          <w:trHeight w:val="706" w:hRule="exact"/>
        </w:trPr>
        <w:tc>
          <w:tcPr>
            <w:tcW w:w="8819" w:type="dxa"/>
            <w:shd w:val="clear" w:color="auto" w:fill="C0C0C0"/>
          </w:tcPr>
          <w:p>
            <w:pPr>
              <w:pStyle w:val="TableParagraph"/>
              <w:spacing w:before="1"/>
              <w:ind w:left="1375" w:right="474" w:hanging="884"/>
              <w:rPr>
                <w:b/>
                <w:sz w:val="20"/>
              </w:rPr>
            </w:pPr>
            <w:r>
              <w:rPr>
                <w:b/>
                <w:sz w:val="20"/>
              </w:rPr>
              <w:t>LISTADO DE COMUNIDADES INDÍGENAS INCLUIDAS EN LA PETICIÓN INICIAL CONFORME EL INFORME DE FONDO No. 2/12</w:t>
            </w:r>
          </w:p>
        </w:tc>
      </w:tr>
    </w:tbl>
    <w:p>
      <w:pPr>
        <w:pStyle w:val="BodyText"/>
        <w:rPr>
          <w:b/>
        </w:rPr>
      </w:pPr>
    </w:p>
    <w:p>
      <w:pPr>
        <w:pStyle w:val="BodyText"/>
        <w:spacing w:before="6"/>
        <w:rPr>
          <w:b/>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252" w:hRule="exact"/>
        </w:trPr>
        <w:tc>
          <w:tcPr>
            <w:tcW w:w="8829" w:type="dxa"/>
          </w:tcPr>
          <w:p>
            <w:pPr>
              <w:pStyle w:val="TableParagraph"/>
              <w:rPr>
                <w:sz w:val="20"/>
              </w:rPr>
            </w:pPr>
            <w:r>
              <w:rPr>
                <w:sz w:val="20"/>
              </w:rPr>
              <w:t>1.  Alto La Sierra</w:t>
            </w:r>
          </w:p>
        </w:tc>
      </w:tr>
      <w:tr>
        <w:trPr>
          <w:trHeight w:val="254" w:hRule="exact"/>
        </w:trPr>
        <w:tc>
          <w:tcPr>
            <w:tcW w:w="8829" w:type="dxa"/>
          </w:tcPr>
          <w:p>
            <w:pPr>
              <w:pStyle w:val="TableParagraph"/>
              <w:spacing w:before="3"/>
              <w:rPr>
                <w:sz w:val="20"/>
              </w:rPr>
            </w:pPr>
            <w:r>
              <w:rPr>
                <w:sz w:val="20"/>
              </w:rPr>
              <w:t>2.  Bajo Grande</w:t>
            </w:r>
          </w:p>
        </w:tc>
      </w:tr>
      <w:tr>
        <w:trPr>
          <w:trHeight w:val="252" w:hRule="exact"/>
        </w:trPr>
        <w:tc>
          <w:tcPr>
            <w:tcW w:w="8829" w:type="dxa"/>
          </w:tcPr>
          <w:p>
            <w:pPr>
              <w:pStyle w:val="TableParagraph"/>
              <w:rPr>
                <w:sz w:val="20"/>
              </w:rPr>
            </w:pPr>
            <w:r>
              <w:rPr>
                <w:sz w:val="20"/>
              </w:rPr>
              <w:t>3.  Bella Vista</w:t>
            </w:r>
          </w:p>
        </w:tc>
      </w:tr>
      <w:tr>
        <w:trPr>
          <w:trHeight w:val="254" w:hRule="exact"/>
        </w:trPr>
        <w:tc>
          <w:tcPr>
            <w:tcW w:w="8829" w:type="dxa"/>
          </w:tcPr>
          <w:p>
            <w:pPr>
              <w:pStyle w:val="TableParagraph"/>
              <w:spacing w:before="3"/>
              <w:rPr>
                <w:sz w:val="20"/>
              </w:rPr>
            </w:pPr>
            <w:r>
              <w:rPr>
                <w:sz w:val="20"/>
              </w:rPr>
              <w:t>4.  Cañaveral</w:t>
            </w:r>
          </w:p>
        </w:tc>
      </w:tr>
      <w:tr>
        <w:trPr>
          <w:trHeight w:val="252" w:hRule="exact"/>
        </w:trPr>
        <w:tc>
          <w:tcPr>
            <w:tcW w:w="8829" w:type="dxa"/>
          </w:tcPr>
          <w:p>
            <w:pPr>
              <w:pStyle w:val="TableParagraph"/>
              <w:tabs>
                <w:tab w:pos="892" w:val="left" w:leader="none"/>
              </w:tabs>
              <w:rPr>
                <w:sz w:val="20"/>
              </w:rPr>
            </w:pPr>
            <w:r>
              <w:rPr>
                <w:sz w:val="20"/>
              </w:rPr>
              <w:t>5.</w:t>
              <w:tab/>
              <w:t>El Pin</w:t>
            </w:r>
            <w:r>
              <w:rPr>
                <w:spacing w:val="-6"/>
                <w:sz w:val="20"/>
              </w:rPr>
              <w:t> </w:t>
            </w:r>
            <w:r>
              <w:rPr>
                <w:sz w:val="20"/>
              </w:rPr>
              <w:t>Pin</w:t>
            </w:r>
          </w:p>
        </w:tc>
      </w:tr>
      <w:tr>
        <w:trPr>
          <w:trHeight w:val="254" w:hRule="exact"/>
        </w:trPr>
        <w:tc>
          <w:tcPr>
            <w:tcW w:w="8829" w:type="dxa"/>
          </w:tcPr>
          <w:p>
            <w:pPr>
              <w:pStyle w:val="TableParagraph"/>
              <w:rPr>
                <w:sz w:val="20"/>
              </w:rPr>
            </w:pPr>
            <w:r>
              <w:rPr>
                <w:sz w:val="20"/>
              </w:rPr>
              <w:t>6.  La Bolsa</w:t>
            </w:r>
          </w:p>
        </w:tc>
      </w:tr>
      <w:tr>
        <w:trPr>
          <w:trHeight w:val="252" w:hRule="exact"/>
        </w:trPr>
        <w:tc>
          <w:tcPr>
            <w:tcW w:w="8829" w:type="dxa"/>
          </w:tcPr>
          <w:p>
            <w:pPr>
              <w:pStyle w:val="TableParagraph"/>
              <w:rPr>
                <w:sz w:val="20"/>
              </w:rPr>
            </w:pPr>
            <w:r>
              <w:rPr>
                <w:sz w:val="20"/>
              </w:rPr>
              <w:t>7.  La Curvita</w:t>
            </w:r>
          </w:p>
        </w:tc>
      </w:tr>
      <w:tr>
        <w:trPr>
          <w:trHeight w:val="254" w:hRule="exact"/>
        </w:trPr>
        <w:tc>
          <w:tcPr>
            <w:tcW w:w="8829" w:type="dxa"/>
          </w:tcPr>
          <w:p>
            <w:pPr>
              <w:pStyle w:val="TableParagraph"/>
              <w:rPr>
                <w:sz w:val="20"/>
              </w:rPr>
            </w:pPr>
            <w:r>
              <w:rPr>
                <w:sz w:val="20"/>
              </w:rPr>
              <w:t>8.  La Gracia</w:t>
            </w:r>
          </w:p>
        </w:tc>
      </w:tr>
      <w:tr>
        <w:trPr>
          <w:trHeight w:val="252" w:hRule="exact"/>
        </w:trPr>
        <w:tc>
          <w:tcPr>
            <w:tcW w:w="8829" w:type="dxa"/>
          </w:tcPr>
          <w:p>
            <w:pPr>
              <w:pStyle w:val="TableParagraph"/>
              <w:rPr>
                <w:sz w:val="20"/>
              </w:rPr>
            </w:pPr>
            <w:r>
              <w:rPr>
                <w:sz w:val="20"/>
              </w:rPr>
              <w:t>9.  La Merced Nueva</w:t>
            </w:r>
          </w:p>
        </w:tc>
      </w:tr>
      <w:tr>
        <w:trPr>
          <w:trHeight w:val="253" w:hRule="exact"/>
        </w:trPr>
        <w:tc>
          <w:tcPr>
            <w:tcW w:w="8829" w:type="dxa"/>
          </w:tcPr>
          <w:p>
            <w:pPr>
              <w:pStyle w:val="TableParagraph"/>
              <w:spacing w:before="1"/>
              <w:rPr>
                <w:sz w:val="20"/>
              </w:rPr>
            </w:pPr>
            <w:r>
              <w:rPr>
                <w:sz w:val="20"/>
              </w:rPr>
              <w:t>10. La Merced Vieja</w:t>
            </w:r>
          </w:p>
        </w:tc>
      </w:tr>
      <w:tr>
        <w:trPr>
          <w:trHeight w:val="254" w:hRule="exact"/>
        </w:trPr>
        <w:tc>
          <w:tcPr>
            <w:tcW w:w="8829" w:type="dxa"/>
          </w:tcPr>
          <w:p>
            <w:pPr>
              <w:pStyle w:val="TableParagraph"/>
              <w:spacing w:before="3"/>
              <w:rPr>
                <w:sz w:val="20"/>
              </w:rPr>
            </w:pPr>
            <w:r>
              <w:rPr>
                <w:sz w:val="20"/>
              </w:rPr>
              <w:t>11. La Puntana</w:t>
            </w:r>
          </w:p>
        </w:tc>
      </w:tr>
      <w:tr>
        <w:trPr>
          <w:trHeight w:val="252" w:hRule="exact"/>
        </w:trPr>
        <w:tc>
          <w:tcPr>
            <w:tcW w:w="8829" w:type="dxa"/>
          </w:tcPr>
          <w:p>
            <w:pPr>
              <w:pStyle w:val="TableParagraph"/>
              <w:rPr>
                <w:sz w:val="20"/>
              </w:rPr>
            </w:pPr>
            <w:r>
              <w:rPr>
                <w:sz w:val="20"/>
              </w:rPr>
              <w:t>12. Las Vertientes</w:t>
            </w:r>
          </w:p>
        </w:tc>
      </w:tr>
      <w:tr>
        <w:trPr>
          <w:trHeight w:val="254" w:hRule="exact"/>
        </w:trPr>
        <w:tc>
          <w:tcPr>
            <w:tcW w:w="8829" w:type="dxa"/>
          </w:tcPr>
          <w:p>
            <w:pPr>
              <w:pStyle w:val="TableParagraph"/>
              <w:spacing w:before="3"/>
              <w:rPr>
                <w:sz w:val="20"/>
              </w:rPr>
            </w:pPr>
            <w:r>
              <w:rPr>
                <w:sz w:val="20"/>
              </w:rPr>
              <w:t>13. Misión la paz km. 1 y 2</w:t>
            </w:r>
          </w:p>
        </w:tc>
      </w:tr>
      <w:tr>
        <w:trPr>
          <w:trHeight w:val="252" w:hRule="exact"/>
        </w:trPr>
        <w:tc>
          <w:tcPr>
            <w:tcW w:w="8829" w:type="dxa"/>
          </w:tcPr>
          <w:p>
            <w:pPr>
              <w:pStyle w:val="TableParagraph"/>
              <w:rPr>
                <w:sz w:val="20"/>
              </w:rPr>
            </w:pPr>
            <w:r>
              <w:rPr>
                <w:sz w:val="20"/>
              </w:rPr>
              <w:t>14. Monte Carmelo</w:t>
            </w:r>
          </w:p>
        </w:tc>
      </w:tr>
      <w:tr>
        <w:trPr>
          <w:trHeight w:val="254" w:hRule="exact"/>
        </w:trPr>
        <w:tc>
          <w:tcPr>
            <w:tcW w:w="8829" w:type="dxa"/>
          </w:tcPr>
          <w:p>
            <w:pPr>
              <w:pStyle w:val="TableParagraph"/>
              <w:rPr>
                <w:sz w:val="20"/>
              </w:rPr>
            </w:pPr>
            <w:r>
              <w:rPr>
                <w:sz w:val="20"/>
              </w:rPr>
              <w:t>15. Pozo El Mulato</w:t>
            </w:r>
          </w:p>
        </w:tc>
      </w:tr>
      <w:tr>
        <w:trPr>
          <w:trHeight w:val="252" w:hRule="exact"/>
        </w:trPr>
        <w:tc>
          <w:tcPr>
            <w:tcW w:w="8829" w:type="dxa"/>
          </w:tcPr>
          <w:p>
            <w:pPr>
              <w:pStyle w:val="TableParagraph"/>
              <w:rPr>
                <w:sz w:val="20"/>
              </w:rPr>
            </w:pPr>
            <w:r>
              <w:rPr>
                <w:sz w:val="20"/>
              </w:rPr>
              <w:t>16. Pozo El Toro</w:t>
            </w:r>
          </w:p>
        </w:tc>
      </w:tr>
      <w:tr>
        <w:trPr>
          <w:trHeight w:val="254" w:hRule="exact"/>
        </w:trPr>
        <w:tc>
          <w:tcPr>
            <w:tcW w:w="8829" w:type="dxa"/>
          </w:tcPr>
          <w:p>
            <w:pPr>
              <w:pStyle w:val="TableParagraph"/>
              <w:rPr>
                <w:sz w:val="20"/>
              </w:rPr>
            </w:pPr>
            <w:r>
              <w:rPr>
                <w:sz w:val="20"/>
              </w:rPr>
              <w:t>17. Pozo del Tigre- San Ignacio</w:t>
            </w:r>
          </w:p>
        </w:tc>
      </w:tr>
      <w:tr>
        <w:trPr>
          <w:trHeight w:val="252" w:hRule="exact"/>
        </w:trPr>
        <w:tc>
          <w:tcPr>
            <w:tcW w:w="8829" w:type="dxa"/>
          </w:tcPr>
          <w:p>
            <w:pPr>
              <w:pStyle w:val="TableParagraph"/>
              <w:rPr>
                <w:sz w:val="20"/>
              </w:rPr>
            </w:pPr>
            <w:r>
              <w:rPr>
                <w:sz w:val="20"/>
              </w:rPr>
              <w:t>18. Pozo La China</w:t>
            </w:r>
          </w:p>
        </w:tc>
      </w:tr>
      <w:tr>
        <w:trPr>
          <w:trHeight w:val="252" w:hRule="exact"/>
        </w:trPr>
        <w:tc>
          <w:tcPr>
            <w:tcW w:w="8829" w:type="dxa"/>
          </w:tcPr>
          <w:p>
            <w:pPr>
              <w:pStyle w:val="TableParagraph"/>
              <w:rPr>
                <w:sz w:val="20"/>
              </w:rPr>
            </w:pPr>
            <w:r>
              <w:rPr>
                <w:sz w:val="20"/>
              </w:rPr>
              <w:t>19. Rancho del Ñato</w:t>
            </w:r>
          </w:p>
        </w:tc>
      </w:tr>
      <w:tr>
        <w:trPr>
          <w:trHeight w:val="254" w:hRule="exact"/>
        </w:trPr>
        <w:tc>
          <w:tcPr>
            <w:tcW w:w="8829" w:type="dxa"/>
          </w:tcPr>
          <w:p>
            <w:pPr>
              <w:pStyle w:val="TableParagraph"/>
              <w:spacing w:before="3"/>
              <w:rPr>
                <w:sz w:val="20"/>
              </w:rPr>
            </w:pPr>
            <w:r>
              <w:rPr>
                <w:sz w:val="20"/>
              </w:rPr>
              <w:t>20. San Luis</w:t>
            </w:r>
          </w:p>
        </w:tc>
      </w:tr>
      <w:tr>
        <w:trPr>
          <w:trHeight w:val="254" w:hRule="exact"/>
        </w:trPr>
        <w:tc>
          <w:tcPr>
            <w:tcW w:w="8829" w:type="dxa"/>
          </w:tcPr>
          <w:p>
            <w:pPr>
              <w:pStyle w:val="TableParagraph"/>
              <w:rPr>
                <w:sz w:val="20"/>
              </w:rPr>
            </w:pPr>
            <w:r>
              <w:rPr>
                <w:sz w:val="20"/>
              </w:rPr>
              <w:t>21. Santa María</w:t>
            </w:r>
          </w:p>
        </w:tc>
      </w:tr>
    </w:tbl>
    <w:p>
      <w:pPr>
        <w:spacing w:after="0"/>
        <w:rPr>
          <w:sz w:val="20"/>
        </w:rPr>
        <w:sectPr>
          <w:pgSz w:w="12240" w:h="15840"/>
          <w:pgMar w:header="0" w:footer="940" w:top="1340" w:bottom="1200" w:left="1600" w:right="1580"/>
        </w:sectPr>
      </w:pPr>
    </w:p>
    <w:p>
      <w:pPr>
        <w:pStyle w:val="BodyText"/>
        <w:rPr>
          <w:b/>
        </w:rPr>
      </w:pPr>
    </w:p>
    <w:p>
      <w:pPr>
        <w:pStyle w:val="BodyText"/>
        <w:spacing w:before="7"/>
        <w:rPr>
          <w:b/>
          <w:sz w:val="24"/>
        </w:rPr>
      </w:pPr>
    </w:p>
    <w:p>
      <w:pPr>
        <w:pStyle w:val="Heading3"/>
        <w:spacing w:before="100" w:after="35"/>
        <w:ind w:left="146" w:right="164"/>
      </w:pPr>
      <w:bookmarkStart w:name="_bookmark104" w:id="175"/>
      <w:bookmarkEnd w:id="175"/>
      <w:r>
        <w:rPr>
          <w:b w:val="0"/>
        </w:rPr>
      </w:r>
      <w:r>
        <w:rPr/>
        <w:t>ANEXO II</w:t>
      </w:r>
    </w:p>
    <w:tbl>
      <w:tblPr>
        <w:tblW w:w="0" w:type="auto"/>
        <w:jc w:val="left"/>
        <w:tblInd w:w="10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CellMar>
          <w:top w:w="0" w:type="dxa"/>
          <w:left w:w="0" w:type="dxa"/>
          <w:bottom w:w="0" w:type="dxa"/>
          <w:right w:w="0" w:type="dxa"/>
        </w:tblCellMar>
        <w:tblLook w:val="01E0"/>
      </w:tblPr>
      <w:tblGrid>
        <w:gridCol w:w="8819"/>
      </w:tblGrid>
      <w:tr>
        <w:trPr>
          <w:trHeight w:val="707" w:hRule="exact"/>
        </w:trPr>
        <w:tc>
          <w:tcPr>
            <w:tcW w:w="8819" w:type="dxa"/>
            <w:shd w:val="clear" w:color="auto" w:fill="C0C0C0"/>
          </w:tcPr>
          <w:p>
            <w:pPr>
              <w:pStyle w:val="TableParagraph"/>
              <w:spacing w:line="244" w:lineRule="auto"/>
              <w:ind w:left="3439" w:right="184" w:hanging="3239"/>
              <w:rPr>
                <w:b/>
                <w:sz w:val="20"/>
              </w:rPr>
            </w:pPr>
            <w:r>
              <w:rPr>
                <w:b/>
                <w:sz w:val="20"/>
              </w:rPr>
              <w:t>COMUNIDADES INDÍGENAS CONSIDERADAS VÍCTIMAS EN EL INFORME DE FONDO NO. 2/12</w:t>
            </w:r>
          </w:p>
        </w:tc>
      </w:tr>
    </w:tbl>
    <w:p>
      <w:pPr>
        <w:pStyle w:val="BodyText"/>
        <w:rPr>
          <w:b/>
        </w:rPr>
      </w:pPr>
    </w:p>
    <w:p>
      <w:pPr>
        <w:pStyle w:val="BodyText"/>
        <w:spacing w:before="5"/>
        <w:rPr>
          <w:b/>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254" w:hRule="exact"/>
        </w:trPr>
        <w:tc>
          <w:tcPr>
            <w:tcW w:w="8829" w:type="dxa"/>
          </w:tcPr>
          <w:p>
            <w:pPr>
              <w:pStyle w:val="TableParagraph"/>
              <w:rPr>
                <w:sz w:val="20"/>
              </w:rPr>
            </w:pPr>
            <w:r>
              <w:rPr>
                <w:sz w:val="20"/>
              </w:rPr>
              <w:t>1.  Bella Vista</w:t>
            </w:r>
          </w:p>
        </w:tc>
      </w:tr>
      <w:tr>
        <w:trPr>
          <w:trHeight w:val="252" w:hRule="exact"/>
        </w:trPr>
        <w:tc>
          <w:tcPr>
            <w:tcW w:w="8829" w:type="dxa"/>
          </w:tcPr>
          <w:p>
            <w:pPr>
              <w:pStyle w:val="TableParagraph"/>
              <w:rPr>
                <w:sz w:val="20"/>
              </w:rPr>
            </w:pPr>
            <w:r>
              <w:rPr>
                <w:sz w:val="20"/>
              </w:rPr>
              <w:t>2.  El Cañaveral 1</w:t>
            </w:r>
          </w:p>
        </w:tc>
      </w:tr>
      <w:tr>
        <w:trPr>
          <w:trHeight w:val="254" w:hRule="exact"/>
        </w:trPr>
        <w:tc>
          <w:tcPr>
            <w:tcW w:w="8829" w:type="dxa"/>
          </w:tcPr>
          <w:p>
            <w:pPr>
              <w:pStyle w:val="TableParagraph"/>
              <w:rPr>
                <w:sz w:val="20"/>
              </w:rPr>
            </w:pPr>
            <w:r>
              <w:rPr>
                <w:sz w:val="20"/>
              </w:rPr>
              <w:t>3.  El Cercado</w:t>
            </w:r>
          </w:p>
        </w:tc>
      </w:tr>
      <w:tr>
        <w:trPr>
          <w:trHeight w:val="252" w:hRule="exact"/>
        </w:trPr>
        <w:tc>
          <w:tcPr>
            <w:tcW w:w="8829" w:type="dxa"/>
          </w:tcPr>
          <w:p>
            <w:pPr>
              <w:pStyle w:val="TableParagraph"/>
              <w:rPr>
                <w:sz w:val="20"/>
              </w:rPr>
            </w:pPr>
            <w:r>
              <w:rPr>
                <w:sz w:val="20"/>
              </w:rPr>
              <w:t>4.  El Cruce</w:t>
            </w:r>
          </w:p>
        </w:tc>
      </w:tr>
      <w:tr>
        <w:trPr>
          <w:trHeight w:val="254" w:hRule="exact"/>
        </w:trPr>
        <w:tc>
          <w:tcPr>
            <w:tcW w:w="8829" w:type="dxa"/>
          </w:tcPr>
          <w:p>
            <w:pPr>
              <w:pStyle w:val="TableParagraph"/>
              <w:rPr>
                <w:sz w:val="20"/>
              </w:rPr>
            </w:pPr>
            <w:r>
              <w:rPr>
                <w:sz w:val="20"/>
              </w:rPr>
              <w:t>5.  Km 1</w:t>
            </w:r>
          </w:p>
        </w:tc>
      </w:tr>
      <w:tr>
        <w:trPr>
          <w:trHeight w:val="252" w:hRule="exact"/>
        </w:trPr>
        <w:tc>
          <w:tcPr>
            <w:tcW w:w="8829" w:type="dxa"/>
          </w:tcPr>
          <w:p>
            <w:pPr>
              <w:pStyle w:val="TableParagraph"/>
              <w:rPr>
                <w:sz w:val="20"/>
              </w:rPr>
            </w:pPr>
            <w:r>
              <w:rPr>
                <w:sz w:val="20"/>
              </w:rPr>
              <w:t>6.  Km 2</w:t>
            </w:r>
          </w:p>
        </w:tc>
      </w:tr>
      <w:tr>
        <w:trPr>
          <w:trHeight w:val="253" w:hRule="exact"/>
        </w:trPr>
        <w:tc>
          <w:tcPr>
            <w:tcW w:w="8829" w:type="dxa"/>
          </w:tcPr>
          <w:p>
            <w:pPr>
              <w:pStyle w:val="TableParagraph"/>
              <w:spacing w:before="1"/>
              <w:rPr>
                <w:sz w:val="20"/>
              </w:rPr>
            </w:pPr>
            <w:r>
              <w:rPr>
                <w:sz w:val="20"/>
              </w:rPr>
              <w:t>7.  Kom Lañoko - Misión Toba - Monte Carmelo</w:t>
            </w:r>
          </w:p>
        </w:tc>
      </w:tr>
      <w:tr>
        <w:trPr>
          <w:trHeight w:val="254" w:hRule="exact"/>
        </w:trPr>
        <w:tc>
          <w:tcPr>
            <w:tcW w:w="8829" w:type="dxa"/>
          </w:tcPr>
          <w:p>
            <w:pPr>
              <w:pStyle w:val="TableParagraph"/>
              <w:spacing w:before="3"/>
              <w:rPr>
                <w:sz w:val="20"/>
              </w:rPr>
            </w:pPr>
            <w:r>
              <w:rPr>
                <w:sz w:val="20"/>
              </w:rPr>
              <w:t>8.  La Bolsa</w:t>
            </w:r>
          </w:p>
        </w:tc>
      </w:tr>
      <w:tr>
        <w:trPr>
          <w:trHeight w:val="252" w:hRule="exact"/>
        </w:trPr>
        <w:tc>
          <w:tcPr>
            <w:tcW w:w="8829" w:type="dxa"/>
          </w:tcPr>
          <w:p>
            <w:pPr>
              <w:pStyle w:val="TableParagraph"/>
              <w:rPr>
                <w:sz w:val="20"/>
              </w:rPr>
            </w:pPr>
            <w:r>
              <w:rPr>
                <w:sz w:val="20"/>
              </w:rPr>
              <w:t>9.  La Curvita</w:t>
            </w:r>
          </w:p>
        </w:tc>
      </w:tr>
      <w:tr>
        <w:trPr>
          <w:trHeight w:val="254" w:hRule="exact"/>
        </w:trPr>
        <w:tc>
          <w:tcPr>
            <w:tcW w:w="8829" w:type="dxa"/>
          </w:tcPr>
          <w:p>
            <w:pPr>
              <w:pStyle w:val="TableParagraph"/>
              <w:rPr>
                <w:sz w:val="20"/>
              </w:rPr>
            </w:pPr>
            <w:r>
              <w:rPr>
                <w:sz w:val="20"/>
              </w:rPr>
              <w:t>10. Las Juntas</w:t>
            </w:r>
          </w:p>
        </w:tc>
      </w:tr>
      <w:tr>
        <w:trPr>
          <w:trHeight w:val="252" w:hRule="exact"/>
        </w:trPr>
        <w:tc>
          <w:tcPr>
            <w:tcW w:w="8829" w:type="dxa"/>
          </w:tcPr>
          <w:p>
            <w:pPr>
              <w:pStyle w:val="TableParagraph"/>
              <w:rPr>
                <w:sz w:val="20"/>
              </w:rPr>
            </w:pPr>
            <w:r>
              <w:rPr>
                <w:sz w:val="20"/>
              </w:rPr>
              <w:t>11. La Merced Nueva</w:t>
            </w:r>
          </w:p>
        </w:tc>
      </w:tr>
      <w:tr>
        <w:trPr>
          <w:trHeight w:val="254" w:hRule="exact"/>
        </w:trPr>
        <w:tc>
          <w:tcPr>
            <w:tcW w:w="8829" w:type="dxa"/>
          </w:tcPr>
          <w:p>
            <w:pPr>
              <w:pStyle w:val="TableParagraph"/>
              <w:rPr>
                <w:sz w:val="20"/>
              </w:rPr>
            </w:pPr>
            <w:r>
              <w:rPr>
                <w:sz w:val="20"/>
              </w:rPr>
              <w:t>12. La Merced Vieja</w:t>
            </w:r>
          </w:p>
        </w:tc>
      </w:tr>
      <w:tr>
        <w:trPr>
          <w:trHeight w:val="252" w:hRule="exact"/>
        </w:trPr>
        <w:tc>
          <w:tcPr>
            <w:tcW w:w="8829" w:type="dxa"/>
          </w:tcPr>
          <w:p>
            <w:pPr>
              <w:pStyle w:val="TableParagraph"/>
              <w:rPr>
                <w:sz w:val="20"/>
              </w:rPr>
            </w:pPr>
            <w:r>
              <w:rPr>
                <w:sz w:val="20"/>
              </w:rPr>
              <w:t>13. La Puntana I</w:t>
            </w:r>
          </w:p>
        </w:tc>
      </w:tr>
      <w:tr>
        <w:trPr>
          <w:trHeight w:val="254" w:hRule="exact"/>
        </w:trPr>
        <w:tc>
          <w:tcPr>
            <w:tcW w:w="8829" w:type="dxa"/>
          </w:tcPr>
          <w:p>
            <w:pPr>
              <w:pStyle w:val="TableParagraph"/>
              <w:rPr>
                <w:sz w:val="20"/>
              </w:rPr>
            </w:pPr>
            <w:r>
              <w:rPr>
                <w:sz w:val="20"/>
              </w:rPr>
              <w:t>14. Las Vertientes</w:t>
            </w:r>
          </w:p>
        </w:tc>
      </w:tr>
      <w:tr>
        <w:trPr>
          <w:trHeight w:val="252" w:hRule="exact"/>
        </w:trPr>
        <w:tc>
          <w:tcPr>
            <w:tcW w:w="8829" w:type="dxa"/>
          </w:tcPr>
          <w:p>
            <w:pPr>
              <w:pStyle w:val="TableParagraph"/>
              <w:rPr>
                <w:sz w:val="20"/>
              </w:rPr>
            </w:pPr>
            <w:r>
              <w:rPr>
                <w:sz w:val="20"/>
              </w:rPr>
              <w:t>15. Lantawos - Alto La Sierra</w:t>
            </w:r>
          </w:p>
        </w:tc>
      </w:tr>
      <w:tr>
        <w:trPr>
          <w:trHeight w:val="252" w:hRule="exact"/>
        </w:trPr>
        <w:tc>
          <w:tcPr>
            <w:tcW w:w="8829" w:type="dxa"/>
          </w:tcPr>
          <w:p>
            <w:pPr>
              <w:pStyle w:val="TableParagraph"/>
              <w:rPr>
                <w:sz w:val="20"/>
              </w:rPr>
            </w:pPr>
            <w:r>
              <w:rPr>
                <w:sz w:val="20"/>
              </w:rPr>
              <w:t>16. Misión La Gracia</w:t>
            </w:r>
          </w:p>
        </w:tc>
      </w:tr>
      <w:tr>
        <w:trPr>
          <w:trHeight w:val="254" w:hRule="exact"/>
        </w:trPr>
        <w:tc>
          <w:tcPr>
            <w:tcW w:w="8829" w:type="dxa"/>
          </w:tcPr>
          <w:p>
            <w:pPr>
              <w:pStyle w:val="TableParagraph"/>
              <w:spacing w:before="3"/>
              <w:rPr>
                <w:sz w:val="20"/>
              </w:rPr>
            </w:pPr>
            <w:r>
              <w:rPr>
                <w:sz w:val="20"/>
              </w:rPr>
              <w:t>17. Misión La Paz</w:t>
            </w:r>
          </w:p>
        </w:tc>
      </w:tr>
      <w:tr>
        <w:trPr>
          <w:trHeight w:val="252" w:hRule="exact"/>
        </w:trPr>
        <w:tc>
          <w:tcPr>
            <w:tcW w:w="8829" w:type="dxa"/>
          </w:tcPr>
          <w:p>
            <w:pPr>
              <w:pStyle w:val="TableParagraph"/>
              <w:rPr>
                <w:sz w:val="20"/>
              </w:rPr>
            </w:pPr>
            <w:r>
              <w:rPr>
                <w:sz w:val="20"/>
              </w:rPr>
              <w:t>18. Misión San Luis</w:t>
            </w:r>
          </w:p>
        </w:tc>
      </w:tr>
      <w:tr>
        <w:trPr>
          <w:trHeight w:val="254" w:hRule="exact"/>
        </w:trPr>
        <w:tc>
          <w:tcPr>
            <w:tcW w:w="8829" w:type="dxa"/>
          </w:tcPr>
          <w:p>
            <w:pPr>
              <w:pStyle w:val="TableParagraph"/>
              <w:rPr>
                <w:sz w:val="20"/>
              </w:rPr>
            </w:pPr>
            <w:r>
              <w:rPr>
                <w:sz w:val="20"/>
              </w:rPr>
              <w:t>19. Padre Coll</w:t>
            </w:r>
          </w:p>
        </w:tc>
      </w:tr>
      <w:tr>
        <w:trPr>
          <w:trHeight w:val="252" w:hRule="exact"/>
        </w:trPr>
        <w:tc>
          <w:tcPr>
            <w:tcW w:w="8829" w:type="dxa"/>
            <w:tcBorders>
              <w:bottom w:val="single" w:sz="4" w:space="0" w:color="000000"/>
            </w:tcBorders>
          </w:tcPr>
          <w:p>
            <w:pPr>
              <w:pStyle w:val="TableParagraph"/>
              <w:rPr>
                <w:sz w:val="20"/>
              </w:rPr>
            </w:pPr>
            <w:r>
              <w:rPr>
                <w:sz w:val="20"/>
              </w:rPr>
              <w:t>20. Pin Pin</w:t>
            </w:r>
          </w:p>
        </w:tc>
      </w:tr>
      <w:tr>
        <w:trPr>
          <w:trHeight w:val="255" w:hRule="exact"/>
        </w:trPr>
        <w:tc>
          <w:tcPr>
            <w:tcW w:w="8829" w:type="dxa"/>
            <w:tcBorders>
              <w:top w:val="single" w:sz="4" w:space="0" w:color="000000"/>
            </w:tcBorders>
          </w:tcPr>
          <w:p>
            <w:pPr>
              <w:pStyle w:val="TableParagraph"/>
              <w:rPr>
                <w:sz w:val="20"/>
              </w:rPr>
            </w:pPr>
            <w:r>
              <w:rPr>
                <w:sz w:val="20"/>
              </w:rPr>
              <w:t>21. Pozo El Mulato</w:t>
            </w:r>
          </w:p>
        </w:tc>
      </w:tr>
      <w:tr>
        <w:trPr>
          <w:trHeight w:val="252" w:hRule="exact"/>
        </w:trPr>
        <w:tc>
          <w:tcPr>
            <w:tcW w:w="8829" w:type="dxa"/>
          </w:tcPr>
          <w:p>
            <w:pPr>
              <w:pStyle w:val="TableParagraph"/>
              <w:rPr>
                <w:sz w:val="20"/>
              </w:rPr>
            </w:pPr>
            <w:r>
              <w:rPr>
                <w:sz w:val="20"/>
              </w:rPr>
              <w:t>22. Pozo El Tigre</w:t>
            </w:r>
          </w:p>
        </w:tc>
      </w:tr>
      <w:tr>
        <w:trPr>
          <w:trHeight w:val="254" w:hRule="exact"/>
        </w:trPr>
        <w:tc>
          <w:tcPr>
            <w:tcW w:w="8829" w:type="dxa"/>
          </w:tcPr>
          <w:p>
            <w:pPr>
              <w:pStyle w:val="TableParagraph"/>
              <w:rPr>
                <w:sz w:val="20"/>
              </w:rPr>
            </w:pPr>
            <w:r>
              <w:rPr>
                <w:sz w:val="20"/>
              </w:rPr>
              <w:t>23. Pozo El Toro</w:t>
            </w:r>
          </w:p>
        </w:tc>
      </w:tr>
      <w:tr>
        <w:trPr>
          <w:trHeight w:val="252" w:hRule="exact"/>
        </w:trPr>
        <w:tc>
          <w:tcPr>
            <w:tcW w:w="8829" w:type="dxa"/>
          </w:tcPr>
          <w:p>
            <w:pPr>
              <w:pStyle w:val="TableParagraph"/>
              <w:rPr>
                <w:sz w:val="20"/>
              </w:rPr>
            </w:pPr>
            <w:r>
              <w:rPr>
                <w:sz w:val="20"/>
              </w:rPr>
              <w:t>24. Pozo La China</w:t>
            </w:r>
          </w:p>
        </w:tc>
      </w:tr>
      <w:tr>
        <w:trPr>
          <w:trHeight w:val="252" w:hRule="exact"/>
        </w:trPr>
        <w:tc>
          <w:tcPr>
            <w:tcW w:w="8829" w:type="dxa"/>
          </w:tcPr>
          <w:p>
            <w:pPr>
              <w:pStyle w:val="TableParagraph"/>
              <w:rPr>
                <w:sz w:val="20"/>
              </w:rPr>
            </w:pPr>
            <w:r>
              <w:rPr>
                <w:sz w:val="20"/>
              </w:rPr>
              <w:t>25. Rancho El Ñato</w:t>
            </w:r>
          </w:p>
        </w:tc>
      </w:tr>
      <w:tr>
        <w:trPr>
          <w:trHeight w:val="254" w:hRule="exact"/>
        </w:trPr>
        <w:tc>
          <w:tcPr>
            <w:tcW w:w="8829" w:type="dxa"/>
          </w:tcPr>
          <w:p>
            <w:pPr>
              <w:pStyle w:val="TableParagraph"/>
              <w:spacing w:before="3"/>
              <w:rPr>
                <w:sz w:val="20"/>
              </w:rPr>
            </w:pPr>
            <w:r>
              <w:rPr>
                <w:sz w:val="20"/>
              </w:rPr>
              <w:t>26. Santa María</w:t>
            </w:r>
          </w:p>
        </w:tc>
      </w:tr>
      <w:tr>
        <w:trPr>
          <w:trHeight w:val="252" w:hRule="exact"/>
        </w:trPr>
        <w:tc>
          <w:tcPr>
            <w:tcW w:w="8829" w:type="dxa"/>
          </w:tcPr>
          <w:p>
            <w:pPr>
              <w:pStyle w:val="TableParagraph"/>
              <w:rPr>
                <w:sz w:val="20"/>
              </w:rPr>
            </w:pPr>
            <w:r>
              <w:rPr>
                <w:sz w:val="20"/>
              </w:rPr>
              <w:t>27. Santa Victoria 2</w:t>
            </w:r>
          </w:p>
        </w:tc>
      </w:tr>
    </w:tbl>
    <w:p>
      <w:pPr>
        <w:spacing w:after="0"/>
        <w:rPr>
          <w:sz w:val="20"/>
        </w:rPr>
        <w:sectPr>
          <w:pgSz w:w="12240" w:h="15840"/>
          <w:pgMar w:header="0" w:footer="940" w:top="1500" w:bottom="1200" w:left="1600" w:right="1580"/>
        </w:sectPr>
      </w:pPr>
    </w:p>
    <w:p>
      <w:pPr>
        <w:pStyle w:val="Heading3"/>
        <w:spacing w:before="79" w:after="35"/>
        <w:ind w:left="146" w:right="164"/>
      </w:pPr>
      <w:bookmarkStart w:name="_bookmark105" w:id="176"/>
      <w:bookmarkEnd w:id="176"/>
      <w:r>
        <w:rPr>
          <w:b w:val="0"/>
        </w:rPr>
      </w:r>
      <w:r>
        <w:rPr/>
        <w:t>ANEXO III</w:t>
      </w:r>
    </w:p>
    <w:tbl>
      <w:tblPr>
        <w:tblW w:w="0" w:type="auto"/>
        <w:jc w:val="left"/>
        <w:tblInd w:w="10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CellMar>
          <w:top w:w="0" w:type="dxa"/>
          <w:left w:w="0" w:type="dxa"/>
          <w:bottom w:w="0" w:type="dxa"/>
          <w:right w:w="0" w:type="dxa"/>
        </w:tblCellMar>
        <w:tblLook w:val="01E0"/>
      </w:tblPr>
      <w:tblGrid>
        <w:gridCol w:w="8819"/>
      </w:tblGrid>
      <w:tr>
        <w:trPr>
          <w:trHeight w:val="706" w:hRule="exact"/>
        </w:trPr>
        <w:tc>
          <w:tcPr>
            <w:tcW w:w="8819" w:type="dxa"/>
            <w:shd w:val="clear" w:color="auto" w:fill="C0C0C0"/>
          </w:tcPr>
          <w:p>
            <w:pPr>
              <w:pStyle w:val="TableParagraph"/>
              <w:spacing w:before="1"/>
              <w:ind w:left="2988" w:right="184" w:hanging="2720"/>
              <w:rPr>
                <w:b/>
                <w:sz w:val="20"/>
              </w:rPr>
            </w:pPr>
            <w:r>
              <w:rPr>
                <w:b/>
                <w:sz w:val="20"/>
              </w:rPr>
              <w:t>COMUNIDADES INDÍGENAS CONTEMPLADAS EN EL DECRETO 1498/14 DE LA PROVINCIA DE SALTA</w:t>
            </w:r>
          </w:p>
        </w:tc>
      </w:tr>
    </w:tbl>
    <w:p>
      <w:pPr>
        <w:pStyle w:val="BodyText"/>
        <w:rPr>
          <w:b/>
        </w:rPr>
      </w:pPr>
    </w:p>
    <w:p>
      <w:pPr>
        <w:pStyle w:val="BodyText"/>
        <w:spacing w:before="6"/>
        <w:rPr>
          <w:b/>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252" w:hRule="exact"/>
        </w:trPr>
        <w:tc>
          <w:tcPr>
            <w:tcW w:w="8829" w:type="dxa"/>
          </w:tcPr>
          <w:p>
            <w:pPr>
              <w:pStyle w:val="TableParagraph"/>
              <w:rPr>
                <w:sz w:val="20"/>
              </w:rPr>
            </w:pPr>
            <w:r>
              <w:rPr>
                <w:sz w:val="20"/>
              </w:rPr>
              <w:t>1.  Al Pu-Mision Las Juntas</w:t>
            </w:r>
          </w:p>
        </w:tc>
      </w:tr>
      <w:tr>
        <w:trPr>
          <w:trHeight w:val="254" w:hRule="exact"/>
        </w:trPr>
        <w:tc>
          <w:tcPr>
            <w:tcW w:w="8829" w:type="dxa"/>
          </w:tcPr>
          <w:p>
            <w:pPr>
              <w:pStyle w:val="TableParagraph"/>
              <w:spacing w:before="3"/>
              <w:rPr>
                <w:sz w:val="20"/>
              </w:rPr>
            </w:pPr>
            <w:r>
              <w:rPr>
                <w:sz w:val="20"/>
              </w:rPr>
              <w:t>2.  Arenales (Hoot)</w:t>
            </w:r>
          </w:p>
        </w:tc>
      </w:tr>
      <w:tr>
        <w:trPr>
          <w:trHeight w:val="252" w:hRule="exact"/>
        </w:trPr>
        <w:tc>
          <w:tcPr>
            <w:tcW w:w="8829" w:type="dxa"/>
          </w:tcPr>
          <w:p>
            <w:pPr>
              <w:pStyle w:val="TableParagraph"/>
              <w:rPr>
                <w:sz w:val="20"/>
              </w:rPr>
            </w:pPr>
            <w:r>
              <w:rPr>
                <w:sz w:val="20"/>
              </w:rPr>
              <w:t>3.  Bella Vista</w:t>
            </w:r>
          </w:p>
        </w:tc>
      </w:tr>
      <w:tr>
        <w:trPr>
          <w:trHeight w:val="254" w:hRule="exact"/>
        </w:trPr>
        <w:tc>
          <w:tcPr>
            <w:tcW w:w="8829" w:type="dxa"/>
          </w:tcPr>
          <w:p>
            <w:pPr>
              <w:pStyle w:val="TableParagraph"/>
              <w:spacing w:before="3"/>
              <w:rPr>
                <w:sz w:val="20"/>
              </w:rPr>
            </w:pPr>
            <w:r>
              <w:rPr>
                <w:sz w:val="20"/>
              </w:rPr>
              <w:t>4.  Bajo Grande</w:t>
            </w:r>
          </w:p>
        </w:tc>
      </w:tr>
      <w:tr>
        <w:trPr>
          <w:trHeight w:val="252" w:hRule="exact"/>
        </w:trPr>
        <w:tc>
          <w:tcPr>
            <w:tcW w:w="8829" w:type="dxa"/>
          </w:tcPr>
          <w:p>
            <w:pPr>
              <w:pStyle w:val="TableParagraph"/>
              <w:rPr>
                <w:sz w:val="20"/>
              </w:rPr>
            </w:pPr>
            <w:r>
              <w:rPr>
                <w:sz w:val="20"/>
              </w:rPr>
              <w:t>5.  Cañaveral 1</w:t>
            </w:r>
          </w:p>
        </w:tc>
      </w:tr>
      <w:tr>
        <w:trPr>
          <w:trHeight w:val="254" w:hRule="exact"/>
        </w:trPr>
        <w:tc>
          <w:tcPr>
            <w:tcW w:w="8829" w:type="dxa"/>
          </w:tcPr>
          <w:p>
            <w:pPr>
              <w:pStyle w:val="TableParagraph"/>
              <w:rPr>
                <w:sz w:val="20"/>
              </w:rPr>
            </w:pPr>
            <w:r>
              <w:rPr>
                <w:sz w:val="20"/>
              </w:rPr>
              <w:t>6.  Cho”way Alto de la Sierra</w:t>
            </w:r>
          </w:p>
        </w:tc>
      </w:tr>
      <w:tr>
        <w:trPr>
          <w:trHeight w:val="252" w:hRule="exact"/>
        </w:trPr>
        <w:tc>
          <w:tcPr>
            <w:tcW w:w="8829" w:type="dxa"/>
          </w:tcPr>
          <w:p>
            <w:pPr>
              <w:pStyle w:val="TableParagraph"/>
              <w:rPr>
                <w:sz w:val="20"/>
              </w:rPr>
            </w:pPr>
            <w:r>
              <w:rPr>
                <w:sz w:val="20"/>
              </w:rPr>
              <w:t>7.  Ebeneser</w:t>
            </w:r>
          </w:p>
        </w:tc>
      </w:tr>
      <w:tr>
        <w:trPr>
          <w:trHeight w:val="254" w:hRule="exact"/>
        </w:trPr>
        <w:tc>
          <w:tcPr>
            <w:tcW w:w="8829" w:type="dxa"/>
          </w:tcPr>
          <w:p>
            <w:pPr>
              <w:pStyle w:val="TableParagraph"/>
              <w:rPr>
                <w:sz w:val="20"/>
              </w:rPr>
            </w:pPr>
            <w:r>
              <w:rPr>
                <w:sz w:val="20"/>
              </w:rPr>
              <w:t>8.  El Bordo</w:t>
            </w:r>
          </w:p>
        </w:tc>
      </w:tr>
      <w:tr>
        <w:trPr>
          <w:trHeight w:val="252" w:hRule="exact"/>
        </w:trPr>
        <w:tc>
          <w:tcPr>
            <w:tcW w:w="8829" w:type="dxa"/>
          </w:tcPr>
          <w:p>
            <w:pPr>
              <w:pStyle w:val="TableParagraph"/>
              <w:rPr>
                <w:sz w:val="20"/>
              </w:rPr>
            </w:pPr>
            <w:r>
              <w:rPr>
                <w:sz w:val="20"/>
              </w:rPr>
              <w:t>9.  El Cañaveral II</w:t>
            </w:r>
          </w:p>
        </w:tc>
      </w:tr>
      <w:tr>
        <w:trPr>
          <w:trHeight w:val="253" w:hRule="exact"/>
        </w:trPr>
        <w:tc>
          <w:tcPr>
            <w:tcW w:w="8829" w:type="dxa"/>
          </w:tcPr>
          <w:p>
            <w:pPr>
              <w:pStyle w:val="TableParagraph"/>
              <w:spacing w:before="1"/>
              <w:rPr>
                <w:sz w:val="20"/>
              </w:rPr>
            </w:pPr>
            <w:r>
              <w:rPr>
                <w:sz w:val="20"/>
              </w:rPr>
              <w:t>10.</w:t>
            </w:r>
            <w:r>
              <w:rPr>
                <w:spacing w:val="-50"/>
                <w:sz w:val="20"/>
              </w:rPr>
              <w:t> </w:t>
            </w:r>
            <w:r>
              <w:rPr>
                <w:sz w:val="20"/>
              </w:rPr>
              <w:t>El Cruce- Santa María</w:t>
            </w:r>
          </w:p>
        </w:tc>
      </w:tr>
      <w:tr>
        <w:trPr>
          <w:trHeight w:val="254" w:hRule="exact"/>
        </w:trPr>
        <w:tc>
          <w:tcPr>
            <w:tcW w:w="8829" w:type="dxa"/>
          </w:tcPr>
          <w:p>
            <w:pPr>
              <w:pStyle w:val="TableParagraph"/>
              <w:spacing w:before="3"/>
              <w:rPr>
                <w:sz w:val="20"/>
              </w:rPr>
            </w:pPr>
            <w:r>
              <w:rPr>
                <w:sz w:val="20"/>
              </w:rPr>
              <w:t>11. El Desemboque</w:t>
            </w:r>
          </w:p>
        </w:tc>
      </w:tr>
      <w:tr>
        <w:trPr>
          <w:trHeight w:val="252" w:hRule="exact"/>
        </w:trPr>
        <w:tc>
          <w:tcPr>
            <w:tcW w:w="8829" w:type="dxa"/>
          </w:tcPr>
          <w:p>
            <w:pPr>
              <w:pStyle w:val="TableParagraph"/>
              <w:rPr>
                <w:sz w:val="20"/>
              </w:rPr>
            </w:pPr>
            <w:r>
              <w:rPr>
                <w:sz w:val="20"/>
              </w:rPr>
              <w:t>12. Golondrina</w:t>
            </w:r>
          </w:p>
        </w:tc>
      </w:tr>
      <w:tr>
        <w:trPr>
          <w:trHeight w:val="254" w:hRule="exact"/>
        </w:trPr>
        <w:tc>
          <w:tcPr>
            <w:tcW w:w="8829" w:type="dxa"/>
          </w:tcPr>
          <w:p>
            <w:pPr>
              <w:pStyle w:val="TableParagraph"/>
              <w:spacing w:before="3"/>
              <w:rPr>
                <w:sz w:val="20"/>
              </w:rPr>
            </w:pPr>
            <w:r>
              <w:rPr>
                <w:sz w:val="20"/>
              </w:rPr>
              <w:t>13. Inhate Alto La Sierra</w:t>
            </w:r>
          </w:p>
        </w:tc>
      </w:tr>
      <w:tr>
        <w:trPr>
          <w:trHeight w:val="252" w:hRule="exact"/>
        </w:trPr>
        <w:tc>
          <w:tcPr>
            <w:tcW w:w="8829" w:type="dxa"/>
          </w:tcPr>
          <w:p>
            <w:pPr>
              <w:pStyle w:val="TableParagraph"/>
              <w:rPr>
                <w:sz w:val="20"/>
              </w:rPr>
            </w:pPr>
            <w:r>
              <w:rPr>
                <w:sz w:val="20"/>
              </w:rPr>
              <w:t>14. Kilómetro 1</w:t>
            </w:r>
          </w:p>
        </w:tc>
      </w:tr>
      <w:tr>
        <w:trPr>
          <w:trHeight w:val="254" w:hRule="exact"/>
        </w:trPr>
        <w:tc>
          <w:tcPr>
            <w:tcW w:w="8829" w:type="dxa"/>
          </w:tcPr>
          <w:p>
            <w:pPr>
              <w:pStyle w:val="TableParagraph"/>
              <w:rPr>
                <w:sz w:val="20"/>
              </w:rPr>
            </w:pPr>
            <w:r>
              <w:rPr>
                <w:sz w:val="20"/>
              </w:rPr>
              <w:t>15. Kilómetro 2</w:t>
            </w:r>
          </w:p>
        </w:tc>
      </w:tr>
      <w:tr>
        <w:trPr>
          <w:trHeight w:val="252" w:hRule="exact"/>
        </w:trPr>
        <w:tc>
          <w:tcPr>
            <w:tcW w:w="8829" w:type="dxa"/>
          </w:tcPr>
          <w:p>
            <w:pPr>
              <w:pStyle w:val="TableParagraph"/>
              <w:rPr>
                <w:sz w:val="20"/>
              </w:rPr>
            </w:pPr>
            <w:r>
              <w:rPr>
                <w:sz w:val="20"/>
              </w:rPr>
              <w:t>16. Kom La Chaca- Monte Carmelo</w:t>
            </w:r>
          </w:p>
        </w:tc>
      </w:tr>
      <w:tr>
        <w:trPr>
          <w:trHeight w:val="254" w:hRule="exact"/>
        </w:trPr>
        <w:tc>
          <w:tcPr>
            <w:tcW w:w="8829" w:type="dxa"/>
          </w:tcPr>
          <w:p>
            <w:pPr>
              <w:pStyle w:val="TableParagraph"/>
              <w:rPr>
                <w:sz w:val="20"/>
              </w:rPr>
            </w:pPr>
            <w:r>
              <w:rPr>
                <w:sz w:val="20"/>
              </w:rPr>
              <w:t>17. La Bolsa</w:t>
            </w:r>
          </w:p>
        </w:tc>
      </w:tr>
      <w:tr>
        <w:trPr>
          <w:trHeight w:val="252" w:hRule="exact"/>
        </w:trPr>
        <w:tc>
          <w:tcPr>
            <w:tcW w:w="8829" w:type="dxa"/>
          </w:tcPr>
          <w:p>
            <w:pPr>
              <w:pStyle w:val="TableParagraph"/>
              <w:rPr>
                <w:sz w:val="20"/>
              </w:rPr>
            </w:pPr>
            <w:r>
              <w:rPr>
                <w:sz w:val="20"/>
              </w:rPr>
              <w:t>18. La Bolsa II</w:t>
            </w:r>
          </w:p>
        </w:tc>
      </w:tr>
      <w:tr>
        <w:trPr>
          <w:trHeight w:val="252" w:hRule="exact"/>
        </w:trPr>
        <w:tc>
          <w:tcPr>
            <w:tcW w:w="8829" w:type="dxa"/>
          </w:tcPr>
          <w:p>
            <w:pPr>
              <w:pStyle w:val="TableParagraph"/>
              <w:rPr>
                <w:sz w:val="20"/>
              </w:rPr>
            </w:pPr>
            <w:r>
              <w:rPr>
                <w:sz w:val="20"/>
              </w:rPr>
              <w:t>19. La Curvita</w:t>
            </w:r>
          </w:p>
        </w:tc>
      </w:tr>
      <w:tr>
        <w:trPr>
          <w:trHeight w:val="254" w:hRule="exact"/>
        </w:trPr>
        <w:tc>
          <w:tcPr>
            <w:tcW w:w="8829" w:type="dxa"/>
          </w:tcPr>
          <w:p>
            <w:pPr>
              <w:pStyle w:val="TableParagraph"/>
              <w:spacing w:before="3"/>
              <w:rPr>
                <w:sz w:val="20"/>
              </w:rPr>
            </w:pPr>
            <w:r>
              <w:rPr>
                <w:sz w:val="20"/>
              </w:rPr>
              <w:t>20. La Esperanza</w:t>
            </w:r>
          </w:p>
        </w:tc>
      </w:tr>
      <w:tr>
        <w:trPr>
          <w:trHeight w:val="252" w:hRule="exact"/>
        </w:trPr>
        <w:tc>
          <w:tcPr>
            <w:tcW w:w="8829" w:type="dxa"/>
          </w:tcPr>
          <w:p>
            <w:pPr>
              <w:pStyle w:val="TableParagraph"/>
              <w:rPr>
                <w:sz w:val="20"/>
              </w:rPr>
            </w:pPr>
            <w:r>
              <w:rPr>
                <w:sz w:val="20"/>
              </w:rPr>
              <w:t>21. La Esperanza 2 (La Puntana)</w:t>
            </w:r>
          </w:p>
        </w:tc>
      </w:tr>
      <w:tr>
        <w:trPr>
          <w:trHeight w:val="254" w:hRule="exact"/>
        </w:trPr>
        <w:tc>
          <w:tcPr>
            <w:tcW w:w="8829" w:type="dxa"/>
          </w:tcPr>
          <w:p>
            <w:pPr>
              <w:pStyle w:val="TableParagraph"/>
              <w:spacing w:before="3"/>
              <w:rPr>
                <w:sz w:val="20"/>
              </w:rPr>
            </w:pPr>
            <w:r>
              <w:rPr>
                <w:sz w:val="20"/>
              </w:rPr>
              <w:t>22. La Estrella</w:t>
            </w:r>
          </w:p>
        </w:tc>
      </w:tr>
      <w:tr>
        <w:trPr>
          <w:trHeight w:val="252" w:hRule="exact"/>
        </w:trPr>
        <w:tc>
          <w:tcPr>
            <w:tcW w:w="8829" w:type="dxa"/>
          </w:tcPr>
          <w:p>
            <w:pPr>
              <w:pStyle w:val="TableParagraph"/>
              <w:rPr>
                <w:sz w:val="20"/>
              </w:rPr>
            </w:pPr>
            <w:r>
              <w:rPr>
                <w:sz w:val="20"/>
              </w:rPr>
              <w:t>23. La Merced Chica</w:t>
            </w:r>
          </w:p>
        </w:tc>
      </w:tr>
      <w:tr>
        <w:trPr>
          <w:trHeight w:val="254" w:hRule="exact"/>
        </w:trPr>
        <w:tc>
          <w:tcPr>
            <w:tcW w:w="8829" w:type="dxa"/>
          </w:tcPr>
          <w:p>
            <w:pPr>
              <w:pStyle w:val="TableParagraph"/>
              <w:rPr>
                <w:sz w:val="20"/>
              </w:rPr>
            </w:pPr>
            <w:r>
              <w:rPr>
                <w:sz w:val="20"/>
              </w:rPr>
              <w:t>24. La Merced Nueva</w:t>
            </w:r>
          </w:p>
        </w:tc>
      </w:tr>
      <w:tr>
        <w:trPr>
          <w:trHeight w:val="252" w:hRule="exact"/>
        </w:trPr>
        <w:tc>
          <w:tcPr>
            <w:tcW w:w="8829" w:type="dxa"/>
          </w:tcPr>
          <w:p>
            <w:pPr>
              <w:pStyle w:val="TableParagraph"/>
              <w:rPr>
                <w:sz w:val="20"/>
              </w:rPr>
            </w:pPr>
            <w:r>
              <w:rPr>
                <w:sz w:val="20"/>
              </w:rPr>
              <w:t>25. La Merced Vieja</w:t>
            </w:r>
          </w:p>
        </w:tc>
      </w:tr>
      <w:tr>
        <w:trPr>
          <w:trHeight w:val="254" w:hRule="exact"/>
        </w:trPr>
        <w:tc>
          <w:tcPr>
            <w:tcW w:w="8829" w:type="dxa"/>
          </w:tcPr>
          <w:p>
            <w:pPr>
              <w:pStyle w:val="TableParagraph"/>
              <w:rPr>
                <w:sz w:val="20"/>
              </w:rPr>
            </w:pPr>
            <w:r>
              <w:rPr>
                <w:sz w:val="20"/>
              </w:rPr>
              <w:t>26. Las Mojarras</w:t>
            </w:r>
          </w:p>
        </w:tc>
      </w:tr>
      <w:tr>
        <w:trPr>
          <w:trHeight w:val="252" w:hRule="exact"/>
        </w:trPr>
        <w:tc>
          <w:tcPr>
            <w:tcW w:w="8829" w:type="dxa"/>
          </w:tcPr>
          <w:p>
            <w:pPr>
              <w:pStyle w:val="TableParagraph"/>
              <w:rPr>
                <w:sz w:val="20"/>
              </w:rPr>
            </w:pPr>
            <w:r>
              <w:rPr>
                <w:sz w:val="20"/>
              </w:rPr>
              <w:t>27. La Puntana I</w:t>
            </w:r>
          </w:p>
        </w:tc>
      </w:tr>
      <w:tr>
        <w:trPr>
          <w:trHeight w:val="252" w:hRule="exact"/>
        </w:trPr>
        <w:tc>
          <w:tcPr>
            <w:tcW w:w="8829" w:type="dxa"/>
          </w:tcPr>
          <w:p>
            <w:pPr>
              <w:pStyle w:val="TableParagraph"/>
              <w:rPr>
                <w:sz w:val="20"/>
              </w:rPr>
            </w:pPr>
            <w:r>
              <w:rPr>
                <w:sz w:val="20"/>
              </w:rPr>
              <w:t>28. Las Vertientes</w:t>
            </w:r>
          </w:p>
        </w:tc>
      </w:tr>
      <w:tr>
        <w:trPr>
          <w:trHeight w:val="254" w:hRule="exact"/>
        </w:trPr>
        <w:tc>
          <w:tcPr>
            <w:tcW w:w="8829" w:type="dxa"/>
          </w:tcPr>
          <w:p>
            <w:pPr>
              <w:pStyle w:val="TableParagraph"/>
              <w:spacing w:before="3"/>
              <w:rPr>
                <w:sz w:val="20"/>
              </w:rPr>
            </w:pPr>
            <w:r>
              <w:rPr>
                <w:sz w:val="20"/>
              </w:rPr>
              <w:t>29. Las Vertientes 2</w:t>
            </w:r>
          </w:p>
        </w:tc>
      </w:tr>
      <w:tr>
        <w:trPr>
          <w:trHeight w:val="252" w:hRule="exact"/>
        </w:trPr>
        <w:tc>
          <w:tcPr>
            <w:tcW w:w="8829" w:type="dxa"/>
          </w:tcPr>
          <w:p>
            <w:pPr>
              <w:pStyle w:val="TableParagraph"/>
              <w:rPr>
                <w:sz w:val="20"/>
              </w:rPr>
            </w:pPr>
            <w:r>
              <w:rPr>
                <w:sz w:val="20"/>
              </w:rPr>
              <w:t>30. Lantawos Alto La Sierra</w:t>
            </w:r>
          </w:p>
        </w:tc>
      </w:tr>
      <w:tr>
        <w:trPr>
          <w:trHeight w:val="254" w:hRule="exact"/>
        </w:trPr>
        <w:tc>
          <w:tcPr>
            <w:tcW w:w="8829" w:type="dxa"/>
          </w:tcPr>
          <w:p>
            <w:pPr>
              <w:pStyle w:val="TableParagraph"/>
              <w:spacing w:before="3"/>
              <w:rPr>
                <w:sz w:val="20"/>
              </w:rPr>
            </w:pPr>
            <w:r>
              <w:rPr>
                <w:sz w:val="20"/>
              </w:rPr>
              <w:t>31. Larguero</w:t>
            </w:r>
          </w:p>
        </w:tc>
      </w:tr>
      <w:tr>
        <w:trPr>
          <w:trHeight w:val="252" w:hRule="exact"/>
        </w:trPr>
        <w:tc>
          <w:tcPr>
            <w:tcW w:w="8829" w:type="dxa"/>
          </w:tcPr>
          <w:p>
            <w:pPr>
              <w:pStyle w:val="TableParagraph"/>
              <w:rPr>
                <w:sz w:val="20"/>
              </w:rPr>
            </w:pPr>
            <w:r>
              <w:rPr>
                <w:sz w:val="20"/>
              </w:rPr>
              <w:t>32. Madre Esperanza</w:t>
            </w:r>
          </w:p>
        </w:tc>
      </w:tr>
      <w:tr>
        <w:trPr>
          <w:trHeight w:val="254" w:hRule="exact"/>
        </w:trPr>
        <w:tc>
          <w:tcPr>
            <w:tcW w:w="8829" w:type="dxa"/>
          </w:tcPr>
          <w:p>
            <w:pPr>
              <w:pStyle w:val="TableParagraph"/>
              <w:rPr>
                <w:sz w:val="20"/>
              </w:rPr>
            </w:pPr>
            <w:r>
              <w:rPr>
                <w:sz w:val="20"/>
              </w:rPr>
              <w:t>33. Misión Algarrobal</w:t>
            </w:r>
          </w:p>
        </w:tc>
      </w:tr>
      <w:tr>
        <w:trPr>
          <w:trHeight w:val="252" w:hRule="exact"/>
        </w:trPr>
        <w:tc>
          <w:tcPr>
            <w:tcW w:w="8829" w:type="dxa"/>
          </w:tcPr>
          <w:p>
            <w:pPr>
              <w:pStyle w:val="TableParagraph"/>
              <w:rPr>
                <w:sz w:val="20"/>
              </w:rPr>
            </w:pPr>
            <w:r>
              <w:rPr>
                <w:sz w:val="20"/>
              </w:rPr>
              <w:t>34. Misión Anselmo</w:t>
            </w:r>
          </w:p>
        </w:tc>
      </w:tr>
      <w:tr>
        <w:trPr>
          <w:trHeight w:val="254" w:hRule="exact"/>
        </w:trPr>
        <w:tc>
          <w:tcPr>
            <w:tcW w:w="8829" w:type="dxa"/>
          </w:tcPr>
          <w:p>
            <w:pPr>
              <w:pStyle w:val="TableParagraph"/>
              <w:rPr>
                <w:sz w:val="20"/>
              </w:rPr>
            </w:pPr>
            <w:r>
              <w:rPr>
                <w:sz w:val="20"/>
              </w:rPr>
              <w:t>35.</w:t>
            </w:r>
            <w:r>
              <w:rPr>
                <w:spacing w:val="-55"/>
                <w:sz w:val="20"/>
              </w:rPr>
              <w:t> </w:t>
            </w:r>
            <w:r>
              <w:rPr>
                <w:sz w:val="20"/>
              </w:rPr>
              <w:t>Misión Grande De Santa María (Molhatati)</w:t>
            </w:r>
          </w:p>
        </w:tc>
      </w:tr>
      <w:tr>
        <w:trPr>
          <w:trHeight w:val="252" w:hRule="exact"/>
        </w:trPr>
        <w:tc>
          <w:tcPr>
            <w:tcW w:w="8829" w:type="dxa"/>
          </w:tcPr>
          <w:p>
            <w:pPr>
              <w:pStyle w:val="TableParagraph"/>
              <w:rPr>
                <w:sz w:val="20"/>
              </w:rPr>
            </w:pPr>
            <w:r>
              <w:rPr>
                <w:sz w:val="20"/>
              </w:rPr>
              <w:t>36. Misión La Gracia</w:t>
            </w:r>
          </w:p>
        </w:tc>
      </w:tr>
      <w:tr>
        <w:trPr>
          <w:trHeight w:val="253" w:hRule="exact"/>
        </w:trPr>
        <w:tc>
          <w:tcPr>
            <w:tcW w:w="8829" w:type="dxa"/>
          </w:tcPr>
          <w:p>
            <w:pPr>
              <w:pStyle w:val="TableParagraph"/>
              <w:spacing w:before="1"/>
              <w:rPr>
                <w:sz w:val="20"/>
              </w:rPr>
            </w:pPr>
            <w:r>
              <w:rPr>
                <w:sz w:val="20"/>
              </w:rPr>
              <w:t>37. Misión La Paz</w:t>
            </w:r>
          </w:p>
        </w:tc>
      </w:tr>
      <w:tr>
        <w:trPr>
          <w:trHeight w:val="254" w:hRule="exact"/>
        </w:trPr>
        <w:tc>
          <w:tcPr>
            <w:tcW w:w="8829" w:type="dxa"/>
          </w:tcPr>
          <w:p>
            <w:pPr>
              <w:pStyle w:val="TableParagraph"/>
              <w:spacing w:before="3"/>
              <w:rPr>
                <w:sz w:val="20"/>
              </w:rPr>
            </w:pPr>
            <w:r>
              <w:rPr>
                <w:sz w:val="20"/>
              </w:rPr>
              <w:t>38. Misión La Paz- B- (Chica)</w:t>
            </w:r>
          </w:p>
        </w:tc>
      </w:tr>
      <w:tr>
        <w:trPr>
          <w:trHeight w:val="252" w:hRule="exact"/>
        </w:trPr>
        <w:tc>
          <w:tcPr>
            <w:tcW w:w="8829" w:type="dxa"/>
          </w:tcPr>
          <w:p>
            <w:pPr>
              <w:pStyle w:val="TableParagraph"/>
              <w:rPr>
                <w:sz w:val="20"/>
              </w:rPr>
            </w:pPr>
            <w:r>
              <w:rPr>
                <w:sz w:val="20"/>
              </w:rPr>
              <w:t>39. Misión San Luis</w:t>
            </w:r>
          </w:p>
        </w:tc>
      </w:tr>
      <w:tr>
        <w:trPr>
          <w:trHeight w:val="254" w:hRule="exact"/>
        </w:trPr>
        <w:tc>
          <w:tcPr>
            <w:tcW w:w="8829" w:type="dxa"/>
          </w:tcPr>
          <w:p>
            <w:pPr>
              <w:pStyle w:val="TableParagraph"/>
              <w:spacing w:before="3"/>
              <w:rPr>
                <w:sz w:val="20"/>
              </w:rPr>
            </w:pPr>
            <w:r>
              <w:rPr>
                <w:sz w:val="20"/>
              </w:rPr>
              <w:t>40. Molathati</w:t>
            </w:r>
          </w:p>
        </w:tc>
      </w:tr>
      <w:tr>
        <w:trPr>
          <w:trHeight w:val="252" w:hRule="exact"/>
        </w:trPr>
        <w:tc>
          <w:tcPr>
            <w:tcW w:w="8829" w:type="dxa"/>
          </w:tcPr>
          <w:p>
            <w:pPr>
              <w:pStyle w:val="TableParagraph"/>
              <w:rPr>
                <w:sz w:val="20"/>
              </w:rPr>
            </w:pPr>
            <w:r>
              <w:rPr>
                <w:sz w:val="20"/>
              </w:rPr>
              <w:t>41. Molathati 3</w:t>
            </w:r>
          </w:p>
        </w:tc>
      </w:tr>
      <w:tr>
        <w:trPr>
          <w:trHeight w:val="254" w:hRule="exact"/>
        </w:trPr>
        <w:tc>
          <w:tcPr>
            <w:tcW w:w="8829" w:type="dxa"/>
          </w:tcPr>
          <w:p>
            <w:pPr>
              <w:pStyle w:val="TableParagraph"/>
              <w:rPr>
                <w:sz w:val="20"/>
              </w:rPr>
            </w:pPr>
            <w:r>
              <w:rPr>
                <w:sz w:val="20"/>
              </w:rPr>
              <w:t>42.</w:t>
            </w:r>
            <w:r>
              <w:rPr>
                <w:spacing w:val="-50"/>
                <w:sz w:val="20"/>
              </w:rPr>
              <w:t> </w:t>
            </w:r>
            <w:r>
              <w:rPr>
                <w:sz w:val="20"/>
              </w:rPr>
              <w:t>Monte Carmelo (toba)</w:t>
            </w:r>
          </w:p>
        </w:tc>
      </w:tr>
      <w:tr>
        <w:trPr>
          <w:trHeight w:val="252" w:hRule="exact"/>
        </w:trPr>
        <w:tc>
          <w:tcPr>
            <w:tcW w:w="8829" w:type="dxa"/>
          </w:tcPr>
          <w:p>
            <w:pPr>
              <w:pStyle w:val="TableParagraph"/>
              <w:rPr>
                <w:sz w:val="20"/>
              </w:rPr>
            </w:pPr>
            <w:r>
              <w:rPr>
                <w:sz w:val="20"/>
              </w:rPr>
              <w:t>43.</w:t>
            </w:r>
            <w:r>
              <w:rPr>
                <w:spacing w:val="-50"/>
                <w:sz w:val="20"/>
              </w:rPr>
              <w:t> </w:t>
            </w:r>
            <w:r>
              <w:rPr>
                <w:sz w:val="20"/>
              </w:rPr>
              <w:t>Monte Carmelo (wichí)</w:t>
            </w:r>
          </w:p>
        </w:tc>
      </w:tr>
      <w:tr>
        <w:trPr>
          <w:trHeight w:val="254" w:hRule="exact"/>
        </w:trPr>
        <w:tc>
          <w:tcPr>
            <w:tcW w:w="8829" w:type="dxa"/>
          </w:tcPr>
          <w:p>
            <w:pPr>
              <w:pStyle w:val="TableParagraph"/>
              <w:rPr>
                <w:sz w:val="20"/>
              </w:rPr>
            </w:pPr>
            <w:r>
              <w:rPr>
                <w:sz w:val="20"/>
              </w:rPr>
              <w:t>44. Monte Verde</w:t>
            </w:r>
          </w:p>
        </w:tc>
      </w:tr>
      <w:tr>
        <w:trPr>
          <w:trHeight w:val="252" w:hRule="exact"/>
        </w:trPr>
        <w:tc>
          <w:tcPr>
            <w:tcW w:w="8829" w:type="dxa"/>
          </w:tcPr>
          <w:p>
            <w:pPr>
              <w:pStyle w:val="TableParagraph"/>
              <w:rPr>
                <w:sz w:val="20"/>
              </w:rPr>
            </w:pPr>
            <w:r>
              <w:rPr>
                <w:sz w:val="20"/>
              </w:rPr>
              <w:t>45. Nahakwet (Vertientes Chica)</w:t>
            </w:r>
          </w:p>
        </w:tc>
      </w:tr>
    </w:tbl>
    <w:p>
      <w:pPr>
        <w:spacing w:after="0"/>
        <w:rPr>
          <w:sz w:val="20"/>
        </w:rPr>
        <w:sectPr>
          <w:pgSz w:w="12240" w:h="15840"/>
          <w:pgMar w:header="0" w:footer="940" w:top="1340" w:bottom="12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254" w:hRule="exact"/>
        </w:trPr>
        <w:tc>
          <w:tcPr>
            <w:tcW w:w="8829" w:type="dxa"/>
          </w:tcPr>
          <w:p>
            <w:pPr>
              <w:pStyle w:val="TableParagraph"/>
              <w:spacing w:line="242" w:lineRule="exact"/>
              <w:rPr>
                <w:sz w:val="20"/>
              </w:rPr>
            </w:pPr>
            <w:r>
              <w:rPr>
                <w:sz w:val="20"/>
              </w:rPr>
              <w:t>46. Nueva Esperanza</w:t>
            </w:r>
          </w:p>
        </w:tc>
      </w:tr>
      <w:tr>
        <w:trPr>
          <w:trHeight w:val="252" w:hRule="exact"/>
        </w:trPr>
        <w:tc>
          <w:tcPr>
            <w:tcW w:w="8829" w:type="dxa"/>
          </w:tcPr>
          <w:p>
            <w:pPr>
              <w:pStyle w:val="TableParagraph"/>
              <w:spacing w:line="240" w:lineRule="exact"/>
              <w:rPr>
                <w:sz w:val="20"/>
              </w:rPr>
            </w:pPr>
            <w:r>
              <w:rPr>
                <w:sz w:val="20"/>
              </w:rPr>
              <w:t>47. Nueva Vida</w:t>
            </w:r>
          </w:p>
        </w:tc>
      </w:tr>
      <w:tr>
        <w:trPr>
          <w:trHeight w:val="254" w:hRule="exact"/>
        </w:trPr>
        <w:tc>
          <w:tcPr>
            <w:tcW w:w="8829" w:type="dxa"/>
          </w:tcPr>
          <w:p>
            <w:pPr>
              <w:pStyle w:val="TableParagraph"/>
              <w:spacing w:line="240" w:lineRule="exact"/>
              <w:rPr>
                <w:sz w:val="20"/>
              </w:rPr>
            </w:pPr>
            <w:r>
              <w:rPr>
                <w:sz w:val="20"/>
              </w:rPr>
              <w:t>48. Padre Coll</w:t>
            </w:r>
          </w:p>
        </w:tc>
      </w:tr>
      <w:tr>
        <w:trPr>
          <w:trHeight w:val="252" w:hRule="exact"/>
        </w:trPr>
        <w:tc>
          <w:tcPr>
            <w:tcW w:w="8829" w:type="dxa"/>
          </w:tcPr>
          <w:p>
            <w:pPr>
              <w:pStyle w:val="TableParagraph"/>
              <w:spacing w:line="240" w:lineRule="exact"/>
              <w:rPr>
                <w:sz w:val="20"/>
              </w:rPr>
            </w:pPr>
            <w:r>
              <w:rPr>
                <w:sz w:val="20"/>
              </w:rPr>
              <w:t>49. Padre Coll 2</w:t>
            </w:r>
          </w:p>
        </w:tc>
      </w:tr>
      <w:tr>
        <w:trPr>
          <w:trHeight w:val="254" w:hRule="exact"/>
        </w:trPr>
        <w:tc>
          <w:tcPr>
            <w:tcW w:w="8829" w:type="dxa"/>
          </w:tcPr>
          <w:p>
            <w:pPr>
              <w:pStyle w:val="TableParagraph"/>
              <w:spacing w:line="240" w:lineRule="exact"/>
              <w:rPr>
                <w:sz w:val="20"/>
              </w:rPr>
            </w:pPr>
            <w:r>
              <w:rPr>
                <w:sz w:val="20"/>
              </w:rPr>
              <w:t>50. Pim-Pim</w:t>
            </w:r>
          </w:p>
        </w:tc>
      </w:tr>
      <w:tr>
        <w:trPr>
          <w:trHeight w:val="252" w:hRule="exact"/>
        </w:trPr>
        <w:tc>
          <w:tcPr>
            <w:tcW w:w="8829" w:type="dxa"/>
          </w:tcPr>
          <w:p>
            <w:pPr>
              <w:pStyle w:val="TableParagraph"/>
              <w:spacing w:line="240" w:lineRule="exact"/>
              <w:rPr>
                <w:sz w:val="20"/>
              </w:rPr>
            </w:pPr>
            <w:r>
              <w:rPr>
                <w:sz w:val="20"/>
              </w:rPr>
              <w:t>51. Pomis Jiwet</w:t>
            </w:r>
          </w:p>
        </w:tc>
      </w:tr>
      <w:tr>
        <w:trPr>
          <w:trHeight w:val="254" w:hRule="exact"/>
        </w:trPr>
        <w:tc>
          <w:tcPr>
            <w:tcW w:w="8829" w:type="dxa"/>
          </w:tcPr>
          <w:p>
            <w:pPr>
              <w:pStyle w:val="TableParagraph"/>
              <w:spacing w:line="240" w:lineRule="exact"/>
              <w:rPr>
                <w:sz w:val="20"/>
              </w:rPr>
            </w:pPr>
            <w:r>
              <w:rPr>
                <w:sz w:val="20"/>
              </w:rPr>
              <w:t>52. Pozo El Bravo</w:t>
            </w:r>
          </w:p>
        </w:tc>
      </w:tr>
      <w:tr>
        <w:trPr>
          <w:trHeight w:val="252" w:hRule="exact"/>
        </w:trPr>
        <w:tc>
          <w:tcPr>
            <w:tcW w:w="8829" w:type="dxa"/>
          </w:tcPr>
          <w:p>
            <w:pPr>
              <w:pStyle w:val="TableParagraph"/>
              <w:spacing w:line="240" w:lineRule="exact"/>
              <w:rPr>
                <w:sz w:val="20"/>
              </w:rPr>
            </w:pPr>
            <w:r>
              <w:rPr>
                <w:sz w:val="20"/>
              </w:rPr>
              <w:t>53. Pozo El Mulato</w:t>
            </w:r>
          </w:p>
        </w:tc>
      </w:tr>
      <w:tr>
        <w:trPr>
          <w:trHeight w:val="252" w:hRule="exact"/>
        </w:trPr>
        <w:tc>
          <w:tcPr>
            <w:tcW w:w="8829" w:type="dxa"/>
          </w:tcPr>
          <w:p>
            <w:pPr>
              <w:pStyle w:val="TableParagraph"/>
              <w:spacing w:line="240" w:lineRule="exact"/>
              <w:rPr>
                <w:sz w:val="20"/>
              </w:rPr>
            </w:pPr>
            <w:r>
              <w:rPr>
                <w:sz w:val="20"/>
              </w:rPr>
              <w:t>54. Pozo El Tigre</w:t>
            </w:r>
          </w:p>
        </w:tc>
      </w:tr>
      <w:tr>
        <w:trPr>
          <w:trHeight w:val="254" w:hRule="exact"/>
        </w:trPr>
        <w:tc>
          <w:tcPr>
            <w:tcW w:w="8829" w:type="dxa"/>
          </w:tcPr>
          <w:p>
            <w:pPr>
              <w:pStyle w:val="TableParagraph"/>
              <w:spacing w:line="242" w:lineRule="exact"/>
              <w:rPr>
                <w:sz w:val="20"/>
              </w:rPr>
            </w:pPr>
            <w:r>
              <w:rPr>
                <w:sz w:val="20"/>
              </w:rPr>
              <w:t>55. Pozo El Tigre III</w:t>
            </w:r>
          </w:p>
        </w:tc>
      </w:tr>
      <w:tr>
        <w:trPr>
          <w:trHeight w:val="252" w:hRule="exact"/>
        </w:trPr>
        <w:tc>
          <w:tcPr>
            <w:tcW w:w="8829" w:type="dxa"/>
          </w:tcPr>
          <w:p>
            <w:pPr>
              <w:pStyle w:val="TableParagraph"/>
              <w:spacing w:line="240" w:lineRule="exact"/>
              <w:rPr>
                <w:sz w:val="20"/>
              </w:rPr>
            </w:pPr>
            <w:r>
              <w:rPr>
                <w:sz w:val="20"/>
              </w:rPr>
              <w:t>56. Pozo El Toro</w:t>
            </w:r>
          </w:p>
        </w:tc>
      </w:tr>
      <w:tr>
        <w:trPr>
          <w:trHeight w:val="254" w:hRule="exact"/>
        </w:trPr>
        <w:tc>
          <w:tcPr>
            <w:tcW w:w="8829" w:type="dxa"/>
          </w:tcPr>
          <w:p>
            <w:pPr>
              <w:pStyle w:val="TableParagraph"/>
              <w:spacing w:line="240" w:lineRule="exact"/>
              <w:rPr>
                <w:sz w:val="20"/>
              </w:rPr>
            </w:pPr>
            <w:r>
              <w:rPr>
                <w:sz w:val="20"/>
              </w:rPr>
              <w:t>57. Pozo La China</w:t>
            </w:r>
          </w:p>
        </w:tc>
      </w:tr>
      <w:tr>
        <w:trPr>
          <w:trHeight w:val="252" w:hRule="exact"/>
        </w:trPr>
        <w:tc>
          <w:tcPr>
            <w:tcW w:w="8829" w:type="dxa"/>
          </w:tcPr>
          <w:p>
            <w:pPr>
              <w:pStyle w:val="TableParagraph"/>
              <w:spacing w:line="240" w:lineRule="exact"/>
              <w:rPr>
                <w:sz w:val="20"/>
              </w:rPr>
            </w:pPr>
            <w:r>
              <w:rPr>
                <w:sz w:val="20"/>
              </w:rPr>
              <w:t>58.</w:t>
            </w:r>
            <w:r>
              <w:rPr>
                <w:spacing w:val="-50"/>
                <w:sz w:val="20"/>
              </w:rPr>
              <w:t> </w:t>
            </w:r>
            <w:r>
              <w:rPr>
                <w:sz w:val="20"/>
              </w:rPr>
              <w:t>Pozo de las Víboras</w:t>
            </w:r>
          </w:p>
        </w:tc>
      </w:tr>
      <w:tr>
        <w:trPr>
          <w:trHeight w:val="254" w:hRule="exact"/>
        </w:trPr>
        <w:tc>
          <w:tcPr>
            <w:tcW w:w="8829" w:type="dxa"/>
          </w:tcPr>
          <w:p>
            <w:pPr>
              <w:pStyle w:val="TableParagraph"/>
              <w:spacing w:line="240" w:lineRule="exact"/>
              <w:rPr>
                <w:sz w:val="20"/>
              </w:rPr>
            </w:pPr>
            <w:r>
              <w:rPr>
                <w:sz w:val="20"/>
              </w:rPr>
              <w:t>59. Puesto Nuevo</w:t>
            </w:r>
          </w:p>
        </w:tc>
      </w:tr>
      <w:tr>
        <w:trPr>
          <w:trHeight w:val="253" w:hRule="exact"/>
        </w:trPr>
        <w:tc>
          <w:tcPr>
            <w:tcW w:w="8829" w:type="dxa"/>
          </w:tcPr>
          <w:p>
            <w:pPr>
              <w:pStyle w:val="TableParagraph"/>
              <w:spacing w:line="240" w:lineRule="exact"/>
              <w:rPr>
                <w:sz w:val="20"/>
              </w:rPr>
            </w:pPr>
            <w:r>
              <w:rPr>
                <w:sz w:val="20"/>
              </w:rPr>
              <w:t>60. Puntana Chica</w:t>
            </w:r>
          </w:p>
        </w:tc>
      </w:tr>
      <w:tr>
        <w:trPr>
          <w:trHeight w:val="254" w:hRule="exact"/>
        </w:trPr>
        <w:tc>
          <w:tcPr>
            <w:tcW w:w="8829" w:type="dxa"/>
          </w:tcPr>
          <w:p>
            <w:pPr>
              <w:pStyle w:val="TableParagraph"/>
              <w:spacing w:line="240" w:lineRule="exact"/>
              <w:rPr>
                <w:sz w:val="20"/>
              </w:rPr>
            </w:pPr>
            <w:r>
              <w:rPr>
                <w:sz w:val="20"/>
              </w:rPr>
              <w:t>61. Quebrachal 1</w:t>
            </w:r>
          </w:p>
        </w:tc>
      </w:tr>
      <w:tr>
        <w:trPr>
          <w:trHeight w:val="252" w:hRule="exact"/>
        </w:trPr>
        <w:tc>
          <w:tcPr>
            <w:tcW w:w="8829" w:type="dxa"/>
          </w:tcPr>
          <w:p>
            <w:pPr>
              <w:pStyle w:val="TableParagraph"/>
              <w:spacing w:line="240" w:lineRule="exact"/>
              <w:rPr>
                <w:sz w:val="20"/>
              </w:rPr>
            </w:pPr>
            <w:r>
              <w:rPr>
                <w:sz w:val="20"/>
              </w:rPr>
              <w:t>62. Quebrachal 2</w:t>
            </w:r>
          </w:p>
        </w:tc>
      </w:tr>
      <w:tr>
        <w:trPr>
          <w:trHeight w:val="252" w:hRule="exact"/>
        </w:trPr>
        <w:tc>
          <w:tcPr>
            <w:tcW w:w="8829" w:type="dxa"/>
          </w:tcPr>
          <w:p>
            <w:pPr>
              <w:pStyle w:val="TableParagraph"/>
              <w:spacing w:line="240" w:lineRule="exact"/>
              <w:rPr>
                <w:sz w:val="20"/>
              </w:rPr>
            </w:pPr>
            <w:r>
              <w:rPr>
                <w:sz w:val="20"/>
              </w:rPr>
              <w:t>63. Rancho El Ñato</w:t>
            </w:r>
          </w:p>
        </w:tc>
      </w:tr>
      <w:tr>
        <w:trPr>
          <w:trHeight w:val="254" w:hRule="exact"/>
        </w:trPr>
        <w:tc>
          <w:tcPr>
            <w:tcW w:w="8829" w:type="dxa"/>
          </w:tcPr>
          <w:p>
            <w:pPr>
              <w:pStyle w:val="TableParagraph"/>
              <w:spacing w:line="242" w:lineRule="exact"/>
              <w:rPr>
                <w:sz w:val="20"/>
              </w:rPr>
            </w:pPr>
            <w:r>
              <w:rPr>
                <w:sz w:val="20"/>
              </w:rPr>
              <w:t>64. Roberto Romero</w:t>
            </w:r>
          </w:p>
        </w:tc>
      </w:tr>
      <w:tr>
        <w:trPr>
          <w:trHeight w:val="252" w:hRule="exact"/>
        </w:trPr>
        <w:tc>
          <w:tcPr>
            <w:tcW w:w="8829" w:type="dxa"/>
          </w:tcPr>
          <w:p>
            <w:pPr>
              <w:pStyle w:val="TableParagraph"/>
              <w:spacing w:line="240" w:lineRule="exact"/>
              <w:rPr>
                <w:sz w:val="20"/>
              </w:rPr>
            </w:pPr>
            <w:r>
              <w:rPr>
                <w:sz w:val="20"/>
              </w:rPr>
              <w:t>65. San Andrés</w:t>
            </w:r>
          </w:p>
        </w:tc>
      </w:tr>
      <w:tr>
        <w:trPr>
          <w:trHeight w:val="254" w:hRule="exact"/>
        </w:trPr>
        <w:tc>
          <w:tcPr>
            <w:tcW w:w="8829" w:type="dxa"/>
          </w:tcPr>
          <w:p>
            <w:pPr>
              <w:pStyle w:val="TableParagraph"/>
              <w:spacing w:line="240" w:lineRule="exact"/>
              <w:rPr>
                <w:sz w:val="20"/>
              </w:rPr>
            </w:pPr>
            <w:r>
              <w:rPr>
                <w:sz w:val="20"/>
              </w:rPr>
              <w:t>66. San Bernardo</w:t>
            </w:r>
          </w:p>
        </w:tc>
      </w:tr>
      <w:tr>
        <w:trPr>
          <w:trHeight w:val="290" w:hRule="exact"/>
        </w:trPr>
        <w:tc>
          <w:tcPr>
            <w:tcW w:w="8829" w:type="dxa"/>
          </w:tcPr>
          <w:p>
            <w:pPr>
              <w:pStyle w:val="TableParagraph"/>
              <w:spacing w:line="240" w:lineRule="exact"/>
              <w:rPr>
                <w:sz w:val="20"/>
              </w:rPr>
            </w:pPr>
            <w:r>
              <w:rPr>
                <w:sz w:val="20"/>
              </w:rPr>
              <w:t>67. San Ignacio</w:t>
            </w:r>
          </w:p>
        </w:tc>
      </w:tr>
      <w:tr>
        <w:trPr>
          <w:trHeight w:val="254" w:hRule="exact"/>
        </w:trPr>
        <w:tc>
          <w:tcPr>
            <w:tcW w:w="8829" w:type="dxa"/>
          </w:tcPr>
          <w:p>
            <w:pPr>
              <w:pStyle w:val="TableParagraph"/>
              <w:spacing w:line="242" w:lineRule="exact"/>
              <w:rPr>
                <w:sz w:val="20"/>
              </w:rPr>
            </w:pPr>
            <w:r>
              <w:rPr>
                <w:sz w:val="20"/>
              </w:rPr>
              <w:t>68. San Lorenzo</w:t>
            </w:r>
          </w:p>
        </w:tc>
      </w:tr>
      <w:tr>
        <w:trPr>
          <w:trHeight w:val="252" w:hRule="exact"/>
        </w:trPr>
        <w:tc>
          <w:tcPr>
            <w:tcW w:w="8829" w:type="dxa"/>
          </w:tcPr>
          <w:p>
            <w:pPr>
              <w:pStyle w:val="TableParagraph"/>
              <w:spacing w:line="240" w:lineRule="exact"/>
              <w:rPr>
                <w:sz w:val="20"/>
              </w:rPr>
            </w:pPr>
            <w:r>
              <w:rPr>
                <w:sz w:val="20"/>
              </w:rPr>
              <w:t>69. San Miguel</w:t>
            </w:r>
          </w:p>
        </w:tc>
      </w:tr>
      <w:tr>
        <w:trPr>
          <w:trHeight w:val="254" w:hRule="exact"/>
        </w:trPr>
        <w:tc>
          <w:tcPr>
            <w:tcW w:w="8829" w:type="dxa"/>
          </w:tcPr>
          <w:p>
            <w:pPr>
              <w:pStyle w:val="TableParagraph"/>
              <w:spacing w:line="240" w:lineRule="exact"/>
              <w:rPr>
                <w:sz w:val="20"/>
              </w:rPr>
            </w:pPr>
            <w:r>
              <w:rPr>
                <w:sz w:val="20"/>
              </w:rPr>
              <w:t>70. Santa Victoria Este I</w:t>
            </w:r>
          </w:p>
        </w:tc>
      </w:tr>
      <w:tr>
        <w:trPr>
          <w:trHeight w:val="252" w:hRule="exact"/>
        </w:trPr>
        <w:tc>
          <w:tcPr>
            <w:tcW w:w="8829" w:type="dxa"/>
          </w:tcPr>
          <w:p>
            <w:pPr>
              <w:pStyle w:val="TableParagraph"/>
              <w:spacing w:line="240" w:lineRule="exact"/>
              <w:rPr>
                <w:sz w:val="20"/>
              </w:rPr>
            </w:pPr>
            <w:r>
              <w:rPr>
                <w:sz w:val="20"/>
              </w:rPr>
              <w:t>71. Santa Victoria 2</w:t>
            </w:r>
          </w:p>
        </w:tc>
      </w:tr>
    </w:tbl>
    <w:p>
      <w:pPr>
        <w:spacing w:after="0" w:line="240" w:lineRule="exact"/>
        <w:rPr>
          <w:sz w:val="20"/>
        </w:rPr>
        <w:sectPr>
          <w:pgSz w:w="12240" w:h="15840"/>
          <w:pgMar w:header="0" w:footer="940" w:top="1420" w:bottom="1140" w:left="1600" w:right="1580"/>
        </w:sectPr>
      </w:pPr>
    </w:p>
    <w:p>
      <w:pPr>
        <w:pStyle w:val="Heading3"/>
        <w:spacing w:before="79" w:after="35"/>
        <w:ind w:left="146" w:right="164"/>
      </w:pPr>
      <w:bookmarkStart w:name="_bookmark106" w:id="177"/>
      <w:bookmarkEnd w:id="177"/>
      <w:r>
        <w:rPr>
          <w:b w:val="0"/>
        </w:rPr>
      </w:r>
      <w:r>
        <w:rPr/>
        <w:t>ANEXO IV</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1140" w:hRule="exact"/>
        </w:trPr>
        <w:tc>
          <w:tcPr>
            <w:tcW w:w="8829" w:type="dxa"/>
            <w:shd w:val="clear" w:color="auto" w:fill="BEBEBE"/>
          </w:tcPr>
          <w:p>
            <w:pPr>
              <w:pStyle w:val="TableParagraph"/>
              <w:spacing w:before="1"/>
              <w:ind w:left="2950" w:hanging="2715"/>
              <w:rPr>
                <w:b/>
                <w:sz w:val="20"/>
              </w:rPr>
            </w:pPr>
            <w:r>
              <w:rPr>
                <w:b/>
                <w:sz w:val="20"/>
              </w:rPr>
              <w:t>COMUNIDADES INDÍGENAS SEÑALADAS EN EL ESCRITO DE SOLICITUDES, ARGUMENTOS Y PRUEBAS</w:t>
            </w:r>
          </w:p>
        </w:tc>
      </w:tr>
    </w:tbl>
    <w:p>
      <w:pPr>
        <w:pStyle w:val="BodyText"/>
        <w:spacing w:before="11"/>
        <w:rPr>
          <w:b/>
          <w:sz w:val="19"/>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252" w:hRule="exact"/>
        </w:trPr>
        <w:tc>
          <w:tcPr>
            <w:tcW w:w="8829" w:type="dxa"/>
          </w:tcPr>
          <w:p>
            <w:pPr>
              <w:pStyle w:val="TableParagraph"/>
              <w:rPr>
                <w:sz w:val="20"/>
              </w:rPr>
            </w:pPr>
            <w:r>
              <w:rPr>
                <w:sz w:val="20"/>
              </w:rPr>
              <w:t>1.  Algarrobal 2</w:t>
            </w:r>
          </w:p>
        </w:tc>
      </w:tr>
      <w:tr>
        <w:trPr>
          <w:trHeight w:val="254" w:hRule="exact"/>
        </w:trPr>
        <w:tc>
          <w:tcPr>
            <w:tcW w:w="8829" w:type="dxa"/>
          </w:tcPr>
          <w:p>
            <w:pPr>
              <w:pStyle w:val="TableParagraph"/>
              <w:spacing w:before="3"/>
              <w:rPr>
                <w:sz w:val="20"/>
              </w:rPr>
            </w:pPr>
            <w:r>
              <w:rPr>
                <w:sz w:val="20"/>
              </w:rPr>
              <w:t>2.  Al PU – Misión Las Juntas</w:t>
            </w:r>
          </w:p>
        </w:tc>
      </w:tr>
      <w:tr>
        <w:trPr>
          <w:trHeight w:val="252" w:hRule="exact"/>
        </w:trPr>
        <w:tc>
          <w:tcPr>
            <w:tcW w:w="8829" w:type="dxa"/>
          </w:tcPr>
          <w:p>
            <w:pPr>
              <w:pStyle w:val="TableParagraph"/>
              <w:rPr>
                <w:sz w:val="20"/>
              </w:rPr>
            </w:pPr>
            <w:r>
              <w:rPr>
                <w:sz w:val="20"/>
              </w:rPr>
              <w:t>3.  Anglicana 2</w:t>
            </w:r>
          </w:p>
        </w:tc>
      </w:tr>
      <w:tr>
        <w:trPr>
          <w:trHeight w:val="254" w:hRule="exact"/>
        </w:trPr>
        <w:tc>
          <w:tcPr>
            <w:tcW w:w="8829" w:type="dxa"/>
          </w:tcPr>
          <w:p>
            <w:pPr>
              <w:pStyle w:val="TableParagraph"/>
              <w:rPr>
                <w:sz w:val="20"/>
              </w:rPr>
            </w:pPr>
            <w:r>
              <w:rPr>
                <w:sz w:val="20"/>
              </w:rPr>
              <w:t>4.  Arenales (Hoot)</w:t>
            </w:r>
          </w:p>
        </w:tc>
      </w:tr>
      <w:tr>
        <w:trPr>
          <w:trHeight w:val="252" w:hRule="exact"/>
        </w:trPr>
        <w:tc>
          <w:tcPr>
            <w:tcW w:w="8829" w:type="dxa"/>
          </w:tcPr>
          <w:p>
            <w:pPr>
              <w:pStyle w:val="TableParagraph"/>
              <w:rPr>
                <w:sz w:val="20"/>
              </w:rPr>
            </w:pPr>
            <w:r>
              <w:rPr>
                <w:sz w:val="20"/>
              </w:rPr>
              <w:t>5.  Bajo Grande (Sopak – Wen’hi)</w:t>
            </w:r>
          </w:p>
        </w:tc>
      </w:tr>
      <w:tr>
        <w:trPr>
          <w:trHeight w:val="254" w:hRule="exact"/>
        </w:trPr>
        <w:tc>
          <w:tcPr>
            <w:tcW w:w="8829" w:type="dxa"/>
          </w:tcPr>
          <w:p>
            <w:pPr>
              <w:pStyle w:val="TableParagraph"/>
              <w:rPr>
                <w:sz w:val="20"/>
              </w:rPr>
            </w:pPr>
            <w:r>
              <w:rPr>
                <w:sz w:val="20"/>
              </w:rPr>
              <w:t>6.  Barrio Pozo el Tigre</w:t>
            </w:r>
          </w:p>
        </w:tc>
      </w:tr>
      <w:tr>
        <w:trPr>
          <w:trHeight w:val="252" w:hRule="exact"/>
        </w:trPr>
        <w:tc>
          <w:tcPr>
            <w:tcW w:w="8829" w:type="dxa"/>
          </w:tcPr>
          <w:p>
            <w:pPr>
              <w:pStyle w:val="TableParagraph"/>
              <w:rPr>
                <w:sz w:val="20"/>
              </w:rPr>
            </w:pPr>
            <w:r>
              <w:rPr>
                <w:sz w:val="20"/>
              </w:rPr>
              <w:t>7.  Bella Vista</w:t>
            </w:r>
          </w:p>
        </w:tc>
      </w:tr>
      <w:tr>
        <w:trPr>
          <w:trHeight w:val="254" w:hRule="exact"/>
        </w:trPr>
        <w:tc>
          <w:tcPr>
            <w:tcW w:w="8829" w:type="dxa"/>
          </w:tcPr>
          <w:p>
            <w:pPr>
              <w:pStyle w:val="TableParagraph"/>
              <w:rPr>
                <w:sz w:val="20"/>
              </w:rPr>
            </w:pPr>
            <w:r>
              <w:rPr>
                <w:sz w:val="20"/>
              </w:rPr>
              <w:t>8.  Buen Destino 1</w:t>
            </w:r>
          </w:p>
        </w:tc>
      </w:tr>
      <w:tr>
        <w:trPr>
          <w:trHeight w:val="253" w:hRule="exact"/>
        </w:trPr>
        <w:tc>
          <w:tcPr>
            <w:tcW w:w="8829" w:type="dxa"/>
          </w:tcPr>
          <w:p>
            <w:pPr>
              <w:pStyle w:val="TableParagraph"/>
              <w:spacing w:before="1"/>
              <w:rPr>
                <w:sz w:val="20"/>
              </w:rPr>
            </w:pPr>
            <w:r>
              <w:rPr>
                <w:sz w:val="20"/>
              </w:rPr>
              <w:t>9.  Buen Destino 2</w:t>
            </w:r>
          </w:p>
        </w:tc>
      </w:tr>
      <w:tr>
        <w:trPr>
          <w:trHeight w:val="252" w:hRule="exact"/>
        </w:trPr>
        <w:tc>
          <w:tcPr>
            <w:tcW w:w="8829" w:type="dxa"/>
          </w:tcPr>
          <w:p>
            <w:pPr>
              <w:pStyle w:val="TableParagraph"/>
              <w:rPr>
                <w:sz w:val="20"/>
              </w:rPr>
            </w:pPr>
            <w:r>
              <w:rPr>
                <w:sz w:val="20"/>
              </w:rPr>
              <w:t>10. Cañada Larga</w:t>
            </w:r>
          </w:p>
        </w:tc>
      </w:tr>
      <w:tr>
        <w:trPr>
          <w:trHeight w:val="254" w:hRule="exact"/>
        </w:trPr>
        <w:tc>
          <w:tcPr>
            <w:tcW w:w="8829" w:type="dxa"/>
          </w:tcPr>
          <w:p>
            <w:pPr>
              <w:pStyle w:val="TableParagraph"/>
              <w:spacing w:before="3"/>
              <w:rPr>
                <w:sz w:val="20"/>
              </w:rPr>
            </w:pPr>
            <w:r>
              <w:rPr>
                <w:sz w:val="20"/>
              </w:rPr>
              <w:t>11. Cho” way Alto La Sierra</w:t>
            </w:r>
          </w:p>
        </w:tc>
      </w:tr>
      <w:tr>
        <w:trPr>
          <w:trHeight w:val="252" w:hRule="exact"/>
        </w:trPr>
        <w:tc>
          <w:tcPr>
            <w:tcW w:w="8829" w:type="dxa"/>
          </w:tcPr>
          <w:p>
            <w:pPr>
              <w:pStyle w:val="TableParagraph"/>
              <w:rPr>
                <w:sz w:val="20"/>
              </w:rPr>
            </w:pPr>
            <w:r>
              <w:rPr>
                <w:sz w:val="20"/>
              </w:rPr>
              <w:t>12. Cruce Buena Fe</w:t>
            </w:r>
          </w:p>
        </w:tc>
      </w:tr>
      <w:tr>
        <w:trPr>
          <w:trHeight w:val="254" w:hRule="exact"/>
        </w:trPr>
        <w:tc>
          <w:tcPr>
            <w:tcW w:w="8829" w:type="dxa"/>
          </w:tcPr>
          <w:p>
            <w:pPr>
              <w:pStyle w:val="TableParagraph"/>
              <w:rPr>
                <w:sz w:val="20"/>
              </w:rPr>
            </w:pPr>
            <w:r>
              <w:rPr>
                <w:sz w:val="20"/>
              </w:rPr>
              <w:t>13. Cruce Santa Victoria Este</w:t>
            </w:r>
          </w:p>
        </w:tc>
      </w:tr>
      <w:tr>
        <w:trPr>
          <w:trHeight w:val="252" w:hRule="exact"/>
        </w:trPr>
        <w:tc>
          <w:tcPr>
            <w:tcW w:w="8829" w:type="dxa"/>
          </w:tcPr>
          <w:p>
            <w:pPr>
              <w:pStyle w:val="TableParagraph"/>
              <w:rPr>
                <w:sz w:val="20"/>
              </w:rPr>
            </w:pPr>
            <w:r>
              <w:rPr>
                <w:sz w:val="20"/>
              </w:rPr>
              <w:t>14. Ebeneser</w:t>
            </w:r>
          </w:p>
        </w:tc>
      </w:tr>
      <w:tr>
        <w:trPr>
          <w:trHeight w:val="254" w:hRule="exact"/>
        </w:trPr>
        <w:tc>
          <w:tcPr>
            <w:tcW w:w="8829" w:type="dxa"/>
          </w:tcPr>
          <w:p>
            <w:pPr>
              <w:pStyle w:val="TableParagraph"/>
              <w:rPr>
                <w:sz w:val="20"/>
              </w:rPr>
            </w:pPr>
            <w:r>
              <w:rPr>
                <w:sz w:val="20"/>
              </w:rPr>
              <w:t>15. El Bordo</w:t>
            </w:r>
          </w:p>
        </w:tc>
      </w:tr>
      <w:tr>
        <w:trPr>
          <w:trHeight w:val="252" w:hRule="exact"/>
        </w:trPr>
        <w:tc>
          <w:tcPr>
            <w:tcW w:w="8829" w:type="dxa"/>
          </w:tcPr>
          <w:p>
            <w:pPr>
              <w:pStyle w:val="TableParagraph"/>
              <w:rPr>
                <w:sz w:val="20"/>
              </w:rPr>
            </w:pPr>
            <w:r>
              <w:rPr>
                <w:sz w:val="20"/>
              </w:rPr>
              <w:t>16. El Cañaveral I</w:t>
            </w:r>
          </w:p>
        </w:tc>
      </w:tr>
      <w:tr>
        <w:trPr>
          <w:trHeight w:val="254" w:hRule="exact"/>
        </w:trPr>
        <w:tc>
          <w:tcPr>
            <w:tcW w:w="8829" w:type="dxa"/>
          </w:tcPr>
          <w:p>
            <w:pPr>
              <w:pStyle w:val="TableParagraph"/>
              <w:rPr>
                <w:sz w:val="20"/>
              </w:rPr>
            </w:pPr>
            <w:r>
              <w:rPr>
                <w:sz w:val="20"/>
              </w:rPr>
              <w:t>17. El Cañaveral II</w:t>
            </w:r>
          </w:p>
        </w:tc>
      </w:tr>
      <w:tr>
        <w:trPr>
          <w:trHeight w:val="252" w:hRule="exact"/>
        </w:trPr>
        <w:tc>
          <w:tcPr>
            <w:tcW w:w="8829" w:type="dxa"/>
          </w:tcPr>
          <w:p>
            <w:pPr>
              <w:pStyle w:val="TableParagraph"/>
              <w:rPr>
                <w:sz w:val="20"/>
              </w:rPr>
            </w:pPr>
            <w:r>
              <w:rPr>
                <w:sz w:val="20"/>
              </w:rPr>
              <w:t>18. El Cruce – Santa María</w:t>
            </w:r>
          </w:p>
        </w:tc>
      </w:tr>
      <w:tr>
        <w:trPr>
          <w:trHeight w:val="252" w:hRule="exact"/>
        </w:trPr>
        <w:tc>
          <w:tcPr>
            <w:tcW w:w="8829" w:type="dxa"/>
          </w:tcPr>
          <w:p>
            <w:pPr>
              <w:pStyle w:val="TableParagraph"/>
              <w:rPr>
                <w:sz w:val="20"/>
              </w:rPr>
            </w:pPr>
            <w:r>
              <w:rPr>
                <w:sz w:val="20"/>
              </w:rPr>
              <w:t>19. El Desemboque</w:t>
            </w:r>
          </w:p>
        </w:tc>
      </w:tr>
      <w:tr>
        <w:trPr>
          <w:trHeight w:val="254" w:hRule="exact"/>
        </w:trPr>
        <w:tc>
          <w:tcPr>
            <w:tcW w:w="8829" w:type="dxa"/>
          </w:tcPr>
          <w:p>
            <w:pPr>
              <w:pStyle w:val="TableParagraph"/>
              <w:spacing w:before="3"/>
              <w:rPr>
                <w:sz w:val="20"/>
              </w:rPr>
            </w:pPr>
            <w:r>
              <w:rPr>
                <w:sz w:val="20"/>
              </w:rPr>
              <w:t>20. El Porvenir</w:t>
            </w:r>
          </w:p>
        </w:tc>
      </w:tr>
      <w:tr>
        <w:trPr>
          <w:trHeight w:val="252" w:hRule="exact"/>
        </w:trPr>
        <w:tc>
          <w:tcPr>
            <w:tcW w:w="8829" w:type="dxa"/>
          </w:tcPr>
          <w:p>
            <w:pPr>
              <w:pStyle w:val="TableParagraph"/>
              <w:rPr>
                <w:sz w:val="20"/>
              </w:rPr>
            </w:pPr>
            <w:r>
              <w:rPr>
                <w:sz w:val="20"/>
              </w:rPr>
              <w:t>21. Golondrina</w:t>
            </w:r>
          </w:p>
        </w:tc>
      </w:tr>
      <w:tr>
        <w:trPr>
          <w:trHeight w:val="255" w:hRule="exact"/>
        </w:trPr>
        <w:tc>
          <w:tcPr>
            <w:tcW w:w="8829" w:type="dxa"/>
          </w:tcPr>
          <w:p>
            <w:pPr>
              <w:pStyle w:val="TableParagraph"/>
              <w:rPr>
                <w:sz w:val="20"/>
              </w:rPr>
            </w:pPr>
            <w:r>
              <w:rPr>
                <w:sz w:val="20"/>
              </w:rPr>
              <w:t>22. Inhate Alto La Sierra</w:t>
            </w:r>
          </w:p>
        </w:tc>
      </w:tr>
      <w:tr>
        <w:trPr>
          <w:trHeight w:val="252" w:hRule="exact"/>
        </w:trPr>
        <w:tc>
          <w:tcPr>
            <w:tcW w:w="8829" w:type="dxa"/>
          </w:tcPr>
          <w:p>
            <w:pPr>
              <w:pStyle w:val="TableParagraph"/>
              <w:rPr>
                <w:sz w:val="20"/>
              </w:rPr>
            </w:pPr>
            <w:r>
              <w:rPr>
                <w:sz w:val="20"/>
              </w:rPr>
              <w:t>23. Kilómetro I</w:t>
            </w:r>
          </w:p>
        </w:tc>
      </w:tr>
      <w:tr>
        <w:trPr>
          <w:trHeight w:val="254" w:hRule="exact"/>
        </w:trPr>
        <w:tc>
          <w:tcPr>
            <w:tcW w:w="8829" w:type="dxa"/>
          </w:tcPr>
          <w:p>
            <w:pPr>
              <w:pStyle w:val="TableParagraph"/>
              <w:rPr>
                <w:sz w:val="20"/>
              </w:rPr>
            </w:pPr>
            <w:r>
              <w:rPr>
                <w:sz w:val="20"/>
              </w:rPr>
              <w:t>24. Kilómetro 2</w:t>
            </w:r>
          </w:p>
        </w:tc>
      </w:tr>
      <w:tr>
        <w:trPr>
          <w:trHeight w:val="252" w:hRule="exact"/>
        </w:trPr>
        <w:tc>
          <w:tcPr>
            <w:tcW w:w="8829" w:type="dxa"/>
          </w:tcPr>
          <w:p>
            <w:pPr>
              <w:pStyle w:val="TableParagraph"/>
              <w:rPr>
                <w:sz w:val="20"/>
              </w:rPr>
            </w:pPr>
            <w:r>
              <w:rPr>
                <w:sz w:val="20"/>
              </w:rPr>
              <w:t>25. Kilómetro 2 (2)</w:t>
            </w:r>
          </w:p>
        </w:tc>
      </w:tr>
      <w:tr>
        <w:trPr>
          <w:trHeight w:val="254" w:hRule="exact"/>
        </w:trPr>
        <w:tc>
          <w:tcPr>
            <w:tcW w:w="8829" w:type="dxa"/>
          </w:tcPr>
          <w:p>
            <w:pPr>
              <w:pStyle w:val="TableParagraph"/>
              <w:rPr>
                <w:sz w:val="20"/>
              </w:rPr>
            </w:pPr>
            <w:r>
              <w:rPr>
                <w:sz w:val="20"/>
              </w:rPr>
              <w:t>26. Kilómetro 2 (3)</w:t>
            </w:r>
          </w:p>
        </w:tc>
      </w:tr>
      <w:tr>
        <w:trPr>
          <w:trHeight w:val="252" w:hRule="exact"/>
        </w:trPr>
        <w:tc>
          <w:tcPr>
            <w:tcW w:w="8829" w:type="dxa"/>
          </w:tcPr>
          <w:p>
            <w:pPr>
              <w:pStyle w:val="TableParagraph"/>
              <w:rPr>
                <w:sz w:val="20"/>
              </w:rPr>
            </w:pPr>
            <w:r>
              <w:rPr>
                <w:sz w:val="20"/>
              </w:rPr>
              <w:t>27.</w:t>
            </w:r>
            <w:r>
              <w:rPr>
                <w:spacing w:val="-50"/>
                <w:sz w:val="20"/>
              </w:rPr>
              <w:t> </w:t>
            </w:r>
            <w:r>
              <w:rPr>
                <w:sz w:val="20"/>
              </w:rPr>
              <w:t>Kom La Chaca – Monte Carmelo</w:t>
            </w:r>
          </w:p>
        </w:tc>
      </w:tr>
      <w:tr>
        <w:trPr>
          <w:trHeight w:val="252" w:hRule="exact"/>
        </w:trPr>
        <w:tc>
          <w:tcPr>
            <w:tcW w:w="8829" w:type="dxa"/>
          </w:tcPr>
          <w:p>
            <w:pPr>
              <w:pStyle w:val="TableParagraph"/>
              <w:rPr>
                <w:sz w:val="20"/>
              </w:rPr>
            </w:pPr>
            <w:r>
              <w:rPr>
                <w:sz w:val="20"/>
              </w:rPr>
              <w:t>28. La Banda</w:t>
            </w:r>
          </w:p>
        </w:tc>
      </w:tr>
      <w:tr>
        <w:trPr>
          <w:trHeight w:val="254" w:hRule="exact"/>
        </w:trPr>
        <w:tc>
          <w:tcPr>
            <w:tcW w:w="8829" w:type="dxa"/>
          </w:tcPr>
          <w:p>
            <w:pPr>
              <w:pStyle w:val="TableParagraph"/>
              <w:spacing w:before="3"/>
              <w:rPr>
                <w:sz w:val="20"/>
              </w:rPr>
            </w:pPr>
            <w:r>
              <w:rPr>
                <w:sz w:val="20"/>
              </w:rPr>
              <w:t>29. La Bolsa</w:t>
            </w:r>
          </w:p>
        </w:tc>
      </w:tr>
      <w:tr>
        <w:trPr>
          <w:trHeight w:val="252" w:hRule="exact"/>
        </w:trPr>
        <w:tc>
          <w:tcPr>
            <w:tcW w:w="8829" w:type="dxa"/>
          </w:tcPr>
          <w:p>
            <w:pPr>
              <w:pStyle w:val="TableParagraph"/>
              <w:rPr>
                <w:sz w:val="20"/>
              </w:rPr>
            </w:pPr>
            <w:r>
              <w:rPr>
                <w:sz w:val="20"/>
              </w:rPr>
              <w:t>30. La Bolsa II</w:t>
            </w:r>
          </w:p>
        </w:tc>
      </w:tr>
      <w:tr>
        <w:trPr>
          <w:trHeight w:val="254" w:hRule="exact"/>
        </w:trPr>
        <w:tc>
          <w:tcPr>
            <w:tcW w:w="8829" w:type="dxa"/>
          </w:tcPr>
          <w:p>
            <w:pPr>
              <w:pStyle w:val="TableParagraph"/>
              <w:rPr>
                <w:sz w:val="20"/>
              </w:rPr>
            </w:pPr>
            <w:r>
              <w:rPr>
                <w:sz w:val="20"/>
              </w:rPr>
              <w:t>31. La Curvita</w:t>
            </w:r>
          </w:p>
        </w:tc>
      </w:tr>
      <w:tr>
        <w:trPr>
          <w:trHeight w:val="252" w:hRule="exact"/>
        </w:trPr>
        <w:tc>
          <w:tcPr>
            <w:tcW w:w="8829" w:type="dxa"/>
          </w:tcPr>
          <w:p>
            <w:pPr>
              <w:pStyle w:val="TableParagraph"/>
              <w:rPr>
                <w:sz w:val="20"/>
              </w:rPr>
            </w:pPr>
            <w:r>
              <w:rPr>
                <w:sz w:val="20"/>
              </w:rPr>
              <w:t>32. La Esperanza</w:t>
            </w:r>
          </w:p>
        </w:tc>
      </w:tr>
      <w:tr>
        <w:trPr>
          <w:trHeight w:val="254" w:hRule="exact"/>
        </w:trPr>
        <w:tc>
          <w:tcPr>
            <w:tcW w:w="8829" w:type="dxa"/>
          </w:tcPr>
          <w:p>
            <w:pPr>
              <w:pStyle w:val="TableParagraph"/>
              <w:rPr>
                <w:sz w:val="20"/>
              </w:rPr>
            </w:pPr>
            <w:r>
              <w:rPr>
                <w:sz w:val="20"/>
              </w:rPr>
              <w:t>33. La Esperanza 2 (La Puntana)</w:t>
            </w:r>
          </w:p>
        </w:tc>
      </w:tr>
      <w:tr>
        <w:trPr>
          <w:trHeight w:val="252" w:hRule="exact"/>
        </w:trPr>
        <w:tc>
          <w:tcPr>
            <w:tcW w:w="8829" w:type="dxa"/>
          </w:tcPr>
          <w:p>
            <w:pPr>
              <w:pStyle w:val="TableParagraph"/>
              <w:rPr>
                <w:sz w:val="20"/>
              </w:rPr>
            </w:pPr>
            <w:r>
              <w:rPr>
                <w:sz w:val="20"/>
              </w:rPr>
              <w:t>34. La Estrella</w:t>
            </w:r>
          </w:p>
        </w:tc>
      </w:tr>
      <w:tr>
        <w:trPr>
          <w:trHeight w:val="254" w:hRule="exact"/>
        </w:trPr>
        <w:tc>
          <w:tcPr>
            <w:tcW w:w="8829" w:type="dxa"/>
          </w:tcPr>
          <w:p>
            <w:pPr>
              <w:pStyle w:val="TableParagraph"/>
              <w:rPr>
                <w:sz w:val="20"/>
              </w:rPr>
            </w:pPr>
            <w:r>
              <w:rPr>
                <w:sz w:val="20"/>
              </w:rPr>
              <w:t>35. La Merced Chica</w:t>
            </w:r>
          </w:p>
        </w:tc>
      </w:tr>
      <w:tr>
        <w:trPr>
          <w:trHeight w:val="253" w:hRule="exact"/>
        </w:trPr>
        <w:tc>
          <w:tcPr>
            <w:tcW w:w="8829" w:type="dxa"/>
          </w:tcPr>
          <w:p>
            <w:pPr>
              <w:pStyle w:val="TableParagraph"/>
              <w:spacing w:before="1"/>
              <w:rPr>
                <w:sz w:val="20"/>
              </w:rPr>
            </w:pPr>
            <w:r>
              <w:rPr>
                <w:sz w:val="20"/>
              </w:rPr>
              <w:t>36. La Merced Nueva 1</w:t>
            </w:r>
          </w:p>
        </w:tc>
      </w:tr>
      <w:tr>
        <w:trPr>
          <w:trHeight w:val="252" w:hRule="exact"/>
        </w:trPr>
        <w:tc>
          <w:tcPr>
            <w:tcW w:w="8829" w:type="dxa"/>
          </w:tcPr>
          <w:p>
            <w:pPr>
              <w:pStyle w:val="TableParagraph"/>
              <w:rPr>
                <w:sz w:val="20"/>
              </w:rPr>
            </w:pPr>
            <w:r>
              <w:rPr>
                <w:sz w:val="20"/>
              </w:rPr>
              <w:t>37. La Merced Vieja</w:t>
            </w:r>
          </w:p>
        </w:tc>
      </w:tr>
      <w:tr>
        <w:trPr>
          <w:trHeight w:val="254" w:hRule="exact"/>
        </w:trPr>
        <w:tc>
          <w:tcPr>
            <w:tcW w:w="8829" w:type="dxa"/>
          </w:tcPr>
          <w:p>
            <w:pPr>
              <w:pStyle w:val="TableParagraph"/>
              <w:spacing w:before="3"/>
              <w:rPr>
                <w:sz w:val="20"/>
              </w:rPr>
            </w:pPr>
            <w:r>
              <w:rPr>
                <w:sz w:val="20"/>
              </w:rPr>
              <w:t>38. La Puntana I</w:t>
            </w:r>
          </w:p>
        </w:tc>
      </w:tr>
      <w:tr>
        <w:trPr>
          <w:trHeight w:val="252" w:hRule="exact"/>
        </w:trPr>
        <w:tc>
          <w:tcPr>
            <w:tcW w:w="8829" w:type="dxa"/>
          </w:tcPr>
          <w:p>
            <w:pPr>
              <w:pStyle w:val="TableParagraph"/>
              <w:rPr>
                <w:sz w:val="20"/>
              </w:rPr>
            </w:pPr>
            <w:r>
              <w:rPr>
                <w:sz w:val="20"/>
              </w:rPr>
              <w:t>39. La Sardina</w:t>
            </w:r>
          </w:p>
        </w:tc>
      </w:tr>
      <w:tr>
        <w:trPr>
          <w:trHeight w:val="254" w:hRule="exact"/>
        </w:trPr>
        <w:tc>
          <w:tcPr>
            <w:tcW w:w="8829" w:type="dxa"/>
          </w:tcPr>
          <w:p>
            <w:pPr>
              <w:pStyle w:val="TableParagraph"/>
              <w:rPr>
                <w:sz w:val="20"/>
              </w:rPr>
            </w:pPr>
            <w:r>
              <w:rPr>
                <w:sz w:val="20"/>
              </w:rPr>
              <w:t>40. Larguero</w:t>
            </w:r>
          </w:p>
        </w:tc>
      </w:tr>
      <w:tr>
        <w:trPr>
          <w:trHeight w:val="252" w:hRule="exact"/>
        </w:trPr>
        <w:tc>
          <w:tcPr>
            <w:tcW w:w="8829" w:type="dxa"/>
          </w:tcPr>
          <w:p>
            <w:pPr>
              <w:pStyle w:val="TableParagraph"/>
              <w:rPr>
                <w:sz w:val="20"/>
              </w:rPr>
            </w:pPr>
            <w:r>
              <w:rPr>
                <w:sz w:val="20"/>
              </w:rPr>
              <w:t>41. Las Lomitas</w:t>
            </w:r>
          </w:p>
        </w:tc>
      </w:tr>
      <w:tr>
        <w:trPr>
          <w:trHeight w:val="254" w:hRule="exact"/>
        </w:trPr>
        <w:tc>
          <w:tcPr>
            <w:tcW w:w="8829" w:type="dxa"/>
          </w:tcPr>
          <w:p>
            <w:pPr>
              <w:pStyle w:val="TableParagraph"/>
              <w:rPr>
                <w:sz w:val="20"/>
              </w:rPr>
            </w:pPr>
            <w:r>
              <w:rPr>
                <w:sz w:val="20"/>
              </w:rPr>
              <w:t>42. Las Vertientes 1</w:t>
            </w:r>
          </w:p>
        </w:tc>
      </w:tr>
      <w:tr>
        <w:trPr>
          <w:trHeight w:val="252" w:hRule="exact"/>
        </w:trPr>
        <w:tc>
          <w:tcPr>
            <w:tcW w:w="8829" w:type="dxa"/>
          </w:tcPr>
          <w:p>
            <w:pPr>
              <w:pStyle w:val="TableParagraph"/>
              <w:rPr>
                <w:sz w:val="20"/>
              </w:rPr>
            </w:pPr>
            <w:r>
              <w:rPr>
                <w:sz w:val="20"/>
              </w:rPr>
              <w:t>43. Las Vertientes 2</w:t>
            </w:r>
          </w:p>
        </w:tc>
      </w:tr>
      <w:tr>
        <w:trPr>
          <w:trHeight w:val="254" w:hRule="exact"/>
        </w:trPr>
        <w:tc>
          <w:tcPr>
            <w:tcW w:w="8829" w:type="dxa"/>
          </w:tcPr>
          <w:p>
            <w:pPr>
              <w:pStyle w:val="TableParagraph"/>
              <w:rPr>
                <w:sz w:val="20"/>
              </w:rPr>
            </w:pPr>
            <w:r>
              <w:rPr>
                <w:sz w:val="20"/>
              </w:rPr>
              <w:t>44. Latawos Alto La Sierra</w:t>
            </w:r>
          </w:p>
        </w:tc>
      </w:tr>
    </w:tbl>
    <w:p>
      <w:pPr>
        <w:spacing w:after="0"/>
        <w:rPr>
          <w:sz w:val="20"/>
        </w:rPr>
        <w:sectPr>
          <w:pgSz w:w="12240" w:h="15840"/>
          <w:pgMar w:header="0" w:footer="940" w:top="1340" w:bottom="1140" w:left="1600" w:right="1580"/>
        </w:sect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254" w:hRule="exact"/>
        </w:trPr>
        <w:tc>
          <w:tcPr>
            <w:tcW w:w="8829" w:type="dxa"/>
          </w:tcPr>
          <w:p>
            <w:pPr>
              <w:pStyle w:val="TableParagraph"/>
              <w:spacing w:line="242" w:lineRule="exact"/>
              <w:rPr>
                <w:sz w:val="20"/>
              </w:rPr>
            </w:pPr>
            <w:r>
              <w:rPr>
                <w:sz w:val="20"/>
              </w:rPr>
              <w:t>45. Lhaka Honhat Nueva</w:t>
            </w:r>
          </w:p>
        </w:tc>
      </w:tr>
      <w:tr>
        <w:trPr>
          <w:trHeight w:val="252" w:hRule="exact"/>
        </w:trPr>
        <w:tc>
          <w:tcPr>
            <w:tcW w:w="8829" w:type="dxa"/>
          </w:tcPr>
          <w:p>
            <w:pPr>
              <w:pStyle w:val="TableParagraph"/>
              <w:spacing w:line="240" w:lineRule="exact"/>
              <w:rPr>
                <w:sz w:val="20"/>
              </w:rPr>
            </w:pPr>
            <w:r>
              <w:rPr>
                <w:sz w:val="20"/>
              </w:rPr>
              <w:t>46. Misión Algarrobal</w:t>
            </w:r>
          </w:p>
        </w:tc>
      </w:tr>
      <w:tr>
        <w:trPr>
          <w:trHeight w:val="254" w:hRule="exact"/>
        </w:trPr>
        <w:tc>
          <w:tcPr>
            <w:tcW w:w="8829" w:type="dxa"/>
          </w:tcPr>
          <w:p>
            <w:pPr>
              <w:pStyle w:val="TableParagraph"/>
              <w:spacing w:line="240" w:lineRule="exact"/>
              <w:rPr>
                <w:sz w:val="20"/>
              </w:rPr>
            </w:pPr>
            <w:r>
              <w:rPr>
                <w:sz w:val="20"/>
              </w:rPr>
              <w:t>47. Misión Anselmo</w:t>
            </w:r>
          </w:p>
        </w:tc>
      </w:tr>
      <w:tr>
        <w:trPr>
          <w:trHeight w:val="252" w:hRule="exact"/>
        </w:trPr>
        <w:tc>
          <w:tcPr>
            <w:tcW w:w="8829" w:type="dxa"/>
          </w:tcPr>
          <w:p>
            <w:pPr>
              <w:pStyle w:val="TableParagraph"/>
              <w:spacing w:line="240" w:lineRule="exact"/>
              <w:rPr>
                <w:sz w:val="13"/>
              </w:rPr>
            </w:pPr>
            <w:r>
              <w:rPr>
                <w:sz w:val="20"/>
              </w:rPr>
              <w:t>48. Misión Anselmo</w:t>
            </w:r>
            <w:r>
              <w:rPr>
                <w:position w:val="7"/>
                <w:sz w:val="13"/>
              </w:rPr>
              <w:t>*</w:t>
            </w:r>
          </w:p>
        </w:tc>
      </w:tr>
      <w:tr>
        <w:trPr>
          <w:trHeight w:val="254" w:hRule="exact"/>
        </w:trPr>
        <w:tc>
          <w:tcPr>
            <w:tcW w:w="8829" w:type="dxa"/>
          </w:tcPr>
          <w:p>
            <w:pPr>
              <w:pStyle w:val="TableParagraph"/>
              <w:spacing w:line="240" w:lineRule="exact"/>
              <w:rPr>
                <w:sz w:val="20"/>
              </w:rPr>
            </w:pPr>
            <w:r>
              <w:rPr>
                <w:sz w:val="20"/>
              </w:rPr>
              <w:t>49.</w:t>
            </w:r>
            <w:r>
              <w:rPr>
                <w:spacing w:val="-55"/>
                <w:sz w:val="20"/>
              </w:rPr>
              <w:t> </w:t>
            </w:r>
            <w:r>
              <w:rPr>
                <w:sz w:val="20"/>
              </w:rPr>
              <w:t>Misión Grande Santa María (Molthatí)</w:t>
            </w:r>
          </w:p>
        </w:tc>
      </w:tr>
      <w:tr>
        <w:trPr>
          <w:trHeight w:val="252" w:hRule="exact"/>
        </w:trPr>
        <w:tc>
          <w:tcPr>
            <w:tcW w:w="8829" w:type="dxa"/>
          </w:tcPr>
          <w:p>
            <w:pPr>
              <w:pStyle w:val="TableParagraph"/>
              <w:spacing w:line="240" w:lineRule="exact"/>
              <w:rPr>
                <w:sz w:val="20"/>
              </w:rPr>
            </w:pPr>
            <w:r>
              <w:rPr>
                <w:sz w:val="20"/>
              </w:rPr>
              <w:t>50. Misión La Gracia</w:t>
            </w:r>
          </w:p>
        </w:tc>
      </w:tr>
      <w:tr>
        <w:trPr>
          <w:trHeight w:val="254" w:hRule="exact"/>
        </w:trPr>
        <w:tc>
          <w:tcPr>
            <w:tcW w:w="8829" w:type="dxa"/>
          </w:tcPr>
          <w:p>
            <w:pPr>
              <w:pStyle w:val="TableParagraph"/>
              <w:spacing w:line="240" w:lineRule="exact"/>
              <w:rPr>
                <w:sz w:val="20"/>
              </w:rPr>
            </w:pPr>
            <w:r>
              <w:rPr>
                <w:sz w:val="20"/>
              </w:rPr>
              <w:t>51. Misión La Paz</w:t>
            </w:r>
          </w:p>
        </w:tc>
      </w:tr>
      <w:tr>
        <w:trPr>
          <w:trHeight w:val="252" w:hRule="exact"/>
        </w:trPr>
        <w:tc>
          <w:tcPr>
            <w:tcW w:w="8829" w:type="dxa"/>
          </w:tcPr>
          <w:p>
            <w:pPr>
              <w:pStyle w:val="TableParagraph"/>
              <w:spacing w:line="240" w:lineRule="exact"/>
              <w:rPr>
                <w:sz w:val="20"/>
              </w:rPr>
            </w:pPr>
            <w:r>
              <w:rPr>
                <w:sz w:val="20"/>
              </w:rPr>
              <w:t>52. Misión La Paz –B- (Chica)</w:t>
            </w:r>
          </w:p>
        </w:tc>
      </w:tr>
      <w:tr>
        <w:trPr>
          <w:trHeight w:val="252" w:hRule="exact"/>
        </w:trPr>
        <w:tc>
          <w:tcPr>
            <w:tcW w:w="8829" w:type="dxa"/>
          </w:tcPr>
          <w:p>
            <w:pPr>
              <w:pStyle w:val="TableParagraph"/>
              <w:spacing w:line="240" w:lineRule="exact"/>
              <w:rPr>
                <w:sz w:val="20"/>
              </w:rPr>
            </w:pPr>
            <w:r>
              <w:rPr>
                <w:sz w:val="20"/>
              </w:rPr>
              <w:t>53. Misión San Luis</w:t>
            </w:r>
          </w:p>
        </w:tc>
      </w:tr>
      <w:tr>
        <w:trPr>
          <w:trHeight w:val="254" w:hRule="exact"/>
        </w:trPr>
        <w:tc>
          <w:tcPr>
            <w:tcW w:w="8829" w:type="dxa"/>
          </w:tcPr>
          <w:p>
            <w:pPr>
              <w:pStyle w:val="TableParagraph"/>
              <w:spacing w:line="242" w:lineRule="exact"/>
              <w:rPr>
                <w:sz w:val="20"/>
              </w:rPr>
            </w:pPr>
            <w:r>
              <w:rPr>
                <w:sz w:val="20"/>
              </w:rPr>
              <w:t>54.</w:t>
            </w:r>
            <w:r>
              <w:rPr>
                <w:spacing w:val="-50"/>
                <w:sz w:val="20"/>
              </w:rPr>
              <w:t> </w:t>
            </w:r>
            <w:r>
              <w:rPr>
                <w:sz w:val="20"/>
              </w:rPr>
              <w:t>Misión Vieja Santa María</w:t>
            </w:r>
          </w:p>
        </w:tc>
      </w:tr>
      <w:tr>
        <w:trPr>
          <w:trHeight w:val="252" w:hRule="exact"/>
        </w:trPr>
        <w:tc>
          <w:tcPr>
            <w:tcW w:w="8829" w:type="dxa"/>
          </w:tcPr>
          <w:p>
            <w:pPr>
              <w:pStyle w:val="TableParagraph"/>
              <w:spacing w:line="240" w:lineRule="exact"/>
              <w:rPr>
                <w:sz w:val="20"/>
              </w:rPr>
            </w:pPr>
            <w:r>
              <w:rPr>
                <w:sz w:val="20"/>
              </w:rPr>
              <w:t>55.</w:t>
            </w:r>
            <w:r>
              <w:rPr>
                <w:spacing w:val="-52"/>
                <w:sz w:val="20"/>
              </w:rPr>
              <w:t> </w:t>
            </w:r>
            <w:r>
              <w:rPr>
                <w:sz w:val="20"/>
              </w:rPr>
              <w:t>Misión Vieja (Santa María)</w:t>
            </w:r>
          </w:p>
        </w:tc>
      </w:tr>
      <w:tr>
        <w:trPr>
          <w:trHeight w:val="254" w:hRule="exact"/>
        </w:trPr>
        <w:tc>
          <w:tcPr>
            <w:tcW w:w="8829" w:type="dxa"/>
          </w:tcPr>
          <w:p>
            <w:pPr>
              <w:pStyle w:val="TableParagraph"/>
              <w:spacing w:line="240" w:lineRule="exact"/>
              <w:rPr>
                <w:sz w:val="20"/>
              </w:rPr>
            </w:pPr>
            <w:r>
              <w:rPr>
                <w:sz w:val="20"/>
              </w:rPr>
              <w:t>56. Mistolar</w:t>
            </w:r>
          </w:p>
        </w:tc>
      </w:tr>
      <w:tr>
        <w:trPr>
          <w:trHeight w:val="252" w:hRule="exact"/>
        </w:trPr>
        <w:tc>
          <w:tcPr>
            <w:tcW w:w="8829" w:type="dxa"/>
          </w:tcPr>
          <w:p>
            <w:pPr>
              <w:pStyle w:val="TableParagraph"/>
              <w:spacing w:line="240" w:lineRule="exact"/>
              <w:rPr>
                <w:sz w:val="20"/>
              </w:rPr>
            </w:pPr>
            <w:r>
              <w:rPr>
                <w:sz w:val="20"/>
              </w:rPr>
              <w:t>57. Molathati</w:t>
            </w:r>
          </w:p>
        </w:tc>
      </w:tr>
      <w:tr>
        <w:trPr>
          <w:trHeight w:val="254" w:hRule="exact"/>
        </w:trPr>
        <w:tc>
          <w:tcPr>
            <w:tcW w:w="8829" w:type="dxa"/>
          </w:tcPr>
          <w:p>
            <w:pPr>
              <w:pStyle w:val="TableParagraph"/>
              <w:spacing w:line="240" w:lineRule="exact"/>
              <w:rPr>
                <w:sz w:val="20"/>
              </w:rPr>
            </w:pPr>
            <w:r>
              <w:rPr>
                <w:sz w:val="20"/>
              </w:rPr>
              <w:t>58. Molathati 2</w:t>
            </w:r>
          </w:p>
        </w:tc>
      </w:tr>
      <w:tr>
        <w:trPr>
          <w:trHeight w:val="253" w:hRule="exact"/>
        </w:trPr>
        <w:tc>
          <w:tcPr>
            <w:tcW w:w="8829" w:type="dxa"/>
          </w:tcPr>
          <w:p>
            <w:pPr>
              <w:pStyle w:val="TableParagraph"/>
              <w:spacing w:line="240" w:lineRule="exact"/>
              <w:rPr>
                <w:sz w:val="20"/>
              </w:rPr>
            </w:pPr>
            <w:r>
              <w:rPr>
                <w:sz w:val="20"/>
              </w:rPr>
              <w:t>59. Monteverde</w:t>
            </w:r>
          </w:p>
        </w:tc>
      </w:tr>
      <w:tr>
        <w:trPr>
          <w:trHeight w:val="254" w:hRule="exact"/>
        </w:trPr>
        <w:tc>
          <w:tcPr>
            <w:tcW w:w="8829" w:type="dxa"/>
          </w:tcPr>
          <w:p>
            <w:pPr>
              <w:pStyle w:val="TableParagraph"/>
              <w:spacing w:line="240" w:lineRule="exact"/>
              <w:rPr>
                <w:sz w:val="20"/>
              </w:rPr>
            </w:pPr>
            <w:r>
              <w:rPr>
                <w:sz w:val="20"/>
              </w:rPr>
              <w:t>60.</w:t>
            </w:r>
            <w:r>
              <w:rPr>
                <w:spacing w:val="-52"/>
                <w:sz w:val="20"/>
              </w:rPr>
              <w:t> </w:t>
            </w:r>
            <w:r>
              <w:rPr>
                <w:sz w:val="20"/>
              </w:rPr>
              <w:t>Monte Carmelo (toba)</w:t>
            </w:r>
          </w:p>
        </w:tc>
      </w:tr>
      <w:tr>
        <w:trPr>
          <w:trHeight w:val="252" w:hRule="exact"/>
        </w:trPr>
        <w:tc>
          <w:tcPr>
            <w:tcW w:w="8829" w:type="dxa"/>
          </w:tcPr>
          <w:p>
            <w:pPr>
              <w:pStyle w:val="TableParagraph"/>
              <w:spacing w:line="240" w:lineRule="exact"/>
              <w:rPr>
                <w:sz w:val="20"/>
              </w:rPr>
            </w:pPr>
            <w:r>
              <w:rPr>
                <w:sz w:val="20"/>
              </w:rPr>
              <w:t>61.</w:t>
            </w:r>
            <w:r>
              <w:rPr>
                <w:spacing w:val="-52"/>
                <w:sz w:val="20"/>
              </w:rPr>
              <w:t> </w:t>
            </w:r>
            <w:r>
              <w:rPr>
                <w:sz w:val="20"/>
              </w:rPr>
              <w:t>Monte Carmelo (wichí)</w:t>
            </w:r>
          </w:p>
        </w:tc>
      </w:tr>
      <w:tr>
        <w:trPr>
          <w:trHeight w:val="252" w:hRule="exact"/>
        </w:trPr>
        <w:tc>
          <w:tcPr>
            <w:tcW w:w="8829" w:type="dxa"/>
          </w:tcPr>
          <w:p>
            <w:pPr>
              <w:pStyle w:val="TableParagraph"/>
              <w:spacing w:line="240" w:lineRule="exact"/>
              <w:rPr>
                <w:sz w:val="20"/>
              </w:rPr>
            </w:pPr>
            <w:r>
              <w:rPr>
                <w:sz w:val="20"/>
              </w:rPr>
              <w:t>62. Nahakwet (Vertientes Chica)</w:t>
            </w:r>
          </w:p>
        </w:tc>
      </w:tr>
      <w:tr>
        <w:trPr>
          <w:trHeight w:val="254" w:hRule="exact"/>
        </w:trPr>
        <w:tc>
          <w:tcPr>
            <w:tcW w:w="8829" w:type="dxa"/>
          </w:tcPr>
          <w:p>
            <w:pPr>
              <w:pStyle w:val="TableParagraph"/>
              <w:spacing w:line="242" w:lineRule="exact"/>
              <w:rPr>
                <w:sz w:val="20"/>
              </w:rPr>
            </w:pPr>
            <w:r>
              <w:rPr>
                <w:sz w:val="20"/>
              </w:rPr>
              <w:t>63. Nueva Esperanza</w:t>
            </w:r>
          </w:p>
        </w:tc>
      </w:tr>
      <w:tr>
        <w:trPr>
          <w:trHeight w:val="252" w:hRule="exact"/>
        </w:trPr>
        <w:tc>
          <w:tcPr>
            <w:tcW w:w="8829" w:type="dxa"/>
          </w:tcPr>
          <w:p>
            <w:pPr>
              <w:pStyle w:val="TableParagraph"/>
              <w:spacing w:line="240" w:lineRule="exact"/>
              <w:rPr>
                <w:sz w:val="20"/>
              </w:rPr>
            </w:pPr>
            <w:r>
              <w:rPr>
                <w:sz w:val="20"/>
              </w:rPr>
              <w:t>64. Nueva Vida</w:t>
            </w:r>
          </w:p>
        </w:tc>
      </w:tr>
      <w:tr>
        <w:trPr>
          <w:trHeight w:val="254" w:hRule="exact"/>
        </w:trPr>
        <w:tc>
          <w:tcPr>
            <w:tcW w:w="8829" w:type="dxa"/>
          </w:tcPr>
          <w:p>
            <w:pPr>
              <w:pStyle w:val="TableParagraph"/>
              <w:spacing w:line="240" w:lineRule="exact"/>
              <w:rPr>
                <w:sz w:val="20"/>
              </w:rPr>
            </w:pPr>
            <w:r>
              <w:rPr>
                <w:sz w:val="20"/>
              </w:rPr>
              <w:t>65. Padre Coll 1</w:t>
            </w:r>
          </w:p>
        </w:tc>
      </w:tr>
      <w:tr>
        <w:trPr>
          <w:trHeight w:val="252" w:hRule="exact"/>
        </w:trPr>
        <w:tc>
          <w:tcPr>
            <w:tcW w:w="8829" w:type="dxa"/>
          </w:tcPr>
          <w:p>
            <w:pPr>
              <w:pStyle w:val="TableParagraph"/>
              <w:spacing w:line="240" w:lineRule="exact"/>
              <w:rPr>
                <w:sz w:val="20"/>
              </w:rPr>
            </w:pPr>
            <w:r>
              <w:rPr>
                <w:sz w:val="20"/>
              </w:rPr>
              <w:t>66. Padre Coll 2</w:t>
            </w:r>
          </w:p>
        </w:tc>
      </w:tr>
      <w:tr>
        <w:trPr>
          <w:trHeight w:val="254" w:hRule="exact"/>
        </w:trPr>
        <w:tc>
          <w:tcPr>
            <w:tcW w:w="8829" w:type="dxa"/>
          </w:tcPr>
          <w:p>
            <w:pPr>
              <w:pStyle w:val="TableParagraph"/>
              <w:spacing w:line="240" w:lineRule="exact"/>
              <w:rPr>
                <w:sz w:val="20"/>
              </w:rPr>
            </w:pPr>
            <w:r>
              <w:rPr>
                <w:sz w:val="20"/>
              </w:rPr>
              <w:t>67. Palmar</w:t>
            </w:r>
          </w:p>
        </w:tc>
      </w:tr>
      <w:tr>
        <w:trPr>
          <w:trHeight w:val="252" w:hRule="exact"/>
        </w:trPr>
        <w:tc>
          <w:tcPr>
            <w:tcW w:w="8829" w:type="dxa"/>
          </w:tcPr>
          <w:p>
            <w:pPr>
              <w:pStyle w:val="TableParagraph"/>
              <w:spacing w:line="240" w:lineRule="exact"/>
              <w:rPr>
                <w:sz w:val="20"/>
              </w:rPr>
            </w:pPr>
            <w:r>
              <w:rPr>
                <w:sz w:val="20"/>
              </w:rPr>
              <w:t>68. Pelícano</w:t>
            </w:r>
          </w:p>
        </w:tc>
      </w:tr>
      <w:tr>
        <w:trPr>
          <w:trHeight w:val="254" w:hRule="exact"/>
        </w:trPr>
        <w:tc>
          <w:tcPr>
            <w:tcW w:w="8829" w:type="dxa"/>
          </w:tcPr>
          <w:p>
            <w:pPr>
              <w:pStyle w:val="TableParagraph"/>
              <w:spacing w:line="240" w:lineRule="exact"/>
              <w:rPr>
                <w:sz w:val="20"/>
              </w:rPr>
            </w:pPr>
            <w:r>
              <w:rPr>
                <w:sz w:val="20"/>
              </w:rPr>
              <w:t>69. Pim-Pim</w:t>
            </w:r>
          </w:p>
        </w:tc>
      </w:tr>
      <w:tr>
        <w:trPr>
          <w:trHeight w:val="252" w:hRule="exact"/>
        </w:trPr>
        <w:tc>
          <w:tcPr>
            <w:tcW w:w="8829" w:type="dxa"/>
          </w:tcPr>
          <w:p>
            <w:pPr>
              <w:pStyle w:val="TableParagraph"/>
              <w:spacing w:line="240" w:lineRule="exact"/>
              <w:rPr>
                <w:sz w:val="20"/>
              </w:rPr>
            </w:pPr>
            <w:r>
              <w:rPr>
                <w:sz w:val="20"/>
              </w:rPr>
              <w:t>70. PomisJiwet</w:t>
            </w:r>
          </w:p>
        </w:tc>
      </w:tr>
      <w:tr>
        <w:trPr>
          <w:trHeight w:val="252" w:hRule="exact"/>
        </w:trPr>
        <w:tc>
          <w:tcPr>
            <w:tcW w:w="8829" w:type="dxa"/>
          </w:tcPr>
          <w:p>
            <w:pPr>
              <w:pStyle w:val="TableParagraph"/>
              <w:spacing w:line="240" w:lineRule="exact"/>
              <w:rPr>
                <w:sz w:val="20"/>
              </w:rPr>
            </w:pPr>
            <w:r>
              <w:rPr>
                <w:sz w:val="20"/>
              </w:rPr>
              <w:t>71. Pozo El Bravo</w:t>
            </w:r>
          </w:p>
        </w:tc>
      </w:tr>
      <w:tr>
        <w:trPr>
          <w:trHeight w:val="254" w:hRule="exact"/>
        </w:trPr>
        <w:tc>
          <w:tcPr>
            <w:tcW w:w="8829" w:type="dxa"/>
          </w:tcPr>
          <w:p>
            <w:pPr>
              <w:pStyle w:val="TableParagraph"/>
              <w:spacing w:line="242" w:lineRule="exact"/>
              <w:rPr>
                <w:sz w:val="20"/>
              </w:rPr>
            </w:pPr>
            <w:r>
              <w:rPr>
                <w:sz w:val="20"/>
              </w:rPr>
              <w:t>72. Pozo El Mulato</w:t>
            </w:r>
          </w:p>
        </w:tc>
      </w:tr>
      <w:tr>
        <w:trPr>
          <w:trHeight w:val="252" w:hRule="exact"/>
        </w:trPr>
        <w:tc>
          <w:tcPr>
            <w:tcW w:w="8829" w:type="dxa"/>
          </w:tcPr>
          <w:p>
            <w:pPr>
              <w:pStyle w:val="TableParagraph"/>
              <w:spacing w:line="240" w:lineRule="exact"/>
              <w:rPr>
                <w:sz w:val="20"/>
              </w:rPr>
            </w:pPr>
            <w:r>
              <w:rPr>
                <w:sz w:val="20"/>
              </w:rPr>
              <w:t>73. Pozo El Tigre</w:t>
            </w:r>
          </w:p>
        </w:tc>
      </w:tr>
      <w:tr>
        <w:trPr>
          <w:trHeight w:val="254" w:hRule="exact"/>
        </w:trPr>
        <w:tc>
          <w:tcPr>
            <w:tcW w:w="8829" w:type="dxa"/>
          </w:tcPr>
          <w:p>
            <w:pPr>
              <w:pStyle w:val="TableParagraph"/>
              <w:spacing w:line="240" w:lineRule="exact"/>
              <w:rPr>
                <w:sz w:val="20"/>
              </w:rPr>
            </w:pPr>
            <w:r>
              <w:rPr>
                <w:sz w:val="20"/>
              </w:rPr>
              <w:t>74. Pozo El Tigre III</w:t>
            </w:r>
          </w:p>
        </w:tc>
      </w:tr>
      <w:tr>
        <w:trPr>
          <w:trHeight w:val="252" w:hRule="exact"/>
        </w:trPr>
        <w:tc>
          <w:tcPr>
            <w:tcW w:w="8829" w:type="dxa"/>
          </w:tcPr>
          <w:p>
            <w:pPr>
              <w:pStyle w:val="TableParagraph"/>
              <w:spacing w:line="240" w:lineRule="exact"/>
              <w:rPr>
                <w:sz w:val="20"/>
              </w:rPr>
            </w:pPr>
            <w:r>
              <w:rPr>
                <w:sz w:val="20"/>
              </w:rPr>
              <w:t>75. Pozo El Toro</w:t>
            </w:r>
          </w:p>
        </w:tc>
      </w:tr>
      <w:tr>
        <w:trPr>
          <w:trHeight w:val="254" w:hRule="exact"/>
        </w:trPr>
        <w:tc>
          <w:tcPr>
            <w:tcW w:w="8829" w:type="dxa"/>
          </w:tcPr>
          <w:p>
            <w:pPr>
              <w:pStyle w:val="TableParagraph"/>
              <w:spacing w:line="240" w:lineRule="exact"/>
              <w:rPr>
                <w:sz w:val="20"/>
              </w:rPr>
            </w:pPr>
            <w:r>
              <w:rPr>
                <w:sz w:val="20"/>
              </w:rPr>
              <w:t>76. Pozo La China</w:t>
            </w:r>
          </w:p>
        </w:tc>
      </w:tr>
      <w:tr>
        <w:trPr>
          <w:trHeight w:val="252" w:hRule="exact"/>
        </w:trPr>
        <w:tc>
          <w:tcPr>
            <w:tcW w:w="8829" w:type="dxa"/>
          </w:tcPr>
          <w:p>
            <w:pPr>
              <w:pStyle w:val="TableParagraph"/>
              <w:spacing w:line="240" w:lineRule="exact"/>
              <w:rPr>
                <w:sz w:val="20"/>
              </w:rPr>
            </w:pPr>
            <w:r>
              <w:rPr>
                <w:sz w:val="20"/>
              </w:rPr>
              <w:t>77. Puesto Nuevo</w:t>
            </w:r>
          </w:p>
        </w:tc>
      </w:tr>
      <w:tr>
        <w:trPr>
          <w:trHeight w:val="254" w:hRule="exact"/>
        </w:trPr>
        <w:tc>
          <w:tcPr>
            <w:tcW w:w="8829" w:type="dxa"/>
          </w:tcPr>
          <w:p>
            <w:pPr>
              <w:pStyle w:val="TableParagraph"/>
              <w:spacing w:line="240" w:lineRule="exact"/>
              <w:rPr>
                <w:sz w:val="20"/>
              </w:rPr>
            </w:pPr>
            <w:r>
              <w:rPr>
                <w:sz w:val="20"/>
              </w:rPr>
              <w:t>78. Puntana Chica</w:t>
            </w:r>
          </w:p>
        </w:tc>
      </w:tr>
      <w:tr>
        <w:trPr>
          <w:trHeight w:val="252" w:hRule="exact"/>
        </w:trPr>
        <w:tc>
          <w:tcPr>
            <w:tcW w:w="8829" w:type="dxa"/>
          </w:tcPr>
          <w:p>
            <w:pPr>
              <w:pStyle w:val="TableParagraph"/>
              <w:spacing w:line="240" w:lineRule="exact"/>
              <w:rPr>
                <w:sz w:val="20"/>
              </w:rPr>
            </w:pPr>
            <w:r>
              <w:rPr>
                <w:sz w:val="20"/>
              </w:rPr>
              <w:t>79. Quebrachal 1</w:t>
            </w:r>
          </w:p>
        </w:tc>
      </w:tr>
      <w:tr>
        <w:trPr>
          <w:trHeight w:val="252" w:hRule="exact"/>
        </w:trPr>
        <w:tc>
          <w:tcPr>
            <w:tcW w:w="8829" w:type="dxa"/>
          </w:tcPr>
          <w:p>
            <w:pPr>
              <w:pStyle w:val="TableParagraph"/>
              <w:spacing w:line="240" w:lineRule="exact"/>
              <w:rPr>
                <w:sz w:val="20"/>
              </w:rPr>
            </w:pPr>
            <w:r>
              <w:rPr>
                <w:sz w:val="20"/>
              </w:rPr>
              <w:t>80. Quebrachal 2</w:t>
            </w:r>
          </w:p>
        </w:tc>
      </w:tr>
      <w:tr>
        <w:trPr>
          <w:trHeight w:val="254" w:hRule="exact"/>
        </w:trPr>
        <w:tc>
          <w:tcPr>
            <w:tcW w:w="8829" w:type="dxa"/>
          </w:tcPr>
          <w:p>
            <w:pPr>
              <w:pStyle w:val="TableParagraph"/>
              <w:spacing w:line="242" w:lineRule="exact"/>
              <w:rPr>
                <w:sz w:val="20"/>
              </w:rPr>
            </w:pPr>
            <w:r>
              <w:rPr>
                <w:sz w:val="20"/>
              </w:rPr>
              <w:t>81. Rancho El Ñato</w:t>
            </w:r>
          </w:p>
        </w:tc>
      </w:tr>
      <w:tr>
        <w:trPr>
          <w:trHeight w:val="252" w:hRule="exact"/>
        </w:trPr>
        <w:tc>
          <w:tcPr>
            <w:tcW w:w="8829" w:type="dxa"/>
          </w:tcPr>
          <w:p>
            <w:pPr>
              <w:pStyle w:val="TableParagraph"/>
              <w:spacing w:line="240" w:lineRule="exact"/>
              <w:rPr>
                <w:sz w:val="20"/>
              </w:rPr>
            </w:pPr>
            <w:r>
              <w:rPr>
                <w:sz w:val="20"/>
              </w:rPr>
              <w:t>82. Rincón de la Paz</w:t>
            </w:r>
          </w:p>
        </w:tc>
      </w:tr>
      <w:tr>
        <w:trPr>
          <w:trHeight w:val="254" w:hRule="exact"/>
        </w:trPr>
        <w:tc>
          <w:tcPr>
            <w:tcW w:w="8829" w:type="dxa"/>
          </w:tcPr>
          <w:p>
            <w:pPr>
              <w:pStyle w:val="TableParagraph"/>
              <w:spacing w:line="240" w:lineRule="exact"/>
              <w:rPr>
                <w:sz w:val="20"/>
              </w:rPr>
            </w:pPr>
            <w:r>
              <w:rPr>
                <w:sz w:val="20"/>
              </w:rPr>
              <w:t>83. Roberto Romero</w:t>
            </w:r>
          </w:p>
        </w:tc>
      </w:tr>
      <w:tr>
        <w:trPr>
          <w:trHeight w:val="252" w:hRule="exact"/>
        </w:trPr>
        <w:tc>
          <w:tcPr>
            <w:tcW w:w="8829" w:type="dxa"/>
          </w:tcPr>
          <w:p>
            <w:pPr>
              <w:pStyle w:val="TableParagraph"/>
              <w:spacing w:line="240" w:lineRule="exact"/>
              <w:rPr>
                <w:sz w:val="20"/>
              </w:rPr>
            </w:pPr>
            <w:r>
              <w:rPr>
                <w:sz w:val="20"/>
              </w:rPr>
              <w:t>84. San Andrés</w:t>
            </w:r>
          </w:p>
        </w:tc>
      </w:tr>
      <w:tr>
        <w:trPr>
          <w:trHeight w:val="254" w:hRule="exact"/>
        </w:trPr>
        <w:tc>
          <w:tcPr>
            <w:tcW w:w="8829" w:type="dxa"/>
          </w:tcPr>
          <w:p>
            <w:pPr>
              <w:pStyle w:val="TableParagraph"/>
              <w:spacing w:line="240" w:lineRule="exact"/>
              <w:rPr>
                <w:sz w:val="20"/>
              </w:rPr>
            </w:pPr>
            <w:r>
              <w:rPr>
                <w:sz w:val="20"/>
              </w:rPr>
              <w:t>85. San Bernardo</w:t>
            </w:r>
          </w:p>
        </w:tc>
      </w:tr>
      <w:tr>
        <w:trPr>
          <w:trHeight w:val="252" w:hRule="exact"/>
        </w:trPr>
        <w:tc>
          <w:tcPr>
            <w:tcW w:w="8829" w:type="dxa"/>
          </w:tcPr>
          <w:p>
            <w:pPr>
              <w:pStyle w:val="TableParagraph"/>
              <w:spacing w:line="240" w:lineRule="exact"/>
              <w:rPr>
                <w:sz w:val="20"/>
              </w:rPr>
            </w:pPr>
            <w:r>
              <w:rPr>
                <w:sz w:val="20"/>
              </w:rPr>
              <w:t>86. San Ignacio</w:t>
            </w:r>
          </w:p>
        </w:tc>
      </w:tr>
      <w:tr>
        <w:trPr>
          <w:trHeight w:val="255" w:hRule="exact"/>
        </w:trPr>
        <w:tc>
          <w:tcPr>
            <w:tcW w:w="8829" w:type="dxa"/>
          </w:tcPr>
          <w:p>
            <w:pPr>
              <w:pStyle w:val="TableParagraph"/>
              <w:spacing w:line="240" w:lineRule="exact"/>
              <w:rPr>
                <w:sz w:val="20"/>
              </w:rPr>
            </w:pPr>
            <w:r>
              <w:rPr>
                <w:sz w:val="20"/>
              </w:rPr>
              <w:t>87. San Martin</w:t>
            </w:r>
          </w:p>
        </w:tc>
      </w:tr>
      <w:tr>
        <w:trPr>
          <w:trHeight w:val="252" w:hRule="exact"/>
        </w:trPr>
        <w:tc>
          <w:tcPr>
            <w:tcW w:w="8829" w:type="dxa"/>
          </w:tcPr>
          <w:p>
            <w:pPr>
              <w:pStyle w:val="TableParagraph"/>
              <w:spacing w:line="240" w:lineRule="exact"/>
              <w:rPr>
                <w:sz w:val="20"/>
              </w:rPr>
            </w:pPr>
            <w:r>
              <w:rPr>
                <w:sz w:val="20"/>
              </w:rPr>
              <w:t>88.</w:t>
            </w:r>
            <w:r>
              <w:rPr>
                <w:spacing w:val="-51"/>
                <w:sz w:val="20"/>
              </w:rPr>
              <w:t> </w:t>
            </w:r>
            <w:r>
              <w:rPr>
                <w:sz w:val="20"/>
              </w:rPr>
              <w:t>San Martín (Misión Vieja)</w:t>
            </w:r>
          </w:p>
        </w:tc>
      </w:tr>
      <w:tr>
        <w:trPr>
          <w:trHeight w:val="252" w:hRule="exact"/>
        </w:trPr>
        <w:tc>
          <w:tcPr>
            <w:tcW w:w="8829" w:type="dxa"/>
          </w:tcPr>
          <w:p>
            <w:pPr>
              <w:pStyle w:val="TableParagraph"/>
              <w:spacing w:line="240" w:lineRule="exact"/>
              <w:rPr>
                <w:sz w:val="20"/>
              </w:rPr>
            </w:pPr>
            <w:r>
              <w:rPr>
                <w:sz w:val="20"/>
              </w:rPr>
              <w:t>89. San Miguel</w:t>
            </w:r>
          </w:p>
        </w:tc>
      </w:tr>
      <w:tr>
        <w:trPr>
          <w:trHeight w:val="254" w:hRule="exact"/>
        </w:trPr>
        <w:tc>
          <w:tcPr>
            <w:tcW w:w="8829" w:type="dxa"/>
          </w:tcPr>
          <w:p>
            <w:pPr>
              <w:pStyle w:val="TableParagraph"/>
              <w:spacing w:line="242" w:lineRule="exact"/>
              <w:rPr>
                <w:sz w:val="20"/>
              </w:rPr>
            </w:pPr>
            <w:r>
              <w:rPr>
                <w:sz w:val="20"/>
              </w:rPr>
              <w:t>90. Santa Victoria Este I</w:t>
            </w:r>
          </w:p>
        </w:tc>
      </w:tr>
      <w:tr>
        <w:trPr>
          <w:trHeight w:val="252" w:hRule="exact"/>
        </w:trPr>
        <w:tc>
          <w:tcPr>
            <w:tcW w:w="8829" w:type="dxa"/>
          </w:tcPr>
          <w:p>
            <w:pPr>
              <w:pStyle w:val="TableParagraph"/>
              <w:spacing w:line="240" w:lineRule="exact"/>
              <w:rPr>
                <w:sz w:val="20"/>
              </w:rPr>
            </w:pPr>
            <w:r>
              <w:rPr>
                <w:sz w:val="20"/>
              </w:rPr>
              <w:t>91. Santa Victoria 2</w:t>
            </w:r>
          </w:p>
        </w:tc>
      </w:tr>
      <w:tr>
        <w:trPr>
          <w:trHeight w:val="254" w:hRule="exact"/>
        </w:trPr>
        <w:tc>
          <w:tcPr>
            <w:tcW w:w="8829" w:type="dxa"/>
          </w:tcPr>
          <w:p>
            <w:pPr>
              <w:pStyle w:val="TableParagraph"/>
              <w:spacing w:line="240" w:lineRule="exact"/>
              <w:rPr>
                <w:sz w:val="20"/>
              </w:rPr>
            </w:pPr>
            <w:r>
              <w:rPr>
                <w:sz w:val="20"/>
              </w:rPr>
              <w:t>92. Sepak Comunidad Wichí</w:t>
            </w:r>
          </w:p>
        </w:tc>
      </w:tr>
    </w:tbl>
    <w:p>
      <w:pPr>
        <w:pStyle w:val="BodyText"/>
        <w:spacing w:before="10"/>
        <w:rPr>
          <w:b/>
          <w:sz w:val="24"/>
        </w:rPr>
      </w:pPr>
      <w:r>
        <w:rPr/>
        <w:pict>
          <v:line style="position:absolute;mso-position-horizontal-relative:page;mso-position-vertical-relative:paragraph;z-index:3760;mso-wrap-distance-left:0;mso-wrap-distance-right:0" from="85.103996pt,17.436014pt" to="229.123996pt,17.436014pt" stroked="true" strokeweight=".71997pt" strokecolor="#000000">
            <v:stroke dashstyle="solid"/>
            <w10:wrap type="topAndBottom"/>
          </v:line>
        </w:pict>
      </w:r>
    </w:p>
    <w:p>
      <w:pPr>
        <w:pStyle w:val="ListParagraph"/>
        <w:numPr>
          <w:ilvl w:val="0"/>
          <w:numId w:val="1"/>
        </w:numPr>
        <w:tabs>
          <w:tab w:pos="829" w:val="left" w:leader="none"/>
          <w:tab w:pos="830" w:val="left" w:leader="none"/>
        </w:tabs>
        <w:spacing w:line="240" w:lineRule="auto" w:before="71" w:after="0"/>
        <w:ind w:left="830" w:right="0" w:hanging="708"/>
        <w:jc w:val="left"/>
        <w:rPr>
          <w:sz w:val="16"/>
        </w:rPr>
      </w:pPr>
      <w:r>
        <w:rPr>
          <w:sz w:val="16"/>
        </w:rPr>
        <w:t>En</w:t>
      </w:r>
      <w:r>
        <w:rPr>
          <w:spacing w:val="-6"/>
          <w:sz w:val="16"/>
        </w:rPr>
        <w:t> </w:t>
      </w:r>
      <w:r>
        <w:rPr>
          <w:sz w:val="16"/>
        </w:rPr>
        <w:t>relación</w:t>
      </w:r>
      <w:r>
        <w:rPr>
          <w:spacing w:val="-5"/>
          <w:sz w:val="16"/>
        </w:rPr>
        <w:t> </w:t>
      </w:r>
      <w:r>
        <w:rPr>
          <w:sz w:val="16"/>
        </w:rPr>
        <w:t>a</w:t>
      </w:r>
      <w:r>
        <w:rPr>
          <w:spacing w:val="-6"/>
          <w:sz w:val="16"/>
        </w:rPr>
        <w:t> </w:t>
      </w:r>
      <w:r>
        <w:rPr>
          <w:sz w:val="16"/>
        </w:rPr>
        <w:t>la</w:t>
      </w:r>
      <w:r>
        <w:rPr>
          <w:spacing w:val="-6"/>
          <w:sz w:val="16"/>
        </w:rPr>
        <w:t> </w:t>
      </w:r>
      <w:r>
        <w:rPr>
          <w:sz w:val="16"/>
        </w:rPr>
        <w:t>referencia</w:t>
      </w:r>
      <w:r>
        <w:rPr>
          <w:spacing w:val="-6"/>
          <w:sz w:val="16"/>
        </w:rPr>
        <w:t> </w:t>
      </w:r>
      <w:r>
        <w:rPr>
          <w:sz w:val="16"/>
        </w:rPr>
        <w:t>a</w:t>
      </w:r>
      <w:r>
        <w:rPr>
          <w:spacing w:val="-6"/>
          <w:sz w:val="16"/>
        </w:rPr>
        <w:t> </w:t>
      </w:r>
      <w:r>
        <w:rPr>
          <w:sz w:val="16"/>
        </w:rPr>
        <w:t>dos</w:t>
      </w:r>
      <w:r>
        <w:rPr>
          <w:spacing w:val="-5"/>
          <w:sz w:val="16"/>
        </w:rPr>
        <w:t> </w:t>
      </w:r>
      <w:r>
        <w:rPr>
          <w:sz w:val="16"/>
        </w:rPr>
        <w:t>comunidades</w:t>
      </w:r>
      <w:r>
        <w:rPr>
          <w:spacing w:val="-5"/>
          <w:sz w:val="16"/>
        </w:rPr>
        <w:t> </w:t>
      </w:r>
      <w:r>
        <w:rPr>
          <w:sz w:val="16"/>
        </w:rPr>
        <w:t>con</w:t>
      </w:r>
      <w:r>
        <w:rPr>
          <w:spacing w:val="-6"/>
          <w:sz w:val="16"/>
        </w:rPr>
        <w:t> </w:t>
      </w:r>
      <w:r>
        <w:rPr>
          <w:sz w:val="16"/>
        </w:rPr>
        <w:t>el</w:t>
      </w:r>
      <w:r>
        <w:rPr>
          <w:spacing w:val="-5"/>
          <w:sz w:val="16"/>
        </w:rPr>
        <w:t> </w:t>
      </w:r>
      <w:r>
        <w:rPr>
          <w:sz w:val="16"/>
        </w:rPr>
        <w:t>mismo</w:t>
      </w:r>
      <w:r>
        <w:rPr>
          <w:spacing w:val="-9"/>
          <w:sz w:val="16"/>
        </w:rPr>
        <w:t> </w:t>
      </w:r>
      <w:r>
        <w:rPr>
          <w:sz w:val="16"/>
        </w:rPr>
        <w:t>nombre,</w:t>
      </w:r>
      <w:r>
        <w:rPr>
          <w:spacing w:val="-6"/>
          <w:sz w:val="16"/>
        </w:rPr>
        <w:t> </w:t>
      </w:r>
      <w:r>
        <w:rPr>
          <w:sz w:val="16"/>
        </w:rPr>
        <w:t>“Misión</w:t>
      </w:r>
      <w:r>
        <w:rPr>
          <w:spacing w:val="-5"/>
          <w:sz w:val="16"/>
        </w:rPr>
        <w:t> </w:t>
      </w:r>
      <w:r>
        <w:rPr>
          <w:sz w:val="16"/>
        </w:rPr>
        <w:t>Anselmo”,</w:t>
      </w:r>
      <w:r>
        <w:rPr>
          <w:spacing w:val="-6"/>
          <w:sz w:val="16"/>
        </w:rPr>
        <w:t> </w:t>
      </w:r>
      <w:r>
        <w:rPr>
          <w:sz w:val="16"/>
        </w:rPr>
        <w:t>se</w:t>
      </w:r>
      <w:r>
        <w:rPr>
          <w:spacing w:val="-7"/>
          <w:sz w:val="16"/>
        </w:rPr>
        <w:t> </w:t>
      </w:r>
      <w:r>
        <w:rPr>
          <w:sz w:val="16"/>
        </w:rPr>
        <w:t>aclara</w:t>
      </w:r>
      <w:r>
        <w:rPr>
          <w:spacing w:val="-6"/>
          <w:sz w:val="16"/>
        </w:rPr>
        <w:t> </w:t>
      </w:r>
      <w:r>
        <w:rPr>
          <w:sz w:val="16"/>
        </w:rPr>
        <w:t>que</w:t>
      </w:r>
    </w:p>
    <w:p>
      <w:pPr>
        <w:spacing w:before="0"/>
        <w:ind w:left="122" w:right="0" w:firstLine="0"/>
        <w:jc w:val="left"/>
        <w:rPr>
          <w:sz w:val="16"/>
        </w:rPr>
      </w:pPr>
      <w:r>
        <w:rPr>
          <w:sz w:val="16"/>
        </w:rPr>
        <w:t>así fue indicado en escrito de solicitudes y argumentos.</w:t>
      </w:r>
    </w:p>
    <w:p>
      <w:pPr>
        <w:spacing w:after="0"/>
        <w:jc w:val="left"/>
        <w:rPr>
          <w:sz w:val="16"/>
        </w:rPr>
        <w:sectPr>
          <w:footerReference w:type="default" r:id="rId33"/>
          <w:pgSz w:w="12240" w:h="15840"/>
          <w:pgMar w:footer="940" w:header="0" w:top="1420" w:bottom="1140" w:left="1580" w:right="1580"/>
          <w:pgNumType w:start="130"/>
        </w:sectPr>
      </w:pPr>
    </w:p>
    <w:p>
      <w:pPr>
        <w:pStyle w:val="BodyText"/>
      </w:pPr>
    </w:p>
    <w:p>
      <w:pPr>
        <w:pStyle w:val="BodyText"/>
        <w:spacing w:before="7"/>
        <w:rPr>
          <w:sz w:val="24"/>
        </w:rPr>
      </w:pPr>
    </w:p>
    <w:p>
      <w:pPr>
        <w:pStyle w:val="Heading3"/>
        <w:spacing w:before="100" w:after="35"/>
        <w:ind w:right="312"/>
      </w:pPr>
      <w:bookmarkStart w:name="_bookmark107" w:id="178"/>
      <w:bookmarkEnd w:id="178"/>
      <w:r>
        <w:rPr>
          <w:b w:val="0"/>
        </w:rPr>
      </w:r>
      <w:r>
        <w:rPr/>
        <w:t>ANEXO V</w:t>
      </w:r>
    </w:p>
    <w:tbl>
      <w:tblPr>
        <w:tblW w:w="0" w:type="auto"/>
        <w:jc w:val="left"/>
        <w:tblInd w:w="12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CellMar>
          <w:top w:w="0" w:type="dxa"/>
          <w:left w:w="0" w:type="dxa"/>
          <w:bottom w:w="0" w:type="dxa"/>
          <w:right w:w="0" w:type="dxa"/>
        </w:tblCellMar>
        <w:tblLook w:val="01E0"/>
      </w:tblPr>
      <w:tblGrid>
        <w:gridCol w:w="8819"/>
      </w:tblGrid>
      <w:tr>
        <w:trPr>
          <w:trHeight w:val="1193" w:hRule="exact"/>
        </w:trPr>
        <w:tc>
          <w:tcPr>
            <w:tcW w:w="8819" w:type="dxa"/>
            <w:shd w:val="clear" w:color="auto" w:fill="C0C0C0"/>
          </w:tcPr>
          <w:p>
            <w:pPr>
              <w:pStyle w:val="TableParagraph"/>
              <w:ind w:left="533" w:right="538"/>
              <w:jc w:val="center"/>
              <w:rPr>
                <w:b/>
                <w:sz w:val="13"/>
              </w:rPr>
            </w:pPr>
            <w:r>
              <w:rPr>
                <w:b/>
                <w:sz w:val="20"/>
              </w:rPr>
              <w:t>COMUNIDADES INDÍGENAS SEÑALADAS EN LOS ALEGATOS FINALES ESCRITOS DE LOS REPRESENTANTES Y VÍCTIMAS DEL CASO DE CONFORMIDAD CON LA SENTENCIA EMITIDA POR LA CORTE INTERAMERICANA DE DERECHOS HUMANOS</w:t>
            </w:r>
            <w:r>
              <w:rPr>
                <w:b/>
                <w:position w:val="7"/>
                <w:sz w:val="13"/>
              </w:rPr>
              <w:t>*</w:t>
            </w:r>
          </w:p>
        </w:tc>
      </w:tr>
    </w:tbl>
    <w:p>
      <w:pPr>
        <w:pStyle w:val="BodyText"/>
        <w:rPr>
          <w:b/>
        </w:rPr>
      </w:pPr>
    </w:p>
    <w:p>
      <w:pPr>
        <w:pStyle w:val="BodyText"/>
        <w:spacing w:before="4"/>
        <w:rPr>
          <w:b/>
          <w:sz w:val="16"/>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4"/>
      </w:tblGrid>
      <w:tr>
        <w:trPr>
          <w:trHeight w:val="254" w:hRule="exact"/>
        </w:trPr>
        <w:tc>
          <w:tcPr>
            <w:tcW w:w="8834" w:type="dxa"/>
          </w:tcPr>
          <w:p>
            <w:pPr>
              <w:pStyle w:val="TableParagraph"/>
              <w:rPr>
                <w:sz w:val="20"/>
              </w:rPr>
            </w:pPr>
            <w:r>
              <w:rPr>
                <w:sz w:val="20"/>
              </w:rPr>
              <w:t>1.  Algarrobal 2 (Algarrobalito - San Luis)</w:t>
            </w:r>
          </w:p>
        </w:tc>
      </w:tr>
      <w:tr>
        <w:trPr>
          <w:trHeight w:val="254" w:hRule="exact"/>
        </w:trPr>
        <w:tc>
          <w:tcPr>
            <w:tcW w:w="8834" w:type="dxa"/>
          </w:tcPr>
          <w:p>
            <w:pPr>
              <w:pStyle w:val="TableParagraph"/>
              <w:rPr>
                <w:sz w:val="20"/>
              </w:rPr>
            </w:pPr>
            <w:r>
              <w:rPr>
                <w:sz w:val="20"/>
              </w:rPr>
              <w:t>2.  Alto de la Sierra - Inhate Lhais (Cho’way)</w:t>
            </w:r>
          </w:p>
        </w:tc>
      </w:tr>
      <w:tr>
        <w:trPr>
          <w:trHeight w:val="252" w:hRule="exact"/>
        </w:trPr>
        <w:tc>
          <w:tcPr>
            <w:tcW w:w="8834" w:type="dxa"/>
          </w:tcPr>
          <w:p>
            <w:pPr>
              <w:pStyle w:val="TableParagraph"/>
              <w:rPr>
                <w:sz w:val="20"/>
              </w:rPr>
            </w:pPr>
            <w:r>
              <w:rPr>
                <w:sz w:val="20"/>
              </w:rPr>
              <w:t>3.  Anglicana II</w:t>
            </w:r>
          </w:p>
        </w:tc>
      </w:tr>
      <w:tr>
        <w:trPr>
          <w:trHeight w:val="254" w:hRule="exact"/>
        </w:trPr>
        <w:tc>
          <w:tcPr>
            <w:tcW w:w="8834" w:type="dxa"/>
          </w:tcPr>
          <w:p>
            <w:pPr>
              <w:pStyle w:val="TableParagraph"/>
              <w:rPr>
                <w:sz w:val="20"/>
              </w:rPr>
            </w:pPr>
            <w:r>
              <w:rPr>
                <w:sz w:val="20"/>
              </w:rPr>
              <w:t>4.  Anglicana III</w:t>
            </w:r>
          </w:p>
        </w:tc>
      </w:tr>
      <w:tr>
        <w:trPr>
          <w:trHeight w:val="253" w:hRule="exact"/>
        </w:trPr>
        <w:tc>
          <w:tcPr>
            <w:tcW w:w="8834" w:type="dxa"/>
          </w:tcPr>
          <w:p>
            <w:pPr>
              <w:pStyle w:val="TableParagraph"/>
              <w:spacing w:before="1"/>
              <w:rPr>
                <w:sz w:val="20"/>
              </w:rPr>
            </w:pPr>
            <w:r>
              <w:rPr>
                <w:sz w:val="20"/>
              </w:rPr>
              <w:t>5.  Arenales (Hoot)</w:t>
            </w:r>
          </w:p>
        </w:tc>
      </w:tr>
      <w:tr>
        <w:trPr>
          <w:trHeight w:val="254" w:hRule="exact"/>
        </w:trPr>
        <w:tc>
          <w:tcPr>
            <w:tcW w:w="8834" w:type="dxa"/>
          </w:tcPr>
          <w:p>
            <w:pPr>
              <w:pStyle w:val="TableParagraph"/>
              <w:rPr>
                <w:sz w:val="20"/>
              </w:rPr>
            </w:pPr>
            <w:r>
              <w:rPr>
                <w:sz w:val="20"/>
              </w:rPr>
              <w:t>6.  Arrozal</w:t>
            </w:r>
          </w:p>
        </w:tc>
      </w:tr>
      <w:tr>
        <w:trPr>
          <w:trHeight w:val="252" w:hRule="exact"/>
        </w:trPr>
        <w:tc>
          <w:tcPr>
            <w:tcW w:w="8834" w:type="dxa"/>
          </w:tcPr>
          <w:p>
            <w:pPr>
              <w:pStyle w:val="TableParagraph"/>
              <w:rPr>
                <w:sz w:val="20"/>
              </w:rPr>
            </w:pPr>
            <w:r>
              <w:rPr>
                <w:sz w:val="20"/>
              </w:rPr>
              <w:t>7.  Avenida Pilcomayo</w:t>
            </w:r>
          </w:p>
        </w:tc>
      </w:tr>
      <w:tr>
        <w:trPr>
          <w:trHeight w:val="252" w:hRule="exact"/>
        </w:trPr>
        <w:tc>
          <w:tcPr>
            <w:tcW w:w="8834" w:type="dxa"/>
          </w:tcPr>
          <w:p>
            <w:pPr>
              <w:pStyle w:val="TableParagraph"/>
              <w:rPr>
                <w:sz w:val="20"/>
              </w:rPr>
            </w:pPr>
            <w:r>
              <w:rPr>
                <w:sz w:val="20"/>
              </w:rPr>
              <w:t>8.  Bajo Grande (Sop’ak wen’)</w:t>
            </w:r>
          </w:p>
        </w:tc>
      </w:tr>
      <w:tr>
        <w:trPr>
          <w:trHeight w:val="254" w:hRule="exact"/>
        </w:trPr>
        <w:tc>
          <w:tcPr>
            <w:tcW w:w="8834" w:type="dxa"/>
          </w:tcPr>
          <w:p>
            <w:pPr>
              <w:pStyle w:val="TableParagraph"/>
              <w:spacing w:before="3"/>
              <w:rPr>
                <w:sz w:val="20"/>
              </w:rPr>
            </w:pPr>
            <w:r>
              <w:rPr>
                <w:sz w:val="20"/>
              </w:rPr>
              <w:t>9.  Bella Vista (Nakwojay)</w:t>
            </w:r>
          </w:p>
        </w:tc>
      </w:tr>
      <w:tr>
        <w:trPr>
          <w:trHeight w:val="252" w:hRule="exact"/>
        </w:trPr>
        <w:tc>
          <w:tcPr>
            <w:tcW w:w="8834" w:type="dxa"/>
          </w:tcPr>
          <w:p>
            <w:pPr>
              <w:pStyle w:val="TableParagraph"/>
              <w:rPr>
                <w:sz w:val="20"/>
              </w:rPr>
            </w:pPr>
            <w:r>
              <w:rPr>
                <w:sz w:val="20"/>
              </w:rPr>
              <w:t>10. Betel</w:t>
            </w:r>
          </w:p>
        </w:tc>
      </w:tr>
      <w:tr>
        <w:trPr>
          <w:trHeight w:val="254" w:hRule="exact"/>
        </w:trPr>
        <w:tc>
          <w:tcPr>
            <w:tcW w:w="8834" w:type="dxa"/>
          </w:tcPr>
          <w:p>
            <w:pPr>
              <w:pStyle w:val="TableParagraph"/>
              <w:rPr>
                <w:sz w:val="20"/>
              </w:rPr>
            </w:pPr>
            <w:r>
              <w:rPr>
                <w:sz w:val="20"/>
              </w:rPr>
              <w:t>11. Buen Destino 1 (Honhat Tais)</w:t>
            </w:r>
          </w:p>
        </w:tc>
      </w:tr>
      <w:tr>
        <w:trPr>
          <w:trHeight w:val="252" w:hRule="exact"/>
        </w:trPr>
        <w:tc>
          <w:tcPr>
            <w:tcW w:w="8834" w:type="dxa"/>
          </w:tcPr>
          <w:p>
            <w:pPr>
              <w:pStyle w:val="TableParagraph"/>
              <w:rPr>
                <w:sz w:val="20"/>
              </w:rPr>
            </w:pPr>
            <w:r>
              <w:rPr>
                <w:sz w:val="20"/>
              </w:rPr>
              <w:t>12. Buen Destino 2</w:t>
            </w:r>
          </w:p>
        </w:tc>
      </w:tr>
      <w:tr>
        <w:trPr>
          <w:trHeight w:val="254" w:hRule="exact"/>
        </w:trPr>
        <w:tc>
          <w:tcPr>
            <w:tcW w:w="8834" w:type="dxa"/>
          </w:tcPr>
          <w:p>
            <w:pPr>
              <w:pStyle w:val="TableParagraph"/>
              <w:rPr>
                <w:sz w:val="20"/>
              </w:rPr>
            </w:pPr>
            <w:r>
              <w:rPr>
                <w:sz w:val="20"/>
              </w:rPr>
              <w:t>13.</w:t>
            </w:r>
            <w:r>
              <w:rPr>
                <w:spacing w:val="-56"/>
                <w:sz w:val="20"/>
              </w:rPr>
              <w:t> </w:t>
            </w:r>
            <w:r>
              <w:rPr>
                <w:sz w:val="20"/>
              </w:rPr>
              <w:t>Campo Verde (Ex Lhaka Honhat Nueva) (Lhip ta is)</w:t>
            </w:r>
          </w:p>
        </w:tc>
      </w:tr>
      <w:tr>
        <w:trPr>
          <w:trHeight w:val="252" w:hRule="exact"/>
        </w:trPr>
        <w:tc>
          <w:tcPr>
            <w:tcW w:w="8834" w:type="dxa"/>
          </w:tcPr>
          <w:p>
            <w:pPr>
              <w:pStyle w:val="TableParagraph"/>
              <w:rPr>
                <w:sz w:val="20"/>
              </w:rPr>
            </w:pPr>
            <w:r>
              <w:rPr>
                <w:sz w:val="20"/>
              </w:rPr>
              <w:t>14.</w:t>
            </w:r>
            <w:r>
              <w:rPr>
                <w:spacing w:val="-51"/>
                <w:sz w:val="20"/>
              </w:rPr>
              <w:t> </w:t>
            </w:r>
            <w:r>
              <w:rPr>
                <w:sz w:val="20"/>
              </w:rPr>
              <w:t>Cañada Larga (Fwitenukitaj)</w:t>
            </w:r>
          </w:p>
        </w:tc>
      </w:tr>
      <w:tr>
        <w:trPr>
          <w:trHeight w:val="254" w:hRule="exact"/>
        </w:trPr>
        <w:tc>
          <w:tcPr>
            <w:tcW w:w="8834" w:type="dxa"/>
          </w:tcPr>
          <w:p>
            <w:pPr>
              <w:pStyle w:val="TableParagraph"/>
              <w:rPr>
                <w:sz w:val="20"/>
              </w:rPr>
            </w:pPr>
            <w:r>
              <w:rPr>
                <w:sz w:val="20"/>
              </w:rPr>
              <w:t>15. Cañaveral 1 (Kanohis)</w:t>
            </w:r>
          </w:p>
        </w:tc>
      </w:tr>
      <w:tr>
        <w:trPr>
          <w:trHeight w:val="252" w:hRule="exact"/>
        </w:trPr>
        <w:tc>
          <w:tcPr>
            <w:tcW w:w="8834" w:type="dxa"/>
          </w:tcPr>
          <w:p>
            <w:pPr>
              <w:pStyle w:val="TableParagraph"/>
              <w:rPr>
                <w:sz w:val="20"/>
              </w:rPr>
            </w:pPr>
            <w:r>
              <w:rPr>
                <w:sz w:val="20"/>
              </w:rPr>
              <w:t>16. Cañaveral 2</w:t>
            </w:r>
          </w:p>
        </w:tc>
      </w:tr>
      <w:tr>
        <w:trPr>
          <w:trHeight w:val="252" w:hRule="exact"/>
        </w:trPr>
        <w:tc>
          <w:tcPr>
            <w:tcW w:w="8834" w:type="dxa"/>
          </w:tcPr>
          <w:p>
            <w:pPr>
              <w:pStyle w:val="TableParagraph"/>
              <w:rPr>
                <w:sz w:val="20"/>
              </w:rPr>
            </w:pPr>
            <w:r>
              <w:rPr>
                <w:sz w:val="20"/>
              </w:rPr>
              <w:t>17. Cañaveral - Kanohis</w:t>
            </w:r>
          </w:p>
        </w:tc>
      </w:tr>
      <w:tr>
        <w:trPr>
          <w:trHeight w:val="254" w:hRule="exact"/>
        </w:trPr>
        <w:tc>
          <w:tcPr>
            <w:tcW w:w="8834" w:type="dxa"/>
          </w:tcPr>
          <w:p>
            <w:pPr>
              <w:pStyle w:val="TableParagraph"/>
              <w:spacing w:before="3"/>
              <w:rPr>
                <w:sz w:val="20"/>
              </w:rPr>
            </w:pPr>
            <w:r>
              <w:rPr>
                <w:sz w:val="20"/>
              </w:rPr>
              <w:t>18.</w:t>
            </w:r>
            <w:r>
              <w:rPr>
                <w:spacing w:val="-50"/>
                <w:sz w:val="20"/>
              </w:rPr>
              <w:t> </w:t>
            </w:r>
            <w:r>
              <w:rPr>
                <w:sz w:val="20"/>
              </w:rPr>
              <w:t>Chelhyuk Quebrachal (Santa María)</w:t>
            </w:r>
          </w:p>
        </w:tc>
      </w:tr>
      <w:tr>
        <w:trPr>
          <w:trHeight w:val="252" w:hRule="exact"/>
        </w:trPr>
        <w:tc>
          <w:tcPr>
            <w:tcW w:w="8834" w:type="dxa"/>
          </w:tcPr>
          <w:p>
            <w:pPr>
              <w:pStyle w:val="TableParagraph"/>
              <w:spacing w:before="1"/>
              <w:rPr>
                <w:sz w:val="20"/>
              </w:rPr>
            </w:pPr>
            <w:r>
              <w:rPr>
                <w:sz w:val="20"/>
              </w:rPr>
              <w:t>19. Chowhay Km 2</w:t>
            </w:r>
          </w:p>
        </w:tc>
      </w:tr>
      <w:tr>
        <w:trPr>
          <w:trHeight w:val="254" w:hRule="exact"/>
        </w:trPr>
        <w:tc>
          <w:tcPr>
            <w:tcW w:w="8834" w:type="dxa"/>
          </w:tcPr>
          <w:p>
            <w:pPr>
              <w:pStyle w:val="TableParagraph"/>
              <w:rPr>
                <w:sz w:val="20"/>
              </w:rPr>
            </w:pPr>
            <w:r>
              <w:rPr>
                <w:sz w:val="20"/>
              </w:rPr>
              <w:t>20. Comunidad Nueva Sta. María</w:t>
            </w:r>
          </w:p>
        </w:tc>
      </w:tr>
      <w:tr>
        <w:trPr>
          <w:trHeight w:val="252" w:hRule="exact"/>
        </w:trPr>
        <w:tc>
          <w:tcPr>
            <w:tcW w:w="8834" w:type="dxa"/>
          </w:tcPr>
          <w:p>
            <w:pPr>
              <w:pStyle w:val="TableParagraph"/>
              <w:rPr>
                <w:sz w:val="20"/>
              </w:rPr>
            </w:pPr>
            <w:r>
              <w:rPr>
                <w:sz w:val="20"/>
              </w:rPr>
              <w:t>21. Comunidad Emanuel</w:t>
            </w:r>
          </w:p>
        </w:tc>
      </w:tr>
      <w:tr>
        <w:trPr>
          <w:trHeight w:val="254" w:hRule="exact"/>
        </w:trPr>
        <w:tc>
          <w:tcPr>
            <w:tcW w:w="8834" w:type="dxa"/>
          </w:tcPr>
          <w:p>
            <w:pPr>
              <w:pStyle w:val="TableParagraph"/>
              <w:rPr>
                <w:sz w:val="20"/>
              </w:rPr>
            </w:pPr>
            <w:r>
              <w:rPr>
                <w:sz w:val="20"/>
              </w:rPr>
              <w:t>22. Cruce Buena Fe</w:t>
            </w:r>
          </w:p>
        </w:tc>
      </w:tr>
      <w:tr>
        <w:trPr>
          <w:trHeight w:val="252" w:hRule="exact"/>
        </w:trPr>
        <w:tc>
          <w:tcPr>
            <w:tcW w:w="8834" w:type="dxa"/>
          </w:tcPr>
          <w:p>
            <w:pPr>
              <w:pStyle w:val="TableParagraph"/>
              <w:rPr>
                <w:sz w:val="20"/>
              </w:rPr>
            </w:pPr>
            <w:r>
              <w:rPr>
                <w:sz w:val="20"/>
              </w:rPr>
              <w:t>23. Cruce Santa Victoria</w:t>
            </w:r>
          </w:p>
        </w:tc>
      </w:tr>
      <w:tr>
        <w:trPr>
          <w:trHeight w:val="254" w:hRule="exact"/>
        </w:trPr>
        <w:tc>
          <w:tcPr>
            <w:tcW w:w="8834" w:type="dxa"/>
          </w:tcPr>
          <w:p>
            <w:pPr>
              <w:pStyle w:val="TableParagraph"/>
              <w:rPr>
                <w:sz w:val="20"/>
              </w:rPr>
            </w:pPr>
            <w:r>
              <w:rPr>
                <w:sz w:val="20"/>
              </w:rPr>
              <w:t>24. Desemboque (Wosotsuk)</w:t>
            </w:r>
          </w:p>
        </w:tc>
      </w:tr>
      <w:tr>
        <w:trPr>
          <w:trHeight w:val="252" w:hRule="exact"/>
        </w:trPr>
        <w:tc>
          <w:tcPr>
            <w:tcW w:w="8834" w:type="dxa"/>
          </w:tcPr>
          <w:p>
            <w:pPr>
              <w:pStyle w:val="TableParagraph"/>
              <w:rPr>
                <w:sz w:val="20"/>
              </w:rPr>
            </w:pPr>
            <w:r>
              <w:rPr>
                <w:sz w:val="20"/>
              </w:rPr>
              <w:t>25. Ebenezer (lsten’)</w:t>
            </w:r>
          </w:p>
        </w:tc>
      </w:tr>
      <w:tr>
        <w:trPr>
          <w:trHeight w:val="274" w:hRule="exact"/>
        </w:trPr>
        <w:tc>
          <w:tcPr>
            <w:tcW w:w="8834" w:type="dxa"/>
          </w:tcPr>
          <w:p>
            <w:pPr>
              <w:pStyle w:val="TableParagraph"/>
              <w:rPr>
                <w:sz w:val="20"/>
              </w:rPr>
            </w:pPr>
            <w:r>
              <w:rPr>
                <w:sz w:val="20"/>
              </w:rPr>
              <w:t>26. El Bordo</w:t>
            </w:r>
          </w:p>
        </w:tc>
      </w:tr>
      <w:tr>
        <w:trPr>
          <w:trHeight w:val="254" w:hRule="exact"/>
        </w:trPr>
        <w:tc>
          <w:tcPr>
            <w:tcW w:w="8834" w:type="dxa"/>
          </w:tcPr>
          <w:p>
            <w:pPr>
              <w:pStyle w:val="TableParagraph"/>
              <w:rPr>
                <w:sz w:val="20"/>
              </w:rPr>
            </w:pPr>
            <w:r>
              <w:rPr>
                <w:sz w:val="20"/>
              </w:rPr>
              <w:t>27.</w:t>
            </w:r>
            <w:r>
              <w:rPr>
                <w:spacing w:val="-55"/>
                <w:sz w:val="20"/>
              </w:rPr>
              <w:t> </w:t>
            </w:r>
            <w:r>
              <w:rPr>
                <w:sz w:val="20"/>
              </w:rPr>
              <w:t>El Cruce - Santa María (Tsofwa Tanu (1))</w:t>
            </w:r>
          </w:p>
        </w:tc>
      </w:tr>
      <w:tr>
        <w:trPr>
          <w:trHeight w:val="252" w:hRule="exact"/>
        </w:trPr>
        <w:tc>
          <w:tcPr>
            <w:tcW w:w="8834" w:type="dxa"/>
          </w:tcPr>
          <w:p>
            <w:pPr>
              <w:pStyle w:val="TableParagraph"/>
              <w:rPr>
                <w:sz w:val="20"/>
              </w:rPr>
            </w:pPr>
            <w:r>
              <w:rPr>
                <w:sz w:val="20"/>
              </w:rPr>
              <w:t>28. El Cruce Viejo</w:t>
            </w:r>
          </w:p>
        </w:tc>
      </w:tr>
      <w:tr>
        <w:trPr>
          <w:trHeight w:val="252" w:hRule="exact"/>
        </w:trPr>
        <w:tc>
          <w:tcPr>
            <w:tcW w:w="8834" w:type="dxa"/>
          </w:tcPr>
          <w:p>
            <w:pPr>
              <w:pStyle w:val="TableParagraph"/>
              <w:rPr>
                <w:sz w:val="20"/>
              </w:rPr>
            </w:pPr>
            <w:r>
              <w:rPr>
                <w:sz w:val="20"/>
              </w:rPr>
              <w:t>29. El Indio - La Puntana</w:t>
            </w:r>
          </w:p>
        </w:tc>
      </w:tr>
      <w:tr>
        <w:trPr>
          <w:trHeight w:val="254" w:hRule="exact"/>
        </w:trPr>
        <w:tc>
          <w:tcPr>
            <w:tcW w:w="8834" w:type="dxa"/>
          </w:tcPr>
          <w:p>
            <w:pPr>
              <w:pStyle w:val="TableParagraph"/>
              <w:spacing w:before="3"/>
              <w:rPr>
                <w:sz w:val="20"/>
              </w:rPr>
            </w:pPr>
            <w:r>
              <w:rPr>
                <w:sz w:val="20"/>
              </w:rPr>
              <w:t>30. El Paraiso</w:t>
            </w:r>
          </w:p>
        </w:tc>
      </w:tr>
      <w:tr>
        <w:trPr>
          <w:trHeight w:val="252" w:hRule="exact"/>
        </w:trPr>
        <w:tc>
          <w:tcPr>
            <w:tcW w:w="8834" w:type="dxa"/>
          </w:tcPr>
          <w:p>
            <w:pPr>
              <w:pStyle w:val="TableParagraph"/>
              <w:rPr>
                <w:sz w:val="20"/>
              </w:rPr>
            </w:pPr>
            <w:r>
              <w:rPr>
                <w:sz w:val="20"/>
              </w:rPr>
              <w:t>31. El Pim Pim</w:t>
            </w:r>
          </w:p>
        </w:tc>
      </w:tr>
      <w:tr>
        <w:trPr>
          <w:trHeight w:val="255" w:hRule="exact"/>
        </w:trPr>
        <w:tc>
          <w:tcPr>
            <w:tcW w:w="8834" w:type="dxa"/>
          </w:tcPr>
          <w:p>
            <w:pPr>
              <w:pStyle w:val="TableParagraph"/>
              <w:spacing w:before="3"/>
              <w:rPr>
                <w:sz w:val="20"/>
              </w:rPr>
            </w:pPr>
            <w:r>
              <w:rPr>
                <w:sz w:val="20"/>
              </w:rPr>
              <w:t>32. El Pim Pim 2</w:t>
            </w:r>
          </w:p>
        </w:tc>
      </w:tr>
      <w:tr>
        <w:trPr>
          <w:trHeight w:val="252" w:hRule="exact"/>
        </w:trPr>
        <w:tc>
          <w:tcPr>
            <w:tcW w:w="8834" w:type="dxa"/>
          </w:tcPr>
          <w:p>
            <w:pPr>
              <w:pStyle w:val="TableParagraph"/>
              <w:rPr>
                <w:sz w:val="20"/>
              </w:rPr>
            </w:pPr>
            <w:r>
              <w:rPr>
                <w:sz w:val="20"/>
              </w:rPr>
              <w:t>33.</w:t>
            </w:r>
            <w:r>
              <w:rPr>
                <w:spacing w:val="-55"/>
                <w:sz w:val="20"/>
              </w:rPr>
              <w:t> </w:t>
            </w:r>
            <w:r>
              <w:rPr>
                <w:sz w:val="20"/>
              </w:rPr>
              <w:t>El Porvenir (Imak Tanek Hila)</w:t>
            </w:r>
          </w:p>
        </w:tc>
      </w:tr>
      <w:tr>
        <w:trPr>
          <w:trHeight w:val="254" w:hRule="exact"/>
        </w:trPr>
        <w:tc>
          <w:tcPr>
            <w:tcW w:w="8834" w:type="dxa"/>
          </w:tcPr>
          <w:p>
            <w:pPr>
              <w:pStyle w:val="TableParagraph"/>
              <w:rPr>
                <w:sz w:val="20"/>
              </w:rPr>
            </w:pPr>
            <w:r>
              <w:rPr>
                <w:sz w:val="20"/>
              </w:rPr>
              <w:t>34. El Rincón La Paz</w:t>
            </w:r>
          </w:p>
        </w:tc>
      </w:tr>
      <w:tr>
        <w:trPr>
          <w:trHeight w:val="252" w:hRule="exact"/>
        </w:trPr>
        <w:tc>
          <w:tcPr>
            <w:tcW w:w="8834" w:type="dxa"/>
          </w:tcPr>
          <w:p>
            <w:pPr>
              <w:pStyle w:val="TableParagraph"/>
              <w:rPr>
                <w:sz w:val="20"/>
              </w:rPr>
            </w:pPr>
            <w:r>
              <w:rPr>
                <w:sz w:val="20"/>
              </w:rPr>
              <w:t>35. Golondrina</w:t>
            </w:r>
          </w:p>
        </w:tc>
      </w:tr>
      <w:tr>
        <w:trPr>
          <w:trHeight w:val="190" w:hRule="exact"/>
        </w:trPr>
        <w:tc>
          <w:tcPr>
            <w:tcW w:w="8834" w:type="dxa"/>
            <w:tcBorders>
              <w:left w:val="nil"/>
              <w:bottom w:val="single" w:sz="6" w:space="0" w:color="000000"/>
              <w:right w:val="nil"/>
            </w:tcBorders>
          </w:tcPr>
          <w:p>
            <w:pPr/>
          </w:p>
        </w:tc>
      </w:tr>
    </w:tbl>
    <w:p>
      <w:pPr>
        <w:pStyle w:val="ListParagraph"/>
        <w:numPr>
          <w:ilvl w:val="0"/>
          <w:numId w:val="1"/>
        </w:numPr>
        <w:tabs>
          <w:tab w:pos="829" w:val="left" w:leader="none"/>
          <w:tab w:pos="830" w:val="left" w:leader="none"/>
        </w:tabs>
        <w:spacing w:line="240" w:lineRule="auto" w:before="100" w:after="0"/>
        <w:ind w:left="122" w:right="114" w:firstLine="0"/>
        <w:jc w:val="both"/>
        <w:rPr>
          <w:sz w:val="16"/>
        </w:rPr>
      </w:pPr>
      <w:r>
        <w:rPr>
          <w:sz w:val="16"/>
        </w:rPr>
        <w:t>De conformidad con los párrafos 35 y 309 de la Sentencia y la notas a pie de página 22 y 23, las víctimas</w:t>
      </w:r>
      <w:r>
        <w:rPr>
          <w:spacing w:val="-2"/>
          <w:sz w:val="16"/>
        </w:rPr>
        <w:t> </w:t>
      </w:r>
      <w:r>
        <w:rPr>
          <w:sz w:val="16"/>
        </w:rPr>
        <w:t>del</w:t>
      </w:r>
      <w:r>
        <w:rPr>
          <w:spacing w:val="-6"/>
          <w:sz w:val="16"/>
        </w:rPr>
        <w:t> </w:t>
      </w:r>
      <w:r>
        <w:rPr>
          <w:sz w:val="16"/>
        </w:rPr>
        <w:t>caso</w:t>
      </w:r>
      <w:r>
        <w:rPr>
          <w:spacing w:val="-4"/>
          <w:sz w:val="16"/>
        </w:rPr>
        <w:t> </w:t>
      </w:r>
      <w:r>
        <w:rPr>
          <w:sz w:val="16"/>
        </w:rPr>
        <w:t>son</w:t>
      </w:r>
      <w:r>
        <w:rPr>
          <w:spacing w:val="-4"/>
          <w:sz w:val="16"/>
        </w:rPr>
        <w:t> </w:t>
      </w:r>
      <w:r>
        <w:rPr>
          <w:sz w:val="16"/>
        </w:rPr>
        <w:t>las</w:t>
      </w:r>
      <w:r>
        <w:rPr>
          <w:spacing w:val="-5"/>
          <w:sz w:val="16"/>
        </w:rPr>
        <w:t> </w:t>
      </w:r>
      <w:r>
        <w:rPr>
          <w:sz w:val="16"/>
        </w:rPr>
        <w:t>comunidades</w:t>
      </w:r>
      <w:r>
        <w:rPr>
          <w:spacing w:val="-2"/>
          <w:sz w:val="16"/>
        </w:rPr>
        <w:t> </w:t>
      </w:r>
      <w:r>
        <w:rPr>
          <w:sz w:val="16"/>
        </w:rPr>
        <w:t>listadas</w:t>
      </w:r>
      <w:r>
        <w:rPr>
          <w:spacing w:val="-5"/>
          <w:sz w:val="16"/>
        </w:rPr>
        <w:t> </w:t>
      </w:r>
      <w:r>
        <w:rPr>
          <w:sz w:val="16"/>
        </w:rPr>
        <w:t>en</w:t>
      </w:r>
      <w:r>
        <w:rPr>
          <w:spacing w:val="-3"/>
          <w:sz w:val="16"/>
        </w:rPr>
        <w:t> </w:t>
      </w:r>
      <w:r>
        <w:rPr>
          <w:sz w:val="16"/>
        </w:rPr>
        <w:t>el</w:t>
      </w:r>
      <w:r>
        <w:rPr>
          <w:spacing w:val="-3"/>
          <w:sz w:val="16"/>
        </w:rPr>
        <w:t> </w:t>
      </w:r>
      <w:r>
        <w:rPr>
          <w:sz w:val="16"/>
        </w:rPr>
        <w:t>presente</w:t>
      </w:r>
      <w:r>
        <w:rPr>
          <w:spacing w:val="-2"/>
          <w:sz w:val="16"/>
        </w:rPr>
        <w:t> </w:t>
      </w:r>
      <w:r>
        <w:rPr>
          <w:sz w:val="16"/>
        </w:rPr>
        <w:t>Anexo</w:t>
      </w:r>
      <w:r>
        <w:rPr>
          <w:spacing w:val="-4"/>
          <w:sz w:val="16"/>
        </w:rPr>
        <w:t> </w:t>
      </w:r>
      <w:r>
        <w:rPr>
          <w:sz w:val="16"/>
        </w:rPr>
        <w:t>V</w:t>
      </w:r>
      <w:r>
        <w:rPr>
          <w:spacing w:val="-2"/>
          <w:sz w:val="16"/>
        </w:rPr>
        <w:t> </w:t>
      </w:r>
      <w:r>
        <w:rPr>
          <w:sz w:val="16"/>
        </w:rPr>
        <w:t>a</w:t>
      </w:r>
      <w:r>
        <w:rPr>
          <w:spacing w:val="-3"/>
          <w:sz w:val="16"/>
        </w:rPr>
        <w:t> </w:t>
      </w:r>
      <w:r>
        <w:rPr>
          <w:sz w:val="16"/>
        </w:rPr>
        <w:t>la</w:t>
      </w:r>
      <w:r>
        <w:rPr>
          <w:spacing w:val="-3"/>
          <w:sz w:val="16"/>
        </w:rPr>
        <w:t> </w:t>
      </w:r>
      <w:r>
        <w:rPr>
          <w:sz w:val="16"/>
        </w:rPr>
        <w:t>Sentencia,</w:t>
      </w:r>
      <w:r>
        <w:rPr>
          <w:spacing w:val="-4"/>
          <w:sz w:val="16"/>
        </w:rPr>
        <w:t> </w:t>
      </w:r>
      <w:r>
        <w:rPr>
          <w:sz w:val="16"/>
        </w:rPr>
        <w:t>entendiéndose</w:t>
      </w:r>
      <w:r>
        <w:rPr>
          <w:spacing w:val="-4"/>
          <w:sz w:val="16"/>
        </w:rPr>
        <w:t> </w:t>
      </w:r>
      <w:r>
        <w:rPr>
          <w:sz w:val="16"/>
        </w:rPr>
        <w:t>que</w:t>
      </w:r>
      <w:r>
        <w:rPr>
          <w:spacing w:val="-2"/>
          <w:sz w:val="16"/>
        </w:rPr>
        <w:t> </w:t>
      </w:r>
      <w:r>
        <w:rPr>
          <w:sz w:val="16"/>
        </w:rPr>
        <w:t>ello abarca a las comunidades pertenecientes a los pueblos indígenas Wichí (Mataco), Iyjwaja (Chorote), Komlek (Toba), Niwackle (Chulupí) y Tapy’y (Tapiete) que habiten en los lotes con las matrículas catastrales 175 y 5557 del Departamento Rivadavia, de la Provincia argentina de Salta, antes conocidos como lotes fiscales 14 y 55, y que puedan derivarse de las 132 comunidades señaladas por acción del proceso de</w:t>
      </w:r>
      <w:r>
        <w:rPr>
          <w:spacing w:val="-29"/>
          <w:sz w:val="16"/>
        </w:rPr>
        <w:t> </w:t>
      </w:r>
      <w:r>
        <w:rPr>
          <w:sz w:val="16"/>
        </w:rPr>
        <w:t>“fisión-fusión”.</w:t>
      </w:r>
    </w:p>
    <w:p>
      <w:pPr>
        <w:spacing w:after="0" w:line="240" w:lineRule="auto"/>
        <w:jc w:val="both"/>
        <w:rPr>
          <w:sz w:val="16"/>
        </w:rPr>
        <w:sectPr>
          <w:pgSz w:w="12240" w:h="15840"/>
          <w:pgMar w:header="0" w:footer="940" w:top="1500" w:bottom="1200" w:left="158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254" w:hRule="exact"/>
        </w:trPr>
        <w:tc>
          <w:tcPr>
            <w:tcW w:w="8829" w:type="dxa"/>
          </w:tcPr>
          <w:p>
            <w:pPr>
              <w:pStyle w:val="TableParagraph"/>
              <w:spacing w:line="242" w:lineRule="exact"/>
              <w:rPr>
                <w:sz w:val="20"/>
              </w:rPr>
            </w:pPr>
            <w:r>
              <w:rPr>
                <w:sz w:val="20"/>
              </w:rPr>
              <w:t>36. Guayacan</w:t>
            </w:r>
          </w:p>
        </w:tc>
      </w:tr>
      <w:tr>
        <w:trPr>
          <w:trHeight w:val="252" w:hRule="exact"/>
        </w:trPr>
        <w:tc>
          <w:tcPr>
            <w:tcW w:w="8829" w:type="dxa"/>
          </w:tcPr>
          <w:p>
            <w:pPr>
              <w:pStyle w:val="TableParagraph"/>
              <w:spacing w:line="240" w:lineRule="exact"/>
              <w:rPr>
                <w:sz w:val="20"/>
              </w:rPr>
            </w:pPr>
            <w:r>
              <w:rPr>
                <w:sz w:val="20"/>
              </w:rPr>
              <w:t>37.</w:t>
            </w:r>
            <w:r>
              <w:rPr>
                <w:spacing w:val="-50"/>
                <w:sz w:val="20"/>
              </w:rPr>
              <w:t> </w:t>
            </w:r>
            <w:r>
              <w:rPr>
                <w:sz w:val="20"/>
              </w:rPr>
              <w:t>Inhate - Alto De La Sierra</w:t>
            </w:r>
          </w:p>
        </w:tc>
      </w:tr>
      <w:tr>
        <w:trPr>
          <w:trHeight w:val="254" w:hRule="exact"/>
        </w:trPr>
        <w:tc>
          <w:tcPr>
            <w:tcW w:w="8829" w:type="dxa"/>
          </w:tcPr>
          <w:p>
            <w:pPr>
              <w:pStyle w:val="TableParagraph"/>
              <w:spacing w:line="240" w:lineRule="exact"/>
              <w:rPr>
                <w:sz w:val="20"/>
              </w:rPr>
            </w:pPr>
            <w:r>
              <w:rPr>
                <w:sz w:val="20"/>
              </w:rPr>
              <w:t>38. Kilómetro 1 (Onhaichuy)</w:t>
            </w:r>
          </w:p>
        </w:tc>
      </w:tr>
      <w:tr>
        <w:trPr>
          <w:trHeight w:val="252" w:hRule="exact"/>
        </w:trPr>
        <w:tc>
          <w:tcPr>
            <w:tcW w:w="8829" w:type="dxa"/>
          </w:tcPr>
          <w:p>
            <w:pPr>
              <w:pStyle w:val="TableParagraph"/>
              <w:spacing w:line="240" w:lineRule="exact"/>
              <w:rPr>
                <w:sz w:val="20"/>
              </w:rPr>
            </w:pPr>
            <w:r>
              <w:rPr>
                <w:sz w:val="20"/>
              </w:rPr>
              <w:t>39. Kilómetro 2 Central (Ex 3)</w:t>
            </w:r>
          </w:p>
        </w:tc>
      </w:tr>
      <w:tr>
        <w:trPr>
          <w:trHeight w:val="254" w:hRule="exact"/>
        </w:trPr>
        <w:tc>
          <w:tcPr>
            <w:tcW w:w="8829" w:type="dxa"/>
          </w:tcPr>
          <w:p>
            <w:pPr>
              <w:pStyle w:val="TableParagraph"/>
              <w:spacing w:line="240" w:lineRule="exact"/>
              <w:rPr>
                <w:sz w:val="20"/>
              </w:rPr>
            </w:pPr>
            <w:r>
              <w:rPr>
                <w:sz w:val="20"/>
              </w:rPr>
              <w:t>40.</w:t>
            </w:r>
            <w:r>
              <w:rPr>
                <w:spacing w:val="-51"/>
                <w:sz w:val="20"/>
              </w:rPr>
              <w:t> </w:t>
            </w:r>
            <w:r>
              <w:rPr>
                <w:sz w:val="20"/>
              </w:rPr>
              <w:t>Kilómetro 2 "H'okad" (Nop’ok W’et)</w:t>
            </w:r>
          </w:p>
        </w:tc>
      </w:tr>
      <w:tr>
        <w:trPr>
          <w:trHeight w:val="252" w:hRule="exact"/>
        </w:trPr>
        <w:tc>
          <w:tcPr>
            <w:tcW w:w="8829" w:type="dxa"/>
          </w:tcPr>
          <w:p>
            <w:pPr>
              <w:pStyle w:val="TableParagraph"/>
              <w:spacing w:line="240" w:lineRule="exact"/>
              <w:rPr>
                <w:sz w:val="20"/>
              </w:rPr>
            </w:pPr>
            <w:r>
              <w:rPr>
                <w:sz w:val="20"/>
              </w:rPr>
              <w:t>41. Kilómetro 12 (Ex Km 2)</w:t>
            </w:r>
          </w:p>
        </w:tc>
      </w:tr>
      <w:tr>
        <w:trPr>
          <w:trHeight w:val="254" w:hRule="exact"/>
        </w:trPr>
        <w:tc>
          <w:tcPr>
            <w:tcW w:w="8829" w:type="dxa"/>
          </w:tcPr>
          <w:p>
            <w:pPr>
              <w:pStyle w:val="TableParagraph"/>
              <w:spacing w:line="240" w:lineRule="exact"/>
              <w:rPr>
                <w:sz w:val="20"/>
              </w:rPr>
            </w:pPr>
            <w:r>
              <w:rPr>
                <w:sz w:val="20"/>
              </w:rPr>
              <w:t>42.</w:t>
            </w:r>
            <w:r>
              <w:rPr>
                <w:spacing w:val="-50"/>
                <w:sz w:val="20"/>
              </w:rPr>
              <w:t> </w:t>
            </w:r>
            <w:r>
              <w:rPr>
                <w:sz w:val="20"/>
              </w:rPr>
              <w:t>Kom La Chaca – Monte Carmelo</w:t>
            </w:r>
          </w:p>
        </w:tc>
      </w:tr>
      <w:tr>
        <w:trPr>
          <w:trHeight w:val="252" w:hRule="exact"/>
        </w:trPr>
        <w:tc>
          <w:tcPr>
            <w:tcW w:w="8829" w:type="dxa"/>
          </w:tcPr>
          <w:p>
            <w:pPr>
              <w:pStyle w:val="TableParagraph"/>
              <w:spacing w:line="240" w:lineRule="exact"/>
              <w:rPr>
                <w:sz w:val="20"/>
              </w:rPr>
            </w:pPr>
            <w:r>
              <w:rPr>
                <w:sz w:val="20"/>
              </w:rPr>
              <w:t>43. La Banda</w:t>
            </w:r>
          </w:p>
        </w:tc>
      </w:tr>
      <w:tr>
        <w:trPr>
          <w:trHeight w:val="274" w:hRule="exact"/>
        </w:trPr>
        <w:tc>
          <w:tcPr>
            <w:tcW w:w="8829" w:type="dxa"/>
          </w:tcPr>
          <w:p>
            <w:pPr>
              <w:pStyle w:val="TableParagraph"/>
              <w:spacing w:line="240" w:lineRule="exact"/>
              <w:rPr>
                <w:sz w:val="20"/>
              </w:rPr>
            </w:pPr>
            <w:r>
              <w:rPr>
                <w:sz w:val="20"/>
              </w:rPr>
              <w:t>44.</w:t>
            </w:r>
            <w:r>
              <w:rPr>
                <w:spacing w:val="-51"/>
                <w:sz w:val="20"/>
              </w:rPr>
              <w:t> </w:t>
            </w:r>
            <w:r>
              <w:rPr>
                <w:sz w:val="20"/>
              </w:rPr>
              <w:t>La Bolsa (Tewuk Iliyi)</w:t>
            </w:r>
          </w:p>
        </w:tc>
      </w:tr>
      <w:tr>
        <w:trPr>
          <w:trHeight w:val="254" w:hRule="exact"/>
        </w:trPr>
        <w:tc>
          <w:tcPr>
            <w:tcW w:w="8829" w:type="dxa"/>
          </w:tcPr>
          <w:p>
            <w:pPr>
              <w:pStyle w:val="TableParagraph"/>
              <w:spacing w:line="240" w:lineRule="exact"/>
              <w:rPr>
                <w:sz w:val="20"/>
              </w:rPr>
            </w:pPr>
            <w:r>
              <w:rPr>
                <w:sz w:val="20"/>
              </w:rPr>
              <w:t>45. La Bolsa 2</w:t>
            </w:r>
          </w:p>
        </w:tc>
      </w:tr>
      <w:tr>
        <w:trPr>
          <w:trHeight w:val="252" w:hRule="exact"/>
        </w:trPr>
        <w:tc>
          <w:tcPr>
            <w:tcW w:w="8829" w:type="dxa"/>
          </w:tcPr>
          <w:p>
            <w:pPr>
              <w:pStyle w:val="TableParagraph"/>
              <w:spacing w:line="240" w:lineRule="exact"/>
              <w:rPr>
                <w:sz w:val="20"/>
              </w:rPr>
            </w:pPr>
            <w:r>
              <w:rPr>
                <w:sz w:val="20"/>
              </w:rPr>
              <w:t>46. La Curvita</w:t>
            </w:r>
          </w:p>
        </w:tc>
      </w:tr>
      <w:tr>
        <w:trPr>
          <w:trHeight w:val="252" w:hRule="exact"/>
        </w:trPr>
        <w:tc>
          <w:tcPr>
            <w:tcW w:w="8829" w:type="dxa"/>
          </w:tcPr>
          <w:p>
            <w:pPr>
              <w:pStyle w:val="TableParagraph"/>
              <w:spacing w:line="240" w:lineRule="exact"/>
              <w:rPr>
                <w:sz w:val="20"/>
              </w:rPr>
            </w:pPr>
            <w:r>
              <w:rPr>
                <w:sz w:val="20"/>
              </w:rPr>
              <w:t>47. La Esperanza (Fewj Wen’i)</w:t>
            </w:r>
          </w:p>
        </w:tc>
      </w:tr>
      <w:tr>
        <w:trPr>
          <w:trHeight w:val="254" w:hRule="exact"/>
        </w:trPr>
        <w:tc>
          <w:tcPr>
            <w:tcW w:w="8829" w:type="dxa"/>
          </w:tcPr>
          <w:p>
            <w:pPr>
              <w:pStyle w:val="TableParagraph"/>
              <w:spacing w:line="242" w:lineRule="exact"/>
              <w:rPr>
                <w:sz w:val="20"/>
              </w:rPr>
            </w:pPr>
            <w:r>
              <w:rPr>
                <w:sz w:val="20"/>
              </w:rPr>
              <w:t>48. La Esperanza 2 (La Puntana)</w:t>
            </w:r>
          </w:p>
        </w:tc>
      </w:tr>
      <w:tr>
        <w:trPr>
          <w:trHeight w:val="274" w:hRule="exact"/>
        </w:trPr>
        <w:tc>
          <w:tcPr>
            <w:tcW w:w="8829" w:type="dxa"/>
          </w:tcPr>
          <w:p>
            <w:pPr>
              <w:pStyle w:val="TableParagraph"/>
              <w:spacing w:line="240" w:lineRule="exact"/>
              <w:rPr>
                <w:sz w:val="20"/>
              </w:rPr>
            </w:pPr>
            <w:r>
              <w:rPr>
                <w:sz w:val="20"/>
              </w:rPr>
              <w:t>49. La Estrella (Kates)</w:t>
            </w:r>
          </w:p>
        </w:tc>
      </w:tr>
      <w:tr>
        <w:trPr>
          <w:trHeight w:val="255" w:hRule="exact"/>
        </w:trPr>
        <w:tc>
          <w:tcPr>
            <w:tcW w:w="8829" w:type="dxa"/>
          </w:tcPr>
          <w:p>
            <w:pPr>
              <w:pStyle w:val="TableParagraph"/>
              <w:spacing w:line="240" w:lineRule="exact"/>
              <w:rPr>
                <w:sz w:val="20"/>
              </w:rPr>
            </w:pPr>
            <w:r>
              <w:rPr>
                <w:sz w:val="20"/>
              </w:rPr>
              <w:t>50. La Gracia (Pomis Ji’wet)</w:t>
            </w:r>
          </w:p>
        </w:tc>
      </w:tr>
      <w:tr>
        <w:trPr>
          <w:trHeight w:val="252" w:hRule="exact"/>
        </w:trPr>
        <w:tc>
          <w:tcPr>
            <w:tcW w:w="8829" w:type="dxa"/>
          </w:tcPr>
          <w:p>
            <w:pPr>
              <w:pStyle w:val="TableParagraph"/>
              <w:spacing w:line="240" w:lineRule="exact"/>
              <w:rPr>
                <w:sz w:val="20"/>
              </w:rPr>
            </w:pPr>
            <w:r>
              <w:rPr>
                <w:sz w:val="20"/>
              </w:rPr>
              <w:t>51. La Junta (Alpu)</w:t>
            </w:r>
          </w:p>
        </w:tc>
      </w:tr>
      <w:tr>
        <w:trPr>
          <w:trHeight w:val="252" w:hRule="exact"/>
        </w:trPr>
        <w:tc>
          <w:tcPr>
            <w:tcW w:w="8829" w:type="dxa"/>
          </w:tcPr>
          <w:p>
            <w:pPr>
              <w:pStyle w:val="TableParagraph"/>
              <w:spacing w:line="240" w:lineRule="exact"/>
              <w:rPr>
                <w:sz w:val="20"/>
              </w:rPr>
            </w:pPr>
            <w:r>
              <w:rPr>
                <w:sz w:val="20"/>
              </w:rPr>
              <w:t>52. Las Lomitas</w:t>
            </w:r>
          </w:p>
        </w:tc>
      </w:tr>
      <w:tr>
        <w:trPr>
          <w:trHeight w:val="254" w:hRule="exact"/>
        </w:trPr>
        <w:tc>
          <w:tcPr>
            <w:tcW w:w="8829" w:type="dxa"/>
          </w:tcPr>
          <w:p>
            <w:pPr>
              <w:pStyle w:val="TableParagraph"/>
              <w:spacing w:line="242" w:lineRule="exact"/>
              <w:rPr>
                <w:sz w:val="20"/>
              </w:rPr>
            </w:pPr>
            <w:r>
              <w:rPr>
                <w:sz w:val="20"/>
              </w:rPr>
              <w:t>53. La Merced Chica</w:t>
            </w:r>
          </w:p>
        </w:tc>
      </w:tr>
      <w:tr>
        <w:trPr>
          <w:trHeight w:val="252" w:hRule="exact"/>
        </w:trPr>
        <w:tc>
          <w:tcPr>
            <w:tcW w:w="8829" w:type="dxa"/>
          </w:tcPr>
          <w:p>
            <w:pPr>
              <w:pStyle w:val="TableParagraph"/>
              <w:spacing w:line="240" w:lineRule="exact"/>
              <w:rPr>
                <w:sz w:val="20"/>
              </w:rPr>
            </w:pPr>
            <w:r>
              <w:rPr>
                <w:sz w:val="20"/>
              </w:rPr>
              <w:t>54. La Merced Nueva</w:t>
            </w:r>
          </w:p>
        </w:tc>
      </w:tr>
      <w:tr>
        <w:trPr>
          <w:trHeight w:val="254" w:hRule="exact"/>
        </w:trPr>
        <w:tc>
          <w:tcPr>
            <w:tcW w:w="8829" w:type="dxa"/>
          </w:tcPr>
          <w:p>
            <w:pPr>
              <w:pStyle w:val="TableParagraph"/>
              <w:spacing w:line="240" w:lineRule="exact"/>
              <w:rPr>
                <w:sz w:val="20"/>
              </w:rPr>
            </w:pPr>
            <w:r>
              <w:rPr>
                <w:sz w:val="20"/>
              </w:rPr>
              <w:t>55. La Merced Vieja</w:t>
            </w:r>
          </w:p>
        </w:tc>
      </w:tr>
      <w:tr>
        <w:trPr>
          <w:trHeight w:val="252" w:hRule="exact"/>
        </w:trPr>
        <w:tc>
          <w:tcPr>
            <w:tcW w:w="8829" w:type="dxa"/>
          </w:tcPr>
          <w:p>
            <w:pPr>
              <w:pStyle w:val="TableParagraph"/>
              <w:spacing w:line="240" w:lineRule="exact"/>
              <w:rPr>
                <w:sz w:val="20"/>
              </w:rPr>
            </w:pPr>
            <w:r>
              <w:rPr>
                <w:sz w:val="20"/>
              </w:rPr>
              <w:t>56. La Paz B</w:t>
            </w:r>
          </w:p>
        </w:tc>
      </w:tr>
      <w:tr>
        <w:trPr>
          <w:trHeight w:val="254" w:hRule="exact"/>
        </w:trPr>
        <w:tc>
          <w:tcPr>
            <w:tcW w:w="8829" w:type="dxa"/>
          </w:tcPr>
          <w:p>
            <w:pPr>
              <w:pStyle w:val="TableParagraph"/>
              <w:spacing w:line="240" w:lineRule="exact"/>
              <w:rPr>
                <w:sz w:val="20"/>
              </w:rPr>
            </w:pPr>
            <w:r>
              <w:rPr>
                <w:sz w:val="20"/>
              </w:rPr>
              <w:t>57. La Paz Chica</w:t>
            </w:r>
          </w:p>
        </w:tc>
      </w:tr>
      <w:tr>
        <w:trPr>
          <w:trHeight w:val="252" w:hRule="exact"/>
        </w:trPr>
        <w:tc>
          <w:tcPr>
            <w:tcW w:w="8829" w:type="dxa"/>
          </w:tcPr>
          <w:p>
            <w:pPr>
              <w:pStyle w:val="TableParagraph"/>
              <w:spacing w:line="240" w:lineRule="exact"/>
              <w:rPr>
                <w:sz w:val="20"/>
              </w:rPr>
            </w:pPr>
            <w:r>
              <w:rPr>
                <w:sz w:val="20"/>
              </w:rPr>
              <w:t>58.</w:t>
            </w:r>
            <w:r>
              <w:rPr>
                <w:spacing w:val="-52"/>
                <w:sz w:val="20"/>
              </w:rPr>
              <w:t> </w:t>
            </w:r>
            <w:r>
              <w:rPr>
                <w:sz w:val="20"/>
              </w:rPr>
              <w:t>La Puntana 1 (Tsetwo P’itsek)</w:t>
            </w:r>
          </w:p>
        </w:tc>
      </w:tr>
      <w:tr>
        <w:trPr>
          <w:trHeight w:val="254" w:hRule="exact"/>
        </w:trPr>
        <w:tc>
          <w:tcPr>
            <w:tcW w:w="8829" w:type="dxa"/>
          </w:tcPr>
          <w:p>
            <w:pPr>
              <w:pStyle w:val="TableParagraph"/>
              <w:spacing w:line="240" w:lineRule="exact"/>
              <w:rPr>
                <w:sz w:val="20"/>
              </w:rPr>
            </w:pPr>
            <w:r>
              <w:rPr>
                <w:sz w:val="20"/>
              </w:rPr>
              <w:t>59. La Sardina</w:t>
            </w:r>
          </w:p>
        </w:tc>
      </w:tr>
      <w:tr>
        <w:trPr>
          <w:trHeight w:val="252" w:hRule="exact"/>
        </w:trPr>
        <w:tc>
          <w:tcPr>
            <w:tcW w:w="8829" w:type="dxa"/>
          </w:tcPr>
          <w:p>
            <w:pPr>
              <w:pStyle w:val="TableParagraph"/>
              <w:spacing w:line="240" w:lineRule="exact"/>
              <w:rPr>
                <w:sz w:val="20"/>
              </w:rPr>
            </w:pPr>
            <w:r>
              <w:rPr>
                <w:sz w:val="20"/>
              </w:rPr>
              <w:t>60. Las Vertientes 1 (Waj Ch’inha)</w:t>
            </w:r>
          </w:p>
        </w:tc>
      </w:tr>
      <w:tr>
        <w:trPr>
          <w:trHeight w:val="252" w:hRule="exact"/>
        </w:trPr>
        <w:tc>
          <w:tcPr>
            <w:tcW w:w="8829" w:type="dxa"/>
          </w:tcPr>
          <w:p>
            <w:pPr>
              <w:pStyle w:val="TableParagraph"/>
              <w:spacing w:line="240" w:lineRule="exact"/>
              <w:rPr>
                <w:sz w:val="20"/>
              </w:rPr>
            </w:pPr>
            <w:r>
              <w:rPr>
                <w:sz w:val="20"/>
              </w:rPr>
              <w:t>61. Las Vertientes III</w:t>
            </w:r>
          </w:p>
        </w:tc>
      </w:tr>
      <w:tr>
        <w:trPr>
          <w:trHeight w:val="254" w:hRule="exact"/>
        </w:trPr>
        <w:tc>
          <w:tcPr>
            <w:tcW w:w="8829" w:type="dxa"/>
          </w:tcPr>
          <w:p>
            <w:pPr>
              <w:pStyle w:val="TableParagraph"/>
              <w:spacing w:line="242" w:lineRule="exact"/>
              <w:rPr>
                <w:sz w:val="20"/>
              </w:rPr>
            </w:pPr>
            <w:r>
              <w:rPr>
                <w:sz w:val="20"/>
              </w:rPr>
              <w:t>62. Larguero</w:t>
            </w:r>
          </w:p>
        </w:tc>
      </w:tr>
      <w:tr>
        <w:trPr>
          <w:trHeight w:val="252" w:hRule="exact"/>
        </w:trPr>
        <w:tc>
          <w:tcPr>
            <w:tcW w:w="8829" w:type="dxa"/>
          </w:tcPr>
          <w:p>
            <w:pPr>
              <w:pStyle w:val="TableParagraph"/>
              <w:spacing w:line="240" w:lineRule="exact"/>
              <w:rPr>
                <w:sz w:val="20"/>
              </w:rPr>
            </w:pPr>
            <w:r>
              <w:rPr>
                <w:sz w:val="20"/>
              </w:rPr>
              <w:t>63.</w:t>
            </w:r>
            <w:r>
              <w:rPr>
                <w:spacing w:val="-52"/>
                <w:sz w:val="20"/>
              </w:rPr>
              <w:t> </w:t>
            </w:r>
            <w:r>
              <w:rPr>
                <w:sz w:val="20"/>
              </w:rPr>
              <w:t>Lantawos - Alto De La Sierra</w:t>
            </w:r>
          </w:p>
        </w:tc>
      </w:tr>
      <w:tr>
        <w:trPr>
          <w:trHeight w:val="255" w:hRule="exact"/>
        </w:trPr>
        <w:tc>
          <w:tcPr>
            <w:tcW w:w="8829" w:type="dxa"/>
          </w:tcPr>
          <w:p>
            <w:pPr>
              <w:pStyle w:val="TableParagraph"/>
              <w:spacing w:line="240" w:lineRule="exact"/>
              <w:rPr>
                <w:sz w:val="20"/>
              </w:rPr>
            </w:pPr>
            <w:r>
              <w:rPr>
                <w:sz w:val="20"/>
              </w:rPr>
              <w:t>64.</w:t>
            </w:r>
            <w:r>
              <w:rPr>
                <w:spacing w:val="-50"/>
                <w:sz w:val="20"/>
              </w:rPr>
              <w:t> </w:t>
            </w:r>
            <w:r>
              <w:rPr>
                <w:sz w:val="20"/>
              </w:rPr>
              <w:t>Los 6 Hermanos (Padre Coll 3)</w:t>
            </w:r>
          </w:p>
        </w:tc>
      </w:tr>
      <w:tr>
        <w:trPr>
          <w:trHeight w:val="252" w:hRule="exact"/>
        </w:trPr>
        <w:tc>
          <w:tcPr>
            <w:tcW w:w="8829" w:type="dxa"/>
          </w:tcPr>
          <w:p>
            <w:pPr>
              <w:pStyle w:val="TableParagraph"/>
              <w:spacing w:line="240" w:lineRule="exact"/>
              <w:rPr>
                <w:sz w:val="20"/>
              </w:rPr>
            </w:pPr>
            <w:r>
              <w:rPr>
                <w:sz w:val="20"/>
              </w:rPr>
              <w:t>65. Madre Esperanza</w:t>
            </w:r>
          </w:p>
        </w:tc>
      </w:tr>
      <w:tr>
        <w:trPr>
          <w:trHeight w:val="254" w:hRule="exact"/>
        </w:trPr>
        <w:tc>
          <w:tcPr>
            <w:tcW w:w="8829" w:type="dxa"/>
          </w:tcPr>
          <w:p>
            <w:pPr>
              <w:pStyle w:val="TableParagraph"/>
              <w:spacing w:line="240" w:lineRule="exact"/>
              <w:rPr>
                <w:sz w:val="20"/>
              </w:rPr>
            </w:pPr>
            <w:r>
              <w:rPr>
                <w:sz w:val="20"/>
              </w:rPr>
              <w:t>66. Misión Algarrobal</w:t>
            </w:r>
          </w:p>
        </w:tc>
      </w:tr>
      <w:tr>
        <w:trPr>
          <w:trHeight w:val="252" w:hRule="exact"/>
        </w:trPr>
        <w:tc>
          <w:tcPr>
            <w:tcW w:w="8829" w:type="dxa"/>
          </w:tcPr>
          <w:p>
            <w:pPr>
              <w:pStyle w:val="TableParagraph"/>
              <w:spacing w:line="240" w:lineRule="exact"/>
              <w:rPr>
                <w:sz w:val="20"/>
              </w:rPr>
            </w:pPr>
            <w:r>
              <w:rPr>
                <w:sz w:val="20"/>
              </w:rPr>
              <w:t>67. Misión Anselmo</w:t>
            </w:r>
          </w:p>
        </w:tc>
      </w:tr>
      <w:tr>
        <w:trPr>
          <w:trHeight w:val="254" w:hRule="exact"/>
        </w:trPr>
        <w:tc>
          <w:tcPr>
            <w:tcW w:w="8829" w:type="dxa"/>
          </w:tcPr>
          <w:p>
            <w:pPr>
              <w:pStyle w:val="TableParagraph"/>
              <w:spacing w:line="240" w:lineRule="exact"/>
              <w:rPr>
                <w:sz w:val="20"/>
              </w:rPr>
            </w:pPr>
            <w:r>
              <w:rPr>
                <w:sz w:val="20"/>
              </w:rPr>
              <w:t>68.</w:t>
            </w:r>
            <w:r>
              <w:rPr>
                <w:spacing w:val="-52"/>
                <w:sz w:val="20"/>
              </w:rPr>
              <w:t> </w:t>
            </w:r>
            <w:r>
              <w:rPr>
                <w:sz w:val="20"/>
              </w:rPr>
              <w:t>Misión Grande Santa María (Mola Lhat hi)</w:t>
            </w:r>
          </w:p>
        </w:tc>
      </w:tr>
      <w:tr>
        <w:trPr>
          <w:trHeight w:val="252" w:hRule="exact"/>
        </w:trPr>
        <w:tc>
          <w:tcPr>
            <w:tcW w:w="8829" w:type="dxa"/>
          </w:tcPr>
          <w:p>
            <w:pPr>
              <w:pStyle w:val="TableParagraph"/>
              <w:spacing w:line="240" w:lineRule="exact"/>
              <w:rPr>
                <w:sz w:val="20"/>
              </w:rPr>
            </w:pPr>
            <w:r>
              <w:rPr>
                <w:sz w:val="20"/>
              </w:rPr>
              <w:t>69.</w:t>
            </w:r>
            <w:r>
              <w:rPr>
                <w:spacing w:val="-51"/>
                <w:sz w:val="20"/>
              </w:rPr>
              <w:t> </w:t>
            </w:r>
            <w:r>
              <w:rPr>
                <w:sz w:val="20"/>
              </w:rPr>
              <w:t>Misión la Paz (Nop’ok W’et)</w:t>
            </w:r>
          </w:p>
        </w:tc>
      </w:tr>
      <w:tr>
        <w:trPr>
          <w:trHeight w:val="252" w:hRule="exact"/>
        </w:trPr>
        <w:tc>
          <w:tcPr>
            <w:tcW w:w="8829" w:type="dxa"/>
          </w:tcPr>
          <w:p>
            <w:pPr>
              <w:pStyle w:val="TableParagraph"/>
              <w:spacing w:line="240" w:lineRule="exact"/>
              <w:rPr>
                <w:sz w:val="20"/>
              </w:rPr>
            </w:pPr>
            <w:r>
              <w:rPr>
                <w:sz w:val="20"/>
              </w:rPr>
              <w:t>70.</w:t>
            </w:r>
            <w:r>
              <w:rPr>
                <w:spacing w:val="-52"/>
                <w:sz w:val="20"/>
              </w:rPr>
              <w:t> </w:t>
            </w:r>
            <w:r>
              <w:rPr>
                <w:sz w:val="20"/>
              </w:rPr>
              <w:t>Misión Las Vertientes</w:t>
            </w:r>
          </w:p>
        </w:tc>
      </w:tr>
      <w:tr>
        <w:trPr>
          <w:trHeight w:val="254" w:hRule="exact"/>
        </w:trPr>
        <w:tc>
          <w:tcPr>
            <w:tcW w:w="8829" w:type="dxa"/>
          </w:tcPr>
          <w:p>
            <w:pPr>
              <w:pStyle w:val="TableParagraph"/>
              <w:spacing w:line="242" w:lineRule="exact"/>
              <w:rPr>
                <w:sz w:val="20"/>
              </w:rPr>
            </w:pPr>
            <w:r>
              <w:rPr>
                <w:sz w:val="20"/>
              </w:rPr>
              <w:t>71.</w:t>
            </w:r>
            <w:r>
              <w:rPr>
                <w:spacing w:val="-56"/>
                <w:sz w:val="20"/>
              </w:rPr>
              <w:t> </w:t>
            </w:r>
            <w:r>
              <w:rPr>
                <w:sz w:val="20"/>
              </w:rPr>
              <w:t>Misión Nueva Vida (Tsofwa Tanu (2))</w:t>
            </w:r>
          </w:p>
        </w:tc>
      </w:tr>
      <w:tr>
        <w:trPr>
          <w:trHeight w:val="252" w:hRule="exact"/>
        </w:trPr>
        <w:tc>
          <w:tcPr>
            <w:tcW w:w="8829" w:type="dxa"/>
          </w:tcPr>
          <w:p>
            <w:pPr>
              <w:pStyle w:val="TableParagraph"/>
              <w:spacing w:line="240" w:lineRule="exact"/>
              <w:rPr>
                <w:sz w:val="20"/>
              </w:rPr>
            </w:pPr>
            <w:r>
              <w:rPr>
                <w:sz w:val="20"/>
              </w:rPr>
              <w:t>72.</w:t>
            </w:r>
            <w:r>
              <w:rPr>
                <w:spacing w:val="-59"/>
                <w:sz w:val="20"/>
              </w:rPr>
              <w:t> </w:t>
            </w:r>
            <w:r>
              <w:rPr>
                <w:sz w:val="20"/>
              </w:rPr>
              <w:t>Misión Pozo El Tigre (Ex Barrio Pozo El Tigre)</w:t>
            </w:r>
          </w:p>
        </w:tc>
      </w:tr>
      <w:tr>
        <w:trPr>
          <w:trHeight w:val="254" w:hRule="exact"/>
        </w:trPr>
        <w:tc>
          <w:tcPr>
            <w:tcW w:w="8829" w:type="dxa"/>
          </w:tcPr>
          <w:p>
            <w:pPr>
              <w:pStyle w:val="TableParagraph"/>
              <w:spacing w:line="240" w:lineRule="exact"/>
              <w:rPr>
                <w:sz w:val="20"/>
              </w:rPr>
            </w:pPr>
            <w:r>
              <w:rPr>
                <w:sz w:val="20"/>
              </w:rPr>
              <w:t>73.</w:t>
            </w:r>
            <w:r>
              <w:rPr>
                <w:spacing w:val="-50"/>
                <w:sz w:val="20"/>
              </w:rPr>
              <w:t> </w:t>
            </w:r>
            <w:r>
              <w:rPr>
                <w:sz w:val="20"/>
              </w:rPr>
              <w:t>Misión Rancho El Ñato</w:t>
            </w:r>
          </w:p>
        </w:tc>
      </w:tr>
      <w:tr>
        <w:trPr>
          <w:trHeight w:val="252" w:hRule="exact"/>
        </w:trPr>
        <w:tc>
          <w:tcPr>
            <w:tcW w:w="8829" w:type="dxa"/>
          </w:tcPr>
          <w:p>
            <w:pPr>
              <w:pStyle w:val="TableParagraph"/>
              <w:spacing w:line="240" w:lineRule="exact"/>
              <w:rPr>
                <w:sz w:val="20"/>
              </w:rPr>
            </w:pPr>
            <w:r>
              <w:rPr>
                <w:sz w:val="20"/>
              </w:rPr>
              <w:t>74. Misión San Andrés</w:t>
            </w:r>
          </w:p>
        </w:tc>
      </w:tr>
      <w:tr>
        <w:trPr>
          <w:trHeight w:val="254" w:hRule="exact"/>
        </w:trPr>
        <w:tc>
          <w:tcPr>
            <w:tcW w:w="8829" w:type="dxa"/>
          </w:tcPr>
          <w:p>
            <w:pPr>
              <w:pStyle w:val="TableParagraph"/>
              <w:spacing w:line="240" w:lineRule="exact"/>
              <w:rPr>
                <w:sz w:val="20"/>
              </w:rPr>
            </w:pPr>
            <w:r>
              <w:rPr>
                <w:sz w:val="20"/>
              </w:rPr>
              <w:t>75. Misión San Luis (Sop’antes W’et)</w:t>
            </w:r>
          </w:p>
        </w:tc>
      </w:tr>
      <w:tr>
        <w:trPr>
          <w:trHeight w:val="252" w:hRule="exact"/>
        </w:trPr>
        <w:tc>
          <w:tcPr>
            <w:tcW w:w="8829" w:type="dxa"/>
          </w:tcPr>
          <w:p>
            <w:pPr>
              <w:pStyle w:val="TableParagraph"/>
              <w:spacing w:line="240" w:lineRule="exact"/>
              <w:rPr>
                <w:sz w:val="20"/>
              </w:rPr>
            </w:pPr>
            <w:r>
              <w:rPr>
                <w:sz w:val="20"/>
              </w:rPr>
              <w:t>76. Misión Vieja Sta María</w:t>
            </w:r>
          </w:p>
        </w:tc>
      </w:tr>
      <w:tr>
        <w:trPr>
          <w:trHeight w:val="254" w:hRule="exact"/>
        </w:trPr>
        <w:tc>
          <w:tcPr>
            <w:tcW w:w="8829" w:type="dxa"/>
          </w:tcPr>
          <w:p>
            <w:pPr>
              <w:pStyle w:val="TableParagraph"/>
              <w:spacing w:line="240" w:lineRule="exact"/>
              <w:rPr>
                <w:sz w:val="20"/>
              </w:rPr>
            </w:pPr>
            <w:r>
              <w:rPr>
                <w:sz w:val="20"/>
              </w:rPr>
              <w:t>77. Mistolar</w:t>
            </w:r>
          </w:p>
        </w:tc>
      </w:tr>
      <w:tr>
        <w:trPr>
          <w:trHeight w:val="253" w:hRule="exact"/>
        </w:trPr>
        <w:tc>
          <w:tcPr>
            <w:tcW w:w="8829" w:type="dxa"/>
          </w:tcPr>
          <w:p>
            <w:pPr>
              <w:pStyle w:val="TableParagraph"/>
              <w:spacing w:line="240" w:lineRule="exact"/>
              <w:rPr>
                <w:sz w:val="20"/>
              </w:rPr>
            </w:pPr>
            <w:r>
              <w:rPr>
                <w:sz w:val="20"/>
              </w:rPr>
              <w:t>78.</w:t>
            </w:r>
            <w:r>
              <w:rPr>
                <w:spacing w:val="-53"/>
                <w:sz w:val="20"/>
              </w:rPr>
              <w:t> </w:t>
            </w:r>
            <w:r>
              <w:rPr>
                <w:sz w:val="20"/>
              </w:rPr>
              <w:t>Monte Carmelo (Toba)</w:t>
            </w:r>
          </w:p>
        </w:tc>
      </w:tr>
      <w:tr>
        <w:trPr>
          <w:trHeight w:val="274" w:hRule="exact"/>
        </w:trPr>
        <w:tc>
          <w:tcPr>
            <w:tcW w:w="8829" w:type="dxa"/>
          </w:tcPr>
          <w:p>
            <w:pPr>
              <w:pStyle w:val="TableParagraph"/>
              <w:spacing w:line="240" w:lineRule="exact"/>
              <w:rPr>
                <w:sz w:val="20"/>
              </w:rPr>
            </w:pPr>
            <w:r>
              <w:rPr>
                <w:sz w:val="20"/>
              </w:rPr>
              <w:t>79. Monteverde</w:t>
            </w:r>
          </w:p>
        </w:tc>
      </w:tr>
      <w:tr>
        <w:trPr>
          <w:trHeight w:val="254" w:hRule="exact"/>
        </w:trPr>
        <w:tc>
          <w:tcPr>
            <w:tcW w:w="8829" w:type="dxa"/>
          </w:tcPr>
          <w:p>
            <w:pPr>
              <w:pStyle w:val="TableParagraph"/>
              <w:spacing w:line="240" w:lineRule="exact"/>
              <w:rPr>
                <w:sz w:val="20"/>
              </w:rPr>
            </w:pPr>
            <w:r>
              <w:rPr>
                <w:sz w:val="20"/>
              </w:rPr>
              <w:t>80.</w:t>
            </w:r>
            <w:r>
              <w:rPr>
                <w:spacing w:val="-52"/>
                <w:sz w:val="20"/>
              </w:rPr>
              <w:t> </w:t>
            </w:r>
            <w:r>
              <w:rPr>
                <w:sz w:val="20"/>
              </w:rPr>
              <w:t>Nahak'wek (Vertientes Chica) (Nahak’ wek)</w:t>
            </w:r>
          </w:p>
        </w:tc>
      </w:tr>
      <w:tr>
        <w:trPr>
          <w:trHeight w:val="252" w:hRule="exact"/>
        </w:trPr>
        <w:tc>
          <w:tcPr>
            <w:tcW w:w="8829" w:type="dxa"/>
          </w:tcPr>
          <w:p>
            <w:pPr>
              <w:pStyle w:val="TableParagraph"/>
              <w:spacing w:line="240" w:lineRule="exact"/>
              <w:rPr>
                <w:sz w:val="20"/>
              </w:rPr>
            </w:pPr>
            <w:r>
              <w:rPr>
                <w:sz w:val="20"/>
              </w:rPr>
              <w:t>81. Nueva Esperanza</w:t>
            </w:r>
          </w:p>
        </w:tc>
      </w:tr>
      <w:tr>
        <w:trPr>
          <w:trHeight w:val="252" w:hRule="exact"/>
        </w:trPr>
        <w:tc>
          <w:tcPr>
            <w:tcW w:w="8829" w:type="dxa"/>
          </w:tcPr>
          <w:p>
            <w:pPr>
              <w:pStyle w:val="TableParagraph"/>
              <w:spacing w:line="240" w:lineRule="exact"/>
              <w:rPr>
                <w:sz w:val="20"/>
              </w:rPr>
            </w:pPr>
            <w:r>
              <w:rPr>
                <w:sz w:val="20"/>
              </w:rPr>
              <w:t>82. Padre Coll 1 (Mola Lhat hi)</w:t>
            </w:r>
          </w:p>
        </w:tc>
      </w:tr>
      <w:tr>
        <w:trPr>
          <w:trHeight w:val="254" w:hRule="exact"/>
        </w:trPr>
        <w:tc>
          <w:tcPr>
            <w:tcW w:w="8829" w:type="dxa"/>
          </w:tcPr>
          <w:p>
            <w:pPr>
              <w:pStyle w:val="TableParagraph"/>
              <w:spacing w:line="242" w:lineRule="exact"/>
              <w:rPr>
                <w:sz w:val="20"/>
              </w:rPr>
            </w:pPr>
            <w:r>
              <w:rPr>
                <w:sz w:val="20"/>
              </w:rPr>
              <w:t>83. Padre Coll 2</w:t>
            </w:r>
          </w:p>
        </w:tc>
      </w:tr>
      <w:tr>
        <w:trPr>
          <w:trHeight w:val="252" w:hRule="exact"/>
        </w:trPr>
        <w:tc>
          <w:tcPr>
            <w:tcW w:w="8829" w:type="dxa"/>
          </w:tcPr>
          <w:p>
            <w:pPr>
              <w:pStyle w:val="TableParagraph"/>
              <w:spacing w:line="240" w:lineRule="exact"/>
              <w:rPr>
                <w:sz w:val="20"/>
              </w:rPr>
            </w:pPr>
            <w:r>
              <w:rPr>
                <w:sz w:val="20"/>
              </w:rPr>
              <w:t>84. Palmar</w:t>
            </w:r>
          </w:p>
        </w:tc>
      </w:tr>
      <w:tr>
        <w:trPr>
          <w:trHeight w:val="254" w:hRule="exact"/>
        </w:trPr>
        <w:tc>
          <w:tcPr>
            <w:tcW w:w="8829" w:type="dxa"/>
          </w:tcPr>
          <w:p>
            <w:pPr>
              <w:pStyle w:val="TableParagraph"/>
              <w:spacing w:line="242" w:lineRule="exact"/>
              <w:rPr>
                <w:sz w:val="20"/>
              </w:rPr>
            </w:pPr>
            <w:r>
              <w:rPr>
                <w:sz w:val="20"/>
              </w:rPr>
              <w:t>85. Pelicano</w:t>
            </w:r>
          </w:p>
        </w:tc>
      </w:tr>
      <w:tr>
        <w:trPr>
          <w:trHeight w:val="252" w:hRule="exact"/>
        </w:trPr>
        <w:tc>
          <w:tcPr>
            <w:tcW w:w="8829" w:type="dxa"/>
          </w:tcPr>
          <w:p>
            <w:pPr>
              <w:pStyle w:val="TableParagraph"/>
              <w:spacing w:line="240" w:lineRule="exact"/>
              <w:rPr>
                <w:sz w:val="20"/>
              </w:rPr>
            </w:pPr>
            <w:r>
              <w:rPr>
                <w:sz w:val="20"/>
              </w:rPr>
              <w:t>86. Pomis Jiwet</w:t>
            </w:r>
          </w:p>
        </w:tc>
      </w:tr>
    </w:tbl>
    <w:p>
      <w:pPr>
        <w:spacing w:after="0" w:line="240" w:lineRule="exact"/>
        <w:rPr>
          <w:sz w:val="20"/>
        </w:rPr>
        <w:sectPr>
          <w:pgSz w:w="12240" w:h="15840"/>
          <w:pgMar w:header="0" w:footer="940" w:top="1420" w:bottom="114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9"/>
      </w:tblGrid>
      <w:tr>
        <w:trPr>
          <w:trHeight w:val="254" w:hRule="exact"/>
        </w:trPr>
        <w:tc>
          <w:tcPr>
            <w:tcW w:w="8829" w:type="dxa"/>
          </w:tcPr>
          <w:p>
            <w:pPr>
              <w:pStyle w:val="TableParagraph"/>
              <w:spacing w:line="242" w:lineRule="exact"/>
              <w:rPr>
                <w:sz w:val="20"/>
              </w:rPr>
            </w:pPr>
            <w:r>
              <w:rPr>
                <w:sz w:val="20"/>
              </w:rPr>
              <w:t>87. Pozo El Bravo (Kacha)</w:t>
            </w:r>
          </w:p>
        </w:tc>
      </w:tr>
      <w:tr>
        <w:trPr>
          <w:trHeight w:val="252" w:hRule="exact"/>
        </w:trPr>
        <w:tc>
          <w:tcPr>
            <w:tcW w:w="8829" w:type="dxa"/>
          </w:tcPr>
          <w:p>
            <w:pPr>
              <w:pStyle w:val="TableParagraph"/>
              <w:spacing w:line="240" w:lineRule="exact"/>
              <w:rPr>
                <w:sz w:val="20"/>
              </w:rPr>
            </w:pPr>
            <w:r>
              <w:rPr>
                <w:sz w:val="20"/>
              </w:rPr>
              <w:t>88. Pozo El Mulato (Nowej Lhile)</w:t>
            </w:r>
          </w:p>
        </w:tc>
      </w:tr>
      <w:tr>
        <w:trPr>
          <w:trHeight w:val="254" w:hRule="exact"/>
        </w:trPr>
        <w:tc>
          <w:tcPr>
            <w:tcW w:w="8829" w:type="dxa"/>
          </w:tcPr>
          <w:p>
            <w:pPr>
              <w:pStyle w:val="TableParagraph"/>
              <w:spacing w:line="240" w:lineRule="exact"/>
              <w:rPr>
                <w:sz w:val="20"/>
              </w:rPr>
            </w:pPr>
            <w:r>
              <w:rPr>
                <w:sz w:val="20"/>
              </w:rPr>
              <w:t>89. Pozo El Tigre (Hayäj Lhokwe)</w:t>
            </w:r>
          </w:p>
        </w:tc>
      </w:tr>
      <w:tr>
        <w:trPr>
          <w:trHeight w:val="252" w:hRule="exact"/>
        </w:trPr>
        <w:tc>
          <w:tcPr>
            <w:tcW w:w="8829" w:type="dxa"/>
          </w:tcPr>
          <w:p>
            <w:pPr>
              <w:pStyle w:val="TableParagraph"/>
              <w:spacing w:line="240" w:lineRule="exact"/>
              <w:rPr>
                <w:sz w:val="20"/>
              </w:rPr>
            </w:pPr>
            <w:r>
              <w:rPr>
                <w:sz w:val="20"/>
              </w:rPr>
              <w:t>90. Pozo El Tigre III</w:t>
            </w:r>
          </w:p>
        </w:tc>
      </w:tr>
      <w:tr>
        <w:trPr>
          <w:trHeight w:val="254" w:hRule="exact"/>
        </w:trPr>
        <w:tc>
          <w:tcPr>
            <w:tcW w:w="8829" w:type="dxa"/>
          </w:tcPr>
          <w:p>
            <w:pPr>
              <w:pStyle w:val="TableParagraph"/>
              <w:spacing w:line="240" w:lineRule="exact"/>
              <w:rPr>
                <w:sz w:val="20"/>
              </w:rPr>
            </w:pPr>
            <w:r>
              <w:rPr>
                <w:sz w:val="20"/>
              </w:rPr>
              <w:t>91. Pozo El Toro (Sich’et t’i)</w:t>
            </w:r>
          </w:p>
        </w:tc>
      </w:tr>
      <w:tr>
        <w:trPr>
          <w:trHeight w:val="252" w:hRule="exact"/>
        </w:trPr>
        <w:tc>
          <w:tcPr>
            <w:tcW w:w="8829" w:type="dxa"/>
          </w:tcPr>
          <w:p>
            <w:pPr>
              <w:pStyle w:val="TableParagraph"/>
              <w:spacing w:line="240" w:lineRule="exact"/>
              <w:rPr>
                <w:sz w:val="20"/>
              </w:rPr>
            </w:pPr>
            <w:r>
              <w:rPr>
                <w:sz w:val="20"/>
              </w:rPr>
              <w:t>92. Pozo La China (Pa’i his)</w:t>
            </w:r>
          </w:p>
        </w:tc>
      </w:tr>
      <w:tr>
        <w:trPr>
          <w:trHeight w:val="254" w:hRule="exact"/>
        </w:trPr>
        <w:tc>
          <w:tcPr>
            <w:tcW w:w="8829" w:type="dxa"/>
          </w:tcPr>
          <w:p>
            <w:pPr>
              <w:pStyle w:val="TableParagraph"/>
              <w:spacing w:line="240" w:lineRule="exact"/>
              <w:rPr>
                <w:sz w:val="20"/>
              </w:rPr>
            </w:pPr>
            <w:r>
              <w:rPr>
                <w:sz w:val="20"/>
              </w:rPr>
              <w:t>93. Pozo La China I</w:t>
            </w:r>
          </w:p>
        </w:tc>
      </w:tr>
      <w:tr>
        <w:trPr>
          <w:trHeight w:val="252" w:hRule="exact"/>
        </w:trPr>
        <w:tc>
          <w:tcPr>
            <w:tcW w:w="8829" w:type="dxa"/>
          </w:tcPr>
          <w:p>
            <w:pPr>
              <w:pStyle w:val="TableParagraph"/>
              <w:spacing w:line="240" w:lineRule="exact"/>
              <w:rPr>
                <w:sz w:val="20"/>
              </w:rPr>
            </w:pPr>
            <w:r>
              <w:rPr>
                <w:sz w:val="20"/>
              </w:rPr>
              <w:t>94. Pozo La China II</w:t>
            </w:r>
          </w:p>
        </w:tc>
      </w:tr>
      <w:tr>
        <w:trPr>
          <w:trHeight w:val="252" w:hRule="exact"/>
        </w:trPr>
        <w:tc>
          <w:tcPr>
            <w:tcW w:w="8829" w:type="dxa"/>
          </w:tcPr>
          <w:p>
            <w:pPr>
              <w:pStyle w:val="TableParagraph"/>
              <w:spacing w:line="240" w:lineRule="exact"/>
              <w:rPr>
                <w:sz w:val="20"/>
              </w:rPr>
            </w:pPr>
            <w:r>
              <w:rPr>
                <w:sz w:val="20"/>
              </w:rPr>
              <w:t>95.</w:t>
            </w:r>
            <w:r>
              <w:rPr>
                <w:spacing w:val="-52"/>
                <w:sz w:val="20"/>
              </w:rPr>
              <w:t> </w:t>
            </w:r>
            <w:r>
              <w:rPr>
                <w:sz w:val="20"/>
              </w:rPr>
              <w:t>Pozo La Yegua (Molalhaty)</w:t>
            </w:r>
          </w:p>
        </w:tc>
      </w:tr>
      <w:tr>
        <w:trPr>
          <w:trHeight w:val="254" w:hRule="exact"/>
        </w:trPr>
        <w:tc>
          <w:tcPr>
            <w:tcW w:w="8829" w:type="dxa"/>
          </w:tcPr>
          <w:p>
            <w:pPr>
              <w:pStyle w:val="TableParagraph"/>
              <w:spacing w:line="242" w:lineRule="exact"/>
              <w:rPr>
                <w:sz w:val="20"/>
              </w:rPr>
            </w:pPr>
            <w:r>
              <w:rPr>
                <w:sz w:val="20"/>
              </w:rPr>
              <w:t>96. Puesto Nuevo</w:t>
            </w:r>
          </w:p>
        </w:tc>
      </w:tr>
      <w:tr>
        <w:trPr>
          <w:trHeight w:val="252" w:hRule="exact"/>
        </w:trPr>
        <w:tc>
          <w:tcPr>
            <w:tcW w:w="8829" w:type="dxa"/>
          </w:tcPr>
          <w:p>
            <w:pPr>
              <w:pStyle w:val="TableParagraph"/>
              <w:spacing w:line="240" w:lineRule="exact"/>
              <w:rPr>
                <w:sz w:val="20"/>
              </w:rPr>
            </w:pPr>
            <w:r>
              <w:rPr>
                <w:sz w:val="20"/>
              </w:rPr>
              <w:t>97. Puesto Nuevo 1 - San Luis</w:t>
            </w:r>
          </w:p>
        </w:tc>
      </w:tr>
      <w:tr>
        <w:trPr>
          <w:trHeight w:val="254" w:hRule="exact"/>
        </w:trPr>
        <w:tc>
          <w:tcPr>
            <w:tcW w:w="8829" w:type="dxa"/>
          </w:tcPr>
          <w:p>
            <w:pPr>
              <w:pStyle w:val="TableParagraph"/>
              <w:spacing w:line="240" w:lineRule="exact"/>
              <w:rPr>
                <w:sz w:val="20"/>
              </w:rPr>
            </w:pPr>
            <w:r>
              <w:rPr>
                <w:sz w:val="20"/>
              </w:rPr>
              <w:t>98. Puntana Central</w:t>
            </w:r>
          </w:p>
        </w:tc>
      </w:tr>
      <w:tr>
        <w:trPr>
          <w:trHeight w:val="252" w:hRule="exact"/>
        </w:trPr>
        <w:tc>
          <w:tcPr>
            <w:tcW w:w="8829" w:type="dxa"/>
          </w:tcPr>
          <w:p>
            <w:pPr>
              <w:pStyle w:val="TableParagraph"/>
              <w:spacing w:line="240" w:lineRule="exact"/>
              <w:rPr>
                <w:sz w:val="20"/>
              </w:rPr>
            </w:pPr>
            <w:r>
              <w:rPr>
                <w:sz w:val="20"/>
              </w:rPr>
              <w:t>99.</w:t>
            </w:r>
            <w:r>
              <w:rPr>
                <w:spacing w:val="-52"/>
                <w:sz w:val="20"/>
              </w:rPr>
              <w:t> </w:t>
            </w:r>
            <w:r>
              <w:rPr>
                <w:sz w:val="20"/>
              </w:rPr>
              <w:t>Puntana Chica (Wichí w’et wumek)</w:t>
            </w:r>
          </w:p>
        </w:tc>
      </w:tr>
      <w:tr>
        <w:trPr>
          <w:trHeight w:val="254" w:hRule="exact"/>
        </w:trPr>
        <w:tc>
          <w:tcPr>
            <w:tcW w:w="8829" w:type="dxa"/>
          </w:tcPr>
          <w:p>
            <w:pPr>
              <w:pStyle w:val="TableParagraph"/>
              <w:spacing w:line="240" w:lineRule="exact"/>
              <w:ind w:left="386"/>
              <w:rPr>
                <w:sz w:val="20"/>
              </w:rPr>
            </w:pPr>
            <w:r>
              <w:rPr>
                <w:sz w:val="20"/>
              </w:rPr>
              <w:t>100.  Puntana Nueva</w:t>
            </w:r>
          </w:p>
        </w:tc>
      </w:tr>
      <w:tr>
        <w:trPr>
          <w:trHeight w:val="253" w:hRule="exact"/>
        </w:trPr>
        <w:tc>
          <w:tcPr>
            <w:tcW w:w="8829" w:type="dxa"/>
          </w:tcPr>
          <w:p>
            <w:pPr>
              <w:pStyle w:val="TableParagraph"/>
              <w:spacing w:line="240" w:lineRule="exact"/>
              <w:ind w:left="386"/>
              <w:rPr>
                <w:sz w:val="20"/>
              </w:rPr>
            </w:pPr>
            <w:r>
              <w:rPr>
                <w:sz w:val="20"/>
              </w:rPr>
              <w:t>101.  Puntana II</w:t>
            </w:r>
          </w:p>
        </w:tc>
      </w:tr>
      <w:tr>
        <w:trPr>
          <w:trHeight w:val="274" w:hRule="exact"/>
        </w:trPr>
        <w:tc>
          <w:tcPr>
            <w:tcW w:w="8829" w:type="dxa"/>
          </w:tcPr>
          <w:p>
            <w:pPr>
              <w:pStyle w:val="TableParagraph"/>
              <w:spacing w:line="240" w:lineRule="exact"/>
              <w:ind w:left="386"/>
              <w:rPr>
                <w:sz w:val="20"/>
              </w:rPr>
            </w:pPr>
            <w:r>
              <w:rPr>
                <w:sz w:val="20"/>
              </w:rPr>
              <w:t>102.  Quebrachal 1 (Awutsojakas)</w:t>
            </w:r>
          </w:p>
        </w:tc>
      </w:tr>
      <w:tr>
        <w:trPr>
          <w:trHeight w:val="254" w:hRule="exact"/>
        </w:trPr>
        <w:tc>
          <w:tcPr>
            <w:tcW w:w="8829" w:type="dxa"/>
          </w:tcPr>
          <w:p>
            <w:pPr>
              <w:pStyle w:val="TableParagraph"/>
              <w:spacing w:line="240" w:lineRule="exact"/>
              <w:ind w:left="386"/>
              <w:rPr>
                <w:sz w:val="20"/>
              </w:rPr>
            </w:pPr>
            <w:r>
              <w:rPr>
                <w:sz w:val="20"/>
              </w:rPr>
              <w:t>103.  Quebrachal 2 (Chelhchat)</w:t>
            </w:r>
          </w:p>
        </w:tc>
      </w:tr>
      <w:tr>
        <w:trPr>
          <w:trHeight w:val="252" w:hRule="exact"/>
        </w:trPr>
        <w:tc>
          <w:tcPr>
            <w:tcW w:w="8829" w:type="dxa"/>
          </w:tcPr>
          <w:p>
            <w:pPr>
              <w:pStyle w:val="TableParagraph"/>
              <w:spacing w:line="240" w:lineRule="exact"/>
              <w:ind w:left="386"/>
              <w:rPr>
                <w:sz w:val="20"/>
              </w:rPr>
            </w:pPr>
            <w:r>
              <w:rPr>
                <w:sz w:val="20"/>
              </w:rPr>
              <w:t>104.  Quebrachal III</w:t>
            </w:r>
          </w:p>
        </w:tc>
      </w:tr>
      <w:tr>
        <w:trPr>
          <w:trHeight w:val="254" w:hRule="exact"/>
        </w:trPr>
        <w:tc>
          <w:tcPr>
            <w:tcW w:w="8829" w:type="dxa"/>
          </w:tcPr>
          <w:p>
            <w:pPr>
              <w:pStyle w:val="TableParagraph"/>
              <w:spacing w:line="240" w:lineRule="exact"/>
              <w:ind w:left="386"/>
              <w:rPr>
                <w:sz w:val="20"/>
              </w:rPr>
            </w:pPr>
            <w:r>
              <w:rPr>
                <w:sz w:val="20"/>
              </w:rPr>
              <w:t>105.  Rancho El Ñato (Ho’o Cha’a)</w:t>
            </w:r>
          </w:p>
        </w:tc>
      </w:tr>
      <w:tr>
        <w:trPr>
          <w:trHeight w:val="252" w:hRule="exact"/>
        </w:trPr>
        <w:tc>
          <w:tcPr>
            <w:tcW w:w="8829" w:type="dxa"/>
          </w:tcPr>
          <w:p>
            <w:pPr>
              <w:pStyle w:val="TableParagraph"/>
              <w:spacing w:line="240" w:lineRule="exact"/>
              <w:ind w:left="386"/>
              <w:rPr>
                <w:sz w:val="20"/>
              </w:rPr>
            </w:pPr>
            <w:r>
              <w:rPr>
                <w:sz w:val="20"/>
              </w:rPr>
              <w:t>106. Retiro</w:t>
            </w:r>
          </w:p>
        </w:tc>
      </w:tr>
      <w:tr>
        <w:trPr>
          <w:trHeight w:val="252" w:hRule="exact"/>
        </w:trPr>
        <w:tc>
          <w:tcPr>
            <w:tcW w:w="8829" w:type="dxa"/>
          </w:tcPr>
          <w:p>
            <w:pPr>
              <w:pStyle w:val="TableParagraph"/>
              <w:spacing w:line="240" w:lineRule="exact"/>
              <w:ind w:left="386"/>
              <w:rPr>
                <w:sz w:val="20"/>
              </w:rPr>
            </w:pPr>
            <w:r>
              <w:rPr>
                <w:sz w:val="20"/>
              </w:rPr>
              <w:t>107.  Roberto Romero</w:t>
            </w:r>
          </w:p>
        </w:tc>
      </w:tr>
      <w:tr>
        <w:trPr>
          <w:trHeight w:val="254" w:hRule="exact"/>
        </w:trPr>
        <w:tc>
          <w:tcPr>
            <w:tcW w:w="8829" w:type="dxa"/>
          </w:tcPr>
          <w:p>
            <w:pPr>
              <w:pStyle w:val="TableParagraph"/>
              <w:spacing w:line="242" w:lineRule="exact"/>
              <w:ind w:left="386"/>
              <w:rPr>
                <w:sz w:val="20"/>
              </w:rPr>
            </w:pPr>
            <w:r>
              <w:rPr>
                <w:sz w:val="20"/>
              </w:rPr>
              <w:t>108.  Sauce (Sichuyukat)</w:t>
            </w:r>
          </w:p>
        </w:tc>
      </w:tr>
      <w:tr>
        <w:trPr>
          <w:trHeight w:val="252" w:hRule="exact"/>
        </w:trPr>
        <w:tc>
          <w:tcPr>
            <w:tcW w:w="8829" w:type="dxa"/>
          </w:tcPr>
          <w:p>
            <w:pPr>
              <w:pStyle w:val="TableParagraph"/>
              <w:spacing w:line="240" w:lineRule="exact"/>
              <w:ind w:left="386"/>
              <w:rPr>
                <w:sz w:val="20"/>
              </w:rPr>
            </w:pPr>
            <w:r>
              <w:rPr>
                <w:sz w:val="20"/>
              </w:rPr>
              <w:t>109.  San Bernardo</w:t>
            </w:r>
          </w:p>
        </w:tc>
      </w:tr>
      <w:tr>
        <w:trPr>
          <w:trHeight w:val="254" w:hRule="exact"/>
        </w:trPr>
        <w:tc>
          <w:tcPr>
            <w:tcW w:w="8829" w:type="dxa"/>
          </w:tcPr>
          <w:p>
            <w:pPr>
              <w:pStyle w:val="TableParagraph"/>
              <w:spacing w:line="242" w:lineRule="exact"/>
              <w:ind w:left="386"/>
              <w:rPr>
                <w:sz w:val="20"/>
              </w:rPr>
            </w:pPr>
            <w:r>
              <w:rPr>
                <w:sz w:val="20"/>
              </w:rPr>
              <w:t>110.  San Emilio</w:t>
            </w:r>
          </w:p>
        </w:tc>
      </w:tr>
      <w:tr>
        <w:trPr>
          <w:trHeight w:val="252" w:hRule="exact"/>
        </w:trPr>
        <w:tc>
          <w:tcPr>
            <w:tcW w:w="8829" w:type="dxa"/>
          </w:tcPr>
          <w:p>
            <w:pPr>
              <w:pStyle w:val="TableParagraph"/>
              <w:spacing w:line="240" w:lineRule="exact"/>
              <w:ind w:left="386"/>
              <w:rPr>
                <w:sz w:val="20"/>
              </w:rPr>
            </w:pPr>
            <w:r>
              <w:rPr>
                <w:sz w:val="20"/>
              </w:rPr>
              <w:t>111.  San Ignacio</w:t>
            </w:r>
          </w:p>
        </w:tc>
      </w:tr>
      <w:tr>
        <w:trPr>
          <w:trHeight w:val="254" w:hRule="exact"/>
        </w:trPr>
        <w:tc>
          <w:tcPr>
            <w:tcW w:w="8829" w:type="dxa"/>
          </w:tcPr>
          <w:p>
            <w:pPr>
              <w:pStyle w:val="TableParagraph"/>
              <w:spacing w:line="240" w:lineRule="exact"/>
              <w:ind w:left="386"/>
              <w:rPr>
                <w:sz w:val="20"/>
              </w:rPr>
            </w:pPr>
            <w:r>
              <w:rPr>
                <w:sz w:val="20"/>
              </w:rPr>
              <w:t>112.  San Ignacio 2</w:t>
            </w:r>
          </w:p>
        </w:tc>
      </w:tr>
      <w:tr>
        <w:trPr>
          <w:trHeight w:val="252" w:hRule="exact"/>
        </w:trPr>
        <w:tc>
          <w:tcPr>
            <w:tcW w:w="8829" w:type="dxa"/>
          </w:tcPr>
          <w:p>
            <w:pPr>
              <w:pStyle w:val="TableParagraph"/>
              <w:spacing w:line="240" w:lineRule="exact"/>
              <w:ind w:left="386"/>
              <w:rPr>
                <w:sz w:val="20"/>
              </w:rPr>
            </w:pPr>
            <w:r>
              <w:rPr>
                <w:sz w:val="20"/>
              </w:rPr>
              <w:t>113.  San Lorenzo</w:t>
            </w:r>
          </w:p>
        </w:tc>
      </w:tr>
      <w:tr>
        <w:trPr>
          <w:trHeight w:val="254" w:hRule="exact"/>
        </w:trPr>
        <w:tc>
          <w:tcPr>
            <w:tcW w:w="8829" w:type="dxa"/>
          </w:tcPr>
          <w:p>
            <w:pPr>
              <w:pStyle w:val="TableParagraph"/>
              <w:spacing w:line="240" w:lineRule="exact"/>
              <w:ind w:left="386"/>
              <w:rPr>
                <w:sz w:val="20"/>
              </w:rPr>
            </w:pPr>
            <w:r>
              <w:rPr>
                <w:sz w:val="20"/>
              </w:rPr>
              <w:t>114.  San Luis Central</w:t>
            </w:r>
          </w:p>
        </w:tc>
      </w:tr>
      <w:tr>
        <w:trPr>
          <w:trHeight w:val="252" w:hRule="exact"/>
        </w:trPr>
        <w:tc>
          <w:tcPr>
            <w:tcW w:w="8829" w:type="dxa"/>
          </w:tcPr>
          <w:p>
            <w:pPr>
              <w:pStyle w:val="TableParagraph"/>
              <w:spacing w:line="240" w:lineRule="exact"/>
              <w:ind w:left="386"/>
              <w:rPr>
                <w:sz w:val="20"/>
              </w:rPr>
            </w:pPr>
            <w:r>
              <w:rPr>
                <w:sz w:val="20"/>
              </w:rPr>
              <w:t>115.  San Martin (La Invernada)</w:t>
            </w:r>
          </w:p>
        </w:tc>
      </w:tr>
      <w:tr>
        <w:trPr>
          <w:trHeight w:val="252" w:hRule="exact"/>
        </w:trPr>
        <w:tc>
          <w:tcPr>
            <w:tcW w:w="8829" w:type="dxa"/>
          </w:tcPr>
          <w:p>
            <w:pPr>
              <w:pStyle w:val="TableParagraph"/>
              <w:spacing w:line="240" w:lineRule="exact"/>
              <w:ind w:left="386"/>
              <w:rPr>
                <w:sz w:val="20"/>
              </w:rPr>
            </w:pPr>
            <w:r>
              <w:rPr>
                <w:sz w:val="20"/>
              </w:rPr>
              <w:t>116.  San Miguel (Waj Lhokwe)</w:t>
            </w:r>
          </w:p>
        </w:tc>
      </w:tr>
      <w:tr>
        <w:trPr>
          <w:trHeight w:val="254" w:hRule="exact"/>
        </w:trPr>
        <w:tc>
          <w:tcPr>
            <w:tcW w:w="8829" w:type="dxa"/>
          </w:tcPr>
          <w:p>
            <w:pPr>
              <w:pStyle w:val="TableParagraph"/>
              <w:spacing w:line="242" w:lineRule="exact"/>
              <w:ind w:left="386"/>
              <w:rPr>
                <w:sz w:val="20"/>
              </w:rPr>
            </w:pPr>
            <w:r>
              <w:rPr>
                <w:sz w:val="20"/>
              </w:rPr>
              <w:t>117.  San Miguel Chico</w:t>
            </w:r>
          </w:p>
        </w:tc>
      </w:tr>
      <w:tr>
        <w:trPr>
          <w:trHeight w:val="252" w:hRule="exact"/>
        </w:trPr>
        <w:tc>
          <w:tcPr>
            <w:tcW w:w="8829" w:type="dxa"/>
          </w:tcPr>
          <w:p>
            <w:pPr>
              <w:pStyle w:val="TableParagraph"/>
              <w:spacing w:line="240" w:lineRule="exact"/>
              <w:ind w:left="386"/>
              <w:rPr>
                <w:sz w:val="20"/>
              </w:rPr>
            </w:pPr>
            <w:r>
              <w:rPr>
                <w:sz w:val="20"/>
              </w:rPr>
              <w:t>118.  San Rafael</w:t>
            </w:r>
          </w:p>
        </w:tc>
      </w:tr>
      <w:tr>
        <w:trPr>
          <w:trHeight w:val="254" w:hRule="exact"/>
        </w:trPr>
        <w:tc>
          <w:tcPr>
            <w:tcW w:w="8829" w:type="dxa"/>
          </w:tcPr>
          <w:p>
            <w:pPr>
              <w:pStyle w:val="TableParagraph"/>
              <w:spacing w:line="242" w:lineRule="exact"/>
              <w:ind w:left="386"/>
              <w:rPr>
                <w:sz w:val="20"/>
              </w:rPr>
            </w:pPr>
            <w:r>
              <w:rPr>
                <w:sz w:val="20"/>
              </w:rPr>
              <w:t>119.  Santa María Chica</w:t>
            </w:r>
          </w:p>
        </w:tc>
      </w:tr>
      <w:tr>
        <w:trPr>
          <w:trHeight w:val="252" w:hRule="exact"/>
        </w:trPr>
        <w:tc>
          <w:tcPr>
            <w:tcW w:w="8829" w:type="dxa"/>
          </w:tcPr>
          <w:p>
            <w:pPr>
              <w:pStyle w:val="TableParagraph"/>
              <w:spacing w:line="240" w:lineRule="exact"/>
              <w:ind w:left="386"/>
              <w:rPr>
                <w:sz w:val="20"/>
              </w:rPr>
            </w:pPr>
            <w:r>
              <w:rPr>
                <w:sz w:val="20"/>
              </w:rPr>
              <w:t>120.  Santa Victoria Este I (Notsoj)</w:t>
            </w:r>
          </w:p>
        </w:tc>
      </w:tr>
      <w:tr>
        <w:trPr>
          <w:trHeight w:val="254" w:hRule="exact"/>
        </w:trPr>
        <w:tc>
          <w:tcPr>
            <w:tcW w:w="8829" w:type="dxa"/>
          </w:tcPr>
          <w:p>
            <w:pPr>
              <w:pStyle w:val="TableParagraph"/>
              <w:spacing w:line="240" w:lineRule="exact"/>
              <w:ind w:left="386"/>
              <w:rPr>
                <w:sz w:val="20"/>
              </w:rPr>
            </w:pPr>
            <w:r>
              <w:rPr>
                <w:sz w:val="20"/>
              </w:rPr>
              <w:t>121.  Santa Victoria II</w:t>
            </w:r>
          </w:p>
        </w:tc>
      </w:tr>
      <w:tr>
        <w:trPr>
          <w:trHeight w:val="252" w:hRule="exact"/>
        </w:trPr>
        <w:tc>
          <w:tcPr>
            <w:tcW w:w="8829" w:type="dxa"/>
          </w:tcPr>
          <w:p>
            <w:pPr>
              <w:pStyle w:val="TableParagraph"/>
              <w:spacing w:line="240" w:lineRule="exact"/>
              <w:ind w:left="386"/>
              <w:rPr>
                <w:sz w:val="20"/>
              </w:rPr>
            </w:pPr>
            <w:r>
              <w:rPr>
                <w:sz w:val="20"/>
              </w:rPr>
              <w:t>122. Sepak</w:t>
            </w:r>
          </w:p>
        </w:tc>
      </w:tr>
      <w:tr>
        <w:trPr>
          <w:trHeight w:val="254" w:hRule="exact"/>
        </w:trPr>
        <w:tc>
          <w:tcPr>
            <w:tcW w:w="8829" w:type="dxa"/>
          </w:tcPr>
          <w:p>
            <w:pPr>
              <w:pStyle w:val="TableParagraph"/>
              <w:spacing w:line="240" w:lineRule="exact"/>
              <w:ind w:left="386"/>
              <w:rPr>
                <w:sz w:val="20"/>
              </w:rPr>
            </w:pPr>
            <w:r>
              <w:rPr>
                <w:sz w:val="20"/>
              </w:rPr>
              <w:t>123.  Tewok Wichí</w:t>
            </w:r>
          </w:p>
        </w:tc>
      </w:tr>
      <w:tr>
        <w:trPr>
          <w:trHeight w:val="252" w:hRule="exact"/>
        </w:trPr>
        <w:tc>
          <w:tcPr>
            <w:tcW w:w="8829" w:type="dxa"/>
          </w:tcPr>
          <w:p>
            <w:pPr>
              <w:pStyle w:val="TableParagraph"/>
              <w:spacing w:line="240" w:lineRule="exact"/>
              <w:ind w:left="386"/>
              <w:rPr>
                <w:sz w:val="20"/>
              </w:rPr>
            </w:pPr>
            <w:r>
              <w:rPr>
                <w:sz w:val="20"/>
              </w:rPr>
              <w:t>124.  Vertientes IV</w:t>
            </w:r>
          </w:p>
        </w:tc>
      </w:tr>
      <w:tr>
        <w:trPr>
          <w:trHeight w:val="252" w:hRule="exact"/>
        </w:trPr>
        <w:tc>
          <w:tcPr>
            <w:tcW w:w="8829" w:type="dxa"/>
          </w:tcPr>
          <w:p>
            <w:pPr>
              <w:pStyle w:val="TableParagraph"/>
              <w:spacing w:line="240" w:lineRule="exact"/>
              <w:ind w:left="386"/>
              <w:rPr>
                <w:sz w:val="20"/>
              </w:rPr>
            </w:pPr>
            <w:r>
              <w:rPr>
                <w:sz w:val="20"/>
              </w:rPr>
              <w:t>125. Yuchan</w:t>
            </w:r>
          </w:p>
        </w:tc>
      </w:tr>
      <w:tr>
        <w:trPr>
          <w:trHeight w:val="254" w:hRule="exact"/>
        </w:trPr>
        <w:tc>
          <w:tcPr>
            <w:tcW w:w="8829" w:type="dxa"/>
          </w:tcPr>
          <w:p>
            <w:pPr>
              <w:pStyle w:val="TableParagraph"/>
              <w:spacing w:line="242" w:lineRule="exact"/>
              <w:ind w:left="386"/>
              <w:rPr>
                <w:sz w:val="20"/>
              </w:rPr>
            </w:pPr>
            <w:r>
              <w:rPr>
                <w:sz w:val="20"/>
              </w:rPr>
              <w:t>126.  2 De Agosto Ruta 54</w:t>
            </w:r>
          </w:p>
        </w:tc>
      </w:tr>
      <w:tr>
        <w:trPr>
          <w:trHeight w:val="252" w:hRule="exact"/>
        </w:trPr>
        <w:tc>
          <w:tcPr>
            <w:tcW w:w="8829" w:type="dxa"/>
          </w:tcPr>
          <w:p>
            <w:pPr>
              <w:pStyle w:val="TableParagraph"/>
              <w:spacing w:line="240" w:lineRule="exact"/>
              <w:ind w:left="386"/>
              <w:rPr>
                <w:sz w:val="20"/>
              </w:rPr>
            </w:pPr>
            <w:r>
              <w:rPr>
                <w:sz w:val="20"/>
              </w:rPr>
              <w:t>127.  3 De Febrero</w:t>
            </w:r>
          </w:p>
        </w:tc>
      </w:tr>
      <w:tr>
        <w:trPr>
          <w:trHeight w:val="254" w:hRule="exact"/>
        </w:trPr>
        <w:tc>
          <w:tcPr>
            <w:tcW w:w="8829" w:type="dxa"/>
          </w:tcPr>
          <w:p>
            <w:pPr>
              <w:pStyle w:val="TableParagraph"/>
              <w:spacing w:line="242" w:lineRule="exact"/>
              <w:ind w:left="386"/>
              <w:rPr>
                <w:sz w:val="20"/>
              </w:rPr>
            </w:pPr>
            <w:r>
              <w:rPr>
                <w:sz w:val="20"/>
              </w:rPr>
              <w:t>128.  3 De Septiembre</w:t>
            </w:r>
          </w:p>
        </w:tc>
      </w:tr>
      <w:tr>
        <w:trPr>
          <w:trHeight w:val="253" w:hRule="exact"/>
        </w:trPr>
        <w:tc>
          <w:tcPr>
            <w:tcW w:w="8829" w:type="dxa"/>
          </w:tcPr>
          <w:p>
            <w:pPr>
              <w:pStyle w:val="TableParagraph"/>
              <w:spacing w:line="240" w:lineRule="exact"/>
              <w:ind w:left="386"/>
              <w:rPr>
                <w:sz w:val="20"/>
              </w:rPr>
            </w:pPr>
            <w:r>
              <w:rPr>
                <w:sz w:val="20"/>
              </w:rPr>
              <w:t>129.  12 De Agosto</w:t>
            </w:r>
          </w:p>
        </w:tc>
      </w:tr>
      <w:tr>
        <w:trPr>
          <w:trHeight w:val="254" w:hRule="exact"/>
        </w:trPr>
        <w:tc>
          <w:tcPr>
            <w:tcW w:w="8829" w:type="dxa"/>
          </w:tcPr>
          <w:p>
            <w:pPr>
              <w:pStyle w:val="TableParagraph"/>
              <w:spacing w:line="240" w:lineRule="exact"/>
              <w:ind w:left="386"/>
              <w:rPr>
                <w:sz w:val="20"/>
              </w:rPr>
            </w:pPr>
            <w:r>
              <w:rPr>
                <w:sz w:val="20"/>
              </w:rPr>
              <w:t>130.  13 De Enero "Mecle"</w:t>
            </w:r>
          </w:p>
        </w:tc>
      </w:tr>
      <w:tr>
        <w:trPr>
          <w:trHeight w:val="252" w:hRule="exact"/>
        </w:trPr>
        <w:tc>
          <w:tcPr>
            <w:tcW w:w="8829" w:type="dxa"/>
          </w:tcPr>
          <w:p>
            <w:pPr>
              <w:pStyle w:val="TableParagraph"/>
              <w:spacing w:line="240" w:lineRule="exact"/>
              <w:ind w:left="386"/>
              <w:rPr>
                <w:sz w:val="20"/>
              </w:rPr>
            </w:pPr>
            <w:r>
              <w:rPr>
                <w:sz w:val="20"/>
              </w:rPr>
              <w:t>131.  23 De Junio</w:t>
            </w:r>
          </w:p>
        </w:tc>
      </w:tr>
      <w:tr>
        <w:trPr>
          <w:trHeight w:val="254" w:hRule="exact"/>
        </w:trPr>
        <w:tc>
          <w:tcPr>
            <w:tcW w:w="8829" w:type="dxa"/>
          </w:tcPr>
          <w:p>
            <w:pPr>
              <w:pStyle w:val="TableParagraph"/>
              <w:spacing w:line="240" w:lineRule="exact"/>
              <w:ind w:left="386"/>
              <w:rPr>
                <w:sz w:val="20"/>
              </w:rPr>
            </w:pPr>
            <w:r>
              <w:rPr>
                <w:sz w:val="20"/>
              </w:rPr>
              <w:t>132.  27 De Junio</w:t>
            </w:r>
          </w:p>
        </w:tc>
      </w:tr>
    </w:tbl>
    <w:p>
      <w:pPr>
        <w:spacing w:after="0" w:line="240" w:lineRule="exact"/>
        <w:rPr>
          <w:sz w:val="20"/>
        </w:rPr>
        <w:sectPr>
          <w:pgSz w:w="12240" w:h="15840"/>
          <w:pgMar w:header="0" w:footer="940" w:top="1420" w:bottom="1140" w:left="1600" w:right="1580"/>
        </w:sectPr>
      </w:pPr>
    </w:p>
    <w:p>
      <w:pPr>
        <w:pStyle w:val="BodyText"/>
        <w:spacing w:before="3"/>
        <w:rPr>
          <w:sz w:val="8"/>
        </w:rPr>
      </w:pPr>
    </w:p>
    <w:p>
      <w:pPr>
        <w:pStyle w:val="Heading1"/>
        <w:spacing w:before="93"/>
        <w:ind w:left="2970" w:right="2978" w:firstLine="612"/>
      </w:pPr>
      <w:bookmarkStart w:name="vsc_pazmino_400_esp" w:id="179"/>
      <w:bookmarkEnd w:id="179"/>
      <w:r>
        <w:rPr>
          <w:b w:val="0"/>
        </w:rPr>
      </w:r>
      <w:r>
        <w:rPr/>
        <w:t>VOTO  CONCURRENTE JUEZ PATRICIO PAZMIÑO FREIRE</w:t>
      </w:r>
    </w:p>
    <w:p>
      <w:pPr>
        <w:pStyle w:val="BodyText"/>
        <w:rPr>
          <w:rFonts w:ascii="Arial"/>
          <w:b/>
          <w:sz w:val="22"/>
        </w:rPr>
      </w:pPr>
    </w:p>
    <w:p>
      <w:pPr>
        <w:spacing w:before="1"/>
        <w:ind w:left="1873" w:right="1928" w:firstLine="786"/>
        <w:jc w:val="left"/>
        <w:rPr>
          <w:rFonts w:ascii="Arial"/>
          <w:b/>
          <w:sz w:val="22"/>
        </w:rPr>
      </w:pPr>
      <w:r>
        <w:rPr>
          <w:rFonts w:ascii="Arial"/>
          <w:b/>
          <w:sz w:val="22"/>
        </w:rPr>
        <w:t>SENTENCIA DE 6 DE FEBRERO DE 2020 CORTE INTERAMERICANA DE DERECHOS HUMANOS</w:t>
      </w:r>
    </w:p>
    <w:p>
      <w:pPr>
        <w:pStyle w:val="BodyText"/>
        <w:rPr>
          <w:rFonts w:ascii="Arial"/>
          <w:b/>
          <w:sz w:val="22"/>
        </w:rPr>
      </w:pPr>
    </w:p>
    <w:p>
      <w:pPr>
        <w:spacing w:before="0"/>
        <w:ind w:left="2842" w:right="0" w:hanging="2530"/>
        <w:jc w:val="left"/>
        <w:rPr>
          <w:rFonts w:ascii="Arial" w:hAnsi="Arial"/>
          <w:b/>
          <w:sz w:val="22"/>
        </w:rPr>
      </w:pPr>
      <w:r>
        <w:rPr>
          <w:rFonts w:ascii="Arial" w:hAnsi="Arial"/>
          <w:b/>
          <w:sz w:val="22"/>
        </w:rPr>
        <w:t>CASO COMUNIDADES INDÍGENAS MIEMBROS DE LA ASOCIACIÓN LHAKA HONHAT (NUESTRA TIERRA) VS. ARGENTINA</w:t>
      </w:r>
    </w:p>
    <w:p>
      <w:pPr>
        <w:pStyle w:val="BodyText"/>
        <w:rPr>
          <w:rFonts w:ascii="Arial"/>
          <w:b/>
          <w:sz w:val="24"/>
        </w:rPr>
      </w:pPr>
    </w:p>
    <w:p>
      <w:pPr>
        <w:pStyle w:val="BodyText"/>
        <w:rPr>
          <w:rFonts w:ascii="Arial"/>
          <w:b/>
        </w:rPr>
      </w:pPr>
    </w:p>
    <w:p>
      <w:pPr>
        <w:pStyle w:val="Heading2"/>
        <w:ind w:left="100" w:right="119"/>
        <w:jc w:val="both"/>
      </w:pPr>
      <w:r>
        <w:rPr/>
        <w:t>PRIMERA. La sentencia del caso </w:t>
      </w:r>
      <w:r>
        <w:rPr>
          <w:i/>
        </w:rPr>
        <w:t>Comunidades Indígenas Miembros De La Asociación Lhaka </w:t>
      </w:r>
      <w:r>
        <w:rPr>
          <w:i/>
        </w:rPr>
        <w:t>Honhat (Nuestra Tierra) Vs. Argentina </w:t>
      </w:r>
      <w:r>
        <w:rPr/>
        <w:t>(en adelante “la Sentencia”) se inscribe dentro de la línea jurisprudencial</w:t>
      </w:r>
      <w:r>
        <w:rPr>
          <w:spacing w:val="-5"/>
        </w:rPr>
        <w:t> </w:t>
      </w:r>
      <w:r>
        <w:rPr/>
        <w:t>adoptada</w:t>
      </w:r>
      <w:r>
        <w:rPr>
          <w:spacing w:val="-7"/>
        </w:rPr>
        <w:t> </w:t>
      </w:r>
      <w:r>
        <w:rPr/>
        <w:t>por</w:t>
      </w:r>
      <w:r>
        <w:rPr>
          <w:spacing w:val="-6"/>
        </w:rPr>
        <w:t> </w:t>
      </w:r>
      <w:r>
        <w:rPr/>
        <w:t>la</w:t>
      </w:r>
      <w:r>
        <w:rPr>
          <w:spacing w:val="-7"/>
        </w:rPr>
        <w:t> </w:t>
      </w:r>
      <w:r>
        <w:rPr/>
        <w:t>Corte</w:t>
      </w:r>
      <w:r>
        <w:rPr>
          <w:spacing w:val="-6"/>
        </w:rPr>
        <w:t> </w:t>
      </w:r>
      <w:r>
        <w:rPr/>
        <w:t>Interamericana</w:t>
      </w:r>
      <w:r>
        <w:rPr>
          <w:spacing w:val="-6"/>
        </w:rPr>
        <w:t> </w:t>
      </w:r>
      <w:r>
        <w:rPr/>
        <w:t>de</w:t>
      </w:r>
      <w:r>
        <w:rPr>
          <w:spacing w:val="-5"/>
        </w:rPr>
        <w:t> </w:t>
      </w:r>
      <w:r>
        <w:rPr/>
        <w:t>Derechos</w:t>
      </w:r>
      <w:r>
        <w:rPr>
          <w:spacing w:val="-5"/>
        </w:rPr>
        <w:t> </w:t>
      </w:r>
      <w:r>
        <w:rPr/>
        <w:t>Humanos</w:t>
      </w:r>
      <w:r>
        <w:rPr>
          <w:spacing w:val="-5"/>
        </w:rPr>
        <w:t> </w:t>
      </w:r>
      <w:r>
        <w:rPr/>
        <w:t>(en</w:t>
      </w:r>
      <w:r>
        <w:rPr>
          <w:spacing w:val="-6"/>
        </w:rPr>
        <w:t> </w:t>
      </w:r>
      <w:r>
        <w:rPr/>
        <w:t>adelante</w:t>
      </w:r>
      <w:r>
        <w:rPr>
          <w:spacing w:val="-6"/>
        </w:rPr>
        <w:t> </w:t>
      </w:r>
      <w:r>
        <w:rPr/>
        <w:t>“Corte IDH”) desde el caso </w:t>
      </w:r>
      <w:r>
        <w:rPr>
          <w:i/>
        </w:rPr>
        <w:t>Lagos del Campo Vs. Perú, </w:t>
      </w:r>
      <w:r>
        <w:rPr/>
        <w:t>a partir del cual se comenzaron a declarar violados derechos económicos, sociales, culturales y ambientales (en adelante “DESCA”) de forma</w:t>
      </w:r>
      <w:r>
        <w:rPr>
          <w:spacing w:val="-12"/>
        </w:rPr>
        <w:t> </w:t>
      </w:r>
      <w:r>
        <w:rPr/>
        <w:t>directa</w:t>
      </w:r>
      <w:r>
        <w:rPr>
          <w:spacing w:val="-12"/>
        </w:rPr>
        <w:t> </w:t>
      </w:r>
      <w:r>
        <w:rPr/>
        <w:t>y</w:t>
      </w:r>
      <w:r>
        <w:rPr>
          <w:spacing w:val="-11"/>
        </w:rPr>
        <w:t> </w:t>
      </w:r>
      <w:r>
        <w:rPr/>
        <w:t>autónoma,</w:t>
      </w:r>
      <w:r>
        <w:rPr>
          <w:spacing w:val="-12"/>
        </w:rPr>
        <w:t> </w:t>
      </w:r>
      <w:r>
        <w:rPr/>
        <w:t>vía</w:t>
      </w:r>
      <w:r>
        <w:rPr>
          <w:spacing w:val="-12"/>
        </w:rPr>
        <w:t> </w:t>
      </w:r>
      <w:r>
        <w:rPr/>
        <w:t>artículo</w:t>
      </w:r>
      <w:r>
        <w:rPr>
          <w:spacing w:val="-12"/>
        </w:rPr>
        <w:t> </w:t>
      </w:r>
      <w:r>
        <w:rPr/>
        <w:t>26</w:t>
      </w:r>
      <w:r>
        <w:rPr>
          <w:spacing w:val="-11"/>
        </w:rPr>
        <w:t> </w:t>
      </w:r>
      <w:r>
        <w:rPr/>
        <w:t>de</w:t>
      </w:r>
      <w:r>
        <w:rPr>
          <w:spacing w:val="-13"/>
        </w:rPr>
        <w:t> </w:t>
      </w:r>
      <w:r>
        <w:rPr/>
        <w:t>la</w:t>
      </w:r>
      <w:r>
        <w:rPr>
          <w:spacing w:val="-12"/>
        </w:rPr>
        <w:t> </w:t>
      </w:r>
      <w:r>
        <w:rPr/>
        <w:t>Convención</w:t>
      </w:r>
      <w:r>
        <w:rPr>
          <w:spacing w:val="-13"/>
        </w:rPr>
        <w:t> </w:t>
      </w:r>
      <w:r>
        <w:rPr/>
        <w:t>Americana</w:t>
      </w:r>
      <w:r>
        <w:rPr>
          <w:spacing w:val="-11"/>
        </w:rPr>
        <w:t> </w:t>
      </w:r>
      <w:r>
        <w:rPr/>
        <w:t>sobre</w:t>
      </w:r>
      <w:r>
        <w:rPr>
          <w:spacing w:val="-12"/>
        </w:rPr>
        <w:t> </w:t>
      </w:r>
      <w:r>
        <w:rPr/>
        <w:t>Derechos</w:t>
      </w:r>
      <w:r>
        <w:rPr>
          <w:spacing w:val="-11"/>
        </w:rPr>
        <w:t> </w:t>
      </w:r>
      <w:r>
        <w:rPr/>
        <w:t>Humanos (en adelante “Convención Americana”). Algunos elementos que forman parte de este pronunciamiento los desarrollé en mi voto parcialmente disidente en el expediente </w:t>
      </w:r>
      <w:r>
        <w:rPr>
          <w:i/>
        </w:rPr>
        <w:t>Hernandez </w:t>
      </w:r>
      <w:r>
        <w:rPr>
          <w:i/>
        </w:rPr>
        <w:t>Vs. Argentina</w:t>
      </w:r>
      <w:r>
        <w:rPr/>
        <w:t>, en el cual también describí, como, con anterioridad al precedente </w:t>
      </w:r>
      <w:r>
        <w:rPr>
          <w:i/>
        </w:rPr>
        <w:t>Lagos del </w:t>
      </w:r>
      <w:r>
        <w:rPr>
          <w:i/>
        </w:rPr>
        <w:t>Campo</w:t>
      </w:r>
      <w:r>
        <w:rPr>
          <w:i/>
          <w:spacing w:val="-5"/>
        </w:rPr>
        <w:t> </w:t>
      </w:r>
      <w:r>
        <w:rPr>
          <w:i/>
        </w:rPr>
        <w:t>Vs.</w:t>
      </w:r>
      <w:r>
        <w:rPr>
          <w:i/>
          <w:spacing w:val="-5"/>
        </w:rPr>
        <w:t> </w:t>
      </w:r>
      <w:r>
        <w:rPr>
          <w:i/>
        </w:rPr>
        <w:t>Perú,</w:t>
      </w:r>
      <w:r>
        <w:rPr>
          <w:i/>
          <w:spacing w:val="-6"/>
        </w:rPr>
        <w:t> </w:t>
      </w:r>
      <w:r>
        <w:rPr/>
        <w:t>la</w:t>
      </w:r>
      <w:r>
        <w:rPr>
          <w:spacing w:val="-6"/>
        </w:rPr>
        <w:t> </w:t>
      </w:r>
      <w:r>
        <w:rPr/>
        <w:t>Corte</w:t>
      </w:r>
      <w:r>
        <w:rPr>
          <w:spacing w:val="-6"/>
        </w:rPr>
        <w:t> </w:t>
      </w:r>
      <w:r>
        <w:rPr/>
        <w:t>IDH</w:t>
      </w:r>
      <w:r>
        <w:rPr>
          <w:spacing w:val="-6"/>
        </w:rPr>
        <w:t> </w:t>
      </w:r>
      <w:r>
        <w:rPr/>
        <w:t>analizaba</w:t>
      </w:r>
      <w:r>
        <w:rPr>
          <w:spacing w:val="-6"/>
        </w:rPr>
        <w:t> </w:t>
      </w:r>
      <w:r>
        <w:rPr/>
        <w:t>los</w:t>
      </w:r>
      <w:r>
        <w:rPr>
          <w:spacing w:val="-6"/>
        </w:rPr>
        <w:t> </w:t>
      </w:r>
      <w:r>
        <w:rPr/>
        <w:t>DESCA</w:t>
      </w:r>
      <w:r>
        <w:rPr>
          <w:spacing w:val="-6"/>
        </w:rPr>
        <w:t> </w:t>
      </w:r>
      <w:r>
        <w:rPr/>
        <w:t>vía</w:t>
      </w:r>
      <w:r>
        <w:rPr>
          <w:spacing w:val="-6"/>
        </w:rPr>
        <w:t> </w:t>
      </w:r>
      <w:r>
        <w:rPr/>
        <w:t>indirecta</w:t>
      </w:r>
      <w:r>
        <w:rPr>
          <w:spacing w:val="-6"/>
        </w:rPr>
        <w:t> </w:t>
      </w:r>
      <w:r>
        <w:rPr/>
        <w:t>y</w:t>
      </w:r>
      <w:r>
        <w:rPr>
          <w:spacing w:val="-6"/>
        </w:rPr>
        <w:t> </w:t>
      </w:r>
      <w:r>
        <w:rPr/>
        <w:t>subordinaba</w:t>
      </w:r>
      <w:r>
        <w:rPr>
          <w:spacing w:val="-6"/>
        </w:rPr>
        <w:t> </w:t>
      </w:r>
      <w:r>
        <w:rPr/>
        <w:t>su</w:t>
      </w:r>
      <w:r>
        <w:rPr>
          <w:spacing w:val="-6"/>
        </w:rPr>
        <w:t> </w:t>
      </w:r>
      <w:r>
        <w:rPr/>
        <w:t>violación</w:t>
      </w:r>
      <w:r>
        <w:rPr>
          <w:spacing w:val="-5"/>
        </w:rPr>
        <w:t> </w:t>
      </w:r>
      <w:r>
        <w:rPr/>
        <w:t>a</w:t>
      </w:r>
      <w:r>
        <w:rPr>
          <w:spacing w:val="-6"/>
        </w:rPr>
        <w:t> </w:t>
      </w:r>
      <w:r>
        <w:rPr/>
        <w:t>la existencia de una afectación a los derechos civiles y políticos receptados en la Convención Americana en sus artículos 3 a</w:t>
      </w:r>
      <w:r>
        <w:rPr>
          <w:spacing w:val="-7"/>
        </w:rPr>
        <w:t> </w:t>
      </w:r>
      <w:r>
        <w:rPr/>
        <w:t>25.</w:t>
      </w:r>
    </w:p>
    <w:p>
      <w:pPr>
        <w:pStyle w:val="BodyText"/>
        <w:spacing w:before="10"/>
        <w:rPr>
          <w:rFonts w:ascii="Arial"/>
          <w:sz w:val="21"/>
        </w:rPr>
      </w:pPr>
    </w:p>
    <w:p>
      <w:pPr>
        <w:spacing w:before="0"/>
        <w:ind w:left="100" w:right="119" w:firstLine="0"/>
        <w:jc w:val="both"/>
        <w:rPr>
          <w:rFonts w:ascii="Arial" w:hAnsi="Arial"/>
          <w:sz w:val="22"/>
        </w:rPr>
      </w:pPr>
      <w:r>
        <w:rPr>
          <w:rFonts w:ascii="Arial" w:hAnsi="Arial"/>
          <w:sz w:val="22"/>
        </w:rPr>
        <w:t>SEGUNDA. El novedoso aporte de la Sentencia en comento radica en que por primera vez la Corte IDH declara la responsabilidad del estado por la violación a los derechos a participar en</w:t>
      </w:r>
      <w:r>
        <w:rPr>
          <w:rFonts w:ascii="Arial" w:hAnsi="Arial"/>
          <w:spacing w:val="-42"/>
          <w:sz w:val="22"/>
        </w:rPr>
        <w:t> </w:t>
      </w:r>
      <w:r>
        <w:rPr>
          <w:rFonts w:ascii="Arial" w:hAnsi="Arial"/>
          <w:sz w:val="22"/>
        </w:rPr>
        <w:t>la vida cultural, en lo atinente a su identidad cultural, al medio ambiente sano, a la alimentación adecuada y al agua, declarándolos de acceso por vía directa y como derechos autónomos a partir del artículo 26 de la Convención Americana que</w:t>
      </w:r>
      <w:r>
        <w:rPr>
          <w:rFonts w:ascii="Arial" w:hAnsi="Arial"/>
          <w:spacing w:val="-15"/>
          <w:sz w:val="22"/>
        </w:rPr>
        <w:t> </w:t>
      </w:r>
      <w:r>
        <w:rPr>
          <w:rFonts w:ascii="Arial" w:hAnsi="Arial"/>
          <w:sz w:val="22"/>
        </w:rPr>
        <w:t>establece:</w:t>
      </w:r>
    </w:p>
    <w:p>
      <w:pPr>
        <w:pStyle w:val="BodyText"/>
        <w:spacing w:before="10"/>
        <w:rPr>
          <w:rFonts w:ascii="Arial"/>
          <w:sz w:val="21"/>
        </w:rPr>
      </w:pPr>
    </w:p>
    <w:p>
      <w:pPr>
        <w:spacing w:before="0"/>
        <w:ind w:left="820" w:right="120" w:firstLine="0"/>
        <w:jc w:val="both"/>
        <w:rPr>
          <w:rFonts w:ascii="Arial" w:hAnsi="Arial"/>
          <w:sz w:val="22"/>
        </w:rPr>
      </w:pPr>
      <w:r>
        <w:rPr>
          <w:rFonts w:ascii="Arial" w:hAnsi="Arial"/>
          <w:sz w:val="22"/>
        </w:rPr>
        <w:t>“Desarrollo Progresivo. Los Estados Partes se comprometen a adoptar providencias, tanto a nivel interno como mediante la cooperación internacional, especialmente económica y técnica, para lograr progresivamente la plena efectividad de los derechos que se derivan de las normas económicas, sociales y sobre educación, ciencia y</w:t>
      </w:r>
      <w:r>
        <w:rPr>
          <w:rFonts w:ascii="Arial" w:hAnsi="Arial"/>
          <w:spacing w:val="-33"/>
          <w:sz w:val="22"/>
        </w:rPr>
        <w:t> </w:t>
      </w:r>
      <w:r>
        <w:rPr>
          <w:rFonts w:ascii="Arial" w:hAnsi="Arial"/>
          <w:sz w:val="22"/>
        </w:rPr>
        <w:t>cultura, contenidas en la Carta de la Organización de los Estados Americanos, reformada por el Protocolo de Buenos Aires, en la medida de los recursos disponibles, por vía legislativa u otros medios</w:t>
      </w:r>
      <w:r>
        <w:rPr>
          <w:rFonts w:ascii="Arial" w:hAnsi="Arial"/>
          <w:spacing w:val="-8"/>
          <w:sz w:val="22"/>
        </w:rPr>
        <w:t> </w:t>
      </w:r>
      <w:r>
        <w:rPr>
          <w:rFonts w:ascii="Arial" w:hAnsi="Arial"/>
          <w:sz w:val="22"/>
        </w:rPr>
        <w:t>apropiados.”</w:t>
      </w:r>
    </w:p>
    <w:p>
      <w:pPr>
        <w:pStyle w:val="BodyText"/>
        <w:rPr>
          <w:rFonts w:ascii="Arial"/>
          <w:sz w:val="22"/>
        </w:rPr>
      </w:pPr>
    </w:p>
    <w:p>
      <w:pPr>
        <w:spacing w:before="0"/>
        <w:ind w:left="100" w:right="117" w:firstLine="0"/>
        <w:jc w:val="both"/>
        <w:rPr>
          <w:rFonts w:ascii="Arial" w:hAnsi="Arial"/>
          <w:sz w:val="22"/>
        </w:rPr>
      </w:pPr>
      <w:r>
        <w:rPr>
          <w:rFonts w:ascii="Arial" w:hAnsi="Arial"/>
          <w:sz w:val="22"/>
        </w:rPr>
        <w:t>TERCERA.</w:t>
      </w:r>
      <w:r>
        <w:rPr>
          <w:rFonts w:ascii="Arial" w:hAnsi="Arial"/>
          <w:spacing w:val="-8"/>
          <w:sz w:val="22"/>
        </w:rPr>
        <w:t> </w:t>
      </w:r>
      <w:r>
        <w:rPr>
          <w:rFonts w:ascii="Arial" w:hAnsi="Arial"/>
          <w:sz w:val="22"/>
        </w:rPr>
        <w:t>Debo</w:t>
      </w:r>
      <w:r>
        <w:rPr>
          <w:rFonts w:ascii="Arial" w:hAnsi="Arial"/>
          <w:spacing w:val="-9"/>
          <w:sz w:val="22"/>
        </w:rPr>
        <w:t> </w:t>
      </w:r>
      <w:r>
        <w:rPr>
          <w:rFonts w:ascii="Arial" w:hAnsi="Arial"/>
          <w:sz w:val="22"/>
        </w:rPr>
        <w:t>destacar</w:t>
      </w:r>
      <w:r>
        <w:rPr>
          <w:rFonts w:ascii="Arial" w:hAnsi="Arial"/>
          <w:spacing w:val="-9"/>
          <w:sz w:val="22"/>
        </w:rPr>
        <w:t> </w:t>
      </w:r>
      <w:r>
        <w:rPr>
          <w:rFonts w:ascii="Arial" w:hAnsi="Arial"/>
          <w:sz w:val="22"/>
        </w:rPr>
        <w:t>la</w:t>
      </w:r>
      <w:r>
        <w:rPr>
          <w:rFonts w:ascii="Arial" w:hAnsi="Arial"/>
          <w:spacing w:val="-9"/>
          <w:sz w:val="22"/>
        </w:rPr>
        <w:t> </w:t>
      </w:r>
      <w:r>
        <w:rPr>
          <w:rFonts w:ascii="Arial" w:hAnsi="Arial"/>
          <w:sz w:val="22"/>
        </w:rPr>
        <w:t>existencia</w:t>
      </w:r>
      <w:r>
        <w:rPr>
          <w:rFonts w:ascii="Arial" w:hAnsi="Arial"/>
          <w:spacing w:val="-9"/>
          <w:sz w:val="22"/>
        </w:rPr>
        <w:t> </w:t>
      </w:r>
      <w:r>
        <w:rPr>
          <w:rFonts w:ascii="Arial" w:hAnsi="Arial"/>
          <w:sz w:val="22"/>
        </w:rPr>
        <w:t>de</w:t>
      </w:r>
      <w:r>
        <w:rPr>
          <w:rFonts w:ascii="Arial" w:hAnsi="Arial"/>
          <w:spacing w:val="-9"/>
          <w:sz w:val="22"/>
        </w:rPr>
        <w:t> </w:t>
      </w:r>
      <w:r>
        <w:rPr>
          <w:rFonts w:ascii="Arial" w:hAnsi="Arial"/>
          <w:sz w:val="22"/>
        </w:rPr>
        <w:t>suficientes</w:t>
      </w:r>
      <w:r>
        <w:rPr>
          <w:rFonts w:ascii="Arial" w:hAnsi="Arial"/>
          <w:spacing w:val="-9"/>
          <w:sz w:val="22"/>
        </w:rPr>
        <w:t> </w:t>
      </w:r>
      <w:r>
        <w:rPr>
          <w:rFonts w:ascii="Arial" w:hAnsi="Arial"/>
          <w:sz w:val="22"/>
        </w:rPr>
        <w:t>elementos</w:t>
      </w:r>
      <w:r>
        <w:rPr>
          <w:rFonts w:ascii="Arial" w:hAnsi="Arial"/>
          <w:spacing w:val="-9"/>
          <w:sz w:val="22"/>
        </w:rPr>
        <w:t> </w:t>
      </w:r>
      <w:r>
        <w:rPr>
          <w:rFonts w:ascii="Arial" w:hAnsi="Arial"/>
          <w:sz w:val="22"/>
        </w:rPr>
        <w:t>normativos</w:t>
      </w:r>
      <w:r>
        <w:rPr>
          <w:rFonts w:ascii="Arial" w:hAnsi="Arial"/>
          <w:spacing w:val="-9"/>
          <w:sz w:val="22"/>
        </w:rPr>
        <w:t> </w:t>
      </w:r>
      <w:r>
        <w:rPr>
          <w:rFonts w:ascii="Arial" w:hAnsi="Arial"/>
          <w:sz w:val="22"/>
        </w:rPr>
        <w:t>que</w:t>
      </w:r>
      <w:r>
        <w:rPr>
          <w:rFonts w:ascii="Arial" w:hAnsi="Arial"/>
          <w:spacing w:val="-10"/>
          <w:sz w:val="22"/>
        </w:rPr>
        <w:t> </w:t>
      </w:r>
      <w:r>
        <w:rPr>
          <w:rFonts w:ascii="Arial" w:hAnsi="Arial"/>
          <w:sz w:val="22"/>
        </w:rPr>
        <w:t>se</w:t>
      </w:r>
      <w:r>
        <w:rPr>
          <w:rFonts w:ascii="Arial" w:hAnsi="Arial"/>
          <w:spacing w:val="-5"/>
          <w:sz w:val="22"/>
        </w:rPr>
        <w:t> </w:t>
      </w:r>
      <w:r>
        <w:rPr>
          <w:rFonts w:ascii="Arial" w:hAnsi="Arial"/>
          <w:sz w:val="22"/>
        </w:rPr>
        <w:t>desprenden del artículo 26 de la Convención Americana que permiten, aún desde una posición rígida de interpretación exegética, concluir que, de las normas económicas, sociales y sobre educación ciencia y cultura, contenidas en la Carta de la Organización de los Estados Americanos (en adelante</w:t>
      </w:r>
      <w:r>
        <w:rPr>
          <w:rFonts w:ascii="Arial" w:hAnsi="Arial"/>
          <w:spacing w:val="-6"/>
          <w:sz w:val="22"/>
        </w:rPr>
        <w:t> </w:t>
      </w:r>
      <w:r>
        <w:rPr>
          <w:rFonts w:ascii="Arial" w:hAnsi="Arial"/>
          <w:sz w:val="22"/>
        </w:rPr>
        <w:t>“Carta</w:t>
      </w:r>
      <w:r>
        <w:rPr>
          <w:rFonts w:ascii="Arial" w:hAnsi="Arial"/>
          <w:spacing w:val="-6"/>
          <w:sz w:val="22"/>
        </w:rPr>
        <w:t> </w:t>
      </w:r>
      <w:r>
        <w:rPr>
          <w:rFonts w:ascii="Arial" w:hAnsi="Arial"/>
          <w:sz w:val="22"/>
        </w:rPr>
        <w:t>de</w:t>
      </w:r>
      <w:r>
        <w:rPr>
          <w:rFonts w:ascii="Arial" w:hAnsi="Arial"/>
          <w:spacing w:val="-6"/>
          <w:sz w:val="22"/>
        </w:rPr>
        <w:t> </w:t>
      </w:r>
      <w:r>
        <w:rPr>
          <w:rFonts w:ascii="Arial" w:hAnsi="Arial"/>
          <w:sz w:val="22"/>
        </w:rPr>
        <w:t>la</w:t>
      </w:r>
      <w:r>
        <w:rPr>
          <w:rFonts w:ascii="Arial" w:hAnsi="Arial"/>
          <w:spacing w:val="-5"/>
          <w:sz w:val="22"/>
        </w:rPr>
        <w:t> </w:t>
      </w:r>
      <w:r>
        <w:rPr>
          <w:rFonts w:ascii="Arial" w:hAnsi="Arial"/>
          <w:sz w:val="22"/>
        </w:rPr>
        <w:t>OEA”)</w:t>
      </w:r>
      <w:r>
        <w:rPr>
          <w:rFonts w:ascii="Arial" w:hAnsi="Arial"/>
          <w:spacing w:val="-6"/>
          <w:sz w:val="22"/>
        </w:rPr>
        <w:t> </w:t>
      </w:r>
      <w:r>
        <w:rPr>
          <w:rFonts w:ascii="Arial" w:hAnsi="Arial"/>
          <w:sz w:val="22"/>
        </w:rPr>
        <w:t>se</w:t>
      </w:r>
      <w:r>
        <w:rPr>
          <w:rFonts w:ascii="Arial" w:hAnsi="Arial"/>
          <w:spacing w:val="-5"/>
          <w:sz w:val="22"/>
        </w:rPr>
        <w:t> </w:t>
      </w:r>
      <w:r>
        <w:rPr>
          <w:rFonts w:ascii="Arial" w:hAnsi="Arial"/>
          <w:sz w:val="22"/>
        </w:rPr>
        <w:t>derivan</w:t>
      </w:r>
      <w:r>
        <w:rPr>
          <w:rFonts w:ascii="Arial" w:hAnsi="Arial"/>
          <w:spacing w:val="-5"/>
          <w:sz w:val="22"/>
        </w:rPr>
        <w:t> </w:t>
      </w:r>
      <w:r>
        <w:rPr>
          <w:rFonts w:ascii="Arial" w:hAnsi="Arial"/>
          <w:sz w:val="22"/>
        </w:rPr>
        <w:t>derechos</w:t>
      </w:r>
      <w:r>
        <w:rPr>
          <w:rFonts w:ascii="Arial" w:hAnsi="Arial"/>
          <w:spacing w:val="-5"/>
          <w:sz w:val="22"/>
        </w:rPr>
        <w:t> </w:t>
      </w:r>
      <w:r>
        <w:rPr>
          <w:rFonts w:ascii="Arial" w:hAnsi="Arial"/>
          <w:sz w:val="22"/>
        </w:rPr>
        <w:t>subjetivos.</w:t>
      </w:r>
      <w:r>
        <w:rPr>
          <w:rFonts w:ascii="Arial" w:hAnsi="Arial"/>
          <w:spacing w:val="-7"/>
          <w:sz w:val="22"/>
        </w:rPr>
        <w:t> </w:t>
      </w:r>
      <w:r>
        <w:rPr>
          <w:rFonts w:ascii="Arial" w:hAnsi="Arial"/>
          <w:sz w:val="22"/>
        </w:rPr>
        <w:t>Aunque</w:t>
      </w:r>
      <w:r>
        <w:rPr>
          <w:rFonts w:ascii="Arial" w:hAnsi="Arial"/>
          <w:spacing w:val="-6"/>
          <w:sz w:val="22"/>
        </w:rPr>
        <w:t> </w:t>
      </w:r>
      <w:r>
        <w:rPr>
          <w:rFonts w:ascii="Arial" w:hAnsi="Arial"/>
          <w:sz w:val="22"/>
        </w:rPr>
        <w:t>esta</w:t>
      </w:r>
      <w:r>
        <w:rPr>
          <w:rFonts w:ascii="Arial" w:hAnsi="Arial"/>
          <w:spacing w:val="-6"/>
          <w:sz w:val="22"/>
        </w:rPr>
        <w:t> </w:t>
      </w:r>
      <w:r>
        <w:rPr>
          <w:rFonts w:ascii="Arial" w:hAnsi="Arial"/>
          <w:sz w:val="22"/>
        </w:rPr>
        <w:t>observación</w:t>
      </w:r>
      <w:r>
        <w:rPr>
          <w:rFonts w:ascii="Arial" w:hAnsi="Arial"/>
          <w:spacing w:val="-6"/>
          <w:sz w:val="22"/>
        </w:rPr>
        <w:t> </w:t>
      </w:r>
      <w:r>
        <w:rPr>
          <w:rFonts w:ascii="Arial" w:hAnsi="Arial"/>
          <w:sz w:val="22"/>
        </w:rPr>
        <w:t>pareciera de</w:t>
      </w:r>
      <w:r>
        <w:rPr>
          <w:rFonts w:ascii="Arial" w:hAnsi="Arial"/>
          <w:spacing w:val="-6"/>
          <w:sz w:val="22"/>
        </w:rPr>
        <w:t> </w:t>
      </w:r>
      <w:r>
        <w:rPr>
          <w:rFonts w:ascii="Arial" w:hAnsi="Arial"/>
          <w:sz w:val="22"/>
        </w:rPr>
        <w:t>perogrullo,</w:t>
      </w:r>
      <w:r>
        <w:rPr>
          <w:rFonts w:ascii="Arial" w:hAnsi="Arial"/>
          <w:spacing w:val="-6"/>
          <w:sz w:val="22"/>
        </w:rPr>
        <w:t> </w:t>
      </w:r>
      <w:r>
        <w:rPr>
          <w:rFonts w:ascii="Arial" w:hAnsi="Arial"/>
          <w:sz w:val="22"/>
        </w:rPr>
        <w:t>la</w:t>
      </w:r>
      <w:r>
        <w:rPr>
          <w:rFonts w:ascii="Arial" w:hAnsi="Arial"/>
          <w:spacing w:val="-6"/>
          <w:sz w:val="22"/>
        </w:rPr>
        <w:t> </w:t>
      </w:r>
      <w:r>
        <w:rPr>
          <w:rFonts w:ascii="Arial" w:hAnsi="Arial"/>
          <w:sz w:val="22"/>
        </w:rPr>
        <w:t>literalidad</w:t>
      </w:r>
      <w:r>
        <w:rPr>
          <w:rFonts w:ascii="Arial" w:hAnsi="Arial"/>
          <w:spacing w:val="-6"/>
          <w:sz w:val="22"/>
        </w:rPr>
        <w:t> </w:t>
      </w:r>
      <w:r>
        <w:rPr>
          <w:rFonts w:ascii="Arial" w:hAnsi="Arial"/>
          <w:sz w:val="22"/>
        </w:rPr>
        <w:t>del</w:t>
      </w:r>
      <w:r>
        <w:rPr>
          <w:rFonts w:ascii="Arial" w:hAnsi="Arial"/>
          <w:spacing w:val="-5"/>
          <w:sz w:val="22"/>
        </w:rPr>
        <w:t> </w:t>
      </w:r>
      <w:r>
        <w:rPr>
          <w:rFonts w:ascii="Arial" w:hAnsi="Arial"/>
          <w:sz w:val="22"/>
        </w:rPr>
        <w:t>artículo,</w:t>
      </w:r>
      <w:r>
        <w:rPr>
          <w:rFonts w:ascii="Arial" w:hAnsi="Arial"/>
          <w:spacing w:val="-6"/>
          <w:sz w:val="22"/>
        </w:rPr>
        <w:t> </w:t>
      </w:r>
      <w:r>
        <w:rPr>
          <w:rFonts w:ascii="Arial" w:hAnsi="Arial"/>
          <w:sz w:val="22"/>
        </w:rPr>
        <w:t>sin</w:t>
      </w:r>
      <w:r>
        <w:rPr>
          <w:rFonts w:ascii="Arial" w:hAnsi="Arial"/>
          <w:spacing w:val="-7"/>
          <w:sz w:val="22"/>
        </w:rPr>
        <w:t> </w:t>
      </w:r>
      <w:r>
        <w:rPr>
          <w:rFonts w:ascii="Arial" w:hAnsi="Arial"/>
          <w:sz w:val="22"/>
        </w:rPr>
        <w:t>perjuicio</w:t>
      </w:r>
      <w:r>
        <w:rPr>
          <w:rFonts w:ascii="Arial" w:hAnsi="Arial"/>
          <w:spacing w:val="-6"/>
          <w:sz w:val="22"/>
        </w:rPr>
        <w:t> </w:t>
      </w:r>
      <w:r>
        <w:rPr>
          <w:rFonts w:ascii="Arial" w:hAnsi="Arial"/>
          <w:sz w:val="22"/>
        </w:rPr>
        <w:t>de</w:t>
      </w:r>
      <w:r>
        <w:rPr>
          <w:rFonts w:ascii="Arial" w:hAnsi="Arial"/>
          <w:spacing w:val="-7"/>
          <w:sz w:val="22"/>
        </w:rPr>
        <w:t> </w:t>
      </w:r>
      <w:r>
        <w:rPr>
          <w:rFonts w:ascii="Arial" w:hAnsi="Arial"/>
          <w:sz w:val="22"/>
        </w:rPr>
        <w:t>las</w:t>
      </w:r>
      <w:r>
        <w:rPr>
          <w:rFonts w:ascii="Arial" w:hAnsi="Arial"/>
          <w:spacing w:val="-7"/>
          <w:sz w:val="22"/>
        </w:rPr>
        <w:t> </w:t>
      </w:r>
      <w:r>
        <w:rPr>
          <w:rFonts w:ascii="Arial" w:hAnsi="Arial"/>
          <w:sz w:val="22"/>
        </w:rPr>
        <w:t>críticas</w:t>
      </w:r>
      <w:r>
        <w:rPr>
          <w:rFonts w:ascii="Arial" w:hAnsi="Arial"/>
          <w:spacing w:val="-5"/>
          <w:sz w:val="22"/>
        </w:rPr>
        <w:t> </w:t>
      </w:r>
      <w:r>
        <w:rPr>
          <w:rFonts w:ascii="Arial" w:hAnsi="Arial"/>
          <w:sz w:val="22"/>
        </w:rPr>
        <w:t>acertadas</w:t>
      </w:r>
      <w:r>
        <w:rPr>
          <w:rFonts w:ascii="Arial" w:hAnsi="Arial"/>
          <w:spacing w:val="-5"/>
          <w:sz w:val="22"/>
        </w:rPr>
        <w:t> </w:t>
      </w:r>
      <w:r>
        <w:rPr>
          <w:rFonts w:ascii="Arial" w:hAnsi="Arial"/>
          <w:sz w:val="22"/>
        </w:rPr>
        <w:t>sobre</w:t>
      </w:r>
      <w:r>
        <w:rPr>
          <w:rFonts w:ascii="Arial" w:hAnsi="Arial"/>
          <w:spacing w:val="-7"/>
          <w:sz w:val="22"/>
        </w:rPr>
        <w:t> </w:t>
      </w:r>
      <w:r>
        <w:rPr>
          <w:rFonts w:ascii="Arial" w:hAnsi="Arial"/>
          <w:sz w:val="22"/>
        </w:rPr>
        <w:t>su</w:t>
      </w:r>
      <w:r>
        <w:rPr>
          <w:rFonts w:ascii="Arial" w:hAnsi="Arial"/>
          <w:spacing w:val="-6"/>
          <w:sz w:val="22"/>
        </w:rPr>
        <w:t> </w:t>
      </w:r>
      <w:r>
        <w:rPr>
          <w:rFonts w:ascii="Arial" w:hAnsi="Arial"/>
          <w:sz w:val="22"/>
        </w:rPr>
        <w:t>redacción, no nos permite considerar como acertadas aquellas posiciones que señalan que de la Carta de la OEA solo se pueden extraer “metas”, “expectativas”, “finalidades”, “principios”, “mecanismos” o</w:t>
      </w:r>
      <w:r>
        <w:rPr>
          <w:rFonts w:ascii="Arial" w:hAnsi="Arial"/>
          <w:spacing w:val="-10"/>
          <w:sz w:val="22"/>
        </w:rPr>
        <w:t> </w:t>
      </w:r>
      <w:r>
        <w:rPr>
          <w:rFonts w:ascii="Arial" w:hAnsi="Arial"/>
          <w:sz w:val="22"/>
        </w:rPr>
        <w:t>“propósitos”</w:t>
      </w:r>
      <w:r>
        <w:rPr>
          <w:rFonts w:ascii="Arial" w:hAnsi="Arial"/>
          <w:spacing w:val="-10"/>
          <w:sz w:val="22"/>
        </w:rPr>
        <w:t> </w:t>
      </w:r>
      <w:r>
        <w:rPr>
          <w:rFonts w:ascii="Arial" w:hAnsi="Arial"/>
          <w:sz w:val="22"/>
        </w:rPr>
        <w:t>de</w:t>
      </w:r>
      <w:r>
        <w:rPr>
          <w:rFonts w:ascii="Arial" w:hAnsi="Arial"/>
          <w:spacing w:val="-10"/>
          <w:sz w:val="22"/>
        </w:rPr>
        <w:t> </w:t>
      </w:r>
      <w:r>
        <w:rPr>
          <w:rFonts w:ascii="Arial" w:hAnsi="Arial"/>
          <w:sz w:val="22"/>
        </w:rPr>
        <w:t>los</w:t>
      </w:r>
      <w:r>
        <w:rPr>
          <w:rFonts w:ascii="Arial" w:hAnsi="Arial"/>
          <w:spacing w:val="-10"/>
          <w:sz w:val="22"/>
        </w:rPr>
        <w:t> </w:t>
      </w:r>
      <w:r>
        <w:rPr>
          <w:rFonts w:ascii="Arial" w:hAnsi="Arial"/>
          <w:sz w:val="22"/>
        </w:rPr>
        <w:t>Estados</w:t>
      </w:r>
      <w:r>
        <w:rPr>
          <w:rFonts w:ascii="Arial" w:hAnsi="Arial"/>
          <w:spacing w:val="-10"/>
          <w:sz w:val="22"/>
        </w:rPr>
        <w:t> </w:t>
      </w:r>
      <w:r>
        <w:rPr>
          <w:rFonts w:ascii="Arial" w:hAnsi="Arial"/>
          <w:sz w:val="22"/>
        </w:rPr>
        <w:t>para</w:t>
      </w:r>
      <w:r>
        <w:rPr>
          <w:rFonts w:ascii="Arial" w:hAnsi="Arial"/>
          <w:spacing w:val="-10"/>
          <w:sz w:val="22"/>
        </w:rPr>
        <w:t> </w:t>
      </w:r>
      <w:r>
        <w:rPr>
          <w:rFonts w:ascii="Arial" w:hAnsi="Arial"/>
          <w:sz w:val="22"/>
        </w:rPr>
        <w:t>el</w:t>
      </w:r>
      <w:r>
        <w:rPr>
          <w:rFonts w:ascii="Arial" w:hAnsi="Arial"/>
          <w:spacing w:val="-10"/>
          <w:sz w:val="22"/>
        </w:rPr>
        <w:t> </w:t>
      </w:r>
      <w:r>
        <w:rPr>
          <w:rFonts w:ascii="Arial" w:hAnsi="Arial"/>
          <w:sz w:val="22"/>
        </w:rPr>
        <w:t>desarrollo</w:t>
      </w:r>
      <w:r>
        <w:rPr>
          <w:rFonts w:ascii="Arial" w:hAnsi="Arial"/>
          <w:spacing w:val="-10"/>
          <w:sz w:val="22"/>
        </w:rPr>
        <w:t> </w:t>
      </w:r>
      <w:r>
        <w:rPr>
          <w:rFonts w:ascii="Arial" w:hAnsi="Arial"/>
          <w:sz w:val="22"/>
        </w:rPr>
        <w:t>de</w:t>
      </w:r>
      <w:r>
        <w:rPr>
          <w:rFonts w:ascii="Arial" w:hAnsi="Arial"/>
          <w:spacing w:val="-10"/>
          <w:sz w:val="22"/>
        </w:rPr>
        <w:t> </w:t>
      </w:r>
      <w:r>
        <w:rPr>
          <w:rFonts w:ascii="Arial" w:hAnsi="Arial"/>
          <w:sz w:val="22"/>
        </w:rPr>
        <w:t>sus</w:t>
      </w:r>
      <w:r>
        <w:rPr>
          <w:rFonts w:ascii="Arial" w:hAnsi="Arial"/>
          <w:spacing w:val="-10"/>
          <w:sz w:val="22"/>
        </w:rPr>
        <w:t> </w:t>
      </w:r>
      <w:r>
        <w:rPr>
          <w:rFonts w:ascii="Arial" w:hAnsi="Arial"/>
          <w:sz w:val="22"/>
        </w:rPr>
        <w:t>habitantes.</w:t>
      </w:r>
      <w:r>
        <w:rPr>
          <w:rFonts w:ascii="Arial" w:hAnsi="Arial"/>
          <w:spacing w:val="45"/>
          <w:sz w:val="22"/>
        </w:rPr>
        <w:t> </w:t>
      </w:r>
      <w:r>
        <w:rPr>
          <w:rFonts w:ascii="Arial" w:hAnsi="Arial"/>
          <w:sz w:val="22"/>
        </w:rPr>
        <w:t>La</w:t>
      </w:r>
      <w:r>
        <w:rPr>
          <w:rFonts w:ascii="Arial" w:hAnsi="Arial"/>
          <w:spacing w:val="-10"/>
          <w:sz w:val="22"/>
        </w:rPr>
        <w:t> </w:t>
      </w:r>
      <w:r>
        <w:rPr>
          <w:rFonts w:ascii="Arial" w:hAnsi="Arial"/>
          <w:sz w:val="22"/>
        </w:rPr>
        <w:t>razón</w:t>
      </w:r>
      <w:r>
        <w:rPr>
          <w:rFonts w:ascii="Arial" w:hAnsi="Arial"/>
          <w:spacing w:val="-10"/>
          <w:sz w:val="22"/>
        </w:rPr>
        <w:t> </w:t>
      </w:r>
      <w:r>
        <w:rPr>
          <w:rFonts w:ascii="Arial" w:hAnsi="Arial"/>
          <w:sz w:val="22"/>
        </w:rPr>
        <w:t>para</w:t>
      </w:r>
      <w:r>
        <w:rPr>
          <w:rFonts w:ascii="Arial" w:hAnsi="Arial"/>
          <w:spacing w:val="-10"/>
          <w:sz w:val="22"/>
        </w:rPr>
        <w:t> </w:t>
      </w:r>
      <w:r>
        <w:rPr>
          <w:rFonts w:ascii="Arial" w:hAnsi="Arial"/>
          <w:sz w:val="22"/>
        </w:rPr>
        <w:t>esta</w:t>
      </w:r>
      <w:r>
        <w:rPr>
          <w:rFonts w:ascii="Arial" w:hAnsi="Arial"/>
          <w:spacing w:val="-10"/>
          <w:sz w:val="22"/>
        </w:rPr>
        <w:t> </w:t>
      </w:r>
      <w:r>
        <w:rPr>
          <w:rFonts w:ascii="Arial" w:hAnsi="Arial"/>
          <w:sz w:val="22"/>
        </w:rPr>
        <w:t>afirmación radica en la constatación de que los Estados signatarios, mediante la exégesis del artículo, reconocen que, efectivamente, de las normas contenidas en la Carta de la OEA se derivan derechos.</w:t>
      </w:r>
    </w:p>
    <w:p>
      <w:pPr>
        <w:spacing w:after="0"/>
        <w:jc w:val="both"/>
        <w:rPr>
          <w:rFonts w:ascii="Arial" w:hAnsi="Arial"/>
          <w:sz w:val="22"/>
        </w:rPr>
        <w:sectPr>
          <w:footerReference w:type="default" r:id="rId34"/>
          <w:pgSz w:w="12240" w:h="15840"/>
          <w:pgMar w:footer="0" w:header="0" w:top="1500" w:bottom="280" w:left="1340" w:right="1320"/>
        </w:sectPr>
      </w:pPr>
    </w:p>
    <w:p>
      <w:pPr>
        <w:pStyle w:val="Heading2"/>
        <w:spacing w:before="80"/>
        <w:ind w:left="120" w:right="116"/>
        <w:jc w:val="both"/>
      </w:pPr>
      <w:r>
        <w:rPr/>
        <w:t>CUARTA. La Corte IDH a partir del fallo </w:t>
      </w:r>
      <w:r>
        <w:rPr>
          <w:i/>
        </w:rPr>
        <w:t>Lagos del Campo Vs. Perú </w:t>
      </w:r>
      <w:r>
        <w:rPr/>
        <w:t>ha ido perfilando un criterio de aplicación</w:t>
      </w:r>
      <w:r>
        <w:rPr>
          <w:position w:val="7"/>
          <w:sz w:val="14"/>
        </w:rPr>
        <w:t>1</w:t>
      </w:r>
      <w:r>
        <w:rPr/>
        <w:t>, que hoy nos permite determinar, entre otros aspectos, que la remisión que hacemos al artículo 26 está directamente relacionada con la Carta de la OEA. Entonces, la verificación de justiciabilidad de los DESCA se encontrará sujeta a la derivación, explícita o implícita, del derecho que surge de las normas económicas, sociales y sobre educación,</w:t>
      </w:r>
      <w:r>
        <w:rPr>
          <w:spacing w:val="-25"/>
        </w:rPr>
        <w:t> </w:t>
      </w:r>
      <w:r>
        <w:rPr/>
        <w:t>ciencia y cultura, contenidas en la Carta de la OEA, derivación que, por otro lado, afirmamos categóricamente, no lleva al resultado de “crear” o “innovar” obligaciones internacionales o normativas amplias o abstractas, pues esto claramente, no solo que atentaría contra el principio de seguridad jurídica relacionado con el principio de legalidad, sino que adicionalmente haría imposible a los Estados que puedan prever la conducta que deben adoptar frente a los compromisos asumidos</w:t>
      </w:r>
      <w:r>
        <w:rPr>
          <w:spacing w:val="-11"/>
        </w:rPr>
        <w:t> </w:t>
      </w:r>
      <w:r>
        <w:rPr/>
        <w:t>internacionalmente.</w:t>
      </w:r>
    </w:p>
    <w:p>
      <w:pPr>
        <w:pStyle w:val="BodyText"/>
        <w:rPr>
          <w:rFonts w:ascii="Arial"/>
          <w:sz w:val="22"/>
        </w:rPr>
      </w:pPr>
    </w:p>
    <w:p>
      <w:pPr>
        <w:spacing w:before="0"/>
        <w:ind w:left="120" w:right="116" w:firstLine="0"/>
        <w:jc w:val="both"/>
        <w:rPr>
          <w:rFonts w:ascii="Arial" w:hAnsi="Arial"/>
          <w:sz w:val="22"/>
        </w:rPr>
      </w:pPr>
      <w:r>
        <w:rPr>
          <w:rFonts w:ascii="Arial" w:hAnsi="Arial"/>
          <w:sz w:val="22"/>
        </w:rPr>
        <w:t>QUINTA. En la Sentencia, la Corte IDH ha reconocido y argumentado la derivación de la Carta de la OEA para los derechos a un medio ambiente sano, a una alimentación adecuada, al agua y a la identidad cultural</w:t>
      </w:r>
      <w:r>
        <w:rPr>
          <w:rFonts w:ascii="Arial" w:hAnsi="Arial"/>
          <w:position w:val="7"/>
          <w:sz w:val="14"/>
        </w:rPr>
        <w:t>2</w:t>
      </w:r>
      <w:r>
        <w:rPr>
          <w:rFonts w:ascii="Arial" w:hAnsi="Arial"/>
          <w:sz w:val="22"/>
        </w:rPr>
        <w:t>. Además, con relación a los derechos a una alimentación adecuada y a la identidad cultural indicó su referencia a la Declaración Americana de los Derechos y Deberes del hombre (en adelante “Declaración Americana”)</w:t>
      </w:r>
      <w:r>
        <w:rPr>
          <w:rFonts w:ascii="Arial" w:hAnsi="Arial"/>
          <w:position w:val="7"/>
          <w:sz w:val="14"/>
        </w:rPr>
        <w:t>3</w:t>
      </w:r>
      <w:r>
        <w:rPr>
          <w:rFonts w:ascii="Arial" w:hAnsi="Arial"/>
          <w:sz w:val="22"/>
        </w:rPr>
        <w:t>, que toma relevancia conforme dictamen de interpretación que a la misma le ha dado la Corte IDH</w:t>
      </w:r>
      <w:r>
        <w:rPr>
          <w:rFonts w:ascii="Arial" w:hAnsi="Arial"/>
          <w:position w:val="7"/>
          <w:sz w:val="14"/>
        </w:rPr>
        <w:t>4 </w:t>
      </w:r>
      <w:r>
        <w:rPr>
          <w:rFonts w:ascii="Arial" w:hAnsi="Arial"/>
          <w:sz w:val="22"/>
        </w:rPr>
        <w:t>y la norma de interpretación del artículo 29</w:t>
      </w:r>
      <w:r>
        <w:rPr>
          <w:rFonts w:ascii="Arial" w:hAnsi="Arial"/>
          <w:spacing w:val="-5"/>
          <w:sz w:val="22"/>
        </w:rPr>
        <w:t> </w:t>
      </w:r>
      <w:r>
        <w:rPr>
          <w:rFonts w:ascii="Arial" w:hAnsi="Arial"/>
          <w:sz w:val="22"/>
        </w:rPr>
        <w:t>inciso</w:t>
      </w:r>
      <w:r>
        <w:rPr>
          <w:rFonts w:ascii="Arial" w:hAnsi="Arial"/>
          <w:spacing w:val="-6"/>
          <w:sz w:val="22"/>
        </w:rPr>
        <w:t> </w:t>
      </w:r>
      <w:r>
        <w:rPr>
          <w:rFonts w:ascii="Arial" w:hAnsi="Arial"/>
          <w:sz w:val="22"/>
        </w:rPr>
        <w:t>d</w:t>
      </w:r>
      <w:r>
        <w:rPr>
          <w:rFonts w:ascii="Arial" w:hAnsi="Arial"/>
          <w:spacing w:val="-7"/>
          <w:sz w:val="22"/>
        </w:rPr>
        <w:t> </w:t>
      </w:r>
      <w:r>
        <w:rPr>
          <w:rFonts w:ascii="Arial" w:hAnsi="Arial"/>
          <w:sz w:val="22"/>
        </w:rPr>
        <w:t>de</w:t>
      </w:r>
      <w:r>
        <w:rPr>
          <w:rFonts w:ascii="Arial" w:hAnsi="Arial"/>
          <w:spacing w:val="-6"/>
          <w:sz w:val="22"/>
        </w:rPr>
        <w:t> </w:t>
      </w:r>
      <w:r>
        <w:rPr>
          <w:rFonts w:ascii="Arial" w:hAnsi="Arial"/>
          <w:sz w:val="22"/>
        </w:rPr>
        <w:t>la</w:t>
      </w:r>
      <w:r>
        <w:rPr>
          <w:rFonts w:ascii="Arial" w:hAnsi="Arial"/>
          <w:spacing w:val="-6"/>
          <w:sz w:val="22"/>
        </w:rPr>
        <w:t> </w:t>
      </w:r>
      <w:r>
        <w:rPr>
          <w:rFonts w:ascii="Arial" w:hAnsi="Arial"/>
          <w:sz w:val="22"/>
        </w:rPr>
        <w:t>Convención</w:t>
      </w:r>
      <w:r>
        <w:rPr>
          <w:rFonts w:ascii="Arial" w:hAnsi="Arial"/>
          <w:spacing w:val="-6"/>
          <w:sz w:val="22"/>
        </w:rPr>
        <w:t> </w:t>
      </w:r>
      <w:r>
        <w:rPr>
          <w:rFonts w:ascii="Arial" w:hAnsi="Arial"/>
          <w:sz w:val="22"/>
        </w:rPr>
        <w:t>Americana.</w:t>
      </w:r>
      <w:r>
        <w:rPr>
          <w:rFonts w:ascii="Arial" w:hAnsi="Arial"/>
          <w:spacing w:val="-3"/>
          <w:sz w:val="22"/>
        </w:rPr>
        <w:t> </w:t>
      </w:r>
      <w:r>
        <w:rPr>
          <w:rFonts w:ascii="Arial" w:hAnsi="Arial"/>
          <w:sz w:val="22"/>
        </w:rPr>
        <w:t>Razonamientos</w:t>
      </w:r>
      <w:r>
        <w:rPr>
          <w:rFonts w:ascii="Arial" w:hAnsi="Arial"/>
          <w:spacing w:val="-5"/>
          <w:sz w:val="22"/>
        </w:rPr>
        <w:t> </w:t>
      </w:r>
      <w:r>
        <w:rPr>
          <w:rFonts w:ascii="Arial" w:hAnsi="Arial"/>
          <w:sz w:val="22"/>
        </w:rPr>
        <w:t>que,</w:t>
      </w:r>
      <w:r>
        <w:rPr>
          <w:rFonts w:ascii="Arial" w:hAnsi="Arial"/>
          <w:spacing w:val="-6"/>
          <w:sz w:val="22"/>
        </w:rPr>
        <w:t> </w:t>
      </w:r>
      <w:r>
        <w:rPr>
          <w:rFonts w:ascii="Arial" w:hAnsi="Arial"/>
          <w:sz w:val="22"/>
        </w:rPr>
        <w:t>al</w:t>
      </w:r>
      <w:r>
        <w:rPr>
          <w:rFonts w:ascii="Arial" w:hAnsi="Arial"/>
          <w:spacing w:val="-7"/>
          <w:sz w:val="22"/>
        </w:rPr>
        <w:t> </w:t>
      </w:r>
      <w:r>
        <w:rPr>
          <w:rFonts w:ascii="Arial" w:hAnsi="Arial"/>
          <w:sz w:val="22"/>
        </w:rPr>
        <w:t>ser</w:t>
      </w:r>
      <w:r>
        <w:rPr>
          <w:rFonts w:ascii="Arial" w:hAnsi="Arial"/>
          <w:spacing w:val="-6"/>
          <w:sz w:val="22"/>
        </w:rPr>
        <w:t> </w:t>
      </w:r>
      <w:r>
        <w:rPr>
          <w:rFonts w:ascii="Arial" w:hAnsi="Arial"/>
          <w:sz w:val="22"/>
        </w:rPr>
        <w:t>abordados</w:t>
      </w:r>
      <w:r>
        <w:rPr>
          <w:rFonts w:ascii="Arial" w:hAnsi="Arial"/>
          <w:spacing w:val="-5"/>
          <w:sz w:val="22"/>
        </w:rPr>
        <w:t> </w:t>
      </w:r>
      <w:r>
        <w:rPr>
          <w:rFonts w:ascii="Arial" w:hAnsi="Arial"/>
          <w:sz w:val="22"/>
        </w:rPr>
        <w:t>por</w:t>
      </w:r>
      <w:r>
        <w:rPr>
          <w:rFonts w:ascii="Arial" w:hAnsi="Arial"/>
          <w:spacing w:val="-6"/>
          <w:sz w:val="22"/>
        </w:rPr>
        <w:t> </w:t>
      </w:r>
      <w:r>
        <w:rPr>
          <w:rFonts w:ascii="Arial" w:hAnsi="Arial"/>
          <w:sz w:val="22"/>
        </w:rPr>
        <w:t>primera</w:t>
      </w:r>
      <w:r>
        <w:rPr>
          <w:rFonts w:ascii="Arial" w:hAnsi="Arial"/>
          <w:spacing w:val="-6"/>
          <w:sz w:val="22"/>
        </w:rPr>
        <w:t> </w:t>
      </w:r>
      <w:r>
        <w:rPr>
          <w:rFonts w:ascii="Arial" w:hAnsi="Arial"/>
          <w:sz w:val="22"/>
        </w:rPr>
        <w:t>vez, conforme</w:t>
      </w:r>
      <w:r>
        <w:rPr>
          <w:rFonts w:ascii="Arial" w:hAnsi="Arial"/>
          <w:spacing w:val="-17"/>
          <w:sz w:val="22"/>
        </w:rPr>
        <w:t> </w:t>
      </w:r>
      <w:r>
        <w:rPr>
          <w:rFonts w:ascii="Arial" w:hAnsi="Arial"/>
          <w:sz w:val="22"/>
        </w:rPr>
        <w:t>es</w:t>
      </w:r>
      <w:r>
        <w:rPr>
          <w:rFonts w:ascii="Arial" w:hAnsi="Arial"/>
          <w:spacing w:val="-16"/>
          <w:sz w:val="22"/>
        </w:rPr>
        <w:t> </w:t>
      </w:r>
      <w:r>
        <w:rPr>
          <w:rFonts w:ascii="Arial" w:hAnsi="Arial"/>
          <w:sz w:val="22"/>
        </w:rPr>
        <w:t>la</w:t>
      </w:r>
      <w:r>
        <w:rPr>
          <w:rFonts w:ascii="Arial" w:hAnsi="Arial"/>
          <w:spacing w:val="-16"/>
          <w:sz w:val="22"/>
        </w:rPr>
        <w:t> </w:t>
      </w:r>
      <w:r>
        <w:rPr>
          <w:rFonts w:ascii="Arial" w:hAnsi="Arial"/>
          <w:sz w:val="22"/>
        </w:rPr>
        <w:t>práctica</w:t>
      </w:r>
      <w:r>
        <w:rPr>
          <w:rFonts w:ascii="Arial" w:hAnsi="Arial"/>
          <w:spacing w:val="-17"/>
          <w:sz w:val="22"/>
        </w:rPr>
        <w:t> </w:t>
      </w:r>
      <w:r>
        <w:rPr>
          <w:rFonts w:ascii="Arial" w:hAnsi="Arial"/>
          <w:sz w:val="22"/>
        </w:rPr>
        <w:t>judicial</w:t>
      </w:r>
      <w:r>
        <w:rPr>
          <w:rFonts w:ascii="Arial" w:hAnsi="Arial"/>
          <w:spacing w:val="-16"/>
          <w:sz w:val="22"/>
        </w:rPr>
        <w:t> </w:t>
      </w:r>
      <w:r>
        <w:rPr>
          <w:rFonts w:ascii="Arial" w:hAnsi="Arial"/>
          <w:sz w:val="22"/>
        </w:rPr>
        <w:t>y</w:t>
      </w:r>
      <w:r>
        <w:rPr>
          <w:rFonts w:ascii="Arial" w:hAnsi="Arial"/>
          <w:spacing w:val="-16"/>
          <w:sz w:val="22"/>
        </w:rPr>
        <w:t> </w:t>
      </w:r>
      <w:r>
        <w:rPr>
          <w:rFonts w:ascii="Arial" w:hAnsi="Arial"/>
          <w:sz w:val="22"/>
        </w:rPr>
        <w:t>en</w:t>
      </w:r>
      <w:r>
        <w:rPr>
          <w:rFonts w:ascii="Arial" w:hAnsi="Arial"/>
          <w:spacing w:val="-16"/>
          <w:sz w:val="22"/>
        </w:rPr>
        <w:t> </w:t>
      </w:r>
      <w:r>
        <w:rPr>
          <w:rFonts w:ascii="Arial" w:hAnsi="Arial"/>
          <w:sz w:val="22"/>
        </w:rPr>
        <w:t>la</w:t>
      </w:r>
      <w:r>
        <w:rPr>
          <w:rFonts w:ascii="Arial" w:hAnsi="Arial"/>
          <w:spacing w:val="-17"/>
          <w:sz w:val="22"/>
        </w:rPr>
        <w:t> </w:t>
      </w:r>
      <w:r>
        <w:rPr>
          <w:rFonts w:ascii="Arial" w:hAnsi="Arial"/>
          <w:sz w:val="22"/>
        </w:rPr>
        <w:t>construcción</w:t>
      </w:r>
      <w:r>
        <w:rPr>
          <w:rFonts w:ascii="Arial" w:hAnsi="Arial"/>
          <w:spacing w:val="-16"/>
          <w:sz w:val="22"/>
        </w:rPr>
        <w:t> </w:t>
      </w:r>
      <w:r>
        <w:rPr>
          <w:rFonts w:ascii="Arial" w:hAnsi="Arial"/>
          <w:sz w:val="22"/>
        </w:rPr>
        <w:t>de</w:t>
      </w:r>
      <w:r>
        <w:rPr>
          <w:rFonts w:ascii="Arial" w:hAnsi="Arial"/>
          <w:spacing w:val="-16"/>
          <w:sz w:val="22"/>
        </w:rPr>
        <w:t> </w:t>
      </w:r>
      <w:r>
        <w:rPr>
          <w:rFonts w:ascii="Arial" w:hAnsi="Arial"/>
          <w:sz w:val="22"/>
        </w:rPr>
        <w:t>precedentes,</w:t>
      </w:r>
      <w:r>
        <w:rPr>
          <w:rFonts w:ascii="Arial" w:hAnsi="Arial"/>
          <w:spacing w:val="-17"/>
          <w:sz w:val="22"/>
        </w:rPr>
        <w:t> </w:t>
      </w:r>
      <w:r>
        <w:rPr>
          <w:rFonts w:ascii="Arial" w:hAnsi="Arial"/>
          <w:sz w:val="22"/>
        </w:rPr>
        <w:t>deberán,</w:t>
      </w:r>
      <w:r>
        <w:rPr>
          <w:rFonts w:ascii="Arial" w:hAnsi="Arial"/>
          <w:spacing w:val="-17"/>
          <w:sz w:val="22"/>
        </w:rPr>
        <w:t> </w:t>
      </w:r>
      <w:r>
        <w:rPr>
          <w:rFonts w:ascii="Arial" w:hAnsi="Arial"/>
          <w:sz w:val="22"/>
        </w:rPr>
        <w:t>a</w:t>
      </w:r>
      <w:r>
        <w:rPr>
          <w:rFonts w:ascii="Arial" w:hAnsi="Arial"/>
          <w:spacing w:val="-17"/>
          <w:sz w:val="22"/>
        </w:rPr>
        <w:t> </w:t>
      </w:r>
      <w:r>
        <w:rPr>
          <w:rFonts w:ascii="Arial" w:hAnsi="Arial"/>
          <w:sz w:val="22"/>
        </w:rPr>
        <w:t>no</w:t>
      </w:r>
      <w:r>
        <w:rPr>
          <w:rFonts w:ascii="Arial" w:hAnsi="Arial"/>
          <w:spacing w:val="-16"/>
          <w:sz w:val="22"/>
        </w:rPr>
        <w:t> </w:t>
      </w:r>
      <w:r>
        <w:rPr>
          <w:rFonts w:ascii="Arial" w:hAnsi="Arial"/>
          <w:sz w:val="22"/>
        </w:rPr>
        <w:t>dudarlo,</w:t>
      </w:r>
      <w:r>
        <w:rPr>
          <w:rFonts w:ascii="Arial" w:hAnsi="Arial"/>
          <w:spacing w:val="-17"/>
          <w:sz w:val="22"/>
        </w:rPr>
        <w:t> </w:t>
      </w:r>
      <w:r>
        <w:rPr>
          <w:rFonts w:ascii="Arial" w:hAnsi="Arial"/>
          <w:sz w:val="22"/>
        </w:rPr>
        <w:t>seguir perfeccionando y logrando mayores niveles de precisión y de exigencia conceptual y hermenéutica, conforme se materialicen nuevos casos</w:t>
      </w:r>
      <w:r>
        <w:rPr>
          <w:rFonts w:ascii="Arial" w:hAnsi="Arial"/>
          <w:spacing w:val="-15"/>
          <w:sz w:val="22"/>
        </w:rPr>
        <w:t> </w:t>
      </w:r>
      <w:r>
        <w:rPr>
          <w:rFonts w:ascii="Arial" w:hAnsi="Arial"/>
          <w:sz w:val="22"/>
        </w:rPr>
        <w:t>concretos.</w:t>
      </w:r>
    </w:p>
    <w:p>
      <w:pPr>
        <w:pStyle w:val="BodyText"/>
        <w:rPr>
          <w:rFonts w:ascii="Arial"/>
          <w:sz w:val="22"/>
        </w:rPr>
      </w:pPr>
    </w:p>
    <w:p>
      <w:pPr>
        <w:spacing w:before="0"/>
        <w:ind w:left="120" w:right="117" w:firstLine="0"/>
        <w:jc w:val="both"/>
        <w:rPr>
          <w:rFonts w:ascii="Arial" w:hAnsi="Arial"/>
          <w:sz w:val="22"/>
        </w:rPr>
      </w:pPr>
      <w:r>
        <w:rPr>
          <w:rFonts w:ascii="Arial" w:hAnsi="Arial"/>
          <w:sz w:val="22"/>
        </w:rPr>
        <w:t>SEXTA.</w:t>
      </w:r>
      <w:r>
        <w:rPr>
          <w:rFonts w:ascii="Arial" w:hAnsi="Arial"/>
          <w:spacing w:val="-5"/>
          <w:sz w:val="22"/>
        </w:rPr>
        <w:t> </w:t>
      </w:r>
      <w:r>
        <w:rPr>
          <w:rFonts w:ascii="Arial" w:hAnsi="Arial"/>
          <w:sz w:val="22"/>
        </w:rPr>
        <w:t>En</w:t>
      </w:r>
      <w:r>
        <w:rPr>
          <w:rFonts w:ascii="Arial" w:hAnsi="Arial"/>
          <w:spacing w:val="-2"/>
          <w:sz w:val="22"/>
        </w:rPr>
        <w:t> </w:t>
      </w:r>
      <w:r>
        <w:rPr>
          <w:rFonts w:ascii="Arial" w:hAnsi="Arial"/>
          <w:sz w:val="22"/>
        </w:rPr>
        <w:t>el</w:t>
      </w:r>
      <w:r>
        <w:rPr>
          <w:rFonts w:ascii="Arial" w:hAnsi="Arial"/>
          <w:spacing w:val="-5"/>
          <w:sz w:val="22"/>
        </w:rPr>
        <w:t> </w:t>
      </w:r>
      <w:r>
        <w:rPr>
          <w:rFonts w:ascii="Arial" w:hAnsi="Arial"/>
          <w:sz w:val="22"/>
        </w:rPr>
        <w:t>marco</w:t>
      </w:r>
      <w:r>
        <w:rPr>
          <w:rFonts w:ascii="Arial" w:hAnsi="Arial"/>
          <w:spacing w:val="-5"/>
          <w:sz w:val="22"/>
        </w:rPr>
        <w:t> </w:t>
      </w:r>
      <w:r>
        <w:rPr>
          <w:rFonts w:ascii="Arial" w:hAnsi="Arial"/>
          <w:sz w:val="22"/>
        </w:rPr>
        <w:t>de</w:t>
      </w:r>
      <w:r>
        <w:rPr>
          <w:rFonts w:ascii="Arial" w:hAnsi="Arial"/>
          <w:spacing w:val="-4"/>
          <w:sz w:val="22"/>
        </w:rPr>
        <w:t> </w:t>
      </w:r>
      <w:r>
        <w:rPr>
          <w:rFonts w:ascii="Arial" w:hAnsi="Arial"/>
          <w:sz w:val="22"/>
        </w:rPr>
        <w:t>la</w:t>
      </w:r>
      <w:r>
        <w:rPr>
          <w:rFonts w:ascii="Arial" w:hAnsi="Arial"/>
          <w:spacing w:val="-5"/>
          <w:sz w:val="22"/>
        </w:rPr>
        <w:t> </w:t>
      </w:r>
      <w:r>
        <w:rPr>
          <w:rFonts w:ascii="Arial" w:hAnsi="Arial"/>
          <w:sz w:val="22"/>
        </w:rPr>
        <w:t>reflexión</w:t>
      </w:r>
      <w:r>
        <w:rPr>
          <w:rFonts w:ascii="Arial" w:hAnsi="Arial"/>
          <w:spacing w:val="-6"/>
          <w:sz w:val="22"/>
        </w:rPr>
        <w:t> </w:t>
      </w:r>
      <w:r>
        <w:rPr>
          <w:rFonts w:ascii="Arial" w:hAnsi="Arial"/>
          <w:sz w:val="22"/>
        </w:rPr>
        <w:t>expuesta</w:t>
      </w:r>
      <w:r>
        <w:rPr>
          <w:rFonts w:ascii="Arial" w:hAnsi="Arial"/>
          <w:spacing w:val="-2"/>
          <w:sz w:val="22"/>
        </w:rPr>
        <w:t> </w:t>
      </w:r>
      <w:r>
        <w:rPr>
          <w:rFonts w:ascii="Arial" w:hAnsi="Arial"/>
          <w:sz w:val="22"/>
        </w:rPr>
        <w:t>y,</w:t>
      </w:r>
      <w:r>
        <w:rPr>
          <w:rFonts w:ascii="Arial" w:hAnsi="Arial"/>
          <w:spacing w:val="-6"/>
          <w:sz w:val="22"/>
        </w:rPr>
        <w:t> </w:t>
      </w:r>
      <w:r>
        <w:rPr>
          <w:rFonts w:ascii="Arial" w:hAnsi="Arial"/>
          <w:sz w:val="22"/>
        </w:rPr>
        <w:t>más</w:t>
      </w:r>
      <w:r>
        <w:rPr>
          <w:rFonts w:ascii="Arial" w:hAnsi="Arial"/>
          <w:spacing w:val="-5"/>
          <w:sz w:val="22"/>
        </w:rPr>
        <w:t> </w:t>
      </w:r>
      <w:r>
        <w:rPr>
          <w:rFonts w:ascii="Arial" w:hAnsi="Arial"/>
          <w:sz w:val="22"/>
        </w:rPr>
        <w:t>como</w:t>
      </w:r>
      <w:r>
        <w:rPr>
          <w:rFonts w:ascii="Arial" w:hAnsi="Arial"/>
          <w:spacing w:val="-5"/>
          <w:sz w:val="22"/>
        </w:rPr>
        <w:t> </w:t>
      </w:r>
      <w:r>
        <w:rPr>
          <w:rFonts w:ascii="Arial" w:hAnsi="Arial"/>
          <w:sz w:val="22"/>
        </w:rPr>
        <w:t>punto</w:t>
      </w:r>
      <w:r>
        <w:rPr>
          <w:rFonts w:ascii="Arial" w:hAnsi="Arial"/>
          <w:spacing w:val="-5"/>
          <w:sz w:val="22"/>
        </w:rPr>
        <w:t> </w:t>
      </w:r>
      <w:r>
        <w:rPr>
          <w:rFonts w:ascii="Arial" w:hAnsi="Arial"/>
          <w:sz w:val="22"/>
        </w:rPr>
        <w:t>de</w:t>
      </w:r>
      <w:r>
        <w:rPr>
          <w:rFonts w:ascii="Arial" w:hAnsi="Arial"/>
          <w:spacing w:val="-4"/>
          <w:sz w:val="22"/>
        </w:rPr>
        <w:t> </w:t>
      </w:r>
      <w:r>
        <w:rPr>
          <w:rFonts w:ascii="Arial" w:hAnsi="Arial"/>
          <w:sz w:val="22"/>
        </w:rPr>
        <w:t>partida,</w:t>
      </w:r>
      <w:r>
        <w:rPr>
          <w:rFonts w:ascii="Arial" w:hAnsi="Arial"/>
          <w:spacing w:val="-3"/>
          <w:sz w:val="22"/>
        </w:rPr>
        <w:t> </w:t>
      </w:r>
      <w:r>
        <w:rPr>
          <w:rFonts w:ascii="Arial" w:hAnsi="Arial"/>
          <w:sz w:val="22"/>
        </w:rPr>
        <w:t>sin</w:t>
      </w:r>
      <w:r>
        <w:rPr>
          <w:rFonts w:ascii="Arial" w:hAnsi="Arial"/>
          <w:spacing w:val="-5"/>
          <w:sz w:val="22"/>
        </w:rPr>
        <w:t> </w:t>
      </w:r>
      <w:r>
        <w:rPr>
          <w:rFonts w:ascii="Arial" w:hAnsi="Arial"/>
          <w:sz w:val="22"/>
        </w:rPr>
        <w:t>ánimo</w:t>
      </w:r>
      <w:r>
        <w:rPr>
          <w:rFonts w:ascii="Arial" w:hAnsi="Arial"/>
          <w:spacing w:val="-5"/>
          <w:sz w:val="22"/>
        </w:rPr>
        <w:t> </w:t>
      </w:r>
      <w:r>
        <w:rPr>
          <w:rFonts w:ascii="Arial" w:hAnsi="Arial"/>
          <w:sz w:val="22"/>
        </w:rPr>
        <w:t>de</w:t>
      </w:r>
      <w:r>
        <w:rPr>
          <w:rFonts w:ascii="Arial" w:hAnsi="Arial"/>
          <w:spacing w:val="-4"/>
          <w:sz w:val="22"/>
        </w:rPr>
        <w:t> </w:t>
      </w:r>
      <w:r>
        <w:rPr>
          <w:rFonts w:ascii="Arial" w:hAnsi="Arial"/>
          <w:sz w:val="22"/>
        </w:rPr>
        <w:t>agotar su</w:t>
      </w:r>
      <w:r>
        <w:rPr>
          <w:rFonts w:ascii="Arial" w:hAnsi="Arial"/>
          <w:spacing w:val="-4"/>
          <w:sz w:val="22"/>
        </w:rPr>
        <w:t> </w:t>
      </w:r>
      <w:r>
        <w:rPr>
          <w:rFonts w:ascii="Arial" w:hAnsi="Arial"/>
          <w:sz w:val="22"/>
        </w:rPr>
        <w:t>tratamiento,</w:t>
      </w:r>
      <w:r>
        <w:rPr>
          <w:rFonts w:ascii="Arial" w:hAnsi="Arial"/>
          <w:spacing w:val="-3"/>
          <w:sz w:val="22"/>
        </w:rPr>
        <w:t> </w:t>
      </w:r>
      <w:r>
        <w:rPr>
          <w:rFonts w:ascii="Arial" w:hAnsi="Arial"/>
          <w:sz w:val="22"/>
        </w:rPr>
        <w:t>recordando</w:t>
      </w:r>
      <w:r>
        <w:rPr>
          <w:rFonts w:ascii="Arial" w:hAnsi="Arial"/>
          <w:spacing w:val="-5"/>
          <w:sz w:val="22"/>
        </w:rPr>
        <w:t> </w:t>
      </w:r>
      <w:r>
        <w:rPr>
          <w:rFonts w:ascii="Arial" w:hAnsi="Arial"/>
          <w:sz w:val="22"/>
        </w:rPr>
        <w:t>una</w:t>
      </w:r>
      <w:r>
        <w:rPr>
          <w:rFonts w:ascii="Arial" w:hAnsi="Arial"/>
          <w:spacing w:val="-3"/>
          <w:sz w:val="22"/>
        </w:rPr>
        <w:t> </w:t>
      </w:r>
      <w:r>
        <w:rPr>
          <w:rFonts w:ascii="Arial" w:hAnsi="Arial"/>
          <w:sz w:val="22"/>
        </w:rPr>
        <w:t>máxima</w:t>
      </w:r>
      <w:r>
        <w:rPr>
          <w:rFonts w:ascii="Arial" w:hAnsi="Arial"/>
          <w:spacing w:val="-5"/>
          <w:sz w:val="22"/>
        </w:rPr>
        <w:t> </w:t>
      </w:r>
      <w:r>
        <w:rPr>
          <w:rFonts w:ascii="Arial" w:hAnsi="Arial"/>
          <w:sz w:val="22"/>
        </w:rPr>
        <w:t>del</w:t>
      </w:r>
      <w:r>
        <w:rPr>
          <w:rFonts w:ascii="Arial" w:hAnsi="Arial"/>
          <w:spacing w:val="-4"/>
          <w:sz w:val="22"/>
        </w:rPr>
        <w:t> </w:t>
      </w:r>
      <w:r>
        <w:rPr>
          <w:rFonts w:ascii="Arial" w:hAnsi="Arial"/>
          <w:sz w:val="22"/>
        </w:rPr>
        <w:t>derecho</w:t>
      </w:r>
      <w:r>
        <w:rPr>
          <w:rFonts w:ascii="Arial" w:hAnsi="Arial"/>
          <w:spacing w:val="-4"/>
          <w:sz w:val="22"/>
        </w:rPr>
        <w:t> </w:t>
      </w:r>
      <w:r>
        <w:rPr>
          <w:rFonts w:ascii="Arial" w:hAnsi="Arial"/>
          <w:sz w:val="22"/>
        </w:rPr>
        <w:t>universal</w:t>
      </w:r>
      <w:r>
        <w:rPr>
          <w:rFonts w:ascii="Arial" w:hAnsi="Arial"/>
          <w:spacing w:val="-3"/>
          <w:sz w:val="22"/>
        </w:rPr>
        <w:t> </w:t>
      </w:r>
      <w:r>
        <w:rPr>
          <w:rFonts w:ascii="Arial" w:hAnsi="Arial"/>
          <w:sz w:val="22"/>
        </w:rPr>
        <w:t>que</w:t>
      </w:r>
      <w:r>
        <w:rPr>
          <w:rFonts w:ascii="Arial" w:hAnsi="Arial"/>
          <w:spacing w:val="-4"/>
          <w:sz w:val="22"/>
        </w:rPr>
        <w:t> </w:t>
      </w:r>
      <w:r>
        <w:rPr>
          <w:rFonts w:ascii="Arial" w:hAnsi="Arial"/>
          <w:sz w:val="22"/>
        </w:rPr>
        <w:t>a</w:t>
      </w:r>
      <w:r>
        <w:rPr>
          <w:rFonts w:ascii="Arial" w:hAnsi="Arial"/>
          <w:spacing w:val="-5"/>
          <w:sz w:val="22"/>
        </w:rPr>
        <w:t> </w:t>
      </w:r>
      <w:r>
        <w:rPr>
          <w:rFonts w:ascii="Arial" w:hAnsi="Arial"/>
          <w:sz w:val="22"/>
        </w:rPr>
        <w:t>la</w:t>
      </w:r>
      <w:r>
        <w:rPr>
          <w:rFonts w:ascii="Arial" w:hAnsi="Arial"/>
          <w:spacing w:val="-4"/>
          <w:sz w:val="22"/>
        </w:rPr>
        <w:t> </w:t>
      </w:r>
      <w:r>
        <w:rPr>
          <w:rFonts w:ascii="Arial" w:hAnsi="Arial"/>
          <w:sz w:val="22"/>
        </w:rPr>
        <w:t>existencia</w:t>
      </w:r>
      <w:r>
        <w:rPr>
          <w:rFonts w:ascii="Arial" w:hAnsi="Arial"/>
          <w:spacing w:val="-4"/>
          <w:sz w:val="22"/>
        </w:rPr>
        <w:t> </w:t>
      </w:r>
      <w:r>
        <w:rPr>
          <w:rFonts w:ascii="Arial" w:hAnsi="Arial"/>
          <w:sz w:val="22"/>
        </w:rPr>
        <w:t>de</w:t>
      </w:r>
      <w:r>
        <w:rPr>
          <w:rFonts w:ascii="Arial" w:hAnsi="Arial"/>
          <w:spacing w:val="-5"/>
          <w:sz w:val="22"/>
        </w:rPr>
        <w:t> </w:t>
      </w:r>
      <w:r>
        <w:rPr>
          <w:rFonts w:ascii="Arial" w:hAnsi="Arial"/>
          <w:sz w:val="22"/>
        </w:rPr>
        <w:t>un</w:t>
      </w:r>
      <w:r>
        <w:rPr>
          <w:rFonts w:ascii="Arial" w:hAnsi="Arial"/>
          <w:spacing w:val="-4"/>
          <w:sz w:val="22"/>
        </w:rPr>
        <w:t> </w:t>
      </w:r>
      <w:r>
        <w:rPr>
          <w:rFonts w:ascii="Arial" w:hAnsi="Arial"/>
          <w:sz w:val="22"/>
        </w:rPr>
        <w:t>derecho le corresponde un deber jurídico, la Corte IDH ha interpretado que de los derechos que se desprenden</w:t>
      </w:r>
      <w:r>
        <w:rPr>
          <w:rFonts w:ascii="Arial" w:hAnsi="Arial"/>
          <w:spacing w:val="-7"/>
          <w:sz w:val="22"/>
        </w:rPr>
        <w:t> </w:t>
      </w:r>
      <w:r>
        <w:rPr>
          <w:rFonts w:ascii="Arial" w:hAnsi="Arial"/>
          <w:sz w:val="22"/>
        </w:rPr>
        <w:t>de</w:t>
      </w:r>
      <w:r>
        <w:rPr>
          <w:rFonts w:ascii="Arial" w:hAnsi="Arial"/>
          <w:spacing w:val="-7"/>
          <w:sz w:val="22"/>
        </w:rPr>
        <w:t> </w:t>
      </w:r>
      <w:r>
        <w:rPr>
          <w:rFonts w:ascii="Arial" w:hAnsi="Arial"/>
          <w:sz w:val="22"/>
        </w:rPr>
        <w:t>la</w:t>
      </w:r>
      <w:r>
        <w:rPr>
          <w:rFonts w:ascii="Arial" w:hAnsi="Arial"/>
          <w:spacing w:val="-7"/>
          <w:sz w:val="22"/>
        </w:rPr>
        <w:t> </w:t>
      </w:r>
      <w:r>
        <w:rPr>
          <w:rFonts w:ascii="Arial" w:hAnsi="Arial"/>
          <w:sz w:val="22"/>
        </w:rPr>
        <w:t>remisión</w:t>
      </w:r>
      <w:r>
        <w:rPr>
          <w:rFonts w:ascii="Arial" w:hAnsi="Arial"/>
          <w:spacing w:val="-5"/>
          <w:sz w:val="22"/>
        </w:rPr>
        <w:t> </w:t>
      </w:r>
      <w:r>
        <w:rPr>
          <w:rFonts w:ascii="Arial" w:hAnsi="Arial"/>
          <w:sz w:val="22"/>
        </w:rPr>
        <w:t>al</w:t>
      </w:r>
      <w:r>
        <w:rPr>
          <w:rFonts w:ascii="Arial" w:hAnsi="Arial"/>
          <w:spacing w:val="-7"/>
          <w:sz w:val="22"/>
        </w:rPr>
        <w:t> </w:t>
      </w:r>
      <w:r>
        <w:rPr>
          <w:rFonts w:ascii="Arial" w:hAnsi="Arial"/>
          <w:sz w:val="22"/>
        </w:rPr>
        <w:t>artículo</w:t>
      </w:r>
      <w:r>
        <w:rPr>
          <w:rFonts w:ascii="Arial" w:hAnsi="Arial"/>
          <w:spacing w:val="-7"/>
          <w:sz w:val="22"/>
        </w:rPr>
        <w:t> </w:t>
      </w:r>
      <w:r>
        <w:rPr>
          <w:rFonts w:ascii="Arial" w:hAnsi="Arial"/>
          <w:sz w:val="22"/>
        </w:rPr>
        <w:t>26</w:t>
      </w:r>
      <w:r>
        <w:rPr>
          <w:rFonts w:ascii="Arial" w:hAnsi="Arial"/>
          <w:spacing w:val="-6"/>
          <w:sz w:val="22"/>
        </w:rPr>
        <w:t> </w:t>
      </w:r>
      <w:r>
        <w:rPr>
          <w:rFonts w:ascii="Arial" w:hAnsi="Arial"/>
          <w:sz w:val="22"/>
        </w:rPr>
        <w:t>de</w:t>
      </w:r>
      <w:r>
        <w:rPr>
          <w:rFonts w:ascii="Arial" w:hAnsi="Arial"/>
          <w:spacing w:val="-7"/>
          <w:sz w:val="22"/>
        </w:rPr>
        <w:t> </w:t>
      </w:r>
      <w:r>
        <w:rPr>
          <w:rFonts w:ascii="Arial" w:hAnsi="Arial"/>
          <w:sz w:val="22"/>
        </w:rPr>
        <w:t>la</w:t>
      </w:r>
      <w:r>
        <w:rPr>
          <w:rFonts w:ascii="Arial" w:hAnsi="Arial"/>
          <w:spacing w:val="-7"/>
          <w:sz w:val="22"/>
        </w:rPr>
        <w:t> </w:t>
      </w:r>
      <w:r>
        <w:rPr>
          <w:rFonts w:ascii="Arial" w:hAnsi="Arial"/>
          <w:sz w:val="22"/>
        </w:rPr>
        <w:t>Convención</w:t>
      </w:r>
      <w:r>
        <w:rPr>
          <w:rFonts w:ascii="Arial" w:hAnsi="Arial"/>
          <w:spacing w:val="-7"/>
          <w:sz w:val="22"/>
        </w:rPr>
        <w:t> </w:t>
      </w:r>
      <w:r>
        <w:rPr>
          <w:rFonts w:ascii="Arial" w:hAnsi="Arial"/>
          <w:sz w:val="22"/>
        </w:rPr>
        <w:t>Americana,</w:t>
      </w:r>
      <w:r>
        <w:rPr>
          <w:rFonts w:ascii="Arial" w:hAnsi="Arial"/>
          <w:spacing w:val="-7"/>
          <w:sz w:val="22"/>
        </w:rPr>
        <w:t> </w:t>
      </w:r>
      <w:r>
        <w:rPr>
          <w:rFonts w:ascii="Arial" w:hAnsi="Arial"/>
          <w:sz w:val="22"/>
        </w:rPr>
        <w:t>surgen</w:t>
      </w:r>
      <w:r>
        <w:rPr>
          <w:rFonts w:ascii="Arial" w:hAnsi="Arial"/>
          <w:spacing w:val="-7"/>
          <w:sz w:val="22"/>
        </w:rPr>
        <w:t> </w:t>
      </w:r>
      <w:r>
        <w:rPr>
          <w:rFonts w:ascii="Arial" w:hAnsi="Arial"/>
          <w:sz w:val="22"/>
        </w:rPr>
        <w:t>tanto</w:t>
      </w:r>
      <w:r>
        <w:rPr>
          <w:rFonts w:ascii="Arial" w:hAnsi="Arial"/>
          <w:spacing w:val="-7"/>
          <w:sz w:val="22"/>
        </w:rPr>
        <w:t> </w:t>
      </w:r>
      <w:r>
        <w:rPr>
          <w:rFonts w:ascii="Arial" w:hAnsi="Arial"/>
          <w:sz w:val="22"/>
        </w:rPr>
        <w:t>obligaciones de carácter inmediato como progresivas</w:t>
      </w:r>
      <w:r>
        <w:rPr>
          <w:rFonts w:ascii="Arial" w:hAnsi="Arial"/>
          <w:position w:val="7"/>
          <w:sz w:val="14"/>
        </w:rPr>
        <w:t>5</w:t>
      </w:r>
      <w:r>
        <w:rPr>
          <w:rFonts w:ascii="Arial" w:hAnsi="Arial"/>
          <w:sz w:val="22"/>
        </w:rPr>
        <w:t>; y, finalmente, ha sostenido que dicho artículo se encuentra sujeto a las obligaciones generales contenidas en los artículos 1.1 y 2 de la Convención Americana, como también lo están los Derechos Civiles y Políticos contenidos en los artículos 3 a</w:t>
      </w:r>
      <w:r>
        <w:rPr>
          <w:rFonts w:ascii="Arial" w:hAnsi="Arial"/>
          <w:spacing w:val="-6"/>
          <w:sz w:val="22"/>
        </w:rPr>
        <w:t> </w:t>
      </w:r>
      <w:r>
        <w:rPr>
          <w:rFonts w:ascii="Arial" w:hAnsi="Arial"/>
          <w:sz w:val="22"/>
        </w:rPr>
        <w:t>25</w:t>
      </w:r>
      <w:r>
        <w:rPr>
          <w:rFonts w:ascii="Arial" w:hAnsi="Arial"/>
          <w:position w:val="7"/>
          <w:sz w:val="14"/>
        </w:rPr>
        <w:t>6</w:t>
      </w:r>
      <w:r>
        <w:rPr>
          <w:rFonts w:ascii="Arial" w:hAnsi="Arial"/>
          <w:sz w:val="22"/>
        </w:rPr>
        <w:t>.</w:t>
      </w:r>
    </w:p>
    <w:p>
      <w:pPr>
        <w:pStyle w:val="BodyText"/>
        <w:rPr>
          <w:rFonts w:ascii="Arial"/>
          <w:sz w:val="22"/>
        </w:rPr>
      </w:pPr>
    </w:p>
    <w:p>
      <w:pPr>
        <w:spacing w:before="0"/>
        <w:ind w:left="120" w:right="0" w:firstLine="0"/>
        <w:jc w:val="both"/>
        <w:rPr>
          <w:rFonts w:ascii="Arial" w:hAnsi="Arial"/>
          <w:b/>
          <w:sz w:val="22"/>
        </w:rPr>
      </w:pPr>
      <w:r>
        <w:rPr>
          <w:rFonts w:ascii="Arial" w:hAnsi="Arial"/>
          <w:b/>
          <w:sz w:val="22"/>
        </w:rPr>
        <w:t>Hermenéutica adicional.</w:t>
      </w:r>
    </w:p>
    <w:p>
      <w:pPr>
        <w:pStyle w:val="BodyText"/>
        <w:rPr>
          <w:rFonts w:ascii="Arial"/>
          <w:b/>
          <w:sz w:val="22"/>
        </w:rPr>
      </w:pPr>
    </w:p>
    <w:p>
      <w:pPr>
        <w:spacing w:before="0"/>
        <w:ind w:left="120" w:right="124" w:firstLine="0"/>
        <w:jc w:val="both"/>
        <w:rPr>
          <w:rFonts w:ascii="Arial" w:hAnsi="Arial"/>
          <w:sz w:val="22"/>
        </w:rPr>
      </w:pPr>
      <w:r>
        <w:rPr>
          <w:rFonts w:ascii="Arial" w:hAnsi="Arial"/>
          <w:sz w:val="22"/>
        </w:rPr>
        <w:t>SEPTIMA. Sin perjuicio de los elementos normativos que me he permitido compartir en el apartado</w:t>
      </w:r>
      <w:r>
        <w:rPr>
          <w:rFonts w:ascii="Arial" w:hAnsi="Arial"/>
          <w:spacing w:val="-8"/>
          <w:sz w:val="22"/>
        </w:rPr>
        <w:t> </w:t>
      </w:r>
      <w:r>
        <w:rPr>
          <w:rFonts w:ascii="Arial" w:hAnsi="Arial"/>
          <w:sz w:val="22"/>
        </w:rPr>
        <w:t>anterior,</w:t>
      </w:r>
      <w:r>
        <w:rPr>
          <w:rFonts w:ascii="Arial" w:hAnsi="Arial"/>
          <w:spacing w:val="-9"/>
          <w:sz w:val="22"/>
        </w:rPr>
        <w:t> </w:t>
      </w:r>
      <w:r>
        <w:rPr>
          <w:rFonts w:ascii="Arial" w:hAnsi="Arial"/>
          <w:sz w:val="22"/>
        </w:rPr>
        <w:t>considero</w:t>
      </w:r>
      <w:r>
        <w:rPr>
          <w:rFonts w:ascii="Arial" w:hAnsi="Arial"/>
          <w:spacing w:val="-9"/>
          <w:sz w:val="22"/>
        </w:rPr>
        <w:t> </w:t>
      </w:r>
      <w:r>
        <w:rPr>
          <w:rFonts w:ascii="Arial" w:hAnsi="Arial"/>
          <w:sz w:val="22"/>
        </w:rPr>
        <w:t>importante</w:t>
      </w:r>
      <w:r>
        <w:rPr>
          <w:rFonts w:ascii="Arial" w:hAnsi="Arial"/>
          <w:spacing w:val="-9"/>
          <w:sz w:val="22"/>
        </w:rPr>
        <w:t> </w:t>
      </w:r>
      <w:r>
        <w:rPr>
          <w:rFonts w:ascii="Arial" w:hAnsi="Arial"/>
          <w:sz w:val="22"/>
        </w:rPr>
        <w:t>destacar</w:t>
      </w:r>
      <w:r>
        <w:rPr>
          <w:rFonts w:ascii="Arial" w:hAnsi="Arial"/>
          <w:spacing w:val="-10"/>
          <w:sz w:val="22"/>
        </w:rPr>
        <w:t> </w:t>
      </w:r>
      <w:r>
        <w:rPr>
          <w:rFonts w:ascii="Arial" w:hAnsi="Arial"/>
          <w:sz w:val="22"/>
        </w:rPr>
        <w:t>que</w:t>
      </w:r>
      <w:r>
        <w:rPr>
          <w:rFonts w:ascii="Arial" w:hAnsi="Arial"/>
          <w:spacing w:val="-9"/>
          <w:sz w:val="22"/>
        </w:rPr>
        <w:t> </w:t>
      </w:r>
      <w:r>
        <w:rPr>
          <w:rFonts w:ascii="Arial" w:hAnsi="Arial"/>
          <w:sz w:val="22"/>
        </w:rPr>
        <w:t>se</w:t>
      </w:r>
      <w:r>
        <w:rPr>
          <w:rFonts w:ascii="Arial" w:hAnsi="Arial"/>
          <w:spacing w:val="-9"/>
          <w:sz w:val="22"/>
        </w:rPr>
        <w:t> </w:t>
      </w:r>
      <w:r>
        <w:rPr>
          <w:rFonts w:ascii="Arial" w:hAnsi="Arial"/>
          <w:sz w:val="22"/>
        </w:rPr>
        <w:t>ha</w:t>
      </w:r>
      <w:r>
        <w:rPr>
          <w:rFonts w:ascii="Arial" w:hAnsi="Arial"/>
          <w:spacing w:val="-9"/>
          <w:sz w:val="22"/>
        </w:rPr>
        <w:t> </w:t>
      </w:r>
      <w:r>
        <w:rPr>
          <w:rFonts w:ascii="Arial" w:hAnsi="Arial"/>
          <w:sz w:val="22"/>
        </w:rPr>
        <w:t>ido</w:t>
      </w:r>
      <w:r>
        <w:rPr>
          <w:rFonts w:ascii="Arial" w:hAnsi="Arial"/>
          <w:spacing w:val="-9"/>
          <w:sz w:val="22"/>
        </w:rPr>
        <w:t> </w:t>
      </w:r>
      <w:r>
        <w:rPr>
          <w:rFonts w:ascii="Arial" w:hAnsi="Arial"/>
          <w:sz w:val="22"/>
        </w:rPr>
        <w:t>conformando</w:t>
      </w:r>
      <w:r>
        <w:rPr>
          <w:rFonts w:ascii="Arial" w:hAnsi="Arial"/>
          <w:spacing w:val="-9"/>
          <w:sz w:val="22"/>
        </w:rPr>
        <w:t> </w:t>
      </w:r>
      <w:r>
        <w:rPr>
          <w:rFonts w:ascii="Arial" w:hAnsi="Arial"/>
          <w:sz w:val="22"/>
        </w:rPr>
        <w:t>un</w:t>
      </w:r>
      <w:r>
        <w:rPr>
          <w:rFonts w:ascii="Arial" w:hAnsi="Arial"/>
          <w:spacing w:val="-9"/>
          <w:sz w:val="22"/>
        </w:rPr>
        <w:t> </w:t>
      </w:r>
      <w:r>
        <w:rPr>
          <w:rFonts w:ascii="Arial" w:hAnsi="Arial"/>
          <w:sz w:val="22"/>
        </w:rPr>
        <w:t>orden</w:t>
      </w:r>
      <w:r>
        <w:rPr>
          <w:rFonts w:ascii="Arial" w:hAnsi="Arial"/>
          <w:spacing w:val="-9"/>
          <w:sz w:val="22"/>
        </w:rPr>
        <w:t> </w:t>
      </w:r>
      <w:r>
        <w:rPr>
          <w:rFonts w:ascii="Arial" w:hAnsi="Arial"/>
          <w:sz w:val="22"/>
        </w:rPr>
        <w:t>jerárquico internacional</w:t>
      </w:r>
      <w:r>
        <w:rPr>
          <w:rFonts w:ascii="Arial" w:hAnsi="Arial"/>
          <w:spacing w:val="-6"/>
          <w:sz w:val="22"/>
        </w:rPr>
        <w:t> </w:t>
      </w:r>
      <w:r>
        <w:rPr>
          <w:rFonts w:ascii="Arial" w:hAnsi="Arial"/>
          <w:sz w:val="22"/>
        </w:rPr>
        <w:t>superior</w:t>
      </w:r>
      <w:r>
        <w:rPr>
          <w:rFonts w:ascii="Arial" w:hAnsi="Arial"/>
          <w:spacing w:val="-6"/>
          <w:sz w:val="22"/>
        </w:rPr>
        <w:t> </w:t>
      </w:r>
      <w:r>
        <w:rPr>
          <w:rFonts w:ascii="Arial" w:hAnsi="Arial"/>
          <w:sz w:val="22"/>
        </w:rPr>
        <w:t>de</w:t>
      </w:r>
      <w:r>
        <w:rPr>
          <w:rFonts w:ascii="Arial" w:hAnsi="Arial"/>
          <w:spacing w:val="-5"/>
          <w:sz w:val="22"/>
        </w:rPr>
        <w:t> </w:t>
      </w:r>
      <w:r>
        <w:rPr>
          <w:rFonts w:ascii="Arial" w:hAnsi="Arial"/>
          <w:sz w:val="22"/>
        </w:rPr>
        <w:t>principios</w:t>
      </w:r>
      <w:r>
        <w:rPr>
          <w:rFonts w:ascii="Arial" w:hAnsi="Arial"/>
          <w:spacing w:val="-5"/>
          <w:sz w:val="22"/>
        </w:rPr>
        <w:t> </w:t>
      </w:r>
      <w:r>
        <w:rPr>
          <w:rFonts w:ascii="Arial" w:hAnsi="Arial"/>
          <w:sz w:val="22"/>
        </w:rPr>
        <w:t>y</w:t>
      </w:r>
      <w:r>
        <w:rPr>
          <w:rFonts w:ascii="Arial" w:hAnsi="Arial"/>
          <w:spacing w:val="-7"/>
          <w:sz w:val="22"/>
        </w:rPr>
        <w:t> </w:t>
      </w:r>
      <w:r>
        <w:rPr>
          <w:rFonts w:ascii="Arial" w:hAnsi="Arial"/>
          <w:sz w:val="22"/>
        </w:rPr>
        <w:t>valores</w:t>
      </w:r>
      <w:r>
        <w:rPr>
          <w:rFonts w:ascii="Arial" w:hAnsi="Arial"/>
          <w:spacing w:val="-5"/>
          <w:sz w:val="22"/>
        </w:rPr>
        <w:t> </w:t>
      </w:r>
      <w:r>
        <w:rPr>
          <w:rFonts w:ascii="Arial" w:hAnsi="Arial"/>
          <w:sz w:val="22"/>
        </w:rPr>
        <w:t>que</w:t>
      </w:r>
      <w:r>
        <w:rPr>
          <w:rFonts w:ascii="Arial" w:hAnsi="Arial"/>
          <w:spacing w:val="-7"/>
          <w:sz w:val="22"/>
        </w:rPr>
        <w:t> </w:t>
      </w:r>
      <w:r>
        <w:rPr>
          <w:rFonts w:ascii="Arial" w:hAnsi="Arial"/>
          <w:sz w:val="22"/>
        </w:rPr>
        <w:t>componen</w:t>
      </w:r>
      <w:r>
        <w:rPr>
          <w:rFonts w:ascii="Arial" w:hAnsi="Arial"/>
          <w:spacing w:val="-6"/>
          <w:sz w:val="22"/>
        </w:rPr>
        <w:t> </w:t>
      </w:r>
      <w:r>
        <w:rPr>
          <w:rFonts w:ascii="Arial" w:hAnsi="Arial"/>
          <w:sz w:val="22"/>
        </w:rPr>
        <w:t>un</w:t>
      </w:r>
      <w:r>
        <w:rPr>
          <w:rFonts w:ascii="Arial" w:hAnsi="Arial"/>
          <w:spacing w:val="-5"/>
          <w:sz w:val="22"/>
        </w:rPr>
        <w:t> </w:t>
      </w:r>
      <w:r>
        <w:rPr>
          <w:rFonts w:ascii="Arial" w:hAnsi="Arial"/>
          <w:sz w:val="22"/>
        </w:rPr>
        <w:t>fondo</w:t>
      </w:r>
      <w:r>
        <w:rPr>
          <w:rFonts w:ascii="Arial" w:hAnsi="Arial"/>
          <w:spacing w:val="-5"/>
          <w:sz w:val="22"/>
        </w:rPr>
        <w:t> </w:t>
      </w:r>
      <w:r>
        <w:rPr>
          <w:rFonts w:ascii="Arial" w:hAnsi="Arial"/>
          <w:sz w:val="22"/>
        </w:rPr>
        <w:t>ontológico</w:t>
      </w:r>
      <w:r>
        <w:rPr>
          <w:rFonts w:ascii="Arial" w:hAnsi="Arial"/>
          <w:spacing w:val="-5"/>
          <w:sz w:val="22"/>
        </w:rPr>
        <w:t> </w:t>
      </w:r>
      <w:r>
        <w:rPr>
          <w:rFonts w:ascii="Arial" w:hAnsi="Arial"/>
          <w:sz w:val="22"/>
        </w:rPr>
        <w:t>a</w:t>
      </w:r>
      <w:r>
        <w:rPr>
          <w:rFonts w:ascii="Arial" w:hAnsi="Arial"/>
          <w:spacing w:val="-6"/>
          <w:sz w:val="22"/>
        </w:rPr>
        <w:t> </w:t>
      </w:r>
      <w:r>
        <w:rPr>
          <w:rFonts w:ascii="Arial" w:hAnsi="Arial"/>
          <w:sz w:val="22"/>
        </w:rPr>
        <w:t>partir</w:t>
      </w:r>
      <w:r>
        <w:rPr>
          <w:rFonts w:ascii="Arial" w:hAnsi="Arial"/>
          <w:spacing w:val="-5"/>
          <w:sz w:val="22"/>
        </w:rPr>
        <w:t> </w:t>
      </w:r>
      <w:r>
        <w:rPr>
          <w:rFonts w:ascii="Arial" w:hAnsi="Arial"/>
          <w:sz w:val="22"/>
        </w:rPr>
        <w:t>del</w:t>
      </w:r>
      <w:r>
        <w:rPr>
          <w:rFonts w:ascii="Arial" w:hAnsi="Arial"/>
          <w:spacing w:val="-5"/>
          <w:sz w:val="22"/>
        </w:rPr>
        <w:t> </w:t>
      </w:r>
      <w:r>
        <w:rPr>
          <w:rFonts w:ascii="Arial" w:hAnsi="Arial"/>
          <w:sz w:val="22"/>
        </w:rPr>
        <w:t>cual</w:t>
      </w:r>
    </w:p>
    <w:p>
      <w:pPr>
        <w:pStyle w:val="BodyText"/>
        <w:rPr>
          <w:rFonts w:ascii="Arial"/>
        </w:rPr>
      </w:pPr>
    </w:p>
    <w:p>
      <w:pPr>
        <w:pStyle w:val="BodyText"/>
        <w:rPr>
          <w:rFonts w:ascii="Arial"/>
        </w:rPr>
      </w:pPr>
    </w:p>
    <w:p>
      <w:pPr>
        <w:pStyle w:val="BodyText"/>
        <w:spacing w:before="3"/>
        <w:rPr>
          <w:rFonts w:ascii="Arial"/>
          <w:sz w:val="10"/>
        </w:rPr>
      </w:pPr>
      <w:r>
        <w:rPr/>
        <w:pict>
          <v:line style="position:absolute;mso-position-horizontal-relative:page;mso-position-vertical-relative:paragraph;z-index:3784;mso-wrap-distance-left:0;mso-wrap-distance-right:0" from="72pt,8.268781pt" to="216.02pt,8.268781pt" stroked="true" strokeweight=".71997pt" strokecolor="#000000">
            <v:stroke dashstyle="solid"/>
            <w10:wrap type="topAndBottom"/>
          </v:line>
        </w:pict>
      </w:r>
    </w:p>
    <w:p>
      <w:pPr>
        <w:pStyle w:val="ListParagraph"/>
        <w:numPr>
          <w:ilvl w:val="0"/>
          <w:numId w:val="43"/>
        </w:numPr>
        <w:tabs>
          <w:tab w:pos="840" w:val="left" w:leader="none"/>
          <w:tab w:pos="841" w:val="left" w:leader="none"/>
        </w:tabs>
        <w:spacing w:line="240" w:lineRule="auto" w:before="70" w:after="0"/>
        <w:ind w:left="120" w:right="119" w:firstLine="0"/>
        <w:jc w:val="both"/>
        <w:rPr>
          <w:sz w:val="16"/>
        </w:rPr>
      </w:pPr>
      <w:r>
        <w:rPr>
          <w:sz w:val="16"/>
        </w:rPr>
        <w:t>Este criterio de aplicación se encuentra, en parte, desarrollado bajo el apartado titulado “consideraciones de la Corte” de la Sentencia, específicamente en los párrafos 194 a</w:t>
      </w:r>
      <w:r>
        <w:rPr>
          <w:spacing w:val="-23"/>
          <w:sz w:val="16"/>
        </w:rPr>
        <w:t> </w:t>
      </w:r>
      <w:r>
        <w:rPr>
          <w:sz w:val="16"/>
        </w:rPr>
        <w:t>201.</w:t>
      </w:r>
    </w:p>
    <w:p>
      <w:pPr>
        <w:pStyle w:val="ListParagraph"/>
        <w:numPr>
          <w:ilvl w:val="0"/>
          <w:numId w:val="43"/>
        </w:numPr>
        <w:tabs>
          <w:tab w:pos="840" w:val="left" w:leader="none"/>
          <w:tab w:pos="841" w:val="left" w:leader="none"/>
        </w:tabs>
        <w:spacing w:line="240" w:lineRule="auto" w:before="0" w:after="0"/>
        <w:ind w:left="840" w:right="0" w:hanging="720"/>
        <w:jc w:val="both"/>
        <w:rPr>
          <w:sz w:val="16"/>
        </w:rPr>
      </w:pPr>
      <w:r>
        <w:rPr>
          <w:sz w:val="16"/>
        </w:rPr>
        <w:t>Parrs. 202, 210, 222 y 231 respectivamente (esta</w:t>
      </w:r>
      <w:r>
        <w:rPr>
          <w:spacing w:val="-23"/>
          <w:sz w:val="16"/>
        </w:rPr>
        <w:t> </w:t>
      </w:r>
      <w:r>
        <w:rPr>
          <w:sz w:val="16"/>
        </w:rPr>
        <w:t>sentencia)</w:t>
      </w:r>
    </w:p>
    <w:p>
      <w:pPr>
        <w:pStyle w:val="ListParagraph"/>
        <w:numPr>
          <w:ilvl w:val="0"/>
          <w:numId w:val="43"/>
        </w:numPr>
        <w:tabs>
          <w:tab w:pos="840" w:val="left" w:leader="none"/>
          <w:tab w:pos="841" w:val="left" w:leader="none"/>
        </w:tabs>
        <w:spacing w:line="240" w:lineRule="auto" w:before="0" w:after="0"/>
        <w:ind w:left="840" w:right="0" w:hanging="720"/>
        <w:jc w:val="both"/>
        <w:rPr>
          <w:sz w:val="16"/>
        </w:rPr>
      </w:pPr>
      <w:r>
        <w:rPr>
          <w:sz w:val="16"/>
        </w:rPr>
        <w:t>Párrs. 211 y 232</w:t>
      </w:r>
      <w:r>
        <w:rPr>
          <w:spacing w:val="-11"/>
          <w:sz w:val="16"/>
        </w:rPr>
        <w:t> </w:t>
      </w:r>
      <w:r>
        <w:rPr>
          <w:sz w:val="16"/>
        </w:rPr>
        <w:t>repectivamente</w:t>
      </w:r>
    </w:p>
    <w:p>
      <w:pPr>
        <w:pStyle w:val="ListParagraph"/>
        <w:numPr>
          <w:ilvl w:val="0"/>
          <w:numId w:val="43"/>
        </w:numPr>
        <w:tabs>
          <w:tab w:pos="840" w:val="left" w:leader="none"/>
          <w:tab w:pos="841" w:val="left" w:leader="none"/>
        </w:tabs>
        <w:spacing w:line="240" w:lineRule="auto" w:before="0" w:after="0"/>
        <w:ind w:left="120" w:right="119" w:firstLine="0"/>
        <w:jc w:val="both"/>
        <w:rPr>
          <w:sz w:val="16"/>
        </w:rPr>
      </w:pPr>
      <w:r>
        <w:rPr>
          <w:sz w:val="16"/>
        </w:rPr>
        <w:t>Opinión Consultiva OC-10/89</w:t>
      </w:r>
      <w:r>
        <w:rPr>
          <w:i/>
          <w:sz w:val="16"/>
        </w:rPr>
        <w:t>. Interpretación de la Declaración Americana de los Derechos y Deberes del </w:t>
      </w:r>
      <w:r>
        <w:rPr>
          <w:i/>
          <w:sz w:val="16"/>
        </w:rPr>
        <w:t>Hombre en el marco del artículo 64 de la Convención Americana sobre Derechos Humanos</w:t>
      </w:r>
      <w:r>
        <w:rPr>
          <w:sz w:val="16"/>
        </w:rPr>
        <w:t>, párrs. 46 y</w:t>
      </w:r>
      <w:r>
        <w:rPr>
          <w:spacing w:val="-29"/>
          <w:sz w:val="16"/>
        </w:rPr>
        <w:t> </w:t>
      </w:r>
      <w:r>
        <w:rPr>
          <w:sz w:val="16"/>
        </w:rPr>
        <w:t>47.</w:t>
      </w:r>
    </w:p>
    <w:p>
      <w:pPr>
        <w:pStyle w:val="ListParagraph"/>
        <w:numPr>
          <w:ilvl w:val="0"/>
          <w:numId w:val="43"/>
        </w:numPr>
        <w:tabs>
          <w:tab w:pos="840" w:val="left" w:leader="none"/>
          <w:tab w:pos="841" w:val="left" w:leader="none"/>
        </w:tabs>
        <w:spacing w:line="276" w:lineRule="auto" w:before="0" w:after="0"/>
        <w:ind w:left="120" w:right="119" w:firstLine="0"/>
        <w:jc w:val="both"/>
        <w:rPr>
          <w:i/>
          <w:sz w:val="16"/>
        </w:rPr>
      </w:pPr>
      <w:r>
        <w:rPr>
          <w:i/>
          <w:sz w:val="16"/>
        </w:rPr>
        <w:t>Caso Poblete Vilches y otros Vs. Chile. Fondo, Reparaciones y Costas. </w:t>
      </w:r>
      <w:r>
        <w:rPr>
          <w:sz w:val="16"/>
        </w:rPr>
        <w:t>Sentencia de 8 de marzo de 2018. Serie C No. 349, párr. 104 y </w:t>
      </w:r>
      <w:r>
        <w:rPr>
          <w:i/>
          <w:sz w:val="16"/>
        </w:rPr>
        <w:t>Caso Cuscul Pivaral y otros Vs. Guatemala. Excepción Preliminar, Fondo, Reparaciones </w:t>
      </w:r>
      <w:r>
        <w:rPr>
          <w:i/>
          <w:sz w:val="16"/>
        </w:rPr>
        <w:t>y</w:t>
      </w:r>
      <w:r>
        <w:rPr>
          <w:i/>
          <w:spacing w:val="-3"/>
          <w:sz w:val="16"/>
        </w:rPr>
        <w:t> </w:t>
      </w:r>
      <w:r>
        <w:rPr>
          <w:i/>
          <w:sz w:val="16"/>
        </w:rPr>
        <w:t>Costas</w:t>
      </w:r>
      <w:r>
        <w:rPr>
          <w:sz w:val="16"/>
        </w:rPr>
        <w:t>.</w:t>
      </w:r>
      <w:r>
        <w:rPr>
          <w:spacing w:val="-3"/>
          <w:sz w:val="16"/>
        </w:rPr>
        <w:t> </w:t>
      </w:r>
      <w:r>
        <w:rPr>
          <w:sz w:val="16"/>
        </w:rPr>
        <w:t>Sentencia</w:t>
      </w:r>
      <w:r>
        <w:rPr>
          <w:spacing w:val="-3"/>
          <w:sz w:val="16"/>
        </w:rPr>
        <w:t> </w:t>
      </w:r>
      <w:r>
        <w:rPr>
          <w:sz w:val="16"/>
        </w:rPr>
        <w:t>de</w:t>
      </w:r>
      <w:r>
        <w:rPr>
          <w:spacing w:val="-4"/>
          <w:sz w:val="16"/>
        </w:rPr>
        <w:t> </w:t>
      </w:r>
      <w:r>
        <w:rPr>
          <w:sz w:val="16"/>
        </w:rPr>
        <w:t>23</w:t>
      </w:r>
      <w:r>
        <w:rPr>
          <w:spacing w:val="-3"/>
          <w:sz w:val="16"/>
        </w:rPr>
        <w:t> </w:t>
      </w:r>
      <w:r>
        <w:rPr>
          <w:sz w:val="16"/>
        </w:rPr>
        <w:t>de</w:t>
      </w:r>
      <w:r>
        <w:rPr>
          <w:spacing w:val="-3"/>
          <w:sz w:val="16"/>
        </w:rPr>
        <w:t> </w:t>
      </w:r>
      <w:r>
        <w:rPr>
          <w:sz w:val="16"/>
        </w:rPr>
        <w:t>agosto</w:t>
      </w:r>
      <w:r>
        <w:rPr>
          <w:spacing w:val="-2"/>
          <w:sz w:val="16"/>
        </w:rPr>
        <w:t> </w:t>
      </w:r>
      <w:r>
        <w:rPr>
          <w:sz w:val="16"/>
        </w:rPr>
        <w:t>de</w:t>
      </w:r>
      <w:r>
        <w:rPr>
          <w:spacing w:val="-4"/>
          <w:sz w:val="16"/>
        </w:rPr>
        <w:t> </w:t>
      </w:r>
      <w:r>
        <w:rPr>
          <w:sz w:val="16"/>
        </w:rPr>
        <w:t>2018.</w:t>
      </w:r>
      <w:r>
        <w:rPr>
          <w:spacing w:val="-4"/>
          <w:sz w:val="16"/>
        </w:rPr>
        <w:t> </w:t>
      </w:r>
      <w:r>
        <w:rPr>
          <w:sz w:val="16"/>
        </w:rPr>
        <w:t>Serie</w:t>
      </w:r>
      <w:r>
        <w:rPr>
          <w:spacing w:val="-4"/>
          <w:sz w:val="16"/>
        </w:rPr>
        <w:t> </w:t>
      </w:r>
      <w:r>
        <w:rPr>
          <w:sz w:val="16"/>
        </w:rPr>
        <w:t>C</w:t>
      </w:r>
      <w:r>
        <w:rPr>
          <w:spacing w:val="-2"/>
          <w:sz w:val="16"/>
        </w:rPr>
        <w:t> </w:t>
      </w:r>
      <w:r>
        <w:rPr>
          <w:sz w:val="16"/>
        </w:rPr>
        <w:t>No.</w:t>
      </w:r>
      <w:r>
        <w:rPr>
          <w:spacing w:val="-3"/>
          <w:sz w:val="16"/>
        </w:rPr>
        <w:t> </w:t>
      </w:r>
      <w:r>
        <w:rPr>
          <w:sz w:val="16"/>
        </w:rPr>
        <w:t>359.,</w:t>
      </w:r>
      <w:r>
        <w:rPr>
          <w:spacing w:val="-4"/>
          <w:sz w:val="16"/>
        </w:rPr>
        <w:t> </w:t>
      </w:r>
      <w:r>
        <w:rPr>
          <w:sz w:val="16"/>
        </w:rPr>
        <w:t>párr.</w:t>
      </w:r>
      <w:r>
        <w:rPr>
          <w:spacing w:val="-4"/>
          <w:sz w:val="16"/>
        </w:rPr>
        <w:t> </w:t>
      </w:r>
      <w:r>
        <w:rPr>
          <w:sz w:val="16"/>
        </w:rPr>
        <w:t>98,</w:t>
      </w:r>
      <w:r>
        <w:rPr>
          <w:spacing w:val="-3"/>
          <w:sz w:val="16"/>
        </w:rPr>
        <w:t> </w:t>
      </w:r>
      <w:r>
        <w:rPr>
          <w:sz w:val="16"/>
        </w:rPr>
        <w:t>y</w:t>
      </w:r>
      <w:r>
        <w:rPr>
          <w:spacing w:val="-3"/>
          <w:sz w:val="16"/>
        </w:rPr>
        <w:t> </w:t>
      </w:r>
      <w:r>
        <w:rPr>
          <w:sz w:val="16"/>
        </w:rPr>
        <w:t>mutatis</w:t>
      </w:r>
      <w:r>
        <w:rPr>
          <w:spacing w:val="-3"/>
          <w:sz w:val="16"/>
        </w:rPr>
        <w:t> </w:t>
      </w:r>
      <w:r>
        <w:rPr>
          <w:sz w:val="16"/>
        </w:rPr>
        <w:t>mutandi,</w:t>
      </w:r>
      <w:r>
        <w:rPr>
          <w:spacing w:val="1"/>
          <w:sz w:val="16"/>
        </w:rPr>
        <w:t> </w:t>
      </w:r>
      <w:r>
        <w:rPr>
          <w:i/>
          <w:sz w:val="16"/>
        </w:rPr>
        <w:t>Caso</w:t>
      </w:r>
      <w:r>
        <w:rPr>
          <w:i/>
          <w:spacing w:val="-3"/>
          <w:sz w:val="16"/>
        </w:rPr>
        <w:t> </w:t>
      </w:r>
      <w:r>
        <w:rPr>
          <w:i/>
          <w:sz w:val="16"/>
        </w:rPr>
        <w:t>Muelle</w:t>
      </w:r>
      <w:r>
        <w:rPr>
          <w:i/>
          <w:spacing w:val="-4"/>
          <w:sz w:val="16"/>
        </w:rPr>
        <w:t> </w:t>
      </w:r>
      <w:r>
        <w:rPr>
          <w:i/>
          <w:sz w:val="16"/>
        </w:rPr>
        <w:t>Flores</w:t>
      </w:r>
      <w:r>
        <w:rPr>
          <w:i/>
          <w:spacing w:val="-3"/>
          <w:sz w:val="16"/>
        </w:rPr>
        <w:t> </w:t>
      </w:r>
      <w:r>
        <w:rPr>
          <w:i/>
          <w:sz w:val="16"/>
        </w:rPr>
        <w:t>Vs. </w:t>
      </w:r>
      <w:r>
        <w:rPr>
          <w:i/>
          <w:sz w:val="16"/>
        </w:rPr>
        <w:t>Perú. Excepciones Preliminares, Fondo, Reparaciones y Costas. Sentencia de 6 de marzo de 2019. Serie C No. 375, párr.</w:t>
      </w:r>
      <w:r>
        <w:rPr>
          <w:i/>
          <w:spacing w:val="-3"/>
          <w:sz w:val="16"/>
        </w:rPr>
        <w:t> </w:t>
      </w:r>
      <w:r>
        <w:rPr>
          <w:i/>
          <w:sz w:val="16"/>
        </w:rPr>
        <w:t>190.</w:t>
      </w:r>
    </w:p>
    <w:p>
      <w:pPr>
        <w:pStyle w:val="ListParagraph"/>
        <w:numPr>
          <w:ilvl w:val="0"/>
          <w:numId w:val="43"/>
        </w:numPr>
        <w:tabs>
          <w:tab w:pos="840" w:val="left" w:leader="none"/>
          <w:tab w:pos="841" w:val="left" w:leader="none"/>
        </w:tabs>
        <w:spacing w:line="240" w:lineRule="auto" w:before="0" w:after="0"/>
        <w:ind w:left="120" w:right="119" w:firstLine="0"/>
        <w:jc w:val="both"/>
        <w:rPr>
          <w:sz w:val="16"/>
        </w:rPr>
      </w:pPr>
      <w:r>
        <w:rPr>
          <w:i/>
          <w:sz w:val="16"/>
        </w:rPr>
        <w:t>Cfr.</w:t>
      </w:r>
      <w:r>
        <w:rPr>
          <w:i/>
          <w:spacing w:val="-11"/>
          <w:sz w:val="16"/>
        </w:rPr>
        <w:t> </w:t>
      </w:r>
      <w:r>
        <w:rPr>
          <w:i/>
          <w:sz w:val="16"/>
        </w:rPr>
        <w:t>Caso</w:t>
      </w:r>
      <w:r>
        <w:rPr>
          <w:i/>
          <w:spacing w:val="-11"/>
          <w:sz w:val="16"/>
        </w:rPr>
        <w:t> </w:t>
      </w:r>
      <w:r>
        <w:rPr>
          <w:i/>
          <w:sz w:val="16"/>
        </w:rPr>
        <w:t>Acevedo</w:t>
      </w:r>
      <w:r>
        <w:rPr>
          <w:i/>
          <w:spacing w:val="-11"/>
          <w:sz w:val="16"/>
        </w:rPr>
        <w:t> </w:t>
      </w:r>
      <w:r>
        <w:rPr>
          <w:i/>
          <w:sz w:val="16"/>
        </w:rPr>
        <w:t>Buendía</w:t>
      </w:r>
      <w:r>
        <w:rPr>
          <w:i/>
          <w:spacing w:val="-11"/>
          <w:sz w:val="16"/>
        </w:rPr>
        <w:t> </w:t>
      </w:r>
      <w:r>
        <w:rPr>
          <w:i/>
          <w:sz w:val="16"/>
        </w:rPr>
        <w:t>y</w:t>
      </w:r>
      <w:r>
        <w:rPr>
          <w:i/>
          <w:spacing w:val="-10"/>
          <w:sz w:val="16"/>
        </w:rPr>
        <w:t> </w:t>
      </w:r>
      <w:r>
        <w:rPr>
          <w:i/>
          <w:sz w:val="16"/>
        </w:rPr>
        <w:t>otros</w:t>
      </w:r>
      <w:r>
        <w:rPr>
          <w:i/>
          <w:spacing w:val="-11"/>
          <w:sz w:val="16"/>
        </w:rPr>
        <w:t> </w:t>
      </w:r>
      <w:r>
        <w:rPr>
          <w:i/>
          <w:sz w:val="16"/>
        </w:rPr>
        <w:t>(“Cesantes</w:t>
      </w:r>
      <w:r>
        <w:rPr>
          <w:i/>
          <w:spacing w:val="-11"/>
          <w:sz w:val="16"/>
        </w:rPr>
        <w:t> </w:t>
      </w:r>
      <w:r>
        <w:rPr>
          <w:i/>
          <w:sz w:val="16"/>
        </w:rPr>
        <w:t>y</w:t>
      </w:r>
      <w:r>
        <w:rPr>
          <w:i/>
          <w:spacing w:val="-10"/>
          <w:sz w:val="16"/>
        </w:rPr>
        <w:t> </w:t>
      </w:r>
      <w:r>
        <w:rPr>
          <w:i/>
          <w:sz w:val="16"/>
        </w:rPr>
        <w:t>Jubilados</w:t>
      </w:r>
      <w:r>
        <w:rPr>
          <w:i/>
          <w:spacing w:val="-10"/>
          <w:sz w:val="16"/>
        </w:rPr>
        <w:t> </w:t>
      </w:r>
      <w:r>
        <w:rPr>
          <w:i/>
          <w:sz w:val="16"/>
        </w:rPr>
        <w:t>de</w:t>
      </w:r>
      <w:r>
        <w:rPr>
          <w:i/>
          <w:spacing w:val="-11"/>
          <w:sz w:val="16"/>
        </w:rPr>
        <w:t> </w:t>
      </w:r>
      <w:r>
        <w:rPr>
          <w:i/>
          <w:sz w:val="16"/>
        </w:rPr>
        <w:t>la</w:t>
      </w:r>
      <w:r>
        <w:rPr>
          <w:i/>
          <w:spacing w:val="-11"/>
          <w:sz w:val="16"/>
        </w:rPr>
        <w:t> </w:t>
      </w:r>
      <w:r>
        <w:rPr>
          <w:i/>
          <w:sz w:val="16"/>
        </w:rPr>
        <w:t>Contraloría”)</w:t>
      </w:r>
      <w:r>
        <w:rPr>
          <w:i/>
          <w:spacing w:val="-11"/>
          <w:sz w:val="16"/>
        </w:rPr>
        <w:t> </w:t>
      </w:r>
      <w:r>
        <w:rPr>
          <w:i/>
          <w:sz w:val="16"/>
        </w:rPr>
        <w:t>Vs.</w:t>
      </w:r>
      <w:r>
        <w:rPr>
          <w:i/>
          <w:spacing w:val="-11"/>
          <w:sz w:val="16"/>
        </w:rPr>
        <w:t> </w:t>
      </w:r>
      <w:r>
        <w:rPr>
          <w:i/>
          <w:sz w:val="16"/>
        </w:rPr>
        <w:t>Perú.</w:t>
      </w:r>
      <w:r>
        <w:rPr>
          <w:i/>
          <w:spacing w:val="-11"/>
          <w:sz w:val="16"/>
        </w:rPr>
        <w:t> </w:t>
      </w:r>
      <w:r>
        <w:rPr>
          <w:i/>
          <w:sz w:val="16"/>
        </w:rPr>
        <w:t>Excepción</w:t>
      </w:r>
      <w:r>
        <w:rPr>
          <w:i/>
          <w:spacing w:val="-11"/>
          <w:sz w:val="16"/>
        </w:rPr>
        <w:t> </w:t>
      </w:r>
      <w:r>
        <w:rPr>
          <w:i/>
          <w:sz w:val="16"/>
        </w:rPr>
        <w:t>Preliminar, </w:t>
      </w:r>
      <w:r>
        <w:rPr>
          <w:i/>
          <w:sz w:val="16"/>
        </w:rPr>
        <w:t>Fondo, Reparaciones y Costas</w:t>
      </w:r>
      <w:r>
        <w:rPr>
          <w:sz w:val="16"/>
        </w:rPr>
        <w:t>. Sentencia de 1 de julio de 2009. Serie C No 198, párr. 100, y </w:t>
      </w:r>
      <w:r>
        <w:rPr>
          <w:i/>
          <w:sz w:val="16"/>
        </w:rPr>
        <w:t>Caso Poblete Vilches y </w:t>
      </w:r>
      <w:r>
        <w:rPr>
          <w:i/>
          <w:sz w:val="16"/>
        </w:rPr>
        <w:t>otros Vs. Chile. Fondo, Reparaciones y Costas</w:t>
      </w:r>
      <w:r>
        <w:rPr>
          <w:sz w:val="16"/>
        </w:rPr>
        <w:t>. Sentencia de 8 de marzo de 2018. Serie C No. 349, párr.</w:t>
      </w:r>
      <w:r>
        <w:rPr>
          <w:spacing w:val="-30"/>
          <w:sz w:val="16"/>
        </w:rPr>
        <w:t> </w:t>
      </w:r>
      <w:r>
        <w:rPr>
          <w:sz w:val="16"/>
        </w:rPr>
        <w:t>100</w:t>
      </w:r>
    </w:p>
    <w:p>
      <w:pPr>
        <w:spacing w:after="0" w:line="240" w:lineRule="auto"/>
        <w:jc w:val="both"/>
        <w:rPr>
          <w:sz w:val="16"/>
        </w:rPr>
        <w:sectPr>
          <w:footerReference w:type="default" r:id="rId35"/>
          <w:pgSz w:w="12240" w:h="15840"/>
          <w:pgMar w:footer="1031" w:header="0" w:top="1360" w:bottom="1220" w:left="1320" w:right="1320"/>
          <w:pgNumType w:start="2"/>
        </w:sectPr>
      </w:pPr>
    </w:p>
    <w:p>
      <w:pPr>
        <w:pStyle w:val="Heading2"/>
        <w:spacing w:before="80"/>
        <w:ind w:left="100" w:right="118"/>
        <w:jc w:val="both"/>
      </w:pPr>
      <w:r>
        <w:rPr/>
        <w:t>se deben conducir los razonamientos previos de interpretación y aplicación de las normas de derecho internacional de los derechos humanos.</w:t>
      </w:r>
    </w:p>
    <w:p>
      <w:pPr>
        <w:pStyle w:val="BodyText"/>
        <w:spacing w:before="10"/>
        <w:rPr>
          <w:rFonts w:ascii="Arial"/>
          <w:sz w:val="21"/>
        </w:rPr>
      </w:pPr>
    </w:p>
    <w:p>
      <w:pPr>
        <w:spacing w:before="0"/>
        <w:ind w:left="100" w:right="117" w:firstLine="0"/>
        <w:jc w:val="both"/>
        <w:rPr>
          <w:rFonts w:ascii="Arial" w:hAnsi="Arial"/>
          <w:sz w:val="22"/>
        </w:rPr>
      </w:pPr>
      <w:r>
        <w:rPr>
          <w:rFonts w:ascii="Arial" w:hAnsi="Arial"/>
          <w:sz w:val="22"/>
        </w:rPr>
        <w:t>OCTAVO. El corpus juris se nutre de principios fundacionales, valores ordenadores y por supuesto</w:t>
      </w:r>
      <w:r>
        <w:rPr>
          <w:rFonts w:ascii="Arial" w:hAnsi="Arial"/>
          <w:spacing w:val="-9"/>
          <w:sz w:val="22"/>
        </w:rPr>
        <w:t> </w:t>
      </w:r>
      <w:r>
        <w:rPr>
          <w:rFonts w:ascii="Arial" w:hAnsi="Arial"/>
          <w:sz w:val="22"/>
        </w:rPr>
        <w:t>de</w:t>
      </w:r>
      <w:r>
        <w:rPr>
          <w:rFonts w:ascii="Arial" w:hAnsi="Arial"/>
          <w:spacing w:val="-10"/>
          <w:sz w:val="22"/>
        </w:rPr>
        <w:t> </w:t>
      </w:r>
      <w:r>
        <w:rPr>
          <w:rFonts w:ascii="Arial" w:hAnsi="Arial"/>
          <w:sz w:val="22"/>
        </w:rPr>
        <w:t>reglas</w:t>
      </w:r>
      <w:r>
        <w:rPr>
          <w:rFonts w:ascii="Arial" w:hAnsi="Arial"/>
          <w:spacing w:val="-10"/>
          <w:sz w:val="22"/>
        </w:rPr>
        <w:t> </w:t>
      </w:r>
      <w:r>
        <w:rPr>
          <w:rFonts w:ascii="Arial" w:hAnsi="Arial"/>
          <w:sz w:val="22"/>
        </w:rPr>
        <w:t>y</w:t>
      </w:r>
      <w:r>
        <w:rPr>
          <w:rFonts w:ascii="Arial" w:hAnsi="Arial"/>
          <w:spacing w:val="-9"/>
          <w:sz w:val="22"/>
        </w:rPr>
        <w:t> </w:t>
      </w:r>
      <w:r>
        <w:rPr>
          <w:rFonts w:ascii="Arial" w:hAnsi="Arial"/>
          <w:sz w:val="22"/>
        </w:rPr>
        <w:t>normas</w:t>
      </w:r>
      <w:r>
        <w:rPr>
          <w:rFonts w:ascii="Arial" w:hAnsi="Arial"/>
          <w:spacing w:val="-9"/>
          <w:sz w:val="22"/>
        </w:rPr>
        <w:t> </w:t>
      </w:r>
      <w:r>
        <w:rPr>
          <w:rFonts w:ascii="Arial" w:hAnsi="Arial"/>
          <w:sz w:val="22"/>
        </w:rPr>
        <w:t>escritas,</w:t>
      </w:r>
      <w:r>
        <w:rPr>
          <w:rFonts w:ascii="Arial" w:hAnsi="Arial"/>
          <w:spacing w:val="-10"/>
          <w:sz w:val="22"/>
        </w:rPr>
        <w:t> </w:t>
      </w:r>
      <w:r>
        <w:rPr>
          <w:rFonts w:ascii="Arial" w:hAnsi="Arial"/>
          <w:sz w:val="22"/>
        </w:rPr>
        <w:t>las</w:t>
      </w:r>
      <w:r>
        <w:rPr>
          <w:rFonts w:ascii="Arial" w:hAnsi="Arial"/>
          <w:spacing w:val="-9"/>
          <w:sz w:val="22"/>
        </w:rPr>
        <w:t> </w:t>
      </w:r>
      <w:r>
        <w:rPr>
          <w:rFonts w:ascii="Arial" w:hAnsi="Arial"/>
          <w:sz w:val="22"/>
        </w:rPr>
        <w:t>mismas</w:t>
      </w:r>
      <w:r>
        <w:rPr>
          <w:rFonts w:ascii="Arial" w:hAnsi="Arial"/>
          <w:spacing w:val="-10"/>
          <w:sz w:val="22"/>
        </w:rPr>
        <w:t> </w:t>
      </w:r>
      <w:r>
        <w:rPr>
          <w:rFonts w:ascii="Arial" w:hAnsi="Arial"/>
          <w:sz w:val="22"/>
        </w:rPr>
        <w:t>que</w:t>
      </w:r>
      <w:r>
        <w:rPr>
          <w:rFonts w:ascii="Arial" w:hAnsi="Arial"/>
          <w:spacing w:val="-9"/>
          <w:sz w:val="22"/>
        </w:rPr>
        <w:t> </w:t>
      </w:r>
      <w:r>
        <w:rPr>
          <w:rFonts w:ascii="Arial" w:hAnsi="Arial"/>
          <w:sz w:val="22"/>
        </w:rPr>
        <w:t>las</w:t>
      </w:r>
      <w:r>
        <w:rPr>
          <w:rFonts w:ascii="Arial" w:hAnsi="Arial"/>
          <w:spacing w:val="-10"/>
          <w:sz w:val="22"/>
        </w:rPr>
        <w:t> </w:t>
      </w:r>
      <w:r>
        <w:rPr>
          <w:rFonts w:ascii="Arial" w:hAnsi="Arial"/>
          <w:sz w:val="22"/>
        </w:rPr>
        <w:t>entiendo</w:t>
      </w:r>
      <w:r>
        <w:rPr>
          <w:rFonts w:ascii="Arial" w:hAnsi="Arial"/>
          <w:spacing w:val="-9"/>
          <w:sz w:val="22"/>
        </w:rPr>
        <w:t> </w:t>
      </w:r>
      <w:r>
        <w:rPr>
          <w:rFonts w:ascii="Arial" w:hAnsi="Arial"/>
          <w:sz w:val="22"/>
        </w:rPr>
        <w:t>desde</w:t>
      </w:r>
      <w:r>
        <w:rPr>
          <w:rFonts w:ascii="Arial" w:hAnsi="Arial"/>
          <w:spacing w:val="-10"/>
          <w:sz w:val="22"/>
        </w:rPr>
        <w:t> </w:t>
      </w:r>
      <w:r>
        <w:rPr>
          <w:rFonts w:ascii="Arial" w:hAnsi="Arial"/>
          <w:sz w:val="22"/>
        </w:rPr>
        <w:t>una</w:t>
      </w:r>
      <w:r>
        <w:rPr>
          <w:rFonts w:ascii="Arial" w:hAnsi="Arial"/>
          <w:spacing w:val="-9"/>
          <w:sz w:val="22"/>
        </w:rPr>
        <w:t> </w:t>
      </w:r>
      <w:r>
        <w:rPr>
          <w:rFonts w:ascii="Arial" w:hAnsi="Arial"/>
          <w:sz w:val="22"/>
        </w:rPr>
        <w:t>perspectiva</w:t>
      </w:r>
      <w:r>
        <w:rPr>
          <w:rFonts w:ascii="Arial" w:hAnsi="Arial"/>
          <w:spacing w:val="-9"/>
          <w:sz w:val="22"/>
        </w:rPr>
        <w:t> </w:t>
      </w:r>
      <w:r>
        <w:rPr>
          <w:rFonts w:ascii="Arial" w:hAnsi="Arial"/>
          <w:sz w:val="22"/>
        </w:rPr>
        <w:t>literal, siempre y cuando su sentido y entendimiento sea suficiente y claro, más cuando eso no es posible o es insuficiente, me asisto de una revisión teleológica, que busque apoyo en el origen, el espíritu de los textos, tratando de desentrañar lo que sus mentores trataron de transmitir, en el marco de una reflexión sistémica de la norma, en su versión viva, evolutiva pero siempre interconectada con el orden jerárquico normativo al que se pertenece, y, por último, me apoyo en las técnicas de interpretación generalmente</w:t>
      </w:r>
      <w:r>
        <w:rPr>
          <w:rFonts w:ascii="Arial" w:hAnsi="Arial"/>
          <w:spacing w:val="-9"/>
          <w:sz w:val="22"/>
        </w:rPr>
        <w:t> </w:t>
      </w:r>
      <w:r>
        <w:rPr>
          <w:rFonts w:ascii="Arial" w:hAnsi="Arial"/>
          <w:sz w:val="22"/>
        </w:rPr>
        <w:t>aceptadas.</w:t>
      </w:r>
    </w:p>
    <w:p>
      <w:pPr>
        <w:pStyle w:val="BodyText"/>
        <w:spacing w:before="11"/>
        <w:rPr>
          <w:rFonts w:ascii="Arial"/>
          <w:sz w:val="21"/>
        </w:rPr>
      </w:pPr>
    </w:p>
    <w:p>
      <w:pPr>
        <w:spacing w:before="0"/>
        <w:ind w:left="100" w:right="116" w:firstLine="0"/>
        <w:jc w:val="both"/>
        <w:rPr>
          <w:rFonts w:ascii="Arial" w:hAnsi="Arial"/>
          <w:sz w:val="22"/>
        </w:rPr>
      </w:pPr>
      <w:r>
        <w:rPr>
          <w:rFonts w:ascii="Arial" w:hAnsi="Arial"/>
          <w:sz w:val="22"/>
        </w:rPr>
        <w:t>NOVENO.</w:t>
      </w:r>
      <w:r>
        <w:rPr>
          <w:rFonts w:ascii="Arial" w:hAnsi="Arial"/>
          <w:spacing w:val="-15"/>
          <w:sz w:val="22"/>
        </w:rPr>
        <w:t> </w:t>
      </w:r>
      <w:r>
        <w:rPr>
          <w:rFonts w:ascii="Arial" w:hAnsi="Arial"/>
          <w:sz w:val="22"/>
        </w:rPr>
        <w:t>Destaco</w:t>
      </w:r>
      <w:r>
        <w:rPr>
          <w:rFonts w:ascii="Arial" w:hAnsi="Arial"/>
          <w:spacing w:val="-15"/>
          <w:sz w:val="22"/>
        </w:rPr>
        <w:t> </w:t>
      </w:r>
      <w:r>
        <w:rPr>
          <w:rFonts w:ascii="Arial" w:hAnsi="Arial"/>
          <w:sz w:val="22"/>
        </w:rPr>
        <w:t>que</w:t>
      </w:r>
      <w:r>
        <w:rPr>
          <w:rFonts w:ascii="Arial" w:hAnsi="Arial"/>
          <w:spacing w:val="-17"/>
          <w:sz w:val="22"/>
        </w:rPr>
        <w:t> </w:t>
      </w:r>
      <w:r>
        <w:rPr>
          <w:rFonts w:ascii="Arial" w:hAnsi="Arial"/>
          <w:sz w:val="22"/>
        </w:rPr>
        <w:t>esta</w:t>
      </w:r>
      <w:r>
        <w:rPr>
          <w:rFonts w:ascii="Arial" w:hAnsi="Arial"/>
          <w:spacing w:val="-15"/>
          <w:sz w:val="22"/>
        </w:rPr>
        <w:t> </w:t>
      </w:r>
      <w:r>
        <w:rPr>
          <w:rFonts w:ascii="Arial" w:hAnsi="Arial"/>
          <w:sz w:val="22"/>
        </w:rPr>
        <w:t>idea</w:t>
      </w:r>
      <w:r>
        <w:rPr>
          <w:rFonts w:ascii="Arial" w:hAnsi="Arial"/>
          <w:spacing w:val="-16"/>
          <w:sz w:val="22"/>
        </w:rPr>
        <w:t> </w:t>
      </w:r>
      <w:r>
        <w:rPr>
          <w:rFonts w:ascii="Arial" w:hAnsi="Arial"/>
          <w:sz w:val="22"/>
        </w:rPr>
        <w:t>no</w:t>
      </w:r>
      <w:r>
        <w:rPr>
          <w:rFonts w:ascii="Arial" w:hAnsi="Arial"/>
          <w:spacing w:val="-16"/>
          <w:sz w:val="22"/>
        </w:rPr>
        <w:t> </w:t>
      </w:r>
      <w:r>
        <w:rPr>
          <w:rFonts w:ascii="Arial" w:hAnsi="Arial"/>
          <w:sz w:val="22"/>
        </w:rPr>
        <w:t>se</w:t>
      </w:r>
      <w:r>
        <w:rPr>
          <w:rFonts w:ascii="Arial" w:hAnsi="Arial"/>
          <w:spacing w:val="-15"/>
          <w:sz w:val="22"/>
        </w:rPr>
        <w:t> </w:t>
      </w:r>
      <w:r>
        <w:rPr>
          <w:rFonts w:ascii="Arial" w:hAnsi="Arial"/>
          <w:sz w:val="22"/>
        </w:rPr>
        <w:t>aleja</w:t>
      </w:r>
      <w:r>
        <w:rPr>
          <w:rFonts w:ascii="Arial" w:hAnsi="Arial"/>
          <w:spacing w:val="-16"/>
          <w:sz w:val="22"/>
        </w:rPr>
        <w:t> </w:t>
      </w:r>
      <w:r>
        <w:rPr>
          <w:rFonts w:ascii="Arial" w:hAnsi="Arial"/>
          <w:sz w:val="22"/>
        </w:rPr>
        <w:t>del</w:t>
      </w:r>
      <w:r>
        <w:rPr>
          <w:rFonts w:ascii="Arial" w:hAnsi="Arial"/>
          <w:spacing w:val="-17"/>
          <w:sz w:val="22"/>
        </w:rPr>
        <w:t> </w:t>
      </w:r>
      <w:r>
        <w:rPr>
          <w:rFonts w:ascii="Arial" w:hAnsi="Arial"/>
          <w:sz w:val="22"/>
        </w:rPr>
        <w:t>desarrollo</w:t>
      </w:r>
      <w:r>
        <w:rPr>
          <w:rFonts w:ascii="Arial" w:hAnsi="Arial"/>
          <w:spacing w:val="-15"/>
          <w:sz w:val="22"/>
        </w:rPr>
        <w:t> </w:t>
      </w:r>
      <w:r>
        <w:rPr>
          <w:rFonts w:ascii="Arial" w:hAnsi="Arial"/>
          <w:sz w:val="22"/>
        </w:rPr>
        <w:t>que</w:t>
      </w:r>
      <w:r>
        <w:rPr>
          <w:rFonts w:ascii="Arial" w:hAnsi="Arial"/>
          <w:spacing w:val="-15"/>
          <w:sz w:val="22"/>
        </w:rPr>
        <w:t> </w:t>
      </w:r>
      <w:r>
        <w:rPr>
          <w:rFonts w:ascii="Arial" w:hAnsi="Arial"/>
          <w:sz w:val="22"/>
        </w:rPr>
        <w:t>ha</w:t>
      </w:r>
      <w:r>
        <w:rPr>
          <w:rFonts w:ascii="Arial" w:hAnsi="Arial"/>
          <w:spacing w:val="-15"/>
          <w:sz w:val="22"/>
        </w:rPr>
        <w:t> </w:t>
      </w:r>
      <w:r>
        <w:rPr>
          <w:rFonts w:ascii="Arial" w:hAnsi="Arial"/>
          <w:sz w:val="22"/>
        </w:rPr>
        <w:t>tenido</w:t>
      </w:r>
      <w:r>
        <w:rPr>
          <w:rFonts w:ascii="Arial" w:hAnsi="Arial"/>
          <w:spacing w:val="-16"/>
          <w:sz w:val="22"/>
        </w:rPr>
        <w:t> </w:t>
      </w:r>
      <w:r>
        <w:rPr>
          <w:rFonts w:ascii="Arial" w:hAnsi="Arial"/>
          <w:sz w:val="22"/>
        </w:rPr>
        <w:t>el</w:t>
      </w:r>
      <w:r>
        <w:rPr>
          <w:rFonts w:ascii="Arial" w:hAnsi="Arial"/>
          <w:spacing w:val="-15"/>
          <w:sz w:val="22"/>
        </w:rPr>
        <w:t> </w:t>
      </w:r>
      <w:r>
        <w:rPr>
          <w:rFonts w:ascii="Arial" w:hAnsi="Arial"/>
          <w:sz w:val="22"/>
        </w:rPr>
        <w:t>derecho</w:t>
      </w:r>
      <w:r>
        <w:rPr>
          <w:rFonts w:ascii="Arial" w:hAnsi="Arial"/>
          <w:spacing w:val="-15"/>
          <w:sz w:val="22"/>
        </w:rPr>
        <w:t> </w:t>
      </w:r>
      <w:r>
        <w:rPr>
          <w:rFonts w:ascii="Arial" w:hAnsi="Arial"/>
          <w:sz w:val="22"/>
        </w:rPr>
        <w:t>internacional de</w:t>
      </w:r>
      <w:r>
        <w:rPr>
          <w:rFonts w:ascii="Arial" w:hAnsi="Arial"/>
          <w:spacing w:val="-7"/>
          <w:sz w:val="22"/>
        </w:rPr>
        <w:t> </w:t>
      </w:r>
      <w:r>
        <w:rPr>
          <w:rFonts w:ascii="Arial" w:hAnsi="Arial"/>
          <w:sz w:val="22"/>
        </w:rPr>
        <w:t>los</w:t>
      </w:r>
      <w:r>
        <w:rPr>
          <w:rFonts w:ascii="Arial" w:hAnsi="Arial"/>
          <w:spacing w:val="-7"/>
          <w:sz w:val="22"/>
        </w:rPr>
        <w:t> </w:t>
      </w:r>
      <w:r>
        <w:rPr>
          <w:rFonts w:ascii="Arial" w:hAnsi="Arial"/>
          <w:sz w:val="22"/>
        </w:rPr>
        <w:t>derechos</w:t>
      </w:r>
      <w:r>
        <w:rPr>
          <w:rFonts w:ascii="Arial" w:hAnsi="Arial"/>
          <w:spacing w:val="-7"/>
          <w:sz w:val="22"/>
        </w:rPr>
        <w:t> </w:t>
      </w:r>
      <w:r>
        <w:rPr>
          <w:rFonts w:ascii="Arial" w:hAnsi="Arial"/>
          <w:sz w:val="22"/>
        </w:rPr>
        <w:t>humanos</w:t>
      </w:r>
      <w:r>
        <w:rPr>
          <w:rFonts w:ascii="Arial" w:hAnsi="Arial"/>
          <w:spacing w:val="-7"/>
          <w:sz w:val="22"/>
        </w:rPr>
        <w:t> </w:t>
      </w:r>
      <w:r>
        <w:rPr>
          <w:rFonts w:ascii="Arial" w:hAnsi="Arial"/>
          <w:sz w:val="22"/>
        </w:rPr>
        <w:t>en</w:t>
      </w:r>
      <w:r>
        <w:rPr>
          <w:rFonts w:ascii="Arial" w:hAnsi="Arial"/>
          <w:spacing w:val="-7"/>
          <w:sz w:val="22"/>
        </w:rPr>
        <w:t> </w:t>
      </w:r>
      <w:r>
        <w:rPr>
          <w:rFonts w:ascii="Arial" w:hAnsi="Arial"/>
          <w:sz w:val="22"/>
        </w:rPr>
        <w:t>general,</w:t>
      </w:r>
      <w:r>
        <w:rPr>
          <w:rFonts w:ascii="Arial" w:hAnsi="Arial"/>
          <w:spacing w:val="-7"/>
          <w:sz w:val="22"/>
        </w:rPr>
        <w:t> </w:t>
      </w:r>
      <w:r>
        <w:rPr>
          <w:rFonts w:ascii="Arial" w:hAnsi="Arial"/>
          <w:sz w:val="22"/>
        </w:rPr>
        <w:t>y</w:t>
      </w:r>
      <w:r>
        <w:rPr>
          <w:rFonts w:ascii="Arial" w:hAnsi="Arial"/>
          <w:spacing w:val="-7"/>
          <w:sz w:val="22"/>
        </w:rPr>
        <w:t> </w:t>
      </w:r>
      <w:r>
        <w:rPr>
          <w:rFonts w:ascii="Arial" w:hAnsi="Arial"/>
          <w:sz w:val="22"/>
        </w:rPr>
        <w:t>el</w:t>
      </w:r>
      <w:r>
        <w:rPr>
          <w:rFonts w:ascii="Arial" w:hAnsi="Arial"/>
          <w:spacing w:val="-7"/>
          <w:sz w:val="22"/>
        </w:rPr>
        <w:t> </w:t>
      </w:r>
      <w:r>
        <w:rPr>
          <w:rFonts w:ascii="Arial" w:hAnsi="Arial"/>
          <w:sz w:val="22"/>
        </w:rPr>
        <w:t>derecho</w:t>
      </w:r>
      <w:r>
        <w:rPr>
          <w:rFonts w:ascii="Arial" w:hAnsi="Arial"/>
          <w:spacing w:val="-7"/>
          <w:sz w:val="22"/>
        </w:rPr>
        <w:t> </w:t>
      </w:r>
      <w:r>
        <w:rPr>
          <w:rFonts w:ascii="Arial" w:hAnsi="Arial"/>
          <w:sz w:val="22"/>
        </w:rPr>
        <w:t>interamericano</w:t>
      </w:r>
      <w:r>
        <w:rPr>
          <w:rFonts w:ascii="Arial" w:hAnsi="Arial"/>
          <w:spacing w:val="-7"/>
          <w:sz w:val="22"/>
        </w:rPr>
        <w:t> </w:t>
      </w:r>
      <w:r>
        <w:rPr>
          <w:rFonts w:ascii="Arial" w:hAnsi="Arial"/>
          <w:sz w:val="22"/>
        </w:rPr>
        <w:t>en</w:t>
      </w:r>
      <w:r>
        <w:rPr>
          <w:rFonts w:ascii="Arial" w:hAnsi="Arial"/>
          <w:spacing w:val="-7"/>
          <w:sz w:val="22"/>
        </w:rPr>
        <w:t> </w:t>
      </w:r>
      <w:r>
        <w:rPr>
          <w:rFonts w:ascii="Arial" w:hAnsi="Arial"/>
          <w:sz w:val="22"/>
        </w:rPr>
        <w:t>particular.</w:t>
      </w:r>
      <w:r>
        <w:rPr>
          <w:rFonts w:ascii="Arial" w:hAnsi="Arial"/>
          <w:spacing w:val="-7"/>
          <w:sz w:val="22"/>
        </w:rPr>
        <w:t> </w:t>
      </w:r>
      <w:r>
        <w:rPr>
          <w:rFonts w:ascii="Arial" w:hAnsi="Arial"/>
          <w:sz w:val="22"/>
        </w:rPr>
        <w:t>La</w:t>
      </w:r>
      <w:r>
        <w:rPr>
          <w:rFonts w:ascii="Arial" w:hAnsi="Arial"/>
          <w:spacing w:val="-7"/>
          <w:sz w:val="22"/>
        </w:rPr>
        <w:t> </w:t>
      </w:r>
      <w:r>
        <w:rPr>
          <w:rFonts w:ascii="Arial" w:hAnsi="Arial"/>
          <w:sz w:val="22"/>
        </w:rPr>
        <w:t>utilización</w:t>
      </w:r>
      <w:r>
        <w:rPr>
          <w:rFonts w:ascii="Arial" w:hAnsi="Arial"/>
          <w:spacing w:val="-8"/>
          <w:sz w:val="22"/>
        </w:rPr>
        <w:t> </w:t>
      </w:r>
      <w:r>
        <w:rPr>
          <w:rFonts w:ascii="Arial" w:hAnsi="Arial"/>
          <w:sz w:val="22"/>
        </w:rPr>
        <w:t>de las</w:t>
      </w:r>
      <w:r>
        <w:rPr>
          <w:rFonts w:ascii="Arial" w:hAnsi="Arial"/>
          <w:spacing w:val="-4"/>
          <w:sz w:val="22"/>
        </w:rPr>
        <w:t> </w:t>
      </w:r>
      <w:r>
        <w:rPr>
          <w:rFonts w:ascii="Arial" w:hAnsi="Arial"/>
          <w:sz w:val="22"/>
        </w:rPr>
        <w:t>pautas</w:t>
      </w:r>
      <w:r>
        <w:rPr>
          <w:rFonts w:ascii="Arial" w:hAnsi="Arial"/>
          <w:spacing w:val="-4"/>
          <w:sz w:val="22"/>
        </w:rPr>
        <w:t> </w:t>
      </w:r>
      <w:r>
        <w:rPr>
          <w:rFonts w:ascii="Arial" w:hAnsi="Arial"/>
          <w:sz w:val="22"/>
        </w:rPr>
        <w:t>de</w:t>
      </w:r>
      <w:r>
        <w:rPr>
          <w:rFonts w:ascii="Arial" w:hAnsi="Arial"/>
          <w:spacing w:val="-5"/>
          <w:sz w:val="22"/>
        </w:rPr>
        <w:t> </w:t>
      </w:r>
      <w:r>
        <w:rPr>
          <w:rFonts w:ascii="Arial" w:hAnsi="Arial"/>
          <w:sz w:val="22"/>
        </w:rPr>
        <w:t>interpretación</w:t>
      </w:r>
      <w:r>
        <w:rPr>
          <w:rFonts w:ascii="Arial" w:hAnsi="Arial"/>
          <w:spacing w:val="-4"/>
          <w:sz w:val="22"/>
        </w:rPr>
        <w:t> </w:t>
      </w:r>
      <w:r>
        <w:rPr>
          <w:rFonts w:ascii="Arial" w:hAnsi="Arial"/>
          <w:sz w:val="22"/>
        </w:rPr>
        <w:t>que</w:t>
      </w:r>
      <w:r>
        <w:rPr>
          <w:rFonts w:ascii="Arial" w:hAnsi="Arial"/>
          <w:spacing w:val="-4"/>
          <w:sz w:val="22"/>
        </w:rPr>
        <w:t> </w:t>
      </w:r>
      <w:r>
        <w:rPr>
          <w:rFonts w:ascii="Arial" w:hAnsi="Arial"/>
          <w:sz w:val="22"/>
        </w:rPr>
        <w:t>se</w:t>
      </w:r>
      <w:r>
        <w:rPr>
          <w:rFonts w:ascii="Arial" w:hAnsi="Arial"/>
          <w:spacing w:val="-4"/>
          <w:sz w:val="22"/>
        </w:rPr>
        <w:t> </w:t>
      </w:r>
      <w:r>
        <w:rPr>
          <w:rFonts w:ascii="Arial" w:hAnsi="Arial"/>
          <w:sz w:val="22"/>
        </w:rPr>
        <w:t>han</w:t>
      </w:r>
      <w:r>
        <w:rPr>
          <w:rFonts w:ascii="Arial" w:hAnsi="Arial"/>
          <w:spacing w:val="-4"/>
          <w:sz w:val="22"/>
        </w:rPr>
        <w:t> </w:t>
      </w:r>
      <w:r>
        <w:rPr>
          <w:rFonts w:ascii="Arial" w:hAnsi="Arial"/>
          <w:sz w:val="22"/>
        </w:rPr>
        <w:t>utilizado</w:t>
      </w:r>
      <w:r>
        <w:rPr>
          <w:rFonts w:ascii="Arial" w:hAnsi="Arial"/>
          <w:spacing w:val="-7"/>
          <w:sz w:val="22"/>
        </w:rPr>
        <w:t> </w:t>
      </w:r>
      <w:r>
        <w:rPr>
          <w:rFonts w:ascii="Arial" w:hAnsi="Arial"/>
          <w:sz w:val="22"/>
        </w:rPr>
        <w:t>en</w:t>
      </w:r>
      <w:r>
        <w:rPr>
          <w:rFonts w:ascii="Arial" w:hAnsi="Arial"/>
          <w:spacing w:val="-4"/>
          <w:sz w:val="22"/>
        </w:rPr>
        <w:t> </w:t>
      </w:r>
      <w:r>
        <w:rPr>
          <w:rFonts w:ascii="Arial" w:hAnsi="Arial"/>
          <w:sz w:val="22"/>
        </w:rPr>
        <w:t>materia</w:t>
      </w:r>
      <w:r>
        <w:rPr>
          <w:rFonts w:ascii="Arial" w:hAnsi="Arial"/>
          <w:spacing w:val="-4"/>
          <w:sz w:val="22"/>
        </w:rPr>
        <w:t> </w:t>
      </w:r>
      <w:r>
        <w:rPr>
          <w:rFonts w:ascii="Arial" w:hAnsi="Arial"/>
          <w:sz w:val="22"/>
        </w:rPr>
        <w:t>de</w:t>
      </w:r>
      <w:r>
        <w:rPr>
          <w:rFonts w:ascii="Arial" w:hAnsi="Arial"/>
          <w:spacing w:val="-4"/>
          <w:sz w:val="22"/>
        </w:rPr>
        <w:t> </w:t>
      </w:r>
      <w:r>
        <w:rPr>
          <w:rFonts w:ascii="Arial" w:hAnsi="Arial"/>
          <w:sz w:val="22"/>
        </w:rPr>
        <w:t>derechos</w:t>
      </w:r>
      <w:r>
        <w:rPr>
          <w:rFonts w:ascii="Arial" w:hAnsi="Arial"/>
          <w:spacing w:val="-5"/>
          <w:sz w:val="22"/>
        </w:rPr>
        <w:t> </w:t>
      </w:r>
      <w:r>
        <w:rPr>
          <w:rFonts w:ascii="Arial" w:hAnsi="Arial"/>
          <w:sz w:val="22"/>
        </w:rPr>
        <w:t>humanos</w:t>
      </w:r>
      <w:r>
        <w:rPr>
          <w:rFonts w:ascii="Arial" w:hAnsi="Arial"/>
          <w:spacing w:val="-4"/>
          <w:sz w:val="22"/>
        </w:rPr>
        <w:t> </w:t>
      </w:r>
      <w:r>
        <w:rPr>
          <w:rFonts w:ascii="Arial" w:hAnsi="Arial"/>
          <w:sz w:val="22"/>
        </w:rPr>
        <w:t>encuentra</w:t>
      </w:r>
      <w:r>
        <w:rPr>
          <w:rFonts w:ascii="Arial" w:hAnsi="Arial"/>
          <w:spacing w:val="-4"/>
          <w:sz w:val="22"/>
        </w:rPr>
        <w:t> </w:t>
      </w:r>
      <w:r>
        <w:rPr>
          <w:rFonts w:ascii="Arial" w:hAnsi="Arial"/>
          <w:sz w:val="22"/>
        </w:rPr>
        <w:t>su punto de partida en la Convención de Viena sobre el Derecho de los Tratados, con sus reglas que dan lugar a la interpretación literal, sistemática y teleológica. Pero también en materia de derechos humanos también se ha dado un lugar primordial a otros principios como es el efecto útil (</w:t>
      </w:r>
      <w:r>
        <w:rPr>
          <w:rFonts w:ascii="Arial" w:hAnsi="Arial"/>
          <w:i/>
          <w:sz w:val="22"/>
        </w:rPr>
        <w:t>effet utile</w:t>
      </w:r>
      <w:r>
        <w:rPr>
          <w:rFonts w:ascii="Arial" w:hAnsi="Arial"/>
          <w:sz w:val="22"/>
        </w:rPr>
        <w:t>), el principio </w:t>
      </w:r>
      <w:r>
        <w:rPr>
          <w:rFonts w:ascii="Arial" w:hAnsi="Arial"/>
          <w:i/>
          <w:sz w:val="22"/>
        </w:rPr>
        <w:t>pro personae</w:t>
      </w:r>
      <w:r>
        <w:rPr>
          <w:rFonts w:ascii="Arial" w:hAnsi="Arial"/>
          <w:sz w:val="22"/>
        </w:rPr>
        <w:t>, y la interpretación evolutiva. Estas pautas encuentran su origen en disposiciones convencionales (por ejemplo, el artículo 29 de la Convención) y en</w:t>
      </w:r>
      <w:r>
        <w:rPr>
          <w:rFonts w:ascii="Arial" w:hAnsi="Arial"/>
          <w:spacing w:val="-35"/>
          <w:sz w:val="22"/>
        </w:rPr>
        <w:t> </w:t>
      </w:r>
      <w:r>
        <w:rPr>
          <w:rFonts w:ascii="Arial" w:hAnsi="Arial"/>
          <w:sz w:val="22"/>
        </w:rPr>
        <w:t>la práctica internacional (el Tribunal Europeo de Derechos Humanos también ha desarrollado el concepto de interpretación evolutiva), permitiendo a los instrumentos internacionales de derechos humanos ser un mecanismo más efectivo para salvaguardar la dignidad humana y de los pueblos de América, por sobre la protección excesiva del principio de soberanía. En esa medida también permiten lograr el objeto y fin de la Convención Americana que es la efectiva protección de los derechos</w:t>
      </w:r>
      <w:r>
        <w:rPr>
          <w:rFonts w:ascii="Arial" w:hAnsi="Arial"/>
          <w:spacing w:val="-10"/>
          <w:sz w:val="22"/>
        </w:rPr>
        <w:t> </w:t>
      </w:r>
      <w:r>
        <w:rPr>
          <w:rFonts w:ascii="Arial" w:hAnsi="Arial"/>
          <w:sz w:val="22"/>
        </w:rPr>
        <w:t>humanos.</w:t>
      </w:r>
    </w:p>
    <w:p>
      <w:pPr>
        <w:pStyle w:val="BodyText"/>
        <w:rPr>
          <w:rFonts w:ascii="Arial"/>
          <w:sz w:val="22"/>
        </w:rPr>
      </w:pPr>
    </w:p>
    <w:p>
      <w:pPr>
        <w:spacing w:before="0"/>
        <w:ind w:left="100" w:right="117" w:firstLine="0"/>
        <w:jc w:val="both"/>
        <w:rPr>
          <w:rFonts w:ascii="Arial" w:hAnsi="Arial"/>
          <w:sz w:val="22"/>
        </w:rPr>
      </w:pPr>
      <w:r>
        <w:rPr>
          <w:rFonts w:ascii="Arial" w:hAnsi="Arial"/>
          <w:sz w:val="22"/>
        </w:rPr>
        <w:t>DECIMO.</w:t>
      </w:r>
      <w:r>
        <w:rPr>
          <w:rFonts w:ascii="Arial" w:hAnsi="Arial"/>
          <w:spacing w:val="-6"/>
          <w:sz w:val="22"/>
        </w:rPr>
        <w:t> </w:t>
      </w:r>
      <w:r>
        <w:rPr>
          <w:rFonts w:ascii="Arial" w:hAnsi="Arial"/>
          <w:sz w:val="22"/>
        </w:rPr>
        <w:t>Una</w:t>
      </w:r>
      <w:r>
        <w:rPr>
          <w:rFonts w:ascii="Arial" w:hAnsi="Arial"/>
          <w:spacing w:val="-6"/>
          <w:sz w:val="22"/>
        </w:rPr>
        <w:t> </w:t>
      </w:r>
      <w:r>
        <w:rPr>
          <w:rFonts w:ascii="Arial" w:hAnsi="Arial"/>
          <w:sz w:val="22"/>
        </w:rPr>
        <w:t>de</w:t>
      </w:r>
      <w:r>
        <w:rPr>
          <w:rFonts w:ascii="Arial" w:hAnsi="Arial"/>
          <w:spacing w:val="-7"/>
          <w:sz w:val="22"/>
        </w:rPr>
        <w:t> </w:t>
      </w:r>
      <w:r>
        <w:rPr>
          <w:rFonts w:ascii="Arial" w:hAnsi="Arial"/>
          <w:sz w:val="22"/>
        </w:rPr>
        <w:t>las</w:t>
      </w:r>
      <w:r>
        <w:rPr>
          <w:rFonts w:ascii="Arial" w:hAnsi="Arial"/>
          <w:spacing w:val="-7"/>
          <w:sz w:val="22"/>
        </w:rPr>
        <w:t> </w:t>
      </w:r>
      <w:r>
        <w:rPr>
          <w:rFonts w:ascii="Arial" w:hAnsi="Arial"/>
          <w:sz w:val="22"/>
        </w:rPr>
        <w:t>consecuencias</w:t>
      </w:r>
      <w:r>
        <w:rPr>
          <w:rFonts w:ascii="Arial" w:hAnsi="Arial"/>
          <w:spacing w:val="-8"/>
          <w:sz w:val="22"/>
        </w:rPr>
        <w:t> </w:t>
      </w:r>
      <w:r>
        <w:rPr>
          <w:rFonts w:ascii="Arial" w:hAnsi="Arial"/>
          <w:sz w:val="22"/>
        </w:rPr>
        <w:t>importantes</w:t>
      </w:r>
      <w:r>
        <w:rPr>
          <w:rFonts w:ascii="Arial" w:hAnsi="Arial"/>
          <w:spacing w:val="-8"/>
          <w:sz w:val="22"/>
        </w:rPr>
        <w:t> </w:t>
      </w:r>
      <w:r>
        <w:rPr>
          <w:rFonts w:ascii="Arial" w:hAnsi="Arial"/>
          <w:sz w:val="22"/>
        </w:rPr>
        <w:t>de</w:t>
      </w:r>
      <w:r>
        <w:rPr>
          <w:rFonts w:ascii="Arial" w:hAnsi="Arial"/>
          <w:spacing w:val="-7"/>
          <w:sz w:val="22"/>
        </w:rPr>
        <w:t> </w:t>
      </w:r>
      <w:r>
        <w:rPr>
          <w:rFonts w:ascii="Arial" w:hAnsi="Arial"/>
          <w:sz w:val="22"/>
        </w:rPr>
        <w:t>esta</w:t>
      </w:r>
      <w:r>
        <w:rPr>
          <w:rFonts w:ascii="Arial" w:hAnsi="Arial"/>
          <w:spacing w:val="-8"/>
          <w:sz w:val="22"/>
        </w:rPr>
        <w:t> </w:t>
      </w:r>
      <w:r>
        <w:rPr>
          <w:rFonts w:ascii="Arial" w:hAnsi="Arial"/>
          <w:sz w:val="22"/>
        </w:rPr>
        <w:t>reflexión</w:t>
      </w:r>
      <w:r>
        <w:rPr>
          <w:rFonts w:ascii="Arial" w:hAnsi="Arial"/>
          <w:spacing w:val="-6"/>
          <w:sz w:val="22"/>
        </w:rPr>
        <w:t> </w:t>
      </w:r>
      <w:r>
        <w:rPr>
          <w:rFonts w:ascii="Arial" w:hAnsi="Arial"/>
          <w:sz w:val="22"/>
        </w:rPr>
        <w:t>me</w:t>
      </w:r>
      <w:r>
        <w:rPr>
          <w:rFonts w:ascii="Arial" w:hAnsi="Arial"/>
          <w:spacing w:val="-7"/>
          <w:sz w:val="22"/>
        </w:rPr>
        <w:t> </w:t>
      </w:r>
      <w:r>
        <w:rPr>
          <w:rFonts w:ascii="Arial" w:hAnsi="Arial"/>
          <w:sz w:val="22"/>
        </w:rPr>
        <w:t>impone</w:t>
      </w:r>
      <w:r>
        <w:rPr>
          <w:rFonts w:ascii="Arial" w:hAnsi="Arial"/>
          <w:spacing w:val="-7"/>
          <w:sz w:val="22"/>
        </w:rPr>
        <w:t> </w:t>
      </w:r>
      <w:r>
        <w:rPr>
          <w:rFonts w:ascii="Arial" w:hAnsi="Arial"/>
          <w:sz w:val="22"/>
        </w:rPr>
        <w:t>anticipar</w:t>
      </w:r>
      <w:r>
        <w:rPr>
          <w:rFonts w:ascii="Arial" w:hAnsi="Arial"/>
          <w:spacing w:val="-7"/>
          <w:sz w:val="22"/>
        </w:rPr>
        <w:t> </w:t>
      </w:r>
      <w:r>
        <w:rPr>
          <w:rFonts w:ascii="Arial" w:hAnsi="Arial"/>
          <w:sz w:val="22"/>
        </w:rPr>
        <w:t>que</w:t>
      </w:r>
      <w:r>
        <w:rPr>
          <w:rFonts w:ascii="Arial" w:hAnsi="Arial"/>
          <w:spacing w:val="-7"/>
          <w:sz w:val="22"/>
        </w:rPr>
        <w:t> </w:t>
      </w:r>
      <w:r>
        <w:rPr>
          <w:rFonts w:ascii="Arial" w:hAnsi="Arial"/>
          <w:sz w:val="22"/>
        </w:rPr>
        <w:t>para leer coincidente y favorablemente este voto, es preciso que de manera previa concordemos</w:t>
      </w:r>
      <w:r>
        <w:rPr>
          <w:rFonts w:ascii="Arial" w:hAnsi="Arial"/>
          <w:spacing w:val="-36"/>
          <w:sz w:val="22"/>
        </w:rPr>
        <w:t> </w:t>
      </w:r>
      <w:r>
        <w:rPr>
          <w:rFonts w:ascii="Arial" w:hAnsi="Arial"/>
          <w:sz w:val="22"/>
        </w:rPr>
        <w:t>que la labor del Tribunal, en su labor hermenéutica hace conexión directa y tiene fundamentación sólida con los principios, propósitos y valores que conforman el orden jerárquico superior global y regional, antes descrito. Desde esta perspectiva, por mandato de la Carta de la Naciones Unidas, los Estados signatarios de la Carta de la OEA, por así haberlo asumido en su carta fundacional, aceptaron y se sometieron al orden normativo jerárquico superior antes</w:t>
      </w:r>
      <w:r>
        <w:rPr>
          <w:rFonts w:ascii="Arial" w:hAnsi="Arial"/>
          <w:spacing w:val="-17"/>
          <w:sz w:val="22"/>
        </w:rPr>
        <w:t> </w:t>
      </w:r>
      <w:r>
        <w:rPr>
          <w:rFonts w:ascii="Arial" w:hAnsi="Arial"/>
          <w:sz w:val="22"/>
        </w:rPr>
        <w:t>descrito.</w:t>
      </w:r>
    </w:p>
    <w:p>
      <w:pPr>
        <w:pStyle w:val="BodyText"/>
        <w:spacing w:before="10"/>
        <w:rPr>
          <w:rFonts w:ascii="Arial"/>
          <w:sz w:val="21"/>
        </w:rPr>
      </w:pPr>
    </w:p>
    <w:p>
      <w:pPr>
        <w:spacing w:before="0"/>
        <w:ind w:left="100" w:right="118" w:firstLine="0"/>
        <w:jc w:val="both"/>
        <w:rPr>
          <w:rFonts w:ascii="Arial" w:hAnsi="Arial"/>
          <w:sz w:val="22"/>
        </w:rPr>
      </w:pPr>
      <w:r>
        <w:rPr>
          <w:rFonts w:ascii="Arial" w:hAnsi="Arial"/>
          <w:sz w:val="22"/>
        </w:rPr>
        <w:t>DECIMO PRIMERO. Por lo tanto, el Tribunal, al momento de ejercer su función y aplicar su enfoque interpretativo, de manera general ha actuado bajo fundamentos jurídicos sólidos y suficientes,</w:t>
      </w:r>
      <w:r>
        <w:rPr>
          <w:rFonts w:ascii="Arial" w:hAnsi="Arial"/>
          <w:spacing w:val="-17"/>
          <w:sz w:val="22"/>
        </w:rPr>
        <w:t> </w:t>
      </w:r>
      <w:r>
        <w:rPr>
          <w:rFonts w:ascii="Arial" w:hAnsi="Arial"/>
          <w:sz w:val="22"/>
        </w:rPr>
        <w:t>acordes</w:t>
      </w:r>
      <w:r>
        <w:rPr>
          <w:rFonts w:ascii="Arial" w:hAnsi="Arial"/>
          <w:spacing w:val="-15"/>
          <w:sz w:val="22"/>
        </w:rPr>
        <w:t> </w:t>
      </w:r>
      <w:r>
        <w:rPr>
          <w:rFonts w:ascii="Arial" w:hAnsi="Arial"/>
          <w:sz w:val="22"/>
        </w:rPr>
        <w:t>a</w:t>
      </w:r>
      <w:r>
        <w:rPr>
          <w:rFonts w:ascii="Arial" w:hAnsi="Arial"/>
          <w:spacing w:val="-15"/>
          <w:sz w:val="22"/>
        </w:rPr>
        <w:t> </w:t>
      </w:r>
      <w:r>
        <w:rPr>
          <w:rFonts w:ascii="Arial" w:hAnsi="Arial"/>
          <w:sz w:val="22"/>
        </w:rPr>
        <w:t>su</w:t>
      </w:r>
      <w:r>
        <w:rPr>
          <w:rFonts w:ascii="Arial" w:hAnsi="Arial"/>
          <w:spacing w:val="-16"/>
          <w:sz w:val="22"/>
        </w:rPr>
        <w:t> </w:t>
      </w:r>
      <w:r>
        <w:rPr>
          <w:rFonts w:ascii="Arial" w:hAnsi="Arial"/>
          <w:sz w:val="22"/>
        </w:rPr>
        <w:t>altísima</w:t>
      </w:r>
      <w:r>
        <w:rPr>
          <w:rFonts w:ascii="Arial" w:hAnsi="Arial"/>
          <w:spacing w:val="-15"/>
          <w:sz w:val="22"/>
        </w:rPr>
        <w:t> </w:t>
      </w:r>
      <w:r>
        <w:rPr>
          <w:rFonts w:ascii="Arial" w:hAnsi="Arial"/>
          <w:sz w:val="22"/>
        </w:rPr>
        <w:t>responsabilidad</w:t>
      </w:r>
      <w:r>
        <w:rPr>
          <w:rFonts w:ascii="Arial" w:hAnsi="Arial"/>
          <w:spacing w:val="-15"/>
          <w:sz w:val="22"/>
        </w:rPr>
        <w:t> </w:t>
      </w:r>
      <w:r>
        <w:rPr>
          <w:rFonts w:ascii="Arial" w:hAnsi="Arial"/>
          <w:sz w:val="22"/>
        </w:rPr>
        <w:t>de</w:t>
      </w:r>
      <w:r>
        <w:rPr>
          <w:rFonts w:ascii="Arial" w:hAnsi="Arial"/>
          <w:spacing w:val="-15"/>
          <w:sz w:val="22"/>
        </w:rPr>
        <w:t> </w:t>
      </w:r>
      <w:r>
        <w:rPr>
          <w:rFonts w:ascii="Arial" w:hAnsi="Arial"/>
          <w:sz w:val="22"/>
        </w:rPr>
        <w:t>garantizar</w:t>
      </w:r>
      <w:r>
        <w:rPr>
          <w:rFonts w:ascii="Arial" w:hAnsi="Arial"/>
          <w:spacing w:val="-15"/>
          <w:sz w:val="22"/>
        </w:rPr>
        <w:t> </w:t>
      </w:r>
      <w:r>
        <w:rPr>
          <w:rFonts w:ascii="Arial" w:hAnsi="Arial"/>
          <w:sz w:val="22"/>
        </w:rPr>
        <w:t>y</w:t>
      </w:r>
      <w:r>
        <w:rPr>
          <w:rFonts w:ascii="Arial" w:hAnsi="Arial"/>
          <w:spacing w:val="-15"/>
          <w:sz w:val="22"/>
        </w:rPr>
        <w:t> </w:t>
      </w:r>
      <w:r>
        <w:rPr>
          <w:rFonts w:ascii="Arial" w:hAnsi="Arial"/>
          <w:sz w:val="22"/>
        </w:rPr>
        <w:t>proteger</w:t>
      </w:r>
      <w:r>
        <w:rPr>
          <w:rFonts w:ascii="Arial" w:hAnsi="Arial"/>
          <w:spacing w:val="-15"/>
          <w:sz w:val="22"/>
        </w:rPr>
        <w:t> </w:t>
      </w:r>
      <w:r>
        <w:rPr>
          <w:rFonts w:ascii="Arial" w:hAnsi="Arial"/>
          <w:sz w:val="22"/>
        </w:rPr>
        <w:t>los</w:t>
      </w:r>
      <w:r>
        <w:rPr>
          <w:rFonts w:ascii="Arial" w:hAnsi="Arial"/>
          <w:spacing w:val="-15"/>
          <w:sz w:val="22"/>
        </w:rPr>
        <w:t> </w:t>
      </w:r>
      <w:r>
        <w:rPr>
          <w:rFonts w:ascii="Arial" w:hAnsi="Arial"/>
          <w:sz w:val="22"/>
        </w:rPr>
        <w:t>derechos</w:t>
      </w:r>
      <w:r>
        <w:rPr>
          <w:rFonts w:ascii="Arial" w:hAnsi="Arial"/>
          <w:spacing w:val="-15"/>
          <w:sz w:val="22"/>
        </w:rPr>
        <w:t> </w:t>
      </w:r>
      <w:r>
        <w:rPr>
          <w:rFonts w:ascii="Arial" w:hAnsi="Arial"/>
          <w:sz w:val="22"/>
        </w:rPr>
        <w:t>humanos de todas las personas humanas de los Estados que suscribieron en primera instancia la Carta de la OEA y luego la Convención Americana sobre Derechos Humanos. Entonces, bajo ciertas circunstancias, y a partir de este trasfondo es que, en ciertas oportunidades, se impone implementar una hermenéutica más expansiva de la norma en pos de garantizar una mejor protección del ser</w:t>
      </w:r>
      <w:r>
        <w:rPr>
          <w:rFonts w:ascii="Arial" w:hAnsi="Arial"/>
          <w:spacing w:val="-5"/>
          <w:sz w:val="22"/>
        </w:rPr>
        <w:t> </w:t>
      </w:r>
      <w:r>
        <w:rPr>
          <w:rFonts w:ascii="Arial" w:hAnsi="Arial"/>
          <w:sz w:val="22"/>
        </w:rPr>
        <w:t>humano.</w:t>
      </w:r>
    </w:p>
    <w:p>
      <w:pPr>
        <w:pStyle w:val="BodyText"/>
        <w:rPr>
          <w:rFonts w:ascii="Arial"/>
          <w:sz w:val="22"/>
        </w:rPr>
      </w:pPr>
    </w:p>
    <w:p>
      <w:pPr>
        <w:spacing w:before="0"/>
        <w:ind w:left="100" w:right="116" w:firstLine="0"/>
        <w:jc w:val="both"/>
        <w:rPr>
          <w:rFonts w:ascii="Arial" w:hAnsi="Arial"/>
          <w:sz w:val="22"/>
        </w:rPr>
      </w:pPr>
      <w:r>
        <w:rPr>
          <w:rFonts w:ascii="Arial" w:hAnsi="Arial"/>
          <w:sz w:val="22"/>
        </w:rPr>
        <w:t>DECIMO SEGUNDO. De esta manera la Corte, en su composición mayoritaria, al interpretar</w:t>
      </w:r>
      <w:r>
        <w:rPr>
          <w:rFonts w:ascii="Arial" w:hAnsi="Arial"/>
          <w:spacing w:val="-25"/>
          <w:sz w:val="22"/>
        </w:rPr>
        <w:t> </w:t>
      </w:r>
      <w:r>
        <w:rPr>
          <w:rFonts w:ascii="Arial" w:hAnsi="Arial"/>
          <w:sz w:val="22"/>
        </w:rPr>
        <w:t>los DESCA,</w:t>
      </w:r>
      <w:r>
        <w:rPr>
          <w:rFonts w:ascii="Arial" w:hAnsi="Arial"/>
          <w:spacing w:val="-10"/>
          <w:sz w:val="22"/>
        </w:rPr>
        <w:t> </w:t>
      </w:r>
      <w:r>
        <w:rPr>
          <w:rFonts w:ascii="Arial" w:hAnsi="Arial"/>
          <w:sz w:val="22"/>
        </w:rPr>
        <w:t>en</w:t>
      </w:r>
      <w:r>
        <w:rPr>
          <w:rFonts w:ascii="Arial" w:hAnsi="Arial"/>
          <w:spacing w:val="-8"/>
          <w:sz w:val="22"/>
        </w:rPr>
        <w:t> </w:t>
      </w:r>
      <w:r>
        <w:rPr>
          <w:rFonts w:ascii="Arial" w:hAnsi="Arial"/>
          <w:sz w:val="22"/>
        </w:rPr>
        <w:t>general,</w:t>
      </w:r>
      <w:r>
        <w:rPr>
          <w:rFonts w:ascii="Arial" w:hAnsi="Arial"/>
          <w:spacing w:val="-9"/>
          <w:sz w:val="22"/>
        </w:rPr>
        <w:t> </w:t>
      </w:r>
      <w:r>
        <w:rPr>
          <w:rFonts w:ascii="Arial" w:hAnsi="Arial"/>
          <w:sz w:val="22"/>
        </w:rPr>
        <w:t>y</w:t>
      </w:r>
      <w:r>
        <w:rPr>
          <w:rFonts w:ascii="Arial" w:hAnsi="Arial"/>
          <w:spacing w:val="-9"/>
          <w:sz w:val="22"/>
        </w:rPr>
        <w:t> </w:t>
      </w:r>
      <w:r>
        <w:rPr>
          <w:rFonts w:ascii="Arial" w:hAnsi="Arial"/>
          <w:sz w:val="22"/>
        </w:rPr>
        <w:t>de</w:t>
      </w:r>
      <w:r>
        <w:rPr>
          <w:rFonts w:ascii="Arial" w:hAnsi="Arial"/>
          <w:spacing w:val="-9"/>
          <w:sz w:val="22"/>
        </w:rPr>
        <w:t> </w:t>
      </w:r>
      <w:r>
        <w:rPr>
          <w:rFonts w:ascii="Arial" w:hAnsi="Arial"/>
          <w:sz w:val="22"/>
        </w:rPr>
        <w:t>manera</w:t>
      </w:r>
      <w:r>
        <w:rPr>
          <w:rFonts w:ascii="Arial" w:hAnsi="Arial"/>
          <w:spacing w:val="-9"/>
          <w:sz w:val="22"/>
        </w:rPr>
        <w:t> </w:t>
      </w:r>
      <w:r>
        <w:rPr>
          <w:rFonts w:ascii="Arial" w:hAnsi="Arial"/>
          <w:sz w:val="22"/>
        </w:rPr>
        <w:t>particular,</w:t>
      </w:r>
      <w:r>
        <w:rPr>
          <w:rFonts w:ascii="Arial" w:hAnsi="Arial"/>
          <w:spacing w:val="-9"/>
          <w:sz w:val="22"/>
        </w:rPr>
        <w:t> </w:t>
      </w:r>
      <w:r>
        <w:rPr>
          <w:rFonts w:ascii="Arial" w:hAnsi="Arial"/>
          <w:sz w:val="22"/>
        </w:rPr>
        <w:t>en</w:t>
      </w:r>
      <w:r>
        <w:rPr>
          <w:rFonts w:ascii="Arial" w:hAnsi="Arial"/>
          <w:spacing w:val="-9"/>
          <w:sz w:val="22"/>
        </w:rPr>
        <w:t> </w:t>
      </w:r>
      <w:r>
        <w:rPr>
          <w:rFonts w:ascii="Arial" w:hAnsi="Arial"/>
          <w:sz w:val="22"/>
        </w:rPr>
        <w:t>este</w:t>
      </w:r>
      <w:r>
        <w:rPr>
          <w:rFonts w:ascii="Arial" w:hAnsi="Arial"/>
          <w:spacing w:val="-9"/>
          <w:sz w:val="22"/>
        </w:rPr>
        <w:t> </w:t>
      </w:r>
      <w:r>
        <w:rPr>
          <w:rFonts w:ascii="Arial" w:hAnsi="Arial"/>
          <w:sz w:val="22"/>
        </w:rPr>
        <w:t>caso,</w:t>
      </w:r>
      <w:r>
        <w:rPr>
          <w:rFonts w:ascii="Arial" w:hAnsi="Arial"/>
          <w:spacing w:val="-8"/>
          <w:sz w:val="22"/>
        </w:rPr>
        <w:t> </w:t>
      </w:r>
      <w:r>
        <w:rPr>
          <w:rFonts w:ascii="Arial" w:hAnsi="Arial"/>
          <w:sz w:val="22"/>
        </w:rPr>
        <w:t>los</w:t>
      </w:r>
      <w:r>
        <w:rPr>
          <w:rFonts w:ascii="Arial" w:hAnsi="Arial"/>
          <w:spacing w:val="-11"/>
          <w:sz w:val="22"/>
        </w:rPr>
        <w:t> </w:t>
      </w:r>
      <w:r>
        <w:rPr>
          <w:rFonts w:ascii="Arial" w:hAnsi="Arial"/>
          <w:sz w:val="22"/>
        </w:rPr>
        <w:t>derechos</w:t>
      </w:r>
      <w:r>
        <w:rPr>
          <w:rFonts w:ascii="Arial" w:hAnsi="Arial"/>
          <w:spacing w:val="-8"/>
          <w:sz w:val="22"/>
        </w:rPr>
        <w:t> </w:t>
      </w:r>
      <w:r>
        <w:rPr>
          <w:rFonts w:ascii="Arial" w:hAnsi="Arial"/>
          <w:sz w:val="22"/>
        </w:rPr>
        <w:t>de</w:t>
      </w:r>
      <w:r>
        <w:rPr>
          <w:rFonts w:ascii="Arial" w:hAnsi="Arial"/>
          <w:spacing w:val="-9"/>
          <w:sz w:val="22"/>
        </w:rPr>
        <w:t> </w:t>
      </w:r>
      <w:r>
        <w:rPr>
          <w:rFonts w:ascii="Arial" w:hAnsi="Arial"/>
          <w:sz w:val="22"/>
        </w:rPr>
        <w:t>los</w:t>
      </w:r>
      <w:r>
        <w:rPr>
          <w:rFonts w:ascii="Arial" w:hAnsi="Arial"/>
          <w:spacing w:val="-9"/>
          <w:sz w:val="22"/>
        </w:rPr>
        <w:t> </w:t>
      </w:r>
      <w:r>
        <w:rPr>
          <w:rFonts w:ascii="Arial" w:hAnsi="Arial"/>
          <w:sz w:val="22"/>
        </w:rPr>
        <w:t>pueblos</w:t>
      </w:r>
      <w:r>
        <w:rPr>
          <w:rFonts w:ascii="Arial" w:hAnsi="Arial"/>
          <w:spacing w:val="-9"/>
          <w:sz w:val="22"/>
        </w:rPr>
        <w:t> </w:t>
      </w:r>
      <w:r>
        <w:rPr>
          <w:rFonts w:ascii="Arial" w:hAnsi="Arial"/>
          <w:sz w:val="22"/>
        </w:rPr>
        <w:t>indígenas a participar en la vida cultural, en lo atinente a su identidad cultural, al medio ambiente sano, a la alimentación adecuada y al agua, declarándolos de acceso por vía directa y como derechos autónomos a través del artículo 26 de la Convención Americana, no ha hecho más que desarrollar en el caso específico, los postulados y principios antes</w:t>
      </w:r>
      <w:r>
        <w:rPr>
          <w:rFonts w:ascii="Arial" w:hAnsi="Arial"/>
          <w:spacing w:val="-19"/>
          <w:sz w:val="22"/>
        </w:rPr>
        <w:t> </w:t>
      </w:r>
      <w:r>
        <w:rPr>
          <w:rFonts w:ascii="Arial" w:hAnsi="Arial"/>
          <w:sz w:val="22"/>
        </w:rPr>
        <w:t>referidos.</w:t>
      </w:r>
    </w:p>
    <w:p>
      <w:pPr>
        <w:spacing w:after="0"/>
        <w:jc w:val="both"/>
        <w:rPr>
          <w:rFonts w:ascii="Arial" w:hAnsi="Arial"/>
          <w:sz w:val="22"/>
        </w:rPr>
        <w:sectPr>
          <w:pgSz w:w="12240" w:h="15840"/>
          <w:pgMar w:header="0" w:footer="1031" w:top="1360" w:bottom="1220" w:left="1340" w:right="1320"/>
        </w:sectPr>
      </w:pPr>
    </w:p>
    <w:p>
      <w:pPr>
        <w:spacing w:before="80"/>
        <w:ind w:left="100" w:right="116" w:firstLine="0"/>
        <w:jc w:val="both"/>
        <w:rPr>
          <w:rFonts w:ascii="Arial" w:hAnsi="Arial"/>
          <w:sz w:val="22"/>
        </w:rPr>
      </w:pPr>
      <w:r>
        <w:rPr>
          <w:rFonts w:ascii="Arial" w:hAnsi="Arial"/>
          <w:sz w:val="22"/>
        </w:rPr>
        <w:t>DECIMO</w:t>
      </w:r>
      <w:r>
        <w:rPr>
          <w:rFonts w:ascii="Arial" w:hAnsi="Arial"/>
          <w:spacing w:val="-6"/>
          <w:sz w:val="22"/>
        </w:rPr>
        <w:t> </w:t>
      </w:r>
      <w:r>
        <w:rPr>
          <w:rFonts w:ascii="Arial" w:hAnsi="Arial"/>
          <w:sz w:val="22"/>
        </w:rPr>
        <w:t>TERCERO.</w:t>
      </w:r>
      <w:r>
        <w:rPr>
          <w:rFonts w:ascii="Arial" w:hAnsi="Arial"/>
          <w:spacing w:val="-5"/>
          <w:sz w:val="22"/>
        </w:rPr>
        <w:t> </w:t>
      </w:r>
      <w:r>
        <w:rPr>
          <w:rFonts w:ascii="Arial" w:hAnsi="Arial"/>
          <w:sz w:val="22"/>
        </w:rPr>
        <w:t>Sin</w:t>
      </w:r>
      <w:r>
        <w:rPr>
          <w:rFonts w:ascii="Arial" w:hAnsi="Arial"/>
          <w:spacing w:val="-5"/>
          <w:sz w:val="22"/>
        </w:rPr>
        <w:t> </w:t>
      </w:r>
      <w:r>
        <w:rPr>
          <w:rFonts w:ascii="Arial" w:hAnsi="Arial"/>
          <w:sz w:val="22"/>
        </w:rPr>
        <w:t>embargo,</w:t>
      </w:r>
      <w:r>
        <w:rPr>
          <w:rFonts w:ascii="Arial" w:hAnsi="Arial"/>
          <w:spacing w:val="-5"/>
          <w:sz w:val="22"/>
        </w:rPr>
        <w:t> </w:t>
      </w:r>
      <w:r>
        <w:rPr>
          <w:rFonts w:ascii="Arial" w:hAnsi="Arial"/>
          <w:sz w:val="22"/>
        </w:rPr>
        <w:t>no</w:t>
      </w:r>
      <w:r>
        <w:rPr>
          <w:rFonts w:ascii="Arial" w:hAnsi="Arial"/>
          <w:spacing w:val="-5"/>
          <w:sz w:val="22"/>
        </w:rPr>
        <w:t> </w:t>
      </w:r>
      <w:r>
        <w:rPr>
          <w:rFonts w:ascii="Arial" w:hAnsi="Arial"/>
          <w:sz w:val="22"/>
        </w:rPr>
        <w:t>es</w:t>
      </w:r>
      <w:r>
        <w:rPr>
          <w:rFonts w:ascii="Arial" w:hAnsi="Arial"/>
          <w:spacing w:val="-5"/>
          <w:sz w:val="22"/>
        </w:rPr>
        <w:t> </w:t>
      </w:r>
      <w:r>
        <w:rPr>
          <w:rFonts w:ascii="Arial" w:hAnsi="Arial"/>
          <w:sz w:val="22"/>
        </w:rPr>
        <w:t>asunto</w:t>
      </w:r>
      <w:r>
        <w:rPr>
          <w:rFonts w:ascii="Arial" w:hAnsi="Arial"/>
          <w:spacing w:val="-5"/>
          <w:sz w:val="22"/>
        </w:rPr>
        <w:t> </w:t>
      </w:r>
      <w:r>
        <w:rPr>
          <w:rFonts w:ascii="Arial" w:hAnsi="Arial"/>
          <w:sz w:val="22"/>
        </w:rPr>
        <w:t>menor</w:t>
      </w:r>
      <w:r>
        <w:rPr>
          <w:rFonts w:ascii="Arial" w:hAnsi="Arial"/>
          <w:spacing w:val="-5"/>
          <w:sz w:val="22"/>
        </w:rPr>
        <w:t> </w:t>
      </w:r>
      <w:r>
        <w:rPr>
          <w:rFonts w:ascii="Arial" w:hAnsi="Arial"/>
          <w:sz w:val="22"/>
        </w:rPr>
        <w:t>dejar</w:t>
      </w:r>
      <w:r>
        <w:rPr>
          <w:rFonts w:ascii="Arial" w:hAnsi="Arial"/>
          <w:spacing w:val="-5"/>
          <w:sz w:val="22"/>
        </w:rPr>
        <w:t> </w:t>
      </w:r>
      <w:r>
        <w:rPr>
          <w:rFonts w:ascii="Arial" w:hAnsi="Arial"/>
          <w:sz w:val="22"/>
        </w:rPr>
        <w:t>de</w:t>
      </w:r>
      <w:r>
        <w:rPr>
          <w:rFonts w:ascii="Arial" w:hAnsi="Arial"/>
          <w:spacing w:val="-5"/>
          <w:sz w:val="22"/>
        </w:rPr>
        <w:t> </w:t>
      </w:r>
      <w:r>
        <w:rPr>
          <w:rFonts w:ascii="Arial" w:hAnsi="Arial"/>
          <w:sz w:val="22"/>
        </w:rPr>
        <w:t>reconocer</w:t>
      </w:r>
      <w:r>
        <w:rPr>
          <w:rFonts w:ascii="Arial" w:hAnsi="Arial"/>
          <w:spacing w:val="-4"/>
          <w:sz w:val="22"/>
        </w:rPr>
        <w:t> </w:t>
      </w:r>
      <w:r>
        <w:rPr>
          <w:rFonts w:ascii="Arial" w:hAnsi="Arial"/>
          <w:sz w:val="22"/>
        </w:rPr>
        <w:t>que</w:t>
      </w:r>
      <w:r>
        <w:rPr>
          <w:rFonts w:ascii="Arial" w:hAnsi="Arial"/>
          <w:spacing w:val="-5"/>
          <w:sz w:val="22"/>
        </w:rPr>
        <w:t> </w:t>
      </w:r>
      <w:r>
        <w:rPr>
          <w:rFonts w:ascii="Arial" w:hAnsi="Arial"/>
          <w:sz w:val="22"/>
        </w:rPr>
        <w:t>por</w:t>
      </w:r>
      <w:r>
        <w:rPr>
          <w:rFonts w:ascii="Arial" w:hAnsi="Arial"/>
          <w:spacing w:val="-5"/>
          <w:sz w:val="22"/>
        </w:rPr>
        <w:t> </w:t>
      </w:r>
      <w:r>
        <w:rPr>
          <w:rFonts w:ascii="Arial" w:hAnsi="Arial"/>
          <w:sz w:val="22"/>
        </w:rPr>
        <w:t>lo</w:t>
      </w:r>
      <w:r>
        <w:rPr>
          <w:rFonts w:ascii="Arial" w:hAnsi="Arial"/>
          <w:spacing w:val="-5"/>
          <w:sz w:val="22"/>
        </w:rPr>
        <w:t> </w:t>
      </w:r>
      <w:r>
        <w:rPr>
          <w:rFonts w:ascii="Arial" w:hAnsi="Arial"/>
          <w:sz w:val="22"/>
        </w:rPr>
        <w:t>reciente</w:t>
      </w:r>
      <w:r>
        <w:rPr>
          <w:rFonts w:ascii="Arial" w:hAnsi="Arial"/>
          <w:spacing w:val="-5"/>
          <w:sz w:val="22"/>
        </w:rPr>
        <w:t> </w:t>
      </w:r>
      <w:r>
        <w:rPr>
          <w:rFonts w:ascii="Arial" w:hAnsi="Arial"/>
          <w:sz w:val="22"/>
        </w:rPr>
        <w:t>e inédito de sus decisiones, las medidas de reparación y no repetición, así como la interpretación implementada, aguardan una necesaria profundización y ampliación, para contribuir y afianzar con mayor precisión la aplicación de las resoluciones, el seguimiento y verificación de su cumplimiento,</w:t>
      </w:r>
      <w:r>
        <w:rPr>
          <w:rFonts w:ascii="Arial" w:hAnsi="Arial"/>
          <w:spacing w:val="-9"/>
          <w:sz w:val="22"/>
        </w:rPr>
        <w:t> </w:t>
      </w:r>
      <w:r>
        <w:rPr>
          <w:rFonts w:ascii="Arial" w:hAnsi="Arial"/>
          <w:sz w:val="22"/>
        </w:rPr>
        <w:t>y</w:t>
      </w:r>
      <w:r>
        <w:rPr>
          <w:rFonts w:ascii="Arial" w:hAnsi="Arial"/>
          <w:spacing w:val="-10"/>
          <w:sz w:val="22"/>
        </w:rPr>
        <w:t> </w:t>
      </w:r>
      <w:r>
        <w:rPr>
          <w:rFonts w:ascii="Arial" w:hAnsi="Arial"/>
          <w:sz w:val="22"/>
        </w:rPr>
        <w:t>de</w:t>
      </w:r>
      <w:r>
        <w:rPr>
          <w:rFonts w:ascii="Arial" w:hAnsi="Arial"/>
          <w:spacing w:val="-11"/>
          <w:sz w:val="22"/>
        </w:rPr>
        <w:t> </w:t>
      </w:r>
      <w:r>
        <w:rPr>
          <w:rFonts w:ascii="Arial" w:hAnsi="Arial"/>
          <w:sz w:val="22"/>
        </w:rPr>
        <w:t>esta</w:t>
      </w:r>
      <w:r>
        <w:rPr>
          <w:rFonts w:ascii="Arial" w:hAnsi="Arial"/>
          <w:spacing w:val="-12"/>
          <w:sz w:val="22"/>
        </w:rPr>
        <w:t> </w:t>
      </w:r>
      <w:r>
        <w:rPr>
          <w:rFonts w:ascii="Arial" w:hAnsi="Arial"/>
          <w:sz w:val="22"/>
        </w:rPr>
        <w:t>manera</w:t>
      </w:r>
      <w:r>
        <w:rPr>
          <w:rFonts w:ascii="Arial" w:hAnsi="Arial"/>
          <w:spacing w:val="-10"/>
          <w:sz w:val="22"/>
        </w:rPr>
        <w:t> </w:t>
      </w:r>
      <w:r>
        <w:rPr>
          <w:rFonts w:ascii="Arial" w:hAnsi="Arial"/>
          <w:sz w:val="22"/>
        </w:rPr>
        <w:t>contribuir</w:t>
      </w:r>
      <w:r>
        <w:rPr>
          <w:rFonts w:ascii="Arial" w:hAnsi="Arial"/>
          <w:spacing w:val="-10"/>
          <w:sz w:val="22"/>
        </w:rPr>
        <w:t> </w:t>
      </w:r>
      <w:r>
        <w:rPr>
          <w:rFonts w:ascii="Arial" w:hAnsi="Arial"/>
          <w:sz w:val="22"/>
        </w:rPr>
        <w:t>adecuadamente</w:t>
      </w:r>
      <w:r>
        <w:rPr>
          <w:rFonts w:ascii="Arial" w:hAnsi="Arial"/>
          <w:spacing w:val="-9"/>
          <w:sz w:val="22"/>
        </w:rPr>
        <w:t> </w:t>
      </w:r>
      <w:r>
        <w:rPr>
          <w:rFonts w:ascii="Arial" w:hAnsi="Arial"/>
          <w:sz w:val="22"/>
        </w:rPr>
        <w:t>a</w:t>
      </w:r>
      <w:r>
        <w:rPr>
          <w:rFonts w:ascii="Arial" w:hAnsi="Arial"/>
          <w:spacing w:val="-11"/>
          <w:sz w:val="22"/>
        </w:rPr>
        <w:t> </w:t>
      </w:r>
      <w:r>
        <w:rPr>
          <w:rFonts w:ascii="Arial" w:hAnsi="Arial"/>
          <w:sz w:val="22"/>
        </w:rPr>
        <w:t>materializar</w:t>
      </w:r>
      <w:r>
        <w:rPr>
          <w:rFonts w:ascii="Arial" w:hAnsi="Arial"/>
          <w:spacing w:val="-12"/>
          <w:sz w:val="22"/>
        </w:rPr>
        <w:t> </w:t>
      </w:r>
      <w:r>
        <w:rPr>
          <w:rFonts w:ascii="Arial" w:hAnsi="Arial"/>
          <w:sz w:val="22"/>
        </w:rPr>
        <w:t>los</w:t>
      </w:r>
      <w:r>
        <w:rPr>
          <w:rFonts w:ascii="Arial" w:hAnsi="Arial"/>
          <w:spacing w:val="-9"/>
          <w:sz w:val="22"/>
        </w:rPr>
        <w:t> </w:t>
      </w:r>
      <w:r>
        <w:rPr>
          <w:rFonts w:ascii="Arial" w:hAnsi="Arial"/>
          <w:sz w:val="22"/>
        </w:rPr>
        <w:t>efectos</w:t>
      </w:r>
      <w:r>
        <w:rPr>
          <w:rFonts w:ascii="Arial" w:hAnsi="Arial"/>
          <w:spacing w:val="-11"/>
          <w:sz w:val="22"/>
        </w:rPr>
        <w:t> </w:t>
      </w:r>
      <w:r>
        <w:rPr>
          <w:rFonts w:ascii="Arial" w:hAnsi="Arial"/>
          <w:sz w:val="22"/>
        </w:rPr>
        <w:t>y</w:t>
      </w:r>
      <w:r>
        <w:rPr>
          <w:rFonts w:ascii="Arial" w:hAnsi="Arial"/>
          <w:spacing w:val="-11"/>
          <w:sz w:val="22"/>
        </w:rPr>
        <w:t> </w:t>
      </w:r>
      <w:r>
        <w:rPr>
          <w:rFonts w:ascii="Arial" w:hAnsi="Arial"/>
          <w:sz w:val="22"/>
        </w:rPr>
        <w:t>resultados eficaces y útiles de las decisiones de la Corte en la dimensión de los</w:t>
      </w:r>
      <w:r>
        <w:rPr>
          <w:rFonts w:ascii="Arial" w:hAnsi="Arial"/>
          <w:spacing w:val="-21"/>
          <w:sz w:val="22"/>
        </w:rPr>
        <w:t> </w:t>
      </w:r>
      <w:r>
        <w:rPr>
          <w:rFonts w:ascii="Arial" w:hAnsi="Arial"/>
          <w:sz w:val="22"/>
        </w:rPr>
        <w:t>DESCA.</w:t>
      </w:r>
    </w:p>
    <w:p>
      <w:pPr>
        <w:pStyle w:val="BodyText"/>
        <w:rPr>
          <w:rFonts w:ascii="Arial"/>
          <w:sz w:val="22"/>
        </w:rPr>
      </w:pPr>
    </w:p>
    <w:p>
      <w:pPr>
        <w:spacing w:before="0"/>
        <w:ind w:left="100" w:right="116" w:firstLine="0"/>
        <w:jc w:val="both"/>
        <w:rPr>
          <w:rFonts w:ascii="Arial" w:hAnsi="Arial"/>
          <w:sz w:val="22"/>
        </w:rPr>
      </w:pPr>
      <w:r>
        <w:rPr>
          <w:rFonts w:ascii="Arial" w:hAnsi="Arial"/>
          <w:sz w:val="22"/>
        </w:rPr>
        <w:t>DECIMO CUARTO. En el análisis del artículo 26 no es la primera vez que la Corte IDH asume una</w:t>
      </w:r>
      <w:r>
        <w:rPr>
          <w:rFonts w:ascii="Arial" w:hAnsi="Arial"/>
          <w:spacing w:val="-8"/>
          <w:sz w:val="22"/>
        </w:rPr>
        <w:t> </w:t>
      </w:r>
      <w:r>
        <w:rPr>
          <w:rFonts w:ascii="Arial" w:hAnsi="Arial"/>
          <w:sz w:val="22"/>
        </w:rPr>
        <w:t>posición</w:t>
      </w:r>
      <w:r>
        <w:rPr>
          <w:rFonts w:ascii="Arial" w:hAnsi="Arial"/>
          <w:spacing w:val="-8"/>
          <w:sz w:val="22"/>
        </w:rPr>
        <w:t> </w:t>
      </w:r>
      <w:r>
        <w:rPr>
          <w:rFonts w:ascii="Arial" w:hAnsi="Arial"/>
          <w:sz w:val="22"/>
        </w:rPr>
        <w:t>“garantista”,</w:t>
      </w:r>
      <w:r>
        <w:rPr>
          <w:rFonts w:ascii="Arial" w:hAnsi="Arial"/>
          <w:spacing w:val="-8"/>
          <w:sz w:val="22"/>
        </w:rPr>
        <w:t> </w:t>
      </w:r>
      <w:r>
        <w:rPr>
          <w:rFonts w:ascii="Arial" w:hAnsi="Arial"/>
          <w:sz w:val="22"/>
        </w:rPr>
        <w:t>y</w:t>
      </w:r>
      <w:r>
        <w:rPr>
          <w:rFonts w:ascii="Arial" w:hAnsi="Arial"/>
          <w:spacing w:val="-8"/>
          <w:sz w:val="22"/>
        </w:rPr>
        <w:t> </w:t>
      </w:r>
      <w:r>
        <w:rPr>
          <w:rFonts w:ascii="Arial" w:hAnsi="Arial"/>
          <w:sz w:val="22"/>
        </w:rPr>
        <w:t>protectora</w:t>
      </w:r>
      <w:r>
        <w:rPr>
          <w:rFonts w:ascii="Arial" w:hAnsi="Arial"/>
          <w:spacing w:val="-8"/>
          <w:sz w:val="22"/>
        </w:rPr>
        <w:t> </w:t>
      </w:r>
      <w:r>
        <w:rPr>
          <w:rFonts w:ascii="Arial" w:hAnsi="Arial"/>
          <w:sz w:val="22"/>
        </w:rPr>
        <w:t>de</w:t>
      </w:r>
      <w:r>
        <w:rPr>
          <w:rFonts w:ascii="Arial" w:hAnsi="Arial"/>
          <w:spacing w:val="-8"/>
          <w:sz w:val="22"/>
        </w:rPr>
        <w:t> </w:t>
      </w:r>
      <w:r>
        <w:rPr>
          <w:rFonts w:ascii="Arial" w:hAnsi="Arial"/>
          <w:sz w:val="22"/>
        </w:rPr>
        <w:t>los</w:t>
      </w:r>
      <w:r>
        <w:rPr>
          <w:rFonts w:ascii="Arial" w:hAnsi="Arial"/>
          <w:spacing w:val="-8"/>
          <w:sz w:val="22"/>
        </w:rPr>
        <w:t> </w:t>
      </w:r>
      <w:r>
        <w:rPr>
          <w:rFonts w:ascii="Arial" w:hAnsi="Arial"/>
          <w:sz w:val="22"/>
        </w:rPr>
        <w:t>derechos</w:t>
      </w:r>
      <w:r>
        <w:rPr>
          <w:rFonts w:ascii="Arial" w:hAnsi="Arial"/>
          <w:spacing w:val="-8"/>
          <w:sz w:val="22"/>
        </w:rPr>
        <w:t> </w:t>
      </w:r>
      <w:r>
        <w:rPr>
          <w:rFonts w:ascii="Arial" w:hAnsi="Arial"/>
          <w:sz w:val="22"/>
        </w:rPr>
        <w:t>del</w:t>
      </w:r>
      <w:r>
        <w:rPr>
          <w:rFonts w:ascii="Arial" w:hAnsi="Arial"/>
          <w:spacing w:val="-8"/>
          <w:sz w:val="22"/>
        </w:rPr>
        <w:t> </w:t>
      </w:r>
      <w:r>
        <w:rPr>
          <w:rFonts w:ascii="Arial" w:hAnsi="Arial"/>
          <w:sz w:val="22"/>
        </w:rPr>
        <w:t>hombre,</w:t>
      </w:r>
      <w:r>
        <w:rPr>
          <w:rFonts w:ascii="Arial" w:hAnsi="Arial"/>
          <w:spacing w:val="-8"/>
          <w:sz w:val="22"/>
        </w:rPr>
        <w:t> </w:t>
      </w:r>
      <w:r>
        <w:rPr>
          <w:rFonts w:ascii="Arial" w:hAnsi="Arial"/>
          <w:sz w:val="22"/>
        </w:rPr>
        <w:t>realizando</w:t>
      </w:r>
      <w:r>
        <w:rPr>
          <w:rFonts w:ascii="Arial" w:hAnsi="Arial"/>
          <w:spacing w:val="-8"/>
          <w:sz w:val="22"/>
        </w:rPr>
        <w:t> </w:t>
      </w:r>
      <w:r>
        <w:rPr>
          <w:rFonts w:ascii="Arial" w:hAnsi="Arial"/>
          <w:sz w:val="22"/>
        </w:rPr>
        <w:t>una</w:t>
      </w:r>
      <w:r>
        <w:rPr>
          <w:rFonts w:ascii="Arial" w:hAnsi="Arial"/>
          <w:spacing w:val="-8"/>
          <w:sz w:val="22"/>
        </w:rPr>
        <w:t> </w:t>
      </w:r>
      <w:r>
        <w:rPr>
          <w:rFonts w:ascii="Arial" w:hAnsi="Arial"/>
          <w:sz w:val="22"/>
        </w:rPr>
        <w:t>interpretación expansiva no restrictiva del texto específico de la Convención Americana: Lagos del Campo, Poblete Vilches, Cuscul  Piraval y otros dan fe de</w:t>
      </w:r>
      <w:r>
        <w:rPr>
          <w:rFonts w:ascii="Arial" w:hAnsi="Arial"/>
          <w:spacing w:val="-11"/>
          <w:sz w:val="22"/>
        </w:rPr>
        <w:t> </w:t>
      </w:r>
      <w:r>
        <w:rPr>
          <w:rFonts w:ascii="Arial" w:hAnsi="Arial"/>
          <w:sz w:val="22"/>
        </w:rPr>
        <w:t>ello.</w:t>
      </w:r>
    </w:p>
    <w:p>
      <w:pPr>
        <w:pStyle w:val="BodyText"/>
        <w:rPr>
          <w:rFonts w:ascii="Arial"/>
          <w:sz w:val="22"/>
        </w:rPr>
      </w:pPr>
    </w:p>
    <w:p>
      <w:pPr>
        <w:spacing w:before="0"/>
        <w:ind w:left="100" w:right="119" w:firstLine="0"/>
        <w:jc w:val="both"/>
        <w:rPr>
          <w:rFonts w:ascii="Arial" w:hAnsi="Arial"/>
          <w:sz w:val="22"/>
        </w:rPr>
      </w:pPr>
      <w:r>
        <w:rPr>
          <w:rFonts w:ascii="Arial" w:hAnsi="Arial"/>
          <w:sz w:val="22"/>
        </w:rPr>
        <w:t>DECIMO QUINTO. Profundizando lo que ya ha señalado la Corte IDH, pareciera que una interpretación contraria a la justiciabilidad directa y autónoma del artículo 26 de la Convención Americana</w:t>
      </w:r>
      <w:r>
        <w:rPr>
          <w:rFonts w:ascii="Arial" w:hAnsi="Arial"/>
          <w:spacing w:val="-4"/>
          <w:sz w:val="22"/>
        </w:rPr>
        <w:t> </w:t>
      </w:r>
      <w:r>
        <w:rPr>
          <w:rFonts w:ascii="Arial" w:hAnsi="Arial"/>
          <w:sz w:val="22"/>
        </w:rPr>
        <w:t>entraría</w:t>
      </w:r>
      <w:r>
        <w:rPr>
          <w:rFonts w:ascii="Arial" w:hAnsi="Arial"/>
          <w:spacing w:val="-4"/>
          <w:sz w:val="22"/>
        </w:rPr>
        <w:t> </w:t>
      </w:r>
      <w:r>
        <w:rPr>
          <w:rFonts w:ascii="Arial" w:hAnsi="Arial"/>
          <w:sz w:val="22"/>
        </w:rPr>
        <w:t>en</w:t>
      </w:r>
      <w:r>
        <w:rPr>
          <w:rFonts w:ascii="Arial" w:hAnsi="Arial"/>
          <w:spacing w:val="-5"/>
          <w:sz w:val="22"/>
        </w:rPr>
        <w:t> </w:t>
      </w:r>
      <w:r>
        <w:rPr>
          <w:rFonts w:ascii="Arial" w:hAnsi="Arial"/>
          <w:sz w:val="22"/>
        </w:rPr>
        <w:t>contradicción</w:t>
      </w:r>
      <w:r>
        <w:rPr>
          <w:rFonts w:ascii="Arial" w:hAnsi="Arial"/>
          <w:spacing w:val="-5"/>
          <w:sz w:val="22"/>
        </w:rPr>
        <w:t> </w:t>
      </w:r>
      <w:r>
        <w:rPr>
          <w:rFonts w:ascii="Arial" w:hAnsi="Arial"/>
          <w:sz w:val="22"/>
        </w:rPr>
        <w:t>con</w:t>
      </w:r>
      <w:r>
        <w:rPr>
          <w:rFonts w:ascii="Arial" w:hAnsi="Arial"/>
          <w:spacing w:val="-5"/>
          <w:sz w:val="22"/>
        </w:rPr>
        <w:t> </w:t>
      </w:r>
      <w:r>
        <w:rPr>
          <w:rFonts w:ascii="Arial" w:hAnsi="Arial"/>
          <w:sz w:val="22"/>
        </w:rPr>
        <w:t>las</w:t>
      </w:r>
      <w:r>
        <w:rPr>
          <w:rFonts w:ascii="Arial" w:hAnsi="Arial"/>
          <w:spacing w:val="-5"/>
          <w:sz w:val="22"/>
        </w:rPr>
        <w:t> </w:t>
      </w:r>
      <w:r>
        <w:rPr>
          <w:rFonts w:ascii="Arial" w:hAnsi="Arial"/>
          <w:sz w:val="22"/>
        </w:rPr>
        <w:t>normas</w:t>
      </w:r>
      <w:r>
        <w:rPr>
          <w:rFonts w:ascii="Arial" w:hAnsi="Arial"/>
          <w:spacing w:val="-4"/>
          <w:sz w:val="22"/>
        </w:rPr>
        <w:t> </w:t>
      </w:r>
      <w:r>
        <w:rPr>
          <w:rFonts w:ascii="Arial" w:hAnsi="Arial"/>
          <w:sz w:val="22"/>
        </w:rPr>
        <w:t>de</w:t>
      </w:r>
      <w:r>
        <w:rPr>
          <w:rFonts w:ascii="Arial" w:hAnsi="Arial"/>
          <w:spacing w:val="-4"/>
          <w:sz w:val="22"/>
        </w:rPr>
        <w:t> </w:t>
      </w:r>
      <w:r>
        <w:rPr>
          <w:rFonts w:ascii="Arial" w:hAnsi="Arial"/>
          <w:sz w:val="22"/>
        </w:rPr>
        <w:t>interpretación</w:t>
      </w:r>
      <w:r>
        <w:rPr>
          <w:rFonts w:ascii="Arial" w:hAnsi="Arial"/>
          <w:spacing w:val="-2"/>
          <w:sz w:val="22"/>
        </w:rPr>
        <w:t> </w:t>
      </w:r>
      <w:r>
        <w:rPr>
          <w:rFonts w:ascii="Arial" w:hAnsi="Arial"/>
          <w:sz w:val="22"/>
        </w:rPr>
        <w:t>establecidas</w:t>
      </w:r>
      <w:r>
        <w:rPr>
          <w:rFonts w:ascii="Arial" w:hAnsi="Arial"/>
          <w:spacing w:val="-4"/>
          <w:sz w:val="22"/>
        </w:rPr>
        <w:t> </w:t>
      </w:r>
      <w:r>
        <w:rPr>
          <w:rFonts w:ascii="Arial" w:hAnsi="Arial"/>
          <w:sz w:val="22"/>
        </w:rPr>
        <w:t>en</w:t>
      </w:r>
      <w:r>
        <w:rPr>
          <w:rFonts w:ascii="Arial" w:hAnsi="Arial"/>
          <w:spacing w:val="-5"/>
          <w:sz w:val="22"/>
        </w:rPr>
        <w:t> </w:t>
      </w:r>
      <w:r>
        <w:rPr>
          <w:rFonts w:ascii="Arial" w:hAnsi="Arial"/>
          <w:sz w:val="22"/>
        </w:rPr>
        <w:t>el</w:t>
      </w:r>
      <w:r>
        <w:rPr>
          <w:rFonts w:ascii="Arial" w:hAnsi="Arial"/>
          <w:spacing w:val="-4"/>
          <w:sz w:val="22"/>
        </w:rPr>
        <w:t> </w:t>
      </w:r>
      <w:r>
        <w:rPr>
          <w:rFonts w:ascii="Arial" w:hAnsi="Arial"/>
          <w:sz w:val="22"/>
        </w:rPr>
        <w:t>artículo 29 de la misma. Principalmente con el principio pro persona. El artículo en cuestión</w:t>
      </w:r>
      <w:r>
        <w:rPr>
          <w:rFonts w:ascii="Arial" w:hAnsi="Arial"/>
          <w:spacing w:val="-29"/>
          <w:sz w:val="22"/>
        </w:rPr>
        <w:t> </w:t>
      </w:r>
      <w:r>
        <w:rPr>
          <w:rFonts w:ascii="Arial" w:hAnsi="Arial"/>
          <w:sz w:val="22"/>
        </w:rPr>
        <w:t>establece:</w:t>
      </w:r>
    </w:p>
    <w:p>
      <w:pPr>
        <w:pStyle w:val="BodyText"/>
        <w:rPr>
          <w:rFonts w:ascii="Arial"/>
          <w:sz w:val="24"/>
        </w:rPr>
      </w:pPr>
    </w:p>
    <w:p>
      <w:pPr>
        <w:pStyle w:val="BodyText"/>
        <w:spacing w:before="10"/>
        <w:rPr>
          <w:rFonts w:ascii="Arial"/>
          <w:sz w:val="19"/>
        </w:rPr>
      </w:pPr>
    </w:p>
    <w:p>
      <w:pPr>
        <w:spacing w:before="1"/>
        <w:ind w:left="820" w:right="0" w:firstLine="0"/>
        <w:jc w:val="both"/>
        <w:rPr>
          <w:rFonts w:ascii="Arial" w:hAnsi="Arial"/>
          <w:sz w:val="22"/>
        </w:rPr>
      </w:pPr>
      <w:r>
        <w:rPr>
          <w:rFonts w:ascii="Arial" w:hAnsi="Arial"/>
          <w:sz w:val="22"/>
        </w:rPr>
        <w:t>Ninguna disposición de la presente Convención puede ser interpretada en el sentido de:</w:t>
      </w:r>
    </w:p>
    <w:p>
      <w:pPr>
        <w:pStyle w:val="ListParagraph"/>
        <w:numPr>
          <w:ilvl w:val="1"/>
          <w:numId w:val="43"/>
        </w:numPr>
        <w:tabs>
          <w:tab w:pos="1086" w:val="left" w:leader="none"/>
        </w:tabs>
        <w:spacing w:line="240" w:lineRule="auto" w:before="0" w:after="0"/>
        <w:ind w:left="820" w:right="121" w:firstLine="0"/>
        <w:jc w:val="both"/>
        <w:rPr>
          <w:rFonts w:ascii="Arial" w:hAnsi="Arial"/>
          <w:sz w:val="22"/>
        </w:rPr>
      </w:pPr>
      <w:r>
        <w:rPr>
          <w:rFonts w:ascii="Arial" w:hAnsi="Arial"/>
          <w:sz w:val="22"/>
        </w:rPr>
        <w:t>permitir a alguno de los Estados partes, grupo o persona, suprimir el goce y ejercicio de los derechos y libertades reconocidos en la Convención o limitarlos en mayor medida que la prevista en</w:t>
      </w:r>
      <w:r>
        <w:rPr>
          <w:rFonts w:ascii="Arial" w:hAnsi="Arial"/>
          <w:spacing w:val="-5"/>
          <w:sz w:val="22"/>
        </w:rPr>
        <w:t> </w:t>
      </w:r>
      <w:r>
        <w:rPr>
          <w:rFonts w:ascii="Arial" w:hAnsi="Arial"/>
          <w:sz w:val="22"/>
        </w:rPr>
        <w:t>ella;</w:t>
      </w:r>
    </w:p>
    <w:p>
      <w:pPr>
        <w:pStyle w:val="ListParagraph"/>
        <w:numPr>
          <w:ilvl w:val="1"/>
          <w:numId w:val="43"/>
        </w:numPr>
        <w:tabs>
          <w:tab w:pos="1086" w:val="left" w:leader="none"/>
        </w:tabs>
        <w:spacing w:line="240" w:lineRule="auto" w:before="0" w:after="0"/>
        <w:ind w:left="820" w:right="122" w:firstLine="0"/>
        <w:jc w:val="both"/>
        <w:rPr>
          <w:rFonts w:ascii="Arial" w:hAnsi="Arial"/>
          <w:sz w:val="22"/>
        </w:rPr>
      </w:pPr>
      <w:r>
        <w:rPr>
          <w:rFonts w:ascii="Arial" w:hAnsi="Arial"/>
          <w:sz w:val="22"/>
        </w:rPr>
        <w:t>limitar el goce y ejercicio de cualquier derecho o libertad que pueda estar reconocido de acuerdo con las leyes de cualquiera de los Estados partes o de acuerdo con otra convención en que sea parte uno de dichos</w:t>
      </w:r>
      <w:r>
        <w:rPr>
          <w:rFonts w:ascii="Arial" w:hAnsi="Arial"/>
          <w:spacing w:val="-17"/>
          <w:sz w:val="22"/>
        </w:rPr>
        <w:t> </w:t>
      </w:r>
      <w:r>
        <w:rPr>
          <w:rFonts w:ascii="Arial" w:hAnsi="Arial"/>
          <w:sz w:val="22"/>
        </w:rPr>
        <w:t>Estados;</w:t>
      </w:r>
    </w:p>
    <w:p>
      <w:pPr>
        <w:pStyle w:val="ListParagraph"/>
        <w:numPr>
          <w:ilvl w:val="1"/>
          <w:numId w:val="43"/>
        </w:numPr>
        <w:tabs>
          <w:tab w:pos="1066" w:val="left" w:leader="none"/>
        </w:tabs>
        <w:spacing w:line="240" w:lineRule="auto" w:before="0" w:after="0"/>
        <w:ind w:left="820" w:right="125" w:firstLine="0"/>
        <w:jc w:val="both"/>
        <w:rPr>
          <w:rFonts w:ascii="Arial" w:hAnsi="Arial"/>
          <w:sz w:val="22"/>
        </w:rPr>
      </w:pPr>
      <w:r>
        <w:rPr>
          <w:rFonts w:ascii="Arial" w:hAnsi="Arial"/>
          <w:sz w:val="22"/>
        </w:rPr>
        <w:t>excluir otros derechos y garantías que son inherentes al ser humano o que se derivan de la forma democrática representativa de gobierno,</w:t>
      </w:r>
      <w:r>
        <w:rPr>
          <w:rFonts w:ascii="Arial" w:hAnsi="Arial"/>
          <w:spacing w:val="-14"/>
          <w:sz w:val="22"/>
        </w:rPr>
        <w:t> </w:t>
      </w:r>
      <w:r>
        <w:rPr>
          <w:rFonts w:ascii="Arial" w:hAnsi="Arial"/>
          <w:sz w:val="22"/>
        </w:rPr>
        <w:t>y</w:t>
      </w:r>
    </w:p>
    <w:p>
      <w:pPr>
        <w:pStyle w:val="ListParagraph"/>
        <w:numPr>
          <w:ilvl w:val="1"/>
          <w:numId w:val="43"/>
        </w:numPr>
        <w:tabs>
          <w:tab w:pos="1082" w:val="left" w:leader="none"/>
        </w:tabs>
        <w:spacing w:line="240" w:lineRule="auto" w:before="0" w:after="0"/>
        <w:ind w:left="820" w:right="127" w:firstLine="0"/>
        <w:jc w:val="both"/>
        <w:rPr>
          <w:rFonts w:ascii="Arial" w:hAnsi="Arial"/>
          <w:sz w:val="22"/>
        </w:rPr>
      </w:pPr>
      <w:r>
        <w:rPr>
          <w:rFonts w:ascii="Arial" w:hAnsi="Arial"/>
          <w:sz w:val="22"/>
        </w:rPr>
        <w:t>excluir o limitar el efecto que puedan producir la Declaración Americana de Derechos y Deberes del Hombre y otros actos internacionales de la misma</w:t>
      </w:r>
      <w:r>
        <w:rPr>
          <w:rFonts w:ascii="Arial" w:hAnsi="Arial"/>
          <w:spacing w:val="-20"/>
          <w:sz w:val="22"/>
        </w:rPr>
        <w:t> </w:t>
      </w:r>
      <w:r>
        <w:rPr>
          <w:rFonts w:ascii="Arial" w:hAnsi="Arial"/>
          <w:sz w:val="22"/>
        </w:rPr>
        <w:t>naturaleza.</w:t>
      </w:r>
    </w:p>
    <w:p>
      <w:pPr>
        <w:pStyle w:val="BodyText"/>
        <w:spacing w:before="10"/>
        <w:rPr>
          <w:rFonts w:ascii="Arial"/>
          <w:sz w:val="21"/>
        </w:rPr>
      </w:pPr>
    </w:p>
    <w:p>
      <w:pPr>
        <w:spacing w:before="1"/>
        <w:ind w:left="100" w:right="117" w:firstLine="0"/>
        <w:jc w:val="both"/>
        <w:rPr>
          <w:rFonts w:ascii="Arial" w:hAnsi="Arial"/>
          <w:sz w:val="22"/>
        </w:rPr>
      </w:pPr>
      <w:r>
        <w:rPr>
          <w:rFonts w:ascii="Arial" w:hAnsi="Arial"/>
          <w:sz w:val="22"/>
        </w:rPr>
        <w:t>DECIMO SEXTO. En primer lugar, impedirle a la Corte IDH realizar un abordaje pleno y amplio de un derecho económico, social, cultural o ambiental ante una posible vulneración de este, y obligarla a un análisis indirecto y subordinado a una afectación previa de un derecho civil y político, representaría una posible exclusión o limitación al efecto que produce la Declaración Americana</w:t>
      </w:r>
      <w:r>
        <w:rPr>
          <w:rFonts w:ascii="Arial" w:hAnsi="Arial"/>
          <w:spacing w:val="-4"/>
          <w:sz w:val="22"/>
        </w:rPr>
        <w:t> </w:t>
      </w:r>
      <w:r>
        <w:rPr>
          <w:rFonts w:ascii="Arial" w:hAnsi="Arial"/>
          <w:sz w:val="22"/>
        </w:rPr>
        <w:t>(en</w:t>
      </w:r>
      <w:r>
        <w:rPr>
          <w:rFonts w:ascii="Arial" w:hAnsi="Arial"/>
          <w:spacing w:val="-4"/>
          <w:sz w:val="22"/>
        </w:rPr>
        <w:t> </w:t>
      </w:r>
      <w:r>
        <w:rPr>
          <w:rFonts w:ascii="Arial" w:hAnsi="Arial"/>
          <w:sz w:val="22"/>
        </w:rPr>
        <w:t>el</w:t>
      </w:r>
      <w:r>
        <w:rPr>
          <w:rFonts w:ascii="Arial" w:hAnsi="Arial"/>
          <w:spacing w:val="-4"/>
          <w:sz w:val="22"/>
        </w:rPr>
        <w:t> </w:t>
      </w:r>
      <w:r>
        <w:rPr>
          <w:rFonts w:ascii="Arial" w:hAnsi="Arial"/>
          <w:sz w:val="22"/>
        </w:rPr>
        <w:t>caso</w:t>
      </w:r>
      <w:r>
        <w:rPr>
          <w:rFonts w:ascii="Arial" w:hAnsi="Arial"/>
          <w:spacing w:val="-4"/>
          <w:sz w:val="22"/>
        </w:rPr>
        <w:t> </w:t>
      </w:r>
      <w:r>
        <w:rPr>
          <w:rFonts w:ascii="Arial" w:hAnsi="Arial"/>
          <w:sz w:val="22"/>
        </w:rPr>
        <w:t>en</w:t>
      </w:r>
      <w:r>
        <w:rPr>
          <w:rFonts w:ascii="Arial" w:hAnsi="Arial"/>
          <w:spacing w:val="-5"/>
          <w:sz w:val="22"/>
        </w:rPr>
        <w:t> </w:t>
      </w:r>
      <w:r>
        <w:rPr>
          <w:rFonts w:ascii="Arial" w:hAnsi="Arial"/>
          <w:sz w:val="22"/>
        </w:rPr>
        <w:t>que</w:t>
      </w:r>
      <w:r>
        <w:rPr>
          <w:rFonts w:ascii="Arial" w:hAnsi="Arial"/>
          <w:spacing w:val="-4"/>
          <w:sz w:val="22"/>
        </w:rPr>
        <w:t> </w:t>
      </w:r>
      <w:r>
        <w:rPr>
          <w:rFonts w:ascii="Arial" w:hAnsi="Arial"/>
          <w:sz w:val="22"/>
        </w:rPr>
        <w:t>el</w:t>
      </w:r>
      <w:r>
        <w:rPr>
          <w:rFonts w:ascii="Arial" w:hAnsi="Arial"/>
          <w:spacing w:val="-5"/>
          <w:sz w:val="22"/>
        </w:rPr>
        <w:t> </w:t>
      </w:r>
      <w:r>
        <w:rPr>
          <w:rFonts w:ascii="Arial" w:hAnsi="Arial"/>
          <w:sz w:val="22"/>
        </w:rPr>
        <w:t>derecho</w:t>
      </w:r>
      <w:r>
        <w:rPr>
          <w:rFonts w:ascii="Arial" w:hAnsi="Arial"/>
          <w:spacing w:val="-5"/>
          <w:sz w:val="22"/>
        </w:rPr>
        <w:t> </w:t>
      </w:r>
      <w:r>
        <w:rPr>
          <w:rFonts w:ascii="Arial" w:hAnsi="Arial"/>
          <w:sz w:val="22"/>
        </w:rPr>
        <w:t>se</w:t>
      </w:r>
      <w:r>
        <w:rPr>
          <w:rFonts w:ascii="Arial" w:hAnsi="Arial"/>
          <w:spacing w:val="-5"/>
          <w:sz w:val="22"/>
        </w:rPr>
        <w:t> </w:t>
      </w:r>
      <w:r>
        <w:rPr>
          <w:rFonts w:ascii="Arial" w:hAnsi="Arial"/>
          <w:sz w:val="22"/>
        </w:rPr>
        <w:t>encuentre</w:t>
      </w:r>
      <w:r>
        <w:rPr>
          <w:rFonts w:ascii="Arial" w:hAnsi="Arial"/>
          <w:spacing w:val="-4"/>
          <w:sz w:val="22"/>
        </w:rPr>
        <w:t> </w:t>
      </w:r>
      <w:r>
        <w:rPr>
          <w:rFonts w:ascii="Arial" w:hAnsi="Arial"/>
          <w:sz w:val="22"/>
        </w:rPr>
        <w:t>receptado</w:t>
      </w:r>
      <w:r>
        <w:rPr>
          <w:rFonts w:ascii="Arial" w:hAnsi="Arial"/>
          <w:spacing w:val="-4"/>
          <w:sz w:val="22"/>
        </w:rPr>
        <w:t> </w:t>
      </w:r>
      <w:r>
        <w:rPr>
          <w:rFonts w:ascii="Arial" w:hAnsi="Arial"/>
          <w:sz w:val="22"/>
        </w:rPr>
        <w:t>por</w:t>
      </w:r>
      <w:r>
        <w:rPr>
          <w:rFonts w:ascii="Arial" w:hAnsi="Arial"/>
          <w:spacing w:val="-4"/>
          <w:sz w:val="22"/>
        </w:rPr>
        <w:t> </w:t>
      </w:r>
      <w:r>
        <w:rPr>
          <w:rFonts w:ascii="Arial" w:hAnsi="Arial"/>
          <w:sz w:val="22"/>
        </w:rPr>
        <w:t>la</w:t>
      </w:r>
      <w:r>
        <w:rPr>
          <w:rFonts w:ascii="Arial" w:hAnsi="Arial"/>
          <w:spacing w:val="-7"/>
          <w:sz w:val="22"/>
        </w:rPr>
        <w:t> </w:t>
      </w:r>
      <w:r>
        <w:rPr>
          <w:rFonts w:ascii="Arial" w:hAnsi="Arial"/>
          <w:sz w:val="22"/>
        </w:rPr>
        <w:t>misma)</w:t>
      </w:r>
      <w:r>
        <w:rPr>
          <w:rFonts w:ascii="Arial" w:hAnsi="Arial"/>
          <w:spacing w:val="-5"/>
          <w:sz w:val="22"/>
        </w:rPr>
        <w:t> </w:t>
      </w:r>
      <w:r>
        <w:rPr>
          <w:rFonts w:ascii="Arial" w:hAnsi="Arial"/>
          <w:sz w:val="22"/>
        </w:rPr>
        <w:t>y/o</w:t>
      </w:r>
      <w:r>
        <w:rPr>
          <w:rFonts w:ascii="Arial" w:hAnsi="Arial"/>
          <w:spacing w:val="-5"/>
          <w:sz w:val="22"/>
        </w:rPr>
        <w:t> </w:t>
      </w:r>
      <w:r>
        <w:rPr>
          <w:rFonts w:ascii="Arial" w:hAnsi="Arial"/>
          <w:sz w:val="22"/>
        </w:rPr>
        <w:t>también</w:t>
      </w:r>
      <w:r>
        <w:rPr>
          <w:rFonts w:ascii="Arial" w:hAnsi="Arial"/>
          <w:spacing w:val="-4"/>
          <w:sz w:val="22"/>
        </w:rPr>
        <w:t> </w:t>
      </w:r>
      <w:r>
        <w:rPr>
          <w:rFonts w:ascii="Arial" w:hAnsi="Arial"/>
          <w:sz w:val="22"/>
        </w:rPr>
        <w:t>una limitación al goce y ejercicio del derecho en el caso en el que el mismo esté reconocido por el Estado,</w:t>
      </w:r>
      <w:r>
        <w:rPr>
          <w:rFonts w:ascii="Arial" w:hAnsi="Arial"/>
          <w:spacing w:val="-12"/>
          <w:sz w:val="22"/>
        </w:rPr>
        <w:t> </w:t>
      </w:r>
      <w:r>
        <w:rPr>
          <w:rFonts w:ascii="Arial" w:hAnsi="Arial"/>
          <w:sz w:val="22"/>
        </w:rPr>
        <w:t>ya</w:t>
      </w:r>
      <w:r>
        <w:rPr>
          <w:rFonts w:ascii="Arial" w:hAnsi="Arial"/>
          <w:spacing w:val="-11"/>
          <w:sz w:val="22"/>
        </w:rPr>
        <w:t> </w:t>
      </w:r>
      <w:r>
        <w:rPr>
          <w:rFonts w:ascii="Arial" w:hAnsi="Arial"/>
          <w:sz w:val="22"/>
        </w:rPr>
        <w:t>sea</w:t>
      </w:r>
      <w:r>
        <w:rPr>
          <w:rFonts w:ascii="Arial" w:hAnsi="Arial"/>
          <w:spacing w:val="-11"/>
          <w:sz w:val="22"/>
        </w:rPr>
        <w:t> </w:t>
      </w:r>
      <w:r>
        <w:rPr>
          <w:rFonts w:ascii="Arial" w:hAnsi="Arial"/>
          <w:sz w:val="22"/>
        </w:rPr>
        <w:t>mediante</w:t>
      </w:r>
      <w:r>
        <w:rPr>
          <w:rFonts w:ascii="Arial" w:hAnsi="Arial"/>
          <w:spacing w:val="-11"/>
          <w:sz w:val="22"/>
        </w:rPr>
        <w:t> </w:t>
      </w:r>
      <w:r>
        <w:rPr>
          <w:rFonts w:ascii="Arial" w:hAnsi="Arial"/>
          <w:sz w:val="22"/>
        </w:rPr>
        <w:t>una</w:t>
      </w:r>
      <w:r>
        <w:rPr>
          <w:rFonts w:ascii="Arial" w:hAnsi="Arial"/>
          <w:spacing w:val="-11"/>
          <w:sz w:val="22"/>
        </w:rPr>
        <w:t> </w:t>
      </w:r>
      <w:r>
        <w:rPr>
          <w:rFonts w:ascii="Arial" w:hAnsi="Arial"/>
          <w:sz w:val="22"/>
        </w:rPr>
        <w:t>ley</w:t>
      </w:r>
      <w:r>
        <w:rPr>
          <w:rFonts w:ascii="Arial" w:hAnsi="Arial"/>
          <w:spacing w:val="-11"/>
          <w:sz w:val="22"/>
        </w:rPr>
        <w:t> </w:t>
      </w:r>
      <w:r>
        <w:rPr>
          <w:rFonts w:ascii="Arial" w:hAnsi="Arial"/>
          <w:sz w:val="22"/>
        </w:rPr>
        <w:t>interna</w:t>
      </w:r>
      <w:r>
        <w:rPr>
          <w:rFonts w:ascii="Arial" w:hAnsi="Arial"/>
          <w:spacing w:val="-12"/>
          <w:sz w:val="22"/>
        </w:rPr>
        <w:t> </w:t>
      </w:r>
      <w:r>
        <w:rPr>
          <w:rFonts w:ascii="Arial" w:hAnsi="Arial"/>
          <w:sz w:val="22"/>
        </w:rPr>
        <w:t>o</w:t>
      </w:r>
      <w:r>
        <w:rPr>
          <w:rFonts w:ascii="Arial" w:hAnsi="Arial"/>
          <w:spacing w:val="-12"/>
          <w:sz w:val="22"/>
        </w:rPr>
        <w:t> </w:t>
      </w:r>
      <w:r>
        <w:rPr>
          <w:rFonts w:ascii="Arial" w:hAnsi="Arial"/>
          <w:sz w:val="22"/>
        </w:rPr>
        <w:t>por</w:t>
      </w:r>
      <w:r>
        <w:rPr>
          <w:rFonts w:ascii="Arial" w:hAnsi="Arial"/>
          <w:spacing w:val="-12"/>
          <w:sz w:val="22"/>
        </w:rPr>
        <w:t> </w:t>
      </w:r>
      <w:r>
        <w:rPr>
          <w:rFonts w:ascii="Arial" w:hAnsi="Arial"/>
          <w:sz w:val="22"/>
        </w:rPr>
        <w:t>otra</w:t>
      </w:r>
      <w:r>
        <w:rPr>
          <w:rFonts w:ascii="Arial" w:hAnsi="Arial"/>
          <w:spacing w:val="-11"/>
          <w:sz w:val="22"/>
        </w:rPr>
        <w:t> </w:t>
      </w:r>
      <w:r>
        <w:rPr>
          <w:rFonts w:ascii="Arial" w:hAnsi="Arial"/>
          <w:sz w:val="22"/>
        </w:rPr>
        <w:t>convención.</w:t>
      </w:r>
      <w:r>
        <w:rPr>
          <w:rFonts w:ascii="Arial" w:hAnsi="Arial"/>
          <w:spacing w:val="-12"/>
          <w:sz w:val="22"/>
        </w:rPr>
        <w:t> </w:t>
      </w:r>
      <w:r>
        <w:rPr>
          <w:rFonts w:ascii="Arial" w:hAnsi="Arial"/>
          <w:sz w:val="22"/>
        </w:rPr>
        <w:t>No</w:t>
      </w:r>
      <w:r>
        <w:rPr>
          <w:rFonts w:ascii="Arial" w:hAnsi="Arial"/>
          <w:spacing w:val="-12"/>
          <w:sz w:val="22"/>
        </w:rPr>
        <w:t> </w:t>
      </w:r>
      <w:r>
        <w:rPr>
          <w:rFonts w:ascii="Arial" w:hAnsi="Arial"/>
          <w:sz w:val="22"/>
        </w:rPr>
        <w:t>cuesta</w:t>
      </w:r>
      <w:r>
        <w:rPr>
          <w:rFonts w:ascii="Arial" w:hAnsi="Arial"/>
          <w:spacing w:val="-13"/>
          <w:sz w:val="22"/>
        </w:rPr>
        <w:t> </w:t>
      </w:r>
      <w:r>
        <w:rPr>
          <w:rFonts w:ascii="Arial" w:hAnsi="Arial"/>
          <w:sz w:val="22"/>
        </w:rPr>
        <w:t>imaginarse,</w:t>
      </w:r>
      <w:r>
        <w:rPr>
          <w:rFonts w:ascii="Arial" w:hAnsi="Arial"/>
          <w:spacing w:val="-12"/>
          <w:sz w:val="22"/>
        </w:rPr>
        <w:t> </w:t>
      </w:r>
      <w:r>
        <w:rPr>
          <w:rFonts w:ascii="Arial" w:hAnsi="Arial"/>
          <w:sz w:val="22"/>
        </w:rPr>
        <w:t>aún</w:t>
      </w:r>
      <w:r>
        <w:rPr>
          <w:rFonts w:ascii="Arial" w:hAnsi="Arial"/>
          <w:spacing w:val="-11"/>
          <w:sz w:val="22"/>
        </w:rPr>
        <w:t> </w:t>
      </w:r>
      <w:r>
        <w:rPr>
          <w:rFonts w:ascii="Arial" w:hAnsi="Arial"/>
          <w:sz w:val="22"/>
        </w:rPr>
        <w:t>desde un ejercicio abstracto, por ejemplo, cuanto mayor efectiva puede ser una protección abordada directamente desde el derecho a la salud como si se lo hiciera desde el prisma del derecho a la vida. Por ende, se comprometerían las limitaciones interpretativas impuestas por el artículo 29 inc. b y</w:t>
      </w:r>
      <w:r>
        <w:rPr>
          <w:rFonts w:ascii="Arial" w:hAnsi="Arial"/>
          <w:spacing w:val="-3"/>
          <w:sz w:val="22"/>
        </w:rPr>
        <w:t> </w:t>
      </w:r>
      <w:r>
        <w:rPr>
          <w:rFonts w:ascii="Arial" w:hAnsi="Arial"/>
          <w:sz w:val="22"/>
        </w:rPr>
        <w:t>d.</w:t>
      </w:r>
    </w:p>
    <w:p>
      <w:pPr>
        <w:pStyle w:val="BodyText"/>
        <w:rPr>
          <w:rFonts w:ascii="Arial"/>
          <w:sz w:val="22"/>
        </w:rPr>
      </w:pPr>
    </w:p>
    <w:p>
      <w:pPr>
        <w:spacing w:before="0"/>
        <w:ind w:left="100" w:right="120" w:firstLine="0"/>
        <w:jc w:val="both"/>
        <w:rPr>
          <w:rFonts w:ascii="Arial" w:hAnsi="Arial"/>
          <w:sz w:val="22"/>
        </w:rPr>
      </w:pPr>
      <w:r>
        <w:rPr>
          <w:rFonts w:ascii="Arial" w:hAnsi="Arial"/>
          <w:sz w:val="22"/>
        </w:rPr>
        <w:t>DECIMO SEPTIMO. Como mencioné anticipadamente</w:t>
      </w:r>
      <w:r>
        <w:rPr>
          <w:rFonts w:ascii="Arial" w:hAnsi="Arial"/>
          <w:i/>
          <w:sz w:val="22"/>
        </w:rPr>
        <w:t>, </w:t>
      </w:r>
      <w:r>
        <w:rPr>
          <w:rFonts w:ascii="Arial" w:hAnsi="Arial"/>
          <w:sz w:val="22"/>
        </w:rPr>
        <w:t>en la Sentencia se señaló que, por ejemplo, los derechos a una alimentación adecuada y a la identidad cultural se encuentran receptados</w:t>
      </w:r>
      <w:r>
        <w:rPr>
          <w:rFonts w:ascii="Arial" w:hAnsi="Arial"/>
          <w:spacing w:val="-17"/>
          <w:sz w:val="22"/>
        </w:rPr>
        <w:t> </w:t>
      </w:r>
      <w:r>
        <w:rPr>
          <w:rFonts w:ascii="Arial" w:hAnsi="Arial"/>
          <w:sz w:val="22"/>
        </w:rPr>
        <w:t>en</w:t>
      </w:r>
      <w:r>
        <w:rPr>
          <w:rFonts w:ascii="Arial" w:hAnsi="Arial"/>
          <w:spacing w:val="-16"/>
          <w:sz w:val="22"/>
        </w:rPr>
        <w:t> </w:t>
      </w:r>
      <w:r>
        <w:rPr>
          <w:rFonts w:ascii="Arial" w:hAnsi="Arial"/>
          <w:sz w:val="22"/>
        </w:rPr>
        <w:t>la</w:t>
      </w:r>
      <w:r>
        <w:rPr>
          <w:rFonts w:ascii="Arial" w:hAnsi="Arial"/>
          <w:spacing w:val="-16"/>
          <w:sz w:val="22"/>
        </w:rPr>
        <w:t> </w:t>
      </w:r>
      <w:r>
        <w:rPr>
          <w:rFonts w:ascii="Arial" w:hAnsi="Arial"/>
          <w:sz w:val="22"/>
        </w:rPr>
        <w:t>Convención</w:t>
      </w:r>
      <w:r>
        <w:rPr>
          <w:rFonts w:ascii="Arial" w:hAnsi="Arial"/>
          <w:spacing w:val="-17"/>
          <w:sz w:val="22"/>
        </w:rPr>
        <w:t> </w:t>
      </w:r>
      <w:r>
        <w:rPr>
          <w:rFonts w:ascii="Arial" w:hAnsi="Arial"/>
          <w:sz w:val="22"/>
        </w:rPr>
        <w:t>Americana.</w:t>
      </w:r>
      <w:r>
        <w:rPr>
          <w:rFonts w:ascii="Arial" w:hAnsi="Arial"/>
          <w:spacing w:val="-17"/>
          <w:sz w:val="22"/>
        </w:rPr>
        <w:t> </w:t>
      </w:r>
      <w:r>
        <w:rPr>
          <w:rFonts w:ascii="Arial" w:hAnsi="Arial"/>
          <w:sz w:val="22"/>
        </w:rPr>
        <w:t>También</w:t>
      </w:r>
      <w:r>
        <w:rPr>
          <w:rFonts w:ascii="Arial" w:hAnsi="Arial"/>
          <w:spacing w:val="-17"/>
          <w:sz w:val="22"/>
        </w:rPr>
        <w:t> </w:t>
      </w:r>
      <w:r>
        <w:rPr>
          <w:rFonts w:ascii="Arial" w:hAnsi="Arial"/>
          <w:sz w:val="22"/>
        </w:rPr>
        <w:t>se</w:t>
      </w:r>
      <w:r>
        <w:rPr>
          <w:rFonts w:ascii="Arial" w:hAnsi="Arial"/>
          <w:spacing w:val="-16"/>
          <w:sz w:val="22"/>
        </w:rPr>
        <w:t> </w:t>
      </w:r>
      <w:r>
        <w:rPr>
          <w:rFonts w:ascii="Arial" w:hAnsi="Arial"/>
          <w:sz w:val="22"/>
        </w:rPr>
        <w:t>hizo</w:t>
      </w:r>
      <w:r>
        <w:rPr>
          <w:rFonts w:ascii="Arial" w:hAnsi="Arial"/>
          <w:spacing w:val="-18"/>
          <w:sz w:val="22"/>
        </w:rPr>
        <w:t> </w:t>
      </w:r>
      <w:r>
        <w:rPr>
          <w:rFonts w:ascii="Arial" w:hAnsi="Arial"/>
          <w:sz w:val="22"/>
        </w:rPr>
        <w:t>referencia</w:t>
      </w:r>
      <w:r>
        <w:rPr>
          <w:rFonts w:ascii="Arial" w:hAnsi="Arial"/>
          <w:spacing w:val="-16"/>
          <w:sz w:val="22"/>
        </w:rPr>
        <w:t> </w:t>
      </w:r>
      <w:r>
        <w:rPr>
          <w:rFonts w:ascii="Arial" w:hAnsi="Arial"/>
          <w:sz w:val="22"/>
        </w:rPr>
        <w:t>a</w:t>
      </w:r>
      <w:r>
        <w:rPr>
          <w:rFonts w:ascii="Arial" w:hAnsi="Arial"/>
          <w:spacing w:val="-18"/>
          <w:sz w:val="22"/>
        </w:rPr>
        <w:t> </w:t>
      </w:r>
      <w:r>
        <w:rPr>
          <w:rFonts w:ascii="Arial" w:hAnsi="Arial"/>
          <w:sz w:val="22"/>
        </w:rPr>
        <w:t>que</w:t>
      </w:r>
      <w:r>
        <w:rPr>
          <w:rFonts w:ascii="Arial" w:hAnsi="Arial"/>
          <w:spacing w:val="-16"/>
          <w:sz w:val="22"/>
        </w:rPr>
        <w:t> </w:t>
      </w:r>
      <w:r>
        <w:rPr>
          <w:rFonts w:ascii="Arial" w:hAnsi="Arial"/>
          <w:sz w:val="22"/>
        </w:rPr>
        <w:t>existe</w:t>
      </w:r>
      <w:r>
        <w:rPr>
          <w:rFonts w:ascii="Arial" w:hAnsi="Arial"/>
          <w:spacing w:val="-17"/>
          <w:sz w:val="22"/>
        </w:rPr>
        <w:t> </w:t>
      </w:r>
      <w:r>
        <w:rPr>
          <w:rFonts w:ascii="Arial" w:hAnsi="Arial"/>
          <w:sz w:val="22"/>
        </w:rPr>
        <w:t>reconocimiento mediante normas constitucionales o convencionales con jerarquía constitucional del estado </w:t>
      </w:r>
      <w:r>
        <w:rPr>
          <w:rFonts w:ascii="Arial" w:hAnsi="Arial"/>
          <w:spacing w:val="60"/>
          <w:sz w:val="22"/>
        </w:rPr>
        <w:t> </w:t>
      </w:r>
      <w:r>
        <w:rPr>
          <w:rFonts w:ascii="Arial" w:hAnsi="Arial"/>
          <w:sz w:val="22"/>
        </w:rPr>
        <w:t>de</w:t>
      </w:r>
    </w:p>
    <w:p>
      <w:pPr>
        <w:spacing w:after="0"/>
        <w:jc w:val="both"/>
        <w:rPr>
          <w:rFonts w:ascii="Arial" w:hAnsi="Arial"/>
          <w:sz w:val="22"/>
        </w:rPr>
        <w:sectPr>
          <w:pgSz w:w="12240" w:h="15840"/>
          <w:pgMar w:header="0" w:footer="1031" w:top="1360" w:bottom="1220" w:left="1340" w:right="1320"/>
        </w:sectPr>
      </w:pPr>
    </w:p>
    <w:p>
      <w:pPr>
        <w:spacing w:before="80"/>
        <w:ind w:left="120" w:right="118" w:firstLine="0"/>
        <w:jc w:val="both"/>
        <w:rPr>
          <w:rFonts w:ascii="Arial" w:hAnsi="Arial"/>
          <w:sz w:val="22"/>
        </w:rPr>
      </w:pPr>
      <w:r>
        <w:rPr>
          <w:rFonts w:ascii="Arial" w:hAnsi="Arial"/>
          <w:sz w:val="22"/>
        </w:rPr>
        <w:t>Argentina de los derechos a un medio ambiente sano</w:t>
      </w:r>
      <w:r>
        <w:rPr>
          <w:rFonts w:ascii="Arial" w:hAnsi="Arial"/>
          <w:position w:val="7"/>
          <w:sz w:val="14"/>
        </w:rPr>
        <w:t>7</w:t>
      </w:r>
      <w:r>
        <w:rPr>
          <w:rFonts w:ascii="Arial" w:hAnsi="Arial"/>
          <w:sz w:val="22"/>
        </w:rPr>
        <w:t>, a la alimentación adecuada</w:t>
      </w:r>
      <w:r>
        <w:rPr>
          <w:rFonts w:ascii="Arial" w:hAnsi="Arial"/>
          <w:position w:val="7"/>
          <w:sz w:val="14"/>
        </w:rPr>
        <w:t>8</w:t>
      </w:r>
      <w:r>
        <w:rPr>
          <w:rFonts w:ascii="Arial" w:hAnsi="Arial"/>
          <w:sz w:val="22"/>
        </w:rPr>
        <w:t>, al agua</w:t>
      </w:r>
      <w:r>
        <w:rPr>
          <w:rFonts w:ascii="Arial" w:hAnsi="Arial"/>
          <w:position w:val="7"/>
          <w:sz w:val="14"/>
        </w:rPr>
        <w:t>9</w:t>
      </w:r>
      <w:r>
        <w:rPr>
          <w:rFonts w:ascii="Arial" w:hAnsi="Arial"/>
          <w:sz w:val="22"/>
        </w:rPr>
        <w:t>, y a la identidad cultural</w:t>
      </w:r>
      <w:r>
        <w:rPr>
          <w:rFonts w:ascii="Arial" w:hAnsi="Arial"/>
          <w:position w:val="7"/>
          <w:sz w:val="14"/>
        </w:rPr>
        <w:t>10</w:t>
      </w:r>
      <w:r>
        <w:rPr>
          <w:rFonts w:ascii="Arial" w:hAnsi="Arial"/>
          <w:sz w:val="22"/>
        </w:rPr>
        <w:t>.</w:t>
      </w:r>
    </w:p>
    <w:p>
      <w:pPr>
        <w:pStyle w:val="BodyText"/>
        <w:spacing w:before="10"/>
        <w:rPr>
          <w:rFonts w:ascii="Arial"/>
          <w:sz w:val="21"/>
        </w:rPr>
      </w:pPr>
    </w:p>
    <w:p>
      <w:pPr>
        <w:spacing w:before="0"/>
        <w:ind w:left="120" w:right="115" w:firstLine="0"/>
        <w:jc w:val="both"/>
        <w:rPr>
          <w:rFonts w:ascii="Arial" w:hAnsi="Arial"/>
          <w:sz w:val="22"/>
        </w:rPr>
      </w:pPr>
      <w:r>
        <w:rPr>
          <w:rFonts w:ascii="Arial" w:hAnsi="Arial"/>
          <w:sz w:val="22"/>
        </w:rPr>
        <w:t>DECIMO OCTAVO. La Corte ha recordado y afirmado en distintas sentencias sobre la interdependencia</w:t>
      </w:r>
      <w:r>
        <w:rPr>
          <w:rFonts w:ascii="Arial" w:hAnsi="Arial"/>
          <w:spacing w:val="-12"/>
          <w:sz w:val="22"/>
        </w:rPr>
        <w:t> </w:t>
      </w:r>
      <w:r>
        <w:rPr>
          <w:rFonts w:ascii="Arial" w:hAnsi="Arial"/>
          <w:sz w:val="22"/>
        </w:rPr>
        <w:t>e</w:t>
      </w:r>
      <w:r>
        <w:rPr>
          <w:rFonts w:ascii="Arial" w:hAnsi="Arial"/>
          <w:spacing w:val="-12"/>
          <w:sz w:val="22"/>
        </w:rPr>
        <w:t> </w:t>
      </w:r>
      <w:r>
        <w:rPr>
          <w:rFonts w:ascii="Arial" w:hAnsi="Arial"/>
          <w:sz w:val="22"/>
        </w:rPr>
        <w:t>indivisibilidad</w:t>
      </w:r>
      <w:r>
        <w:rPr>
          <w:rFonts w:ascii="Arial" w:hAnsi="Arial"/>
          <w:spacing w:val="-12"/>
          <w:sz w:val="22"/>
        </w:rPr>
        <w:t> </w:t>
      </w:r>
      <w:r>
        <w:rPr>
          <w:rFonts w:ascii="Arial" w:hAnsi="Arial"/>
          <w:sz w:val="22"/>
        </w:rPr>
        <w:t>entre</w:t>
      </w:r>
      <w:r>
        <w:rPr>
          <w:rFonts w:ascii="Arial" w:hAnsi="Arial"/>
          <w:spacing w:val="-12"/>
          <w:sz w:val="22"/>
        </w:rPr>
        <w:t> </w:t>
      </w:r>
      <w:r>
        <w:rPr>
          <w:rFonts w:ascii="Arial" w:hAnsi="Arial"/>
          <w:sz w:val="22"/>
        </w:rPr>
        <w:t>los</w:t>
      </w:r>
      <w:r>
        <w:rPr>
          <w:rFonts w:ascii="Arial" w:hAnsi="Arial"/>
          <w:spacing w:val="-11"/>
          <w:sz w:val="22"/>
        </w:rPr>
        <w:t> </w:t>
      </w:r>
      <w:r>
        <w:rPr>
          <w:rFonts w:ascii="Arial" w:hAnsi="Arial"/>
          <w:sz w:val="22"/>
        </w:rPr>
        <w:t>derechos</w:t>
      </w:r>
      <w:r>
        <w:rPr>
          <w:rFonts w:ascii="Arial" w:hAnsi="Arial"/>
          <w:spacing w:val="-11"/>
          <w:sz w:val="22"/>
        </w:rPr>
        <w:t> </w:t>
      </w:r>
      <w:r>
        <w:rPr>
          <w:rFonts w:ascii="Arial" w:hAnsi="Arial"/>
          <w:sz w:val="22"/>
        </w:rPr>
        <w:t>civiles,</w:t>
      </w:r>
      <w:r>
        <w:rPr>
          <w:rFonts w:ascii="Arial" w:hAnsi="Arial"/>
          <w:spacing w:val="-13"/>
          <w:sz w:val="22"/>
        </w:rPr>
        <w:t> </w:t>
      </w:r>
      <w:r>
        <w:rPr>
          <w:rFonts w:ascii="Arial" w:hAnsi="Arial"/>
          <w:sz w:val="22"/>
        </w:rPr>
        <w:t>políticos</w:t>
      </w:r>
      <w:r>
        <w:rPr>
          <w:rFonts w:ascii="Arial" w:hAnsi="Arial"/>
          <w:spacing w:val="-13"/>
          <w:sz w:val="22"/>
        </w:rPr>
        <w:t> </w:t>
      </w:r>
      <w:r>
        <w:rPr>
          <w:rFonts w:ascii="Arial" w:hAnsi="Arial"/>
          <w:sz w:val="22"/>
        </w:rPr>
        <w:t>y</w:t>
      </w:r>
      <w:r>
        <w:rPr>
          <w:rFonts w:ascii="Arial" w:hAnsi="Arial"/>
          <w:spacing w:val="-11"/>
          <w:sz w:val="22"/>
        </w:rPr>
        <w:t> </w:t>
      </w:r>
      <w:r>
        <w:rPr>
          <w:rFonts w:ascii="Arial" w:hAnsi="Arial"/>
          <w:sz w:val="22"/>
        </w:rPr>
        <w:t>los</w:t>
      </w:r>
      <w:r>
        <w:rPr>
          <w:rFonts w:ascii="Arial" w:hAnsi="Arial"/>
          <w:spacing w:val="-12"/>
          <w:sz w:val="22"/>
        </w:rPr>
        <w:t> </w:t>
      </w:r>
      <w:r>
        <w:rPr>
          <w:rFonts w:ascii="Arial" w:hAnsi="Arial"/>
          <w:sz w:val="22"/>
        </w:rPr>
        <w:t>derechos</w:t>
      </w:r>
      <w:r>
        <w:rPr>
          <w:rFonts w:ascii="Arial" w:hAnsi="Arial"/>
          <w:spacing w:val="-12"/>
          <w:sz w:val="22"/>
        </w:rPr>
        <w:t> </w:t>
      </w:r>
      <w:r>
        <w:rPr>
          <w:rFonts w:ascii="Arial" w:hAnsi="Arial"/>
          <w:sz w:val="22"/>
        </w:rPr>
        <w:t>económicos, sociales, culturales y ambientales, precisión que nos orienta a que asumamos que estos deben ser</w:t>
      </w:r>
      <w:r>
        <w:rPr>
          <w:rFonts w:ascii="Arial" w:hAnsi="Arial"/>
          <w:spacing w:val="-12"/>
          <w:sz w:val="22"/>
        </w:rPr>
        <w:t> </w:t>
      </w:r>
      <w:r>
        <w:rPr>
          <w:rFonts w:ascii="Arial" w:hAnsi="Arial"/>
          <w:sz w:val="22"/>
        </w:rPr>
        <w:t>entendidos</w:t>
      </w:r>
      <w:r>
        <w:rPr>
          <w:rFonts w:ascii="Arial" w:hAnsi="Arial"/>
          <w:spacing w:val="-12"/>
          <w:sz w:val="22"/>
        </w:rPr>
        <w:t> </w:t>
      </w:r>
      <w:r>
        <w:rPr>
          <w:rFonts w:ascii="Arial" w:hAnsi="Arial"/>
          <w:sz w:val="22"/>
        </w:rPr>
        <w:t>integralmente</w:t>
      </w:r>
      <w:r>
        <w:rPr>
          <w:rFonts w:ascii="Arial" w:hAnsi="Arial"/>
          <w:spacing w:val="-12"/>
          <w:sz w:val="22"/>
        </w:rPr>
        <w:t> </w:t>
      </w:r>
      <w:r>
        <w:rPr>
          <w:rFonts w:ascii="Arial" w:hAnsi="Arial"/>
          <w:sz w:val="22"/>
        </w:rPr>
        <w:t>como</w:t>
      </w:r>
      <w:r>
        <w:rPr>
          <w:rFonts w:ascii="Arial" w:hAnsi="Arial"/>
          <w:spacing w:val="-12"/>
          <w:sz w:val="22"/>
        </w:rPr>
        <w:t> </w:t>
      </w:r>
      <w:r>
        <w:rPr>
          <w:rFonts w:ascii="Arial" w:hAnsi="Arial"/>
          <w:sz w:val="22"/>
        </w:rPr>
        <w:t>derechos,</w:t>
      </w:r>
      <w:r>
        <w:rPr>
          <w:rFonts w:ascii="Arial" w:hAnsi="Arial"/>
          <w:spacing w:val="-13"/>
          <w:sz w:val="22"/>
        </w:rPr>
        <w:t> </w:t>
      </w:r>
      <w:r>
        <w:rPr>
          <w:rFonts w:ascii="Arial" w:hAnsi="Arial"/>
          <w:sz w:val="22"/>
        </w:rPr>
        <w:t>sin</w:t>
      </w:r>
      <w:r>
        <w:rPr>
          <w:rFonts w:ascii="Arial" w:hAnsi="Arial"/>
          <w:spacing w:val="-14"/>
          <w:sz w:val="22"/>
        </w:rPr>
        <w:t> </w:t>
      </w:r>
      <w:r>
        <w:rPr>
          <w:rFonts w:ascii="Arial" w:hAnsi="Arial"/>
          <w:sz w:val="22"/>
        </w:rPr>
        <w:t>jerarquía</w:t>
      </w:r>
      <w:r>
        <w:rPr>
          <w:rFonts w:ascii="Arial" w:hAnsi="Arial"/>
          <w:spacing w:val="-12"/>
          <w:sz w:val="22"/>
        </w:rPr>
        <w:t> </w:t>
      </w:r>
      <w:r>
        <w:rPr>
          <w:rFonts w:ascii="Arial" w:hAnsi="Arial"/>
          <w:sz w:val="22"/>
        </w:rPr>
        <w:t>entre</w:t>
      </w:r>
      <w:r>
        <w:rPr>
          <w:rFonts w:ascii="Arial" w:hAnsi="Arial"/>
          <w:spacing w:val="-12"/>
          <w:sz w:val="22"/>
        </w:rPr>
        <w:t> </w:t>
      </w:r>
      <w:r>
        <w:rPr>
          <w:rFonts w:ascii="Arial" w:hAnsi="Arial"/>
          <w:sz w:val="22"/>
        </w:rPr>
        <w:t>sí</w:t>
      </w:r>
      <w:r>
        <w:rPr>
          <w:rFonts w:ascii="Arial" w:hAnsi="Arial"/>
          <w:spacing w:val="-13"/>
          <w:sz w:val="22"/>
        </w:rPr>
        <w:t> </w:t>
      </w:r>
      <w:r>
        <w:rPr>
          <w:rFonts w:ascii="Arial" w:hAnsi="Arial"/>
          <w:sz w:val="22"/>
        </w:rPr>
        <w:t>y</w:t>
      </w:r>
      <w:r>
        <w:rPr>
          <w:rFonts w:ascii="Arial" w:hAnsi="Arial"/>
          <w:spacing w:val="-11"/>
          <w:sz w:val="22"/>
        </w:rPr>
        <w:t> </w:t>
      </w:r>
      <w:r>
        <w:rPr>
          <w:rFonts w:ascii="Arial" w:hAnsi="Arial"/>
          <w:sz w:val="22"/>
        </w:rPr>
        <w:t>exigibles</w:t>
      </w:r>
      <w:r>
        <w:rPr>
          <w:rFonts w:ascii="Arial" w:hAnsi="Arial"/>
          <w:spacing w:val="-11"/>
          <w:sz w:val="22"/>
        </w:rPr>
        <w:t> </w:t>
      </w:r>
      <w:r>
        <w:rPr>
          <w:rFonts w:ascii="Arial" w:hAnsi="Arial"/>
          <w:sz w:val="22"/>
        </w:rPr>
        <w:t>en</w:t>
      </w:r>
      <w:r>
        <w:rPr>
          <w:rFonts w:ascii="Arial" w:hAnsi="Arial"/>
          <w:spacing w:val="-13"/>
          <w:sz w:val="22"/>
        </w:rPr>
        <w:t> </w:t>
      </w:r>
      <w:r>
        <w:rPr>
          <w:rFonts w:ascii="Arial" w:hAnsi="Arial"/>
          <w:sz w:val="22"/>
        </w:rPr>
        <w:t>todos</w:t>
      </w:r>
      <w:r>
        <w:rPr>
          <w:rFonts w:ascii="Arial" w:hAnsi="Arial"/>
          <w:spacing w:val="-14"/>
          <w:sz w:val="22"/>
        </w:rPr>
        <w:t> </w:t>
      </w:r>
      <w:r>
        <w:rPr>
          <w:rFonts w:ascii="Arial" w:hAnsi="Arial"/>
          <w:sz w:val="22"/>
        </w:rPr>
        <w:t>los</w:t>
      </w:r>
      <w:r>
        <w:rPr>
          <w:rFonts w:ascii="Arial" w:hAnsi="Arial"/>
          <w:spacing w:val="-13"/>
          <w:sz w:val="22"/>
        </w:rPr>
        <w:t> </w:t>
      </w:r>
      <w:r>
        <w:rPr>
          <w:rFonts w:ascii="Arial" w:hAnsi="Arial"/>
          <w:sz w:val="22"/>
        </w:rPr>
        <w:t>casos ante aquellas autoridades que resulten competentes para ello</w:t>
      </w:r>
      <w:r>
        <w:rPr>
          <w:rFonts w:ascii="Arial" w:hAnsi="Arial"/>
          <w:position w:val="7"/>
          <w:sz w:val="14"/>
        </w:rPr>
        <w:t>11</w:t>
      </w:r>
      <w:r>
        <w:rPr>
          <w:rFonts w:ascii="Arial" w:hAnsi="Arial"/>
          <w:sz w:val="22"/>
        </w:rPr>
        <w:t>. Este reiterado precedente de</w:t>
      </w:r>
      <w:r>
        <w:rPr>
          <w:rFonts w:ascii="Arial" w:hAnsi="Arial"/>
          <w:spacing w:val="-29"/>
          <w:sz w:val="22"/>
        </w:rPr>
        <w:t> </w:t>
      </w:r>
      <w:r>
        <w:rPr>
          <w:rFonts w:ascii="Arial" w:hAnsi="Arial"/>
          <w:sz w:val="22"/>
        </w:rPr>
        <w:t>la Corte ha consagrado la superación de la jerarquía discriminatoria entre los derechos y ha colocado a todos en pie de igualdad, superando el relato restrictivo que los excluía de ser pleno objeto de alegación y reclamo ante las cortes de justicia en la</w:t>
      </w:r>
      <w:r>
        <w:rPr>
          <w:rFonts w:ascii="Arial" w:hAnsi="Arial"/>
          <w:spacing w:val="-20"/>
          <w:sz w:val="22"/>
        </w:rPr>
        <w:t> </w:t>
      </w:r>
      <w:r>
        <w:rPr>
          <w:rFonts w:ascii="Arial" w:hAnsi="Arial"/>
          <w:sz w:val="22"/>
        </w:rPr>
        <w:t>región.</w:t>
      </w:r>
    </w:p>
    <w:p>
      <w:pPr>
        <w:pStyle w:val="BodyText"/>
        <w:spacing w:before="11"/>
        <w:rPr>
          <w:rFonts w:ascii="Arial"/>
          <w:sz w:val="21"/>
        </w:rPr>
      </w:pPr>
    </w:p>
    <w:p>
      <w:pPr>
        <w:spacing w:before="0"/>
        <w:ind w:left="120" w:right="115" w:firstLine="0"/>
        <w:jc w:val="both"/>
        <w:rPr>
          <w:rFonts w:ascii="Arial" w:hAnsi="Arial"/>
          <w:sz w:val="22"/>
        </w:rPr>
      </w:pPr>
      <w:r>
        <w:rPr>
          <w:rFonts w:ascii="Arial" w:hAnsi="Arial"/>
          <w:sz w:val="22"/>
        </w:rPr>
        <w:t>DECIMO</w:t>
      </w:r>
      <w:r>
        <w:rPr>
          <w:rFonts w:ascii="Arial" w:hAnsi="Arial"/>
          <w:spacing w:val="-12"/>
          <w:sz w:val="22"/>
        </w:rPr>
        <w:t> </w:t>
      </w:r>
      <w:r>
        <w:rPr>
          <w:rFonts w:ascii="Arial" w:hAnsi="Arial"/>
          <w:sz w:val="22"/>
        </w:rPr>
        <w:t>NOVENO.</w:t>
      </w:r>
      <w:r>
        <w:rPr>
          <w:rFonts w:ascii="Arial" w:hAnsi="Arial"/>
          <w:spacing w:val="-10"/>
          <w:sz w:val="22"/>
        </w:rPr>
        <w:t> </w:t>
      </w:r>
      <w:r>
        <w:rPr>
          <w:rFonts w:ascii="Arial" w:hAnsi="Arial"/>
          <w:sz w:val="22"/>
        </w:rPr>
        <w:t>Argumentar</w:t>
      </w:r>
      <w:r>
        <w:rPr>
          <w:rFonts w:ascii="Arial" w:hAnsi="Arial"/>
          <w:spacing w:val="-10"/>
          <w:sz w:val="22"/>
        </w:rPr>
        <w:t> </w:t>
      </w:r>
      <w:r>
        <w:rPr>
          <w:rFonts w:ascii="Arial" w:hAnsi="Arial"/>
          <w:sz w:val="22"/>
        </w:rPr>
        <w:t>a</w:t>
      </w:r>
      <w:r>
        <w:rPr>
          <w:rFonts w:ascii="Arial" w:hAnsi="Arial"/>
          <w:spacing w:val="-10"/>
          <w:sz w:val="22"/>
        </w:rPr>
        <w:t> </w:t>
      </w:r>
      <w:r>
        <w:rPr>
          <w:rFonts w:ascii="Arial" w:hAnsi="Arial"/>
          <w:sz w:val="22"/>
        </w:rPr>
        <w:t>favor</w:t>
      </w:r>
      <w:r>
        <w:rPr>
          <w:rFonts w:ascii="Arial" w:hAnsi="Arial"/>
          <w:spacing w:val="-10"/>
          <w:sz w:val="22"/>
        </w:rPr>
        <w:t> </w:t>
      </w:r>
      <w:r>
        <w:rPr>
          <w:rFonts w:ascii="Arial" w:hAnsi="Arial"/>
          <w:sz w:val="22"/>
        </w:rPr>
        <w:t>de</w:t>
      </w:r>
      <w:r>
        <w:rPr>
          <w:rFonts w:ascii="Arial" w:hAnsi="Arial"/>
          <w:spacing w:val="-11"/>
          <w:sz w:val="22"/>
        </w:rPr>
        <w:t> </w:t>
      </w:r>
      <w:r>
        <w:rPr>
          <w:rFonts w:ascii="Arial" w:hAnsi="Arial"/>
          <w:sz w:val="22"/>
        </w:rPr>
        <w:t>la</w:t>
      </w:r>
      <w:r>
        <w:rPr>
          <w:rFonts w:ascii="Arial" w:hAnsi="Arial"/>
          <w:spacing w:val="-12"/>
          <w:sz w:val="22"/>
        </w:rPr>
        <w:t> </w:t>
      </w:r>
      <w:r>
        <w:rPr>
          <w:rFonts w:ascii="Arial" w:hAnsi="Arial"/>
          <w:sz w:val="22"/>
        </w:rPr>
        <w:t>justiciabilidad</w:t>
      </w:r>
      <w:r>
        <w:rPr>
          <w:rFonts w:ascii="Arial" w:hAnsi="Arial"/>
          <w:spacing w:val="-12"/>
          <w:sz w:val="22"/>
        </w:rPr>
        <w:t> </w:t>
      </w:r>
      <w:r>
        <w:rPr>
          <w:rFonts w:ascii="Arial" w:hAnsi="Arial"/>
          <w:sz w:val="22"/>
        </w:rPr>
        <w:t>indirecta</w:t>
      </w:r>
      <w:r>
        <w:rPr>
          <w:rFonts w:ascii="Arial" w:hAnsi="Arial"/>
          <w:spacing w:val="-9"/>
          <w:sz w:val="22"/>
        </w:rPr>
        <w:t> </w:t>
      </w:r>
      <w:r>
        <w:rPr>
          <w:rFonts w:ascii="Arial" w:hAnsi="Arial"/>
          <w:sz w:val="22"/>
        </w:rPr>
        <w:t>y</w:t>
      </w:r>
      <w:r>
        <w:rPr>
          <w:rFonts w:ascii="Arial" w:hAnsi="Arial"/>
          <w:spacing w:val="-11"/>
          <w:sz w:val="22"/>
        </w:rPr>
        <w:t> </w:t>
      </w:r>
      <w:r>
        <w:rPr>
          <w:rFonts w:ascii="Arial" w:hAnsi="Arial"/>
          <w:sz w:val="22"/>
        </w:rPr>
        <w:t>subordinada</w:t>
      </w:r>
      <w:r>
        <w:rPr>
          <w:rFonts w:ascii="Arial" w:hAnsi="Arial"/>
          <w:spacing w:val="-11"/>
          <w:sz w:val="22"/>
        </w:rPr>
        <w:t> </w:t>
      </w:r>
      <w:r>
        <w:rPr>
          <w:rFonts w:ascii="Arial" w:hAnsi="Arial"/>
          <w:sz w:val="22"/>
        </w:rPr>
        <w:t>a</w:t>
      </w:r>
      <w:r>
        <w:rPr>
          <w:rFonts w:ascii="Arial" w:hAnsi="Arial"/>
          <w:spacing w:val="-10"/>
          <w:sz w:val="22"/>
        </w:rPr>
        <w:t> </w:t>
      </w:r>
      <w:r>
        <w:rPr>
          <w:rFonts w:ascii="Arial" w:hAnsi="Arial"/>
          <w:sz w:val="22"/>
        </w:rPr>
        <w:t>la</w:t>
      </w:r>
      <w:r>
        <w:rPr>
          <w:rFonts w:ascii="Arial" w:hAnsi="Arial"/>
          <w:spacing w:val="-12"/>
          <w:sz w:val="22"/>
        </w:rPr>
        <w:t> </w:t>
      </w:r>
      <w:r>
        <w:rPr>
          <w:rFonts w:ascii="Arial" w:hAnsi="Arial"/>
          <w:sz w:val="22"/>
        </w:rPr>
        <w:t>violación del derecho a la vida o la integridad personal, consagraría una interpretación restrictiva de la Convención que excluiría, nuevamente, a los DESCA, de la esfera de los derechos autónomos susceptibles de judicialización directa, incurriendo en una lectura de carácter regresivo, que contraría el texto expreso y su interpretación literal, que manifiesta en el artículo 29 inc. c. de la Convención</w:t>
      </w:r>
      <w:r>
        <w:rPr>
          <w:rFonts w:ascii="Arial" w:hAnsi="Arial"/>
          <w:spacing w:val="-6"/>
          <w:sz w:val="22"/>
        </w:rPr>
        <w:t> </w:t>
      </w:r>
      <w:r>
        <w:rPr>
          <w:rFonts w:ascii="Arial" w:hAnsi="Arial"/>
          <w:sz w:val="22"/>
        </w:rPr>
        <w:t>Americana.</w:t>
      </w:r>
    </w:p>
    <w:p>
      <w:pPr>
        <w:pStyle w:val="BodyText"/>
        <w:spacing w:before="10"/>
        <w:rPr>
          <w:rFonts w:ascii="Arial"/>
          <w:sz w:val="21"/>
        </w:rPr>
      </w:pPr>
    </w:p>
    <w:p>
      <w:pPr>
        <w:spacing w:before="0"/>
        <w:ind w:left="120" w:right="116" w:firstLine="0"/>
        <w:jc w:val="both"/>
        <w:rPr>
          <w:rFonts w:ascii="Arial" w:hAnsi="Arial"/>
          <w:sz w:val="22"/>
        </w:rPr>
      </w:pPr>
      <w:r>
        <w:rPr>
          <w:rFonts w:ascii="Arial" w:hAnsi="Arial"/>
          <w:sz w:val="22"/>
        </w:rPr>
        <w:t>VIGESIMO. Con el presente voto pretendo acompañar y sustentar la postura mayoritaria adoptada por la Corte IDH para juzgar violaciones a los DESCA. Existen valiosos ejercicios hermenéuticos, expansivos y evolutivos que viene implementado sistemáticamente el tribunal interamericano</w:t>
      </w:r>
      <w:r>
        <w:rPr>
          <w:rFonts w:ascii="Arial" w:hAnsi="Arial"/>
          <w:spacing w:val="-14"/>
          <w:sz w:val="22"/>
        </w:rPr>
        <w:t> </w:t>
      </w:r>
      <w:r>
        <w:rPr>
          <w:rFonts w:ascii="Arial" w:hAnsi="Arial"/>
          <w:sz w:val="22"/>
        </w:rPr>
        <w:t>que</w:t>
      </w:r>
      <w:r>
        <w:rPr>
          <w:rFonts w:ascii="Arial" w:hAnsi="Arial"/>
          <w:spacing w:val="-14"/>
          <w:sz w:val="22"/>
        </w:rPr>
        <w:t> </w:t>
      </w:r>
      <w:r>
        <w:rPr>
          <w:rFonts w:ascii="Arial" w:hAnsi="Arial"/>
          <w:sz w:val="22"/>
        </w:rPr>
        <w:t>posibilitaron</w:t>
      </w:r>
      <w:r>
        <w:rPr>
          <w:rFonts w:ascii="Arial" w:hAnsi="Arial"/>
          <w:spacing w:val="-14"/>
          <w:sz w:val="22"/>
        </w:rPr>
        <w:t> </w:t>
      </w:r>
      <w:r>
        <w:rPr>
          <w:rFonts w:ascii="Arial" w:hAnsi="Arial"/>
          <w:sz w:val="22"/>
        </w:rPr>
        <w:t>el</w:t>
      </w:r>
      <w:r>
        <w:rPr>
          <w:rFonts w:ascii="Arial" w:hAnsi="Arial"/>
          <w:spacing w:val="-14"/>
          <w:sz w:val="22"/>
        </w:rPr>
        <w:t> </w:t>
      </w:r>
      <w:r>
        <w:rPr>
          <w:rFonts w:ascii="Arial" w:hAnsi="Arial"/>
          <w:sz w:val="22"/>
        </w:rPr>
        <w:t>desarrollo</w:t>
      </w:r>
      <w:r>
        <w:rPr>
          <w:rFonts w:ascii="Arial" w:hAnsi="Arial"/>
          <w:spacing w:val="-14"/>
          <w:sz w:val="22"/>
        </w:rPr>
        <w:t> </w:t>
      </w:r>
      <w:r>
        <w:rPr>
          <w:rFonts w:ascii="Arial" w:hAnsi="Arial"/>
          <w:sz w:val="22"/>
        </w:rPr>
        <w:t>de</w:t>
      </w:r>
      <w:r>
        <w:rPr>
          <w:rFonts w:ascii="Arial" w:hAnsi="Arial"/>
          <w:spacing w:val="-11"/>
          <w:sz w:val="22"/>
        </w:rPr>
        <w:t> </w:t>
      </w:r>
      <w:r>
        <w:rPr>
          <w:rFonts w:ascii="Arial" w:hAnsi="Arial"/>
          <w:sz w:val="22"/>
        </w:rPr>
        <w:t>esta</w:t>
      </w:r>
      <w:r>
        <w:rPr>
          <w:rFonts w:ascii="Arial" w:hAnsi="Arial"/>
          <w:spacing w:val="-14"/>
          <w:sz w:val="22"/>
        </w:rPr>
        <w:t> </w:t>
      </w:r>
      <w:r>
        <w:rPr>
          <w:rFonts w:ascii="Arial" w:hAnsi="Arial"/>
          <w:sz w:val="22"/>
        </w:rPr>
        <w:t>jurisprudencia,</w:t>
      </w:r>
      <w:r>
        <w:rPr>
          <w:rFonts w:ascii="Arial" w:hAnsi="Arial"/>
          <w:spacing w:val="-14"/>
          <w:sz w:val="22"/>
        </w:rPr>
        <w:t> </w:t>
      </w:r>
      <w:r>
        <w:rPr>
          <w:rFonts w:ascii="Arial" w:hAnsi="Arial"/>
          <w:sz w:val="22"/>
        </w:rPr>
        <w:t>claro,</w:t>
      </w:r>
      <w:r>
        <w:rPr>
          <w:rFonts w:ascii="Arial" w:hAnsi="Arial"/>
          <w:spacing w:val="-14"/>
          <w:sz w:val="22"/>
        </w:rPr>
        <w:t> </w:t>
      </w:r>
      <w:r>
        <w:rPr>
          <w:rFonts w:ascii="Arial" w:hAnsi="Arial"/>
          <w:sz w:val="22"/>
        </w:rPr>
        <w:t>es</w:t>
      </w:r>
      <w:r>
        <w:rPr>
          <w:rFonts w:ascii="Arial" w:hAnsi="Arial"/>
          <w:spacing w:val="-14"/>
          <w:sz w:val="22"/>
        </w:rPr>
        <w:t> </w:t>
      </w:r>
      <w:r>
        <w:rPr>
          <w:rFonts w:ascii="Arial" w:hAnsi="Arial"/>
          <w:sz w:val="22"/>
        </w:rPr>
        <w:t>menester</w:t>
      </w:r>
      <w:r>
        <w:rPr>
          <w:rFonts w:ascii="Arial" w:hAnsi="Arial"/>
          <w:spacing w:val="-14"/>
          <w:sz w:val="22"/>
        </w:rPr>
        <w:t> </w:t>
      </w:r>
      <w:r>
        <w:rPr>
          <w:rFonts w:ascii="Arial" w:hAnsi="Arial"/>
          <w:sz w:val="22"/>
        </w:rPr>
        <w:t>destacar, que esta afirmación no implica asumir como plena la consecución o realización de este enfoque y desarrollo jurídico, por el contrario, sus logros no pueden obnubilar la necesidad que esta línea de pensamiento judicial se empeñe en profundizar los argumentos y postulados subyacentes en el debate</w:t>
      </w:r>
      <w:r>
        <w:rPr>
          <w:rFonts w:ascii="Arial" w:hAnsi="Arial"/>
          <w:spacing w:val="-10"/>
          <w:sz w:val="22"/>
        </w:rPr>
        <w:t> </w:t>
      </w:r>
      <w:r>
        <w:rPr>
          <w:rFonts w:ascii="Arial" w:hAnsi="Arial"/>
          <w:sz w:val="22"/>
        </w:rPr>
        <w:t>jurisprudencial.</w:t>
      </w:r>
    </w:p>
    <w:p>
      <w:pPr>
        <w:pStyle w:val="BodyText"/>
        <w:rPr>
          <w:rFonts w:ascii="Arial"/>
        </w:rPr>
      </w:pPr>
    </w:p>
    <w:p>
      <w:pPr>
        <w:pStyle w:val="BodyText"/>
        <w:rPr>
          <w:rFonts w:ascii="Arial"/>
        </w:rPr>
      </w:pPr>
    </w:p>
    <w:p>
      <w:pPr>
        <w:pStyle w:val="BodyText"/>
        <w:spacing w:before="10"/>
        <w:rPr>
          <w:rFonts w:ascii="Arial"/>
          <w:sz w:val="17"/>
        </w:rPr>
      </w:pPr>
    </w:p>
    <w:p>
      <w:pPr>
        <w:spacing w:after="0"/>
        <w:rPr>
          <w:rFonts w:ascii="Arial"/>
          <w:sz w:val="17"/>
        </w:rPr>
        <w:sectPr>
          <w:pgSz w:w="12240" w:h="15840"/>
          <w:pgMar w:header="0" w:footer="1031" w:top="1360" w:bottom="1220" w:left="1320" w:right="1320"/>
        </w:sectPr>
      </w:pPr>
    </w:p>
    <w:p>
      <w:pPr>
        <w:pStyle w:val="BodyText"/>
        <w:rPr>
          <w:rFonts w:ascii="Arial"/>
          <w:sz w:val="24"/>
        </w:rPr>
      </w:pPr>
    </w:p>
    <w:p>
      <w:pPr>
        <w:pStyle w:val="BodyText"/>
        <w:spacing w:before="1"/>
        <w:rPr>
          <w:rFonts w:ascii="Arial"/>
          <w:sz w:val="28"/>
        </w:rPr>
      </w:pPr>
    </w:p>
    <w:p>
      <w:pPr>
        <w:spacing w:before="0"/>
        <w:ind w:left="793" w:right="-20" w:hanging="674"/>
        <w:jc w:val="left"/>
        <w:rPr>
          <w:rFonts w:ascii="Arial"/>
          <w:sz w:val="22"/>
        </w:rPr>
      </w:pPr>
      <w:r>
        <w:rPr>
          <w:rFonts w:ascii="Arial"/>
          <w:sz w:val="22"/>
        </w:rPr>
        <w:t>Pablo Saavedra Alessandri Secretario</w:t>
      </w:r>
    </w:p>
    <w:p>
      <w:pPr>
        <w:pStyle w:val="ListParagraph"/>
        <w:numPr>
          <w:ilvl w:val="0"/>
          <w:numId w:val="44"/>
        </w:numPr>
        <w:tabs>
          <w:tab w:pos="365" w:val="left" w:leader="none"/>
        </w:tabs>
        <w:spacing w:line="240" w:lineRule="auto" w:before="92" w:after="0"/>
        <w:ind w:left="1153" w:right="1409" w:hanging="1033"/>
        <w:jc w:val="left"/>
        <w:rPr>
          <w:rFonts w:ascii="Arial" w:hAnsi="Arial"/>
          <w:sz w:val="22"/>
        </w:rPr>
      </w:pPr>
      <w:r>
        <w:rPr>
          <w:rFonts w:ascii="Arial" w:hAnsi="Arial"/>
          <w:w w:val="99"/>
          <w:sz w:val="22"/>
        </w:rPr>
        <w:br w:type="column"/>
      </w:r>
      <w:r>
        <w:rPr>
          <w:rFonts w:ascii="Arial" w:hAnsi="Arial"/>
          <w:sz w:val="22"/>
        </w:rPr>
        <w:t>Patricio Pazmiño</w:t>
      </w:r>
      <w:r>
        <w:rPr>
          <w:rFonts w:ascii="Arial" w:hAnsi="Arial"/>
          <w:spacing w:val="-6"/>
          <w:sz w:val="22"/>
        </w:rPr>
        <w:t> </w:t>
      </w:r>
      <w:r>
        <w:rPr>
          <w:rFonts w:ascii="Arial" w:hAnsi="Arial"/>
          <w:sz w:val="22"/>
        </w:rPr>
        <w:t>Freire Juez</w:t>
      </w:r>
    </w:p>
    <w:p>
      <w:pPr>
        <w:spacing w:after="0" w:line="240" w:lineRule="auto"/>
        <w:jc w:val="left"/>
        <w:rPr>
          <w:rFonts w:ascii="Arial" w:hAnsi="Arial"/>
          <w:sz w:val="22"/>
        </w:rPr>
        <w:sectPr>
          <w:type w:val="continuous"/>
          <w:pgSz w:w="12240" w:h="15840"/>
          <w:pgMar w:top="1500" w:bottom="1200" w:left="1320" w:right="1320"/>
          <w:cols w:num="2" w:equalWidth="0">
            <w:col w:w="2773" w:space="2766"/>
            <w:col w:w="4061"/>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0"/>
        <w:rPr>
          <w:rFonts w:ascii="Arial"/>
          <w:sz w:val="16"/>
        </w:rPr>
      </w:pPr>
    </w:p>
    <w:p>
      <w:pPr>
        <w:pStyle w:val="BodyText"/>
        <w:spacing w:line="20" w:lineRule="exact"/>
        <w:ind w:left="112"/>
        <w:rPr>
          <w:rFonts w:ascii="Arial"/>
          <w:sz w:val="2"/>
        </w:rPr>
      </w:pPr>
      <w:r>
        <w:rPr>
          <w:rFonts w:ascii="Arial"/>
          <w:sz w:val="2"/>
        </w:rPr>
        <w:pict>
          <v:group style="width:144.8pt;height:.75pt;mso-position-horizontal-relative:char;mso-position-vertical-relative:line" coordorigin="0,0" coordsize="2896,15">
            <v:line style="position:absolute" from="8,8" to="2888,8" stroked="true" strokeweight=".71997pt" strokecolor="#000000">
              <v:stroke dashstyle="solid"/>
            </v:line>
          </v:group>
        </w:pict>
      </w:r>
      <w:r>
        <w:rPr>
          <w:rFonts w:ascii="Arial"/>
          <w:sz w:val="2"/>
        </w:rPr>
      </w:r>
    </w:p>
    <w:p>
      <w:pPr>
        <w:spacing w:before="94"/>
        <w:ind w:left="120" w:right="0" w:firstLine="0"/>
        <w:jc w:val="both"/>
        <w:rPr>
          <w:sz w:val="16"/>
        </w:rPr>
      </w:pPr>
      <w:r>
        <w:rPr>
          <w:position w:val="6"/>
          <w:sz w:val="10"/>
        </w:rPr>
        <w:t>7  </w:t>
      </w:r>
      <w:r>
        <w:rPr>
          <w:sz w:val="16"/>
        </w:rPr>
        <w:t>Párr. 204 de la sentencia.</w:t>
      </w:r>
    </w:p>
    <w:p>
      <w:pPr>
        <w:spacing w:before="0"/>
        <w:ind w:left="120" w:right="0" w:firstLine="0"/>
        <w:jc w:val="both"/>
        <w:rPr>
          <w:sz w:val="16"/>
        </w:rPr>
      </w:pPr>
      <w:r>
        <w:rPr>
          <w:position w:val="6"/>
          <w:sz w:val="10"/>
        </w:rPr>
        <w:t>8  </w:t>
      </w:r>
      <w:r>
        <w:rPr>
          <w:sz w:val="16"/>
        </w:rPr>
        <w:t>Parr. 214 de la sentencia.</w:t>
      </w:r>
    </w:p>
    <w:p>
      <w:pPr>
        <w:spacing w:before="0"/>
        <w:ind w:left="120" w:right="0" w:firstLine="0"/>
        <w:jc w:val="both"/>
        <w:rPr>
          <w:sz w:val="16"/>
        </w:rPr>
      </w:pPr>
      <w:r>
        <w:rPr>
          <w:position w:val="6"/>
          <w:sz w:val="10"/>
        </w:rPr>
        <w:t>9  </w:t>
      </w:r>
      <w:r>
        <w:rPr>
          <w:sz w:val="16"/>
        </w:rPr>
        <w:t>Parr. 225 de la sentencia.</w:t>
      </w:r>
    </w:p>
    <w:p>
      <w:pPr>
        <w:spacing w:before="0"/>
        <w:ind w:left="120" w:right="0" w:firstLine="0"/>
        <w:jc w:val="both"/>
        <w:rPr>
          <w:sz w:val="16"/>
        </w:rPr>
      </w:pPr>
      <w:r>
        <w:rPr>
          <w:position w:val="6"/>
          <w:sz w:val="10"/>
        </w:rPr>
        <w:t>10  </w:t>
      </w:r>
      <w:r>
        <w:rPr>
          <w:sz w:val="16"/>
        </w:rPr>
        <w:t>Parr. 235 de la sentencia.</w:t>
      </w:r>
    </w:p>
    <w:p>
      <w:pPr>
        <w:spacing w:before="0"/>
        <w:ind w:left="120" w:right="0" w:firstLine="0"/>
        <w:jc w:val="both"/>
        <w:rPr>
          <w:sz w:val="16"/>
        </w:rPr>
      </w:pPr>
      <w:r>
        <w:rPr>
          <w:sz w:val="16"/>
        </w:rPr>
        <w:t>11 </w:t>
      </w:r>
      <w:r>
        <w:rPr>
          <w:i/>
          <w:sz w:val="16"/>
        </w:rPr>
        <w:t>Caso Gonzales Lluy y otros Vs. Ecuador. Excepciones Preliminares, Fondo, Reparaciones y Costas</w:t>
      </w:r>
      <w:r>
        <w:rPr>
          <w:sz w:val="16"/>
        </w:rPr>
        <w:t>. Sentencia  de</w:t>
      </w:r>
    </w:p>
    <w:p>
      <w:pPr>
        <w:spacing w:before="0"/>
        <w:ind w:left="120" w:right="115" w:firstLine="0"/>
        <w:jc w:val="both"/>
        <w:rPr>
          <w:sz w:val="16"/>
        </w:rPr>
      </w:pPr>
      <w:r>
        <w:rPr>
          <w:sz w:val="16"/>
        </w:rPr>
        <w:t>1 de septiembre de 2015. Serie C No. 298, párr. 172. En el mismo sentido: </w:t>
      </w:r>
      <w:r>
        <w:rPr>
          <w:i/>
          <w:sz w:val="16"/>
        </w:rPr>
        <w:t>Caso Suárez Peralta Vs. Ecuador. </w:t>
      </w:r>
      <w:r>
        <w:rPr>
          <w:i/>
          <w:sz w:val="16"/>
        </w:rPr>
        <w:t>Excepciones Preliminares, Fondo, Reparaciones y Costas. </w:t>
      </w:r>
      <w:r>
        <w:rPr>
          <w:sz w:val="16"/>
        </w:rPr>
        <w:t>Sentencia de 21 de mayo de 2013. Serie C No. 261, párr. 131</w:t>
      </w:r>
      <w:r>
        <w:rPr>
          <w:spacing w:val="-4"/>
          <w:sz w:val="16"/>
        </w:rPr>
        <w:t> </w:t>
      </w:r>
      <w:r>
        <w:rPr>
          <w:sz w:val="16"/>
        </w:rPr>
        <w:t>y</w:t>
      </w:r>
      <w:r>
        <w:rPr>
          <w:spacing w:val="-4"/>
          <w:sz w:val="16"/>
        </w:rPr>
        <w:t> </w:t>
      </w:r>
      <w:r>
        <w:rPr>
          <w:i/>
          <w:sz w:val="16"/>
        </w:rPr>
        <w:t>Caso</w:t>
      </w:r>
      <w:r>
        <w:rPr>
          <w:i/>
          <w:spacing w:val="-4"/>
          <w:sz w:val="16"/>
        </w:rPr>
        <w:t> </w:t>
      </w:r>
      <w:r>
        <w:rPr>
          <w:i/>
          <w:sz w:val="16"/>
        </w:rPr>
        <w:t>Lagos</w:t>
      </w:r>
      <w:r>
        <w:rPr>
          <w:i/>
          <w:spacing w:val="-5"/>
          <w:sz w:val="16"/>
        </w:rPr>
        <w:t> </w:t>
      </w:r>
      <w:r>
        <w:rPr>
          <w:i/>
          <w:sz w:val="16"/>
        </w:rPr>
        <w:t>del</w:t>
      </w:r>
      <w:r>
        <w:rPr>
          <w:i/>
          <w:spacing w:val="-4"/>
          <w:sz w:val="16"/>
        </w:rPr>
        <w:t> </w:t>
      </w:r>
      <w:r>
        <w:rPr>
          <w:i/>
          <w:sz w:val="16"/>
        </w:rPr>
        <w:t>Campo</w:t>
      </w:r>
      <w:r>
        <w:rPr>
          <w:i/>
          <w:spacing w:val="-3"/>
          <w:sz w:val="16"/>
        </w:rPr>
        <w:t> </w:t>
      </w:r>
      <w:r>
        <w:rPr>
          <w:i/>
          <w:sz w:val="16"/>
        </w:rPr>
        <w:t>Vs.</w:t>
      </w:r>
      <w:r>
        <w:rPr>
          <w:i/>
          <w:spacing w:val="-4"/>
          <w:sz w:val="16"/>
        </w:rPr>
        <w:t> </w:t>
      </w:r>
      <w:r>
        <w:rPr>
          <w:i/>
          <w:sz w:val="16"/>
        </w:rPr>
        <w:t>Perú.</w:t>
      </w:r>
      <w:r>
        <w:rPr>
          <w:i/>
          <w:spacing w:val="-4"/>
          <w:sz w:val="16"/>
        </w:rPr>
        <w:t> </w:t>
      </w:r>
      <w:r>
        <w:rPr>
          <w:i/>
          <w:sz w:val="16"/>
        </w:rPr>
        <w:t>Excepciones</w:t>
      </w:r>
      <w:r>
        <w:rPr>
          <w:i/>
          <w:spacing w:val="-4"/>
          <w:sz w:val="16"/>
        </w:rPr>
        <w:t> </w:t>
      </w:r>
      <w:r>
        <w:rPr>
          <w:i/>
          <w:sz w:val="16"/>
        </w:rPr>
        <w:t>Preliminares,</w:t>
      </w:r>
      <w:r>
        <w:rPr>
          <w:i/>
          <w:spacing w:val="-4"/>
          <w:sz w:val="16"/>
        </w:rPr>
        <w:t> </w:t>
      </w:r>
      <w:r>
        <w:rPr>
          <w:i/>
          <w:sz w:val="16"/>
        </w:rPr>
        <w:t>Fondo,</w:t>
      </w:r>
      <w:r>
        <w:rPr>
          <w:i/>
          <w:spacing w:val="-3"/>
          <w:sz w:val="16"/>
        </w:rPr>
        <w:t> </w:t>
      </w:r>
      <w:r>
        <w:rPr>
          <w:i/>
          <w:sz w:val="16"/>
        </w:rPr>
        <w:t>Reparaciones</w:t>
      </w:r>
      <w:r>
        <w:rPr>
          <w:i/>
          <w:spacing w:val="-4"/>
          <w:sz w:val="16"/>
        </w:rPr>
        <w:t> </w:t>
      </w:r>
      <w:r>
        <w:rPr>
          <w:i/>
          <w:sz w:val="16"/>
        </w:rPr>
        <w:t>y</w:t>
      </w:r>
      <w:r>
        <w:rPr>
          <w:i/>
          <w:spacing w:val="-4"/>
          <w:sz w:val="16"/>
        </w:rPr>
        <w:t> </w:t>
      </w:r>
      <w:r>
        <w:rPr>
          <w:i/>
          <w:sz w:val="16"/>
        </w:rPr>
        <w:t>Costas.</w:t>
      </w:r>
      <w:r>
        <w:rPr>
          <w:i/>
          <w:spacing w:val="-2"/>
          <w:sz w:val="16"/>
        </w:rPr>
        <w:t> </w:t>
      </w:r>
      <w:r>
        <w:rPr>
          <w:sz w:val="16"/>
        </w:rPr>
        <w:t>Sentencia</w:t>
      </w:r>
      <w:r>
        <w:rPr>
          <w:spacing w:val="-4"/>
          <w:sz w:val="16"/>
        </w:rPr>
        <w:t> </w:t>
      </w:r>
      <w:r>
        <w:rPr>
          <w:sz w:val="16"/>
        </w:rPr>
        <w:t>de</w:t>
      </w:r>
      <w:r>
        <w:rPr>
          <w:spacing w:val="-5"/>
          <w:sz w:val="16"/>
        </w:rPr>
        <w:t> </w:t>
      </w:r>
      <w:r>
        <w:rPr>
          <w:sz w:val="16"/>
        </w:rPr>
        <w:t>31</w:t>
      </w:r>
      <w:r>
        <w:rPr>
          <w:spacing w:val="-4"/>
          <w:sz w:val="16"/>
        </w:rPr>
        <w:t> </w:t>
      </w:r>
      <w:r>
        <w:rPr>
          <w:sz w:val="16"/>
        </w:rPr>
        <w:t>de agosto de 2017. Serie C No. 340, párr.</w:t>
      </w:r>
      <w:r>
        <w:rPr>
          <w:spacing w:val="-15"/>
          <w:sz w:val="16"/>
        </w:rPr>
        <w:t> </w:t>
      </w:r>
      <w:r>
        <w:rPr>
          <w:sz w:val="16"/>
        </w:rPr>
        <w:t>141.</w:t>
      </w:r>
    </w:p>
    <w:p>
      <w:pPr>
        <w:spacing w:after="0"/>
        <w:jc w:val="both"/>
        <w:rPr>
          <w:sz w:val="16"/>
        </w:rPr>
        <w:sectPr>
          <w:type w:val="continuous"/>
          <w:pgSz w:w="12240" w:h="15840"/>
          <w:pgMar w:top="1500" w:bottom="1200" w:left="1320" w:right="1320"/>
        </w:sectPr>
      </w:pPr>
    </w:p>
    <w:p>
      <w:pPr>
        <w:pStyle w:val="BodyText"/>
      </w:pPr>
    </w:p>
    <w:p>
      <w:pPr>
        <w:pStyle w:val="BodyText"/>
      </w:pPr>
    </w:p>
    <w:p>
      <w:pPr>
        <w:pStyle w:val="BodyText"/>
        <w:spacing w:before="8"/>
        <w:rPr>
          <w:sz w:val="15"/>
        </w:rPr>
      </w:pPr>
    </w:p>
    <w:p>
      <w:pPr>
        <w:pStyle w:val="Heading3"/>
        <w:spacing w:line="276" w:lineRule="auto" w:before="100"/>
        <w:ind w:left="2071" w:right="815" w:hanging="886"/>
        <w:jc w:val="left"/>
      </w:pPr>
      <w:bookmarkStart w:name="vsc_viogrossi_400_esp" w:id="180"/>
      <w:bookmarkEnd w:id="180"/>
      <w:r>
        <w:rPr>
          <w:b w:val="0"/>
        </w:rPr>
      </w:r>
      <w:r>
        <w:rPr/>
        <w:t>VOTO PARCIALMENTE DISIDENTE DEL JUEZ EDUARDO VIO GROSSI, CORTE INTERAMERICANA DE DERECHOS HUMANOS,</w:t>
      </w:r>
    </w:p>
    <w:p>
      <w:pPr>
        <w:spacing w:line="276" w:lineRule="auto" w:before="0"/>
        <w:ind w:left="1376" w:right="795" w:firstLine="817"/>
        <w:jc w:val="left"/>
        <w:rPr>
          <w:b/>
          <w:sz w:val="20"/>
        </w:rPr>
      </w:pPr>
      <w:r>
        <w:rPr>
          <w:b/>
          <w:sz w:val="20"/>
        </w:rPr>
        <w:t>CASO COMUNIDADES INDÍGENAS MIEMBROS DE LA ASOCIACIÓN LHAKA HONHAT (NUESTRA TIERRA) </w:t>
      </w:r>
      <w:r>
        <w:rPr>
          <w:b/>
          <w:i/>
          <w:sz w:val="20"/>
        </w:rPr>
        <w:t>VS</w:t>
      </w:r>
      <w:r>
        <w:rPr>
          <w:b/>
          <w:sz w:val="20"/>
        </w:rPr>
        <w:t>. ARGENTINA</w:t>
      </w:r>
    </w:p>
    <w:p>
      <w:pPr>
        <w:spacing w:before="0"/>
        <w:ind w:left="2897" w:right="2335" w:firstLine="0"/>
        <w:jc w:val="center"/>
        <w:rPr>
          <w:b/>
          <w:sz w:val="20"/>
        </w:rPr>
      </w:pPr>
      <w:r>
        <w:rPr>
          <w:b/>
          <w:sz w:val="20"/>
        </w:rPr>
        <w:t>SENTENCIA DE 6 DE FEBRERO DE 2020</w:t>
      </w:r>
    </w:p>
    <w:p>
      <w:pPr>
        <w:pStyle w:val="Heading4"/>
        <w:spacing w:before="36"/>
        <w:ind w:left="2896" w:right="2335"/>
        <w:jc w:val="center"/>
        <w:rPr>
          <w:i/>
        </w:rPr>
      </w:pPr>
      <w:r>
        <w:rPr>
          <w:i/>
        </w:rPr>
        <w:t>(Fondo, Reparaciones y Costas)</w:t>
      </w:r>
    </w:p>
    <w:p>
      <w:pPr>
        <w:pStyle w:val="BodyText"/>
        <w:rPr>
          <w:b/>
          <w:i/>
          <w:sz w:val="24"/>
        </w:rPr>
      </w:pPr>
    </w:p>
    <w:p>
      <w:pPr>
        <w:pStyle w:val="ListParagraph"/>
        <w:numPr>
          <w:ilvl w:val="0"/>
          <w:numId w:val="45"/>
        </w:numPr>
        <w:tabs>
          <w:tab w:pos="1685" w:val="left" w:leader="none"/>
          <w:tab w:pos="1686" w:val="left" w:leader="none"/>
        </w:tabs>
        <w:spacing w:line="240" w:lineRule="auto" w:before="205" w:after="0"/>
        <w:ind w:left="1685" w:right="0" w:hanging="721"/>
        <w:jc w:val="left"/>
        <w:rPr>
          <w:b/>
          <w:sz w:val="20"/>
        </w:rPr>
      </w:pPr>
      <w:r>
        <w:rPr>
          <w:b/>
          <w:sz w:val="20"/>
        </w:rPr>
        <w:t>INTRODUCCIÓN.</w:t>
      </w:r>
    </w:p>
    <w:p>
      <w:pPr>
        <w:pStyle w:val="BodyText"/>
        <w:spacing w:before="11"/>
        <w:rPr>
          <w:b/>
          <w:sz w:val="19"/>
        </w:rPr>
      </w:pPr>
    </w:p>
    <w:p>
      <w:pPr>
        <w:pStyle w:val="ListParagraph"/>
        <w:numPr>
          <w:ilvl w:val="0"/>
          <w:numId w:val="46"/>
        </w:numPr>
        <w:tabs>
          <w:tab w:pos="1390" w:val="left" w:leader="none"/>
        </w:tabs>
        <w:spacing w:line="240" w:lineRule="auto" w:before="0" w:after="0"/>
        <w:ind w:left="681" w:right="116" w:firstLine="0"/>
        <w:jc w:val="both"/>
        <w:rPr>
          <w:sz w:val="20"/>
        </w:rPr>
      </w:pPr>
      <w:r>
        <w:rPr>
          <w:sz w:val="20"/>
        </w:rPr>
        <w:t>Se expide el presente voto parcialmente disidente</w:t>
      </w:r>
      <w:r>
        <w:rPr>
          <w:position w:val="7"/>
          <w:sz w:val="13"/>
        </w:rPr>
        <w:t>1 </w:t>
      </w:r>
      <w:r>
        <w:rPr>
          <w:sz w:val="20"/>
        </w:rPr>
        <w:t>con relación a la Sentencia del rótulo</w:t>
      </w:r>
      <w:r>
        <w:rPr>
          <w:position w:val="7"/>
          <w:sz w:val="13"/>
        </w:rPr>
        <w:t>2</w:t>
      </w:r>
      <w:r>
        <w:rPr>
          <w:sz w:val="20"/>
        </w:rPr>
        <w:t>, a los efectos de dar cuenta de las razones por las que se discrepa de lo dispuesto en los resolutivos N°s 3</w:t>
      </w:r>
      <w:r>
        <w:rPr>
          <w:position w:val="7"/>
          <w:sz w:val="13"/>
        </w:rPr>
        <w:t>3</w:t>
      </w:r>
      <w:r>
        <w:rPr>
          <w:sz w:val="20"/>
        </w:rPr>
        <w:t>, 11</w:t>
      </w:r>
      <w:r>
        <w:rPr>
          <w:position w:val="7"/>
          <w:sz w:val="13"/>
        </w:rPr>
        <w:t>4</w:t>
      </w:r>
      <w:r>
        <w:rPr>
          <w:sz w:val="20"/>
        </w:rPr>
        <w:t>, 12</w:t>
      </w:r>
      <w:r>
        <w:rPr>
          <w:position w:val="7"/>
          <w:sz w:val="13"/>
        </w:rPr>
        <w:t>5 </w:t>
      </w:r>
      <w:r>
        <w:rPr>
          <w:sz w:val="20"/>
        </w:rPr>
        <w:t>y 13</w:t>
      </w:r>
      <w:r>
        <w:rPr>
          <w:position w:val="7"/>
          <w:sz w:val="13"/>
        </w:rPr>
        <w:t>6 </w:t>
      </w:r>
      <w:r>
        <w:rPr>
          <w:sz w:val="20"/>
        </w:rPr>
        <w:t>de aquella, los que, sobre la base de lo prescrito en el artículo 26 de la Convención Americana sobre Derechos Humanos</w:t>
      </w:r>
      <w:r>
        <w:rPr>
          <w:position w:val="7"/>
          <w:sz w:val="13"/>
        </w:rPr>
        <w:t>7</w:t>
      </w:r>
      <w:r>
        <w:rPr>
          <w:sz w:val="20"/>
        </w:rPr>
        <w:t>, declara, en el primero, las violaciones de los derechos a la identidad cultural, al medio ambiente sano, a la alimentación adecuada y al agua y dispone, en los siguientes, medidas</w:t>
      </w:r>
      <w:r>
        <w:rPr>
          <w:spacing w:val="55"/>
          <w:sz w:val="20"/>
        </w:rPr>
        <w:t> </w:t>
      </w:r>
      <w:r>
        <w:rPr>
          <w:sz w:val="20"/>
        </w:rPr>
        <w:t>de</w:t>
      </w:r>
      <w:r>
        <w:rPr>
          <w:spacing w:val="56"/>
          <w:sz w:val="20"/>
        </w:rPr>
        <w:t> </w:t>
      </w:r>
      <w:r>
        <w:rPr>
          <w:sz w:val="20"/>
        </w:rPr>
        <w:t>reparación</w:t>
      </w:r>
      <w:r>
        <w:rPr>
          <w:spacing w:val="55"/>
          <w:sz w:val="20"/>
        </w:rPr>
        <w:t> </w:t>
      </w:r>
      <w:r>
        <w:rPr>
          <w:sz w:val="20"/>
        </w:rPr>
        <w:t>relativas</w:t>
      </w:r>
      <w:r>
        <w:rPr>
          <w:spacing w:val="55"/>
          <w:sz w:val="20"/>
        </w:rPr>
        <w:t> </w:t>
      </w:r>
      <w:r>
        <w:rPr>
          <w:sz w:val="20"/>
        </w:rPr>
        <w:t>a</w:t>
      </w:r>
      <w:r>
        <w:rPr>
          <w:spacing w:val="56"/>
          <w:sz w:val="20"/>
        </w:rPr>
        <w:t> </w:t>
      </w:r>
      <w:r>
        <w:rPr>
          <w:sz w:val="20"/>
        </w:rPr>
        <w:t>dichas</w:t>
      </w:r>
      <w:r>
        <w:rPr>
          <w:spacing w:val="55"/>
          <w:sz w:val="20"/>
        </w:rPr>
        <w:t> </w:t>
      </w:r>
      <w:r>
        <w:rPr>
          <w:sz w:val="20"/>
        </w:rPr>
        <w:t>violaciones,</w:t>
      </w:r>
      <w:r>
        <w:rPr>
          <w:spacing w:val="54"/>
          <w:sz w:val="20"/>
        </w:rPr>
        <w:t> </w:t>
      </w:r>
      <w:r>
        <w:rPr>
          <w:sz w:val="20"/>
        </w:rPr>
        <w:t>con</w:t>
      </w:r>
      <w:r>
        <w:rPr>
          <w:spacing w:val="55"/>
          <w:sz w:val="20"/>
        </w:rPr>
        <w:t> </w:t>
      </w:r>
      <w:r>
        <w:rPr>
          <w:sz w:val="20"/>
        </w:rPr>
        <w:t>todo</w:t>
      </w:r>
      <w:r>
        <w:rPr>
          <w:spacing w:val="56"/>
          <w:sz w:val="20"/>
        </w:rPr>
        <w:t> </w:t>
      </w:r>
      <w:r>
        <w:rPr>
          <w:sz w:val="20"/>
        </w:rPr>
        <w:t>lo</w:t>
      </w:r>
      <w:r>
        <w:rPr>
          <w:spacing w:val="55"/>
          <w:sz w:val="20"/>
        </w:rPr>
        <w:t> </w:t>
      </w:r>
      <w:r>
        <w:rPr>
          <w:sz w:val="20"/>
        </w:rPr>
        <w:t>cual</w:t>
      </w:r>
      <w:r>
        <w:rPr>
          <w:spacing w:val="54"/>
          <w:sz w:val="20"/>
        </w:rPr>
        <w:t> </w:t>
      </w:r>
      <w:r>
        <w:rPr>
          <w:sz w:val="20"/>
        </w:rPr>
        <w:t>hace</w:t>
      </w:r>
      <w:r>
        <w:rPr>
          <w:spacing w:val="56"/>
          <w:sz w:val="20"/>
        </w:rPr>
        <w:t> </w:t>
      </w:r>
      <w:r>
        <w:rPr>
          <w:sz w:val="20"/>
        </w:rPr>
        <w:t>éstas</w:t>
      </w:r>
    </w:p>
    <w:p>
      <w:pPr>
        <w:pStyle w:val="BodyText"/>
        <w:spacing w:before="11"/>
        <w:rPr>
          <w:sz w:val="17"/>
        </w:rPr>
      </w:pPr>
      <w:r>
        <w:rPr/>
        <w:pict>
          <v:line style="position:absolute;mso-position-horizontal-relative:page;mso-position-vertical-relative:paragraph;z-index:3832;mso-wrap-distance-left:0;mso-wrap-distance-right:0" from="56.700001pt,13.240168pt" to="200.720001pt,13.240168pt" stroked="true" strokeweight=".72pt" strokecolor="#000000">
            <v:stroke dashstyle="solid"/>
            <w10:wrap type="topAndBottom"/>
          </v:line>
        </w:pict>
      </w:r>
    </w:p>
    <w:p>
      <w:pPr>
        <w:spacing w:before="70"/>
        <w:ind w:left="681" w:right="121" w:firstLine="0"/>
        <w:jc w:val="both"/>
        <w:rPr>
          <w:sz w:val="16"/>
        </w:rPr>
      </w:pPr>
      <w:r>
        <w:rPr>
          <w:position w:val="6"/>
          <w:sz w:val="10"/>
        </w:rPr>
        <w:t>1 </w:t>
      </w:r>
      <w:r>
        <w:rPr>
          <w:sz w:val="16"/>
        </w:rPr>
        <w:t>Art. 66.2 de la Convención: “</w:t>
      </w:r>
      <w:r>
        <w:rPr>
          <w:i/>
          <w:sz w:val="16"/>
        </w:rPr>
        <w:t>Si el fallo no expresare en todo o en parte la opinión unánime de los jueces, </w:t>
      </w:r>
      <w:r>
        <w:rPr>
          <w:i/>
          <w:sz w:val="16"/>
        </w:rPr>
        <w:t>cualquiera de éstos tendrá derecho a que se agregue al fallo su opinión disidente o individual</w:t>
      </w:r>
      <w:r>
        <w:rPr>
          <w:sz w:val="16"/>
        </w:rPr>
        <w:t>.”</w:t>
      </w:r>
    </w:p>
    <w:p>
      <w:pPr>
        <w:spacing w:before="0"/>
        <w:ind w:left="681" w:right="118" w:firstLine="0"/>
        <w:jc w:val="both"/>
        <w:rPr>
          <w:i/>
          <w:sz w:val="16"/>
        </w:rPr>
      </w:pPr>
      <w:r>
        <w:rPr>
          <w:sz w:val="16"/>
        </w:rPr>
        <w:t>Art, 24.3 de los Estatutos de la Corte: “</w:t>
      </w:r>
      <w:r>
        <w:rPr>
          <w:i/>
          <w:sz w:val="16"/>
        </w:rPr>
        <w:t>Las decisiones, juicios y opiniones de la Corte se comunicarán en </w:t>
      </w:r>
      <w:r>
        <w:rPr>
          <w:i/>
          <w:sz w:val="16"/>
        </w:rPr>
        <w:t>sesiones</w:t>
      </w:r>
      <w:r>
        <w:rPr>
          <w:i/>
          <w:spacing w:val="-7"/>
          <w:sz w:val="16"/>
        </w:rPr>
        <w:t> </w:t>
      </w:r>
      <w:r>
        <w:rPr>
          <w:i/>
          <w:sz w:val="16"/>
        </w:rPr>
        <w:t>públicas</w:t>
      </w:r>
      <w:r>
        <w:rPr>
          <w:i/>
          <w:spacing w:val="-6"/>
          <w:sz w:val="16"/>
        </w:rPr>
        <w:t> </w:t>
      </w:r>
      <w:r>
        <w:rPr>
          <w:i/>
          <w:sz w:val="16"/>
        </w:rPr>
        <w:t>y</w:t>
      </w:r>
      <w:r>
        <w:rPr>
          <w:i/>
          <w:spacing w:val="-5"/>
          <w:sz w:val="16"/>
        </w:rPr>
        <w:t> </w:t>
      </w:r>
      <w:r>
        <w:rPr>
          <w:i/>
          <w:sz w:val="16"/>
        </w:rPr>
        <w:t>se</w:t>
      </w:r>
      <w:r>
        <w:rPr>
          <w:i/>
          <w:spacing w:val="-6"/>
          <w:sz w:val="16"/>
        </w:rPr>
        <w:t> </w:t>
      </w:r>
      <w:r>
        <w:rPr>
          <w:i/>
          <w:sz w:val="16"/>
        </w:rPr>
        <w:t>notificarán</w:t>
      </w:r>
      <w:r>
        <w:rPr>
          <w:i/>
          <w:spacing w:val="-6"/>
          <w:sz w:val="16"/>
        </w:rPr>
        <w:t> </w:t>
      </w:r>
      <w:r>
        <w:rPr>
          <w:i/>
          <w:sz w:val="16"/>
        </w:rPr>
        <w:t>por</w:t>
      </w:r>
      <w:r>
        <w:rPr>
          <w:i/>
          <w:spacing w:val="-6"/>
          <w:sz w:val="16"/>
        </w:rPr>
        <w:t> </w:t>
      </w:r>
      <w:r>
        <w:rPr>
          <w:i/>
          <w:sz w:val="16"/>
        </w:rPr>
        <w:t>escrito</w:t>
      </w:r>
      <w:r>
        <w:rPr>
          <w:i/>
          <w:spacing w:val="-6"/>
          <w:sz w:val="16"/>
        </w:rPr>
        <w:t> </w:t>
      </w:r>
      <w:r>
        <w:rPr>
          <w:i/>
          <w:sz w:val="16"/>
        </w:rPr>
        <w:t>a</w:t>
      </w:r>
      <w:r>
        <w:rPr>
          <w:i/>
          <w:spacing w:val="-6"/>
          <w:sz w:val="16"/>
        </w:rPr>
        <w:t> </w:t>
      </w:r>
      <w:r>
        <w:rPr>
          <w:i/>
          <w:sz w:val="16"/>
        </w:rPr>
        <w:t>las</w:t>
      </w:r>
      <w:r>
        <w:rPr>
          <w:i/>
          <w:spacing w:val="-6"/>
          <w:sz w:val="16"/>
        </w:rPr>
        <w:t> </w:t>
      </w:r>
      <w:r>
        <w:rPr>
          <w:i/>
          <w:sz w:val="16"/>
        </w:rPr>
        <w:t>partes.</w:t>
      </w:r>
      <w:r>
        <w:rPr>
          <w:i/>
          <w:spacing w:val="-6"/>
          <w:sz w:val="16"/>
        </w:rPr>
        <w:t> </w:t>
      </w:r>
      <w:r>
        <w:rPr>
          <w:i/>
          <w:sz w:val="16"/>
        </w:rPr>
        <w:t>Además,</w:t>
      </w:r>
      <w:r>
        <w:rPr>
          <w:i/>
          <w:spacing w:val="-7"/>
          <w:sz w:val="16"/>
        </w:rPr>
        <w:t> </w:t>
      </w:r>
      <w:r>
        <w:rPr>
          <w:i/>
          <w:sz w:val="16"/>
        </w:rPr>
        <w:t>se</w:t>
      </w:r>
      <w:r>
        <w:rPr>
          <w:i/>
          <w:spacing w:val="-6"/>
          <w:sz w:val="16"/>
        </w:rPr>
        <w:t> </w:t>
      </w:r>
      <w:r>
        <w:rPr>
          <w:i/>
          <w:sz w:val="16"/>
        </w:rPr>
        <w:t>publicarán</w:t>
      </w:r>
      <w:r>
        <w:rPr>
          <w:i/>
          <w:spacing w:val="-6"/>
          <w:sz w:val="16"/>
        </w:rPr>
        <w:t> </w:t>
      </w:r>
      <w:r>
        <w:rPr>
          <w:i/>
          <w:sz w:val="16"/>
        </w:rPr>
        <w:t>conjuntamente</w:t>
      </w:r>
      <w:r>
        <w:rPr>
          <w:i/>
          <w:spacing w:val="-6"/>
          <w:sz w:val="16"/>
        </w:rPr>
        <w:t> </w:t>
      </w:r>
      <w:r>
        <w:rPr>
          <w:i/>
          <w:sz w:val="16"/>
        </w:rPr>
        <w:t>con</w:t>
      </w:r>
      <w:r>
        <w:rPr>
          <w:i/>
          <w:spacing w:val="-6"/>
          <w:sz w:val="16"/>
        </w:rPr>
        <w:t> </w:t>
      </w:r>
      <w:r>
        <w:rPr>
          <w:i/>
          <w:sz w:val="16"/>
        </w:rPr>
        <w:t>los</w:t>
      </w:r>
      <w:r>
        <w:rPr>
          <w:i/>
          <w:spacing w:val="-6"/>
          <w:sz w:val="16"/>
        </w:rPr>
        <w:t> </w:t>
      </w:r>
      <w:r>
        <w:rPr>
          <w:i/>
          <w:sz w:val="16"/>
        </w:rPr>
        <w:t>votos y opiniones separados de los jueces y con cualesquiera otros datos o antecedentes que la Corte considere conveniente.”</w:t>
      </w:r>
    </w:p>
    <w:p>
      <w:pPr>
        <w:spacing w:before="0"/>
        <w:ind w:left="681" w:right="118" w:firstLine="0"/>
        <w:jc w:val="both"/>
        <w:rPr>
          <w:i/>
          <w:sz w:val="16"/>
        </w:rPr>
      </w:pPr>
      <w:r>
        <w:rPr>
          <w:sz w:val="16"/>
        </w:rPr>
        <w:t>Art.65.2</w:t>
      </w:r>
      <w:r>
        <w:rPr>
          <w:spacing w:val="-4"/>
          <w:sz w:val="16"/>
        </w:rPr>
        <w:t> </w:t>
      </w:r>
      <w:r>
        <w:rPr>
          <w:sz w:val="16"/>
        </w:rPr>
        <w:t>del</w:t>
      </w:r>
      <w:r>
        <w:rPr>
          <w:spacing w:val="-5"/>
          <w:sz w:val="16"/>
        </w:rPr>
        <w:t> </w:t>
      </w:r>
      <w:r>
        <w:rPr>
          <w:sz w:val="16"/>
        </w:rPr>
        <w:t>Reglamento</w:t>
      </w:r>
      <w:r>
        <w:rPr>
          <w:spacing w:val="-4"/>
          <w:sz w:val="16"/>
        </w:rPr>
        <w:t> </w:t>
      </w:r>
      <w:r>
        <w:rPr>
          <w:sz w:val="16"/>
        </w:rPr>
        <w:t>de</w:t>
      </w:r>
      <w:r>
        <w:rPr>
          <w:spacing w:val="-4"/>
          <w:sz w:val="16"/>
        </w:rPr>
        <w:t> </w:t>
      </w:r>
      <w:r>
        <w:rPr>
          <w:sz w:val="16"/>
        </w:rPr>
        <w:t>la</w:t>
      </w:r>
      <w:r>
        <w:rPr>
          <w:spacing w:val="-4"/>
          <w:sz w:val="16"/>
        </w:rPr>
        <w:t> </w:t>
      </w:r>
      <w:r>
        <w:rPr>
          <w:sz w:val="16"/>
        </w:rPr>
        <w:t>Corte:</w:t>
      </w:r>
      <w:r>
        <w:rPr>
          <w:spacing w:val="-5"/>
          <w:sz w:val="16"/>
        </w:rPr>
        <w:t> </w:t>
      </w:r>
      <w:r>
        <w:rPr>
          <w:sz w:val="16"/>
        </w:rPr>
        <w:t>“</w:t>
      </w:r>
      <w:r>
        <w:rPr>
          <w:i/>
          <w:sz w:val="16"/>
        </w:rPr>
        <w:t>Todo</w:t>
      </w:r>
      <w:r>
        <w:rPr>
          <w:i/>
          <w:spacing w:val="-4"/>
          <w:sz w:val="16"/>
        </w:rPr>
        <w:t> </w:t>
      </w:r>
      <w:r>
        <w:rPr>
          <w:i/>
          <w:sz w:val="16"/>
        </w:rPr>
        <w:t>Juez</w:t>
      </w:r>
      <w:r>
        <w:rPr>
          <w:i/>
          <w:spacing w:val="-5"/>
          <w:sz w:val="16"/>
        </w:rPr>
        <w:t> </w:t>
      </w:r>
      <w:r>
        <w:rPr>
          <w:i/>
          <w:sz w:val="16"/>
        </w:rPr>
        <w:t>que</w:t>
      </w:r>
      <w:r>
        <w:rPr>
          <w:i/>
          <w:spacing w:val="-5"/>
          <w:sz w:val="16"/>
        </w:rPr>
        <w:t> </w:t>
      </w:r>
      <w:r>
        <w:rPr>
          <w:i/>
          <w:sz w:val="16"/>
        </w:rPr>
        <w:t>haya</w:t>
      </w:r>
      <w:r>
        <w:rPr>
          <w:i/>
          <w:spacing w:val="-4"/>
          <w:sz w:val="16"/>
        </w:rPr>
        <w:t> </w:t>
      </w:r>
      <w:r>
        <w:rPr>
          <w:i/>
          <w:sz w:val="16"/>
        </w:rPr>
        <w:t>participado</w:t>
      </w:r>
      <w:r>
        <w:rPr>
          <w:i/>
          <w:spacing w:val="-4"/>
          <w:sz w:val="16"/>
        </w:rPr>
        <w:t> </w:t>
      </w:r>
      <w:r>
        <w:rPr>
          <w:i/>
          <w:sz w:val="16"/>
        </w:rPr>
        <w:t>en</w:t>
      </w:r>
      <w:r>
        <w:rPr>
          <w:i/>
          <w:spacing w:val="-5"/>
          <w:sz w:val="16"/>
        </w:rPr>
        <w:t> </w:t>
      </w:r>
      <w:r>
        <w:rPr>
          <w:i/>
          <w:sz w:val="16"/>
        </w:rPr>
        <w:t>el</w:t>
      </w:r>
      <w:r>
        <w:rPr>
          <w:i/>
          <w:spacing w:val="-4"/>
          <w:sz w:val="16"/>
        </w:rPr>
        <w:t> </w:t>
      </w:r>
      <w:r>
        <w:rPr>
          <w:i/>
          <w:sz w:val="16"/>
        </w:rPr>
        <w:t>examen</w:t>
      </w:r>
      <w:r>
        <w:rPr>
          <w:i/>
          <w:spacing w:val="-5"/>
          <w:sz w:val="16"/>
        </w:rPr>
        <w:t> </w:t>
      </w:r>
      <w:r>
        <w:rPr>
          <w:i/>
          <w:sz w:val="16"/>
        </w:rPr>
        <w:t>de</w:t>
      </w:r>
      <w:r>
        <w:rPr>
          <w:i/>
          <w:spacing w:val="-5"/>
          <w:sz w:val="16"/>
        </w:rPr>
        <w:t> </w:t>
      </w:r>
      <w:r>
        <w:rPr>
          <w:i/>
          <w:sz w:val="16"/>
        </w:rPr>
        <w:t>un</w:t>
      </w:r>
      <w:r>
        <w:rPr>
          <w:i/>
          <w:spacing w:val="-5"/>
          <w:sz w:val="16"/>
        </w:rPr>
        <w:t> </w:t>
      </w:r>
      <w:r>
        <w:rPr>
          <w:i/>
          <w:sz w:val="16"/>
        </w:rPr>
        <w:t>caso</w:t>
      </w:r>
      <w:r>
        <w:rPr>
          <w:i/>
          <w:spacing w:val="-3"/>
          <w:sz w:val="16"/>
        </w:rPr>
        <w:t> </w:t>
      </w:r>
      <w:r>
        <w:rPr>
          <w:i/>
          <w:sz w:val="16"/>
        </w:rPr>
        <w:t>tiene</w:t>
      </w:r>
      <w:r>
        <w:rPr>
          <w:i/>
          <w:spacing w:val="-5"/>
          <w:sz w:val="16"/>
        </w:rPr>
        <w:t> </w:t>
      </w:r>
      <w:r>
        <w:rPr>
          <w:i/>
          <w:sz w:val="16"/>
        </w:rPr>
        <w:t>derecho </w:t>
      </w:r>
      <w:r>
        <w:rPr>
          <w:i/>
          <w:sz w:val="16"/>
        </w:rPr>
        <w:t>a unir a la sentencia su voto concurrente o disidente que deberá ser razonado. Estos votos deberán ser presentados</w:t>
      </w:r>
      <w:r>
        <w:rPr>
          <w:i/>
          <w:spacing w:val="-10"/>
          <w:sz w:val="16"/>
        </w:rPr>
        <w:t> </w:t>
      </w:r>
      <w:r>
        <w:rPr>
          <w:i/>
          <w:sz w:val="16"/>
        </w:rPr>
        <w:t>dentro</w:t>
      </w:r>
      <w:r>
        <w:rPr>
          <w:i/>
          <w:spacing w:val="-9"/>
          <w:sz w:val="16"/>
        </w:rPr>
        <w:t> </w:t>
      </w:r>
      <w:r>
        <w:rPr>
          <w:i/>
          <w:sz w:val="16"/>
        </w:rPr>
        <w:t>del</w:t>
      </w:r>
      <w:r>
        <w:rPr>
          <w:i/>
          <w:spacing w:val="-9"/>
          <w:sz w:val="16"/>
        </w:rPr>
        <w:t> </w:t>
      </w:r>
      <w:r>
        <w:rPr>
          <w:i/>
          <w:sz w:val="16"/>
        </w:rPr>
        <w:t>plazo</w:t>
      </w:r>
      <w:r>
        <w:rPr>
          <w:i/>
          <w:spacing w:val="-9"/>
          <w:sz w:val="16"/>
        </w:rPr>
        <w:t> </w:t>
      </w:r>
      <w:r>
        <w:rPr>
          <w:i/>
          <w:sz w:val="16"/>
        </w:rPr>
        <w:t>fijado</w:t>
      </w:r>
      <w:r>
        <w:rPr>
          <w:i/>
          <w:spacing w:val="-9"/>
          <w:sz w:val="16"/>
        </w:rPr>
        <w:t> </w:t>
      </w:r>
      <w:r>
        <w:rPr>
          <w:i/>
          <w:sz w:val="16"/>
        </w:rPr>
        <w:t>por</w:t>
      </w:r>
      <w:r>
        <w:rPr>
          <w:i/>
          <w:spacing w:val="-10"/>
          <w:sz w:val="16"/>
        </w:rPr>
        <w:t> </w:t>
      </w:r>
      <w:r>
        <w:rPr>
          <w:i/>
          <w:sz w:val="16"/>
        </w:rPr>
        <w:t>la</w:t>
      </w:r>
      <w:r>
        <w:rPr>
          <w:i/>
          <w:spacing w:val="-11"/>
          <w:sz w:val="16"/>
        </w:rPr>
        <w:t> </w:t>
      </w:r>
      <w:r>
        <w:rPr>
          <w:i/>
          <w:sz w:val="16"/>
        </w:rPr>
        <w:t>Presidencia,</w:t>
      </w:r>
      <w:r>
        <w:rPr>
          <w:i/>
          <w:spacing w:val="-10"/>
          <w:sz w:val="16"/>
        </w:rPr>
        <w:t> </w:t>
      </w:r>
      <w:r>
        <w:rPr>
          <w:i/>
          <w:sz w:val="16"/>
        </w:rPr>
        <w:t>de</w:t>
      </w:r>
      <w:r>
        <w:rPr>
          <w:i/>
          <w:spacing w:val="-10"/>
          <w:sz w:val="16"/>
        </w:rPr>
        <w:t> </w:t>
      </w:r>
      <w:r>
        <w:rPr>
          <w:i/>
          <w:sz w:val="16"/>
        </w:rPr>
        <w:t>modo</w:t>
      </w:r>
      <w:r>
        <w:rPr>
          <w:i/>
          <w:spacing w:val="-9"/>
          <w:sz w:val="16"/>
        </w:rPr>
        <w:t> </w:t>
      </w:r>
      <w:r>
        <w:rPr>
          <w:i/>
          <w:sz w:val="16"/>
        </w:rPr>
        <w:t>que</w:t>
      </w:r>
      <w:r>
        <w:rPr>
          <w:i/>
          <w:spacing w:val="-10"/>
          <w:sz w:val="16"/>
        </w:rPr>
        <w:t> </w:t>
      </w:r>
      <w:r>
        <w:rPr>
          <w:i/>
          <w:sz w:val="16"/>
        </w:rPr>
        <w:t>puedan</w:t>
      </w:r>
      <w:r>
        <w:rPr>
          <w:i/>
          <w:spacing w:val="-10"/>
          <w:sz w:val="16"/>
        </w:rPr>
        <w:t> </w:t>
      </w:r>
      <w:r>
        <w:rPr>
          <w:i/>
          <w:sz w:val="16"/>
        </w:rPr>
        <w:t>ser</w:t>
      </w:r>
      <w:r>
        <w:rPr>
          <w:i/>
          <w:spacing w:val="-9"/>
          <w:sz w:val="16"/>
        </w:rPr>
        <w:t> </w:t>
      </w:r>
      <w:r>
        <w:rPr>
          <w:i/>
          <w:sz w:val="16"/>
        </w:rPr>
        <w:t>conocidos</w:t>
      </w:r>
      <w:r>
        <w:rPr>
          <w:i/>
          <w:spacing w:val="-10"/>
          <w:sz w:val="16"/>
        </w:rPr>
        <w:t> </w:t>
      </w:r>
      <w:r>
        <w:rPr>
          <w:i/>
          <w:sz w:val="16"/>
        </w:rPr>
        <w:t>por</w:t>
      </w:r>
      <w:r>
        <w:rPr>
          <w:i/>
          <w:spacing w:val="-9"/>
          <w:sz w:val="16"/>
        </w:rPr>
        <w:t> </w:t>
      </w:r>
      <w:r>
        <w:rPr>
          <w:i/>
          <w:sz w:val="16"/>
        </w:rPr>
        <w:t>los</w:t>
      </w:r>
      <w:r>
        <w:rPr>
          <w:i/>
          <w:spacing w:val="-10"/>
          <w:sz w:val="16"/>
        </w:rPr>
        <w:t> </w:t>
      </w:r>
      <w:r>
        <w:rPr>
          <w:i/>
          <w:sz w:val="16"/>
        </w:rPr>
        <w:t>Jueces</w:t>
      </w:r>
      <w:r>
        <w:rPr>
          <w:i/>
          <w:spacing w:val="-10"/>
          <w:sz w:val="16"/>
        </w:rPr>
        <w:t> </w:t>
      </w:r>
      <w:r>
        <w:rPr>
          <w:i/>
          <w:sz w:val="16"/>
        </w:rPr>
        <w:t>antes de la notificación de la sentencia. Dichos votos sólo podrán referirse a lo tratado en las</w:t>
      </w:r>
      <w:r>
        <w:rPr>
          <w:i/>
          <w:spacing w:val="-34"/>
          <w:sz w:val="16"/>
        </w:rPr>
        <w:t> </w:t>
      </w:r>
      <w:r>
        <w:rPr>
          <w:i/>
          <w:sz w:val="16"/>
        </w:rPr>
        <w:t>sentencias.”</w:t>
      </w:r>
    </w:p>
    <w:p>
      <w:pPr>
        <w:spacing w:before="0"/>
        <w:ind w:left="681" w:right="118" w:firstLine="0"/>
        <w:jc w:val="both"/>
        <w:rPr>
          <w:sz w:val="16"/>
        </w:rPr>
      </w:pPr>
      <w:r>
        <w:rPr>
          <w:sz w:val="16"/>
        </w:rPr>
        <w:t>En lo sucesivo, cada vez que se cite una disposición sin indicar el instrumento jurídico al que corresponde, se entenderá que es de la Convención Americana sobre Derechos Humanos.</w:t>
      </w:r>
    </w:p>
    <w:p>
      <w:pPr>
        <w:pStyle w:val="BodyText"/>
        <w:rPr>
          <w:sz w:val="16"/>
        </w:rPr>
      </w:pPr>
    </w:p>
    <w:p>
      <w:pPr>
        <w:spacing w:before="0"/>
        <w:ind w:left="681" w:right="0" w:firstLine="0"/>
        <w:jc w:val="both"/>
        <w:rPr>
          <w:sz w:val="16"/>
        </w:rPr>
      </w:pPr>
      <w:r>
        <w:rPr>
          <w:position w:val="6"/>
          <w:sz w:val="10"/>
        </w:rPr>
        <w:t>2  </w:t>
      </w:r>
      <w:r>
        <w:rPr>
          <w:sz w:val="16"/>
        </w:rPr>
        <w:t>En adelante, la Sentencia.</w:t>
      </w:r>
    </w:p>
    <w:p>
      <w:pPr>
        <w:pStyle w:val="BodyText"/>
        <w:spacing w:before="11"/>
        <w:rPr>
          <w:sz w:val="15"/>
        </w:rPr>
      </w:pPr>
    </w:p>
    <w:p>
      <w:pPr>
        <w:spacing w:before="0"/>
        <w:ind w:left="681" w:right="119" w:firstLine="0"/>
        <w:jc w:val="both"/>
        <w:rPr>
          <w:i/>
          <w:sz w:val="16"/>
        </w:rPr>
      </w:pPr>
      <w:r>
        <w:rPr>
          <w:position w:val="6"/>
          <w:sz w:val="10"/>
        </w:rPr>
        <w:t>3 </w:t>
      </w:r>
      <w:r>
        <w:rPr>
          <w:i/>
          <w:sz w:val="16"/>
        </w:rPr>
        <w:t>“El Estado es responsable por la violación a los derechos a participar en la vida cultural, en lo atinente a su </w:t>
      </w:r>
      <w:r>
        <w:rPr>
          <w:i/>
          <w:sz w:val="16"/>
        </w:rPr>
        <w:t>identidad cultural, al medio ambiente sano, a la alimentación adecuada y al agua, establecidos en el artículo 26 de la Convención Americana sobre Derechos Humanos, en relación con el artículo 1.1 del mismo tratado, en perjuicio de las 132 comunidades indígenas señaladas en el Anexo V a la presente Sentencia, en los términos de sus párrafos 195 a 289.”</w:t>
      </w:r>
    </w:p>
    <w:p>
      <w:pPr>
        <w:pStyle w:val="BodyText"/>
        <w:spacing w:before="12"/>
        <w:rPr>
          <w:i/>
          <w:sz w:val="15"/>
        </w:rPr>
      </w:pPr>
    </w:p>
    <w:p>
      <w:pPr>
        <w:spacing w:line="216" w:lineRule="auto" w:before="0"/>
        <w:ind w:left="681" w:right="120" w:firstLine="0"/>
        <w:jc w:val="both"/>
        <w:rPr>
          <w:i/>
          <w:sz w:val="16"/>
        </w:rPr>
      </w:pPr>
      <w:r>
        <w:rPr>
          <w:position w:val="6"/>
          <w:sz w:val="10"/>
        </w:rPr>
        <w:t>4 </w:t>
      </w:r>
      <w:r>
        <w:rPr>
          <w:i/>
          <w:sz w:val="16"/>
        </w:rPr>
        <w:t>“El Estado, en el plazo máximo de seis meses contado a partir de la notificación de la presente Sentencia, </w:t>
      </w:r>
      <w:r>
        <w:rPr>
          <w:i/>
          <w:sz w:val="16"/>
        </w:rPr>
        <w:t>presentará a la Corte un estudio en que identifique situaciones críticas de falta de acceso a agua potable o alimentación y formulará e implementará un plan de acción, en los términos señalados en los párrafos 332 y 343 de la presente Sentencia.”</w:t>
      </w:r>
    </w:p>
    <w:p>
      <w:pPr>
        <w:pStyle w:val="BodyText"/>
        <w:spacing w:before="11"/>
        <w:rPr>
          <w:i/>
          <w:sz w:val="15"/>
        </w:rPr>
      </w:pPr>
    </w:p>
    <w:p>
      <w:pPr>
        <w:spacing w:before="0"/>
        <w:ind w:left="681" w:right="119" w:firstLine="0"/>
        <w:jc w:val="both"/>
        <w:rPr>
          <w:sz w:val="16"/>
        </w:rPr>
      </w:pPr>
      <w:r>
        <w:rPr>
          <w:position w:val="6"/>
          <w:sz w:val="10"/>
        </w:rPr>
        <w:t>5 </w:t>
      </w:r>
      <w:r>
        <w:rPr>
          <w:i/>
          <w:sz w:val="16"/>
        </w:rPr>
        <w:t>“El Estado, en un plazo de un año contado a partir de la notificación de la presente Sentencia, elaborará un </w:t>
      </w:r>
      <w:r>
        <w:rPr>
          <w:i/>
          <w:sz w:val="16"/>
        </w:rPr>
        <w:t>estudio en el que establezca acciones que deben instrumentarse para la conservación de aguas y para evitar y</w:t>
      </w:r>
      <w:r>
        <w:rPr>
          <w:i/>
          <w:spacing w:val="-5"/>
          <w:sz w:val="16"/>
        </w:rPr>
        <w:t> </w:t>
      </w:r>
      <w:r>
        <w:rPr>
          <w:i/>
          <w:sz w:val="16"/>
        </w:rPr>
        <w:t>remediar</w:t>
      </w:r>
      <w:r>
        <w:rPr>
          <w:i/>
          <w:spacing w:val="-6"/>
          <w:sz w:val="16"/>
        </w:rPr>
        <w:t> </w:t>
      </w:r>
      <w:r>
        <w:rPr>
          <w:i/>
          <w:sz w:val="16"/>
        </w:rPr>
        <w:t>su</w:t>
      </w:r>
      <w:r>
        <w:rPr>
          <w:i/>
          <w:spacing w:val="-5"/>
          <w:sz w:val="16"/>
        </w:rPr>
        <w:t> </w:t>
      </w:r>
      <w:r>
        <w:rPr>
          <w:i/>
          <w:sz w:val="16"/>
        </w:rPr>
        <w:t>contaminación;</w:t>
      </w:r>
      <w:r>
        <w:rPr>
          <w:i/>
          <w:spacing w:val="-7"/>
          <w:sz w:val="16"/>
        </w:rPr>
        <w:t> </w:t>
      </w:r>
      <w:r>
        <w:rPr>
          <w:i/>
          <w:sz w:val="16"/>
        </w:rPr>
        <w:t>garantizar</w:t>
      </w:r>
      <w:r>
        <w:rPr>
          <w:i/>
          <w:spacing w:val="-5"/>
          <w:sz w:val="16"/>
        </w:rPr>
        <w:t> </w:t>
      </w:r>
      <w:r>
        <w:rPr>
          <w:i/>
          <w:sz w:val="16"/>
        </w:rPr>
        <w:t>el</w:t>
      </w:r>
      <w:r>
        <w:rPr>
          <w:i/>
          <w:spacing w:val="-4"/>
          <w:sz w:val="16"/>
        </w:rPr>
        <w:t> </w:t>
      </w:r>
      <w:r>
        <w:rPr>
          <w:i/>
          <w:sz w:val="16"/>
        </w:rPr>
        <w:t>acceso</w:t>
      </w:r>
      <w:r>
        <w:rPr>
          <w:i/>
          <w:spacing w:val="-6"/>
          <w:sz w:val="16"/>
        </w:rPr>
        <w:t> </w:t>
      </w:r>
      <w:r>
        <w:rPr>
          <w:i/>
          <w:sz w:val="16"/>
        </w:rPr>
        <w:t>permanente</w:t>
      </w:r>
      <w:r>
        <w:rPr>
          <w:i/>
          <w:spacing w:val="-6"/>
          <w:sz w:val="16"/>
        </w:rPr>
        <w:t> </w:t>
      </w:r>
      <w:r>
        <w:rPr>
          <w:i/>
          <w:sz w:val="16"/>
        </w:rPr>
        <w:t>a</w:t>
      </w:r>
      <w:r>
        <w:rPr>
          <w:i/>
          <w:spacing w:val="-6"/>
          <w:sz w:val="16"/>
        </w:rPr>
        <w:t> </w:t>
      </w:r>
      <w:r>
        <w:rPr>
          <w:i/>
          <w:sz w:val="16"/>
        </w:rPr>
        <w:t>agua</w:t>
      </w:r>
      <w:r>
        <w:rPr>
          <w:i/>
          <w:spacing w:val="-6"/>
          <w:sz w:val="16"/>
        </w:rPr>
        <w:t> </w:t>
      </w:r>
      <w:r>
        <w:rPr>
          <w:i/>
          <w:sz w:val="16"/>
        </w:rPr>
        <w:t>potable;</w:t>
      </w:r>
      <w:r>
        <w:rPr>
          <w:i/>
          <w:spacing w:val="-6"/>
          <w:sz w:val="16"/>
        </w:rPr>
        <w:t> </w:t>
      </w:r>
      <w:r>
        <w:rPr>
          <w:i/>
          <w:sz w:val="16"/>
        </w:rPr>
        <w:t>evitar</w:t>
      </w:r>
      <w:r>
        <w:rPr>
          <w:i/>
          <w:spacing w:val="-6"/>
          <w:sz w:val="16"/>
        </w:rPr>
        <w:t> </w:t>
      </w:r>
      <w:r>
        <w:rPr>
          <w:i/>
          <w:sz w:val="16"/>
        </w:rPr>
        <w:t>que</w:t>
      </w:r>
      <w:r>
        <w:rPr>
          <w:i/>
          <w:spacing w:val="-6"/>
          <w:sz w:val="16"/>
        </w:rPr>
        <w:t> </w:t>
      </w:r>
      <w:r>
        <w:rPr>
          <w:i/>
          <w:sz w:val="16"/>
        </w:rPr>
        <w:t>continúe</w:t>
      </w:r>
      <w:r>
        <w:rPr>
          <w:i/>
          <w:spacing w:val="-6"/>
          <w:sz w:val="16"/>
        </w:rPr>
        <w:t> </w:t>
      </w:r>
      <w:r>
        <w:rPr>
          <w:i/>
          <w:sz w:val="16"/>
        </w:rPr>
        <w:t>la</w:t>
      </w:r>
      <w:r>
        <w:rPr>
          <w:i/>
          <w:spacing w:val="-6"/>
          <w:sz w:val="16"/>
        </w:rPr>
        <w:t> </w:t>
      </w:r>
      <w:r>
        <w:rPr>
          <w:i/>
          <w:sz w:val="16"/>
        </w:rPr>
        <w:t>pérdida o disminución de recursos forestales y procurar su recuperación, y posibilitar el acceso a alimentación nutricional y culturalmente adecuada, en los términos de los párrafos 333 a 335 y 343 de la presente Sentencia</w:t>
      </w:r>
      <w:r>
        <w:rPr>
          <w:sz w:val="16"/>
        </w:rPr>
        <w:t>.”</w:t>
      </w:r>
    </w:p>
    <w:p>
      <w:pPr>
        <w:pStyle w:val="BodyText"/>
        <w:spacing w:before="11"/>
        <w:rPr>
          <w:sz w:val="15"/>
        </w:rPr>
      </w:pPr>
    </w:p>
    <w:p>
      <w:pPr>
        <w:spacing w:line="216" w:lineRule="auto" w:before="0"/>
        <w:ind w:left="681" w:right="123" w:firstLine="0"/>
        <w:jc w:val="both"/>
        <w:rPr>
          <w:i/>
          <w:sz w:val="16"/>
        </w:rPr>
      </w:pPr>
      <w:r>
        <w:rPr>
          <w:position w:val="6"/>
          <w:sz w:val="10"/>
        </w:rPr>
        <w:t>6 </w:t>
      </w:r>
      <w:r>
        <w:rPr>
          <w:i/>
          <w:sz w:val="16"/>
        </w:rPr>
        <w:t>“El Estado creará un fondo de desarrollo comunitario e implementará su ejecución en un plazo no mayor a </w:t>
      </w:r>
      <w:r>
        <w:rPr>
          <w:i/>
          <w:sz w:val="16"/>
        </w:rPr>
        <w:t>cuatro</w:t>
      </w:r>
      <w:r>
        <w:rPr>
          <w:i/>
          <w:spacing w:val="-5"/>
          <w:sz w:val="16"/>
        </w:rPr>
        <w:t> </w:t>
      </w:r>
      <w:r>
        <w:rPr>
          <w:i/>
          <w:sz w:val="16"/>
        </w:rPr>
        <w:t>años</w:t>
      </w:r>
      <w:r>
        <w:rPr>
          <w:i/>
          <w:spacing w:val="-5"/>
          <w:sz w:val="16"/>
        </w:rPr>
        <w:t> </w:t>
      </w:r>
      <w:r>
        <w:rPr>
          <w:i/>
          <w:sz w:val="16"/>
        </w:rPr>
        <w:t>a</w:t>
      </w:r>
      <w:r>
        <w:rPr>
          <w:i/>
          <w:spacing w:val="-3"/>
          <w:sz w:val="16"/>
        </w:rPr>
        <w:t> </w:t>
      </w:r>
      <w:r>
        <w:rPr>
          <w:i/>
          <w:sz w:val="16"/>
        </w:rPr>
        <w:t>partir</w:t>
      </w:r>
      <w:r>
        <w:rPr>
          <w:i/>
          <w:spacing w:val="-4"/>
          <w:sz w:val="16"/>
        </w:rPr>
        <w:t> </w:t>
      </w:r>
      <w:r>
        <w:rPr>
          <w:i/>
          <w:sz w:val="16"/>
        </w:rPr>
        <w:t>de</w:t>
      </w:r>
      <w:r>
        <w:rPr>
          <w:i/>
          <w:spacing w:val="-5"/>
          <w:sz w:val="16"/>
        </w:rPr>
        <w:t> </w:t>
      </w:r>
      <w:r>
        <w:rPr>
          <w:i/>
          <w:sz w:val="16"/>
        </w:rPr>
        <w:t>la</w:t>
      </w:r>
      <w:r>
        <w:rPr>
          <w:i/>
          <w:spacing w:val="-5"/>
          <w:sz w:val="16"/>
        </w:rPr>
        <w:t> </w:t>
      </w:r>
      <w:r>
        <w:rPr>
          <w:i/>
          <w:sz w:val="16"/>
        </w:rPr>
        <w:t>notificación</w:t>
      </w:r>
      <w:r>
        <w:rPr>
          <w:i/>
          <w:spacing w:val="-5"/>
          <w:sz w:val="16"/>
        </w:rPr>
        <w:t> </w:t>
      </w:r>
      <w:r>
        <w:rPr>
          <w:i/>
          <w:sz w:val="16"/>
        </w:rPr>
        <w:t>de</w:t>
      </w:r>
      <w:r>
        <w:rPr>
          <w:i/>
          <w:spacing w:val="-5"/>
          <w:sz w:val="16"/>
        </w:rPr>
        <w:t> </w:t>
      </w:r>
      <w:r>
        <w:rPr>
          <w:i/>
          <w:sz w:val="16"/>
        </w:rPr>
        <w:t>la</w:t>
      </w:r>
      <w:r>
        <w:rPr>
          <w:i/>
          <w:spacing w:val="-5"/>
          <w:sz w:val="16"/>
        </w:rPr>
        <w:t> </w:t>
      </w:r>
      <w:r>
        <w:rPr>
          <w:i/>
          <w:sz w:val="16"/>
        </w:rPr>
        <w:t>presente</w:t>
      </w:r>
      <w:r>
        <w:rPr>
          <w:i/>
          <w:spacing w:val="-5"/>
          <w:sz w:val="16"/>
        </w:rPr>
        <w:t> </w:t>
      </w:r>
      <w:r>
        <w:rPr>
          <w:i/>
          <w:sz w:val="16"/>
        </w:rPr>
        <w:t>Sentencia,</w:t>
      </w:r>
      <w:r>
        <w:rPr>
          <w:i/>
          <w:spacing w:val="-5"/>
          <w:sz w:val="16"/>
        </w:rPr>
        <w:t> </w:t>
      </w:r>
      <w:r>
        <w:rPr>
          <w:i/>
          <w:sz w:val="16"/>
        </w:rPr>
        <w:t>en</w:t>
      </w:r>
      <w:r>
        <w:rPr>
          <w:i/>
          <w:spacing w:val="-5"/>
          <w:sz w:val="16"/>
        </w:rPr>
        <w:t> </w:t>
      </w:r>
      <w:r>
        <w:rPr>
          <w:i/>
          <w:sz w:val="16"/>
        </w:rPr>
        <w:t>los</w:t>
      </w:r>
      <w:r>
        <w:rPr>
          <w:i/>
          <w:spacing w:val="-5"/>
          <w:sz w:val="16"/>
        </w:rPr>
        <w:t> </w:t>
      </w:r>
      <w:r>
        <w:rPr>
          <w:i/>
          <w:sz w:val="16"/>
        </w:rPr>
        <w:t>términos</w:t>
      </w:r>
      <w:r>
        <w:rPr>
          <w:i/>
          <w:spacing w:val="-5"/>
          <w:sz w:val="16"/>
        </w:rPr>
        <w:t> </w:t>
      </w:r>
      <w:r>
        <w:rPr>
          <w:i/>
          <w:sz w:val="16"/>
        </w:rPr>
        <w:t>señalados</w:t>
      </w:r>
      <w:r>
        <w:rPr>
          <w:i/>
          <w:spacing w:val="-5"/>
          <w:sz w:val="16"/>
        </w:rPr>
        <w:t> </w:t>
      </w:r>
      <w:r>
        <w:rPr>
          <w:i/>
          <w:sz w:val="16"/>
        </w:rPr>
        <w:t>en</w:t>
      </w:r>
      <w:r>
        <w:rPr>
          <w:i/>
          <w:spacing w:val="-5"/>
          <w:sz w:val="16"/>
        </w:rPr>
        <w:t> </w:t>
      </w:r>
      <w:r>
        <w:rPr>
          <w:i/>
          <w:sz w:val="16"/>
        </w:rPr>
        <w:t>los</w:t>
      </w:r>
      <w:r>
        <w:rPr>
          <w:i/>
          <w:spacing w:val="-5"/>
          <w:sz w:val="16"/>
        </w:rPr>
        <w:t> </w:t>
      </w:r>
      <w:r>
        <w:rPr>
          <w:i/>
          <w:sz w:val="16"/>
        </w:rPr>
        <w:t>párrafos</w:t>
      </w:r>
      <w:r>
        <w:rPr>
          <w:i/>
          <w:spacing w:val="-5"/>
          <w:sz w:val="16"/>
        </w:rPr>
        <w:t> </w:t>
      </w:r>
      <w:r>
        <w:rPr>
          <w:i/>
          <w:sz w:val="16"/>
        </w:rPr>
        <w:t>338 a 343 de la presente</w:t>
      </w:r>
      <w:r>
        <w:rPr>
          <w:i/>
          <w:spacing w:val="-15"/>
          <w:sz w:val="16"/>
        </w:rPr>
        <w:t> </w:t>
      </w:r>
      <w:r>
        <w:rPr>
          <w:i/>
          <w:sz w:val="16"/>
        </w:rPr>
        <w:t>Sentencia.”</w:t>
      </w:r>
    </w:p>
    <w:p>
      <w:pPr>
        <w:pStyle w:val="BodyText"/>
        <w:spacing w:before="11"/>
        <w:rPr>
          <w:i/>
          <w:sz w:val="15"/>
        </w:rPr>
      </w:pPr>
    </w:p>
    <w:p>
      <w:pPr>
        <w:spacing w:before="0"/>
        <w:ind w:left="681" w:right="0" w:firstLine="0"/>
        <w:jc w:val="both"/>
        <w:rPr>
          <w:sz w:val="16"/>
        </w:rPr>
      </w:pPr>
      <w:r>
        <w:rPr>
          <w:position w:val="6"/>
          <w:sz w:val="10"/>
        </w:rPr>
        <w:t>7  </w:t>
      </w:r>
      <w:r>
        <w:rPr>
          <w:sz w:val="16"/>
        </w:rPr>
        <w:t>En adelante, la Convención.</w:t>
      </w:r>
    </w:p>
    <w:p>
      <w:pPr>
        <w:spacing w:after="0"/>
        <w:jc w:val="both"/>
        <w:rPr>
          <w:sz w:val="16"/>
        </w:rPr>
        <w:sectPr>
          <w:footerReference w:type="default" r:id="rId36"/>
          <w:pgSz w:w="12240" w:h="15840"/>
          <w:pgMar w:footer="1000" w:header="0" w:top="1500" w:bottom="1200" w:left="1020" w:right="1580"/>
          <w:pgNumType w:start="1"/>
        </w:sectPr>
      </w:pPr>
    </w:p>
    <w:p>
      <w:pPr>
        <w:pStyle w:val="BodyText"/>
        <w:spacing w:before="83"/>
        <w:ind w:left="681" w:right="119"/>
        <w:jc w:val="both"/>
      </w:pPr>
      <w:r>
        <w:rPr/>
        <w:t>justiciables ante la Corte Interamericana de Derechos Humanos</w:t>
      </w:r>
      <w:r>
        <w:rPr>
          <w:position w:val="7"/>
          <w:sz w:val="13"/>
        </w:rPr>
        <w:t>8</w:t>
      </w:r>
      <w:r>
        <w:rPr/>
        <w:t>. Evidentemente, la discrepancia fundamental dice relación con lo dispuesto en el indicado Resolutivo N° 3, ya que lo señalado en los mencionados Resolutivos N°s 11, 12 y 13 no son más que consecuencias de aquél.</w:t>
      </w:r>
    </w:p>
    <w:p>
      <w:pPr>
        <w:pStyle w:val="BodyText"/>
        <w:spacing w:before="11"/>
        <w:rPr>
          <w:sz w:val="19"/>
        </w:rPr>
      </w:pPr>
    </w:p>
    <w:p>
      <w:pPr>
        <w:pStyle w:val="ListParagraph"/>
        <w:numPr>
          <w:ilvl w:val="0"/>
          <w:numId w:val="46"/>
        </w:numPr>
        <w:tabs>
          <w:tab w:pos="1390" w:val="left" w:leader="none"/>
        </w:tabs>
        <w:spacing w:line="240" w:lineRule="auto" w:before="0" w:after="0"/>
        <w:ind w:left="681" w:right="118" w:firstLine="0"/>
        <w:jc w:val="both"/>
        <w:rPr>
          <w:sz w:val="20"/>
        </w:rPr>
      </w:pPr>
      <w:r>
        <w:rPr>
          <w:sz w:val="20"/>
        </w:rPr>
        <w:t>A</w:t>
      </w:r>
      <w:r>
        <w:rPr>
          <w:spacing w:val="-8"/>
          <w:sz w:val="20"/>
        </w:rPr>
        <w:t> </w:t>
      </w:r>
      <w:r>
        <w:rPr>
          <w:sz w:val="20"/>
        </w:rPr>
        <w:t>respecto,</w:t>
      </w:r>
      <w:r>
        <w:rPr>
          <w:spacing w:val="-9"/>
          <w:sz w:val="20"/>
        </w:rPr>
        <w:t> </w:t>
      </w:r>
      <w:r>
        <w:rPr>
          <w:sz w:val="20"/>
        </w:rPr>
        <w:t>es</w:t>
      </w:r>
      <w:r>
        <w:rPr>
          <w:spacing w:val="-8"/>
          <w:sz w:val="20"/>
        </w:rPr>
        <w:t> </w:t>
      </w:r>
      <w:r>
        <w:rPr>
          <w:sz w:val="20"/>
        </w:rPr>
        <w:t>menester</w:t>
      </w:r>
      <w:r>
        <w:rPr>
          <w:spacing w:val="-8"/>
          <w:sz w:val="20"/>
        </w:rPr>
        <w:t> </w:t>
      </w:r>
      <w:r>
        <w:rPr>
          <w:sz w:val="20"/>
        </w:rPr>
        <w:t>señalar,</w:t>
      </w:r>
      <w:r>
        <w:rPr>
          <w:spacing w:val="-8"/>
          <w:sz w:val="20"/>
        </w:rPr>
        <w:t> </w:t>
      </w:r>
      <w:r>
        <w:rPr>
          <w:sz w:val="20"/>
        </w:rPr>
        <w:t>previamente,</w:t>
      </w:r>
      <w:r>
        <w:rPr>
          <w:spacing w:val="-8"/>
          <w:sz w:val="20"/>
        </w:rPr>
        <w:t> </w:t>
      </w:r>
      <w:r>
        <w:rPr>
          <w:sz w:val="20"/>
        </w:rPr>
        <w:t>que</w:t>
      </w:r>
      <w:r>
        <w:rPr>
          <w:spacing w:val="-8"/>
          <w:sz w:val="20"/>
        </w:rPr>
        <w:t> </w:t>
      </w:r>
      <w:r>
        <w:rPr>
          <w:sz w:val="20"/>
        </w:rPr>
        <w:t>se</w:t>
      </w:r>
      <w:r>
        <w:rPr>
          <w:spacing w:val="-9"/>
          <w:sz w:val="20"/>
        </w:rPr>
        <w:t> </w:t>
      </w:r>
      <w:r>
        <w:rPr>
          <w:sz w:val="20"/>
        </w:rPr>
        <w:t>reitera</w:t>
      </w:r>
      <w:r>
        <w:rPr>
          <w:spacing w:val="-9"/>
          <w:sz w:val="20"/>
        </w:rPr>
        <w:t> </w:t>
      </w:r>
      <w:r>
        <w:rPr>
          <w:sz w:val="20"/>
        </w:rPr>
        <w:t>lo</w:t>
      </w:r>
      <w:r>
        <w:rPr>
          <w:spacing w:val="-9"/>
          <w:sz w:val="20"/>
        </w:rPr>
        <w:t> </w:t>
      </w:r>
      <w:r>
        <w:rPr>
          <w:sz w:val="20"/>
        </w:rPr>
        <w:t>expresado</w:t>
      </w:r>
      <w:r>
        <w:rPr>
          <w:spacing w:val="-9"/>
          <w:sz w:val="20"/>
        </w:rPr>
        <w:t> </w:t>
      </w:r>
      <w:r>
        <w:rPr>
          <w:sz w:val="20"/>
        </w:rPr>
        <w:t>en</w:t>
      </w:r>
      <w:r>
        <w:rPr>
          <w:spacing w:val="-9"/>
          <w:sz w:val="20"/>
        </w:rPr>
        <w:t> </w:t>
      </w:r>
      <w:r>
        <w:rPr>
          <w:sz w:val="20"/>
        </w:rPr>
        <w:t>los votos individuales emitidos por el suscrito</w:t>
      </w:r>
      <w:r>
        <w:rPr>
          <w:position w:val="7"/>
          <w:sz w:val="13"/>
        </w:rPr>
        <w:t>9 </w:t>
      </w:r>
      <w:r>
        <w:rPr>
          <w:sz w:val="20"/>
        </w:rPr>
        <w:t>acerca de la invocación que en las correspondientes Sentencias se hacen a la mencionada disposición convencional, incluyendo las consideraciones generales y previas realizadas en algunos de</w:t>
      </w:r>
      <w:r>
        <w:rPr>
          <w:spacing w:val="-16"/>
          <w:sz w:val="20"/>
        </w:rPr>
        <w:t> </w:t>
      </w:r>
      <w:r>
        <w:rPr>
          <w:sz w:val="20"/>
        </w:rPr>
        <w:t>ellos.</w:t>
      </w:r>
    </w:p>
    <w:p>
      <w:pPr>
        <w:pStyle w:val="BodyText"/>
        <w:spacing w:before="11"/>
        <w:rPr>
          <w:sz w:val="19"/>
        </w:rPr>
      </w:pPr>
    </w:p>
    <w:p>
      <w:pPr>
        <w:pStyle w:val="ListParagraph"/>
        <w:numPr>
          <w:ilvl w:val="0"/>
          <w:numId w:val="46"/>
        </w:numPr>
        <w:tabs>
          <w:tab w:pos="1390" w:val="left" w:leader="none"/>
        </w:tabs>
        <w:spacing w:line="240" w:lineRule="auto" w:before="0" w:after="0"/>
        <w:ind w:left="681" w:right="118" w:firstLine="0"/>
        <w:jc w:val="both"/>
        <w:rPr>
          <w:sz w:val="20"/>
        </w:rPr>
      </w:pPr>
      <w:r>
        <w:rPr>
          <w:sz w:val="20"/>
        </w:rPr>
        <w:t>Sin embargo, se debe igualmente señalar que, atendido que lo resuelto en el resolutivo</w:t>
      </w:r>
      <w:r>
        <w:rPr>
          <w:spacing w:val="-6"/>
          <w:sz w:val="20"/>
        </w:rPr>
        <w:t> </w:t>
      </w:r>
      <w:r>
        <w:rPr>
          <w:sz w:val="20"/>
        </w:rPr>
        <w:t>N°</w:t>
      </w:r>
      <w:r>
        <w:rPr>
          <w:spacing w:val="-4"/>
          <w:sz w:val="20"/>
        </w:rPr>
        <w:t> </w:t>
      </w:r>
      <w:r>
        <w:rPr>
          <w:sz w:val="20"/>
        </w:rPr>
        <w:t>3,</w:t>
      </w:r>
      <w:r>
        <w:rPr>
          <w:spacing w:val="-4"/>
          <w:sz w:val="20"/>
        </w:rPr>
        <w:t> </w:t>
      </w:r>
      <w:r>
        <w:rPr>
          <w:sz w:val="20"/>
        </w:rPr>
        <w:t>aprobado</w:t>
      </w:r>
      <w:r>
        <w:rPr>
          <w:spacing w:val="-5"/>
          <w:sz w:val="20"/>
        </w:rPr>
        <w:t> </w:t>
      </w:r>
      <w:r>
        <w:rPr>
          <w:sz w:val="20"/>
        </w:rPr>
        <w:t>por</w:t>
      </w:r>
      <w:r>
        <w:rPr>
          <w:spacing w:val="-7"/>
          <w:sz w:val="20"/>
        </w:rPr>
        <w:t> </w:t>
      </w:r>
      <w:r>
        <w:rPr>
          <w:sz w:val="20"/>
        </w:rPr>
        <w:t>empate</w:t>
      </w:r>
      <w:r>
        <w:rPr>
          <w:spacing w:val="-5"/>
          <w:sz w:val="20"/>
        </w:rPr>
        <w:t> </w:t>
      </w:r>
      <w:r>
        <w:rPr>
          <w:sz w:val="20"/>
        </w:rPr>
        <w:t>con</w:t>
      </w:r>
      <w:r>
        <w:rPr>
          <w:spacing w:val="-7"/>
          <w:sz w:val="20"/>
        </w:rPr>
        <w:t> </w:t>
      </w:r>
      <w:r>
        <w:rPr>
          <w:sz w:val="20"/>
        </w:rPr>
        <w:t>el</w:t>
      </w:r>
      <w:r>
        <w:rPr>
          <w:spacing w:val="-5"/>
          <w:sz w:val="20"/>
        </w:rPr>
        <w:t> </w:t>
      </w:r>
      <w:r>
        <w:rPr>
          <w:sz w:val="20"/>
        </w:rPr>
        <w:t>voto</w:t>
      </w:r>
      <w:r>
        <w:rPr>
          <w:spacing w:val="-5"/>
          <w:sz w:val="20"/>
        </w:rPr>
        <w:t> </w:t>
      </w:r>
      <w:r>
        <w:rPr>
          <w:sz w:val="20"/>
        </w:rPr>
        <w:t>dirimente</w:t>
      </w:r>
      <w:r>
        <w:rPr>
          <w:spacing w:val="-5"/>
          <w:sz w:val="20"/>
        </w:rPr>
        <w:t> </w:t>
      </w:r>
      <w:r>
        <w:rPr>
          <w:sz w:val="20"/>
        </w:rPr>
        <w:t>de</w:t>
      </w:r>
      <w:r>
        <w:rPr>
          <w:spacing w:val="-5"/>
          <w:sz w:val="20"/>
        </w:rPr>
        <w:t> </w:t>
      </w:r>
      <w:r>
        <w:rPr>
          <w:sz w:val="20"/>
        </w:rPr>
        <w:t>la</w:t>
      </w:r>
      <w:r>
        <w:rPr>
          <w:spacing w:val="-6"/>
          <w:sz w:val="20"/>
        </w:rPr>
        <w:t> </w:t>
      </w:r>
      <w:r>
        <w:rPr>
          <w:sz w:val="20"/>
        </w:rPr>
        <w:t>Presidenta,</w:t>
      </w:r>
      <w:r>
        <w:rPr>
          <w:spacing w:val="-7"/>
          <w:sz w:val="20"/>
        </w:rPr>
        <w:t> </w:t>
      </w:r>
      <w:r>
        <w:rPr>
          <w:sz w:val="20"/>
        </w:rPr>
        <w:t>constituye una</w:t>
      </w:r>
      <w:r>
        <w:rPr>
          <w:spacing w:val="-19"/>
          <w:sz w:val="20"/>
        </w:rPr>
        <w:t> </w:t>
      </w:r>
      <w:r>
        <w:rPr>
          <w:sz w:val="20"/>
        </w:rPr>
        <w:t>innovación</w:t>
      </w:r>
      <w:r>
        <w:rPr>
          <w:spacing w:val="-18"/>
          <w:sz w:val="20"/>
        </w:rPr>
        <w:t> </w:t>
      </w:r>
      <w:r>
        <w:rPr>
          <w:sz w:val="20"/>
        </w:rPr>
        <w:t>de</w:t>
      </w:r>
      <w:r>
        <w:rPr>
          <w:spacing w:val="-18"/>
          <w:sz w:val="20"/>
        </w:rPr>
        <w:t> </w:t>
      </w:r>
      <w:r>
        <w:rPr>
          <w:sz w:val="20"/>
        </w:rPr>
        <w:t>la</w:t>
      </w:r>
      <w:r>
        <w:rPr>
          <w:spacing w:val="-19"/>
          <w:sz w:val="20"/>
        </w:rPr>
        <w:t> </w:t>
      </w:r>
      <w:r>
        <w:rPr>
          <w:sz w:val="20"/>
        </w:rPr>
        <w:t>jurisprudencia</w:t>
      </w:r>
      <w:r>
        <w:rPr>
          <w:spacing w:val="-19"/>
          <w:sz w:val="20"/>
        </w:rPr>
        <w:t> </w:t>
      </w:r>
      <w:r>
        <w:rPr>
          <w:sz w:val="20"/>
        </w:rPr>
        <w:t>de</w:t>
      </w:r>
      <w:r>
        <w:rPr>
          <w:spacing w:val="-18"/>
          <w:sz w:val="20"/>
        </w:rPr>
        <w:t> </w:t>
      </w:r>
      <w:r>
        <w:rPr>
          <w:sz w:val="20"/>
        </w:rPr>
        <w:t>la</w:t>
      </w:r>
      <w:r>
        <w:rPr>
          <w:spacing w:val="-19"/>
          <w:sz w:val="20"/>
        </w:rPr>
        <w:t> </w:t>
      </w:r>
      <w:r>
        <w:rPr>
          <w:sz w:val="20"/>
        </w:rPr>
        <w:t>Corte,</w:t>
      </w:r>
      <w:r>
        <w:rPr>
          <w:spacing w:val="-18"/>
          <w:sz w:val="20"/>
        </w:rPr>
        <w:t> </w:t>
      </w:r>
      <w:r>
        <w:rPr>
          <w:sz w:val="20"/>
        </w:rPr>
        <w:t>en</w:t>
      </w:r>
      <w:r>
        <w:rPr>
          <w:spacing w:val="-19"/>
          <w:sz w:val="20"/>
        </w:rPr>
        <w:t> </w:t>
      </w:r>
      <w:r>
        <w:rPr>
          <w:sz w:val="20"/>
        </w:rPr>
        <w:t>el</w:t>
      </w:r>
      <w:r>
        <w:rPr>
          <w:spacing w:val="-17"/>
          <w:sz w:val="20"/>
        </w:rPr>
        <w:t> </w:t>
      </w:r>
      <w:r>
        <w:rPr>
          <w:sz w:val="20"/>
        </w:rPr>
        <w:t>presente</w:t>
      </w:r>
      <w:r>
        <w:rPr>
          <w:spacing w:val="-18"/>
          <w:sz w:val="20"/>
        </w:rPr>
        <w:t> </w:t>
      </w:r>
      <w:r>
        <w:rPr>
          <w:sz w:val="20"/>
        </w:rPr>
        <w:t>escrito</w:t>
      </w:r>
      <w:r>
        <w:rPr>
          <w:spacing w:val="-19"/>
          <w:sz w:val="20"/>
        </w:rPr>
        <w:t> </w:t>
      </w:r>
      <w:r>
        <w:rPr>
          <w:sz w:val="20"/>
        </w:rPr>
        <w:t>se</w:t>
      </w:r>
      <w:r>
        <w:rPr>
          <w:spacing w:val="-18"/>
          <w:sz w:val="20"/>
        </w:rPr>
        <w:t> </w:t>
      </w:r>
      <w:r>
        <w:rPr>
          <w:sz w:val="20"/>
        </w:rPr>
        <w:t>precisa</w:t>
      </w:r>
      <w:r>
        <w:rPr>
          <w:spacing w:val="-18"/>
          <w:sz w:val="20"/>
        </w:rPr>
        <w:t> </w:t>
      </w:r>
      <w:r>
        <w:rPr>
          <w:sz w:val="20"/>
        </w:rPr>
        <w:t>o</w:t>
      </w:r>
      <w:r>
        <w:rPr>
          <w:spacing w:val="-19"/>
          <w:sz w:val="20"/>
        </w:rPr>
        <w:t> </w:t>
      </w:r>
      <w:r>
        <w:rPr>
          <w:sz w:val="20"/>
        </w:rPr>
        <w:t>amplía y aún se modifica, en ciertos aspectos, lo que se señaló en los indicados votos parcialmente</w:t>
      </w:r>
      <w:r>
        <w:rPr>
          <w:spacing w:val="-10"/>
          <w:sz w:val="20"/>
        </w:rPr>
        <w:t> </w:t>
      </w:r>
      <w:r>
        <w:rPr>
          <w:sz w:val="20"/>
        </w:rPr>
        <w:t>disidentes.</w:t>
      </w:r>
    </w:p>
    <w:p>
      <w:pPr>
        <w:pStyle w:val="BodyText"/>
        <w:spacing w:before="11"/>
        <w:rPr>
          <w:sz w:val="19"/>
        </w:rPr>
      </w:pPr>
    </w:p>
    <w:p>
      <w:pPr>
        <w:pStyle w:val="ListParagraph"/>
        <w:numPr>
          <w:ilvl w:val="0"/>
          <w:numId w:val="46"/>
        </w:numPr>
        <w:tabs>
          <w:tab w:pos="1390" w:val="left" w:leader="none"/>
        </w:tabs>
        <w:spacing w:line="240" w:lineRule="auto" w:before="0" w:after="0"/>
        <w:ind w:left="681" w:right="117" w:firstLine="0"/>
        <w:jc w:val="both"/>
        <w:rPr>
          <w:sz w:val="20"/>
        </w:rPr>
      </w:pPr>
      <w:r>
        <w:rPr>
          <w:sz w:val="20"/>
        </w:rPr>
        <w:t>Es,</w:t>
      </w:r>
      <w:r>
        <w:rPr>
          <w:spacing w:val="-4"/>
          <w:sz w:val="20"/>
        </w:rPr>
        <w:t> </w:t>
      </w:r>
      <w:r>
        <w:rPr>
          <w:sz w:val="20"/>
        </w:rPr>
        <w:t>asimismo,</w:t>
      </w:r>
      <w:r>
        <w:rPr>
          <w:spacing w:val="-5"/>
          <w:sz w:val="20"/>
        </w:rPr>
        <w:t> </w:t>
      </w:r>
      <w:r>
        <w:rPr>
          <w:sz w:val="20"/>
        </w:rPr>
        <w:t>de</w:t>
      </w:r>
      <w:r>
        <w:rPr>
          <w:spacing w:val="-4"/>
          <w:sz w:val="20"/>
        </w:rPr>
        <w:t> </w:t>
      </w:r>
      <w:r>
        <w:rPr>
          <w:sz w:val="20"/>
        </w:rPr>
        <w:t>suma</w:t>
      </w:r>
      <w:r>
        <w:rPr>
          <w:spacing w:val="-6"/>
          <w:sz w:val="20"/>
        </w:rPr>
        <w:t> </w:t>
      </w:r>
      <w:r>
        <w:rPr>
          <w:sz w:val="20"/>
        </w:rPr>
        <w:t>relevancia</w:t>
      </w:r>
      <w:r>
        <w:rPr>
          <w:spacing w:val="-5"/>
          <w:sz w:val="20"/>
        </w:rPr>
        <w:t> </w:t>
      </w:r>
      <w:r>
        <w:rPr>
          <w:sz w:val="20"/>
        </w:rPr>
        <w:t>desde</w:t>
      </w:r>
      <w:r>
        <w:rPr>
          <w:spacing w:val="-4"/>
          <w:sz w:val="20"/>
        </w:rPr>
        <w:t> </w:t>
      </w:r>
      <w:r>
        <w:rPr>
          <w:sz w:val="20"/>
        </w:rPr>
        <w:t>ya</w:t>
      </w:r>
      <w:r>
        <w:rPr>
          <w:spacing w:val="-5"/>
          <w:sz w:val="20"/>
        </w:rPr>
        <w:t> </w:t>
      </w:r>
      <w:r>
        <w:rPr>
          <w:sz w:val="20"/>
        </w:rPr>
        <w:t>indicar</w:t>
      </w:r>
      <w:r>
        <w:rPr>
          <w:spacing w:val="-5"/>
          <w:sz w:val="20"/>
        </w:rPr>
        <w:t> </w:t>
      </w:r>
      <w:r>
        <w:rPr>
          <w:sz w:val="20"/>
        </w:rPr>
        <w:t>que</w:t>
      </w:r>
      <w:r>
        <w:rPr>
          <w:spacing w:val="-5"/>
          <w:sz w:val="20"/>
        </w:rPr>
        <w:t> </w:t>
      </w:r>
      <w:r>
        <w:rPr>
          <w:sz w:val="20"/>
        </w:rPr>
        <w:t>este</w:t>
      </w:r>
      <w:r>
        <w:rPr>
          <w:spacing w:val="-4"/>
          <w:sz w:val="20"/>
        </w:rPr>
        <w:t> </w:t>
      </w:r>
      <w:r>
        <w:rPr>
          <w:sz w:val="20"/>
        </w:rPr>
        <w:t>texto</w:t>
      </w:r>
      <w:r>
        <w:rPr>
          <w:spacing w:val="-5"/>
          <w:sz w:val="20"/>
        </w:rPr>
        <w:t> </w:t>
      </w:r>
      <w:r>
        <w:rPr>
          <w:sz w:val="20"/>
        </w:rPr>
        <w:t>no</w:t>
      </w:r>
      <w:r>
        <w:rPr>
          <w:spacing w:val="-5"/>
          <w:sz w:val="20"/>
        </w:rPr>
        <w:t> </w:t>
      </w:r>
      <w:r>
        <w:rPr>
          <w:sz w:val="20"/>
        </w:rPr>
        <w:t>se</w:t>
      </w:r>
      <w:r>
        <w:rPr>
          <w:spacing w:val="-4"/>
          <w:sz w:val="20"/>
        </w:rPr>
        <w:t> </w:t>
      </w:r>
      <w:r>
        <w:rPr>
          <w:sz w:val="20"/>
        </w:rPr>
        <w:t>refiere</w:t>
      </w:r>
      <w:r>
        <w:rPr>
          <w:spacing w:val="-5"/>
          <w:sz w:val="20"/>
        </w:rPr>
        <w:t> </w:t>
      </w:r>
      <w:r>
        <w:rPr>
          <w:sz w:val="20"/>
        </w:rPr>
        <w:t>a la existencia de los derechos a la identidad cultural, al medio ambiente sano, a la alimentación</w:t>
      </w:r>
      <w:r>
        <w:rPr>
          <w:spacing w:val="-16"/>
          <w:sz w:val="20"/>
        </w:rPr>
        <w:t> </w:t>
      </w:r>
      <w:r>
        <w:rPr>
          <w:sz w:val="20"/>
        </w:rPr>
        <w:t>adecuada</w:t>
      </w:r>
      <w:r>
        <w:rPr>
          <w:spacing w:val="-18"/>
          <w:sz w:val="20"/>
        </w:rPr>
        <w:t> </w:t>
      </w:r>
      <w:r>
        <w:rPr>
          <w:sz w:val="20"/>
        </w:rPr>
        <w:t>y</w:t>
      </w:r>
      <w:r>
        <w:rPr>
          <w:spacing w:val="-16"/>
          <w:sz w:val="20"/>
        </w:rPr>
        <w:t> </w:t>
      </w:r>
      <w:r>
        <w:rPr>
          <w:sz w:val="20"/>
        </w:rPr>
        <w:t>al</w:t>
      </w:r>
      <w:r>
        <w:rPr>
          <w:spacing w:val="-18"/>
          <w:sz w:val="20"/>
        </w:rPr>
        <w:t> </w:t>
      </w:r>
      <w:r>
        <w:rPr>
          <w:sz w:val="20"/>
        </w:rPr>
        <w:t>agua,</w:t>
      </w:r>
      <w:r>
        <w:rPr>
          <w:spacing w:val="-17"/>
          <w:sz w:val="20"/>
        </w:rPr>
        <w:t> </w:t>
      </w:r>
      <w:r>
        <w:rPr>
          <w:sz w:val="20"/>
        </w:rPr>
        <w:t>como</w:t>
      </w:r>
      <w:r>
        <w:rPr>
          <w:spacing w:val="-17"/>
          <w:sz w:val="20"/>
        </w:rPr>
        <w:t> </w:t>
      </w:r>
      <w:r>
        <w:rPr>
          <w:sz w:val="20"/>
        </w:rPr>
        <w:t>tampoco</w:t>
      </w:r>
      <w:r>
        <w:rPr>
          <w:spacing w:val="-18"/>
          <w:sz w:val="20"/>
        </w:rPr>
        <w:t> </w:t>
      </w:r>
      <w:r>
        <w:rPr>
          <w:sz w:val="20"/>
        </w:rPr>
        <w:t>a</w:t>
      </w:r>
      <w:r>
        <w:rPr>
          <w:spacing w:val="-18"/>
          <w:sz w:val="20"/>
        </w:rPr>
        <w:t> </w:t>
      </w:r>
      <w:r>
        <w:rPr>
          <w:sz w:val="20"/>
        </w:rPr>
        <w:t>la</w:t>
      </w:r>
      <w:r>
        <w:rPr>
          <w:spacing w:val="-17"/>
          <w:sz w:val="20"/>
        </w:rPr>
        <w:t> </w:t>
      </w:r>
      <w:r>
        <w:rPr>
          <w:sz w:val="20"/>
        </w:rPr>
        <w:t>de</w:t>
      </w:r>
      <w:r>
        <w:rPr>
          <w:spacing w:val="-17"/>
          <w:sz w:val="20"/>
        </w:rPr>
        <w:t> </w:t>
      </w:r>
      <w:r>
        <w:rPr>
          <w:sz w:val="20"/>
        </w:rPr>
        <w:t>los</w:t>
      </w:r>
      <w:r>
        <w:rPr>
          <w:spacing w:val="-17"/>
          <w:sz w:val="20"/>
        </w:rPr>
        <w:t> </w:t>
      </w:r>
      <w:r>
        <w:rPr>
          <w:sz w:val="20"/>
        </w:rPr>
        <w:t>demás</w:t>
      </w:r>
      <w:r>
        <w:rPr>
          <w:spacing w:val="-18"/>
          <w:sz w:val="20"/>
        </w:rPr>
        <w:t> </w:t>
      </w:r>
      <w:r>
        <w:rPr>
          <w:sz w:val="20"/>
        </w:rPr>
        <w:t>derechos</w:t>
      </w:r>
      <w:r>
        <w:rPr>
          <w:spacing w:val="-19"/>
          <w:sz w:val="20"/>
        </w:rPr>
        <w:t> </w:t>
      </w:r>
      <w:r>
        <w:rPr>
          <w:sz w:val="20"/>
        </w:rPr>
        <w:t>económicos, sociales y culturales. La existencia de tales derechos no es objeto del presente escrito. Lo que, en cambio, se sostiene aquí es únicamente que la Corte, contrariamente a lo indicado en la Sentencia, carece de competencia para conocer, al amparo de lo</w:t>
      </w:r>
      <w:r>
        <w:rPr>
          <w:spacing w:val="-41"/>
          <w:sz w:val="20"/>
        </w:rPr>
        <w:t> </w:t>
      </w:r>
      <w:r>
        <w:rPr>
          <w:sz w:val="20"/>
        </w:rPr>
        <w:t>previsto en el artículo 26 de la Convención</w:t>
      </w:r>
      <w:r>
        <w:rPr>
          <w:position w:val="7"/>
          <w:sz w:val="13"/>
        </w:rPr>
        <w:t>10</w:t>
      </w:r>
      <w:r>
        <w:rPr>
          <w:sz w:val="20"/>
        </w:rPr>
        <w:t>, de las violaciones de aquellos, esto es, que las presuntas vulneraciones de esos derechos no son susceptibles de ser justiciables ante ella.</w:t>
      </w:r>
    </w:p>
    <w:p>
      <w:pPr>
        <w:pStyle w:val="BodyText"/>
        <w:spacing w:before="11"/>
        <w:rPr>
          <w:sz w:val="19"/>
        </w:rPr>
      </w:pPr>
    </w:p>
    <w:p>
      <w:pPr>
        <w:pStyle w:val="ListParagraph"/>
        <w:numPr>
          <w:ilvl w:val="0"/>
          <w:numId w:val="46"/>
        </w:numPr>
        <w:tabs>
          <w:tab w:pos="1390" w:val="left" w:leader="none"/>
        </w:tabs>
        <w:spacing w:line="240" w:lineRule="auto" w:before="0" w:after="0"/>
        <w:ind w:left="681" w:right="119" w:firstLine="0"/>
        <w:jc w:val="both"/>
        <w:rPr>
          <w:sz w:val="20"/>
        </w:rPr>
      </w:pPr>
      <w:r>
        <w:rPr>
          <w:sz w:val="20"/>
        </w:rPr>
        <w:t>Lo anterior no implica, por ende, que las violaciones de dichos derechos no puedan ser justiciables ante las jurisdicciones nacionales correspondientes. Ello dependerá de lo que dispongan los respectivos ordenamientos internos, materia que escapa,</w:t>
      </w:r>
      <w:r>
        <w:rPr>
          <w:spacing w:val="-19"/>
          <w:sz w:val="20"/>
        </w:rPr>
        <w:t> </w:t>
      </w:r>
      <w:r>
        <w:rPr>
          <w:sz w:val="20"/>
        </w:rPr>
        <w:t>en</w:t>
      </w:r>
      <w:r>
        <w:rPr>
          <w:spacing w:val="-19"/>
          <w:sz w:val="20"/>
        </w:rPr>
        <w:t> </w:t>
      </w:r>
      <w:r>
        <w:rPr>
          <w:sz w:val="20"/>
        </w:rPr>
        <w:t>todo</w:t>
      </w:r>
      <w:r>
        <w:rPr>
          <w:spacing w:val="-19"/>
          <w:sz w:val="20"/>
        </w:rPr>
        <w:t> </w:t>
      </w:r>
      <w:r>
        <w:rPr>
          <w:sz w:val="20"/>
        </w:rPr>
        <w:t>caso,</w:t>
      </w:r>
      <w:r>
        <w:rPr>
          <w:spacing w:val="-17"/>
          <w:sz w:val="20"/>
        </w:rPr>
        <w:t> </w:t>
      </w:r>
      <w:r>
        <w:rPr>
          <w:sz w:val="20"/>
        </w:rPr>
        <w:t>al</w:t>
      </w:r>
      <w:r>
        <w:rPr>
          <w:spacing w:val="-21"/>
          <w:sz w:val="20"/>
        </w:rPr>
        <w:t> </w:t>
      </w:r>
      <w:r>
        <w:rPr>
          <w:sz w:val="20"/>
        </w:rPr>
        <w:t>objeto</w:t>
      </w:r>
      <w:r>
        <w:rPr>
          <w:spacing w:val="-19"/>
          <w:sz w:val="20"/>
        </w:rPr>
        <w:t> </w:t>
      </w:r>
      <w:r>
        <w:rPr>
          <w:sz w:val="20"/>
        </w:rPr>
        <w:t>del</w:t>
      </w:r>
      <w:r>
        <w:rPr>
          <w:spacing w:val="-19"/>
          <w:sz w:val="20"/>
        </w:rPr>
        <w:t> </w:t>
      </w:r>
      <w:r>
        <w:rPr>
          <w:sz w:val="20"/>
        </w:rPr>
        <w:t>presente</w:t>
      </w:r>
      <w:r>
        <w:rPr>
          <w:spacing w:val="-18"/>
          <w:sz w:val="20"/>
        </w:rPr>
        <w:t> </w:t>
      </w:r>
      <w:r>
        <w:rPr>
          <w:sz w:val="20"/>
        </w:rPr>
        <w:t>documento</w:t>
      </w:r>
      <w:r>
        <w:rPr>
          <w:spacing w:val="-19"/>
          <w:sz w:val="20"/>
        </w:rPr>
        <w:t> </w:t>
      </w:r>
      <w:r>
        <w:rPr>
          <w:sz w:val="20"/>
        </w:rPr>
        <w:t>y</w:t>
      </w:r>
      <w:r>
        <w:rPr>
          <w:spacing w:val="-18"/>
          <w:sz w:val="20"/>
        </w:rPr>
        <w:t> </w:t>
      </w:r>
      <w:r>
        <w:rPr>
          <w:sz w:val="20"/>
        </w:rPr>
        <w:t>que</w:t>
      </w:r>
      <w:r>
        <w:rPr>
          <w:spacing w:val="-18"/>
          <w:sz w:val="20"/>
        </w:rPr>
        <w:t> </w:t>
      </w:r>
      <w:r>
        <w:rPr>
          <w:sz w:val="20"/>
        </w:rPr>
        <w:t>se</w:t>
      </w:r>
      <w:r>
        <w:rPr>
          <w:spacing w:val="-18"/>
          <w:sz w:val="20"/>
        </w:rPr>
        <w:t> </w:t>
      </w:r>
      <w:r>
        <w:rPr>
          <w:sz w:val="20"/>
        </w:rPr>
        <w:t>inserta</w:t>
      </w:r>
      <w:r>
        <w:rPr>
          <w:spacing w:val="-18"/>
          <w:sz w:val="20"/>
        </w:rPr>
        <w:t> </w:t>
      </w:r>
      <w:r>
        <w:rPr>
          <w:sz w:val="20"/>
        </w:rPr>
        <w:t>en</w:t>
      </w:r>
      <w:r>
        <w:rPr>
          <w:spacing w:val="-18"/>
          <w:sz w:val="20"/>
        </w:rPr>
        <w:t> </w:t>
      </w:r>
      <w:r>
        <w:rPr>
          <w:sz w:val="20"/>
        </w:rPr>
        <w:t>la</w:t>
      </w:r>
      <w:r>
        <w:rPr>
          <w:spacing w:val="-19"/>
          <w:sz w:val="20"/>
        </w:rPr>
        <w:t> </w:t>
      </w:r>
      <w:r>
        <w:rPr>
          <w:sz w:val="20"/>
        </w:rPr>
        <w:t>jurisdicción interna, doméstica o exclusiva de los Estados Partes de la</w:t>
      </w:r>
      <w:r>
        <w:rPr>
          <w:spacing w:val="-18"/>
          <w:sz w:val="20"/>
        </w:rPr>
        <w:t> </w:t>
      </w:r>
      <w:r>
        <w:rPr>
          <w:sz w:val="20"/>
        </w:rPr>
        <w:t>Convención</w:t>
      </w:r>
      <w:r>
        <w:rPr>
          <w:position w:val="7"/>
          <w:sz w:val="13"/>
        </w:rPr>
        <w:t>11</w:t>
      </w:r>
      <w:r>
        <w:rPr>
          <w:sz w:val="20"/>
        </w:rPr>
        <w:t>.</w:t>
      </w:r>
    </w:p>
    <w:p>
      <w:pPr>
        <w:pStyle w:val="BodyText"/>
        <w:spacing w:before="8"/>
        <w:rPr>
          <w:sz w:val="10"/>
        </w:rPr>
      </w:pPr>
      <w:r>
        <w:rPr/>
        <w:pict>
          <v:line style="position:absolute;mso-position-horizontal-relative:page;mso-position-vertical-relative:paragraph;z-index:3856;mso-wrap-distance-left:0;mso-wrap-distance-right:0" from="56.700001pt,8.804137pt" to="200.720001pt,8.804137pt" stroked="true" strokeweight=".72pt" strokecolor="#000000">
            <v:stroke dashstyle="solid"/>
            <w10:wrap type="topAndBottom"/>
          </v:line>
        </w:pict>
      </w:r>
    </w:p>
    <w:p>
      <w:pPr>
        <w:spacing w:before="70"/>
        <w:ind w:left="681" w:right="0" w:firstLine="0"/>
        <w:jc w:val="both"/>
        <w:rPr>
          <w:sz w:val="16"/>
        </w:rPr>
      </w:pPr>
      <w:r>
        <w:rPr>
          <w:position w:val="6"/>
          <w:sz w:val="10"/>
        </w:rPr>
        <w:t>8  </w:t>
      </w:r>
      <w:r>
        <w:rPr>
          <w:sz w:val="16"/>
        </w:rPr>
        <w:t>En adelante, la Corte.</w:t>
      </w:r>
    </w:p>
    <w:p>
      <w:pPr>
        <w:pStyle w:val="BodyText"/>
        <w:rPr>
          <w:sz w:val="18"/>
        </w:rPr>
      </w:pPr>
    </w:p>
    <w:p>
      <w:pPr>
        <w:pStyle w:val="BodyText"/>
        <w:spacing w:before="11"/>
        <w:rPr>
          <w:sz w:val="13"/>
        </w:rPr>
      </w:pPr>
    </w:p>
    <w:p>
      <w:pPr>
        <w:spacing w:before="0"/>
        <w:ind w:left="681" w:right="119" w:firstLine="0"/>
        <w:jc w:val="both"/>
        <w:rPr>
          <w:i/>
          <w:sz w:val="16"/>
        </w:rPr>
      </w:pPr>
      <w:r>
        <w:rPr>
          <w:position w:val="6"/>
          <w:sz w:val="10"/>
        </w:rPr>
        <w:t>9 </w:t>
      </w:r>
      <w:r>
        <w:rPr>
          <w:i/>
          <w:sz w:val="16"/>
        </w:rPr>
        <w:t>Voto Parcialmente Disidente del Juez Eduardo Vio Grossi a la Sentencia del 22 de noviembre de 2019, Corte </w:t>
      </w:r>
      <w:r>
        <w:rPr>
          <w:i/>
          <w:sz w:val="16"/>
        </w:rPr>
        <w:t>Interamericana de Derechos Humanos, Caso Hernández Vs. Argentina. Excepción Preliminar, Fondo, Reparaciones y Costas; Voto Parcialmente Disidente del Juez Eduardo Vio Grossi, Corte Interamericana de Derechos Humanos, Caso Muelle Flores Vs. Perú, Sentencia de 06 de marzo de 2019,(Excepciones Preliminares, Fondo, Reparaciones y Costas); Voto Parcialmente Disidente del Juez Eduardo Vio Grossi, Corte Interamericana</w:t>
      </w:r>
      <w:r>
        <w:rPr>
          <w:i/>
          <w:spacing w:val="-13"/>
          <w:sz w:val="16"/>
        </w:rPr>
        <w:t> </w:t>
      </w:r>
      <w:r>
        <w:rPr>
          <w:i/>
          <w:sz w:val="16"/>
        </w:rPr>
        <w:t>de</w:t>
      </w:r>
      <w:r>
        <w:rPr>
          <w:i/>
          <w:spacing w:val="-13"/>
          <w:sz w:val="16"/>
        </w:rPr>
        <w:t> </w:t>
      </w:r>
      <w:r>
        <w:rPr>
          <w:i/>
          <w:sz w:val="16"/>
        </w:rPr>
        <w:t>Derechos</w:t>
      </w:r>
      <w:r>
        <w:rPr>
          <w:i/>
          <w:spacing w:val="-12"/>
          <w:sz w:val="16"/>
        </w:rPr>
        <w:t> </w:t>
      </w:r>
      <w:r>
        <w:rPr>
          <w:i/>
          <w:sz w:val="16"/>
        </w:rPr>
        <w:t>Humanos,</w:t>
      </w:r>
      <w:r>
        <w:rPr>
          <w:i/>
          <w:spacing w:val="-14"/>
          <w:sz w:val="16"/>
        </w:rPr>
        <w:t> </w:t>
      </w:r>
      <w:r>
        <w:rPr>
          <w:i/>
          <w:sz w:val="16"/>
        </w:rPr>
        <w:t>Caso</w:t>
      </w:r>
      <w:r>
        <w:rPr>
          <w:i/>
          <w:spacing w:val="-13"/>
          <w:sz w:val="16"/>
        </w:rPr>
        <w:t> </w:t>
      </w:r>
      <w:r>
        <w:rPr>
          <w:i/>
          <w:sz w:val="16"/>
        </w:rPr>
        <w:t>San</w:t>
      </w:r>
      <w:r>
        <w:rPr>
          <w:i/>
          <w:spacing w:val="-13"/>
          <w:sz w:val="16"/>
        </w:rPr>
        <w:t> </w:t>
      </w:r>
      <w:r>
        <w:rPr>
          <w:i/>
          <w:sz w:val="16"/>
        </w:rPr>
        <w:t>Miguel</w:t>
      </w:r>
      <w:r>
        <w:rPr>
          <w:i/>
          <w:spacing w:val="-13"/>
          <w:sz w:val="16"/>
        </w:rPr>
        <w:t> </w:t>
      </w:r>
      <w:r>
        <w:rPr>
          <w:i/>
          <w:sz w:val="16"/>
        </w:rPr>
        <w:t>Sosa</w:t>
      </w:r>
      <w:r>
        <w:rPr>
          <w:i/>
          <w:spacing w:val="-13"/>
          <w:sz w:val="16"/>
        </w:rPr>
        <w:t> </w:t>
      </w:r>
      <w:r>
        <w:rPr>
          <w:i/>
          <w:sz w:val="16"/>
        </w:rPr>
        <w:t>y</w:t>
      </w:r>
      <w:r>
        <w:rPr>
          <w:i/>
          <w:spacing w:val="-13"/>
          <w:sz w:val="16"/>
        </w:rPr>
        <w:t> </w:t>
      </w:r>
      <w:r>
        <w:rPr>
          <w:i/>
          <w:sz w:val="16"/>
        </w:rPr>
        <w:t>Otras</w:t>
      </w:r>
      <w:r>
        <w:rPr>
          <w:i/>
          <w:spacing w:val="-13"/>
          <w:sz w:val="16"/>
        </w:rPr>
        <w:t> </w:t>
      </w:r>
      <w:r>
        <w:rPr>
          <w:i/>
          <w:sz w:val="16"/>
        </w:rPr>
        <w:t>Vs.</w:t>
      </w:r>
      <w:r>
        <w:rPr>
          <w:i/>
          <w:spacing w:val="-13"/>
          <w:sz w:val="16"/>
        </w:rPr>
        <w:t> </w:t>
      </w:r>
      <w:r>
        <w:rPr>
          <w:i/>
          <w:sz w:val="16"/>
        </w:rPr>
        <w:t>Venezuela,</w:t>
      </w:r>
      <w:r>
        <w:rPr>
          <w:i/>
          <w:spacing w:val="-14"/>
          <w:sz w:val="16"/>
        </w:rPr>
        <w:t> </w:t>
      </w:r>
      <w:r>
        <w:rPr>
          <w:i/>
          <w:sz w:val="16"/>
        </w:rPr>
        <w:t>Sentencia</w:t>
      </w:r>
      <w:r>
        <w:rPr>
          <w:i/>
          <w:spacing w:val="-13"/>
          <w:sz w:val="16"/>
        </w:rPr>
        <w:t> </w:t>
      </w:r>
      <w:r>
        <w:rPr>
          <w:i/>
          <w:sz w:val="16"/>
        </w:rPr>
        <w:t>de</w:t>
      </w:r>
      <w:r>
        <w:rPr>
          <w:i/>
          <w:spacing w:val="-13"/>
          <w:sz w:val="16"/>
        </w:rPr>
        <w:t> </w:t>
      </w:r>
      <w:r>
        <w:rPr>
          <w:i/>
          <w:sz w:val="16"/>
        </w:rPr>
        <w:t>8</w:t>
      </w:r>
      <w:r>
        <w:rPr>
          <w:i/>
          <w:spacing w:val="-13"/>
          <w:sz w:val="16"/>
        </w:rPr>
        <w:t> </w:t>
      </w:r>
      <w:r>
        <w:rPr>
          <w:i/>
          <w:sz w:val="16"/>
        </w:rPr>
        <w:t>de</w:t>
      </w:r>
      <w:r>
        <w:rPr>
          <w:i/>
          <w:spacing w:val="-12"/>
          <w:sz w:val="16"/>
        </w:rPr>
        <w:t> </w:t>
      </w:r>
      <w:r>
        <w:rPr>
          <w:i/>
          <w:sz w:val="16"/>
        </w:rPr>
        <w:t>febrero de 2018 (Fondo, Reparaciones y Costas); Voto Parcialmente Disidente del Juez Eduardo Vio Grossi, Corte Interamericana de Derechos Humanos, Caso Lagos del Campo Vs. Perú, Sentencia de 31 de agosto de 2017, (Excepciones</w:t>
      </w:r>
      <w:r>
        <w:rPr>
          <w:i/>
          <w:spacing w:val="-6"/>
          <w:sz w:val="16"/>
        </w:rPr>
        <w:t> </w:t>
      </w:r>
      <w:r>
        <w:rPr>
          <w:i/>
          <w:sz w:val="16"/>
        </w:rPr>
        <w:t>Preliminares,</w:t>
      </w:r>
      <w:r>
        <w:rPr>
          <w:i/>
          <w:spacing w:val="-6"/>
          <w:sz w:val="16"/>
        </w:rPr>
        <w:t> </w:t>
      </w:r>
      <w:r>
        <w:rPr>
          <w:i/>
          <w:sz w:val="16"/>
        </w:rPr>
        <w:t>Fondo,</w:t>
      </w:r>
      <w:r>
        <w:rPr>
          <w:i/>
          <w:spacing w:val="-6"/>
          <w:sz w:val="16"/>
        </w:rPr>
        <w:t> </w:t>
      </w:r>
      <w:r>
        <w:rPr>
          <w:i/>
          <w:sz w:val="16"/>
        </w:rPr>
        <w:t>Reparaciones</w:t>
      </w:r>
      <w:r>
        <w:rPr>
          <w:i/>
          <w:spacing w:val="-6"/>
          <w:sz w:val="16"/>
        </w:rPr>
        <w:t> </w:t>
      </w:r>
      <w:r>
        <w:rPr>
          <w:i/>
          <w:sz w:val="16"/>
        </w:rPr>
        <w:t>y</w:t>
      </w:r>
      <w:r>
        <w:rPr>
          <w:i/>
          <w:spacing w:val="-5"/>
          <w:sz w:val="16"/>
        </w:rPr>
        <w:t> </w:t>
      </w:r>
      <w:r>
        <w:rPr>
          <w:i/>
          <w:sz w:val="16"/>
        </w:rPr>
        <w:t>Costa;</w:t>
      </w:r>
      <w:r>
        <w:rPr>
          <w:i/>
          <w:spacing w:val="-6"/>
          <w:sz w:val="16"/>
        </w:rPr>
        <w:t> </w:t>
      </w:r>
      <w:r>
        <w:rPr>
          <w:i/>
          <w:sz w:val="16"/>
        </w:rPr>
        <w:t>y</w:t>
      </w:r>
      <w:r>
        <w:rPr>
          <w:i/>
          <w:spacing w:val="-5"/>
          <w:sz w:val="16"/>
        </w:rPr>
        <w:t> </w:t>
      </w:r>
      <w:r>
        <w:rPr>
          <w:i/>
          <w:sz w:val="16"/>
        </w:rPr>
        <w:t>Voto</w:t>
      </w:r>
      <w:r>
        <w:rPr>
          <w:i/>
          <w:spacing w:val="-5"/>
          <w:sz w:val="16"/>
        </w:rPr>
        <w:t> </w:t>
      </w:r>
      <w:r>
        <w:rPr>
          <w:i/>
          <w:sz w:val="16"/>
        </w:rPr>
        <w:t>Individual</w:t>
      </w:r>
      <w:r>
        <w:rPr>
          <w:i/>
          <w:spacing w:val="-5"/>
          <w:sz w:val="16"/>
        </w:rPr>
        <w:t> </w:t>
      </w:r>
      <w:r>
        <w:rPr>
          <w:i/>
          <w:sz w:val="16"/>
        </w:rPr>
        <w:t>del</w:t>
      </w:r>
      <w:r>
        <w:rPr>
          <w:i/>
          <w:spacing w:val="-5"/>
          <w:sz w:val="16"/>
        </w:rPr>
        <w:t> </w:t>
      </w:r>
      <w:r>
        <w:rPr>
          <w:i/>
          <w:sz w:val="16"/>
        </w:rPr>
        <w:t>Juez</w:t>
      </w:r>
      <w:r>
        <w:rPr>
          <w:i/>
          <w:spacing w:val="-6"/>
          <w:sz w:val="16"/>
        </w:rPr>
        <w:t> </w:t>
      </w:r>
      <w:r>
        <w:rPr>
          <w:i/>
          <w:sz w:val="16"/>
        </w:rPr>
        <w:t>Eduardo</w:t>
      </w:r>
      <w:r>
        <w:rPr>
          <w:i/>
          <w:spacing w:val="-5"/>
          <w:sz w:val="16"/>
        </w:rPr>
        <w:t> </w:t>
      </w:r>
      <w:r>
        <w:rPr>
          <w:i/>
          <w:sz w:val="16"/>
        </w:rPr>
        <w:t>Vio</w:t>
      </w:r>
      <w:r>
        <w:rPr>
          <w:i/>
          <w:spacing w:val="-5"/>
          <w:sz w:val="16"/>
        </w:rPr>
        <w:t> </w:t>
      </w:r>
      <w:r>
        <w:rPr>
          <w:i/>
          <w:sz w:val="16"/>
        </w:rPr>
        <w:t>Grossi,</w:t>
      </w:r>
      <w:r>
        <w:rPr>
          <w:i/>
          <w:spacing w:val="-6"/>
          <w:sz w:val="16"/>
        </w:rPr>
        <w:t> </w:t>
      </w:r>
      <w:r>
        <w:rPr>
          <w:i/>
          <w:sz w:val="16"/>
        </w:rPr>
        <w:t>Corte Interamericana de Derechos Humanos, Caso Trabajadores Cesados de Petroperú y Otros Vs. Perú, Sentencia de 23 de noviembre de 2017 (Excepciones Preliminares, Fondo, Reparaciones y</w:t>
      </w:r>
      <w:r>
        <w:rPr>
          <w:i/>
          <w:spacing w:val="-28"/>
          <w:sz w:val="16"/>
        </w:rPr>
        <w:t> </w:t>
      </w:r>
      <w:r>
        <w:rPr>
          <w:i/>
          <w:sz w:val="16"/>
        </w:rPr>
        <w:t>Costas).</w:t>
      </w:r>
    </w:p>
    <w:p>
      <w:pPr>
        <w:pStyle w:val="BodyText"/>
        <w:spacing w:before="11"/>
        <w:rPr>
          <w:i/>
          <w:sz w:val="15"/>
        </w:rPr>
      </w:pPr>
    </w:p>
    <w:p>
      <w:pPr>
        <w:spacing w:before="0"/>
        <w:ind w:left="681" w:right="0" w:firstLine="0"/>
        <w:jc w:val="both"/>
        <w:rPr>
          <w:sz w:val="16"/>
        </w:rPr>
      </w:pPr>
      <w:r>
        <w:rPr>
          <w:position w:val="6"/>
          <w:sz w:val="10"/>
        </w:rPr>
        <w:t>10  </w:t>
      </w:r>
      <w:r>
        <w:rPr>
          <w:sz w:val="16"/>
        </w:rPr>
        <w:t>En adelante, artículo 26.</w:t>
      </w:r>
    </w:p>
    <w:p>
      <w:pPr>
        <w:pStyle w:val="BodyText"/>
        <w:spacing w:before="7"/>
        <w:rPr>
          <w:sz w:val="15"/>
        </w:rPr>
      </w:pPr>
    </w:p>
    <w:p>
      <w:pPr>
        <w:spacing w:line="244" w:lineRule="auto" w:before="0"/>
        <w:ind w:left="681" w:right="170" w:firstLine="0"/>
        <w:jc w:val="both"/>
        <w:rPr>
          <w:sz w:val="16"/>
        </w:rPr>
      </w:pPr>
      <w:r>
        <w:rPr>
          <w:rFonts w:ascii="Calibri" w:hAnsi="Calibri"/>
          <w:position w:val="7"/>
          <w:sz w:val="13"/>
        </w:rPr>
        <w:t>11 </w:t>
      </w:r>
      <w:r>
        <w:rPr>
          <w:sz w:val="16"/>
        </w:rPr>
        <w:t>“</w:t>
      </w:r>
      <w:r>
        <w:rPr>
          <w:i/>
          <w:sz w:val="16"/>
        </w:rPr>
        <w:t>La cuestión de si un asunto determinado corresponde o no a la jurisdicción exclusiva del Estado, es una </w:t>
      </w:r>
      <w:r>
        <w:rPr>
          <w:i/>
          <w:sz w:val="16"/>
        </w:rPr>
        <w:t>cuestión</w:t>
      </w:r>
      <w:r>
        <w:rPr>
          <w:i/>
          <w:spacing w:val="-3"/>
          <w:sz w:val="16"/>
        </w:rPr>
        <w:t> </w:t>
      </w:r>
      <w:r>
        <w:rPr>
          <w:i/>
          <w:sz w:val="16"/>
        </w:rPr>
        <w:t>esencialmente</w:t>
      </w:r>
      <w:r>
        <w:rPr>
          <w:i/>
          <w:spacing w:val="-4"/>
          <w:sz w:val="16"/>
        </w:rPr>
        <w:t> </w:t>
      </w:r>
      <w:r>
        <w:rPr>
          <w:i/>
          <w:sz w:val="16"/>
        </w:rPr>
        <w:t>relativa,</w:t>
      </w:r>
      <w:r>
        <w:rPr>
          <w:i/>
          <w:spacing w:val="-4"/>
          <w:sz w:val="16"/>
        </w:rPr>
        <w:t> </w:t>
      </w:r>
      <w:r>
        <w:rPr>
          <w:i/>
          <w:sz w:val="16"/>
        </w:rPr>
        <w:t>la</w:t>
      </w:r>
      <w:r>
        <w:rPr>
          <w:i/>
          <w:spacing w:val="-3"/>
          <w:sz w:val="16"/>
        </w:rPr>
        <w:t> </w:t>
      </w:r>
      <w:r>
        <w:rPr>
          <w:i/>
          <w:sz w:val="16"/>
        </w:rPr>
        <w:t>que</w:t>
      </w:r>
      <w:r>
        <w:rPr>
          <w:i/>
          <w:spacing w:val="-4"/>
          <w:sz w:val="16"/>
        </w:rPr>
        <w:t> </w:t>
      </w:r>
      <w:r>
        <w:rPr>
          <w:i/>
          <w:sz w:val="16"/>
        </w:rPr>
        <w:t>depende</w:t>
      </w:r>
      <w:r>
        <w:rPr>
          <w:i/>
          <w:spacing w:val="-4"/>
          <w:sz w:val="16"/>
        </w:rPr>
        <w:t> </w:t>
      </w:r>
      <w:r>
        <w:rPr>
          <w:i/>
          <w:sz w:val="16"/>
        </w:rPr>
        <w:t>del</w:t>
      </w:r>
      <w:r>
        <w:rPr>
          <w:i/>
          <w:spacing w:val="-3"/>
          <w:sz w:val="16"/>
        </w:rPr>
        <w:t> </w:t>
      </w:r>
      <w:r>
        <w:rPr>
          <w:i/>
          <w:sz w:val="16"/>
        </w:rPr>
        <w:t>desarrollo</w:t>
      </w:r>
      <w:r>
        <w:rPr>
          <w:i/>
          <w:spacing w:val="-3"/>
          <w:sz w:val="16"/>
        </w:rPr>
        <w:t> </w:t>
      </w:r>
      <w:r>
        <w:rPr>
          <w:i/>
          <w:sz w:val="16"/>
        </w:rPr>
        <w:t>de</w:t>
      </w:r>
      <w:r>
        <w:rPr>
          <w:i/>
          <w:spacing w:val="-4"/>
          <w:sz w:val="16"/>
        </w:rPr>
        <w:t> </w:t>
      </w:r>
      <w:r>
        <w:rPr>
          <w:i/>
          <w:sz w:val="16"/>
        </w:rPr>
        <w:t>las</w:t>
      </w:r>
      <w:r>
        <w:rPr>
          <w:i/>
          <w:spacing w:val="-4"/>
          <w:sz w:val="16"/>
        </w:rPr>
        <w:t> </w:t>
      </w:r>
      <w:r>
        <w:rPr>
          <w:i/>
          <w:sz w:val="16"/>
        </w:rPr>
        <w:t>relaciones</w:t>
      </w:r>
      <w:r>
        <w:rPr>
          <w:i/>
          <w:spacing w:val="-4"/>
          <w:sz w:val="16"/>
        </w:rPr>
        <w:t> </w:t>
      </w:r>
      <w:r>
        <w:rPr>
          <w:i/>
          <w:sz w:val="16"/>
        </w:rPr>
        <w:t>internacionales.</w:t>
      </w:r>
      <w:r>
        <w:rPr>
          <w:i/>
          <w:spacing w:val="-3"/>
          <w:sz w:val="16"/>
        </w:rPr>
        <w:t> </w:t>
      </w:r>
      <w:r>
        <w:rPr>
          <w:i/>
          <w:sz w:val="16"/>
        </w:rPr>
        <w:t>En</w:t>
      </w:r>
      <w:r>
        <w:rPr>
          <w:i/>
          <w:spacing w:val="-2"/>
          <w:sz w:val="16"/>
        </w:rPr>
        <w:t> </w:t>
      </w:r>
      <w:r>
        <w:rPr>
          <w:i/>
          <w:sz w:val="16"/>
        </w:rPr>
        <w:t>el</w:t>
      </w:r>
      <w:r>
        <w:rPr>
          <w:i/>
          <w:spacing w:val="-3"/>
          <w:sz w:val="16"/>
        </w:rPr>
        <w:t> </w:t>
      </w:r>
      <w:r>
        <w:rPr>
          <w:i/>
          <w:sz w:val="16"/>
        </w:rPr>
        <w:t>estado actual del desarrollo del derecho internacional, la Corte es de opinión que los asuntos relativos a la nacionalidad</w:t>
      </w:r>
      <w:r>
        <w:rPr>
          <w:i/>
          <w:spacing w:val="-4"/>
          <w:sz w:val="16"/>
        </w:rPr>
        <w:t> </w:t>
      </w:r>
      <w:r>
        <w:rPr>
          <w:i/>
          <w:sz w:val="16"/>
        </w:rPr>
        <w:t>pertenecen,</w:t>
      </w:r>
      <w:r>
        <w:rPr>
          <w:i/>
          <w:spacing w:val="-4"/>
          <w:sz w:val="16"/>
        </w:rPr>
        <w:t> </w:t>
      </w:r>
      <w:r>
        <w:rPr>
          <w:i/>
          <w:sz w:val="16"/>
        </w:rPr>
        <w:t>en</w:t>
      </w:r>
      <w:r>
        <w:rPr>
          <w:i/>
          <w:spacing w:val="-4"/>
          <w:sz w:val="16"/>
        </w:rPr>
        <w:t> </w:t>
      </w:r>
      <w:r>
        <w:rPr>
          <w:i/>
          <w:sz w:val="16"/>
        </w:rPr>
        <w:t>principio,</w:t>
      </w:r>
      <w:r>
        <w:rPr>
          <w:i/>
          <w:spacing w:val="-5"/>
          <w:sz w:val="16"/>
        </w:rPr>
        <w:t> </w:t>
      </w:r>
      <w:r>
        <w:rPr>
          <w:i/>
          <w:sz w:val="16"/>
        </w:rPr>
        <w:t>a</w:t>
      </w:r>
      <w:r>
        <w:rPr>
          <w:i/>
          <w:spacing w:val="-5"/>
          <w:sz w:val="16"/>
        </w:rPr>
        <w:t> </w:t>
      </w:r>
      <w:r>
        <w:rPr>
          <w:i/>
          <w:sz w:val="16"/>
        </w:rPr>
        <w:t>ese</w:t>
      </w:r>
      <w:r>
        <w:rPr>
          <w:i/>
          <w:spacing w:val="-4"/>
          <w:sz w:val="16"/>
        </w:rPr>
        <w:t> </w:t>
      </w:r>
      <w:r>
        <w:rPr>
          <w:i/>
          <w:sz w:val="16"/>
        </w:rPr>
        <w:t>dominio</w:t>
      </w:r>
      <w:r>
        <w:rPr>
          <w:i/>
          <w:spacing w:val="-4"/>
          <w:sz w:val="16"/>
        </w:rPr>
        <w:t> </w:t>
      </w:r>
      <w:r>
        <w:rPr>
          <w:i/>
          <w:sz w:val="16"/>
        </w:rPr>
        <w:t>reservado</w:t>
      </w:r>
      <w:r>
        <w:rPr>
          <w:sz w:val="16"/>
        </w:rPr>
        <w:t>”.</w:t>
      </w:r>
      <w:r>
        <w:rPr>
          <w:spacing w:val="-5"/>
          <w:sz w:val="16"/>
        </w:rPr>
        <w:t> </w:t>
      </w:r>
      <w:r>
        <w:rPr>
          <w:sz w:val="16"/>
        </w:rPr>
        <w:t>Corte</w:t>
      </w:r>
      <w:r>
        <w:rPr>
          <w:spacing w:val="-5"/>
          <w:sz w:val="16"/>
        </w:rPr>
        <w:t> </w:t>
      </w:r>
      <w:r>
        <w:rPr>
          <w:sz w:val="16"/>
        </w:rPr>
        <w:t>Permanente</w:t>
      </w:r>
      <w:r>
        <w:rPr>
          <w:spacing w:val="-4"/>
          <w:sz w:val="16"/>
        </w:rPr>
        <w:t> </w:t>
      </w:r>
      <w:r>
        <w:rPr>
          <w:sz w:val="16"/>
        </w:rPr>
        <w:t>de</w:t>
      </w:r>
      <w:r>
        <w:rPr>
          <w:spacing w:val="-4"/>
          <w:sz w:val="16"/>
        </w:rPr>
        <w:t> </w:t>
      </w:r>
      <w:r>
        <w:rPr>
          <w:sz w:val="16"/>
        </w:rPr>
        <w:t>Justicia</w:t>
      </w:r>
      <w:r>
        <w:rPr>
          <w:spacing w:val="-5"/>
          <w:sz w:val="16"/>
        </w:rPr>
        <w:t> </w:t>
      </w:r>
      <w:r>
        <w:rPr>
          <w:sz w:val="16"/>
        </w:rPr>
        <w:t>Internacional, Opinión</w:t>
      </w:r>
      <w:r>
        <w:rPr>
          <w:spacing w:val="-8"/>
          <w:sz w:val="16"/>
        </w:rPr>
        <w:t> </w:t>
      </w:r>
      <w:r>
        <w:rPr>
          <w:sz w:val="16"/>
        </w:rPr>
        <w:t>Consultiva</w:t>
      </w:r>
      <w:r>
        <w:rPr>
          <w:spacing w:val="-7"/>
          <w:sz w:val="16"/>
        </w:rPr>
        <w:t> </w:t>
      </w:r>
      <w:r>
        <w:rPr>
          <w:sz w:val="16"/>
        </w:rPr>
        <w:t>sobre</w:t>
      </w:r>
      <w:r>
        <w:rPr>
          <w:spacing w:val="-8"/>
          <w:sz w:val="16"/>
        </w:rPr>
        <w:t> </w:t>
      </w:r>
      <w:r>
        <w:rPr>
          <w:sz w:val="16"/>
        </w:rPr>
        <w:t>ciertos</w:t>
      </w:r>
      <w:r>
        <w:rPr>
          <w:spacing w:val="-9"/>
          <w:sz w:val="16"/>
        </w:rPr>
        <w:t> </w:t>
      </w:r>
      <w:r>
        <w:rPr>
          <w:sz w:val="16"/>
        </w:rPr>
        <w:t>decretos</w:t>
      </w:r>
      <w:r>
        <w:rPr>
          <w:spacing w:val="-10"/>
          <w:sz w:val="16"/>
        </w:rPr>
        <w:t> </w:t>
      </w:r>
      <w:r>
        <w:rPr>
          <w:sz w:val="16"/>
        </w:rPr>
        <w:t>de</w:t>
      </w:r>
      <w:r>
        <w:rPr>
          <w:spacing w:val="-7"/>
          <w:sz w:val="16"/>
        </w:rPr>
        <w:t> </w:t>
      </w:r>
      <w:r>
        <w:rPr>
          <w:sz w:val="16"/>
        </w:rPr>
        <w:t>nacionalidad</w:t>
      </w:r>
      <w:r>
        <w:rPr>
          <w:spacing w:val="-7"/>
          <w:sz w:val="16"/>
        </w:rPr>
        <w:t> </w:t>
      </w:r>
      <w:r>
        <w:rPr>
          <w:sz w:val="16"/>
        </w:rPr>
        <w:t>dictados</w:t>
      </w:r>
      <w:r>
        <w:rPr>
          <w:spacing w:val="-10"/>
          <w:sz w:val="16"/>
        </w:rPr>
        <w:t> </w:t>
      </w:r>
      <w:r>
        <w:rPr>
          <w:sz w:val="16"/>
        </w:rPr>
        <w:t>en</w:t>
      </w:r>
      <w:r>
        <w:rPr>
          <w:spacing w:val="-9"/>
          <w:sz w:val="16"/>
        </w:rPr>
        <w:t> </w:t>
      </w:r>
      <w:r>
        <w:rPr>
          <w:sz w:val="16"/>
        </w:rPr>
        <w:t>la</w:t>
      </w:r>
      <w:r>
        <w:rPr>
          <w:spacing w:val="-8"/>
          <w:sz w:val="16"/>
        </w:rPr>
        <w:t> </w:t>
      </w:r>
      <w:r>
        <w:rPr>
          <w:sz w:val="16"/>
        </w:rPr>
        <w:t>zona</w:t>
      </w:r>
      <w:r>
        <w:rPr>
          <w:spacing w:val="-9"/>
          <w:sz w:val="16"/>
        </w:rPr>
        <w:t> </w:t>
      </w:r>
      <w:r>
        <w:rPr>
          <w:sz w:val="16"/>
        </w:rPr>
        <w:t>francesa</w:t>
      </w:r>
      <w:r>
        <w:rPr>
          <w:spacing w:val="-8"/>
          <w:sz w:val="16"/>
        </w:rPr>
        <w:t> </w:t>
      </w:r>
      <w:r>
        <w:rPr>
          <w:sz w:val="16"/>
        </w:rPr>
        <w:t>de</w:t>
      </w:r>
      <w:r>
        <w:rPr>
          <w:spacing w:val="-8"/>
          <w:sz w:val="16"/>
        </w:rPr>
        <w:t> </w:t>
      </w:r>
      <w:r>
        <w:rPr>
          <w:sz w:val="16"/>
        </w:rPr>
        <w:t>Túnez</w:t>
      </w:r>
      <w:r>
        <w:rPr>
          <w:spacing w:val="-8"/>
          <w:sz w:val="16"/>
        </w:rPr>
        <w:t> </w:t>
      </w:r>
      <w:r>
        <w:rPr>
          <w:sz w:val="16"/>
        </w:rPr>
        <w:t>y</w:t>
      </w:r>
      <w:r>
        <w:rPr>
          <w:spacing w:val="-9"/>
          <w:sz w:val="16"/>
        </w:rPr>
        <w:t> </w:t>
      </w:r>
      <w:r>
        <w:rPr>
          <w:sz w:val="16"/>
        </w:rPr>
        <w:t>Marruecos, Serie B Nº 4, pág.</w:t>
      </w:r>
      <w:r>
        <w:rPr>
          <w:spacing w:val="-5"/>
          <w:sz w:val="16"/>
        </w:rPr>
        <w:t> </w:t>
      </w:r>
      <w:r>
        <w:rPr>
          <w:sz w:val="16"/>
        </w:rPr>
        <w:t>24.</w:t>
      </w:r>
    </w:p>
    <w:p>
      <w:pPr>
        <w:spacing w:line="194" w:lineRule="exact" w:before="1"/>
        <w:ind w:left="681" w:right="118" w:firstLine="0"/>
        <w:jc w:val="both"/>
        <w:rPr>
          <w:i/>
          <w:sz w:val="16"/>
        </w:rPr>
      </w:pPr>
      <w:r>
        <w:rPr>
          <w:sz w:val="16"/>
        </w:rPr>
        <w:t>Protocole n° 15 portant amendement à la Convention (Européenne) de Sauvegarde des Droits de l’Homme</w:t>
      </w:r>
      <w:r>
        <w:rPr>
          <w:spacing w:val="-28"/>
          <w:sz w:val="16"/>
        </w:rPr>
        <w:t> </w:t>
      </w:r>
      <w:r>
        <w:rPr>
          <w:sz w:val="16"/>
        </w:rPr>
        <w:t>et des</w:t>
      </w:r>
      <w:r>
        <w:rPr>
          <w:spacing w:val="-11"/>
          <w:sz w:val="16"/>
        </w:rPr>
        <w:t> </w:t>
      </w:r>
      <w:r>
        <w:rPr>
          <w:sz w:val="16"/>
        </w:rPr>
        <w:t>Libertés</w:t>
      </w:r>
      <w:r>
        <w:rPr>
          <w:spacing w:val="-11"/>
          <w:sz w:val="16"/>
        </w:rPr>
        <w:t> </w:t>
      </w:r>
      <w:r>
        <w:rPr>
          <w:sz w:val="16"/>
        </w:rPr>
        <w:t>fondamentales,</w:t>
      </w:r>
      <w:r>
        <w:rPr>
          <w:spacing w:val="-10"/>
          <w:sz w:val="16"/>
        </w:rPr>
        <w:t> </w:t>
      </w:r>
      <w:r>
        <w:rPr>
          <w:sz w:val="16"/>
        </w:rPr>
        <w:t>art.1:</w:t>
      </w:r>
      <w:r>
        <w:rPr>
          <w:spacing w:val="-11"/>
          <w:sz w:val="16"/>
        </w:rPr>
        <w:t> </w:t>
      </w:r>
      <w:r>
        <w:rPr>
          <w:sz w:val="16"/>
        </w:rPr>
        <w:t>“</w:t>
      </w:r>
      <w:r>
        <w:rPr>
          <w:i/>
          <w:sz w:val="16"/>
        </w:rPr>
        <w:t>A</w:t>
      </w:r>
      <w:r>
        <w:rPr>
          <w:i/>
          <w:spacing w:val="-10"/>
          <w:sz w:val="16"/>
        </w:rPr>
        <w:t> </w:t>
      </w:r>
      <w:r>
        <w:rPr>
          <w:i/>
          <w:sz w:val="16"/>
        </w:rPr>
        <w:t>la</w:t>
      </w:r>
      <w:r>
        <w:rPr>
          <w:i/>
          <w:spacing w:val="-11"/>
          <w:sz w:val="16"/>
        </w:rPr>
        <w:t> </w:t>
      </w:r>
      <w:r>
        <w:rPr>
          <w:i/>
          <w:sz w:val="16"/>
        </w:rPr>
        <w:t>fin</w:t>
      </w:r>
      <w:r>
        <w:rPr>
          <w:i/>
          <w:spacing w:val="-11"/>
          <w:sz w:val="16"/>
        </w:rPr>
        <w:t> </w:t>
      </w:r>
      <w:r>
        <w:rPr>
          <w:i/>
          <w:sz w:val="16"/>
        </w:rPr>
        <w:t>du</w:t>
      </w:r>
      <w:r>
        <w:rPr>
          <w:i/>
          <w:spacing w:val="-11"/>
          <w:sz w:val="16"/>
        </w:rPr>
        <w:t> </w:t>
      </w:r>
      <w:r>
        <w:rPr>
          <w:i/>
          <w:sz w:val="16"/>
        </w:rPr>
        <w:t>préambule</w:t>
      </w:r>
      <w:r>
        <w:rPr>
          <w:i/>
          <w:spacing w:val="-10"/>
          <w:sz w:val="16"/>
        </w:rPr>
        <w:t> </w:t>
      </w:r>
      <w:r>
        <w:rPr>
          <w:i/>
          <w:sz w:val="16"/>
        </w:rPr>
        <w:t>de</w:t>
      </w:r>
      <w:r>
        <w:rPr>
          <w:i/>
          <w:spacing w:val="-11"/>
          <w:sz w:val="16"/>
        </w:rPr>
        <w:t> </w:t>
      </w:r>
      <w:r>
        <w:rPr>
          <w:i/>
          <w:sz w:val="16"/>
        </w:rPr>
        <w:t>la</w:t>
      </w:r>
      <w:r>
        <w:rPr>
          <w:i/>
          <w:spacing w:val="-11"/>
          <w:sz w:val="16"/>
        </w:rPr>
        <w:t> </w:t>
      </w:r>
      <w:r>
        <w:rPr>
          <w:i/>
          <w:sz w:val="16"/>
        </w:rPr>
        <w:t>Convention,</w:t>
      </w:r>
      <w:r>
        <w:rPr>
          <w:i/>
          <w:spacing w:val="-11"/>
          <w:sz w:val="16"/>
        </w:rPr>
        <w:t> </w:t>
      </w:r>
      <w:r>
        <w:rPr>
          <w:i/>
          <w:sz w:val="16"/>
        </w:rPr>
        <w:t>un</w:t>
      </w:r>
      <w:r>
        <w:rPr>
          <w:i/>
          <w:spacing w:val="-11"/>
          <w:sz w:val="16"/>
        </w:rPr>
        <w:t> </w:t>
      </w:r>
      <w:r>
        <w:rPr>
          <w:i/>
          <w:sz w:val="16"/>
        </w:rPr>
        <w:t>nouveau</w:t>
      </w:r>
      <w:r>
        <w:rPr>
          <w:i/>
          <w:spacing w:val="-11"/>
          <w:sz w:val="16"/>
        </w:rPr>
        <w:t> </w:t>
      </w:r>
      <w:r>
        <w:rPr>
          <w:i/>
          <w:sz w:val="16"/>
        </w:rPr>
        <w:t>considérant</w:t>
      </w:r>
      <w:r>
        <w:rPr>
          <w:i/>
          <w:spacing w:val="-11"/>
          <w:sz w:val="16"/>
        </w:rPr>
        <w:t> </w:t>
      </w:r>
      <w:r>
        <w:rPr>
          <w:i/>
          <w:sz w:val="16"/>
        </w:rPr>
        <w:t>est</w:t>
      </w:r>
      <w:r>
        <w:rPr>
          <w:i/>
          <w:spacing w:val="-11"/>
          <w:sz w:val="16"/>
        </w:rPr>
        <w:t> </w:t>
      </w:r>
      <w:r>
        <w:rPr>
          <w:i/>
          <w:sz w:val="16"/>
        </w:rPr>
        <w:t>ajouté </w:t>
      </w:r>
      <w:r>
        <w:rPr>
          <w:i/>
          <w:sz w:val="16"/>
        </w:rPr>
        <w:t>et</w:t>
      </w:r>
      <w:r>
        <w:rPr>
          <w:i/>
          <w:spacing w:val="-8"/>
          <w:sz w:val="16"/>
        </w:rPr>
        <w:t> </w:t>
      </w:r>
      <w:r>
        <w:rPr>
          <w:i/>
          <w:sz w:val="16"/>
        </w:rPr>
        <w:t>se</w:t>
      </w:r>
      <w:r>
        <w:rPr>
          <w:i/>
          <w:spacing w:val="-9"/>
          <w:sz w:val="16"/>
        </w:rPr>
        <w:t> </w:t>
      </w:r>
      <w:r>
        <w:rPr>
          <w:i/>
          <w:sz w:val="16"/>
        </w:rPr>
        <w:t>lit</w:t>
      </w:r>
      <w:r>
        <w:rPr>
          <w:i/>
          <w:spacing w:val="-8"/>
          <w:sz w:val="16"/>
        </w:rPr>
        <w:t> </w:t>
      </w:r>
      <w:r>
        <w:rPr>
          <w:i/>
          <w:sz w:val="16"/>
        </w:rPr>
        <w:t>comme</w:t>
      </w:r>
      <w:r>
        <w:rPr>
          <w:i/>
          <w:spacing w:val="-7"/>
          <w:sz w:val="16"/>
        </w:rPr>
        <w:t> </w:t>
      </w:r>
      <w:r>
        <w:rPr>
          <w:i/>
          <w:sz w:val="16"/>
        </w:rPr>
        <w:t>suit</w:t>
      </w:r>
      <w:r>
        <w:rPr>
          <w:sz w:val="16"/>
        </w:rPr>
        <w:t>:</w:t>
      </w:r>
      <w:r>
        <w:rPr>
          <w:spacing w:val="-9"/>
          <w:sz w:val="16"/>
        </w:rPr>
        <w:t> </w:t>
      </w:r>
      <w:r>
        <w:rPr>
          <w:i/>
          <w:sz w:val="16"/>
        </w:rPr>
        <w:t>Affirmant</w:t>
      </w:r>
      <w:r>
        <w:rPr>
          <w:i/>
          <w:spacing w:val="-8"/>
          <w:sz w:val="16"/>
        </w:rPr>
        <w:t> </w:t>
      </w:r>
      <w:r>
        <w:rPr>
          <w:i/>
          <w:sz w:val="16"/>
        </w:rPr>
        <w:t>qu’il</w:t>
      </w:r>
      <w:r>
        <w:rPr>
          <w:i/>
          <w:spacing w:val="-8"/>
          <w:sz w:val="16"/>
        </w:rPr>
        <w:t> </w:t>
      </w:r>
      <w:r>
        <w:rPr>
          <w:i/>
          <w:sz w:val="16"/>
        </w:rPr>
        <w:t>incombe</w:t>
      </w:r>
      <w:r>
        <w:rPr>
          <w:i/>
          <w:spacing w:val="-6"/>
          <w:sz w:val="16"/>
        </w:rPr>
        <w:t> </w:t>
      </w:r>
      <w:r>
        <w:rPr>
          <w:i/>
          <w:sz w:val="16"/>
        </w:rPr>
        <w:t>au</w:t>
      </w:r>
      <w:r>
        <w:rPr>
          <w:i/>
          <w:spacing w:val="-8"/>
          <w:sz w:val="16"/>
        </w:rPr>
        <w:t> </w:t>
      </w:r>
      <w:r>
        <w:rPr>
          <w:i/>
          <w:sz w:val="16"/>
        </w:rPr>
        <w:t>premier</w:t>
      </w:r>
      <w:r>
        <w:rPr>
          <w:i/>
          <w:spacing w:val="-8"/>
          <w:sz w:val="16"/>
        </w:rPr>
        <w:t> </w:t>
      </w:r>
      <w:r>
        <w:rPr>
          <w:i/>
          <w:sz w:val="16"/>
        </w:rPr>
        <w:t>chef</w:t>
      </w:r>
      <w:r>
        <w:rPr>
          <w:i/>
          <w:spacing w:val="-8"/>
          <w:sz w:val="16"/>
        </w:rPr>
        <w:t> </w:t>
      </w:r>
      <w:r>
        <w:rPr>
          <w:i/>
          <w:sz w:val="16"/>
        </w:rPr>
        <w:t>aux</w:t>
      </w:r>
      <w:r>
        <w:rPr>
          <w:i/>
          <w:spacing w:val="-8"/>
          <w:sz w:val="16"/>
        </w:rPr>
        <w:t> </w:t>
      </w:r>
      <w:r>
        <w:rPr>
          <w:i/>
          <w:sz w:val="16"/>
        </w:rPr>
        <w:t>Hautes</w:t>
      </w:r>
      <w:r>
        <w:rPr>
          <w:i/>
          <w:spacing w:val="-9"/>
          <w:sz w:val="16"/>
        </w:rPr>
        <w:t> </w:t>
      </w:r>
      <w:r>
        <w:rPr>
          <w:i/>
          <w:sz w:val="16"/>
        </w:rPr>
        <w:t>Parties</w:t>
      </w:r>
      <w:r>
        <w:rPr>
          <w:i/>
          <w:spacing w:val="-8"/>
          <w:sz w:val="16"/>
        </w:rPr>
        <w:t> </w:t>
      </w:r>
      <w:r>
        <w:rPr>
          <w:i/>
          <w:sz w:val="16"/>
        </w:rPr>
        <w:t>contractantes,</w:t>
      </w:r>
      <w:r>
        <w:rPr>
          <w:i/>
          <w:spacing w:val="-8"/>
          <w:sz w:val="16"/>
        </w:rPr>
        <w:t> </w:t>
      </w:r>
      <w:r>
        <w:rPr>
          <w:i/>
          <w:sz w:val="16"/>
        </w:rPr>
        <w:t>conformément </w:t>
      </w:r>
      <w:r>
        <w:rPr>
          <w:i/>
          <w:sz w:val="16"/>
        </w:rPr>
        <w:t>au principe de subsidiarité, de garantir le respect des droits et libertés définis dans la présente Convention</w:t>
      </w:r>
      <w:r>
        <w:rPr>
          <w:i/>
          <w:spacing w:val="-14"/>
          <w:sz w:val="16"/>
        </w:rPr>
        <w:t> </w:t>
      </w:r>
      <w:r>
        <w:rPr>
          <w:i/>
          <w:sz w:val="16"/>
        </w:rPr>
        <w:t>et</w:t>
      </w:r>
    </w:p>
    <w:p>
      <w:pPr>
        <w:spacing w:after="0" w:line="194" w:lineRule="exact"/>
        <w:jc w:val="both"/>
        <w:rPr>
          <w:sz w:val="16"/>
        </w:rPr>
        <w:sectPr>
          <w:pgSz w:w="12240" w:h="15840"/>
          <w:pgMar w:header="0" w:footer="1000" w:top="1220" w:bottom="1200" w:left="1020" w:right="1580"/>
        </w:sectPr>
      </w:pPr>
    </w:p>
    <w:p>
      <w:pPr>
        <w:pStyle w:val="ListParagraph"/>
        <w:numPr>
          <w:ilvl w:val="0"/>
          <w:numId w:val="46"/>
        </w:numPr>
        <w:tabs>
          <w:tab w:pos="1390" w:val="left" w:leader="none"/>
        </w:tabs>
        <w:spacing w:line="240" w:lineRule="auto" w:before="87" w:after="0"/>
        <w:ind w:left="681" w:right="118" w:firstLine="65"/>
        <w:jc w:val="both"/>
        <w:rPr>
          <w:sz w:val="20"/>
        </w:rPr>
      </w:pPr>
      <w:r>
        <w:rPr>
          <w:sz w:val="20"/>
        </w:rPr>
        <w:t>Lo</w:t>
      </w:r>
      <w:r>
        <w:rPr>
          <w:spacing w:val="-6"/>
          <w:sz w:val="20"/>
        </w:rPr>
        <w:t> </w:t>
      </w:r>
      <w:r>
        <w:rPr>
          <w:sz w:val="20"/>
        </w:rPr>
        <w:t>que</w:t>
      </w:r>
      <w:r>
        <w:rPr>
          <w:spacing w:val="-6"/>
          <w:sz w:val="20"/>
        </w:rPr>
        <w:t> </w:t>
      </w:r>
      <w:r>
        <w:rPr>
          <w:sz w:val="20"/>
        </w:rPr>
        <w:t>se</w:t>
      </w:r>
      <w:r>
        <w:rPr>
          <w:spacing w:val="-6"/>
          <w:sz w:val="20"/>
        </w:rPr>
        <w:t> </w:t>
      </w:r>
      <w:r>
        <w:rPr>
          <w:sz w:val="20"/>
        </w:rPr>
        <w:t>sostiene</w:t>
      </w:r>
      <w:r>
        <w:rPr>
          <w:spacing w:val="-6"/>
          <w:sz w:val="20"/>
        </w:rPr>
        <w:t> </w:t>
      </w:r>
      <w:r>
        <w:rPr>
          <w:sz w:val="20"/>
        </w:rPr>
        <w:t>en</w:t>
      </w:r>
      <w:r>
        <w:rPr>
          <w:spacing w:val="-7"/>
          <w:sz w:val="20"/>
        </w:rPr>
        <w:t> </w:t>
      </w:r>
      <w:r>
        <w:rPr>
          <w:sz w:val="20"/>
        </w:rPr>
        <w:t>este</w:t>
      </w:r>
      <w:r>
        <w:rPr>
          <w:spacing w:val="-6"/>
          <w:sz w:val="20"/>
        </w:rPr>
        <w:t> </w:t>
      </w:r>
      <w:r>
        <w:rPr>
          <w:sz w:val="20"/>
        </w:rPr>
        <w:t>voto</w:t>
      </w:r>
      <w:r>
        <w:rPr>
          <w:spacing w:val="-8"/>
          <w:sz w:val="20"/>
        </w:rPr>
        <w:t> </w:t>
      </w:r>
      <w:r>
        <w:rPr>
          <w:sz w:val="20"/>
        </w:rPr>
        <w:t>supone</w:t>
      </w:r>
      <w:r>
        <w:rPr>
          <w:spacing w:val="-7"/>
          <w:sz w:val="20"/>
        </w:rPr>
        <w:t> </w:t>
      </w:r>
      <w:r>
        <w:rPr>
          <w:sz w:val="20"/>
        </w:rPr>
        <w:t>que</w:t>
      </w:r>
      <w:r>
        <w:rPr>
          <w:spacing w:val="-6"/>
          <w:sz w:val="20"/>
        </w:rPr>
        <w:t> </w:t>
      </w:r>
      <w:r>
        <w:rPr>
          <w:sz w:val="20"/>
        </w:rPr>
        <w:t>se</w:t>
      </w:r>
      <w:r>
        <w:rPr>
          <w:spacing w:val="-8"/>
          <w:sz w:val="20"/>
        </w:rPr>
        <w:t> </w:t>
      </w:r>
      <w:r>
        <w:rPr>
          <w:sz w:val="20"/>
        </w:rPr>
        <w:t>debe</w:t>
      </w:r>
      <w:r>
        <w:rPr>
          <w:spacing w:val="-5"/>
          <w:sz w:val="20"/>
        </w:rPr>
        <w:t> </w:t>
      </w:r>
      <w:r>
        <w:rPr>
          <w:sz w:val="20"/>
        </w:rPr>
        <w:t>distinguir</w:t>
      </w:r>
      <w:r>
        <w:rPr>
          <w:spacing w:val="-7"/>
          <w:sz w:val="20"/>
        </w:rPr>
        <w:t> </w:t>
      </w:r>
      <w:r>
        <w:rPr>
          <w:sz w:val="20"/>
        </w:rPr>
        <w:t>entre</w:t>
      </w:r>
      <w:r>
        <w:rPr>
          <w:spacing w:val="-7"/>
          <w:sz w:val="20"/>
        </w:rPr>
        <w:t> </w:t>
      </w:r>
      <w:r>
        <w:rPr>
          <w:sz w:val="20"/>
        </w:rPr>
        <w:t>los</w:t>
      </w:r>
      <w:r>
        <w:rPr>
          <w:spacing w:val="-7"/>
          <w:sz w:val="20"/>
        </w:rPr>
        <w:t> </w:t>
      </w:r>
      <w:r>
        <w:rPr>
          <w:sz w:val="20"/>
        </w:rPr>
        <w:t>derechos humanos en general, que, en toda circunstancia, deben ser respetados en virtud de lo prescrito en el Derecho Internacional y aquellos que, además, pueden ser justiciables ante una jurisdicción internacional. A este respecto, cabe llamar la atención de que</w:t>
      </w:r>
      <w:r>
        <w:rPr>
          <w:spacing w:val="-45"/>
          <w:sz w:val="20"/>
        </w:rPr>
        <w:t> </w:t>
      </w:r>
      <w:r>
        <w:rPr>
          <w:sz w:val="20"/>
        </w:rPr>
        <w:t>solo existen tres tribunales internacionales en materia de derechos humanos, a saber, la Corte, el Tribunal Europeo de Derechos Humanos y la Corte Africana de Derechos Humanos y de los Pueblos. Pues bien, no todos los Estados de las respectivas regiones, han aceptado la jurisdicción del tribunal correspondiente. Por otra parte, no todas las regiones del mundo disponen de una jurisdicción internacional en materia de derechos humanos. Tampoco se ha creado un tribunal universal de derechos</w:t>
      </w:r>
      <w:r>
        <w:rPr>
          <w:spacing w:val="-15"/>
          <w:sz w:val="20"/>
        </w:rPr>
        <w:t> </w:t>
      </w:r>
      <w:r>
        <w:rPr>
          <w:sz w:val="20"/>
        </w:rPr>
        <w:t>humanos.</w:t>
      </w:r>
    </w:p>
    <w:p>
      <w:pPr>
        <w:pStyle w:val="BodyText"/>
        <w:spacing w:before="11"/>
        <w:rPr>
          <w:sz w:val="19"/>
        </w:rPr>
      </w:pPr>
    </w:p>
    <w:p>
      <w:pPr>
        <w:pStyle w:val="ListParagraph"/>
        <w:numPr>
          <w:ilvl w:val="0"/>
          <w:numId w:val="46"/>
        </w:numPr>
        <w:tabs>
          <w:tab w:pos="1390" w:val="left" w:leader="none"/>
        </w:tabs>
        <w:spacing w:line="240" w:lineRule="auto" w:before="0" w:after="0"/>
        <w:ind w:left="681" w:right="118" w:firstLine="65"/>
        <w:jc w:val="both"/>
        <w:rPr>
          <w:sz w:val="20"/>
        </w:rPr>
      </w:pPr>
      <w:r>
        <w:rPr>
          <w:sz w:val="20"/>
        </w:rPr>
        <w:t>La circunstancia, pues, de que un Estado no haya aceptado ser sometido a una instancia jurisdiccional internacional en materia de derechos humanos, no significa que éstos no existan y que no los pueda eventualmente ser violarlos. El Estado los debe,</w:t>
      </w:r>
      <w:r>
        <w:rPr>
          <w:spacing w:val="-25"/>
          <w:sz w:val="20"/>
        </w:rPr>
        <w:t> </w:t>
      </w:r>
      <w:r>
        <w:rPr>
          <w:sz w:val="20"/>
        </w:rPr>
        <w:t>de todas maneras, respetar, aunque no exista un tribunal internacional al que se pueda concurrir</w:t>
      </w:r>
      <w:r>
        <w:rPr>
          <w:spacing w:val="-15"/>
          <w:sz w:val="20"/>
        </w:rPr>
        <w:t> </w:t>
      </w:r>
      <w:r>
        <w:rPr>
          <w:sz w:val="20"/>
        </w:rPr>
        <w:t>en</w:t>
      </w:r>
      <w:r>
        <w:rPr>
          <w:spacing w:val="-14"/>
          <w:sz w:val="20"/>
        </w:rPr>
        <w:t> </w:t>
      </w:r>
      <w:r>
        <w:rPr>
          <w:sz w:val="20"/>
        </w:rPr>
        <w:t>el</w:t>
      </w:r>
      <w:r>
        <w:rPr>
          <w:spacing w:val="-14"/>
          <w:sz w:val="20"/>
        </w:rPr>
        <w:t> </w:t>
      </w:r>
      <w:r>
        <w:rPr>
          <w:sz w:val="20"/>
        </w:rPr>
        <w:t>evento</w:t>
      </w:r>
      <w:r>
        <w:rPr>
          <w:spacing w:val="-13"/>
          <w:sz w:val="20"/>
        </w:rPr>
        <w:t> </w:t>
      </w:r>
      <w:r>
        <w:rPr>
          <w:sz w:val="20"/>
        </w:rPr>
        <w:t>de</w:t>
      </w:r>
      <w:r>
        <w:rPr>
          <w:spacing w:val="-12"/>
          <w:sz w:val="20"/>
        </w:rPr>
        <w:t> </w:t>
      </w:r>
      <w:r>
        <w:rPr>
          <w:sz w:val="20"/>
        </w:rPr>
        <w:t>que</w:t>
      </w:r>
      <w:r>
        <w:rPr>
          <w:spacing w:val="-14"/>
          <w:sz w:val="20"/>
        </w:rPr>
        <w:t> </w:t>
      </w:r>
      <w:r>
        <w:rPr>
          <w:sz w:val="20"/>
        </w:rPr>
        <w:t>los</w:t>
      </w:r>
      <w:r>
        <w:rPr>
          <w:spacing w:val="-13"/>
          <w:sz w:val="20"/>
        </w:rPr>
        <w:t> </w:t>
      </w:r>
      <w:r>
        <w:rPr>
          <w:sz w:val="20"/>
        </w:rPr>
        <w:t>vulnere</w:t>
      </w:r>
      <w:r>
        <w:rPr>
          <w:spacing w:val="-14"/>
          <w:sz w:val="20"/>
        </w:rPr>
        <w:t> </w:t>
      </w:r>
      <w:r>
        <w:rPr>
          <w:sz w:val="20"/>
        </w:rPr>
        <w:t>y</w:t>
      </w:r>
      <w:r>
        <w:rPr>
          <w:spacing w:val="-14"/>
          <w:sz w:val="20"/>
        </w:rPr>
        <w:t> </w:t>
      </w:r>
      <w:r>
        <w:rPr>
          <w:sz w:val="20"/>
        </w:rPr>
        <w:t>ello</w:t>
      </w:r>
      <w:r>
        <w:rPr>
          <w:spacing w:val="-15"/>
          <w:sz w:val="20"/>
        </w:rPr>
        <w:t> </w:t>
      </w:r>
      <w:r>
        <w:rPr>
          <w:sz w:val="20"/>
        </w:rPr>
        <w:t>máxime</w:t>
      </w:r>
      <w:r>
        <w:rPr>
          <w:spacing w:val="-14"/>
          <w:sz w:val="20"/>
        </w:rPr>
        <w:t> </w:t>
      </w:r>
      <w:r>
        <w:rPr>
          <w:sz w:val="20"/>
        </w:rPr>
        <w:t>si</w:t>
      </w:r>
      <w:r>
        <w:rPr>
          <w:spacing w:val="-14"/>
          <w:sz w:val="20"/>
        </w:rPr>
        <w:t> </w:t>
      </w:r>
      <w:r>
        <w:rPr>
          <w:sz w:val="20"/>
        </w:rPr>
        <w:t>son</w:t>
      </w:r>
      <w:r>
        <w:rPr>
          <w:spacing w:val="-13"/>
          <w:sz w:val="20"/>
        </w:rPr>
        <w:t> </w:t>
      </w:r>
      <w:r>
        <w:rPr>
          <w:sz w:val="20"/>
        </w:rPr>
        <w:t>consagrados</w:t>
      </w:r>
      <w:r>
        <w:rPr>
          <w:spacing w:val="-13"/>
          <w:sz w:val="20"/>
        </w:rPr>
        <w:t> </w:t>
      </w:r>
      <w:r>
        <w:rPr>
          <w:sz w:val="20"/>
        </w:rPr>
        <w:t>en</w:t>
      </w:r>
      <w:r>
        <w:rPr>
          <w:spacing w:val="-14"/>
          <w:sz w:val="20"/>
        </w:rPr>
        <w:t> </w:t>
      </w:r>
      <w:r>
        <w:rPr>
          <w:sz w:val="20"/>
        </w:rPr>
        <w:t>un</w:t>
      </w:r>
      <w:r>
        <w:rPr>
          <w:spacing w:val="-13"/>
          <w:sz w:val="20"/>
        </w:rPr>
        <w:t> </w:t>
      </w:r>
      <w:r>
        <w:rPr>
          <w:sz w:val="20"/>
        </w:rPr>
        <w:t>tratado del que es Estado Parte. En tal eventualidad, la sociedad internacional podrá emplear medios</w:t>
      </w:r>
      <w:r>
        <w:rPr>
          <w:spacing w:val="-12"/>
          <w:sz w:val="20"/>
        </w:rPr>
        <w:t> </w:t>
      </w:r>
      <w:r>
        <w:rPr>
          <w:sz w:val="20"/>
        </w:rPr>
        <w:t>netamente</w:t>
      </w:r>
      <w:r>
        <w:rPr>
          <w:spacing w:val="-11"/>
          <w:sz w:val="20"/>
        </w:rPr>
        <w:t> </w:t>
      </w:r>
      <w:r>
        <w:rPr>
          <w:sz w:val="20"/>
        </w:rPr>
        <w:t>diplomáticos</w:t>
      </w:r>
      <w:r>
        <w:rPr>
          <w:spacing w:val="-12"/>
          <w:sz w:val="20"/>
        </w:rPr>
        <w:t> </w:t>
      </w:r>
      <w:r>
        <w:rPr>
          <w:sz w:val="20"/>
        </w:rPr>
        <w:t>o</w:t>
      </w:r>
      <w:r>
        <w:rPr>
          <w:spacing w:val="-12"/>
          <w:sz w:val="20"/>
        </w:rPr>
        <w:t> </w:t>
      </w:r>
      <w:r>
        <w:rPr>
          <w:sz w:val="20"/>
        </w:rPr>
        <w:t>políticos</w:t>
      </w:r>
      <w:r>
        <w:rPr>
          <w:spacing w:val="-12"/>
          <w:sz w:val="20"/>
        </w:rPr>
        <w:t> </w:t>
      </w:r>
      <w:r>
        <w:rPr>
          <w:sz w:val="20"/>
        </w:rPr>
        <w:t>para</w:t>
      </w:r>
      <w:r>
        <w:rPr>
          <w:spacing w:val="-12"/>
          <w:sz w:val="20"/>
        </w:rPr>
        <w:t> </w:t>
      </w:r>
      <w:r>
        <w:rPr>
          <w:sz w:val="20"/>
        </w:rPr>
        <w:t>lograr</w:t>
      </w:r>
      <w:r>
        <w:rPr>
          <w:spacing w:val="-13"/>
          <w:sz w:val="20"/>
        </w:rPr>
        <w:t> </w:t>
      </w:r>
      <w:r>
        <w:rPr>
          <w:sz w:val="20"/>
        </w:rPr>
        <w:t>el</w:t>
      </w:r>
      <w:r>
        <w:rPr>
          <w:spacing w:val="-11"/>
          <w:sz w:val="20"/>
        </w:rPr>
        <w:t> </w:t>
      </w:r>
      <w:r>
        <w:rPr>
          <w:sz w:val="20"/>
        </w:rPr>
        <w:t>restablecimiento</w:t>
      </w:r>
      <w:r>
        <w:rPr>
          <w:spacing w:val="-11"/>
          <w:sz w:val="20"/>
        </w:rPr>
        <w:t> </w:t>
      </w:r>
      <w:r>
        <w:rPr>
          <w:sz w:val="20"/>
        </w:rPr>
        <w:t>del</w:t>
      </w:r>
      <w:r>
        <w:rPr>
          <w:spacing w:val="-11"/>
          <w:sz w:val="20"/>
        </w:rPr>
        <w:t> </w:t>
      </w:r>
      <w:r>
        <w:rPr>
          <w:sz w:val="20"/>
        </w:rPr>
        <w:t>respeto</w:t>
      </w:r>
      <w:r>
        <w:rPr>
          <w:spacing w:val="-12"/>
          <w:sz w:val="20"/>
        </w:rPr>
        <w:t> </w:t>
      </w:r>
      <w:r>
        <w:rPr>
          <w:sz w:val="20"/>
        </w:rPr>
        <w:t>de los</w:t>
      </w:r>
      <w:r>
        <w:rPr>
          <w:spacing w:val="-7"/>
          <w:sz w:val="20"/>
        </w:rPr>
        <w:t> </w:t>
      </w:r>
      <w:r>
        <w:rPr>
          <w:sz w:val="20"/>
        </w:rPr>
        <w:t>derechos</w:t>
      </w:r>
      <w:r>
        <w:rPr>
          <w:spacing w:val="-8"/>
          <w:sz w:val="20"/>
        </w:rPr>
        <w:t> </w:t>
      </w:r>
      <w:r>
        <w:rPr>
          <w:sz w:val="20"/>
        </w:rPr>
        <w:t>en</w:t>
      </w:r>
      <w:r>
        <w:rPr>
          <w:spacing w:val="-7"/>
          <w:sz w:val="20"/>
        </w:rPr>
        <w:t> </w:t>
      </w:r>
      <w:r>
        <w:rPr>
          <w:sz w:val="20"/>
        </w:rPr>
        <w:t>comento.</w:t>
      </w:r>
      <w:r>
        <w:rPr>
          <w:spacing w:val="-8"/>
          <w:sz w:val="20"/>
        </w:rPr>
        <w:t> </w:t>
      </w:r>
      <w:r>
        <w:rPr>
          <w:sz w:val="20"/>
        </w:rPr>
        <w:t>Entonces,</w:t>
      </w:r>
      <w:r>
        <w:rPr>
          <w:spacing w:val="-8"/>
          <w:sz w:val="20"/>
        </w:rPr>
        <w:t> </w:t>
      </w:r>
      <w:r>
        <w:rPr>
          <w:sz w:val="20"/>
        </w:rPr>
        <w:t>un</w:t>
      </w:r>
      <w:r>
        <w:rPr>
          <w:spacing w:val="-7"/>
          <w:sz w:val="20"/>
        </w:rPr>
        <w:t> </w:t>
      </w:r>
      <w:r>
        <w:rPr>
          <w:sz w:val="20"/>
        </w:rPr>
        <w:t>asunto</w:t>
      </w:r>
      <w:r>
        <w:rPr>
          <w:spacing w:val="-8"/>
          <w:sz w:val="20"/>
        </w:rPr>
        <w:t> </w:t>
      </w:r>
      <w:r>
        <w:rPr>
          <w:sz w:val="20"/>
        </w:rPr>
        <w:t>es</w:t>
      </w:r>
      <w:r>
        <w:rPr>
          <w:spacing w:val="-7"/>
          <w:sz w:val="20"/>
        </w:rPr>
        <w:t> </w:t>
      </w:r>
      <w:r>
        <w:rPr>
          <w:sz w:val="20"/>
        </w:rPr>
        <w:t>la</w:t>
      </w:r>
      <w:r>
        <w:rPr>
          <w:spacing w:val="-8"/>
          <w:sz w:val="20"/>
        </w:rPr>
        <w:t> </w:t>
      </w:r>
      <w:r>
        <w:rPr>
          <w:sz w:val="20"/>
        </w:rPr>
        <w:t>consagración</w:t>
      </w:r>
      <w:r>
        <w:rPr>
          <w:spacing w:val="-8"/>
          <w:sz w:val="20"/>
        </w:rPr>
        <w:t> </w:t>
      </w:r>
      <w:r>
        <w:rPr>
          <w:sz w:val="20"/>
        </w:rPr>
        <w:t>internacional</w:t>
      </w:r>
      <w:r>
        <w:rPr>
          <w:spacing w:val="-8"/>
          <w:sz w:val="20"/>
        </w:rPr>
        <w:t> </w:t>
      </w:r>
      <w:r>
        <w:rPr>
          <w:sz w:val="20"/>
        </w:rPr>
        <w:t>de</w:t>
      </w:r>
      <w:r>
        <w:rPr>
          <w:spacing w:val="-8"/>
          <w:sz w:val="20"/>
        </w:rPr>
        <w:t> </w:t>
      </w:r>
      <w:r>
        <w:rPr>
          <w:sz w:val="20"/>
        </w:rPr>
        <w:t>éstos y otro, el instrumento internacional que se emplee para lograr que se restablezca su vigencia en las situaciones en que sean</w:t>
      </w:r>
      <w:r>
        <w:rPr>
          <w:spacing w:val="-11"/>
          <w:sz w:val="20"/>
        </w:rPr>
        <w:t> </w:t>
      </w:r>
      <w:r>
        <w:rPr>
          <w:sz w:val="20"/>
        </w:rPr>
        <w:t>violados.</w:t>
      </w:r>
    </w:p>
    <w:p>
      <w:pPr>
        <w:pStyle w:val="BodyText"/>
        <w:spacing w:before="11"/>
        <w:rPr>
          <w:sz w:val="19"/>
        </w:rPr>
      </w:pPr>
    </w:p>
    <w:p>
      <w:pPr>
        <w:pStyle w:val="ListParagraph"/>
        <w:numPr>
          <w:ilvl w:val="0"/>
          <w:numId w:val="46"/>
        </w:numPr>
        <w:tabs>
          <w:tab w:pos="1390" w:val="left" w:leader="none"/>
        </w:tabs>
        <w:spacing w:line="240" w:lineRule="auto" w:before="0" w:after="0"/>
        <w:ind w:left="681" w:right="116" w:firstLine="65"/>
        <w:jc w:val="both"/>
        <w:rPr>
          <w:sz w:val="20"/>
        </w:rPr>
      </w:pPr>
      <w:r>
        <w:rPr>
          <w:sz w:val="20"/>
        </w:rPr>
        <w:t>Teniendo presente todo lo expuesto precedentemente, lo que se planteará en este texto se dividirá en la interpretación del artículo 26, lo dispuesto en la Carta de la Organización de los Estados Americanos</w:t>
      </w:r>
      <w:r>
        <w:rPr>
          <w:position w:val="7"/>
          <w:sz w:val="13"/>
        </w:rPr>
        <w:t>12</w:t>
      </w:r>
      <w:r>
        <w:rPr>
          <w:sz w:val="20"/>
        </w:rPr>
        <w:t>, lo establecido en el </w:t>
      </w:r>
      <w:hyperlink r:id="rId37">
        <w:r>
          <w:rPr>
            <w:sz w:val="20"/>
          </w:rPr>
          <w:t>Protocolo Adicional a la</w:t>
        </w:r>
      </w:hyperlink>
      <w:r>
        <w:rPr>
          <w:sz w:val="20"/>
        </w:rPr>
        <w:t> </w:t>
      </w:r>
      <w:hyperlink r:id="rId37">
        <w:r>
          <w:rPr>
            <w:sz w:val="20"/>
          </w:rPr>
          <w:t>Convención Americana sobre Derechos Humanos en Materia de Derechos Económicos,</w:t>
        </w:r>
      </w:hyperlink>
      <w:r>
        <w:rPr>
          <w:sz w:val="20"/>
        </w:rPr>
        <w:t> </w:t>
      </w:r>
      <w:hyperlink r:id="rId37">
        <w:r>
          <w:rPr>
            <w:sz w:val="20"/>
          </w:rPr>
          <w:t>Sociales y Culturales – Protocolo de San Salvador</w:t>
        </w:r>
      </w:hyperlink>
      <w:r>
        <w:rPr>
          <w:sz w:val="20"/>
        </w:rPr>
        <w:t> y las</w:t>
      </w:r>
      <w:r>
        <w:rPr>
          <w:spacing w:val="-14"/>
          <w:sz w:val="20"/>
        </w:rPr>
        <w:t> </w:t>
      </w:r>
      <w:r>
        <w:rPr>
          <w:sz w:val="20"/>
        </w:rPr>
        <w:t>Conclusiones.</w:t>
      </w:r>
    </w:p>
    <w:p>
      <w:pPr>
        <w:pStyle w:val="BodyText"/>
        <w:spacing w:before="12"/>
        <w:rPr>
          <w:sz w:val="19"/>
        </w:rPr>
      </w:pPr>
    </w:p>
    <w:p>
      <w:pPr>
        <w:pStyle w:val="Heading3"/>
        <w:numPr>
          <w:ilvl w:val="0"/>
          <w:numId w:val="45"/>
        </w:numPr>
        <w:tabs>
          <w:tab w:pos="1685" w:val="left" w:leader="none"/>
          <w:tab w:pos="1686" w:val="left" w:leader="none"/>
        </w:tabs>
        <w:spacing w:line="240" w:lineRule="auto" w:before="0" w:after="0"/>
        <w:ind w:left="1685" w:right="0" w:hanging="721"/>
        <w:jc w:val="left"/>
      </w:pPr>
      <w:r>
        <w:rPr/>
        <w:t>INTERPRETACIÓN DEL ARTÍCULO</w:t>
      </w:r>
      <w:r>
        <w:rPr>
          <w:spacing w:val="-12"/>
        </w:rPr>
        <w:t> </w:t>
      </w:r>
      <w:r>
        <w:rPr/>
        <w:t>26.</w:t>
      </w:r>
    </w:p>
    <w:p>
      <w:pPr>
        <w:pStyle w:val="BodyText"/>
        <w:spacing w:before="11"/>
        <w:rPr>
          <w:b/>
          <w:sz w:val="19"/>
        </w:rPr>
      </w:pPr>
    </w:p>
    <w:p>
      <w:pPr>
        <w:pStyle w:val="ListParagraph"/>
        <w:numPr>
          <w:ilvl w:val="0"/>
          <w:numId w:val="46"/>
        </w:numPr>
        <w:tabs>
          <w:tab w:pos="1390" w:val="left" w:leader="none"/>
        </w:tabs>
        <w:spacing w:line="240" w:lineRule="auto" w:before="1" w:after="0"/>
        <w:ind w:left="681" w:right="117" w:firstLine="0"/>
        <w:jc w:val="both"/>
        <w:rPr>
          <w:sz w:val="20"/>
        </w:rPr>
      </w:pPr>
      <w:r>
        <w:rPr>
          <w:sz w:val="20"/>
        </w:rPr>
        <w:t>En vista de que la Convención es un tratado entre Estados y, por ende, regida por el Derechos Internacional Público</w:t>
      </w:r>
      <w:r>
        <w:rPr>
          <w:position w:val="7"/>
          <w:sz w:val="13"/>
        </w:rPr>
        <w:t>13</w:t>
      </w:r>
      <w:r>
        <w:rPr>
          <w:sz w:val="20"/>
        </w:rPr>
        <w:t>, las razones que sustentan este disenso se encuentran, principalmente, en la interpretación que, acorde a los métodos de interpretación de los tratados previstos en la Convención de Viena sobre el Derecho de los</w:t>
      </w:r>
      <w:r>
        <w:rPr>
          <w:spacing w:val="-14"/>
          <w:sz w:val="20"/>
        </w:rPr>
        <w:t> </w:t>
      </w:r>
      <w:r>
        <w:rPr>
          <w:sz w:val="20"/>
        </w:rPr>
        <w:t>Tratados</w:t>
      </w:r>
      <w:r>
        <w:rPr>
          <w:position w:val="7"/>
          <w:sz w:val="13"/>
        </w:rPr>
        <w:t>14</w:t>
      </w:r>
      <w:r>
        <w:rPr>
          <w:sz w:val="20"/>
        </w:rPr>
        <w:t>,</w:t>
      </w:r>
      <w:r>
        <w:rPr>
          <w:spacing w:val="-14"/>
          <w:sz w:val="20"/>
        </w:rPr>
        <w:t> </w:t>
      </w:r>
      <w:r>
        <w:rPr>
          <w:sz w:val="20"/>
        </w:rPr>
        <w:t>se</w:t>
      </w:r>
      <w:r>
        <w:rPr>
          <w:spacing w:val="-15"/>
          <w:sz w:val="20"/>
        </w:rPr>
        <w:t> </w:t>
      </w:r>
      <w:r>
        <w:rPr>
          <w:sz w:val="20"/>
        </w:rPr>
        <w:t>debe</w:t>
      </w:r>
      <w:r>
        <w:rPr>
          <w:spacing w:val="-15"/>
          <w:sz w:val="20"/>
        </w:rPr>
        <w:t> </w:t>
      </w:r>
      <w:r>
        <w:rPr>
          <w:sz w:val="20"/>
        </w:rPr>
        <w:t>hacer</w:t>
      </w:r>
      <w:r>
        <w:rPr>
          <w:spacing w:val="-14"/>
          <w:sz w:val="20"/>
        </w:rPr>
        <w:t> </w:t>
      </w:r>
      <w:r>
        <w:rPr>
          <w:sz w:val="20"/>
        </w:rPr>
        <w:t>del</w:t>
      </w:r>
      <w:r>
        <w:rPr>
          <w:spacing w:val="-14"/>
          <w:sz w:val="20"/>
        </w:rPr>
        <w:t> </w:t>
      </w:r>
      <w:r>
        <w:rPr>
          <w:sz w:val="20"/>
        </w:rPr>
        <w:t>artículo</w:t>
      </w:r>
      <w:r>
        <w:rPr>
          <w:spacing w:val="-14"/>
          <w:sz w:val="20"/>
        </w:rPr>
        <w:t> </w:t>
      </w:r>
      <w:r>
        <w:rPr>
          <w:sz w:val="20"/>
        </w:rPr>
        <w:t>26.</w:t>
      </w:r>
      <w:r>
        <w:rPr>
          <w:spacing w:val="-15"/>
          <w:sz w:val="20"/>
        </w:rPr>
        <w:t> </w:t>
      </w:r>
      <w:r>
        <w:rPr>
          <w:sz w:val="20"/>
        </w:rPr>
        <w:t>Dichos</w:t>
      </w:r>
      <w:r>
        <w:rPr>
          <w:spacing w:val="-14"/>
          <w:sz w:val="20"/>
        </w:rPr>
        <w:t> </w:t>
      </w:r>
      <w:r>
        <w:rPr>
          <w:sz w:val="20"/>
        </w:rPr>
        <w:t>métodos</w:t>
      </w:r>
      <w:r>
        <w:rPr>
          <w:spacing w:val="-15"/>
          <w:sz w:val="20"/>
        </w:rPr>
        <w:t> </w:t>
      </w:r>
      <w:r>
        <w:rPr>
          <w:sz w:val="20"/>
        </w:rPr>
        <w:t>dicen</w:t>
      </w:r>
      <w:r>
        <w:rPr>
          <w:spacing w:val="-14"/>
          <w:sz w:val="20"/>
        </w:rPr>
        <w:t> </w:t>
      </w:r>
      <w:r>
        <w:rPr>
          <w:sz w:val="20"/>
        </w:rPr>
        <w:t>relación</w:t>
      </w:r>
      <w:r>
        <w:rPr>
          <w:spacing w:val="-14"/>
          <w:sz w:val="20"/>
        </w:rPr>
        <w:t> </w:t>
      </w:r>
      <w:r>
        <w:rPr>
          <w:sz w:val="20"/>
        </w:rPr>
        <w:t>con</w:t>
      </w:r>
      <w:r>
        <w:rPr>
          <w:spacing w:val="-15"/>
          <w:sz w:val="20"/>
        </w:rPr>
        <w:t> </w:t>
      </w:r>
      <w:r>
        <w:rPr>
          <w:sz w:val="20"/>
        </w:rPr>
        <w:t>la</w:t>
      </w:r>
      <w:r>
        <w:rPr>
          <w:spacing w:val="-16"/>
          <w:sz w:val="20"/>
        </w:rPr>
        <w:t> </w:t>
      </w:r>
      <w:r>
        <w:rPr>
          <w:sz w:val="20"/>
        </w:rPr>
        <w:t>buena fe, el tenor literal de los términos del tratado, el contexto de ellos y el objeto y fin de aquél</w:t>
      </w:r>
      <w:r>
        <w:rPr>
          <w:position w:val="7"/>
          <w:sz w:val="13"/>
        </w:rPr>
        <w:t>15</w:t>
      </w:r>
      <w:r>
        <w:rPr>
          <w:sz w:val="20"/>
        </w:rPr>
        <w:t>.</w:t>
      </w:r>
    </w:p>
    <w:p>
      <w:pPr>
        <w:pStyle w:val="BodyText"/>
        <w:spacing w:before="9"/>
        <w:rPr>
          <w:sz w:val="18"/>
        </w:rPr>
      </w:pPr>
      <w:r>
        <w:rPr/>
        <w:pict>
          <v:line style="position:absolute;mso-position-horizontal-relative:page;mso-position-vertical-relative:paragraph;z-index:3880;mso-wrap-distance-left:0;mso-wrap-distance-right:0" from="56.700001pt,13.744112pt" to="200.720001pt,13.744112pt" stroked="true" strokeweight=".72003pt" strokecolor="#000000">
            <v:stroke dashstyle="solid"/>
            <w10:wrap type="topAndBottom"/>
          </v:line>
        </w:pict>
      </w:r>
    </w:p>
    <w:p>
      <w:pPr>
        <w:spacing w:before="70"/>
        <w:ind w:left="681" w:right="0" w:firstLine="0"/>
        <w:jc w:val="both"/>
        <w:rPr>
          <w:i/>
          <w:sz w:val="16"/>
        </w:rPr>
      </w:pPr>
      <w:r>
        <w:rPr>
          <w:i/>
          <w:sz w:val="16"/>
        </w:rPr>
        <w:t>ses protocoles, et que, ce faisant, elles jouissent d’une marge d’appréciation, sous le contrôle de la Cour</w:t>
      </w:r>
    </w:p>
    <w:p>
      <w:pPr>
        <w:spacing w:before="0"/>
        <w:ind w:left="681" w:right="0" w:firstLine="0"/>
        <w:jc w:val="both"/>
        <w:rPr>
          <w:i/>
          <w:sz w:val="16"/>
        </w:rPr>
      </w:pPr>
      <w:r>
        <w:rPr>
          <w:i/>
          <w:sz w:val="16"/>
        </w:rPr>
        <w:t>européenne des Droits de l’Homme instituée par la présente Convention.”</w:t>
      </w:r>
    </w:p>
    <w:p>
      <w:pPr>
        <w:spacing w:before="0"/>
        <w:ind w:left="681" w:right="0" w:firstLine="0"/>
        <w:jc w:val="both"/>
        <w:rPr>
          <w:sz w:val="16"/>
        </w:rPr>
      </w:pPr>
      <w:r>
        <w:rPr>
          <w:position w:val="6"/>
          <w:sz w:val="10"/>
        </w:rPr>
        <w:t>12  </w:t>
      </w:r>
      <w:r>
        <w:rPr>
          <w:sz w:val="16"/>
        </w:rPr>
        <w:t>En adelante, la OEA.</w:t>
      </w:r>
    </w:p>
    <w:p>
      <w:pPr>
        <w:pStyle w:val="BodyText"/>
        <w:spacing w:before="11"/>
        <w:rPr>
          <w:sz w:val="15"/>
        </w:rPr>
      </w:pPr>
    </w:p>
    <w:p>
      <w:pPr>
        <w:spacing w:before="1"/>
        <w:ind w:left="681" w:right="120" w:firstLine="0"/>
        <w:jc w:val="both"/>
        <w:rPr>
          <w:i/>
          <w:sz w:val="16"/>
        </w:rPr>
      </w:pPr>
      <w:r>
        <w:rPr>
          <w:position w:val="6"/>
          <w:sz w:val="10"/>
        </w:rPr>
        <w:t>13 </w:t>
      </w:r>
      <w:r>
        <w:rPr>
          <w:sz w:val="16"/>
        </w:rPr>
        <w:t>Art. 2 de la Convención de Viena sobre el Derechos de los Tratados: “</w:t>
      </w:r>
      <w:r>
        <w:rPr>
          <w:i/>
          <w:sz w:val="16"/>
        </w:rPr>
        <w:t>Términos empleados. 1. Para los </w:t>
      </w:r>
      <w:r>
        <w:rPr>
          <w:i/>
          <w:sz w:val="16"/>
        </w:rPr>
        <w:t>efectos</w:t>
      </w:r>
      <w:r>
        <w:rPr>
          <w:i/>
          <w:spacing w:val="-14"/>
          <w:sz w:val="16"/>
        </w:rPr>
        <w:t> </w:t>
      </w:r>
      <w:r>
        <w:rPr>
          <w:i/>
          <w:sz w:val="16"/>
        </w:rPr>
        <w:t>de</w:t>
      </w:r>
      <w:r>
        <w:rPr>
          <w:i/>
          <w:spacing w:val="-13"/>
          <w:sz w:val="16"/>
        </w:rPr>
        <w:t> </w:t>
      </w:r>
      <w:r>
        <w:rPr>
          <w:i/>
          <w:sz w:val="16"/>
        </w:rPr>
        <w:t>la</w:t>
      </w:r>
      <w:r>
        <w:rPr>
          <w:i/>
          <w:spacing w:val="-13"/>
          <w:sz w:val="16"/>
        </w:rPr>
        <w:t> </w:t>
      </w:r>
      <w:r>
        <w:rPr>
          <w:i/>
          <w:sz w:val="16"/>
        </w:rPr>
        <w:t>presente</w:t>
      </w:r>
      <w:r>
        <w:rPr>
          <w:i/>
          <w:spacing w:val="-13"/>
          <w:sz w:val="16"/>
        </w:rPr>
        <w:t> </w:t>
      </w:r>
      <w:r>
        <w:rPr>
          <w:i/>
          <w:sz w:val="16"/>
        </w:rPr>
        <w:t>Convención:</w:t>
      </w:r>
      <w:r>
        <w:rPr>
          <w:i/>
          <w:spacing w:val="31"/>
          <w:sz w:val="16"/>
        </w:rPr>
        <w:t> </w:t>
      </w:r>
      <w:r>
        <w:rPr>
          <w:i/>
          <w:sz w:val="16"/>
        </w:rPr>
        <w:t>a)</w:t>
      </w:r>
      <w:r>
        <w:rPr>
          <w:i/>
          <w:spacing w:val="-12"/>
          <w:sz w:val="16"/>
        </w:rPr>
        <w:t> </w:t>
      </w:r>
      <w:r>
        <w:rPr>
          <w:i/>
          <w:sz w:val="16"/>
        </w:rPr>
        <w:t>se</w:t>
      </w:r>
      <w:r>
        <w:rPr>
          <w:i/>
          <w:spacing w:val="-13"/>
          <w:sz w:val="16"/>
        </w:rPr>
        <w:t> </w:t>
      </w:r>
      <w:r>
        <w:rPr>
          <w:i/>
          <w:sz w:val="16"/>
        </w:rPr>
        <w:t>entiende</w:t>
      </w:r>
      <w:r>
        <w:rPr>
          <w:i/>
          <w:spacing w:val="-13"/>
          <w:sz w:val="16"/>
        </w:rPr>
        <w:t> </w:t>
      </w:r>
      <w:r>
        <w:rPr>
          <w:i/>
          <w:sz w:val="16"/>
        </w:rPr>
        <w:t>por</w:t>
      </w:r>
      <w:r>
        <w:rPr>
          <w:i/>
          <w:spacing w:val="-13"/>
          <w:sz w:val="16"/>
        </w:rPr>
        <w:t> </w:t>
      </w:r>
      <w:r>
        <w:rPr>
          <w:i/>
          <w:sz w:val="16"/>
        </w:rPr>
        <w:t>"tratado"</w:t>
      </w:r>
      <w:r>
        <w:rPr>
          <w:i/>
          <w:spacing w:val="-13"/>
          <w:sz w:val="16"/>
        </w:rPr>
        <w:t> </w:t>
      </w:r>
      <w:r>
        <w:rPr>
          <w:i/>
          <w:sz w:val="16"/>
        </w:rPr>
        <w:t>un</w:t>
      </w:r>
      <w:r>
        <w:rPr>
          <w:i/>
          <w:spacing w:val="-12"/>
          <w:sz w:val="16"/>
        </w:rPr>
        <w:t> </w:t>
      </w:r>
      <w:r>
        <w:rPr>
          <w:i/>
          <w:sz w:val="16"/>
        </w:rPr>
        <w:t>acuerdo</w:t>
      </w:r>
      <w:r>
        <w:rPr>
          <w:i/>
          <w:spacing w:val="-13"/>
          <w:sz w:val="16"/>
        </w:rPr>
        <w:t> </w:t>
      </w:r>
      <w:r>
        <w:rPr>
          <w:i/>
          <w:sz w:val="16"/>
        </w:rPr>
        <w:t>internacional</w:t>
      </w:r>
      <w:r>
        <w:rPr>
          <w:i/>
          <w:spacing w:val="-12"/>
          <w:sz w:val="16"/>
        </w:rPr>
        <w:t> </w:t>
      </w:r>
      <w:r>
        <w:rPr>
          <w:i/>
          <w:sz w:val="16"/>
        </w:rPr>
        <w:t>celebrado</w:t>
      </w:r>
      <w:r>
        <w:rPr>
          <w:i/>
          <w:spacing w:val="-13"/>
          <w:sz w:val="16"/>
        </w:rPr>
        <w:t> </w:t>
      </w:r>
      <w:r>
        <w:rPr>
          <w:i/>
          <w:sz w:val="16"/>
        </w:rPr>
        <w:t>por</w:t>
      </w:r>
      <w:r>
        <w:rPr>
          <w:i/>
          <w:spacing w:val="-12"/>
          <w:sz w:val="16"/>
        </w:rPr>
        <w:t> </w:t>
      </w:r>
      <w:r>
        <w:rPr>
          <w:i/>
          <w:sz w:val="16"/>
        </w:rPr>
        <w:t>escrito entre Estados y regido por el derecho internacional, ya conste en un instrumento único o en dos o más instrumentos conexos y cualquiera que sea su denominación</w:t>
      </w:r>
      <w:r>
        <w:rPr>
          <w:i/>
          <w:spacing w:val="-23"/>
          <w:sz w:val="16"/>
        </w:rPr>
        <w:t> </w:t>
      </w:r>
      <w:r>
        <w:rPr>
          <w:i/>
          <w:sz w:val="16"/>
        </w:rPr>
        <w:t>particular;”</w:t>
      </w:r>
    </w:p>
    <w:p>
      <w:pPr>
        <w:pStyle w:val="BodyText"/>
        <w:rPr>
          <w:i/>
          <w:sz w:val="16"/>
        </w:rPr>
      </w:pPr>
    </w:p>
    <w:p>
      <w:pPr>
        <w:spacing w:before="0"/>
        <w:ind w:left="681" w:right="0" w:firstLine="0"/>
        <w:jc w:val="both"/>
        <w:rPr>
          <w:sz w:val="16"/>
        </w:rPr>
      </w:pPr>
      <w:r>
        <w:rPr>
          <w:position w:val="6"/>
          <w:sz w:val="10"/>
        </w:rPr>
        <w:t>14  </w:t>
      </w:r>
      <w:r>
        <w:rPr>
          <w:sz w:val="16"/>
        </w:rPr>
        <w:t>En adelante, la Convención de Viena.</w:t>
      </w:r>
    </w:p>
    <w:p>
      <w:pPr>
        <w:pStyle w:val="BodyText"/>
        <w:spacing w:before="11"/>
        <w:rPr>
          <w:sz w:val="15"/>
        </w:rPr>
      </w:pPr>
    </w:p>
    <w:p>
      <w:pPr>
        <w:spacing w:before="1"/>
        <w:ind w:left="681" w:right="0" w:firstLine="0"/>
        <w:jc w:val="both"/>
        <w:rPr>
          <w:i/>
          <w:sz w:val="16"/>
        </w:rPr>
      </w:pPr>
      <w:r>
        <w:rPr>
          <w:position w:val="6"/>
          <w:sz w:val="10"/>
        </w:rPr>
        <w:t>15  </w:t>
      </w:r>
      <w:r>
        <w:rPr>
          <w:sz w:val="16"/>
        </w:rPr>
        <w:t>Art.31: “</w:t>
      </w:r>
      <w:r>
        <w:rPr>
          <w:i/>
          <w:sz w:val="16"/>
        </w:rPr>
        <w:t>Regla general de interpretación.</w:t>
      </w:r>
    </w:p>
    <w:p>
      <w:pPr>
        <w:pStyle w:val="ListParagraph"/>
        <w:numPr>
          <w:ilvl w:val="0"/>
          <w:numId w:val="47"/>
        </w:numPr>
        <w:tabs>
          <w:tab w:pos="885" w:val="left" w:leader="none"/>
        </w:tabs>
        <w:spacing w:line="240" w:lineRule="auto" w:before="0" w:after="0"/>
        <w:ind w:left="681" w:right="123" w:firstLine="0"/>
        <w:jc w:val="left"/>
        <w:rPr>
          <w:i/>
          <w:sz w:val="16"/>
        </w:rPr>
      </w:pPr>
      <w:r>
        <w:rPr>
          <w:i/>
          <w:sz w:val="16"/>
        </w:rPr>
        <w:t>Un tratado deberá interpretarse de buena fe conforme al sentido corriente que haya de atribuirse a los </w:t>
      </w:r>
      <w:r>
        <w:rPr>
          <w:i/>
          <w:sz w:val="16"/>
        </w:rPr>
        <w:t>términos del tratado en el contexto de estos y teniendo en cuenta su objeto y</w:t>
      </w:r>
      <w:r>
        <w:rPr>
          <w:i/>
          <w:spacing w:val="-22"/>
          <w:sz w:val="16"/>
        </w:rPr>
        <w:t> </w:t>
      </w:r>
      <w:r>
        <w:rPr>
          <w:i/>
          <w:sz w:val="16"/>
        </w:rPr>
        <w:t>fin.</w:t>
      </w:r>
    </w:p>
    <w:p>
      <w:pPr>
        <w:spacing w:before="0"/>
        <w:ind w:left="681" w:right="99" w:firstLine="0"/>
        <w:jc w:val="left"/>
        <w:rPr>
          <w:i/>
          <w:sz w:val="16"/>
        </w:rPr>
      </w:pPr>
      <w:r>
        <w:rPr>
          <w:i/>
          <w:sz w:val="16"/>
        </w:rPr>
        <w:t>2. Para los efectos de la interpretación de un tratado. el contexto comprenderá, además del texto, incluidos </w:t>
      </w:r>
      <w:r>
        <w:rPr>
          <w:i/>
          <w:sz w:val="16"/>
        </w:rPr>
        <w:t>su preámbulo y anexos:</w:t>
      </w:r>
    </w:p>
    <w:p>
      <w:pPr>
        <w:pStyle w:val="ListParagraph"/>
        <w:numPr>
          <w:ilvl w:val="0"/>
          <w:numId w:val="48"/>
        </w:numPr>
        <w:tabs>
          <w:tab w:pos="929" w:val="left" w:leader="none"/>
        </w:tabs>
        <w:spacing w:line="240" w:lineRule="auto" w:before="0" w:after="0"/>
        <w:ind w:left="681" w:right="123" w:firstLine="0"/>
        <w:jc w:val="left"/>
        <w:rPr>
          <w:i/>
          <w:sz w:val="16"/>
        </w:rPr>
      </w:pPr>
      <w:r>
        <w:rPr>
          <w:i/>
          <w:sz w:val="16"/>
        </w:rPr>
        <w:t>todo acuerdo que se refiera al tratado y haya sido concertado entre todas las partes con motivo de la </w:t>
      </w:r>
      <w:r>
        <w:rPr>
          <w:i/>
          <w:sz w:val="16"/>
        </w:rPr>
        <w:t>celebración del</w:t>
      </w:r>
      <w:r>
        <w:rPr>
          <w:i/>
          <w:spacing w:val="-6"/>
          <w:sz w:val="16"/>
        </w:rPr>
        <w:t> </w:t>
      </w:r>
      <w:r>
        <w:rPr>
          <w:i/>
          <w:sz w:val="16"/>
        </w:rPr>
        <w:t>tratado:</w:t>
      </w:r>
    </w:p>
    <w:p>
      <w:pPr>
        <w:spacing w:after="0" w:line="240" w:lineRule="auto"/>
        <w:jc w:val="left"/>
        <w:rPr>
          <w:sz w:val="16"/>
        </w:rPr>
        <w:sectPr>
          <w:pgSz w:w="12240" w:h="15840"/>
          <w:pgMar w:header="0" w:footer="1000" w:top="1460" w:bottom="1200" w:left="1020" w:right="1580"/>
        </w:sectPr>
      </w:pPr>
    </w:p>
    <w:p>
      <w:pPr>
        <w:pStyle w:val="ListParagraph"/>
        <w:numPr>
          <w:ilvl w:val="0"/>
          <w:numId w:val="49"/>
        </w:numPr>
        <w:tabs>
          <w:tab w:pos="1390" w:val="left" w:leader="none"/>
        </w:tabs>
        <w:spacing w:line="240" w:lineRule="auto" w:before="87" w:after="0"/>
        <w:ind w:left="681" w:right="119" w:firstLine="0"/>
        <w:jc w:val="both"/>
        <w:rPr>
          <w:sz w:val="20"/>
        </w:rPr>
      </w:pPr>
      <w:r>
        <w:rPr>
          <w:sz w:val="20"/>
        </w:rPr>
        <w:t>De lo que se trata, entonces, es interpretar, según esos métodos, el artículo 26, el que</w:t>
      </w:r>
      <w:r>
        <w:rPr>
          <w:spacing w:val="-3"/>
          <w:sz w:val="20"/>
        </w:rPr>
        <w:t> </w:t>
      </w:r>
      <w:r>
        <w:rPr>
          <w:sz w:val="20"/>
        </w:rPr>
        <w:t>establece:</w:t>
      </w:r>
    </w:p>
    <w:p>
      <w:pPr>
        <w:pStyle w:val="BodyText"/>
      </w:pPr>
    </w:p>
    <w:p>
      <w:pPr>
        <w:spacing w:before="0"/>
        <w:ind w:left="1532" w:right="118" w:firstLine="0"/>
        <w:jc w:val="both"/>
        <w:rPr>
          <w:i/>
          <w:sz w:val="18"/>
        </w:rPr>
      </w:pPr>
      <w:r>
        <w:rPr>
          <w:i/>
          <w:sz w:val="18"/>
        </w:rPr>
        <w:t>“Desarrollo Progresivo. Los Estados Partes se comprometen a adoptar providencias, </w:t>
      </w:r>
      <w:r>
        <w:rPr>
          <w:i/>
          <w:sz w:val="18"/>
        </w:rPr>
        <w:t>tanto a nivel interno como mediante la cooperación internacional, especialmente económica y técnica, para lograr progresivamente la plena efectividad de los derechos que se derivan de las normas económicas, sociales y sobre educación, ciencia y</w:t>
      </w:r>
      <w:r>
        <w:rPr>
          <w:i/>
          <w:spacing w:val="-16"/>
          <w:sz w:val="18"/>
        </w:rPr>
        <w:t> </w:t>
      </w:r>
      <w:r>
        <w:rPr>
          <w:i/>
          <w:sz w:val="18"/>
        </w:rPr>
        <w:t>cultura, contenidas en la Carta de la Organización de los Estados Americanos, reformada por el Protocolo</w:t>
      </w:r>
      <w:r>
        <w:rPr>
          <w:i/>
          <w:spacing w:val="-6"/>
          <w:sz w:val="18"/>
        </w:rPr>
        <w:t> </w:t>
      </w:r>
      <w:r>
        <w:rPr>
          <w:i/>
          <w:sz w:val="18"/>
        </w:rPr>
        <w:t>de</w:t>
      </w:r>
      <w:r>
        <w:rPr>
          <w:i/>
          <w:spacing w:val="-6"/>
          <w:sz w:val="18"/>
        </w:rPr>
        <w:t> </w:t>
      </w:r>
      <w:r>
        <w:rPr>
          <w:i/>
          <w:sz w:val="18"/>
        </w:rPr>
        <w:t>Buenos</w:t>
      </w:r>
      <w:r>
        <w:rPr>
          <w:i/>
          <w:spacing w:val="-8"/>
          <w:sz w:val="18"/>
        </w:rPr>
        <w:t> </w:t>
      </w:r>
      <w:r>
        <w:rPr>
          <w:i/>
          <w:sz w:val="18"/>
        </w:rPr>
        <w:t>Aires,</w:t>
      </w:r>
      <w:r>
        <w:rPr>
          <w:i/>
          <w:spacing w:val="-6"/>
          <w:sz w:val="18"/>
        </w:rPr>
        <w:t> </w:t>
      </w:r>
      <w:r>
        <w:rPr>
          <w:i/>
          <w:sz w:val="18"/>
        </w:rPr>
        <w:t>en</w:t>
      </w:r>
      <w:r>
        <w:rPr>
          <w:i/>
          <w:spacing w:val="-7"/>
          <w:sz w:val="18"/>
        </w:rPr>
        <w:t> </w:t>
      </w:r>
      <w:r>
        <w:rPr>
          <w:i/>
          <w:sz w:val="18"/>
        </w:rPr>
        <w:t>la</w:t>
      </w:r>
      <w:r>
        <w:rPr>
          <w:i/>
          <w:spacing w:val="-7"/>
          <w:sz w:val="18"/>
        </w:rPr>
        <w:t> </w:t>
      </w:r>
      <w:r>
        <w:rPr>
          <w:i/>
          <w:sz w:val="18"/>
        </w:rPr>
        <w:t>medida</w:t>
      </w:r>
      <w:r>
        <w:rPr>
          <w:i/>
          <w:spacing w:val="-7"/>
          <w:sz w:val="18"/>
        </w:rPr>
        <w:t> </w:t>
      </w:r>
      <w:r>
        <w:rPr>
          <w:i/>
          <w:sz w:val="18"/>
        </w:rPr>
        <w:t>de</w:t>
      </w:r>
      <w:r>
        <w:rPr>
          <w:i/>
          <w:spacing w:val="-7"/>
          <w:sz w:val="18"/>
        </w:rPr>
        <w:t> </w:t>
      </w:r>
      <w:r>
        <w:rPr>
          <w:i/>
          <w:sz w:val="18"/>
        </w:rPr>
        <w:t>los</w:t>
      </w:r>
      <w:r>
        <w:rPr>
          <w:i/>
          <w:spacing w:val="-7"/>
          <w:sz w:val="18"/>
        </w:rPr>
        <w:t> </w:t>
      </w:r>
      <w:r>
        <w:rPr>
          <w:i/>
          <w:sz w:val="18"/>
        </w:rPr>
        <w:t>recursos</w:t>
      </w:r>
      <w:r>
        <w:rPr>
          <w:i/>
          <w:spacing w:val="-7"/>
          <w:sz w:val="18"/>
        </w:rPr>
        <w:t> </w:t>
      </w:r>
      <w:r>
        <w:rPr>
          <w:i/>
          <w:sz w:val="18"/>
        </w:rPr>
        <w:t>disponibles,</w:t>
      </w:r>
      <w:r>
        <w:rPr>
          <w:i/>
          <w:spacing w:val="-6"/>
          <w:sz w:val="18"/>
        </w:rPr>
        <w:t> </w:t>
      </w:r>
      <w:r>
        <w:rPr>
          <w:i/>
          <w:sz w:val="18"/>
        </w:rPr>
        <w:t>por</w:t>
      </w:r>
      <w:r>
        <w:rPr>
          <w:i/>
          <w:spacing w:val="-7"/>
          <w:sz w:val="18"/>
        </w:rPr>
        <w:t> </w:t>
      </w:r>
      <w:r>
        <w:rPr>
          <w:i/>
          <w:sz w:val="18"/>
        </w:rPr>
        <w:t>vía</w:t>
      </w:r>
      <w:r>
        <w:rPr>
          <w:i/>
          <w:spacing w:val="-7"/>
          <w:sz w:val="18"/>
        </w:rPr>
        <w:t> </w:t>
      </w:r>
      <w:r>
        <w:rPr>
          <w:i/>
          <w:sz w:val="18"/>
        </w:rPr>
        <w:t>legislativa</w:t>
      </w:r>
      <w:r>
        <w:rPr>
          <w:i/>
          <w:spacing w:val="-4"/>
          <w:sz w:val="18"/>
        </w:rPr>
        <w:t> </w:t>
      </w:r>
      <w:r>
        <w:rPr>
          <w:i/>
          <w:sz w:val="18"/>
        </w:rPr>
        <w:t>u otros medios</w:t>
      </w:r>
      <w:r>
        <w:rPr>
          <w:i/>
          <w:spacing w:val="-9"/>
          <w:sz w:val="18"/>
        </w:rPr>
        <w:t> </w:t>
      </w:r>
      <w:r>
        <w:rPr>
          <w:i/>
          <w:sz w:val="18"/>
        </w:rPr>
        <w:t>apropiados.”</w:t>
      </w:r>
    </w:p>
    <w:p>
      <w:pPr>
        <w:pStyle w:val="BodyText"/>
        <w:spacing w:before="10"/>
        <w:rPr>
          <w:i/>
          <w:sz w:val="19"/>
        </w:rPr>
      </w:pPr>
    </w:p>
    <w:p>
      <w:pPr>
        <w:pStyle w:val="Heading3"/>
        <w:numPr>
          <w:ilvl w:val="1"/>
          <w:numId w:val="49"/>
        </w:numPr>
        <w:tabs>
          <w:tab w:pos="1610" w:val="left" w:leader="none"/>
        </w:tabs>
        <w:spacing w:line="240" w:lineRule="auto" w:before="1" w:after="0"/>
        <w:ind w:left="1609" w:right="0" w:hanging="360"/>
        <w:jc w:val="left"/>
      </w:pPr>
      <w:r>
        <w:rPr/>
        <w:t>Buena</w:t>
      </w:r>
      <w:r>
        <w:rPr>
          <w:spacing w:val="-3"/>
        </w:rPr>
        <w:t> </w:t>
      </w:r>
      <w:r>
        <w:rPr/>
        <w:t>fe.</w:t>
      </w:r>
    </w:p>
    <w:p>
      <w:pPr>
        <w:pStyle w:val="BodyText"/>
        <w:spacing w:before="12"/>
        <w:rPr>
          <w:b/>
          <w:sz w:val="19"/>
        </w:rPr>
      </w:pPr>
    </w:p>
    <w:p>
      <w:pPr>
        <w:pStyle w:val="ListParagraph"/>
        <w:numPr>
          <w:ilvl w:val="0"/>
          <w:numId w:val="49"/>
        </w:numPr>
        <w:tabs>
          <w:tab w:pos="1390" w:val="left" w:leader="none"/>
        </w:tabs>
        <w:spacing w:line="240" w:lineRule="auto" w:before="0" w:after="0"/>
        <w:ind w:left="681" w:right="116" w:firstLine="0"/>
        <w:jc w:val="both"/>
        <w:rPr>
          <w:sz w:val="20"/>
        </w:rPr>
      </w:pPr>
      <w:r>
        <w:rPr>
          <w:sz w:val="20"/>
        </w:rPr>
        <w:t>El</w:t>
      </w:r>
      <w:r>
        <w:rPr>
          <w:spacing w:val="-15"/>
          <w:sz w:val="20"/>
        </w:rPr>
        <w:t> </w:t>
      </w:r>
      <w:r>
        <w:rPr>
          <w:sz w:val="20"/>
        </w:rPr>
        <w:t>método</w:t>
      </w:r>
      <w:r>
        <w:rPr>
          <w:spacing w:val="-16"/>
          <w:sz w:val="20"/>
        </w:rPr>
        <w:t> </w:t>
      </w:r>
      <w:r>
        <w:rPr>
          <w:sz w:val="20"/>
        </w:rPr>
        <w:t>sustentado</w:t>
      </w:r>
      <w:r>
        <w:rPr>
          <w:spacing w:val="-17"/>
          <w:sz w:val="20"/>
        </w:rPr>
        <w:t> </w:t>
      </w:r>
      <w:r>
        <w:rPr>
          <w:sz w:val="20"/>
        </w:rPr>
        <w:t>en</w:t>
      </w:r>
      <w:r>
        <w:rPr>
          <w:spacing w:val="-15"/>
          <w:sz w:val="20"/>
        </w:rPr>
        <w:t> </w:t>
      </w:r>
      <w:r>
        <w:rPr>
          <w:sz w:val="20"/>
        </w:rPr>
        <w:t>la</w:t>
      </w:r>
      <w:r>
        <w:rPr>
          <w:spacing w:val="-16"/>
          <w:sz w:val="20"/>
        </w:rPr>
        <w:t> </w:t>
      </w:r>
      <w:r>
        <w:rPr>
          <w:sz w:val="20"/>
        </w:rPr>
        <w:t>buena</w:t>
      </w:r>
      <w:r>
        <w:rPr>
          <w:spacing w:val="-15"/>
          <w:sz w:val="20"/>
        </w:rPr>
        <w:t> </w:t>
      </w:r>
      <w:r>
        <w:rPr>
          <w:sz w:val="20"/>
        </w:rPr>
        <w:t>fe</w:t>
      </w:r>
      <w:r>
        <w:rPr>
          <w:spacing w:val="-15"/>
          <w:sz w:val="20"/>
        </w:rPr>
        <w:t> </w:t>
      </w:r>
      <w:r>
        <w:rPr>
          <w:sz w:val="20"/>
        </w:rPr>
        <w:t>implica</w:t>
      </w:r>
      <w:r>
        <w:rPr>
          <w:spacing w:val="-14"/>
          <w:sz w:val="20"/>
        </w:rPr>
        <w:t> </w:t>
      </w:r>
      <w:r>
        <w:rPr>
          <w:sz w:val="20"/>
        </w:rPr>
        <w:t>que</w:t>
      </w:r>
      <w:r>
        <w:rPr>
          <w:spacing w:val="-15"/>
          <w:sz w:val="20"/>
        </w:rPr>
        <w:t> </w:t>
      </w:r>
      <w:r>
        <w:rPr>
          <w:sz w:val="20"/>
        </w:rPr>
        <w:t>lo</w:t>
      </w:r>
      <w:r>
        <w:rPr>
          <w:spacing w:val="-16"/>
          <w:sz w:val="20"/>
        </w:rPr>
        <w:t> </w:t>
      </w:r>
      <w:r>
        <w:rPr>
          <w:sz w:val="20"/>
        </w:rPr>
        <w:t>pactado</w:t>
      </w:r>
      <w:r>
        <w:rPr>
          <w:spacing w:val="-16"/>
          <w:sz w:val="20"/>
        </w:rPr>
        <w:t> </w:t>
      </w:r>
      <w:r>
        <w:rPr>
          <w:sz w:val="20"/>
        </w:rPr>
        <w:t>por</w:t>
      </w:r>
      <w:r>
        <w:rPr>
          <w:spacing w:val="-16"/>
          <w:sz w:val="20"/>
        </w:rPr>
        <w:t> </w:t>
      </w:r>
      <w:r>
        <w:rPr>
          <w:sz w:val="20"/>
        </w:rPr>
        <w:t>los</w:t>
      </w:r>
      <w:r>
        <w:rPr>
          <w:spacing w:val="-16"/>
          <w:sz w:val="20"/>
        </w:rPr>
        <w:t> </w:t>
      </w:r>
      <w:r>
        <w:rPr>
          <w:sz w:val="20"/>
        </w:rPr>
        <w:t>Estados</w:t>
      </w:r>
      <w:r>
        <w:rPr>
          <w:spacing w:val="-16"/>
          <w:sz w:val="20"/>
        </w:rPr>
        <w:t> </w:t>
      </w:r>
      <w:r>
        <w:rPr>
          <w:sz w:val="20"/>
        </w:rPr>
        <w:t>Partes del</w:t>
      </w:r>
      <w:r>
        <w:rPr>
          <w:spacing w:val="-9"/>
          <w:sz w:val="20"/>
        </w:rPr>
        <w:t> </w:t>
      </w:r>
      <w:r>
        <w:rPr>
          <w:sz w:val="20"/>
        </w:rPr>
        <w:t>tratado</w:t>
      </w:r>
      <w:r>
        <w:rPr>
          <w:spacing w:val="-10"/>
          <w:sz w:val="20"/>
        </w:rPr>
        <w:t> </w:t>
      </w:r>
      <w:r>
        <w:rPr>
          <w:sz w:val="20"/>
        </w:rPr>
        <w:t>de</w:t>
      </w:r>
      <w:r>
        <w:rPr>
          <w:spacing w:val="-8"/>
          <w:sz w:val="20"/>
        </w:rPr>
        <w:t> </w:t>
      </w:r>
      <w:r>
        <w:rPr>
          <w:sz w:val="20"/>
        </w:rPr>
        <w:t>que</w:t>
      </w:r>
      <w:r>
        <w:rPr>
          <w:spacing w:val="-8"/>
          <w:sz w:val="20"/>
        </w:rPr>
        <w:t> </w:t>
      </w:r>
      <w:r>
        <w:rPr>
          <w:sz w:val="20"/>
        </w:rPr>
        <w:t>se</w:t>
      </w:r>
      <w:r>
        <w:rPr>
          <w:spacing w:val="-9"/>
          <w:sz w:val="20"/>
        </w:rPr>
        <w:t> </w:t>
      </w:r>
      <w:r>
        <w:rPr>
          <w:sz w:val="20"/>
        </w:rPr>
        <w:t>trate</w:t>
      </w:r>
      <w:r>
        <w:rPr>
          <w:spacing w:val="-8"/>
          <w:sz w:val="20"/>
        </w:rPr>
        <w:t> </w:t>
      </w:r>
      <w:r>
        <w:rPr>
          <w:sz w:val="20"/>
        </w:rPr>
        <w:t>debe</w:t>
      </w:r>
      <w:r>
        <w:rPr>
          <w:spacing w:val="-9"/>
          <w:sz w:val="20"/>
        </w:rPr>
        <w:t> </w:t>
      </w:r>
      <w:r>
        <w:rPr>
          <w:sz w:val="20"/>
        </w:rPr>
        <w:t>entenderse</w:t>
      </w:r>
      <w:r>
        <w:rPr>
          <w:spacing w:val="-8"/>
          <w:sz w:val="20"/>
        </w:rPr>
        <w:t> </w:t>
      </w:r>
      <w:r>
        <w:rPr>
          <w:sz w:val="20"/>
        </w:rPr>
        <w:t>a</w:t>
      </w:r>
      <w:r>
        <w:rPr>
          <w:spacing w:val="-10"/>
          <w:sz w:val="20"/>
        </w:rPr>
        <w:t> </w:t>
      </w:r>
      <w:r>
        <w:rPr>
          <w:sz w:val="20"/>
        </w:rPr>
        <w:t>partir</w:t>
      </w:r>
      <w:r>
        <w:rPr>
          <w:spacing w:val="-8"/>
          <w:sz w:val="20"/>
        </w:rPr>
        <w:t> </w:t>
      </w:r>
      <w:r>
        <w:rPr>
          <w:sz w:val="20"/>
        </w:rPr>
        <w:t>de</w:t>
      </w:r>
      <w:r>
        <w:rPr>
          <w:spacing w:val="-9"/>
          <w:sz w:val="20"/>
        </w:rPr>
        <w:t> </w:t>
      </w:r>
      <w:r>
        <w:rPr>
          <w:sz w:val="20"/>
        </w:rPr>
        <w:t>que</w:t>
      </w:r>
      <w:r>
        <w:rPr>
          <w:spacing w:val="-9"/>
          <w:sz w:val="20"/>
        </w:rPr>
        <w:t> </w:t>
      </w:r>
      <w:r>
        <w:rPr>
          <w:sz w:val="20"/>
        </w:rPr>
        <w:t>efectivamente</w:t>
      </w:r>
      <w:r>
        <w:rPr>
          <w:spacing w:val="-9"/>
          <w:sz w:val="20"/>
        </w:rPr>
        <w:t> </w:t>
      </w:r>
      <w:r>
        <w:rPr>
          <w:sz w:val="20"/>
        </w:rPr>
        <w:t>ellos</w:t>
      </w:r>
      <w:r>
        <w:rPr>
          <w:spacing w:val="-9"/>
          <w:sz w:val="20"/>
        </w:rPr>
        <w:t> </w:t>
      </w:r>
      <w:r>
        <w:rPr>
          <w:sz w:val="20"/>
        </w:rPr>
        <w:t>tuvieron la voluntad de concordarlo, de suerte de que realmente se aplicara o tuviera un efecto útil. En este sentido, la buena fe se vincula estrechamente al principio “</w:t>
      </w:r>
      <w:r>
        <w:rPr>
          <w:i/>
          <w:sz w:val="20"/>
        </w:rPr>
        <w:t>pacta sunt </w:t>
      </w:r>
      <w:r>
        <w:rPr>
          <w:i/>
          <w:sz w:val="20"/>
        </w:rPr>
        <w:t>servanda</w:t>
      </w:r>
      <w:r>
        <w:rPr>
          <w:sz w:val="20"/>
        </w:rPr>
        <w:t>” contemplado en el artículo 26 de la Convención de Viena</w:t>
      </w:r>
      <w:r>
        <w:rPr>
          <w:position w:val="7"/>
          <w:sz w:val="13"/>
        </w:rPr>
        <w:t>16 y</w:t>
      </w:r>
      <w:r>
        <w:rPr>
          <w:spacing w:val="5"/>
          <w:position w:val="7"/>
          <w:sz w:val="13"/>
        </w:rPr>
        <w:t> </w:t>
      </w:r>
      <w:r>
        <w:rPr>
          <w:position w:val="7"/>
          <w:sz w:val="13"/>
        </w:rPr>
        <w:t>17</w:t>
      </w:r>
      <w:r>
        <w:rPr>
          <w:sz w:val="20"/>
        </w:rPr>
        <w:t>.</w:t>
      </w:r>
    </w:p>
    <w:p>
      <w:pPr>
        <w:pStyle w:val="BodyText"/>
        <w:spacing w:before="1"/>
      </w:pPr>
    </w:p>
    <w:p>
      <w:pPr>
        <w:pStyle w:val="ListParagraph"/>
        <w:numPr>
          <w:ilvl w:val="0"/>
          <w:numId w:val="49"/>
        </w:numPr>
        <w:tabs>
          <w:tab w:pos="1390" w:val="left" w:leader="none"/>
        </w:tabs>
        <w:spacing w:line="240" w:lineRule="auto" w:before="0" w:after="0"/>
        <w:ind w:left="681" w:right="115" w:firstLine="0"/>
        <w:jc w:val="both"/>
        <w:rPr>
          <w:sz w:val="20"/>
        </w:rPr>
      </w:pPr>
      <w:r>
        <w:rPr>
          <w:sz w:val="20"/>
        </w:rPr>
        <w:t>En esta perspectiva, es más que evidente que el efecto útil de esa norma es que los Estados Partes de la Convención realmente adopten las providencias en vista de lograr</w:t>
      </w:r>
      <w:r>
        <w:rPr>
          <w:spacing w:val="-18"/>
          <w:sz w:val="20"/>
        </w:rPr>
        <w:t> </w:t>
      </w:r>
      <w:r>
        <w:rPr>
          <w:sz w:val="20"/>
        </w:rPr>
        <w:t>progresivamente</w:t>
      </w:r>
      <w:r>
        <w:rPr>
          <w:spacing w:val="-18"/>
          <w:sz w:val="20"/>
        </w:rPr>
        <w:t> </w:t>
      </w:r>
      <w:r>
        <w:rPr>
          <w:sz w:val="20"/>
        </w:rPr>
        <w:t>la</w:t>
      </w:r>
      <w:r>
        <w:rPr>
          <w:spacing w:val="-18"/>
          <w:sz w:val="20"/>
        </w:rPr>
        <w:t> </w:t>
      </w:r>
      <w:r>
        <w:rPr>
          <w:sz w:val="20"/>
        </w:rPr>
        <w:t>plena</w:t>
      </w:r>
      <w:r>
        <w:rPr>
          <w:spacing w:val="-19"/>
          <w:sz w:val="20"/>
        </w:rPr>
        <w:t> </w:t>
      </w:r>
      <w:r>
        <w:rPr>
          <w:sz w:val="20"/>
        </w:rPr>
        <w:t>efectividad</w:t>
      </w:r>
      <w:r>
        <w:rPr>
          <w:spacing w:val="-18"/>
          <w:sz w:val="20"/>
        </w:rPr>
        <w:t> </w:t>
      </w:r>
      <w:r>
        <w:rPr>
          <w:sz w:val="20"/>
        </w:rPr>
        <w:t>de</w:t>
      </w:r>
      <w:r>
        <w:rPr>
          <w:spacing w:val="-18"/>
          <w:sz w:val="20"/>
        </w:rPr>
        <w:t> </w:t>
      </w:r>
      <w:r>
        <w:rPr>
          <w:sz w:val="20"/>
        </w:rPr>
        <w:t>los</w:t>
      </w:r>
      <w:r>
        <w:rPr>
          <w:spacing w:val="-18"/>
          <w:sz w:val="20"/>
        </w:rPr>
        <w:t> </w:t>
      </w:r>
      <w:r>
        <w:rPr>
          <w:sz w:val="20"/>
        </w:rPr>
        <w:t>derechos</w:t>
      </w:r>
      <w:r>
        <w:rPr>
          <w:spacing w:val="-19"/>
          <w:sz w:val="20"/>
        </w:rPr>
        <w:t> </w:t>
      </w:r>
      <w:r>
        <w:rPr>
          <w:sz w:val="20"/>
        </w:rPr>
        <w:t>que</w:t>
      </w:r>
      <w:r>
        <w:rPr>
          <w:spacing w:val="-18"/>
          <w:sz w:val="20"/>
        </w:rPr>
        <w:t> </w:t>
      </w:r>
      <w:r>
        <w:rPr>
          <w:sz w:val="20"/>
        </w:rPr>
        <w:t>se</w:t>
      </w:r>
      <w:r>
        <w:rPr>
          <w:spacing w:val="-18"/>
          <w:sz w:val="20"/>
        </w:rPr>
        <w:t> </w:t>
      </w:r>
      <w:r>
        <w:rPr>
          <w:sz w:val="20"/>
        </w:rPr>
        <w:t>derivan</w:t>
      </w:r>
      <w:r>
        <w:rPr>
          <w:spacing w:val="-19"/>
          <w:sz w:val="20"/>
        </w:rPr>
        <w:t> </w:t>
      </w:r>
      <w:r>
        <w:rPr>
          <w:sz w:val="20"/>
        </w:rPr>
        <w:t>de</w:t>
      </w:r>
      <w:r>
        <w:rPr>
          <w:spacing w:val="-18"/>
          <w:sz w:val="20"/>
        </w:rPr>
        <w:t> </w:t>
      </w:r>
      <w:r>
        <w:rPr>
          <w:sz w:val="20"/>
        </w:rPr>
        <w:t>las</w:t>
      </w:r>
      <w:r>
        <w:rPr>
          <w:spacing w:val="-19"/>
          <w:sz w:val="20"/>
        </w:rPr>
        <w:t> </w:t>
      </w:r>
      <w:r>
        <w:rPr>
          <w:sz w:val="20"/>
        </w:rPr>
        <w:t>normas de la OEA que indica y todo ello según los recursos disponibles</w:t>
      </w:r>
      <w:r>
        <w:rPr>
          <w:i/>
          <w:sz w:val="20"/>
        </w:rPr>
        <w:t>. </w:t>
      </w:r>
      <w:r>
        <w:rPr>
          <w:sz w:val="20"/>
        </w:rPr>
        <w:t>El artículo 26 no establece,</w:t>
      </w:r>
      <w:r>
        <w:rPr>
          <w:spacing w:val="-15"/>
          <w:sz w:val="20"/>
        </w:rPr>
        <w:t> </w:t>
      </w:r>
      <w:r>
        <w:rPr>
          <w:sz w:val="20"/>
        </w:rPr>
        <w:t>a</w:t>
      </w:r>
      <w:r>
        <w:rPr>
          <w:spacing w:val="-17"/>
          <w:sz w:val="20"/>
        </w:rPr>
        <w:t> </w:t>
      </w:r>
      <w:r>
        <w:rPr>
          <w:sz w:val="20"/>
        </w:rPr>
        <w:t>contrario</w:t>
      </w:r>
      <w:r>
        <w:rPr>
          <w:spacing w:val="-17"/>
          <w:sz w:val="20"/>
        </w:rPr>
        <w:t> </w:t>
      </w:r>
      <w:r>
        <w:rPr>
          <w:sz w:val="20"/>
        </w:rPr>
        <w:t>de</w:t>
      </w:r>
      <w:r>
        <w:rPr>
          <w:spacing w:val="-16"/>
          <w:sz w:val="20"/>
        </w:rPr>
        <w:t> </w:t>
      </w:r>
      <w:r>
        <w:rPr>
          <w:sz w:val="20"/>
        </w:rPr>
        <w:t>lo</w:t>
      </w:r>
      <w:r>
        <w:rPr>
          <w:spacing w:val="-16"/>
          <w:sz w:val="20"/>
        </w:rPr>
        <w:t> </w:t>
      </w:r>
      <w:r>
        <w:rPr>
          <w:sz w:val="20"/>
        </w:rPr>
        <w:t>que</w:t>
      </w:r>
      <w:r>
        <w:rPr>
          <w:spacing w:val="-16"/>
          <w:sz w:val="20"/>
        </w:rPr>
        <w:t> </w:t>
      </w:r>
      <w:r>
        <w:rPr>
          <w:sz w:val="20"/>
        </w:rPr>
        <w:t>afirma</w:t>
      </w:r>
      <w:r>
        <w:rPr>
          <w:spacing w:val="-16"/>
          <w:sz w:val="20"/>
        </w:rPr>
        <w:t> </w:t>
      </w:r>
      <w:r>
        <w:rPr>
          <w:sz w:val="20"/>
        </w:rPr>
        <w:t>un</w:t>
      </w:r>
      <w:r>
        <w:rPr>
          <w:spacing w:val="-16"/>
          <w:sz w:val="20"/>
        </w:rPr>
        <w:t> </w:t>
      </w:r>
      <w:r>
        <w:rPr>
          <w:sz w:val="20"/>
        </w:rPr>
        <w:t>fallo</w:t>
      </w:r>
      <w:r>
        <w:rPr>
          <w:spacing w:val="-17"/>
          <w:sz w:val="20"/>
        </w:rPr>
        <w:t> </w:t>
      </w:r>
      <w:r>
        <w:rPr>
          <w:sz w:val="20"/>
        </w:rPr>
        <w:t>citado</w:t>
      </w:r>
      <w:r>
        <w:rPr>
          <w:spacing w:val="-16"/>
          <w:sz w:val="20"/>
        </w:rPr>
        <w:t> </w:t>
      </w:r>
      <w:r>
        <w:rPr>
          <w:sz w:val="20"/>
        </w:rPr>
        <w:t>por</w:t>
      </w:r>
      <w:r>
        <w:rPr>
          <w:spacing w:val="-17"/>
          <w:sz w:val="20"/>
        </w:rPr>
        <w:t> </w:t>
      </w:r>
      <w:r>
        <w:rPr>
          <w:sz w:val="20"/>
        </w:rPr>
        <w:t>la</w:t>
      </w:r>
      <w:r>
        <w:rPr>
          <w:spacing w:val="-17"/>
          <w:sz w:val="20"/>
        </w:rPr>
        <w:t> </w:t>
      </w:r>
      <w:r>
        <w:rPr>
          <w:sz w:val="20"/>
        </w:rPr>
        <w:t>Sentencia</w:t>
      </w:r>
      <w:r>
        <w:rPr>
          <w:position w:val="7"/>
          <w:sz w:val="13"/>
        </w:rPr>
        <w:t>18</w:t>
      </w:r>
      <w:r>
        <w:rPr>
          <w:sz w:val="20"/>
        </w:rPr>
        <w:t>,</w:t>
      </w:r>
      <w:r>
        <w:rPr>
          <w:spacing w:val="-16"/>
          <w:sz w:val="20"/>
        </w:rPr>
        <w:t> </w:t>
      </w:r>
      <w:r>
        <w:rPr>
          <w:sz w:val="20"/>
        </w:rPr>
        <w:t>que</w:t>
      </w:r>
      <w:r>
        <w:rPr>
          <w:spacing w:val="-17"/>
          <w:sz w:val="20"/>
        </w:rPr>
        <w:t> </w:t>
      </w:r>
      <w:r>
        <w:rPr>
          <w:sz w:val="20"/>
        </w:rPr>
        <w:t>“los</w:t>
      </w:r>
      <w:r>
        <w:rPr>
          <w:spacing w:val="-17"/>
          <w:sz w:val="20"/>
        </w:rPr>
        <w:t> </w:t>
      </w:r>
      <w:r>
        <w:rPr>
          <w:sz w:val="20"/>
        </w:rPr>
        <w:t>Estados se comprometieron a hacer a hacer efectivos “derechos” que derivan de las normas económicas, sociales y sobre educación, ciencia y cultura” a que</w:t>
      </w:r>
      <w:r>
        <w:rPr>
          <w:spacing w:val="-13"/>
          <w:sz w:val="20"/>
        </w:rPr>
        <w:t> </w:t>
      </w:r>
      <w:r>
        <w:rPr>
          <w:sz w:val="20"/>
        </w:rPr>
        <w:t>alude.</w:t>
      </w:r>
    </w:p>
    <w:p>
      <w:pPr>
        <w:pStyle w:val="BodyText"/>
        <w:spacing w:before="12"/>
        <w:rPr>
          <w:sz w:val="19"/>
        </w:rPr>
      </w:pPr>
    </w:p>
    <w:p>
      <w:pPr>
        <w:pStyle w:val="ListParagraph"/>
        <w:numPr>
          <w:ilvl w:val="0"/>
          <w:numId w:val="49"/>
        </w:numPr>
        <w:tabs>
          <w:tab w:pos="1390" w:val="left" w:leader="none"/>
        </w:tabs>
        <w:spacing w:line="240" w:lineRule="auto" w:before="0" w:after="0"/>
        <w:ind w:left="681" w:right="119" w:firstLine="0"/>
        <w:jc w:val="both"/>
        <w:rPr>
          <w:sz w:val="20"/>
        </w:rPr>
      </w:pPr>
      <w:r>
        <w:rPr>
          <w:sz w:val="20"/>
        </w:rPr>
        <w:t>En esa misma dirección, es necesario llamar la atención acerca de que lo que establece</w:t>
      </w:r>
      <w:r>
        <w:rPr>
          <w:spacing w:val="-12"/>
          <w:sz w:val="20"/>
        </w:rPr>
        <w:t> </w:t>
      </w:r>
      <w:r>
        <w:rPr>
          <w:sz w:val="20"/>
        </w:rPr>
        <w:t>el</w:t>
      </w:r>
      <w:r>
        <w:rPr>
          <w:spacing w:val="-12"/>
          <w:sz w:val="20"/>
        </w:rPr>
        <w:t> </w:t>
      </w:r>
      <w:r>
        <w:rPr>
          <w:sz w:val="20"/>
        </w:rPr>
        <w:t>artículo</w:t>
      </w:r>
      <w:r>
        <w:rPr>
          <w:spacing w:val="-12"/>
          <w:sz w:val="20"/>
        </w:rPr>
        <w:t> </w:t>
      </w:r>
      <w:r>
        <w:rPr>
          <w:sz w:val="20"/>
        </w:rPr>
        <w:t>26</w:t>
      </w:r>
      <w:r>
        <w:rPr>
          <w:spacing w:val="-13"/>
          <w:sz w:val="20"/>
        </w:rPr>
        <w:t> </w:t>
      </w:r>
      <w:r>
        <w:rPr>
          <w:sz w:val="20"/>
        </w:rPr>
        <w:t>es</w:t>
      </w:r>
      <w:r>
        <w:rPr>
          <w:spacing w:val="-11"/>
          <w:sz w:val="20"/>
        </w:rPr>
        <w:t> </w:t>
      </w:r>
      <w:r>
        <w:rPr>
          <w:sz w:val="20"/>
        </w:rPr>
        <w:t>semejante</w:t>
      </w:r>
      <w:r>
        <w:rPr>
          <w:spacing w:val="-11"/>
          <w:sz w:val="20"/>
        </w:rPr>
        <w:t> </w:t>
      </w:r>
      <w:r>
        <w:rPr>
          <w:sz w:val="20"/>
        </w:rPr>
        <w:t>a</w:t>
      </w:r>
      <w:r>
        <w:rPr>
          <w:spacing w:val="-12"/>
          <w:sz w:val="20"/>
        </w:rPr>
        <w:t> </w:t>
      </w:r>
      <w:r>
        <w:rPr>
          <w:sz w:val="20"/>
        </w:rPr>
        <w:t>lo</w:t>
      </w:r>
      <w:r>
        <w:rPr>
          <w:spacing w:val="-12"/>
          <w:sz w:val="20"/>
        </w:rPr>
        <w:t> </w:t>
      </w:r>
      <w:r>
        <w:rPr>
          <w:sz w:val="20"/>
        </w:rPr>
        <w:t>previsto</w:t>
      </w:r>
      <w:r>
        <w:rPr>
          <w:spacing w:val="-12"/>
          <w:sz w:val="20"/>
        </w:rPr>
        <w:t> </w:t>
      </w:r>
      <w:r>
        <w:rPr>
          <w:sz w:val="20"/>
        </w:rPr>
        <w:t>en</w:t>
      </w:r>
      <w:r>
        <w:rPr>
          <w:spacing w:val="-12"/>
          <w:sz w:val="20"/>
        </w:rPr>
        <w:t> </w:t>
      </w:r>
      <w:r>
        <w:rPr>
          <w:sz w:val="20"/>
        </w:rPr>
        <w:t>el</w:t>
      </w:r>
      <w:r>
        <w:rPr>
          <w:spacing w:val="-11"/>
          <w:sz w:val="20"/>
        </w:rPr>
        <w:t> </w:t>
      </w:r>
      <w:r>
        <w:rPr>
          <w:sz w:val="20"/>
        </w:rPr>
        <w:t>artículo</w:t>
      </w:r>
      <w:r>
        <w:rPr>
          <w:spacing w:val="-12"/>
          <w:sz w:val="20"/>
        </w:rPr>
        <w:t> </w:t>
      </w:r>
      <w:r>
        <w:rPr>
          <w:sz w:val="20"/>
        </w:rPr>
        <w:t>2</w:t>
      </w:r>
      <w:r>
        <w:rPr>
          <w:spacing w:val="-12"/>
          <w:sz w:val="20"/>
        </w:rPr>
        <w:t> </w:t>
      </w:r>
      <w:r>
        <w:rPr>
          <w:sz w:val="20"/>
        </w:rPr>
        <w:t>de</w:t>
      </w:r>
      <w:r>
        <w:rPr>
          <w:spacing w:val="-12"/>
          <w:sz w:val="20"/>
        </w:rPr>
        <w:t> </w:t>
      </w:r>
      <w:r>
        <w:rPr>
          <w:sz w:val="20"/>
        </w:rPr>
        <w:t>la</w:t>
      </w:r>
      <w:r>
        <w:rPr>
          <w:spacing w:val="-13"/>
          <w:sz w:val="20"/>
        </w:rPr>
        <w:t> </w:t>
      </w:r>
      <w:r>
        <w:rPr>
          <w:sz w:val="20"/>
        </w:rPr>
        <w:t>Convención,</w:t>
      </w:r>
      <w:r>
        <w:rPr>
          <w:spacing w:val="-11"/>
          <w:sz w:val="20"/>
        </w:rPr>
        <w:t> </w:t>
      </w:r>
      <w:r>
        <w:rPr>
          <w:sz w:val="20"/>
        </w:rPr>
        <w:t>esto es,</w:t>
      </w:r>
      <w:r>
        <w:rPr>
          <w:spacing w:val="15"/>
          <w:sz w:val="20"/>
        </w:rPr>
        <w:t> </w:t>
      </w:r>
      <w:r>
        <w:rPr>
          <w:sz w:val="20"/>
        </w:rPr>
        <w:t>que</w:t>
      </w:r>
      <w:r>
        <w:rPr>
          <w:spacing w:val="15"/>
          <w:sz w:val="20"/>
        </w:rPr>
        <w:t> </w:t>
      </w:r>
      <w:r>
        <w:rPr>
          <w:sz w:val="20"/>
        </w:rPr>
        <w:t>los</w:t>
      </w:r>
      <w:r>
        <w:rPr>
          <w:spacing w:val="13"/>
          <w:sz w:val="20"/>
        </w:rPr>
        <w:t> </w:t>
      </w:r>
      <w:r>
        <w:rPr>
          <w:sz w:val="20"/>
        </w:rPr>
        <w:t>Estados</w:t>
      </w:r>
      <w:r>
        <w:rPr>
          <w:spacing w:val="14"/>
          <w:sz w:val="20"/>
        </w:rPr>
        <w:t> </w:t>
      </w:r>
      <w:r>
        <w:rPr>
          <w:sz w:val="20"/>
        </w:rPr>
        <w:t>se</w:t>
      </w:r>
      <w:r>
        <w:rPr>
          <w:spacing w:val="14"/>
          <w:sz w:val="20"/>
        </w:rPr>
        <w:t> </w:t>
      </w:r>
      <w:r>
        <w:rPr>
          <w:sz w:val="20"/>
        </w:rPr>
        <w:t>obligan</w:t>
      </w:r>
      <w:r>
        <w:rPr>
          <w:spacing w:val="14"/>
          <w:sz w:val="20"/>
        </w:rPr>
        <w:t> </w:t>
      </w:r>
      <w:r>
        <w:rPr>
          <w:sz w:val="20"/>
        </w:rPr>
        <w:t>a</w:t>
      </w:r>
      <w:r>
        <w:rPr>
          <w:spacing w:val="14"/>
          <w:sz w:val="20"/>
        </w:rPr>
        <w:t> </w:t>
      </w:r>
      <w:r>
        <w:rPr>
          <w:sz w:val="20"/>
        </w:rPr>
        <w:t>adoptar,</w:t>
      </w:r>
      <w:r>
        <w:rPr>
          <w:spacing w:val="14"/>
          <w:sz w:val="20"/>
        </w:rPr>
        <w:t> </w:t>
      </w:r>
      <w:r>
        <w:rPr>
          <w:sz w:val="20"/>
        </w:rPr>
        <w:t>en</w:t>
      </w:r>
      <w:r>
        <w:rPr>
          <w:spacing w:val="14"/>
          <w:sz w:val="20"/>
        </w:rPr>
        <w:t> </w:t>
      </w:r>
      <w:r>
        <w:rPr>
          <w:sz w:val="20"/>
        </w:rPr>
        <w:t>el</w:t>
      </w:r>
      <w:r>
        <w:rPr>
          <w:spacing w:val="15"/>
          <w:sz w:val="20"/>
        </w:rPr>
        <w:t> </w:t>
      </w:r>
      <w:r>
        <w:rPr>
          <w:sz w:val="20"/>
        </w:rPr>
        <w:t>primero,</w:t>
      </w:r>
      <w:r>
        <w:rPr>
          <w:spacing w:val="13"/>
          <w:sz w:val="20"/>
        </w:rPr>
        <w:t> </w:t>
      </w:r>
      <w:r>
        <w:rPr>
          <w:sz w:val="20"/>
        </w:rPr>
        <w:t>medidas</w:t>
      </w:r>
      <w:r>
        <w:rPr>
          <w:spacing w:val="19"/>
          <w:sz w:val="20"/>
        </w:rPr>
        <w:t> </w:t>
      </w:r>
      <w:r>
        <w:rPr>
          <w:sz w:val="20"/>
        </w:rPr>
        <w:t>si</w:t>
      </w:r>
      <w:r>
        <w:rPr>
          <w:spacing w:val="13"/>
          <w:sz w:val="20"/>
        </w:rPr>
        <w:t> </w:t>
      </w:r>
      <w:r>
        <w:rPr>
          <w:sz w:val="20"/>
        </w:rPr>
        <w:t>el</w:t>
      </w:r>
      <w:r>
        <w:rPr>
          <w:spacing w:val="14"/>
          <w:sz w:val="20"/>
        </w:rPr>
        <w:t> </w:t>
      </w:r>
      <w:r>
        <w:rPr>
          <w:sz w:val="20"/>
        </w:rPr>
        <w:t>ejercicio</w:t>
      </w:r>
      <w:r>
        <w:rPr>
          <w:spacing w:val="13"/>
          <w:sz w:val="20"/>
        </w:rPr>
        <w:t> </w:t>
      </w:r>
      <w:r>
        <w:rPr>
          <w:sz w:val="20"/>
        </w:rPr>
        <w:t>de</w:t>
      </w:r>
      <w:r>
        <w:rPr>
          <w:spacing w:val="15"/>
          <w:sz w:val="20"/>
        </w:rPr>
        <w:t> </w:t>
      </w:r>
      <w:r>
        <w:rPr>
          <w:sz w:val="20"/>
        </w:rPr>
        <w:t>los</w:t>
      </w:r>
    </w:p>
    <w:p>
      <w:pPr>
        <w:pStyle w:val="BodyText"/>
        <w:spacing w:before="6"/>
      </w:pPr>
      <w:r>
        <w:rPr/>
        <w:pict>
          <v:line style="position:absolute;mso-position-horizontal-relative:page;mso-position-vertical-relative:paragraph;z-index:3904;mso-wrap-distance-left:0;mso-wrap-distance-right:0" from="56.700001pt,14.820142pt" to="200.720001pt,14.820142pt" stroked="true" strokeweight=".72pt" strokecolor="#000000">
            <v:stroke dashstyle="solid"/>
            <w10:wrap type="topAndBottom"/>
          </v:line>
        </w:pict>
      </w:r>
    </w:p>
    <w:p>
      <w:pPr>
        <w:pStyle w:val="ListParagraph"/>
        <w:numPr>
          <w:ilvl w:val="0"/>
          <w:numId w:val="48"/>
        </w:numPr>
        <w:tabs>
          <w:tab w:pos="911" w:val="left" w:leader="none"/>
        </w:tabs>
        <w:spacing w:line="240" w:lineRule="auto" w:before="70" w:after="0"/>
        <w:ind w:left="681" w:right="124" w:firstLine="0"/>
        <w:jc w:val="left"/>
        <w:rPr>
          <w:i/>
          <w:sz w:val="16"/>
        </w:rPr>
      </w:pPr>
      <w:r>
        <w:rPr>
          <w:i/>
          <w:sz w:val="16"/>
        </w:rPr>
        <w:t>todo instrumento formulado por una o más partes con motivo de la celebración del tratado y aceptado por </w:t>
      </w:r>
      <w:r>
        <w:rPr>
          <w:i/>
          <w:sz w:val="16"/>
        </w:rPr>
        <w:t>las demás como instrumento referente al</w:t>
      </w:r>
      <w:r>
        <w:rPr>
          <w:i/>
          <w:spacing w:val="-16"/>
          <w:sz w:val="16"/>
        </w:rPr>
        <w:t> </w:t>
      </w:r>
      <w:r>
        <w:rPr>
          <w:i/>
          <w:sz w:val="16"/>
        </w:rPr>
        <w:t>tratado;</w:t>
      </w:r>
    </w:p>
    <w:p>
      <w:pPr>
        <w:pStyle w:val="ListParagraph"/>
        <w:numPr>
          <w:ilvl w:val="0"/>
          <w:numId w:val="50"/>
        </w:numPr>
        <w:tabs>
          <w:tab w:pos="898" w:val="left" w:leader="none"/>
        </w:tabs>
        <w:spacing w:line="240" w:lineRule="auto" w:before="0" w:after="0"/>
        <w:ind w:left="897" w:right="0" w:hanging="216"/>
        <w:jc w:val="both"/>
        <w:rPr>
          <w:i/>
          <w:sz w:val="16"/>
        </w:rPr>
      </w:pPr>
      <w:r>
        <w:rPr>
          <w:i/>
          <w:sz w:val="16"/>
        </w:rPr>
        <w:t>Juntamente con el contexto, habrá de tenerse en</w:t>
      </w:r>
      <w:r>
        <w:rPr>
          <w:i/>
          <w:spacing w:val="-19"/>
          <w:sz w:val="16"/>
        </w:rPr>
        <w:t> </w:t>
      </w:r>
      <w:r>
        <w:rPr>
          <w:i/>
          <w:sz w:val="16"/>
        </w:rPr>
        <w:t>cuenta:</w:t>
      </w:r>
    </w:p>
    <w:p>
      <w:pPr>
        <w:pStyle w:val="ListParagraph"/>
        <w:numPr>
          <w:ilvl w:val="0"/>
          <w:numId w:val="51"/>
        </w:numPr>
        <w:tabs>
          <w:tab w:pos="930" w:val="left" w:leader="none"/>
        </w:tabs>
        <w:spacing w:line="240" w:lineRule="auto" w:before="0" w:after="0"/>
        <w:ind w:left="681" w:right="125" w:firstLine="0"/>
        <w:jc w:val="left"/>
        <w:rPr>
          <w:i/>
          <w:sz w:val="16"/>
        </w:rPr>
      </w:pPr>
      <w:r>
        <w:rPr>
          <w:i/>
          <w:sz w:val="16"/>
        </w:rPr>
        <w:t>todo acuerdo ulterior entre las partes acerca de la interpretación del tratado o de la aplicación de sus </w:t>
      </w:r>
      <w:r>
        <w:rPr>
          <w:i/>
          <w:sz w:val="16"/>
        </w:rPr>
        <w:t>disposiciones:</w:t>
      </w:r>
    </w:p>
    <w:p>
      <w:pPr>
        <w:pStyle w:val="ListParagraph"/>
        <w:numPr>
          <w:ilvl w:val="0"/>
          <w:numId w:val="51"/>
        </w:numPr>
        <w:tabs>
          <w:tab w:pos="912" w:val="left" w:leader="none"/>
        </w:tabs>
        <w:spacing w:line="240" w:lineRule="auto" w:before="0" w:after="0"/>
        <w:ind w:left="681" w:right="126" w:firstLine="0"/>
        <w:jc w:val="left"/>
        <w:rPr>
          <w:i/>
          <w:sz w:val="16"/>
        </w:rPr>
      </w:pPr>
      <w:r>
        <w:rPr>
          <w:i/>
          <w:sz w:val="16"/>
        </w:rPr>
        <w:t>toda práctica ulteriormente seguida en la aplicación del tratado por la cual conste el acuerdo de las partes </w:t>
      </w:r>
      <w:r>
        <w:rPr>
          <w:i/>
          <w:sz w:val="16"/>
        </w:rPr>
        <w:t>acerca de la interpretación del</w:t>
      </w:r>
      <w:r>
        <w:rPr>
          <w:i/>
          <w:spacing w:val="-10"/>
          <w:sz w:val="16"/>
        </w:rPr>
        <w:t> </w:t>
      </w:r>
      <w:r>
        <w:rPr>
          <w:i/>
          <w:sz w:val="16"/>
        </w:rPr>
        <w:t>tratado:</w:t>
      </w:r>
    </w:p>
    <w:p>
      <w:pPr>
        <w:pStyle w:val="ListParagraph"/>
        <w:numPr>
          <w:ilvl w:val="0"/>
          <w:numId w:val="51"/>
        </w:numPr>
        <w:tabs>
          <w:tab w:pos="893" w:val="left" w:leader="none"/>
        </w:tabs>
        <w:spacing w:line="240" w:lineRule="auto" w:before="0" w:after="0"/>
        <w:ind w:left="892" w:right="0" w:hanging="211"/>
        <w:jc w:val="both"/>
        <w:rPr>
          <w:i/>
          <w:sz w:val="16"/>
        </w:rPr>
      </w:pPr>
      <w:r>
        <w:rPr>
          <w:i/>
          <w:sz w:val="16"/>
        </w:rPr>
        <w:t>toda forma pertinente de derecho internacional aplicable en las relaciones entre las</w:t>
      </w:r>
      <w:r>
        <w:rPr>
          <w:i/>
          <w:spacing w:val="-24"/>
          <w:sz w:val="16"/>
        </w:rPr>
        <w:t> </w:t>
      </w:r>
      <w:r>
        <w:rPr>
          <w:i/>
          <w:sz w:val="16"/>
        </w:rPr>
        <w:t>partes.</w:t>
      </w:r>
    </w:p>
    <w:p>
      <w:pPr>
        <w:pStyle w:val="ListParagraph"/>
        <w:numPr>
          <w:ilvl w:val="0"/>
          <w:numId w:val="50"/>
        </w:numPr>
        <w:tabs>
          <w:tab w:pos="898" w:val="left" w:leader="none"/>
        </w:tabs>
        <w:spacing w:line="240" w:lineRule="auto" w:before="0" w:after="0"/>
        <w:ind w:left="897" w:right="0" w:hanging="216"/>
        <w:jc w:val="both"/>
        <w:rPr>
          <w:i/>
          <w:sz w:val="16"/>
        </w:rPr>
      </w:pPr>
      <w:r>
        <w:rPr>
          <w:i/>
          <w:sz w:val="16"/>
        </w:rPr>
        <w:t>Se dará a un término un sentido especial si consta que tal fue la intención de las</w:t>
      </w:r>
      <w:r>
        <w:rPr>
          <w:i/>
          <w:spacing w:val="-25"/>
          <w:sz w:val="16"/>
        </w:rPr>
        <w:t> </w:t>
      </w:r>
      <w:r>
        <w:rPr>
          <w:i/>
          <w:sz w:val="16"/>
        </w:rPr>
        <w:t>partes.</w:t>
      </w:r>
    </w:p>
    <w:p>
      <w:pPr>
        <w:spacing w:before="0"/>
        <w:ind w:left="681" w:right="118" w:firstLine="0"/>
        <w:jc w:val="both"/>
        <w:rPr>
          <w:i/>
          <w:sz w:val="16"/>
        </w:rPr>
      </w:pPr>
      <w:r>
        <w:rPr>
          <w:sz w:val="16"/>
        </w:rPr>
        <w:t>Art.32. </w:t>
      </w:r>
      <w:r>
        <w:rPr>
          <w:i/>
          <w:sz w:val="16"/>
        </w:rPr>
        <w:t>Medios de interpretación complementarios. Se podrán acudir a medios de interpretación </w:t>
      </w:r>
      <w:r>
        <w:rPr>
          <w:i/>
          <w:sz w:val="16"/>
        </w:rPr>
        <w:t>complementarios,</w:t>
      </w:r>
      <w:r>
        <w:rPr>
          <w:i/>
          <w:spacing w:val="-14"/>
          <w:sz w:val="16"/>
        </w:rPr>
        <w:t> </w:t>
      </w:r>
      <w:r>
        <w:rPr>
          <w:i/>
          <w:sz w:val="16"/>
        </w:rPr>
        <w:t>en</w:t>
      </w:r>
      <w:r>
        <w:rPr>
          <w:i/>
          <w:spacing w:val="-15"/>
          <w:sz w:val="16"/>
        </w:rPr>
        <w:t> </w:t>
      </w:r>
      <w:r>
        <w:rPr>
          <w:i/>
          <w:sz w:val="16"/>
        </w:rPr>
        <w:t>particular</w:t>
      </w:r>
      <w:r>
        <w:rPr>
          <w:i/>
          <w:spacing w:val="-14"/>
          <w:sz w:val="16"/>
        </w:rPr>
        <w:t> </w:t>
      </w:r>
      <w:r>
        <w:rPr>
          <w:i/>
          <w:sz w:val="16"/>
        </w:rPr>
        <w:t>a</w:t>
      </w:r>
      <w:r>
        <w:rPr>
          <w:i/>
          <w:spacing w:val="-14"/>
          <w:sz w:val="16"/>
        </w:rPr>
        <w:t> </w:t>
      </w:r>
      <w:r>
        <w:rPr>
          <w:i/>
          <w:sz w:val="16"/>
        </w:rPr>
        <w:t>los</w:t>
      </w:r>
      <w:r>
        <w:rPr>
          <w:i/>
          <w:spacing w:val="-14"/>
          <w:sz w:val="16"/>
        </w:rPr>
        <w:t> </w:t>
      </w:r>
      <w:r>
        <w:rPr>
          <w:i/>
          <w:sz w:val="16"/>
        </w:rPr>
        <w:t>trabajos</w:t>
      </w:r>
      <w:r>
        <w:rPr>
          <w:i/>
          <w:spacing w:val="-13"/>
          <w:sz w:val="16"/>
        </w:rPr>
        <w:t> </w:t>
      </w:r>
      <w:r>
        <w:rPr>
          <w:i/>
          <w:sz w:val="16"/>
        </w:rPr>
        <w:t>preparatorios</w:t>
      </w:r>
      <w:r>
        <w:rPr>
          <w:i/>
          <w:spacing w:val="-14"/>
          <w:sz w:val="16"/>
        </w:rPr>
        <w:t> </w:t>
      </w:r>
      <w:r>
        <w:rPr>
          <w:i/>
          <w:sz w:val="16"/>
        </w:rPr>
        <w:t>del</w:t>
      </w:r>
      <w:r>
        <w:rPr>
          <w:i/>
          <w:spacing w:val="-14"/>
          <w:sz w:val="16"/>
        </w:rPr>
        <w:t> </w:t>
      </w:r>
      <w:r>
        <w:rPr>
          <w:i/>
          <w:sz w:val="16"/>
        </w:rPr>
        <w:t>tratado</w:t>
      </w:r>
      <w:r>
        <w:rPr>
          <w:i/>
          <w:spacing w:val="-13"/>
          <w:sz w:val="16"/>
        </w:rPr>
        <w:t> </w:t>
      </w:r>
      <w:r>
        <w:rPr>
          <w:i/>
          <w:sz w:val="16"/>
        </w:rPr>
        <w:t>y</w:t>
      </w:r>
      <w:r>
        <w:rPr>
          <w:i/>
          <w:spacing w:val="-14"/>
          <w:sz w:val="16"/>
        </w:rPr>
        <w:t> </w:t>
      </w:r>
      <w:r>
        <w:rPr>
          <w:i/>
          <w:sz w:val="16"/>
        </w:rPr>
        <w:t>a</w:t>
      </w:r>
      <w:r>
        <w:rPr>
          <w:i/>
          <w:spacing w:val="-14"/>
          <w:sz w:val="16"/>
        </w:rPr>
        <w:t> </w:t>
      </w:r>
      <w:r>
        <w:rPr>
          <w:i/>
          <w:sz w:val="16"/>
        </w:rPr>
        <w:t>las</w:t>
      </w:r>
      <w:r>
        <w:rPr>
          <w:i/>
          <w:spacing w:val="-15"/>
          <w:sz w:val="16"/>
        </w:rPr>
        <w:t> </w:t>
      </w:r>
      <w:r>
        <w:rPr>
          <w:i/>
          <w:sz w:val="16"/>
        </w:rPr>
        <w:t>circunstancias</w:t>
      </w:r>
      <w:r>
        <w:rPr>
          <w:i/>
          <w:spacing w:val="-14"/>
          <w:sz w:val="16"/>
        </w:rPr>
        <w:t> </w:t>
      </w:r>
      <w:r>
        <w:rPr>
          <w:i/>
          <w:sz w:val="16"/>
        </w:rPr>
        <w:t>de</w:t>
      </w:r>
      <w:r>
        <w:rPr>
          <w:i/>
          <w:spacing w:val="-13"/>
          <w:sz w:val="16"/>
        </w:rPr>
        <w:t> </w:t>
      </w:r>
      <w:r>
        <w:rPr>
          <w:i/>
          <w:sz w:val="16"/>
        </w:rPr>
        <w:t>su</w:t>
      </w:r>
      <w:r>
        <w:rPr>
          <w:i/>
          <w:spacing w:val="-14"/>
          <w:sz w:val="16"/>
        </w:rPr>
        <w:t> </w:t>
      </w:r>
      <w:r>
        <w:rPr>
          <w:i/>
          <w:sz w:val="16"/>
        </w:rPr>
        <w:t>celebración, para confirmar el sentido resultante de la aplicación del artículo 31, o para determinar el sentido cuando la interpretación dada</w:t>
      </w:r>
      <w:r>
        <w:rPr>
          <w:i/>
          <w:spacing w:val="-6"/>
          <w:sz w:val="16"/>
        </w:rPr>
        <w:t> </w:t>
      </w:r>
      <w:r>
        <w:rPr>
          <w:i/>
          <w:sz w:val="16"/>
        </w:rPr>
        <w:t>de</w:t>
      </w:r>
    </w:p>
    <w:p>
      <w:pPr>
        <w:spacing w:before="0"/>
        <w:ind w:left="681" w:right="0" w:firstLine="0"/>
        <w:jc w:val="both"/>
        <w:rPr>
          <w:i/>
          <w:sz w:val="16"/>
        </w:rPr>
      </w:pPr>
      <w:r>
        <w:rPr>
          <w:i/>
          <w:sz w:val="16"/>
        </w:rPr>
        <w:t>conformidad con el artículo 31:</w:t>
      </w:r>
    </w:p>
    <w:p>
      <w:pPr>
        <w:pStyle w:val="ListParagraph"/>
        <w:numPr>
          <w:ilvl w:val="0"/>
          <w:numId w:val="52"/>
        </w:numPr>
        <w:tabs>
          <w:tab w:pos="907" w:val="left" w:leader="none"/>
        </w:tabs>
        <w:spacing w:line="240" w:lineRule="auto" w:before="0" w:after="0"/>
        <w:ind w:left="906" w:right="0" w:hanging="225"/>
        <w:jc w:val="both"/>
        <w:rPr>
          <w:i/>
          <w:sz w:val="16"/>
        </w:rPr>
      </w:pPr>
      <w:r>
        <w:rPr>
          <w:i/>
          <w:sz w:val="16"/>
        </w:rPr>
        <w:t>deje ambiguo u oscuro el sentido;</w:t>
      </w:r>
      <w:r>
        <w:rPr>
          <w:i/>
          <w:spacing w:val="-11"/>
          <w:sz w:val="16"/>
        </w:rPr>
        <w:t> </w:t>
      </w:r>
      <w:r>
        <w:rPr>
          <w:i/>
          <w:sz w:val="16"/>
        </w:rPr>
        <w:t>o</w:t>
      </w:r>
    </w:p>
    <w:p>
      <w:pPr>
        <w:pStyle w:val="ListParagraph"/>
        <w:numPr>
          <w:ilvl w:val="0"/>
          <w:numId w:val="52"/>
        </w:numPr>
        <w:tabs>
          <w:tab w:pos="910" w:val="left" w:leader="none"/>
        </w:tabs>
        <w:spacing w:line="240" w:lineRule="auto" w:before="0" w:after="0"/>
        <w:ind w:left="909" w:right="0" w:hanging="228"/>
        <w:jc w:val="both"/>
        <w:rPr>
          <w:i/>
          <w:sz w:val="16"/>
        </w:rPr>
      </w:pPr>
      <w:r>
        <w:rPr>
          <w:i/>
          <w:sz w:val="16"/>
        </w:rPr>
        <w:t>conduzca a un resultado manifiestamente absurdo o</w:t>
      </w:r>
      <w:r>
        <w:rPr>
          <w:i/>
          <w:spacing w:val="-16"/>
          <w:sz w:val="16"/>
        </w:rPr>
        <w:t> </w:t>
      </w:r>
      <w:r>
        <w:rPr>
          <w:i/>
          <w:sz w:val="16"/>
        </w:rPr>
        <w:t>irrazonable.”</w:t>
      </w:r>
    </w:p>
    <w:p>
      <w:pPr>
        <w:pStyle w:val="BodyText"/>
        <w:rPr>
          <w:i/>
          <w:sz w:val="16"/>
        </w:rPr>
      </w:pPr>
    </w:p>
    <w:p>
      <w:pPr>
        <w:spacing w:before="0"/>
        <w:ind w:left="681" w:right="0" w:firstLine="0"/>
        <w:jc w:val="both"/>
        <w:rPr>
          <w:i/>
          <w:sz w:val="16"/>
        </w:rPr>
      </w:pPr>
      <w:r>
        <w:rPr>
          <w:position w:val="6"/>
          <w:sz w:val="10"/>
        </w:rPr>
        <w:t>16  </w:t>
      </w:r>
      <w:r>
        <w:rPr>
          <w:i/>
          <w:sz w:val="16"/>
        </w:rPr>
        <w:t>"Todo tratado en vigor obliga a las partes y debe ser cumplido por ellas de buena fe.”</w:t>
      </w:r>
    </w:p>
    <w:p>
      <w:pPr>
        <w:pStyle w:val="BodyText"/>
        <w:spacing w:before="11"/>
        <w:rPr>
          <w:i/>
          <w:sz w:val="15"/>
        </w:rPr>
      </w:pPr>
    </w:p>
    <w:p>
      <w:pPr>
        <w:spacing w:before="1"/>
        <w:ind w:left="681" w:right="121" w:firstLine="0"/>
        <w:jc w:val="both"/>
        <w:rPr>
          <w:sz w:val="16"/>
        </w:rPr>
      </w:pPr>
      <w:r>
        <w:rPr>
          <w:position w:val="6"/>
          <w:sz w:val="10"/>
        </w:rPr>
        <w:t>17 </w:t>
      </w:r>
      <w:r>
        <w:rPr>
          <w:sz w:val="16"/>
        </w:rPr>
        <w:t>Procede recordar que el principio de buena fe inspira tanto a todo el procedimiento de celebración de tratados,</w:t>
      </w:r>
      <w:r>
        <w:rPr>
          <w:spacing w:val="-14"/>
          <w:sz w:val="16"/>
        </w:rPr>
        <w:t> </w:t>
      </w:r>
      <w:r>
        <w:rPr>
          <w:sz w:val="16"/>
        </w:rPr>
        <w:t>sea</w:t>
      </w:r>
      <w:r>
        <w:rPr>
          <w:spacing w:val="-13"/>
          <w:sz w:val="16"/>
        </w:rPr>
        <w:t> </w:t>
      </w:r>
      <w:r>
        <w:rPr>
          <w:sz w:val="16"/>
        </w:rPr>
        <w:t>tradicional</w:t>
      </w:r>
      <w:r>
        <w:rPr>
          <w:spacing w:val="-15"/>
          <w:sz w:val="16"/>
        </w:rPr>
        <w:t> </w:t>
      </w:r>
      <w:r>
        <w:rPr>
          <w:sz w:val="16"/>
        </w:rPr>
        <w:t>o</w:t>
      </w:r>
      <w:r>
        <w:rPr>
          <w:spacing w:val="-14"/>
          <w:sz w:val="16"/>
        </w:rPr>
        <w:t> </w:t>
      </w:r>
      <w:r>
        <w:rPr>
          <w:sz w:val="16"/>
        </w:rPr>
        <w:t>solemne,</w:t>
      </w:r>
      <w:r>
        <w:rPr>
          <w:spacing w:val="-15"/>
          <w:sz w:val="16"/>
        </w:rPr>
        <w:t> </w:t>
      </w:r>
      <w:r>
        <w:rPr>
          <w:sz w:val="16"/>
        </w:rPr>
        <w:t>vale</w:t>
      </w:r>
      <w:r>
        <w:rPr>
          <w:spacing w:val="-15"/>
          <w:sz w:val="16"/>
        </w:rPr>
        <w:t> </w:t>
      </w:r>
      <w:r>
        <w:rPr>
          <w:sz w:val="16"/>
        </w:rPr>
        <w:t>decir,</w:t>
      </w:r>
      <w:r>
        <w:rPr>
          <w:spacing w:val="-15"/>
          <w:sz w:val="16"/>
        </w:rPr>
        <w:t> </w:t>
      </w:r>
      <w:r>
        <w:rPr>
          <w:sz w:val="16"/>
        </w:rPr>
        <w:t>a</w:t>
      </w:r>
      <w:r>
        <w:rPr>
          <w:spacing w:val="-14"/>
          <w:sz w:val="16"/>
        </w:rPr>
        <w:t> </w:t>
      </w:r>
      <w:r>
        <w:rPr>
          <w:sz w:val="16"/>
        </w:rPr>
        <w:t>la</w:t>
      </w:r>
      <w:r>
        <w:rPr>
          <w:spacing w:val="-13"/>
          <w:sz w:val="16"/>
        </w:rPr>
        <w:t> </w:t>
      </w:r>
      <w:r>
        <w:rPr>
          <w:sz w:val="16"/>
        </w:rPr>
        <w:t>negociación,</w:t>
      </w:r>
      <w:r>
        <w:rPr>
          <w:spacing w:val="-15"/>
          <w:sz w:val="16"/>
        </w:rPr>
        <w:t> </w:t>
      </w:r>
      <w:r>
        <w:rPr>
          <w:sz w:val="16"/>
        </w:rPr>
        <w:t>a</w:t>
      </w:r>
      <w:r>
        <w:rPr>
          <w:spacing w:val="-13"/>
          <w:sz w:val="16"/>
        </w:rPr>
        <w:t> </w:t>
      </w:r>
      <w:r>
        <w:rPr>
          <w:sz w:val="16"/>
        </w:rPr>
        <w:t>la</w:t>
      </w:r>
      <w:r>
        <w:rPr>
          <w:spacing w:val="-14"/>
          <w:sz w:val="16"/>
        </w:rPr>
        <w:t> </w:t>
      </w:r>
      <w:r>
        <w:rPr>
          <w:sz w:val="16"/>
        </w:rPr>
        <w:t>firma,</w:t>
      </w:r>
      <w:r>
        <w:rPr>
          <w:spacing w:val="-14"/>
          <w:sz w:val="16"/>
        </w:rPr>
        <w:t> </w:t>
      </w:r>
      <w:r>
        <w:rPr>
          <w:sz w:val="16"/>
        </w:rPr>
        <w:t>a</w:t>
      </w:r>
      <w:r>
        <w:rPr>
          <w:spacing w:val="-14"/>
          <w:sz w:val="16"/>
        </w:rPr>
        <w:t> </w:t>
      </w:r>
      <w:r>
        <w:rPr>
          <w:sz w:val="16"/>
        </w:rPr>
        <w:t>la</w:t>
      </w:r>
      <w:r>
        <w:rPr>
          <w:spacing w:val="-14"/>
          <w:sz w:val="16"/>
        </w:rPr>
        <w:t> </w:t>
      </w:r>
      <w:r>
        <w:rPr>
          <w:sz w:val="16"/>
        </w:rPr>
        <w:t>ratificación</w:t>
      </w:r>
      <w:r>
        <w:rPr>
          <w:spacing w:val="-13"/>
          <w:sz w:val="16"/>
        </w:rPr>
        <w:t> </w:t>
      </w:r>
      <w:r>
        <w:rPr>
          <w:sz w:val="16"/>
        </w:rPr>
        <w:t>y</w:t>
      </w:r>
      <w:r>
        <w:rPr>
          <w:spacing w:val="-14"/>
          <w:sz w:val="16"/>
        </w:rPr>
        <w:t> </w:t>
      </w:r>
      <w:r>
        <w:rPr>
          <w:sz w:val="16"/>
        </w:rPr>
        <w:t>al</w:t>
      </w:r>
      <w:r>
        <w:rPr>
          <w:spacing w:val="-15"/>
          <w:sz w:val="16"/>
        </w:rPr>
        <w:t> </w:t>
      </w:r>
      <w:r>
        <w:rPr>
          <w:sz w:val="16"/>
        </w:rPr>
        <w:t>canje</w:t>
      </w:r>
      <w:r>
        <w:rPr>
          <w:spacing w:val="-15"/>
          <w:sz w:val="16"/>
        </w:rPr>
        <w:t> </w:t>
      </w:r>
      <w:r>
        <w:rPr>
          <w:sz w:val="16"/>
        </w:rPr>
        <w:t>o</w:t>
      </w:r>
      <w:r>
        <w:rPr>
          <w:spacing w:val="-14"/>
          <w:sz w:val="16"/>
        </w:rPr>
        <w:t> </w:t>
      </w:r>
      <w:r>
        <w:rPr>
          <w:sz w:val="16"/>
        </w:rPr>
        <w:t>depósito de los instrumentos de ratificación, sea simplificado o abreviado, esto es, a la negociación y a la firma o al intercambio de textos o de notas, como a su</w:t>
      </w:r>
      <w:r>
        <w:rPr>
          <w:spacing w:val="-20"/>
          <w:sz w:val="16"/>
        </w:rPr>
        <w:t> </w:t>
      </w:r>
      <w:r>
        <w:rPr>
          <w:sz w:val="16"/>
        </w:rPr>
        <w:t>aplicación.</w:t>
      </w:r>
    </w:p>
    <w:p>
      <w:pPr>
        <w:pStyle w:val="BodyText"/>
        <w:spacing w:before="8"/>
        <w:rPr>
          <w:sz w:val="15"/>
        </w:rPr>
      </w:pPr>
    </w:p>
    <w:p>
      <w:pPr>
        <w:spacing w:before="0"/>
        <w:ind w:left="727" w:right="0" w:firstLine="0"/>
        <w:jc w:val="both"/>
        <w:rPr>
          <w:i/>
          <w:sz w:val="16"/>
        </w:rPr>
      </w:pPr>
      <w:r>
        <w:rPr>
          <w:rFonts w:ascii="Calibri" w:hAnsi="Calibri"/>
          <w:position w:val="7"/>
          <w:sz w:val="13"/>
        </w:rPr>
        <w:t>18  </w:t>
      </w:r>
      <w:r>
        <w:rPr>
          <w:rFonts w:ascii="Calibri" w:hAnsi="Calibri"/>
          <w:sz w:val="20"/>
        </w:rPr>
        <w:t>Párr.78, </w:t>
      </w:r>
      <w:r>
        <w:rPr>
          <w:i/>
          <w:sz w:val="16"/>
        </w:rPr>
        <w:t>Caso Cuscul Pivaral y otros Vs. Guatemala. Excepción Preliminar, Fondo, Reparaciones y  Costas,</w:t>
      </w:r>
    </w:p>
    <w:p>
      <w:pPr>
        <w:spacing w:before="1"/>
        <w:ind w:left="681" w:right="0" w:firstLine="0"/>
        <w:jc w:val="both"/>
        <w:rPr>
          <w:sz w:val="16"/>
        </w:rPr>
      </w:pPr>
      <w:r>
        <w:rPr>
          <w:sz w:val="16"/>
        </w:rPr>
        <w:t>2018.</w:t>
      </w:r>
    </w:p>
    <w:p>
      <w:pPr>
        <w:spacing w:after="0"/>
        <w:jc w:val="both"/>
        <w:rPr>
          <w:sz w:val="16"/>
        </w:rPr>
        <w:sectPr>
          <w:pgSz w:w="12240" w:h="15840"/>
          <w:pgMar w:header="0" w:footer="1000" w:top="1460" w:bottom="1200" w:left="1020" w:right="1580"/>
        </w:sectPr>
      </w:pPr>
    </w:p>
    <w:p>
      <w:pPr>
        <w:pStyle w:val="BodyText"/>
        <w:spacing w:before="83"/>
        <w:ind w:left="681" w:right="116"/>
        <w:jc w:val="both"/>
      </w:pPr>
      <w:r>
        <w:rPr/>
        <w:t>derechos consagrados en el artículo 1.2 de la Convención no estuviere garantizado</w:t>
      </w:r>
      <w:r>
        <w:rPr>
          <w:position w:val="7"/>
          <w:sz w:val="13"/>
        </w:rPr>
        <w:t>19 </w:t>
      </w:r>
      <w:r>
        <w:rPr/>
        <w:t>y en segundo, providencias en vista de lograr progresivamente la plena efectividad de</w:t>
      </w:r>
      <w:r>
        <w:rPr>
          <w:spacing w:val="-34"/>
        </w:rPr>
        <w:t> </w:t>
      </w:r>
      <w:r>
        <w:rPr/>
        <w:t>los derechos</w:t>
      </w:r>
      <w:r>
        <w:rPr>
          <w:spacing w:val="-19"/>
        </w:rPr>
        <w:t> </w:t>
      </w:r>
      <w:r>
        <w:rPr/>
        <w:t>que</w:t>
      </w:r>
      <w:r>
        <w:rPr>
          <w:spacing w:val="-18"/>
        </w:rPr>
        <w:t> </w:t>
      </w:r>
      <w:r>
        <w:rPr/>
        <w:t>se</w:t>
      </w:r>
      <w:r>
        <w:rPr>
          <w:spacing w:val="-18"/>
        </w:rPr>
        <w:t> </w:t>
      </w:r>
      <w:r>
        <w:rPr/>
        <w:t>derivan</w:t>
      </w:r>
      <w:r>
        <w:rPr>
          <w:spacing w:val="-18"/>
        </w:rPr>
        <w:t> </w:t>
      </w:r>
      <w:r>
        <w:rPr/>
        <w:t>de</w:t>
      </w:r>
      <w:r>
        <w:rPr>
          <w:spacing w:val="-17"/>
        </w:rPr>
        <w:t> </w:t>
      </w:r>
      <w:r>
        <w:rPr/>
        <w:t>las</w:t>
      </w:r>
      <w:r>
        <w:rPr>
          <w:spacing w:val="-19"/>
        </w:rPr>
        <w:t> </w:t>
      </w:r>
      <w:r>
        <w:rPr/>
        <w:t>normas</w:t>
      </w:r>
      <w:r>
        <w:rPr>
          <w:spacing w:val="-18"/>
        </w:rPr>
        <w:t> </w:t>
      </w:r>
      <w:r>
        <w:rPr/>
        <w:t>de</w:t>
      </w:r>
      <w:r>
        <w:rPr>
          <w:spacing w:val="-18"/>
        </w:rPr>
        <w:t> </w:t>
      </w:r>
      <w:r>
        <w:rPr/>
        <w:t>la</w:t>
      </w:r>
      <w:r>
        <w:rPr>
          <w:spacing w:val="-18"/>
        </w:rPr>
        <w:t> </w:t>
      </w:r>
      <w:r>
        <w:rPr/>
        <w:t>OEA</w:t>
      </w:r>
      <w:r>
        <w:rPr>
          <w:spacing w:val="-19"/>
        </w:rPr>
        <w:t> </w:t>
      </w:r>
      <w:r>
        <w:rPr/>
        <w:t>que</w:t>
      </w:r>
      <w:r>
        <w:rPr>
          <w:spacing w:val="-18"/>
        </w:rPr>
        <w:t> </w:t>
      </w:r>
      <w:r>
        <w:rPr/>
        <w:t>alude,</w:t>
      </w:r>
      <w:r>
        <w:rPr>
          <w:spacing w:val="-16"/>
        </w:rPr>
        <w:t> </w:t>
      </w:r>
      <w:r>
        <w:rPr/>
        <w:t>aunque</w:t>
      </w:r>
      <w:r>
        <w:rPr>
          <w:spacing w:val="-18"/>
        </w:rPr>
        <w:t> </w:t>
      </w:r>
      <w:r>
        <w:rPr/>
        <w:t>ambas</w:t>
      </w:r>
      <w:r>
        <w:rPr>
          <w:spacing w:val="-18"/>
        </w:rPr>
        <w:t> </w:t>
      </w:r>
      <w:r>
        <w:rPr/>
        <w:t>disposiciones difieren en que esta última condiciona el cumplimiento de lo que establece a la disponibilidad de los correspondientes</w:t>
      </w:r>
      <w:r>
        <w:rPr>
          <w:spacing w:val="-12"/>
        </w:rPr>
        <w:t> </w:t>
      </w:r>
      <w:r>
        <w:rPr/>
        <w:t>recursos.</w:t>
      </w:r>
    </w:p>
    <w:p>
      <w:pPr>
        <w:pStyle w:val="BodyText"/>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Considerando lo precedente, importa interrogarse, en consecuencia, respecto la razón por la que se convino el artículo 26 y, por tanto, por qué no se abordaron los derechos a que se remite de la misma forma en que se hizo en cuanto a los derechos civiles y políticos. La respuesta sustentada en la buena fe no puede ser otra que la Convención contempló que ambos tipos de derechos humanos, si bien están estrechamente vinculados entre sí en razón del ideal al que se aspira, cual es, según</w:t>
      </w:r>
      <w:r>
        <w:rPr>
          <w:spacing w:val="-40"/>
          <w:sz w:val="20"/>
        </w:rPr>
        <w:t> </w:t>
      </w:r>
      <w:r>
        <w:rPr>
          <w:sz w:val="20"/>
        </w:rPr>
        <w:t>su Preámbulo, el de crear las condiciones que permitan su “goce”</w:t>
      </w:r>
      <w:r>
        <w:rPr>
          <w:position w:val="7"/>
          <w:sz w:val="13"/>
        </w:rPr>
        <w:t>20</w:t>
      </w:r>
      <w:r>
        <w:rPr>
          <w:sz w:val="20"/>
        </w:rPr>
        <w:t>, son distintos y particularmente, de desigual desarrollo en el ámbito del Derecho Internacional Público, por</w:t>
      </w:r>
      <w:r>
        <w:rPr>
          <w:spacing w:val="-5"/>
          <w:sz w:val="20"/>
        </w:rPr>
        <w:t> </w:t>
      </w:r>
      <w:r>
        <w:rPr>
          <w:sz w:val="20"/>
        </w:rPr>
        <w:t>lo</w:t>
      </w:r>
      <w:r>
        <w:rPr>
          <w:spacing w:val="-6"/>
          <w:sz w:val="20"/>
        </w:rPr>
        <w:t> </w:t>
      </w:r>
      <w:r>
        <w:rPr>
          <w:sz w:val="20"/>
        </w:rPr>
        <w:t>que</w:t>
      </w:r>
      <w:r>
        <w:rPr>
          <w:spacing w:val="-5"/>
          <w:sz w:val="20"/>
        </w:rPr>
        <w:t> </w:t>
      </w:r>
      <w:r>
        <w:rPr>
          <w:sz w:val="20"/>
        </w:rPr>
        <w:t>deben</w:t>
      </w:r>
      <w:r>
        <w:rPr>
          <w:spacing w:val="-5"/>
          <w:sz w:val="20"/>
        </w:rPr>
        <w:t> </w:t>
      </w:r>
      <w:r>
        <w:rPr>
          <w:sz w:val="20"/>
        </w:rPr>
        <w:t>tener</w:t>
      </w:r>
      <w:r>
        <w:rPr>
          <w:spacing w:val="-7"/>
          <w:sz w:val="20"/>
        </w:rPr>
        <w:t> </w:t>
      </w:r>
      <w:r>
        <w:rPr>
          <w:sz w:val="20"/>
        </w:rPr>
        <w:t>un</w:t>
      </w:r>
      <w:r>
        <w:rPr>
          <w:spacing w:val="-5"/>
          <w:sz w:val="20"/>
        </w:rPr>
        <w:t> </w:t>
      </w:r>
      <w:r>
        <w:rPr>
          <w:sz w:val="20"/>
        </w:rPr>
        <w:t>tratamiento</w:t>
      </w:r>
      <w:r>
        <w:rPr>
          <w:spacing w:val="-5"/>
          <w:sz w:val="20"/>
        </w:rPr>
        <w:t> </w:t>
      </w:r>
      <w:r>
        <w:rPr>
          <w:sz w:val="20"/>
        </w:rPr>
        <w:t>diferenciado,</w:t>
      </w:r>
      <w:r>
        <w:rPr>
          <w:spacing w:val="-5"/>
          <w:sz w:val="20"/>
        </w:rPr>
        <w:t> </w:t>
      </w:r>
      <w:r>
        <w:rPr>
          <w:sz w:val="20"/>
        </w:rPr>
        <w:t>que</w:t>
      </w:r>
      <w:r>
        <w:rPr>
          <w:spacing w:val="-5"/>
          <w:sz w:val="20"/>
        </w:rPr>
        <w:t> </w:t>
      </w:r>
      <w:r>
        <w:rPr>
          <w:sz w:val="20"/>
        </w:rPr>
        <w:t>es</w:t>
      </w:r>
      <w:r>
        <w:rPr>
          <w:spacing w:val="-6"/>
          <w:sz w:val="20"/>
        </w:rPr>
        <w:t> </w:t>
      </w:r>
      <w:r>
        <w:rPr>
          <w:sz w:val="20"/>
        </w:rPr>
        <w:t>precisamente</w:t>
      </w:r>
      <w:r>
        <w:rPr>
          <w:spacing w:val="-5"/>
          <w:sz w:val="20"/>
        </w:rPr>
        <w:t> </w:t>
      </w:r>
      <w:r>
        <w:rPr>
          <w:sz w:val="20"/>
        </w:rPr>
        <w:t>lo</w:t>
      </w:r>
      <w:r>
        <w:rPr>
          <w:spacing w:val="-6"/>
          <w:sz w:val="20"/>
        </w:rPr>
        <w:t> </w:t>
      </w:r>
      <w:r>
        <w:rPr>
          <w:sz w:val="20"/>
        </w:rPr>
        <w:t>que</w:t>
      </w:r>
      <w:r>
        <w:rPr>
          <w:spacing w:val="-5"/>
          <w:sz w:val="20"/>
        </w:rPr>
        <w:t> </w:t>
      </w:r>
      <w:r>
        <w:rPr>
          <w:sz w:val="20"/>
        </w:rPr>
        <w:t>aquella hace en vista de lo que también indica su</w:t>
      </w:r>
      <w:r>
        <w:rPr>
          <w:spacing w:val="-13"/>
          <w:sz w:val="20"/>
        </w:rPr>
        <w:t> </w:t>
      </w:r>
      <w:r>
        <w:rPr>
          <w:sz w:val="20"/>
        </w:rPr>
        <w:t>Preámbulo</w:t>
      </w:r>
      <w:r>
        <w:rPr>
          <w:position w:val="7"/>
          <w:sz w:val="13"/>
        </w:rPr>
        <w:t>21</w:t>
      </w:r>
      <w:r>
        <w:rPr>
          <w:sz w:val="20"/>
        </w:rPr>
        <w:t>.</w:t>
      </w:r>
    </w:p>
    <w:p>
      <w:pPr>
        <w:pStyle w:val="BodyText"/>
        <w:spacing w:before="11"/>
        <w:rPr>
          <w:sz w:val="19"/>
        </w:rPr>
      </w:pPr>
    </w:p>
    <w:p>
      <w:pPr>
        <w:pStyle w:val="ListParagraph"/>
        <w:numPr>
          <w:ilvl w:val="0"/>
          <w:numId w:val="53"/>
        </w:numPr>
        <w:tabs>
          <w:tab w:pos="1390" w:val="left" w:leader="none"/>
        </w:tabs>
        <w:spacing w:line="240" w:lineRule="auto" w:before="0" w:after="0"/>
        <w:ind w:left="681" w:right="116" w:firstLine="0"/>
        <w:jc w:val="both"/>
        <w:rPr>
          <w:sz w:val="20"/>
        </w:rPr>
      </w:pPr>
      <w:r>
        <w:rPr>
          <w:sz w:val="20"/>
        </w:rPr>
        <w:t>La buena fe conduce, en consecuencia, a estimar al artículo 26 en su propio mérito, lo que implica que debe ser interpretado, no como reconociendo derechos que no enumera ni desarrolla, sino como remitiendo, para conocerlos, a normas distintas a las de la Convención, como son las de la Carta de la OEA y que, por ende, su efecto</w:t>
      </w:r>
      <w:r>
        <w:rPr>
          <w:spacing w:val="-44"/>
          <w:sz w:val="20"/>
        </w:rPr>
        <w:t> </w:t>
      </w:r>
      <w:r>
        <w:rPr>
          <w:sz w:val="20"/>
        </w:rPr>
        <w:t>útil propio o particular, es, se reitera, que los Estados Partes de la Convención adopten providencias para hacer progresivamente efectivos los derechos que se derivan de aquellas normas y todo ello según los recursos</w:t>
      </w:r>
      <w:r>
        <w:rPr>
          <w:spacing w:val="-15"/>
          <w:sz w:val="20"/>
        </w:rPr>
        <w:t> </w:t>
      </w:r>
      <w:r>
        <w:rPr>
          <w:sz w:val="20"/>
        </w:rPr>
        <w:t>disponibles.</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Como una acotación adicional, resulta imperioso expresar que es sorprendente que la Sentencia no se haya referido más extensamente, en parte alguna, a la buena</w:t>
      </w:r>
      <w:r>
        <w:rPr>
          <w:spacing w:val="-47"/>
          <w:sz w:val="20"/>
        </w:rPr>
        <w:t> </w:t>
      </w:r>
      <w:r>
        <w:rPr>
          <w:sz w:val="20"/>
        </w:rPr>
        <w:t>fe como elemento tan esencial como los otros que contempla el art.31.1 de la Convención de Viena para la interpretación de los tratados, todos los cuales deben ser empleados simultánea y armoniosamente, sin privilegiar o desmerecer a uno u otro. En el mismo sentido,</w:t>
      </w:r>
      <w:r>
        <w:rPr>
          <w:spacing w:val="-11"/>
          <w:sz w:val="20"/>
        </w:rPr>
        <w:t> </w:t>
      </w:r>
      <w:r>
        <w:rPr>
          <w:sz w:val="20"/>
        </w:rPr>
        <w:t>es</w:t>
      </w:r>
      <w:r>
        <w:rPr>
          <w:spacing w:val="-10"/>
          <w:sz w:val="20"/>
        </w:rPr>
        <w:t> </w:t>
      </w:r>
      <w:r>
        <w:rPr>
          <w:sz w:val="20"/>
        </w:rPr>
        <w:t>también</w:t>
      </w:r>
      <w:r>
        <w:rPr>
          <w:spacing w:val="-9"/>
          <w:sz w:val="20"/>
        </w:rPr>
        <w:t> </w:t>
      </w:r>
      <w:r>
        <w:rPr>
          <w:sz w:val="20"/>
        </w:rPr>
        <w:t>insólito</w:t>
      </w:r>
      <w:r>
        <w:rPr>
          <w:spacing w:val="-7"/>
          <w:sz w:val="20"/>
        </w:rPr>
        <w:t> </w:t>
      </w:r>
      <w:r>
        <w:rPr>
          <w:sz w:val="20"/>
        </w:rPr>
        <w:t>que</w:t>
      </w:r>
      <w:r>
        <w:rPr>
          <w:spacing w:val="-9"/>
          <w:sz w:val="20"/>
        </w:rPr>
        <w:t> </w:t>
      </w:r>
      <w:r>
        <w:rPr>
          <w:sz w:val="20"/>
        </w:rPr>
        <w:t>no</w:t>
      </w:r>
      <w:r>
        <w:rPr>
          <w:spacing w:val="-9"/>
          <w:sz w:val="20"/>
        </w:rPr>
        <w:t> </w:t>
      </w:r>
      <w:r>
        <w:rPr>
          <w:sz w:val="20"/>
        </w:rPr>
        <w:t>suministre</w:t>
      </w:r>
      <w:r>
        <w:rPr>
          <w:spacing w:val="-10"/>
          <w:sz w:val="20"/>
        </w:rPr>
        <w:t> </w:t>
      </w:r>
      <w:r>
        <w:rPr>
          <w:sz w:val="20"/>
        </w:rPr>
        <w:t>ninguna</w:t>
      </w:r>
      <w:r>
        <w:rPr>
          <w:spacing w:val="-9"/>
          <w:sz w:val="20"/>
        </w:rPr>
        <w:t> </w:t>
      </w:r>
      <w:r>
        <w:rPr>
          <w:sz w:val="20"/>
        </w:rPr>
        <w:t>explicación</w:t>
      </w:r>
      <w:r>
        <w:rPr>
          <w:spacing w:val="-8"/>
          <w:sz w:val="20"/>
        </w:rPr>
        <w:t> </w:t>
      </w:r>
      <w:r>
        <w:rPr>
          <w:sz w:val="20"/>
        </w:rPr>
        <w:t>acerca</w:t>
      </w:r>
      <w:r>
        <w:rPr>
          <w:spacing w:val="-9"/>
          <w:sz w:val="20"/>
        </w:rPr>
        <w:t> </w:t>
      </w:r>
      <w:r>
        <w:rPr>
          <w:sz w:val="20"/>
        </w:rPr>
        <w:t>de</w:t>
      </w:r>
      <w:r>
        <w:rPr>
          <w:spacing w:val="-9"/>
          <w:sz w:val="20"/>
        </w:rPr>
        <w:t> </w:t>
      </w:r>
      <w:r>
        <w:rPr>
          <w:sz w:val="20"/>
        </w:rPr>
        <w:t>la</w:t>
      </w:r>
      <w:r>
        <w:rPr>
          <w:spacing w:val="-10"/>
          <w:sz w:val="20"/>
        </w:rPr>
        <w:t> </w:t>
      </w:r>
      <w:r>
        <w:rPr>
          <w:sz w:val="20"/>
        </w:rPr>
        <w:t>inclusión del</w:t>
      </w:r>
      <w:r>
        <w:rPr>
          <w:spacing w:val="-12"/>
          <w:sz w:val="20"/>
        </w:rPr>
        <w:t> </w:t>
      </w:r>
      <w:r>
        <w:rPr>
          <w:sz w:val="20"/>
        </w:rPr>
        <w:t>artículo</w:t>
      </w:r>
      <w:r>
        <w:rPr>
          <w:spacing w:val="-13"/>
          <w:sz w:val="20"/>
        </w:rPr>
        <w:t> </w:t>
      </w:r>
      <w:r>
        <w:rPr>
          <w:sz w:val="20"/>
        </w:rPr>
        <w:t>26</w:t>
      </w:r>
      <w:r>
        <w:rPr>
          <w:spacing w:val="-12"/>
          <w:sz w:val="20"/>
        </w:rPr>
        <w:t> </w:t>
      </w:r>
      <w:r>
        <w:rPr>
          <w:sz w:val="20"/>
        </w:rPr>
        <w:t>en</w:t>
      </w:r>
      <w:r>
        <w:rPr>
          <w:spacing w:val="-13"/>
          <w:sz w:val="20"/>
        </w:rPr>
        <w:t> </w:t>
      </w:r>
      <w:r>
        <w:rPr>
          <w:sz w:val="20"/>
        </w:rPr>
        <w:t>un</w:t>
      </w:r>
      <w:r>
        <w:rPr>
          <w:spacing w:val="-13"/>
          <w:sz w:val="20"/>
        </w:rPr>
        <w:t> </w:t>
      </w:r>
      <w:r>
        <w:rPr>
          <w:sz w:val="20"/>
        </w:rPr>
        <w:t>capítulo</w:t>
      </w:r>
      <w:r>
        <w:rPr>
          <w:spacing w:val="-12"/>
          <w:sz w:val="20"/>
        </w:rPr>
        <w:t> </w:t>
      </w:r>
      <w:r>
        <w:rPr>
          <w:sz w:val="20"/>
        </w:rPr>
        <w:t>separado</w:t>
      </w:r>
      <w:r>
        <w:rPr>
          <w:spacing w:val="-13"/>
          <w:sz w:val="20"/>
        </w:rPr>
        <w:t> </w:t>
      </w:r>
      <w:r>
        <w:rPr>
          <w:sz w:val="20"/>
        </w:rPr>
        <w:t>de</w:t>
      </w:r>
      <w:r>
        <w:rPr>
          <w:spacing w:val="-12"/>
          <w:sz w:val="20"/>
        </w:rPr>
        <w:t> </w:t>
      </w:r>
      <w:r>
        <w:rPr>
          <w:sz w:val="20"/>
        </w:rPr>
        <w:t>los</w:t>
      </w:r>
      <w:r>
        <w:rPr>
          <w:spacing w:val="-12"/>
          <w:sz w:val="20"/>
        </w:rPr>
        <w:t> </w:t>
      </w:r>
      <w:r>
        <w:rPr>
          <w:sz w:val="20"/>
        </w:rPr>
        <w:t>derechos</w:t>
      </w:r>
      <w:r>
        <w:rPr>
          <w:spacing w:val="-13"/>
          <w:sz w:val="20"/>
        </w:rPr>
        <w:t> </w:t>
      </w:r>
      <w:r>
        <w:rPr>
          <w:sz w:val="20"/>
        </w:rPr>
        <w:t>políticos</w:t>
      </w:r>
      <w:r>
        <w:rPr>
          <w:spacing w:val="-13"/>
          <w:sz w:val="20"/>
        </w:rPr>
        <w:t> </w:t>
      </w:r>
      <w:r>
        <w:rPr>
          <w:sz w:val="20"/>
        </w:rPr>
        <w:t>y</w:t>
      </w:r>
      <w:r>
        <w:rPr>
          <w:spacing w:val="-12"/>
          <w:sz w:val="20"/>
        </w:rPr>
        <w:t> </w:t>
      </w:r>
      <w:r>
        <w:rPr>
          <w:sz w:val="20"/>
        </w:rPr>
        <w:t>civiles</w:t>
      </w:r>
      <w:r>
        <w:rPr>
          <w:spacing w:val="-12"/>
          <w:sz w:val="20"/>
        </w:rPr>
        <w:t> </w:t>
      </w:r>
      <w:r>
        <w:rPr>
          <w:sz w:val="20"/>
        </w:rPr>
        <w:t>y,</w:t>
      </w:r>
      <w:r>
        <w:rPr>
          <w:spacing w:val="-13"/>
          <w:sz w:val="20"/>
        </w:rPr>
        <w:t> </w:t>
      </w:r>
      <w:r>
        <w:rPr>
          <w:sz w:val="20"/>
        </w:rPr>
        <w:t>en</w:t>
      </w:r>
      <w:r>
        <w:rPr>
          <w:spacing w:val="-11"/>
          <w:sz w:val="20"/>
        </w:rPr>
        <w:t> </w:t>
      </w:r>
      <w:r>
        <w:rPr>
          <w:sz w:val="20"/>
        </w:rPr>
        <w:t>particular, de</w:t>
      </w:r>
      <w:r>
        <w:rPr>
          <w:spacing w:val="-3"/>
          <w:sz w:val="20"/>
        </w:rPr>
        <w:t> </w:t>
      </w:r>
      <w:r>
        <w:rPr>
          <w:sz w:val="20"/>
        </w:rPr>
        <w:t>cuál</w:t>
      </w:r>
      <w:r>
        <w:rPr>
          <w:spacing w:val="-3"/>
          <w:sz w:val="20"/>
        </w:rPr>
        <w:t> </w:t>
      </w:r>
      <w:r>
        <w:rPr>
          <w:sz w:val="20"/>
        </w:rPr>
        <w:t>sería</w:t>
      </w:r>
      <w:r>
        <w:rPr>
          <w:spacing w:val="-5"/>
          <w:sz w:val="20"/>
        </w:rPr>
        <w:t> </w:t>
      </w:r>
      <w:r>
        <w:rPr>
          <w:sz w:val="20"/>
        </w:rPr>
        <w:t>su</w:t>
      </w:r>
      <w:r>
        <w:rPr>
          <w:spacing w:val="-3"/>
          <w:sz w:val="20"/>
        </w:rPr>
        <w:t> </w:t>
      </w:r>
      <w:r>
        <w:rPr>
          <w:sz w:val="20"/>
        </w:rPr>
        <w:t>razón</w:t>
      </w:r>
      <w:r>
        <w:rPr>
          <w:spacing w:val="-4"/>
          <w:sz w:val="20"/>
        </w:rPr>
        <w:t> </w:t>
      </w:r>
      <w:r>
        <w:rPr>
          <w:sz w:val="20"/>
        </w:rPr>
        <w:t>de</w:t>
      </w:r>
      <w:r>
        <w:rPr>
          <w:spacing w:val="-3"/>
          <w:sz w:val="20"/>
        </w:rPr>
        <w:t> </w:t>
      </w:r>
      <w:r>
        <w:rPr>
          <w:sz w:val="20"/>
        </w:rPr>
        <w:t>ser</w:t>
      </w:r>
      <w:r>
        <w:rPr>
          <w:spacing w:val="-4"/>
          <w:sz w:val="20"/>
        </w:rPr>
        <w:t> </w:t>
      </w:r>
      <w:r>
        <w:rPr>
          <w:sz w:val="20"/>
        </w:rPr>
        <w:t>y</w:t>
      </w:r>
      <w:r>
        <w:rPr>
          <w:spacing w:val="-3"/>
          <w:sz w:val="20"/>
        </w:rPr>
        <w:t> </w:t>
      </w:r>
      <w:r>
        <w:rPr>
          <w:sz w:val="20"/>
        </w:rPr>
        <w:t>su</w:t>
      </w:r>
      <w:r>
        <w:rPr>
          <w:spacing w:val="-5"/>
          <w:sz w:val="20"/>
        </w:rPr>
        <w:t> </w:t>
      </w:r>
      <w:r>
        <w:rPr>
          <w:sz w:val="20"/>
        </w:rPr>
        <w:t>efecto</w:t>
      </w:r>
      <w:r>
        <w:rPr>
          <w:spacing w:val="-5"/>
          <w:sz w:val="20"/>
        </w:rPr>
        <w:t> </w:t>
      </w:r>
      <w:r>
        <w:rPr>
          <w:sz w:val="20"/>
        </w:rPr>
        <w:t>útil.</w:t>
      </w:r>
      <w:r>
        <w:rPr>
          <w:spacing w:val="-4"/>
          <w:sz w:val="20"/>
        </w:rPr>
        <w:t> </w:t>
      </w:r>
      <w:r>
        <w:rPr>
          <w:sz w:val="20"/>
        </w:rPr>
        <w:t>La</w:t>
      </w:r>
      <w:r>
        <w:rPr>
          <w:spacing w:val="-4"/>
          <w:sz w:val="20"/>
        </w:rPr>
        <w:t> </w:t>
      </w:r>
      <w:r>
        <w:rPr>
          <w:sz w:val="20"/>
        </w:rPr>
        <w:t>Sentencia</w:t>
      </w:r>
      <w:r>
        <w:rPr>
          <w:spacing w:val="-4"/>
          <w:sz w:val="20"/>
        </w:rPr>
        <w:t> </w:t>
      </w:r>
      <w:r>
        <w:rPr>
          <w:sz w:val="20"/>
        </w:rPr>
        <w:t>no</w:t>
      </w:r>
      <w:r>
        <w:rPr>
          <w:spacing w:val="-3"/>
          <w:sz w:val="20"/>
        </w:rPr>
        <w:t> </w:t>
      </w:r>
      <w:r>
        <w:rPr>
          <w:sz w:val="20"/>
        </w:rPr>
        <w:t>da</w:t>
      </w:r>
      <w:r>
        <w:rPr>
          <w:spacing w:val="-4"/>
          <w:sz w:val="20"/>
        </w:rPr>
        <w:t> </w:t>
      </w:r>
      <w:r>
        <w:rPr>
          <w:sz w:val="20"/>
        </w:rPr>
        <w:t>respuesta</w:t>
      </w:r>
      <w:r>
        <w:rPr>
          <w:spacing w:val="-4"/>
          <w:sz w:val="20"/>
        </w:rPr>
        <w:t> </w:t>
      </w:r>
      <w:r>
        <w:rPr>
          <w:sz w:val="20"/>
        </w:rPr>
        <w:t>alguna</w:t>
      </w:r>
      <w:r>
        <w:rPr>
          <w:spacing w:val="-3"/>
          <w:sz w:val="20"/>
        </w:rPr>
        <w:t> </w:t>
      </w:r>
      <w:r>
        <w:rPr>
          <w:sz w:val="20"/>
        </w:rPr>
        <w:t>en</w:t>
      </w:r>
      <w:r>
        <w:rPr>
          <w:spacing w:val="-3"/>
          <w:sz w:val="20"/>
        </w:rPr>
        <w:t> </w:t>
      </w:r>
      <w:r>
        <w:rPr>
          <w:sz w:val="20"/>
        </w:rPr>
        <w:t>lo que dice relación al motivo o razón de la existencia del artículo 26 en tanto norma diferente a las previstas en cuanto a los derechos civiles y</w:t>
      </w:r>
      <w:r>
        <w:rPr>
          <w:spacing w:val="-11"/>
          <w:sz w:val="20"/>
        </w:rPr>
        <w:t> </w:t>
      </w:r>
      <w:r>
        <w:rPr>
          <w:sz w:val="20"/>
        </w:rPr>
        <w:t>políticos</w:t>
      </w:r>
    </w:p>
    <w:p>
      <w:pPr>
        <w:pStyle w:val="BodyText"/>
        <w:spacing w:before="11"/>
        <w:rPr>
          <w:sz w:val="19"/>
        </w:rPr>
      </w:pPr>
    </w:p>
    <w:p>
      <w:pPr>
        <w:pStyle w:val="ListParagraph"/>
        <w:numPr>
          <w:ilvl w:val="0"/>
          <w:numId w:val="53"/>
        </w:numPr>
        <w:tabs>
          <w:tab w:pos="1390" w:val="left" w:leader="none"/>
        </w:tabs>
        <w:spacing w:line="240" w:lineRule="auto" w:before="0" w:after="0"/>
        <w:ind w:left="681" w:right="119" w:firstLine="0"/>
        <w:jc w:val="both"/>
        <w:rPr>
          <w:sz w:val="20"/>
        </w:rPr>
      </w:pPr>
      <w:r>
        <w:rPr>
          <w:sz w:val="20"/>
        </w:rPr>
        <w:t>En suma, entonces y al amparo del principio de buena fe, procede subrayar que de la circunstancia de que en el Preámbulo de la Convención se afirme que la persona debe gozar de sus derechos económicos, sociales y culturales, tanto como de sus derechos</w:t>
      </w:r>
      <w:r>
        <w:rPr>
          <w:spacing w:val="28"/>
          <w:sz w:val="20"/>
        </w:rPr>
        <w:t> </w:t>
      </w:r>
      <w:r>
        <w:rPr>
          <w:sz w:val="20"/>
        </w:rPr>
        <w:t>civiles</w:t>
      </w:r>
      <w:r>
        <w:rPr>
          <w:spacing w:val="27"/>
          <w:sz w:val="20"/>
        </w:rPr>
        <w:t> </w:t>
      </w:r>
      <w:r>
        <w:rPr>
          <w:sz w:val="20"/>
        </w:rPr>
        <w:t>y</w:t>
      </w:r>
      <w:r>
        <w:rPr>
          <w:spacing w:val="29"/>
          <w:sz w:val="20"/>
        </w:rPr>
        <w:t> </w:t>
      </w:r>
      <w:r>
        <w:rPr>
          <w:sz w:val="20"/>
        </w:rPr>
        <w:t>políticos,</w:t>
      </w:r>
      <w:r>
        <w:rPr>
          <w:spacing w:val="27"/>
          <w:sz w:val="20"/>
        </w:rPr>
        <w:t> </w:t>
      </w:r>
      <w:r>
        <w:rPr>
          <w:sz w:val="20"/>
        </w:rPr>
        <w:t>no</w:t>
      </w:r>
      <w:r>
        <w:rPr>
          <w:spacing w:val="28"/>
          <w:sz w:val="20"/>
        </w:rPr>
        <w:t> </w:t>
      </w:r>
      <w:r>
        <w:rPr>
          <w:sz w:val="20"/>
        </w:rPr>
        <w:t>se</w:t>
      </w:r>
      <w:r>
        <w:rPr>
          <w:spacing w:val="28"/>
          <w:sz w:val="20"/>
        </w:rPr>
        <w:t> </w:t>
      </w:r>
      <w:r>
        <w:rPr>
          <w:sz w:val="20"/>
        </w:rPr>
        <w:t>colige</w:t>
      </w:r>
      <w:r>
        <w:rPr>
          <w:spacing w:val="28"/>
          <w:sz w:val="20"/>
        </w:rPr>
        <w:t> </w:t>
      </w:r>
      <w:r>
        <w:rPr>
          <w:sz w:val="20"/>
        </w:rPr>
        <w:t>que</w:t>
      </w:r>
      <w:r>
        <w:rPr>
          <w:spacing w:val="28"/>
          <w:sz w:val="20"/>
        </w:rPr>
        <w:t> </w:t>
      </w:r>
      <w:r>
        <w:rPr>
          <w:sz w:val="20"/>
        </w:rPr>
        <w:t>el</w:t>
      </w:r>
      <w:r>
        <w:rPr>
          <w:spacing w:val="28"/>
          <w:sz w:val="20"/>
        </w:rPr>
        <w:t> </w:t>
      </w:r>
      <w:r>
        <w:rPr>
          <w:sz w:val="20"/>
        </w:rPr>
        <w:t>efecto</w:t>
      </w:r>
      <w:r>
        <w:rPr>
          <w:spacing w:val="28"/>
          <w:sz w:val="20"/>
        </w:rPr>
        <w:t> </w:t>
      </w:r>
      <w:r>
        <w:rPr>
          <w:sz w:val="20"/>
        </w:rPr>
        <w:t>útil</w:t>
      </w:r>
      <w:r>
        <w:rPr>
          <w:spacing w:val="28"/>
          <w:sz w:val="20"/>
        </w:rPr>
        <w:t> </w:t>
      </w:r>
      <w:r>
        <w:rPr>
          <w:sz w:val="20"/>
        </w:rPr>
        <w:t>del</w:t>
      </w:r>
      <w:r>
        <w:rPr>
          <w:spacing w:val="29"/>
          <w:sz w:val="20"/>
        </w:rPr>
        <w:t> </w:t>
      </w:r>
      <w:r>
        <w:rPr>
          <w:sz w:val="20"/>
        </w:rPr>
        <w:t>artículo</w:t>
      </w:r>
      <w:r>
        <w:rPr>
          <w:spacing w:val="28"/>
          <w:sz w:val="20"/>
        </w:rPr>
        <w:t> </w:t>
      </w:r>
      <w:r>
        <w:rPr>
          <w:sz w:val="20"/>
        </w:rPr>
        <w:t>26</w:t>
      </w:r>
      <w:r>
        <w:rPr>
          <w:spacing w:val="27"/>
          <w:sz w:val="20"/>
        </w:rPr>
        <w:t> </w:t>
      </w:r>
      <w:r>
        <w:rPr>
          <w:sz w:val="20"/>
        </w:rPr>
        <w:t>sea</w:t>
      </w:r>
      <w:r>
        <w:rPr>
          <w:spacing w:val="28"/>
          <w:sz w:val="20"/>
        </w:rPr>
        <w:t> </w:t>
      </w:r>
      <w:r>
        <w:rPr>
          <w:sz w:val="20"/>
        </w:rPr>
        <w:t>que</w:t>
      </w:r>
      <w:r>
        <w:rPr>
          <w:spacing w:val="29"/>
          <w:sz w:val="20"/>
        </w:rPr>
        <w:t> </w:t>
      </w:r>
      <w:r>
        <w:rPr>
          <w:sz w:val="20"/>
        </w:rPr>
        <w:t>la</w:t>
      </w:r>
    </w:p>
    <w:p>
      <w:pPr>
        <w:pStyle w:val="BodyText"/>
        <w:spacing w:before="9"/>
        <w:rPr>
          <w:sz w:val="10"/>
        </w:rPr>
      </w:pPr>
      <w:r>
        <w:rPr/>
        <w:pict>
          <v:line style="position:absolute;mso-position-horizontal-relative:page;mso-position-vertical-relative:paragraph;z-index:3928;mso-wrap-distance-left:0;mso-wrap-distance-right:0" from="56.700001pt,8.866387pt" to="200.720001pt,8.866387pt" stroked="true" strokeweight=".72003pt" strokecolor="#000000">
            <v:stroke dashstyle="solid"/>
            <w10:wrap type="topAndBottom"/>
          </v:line>
        </w:pict>
      </w:r>
    </w:p>
    <w:p>
      <w:pPr>
        <w:spacing w:before="70"/>
        <w:ind w:left="681" w:right="122" w:firstLine="0"/>
        <w:jc w:val="both"/>
        <w:rPr>
          <w:i/>
          <w:sz w:val="16"/>
        </w:rPr>
      </w:pPr>
      <w:r>
        <w:rPr>
          <w:position w:val="6"/>
          <w:sz w:val="10"/>
        </w:rPr>
        <w:t>19 </w:t>
      </w:r>
      <w:r>
        <w:rPr>
          <w:sz w:val="16"/>
        </w:rPr>
        <w:t>Art. 2: </w:t>
      </w:r>
      <w:r>
        <w:rPr>
          <w:i/>
          <w:sz w:val="16"/>
        </w:rPr>
        <w:t>“Deber de Adoptar Disposiciones de Derecho Interno. Si el ejercicio de los derechos y libertades </w:t>
      </w:r>
      <w:r>
        <w:rPr>
          <w:i/>
          <w:sz w:val="16"/>
        </w:rPr>
        <w:t>mencionados en el artículo 1 no estuviere ya garantizado por disposiciones legislativas o de otro carácter, los Estados Partes se comprometen a adoptar, con arreglo a sus procedimientos constitucionales y a las disposiciones</w:t>
      </w:r>
      <w:r>
        <w:rPr>
          <w:i/>
          <w:spacing w:val="-9"/>
          <w:sz w:val="16"/>
        </w:rPr>
        <w:t> </w:t>
      </w:r>
      <w:r>
        <w:rPr>
          <w:i/>
          <w:sz w:val="16"/>
        </w:rPr>
        <w:t>de</w:t>
      </w:r>
      <w:r>
        <w:rPr>
          <w:i/>
          <w:spacing w:val="-10"/>
          <w:sz w:val="16"/>
        </w:rPr>
        <w:t> </w:t>
      </w:r>
      <w:r>
        <w:rPr>
          <w:i/>
          <w:sz w:val="16"/>
        </w:rPr>
        <w:t>esta</w:t>
      </w:r>
      <w:r>
        <w:rPr>
          <w:i/>
          <w:spacing w:val="-8"/>
          <w:sz w:val="16"/>
        </w:rPr>
        <w:t> </w:t>
      </w:r>
      <w:r>
        <w:rPr>
          <w:i/>
          <w:sz w:val="16"/>
        </w:rPr>
        <w:t>Convención,</w:t>
      </w:r>
      <w:r>
        <w:rPr>
          <w:i/>
          <w:spacing w:val="-10"/>
          <w:sz w:val="16"/>
        </w:rPr>
        <w:t> </w:t>
      </w:r>
      <w:r>
        <w:rPr>
          <w:i/>
          <w:sz w:val="16"/>
        </w:rPr>
        <w:t>las</w:t>
      </w:r>
      <w:r>
        <w:rPr>
          <w:i/>
          <w:spacing w:val="-9"/>
          <w:sz w:val="16"/>
        </w:rPr>
        <w:t> </w:t>
      </w:r>
      <w:r>
        <w:rPr>
          <w:i/>
          <w:sz w:val="16"/>
        </w:rPr>
        <w:t>medidas</w:t>
      </w:r>
      <w:r>
        <w:rPr>
          <w:i/>
          <w:spacing w:val="-10"/>
          <w:sz w:val="16"/>
        </w:rPr>
        <w:t> </w:t>
      </w:r>
      <w:r>
        <w:rPr>
          <w:i/>
          <w:sz w:val="16"/>
        </w:rPr>
        <w:t>legislativas</w:t>
      </w:r>
      <w:r>
        <w:rPr>
          <w:i/>
          <w:spacing w:val="-10"/>
          <w:sz w:val="16"/>
        </w:rPr>
        <w:t> </w:t>
      </w:r>
      <w:r>
        <w:rPr>
          <w:i/>
          <w:sz w:val="16"/>
        </w:rPr>
        <w:t>o</w:t>
      </w:r>
      <w:r>
        <w:rPr>
          <w:i/>
          <w:spacing w:val="-7"/>
          <w:sz w:val="16"/>
        </w:rPr>
        <w:t> </w:t>
      </w:r>
      <w:r>
        <w:rPr>
          <w:i/>
          <w:sz w:val="16"/>
        </w:rPr>
        <w:t>de</w:t>
      </w:r>
      <w:r>
        <w:rPr>
          <w:i/>
          <w:spacing w:val="-10"/>
          <w:sz w:val="16"/>
        </w:rPr>
        <w:t> </w:t>
      </w:r>
      <w:r>
        <w:rPr>
          <w:i/>
          <w:sz w:val="16"/>
        </w:rPr>
        <w:t>otro</w:t>
      </w:r>
      <w:r>
        <w:rPr>
          <w:i/>
          <w:spacing w:val="-8"/>
          <w:sz w:val="16"/>
        </w:rPr>
        <w:t> </w:t>
      </w:r>
      <w:r>
        <w:rPr>
          <w:i/>
          <w:sz w:val="16"/>
        </w:rPr>
        <w:t>carácter</w:t>
      </w:r>
      <w:r>
        <w:rPr>
          <w:i/>
          <w:spacing w:val="-9"/>
          <w:sz w:val="16"/>
        </w:rPr>
        <w:t> </w:t>
      </w:r>
      <w:r>
        <w:rPr>
          <w:i/>
          <w:sz w:val="16"/>
        </w:rPr>
        <w:t>que</w:t>
      </w:r>
      <w:r>
        <w:rPr>
          <w:i/>
          <w:spacing w:val="-9"/>
          <w:sz w:val="16"/>
        </w:rPr>
        <w:t> </w:t>
      </w:r>
      <w:r>
        <w:rPr>
          <w:i/>
          <w:sz w:val="16"/>
        </w:rPr>
        <w:t>fueren</w:t>
      </w:r>
      <w:r>
        <w:rPr>
          <w:i/>
          <w:spacing w:val="-9"/>
          <w:sz w:val="16"/>
        </w:rPr>
        <w:t> </w:t>
      </w:r>
      <w:r>
        <w:rPr>
          <w:i/>
          <w:sz w:val="16"/>
        </w:rPr>
        <w:t>necesarias</w:t>
      </w:r>
      <w:r>
        <w:rPr>
          <w:i/>
          <w:spacing w:val="-9"/>
          <w:sz w:val="16"/>
        </w:rPr>
        <w:t> </w:t>
      </w:r>
      <w:r>
        <w:rPr>
          <w:i/>
          <w:sz w:val="16"/>
        </w:rPr>
        <w:t>para</w:t>
      </w:r>
      <w:r>
        <w:rPr>
          <w:i/>
          <w:spacing w:val="-8"/>
          <w:sz w:val="16"/>
        </w:rPr>
        <w:t> </w:t>
      </w:r>
      <w:r>
        <w:rPr>
          <w:i/>
          <w:sz w:val="16"/>
        </w:rPr>
        <w:t>hacer efectivos tales derechos y</w:t>
      </w:r>
      <w:r>
        <w:rPr>
          <w:i/>
          <w:spacing w:val="-10"/>
          <w:sz w:val="16"/>
        </w:rPr>
        <w:t> </w:t>
      </w:r>
      <w:r>
        <w:rPr>
          <w:i/>
          <w:sz w:val="16"/>
        </w:rPr>
        <w:t>libertades.”</w:t>
      </w:r>
    </w:p>
    <w:p>
      <w:pPr>
        <w:pStyle w:val="BodyText"/>
        <w:spacing w:before="11"/>
        <w:rPr>
          <w:i/>
          <w:sz w:val="15"/>
        </w:rPr>
      </w:pPr>
    </w:p>
    <w:p>
      <w:pPr>
        <w:spacing w:before="1"/>
        <w:ind w:left="681" w:right="121" w:firstLine="0"/>
        <w:jc w:val="both"/>
        <w:rPr>
          <w:sz w:val="16"/>
        </w:rPr>
      </w:pPr>
      <w:r>
        <w:rPr>
          <w:position w:val="6"/>
          <w:sz w:val="10"/>
        </w:rPr>
        <w:t>20 </w:t>
      </w:r>
      <w:r>
        <w:rPr>
          <w:sz w:val="16"/>
        </w:rPr>
        <w:t>Párr. 4°: “</w:t>
      </w:r>
      <w:r>
        <w:rPr>
          <w:i/>
          <w:sz w:val="16"/>
        </w:rPr>
        <w:t>Reiterando que, con arreglo a la Declaración Universal de los Derechos Humanos, sólo puede </w:t>
      </w:r>
      <w:r>
        <w:rPr>
          <w:i/>
          <w:sz w:val="16"/>
        </w:rPr>
        <w:t>realizarse</w:t>
      </w:r>
      <w:r>
        <w:rPr>
          <w:i/>
          <w:spacing w:val="-9"/>
          <w:sz w:val="16"/>
        </w:rPr>
        <w:t> </w:t>
      </w:r>
      <w:r>
        <w:rPr>
          <w:i/>
          <w:sz w:val="16"/>
        </w:rPr>
        <w:t>el</w:t>
      </w:r>
      <w:r>
        <w:rPr>
          <w:i/>
          <w:spacing w:val="-8"/>
          <w:sz w:val="16"/>
        </w:rPr>
        <w:t> </w:t>
      </w:r>
      <w:r>
        <w:rPr>
          <w:i/>
          <w:sz w:val="16"/>
        </w:rPr>
        <w:t>ideal</w:t>
      </w:r>
      <w:r>
        <w:rPr>
          <w:i/>
          <w:spacing w:val="-8"/>
          <w:sz w:val="16"/>
        </w:rPr>
        <w:t> </w:t>
      </w:r>
      <w:r>
        <w:rPr>
          <w:i/>
          <w:sz w:val="16"/>
        </w:rPr>
        <w:t>del</w:t>
      </w:r>
      <w:r>
        <w:rPr>
          <w:i/>
          <w:spacing w:val="-8"/>
          <w:sz w:val="16"/>
        </w:rPr>
        <w:t> </w:t>
      </w:r>
      <w:r>
        <w:rPr>
          <w:i/>
          <w:sz w:val="16"/>
        </w:rPr>
        <w:t>ser</w:t>
      </w:r>
      <w:r>
        <w:rPr>
          <w:i/>
          <w:spacing w:val="-8"/>
          <w:sz w:val="16"/>
        </w:rPr>
        <w:t> </w:t>
      </w:r>
      <w:r>
        <w:rPr>
          <w:i/>
          <w:sz w:val="16"/>
        </w:rPr>
        <w:t>humano</w:t>
      </w:r>
      <w:r>
        <w:rPr>
          <w:i/>
          <w:spacing w:val="-8"/>
          <w:sz w:val="16"/>
        </w:rPr>
        <w:t> </w:t>
      </w:r>
      <w:r>
        <w:rPr>
          <w:i/>
          <w:sz w:val="16"/>
        </w:rPr>
        <w:t>libre,</w:t>
      </w:r>
      <w:r>
        <w:rPr>
          <w:i/>
          <w:spacing w:val="-7"/>
          <w:sz w:val="16"/>
        </w:rPr>
        <w:t> </w:t>
      </w:r>
      <w:r>
        <w:rPr>
          <w:i/>
          <w:sz w:val="16"/>
        </w:rPr>
        <w:t>exento</w:t>
      </w:r>
      <w:r>
        <w:rPr>
          <w:i/>
          <w:spacing w:val="-8"/>
          <w:sz w:val="16"/>
        </w:rPr>
        <w:t> </w:t>
      </w:r>
      <w:r>
        <w:rPr>
          <w:i/>
          <w:sz w:val="16"/>
        </w:rPr>
        <w:t>del</w:t>
      </w:r>
      <w:r>
        <w:rPr>
          <w:i/>
          <w:spacing w:val="-8"/>
          <w:sz w:val="16"/>
        </w:rPr>
        <w:t> </w:t>
      </w:r>
      <w:r>
        <w:rPr>
          <w:i/>
          <w:sz w:val="16"/>
        </w:rPr>
        <w:t>temor</w:t>
      </w:r>
      <w:r>
        <w:rPr>
          <w:i/>
          <w:spacing w:val="-7"/>
          <w:sz w:val="16"/>
        </w:rPr>
        <w:t> </w:t>
      </w:r>
      <w:r>
        <w:rPr>
          <w:i/>
          <w:sz w:val="16"/>
        </w:rPr>
        <w:t>y</w:t>
      </w:r>
      <w:r>
        <w:rPr>
          <w:i/>
          <w:spacing w:val="-8"/>
          <w:sz w:val="16"/>
        </w:rPr>
        <w:t> </w:t>
      </w:r>
      <w:r>
        <w:rPr>
          <w:i/>
          <w:sz w:val="16"/>
        </w:rPr>
        <w:t>de</w:t>
      </w:r>
      <w:r>
        <w:rPr>
          <w:i/>
          <w:spacing w:val="-8"/>
          <w:sz w:val="16"/>
        </w:rPr>
        <w:t> </w:t>
      </w:r>
      <w:r>
        <w:rPr>
          <w:i/>
          <w:sz w:val="16"/>
        </w:rPr>
        <w:t>la</w:t>
      </w:r>
      <w:r>
        <w:rPr>
          <w:i/>
          <w:spacing w:val="-8"/>
          <w:sz w:val="16"/>
        </w:rPr>
        <w:t> </w:t>
      </w:r>
      <w:r>
        <w:rPr>
          <w:i/>
          <w:sz w:val="16"/>
        </w:rPr>
        <w:t>miseria,</w:t>
      </w:r>
      <w:r>
        <w:rPr>
          <w:i/>
          <w:spacing w:val="-8"/>
          <w:sz w:val="16"/>
        </w:rPr>
        <w:t> </w:t>
      </w:r>
      <w:r>
        <w:rPr>
          <w:i/>
          <w:sz w:val="16"/>
        </w:rPr>
        <w:t>si</w:t>
      </w:r>
      <w:r>
        <w:rPr>
          <w:i/>
          <w:spacing w:val="-8"/>
          <w:sz w:val="16"/>
        </w:rPr>
        <w:t> </w:t>
      </w:r>
      <w:r>
        <w:rPr>
          <w:i/>
          <w:sz w:val="16"/>
        </w:rPr>
        <w:t>se</w:t>
      </w:r>
      <w:r>
        <w:rPr>
          <w:i/>
          <w:spacing w:val="-8"/>
          <w:sz w:val="16"/>
        </w:rPr>
        <w:t> </w:t>
      </w:r>
      <w:r>
        <w:rPr>
          <w:i/>
          <w:sz w:val="16"/>
        </w:rPr>
        <w:t>crean</w:t>
      </w:r>
      <w:r>
        <w:rPr>
          <w:i/>
          <w:spacing w:val="-8"/>
          <w:sz w:val="16"/>
        </w:rPr>
        <w:t> </w:t>
      </w:r>
      <w:r>
        <w:rPr>
          <w:i/>
          <w:sz w:val="16"/>
        </w:rPr>
        <w:t>condiciones</w:t>
      </w:r>
      <w:r>
        <w:rPr>
          <w:i/>
          <w:spacing w:val="-9"/>
          <w:sz w:val="16"/>
        </w:rPr>
        <w:t> </w:t>
      </w:r>
      <w:r>
        <w:rPr>
          <w:i/>
          <w:sz w:val="16"/>
        </w:rPr>
        <w:t>que</w:t>
      </w:r>
      <w:r>
        <w:rPr>
          <w:i/>
          <w:spacing w:val="-8"/>
          <w:sz w:val="16"/>
        </w:rPr>
        <w:t> </w:t>
      </w:r>
      <w:r>
        <w:rPr>
          <w:i/>
          <w:sz w:val="16"/>
        </w:rPr>
        <w:t>permitan a</w:t>
      </w:r>
      <w:r>
        <w:rPr>
          <w:i/>
          <w:spacing w:val="-5"/>
          <w:sz w:val="16"/>
        </w:rPr>
        <w:t> </w:t>
      </w:r>
      <w:r>
        <w:rPr>
          <w:i/>
          <w:sz w:val="16"/>
        </w:rPr>
        <w:t>cada</w:t>
      </w:r>
      <w:r>
        <w:rPr>
          <w:i/>
          <w:spacing w:val="-5"/>
          <w:sz w:val="16"/>
        </w:rPr>
        <w:t> </w:t>
      </w:r>
      <w:r>
        <w:rPr>
          <w:i/>
          <w:sz w:val="16"/>
        </w:rPr>
        <w:t>persona</w:t>
      </w:r>
      <w:r>
        <w:rPr>
          <w:i/>
          <w:spacing w:val="-4"/>
          <w:sz w:val="16"/>
        </w:rPr>
        <w:t> </w:t>
      </w:r>
      <w:r>
        <w:rPr>
          <w:i/>
          <w:sz w:val="16"/>
        </w:rPr>
        <w:t>gozar</w:t>
      </w:r>
      <w:r>
        <w:rPr>
          <w:i/>
          <w:spacing w:val="-4"/>
          <w:sz w:val="16"/>
        </w:rPr>
        <w:t> </w:t>
      </w:r>
      <w:r>
        <w:rPr>
          <w:i/>
          <w:sz w:val="16"/>
        </w:rPr>
        <w:t>de</w:t>
      </w:r>
      <w:r>
        <w:rPr>
          <w:i/>
          <w:spacing w:val="-5"/>
          <w:sz w:val="16"/>
        </w:rPr>
        <w:t> </w:t>
      </w:r>
      <w:r>
        <w:rPr>
          <w:i/>
          <w:sz w:val="16"/>
        </w:rPr>
        <w:t>sus</w:t>
      </w:r>
      <w:r>
        <w:rPr>
          <w:i/>
          <w:spacing w:val="-5"/>
          <w:sz w:val="16"/>
        </w:rPr>
        <w:t> </w:t>
      </w:r>
      <w:r>
        <w:rPr>
          <w:i/>
          <w:sz w:val="16"/>
        </w:rPr>
        <w:t>derechos</w:t>
      </w:r>
      <w:r>
        <w:rPr>
          <w:i/>
          <w:spacing w:val="-5"/>
          <w:sz w:val="16"/>
        </w:rPr>
        <w:t> </w:t>
      </w:r>
      <w:r>
        <w:rPr>
          <w:i/>
          <w:sz w:val="16"/>
        </w:rPr>
        <w:t>económicos,</w:t>
      </w:r>
      <w:r>
        <w:rPr>
          <w:i/>
          <w:spacing w:val="-5"/>
          <w:sz w:val="16"/>
        </w:rPr>
        <w:t> </w:t>
      </w:r>
      <w:r>
        <w:rPr>
          <w:i/>
          <w:sz w:val="16"/>
        </w:rPr>
        <w:t>sociales</w:t>
      </w:r>
      <w:r>
        <w:rPr>
          <w:i/>
          <w:spacing w:val="-4"/>
          <w:sz w:val="16"/>
        </w:rPr>
        <w:t> </w:t>
      </w:r>
      <w:r>
        <w:rPr>
          <w:i/>
          <w:sz w:val="16"/>
        </w:rPr>
        <w:t>y</w:t>
      </w:r>
      <w:r>
        <w:rPr>
          <w:i/>
          <w:spacing w:val="-4"/>
          <w:sz w:val="16"/>
        </w:rPr>
        <w:t> </w:t>
      </w:r>
      <w:r>
        <w:rPr>
          <w:i/>
          <w:sz w:val="16"/>
        </w:rPr>
        <w:t>culturales,</w:t>
      </w:r>
      <w:r>
        <w:rPr>
          <w:i/>
          <w:spacing w:val="-5"/>
          <w:sz w:val="16"/>
        </w:rPr>
        <w:t> </w:t>
      </w:r>
      <w:r>
        <w:rPr>
          <w:i/>
          <w:sz w:val="16"/>
        </w:rPr>
        <w:t>tanto</w:t>
      </w:r>
      <w:r>
        <w:rPr>
          <w:i/>
          <w:spacing w:val="-4"/>
          <w:sz w:val="16"/>
        </w:rPr>
        <w:t> </w:t>
      </w:r>
      <w:r>
        <w:rPr>
          <w:i/>
          <w:sz w:val="16"/>
        </w:rPr>
        <w:t>como</w:t>
      </w:r>
      <w:r>
        <w:rPr>
          <w:i/>
          <w:spacing w:val="-4"/>
          <w:sz w:val="16"/>
        </w:rPr>
        <w:t> </w:t>
      </w:r>
      <w:r>
        <w:rPr>
          <w:i/>
          <w:sz w:val="16"/>
        </w:rPr>
        <w:t>de</w:t>
      </w:r>
      <w:r>
        <w:rPr>
          <w:i/>
          <w:spacing w:val="-4"/>
          <w:sz w:val="16"/>
        </w:rPr>
        <w:t> </w:t>
      </w:r>
      <w:r>
        <w:rPr>
          <w:i/>
          <w:sz w:val="16"/>
        </w:rPr>
        <w:t>sus</w:t>
      </w:r>
      <w:r>
        <w:rPr>
          <w:i/>
          <w:spacing w:val="-5"/>
          <w:sz w:val="16"/>
        </w:rPr>
        <w:t> </w:t>
      </w:r>
      <w:r>
        <w:rPr>
          <w:i/>
          <w:sz w:val="16"/>
        </w:rPr>
        <w:t>derechos</w:t>
      </w:r>
      <w:r>
        <w:rPr>
          <w:i/>
          <w:spacing w:val="-4"/>
          <w:sz w:val="16"/>
        </w:rPr>
        <w:t> </w:t>
      </w:r>
      <w:r>
        <w:rPr>
          <w:i/>
          <w:sz w:val="16"/>
        </w:rPr>
        <w:t>civiles</w:t>
      </w:r>
      <w:r>
        <w:rPr>
          <w:i/>
          <w:spacing w:val="-5"/>
          <w:sz w:val="16"/>
        </w:rPr>
        <w:t> </w:t>
      </w:r>
      <w:r>
        <w:rPr>
          <w:i/>
          <w:sz w:val="16"/>
        </w:rPr>
        <w:t>y políticos</w:t>
      </w:r>
      <w:r>
        <w:rPr>
          <w:sz w:val="16"/>
        </w:rPr>
        <w:t>.”</w:t>
      </w:r>
    </w:p>
    <w:p>
      <w:pPr>
        <w:pStyle w:val="BodyText"/>
        <w:rPr>
          <w:sz w:val="16"/>
        </w:rPr>
      </w:pPr>
    </w:p>
    <w:p>
      <w:pPr>
        <w:spacing w:before="0"/>
        <w:ind w:left="681" w:right="119" w:firstLine="0"/>
        <w:jc w:val="both"/>
        <w:rPr>
          <w:i/>
          <w:sz w:val="16"/>
        </w:rPr>
      </w:pPr>
      <w:r>
        <w:rPr>
          <w:position w:val="6"/>
          <w:sz w:val="10"/>
        </w:rPr>
        <w:t>21 </w:t>
      </w:r>
      <w:r>
        <w:rPr>
          <w:sz w:val="16"/>
        </w:rPr>
        <w:t>5° Considerando: ¨…</w:t>
      </w:r>
      <w:r>
        <w:rPr>
          <w:i/>
          <w:sz w:val="16"/>
        </w:rPr>
        <w:t>la Tercera Conferencia Interamericana Extraordinaria (Buenos Aires, 1967) aprobó la </w:t>
      </w:r>
      <w:r>
        <w:rPr>
          <w:i/>
          <w:sz w:val="16"/>
        </w:rPr>
        <w:t>incorporación</w:t>
      </w:r>
      <w:r>
        <w:rPr>
          <w:i/>
          <w:spacing w:val="-14"/>
          <w:sz w:val="16"/>
        </w:rPr>
        <w:t> </w:t>
      </w:r>
      <w:r>
        <w:rPr>
          <w:i/>
          <w:sz w:val="16"/>
        </w:rPr>
        <w:t>a</w:t>
      </w:r>
      <w:r>
        <w:rPr>
          <w:i/>
          <w:spacing w:val="-13"/>
          <w:sz w:val="16"/>
        </w:rPr>
        <w:t> </w:t>
      </w:r>
      <w:r>
        <w:rPr>
          <w:i/>
          <w:sz w:val="16"/>
        </w:rPr>
        <w:t>la</w:t>
      </w:r>
      <w:r>
        <w:rPr>
          <w:i/>
          <w:spacing w:val="-14"/>
          <w:sz w:val="16"/>
        </w:rPr>
        <w:t> </w:t>
      </w:r>
      <w:r>
        <w:rPr>
          <w:i/>
          <w:sz w:val="16"/>
        </w:rPr>
        <w:t>propia</w:t>
      </w:r>
      <w:r>
        <w:rPr>
          <w:i/>
          <w:spacing w:val="-14"/>
          <w:sz w:val="16"/>
        </w:rPr>
        <w:t> </w:t>
      </w:r>
      <w:r>
        <w:rPr>
          <w:i/>
          <w:sz w:val="16"/>
        </w:rPr>
        <w:t>Carta</w:t>
      </w:r>
      <w:r>
        <w:rPr>
          <w:i/>
          <w:spacing w:val="-14"/>
          <w:sz w:val="16"/>
        </w:rPr>
        <w:t> </w:t>
      </w:r>
      <w:r>
        <w:rPr>
          <w:i/>
          <w:sz w:val="16"/>
        </w:rPr>
        <w:t>de</w:t>
      </w:r>
      <w:r>
        <w:rPr>
          <w:i/>
          <w:spacing w:val="-14"/>
          <w:sz w:val="16"/>
        </w:rPr>
        <w:t> </w:t>
      </w:r>
      <w:r>
        <w:rPr>
          <w:i/>
          <w:sz w:val="16"/>
        </w:rPr>
        <w:t>la</w:t>
      </w:r>
      <w:r>
        <w:rPr>
          <w:i/>
          <w:spacing w:val="-14"/>
          <w:sz w:val="16"/>
        </w:rPr>
        <w:t> </w:t>
      </w:r>
      <w:r>
        <w:rPr>
          <w:i/>
          <w:sz w:val="16"/>
        </w:rPr>
        <w:t>Organización</w:t>
      </w:r>
      <w:r>
        <w:rPr>
          <w:i/>
          <w:spacing w:val="-14"/>
          <w:sz w:val="16"/>
        </w:rPr>
        <w:t> </w:t>
      </w:r>
      <w:r>
        <w:rPr>
          <w:i/>
          <w:sz w:val="16"/>
        </w:rPr>
        <w:t>de</w:t>
      </w:r>
      <w:r>
        <w:rPr>
          <w:i/>
          <w:spacing w:val="-14"/>
          <w:sz w:val="16"/>
        </w:rPr>
        <w:t> </w:t>
      </w:r>
      <w:r>
        <w:rPr>
          <w:i/>
          <w:sz w:val="16"/>
        </w:rPr>
        <w:t>normas</w:t>
      </w:r>
      <w:r>
        <w:rPr>
          <w:i/>
          <w:spacing w:val="-14"/>
          <w:sz w:val="16"/>
        </w:rPr>
        <w:t> </w:t>
      </w:r>
      <w:r>
        <w:rPr>
          <w:i/>
          <w:sz w:val="16"/>
        </w:rPr>
        <w:t>más</w:t>
      </w:r>
      <w:r>
        <w:rPr>
          <w:i/>
          <w:spacing w:val="-15"/>
          <w:sz w:val="16"/>
        </w:rPr>
        <w:t> </w:t>
      </w:r>
      <w:r>
        <w:rPr>
          <w:i/>
          <w:sz w:val="16"/>
        </w:rPr>
        <w:t>amplias</w:t>
      </w:r>
      <w:r>
        <w:rPr>
          <w:i/>
          <w:spacing w:val="-15"/>
          <w:sz w:val="16"/>
        </w:rPr>
        <w:t> </w:t>
      </w:r>
      <w:r>
        <w:rPr>
          <w:i/>
          <w:sz w:val="16"/>
        </w:rPr>
        <w:t>sobre</w:t>
      </w:r>
      <w:r>
        <w:rPr>
          <w:i/>
          <w:spacing w:val="-14"/>
          <w:sz w:val="16"/>
        </w:rPr>
        <w:t> </w:t>
      </w:r>
      <w:r>
        <w:rPr>
          <w:i/>
          <w:sz w:val="16"/>
        </w:rPr>
        <w:t>derechos</w:t>
      </w:r>
      <w:r>
        <w:rPr>
          <w:i/>
          <w:spacing w:val="-13"/>
          <w:sz w:val="16"/>
        </w:rPr>
        <w:t> </w:t>
      </w:r>
      <w:r>
        <w:rPr>
          <w:i/>
          <w:sz w:val="16"/>
        </w:rPr>
        <w:t>económicos,</w:t>
      </w:r>
      <w:r>
        <w:rPr>
          <w:i/>
          <w:spacing w:val="-15"/>
          <w:sz w:val="16"/>
        </w:rPr>
        <w:t> </w:t>
      </w:r>
      <w:r>
        <w:rPr>
          <w:i/>
          <w:sz w:val="16"/>
        </w:rPr>
        <w:t>sociales y educacionales y resolvió que una convención interamericana sobre derechos humanos determinara la estructura, competencia y procedimiento de los órganos encargados de esa</w:t>
      </w:r>
      <w:r>
        <w:rPr>
          <w:i/>
          <w:spacing w:val="-26"/>
          <w:sz w:val="16"/>
        </w:rPr>
        <w:t> </w:t>
      </w:r>
      <w:r>
        <w:rPr>
          <w:i/>
          <w:sz w:val="16"/>
        </w:rPr>
        <w:t>materia¨.</w:t>
      </w:r>
    </w:p>
    <w:p>
      <w:pPr>
        <w:spacing w:after="0"/>
        <w:jc w:val="both"/>
        <w:rPr>
          <w:sz w:val="16"/>
        </w:rPr>
        <w:sectPr>
          <w:pgSz w:w="12240" w:h="15840"/>
          <w:pgMar w:header="0" w:footer="1000" w:top="1220" w:bottom="1200" w:left="1020" w:right="1580"/>
        </w:sectPr>
      </w:pPr>
    </w:p>
    <w:p>
      <w:pPr>
        <w:pStyle w:val="BodyText"/>
        <w:spacing w:before="83"/>
        <w:ind w:left="681" w:right="119"/>
        <w:jc w:val="both"/>
      </w:pPr>
      <w:r>
        <w:rPr/>
        <w:t>violación</w:t>
      </w:r>
      <w:r>
        <w:rPr>
          <w:spacing w:val="-10"/>
        </w:rPr>
        <w:t> </w:t>
      </w:r>
      <w:r>
        <w:rPr/>
        <w:t>de</w:t>
      </w:r>
      <w:r>
        <w:rPr>
          <w:spacing w:val="-9"/>
        </w:rPr>
        <w:t> </w:t>
      </w:r>
      <w:r>
        <w:rPr/>
        <w:t>los</w:t>
      </w:r>
      <w:r>
        <w:rPr>
          <w:spacing w:val="-9"/>
        </w:rPr>
        <w:t> </w:t>
      </w:r>
      <w:r>
        <w:rPr/>
        <w:t>derechos</w:t>
      </w:r>
      <w:r>
        <w:rPr>
          <w:spacing w:val="-8"/>
        </w:rPr>
        <w:t> </w:t>
      </w:r>
      <w:r>
        <w:rPr/>
        <w:t>a</w:t>
      </w:r>
      <w:r>
        <w:rPr>
          <w:spacing w:val="-9"/>
        </w:rPr>
        <w:t> </w:t>
      </w:r>
      <w:r>
        <w:rPr/>
        <w:t>que</w:t>
      </w:r>
      <w:r>
        <w:rPr>
          <w:spacing w:val="-6"/>
        </w:rPr>
        <w:t> </w:t>
      </w:r>
      <w:r>
        <w:rPr/>
        <w:t>alude</w:t>
      </w:r>
      <w:r>
        <w:rPr>
          <w:spacing w:val="-8"/>
        </w:rPr>
        <w:t> </w:t>
      </w:r>
      <w:r>
        <w:rPr/>
        <w:t>son</w:t>
      </w:r>
      <w:r>
        <w:rPr>
          <w:spacing w:val="-9"/>
        </w:rPr>
        <w:t> </w:t>
      </w:r>
      <w:r>
        <w:rPr/>
        <w:t>justiciables</w:t>
      </w:r>
      <w:r>
        <w:rPr>
          <w:spacing w:val="-8"/>
        </w:rPr>
        <w:t> </w:t>
      </w:r>
      <w:r>
        <w:rPr/>
        <w:t>ante</w:t>
      </w:r>
      <w:r>
        <w:rPr>
          <w:spacing w:val="-8"/>
        </w:rPr>
        <w:t> </w:t>
      </w:r>
      <w:r>
        <w:rPr/>
        <w:t>la</w:t>
      </w:r>
      <w:r>
        <w:rPr>
          <w:spacing w:val="-9"/>
        </w:rPr>
        <w:t> </w:t>
      </w:r>
      <w:r>
        <w:rPr/>
        <w:t>Corte,</w:t>
      </w:r>
      <w:r>
        <w:rPr>
          <w:spacing w:val="-8"/>
        </w:rPr>
        <w:t> </w:t>
      </w:r>
      <w:r>
        <w:rPr/>
        <w:t>sino</w:t>
      </w:r>
      <w:r>
        <w:rPr>
          <w:spacing w:val="-9"/>
        </w:rPr>
        <w:t> </w:t>
      </w:r>
      <w:r>
        <w:rPr/>
        <w:t>que</w:t>
      </w:r>
      <w:r>
        <w:rPr>
          <w:spacing w:val="-8"/>
        </w:rPr>
        <w:t> </w:t>
      </w:r>
      <w:r>
        <w:rPr/>
        <w:t>los</w:t>
      </w:r>
      <w:r>
        <w:rPr>
          <w:spacing w:val="-10"/>
        </w:rPr>
        <w:t> </w:t>
      </w:r>
      <w:r>
        <w:rPr/>
        <w:t>Estados adopten las providencias pertinentes para hacer progresivamente efectivos dichos derechos.</w:t>
      </w:r>
    </w:p>
    <w:p>
      <w:pPr>
        <w:pStyle w:val="BodyText"/>
        <w:rPr>
          <w:sz w:val="24"/>
        </w:rPr>
      </w:pPr>
    </w:p>
    <w:p>
      <w:pPr>
        <w:pStyle w:val="Heading3"/>
        <w:numPr>
          <w:ilvl w:val="1"/>
          <w:numId w:val="44"/>
        </w:numPr>
        <w:tabs>
          <w:tab w:pos="1610" w:val="left" w:leader="none"/>
        </w:tabs>
        <w:spacing w:line="240" w:lineRule="auto" w:before="194" w:after="0"/>
        <w:ind w:left="1609" w:right="0" w:hanging="360"/>
        <w:jc w:val="left"/>
      </w:pPr>
      <w:r>
        <w:rPr/>
        <w:t>Método textual o</w:t>
      </w:r>
      <w:r>
        <w:rPr>
          <w:spacing w:val="-5"/>
        </w:rPr>
        <w:t> </w:t>
      </w:r>
      <w:r>
        <w:rPr/>
        <w:t>literal.</w:t>
      </w:r>
    </w:p>
    <w:p>
      <w:pPr>
        <w:pStyle w:val="BodyText"/>
        <w:spacing w:before="11"/>
        <w:rPr>
          <w:b/>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Al interpretar el artículo 26 a la luz del método de interpretación literal de un tratado, se puede concluir en que dicha</w:t>
      </w:r>
      <w:r>
        <w:rPr>
          <w:spacing w:val="-6"/>
          <w:sz w:val="20"/>
        </w:rPr>
        <w:t> </w:t>
      </w:r>
      <w:r>
        <w:rPr>
          <w:sz w:val="20"/>
        </w:rPr>
        <w:t>norma:</w:t>
      </w:r>
    </w:p>
    <w:p>
      <w:pPr>
        <w:pStyle w:val="BodyText"/>
        <w:spacing w:before="11"/>
        <w:rPr>
          <w:sz w:val="19"/>
        </w:rPr>
      </w:pPr>
    </w:p>
    <w:p>
      <w:pPr>
        <w:pStyle w:val="ListParagraph"/>
        <w:numPr>
          <w:ilvl w:val="0"/>
          <w:numId w:val="54"/>
        </w:numPr>
        <w:tabs>
          <w:tab w:pos="1390" w:val="left" w:leader="none"/>
        </w:tabs>
        <w:spacing w:line="240" w:lineRule="auto" w:before="0" w:after="0"/>
        <w:ind w:left="681" w:right="117" w:firstLine="0"/>
        <w:jc w:val="both"/>
        <w:rPr>
          <w:sz w:val="20"/>
        </w:rPr>
      </w:pPr>
      <w:r>
        <w:rPr>
          <w:sz w:val="20"/>
        </w:rPr>
        <w:t>no enumera ni detalla o especifica los derechos que alude, tan solo los identifica como los “que se derivan</w:t>
      </w:r>
      <w:r>
        <w:rPr>
          <w:position w:val="7"/>
          <w:sz w:val="13"/>
        </w:rPr>
        <w:t>22 </w:t>
      </w:r>
      <w:r>
        <w:rPr>
          <w:sz w:val="20"/>
        </w:rPr>
        <w:t>de las normas económicas, sociales y sobre educación, ciencia y cultura, contenidas en la Carta de la” OEA, vale decir, derechos que se desprenden o se pueden inferir</w:t>
      </w:r>
      <w:r>
        <w:rPr>
          <w:rFonts w:ascii="Calibri" w:hAnsi="Calibri"/>
          <w:position w:val="8"/>
          <w:sz w:val="14"/>
        </w:rPr>
        <w:t>23  </w:t>
      </w:r>
      <w:r>
        <w:rPr>
          <w:sz w:val="20"/>
        </w:rPr>
        <w:t>de disposiciones de esta</w:t>
      </w:r>
      <w:r>
        <w:rPr>
          <w:spacing w:val="-10"/>
          <w:sz w:val="20"/>
        </w:rPr>
        <w:t> </w:t>
      </w:r>
      <w:r>
        <w:rPr>
          <w:sz w:val="20"/>
        </w:rPr>
        <w:t>última;</w:t>
      </w:r>
    </w:p>
    <w:p>
      <w:pPr>
        <w:pStyle w:val="BodyText"/>
        <w:spacing w:before="4"/>
        <w:rPr>
          <w:sz w:val="21"/>
        </w:rPr>
      </w:pPr>
    </w:p>
    <w:p>
      <w:pPr>
        <w:pStyle w:val="ListParagraph"/>
        <w:numPr>
          <w:ilvl w:val="0"/>
          <w:numId w:val="54"/>
        </w:numPr>
        <w:tabs>
          <w:tab w:pos="1390" w:val="left" w:leader="none"/>
        </w:tabs>
        <w:spacing w:line="240" w:lineRule="auto" w:before="0" w:after="0"/>
        <w:ind w:left="1390" w:right="0" w:hanging="709"/>
        <w:jc w:val="both"/>
        <w:rPr>
          <w:sz w:val="20"/>
        </w:rPr>
      </w:pPr>
      <w:r>
        <w:rPr>
          <w:sz w:val="20"/>
        </w:rPr>
        <w:t>no prescribe el respeto de derechos humanos ni que se garantice su</w:t>
      </w:r>
      <w:r>
        <w:rPr>
          <w:spacing w:val="-17"/>
          <w:sz w:val="20"/>
        </w:rPr>
        <w:t> </w:t>
      </w:r>
      <w:r>
        <w:rPr>
          <w:sz w:val="20"/>
        </w:rPr>
        <w:t>respeto;</w:t>
      </w:r>
    </w:p>
    <w:p>
      <w:pPr>
        <w:pStyle w:val="BodyText"/>
        <w:spacing w:before="12"/>
        <w:rPr>
          <w:sz w:val="19"/>
        </w:rPr>
      </w:pPr>
    </w:p>
    <w:p>
      <w:pPr>
        <w:pStyle w:val="ListParagraph"/>
        <w:numPr>
          <w:ilvl w:val="0"/>
          <w:numId w:val="54"/>
        </w:numPr>
        <w:tabs>
          <w:tab w:pos="1390" w:val="left" w:leader="none"/>
        </w:tabs>
        <w:spacing w:line="240" w:lineRule="auto" w:before="0" w:after="0"/>
        <w:ind w:left="1390" w:right="0" w:hanging="709"/>
        <w:jc w:val="both"/>
        <w:rPr>
          <w:sz w:val="20"/>
        </w:rPr>
      </w:pPr>
      <w:r>
        <w:rPr>
          <w:sz w:val="20"/>
        </w:rPr>
        <w:t>no consagra ni contempla los derechos a que se</w:t>
      </w:r>
      <w:r>
        <w:rPr>
          <w:spacing w:val="-13"/>
          <w:sz w:val="20"/>
        </w:rPr>
        <w:t> </w:t>
      </w:r>
      <w:r>
        <w:rPr>
          <w:sz w:val="20"/>
        </w:rPr>
        <w:t>refiere;</w:t>
      </w:r>
    </w:p>
    <w:p>
      <w:pPr>
        <w:pStyle w:val="BodyText"/>
        <w:spacing w:before="12"/>
        <w:rPr>
          <w:sz w:val="19"/>
        </w:rPr>
      </w:pPr>
    </w:p>
    <w:p>
      <w:pPr>
        <w:pStyle w:val="ListParagraph"/>
        <w:numPr>
          <w:ilvl w:val="0"/>
          <w:numId w:val="54"/>
        </w:numPr>
        <w:tabs>
          <w:tab w:pos="1390" w:val="left" w:leader="none"/>
        </w:tabs>
        <w:spacing w:line="240" w:lineRule="auto" w:before="0" w:after="0"/>
        <w:ind w:left="681" w:right="119" w:firstLine="0"/>
        <w:jc w:val="both"/>
        <w:rPr>
          <w:sz w:val="20"/>
        </w:rPr>
      </w:pPr>
      <w:r>
        <w:rPr>
          <w:sz w:val="20"/>
        </w:rPr>
        <w:t>no hace efectivos o exigibles tales derechos, pues si así lo hubiera querido, lo habría expresado derechamente y sin ambigüedad</w:t>
      </w:r>
      <w:r>
        <w:rPr>
          <w:spacing w:val="-14"/>
          <w:sz w:val="20"/>
        </w:rPr>
        <w:t> </w:t>
      </w:r>
      <w:r>
        <w:rPr>
          <w:sz w:val="20"/>
        </w:rPr>
        <w:t>alguna;</w:t>
      </w:r>
    </w:p>
    <w:p>
      <w:pPr>
        <w:pStyle w:val="BodyText"/>
        <w:spacing w:before="12"/>
        <w:rPr>
          <w:sz w:val="19"/>
        </w:rPr>
      </w:pPr>
    </w:p>
    <w:p>
      <w:pPr>
        <w:pStyle w:val="ListParagraph"/>
        <w:numPr>
          <w:ilvl w:val="0"/>
          <w:numId w:val="54"/>
        </w:numPr>
        <w:tabs>
          <w:tab w:pos="1390" w:val="left" w:leader="none"/>
        </w:tabs>
        <w:spacing w:line="240" w:lineRule="auto" w:before="0" w:after="0"/>
        <w:ind w:left="681" w:right="118" w:firstLine="0"/>
        <w:jc w:val="both"/>
        <w:rPr>
          <w:i/>
          <w:sz w:val="20"/>
        </w:rPr>
      </w:pPr>
      <w:r>
        <w:rPr>
          <w:sz w:val="20"/>
        </w:rPr>
        <w:t>dispone,</w:t>
      </w:r>
      <w:r>
        <w:rPr>
          <w:spacing w:val="-11"/>
          <w:sz w:val="20"/>
        </w:rPr>
        <w:t> </w:t>
      </w:r>
      <w:r>
        <w:rPr>
          <w:sz w:val="20"/>
        </w:rPr>
        <w:t>en</w:t>
      </w:r>
      <w:r>
        <w:rPr>
          <w:spacing w:val="-11"/>
          <w:sz w:val="20"/>
        </w:rPr>
        <w:t> </w:t>
      </w:r>
      <w:r>
        <w:rPr>
          <w:sz w:val="20"/>
        </w:rPr>
        <w:t>cambio,</w:t>
      </w:r>
      <w:r>
        <w:rPr>
          <w:spacing w:val="-11"/>
          <w:sz w:val="20"/>
        </w:rPr>
        <w:t> </w:t>
      </w:r>
      <w:r>
        <w:rPr>
          <w:sz w:val="20"/>
        </w:rPr>
        <w:t>una</w:t>
      </w:r>
      <w:r>
        <w:rPr>
          <w:spacing w:val="-11"/>
          <w:sz w:val="20"/>
        </w:rPr>
        <w:t> </w:t>
      </w:r>
      <w:r>
        <w:rPr>
          <w:sz w:val="20"/>
        </w:rPr>
        <w:t>obligación</w:t>
      </w:r>
      <w:r>
        <w:rPr>
          <w:spacing w:val="-12"/>
          <w:sz w:val="20"/>
        </w:rPr>
        <w:t> </w:t>
      </w:r>
      <w:r>
        <w:rPr>
          <w:sz w:val="20"/>
        </w:rPr>
        <w:t>de</w:t>
      </w:r>
      <w:r>
        <w:rPr>
          <w:spacing w:val="-10"/>
          <w:sz w:val="20"/>
        </w:rPr>
        <w:t> </w:t>
      </w:r>
      <w:r>
        <w:rPr>
          <w:sz w:val="20"/>
        </w:rPr>
        <w:t>hacer,</w:t>
      </w:r>
      <w:r>
        <w:rPr>
          <w:spacing w:val="-11"/>
          <w:sz w:val="20"/>
        </w:rPr>
        <w:t> </w:t>
      </w:r>
      <w:r>
        <w:rPr>
          <w:sz w:val="20"/>
        </w:rPr>
        <w:t>no</w:t>
      </w:r>
      <w:r>
        <w:rPr>
          <w:spacing w:val="-10"/>
          <w:sz w:val="20"/>
        </w:rPr>
        <w:t> </w:t>
      </w:r>
      <w:r>
        <w:rPr>
          <w:sz w:val="20"/>
        </w:rPr>
        <w:t>de</w:t>
      </w:r>
      <w:r>
        <w:rPr>
          <w:spacing w:val="-9"/>
          <w:sz w:val="20"/>
        </w:rPr>
        <w:t> </w:t>
      </w:r>
      <w:r>
        <w:rPr>
          <w:sz w:val="20"/>
        </w:rPr>
        <w:t>resultado,</w:t>
      </w:r>
      <w:r>
        <w:rPr>
          <w:spacing w:val="-10"/>
          <w:sz w:val="20"/>
        </w:rPr>
        <w:t> </w:t>
      </w:r>
      <w:r>
        <w:rPr>
          <w:sz w:val="20"/>
        </w:rPr>
        <w:t>consistente</w:t>
      </w:r>
      <w:r>
        <w:rPr>
          <w:spacing w:val="-10"/>
          <w:sz w:val="20"/>
        </w:rPr>
        <w:t> </w:t>
      </w:r>
      <w:r>
        <w:rPr>
          <w:sz w:val="20"/>
        </w:rPr>
        <w:t>en</w:t>
      </w:r>
      <w:r>
        <w:rPr>
          <w:spacing w:val="-10"/>
          <w:sz w:val="20"/>
        </w:rPr>
        <w:t> </w:t>
      </w:r>
      <w:r>
        <w:rPr>
          <w:sz w:val="20"/>
        </w:rPr>
        <w:t>que los Estados Partes de la Convención deben “adoptar providencias, tanto a nivel interno como mediante la cooperación internacional, especialmente económica y técnica, para lograr progresivamente la plena efectividad de los derechos” a que se</w:t>
      </w:r>
      <w:r>
        <w:rPr>
          <w:spacing w:val="-12"/>
          <w:sz w:val="20"/>
        </w:rPr>
        <w:t> </w:t>
      </w:r>
      <w:r>
        <w:rPr>
          <w:sz w:val="20"/>
        </w:rPr>
        <w:t>refiere</w:t>
      </w:r>
      <w:r>
        <w:rPr>
          <w:i/>
          <w:sz w:val="20"/>
        </w:rPr>
        <w:t>;</w:t>
      </w:r>
    </w:p>
    <w:p>
      <w:pPr>
        <w:pStyle w:val="BodyText"/>
        <w:spacing w:before="12"/>
        <w:rPr>
          <w:i/>
          <w:sz w:val="19"/>
        </w:rPr>
      </w:pPr>
    </w:p>
    <w:p>
      <w:pPr>
        <w:pStyle w:val="ListParagraph"/>
        <w:numPr>
          <w:ilvl w:val="0"/>
          <w:numId w:val="54"/>
        </w:numPr>
        <w:tabs>
          <w:tab w:pos="1390" w:val="left" w:leader="none"/>
        </w:tabs>
        <w:spacing w:line="240" w:lineRule="auto" w:before="0" w:after="0"/>
        <w:ind w:left="681" w:right="116" w:firstLine="0"/>
        <w:jc w:val="both"/>
        <w:rPr>
          <w:sz w:val="20"/>
        </w:rPr>
      </w:pPr>
      <w:r>
        <w:rPr>
          <w:sz w:val="20"/>
        </w:rPr>
        <w:t>indica que la obligación de comportamiento que establece se cumple </w:t>
      </w:r>
      <w:r>
        <w:rPr>
          <w:i/>
          <w:sz w:val="20"/>
        </w:rPr>
        <w:t>“</w:t>
      </w:r>
      <w:r>
        <w:rPr>
          <w:sz w:val="20"/>
        </w:rPr>
        <w:t>en la medida de los recursos disponibles, por vía legislativa u otros medios apropiados”, con lo que no sólo refuerza la falta de efectividad de tales derechos, sino que condiciona la posibilidad</w:t>
      </w:r>
      <w:r>
        <w:rPr>
          <w:spacing w:val="-9"/>
          <w:sz w:val="20"/>
        </w:rPr>
        <w:t> </w:t>
      </w:r>
      <w:r>
        <w:rPr>
          <w:sz w:val="20"/>
        </w:rPr>
        <w:t>de</w:t>
      </w:r>
      <w:r>
        <w:rPr>
          <w:spacing w:val="-9"/>
          <w:sz w:val="20"/>
        </w:rPr>
        <w:t> </w:t>
      </w:r>
      <w:r>
        <w:rPr>
          <w:sz w:val="20"/>
        </w:rPr>
        <w:t>cumplir</w:t>
      </w:r>
      <w:r>
        <w:rPr>
          <w:spacing w:val="-9"/>
          <w:sz w:val="20"/>
        </w:rPr>
        <w:t> </w:t>
      </w:r>
      <w:r>
        <w:rPr>
          <w:sz w:val="20"/>
        </w:rPr>
        <w:t>aquella</w:t>
      </w:r>
      <w:r>
        <w:rPr>
          <w:spacing w:val="-8"/>
          <w:sz w:val="20"/>
        </w:rPr>
        <w:t> </w:t>
      </w:r>
      <w:r>
        <w:rPr>
          <w:sz w:val="20"/>
        </w:rPr>
        <w:t>a</w:t>
      </w:r>
      <w:r>
        <w:rPr>
          <w:spacing w:val="-10"/>
          <w:sz w:val="20"/>
        </w:rPr>
        <w:t> </w:t>
      </w:r>
      <w:r>
        <w:rPr>
          <w:sz w:val="20"/>
        </w:rPr>
        <w:t>la</w:t>
      </w:r>
      <w:r>
        <w:rPr>
          <w:spacing w:val="-10"/>
          <w:sz w:val="20"/>
        </w:rPr>
        <w:t> </w:t>
      </w:r>
      <w:r>
        <w:rPr>
          <w:sz w:val="20"/>
        </w:rPr>
        <w:t>existencia</w:t>
      </w:r>
      <w:r>
        <w:rPr>
          <w:spacing w:val="-8"/>
          <w:sz w:val="20"/>
        </w:rPr>
        <w:t> </w:t>
      </w:r>
      <w:r>
        <w:rPr>
          <w:sz w:val="20"/>
        </w:rPr>
        <w:t>de</w:t>
      </w:r>
      <w:r>
        <w:rPr>
          <w:spacing w:val="-9"/>
          <w:sz w:val="20"/>
        </w:rPr>
        <w:t> </w:t>
      </w:r>
      <w:r>
        <w:rPr>
          <w:sz w:val="20"/>
        </w:rPr>
        <w:t>los</w:t>
      </w:r>
      <w:r>
        <w:rPr>
          <w:spacing w:val="-5"/>
          <w:sz w:val="20"/>
        </w:rPr>
        <w:t> </w:t>
      </w:r>
      <w:r>
        <w:rPr>
          <w:sz w:val="20"/>
        </w:rPr>
        <w:t>recursos</w:t>
      </w:r>
      <w:r>
        <w:rPr>
          <w:spacing w:val="-8"/>
          <w:sz w:val="20"/>
        </w:rPr>
        <w:t> </w:t>
      </w:r>
      <w:r>
        <w:rPr>
          <w:sz w:val="20"/>
        </w:rPr>
        <w:t>de</w:t>
      </w:r>
      <w:r>
        <w:rPr>
          <w:spacing w:val="-9"/>
          <w:sz w:val="20"/>
        </w:rPr>
        <w:t> </w:t>
      </w:r>
      <w:r>
        <w:rPr>
          <w:sz w:val="20"/>
        </w:rPr>
        <w:t>que</w:t>
      </w:r>
      <w:r>
        <w:rPr>
          <w:spacing w:val="-9"/>
          <w:sz w:val="20"/>
        </w:rPr>
        <w:t> </w:t>
      </w:r>
      <w:r>
        <w:rPr>
          <w:sz w:val="20"/>
        </w:rPr>
        <w:t>el</w:t>
      </w:r>
      <w:r>
        <w:rPr>
          <w:spacing w:val="-8"/>
          <w:sz w:val="20"/>
        </w:rPr>
        <w:t> </w:t>
      </w:r>
      <w:r>
        <w:rPr>
          <w:sz w:val="20"/>
        </w:rPr>
        <w:t>pertinente</w:t>
      </w:r>
      <w:r>
        <w:rPr>
          <w:spacing w:val="-9"/>
          <w:sz w:val="20"/>
        </w:rPr>
        <w:t> </w:t>
      </w:r>
      <w:r>
        <w:rPr>
          <w:sz w:val="20"/>
        </w:rPr>
        <w:t>Estado disponga para ello;</w:t>
      </w:r>
      <w:r>
        <w:rPr>
          <w:spacing w:val="-7"/>
          <w:sz w:val="20"/>
        </w:rPr>
        <w:t> </w:t>
      </w:r>
      <w:r>
        <w:rPr>
          <w:sz w:val="20"/>
        </w:rPr>
        <w:t>y</w:t>
      </w:r>
    </w:p>
    <w:p>
      <w:pPr>
        <w:pStyle w:val="BodyText"/>
        <w:spacing w:before="12"/>
        <w:rPr>
          <w:sz w:val="19"/>
        </w:rPr>
      </w:pPr>
    </w:p>
    <w:p>
      <w:pPr>
        <w:pStyle w:val="ListParagraph"/>
        <w:numPr>
          <w:ilvl w:val="0"/>
          <w:numId w:val="54"/>
        </w:numPr>
        <w:tabs>
          <w:tab w:pos="1390" w:val="left" w:leader="none"/>
        </w:tabs>
        <w:spacing w:line="240" w:lineRule="auto" w:before="0" w:after="0"/>
        <w:ind w:left="681" w:right="115" w:firstLine="0"/>
        <w:jc w:val="both"/>
        <w:rPr>
          <w:sz w:val="20"/>
        </w:rPr>
      </w:pPr>
      <w:r>
        <w:rPr>
          <w:sz w:val="20"/>
        </w:rPr>
        <w:t>hace</w:t>
      </w:r>
      <w:r>
        <w:rPr>
          <w:spacing w:val="-9"/>
          <w:sz w:val="20"/>
        </w:rPr>
        <w:t> </w:t>
      </w:r>
      <w:r>
        <w:rPr>
          <w:sz w:val="20"/>
        </w:rPr>
        <w:t>depender</w:t>
      </w:r>
      <w:r>
        <w:rPr>
          <w:spacing w:val="-9"/>
          <w:sz w:val="20"/>
        </w:rPr>
        <w:t> </w:t>
      </w:r>
      <w:r>
        <w:rPr>
          <w:sz w:val="20"/>
        </w:rPr>
        <w:t>la</w:t>
      </w:r>
      <w:r>
        <w:rPr>
          <w:spacing w:val="-10"/>
          <w:sz w:val="20"/>
        </w:rPr>
        <w:t> </w:t>
      </w:r>
      <w:r>
        <w:rPr>
          <w:sz w:val="20"/>
        </w:rPr>
        <w:t>adopción</w:t>
      </w:r>
      <w:r>
        <w:rPr>
          <w:spacing w:val="-8"/>
          <w:sz w:val="20"/>
        </w:rPr>
        <w:t> </w:t>
      </w:r>
      <w:r>
        <w:rPr>
          <w:sz w:val="20"/>
        </w:rPr>
        <w:t>de</w:t>
      </w:r>
      <w:r>
        <w:rPr>
          <w:spacing w:val="-9"/>
          <w:sz w:val="20"/>
        </w:rPr>
        <w:t> </w:t>
      </w:r>
      <w:r>
        <w:rPr>
          <w:sz w:val="20"/>
        </w:rPr>
        <w:t>las</w:t>
      </w:r>
      <w:r>
        <w:rPr>
          <w:spacing w:val="-9"/>
          <w:sz w:val="20"/>
        </w:rPr>
        <w:t> </w:t>
      </w:r>
      <w:r>
        <w:rPr>
          <w:sz w:val="20"/>
        </w:rPr>
        <w:t>medidas</w:t>
      </w:r>
      <w:r>
        <w:rPr>
          <w:spacing w:val="-10"/>
          <w:sz w:val="20"/>
        </w:rPr>
        <w:t> </w:t>
      </w:r>
      <w:r>
        <w:rPr>
          <w:sz w:val="20"/>
        </w:rPr>
        <w:t>de</w:t>
      </w:r>
      <w:r>
        <w:rPr>
          <w:spacing w:val="-8"/>
          <w:sz w:val="20"/>
        </w:rPr>
        <w:t> </w:t>
      </w:r>
      <w:r>
        <w:rPr>
          <w:sz w:val="20"/>
        </w:rPr>
        <w:t>que</w:t>
      </w:r>
      <w:r>
        <w:rPr>
          <w:spacing w:val="-8"/>
          <w:sz w:val="20"/>
        </w:rPr>
        <w:t> </w:t>
      </w:r>
      <w:r>
        <w:rPr>
          <w:sz w:val="20"/>
        </w:rPr>
        <w:t>se</w:t>
      </w:r>
      <w:r>
        <w:rPr>
          <w:spacing w:val="-8"/>
          <w:sz w:val="20"/>
        </w:rPr>
        <w:t> </w:t>
      </w:r>
      <w:r>
        <w:rPr>
          <w:sz w:val="20"/>
        </w:rPr>
        <w:t>trata,</w:t>
      </w:r>
      <w:r>
        <w:rPr>
          <w:spacing w:val="-9"/>
          <w:sz w:val="20"/>
        </w:rPr>
        <w:t> </w:t>
      </w:r>
      <w:r>
        <w:rPr>
          <w:sz w:val="20"/>
        </w:rPr>
        <w:t>no</w:t>
      </w:r>
      <w:r>
        <w:rPr>
          <w:spacing w:val="-8"/>
          <w:sz w:val="20"/>
        </w:rPr>
        <w:t> </w:t>
      </w:r>
      <w:r>
        <w:rPr>
          <w:sz w:val="20"/>
        </w:rPr>
        <w:t>sólo</w:t>
      </w:r>
      <w:r>
        <w:rPr>
          <w:spacing w:val="-10"/>
          <w:sz w:val="20"/>
        </w:rPr>
        <w:t> </w:t>
      </w:r>
      <w:r>
        <w:rPr>
          <w:sz w:val="20"/>
        </w:rPr>
        <w:t>de</w:t>
      </w:r>
      <w:r>
        <w:rPr>
          <w:spacing w:val="-9"/>
          <w:sz w:val="20"/>
        </w:rPr>
        <w:t> </w:t>
      </w:r>
      <w:r>
        <w:rPr>
          <w:sz w:val="20"/>
        </w:rPr>
        <w:t>la</w:t>
      </w:r>
      <w:r>
        <w:rPr>
          <w:spacing w:val="-9"/>
          <w:sz w:val="20"/>
        </w:rPr>
        <w:t> </w:t>
      </w:r>
      <w:r>
        <w:rPr>
          <w:sz w:val="20"/>
        </w:rPr>
        <w:t>voluntad unilateral</w:t>
      </w:r>
      <w:r>
        <w:rPr>
          <w:spacing w:val="-9"/>
          <w:sz w:val="20"/>
        </w:rPr>
        <w:t> </w:t>
      </w:r>
      <w:r>
        <w:rPr>
          <w:sz w:val="20"/>
        </w:rPr>
        <w:t>del</w:t>
      </w:r>
      <w:r>
        <w:rPr>
          <w:spacing w:val="-10"/>
          <w:sz w:val="20"/>
        </w:rPr>
        <w:t> </w:t>
      </w:r>
      <w:r>
        <w:rPr>
          <w:sz w:val="20"/>
        </w:rPr>
        <w:t>correspondiente</w:t>
      </w:r>
      <w:r>
        <w:rPr>
          <w:spacing w:val="-11"/>
          <w:sz w:val="20"/>
        </w:rPr>
        <w:t> </w:t>
      </w:r>
      <w:r>
        <w:rPr>
          <w:sz w:val="20"/>
        </w:rPr>
        <w:t>Estado,</w:t>
      </w:r>
      <w:r>
        <w:rPr>
          <w:spacing w:val="-9"/>
          <w:sz w:val="20"/>
        </w:rPr>
        <w:t> </w:t>
      </w:r>
      <w:r>
        <w:rPr>
          <w:sz w:val="20"/>
        </w:rPr>
        <w:t>sino</w:t>
      </w:r>
      <w:r>
        <w:rPr>
          <w:spacing w:val="-12"/>
          <w:sz w:val="20"/>
        </w:rPr>
        <w:t> </w:t>
      </w:r>
      <w:r>
        <w:rPr>
          <w:sz w:val="20"/>
        </w:rPr>
        <w:t>de</w:t>
      </w:r>
      <w:r>
        <w:rPr>
          <w:spacing w:val="-10"/>
          <w:sz w:val="20"/>
        </w:rPr>
        <w:t> </w:t>
      </w:r>
      <w:r>
        <w:rPr>
          <w:sz w:val="20"/>
        </w:rPr>
        <w:t>los</w:t>
      </w:r>
      <w:r>
        <w:rPr>
          <w:spacing w:val="-11"/>
          <w:sz w:val="20"/>
        </w:rPr>
        <w:t> </w:t>
      </w:r>
      <w:r>
        <w:rPr>
          <w:sz w:val="20"/>
        </w:rPr>
        <w:t>acuerdos</w:t>
      </w:r>
      <w:r>
        <w:rPr>
          <w:spacing w:val="-9"/>
          <w:sz w:val="20"/>
        </w:rPr>
        <w:t> </w:t>
      </w:r>
      <w:r>
        <w:rPr>
          <w:sz w:val="20"/>
        </w:rPr>
        <w:t>que</w:t>
      </w:r>
      <w:r>
        <w:rPr>
          <w:spacing w:val="-11"/>
          <w:sz w:val="20"/>
        </w:rPr>
        <w:t> </w:t>
      </w:r>
      <w:r>
        <w:rPr>
          <w:sz w:val="20"/>
        </w:rPr>
        <w:t>él</w:t>
      </w:r>
      <w:r>
        <w:rPr>
          <w:spacing w:val="-10"/>
          <w:sz w:val="20"/>
        </w:rPr>
        <w:t> </w:t>
      </w:r>
      <w:r>
        <w:rPr>
          <w:sz w:val="20"/>
        </w:rPr>
        <w:t>pueda</w:t>
      </w:r>
      <w:r>
        <w:rPr>
          <w:spacing w:val="-10"/>
          <w:sz w:val="20"/>
        </w:rPr>
        <w:t> </w:t>
      </w:r>
      <w:r>
        <w:rPr>
          <w:sz w:val="20"/>
        </w:rPr>
        <w:t>llegar</w:t>
      </w:r>
      <w:r>
        <w:rPr>
          <w:spacing w:val="-10"/>
          <w:sz w:val="20"/>
        </w:rPr>
        <w:t> </w:t>
      </w:r>
      <w:r>
        <w:rPr>
          <w:sz w:val="20"/>
        </w:rPr>
        <w:t>con</w:t>
      </w:r>
      <w:r>
        <w:rPr>
          <w:spacing w:val="-9"/>
          <w:sz w:val="20"/>
        </w:rPr>
        <w:t> </w:t>
      </w:r>
      <w:r>
        <w:rPr>
          <w:sz w:val="20"/>
        </w:rPr>
        <w:t>otros Estados, también soberanos, y con organizaciones internacionales de</w:t>
      </w:r>
      <w:r>
        <w:rPr>
          <w:spacing w:val="-26"/>
          <w:sz w:val="20"/>
        </w:rPr>
        <w:t> </w:t>
      </w:r>
      <w:r>
        <w:rPr>
          <w:sz w:val="20"/>
        </w:rPr>
        <w:t>cooperación.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r>
        <w:rPr/>
        <w:pict>
          <v:line style="position:absolute;mso-position-horizontal-relative:page;mso-position-vertical-relative:paragraph;z-index:3952;mso-wrap-distance-left:0;mso-wrap-distance-right:0" from="56.700001pt,17.298868pt" to="200.720001pt,17.298868pt" stroked="true" strokeweight=".71997pt" strokecolor="#000000">
            <v:stroke dashstyle="solid"/>
            <w10:wrap type="topAndBottom"/>
          </v:line>
        </w:pict>
      </w:r>
    </w:p>
    <w:p>
      <w:pPr>
        <w:spacing w:before="70"/>
        <w:ind w:left="114" w:right="31" w:firstLine="0"/>
        <w:jc w:val="left"/>
        <w:rPr>
          <w:sz w:val="16"/>
        </w:rPr>
      </w:pPr>
      <w:r>
        <w:rPr>
          <w:position w:val="6"/>
          <w:sz w:val="10"/>
        </w:rPr>
        <w:t>22 </w:t>
      </w:r>
      <w:r>
        <w:rPr>
          <w:sz w:val="16"/>
        </w:rPr>
        <w:t>“</w:t>
      </w:r>
      <w:r>
        <w:rPr>
          <w:i/>
          <w:sz w:val="16"/>
        </w:rPr>
        <w:t>Derivar: Dicho de una cosa: Traer su origen de otra.” </w:t>
      </w:r>
      <w:r>
        <w:rPr>
          <w:sz w:val="16"/>
        </w:rPr>
        <w:t>Diccionario de la Lengua Española, Real Academia Española, 2018</w:t>
      </w:r>
    </w:p>
    <w:p>
      <w:pPr>
        <w:pStyle w:val="BodyText"/>
        <w:spacing w:before="11"/>
        <w:rPr>
          <w:sz w:val="15"/>
        </w:rPr>
      </w:pPr>
    </w:p>
    <w:p>
      <w:pPr>
        <w:spacing w:before="1"/>
        <w:ind w:left="114" w:right="0" w:firstLine="0"/>
        <w:jc w:val="left"/>
        <w:rPr>
          <w:sz w:val="16"/>
        </w:rPr>
      </w:pPr>
      <w:r>
        <w:rPr>
          <w:position w:val="6"/>
          <w:sz w:val="10"/>
        </w:rPr>
        <w:t>23  </w:t>
      </w:r>
      <w:r>
        <w:rPr>
          <w:sz w:val="16"/>
        </w:rPr>
        <w:t>“</w:t>
      </w:r>
      <w:r>
        <w:rPr>
          <w:i/>
          <w:sz w:val="16"/>
        </w:rPr>
        <w:t>Inferir: Deducir algo o sacarlo como conclusión de otra cosa</w:t>
      </w:r>
      <w:r>
        <w:rPr>
          <w:sz w:val="16"/>
        </w:rPr>
        <w:t>”, </w:t>
      </w:r>
      <w:r>
        <w:rPr>
          <w:i/>
          <w:sz w:val="16"/>
        </w:rPr>
        <w:t>Idem</w:t>
      </w:r>
      <w:r>
        <w:rPr>
          <w:sz w:val="16"/>
        </w:rPr>
        <w:t>.</w:t>
      </w:r>
    </w:p>
    <w:p>
      <w:pPr>
        <w:spacing w:after="0"/>
        <w:jc w:val="left"/>
        <w:rPr>
          <w:sz w:val="16"/>
        </w:rPr>
        <w:sectPr>
          <w:pgSz w:w="12240" w:h="15840"/>
          <w:pgMar w:header="0" w:footer="1000" w:top="1220" w:bottom="1200" w:left="1020" w:right="1580"/>
        </w:sectPr>
      </w:pPr>
    </w:p>
    <w:p>
      <w:pPr>
        <w:pStyle w:val="ListParagraph"/>
        <w:numPr>
          <w:ilvl w:val="0"/>
          <w:numId w:val="53"/>
        </w:numPr>
        <w:tabs>
          <w:tab w:pos="1390" w:val="left" w:leader="none"/>
        </w:tabs>
        <w:spacing w:line="240" w:lineRule="auto" w:before="83" w:after="0"/>
        <w:ind w:left="681" w:right="115" w:firstLine="65"/>
        <w:jc w:val="both"/>
        <w:rPr>
          <w:sz w:val="20"/>
        </w:rPr>
      </w:pPr>
      <w:r>
        <w:rPr>
          <w:sz w:val="20"/>
        </w:rPr>
        <w:t>Igualmente se puede concluir en que los derechos en cuestión no son, en términos empleados por la Convención, “reconocidos”</w:t>
      </w:r>
      <w:r>
        <w:rPr>
          <w:position w:val="7"/>
          <w:sz w:val="13"/>
        </w:rPr>
        <w:t>24</w:t>
      </w:r>
      <w:r>
        <w:rPr>
          <w:sz w:val="20"/>
        </w:rPr>
        <w:t>, “establecidos”</w:t>
      </w:r>
      <w:r>
        <w:rPr>
          <w:position w:val="7"/>
          <w:sz w:val="13"/>
        </w:rPr>
        <w:t>25</w:t>
      </w:r>
      <w:r>
        <w:rPr>
          <w:sz w:val="20"/>
        </w:rPr>
        <w:t>, “garantizados”</w:t>
      </w:r>
      <w:r>
        <w:rPr>
          <w:position w:val="7"/>
          <w:sz w:val="13"/>
        </w:rPr>
        <w:t>26</w:t>
      </w:r>
      <w:r>
        <w:rPr>
          <w:sz w:val="20"/>
        </w:rPr>
        <w:t>, “consagrados”</w:t>
      </w:r>
      <w:r>
        <w:rPr>
          <w:position w:val="7"/>
          <w:sz w:val="13"/>
        </w:rPr>
        <w:t>27 </w:t>
      </w:r>
      <w:r>
        <w:rPr>
          <w:sz w:val="20"/>
        </w:rPr>
        <w:t>o “protegidos”</w:t>
      </w:r>
      <w:r>
        <w:rPr>
          <w:position w:val="7"/>
          <w:sz w:val="13"/>
        </w:rPr>
        <w:t>28 </w:t>
      </w:r>
      <w:r>
        <w:rPr>
          <w:sz w:val="20"/>
        </w:rPr>
        <w:t>en o por ella y tampoco son, como lo afirma la Sentencia, derechos “contenidos por el artículo 26”</w:t>
      </w:r>
      <w:r>
        <w:rPr>
          <w:position w:val="7"/>
          <w:sz w:val="13"/>
        </w:rPr>
        <w:t>29 </w:t>
      </w:r>
      <w:r>
        <w:rPr>
          <w:sz w:val="20"/>
        </w:rPr>
        <w:t>o “incluidos” en él</w:t>
      </w:r>
      <w:r>
        <w:rPr>
          <w:position w:val="7"/>
          <w:sz w:val="13"/>
        </w:rPr>
        <w:t>30 </w:t>
      </w:r>
      <w:r>
        <w:rPr>
          <w:sz w:val="20"/>
        </w:rPr>
        <w:t>o “receptados en la Convención”</w:t>
      </w:r>
      <w:r>
        <w:rPr>
          <w:position w:val="7"/>
          <w:sz w:val="13"/>
        </w:rPr>
        <w:t>31</w:t>
      </w:r>
      <w:r>
        <w:rPr>
          <w:sz w:val="20"/>
        </w:rPr>
        <w:t>, es decir, recibidos o acogidos en ésta</w:t>
      </w:r>
      <w:r>
        <w:rPr>
          <w:position w:val="7"/>
          <w:sz w:val="13"/>
        </w:rPr>
        <w:t>32</w:t>
      </w:r>
      <w:r>
        <w:rPr>
          <w:sz w:val="20"/>
        </w:rPr>
        <w:t>, sino que son “derechos</w:t>
      </w:r>
      <w:r>
        <w:rPr>
          <w:spacing w:val="-8"/>
          <w:sz w:val="20"/>
        </w:rPr>
        <w:t> </w:t>
      </w:r>
      <w:r>
        <w:rPr>
          <w:sz w:val="20"/>
        </w:rPr>
        <w:t>que</w:t>
      </w:r>
      <w:r>
        <w:rPr>
          <w:spacing w:val="-7"/>
          <w:sz w:val="20"/>
        </w:rPr>
        <w:t> </w:t>
      </w:r>
      <w:r>
        <w:rPr>
          <w:sz w:val="20"/>
        </w:rPr>
        <w:t>se</w:t>
      </w:r>
      <w:r>
        <w:rPr>
          <w:spacing w:val="-8"/>
          <w:sz w:val="20"/>
        </w:rPr>
        <w:t> </w:t>
      </w:r>
      <w:r>
        <w:rPr>
          <w:sz w:val="20"/>
        </w:rPr>
        <w:t>derivan</w:t>
      </w:r>
      <w:r>
        <w:rPr>
          <w:spacing w:val="-8"/>
          <w:sz w:val="20"/>
        </w:rPr>
        <w:t> </w:t>
      </w:r>
      <w:r>
        <w:rPr>
          <w:sz w:val="20"/>
        </w:rPr>
        <w:t>de</w:t>
      </w:r>
      <w:r>
        <w:rPr>
          <w:spacing w:val="-8"/>
          <w:sz w:val="20"/>
        </w:rPr>
        <w:t> </w:t>
      </w:r>
      <w:r>
        <w:rPr>
          <w:sz w:val="20"/>
        </w:rPr>
        <w:t>las</w:t>
      </w:r>
      <w:r>
        <w:rPr>
          <w:spacing w:val="-9"/>
          <w:sz w:val="20"/>
        </w:rPr>
        <w:t> </w:t>
      </w:r>
      <w:r>
        <w:rPr>
          <w:sz w:val="20"/>
        </w:rPr>
        <w:t>normas</w:t>
      </w:r>
      <w:r>
        <w:rPr>
          <w:spacing w:val="-8"/>
          <w:sz w:val="20"/>
        </w:rPr>
        <w:t> </w:t>
      </w:r>
      <w:r>
        <w:rPr>
          <w:sz w:val="20"/>
        </w:rPr>
        <w:t>económicas,</w:t>
      </w:r>
      <w:r>
        <w:rPr>
          <w:spacing w:val="-9"/>
          <w:sz w:val="20"/>
        </w:rPr>
        <w:t> </w:t>
      </w:r>
      <w:r>
        <w:rPr>
          <w:sz w:val="20"/>
        </w:rPr>
        <w:t>sociales</w:t>
      </w:r>
      <w:r>
        <w:rPr>
          <w:spacing w:val="-8"/>
          <w:sz w:val="20"/>
        </w:rPr>
        <w:t> </w:t>
      </w:r>
      <w:r>
        <w:rPr>
          <w:sz w:val="20"/>
        </w:rPr>
        <w:t>y</w:t>
      </w:r>
      <w:r>
        <w:rPr>
          <w:spacing w:val="-8"/>
          <w:sz w:val="20"/>
        </w:rPr>
        <w:t> </w:t>
      </w:r>
      <w:r>
        <w:rPr>
          <w:sz w:val="20"/>
        </w:rPr>
        <w:t>sobre</w:t>
      </w:r>
      <w:r>
        <w:rPr>
          <w:spacing w:val="-9"/>
          <w:sz w:val="20"/>
        </w:rPr>
        <w:t> </w:t>
      </w:r>
      <w:r>
        <w:rPr>
          <w:sz w:val="20"/>
        </w:rPr>
        <w:t>educación,</w:t>
      </w:r>
      <w:r>
        <w:rPr>
          <w:spacing w:val="-8"/>
          <w:sz w:val="20"/>
        </w:rPr>
        <w:t> </w:t>
      </w:r>
      <w:r>
        <w:rPr>
          <w:sz w:val="20"/>
        </w:rPr>
        <w:t>ciencia y</w:t>
      </w:r>
      <w:r>
        <w:rPr>
          <w:spacing w:val="-10"/>
          <w:sz w:val="20"/>
        </w:rPr>
        <w:t> </w:t>
      </w:r>
      <w:r>
        <w:rPr>
          <w:sz w:val="20"/>
        </w:rPr>
        <w:t>cultura,</w:t>
      </w:r>
      <w:r>
        <w:rPr>
          <w:spacing w:val="-12"/>
          <w:sz w:val="20"/>
        </w:rPr>
        <w:t> </w:t>
      </w:r>
      <w:r>
        <w:rPr>
          <w:sz w:val="20"/>
        </w:rPr>
        <w:t>contenidas</w:t>
      </w:r>
      <w:r>
        <w:rPr>
          <w:spacing w:val="-13"/>
          <w:sz w:val="20"/>
        </w:rPr>
        <w:t> </w:t>
      </w:r>
      <w:r>
        <w:rPr>
          <w:sz w:val="20"/>
        </w:rPr>
        <w:t>en</w:t>
      </w:r>
      <w:r>
        <w:rPr>
          <w:spacing w:val="-11"/>
          <w:sz w:val="20"/>
        </w:rPr>
        <w:t> </w:t>
      </w:r>
      <w:r>
        <w:rPr>
          <w:sz w:val="20"/>
        </w:rPr>
        <w:t>la</w:t>
      </w:r>
      <w:r>
        <w:rPr>
          <w:spacing w:val="-12"/>
          <w:sz w:val="20"/>
        </w:rPr>
        <w:t> </w:t>
      </w:r>
      <w:r>
        <w:rPr>
          <w:sz w:val="20"/>
        </w:rPr>
        <w:t>Carta</w:t>
      </w:r>
      <w:r>
        <w:rPr>
          <w:spacing w:val="-12"/>
          <w:sz w:val="20"/>
        </w:rPr>
        <w:t> </w:t>
      </w:r>
      <w:r>
        <w:rPr>
          <w:sz w:val="20"/>
        </w:rPr>
        <w:t>de</w:t>
      </w:r>
      <w:r>
        <w:rPr>
          <w:spacing w:val="-11"/>
          <w:sz w:val="20"/>
        </w:rPr>
        <w:t> </w:t>
      </w:r>
      <w:r>
        <w:rPr>
          <w:sz w:val="20"/>
        </w:rPr>
        <w:t>la”</w:t>
      </w:r>
      <w:r>
        <w:rPr>
          <w:spacing w:val="-12"/>
          <w:sz w:val="20"/>
        </w:rPr>
        <w:t> </w:t>
      </w:r>
      <w:r>
        <w:rPr>
          <w:sz w:val="20"/>
        </w:rPr>
        <w:t>OEA,</w:t>
      </w:r>
      <w:r>
        <w:rPr>
          <w:spacing w:val="-12"/>
          <w:sz w:val="20"/>
        </w:rPr>
        <w:t> </w:t>
      </w:r>
      <w:r>
        <w:rPr>
          <w:sz w:val="20"/>
        </w:rPr>
        <w:t>es</w:t>
      </w:r>
      <w:r>
        <w:rPr>
          <w:spacing w:val="-11"/>
          <w:sz w:val="20"/>
        </w:rPr>
        <w:t> </w:t>
      </w:r>
      <w:r>
        <w:rPr>
          <w:sz w:val="20"/>
        </w:rPr>
        <w:t>decir,</w:t>
      </w:r>
      <w:r>
        <w:rPr>
          <w:spacing w:val="-11"/>
          <w:sz w:val="20"/>
        </w:rPr>
        <w:t> </w:t>
      </w:r>
      <w:r>
        <w:rPr>
          <w:sz w:val="20"/>
        </w:rPr>
        <w:t>son</w:t>
      </w:r>
      <w:r>
        <w:rPr>
          <w:spacing w:val="-13"/>
          <w:sz w:val="20"/>
        </w:rPr>
        <w:t> </w:t>
      </w:r>
      <w:r>
        <w:rPr>
          <w:sz w:val="20"/>
        </w:rPr>
        <w:t>derechos</w:t>
      </w:r>
      <w:r>
        <w:rPr>
          <w:spacing w:val="-12"/>
          <w:sz w:val="20"/>
        </w:rPr>
        <w:t> </w:t>
      </w:r>
      <w:r>
        <w:rPr>
          <w:sz w:val="20"/>
        </w:rPr>
        <w:t>que</w:t>
      </w:r>
      <w:r>
        <w:rPr>
          <w:spacing w:val="-11"/>
          <w:sz w:val="20"/>
        </w:rPr>
        <w:t> </w:t>
      </w:r>
      <w:r>
        <w:rPr>
          <w:sz w:val="20"/>
        </w:rPr>
        <w:t>tiene</w:t>
      </w:r>
      <w:r>
        <w:rPr>
          <w:spacing w:val="-12"/>
          <w:sz w:val="20"/>
        </w:rPr>
        <w:t> </w:t>
      </w:r>
      <w:r>
        <w:rPr>
          <w:sz w:val="20"/>
        </w:rPr>
        <w:t>su</w:t>
      </w:r>
      <w:r>
        <w:rPr>
          <w:spacing w:val="-10"/>
          <w:sz w:val="20"/>
        </w:rPr>
        <w:t> </w:t>
      </w:r>
      <w:r>
        <w:rPr>
          <w:sz w:val="20"/>
        </w:rPr>
        <w:t>origen</w:t>
      </w:r>
      <w:r>
        <w:rPr>
          <w:position w:val="7"/>
          <w:sz w:val="13"/>
        </w:rPr>
        <w:t>33 </w:t>
      </w:r>
      <w:r>
        <w:rPr>
          <w:sz w:val="20"/>
        </w:rPr>
        <w:t>en esta última y no en la</w:t>
      </w:r>
      <w:r>
        <w:rPr>
          <w:spacing w:val="-10"/>
          <w:sz w:val="20"/>
        </w:rPr>
        <w:t> </w:t>
      </w:r>
      <w:r>
        <w:rPr>
          <w:sz w:val="20"/>
        </w:rPr>
        <w:t>Convención.</w:t>
      </w:r>
    </w:p>
    <w:p>
      <w:pPr>
        <w:pStyle w:val="BodyText"/>
        <w:spacing w:before="8"/>
        <w:rPr>
          <w:sz w:val="10"/>
        </w:rPr>
      </w:pPr>
      <w:r>
        <w:rPr/>
        <w:pict>
          <v:line style="position:absolute;mso-position-horizontal-relative:page;mso-position-vertical-relative:paragraph;z-index:3976;mso-wrap-distance-left:0;mso-wrap-distance-right:0" from="56.700001pt,8.844085pt" to="200.720001pt,8.844085pt" stroked="true" strokeweight=".72pt" strokecolor="#000000">
            <v:stroke dashstyle="solid"/>
            <w10:wrap type="topAndBottom"/>
          </v:line>
        </w:pict>
      </w:r>
    </w:p>
    <w:p>
      <w:pPr>
        <w:spacing w:before="70"/>
        <w:ind w:left="681" w:right="122" w:firstLine="0"/>
        <w:jc w:val="both"/>
        <w:rPr>
          <w:sz w:val="16"/>
        </w:rPr>
      </w:pPr>
      <w:r>
        <w:rPr>
          <w:position w:val="6"/>
          <w:sz w:val="10"/>
        </w:rPr>
        <w:t>24 </w:t>
      </w:r>
      <w:r>
        <w:rPr>
          <w:sz w:val="16"/>
        </w:rPr>
        <w:t>Art.1.1:” Obligación de Respetar los Derechos.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pPr>
        <w:spacing w:before="0"/>
        <w:ind w:left="681" w:right="0" w:firstLine="0"/>
        <w:jc w:val="both"/>
        <w:rPr>
          <w:i/>
          <w:sz w:val="16"/>
        </w:rPr>
      </w:pPr>
      <w:r>
        <w:rPr>
          <w:sz w:val="16"/>
        </w:rPr>
        <w:t>Art.22.4:</w:t>
      </w:r>
      <w:r>
        <w:rPr>
          <w:spacing w:val="-10"/>
          <w:sz w:val="16"/>
        </w:rPr>
        <w:t> </w:t>
      </w:r>
      <w:r>
        <w:rPr>
          <w:i/>
          <w:sz w:val="16"/>
        </w:rPr>
        <w:t>“Derecho</w:t>
      </w:r>
      <w:r>
        <w:rPr>
          <w:i/>
          <w:spacing w:val="-11"/>
          <w:sz w:val="16"/>
        </w:rPr>
        <w:t> </w:t>
      </w:r>
      <w:r>
        <w:rPr>
          <w:i/>
          <w:sz w:val="16"/>
        </w:rPr>
        <w:t>de</w:t>
      </w:r>
      <w:r>
        <w:rPr>
          <w:i/>
          <w:spacing w:val="-11"/>
          <w:sz w:val="16"/>
        </w:rPr>
        <w:t> </w:t>
      </w:r>
      <w:r>
        <w:rPr>
          <w:i/>
          <w:sz w:val="16"/>
        </w:rPr>
        <w:t>Circulación</w:t>
      </w:r>
      <w:r>
        <w:rPr>
          <w:i/>
          <w:spacing w:val="-11"/>
          <w:sz w:val="16"/>
        </w:rPr>
        <w:t> </w:t>
      </w:r>
      <w:r>
        <w:rPr>
          <w:i/>
          <w:sz w:val="16"/>
        </w:rPr>
        <w:t>y</w:t>
      </w:r>
      <w:r>
        <w:rPr>
          <w:i/>
          <w:spacing w:val="-10"/>
          <w:sz w:val="16"/>
        </w:rPr>
        <w:t> </w:t>
      </w:r>
      <w:r>
        <w:rPr>
          <w:i/>
          <w:sz w:val="16"/>
        </w:rPr>
        <w:t>de</w:t>
      </w:r>
      <w:r>
        <w:rPr>
          <w:i/>
          <w:spacing w:val="-11"/>
          <w:sz w:val="16"/>
        </w:rPr>
        <w:t> </w:t>
      </w:r>
      <w:r>
        <w:rPr>
          <w:i/>
          <w:sz w:val="16"/>
        </w:rPr>
        <w:t>Residencia.</w:t>
      </w:r>
      <w:r>
        <w:rPr>
          <w:i/>
          <w:spacing w:val="-11"/>
          <w:sz w:val="16"/>
        </w:rPr>
        <w:t> </w:t>
      </w:r>
      <w:r>
        <w:rPr>
          <w:i/>
          <w:sz w:val="16"/>
        </w:rPr>
        <w:t>El</w:t>
      </w:r>
      <w:r>
        <w:rPr>
          <w:i/>
          <w:spacing w:val="-8"/>
          <w:sz w:val="16"/>
        </w:rPr>
        <w:t> </w:t>
      </w:r>
      <w:r>
        <w:rPr>
          <w:i/>
          <w:sz w:val="16"/>
        </w:rPr>
        <w:t>ejercicio</w:t>
      </w:r>
      <w:r>
        <w:rPr>
          <w:i/>
          <w:spacing w:val="-10"/>
          <w:sz w:val="16"/>
        </w:rPr>
        <w:t> </w:t>
      </w:r>
      <w:r>
        <w:rPr>
          <w:i/>
          <w:sz w:val="16"/>
        </w:rPr>
        <w:t>de</w:t>
      </w:r>
      <w:r>
        <w:rPr>
          <w:i/>
          <w:spacing w:val="-11"/>
          <w:sz w:val="16"/>
        </w:rPr>
        <w:t> </w:t>
      </w:r>
      <w:r>
        <w:rPr>
          <w:i/>
          <w:sz w:val="16"/>
        </w:rPr>
        <w:t>los</w:t>
      </w:r>
      <w:r>
        <w:rPr>
          <w:i/>
          <w:spacing w:val="-11"/>
          <w:sz w:val="16"/>
        </w:rPr>
        <w:t> </w:t>
      </w:r>
      <w:r>
        <w:rPr>
          <w:i/>
          <w:sz w:val="16"/>
        </w:rPr>
        <w:t>derechos</w:t>
      </w:r>
      <w:r>
        <w:rPr>
          <w:i/>
          <w:spacing w:val="-11"/>
          <w:sz w:val="16"/>
        </w:rPr>
        <w:t> </w:t>
      </w:r>
      <w:r>
        <w:rPr>
          <w:i/>
          <w:sz w:val="16"/>
        </w:rPr>
        <w:t>reconocidos</w:t>
      </w:r>
      <w:r>
        <w:rPr>
          <w:i/>
          <w:spacing w:val="-11"/>
          <w:sz w:val="16"/>
        </w:rPr>
        <w:t> </w:t>
      </w:r>
      <w:r>
        <w:rPr>
          <w:i/>
          <w:sz w:val="16"/>
        </w:rPr>
        <w:t>en</w:t>
      </w:r>
      <w:r>
        <w:rPr>
          <w:i/>
          <w:spacing w:val="-11"/>
          <w:sz w:val="16"/>
        </w:rPr>
        <w:t> </w:t>
      </w:r>
      <w:r>
        <w:rPr>
          <w:i/>
          <w:sz w:val="16"/>
        </w:rPr>
        <w:t>el</w:t>
      </w:r>
      <w:r>
        <w:rPr>
          <w:i/>
          <w:spacing w:val="-10"/>
          <w:sz w:val="16"/>
        </w:rPr>
        <w:t> </w:t>
      </w:r>
      <w:r>
        <w:rPr>
          <w:i/>
          <w:sz w:val="16"/>
        </w:rPr>
        <w:t>inciso</w:t>
      </w:r>
      <w:r>
        <w:rPr>
          <w:i/>
          <w:spacing w:val="-10"/>
          <w:sz w:val="16"/>
        </w:rPr>
        <w:t> </w:t>
      </w:r>
      <w:r>
        <w:rPr>
          <w:i/>
          <w:sz w:val="16"/>
        </w:rPr>
        <w:t>1</w:t>
      </w:r>
      <w:r>
        <w:rPr>
          <w:i/>
          <w:spacing w:val="-10"/>
          <w:sz w:val="16"/>
        </w:rPr>
        <w:t> </w:t>
      </w:r>
      <w:r>
        <w:rPr>
          <w:i/>
          <w:sz w:val="16"/>
        </w:rPr>
        <w:t>puede</w:t>
      </w:r>
    </w:p>
    <w:p>
      <w:pPr>
        <w:spacing w:before="0"/>
        <w:ind w:left="681" w:right="0" w:firstLine="0"/>
        <w:jc w:val="both"/>
        <w:rPr>
          <w:i/>
          <w:sz w:val="16"/>
        </w:rPr>
      </w:pPr>
      <w:r>
        <w:rPr>
          <w:i/>
          <w:sz w:val="16"/>
        </w:rPr>
        <w:t>asimismo ser restringido por la ley, en zonas determinadas, por razones de interés público.”</w:t>
      </w:r>
    </w:p>
    <w:p>
      <w:pPr>
        <w:spacing w:before="0"/>
        <w:ind w:left="681" w:right="119" w:firstLine="0"/>
        <w:jc w:val="both"/>
        <w:rPr>
          <w:i/>
          <w:sz w:val="16"/>
        </w:rPr>
      </w:pPr>
      <w:r>
        <w:rPr>
          <w:sz w:val="16"/>
        </w:rPr>
        <w:t>Art.25.1</w:t>
      </w:r>
      <w:r>
        <w:rPr>
          <w:i/>
          <w:sz w:val="16"/>
        </w:rPr>
        <w:t>:” Protección Judicial. Toda persona tiene derecho a un recurso sencillo y rápido o a cualquier otro </w:t>
      </w:r>
      <w:r>
        <w:rPr>
          <w:i/>
          <w:sz w:val="16"/>
        </w:rPr>
        <w:t>recurso</w:t>
      </w:r>
      <w:r>
        <w:rPr>
          <w:i/>
          <w:spacing w:val="-10"/>
          <w:sz w:val="16"/>
        </w:rPr>
        <w:t> </w:t>
      </w:r>
      <w:r>
        <w:rPr>
          <w:i/>
          <w:sz w:val="16"/>
        </w:rPr>
        <w:t>efectivo</w:t>
      </w:r>
      <w:r>
        <w:rPr>
          <w:i/>
          <w:spacing w:val="-9"/>
          <w:sz w:val="16"/>
        </w:rPr>
        <w:t> </w:t>
      </w:r>
      <w:r>
        <w:rPr>
          <w:i/>
          <w:sz w:val="16"/>
        </w:rPr>
        <w:t>ante</w:t>
      </w:r>
      <w:r>
        <w:rPr>
          <w:i/>
          <w:spacing w:val="-10"/>
          <w:sz w:val="16"/>
        </w:rPr>
        <w:t> </w:t>
      </w:r>
      <w:r>
        <w:rPr>
          <w:i/>
          <w:sz w:val="16"/>
        </w:rPr>
        <w:t>los</w:t>
      </w:r>
      <w:r>
        <w:rPr>
          <w:i/>
          <w:spacing w:val="-10"/>
          <w:sz w:val="16"/>
        </w:rPr>
        <w:t> </w:t>
      </w:r>
      <w:r>
        <w:rPr>
          <w:i/>
          <w:sz w:val="16"/>
        </w:rPr>
        <w:t>jueces</w:t>
      </w:r>
      <w:r>
        <w:rPr>
          <w:i/>
          <w:spacing w:val="-10"/>
          <w:sz w:val="16"/>
        </w:rPr>
        <w:t> </w:t>
      </w:r>
      <w:r>
        <w:rPr>
          <w:i/>
          <w:sz w:val="16"/>
        </w:rPr>
        <w:t>o</w:t>
      </w:r>
      <w:r>
        <w:rPr>
          <w:i/>
          <w:spacing w:val="-8"/>
          <w:sz w:val="16"/>
        </w:rPr>
        <w:t> </w:t>
      </w:r>
      <w:r>
        <w:rPr>
          <w:i/>
          <w:sz w:val="16"/>
        </w:rPr>
        <w:t>tribunales</w:t>
      </w:r>
      <w:r>
        <w:rPr>
          <w:i/>
          <w:spacing w:val="-9"/>
          <w:sz w:val="16"/>
        </w:rPr>
        <w:t> </w:t>
      </w:r>
      <w:r>
        <w:rPr>
          <w:i/>
          <w:sz w:val="16"/>
        </w:rPr>
        <w:t>competentes,</w:t>
      </w:r>
      <w:r>
        <w:rPr>
          <w:i/>
          <w:spacing w:val="-9"/>
          <w:sz w:val="16"/>
        </w:rPr>
        <w:t> </w:t>
      </w:r>
      <w:r>
        <w:rPr>
          <w:i/>
          <w:sz w:val="16"/>
        </w:rPr>
        <w:t>que</w:t>
      </w:r>
      <w:r>
        <w:rPr>
          <w:i/>
          <w:spacing w:val="-10"/>
          <w:sz w:val="16"/>
        </w:rPr>
        <w:t> </w:t>
      </w:r>
      <w:r>
        <w:rPr>
          <w:i/>
          <w:sz w:val="16"/>
        </w:rPr>
        <w:t>la</w:t>
      </w:r>
      <w:r>
        <w:rPr>
          <w:i/>
          <w:spacing w:val="-9"/>
          <w:sz w:val="16"/>
        </w:rPr>
        <w:t> </w:t>
      </w:r>
      <w:r>
        <w:rPr>
          <w:i/>
          <w:sz w:val="16"/>
        </w:rPr>
        <w:t>ampare</w:t>
      </w:r>
      <w:r>
        <w:rPr>
          <w:i/>
          <w:spacing w:val="-9"/>
          <w:sz w:val="16"/>
        </w:rPr>
        <w:t> </w:t>
      </w:r>
      <w:r>
        <w:rPr>
          <w:i/>
          <w:sz w:val="16"/>
        </w:rPr>
        <w:t>contra</w:t>
      </w:r>
      <w:r>
        <w:rPr>
          <w:i/>
          <w:spacing w:val="-8"/>
          <w:sz w:val="16"/>
        </w:rPr>
        <w:t> </w:t>
      </w:r>
      <w:r>
        <w:rPr>
          <w:i/>
          <w:sz w:val="16"/>
        </w:rPr>
        <w:t>actos</w:t>
      </w:r>
      <w:r>
        <w:rPr>
          <w:i/>
          <w:spacing w:val="-10"/>
          <w:sz w:val="16"/>
        </w:rPr>
        <w:t> </w:t>
      </w:r>
      <w:r>
        <w:rPr>
          <w:i/>
          <w:sz w:val="16"/>
        </w:rPr>
        <w:t>que</w:t>
      </w:r>
      <w:r>
        <w:rPr>
          <w:i/>
          <w:spacing w:val="-10"/>
          <w:sz w:val="16"/>
        </w:rPr>
        <w:t> </w:t>
      </w:r>
      <w:r>
        <w:rPr>
          <w:i/>
          <w:sz w:val="16"/>
        </w:rPr>
        <w:t>violen</w:t>
      </w:r>
      <w:r>
        <w:rPr>
          <w:i/>
          <w:spacing w:val="-10"/>
          <w:sz w:val="16"/>
        </w:rPr>
        <w:t> </w:t>
      </w:r>
      <w:r>
        <w:rPr>
          <w:i/>
          <w:sz w:val="16"/>
        </w:rPr>
        <w:t>sus</w:t>
      </w:r>
      <w:r>
        <w:rPr>
          <w:i/>
          <w:spacing w:val="-10"/>
          <w:sz w:val="16"/>
        </w:rPr>
        <w:t> </w:t>
      </w:r>
      <w:r>
        <w:rPr>
          <w:i/>
          <w:sz w:val="16"/>
        </w:rPr>
        <w:t>derechos fundamentales reconocidos por la Constitución, la ley o la presente Convención, aun cuando tal violación sea cometida por personas que actúen en ejercicio de sus funciones</w:t>
      </w:r>
      <w:r>
        <w:rPr>
          <w:i/>
          <w:spacing w:val="-17"/>
          <w:sz w:val="16"/>
        </w:rPr>
        <w:t> </w:t>
      </w:r>
      <w:r>
        <w:rPr>
          <w:i/>
          <w:sz w:val="16"/>
        </w:rPr>
        <w:t>oficiales.</w:t>
      </w:r>
    </w:p>
    <w:p>
      <w:pPr>
        <w:spacing w:before="0"/>
        <w:ind w:left="681" w:right="118" w:firstLine="0"/>
        <w:jc w:val="both"/>
        <w:rPr>
          <w:i/>
          <w:sz w:val="16"/>
        </w:rPr>
      </w:pPr>
      <w:r>
        <w:rPr>
          <w:sz w:val="16"/>
        </w:rPr>
        <w:t>Art..29.a</w:t>
      </w:r>
      <w:r>
        <w:rPr>
          <w:i/>
          <w:sz w:val="16"/>
        </w:rPr>
        <w:t>):”</w:t>
      </w:r>
      <w:r>
        <w:rPr>
          <w:i/>
          <w:spacing w:val="-4"/>
          <w:sz w:val="16"/>
        </w:rPr>
        <w:t> </w:t>
      </w:r>
      <w:r>
        <w:rPr>
          <w:i/>
          <w:sz w:val="16"/>
        </w:rPr>
        <w:t>Normas</w:t>
      </w:r>
      <w:r>
        <w:rPr>
          <w:i/>
          <w:spacing w:val="-4"/>
          <w:sz w:val="16"/>
        </w:rPr>
        <w:t> </w:t>
      </w:r>
      <w:r>
        <w:rPr>
          <w:i/>
          <w:sz w:val="16"/>
        </w:rPr>
        <w:t>de</w:t>
      </w:r>
      <w:r>
        <w:rPr>
          <w:i/>
          <w:spacing w:val="-4"/>
          <w:sz w:val="16"/>
        </w:rPr>
        <w:t> </w:t>
      </w:r>
      <w:r>
        <w:rPr>
          <w:i/>
          <w:sz w:val="16"/>
        </w:rPr>
        <w:t>Interpretación.</w:t>
      </w:r>
      <w:r>
        <w:rPr>
          <w:i/>
          <w:spacing w:val="-4"/>
          <w:sz w:val="16"/>
        </w:rPr>
        <w:t> </w:t>
      </w:r>
      <w:r>
        <w:rPr>
          <w:i/>
          <w:sz w:val="16"/>
        </w:rPr>
        <w:t>Ninguna</w:t>
      </w:r>
      <w:r>
        <w:rPr>
          <w:i/>
          <w:spacing w:val="-4"/>
          <w:sz w:val="16"/>
        </w:rPr>
        <w:t> </w:t>
      </w:r>
      <w:r>
        <w:rPr>
          <w:i/>
          <w:sz w:val="16"/>
        </w:rPr>
        <w:t>disposición</w:t>
      </w:r>
      <w:r>
        <w:rPr>
          <w:i/>
          <w:spacing w:val="-4"/>
          <w:sz w:val="16"/>
        </w:rPr>
        <w:t> </w:t>
      </w:r>
      <w:r>
        <w:rPr>
          <w:i/>
          <w:sz w:val="16"/>
        </w:rPr>
        <w:t>de</w:t>
      </w:r>
      <w:r>
        <w:rPr>
          <w:i/>
          <w:spacing w:val="-4"/>
          <w:sz w:val="16"/>
        </w:rPr>
        <w:t> </w:t>
      </w:r>
      <w:r>
        <w:rPr>
          <w:i/>
          <w:sz w:val="16"/>
        </w:rPr>
        <w:t>la</w:t>
      </w:r>
      <w:r>
        <w:rPr>
          <w:i/>
          <w:spacing w:val="-4"/>
          <w:sz w:val="16"/>
        </w:rPr>
        <w:t> </w:t>
      </w:r>
      <w:r>
        <w:rPr>
          <w:i/>
          <w:sz w:val="16"/>
        </w:rPr>
        <w:t>presente</w:t>
      </w:r>
      <w:r>
        <w:rPr>
          <w:i/>
          <w:spacing w:val="-4"/>
          <w:sz w:val="16"/>
        </w:rPr>
        <w:t> </w:t>
      </w:r>
      <w:r>
        <w:rPr>
          <w:i/>
          <w:sz w:val="16"/>
        </w:rPr>
        <w:t>Convención</w:t>
      </w:r>
      <w:r>
        <w:rPr>
          <w:i/>
          <w:spacing w:val="-4"/>
          <w:sz w:val="16"/>
        </w:rPr>
        <w:t> </w:t>
      </w:r>
      <w:r>
        <w:rPr>
          <w:i/>
          <w:sz w:val="16"/>
        </w:rPr>
        <w:t>puede</w:t>
      </w:r>
      <w:r>
        <w:rPr>
          <w:i/>
          <w:spacing w:val="-4"/>
          <w:sz w:val="16"/>
        </w:rPr>
        <w:t> </w:t>
      </w:r>
      <w:r>
        <w:rPr>
          <w:i/>
          <w:sz w:val="16"/>
        </w:rPr>
        <w:t>ser</w:t>
      </w:r>
      <w:r>
        <w:rPr>
          <w:i/>
          <w:spacing w:val="-4"/>
          <w:sz w:val="16"/>
        </w:rPr>
        <w:t> </w:t>
      </w:r>
      <w:r>
        <w:rPr>
          <w:i/>
          <w:sz w:val="16"/>
        </w:rPr>
        <w:t>interpretada </w:t>
      </w:r>
      <w:r>
        <w:rPr>
          <w:i/>
          <w:sz w:val="16"/>
        </w:rPr>
        <w:t>en el sentido de: a) permitir a alguno de los Estados Partes, grupo o persona, suprimir el goce y ejercicio de los derechos y libertades reconocidos en la Convención o limitarlos en mayor medida que la prevista en ella;” </w:t>
      </w:r>
      <w:r>
        <w:rPr>
          <w:sz w:val="16"/>
        </w:rPr>
        <w:t>Art.30:</w:t>
      </w:r>
      <w:r>
        <w:rPr>
          <w:spacing w:val="-5"/>
          <w:sz w:val="16"/>
        </w:rPr>
        <w:t> </w:t>
      </w:r>
      <w:r>
        <w:rPr>
          <w:sz w:val="16"/>
        </w:rPr>
        <w:t>“</w:t>
      </w:r>
      <w:r>
        <w:rPr>
          <w:i/>
          <w:sz w:val="16"/>
        </w:rPr>
        <w:t>Alcance</w:t>
      </w:r>
      <w:r>
        <w:rPr>
          <w:i/>
          <w:spacing w:val="-5"/>
          <w:sz w:val="16"/>
        </w:rPr>
        <w:t> </w:t>
      </w:r>
      <w:r>
        <w:rPr>
          <w:i/>
          <w:sz w:val="16"/>
        </w:rPr>
        <w:t>de</w:t>
      </w:r>
      <w:r>
        <w:rPr>
          <w:i/>
          <w:spacing w:val="-5"/>
          <w:sz w:val="16"/>
        </w:rPr>
        <w:t> </w:t>
      </w:r>
      <w:r>
        <w:rPr>
          <w:i/>
          <w:sz w:val="16"/>
        </w:rPr>
        <w:t>las</w:t>
      </w:r>
      <w:r>
        <w:rPr>
          <w:i/>
          <w:spacing w:val="-5"/>
          <w:sz w:val="16"/>
        </w:rPr>
        <w:t> </w:t>
      </w:r>
      <w:r>
        <w:rPr>
          <w:i/>
          <w:sz w:val="16"/>
        </w:rPr>
        <w:t>Restricciones.</w:t>
      </w:r>
      <w:r>
        <w:rPr>
          <w:i/>
          <w:spacing w:val="-5"/>
          <w:sz w:val="16"/>
        </w:rPr>
        <w:t> </w:t>
      </w:r>
      <w:r>
        <w:rPr>
          <w:i/>
          <w:sz w:val="16"/>
        </w:rPr>
        <w:t>Las</w:t>
      </w:r>
      <w:r>
        <w:rPr>
          <w:i/>
          <w:spacing w:val="-5"/>
          <w:sz w:val="16"/>
        </w:rPr>
        <w:t> </w:t>
      </w:r>
      <w:r>
        <w:rPr>
          <w:i/>
          <w:sz w:val="16"/>
        </w:rPr>
        <w:t>restricciones</w:t>
      </w:r>
      <w:r>
        <w:rPr>
          <w:i/>
          <w:spacing w:val="-5"/>
          <w:sz w:val="16"/>
        </w:rPr>
        <w:t> </w:t>
      </w:r>
      <w:r>
        <w:rPr>
          <w:i/>
          <w:sz w:val="16"/>
        </w:rPr>
        <w:t>permitidas,</w:t>
      </w:r>
      <w:r>
        <w:rPr>
          <w:i/>
          <w:spacing w:val="-5"/>
          <w:sz w:val="16"/>
        </w:rPr>
        <w:t> </w:t>
      </w:r>
      <w:r>
        <w:rPr>
          <w:i/>
          <w:sz w:val="16"/>
        </w:rPr>
        <w:t>de</w:t>
      </w:r>
      <w:r>
        <w:rPr>
          <w:i/>
          <w:spacing w:val="-5"/>
          <w:sz w:val="16"/>
        </w:rPr>
        <w:t> </w:t>
      </w:r>
      <w:r>
        <w:rPr>
          <w:i/>
          <w:sz w:val="16"/>
        </w:rPr>
        <w:t>acuerdo</w:t>
      </w:r>
      <w:r>
        <w:rPr>
          <w:i/>
          <w:spacing w:val="-5"/>
          <w:sz w:val="16"/>
        </w:rPr>
        <w:t> </w:t>
      </w:r>
      <w:r>
        <w:rPr>
          <w:i/>
          <w:sz w:val="16"/>
        </w:rPr>
        <w:t>con</w:t>
      </w:r>
      <w:r>
        <w:rPr>
          <w:i/>
          <w:spacing w:val="-4"/>
          <w:sz w:val="16"/>
        </w:rPr>
        <w:t> </w:t>
      </w:r>
      <w:r>
        <w:rPr>
          <w:i/>
          <w:sz w:val="16"/>
        </w:rPr>
        <w:t>esta</w:t>
      </w:r>
      <w:r>
        <w:rPr>
          <w:i/>
          <w:spacing w:val="-3"/>
          <w:sz w:val="16"/>
        </w:rPr>
        <w:t> </w:t>
      </w:r>
      <w:r>
        <w:rPr>
          <w:i/>
          <w:sz w:val="16"/>
        </w:rPr>
        <w:t>Convención,</w:t>
      </w:r>
      <w:r>
        <w:rPr>
          <w:i/>
          <w:spacing w:val="-5"/>
          <w:sz w:val="16"/>
        </w:rPr>
        <w:t> </w:t>
      </w:r>
      <w:r>
        <w:rPr>
          <w:i/>
          <w:sz w:val="16"/>
        </w:rPr>
        <w:t>al</w:t>
      </w:r>
      <w:r>
        <w:rPr>
          <w:i/>
          <w:spacing w:val="-3"/>
          <w:sz w:val="16"/>
        </w:rPr>
        <w:t> </w:t>
      </w:r>
      <w:r>
        <w:rPr>
          <w:i/>
          <w:sz w:val="16"/>
        </w:rPr>
        <w:t>goce</w:t>
      </w:r>
      <w:r>
        <w:rPr>
          <w:i/>
          <w:spacing w:val="-4"/>
          <w:sz w:val="16"/>
        </w:rPr>
        <w:t> </w:t>
      </w:r>
      <w:r>
        <w:rPr>
          <w:i/>
          <w:sz w:val="16"/>
        </w:rPr>
        <w:t>y </w:t>
      </w:r>
      <w:r>
        <w:rPr>
          <w:i/>
          <w:sz w:val="16"/>
        </w:rPr>
        <w:t>ejercicio</w:t>
      </w:r>
      <w:r>
        <w:rPr>
          <w:i/>
          <w:spacing w:val="-6"/>
          <w:sz w:val="16"/>
        </w:rPr>
        <w:t> </w:t>
      </w:r>
      <w:r>
        <w:rPr>
          <w:i/>
          <w:sz w:val="16"/>
        </w:rPr>
        <w:t>de</w:t>
      </w:r>
      <w:r>
        <w:rPr>
          <w:i/>
          <w:spacing w:val="-6"/>
          <w:sz w:val="16"/>
        </w:rPr>
        <w:t> </w:t>
      </w:r>
      <w:r>
        <w:rPr>
          <w:i/>
          <w:sz w:val="16"/>
        </w:rPr>
        <w:t>los</w:t>
      </w:r>
      <w:r>
        <w:rPr>
          <w:i/>
          <w:spacing w:val="-4"/>
          <w:sz w:val="16"/>
        </w:rPr>
        <w:t> </w:t>
      </w:r>
      <w:r>
        <w:rPr>
          <w:i/>
          <w:sz w:val="16"/>
        </w:rPr>
        <w:t>derechos</w:t>
      </w:r>
      <w:r>
        <w:rPr>
          <w:i/>
          <w:spacing w:val="-6"/>
          <w:sz w:val="16"/>
        </w:rPr>
        <w:t> </w:t>
      </w:r>
      <w:r>
        <w:rPr>
          <w:i/>
          <w:sz w:val="16"/>
        </w:rPr>
        <w:t>y</w:t>
      </w:r>
      <w:r>
        <w:rPr>
          <w:i/>
          <w:spacing w:val="-5"/>
          <w:sz w:val="16"/>
        </w:rPr>
        <w:t> </w:t>
      </w:r>
      <w:r>
        <w:rPr>
          <w:i/>
          <w:sz w:val="16"/>
        </w:rPr>
        <w:t>libertades</w:t>
      </w:r>
      <w:r>
        <w:rPr>
          <w:i/>
          <w:spacing w:val="-6"/>
          <w:sz w:val="16"/>
        </w:rPr>
        <w:t> </w:t>
      </w:r>
      <w:r>
        <w:rPr>
          <w:i/>
          <w:sz w:val="16"/>
        </w:rPr>
        <w:t>reconocidas</w:t>
      </w:r>
      <w:r>
        <w:rPr>
          <w:i/>
          <w:spacing w:val="-6"/>
          <w:sz w:val="16"/>
        </w:rPr>
        <w:t> </w:t>
      </w:r>
      <w:r>
        <w:rPr>
          <w:i/>
          <w:sz w:val="16"/>
        </w:rPr>
        <w:t>en</w:t>
      </w:r>
      <w:r>
        <w:rPr>
          <w:i/>
          <w:spacing w:val="-6"/>
          <w:sz w:val="16"/>
        </w:rPr>
        <w:t> </w:t>
      </w:r>
      <w:r>
        <w:rPr>
          <w:i/>
          <w:sz w:val="16"/>
        </w:rPr>
        <w:t>la</w:t>
      </w:r>
      <w:r>
        <w:rPr>
          <w:i/>
          <w:spacing w:val="-6"/>
          <w:sz w:val="16"/>
        </w:rPr>
        <w:t> </w:t>
      </w:r>
      <w:r>
        <w:rPr>
          <w:i/>
          <w:sz w:val="16"/>
        </w:rPr>
        <w:t>misma,</w:t>
      </w:r>
      <w:r>
        <w:rPr>
          <w:i/>
          <w:spacing w:val="-5"/>
          <w:sz w:val="16"/>
        </w:rPr>
        <w:t> </w:t>
      </w:r>
      <w:r>
        <w:rPr>
          <w:i/>
          <w:sz w:val="16"/>
        </w:rPr>
        <w:t>no</w:t>
      </w:r>
      <w:r>
        <w:rPr>
          <w:i/>
          <w:spacing w:val="-6"/>
          <w:sz w:val="16"/>
        </w:rPr>
        <w:t> </w:t>
      </w:r>
      <w:r>
        <w:rPr>
          <w:i/>
          <w:sz w:val="16"/>
        </w:rPr>
        <w:t>pueden</w:t>
      </w:r>
      <w:r>
        <w:rPr>
          <w:i/>
          <w:spacing w:val="-5"/>
          <w:sz w:val="16"/>
        </w:rPr>
        <w:t> </w:t>
      </w:r>
      <w:r>
        <w:rPr>
          <w:i/>
          <w:sz w:val="16"/>
        </w:rPr>
        <w:t>ser</w:t>
      </w:r>
      <w:r>
        <w:rPr>
          <w:i/>
          <w:spacing w:val="-6"/>
          <w:sz w:val="16"/>
        </w:rPr>
        <w:t> </w:t>
      </w:r>
      <w:r>
        <w:rPr>
          <w:i/>
          <w:sz w:val="16"/>
        </w:rPr>
        <w:t>aplicadas</w:t>
      </w:r>
      <w:r>
        <w:rPr>
          <w:i/>
          <w:spacing w:val="-4"/>
          <w:sz w:val="16"/>
        </w:rPr>
        <w:t> </w:t>
      </w:r>
      <w:r>
        <w:rPr>
          <w:i/>
          <w:sz w:val="16"/>
        </w:rPr>
        <w:t>sino</w:t>
      </w:r>
      <w:r>
        <w:rPr>
          <w:i/>
          <w:spacing w:val="-6"/>
          <w:sz w:val="16"/>
        </w:rPr>
        <w:t> </w:t>
      </w:r>
      <w:r>
        <w:rPr>
          <w:i/>
          <w:sz w:val="16"/>
        </w:rPr>
        <w:t>conforme</w:t>
      </w:r>
      <w:r>
        <w:rPr>
          <w:i/>
          <w:spacing w:val="-5"/>
          <w:sz w:val="16"/>
        </w:rPr>
        <w:t> </w:t>
      </w:r>
      <w:r>
        <w:rPr>
          <w:i/>
          <w:sz w:val="16"/>
        </w:rPr>
        <w:t>a</w:t>
      </w:r>
      <w:r>
        <w:rPr>
          <w:i/>
          <w:spacing w:val="-6"/>
          <w:sz w:val="16"/>
        </w:rPr>
        <w:t> </w:t>
      </w:r>
      <w:r>
        <w:rPr>
          <w:i/>
          <w:sz w:val="16"/>
        </w:rPr>
        <w:t>leyes que se dictaren por razones de interés general y con el propósito para el cual han sido</w:t>
      </w:r>
      <w:r>
        <w:rPr>
          <w:i/>
          <w:spacing w:val="-32"/>
          <w:sz w:val="16"/>
        </w:rPr>
        <w:t> </w:t>
      </w:r>
      <w:r>
        <w:rPr>
          <w:i/>
          <w:sz w:val="16"/>
        </w:rPr>
        <w:t>establecidas.”</w:t>
      </w:r>
    </w:p>
    <w:p>
      <w:pPr>
        <w:spacing w:before="0"/>
        <w:ind w:left="681" w:right="121" w:firstLine="0"/>
        <w:jc w:val="both"/>
        <w:rPr>
          <w:i/>
          <w:sz w:val="16"/>
        </w:rPr>
      </w:pPr>
      <w:r>
        <w:rPr>
          <w:sz w:val="16"/>
        </w:rPr>
        <w:t>Art.31: </w:t>
      </w:r>
      <w:r>
        <w:rPr>
          <w:i/>
          <w:sz w:val="16"/>
        </w:rPr>
        <w:t>“Reconocimiento de Otros Derechos. Podrán ser incluidos en el régimen de protección de esta </w:t>
      </w:r>
      <w:r>
        <w:rPr>
          <w:i/>
          <w:sz w:val="16"/>
        </w:rPr>
        <w:t>Convención</w:t>
      </w:r>
      <w:r>
        <w:rPr>
          <w:i/>
          <w:spacing w:val="-3"/>
          <w:sz w:val="16"/>
        </w:rPr>
        <w:t> </w:t>
      </w:r>
      <w:r>
        <w:rPr>
          <w:i/>
          <w:sz w:val="16"/>
        </w:rPr>
        <w:t>otros</w:t>
      </w:r>
      <w:r>
        <w:rPr>
          <w:i/>
          <w:spacing w:val="-4"/>
          <w:sz w:val="16"/>
        </w:rPr>
        <w:t> </w:t>
      </w:r>
      <w:r>
        <w:rPr>
          <w:i/>
          <w:sz w:val="16"/>
        </w:rPr>
        <w:t>derechos</w:t>
      </w:r>
      <w:r>
        <w:rPr>
          <w:i/>
          <w:spacing w:val="-4"/>
          <w:sz w:val="16"/>
        </w:rPr>
        <w:t> </w:t>
      </w:r>
      <w:r>
        <w:rPr>
          <w:i/>
          <w:sz w:val="16"/>
        </w:rPr>
        <w:t>y</w:t>
      </w:r>
      <w:r>
        <w:rPr>
          <w:i/>
          <w:spacing w:val="-3"/>
          <w:sz w:val="16"/>
        </w:rPr>
        <w:t> </w:t>
      </w:r>
      <w:r>
        <w:rPr>
          <w:i/>
          <w:sz w:val="16"/>
        </w:rPr>
        <w:t>libertades</w:t>
      </w:r>
      <w:r>
        <w:rPr>
          <w:i/>
          <w:spacing w:val="-4"/>
          <w:sz w:val="16"/>
        </w:rPr>
        <w:t> </w:t>
      </w:r>
      <w:r>
        <w:rPr>
          <w:i/>
          <w:sz w:val="16"/>
        </w:rPr>
        <w:t>que</w:t>
      </w:r>
      <w:r>
        <w:rPr>
          <w:i/>
          <w:spacing w:val="-3"/>
          <w:sz w:val="16"/>
        </w:rPr>
        <w:t> </w:t>
      </w:r>
      <w:r>
        <w:rPr>
          <w:i/>
          <w:sz w:val="16"/>
        </w:rPr>
        <w:t>sean</w:t>
      </w:r>
      <w:r>
        <w:rPr>
          <w:i/>
          <w:spacing w:val="-4"/>
          <w:sz w:val="16"/>
        </w:rPr>
        <w:t> </w:t>
      </w:r>
      <w:r>
        <w:rPr>
          <w:i/>
          <w:sz w:val="16"/>
        </w:rPr>
        <w:t>reconocidos</w:t>
      </w:r>
      <w:r>
        <w:rPr>
          <w:i/>
          <w:spacing w:val="-4"/>
          <w:sz w:val="16"/>
        </w:rPr>
        <w:t> </w:t>
      </w:r>
      <w:r>
        <w:rPr>
          <w:i/>
          <w:sz w:val="16"/>
        </w:rPr>
        <w:t>de</w:t>
      </w:r>
      <w:r>
        <w:rPr>
          <w:i/>
          <w:spacing w:val="-4"/>
          <w:sz w:val="16"/>
        </w:rPr>
        <w:t> </w:t>
      </w:r>
      <w:r>
        <w:rPr>
          <w:i/>
          <w:sz w:val="16"/>
        </w:rPr>
        <w:t>acuerdo</w:t>
      </w:r>
      <w:r>
        <w:rPr>
          <w:i/>
          <w:spacing w:val="-2"/>
          <w:sz w:val="16"/>
        </w:rPr>
        <w:t> </w:t>
      </w:r>
      <w:r>
        <w:rPr>
          <w:i/>
          <w:sz w:val="16"/>
        </w:rPr>
        <w:t>con</w:t>
      </w:r>
      <w:r>
        <w:rPr>
          <w:i/>
          <w:spacing w:val="-4"/>
          <w:sz w:val="16"/>
        </w:rPr>
        <w:t> </w:t>
      </w:r>
      <w:r>
        <w:rPr>
          <w:i/>
          <w:sz w:val="16"/>
        </w:rPr>
        <w:t>los</w:t>
      </w:r>
      <w:r>
        <w:rPr>
          <w:i/>
          <w:spacing w:val="-4"/>
          <w:sz w:val="16"/>
        </w:rPr>
        <w:t> </w:t>
      </w:r>
      <w:r>
        <w:rPr>
          <w:i/>
          <w:sz w:val="16"/>
        </w:rPr>
        <w:t>procedimientos</w:t>
      </w:r>
      <w:r>
        <w:rPr>
          <w:i/>
          <w:spacing w:val="-3"/>
          <w:sz w:val="16"/>
        </w:rPr>
        <w:t> </w:t>
      </w:r>
      <w:r>
        <w:rPr>
          <w:i/>
          <w:sz w:val="16"/>
        </w:rPr>
        <w:t>establecidos en los artículos 76 y</w:t>
      </w:r>
      <w:r>
        <w:rPr>
          <w:i/>
          <w:spacing w:val="-11"/>
          <w:sz w:val="16"/>
        </w:rPr>
        <w:t> </w:t>
      </w:r>
      <w:r>
        <w:rPr>
          <w:i/>
          <w:sz w:val="16"/>
        </w:rPr>
        <w:t>77.”</w:t>
      </w:r>
    </w:p>
    <w:p>
      <w:pPr>
        <w:spacing w:before="0"/>
        <w:ind w:left="681" w:right="119" w:firstLine="0"/>
        <w:jc w:val="both"/>
        <w:rPr>
          <w:sz w:val="16"/>
        </w:rPr>
      </w:pPr>
      <w:r>
        <w:rPr>
          <w:sz w:val="16"/>
        </w:rPr>
        <w:t>Art.48.1.f): </w:t>
      </w:r>
      <w:r>
        <w:rPr>
          <w:i/>
          <w:sz w:val="16"/>
        </w:rPr>
        <w:t>“1. La Comisión, al recibir una petición o comunicación en la que se alegue la violación de </w:t>
      </w:r>
      <w:r>
        <w:rPr>
          <w:i/>
          <w:sz w:val="16"/>
        </w:rPr>
        <w:t>cualquiera</w:t>
      </w:r>
      <w:r>
        <w:rPr>
          <w:i/>
          <w:spacing w:val="-3"/>
          <w:sz w:val="16"/>
        </w:rPr>
        <w:t> </w:t>
      </w:r>
      <w:r>
        <w:rPr>
          <w:i/>
          <w:sz w:val="16"/>
        </w:rPr>
        <w:t>de</w:t>
      </w:r>
      <w:r>
        <w:rPr>
          <w:i/>
          <w:spacing w:val="-3"/>
          <w:sz w:val="16"/>
        </w:rPr>
        <w:t> </w:t>
      </w:r>
      <w:r>
        <w:rPr>
          <w:i/>
          <w:sz w:val="16"/>
        </w:rPr>
        <w:t>los</w:t>
      </w:r>
      <w:r>
        <w:rPr>
          <w:i/>
          <w:spacing w:val="-3"/>
          <w:sz w:val="16"/>
        </w:rPr>
        <w:t> </w:t>
      </w:r>
      <w:r>
        <w:rPr>
          <w:i/>
          <w:sz w:val="16"/>
        </w:rPr>
        <w:t>derechos</w:t>
      </w:r>
      <w:r>
        <w:rPr>
          <w:i/>
          <w:spacing w:val="-3"/>
          <w:sz w:val="16"/>
        </w:rPr>
        <w:t> </w:t>
      </w:r>
      <w:r>
        <w:rPr>
          <w:i/>
          <w:sz w:val="16"/>
        </w:rPr>
        <w:t>que</w:t>
      </w:r>
      <w:r>
        <w:rPr>
          <w:i/>
          <w:spacing w:val="-3"/>
          <w:sz w:val="16"/>
        </w:rPr>
        <w:t> </w:t>
      </w:r>
      <w:r>
        <w:rPr>
          <w:i/>
          <w:sz w:val="16"/>
        </w:rPr>
        <w:t>consagra</w:t>
      </w:r>
      <w:r>
        <w:rPr>
          <w:i/>
          <w:spacing w:val="-3"/>
          <w:sz w:val="16"/>
        </w:rPr>
        <w:t> </w:t>
      </w:r>
      <w:r>
        <w:rPr>
          <w:i/>
          <w:sz w:val="16"/>
        </w:rPr>
        <w:t>esta</w:t>
      </w:r>
      <w:r>
        <w:rPr>
          <w:i/>
          <w:spacing w:val="-3"/>
          <w:sz w:val="16"/>
        </w:rPr>
        <w:t> </w:t>
      </w:r>
      <w:r>
        <w:rPr>
          <w:i/>
          <w:sz w:val="16"/>
        </w:rPr>
        <w:t>Convención,</w:t>
      </w:r>
      <w:r>
        <w:rPr>
          <w:i/>
          <w:spacing w:val="-2"/>
          <w:sz w:val="16"/>
        </w:rPr>
        <w:t> </w:t>
      </w:r>
      <w:r>
        <w:rPr>
          <w:i/>
          <w:sz w:val="16"/>
        </w:rPr>
        <w:t>procederá</w:t>
      </w:r>
      <w:r>
        <w:rPr>
          <w:i/>
          <w:spacing w:val="-3"/>
          <w:sz w:val="16"/>
        </w:rPr>
        <w:t> </w:t>
      </w:r>
      <w:r>
        <w:rPr>
          <w:i/>
          <w:sz w:val="16"/>
        </w:rPr>
        <w:t>en</w:t>
      </w:r>
      <w:r>
        <w:rPr>
          <w:i/>
          <w:spacing w:val="-3"/>
          <w:sz w:val="16"/>
        </w:rPr>
        <w:t> </w:t>
      </w:r>
      <w:r>
        <w:rPr>
          <w:i/>
          <w:sz w:val="16"/>
        </w:rPr>
        <w:t>los</w:t>
      </w:r>
      <w:r>
        <w:rPr>
          <w:i/>
          <w:spacing w:val="-3"/>
          <w:sz w:val="16"/>
        </w:rPr>
        <w:t> </w:t>
      </w:r>
      <w:r>
        <w:rPr>
          <w:i/>
          <w:sz w:val="16"/>
        </w:rPr>
        <w:t>siguientes</w:t>
      </w:r>
      <w:r>
        <w:rPr>
          <w:i/>
          <w:spacing w:val="-3"/>
          <w:sz w:val="16"/>
        </w:rPr>
        <w:t> </w:t>
      </w:r>
      <w:r>
        <w:rPr>
          <w:i/>
          <w:sz w:val="16"/>
        </w:rPr>
        <w:t>términos:</w:t>
      </w:r>
      <w:r>
        <w:rPr>
          <w:i/>
          <w:spacing w:val="-3"/>
          <w:sz w:val="16"/>
        </w:rPr>
        <w:t> </w:t>
      </w:r>
      <w:r>
        <w:rPr>
          <w:i/>
          <w:sz w:val="16"/>
        </w:rPr>
        <w:t>…</w:t>
      </w:r>
      <w:r>
        <w:rPr>
          <w:i/>
          <w:spacing w:val="-3"/>
          <w:sz w:val="16"/>
        </w:rPr>
        <w:t> </w:t>
      </w:r>
      <w:r>
        <w:rPr>
          <w:i/>
          <w:sz w:val="16"/>
        </w:rPr>
        <w:t>se</w:t>
      </w:r>
      <w:r>
        <w:rPr>
          <w:i/>
          <w:spacing w:val="-3"/>
          <w:sz w:val="16"/>
        </w:rPr>
        <w:t> </w:t>
      </w:r>
      <w:r>
        <w:rPr>
          <w:i/>
          <w:sz w:val="16"/>
        </w:rPr>
        <w:t>pondrá a</w:t>
      </w:r>
      <w:r>
        <w:rPr>
          <w:i/>
          <w:spacing w:val="-12"/>
          <w:sz w:val="16"/>
        </w:rPr>
        <w:t> </w:t>
      </w:r>
      <w:r>
        <w:rPr>
          <w:i/>
          <w:sz w:val="16"/>
        </w:rPr>
        <w:t>disposición</w:t>
      </w:r>
      <w:r>
        <w:rPr>
          <w:i/>
          <w:spacing w:val="-12"/>
          <w:sz w:val="16"/>
        </w:rPr>
        <w:t> </w:t>
      </w:r>
      <w:r>
        <w:rPr>
          <w:i/>
          <w:sz w:val="16"/>
        </w:rPr>
        <w:t>de</w:t>
      </w:r>
      <w:r>
        <w:rPr>
          <w:i/>
          <w:spacing w:val="-12"/>
          <w:sz w:val="16"/>
        </w:rPr>
        <w:t> </w:t>
      </w:r>
      <w:r>
        <w:rPr>
          <w:i/>
          <w:sz w:val="16"/>
        </w:rPr>
        <w:t>las</w:t>
      </w:r>
      <w:r>
        <w:rPr>
          <w:i/>
          <w:spacing w:val="-12"/>
          <w:sz w:val="16"/>
        </w:rPr>
        <w:t> </w:t>
      </w:r>
      <w:r>
        <w:rPr>
          <w:i/>
          <w:sz w:val="16"/>
        </w:rPr>
        <w:t>partes</w:t>
      </w:r>
      <w:r>
        <w:rPr>
          <w:i/>
          <w:spacing w:val="-12"/>
          <w:sz w:val="16"/>
        </w:rPr>
        <w:t> </w:t>
      </w:r>
      <w:r>
        <w:rPr>
          <w:i/>
          <w:sz w:val="16"/>
        </w:rPr>
        <w:t>interesadas,</w:t>
      </w:r>
      <w:r>
        <w:rPr>
          <w:i/>
          <w:spacing w:val="-13"/>
          <w:sz w:val="16"/>
        </w:rPr>
        <w:t> </w:t>
      </w:r>
      <w:r>
        <w:rPr>
          <w:i/>
          <w:sz w:val="16"/>
        </w:rPr>
        <w:t>a</w:t>
      </w:r>
      <w:r>
        <w:rPr>
          <w:i/>
          <w:spacing w:val="-12"/>
          <w:sz w:val="16"/>
        </w:rPr>
        <w:t> </w:t>
      </w:r>
      <w:r>
        <w:rPr>
          <w:i/>
          <w:sz w:val="16"/>
        </w:rPr>
        <w:t>fin</w:t>
      </w:r>
      <w:r>
        <w:rPr>
          <w:i/>
          <w:spacing w:val="-11"/>
          <w:sz w:val="16"/>
        </w:rPr>
        <w:t> </w:t>
      </w:r>
      <w:r>
        <w:rPr>
          <w:i/>
          <w:sz w:val="16"/>
        </w:rPr>
        <w:t>de</w:t>
      </w:r>
      <w:r>
        <w:rPr>
          <w:i/>
          <w:spacing w:val="-12"/>
          <w:sz w:val="16"/>
        </w:rPr>
        <w:t> </w:t>
      </w:r>
      <w:r>
        <w:rPr>
          <w:i/>
          <w:sz w:val="16"/>
        </w:rPr>
        <w:t>llegar</w:t>
      </w:r>
      <w:r>
        <w:rPr>
          <w:i/>
          <w:spacing w:val="-12"/>
          <w:sz w:val="16"/>
        </w:rPr>
        <w:t> </w:t>
      </w:r>
      <w:r>
        <w:rPr>
          <w:i/>
          <w:sz w:val="16"/>
        </w:rPr>
        <w:t>a</w:t>
      </w:r>
      <w:r>
        <w:rPr>
          <w:i/>
          <w:spacing w:val="-12"/>
          <w:sz w:val="16"/>
        </w:rPr>
        <w:t> </w:t>
      </w:r>
      <w:r>
        <w:rPr>
          <w:i/>
          <w:sz w:val="16"/>
        </w:rPr>
        <w:t>una</w:t>
      </w:r>
      <w:r>
        <w:rPr>
          <w:i/>
          <w:spacing w:val="-12"/>
          <w:sz w:val="16"/>
        </w:rPr>
        <w:t> </w:t>
      </w:r>
      <w:r>
        <w:rPr>
          <w:i/>
          <w:sz w:val="16"/>
        </w:rPr>
        <w:t>solución</w:t>
      </w:r>
      <w:r>
        <w:rPr>
          <w:i/>
          <w:spacing w:val="-12"/>
          <w:sz w:val="16"/>
        </w:rPr>
        <w:t> </w:t>
      </w:r>
      <w:r>
        <w:rPr>
          <w:i/>
          <w:sz w:val="16"/>
        </w:rPr>
        <w:t>amistosa</w:t>
      </w:r>
      <w:r>
        <w:rPr>
          <w:i/>
          <w:spacing w:val="-12"/>
          <w:sz w:val="16"/>
        </w:rPr>
        <w:t> </w:t>
      </w:r>
      <w:r>
        <w:rPr>
          <w:i/>
          <w:sz w:val="16"/>
        </w:rPr>
        <w:t>del</w:t>
      </w:r>
      <w:r>
        <w:rPr>
          <w:i/>
          <w:spacing w:val="-12"/>
          <w:sz w:val="16"/>
        </w:rPr>
        <w:t> </w:t>
      </w:r>
      <w:r>
        <w:rPr>
          <w:i/>
          <w:sz w:val="16"/>
        </w:rPr>
        <w:t>asunto</w:t>
      </w:r>
      <w:r>
        <w:rPr>
          <w:i/>
          <w:spacing w:val="-10"/>
          <w:sz w:val="16"/>
        </w:rPr>
        <w:t> </w:t>
      </w:r>
      <w:r>
        <w:rPr>
          <w:i/>
          <w:sz w:val="16"/>
        </w:rPr>
        <w:t>fundada</w:t>
      </w:r>
      <w:r>
        <w:rPr>
          <w:i/>
          <w:spacing w:val="-12"/>
          <w:sz w:val="16"/>
        </w:rPr>
        <w:t> </w:t>
      </w:r>
      <w:r>
        <w:rPr>
          <w:i/>
          <w:sz w:val="16"/>
        </w:rPr>
        <w:t>en</w:t>
      </w:r>
      <w:r>
        <w:rPr>
          <w:i/>
          <w:spacing w:val="-11"/>
          <w:sz w:val="16"/>
        </w:rPr>
        <w:t> </w:t>
      </w:r>
      <w:r>
        <w:rPr>
          <w:i/>
          <w:sz w:val="16"/>
        </w:rPr>
        <w:t>el</w:t>
      </w:r>
      <w:r>
        <w:rPr>
          <w:i/>
          <w:spacing w:val="-12"/>
          <w:sz w:val="16"/>
        </w:rPr>
        <w:t> </w:t>
      </w:r>
      <w:r>
        <w:rPr>
          <w:i/>
          <w:sz w:val="16"/>
        </w:rPr>
        <w:t>respeto a los derechos humanos reconocidos en esta</w:t>
      </w:r>
      <w:r>
        <w:rPr>
          <w:i/>
          <w:spacing w:val="-13"/>
          <w:sz w:val="16"/>
        </w:rPr>
        <w:t> </w:t>
      </w:r>
      <w:r>
        <w:rPr>
          <w:i/>
          <w:sz w:val="16"/>
        </w:rPr>
        <w:t>Convención</w:t>
      </w:r>
      <w:r>
        <w:rPr>
          <w:sz w:val="16"/>
        </w:rPr>
        <w:t>.”</w:t>
      </w:r>
    </w:p>
    <w:p>
      <w:pPr>
        <w:pStyle w:val="BodyText"/>
        <w:rPr>
          <w:sz w:val="16"/>
        </w:rPr>
      </w:pPr>
    </w:p>
    <w:p>
      <w:pPr>
        <w:spacing w:before="0"/>
        <w:ind w:left="681" w:right="124" w:firstLine="0"/>
        <w:jc w:val="both"/>
        <w:rPr>
          <w:sz w:val="16"/>
        </w:rPr>
      </w:pPr>
      <w:r>
        <w:rPr>
          <w:position w:val="6"/>
          <w:sz w:val="10"/>
        </w:rPr>
        <w:t>25 </w:t>
      </w:r>
      <w:r>
        <w:rPr>
          <w:sz w:val="16"/>
        </w:rPr>
        <w:t>45.1: “</w:t>
      </w:r>
      <w:r>
        <w:rPr>
          <w:i/>
          <w:sz w:val="16"/>
        </w:rPr>
        <w:t>Todo Estado parte puede, en el momento del depósito de su instrumento de ratificación o adhesión </w:t>
      </w:r>
      <w:r>
        <w:rPr>
          <w:i/>
          <w:sz w:val="16"/>
        </w:rPr>
        <w:t>de esta Convención, o en cualquier momento posterior, declarar que reconoce la competencia de la Comisión para recibir y examinar las comunicaciones en que un Estado parte alegue que otro Estado parte ha incurrido en violaciones de los derechos humanos establecidos en esta Convención.</w:t>
      </w:r>
      <w:r>
        <w:rPr>
          <w:sz w:val="16"/>
        </w:rPr>
        <w:t>”</w:t>
      </w:r>
    </w:p>
    <w:p>
      <w:pPr>
        <w:pStyle w:val="BodyText"/>
        <w:spacing w:before="12"/>
        <w:rPr>
          <w:sz w:val="15"/>
        </w:rPr>
      </w:pPr>
    </w:p>
    <w:p>
      <w:pPr>
        <w:spacing w:before="0"/>
        <w:ind w:left="681" w:right="117" w:firstLine="0"/>
        <w:jc w:val="both"/>
        <w:rPr>
          <w:sz w:val="16"/>
        </w:rPr>
      </w:pPr>
      <w:r>
        <w:rPr>
          <w:position w:val="6"/>
          <w:sz w:val="10"/>
        </w:rPr>
        <w:t>26 </w:t>
      </w:r>
      <w:r>
        <w:rPr>
          <w:sz w:val="16"/>
        </w:rPr>
        <w:t>Art 47.b: “</w:t>
      </w:r>
      <w:r>
        <w:rPr>
          <w:i/>
          <w:sz w:val="16"/>
        </w:rPr>
        <w:t>La Comisión declarará inadmisible toda petición o comunicación presentada de acuerdo con los </w:t>
      </w:r>
      <w:r>
        <w:rPr>
          <w:i/>
          <w:sz w:val="16"/>
        </w:rPr>
        <w:t>artículos 44 ó 45 cuando: ... no exponga hechos que caractericen una violación de los derechos garantizados por esta Convención</w:t>
      </w:r>
      <w:r>
        <w:rPr>
          <w:sz w:val="16"/>
        </w:rPr>
        <w:t>;”</w:t>
      </w:r>
    </w:p>
    <w:p>
      <w:pPr>
        <w:pStyle w:val="BodyText"/>
        <w:spacing w:before="12"/>
        <w:rPr>
          <w:sz w:val="15"/>
        </w:rPr>
      </w:pPr>
    </w:p>
    <w:p>
      <w:pPr>
        <w:spacing w:before="0"/>
        <w:ind w:left="681" w:right="0" w:firstLine="0"/>
        <w:jc w:val="both"/>
        <w:rPr>
          <w:sz w:val="16"/>
        </w:rPr>
      </w:pPr>
      <w:r>
        <w:rPr>
          <w:position w:val="6"/>
          <w:sz w:val="10"/>
        </w:rPr>
        <w:t>27  </w:t>
      </w:r>
      <w:r>
        <w:rPr>
          <w:i/>
          <w:sz w:val="16"/>
        </w:rPr>
        <w:t>Supra</w:t>
      </w:r>
      <w:r>
        <w:rPr>
          <w:sz w:val="16"/>
        </w:rPr>
        <w:t>, art.48.1.f), </w:t>
      </w:r>
      <w:r>
        <w:rPr>
          <w:i/>
          <w:sz w:val="16"/>
        </w:rPr>
        <w:t>cit. </w:t>
      </w:r>
      <w:r>
        <w:rPr>
          <w:sz w:val="16"/>
        </w:rPr>
        <w:t>nota N° 24.</w:t>
      </w:r>
    </w:p>
    <w:p>
      <w:pPr>
        <w:pStyle w:val="BodyText"/>
        <w:spacing w:before="12"/>
        <w:rPr>
          <w:sz w:val="15"/>
        </w:rPr>
      </w:pPr>
    </w:p>
    <w:p>
      <w:pPr>
        <w:spacing w:before="0"/>
        <w:ind w:left="681" w:right="122" w:firstLine="0"/>
        <w:jc w:val="both"/>
        <w:rPr>
          <w:i/>
          <w:sz w:val="16"/>
        </w:rPr>
      </w:pPr>
      <w:r>
        <w:rPr>
          <w:position w:val="6"/>
          <w:sz w:val="10"/>
        </w:rPr>
        <w:t>28 </w:t>
      </w:r>
      <w:r>
        <w:rPr>
          <w:sz w:val="16"/>
        </w:rPr>
        <w:t>Art.4.1: “</w:t>
      </w:r>
      <w:r>
        <w:rPr>
          <w:i/>
          <w:sz w:val="16"/>
        </w:rPr>
        <w:t>Derecho a la Vida. Toda persona tiene derecho a que se respete su vida. Este derecho estará </w:t>
      </w:r>
      <w:r>
        <w:rPr>
          <w:i/>
          <w:sz w:val="16"/>
        </w:rPr>
        <w:t>protegido, en general, a partir del momento de la concepción. Nadie puede ser privado de la vida arbitrariamente.”</w:t>
      </w:r>
    </w:p>
    <w:p>
      <w:pPr>
        <w:spacing w:before="0"/>
        <w:ind w:left="681" w:right="119" w:firstLine="0"/>
        <w:jc w:val="both"/>
        <w:rPr>
          <w:i/>
          <w:sz w:val="16"/>
        </w:rPr>
      </w:pPr>
      <w:r>
        <w:rPr>
          <w:sz w:val="16"/>
        </w:rPr>
        <w:t>Art.</w:t>
      </w:r>
      <w:r>
        <w:rPr>
          <w:spacing w:val="-10"/>
          <w:sz w:val="16"/>
        </w:rPr>
        <w:t> </w:t>
      </w:r>
      <w:r>
        <w:rPr>
          <w:sz w:val="16"/>
        </w:rPr>
        <w:t>63.1:</w:t>
      </w:r>
      <w:r>
        <w:rPr>
          <w:spacing w:val="-9"/>
          <w:sz w:val="16"/>
        </w:rPr>
        <w:t> </w:t>
      </w:r>
      <w:r>
        <w:rPr>
          <w:i/>
          <w:sz w:val="16"/>
        </w:rPr>
        <w:t>“Cuando</w:t>
      </w:r>
      <w:r>
        <w:rPr>
          <w:i/>
          <w:spacing w:val="-10"/>
          <w:sz w:val="16"/>
        </w:rPr>
        <w:t> </w:t>
      </w:r>
      <w:r>
        <w:rPr>
          <w:i/>
          <w:sz w:val="16"/>
        </w:rPr>
        <w:t>decida</w:t>
      </w:r>
      <w:r>
        <w:rPr>
          <w:i/>
          <w:spacing w:val="-10"/>
          <w:sz w:val="16"/>
        </w:rPr>
        <w:t> </w:t>
      </w:r>
      <w:r>
        <w:rPr>
          <w:i/>
          <w:sz w:val="16"/>
        </w:rPr>
        <w:t>que</w:t>
      </w:r>
      <w:r>
        <w:rPr>
          <w:i/>
          <w:spacing w:val="-9"/>
          <w:sz w:val="16"/>
        </w:rPr>
        <w:t> </w:t>
      </w:r>
      <w:r>
        <w:rPr>
          <w:i/>
          <w:sz w:val="16"/>
        </w:rPr>
        <w:t>hubo</w:t>
      </w:r>
      <w:r>
        <w:rPr>
          <w:i/>
          <w:spacing w:val="-10"/>
          <w:sz w:val="16"/>
        </w:rPr>
        <w:t> </w:t>
      </w:r>
      <w:r>
        <w:rPr>
          <w:i/>
          <w:sz w:val="16"/>
        </w:rPr>
        <w:t>violación</w:t>
      </w:r>
      <w:r>
        <w:rPr>
          <w:i/>
          <w:spacing w:val="-9"/>
          <w:sz w:val="16"/>
        </w:rPr>
        <w:t> </w:t>
      </w:r>
      <w:r>
        <w:rPr>
          <w:i/>
          <w:sz w:val="16"/>
        </w:rPr>
        <w:t>de</w:t>
      </w:r>
      <w:r>
        <w:rPr>
          <w:i/>
          <w:spacing w:val="-10"/>
          <w:sz w:val="16"/>
        </w:rPr>
        <w:t> </w:t>
      </w:r>
      <w:r>
        <w:rPr>
          <w:i/>
          <w:sz w:val="16"/>
        </w:rPr>
        <w:t>un</w:t>
      </w:r>
      <w:r>
        <w:rPr>
          <w:i/>
          <w:spacing w:val="-10"/>
          <w:sz w:val="16"/>
        </w:rPr>
        <w:t> </w:t>
      </w:r>
      <w:r>
        <w:rPr>
          <w:i/>
          <w:sz w:val="16"/>
        </w:rPr>
        <w:t>derecho</w:t>
      </w:r>
      <w:r>
        <w:rPr>
          <w:i/>
          <w:spacing w:val="-9"/>
          <w:sz w:val="16"/>
        </w:rPr>
        <w:t> </w:t>
      </w:r>
      <w:r>
        <w:rPr>
          <w:i/>
          <w:sz w:val="16"/>
        </w:rPr>
        <w:t>o</w:t>
      </w:r>
      <w:r>
        <w:rPr>
          <w:i/>
          <w:spacing w:val="-9"/>
          <w:sz w:val="16"/>
        </w:rPr>
        <w:t> </w:t>
      </w:r>
      <w:r>
        <w:rPr>
          <w:i/>
          <w:sz w:val="16"/>
        </w:rPr>
        <w:t>libertad</w:t>
      </w:r>
      <w:r>
        <w:rPr>
          <w:i/>
          <w:spacing w:val="-10"/>
          <w:sz w:val="16"/>
        </w:rPr>
        <w:t> </w:t>
      </w:r>
      <w:r>
        <w:rPr>
          <w:i/>
          <w:sz w:val="16"/>
        </w:rPr>
        <w:t>protegidos</w:t>
      </w:r>
      <w:r>
        <w:rPr>
          <w:i/>
          <w:spacing w:val="-10"/>
          <w:sz w:val="16"/>
        </w:rPr>
        <w:t> </w:t>
      </w:r>
      <w:r>
        <w:rPr>
          <w:i/>
          <w:sz w:val="16"/>
        </w:rPr>
        <w:t>en</w:t>
      </w:r>
      <w:r>
        <w:rPr>
          <w:i/>
          <w:spacing w:val="-9"/>
          <w:sz w:val="16"/>
        </w:rPr>
        <w:t> </w:t>
      </w:r>
      <w:r>
        <w:rPr>
          <w:i/>
          <w:sz w:val="16"/>
        </w:rPr>
        <w:t>esta</w:t>
      </w:r>
      <w:r>
        <w:rPr>
          <w:i/>
          <w:spacing w:val="-8"/>
          <w:sz w:val="16"/>
        </w:rPr>
        <w:t> </w:t>
      </w:r>
      <w:r>
        <w:rPr>
          <w:i/>
          <w:sz w:val="16"/>
        </w:rPr>
        <w:t>Convención,</w:t>
      </w:r>
      <w:r>
        <w:rPr>
          <w:i/>
          <w:spacing w:val="-10"/>
          <w:sz w:val="16"/>
        </w:rPr>
        <w:t> </w:t>
      </w:r>
      <w:r>
        <w:rPr>
          <w:i/>
          <w:sz w:val="16"/>
        </w:rPr>
        <w:t>la</w:t>
      </w:r>
      <w:r>
        <w:rPr>
          <w:i/>
          <w:spacing w:val="-8"/>
          <w:sz w:val="16"/>
        </w:rPr>
        <w:t> </w:t>
      </w:r>
      <w:r>
        <w:rPr>
          <w:i/>
          <w:sz w:val="16"/>
        </w:rPr>
        <w:t>Corte </w:t>
      </w:r>
      <w:r>
        <w:rPr>
          <w:i/>
          <w:sz w:val="16"/>
        </w:rPr>
        <w:t>dispondrá</w:t>
      </w:r>
      <w:r>
        <w:rPr>
          <w:i/>
          <w:spacing w:val="-9"/>
          <w:sz w:val="16"/>
        </w:rPr>
        <w:t> </w:t>
      </w:r>
      <w:r>
        <w:rPr>
          <w:i/>
          <w:sz w:val="16"/>
        </w:rPr>
        <w:t>que</w:t>
      </w:r>
      <w:r>
        <w:rPr>
          <w:i/>
          <w:spacing w:val="-9"/>
          <w:sz w:val="16"/>
        </w:rPr>
        <w:t> </w:t>
      </w:r>
      <w:r>
        <w:rPr>
          <w:i/>
          <w:sz w:val="16"/>
        </w:rPr>
        <w:t>se</w:t>
      </w:r>
      <w:r>
        <w:rPr>
          <w:i/>
          <w:spacing w:val="-10"/>
          <w:sz w:val="16"/>
        </w:rPr>
        <w:t> </w:t>
      </w:r>
      <w:r>
        <w:rPr>
          <w:i/>
          <w:sz w:val="16"/>
        </w:rPr>
        <w:t>garantice</w:t>
      </w:r>
      <w:r>
        <w:rPr>
          <w:i/>
          <w:spacing w:val="-10"/>
          <w:sz w:val="16"/>
        </w:rPr>
        <w:t> </w:t>
      </w:r>
      <w:r>
        <w:rPr>
          <w:i/>
          <w:sz w:val="16"/>
        </w:rPr>
        <w:t>al</w:t>
      </w:r>
      <w:r>
        <w:rPr>
          <w:i/>
          <w:spacing w:val="-8"/>
          <w:sz w:val="16"/>
        </w:rPr>
        <w:t> </w:t>
      </w:r>
      <w:r>
        <w:rPr>
          <w:i/>
          <w:sz w:val="16"/>
        </w:rPr>
        <w:t>lesionado</w:t>
      </w:r>
      <w:r>
        <w:rPr>
          <w:i/>
          <w:spacing w:val="-9"/>
          <w:sz w:val="16"/>
        </w:rPr>
        <w:t> </w:t>
      </w:r>
      <w:r>
        <w:rPr>
          <w:i/>
          <w:sz w:val="16"/>
        </w:rPr>
        <w:t>en</w:t>
      </w:r>
      <w:r>
        <w:rPr>
          <w:i/>
          <w:spacing w:val="-10"/>
          <w:sz w:val="16"/>
        </w:rPr>
        <w:t> </w:t>
      </w:r>
      <w:r>
        <w:rPr>
          <w:i/>
          <w:sz w:val="16"/>
        </w:rPr>
        <w:t>el</w:t>
      </w:r>
      <w:r>
        <w:rPr>
          <w:i/>
          <w:spacing w:val="-8"/>
          <w:sz w:val="16"/>
        </w:rPr>
        <w:t> </w:t>
      </w:r>
      <w:r>
        <w:rPr>
          <w:i/>
          <w:sz w:val="16"/>
        </w:rPr>
        <w:t>goce</w:t>
      </w:r>
      <w:r>
        <w:rPr>
          <w:i/>
          <w:spacing w:val="-10"/>
          <w:sz w:val="16"/>
        </w:rPr>
        <w:t> </w:t>
      </w:r>
      <w:r>
        <w:rPr>
          <w:i/>
          <w:sz w:val="16"/>
        </w:rPr>
        <w:t>de</w:t>
      </w:r>
      <w:r>
        <w:rPr>
          <w:i/>
          <w:spacing w:val="-10"/>
          <w:sz w:val="16"/>
        </w:rPr>
        <w:t> </w:t>
      </w:r>
      <w:r>
        <w:rPr>
          <w:i/>
          <w:sz w:val="16"/>
        </w:rPr>
        <w:t>su</w:t>
      </w:r>
      <w:r>
        <w:rPr>
          <w:i/>
          <w:spacing w:val="-10"/>
          <w:sz w:val="16"/>
        </w:rPr>
        <w:t> </w:t>
      </w:r>
      <w:r>
        <w:rPr>
          <w:i/>
          <w:sz w:val="16"/>
        </w:rPr>
        <w:t>derecho</w:t>
      </w:r>
      <w:r>
        <w:rPr>
          <w:i/>
          <w:spacing w:val="-9"/>
          <w:sz w:val="16"/>
        </w:rPr>
        <w:t> </w:t>
      </w:r>
      <w:r>
        <w:rPr>
          <w:i/>
          <w:sz w:val="16"/>
        </w:rPr>
        <w:t>o</w:t>
      </w:r>
      <w:r>
        <w:rPr>
          <w:i/>
          <w:spacing w:val="-9"/>
          <w:sz w:val="16"/>
        </w:rPr>
        <w:t> </w:t>
      </w:r>
      <w:r>
        <w:rPr>
          <w:i/>
          <w:sz w:val="16"/>
        </w:rPr>
        <w:t>libertad</w:t>
      </w:r>
      <w:r>
        <w:rPr>
          <w:i/>
          <w:spacing w:val="-8"/>
          <w:sz w:val="16"/>
        </w:rPr>
        <w:t> </w:t>
      </w:r>
      <w:r>
        <w:rPr>
          <w:i/>
          <w:sz w:val="16"/>
        </w:rPr>
        <w:t>conculcados.</w:t>
      </w:r>
      <w:r>
        <w:rPr>
          <w:i/>
          <w:spacing w:val="38"/>
          <w:sz w:val="16"/>
        </w:rPr>
        <w:t> </w:t>
      </w:r>
      <w:r>
        <w:rPr>
          <w:i/>
          <w:sz w:val="16"/>
        </w:rPr>
        <w:t>Dispondrá</w:t>
      </w:r>
      <w:r>
        <w:rPr>
          <w:i/>
          <w:spacing w:val="-9"/>
          <w:sz w:val="16"/>
        </w:rPr>
        <w:t> </w:t>
      </w:r>
      <w:r>
        <w:rPr>
          <w:i/>
          <w:sz w:val="16"/>
        </w:rPr>
        <w:t>asimismo, si ello fuera procedente, que se reparen las consecuencias de la medida o situación que ha configurado la vulneración de esos derechos y el pago de una justa indemnización a la parte</w:t>
      </w:r>
      <w:r>
        <w:rPr>
          <w:i/>
          <w:spacing w:val="-25"/>
          <w:sz w:val="16"/>
        </w:rPr>
        <w:t> </w:t>
      </w:r>
      <w:r>
        <w:rPr>
          <w:i/>
          <w:sz w:val="16"/>
        </w:rPr>
        <w:t>lesionada.”</w:t>
      </w:r>
    </w:p>
    <w:p>
      <w:pPr>
        <w:pStyle w:val="BodyText"/>
        <w:spacing w:before="12"/>
        <w:rPr>
          <w:i/>
          <w:sz w:val="15"/>
        </w:rPr>
      </w:pPr>
    </w:p>
    <w:p>
      <w:pPr>
        <w:spacing w:before="0"/>
        <w:ind w:left="681" w:right="0" w:firstLine="0"/>
        <w:jc w:val="both"/>
        <w:rPr>
          <w:sz w:val="16"/>
        </w:rPr>
      </w:pPr>
      <w:r>
        <w:rPr>
          <w:position w:val="6"/>
          <w:sz w:val="10"/>
        </w:rPr>
        <w:t>29  </w:t>
      </w:r>
      <w:r>
        <w:rPr>
          <w:sz w:val="16"/>
        </w:rPr>
        <w:t>Párr. 194.</w:t>
      </w:r>
    </w:p>
    <w:p>
      <w:pPr>
        <w:spacing w:before="0"/>
        <w:ind w:left="681" w:right="126" w:firstLine="0"/>
        <w:jc w:val="both"/>
        <w:rPr>
          <w:sz w:val="16"/>
        </w:rPr>
      </w:pPr>
      <w:r>
        <w:rPr>
          <w:sz w:val="16"/>
        </w:rPr>
        <w:t>En lo sucesivo, cada vez que se cite un párrafo sin indicar el instrumento jurídico al que corresponde, se entenderá que es de la Sentencia.</w:t>
      </w:r>
    </w:p>
    <w:p>
      <w:pPr>
        <w:pStyle w:val="BodyText"/>
        <w:rPr>
          <w:sz w:val="16"/>
        </w:rPr>
      </w:pPr>
    </w:p>
    <w:p>
      <w:pPr>
        <w:spacing w:before="0"/>
        <w:ind w:left="681" w:right="0" w:firstLine="0"/>
        <w:jc w:val="both"/>
        <w:rPr>
          <w:sz w:val="16"/>
        </w:rPr>
      </w:pPr>
      <w:r>
        <w:rPr>
          <w:position w:val="6"/>
          <w:sz w:val="10"/>
        </w:rPr>
        <w:t>30  </w:t>
      </w:r>
      <w:r>
        <w:rPr>
          <w:sz w:val="16"/>
        </w:rPr>
        <w:t>Párrs. 196, 202 y 222.</w:t>
      </w:r>
    </w:p>
    <w:p>
      <w:pPr>
        <w:pStyle w:val="BodyText"/>
        <w:spacing w:before="12"/>
        <w:rPr>
          <w:sz w:val="15"/>
        </w:rPr>
      </w:pPr>
    </w:p>
    <w:p>
      <w:pPr>
        <w:spacing w:before="0"/>
        <w:ind w:left="681" w:right="0" w:firstLine="0"/>
        <w:jc w:val="both"/>
        <w:rPr>
          <w:sz w:val="16"/>
        </w:rPr>
      </w:pPr>
      <w:r>
        <w:rPr>
          <w:position w:val="6"/>
          <w:sz w:val="10"/>
        </w:rPr>
        <w:t>31 </w:t>
      </w:r>
      <w:r>
        <w:rPr>
          <w:sz w:val="16"/>
        </w:rPr>
        <w:t>Párr.207.</w:t>
      </w:r>
    </w:p>
    <w:p>
      <w:pPr>
        <w:pStyle w:val="BodyText"/>
        <w:rPr>
          <w:sz w:val="16"/>
        </w:rPr>
      </w:pPr>
    </w:p>
    <w:p>
      <w:pPr>
        <w:spacing w:before="0"/>
        <w:ind w:left="681" w:right="0" w:firstLine="0"/>
        <w:jc w:val="both"/>
        <w:rPr>
          <w:sz w:val="16"/>
        </w:rPr>
      </w:pPr>
      <w:r>
        <w:rPr>
          <w:position w:val="6"/>
          <w:sz w:val="10"/>
        </w:rPr>
        <w:t>32  </w:t>
      </w:r>
      <w:r>
        <w:rPr>
          <w:sz w:val="16"/>
        </w:rPr>
        <w:t>Diccionario de la Lengua Española, Real Academia Española, 2019.</w:t>
      </w:r>
    </w:p>
    <w:p>
      <w:pPr>
        <w:pStyle w:val="BodyText"/>
        <w:spacing w:before="11"/>
        <w:rPr>
          <w:sz w:val="15"/>
        </w:rPr>
      </w:pPr>
    </w:p>
    <w:p>
      <w:pPr>
        <w:spacing w:before="0"/>
        <w:ind w:left="681" w:right="0" w:firstLine="0"/>
        <w:jc w:val="both"/>
        <w:rPr>
          <w:i/>
          <w:sz w:val="16"/>
        </w:rPr>
      </w:pPr>
      <w:r>
        <w:rPr>
          <w:position w:val="6"/>
          <w:sz w:val="10"/>
        </w:rPr>
        <w:t>33 </w:t>
      </w:r>
      <w:r>
        <w:rPr>
          <w:i/>
          <w:sz w:val="16"/>
        </w:rPr>
        <w:t>Idem.</w:t>
      </w:r>
    </w:p>
    <w:p>
      <w:pPr>
        <w:spacing w:after="0"/>
        <w:jc w:val="both"/>
        <w:rPr>
          <w:sz w:val="16"/>
        </w:rPr>
        <w:sectPr>
          <w:pgSz w:w="12240" w:h="15840"/>
          <w:pgMar w:header="0" w:footer="1000" w:top="1220" w:bottom="1200" w:left="1020" w:right="1580"/>
        </w:sectPr>
      </w:pPr>
    </w:p>
    <w:p>
      <w:pPr>
        <w:pStyle w:val="ListParagraph"/>
        <w:numPr>
          <w:ilvl w:val="0"/>
          <w:numId w:val="53"/>
        </w:numPr>
        <w:tabs>
          <w:tab w:pos="1390" w:val="left" w:leader="none"/>
        </w:tabs>
        <w:spacing w:line="240" w:lineRule="auto" w:before="87" w:after="0"/>
        <w:ind w:left="681" w:right="117" w:firstLine="0"/>
        <w:jc w:val="both"/>
        <w:rPr>
          <w:sz w:val="20"/>
        </w:rPr>
      </w:pPr>
      <w:r>
        <w:rPr>
          <w:sz w:val="20"/>
        </w:rPr>
        <w:t>También se puede desprender de lo expuesto que es el propio instrumento convencional</w:t>
      </w:r>
      <w:r>
        <w:rPr>
          <w:spacing w:val="-18"/>
          <w:sz w:val="20"/>
        </w:rPr>
        <w:t> </w:t>
      </w:r>
      <w:r>
        <w:rPr>
          <w:sz w:val="20"/>
        </w:rPr>
        <w:t>el</w:t>
      </w:r>
      <w:r>
        <w:rPr>
          <w:spacing w:val="-18"/>
          <w:sz w:val="20"/>
        </w:rPr>
        <w:t> </w:t>
      </w:r>
      <w:r>
        <w:rPr>
          <w:sz w:val="20"/>
        </w:rPr>
        <w:t>que</w:t>
      </w:r>
      <w:r>
        <w:rPr>
          <w:spacing w:val="-18"/>
          <w:sz w:val="20"/>
        </w:rPr>
        <w:t> </w:t>
      </w:r>
      <w:r>
        <w:rPr>
          <w:sz w:val="20"/>
        </w:rPr>
        <w:t>hace</w:t>
      </w:r>
      <w:r>
        <w:rPr>
          <w:spacing w:val="-18"/>
          <w:sz w:val="20"/>
        </w:rPr>
        <w:t> </w:t>
      </w:r>
      <w:r>
        <w:rPr>
          <w:sz w:val="20"/>
        </w:rPr>
        <w:t>una</w:t>
      </w:r>
      <w:r>
        <w:rPr>
          <w:spacing w:val="-19"/>
          <w:sz w:val="20"/>
        </w:rPr>
        <w:t> </w:t>
      </w:r>
      <w:r>
        <w:rPr>
          <w:sz w:val="20"/>
        </w:rPr>
        <w:t>nítida</w:t>
      </w:r>
      <w:r>
        <w:rPr>
          <w:spacing w:val="-18"/>
          <w:sz w:val="20"/>
        </w:rPr>
        <w:t> </w:t>
      </w:r>
      <w:r>
        <w:rPr>
          <w:sz w:val="20"/>
        </w:rPr>
        <w:t>distinción</w:t>
      </w:r>
      <w:r>
        <w:rPr>
          <w:spacing w:val="-18"/>
          <w:sz w:val="20"/>
        </w:rPr>
        <w:t> </w:t>
      </w:r>
      <w:r>
        <w:rPr>
          <w:sz w:val="20"/>
        </w:rPr>
        <w:t>entre</w:t>
      </w:r>
      <w:r>
        <w:rPr>
          <w:spacing w:val="-19"/>
          <w:sz w:val="20"/>
        </w:rPr>
        <w:t> </w:t>
      </w:r>
      <w:r>
        <w:rPr>
          <w:sz w:val="20"/>
        </w:rPr>
        <w:t>los</w:t>
      </w:r>
      <w:r>
        <w:rPr>
          <w:spacing w:val="-18"/>
          <w:sz w:val="20"/>
        </w:rPr>
        <w:t> </w:t>
      </w:r>
      <w:r>
        <w:rPr>
          <w:sz w:val="20"/>
        </w:rPr>
        <w:t>derechos</w:t>
      </w:r>
      <w:r>
        <w:rPr>
          <w:spacing w:val="-19"/>
          <w:sz w:val="20"/>
        </w:rPr>
        <w:t> </w:t>
      </w:r>
      <w:r>
        <w:rPr>
          <w:sz w:val="20"/>
        </w:rPr>
        <w:t>humanos,</w:t>
      </w:r>
      <w:r>
        <w:rPr>
          <w:spacing w:val="-18"/>
          <w:sz w:val="20"/>
        </w:rPr>
        <w:t> </w:t>
      </w:r>
      <w:r>
        <w:rPr>
          <w:sz w:val="20"/>
        </w:rPr>
        <w:t>al</w:t>
      </w:r>
      <w:r>
        <w:rPr>
          <w:spacing w:val="-19"/>
          <w:sz w:val="20"/>
        </w:rPr>
        <w:t> </w:t>
      </w:r>
      <w:r>
        <w:rPr>
          <w:sz w:val="20"/>
        </w:rPr>
        <w:t>establecer, en su Parte I, “Deberes de los Estados y Derechos Protegidos”, su Capítulo I “Enumeración</w:t>
      </w:r>
      <w:r>
        <w:rPr>
          <w:spacing w:val="-11"/>
          <w:sz w:val="20"/>
        </w:rPr>
        <w:t> </w:t>
      </w:r>
      <w:r>
        <w:rPr>
          <w:sz w:val="20"/>
        </w:rPr>
        <w:t>de</w:t>
      </w:r>
      <w:r>
        <w:rPr>
          <w:spacing w:val="-11"/>
          <w:sz w:val="20"/>
        </w:rPr>
        <w:t> </w:t>
      </w:r>
      <w:r>
        <w:rPr>
          <w:sz w:val="20"/>
        </w:rPr>
        <w:t>Deberes”,</w:t>
      </w:r>
      <w:r>
        <w:rPr>
          <w:spacing w:val="-10"/>
          <w:sz w:val="20"/>
        </w:rPr>
        <w:t> </w:t>
      </w:r>
      <w:r>
        <w:rPr>
          <w:sz w:val="20"/>
        </w:rPr>
        <w:t>su</w:t>
      </w:r>
      <w:r>
        <w:rPr>
          <w:spacing w:val="-10"/>
          <w:sz w:val="20"/>
        </w:rPr>
        <w:t> </w:t>
      </w:r>
      <w:r>
        <w:rPr>
          <w:sz w:val="20"/>
        </w:rPr>
        <w:t>Capítulo</w:t>
      </w:r>
      <w:r>
        <w:rPr>
          <w:spacing w:val="-11"/>
          <w:sz w:val="20"/>
        </w:rPr>
        <w:t> </w:t>
      </w:r>
      <w:r>
        <w:rPr>
          <w:sz w:val="20"/>
        </w:rPr>
        <w:t>II</w:t>
      </w:r>
      <w:r>
        <w:rPr>
          <w:spacing w:val="-11"/>
          <w:sz w:val="20"/>
        </w:rPr>
        <w:t> </w:t>
      </w:r>
      <w:r>
        <w:rPr>
          <w:sz w:val="20"/>
        </w:rPr>
        <w:t>“Derechos</w:t>
      </w:r>
      <w:r>
        <w:rPr>
          <w:spacing w:val="-12"/>
          <w:sz w:val="20"/>
        </w:rPr>
        <w:t> </w:t>
      </w:r>
      <w:r>
        <w:rPr>
          <w:sz w:val="20"/>
        </w:rPr>
        <w:t>Civiles</w:t>
      </w:r>
      <w:r>
        <w:rPr>
          <w:spacing w:val="-11"/>
          <w:sz w:val="20"/>
        </w:rPr>
        <w:t> </w:t>
      </w:r>
      <w:r>
        <w:rPr>
          <w:sz w:val="20"/>
        </w:rPr>
        <w:t>y</w:t>
      </w:r>
      <w:r>
        <w:rPr>
          <w:spacing w:val="-10"/>
          <w:sz w:val="20"/>
        </w:rPr>
        <w:t> </w:t>
      </w:r>
      <w:r>
        <w:rPr>
          <w:sz w:val="20"/>
        </w:rPr>
        <w:t>Políticos”</w:t>
      </w:r>
      <w:r>
        <w:rPr>
          <w:spacing w:val="-10"/>
          <w:sz w:val="20"/>
        </w:rPr>
        <w:t> </w:t>
      </w:r>
      <w:r>
        <w:rPr>
          <w:sz w:val="20"/>
        </w:rPr>
        <w:t>y</w:t>
      </w:r>
      <w:r>
        <w:rPr>
          <w:spacing w:val="-10"/>
          <w:sz w:val="20"/>
        </w:rPr>
        <w:t> </w:t>
      </w:r>
      <w:r>
        <w:rPr>
          <w:sz w:val="20"/>
        </w:rPr>
        <w:t>su</w:t>
      </w:r>
      <w:r>
        <w:rPr>
          <w:spacing w:val="-11"/>
          <w:sz w:val="20"/>
        </w:rPr>
        <w:t> </w:t>
      </w:r>
      <w:r>
        <w:rPr>
          <w:sz w:val="20"/>
        </w:rPr>
        <w:t>Capítulo</w:t>
      </w:r>
      <w:r>
        <w:rPr>
          <w:spacing w:val="-11"/>
          <w:sz w:val="20"/>
        </w:rPr>
        <w:t> </w:t>
      </w:r>
      <w:r>
        <w:rPr>
          <w:sz w:val="20"/>
        </w:rPr>
        <w:t>III, “Derechos Económicos, Sociales y Culturales”</w:t>
      </w:r>
      <w:r>
        <w:rPr>
          <w:position w:val="7"/>
          <w:sz w:val="13"/>
        </w:rPr>
        <w:t>34</w:t>
      </w:r>
      <w:r>
        <w:rPr>
          <w:sz w:val="20"/>
        </w:rPr>
        <w:t>, dándoles así a cada una de estas dos últimas categorías de derechos una consideración especial y</w:t>
      </w:r>
      <w:r>
        <w:rPr>
          <w:spacing w:val="-17"/>
          <w:sz w:val="20"/>
        </w:rPr>
        <w:t> </w:t>
      </w:r>
      <w:r>
        <w:rPr>
          <w:sz w:val="20"/>
        </w:rPr>
        <w:t>diferente.</w:t>
      </w:r>
    </w:p>
    <w:p>
      <w:pPr>
        <w:pStyle w:val="BodyText"/>
        <w:spacing w:before="11"/>
        <w:rPr>
          <w:sz w:val="19"/>
        </w:rPr>
      </w:pPr>
    </w:p>
    <w:p>
      <w:pPr>
        <w:pStyle w:val="ListParagraph"/>
        <w:numPr>
          <w:ilvl w:val="0"/>
          <w:numId w:val="53"/>
        </w:numPr>
        <w:tabs>
          <w:tab w:pos="1390" w:val="left" w:leader="none"/>
        </w:tabs>
        <w:spacing w:line="240" w:lineRule="auto" w:before="0" w:after="0"/>
        <w:ind w:left="681" w:right="120" w:firstLine="0"/>
        <w:jc w:val="both"/>
        <w:rPr>
          <w:sz w:val="20"/>
        </w:rPr>
      </w:pPr>
      <w:r>
        <w:rPr>
          <w:sz w:val="20"/>
        </w:rPr>
        <w:t>En tanto comentario adicional, parece al menos curioso que la Sentencia indique que realiza una interpretación que permite “actualizar el sentido de los derechos derivados de la Carta de la OEA que se encuentran reconocidos en el artículo 26 de la Convención</w:t>
      </w:r>
      <w:r>
        <w:rPr>
          <w:i/>
          <w:sz w:val="20"/>
        </w:rPr>
        <w:t>”</w:t>
      </w:r>
      <w:r>
        <w:rPr>
          <w:i/>
          <w:position w:val="7"/>
          <w:sz w:val="13"/>
        </w:rPr>
        <w:t>35</w:t>
      </w:r>
      <w:r>
        <w:rPr>
          <w:i/>
          <w:sz w:val="20"/>
        </w:rPr>
        <w:t>. </w:t>
      </w:r>
      <w:r>
        <w:rPr>
          <w:sz w:val="20"/>
        </w:rPr>
        <w:t>Según aquella, los citados derechos no solo derivarían, por lo tanto, de la</w:t>
      </w:r>
      <w:r>
        <w:rPr>
          <w:spacing w:val="-7"/>
          <w:sz w:val="20"/>
        </w:rPr>
        <w:t> </w:t>
      </w:r>
      <w:r>
        <w:rPr>
          <w:sz w:val="20"/>
        </w:rPr>
        <w:t>Carta</w:t>
      </w:r>
      <w:r>
        <w:rPr>
          <w:spacing w:val="-7"/>
          <w:sz w:val="20"/>
        </w:rPr>
        <w:t> </w:t>
      </w:r>
      <w:r>
        <w:rPr>
          <w:sz w:val="20"/>
        </w:rPr>
        <w:t>de</w:t>
      </w:r>
      <w:r>
        <w:rPr>
          <w:spacing w:val="-8"/>
          <w:sz w:val="20"/>
        </w:rPr>
        <w:t> </w:t>
      </w:r>
      <w:r>
        <w:rPr>
          <w:sz w:val="20"/>
        </w:rPr>
        <w:t>la</w:t>
      </w:r>
      <w:r>
        <w:rPr>
          <w:spacing w:val="-8"/>
          <w:sz w:val="20"/>
        </w:rPr>
        <w:t> </w:t>
      </w:r>
      <w:r>
        <w:rPr>
          <w:sz w:val="20"/>
        </w:rPr>
        <w:t>OEA,</w:t>
      </w:r>
      <w:r>
        <w:rPr>
          <w:spacing w:val="-7"/>
          <w:sz w:val="20"/>
        </w:rPr>
        <w:t> </w:t>
      </w:r>
      <w:r>
        <w:rPr>
          <w:sz w:val="20"/>
        </w:rPr>
        <w:t>sino</w:t>
      </w:r>
      <w:r>
        <w:rPr>
          <w:spacing w:val="-8"/>
          <w:sz w:val="20"/>
        </w:rPr>
        <w:t> </w:t>
      </w:r>
      <w:r>
        <w:rPr>
          <w:sz w:val="20"/>
        </w:rPr>
        <w:t>que,</w:t>
      </w:r>
      <w:r>
        <w:rPr>
          <w:spacing w:val="-7"/>
          <w:sz w:val="20"/>
        </w:rPr>
        <w:t> </w:t>
      </w:r>
      <w:r>
        <w:rPr>
          <w:sz w:val="20"/>
        </w:rPr>
        <w:t>además,</w:t>
      </w:r>
      <w:r>
        <w:rPr>
          <w:spacing w:val="-7"/>
          <w:sz w:val="20"/>
        </w:rPr>
        <w:t> </w:t>
      </w:r>
      <w:r>
        <w:rPr>
          <w:sz w:val="20"/>
        </w:rPr>
        <w:t>serían</w:t>
      </w:r>
      <w:r>
        <w:rPr>
          <w:spacing w:val="-8"/>
          <w:sz w:val="20"/>
        </w:rPr>
        <w:t> </w:t>
      </w:r>
      <w:r>
        <w:rPr>
          <w:sz w:val="20"/>
        </w:rPr>
        <w:t>“reconocidos”</w:t>
      </w:r>
      <w:r>
        <w:rPr>
          <w:spacing w:val="-8"/>
          <w:sz w:val="20"/>
        </w:rPr>
        <w:t> </w:t>
      </w:r>
      <w:r>
        <w:rPr>
          <w:sz w:val="20"/>
        </w:rPr>
        <w:t>por</w:t>
      </w:r>
      <w:r>
        <w:rPr>
          <w:spacing w:val="-8"/>
          <w:sz w:val="20"/>
        </w:rPr>
        <w:t> </w:t>
      </w:r>
      <w:r>
        <w:rPr>
          <w:sz w:val="20"/>
        </w:rPr>
        <w:t>el</w:t>
      </w:r>
      <w:r>
        <w:rPr>
          <w:spacing w:val="-6"/>
          <w:sz w:val="20"/>
        </w:rPr>
        <w:t> </w:t>
      </w:r>
      <w:r>
        <w:rPr>
          <w:sz w:val="20"/>
        </w:rPr>
        <w:t>artículo</w:t>
      </w:r>
      <w:r>
        <w:rPr>
          <w:spacing w:val="-7"/>
          <w:sz w:val="20"/>
        </w:rPr>
        <w:t> </w:t>
      </w:r>
      <w:r>
        <w:rPr>
          <w:sz w:val="20"/>
        </w:rPr>
        <w:t>26</w:t>
      </w:r>
      <w:r>
        <w:rPr>
          <w:spacing w:val="-7"/>
          <w:sz w:val="20"/>
        </w:rPr>
        <w:t> </w:t>
      </w:r>
      <w:r>
        <w:rPr>
          <w:sz w:val="20"/>
        </w:rPr>
        <w:t>y,</w:t>
      </w:r>
      <w:r>
        <w:rPr>
          <w:spacing w:val="-8"/>
          <w:sz w:val="20"/>
        </w:rPr>
        <w:t> </w:t>
      </w:r>
      <w:r>
        <w:rPr>
          <w:sz w:val="20"/>
        </w:rPr>
        <w:t>además, “actualizados” por la Corte. Es eso, entonces, lo que le permite a la Sentencia tácitamente concluir que las presuntas violaciones de tales derechos pueden ser conocidas y resueltas por</w:t>
      </w:r>
      <w:r>
        <w:rPr>
          <w:spacing w:val="-4"/>
          <w:sz w:val="20"/>
        </w:rPr>
        <w:t> </w:t>
      </w:r>
      <w:r>
        <w:rPr>
          <w:sz w:val="20"/>
        </w:rPr>
        <w:t>aquella.</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Igualmente,</w:t>
      </w:r>
      <w:r>
        <w:rPr>
          <w:spacing w:val="-11"/>
          <w:sz w:val="20"/>
        </w:rPr>
        <w:t> </w:t>
      </w:r>
      <w:r>
        <w:rPr>
          <w:sz w:val="20"/>
        </w:rPr>
        <w:t>resulta</w:t>
      </w:r>
      <w:r>
        <w:rPr>
          <w:spacing w:val="-12"/>
          <w:sz w:val="20"/>
        </w:rPr>
        <w:t> </w:t>
      </w:r>
      <w:r>
        <w:rPr>
          <w:sz w:val="20"/>
        </w:rPr>
        <w:t>sorprendente</w:t>
      </w:r>
      <w:r>
        <w:rPr>
          <w:spacing w:val="-10"/>
          <w:sz w:val="20"/>
        </w:rPr>
        <w:t> </w:t>
      </w:r>
      <w:r>
        <w:rPr>
          <w:sz w:val="20"/>
        </w:rPr>
        <w:t>que</w:t>
      </w:r>
      <w:r>
        <w:rPr>
          <w:spacing w:val="-11"/>
          <w:sz w:val="20"/>
        </w:rPr>
        <w:t> </w:t>
      </w:r>
      <w:r>
        <w:rPr>
          <w:sz w:val="20"/>
        </w:rPr>
        <w:t>en</w:t>
      </w:r>
      <w:r>
        <w:rPr>
          <w:spacing w:val="-11"/>
          <w:sz w:val="20"/>
        </w:rPr>
        <w:t> </w:t>
      </w:r>
      <w:r>
        <w:rPr>
          <w:sz w:val="20"/>
        </w:rPr>
        <w:t>la</w:t>
      </w:r>
      <w:r>
        <w:rPr>
          <w:spacing w:val="-11"/>
          <w:sz w:val="20"/>
        </w:rPr>
        <w:t> </w:t>
      </w:r>
      <w:r>
        <w:rPr>
          <w:sz w:val="20"/>
        </w:rPr>
        <w:t>Sentencia</w:t>
      </w:r>
      <w:r>
        <w:rPr>
          <w:spacing w:val="-11"/>
          <w:sz w:val="20"/>
        </w:rPr>
        <w:t> </w:t>
      </w:r>
      <w:r>
        <w:rPr>
          <w:sz w:val="20"/>
        </w:rPr>
        <w:t>se</w:t>
      </w:r>
      <w:r>
        <w:rPr>
          <w:spacing w:val="-10"/>
          <w:sz w:val="20"/>
        </w:rPr>
        <w:t> </w:t>
      </w:r>
      <w:r>
        <w:rPr>
          <w:sz w:val="20"/>
        </w:rPr>
        <w:t>sostenga</w:t>
      </w:r>
      <w:r>
        <w:rPr>
          <w:spacing w:val="-11"/>
          <w:sz w:val="20"/>
        </w:rPr>
        <w:t> </w:t>
      </w:r>
      <w:r>
        <w:rPr>
          <w:sz w:val="20"/>
        </w:rPr>
        <w:t>que,</w:t>
      </w:r>
      <w:r>
        <w:rPr>
          <w:spacing w:val="-10"/>
          <w:sz w:val="20"/>
        </w:rPr>
        <w:t> </w:t>
      </w:r>
      <w:r>
        <w:rPr>
          <w:sz w:val="20"/>
        </w:rPr>
        <w:t>dado</w:t>
      </w:r>
      <w:r>
        <w:rPr>
          <w:spacing w:val="-11"/>
          <w:sz w:val="20"/>
        </w:rPr>
        <w:t> </w:t>
      </w:r>
      <w:r>
        <w:rPr>
          <w:sz w:val="20"/>
        </w:rPr>
        <w:t>que el artículo 26 “realiza una remisión directa a las normas económicas, sociales y sobre educación, ciencia y cultura contendidas en la Carta de la OEA”</w:t>
      </w:r>
      <w:r>
        <w:rPr>
          <w:position w:val="7"/>
          <w:sz w:val="13"/>
        </w:rPr>
        <w:t>36</w:t>
      </w:r>
      <w:r>
        <w:rPr>
          <w:sz w:val="20"/>
        </w:rPr>
        <w:t>, está “establecido que un</w:t>
      </w:r>
      <w:r>
        <w:rPr>
          <w:spacing w:val="-6"/>
          <w:sz w:val="20"/>
        </w:rPr>
        <w:t> </w:t>
      </w:r>
      <w:r>
        <w:rPr>
          <w:sz w:val="20"/>
        </w:rPr>
        <w:t>derecho</w:t>
      </w:r>
      <w:r>
        <w:rPr>
          <w:spacing w:val="-7"/>
          <w:sz w:val="20"/>
        </w:rPr>
        <w:t> </w:t>
      </w:r>
      <w:r>
        <w:rPr>
          <w:sz w:val="20"/>
        </w:rPr>
        <w:t>debe</w:t>
      </w:r>
      <w:r>
        <w:rPr>
          <w:spacing w:val="-6"/>
          <w:sz w:val="20"/>
        </w:rPr>
        <w:t> </w:t>
      </w:r>
      <w:r>
        <w:rPr>
          <w:sz w:val="20"/>
        </w:rPr>
        <w:t>entenderse</w:t>
      </w:r>
      <w:r>
        <w:rPr>
          <w:spacing w:val="-6"/>
          <w:sz w:val="20"/>
        </w:rPr>
        <w:t> </w:t>
      </w:r>
      <w:r>
        <w:rPr>
          <w:sz w:val="20"/>
        </w:rPr>
        <w:t>incluido</w:t>
      </w:r>
      <w:r>
        <w:rPr>
          <w:spacing w:val="-6"/>
          <w:sz w:val="20"/>
        </w:rPr>
        <w:t> </w:t>
      </w:r>
      <w:r>
        <w:rPr>
          <w:sz w:val="20"/>
        </w:rPr>
        <w:t>en”</w:t>
      </w:r>
      <w:r>
        <w:rPr>
          <w:spacing w:val="-6"/>
          <w:sz w:val="20"/>
        </w:rPr>
        <w:t> </w:t>
      </w:r>
      <w:r>
        <w:rPr>
          <w:sz w:val="20"/>
        </w:rPr>
        <w:t>aquél,</w:t>
      </w:r>
      <w:r>
        <w:rPr>
          <w:spacing w:val="-5"/>
          <w:sz w:val="20"/>
        </w:rPr>
        <w:t> </w:t>
      </w:r>
      <w:r>
        <w:rPr>
          <w:sz w:val="20"/>
        </w:rPr>
        <w:t>por</w:t>
      </w:r>
      <w:r>
        <w:rPr>
          <w:spacing w:val="-8"/>
          <w:sz w:val="20"/>
        </w:rPr>
        <w:t> </w:t>
      </w:r>
      <w:r>
        <w:rPr>
          <w:sz w:val="20"/>
        </w:rPr>
        <w:t>lo</w:t>
      </w:r>
      <w:r>
        <w:rPr>
          <w:spacing w:val="-7"/>
          <w:sz w:val="20"/>
        </w:rPr>
        <w:t> </w:t>
      </w:r>
      <w:r>
        <w:rPr>
          <w:sz w:val="20"/>
        </w:rPr>
        <w:t>que</w:t>
      </w:r>
      <w:r>
        <w:rPr>
          <w:spacing w:val="-6"/>
          <w:sz w:val="20"/>
        </w:rPr>
        <w:t> </w:t>
      </w:r>
      <w:r>
        <w:rPr>
          <w:sz w:val="20"/>
        </w:rPr>
        <w:t>solo</w:t>
      </w:r>
      <w:r>
        <w:rPr>
          <w:spacing w:val="-7"/>
          <w:sz w:val="20"/>
        </w:rPr>
        <w:t> </w:t>
      </w:r>
      <w:r>
        <w:rPr>
          <w:sz w:val="20"/>
        </w:rPr>
        <w:t>correspondería</w:t>
      </w:r>
      <w:r>
        <w:rPr>
          <w:spacing w:val="-7"/>
          <w:sz w:val="20"/>
        </w:rPr>
        <w:t> </w:t>
      </w:r>
      <w:r>
        <w:rPr>
          <w:sz w:val="20"/>
        </w:rPr>
        <w:t>“fijar</w:t>
      </w:r>
      <w:r>
        <w:rPr>
          <w:spacing w:val="-7"/>
          <w:sz w:val="20"/>
        </w:rPr>
        <w:t> </w:t>
      </w:r>
      <w:r>
        <w:rPr>
          <w:sz w:val="20"/>
        </w:rPr>
        <w:t>sus alcances a la luz del </w:t>
      </w:r>
      <w:r>
        <w:rPr>
          <w:i/>
          <w:sz w:val="20"/>
        </w:rPr>
        <w:t>corpus iuris </w:t>
      </w:r>
      <w:r>
        <w:rPr>
          <w:sz w:val="20"/>
        </w:rPr>
        <w:t>internacional en la</w:t>
      </w:r>
      <w:r>
        <w:rPr>
          <w:spacing w:val="-14"/>
          <w:sz w:val="20"/>
        </w:rPr>
        <w:t> </w:t>
      </w:r>
      <w:r>
        <w:rPr>
          <w:sz w:val="20"/>
        </w:rPr>
        <w:t>materia”.</w:t>
      </w:r>
    </w:p>
    <w:p>
      <w:pPr>
        <w:pStyle w:val="BodyText"/>
        <w:spacing w:before="11"/>
        <w:rPr>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Evidentemente, no se pueden compartir las señaladas afirmaciones, por de pronto,</w:t>
      </w:r>
      <w:r>
        <w:rPr>
          <w:spacing w:val="-19"/>
          <w:sz w:val="20"/>
        </w:rPr>
        <w:t> </w:t>
      </w:r>
      <w:r>
        <w:rPr>
          <w:sz w:val="20"/>
        </w:rPr>
        <w:t>porque</w:t>
      </w:r>
      <w:r>
        <w:rPr>
          <w:spacing w:val="-19"/>
          <w:sz w:val="20"/>
        </w:rPr>
        <w:t> </w:t>
      </w:r>
      <w:r>
        <w:rPr>
          <w:sz w:val="20"/>
        </w:rPr>
        <w:t>el</w:t>
      </w:r>
      <w:r>
        <w:rPr>
          <w:spacing w:val="-17"/>
          <w:sz w:val="20"/>
        </w:rPr>
        <w:t> </w:t>
      </w:r>
      <w:r>
        <w:rPr>
          <w:sz w:val="20"/>
        </w:rPr>
        <w:t>artículo</w:t>
      </w:r>
      <w:r>
        <w:rPr>
          <w:spacing w:val="-18"/>
          <w:sz w:val="20"/>
        </w:rPr>
        <w:t> </w:t>
      </w:r>
      <w:r>
        <w:rPr>
          <w:sz w:val="20"/>
        </w:rPr>
        <w:t>26</w:t>
      </w:r>
      <w:r>
        <w:rPr>
          <w:spacing w:val="-19"/>
          <w:sz w:val="20"/>
        </w:rPr>
        <w:t> </w:t>
      </w:r>
      <w:r>
        <w:rPr>
          <w:sz w:val="20"/>
        </w:rPr>
        <w:t>no</w:t>
      </w:r>
      <w:r>
        <w:rPr>
          <w:spacing w:val="-18"/>
          <w:sz w:val="20"/>
        </w:rPr>
        <w:t> </w:t>
      </w:r>
      <w:r>
        <w:rPr>
          <w:sz w:val="20"/>
        </w:rPr>
        <w:t>reconoce</w:t>
      </w:r>
      <w:r>
        <w:rPr>
          <w:spacing w:val="-19"/>
          <w:sz w:val="20"/>
        </w:rPr>
        <w:t> </w:t>
      </w:r>
      <w:r>
        <w:rPr>
          <w:sz w:val="20"/>
        </w:rPr>
        <w:t>derecho</w:t>
      </w:r>
      <w:r>
        <w:rPr>
          <w:spacing w:val="-18"/>
          <w:sz w:val="20"/>
        </w:rPr>
        <w:t> </w:t>
      </w:r>
      <w:r>
        <w:rPr>
          <w:sz w:val="20"/>
        </w:rPr>
        <w:t>alguno</w:t>
      </w:r>
      <w:r>
        <w:rPr>
          <w:spacing w:val="-19"/>
          <w:sz w:val="20"/>
        </w:rPr>
        <w:t> </w:t>
      </w:r>
      <w:r>
        <w:rPr>
          <w:sz w:val="20"/>
        </w:rPr>
        <w:t>sino</w:t>
      </w:r>
      <w:r>
        <w:rPr>
          <w:spacing w:val="-19"/>
          <w:sz w:val="20"/>
        </w:rPr>
        <w:t> </w:t>
      </w:r>
      <w:r>
        <w:rPr>
          <w:sz w:val="20"/>
        </w:rPr>
        <w:t>que</w:t>
      </w:r>
      <w:r>
        <w:rPr>
          <w:spacing w:val="-18"/>
          <w:sz w:val="20"/>
        </w:rPr>
        <w:t> </w:t>
      </w:r>
      <w:r>
        <w:rPr>
          <w:sz w:val="20"/>
        </w:rPr>
        <w:t>se</w:t>
      </w:r>
      <w:r>
        <w:rPr>
          <w:spacing w:val="-18"/>
          <w:sz w:val="20"/>
        </w:rPr>
        <w:t> </w:t>
      </w:r>
      <w:r>
        <w:rPr>
          <w:sz w:val="20"/>
        </w:rPr>
        <w:t>remite</w:t>
      </w:r>
      <w:r>
        <w:rPr>
          <w:spacing w:val="-19"/>
          <w:sz w:val="20"/>
        </w:rPr>
        <w:t> </w:t>
      </w:r>
      <w:r>
        <w:rPr>
          <w:sz w:val="20"/>
        </w:rPr>
        <w:t>a</w:t>
      </w:r>
      <w:r>
        <w:rPr>
          <w:spacing w:val="-18"/>
          <w:sz w:val="20"/>
        </w:rPr>
        <w:t> </w:t>
      </w:r>
      <w:r>
        <w:rPr>
          <w:sz w:val="20"/>
        </w:rPr>
        <w:t>las</w:t>
      </w:r>
      <w:r>
        <w:rPr>
          <w:spacing w:val="-19"/>
          <w:sz w:val="20"/>
        </w:rPr>
        <w:t> </w:t>
      </w:r>
      <w:r>
        <w:rPr>
          <w:sz w:val="20"/>
        </w:rPr>
        <w:t>normas de</w:t>
      </w:r>
      <w:r>
        <w:rPr>
          <w:spacing w:val="-15"/>
          <w:sz w:val="20"/>
        </w:rPr>
        <w:t> </w:t>
      </w:r>
      <w:r>
        <w:rPr>
          <w:sz w:val="20"/>
        </w:rPr>
        <w:t>la</w:t>
      </w:r>
      <w:r>
        <w:rPr>
          <w:spacing w:val="-17"/>
          <w:sz w:val="20"/>
        </w:rPr>
        <w:t> </w:t>
      </w:r>
      <w:r>
        <w:rPr>
          <w:sz w:val="20"/>
        </w:rPr>
        <w:t>OEA</w:t>
      </w:r>
      <w:r>
        <w:rPr>
          <w:spacing w:val="-17"/>
          <w:sz w:val="20"/>
        </w:rPr>
        <w:t> </w:t>
      </w:r>
      <w:r>
        <w:rPr>
          <w:sz w:val="20"/>
        </w:rPr>
        <w:t>que</w:t>
      </w:r>
      <w:r>
        <w:rPr>
          <w:spacing w:val="-16"/>
          <w:sz w:val="20"/>
        </w:rPr>
        <w:t> </w:t>
      </w:r>
      <w:r>
        <w:rPr>
          <w:sz w:val="20"/>
        </w:rPr>
        <w:t>señala</w:t>
      </w:r>
      <w:r>
        <w:rPr>
          <w:spacing w:val="-17"/>
          <w:sz w:val="20"/>
        </w:rPr>
        <w:t> </w:t>
      </w:r>
      <w:r>
        <w:rPr>
          <w:sz w:val="20"/>
        </w:rPr>
        <w:t>y</w:t>
      </w:r>
      <w:r>
        <w:rPr>
          <w:spacing w:val="-16"/>
          <w:sz w:val="20"/>
        </w:rPr>
        <w:t> </w:t>
      </w:r>
      <w:r>
        <w:rPr>
          <w:sz w:val="20"/>
        </w:rPr>
        <w:t>enseguida,</w:t>
      </w:r>
      <w:r>
        <w:rPr>
          <w:spacing w:val="-16"/>
          <w:sz w:val="20"/>
        </w:rPr>
        <w:t> </w:t>
      </w:r>
      <w:r>
        <w:rPr>
          <w:sz w:val="20"/>
        </w:rPr>
        <w:t>puesto</w:t>
      </w:r>
      <w:r>
        <w:rPr>
          <w:spacing w:val="-16"/>
          <w:sz w:val="20"/>
        </w:rPr>
        <w:t> </w:t>
      </w:r>
      <w:r>
        <w:rPr>
          <w:sz w:val="20"/>
        </w:rPr>
        <w:t>lo</w:t>
      </w:r>
      <w:r>
        <w:rPr>
          <w:spacing w:val="-17"/>
          <w:sz w:val="20"/>
        </w:rPr>
        <w:t> </w:t>
      </w:r>
      <w:r>
        <w:rPr>
          <w:sz w:val="20"/>
        </w:rPr>
        <w:t>que</w:t>
      </w:r>
      <w:r>
        <w:rPr>
          <w:spacing w:val="-15"/>
          <w:sz w:val="20"/>
        </w:rPr>
        <w:t> </w:t>
      </w:r>
      <w:r>
        <w:rPr>
          <w:sz w:val="20"/>
        </w:rPr>
        <w:t>indica</w:t>
      </w:r>
      <w:r>
        <w:rPr>
          <w:spacing w:val="-15"/>
          <w:sz w:val="20"/>
        </w:rPr>
        <w:t> </w:t>
      </w:r>
      <w:r>
        <w:rPr>
          <w:sz w:val="20"/>
        </w:rPr>
        <w:t>la</w:t>
      </w:r>
      <w:r>
        <w:rPr>
          <w:spacing w:val="-16"/>
          <w:sz w:val="20"/>
        </w:rPr>
        <w:t> </w:t>
      </w:r>
      <w:r>
        <w:rPr>
          <w:sz w:val="20"/>
        </w:rPr>
        <w:t>Sentencia</w:t>
      </w:r>
      <w:r>
        <w:rPr>
          <w:spacing w:val="-17"/>
          <w:sz w:val="20"/>
        </w:rPr>
        <w:t> </w:t>
      </w:r>
      <w:r>
        <w:rPr>
          <w:sz w:val="20"/>
        </w:rPr>
        <w:t>se</w:t>
      </w:r>
      <w:r>
        <w:rPr>
          <w:spacing w:val="-17"/>
          <w:sz w:val="20"/>
        </w:rPr>
        <w:t> </w:t>
      </w:r>
      <w:r>
        <w:rPr>
          <w:sz w:val="20"/>
        </w:rPr>
        <w:t>aparta</w:t>
      </w:r>
      <w:r>
        <w:rPr>
          <w:spacing w:val="-16"/>
          <w:sz w:val="20"/>
        </w:rPr>
        <w:t> </w:t>
      </w:r>
      <w:r>
        <w:rPr>
          <w:sz w:val="20"/>
        </w:rPr>
        <w:t>totalmente de lo que aquella norma explícitamente establece, sin suministrar fundamento alguno de</w:t>
      </w:r>
      <w:r>
        <w:rPr>
          <w:spacing w:val="-18"/>
          <w:sz w:val="20"/>
        </w:rPr>
        <w:t> </w:t>
      </w:r>
      <w:r>
        <w:rPr>
          <w:sz w:val="20"/>
        </w:rPr>
        <w:t>su</w:t>
      </w:r>
      <w:r>
        <w:rPr>
          <w:spacing w:val="-19"/>
          <w:sz w:val="20"/>
        </w:rPr>
        <w:t> </w:t>
      </w:r>
      <w:r>
        <w:rPr>
          <w:sz w:val="20"/>
        </w:rPr>
        <w:t>proceder,</w:t>
      </w:r>
      <w:r>
        <w:rPr>
          <w:spacing w:val="-19"/>
          <w:sz w:val="20"/>
        </w:rPr>
        <w:t> </w:t>
      </w:r>
      <w:r>
        <w:rPr>
          <w:sz w:val="20"/>
        </w:rPr>
        <w:t>sino</w:t>
      </w:r>
      <w:r>
        <w:rPr>
          <w:spacing w:val="-19"/>
          <w:sz w:val="20"/>
        </w:rPr>
        <w:t> </w:t>
      </w:r>
      <w:r>
        <w:rPr>
          <w:sz w:val="20"/>
        </w:rPr>
        <w:t>únicamente</w:t>
      </w:r>
      <w:r>
        <w:rPr>
          <w:spacing w:val="-18"/>
          <w:sz w:val="20"/>
        </w:rPr>
        <w:t> </w:t>
      </w:r>
      <w:r>
        <w:rPr>
          <w:sz w:val="20"/>
        </w:rPr>
        <w:t>explicaciones</w:t>
      </w:r>
      <w:r>
        <w:rPr>
          <w:spacing w:val="-20"/>
          <w:sz w:val="20"/>
        </w:rPr>
        <w:t> </w:t>
      </w:r>
      <w:r>
        <w:rPr>
          <w:sz w:val="20"/>
        </w:rPr>
        <w:t>que</w:t>
      </w:r>
      <w:r>
        <w:rPr>
          <w:spacing w:val="-18"/>
          <w:sz w:val="20"/>
        </w:rPr>
        <w:t> </w:t>
      </w:r>
      <w:r>
        <w:rPr>
          <w:sz w:val="20"/>
        </w:rPr>
        <w:t>parecen</w:t>
      </w:r>
      <w:r>
        <w:rPr>
          <w:spacing w:val="-19"/>
          <w:sz w:val="20"/>
        </w:rPr>
        <w:t> </w:t>
      </w:r>
      <w:r>
        <w:rPr>
          <w:sz w:val="20"/>
        </w:rPr>
        <w:t>elaboradas</w:t>
      </w:r>
      <w:r>
        <w:rPr>
          <w:spacing w:val="-19"/>
          <w:sz w:val="20"/>
        </w:rPr>
        <w:t> </w:t>
      </w:r>
      <w:r>
        <w:rPr>
          <w:sz w:val="20"/>
        </w:rPr>
        <w:t>para</w:t>
      </w:r>
      <w:r>
        <w:rPr>
          <w:spacing w:val="-18"/>
          <w:sz w:val="20"/>
        </w:rPr>
        <w:t> </w:t>
      </w:r>
      <w:r>
        <w:rPr>
          <w:sz w:val="20"/>
        </w:rPr>
        <w:t>interpretarlo de manera totalmente en contraposición a lo que textual y claramente</w:t>
      </w:r>
      <w:r>
        <w:rPr>
          <w:spacing w:val="-14"/>
          <w:sz w:val="20"/>
        </w:rPr>
        <w:t> </w:t>
      </w:r>
      <w:r>
        <w:rPr>
          <w:sz w:val="20"/>
        </w:rPr>
        <w:t>indica.</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Al</w:t>
      </w:r>
      <w:r>
        <w:rPr>
          <w:spacing w:val="-7"/>
          <w:sz w:val="20"/>
        </w:rPr>
        <w:t> </w:t>
      </w:r>
      <w:r>
        <w:rPr>
          <w:sz w:val="20"/>
        </w:rPr>
        <w:t>actuar</w:t>
      </w:r>
      <w:r>
        <w:rPr>
          <w:spacing w:val="-9"/>
          <w:sz w:val="20"/>
        </w:rPr>
        <w:t> </w:t>
      </w:r>
      <w:r>
        <w:rPr>
          <w:sz w:val="20"/>
        </w:rPr>
        <w:t>en</w:t>
      </w:r>
      <w:r>
        <w:rPr>
          <w:spacing w:val="-7"/>
          <w:sz w:val="20"/>
        </w:rPr>
        <w:t> </w:t>
      </w:r>
      <w:r>
        <w:rPr>
          <w:sz w:val="20"/>
        </w:rPr>
        <w:t>esa</w:t>
      </w:r>
      <w:r>
        <w:rPr>
          <w:spacing w:val="-8"/>
          <w:sz w:val="20"/>
        </w:rPr>
        <w:t> </w:t>
      </w:r>
      <w:r>
        <w:rPr>
          <w:sz w:val="20"/>
        </w:rPr>
        <w:t>dirección,</w:t>
      </w:r>
      <w:r>
        <w:rPr>
          <w:spacing w:val="-8"/>
          <w:sz w:val="20"/>
        </w:rPr>
        <w:t> </w:t>
      </w:r>
      <w:r>
        <w:rPr>
          <w:sz w:val="20"/>
        </w:rPr>
        <w:t>indudablemente</w:t>
      </w:r>
      <w:r>
        <w:rPr>
          <w:spacing w:val="-7"/>
          <w:sz w:val="20"/>
        </w:rPr>
        <w:t> </w:t>
      </w:r>
      <w:r>
        <w:rPr>
          <w:sz w:val="20"/>
        </w:rPr>
        <w:t>que</w:t>
      </w:r>
      <w:r>
        <w:rPr>
          <w:spacing w:val="-6"/>
          <w:sz w:val="20"/>
        </w:rPr>
        <w:t> </w:t>
      </w:r>
      <w:r>
        <w:rPr>
          <w:sz w:val="20"/>
        </w:rPr>
        <w:t>la</w:t>
      </w:r>
      <w:r>
        <w:rPr>
          <w:spacing w:val="-8"/>
          <w:sz w:val="20"/>
        </w:rPr>
        <w:t> </w:t>
      </w:r>
      <w:r>
        <w:rPr>
          <w:sz w:val="20"/>
        </w:rPr>
        <w:t>Sentencia</w:t>
      </w:r>
      <w:r>
        <w:rPr>
          <w:spacing w:val="-7"/>
          <w:sz w:val="20"/>
        </w:rPr>
        <w:t> </w:t>
      </w:r>
      <w:r>
        <w:rPr>
          <w:sz w:val="20"/>
        </w:rPr>
        <w:t>hace</w:t>
      </w:r>
      <w:r>
        <w:rPr>
          <w:spacing w:val="-7"/>
          <w:sz w:val="20"/>
        </w:rPr>
        <w:t> </w:t>
      </w:r>
      <w:r>
        <w:rPr>
          <w:sz w:val="20"/>
        </w:rPr>
        <w:t>caso</w:t>
      </w:r>
      <w:r>
        <w:rPr>
          <w:spacing w:val="-7"/>
          <w:sz w:val="20"/>
        </w:rPr>
        <w:t> </w:t>
      </w:r>
      <w:r>
        <w:rPr>
          <w:sz w:val="20"/>
        </w:rPr>
        <w:t>omiso</w:t>
      </w:r>
      <w:r>
        <w:rPr>
          <w:spacing w:val="-7"/>
          <w:sz w:val="20"/>
        </w:rPr>
        <w:t> </w:t>
      </w:r>
      <w:r>
        <w:rPr>
          <w:sz w:val="20"/>
        </w:rPr>
        <w:t>del tenor literal del artículo 26 y, consecuentemente, no aplica armoniosamente a su respecto lo previsto en el artículo 31.1 de la Convención de Viena ni efectúa, en rigor, una interpretación de aquél. Al parecer, el tenor literal de lo pactado no tiene, para la Sentencia</w:t>
      </w:r>
      <w:r>
        <w:rPr>
          <w:spacing w:val="-4"/>
          <w:sz w:val="20"/>
        </w:rPr>
        <w:t> </w:t>
      </w:r>
      <w:r>
        <w:rPr>
          <w:sz w:val="20"/>
        </w:rPr>
        <w:t>relevancia</w:t>
      </w:r>
      <w:r>
        <w:rPr>
          <w:spacing w:val="-5"/>
          <w:sz w:val="20"/>
        </w:rPr>
        <w:t> </w:t>
      </w:r>
      <w:r>
        <w:rPr>
          <w:sz w:val="20"/>
        </w:rPr>
        <w:t>alguna</w:t>
      </w:r>
      <w:r>
        <w:rPr>
          <w:spacing w:val="-6"/>
          <w:sz w:val="20"/>
        </w:rPr>
        <w:t> </w:t>
      </w:r>
      <w:r>
        <w:rPr>
          <w:sz w:val="20"/>
        </w:rPr>
        <w:t>y,</w:t>
      </w:r>
      <w:r>
        <w:rPr>
          <w:spacing w:val="-4"/>
          <w:sz w:val="20"/>
        </w:rPr>
        <w:t> </w:t>
      </w:r>
      <w:r>
        <w:rPr>
          <w:sz w:val="20"/>
        </w:rPr>
        <w:t>por</w:t>
      </w:r>
      <w:r>
        <w:rPr>
          <w:spacing w:val="-7"/>
          <w:sz w:val="20"/>
        </w:rPr>
        <w:t> </w:t>
      </w:r>
      <w:r>
        <w:rPr>
          <w:sz w:val="20"/>
        </w:rPr>
        <w:t>ende,</w:t>
      </w:r>
      <w:r>
        <w:rPr>
          <w:spacing w:val="-4"/>
          <w:sz w:val="20"/>
        </w:rPr>
        <w:t> </w:t>
      </w:r>
      <w:r>
        <w:rPr>
          <w:sz w:val="20"/>
        </w:rPr>
        <w:t>lo</w:t>
      </w:r>
      <w:r>
        <w:rPr>
          <w:spacing w:val="-5"/>
          <w:sz w:val="20"/>
        </w:rPr>
        <w:t> </w:t>
      </w:r>
      <w:r>
        <w:rPr>
          <w:sz w:val="20"/>
        </w:rPr>
        <w:t>considera</w:t>
      </w:r>
      <w:r>
        <w:rPr>
          <w:spacing w:val="-5"/>
          <w:sz w:val="20"/>
        </w:rPr>
        <w:t> </w:t>
      </w:r>
      <w:r>
        <w:rPr>
          <w:sz w:val="20"/>
        </w:rPr>
        <w:t>como</w:t>
      </w:r>
      <w:r>
        <w:rPr>
          <w:spacing w:val="-6"/>
          <w:sz w:val="20"/>
        </w:rPr>
        <w:t> </w:t>
      </w:r>
      <w:r>
        <w:rPr>
          <w:sz w:val="20"/>
        </w:rPr>
        <w:t>un</w:t>
      </w:r>
      <w:r>
        <w:rPr>
          <w:spacing w:val="-4"/>
          <w:sz w:val="20"/>
        </w:rPr>
        <w:t> </w:t>
      </w:r>
      <w:r>
        <w:rPr>
          <w:sz w:val="20"/>
        </w:rPr>
        <w:t>mero</w:t>
      </w:r>
      <w:r>
        <w:rPr>
          <w:spacing w:val="-5"/>
          <w:sz w:val="20"/>
        </w:rPr>
        <w:t> </w:t>
      </w:r>
      <w:r>
        <w:rPr>
          <w:sz w:val="20"/>
        </w:rPr>
        <w:t>formulismo,</w:t>
      </w:r>
      <w:r>
        <w:rPr>
          <w:spacing w:val="-4"/>
          <w:sz w:val="20"/>
        </w:rPr>
        <w:t> </w:t>
      </w:r>
      <w:r>
        <w:rPr>
          <w:sz w:val="20"/>
        </w:rPr>
        <w:t>lo</w:t>
      </w:r>
      <w:r>
        <w:rPr>
          <w:spacing w:val="-6"/>
          <w:sz w:val="20"/>
        </w:rPr>
        <w:t> </w:t>
      </w:r>
      <w:r>
        <w:rPr>
          <w:sz w:val="20"/>
        </w:rPr>
        <w:t>que le posibilita atribuir a dicha disposición un sentido y alcance que escapa con mucho a lo que los Estados expresamente estamparon, como si en realidad quisieron convenir otra cosa, lo que, evidentemente, choca contra toda</w:t>
      </w:r>
      <w:r>
        <w:rPr>
          <w:spacing w:val="-10"/>
          <w:sz w:val="20"/>
        </w:rPr>
        <w:t> </w:t>
      </w:r>
      <w:r>
        <w:rPr>
          <w:sz w:val="20"/>
        </w:rPr>
        <w:t>lógica.</w:t>
      </w:r>
    </w:p>
    <w:p>
      <w:pPr>
        <w:pStyle w:val="BodyText"/>
        <w:spacing w:before="11"/>
        <w:rPr>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Por el contrario, fundadamente se puede sostener que, de acuerdo a su tenor literal y el principio de buena fe, el artículo 26, por una parte, no plantea varias posibilidades de aplicación, esto es, dudas acerca de su sentido y alcance y que, en consecuencia, justifiquen la interpretación que se aparte ostensiblemente de lo pactado y por la otra, no establece derecho humano alguno y menos aún, que puedan ser exigibles ante la Corte, sino que alude a obligaciones de hacer, no de resultado, asumidas por los Estados Partes de la</w:t>
      </w:r>
      <w:r>
        <w:rPr>
          <w:spacing w:val="-11"/>
          <w:sz w:val="20"/>
        </w:rPr>
        <w:t> </w:t>
      </w:r>
      <w:r>
        <w:rPr>
          <w:sz w:val="20"/>
        </w:rPr>
        <w:t>Convención.</w:t>
      </w:r>
    </w:p>
    <w:p>
      <w:pPr>
        <w:pStyle w:val="BodyText"/>
      </w:pPr>
    </w:p>
    <w:p>
      <w:pPr>
        <w:pStyle w:val="BodyText"/>
        <w:spacing w:before="8"/>
        <w:rPr>
          <w:sz w:val="14"/>
        </w:rPr>
      </w:pPr>
      <w:r>
        <w:rPr/>
        <w:pict>
          <v:line style="position:absolute;mso-position-horizontal-relative:page;mso-position-vertical-relative:paragraph;z-index:4000;mso-wrap-distance-left:0;mso-wrap-distance-right:0" from="56.700001pt,11.272321pt" to="200.720001pt,11.272321pt" stroked="true" strokeweight=".71997pt" strokecolor="#000000">
            <v:stroke dashstyle="solid"/>
            <w10:wrap type="topAndBottom"/>
          </v:line>
        </w:pict>
      </w:r>
    </w:p>
    <w:p>
      <w:pPr>
        <w:spacing w:before="70"/>
        <w:ind w:left="681" w:right="0" w:firstLine="0"/>
        <w:jc w:val="left"/>
        <w:rPr>
          <w:sz w:val="16"/>
        </w:rPr>
      </w:pPr>
      <w:r>
        <w:rPr>
          <w:position w:val="6"/>
          <w:sz w:val="10"/>
        </w:rPr>
        <w:t>34  </w:t>
      </w:r>
      <w:r>
        <w:rPr>
          <w:sz w:val="16"/>
        </w:rPr>
        <w:t>El Capítulo IV de la Parte I se titula “</w:t>
      </w:r>
      <w:r>
        <w:rPr>
          <w:i/>
          <w:sz w:val="16"/>
        </w:rPr>
        <w:t>Suspensión de Garantías, Interpretación y Aplicación</w:t>
      </w:r>
      <w:r>
        <w:rPr>
          <w:sz w:val="16"/>
        </w:rPr>
        <w:t>” y el Capítulo  V</w:t>
      </w:r>
    </w:p>
    <w:p>
      <w:pPr>
        <w:spacing w:before="0"/>
        <w:ind w:left="681" w:right="0" w:firstLine="0"/>
        <w:jc w:val="left"/>
        <w:rPr>
          <w:sz w:val="16"/>
        </w:rPr>
      </w:pPr>
      <w:r>
        <w:rPr>
          <w:sz w:val="16"/>
        </w:rPr>
        <w:t>de la misma, “</w:t>
      </w:r>
      <w:r>
        <w:rPr>
          <w:i/>
          <w:sz w:val="16"/>
        </w:rPr>
        <w:t>Deberes de las personas </w:t>
      </w:r>
      <w:r>
        <w:rPr>
          <w:sz w:val="16"/>
        </w:rPr>
        <w:t>“.</w:t>
      </w:r>
    </w:p>
    <w:p>
      <w:pPr>
        <w:pStyle w:val="BodyText"/>
        <w:rPr>
          <w:sz w:val="16"/>
        </w:rPr>
      </w:pPr>
    </w:p>
    <w:p>
      <w:pPr>
        <w:spacing w:before="0"/>
        <w:ind w:left="681" w:right="0" w:firstLine="0"/>
        <w:jc w:val="left"/>
        <w:rPr>
          <w:sz w:val="16"/>
        </w:rPr>
      </w:pPr>
      <w:r>
        <w:rPr>
          <w:position w:val="6"/>
          <w:sz w:val="10"/>
        </w:rPr>
        <w:t>35 </w:t>
      </w:r>
      <w:r>
        <w:rPr>
          <w:sz w:val="16"/>
        </w:rPr>
        <w:t>Párr.199.</w:t>
      </w:r>
    </w:p>
    <w:p>
      <w:pPr>
        <w:pStyle w:val="BodyText"/>
        <w:spacing w:before="11"/>
        <w:rPr>
          <w:sz w:val="15"/>
        </w:rPr>
      </w:pPr>
    </w:p>
    <w:p>
      <w:pPr>
        <w:spacing w:before="0"/>
        <w:ind w:left="681" w:right="0" w:firstLine="0"/>
        <w:jc w:val="left"/>
        <w:rPr>
          <w:sz w:val="16"/>
        </w:rPr>
      </w:pPr>
      <w:r>
        <w:rPr>
          <w:position w:val="6"/>
          <w:sz w:val="10"/>
        </w:rPr>
        <w:t>36 </w:t>
      </w:r>
      <w:r>
        <w:rPr>
          <w:sz w:val="16"/>
        </w:rPr>
        <w:t>Párr.196.</w:t>
      </w:r>
    </w:p>
    <w:p>
      <w:pPr>
        <w:spacing w:after="0"/>
        <w:jc w:val="left"/>
        <w:rPr>
          <w:sz w:val="16"/>
        </w:rPr>
        <w:sectPr>
          <w:pgSz w:w="12240" w:h="15840"/>
          <w:pgMar w:header="0" w:footer="1000" w:top="1460" w:bottom="1200" w:left="1020" w:right="1580"/>
        </w:sectPr>
      </w:pPr>
    </w:p>
    <w:p>
      <w:pPr>
        <w:pStyle w:val="ListParagraph"/>
        <w:numPr>
          <w:ilvl w:val="0"/>
          <w:numId w:val="53"/>
        </w:numPr>
        <w:tabs>
          <w:tab w:pos="1390" w:val="left" w:leader="none"/>
        </w:tabs>
        <w:spacing w:line="240" w:lineRule="auto" w:before="83" w:after="0"/>
        <w:ind w:left="681" w:right="116" w:firstLine="0"/>
        <w:jc w:val="both"/>
        <w:rPr>
          <w:sz w:val="20"/>
        </w:rPr>
      </w:pPr>
      <w:r>
        <w:rPr>
          <w:sz w:val="20"/>
        </w:rPr>
        <w:t>En definitiva, en consecuencia, se puede concluir en que, “conforme al sentido corriente que haya de atribuirse a los términos del tratado”, el artículo 26 no</w:t>
      </w:r>
      <w:r>
        <w:rPr>
          <w:spacing w:val="-44"/>
          <w:sz w:val="20"/>
        </w:rPr>
        <w:t> </w:t>
      </w:r>
      <w:r>
        <w:rPr>
          <w:sz w:val="20"/>
        </w:rPr>
        <w:t>constituye título suficiente para recurrir a la Corte en resguardo de los derechos que “derivan” de la</w:t>
      </w:r>
      <w:r>
        <w:rPr>
          <w:spacing w:val="-16"/>
          <w:sz w:val="20"/>
        </w:rPr>
        <w:t> </w:t>
      </w:r>
      <w:r>
        <w:rPr>
          <w:sz w:val="20"/>
        </w:rPr>
        <w:t>Carta</w:t>
      </w:r>
      <w:r>
        <w:rPr>
          <w:spacing w:val="-15"/>
          <w:sz w:val="20"/>
        </w:rPr>
        <w:t> </w:t>
      </w:r>
      <w:r>
        <w:rPr>
          <w:sz w:val="20"/>
        </w:rPr>
        <w:t>de</w:t>
      </w:r>
      <w:r>
        <w:rPr>
          <w:spacing w:val="-15"/>
          <w:sz w:val="20"/>
        </w:rPr>
        <w:t> </w:t>
      </w:r>
      <w:r>
        <w:rPr>
          <w:sz w:val="20"/>
        </w:rPr>
        <w:t>la</w:t>
      </w:r>
      <w:r>
        <w:rPr>
          <w:spacing w:val="-15"/>
          <w:sz w:val="20"/>
        </w:rPr>
        <w:t> </w:t>
      </w:r>
      <w:r>
        <w:rPr>
          <w:sz w:val="20"/>
        </w:rPr>
        <w:t>OEA</w:t>
      </w:r>
      <w:r>
        <w:rPr>
          <w:spacing w:val="-15"/>
          <w:sz w:val="20"/>
        </w:rPr>
        <w:t> </w:t>
      </w:r>
      <w:r>
        <w:rPr>
          <w:sz w:val="20"/>
        </w:rPr>
        <w:t>y</w:t>
      </w:r>
      <w:r>
        <w:rPr>
          <w:spacing w:val="-15"/>
          <w:sz w:val="20"/>
        </w:rPr>
        <w:t> </w:t>
      </w:r>
      <w:r>
        <w:rPr>
          <w:sz w:val="20"/>
        </w:rPr>
        <w:t>que,</w:t>
      </w:r>
      <w:r>
        <w:rPr>
          <w:spacing w:val="-14"/>
          <w:sz w:val="20"/>
        </w:rPr>
        <w:t> </w:t>
      </w:r>
      <w:r>
        <w:rPr>
          <w:sz w:val="20"/>
        </w:rPr>
        <w:t>por</w:t>
      </w:r>
      <w:r>
        <w:rPr>
          <w:spacing w:val="-17"/>
          <w:sz w:val="20"/>
        </w:rPr>
        <w:t> </w:t>
      </w:r>
      <w:r>
        <w:rPr>
          <w:sz w:val="20"/>
        </w:rPr>
        <w:t>ende,</w:t>
      </w:r>
      <w:r>
        <w:rPr>
          <w:spacing w:val="-15"/>
          <w:sz w:val="20"/>
        </w:rPr>
        <w:t> </w:t>
      </w:r>
      <w:r>
        <w:rPr>
          <w:sz w:val="20"/>
        </w:rPr>
        <w:t>no</w:t>
      </w:r>
      <w:r>
        <w:rPr>
          <w:spacing w:val="-14"/>
          <w:sz w:val="20"/>
        </w:rPr>
        <w:t> </w:t>
      </w:r>
      <w:r>
        <w:rPr>
          <w:sz w:val="20"/>
        </w:rPr>
        <w:t>son</w:t>
      </w:r>
      <w:r>
        <w:rPr>
          <w:spacing w:val="-14"/>
          <w:sz w:val="20"/>
        </w:rPr>
        <w:t> </w:t>
      </w:r>
      <w:r>
        <w:rPr>
          <w:sz w:val="20"/>
        </w:rPr>
        <w:t>“reconocidos”,</w:t>
      </w:r>
      <w:r>
        <w:rPr>
          <w:spacing w:val="-14"/>
          <w:sz w:val="20"/>
        </w:rPr>
        <w:t> </w:t>
      </w:r>
      <w:r>
        <w:rPr>
          <w:sz w:val="20"/>
        </w:rPr>
        <w:t>“establecidos”,</w:t>
      </w:r>
      <w:r>
        <w:rPr>
          <w:spacing w:val="-14"/>
          <w:sz w:val="20"/>
        </w:rPr>
        <w:t> </w:t>
      </w:r>
      <w:r>
        <w:rPr>
          <w:sz w:val="20"/>
        </w:rPr>
        <w:t>“garantizados”, “consagrados” o “protegidos” en o por la</w:t>
      </w:r>
      <w:r>
        <w:rPr>
          <w:spacing w:val="-12"/>
          <w:sz w:val="20"/>
        </w:rPr>
        <w:t> </w:t>
      </w:r>
      <w:r>
        <w:rPr>
          <w:sz w:val="20"/>
        </w:rPr>
        <w:t>Convención.</w:t>
      </w:r>
    </w:p>
    <w:p>
      <w:pPr>
        <w:pStyle w:val="BodyText"/>
      </w:pPr>
    </w:p>
    <w:p>
      <w:pPr>
        <w:pStyle w:val="Heading3"/>
        <w:numPr>
          <w:ilvl w:val="1"/>
          <w:numId w:val="44"/>
        </w:numPr>
        <w:tabs>
          <w:tab w:pos="2097" w:val="left" w:leader="none"/>
          <w:tab w:pos="2098" w:val="left" w:leader="none"/>
        </w:tabs>
        <w:spacing w:line="240" w:lineRule="auto" w:before="0" w:after="0"/>
        <w:ind w:left="2098" w:right="0" w:hanging="849"/>
        <w:jc w:val="left"/>
      </w:pPr>
      <w:r>
        <w:rPr/>
        <w:t>Método</w:t>
      </w:r>
      <w:r>
        <w:rPr>
          <w:spacing w:val="-10"/>
        </w:rPr>
        <w:t> </w:t>
      </w:r>
      <w:r>
        <w:rPr/>
        <w:t>subjetivo.</w:t>
      </w:r>
    </w:p>
    <w:p>
      <w:pPr>
        <w:pStyle w:val="BodyText"/>
        <w:spacing w:before="11"/>
        <w:rPr>
          <w:b/>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Al intentar desentrañar la voluntad de la Estados Partes de la Convención respecto del artículo 26, resulta menester referirse, siempre conforme a lo previsto en la</w:t>
      </w:r>
      <w:r>
        <w:rPr>
          <w:spacing w:val="-10"/>
          <w:sz w:val="20"/>
        </w:rPr>
        <w:t> </w:t>
      </w:r>
      <w:r>
        <w:rPr>
          <w:sz w:val="20"/>
        </w:rPr>
        <w:t>Convención</w:t>
      </w:r>
      <w:r>
        <w:rPr>
          <w:spacing w:val="-9"/>
          <w:sz w:val="20"/>
        </w:rPr>
        <w:t> </w:t>
      </w:r>
      <w:r>
        <w:rPr>
          <w:sz w:val="20"/>
        </w:rPr>
        <w:t>de</w:t>
      </w:r>
      <w:r>
        <w:rPr>
          <w:spacing w:val="-9"/>
          <w:sz w:val="20"/>
        </w:rPr>
        <w:t> </w:t>
      </w:r>
      <w:r>
        <w:rPr>
          <w:sz w:val="20"/>
        </w:rPr>
        <w:t>Viena,</w:t>
      </w:r>
      <w:r>
        <w:rPr>
          <w:spacing w:val="-9"/>
          <w:sz w:val="20"/>
        </w:rPr>
        <w:t> </w:t>
      </w:r>
      <w:r>
        <w:rPr>
          <w:sz w:val="20"/>
        </w:rPr>
        <w:t>al</w:t>
      </w:r>
      <w:r>
        <w:rPr>
          <w:spacing w:val="-10"/>
          <w:sz w:val="20"/>
        </w:rPr>
        <w:t> </w:t>
      </w:r>
      <w:r>
        <w:rPr>
          <w:sz w:val="20"/>
        </w:rPr>
        <w:t>contexto</w:t>
      </w:r>
      <w:r>
        <w:rPr>
          <w:spacing w:val="-10"/>
          <w:sz w:val="20"/>
        </w:rPr>
        <w:t> </w:t>
      </w:r>
      <w:r>
        <w:rPr>
          <w:sz w:val="20"/>
        </w:rPr>
        <w:t>de</w:t>
      </w:r>
      <w:r>
        <w:rPr>
          <w:spacing w:val="-9"/>
          <w:sz w:val="20"/>
        </w:rPr>
        <w:t> </w:t>
      </w:r>
      <w:r>
        <w:rPr>
          <w:sz w:val="20"/>
        </w:rPr>
        <w:t>los</w:t>
      </w:r>
      <w:r>
        <w:rPr>
          <w:spacing w:val="-10"/>
          <w:sz w:val="20"/>
        </w:rPr>
        <w:t> </w:t>
      </w:r>
      <w:r>
        <w:rPr>
          <w:sz w:val="20"/>
        </w:rPr>
        <w:t>términos,</w:t>
      </w:r>
      <w:r>
        <w:rPr>
          <w:spacing w:val="-10"/>
          <w:sz w:val="20"/>
        </w:rPr>
        <w:t> </w:t>
      </w:r>
      <w:r>
        <w:rPr>
          <w:sz w:val="20"/>
        </w:rPr>
        <w:t>por</w:t>
      </w:r>
      <w:r>
        <w:rPr>
          <w:spacing w:val="-10"/>
          <w:sz w:val="20"/>
        </w:rPr>
        <w:t> </w:t>
      </w:r>
      <w:r>
        <w:rPr>
          <w:sz w:val="20"/>
        </w:rPr>
        <w:t>lo</w:t>
      </w:r>
      <w:r>
        <w:rPr>
          <w:spacing w:val="-10"/>
          <w:sz w:val="20"/>
        </w:rPr>
        <w:t> </w:t>
      </w:r>
      <w:r>
        <w:rPr>
          <w:sz w:val="20"/>
        </w:rPr>
        <w:t>que</w:t>
      </w:r>
      <w:r>
        <w:rPr>
          <w:spacing w:val="-9"/>
          <w:sz w:val="20"/>
        </w:rPr>
        <w:t> </w:t>
      </w:r>
      <w:r>
        <w:rPr>
          <w:sz w:val="20"/>
        </w:rPr>
        <w:t>se</w:t>
      </w:r>
      <w:r>
        <w:rPr>
          <w:spacing w:val="-9"/>
          <w:sz w:val="20"/>
        </w:rPr>
        <w:t> </w:t>
      </w:r>
      <w:r>
        <w:rPr>
          <w:sz w:val="20"/>
        </w:rPr>
        <w:t>debe</w:t>
      </w:r>
      <w:r>
        <w:rPr>
          <w:spacing w:val="-9"/>
          <w:sz w:val="20"/>
        </w:rPr>
        <w:t> </w:t>
      </w:r>
      <w:r>
        <w:rPr>
          <w:sz w:val="20"/>
        </w:rPr>
        <w:t>aludir</w:t>
      </w:r>
      <w:r>
        <w:rPr>
          <w:spacing w:val="-10"/>
          <w:sz w:val="20"/>
        </w:rPr>
        <w:t> </w:t>
      </w:r>
      <w:r>
        <w:rPr>
          <w:sz w:val="20"/>
        </w:rPr>
        <w:t>al</w:t>
      </w:r>
      <w:r>
        <w:rPr>
          <w:spacing w:val="-11"/>
          <w:sz w:val="20"/>
        </w:rPr>
        <w:t> </w:t>
      </w:r>
      <w:r>
        <w:rPr>
          <w:sz w:val="20"/>
        </w:rPr>
        <w:t>sistema consagrado en la Convención en el cual se inserta dicho artículo, lo que importa</w:t>
      </w:r>
      <w:r>
        <w:rPr>
          <w:spacing w:val="-20"/>
          <w:sz w:val="20"/>
        </w:rPr>
        <w:t> </w:t>
      </w:r>
      <w:r>
        <w:rPr>
          <w:sz w:val="20"/>
        </w:rPr>
        <w:t>que:</w:t>
      </w:r>
    </w:p>
    <w:p>
      <w:pPr>
        <w:pStyle w:val="BodyText"/>
        <w:spacing w:before="11"/>
        <w:rPr>
          <w:sz w:val="19"/>
        </w:rPr>
      </w:pPr>
    </w:p>
    <w:p>
      <w:pPr>
        <w:pStyle w:val="ListParagraph"/>
        <w:numPr>
          <w:ilvl w:val="1"/>
          <w:numId w:val="53"/>
        </w:numPr>
        <w:tabs>
          <w:tab w:pos="1390" w:val="left" w:leader="none"/>
        </w:tabs>
        <w:spacing w:line="240" w:lineRule="auto" w:before="0" w:after="0"/>
        <w:ind w:left="823" w:right="117" w:firstLine="0"/>
        <w:jc w:val="both"/>
        <w:rPr>
          <w:sz w:val="20"/>
        </w:rPr>
      </w:pPr>
      <w:r>
        <w:rPr>
          <w:sz w:val="20"/>
        </w:rPr>
        <w:t>dicho sistema está conformado por los deberes y derechos que dispone, los órganos encargados de garantizar su respeto y exigir su cumplimiento y disposiciones concernientes a la</w:t>
      </w:r>
      <w:r>
        <w:rPr>
          <w:spacing w:val="-7"/>
          <w:sz w:val="20"/>
        </w:rPr>
        <w:t> </w:t>
      </w:r>
      <w:r>
        <w:rPr>
          <w:sz w:val="20"/>
        </w:rPr>
        <w:t>Convención</w:t>
      </w:r>
      <w:r>
        <w:rPr>
          <w:position w:val="7"/>
          <w:sz w:val="13"/>
        </w:rPr>
        <w:t>37</w:t>
      </w:r>
      <w:r>
        <w:rPr>
          <w:sz w:val="20"/>
        </w:rPr>
        <w:t>;</w:t>
      </w:r>
    </w:p>
    <w:p>
      <w:pPr>
        <w:pStyle w:val="BodyText"/>
        <w:spacing w:before="11"/>
        <w:rPr>
          <w:sz w:val="19"/>
        </w:rPr>
      </w:pPr>
    </w:p>
    <w:p>
      <w:pPr>
        <w:pStyle w:val="ListParagraph"/>
        <w:numPr>
          <w:ilvl w:val="1"/>
          <w:numId w:val="53"/>
        </w:numPr>
        <w:tabs>
          <w:tab w:pos="1390" w:val="left" w:leader="none"/>
        </w:tabs>
        <w:spacing w:line="240" w:lineRule="auto" w:before="0" w:after="0"/>
        <w:ind w:left="823" w:right="117" w:firstLine="0"/>
        <w:jc w:val="both"/>
        <w:rPr>
          <w:sz w:val="20"/>
        </w:rPr>
      </w:pPr>
      <w:r>
        <w:rPr>
          <w:sz w:val="20"/>
        </w:rPr>
        <w:t>en</w:t>
      </w:r>
      <w:r>
        <w:rPr>
          <w:spacing w:val="-6"/>
          <w:sz w:val="20"/>
        </w:rPr>
        <w:t> </w:t>
      </w:r>
      <w:r>
        <w:rPr>
          <w:sz w:val="20"/>
        </w:rPr>
        <w:t>lo</w:t>
      </w:r>
      <w:r>
        <w:rPr>
          <w:spacing w:val="-6"/>
          <w:sz w:val="20"/>
        </w:rPr>
        <w:t> </w:t>
      </w:r>
      <w:r>
        <w:rPr>
          <w:sz w:val="20"/>
        </w:rPr>
        <w:t>relativo</w:t>
      </w:r>
      <w:r>
        <w:rPr>
          <w:spacing w:val="-6"/>
          <w:sz w:val="20"/>
        </w:rPr>
        <w:t> </w:t>
      </w:r>
      <w:r>
        <w:rPr>
          <w:sz w:val="20"/>
        </w:rPr>
        <w:t>a</w:t>
      </w:r>
      <w:r>
        <w:rPr>
          <w:spacing w:val="-6"/>
          <w:sz w:val="20"/>
        </w:rPr>
        <w:t> </w:t>
      </w:r>
      <w:r>
        <w:rPr>
          <w:sz w:val="20"/>
        </w:rPr>
        <w:t>los</w:t>
      </w:r>
      <w:r>
        <w:rPr>
          <w:spacing w:val="-6"/>
          <w:sz w:val="20"/>
        </w:rPr>
        <w:t> </w:t>
      </w:r>
      <w:r>
        <w:rPr>
          <w:sz w:val="20"/>
        </w:rPr>
        <w:t>deberes,</w:t>
      </w:r>
      <w:r>
        <w:rPr>
          <w:spacing w:val="-6"/>
          <w:sz w:val="20"/>
        </w:rPr>
        <w:t> </w:t>
      </w:r>
      <w:r>
        <w:rPr>
          <w:sz w:val="20"/>
        </w:rPr>
        <w:t>ellos</w:t>
      </w:r>
      <w:r>
        <w:rPr>
          <w:spacing w:val="-6"/>
          <w:sz w:val="20"/>
        </w:rPr>
        <w:t> </w:t>
      </w:r>
      <w:r>
        <w:rPr>
          <w:sz w:val="20"/>
        </w:rPr>
        <w:t>son</w:t>
      </w:r>
      <w:r>
        <w:rPr>
          <w:spacing w:val="-5"/>
          <w:sz w:val="20"/>
        </w:rPr>
        <w:t> </w:t>
      </w:r>
      <w:r>
        <w:rPr>
          <w:sz w:val="20"/>
        </w:rPr>
        <w:t>dos,</w:t>
      </w:r>
      <w:r>
        <w:rPr>
          <w:spacing w:val="-7"/>
          <w:sz w:val="20"/>
        </w:rPr>
        <w:t> </w:t>
      </w:r>
      <w:r>
        <w:rPr>
          <w:sz w:val="20"/>
        </w:rPr>
        <w:t>a</w:t>
      </w:r>
      <w:r>
        <w:rPr>
          <w:spacing w:val="-6"/>
          <w:sz w:val="20"/>
        </w:rPr>
        <w:t> </w:t>
      </w:r>
      <w:r>
        <w:rPr>
          <w:sz w:val="20"/>
        </w:rPr>
        <w:t>saber,</w:t>
      </w:r>
      <w:r>
        <w:rPr>
          <w:spacing w:val="-6"/>
          <w:sz w:val="20"/>
        </w:rPr>
        <w:t> </w:t>
      </w:r>
      <w:r>
        <w:rPr>
          <w:sz w:val="20"/>
        </w:rPr>
        <w:t>la</w:t>
      </w:r>
      <w:r>
        <w:rPr>
          <w:spacing w:val="-6"/>
          <w:sz w:val="20"/>
        </w:rPr>
        <w:t> </w:t>
      </w:r>
      <w:r>
        <w:rPr>
          <w:sz w:val="20"/>
        </w:rPr>
        <w:t>“Obligación</w:t>
      </w:r>
      <w:r>
        <w:rPr>
          <w:spacing w:val="-7"/>
          <w:sz w:val="20"/>
        </w:rPr>
        <w:t> </w:t>
      </w:r>
      <w:r>
        <w:rPr>
          <w:sz w:val="20"/>
        </w:rPr>
        <w:t>de</w:t>
      </w:r>
      <w:r>
        <w:rPr>
          <w:spacing w:val="-5"/>
          <w:sz w:val="20"/>
        </w:rPr>
        <w:t> </w:t>
      </w:r>
      <w:r>
        <w:rPr>
          <w:sz w:val="20"/>
        </w:rPr>
        <w:t>Respetar</w:t>
      </w:r>
      <w:r>
        <w:rPr>
          <w:spacing w:val="-8"/>
          <w:sz w:val="20"/>
        </w:rPr>
        <w:t> </w:t>
      </w:r>
      <w:r>
        <w:rPr>
          <w:sz w:val="20"/>
        </w:rPr>
        <w:t>los Derechos”</w:t>
      </w:r>
      <w:r>
        <w:rPr>
          <w:position w:val="7"/>
          <w:sz w:val="13"/>
        </w:rPr>
        <w:t>38</w:t>
      </w:r>
      <w:r>
        <w:rPr>
          <w:spacing w:val="7"/>
          <w:position w:val="7"/>
          <w:sz w:val="13"/>
        </w:rPr>
        <w:t> </w:t>
      </w:r>
      <w:r>
        <w:rPr>
          <w:sz w:val="20"/>
        </w:rPr>
        <w:t>y</w:t>
      </w:r>
      <w:r>
        <w:rPr>
          <w:spacing w:val="-19"/>
          <w:sz w:val="20"/>
        </w:rPr>
        <w:t> </w:t>
      </w:r>
      <w:r>
        <w:rPr>
          <w:sz w:val="20"/>
        </w:rPr>
        <w:t>el</w:t>
      </w:r>
      <w:r>
        <w:rPr>
          <w:spacing w:val="-18"/>
          <w:sz w:val="20"/>
        </w:rPr>
        <w:t> </w:t>
      </w:r>
      <w:r>
        <w:rPr>
          <w:sz w:val="20"/>
        </w:rPr>
        <w:t>“Deber</w:t>
      </w:r>
      <w:r>
        <w:rPr>
          <w:spacing w:val="-19"/>
          <w:sz w:val="20"/>
        </w:rPr>
        <w:t> </w:t>
      </w:r>
      <w:r>
        <w:rPr>
          <w:sz w:val="20"/>
        </w:rPr>
        <w:t>de</w:t>
      </w:r>
      <w:r>
        <w:rPr>
          <w:spacing w:val="-17"/>
          <w:sz w:val="20"/>
        </w:rPr>
        <w:t> </w:t>
      </w:r>
      <w:r>
        <w:rPr>
          <w:sz w:val="20"/>
        </w:rPr>
        <w:t>Adoptar</w:t>
      </w:r>
      <w:r>
        <w:rPr>
          <w:spacing w:val="-18"/>
          <w:sz w:val="20"/>
        </w:rPr>
        <w:t> </w:t>
      </w:r>
      <w:r>
        <w:rPr>
          <w:sz w:val="20"/>
        </w:rPr>
        <w:t>Disposiciones</w:t>
      </w:r>
      <w:r>
        <w:rPr>
          <w:spacing w:val="-20"/>
          <w:sz w:val="20"/>
        </w:rPr>
        <w:t> </w:t>
      </w:r>
      <w:r>
        <w:rPr>
          <w:sz w:val="20"/>
        </w:rPr>
        <w:t>de</w:t>
      </w:r>
      <w:r>
        <w:rPr>
          <w:spacing w:val="-18"/>
          <w:sz w:val="20"/>
        </w:rPr>
        <w:t> </w:t>
      </w:r>
      <w:r>
        <w:rPr>
          <w:sz w:val="20"/>
        </w:rPr>
        <w:t>Derecho</w:t>
      </w:r>
      <w:r>
        <w:rPr>
          <w:spacing w:val="-19"/>
          <w:sz w:val="20"/>
        </w:rPr>
        <w:t> </w:t>
      </w:r>
      <w:r>
        <w:rPr>
          <w:sz w:val="20"/>
        </w:rPr>
        <w:t>Interno”</w:t>
      </w:r>
      <w:r>
        <w:rPr>
          <w:position w:val="7"/>
          <w:sz w:val="13"/>
        </w:rPr>
        <w:t>39</w:t>
      </w:r>
      <w:r>
        <w:rPr>
          <w:spacing w:val="7"/>
          <w:position w:val="7"/>
          <w:sz w:val="13"/>
        </w:rPr>
        <w:t> </w:t>
      </w:r>
      <w:r>
        <w:rPr>
          <w:sz w:val="20"/>
        </w:rPr>
        <w:t>y</w:t>
      </w:r>
      <w:r>
        <w:rPr>
          <w:spacing w:val="-19"/>
          <w:sz w:val="20"/>
        </w:rPr>
        <w:t> </w:t>
      </w:r>
      <w:r>
        <w:rPr>
          <w:sz w:val="20"/>
        </w:rPr>
        <w:t>en</w:t>
      </w:r>
      <w:r>
        <w:rPr>
          <w:spacing w:val="-17"/>
          <w:sz w:val="20"/>
        </w:rPr>
        <w:t> </w:t>
      </w:r>
      <w:r>
        <w:rPr>
          <w:sz w:val="20"/>
        </w:rPr>
        <w:t>lo</w:t>
      </w:r>
      <w:r>
        <w:rPr>
          <w:spacing w:val="-18"/>
          <w:sz w:val="20"/>
        </w:rPr>
        <w:t> </w:t>
      </w:r>
      <w:r>
        <w:rPr>
          <w:sz w:val="20"/>
        </w:rPr>
        <w:t>atinente a</w:t>
      </w:r>
      <w:r>
        <w:rPr>
          <w:spacing w:val="-6"/>
          <w:sz w:val="20"/>
        </w:rPr>
        <w:t> </w:t>
      </w:r>
      <w:r>
        <w:rPr>
          <w:sz w:val="20"/>
        </w:rPr>
        <w:t>los</w:t>
      </w:r>
      <w:r>
        <w:rPr>
          <w:spacing w:val="-6"/>
          <w:sz w:val="20"/>
        </w:rPr>
        <w:t> </w:t>
      </w:r>
      <w:r>
        <w:rPr>
          <w:sz w:val="20"/>
        </w:rPr>
        <w:t>derechos,</w:t>
      </w:r>
      <w:r>
        <w:rPr>
          <w:spacing w:val="-6"/>
          <w:sz w:val="20"/>
        </w:rPr>
        <w:t> </w:t>
      </w:r>
      <w:r>
        <w:rPr>
          <w:sz w:val="20"/>
        </w:rPr>
        <w:t>ellos</w:t>
      </w:r>
      <w:r>
        <w:rPr>
          <w:spacing w:val="-6"/>
          <w:sz w:val="20"/>
        </w:rPr>
        <w:t> </w:t>
      </w:r>
      <w:r>
        <w:rPr>
          <w:sz w:val="20"/>
        </w:rPr>
        <w:t>son</w:t>
      </w:r>
      <w:r>
        <w:rPr>
          <w:spacing w:val="-5"/>
          <w:sz w:val="20"/>
        </w:rPr>
        <w:t> </w:t>
      </w:r>
      <w:r>
        <w:rPr>
          <w:sz w:val="20"/>
        </w:rPr>
        <w:t>los</w:t>
      </w:r>
      <w:r>
        <w:rPr>
          <w:spacing w:val="-6"/>
          <w:sz w:val="20"/>
        </w:rPr>
        <w:t> </w:t>
      </w:r>
      <w:r>
        <w:rPr>
          <w:sz w:val="20"/>
        </w:rPr>
        <w:t>“Derechos</w:t>
      </w:r>
      <w:r>
        <w:rPr>
          <w:spacing w:val="-6"/>
          <w:sz w:val="20"/>
        </w:rPr>
        <w:t> </w:t>
      </w:r>
      <w:r>
        <w:rPr>
          <w:sz w:val="20"/>
        </w:rPr>
        <w:t>Civiles</w:t>
      </w:r>
      <w:r>
        <w:rPr>
          <w:spacing w:val="-7"/>
          <w:sz w:val="20"/>
        </w:rPr>
        <w:t> </w:t>
      </w:r>
      <w:r>
        <w:rPr>
          <w:sz w:val="20"/>
        </w:rPr>
        <w:t>y</w:t>
      </w:r>
      <w:r>
        <w:rPr>
          <w:spacing w:val="-6"/>
          <w:sz w:val="20"/>
        </w:rPr>
        <w:t> </w:t>
      </w:r>
      <w:r>
        <w:rPr>
          <w:sz w:val="20"/>
        </w:rPr>
        <w:t>Políticos”</w:t>
      </w:r>
      <w:r>
        <w:rPr>
          <w:spacing w:val="-7"/>
          <w:sz w:val="20"/>
        </w:rPr>
        <w:t> </w:t>
      </w:r>
      <w:r>
        <w:rPr>
          <w:sz w:val="20"/>
        </w:rPr>
        <w:t>y</w:t>
      </w:r>
      <w:r>
        <w:rPr>
          <w:spacing w:val="-6"/>
          <w:sz w:val="20"/>
        </w:rPr>
        <w:t> </w:t>
      </w:r>
      <w:r>
        <w:rPr>
          <w:sz w:val="20"/>
        </w:rPr>
        <w:t>los</w:t>
      </w:r>
      <w:r>
        <w:rPr>
          <w:spacing w:val="-6"/>
          <w:sz w:val="20"/>
        </w:rPr>
        <w:t> </w:t>
      </w:r>
      <w:r>
        <w:rPr>
          <w:sz w:val="20"/>
        </w:rPr>
        <w:t>“Derechos</w:t>
      </w:r>
      <w:r>
        <w:rPr>
          <w:spacing w:val="-6"/>
          <w:sz w:val="20"/>
        </w:rPr>
        <w:t> </w:t>
      </w:r>
      <w:r>
        <w:rPr>
          <w:sz w:val="20"/>
        </w:rPr>
        <w:t>Económicos,</w:t>
      </w:r>
    </w:p>
    <w:p>
      <w:pPr>
        <w:pStyle w:val="BodyText"/>
        <w:spacing w:line="242" w:lineRule="exact"/>
        <w:ind w:left="823"/>
        <w:jc w:val="both"/>
      </w:pPr>
      <w:r>
        <w:rPr/>
        <w:t>Sociales y Culturales”</w:t>
      </w:r>
      <w:r>
        <w:rPr>
          <w:position w:val="7"/>
          <w:sz w:val="13"/>
        </w:rPr>
        <w:t>40</w:t>
      </w:r>
      <w:r>
        <w:rPr/>
        <w:t>; y</w:t>
      </w:r>
    </w:p>
    <w:p>
      <w:pPr>
        <w:pStyle w:val="BodyText"/>
      </w:pPr>
    </w:p>
    <w:p>
      <w:pPr>
        <w:pStyle w:val="ListParagraph"/>
        <w:numPr>
          <w:ilvl w:val="1"/>
          <w:numId w:val="53"/>
        </w:numPr>
        <w:tabs>
          <w:tab w:pos="1390" w:val="left" w:leader="none"/>
        </w:tabs>
        <w:spacing w:line="240" w:lineRule="auto" w:before="0" w:after="0"/>
        <w:ind w:left="823" w:right="117" w:firstLine="0"/>
        <w:jc w:val="both"/>
        <w:rPr>
          <w:sz w:val="20"/>
        </w:rPr>
      </w:pPr>
      <w:r>
        <w:rPr>
          <w:sz w:val="20"/>
        </w:rPr>
        <w:t>en</w:t>
      </w:r>
      <w:r>
        <w:rPr>
          <w:spacing w:val="-6"/>
          <w:sz w:val="20"/>
        </w:rPr>
        <w:t> </w:t>
      </w:r>
      <w:r>
        <w:rPr>
          <w:sz w:val="20"/>
        </w:rPr>
        <w:t>lo</w:t>
      </w:r>
      <w:r>
        <w:rPr>
          <w:spacing w:val="-7"/>
          <w:sz w:val="20"/>
        </w:rPr>
        <w:t> </w:t>
      </w:r>
      <w:r>
        <w:rPr>
          <w:sz w:val="20"/>
        </w:rPr>
        <w:t>pertinente</w:t>
      </w:r>
      <w:r>
        <w:rPr>
          <w:spacing w:val="-6"/>
          <w:sz w:val="20"/>
        </w:rPr>
        <w:t> </w:t>
      </w:r>
      <w:r>
        <w:rPr>
          <w:sz w:val="20"/>
        </w:rPr>
        <w:t>a</w:t>
      </w:r>
      <w:r>
        <w:rPr>
          <w:spacing w:val="-7"/>
          <w:sz w:val="20"/>
        </w:rPr>
        <w:t> </w:t>
      </w:r>
      <w:r>
        <w:rPr>
          <w:sz w:val="20"/>
        </w:rPr>
        <w:t>los</w:t>
      </w:r>
      <w:r>
        <w:rPr>
          <w:spacing w:val="-7"/>
          <w:sz w:val="20"/>
        </w:rPr>
        <w:t> </w:t>
      </w:r>
      <w:r>
        <w:rPr>
          <w:sz w:val="20"/>
        </w:rPr>
        <w:t>órganos,</w:t>
      </w:r>
      <w:r>
        <w:rPr>
          <w:spacing w:val="-7"/>
          <w:sz w:val="20"/>
        </w:rPr>
        <w:t> </w:t>
      </w:r>
      <w:r>
        <w:rPr>
          <w:sz w:val="20"/>
        </w:rPr>
        <w:t>ellos</w:t>
      </w:r>
      <w:r>
        <w:rPr>
          <w:spacing w:val="-6"/>
          <w:sz w:val="20"/>
        </w:rPr>
        <w:t> </w:t>
      </w:r>
      <w:r>
        <w:rPr>
          <w:sz w:val="20"/>
        </w:rPr>
        <w:t>son</w:t>
      </w:r>
      <w:r>
        <w:rPr>
          <w:spacing w:val="-7"/>
          <w:sz w:val="20"/>
        </w:rPr>
        <w:t> </w:t>
      </w:r>
      <w:r>
        <w:rPr>
          <w:sz w:val="20"/>
        </w:rPr>
        <w:t>la</w:t>
      </w:r>
      <w:r>
        <w:rPr>
          <w:spacing w:val="-9"/>
          <w:sz w:val="20"/>
        </w:rPr>
        <w:t> </w:t>
      </w:r>
      <w:r>
        <w:rPr>
          <w:sz w:val="20"/>
        </w:rPr>
        <w:t>Comisión</w:t>
      </w:r>
      <w:r>
        <w:rPr>
          <w:spacing w:val="-7"/>
          <w:sz w:val="20"/>
        </w:rPr>
        <w:t> </w:t>
      </w:r>
      <w:r>
        <w:rPr>
          <w:sz w:val="20"/>
        </w:rPr>
        <w:t>Interamericana</w:t>
      </w:r>
      <w:r>
        <w:rPr>
          <w:spacing w:val="-9"/>
          <w:sz w:val="20"/>
        </w:rPr>
        <w:t> </w:t>
      </w:r>
      <w:r>
        <w:rPr>
          <w:sz w:val="20"/>
        </w:rPr>
        <w:t>de</w:t>
      </w:r>
      <w:r>
        <w:rPr>
          <w:spacing w:val="-6"/>
          <w:sz w:val="20"/>
        </w:rPr>
        <w:t> </w:t>
      </w:r>
      <w:r>
        <w:rPr>
          <w:sz w:val="20"/>
        </w:rPr>
        <w:t>Derechos Humanos, la Corte</w:t>
      </w:r>
      <w:r>
        <w:rPr>
          <w:position w:val="7"/>
          <w:sz w:val="13"/>
        </w:rPr>
        <w:t>41 </w:t>
      </w:r>
      <w:r>
        <w:rPr>
          <w:sz w:val="20"/>
        </w:rPr>
        <w:t>y la Asamblea General de la OEA, correspondiéndole a la primera la promoción y defensa de los derechos humanos</w:t>
      </w:r>
      <w:r>
        <w:rPr>
          <w:position w:val="7"/>
          <w:sz w:val="13"/>
        </w:rPr>
        <w:t>42</w:t>
      </w:r>
      <w:r>
        <w:rPr>
          <w:sz w:val="20"/>
        </w:rPr>
        <w:t>, a la segunda, interpretar y</w:t>
      </w:r>
      <w:r>
        <w:rPr>
          <w:spacing w:val="-32"/>
          <w:sz w:val="20"/>
        </w:rPr>
        <w:t> </w:t>
      </w:r>
      <w:r>
        <w:rPr>
          <w:sz w:val="20"/>
        </w:rPr>
        <w:t>aplicar</w:t>
      </w:r>
    </w:p>
    <w:p>
      <w:pPr>
        <w:pStyle w:val="BodyText"/>
        <w:spacing w:before="6"/>
        <w:rPr>
          <w:sz w:val="14"/>
        </w:rPr>
      </w:pPr>
      <w:r>
        <w:rPr/>
        <w:pict>
          <v:line style="position:absolute;mso-position-horizontal-relative:page;mso-position-vertical-relative:paragraph;z-index:4024;mso-wrap-distance-left:0;mso-wrap-distance-right:0" from="56.700001pt,11.152951pt" to="200.720001pt,11.152951pt" stroked="true" strokeweight=".72pt" strokecolor="#000000">
            <v:stroke dashstyle="solid"/>
            <w10:wrap type="topAndBottom"/>
          </v:line>
        </w:pict>
      </w:r>
    </w:p>
    <w:p>
      <w:pPr>
        <w:pStyle w:val="BodyText"/>
        <w:spacing w:before="7"/>
        <w:rPr>
          <w:sz w:val="13"/>
        </w:rPr>
      </w:pPr>
    </w:p>
    <w:p>
      <w:pPr>
        <w:spacing w:before="99"/>
        <w:ind w:left="681" w:right="0" w:firstLine="0"/>
        <w:jc w:val="both"/>
        <w:rPr>
          <w:sz w:val="16"/>
        </w:rPr>
      </w:pPr>
      <w:r>
        <w:rPr>
          <w:position w:val="6"/>
          <w:sz w:val="10"/>
        </w:rPr>
        <w:t>37  </w:t>
      </w:r>
      <w:r>
        <w:rPr>
          <w:sz w:val="16"/>
        </w:rPr>
        <w:t>“</w:t>
      </w:r>
      <w:r>
        <w:rPr>
          <w:i/>
          <w:sz w:val="16"/>
        </w:rPr>
        <w:t>Parte III, “Disposiciones generales y transitorias</w:t>
      </w:r>
      <w:r>
        <w:rPr>
          <w:sz w:val="16"/>
        </w:rPr>
        <w:t>”.</w:t>
      </w:r>
    </w:p>
    <w:p>
      <w:pPr>
        <w:spacing w:before="119"/>
        <w:ind w:left="681" w:right="0" w:firstLine="0"/>
        <w:jc w:val="both"/>
        <w:rPr>
          <w:sz w:val="16"/>
        </w:rPr>
      </w:pPr>
      <w:r>
        <w:rPr>
          <w:position w:val="6"/>
          <w:sz w:val="10"/>
        </w:rPr>
        <w:t>38  </w:t>
      </w:r>
      <w:r>
        <w:rPr>
          <w:i/>
          <w:sz w:val="16"/>
        </w:rPr>
        <w:t>Supra</w:t>
      </w:r>
      <w:r>
        <w:rPr>
          <w:sz w:val="16"/>
        </w:rPr>
        <w:t>, Nota 24.</w:t>
      </w:r>
    </w:p>
    <w:p>
      <w:pPr>
        <w:pStyle w:val="BodyText"/>
        <w:spacing w:before="11"/>
        <w:rPr>
          <w:sz w:val="15"/>
        </w:rPr>
      </w:pPr>
    </w:p>
    <w:p>
      <w:pPr>
        <w:spacing w:before="0"/>
        <w:ind w:left="681" w:right="122" w:firstLine="0"/>
        <w:jc w:val="both"/>
        <w:rPr>
          <w:rFonts w:ascii="Calibri" w:hAnsi="Calibri"/>
          <w:sz w:val="22"/>
        </w:rPr>
      </w:pPr>
      <w:r>
        <w:rPr>
          <w:position w:val="6"/>
          <w:sz w:val="10"/>
        </w:rPr>
        <w:t>39 </w:t>
      </w:r>
      <w:r>
        <w:rPr>
          <w:sz w:val="16"/>
        </w:rPr>
        <w:t>Art.2: </w:t>
      </w:r>
      <w:r>
        <w:rPr>
          <w:i/>
          <w:sz w:val="16"/>
        </w:rPr>
        <w:t>“Deber de Adoptar Disposiciones de Derecho Interno. Si el ejercicio de los derechos y libertades </w:t>
      </w:r>
      <w:r>
        <w:rPr>
          <w:i/>
          <w:sz w:val="16"/>
        </w:rPr>
        <w:t>mencionados en el artículo 1 no estuviere ya garantizado por disposiciones legislativas o de otro carácter, los Estados Partes se comprometen a adoptar, con arreglo a sus procedimientos constitucionales y a las disposiciones</w:t>
      </w:r>
      <w:r>
        <w:rPr>
          <w:i/>
          <w:spacing w:val="-9"/>
          <w:sz w:val="16"/>
        </w:rPr>
        <w:t> </w:t>
      </w:r>
      <w:r>
        <w:rPr>
          <w:i/>
          <w:sz w:val="16"/>
        </w:rPr>
        <w:t>de</w:t>
      </w:r>
      <w:r>
        <w:rPr>
          <w:i/>
          <w:spacing w:val="-10"/>
          <w:sz w:val="16"/>
        </w:rPr>
        <w:t> </w:t>
      </w:r>
      <w:r>
        <w:rPr>
          <w:i/>
          <w:sz w:val="16"/>
        </w:rPr>
        <w:t>esta</w:t>
      </w:r>
      <w:r>
        <w:rPr>
          <w:i/>
          <w:spacing w:val="-8"/>
          <w:sz w:val="16"/>
        </w:rPr>
        <w:t> </w:t>
      </w:r>
      <w:r>
        <w:rPr>
          <w:i/>
          <w:sz w:val="16"/>
        </w:rPr>
        <w:t>Convención,</w:t>
      </w:r>
      <w:r>
        <w:rPr>
          <w:i/>
          <w:spacing w:val="-10"/>
          <w:sz w:val="16"/>
        </w:rPr>
        <w:t> </w:t>
      </w:r>
      <w:r>
        <w:rPr>
          <w:i/>
          <w:sz w:val="16"/>
        </w:rPr>
        <w:t>las</w:t>
      </w:r>
      <w:r>
        <w:rPr>
          <w:i/>
          <w:spacing w:val="-9"/>
          <w:sz w:val="16"/>
        </w:rPr>
        <w:t> </w:t>
      </w:r>
      <w:r>
        <w:rPr>
          <w:i/>
          <w:sz w:val="16"/>
        </w:rPr>
        <w:t>medidas</w:t>
      </w:r>
      <w:r>
        <w:rPr>
          <w:i/>
          <w:spacing w:val="-7"/>
          <w:sz w:val="16"/>
        </w:rPr>
        <w:t> </w:t>
      </w:r>
      <w:r>
        <w:rPr>
          <w:i/>
          <w:sz w:val="16"/>
        </w:rPr>
        <w:t>legislativas</w:t>
      </w:r>
      <w:r>
        <w:rPr>
          <w:i/>
          <w:spacing w:val="-10"/>
          <w:sz w:val="16"/>
        </w:rPr>
        <w:t> </w:t>
      </w:r>
      <w:r>
        <w:rPr>
          <w:i/>
          <w:sz w:val="16"/>
        </w:rPr>
        <w:t>o</w:t>
      </w:r>
      <w:r>
        <w:rPr>
          <w:i/>
          <w:spacing w:val="-7"/>
          <w:sz w:val="16"/>
        </w:rPr>
        <w:t> </w:t>
      </w:r>
      <w:r>
        <w:rPr>
          <w:i/>
          <w:sz w:val="16"/>
        </w:rPr>
        <w:t>de</w:t>
      </w:r>
      <w:r>
        <w:rPr>
          <w:i/>
          <w:spacing w:val="-10"/>
          <w:sz w:val="16"/>
        </w:rPr>
        <w:t> </w:t>
      </w:r>
      <w:r>
        <w:rPr>
          <w:i/>
          <w:sz w:val="16"/>
        </w:rPr>
        <w:t>otro</w:t>
      </w:r>
      <w:r>
        <w:rPr>
          <w:i/>
          <w:spacing w:val="-8"/>
          <w:sz w:val="16"/>
        </w:rPr>
        <w:t> </w:t>
      </w:r>
      <w:r>
        <w:rPr>
          <w:i/>
          <w:sz w:val="16"/>
        </w:rPr>
        <w:t>carácter</w:t>
      </w:r>
      <w:r>
        <w:rPr>
          <w:i/>
          <w:spacing w:val="-9"/>
          <w:sz w:val="16"/>
        </w:rPr>
        <w:t> </w:t>
      </w:r>
      <w:r>
        <w:rPr>
          <w:i/>
          <w:sz w:val="16"/>
        </w:rPr>
        <w:t>que</w:t>
      </w:r>
      <w:r>
        <w:rPr>
          <w:i/>
          <w:spacing w:val="-9"/>
          <w:sz w:val="16"/>
        </w:rPr>
        <w:t> </w:t>
      </w:r>
      <w:r>
        <w:rPr>
          <w:i/>
          <w:sz w:val="16"/>
        </w:rPr>
        <w:t>fueren</w:t>
      </w:r>
      <w:r>
        <w:rPr>
          <w:i/>
          <w:spacing w:val="-9"/>
          <w:sz w:val="16"/>
        </w:rPr>
        <w:t> </w:t>
      </w:r>
      <w:r>
        <w:rPr>
          <w:i/>
          <w:sz w:val="16"/>
        </w:rPr>
        <w:t>necesarias</w:t>
      </w:r>
      <w:r>
        <w:rPr>
          <w:i/>
          <w:spacing w:val="-9"/>
          <w:sz w:val="16"/>
        </w:rPr>
        <w:t> </w:t>
      </w:r>
      <w:r>
        <w:rPr>
          <w:i/>
          <w:sz w:val="16"/>
        </w:rPr>
        <w:t>para</w:t>
      </w:r>
      <w:r>
        <w:rPr>
          <w:i/>
          <w:spacing w:val="-8"/>
          <w:sz w:val="16"/>
        </w:rPr>
        <w:t> </w:t>
      </w:r>
      <w:r>
        <w:rPr>
          <w:i/>
          <w:sz w:val="16"/>
        </w:rPr>
        <w:t>hacer efectivos tales derechos y</w:t>
      </w:r>
      <w:r>
        <w:rPr>
          <w:i/>
          <w:spacing w:val="-8"/>
          <w:sz w:val="16"/>
        </w:rPr>
        <w:t> </w:t>
      </w:r>
      <w:r>
        <w:rPr>
          <w:i/>
          <w:sz w:val="16"/>
        </w:rPr>
        <w:t>libertades</w:t>
      </w:r>
      <w:r>
        <w:rPr>
          <w:rFonts w:ascii="Calibri" w:hAnsi="Calibri"/>
          <w:sz w:val="22"/>
        </w:rPr>
        <w:t>.</w:t>
      </w:r>
    </w:p>
    <w:p>
      <w:pPr>
        <w:spacing w:line="242" w:lineRule="auto" w:before="190"/>
        <w:ind w:left="681" w:right="119" w:firstLine="0"/>
        <w:jc w:val="both"/>
        <w:rPr>
          <w:sz w:val="16"/>
        </w:rPr>
      </w:pPr>
      <w:r>
        <w:rPr>
          <w:rFonts w:ascii="Calibri" w:hAnsi="Calibri"/>
          <w:position w:val="7"/>
          <w:sz w:val="13"/>
        </w:rPr>
        <w:t>40 </w:t>
      </w:r>
      <w:r>
        <w:rPr>
          <w:position w:val="6"/>
          <w:sz w:val="10"/>
        </w:rPr>
        <w:t>40 </w:t>
      </w:r>
      <w:r>
        <w:rPr>
          <w:sz w:val="16"/>
        </w:rPr>
        <w:t>Parte I, Capítulo II, arts.3 a 25. Derecho al reconocimiento de la personalidad jurídica (art.3), Derecho a la vida (art.4), Derecho a la integridad personal (art.5), Prohibición de la esclavitud y la servidumbre (art.6), Derecho a la libertad personal (art.7), Garantías judiciales (art.8), Principio de legalidad y retroactividad (art.9),</w:t>
      </w:r>
      <w:r>
        <w:rPr>
          <w:spacing w:val="-11"/>
          <w:sz w:val="16"/>
        </w:rPr>
        <w:t> </w:t>
      </w:r>
      <w:r>
        <w:rPr>
          <w:sz w:val="16"/>
        </w:rPr>
        <w:t>Derecho</w:t>
      </w:r>
      <w:r>
        <w:rPr>
          <w:spacing w:val="-10"/>
          <w:sz w:val="16"/>
        </w:rPr>
        <w:t> </w:t>
      </w:r>
      <w:r>
        <w:rPr>
          <w:sz w:val="16"/>
        </w:rPr>
        <w:t>a</w:t>
      </w:r>
      <w:r>
        <w:rPr>
          <w:spacing w:val="-10"/>
          <w:sz w:val="16"/>
        </w:rPr>
        <w:t> </w:t>
      </w:r>
      <w:r>
        <w:rPr>
          <w:sz w:val="16"/>
        </w:rPr>
        <w:t>indemnización</w:t>
      </w:r>
      <w:r>
        <w:rPr>
          <w:spacing w:val="-9"/>
          <w:sz w:val="16"/>
        </w:rPr>
        <w:t> </w:t>
      </w:r>
      <w:r>
        <w:rPr>
          <w:sz w:val="16"/>
        </w:rPr>
        <w:t>(art.10),</w:t>
      </w:r>
      <w:r>
        <w:rPr>
          <w:spacing w:val="-11"/>
          <w:sz w:val="16"/>
        </w:rPr>
        <w:t> </w:t>
      </w:r>
      <w:r>
        <w:rPr>
          <w:sz w:val="16"/>
        </w:rPr>
        <w:t>Protección</w:t>
      </w:r>
      <w:r>
        <w:rPr>
          <w:spacing w:val="-11"/>
          <w:sz w:val="16"/>
        </w:rPr>
        <w:t> </w:t>
      </w:r>
      <w:r>
        <w:rPr>
          <w:sz w:val="16"/>
        </w:rPr>
        <w:t>de</w:t>
      </w:r>
      <w:r>
        <w:rPr>
          <w:spacing w:val="-11"/>
          <w:sz w:val="16"/>
        </w:rPr>
        <w:t> </w:t>
      </w:r>
      <w:r>
        <w:rPr>
          <w:sz w:val="16"/>
        </w:rPr>
        <w:t>la</w:t>
      </w:r>
      <w:r>
        <w:rPr>
          <w:spacing w:val="-10"/>
          <w:sz w:val="16"/>
        </w:rPr>
        <w:t> </w:t>
      </w:r>
      <w:r>
        <w:rPr>
          <w:sz w:val="16"/>
        </w:rPr>
        <w:t>honra</w:t>
      </w:r>
      <w:r>
        <w:rPr>
          <w:spacing w:val="-10"/>
          <w:sz w:val="16"/>
        </w:rPr>
        <w:t> </w:t>
      </w:r>
      <w:r>
        <w:rPr>
          <w:sz w:val="16"/>
        </w:rPr>
        <w:t>y</w:t>
      </w:r>
      <w:r>
        <w:rPr>
          <w:spacing w:val="-10"/>
          <w:sz w:val="16"/>
        </w:rPr>
        <w:t> </w:t>
      </w:r>
      <w:r>
        <w:rPr>
          <w:sz w:val="16"/>
        </w:rPr>
        <w:t>la</w:t>
      </w:r>
      <w:r>
        <w:rPr>
          <w:spacing w:val="-8"/>
          <w:sz w:val="16"/>
        </w:rPr>
        <w:t> </w:t>
      </w:r>
      <w:r>
        <w:rPr>
          <w:sz w:val="16"/>
        </w:rPr>
        <w:t>dignidad</w:t>
      </w:r>
      <w:r>
        <w:rPr>
          <w:spacing w:val="-8"/>
          <w:sz w:val="16"/>
        </w:rPr>
        <w:t> </w:t>
      </w:r>
      <w:r>
        <w:rPr>
          <w:sz w:val="16"/>
        </w:rPr>
        <w:t>(art.11),</w:t>
      </w:r>
      <w:r>
        <w:rPr>
          <w:spacing w:val="-11"/>
          <w:sz w:val="16"/>
        </w:rPr>
        <w:t> </w:t>
      </w:r>
      <w:r>
        <w:rPr>
          <w:sz w:val="16"/>
        </w:rPr>
        <w:t>Libertad</w:t>
      </w:r>
      <w:r>
        <w:rPr>
          <w:spacing w:val="-10"/>
          <w:sz w:val="16"/>
        </w:rPr>
        <w:t> </w:t>
      </w:r>
      <w:r>
        <w:rPr>
          <w:sz w:val="16"/>
        </w:rPr>
        <w:t>de</w:t>
      </w:r>
      <w:r>
        <w:rPr>
          <w:spacing w:val="-11"/>
          <w:sz w:val="16"/>
        </w:rPr>
        <w:t> </w:t>
      </w:r>
      <w:r>
        <w:rPr>
          <w:sz w:val="16"/>
        </w:rPr>
        <w:t>conciencia y de religión (art.12),Libertad de pensamiento y de expresión (art.13), Derecho de rectificación o respuesta (art.14),</w:t>
      </w:r>
      <w:r>
        <w:rPr>
          <w:spacing w:val="-13"/>
          <w:sz w:val="16"/>
        </w:rPr>
        <w:t> </w:t>
      </w:r>
      <w:r>
        <w:rPr>
          <w:sz w:val="16"/>
        </w:rPr>
        <w:t>Derecho</w:t>
      </w:r>
      <w:r>
        <w:rPr>
          <w:spacing w:val="-12"/>
          <w:sz w:val="16"/>
        </w:rPr>
        <w:t> </w:t>
      </w:r>
      <w:r>
        <w:rPr>
          <w:sz w:val="16"/>
        </w:rPr>
        <w:t>de</w:t>
      </w:r>
      <w:r>
        <w:rPr>
          <w:spacing w:val="-12"/>
          <w:sz w:val="16"/>
        </w:rPr>
        <w:t> </w:t>
      </w:r>
      <w:r>
        <w:rPr>
          <w:sz w:val="16"/>
        </w:rPr>
        <w:t>reunión</w:t>
      </w:r>
      <w:r>
        <w:rPr>
          <w:spacing w:val="-11"/>
          <w:sz w:val="16"/>
        </w:rPr>
        <w:t> </w:t>
      </w:r>
      <w:r>
        <w:rPr>
          <w:sz w:val="16"/>
        </w:rPr>
        <w:t>(art.15),</w:t>
      </w:r>
      <w:r>
        <w:rPr>
          <w:spacing w:val="-12"/>
          <w:sz w:val="16"/>
        </w:rPr>
        <w:t> </w:t>
      </w:r>
      <w:r>
        <w:rPr>
          <w:sz w:val="16"/>
        </w:rPr>
        <w:t>Libertad</w:t>
      </w:r>
      <w:r>
        <w:rPr>
          <w:spacing w:val="-12"/>
          <w:sz w:val="16"/>
        </w:rPr>
        <w:t> </w:t>
      </w:r>
      <w:r>
        <w:rPr>
          <w:sz w:val="16"/>
        </w:rPr>
        <w:t>de</w:t>
      </w:r>
      <w:r>
        <w:rPr>
          <w:spacing w:val="-12"/>
          <w:sz w:val="16"/>
        </w:rPr>
        <w:t> </w:t>
      </w:r>
      <w:r>
        <w:rPr>
          <w:sz w:val="16"/>
        </w:rPr>
        <w:t>asociación</w:t>
      </w:r>
      <w:r>
        <w:rPr>
          <w:spacing w:val="-11"/>
          <w:sz w:val="16"/>
        </w:rPr>
        <w:t> </w:t>
      </w:r>
      <w:r>
        <w:rPr>
          <w:sz w:val="16"/>
        </w:rPr>
        <w:t>(art.16),</w:t>
      </w:r>
      <w:r>
        <w:rPr>
          <w:spacing w:val="-12"/>
          <w:sz w:val="16"/>
        </w:rPr>
        <w:t> </w:t>
      </w:r>
      <w:r>
        <w:rPr>
          <w:sz w:val="16"/>
        </w:rPr>
        <w:t>Protección</w:t>
      </w:r>
      <w:r>
        <w:rPr>
          <w:spacing w:val="-11"/>
          <w:sz w:val="16"/>
        </w:rPr>
        <w:t> </w:t>
      </w:r>
      <w:r>
        <w:rPr>
          <w:sz w:val="16"/>
        </w:rPr>
        <w:t>a</w:t>
      </w:r>
      <w:r>
        <w:rPr>
          <w:spacing w:val="-11"/>
          <w:sz w:val="16"/>
        </w:rPr>
        <w:t> </w:t>
      </w:r>
      <w:r>
        <w:rPr>
          <w:sz w:val="16"/>
        </w:rPr>
        <w:t>la</w:t>
      </w:r>
      <w:r>
        <w:rPr>
          <w:spacing w:val="-12"/>
          <w:sz w:val="16"/>
        </w:rPr>
        <w:t> </w:t>
      </w:r>
      <w:r>
        <w:rPr>
          <w:sz w:val="16"/>
        </w:rPr>
        <w:t>familia</w:t>
      </w:r>
      <w:r>
        <w:rPr>
          <w:spacing w:val="-12"/>
          <w:sz w:val="16"/>
        </w:rPr>
        <w:t> </w:t>
      </w:r>
      <w:r>
        <w:rPr>
          <w:sz w:val="16"/>
        </w:rPr>
        <w:t>(art.17),</w:t>
      </w:r>
      <w:r>
        <w:rPr>
          <w:spacing w:val="-11"/>
          <w:sz w:val="16"/>
        </w:rPr>
        <w:t> </w:t>
      </w:r>
      <w:r>
        <w:rPr>
          <w:sz w:val="16"/>
        </w:rPr>
        <w:t>Derecho al nombre (art.18), Derechos del niño (art.19), Derecho a la nacionalidad (art.20), Derecho a la propiedad privada</w:t>
      </w:r>
      <w:r>
        <w:rPr>
          <w:spacing w:val="-6"/>
          <w:sz w:val="16"/>
        </w:rPr>
        <w:t> </w:t>
      </w:r>
      <w:r>
        <w:rPr>
          <w:sz w:val="16"/>
        </w:rPr>
        <w:t>(art.21),</w:t>
      </w:r>
      <w:r>
        <w:rPr>
          <w:spacing w:val="-7"/>
          <w:sz w:val="16"/>
        </w:rPr>
        <w:t> </w:t>
      </w:r>
      <w:r>
        <w:rPr>
          <w:sz w:val="16"/>
        </w:rPr>
        <w:t>Derecho</w:t>
      </w:r>
      <w:r>
        <w:rPr>
          <w:spacing w:val="-5"/>
          <w:sz w:val="16"/>
        </w:rPr>
        <w:t> </w:t>
      </w:r>
      <w:r>
        <w:rPr>
          <w:sz w:val="16"/>
        </w:rPr>
        <w:t>de</w:t>
      </w:r>
      <w:r>
        <w:rPr>
          <w:spacing w:val="-5"/>
          <w:sz w:val="16"/>
        </w:rPr>
        <w:t> </w:t>
      </w:r>
      <w:r>
        <w:rPr>
          <w:sz w:val="16"/>
        </w:rPr>
        <w:t>circulación</w:t>
      </w:r>
      <w:r>
        <w:rPr>
          <w:spacing w:val="-6"/>
          <w:sz w:val="16"/>
        </w:rPr>
        <w:t> </w:t>
      </w:r>
      <w:r>
        <w:rPr>
          <w:sz w:val="16"/>
        </w:rPr>
        <w:t>y</w:t>
      </w:r>
      <w:r>
        <w:rPr>
          <w:spacing w:val="-5"/>
          <w:sz w:val="16"/>
        </w:rPr>
        <w:t> </w:t>
      </w:r>
      <w:r>
        <w:rPr>
          <w:sz w:val="16"/>
        </w:rPr>
        <w:t>de</w:t>
      </w:r>
      <w:r>
        <w:rPr>
          <w:spacing w:val="-6"/>
          <w:sz w:val="16"/>
        </w:rPr>
        <w:t> </w:t>
      </w:r>
      <w:r>
        <w:rPr>
          <w:sz w:val="16"/>
        </w:rPr>
        <w:t>residencia</w:t>
      </w:r>
      <w:r>
        <w:rPr>
          <w:spacing w:val="-5"/>
          <w:sz w:val="16"/>
        </w:rPr>
        <w:t> </w:t>
      </w:r>
      <w:r>
        <w:rPr>
          <w:sz w:val="16"/>
        </w:rPr>
        <w:t>(art.22),</w:t>
      </w:r>
      <w:r>
        <w:rPr>
          <w:spacing w:val="-6"/>
          <w:sz w:val="16"/>
        </w:rPr>
        <w:t> </w:t>
      </w:r>
      <w:r>
        <w:rPr>
          <w:sz w:val="16"/>
        </w:rPr>
        <w:t>Derechos</w:t>
      </w:r>
      <w:r>
        <w:rPr>
          <w:spacing w:val="-6"/>
          <w:sz w:val="16"/>
        </w:rPr>
        <w:t> </w:t>
      </w:r>
      <w:r>
        <w:rPr>
          <w:sz w:val="16"/>
        </w:rPr>
        <w:t>políticos</w:t>
      </w:r>
      <w:r>
        <w:rPr>
          <w:spacing w:val="-5"/>
          <w:sz w:val="16"/>
        </w:rPr>
        <w:t> </w:t>
      </w:r>
      <w:r>
        <w:rPr>
          <w:sz w:val="16"/>
        </w:rPr>
        <w:t>(art.23),</w:t>
      </w:r>
      <w:r>
        <w:rPr>
          <w:spacing w:val="-6"/>
          <w:sz w:val="16"/>
        </w:rPr>
        <w:t> </w:t>
      </w:r>
      <w:r>
        <w:rPr>
          <w:sz w:val="16"/>
        </w:rPr>
        <w:t>Igualdad</w:t>
      </w:r>
      <w:r>
        <w:rPr>
          <w:spacing w:val="-4"/>
          <w:sz w:val="16"/>
        </w:rPr>
        <w:t> </w:t>
      </w:r>
      <w:r>
        <w:rPr>
          <w:sz w:val="16"/>
        </w:rPr>
        <w:t>ante</w:t>
      </w:r>
      <w:r>
        <w:rPr>
          <w:spacing w:val="-5"/>
          <w:sz w:val="16"/>
        </w:rPr>
        <w:t> </w:t>
      </w:r>
      <w:r>
        <w:rPr>
          <w:sz w:val="16"/>
        </w:rPr>
        <w:t>la ley (art.24) y Protección judicial</w:t>
      </w:r>
      <w:r>
        <w:rPr>
          <w:spacing w:val="-18"/>
          <w:sz w:val="16"/>
        </w:rPr>
        <w:t> </w:t>
      </w:r>
      <w:r>
        <w:rPr>
          <w:sz w:val="16"/>
        </w:rPr>
        <w:t>(art.25).</w:t>
      </w:r>
    </w:p>
    <w:p>
      <w:pPr>
        <w:spacing w:line="192" w:lineRule="exact" w:before="0"/>
        <w:ind w:left="681" w:right="0" w:firstLine="0"/>
        <w:jc w:val="both"/>
        <w:rPr>
          <w:i/>
          <w:sz w:val="16"/>
        </w:rPr>
      </w:pPr>
      <w:r>
        <w:rPr>
          <w:sz w:val="16"/>
        </w:rPr>
        <w:t>Art.26 </w:t>
      </w:r>
      <w:r>
        <w:rPr>
          <w:i/>
          <w:sz w:val="16"/>
        </w:rPr>
        <w:t>cit.</w:t>
      </w:r>
    </w:p>
    <w:p>
      <w:pPr>
        <w:pStyle w:val="BodyText"/>
        <w:spacing w:before="2"/>
        <w:rPr>
          <w:i/>
        </w:rPr>
      </w:pPr>
    </w:p>
    <w:p>
      <w:pPr>
        <w:spacing w:before="0"/>
        <w:ind w:left="681" w:right="0" w:firstLine="0"/>
        <w:jc w:val="both"/>
        <w:rPr>
          <w:i/>
          <w:sz w:val="16"/>
        </w:rPr>
      </w:pPr>
      <w:r>
        <w:rPr>
          <w:position w:val="6"/>
          <w:sz w:val="10"/>
        </w:rPr>
        <w:t>41  </w:t>
      </w:r>
      <w:r>
        <w:rPr>
          <w:sz w:val="16"/>
        </w:rPr>
        <w:t>“</w:t>
      </w:r>
      <w:r>
        <w:rPr>
          <w:i/>
          <w:sz w:val="16"/>
        </w:rPr>
        <w:t>Parte II Medios de Protección.” Art </w:t>
      </w:r>
      <w:r>
        <w:rPr>
          <w:sz w:val="16"/>
        </w:rPr>
        <w:t>Art. 33: </w:t>
      </w:r>
      <w:r>
        <w:rPr>
          <w:i/>
          <w:sz w:val="16"/>
        </w:rPr>
        <w:t>“Son competentes para conocer de los asuntos  </w:t>
      </w:r>
      <w:r>
        <w:rPr>
          <w:i/>
          <w:spacing w:val="55"/>
          <w:sz w:val="16"/>
        </w:rPr>
        <w:t> </w:t>
      </w:r>
      <w:r>
        <w:rPr>
          <w:i/>
          <w:sz w:val="16"/>
        </w:rPr>
        <w:t>relacionados</w:t>
      </w:r>
    </w:p>
    <w:p>
      <w:pPr>
        <w:spacing w:before="0"/>
        <w:ind w:left="681" w:right="0" w:firstLine="0"/>
        <w:jc w:val="both"/>
        <w:rPr>
          <w:i/>
          <w:sz w:val="16"/>
        </w:rPr>
      </w:pPr>
      <w:r>
        <w:rPr>
          <w:i/>
          <w:sz w:val="16"/>
        </w:rPr>
        <w:t>con el cumplimiento de los compromisos contraídos por los Estados Partes en esta Convención:</w:t>
      </w:r>
    </w:p>
    <w:p>
      <w:pPr>
        <w:pStyle w:val="ListParagraph"/>
        <w:numPr>
          <w:ilvl w:val="0"/>
          <w:numId w:val="55"/>
        </w:numPr>
        <w:tabs>
          <w:tab w:pos="907" w:val="left" w:leader="none"/>
        </w:tabs>
        <w:spacing w:line="240" w:lineRule="auto" w:before="0" w:after="0"/>
        <w:ind w:left="906" w:right="0" w:hanging="225"/>
        <w:jc w:val="both"/>
        <w:rPr>
          <w:i/>
          <w:sz w:val="16"/>
        </w:rPr>
      </w:pPr>
      <w:r>
        <w:rPr>
          <w:i/>
          <w:sz w:val="16"/>
        </w:rPr>
        <w:t>la Comisión Interamericana de Derechos Humanos, llamada en adelante la Comisión,</w:t>
      </w:r>
      <w:r>
        <w:rPr>
          <w:i/>
          <w:spacing w:val="-20"/>
          <w:sz w:val="16"/>
        </w:rPr>
        <w:t> </w:t>
      </w:r>
      <w:r>
        <w:rPr>
          <w:i/>
          <w:sz w:val="16"/>
        </w:rPr>
        <w:t>y</w:t>
      </w:r>
    </w:p>
    <w:p>
      <w:pPr>
        <w:pStyle w:val="ListParagraph"/>
        <w:numPr>
          <w:ilvl w:val="0"/>
          <w:numId w:val="55"/>
        </w:numPr>
        <w:tabs>
          <w:tab w:pos="910" w:val="left" w:leader="none"/>
        </w:tabs>
        <w:spacing w:line="240" w:lineRule="auto" w:before="0" w:after="0"/>
        <w:ind w:left="909" w:right="0" w:hanging="228"/>
        <w:jc w:val="both"/>
        <w:rPr>
          <w:i/>
          <w:sz w:val="16"/>
        </w:rPr>
      </w:pPr>
      <w:r>
        <w:rPr>
          <w:i/>
          <w:sz w:val="16"/>
        </w:rPr>
        <w:t>la Corte Interamericana de Derechos Humanos, llamada en adelante la</w:t>
      </w:r>
      <w:r>
        <w:rPr>
          <w:i/>
          <w:spacing w:val="-24"/>
          <w:sz w:val="16"/>
        </w:rPr>
        <w:t> </w:t>
      </w:r>
      <w:r>
        <w:rPr>
          <w:i/>
          <w:sz w:val="16"/>
        </w:rPr>
        <w:t>Corte.”</w:t>
      </w:r>
    </w:p>
    <w:p>
      <w:pPr>
        <w:pStyle w:val="BodyText"/>
        <w:rPr>
          <w:i/>
          <w:sz w:val="16"/>
        </w:rPr>
      </w:pPr>
    </w:p>
    <w:p>
      <w:pPr>
        <w:spacing w:before="0"/>
        <w:ind w:left="681" w:right="124" w:firstLine="0"/>
        <w:jc w:val="both"/>
        <w:rPr>
          <w:i/>
          <w:sz w:val="16"/>
        </w:rPr>
      </w:pPr>
      <w:r>
        <w:rPr>
          <w:position w:val="6"/>
          <w:sz w:val="10"/>
        </w:rPr>
        <w:t>42 </w:t>
      </w:r>
      <w:r>
        <w:rPr>
          <w:sz w:val="16"/>
        </w:rPr>
        <w:t>Art.41: “</w:t>
      </w:r>
      <w:r>
        <w:rPr>
          <w:i/>
          <w:sz w:val="16"/>
        </w:rPr>
        <w:t>La Comisión tiene la función principal de promover la observancia y la defensa de los derechos </w:t>
      </w:r>
      <w:r>
        <w:rPr>
          <w:i/>
          <w:sz w:val="16"/>
        </w:rPr>
        <w:t>humanos, y en el ejercicio de su mandato tiene las siguientes funciones y atribuciones:</w:t>
      </w:r>
    </w:p>
    <w:p>
      <w:pPr>
        <w:pStyle w:val="ListParagraph"/>
        <w:numPr>
          <w:ilvl w:val="0"/>
          <w:numId w:val="56"/>
        </w:numPr>
        <w:tabs>
          <w:tab w:pos="963" w:val="left" w:leader="none"/>
        </w:tabs>
        <w:spacing w:line="240" w:lineRule="auto" w:before="0" w:after="0"/>
        <w:ind w:left="681" w:right="0" w:firstLine="57"/>
        <w:jc w:val="both"/>
        <w:rPr>
          <w:i/>
          <w:sz w:val="16"/>
        </w:rPr>
      </w:pPr>
      <w:r>
        <w:rPr>
          <w:i/>
          <w:sz w:val="16"/>
        </w:rPr>
        <w:t>estimular la conciencia de los derechos humanos en los pueblos de</w:t>
      </w:r>
      <w:r>
        <w:rPr>
          <w:i/>
          <w:spacing w:val="-20"/>
          <w:sz w:val="16"/>
        </w:rPr>
        <w:t> </w:t>
      </w:r>
      <w:r>
        <w:rPr>
          <w:i/>
          <w:sz w:val="16"/>
        </w:rPr>
        <w:t>América;</w:t>
      </w:r>
    </w:p>
    <w:p>
      <w:pPr>
        <w:pStyle w:val="ListParagraph"/>
        <w:numPr>
          <w:ilvl w:val="0"/>
          <w:numId w:val="56"/>
        </w:numPr>
        <w:tabs>
          <w:tab w:pos="972" w:val="left" w:leader="none"/>
        </w:tabs>
        <w:spacing w:line="240" w:lineRule="auto" w:before="1" w:after="0"/>
        <w:ind w:left="681" w:right="119" w:firstLine="57"/>
        <w:jc w:val="both"/>
        <w:rPr>
          <w:i/>
          <w:sz w:val="16"/>
        </w:rPr>
      </w:pPr>
      <w:r>
        <w:rPr>
          <w:i/>
          <w:sz w:val="16"/>
        </w:rPr>
        <w:t>formular recomendaciones, cuando lo estime conveniente, a los gobiernos de los Estados miembros para </w:t>
      </w:r>
      <w:r>
        <w:rPr>
          <w:i/>
          <w:sz w:val="16"/>
        </w:rPr>
        <w:t>que</w:t>
      </w:r>
      <w:r>
        <w:rPr>
          <w:i/>
          <w:spacing w:val="-5"/>
          <w:sz w:val="16"/>
        </w:rPr>
        <w:t> </w:t>
      </w:r>
      <w:r>
        <w:rPr>
          <w:i/>
          <w:sz w:val="16"/>
        </w:rPr>
        <w:t>adopten</w:t>
      </w:r>
      <w:r>
        <w:rPr>
          <w:i/>
          <w:spacing w:val="-5"/>
          <w:sz w:val="16"/>
        </w:rPr>
        <w:t> </w:t>
      </w:r>
      <w:r>
        <w:rPr>
          <w:i/>
          <w:sz w:val="16"/>
        </w:rPr>
        <w:t>medidas</w:t>
      </w:r>
      <w:r>
        <w:rPr>
          <w:i/>
          <w:spacing w:val="-5"/>
          <w:sz w:val="16"/>
        </w:rPr>
        <w:t> </w:t>
      </w:r>
      <w:r>
        <w:rPr>
          <w:i/>
          <w:sz w:val="16"/>
        </w:rPr>
        <w:t>progresivas</w:t>
      </w:r>
      <w:r>
        <w:rPr>
          <w:i/>
          <w:spacing w:val="-5"/>
          <w:sz w:val="16"/>
        </w:rPr>
        <w:t> </w:t>
      </w:r>
      <w:r>
        <w:rPr>
          <w:i/>
          <w:sz w:val="16"/>
        </w:rPr>
        <w:t>en</w:t>
      </w:r>
      <w:r>
        <w:rPr>
          <w:i/>
          <w:spacing w:val="-5"/>
          <w:sz w:val="16"/>
        </w:rPr>
        <w:t> </w:t>
      </w:r>
      <w:r>
        <w:rPr>
          <w:i/>
          <w:sz w:val="16"/>
        </w:rPr>
        <w:t>favor</w:t>
      </w:r>
      <w:r>
        <w:rPr>
          <w:i/>
          <w:spacing w:val="-4"/>
          <w:sz w:val="16"/>
        </w:rPr>
        <w:t> </w:t>
      </w:r>
      <w:r>
        <w:rPr>
          <w:i/>
          <w:sz w:val="16"/>
        </w:rPr>
        <w:t>de</w:t>
      </w:r>
      <w:r>
        <w:rPr>
          <w:i/>
          <w:spacing w:val="-5"/>
          <w:sz w:val="16"/>
        </w:rPr>
        <w:t> </w:t>
      </w:r>
      <w:r>
        <w:rPr>
          <w:i/>
          <w:sz w:val="16"/>
        </w:rPr>
        <w:t>los</w:t>
      </w:r>
      <w:r>
        <w:rPr>
          <w:i/>
          <w:spacing w:val="-5"/>
          <w:sz w:val="16"/>
        </w:rPr>
        <w:t> </w:t>
      </w:r>
      <w:r>
        <w:rPr>
          <w:i/>
          <w:sz w:val="16"/>
        </w:rPr>
        <w:t>derechos</w:t>
      </w:r>
      <w:r>
        <w:rPr>
          <w:i/>
          <w:spacing w:val="-4"/>
          <w:sz w:val="16"/>
        </w:rPr>
        <w:t> </w:t>
      </w:r>
      <w:r>
        <w:rPr>
          <w:i/>
          <w:sz w:val="16"/>
        </w:rPr>
        <w:t>humanos</w:t>
      </w:r>
      <w:r>
        <w:rPr>
          <w:i/>
          <w:spacing w:val="-5"/>
          <w:sz w:val="16"/>
        </w:rPr>
        <w:t> </w:t>
      </w:r>
      <w:r>
        <w:rPr>
          <w:i/>
          <w:sz w:val="16"/>
        </w:rPr>
        <w:t>dentro</w:t>
      </w:r>
      <w:r>
        <w:rPr>
          <w:i/>
          <w:spacing w:val="-2"/>
          <w:sz w:val="16"/>
        </w:rPr>
        <w:t> </w:t>
      </w:r>
      <w:r>
        <w:rPr>
          <w:i/>
          <w:sz w:val="16"/>
        </w:rPr>
        <w:t>del</w:t>
      </w:r>
      <w:r>
        <w:rPr>
          <w:i/>
          <w:spacing w:val="-4"/>
          <w:sz w:val="16"/>
        </w:rPr>
        <w:t> </w:t>
      </w:r>
      <w:r>
        <w:rPr>
          <w:i/>
          <w:sz w:val="16"/>
        </w:rPr>
        <w:t>marco</w:t>
      </w:r>
      <w:r>
        <w:rPr>
          <w:i/>
          <w:spacing w:val="-5"/>
          <w:sz w:val="16"/>
        </w:rPr>
        <w:t> </w:t>
      </w:r>
      <w:r>
        <w:rPr>
          <w:i/>
          <w:sz w:val="16"/>
        </w:rPr>
        <w:t>de</w:t>
      </w:r>
      <w:r>
        <w:rPr>
          <w:i/>
          <w:spacing w:val="-4"/>
          <w:sz w:val="16"/>
        </w:rPr>
        <w:t> </w:t>
      </w:r>
      <w:r>
        <w:rPr>
          <w:i/>
          <w:sz w:val="16"/>
        </w:rPr>
        <w:t>sus</w:t>
      </w:r>
      <w:r>
        <w:rPr>
          <w:i/>
          <w:spacing w:val="-5"/>
          <w:sz w:val="16"/>
        </w:rPr>
        <w:t> </w:t>
      </w:r>
      <w:r>
        <w:rPr>
          <w:i/>
          <w:sz w:val="16"/>
        </w:rPr>
        <w:t>leyes</w:t>
      </w:r>
      <w:r>
        <w:rPr>
          <w:i/>
          <w:spacing w:val="-5"/>
          <w:sz w:val="16"/>
        </w:rPr>
        <w:t> </w:t>
      </w:r>
      <w:r>
        <w:rPr>
          <w:i/>
          <w:sz w:val="16"/>
        </w:rPr>
        <w:t>internas</w:t>
      </w:r>
      <w:r>
        <w:rPr>
          <w:i/>
          <w:spacing w:val="-5"/>
          <w:sz w:val="16"/>
        </w:rPr>
        <w:t> </w:t>
      </w:r>
      <w:r>
        <w:rPr>
          <w:i/>
          <w:sz w:val="16"/>
        </w:rPr>
        <w:t>y sus preceptos constitucionales, al igual que disposiciones apropiadas para fomentar el debido respeto a esos derechos;</w:t>
      </w:r>
    </w:p>
    <w:p>
      <w:pPr>
        <w:spacing w:after="0" w:line="240" w:lineRule="auto"/>
        <w:jc w:val="both"/>
        <w:rPr>
          <w:sz w:val="16"/>
        </w:rPr>
        <w:sectPr>
          <w:pgSz w:w="12240" w:h="15840"/>
          <w:pgMar w:header="0" w:footer="1000" w:top="1220" w:bottom="1200" w:left="1020" w:right="1580"/>
        </w:sectPr>
      </w:pPr>
    </w:p>
    <w:p>
      <w:pPr>
        <w:pStyle w:val="BodyText"/>
        <w:spacing w:before="83"/>
        <w:ind w:left="823" w:right="99"/>
      </w:pPr>
      <w:r>
        <w:rPr/>
        <w:t>la Convención</w:t>
      </w:r>
      <w:r>
        <w:rPr>
          <w:position w:val="7"/>
          <w:sz w:val="13"/>
        </w:rPr>
        <w:t>43 </w:t>
      </w:r>
      <w:r>
        <w:rPr/>
        <w:t>y a la tercera, adoptar las medidas que correspondan para hacer cumplir el pertinente fallo</w:t>
      </w:r>
      <w:r>
        <w:rPr>
          <w:position w:val="7"/>
          <w:sz w:val="13"/>
        </w:rPr>
        <w:t>44</w:t>
      </w:r>
      <w:r>
        <w:rPr/>
        <w:t>;</w:t>
      </w:r>
    </w:p>
    <w:p>
      <w:pPr>
        <w:pStyle w:val="BodyText"/>
        <w:spacing w:before="11"/>
        <w:rPr>
          <w:sz w:val="19"/>
        </w:rPr>
      </w:pPr>
    </w:p>
    <w:p>
      <w:pPr>
        <w:pStyle w:val="ListParagraph"/>
        <w:numPr>
          <w:ilvl w:val="0"/>
          <w:numId w:val="53"/>
        </w:numPr>
        <w:tabs>
          <w:tab w:pos="1390" w:val="left" w:leader="none"/>
        </w:tabs>
        <w:spacing w:line="240" w:lineRule="auto" w:before="0" w:after="0"/>
        <w:ind w:left="681" w:right="116" w:firstLine="0"/>
        <w:jc w:val="both"/>
        <w:rPr>
          <w:sz w:val="20"/>
        </w:rPr>
      </w:pPr>
      <w:r>
        <w:rPr>
          <w:sz w:val="20"/>
        </w:rPr>
        <w:t>De</w:t>
      </w:r>
      <w:r>
        <w:rPr>
          <w:spacing w:val="-12"/>
          <w:sz w:val="20"/>
        </w:rPr>
        <w:t> </w:t>
      </w:r>
      <w:r>
        <w:rPr>
          <w:sz w:val="20"/>
        </w:rPr>
        <w:t>la</w:t>
      </w:r>
      <w:r>
        <w:rPr>
          <w:spacing w:val="-13"/>
          <w:sz w:val="20"/>
        </w:rPr>
        <w:t> </w:t>
      </w:r>
      <w:r>
        <w:rPr>
          <w:sz w:val="20"/>
        </w:rPr>
        <w:t>interpretación</w:t>
      </w:r>
      <w:r>
        <w:rPr>
          <w:spacing w:val="-11"/>
          <w:sz w:val="20"/>
        </w:rPr>
        <w:t> </w:t>
      </w:r>
      <w:r>
        <w:rPr>
          <w:sz w:val="20"/>
        </w:rPr>
        <w:t>armónica</w:t>
      </w:r>
      <w:r>
        <w:rPr>
          <w:spacing w:val="-12"/>
          <w:sz w:val="20"/>
        </w:rPr>
        <w:t> </w:t>
      </w:r>
      <w:r>
        <w:rPr>
          <w:sz w:val="20"/>
        </w:rPr>
        <w:t>de</w:t>
      </w:r>
      <w:r>
        <w:rPr>
          <w:spacing w:val="-12"/>
          <w:sz w:val="20"/>
        </w:rPr>
        <w:t> </w:t>
      </w:r>
      <w:r>
        <w:rPr>
          <w:sz w:val="20"/>
        </w:rPr>
        <w:t>esas</w:t>
      </w:r>
      <w:r>
        <w:rPr>
          <w:spacing w:val="-12"/>
          <w:sz w:val="20"/>
        </w:rPr>
        <w:t> </w:t>
      </w:r>
      <w:r>
        <w:rPr>
          <w:sz w:val="20"/>
        </w:rPr>
        <w:t>normas,</w:t>
      </w:r>
      <w:r>
        <w:rPr>
          <w:spacing w:val="-13"/>
          <w:sz w:val="20"/>
        </w:rPr>
        <w:t> </w:t>
      </w:r>
      <w:r>
        <w:rPr>
          <w:sz w:val="20"/>
        </w:rPr>
        <w:t>se</w:t>
      </w:r>
      <w:r>
        <w:rPr>
          <w:spacing w:val="-11"/>
          <w:sz w:val="20"/>
        </w:rPr>
        <w:t> </w:t>
      </w:r>
      <w:r>
        <w:rPr>
          <w:sz w:val="20"/>
        </w:rPr>
        <w:t>puede</w:t>
      </w:r>
      <w:r>
        <w:rPr>
          <w:spacing w:val="-12"/>
          <w:sz w:val="20"/>
        </w:rPr>
        <w:t> </w:t>
      </w:r>
      <w:r>
        <w:rPr>
          <w:sz w:val="20"/>
        </w:rPr>
        <w:t>colegir</w:t>
      </w:r>
      <w:r>
        <w:rPr>
          <w:spacing w:val="-13"/>
          <w:sz w:val="20"/>
        </w:rPr>
        <w:t> </w:t>
      </w:r>
      <w:r>
        <w:rPr>
          <w:sz w:val="20"/>
        </w:rPr>
        <w:t>que</w:t>
      </w:r>
      <w:r>
        <w:rPr>
          <w:spacing w:val="-12"/>
          <w:sz w:val="20"/>
        </w:rPr>
        <w:t> </w:t>
      </w:r>
      <w:r>
        <w:rPr>
          <w:sz w:val="20"/>
        </w:rPr>
        <w:t>a</w:t>
      </w:r>
      <w:r>
        <w:rPr>
          <w:spacing w:val="-13"/>
          <w:sz w:val="20"/>
        </w:rPr>
        <w:t> </w:t>
      </w:r>
      <w:r>
        <w:rPr>
          <w:sz w:val="20"/>
        </w:rPr>
        <w:t>los</w:t>
      </w:r>
      <w:r>
        <w:rPr>
          <w:spacing w:val="-13"/>
          <w:sz w:val="20"/>
        </w:rPr>
        <w:t> </w:t>
      </w:r>
      <w:r>
        <w:rPr>
          <w:sz w:val="20"/>
        </w:rPr>
        <w:t>Estados que han reconocido la competencia contenciosa de la Corte, únicamente se les puede requerir, en cuanto al caso que le ha sido sometido a ésta, el debido respeto de los derechos civiles y políticos “reconocidos”, “establecidos”, “garantizados”,</w:t>
      </w:r>
      <w:r>
        <w:rPr>
          <w:spacing w:val="-28"/>
          <w:sz w:val="20"/>
        </w:rPr>
        <w:t> </w:t>
      </w:r>
      <w:r>
        <w:rPr>
          <w:sz w:val="20"/>
        </w:rPr>
        <w:t>“consagrados” o “protegidos” por la Convención y además, siempre que eventualmente sea menester, la adopción, “con arreglo a (a los) procedimientos constitucionales (del</w:t>
      </w:r>
      <w:r>
        <w:rPr>
          <w:spacing w:val="-19"/>
          <w:sz w:val="20"/>
        </w:rPr>
        <w:t> </w:t>
      </w:r>
      <w:r>
        <w:rPr>
          <w:sz w:val="20"/>
        </w:rPr>
        <w:t>correspondiente Estado) y a las disposiciones de (aquella) …, las medidas legislativas o de otro carácter que fueren necesarias para hacer efectivos tales derechos y</w:t>
      </w:r>
      <w:r>
        <w:rPr>
          <w:spacing w:val="-16"/>
          <w:sz w:val="20"/>
        </w:rPr>
        <w:t> </w:t>
      </w:r>
      <w:r>
        <w:rPr>
          <w:sz w:val="20"/>
        </w:rPr>
        <w:t>libertades”.</w:t>
      </w:r>
    </w:p>
    <w:p>
      <w:pPr>
        <w:pStyle w:val="BodyText"/>
        <w:spacing w:before="11"/>
        <w:rPr>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En cambio, respecto de los derechos “que se derivan de las normas económicas, sociales y sobre educación, ciencia y cultura, contenidas en la Carta de la Organización de</w:t>
      </w:r>
      <w:r>
        <w:rPr>
          <w:spacing w:val="-6"/>
          <w:sz w:val="20"/>
        </w:rPr>
        <w:t> </w:t>
      </w:r>
      <w:r>
        <w:rPr>
          <w:sz w:val="20"/>
        </w:rPr>
        <w:t>los</w:t>
      </w:r>
      <w:r>
        <w:rPr>
          <w:spacing w:val="-7"/>
          <w:sz w:val="20"/>
        </w:rPr>
        <w:t> </w:t>
      </w:r>
      <w:r>
        <w:rPr>
          <w:sz w:val="20"/>
        </w:rPr>
        <w:t>Estados</w:t>
      </w:r>
      <w:r>
        <w:rPr>
          <w:spacing w:val="-6"/>
          <w:sz w:val="20"/>
        </w:rPr>
        <w:t> </w:t>
      </w:r>
      <w:r>
        <w:rPr>
          <w:sz w:val="20"/>
        </w:rPr>
        <w:t>Americanos,</w:t>
      </w:r>
      <w:r>
        <w:rPr>
          <w:spacing w:val="-7"/>
          <w:sz w:val="20"/>
        </w:rPr>
        <w:t> </w:t>
      </w:r>
      <w:r>
        <w:rPr>
          <w:sz w:val="20"/>
        </w:rPr>
        <w:t>reformada</w:t>
      </w:r>
      <w:r>
        <w:rPr>
          <w:spacing w:val="-7"/>
          <w:sz w:val="20"/>
        </w:rPr>
        <w:t> </w:t>
      </w:r>
      <w:r>
        <w:rPr>
          <w:sz w:val="20"/>
        </w:rPr>
        <w:t>por</w:t>
      </w:r>
      <w:r>
        <w:rPr>
          <w:spacing w:val="-8"/>
          <w:sz w:val="20"/>
        </w:rPr>
        <w:t> </w:t>
      </w:r>
      <w:r>
        <w:rPr>
          <w:sz w:val="20"/>
        </w:rPr>
        <w:t>el</w:t>
      </w:r>
      <w:r>
        <w:rPr>
          <w:spacing w:val="-7"/>
          <w:sz w:val="20"/>
        </w:rPr>
        <w:t> </w:t>
      </w:r>
      <w:r>
        <w:rPr>
          <w:sz w:val="20"/>
        </w:rPr>
        <w:t>Protocolo</w:t>
      </w:r>
      <w:r>
        <w:rPr>
          <w:spacing w:val="-6"/>
          <w:sz w:val="20"/>
        </w:rPr>
        <w:t> </w:t>
      </w:r>
      <w:r>
        <w:rPr>
          <w:sz w:val="20"/>
        </w:rPr>
        <w:t>de</w:t>
      </w:r>
      <w:r>
        <w:rPr>
          <w:spacing w:val="-6"/>
          <w:sz w:val="20"/>
        </w:rPr>
        <w:t> </w:t>
      </w:r>
      <w:r>
        <w:rPr>
          <w:sz w:val="20"/>
        </w:rPr>
        <w:t>Buenos</w:t>
      </w:r>
      <w:r>
        <w:rPr>
          <w:spacing w:val="-6"/>
          <w:sz w:val="20"/>
        </w:rPr>
        <w:t> </w:t>
      </w:r>
      <w:r>
        <w:rPr>
          <w:sz w:val="20"/>
        </w:rPr>
        <w:t>Aires”,</w:t>
      </w:r>
      <w:r>
        <w:rPr>
          <w:spacing w:val="-6"/>
          <w:sz w:val="20"/>
        </w:rPr>
        <w:t> </w:t>
      </w:r>
      <w:r>
        <w:rPr>
          <w:sz w:val="20"/>
        </w:rPr>
        <w:t>únicamente</w:t>
      </w:r>
      <w:r>
        <w:rPr>
          <w:spacing w:val="-6"/>
          <w:sz w:val="20"/>
        </w:rPr>
        <w:t> </w:t>
      </w:r>
      <w:r>
        <w:rPr>
          <w:sz w:val="20"/>
        </w:rPr>
        <w:t>se les</w:t>
      </w:r>
      <w:r>
        <w:rPr>
          <w:spacing w:val="-9"/>
          <w:sz w:val="20"/>
        </w:rPr>
        <w:t> </w:t>
      </w:r>
      <w:r>
        <w:rPr>
          <w:sz w:val="20"/>
        </w:rPr>
        <w:t>podría</w:t>
      </w:r>
      <w:r>
        <w:rPr>
          <w:spacing w:val="-10"/>
          <w:sz w:val="20"/>
        </w:rPr>
        <w:t> </w:t>
      </w:r>
      <w:r>
        <w:rPr>
          <w:sz w:val="20"/>
        </w:rPr>
        <w:t>requerir</w:t>
      </w:r>
      <w:r>
        <w:rPr>
          <w:spacing w:val="-9"/>
          <w:sz w:val="20"/>
        </w:rPr>
        <w:t> </w:t>
      </w:r>
      <w:r>
        <w:rPr>
          <w:sz w:val="20"/>
        </w:rPr>
        <w:t>a</w:t>
      </w:r>
      <w:r>
        <w:rPr>
          <w:spacing w:val="-10"/>
          <w:sz w:val="20"/>
        </w:rPr>
        <w:t> </w:t>
      </w:r>
      <w:r>
        <w:rPr>
          <w:sz w:val="20"/>
        </w:rPr>
        <w:t>los</w:t>
      </w:r>
      <w:r>
        <w:rPr>
          <w:spacing w:val="-9"/>
          <w:sz w:val="20"/>
        </w:rPr>
        <w:t> </w:t>
      </w:r>
      <w:r>
        <w:rPr>
          <w:sz w:val="20"/>
        </w:rPr>
        <w:t>Estados</w:t>
      </w:r>
      <w:r>
        <w:rPr>
          <w:spacing w:val="-11"/>
          <w:sz w:val="20"/>
        </w:rPr>
        <w:t> </w:t>
      </w:r>
      <w:r>
        <w:rPr>
          <w:sz w:val="20"/>
        </w:rPr>
        <w:t>Partes</w:t>
      </w:r>
      <w:r>
        <w:rPr>
          <w:spacing w:val="-9"/>
          <w:sz w:val="20"/>
        </w:rPr>
        <w:t> </w:t>
      </w:r>
      <w:r>
        <w:rPr>
          <w:sz w:val="20"/>
        </w:rPr>
        <w:t>de</w:t>
      </w:r>
      <w:r>
        <w:rPr>
          <w:spacing w:val="-9"/>
          <w:sz w:val="20"/>
        </w:rPr>
        <w:t> </w:t>
      </w:r>
      <w:r>
        <w:rPr>
          <w:sz w:val="20"/>
        </w:rPr>
        <w:t>la</w:t>
      </w:r>
      <w:r>
        <w:rPr>
          <w:spacing w:val="-11"/>
          <w:sz w:val="20"/>
        </w:rPr>
        <w:t> </w:t>
      </w:r>
      <w:r>
        <w:rPr>
          <w:sz w:val="20"/>
        </w:rPr>
        <w:t>Convención,</w:t>
      </w:r>
      <w:r>
        <w:rPr>
          <w:spacing w:val="-9"/>
          <w:sz w:val="20"/>
        </w:rPr>
        <w:t> </w:t>
      </w:r>
      <w:r>
        <w:rPr>
          <w:sz w:val="20"/>
        </w:rPr>
        <w:t>la</w:t>
      </w:r>
      <w:r>
        <w:rPr>
          <w:spacing w:val="-9"/>
          <w:sz w:val="20"/>
        </w:rPr>
        <w:t> </w:t>
      </w:r>
      <w:r>
        <w:rPr>
          <w:sz w:val="20"/>
        </w:rPr>
        <w:t>adopción</w:t>
      </w:r>
      <w:r>
        <w:rPr>
          <w:spacing w:val="-9"/>
          <w:sz w:val="20"/>
        </w:rPr>
        <w:t> </w:t>
      </w:r>
      <w:r>
        <w:rPr>
          <w:sz w:val="20"/>
        </w:rPr>
        <w:t>“por</w:t>
      </w:r>
      <w:r>
        <w:rPr>
          <w:spacing w:val="-10"/>
          <w:sz w:val="20"/>
        </w:rPr>
        <w:t> </w:t>
      </w:r>
      <w:r>
        <w:rPr>
          <w:sz w:val="20"/>
        </w:rPr>
        <w:t>vía</w:t>
      </w:r>
      <w:r>
        <w:rPr>
          <w:spacing w:val="-10"/>
          <w:sz w:val="20"/>
        </w:rPr>
        <w:t> </w:t>
      </w:r>
      <w:r>
        <w:rPr>
          <w:sz w:val="20"/>
        </w:rPr>
        <w:t>legislativa u otros medios apropiados”, de “providencias, tanto a nivel interno como mediante la cooperación internacional, especialmente económica y técnica, para lograr progresivamente (su) plena efectividad” y ello “en la medida de los recursos disponibles”.</w:t>
      </w:r>
    </w:p>
    <w:p>
      <w:pPr>
        <w:pStyle w:val="BodyText"/>
        <w:spacing w:before="11"/>
        <w:rPr>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Ahora bien, procede dejar constancia, a los efectos de la aplicación de este método de interpretación, que, acorde a lo dispuesto en el párrafo 5 del Preámbulo de la Convención</w:t>
      </w:r>
      <w:r>
        <w:rPr>
          <w:position w:val="7"/>
          <w:sz w:val="13"/>
        </w:rPr>
        <w:t>45</w:t>
      </w:r>
      <w:r>
        <w:rPr>
          <w:sz w:val="20"/>
        </w:rPr>
        <w:t>, que en la Carta de la OEA se incorporaron </w:t>
      </w:r>
      <w:r>
        <w:rPr>
          <w:i/>
          <w:sz w:val="16"/>
        </w:rPr>
        <w:t>“</w:t>
      </w:r>
      <w:r>
        <w:rPr>
          <w:sz w:val="20"/>
        </w:rPr>
        <w:t>normas más amplias sobre derechos económicos, sociales y educacionales” y que en la Convención se determinó “la</w:t>
      </w:r>
      <w:r>
        <w:rPr>
          <w:spacing w:val="-13"/>
          <w:sz w:val="20"/>
        </w:rPr>
        <w:t> </w:t>
      </w:r>
      <w:r>
        <w:rPr>
          <w:sz w:val="20"/>
        </w:rPr>
        <w:t>estructura,</w:t>
      </w:r>
      <w:r>
        <w:rPr>
          <w:spacing w:val="-11"/>
          <w:sz w:val="20"/>
        </w:rPr>
        <w:t> </w:t>
      </w:r>
      <w:r>
        <w:rPr>
          <w:sz w:val="20"/>
        </w:rPr>
        <w:t>competencia</w:t>
      </w:r>
      <w:r>
        <w:rPr>
          <w:spacing w:val="-13"/>
          <w:sz w:val="20"/>
        </w:rPr>
        <w:t> </w:t>
      </w:r>
      <w:r>
        <w:rPr>
          <w:sz w:val="20"/>
        </w:rPr>
        <w:t>y</w:t>
      </w:r>
      <w:r>
        <w:rPr>
          <w:spacing w:val="-13"/>
          <w:sz w:val="20"/>
        </w:rPr>
        <w:t> </w:t>
      </w:r>
      <w:r>
        <w:rPr>
          <w:sz w:val="20"/>
        </w:rPr>
        <w:t>procedimiento</w:t>
      </w:r>
      <w:r>
        <w:rPr>
          <w:spacing w:val="-13"/>
          <w:sz w:val="20"/>
        </w:rPr>
        <w:t> </w:t>
      </w:r>
      <w:r>
        <w:rPr>
          <w:sz w:val="20"/>
        </w:rPr>
        <w:t>de</w:t>
      </w:r>
      <w:r>
        <w:rPr>
          <w:spacing w:val="-12"/>
          <w:sz w:val="20"/>
        </w:rPr>
        <w:t> </w:t>
      </w:r>
      <w:r>
        <w:rPr>
          <w:sz w:val="20"/>
        </w:rPr>
        <w:t>los</w:t>
      </w:r>
      <w:r>
        <w:rPr>
          <w:spacing w:val="-13"/>
          <w:sz w:val="20"/>
        </w:rPr>
        <w:t> </w:t>
      </w:r>
      <w:r>
        <w:rPr>
          <w:sz w:val="20"/>
        </w:rPr>
        <w:t>órganos</w:t>
      </w:r>
      <w:r>
        <w:rPr>
          <w:spacing w:val="-14"/>
          <w:sz w:val="20"/>
        </w:rPr>
        <w:t> </w:t>
      </w:r>
      <w:r>
        <w:rPr>
          <w:sz w:val="20"/>
        </w:rPr>
        <w:t>encargados</w:t>
      </w:r>
      <w:r>
        <w:rPr>
          <w:spacing w:val="-13"/>
          <w:sz w:val="20"/>
        </w:rPr>
        <w:t> </w:t>
      </w:r>
      <w:r>
        <w:rPr>
          <w:sz w:val="20"/>
        </w:rPr>
        <w:t>de</w:t>
      </w:r>
      <w:r>
        <w:rPr>
          <w:spacing w:val="-12"/>
          <w:sz w:val="20"/>
        </w:rPr>
        <w:t> </w:t>
      </w:r>
      <w:r>
        <w:rPr>
          <w:sz w:val="20"/>
        </w:rPr>
        <w:t>esa</w:t>
      </w:r>
      <w:r>
        <w:rPr>
          <w:spacing w:val="-13"/>
          <w:sz w:val="20"/>
        </w:rPr>
        <w:t> </w:t>
      </w:r>
      <w:r>
        <w:rPr>
          <w:sz w:val="20"/>
        </w:rPr>
        <w:t>materia”.</w:t>
      </w:r>
    </w:p>
    <w:p>
      <w:pPr>
        <w:pStyle w:val="BodyText"/>
        <w:spacing w:before="11"/>
        <w:rPr>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Es</w:t>
      </w:r>
      <w:r>
        <w:rPr>
          <w:spacing w:val="-6"/>
          <w:sz w:val="20"/>
        </w:rPr>
        <w:t> </w:t>
      </w:r>
      <w:r>
        <w:rPr>
          <w:sz w:val="20"/>
        </w:rPr>
        <w:t>decir,</w:t>
      </w:r>
      <w:r>
        <w:rPr>
          <w:spacing w:val="-8"/>
          <w:sz w:val="20"/>
        </w:rPr>
        <w:t> </w:t>
      </w:r>
      <w:r>
        <w:rPr>
          <w:sz w:val="20"/>
        </w:rPr>
        <w:t>ha</w:t>
      </w:r>
      <w:r>
        <w:rPr>
          <w:spacing w:val="-8"/>
          <w:sz w:val="20"/>
        </w:rPr>
        <w:t> </w:t>
      </w:r>
      <w:r>
        <w:rPr>
          <w:sz w:val="20"/>
        </w:rPr>
        <w:t>sido</w:t>
      </w:r>
      <w:r>
        <w:rPr>
          <w:spacing w:val="-7"/>
          <w:sz w:val="20"/>
        </w:rPr>
        <w:t> </w:t>
      </w:r>
      <w:r>
        <w:rPr>
          <w:sz w:val="20"/>
        </w:rPr>
        <w:t>la</w:t>
      </w:r>
      <w:r>
        <w:rPr>
          <w:spacing w:val="-7"/>
          <w:sz w:val="20"/>
        </w:rPr>
        <w:t> </w:t>
      </w:r>
      <w:r>
        <w:rPr>
          <w:sz w:val="20"/>
        </w:rPr>
        <w:t>propia</w:t>
      </w:r>
      <w:r>
        <w:rPr>
          <w:spacing w:val="-7"/>
          <w:sz w:val="20"/>
        </w:rPr>
        <w:t> </w:t>
      </w:r>
      <w:r>
        <w:rPr>
          <w:sz w:val="20"/>
        </w:rPr>
        <w:t>Convención</w:t>
      </w:r>
      <w:r>
        <w:rPr>
          <w:spacing w:val="-7"/>
          <w:sz w:val="20"/>
        </w:rPr>
        <w:t> </w:t>
      </w:r>
      <w:r>
        <w:rPr>
          <w:sz w:val="20"/>
        </w:rPr>
        <w:t>la</w:t>
      </w:r>
      <w:r>
        <w:rPr>
          <w:spacing w:val="-7"/>
          <w:sz w:val="20"/>
        </w:rPr>
        <w:t> </w:t>
      </w:r>
      <w:r>
        <w:rPr>
          <w:sz w:val="20"/>
        </w:rPr>
        <w:t>que,</w:t>
      </w:r>
      <w:r>
        <w:rPr>
          <w:spacing w:val="-8"/>
          <w:sz w:val="20"/>
        </w:rPr>
        <w:t> </w:t>
      </w:r>
      <w:r>
        <w:rPr>
          <w:sz w:val="20"/>
        </w:rPr>
        <w:t>en</w:t>
      </w:r>
      <w:r>
        <w:rPr>
          <w:spacing w:val="-6"/>
          <w:sz w:val="20"/>
        </w:rPr>
        <w:t> </w:t>
      </w:r>
      <w:r>
        <w:rPr>
          <w:sz w:val="20"/>
        </w:rPr>
        <w:t>cumplimiento</w:t>
      </w:r>
      <w:r>
        <w:rPr>
          <w:spacing w:val="-8"/>
          <w:sz w:val="20"/>
        </w:rPr>
        <w:t> </w:t>
      </w:r>
      <w:r>
        <w:rPr>
          <w:sz w:val="20"/>
        </w:rPr>
        <w:t>de</w:t>
      </w:r>
      <w:r>
        <w:rPr>
          <w:spacing w:val="-8"/>
          <w:sz w:val="20"/>
        </w:rPr>
        <w:t> </w:t>
      </w:r>
      <w:r>
        <w:rPr>
          <w:sz w:val="20"/>
        </w:rPr>
        <w:t>dicho</w:t>
      </w:r>
      <w:r>
        <w:rPr>
          <w:spacing w:val="-7"/>
          <w:sz w:val="20"/>
        </w:rPr>
        <w:t> </w:t>
      </w:r>
      <w:r>
        <w:rPr>
          <w:sz w:val="20"/>
        </w:rPr>
        <w:t>mandato y como ya se ha afirmado, le dio a los derechos civiles y políticos un tratamiento diferenciado de los derechos económicos sociales y culturales, expresado, como ya se afirmó, el primero en el Capítulo II de la Parte I de la Convención y el segundo en el Capítulo</w:t>
      </w:r>
      <w:r>
        <w:rPr>
          <w:spacing w:val="-6"/>
          <w:sz w:val="20"/>
        </w:rPr>
        <w:t> </w:t>
      </w:r>
      <w:r>
        <w:rPr>
          <w:sz w:val="20"/>
        </w:rPr>
        <w:t>III</w:t>
      </w:r>
      <w:r>
        <w:rPr>
          <w:spacing w:val="-7"/>
          <w:sz w:val="20"/>
        </w:rPr>
        <w:t> </w:t>
      </w:r>
      <w:r>
        <w:rPr>
          <w:sz w:val="20"/>
        </w:rPr>
        <w:t>de</w:t>
      </w:r>
      <w:r>
        <w:rPr>
          <w:spacing w:val="-6"/>
          <w:sz w:val="20"/>
        </w:rPr>
        <w:t> </w:t>
      </w:r>
      <w:r>
        <w:rPr>
          <w:sz w:val="20"/>
        </w:rPr>
        <w:t>la</w:t>
      </w:r>
      <w:r>
        <w:rPr>
          <w:spacing w:val="-6"/>
          <w:sz w:val="20"/>
        </w:rPr>
        <w:t> </w:t>
      </w:r>
      <w:r>
        <w:rPr>
          <w:sz w:val="20"/>
        </w:rPr>
        <w:t>misma</w:t>
      </w:r>
      <w:r>
        <w:rPr>
          <w:spacing w:val="-8"/>
          <w:sz w:val="20"/>
        </w:rPr>
        <w:t> </w:t>
      </w:r>
      <w:r>
        <w:rPr>
          <w:sz w:val="20"/>
        </w:rPr>
        <w:t>parte</w:t>
      </w:r>
      <w:r>
        <w:rPr>
          <w:spacing w:val="-6"/>
          <w:sz w:val="20"/>
        </w:rPr>
        <w:t> </w:t>
      </w:r>
      <w:r>
        <w:rPr>
          <w:sz w:val="20"/>
        </w:rPr>
        <w:t>e</w:t>
      </w:r>
      <w:r>
        <w:rPr>
          <w:spacing w:val="-6"/>
          <w:sz w:val="20"/>
        </w:rPr>
        <w:t> </w:t>
      </w:r>
      <w:r>
        <w:rPr>
          <w:sz w:val="20"/>
        </w:rPr>
        <w:t>instrumento.</w:t>
      </w:r>
      <w:r>
        <w:rPr>
          <w:spacing w:val="-7"/>
          <w:sz w:val="20"/>
        </w:rPr>
        <w:t> </w:t>
      </w:r>
      <w:r>
        <w:rPr>
          <w:sz w:val="20"/>
        </w:rPr>
        <w:t>De</w:t>
      </w:r>
      <w:r>
        <w:rPr>
          <w:spacing w:val="-5"/>
          <w:sz w:val="20"/>
        </w:rPr>
        <w:t> </w:t>
      </w:r>
      <w:r>
        <w:rPr>
          <w:sz w:val="20"/>
        </w:rPr>
        <w:t>suerte,</w:t>
      </w:r>
      <w:r>
        <w:rPr>
          <w:spacing w:val="-6"/>
          <w:sz w:val="20"/>
        </w:rPr>
        <w:t> </w:t>
      </w:r>
      <w:r>
        <w:rPr>
          <w:sz w:val="20"/>
        </w:rPr>
        <w:t>por</w:t>
      </w:r>
      <w:r>
        <w:rPr>
          <w:spacing w:val="-6"/>
          <w:sz w:val="20"/>
        </w:rPr>
        <w:t> </w:t>
      </w:r>
      <w:r>
        <w:rPr>
          <w:sz w:val="20"/>
        </w:rPr>
        <w:t>tanto,</w:t>
      </w:r>
      <w:r>
        <w:rPr>
          <w:spacing w:val="-5"/>
          <w:sz w:val="20"/>
        </w:rPr>
        <w:t> </w:t>
      </w:r>
      <w:r>
        <w:rPr>
          <w:sz w:val="20"/>
        </w:rPr>
        <w:t>que</w:t>
      </w:r>
      <w:r>
        <w:rPr>
          <w:spacing w:val="-6"/>
          <w:sz w:val="20"/>
        </w:rPr>
        <w:t> </w:t>
      </w:r>
      <w:r>
        <w:rPr>
          <w:sz w:val="20"/>
        </w:rPr>
        <w:t>la</w:t>
      </w:r>
      <w:r>
        <w:rPr>
          <w:spacing w:val="-6"/>
          <w:sz w:val="20"/>
        </w:rPr>
        <w:t> </w:t>
      </w:r>
      <w:r>
        <w:rPr>
          <w:sz w:val="20"/>
        </w:rPr>
        <w:t>indivisibilidad de los derechos civiles y políticos y de los derechos económicos, sociales y culturales a que</w:t>
      </w:r>
      <w:r>
        <w:rPr>
          <w:spacing w:val="28"/>
          <w:sz w:val="20"/>
        </w:rPr>
        <w:t> </w:t>
      </w:r>
      <w:r>
        <w:rPr>
          <w:sz w:val="20"/>
        </w:rPr>
        <w:t>hace</w:t>
      </w:r>
      <w:r>
        <w:rPr>
          <w:spacing w:val="31"/>
          <w:sz w:val="20"/>
        </w:rPr>
        <w:t> </w:t>
      </w:r>
      <w:r>
        <w:rPr>
          <w:sz w:val="20"/>
        </w:rPr>
        <w:t>referencia</w:t>
      </w:r>
      <w:r>
        <w:rPr>
          <w:spacing w:val="27"/>
          <w:sz w:val="20"/>
        </w:rPr>
        <w:t> </w:t>
      </w:r>
      <w:r>
        <w:rPr>
          <w:sz w:val="20"/>
        </w:rPr>
        <w:t>el</w:t>
      </w:r>
      <w:r>
        <w:rPr>
          <w:spacing w:val="30"/>
          <w:sz w:val="20"/>
        </w:rPr>
        <w:t> </w:t>
      </w:r>
      <w:r>
        <w:rPr>
          <w:sz w:val="20"/>
        </w:rPr>
        <w:t>Preámbulo</w:t>
      </w:r>
      <w:r>
        <w:rPr>
          <w:spacing w:val="28"/>
          <w:sz w:val="20"/>
        </w:rPr>
        <w:t> </w:t>
      </w:r>
      <w:r>
        <w:rPr>
          <w:sz w:val="20"/>
        </w:rPr>
        <w:t>de</w:t>
      </w:r>
      <w:r>
        <w:rPr>
          <w:spacing w:val="29"/>
          <w:sz w:val="20"/>
        </w:rPr>
        <w:t> </w:t>
      </w:r>
      <w:r>
        <w:rPr>
          <w:sz w:val="20"/>
        </w:rPr>
        <w:t>la</w:t>
      </w:r>
      <w:r>
        <w:rPr>
          <w:spacing w:val="28"/>
          <w:sz w:val="20"/>
        </w:rPr>
        <w:t> </w:t>
      </w:r>
      <w:r>
        <w:rPr>
          <w:sz w:val="20"/>
        </w:rPr>
        <w:t>Convención,</w:t>
      </w:r>
      <w:r>
        <w:rPr>
          <w:spacing w:val="28"/>
          <w:sz w:val="20"/>
        </w:rPr>
        <w:t> </w:t>
      </w:r>
      <w:r>
        <w:rPr>
          <w:sz w:val="20"/>
        </w:rPr>
        <w:t>es</w:t>
      </w:r>
      <w:r>
        <w:rPr>
          <w:spacing w:val="28"/>
          <w:sz w:val="20"/>
        </w:rPr>
        <w:t> </w:t>
      </w:r>
      <w:r>
        <w:rPr>
          <w:sz w:val="20"/>
        </w:rPr>
        <w:t>al</w:t>
      </w:r>
      <w:r>
        <w:rPr>
          <w:spacing w:val="30"/>
          <w:sz w:val="20"/>
        </w:rPr>
        <w:t> </w:t>
      </w:r>
      <w:r>
        <w:rPr>
          <w:sz w:val="20"/>
        </w:rPr>
        <w:t>“goce”</w:t>
      </w:r>
      <w:r>
        <w:rPr>
          <w:spacing w:val="29"/>
          <w:sz w:val="20"/>
        </w:rPr>
        <w:t> </w:t>
      </w:r>
      <w:r>
        <w:rPr>
          <w:sz w:val="20"/>
        </w:rPr>
        <w:t>de</w:t>
      </w:r>
      <w:r>
        <w:rPr>
          <w:spacing w:val="29"/>
          <w:sz w:val="20"/>
        </w:rPr>
        <w:t> </w:t>
      </w:r>
      <w:r>
        <w:rPr>
          <w:sz w:val="20"/>
        </w:rPr>
        <w:t>ambos</w:t>
      </w:r>
      <w:r>
        <w:rPr>
          <w:spacing w:val="28"/>
          <w:sz w:val="20"/>
        </w:rPr>
        <w:t> </w:t>
      </w:r>
      <w:r>
        <w:rPr>
          <w:sz w:val="20"/>
        </w:rPr>
        <w:t>tipos</w:t>
      </w:r>
      <w:r>
        <w:rPr>
          <w:spacing w:val="30"/>
          <w:sz w:val="20"/>
        </w:rPr>
        <w:t> </w:t>
      </w:r>
      <w:r>
        <w:rPr>
          <w:sz w:val="20"/>
        </w:rPr>
        <w:t>de</w:t>
      </w:r>
    </w:p>
    <w:p>
      <w:pPr>
        <w:pStyle w:val="BodyText"/>
        <w:spacing w:before="7"/>
        <w:rPr>
          <w:sz w:val="18"/>
        </w:rPr>
      </w:pPr>
      <w:r>
        <w:rPr/>
        <w:pict>
          <v:line style="position:absolute;mso-position-horizontal-relative:page;mso-position-vertical-relative:paragraph;z-index:4048;mso-wrap-distance-left:0;mso-wrap-distance-right:0" from="56.700001pt,13.644107pt" to="200.720001pt,13.644107pt" stroked="true" strokeweight=".72pt" strokecolor="#000000">
            <v:stroke dashstyle="solid"/>
            <w10:wrap type="topAndBottom"/>
          </v:line>
        </w:pict>
      </w:r>
    </w:p>
    <w:p>
      <w:pPr>
        <w:pStyle w:val="ListParagraph"/>
        <w:numPr>
          <w:ilvl w:val="0"/>
          <w:numId w:val="56"/>
        </w:numPr>
        <w:tabs>
          <w:tab w:pos="949" w:val="left" w:leader="none"/>
        </w:tabs>
        <w:spacing w:line="240" w:lineRule="auto" w:before="70" w:after="0"/>
        <w:ind w:left="949" w:right="0" w:hanging="211"/>
        <w:jc w:val="both"/>
        <w:rPr>
          <w:i/>
          <w:sz w:val="16"/>
        </w:rPr>
      </w:pPr>
      <w:r>
        <w:rPr>
          <w:i/>
          <w:sz w:val="16"/>
        </w:rPr>
        <w:t>preparar los estudios e informes que considere convenientes para el desempeño de sus</w:t>
      </w:r>
      <w:r>
        <w:rPr>
          <w:i/>
          <w:spacing w:val="-25"/>
          <w:sz w:val="16"/>
        </w:rPr>
        <w:t> </w:t>
      </w:r>
      <w:r>
        <w:rPr>
          <w:i/>
          <w:sz w:val="16"/>
        </w:rPr>
        <w:t>funciones;</w:t>
      </w:r>
    </w:p>
    <w:p>
      <w:pPr>
        <w:pStyle w:val="ListParagraph"/>
        <w:numPr>
          <w:ilvl w:val="0"/>
          <w:numId w:val="56"/>
        </w:numPr>
        <w:tabs>
          <w:tab w:pos="980" w:val="left" w:leader="none"/>
        </w:tabs>
        <w:spacing w:line="240" w:lineRule="auto" w:before="0" w:after="0"/>
        <w:ind w:left="681" w:right="126" w:firstLine="57"/>
        <w:jc w:val="both"/>
        <w:rPr>
          <w:i/>
          <w:sz w:val="16"/>
        </w:rPr>
      </w:pPr>
      <w:r>
        <w:rPr>
          <w:i/>
          <w:sz w:val="16"/>
        </w:rPr>
        <w:t>solicitar de los gobiernos de los Estados miembros que le proporcionen informes sobre las medidas que </w:t>
      </w:r>
      <w:r>
        <w:rPr>
          <w:i/>
          <w:sz w:val="16"/>
        </w:rPr>
        <w:t>adopten en materia de derechos</w:t>
      </w:r>
      <w:r>
        <w:rPr>
          <w:i/>
          <w:spacing w:val="-11"/>
          <w:sz w:val="16"/>
        </w:rPr>
        <w:t> </w:t>
      </w:r>
      <w:r>
        <w:rPr>
          <w:i/>
          <w:sz w:val="16"/>
        </w:rPr>
        <w:t>humanos;</w:t>
      </w:r>
    </w:p>
    <w:p>
      <w:pPr>
        <w:pStyle w:val="ListParagraph"/>
        <w:numPr>
          <w:ilvl w:val="0"/>
          <w:numId w:val="56"/>
        </w:numPr>
        <w:tabs>
          <w:tab w:pos="947" w:val="left" w:leader="none"/>
        </w:tabs>
        <w:spacing w:line="240" w:lineRule="auto" w:before="0" w:after="0"/>
        <w:ind w:left="681" w:right="123" w:firstLine="57"/>
        <w:jc w:val="both"/>
        <w:rPr>
          <w:i/>
          <w:sz w:val="16"/>
        </w:rPr>
      </w:pPr>
      <w:r>
        <w:rPr>
          <w:i/>
          <w:sz w:val="16"/>
        </w:rPr>
        <w:t>atender</w:t>
      </w:r>
      <w:r>
        <w:rPr>
          <w:i/>
          <w:spacing w:val="-16"/>
          <w:sz w:val="16"/>
        </w:rPr>
        <w:t> </w:t>
      </w:r>
      <w:r>
        <w:rPr>
          <w:i/>
          <w:sz w:val="16"/>
        </w:rPr>
        <w:t>las</w:t>
      </w:r>
      <w:r>
        <w:rPr>
          <w:i/>
          <w:spacing w:val="-16"/>
          <w:sz w:val="16"/>
        </w:rPr>
        <w:t> </w:t>
      </w:r>
      <w:r>
        <w:rPr>
          <w:i/>
          <w:sz w:val="16"/>
        </w:rPr>
        <w:t>consultas</w:t>
      </w:r>
      <w:r>
        <w:rPr>
          <w:i/>
          <w:spacing w:val="-16"/>
          <w:sz w:val="16"/>
        </w:rPr>
        <w:t> </w:t>
      </w:r>
      <w:r>
        <w:rPr>
          <w:i/>
          <w:sz w:val="16"/>
        </w:rPr>
        <w:t>que,</w:t>
      </w:r>
      <w:r>
        <w:rPr>
          <w:i/>
          <w:spacing w:val="-16"/>
          <w:sz w:val="16"/>
        </w:rPr>
        <w:t> </w:t>
      </w:r>
      <w:r>
        <w:rPr>
          <w:i/>
          <w:sz w:val="16"/>
        </w:rPr>
        <w:t>por</w:t>
      </w:r>
      <w:r>
        <w:rPr>
          <w:i/>
          <w:spacing w:val="-16"/>
          <w:sz w:val="16"/>
        </w:rPr>
        <w:t> </w:t>
      </w:r>
      <w:r>
        <w:rPr>
          <w:i/>
          <w:sz w:val="16"/>
        </w:rPr>
        <w:t>medio</w:t>
      </w:r>
      <w:r>
        <w:rPr>
          <w:i/>
          <w:spacing w:val="-16"/>
          <w:sz w:val="16"/>
        </w:rPr>
        <w:t> </w:t>
      </w:r>
      <w:r>
        <w:rPr>
          <w:i/>
          <w:sz w:val="16"/>
        </w:rPr>
        <w:t>de</w:t>
      </w:r>
      <w:r>
        <w:rPr>
          <w:i/>
          <w:spacing w:val="-17"/>
          <w:sz w:val="16"/>
        </w:rPr>
        <w:t> </w:t>
      </w:r>
      <w:r>
        <w:rPr>
          <w:i/>
          <w:sz w:val="16"/>
        </w:rPr>
        <w:t>la</w:t>
      </w:r>
      <w:r>
        <w:rPr>
          <w:i/>
          <w:spacing w:val="-17"/>
          <w:sz w:val="16"/>
        </w:rPr>
        <w:t> </w:t>
      </w:r>
      <w:r>
        <w:rPr>
          <w:i/>
          <w:sz w:val="16"/>
        </w:rPr>
        <w:t>Secretaría</w:t>
      </w:r>
      <w:r>
        <w:rPr>
          <w:i/>
          <w:spacing w:val="-17"/>
          <w:sz w:val="16"/>
        </w:rPr>
        <w:t> </w:t>
      </w:r>
      <w:r>
        <w:rPr>
          <w:i/>
          <w:sz w:val="16"/>
        </w:rPr>
        <w:t>General</w:t>
      </w:r>
      <w:r>
        <w:rPr>
          <w:i/>
          <w:spacing w:val="-16"/>
          <w:sz w:val="16"/>
        </w:rPr>
        <w:t> </w:t>
      </w:r>
      <w:r>
        <w:rPr>
          <w:i/>
          <w:sz w:val="16"/>
        </w:rPr>
        <w:t>de</w:t>
      </w:r>
      <w:r>
        <w:rPr>
          <w:i/>
          <w:spacing w:val="-17"/>
          <w:sz w:val="16"/>
        </w:rPr>
        <w:t> </w:t>
      </w:r>
      <w:r>
        <w:rPr>
          <w:i/>
          <w:sz w:val="16"/>
        </w:rPr>
        <w:t>la</w:t>
      </w:r>
      <w:r>
        <w:rPr>
          <w:i/>
          <w:spacing w:val="-17"/>
          <w:sz w:val="16"/>
        </w:rPr>
        <w:t> </w:t>
      </w:r>
      <w:r>
        <w:rPr>
          <w:i/>
          <w:sz w:val="16"/>
        </w:rPr>
        <w:t>Organización</w:t>
      </w:r>
      <w:r>
        <w:rPr>
          <w:i/>
          <w:spacing w:val="-17"/>
          <w:sz w:val="16"/>
        </w:rPr>
        <w:t> </w:t>
      </w:r>
      <w:r>
        <w:rPr>
          <w:i/>
          <w:sz w:val="16"/>
        </w:rPr>
        <w:t>de</w:t>
      </w:r>
      <w:r>
        <w:rPr>
          <w:i/>
          <w:spacing w:val="-17"/>
          <w:sz w:val="16"/>
        </w:rPr>
        <w:t> </w:t>
      </w:r>
      <w:r>
        <w:rPr>
          <w:i/>
          <w:sz w:val="16"/>
        </w:rPr>
        <w:t>los</w:t>
      </w:r>
      <w:r>
        <w:rPr>
          <w:i/>
          <w:spacing w:val="-15"/>
          <w:sz w:val="16"/>
        </w:rPr>
        <w:t> </w:t>
      </w:r>
      <w:r>
        <w:rPr>
          <w:i/>
          <w:sz w:val="16"/>
        </w:rPr>
        <w:t>Estados</w:t>
      </w:r>
      <w:r>
        <w:rPr>
          <w:i/>
          <w:spacing w:val="-17"/>
          <w:sz w:val="16"/>
        </w:rPr>
        <w:t> </w:t>
      </w:r>
      <w:r>
        <w:rPr>
          <w:i/>
          <w:sz w:val="16"/>
        </w:rPr>
        <w:t>Americanos, </w:t>
      </w:r>
      <w:r>
        <w:rPr>
          <w:i/>
          <w:sz w:val="16"/>
        </w:rPr>
        <w:t>le formulen los Estados miembros en cuestiones relacionadas con los derechos humanos y, dentro de sus posibilidades, les prestará el asesoramiento que éstos le</w:t>
      </w:r>
      <w:r>
        <w:rPr>
          <w:i/>
          <w:spacing w:val="-19"/>
          <w:sz w:val="16"/>
        </w:rPr>
        <w:t> </w:t>
      </w:r>
      <w:r>
        <w:rPr>
          <w:i/>
          <w:sz w:val="16"/>
        </w:rPr>
        <w:t>soliciten;</w:t>
      </w:r>
    </w:p>
    <w:p>
      <w:pPr>
        <w:pStyle w:val="ListParagraph"/>
        <w:numPr>
          <w:ilvl w:val="0"/>
          <w:numId w:val="56"/>
        </w:numPr>
        <w:tabs>
          <w:tab w:pos="928" w:val="left" w:leader="none"/>
        </w:tabs>
        <w:spacing w:line="240" w:lineRule="auto" w:before="0" w:after="0"/>
        <w:ind w:left="681" w:right="119" w:firstLine="57"/>
        <w:jc w:val="both"/>
        <w:rPr>
          <w:i/>
          <w:sz w:val="16"/>
        </w:rPr>
      </w:pPr>
      <w:r>
        <w:rPr>
          <w:i/>
          <w:sz w:val="16"/>
        </w:rPr>
        <w:t>actuar respecto de las peticiones y otras comunicaciones en ejercicio de su autoridad de conformidad con </w:t>
      </w:r>
      <w:r>
        <w:rPr>
          <w:i/>
          <w:sz w:val="16"/>
        </w:rPr>
        <w:t>lo dispuesto en los artículos 44 al 51 de esta Convención,</w:t>
      </w:r>
      <w:r>
        <w:rPr>
          <w:i/>
          <w:spacing w:val="-19"/>
          <w:sz w:val="16"/>
        </w:rPr>
        <w:t> </w:t>
      </w:r>
      <w:r>
        <w:rPr>
          <w:i/>
          <w:sz w:val="16"/>
        </w:rPr>
        <w:t>y</w:t>
      </w:r>
    </w:p>
    <w:p>
      <w:pPr>
        <w:pStyle w:val="ListParagraph"/>
        <w:numPr>
          <w:ilvl w:val="0"/>
          <w:numId w:val="56"/>
        </w:numPr>
        <w:tabs>
          <w:tab w:pos="966" w:val="left" w:leader="none"/>
        </w:tabs>
        <w:spacing w:line="240" w:lineRule="auto" w:before="0" w:after="0"/>
        <w:ind w:left="965" w:right="0" w:hanging="227"/>
        <w:jc w:val="both"/>
        <w:rPr>
          <w:sz w:val="16"/>
        </w:rPr>
      </w:pPr>
      <w:r>
        <w:rPr>
          <w:i/>
          <w:sz w:val="16"/>
        </w:rPr>
        <w:t>rendir un informe anual a la Asamblea General de la Organización de los Estados</w:t>
      </w:r>
      <w:r>
        <w:rPr>
          <w:i/>
          <w:spacing w:val="-31"/>
          <w:sz w:val="16"/>
        </w:rPr>
        <w:t> </w:t>
      </w:r>
      <w:r>
        <w:rPr>
          <w:i/>
          <w:sz w:val="16"/>
        </w:rPr>
        <w:t>Americanos</w:t>
      </w:r>
      <w:r>
        <w:rPr>
          <w:sz w:val="16"/>
        </w:rPr>
        <w:t>.”</w:t>
      </w:r>
    </w:p>
    <w:p>
      <w:pPr>
        <w:spacing w:before="0"/>
        <w:ind w:left="681" w:right="120" w:firstLine="0"/>
        <w:jc w:val="both"/>
        <w:rPr>
          <w:sz w:val="16"/>
        </w:rPr>
      </w:pPr>
      <w:r>
        <w:rPr>
          <w:sz w:val="16"/>
        </w:rPr>
        <w:t>En lo sucesivo, cada vez que se aluda a la Comisión, se entenderá que es a la Comisión Interamericana de Derechos Humanos.</w:t>
      </w:r>
    </w:p>
    <w:p>
      <w:pPr>
        <w:pStyle w:val="BodyText"/>
        <w:rPr>
          <w:sz w:val="16"/>
        </w:rPr>
      </w:pPr>
    </w:p>
    <w:p>
      <w:pPr>
        <w:spacing w:before="0"/>
        <w:ind w:left="681" w:right="117" w:firstLine="0"/>
        <w:jc w:val="both"/>
        <w:rPr>
          <w:i/>
          <w:sz w:val="16"/>
        </w:rPr>
      </w:pPr>
      <w:r>
        <w:rPr>
          <w:position w:val="6"/>
          <w:sz w:val="10"/>
        </w:rPr>
        <w:t>43</w:t>
      </w:r>
      <w:r>
        <w:rPr>
          <w:spacing w:val="9"/>
          <w:position w:val="6"/>
          <w:sz w:val="10"/>
        </w:rPr>
        <w:t> </w:t>
      </w:r>
      <w:r>
        <w:rPr>
          <w:sz w:val="16"/>
        </w:rPr>
        <w:t>Art.62.3:</w:t>
      </w:r>
      <w:r>
        <w:rPr>
          <w:spacing w:val="-12"/>
          <w:sz w:val="16"/>
        </w:rPr>
        <w:t> </w:t>
      </w:r>
      <w:r>
        <w:rPr>
          <w:i/>
          <w:sz w:val="16"/>
        </w:rPr>
        <w:t>“La</w:t>
      </w:r>
      <w:r>
        <w:rPr>
          <w:i/>
          <w:spacing w:val="-10"/>
          <w:sz w:val="16"/>
        </w:rPr>
        <w:t> </w:t>
      </w:r>
      <w:r>
        <w:rPr>
          <w:i/>
          <w:sz w:val="16"/>
        </w:rPr>
        <w:t>Corte</w:t>
      </w:r>
      <w:r>
        <w:rPr>
          <w:i/>
          <w:spacing w:val="-11"/>
          <w:sz w:val="16"/>
        </w:rPr>
        <w:t> </w:t>
      </w:r>
      <w:r>
        <w:rPr>
          <w:i/>
          <w:sz w:val="16"/>
        </w:rPr>
        <w:t>tiene</w:t>
      </w:r>
      <w:r>
        <w:rPr>
          <w:i/>
          <w:spacing w:val="-11"/>
          <w:sz w:val="16"/>
        </w:rPr>
        <w:t> </w:t>
      </w:r>
      <w:r>
        <w:rPr>
          <w:i/>
          <w:sz w:val="16"/>
        </w:rPr>
        <w:t>competencia</w:t>
      </w:r>
      <w:r>
        <w:rPr>
          <w:i/>
          <w:spacing w:val="-12"/>
          <w:sz w:val="16"/>
        </w:rPr>
        <w:t> </w:t>
      </w:r>
      <w:r>
        <w:rPr>
          <w:i/>
          <w:sz w:val="16"/>
        </w:rPr>
        <w:t>para</w:t>
      </w:r>
      <w:r>
        <w:rPr>
          <w:i/>
          <w:spacing w:val="-12"/>
          <w:sz w:val="16"/>
        </w:rPr>
        <w:t> </w:t>
      </w:r>
      <w:r>
        <w:rPr>
          <w:i/>
          <w:sz w:val="16"/>
        </w:rPr>
        <w:t>conocer</w:t>
      </w:r>
      <w:r>
        <w:rPr>
          <w:i/>
          <w:spacing w:val="-12"/>
          <w:sz w:val="16"/>
        </w:rPr>
        <w:t> </w:t>
      </w:r>
      <w:r>
        <w:rPr>
          <w:i/>
          <w:sz w:val="16"/>
        </w:rPr>
        <w:t>de</w:t>
      </w:r>
      <w:r>
        <w:rPr>
          <w:i/>
          <w:spacing w:val="-12"/>
          <w:sz w:val="16"/>
        </w:rPr>
        <w:t> </w:t>
      </w:r>
      <w:r>
        <w:rPr>
          <w:i/>
          <w:sz w:val="16"/>
        </w:rPr>
        <w:t>cualquier</w:t>
      </w:r>
      <w:r>
        <w:rPr>
          <w:i/>
          <w:spacing w:val="-12"/>
          <w:sz w:val="16"/>
        </w:rPr>
        <w:t> </w:t>
      </w:r>
      <w:r>
        <w:rPr>
          <w:i/>
          <w:sz w:val="16"/>
        </w:rPr>
        <w:t>caso</w:t>
      </w:r>
      <w:r>
        <w:rPr>
          <w:i/>
          <w:spacing w:val="-12"/>
          <w:sz w:val="16"/>
        </w:rPr>
        <w:t> </w:t>
      </w:r>
      <w:r>
        <w:rPr>
          <w:i/>
          <w:sz w:val="16"/>
        </w:rPr>
        <w:t>relativo</w:t>
      </w:r>
      <w:r>
        <w:rPr>
          <w:i/>
          <w:spacing w:val="-11"/>
          <w:sz w:val="16"/>
        </w:rPr>
        <w:t> </w:t>
      </w:r>
      <w:r>
        <w:rPr>
          <w:i/>
          <w:sz w:val="16"/>
        </w:rPr>
        <w:t>a</w:t>
      </w:r>
      <w:r>
        <w:rPr>
          <w:i/>
          <w:spacing w:val="-12"/>
          <w:sz w:val="16"/>
        </w:rPr>
        <w:t> </w:t>
      </w:r>
      <w:r>
        <w:rPr>
          <w:i/>
          <w:sz w:val="16"/>
        </w:rPr>
        <w:t>la</w:t>
      </w:r>
      <w:r>
        <w:rPr>
          <w:i/>
          <w:spacing w:val="-12"/>
          <w:sz w:val="16"/>
        </w:rPr>
        <w:t> </w:t>
      </w:r>
      <w:r>
        <w:rPr>
          <w:i/>
          <w:sz w:val="16"/>
        </w:rPr>
        <w:t>interpretación</w:t>
      </w:r>
      <w:r>
        <w:rPr>
          <w:i/>
          <w:spacing w:val="-12"/>
          <w:sz w:val="16"/>
        </w:rPr>
        <w:t> </w:t>
      </w:r>
      <w:r>
        <w:rPr>
          <w:i/>
          <w:sz w:val="16"/>
        </w:rPr>
        <w:t>y</w:t>
      </w:r>
      <w:r>
        <w:rPr>
          <w:i/>
          <w:spacing w:val="-10"/>
          <w:sz w:val="16"/>
        </w:rPr>
        <w:t> </w:t>
      </w:r>
      <w:r>
        <w:rPr>
          <w:i/>
          <w:sz w:val="16"/>
        </w:rPr>
        <w:t>aplicación </w:t>
      </w:r>
      <w:r>
        <w:rPr>
          <w:i/>
          <w:sz w:val="16"/>
        </w:rPr>
        <w:t>de</w:t>
      </w:r>
      <w:r>
        <w:rPr>
          <w:i/>
          <w:spacing w:val="-7"/>
          <w:sz w:val="16"/>
        </w:rPr>
        <w:t> </w:t>
      </w:r>
      <w:r>
        <w:rPr>
          <w:i/>
          <w:sz w:val="16"/>
        </w:rPr>
        <w:t>las</w:t>
      </w:r>
      <w:r>
        <w:rPr>
          <w:i/>
          <w:spacing w:val="-7"/>
          <w:sz w:val="16"/>
        </w:rPr>
        <w:t> </w:t>
      </w:r>
      <w:r>
        <w:rPr>
          <w:i/>
          <w:sz w:val="16"/>
        </w:rPr>
        <w:t>disposiciones</w:t>
      </w:r>
      <w:r>
        <w:rPr>
          <w:i/>
          <w:spacing w:val="-8"/>
          <w:sz w:val="16"/>
        </w:rPr>
        <w:t> </w:t>
      </w:r>
      <w:r>
        <w:rPr>
          <w:i/>
          <w:sz w:val="16"/>
        </w:rPr>
        <w:t>de</w:t>
      </w:r>
      <w:r>
        <w:rPr>
          <w:i/>
          <w:spacing w:val="-7"/>
          <w:sz w:val="16"/>
        </w:rPr>
        <w:t> </w:t>
      </w:r>
      <w:r>
        <w:rPr>
          <w:i/>
          <w:sz w:val="16"/>
        </w:rPr>
        <w:t>esta</w:t>
      </w:r>
      <w:r>
        <w:rPr>
          <w:i/>
          <w:spacing w:val="-7"/>
          <w:sz w:val="16"/>
        </w:rPr>
        <w:t> </w:t>
      </w:r>
      <w:r>
        <w:rPr>
          <w:i/>
          <w:sz w:val="16"/>
        </w:rPr>
        <w:t>Convención</w:t>
      </w:r>
      <w:r>
        <w:rPr>
          <w:i/>
          <w:spacing w:val="-7"/>
          <w:sz w:val="16"/>
        </w:rPr>
        <w:t> </w:t>
      </w:r>
      <w:r>
        <w:rPr>
          <w:i/>
          <w:sz w:val="16"/>
        </w:rPr>
        <w:t>que</w:t>
      </w:r>
      <w:r>
        <w:rPr>
          <w:i/>
          <w:spacing w:val="-6"/>
          <w:sz w:val="16"/>
        </w:rPr>
        <w:t> </w:t>
      </w:r>
      <w:r>
        <w:rPr>
          <w:i/>
          <w:sz w:val="16"/>
        </w:rPr>
        <w:t>le</w:t>
      </w:r>
      <w:r>
        <w:rPr>
          <w:i/>
          <w:spacing w:val="-7"/>
          <w:sz w:val="16"/>
        </w:rPr>
        <w:t> </w:t>
      </w:r>
      <w:r>
        <w:rPr>
          <w:i/>
          <w:sz w:val="16"/>
        </w:rPr>
        <w:t>sea</w:t>
      </w:r>
      <w:r>
        <w:rPr>
          <w:i/>
          <w:spacing w:val="-7"/>
          <w:sz w:val="16"/>
        </w:rPr>
        <w:t> </w:t>
      </w:r>
      <w:r>
        <w:rPr>
          <w:i/>
          <w:sz w:val="16"/>
        </w:rPr>
        <w:t>sometido,</w:t>
      </w:r>
      <w:r>
        <w:rPr>
          <w:i/>
          <w:spacing w:val="-7"/>
          <w:sz w:val="16"/>
        </w:rPr>
        <w:t> </w:t>
      </w:r>
      <w:r>
        <w:rPr>
          <w:i/>
          <w:sz w:val="16"/>
        </w:rPr>
        <w:t>siempre</w:t>
      </w:r>
      <w:r>
        <w:rPr>
          <w:i/>
          <w:spacing w:val="-7"/>
          <w:sz w:val="16"/>
        </w:rPr>
        <w:t> </w:t>
      </w:r>
      <w:r>
        <w:rPr>
          <w:i/>
          <w:sz w:val="16"/>
        </w:rPr>
        <w:t>que</w:t>
      </w:r>
      <w:r>
        <w:rPr>
          <w:i/>
          <w:spacing w:val="-6"/>
          <w:sz w:val="16"/>
        </w:rPr>
        <w:t> </w:t>
      </w:r>
      <w:r>
        <w:rPr>
          <w:i/>
          <w:sz w:val="16"/>
        </w:rPr>
        <w:t>los</w:t>
      </w:r>
      <w:r>
        <w:rPr>
          <w:i/>
          <w:spacing w:val="-7"/>
          <w:sz w:val="16"/>
        </w:rPr>
        <w:t> </w:t>
      </w:r>
      <w:r>
        <w:rPr>
          <w:i/>
          <w:sz w:val="16"/>
        </w:rPr>
        <w:t>Estados</w:t>
      </w:r>
      <w:r>
        <w:rPr>
          <w:i/>
          <w:spacing w:val="-4"/>
          <w:sz w:val="16"/>
        </w:rPr>
        <w:t> </w:t>
      </w:r>
      <w:r>
        <w:rPr>
          <w:i/>
          <w:sz w:val="16"/>
        </w:rPr>
        <w:t>Partes</w:t>
      </w:r>
      <w:r>
        <w:rPr>
          <w:i/>
          <w:spacing w:val="-6"/>
          <w:sz w:val="16"/>
        </w:rPr>
        <w:t> </w:t>
      </w:r>
      <w:r>
        <w:rPr>
          <w:i/>
          <w:sz w:val="16"/>
        </w:rPr>
        <w:t>en</w:t>
      </w:r>
      <w:r>
        <w:rPr>
          <w:i/>
          <w:spacing w:val="-8"/>
          <w:sz w:val="16"/>
        </w:rPr>
        <w:t> </w:t>
      </w:r>
      <w:r>
        <w:rPr>
          <w:i/>
          <w:sz w:val="16"/>
        </w:rPr>
        <w:t>el</w:t>
      </w:r>
      <w:r>
        <w:rPr>
          <w:i/>
          <w:spacing w:val="-7"/>
          <w:sz w:val="16"/>
        </w:rPr>
        <w:t> </w:t>
      </w:r>
      <w:r>
        <w:rPr>
          <w:i/>
          <w:sz w:val="16"/>
        </w:rPr>
        <w:t>caso</w:t>
      </w:r>
      <w:r>
        <w:rPr>
          <w:i/>
          <w:spacing w:val="-6"/>
          <w:sz w:val="16"/>
        </w:rPr>
        <w:t> </w:t>
      </w:r>
      <w:r>
        <w:rPr>
          <w:i/>
          <w:sz w:val="16"/>
        </w:rPr>
        <w:t>hayan reconocido o reconozcan dicha competencia, ora por declaración especial, como se indica en los incisos anteriores, ora por convención</w:t>
      </w:r>
      <w:r>
        <w:rPr>
          <w:i/>
          <w:spacing w:val="-13"/>
          <w:sz w:val="16"/>
        </w:rPr>
        <w:t> </w:t>
      </w:r>
      <w:r>
        <w:rPr>
          <w:i/>
          <w:sz w:val="16"/>
        </w:rPr>
        <w:t>especial.”</w:t>
      </w:r>
    </w:p>
    <w:p>
      <w:pPr>
        <w:pStyle w:val="BodyText"/>
        <w:spacing w:before="11"/>
        <w:rPr>
          <w:i/>
          <w:sz w:val="15"/>
        </w:rPr>
      </w:pPr>
    </w:p>
    <w:p>
      <w:pPr>
        <w:spacing w:before="1"/>
        <w:ind w:left="681" w:right="118" w:firstLine="0"/>
        <w:jc w:val="both"/>
        <w:rPr>
          <w:i/>
          <w:sz w:val="16"/>
        </w:rPr>
      </w:pPr>
      <w:r>
        <w:rPr>
          <w:position w:val="6"/>
          <w:sz w:val="10"/>
        </w:rPr>
        <w:t>44 </w:t>
      </w:r>
      <w:r>
        <w:rPr>
          <w:sz w:val="16"/>
        </w:rPr>
        <w:t>Art. 65: “</w:t>
      </w:r>
      <w:r>
        <w:rPr>
          <w:i/>
          <w:sz w:val="16"/>
        </w:rPr>
        <w:t>La Corte someterá a la consideración de la Asamblea General de la Organización en cada período </w:t>
      </w:r>
      <w:r>
        <w:rPr>
          <w:i/>
          <w:sz w:val="16"/>
        </w:rPr>
        <w:t>ordinario de sesiones un informe sobre su labor en el año anterior. De manera especial y con las recomendaciones pertinentes, señalará los casos en que un Estado no haya dado cumplimiento a sus fallos.”</w:t>
      </w:r>
    </w:p>
    <w:p>
      <w:pPr>
        <w:pStyle w:val="BodyText"/>
        <w:rPr>
          <w:i/>
          <w:sz w:val="16"/>
        </w:rPr>
      </w:pPr>
    </w:p>
    <w:p>
      <w:pPr>
        <w:spacing w:before="0"/>
        <w:ind w:left="681" w:right="0" w:firstLine="0"/>
        <w:jc w:val="both"/>
        <w:rPr>
          <w:sz w:val="16"/>
        </w:rPr>
      </w:pPr>
      <w:r>
        <w:rPr>
          <w:position w:val="6"/>
          <w:sz w:val="10"/>
        </w:rPr>
        <w:t>45  </w:t>
      </w:r>
      <w:r>
        <w:rPr>
          <w:i/>
          <w:sz w:val="16"/>
        </w:rPr>
        <w:t>Supra, </w:t>
      </w:r>
      <w:r>
        <w:rPr>
          <w:sz w:val="16"/>
        </w:rPr>
        <w:t>Nota N° 20.</w:t>
      </w:r>
    </w:p>
    <w:p>
      <w:pPr>
        <w:spacing w:after="0"/>
        <w:jc w:val="both"/>
        <w:rPr>
          <w:sz w:val="16"/>
        </w:rPr>
        <w:sectPr>
          <w:footerReference w:type="default" r:id="rId38"/>
          <w:pgSz w:w="12240" w:h="15840"/>
          <w:pgMar w:footer="1000" w:header="0" w:top="1220" w:bottom="1200" w:left="1020" w:right="1580"/>
        </w:sectPr>
      </w:pPr>
    </w:p>
    <w:p>
      <w:pPr>
        <w:pStyle w:val="BodyText"/>
        <w:spacing w:before="83"/>
        <w:ind w:left="681" w:right="123"/>
        <w:jc w:val="both"/>
      </w:pPr>
      <w:r>
        <w:rPr/>
        <w:t>derechos humanos y no a que deban someterse a las mismas reglas para su ejercicio y fiscalización internacional.</w:t>
      </w:r>
    </w:p>
    <w:p>
      <w:pPr>
        <w:pStyle w:val="BodyText"/>
        <w:spacing w:before="11"/>
        <w:rPr>
          <w:sz w:val="19"/>
        </w:rPr>
      </w:pPr>
    </w:p>
    <w:p>
      <w:pPr>
        <w:pStyle w:val="ListParagraph"/>
        <w:numPr>
          <w:ilvl w:val="0"/>
          <w:numId w:val="53"/>
        </w:numPr>
        <w:tabs>
          <w:tab w:pos="1390" w:val="left" w:leader="none"/>
        </w:tabs>
        <w:spacing w:line="240" w:lineRule="auto" w:before="0" w:after="0"/>
        <w:ind w:left="681" w:right="116" w:firstLine="0"/>
        <w:jc w:val="both"/>
        <w:rPr>
          <w:sz w:val="20"/>
        </w:rPr>
      </w:pPr>
      <w:r>
        <w:rPr>
          <w:sz w:val="20"/>
        </w:rPr>
        <w:t>Asimismo, es menester hacer presente que no existe tratado o instrumento, celebrado o formulado con motivo de la adopción de la Convención, que aborde su interpretación</w:t>
      </w:r>
      <w:r>
        <w:rPr>
          <w:spacing w:val="-9"/>
          <w:sz w:val="20"/>
        </w:rPr>
        <w:t> </w:t>
      </w:r>
      <w:r>
        <w:rPr>
          <w:sz w:val="20"/>
        </w:rPr>
        <w:t>y</w:t>
      </w:r>
      <w:r>
        <w:rPr>
          <w:spacing w:val="-9"/>
          <w:sz w:val="20"/>
        </w:rPr>
        <w:t> </w:t>
      </w:r>
      <w:r>
        <w:rPr>
          <w:sz w:val="20"/>
        </w:rPr>
        <w:t>que</w:t>
      </w:r>
      <w:r>
        <w:rPr>
          <w:spacing w:val="-10"/>
          <w:sz w:val="20"/>
        </w:rPr>
        <w:t> </w:t>
      </w:r>
      <w:r>
        <w:rPr>
          <w:sz w:val="20"/>
        </w:rPr>
        <w:t>tampoco</w:t>
      </w:r>
      <w:r>
        <w:rPr>
          <w:spacing w:val="-10"/>
          <w:sz w:val="20"/>
        </w:rPr>
        <w:t> </w:t>
      </w:r>
      <w:r>
        <w:rPr>
          <w:sz w:val="20"/>
        </w:rPr>
        <w:t>existe</w:t>
      </w:r>
      <w:r>
        <w:rPr>
          <w:spacing w:val="-9"/>
          <w:sz w:val="20"/>
        </w:rPr>
        <w:t> </w:t>
      </w:r>
      <w:r>
        <w:rPr>
          <w:sz w:val="20"/>
        </w:rPr>
        <w:t>un</w:t>
      </w:r>
      <w:r>
        <w:rPr>
          <w:spacing w:val="-9"/>
          <w:sz w:val="20"/>
        </w:rPr>
        <w:t> </w:t>
      </w:r>
      <w:r>
        <w:rPr>
          <w:sz w:val="20"/>
        </w:rPr>
        <w:t>acuerdo</w:t>
      </w:r>
      <w:r>
        <w:rPr>
          <w:spacing w:val="-10"/>
          <w:sz w:val="20"/>
        </w:rPr>
        <w:t> </w:t>
      </w:r>
      <w:r>
        <w:rPr>
          <w:sz w:val="20"/>
        </w:rPr>
        <w:t>o</w:t>
      </w:r>
      <w:r>
        <w:rPr>
          <w:spacing w:val="-10"/>
          <w:sz w:val="20"/>
        </w:rPr>
        <w:t> </w:t>
      </w:r>
      <w:r>
        <w:rPr>
          <w:sz w:val="20"/>
        </w:rPr>
        <w:t>práctica</w:t>
      </w:r>
      <w:r>
        <w:rPr>
          <w:spacing w:val="-11"/>
          <w:sz w:val="20"/>
        </w:rPr>
        <w:t> </w:t>
      </w:r>
      <w:r>
        <w:rPr>
          <w:sz w:val="20"/>
        </w:rPr>
        <w:t>ulterior</w:t>
      </w:r>
      <w:r>
        <w:rPr>
          <w:spacing w:val="-10"/>
          <w:sz w:val="20"/>
        </w:rPr>
        <w:t> </w:t>
      </w:r>
      <w:r>
        <w:rPr>
          <w:sz w:val="20"/>
        </w:rPr>
        <w:t>de</w:t>
      </w:r>
      <w:r>
        <w:rPr>
          <w:spacing w:val="-9"/>
          <w:sz w:val="20"/>
        </w:rPr>
        <w:t> </w:t>
      </w:r>
      <w:r>
        <w:rPr>
          <w:sz w:val="20"/>
        </w:rPr>
        <w:t>sus</w:t>
      </w:r>
      <w:r>
        <w:rPr>
          <w:spacing w:val="-9"/>
          <w:sz w:val="20"/>
        </w:rPr>
        <w:t> </w:t>
      </w:r>
      <w:r>
        <w:rPr>
          <w:sz w:val="20"/>
        </w:rPr>
        <w:t>Estados</w:t>
      </w:r>
      <w:r>
        <w:rPr>
          <w:spacing w:val="-11"/>
          <w:sz w:val="20"/>
        </w:rPr>
        <w:t> </w:t>
      </w:r>
      <w:r>
        <w:rPr>
          <w:sz w:val="20"/>
        </w:rPr>
        <w:t>Partes en que conste la interpretación que ellos le dan, como lo mandata el artículo 31.2. y 3 de la Convención de Viena</w:t>
      </w:r>
      <w:r>
        <w:rPr>
          <w:position w:val="7"/>
          <w:sz w:val="13"/>
        </w:rPr>
        <w:t>46</w:t>
      </w:r>
      <w:r>
        <w:rPr>
          <w:sz w:val="20"/>
        </w:rPr>
        <w:t>. Por ende, no es aceptable que, bajo el pretexto de la ausencia de lo que se conoce como la “interpretación auténtica”</w:t>
      </w:r>
      <w:r>
        <w:rPr>
          <w:position w:val="7"/>
          <w:sz w:val="13"/>
        </w:rPr>
        <w:t>47 </w:t>
      </w:r>
      <w:r>
        <w:rPr>
          <w:sz w:val="20"/>
        </w:rPr>
        <w:t>de la Convención, su sentido y alcance sea determinado por la Corte al margen y aún en contradicción con</w:t>
      </w:r>
      <w:r>
        <w:rPr>
          <w:spacing w:val="-35"/>
          <w:sz w:val="20"/>
        </w:rPr>
        <w:t> </w:t>
      </w:r>
      <w:r>
        <w:rPr>
          <w:sz w:val="20"/>
        </w:rPr>
        <w:t>lo pactado</w:t>
      </w:r>
      <w:r>
        <w:rPr>
          <w:spacing w:val="-6"/>
          <w:sz w:val="20"/>
        </w:rPr>
        <w:t> </w:t>
      </w:r>
      <w:r>
        <w:rPr>
          <w:sz w:val="20"/>
        </w:rPr>
        <w:t>por</w:t>
      </w:r>
      <w:r>
        <w:rPr>
          <w:spacing w:val="-7"/>
          <w:sz w:val="20"/>
        </w:rPr>
        <w:t> </w:t>
      </w:r>
      <w:r>
        <w:rPr>
          <w:sz w:val="20"/>
        </w:rPr>
        <w:t>sus</w:t>
      </w:r>
      <w:r>
        <w:rPr>
          <w:spacing w:val="-7"/>
          <w:sz w:val="20"/>
        </w:rPr>
        <w:t> </w:t>
      </w:r>
      <w:r>
        <w:rPr>
          <w:sz w:val="20"/>
        </w:rPr>
        <w:t>Estados</w:t>
      </w:r>
      <w:r>
        <w:rPr>
          <w:spacing w:val="-6"/>
          <w:sz w:val="20"/>
        </w:rPr>
        <w:t> </w:t>
      </w:r>
      <w:r>
        <w:rPr>
          <w:sz w:val="20"/>
        </w:rPr>
        <w:t>Partes.</w:t>
      </w:r>
      <w:r>
        <w:rPr>
          <w:spacing w:val="-5"/>
          <w:sz w:val="20"/>
        </w:rPr>
        <w:t> </w:t>
      </w:r>
      <w:r>
        <w:rPr>
          <w:sz w:val="20"/>
        </w:rPr>
        <w:t>La</w:t>
      </w:r>
      <w:r>
        <w:rPr>
          <w:spacing w:val="-7"/>
          <w:sz w:val="20"/>
        </w:rPr>
        <w:t> </w:t>
      </w:r>
      <w:r>
        <w:rPr>
          <w:sz w:val="20"/>
        </w:rPr>
        <w:t>Convención,</w:t>
      </w:r>
      <w:r>
        <w:rPr>
          <w:spacing w:val="-5"/>
          <w:sz w:val="20"/>
        </w:rPr>
        <w:t> </w:t>
      </w:r>
      <w:r>
        <w:rPr>
          <w:sz w:val="20"/>
        </w:rPr>
        <w:t>como</w:t>
      </w:r>
      <w:r>
        <w:rPr>
          <w:spacing w:val="-6"/>
          <w:sz w:val="20"/>
        </w:rPr>
        <w:t> </w:t>
      </w:r>
      <w:r>
        <w:rPr>
          <w:sz w:val="20"/>
        </w:rPr>
        <w:t>todo</w:t>
      </w:r>
      <w:r>
        <w:rPr>
          <w:spacing w:val="-6"/>
          <w:sz w:val="20"/>
        </w:rPr>
        <w:t> </w:t>
      </w:r>
      <w:r>
        <w:rPr>
          <w:sz w:val="20"/>
        </w:rPr>
        <w:t>tratado,</w:t>
      </w:r>
      <w:r>
        <w:rPr>
          <w:spacing w:val="-6"/>
          <w:sz w:val="20"/>
        </w:rPr>
        <w:t> </w:t>
      </w:r>
      <w:r>
        <w:rPr>
          <w:sz w:val="20"/>
        </w:rPr>
        <w:t>no</w:t>
      </w:r>
      <w:r>
        <w:rPr>
          <w:spacing w:val="-7"/>
          <w:sz w:val="20"/>
        </w:rPr>
        <w:t> </w:t>
      </w:r>
      <w:r>
        <w:rPr>
          <w:sz w:val="20"/>
        </w:rPr>
        <w:t>existe</w:t>
      </w:r>
      <w:r>
        <w:rPr>
          <w:spacing w:val="-5"/>
          <w:sz w:val="20"/>
        </w:rPr>
        <w:t> </w:t>
      </w:r>
      <w:r>
        <w:rPr>
          <w:sz w:val="20"/>
        </w:rPr>
        <w:t>al</w:t>
      </w:r>
      <w:r>
        <w:rPr>
          <w:spacing w:val="-6"/>
          <w:sz w:val="20"/>
        </w:rPr>
        <w:t> </w:t>
      </w:r>
      <w:r>
        <w:rPr>
          <w:sz w:val="20"/>
        </w:rPr>
        <w:t>margen de lo que estos últimos expresamente</w:t>
      </w:r>
      <w:r>
        <w:rPr>
          <w:spacing w:val="-12"/>
          <w:sz w:val="20"/>
        </w:rPr>
        <w:t> </w:t>
      </w:r>
      <w:r>
        <w:rPr>
          <w:sz w:val="20"/>
        </w:rPr>
        <w:t>convinieron.</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Lo anterior es particularmente cierto en lo que dice relación con las presuntas violaciones de los derechos a la identidad cultural, al medio ambiente sano, a la alimentación adecuada y al agua y, en general, a los demás derechos económicos, sociales y culturales, derechos que, a contrario de lo que señala la Sentencia, no le corresponde a la Corte “actualizar” su sentido, sino interpretar, según las reglas de la Convención de Viena, lo que dispone la Convención y menos puede, bajo el pretexto</w:t>
      </w:r>
      <w:r>
        <w:rPr>
          <w:spacing w:val="-25"/>
          <w:sz w:val="20"/>
        </w:rPr>
        <w:t> </w:t>
      </w:r>
      <w:r>
        <w:rPr>
          <w:sz w:val="20"/>
        </w:rPr>
        <w:t>de poner al día</w:t>
      </w:r>
      <w:r>
        <w:rPr>
          <w:position w:val="7"/>
          <w:sz w:val="13"/>
        </w:rPr>
        <w:t>48 </w:t>
      </w:r>
      <w:r>
        <w:rPr>
          <w:sz w:val="20"/>
        </w:rPr>
        <w:t>tales derechos, concluir que sus violaciones pueden ser conocidas y resueltas por</w:t>
      </w:r>
      <w:r>
        <w:rPr>
          <w:spacing w:val="-6"/>
          <w:sz w:val="20"/>
        </w:rPr>
        <w:t> </w:t>
      </w:r>
      <w:r>
        <w:rPr>
          <w:sz w:val="20"/>
        </w:rPr>
        <w:t>ella.</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Por otra parte, en el intento por justificar la </w:t>
      </w:r>
      <w:r>
        <w:rPr>
          <w:spacing w:val="2"/>
          <w:sz w:val="20"/>
        </w:rPr>
        <w:t>judicialización </w:t>
      </w:r>
      <w:r>
        <w:rPr>
          <w:sz w:val="20"/>
        </w:rPr>
        <w:t>ante la Corte de los derechos a la identidad cultural, al medio ambiente sano, a la alimentación adecuada y al</w:t>
      </w:r>
      <w:r>
        <w:rPr>
          <w:spacing w:val="-10"/>
          <w:sz w:val="20"/>
        </w:rPr>
        <w:t> </w:t>
      </w:r>
      <w:r>
        <w:rPr>
          <w:sz w:val="20"/>
        </w:rPr>
        <w:t>agua,</w:t>
      </w:r>
      <w:r>
        <w:rPr>
          <w:spacing w:val="-10"/>
          <w:sz w:val="20"/>
        </w:rPr>
        <w:t> </w:t>
      </w:r>
      <w:r>
        <w:rPr>
          <w:sz w:val="20"/>
        </w:rPr>
        <w:t>la</w:t>
      </w:r>
      <w:r>
        <w:rPr>
          <w:spacing w:val="-11"/>
          <w:sz w:val="20"/>
        </w:rPr>
        <w:t> </w:t>
      </w:r>
      <w:r>
        <w:rPr>
          <w:sz w:val="20"/>
        </w:rPr>
        <w:t>Sentencia</w:t>
      </w:r>
      <w:r>
        <w:rPr>
          <w:spacing w:val="-11"/>
          <w:sz w:val="20"/>
        </w:rPr>
        <w:t> </w:t>
      </w:r>
      <w:r>
        <w:rPr>
          <w:sz w:val="20"/>
        </w:rPr>
        <w:t>no</w:t>
      </w:r>
      <w:r>
        <w:rPr>
          <w:spacing w:val="-9"/>
          <w:sz w:val="20"/>
        </w:rPr>
        <w:t> </w:t>
      </w:r>
      <w:r>
        <w:rPr>
          <w:sz w:val="20"/>
        </w:rPr>
        <w:t>acude</w:t>
      </w:r>
      <w:r>
        <w:rPr>
          <w:spacing w:val="-9"/>
          <w:sz w:val="20"/>
        </w:rPr>
        <w:t> </w:t>
      </w:r>
      <w:r>
        <w:rPr>
          <w:sz w:val="20"/>
        </w:rPr>
        <w:t>a</w:t>
      </w:r>
      <w:r>
        <w:rPr>
          <w:spacing w:val="-10"/>
          <w:sz w:val="20"/>
        </w:rPr>
        <w:t> </w:t>
      </w:r>
      <w:r>
        <w:rPr>
          <w:sz w:val="20"/>
        </w:rPr>
        <w:t>fuentes</w:t>
      </w:r>
      <w:r>
        <w:rPr>
          <w:spacing w:val="-10"/>
          <w:sz w:val="20"/>
        </w:rPr>
        <w:t> </w:t>
      </w:r>
      <w:r>
        <w:rPr>
          <w:sz w:val="20"/>
        </w:rPr>
        <w:t>autónomas</w:t>
      </w:r>
      <w:r>
        <w:rPr>
          <w:spacing w:val="-10"/>
          <w:sz w:val="20"/>
        </w:rPr>
        <w:t> </w:t>
      </w:r>
      <w:r>
        <w:rPr>
          <w:sz w:val="20"/>
        </w:rPr>
        <w:t>del</w:t>
      </w:r>
      <w:r>
        <w:rPr>
          <w:spacing w:val="-10"/>
          <w:sz w:val="20"/>
        </w:rPr>
        <w:t> </w:t>
      </w:r>
      <w:r>
        <w:rPr>
          <w:sz w:val="20"/>
        </w:rPr>
        <w:t>Derecho</w:t>
      </w:r>
      <w:r>
        <w:rPr>
          <w:spacing w:val="-9"/>
          <w:sz w:val="20"/>
        </w:rPr>
        <w:t> </w:t>
      </w:r>
      <w:r>
        <w:rPr>
          <w:sz w:val="20"/>
        </w:rPr>
        <w:t>Internacional,</w:t>
      </w:r>
      <w:r>
        <w:rPr>
          <w:spacing w:val="-12"/>
          <w:sz w:val="20"/>
        </w:rPr>
        <w:t> </w:t>
      </w:r>
      <w:r>
        <w:rPr>
          <w:sz w:val="20"/>
        </w:rPr>
        <w:t>es</w:t>
      </w:r>
      <w:r>
        <w:rPr>
          <w:spacing w:val="-9"/>
          <w:sz w:val="20"/>
        </w:rPr>
        <w:t> </w:t>
      </w:r>
      <w:r>
        <w:rPr>
          <w:sz w:val="20"/>
        </w:rPr>
        <w:t>decir, a las que crean derechos, como son los tratados, la costumbre internacional, los principios generales de derecho o los actos jurídicos unilaterales, ni tampoco a fuentes auxiliares del Derecho Internacional, esto es, a las que ayudan en la determinación de las reglas de derecho aplicables, como son la jurisprudencia, la doctrina o las resoluciones de organizaciones internacionales declarativas de derecho</w:t>
      </w:r>
      <w:r>
        <w:rPr>
          <w:position w:val="7"/>
          <w:sz w:val="13"/>
        </w:rPr>
        <w:t>49</w:t>
      </w:r>
      <w:r>
        <w:rPr>
          <w:sz w:val="20"/>
        </w:rPr>
        <w:t>, sino que básicamente recurre a resoluciones de organizaciones internacionales, es decir, meras recomendaciones no vinculantes para los Estados y que no interpretan a la Convención ni tienen por objeto</w:t>
      </w:r>
      <w:r>
        <w:rPr>
          <w:spacing w:val="-6"/>
          <w:sz w:val="20"/>
        </w:rPr>
        <w:t> </w:t>
      </w:r>
      <w:r>
        <w:rPr>
          <w:sz w:val="20"/>
        </w:rPr>
        <w:t>interpretarla.</w:t>
      </w:r>
    </w:p>
    <w:p>
      <w:pPr>
        <w:pStyle w:val="BodyText"/>
        <w:spacing w:before="11"/>
        <w:rPr>
          <w:sz w:val="19"/>
        </w:rPr>
      </w:pPr>
    </w:p>
    <w:p>
      <w:pPr>
        <w:pStyle w:val="ListParagraph"/>
        <w:numPr>
          <w:ilvl w:val="0"/>
          <w:numId w:val="53"/>
        </w:numPr>
        <w:tabs>
          <w:tab w:pos="1390" w:val="left" w:leader="none"/>
        </w:tabs>
        <w:spacing w:line="240" w:lineRule="auto" w:before="0" w:after="0"/>
        <w:ind w:left="681" w:right="116" w:firstLine="0"/>
        <w:jc w:val="both"/>
        <w:rPr>
          <w:sz w:val="20"/>
        </w:rPr>
      </w:pPr>
      <w:r>
        <w:rPr>
          <w:sz w:val="20"/>
        </w:rPr>
        <w:t>Y es que esos instrumentos constituyen expresión de aspiraciones, por lo demás legítimas, de cambio o desarrollo del Derecho Internacional en la materia a la que cada uno se refiere, por lo que incluso algunos ni siquiera emanan de un funcionario o de un órgano internacional del sistema interamericano de derechos</w:t>
      </w:r>
      <w:r>
        <w:rPr>
          <w:spacing w:val="-15"/>
          <w:sz w:val="20"/>
        </w:rPr>
        <w:t> </w:t>
      </w:r>
      <w:r>
        <w:rPr>
          <w:sz w:val="20"/>
        </w:rPr>
        <w:t>humanos.</w:t>
      </w:r>
    </w:p>
    <w:p>
      <w:pPr>
        <w:pStyle w:val="BodyText"/>
      </w:pPr>
    </w:p>
    <w:p>
      <w:pPr>
        <w:pStyle w:val="BodyText"/>
      </w:pPr>
    </w:p>
    <w:p>
      <w:pPr>
        <w:pStyle w:val="BodyText"/>
        <w:spacing w:before="8"/>
        <w:rPr>
          <w:sz w:val="10"/>
        </w:rPr>
      </w:pPr>
      <w:r>
        <w:rPr/>
        <w:pict>
          <v:line style="position:absolute;mso-position-horizontal-relative:page;mso-position-vertical-relative:paragraph;z-index:4072;mso-wrap-distance-left:0;mso-wrap-distance-right:0" from="56.700001pt,8.837444pt" to="200.720001pt,8.837444pt" stroked="true" strokeweight=".72003pt" strokecolor="#000000">
            <v:stroke dashstyle="solid"/>
            <w10:wrap type="topAndBottom"/>
          </v:line>
        </w:pict>
      </w:r>
    </w:p>
    <w:p>
      <w:pPr>
        <w:spacing w:before="70"/>
        <w:ind w:left="681" w:right="0" w:firstLine="0"/>
        <w:jc w:val="both"/>
        <w:rPr>
          <w:sz w:val="16"/>
        </w:rPr>
      </w:pPr>
      <w:r>
        <w:rPr>
          <w:position w:val="6"/>
          <w:sz w:val="10"/>
        </w:rPr>
        <w:t>46  </w:t>
      </w:r>
      <w:r>
        <w:rPr>
          <w:i/>
          <w:sz w:val="16"/>
        </w:rPr>
        <w:t>Supra</w:t>
      </w:r>
      <w:r>
        <w:rPr>
          <w:sz w:val="16"/>
        </w:rPr>
        <w:t>, Nota N°14.</w:t>
      </w:r>
    </w:p>
    <w:p>
      <w:pPr>
        <w:pStyle w:val="BodyText"/>
        <w:spacing w:before="11"/>
        <w:rPr>
          <w:sz w:val="15"/>
        </w:rPr>
      </w:pPr>
    </w:p>
    <w:p>
      <w:pPr>
        <w:spacing w:before="1"/>
        <w:ind w:left="681" w:right="0" w:firstLine="0"/>
        <w:jc w:val="both"/>
        <w:rPr>
          <w:sz w:val="16"/>
        </w:rPr>
      </w:pPr>
      <w:r>
        <w:rPr>
          <w:position w:val="6"/>
          <w:sz w:val="10"/>
        </w:rPr>
        <w:t>47  </w:t>
      </w:r>
      <w:r>
        <w:rPr>
          <w:sz w:val="16"/>
        </w:rPr>
        <w:t>Denominación dada por la doctrina.</w:t>
      </w:r>
    </w:p>
    <w:p>
      <w:pPr>
        <w:pStyle w:val="BodyText"/>
        <w:rPr>
          <w:sz w:val="16"/>
        </w:rPr>
      </w:pPr>
    </w:p>
    <w:p>
      <w:pPr>
        <w:spacing w:before="0"/>
        <w:ind w:left="681" w:right="0" w:firstLine="0"/>
        <w:jc w:val="both"/>
        <w:rPr>
          <w:sz w:val="16"/>
        </w:rPr>
      </w:pPr>
      <w:r>
        <w:rPr>
          <w:position w:val="6"/>
          <w:sz w:val="10"/>
        </w:rPr>
        <w:t>48 </w:t>
      </w:r>
      <w:r>
        <w:rPr>
          <w:sz w:val="16"/>
        </w:rPr>
        <w:t>Significado de actualizar, Diccionario de la Lengua Española, Real Academia Española, 2019.</w:t>
      </w:r>
    </w:p>
    <w:p>
      <w:pPr>
        <w:pStyle w:val="BodyText"/>
        <w:spacing w:before="11"/>
        <w:rPr>
          <w:sz w:val="15"/>
        </w:rPr>
      </w:pPr>
    </w:p>
    <w:p>
      <w:pPr>
        <w:spacing w:before="1"/>
        <w:ind w:left="681" w:right="117" w:firstLine="0"/>
        <w:jc w:val="both"/>
        <w:rPr>
          <w:i/>
          <w:sz w:val="16"/>
        </w:rPr>
      </w:pPr>
      <w:r>
        <w:rPr>
          <w:position w:val="6"/>
          <w:sz w:val="10"/>
        </w:rPr>
        <w:t>49</w:t>
      </w:r>
      <w:r>
        <w:rPr>
          <w:sz w:val="16"/>
        </w:rPr>
        <w:t>Artículo 38 del Estatuto de la Corte Internacional de Justicia: “</w:t>
      </w:r>
      <w:r>
        <w:rPr>
          <w:i/>
          <w:sz w:val="16"/>
        </w:rPr>
        <w:t>La Corte, cuya función es decidir conforme al </w:t>
      </w:r>
      <w:r>
        <w:rPr>
          <w:i/>
          <w:sz w:val="16"/>
        </w:rPr>
        <w:t>derecho internacional las controversias que le sean sometidas, deberá aplicar: a. las convenciones internacionales, sean generales o particulares, que establecen reglas expresamente reconocidas por los Estados litigantes; h. la costumbre internacional como. prueba de una práctica generalmente aceptada como derecho; c. los principios generales de derecho reconocidos por las naciones civilizadas; d. las decisiones judiciales</w:t>
      </w:r>
      <w:r>
        <w:rPr>
          <w:i/>
          <w:spacing w:val="-16"/>
          <w:sz w:val="16"/>
        </w:rPr>
        <w:t> </w:t>
      </w:r>
      <w:r>
        <w:rPr>
          <w:i/>
          <w:sz w:val="16"/>
        </w:rPr>
        <w:t>y</w:t>
      </w:r>
      <w:r>
        <w:rPr>
          <w:i/>
          <w:spacing w:val="-15"/>
          <w:sz w:val="16"/>
        </w:rPr>
        <w:t> </w:t>
      </w:r>
      <w:r>
        <w:rPr>
          <w:i/>
          <w:sz w:val="16"/>
        </w:rPr>
        <w:t>las</w:t>
      </w:r>
      <w:r>
        <w:rPr>
          <w:i/>
          <w:spacing w:val="-16"/>
          <w:sz w:val="16"/>
        </w:rPr>
        <w:t> </w:t>
      </w:r>
      <w:r>
        <w:rPr>
          <w:i/>
          <w:sz w:val="16"/>
        </w:rPr>
        <w:t>doctrinas</w:t>
      </w:r>
      <w:r>
        <w:rPr>
          <w:i/>
          <w:spacing w:val="-16"/>
          <w:sz w:val="16"/>
        </w:rPr>
        <w:t> </w:t>
      </w:r>
      <w:r>
        <w:rPr>
          <w:i/>
          <w:sz w:val="16"/>
        </w:rPr>
        <w:t>de</w:t>
      </w:r>
      <w:r>
        <w:rPr>
          <w:i/>
          <w:spacing w:val="-16"/>
          <w:sz w:val="16"/>
        </w:rPr>
        <w:t> </w:t>
      </w:r>
      <w:r>
        <w:rPr>
          <w:i/>
          <w:sz w:val="16"/>
        </w:rPr>
        <w:t>los</w:t>
      </w:r>
      <w:r>
        <w:rPr>
          <w:i/>
          <w:spacing w:val="-16"/>
          <w:sz w:val="16"/>
        </w:rPr>
        <w:t> </w:t>
      </w:r>
      <w:r>
        <w:rPr>
          <w:i/>
          <w:sz w:val="16"/>
        </w:rPr>
        <w:t>publicistas</w:t>
      </w:r>
      <w:r>
        <w:rPr>
          <w:i/>
          <w:spacing w:val="-16"/>
          <w:sz w:val="16"/>
        </w:rPr>
        <w:t> </w:t>
      </w:r>
      <w:r>
        <w:rPr>
          <w:i/>
          <w:sz w:val="16"/>
        </w:rPr>
        <w:t>de</w:t>
      </w:r>
      <w:r>
        <w:rPr>
          <w:i/>
          <w:spacing w:val="-14"/>
          <w:sz w:val="16"/>
        </w:rPr>
        <w:t> </w:t>
      </w:r>
      <w:r>
        <w:rPr>
          <w:i/>
          <w:sz w:val="16"/>
        </w:rPr>
        <w:t>mayor</w:t>
      </w:r>
      <w:r>
        <w:rPr>
          <w:i/>
          <w:spacing w:val="-15"/>
          <w:sz w:val="16"/>
        </w:rPr>
        <w:t> </w:t>
      </w:r>
      <w:r>
        <w:rPr>
          <w:i/>
          <w:sz w:val="16"/>
        </w:rPr>
        <w:t>competencia</w:t>
      </w:r>
      <w:r>
        <w:rPr>
          <w:i/>
          <w:spacing w:val="-15"/>
          <w:sz w:val="16"/>
        </w:rPr>
        <w:t> </w:t>
      </w:r>
      <w:r>
        <w:rPr>
          <w:i/>
          <w:sz w:val="16"/>
        </w:rPr>
        <w:t>de</w:t>
      </w:r>
      <w:r>
        <w:rPr>
          <w:i/>
          <w:spacing w:val="-16"/>
          <w:sz w:val="16"/>
        </w:rPr>
        <w:t> </w:t>
      </w:r>
      <w:r>
        <w:rPr>
          <w:i/>
          <w:sz w:val="16"/>
        </w:rPr>
        <w:t>las</w:t>
      </w:r>
      <w:r>
        <w:rPr>
          <w:i/>
          <w:spacing w:val="-16"/>
          <w:sz w:val="16"/>
        </w:rPr>
        <w:t> </w:t>
      </w:r>
      <w:r>
        <w:rPr>
          <w:i/>
          <w:sz w:val="16"/>
        </w:rPr>
        <w:t>distintas</w:t>
      </w:r>
      <w:r>
        <w:rPr>
          <w:i/>
          <w:spacing w:val="-16"/>
          <w:sz w:val="16"/>
        </w:rPr>
        <w:t> </w:t>
      </w:r>
      <w:r>
        <w:rPr>
          <w:i/>
          <w:sz w:val="16"/>
        </w:rPr>
        <w:t>naciones,</w:t>
      </w:r>
      <w:r>
        <w:rPr>
          <w:i/>
          <w:spacing w:val="-16"/>
          <w:sz w:val="16"/>
        </w:rPr>
        <w:t> </w:t>
      </w:r>
      <w:r>
        <w:rPr>
          <w:i/>
          <w:sz w:val="16"/>
        </w:rPr>
        <w:t>como</w:t>
      </w:r>
      <w:r>
        <w:rPr>
          <w:i/>
          <w:spacing w:val="-14"/>
          <w:sz w:val="16"/>
        </w:rPr>
        <w:t> </w:t>
      </w:r>
      <w:r>
        <w:rPr>
          <w:i/>
          <w:sz w:val="16"/>
        </w:rPr>
        <w:t>medio</w:t>
      </w:r>
      <w:r>
        <w:rPr>
          <w:i/>
          <w:spacing w:val="-15"/>
          <w:sz w:val="16"/>
        </w:rPr>
        <w:t> </w:t>
      </w:r>
      <w:r>
        <w:rPr>
          <w:i/>
          <w:sz w:val="16"/>
        </w:rPr>
        <w:t>auxiliar para la determinación de las reglas de derecho, sin perjuicio de lo dispuesto en el Artículo 59. 2. La presente disposición no restringe la facultad de la Corte para decidir un litigio ex aequo et bono, si las partes así lo convinieren.”</w:t>
      </w:r>
    </w:p>
    <w:p>
      <w:pPr>
        <w:spacing w:after="0"/>
        <w:jc w:val="both"/>
        <w:rPr>
          <w:sz w:val="16"/>
        </w:rPr>
        <w:sectPr>
          <w:footerReference w:type="default" r:id="rId39"/>
          <w:pgSz w:w="12240" w:h="15840"/>
          <w:pgMar w:footer="1000" w:header="0" w:top="1220" w:bottom="1200" w:left="1020" w:right="1580"/>
          <w:pgNumType w:start="11"/>
        </w:sectPr>
      </w:pPr>
    </w:p>
    <w:p>
      <w:pPr>
        <w:pStyle w:val="ListParagraph"/>
        <w:numPr>
          <w:ilvl w:val="0"/>
          <w:numId w:val="53"/>
        </w:numPr>
        <w:tabs>
          <w:tab w:pos="1390" w:val="left" w:leader="none"/>
        </w:tabs>
        <w:spacing w:line="240" w:lineRule="auto" w:before="83" w:after="0"/>
        <w:ind w:left="681" w:right="118" w:firstLine="0"/>
        <w:jc w:val="both"/>
        <w:rPr>
          <w:sz w:val="20"/>
        </w:rPr>
      </w:pPr>
      <w:r>
        <w:rPr>
          <w:sz w:val="20"/>
        </w:rPr>
        <w:t>Es lo que acontece, en especial, con las alusiones que hace la Sentencia, para sostener</w:t>
      </w:r>
      <w:r>
        <w:rPr>
          <w:spacing w:val="-17"/>
          <w:sz w:val="20"/>
        </w:rPr>
        <w:t> </w:t>
      </w:r>
      <w:r>
        <w:rPr>
          <w:sz w:val="20"/>
        </w:rPr>
        <w:t>su</w:t>
      </w:r>
      <w:r>
        <w:rPr>
          <w:spacing w:val="-16"/>
          <w:sz w:val="20"/>
        </w:rPr>
        <w:t> </w:t>
      </w:r>
      <w:r>
        <w:rPr>
          <w:sz w:val="20"/>
        </w:rPr>
        <w:t>posición,</w:t>
      </w:r>
      <w:r>
        <w:rPr>
          <w:spacing w:val="-15"/>
          <w:sz w:val="20"/>
        </w:rPr>
        <w:t> </w:t>
      </w:r>
      <w:r>
        <w:rPr>
          <w:sz w:val="20"/>
        </w:rPr>
        <w:t>respecto</w:t>
      </w:r>
      <w:r>
        <w:rPr>
          <w:spacing w:val="-15"/>
          <w:sz w:val="20"/>
        </w:rPr>
        <w:t> </w:t>
      </w:r>
      <w:r>
        <w:rPr>
          <w:sz w:val="20"/>
        </w:rPr>
        <w:t>del</w:t>
      </w:r>
      <w:r>
        <w:rPr>
          <w:spacing w:val="-16"/>
          <w:sz w:val="20"/>
        </w:rPr>
        <w:t> </w:t>
      </w:r>
      <w:r>
        <w:rPr>
          <w:sz w:val="20"/>
        </w:rPr>
        <w:t>Comité</w:t>
      </w:r>
      <w:r>
        <w:rPr>
          <w:spacing w:val="-16"/>
          <w:sz w:val="20"/>
        </w:rPr>
        <w:t> </w:t>
      </w:r>
      <w:r>
        <w:rPr>
          <w:sz w:val="20"/>
        </w:rPr>
        <w:t>de</w:t>
      </w:r>
      <w:r>
        <w:rPr>
          <w:spacing w:val="-16"/>
          <w:sz w:val="20"/>
        </w:rPr>
        <w:t> </w:t>
      </w:r>
      <w:r>
        <w:rPr>
          <w:sz w:val="20"/>
        </w:rPr>
        <w:t>Derechos</w:t>
      </w:r>
      <w:r>
        <w:rPr>
          <w:spacing w:val="-18"/>
          <w:sz w:val="20"/>
        </w:rPr>
        <w:t> </w:t>
      </w:r>
      <w:r>
        <w:rPr>
          <w:sz w:val="20"/>
        </w:rPr>
        <w:t>Económicos,</w:t>
      </w:r>
      <w:r>
        <w:rPr>
          <w:spacing w:val="-15"/>
          <w:sz w:val="20"/>
        </w:rPr>
        <w:t> </w:t>
      </w:r>
      <w:r>
        <w:rPr>
          <w:sz w:val="20"/>
        </w:rPr>
        <w:t>Sociales</w:t>
      </w:r>
      <w:r>
        <w:rPr>
          <w:spacing w:val="-16"/>
          <w:sz w:val="20"/>
        </w:rPr>
        <w:t> </w:t>
      </w:r>
      <w:r>
        <w:rPr>
          <w:sz w:val="20"/>
        </w:rPr>
        <w:t>y</w:t>
      </w:r>
      <w:r>
        <w:rPr>
          <w:spacing w:val="-17"/>
          <w:sz w:val="20"/>
        </w:rPr>
        <w:t> </w:t>
      </w:r>
      <w:r>
        <w:rPr>
          <w:sz w:val="20"/>
        </w:rPr>
        <w:t>Culturales del Consejo Económico y Social de las Naciones Unidas</w:t>
      </w:r>
      <w:r>
        <w:rPr>
          <w:position w:val="7"/>
          <w:sz w:val="13"/>
        </w:rPr>
        <w:t>50</w:t>
      </w:r>
      <w:r>
        <w:rPr>
          <w:sz w:val="20"/>
        </w:rPr>
        <w:t>; con la Declaración Universal de la UNESCO sobre la diversidad cultural, de 2001</w:t>
      </w:r>
      <w:r>
        <w:rPr>
          <w:position w:val="7"/>
          <w:sz w:val="13"/>
        </w:rPr>
        <w:t>51</w:t>
      </w:r>
      <w:r>
        <w:rPr>
          <w:sz w:val="20"/>
        </w:rPr>
        <w:t>; con lo resuelto por el Comité de Derechos Humanos de la ONU</w:t>
      </w:r>
      <w:r>
        <w:rPr>
          <w:position w:val="7"/>
          <w:sz w:val="13"/>
        </w:rPr>
        <w:t>52</w:t>
      </w:r>
      <w:r>
        <w:rPr>
          <w:sz w:val="20"/>
        </w:rPr>
        <w:t>; con lo expresado por el Relator Especial sobre la situación de los derechos humanos y las libertades fundamentales de los pueblos indígenas</w:t>
      </w:r>
      <w:r>
        <w:rPr>
          <w:position w:val="7"/>
          <w:sz w:val="13"/>
        </w:rPr>
        <w:t>53</w:t>
      </w:r>
      <w:r>
        <w:rPr>
          <w:sz w:val="20"/>
        </w:rPr>
        <w:t>; con la Declaración de Naciones Unidas sobre los Derechos de los Pueblos Indígenas</w:t>
      </w:r>
      <w:r>
        <w:rPr>
          <w:position w:val="7"/>
          <w:sz w:val="13"/>
        </w:rPr>
        <w:t>54</w:t>
      </w:r>
      <w:r>
        <w:rPr>
          <w:sz w:val="20"/>
        </w:rPr>
        <w:t>; y con el Principio 22 de la Declaración de</w:t>
      </w:r>
      <w:r>
        <w:rPr>
          <w:spacing w:val="-18"/>
          <w:sz w:val="20"/>
        </w:rPr>
        <w:t> </w:t>
      </w:r>
      <w:r>
        <w:rPr>
          <w:sz w:val="20"/>
        </w:rPr>
        <w:t>Río</w:t>
      </w:r>
      <w:r>
        <w:rPr>
          <w:position w:val="7"/>
          <w:sz w:val="13"/>
        </w:rPr>
        <w:t>55</w:t>
      </w:r>
      <w:r>
        <w:rPr>
          <w:sz w:val="20"/>
        </w:rPr>
        <w:t>.</w:t>
      </w:r>
    </w:p>
    <w:p>
      <w:pPr>
        <w:pStyle w:val="BodyText"/>
        <w:spacing w:before="11"/>
        <w:rPr>
          <w:sz w:val="19"/>
        </w:rPr>
      </w:pPr>
    </w:p>
    <w:p>
      <w:pPr>
        <w:pStyle w:val="ListParagraph"/>
        <w:numPr>
          <w:ilvl w:val="0"/>
          <w:numId w:val="53"/>
        </w:numPr>
        <w:tabs>
          <w:tab w:pos="1390" w:val="left" w:leader="none"/>
        </w:tabs>
        <w:spacing w:line="240" w:lineRule="auto" w:before="0" w:after="0"/>
        <w:ind w:left="681" w:right="115" w:firstLine="0"/>
        <w:jc w:val="both"/>
        <w:rPr>
          <w:sz w:val="20"/>
        </w:rPr>
      </w:pPr>
      <w:r>
        <w:rPr>
          <w:sz w:val="20"/>
        </w:rPr>
        <w:t>Algo diferente acontece, sin embargo, con las referencias al Pacto Internacional de Derechos Económicos, Sociales y Culturales</w:t>
      </w:r>
      <w:r>
        <w:rPr>
          <w:position w:val="7"/>
          <w:sz w:val="13"/>
        </w:rPr>
        <w:t>56</w:t>
      </w:r>
      <w:r>
        <w:rPr>
          <w:sz w:val="20"/>
        </w:rPr>
        <w:t>; al Convenio 169 de la Organización Internacional del Trabajo</w:t>
      </w:r>
      <w:r>
        <w:rPr>
          <w:position w:val="7"/>
          <w:sz w:val="13"/>
        </w:rPr>
        <w:t>57 </w:t>
      </w:r>
      <w:r>
        <w:rPr>
          <w:sz w:val="20"/>
        </w:rPr>
        <w:t>, a la Convención sobre los Derechos del Niño</w:t>
      </w:r>
      <w:r>
        <w:rPr>
          <w:position w:val="7"/>
          <w:sz w:val="13"/>
        </w:rPr>
        <w:t>58</w:t>
      </w:r>
      <w:r>
        <w:rPr>
          <w:sz w:val="20"/>
        </w:rPr>
        <w:t>; a la Convención sobre la Eliminación de todas las Formas de Discriminación contra la Mujer</w:t>
      </w:r>
      <w:r>
        <w:rPr>
          <w:position w:val="7"/>
          <w:sz w:val="13"/>
        </w:rPr>
        <w:t>59</w:t>
      </w:r>
      <w:r>
        <w:rPr>
          <w:sz w:val="20"/>
        </w:rPr>
        <w:t>;a la Declaración Universal de Derechos Humanos, de 1948</w:t>
      </w:r>
      <w:r>
        <w:rPr>
          <w:position w:val="7"/>
          <w:sz w:val="13"/>
        </w:rPr>
        <w:t>60</w:t>
      </w:r>
      <w:r>
        <w:rPr>
          <w:sz w:val="20"/>
        </w:rPr>
        <w:t>; y a la Resolución 64/292</w:t>
      </w:r>
      <w:r>
        <w:rPr>
          <w:spacing w:val="-12"/>
          <w:sz w:val="20"/>
        </w:rPr>
        <w:t> </w:t>
      </w:r>
      <w:r>
        <w:rPr>
          <w:sz w:val="20"/>
        </w:rPr>
        <w:t>de</w:t>
      </w:r>
      <w:r>
        <w:rPr>
          <w:spacing w:val="-11"/>
          <w:sz w:val="20"/>
        </w:rPr>
        <w:t> </w:t>
      </w:r>
      <w:r>
        <w:rPr>
          <w:sz w:val="20"/>
        </w:rPr>
        <w:t>la</w:t>
      </w:r>
      <w:r>
        <w:rPr>
          <w:spacing w:val="-13"/>
          <w:sz w:val="20"/>
        </w:rPr>
        <w:t> </w:t>
      </w:r>
      <w:r>
        <w:rPr>
          <w:sz w:val="20"/>
        </w:rPr>
        <w:t>Asamblea</w:t>
      </w:r>
      <w:r>
        <w:rPr>
          <w:spacing w:val="-14"/>
          <w:sz w:val="20"/>
        </w:rPr>
        <w:t> </w:t>
      </w:r>
      <w:r>
        <w:rPr>
          <w:sz w:val="20"/>
        </w:rPr>
        <w:t>General</w:t>
      </w:r>
      <w:r>
        <w:rPr>
          <w:spacing w:val="-12"/>
          <w:sz w:val="20"/>
        </w:rPr>
        <w:t> </w:t>
      </w:r>
      <w:r>
        <w:rPr>
          <w:sz w:val="20"/>
        </w:rPr>
        <w:t>de</w:t>
      </w:r>
      <w:r>
        <w:rPr>
          <w:spacing w:val="-11"/>
          <w:sz w:val="20"/>
        </w:rPr>
        <w:t> </w:t>
      </w:r>
      <w:r>
        <w:rPr>
          <w:sz w:val="20"/>
        </w:rPr>
        <w:t>la</w:t>
      </w:r>
      <w:r>
        <w:rPr>
          <w:spacing w:val="-13"/>
          <w:sz w:val="20"/>
        </w:rPr>
        <w:t> </w:t>
      </w:r>
      <w:r>
        <w:rPr>
          <w:sz w:val="20"/>
        </w:rPr>
        <w:t>Organización</w:t>
      </w:r>
      <w:r>
        <w:rPr>
          <w:spacing w:val="-12"/>
          <w:sz w:val="20"/>
        </w:rPr>
        <w:t> </w:t>
      </w:r>
      <w:r>
        <w:rPr>
          <w:sz w:val="20"/>
        </w:rPr>
        <w:t>de</w:t>
      </w:r>
      <w:r>
        <w:rPr>
          <w:spacing w:val="-11"/>
          <w:sz w:val="20"/>
        </w:rPr>
        <w:t> </w:t>
      </w:r>
      <w:r>
        <w:rPr>
          <w:sz w:val="20"/>
        </w:rPr>
        <w:t>las</w:t>
      </w:r>
      <w:r>
        <w:rPr>
          <w:spacing w:val="-13"/>
          <w:sz w:val="20"/>
        </w:rPr>
        <w:t> </w:t>
      </w:r>
      <w:r>
        <w:rPr>
          <w:sz w:val="20"/>
        </w:rPr>
        <w:t>Naciones</w:t>
      </w:r>
      <w:r>
        <w:rPr>
          <w:spacing w:val="-14"/>
          <w:sz w:val="20"/>
        </w:rPr>
        <w:t> </w:t>
      </w:r>
      <w:r>
        <w:rPr>
          <w:sz w:val="20"/>
        </w:rPr>
        <w:t>Unidas</w:t>
      </w:r>
      <w:r>
        <w:rPr>
          <w:spacing w:val="-12"/>
          <w:sz w:val="20"/>
        </w:rPr>
        <w:t> </w:t>
      </w:r>
      <w:r>
        <w:rPr>
          <w:sz w:val="20"/>
        </w:rPr>
        <w:t>del</w:t>
      </w:r>
      <w:r>
        <w:rPr>
          <w:spacing w:val="-12"/>
          <w:sz w:val="20"/>
        </w:rPr>
        <w:t> </w:t>
      </w:r>
      <w:r>
        <w:rPr>
          <w:sz w:val="20"/>
        </w:rPr>
        <w:t>28</w:t>
      </w:r>
      <w:r>
        <w:rPr>
          <w:spacing w:val="-12"/>
          <w:sz w:val="20"/>
        </w:rPr>
        <w:t> </w:t>
      </w:r>
      <w:r>
        <w:rPr>
          <w:sz w:val="20"/>
        </w:rPr>
        <w:t>de</w:t>
      </w:r>
      <w:r>
        <w:rPr>
          <w:spacing w:val="-12"/>
          <w:sz w:val="20"/>
        </w:rPr>
        <w:t> </w:t>
      </w:r>
      <w:r>
        <w:rPr>
          <w:sz w:val="20"/>
        </w:rPr>
        <w:t>julio de 2010, denominada “El derecho humano al agua y el saneamiento”</w:t>
      </w:r>
      <w:r>
        <w:rPr>
          <w:position w:val="7"/>
          <w:sz w:val="13"/>
        </w:rPr>
        <w:t>61</w:t>
      </w:r>
      <w:r>
        <w:rPr>
          <w:sz w:val="20"/>
        </w:rPr>
        <w:t>. Efectivamente, mientras los tres primeros instrumentos son tratados y, por ende, vinculantes </w:t>
      </w:r>
      <w:r>
        <w:rPr>
          <w:i/>
          <w:sz w:val="20"/>
        </w:rPr>
        <w:t>per se</w:t>
      </w:r>
      <w:r>
        <w:rPr>
          <w:sz w:val="20"/>
        </w:rPr>
        <w:t>, los dos últimos son Resoluciones Internacionales Declarativas de Derecho y, por tanto, constituyen</w:t>
      </w:r>
      <w:r>
        <w:rPr>
          <w:spacing w:val="-14"/>
          <w:sz w:val="20"/>
        </w:rPr>
        <w:t> </w:t>
      </w:r>
      <w:r>
        <w:rPr>
          <w:sz w:val="20"/>
        </w:rPr>
        <w:t>fuentes</w:t>
      </w:r>
      <w:r>
        <w:rPr>
          <w:spacing w:val="-14"/>
          <w:sz w:val="20"/>
        </w:rPr>
        <w:t> </w:t>
      </w:r>
      <w:r>
        <w:rPr>
          <w:sz w:val="20"/>
        </w:rPr>
        <w:t>auxiliares</w:t>
      </w:r>
      <w:r>
        <w:rPr>
          <w:spacing w:val="-14"/>
          <w:sz w:val="20"/>
        </w:rPr>
        <w:t> </w:t>
      </w:r>
      <w:r>
        <w:rPr>
          <w:sz w:val="20"/>
        </w:rPr>
        <w:t>del</w:t>
      </w:r>
      <w:r>
        <w:rPr>
          <w:spacing w:val="-13"/>
          <w:sz w:val="20"/>
        </w:rPr>
        <w:t> </w:t>
      </w:r>
      <w:r>
        <w:rPr>
          <w:sz w:val="20"/>
        </w:rPr>
        <w:t>Derecho</w:t>
      </w:r>
      <w:r>
        <w:rPr>
          <w:spacing w:val="-13"/>
          <w:sz w:val="20"/>
        </w:rPr>
        <w:t> </w:t>
      </w:r>
      <w:r>
        <w:rPr>
          <w:sz w:val="20"/>
        </w:rPr>
        <w:t>Internacional</w:t>
      </w:r>
      <w:r>
        <w:rPr>
          <w:spacing w:val="-15"/>
          <w:sz w:val="20"/>
        </w:rPr>
        <w:t> </w:t>
      </w:r>
      <w:r>
        <w:rPr>
          <w:sz w:val="20"/>
        </w:rPr>
        <w:t>en</w:t>
      </w:r>
      <w:r>
        <w:rPr>
          <w:spacing w:val="-14"/>
          <w:sz w:val="20"/>
        </w:rPr>
        <w:t> </w:t>
      </w:r>
      <w:r>
        <w:rPr>
          <w:sz w:val="20"/>
        </w:rPr>
        <w:t>la</w:t>
      </w:r>
      <w:r>
        <w:rPr>
          <w:spacing w:val="-13"/>
          <w:sz w:val="20"/>
        </w:rPr>
        <w:t> </w:t>
      </w:r>
      <w:r>
        <w:rPr>
          <w:sz w:val="20"/>
        </w:rPr>
        <w:t>medida</w:t>
      </w:r>
      <w:r>
        <w:rPr>
          <w:spacing w:val="-13"/>
          <w:sz w:val="20"/>
        </w:rPr>
        <w:t> </w:t>
      </w:r>
      <w:r>
        <w:rPr>
          <w:sz w:val="20"/>
        </w:rPr>
        <w:t>en</w:t>
      </w:r>
      <w:r>
        <w:rPr>
          <w:spacing w:val="-13"/>
          <w:sz w:val="20"/>
        </w:rPr>
        <w:t> </w:t>
      </w:r>
      <w:r>
        <w:rPr>
          <w:sz w:val="20"/>
        </w:rPr>
        <w:t>que</w:t>
      </w:r>
      <w:r>
        <w:rPr>
          <w:spacing w:val="-14"/>
          <w:sz w:val="20"/>
        </w:rPr>
        <w:t> </w:t>
      </w:r>
      <w:r>
        <w:rPr>
          <w:sz w:val="20"/>
        </w:rPr>
        <w:t>dan</w:t>
      </w:r>
      <w:r>
        <w:rPr>
          <w:spacing w:val="-13"/>
          <w:sz w:val="20"/>
        </w:rPr>
        <w:t> </w:t>
      </w:r>
      <w:r>
        <w:rPr>
          <w:sz w:val="20"/>
        </w:rPr>
        <w:t>cuenta de normas consuetudinarias o de principios generales de derecho en las materias sobre la que</w:t>
      </w:r>
      <w:r>
        <w:rPr>
          <w:spacing w:val="-4"/>
          <w:sz w:val="20"/>
        </w:rPr>
        <w:t> </w:t>
      </w:r>
      <w:r>
        <w:rPr>
          <w:sz w:val="20"/>
        </w:rPr>
        <w:t>versan.</w:t>
      </w:r>
    </w:p>
    <w:p>
      <w:pPr>
        <w:pStyle w:val="BodyText"/>
        <w:spacing w:before="11"/>
        <w:rPr>
          <w:sz w:val="19"/>
        </w:rPr>
      </w:pPr>
    </w:p>
    <w:p>
      <w:pPr>
        <w:pStyle w:val="ListParagraph"/>
        <w:numPr>
          <w:ilvl w:val="0"/>
          <w:numId w:val="53"/>
        </w:numPr>
        <w:tabs>
          <w:tab w:pos="1390" w:val="left" w:leader="none"/>
        </w:tabs>
        <w:spacing w:line="240" w:lineRule="auto" w:before="0" w:after="0"/>
        <w:ind w:left="681" w:right="116" w:firstLine="0"/>
        <w:jc w:val="both"/>
        <w:rPr>
          <w:sz w:val="20"/>
        </w:rPr>
      </w:pPr>
      <w:r>
        <w:rPr>
          <w:sz w:val="20"/>
        </w:rPr>
        <w:t>Algo similar acontece en el ámbito interamericano. Por de pronto, la Sentencia menciona a las Resoluciones 2349/07 y 2760/12 de la Asamblea General de la Organización de los Estados Americanos</w:t>
      </w:r>
      <w:r>
        <w:rPr>
          <w:position w:val="7"/>
          <w:sz w:val="13"/>
        </w:rPr>
        <w:t>62 </w:t>
      </w:r>
      <w:r>
        <w:rPr>
          <w:sz w:val="20"/>
        </w:rPr>
        <w:t>y a la la Carta Social de las Américas</w:t>
      </w:r>
      <w:r>
        <w:rPr>
          <w:position w:val="7"/>
          <w:sz w:val="13"/>
        </w:rPr>
        <w:t>63</w:t>
      </w:r>
      <w:r>
        <w:rPr>
          <w:sz w:val="20"/>
        </w:rPr>
        <w:t>. Además,</w:t>
      </w:r>
      <w:r>
        <w:rPr>
          <w:spacing w:val="51"/>
          <w:sz w:val="20"/>
        </w:rPr>
        <w:t> </w:t>
      </w:r>
      <w:r>
        <w:rPr>
          <w:sz w:val="20"/>
        </w:rPr>
        <w:t>señala,</w:t>
      </w:r>
      <w:r>
        <w:rPr>
          <w:spacing w:val="52"/>
          <w:sz w:val="20"/>
        </w:rPr>
        <w:t> </w:t>
      </w:r>
      <w:r>
        <w:rPr>
          <w:sz w:val="20"/>
        </w:rPr>
        <w:t>por</w:t>
      </w:r>
      <w:r>
        <w:rPr>
          <w:spacing w:val="50"/>
          <w:sz w:val="20"/>
        </w:rPr>
        <w:t> </w:t>
      </w:r>
      <w:r>
        <w:rPr>
          <w:sz w:val="20"/>
        </w:rPr>
        <w:t>una</w:t>
      </w:r>
      <w:r>
        <w:rPr>
          <w:spacing w:val="51"/>
          <w:sz w:val="20"/>
        </w:rPr>
        <w:t> </w:t>
      </w:r>
      <w:r>
        <w:rPr>
          <w:sz w:val="20"/>
        </w:rPr>
        <w:t>parte,</w:t>
      </w:r>
      <w:r>
        <w:rPr>
          <w:spacing w:val="51"/>
          <w:sz w:val="20"/>
        </w:rPr>
        <w:t> </w:t>
      </w:r>
      <w:r>
        <w:rPr>
          <w:sz w:val="20"/>
        </w:rPr>
        <w:t>al</w:t>
      </w:r>
      <w:r>
        <w:rPr>
          <w:spacing w:val="51"/>
          <w:sz w:val="20"/>
        </w:rPr>
        <w:t> </w:t>
      </w:r>
      <w:r>
        <w:rPr>
          <w:sz w:val="20"/>
        </w:rPr>
        <w:t>Protocolo</w:t>
      </w:r>
      <w:r>
        <w:rPr>
          <w:spacing w:val="49"/>
          <w:sz w:val="20"/>
        </w:rPr>
        <w:t> </w:t>
      </w:r>
      <w:r>
        <w:rPr>
          <w:sz w:val="20"/>
        </w:rPr>
        <w:t>de</w:t>
      </w:r>
      <w:r>
        <w:rPr>
          <w:spacing w:val="52"/>
          <w:sz w:val="20"/>
        </w:rPr>
        <w:t> </w:t>
      </w:r>
      <w:r>
        <w:rPr>
          <w:sz w:val="20"/>
        </w:rPr>
        <w:t>San</w:t>
      </w:r>
      <w:r>
        <w:rPr>
          <w:spacing w:val="52"/>
          <w:sz w:val="20"/>
        </w:rPr>
        <w:t> </w:t>
      </w:r>
      <w:r>
        <w:rPr>
          <w:sz w:val="20"/>
        </w:rPr>
        <w:t>Salvador</w:t>
      </w:r>
      <w:r>
        <w:rPr>
          <w:position w:val="7"/>
          <w:sz w:val="13"/>
        </w:rPr>
        <w:t>64 </w:t>
      </w:r>
      <w:r>
        <w:rPr>
          <w:spacing w:val="30"/>
          <w:position w:val="7"/>
          <w:sz w:val="13"/>
        </w:rPr>
        <w:t> </w:t>
      </w:r>
      <w:r>
        <w:rPr>
          <w:sz w:val="20"/>
        </w:rPr>
        <w:t>y</w:t>
      </w:r>
      <w:r>
        <w:rPr>
          <w:spacing w:val="50"/>
          <w:sz w:val="20"/>
        </w:rPr>
        <w:t> </w:t>
      </w:r>
      <w:r>
        <w:rPr>
          <w:sz w:val="20"/>
        </w:rPr>
        <w:t>a</w:t>
      </w:r>
      <w:r>
        <w:rPr>
          <w:spacing w:val="51"/>
          <w:sz w:val="20"/>
        </w:rPr>
        <w:t> </w:t>
      </w:r>
      <w:r>
        <w:rPr>
          <w:sz w:val="20"/>
        </w:rPr>
        <w:t>la</w:t>
      </w:r>
      <w:r>
        <w:rPr>
          <w:spacing w:val="51"/>
          <w:sz w:val="20"/>
        </w:rPr>
        <w:t> </w:t>
      </w:r>
      <w:r>
        <w:rPr>
          <w:sz w:val="20"/>
        </w:rPr>
        <w:t>Convención</w:t>
      </w:r>
    </w:p>
    <w:p>
      <w:pPr>
        <w:pStyle w:val="BodyText"/>
        <w:spacing w:before="7"/>
        <w:rPr>
          <w:sz w:val="17"/>
        </w:rPr>
      </w:pPr>
      <w:r>
        <w:rPr/>
        <w:pict>
          <v:line style="position:absolute;mso-position-horizontal-relative:page;mso-position-vertical-relative:paragraph;z-index:4096;mso-wrap-distance-left:0;mso-wrap-distance-right:0" from="56.700001pt,13.044106pt" to="200.720001pt,13.044106pt" stroked="true" strokeweight=".72pt" strokecolor="#000000">
            <v:stroke dashstyle="solid"/>
            <w10:wrap type="topAndBottom"/>
          </v:line>
        </w:pict>
      </w:r>
    </w:p>
    <w:p>
      <w:pPr>
        <w:spacing w:before="70"/>
        <w:ind w:left="681" w:right="0" w:firstLine="0"/>
        <w:jc w:val="left"/>
        <w:rPr>
          <w:sz w:val="16"/>
        </w:rPr>
      </w:pPr>
      <w:r>
        <w:rPr>
          <w:position w:val="6"/>
          <w:sz w:val="10"/>
        </w:rPr>
        <w:t>50  </w:t>
      </w:r>
      <w:r>
        <w:rPr>
          <w:sz w:val="16"/>
        </w:rPr>
        <w:t>Párrs.217 a 221, 223, 226 a 230, 239 a 242, 245, 246 y 249.</w:t>
      </w:r>
    </w:p>
    <w:p>
      <w:pPr>
        <w:pStyle w:val="BodyText"/>
        <w:rPr>
          <w:sz w:val="16"/>
        </w:rPr>
      </w:pPr>
    </w:p>
    <w:p>
      <w:pPr>
        <w:spacing w:before="0"/>
        <w:ind w:left="681" w:right="0" w:firstLine="0"/>
        <w:jc w:val="left"/>
        <w:rPr>
          <w:sz w:val="16"/>
        </w:rPr>
      </w:pPr>
      <w:r>
        <w:rPr>
          <w:position w:val="6"/>
          <w:sz w:val="10"/>
        </w:rPr>
        <w:t>51  </w:t>
      </w:r>
      <w:r>
        <w:rPr>
          <w:sz w:val="16"/>
        </w:rPr>
        <w:t>Párrs. 224 y 238.</w:t>
      </w:r>
    </w:p>
    <w:p>
      <w:pPr>
        <w:pStyle w:val="BodyText"/>
        <w:spacing w:before="12"/>
        <w:rPr>
          <w:sz w:val="15"/>
        </w:rPr>
      </w:pPr>
    </w:p>
    <w:p>
      <w:pPr>
        <w:spacing w:before="0"/>
        <w:ind w:left="681" w:right="0" w:firstLine="0"/>
        <w:jc w:val="left"/>
        <w:rPr>
          <w:sz w:val="16"/>
        </w:rPr>
      </w:pPr>
      <w:r>
        <w:rPr>
          <w:position w:val="6"/>
          <w:sz w:val="10"/>
        </w:rPr>
        <w:t>52 </w:t>
      </w:r>
      <w:r>
        <w:rPr>
          <w:sz w:val="16"/>
        </w:rPr>
        <w:t>Párr.251.</w:t>
      </w:r>
    </w:p>
    <w:p>
      <w:pPr>
        <w:pStyle w:val="BodyText"/>
        <w:spacing w:before="12"/>
        <w:rPr>
          <w:sz w:val="15"/>
        </w:rPr>
      </w:pPr>
    </w:p>
    <w:p>
      <w:pPr>
        <w:spacing w:before="0"/>
        <w:ind w:left="681" w:right="0" w:firstLine="0"/>
        <w:jc w:val="left"/>
        <w:rPr>
          <w:sz w:val="16"/>
        </w:rPr>
      </w:pPr>
      <w:r>
        <w:rPr>
          <w:position w:val="6"/>
          <w:sz w:val="10"/>
        </w:rPr>
        <w:t>53  </w:t>
      </w:r>
      <w:r>
        <w:rPr>
          <w:sz w:val="16"/>
        </w:rPr>
        <w:t>Párr. 252.</w:t>
      </w:r>
    </w:p>
    <w:p>
      <w:pPr>
        <w:pStyle w:val="BodyText"/>
        <w:spacing w:before="12"/>
        <w:rPr>
          <w:sz w:val="15"/>
        </w:rPr>
      </w:pPr>
    </w:p>
    <w:p>
      <w:pPr>
        <w:spacing w:before="0"/>
        <w:ind w:left="681" w:right="0" w:firstLine="0"/>
        <w:jc w:val="left"/>
        <w:rPr>
          <w:sz w:val="16"/>
        </w:rPr>
      </w:pPr>
      <w:r>
        <w:rPr>
          <w:position w:val="6"/>
          <w:sz w:val="10"/>
        </w:rPr>
        <w:t>54 </w:t>
      </w:r>
      <w:r>
        <w:rPr>
          <w:sz w:val="16"/>
        </w:rPr>
        <w:t>Párr.248.</w:t>
      </w:r>
    </w:p>
    <w:p>
      <w:pPr>
        <w:pStyle w:val="BodyText"/>
        <w:spacing w:before="1"/>
        <w:rPr>
          <w:sz w:val="16"/>
        </w:rPr>
      </w:pPr>
    </w:p>
    <w:p>
      <w:pPr>
        <w:spacing w:before="0"/>
        <w:ind w:left="681" w:right="0" w:firstLine="0"/>
        <w:jc w:val="left"/>
        <w:rPr>
          <w:sz w:val="16"/>
        </w:rPr>
      </w:pPr>
      <w:r>
        <w:rPr>
          <w:position w:val="6"/>
          <w:sz w:val="10"/>
        </w:rPr>
        <w:t>55 </w:t>
      </w:r>
      <w:r>
        <w:rPr>
          <w:sz w:val="16"/>
        </w:rPr>
        <w:t>Párr.250.</w:t>
      </w:r>
    </w:p>
    <w:p>
      <w:pPr>
        <w:pStyle w:val="BodyText"/>
        <w:spacing w:before="7"/>
        <w:rPr>
          <w:sz w:val="15"/>
        </w:rPr>
      </w:pPr>
    </w:p>
    <w:p>
      <w:pPr>
        <w:pStyle w:val="BodyText"/>
        <w:spacing w:before="1"/>
        <w:ind w:left="681"/>
        <w:rPr>
          <w:rFonts w:ascii="Calibri" w:hAnsi="Calibri"/>
        </w:rPr>
      </w:pPr>
      <w:r>
        <w:rPr>
          <w:rFonts w:ascii="Calibri" w:hAnsi="Calibri"/>
          <w:position w:val="7"/>
          <w:sz w:val="13"/>
        </w:rPr>
        <w:t>56  </w:t>
      </w:r>
      <w:r>
        <w:rPr>
          <w:rFonts w:ascii="Calibri" w:hAnsi="Calibri"/>
        </w:rPr>
        <w:t>Pársr.213, 214 y 234.</w:t>
      </w:r>
    </w:p>
    <w:p>
      <w:pPr>
        <w:pStyle w:val="BodyText"/>
        <w:spacing w:before="1"/>
        <w:rPr>
          <w:rFonts w:ascii="Calibri"/>
        </w:rPr>
      </w:pPr>
    </w:p>
    <w:p>
      <w:pPr>
        <w:spacing w:before="0"/>
        <w:ind w:left="681" w:right="0" w:firstLine="0"/>
        <w:jc w:val="left"/>
        <w:rPr>
          <w:sz w:val="16"/>
        </w:rPr>
      </w:pPr>
      <w:r>
        <w:rPr>
          <w:position w:val="6"/>
          <w:sz w:val="10"/>
        </w:rPr>
        <w:t>57  </w:t>
      </w:r>
      <w:r>
        <w:rPr>
          <w:sz w:val="16"/>
        </w:rPr>
        <w:t>Párr. 247.</w:t>
      </w:r>
    </w:p>
    <w:p>
      <w:pPr>
        <w:pStyle w:val="BodyText"/>
        <w:spacing w:before="12"/>
        <w:rPr>
          <w:sz w:val="15"/>
        </w:rPr>
      </w:pPr>
    </w:p>
    <w:p>
      <w:pPr>
        <w:spacing w:before="0"/>
        <w:ind w:left="681" w:right="0" w:firstLine="0"/>
        <w:jc w:val="left"/>
        <w:rPr>
          <w:sz w:val="16"/>
        </w:rPr>
      </w:pPr>
      <w:r>
        <w:rPr>
          <w:position w:val="6"/>
          <w:sz w:val="10"/>
        </w:rPr>
        <w:t>58  </w:t>
      </w:r>
      <w:r>
        <w:rPr>
          <w:sz w:val="16"/>
        </w:rPr>
        <w:t>Párr. 223.</w:t>
      </w:r>
    </w:p>
    <w:p>
      <w:pPr>
        <w:pStyle w:val="BodyText"/>
        <w:spacing w:before="12"/>
        <w:rPr>
          <w:sz w:val="15"/>
        </w:rPr>
      </w:pPr>
    </w:p>
    <w:p>
      <w:pPr>
        <w:spacing w:before="0"/>
        <w:ind w:left="681" w:right="0" w:firstLine="0"/>
        <w:jc w:val="left"/>
        <w:rPr>
          <w:i/>
          <w:sz w:val="16"/>
        </w:rPr>
      </w:pPr>
      <w:r>
        <w:rPr>
          <w:position w:val="6"/>
          <w:sz w:val="10"/>
        </w:rPr>
        <w:t>59 </w:t>
      </w:r>
      <w:r>
        <w:rPr>
          <w:i/>
          <w:sz w:val="16"/>
        </w:rPr>
        <w:t>Idem.</w:t>
      </w:r>
    </w:p>
    <w:p>
      <w:pPr>
        <w:pStyle w:val="BodyText"/>
        <w:spacing w:before="7"/>
        <w:rPr>
          <w:i/>
          <w:sz w:val="15"/>
        </w:rPr>
      </w:pPr>
    </w:p>
    <w:p>
      <w:pPr>
        <w:pStyle w:val="BodyText"/>
        <w:spacing w:before="1"/>
        <w:ind w:left="681"/>
        <w:rPr>
          <w:rFonts w:ascii="Calibri" w:hAnsi="Calibri"/>
        </w:rPr>
      </w:pPr>
      <w:r>
        <w:rPr>
          <w:rFonts w:ascii="Calibri" w:hAnsi="Calibri"/>
          <w:position w:val="7"/>
          <w:sz w:val="13"/>
        </w:rPr>
        <w:t>60  </w:t>
      </w:r>
      <w:r>
        <w:rPr>
          <w:rFonts w:ascii="Calibri" w:hAnsi="Calibri"/>
        </w:rPr>
        <w:t>Párrs. 213 y 223.</w:t>
      </w:r>
    </w:p>
    <w:p>
      <w:pPr>
        <w:pStyle w:val="BodyText"/>
        <w:spacing w:before="9"/>
        <w:rPr>
          <w:rFonts w:ascii="Calibri"/>
          <w:sz w:val="19"/>
        </w:rPr>
      </w:pPr>
    </w:p>
    <w:p>
      <w:pPr>
        <w:spacing w:before="0"/>
        <w:ind w:left="681" w:right="0" w:firstLine="0"/>
        <w:jc w:val="left"/>
        <w:rPr>
          <w:rFonts w:ascii="Calibri" w:hAnsi="Calibri"/>
          <w:sz w:val="20"/>
        </w:rPr>
      </w:pPr>
      <w:r>
        <w:rPr>
          <w:rFonts w:ascii="Calibri" w:hAnsi="Calibri"/>
          <w:position w:val="7"/>
          <w:sz w:val="13"/>
        </w:rPr>
        <w:t>61  </w:t>
      </w:r>
      <w:r>
        <w:rPr>
          <w:rFonts w:ascii="Calibri" w:hAnsi="Calibri"/>
          <w:sz w:val="20"/>
        </w:rPr>
        <w:t>Párr. 224.</w:t>
      </w:r>
    </w:p>
    <w:p>
      <w:pPr>
        <w:pStyle w:val="BodyText"/>
        <w:spacing w:before="8"/>
        <w:rPr>
          <w:rFonts w:ascii="Calibri"/>
          <w:sz w:val="19"/>
        </w:rPr>
      </w:pPr>
    </w:p>
    <w:p>
      <w:pPr>
        <w:spacing w:before="1"/>
        <w:ind w:left="681" w:right="0" w:firstLine="0"/>
        <w:jc w:val="left"/>
        <w:rPr>
          <w:sz w:val="16"/>
        </w:rPr>
      </w:pPr>
      <w:r>
        <w:rPr>
          <w:rFonts w:ascii="Calibri" w:hAnsi="Calibri"/>
          <w:position w:val="7"/>
          <w:sz w:val="13"/>
        </w:rPr>
        <w:t>62  </w:t>
      </w:r>
      <w:r>
        <w:rPr>
          <w:rFonts w:ascii="Calibri" w:hAnsi="Calibri"/>
          <w:sz w:val="20"/>
        </w:rPr>
        <w:t>Párr. </w:t>
      </w:r>
      <w:r>
        <w:rPr>
          <w:sz w:val="16"/>
        </w:rPr>
        <w:t>224</w:t>
      </w:r>
    </w:p>
    <w:p>
      <w:pPr>
        <w:pStyle w:val="BodyText"/>
        <w:spacing w:before="10"/>
        <w:rPr>
          <w:sz w:val="19"/>
        </w:rPr>
      </w:pPr>
    </w:p>
    <w:p>
      <w:pPr>
        <w:spacing w:before="0"/>
        <w:ind w:left="681" w:right="0" w:firstLine="0"/>
        <w:jc w:val="left"/>
        <w:rPr>
          <w:i/>
          <w:sz w:val="16"/>
        </w:rPr>
      </w:pPr>
      <w:r>
        <w:rPr>
          <w:rFonts w:ascii="Calibri"/>
          <w:position w:val="7"/>
          <w:sz w:val="13"/>
        </w:rPr>
        <w:t>63 </w:t>
      </w:r>
      <w:r>
        <w:rPr>
          <w:i/>
          <w:sz w:val="16"/>
        </w:rPr>
        <w:t>Idem.</w:t>
      </w:r>
    </w:p>
    <w:p>
      <w:pPr>
        <w:pStyle w:val="BodyText"/>
        <w:spacing w:before="4"/>
        <w:rPr>
          <w:i/>
          <w:sz w:val="21"/>
        </w:rPr>
      </w:pPr>
    </w:p>
    <w:p>
      <w:pPr>
        <w:pStyle w:val="BodyText"/>
        <w:spacing w:before="1"/>
        <w:ind w:left="681"/>
        <w:rPr>
          <w:rFonts w:ascii="Calibri" w:hAnsi="Calibri"/>
        </w:rPr>
      </w:pPr>
      <w:r>
        <w:rPr>
          <w:rFonts w:ascii="Calibri" w:hAnsi="Calibri"/>
          <w:position w:val="7"/>
          <w:sz w:val="13"/>
        </w:rPr>
        <w:t>64  </w:t>
      </w:r>
      <w:r>
        <w:rPr>
          <w:rFonts w:ascii="Calibri" w:hAnsi="Calibri"/>
        </w:rPr>
        <w:t>Párrs. 205 y 212.</w:t>
      </w:r>
    </w:p>
    <w:p>
      <w:pPr>
        <w:spacing w:after="0"/>
        <w:rPr>
          <w:rFonts w:ascii="Calibri" w:hAnsi="Calibri"/>
        </w:rPr>
        <w:sectPr>
          <w:pgSz w:w="12240" w:h="15840"/>
          <w:pgMar w:header="0" w:footer="1000" w:top="1220" w:bottom="1200" w:left="1020" w:right="1580"/>
        </w:sectPr>
      </w:pPr>
    </w:p>
    <w:p>
      <w:pPr>
        <w:pStyle w:val="BodyText"/>
        <w:spacing w:before="83"/>
        <w:ind w:left="681" w:right="115"/>
        <w:jc w:val="both"/>
      </w:pPr>
      <w:r>
        <w:rPr/>
        <w:t>Interamericana</w:t>
      </w:r>
      <w:r>
        <w:rPr>
          <w:spacing w:val="-8"/>
        </w:rPr>
        <w:t> </w:t>
      </w:r>
      <w:r>
        <w:rPr/>
        <w:t>sobre</w:t>
      </w:r>
      <w:r>
        <w:rPr>
          <w:spacing w:val="-8"/>
        </w:rPr>
        <w:t> </w:t>
      </w:r>
      <w:r>
        <w:rPr/>
        <w:t>la</w:t>
      </w:r>
      <w:r>
        <w:rPr>
          <w:spacing w:val="-9"/>
        </w:rPr>
        <w:t> </w:t>
      </w:r>
      <w:r>
        <w:rPr/>
        <w:t>Protección</w:t>
      </w:r>
      <w:r>
        <w:rPr>
          <w:spacing w:val="-9"/>
        </w:rPr>
        <w:t> </w:t>
      </w:r>
      <w:r>
        <w:rPr/>
        <w:t>de</w:t>
      </w:r>
      <w:r>
        <w:rPr>
          <w:spacing w:val="-8"/>
        </w:rPr>
        <w:t> </w:t>
      </w:r>
      <w:r>
        <w:rPr/>
        <w:t>los</w:t>
      </w:r>
      <w:r>
        <w:rPr>
          <w:spacing w:val="-9"/>
        </w:rPr>
        <w:t> </w:t>
      </w:r>
      <w:r>
        <w:rPr/>
        <w:t>Derechos</w:t>
      </w:r>
      <w:r>
        <w:rPr>
          <w:spacing w:val="-9"/>
        </w:rPr>
        <w:t> </w:t>
      </w:r>
      <w:r>
        <w:rPr/>
        <w:t>Humanos</w:t>
      </w:r>
      <w:r>
        <w:rPr>
          <w:spacing w:val="-7"/>
        </w:rPr>
        <w:t> </w:t>
      </w:r>
      <w:r>
        <w:rPr/>
        <w:t>de</w:t>
      </w:r>
      <w:r>
        <w:rPr>
          <w:spacing w:val="-8"/>
        </w:rPr>
        <w:t> </w:t>
      </w:r>
      <w:r>
        <w:rPr/>
        <w:t>las</w:t>
      </w:r>
      <w:r>
        <w:rPr>
          <w:spacing w:val="-9"/>
        </w:rPr>
        <w:t> </w:t>
      </w:r>
      <w:r>
        <w:rPr/>
        <w:t>Personas</w:t>
      </w:r>
      <w:r>
        <w:rPr>
          <w:spacing w:val="-9"/>
        </w:rPr>
        <w:t> </w:t>
      </w:r>
      <w:r>
        <w:rPr/>
        <w:t>Mayores</w:t>
      </w:r>
      <w:r>
        <w:rPr>
          <w:position w:val="7"/>
          <w:sz w:val="13"/>
        </w:rPr>
        <w:t>65 </w:t>
      </w:r>
      <w:r>
        <w:rPr/>
        <w:t>y por la otra, a la Declaración Americana de los Derechos y Deberes del Hombre, de 1948</w:t>
      </w:r>
      <w:r>
        <w:rPr>
          <w:position w:val="7"/>
          <w:sz w:val="13"/>
        </w:rPr>
        <w:t>66</w:t>
      </w:r>
      <w:r>
        <w:rPr/>
        <w:t>,</w:t>
      </w:r>
      <w:r>
        <w:rPr>
          <w:spacing w:val="-4"/>
        </w:rPr>
        <w:t> </w:t>
      </w:r>
      <w:r>
        <w:rPr/>
        <w:t>a</w:t>
      </w:r>
      <w:r>
        <w:rPr>
          <w:spacing w:val="-6"/>
        </w:rPr>
        <w:t> </w:t>
      </w:r>
      <w:r>
        <w:rPr/>
        <w:t>la</w:t>
      </w:r>
      <w:r>
        <w:rPr>
          <w:spacing w:val="-7"/>
        </w:rPr>
        <w:t> </w:t>
      </w:r>
      <w:r>
        <w:rPr/>
        <w:t>Declaración</w:t>
      </w:r>
      <w:r>
        <w:rPr>
          <w:spacing w:val="-6"/>
        </w:rPr>
        <w:t> </w:t>
      </w:r>
      <w:r>
        <w:rPr/>
        <w:t>Americana</w:t>
      </w:r>
      <w:r>
        <w:rPr>
          <w:spacing w:val="-6"/>
        </w:rPr>
        <w:t> </w:t>
      </w:r>
      <w:r>
        <w:rPr/>
        <w:t>sobre</w:t>
      </w:r>
      <w:r>
        <w:rPr>
          <w:spacing w:val="-5"/>
        </w:rPr>
        <w:t> </w:t>
      </w:r>
      <w:r>
        <w:rPr/>
        <w:t>Derechos</w:t>
      </w:r>
      <w:r>
        <w:rPr>
          <w:spacing w:val="-5"/>
        </w:rPr>
        <w:t> </w:t>
      </w:r>
      <w:r>
        <w:rPr/>
        <w:t>de</w:t>
      </w:r>
      <w:r>
        <w:rPr>
          <w:spacing w:val="-5"/>
        </w:rPr>
        <w:t> </w:t>
      </w:r>
      <w:r>
        <w:rPr/>
        <w:t>los</w:t>
      </w:r>
      <w:r>
        <w:rPr>
          <w:spacing w:val="-6"/>
        </w:rPr>
        <w:t> </w:t>
      </w:r>
      <w:r>
        <w:rPr/>
        <w:t>Pueblos</w:t>
      </w:r>
      <w:r>
        <w:rPr>
          <w:spacing w:val="-5"/>
        </w:rPr>
        <w:t> </w:t>
      </w:r>
      <w:r>
        <w:rPr/>
        <w:t>Indígenas,</w:t>
      </w:r>
      <w:r>
        <w:rPr>
          <w:spacing w:val="-5"/>
        </w:rPr>
        <w:t> </w:t>
      </w:r>
      <w:r>
        <w:rPr/>
        <w:t>de</w:t>
      </w:r>
      <w:r>
        <w:rPr>
          <w:spacing w:val="-4"/>
        </w:rPr>
        <w:t> </w:t>
      </w:r>
      <w:r>
        <w:rPr/>
        <w:t>2016</w:t>
      </w:r>
      <w:r>
        <w:rPr>
          <w:position w:val="7"/>
          <w:sz w:val="13"/>
        </w:rPr>
        <w:t>67 </w:t>
      </w:r>
      <w:r>
        <w:rPr/>
        <w:t>y a la Opinión Consultiva 23, de la Corte, del 15 de noviembre de 2017, titulada “Medio Ambiente y Derechos Humanos (obligaciones estatales en relación con el medio ambiente en el marco de la protección y garantía de los derechos a la vida y a la integridad personal - interpretación y alcance de los artículos 4.1 y 5.1, en relación con los artículos 1.1 y 2 de la Convención Americana sobre Derechos Humanos)”</w:t>
      </w:r>
      <w:r>
        <w:rPr>
          <w:position w:val="7"/>
          <w:sz w:val="13"/>
        </w:rPr>
        <w:t>68</w:t>
      </w:r>
      <w:r>
        <w:rPr/>
        <w:t>. Los dos primeros textos son tratados y, por tanto, de cumplimiento obligatorio. Además, el Protocolo de San Salvador se analizará más</w:t>
      </w:r>
      <w:r>
        <w:rPr>
          <w:spacing w:val="-13"/>
        </w:rPr>
        <w:t> </w:t>
      </w:r>
      <w:r>
        <w:rPr/>
        <w:t>adelante</w:t>
      </w:r>
      <w:r>
        <w:rPr>
          <w:position w:val="7"/>
          <w:sz w:val="13"/>
        </w:rPr>
        <w:t>69</w:t>
      </w:r>
      <w:r>
        <w:rPr/>
        <w:t>.</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En</w:t>
      </w:r>
      <w:r>
        <w:rPr>
          <w:spacing w:val="-4"/>
          <w:sz w:val="20"/>
        </w:rPr>
        <w:t> </w:t>
      </w:r>
      <w:r>
        <w:rPr>
          <w:sz w:val="20"/>
        </w:rPr>
        <w:t>cuanto</w:t>
      </w:r>
      <w:r>
        <w:rPr>
          <w:spacing w:val="-4"/>
          <w:sz w:val="20"/>
        </w:rPr>
        <w:t> </w:t>
      </w:r>
      <w:r>
        <w:rPr>
          <w:sz w:val="20"/>
        </w:rPr>
        <w:t>a</w:t>
      </w:r>
      <w:r>
        <w:rPr>
          <w:spacing w:val="-5"/>
          <w:sz w:val="20"/>
        </w:rPr>
        <w:t> </w:t>
      </w:r>
      <w:r>
        <w:rPr>
          <w:sz w:val="20"/>
        </w:rPr>
        <w:t>la</w:t>
      </w:r>
      <w:r>
        <w:rPr>
          <w:spacing w:val="-6"/>
          <w:sz w:val="20"/>
        </w:rPr>
        <w:t> </w:t>
      </w:r>
      <w:r>
        <w:rPr>
          <w:sz w:val="20"/>
        </w:rPr>
        <w:t>Declaración</w:t>
      </w:r>
      <w:r>
        <w:rPr>
          <w:spacing w:val="-3"/>
          <w:sz w:val="20"/>
        </w:rPr>
        <w:t> </w:t>
      </w:r>
      <w:r>
        <w:rPr>
          <w:sz w:val="20"/>
        </w:rPr>
        <w:t>Americana</w:t>
      </w:r>
      <w:r>
        <w:rPr>
          <w:spacing w:val="-3"/>
          <w:sz w:val="20"/>
        </w:rPr>
        <w:t> </w:t>
      </w:r>
      <w:r>
        <w:rPr>
          <w:sz w:val="20"/>
        </w:rPr>
        <w:t>de</w:t>
      </w:r>
      <w:r>
        <w:rPr>
          <w:spacing w:val="-4"/>
          <w:sz w:val="20"/>
        </w:rPr>
        <w:t> </w:t>
      </w:r>
      <w:r>
        <w:rPr>
          <w:sz w:val="20"/>
        </w:rPr>
        <w:t>los</w:t>
      </w:r>
      <w:r>
        <w:rPr>
          <w:spacing w:val="-6"/>
          <w:sz w:val="20"/>
        </w:rPr>
        <w:t> </w:t>
      </w:r>
      <w:r>
        <w:rPr>
          <w:sz w:val="20"/>
        </w:rPr>
        <w:t>Derechos</w:t>
      </w:r>
      <w:r>
        <w:rPr>
          <w:spacing w:val="-5"/>
          <w:sz w:val="20"/>
        </w:rPr>
        <w:t> </w:t>
      </w:r>
      <w:r>
        <w:rPr>
          <w:sz w:val="20"/>
        </w:rPr>
        <w:t>y</w:t>
      </w:r>
      <w:r>
        <w:rPr>
          <w:spacing w:val="-6"/>
          <w:sz w:val="20"/>
        </w:rPr>
        <w:t> </w:t>
      </w:r>
      <w:r>
        <w:rPr>
          <w:sz w:val="20"/>
        </w:rPr>
        <w:t>Deberes</w:t>
      </w:r>
      <w:r>
        <w:rPr>
          <w:spacing w:val="-5"/>
          <w:sz w:val="20"/>
        </w:rPr>
        <w:t> </w:t>
      </w:r>
      <w:r>
        <w:rPr>
          <w:sz w:val="20"/>
        </w:rPr>
        <w:t>del</w:t>
      </w:r>
      <w:r>
        <w:rPr>
          <w:spacing w:val="-5"/>
          <w:sz w:val="20"/>
        </w:rPr>
        <w:t> </w:t>
      </w:r>
      <w:r>
        <w:rPr>
          <w:sz w:val="20"/>
        </w:rPr>
        <w:t>Hombre</w:t>
      </w:r>
      <w:r>
        <w:rPr>
          <w:spacing w:val="-6"/>
          <w:sz w:val="20"/>
        </w:rPr>
        <w:t> </w:t>
      </w:r>
      <w:r>
        <w:rPr>
          <w:sz w:val="20"/>
        </w:rPr>
        <w:t>y</w:t>
      </w:r>
      <w:r>
        <w:rPr>
          <w:spacing w:val="-3"/>
          <w:sz w:val="20"/>
        </w:rPr>
        <w:t> </w:t>
      </w:r>
      <w:r>
        <w:rPr>
          <w:sz w:val="20"/>
        </w:rPr>
        <w:t>a la Declaración Americana sobre Derechos de los Pueblos Indígenas, ellas también son Resoluciones Internacionales Declarativas de Derecho, esto es, son fuentes auxiliares del Derecho Internacional en cuanto dan cuenta de principios generales de Derecho aplicables en las materias correspondientes, lo que, respecto a la primera Declaración citada, es reconocido por la Convención en orden a que “los derechos esenciales del hombre…(que) tienen como fundamento los atributos de la persona humana” y de que son “principios …consagrados en”</w:t>
      </w:r>
      <w:r>
        <w:rPr>
          <w:spacing w:val="-8"/>
          <w:sz w:val="20"/>
        </w:rPr>
        <w:t> </w:t>
      </w:r>
      <w:r>
        <w:rPr>
          <w:sz w:val="20"/>
        </w:rPr>
        <w:t>ella</w:t>
      </w:r>
      <w:r>
        <w:rPr>
          <w:position w:val="7"/>
          <w:sz w:val="13"/>
        </w:rPr>
        <w:t>70</w:t>
      </w:r>
      <w:r>
        <w:rPr>
          <w:sz w:val="20"/>
        </w:rPr>
        <w:t>.</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Y en lo atingente a la OC 23/17, que, como parte de la jurisprudencia, es fuente auxiliar</w:t>
      </w:r>
      <w:r>
        <w:rPr>
          <w:spacing w:val="-12"/>
          <w:sz w:val="20"/>
        </w:rPr>
        <w:t> </w:t>
      </w:r>
      <w:r>
        <w:rPr>
          <w:sz w:val="20"/>
        </w:rPr>
        <w:t>del</w:t>
      </w:r>
      <w:r>
        <w:rPr>
          <w:spacing w:val="-13"/>
          <w:sz w:val="20"/>
        </w:rPr>
        <w:t> </w:t>
      </w:r>
      <w:r>
        <w:rPr>
          <w:sz w:val="20"/>
        </w:rPr>
        <w:t>Derecho</w:t>
      </w:r>
      <w:r>
        <w:rPr>
          <w:spacing w:val="-12"/>
          <w:sz w:val="20"/>
        </w:rPr>
        <w:t> </w:t>
      </w:r>
      <w:r>
        <w:rPr>
          <w:sz w:val="20"/>
        </w:rPr>
        <w:t>Internacional</w:t>
      </w:r>
      <w:r>
        <w:rPr>
          <w:spacing w:val="-12"/>
          <w:sz w:val="20"/>
        </w:rPr>
        <w:t> </w:t>
      </w:r>
      <w:r>
        <w:rPr>
          <w:sz w:val="20"/>
        </w:rPr>
        <w:t>y,</w:t>
      </w:r>
      <w:r>
        <w:rPr>
          <w:spacing w:val="-11"/>
          <w:sz w:val="20"/>
        </w:rPr>
        <w:t> </w:t>
      </w:r>
      <w:r>
        <w:rPr>
          <w:sz w:val="20"/>
        </w:rPr>
        <w:t>por</w:t>
      </w:r>
      <w:r>
        <w:rPr>
          <w:spacing w:val="-13"/>
          <w:sz w:val="20"/>
        </w:rPr>
        <w:t> </w:t>
      </w:r>
      <w:r>
        <w:rPr>
          <w:sz w:val="20"/>
        </w:rPr>
        <w:t>ende,</w:t>
      </w:r>
      <w:r>
        <w:rPr>
          <w:spacing w:val="-12"/>
          <w:sz w:val="20"/>
        </w:rPr>
        <w:t> </w:t>
      </w:r>
      <w:r>
        <w:rPr>
          <w:sz w:val="20"/>
        </w:rPr>
        <w:t>no</w:t>
      </w:r>
      <w:r>
        <w:rPr>
          <w:spacing w:val="-12"/>
          <w:sz w:val="20"/>
        </w:rPr>
        <w:t> </w:t>
      </w:r>
      <w:r>
        <w:rPr>
          <w:sz w:val="20"/>
        </w:rPr>
        <w:t>vinculante,</w:t>
      </w:r>
      <w:r>
        <w:rPr>
          <w:spacing w:val="-11"/>
          <w:sz w:val="20"/>
        </w:rPr>
        <w:t> </w:t>
      </w:r>
      <w:r>
        <w:rPr>
          <w:sz w:val="20"/>
        </w:rPr>
        <w:t>cabe</w:t>
      </w:r>
      <w:r>
        <w:rPr>
          <w:spacing w:val="-11"/>
          <w:sz w:val="20"/>
        </w:rPr>
        <w:t> </w:t>
      </w:r>
      <w:r>
        <w:rPr>
          <w:sz w:val="20"/>
        </w:rPr>
        <w:t>afirmar</w:t>
      </w:r>
      <w:r>
        <w:rPr>
          <w:spacing w:val="-12"/>
          <w:sz w:val="20"/>
        </w:rPr>
        <w:t> </w:t>
      </w:r>
      <w:r>
        <w:rPr>
          <w:sz w:val="20"/>
        </w:rPr>
        <w:t>que,</w:t>
      </w:r>
      <w:r>
        <w:rPr>
          <w:spacing w:val="-12"/>
          <w:sz w:val="20"/>
        </w:rPr>
        <w:t> </w:t>
      </w:r>
      <w:r>
        <w:rPr>
          <w:sz w:val="20"/>
        </w:rPr>
        <w:t>tal</w:t>
      </w:r>
      <w:r>
        <w:rPr>
          <w:spacing w:val="-13"/>
          <w:sz w:val="20"/>
        </w:rPr>
        <w:t> </w:t>
      </w:r>
      <w:r>
        <w:rPr>
          <w:sz w:val="20"/>
        </w:rPr>
        <w:t>como sucede con todos los documentos citados, ella no señala en parte alguna que las presuntas violaciones de los derechos económicos, sociales y culturales pueden ser conocidas y resueltas por la Corte. No era ese su objeto. Y, además, es que no podía declarar</w:t>
      </w:r>
      <w:r>
        <w:rPr>
          <w:spacing w:val="-19"/>
          <w:sz w:val="20"/>
        </w:rPr>
        <w:t> </w:t>
      </w:r>
      <w:r>
        <w:rPr>
          <w:sz w:val="20"/>
        </w:rPr>
        <w:t>aquello,</w:t>
      </w:r>
      <w:r>
        <w:rPr>
          <w:spacing w:val="-19"/>
          <w:sz w:val="20"/>
        </w:rPr>
        <w:t> </w:t>
      </w:r>
      <w:r>
        <w:rPr>
          <w:sz w:val="20"/>
        </w:rPr>
        <w:t>ya</w:t>
      </w:r>
      <w:r>
        <w:rPr>
          <w:spacing w:val="-18"/>
          <w:sz w:val="20"/>
        </w:rPr>
        <w:t> </w:t>
      </w:r>
      <w:r>
        <w:rPr>
          <w:sz w:val="20"/>
        </w:rPr>
        <w:t>que</w:t>
      </w:r>
      <w:r>
        <w:rPr>
          <w:spacing w:val="-18"/>
          <w:sz w:val="20"/>
        </w:rPr>
        <w:t> </w:t>
      </w:r>
      <w:r>
        <w:rPr>
          <w:sz w:val="20"/>
        </w:rPr>
        <w:t>no</w:t>
      </w:r>
      <w:r>
        <w:rPr>
          <w:spacing w:val="-18"/>
          <w:sz w:val="20"/>
        </w:rPr>
        <w:t> </w:t>
      </w:r>
      <w:r>
        <w:rPr>
          <w:sz w:val="20"/>
        </w:rPr>
        <w:t>pretendía</w:t>
      </w:r>
      <w:r>
        <w:rPr>
          <w:spacing w:val="-18"/>
          <w:sz w:val="20"/>
        </w:rPr>
        <w:t> </w:t>
      </w:r>
      <w:r>
        <w:rPr>
          <w:sz w:val="20"/>
        </w:rPr>
        <w:t>interpretar</w:t>
      </w:r>
      <w:r>
        <w:rPr>
          <w:spacing w:val="-19"/>
          <w:sz w:val="20"/>
        </w:rPr>
        <w:t> </w:t>
      </w:r>
      <w:r>
        <w:rPr>
          <w:sz w:val="20"/>
        </w:rPr>
        <w:t>norma</w:t>
      </w:r>
      <w:r>
        <w:rPr>
          <w:spacing w:val="-18"/>
          <w:sz w:val="20"/>
        </w:rPr>
        <w:t> </w:t>
      </w:r>
      <w:r>
        <w:rPr>
          <w:sz w:val="20"/>
        </w:rPr>
        <w:t>alguna</w:t>
      </w:r>
      <w:r>
        <w:rPr>
          <w:spacing w:val="-19"/>
          <w:sz w:val="20"/>
        </w:rPr>
        <w:t> </w:t>
      </w:r>
      <w:r>
        <w:rPr>
          <w:sz w:val="20"/>
        </w:rPr>
        <w:t>que</w:t>
      </w:r>
      <w:r>
        <w:rPr>
          <w:spacing w:val="-18"/>
          <w:sz w:val="20"/>
        </w:rPr>
        <w:t> </w:t>
      </w:r>
      <w:r>
        <w:rPr>
          <w:sz w:val="20"/>
        </w:rPr>
        <w:t>dispusiera</w:t>
      </w:r>
      <w:r>
        <w:rPr>
          <w:spacing w:val="-20"/>
          <w:sz w:val="20"/>
        </w:rPr>
        <w:t> </w:t>
      </w:r>
      <w:r>
        <w:rPr>
          <w:sz w:val="20"/>
        </w:rPr>
        <w:t>el</w:t>
      </w:r>
      <w:r>
        <w:rPr>
          <w:spacing w:val="-18"/>
          <w:sz w:val="20"/>
        </w:rPr>
        <w:t> </w:t>
      </w:r>
      <w:r>
        <w:rPr>
          <w:sz w:val="20"/>
        </w:rPr>
        <w:t>carácter justiciable de tales</w:t>
      </w:r>
      <w:r>
        <w:rPr>
          <w:spacing w:val="-7"/>
          <w:sz w:val="20"/>
        </w:rPr>
        <w:t> </w:t>
      </w:r>
      <w:r>
        <w:rPr>
          <w:sz w:val="20"/>
        </w:rPr>
        <w:t>derechos.</w:t>
      </w:r>
    </w:p>
    <w:p>
      <w:pPr>
        <w:pStyle w:val="BodyText"/>
        <w:spacing w:before="11"/>
        <w:rPr>
          <w:sz w:val="19"/>
        </w:rPr>
      </w:pPr>
    </w:p>
    <w:p>
      <w:pPr>
        <w:pStyle w:val="ListParagraph"/>
        <w:numPr>
          <w:ilvl w:val="0"/>
          <w:numId w:val="53"/>
        </w:numPr>
        <w:tabs>
          <w:tab w:pos="1390" w:val="left" w:leader="none"/>
        </w:tabs>
        <w:spacing w:line="240" w:lineRule="auto" w:before="0" w:after="0"/>
        <w:ind w:left="681" w:right="115" w:firstLine="0"/>
        <w:jc w:val="both"/>
        <w:rPr>
          <w:i/>
          <w:sz w:val="20"/>
        </w:rPr>
      </w:pPr>
      <w:r>
        <w:rPr>
          <w:sz w:val="20"/>
        </w:rPr>
        <w:t>Igualmente,</w:t>
      </w:r>
      <w:r>
        <w:rPr>
          <w:spacing w:val="-6"/>
          <w:sz w:val="20"/>
        </w:rPr>
        <w:t> </w:t>
      </w:r>
      <w:r>
        <w:rPr>
          <w:sz w:val="20"/>
        </w:rPr>
        <w:t>se</w:t>
      </w:r>
      <w:r>
        <w:rPr>
          <w:spacing w:val="-5"/>
          <w:sz w:val="20"/>
        </w:rPr>
        <w:t> </w:t>
      </w:r>
      <w:r>
        <w:rPr>
          <w:sz w:val="20"/>
        </w:rPr>
        <w:t>debe</w:t>
      </w:r>
      <w:r>
        <w:rPr>
          <w:spacing w:val="-6"/>
          <w:sz w:val="20"/>
        </w:rPr>
        <w:t> </w:t>
      </w:r>
      <w:r>
        <w:rPr>
          <w:sz w:val="20"/>
        </w:rPr>
        <w:t>hacer</w:t>
      </w:r>
      <w:r>
        <w:rPr>
          <w:spacing w:val="-6"/>
          <w:sz w:val="20"/>
        </w:rPr>
        <w:t> </w:t>
      </w:r>
      <w:r>
        <w:rPr>
          <w:sz w:val="20"/>
        </w:rPr>
        <w:t>presente</w:t>
      </w:r>
      <w:r>
        <w:rPr>
          <w:spacing w:val="-5"/>
          <w:sz w:val="20"/>
        </w:rPr>
        <w:t> </w:t>
      </w:r>
      <w:r>
        <w:rPr>
          <w:sz w:val="20"/>
        </w:rPr>
        <w:t>que,</w:t>
      </w:r>
      <w:r>
        <w:rPr>
          <w:spacing w:val="-6"/>
          <w:sz w:val="20"/>
        </w:rPr>
        <w:t> </w:t>
      </w:r>
      <w:r>
        <w:rPr>
          <w:sz w:val="20"/>
        </w:rPr>
        <w:t>para</w:t>
      </w:r>
      <w:r>
        <w:rPr>
          <w:spacing w:val="-7"/>
          <w:sz w:val="20"/>
        </w:rPr>
        <w:t> </w:t>
      </w:r>
      <w:r>
        <w:rPr>
          <w:sz w:val="20"/>
        </w:rPr>
        <w:t>sostener</w:t>
      </w:r>
      <w:r>
        <w:rPr>
          <w:spacing w:val="-7"/>
          <w:sz w:val="20"/>
        </w:rPr>
        <w:t> </w:t>
      </w:r>
      <w:r>
        <w:rPr>
          <w:sz w:val="20"/>
        </w:rPr>
        <w:t>su</w:t>
      </w:r>
      <w:r>
        <w:rPr>
          <w:spacing w:val="-7"/>
          <w:sz w:val="20"/>
        </w:rPr>
        <w:t> </w:t>
      </w:r>
      <w:r>
        <w:rPr>
          <w:sz w:val="20"/>
        </w:rPr>
        <w:t>competencia</w:t>
      </w:r>
      <w:r>
        <w:rPr>
          <w:spacing w:val="-7"/>
          <w:sz w:val="20"/>
        </w:rPr>
        <w:t> </w:t>
      </w:r>
      <w:r>
        <w:rPr>
          <w:sz w:val="20"/>
        </w:rPr>
        <w:t>respecto de</w:t>
      </w:r>
      <w:r>
        <w:rPr>
          <w:spacing w:val="-9"/>
          <w:sz w:val="20"/>
        </w:rPr>
        <w:t> </w:t>
      </w:r>
      <w:r>
        <w:rPr>
          <w:sz w:val="20"/>
        </w:rPr>
        <w:t>lo</w:t>
      </w:r>
      <w:r>
        <w:rPr>
          <w:spacing w:val="-8"/>
          <w:sz w:val="20"/>
        </w:rPr>
        <w:t> </w:t>
      </w:r>
      <w:r>
        <w:rPr>
          <w:sz w:val="20"/>
        </w:rPr>
        <w:t>dispuesto</w:t>
      </w:r>
      <w:r>
        <w:rPr>
          <w:spacing w:val="-8"/>
          <w:sz w:val="20"/>
        </w:rPr>
        <w:t> </w:t>
      </w:r>
      <w:r>
        <w:rPr>
          <w:sz w:val="20"/>
        </w:rPr>
        <w:t>por</w:t>
      </w:r>
      <w:r>
        <w:rPr>
          <w:spacing w:val="-10"/>
          <w:sz w:val="20"/>
        </w:rPr>
        <w:t> </w:t>
      </w:r>
      <w:r>
        <w:rPr>
          <w:sz w:val="20"/>
        </w:rPr>
        <w:t>el</w:t>
      </w:r>
      <w:r>
        <w:rPr>
          <w:spacing w:val="-8"/>
          <w:sz w:val="20"/>
        </w:rPr>
        <w:t> </w:t>
      </w:r>
      <w:r>
        <w:rPr>
          <w:sz w:val="20"/>
        </w:rPr>
        <w:t>artículo</w:t>
      </w:r>
      <w:r>
        <w:rPr>
          <w:spacing w:val="-8"/>
          <w:sz w:val="20"/>
        </w:rPr>
        <w:t> </w:t>
      </w:r>
      <w:r>
        <w:rPr>
          <w:sz w:val="20"/>
        </w:rPr>
        <w:t>26,</w:t>
      </w:r>
      <w:r>
        <w:rPr>
          <w:spacing w:val="-9"/>
          <w:sz w:val="20"/>
        </w:rPr>
        <w:t> </w:t>
      </w:r>
      <w:r>
        <w:rPr>
          <w:sz w:val="20"/>
        </w:rPr>
        <w:t>la</w:t>
      </w:r>
      <w:r>
        <w:rPr>
          <w:spacing w:val="-10"/>
          <w:sz w:val="20"/>
        </w:rPr>
        <w:t> </w:t>
      </w:r>
      <w:r>
        <w:rPr>
          <w:sz w:val="20"/>
        </w:rPr>
        <w:t>Sentencia</w:t>
      </w:r>
      <w:r>
        <w:rPr>
          <w:spacing w:val="-9"/>
          <w:sz w:val="20"/>
        </w:rPr>
        <w:t> </w:t>
      </w:r>
      <w:r>
        <w:rPr>
          <w:sz w:val="20"/>
        </w:rPr>
        <w:t>recurre</w:t>
      </w:r>
      <w:r>
        <w:rPr>
          <w:spacing w:val="-9"/>
          <w:sz w:val="20"/>
        </w:rPr>
        <w:t> </w:t>
      </w:r>
      <w:r>
        <w:rPr>
          <w:sz w:val="20"/>
        </w:rPr>
        <w:t>especialmente</w:t>
      </w:r>
      <w:r>
        <w:rPr>
          <w:spacing w:val="-7"/>
          <w:sz w:val="20"/>
        </w:rPr>
        <w:t> </w:t>
      </w:r>
      <w:r>
        <w:rPr>
          <w:sz w:val="20"/>
        </w:rPr>
        <w:t>a</w:t>
      </w:r>
      <w:r>
        <w:rPr>
          <w:spacing w:val="-11"/>
          <w:sz w:val="20"/>
        </w:rPr>
        <w:t> </w:t>
      </w:r>
      <w:r>
        <w:rPr>
          <w:sz w:val="20"/>
        </w:rPr>
        <w:t>la</w:t>
      </w:r>
      <w:r>
        <w:rPr>
          <w:spacing w:val="-8"/>
          <w:sz w:val="20"/>
        </w:rPr>
        <w:t> </w:t>
      </w:r>
      <w:r>
        <w:rPr>
          <w:sz w:val="20"/>
        </w:rPr>
        <w:t>jurisprudencia de</w:t>
      </w:r>
      <w:r>
        <w:rPr>
          <w:spacing w:val="-4"/>
          <w:sz w:val="20"/>
        </w:rPr>
        <w:t> </w:t>
      </w:r>
      <w:r>
        <w:rPr>
          <w:sz w:val="20"/>
        </w:rPr>
        <w:t>la</w:t>
      </w:r>
      <w:r>
        <w:rPr>
          <w:spacing w:val="-6"/>
          <w:sz w:val="20"/>
        </w:rPr>
        <w:t> </w:t>
      </w:r>
      <w:r>
        <w:rPr>
          <w:sz w:val="20"/>
        </w:rPr>
        <w:t>propia</w:t>
      </w:r>
      <w:r>
        <w:rPr>
          <w:spacing w:val="-6"/>
          <w:sz w:val="20"/>
        </w:rPr>
        <w:t> </w:t>
      </w:r>
      <w:r>
        <w:rPr>
          <w:sz w:val="20"/>
        </w:rPr>
        <w:t>Corte</w:t>
      </w:r>
      <w:r>
        <w:rPr>
          <w:position w:val="7"/>
          <w:sz w:val="13"/>
        </w:rPr>
        <w:t>71</w:t>
      </w:r>
      <w:r>
        <w:rPr>
          <w:sz w:val="20"/>
        </w:rPr>
        <w:t>,</w:t>
      </w:r>
      <w:r>
        <w:rPr>
          <w:spacing w:val="-4"/>
          <w:sz w:val="20"/>
        </w:rPr>
        <w:t> </w:t>
      </w:r>
      <w:r>
        <w:rPr>
          <w:sz w:val="20"/>
        </w:rPr>
        <w:t>la</w:t>
      </w:r>
      <w:r>
        <w:rPr>
          <w:spacing w:val="-5"/>
          <w:sz w:val="20"/>
        </w:rPr>
        <w:t> </w:t>
      </w:r>
      <w:r>
        <w:rPr>
          <w:sz w:val="20"/>
        </w:rPr>
        <w:t>que,</w:t>
      </w:r>
      <w:r>
        <w:rPr>
          <w:spacing w:val="-4"/>
          <w:sz w:val="20"/>
        </w:rPr>
        <w:t> </w:t>
      </w:r>
      <w:r>
        <w:rPr>
          <w:sz w:val="20"/>
        </w:rPr>
        <w:t>a</w:t>
      </w:r>
      <w:r>
        <w:rPr>
          <w:spacing w:val="-5"/>
          <w:sz w:val="20"/>
        </w:rPr>
        <w:t> </w:t>
      </w:r>
      <w:r>
        <w:rPr>
          <w:sz w:val="20"/>
        </w:rPr>
        <w:t>su</w:t>
      </w:r>
      <w:r>
        <w:rPr>
          <w:spacing w:val="-4"/>
          <w:sz w:val="20"/>
        </w:rPr>
        <w:t> </w:t>
      </w:r>
      <w:r>
        <w:rPr>
          <w:sz w:val="20"/>
        </w:rPr>
        <w:t>vez,</w:t>
      </w:r>
      <w:r>
        <w:rPr>
          <w:spacing w:val="-5"/>
          <w:sz w:val="20"/>
        </w:rPr>
        <w:t> </w:t>
      </w:r>
      <w:r>
        <w:rPr>
          <w:sz w:val="20"/>
        </w:rPr>
        <w:t>se</w:t>
      </w:r>
      <w:r>
        <w:rPr>
          <w:spacing w:val="-5"/>
          <w:sz w:val="20"/>
        </w:rPr>
        <w:t> </w:t>
      </w:r>
      <w:r>
        <w:rPr>
          <w:sz w:val="20"/>
        </w:rPr>
        <w:t>fundamenta</w:t>
      </w:r>
      <w:r>
        <w:rPr>
          <w:spacing w:val="-5"/>
          <w:sz w:val="20"/>
        </w:rPr>
        <w:t> </w:t>
      </w:r>
      <w:r>
        <w:rPr>
          <w:sz w:val="20"/>
        </w:rPr>
        <w:t>en</w:t>
      </w:r>
      <w:r>
        <w:rPr>
          <w:spacing w:val="-4"/>
          <w:sz w:val="20"/>
        </w:rPr>
        <w:t> </w:t>
      </w:r>
      <w:r>
        <w:rPr>
          <w:sz w:val="20"/>
        </w:rPr>
        <w:t>lo</w:t>
      </w:r>
      <w:r>
        <w:rPr>
          <w:spacing w:val="-6"/>
          <w:sz w:val="20"/>
        </w:rPr>
        <w:t> </w:t>
      </w:r>
      <w:r>
        <w:rPr>
          <w:sz w:val="20"/>
        </w:rPr>
        <w:t>indicado en</w:t>
      </w:r>
      <w:r>
        <w:rPr>
          <w:spacing w:val="-4"/>
          <w:sz w:val="20"/>
        </w:rPr>
        <w:t> </w:t>
      </w:r>
      <w:r>
        <w:rPr>
          <w:sz w:val="20"/>
        </w:rPr>
        <w:t>los</w:t>
      </w:r>
      <w:r>
        <w:rPr>
          <w:spacing w:val="-4"/>
          <w:sz w:val="20"/>
        </w:rPr>
        <w:t> </w:t>
      </w:r>
      <w:r>
        <w:rPr>
          <w:sz w:val="20"/>
        </w:rPr>
        <w:t>instrumentos precedentemente señalados e incluso en cuanto al derecho al agua, en el principio</w:t>
      </w:r>
      <w:r>
        <w:rPr>
          <w:spacing w:val="41"/>
          <w:sz w:val="20"/>
        </w:rPr>
        <w:t> </w:t>
      </w:r>
      <w:r>
        <w:rPr>
          <w:i/>
          <w:sz w:val="20"/>
        </w:rPr>
        <w:t>iura</w:t>
      </w:r>
    </w:p>
    <w:p>
      <w:pPr>
        <w:pStyle w:val="BodyText"/>
        <w:rPr>
          <w:i/>
        </w:rPr>
      </w:pPr>
    </w:p>
    <w:p>
      <w:pPr>
        <w:pStyle w:val="BodyText"/>
        <w:rPr>
          <w:i/>
        </w:rPr>
      </w:pPr>
    </w:p>
    <w:p>
      <w:pPr>
        <w:pStyle w:val="BodyText"/>
        <w:rPr>
          <w:i/>
          <w:sz w:val="18"/>
        </w:rPr>
      </w:pPr>
      <w:r>
        <w:rPr/>
        <w:pict>
          <v:line style="position:absolute;mso-position-horizontal-relative:page;mso-position-vertical-relative:paragraph;z-index:4120;mso-wrap-distance-left:0;mso-wrap-distance-right:0" from="56.700001pt,13.279038pt" to="200.720001pt,13.279038pt" stroked="true" strokeweight=".72pt" strokecolor="#000000">
            <v:stroke dashstyle="solid"/>
            <w10:wrap type="topAndBottom"/>
          </v:line>
        </w:pict>
      </w:r>
    </w:p>
    <w:p>
      <w:pPr>
        <w:spacing w:before="66"/>
        <w:ind w:left="681" w:right="0" w:firstLine="0"/>
        <w:jc w:val="both"/>
        <w:rPr>
          <w:rFonts w:ascii="Calibri" w:hAnsi="Calibri"/>
          <w:sz w:val="20"/>
        </w:rPr>
      </w:pPr>
      <w:r>
        <w:rPr>
          <w:rFonts w:ascii="Calibri" w:hAnsi="Calibri"/>
          <w:position w:val="7"/>
          <w:sz w:val="13"/>
        </w:rPr>
        <w:t>65 </w:t>
      </w:r>
      <w:r>
        <w:rPr>
          <w:rFonts w:ascii="Calibri" w:hAnsi="Calibri"/>
          <w:sz w:val="20"/>
        </w:rPr>
        <w:t>Párr.224.</w:t>
      </w:r>
    </w:p>
    <w:p>
      <w:pPr>
        <w:pStyle w:val="BodyText"/>
        <w:spacing w:before="8"/>
        <w:rPr>
          <w:rFonts w:ascii="Calibri"/>
          <w:sz w:val="19"/>
        </w:rPr>
      </w:pPr>
    </w:p>
    <w:p>
      <w:pPr>
        <w:pStyle w:val="BodyText"/>
        <w:spacing w:before="1"/>
        <w:ind w:left="681"/>
        <w:jc w:val="both"/>
        <w:rPr>
          <w:rFonts w:ascii="Calibri" w:hAnsi="Calibri"/>
        </w:rPr>
      </w:pPr>
      <w:r>
        <w:rPr>
          <w:rFonts w:ascii="Calibri" w:hAnsi="Calibri"/>
          <w:position w:val="7"/>
          <w:sz w:val="13"/>
        </w:rPr>
        <w:t>66  </w:t>
      </w:r>
      <w:r>
        <w:rPr>
          <w:rFonts w:ascii="Calibri" w:hAnsi="Calibri"/>
        </w:rPr>
        <w:t>Párrs. 211 y 232.</w:t>
      </w:r>
    </w:p>
    <w:p>
      <w:pPr>
        <w:pStyle w:val="BodyText"/>
        <w:spacing w:before="9"/>
        <w:rPr>
          <w:rFonts w:ascii="Calibri"/>
          <w:sz w:val="19"/>
        </w:rPr>
      </w:pPr>
    </w:p>
    <w:p>
      <w:pPr>
        <w:spacing w:before="0"/>
        <w:ind w:left="681" w:right="0" w:firstLine="0"/>
        <w:jc w:val="both"/>
        <w:rPr>
          <w:rFonts w:ascii="Calibri" w:hAnsi="Calibri"/>
          <w:sz w:val="20"/>
        </w:rPr>
      </w:pPr>
      <w:r>
        <w:rPr>
          <w:rFonts w:ascii="Calibri" w:hAnsi="Calibri"/>
          <w:position w:val="7"/>
          <w:sz w:val="13"/>
        </w:rPr>
        <w:t>67  </w:t>
      </w:r>
      <w:r>
        <w:rPr>
          <w:rFonts w:ascii="Calibri" w:hAnsi="Calibri"/>
          <w:sz w:val="20"/>
        </w:rPr>
        <w:t>Párr. 248.</w:t>
      </w:r>
    </w:p>
    <w:p>
      <w:pPr>
        <w:pStyle w:val="BodyText"/>
        <w:rPr>
          <w:rFonts w:ascii="Calibri"/>
        </w:rPr>
      </w:pPr>
    </w:p>
    <w:p>
      <w:pPr>
        <w:spacing w:before="0"/>
        <w:ind w:left="681" w:right="0" w:firstLine="0"/>
        <w:jc w:val="both"/>
        <w:rPr>
          <w:sz w:val="16"/>
        </w:rPr>
      </w:pPr>
      <w:r>
        <w:rPr>
          <w:position w:val="6"/>
          <w:sz w:val="10"/>
        </w:rPr>
        <w:t>68  </w:t>
      </w:r>
      <w:r>
        <w:rPr>
          <w:sz w:val="16"/>
        </w:rPr>
        <w:t>Párr. 203.</w:t>
      </w:r>
    </w:p>
    <w:p>
      <w:pPr>
        <w:pStyle w:val="BodyText"/>
        <w:spacing w:before="7"/>
        <w:rPr>
          <w:sz w:val="15"/>
        </w:rPr>
      </w:pPr>
    </w:p>
    <w:p>
      <w:pPr>
        <w:spacing w:before="0"/>
        <w:ind w:left="681" w:right="0" w:firstLine="0"/>
        <w:jc w:val="both"/>
        <w:rPr>
          <w:rFonts w:ascii="Calibri"/>
          <w:sz w:val="20"/>
        </w:rPr>
      </w:pPr>
      <w:r>
        <w:rPr>
          <w:rFonts w:ascii="Calibri"/>
          <w:position w:val="7"/>
          <w:sz w:val="13"/>
        </w:rPr>
        <w:t>69  </w:t>
      </w:r>
      <w:r>
        <w:rPr>
          <w:rFonts w:ascii="Calibri"/>
          <w:i/>
          <w:sz w:val="20"/>
        </w:rPr>
        <w:t>Infra, </w:t>
      </w:r>
      <w:r>
        <w:rPr>
          <w:rFonts w:ascii="Calibri"/>
          <w:sz w:val="20"/>
        </w:rPr>
        <w:t>IV.</w:t>
      </w:r>
    </w:p>
    <w:p>
      <w:pPr>
        <w:pStyle w:val="BodyText"/>
        <w:rPr>
          <w:rFonts w:ascii="Calibri"/>
        </w:rPr>
      </w:pPr>
    </w:p>
    <w:p>
      <w:pPr>
        <w:spacing w:before="0"/>
        <w:ind w:left="681" w:right="121" w:firstLine="0"/>
        <w:jc w:val="both"/>
        <w:rPr>
          <w:i/>
          <w:sz w:val="16"/>
        </w:rPr>
      </w:pPr>
      <w:r>
        <w:rPr>
          <w:position w:val="6"/>
          <w:sz w:val="10"/>
        </w:rPr>
        <w:t>70 </w:t>
      </w:r>
      <w:r>
        <w:rPr>
          <w:sz w:val="16"/>
        </w:rPr>
        <w:t>Párrs. 2 y 3 de Preámbulo: </w:t>
      </w:r>
      <w:r>
        <w:rPr>
          <w:i/>
          <w:sz w:val="16"/>
        </w:rPr>
        <w:t>“Reconociendo que los derechos esenciales del hombre no nacen del hecho de </w:t>
      </w:r>
      <w:r>
        <w:rPr>
          <w:i/>
          <w:sz w:val="16"/>
        </w:rPr>
        <w:t>ser nacional de determinado Estado, sino que tienen como fundamento los atributos de la persona humana, razón por la cual justifican una protección internacional, de naturaleza convencional coadyuvante o complementaria de la que ofrece el derecho interno de los Estados americanos;</w:t>
      </w:r>
    </w:p>
    <w:p>
      <w:pPr>
        <w:spacing w:before="0"/>
        <w:ind w:left="681" w:right="121" w:firstLine="0"/>
        <w:jc w:val="both"/>
        <w:rPr>
          <w:i/>
          <w:sz w:val="16"/>
        </w:rPr>
      </w:pPr>
      <w:r>
        <w:rPr>
          <w:i/>
          <w:sz w:val="16"/>
        </w:rPr>
        <w:t>Considerando que estos principios han sido consagrados en la Carta de la Organización de los Estados </w:t>
      </w:r>
      <w:r>
        <w:rPr>
          <w:i/>
          <w:sz w:val="16"/>
        </w:rPr>
        <w:t>Americanos,</w:t>
      </w:r>
      <w:r>
        <w:rPr>
          <w:i/>
          <w:spacing w:val="-7"/>
          <w:sz w:val="16"/>
        </w:rPr>
        <w:t> </w:t>
      </w:r>
      <w:r>
        <w:rPr>
          <w:i/>
          <w:sz w:val="16"/>
        </w:rPr>
        <w:t>en</w:t>
      </w:r>
      <w:r>
        <w:rPr>
          <w:i/>
          <w:spacing w:val="-7"/>
          <w:sz w:val="16"/>
        </w:rPr>
        <w:t> </w:t>
      </w:r>
      <w:r>
        <w:rPr>
          <w:i/>
          <w:sz w:val="16"/>
        </w:rPr>
        <w:t>la</w:t>
      </w:r>
      <w:r>
        <w:rPr>
          <w:i/>
          <w:spacing w:val="-7"/>
          <w:sz w:val="16"/>
        </w:rPr>
        <w:t> </w:t>
      </w:r>
      <w:r>
        <w:rPr>
          <w:i/>
          <w:sz w:val="16"/>
        </w:rPr>
        <w:t>Declaración</w:t>
      </w:r>
      <w:r>
        <w:rPr>
          <w:i/>
          <w:spacing w:val="-7"/>
          <w:sz w:val="16"/>
        </w:rPr>
        <w:t> </w:t>
      </w:r>
      <w:r>
        <w:rPr>
          <w:i/>
          <w:sz w:val="16"/>
        </w:rPr>
        <w:t>Americana</w:t>
      </w:r>
      <w:r>
        <w:rPr>
          <w:i/>
          <w:spacing w:val="-7"/>
          <w:sz w:val="16"/>
        </w:rPr>
        <w:t> </w:t>
      </w:r>
      <w:r>
        <w:rPr>
          <w:i/>
          <w:sz w:val="16"/>
        </w:rPr>
        <w:t>de</w:t>
      </w:r>
      <w:r>
        <w:rPr>
          <w:i/>
          <w:spacing w:val="-7"/>
          <w:sz w:val="16"/>
        </w:rPr>
        <w:t> </w:t>
      </w:r>
      <w:r>
        <w:rPr>
          <w:i/>
          <w:sz w:val="16"/>
        </w:rPr>
        <w:t>los</w:t>
      </w:r>
      <w:r>
        <w:rPr>
          <w:i/>
          <w:spacing w:val="-7"/>
          <w:sz w:val="16"/>
        </w:rPr>
        <w:t> </w:t>
      </w:r>
      <w:r>
        <w:rPr>
          <w:i/>
          <w:sz w:val="16"/>
        </w:rPr>
        <w:t>Derechos</w:t>
      </w:r>
      <w:r>
        <w:rPr>
          <w:i/>
          <w:spacing w:val="-6"/>
          <w:sz w:val="16"/>
        </w:rPr>
        <w:t> </w:t>
      </w:r>
      <w:r>
        <w:rPr>
          <w:i/>
          <w:sz w:val="16"/>
        </w:rPr>
        <w:t>y</w:t>
      </w:r>
      <w:r>
        <w:rPr>
          <w:i/>
          <w:spacing w:val="-7"/>
          <w:sz w:val="16"/>
        </w:rPr>
        <w:t> </w:t>
      </w:r>
      <w:r>
        <w:rPr>
          <w:i/>
          <w:sz w:val="16"/>
        </w:rPr>
        <w:t>Deberes</w:t>
      </w:r>
      <w:r>
        <w:rPr>
          <w:i/>
          <w:spacing w:val="-7"/>
          <w:sz w:val="16"/>
        </w:rPr>
        <w:t> </w:t>
      </w:r>
      <w:r>
        <w:rPr>
          <w:i/>
          <w:sz w:val="16"/>
        </w:rPr>
        <w:t>del</w:t>
      </w:r>
      <w:r>
        <w:rPr>
          <w:i/>
          <w:spacing w:val="-6"/>
          <w:sz w:val="16"/>
        </w:rPr>
        <w:t> </w:t>
      </w:r>
      <w:r>
        <w:rPr>
          <w:i/>
          <w:sz w:val="16"/>
        </w:rPr>
        <w:t>Hombre</w:t>
      </w:r>
      <w:r>
        <w:rPr>
          <w:i/>
          <w:spacing w:val="-6"/>
          <w:sz w:val="16"/>
        </w:rPr>
        <w:t> </w:t>
      </w:r>
      <w:r>
        <w:rPr>
          <w:i/>
          <w:sz w:val="16"/>
        </w:rPr>
        <w:t>y</w:t>
      </w:r>
      <w:r>
        <w:rPr>
          <w:i/>
          <w:spacing w:val="-5"/>
          <w:sz w:val="16"/>
        </w:rPr>
        <w:t> </w:t>
      </w:r>
      <w:r>
        <w:rPr>
          <w:i/>
          <w:sz w:val="16"/>
        </w:rPr>
        <w:t>en</w:t>
      </w:r>
      <w:r>
        <w:rPr>
          <w:i/>
          <w:spacing w:val="-8"/>
          <w:sz w:val="16"/>
        </w:rPr>
        <w:t> </w:t>
      </w:r>
      <w:r>
        <w:rPr>
          <w:i/>
          <w:sz w:val="16"/>
        </w:rPr>
        <w:t>la</w:t>
      </w:r>
      <w:r>
        <w:rPr>
          <w:i/>
          <w:spacing w:val="-6"/>
          <w:sz w:val="16"/>
        </w:rPr>
        <w:t> </w:t>
      </w:r>
      <w:r>
        <w:rPr>
          <w:i/>
          <w:sz w:val="16"/>
        </w:rPr>
        <w:t>Declaración</w:t>
      </w:r>
      <w:r>
        <w:rPr>
          <w:i/>
          <w:spacing w:val="-6"/>
          <w:sz w:val="16"/>
        </w:rPr>
        <w:t> </w:t>
      </w:r>
      <w:r>
        <w:rPr>
          <w:i/>
          <w:sz w:val="16"/>
        </w:rPr>
        <w:t>Universal de los Derechos Humanos que han sido reafirmados y desarrollados en otros instrumentos internacionales, tanto de ámbito universal como</w:t>
      </w:r>
      <w:r>
        <w:rPr>
          <w:i/>
          <w:spacing w:val="-12"/>
          <w:sz w:val="16"/>
        </w:rPr>
        <w:t> </w:t>
      </w:r>
      <w:r>
        <w:rPr>
          <w:i/>
          <w:sz w:val="16"/>
        </w:rPr>
        <w:t>regional;”</w:t>
      </w:r>
    </w:p>
    <w:p>
      <w:pPr>
        <w:pStyle w:val="BodyText"/>
        <w:rPr>
          <w:i/>
          <w:sz w:val="16"/>
        </w:rPr>
      </w:pPr>
    </w:p>
    <w:p>
      <w:pPr>
        <w:spacing w:before="0"/>
        <w:ind w:left="681" w:right="0" w:firstLine="0"/>
        <w:jc w:val="both"/>
        <w:rPr>
          <w:sz w:val="16"/>
        </w:rPr>
      </w:pPr>
      <w:r>
        <w:rPr>
          <w:position w:val="6"/>
          <w:sz w:val="10"/>
        </w:rPr>
        <w:t>71  </w:t>
      </w:r>
      <w:r>
        <w:rPr>
          <w:sz w:val="16"/>
        </w:rPr>
        <w:t>Párrs. 195 a 197, 203, 206 a 209, 216, 226, 244 y 252.</w:t>
      </w:r>
    </w:p>
    <w:p>
      <w:pPr>
        <w:spacing w:after="0"/>
        <w:jc w:val="both"/>
        <w:rPr>
          <w:sz w:val="16"/>
        </w:rPr>
        <w:sectPr>
          <w:pgSz w:w="12240" w:h="15840"/>
          <w:pgMar w:header="0" w:footer="1000" w:top="1220" w:bottom="1200" w:left="1020" w:right="1580"/>
        </w:sectPr>
      </w:pPr>
    </w:p>
    <w:p>
      <w:pPr>
        <w:pStyle w:val="BodyText"/>
        <w:spacing w:before="83"/>
        <w:ind w:left="681" w:right="120"/>
        <w:jc w:val="both"/>
      </w:pPr>
      <w:r>
        <w:rPr>
          <w:i/>
        </w:rPr>
        <w:t>novit curia</w:t>
      </w:r>
      <w:r>
        <w:rPr>
          <w:i/>
          <w:position w:val="7"/>
          <w:sz w:val="13"/>
        </w:rPr>
        <w:t>72</w:t>
      </w:r>
      <w:r>
        <w:rPr/>
        <w:t>, de donde se desprende que, en definitiva, el sustento de su posición son dichos instrumentos y no su propia jurisprudencia.</w:t>
      </w:r>
    </w:p>
    <w:p>
      <w:pPr>
        <w:pStyle w:val="BodyText"/>
        <w:spacing w:before="11"/>
        <w:rPr>
          <w:sz w:val="19"/>
        </w:rPr>
      </w:pPr>
    </w:p>
    <w:p>
      <w:pPr>
        <w:pStyle w:val="ListParagraph"/>
        <w:numPr>
          <w:ilvl w:val="0"/>
          <w:numId w:val="53"/>
        </w:numPr>
        <w:tabs>
          <w:tab w:pos="1390" w:val="left" w:leader="none"/>
        </w:tabs>
        <w:spacing w:line="240" w:lineRule="auto" w:before="0" w:after="0"/>
        <w:ind w:left="681" w:right="116" w:firstLine="0"/>
        <w:jc w:val="both"/>
        <w:rPr>
          <w:sz w:val="20"/>
        </w:rPr>
      </w:pPr>
      <w:r>
        <w:rPr>
          <w:sz w:val="20"/>
        </w:rPr>
        <w:t>En</w:t>
      </w:r>
      <w:r>
        <w:rPr>
          <w:spacing w:val="-11"/>
          <w:sz w:val="20"/>
        </w:rPr>
        <w:t> </w:t>
      </w:r>
      <w:r>
        <w:rPr>
          <w:sz w:val="20"/>
        </w:rPr>
        <w:t>esa</w:t>
      </w:r>
      <w:r>
        <w:rPr>
          <w:spacing w:val="-11"/>
          <w:sz w:val="20"/>
        </w:rPr>
        <w:t> </w:t>
      </w:r>
      <w:r>
        <w:rPr>
          <w:sz w:val="20"/>
        </w:rPr>
        <w:t>perspectiva</w:t>
      </w:r>
      <w:r>
        <w:rPr>
          <w:spacing w:val="-11"/>
          <w:sz w:val="20"/>
        </w:rPr>
        <w:t> </w:t>
      </w:r>
      <w:r>
        <w:rPr>
          <w:sz w:val="20"/>
        </w:rPr>
        <w:t>y</w:t>
      </w:r>
      <w:r>
        <w:rPr>
          <w:spacing w:val="-12"/>
          <w:sz w:val="20"/>
        </w:rPr>
        <w:t> </w:t>
      </w:r>
      <w:r>
        <w:rPr>
          <w:sz w:val="20"/>
        </w:rPr>
        <w:t>teniendo</w:t>
      </w:r>
      <w:r>
        <w:rPr>
          <w:spacing w:val="-11"/>
          <w:sz w:val="20"/>
        </w:rPr>
        <w:t> </w:t>
      </w:r>
      <w:r>
        <w:rPr>
          <w:sz w:val="20"/>
        </w:rPr>
        <w:t>presente</w:t>
      </w:r>
      <w:r>
        <w:rPr>
          <w:spacing w:val="-11"/>
          <w:sz w:val="20"/>
        </w:rPr>
        <w:t> </w:t>
      </w:r>
      <w:r>
        <w:rPr>
          <w:sz w:val="20"/>
        </w:rPr>
        <w:t>que</w:t>
      </w:r>
      <w:r>
        <w:rPr>
          <w:spacing w:val="-10"/>
          <w:sz w:val="20"/>
        </w:rPr>
        <w:t> </w:t>
      </w:r>
      <w:r>
        <w:rPr>
          <w:sz w:val="20"/>
        </w:rPr>
        <w:t>los</w:t>
      </w:r>
      <w:r>
        <w:rPr>
          <w:spacing w:val="-12"/>
          <w:sz w:val="20"/>
        </w:rPr>
        <w:t> </w:t>
      </w:r>
      <w:r>
        <w:rPr>
          <w:sz w:val="20"/>
        </w:rPr>
        <w:t>textos</w:t>
      </w:r>
      <w:r>
        <w:rPr>
          <w:spacing w:val="-11"/>
          <w:sz w:val="20"/>
        </w:rPr>
        <w:t> </w:t>
      </w:r>
      <w:r>
        <w:rPr>
          <w:sz w:val="20"/>
        </w:rPr>
        <w:t>aludidos</w:t>
      </w:r>
      <w:r>
        <w:rPr>
          <w:spacing w:val="-11"/>
          <w:sz w:val="20"/>
        </w:rPr>
        <w:t> </w:t>
      </w:r>
      <w:r>
        <w:rPr>
          <w:sz w:val="20"/>
        </w:rPr>
        <w:t>son</w:t>
      </w:r>
      <w:r>
        <w:rPr>
          <w:spacing w:val="-11"/>
          <w:sz w:val="20"/>
        </w:rPr>
        <w:t> </w:t>
      </w:r>
      <w:r>
        <w:rPr>
          <w:sz w:val="20"/>
        </w:rPr>
        <w:t>invocados</w:t>
      </w:r>
      <w:r>
        <w:rPr>
          <w:spacing w:val="-11"/>
          <w:sz w:val="20"/>
        </w:rPr>
        <w:t> </w:t>
      </w:r>
      <w:r>
        <w:rPr>
          <w:sz w:val="20"/>
        </w:rPr>
        <w:t>por la</w:t>
      </w:r>
      <w:r>
        <w:rPr>
          <w:spacing w:val="-17"/>
          <w:sz w:val="20"/>
        </w:rPr>
        <w:t> </w:t>
      </w:r>
      <w:r>
        <w:rPr>
          <w:sz w:val="20"/>
        </w:rPr>
        <w:t>Sentencia</w:t>
      </w:r>
      <w:r>
        <w:rPr>
          <w:spacing w:val="-18"/>
          <w:sz w:val="20"/>
        </w:rPr>
        <w:t> </w:t>
      </w:r>
      <w:r>
        <w:rPr>
          <w:sz w:val="20"/>
        </w:rPr>
        <w:t>a</w:t>
      </w:r>
      <w:r>
        <w:rPr>
          <w:spacing w:val="-17"/>
          <w:sz w:val="20"/>
        </w:rPr>
        <w:t> </w:t>
      </w:r>
      <w:r>
        <w:rPr>
          <w:sz w:val="20"/>
        </w:rPr>
        <w:t>fin</w:t>
      </w:r>
      <w:r>
        <w:rPr>
          <w:spacing w:val="-17"/>
          <w:sz w:val="20"/>
        </w:rPr>
        <w:t> </w:t>
      </w:r>
      <w:r>
        <w:rPr>
          <w:sz w:val="20"/>
        </w:rPr>
        <w:t>de</w:t>
      </w:r>
      <w:r>
        <w:rPr>
          <w:spacing w:val="-17"/>
          <w:sz w:val="20"/>
        </w:rPr>
        <w:t> </w:t>
      </w:r>
      <w:r>
        <w:rPr>
          <w:sz w:val="20"/>
        </w:rPr>
        <w:t>fundamentar</w:t>
      </w:r>
      <w:r>
        <w:rPr>
          <w:spacing w:val="-18"/>
          <w:sz w:val="20"/>
        </w:rPr>
        <w:t> </w:t>
      </w:r>
      <w:r>
        <w:rPr>
          <w:sz w:val="20"/>
        </w:rPr>
        <w:t>su</w:t>
      </w:r>
      <w:r>
        <w:rPr>
          <w:spacing w:val="-17"/>
          <w:sz w:val="20"/>
        </w:rPr>
        <w:t> </w:t>
      </w:r>
      <w:r>
        <w:rPr>
          <w:sz w:val="20"/>
        </w:rPr>
        <w:t>posición</w:t>
      </w:r>
      <w:r>
        <w:rPr>
          <w:spacing w:val="-17"/>
          <w:sz w:val="20"/>
        </w:rPr>
        <w:t> </w:t>
      </w:r>
      <w:r>
        <w:rPr>
          <w:sz w:val="20"/>
        </w:rPr>
        <w:t>en</w:t>
      </w:r>
      <w:r>
        <w:rPr>
          <w:spacing w:val="-17"/>
          <w:sz w:val="20"/>
        </w:rPr>
        <w:t> </w:t>
      </w:r>
      <w:r>
        <w:rPr>
          <w:sz w:val="20"/>
        </w:rPr>
        <w:t>cuanto</w:t>
      </w:r>
      <w:r>
        <w:rPr>
          <w:spacing w:val="-17"/>
          <w:sz w:val="20"/>
        </w:rPr>
        <w:t> </w:t>
      </w:r>
      <w:r>
        <w:rPr>
          <w:sz w:val="20"/>
        </w:rPr>
        <w:t>a</w:t>
      </w:r>
      <w:r>
        <w:rPr>
          <w:spacing w:val="-17"/>
          <w:sz w:val="20"/>
        </w:rPr>
        <w:t> </w:t>
      </w:r>
      <w:r>
        <w:rPr>
          <w:sz w:val="20"/>
        </w:rPr>
        <w:t>que</w:t>
      </w:r>
      <w:r>
        <w:rPr>
          <w:spacing w:val="-17"/>
          <w:sz w:val="20"/>
        </w:rPr>
        <w:t> </w:t>
      </w:r>
      <w:r>
        <w:rPr>
          <w:sz w:val="20"/>
        </w:rPr>
        <w:t>la</w:t>
      </w:r>
      <w:r>
        <w:rPr>
          <w:spacing w:val="-17"/>
          <w:sz w:val="20"/>
        </w:rPr>
        <w:t> </w:t>
      </w:r>
      <w:r>
        <w:rPr>
          <w:sz w:val="20"/>
        </w:rPr>
        <w:t>Corte</w:t>
      </w:r>
      <w:r>
        <w:rPr>
          <w:spacing w:val="-17"/>
          <w:sz w:val="20"/>
        </w:rPr>
        <w:t> </w:t>
      </w:r>
      <w:r>
        <w:rPr>
          <w:sz w:val="20"/>
        </w:rPr>
        <w:t>tiene</w:t>
      </w:r>
      <w:r>
        <w:rPr>
          <w:spacing w:val="-17"/>
          <w:sz w:val="20"/>
        </w:rPr>
        <w:t> </w:t>
      </w:r>
      <w:r>
        <w:rPr>
          <w:sz w:val="20"/>
        </w:rPr>
        <w:t>competencia para</w:t>
      </w:r>
      <w:r>
        <w:rPr>
          <w:spacing w:val="-12"/>
          <w:sz w:val="20"/>
        </w:rPr>
        <w:t> </w:t>
      </w:r>
      <w:r>
        <w:rPr>
          <w:sz w:val="20"/>
        </w:rPr>
        <w:t>conocer</w:t>
      </w:r>
      <w:r>
        <w:rPr>
          <w:spacing w:val="-12"/>
          <w:sz w:val="20"/>
        </w:rPr>
        <w:t> </w:t>
      </w:r>
      <w:r>
        <w:rPr>
          <w:sz w:val="20"/>
        </w:rPr>
        <w:t>y</w:t>
      </w:r>
      <w:r>
        <w:rPr>
          <w:spacing w:val="-12"/>
          <w:sz w:val="20"/>
        </w:rPr>
        <w:t> </w:t>
      </w:r>
      <w:r>
        <w:rPr>
          <w:sz w:val="20"/>
        </w:rPr>
        <w:t>resolver</w:t>
      </w:r>
      <w:r>
        <w:rPr>
          <w:spacing w:val="-15"/>
          <w:sz w:val="20"/>
        </w:rPr>
        <w:t> </w:t>
      </w:r>
      <w:r>
        <w:rPr>
          <w:sz w:val="20"/>
        </w:rPr>
        <w:t>sobre</w:t>
      </w:r>
      <w:r>
        <w:rPr>
          <w:spacing w:val="-12"/>
          <w:sz w:val="20"/>
        </w:rPr>
        <w:t> </w:t>
      </w:r>
      <w:r>
        <w:rPr>
          <w:sz w:val="20"/>
        </w:rPr>
        <w:t>las</w:t>
      </w:r>
      <w:r>
        <w:rPr>
          <w:spacing w:val="-14"/>
          <w:sz w:val="20"/>
        </w:rPr>
        <w:t> </w:t>
      </w:r>
      <w:r>
        <w:rPr>
          <w:sz w:val="20"/>
        </w:rPr>
        <w:t>eventuales</w:t>
      </w:r>
      <w:r>
        <w:rPr>
          <w:spacing w:val="-13"/>
          <w:sz w:val="20"/>
        </w:rPr>
        <w:t> </w:t>
      </w:r>
      <w:r>
        <w:rPr>
          <w:sz w:val="20"/>
        </w:rPr>
        <w:t>la</w:t>
      </w:r>
      <w:r>
        <w:rPr>
          <w:spacing w:val="-13"/>
          <w:sz w:val="20"/>
        </w:rPr>
        <w:t> </w:t>
      </w:r>
      <w:r>
        <w:rPr>
          <w:sz w:val="20"/>
        </w:rPr>
        <w:t>violaciones</w:t>
      </w:r>
      <w:r>
        <w:rPr>
          <w:spacing w:val="-14"/>
          <w:sz w:val="20"/>
        </w:rPr>
        <w:t> </w:t>
      </w:r>
      <w:r>
        <w:rPr>
          <w:sz w:val="20"/>
        </w:rPr>
        <w:t>de</w:t>
      </w:r>
      <w:r>
        <w:rPr>
          <w:spacing w:val="-12"/>
          <w:sz w:val="20"/>
        </w:rPr>
        <w:t> </w:t>
      </w:r>
      <w:r>
        <w:rPr>
          <w:sz w:val="20"/>
        </w:rPr>
        <w:t>los</w:t>
      </w:r>
      <w:r>
        <w:rPr>
          <w:spacing w:val="-10"/>
          <w:sz w:val="20"/>
        </w:rPr>
        <w:t> </w:t>
      </w:r>
      <w:r>
        <w:rPr>
          <w:sz w:val="20"/>
        </w:rPr>
        <w:t>derechos</w:t>
      </w:r>
      <w:r>
        <w:rPr>
          <w:spacing w:val="-12"/>
          <w:sz w:val="20"/>
        </w:rPr>
        <w:t> </w:t>
      </w:r>
      <w:r>
        <w:rPr>
          <w:sz w:val="20"/>
        </w:rPr>
        <w:t>a</w:t>
      </w:r>
      <w:r>
        <w:rPr>
          <w:spacing w:val="-13"/>
          <w:sz w:val="20"/>
        </w:rPr>
        <w:t> </w:t>
      </w:r>
      <w:r>
        <w:rPr>
          <w:sz w:val="20"/>
        </w:rPr>
        <w:t>la</w:t>
      </w:r>
      <w:r>
        <w:rPr>
          <w:spacing w:val="-12"/>
          <w:sz w:val="20"/>
        </w:rPr>
        <w:t> </w:t>
      </w:r>
      <w:r>
        <w:rPr>
          <w:sz w:val="20"/>
        </w:rPr>
        <w:t>identidad cultural,</w:t>
      </w:r>
      <w:r>
        <w:rPr>
          <w:spacing w:val="-17"/>
          <w:sz w:val="20"/>
        </w:rPr>
        <w:t> </w:t>
      </w:r>
      <w:r>
        <w:rPr>
          <w:sz w:val="20"/>
        </w:rPr>
        <w:t>al</w:t>
      </w:r>
      <w:r>
        <w:rPr>
          <w:spacing w:val="-17"/>
          <w:sz w:val="20"/>
        </w:rPr>
        <w:t> </w:t>
      </w:r>
      <w:r>
        <w:rPr>
          <w:sz w:val="20"/>
        </w:rPr>
        <w:t>medio</w:t>
      </w:r>
      <w:r>
        <w:rPr>
          <w:spacing w:val="-16"/>
          <w:sz w:val="20"/>
        </w:rPr>
        <w:t> </w:t>
      </w:r>
      <w:r>
        <w:rPr>
          <w:sz w:val="20"/>
        </w:rPr>
        <w:t>ambiente</w:t>
      </w:r>
      <w:r>
        <w:rPr>
          <w:spacing w:val="-16"/>
          <w:sz w:val="20"/>
        </w:rPr>
        <w:t> </w:t>
      </w:r>
      <w:r>
        <w:rPr>
          <w:sz w:val="20"/>
        </w:rPr>
        <w:t>sano,</w:t>
      </w:r>
      <w:r>
        <w:rPr>
          <w:spacing w:val="-17"/>
          <w:sz w:val="20"/>
        </w:rPr>
        <w:t> </w:t>
      </w:r>
      <w:r>
        <w:rPr>
          <w:sz w:val="20"/>
        </w:rPr>
        <w:t>a</w:t>
      </w:r>
      <w:r>
        <w:rPr>
          <w:spacing w:val="-17"/>
          <w:sz w:val="20"/>
        </w:rPr>
        <w:t> </w:t>
      </w:r>
      <w:r>
        <w:rPr>
          <w:sz w:val="20"/>
        </w:rPr>
        <w:t>la</w:t>
      </w:r>
      <w:r>
        <w:rPr>
          <w:spacing w:val="-16"/>
          <w:sz w:val="20"/>
        </w:rPr>
        <w:t> </w:t>
      </w:r>
      <w:r>
        <w:rPr>
          <w:sz w:val="20"/>
        </w:rPr>
        <w:t>alimentación</w:t>
      </w:r>
      <w:r>
        <w:rPr>
          <w:spacing w:val="-15"/>
          <w:sz w:val="20"/>
        </w:rPr>
        <w:t> </w:t>
      </w:r>
      <w:r>
        <w:rPr>
          <w:sz w:val="20"/>
        </w:rPr>
        <w:t>adecuada</w:t>
      </w:r>
      <w:r>
        <w:rPr>
          <w:spacing w:val="-16"/>
          <w:sz w:val="20"/>
        </w:rPr>
        <w:t> </w:t>
      </w:r>
      <w:r>
        <w:rPr>
          <w:sz w:val="20"/>
        </w:rPr>
        <w:t>y</w:t>
      </w:r>
      <w:r>
        <w:rPr>
          <w:spacing w:val="-15"/>
          <w:sz w:val="20"/>
        </w:rPr>
        <w:t> </w:t>
      </w:r>
      <w:r>
        <w:rPr>
          <w:sz w:val="20"/>
        </w:rPr>
        <w:t>al</w:t>
      </w:r>
      <w:r>
        <w:rPr>
          <w:spacing w:val="-16"/>
          <w:sz w:val="20"/>
        </w:rPr>
        <w:t> </w:t>
      </w:r>
      <w:r>
        <w:rPr>
          <w:sz w:val="20"/>
        </w:rPr>
        <w:t>agua,</w:t>
      </w:r>
      <w:r>
        <w:rPr>
          <w:spacing w:val="-15"/>
          <w:sz w:val="20"/>
        </w:rPr>
        <w:t> </w:t>
      </w:r>
      <w:r>
        <w:rPr>
          <w:sz w:val="20"/>
        </w:rPr>
        <w:t>se</w:t>
      </w:r>
      <w:r>
        <w:rPr>
          <w:spacing w:val="-15"/>
          <w:sz w:val="20"/>
        </w:rPr>
        <w:t> </w:t>
      </w:r>
      <w:r>
        <w:rPr>
          <w:sz w:val="20"/>
        </w:rPr>
        <w:t>puede</w:t>
      </w:r>
      <w:r>
        <w:rPr>
          <w:spacing w:val="-15"/>
          <w:sz w:val="20"/>
        </w:rPr>
        <w:t> </w:t>
      </w:r>
      <w:r>
        <w:rPr>
          <w:sz w:val="20"/>
        </w:rPr>
        <w:t>afirmar categóricamente que lo cierto es que, en el mejor de los casos, aquellos instrumentos podrían</w:t>
      </w:r>
      <w:r>
        <w:rPr>
          <w:spacing w:val="-10"/>
          <w:sz w:val="20"/>
        </w:rPr>
        <w:t> </w:t>
      </w:r>
      <w:r>
        <w:rPr>
          <w:sz w:val="20"/>
        </w:rPr>
        <w:t>ser</w:t>
      </w:r>
      <w:r>
        <w:rPr>
          <w:spacing w:val="-10"/>
          <w:sz w:val="20"/>
        </w:rPr>
        <w:t> </w:t>
      </w:r>
      <w:r>
        <w:rPr>
          <w:sz w:val="20"/>
        </w:rPr>
        <w:t>considerados</w:t>
      </w:r>
      <w:r>
        <w:rPr>
          <w:spacing w:val="-9"/>
          <w:sz w:val="20"/>
        </w:rPr>
        <w:t> </w:t>
      </w:r>
      <w:r>
        <w:rPr>
          <w:sz w:val="20"/>
        </w:rPr>
        <w:t>como</w:t>
      </w:r>
      <w:r>
        <w:rPr>
          <w:spacing w:val="-10"/>
          <w:sz w:val="20"/>
        </w:rPr>
        <w:t> </w:t>
      </w:r>
      <w:r>
        <w:rPr>
          <w:sz w:val="20"/>
        </w:rPr>
        <w:t>que</w:t>
      </w:r>
      <w:r>
        <w:rPr>
          <w:spacing w:val="-10"/>
          <w:sz w:val="20"/>
        </w:rPr>
        <w:t> </w:t>
      </w:r>
      <w:r>
        <w:rPr>
          <w:sz w:val="20"/>
        </w:rPr>
        <w:t>reconocerían</w:t>
      </w:r>
      <w:r>
        <w:rPr>
          <w:spacing w:val="-9"/>
          <w:sz w:val="20"/>
        </w:rPr>
        <w:t> </w:t>
      </w:r>
      <w:r>
        <w:rPr>
          <w:sz w:val="20"/>
        </w:rPr>
        <w:t>la</w:t>
      </w:r>
      <w:r>
        <w:rPr>
          <w:spacing w:val="-10"/>
          <w:sz w:val="20"/>
        </w:rPr>
        <w:t> </w:t>
      </w:r>
      <w:r>
        <w:rPr>
          <w:sz w:val="20"/>
        </w:rPr>
        <w:t>existencia</w:t>
      </w:r>
      <w:r>
        <w:rPr>
          <w:spacing w:val="-10"/>
          <w:sz w:val="20"/>
        </w:rPr>
        <w:t> </w:t>
      </w:r>
      <w:r>
        <w:rPr>
          <w:sz w:val="20"/>
        </w:rPr>
        <w:t>de</w:t>
      </w:r>
      <w:r>
        <w:rPr>
          <w:spacing w:val="-10"/>
          <w:sz w:val="20"/>
        </w:rPr>
        <w:t> </w:t>
      </w:r>
      <w:r>
        <w:rPr>
          <w:sz w:val="20"/>
        </w:rPr>
        <w:t>esos</w:t>
      </w:r>
      <w:r>
        <w:rPr>
          <w:spacing w:val="-8"/>
          <w:sz w:val="20"/>
        </w:rPr>
        <w:t> </w:t>
      </w:r>
      <w:r>
        <w:rPr>
          <w:sz w:val="20"/>
        </w:rPr>
        <w:t>derechos,</w:t>
      </w:r>
      <w:r>
        <w:rPr>
          <w:spacing w:val="-10"/>
          <w:sz w:val="20"/>
        </w:rPr>
        <w:t> </w:t>
      </w:r>
      <w:r>
        <w:rPr>
          <w:sz w:val="20"/>
        </w:rPr>
        <w:t>más</w:t>
      </w:r>
      <w:r>
        <w:rPr>
          <w:spacing w:val="-9"/>
          <w:sz w:val="20"/>
        </w:rPr>
        <w:t> </w:t>
      </w:r>
      <w:r>
        <w:rPr>
          <w:sz w:val="20"/>
        </w:rPr>
        <w:t>no la mencionada competencia. Es, pues, irrefutable que ninguno de ellos, se reitera, ninguno, dice relación o dispone que las presuntas violaciones de los citados derechos habilita para que sean llevadas ante la Corte y para que ésta resuelva sobre</w:t>
      </w:r>
      <w:r>
        <w:rPr>
          <w:spacing w:val="-17"/>
          <w:sz w:val="20"/>
        </w:rPr>
        <w:t> </w:t>
      </w:r>
      <w:r>
        <w:rPr>
          <w:sz w:val="20"/>
        </w:rPr>
        <w:t>ellas.</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A lo precedentemente indicado, procede añadir que las referencias que la Sentencia hace a la legislación interna tanto del Estado como de otros Estados</w:t>
      </w:r>
      <w:r>
        <w:rPr>
          <w:position w:val="7"/>
          <w:sz w:val="13"/>
        </w:rPr>
        <w:t>73</w:t>
      </w:r>
      <w:r>
        <w:rPr>
          <w:sz w:val="20"/>
        </w:rPr>
        <w:t>, tampoco justifica la tesis sostenida por aquella en cuanto a que habilitaría para que se pudiera</w:t>
      </w:r>
      <w:r>
        <w:rPr>
          <w:spacing w:val="-6"/>
          <w:sz w:val="20"/>
        </w:rPr>
        <w:t> </w:t>
      </w:r>
      <w:r>
        <w:rPr>
          <w:sz w:val="20"/>
        </w:rPr>
        <w:t>recurrir</w:t>
      </w:r>
      <w:r>
        <w:rPr>
          <w:spacing w:val="-6"/>
          <w:sz w:val="20"/>
        </w:rPr>
        <w:t> </w:t>
      </w:r>
      <w:r>
        <w:rPr>
          <w:sz w:val="20"/>
        </w:rPr>
        <w:t>ante</w:t>
      </w:r>
      <w:r>
        <w:rPr>
          <w:spacing w:val="-6"/>
          <w:sz w:val="20"/>
        </w:rPr>
        <w:t> </w:t>
      </w:r>
      <w:r>
        <w:rPr>
          <w:sz w:val="20"/>
        </w:rPr>
        <w:t>la</w:t>
      </w:r>
      <w:r>
        <w:rPr>
          <w:spacing w:val="-7"/>
          <w:sz w:val="20"/>
        </w:rPr>
        <w:t> </w:t>
      </w:r>
      <w:r>
        <w:rPr>
          <w:sz w:val="20"/>
        </w:rPr>
        <w:t>Corte</w:t>
      </w:r>
      <w:r>
        <w:rPr>
          <w:spacing w:val="-6"/>
          <w:sz w:val="20"/>
        </w:rPr>
        <w:t> </w:t>
      </w:r>
      <w:r>
        <w:rPr>
          <w:sz w:val="20"/>
        </w:rPr>
        <w:t>por</w:t>
      </w:r>
      <w:r>
        <w:rPr>
          <w:spacing w:val="-8"/>
          <w:sz w:val="20"/>
        </w:rPr>
        <w:t> </w:t>
      </w:r>
      <w:r>
        <w:rPr>
          <w:sz w:val="20"/>
        </w:rPr>
        <w:t>las</w:t>
      </w:r>
      <w:r>
        <w:rPr>
          <w:spacing w:val="-6"/>
          <w:sz w:val="20"/>
        </w:rPr>
        <w:t> </w:t>
      </w:r>
      <w:r>
        <w:rPr>
          <w:sz w:val="20"/>
        </w:rPr>
        <w:t>violaciones</w:t>
      </w:r>
      <w:r>
        <w:rPr>
          <w:spacing w:val="-6"/>
          <w:sz w:val="20"/>
        </w:rPr>
        <w:t> </w:t>
      </w:r>
      <w:r>
        <w:rPr>
          <w:sz w:val="20"/>
        </w:rPr>
        <w:t>de</w:t>
      </w:r>
      <w:r>
        <w:rPr>
          <w:spacing w:val="-6"/>
          <w:sz w:val="20"/>
        </w:rPr>
        <w:t> </w:t>
      </w:r>
      <w:r>
        <w:rPr>
          <w:sz w:val="20"/>
        </w:rPr>
        <w:t>los</w:t>
      </w:r>
      <w:r>
        <w:rPr>
          <w:spacing w:val="-7"/>
          <w:sz w:val="20"/>
        </w:rPr>
        <w:t> </w:t>
      </w:r>
      <w:r>
        <w:rPr>
          <w:sz w:val="20"/>
        </w:rPr>
        <w:t>derechos</w:t>
      </w:r>
      <w:r>
        <w:rPr>
          <w:spacing w:val="-7"/>
          <w:sz w:val="20"/>
        </w:rPr>
        <w:t> </w:t>
      </w:r>
      <w:r>
        <w:rPr>
          <w:sz w:val="20"/>
        </w:rPr>
        <w:t>antes</w:t>
      </w:r>
      <w:r>
        <w:rPr>
          <w:spacing w:val="-6"/>
          <w:sz w:val="20"/>
        </w:rPr>
        <w:t> </w:t>
      </w:r>
      <w:r>
        <w:rPr>
          <w:sz w:val="20"/>
        </w:rPr>
        <w:t>mencionados.</w:t>
      </w:r>
      <w:r>
        <w:rPr>
          <w:spacing w:val="-6"/>
          <w:sz w:val="20"/>
        </w:rPr>
        <w:t> </w:t>
      </w:r>
      <w:r>
        <w:rPr>
          <w:sz w:val="20"/>
        </w:rPr>
        <w:t>La competencia de la Corte deriva de la facultad que se le concede por la Convención y no por una disposición del derecho interno del Estado de que se trate, aunque, evidentemente, dicho ordenamiento jurídico se debe tener presente, conforme lo indica el artículo 29 de aquella, al momento de interpretar aquella a los efectos de que ello no limite el goce y el ejercicio de un derecho reconocido por este</w:t>
      </w:r>
      <w:r>
        <w:rPr>
          <w:spacing w:val="-19"/>
          <w:sz w:val="20"/>
        </w:rPr>
        <w:t> </w:t>
      </w:r>
      <w:r>
        <w:rPr>
          <w:sz w:val="20"/>
        </w:rPr>
        <w:t>último</w:t>
      </w:r>
      <w:r>
        <w:rPr>
          <w:position w:val="7"/>
          <w:sz w:val="13"/>
        </w:rPr>
        <w:t>74</w:t>
      </w:r>
      <w:r>
        <w:rPr>
          <w:sz w:val="20"/>
        </w:rPr>
        <w:t>.</w:t>
      </w:r>
    </w:p>
    <w:p>
      <w:pPr>
        <w:pStyle w:val="BodyText"/>
        <w:spacing w:before="11"/>
        <w:rPr>
          <w:sz w:val="19"/>
        </w:rPr>
      </w:pPr>
    </w:p>
    <w:p>
      <w:pPr>
        <w:pStyle w:val="ListParagraph"/>
        <w:numPr>
          <w:ilvl w:val="0"/>
          <w:numId w:val="53"/>
        </w:numPr>
        <w:tabs>
          <w:tab w:pos="1390" w:val="left" w:leader="none"/>
        </w:tabs>
        <w:spacing w:line="240" w:lineRule="auto" w:before="0" w:after="0"/>
        <w:ind w:left="681" w:right="115" w:firstLine="0"/>
        <w:jc w:val="both"/>
        <w:rPr>
          <w:sz w:val="20"/>
        </w:rPr>
      </w:pPr>
      <w:r>
        <w:rPr>
          <w:sz w:val="20"/>
        </w:rPr>
        <w:t>Y vale recordar, en relación a lo último expresado en el párrafo precedente y en mérito</w:t>
      </w:r>
      <w:r>
        <w:rPr>
          <w:spacing w:val="-8"/>
          <w:sz w:val="20"/>
        </w:rPr>
        <w:t> </w:t>
      </w:r>
      <w:r>
        <w:rPr>
          <w:sz w:val="20"/>
        </w:rPr>
        <w:t>de</w:t>
      </w:r>
      <w:r>
        <w:rPr>
          <w:spacing w:val="-6"/>
          <w:sz w:val="20"/>
        </w:rPr>
        <w:t> </w:t>
      </w:r>
      <w:r>
        <w:rPr>
          <w:sz w:val="20"/>
        </w:rPr>
        <w:t>la</w:t>
      </w:r>
      <w:r>
        <w:rPr>
          <w:spacing w:val="-7"/>
          <w:sz w:val="20"/>
        </w:rPr>
        <w:t> </w:t>
      </w:r>
      <w:r>
        <w:rPr>
          <w:sz w:val="20"/>
        </w:rPr>
        <w:t>alusión</w:t>
      </w:r>
      <w:r>
        <w:rPr>
          <w:spacing w:val="-7"/>
          <w:sz w:val="20"/>
        </w:rPr>
        <w:t> </w:t>
      </w:r>
      <w:r>
        <w:rPr>
          <w:sz w:val="20"/>
        </w:rPr>
        <w:t>que</w:t>
      </w:r>
      <w:r>
        <w:rPr>
          <w:spacing w:val="-6"/>
          <w:sz w:val="20"/>
        </w:rPr>
        <w:t> </w:t>
      </w:r>
      <w:r>
        <w:rPr>
          <w:sz w:val="20"/>
        </w:rPr>
        <w:t>la</w:t>
      </w:r>
      <w:r>
        <w:rPr>
          <w:spacing w:val="-7"/>
          <w:sz w:val="20"/>
        </w:rPr>
        <w:t> </w:t>
      </w:r>
      <w:r>
        <w:rPr>
          <w:sz w:val="20"/>
        </w:rPr>
        <w:t>Sentencia</w:t>
      </w:r>
      <w:r>
        <w:rPr>
          <w:spacing w:val="-7"/>
          <w:sz w:val="20"/>
        </w:rPr>
        <w:t> </w:t>
      </w:r>
      <w:r>
        <w:rPr>
          <w:sz w:val="20"/>
        </w:rPr>
        <w:t>hace</w:t>
      </w:r>
      <w:r>
        <w:rPr>
          <w:spacing w:val="-6"/>
          <w:sz w:val="20"/>
        </w:rPr>
        <w:t> </w:t>
      </w:r>
      <w:r>
        <w:rPr>
          <w:sz w:val="20"/>
        </w:rPr>
        <w:t>al</w:t>
      </w:r>
      <w:r>
        <w:rPr>
          <w:spacing w:val="-7"/>
          <w:sz w:val="20"/>
        </w:rPr>
        <w:t> </w:t>
      </w:r>
      <w:r>
        <w:rPr>
          <w:sz w:val="20"/>
        </w:rPr>
        <w:t>respecto</w:t>
      </w:r>
      <w:r>
        <w:rPr>
          <w:position w:val="7"/>
          <w:sz w:val="13"/>
        </w:rPr>
        <w:t>75</w:t>
      </w:r>
      <w:r>
        <w:rPr>
          <w:sz w:val="20"/>
        </w:rPr>
        <w:t>,</w:t>
      </w:r>
      <w:r>
        <w:rPr>
          <w:spacing w:val="-7"/>
          <w:sz w:val="20"/>
        </w:rPr>
        <w:t> </w:t>
      </w:r>
      <w:r>
        <w:rPr>
          <w:sz w:val="20"/>
        </w:rPr>
        <w:t>que</w:t>
      </w:r>
      <w:r>
        <w:rPr>
          <w:spacing w:val="-8"/>
          <w:sz w:val="20"/>
        </w:rPr>
        <w:t> </w:t>
      </w:r>
      <w:r>
        <w:rPr>
          <w:sz w:val="20"/>
        </w:rPr>
        <w:t>el</w:t>
      </w:r>
      <w:r>
        <w:rPr>
          <w:spacing w:val="-6"/>
          <w:sz w:val="20"/>
        </w:rPr>
        <w:t> </w:t>
      </w:r>
      <w:r>
        <w:rPr>
          <w:sz w:val="20"/>
        </w:rPr>
        <w:t>citado</w:t>
      </w:r>
      <w:r>
        <w:rPr>
          <w:spacing w:val="-6"/>
          <w:sz w:val="20"/>
        </w:rPr>
        <w:t> </w:t>
      </w:r>
      <w:r>
        <w:rPr>
          <w:sz w:val="20"/>
        </w:rPr>
        <w:t>artículo</w:t>
      </w:r>
      <w:r>
        <w:rPr>
          <w:spacing w:val="-7"/>
          <w:sz w:val="20"/>
        </w:rPr>
        <w:t> </w:t>
      </w:r>
      <w:r>
        <w:rPr>
          <w:sz w:val="20"/>
        </w:rPr>
        <w:t>29</w:t>
      </w:r>
      <w:r>
        <w:rPr>
          <w:spacing w:val="-8"/>
          <w:sz w:val="20"/>
        </w:rPr>
        <w:t> </w:t>
      </w:r>
      <w:r>
        <w:rPr>
          <w:sz w:val="20"/>
        </w:rPr>
        <w:t>es</w:t>
      </w:r>
      <w:r>
        <w:rPr>
          <w:spacing w:val="-8"/>
          <w:sz w:val="20"/>
        </w:rPr>
        <w:t> </w:t>
      </w:r>
      <w:r>
        <w:rPr>
          <w:sz w:val="20"/>
        </w:rPr>
        <w:t>una norma exclusivamente aplicable a la interpretación de la Convención, pero insuficiente, dado que no exime que también se deba recurrir a las previstas en la Convención de Viena. Debe destacar en este sentido, que dicho artículo, constituye más bien un límite a las conclusiones que se pudieran arribar aplicando solo las normas de interpretación contenidas en este último tratado, es decir, lo que tal norma dispone es que, si de esa interpretación se concluye que en otro instrumento jurídico distinto a la Convención, se garantiza un derecho humano de una manera más amplia y/o completa, lo que establezca aquél debe prevalecer sobre lo que señale ésta. De allí que dicha</w:t>
      </w:r>
      <w:r>
        <w:rPr>
          <w:spacing w:val="-27"/>
          <w:sz w:val="20"/>
        </w:rPr>
        <w:t> </w:t>
      </w:r>
      <w:r>
        <w:rPr>
          <w:sz w:val="20"/>
        </w:rPr>
        <w:t>disposición sea conocida como la que consagra el “principio </w:t>
      </w:r>
      <w:r>
        <w:rPr>
          <w:i/>
          <w:sz w:val="20"/>
        </w:rPr>
        <w:t>pro personae</w:t>
      </w:r>
      <w:r>
        <w:rPr>
          <w:sz w:val="20"/>
        </w:rPr>
        <w:t>” y, se insiste, no es la única norma de interpretación a la que se debe</w:t>
      </w:r>
      <w:r>
        <w:rPr>
          <w:spacing w:val="-20"/>
          <w:sz w:val="20"/>
        </w:rPr>
        <w:t> </w:t>
      </w:r>
      <w:r>
        <w:rPr>
          <w:sz w:val="20"/>
        </w:rPr>
        <w:t>recurrir.</w:t>
      </w:r>
    </w:p>
    <w:p>
      <w:pPr>
        <w:pStyle w:val="BodyText"/>
      </w:pPr>
    </w:p>
    <w:p>
      <w:pPr>
        <w:pStyle w:val="BodyText"/>
      </w:pPr>
    </w:p>
    <w:p>
      <w:pPr>
        <w:pStyle w:val="BodyText"/>
        <w:spacing w:before="5"/>
        <w:rPr>
          <w:sz w:val="24"/>
        </w:rPr>
      </w:pPr>
      <w:r>
        <w:rPr/>
        <w:pict>
          <v:line style="position:absolute;mso-position-horizontal-relative:page;mso-position-vertical-relative:paragraph;z-index:4144;mso-wrap-distance-left:0;mso-wrap-distance-right:0" from="56.700001pt,17.199032pt" to="200.720001pt,17.199032pt" stroked="true" strokeweight=".71997pt" strokecolor="#000000">
            <v:stroke dashstyle="solid"/>
            <w10:wrap type="topAndBottom"/>
          </v:line>
        </w:pict>
      </w:r>
    </w:p>
    <w:p>
      <w:pPr>
        <w:spacing w:before="70"/>
        <w:ind w:left="681" w:right="0" w:firstLine="0"/>
        <w:jc w:val="both"/>
        <w:rPr>
          <w:sz w:val="16"/>
        </w:rPr>
      </w:pPr>
      <w:r>
        <w:rPr>
          <w:position w:val="6"/>
          <w:sz w:val="10"/>
        </w:rPr>
        <w:t>72 </w:t>
      </w:r>
      <w:r>
        <w:rPr>
          <w:sz w:val="16"/>
        </w:rPr>
        <w:t>Párr.200.</w:t>
      </w:r>
    </w:p>
    <w:p>
      <w:pPr>
        <w:pStyle w:val="BodyText"/>
        <w:spacing w:before="11"/>
        <w:rPr>
          <w:sz w:val="15"/>
        </w:rPr>
      </w:pPr>
    </w:p>
    <w:p>
      <w:pPr>
        <w:spacing w:before="1"/>
        <w:ind w:left="681" w:right="0" w:firstLine="0"/>
        <w:jc w:val="both"/>
        <w:rPr>
          <w:sz w:val="16"/>
        </w:rPr>
      </w:pPr>
      <w:r>
        <w:rPr>
          <w:position w:val="6"/>
          <w:sz w:val="10"/>
        </w:rPr>
        <w:t>73  </w:t>
      </w:r>
      <w:r>
        <w:rPr>
          <w:sz w:val="16"/>
        </w:rPr>
        <w:t>Párrs. 204, 214, 225, 235 y 236</w:t>
      </w:r>
    </w:p>
    <w:p>
      <w:pPr>
        <w:pStyle w:val="BodyText"/>
        <w:rPr>
          <w:sz w:val="16"/>
        </w:rPr>
      </w:pPr>
    </w:p>
    <w:p>
      <w:pPr>
        <w:spacing w:before="0"/>
        <w:ind w:left="681" w:right="123" w:firstLine="0"/>
        <w:jc w:val="both"/>
        <w:rPr>
          <w:i/>
          <w:sz w:val="16"/>
        </w:rPr>
      </w:pPr>
      <w:r>
        <w:rPr>
          <w:position w:val="6"/>
          <w:sz w:val="10"/>
        </w:rPr>
        <w:t>74 </w:t>
      </w:r>
      <w:r>
        <w:rPr>
          <w:rFonts w:ascii="Calibri" w:hAnsi="Calibri"/>
          <w:sz w:val="22"/>
        </w:rPr>
        <w:t>“</w:t>
      </w:r>
      <w:r>
        <w:rPr>
          <w:i/>
          <w:sz w:val="16"/>
        </w:rPr>
        <w:t>Normas de Interpretación. Ninguna disposición de la presente Convención puede ser interpretada en el </w:t>
      </w:r>
      <w:r>
        <w:rPr>
          <w:i/>
          <w:sz w:val="16"/>
        </w:rPr>
        <w:t>sentido de:</w:t>
      </w:r>
    </w:p>
    <w:p>
      <w:pPr>
        <w:pStyle w:val="ListParagraph"/>
        <w:numPr>
          <w:ilvl w:val="0"/>
          <w:numId w:val="57"/>
        </w:numPr>
        <w:tabs>
          <w:tab w:pos="921" w:val="left" w:leader="none"/>
        </w:tabs>
        <w:spacing w:line="240" w:lineRule="auto" w:before="0" w:after="0"/>
        <w:ind w:left="681" w:right="125" w:firstLine="0"/>
        <w:jc w:val="both"/>
        <w:rPr>
          <w:i/>
          <w:sz w:val="16"/>
        </w:rPr>
      </w:pPr>
      <w:r>
        <w:rPr>
          <w:i/>
          <w:sz w:val="16"/>
        </w:rPr>
        <w:t>permitir a alguno de los Estados Partes, grupo o persona, suprimir el goce y ejercicio de los derechos y </w:t>
      </w:r>
      <w:r>
        <w:rPr>
          <w:i/>
          <w:sz w:val="16"/>
        </w:rPr>
        <w:t>libertades reconocidos en la Convención o limitarlos en mayor medida que la prevista en</w:t>
      </w:r>
      <w:r>
        <w:rPr>
          <w:i/>
          <w:spacing w:val="-27"/>
          <w:sz w:val="16"/>
        </w:rPr>
        <w:t> </w:t>
      </w:r>
      <w:r>
        <w:rPr>
          <w:i/>
          <w:sz w:val="16"/>
        </w:rPr>
        <w:t>ella;</w:t>
      </w:r>
    </w:p>
    <w:p>
      <w:pPr>
        <w:pStyle w:val="ListParagraph"/>
        <w:numPr>
          <w:ilvl w:val="0"/>
          <w:numId w:val="57"/>
        </w:numPr>
        <w:tabs>
          <w:tab w:pos="974" w:val="left" w:leader="none"/>
        </w:tabs>
        <w:spacing w:line="240" w:lineRule="auto" w:before="0" w:after="0"/>
        <w:ind w:left="681" w:right="124" w:firstLine="57"/>
        <w:jc w:val="both"/>
        <w:rPr>
          <w:i/>
          <w:sz w:val="16"/>
        </w:rPr>
      </w:pPr>
      <w:r>
        <w:rPr>
          <w:i/>
          <w:sz w:val="16"/>
        </w:rPr>
        <w:t>limitar el goce y ejercicio de cualquier derecho o libertad que pueda estar reconocido de acuerdo con las </w:t>
      </w:r>
      <w:r>
        <w:rPr>
          <w:i/>
          <w:sz w:val="16"/>
        </w:rPr>
        <w:t>leyes de cualquiera de los Estados Partes o de acuerdo con otra convención en que sea parte uno de dichos Estados;</w:t>
      </w:r>
    </w:p>
    <w:p>
      <w:pPr>
        <w:pStyle w:val="ListParagraph"/>
        <w:numPr>
          <w:ilvl w:val="0"/>
          <w:numId w:val="57"/>
        </w:numPr>
        <w:tabs>
          <w:tab w:pos="987" w:val="left" w:leader="none"/>
        </w:tabs>
        <w:spacing w:line="240" w:lineRule="auto" w:before="0" w:after="0"/>
        <w:ind w:left="681" w:right="124" w:firstLine="57"/>
        <w:jc w:val="both"/>
        <w:rPr>
          <w:i/>
          <w:sz w:val="16"/>
        </w:rPr>
      </w:pPr>
      <w:r>
        <w:rPr>
          <w:i/>
          <w:sz w:val="16"/>
        </w:rPr>
        <w:t>excluir otros derechos y garantías que son inherentes al ser humano o que se derivan de la forma </w:t>
      </w:r>
      <w:r>
        <w:rPr>
          <w:i/>
          <w:sz w:val="16"/>
        </w:rPr>
        <w:t>democrática representativa de gobierno,</w:t>
      </w:r>
      <w:r>
        <w:rPr>
          <w:i/>
          <w:spacing w:val="-10"/>
          <w:sz w:val="16"/>
        </w:rPr>
        <w:t> </w:t>
      </w:r>
      <w:r>
        <w:rPr>
          <w:i/>
          <w:sz w:val="16"/>
        </w:rPr>
        <w:t>y</w:t>
      </w:r>
    </w:p>
    <w:p>
      <w:pPr>
        <w:pStyle w:val="ListParagraph"/>
        <w:numPr>
          <w:ilvl w:val="0"/>
          <w:numId w:val="57"/>
        </w:numPr>
        <w:tabs>
          <w:tab w:pos="957" w:val="left" w:leader="none"/>
        </w:tabs>
        <w:spacing w:line="240" w:lineRule="auto" w:before="0" w:after="0"/>
        <w:ind w:left="681" w:right="122" w:firstLine="57"/>
        <w:jc w:val="both"/>
        <w:rPr>
          <w:i/>
          <w:sz w:val="16"/>
        </w:rPr>
      </w:pPr>
      <w:r>
        <w:rPr>
          <w:i/>
          <w:sz w:val="16"/>
        </w:rPr>
        <w:t>excluir</w:t>
      </w:r>
      <w:r>
        <w:rPr>
          <w:i/>
          <w:spacing w:val="-12"/>
          <w:sz w:val="16"/>
        </w:rPr>
        <w:t> </w:t>
      </w:r>
      <w:r>
        <w:rPr>
          <w:i/>
          <w:sz w:val="16"/>
        </w:rPr>
        <w:t>o</w:t>
      </w:r>
      <w:r>
        <w:rPr>
          <w:i/>
          <w:spacing w:val="-12"/>
          <w:sz w:val="16"/>
        </w:rPr>
        <w:t> </w:t>
      </w:r>
      <w:r>
        <w:rPr>
          <w:i/>
          <w:sz w:val="16"/>
        </w:rPr>
        <w:t>limitar</w:t>
      </w:r>
      <w:r>
        <w:rPr>
          <w:i/>
          <w:spacing w:val="-12"/>
          <w:sz w:val="16"/>
        </w:rPr>
        <w:t> </w:t>
      </w:r>
      <w:r>
        <w:rPr>
          <w:i/>
          <w:sz w:val="16"/>
        </w:rPr>
        <w:t>el</w:t>
      </w:r>
      <w:r>
        <w:rPr>
          <w:i/>
          <w:spacing w:val="-12"/>
          <w:sz w:val="16"/>
        </w:rPr>
        <w:t> </w:t>
      </w:r>
      <w:r>
        <w:rPr>
          <w:i/>
          <w:sz w:val="16"/>
        </w:rPr>
        <w:t>efecto</w:t>
      </w:r>
      <w:r>
        <w:rPr>
          <w:i/>
          <w:spacing w:val="-10"/>
          <w:sz w:val="16"/>
        </w:rPr>
        <w:t> </w:t>
      </w:r>
      <w:r>
        <w:rPr>
          <w:i/>
          <w:sz w:val="16"/>
        </w:rPr>
        <w:t>que</w:t>
      </w:r>
      <w:r>
        <w:rPr>
          <w:i/>
          <w:spacing w:val="-12"/>
          <w:sz w:val="16"/>
        </w:rPr>
        <w:t> </w:t>
      </w:r>
      <w:r>
        <w:rPr>
          <w:i/>
          <w:sz w:val="16"/>
        </w:rPr>
        <w:t>puedan</w:t>
      </w:r>
      <w:r>
        <w:rPr>
          <w:i/>
          <w:spacing w:val="-12"/>
          <w:sz w:val="16"/>
        </w:rPr>
        <w:t> </w:t>
      </w:r>
      <w:r>
        <w:rPr>
          <w:i/>
          <w:sz w:val="16"/>
        </w:rPr>
        <w:t>producir</w:t>
      </w:r>
      <w:r>
        <w:rPr>
          <w:i/>
          <w:spacing w:val="-12"/>
          <w:sz w:val="16"/>
        </w:rPr>
        <w:t> </w:t>
      </w:r>
      <w:r>
        <w:rPr>
          <w:i/>
          <w:sz w:val="16"/>
        </w:rPr>
        <w:t>la</w:t>
      </w:r>
      <w:r>
        <w:rPr>
          <w:i/>
          <w:spacing w:val="-12"/>
          <w:sz w:val="16"/>
        </w:rPr>
        <w:t> </w:t>
      </w:r>
      <w:r>
        <w:rPr>
          <w:i/>
          <w:sz w:val="16"/>
        </w:rPr>
        <w:t>Declaración</w:t>
      </w:r>
      <w:r>
        <w:rPr>
          <w:i/>
          <w:spacing w:val="-12"/>
          <w:sz w:val="16"/>
        </w:rPr>
        <w:t> </w:t>
      </w:r>
      <w:r>
        <w:rPr>
          <w:i/>
          <w:sz w:val="16"/>
        </w:rPr>
        <w:t>Americana</w:t>
      </w:r>
      <w:r>
        <w:rPr>
          <w:i/>
          <w:spacing w:val="-12"/>
          <w:sz w:val="16"/>
        </w:rPr>
        <w:t> </w:t>
      </w:r>
      <w:r>
        <w:rPr>
          <w:i/>
          <w:sz w:val="16"/>
        </w:rPr>
        <w:t>de</w:t>
      </w:r>
      <w:r>
        <w:rPr>
          <w:i/>
          <w:spacing w:val="-12"/>
          <w:sz w:val="16"/>
        </w:rPr>
        <w:t> </w:t>
      </w:r>
      <w:r>
        <w:rPr>
          <w:i/>
          <w:sz w:val="16"/>
        </w:rPr>
        <w:t>Derechos</w:t>
      </w:r>
      <w:r>
        <w:rPr>
          <w:i/>
          <w:spacing w:val="-12"/>
          <w:sz w:val="16"/>
        </w:rPr>
        <w:t> </w:t>
      </w:r>
      <w:r>
        <w:rPr>
          <w:i/>
          <w:sz w:val="16"/>
        </w:rPr>
        <w:t>y</w:t>
      </w:r>
      <w:r>
        <w:rPr>
          <w:i/>
          <w:spacing w:val="-11"/>
          <w:sz w:val="16"/>
        </w:rPr>
        <w:t> </w:t>
      </w:r>
      <w:r>
        <w:rPr>
          <w:i/>
          <w:sz w:val="16"/>
        </w:rPr>
        <w:t>Deberes</w:t>
      </w:r>
      <w:r>
        <w:rPr>
          <w:i/>
          <w:spacing w:val="-12"/>
          <w:sz w:val="16"/>
        </w:rPr>
        <w:t> </w:t>
      </w:r>
      <w:r>
        <w:rPr>
          <w:i/>
          <w:sz w:val="16"/>
        </w:rPr>
        <w:t>del</w:t>
      </w:r>
      <w:r>
        <w:rPr>
          <w:i/>
          <w:spacing w:val="-10"/>
          <w:sz w:val="16"/>
        </w:rPr>
        <w:t> </w:t>
      </w:r>
      <w:r>
        <w:rPr>
          <w:i/>
          <w:sz w:val="16"/>
        </w:rPr>
        <w:t>Hombre </w:t>
      </w:r>
      <w:r>
        <w:rPr>
          <w:i/>
          <w:sz w:val="16"/>
        </w:rPr>
        <w:t>y otros actos internacionales de la misma</w:t>
      </w:r>
      <w:r>
        <w:rPr>
          <w:i/>
          <w:spacing w:val="-20"/>
          <w:sz w:val="16"/>
        </w:rPr>
        <w:t> </w:t>
      </w:r>
      <w:r>
        <w:rPr>
          <w:i/>
          <w:sz w:val="16"/>
        </w:rPr>
        <w:t>naturaleza.”</w:t>
      </w:r>
    </w:p>
    <w:p>
      <w:pPr>
        <w:pStyle w:val="BodyText"/>
        <w:spacing w:before="7"/>
        <w:rPr>
          <w:i/>
          <w:sz w:val="15"/>
        </w:rPr>
      </w:pPr>
    </w:p>
    <w:p>
      <w:pPr>
        <w:spacing w:before="0"/>
        <w:ind w:left="681" w:right="0" w:firstLine="0"/>
        <w:jc w:val="both"/>
        <w:rPr>
          <w:rFonts w:ascii="Calibri" w:hAnsi="Calibri"/>
          <w:sz w:val="20"/>
        </w:rPr>
      </w:pPr>
      <w:r>
        <w:rPr>
          <w:rFonts w:ascii="Calibri" w:hAnsi="Calibri"/>
          <w:position w:val="7"/>
          <w:sz w:val="13"/>
        </w:rPr>
        <w:t>75  </w:t>
      </w:r>
      <w:r>
        <w:rPr>
          <w:rFonts w:ascii="Calibri" w:hAnsi="Calibri"/>
          <w:sz w:val="20"/>
        </w:rPr>
        <w:t>Párr. 195.</w:t>
      </w:r>
    </w:p>
    <w:p>
      <w:pPr>
        <w:spacing w:after="0"/>
        <w:jc w:val="both"/>
        <w:rPr>
          <w:rFonts w:ascii="Calibri" w:hAnsi="Calibri"/>
          <w:sz w:val="20"/>
        </w:rPr>
        <w:sectPr>
          <w:pgSz w:w="12240" w:h="15840"/>
          <w:pgMar w:header="0" w:footer="1000" w:top="1220" w:bottom="1200" w:left="1020" w:right="1580"/>
        </w:sectPr>
      </w:pPr>
    </w:p>
    <w:p>
      <w:pPr>
        <w:pStyle w:val="ListParagraph"/>
        <w:numPr>
          <w:ilvl w:val="0"/>
          <w:numId w:val="53"/>
        </w:numPr>
        <w:tabs>
          <w:tab w:pos="1390" w:val="left" w:leader="none"/>
        </w:tabs>
        <w:spacing w:line="240" w:lineRule="auto" w:before="83" w:after="0"/>
        <w:ind w:left="681" w:right="116" w:firstLine="0"/>
        <w:jc w:val="both"/>
        <w:rPr>
          <w:sz w:val="20"/>
        </w:rPr>
      </w:pPr>
      <w:r>
        <w:rPr>
          <w:sz w:val="20"/>
        </w:rPr>
        <w:t>Igualmente es procedente indicar que la interpretación del artículo 26 debe referirse</w:t>
      </w:r>
      <w:r>
        <w:rPr>
          <w:spacing w:val="-5"/>
          <w:sz w:val="20"/>
        </w:rPr>
        <w:t> </w:t>
      </w:r>
      <w:r>
        <w:rPr>
          <w:sz w:val="20"/>
        </w:rPr>
        <w:t>a</w:t>
      </w:r>
      <w:r>
        <w:rPr>
          <w:spacing w:val="-6"/>
          <w:sz w:val="20"/>
        </w:rPr>
        <w:t> </w:t>
      </w:r>
      <w:r>
        <w:rPr>
          <w:sz w:val="20"/>
        </w:rPr>
        <w:t>su</w:t>
      </w:r>
      <w:r>
        <w:rPr>
          <w:spacing w:val="-5"/>
          <w:sz w:val="20"/>
        </w:rPr>
        <w:t> </w:t>
      </w:r>
      <w:r>
        <w:rPr>
          <w:sz w:val="20"/>
        </w:rPr>
        <w:t>sentido</w:t>
      </w:r>
      <w:r>
        <w:rPr>
          <w:spacing w:val="-6"/>
          <w:sz w:val="20"/>
        </w:rPr>
        <w:t> </w:t>
      </w:r>
      <w:r>
        <w:rPr>
          <w:sz w:val="20"/>
        </w:rPr>
        <w:t>y</w:t>
      </w:r>
      <w:r>
        <w:rPr>
          <w:spacing w:val="-7"/>
          <w:sz w:val="20"/>
        </w:rPr>
        <w:t> </w:t>
      </w:r>
      <w:r>
        <w:rPr>
          <w:sz w:val="20"/>
        </w:rPr>
        <w:t>alcance</w:t>
      </w:r>
      <w:r>
        <w:rPr>
          <w:spacing w:val="-5"/>
          <w:sz w:val="20"/>
        </w:rPr>
        <w:t> </w:t>
      </w:r>
      <w:r>
        <w:rPr>
          <w:sz w:val="20"/>
        </w:rPr>
        <w:t>conforme</w:t>
      </w:r>
      <w:r>
        <w:rPr>
          <w:spacing w:val="-5"/>
          <w:sz w:val="20"/>
        </w:rPr>
        <w:t> </w:t>
      </w:r>
      <w:r>
        <w:rPr>
          <w:sz w:val="20"/>
        </w:rPr>
        <w:t>a</w:t>
      </w:r>
      <w:r>
        <w:rPr>
          <w:spacing w:val="-6"/>
          <w:sz w:val="20"/>
        </w:rPr>
        <w:t> </w:t>
      </w:r>
      <w:r>
        <w:rPr>
          <w:sz w:val="20"/>
        </w:rPr>
        <w:t>la</w:t>
      </w:r>
      <w:r>
        <w:rPr>
          <w:spacing w:val="-6"/>
          <w:sz w:val="20"/>
        </w:rPr>
        <w:t> </w:t>
      </w:r>
      <w:r>
        <w:rPr>
          <w:sz w:val="20"/>
        </w:rPr>
        <w:t>alternativa</w:t>
      </w:r>
      <w:r>
        <w:rPr>
          <w:spacing w:val="-7"/>
          <w:sz w:val="20"/>
        </w:rPr>
        <w:t> </w:t>
      </w:r>
      <w:r>
        <w:rPr>
          <w:sz w:val="20"/>
        </w:rPr>
        <w:t>de</w:t>
      </w:r>
      <w:r>
        <w:rPr>
          <w:spacing w:val="-5"/>
          <w:sz w:val="20"/>
        </w:rPr>
        <w:t> </w:t>
      </w:r>
      <w:r>
        <w:rPr>
          <w:sz w:val="20"/>
        </w:rPr>
        <w:t>aplicación</w:t>
      </w:r>
      <w:r>
        <w:rPr>
          <w:spacing w:val="-7"/>
          <w:sz w:val="20"/>
        </w:rPr>
        <w:t> </w:t>
      </w:r>
      <w:r>
        <w:rPr>
          <w:sz w:val="20"/>
        </w:rPr>
        <w:t>que</w:t>
      </w:r>
      <w:r>
        <w:rPr>
          <w:spacing w:val="-5"/>
          <w:sz w:val="20"/>
        </w:rPr>
        <w:t> </w:t>
      </w:r>
      <w:r>
        <w:rPr>
          <w:sz w:val="20"/>
        </w:rPr>
        <w:t>se</w:t>
      </w:r>
      <w:r>
        <w:rPr>
          <w:spacing w:val="-5"/>
          <w:sz w:val="20"/>
        </w:rPr>
        <w:t> </w:t>
      </w:r>
      <w:r>
        <w:rPr>
          <w:sz w:val="20"/>
        </w:rPr>
        <w:t>pretende, que en este caso consistiría, según puede desprenderse de la Sentencia, en inferir de</w:t>
      </w:r>
      <w:r>
        <w:rPr>
          <w:spacing w:val="-47"/>
          <w:sz w:val="20"/>
        </w:rPr>
        <w:t> </w:t>
      </w:r>
      <w:r>
        <w:rPr>
          <w:sz w:val="20"/>
        </w:rPr>
        <w:t>él que las violaciones de los derechos humanos que derivan de las normas económicas, sociales y sobre educación, ciencia y cultura, contenidas en la Carta de la OEA, pueden ser conocidas y resueltas por la Corte. En tal perspectiva, el </w:t>
      </w:r>
      <w:r>
        <w:rPr>
          <w:i/>
          <w:sz w:val="20"/>
        </w:rPr>
        <w:t>corpus iuris </w:t>
      </w:r>
      <w:r>
        <w:rPr>
          <w:sz w:val="20"/>
        </w:rPr>
        <w:t>internacional</w:t>
      </w:r>
      <w:r>
        <w:rPr>
          <w:position w:val="7"/>
          <w:sz w:val="13"/>
        </w:rPr>
        <w:t>76 </w:t>
      </w:r>
      <w:r>
        <w:rPr>
          <w:sz w:val="20"/>
        </w:rPr>
        <w:t>al</w:t>
      </w:r>
      <w:r>
        <w:rPr>
          <w:spacing w:val="-7"/>
          <w:sz w:val="20"/>
        </w:rPr>
        <w:t> </w:t>
      </w:r>
      <w:r>
        <w:rPr>
          <w:sz w:val="20"/>
        </w:rPr>
        <w:t>que</w:t>
      </w:r>
      <w:r>
        <w:rPr>
          <w:spacing w:val="-6"/>
          <w:sz w:val="20"/>
        </w:rPr>
        <w:t> </w:t>
      </w:r>
      <w:r>
        <w:rPr>
          <w:sz w:val="20"/>
        </w:rPr>
        <w:t>se</w:t>
      </w:r>
      <w:r>
        <w:rPr>
          <w:spacing w:val="-6"/>
          <w:sz w:val="20"/>
        </w:rPr>
        <w:t> </w:t>
      </w:r>
      <w:r>
        <w:rPr>
          <w:sz w:val="20"/>
        </w:rPr>
        <w:t>debería</w:t>
      </w:r>
      <w:r>
        <w:rPr>
          <w:spacing w:val="-7"/>
          <w:sz w:val="20"/>
        </w:rPr>
        <w:t> </w:t>
      </w:r>
      <w:r>
        <w:rPr>
          <w:sz w:val="20"/>
        </w:rPr>
        <w:t>recurrir</w:t>
      </w:r>
      <w:r>
        <w:rPr>
          <w:spacing w:val="-7"/>
          <w:sz w:val="20"/>
        </w:rPr>
        <w:t> </w:t>
      </w:r>
      <w:r>
        <w:rPr>
          <w:sz w:val="20"/>
        </w:rPr>
        <w:t>es</w:t>
      </w:r>
      <w:r>
        <w:rPr>
          <w:spacing w:val="-7"/>
          <w:sz w:val="20"/>
        </w:rPr>
        <w:t> </w:t>
      </w:r>
      <w:r>
        <w:rPr>
          <w:sz w:val="20"/>
        </w:rPr>
        <w:t>al</w:t>
      </w:r>
      <w:r>
        <w:rPr>
          <w:spacing w:val="-7"/>
          <w:sz w:val="20"/>
        </w:rPr>
        <w:t> </w:t>
      </w:r>
      <w:r>
        <w:rPr>
          <w:sz w:val="20"/>
        </w:rPr>
        <w:t>que</w:t>
      </w:r>
      <w:r>
        <w:rPr>
          <w:spacing w:val="-8"/>
          <w:sz w:val="20"/>
        </w:rPr>
        <w:t> </w:t>
      </w:r>
      <w:r>
        <w:rPr>
          <w:sz w:val="20"/>
        </w:rPr>
        <w:t>diga</w:t>
      </w:r>
      <w:r>
        <w:rPr>
          <w:spacing w:val="-7"/>
          <w:sz w:val="20"/>
        </w:rPr>
        <w:t> </w:t>
      </w:r>
      <w:r>
        <w:rPr>
          <w:sz w:val="20"/>
        </w:rPr>
        <w:t>relación</w:t>
      </w:r>
      <w:r>
        <w:rPr>
          <w:spacing w:val="-6"/>
          <w:sz w:val="20"/>
        </w:rPr>
        <w:t> </w:t>
      </w:r>
      <w:r>
        <w:rPr>
          <w:sz w:val="20"/>
        </w:rPr>
        <w:t>con</w:t>
      </w:r>
      <w:r>
        <w:rPr>
          <w:spacing w:val="-8"/>
          <w:sz w:val="20"/>
        </w:rPr>
        <w:t> </w:t>
      </w:r>
      <w:r>
        <w:rPr>
          <w:sz w:val="20"/>
        </w:rPr>
        <w:t>dicha</w:t>
      </w:r>
      <w:r>
        <w:rPr>
          <w:spacing w:val="-8"/>
          <w:sz w:val="20"/>
        </w:rPr>
        <w:t> </w:t>
      </w:r>
      <w:r>
        <w:rPr>
          <w:sz w:val="20"/>
        </w:rPr>
        <w:t>alternativa</w:t>
      </w:r>
      <w:r>
        <w:rPr>
          <w:spacing w:val="-8"/>
          <w:sz w:val="20"/>
        </w:rPr>
        <w:t> </w:t>
      </w:r>
      <w:r>
        <w:rPr>
          <w:sz w:val="20"/>
        </w:rPr>
        <w:t>de</w:t>
      </w:r>
      <w:r>
        <w:rPr>
          <w:spacing w:val="-6"/>
          <w:sz w:val="20"/>
        </w:rPr>
        <w:t> </w:t>
      </w:r>
      <w:r>
        <w:rPr>
          <w:sz w:val="20"/>
        </w:rPr>
        <w:t>interpretación, distinguiendo, al efecto, entre los diversos instrumentos que lo constituyen, acorde a la condición de fuente del Derecho Internacional aplicable de cada cual, de suerte que se pueda desprender de ellos con claridad el sentido y alcance de la norma en comento acorde</w:t>
      </w:r>
      <w:r>
        <w:rPr>
          <w:spacing w:val="-18"/>
          <w:sz w:val="20"/>
        </w:rPr>
        <w:t> </w:t>
      </w:r>
      <w:r>
        <w:rPr>
          <w:sz w:val="20"/>
        </w:rPr>
        <w:t>al</w:t>
      </w:r>
      <w:r>
        <w:rPr>
          <w:spacing w:val="-18"/>
          <w:sz w:val="20"/>
        </w:rPr>
        <w:t> </w:t>
      </w:r>
      <w:r>
        <w:rPr>
          <w:sz w:val="20"/>
        </w:rPr>
        <w:t>objetivo</w:t>
      </w:r>
      <w:r>
        <w:rPr>
          <w:spacing w:val="-19"/>
          <w:sz w:val="20"/>
        </w:rPr>
        <w:t> </w:t>
      </w:r>
      <w:r>
        <w:rPr>
          <w:sz w:val="20"/>
        </w:rPr>
        <w:t>perseguido,</w:t>
      </w:r>
      <w:r>
        <w:rPr>
          <w:spacing w:val="-19"/>
          <w:sz w:val="20"/>
        </w:rPr>
        <w:t> </w:t>
      </w:r>
      <w:r>
        <w:rPr>
          <w:sz w:val="20"/>
        </w:rPr>
        <w:t>todo</w:t>
      </w:r>
      <w:r>
        <w:rPr>
          <w:spacing w:val="-20"/>
          <w:sz w:val="20"/>
        </w:rPr>
        <w:t> </w:t>
      </w:r>
      <w:r>
        <w:rPr>
          <w:sz w:val="20"/>
        </w:rPr>
        <w:t>lo</w:t>
      </w:r>
      <w:r>
        <w:rPr>
          <w:spacing w:val="-18"/>
          <w:sz w:val="20"/>
        </w:rPr>
        <w:t> </w:t>
      </w:r>
      <w:r>
        <w:rPr>
          <w:sz w:val="20"/>
        </w:rPr>
        <w:t>cual,</w:t>
      </w:r>
      <w:r>
        <w:rPr>
          <w:spacing w:val="-17"/>
          <w:sz w:val="20"/>
        </w:rPr>
        <w:t> </w:t>
      </w:r>
      <w:r>
        <w:rPr>
          <w:sz w:val="20"/>
        </w:rPr>
        <w:t>evidentemente,</w:t>
      </w:r>
      <w:r>
        <w:rPr>
          <w:spacing w:val="-18"/>
          <w:sz w:val="20"/>
        </w:rPr>
        <w:t> </w:t>
      </w:r>
      <w:r>
        <w:rPr>
          <w:sz w:val="20"/>
        </w:rPr>
        <w:t>no</w:t>
      </w:r>
      <w:r>
        <w:rPr>
          <w:spacing w:val="-18"/>
          <w:sz w:val="20"/>
        </w:rPr>
        <w:t> </w:t>
      </w:r>
      <w:r>
        <w:rPr>
          <w:sz w:val="20"/>
        </w:rPr>
        <w:t>acontece</w:t>
      </w:r>
      <w:r>
        <w:rPr>
          <w:spacing w:val="-18"/>
          <w:sz w:val="20"/>
        </w:rPr>
        <w:t> </w:t>
      </w:r>
      <w:r>
        <w:rPr>
          <w:sz w:val="20"/>
        </w:rPr>
        <w:t>en</w:t>
      </w:r>
      <w:r>
        <w:rPr>
          <w:spacing w:val="-18"/>
          <w:sz w:val="20"/>
        </w:rPr>
        <w:t> </w:t>
      </w:r>
      <w:r>
        <w:rPr>
          <w:sz w:val="20"/>
        </w:rPr>
        <w:t>autos,</w:t>
      </w:r>
      <w:r>
        <w:rPr>
          <w:spacing w:val="-17"/>
          <w:sz w:val="20"/>
        </w:rPr>
        <w:t> </w:t>
      </w:r>
      <w:r>
        <w:rPr>
          <w:sz w:val="20"/>
        </w:rPr>
        <w:t>puesto que, como ya precedentemente se expresó, los evocados instrumentos no conciernen a la competencia de la Corte en cuanto a las violaciones de los aludidos</w:t>
      </w:r>
      <w:r>
        <w:rPr>
          <w:spacing w:val="-23"/>
          <w:sz w:val="20"/>
        </w:rPr>
        <w:t> </w:t>
      </w:r>
      <w:r>
        <w:rPr>
          <w:sz w:val="20"/>
        </w:rPr>
        <w:t>derechos.</w:t>
      </w:r>
    </w:p>
    <w:p>
      <w:pPr>
        <w:pStyle w:val="BodyText"/>
        <w:spacing w:before="11"/>
        <w:rPr>
          <w:sz w:val="19"/>
        </w:rPr>
      </w:pPr>
    </w:p>
    <w:p>
      <w:pPr>
        <w:pStyle w:val="ListParagraph"/>
        <w:numPr>
          <w:ilvl w:val="0"/>
          <w:numId w:val="53"/>
        </w:numPr>
        <w:tabs>
          <w:tab w:pos="1390" w:val="left" w:leader="none"/>
        </w:tabs>
        <w:spacing w:line="240" w:lineRule="auto" w:before="0" w:after="0"/>
        <w:ind w:left="681" w:right="116" w:firstLine="0"/>
        <w:jc w:val="both"/>
        <w:rPr>
          <w:sz w:val="13"/>
        </w:rPr>
      </w:pPr>
      <w:r>
        <w:rPr>
          <w:sz w:val="20"/>
        </w:rPr>
        <w:t>Del mismo modo, es oportuno hacer formular un comentario acerca de la invocación que la Sentencia hace del artículo 1 de la Convención</w:t>
      </w:r>
      <w:r>
        <w:rPr>
          <w:position w:val="7"/>
          <w:sz w:val="13"/>
        </w:rPr>
        <w:t>77</w:t>
      </w:r>
      <w:r>
        <w:rPr>
          <w:sz w:val="20"/>
        </w:rPr>
        <w:t>. Esa norma dispone que los Estados Partes de la Convención deben respetar y hacer respetar los derechos humanos. </w:t>
      </w:r>
      <w:r>
        <w:rPr>
          <w:i/>
          <w:sz w:val="20"/>
        </w:rPr>
        <w:t>Ergo</w:t>
      </w:r>
      <w:r>
        <w:rPr>
          <w:sz w:val="20"/>
        </w:rPr>
        <w:t>, a contrario de lo que parece sostener la Sentencia, dicho artículo no expresa, ni tampoco puede deducirse de él, que las violaciones de todos los derechos humanos deben o pueden ser conocidas y resueltas por la Corte. Ésta puede proceder única y exclusivamente respecto de que los casos que le sean sometidos, “siempre que los Estados Partes en el caso hayan reconocido o reconozcan dicha</w:t>
      </w:r>
      <w:r>
        <w:rPr>
          <w:spacing w:val="-13"/>
          <w:sz w:val="20"/>
        </w:rPr>
        <w:t> </w:t>
      </w:r>
      <w:r>
        <w:rPr>
          <w:sz w:val="20"/>
        </w:rPr>
        <w:t>competencia”</w:t>
      </w:r>
      <w:r>
        <w:rPr>
          <w:position w:val="7"/>
          <w:sz w:val="13"/>
        </w:rPr>
        <w:t>78</w:t>
      </w:r>
    </w:p>
    <w:p>
      <w:pPr>
        <w:pStyle w:val="BodyText"/>
        <w:spacing w:before="11"/>
        <w:rPr>
          <w:sz w:val="19"/>
        </w:rPr>
      </w:pPr>
    </w:p>
    <w:p>
      <w:pPr>
        <w:pStyle w:val="ListParagraph"/>
        <w:numPr>
          <w:ilvl w:val="0"/>
          <w:numId w:val="53"/>
        </w:numPr>
        <w:tabs>
          <w:tab w:pos="1390" w:val="left" w:leader="none"/>
        </w:tabs>
        <w:spacing w:line="240" w:lineRule="auto" w:before="0" w:after="0"/>
        <w:ind w:left="681" w:right="116" w:firstLine="0"/>
        <w:jc w:val="both"/>
        <w:rPr>
          <w:sz w:val="20"/>
        </w:rPr>
      </w:pPr>
      <w:r>
        <w:rPr>
          <w:sz w:val="20"/>
        </w:rPr>
        <w:t>De lo reseñado, se puede concluir, por lo tanto, que la aplicación del método subjetivo de interpretación de los tratados, que importa considerar a éstos en su totalidad, así como los acuerdos y las prácticas posteriores seguidas por sus Estados Partes</w:t>
      </w:r>
      <w:r>
        <w:rPr>
          <w:spacing w:val="-12"/>
          <w:sz w:val="20"/>
        </w:rPr>
        <w:t> </w:t>
      </w:r>
      <w:r>
        <w:rPr>
          <w:sz w:val="20"/>
        </w:rPr>
        <w:t>y</w:t>
      </w:r>
      <w:r>
        <w:rPr>
          <w:spacing w:val="-13"/>
          <w:sz w:val="20"/>
        </w:rPr>
        <w:t> </w:t>
      </w:r>
      <w:r>
        <w:rPr>
          <w:sz w:val="20"/>
        </w:rPr>
        <w:t>otros</w:t>
      </w:r>
      <w:r>
        <w:rPr>
          <w:spacing w:val="-12"/>
          <w:sz w:val="20"/>
        </w:rPr>
        <w:t> </w:t>
      </w:r>
      <w:r>
        <w:rPr>
          <w:sz w:val="20"/>
        </w:rPr>
        <w:t>normas</w:t>
      </w:r>
      <w:r>
        <w:rPr>
          <w:spacing w:val="-12"/>
          <w:sz w:val="20"/>
        </w:rPr>
        <w:t> </w:t>
      </w:r>
      <w:r>
        <w:rPr>
          <w:sz w:val="20"/>
        </w:rPr>
        <w:t>internacionales</w:t>
      </w:r>
      <w:r>
        <w:rPr>
          <w:spacing w:val="-12"/>
          <w:sz w:val="20"/>
        </w:rPr>
        <w:t> </w:t>
      </w:r>
      <w:r>
        <w:rPr>
          <w:sz w:val="20"/>
        </w:rPr>
        <w:t>aplicables</w:t>
      </w:r>
      <w:r>
        <w:rPr>
          <w:spacing w:val="-12"/>
          <w:sz w:val="20"/>
        </w:rPr>
        <w:t> </w:t>
      </w:r>
      <w:r>
        <w:rPr>
          <w:sz w:val="20"/>
        </w:rPr>
        <w:t>entre</w:t>
      </w:r>
      <w:r>
        <w:rPr>
          <w:spacing w:val="-12"/>
          <w:sz w:val="20"/>
        </w:rPr>
        <w:t> </w:t>
      </w:r>
      <w:r>
        <w:rPr>
          <w:sz w:val="20"/>
        </w:rPr>
        <w:t>ellos,</w:t>
      </w:r>
      <w:r>
        <w:rPr>
          <w:spacing w:val="-11"/>
          <w:sz w:val="20"/>
        </w:rPr>
        <w:t> </w:t>
      </w:r>
      <w:r>
        <w:rPr>
          <w:sz w:val="20"/>
        </w:rPr>
        <w:t>conduce</w:t>
      </w:r>
      <w:r>
        <w:rPr>
          <w:spacing w:val="-11"/>
          <w:sz w:val="20"/>
        </w:rPr>
        <w:t> </w:t>
      </w:r>
      <w:r>
        <w:rPr>
          <w:sz w:val="20"/>
        </w:rPr>
        <w:t>al</w:t>
      </w:r>
      <w:r>
        <w:rPr>
          <w:spacing w:val="-13"/>
          <w:sz w:val="20"/>
        </w:rPr>
        <w:t> </w:t>
      </w:r>
      <w:r>
        <w:rPr>
          <w:sz w:val="20"/>
        </w:rPr>
        <w:t>mismo</w:t>
      </w:r>
      <w:r>
        <w:rPr>
          <w:spacing w:val="-13"/>
          <w:sz w:val="20"/>
        </w:rPr>
        <w:t> </w:t>
      </w:r>
      <w:r>
        <w:rPr>
          <w:sz w:val="20"/>
        </w:rPr>
        <w:t>resultado ya antes señalado, a saber, que en momento alguno se incluyó a los derechos económicos, sociales y culturales que se “derivan” de las normas de la Carta de la</w:t>
      </w:r>
      <w:r>
        <w:rPr>
          <w:spacing w:val="-26"/>
          <w:sz w:val="20"/>
        </w:rPr>
        <w:t> </w:t>
      </w:r>
      <w:r>
        <w:rPr>
          <w:sz w:val="20"/>
        </w:rPr>
        <w:t>OEA, entre ellos, los derechos a la identidad cultural, al medio ambiente sano, a la alimentación</w:t>
      </w:r>
      <w:r>
        <w:rPr>
          <w:spacing w:val="-8"/>
          <w:sz w:val="20"/>
        </w:rPr>
        <w:t> </w:t>
      </w:r>
      <w:r>
        <w:rPr>
          <w:sz w:val="20"/>
        </w:rPr>
        <w:t>adecuada</w:t>
      </w:r>
      <w:r>
        <w:rPr>
          <w:spacing w:val="-10"/>
          <w:sz w:val="20"/>
        </w:rPr>
        <w:t> </w:t>
      </w:r>
      <w:r>
        <w:rPr>
          <w:sz w:val="20"/>
        </w:rPr>
        <w:t>y</w:t>
      </w:r>
      <w:r>
        <w:rPr>
          <w:spacing w:val="-8"/>
          <w:sz w:val="20"/>
        </w:rPr>
        <w:t> </w:t>
      </w:r>
      <w:r>
        <w:rPr>
          <w:sz w:val="20"/>
        </w:rPr>
        <w:t>al</w:t>
      </w:r>
      <w:r>
        <w:rPr>
          <w:spacing w:val="-10"/>
          <w:sz w:val="20"/>
        </w:rPr>
        <w:t> </w:t>
      </w:r>
      <w:r>
        <w:rPr>
          <w:sz w:val="20"/>
        </w:rPr>
        <w:t>agua,</w:t>
      </w:r>
      <w:r>
        <w:rPr>
          <w:spacing w:val="-9"/>
          <w:sz w:val="20"/>
        </w:rPr>
        <w:t> </w:t>
      </w:r>
      <w:r>
        <w:rPr>
          <w:sz w:val="20"/>
        </w:rPr>
        <w:t>en</w:t>
      </w:r>
      <w:r>
        <w:rPr>
          <w:spacing w:val="-9"/>
          <w:sz w:val="20"/>
        </w:rPr>
        <w:t> </w:t>
      </w:r>
      <w:r>
        <w:rPr>
          <w:sz w:val="20"/>
        </w:rPr>
        <w:t>el</w:t>
      </w:r>
      <w:r>
        <w:rPr>
          <w:spacing w:val="-8"/>
          <w:sz w:val="20"/>
        </w:rPr>
        <w:t> </w:t>
      </w:r>
      <w:r>
        <w:rPr>
          <w:sz w:val="20"/>
        </w:rPr>
        <w:t>régimen</w:t>
      </w:r>
      <w:r>
        <w:rPr>
          <w:spacing w:val="-8"/>
          <w:sz w:val="20"/>
        </w:rPr>
        <w:t> </w:t>
      </w:r>
      <w:r>
        <w:rPr>
          <w:sz w:val="20"/>
        </w:rPr>
        <w:t>de</w:t>
      </w:r>
      <w:r>
        <w:rPr>
          <w:spacing w:val="-9"/>
          <w:sz w:val="20"/>
        </w:rPr>
        <w:t> </w:t>
      </w:r>
      <w:r>
        <w:rPr>
          <w:sz w:val="20"/>
        </w:rPr>
        <w:t>protección</w:t>
      </w:r>
      <w:r>
        <w:rPr>
          <w:spacing w:val="-9"/>
          <w:sz w:val="20"/>
        </w:rPr>
        <w:t> </w:t>
      </w:r>
      <w:r>
        <w:rPr>
          <w:sz w:val="20"/>
        </w:rPr>
        <w:t>previsto</w:t>
      </w:r>
      <w:r>
        <w:rPr>
          <w:spacing w:val="-8"/>
          <w:sz w:val="20"/>
        </w:rPr>
        <w:t> </w:t>
      </w:r>
      <w:r>
        <w:rPr>
          <w:sz w:val="20"/>
        </w:rPr>
        <w:t>en</w:t>
      </w:r>
      <w:r>
        <w:rPr>
          <w:spacing w:val="-9"/>
          <w:sz w:val="20"/>
        </w:rPr>
        <w:t> </w:t>
      </w:r>
      <w:r>
        <w:rPr>
          <w:sz w:val="20"/>
        </w:rPr>
        <w:t>la</w:t>
      </w:r>
      <w:r>
        <w:rPr>
          <w:spacing w:val="-10"/>
          <w:sz w:val="20"/>
        </w:rPr>
        <w:t> </w:t>
      </w:r>
      <w:r>
        <w:rPr>
          <w:sz w:val="20"/>
        </w:rPr>
        <w:t>Convención</w:t>
      </w:r>
    </w:p>
    <w:p>
      <w:pPr>
        <w:pStyle w:val="BodyText"/>
        <w:spacing w:before="11"/>
        <w:rPr>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Por otra parte, se debe tomar nota acerca de que la evocación del artículo 26 como</w:t>
      </w:r>
      <w:r>
        <w:rPr>
          <w:spacing w:val="-4"/>
          <w:sz w:val="20"/>
        </w:rPr>
        <w:t> </w:t>
      </w:r>
      <w:r>
        <w:rPr>
          <w:sz w:val="20"/>
        </w:rPr>
        <w:t>fuente</w:t>
      </w:r>
      <w:r>
        <w:rPr>
          <w:spacing w:val="-3"/>
          <w:sz w:val="20"/>
        </w:rPr>
        <w:t> </w:t>
      </w:r>
      <w:r>
        <w:rPr>
          <w:sz w:val="20"/>
        </w:rPr>
        <w:t>habilitante</w:t>
      </w:r>
      <w:r>
        <w:rPr>
          <w:spacing w:val="-3"/>
          <w:sz w:val="20"/>
        </w:rPr>
        <w:t> </w:t>
      </w:r>
      <w:r>
        <w:rPr>
          <w:sz w:val="20"/>
        </w:rPr>
        <w:t>para</w:t>
      </w:r>
      <w:r>
        <w:rPr>
          <w:spacing w:val="-4"/>
          <w:sz w:val="20"/>
        </w:rPr>
        <w:t> </w:t>
      </w:r>
      <w:r>
        <w:rPr>
          <w:sz w:val="20"/>
        </w:rPr>
        <w:t>recurrir</w:t>
      </w:r>
      <w:r>
        <w:rPr>
          <w:spacing w:val="-4"/>
          <w:sz w:val="20"/>
        </w:rPr>
        <w:t> </w:t>
      </w:r>
      <w:r>
        <w:rPr>
          <w:sz w:val="20"/>
        </w:rPr>
        <w:t>ante</w:t>
      </w:r>
      <w:r>
        <w:rPr>
          <w:spacing w:val="-3"/>
          <w:sz w:val="20"/>
        </w:rPr>
        <w:t> </w:t>
      </w:r>
      <w:r>
        <w:rPr>
          <w:sz w:val="20"/>
        </w:rPr>
        <w:t>la</w:t>
      </w:r>
      <w:r>
        <w:rPr>
          <w:spacing w:val="-4"/>
          <w:sz w:val="20"/>
        </w:rPr>
        <w:t> </w:t>
      </w:r>
      <w:r>
        <w:rPr>
          <w:sz w:val="20"/>
        </w:rPr>
        <w:t>Corte,</w:t>
      </w:r>
      <w:r>
        <w:rPr>
          <w:spacing w:val="-4"/>
          <w:sz w:val="20"/>
        </w:rPr>
        <w:t> </w:t>
      </w:r>
      <w:r>
        <w:rPr>
          <w:sz w:val="20"/>
        </w:rPr>
        <w:t>no</w:t>
      </w:r>
      <w:r>
        <w:rPr>
          <w:spacing w:val="-3"/>
          <w:sz w:val="20"/>
        </w:rPr>
        <w:t> </w:t>
      </w:r>
      <w:r>
        <w:rPr>
          <w:sz w:val="20"/>
        </w:rPr>
        <w:t>fue</w:t>
      </w:r>
      <w:r>
        <w:rPr>
          <w:spacing w:val="-4"/>
          <w:sz w:val="20"/>
        </w:rPr>
        <w:t> </w:t>
      </w:r>
      <w:r>
        <w:rPr>
          <w:sz w:val="20"/>
        </w:rPr>
        <w:t>planteada</w:t>
      </w:r>
      <w:r>
        <w:rPr>
          <w:spacing w:val="-5"/>
          <w:sz w:val="20"/>
        </w:rPr>
        <w:t> </w:t>
      </w:r>
      <w:r>
        <w:rPr>
          <w:sz w:val="20"/>
        </w:rPr>
        <w:t>sino</w:t>
      </w:r>
      <w:r>
        <w:rPr>
          <w:spacing w:val="-3"/>
          <w:sz w:val="20"/>
        </w:rPr>
        <w:t> </w:t>
      </w:r>
      <w:r>
        <w:rPr>
          <w:sz w:val="20"/>
        </w:rPr>
        <w:t>hasta</w:t>
      </w:r>
      <w:r>
        <w:rPr>
          <w:spacing w:val="-4"/>
          <w:sz w:val="20"/>
        </w:rPr>
        <w:t> </w:t>
      </w:r>
      <w:r>
        <w:rPr>
          <w:sz w:val="20"/>
        </w:rPr>
        <w:t>el</w:t>
      </w:r>
      <w:r>
        <w:rPr>
          <w:spacing w:val="-4"/>
          <w:sz w:val="20"/>
        </w:rPr>
        <w:t> </w:t>
      </w:r>
      <w:r>
        <w:rPr>
          <w:sz w:val="20"/>
        </w:rPr>
        <w:t>caso, </w:t>
      </w:r>
      <w:r>
        <w:rPr>
          <w:i/>
          <w:sz w:val="20"/>
        </w:rPr>
        <w:t>Lagos del Campo Vs</w:t>
      </w:r>
      <w:r>
        <w:rPr>
          <w:sz w:val="20"/>
        </w:rPr>
        <w:t>. </w:t>
      </w:r>
      <w:r>
        <w:rPr>
          <w:i/>
          <w:sz w:val="20"/>
        </w:rPr>
        <w:t>Perú</w:t>
      </w:r>
      <w:r>
        <w:rPr>
          <w:position w:val="7"/>
          <w:sz w:val="13"/>
        </w:rPr>
        <w:t>79</w:t>
      </w:r>
      <w:r>
        <w:rPr>
          <w:sz w:val="20"/>
        </w:rPr>
        <w:t>. Antes de ello, lo relativo a la violación de derechos económicos</w:t>
      </w:r>
      <w:r>
        <w:rPr>
          <w:spacing w:val="-9"/>
          <w:sz w:val="20"/>
        </w:rPr>
        <w:t> </w:t>
      </w:r>
      <w:r>
        <w:rPr>
          <w:sz w:val="20"/>
        </w:rPr>
        <w:t>y</w:t>
      </w:r>
      <w:r>
        <w:rPr>
          <w:spacing w:val="-7"/>
          <w:sz w:val="20"/>
        </w:rPr>
        <w:t> </w:t>
      </w:r>
      <w:r>
        <w:rPr>
          <w:sz w:val="20"/>
        </w:rPr>
        <w:t>sociales</w:t>
      </w:r>
      <w:r>
        <w:rPr>
          <w:spacing w:val="-8"/>
          <w:sz w:val="20"/>
        </w:rPr>
        <w:t> </w:t>
      </w:r>
      <w:r>
        <w:rPr>
          <w:sz w:val="20"/>
        </w:rPr>
        <w:t>fue</w:t>
      </w:r>
      <w:r>
        <w:rPr>
          <w:spacing w:val="-7"/>
          <w:sz w:val="20"/>
        </w:rPr>
        <w:t> </w:t>
      </w:r>
      <w:r>
        <w:rPr>
          <w:sz w:val="20"/>
        </w:rPr>
        <w:t>tratado</w:t>
      </w:r>
      <w:r>
        <w:rPr>
          <w:spacing w:val="-7"/>
          <w:sz w:val="20"/>
        </w:rPr>
        <w:t> </w:t>
      </w:r>
      <w:r>
        <w:rPr>
          <w:sz w:val="20"/>
        </w:rPr>
        <w:t>a</w:t>
      </w:r>
      <w:r>
        <w:rPr>
          <w:spacing w:val="-9"/>
          <w:sz w:val="20"/>
        </w:rPr>
        <w:t> </w:t>
      </w:r>
      <w:r>
        <w:rPr>
          <w:sz w:val="20"/>
        </w:rPr>
        <w:t>partir</w:t>
      </w:r>
      <w:r>
        <w:rPr>
          <w:spacing w:val="-7"/>
          <w:sz w:val="20"/>
        </w:rPr>
        <w:t> </w:t>
      </w:r>
      <w:r>
        <w:rPr>
          <w:sz w:val="20"/>
        </w:rPr>
        <w:t>o</w:t>
      </w:r>
      <w:r>
        <w:rPr>
          <w:spacing w:val="-7"/>
          <w:sz w:val="20"/>
        </w:rPr>
        <w:t> </w:t>
      </w:r>
      <w:r>
        <w:rPr>
          <w:sz w:val="20"/>
        </w:rPr>
        <w:t>como</w:t>
      </w:r>
      <w:r>
        <w:rPr>
          <w:spacing w:val="-8"/>
          <w:sz w:val="20"/>
        </w:rPr>
        <w:t> </w:t>
      </w:r>
      <w:r>
        <w:rPr>
          <w:sz w:val="20"/>
        </w:rPr>
        <w:t>parte</w:t>
      </w:r>
      <w:r>
        <w:rPr>
          <w:spacing w:val="-6"/>
          <w:sz w:val="20"/>
        </w:rPr>
        <w:t> </w:t>
      </w:r>
      <w:r>
        <w:rPr>
          <w:sz w:val="20"/>
        </w:rPr>
        <w:t>de</w:t>
      </w:r>
      <w:r>
        <w:rPr>
          <w:spacing w:val="-8"/>
          <w:sz w:val="20"/>
        </w:rPr>
        <w:t> </w:t>
      </w:r>
      <w:r>
        <w:rPr>
          <w:sz w:val="20"/>
        </w:rPr>
        <w:t>la</w:t>
      </w:r>
      <w:r>
        <w:rPr>
          <w:spacing w:val="-7"/>
          <w:sz w:val="20"/>
        </w:rPr>
        <w:t> </w:t>
      </w:r>
      <w:r>
        <w:rPr>
          <w:sz w:val="20"/>
        </w:rPr>
        <w:t>violación</w:t>
      </w:r>
      <w:r>
        <w:rPr>
          <w:spacing w:val="-8"/>
          <w:sz w:val="20"/>
        </w:rPr>
        <w:t> </w:t>
      </w:r>
      <w:r>
        <w:rPr>
          <w:sz w:val="20"/>
        </w:rPr>
        <w:t>de</w:t>
      </w:r>
      <w:r>
        <w:rPr>
          <w:spacing w:val="-6"/>
          <w:sz w:val="20"/>
        </w:rPr>
        <w:t> </w:t>
      </w:r>
      <w:r>
        <w:rPr>
          <w:sz w:val="20"/>
        </w:rPr>
        <w:t>algún</w:t>
      </w:r>
      <w:r>
        <w:rPr>
          <w:spacing w:val="-7"/>
          <w:sz w:val="20"/>
        </w:rPr>
        <w:t> </w:t>
      </w:r>
      <w:r>
        <w:rPr>
          <w:sz w:val="20"/>
        </w:rPr>
        <w:t>derecho político o civil. Fue en el citado caso en el que el artículo 26 fue planteado como fundamento de la intervención de la Corte y lo fue por los representantes de las presuntas víctimas. La Corte acogió la petición de estos últimos, pero sobre la base del principio </w:t>
      </w:r>
      <w:r>
        <w:rPr>
          <w:i/>
          <w:sz w:val="20"/>
        </w:rPr>
        <w:t>iura novit curia, </w:t>
      </w:r>
      <w:r>
        <w:rPr>
          <w:sz w:val="20"/>
        </w:rPr>
        <w:t>motivo por el que el Estado y la Comisión no tuvieron la oportunidad de pronunciarse a su respecto. En la actualidad, fueron los representantes de las víctimas y la Comisión los que demandan la aplicación del artículo</w:t>
      </w:r>
      <w:r>
        <w:rPr>
          <w:spacing w:val="-20"/>
          <w:sz w:val="20"/>
        </w:rPr>
        <w:t> </w:t>
      </w:r>
      <w:r>
        <w:rPr>
          <w:sz w:val="20"/>
        </w:rPr>
        <w:t>26.</w:t>
      </w:r>
    </w:p>
    <w:p>
      <w:pPr>
        <w:pStyle w:val="BodyText"/>
        <w:spacing w:before="11"/>
        <w:rPr>
          <w:sz w:val="19"/>
        </w:rPr>
      </w:pPr>
    </w:p>
    <w:p>
      <w:pPr>
        <w:pStyle w:val="ListParagraph"/>
        <w:numPr>
          <w:ilvl w:val="0"/>
          <w:numId w:val="53"/>
        </w:numPr>
        <w:tabs>
          <w:tab w:pos="1390" w:val="left" w:leader="none"/>
        </w:tabs>
        <w:spacing w:line="240" w:lineRule="auto" w:before="0" w:after="0"/>
        <w:ind w:left="681" w:right="120" w:firstLine="0"/>
        <w:jc w:val="both"/>
        <w:rPr>
          <w:sz w:val="20"/>
        </w:rPr>
      </w:pPr>
      <w:r>
        <w:rPr>
          <w:sz w:val="20"/>
        </w:rPr>
        <w:t>Más, ahora se ha avanzado un paso más. En efecto, hasta hoy la referencia al mencionado artículo se hacía vinculándolo a normas que establecen un derecho</w:t>
      </w:r>
      <w:r>
        <w:rPr>
          <w:spacing w:val="1"/>
          <w:sz w:val="20"/>
        </w:rPr>
        <w:t> </w:t>
      </w:r>
      <w:r>
        <w:rPr>
          <w:sz w:val="20"/>
        </w:rPr>
        <w:t>político</w:t>
      </w:r>
    </w:p>
    <w:p>
      <w:pPr>
        <w:pStyle w:val="BodyText"/>
        <w:spacing w:before="2"/>
        <w:rPr>
          <w:sz w:val="14"/>
        </w:rPr>
      </w:pPr>
      <w:r>
        <w:rPr/>
        <w:pict>
          <v:line style="position:absolute;mso-position-horizontal-relative:page;mso-position-vertical-relative:paragraph;z-index:4168;mso-wrap-distance-left:0;mso-wrap-distance-right:0" from="56.700001pt,10.944114pt" to="200.720001pt,10.944114pt" stroked="true" strokeweight=".72003pt" strokecolor="#000000">
            <v:stroke dashstyle="solid"/>
            <w10:wrap type="topAndBottom"/>
          </v:line>
        </w:pict>
      </w:r>
    </w:p>
    <w:p>
      <w:pPr>
        <w:pStyle w:val="BodyText"/>
        <w:spacing w:before="66"/>
        <w:ind w:left="681"/>
        <w:rPr>
          <w:rFonts w:ascii="Calibri" w:hAnsi="Calibri"/>
        </w:rPr>
      </w:pPr>
      <w:r>
        <w:rPr>
          <w:rFonts w:ascii="Calibri" w:hAnsi="Calibri"/>
          <w:position w:val="7"/>
          <w:sz w:val="13"/>
        </w:rPr>
        <w:t>76  </w:t>
      </w:r>
      <w:r>
        <w:rPr>
          <w:rFonts w:ascii="Calibri" w:hAnsi="Calibri"/>
        </w:rPr>
        <w:t>Párrs 196 y 198.</w:t>
      </w:r>
    </w:p>
    <w:p>
      <w:pPr>
        <w:pStyle w:val="BodyText"/>
        <w:spacing w:before="7"/>
        <w:rPr>
          <w:rFonts w:ascii="Calibri"/>
          <w:sz w:val="19"/>
        </w:rPr>
      </w:pPr>
    </w:p>
    <w:p>
      <w:pPr>
        <w:pStyle w:val="BodyText"/>
        <w:ind w:left="681"/>
        <w:rPr>
          <w:rFonts w:ascii="Calibri" w:hAnsi="Calibri"/>
        </w:rPr>
      </w:pPr>
      <w:r>
        <w:rPr>
          <w:rFonts w:ascii="Calibri" w:hAnsi="Calibri"/>
          <w:position w:val="7"/>
          <w:sz w:val="13"/>
        </w:rPr>
        <w:t>77  </w:t>
      </w:r>
      <w:r>
        <w:rPr>
          <w:rFonts w:ascii="Calibri" w:hAnsi="Calibri"/>
        </w:rPr>
        <w:t>Supra, Notas N° 23 y 38 y párrs. 207 y 208.</w:t>
      </w:r>
    </w:p>
    <w:p>
      <w:pPr>
        <w:pStyle w:val="BodyText"/>
        <w:spacing w:before="8"/>
        <w:rPr>
          <w:rFonts w:ascii="Calibri"/>
          <w:sz w:val="19"/>
        </w:rPr>
      </w:pPr>
    </w:p>
    <w:p>
      <w:pPr>
        <w:spacing w:before="0"/>
        <w:ind w:left="681" w:right="0" w:firstLine="0"/>
        <w:jc w:val="left"/>
        <w:rPr>
          <w:rFonts w:ascii="Calibri" w:hAnsi="Calibri"/>
          <w:sz w:val="20"/>
        </w:rPr>
      </w:pPr>
      <w:r>
        <w:rPr>
          <w:rFonts w:ascii="Calibri" w:hAnsi="Calibri"/>
          <w:position w:val="7"/>
          <w:sz w:val="13"/>
        </w:rPr>
        <w:t>78  </w:t>
      </w:r>
      <w:r>
        <w:rPr>
          <w:rFonts w:ascii="Calibri" w:hAnsi="Calibri"/>
          <w:i/>
          <w:sz w:val="20"/>
        </w:rPr>
        <w:t>Supra, </w:t>
      </w:r>
      <w:r>
        <w:rPr>
          <w:rFonts w:ascii="Calibri" w:hAnsi="Calibri"/>
          <w:sz w:val="20"/>
        </w:rPr>
        <w:t>Nota N°43.</w:t>
      </w:r>
    </w:p>
    <w:p>
      <w:pPr>
        <w:pStyle w:val="BodyText"/>
        <w:rPr>
          <w:rFonts w:ascii="Calibri"/>
        </w:rPr>
      </w:pPr>
    </w:p>
    <w:p>
      <w:pPr>
        <w:spacing w:before="1"/>
        <w:ind w:left="681" w:right="0" w:firstLine="0"/>
        <w:jc w:val="left"/>
        <w:rPr>
          <w:sz w:val="16"/>
        </w:rPr>
      </w:pPr>
      <w:r>
        <w:rPr>
          <w:position w:val="6"/>
          <w:sz w:val="10"/>
        </w:rPr>
        <w:t>79 </w:t>
      </w:r>
      <w:r>
        <w:rPr>
          <w:i/>
          <w:sz w:val="16"/>
        </w:rPr>
        <w:t>Caso Lagos del Campo Vs. Perú. Excepciones Preliminares, Fondo, Reparaciones y Costas</w:t>
      </w:r>
      <w:r>
        <w:rPr>
          <w:sz w:val="16"/>
        </w:rPr>
        <w:t>, 2017.</w:t>
      </w:r>
    </w:p>
    <w:p>
      <w:pPr>
        <w:spacing w:after="0"/>
        <w:jc w:val="left"/>
        <w:rPr>
          <w:sz w:val="16"/>
        </w:rPr>
        <w:sectPr>
          <w:pgSz w:w="12240" w:h="15840"/>
          <w:pgMar w:header="0" w:footer="1000" w:top="1220" w:bottom="1200" w:left="1020" w:right="1580"/>
        </w:sectPr>
      </w:pPr>
    </w:p>
    <w:p>
      <w:pPr>
        <w:pStyle w:val="BodyText"/>
        <w:spacing w:before="83"/>
        <w:ind w:left="681" w:right="118"/>
        <w:jc w:val="both"/>
      </w:pPr>
      <w:r>
        <w:rPr/>
        <w:t>o civil. En el presente caso, la Sentencia declara la violación de los derechos a la identidad cultural, al medio ambiente sano, a la alimentación adecuada y al agua, en base exclusivamente a lo que dispone dicha norma. Así, para la Corte, ésta puede ser considerada como fuente autónoma para declarar la violación de todo derecho humano que estime que se deriva de las normas de la Carta de la OEA, posición que, por las razones que se exponen en este escrito, no se puede compartir.</w:t>
      </w:r>
    </w:p>
    <w:p>
      <w:pPr>
        <w:pStyle w:val="BodyText"/>
        <w:spacing w:before="11"/>
        <w:rPr>
          <w:sz w:val="19"/>
        </w:rPr>
      </w:pPr>
    </w:p>
    <w:p>
      <w:pPr>
        <w:pStyle w:val="ListParagraph"/>
        <w:numPr>
          <w:ilvl w:val="0"/>
          <w:numId w:val="53"/>
        </w:numPr>
        <w:tabs>
          <w:tab w:pos="1390" w:val="left" w:leader="none"/>
        </w:tabs>
        <w:spacing w:line="240" w:lineRule="auto" w:before="0" w:after="0"/>
        <w:ind w:left="681" w:right="116" w:firstLine="0"/>
        <w:jc w:val="both"/>
        <w:rPr>
          <w:sz w:val="20"/>
        </w:rPr>
      </w:pPr>
      <w:r>
        <w:rPr>
          <w:sz w:val="20"/>
        </w:rPr>
        <w:t>Adicionalmente, se debe advertir que en otras sentencias de la Corte se alcanzó un resultado análogo al que se pretende en autos, aplicando únicamente disposiciones de la Convención referentes a derechos que ésta reconoce y lógicamente dentro de los límites</w:t>
      </w:r>
      <w:r>
        <w:rPr>
          <w:spacing w:val="-18"/>
          <w:sz w:val="20"/>
        </w:rPr>
        <w:t> </w:t>
      </w:r>
      <w:r>
        <w:rPr>
          <w:sz w:val="20"/>
        </w:rPr>
        <w:t>de</w:t>
      </w:r>
      <w:r>
        <w:rPr>
          <w:spacing w:val="-18"/>
          <w:sz w:val="20"/>
        </w:rPr>
        <w:t> </w:t>
      </w:r>
      <w:r>
        <w:rPr>
          <w:sz w:val="20"/>
        </w:rPr>
        <w:t>ellas,</w:t>
      </w:r>
      <w:r>
        <w:rPr>
          <w:spacing w:val="-18"/>
          <w:sz w:val="20"/>
        </w:rPr>
        <w:t> </w:t>
      </w:r>
      <w:r>
        <w:rPr>
          <w:sz w:val="20"/>
        </w:rPr>
        <w:t>como</w:t>
      </w:r>
      <w:r>
        <w:rPr>
          <w:spacing w:val="-18"/>
          <w:sz w:val="20"/>
        </w:rPr>
        <w:t> </w:t>
      </w:r>
      <w:r>
        <w:rPr>
          <w:sz w:val="20"/>
        </w:rPr>
        <w:t>las</w:t>
      </w:r>
      <w:r>
        <w:rPr>
          <w:spacing w:val="-18"/>
          <w:sz w:val="20"/>
        </w:rPr>
        <w:t> </w:t>
      </w:r>
      <w:r>
        <w:rPr>
          <w:sz w:val="20"/>
        </w:rPr>
        <w:t>que</w:t>
      </w:r>
      <w:r>
        <w:rPr>
          <w:spacing w:val="-17"/>
          <w:sz w:val="20"/>
        </w:rPr>
        <w:t> </w:t>
      </w:r>
      <w:r>
        <w:rPr>
          <w:sz w:val="20"/>
        </w:rPr>
        <w:t>protegen</w:t>
      </w:r>
      <w:r>
        <w:rPr>
          <w:spacing w:val="-18"/>
          <w:sz w:val="20"/>
        </w:rPr>
        <w:t> </w:t>
      </w:r>
      <w:r>
        <w:rPr>
          <w:sz w:val="20"/>
        </w:rPr>
        <w:t>el</w:t>
      </w:r>
      <w:r>
        <w:rPr>
          <w:spacing w:val="-19"/>
          <w:sz w:val="20"/>
        </w:rPr>
        <w:t> </w:t>
      </w:r>
      <w:r>
        <w:rPr>
          <w:sz w:val="20"/>
        </w:rPr>
        <w:t>derecho</w:t>
      </w:r>
      <w:r>
        <w:rPr>
          <w:spacing w:val="-18"/>
          <w:sz w:val="20"/>
        </w:rPr>
        <w:t> </w:t>
      </w:r>
      <w:r>
        <w:rPr>
          <w:sz w:val="20"/>
        </w:rPr>
        <w:t>a</w:t>
      </w:r>
      <w:r>
        <w:rPr>
          <w:spacing w:val="-18"/>
          <w:sz w:val="20"/>
        </w:rPr>
        <w:t> </w:t>
      </w:r>
      <w:r>
        <w:rPr>
          <w:sz w:val="20"/>
        </w:rPr>
        <w:t>la</w:t>
      </w:r>
      <w:r>
        <w:rPr>
          <w:spacing w:val="-18"/>
          <w:sz w:val="20"/>
        </w:rPr>
        <w:t> </w:t>
      </w:r>
      <w:r>
        <w:rPr>
          <w:sz w:val="20"/>
        </w:rPr>
        <w:t>integridad</w:t>
      </w:r>
      <w:r>
        <w:rPr>
          <w:spacing w:val="-19"/>
          <w:sz w:val="20"/>
        </w:rPr>
        <w:t> </w:t>
      </w:r>
      <w:r>
        <w:rPr>
          <w:sz w:val="20"/>
        </w:rPr>
        <w:t>personal,</w:t>
      </w:r>
      <w:r>
        <w:rPr>
          <w:spacing w:val="-18"/>
          <w:sz w:val="20"/>
        </w:rPr>
        <w:t> </w:t>
      </w:r>
      <w:r>
        <w:rPr>
          <w:sz w:val="20"/>
        </w:rPr>
        <w:t>a</w:t>
      </w:r>
      <w:r>
        <w:rPr>
          <w:spacing w:val="-18"/>
          <w:sz w:val="20"/>
        </w:rPr>
        <w:t> </w:t>
      </w:r>
      <w:r>
        <w:rPr>
          <w:sz w:val="20"/>
        </w:rPr>
        <w:t>la</w:t>
      </w:r>
      <w:r>
        <w:rPr>
          <w:spacing w:val="-18"/>
          <w:sz w:val="20"/>
        </w:rPr>
        <w:t> </w:t>
      </w:r>
      <w:r>
        <w:rPr>
          <w:sz w:val="20"/>
        </w:rPr>
        <w:t>propiedad o</w:t>
      </w:r>
      <w:r>
        <w:rPr>
          <w:spacing w:val="-10"/>
          <w:sz w:val="20"/>
        </w:rPr>
        <w:t> </w:t>
      </w:r>
      <w:r>
        <w:rPr>
          <w:sz w:val="20"/>
        </w:rPr>
        <w:t>a</w:t>
      </w:r>
      <w:r>
        <w:rPr>
          <w:spacing w:val="-11"/>
          <w:sz w:val="20"/>
        </w:rPr>
        <w:t> </w:t>
      </w:r>
      <w:r>
        <w:rPr>
          <w:sz w:val="20"/>
        </w:rPr>
        <w:t>las</w:t>
      </w:r>
      <w:r>
        <w:rPr>
          <w:spacing w:val="-11"/>
          <w:sz w:val="20"/>
        </w:rPr>
        <w:t> </w:t>
      </w:r>
      <w:r>
        <w:rPr>
          <w:sz w:val="20"/>
        </w:rPr>
        <w:t>garantías</w:t>
      </w:r>
      <w:r>
        <w:rPr>
          <w:spacing w:val="-12"/>
          <w:sz w:val="20"/>
        </w:rPr>
        <w:t> </w:t>
      </w:r>
      <w:r>
        <w:rPr>
          <w:sz w:val="20"/>
        </w:rPr>
        <w:t>judiciales</w:t>
      </w:r>
      <w:r>
        <w:rPr>
          <w:spacing w:val="-10"/>
          <w:sz w:val="20"/>
        </w:rPr>
        <w:t> </w:t>
      </w:r>
      <w:r>
        <w:rPr>
          <w:sz w:val="20"/>
        </w:rPr>
        <w:t>y</w:t>
      </w:r>
      <w:r>
        <w:rPr>
          <w:spacing w:val="-10"/>
          <w:sz w:val="20"/>
        </w:rPr>
        <w:t> </w:t>
      </w:r>
      <w:r>
        <w:rPr>
          <w:sz w:val="20"/>
        </w:rPr>
        <w:t>la</w:t>
      </w:r>
      <w:r>
        <w:rPr>
          <w:spacing w:val="-11"/>
          <w:sz w:val="20"/>
        </w:rPr>
        <w:t> </w:t>
      </w:r>
      <w:r>
        <w:rPr>
          <w:sz w:val="20"/>
        </w:rPr>
        <w:t>protección</w:t>
      </w:r>
      <w:r>
        <w:rPr>
          <w:spacing w:val="-10"/>
          <w:sz w:val="20"/>
        </w:rPr>
        <w:t> </w:t>
      </w:r>
      <w:r>
        <w:rPr>
          <w:sz w:val="20"/>
        </w:rPr>
        <w:t>judicial,</w:t>
      </w:r>
      <w:r>
        <w:rPr>
          <w:spacing w:val="-10"/>
          <w:sz w:val="20"/>
        </w:rPr>
        <w:t> </w:t>
      </w:r>
      <w:r>
        <w:rPr>
          <w:sz w:val="20"/>
        </w:rPr>
        <w:t>sin</w:t>
      </w:r>
      <w:r>
        <w:rPr>
          <w:spacing w:val="-11"/>
          <w:sz w:val="20"/>
        </w:rPr>
        <w:t> </w:t>
      </w:r>
      <w:r>
        <w:rPr>
          <w:sz w:val="20"/>
        </w:rPr>
        <w:t>haber</w:t>
      </w:r>
      <w:r>
        <w:rPr>
          <w:spacing w:val="-10"/>
          <w:sz w:val="20"/>
        </w:rPr>
        <w:t> </w:t>
      </w:r>
      <w:r>
        <w:rPr>
          <w:sz w:val="20"/>
        </w:rPr>
        <w:t>tenido</w:t>
      </w:r>
      <w:r>
        <w:rPr>
          <w:spacing w:val="-12"/>
          <w:sz w:val="20"/>
        </w:rPr>
        <w:t> </w:t>
      </w:r>
      <w:r>
        <w:rPr>
          <w:sz w:val="20"/>
        </w:rPr>
        <w:t>necesidad</w:t>
      </w:r>
      <w:r>
        <w:rPr>
          <w:spacing w:val="-11"/>
          <w:sz w:val="20"/>
        </w:rPr>
        <w:t> </w:t>
      </w:r>
      <w:r>
        <w:rPr>
          <w:sz w:val="20"/>
        </w:rPr>
        <w:t>de</w:t>
      </w:r>
      <w:r>
        <w:rPr>
          <w:spacing w:val="-10"/>
          <w:sz w:val="20"/>
        </w:rPr>
        <w:t> </w:t>
      </w:r>
      <w:r>
        <w:rPr>
          <w:sz w:val="20"/>
        </w:rPr>
        <w:t>recurrir al</w:t>
      </w:r>
      <w:r>
        <w:rPr>
          <w:spacing w:val="-6"/>
          <w:sz w:val="20"/>
        </w:rPr>
        <w:t> </w:t>
      </w:r>
      <w:r>
        <w:rPr>
          <w:sz w:val="20"/>
        </w:rPr>
        <w:t>artículo</w:t>
      </w:r>
      <w:r>
        <w:rPr>
          <w:spacing w:val="-6"/>
          <w:sz w:val="20"/>
        </w:rPr>
        <w:t> </w:t>
      </w:r>
      <w:r>
        <w:rPr>
          <w:sz w:val="20"/>
        </w:rPr>
        <w:t>26.</w:t>
      </w:r>
      <w:r>
        <w:rPr>
          <w:spacing w:val="-6"/>
          <w:sz w:val="20"/>
        </w:rPr>
        <w:t> </w:t>
      </w:r>
      <w:r>
        <w:rPr>
          <w:sz w:val="20"/>
        </w:rPr>
        <w:t>De</w:t>
      </w:r>
      <w:r>
        <w:rPr>
          <w:spacing w:val="-6"/>
          <w:sz w:val="20"/>
        </w:rPr>
        <w:t> </w:t>
      </w:r>
      <w:r>
        <w:rPr>
          <w:sz w:val="20"/>
        </w:rPr>
        <w:t>modo,</w:t>
      </w:r>
      <w:r>
        <w:rPr>
          <w:spacing w:val="-6"/>
          <w:sz w:val="20"/>
        </w:rPr>
        <w:t> </w:t>
      </w:r>
      <w:r>
        <w:rPr>
          <w:sz w:val="20"/>
        </w:rPr>
        <w:t>pues,</w:t>
      </w:r>
      <w:r>
        <w:rPr>
          <w:spacing w:val="-5"/>
          <w:sz w:val="20"/>
        </w:rPr>
        <w:t> </w:t>
      </w:r>
      <w:r>
        <w:rPr>
          <w:sz w:val="20"/>
        </w:rPr>
        <w:t>que</w:t>
      </w:r>
      <w:r>
        <w:rPr>
          <w:spacing w:val="-6"/>
          <w:sz w:val="20"/>
        </w:rPr>
        <w:t> </w:t>
      </w:r>
      <w:r>
        <w:rPr>
          <w:sz w:val="20"/>
        </w:rPr>
        <w:t>no</w:t>
      </w:r>
      <w:r>
        <w:rPr>
          <w:spacing w:val="-6"/>
          <w:sz w:val="20"/>
        </w:rPr>
        <w:t> </w:t>
      </w:r>
      <w:r>
        <w:rPr>
          <w:sz w:val="20"/>
        </w:rPr>
        <w:t>se</w:t>
      </w:r>
      <w:r>
        <w:rPr>
          <w:spacing w:val="-6"/>
          <w:sz w:val="20"/>
        </w:rPr>
        <w:t> </w:t>
      </w:r>
      <w:r>
        <w:rPr>
          <w:sz w:val="20"/>
        </w:rPr>
        <w:t>vislumbra</w:t>
      </w:r>
      <w:r>
        <w:rPr>
          <w:spacing w:val="-7"/>
          <w:sz w:val="20"/>
        </w:rPr>
        <w:t> </w:t>
      </w:r>
      <w:r>
        <w:rPr>
          <w:sz w:val="20"/>
        </w:rPr>
        <w:t>la</w:t>
      </w:r>
      <w:r>
        <w:rPr>
          <w:spacing w:val="-6"/>
          <w:sz w:val="20"/>
        </w:rPr>
        <w:t> </w:t>
      </w:r>
      <w:r>
        <w:rPr>
          <w:sz w:val="20"/>
        </w:rPr>
        <w:t>razón</w:t>
      </w:r>
      <w:r>
        <w:rPr>
          <w:spacing w:val="-6"/>
          <w:sz w:val="20"/>
        </w:rPr>
        <w:t> </w:t>
      </w:r>
      <w:r>
        <w:rPr>
          <w:sz w:val="20"/>
        </w:rPr>
        <w:t>por</w:t>
      </w:r>
      <w:r>
        <w:rPr>
          <w:spacing w:val="-7"/>
          <w:sz w:val="20"/>
        </w:rPr>
        <w:t> </w:t>
      </w:r>
      <w:r>
        <w:rPr>
          <w:sz w:val="20"/>
        </w:rPr>
        <w:t>la</w:t>
      </w:r>
      <w:r>
        <w:rPr>
          <w:spacing w:val="-7"/>
          <w:sz w:val="20"/>
        </w:rPr>
        <w:t> </w:t>
      </w:r>
      <w:r>
        <w:rPr>
          <w:sz w:val="20"/>
        </w:rPr>
        <w:t>insistencia</w:t>
      </w:r>
      <w:r>
        <w:rPr>
          <w:spacing w:val="-6"/>
          <w:sz w:val="20"/>
        </w:rPr>
        <w:t> </w:t>
      </w:r>
      <w:r>
        <w:rPr>
          <w:sz w:val="20"/>
        </w:rPr>
        <w:t>de</w:t>
      </w:r>
      <w:r>
        <w:rPr>
          <w:spacing w:val="-6"/>
          <w:sz w:val="20"/>
        </w:rPr>
        <w:t> </w:t>
      </w:r>
      <w:r>
        <w:rPr>
          <w:sz w:val="20"/>
        </w:rPr>
        <w:t>señalar dicha norma como fundamento para que las violaciones de los derechos humanos que se</w:t>
      </w:r>
      <w:r>
        <w:rPr>
          <w:spacing w:val="-15"/>
          <w:sz w:val="20"/>
        </w:rPr>
        <w:t> </w:t>
      </w:r>
      <w:r>
        <w:rPr>
          <w:sz w:val="20"/>
        </w:rPr>
        <w:t>“derivan”</w:t>
      </w:r>
      <w:r>
        <w:rPr>
          <w:spacing w:val="-15"/>
          <w:sz w:val="20"/>
        </w:rPr>
        <w:t> </w:t>
      </w:r>
      <w:r>
        <w:rPr>
          <w:sz w:val="20"/>
        </w:rPr>
        <w:t>de</w:t>
      </w:r>
      <w:r>
        <w:rPr>
          <w:spacing w:val="-15"/>
          <w:sz w:val="20"/>
        </w:rPr>
        <w:t> </w:t>
      </w:r>
      <w:r>
        <w:rPr>
          <w:sz w:val="20"/>
        </w:rPr>
        <w:t>la</w:t>
      </w:r>
      <w:r>
        <w:rPr>
          <w:spacing w:val="-15"/>
          <w:sz w:val="20"/>
        </w:rPr>
        <w:t> </w:t>
      </w:r>
      <w:r>
        <w:rPr>
          <w:sz w:val="20"/>
        </w:rPr>
        <w:t>Carta</w:t>
      </w:r>
      <w:r>
        <w:rPr>
          <w:spacing w:val="-17"/>
          <w:sz w:val="20"/>
        </w:rPr>
        <w:t> </w:t>
      </w:r>
      <w:r>
        <w:rPr>
          <w:sz w:val="20"/>
        </w:rPr>
        <w:t>de</w:t>
      </w:r>
      <w:r>
        <w:rPr>
          <w:spacing w:val="-14"/>
          <w:sz w:val="20"/>
        </w:rPr>
        <w:t> </w:t>
      </w:r>
      <w:r>
        <w:rPr>
          <w:sz w:val="20"/>
        </w:rPr>
        <w:t>la</w:t>
      </w:r>
      <w:r>
        <w:rPr>
          <w:spacing w:val="-16"/>
          <w:sz w:val="20"/>
        </w:rPr>
        <w:t> </w:t>
      </w:r>
      <w:r>
        <w:rPr>
          <w:sz w:val="20"/>
        </w:rPr>
        <w:t>OEA</w:t>
      </w:r>
      <w:r>
        <w:rPr>
          <w:spacing w:val="-14"/>
          <w:sz w:val="20"/>
        </w:rPr>
        <w:t> </w:t>
      </w:r>
      <w:r>
        <w:rPr>
          <w:sz w:val="20"/>
        </w:rPr>
        <w:t>puedan</w:t>
      </w:r>
      <w:r>
        <w:rPr>
          <w:spacing w:val="-14"/>
          <w:sz w:val="20"/>
        </w:rPr>
        <w:t> </w:t>
      </w:r>
      <w:r>
        <w:rPr>
          <w:sz w:val="20"/>
        </w:rPr>
        <w:t>ser</w:t>
      </w:r>
      <w:r>
        <w:rPr>
          <w:spacing w:val="-14"/>
          <w:sz w:val="20"/>
        </w:rPr>
        <w:t> </w:t>
      </w:r>
      <w:r>
        <w:rPr>
          <w:sz w:val="20"/>
        </w:rPr>
        <w:t>conocidas</w:t>
      </w:r>
      <w:r>
        <w:rPr>
          <w:spacing w:val="-15"/>
          <w:sz w:val="20"/>
        </w:rPr>
        <w:t> </w:t>
      </w:r>
      <w:r>
        <w:rPr>
          <w:sz w:val="20"/>
        </w:rPr>
        <w:t>por</w:t>
      </w:r>
      <w:r>
        <w:rPr>
          <w:spacing w:val="-14"/>
          <w:sz w:val="20"/>
        </w:rPr>
        <w:t> </w:t>
      </w:r>
      <w:r>
        <w:rPr>
          <w:sz w:val="20"/>
        </w:rPr>
        <w:t>la</w:t>
      </w:r>
      <w:r>
        <w:rPr>
          <w:spacing w:val="-15"/>
          <w:sz w:val="20"/>
        </w:rPr>
        <w:t> </w:t>
      </w:r>
      <w:r>
        <w:rPr>
          <w:sz w:val="20"/>
        </w:rPr>
        <w:t>Corte,</w:t>
      </w:r>
      <w:r>
        <w:rPr>
          <w:spacing w:val="-14"/>
          <w:sz w:val="20"/>
        </w:rPr>
        <w:t> </w:t>
      </w:r>
      <w:r>
        <w:rPr>
          <w:sz w:val="20"/>
        </w:rPr>
        <w:t>cuando</w:t>
      </w:r>
      <w:r>
        <w:rPr>
          <w:spacing w:val="-16"/>
          <w:sz w:val="20"/>
        </w:rPr>
        <w:t> </w:t>
      </w:r>
      <w:r>
        <w:rPr>
          <w:sz w:val="20"/>
        </w:rPr>
        <w:t>es</w:t>
      </w:r>
      <w:r>
        <w:rPr>
          <w:spacing w:val="-15"/>
          <w:sz w:val="20"/>
        </w:rPr>
        <w:t> </w:t>
      </w:r>
      <w:r>
        <w:rPr>
          <w:sz w:val="20"/>
        </w:rPr>
        <w:t>evidente que ello resulta</w:t>
      </w:r>
      <w:r>
        <w:rPr>
          <w:spacing w:val="-7"/>
          <w:sz w:val="20"/>
        </w:rPr>
        <w:t> </w:t>
      </w:r>
      <w:r>
        <w:rPr>
          <w:sz w:val="20"/>
        </w:rPr>
        <w:t>superfluo.</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Lo anterior es tanto más cierto cuando se constata que la Sentencia, al señalar que</w:t>
      </w:r>
      <w:r>
        <w:rPr>
          <w:spacing w:val="-9"/>
          <w:sz w:val="20"/>
        </w:rPr>
        <w:t> </w:t>
      </w:r>
      <w:r>
        <w:rPr>
          <w:color w:val="212121"/>
          <w:sz w:val="20"/>
        </w:rPr>
        <w:t>declara,</w:t>
      </w:r>
      <w:r>
        <w:rPr>
          <w:color w:val="212121"/>
          <w:spacing w:val="-9"/>
          <w:sz w:val="20"/>
        </w:rPr>
        <w:t> </w:t>
      </w:r>
      <w:r>
        <w:rPr>
          <w:color w:val="212121"/>
          <w:sz w:val="20"/>
        </w:rPr>
        <w:t>sobre</w:t>
      </w:r>
      <w:r>
        <w:rPr>
          <w:color w:val="212121"/>
          <w:spacing w:val="-9"/>
          <w:sz w:val="20"/>
        </w:rPr>
        <w:t> </w:t>
      </w:r>
      <w:r>
        <w:rPr>
          <w:color w:val="212121"/>
          <w:sz w:val="20"/>
        </w:rPr>
        <w:t>la</w:t>
      </w:r>
      <w:r>
        <w:rPr>
          <w:color w:val="212121"/>
          <w:spacing w:val="-11"/>
          <w:sz w:val="20"/>
        </w:rPr>
        <w:t> </w:t>
      </w:r>
      <w:r>
        <w:rPr>
          <w:color w:val="212121"/>
          <w:sz w:val="20"/>
        </w:rPr>
        <w:t>base</w:t>
      </w:r>
      <w:r>
        <w:rPr>
          <w:color w:val="212121"/>
          <w:spacing w:val="-9"/>
          <w:sz w:val="20"/>
        </w:rPr>
        <w:t> </w:t>
      </w:r>
      <w:r>
        <w:rPr>
          <w:color w:val="212121"/>
          <w:sz w:val="20"/>
        </w:rPr>
        <w:t>del</w:t>
      </w:r>
      <w:r>
        <w:rPr>
          <w:color w:val="212121"/>
          <w:spacing w:val="-10"/>
          <w:sz w:val="20"/>
        </w:rPr>
        <w:t> </w:t>
      </w:r>
      <w:r>
        <w:rPr>
          <w:color w:val="212121"/>
          <w:sz w:val="20"/>
        </w:rPr>
        <w:t>artículo</w:t>
      </w:r>
      <w:r>
        <w:rPr>
          <w:color w:val="212121"/>
          <w:spacing w:val="-10"/>
          <w:sz w:val="20"/>
        </w:rPr>
        <w:t> </w:t>
      </w:r>
      <w:r>
        <w:rPr>
          <w:color w:val="212121"/>
          <w:sz w:val="20"/>
        </w:rPr>
        <w:t>26</w:t>
      </w:r>
      <w:r>
        <w:rPr>
          <w:color w:val="212121"/>
          <w:spacing w:val="-11"/>
          <w:sz w:val="20"/>
        </w:rPr>
        <w:t> </w:t>
      </w:r>
      <w:r>
        <w:rPr>
          <w:color w:val="212121"/>
          <w:sz w:val="20"/>
        </w:rPr>
        <w:t>considerado</w:t>
      </w:r>
      <w:r>
        <w:rPr>
          <w:color w:val="212121"/>
          <w:spacing w:val="-10"/>
          <w:sz w:val="20"/>
        </w:rPr>
        <w:t> </w:t>
      </w:r>
      <w:r>
        <w:rPr>
          <w:color w:val="212121"/>
          <w:sz w:val="20"/>
        </w:rPr>
        <w:t>de</w:t>
      </w:r>
      <w:r>
        <w:rPr>
          <w:color w:val="212121"/>
          <w:spacing w:val="-10"/>
          <w:sz w:val="20"/>
        </w:rPr>
        <w:t> </w:t>
      </w:r>
      <w:r>
        <w:rPr>
          <w:color w:val="212121"/>
          <w:sz w:val="20"/>
        </w:rPr>
        <w:t>manera</w:t>
      </w:r>
      <w:r>
        <w:rPr>
          <w:color w:val="212121"/>
          <w:spacing w:val="-10"/>
          <w:sz w:val="20"/>
        </w:rPr>
        <w:t> </w:t>
      </w:r>
      <w:r>
        <w:rPr>
          <w:color w:val="212121"/>
          <w:sz w:val="20"/>
        </w:rPr>
        <w:t>autónoma,</w:t>
      </w:r>
      <w:r>
        <w:rPr>
          <w:color w:val="212121"/>
          <w:spacing w:val="-10"/>
          <w:sz w:val="20"/>
        </w:rPr>
        <w:t> </w:t>
      </w:r>
      <w:r>
        <w:rPr>
          <w:color w:val="212121"/>
          <w:sz w:val="20"/>
        </w:rPr>
        <w:t>la</w:t>
      </w:r>
      <w:r>
        <w:rPr>
          <w:color w:val="212121"/>
          <w:spacing w:val="-11"/>
          <w:sz w:val="20"/>
        </w:rPr>
        <w:t> </w:t>
      </w:r>
      <w:r>
        <w:rPr>
          <w:color w:val="212121"/>
          <w:sz w:val="20"/>
        </w:rPr>
        <w:t>violación de los derechos a la identidad cultural, al medio ambiente sano, a la alimentación adecuada</w:t>
      </w:r>
      <w:r>
        <w:rPr>
          <w:color w:val="212121"/>
          <w:spacing w:val="-19"/>
          <w:sz w:val="20"/>
        </w:rPr>
        <w:t> </w:t>
      </w:r>
      <w:r>
        <w:rPr>
          <w:color w:val="212121"/>
          <w:sz w:val="20"/>
        </w:rPr>
        <w:t>y</w:t>
      </w:r>
      <w:r>
        <w:rPr>
          <w:color w:val="212121"/>
          <w:spacing w:val="-20"/>
          <w:sz w:val="20"/>
        </w:rPr>
        <w:t> </w:t>
      </w:r>
      <w:r>
        <w:rPr>
          <w:color w:val="212121"/>
          <w:sz w:val="20"/>
        </w:rPr>
        <w:t>al</w:t>
      </w:r>
      <w:r>
        <w:rPr>
          <w:color w:val="212121"/>
          <w:spacing w:val="-19"/>
          <w:sz w:val="20"/>
        </w:rPr>
        <w:t> </w:t>
      </w:r>
      <w:r>
        <w:rPr>
          <w:color w:val="212121"/>
          <w:sz w:val="20"/>
        </w:rPr>
        <w:t>agua,</w:t>
      </w:r>
      <w:r>
        <w:rPr>
          <w:color w:val="212121"/>
          <w:spacing w:val="-21"/>
          <w:sz w:val="20"/>
        </w:rPr>
        <w:t> </w:t>
      </w:r>
      <w:r>
        <w:rPr>
          <w:color w:val="212121"/>
          <w:sz w:val="20"/>
        </w:rPr>
        <w:t>en</w:t>
      </w:r>
      <w:r>
        <w:rPr>
          <w:color w:val="212121"/>
          <w:spacing w:val="-19"/>
          <w:sz w:val="20"/>
        </w:rPr>
        <w:t> </w:t>
      </w:r>
      <w:r>
        <w:rPr>
          <w:color w:val="212121"/>
          <w:sz w:val="20"/>
        </w:rPr>
        <w:t>definitiva</w:t>
      </w:r>
      <w:r>
        <w:rPr>
          <w:color w:val="212121"/>
          <w:spacing w:val="-16"/>
          <w:sz w:val="20"/>
        </w:rPr>
        <w:t> </w:t>
      </w:r>
      <w:r>
        <w:rPr>
          <w:color w:val="212121"/>
          <w:sz w:val="20"/>
        </w:rPr>
        <w:t>debilita</w:t>
      </w:r>
      <w:r>
        <w:rPr>
          <w:color w:val="212121"/>
          <w:spacing w:val="-19"/>
          <w:sz w:val="20"/>
        </w:rPr>
        <w:t> </w:t>
      </w:r>
      <w:r>
        <w:rPr>
          <w:color w:val="212121"/>
          <w:sz w:val="20"/>
        </w:rPr>
        <w:t>o</w:t>
      </w:r>
      <w:r>
        <w:rPr>
          <w:color w:val="212121"/>
          <w:spacing w:val="-19"/>
          <w:sz w:val="20"/>
        </w:rPr>
        <w:t> </w:t>
      </w:r>
      <w:r>
        <w:rPr>
          <w:color w:val="212121"/>
          <w:sz w:val="20"/>
        </w:rPr>
        <w:t>contradice,</w:t>
      </w:r>
      <w:r>
        <w:rPr>
          <w:color w:val="212121"/>
          <w:spacing w:val="-18"/>
          <w:sz w:val="20"/>
        </w:rPr>
        <w:t> </w:t>
      </w:r>
      <w:r>
        <w:rPr>
          <w:color w:val="212121"/>
          <w:sz w:val="20"/>
        </w:rPr>
        <w:t>al</w:t>
      </w:r>
      <w:r>
        <w:rPr>
          <w:color w:val="212121"/>
          <w:spacing w:val="-19"/>
          <w:sz w:val="20"/>
        </w:rPr>
        <w:t> </w:t>
      </w:r>
      <w:r>
        <w:rPr>
          <w:color w:val="212121"/>
          <w:sz w:val="20"/>
        </w:rPr>
        <w:t>fragmentar</w:t>
      </w:r>
      <w:r>
        <w:rPr>
          <w:color w:val="212121"/>
          <w:spacing w:val="-20"/>
          <w:sz w:val="20"/>
        </w:rPr>
        <w:t> </w:t>
      </w:r>
      <w:r>
        <w:rPr>
          <w:color w:val="212121"/>
          <w:sz w:val="20"/>
        </w:rPr>
        <w:t>el</w:t>
      </w:r>
      <w:r>
        <w:rPr>
          <w:color w:val="212121"/>
          <w:spacing w:val="-19"/>
          <w:sz w:val="20"/>
        </w:rPr>
        <w:t> </w:t>
      </w:r>
      <w:r>
        <w:rPr>
          <w:color w:val="212121"/>
          <w:sz w:val="20"/>
        </w:rPr>
        <w:t>análisis,</w:t>
      </w:r>
      <w:r>
        <w:rPr>
          <w:color w:val="212121"/>
          <w:spacing w:val="-19"/>
          <w:sz w:val="20"/>
        </w:rPr>
        <w:t> </w:t>
      </w:r>
      <w:r>
        <w:rPr>
          <w:color w:val="212121"/>
          <w:sz w:val="20"/>
        </w:rPr>
        <w:t>su</w:t>
      </w:r>
      <w:r>
        <w:rPr>
          <w:color w:val="212121"/>
          <w:spacing w:val="-20"/>
          <w:sz w:val="20"/>
        </w:rPr>
        <w:t> </w:t>
      </w:r>
      <w:r>
        <w:rPr>
          <w:color w:val="212121"/>
          <w:sz w:val="20"/>
        </w:rPr>
        <w:t>propia tesis o concepción de la interdependencia e indivisibilidad de los derechos humanos, pues, en el caso de autos, la protección de la propiedad es justamente lo que</w:t>
      </w:r>
      <w:r>
        <w:rPr>
          <w:color w:val="212121"/>
          <w:spacing w:val="-37"/>
          <w:sz w:val="20"/>
        </w:rPr>
        <w:t> </w:t>
      </w:r>
      <w:r>
        <w:rPr>
          <w:color w:val="212121"/>
          <w:sz w:val="20"/>
        </w:rPr>
        <w:t>permitiría garantizar los otros derechos que se declararon</w:t>
      </w:r>
      <w:r>
        <w:rPr>
          <w:color w:val="212121"/>
          <w:spacing w:val="-14"/>
          <w:sz w:val="20"/>
        </w:rPr>
        <w:t> </w:t>
      </w:r>
      <w:r>
        <w:rPr>
          <w:color w:val="212121"/>
          <w:sz w:val="20"/>
        </w:rPr>
        <w:t>violados.</w:t>
      </w:r>
    </w:p>
    <w:p>
      <w:pPr>
        <w:pStyle w:val="BodyText"/>
        <w:spacing w:before="11"/>
        <w:rPr>
          <w:sz w:val="19"/>
        </w:rPr>
      </w:pPr>
    </w:p>
    <w:p>
      <w:pPr>
        <w:pStyle w:val="Heading3"/>
        <w:numPr>
          <w:ilvl w:val="1"/>
          <w:numId w:val="44"/>
        </w:numPr>
        <w:tabs>
          <w:tab w:pos="1610" w:val="left" w:leader="none"/>
        </w:tabs>
        <w:spacing w:line="240" w:lineRule="auto" w:before="0" w:after="0"/>
        <w:ind w:left="1609" w:right="0" w:hanging="360"/>
        <w:jc w:val="left"/>
      </w:pPr>
      <w:r>
        <w:rPr/>
        <w:t>Método funcional o</w:t>
      </w:r>
      <w:r>
        <w:rPr>
          <w:spacing w:val="-11"/>
        </w:rPr>
        <w:t> </w:t>
      </w:r>
      <w:r>
        <w:rPr/>
        <w:t>teleológico.</w:t>
      </w:r>
    </w:p>
    <w:p>
      <w:pPr>
        <w:pStyle w:val="BodyText"/>
        <w:spacing w:before="11"/>
        <w:rPr>
          <w:b/>
          <w:sz w:val="19"/>
        </w:rPr>
      </w:pPr>
    </w:p>
    <w:p>
      <w:pPr>
        <w:pStyle w:val="ListParagraph"/>
        <w:numPr>
          <w:ilvl w:val="0"/>
          <w:numId w:val="53"/>
        </w:numPr>
        <w:tabs>
          <w:tab w:pos="1390" w:val="left" w:leader="none"/>
        </w:tabs>
        <w:spacing w:line="240" w:lineRule="auto" w:before="0" w:after="0"/>
        <w:ind w:left="681" w:right="121" w:firstLine="0"/>
        <w:jc w:val="both"/>
        <w:rPr>
          <w:sz w:val="20"/>
        </w:rPr>
      </w:pPr>
      <w:r>
        <w:rPr>
          <w:sz w:val="20"/>
        </w:rPr>
        <w:t>Al tratar de precisar el objeto y fin de la disposición convencional que interesa, se puede sostener</w:t>
      </w:r>
      <w:r>
        <w:rPr>
          <w:spacing w:val="-4"/>
          <w:sz w:val="20"/>
        </w:rPr>
        <w:t> </w:t>
      </w:r>
      <w:r>
        <w:rPr>
          <w:sz w:val="20"/>
        </w:rPr>
        <w:t>que:</w:t>
      </w:r>
    </w:p>
    <w:p>
      <w:pPr>
        <w:pStyle w:val="BodyText"/>
        <w:spacing w:before="11"/>
        <w:rPr>
          <w:sz w:val="19"/>
        </w:rPr>
      </w:pPr>
    </w:p>
    <w:p>
      <w:pPr>
        <w:pStyle w:val="ListParagraph"/>
        <w:numPr>
          <w:ilvl w:val="0"/>
          <w:numId w:val="58"/>
        </w:numPr>
        <w:tabs>
          <w:tab w:pos="1390" w:val="left" w:leader="none"/>
        </w:tabs>
        <w:spacing w:line="240" w:lineRule="auto" w:before="0" w:after="0"/>
        <w:ind w:left="681" w:right="118" w:firstLine="0"/>
        <w:jc w:val="both"/>
        <w:rPr>
          <w:sz w:val="20"/>
        </w:rPr>
      </w:pPr>
      <w:r>
        <w:rPr>
          <w:sz w:val="20"/>
        </w:rPr>
        <w:t>el propósito de los Estados al suscribir la Convención fue “consolidar en este Continente, dentro del cuadro de las instituciones democráticas, un régimen de</w:t>
      </w:r>
      <w:r>
        <w:rPr>
          <w:spacing w:val="-21"/>
          <w:sz w:val="20"/>
        </w:rPr>
        <w:t> </w:t>
      </w:r>
      <w:r>
        <w:rPr>
          <w:sz w:val="20"/>
        </w:rPr>
        <w:t>libertad personal y de justicia social, fundado en el respeto de los derechos esenciales del hombre”</w:t>
      </w:r>
      <w:r>
        <w:rPr>
          <w:position w:val="7"/>
          <w:sz w:val="13"/>
        </w:rPr>
        <w:t>80</w:t>
      </w:r>
      <w:r>
        <w:rPr>
          <w:sz w:val="20"/>
        </w:rPr>
        <w:t>;</w:t>
      </w:r>
    </w:p>
    <w:p>
      <w:pPr>
        <w:pStyle w:val="BodyText"/>
        <w:spacing w:before="11"/>
        <w:rPr>
          <w:sz w:val="19"/>
        </w:rPr>
      </w:pPr>
    </w:p>
    <w:p>
      <w:pPr>
        <w:pStyle w:val="ListParagraph"/>
        <w:numPr>
          <w:ilvl w:val="0"/>
          <w:numId w:val="58"/>
        </w:numPr>
        <w:tabs>
          <w:tab w:pos="1390" w:val="left" w:leader="none"/>
        </w:tabs>
        <w:spacing w:line="240" w:lineRule="auto" w:before="0" w:after="0"/>
        <w:ind w:left="681" w:right="116" w:firstLine="0"/>
        <w:jc w:val="both"/>
        <w:rPr>
          <w:sz w:val="20"/>
        </w:rPr>
      </w:pPr>
      <w:r>
        <w:rPr>
          <w:sz w:val="20"/>
        </w:rPr>
        <w:t>para ello y tal como ya se señaló</w:t>
      </w:r>
      <w:r>
        <w:rPr>
          <w:position w:val="7"/>
          <w:sz w:val="13"/>
        </w:rPr>
        <w:t>81</w:t>
      </w:r>
      <w:r>
        <w:rPr>
          <w:sz w:val="20"/>
        </w:rPr>
        <w:t>, “la Tercera Conferencia Interamericana Extraordinaria (Buenos Aires 1967) aprobó la incorporación a la propia Carta de la Organización (de los Estados Americanos) de normas más amplias sobre derechos económicos,</w:t>
      </w:r>
      <w:r>
        <w:rPr>
          <w:spacing w:val="-14"/>
          <w:sz w:val="20"/>
        </w:rPr>
        <w:t> </w:t>
      </w:r>
      <w:r>
        <w:rPr>
          <w:sz w:val="20"/>
        </w:rPr>
        <w:t>sociales</w:t>
      </w:r>
      <w:r>
        <w:rPr>
          <w:spacing w:val="-14"/>
          <w:sz w:val="20"/>
        </w:rPr>
        <w:t> </w:t>
      </w:r>
      <w:r>
        <w:rPr>
          <w:sz w:val="20"/>
        </w:rPr>
        <w:t>y</w:t>
      </w:r>
      <w:r>
        <w:rPr>
          <w:spacing w:val="-15"/>
          <w:sz w:val="20"/>
        </w:rPr>
        <w:t> </w:t>
      </w:r>
      <w:r>
        <w:rPr>
          <w:sz w:val="20"/>
        </w:rPr>
        <w:t>educacionales”</w:t>
      </w:r>
      <w:r>
        <w:rPr>
          <w:spacing w:val="-15"/>
          <w:sz w:val="20"/>
        </w:rPr>
        <w:t> </w:t>
      </w:r>
      <w:r>
        <w:rPr>
          <w:sz w:val="20"/>
        </w:rPr>
        <w:t>y</w:t>
      </w:r>
      <w:r>
        <w:rPr>
          <w:spacing w:val="-14"/>
          <w:sz w:val="20"/>
        </w:rPr>
        <w:t> </w:t>
      </w:r>
      <w:r>
        <w:rPr>
          <w:sz w:val="20"/>
        </w:rPr>
        <w:t>se</w:t>
      </w:r>
      <w:r>
        <w:rPr>
          <w:spacing w:val="-14"/>
          <w:sz w:val="20"/>
        </w:rPr>
        <w:t> </w:t>
      </w:r>
      <w:r>
        <w:rPr>
          <w:sz w:val="20"/>
        </w:rPr>
        <w:t>“resolvió</w:t>
      </w:r>
      <w:r>
        <w:rPr>
          <w:spacing w:val="-15"/>
          <w:sz w:val="20"/>
        </w:rPr>
        <w:t> </w:t>
      </w:r>
      <w:r>
        <w:rPr>
          <w:sz w:val="20"/>
        </w:rPr>
        <w:t>que</w:t>
      </w:r>
      <w:r>
        <w:rPr>
          <w:spacing w:val="-15"/>
          <w:sz w:val="20"/>
        </w:rPr>
        <w:t> </w:t>
      </w:r>
      <w:r>
        <w:rPr>
          <w:sz w:val="20"/>
        </w:rPr>
        <w:t>una</w:t>
      </w:r>
      <w:r>
        <w:rPr>
          <w:spacing w:val="-14"/>
          <w:sz w:val="20"/>
        </w:rPr>
        <w:t> </w:t>
      </w:r>
      <w:r>
        <w:rPr>
          <w:sz w:val="20"/>
        </w:rPr>
        <w:t>Convención</w:t>
      </w:r>
      <w:r>
        <w:rPr>
          <w:spacing w:val="-14"/>
          <w:sz w:val="20"/>
        </w:rPr>
        <w:t> </w:t>
      </w:r>
      <w:r>
        <w:rPr>
          <w:sz w:val="20"/>
        </w:rPr>
        <w:t>interamericana sobre</w:t>
      </w:r>
      <w:r>
        <w:rPr>
          <w:spacing w:val="-11"/>
          <w:sz w:val="20"/>
        </w:rPr>
        <w:t> </w:t>
      </w:r>
      <w:r>
        <w:rPr>
          <w:sz w:val="20"/>
        </w:rPr>
        <w:t>derechos</w:t>
      </w:r>
      <w:r>
        <w:rPr>
          <w:spacing w:val="-12"/>
          <w:sz w:val="20"/>
        </w:rPr>
        <w:t> </w:t>
      </w:r>
      <w:r>
        <w:rPr>
          <w:sz w:val="20"/>
        </w:rPr>
        <w:t>humanos</w:t>
      </w:r>
      <w:r>
        <w:rPr>
          <w:spacing w:val="-11"/>
          <w:sz w:val="20"/>
        </w:rPr>
        <w:t> </w:t>
      </w:r>
      <w:r>
        <w:rPr>
          <w:sz w:val="20"/>
        </w:rPr>
        <w:t>determinara</w:t>
      </w:r>
      <w:r>
        <w:rPr>
          <w:spacing w:val="-10"/>
          <w:sz w:val="20"/>
        </w:rPr>
        <w:t> </w:t>
      </w:r>
      <w:r>
        <w:rPr>
          <w:sz w:val="20"/>
        </w:rPr>
        <w:t>la</w:t>
      </w:r>
      <w:r>
        <w:rPr>
          <w:spacing w:val="-12"/>
          <w:sz w:val="20"/>
        </w:rPr>
        <w:t> </w:t>
      </w:r>
      <w:r>
        <w:rPr>
          <w:sz w:val="20"/>
        </w:rPr>
        <w:t>estructura,</w:t>
      </w:r>
      <w:r>
        <w:rPr>
          <w:spacing w:val="-11"/>
          <w:sz w:val="20"/>
        </w:rPr>
        <w:t> </w:t>
      </w:r>
      <w:r>
        <w:rPr>
          <w:sz w:val="20"/>
        </w:rPr>
        <w:t>competencia</w:t>
      </w:r>
      <w:r>
        <w:rPr>
          <w:spacing w:val="-12"/>
          <w:sz w:val="20"/>
        </w:rPr>
        <w:t> </w:t>
      </w:r>
      <w:r>
        <w:rPr>
          <w:sz w:val="20"/>
        </w:rPr>
        <w:t>y</w:t>
      </w:r>
      <w:r>
        <w:rPr>
          <w:spacing w:val="-11"/>
          <w:sz w:val="20"/>
        </w:rPr>
        <w:t> </w:t>
      </w:r>
      <w:r>
        <w:rPr>
          <w:sz w:val="20"/>
        </w:rPr>
        <w:t>procedimiento</w:t>
      </w:r>
      <w:r>
        <w:rPr>
          <w:spacing w:val="-12"/>
          <w:sz w:val="20"/>
        </w:rPr>
        <w:t> </w:t>
      </w:r>
      <w:r>
        <w:rPr>
          <w:sz w:val="20"/>
        </w:rPr>
        <w:t>de</w:t>
      </w:r>
      <w:r>
        <w:rPr>
          <w:spacing w:val="-11"/>
          <w:sz w:val="20"/>
        </w:rPr>
        <w:t> </w:t>
      </w:r>
      <w:r>
        <w:rPr>
          <w:sz w:val="20"/>
        </w:rPr>
        <w:t>los órganos encargados de esa</w:t>
      </w:r>
      <w:r>
        <w:rPr>
          <w:spacing w:val="-4"/>
          <w:sz w:val="20"/>
        </w:rPr>
        <w:t> </w:t>
      </w:r>
      <w:r>
        <w:rPr>
          <w:sz w:val="20"/>
        </w:rPr>
        <w:t>materia”;</w:t>
      </w:r>
    </w:p>
    <w:p>
      <w:pPr>
        <w:pStyle w:val="BodyText"/>
      </w:pPr>
    </w:p>
    <w:p>
      <w:pPr>
        <w:pStyle w:val="ListParagraph"/>
        <w:numPr>
          <w:ilvl w:val="0"/>
          <w:numId w:val="58"/>
        </w:numPr>
        <w:tabs>
          <w:tab w:pos="1390" w:val="left" w:leader="none"/>
        </w:tabs>
        <w:spacing w:line="240" w:lineRule="auto" w:before="0" w:after="0"/>
        <w:ind w:left="681" w:right="117" w:firstLine="0"/>
        <w:jc w:val="both"/>
        <w:rPr>
          <w:sz w:val="20"/>
        </w:rPr>
      </w:pPr>
      <w:r>
        <w:rPr>
          <w:sz w:val="20"/>
        </w:rPr>
        <w:t>es del todo evidente, entonces, que, lo dispuesto en la citada Conferencia se cumplió, en lo concerniente a los derechos económicos, sociales y educacionales, con</w:t>
      </w:r>
      <w:r>
        <w:rPr>
          <w:spacing w:val="-37"/>
          <w:sz w:val="20"/>
        </w:rPr>
        <w:t> </w:t>
      </w:r>
      <w:r>
        <w:rPr>
          <w:sz w:val="20"/>
        </w:rPr>
        <w:t>el Protocolo de Buenos Aires y en lo que respecta a la estructura, competencia y procedimiento de los órganos encargados de esa materia, con la Convención;</w:t>
      </w:r>
      <w:r>
        <w:rPr>
          <w:spacing w:val="-16"/>
          <w:sz w:val="20"/>
        </w:rPr>
        <w:t> </w:t>
      </w:r>
      <w:r>
        <w:rPr>
          <w:sz w:val="20"/>
        </w:rPr>
        <w:t>y</w:t>
      </w:r>
    </w:p>
    <w:p>
      <w:pPr>
        <w:pStyle w:val="BodyText"/>
        <w:spacing w:before="11"/>
        <w:rPr>
          <w:sz w:val="19"/>
        </w:rPr>
      </w:pPr>
    </w:p>
    <w:p>
      <w:pPr>
        <w:pStyle w:val="ListParagraph"/>
        <w:numPr>
          <w:ilvl w:val="0"/>
          <w:numId w:val="58"/>
        </w:numPr>
        <w:tabs>
          <w:tab w:pos="1390" w:val="left" w:leader="none"/>
        </w:tabs>
        <w:spacing w:line="240" w:lineRule="auto" w:before="0" w:after="0"/>
        <w:ind w:left="681" w:right="121" w:firstLine="0"/>
        <w:jc w:val="both"/>
        <w:rPr>
          <w:sz w:val="20"/>
        </w:rPr>
      </w:pPr>
      <w:r>
        <w:rPr>
          <w:sz w:val="20"/>
        </w:rPr>
        <w:t>es, por tanto, dando cumplimiento a ese mandato, que se incluyó el artículo 26 en la Convención en un capítulo separado del relativo a los derecho políticos y civiles</w:t>
      </w:r>
      <w:r>
        <w:rPr>
          <w:spacing w:val="-18"/>
          <w:sz w:val="20"/>
        </w:rPr>
        <w:t> </w:t>
      </w:r>
      <w:r>
        <w:rPr>
          <w:sz w:val="20"/>
        </w:rPr>
        <w:t>y,</w:t>
      </w:r>
    </w:p>
    <w:p>
      <w:pPr>
        <w:pStyle w:val="BodyText"/>
        <w:spacing w:before="8"/>
        <w:rPr>
          <w:sz w:val="22"/>
        </w:rPr>
      </w:pPr>
      <w:r>
        <w:rPr/>
        <w:pict>
          <v:line style="position:absolute;mso-position-horizontal-relative:page;mso-position-vertical-relative:paragraph;z-index:4192;mso-wrap-distance-left:0;mso-wrap-distance-right:0" from="56.700001pt,16.106485pt" to="200.720001pt,16.106485pt" stroked="true" strokeweight=".72003pt" strokecolor="#000000">
            <v:stroke dashstyle="solid"/>
            <w10:wrap type="topAndBottom"/>
          </v:line>
        </w:pict>
      </w:r>
    </w:p>
    <w:p>
      <w:pPr>
        <w:spacing w:before="70"/>
        <w:ind w:left="681" w:right="0" w:firstLine="0"/>
        <w:jc w:val="left"/>
        <w:rPr>
          <w:sz w:val="16"/>
        </w:rPr>
      </w:pPr>
      <w:r>
        <w:rPr>
          <w:position w:val="6"/>
          <w:sz w:val="10"/>
        </w:rPr>
        <w:t>80  </w:t>
      </w:r>
      <w:r>
        <w:rPr>
          <w:sz w:val="16"/>
        </w:rPr>
        <w:t>Párr.1° del Preámbulo.</w:t>
      </w:r>
    </w:p>
    <w:p>
      <w:pPr>
        <w:pStyle w:val="BodyText"/>
        <w:spacing w:before="11"/>
        <w:rPr>
          <w:sz w:val="15"/>
        </w:rPr>
      </w:pPr>
    </w:p>
    <w:p>
      <w:pPr>
        <w:spacing w:before="0"/>
        <w:ind w:left="681" w:right="0" w:firstLine="0"/>
        <w:jc w:val="left"/>
        <w:rPr>
          <w:sz w:val="16"/>
        </w:rPr>
      </w:pPr>
      <w:r>
        <w:rPr>
          <w:position w:val="6"/>
          <w:sz w:val="10"/>
        </w:rPr>
        <w:t>81  </w:t>
      </w:r>
      <w:r>
        <w:rPr>
          <w:i/>
          <w:sz w:val="16"/>
        </w:rPr>
        <w:t>Supra </w:t>
      </w:r>
      <w:r>
        <w:rPr>
          <w:sz w:val="16"/>
        </w:rPr>
        <w:t>Nota N° 20.</w:t>
      </w:r>
    </w:p>
    <w:p>
      <w:pPr>
        <w:spacing w:after="0"/>
        <w:jc w:val="left"/>
        <w:rPr>
          <w:sz w:val="16"/>
        </w:rPr>
        <w:sectPr>
          <w:pgSz w:w="12240" w:h="15840"/>
          <w:pgMar w:header="0" w:footer="1000" w:top="1220" w:bottom="1200" w:left="1020" w:right="1580"/>
        </w:sectPr>
      </w:pPr>
    </w:p>
    <w:p>
      <w:pPr>
        <w:pStyle w:val="BodyText"/>
        <w:spacing w:before="83"/>
        <w:ind w:left="681" w:right="117"/>
        <w:jc w:val="both"/>
      </w:pPr>
      <w:r>
        <w:rPr/>
        <w:t>además,</w:t>
      </w:r>
      <w:r>
        <w:rPr>
          <w:spacing w:val="-14"/>
        </w:rPr>
        <w:t> </w:t>
      </w:r>
      <w:r>
        <w:rPr/>
        <w:t>estableciendo</w:t>
      </w:r>
      <w:r>
        <w:rPr>
          <w:spacing w:val="-14"/>
        </w:rPr>
        <w:t> </w:t>
      </w:r>
      <w:r>
        <w:rPr/>
        <w:t>una</w:t>
      </w:r>
      <w:r>
        <w:rPr>
          <w:spacing w:val="-15"/>
        </w:rPr>
        <w:t> </w:t>
      </w:r>
      <w:r>
        <w:rPr/>
        <w:t>especial</w:t>
      </w:r>
      <w:r>
        <w:rPr>
          <w:spacing w:val="-14"/>
        </w:rPr>
        <w:t> </w:t>
      </w:r>
      <w:r>
        <w:rPr/>
        <w:t>obligación</w:t>
      </w:r>
      <w:r>
        <w:rPr>
          <w:spacing w:val="-15"/>
        </w:rPr>
        <w:t> </w:t>
      </w:r>
      <w:r>
        <w:rPr/>
        <w:t>para</w:t>
      </w:r>
      <w:r>
        <w:rPr>
          <w:spacing w:val="-14"/>
        </w:rPr>
        <w:t> </w:t>
      </w:r>
      <w:r>
        <w:rPr/>
        <w:t>los</w:t>
      </w:r>
      <w:r>
        <w:rPr>
          <w:spacing w:val="-15"/>
        </w:rPr>
        <w:t> </w:t>
      </w:r>
      <w:r>
        <w:rPr/>
        <w:t>Estados</w:t>
      </w:r>
      <w:r>
        <w:rPr>
          <w:spacing w:val="-14"/>
        </w:rPr>
        <w:t> </w:t>
      </w:r>
      <w:r>
        <w:rPr/>
        <w:t>Partes</w:t>
      </w:r>
      <w:r>
        <w:rPr>
          <w:spacing w:val="-15"/>
        </w:rPr>
        <w:t> </w:t>
      </w:r>
      <w:r>
        <w:rPr/>
        <w:t>de</w:t>
      </w:r>
      <w:r>
        <w:rPr>
          <w:spacing w:val="-14"/>
        </w:rPr>
        <w:t> </w:t>
      </w:r>
      <w:r>
        <w:rPr/>
        <w:t>la</w:t>
      </w:r>
      <w:r>
        <w:rPr>
          <w:spacing w:val="-15"/>
        </w:rPr>
        <w:t> </w:t>
      </w:r>
      <w:r>
        <w:rPr/>
        <w:t>Convención, no existente en cuanto a los recién mencionados derechos, a saber, la de adoptar las “providencias, tanto a nivel interno como mediante la cooperación internacional, especialmente</w:t>
      </w:r>
      <w:r>
        <w:rPr>
          <w:spacing w:val="-9"/>
        </w:rPr>
        <w:t> </w:t>
      </w:r>
      <w:r>
        <w:rPr/>
        <w:t>económica</w:t>
      </w:r>
      <w:r>
        <w:rPr>
          <w:spacing w:val="-8"/>
        </w:rPr>
        <w:t> </w:t>
      </w:r>
      <w:r>
        <w:rPr/>
        <w:t>y</w:t>
      </w:r>
      <w:r>
        <w:rPr>
          <w:spacing w:val="-9"/>
        </w:rPr>
        <w:t> </w:t>
      </w:r>
      <w:r>
        <w:rPr/>
        <w:t>técnica,</w:t>
      </w:r>
      <w:r>
        <w:rPr>
          <w:spacing w:val="-8"/>
        </w:rPr>
        <w:t> </w:t>
      </w:r>
      <w:r>
        <w:rPr/>
        <w:t>para</w:t>
      </w:r>
      <w:r>
        <w:rPr>
          <w:spacing w:val="-8"/>
        </w:rPr>
        <w:t> </w:t>
      </w:r>
      <w:r>
        <w:rPr/>
        <w:t>lograr</w:t>
      </w:r>
      <w:r>
        <w:rPr>
          <w:spacing w:val="-9"/>
        </w:rPr>
        <w:t> </w:t>
      </w:r>
      <w:r>
        <w:rPr/>
        <w:t>progresivamente</w:t>
      </w:r>
      <w:r>
        <w:rPr>
          <w:spacing w:val="-9"/>
        </w:rPr>
        <w:t> </w:t>
      </w:r>
      <w:r>
        <w:rPr/>
        <w:t>la</w:t>
      </w:r>
      <w:r>
        <w:rPr>
          <w:spacing w:val="-8"/>
        </w:rPr>
        <w:t> </w:t>
      </w:r>
      <w:r>
        <w:rPr/>
        <w:t>plena</w:t>
      </w:r>
      <w:r>
        <w:rPr>
          <w:spacing w:val="-9"/>
        </w:rPr>
        <w:t> </w:t>
      </w:r>
      <w:r>
        <w:rPr/>
        <w:t>efectividad</w:t>
      </w:r>
      <w:r>
        <w:rPr>
          <w:spacing w:val="-8"/>
        </w:rPr>
        <w:t> </w:t>
      </w:r>
      <w:r>
        <w:rPr/>
        <w:t>de los derechos que se derivan de las normas económicas, sociales y sobre educación, ciencia y cultura, contenidas en la Carta de la Organización de los Estados Americanos, reformada por el Protocolo de Buenos Aires, en la medida de los recursos disponibles, por vía legislativa u otros medios</w:t>
      </w:r>
      <w:r>
        <w:rPr>
          <w:spacing w:val="-10"/>
        </w:rPr>
        <w:t> </w:t>
      </w:r>
      <w:r>
        <w:rPr/>
        <w:t>apropiados”.</w:t>
      </w:r>
    </w:p>
    <w:p>
      <w:pPr>
        <w:pStyle w:val="BodyText"/>
        <w:spacing w:before="11"/>
        <w:rPr>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En otros términos, es cierto que el objeto y fin último de la Convención es,</w:t>
      </w:r>
      <w:r>
        <w:rPr>
          <w:spacing w:val="-48"/>
          <w:sz w:val="20"/>
        </w:rPr>
        <w:t> </w:t>
      </w:r>
      <w:r>
        <w:rPr>
          <w:sz w:val="20"/>
        </w:rPr>
        <w:t>como lo ha indicado la Corte, “la protección de los derechos fundamentales de los seres humano</w:t>
      </w:r>
      <w:r>
        <w:rPr>
          <w:rFonts w:ascii="Calibri" w:hAnsi="Calibri"/>
          <w:sz w:val="22"/>
        </w:rPr>
        <w:t>s</w:t>
      </w:r>
      <w:r>
        <w:rPr>
          <w:sz w:val="20"/>
        </w:rPr>
        <w:t>”</w:t>
      </w:r>
      <w:r>
        <w:rPr>
          <w:position w:val="7"/>
          <w:sz w:val="13"/>
        </w:rPr>
        <w:t>82</w:t>
      </w:r>
      <w:r>
        <w:rPr>
          <w:sz w:val="20"/>
        </w:rPr>
        <w:t>, pero también es verdad que cada una de sus disposiciones tiene un objeto y</w:t>
      </w:r>
      <w:r>
        <w:rPr>
          <w:spacing w:val="-4"/>
          <w:sz w:val="20"/>
        </w:rPr>
        <w:t> </w:t>
      </w:r>
      <w:r>
        <w:rPr>
          <w:sz w:val="20"/>
        </w:rPr>
        <w:t>fin</w:t>
      </w:r>
      <w:r>
        <w:rPr>
          <w:spacing w:val="-5"/>
          <w:sz w:val="20"/>
        </w:rPr>
        <w:t> </w:t>
      </w:r>
      <w:r>
        <w:rPr>
          <w:sz w:val="20"/>
        </w:rPr>
        <w:t>específico</w:t>
      </w:r>
      <w:r>
        <w:rPr>
          <w:spacing w:val="-4"/>
          <w:sz w:val="20"/>
        </w:rPr>
        <w:t> </w:t>
      </w:r>
      <w:r>
        <w:rPr>
          <w:sz w:val="20"/>
        </w:rPr>
        <w:t>acorde</w:t>
      </w:r>
      <w:r>
        <w:rPr>
          <w:spacing w:val="-3"/>
          <w:sz w:val="20"/>
        </w:rPr>
        <w:t> </w:t>
      </w:r>
      <w:r>
        <w:rPr>
          <w:sz w:val="20"/>
        </w:rPr>
        <w:t>al</w:t>
      </w:r>
      <w:r>
        <w:rPr>
          <w:spacing w:val="-4"/>
          <w:sz w:val="20"/>
        </w:rPr>
        <w:t> </w:t>
      </w:r>
      <w:r>
        <w:rPr>
          <w:sz w:val="20"/>
        </w:rPr>
        <w:t>de</w:t>
      </w:r>
      <w:r>
        <w:rPr>
          <w:spacing w:val="-4"/>
          <w:sz w:val="20"/>
        </w:rPr>
        <w:t> </w:t>
      </w:r>
      <w:r>
        <w:rPr>
          <w:sz w:val="20"/>
        </w:rPr>
        <w:t>alcance</w:t>
      </w:r>
      <w:r>
        <w:rPr>
          <w:spacing w:val="-4"/>
          <w:sz w:val="20"/>
        </w:rPr>
        <w:t> </w:t>
      </w:r>
      <w:r>
        <w:rPr>
          <w:sz w:val="20"/>
        </w:rPr>
        <w:t>general.</w:t>
      </w:r>
      <w:r>
        <w:rPr>
          <w:spacing w:val="-6"/>
          <w:sz w:val="20"/>
        </w:rPr>
        <w:t> </w:t>
      </w:r>
      <w:r>
        <w:rPr>
          <w:sz w:val="20"/>
        </w:rPr>
        <w:t>En</w:t>
      </w:r>
      <w:r>
        <w:rPr>
          <w:spacing w:val="-4"/>
          <w:sz w:val="20"/>
        </w:rPr>
        <w:t> </w:t>
      </w:r>
      <w:r>
        <w:rPr>
          <w:sz w:val="20"/>
        </w:rPr>
        <w:t>tal</w:t>
      </w:r>
      <w:r>
        <w:rPr>
          <w:spacing w:val="-5"/>
          <w:sz w:val="20"/>
        </w:rPr>
        <w:t> </w:t>
      </w:r>
      <w:r>
        <w:rPr>
          <w:sz w:val="20"/>
        </w:rPr>
        <w:t>sentido,</w:t>
      </w:r>
      <w:r>
        <w:rPr>
          <w:spacing w:val="-5"/>
          <w:sz w:val="20"/>
        </w:rPr>
        <w:t> </w:t>
      </w:r>
      <w:r>
        <w:rPr>
          <w:sz w:val="20"/>
        </w:rPr>
        <w:t>es</w:t>
      </w:r>
      <w:r>
        <w:rPr>
          <w:spacing w:val="-5"/>
          <w:sz w:val="20"/>
        </w:rPr>
        <w:t> </w:t>
      </w:r>
      <w:r>
        <w:rPr>
          <w:sz w:val="20"/>
        </w:rPr>
        <w:t>sin</w:t>
      </w:r>
      <w:r>
        <w:rPr>
          <w:spacing w:val="-4"/>
          <w:sz w:val="20"/>
        </w:rPr>
        <w:t> </w:t>
      </w:r>
      <w:r>
        <w:rPr>
          <w:sz w:val="20"/>
        </w:rPr>
        <w:t>duda</w:t>
      </w:r>
      <w:r>
        <w:rPr>
          <w:spacing w:val="-5"/>
          <w:sz w:val="20"/>
        </w:rPr>
        <w:t> </w:t>
      </w:r>
      <w:r>
        <w:rPr>
          <w:sz w:val="20"/>
        </w:rPr>
        <w:t>indiscutible</w:t>
      </w:r>
      <w:r>
        <w:rPr>
          <w:spacing w:val="-6"/>
          <w:sz w:val="20"/>
        </w:rPr>
        <w:t> </w:t>
      </w:r>
      <w:r>
        <w:rPr>
          <w:sz w:val="20"/>
        </w:rPr>
        <w:t>que el objeto y fin del artículo 26 es que se adopten las providencias que señala para lograr a efectividad de los derechos que indica y no que éstos sean exigibles de inmediato y menos aún que sean justiciables ante la</w:t>
      </w:r>
      <w:r>
        <w:rPr>
          <w:spacing w:val="-16"/>
          <w:sz w:val="20"/>
        </w:rPr>
        <w:t> </w:t>
      </w:r>
      <w:r>
        <w:rPr>
          <w:sz w:val="20"/>
        </w:rPr>
        <w:t>Corte.</w:t>
      </w:r>
    </w:p>
    <w:p>
      <w:pPr>
        <w:pStyle w:val="BodyText"/>
        <w:spacing w:before="11"/>
        <w:rPr>
          <w:sz w:val="19"/>
        </w:rPr>
      </w:pPr>
    </w:p>
    <w:p>
      <w:pPr>
        <w:pStyle w:val="ListParagraph"/>
        <w:numPr>
          <w:ilvl w:val="0"/>
          <w:numId w:val="53"/>
        </w:numPr>
        <w:tabs>
          <w:tab w:pos="1390" w:val="left" w:leader="none"/>
        </w:tabs>
        <w:spacing w:line="240" w:lineRule="auto" w:before="0" w:after="0"/>
        <w:ind w:left="681" w:right="118" w:firstLine="0"/>
        <w:jc w:val="both"/>
        <w:rPr>
          <w:sz w:val="20"/>
        </w:rPr>
      </w:pPr>
      <w:r>
        <w:rPr>
          <w:sz w:val="20"/>
        </w:rPr>
        <w:t>Aceptar que, para interpretar una específica disposición de la Convención, bastaría evocar el objeto y fin general de ésta antes señalado, de suyo amplio vago o impreciso y, por tanto, implicaría afectar la seguridad y certeza jurídicas que debe caracterizar a todo fallo de la Corte, puesto que dejaría a su criterio, con extenso margen, la determinación, que la Sentencia denomina actualización</w:t>
      </w:r>
      <w:r>
        <w:rPr>
          <w:position w:val="7"/>
          <w:sz w:val="13"/>
        </w:rPr>
        <w:t>83</w:t>
      </w:r>
      <w:r>
        <w:rPr>
          <w:sz w:val="20"/>
        </w:rPr>
        <w:t>, de los derechos que derivan de las mencionadas normas de la Carta de la OEA, por lo que los Estados Partes</w:t>
      </w:r>
      <w:r>
        <w:rPr>
          <w:spacing w:val="-4"/>
          <w:sz w:val="20"/>
        </w:rPr>
        <w:t> </w:t>
      </w:r>
      <w:r>
        <w:rPr>
          <w:sz w:val="20"/>
        </w:rPr>
        <w:t>de</w:t>
      </w:r>
      <w:r>
        <w:rPr>
          <w:spacing w:val="-5"/>
          <w:sz w:val="20"/>
        </w:rPr>
        <w:t> </w:t>
      </w:r>
      <w:r>
        <w:rPr>
          <w:sz w:val="20"/>
        </w:rPr>
        <w:t>la</w:t>
      </w:r>
      <w:r>
        <w:rPr>
          <w:spacing w:val="-6"/>
          <w:sz w:val="20"/>
        </w:rPr>
        <w:t> </w:t>
      </w:r>
      <w:r>
        <w:rPr>
          <w:sz w:val="20"/>
        </w:rPr>
        <w:t>Convención</w:t>
      </w:r>
      <w:r>
        <w:rPr>
          <w:spacing w:val="-6"/>
          <w:sz w:val="20"/>
        </w:rPr>
        <w:t> </w:t>
      </w:r>
      <w:r>
        <w:rPr>
          <w:sz w:val="20"/>
        </w:rPr>
        <w:t>no</w:t>
      </w:r>
      <w:r>
        <w:rPr>
          <w:spacing w:val="-6"/>
          <w:sz w:val="20"/>
        </w:rPr>
        <w:t> </w:t>
      </w:r>
      <w:r>
        <w:rPr>
          <w:sz w:val="20"/>
        </w:rPr>
        <w:t>sabrían</w:t>
      </w:r>
      <w:r>
        <w:rPr>
          <w:spacing w:val="-7"/>
          <w:sz w:val="20"/>
        </w:rPr>
        <w:t> </w:t>
      </w:r>
      <w:r>
        <w:rPr>
          <w:sz w:val="20"/>
        </w:rPr>
        <w:t>con</w:t>
      </w:r>
      <w:r>
        <w:rPr>
          <w:spacing w:val="-4"/>
          <w:sz w:val="20"/>
        </w:rPr>
        <w:t> </w:t>
      </w:r>
      <w:r>
        <w:rPr>
          <w:sz w:val="20"/>
        </w:rPr>
        <w:t>antelación</w:t>
      </w:r>
      <w:r>
        <w:rPr>
          <w:spacing w:val="-4"/>
          <w:sz w:val="20"/>
        </w:rPr>
        <w:t> </w:t>
      </w:r>
      <w:r>
        <w:rPr>
          <w:sz w:val="20"/>
        </w:rPr>
        <w:t>a</w:t>
      </w:r>
      <w:r>
        <w:rPr>
          <w:spacing w:val="-6"/>
          <w:sz w:val="20"/>
        </w:rPr>
        <w:t> </w:t>
      </w:r>
      <w:r>
        <w:rPr>
          <w:sz w:val="20"/>
        </w:rPr>
        <w:t>los</w:t>
      </w:r>
      <w:r>
        <w:rPr>
          <w:spacing w:val="-6"/>
          <w:sz w:val="20"/>
        </w:rPr>
        <w:t> </w:t>
      </w:r>
      <w:r>
        <w:rPr>
          <w:sz w:val="20"/>
        </w:rPr>
        <w:t>juicios</w:t>
      </w:r>
      <w:r>
        <w:rPr>
          <w:spacing w:val="-5"/>
          <w:sz w:val="20"/>
        </w:rPr>
        <w:t> </w:t>
      </w:r>
      <w:r>
        <w:rPr>
          <w:sz w:val="20"/>
        </w:rPr>
        <w:t>correspondientes,</w:t>
      </w:r>
      <w:r>
        <w:rPr>
          <w:spacing w:val="-5"/>
          <w:sz w:val="20"/>
        </w:rPr>
        <w:t> </w:t>
      </w:r>
      <w:r>
        <w:rPr>
          <w:sz w:val="20"/>
        </w:rPr>
        <w:t>cuales son.</w:t>
      </w:r>
    </w:p>
    <w:p>
      <w:pPr>
        <w:pStyle w:val="BodyText"/>
        <w:spacing w:before="11"/>
        <w:rPr>
          <w:sz w:val="19"/>
        </w:rPr>
      </w:pPr>
    </w:p>
    <w:p>
      <w:pPr>
        <w:pStyle w:val="ListParagraph"/>
        <w:numPr>
          <w:ilvl w:val="0"/>
          <w:numId w:val="53"/>
        </w:numPr>
        <w:tabs>
          <w:tab w:pos="1390" w:val="left" w:leader="none"/>
        </w:tabs>
        <w:spacing w:line="240" w:lineRule="auto" w:before="0" w:after="0"/>
        <w:ind w:left="681" w:right="117" w:firstLine="0"/>
        <w:jc w:val="both"/>
        <w:rPr>
          <w:sz w:val="20"/>
        </w:rPr>
      </w:pPr>
      <w:r>
        <w:rPr>
          <w:sz w:val="20"/>
        </w:rPr>
        <w:t>Por</w:t>
      </w:r>
      <w:r>
        <w:rPr>
          <w:spacing w:val="-7"/>
          <w:sz w:val="20"/>
        </w:rPr>
        <w:t> </w:t>
      </w:r>
      <w:r>
        <w:rPr>
          <w:sz w:val="20"/>
        </w:rPr>
        <w:t>otra</w:t>
      </w:r>
      <w:r>
        <w:rPr>
          <w:spacing w:val="-8"/>
          <w:sz w:val="20"/>
        </w:rPr>
        <w:t> </w:t>
      </w:r>
      <w:r>
        <w:rPr>
          <w:sz w:val="20"/>
        </w:rPr>
        <w:t>parte,</w:t>
      </w:r>
      <w:r>
        <w:rPr>
          <w:spacing w:val="-8"/>
          <w:sz w:val="20"/>
        </w:rPr>
        <w:t> </w:t>
      </w:r>
      <w:r>
        <w:rPr>
          <w:sz w:val="20"/>
        </w:rPr>
        <w:t>un</w:t>
      </w:r>
      <w:r>
        <w:rPr>
          <w:spacing w:val="-6"/>
          <w:sz w:val="20"/>
        </w:rPr>
        <w:t> </w:t>
      </w:r>
      <w:r>
        <w:rPr>
          <w:sz w:val="20"/>
        </w:rPr>
        <w:t>proceder</w:t>
      </w:r>
      <w:r>
        <w:rPr>
          <w:spacing w:val="-7"/>
          <w:sz w:val="20"/>
        </w:rPr>
        <w:t> </w:t>
      </w:r>
      <w:r>
        <w:rPr>
          <w:sz w:val="20"/>
        </w:rPr>
        <w:t>como</w:t>
      </w:r>
      <w:r>
        <w:rPr>
          <w:spacing w:val="-8"/>
          <w:sz w:val="20"/>
        </w:rPr>
        <w:t> </w:t>
      </w:r>
      <w:r>
        <w:rPr>
          <w:sz w:val="20"/>
        </w:rPr>
        <w:t>el</w:t>
      </w:r>
      <w:r>
        <w:rPr>
          <w:spacing w:val="-7"/>
          <w:sz w:val="20"/>
        </w:rPr>
        <w:t> </w:t>
      </w:r>
      <w:r>
        <w:rPr>
          <w:sz w:val="20"/>
        </w:rPr>
        <w:t>aludido,</w:t>
      </w:r>
      <w:r>
        <w:rPr>
          <w:spacing w:val="-6"/>
          <w:sz w:val="20"/>
        </w:rPr>
        <w:t> </w:t>
      </w:r>
      <w:r>
        <w:rPr>
          <w:sz w:val="20"/>
        </w:rPr>
        <w:t>conllevaría,</w:t>
      </w:r>
      <w:r>
        <w:rPr>
          <w:spacing w:val="-5"/>
          <w:sz w:val="20"/>
        </w:rPr>
        <w:t> </w:t>
      </w:r>
      <w:r>
        <w:rPr>
          <w:sz w:val="20"/>
        </w:rPr>
        <w:t>por</w:t>
      </w:r>
      <w:r>
        <w:rPr>
          <w:spacing w:val="-8"/>
          <w:sz w:val="20"/>
        </w:rPr>
        <w:t> </w:t>
      </w:r>
      <w:r>
        <w:rPr>
          <w:sz w:val="20"/>
        </w:rPr>
        <w:t>parte</w:t>
      </w:r>
      <w:r>
        <w:rPr>
          <w:spacing w:val="-6"/>
          <w:sz w:val="20"/>
        </w:rPr>
        <w:t> </w:t>
      </w:r>
      <w:r>
        <w:rPr>
          <w:sz w:val="20"/>
        </w:rPr>
        <w:t>de</w:t>
      </w:r>
      <w:r>
        <w:rPr>
          <w:spacing w:val="-7"/>
          <w:sz w:val="20"/>
        </w:rPr>
        <w:t> </w:t>
      </w:r>
      <w:r>
        <w:rPr>
          <w:sz w:val="20"/>
        </w:rPr>
        <w:t>la</w:t>
      </w:r>
      <w:r>
        <w:rPr>
          <w:spacing w:val="-7"/>
          <w:sz w:val="20"/>
        </w:rPr>
        <w:t> </w:t>
      </w:r>
      <w:r>
        <w:rPr>
          <w:sz w:val="20"/>
        </w:rPr>
        <w:t>Corte,</w:t>
      </w:r>
      <w:r>
        <w:rPr>
          <w:spacing w:val="-7"/>
          <w:sz w:val="20"/>
        </w:rPr>
        <w:t> </w:t>
      </w:r>
      <w:r>
        <w:rPr>
          <w:sz w:val="20"/>
        </w:rPr>
        <w:t>la asunción</w:t>
      </w:r>
      <w:r>
        <w:rPr>
          <w:spacing w:val="-11"/>
          <w:sz w:val="20"/>
        </w:rPr>
        <w:t> </w:t>
      </w:r>
      <w:r>
        <w:rPr>
          <w:sz w:val="20"/>
        </w:rPr>
        <w:t>de</w:t>
      </w:r>
      <w:r>
        <w:rPr>
          <w:spacing w:val="-10"/>
          <w:sz w:val="20"/>
        </w:rPr>
        <w:t> </w:t>
      </w:r>
      <w:r>
        <w:rPr>
          <w:sz w:val="20"/>
        </w:rPr>
        <w:t>la</w:t>
      </w:r>
      <w:r>
        <w:rPr>
          <w:spacing w:val="-11"/>
          <w:sz w:val="20"/>
        </w:rPr>
        <w:t> </w:t>
      </w:r>
      <w:r>
        <w:rPr>
          <w:sz w:val="20"/>
        </w:rPr>
        <w:t>función</w:t>
      </w:r>
      <w:r>
        <w:rPr>
          <w:spacing w:val="-10"/>
          <w:sz w:val="20"/>
        </w:rPr>
        <w:t> </w:t>
      </w:r>
      <w:r>
        <w:rPr>
          <w:sz w:val="20"/>
        </w:rPr>
        <w:t>normativa</w:t>
      </w:r>
      <w:r>
        <w:rPr>
          <w:spacing w:val="-10"/>
          <w:sz w:val="20"/>
        </w:rPr>
        <w:t> </w:t>
      </w:r>
      <w:r>
        <w:rPr>
          <w:sz w:val="20"/>
        </w:rPr>
        <w:t>internacional,</w:t>
      </w:r>
      <w:r>
        <w:rPr>
          <w:spacing w:val="-11"/>
          <w:sz w:val="20"/>
        </w:rPr>
        <w:t> </w:t>
      </w:r>
      <w:r>
        <w:rPr>
          <w:sz w:val="20"/>
        </w:rPr>
        <w:t>que,</w:t>
      </w:r>
      <w:r>
        <w:rPr>
          <w:spacing w:val="-10"/>
          <w:sz w:val="20"/>
        </w:rPr>
        <w:t> </w:t>
      </w:r>
      <w:r>
        <w:rPr>
          <w:sz w:val="20"/>
        </w:rPr>
        <w:t>en</w:t>
      </w:r>
      <w:r>
        <w:rPr>
          <w:spacing w:val="-9"/>
          <w:sz w:val="20"/>
        </w:rPr>
        <w:t> </w:t>
      </w:r>
      <w:r>
        <w:rPr>
          <w:sz w:val="20"/>
        </w:rPr>
        <w:t>lo</w:t>
      </w:r>
      <w:r>
        <w:rPr>
          <w:spacing w:val="-11"/>
          <w:sz w:val="20"/>
        </w:rPr>
        <w:t> </w:t>
      </w:r>
      <w:r>
        <w:rPr>
          <w:sz w:val="20"/>
        </w:rPr>
        <w:t>concerniente</w:t>
      </w:r>
      <w:r>
        <w:rPr>
          <w:spacing w:val="-11"/>
          <w:sz w:val="20"/>
        </w:rPr>
        <w:t> </w:t>
      </w:r>
      <w:r>
        <w:rPr>
          <w:sz w:val="20"/>
        </w:rPr>
        <w:t>a</w:t>
      </w:r>
      <w:r>
        <w:rPr>
          <w:spacing w:val="-10"/>
          <w:sz w:val="20"/>
        </w:rPr>
        <w:t> </w:t>
      </w:r>
      <w:r>
        <w:rPr>
          <w:sz w:val="20"/>
        </w:rPr>
        <w:t>la</w:t>
      </w:r>
      <w:r>
        <w:rPr>
          <w:spacing w:val="-11"/>
          <w:sz w:val="20"/>
        </w:rPr>
        <w:t> </w:t>
      </w:r>
      <w:r>
        <w:rPr>
          <w:sz w:val="20"/>
        </w:rPr>
        <w:t>Convención, solo corresponde a sus Estados Partes</w:t>
      </w:r>
      <w:r>
        <w:rPr>
          <w:position w:val="7"/>
          <w:sz w:val="13"/>
        </w:rPr>
        <w:t>84</w:t>
      </w:r>
      <w:r>
        <w:rPr>
          <w:sz w:val="20"/>
        </w:rPr>
        <w:t>. Y ello en atención a que, con la ausencia de especificación</w:t>
      </w:r>
      <w:r>
        <w:rPr>
          <w:spacing w:val="-5"/>
          <w:sz w:val="20"/>
        </w:rPr>
        <w:t> </w:t>
      </w:r>
      <w:r>
        <w:rPr>
          <w:sz w:val="20"/>
        </w:rPr>
        <w:t>de</w:t>
      </w:r>
      <w:r>
        <w:rPr>
          <w:spacing w:val="-4"/>
          <w:sz w:val="20"/>
        </w:rPr>
        <w:t> </w:t>
      </w:r>
      <w:r>
        <w:rPr>
          <w:sz w:val="20"/>
        </w:rPr>
        <w:t>los</w:t>
      </w:r>
      <w:r>
        <w:rPr>
          <w:spacing w:val="-6"/>
          <w:sz w:val="20"/>
        </w:rPr>
        <w:t> </w:t>
      </w:r>
      <w:r>
        <w:rPr>
          <w:sz w:val="20"/>
        </w:rPr>
        <w:t>derechos</w:t>
      </w:r>
      <w:r>
        <w:rPr>
          <w:spacing w:val="-6"/>
          <w:sz w:val="20"/>
        </w:rPr>
        <w:t> </w:t>
      </w:r>
      <w:r>
        <w:rPr>
          <w:sz w:val="20"/>
        </w:rPr>
        <w:t>que</w:t>
      </w:r>
      <w:r>
        <w:rPr>
          <w:spacing w:val="-5"/>
          <w:sz w:val="20"/>
        </w:rPr>
        <w:t> </w:t>
      </w:r>
      <w:r>
        <w:rPr>
          <w:sz w:val="20"/>
        </w:rPr>
        <w:t>se</w:t>
      </w:r>
      <w:r>
        <w:rPr>
          <w:spacing w:val="-4"/>
          <w:sz w:val="20"/>
        </w:rPr>
        <w:t> </w:t>
      </w:r>
      <w:r>
        <w:rPr>
          <w:sz w:val="20"/>
        </w:rPr>
        <w:t>derivan</w:t>
      </w:r>
      <w:r>
        <w:rPr>
          <w:spacing w:val="-7"/>
          <w:sz w:val="20"/>
        </w:rPr>
        <w:t> </w:t>
      </w:r>
      <w:r>
        <w:rPr>
          <w:sz w:val="20"/>
        </w:rPr>
        <w:t>de</w:t>
      </w:r>
      <w:r>
        <w:rPr>
          <w:spacing w:val="-4"/>
          <w:sz w:val="20"/>
        </w:rPr>
        <w:t> </w:t>
      </w:r>
      <w:r>
        <w:rPr>
          <w:sz w:val="20"/>
        </w:rPr>
        <w:t>las</w:t>
      </w:r>
      <w:r>
        <w:rPr>
          <w:spacing w:val="-5"/>
          <w:sz w:val="20"/>
        </w:rPr>
        <w:t> </w:t>
      </w:r>
      <w:r>
        <w:rPr>
          <w:sz w:val="20"/>
        </w:rPr>
        <w:t>normas</w:t>
      </w:r>
      <w:r>
        <w:rPr>
          <w:spacing w:val="-5"/>
          <w:sz w:val="20"/>
        </w:rPr>
        <w:t> </w:t>
      </w:r>
      <w:r>
        <w:rPr>
          <w:sz w:val="20"/>
        </w:rPr>
        <w:t>de</w:t>
      </w:r>
      <w:r>
        <w:rPr>
          <w:spacing w:val="-5"/>
          <w:sz w:val="20"/>
        </w:rPr>
        <w:t> </w:t>
      </w:r>
      <w:r>
        <w:rPr>
          <w:sz w:val="20"/>
        </w:rPr>
        <w:t>la</w:t>
      </w:r>
      <w:r>
        <w:rPr>
          <w:spacing w:val="-6"/>
          <w:sz w:val="20"/>
        </w:rPr>
        <w:t> </w:t>
      </w:r>
      <w:r>
        <w:rPr>
          <w:sz w:val="20"/>
        </w:rPr>
        <w:t>Carta</w:t>
      </w:r>
      <w:r>
        <w:rPr>
          <w:spacing w:val="-5"/>
          <w:sz w:val="20"/>
        </w:rPr>
        <w:t> </w:t>
      </w:r>
      <w:r>
        <w:rPr>
          <w:sz w:val="20"/>
        </w:rPr>
        <w:t>de</w:t>
      </w:r>
      <w:r>
        <w:rPr>
          <w:spacing w:val="-5"/>
          <w:sz w:val="20"/>
        </w:rPr>
        <w:t> </w:t>
      </w:r>
      <w:r>
        <w:rPr>
          <w:sz w:val="20"/>
        </w:rPr>
        <w:t>la</w:t>
      </w:r>
      <w:r>
        <w:rPr>
          <w:spacing w:val="-5"/>
          <w:sz w:val="20"/>
        </w:rPr>
        <w:t> </w:t>
      </w:r>
      <w:r>
        <w:rPr>
          <w:sz w:val="20"/>
        </w:rPr>
        <w:t>OEA</w:t>
      </w:r>
      <w:r>
        <w:rPr>
          <w:spacing w:val="-5"/>
          <w:sz w:val="20"/>
        </w:rPr>
        <w:t> </w:t>
      </w:r>
      <w:r>
        <w:rPr>
          <w:sz w:val="20"/>
        </w:rPr>
        <w:t>y</w:t>
      </w:r>
      <w:r>
        <w:rPr>
          <w:spacing w:val="-4"/>
          <w:sz w:val="20"/>
        </w:rPr>
        <w:t> </w:t>
      </w:r>
      <w:r>
        <w:rPr>
          <w:sz w:val="20"/>
        </w:rPr>
        <w:t>con la actualización de ellos que, consecuentemente, la Sentencia atribuye a la Corte, ésta bien</w:t>
      </w:r>
      <w:r>
        <w:rPr>
          <w:spacing w:val="-13"/>
          <w:sz w:val="20"/>
        </w:rPr>
        <w:t> </w:t>
      </w:r>
      <w:r>
        <w:rPr>
          <w:sz w:val="20"/>
        </w:rPr>
        <w:t>podría</w:t>
      </w:r>
      <w:r>
        <w:rPr>
          <w:spacing w:val="-15"/>
          <w:sz w:val="20"/>
        </w:rPr>
        <w:t> </w:t>
      </w:r>
      <w:r>
        <w:rPr>
          <w:sz w:val="20"/>
        </w:rPr>
        <w:t>establecer</w:t>
      </w:r>
      <w:r>
        <w:rPr>
          <w:spacing w:val="-13"/>
          <w:sz w:val="20"/>
        </w:rPr>
        <w:t> </w:t>
      </w:r>
      <w:r>
        <w:rPr>
          <w:sz w:val="20"/>
        </w:rPr>
        <w:t>derechos</w:t>
      </w:r>
      <w:r>
        <w:rPr>
          <w:spacing w:val="-13"/>
          <w:sz w:val="20"/>
        </w:rPr>
        <w:t> </w:t>
      </w:r>
      <w:r>
        <w:rPr>
          <w:sz w:val="20"/>
        </w:rPr>
        <w:t>no</w:t>
      </w:r>
      <w:r>
        <w:rPr>
          <w:spacing w:val="-15"/>
          <w:sz w:val="20"/>
        </w:rPr>
        <w:t> </w:t>
      </w:r>
      <w:r>
        <w:rPr>
          <w:sz w:val="20"/>
        </w:rPr>
        <w:t>expresamente</w:t>
      </w:r>
      <w:r>
        <w:rPr>
          <w:spacing w:val="-12"/>
          <w:sz w:val="20"/>
        </w:rPr>
        <w:t> </w:t>
      </w:r>
      <w:r>
        <w:rPr>
          <w:sz w:val="20"/>
        </w:rPr>
        <w:t>previstos</w:t>
      </w:r>
      <w:r>
        <w:rPr>
          <w:spacing w:val="-13"/>
          <w:sz w:val="20"/>
        </w:rPr>
        <w:t> </w:t>
      </w:r>
      <w:r>
        <w:rPr>
          <w:sz w:val="20"/>
        </w:rPr>
        <w:t>en</w:t>
      </w:r>
      <w:r>
        <w:rPr>
          <w:spacing w:val="-12"/>
          <w:sz w:val="20"/>
        </w:rPr>
        <w:t> </w:t>
      </w:r>
      <w:r>
        <w:rPr>
          <w:sz w:val="20"/>
        </w:rPr>
        <w:t>dichas</w:t>
      </w:r>
      <w:r>
        <w:rPr>
          <w:spacing w:val="-14"/>
          <w:sz w:val="20"/>
        </w:rPr>
        <w:t> </w:t>
      </w:r>
      <w:r>
        <w:rPr>
          <w:sz w:val="20"/>
        </w:rPr>
        <w:t>normas</w:t>
      </w:r>
      <w:r>
        <w:rPr>
          <w:spacing w:val="-14"/>
          <w:sz w:val="20"/>
        </w:rPr>
        <w:t> </w:t>
      </w:r>
      <w:r>
        <w:rPr>
          <w:sz w:val="20"/>
        </w:rPr>
        <w:t>y</w:t>
      </w:r>
      <w:r>
        <w:rPr>
          <w:spacing w:val="-13"/>
          <w:sz w:val="20"/>
        </w:rPr>
        <w:t> </w:t>
      </w:r>
      <w:r>
        <w:rPr>
          <w:sz w:val="20"/>
        </w:rPr>
        <w:t>disponer que son justiciables ante ella, como ocurre en</w:t>
      </w:r>
      <w:r>
        <w:rPr>
          <w:spacing w:val="-9"/>
          <w:sz w:val="20"/>
        </w:rPr>
        <w:t> </w:t>
      </w:r>
      <w:r>
        <w:rPr>
          <w:sz w:val="20"/>
        </w:rPr>
        <w:t>autos.</w:t>
      </w:r>
    </w:p>
    <w:p>
      <w:pPr>
        <w:pStyle w:val="BodyText"/>
      </w:pPr>
    </w:p>
    <w:p>
      <w:pPr>
        <w:pStyle w:val="BodyText"/>
        <w:spacing w:before="3"/>
        <w:rPr>
          <w:sz w:val="12"/>
        </w:rPr>
      </w:pPr>
      <w:r>
        <w:rPr/>
        <w:pict>
          <v:line style="position:absolute;mso-position-horizontal-relative:page;mso-position-vertical-relative:paragraph;z-index:4216;mso-wrap-distance-left:0;mso-wrap-distance-right:0" from="56.700001pt,9.79236pt" to="200.720001pt,9.79236pt" stroked="true" strokeweight=".71997pt" strokecolor="#000000">
            <v:stroke dashstyle="solid"/>
            <w10:wrap type="topAndBottom"/>
          </v:line>
        </w:pict>
      </w:r>
    </w:p>
    <w:p>
      <w:pPr>
        <w:spacing w:before="66"/>
        <w:ind w:left="681" w:right="0" w:firstLine="0"/>
        <w:jc w:val="both"/>
        <w:rPr>
          <w:i/>
          <w:sz w:val="16"/>
        </w:rPr>
      </w:pPr>
      <w:r>
        <w:rPr>
          <w:rFonts w:ascii="Calibri" w:hAnsi="Calibri"/>
          <w:position w:val="7"/>
          <w:sz w:val="13"/>
        </w:rPr>
        <w:t>82  </w:t>
      </w:r>
      <w:r>
        <w:rPr>
          <w:rFonts w:ascii="Calibri" w:hAnsi="Calibri"/>
          <w:sz w:val="20"/>
        </w:rPr>
        <w:t>Párr.92, </w:t>
      </w:r>
      <w:r>
        <w:rPr>
          <w:i/>
          <w:sz w:val="16"/>
        </w:rPr>
        <w:t>Caso Cuscul Pivaral y otros Vs. Guatemala. Excepción Preliminar, Fondo, Reparaciones y   Costas,</w:t>
      </w:r>
    </w:p>
    <w:p>
      <w:pPr>
        <w:spacing w:before="0"/>
        <w:ind w:left="681" w:right="0" w:firstLine="0"/>
        <w:jc w:val="both"/>
        <w:rPr>
          <w:sz w:val="20"/>
        </w:rPr>
      </w:pPr>
      <w:r>
        <w:rPr>
          <w:sz w:val="16"/>
        </w:rPr>
        <w:t>2018</w:t>
      </w:r>
      <w:r>
        <w:rPr>
          <w:sz w:val="20"/>
        </w:rPr>
        <w:t>.</w:t>
      </w:r>
    </w:p>
    <w:p>
      <w:pPr>
        <w:pStyle w:val="BodyText"/>
        <w:spacing w:before="9"/>
        <w:rPr>
          <w:sz w:val="19"/>
        </w:rPr>
      </w:pPr>
    </w:p>
    <w:p>
      <w:pPr>
        <w:spacing w:before="0"/>
        <w:ind w:left="681" w:right="0" w:firstLine="0"/>
        <w:jc w:val="both"/>
        <w:rPr>
          <w:rFonts w:ascii="Calibri" w:hAnsi="Calibri"/>
          <w:sz w:val="20"/>
        </w:rPr>
      </w:pPr>
      <w:r>
        <w:rPr>
          <w:rFonts w:ascii="Calibri" w:hAnsi="Calibri"/>
          <w:position w:val="7"/>
          <w:sz w:val="13"/>
        </w:rPr>
        <w:t>83 </w:t>
      </w:r>
      <w:r>
        <w:rPr>
          <w:rFonts w:ascii="Calibri" w:hAnsi="Calibri"/>
          <w:sz w:val="20"/>
        </w:rPr>
        <w:t>Párr.199.</w:t>
      </w:r>
    </w:p>
    <w:p>
      <w:pPr>
        <w:pStyle w:val="BodyText"/>
        <w:rPr>
          <w:rFonts w:ascii="Calibri"/>
        </w:rPr>
      </w:pPr>
    </w:p>
    <w:p>
      <w:pPr>
        <w:spacing w:before="1"/>
        <w:ind w:left="681" w:right="120" w:firstLine="0"/>
        <w:jc w:val="both"/>
        <w:rPr>
          <w:i/>
          <w:sz w:val="16"/>
        </w:rPr>
      </w:pPr>
      <w:r>
        <w:rPr>
          <w:position w:val="6"/>
          <w:sz w:val="10"/>
        </w:rPr>
        <w:t>84 </w:t>
      </w:r>
      <w:r>
        <w:rPr>
          <w:sz w:val="16"/>
        </w:rPr>
        <w:t>Art.31: “</w:t>
      </w:r>
      <w:r>
        <w:rPr>
          <w:i/>
          <w:sz w:val="16"/>
        </w:rPr>
        <w:t>Reconocimiento de Otros Derechos. Podrán ser incluidos en el régimen de protección de esta </w:t>
      </w:r>
      <w:r>
        <w:rPr>
          <w:i/>
          <w:sz w:val="16"/>
        </w:rPr>
        <w:t>Convención</w:t>
      </w:r>
      <w:r>
        <w:rPr>
          <w:i/>
          <w:spacing w:val="-3"/>
          <w:sz w:val="16"/>
        </w:rPr>
        <w:t> </w:t>
      </w:r>
      <w:r>
        <w:rPr>
          <w:i/>
          <w:sz w:val="16"/>
        </w:rPr>
        <w:t>otros</w:t>
      </w:r>
      <w:r>
        <w:rPr>
          <w:i/>
          <w:spacing w:val="-4"/>
          <w:sz w:val="16"/>
        </w:rPr>
        <w:t> </w:t>
      </w:r>
      <w:r>
        <w:rPr>
          <w:i/>
          <w:sz w:val="16"/>
        </w:rPr>
        <w:t>derechos</w:t>
      </w:r>
      <w:r>
        <w:rPr>
          <w:i/>
          <w:spacing w:val="-4"/>
          <w:sz w:val="16"/>
        </w:rPr>
        <w:t> </w:t>
      </w:r>
      <w:r>
        <w:rPr>
          <w:i/>
          <w:sz w:val="16"/>
        </w:rPr>
        <w:t>y</w:t>
      </w:r>
      <w:r>
        <w:rPr>
          <w:i/>
          <w:spacing w:val="-3"/>
          <w:sz w:val="16"/>
        </w:rPr>
        <w:t> </w:t>
      </w:r>
      <w:r>
        <w:rPr>
          <w:i/>
          <w:sz w:val="16"/>
        </w:rPr>
        <w:t>libertades</w:t>
      </w:r>
      <w:r>
        <w:rPr>
          <w:i/>
          <w:spacing w:val="-4"/>
          <w:sz w:val="16"/>
        </w:rPr>
        <w:t> </w:t>
      </w:r>
      <w:r>
        <w:rPr>
          <w:i/>
          <w:sz w:val="16"/>
        </w:rPr>
        <w:t>que</w:t>
      </w:r>
      <w:r>
        <w:rPr>
          <w:i/>
          <w:spacing w:val="-3"/>
          <w:sz w:val="16"/>
        </w:rPr>
        <w:t> </w:t>
      </w:r>
      <w:r>
        <w:rPr>
          <w:i/>
          <w:sz w:val="16"/>
        </w:rPr>
        <w:t>sean</w:t>
      </w:r>
      <w:r>
        <w:rPr>
          <w:i/>
          <w:spacing w:val="-4"/>
          <w:sz w:val="16"/>
        </w:rPr>
        <w:t> </w:t>
      </w:r>
      <w:r>
        <w:rPr>
          <w:i/>
          <w:sz w:val="16"/>
        </w:rPr>
        <w:t>reconocidos</w:t>
      </w:r>
      <w:r>
        <w:rPr>
          <w:i/>
          <w:spacing w:val="-4"/>
          <w:sz w:val="16"/>
        </w:rPr>
        <w:t> </w:t>
      </w:r>
      <w:r>
        <w:rPr>
          <w:i/>
          <w:sz w:val="16"/>
        </w:rPr>
        <w:t>de</w:t>
      </w:r>
      <w:r>
        <w:rPr>
          <w:i/>
          <w:spacing w:val="-4"/>
          <w:sz w:val="16"/>
        </w:rPr>
        <w:t> </w:t>
      </w:r>
      <w:r>
        <w:rPr>
          <w:i/>
          <w:sz w:val="16"/>
        </w:rPr>
        <w:t>acuerdo</w:t>
      </w:r>
      <w:r>
        <w:rPr>
          <w:i/>
          <w:spacing w:val="-2"/>
          <w:sz w:val="16"/>
        </w:rPr>
        <w:t> </w:t>
      </w:r>
      <w:r>
        <w:rPr>
          <w:i/>
          <w:sz w:val="16"/>
        </w:rPr>
        <w:t>con</w:t>
      </w:r>
      <w:r>
        <w:rPr>
          <w:i/>
          <w:spacing w:val="-4"/>
          <w:sz w:val="16"/>
        </w:rPr>
        <w:t> </w:t>
      </w:r>
      <w:r>
        <w:rPr>
          <w:i/>
          <w:sz w:val="16"/>
        </w:rPr>
        <w:t>los</w:t>
      </w:r>
      <w:r>
        <w:rPr>
          <w:i/>
          <w:spacing w:val="-4"/>
          <w:sz w:val="16"/>
        </w:rPr>
        <w:t> </w:t>
      </w:r>
      <w:r>
        <w:rPr>
          <w:i/>
          <w:sz w:val="16"/>
        </w:rPr>
        <w:t>procedimientos</w:t>
      </w:r>
      <w:r>
        <w:rPr>
          <w:i/>
          <w:spacing w:val="-3"/>
          <w:sz w:val="16"/>
        </w:rPr>
        <w:t> </w:t>
      </w:r>
      <w:r>
        <w:rPr>
          <w:i/>
          <w:sz w:val="16"/>
        </w:rPr>
        <w:t>establecidos en los artículos 76 y</w:t>
      </w:r>
      <w:r>
        <w:rPr>
          <w:i/>
          <w:spacing w:val="-11"/>
          <w:sz w:val="16"/>
        </w:rPr>
        <w:t> </w:t>
      </w:r>
      <w:r>
        <w:rPr>
          <w:i/>
          <w:sz w:val="16"/>
        </w:rPr>
        <w:t>77.”</w:t>
      </w:r>
    </w:p>
    <w:p>
      <w:pPr>
        <w:spacing w:before="0"/>
        <w:ind w:left="681" w:right="118" w:firstLine="0"/>
        <w:jc w:val="both"/>
        <w:rPr>
          <w:i/>
          <w:sz w:val="16"/>
        </w:rPr>
      </w:pPr>
      <w:r>
        <w:rPr>
          <w:sz w:val="16"/>
        </w:rPr>
        <w:t>Art.</w:t>
      </w:r>
      <w:r>
        <w:rPr>
          <w:spacing w:val="-8"/>
          <w:sz w:val="16"/>
        </w:rPr>
        <w:t> </w:t>
      </w:r>
      <w:r>
        <w:rPr>
          <w:sz w:val="16"/>
        </w:rPr>
        <w:t>76:</w:t>
      </w:r>
      <w:r>
        <w:rPr>
          <w:spacing w:val="-7"/>
          <w:sz w:val="16"/>
        </w:rPr>
        <w:t> </w:t>
      </w:r>
      <w:r>
        <w:rPr>
          <w:i/>
          <w:sz w:val="16"/>
        </w:rPr>
        <w:t>“1.</w:t>
      </w:r>
      <w:r>
        <w:rPr>
          <w:i/>
          <w:spacing w:val="-7"/>
          <w:sz w:val="16"/>
        </w:rPr>
        <w:t> </w:t>
      </w:r>
      <w:r>
        <w:rPr>
          <w:i/>
          <w:sz w:val="16"/>
        </w:rPr>
        <w:t>Cualquier</w:t>
      </w:r>
      <w:r>
        <w:rPr>
          <w:i/>
          <w:spacing w:val="-7"/>
          <w:sz w:val="16"/>
        </w:rPr>
        <w:t> </w:t>
      </w:r>
      <w:r>
        <w:rPr>
          <w:i/>
          <w:sz w:val="16"/>
        </w:rPr>
        <w:t>Estado</w:t>
      </w:r>
      <w:r>
        <w:rPr>
          <w:i/>
          <w:spacing w:val="-5"/>
          <w:sz w:val="16"/>
        </w:rPr>
        <w:t> </w:t>
      </w:r>
      <w:r>
        <w:rPr>
          <w:i/>
          <w:sz w:val="16"/>
        </w:rPr>
        <w:t>parte</w:t>
      </w:r>
      <w:r>
        <w:rPr>
          <w:i/>
          <w:spacing w:val="-7"/>
          <w:sz w:val="16"/>
        </w:rPr>
        <w:t> </w:t>
      </w:r>
      <w:r>
        <w:rPr>
          <w:i/>
          <w:sz w:val="16"/>
        </w:rPr>
        <w:t>directamente</w:t>
      </w:r>
      <w:r>
        <w:rPr>
          <w:i/>
          <w:spacing w:val="-7"/>
          <w:sz w:val="16"/>
        </w:rPr>
        <w:t> </w:t>
      </w:r>
      <w:r>
        <w:rPr>
          <w:i/>
          <w:sz w:val="16"/>
        </w:rPr>
        <w:t>y</w:t>
      </w:r>
      <w:r>
        <w:rPr>
          <w:i/>
          <w:spacing w:val="-7"/>
          <w:sz w:val="16"/>
        </w:rPr>
        <w:t> </w:t>
      </w:r>
      <w:r>
        <w:rPr>
          <w:i/>
          <w:sz w:val="16"/>
        </w:rPr>
        <w:t>la</w:t>
      </w:r>
      <w:r>
        <w:rPr>
          <w:i/>
          <w:spacing w:val="-7"/>
          <w:sz w:val="16"/>
        </w:rPr>
        <w:t> </w:t>
      </w:r>
      <w:r>
        <w:rPr>
          <w:i/>
          <w:sz w:val="16"/>
        </w:rPr>
        <w:t>Comisión</w:t>
      </w:r>
      <w:r>
        <w:rPr>
          <w:i/>
          <w:spacing w:val="-7"/>
          <w:sz w:val="16"/>
        </w:rPr>
        <w:t> </w:t>
      </w:r>
      <w:r>
        <w:rPr>
          <w:i/>
          <w:sz w:val="16"/>
        </w:rPr>
        <w:t>o</w:t>
      </w:r>
      <w:r>
        <w:rPr>
          <w:i/>
          <w:spacing w:val="-7"/>
          <w:sz w:val="16"/>
        </w:rPr>
        <w:t> </w:t>
      </w:r>
      <w:r>
        <w:rPr>
          <w:i/>
          <w:sz w:val="16"/>
        </w:rPr>
        <w:t>la</w:t>
      </w:r>
      <w:r>
        <w:rPr>
          <w:i/>
          <w:spacing w:val="-7"/>
          <w:sz w:val="16"/>
        </w:rPr>
        <w:t> </w:t>
      </w:r>
      <w:r>
        <w:rPr>
          <w:i/>
          <w:sz w:val="16"/>
        </w:rPr>
        <w:t>Corte</w:t>
      </w:r>
      <w:r>
        <w:rPr>
          <w:i/>
          <w:spacing w:val="-8"/>
          <w:sz w:val="16"/>
        </w:rPr>
        <w:t> </w:t>
      </w:r>
      <w:r>
        <w:rPr>
          <w:i/>
          <w:sz w:val="16"/>
        </w:rPr>
        <w:t>por</w:t>
      </w:r>
      <w:r>
        <w:rPr>
          <w:i/>
          <w:spacing w:val="-7"/>
          <w:sz w:val="16"/>
        </w:rPr>
        <w:t> </w:t>
      </w:r>
      <w:r>
        <w:rPr>
          <w:i/>
          <w:sz w:val="16"/>
        </w:rPr>
        <w:t>conducto</w:t>
      </w:r>
      <w:r>
        <w:rPr>
          <w:i/>
          <w:spacing w:val="-7"/>
          <w:sz w:val="16"/>
        </w:rPr>
        <w:t> </w:t>
      </w:r>
      <w:r>
        <w:rPr>
          <w:i/>
          <w:sz w:val="16"/>
        </w:rPr>
        <w:t>del</w:t>
      </w:r>
      <w:r>
        <w:rPr>
          <w:i/>
          <w:spacing w:val="-7"/>
          <w:sz w:val="16"/>
        </w:rPr>
        <w:t> </w:t>
      </w:r>
      <w:r>
        <w:rPr>
          <w:i/>
          <w:sz w:val="16"/>
        </w:rPr>
        <w:t>Secretario</w:t>
      </w:r>
      <w:r>
        <w:rPr>
          <w:i/>
          <w:spacing w:val="-7"/>
          <w:sz w:val="16"/>
        </w:rPr>
        <w:t> </w:t>
      </w:r>
      <w:r>
        <w:rPr>
          <w:i/>
          <w:sz w:val="16"/>
        </w:rPr>
        <w:t>General, </w:t>
      </w:r>
      <w:r>
        <w:rPr>
          <w:i/>
          <w:sz w:val="16"/>
        </w:rPr>
        <w:t>pueden someter a la Asamblea General, para lo que estime conveniente, una propuesta de enmienda a esta Convención.</w:t>
      </w:r>
    </w:p>
    <w:p>
      <w:pPr>
        <w:spacing w:before="0"/>
        <w:ind w:left="681" w:right="121" w:firstLine="56"/>
        <w:jc w:val="both"/>
        <w:rPr>
          <w:i/>
          <w:sz w:val="16"/>
        </w:rPr>
      </w:pPr>
      <w:r>
        <w:rPr>
          <w:i/>
          <w:sz w:val="16"/>
        </w:rPr>
        <w:t>2. Las enmiendas entrarán en vigor para los Estados ratificantes de las mismas en la fecha en que se haya </w:t>
      </w:r>
      <w:r>
        <w:rPr>
          <w:i/>
          <w:sz w:val="16"/>
        </w:rPr>
        <w:t>depositado el respectivo instrumento de ratificación que corresponda al número de los dos tercios de los Estados</w:t>
      </w:r>
      <w:r>
        <w:rPr>
          <w:i/>
          <w:spacing w:val="-6"/>
          <w:sz w:val="16"/>
        </w:rPr>
        <w:t> </w:t>
      </w:r>
      <w:r>
        <w:rPr>
          <w:i/>
          <w:sz w:val="16"/>
        </w:rPr>
        <w:t>Partes</w:t>
      </w:r>
      <w:r>
        <w:rPr>
          <w:i/>
          <w:spacing w:val="-6"/>
          <w:sz w:val="16"/>
        </w:rPr>
        <w:t> </w:t>
      </w:r>
      <w:r>
        <w:rPr>
          <w:i/>
          <w:sz w:val="16"/>
        </w:rPr>
        <w:t>en</w:t>
      </w:r>
      <w:r>
        <w:rPr>
          <w:i/>
          <w:spacing w:val="-6"/>
          <w:sz w:val="16"/>
        </w:rPr>
        <w:t> </w:t>
      </w:r>
      <w:r>
        <w:rPr>
          <w:i/>
          <w:sz w:val="16"/>
        </w:rPr>
        <w:t>esta</w:t>
      </w:r>
      <w:r>
        <w:rPr>
          <w:i/>
          <w:spacing w:val="-6"/>
          <w:sz w:val="16"/>
        </w:rPr>
        <w:t> </w:t>
      </w:r>
      <w:r>
        <w:rPr>
          <w:i/>
          <w:sz w:val="16"/>
        </w:rPr>
        <w:t>Convención.</w:t>
      </w:r>
      <w:r>
        <w:rPr>
          <w:i/>
          <w:spacing w:val="45"/>
          <w:sz w:val="16"/>
        </w:rPr>
        <w:t> </w:t>
      </w:r>
      <w:r>
        <w:rPr>
          <w:i/>
          <w:sz w:val="16"/>
        </w:rPr>
        <w:t>En</w:t>
      </w:r>
      <w:r>
        <w:rPr>
          <w:i/>
          <w:spacing w:val="-6"/>
          <w:sz w:val="16"/>
        </w:rPr>
        <w:t> </w:t>
      </w:r>
      <w:r>
        <w:rPr>
          <w:i/>
          <w:sz w:val="16"/>
        </w:rPr>
        <w:t>cuanto</w:t>
      </w:r>
      <w:r>
        <w:rPr>
          <w:i/>
          <w:spacing w:val="-6"/>
          <w:sz w:val="16"/>
        </w:rPr>
        <w:t> </w:t>
      </w:r>
      <w:r>
        <w:rPr>
          <w:i/>
          <w:sz w:val="16"/>
        </w:rPr>
        <w:t>al</w:t>
      </w:r>
      <w:r>
        <w:rPr>
          <w:i/>
          <w:spacing w:val="-5"/>
          <w:sz w:val="16"/>
        </w:rPr>
        <w:t> </w:t>
      </w:r>
      <w:r>
        <w:rPr>
          <w:i/>
          <w:sz w:val="16"/>
        </w:rPr>
        <w:t>resto</w:t>
      </w:r>
      <w:r>
        <w:rPr>
          <w:i/>
          <w:spacing w:val="-6"/>
          <w:sz w:val="16"/>
        </w:rPr>
        <w:t> </w:t>
      </w:r>
      <w:r>
        <w:rPr>
          <w:i/>
          <w:sz w:val="16"/>
        </w:rPr>
        <w:t>de</w:t>
      </w:r>
      <w:r>
        <w:rPr>
          <w:i/>
          <w:spacing w:val="-6"/>
          <w:sz w:val="16"/>
        </w:rPr>
        <w:t> </w:t>
      </w:r>
      <w:r>
        <w:rPr>
          <w:i/>
          <w:sz w:val="16"/>
        </w:rPr>
        <w:t>los</w:t>
      </w:r>
      <w:r>
        <w:rPr>
          <w:i/>
          <w:spacing w:val="-6"/>
          <w:sz w:val="16"/>
        </w:rPr>
        <w:t> </w:t>
      </w:r>
      <w:r>
        <w:rPr>
          <w:i/>
          <w:sz w:val="16"/>
        </w:rPr>
        <w:t>Estados</w:t>
      </w:r>
      <w:r>
        <w:rPr>
          <w:i/>
          <w:spacing w:val="-6"/>
          <w:sz w:val="16"/>
        </w:rPr>
        <w:t> </w:t>
      </w:r>
      <w:r>
        <w:rPr>
          <w:i/>
          <w:sz w:val="16"/>
        </w:rPr>
        <w:t>Partes,</w:t>
      </w:r>
      <w:r>
        <w:rPr>
          <w:i/>
          <w:spacing w:val="-6"/>
          <w:sz w:val="16"/>
        </w:rPr>
        <w:t> </w:t>
      </w:r>
      <w:r>
        <w:rPr>
          <w:i/>
          <w:sz w:val="16"/>
        </w:rPr>
        <w:t>entrarán</w:t>
      </w:r>
      <w:r>
        <w:rPr>
          <w:i/>
          <w:spacing w:val="-6"/>
          <w:sz w:val="16"/>
        </w:rPr>
        <w:t> </w:t>
      </w:r>
      <w:r>
        <w:rPr>
          <w:i/>
          <w:sz w:val="16"/>
        </w:rPr>
        <w:t>en</w:t>
      </w:r>
      <w:r>
        <w:rPr>
          <w:i/>
          <w:spacing w:val="-6"/>
          <w:sz w:val="16"/>
        </w:rPr>
        <w:t> </w:t>
      </w:r>
      <w:r>
        <w:rPr>
          <w:i/>
          <w:sz w:val="16"/>
        </w:rPr>
        <w:t>vigor</w:t>
      </w:r>
      <w:r>
        <w:rPr>
          <w:i/>
          <w:spacing w:val="-7"/>
          <w:sz w:val="16"/>
        </w:rPr>
        <w:t> </w:t>
      </w:r>
      <w:r>
        <w:rPr>
          <w:i/>
          <w:sz w:val="16"/>
        </w:rPr>
        <w:t>en</w:t>
      </w:r>
      <w:r>
        <w:rPr>
          <w:i/>
          <w:spacing w:val="-6"/>
          <w:sz w:val="16"/>
        </w:rPr>
        <w:t> </w:t>
      </w:r>
      <w:r>
        <w:rPr>
          <w:i/>
          <w:sz w:val="16"/>
        </w:rPr>
        <w:t>la</w:t>
      </w:r>
      <w:r>
        <w:rPr>
          <w:i/>
          <w:spacing w:val="-7"/>
          <w:sz w:val="16"/>
        </w:rPr>
        <w:t> </w:t>
      </w:r>
      <w:r>
        <w:rPr>
          <w:i/>
          <w:sz w:val="16"/>
        </w:rPr>
        <w:t>fecha</w:t>
      </w:r>
      <w:r>
        <w:rPr>
          <w:i/>
          <w:spacing w:val="-6"/>
          <w:sz w:val="16"/>
        </w:rPr>
        <w:t> </w:t>
      </w:r>
      <w:r>
        <w:rPr>
          <w:i/>
          <w:sz w:val="16"/>
        </w:rPr>
        <w:t>en que depositen sus respectivos instrumentos de</w:t>
      </w:r>
      <w:r>
        <w:rPr>
          <w:i/>
          <w:spacing w:val="-15"/>
          <w:sz w:val="16"/>
        </w:rPr>
        <w:t> </w:t>
      </w:r>
      <w:r>
        <w:rPr>
          <w:i/>
          <w:sz w:val="16"/>
        </w:rPr>
        <w:t>ratificación.”</w:t>
      </w:r>
    </w:p>
    <w:p>
      <w:pPr>
        <w:spacing w:before="0"/>
        <w:ind w:left="681" w:right="122" w:firstLine="0"/>
        <w:jc w:val="both"/>
        <w:rPr>
          <w:i/>
          <w:sz w:val="16"/>
        </w:rPr>
      </w:pPr>
      <w:r>
        <w:rPr>
          <w:sz w:val="16"/>
        </w:rPr>
        <w:t>Art. 77: </w:t>
      </w:r>
      <w:r>
        <w:rPr>
          <w:i/>
          <w:sz w:val="16"/>
        </w:rPr>
        <w:t>“1. De acuerdo con la facultad establecida en el artículo 31, cualquier Estado parte y la Comisión </w:t>
      </w:r>
      <w:r>
        <w:rPr>
          <w:i/>
          <w:sz w:val="16"/>
        </w:rPr>
        <w:t>podrán someter a la consideración de los Estados Partes reunidos con ocasión de la Asamblea General, proyectos de protocolos adicionales a esta Convención, con la finalidad de incluir progresivamente en el régimen de protección de la misma otros derechos y libertades.</w:t>
      </w:r>
    </w:p>
    <w:p>
      <w:pPr>
        <w:spacing w:before="0"/>
        <w:ind w:left="738" w:right="0" w:firstLine="0"/>
        <w:jc w:val="both"/>
        <w:rPr>
          <w:i/>
          <w:sz w:val="16"/>
        </w:rPr>
      </w:pPr>
      <w:r>
        <w:rPr>
          <w:i/>
          <w:sz w:val="16"/>
        </w:rPr>
        <w:t>2. Cada protocolo debe fijar las modalidades de su entrada en vigor, y se aplicará sólo entre los Estados</w:t>
      </w:r>
    </w:p>
    <w:p>
      <w:pPr>
        <w:spacing w:before="0"/>
        <w:ind w:left="681" w:right="0" w:firstLine="0"/>
        <w:jc w:val="both"/>
        <w:rPr>
          <w:i/>
          <w:sz w:val="16"/>
        </w:rPr>
      </w:pPr>
      <w:r>
        <w:rPr>
          <w:i/>
          <w:sz w:val="16"/>
        </w:rPr>
        <w:t>Partes en el mismo.”</w:t>
      </w:r>
    </w:p>
    <w:p>
      <w:pPr>
        <w:spacing w:after="0"/>
        <w:jc w:val="both"/>
        <w:rPr>
          <w:sz w:val="16"/>
        </w:rPr>
        <w:sectPr>
          <w:pgSz w:w="12240" w:h="15840"/>
          <w:pgMar w:header="0" w:footer="1000" w:top="1220" w:bottom="1200" w:left="1020" w:right="1580"/>
        </w:sectPr>
      </w:pPr>
    </w:p>
    <w:p>
      <w:pPr>
        <w:pStyle w:val="ListParagraph"/>
        <w:numPr>
          <w:ilvl w:val="0"/>
          <w:numId w:val="59"/>
        </w:numPr>
        <w:tabs>
          <w:tab w:pos="1250" w:val="left" w:leader="none"/>
        </w:tabs>
        <w:spacing w:line="240" w:lineRule="auto" w:before="83" w:after="0"/>
        <w:ind w:left="681" w:right="115" w:firstLine="0"/>
        <w:jc w:val="both"/>
        <w:rPr>
          <w:sz w:val="20"/>
        </w:rPr>
      </w:pPr>
      <w:r>
        <w:rPr>
          <w:sz w:val="20"/>
        </w:rPr>
        <w:t>A todo lo expuesto precedentemente, habría que añadir un cierto matiz a lo expresado en fallo aludido en la Sentencia, en cuanto a que los tratados de derechos humanos “no son tratados multilaterales del tipo tradicional, concluidos en función de un intercambio recíproco de derechos, para el beneficio de las partes contratantes, sino que su objeto y fin son la protección de los derechos humanos tanto frente al Estado como frente a otros Estados”</w:t>
      </w:r>
      <w:r>
        <w:rPr>
          <w:position w:val="7"/>
          <w:sz w:val="13"/>
        </w:rPr>
        <w:t>85</w:t>
      </w:r>
      <w:r>
        <w:rPr>
          <w:sz w:val="20"/>
        </w:rPr>
        <w:t>. En efecto, es necesario matizar esa afirmación, en el sentido, primero, de que hay también tratados multilaterales que no se suscriben en función de intercambios recíprocos, sino en vista de establecer normas de derecho válidas para todos sus Estados Partes, como ocurre, por ejemplo, con la Carta de la Organización de las Naciones Unidas o con la Carta de la OEA y, ciertamente, con la Convención. En segundo lugar, porque hay tratados multilaterales que le conceden al individuo cierta subjetividad jurídica internacional, como acontece con los Tratados de Protección y Promoción de Inversiones, con el Tratado de Roma y, evidentemente, con la Convención. De manera, por lo tanto, que no es precisamente el objeto y fin lo que distingue a esta última, sino la circunstancia de que le concede al ser humano la subjetividad jurídica internacional consistente en presentar ante la Comisión denuncias en contra de Estados Partes de ella, aunque, en el evento de que el correspondiente caso sea llevado ante la Corte, la representación del peticionario es asumida por la misma Comisión, en representación de los Estados de la OEA</w:t>
      </w:r>
      <w:r>
        <w:rPr>
          <w:position w:val="7"/>
          <w:sz w:val="13"/>
        </w:rPr>
        <w:t>86</w:t>
      </w:r>
      <w:r>
        <w:rPr>
          <w:sz w:val="20"/>
        </w:rPr>
        <w:t>. La peculiaridad de la Convención no es, en consecuencia, fundamentalmente el objeto y fin de proteger los derechos humanos, cuanto proporcionar una garantía para las presuntas víctimas de violaciones de éstos de que las obligaciones que sus Estados Partes contraen, lo son en virtud</w:t>
      </w:r>
      <w:r>
        <w:rPr>
          <w:spacing w:val="-8"/>
          <w:sz w:val="20"/>
        </w:rPr>
        <w:t> </w:t>
      </w:r>
      <w:r>
        <w:rPr>
          <w:sz w:val="20"/>
        </w:rPr>
        <w:t>de</w:t>
      </w:r>
      <w:r>
        <w:rPr>
          <w:spacing w:val="-9"/>
          <w:sz w:val="20"/>
        </w:rPr>
        <w:t> </w:t>
      </w:r>
      <w:r>
        <w:rPr>
          <w:sz w:val="20"/>
        </w:rPr>
        <w:t>normas</w:t>
      </w:r>
      <w:r>
        <w:rPr>
          <w:spacing w:val="-7"/>
          <w:sz w:val="20"/>
        </w:rPr>
        <w:t> </w:t>
      </w:r>
      <w:r>
        <w:rPr>
          <w:sz w:val="20"/>
        </w:rPr>
        <w:t>válidas</w:t>
      </w:r>
      <w:r>
        <w:rPr>
          <w:spacing w:val="-7"/>
          <w:sz w:val="20"/>
        </w:rPr>
        <w:t> </w:t>
      </w:r>
      <w:r>
        <w:rPr>
          <w:sz w:val="20"/>
        </w:rPr>
        <w:t>para</w:t>
      </w:r>
      <w:r>
        <w:rPr>
          <w:spacing w:val="-8"/>
          <w:sz w:val="20"/>
        </w:rPr>
        <w:t> </w:t>
      </w:r>
      <w:r>
        <w:rPr>
          <w:sz w:val="20"/>
        </w:rPr>
        <w:t>todos</w:t>
      </w:r>
      <w:r>
        <w:rPr>
          <w:spacing w:val="-7"/>
          <w:sz w:val="20"/>
        </w:rPr>
        <w:t> </w:t>
      </w:r>
      <w:r>
        <w:rPr>
          <w:sz w:val="20"/>
        </w:rPr>
        <w:t>y,</w:t>
      </w:r>
      <w:r>
        <w:rPr>
          <w:spacing w:val="-8"/>
          <w:sz w:val="20"/>
        </w:rPr>
        <w:t> </w:t>
      </w:r>
      <w:r>
        <w:rPr>
          <w:sz w:val="20"/>
        </w:rPr>
        <w:t>por</w:t>
      </w:r>
      <w:r>
        <w:rPr>
          <w:spacing w:val="-9"/>
          <w:sz w:val="20"/>
        </w:rPr>
        <w:t> </w:t>
      </w:r>
      <w:r>
        <w:rPr>
          <w:sz w:val="20"/>
        </w:rPr>
        <w:t>ende,</w:t>
      </w:r>
      <w:r>
        <w:rPr>
          <w:spacing w:val="-7"/>
          <w:sz w:val="20"/>
        </w:rPr>
        <w:t> </w:t>
      </w:r>
      <w:r>
        <w:rPr>
          <w:sz w:val="20"/>
        </w:rPr>
        <w:t>que</w:t>
      </w:r>
      <w:r>
        <w:rPr>
          <w:spacing w:val="-8"/>
          <w:sz w:val="20"/>
        </w:rPr>
        <w:t> </w:t>
      </w:r>
      <w:r>
        <w:rPr>
          <w:sz w:val="20"/>
        </w:rPr>
        <w:t>en</w:t>
      </w:r>
      <w:r>
        <w:rPr>
          <w:spacing w:val="-8"/>
          <w:sz w:val="20"/>
        </w:rPr>
        <w:t> </w:t>
      </w:r>
      <w:r>
        <w:rPr>
          <w:sz w:val="20"/>
        </w:rPr>
        <w:t>el</w:t>
      </w:r>
      <w:r>
        <w:rPr>
          <w:spacing w:val="-8"/>
          <w:sz w:val="20"/>
        </w:rPr>
        <w:t> </w:t>
      </w:r>
      <w:r>
        <w:rPr>
          <w:sz w:val="20"/>
        </w:rPr>
        <w:t>evento</w:t>
      </w:r>
      <w:r>
        <w:rPr>
          <w:spacing w:val="-7"/>
          <w:sz w:val="20"/>
        </w:rPr>
        <w:t> </w:t>
      </w:r>
      <w:r>
        <w:rPr>
          <w:sz w:val="20"/>
        </w:rPr>
        <w:t>de</w:t>
      </w:r>
      <w:r>
        <w:rPr>
          <w:spacing w:val="-7"/>
          <w:sz w:val="20"/>
        </w:rPr>
        <w:t> </w:t>
      </w:r>
      <w:r>
        <w:rPr>
          <w:sz w:val="20"/>
        </w:rPr>
        <w:t>incumplimiento</w:t>
      </w:r>
      <w:r>
        <w:rPr>
          <w:spacing w:val="-8"/>
          <w:sz w:val="20"/>
        </w:rPr>
        <w:t> </w:t>
      </w:r>
      <w:r>
        <w:rPr>
          <w:sz w:val="20"/>
        </w:rPr>
        <w:t>de alguna de ellas por parte de uno de ellos, su cumplimiento es exigible por todos los demás. Si así no fuese, la asimetría o desequilibrio entre, por una parte, el Estado denunciado y por la otra, las presuntas víctimas, sería enorme e imposible de</w:t>
      </w:r>
      <w:r>
        <w:rPr>
          <w:spacing w:val="-15"/>
          <w:sz w:val="20"/>
        </w:rPr>
        <w:t> </w:t>
      </w:r>
      <w:r>
        <w:rPr>
          <w:sz w:val="20"/>
        </w:rPr>
        <w:t>superar.</w:t>
      </w:r>
    </w:p>
    <w:p>
      <w:pPr>
        <w:pStyle w:val="BodyText"/>
        <w:spacing w:before="11"/>
        <w:rPr>
          <w:sz w:val="19"/>
        </w:rPr>
      </w:pPr>
    </w:p>
    <w:p>
      <w:pPr>
        <w:pStyle w:val="ListParagraph"/>
        <w:numPr>
          <w:ilvl w:val="0"/>
          <w:numId w:val="59"/>
        </w:numPr>
        <w:tabs>
          <w:tab w:pos="1390" w:val="left" w:leader="none"/>
        </w:tabs>
        <w:spacing w:line="240" w:lineRule="auto" w:before="0" w:after="0"/>
        <w:ind w:left="681" w:right="116" w:firstLine="0"/>
        <w:jc w:val="both"/>
        <w:rPr>
          <w:sz w:val="20"/>
        </w:rPr>
      </w:pPr>
      <w:r>
        <w:rPr>
          <w:sz w:val="20"/>
        </w:rPr>
        <w:t>En definitiva, pues, la aplicación del método funcional o teleológico de interpretación</w:t>
      </w:r>
      <w:r>
        <w:rPr>
          <w:spacing w:val="-13"/>
          <w:sz w:val="20"/>
        </w:rPr>
        <w:t> </w:t>
      </w:r>
      <w:r>
        <w:rPr>
          <w:sz w:val="20"/>
        </w:rPr>
        <w:t>de</w:t>
      </w:r>
      <w:r>
        <w:rPr>
          <w:spacing w:val="-14"/>
          <w:sz w:val="20"/>
        </w:rPr>
        <w:t> </w:t>
      </w:r>
      <w:r>
        <w:rPr>
          <w:sz w:val="20"/>
        </w:rPr>
        <w:t>tratados</w:t>
      </w:r>
      <w:r>
        <w:rPr>
          <w:spacing w:val="-13"/>
          <w:sz w:val="20"/>
        </w:rPr>
        <w:t> </w:t>
      </w:r>
      <w:r>
        <w:rPr>
          <w:sz w:val="20"/>
        </w:rPr>
        <w:t>respecto</w:t>
      </w:r>
      <w:r>
        <w:rPr>
          <w:spacing w:val="-15"/>
          <w:sz w:val="20"/>
        </w:rPr>
        <w:t> </w:t>
      </w:r>
      <w:r>
        <w:rPr>
          <w:sz w:val="20"/>
        </w:rPr>
        <w:t>del</w:t>
      </w:r>
      <w:r>
        <w:rPr>
          <w:spacing w:val="-12"/>
          <w:sz w:val="20"/>
        </w:rPr>
        <w:t> </w:t>
      </w:r>
      <w:r>
        <w:rPr>
          <w:sz w:val="20"/>
        </w:rPr>
        <w:t>artículo</w:t>
      </w:r>
      <w:r>
        <w:rPr>
          <w:spacing w:val="-15"/>
          <w:sz w:val="20"/>
        </w:rPr>
        <w:t> </w:t>
      </w:r>
      <w:r>
        <w:rPr>
          <w:sz w:val="20"/>
        </w:rPr>
        <w:t>26</w:t>
      </w:r>
      <w:r>
        <w:rPr>
          <w:spacing w:val="-13"/>
          <w:sz w:val="20"/>
        </w:rPr>
        <w:t> </w:t>
      </w:r>
      <w:r>
        <w:rPr>
          <w:sz w:val="20"/>
        </w:rPr>
        <w:t>de</w:t>
      </w:r>
      <w:r>
        <w:rPr>
          <w:spacing w:val="-12"/>
          <w:sz w:val="20"/>
        </w:rPr>
        <w:t> </w:t>
      </w:r>
      <w:r>
        <w:rPr>
          <w:sz w:val="20"/>
        </w:rPr>
        <w:t>la</w:t>
      </w:r>
      <w:r>
        <w:rPr>
          <w:spacing w:val="-15"/>
          <w:sz w:val="20"/>
        </w:rPr>
        <w:t> </w:t>
      </w:r>
      <w:r>
        <w:rPr>
          <w:sz w:val="20"/>
        </w:rPr>
        <w:t>Convención,</w:t>
      </w:r>
      <w:r>
        <w:rPr>
          <w:spacing w:val="-14"/>
          <w:sz w:val="20"/>
        </w:rPr>
        <w:t> </w:t>
      </w:r>
      <w:r>
        <w:rPr>
          <w:sz w:val="20"/>
        </w:rPr>
        <w:t>conduce</w:t>
      </w:r>
      <w:r>
        <w:rPr>
          <w:spacing w:val="-12"/>
          <w:sz w:val="20"/>
        </w:rPr>
        <w:t> </w:t>
      </w:r>
      <w:r>
        <w:rPr>
          <w:sz w:val="20"/>
        </w:rPr>
        <w:t>a</w:t>
      </w:r>
      <w:r>
        <w:rPr>
          <w:spacing w:val="-13"/>
          <w:sz w:val="20"/>
        </w:rPr>
        <w:t> </w:t>
      </w:r>
      <w:r>
        <w:rPr>
          <w:sz w:val="20"/>
        </w:rPr>
        <w:t>la</w:t>
      </w:r>
      <w:r>
        <w:rPr>
          <w:spacing w:val="-15"/>
          <w:sz w:val="20"/>
        </w:rPr>
        <w:t> </w:t>
      </w:r>
      <w:r>
        <w:rPr>
          <w:sz w:val="20"/>
        </w:rPr>
        <w:t>misma conclusión a que se llega con la utilización de los demás métodos de interpretación de tratados, es decir, que dicha disposición no tiene por finalidad establecer derecho humano</w:t>
      </w:r>
      <w:r>
        <w:rPr>
          <w:spacing w:val="-9"/>
          <w:sz w:val="20"/>
        </w:rPr>
        <w:t> </w:t>
      </w:r>
      <w:r>
        <w:rPr>
          <w:sz w:val="20"/>
        </w:rPr>
        <w:t>alguno,</w:t>
      </w:r>
      <w:r>
        <w:rPr>
          <w:spacing w:val="-10"/>
          <w:sz w:val="20"/>
        </w:rPr>
        <w:t> </w:t>
      </w:r>
      <w:r>
        <w:rPr>
          <w:sz w:val="20"/>
        </w:rPr>
        <w:t>sino</w:t>
      </w:r>
      <w:r>
        <w:rPr>
          <w:spacing w:val="-11"/>
          <w:sz w:val="20"/>
        </w:rPr>
        <w:t> </w:t>
      </w:r>
      <w:r>
        <w:rPr>
          <w:sz w:val="20"/>
        </w:rPr>
        <w:t>únicamente</w:t>
      </w:r>
      <w:r>
        <w:rPr>
          <w:spacing w:val="-9"/>
          <w:sz w:val="20"/>
        </w:rPr>
        <w:t> </w:t>
      </w:r>
      <w:r>
        <w:rPr>
          <w:sz w:val="20"/>
        </w:rPr>
        <w:t>consagrar</w:t>
      </w:r>
      <w:r>
        <w:rPr>
          <w:spacing w:val="-9"/>
          <w:sz w:val="20"/>
        </w:rPr>
        <w:t> </w:t>
      </w:r>
      <w:r>
        <w:rPr>
          <w:sz w:val="20"/>
        </w:rPr>
        <w:t>el</w:t>
      </w:r>
      <w:r>
        <w:rPr>
          <w:spacing w:val="-10"/>
          <w:sz w:val="20"/>
        </w:rPr>
        <w:t> </w:t>
      </w:r>
      <w:r>
        <w:rPr>
          <w:sz w:val="20"/>
        </w:rPr>
        <w:t>deber</w:t>
      </w:r>
      <w:r>
        <w:rPr>
          <w:spacing w:val="-8"/>
          <w:sz w:val="20"/>
        </w:rPr>
        <w:t> </w:t>
      </w:r>
      <w:r>
        <w:rPr>
          <w:sz w:val="20"/>
        </w:rPr>
        <w:t>de</w:t>
      </w:r>
      <w:r>
        <w:rPr>
          <w:spacing w:val="-9"/>
          <w:sz w:val="20"/>
        </w:rPr>
        <w:t> </w:t>
      </w:r>
      <w:r>
        <w:rPr>
          <w:sz w:val="20"/>
        </w:rPr>
        <w:t>los</w:t>
      </w:r>
      <w:r>
        <w:rPr>
          <w:spacing w:val="-10"/>
          <w:sz w:val="20"/>
        </w:rPr>
        <w:t> </w:t>
      </w:r>
      <w:r>
        <w:rPr>
          <w:sz w:val="20"/>
        </w:rPr>
        <w:t>Estados</w:t>
      </w:r>
      <w:r>
        <w:rPr>
          <w:spacing w:val="-9"/>
          <w:sz w:val="20"/>
        </w:rPr>
        <w:t> </w:t>
      </w:r>
      <w:r>
        <w:rPr>
          <w:sz w:val="20"/>
        </w:rPr>
        <w:t>Partes</w:t>
      </w:r>
      <w:r>
        <w:rPr>
          <w:spacing w:val="-9"/>
          <w:sz w:val="20"/>
        </w:rPr>
        <w:t> </w:t>
      </w:r>
      <w:r>
        <w:rPr>
          <w:sz w:val="20"/>
        </w:rPr>
        <w:t>de</w:t>
      </w:r>
      <w:r>
        <w:rPr>
          <w:spacing w:val="-9"/>
          <w:sz w:val="20"/>
        </w:rPr>
        <w:t> </w:t>
      </w:r>
      <w:r>
        <w:rPr>
          <w:sz w:val="20"/>
        </w:rPr>
        <w:t>aquella</w:t>
      </w:r>
      <w:r>
        <w:rPr>
          <w:spacing w:val="-10"/>
          <w:sz w:val="20"/>
        </w:rPr>
        <w:t> </w:t>
      </w:r>
      <w:r>
        <w:rPr>
          <w:sz w:val="20"/>
        </w:rPr>
        <w:t>de adoptar</w:t>
      </w:r>
      <w:r>
        <w:rPr>
          <w:spacing w:val="-13"/>
          <w:sz w:val="20"/>
        </w:rPr>
        <w:t> </w:t>
      </w:r>
      <w:r>
        <w:rPr>
          <w:sz w:val="20"/>
        </w:rPr>
        <w:t>medidas</w:t>
      </w:r>
      <w:r>
        <w:rPr>
          <w:spacing w:val="-14"/>
          <w:sz w:val="20"/>
        </w:rPr>
        <w:t> </w:t>
      </w:r>
      <w:r>
        <w:rPr>
          <w:sz w:val="20"/>
        </w:rPr>
        <w:t>para</w:t>
      </w:r>
      <w:r>
        <w:rPr>
          <w:spacing w:val="-14"/>
          <w:sz w:val="20"/>
        </w:rPr>
        <w:t> </w:t>
      </w:r>
      <w:r>
        <w:rPr>
          <w:sz w:val="20"/>
        </w:rPr>
        <w:t>hacer</w:t>
      </w:r>
      <w:r>
        <w:rPr>
          <w:spacing w:val="-14"/>
          <w:sz w:val="20"/>
        </w:rPr>
        <w:t> </w:t>
      </w:r>
      <w:r>
        <w:rPr>
          <w:sz w:val="20"/>
        </w:rPr>
        <w:t>efectivos</w:t>
      </w:r>
      <w:r>
        <w:rPr>
          <w:spacing w:val="-13"/>
          <w:sz w:val="20"/>
        </w:rPr>
        <w:t> </w:t>
      </w:r>
      <w:r>
        <w:rPr>
          <w:sz w:val="20"/>
        </w:rPr>
        <w:t>los</w:t>
      </w:r>
      <w:r>
        <w:rPr>
          <w:spacing w:val="-14"/>
          <w:sz w:val="20"/>
        </w:rPr>
        <w:t> </w:t>
      </w:r>
      <w:r>
        <w:rPr>
          <w:sz w:val="20"/>
        </w:rPr>
        <w:t>derechos</w:t>
      </w:r>
      <w:r>
        <w:rPr>
          <w:spacing w:val="-14"/>
          <w:sz w:val="20"/>
        </w:rPr>
        <w:t> </w:t>
      </w:r>
      <w:r>
        <w:rPr>
          <w:sz w:val="20"/>
        </w:rPr>
        <w:t>económicos,</w:t>
      </w:r>
      <w:r>
        <w:rPr>
          <w:spacing w:val="-14"/>
          <w:sz w:val="20"/>
        </w:rPr>
        <w:t> </w:t>
      </w:r>
      <w:r>
        <w:rPr>
          <w:sz w:val="20"/>
        </w:rPr>
        <w:t>sociales</w:t>
      </w:r>
      <w:r>
        <w:rPr>
          <w:spacing w:val="-13"/>
          <w:sz w:val="20"/>
        </w:rPr>
        <w:t> </w:t>
      </w:r>
      <w:r>
        <w:rPr>
          <w:sz w:val="20"/>
        </w:rPr>
        <w:t>y</w:t>
      </w:r>
      <w:r>
        <w:rPr>
          <w:spacing w:val="-14"/>
          <w:sz w:val="20"/>
        </w:rPr>
        <w:t> </w:t>
      </w:r>
      <w:r>
        <w:rPr>
          <w:sz w:val="20"/>
        </w:rPr>
        <w:t>culturales</w:t>
      </w:r>
      <w:r>
        <w:rPr>
          <w:spacing w:val="-13"/>
          <w:sz w:val="20"/>
        </w:rPr>
        <w:t> </w:t>
      </w:r>
      <w:r>
        <w:rPr>
          <w:sz w:val="20"/>
        </w:rPr>
        <w:t>que se “derivan” de la Carta de la</w:t>
      </w:r>
      <w:r>
        <w:rPr>
          <w:spacing w:val="-14"/>
          <w:sz w:val="20"/>
        </w:rPr>
        <w:t> </w:t>
      </w:r>
      <w:r>
        <w:rPr>
          <w:sz w:val="20"/>
        </w:rPr>
        <w:t>OEA.</w:t>
      </w:r>
    </w:p>
    <w:p>
      <w:pPr>
        <w:pStyle w:val="BodyText"/>
        <w:spacing w:before="11"/>
        <w:rPr>
          <w:sz w:val="19"/>
        </w:rPr>
      </w:pPr>
    </w:p>
    <w:p>
      <w:pPr>
        <w:pStyle w:val="Heading3"/>
        <w:numPr>
          <w:ilvl w:val="1"/>
          <w:numId w:val="44"/>
        </w:numPr>
        <w:tabs>
          <w:tab w:pos="1610" w:val="left" w:leader="none"/>
        </w:tabs>
        <w:spacing w:line="240" w:lineRule="auto" w:before="0" w:after="0"/>
        <w:ind w:left="1609" w:right="0" w:hanging="360"/>
        <w:jc w:val="left"/>
      </w:pPr>
      <w:r>
        <w:rPr/>
        <w:t>Medios</w:t>
      </w:r>
      <w:r>
        <w:rPr>
          <w:spacing w:val="-8"/>
        </w:rPr>
        <w:t> </w:t>
      </w:r>
      <w:r>
        <w:rPr/>
        <w:t>Complementarios.</w:t>
      </w:r>
    </w:p>
    <w:p>
      <w:pPr>
        <w:pStyle w:val="BodyText"/>
        <w:spacing w:before="11"/>
        <w:rPr>
          <w:b/>
          <w:sz w:val="19"/>
        </w:rPr>
      </w:pPr>
    </w:p>
    <w:p>
      <w:pPr>
        <w:pStyle w:val="ListParagraph"/>
        <w:numPr>
          <w:ilvl w:val="0"/>
          <w:numId w:val="59"/>
        </w:numPr>
        <w:tabs>
          <w:tab w:pos="1390" w:val="left" w:leader="none"/>
        </w:tabs>
        <w:spacing w:line="240" w:lineRule="auto" w:before="0" w:after="0"/>
        <w:ind w:left="681" w:right="119" w:firstLine="0"/>
        <w:jc w:val="both"/>
        <w:rPr>
          <w:sz w:val="20"/>
        </w:rPr>
      </w:pPr>
      <w:r>
        <w:rPr>
          <w:sz w:val="20"/>
        </w:rPr>
        <w:t>En lo concerniente a los medios complementarios de interpretación de tratados, es de destacar que, en la Conferencia Especializada Interamericana sobre Derechos Humanos de 1969, en la que se acordó el texto definitivo de la Convención, se propusieron en esta materia, dos artículos. Uno fue el 26 en los términos que actualmente figura en la Convención. Dicho artículo fue</w:t>
      </w:r>
      <w:r>
        <w:rPr>
          <w:spacing w:val="-15"/>
          <w:sz w:val="20"/>
        </w:rPr>
        <w:t> </w:t>
      </w:r>
      <w:r>
        <w:rPr>
          <w:sz w:val="20"/>
        </w:rPr>
        <w:t>aprobado</w:t>
      </w:r>
      <w:r>
        <w:rPr>
          <w:position w:val="7"/>
          <w:sz w:val="13"/>
        </w:rPr>
        <w:t>87</w:t>
      </w:r>
      <w:r>
        <w:rPr>
          <w:sz w:val="20"/>
        </w:rPr>
        <w:t>.</w:t>
      </w:r>
    </w:p>
    <w:p>
      <w:pPr>
        <w:pStyle w:val="BodyText"/>
        <w:spacing w:before="11"/>
        <w:rPr>
          <w:sz w:val="19"/>
        </w:rPr>
      </w:pPr>
    </w:p>
    <w:p>
      <w:pPr>
        <w:pStyle w:val="ListParagraph"/>
        <w:numPr>
          <w:ilvl w:val="0"/>
          <w:numId w:val="59"/>
        </w:numPr>
        <w:tabs>
          <w:tab w:pos="1390" w:val="left" w:leader="none"/>
        </w:tabs>
        <w:spacing w:line="240" w:lineRule="auto" w:before="0" w:after="0"/>
        <w:ind w:left="1390" w:right="0" w:hanging="709"/>
        <w:jc w:val="both"/>
        <w:rPr>
          <w:sz w:val="20"/>
        </w:rPr>
      </w:pPr>
      <w:r>
        <w:rPr>
          <w:sz w:val="20"/>
        </w:rPr>
        <w:t>El otro artículo propuesto, el 27,</w:t>
      </w:r>
      <w:r>
        <w:rPr>
          <w:spacing w:val="-7"/>
          <w:sz w:val="20"/>
        </w:rPr>
        <w:t> </w:t>
      </w:r>
      <w:r>
        <w:rPr>
          <w:sz w:val="20"/>
        </w:rPr>
        <w:t>expresaba:</w:t>
      </w:r>
    </w:p>
    <w:p>
      <w:pPr>
        <w:pStyle w:val="BodyText"/>
      </w:pPr>
    </w:p>
    <w:p>
      <w:pPr>
        <w:pStyle w:val="BodyText"/>
      </w:pPr>
    </w:p>
    <w:p>
      <w:pPr>
        <w:pStyle w:val="BodyText"/>
        <w:spacing w:before="5"/>
        <w:rPr>
          <w:sz w:val="22"/>
        </w:rPr>
      </w:pPr>
      <w:r>
        <w:rPr/>
        <w:pict>
          <v:line style="position:absolute;mso-position-horizontal-relative:page;mso-position-vertical-relative:paragraph;z-index:4240;mso-wrap-distance-left:0;mso-wrap-distance-right:0" from="56.700001pt,15.977496pt" to="200.720001pt,15.977496pt" stroked="true" strokeweight=".71997pt" strokecolor="#000000">
            <v:stroke dashstyle="solid"/>
            <w10:wrap type="topAndBottom"/>
          </v:line>
        </w:pict>
      </w:r>
    </w:p>
    <w:p>
      <w:pPr>
        <w:pStyle w:val="ListParagraph"/>
        <w:numPr>
          <w:ilvl w:val="0"/>
          <w:numId w:val="60"/>
        </w:numPr>
        <w:tabs>
          <w:tab w:pos="860" w:val="left" w:leader="none"/>
        </w:tabs>
        <w:spacing w:line="240" w:lineRule="auto" w:before="66" w:after="0"/>
        <w:ind w:left="681" w:right="0" w:firstLine="0"/>
        <w:jc w:val="left"/>
        <w:rPr>
          <w:sz w:val="16"/>
        </w:rPr>
      </w:pPr>
      <w:r>
        <w:rPr>
          <w:rFonts w:ascii="Calibri"/>
          <w:sz w:val="20"/>
        </w:rPr>
        <w:t>Parr. 77, </w:t>
      </w:r>
      <w:r>
        <w:rPr>
          <w:i/>
          <w:sz w:val="16"/>
        </w:rPr>
        <w:t>Caso Cuscul Pivaral y otros Vs. Guatemala</w:t>
      </w:r>
      <w:r>
        <w:rPr>
          <w:sz w:val="16"/>
        </w:rPr>
        <w:t>,</w:t>
      </w:r>
      <w:r>
        <w:rPr>
          <w:spacing w:val="-22"/>
          <w:sz w:val="16"/>
        </w:rPr>
        <w:t> </w:t>
      </w:r>
      <w:r>
        <w:rPr>
          <w:sz w:val="16"/>
        </w:rPr>
        <w:t>2018.</w:t>
      </w:r>
    </w:p>
    <w:p>
      <w:pPr>
        <w:pStyle w:val="BodyText"/>
        <w:spacing w:before="9"/>
        <w:rPr>
          <w:sz w:val="19"/>
        </w:rPr>
      </w:pPr>
    </w:p>
    <w:p>
      <w:pPr>
        <w:pStyle w:val="ListParagraph"/>
        <w:numPr>
          <w:ilvl w:val="0"/>
          <w:numId w:val="60"/>
        </w:numPr>
        <w:tabs>
          <w:tab w:pos="893" w:val="left" w:leader="none"/>
        </w:tabs>
        <w:spacing w:line="266" w:lineRule="auto" w:before="1" w:after="0"/>
        <w:ind w:left="681" w:right="124" w:firstLine="0"/>
        <w:jc w:val="left"/>
        <w:rPr>
          <w:sz w:val="16"/>
        </w:rPr>
      </w:pPr>
      <w:r>
        <w:rPr>
          <w:sz w:val="16"/>
        </w:rPr>
        <w:t>Art.125: </w:t>
      </w:r>
      <w:r>
        <w:rPr>
          <w:i/>
          <w:sz w:val="16"/>
        </w:rPr>
        <w:t>“La Comisión representa a todos los miembros que integran la Organización de los Estados </w:t>
      </w:r>
      <w:r>
        <w:rPr>
          <w:i/>
          <w:sz w:val="16"/>
        </w:rPr>
        <w:t>Americanos.</w:t>
      </w:r>
      <w:r>
        <w:rPr>
          <w:sz w:val="16"/>
        </w:rPr>
        <w:t>”</w:t>
      </w:r>
    </w:p>
    <w:p>
      <w:pPr>
        <w:spacing w:line="173" w:lineRule="exact" w:before="0"/>
        <w:ind w:left="681" w:right="0" w:firstLine="0"/>
        <w:jc w:val="left"/>
        <w:rPr>
          <w:sz w:val="16"/>
        </w:rPr>
      </w:pPr>
      <w:r>
        <w:rPr>
          <w:position w:val="6"/>
          <w:sz w:val="10"/>
        </w:rPr>
        <w:t>87  </w:t>
      </w:r>
      <w:r>
        <w:rPr>
          <w:sz w:val="16"/>
        </w:rPr>
        <w:t>Actas de la Conferencia Especializada Interamericana sobre Derechos Humanos, 7 a 22 de noviembre   de</w:t>
      </w:r>
    </w:p>
    <w:p>
      <w:pPr>
        <w:spacing w:before="0"/>
        <w:ind w:left="681" w:right="0" w:firstLine="0"/>
        <w:jc w:val="left"/>
        <w:rPr>
          <w:sz w:val="16"/>
        </w:rPr>
      </w:pPr>
      <w:r>
        <w:rPr>
          <w:sz w:val="16"/>
        </w:rPr>
        <w:t>1969, OEA/Ser.K/XVI/1.2, p. 318.</w:t>
      </w:r>
    </w:p>
    <w:p>
      <w:pPr>
        <w:spacing w:after="0"/>
        <w:jc w:val="left"/>
        <w:rPr>
          <w:sz w:val="16"/>
        </w:rPr>
        <w:sectPr>
          <w:pgSz w:w="12240" w:h="15840"/>
          <w:pgMar w:header="0" w:footer="1000" w:top="1220" w:bottom="1200" w:left="1020" w:right="1580"/>
        </w:sectPr>
      </w:pPr>
    </w:p>
    <w:p>
      <w:pPr>
        <w:spacing w:before="84"/>
        <w:ind w:left="1249" w:right="116" w:firstLine="0"/>
        <w:jc w:val="both"/>
        <w:rPr>
          <w:i/>
          <w:sz w:val="18"/>
        </w:rPr>
      </w:pPr>
      <w:r>
        <w:rPr>
          <w:sz w:val="18"/>
        </w:rPr>
        <w:t>“</w:t>
      </w:r>
      <w:r>
        <w:rPr>
          <w:i/>
          <w:sz w:val="18"/>
        </w:rPr>
        <w:t>Control del Cumplimiento de las Obligaciones. Los Estados Partes deben remitir a la </w:t>
      </w:r>
      <w:r>
        <w:rPr>
          <w:i/>
          <w:sz w:val="18"/>
        </w:rPr>
        <w:t>Comisión</w:t>
      </w:r>
      <w:r>
        <w:rPr>
          <w:i/>
          <w:spacing w:val="-11"/>
          <w:sz w:val="18"/>
        </w:rPr>
        <w:t> </w:t>
      </w:r>
      <w:r>
        <w:rPr>
          <w:i/>
          <w:sz w:val="18"/>
        </w:rPr>
        <w:t>Interamericana</w:t>
      </w:r>
      <w:r>
        <w:rPr>
          <w:i/>
          <w:spacing w:val="-11"/>
          <w:sz w:val="18"/>
        </w:rPr>
        <w:t> </w:t>
      </w:r>
      <w:r>
        <w:rPr>
          <w:i/>
          <w:sz w:val="18"/>
        </w:rPr>
        <w:t>de</w:t>
      </w:r>
      <w:r>
        <w:rPr>
          <w:i/>
          <w:spacing w:val="-12"/>
          <w:sz w:val="18"/>
        </w:rPr>
        <w:t> </w:t>
      </w:r>
      <w:r>
        <w:rPr>
          <w:i/>
          <w:sz w:val="18"/>
        </w:rPr>
        <w:t>Derechos</w:t>
      </w:r>
      <w:r>
        <w:rPr>
          <w:i/>
          <w:spacing w:val="-11"/>
          <w:sz w:val="18"/>
        </w:rPr>
        <w:t> </w:t>
      </w:r>
      <w:r>
        <w:rPr>
          <w:i/>
          <w:sz w:val="18"/>
        </w:rPr>
        <w:t>Humanos</w:t>
      </w:r>
      <w:r>
        <w:rPr>
          <w:i/>
          <w:spacing w:val="-12"/>
          <w:sz w:val="18"/>
        </w:rPr>
        <w:t> </w:t>
      </w:r>
      <w:r>
        <w:rPr>
          <w:i/>
          <w:sz w:val="18"/>
        </w:rPr>
        <w:t>copia</w:t>
      </w:r>
      <w:r>
        <w:rPr>
          <w:i/>
          <w:spacing w:val="-12"/>
          <w:sz w:val="18"/>
        </w:rPr>
        <w:t> </w:t>
      </w:r>
      <w:r>
        <w:rPr>
          <w:i/>
          <w:sz w:val="18"/>
        </w:rPr>
        <w:t>de</w:t>
      </w:r>
      <w:r>
        <w:rPr>
          <w:i/>
          <w:spacing w:val="-11"/>
          <w:sz w:val="18"/>
        </w:rPr>
        <w:t> </w:t>
      </w:r>
      <w:r>
        <w:rPr>
          <w:i/>
          <w:sz w:val="18"/>
        </w:rPr>
        <w:t>los</w:t>
      </w:r>
      <w:r>
        <w:rPr>
          <w:i/>
          <w:spacing w:val="-12"/>
          <w:sz w:val="18"/>
        </w:rPr>
        <w:t> </w:t>
      </w:r>
      <w:r>
        <w:rPr>
          <w:i/>
          <w:sz w:val="18"/>
        </w:rPr>
        <w:t>informes</w:t>
      </w:r>
      <w:r>
        <w:rPr>
          <w:i/>
          <w:spacing w:val="-12"/>
          <w:sz w:val="18"/>
        </w:rPr>
        <w:t> </w:t>
      </w:r>
      <w:r>
        <w:rPr>
          <w:i/>
          <w:sz w:val="18"/>
        </w:rPr>
        <w:t>y</w:t>
      </w:r>
      <w:r>
        <w:rPr>
          <w:i/>
          <w:spacing w:val="-11"/>
          <w:sz w:val="18"/>
        </w:rPr>
        <w:t> </w:t>
      </w:r>
      <w:r>
        <w:rPr>
          <w:i/>
          <w:sz w:val="18"/>
        </w:rPr>
        <w:t>estudios</w:t>
      </w:r>
      <w:r>
        <w:rPr>
          <w:i/>
          <w:spacing w:val="-12"/>
          <w:sz w:val="18"/>
        </w:rPr>
        <w:t> </w:t>
      </w:r>
      <w:r>
        <w:rPr>
          <w:i/>
          <w:sz w:val="18"/>
        </w:rPr>
        <w:t>que</w:t>
      </w:r>
      <w:r>
        <w:rPr>
          <w:i/>
          <w:spacing w:val="-11"/>
          <w:sz w:val="18"/>
        </w:rPr>
        <w:t> </w:t>
      </w:r>
      <w:r>
        <w:rPr>
          <w:i/>
          <w:sz w:val="18"/>
        </w:rPr>
        <w:t>en</w:t>
      </w:r>
      <w:r>
        <w:rPr>
          <w:i/>
          <w:spacing w:val="-12"/>
          <w:sz w:val="18"/>
        </w:rPr>
        <w:t> </w:t>
      </w:r>
      <w:r>
        <w:rPr>
          <w:i/>
          <w:sz w:val="18"/>
        </w:rPr>
        <w:t>sus respectivos campos someten anualmente a las Comisiones Ejecutivas del Consejo Interamericano Económico y Social y del Consejo Interamericano para la Educación, la Ciencia y la Cultura, a fin de que aquélla verifique si se están cumpliendo las obligaciones antes determinadas, que son la sustentación indispensable para el ejercicio de los otros derechos consagrados en esta</w:t>
      </w:r>
      <w:r>
        <w:rPr>
          <w:i/>
          <w:spacing w:val="-12"/>
          <w:sz w:val="18"/>
        </w:rPr>
        <w:t> </w:t>
      </w:r>
      <w:r>
        <w:rPr>
          <w:i/>
          <w:sz w:val="18"/>
        </w:rPr>
        <w:t>Convención.”</w:t>
      </w:r>
    </w:p>
    <w:p>
      <w:pPr>
        <w:pStyle w:val="BodyText"/>
        <w:spacing w:before="12"/>
        <w:rPr>
          <w:i/>
          <w:sz w:val="19"/>
        </w:rPr>
      </w:pPr>
    </w:p>
    <w:p>
      <w:pPr>
        <w:pStyle w:val="ListParagraph"/>
        <w:numPr>
          <w:ilvl w:val="0"/>
          <w:numId w:val="59"/>
        </w:numPr>
        <w:tabs>
          <w:tab w:pos="1390" w:val="left" w:leader="none"/>
        </w:tabs>
        <w:spacing w:line="240" w:lineRule="auto" w:before="0" w:after="0"/>
        <w:ind w:left="681" w:right="117" w:firstLine="0"/>
        <w:jc w:val="both"/>
        <w:rPr>
          <w:sz w:val="20"/>
        </w:rPr>
      </w:pPr>
      <w:r>
        <w:rPr>
          <w:sz w:val="20"/>
        </w:rPr>
        <w:t>Nótese que el mencionado proyecto de artículo 27, que no fue aprobado</w:t>
      </w:r>
      <w:r>
        <w:rPr>
          <w:position w:val="7"/>
          <w:sz w:val="13"/>
        </w:rPr>
        <w:t>88</w:t>
      </w:r>
      <w:r>
        <w:rPr>
          <w:sz w:val="20"/>
        </w:rPr>
        <w:t>, se refería</w:t>
      </w:r>
      <w:r>
        <w:rPr>
          <w:spacing w:val="-4"/>
          <w:sz w:val="20"/>
        </w:rPr>
        <w:t> </w:t>
      </w:r>
      <w:r>
        <w:rPr>
          <w:sz w:val="20"/>
        </w:rPr>
        <w:t>a</w:t>
      </w:r>
      <w:r>
        <w:rPr>
          <w:spacing w:val="-6"/>
          <w:sz w:val="20"/>
        </w:rPr>
        <w:t> </w:t>
      </w:r>
      <w:r>
        <w:rPr>
          <w:sz w:val="20"/>
        </w:rPr>
        <w:t>“informes</w:t>
      </w:r>
      <w:r>
        <w:rPr>
          <w:spacing w:val="-4"/>
          <w:sz w:val="20"/>
        </w:rPr>
        <w:t> </w:t>
      </w:r>
      <w:r>
        <w:rPr>
          <w:sz w:val="20"/>
        </w:rPr>
        <w:t>y</w:t>
      </w:r>
      <w:r>
        <w:rPr>
          <w:spacing w:val="-4"/>
          <w:sz w:val="20"/>
        </w:rPr>
        <w:t> </w:t>
      </w:r>
      <w:r>
        <w:rPr>
          <w:sz w:val="20"/>
        </w:rPr>
        <w:t>estudios”</w:t>
      </w:r>
      <w:r>
        <w:rPr>
          <w:spacing w:val="-4"/>
          <w:sz w:val="20"/>
        </w:rPr>
        <w:t> </w:t>
      </w:r>
      <w:r>
        <w:rPr>
          <w:sz w:val="20"/>
        </w:rPr>
        <w:t>para</w:t>
      </w:r>
      <w:r>
        <w:rPr>
          <w:spacing w:val="-4"/>
          <w:sz w:val="20"/>
        </w:rPr>
        <w:t> </w:t>
      </w:r>
      <w:r>
        <w:rPr>
          <w:sz w:val="20"/>
        </w:rPr>
        <w:t>que</w:t>
      </w:r>
      <w:r>
        <w:rPr>
          <w:spacing w:val="-4"/>
          <w:sz w:val="20"/>
        </w:rPr>
        <w:t> </w:t>
      </w:r>
      <w:r>
        <w:rPr>
          <w:sz w:val="20"/>
        </w:rPr>
        <w:t>la</w:t>
      </w:r>
      <w:r>
        <w:rPr>
          <w:spacing w:val="-5"/>
          <w:sz w:val="20"/>
        </w:rPr>
        <w:t> </w:t>
      </w:r>
      <w:r>
        <w:rPr>
          <w:sz w:val="20"/>
        </w:rPr>
        <w:t>Comisión</w:t>
      </w:r>
      <w:r>
        <w:rPr>
          <w:spacing w:val="-5"/>
          <w:sz w:val="20"/>
        </w:rPr>
        <w:t> </w:t>
      </w:r>
      <w:r>
        <w:rPr>
          <w:sz w:val="20"/>
        </w:rPr>
        <w:t>verificara</w:t>
      </w:r>
      <w:r>
        <w:rPr>
          <w:spacing w:val="-4"/>
          <w:sz w:val="20"/>
        </w:rPr>
        <w:t> </w:t>
      </w:r>
      <w:r>
        <w:rPr>
          <w:sz w:val="20"/>
        </w:rPr>
        <w:t>si</w:t>
      </w:r>
      <w:r>
        <w:rPr>
          <w:spacing w:val="-4"/>
          <w:sz w:val="20"/>
        </w:rPr>
        <w:t> </w:t>
      </w:r>
      <w:r>
        <w:rPr>
          <w:sz w:val="20"/>
        </w:rPr>
        <w:t>se</w:t>
      </w:r>
      <w:r>
        <w:rPr>
          <w:spacing w:val="-5"/>
          <w:sz w:val="20"/>
        </w:rPr>
        <w:t> </w:t>
      </w:r>
      <w:r>
        <w:rPr>
          <w:sz w:val="20"/>
        </w:rPr>
        <w:t>estaban</w:t>
      </w:r>
      <w:r>
        <w:rPr>
          <w:spacing w:val="-3"/>
          <w:sz w:val="20"/>
        </w:rPr>
        <w:t> </w:t>
      </w:r>
      <w:r>
        <w:rPr>
          <w:sz w:val="20"/>
        </w:rPr>
        <w:t>cumpliendo las referidas obligaciones y distinguía, entonces, entre, por una parte, “las obligaciones antes determinadas”, obviamente en el artículo 26, es decir, las pertinentes a los derechos que “derivan de las normas económicas, sociales y sobre educación, ciencia y cultura,</w:t>
      </w:r>
      <w:r>
        <w:rPr>
          <w:spacing w:val="-12"/>
          <w:sz w:val="20"/>
        </w:rPr>
        <w:t> </w:t>
      </w:r>
      <w:r>
        <w:rPr>
          <w:sz w:val="20"/>
        </w:rPr>
        <w:t>contenidas</w:t>
      </w:r>
      <w:r>
        <w:rPr>
          <w:spacing w:val="-13"/>
          <w:sz w:val="20"/>
        </w:rPr>
        <w:t> </w:t>
      </w:r>
      <w:r>
        <w:rPr>
          <w:sz w:val="20"/>
        </w:rPr>
        <w:t>en</w:t>
      </w:r>
      <w:r>
        <w:rPr>
          <w:spacing w:val="-12"/>
          <w:sz w:val="20"/>
        </w:rPr>
        <w:t> </w:t>
      </w:r>
      <w:r>
        <w:rPr>
          <w:sz w:val="20"/>
        </w:rPr>
        <w:t>la</w:t>
      </w:r>
      <w:r>
        <w:rPr>
          <w:spacing w:val="-13"/>
          <w:sz w:val="20"/>
        </w:rPr>
        <w:t> </w:t>
      </w:r>
      <w:r>
        <w:rPr>
          <w:sz w:val="20"/>
        </w:rPr>
        <w:t>Carta</w:t>
      </w:r>
      <w:r>
        <w:rPr>
          <w:spacing w:val="-12"/>
          <w:sz w:val="20"/>
        </w:rPr>
        <w:t> </w:t>
      </w:r>
      <w:r>
        <w:rPr>
          <w:sz w:val="20"/>
        </w:rPr>
        <w:t>de</w:t>
      </w:r>
      <w:r>
        <w:rPr>
          <w:spacing w:val="-11"/>
          <w:sz w:val="20"/>
        </w:rPr>
        <w:t> </w:t>
      </w:r>
      <w:r>
        <w:rPr>
          <w:sz w:val="20"/>
        </w:rPr>
        <w:t>la</w:t>
      </w:r>
      <w:r>
        <w:rPr>
          <w:spacing w:val="-13"/>
          <w:sz w:val="20"/>
        </w:rPr>
        <w:t> </w:t>
      </w:r>
      <w:r>
        <w:rPr>
          <w:sz w:val="20"/>
        </w:rPr>
        <w:t>Organización</w:t>
      </w:r>
      <w:r>
        <w:rPr>
          <w:spacing w:val="-12"/>
          <w:sz w:val="20"/>
        </w:rPr>
        <w:t> </w:t>
      </w:r>
      <w:r>
        <w:rPr>
          <w:sz w:val="20"/>
        </w:rPr>
        <w:t>de</w:t>
      </w:r>
      <w:r>
        <w:rPr>
          <w:spacing w:val="-11"/>
          <w:sz w:val="20"/>
        </w:rPr>
        <w:t> </w:t>
      </w:r>
      <w:r>
        <w:rPr>
          <w:sz w:val="20"/>
        </w:rPr>
        <w:t>los</w:t>
      </w:r>
      <w:r>
        <w:rPr>
          <w:spacing w:val="-13"/>
          <w:sz w:val="20"/>
        </w:rPr>
        <w:t> </w:t>
      </w:r>
      <w:r>
        <w:rPr>
          <w:sz w:val="20"/>
        </w:rPr>
        <w:t>Estados</w:t>
      </w:r>
      <w:r>
        <w:rPr>
          <w:spacing w:val="-12"/>
          <w:sz w:val="20"/>
        </w:rPr>
        <w:t> </w:t>
      </w:r>
      <w:r>
        <w:rPr>
          <w:sz w:val="20"/>
        </w:rPr>
        <w:t>Americanos,</w:t>
      </w:r>
      <w:r>
        <w:rPr>
          <w:spacing w:val="-13"/>
          <w:sz w:val="20"/>
        </w:rPr>
        <w:t> </w:t>
      </w:r>
      <w:r>
        <w:rPr>
          <w:sz w:val="20"/>
        </w:rPr>
        <w:t>reformada por el Protocolo de Buenas Aires” y por la otra parte, “los otros derechos consagrados en esta Convención”, esto es, los “derechos civiles y</w:t>
      </w:r>
      <w:r>
        <w:rPr>
          <w:spacing w:val="-4"/>
          <w:sz w:val="20"/>
        </w:rPr>
        <w:t> </w:t>
      </w:r>
      <w:r>
        <w:rPr>
          <w:sz w:val="20"/>
        </w:rPr>
        <w:t>políticos”.</w:t>
      </w:r>
    </w:p>
    <w:p>
      <w:pPr>
        <w:pStyle w:val="BodyText"/>
        <w:spacing w:before="12"/>
        <w:rPr>
          <w:sz w:val="19"/>
        </w:rPr>
      </w:pPr>
    </w:p>
    <w:p>
      <w:pPr>
        <w:pStyle w:val="ListParagraph"/>
        <w:numPr>
          <w:ilvl w:val="0"/>
          <w:numId w:val="59"/>
        </w:numPr>
        <w:tabs>
          <w:tab w:pos="1390" w:val="left" w:leader="none"/>
        </w:tabs>
        <w:spacing w:line="240" w:lineRule="auto" w:before="0" w:after="0"/>
        <w:ind w:left="681" w:right="118" w:firstLine="0"/>
        <w:jc w:val="both"/>
        <w:rPr>
          <w:sz w:val="20"/>
        </w:rPr>
      </w:pPr>
      <w:r>
        <w:rPr>
          <w:sz w:val="20"/>
        </w:rPr>
        <w:t>De suerte que con la adopción del artículo 26, no se tuvo la intención de incorporar los derechos económicos, sociales y culturales en el régimen de protección previsto en la Convención. La única proposición que hubo al respecto fue que se sometiera</w:t>
      </w:r>
      <w:r>
        <w:rPr>
          <w:spacing w:val="-5"/>
          <w:sz w:val="20"/>
        </w:rPr>
        <w:t> </w:t>
      </w:r>
      <w:r>
        <w:rPr>
          <w:sz w:val="20"/>
        </w:rPr>
        <w:t>a</w:t>
      </w:r>
      <w:r>
        <w:rPr>
          <w:spacing w:val="-7"/>
          <w:sz w:val="20"/>
        </w:rPr>
        <w:t> </w:t>
      </w:r>
      <w:r>
        <w:rPr>
          <w:sz w:val="20"/>
        </w:rPr>
        <w:t>examen</w:t>
      </w:r>
      <w:r>
        <w:rPr>
          <w:spacing w:val="-6"/>
          <w:sz w:val="20"/>
        </w:rPr>
        <w:t> </w:t>
      </w:r>
      <w:r>
        <w:rPr>
          <w:sz w:val="20"/>
        </w:rPr>
        <w:t>de</w:t>
      </w:r>
      <w:r>
        <w:rPr>
          <w:spacing w:val="-6"/>
          <w:sz w:val="20"/>
        </w:rPr>
        <w:t> </w:t>
      </w:r>
      <w:r>
        <w:rPr>
          <w:sz w:val="20"/>
        </w:rPr>
        <w:t>órganos</w:t>
      </w:r>
      <w:r>
        <w:rPr>
          <w:spacing w:val="-6"/>
          <w:sz w:val="20"/>
        </w:rPr>
        <w:t> </w:t>
      </w:r>
      <w:r>
        <w:rPr>
          <w:sz w:val="20"/>
        </w:rPr>
        <w:t>de</w:t>
      </w:r>
      <w:r>
        <w:rPr>
          <w:spacing w:val="-6"/>
          <w:sz w:val="20"/>
        </w:rPr>
        <w:t> </w:t>
      </w:r>
      <w:r>
        <w:rPr>
          <w:sz w:val="20"/>
        </w:rPr>
        <w:t>la</w:t>
      </w:r>
      <w:r>
        <w:rPr>
          <w:spacing w:val="-6"/>
          <w:sz w:val="20"/>
        </w:rPr>
        <w:t> </w:t>
      </w:r>
      <w:r>
        <w:rPr>
          <w:sz w:val="20"/>
        </w:rPr>
        <w:t>OEA</w:t>
      </w:r>
      <w:r>
        <w:rPr>
          <w:spacing w:val="-7"/>
          <w:sz w:val="20"/>
        </w:rPr>
        <w:t> </w:t>
      </w:r>
      <w:r>
        <w:rPr>
          <w:sz w:val="20"/>
        </w:rPr>
        <w:t>el</w:t>
      </w:r>
      <w:r>
        <w:rPr>
          <w:spacing w:val="-6"/>
          <w:sz w:val="20"/>
        </w:rPr>
        <w:t> </w:t>
      </w:r>
      <w:r>
        <w:rPr>
          <w:sz w:val="20"/>
        </w:rPr>
        <w:t>cumplimiento</w:t>
      </w:r>
      <w:r>
        <w:rPr>
          <w:spacing w:val="-6"/>
          <w:sz w:val="20"/>
        </w:rPr>
        <w:t> </w:t>
      </w:r>
      <w:r>
        <w:rPr>
          <w:sz w:val="20"/>
        </w:rPr>
        <w:t>de</w:t>
      </w:r>
      <w:r>
        <w:rPr>
          <w:spacing w:val="-5"/>
          <w:sz w:val="20"/>
        </w:rPr>
        <w:t> </w:t>
      </w:r>
      <w:r>
        <w:rPr>
          <w:sz w:val="20"/>
        </w:rPr>
        <w:t>las</w:t>
      </w:r>
      <w:r>
        <w:rPr>
          <w:spacing w:val="-6"/>
          <w:sz w:val="20"/>
        </w:rPr>
        <w:t> </w:t>
      </w:r>
      <w:r>
        <w:rPr>
          <w:sz w:val="20"/>
        </w:rPr>
        <w:t>obligaciones</w:t>
      </w:r>
      <w:r>
        <w:rPr>
          <w:spacing w:val="-5"/>
          <w:sz w:val="20"/>
        </w:rPr>
        <w:t> </w:t>
      </w:r>
      <w:r>
        <w:rPr>
          <w:sz w:val="20"/>
        </w:rPr>
        <w:t>referidas a esos derechos, por estimar que dicho cumplimiento era la base para la realización de los derechos civiles y políticos. Y, como se indicó, esa propuesta no fue acogida. Ello confirma, por lo tanto, que los Estados Partes de la Convención no tuvieron la voluntad alguna de incluir a los derechos económicos, sociales y culturales en el régimen de protección que establece, en cambio, para los derechos civiles y</w:t>
      </w:r>
      <w:r>
        <w:rPr>
          <w:spacing w:val="-11"/>
          <w:sz w:val="20"/>
        </w:rPr>
        <w:t> </w:t>
      </w:r>
      <w:r>
        <w:rPr>
          <w:sz w:val="20"/>
        </w:rPr>
        <w:t>políticos</w:t>
      </w:r>
      <w:r>
        <w:rPr>
          <w:position w:val="7"/>
          <w:sz w:val="13"/>
        </w:rPr>
        <w:t>89</w:t>
      </w:r>
      <w:r>
        <w:rPr>
          <w:sz w:val="20"/>
        </w:rPr>
        <w:t>.</w:t>
      </w:r>
    </w:p>
    <w:p>
      <w:pPr>
        <w:pStyle w:val="BodyText"/>
        <w:spacing w:before="12"/>
        <w:rPr>
          <w:sz w:val="19"/>
        </w:rPr>
      </w:pPr>
    </w:p>
    <w:p>
      <w:pPr>
        <w:pStyle w:val="Heading3"/>
        <w:numPr>
          <w:ilvl w:val="1"/>
          <w:numId w:val="47"/>
        </w:numPr>
        <w:tabs>
          <w:tab w:pos="1685" w:val="left" w:leader="none"/>
          <w:tab w:pos="1686" w:val="left" w:leader="none"/>
        </w:tabs>
        <w:spacing w:line="240" w:lineRule="auto" w:before="0" w:after="0"/>
        <w:ind w:left="1685" w:right="0" w:hanging="721"/>
        <w:jc w:val="left"/>
        <w:rPr>
          <w:b w:val="0"/>
        </w:rPr>
      </w:pPr>
      <w:r>
        <w:rPr/>
        <w:t>LA CARTA DE LA</w:t>
      </w:r>
      <w:r>
        <w:rPr>
          <w:spacing w:val="-6"/>
        </w:rPr>
        <w:t> </w:t>
      </w:r>
      <w:r>
        <w:rPr/>
        <w:t>OEA</w:t>
      </w:r>
      <w:r>
        <w:rPr>
          <w:b w:val="0"/>
        </w:rPr>
        <w:t>.</w:t>
      </w:r>
    </w:p>
    <w:p>
      <w:pPr>
        <w:pStyle w:val="BodyText"/>
        <w:spacing w:before="1"/>
      </w:pPr>
    </w:p>
    <w:p>
      <w:pPr>
        <w:pStyle w:val="ListParagraph"/>
        <w:numPr>
          <w:ilvl w:val="0"/>
          <w:numId w:val="59"/>
        </w:numPr>
        <w:tabs>
          <w:tab w:pos="1390" w:val="left" w:leader="none"/>
        </w:tabs>
        <w:spacing w:line="240" w:lineRule="auto" w:before="0" w:after="0"/>
        <w:ind w:left="681" w:right="116" w:firstLine="0"/>
        <w:jc w:val="both"/>
        <w:rPr>
          <w:sz w:val="20"/>
        </w:rPr>
      </w:pPr>
      <w:r>
        <w:rPr>
          <w:sz w:val="20"/>
        </w:rPr>
        <w:t>Pues bien, atendido el hecho de que el artículo 26 remite a </w:t>
      </w:r>
      <w:r>
        <w:rPr>
          <w:i/>
          <w:sz w:val="20"/>
        </w:rPr>
        <w:t>“</w:t>
      </w:r>
      <w:r>
        <w:rPr>
          <w:sz w:val="20"/>
        </w:rPr>
        <w:t>las normas económicas, sociales y sobre educación, ciencia y cultura, contenidas en la Carta de la Organización de los Estados Americanos, reformada por el Protocolo de Buenos Aires</w:t>
      </w:r>
      <w:r>
        <w:rPr>
          <w:sz w:val="18"/>
        </w:rPr>
        <w:t>”</w:t>
      </w:r>
      <w:r>
        <w:rPr>
          <w:sz w:val="20"/>
        </w:rPr>
        <w:t>, resulta indispensable, para conocer el alcance de aquél, referirse asimismo al</w:t>
      </w:r>
      <w:r>
        <w:rPr>
          <w:spacing w:val="-41"/>
          <w:sz w:val="20"/>
        </w:rPr>
        <w:t> </w:t>
      </w:r>
      <w:r>
        <w:rPr>
          <w:sz w:val="20"/>
        </w:rPr>
        <w:t>contenido de las mencionadas normas y, en particular, a las citadas en la</w:t>
      </w:r>
      <w:r>
        <w:rPr>
          <w:spacing w:val="-12"/>
          <w:sz w:val="20"/>
        </w:rPr>
        <w:t> </w:t>
      </w:r>
      <w:r>
        <w:rPr>
          <w:sz w:val="20"/>
        </w:rPr>
        <w:t>Sentencia.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4"/>
        </w:rPr>
      </w:pPr>
      <w:r>
        <w:rPr/>
        <w:pict>
          <v:line style="position:absolute;mso-position-horizontal-relative:page;mso-position-vertical-relative:paragraph;z-index:4264;mso-wrap-distance-left:0;mso-wrap-distance-right:0" from="56.700001pt,17.329865pt" to="200.720001pt,17.329865pt" stroked="true" strokeweight=".72003pt" strokecolor="#000000">
            <v:stroke dashstyle="solid"/>
            <w10:wrap type="topAndBottom"/>
          </v:line>
        </w:pict>
      </w:r>
    </w:p>
    <w:p>
      <w:pPr>
        <w:spacing w:before="70"/>
        <w:ind w:left="681" w:right="99" w:firstLine="0"/>
        <w:jc w:val="left"/>
        <w:rPr>
          <w:sz w:val="16"/>
        </w:rPr>
      </w:pPr>
      <w:r>
        <w:rPr>
          <w:position w:val="6"/>
          <w:sz w:val="10"/>
        </w:rPr>
        <w:t>88 </w:t>
      </w:r>
      <w:r>
        <w:rPr>
          <w:sz w:val="16"/>
        </w:rPr>
        <w:t>Actas de la Conferencia Especializada Interamericana sobre Derechos Humanos, 7 a 22 de noviembre de 1969, OEA/Ser.K/XVI/1.2, p. 448.</w:t>
      </w:r>
    </w:p>
    <w:p>
      <w:pPr>
        <w:pStyle w:val="BodyText"/>
        <w:rPr>
          <w:sz w:val="16"/>
        </w:rPr>
      </w:pPr>
    </w:p>
    <w:p>
      <w:pPr>
        <w:spacing w:before="0"/>
        <w:ind w:left="681" w:right="99" w:firstLine="0"/>
        <w:jc w:val="left"/>
        <w:rPr>
          <w:sz w:val="16"/>
        </w:rPr>
      </w:pPr>
      <w:r>
        <w:rPr>
          <w:position w:val="6"/>
          <w:sz w:val="10"/>
        </w:rPr>
        <w:t>89 </w:t>
      </w:r>
      <w:r>
        <w:rPr>
          <w:sz w:val="16"/>
        </w:rPr>
        <w:t>Voto concurrente del Juez Alberto Pérez Pérez, </w:t>
      </w:r>
      <w:r>
        <w:rPr>
          <w:i/>
          <w:sz w:val="16"/>
        </w:rPr>
        <w:t>Caso Gonzales Lluy y Otros Vs. Ecuador, </w:t>
      </w:r>
      <w:r>
        <w:rPr>
          <w:sz w:val="16"/>
        </w:rPr>
        <w:t>Sentencia de 1 de septiembre de 2015, (Excepciones Preliminares, Fondo, Reparaciones y Costas).</w:t>
      </w:r>
    </w:p>
    <w:p>
      <w:pPr>
        <w:spacing w:after="0"/>
        <w:jc w:val="left"/>
        <w:rPr>
          <w:sz w:val="16"/>
        </w:rPr>
        <w:sectPr>
          <w:pgSz w:w="12240" w:h="15840"/>
          <w:pgMar w:header="0" w:footer="1000" w:top="1220" w:bottom="1200" w:left="1020" w:right="1580"/>
        </w:sectPr>
      </w:pPr>
    </w:p>
    <w:p>
      <w:pPr>
        <w:pStyle w:val="ListParagraph"/>
        <w:numPr>
          <w:ilvl w:val="0"/>
          <w:numId w:val="59"/>
        </w:numPr>
        <w:tabs>
          <w:tab w:pos="1461" w:val="left" w:leader="none"/>
        </w:tabs>
        <w:spacing w:line="240" w:lineRule="auto" w:before="83" w:after="0"/>
        <w:ind w:left="681" w:right="116" w:firstLine="0"/>
        <w:jc w:val="both"/>
        <w:rPr>
          <w:sz w:val="20"/>
        </w:rPr>
      </w:pPr>
      <w:r>
        <w:rPr>
          <w:sz w:val="20"/>
        </w:rPr>
        <w:t>Con</w:t>
      </w:r>
      <w:r>
        <w:rPr>
          <w:spacing w:val="-9"/>
          <w:sz w:val="20"/>
        </w:rPr>
        <w:t> </w:t>
      </w:r>
      <w:r>
        <w:rPr>
          <w:sz w:val="20"/>
        </w:rPr>
        <w:t>relación</w:t>
      </w:r>
      <w:r>
        <w:rPr>
          <w:spacing w:val="-8"/>
          <w:sz w:val="20"/>
        </w:rPr>
        <w:t> </w:t>
      </w:r>
      <w:r>
        <w:rPr>
          <w:sz w:val="20"/>
        </w:rPr>
        <w:t>al</w:t>
      </w:r>
      <w:r>
        <w:rPr>
          <w:spacing w:val="-8"/>
          <w:sz w:val="20"/>
        </w:rPr>
        <w:t> </w:t>
      </w:r>
      <w:r>
        <w:rPr>
          <w:sz w:val="20"/>
        </w:rPr>
        <w:t>derecho</w:t>
      </w:r>
      <w:r>
        <w:rPr>
          <w:spacing w:val="-9"/>
          <w:sz w:val="20"/>
        </w:rPr>
        <w:t> </w:t>
      </w:r>
      <w:r>
        <w:rPr>
          <w:sz w:val="20"/>
        </w:rPr>
        <w:t>a</w:t>
      </w:r>
      <w:r>
        <w:rPr>
          <w:spacing w:val="-9"/>
          <w:sz w:val="20"/>
        </w:rPr>
        <w:t> </w:t>
      </w:r>
      <w:r>
        <w:rPr>
          <w:sz w:val="20"/>
        </w:rPr>
        <w:t>un</w:t>
      </w:r>
      <w:r>
        <w:rPr>
          <w:spacing w:val="-9"/>
          <w:sz w:val="20"/>
        </w:rPr>
        <w:t> </w:t>
      </w:r>
      <w:r>
        <w:rPr>
          <w:sz w:val="20"/>
        </w:rPr>
        <w:t>ambiente</w:t>
      </w:r>
      <w:r>
        <w:rPr>
          <w:spacing w:val="-9"/>
          <w:sz w:val="20"/>
        </w:rPr>
        <w:t> </w:t>
      </w:r>
      <w:r>
        <w:rPr>
          <w:sz w:val="20"/>
        </w:rPr>
        <w:t>sano,</w:t>
      </w:r>
      <w:r>
        <w:rPr>
          <w:spacing w:val="-11"/>
          <w:sz w:val="20"/>
        </w:rPr>
        <w:t> </w:t>
      </w:r>
      <w:r>
        <w:rPr>
          <w:sz w:val="20"/>
        </w:rPr>
        <w:t>ella</w:t>
      </w:r>
      <w:r>
        <w:rPr>
          <w:spacing w:val="-10"/>
          <w:sz w:val="20"/>
        </w:rPr>
        <w:t> </w:t>
      </w:r>
      <w:r>
        <w:rPr>
          <w:sz w:val="20"/>
        </w:rPr>
        <w:t>evoca</w:t>
      </w:r>
      <w:r>
        <w:rPr>
          <w:spacing w:val="-9"/>
          <w:sz w:val="20"/>
        </w:rPr>
        <w:t> </w:t>
      </w:r>
      <w:r>
        <w:rPr>
          <w:sz w:val="20"/>
        </w:rPr>
        <w:t>a</w:t>
      </w:r>
      <w:r>
        <w:rPr>
          <w:spacing w:val="-10"/>
          <w:sz w:val="20"/>
        </w:rPr>
        <w:t> </w:t>
      </w:r>
      <w:r>
        <w:rPr>
          <w:sz w:val="20"/>
        </w:rPr>
        <w:t>los</w:t>
      </w:r>
      <w:r>
        <w:rPr>
          <w:spacing w:val="-9"/>
          <w:sz w:val="20"/>
        </w:rPr>
        <w:t> </w:t>
      </w:r>
      <w:r>
        <w:rPr>
          <w:sz w:val="20"/>
        </w:rPr>
        <w:t>artículos</w:t>
      </w:r>
      <w:r>
        <w:rPr>
          <w:spacing w:val="-8"/>
          <w:sz w:val="20"/>
        </w:rPr>
        <w:t> </w:t>
      </w:r>
      <w:r>
        <w:rPr>
          <w:sz w:val="20"/>
        </w:rPr>
        <w:t>30</w:t>
      </w:r>
      <w:r>
        <w:rPr>
          <w:position w:val="7"/>
          <w:sz w:val="13"/>
        </w:rPr>
        <w:t>90</w:t>
      </w:r>
      <w:r>
        <w:rPr>
          <w:sz w:val="20"/>
        </w:rPr>
        <w:t>,</w:t>
      </w:r>
      <w:r>
        <w:rPr>
          <w:spacing w:val="-8"/>
          <w:sz w:val="20"/>
        </w:rPr>
        <w:t> </w:t>
      </w:r>
      <w:r>
        <w:rPr>
          <w:sz w:val="20"/>
        </w:rPr>
        <w:t>31</w:t>
      </w:r>
      <w:r>
        <w:rPr>
          <w:position w:val="7"/>
          <w:sz w:val="13"/>
        </w:rPr>
        <w:t>91</w:t>
      </w:r>
      <w:r>
        <w:rPr>
          <w:sz w:val="20"/>
        </w:rPr>
        <w:t>, 32</w:t>
      </w:r>
      <w:r>
        <w:rPr>
          <w:position w:val="7"/>
          <w:sz w:val="13"/>
        </w:rPr>
        <w:t>92</w:t>
      </w:r>
      <w:r>
        <w:rPr>
          <w:sz w:val="20"/>
        </w:rPr>
        <w:t>, 33</w:t>
      </w:r>
      <w:r>
        <w:rPr>
          <w:position w:val="7"/>
          <w:sz w:val="13"/>
        </w:rPr>
        <w:t>93 </w:t>
      </w:r>
      <w:r>
        <w:rPr>
          <w:sz w:val="20"/>
        </w:rPr>
        <w:t>y 34</w:t>
      </w:r>
      <w:r>
        <w:rPr>
          <w:position w:val="7"/>
          <w:sz w:val="13"/>
        </w:rPr>
        <w:t>94 </w:t>
      </w:r>
      <w:r>
        <w:rPr>
          <w:sz w:val="20"/>
        </w:rPr>
        <w:t>de la mencionada Carta de la OEA. En cuanto al derecho a la alimentación, lo hace al artículo 34.j</w:t>
      </w:r>
      <w:r>
        <w:rPr>
          <w:position w:val="7"/>
          <w:sz w:val="13"/>
        </w:rPr>
        <w:t>95 </w:t>
      </w:r>
      <w:r>
        <w:rPr>
          <w:sz w:val="20"/>
        </w:rPr>
        <w:t>de la misma. Respecto al derecho al agua,</w:t>
      </w:r>
      <w:r>
        <w:rPr>
          <w:spacing w:val="-49"/>
          <w:sz w:val="20"/>
        </w:rPr>
        <w:t> </w:t>
      </w:r>
      <w:r>
        <w:rPr>
          <w:sz w:val="20"/>
        </w:rPr>
        <w:t>señala que se desprende de derechos que, a su vez, derivan de otros, señalando así a los derechos</w:t>
      </w:r>
      <w:r>
        <w:rPr>
          <w:spacing w:val="-14"/>
          <w:sz w:val="20"/>
        </w:rPr>
        <w:t> </w:t>
      </w:r>
      <w:r>
        <w:rPr>
          <w:sz w:val="20"/>
        </w:rPr>
        <w:t>a</w:t>
      </w:r>
      <w:r>
        <w:rPr>
          <w:spacing w:val="-16"/>
          <w:sz w:val="20"/>
        </w:rPr>
        <w:t> </w:t>
      </w:r>
      <w:r>
        <w:rPr>
          <w:sz w:val="20"/>
        </w:rPr>
        <w:t>un</w:t>
      </w:r>
      <w:r>
        <w:rPr>
          <w:spacing w:val="-14"/>
          <w:sz w:val="20"/>
        </w:rPr>
        <w:t> </w:t>
      </w:r>
      <w:r>
        <w:rPr>
          <w:sz w:val="20"/>
        </w:rPr>
        <w:t>ambiente</w:t>
      </w:r>
      <w:r>
        <w:rPr>
          <w:spacing w:val="-14"/>
          <w:sz w:val="20"/>
        </w:rPr>
        <w:t> </w:t>
      </w:r>
      <w:r>
        <w:rPr>
          <w:sz w:val="20"/>
        </w:rPr>
        <w:t>sano</w:t>
      </w:r>
      <w:r>
        <w:rPr>
          <w:spacing w:val="-16"/>
          <w:sz w:val="20"/>
        </w:rPr>
        <w:t> </w:t>
      </w:r>
      <w:r>
        <w:rPr>
          <w:sz w:val="20"/>
        </w:rPr>
        <w:t>y</w:t>
      </w:r>
      <w:r>
        <w:rPr>
          <w:spacing w:val="-14"/>
          <w:sz w:val="20"/>
        </w:rPr>
        <w:t> </w:t>
      </w:r>
      <w:r>
        <w:rPr>
          <w:sz w:val="20"/>
        </w:rPr>
        <w:t>a</w:t>
      </w:r>
      <w:r>
        <w:rPr>
          <w:spacing w:val="-15"/>
          <w:sz w:val="20"/>
        </w:rPr>
        <w:t> </w:t>
      </w:r>
      <w:r>
        <w:rPr>
          <w:sz w:val="20"/>
        </w:rPr>
        <w:t>la</w:t>
      </w:r>
      <w:r>
        <w:rPr>
          <w:spacing w:val="-15"/>
          <w:sz w:val="20"/>
        </w:rPr>
        <w:t> </w:t>
      </w:r>
      <w:r>
        <w:rPr>
          <w:sz w:val="20"/>
        </w:rPr>
        <w:t>alimentación</w:t>
      </w:r>
      <w:r>
        <w:rPr>
          <w:spacing w:val="-14"/>
          <w:sz w:val="20"/>
        </w:rPr>
        <w:t> </w:t>
      </w:r>
      <w:r>
        <w:rPr>
          <w:sz w:val="20"/>
        </w:rPr>
        <w:t>adecuada</w:t>
      </w:r>
      <w:r>
        <w:rPr>
          <w:spacing w:val="-15"/>
          <w:sz w:val="20"/>
        </w:rPr>
        <w:t> </w:t>
      </w:r>
      <w:r>
        <w:rPr>
          <w:sz w:val="20"/>
        </w:rPr>
        <w:t>y</w:t>
      </w:r>
      <w:r>
        <w:rPr>
          <w:spacing w:val="-14"/>
          <w:sz w:val="20"/>
        </w:rPr>
        <w:t> </w:t>
      </w:r>
      <w:r>
        <w:rPr>
          <w:sz w:val="20"/>
        </w:rPr>
        <w:t>añadiendo</w:t>
      </w:r>
      <w:r>
        <w:rPr>
          <w:spacing w:val="-15"/>
          <w:sz w:val="20"/>
        </w:rPr>
        <w:t> </w:t>
      </w:r>
      <w:r>
        <w:rPr>
          <w:sz w:val="20"/>
        </w:rPr>
        <w:t>que</w:t>
      </w:r>
      <w:r>
        <w:rPr>
          <w:spacing w:val="-14"/>
          <w:sz w:val="20"/>
        </w:rPr>
        <w:t> </w:t>
      </w:r>
      <w:r>
        <w:rPr>
          <w:sz w:val="20"/>
        </w:rPr>
        <w:t>aquél</w:t>
      </w:r>
      <w:r>
        <w:rPr>
          <w:spacing w:val="-14"/>
          <w:sz w:val="20"/>
        </w:rPr>
        <w:t> </w:t>
      </w:r>
      <w:r>
        <w:rPr>
          <w:sz w:val="20"/>
        </w:rPr>
        <w:t>deriva también</w:t>
      </w:r>
      <w:r>
        <w:rPr>
          <w:spacing w:val="29"/>
          <w:sz w:val="20"/>
        </w:rPr>
        <w:t> </w:t>
      </w:r>
      <w:r>
        <w:rPr>
          <w:sz w:val="20"/>
        </w:rPr>
        <w:t>de</w:t>
      </w:r>
      <w:r>
        <w:rPr>
          <w:spacing w:val="28"/>
          <w:sz w:val="20"/>
        </w:rPr>
        <w:t> </w:t>
      </w:r>
      <w:r>
        <w:rPr>
          <w:sz w:val="20"/>
        </w:rPr>
        <w:t>lo</w:t>
      </w:r>
      <w:r>
        <w:rPr>
          <w:spacing w:val="29"/>
          <w:sz w:val="20"/>
        </w:rPr>
        <w:t> </w:t>
      </w:r>
      <w:r>
        <w:rPr>
          <w:sz w:val="20"/>
        </w:rPr>
        <w:t>dispuesto</w:t>
      </w:r>
      <w:r>
        <w:rPr>
          <w:spacing w:val="28"/>
          <w:sz w:val="20"/>
        </w:rPr>
        <w:t> </w:t>
      </w:r>
      <w:r>
        <w:rPr>
          <w:sz w:val="20"/>
        </w:rPr>
        <w:t>en</w:t>
      </w:r>
      <w:r>
        <w:rPr>
          <w:spacing w:val="29"/>
          <w:sz w:val="20"/>
        </w:rPr>
        <w:t> </w:t>
      </w:r>
      <w:r>
        <w:rPr>
          <w:sz w:val="20"/>
        </w:rPr>
        <w:t>los</w:t>
      </w:r>
      <w:r>
        <w:rPr>
          <w:spacing w:val="29"/>
          <w:sz w:val="20"/>
        </w:rPr>
        <w:t> </w:t>
      </w:r>
      <w:r>
        <w:rPr>
          <w:sz w:val="20"/>
        </w:rPr>
        <w:t>artículos</w:t>
      </w:r>
      <w:r>
        <w:rPr>
          <w:spacing w:val="29"/>
          <w:sz w:val="20"/>
        </w:rPr>
        <w:t> </w:t>
      </w:r>
      <w:r>
        <w:rPr>
          <w:sz w:val="20"/>
        </w:rPr>
        <w:t>34.i</w:t>
      </w:r>
      <w:r>
        <w:rPr>
          <w:position w:val="7"/>
          <w:sz w:val="13"/>
        </w:rPr>
        <w:t>96</w:t>
      </w:r>
      <w:r>
        <w:rPr>
          <w:sz w:val="20"/>
        </w:rPr>
        <w:t>,</w:t>
      </w:r>
      <w:r>
        <w:rPr>
          <w:spacing w:val="29"/>
          <w:sz w:val="20"/>
        </w:rPr>
        <w:t> </w:t>
      </w:r>
      <w:r>
        <w:rPr>
          <w:sz w:val="20"/>
        </w:rPr>
        <w:t>34.l</w:t>
      </w:r>
      <w:r>
        <w:rPr>
          <w:position w:val="7"/>
          <w:sz w:val="13"/>
        </w:rPr>
        <w:t>97 </w:t>
      </w:r>
      <w:r>
        <w:rPr>
          <w:spacing w:val="9"/>
          <w:position w:val="7"/>
          <w:sz w:val="13"/>
        </w:rPr>
        <w:t> </w:t>
      </w:r>
      <w:r>
        <w:rPr>
          <w:sz w:val="20"/>
        </w:rPr>
        <w:t>y</w:t>
      </w:r>
      <w:r>
        <w:rPr>
          <w:spacing w:val="29"/>
          <w:sz w:val="20"/>
        </w:rPr>
        <w:t> </w:t>
      </w:r>
      <w:r>
        <w:rPr>
          <w:sz w:val="20"/>
        </w:rPr>
        <w:t>45.h</w:t>
      </w:r>
      <w:r>
        <w:rPr>
          <w:position w:val="7"/>
          <w:sz w:val="13"/>
        </w:rPr>
        <w:t>98 </w:t>
      </w:r>
      <w:r>
        <w:rPr>
          <w:spacing w:val="9"/>
          <w:position w:val="7"/>
          <w:sz w:val="13"/>
        </w:rPr>
        <w:t> </w:t>
      </w:r>
      <w:r>
        <w:rPr>
          <w:sz w:val="20"/>
        </w:rPr>
        <w:t>de</w:t>
      </w:r>
      <w:r>
        <w:rPr>
          <w:spacing w:val="30"/>
          <w:sz w:val="20"/>
        </w:rPr>
        <w:t> </w:t>
      </w:r>
      <w:r>
        <w:rPr>
          <w:sz w:val="20"/>
        </w:rPr>
        <w:t>la</w:t>
      </w:r>
      <w:r>
        <w:rPr>
          <w:spacing w:val="29"/>
          <w:sz w:val="20"/>
        </w:rPr>
        <w:t> </w:t>
      </w:r>
      <w:r>
        <w:rPr>
          <w:sz w:val="20"/>
        </w:rPr>
        <w:t>citada</w:t>
      </w:r>
      <w:r>
        <w:rPr>
          <w:spacing w:val="29"/>
          <w:sz w:val="20"/>
        </w:rPr>
        <w:t> </w:t>
      </w:r>
      <w:r>
        <w:rPr>
          <w:sz w:val="20"/>
        </w:rPr>
        <w:t>Carta.</w:t>
      </w:r>
      <w:r>
        <w:rPr>
          <w:spacing w:val="28"/>
          <w:sz w:val="20"/>
        </w:rPr>
        <w:t> </w:t>
      </w:r>
      <w:r>
        <w:rPr>
          <w:sz w:val="20"/>
        </w:rPr>
        <w:t>Y,</w:t>
      </w:r>
    </w:p>
    <w:p>
      <w:pPr>
        <w:pStyle w:val="BodyText"/>
      </w:pPr>
    </w:p>
    <w:p>
      <w:pPr>
        <w:pStyle w:val="BodyText"/>
        <w:spacing w:before="8"/>
        <w:rPr>
          <w:sz w:val="14"/>
        </w:rPr>
      </w:pPr>
      <w:r>
        <w:rPr/>
        <w:pict>
          <v:line style="position:absolute;mso-position-horizontal-relative:page;mso-position-vertical-relative:paragraph;z-index:4288;mso-wrap-distance-left:0;mso-wrap-distance-right:0" from="56.700001pt,11.270813pt" to="200.720001pt,11.270813pt" stroked="true" strokeweight=".72pt" strokecolor="#000000">
            <v:stroke dashstyle="solid"/>
            <w10:wrap type="topAndBottom"/>
          </v:line>
        </w:pict>
      </w:r>
    </w:p>
    <w:p>
      <w:pPr>
        <w:spacing w:before="70"/>
        <w:ind w:left="681" w:right="119" w:firstLine="0"/>
        <w:jc w:val="both"/>
        <w:rPr>
          <w:sz w:val="16"/>
        </w:rPr>
      </w:pPr>
      <w:r>
        <w:rPr>
          <w:position w:val="6"/>
          <w:sz w:val="10"/>
        </w:rPr>
        <w:t>90 </w:t>
      </w:r>
      <w:r>
        <w:rPr>
          <w:i/>
          <w:sz w:val="16"/>
        </w:rPr>
        <w:t>“Los Estados miembros, inspirados en los principios de solidaridad y cooperación interamericanas, se </w:t>
      </w:r>
      <w:r>
        <w:rPr>
          <w:i/>
          <w:sz w:val="16"/>
        </w:rPr>
        <w:t>comprometen</w:t>
      </w:r>
      <w:r>
        <w:rPr>
          <w:i/>
          <w:spacing w:val="-9"/>
          <w:sz w:val="16"/>
        </w:rPr>
        <w:t> </w:t>
      </w:r>
      <w:r>
        <w:rPr>
          <w:i/>
          <w:sz w:val="16"/>
        </w:rPr>
        <w:t>a</w:t>
      </w:r>
      <w:r>
        <w:rPr>
          <w:i/>
          <w:spacing w:val="-8"/>
          <w:sz w:val="16"/>
        </w:rPr>
        <w:t> </w:t>
      </w:r>
      <w:r>
        <w:rPr>
          <w:i/>
          <w:sz w:val="16"/>
        </w:rPr>
        <w:t>aunar</w:t>
      </w:r>
      <w:r>
        <w:rPr>
          <w:i/>
          <w:spacing w:val="-9"/>
          <w:sz w:val="16"/>
        </w:rPr>
        <w:t> </w:t>
      </w:r>
      <w:r>
        <w:rPr>
          <w:i/>
          <w:sz w:val="16"/>
        </w:rPr>
        <w:t>esfuerzos</w:t>
      </w:r>
      <w:r>
        <w:rPr>
          <w:i/>
          <w:spacing w:val="-9"/>
          <w:sz w:val="16"/>
        </w:rPr>
        <w:t> </w:t>
      </w:r>
      <w:r>
        <w:rPr>
          <w:i/>
          <w:sz w:val="16"/>
        </w:rPr>
        <w:t>para</w:t>
      </w:r>
      <w:r>
        <w:rPr>
          <w:i/>
          <w:spacing w:val="-8"/>
          <w:sz w:val="16"/>
        </w:rPr>
        <w:t> </w:t>
      </w:r>
      <w:r>
        <w:rPr>
          <w:i/>
          <w:sz w:val="16"/>
        </w:rPr>
        <w:t>lograr</w:t>
      </w:r>
      <w:r>
        <w:rPr>
          <w:i/>
          <w:spacing w:val="-9"/>
          <w:sz w:val="16"/>
        </w:rPr>
        <w:t> </w:t>
      </w:r>
      <w:r>
        <w:rPr>
          <w:i/>
          <w:sz w:val="16"/>
        </w:rPr>
        <w:t>que</w:t>
      </w:r>
      <w:r>
        <w:rPr>
          <w:i/>
          <w:spacing w:val="-9"/>
          <w:sz w:val="16"/>
        </w:rPr>
        <w:t> </w:t>
      </w:r>
      <w:r>
        <w:rPr>
          <w:i/>
          <w:sz w:val="16"/>
        </w:rPr>
        <w:t>impere</w:t>
      </w:r>
      <w:r>
        <w:rPr>
          <w:i/>
          <w:spacing w:val="-8"/>
          <w:sz w:val="16"/>
        </w:rPr>
        <w:t> </w:t>
      </w:r>
      <w:r>
        <w:rPr>
          <w:i/>
          <w:sz w:val="16"/>
        </w:rPr>
        <w:t>la</w:t>
      </w:r>
      <w:r>
        <w:rPr>
          <w:i/>
          <w:spacing w:val="-9"/>
          <w:sz w:val="16"/>
        </w:rPr>
        <w:t> </w:t>
      </w:r>
      <w:r>
        <w:rPr>
          <w:i/>
          <w:sz w:val="16"/>
        </w:rPr>
        <w:t>justicia</w:t>
      </w:r>
      <w:r>
        <w:rPr>
          <w:i/>
          <w:spacing w:val="-8"/>
          <w:sz w:val="16"/>
        </w:rPr>
        <w:t> </w:t>
      </w:r>
      <w:r>
        <w:rPr>
          <w:i/>
          <w:sz w:val="16"/>
        </w:rPr>
        <w:t>social</w:t>
      </w:r>
      <w:r>
        <w:rPr>
          <w:i/>
          <w:spacing w:val="-7"/>
          <w:sz w:val="16"/>
        </w:rPr>
        <w:t> </w:t>
      </w:r>
      <w:r>
        <w:rPr>
          <w:i/>
          <w:sz w:val="16"/>
        </w:rPr>
        <w:t>internacional</w:t>
      </w:r>
      <w:r>
        <w:rPr>
          <w:i/>
          <w:spacing w:val="-8"/>
          <w:sz w:val="16"/>
        </w:rPr>
        <w:t> </w:t>
      </w:r>
      <w:r>
        <w:rPr>
          <w:i/>
          <w:sz w:val="16"/>
        </w:rPr>
        <w:t>en</w:t>
      </w:r>
      <w:r>
        <w:rPr>
          <w:i/>
          <w:spacing w:val="-9"/>
          <w:sz w:val="16"/>
        </w:rPr>
        <w:t> </w:t>
      </w:r>
      <w:r>
        <w:rPr>
          <w:i/>
          <w:sz w:val="16"/>
        </w:rPr>
        <w:t>sus</w:t>
      </w:r>
      <w:r>
        <w:rPr>
          <w:i/>
          <w:spacing w:val="-9"/>
          <w:sz w:val="16"/>
        </w:rPr>
        <w:t> </w:t>
      </w:r>
      <w:r>
        <w:rPr>
          <w:i/>
          <w:sz w:val="16"/>
        </w:rPr>
        <w:t>relaciones</w:t>
      </w:r>
      <w:r>
        <w:rPr>
          <w:i/>
          <w:spacing w:val="-9"/>
          <w:sz w:val="16"/>
        </w:rPr>
        <w:t> </w:t>
      </w:r>
      <w:r>
        <w:rPr>
          <w:i/>
          <w:sz w:val="16"/>
        </w:rPr>
        <w:t>y</w:t>
      </w:r>
      <w:r>
        <w:rPr>
          <w:i/>
          <w:spacing w:val="-8"/>
          <w:sz w:val="16"/>
        </w:rPr>
        <w:t> </w:t>
      </w:r>
      <w:r>
        <w:rPr>
          <w:i/>
          <w:sz w:val="16"/>
        </w:rPr>
        <w:t>para que sus pueblos alcancen un desarrollo integral, condiciones indispensables para la paz y la seguridad. El desarrollo integral abarca los campos económico, social, educacional, cultural, científico y tecnológico, en los cuales deben obtenerse las metas que cada país defina para</w:t>
      </w:r>
      <w:r>
        <w:rPr>
          <w:i/>
          <w:spacing w:val="-17"/>
          <w:sz w:val="16"/>
        </w:rPr>
        <w:t> </w:t>
      </w:r>
      <w:r>
        <w:rPr>
          <w:i/>
          <w:sz w:val="16"/>
        </w:rPr>
        <w:t>lograrlo</w:t>
      </w:r>
      <w:r>
        <w:rPr>
          <w:sz w:val="16"/>
        </w:rPr>
        <w:t>”.</w:t>
      </w:r>
    </w:p>
    <w:p>
      <w:pPr>
        <w:pStyle w:val="BodyText"/>
        <w:spacing w:before="11"/>
        <w:rPr>
          <w:sz w:val="15"/>
        </w:rPr>
      </w:pPr>
    </w:p>
    <w:p>
      <w:pPr>
        <w:spacing w:before="1"/>
        <w:ind w:left="681" w:right="120" w:firstLine="0"/>
        <w:jc w:val="both"/>
        <w:rPr>
          <w:i/>
          <w:sz w:val="16"/>
        </w:rPr>
      </w:pPr>
      <w:r>
        <w:rPr>
          <w:position w:val="6"/>
          <w:sz w:val="10"/>
        </w:rPr>
        <w:t>91 </w:t>
      </w:r>
      <w:r>
        <w:rPr>
          <w:sz w:val="16"/>
        </w:rPr>
        <w:t>“</w:t>
      </w:r>
      <w:r>
        <w:rPr>
          <w:i/>
          <w:sz w:val="16"/>
        </w:rPr>
        <w:t>La cooperación interamericana para el desarrollo integral es responsabilidad común y solidaria de los </w:t>
      </w:r>
      <w:r>
        <w:rPr>
          <w:i/>
          <w:sz w:val="16"/>
        </w:rPr>
        <w:t>Estados</w:t>
      </w:r>
      <w:r>
        <w:rPr>
          <w:i/>
          <w:spacing w:val="-12"/>
          <w:sz w:val="16"/>
        </w:rPr>
        <w:t> </w:t>
      </w:r>
      <w:r>
        <w:rPr>
          <w:i/>
          <w:sz w:val="16"/>
        </w:rPr>
        <w:t>miembros</w:t>
      </w:r>
      <w:r>
        <w:rPr>
          <w:i/>
          <w:spacing w:val="-13"/>
          <w:sz w:val="16"/>
        </w:rPr>
        <w:t> </w:t>
      </w:r>
      <w:r>
        <w:rPr>
          <w:i/>
          <w:sz w:val="16"/>
        </w:rPr>
        <w:t>en</w:t>
      </w:r>
      <w:r>
        <w:rPr>
          <w:i/>
          <w:spacing w:val="-12"/>
          <w:sz w:val="16"/>
        </w:rPr>
        <w:t> </w:t>
      </w:r>
      <w:r>
        <w:rPr>
          <w:i/>
          <w:sz w:val="16"/>
        </w:rPr>
        <w:t>el</w:t>
      </w:r>
      <w:r>
        <w:rPr>
          <w:i/>
          <w:spacing w:val="-13"/>
          <w:sz w:val="16"/>
        </w:rPr>
        <w:t> </w:t>
      </w:r>
      <w:r>
        <w:rPr>
          <w:i/>
          <w:sz w:val="16"/>
        </w:rPr>
        <w:t>marco</w:t>
      </w:r>
      <w:r>
        <w:rPr>
          <w:i/>
          <w:spacing w:val="-12"/>
          <w:sz w:val="16"/>
        </w:rPr>
        <w:t> </w:t>
      </w:r>
      <w:r>
        <w:rPr>
          <w:i/>
          <w:sz w:val="16"/>
        </w:rPr>
        <w:t>de</w:t>
      </w:r>
      <w:r>
        <w:rPr>
          <w:i/>
          <w:spacing w:val="-13"/>
          <w:sz w:val="16"/>
        </w:rPr>
        <w:t> </w:t>
      </w:r>
      <w:r>
        <w:rPr>
          <w:i/>
          <w:sz w:val="16"/>
        </w:rPr>
        <w:t>los</w:t>
      </w:r>
      <w:r>
        <w:rPr>
          <w:i/>
          <w:spacing w:val="-13"/>
          <w:sz w:val="16"/>
        </w:rPr>
        <w:t> </w:t>
      </w:r>
      <w:r>
        <w:rPr>
          <w:i/>
          <w:sz w:val="16"/>
        </w:rPr>
        <w:t>principios</w:t>
      </w:r>
      <w:r>
        <w:rPr>
          <w:i/>
          <w:spacing w:val="-13"/>
          <w:sz w:val="16"/>
        </w:rPr>
        <w:t> </w:t>
      </w:r>
      <w:r>
        <w:rPr>
          <w:i/>
          <w:sz w:val="16"/>
        </w:rPr>
        <w:t>democráticos</w:t>
      </w:r>
      <w:r>
        <w:rPr>
          <w:i/>
          <w:spacing w:val="-13"/>
          <w:sz w:val="16"/>
        </w:rPr>
        <w:t> </w:t>
      </w:r>
      <w:r>
        <w:rPr>
          <w:i/>
          <w:sz w:val="16"/>
        </w:rPr>
        <w:t>y</w:t>
      </w:r>
      <w:r>
        <w:rPr>
          <w:i/>
          <w:spacing w:val="-13"/>
          <w:sz w:val="16"/>
        </w:rPr>
        <w:t> </w:t>
      </w:r>
      <w:r>
        <w:rPr>
          <w:i/>
          <w:sz w:val="16"/>
        </w:rPr>
        <w:t>de</w:t>
      </w:r>
      <w:r>
        <w:rPr>
          <w:i/>
          <w:spacing w:val="-13"/>
          <w:sz w:val="16"/>
        </w:rPr>
        <w:t> </w:t>
      </w:r>
      <w:r>
        <w:rPr>
          <w:i/>
          <w:sz w:val="16"/>
        </w:rPr>
        <w:t>las</w:t>
      </w:r>
      <w:r>
        <w:rPr>
          <w:i/>
          <w:spacing w:val="-13"/>
          <w:sz w:val="16"/>
        </w:rPr>
        <w:t> </w:t>
      </w:r>
      <w:r>
        <w:rPr>
          <w:i/>
          <w:sz w:val="16"/>
        </w:rPr>
        <w:t>instituciones</w:t>
      </w:r>
      <w:r>
        <w:rPr>
          <w:i/>
          <w:spacing w:val="-13"/>
          <w:sz w:val="16"/>
        </w:rPr>
        <w:t> </w:t>
      </w:r>
      <w:r>
        <w:rPr>
          <w:i/>
          <w:sz w:val="16"/>
        </w:rPr>
        <w:t>del</w:t>
      </w:r>
      <w:r>
        <w:rPr>
          <w:i/>
          <w:spacing w:val="-13"/>
          <w:sz w:val="16"/>
        </w:rPr>
        <w:t> </w:t>
      </w:r>
      <w:r>
        <w:rPr>
          <w:i/>
          <w:sz w:val="16"/>
        </w:rPr>
        <w:t>sistema</w:t>
      </w:r>
      <w:r>
        <w:rPr>
          <w:i/>
          <w:spacing w:val="-13"/>
          <w:sz w:val="16"/>
        </w:rPr>
        <w:t> </w:t>
      </w:r>
      <w:r>
        <w:rPr>
          <w:i/>
          <w:sz w:val="16"/>
        </w:rPr>
        <w:t>interamericano. Ella debe comprender los campos económico, social, educacional, cultural, científico y tecnológico, apoyar el logro de los objetivos nacionales de los Estados miembros y respetar las prioridades que se fije cada país en sus planes de desarrollo, sin ataduras ni condiciones de carácter</w:t>
      </w:r>
      <w:r>
        <w:rPr>
          <w:i/>
          <w:spacing w:val="-24"/>
          <w:sz w:val="16"/>
        </w:rPr>
        <w:t> </w:t>
      </w:r>
      <w:r>
        <w:rPr>
          <w:i/>
          <w:sz w:val="16"/>
        </w:rPr>
        <w:t>político.”</w:t>
      </w:r>
    </w:p>
    <w:p>
      <w:pPr>
        <w:pStyle w:val="BodyText"/>
        <w:rPr>
          <w:i/>
          <w:sz w:val="16"/>
        </w:rPr>
      </w:pPr>
    </w:p>
    <w:p>
      <w:pPr>
        <w:spacing w:before="0"/>
        <w:ind w:left="681" w:right="122" w:firstLine="0"/>
        <w:jc w:val="both"/>
        <w:rPr>
          <w:i/>
          <w:sz w:val="16"/>
        </w:rPr>
      </w:pPr>
      <w:r>
        <w:rPr>
          <w:position w:val="6"/>
          <w:sz w:val="10"/>
        </w:rPr>
        <w:t>92 </w:t>
      </w:r>
      <w:r>
        <w:rPr>
          <w:i/>
          <w:sz w:val="16"/>
        </w:rPr>
        <w:t>“La cooperación interamericana para el desarrollo integral debe ser continua y encauzarse</w:t>
      </w:r>
      <w:r>
        <w:rPr>
          <w:i/>
          <w:spacing w:val="-28"/>
          <w:sz w:val="16"/>
        </w:rPr>
        <w:t> </w:t>
      </w:r>
      <w:r>
        <w:rPr>
          <w:i/>
          <w:sz w:val="16"/>
        </w:rPr>
        <w:t>preferentemente </w:t>
      </w:r>
      <w:r>
        <w:rPr>
          <w:i/>
          <w:sz w:val="16"/>
        </w:rPr>
        <w:t>a través de organismos multilaterales, sin perjuicio de la cooperación bilateral convenida entre Estados miembros.</w:t>
      </w:r>
    </w:p>
    <w:p>
      <w:pPr>
        <w:spacing w:before="0"/>
        <w:ind w:left="681" w:right="122" w:firstLine="0"/>
        <w:jc w:val="both"/>
        <w:rPr>
          <w:sz w:val="16"/>
        </w:rPr>
      </w:pPr>
      <w:r>
        <w:rPr>
          <w:i/>
          <w:sz w:val="16"/>
        </w:rPr>
        <w:t>Los</w:t>
      </w:r>
      <w:r>
        <w:rPr>
          <w:i/>
          <w:spacing w:val="-5"/>
          <w:sz w:val="16"/>
        </w:rPr>
        <w:t> </w:t>
      </w:r>
      <w:r>
        <w:rPr>
          <w:i/>
          <w:sz w:val="16"/>
        </w:rPr>
        <w:t>Estados</w:t>
      </w:r>
      <w:r>
        <w:rPr>
          <w:i/>
          <w:spacing w:val="-5"/>
          <w:sz w:val="16"/>
        </w:rPr>
        <w:t> </w:t>
      </w:r>
      <w:r>
        <w:rPr>
          <w:i/>
          <w:sz w:val="16"/>
        </w:rPr>
        <w:t>miembros</w:t>
      </w:r>
      <w:r>
        <w:rPr>
          <w:i/>
          <w:spacing w:val="-5"/>
          <w:sz w:val="16"/>
        </w:rPr>
        <w:t> </w:t>
      </w:r>
      <w:r>
        <w:rPr>
          <w:i/>
          <w:sz w:val="16"/>
        </w:rPr>
        <w:t>contribuirán</w:t>
      </w:r>
      <w:r>
        <w:rPr>
          <w:i/>
          <w:spacing w:val="-5"/>
          <w:sz w:val="16"/>
        </w:rPr>
        <w:t> </w:t>
      </w:r>
      <w:r>
        <w:rPr>
          <w:i/>
          <w:sz w:val="16"/>
        </w:rPr>
        <w:t>a</w:t>
      </w:r>
      <w:r>
        <w:rPr>
          <w:i/>
          <w:spacing w:val="-5"/>
          <w:sz w:val="16"/>
        </w:rPr>
        <w:t> </w:t>
      </w:r>
      <w:r>
        <w:rPr>
          <w:i/>
          <w:sz w:val="16"/>
        </w:rPr>
        <w:t>la</w:t>
      </w:r>
      <w:r>
        <w:rPr>
          <w:i/>
          <w:spacing w:val="-5"/>
          <w:sz w:val="16"/>
        </w:rPr>
        <w:t> </w:t>
      </w:r>
      <w:r>
        <w:rPr>
          <w:i/>
          <w:sz w:val="16"/>
        </w:rPr>
        <w:t>cooperación</w:t>
      </w:r>
      <w:r>
        <w:rPr>
          <w:i/>
          <w:spacing w:val="-5"/>
          <w:sz w:val="16"/>
        </w:rPr>
        <w:t> </w:t>
      </w:r>
      <w:r>
        <w:rPr>
          <w:i/>
          <w:sz w:val="16"/>
        </w:rPr>
        <w:t>interamericana</w:t>
      </w:r>
      <w:r>
        <w:rPr>
          <w:i/>
          <w:spacing w:val="-5"/>
          <w:sz w:val="16"/>
        </w:rPr>
        <w:t> </w:t>
      </w:r>
      <w:r>
        <w:rPr>
          <w:i/>
          <w:sz w:val="16"/>
        </w:rPr>
        <w:t>para</w:t>
      </w:r>
      <w:r>
        <w:rPr>
          <w:i/>
          <w:spacing w:val="-5"/>
          <w:sz w:val="16"/>
        </w:rPr>
        <w:t> </w:t>
      </w:r>
      <w:r>
        <w:rPr>
          <w:i/>
          <w:sz w:val="16"/>
        </w:rPr>
        <w:t>el</w:t>
      </w:r>
      <w:r>
        <w:rPr>
          <w:i/>
          <w:spacing w:val="-4"/>
          <w:sz w:val="16"/>
        </w:rPr>
        <w:t> </w:t>
      </w:r>
      <w:r>
        <w:rPr>
          <w:i/>
          <w:sz w:val="16"/>
        </w:rPr>
        <w:t>desarrollo</w:t>
      </w:r>
      <w:r>
        <w:rPr>
          <w:i/>
          <w:spacing w:val="-4"/>
          <w:sz w:val="16"/>
        </w:rPr>
        <w:t> </w:t>
      </w:r>
      <w:r>
        <w:rPr>
          <w:i/>
          <w:sz w:val="16"/>
        </w:rPr>
        <w:t>integral</w:t>
      </w:r>
      <w:r>
        <w:rPr>
          <w:i/>
          <w:spacing w:val="-4"/>
          <w:sz w:val="16"/>
        </w:rPr>
        <w:t> </w:t>
      </w:r>
      <w:r>
        <w:rPr>
          <w:i/>
          <w:sz w:val="16"/>
        </w:rPr>
        <w:t>de</w:t>
      </w:r>
      <w:r>
        <w:rPr>
          <w:i/>
          <w:spacing w:val="-5"/>
          <w:sz w:val="16"/>
        </w:rPr>
        <w:t> </w:t>
      </w:r>
      <w:r>
        <w:rPr>
          <w:i/>
          <w:sz w:val="16"/>
        </w:rPr>
        <w:t>acuerdo</w:t>
      </w:r>
      <w:r>
        <w:rPr>
          <w:i/>
          <w:spacing w:val="-5"/>
          <w:sz w:val="16"/>
        </w:rPr>
        <w:t> </w:t>
      </w:r>
      <w:r>
        <w:rPr>
          <w:i/>
          <w:sz w:val="16"/>
        </w:rPr>
        <w:t>con </w:t>
      </w:r>
      <w:r>
        <w:rPr>
          <w:i/>
          <w:sz w:val="16"/>
        </w:rPr>
        <w:t>sus recursos y posibilidades, y de conformidad con sus</w:t>
      </w:r>
      <w:r>
        <w:rPr>
          <w:i/>
          <w:spacing w:val="-13"/>
          <w:sz w:val="16"/>
        </w:rPr>
        <w:t> </w:t>
      </w:r>
      <w:r>
        <w:rPr>
          <w:i/>
          <w:sz w:val="16"/>
        </w:rPr>
        <w:t>leyes</w:t>
      </w:r>
      <w:r>
        <w:rPr>
          <w:sz w:val="16"/>
        </w:rPr>
        <w:t>.”</w:t>
      </w:r>
    </w:p>
    <w:p>
      <w:pPr>
        <w:pStyle w:val="BodyText"/>
        <w:rPr>
          <w:sz w:val="16"/>
        </w:rPr>
      </w:pPr>
    </w:p>
    <w:p>
      <w:pPr>
        <w:spacing w:before="0"/>
        <w:ind w:left="681" w:right="123" w:firstLine="0"/>
        <w:jc w:val="both"/>
        <w:rPr>
          <w:i/>
          <w:sz w:val="16"/>
        </w:rPr>
      </w:pPr>
      <w:r>
        <w:rPr>
          <w:position w:val="6"/>
          <w:sz w:val="10"/>
        </w:rPr>
        <w:t>93 </w:t>
      </w:r>
      <w:r>
        <w:rPr>
          <w:i/>
          <w:sz w:val="16"/>
        </w:rPr>
        <w:t>“El desarrollo es responsabilidad primordial de cada país y debe constituir un proceso integral y continuo </w:t>
      </w:r>
      <w:r>
        <w:rPr>
          <w:i/>
          <w:sz w:val="16"/>
        </w:rPr>
        <w:t>para la creación de un orden económico y social justo que permita y contribuya a la plena realización de la persona humana.”</w:t>
      </w:r>
    </w:p>
    <w:p>
      <w:pPr>
        <w:pStyle w:val="BodyText"/>
        <w:spacing w:before="12"/>
        <w:rPr>
          <w:i/>
          <w:sz w:val="15"/>
        </w:rPr>
      </w:pPr>
    </w:p>
    <w:p>
      <w:pPr>
        <w:spacing w:before="0"/>
        <w:ind w:left="681" w:right="123" w:firstLine="0"/>
        <w:jc w:val="both"/>
        <w:rPr>
          <w:i/>
          <w:sz w:val="16"/>
        </w:rPr>
      </w:pPr>
      <w:r>
        <w:rPr>
          <w:position w:val="6"/>
          <w:sz w:val="10"/>
        </w:rPr>
        <w:t>94 </w:t>
      </w:r>
      <w:r>
        <w:rPr>
          <w:i/>
          <w:sz w:val="16"/>
        </w:rPr>
        <w:t>“Los Estados miembros convienen en que la igualdad de oportunidades, la eliminación de la pobreza crítica </w:t>
      </w:r>
      <w:r>
        <w:rPr>
          <w:i/>
          <w:sz w:val="16"/>
        </w:rPr>
        <w:t>y la distribución equitativa de la riqueza y del ingreso, así como la plena participación de sus pueblos en las decisiones relativas a su propio desarrollo, son, entre otros, objetivos básicos del desarrollo integral. Para lograrlos, convienen asimismo en dedicar sus máximos esfuerzos a la consecución de las siguientes metas básicas:</w:t>
      </w:r>
    </w:p>
    <w:p>
      <w:pPr>
        <w:pStyle w:val="ListParagraph"/>
        <w:numPr>
          <w:ilvl w:val="0"/>
          <w:numId w:val="61"/>
        </w:numPr>
        <w:tabs>
          <w:tab w:pos="907" w:val="left" w:leader="none"/>
        </w:tabs>
        <w:spacing w:line="240" w:lineRule="auto" w:before="0" w:after="0"/>
        <w:ind w:left="681" w:right="0" w:firstLine="0"/>
        <w:jc w:val="both"/>
        <w:rPr>
          <w:i/>
          <w:sz w:val="16"/>
        </w:rPr>
      </w:pPr>
      <w:r>
        <w:rPr>
          <w:i/>
          <w:sz w:val="16"/>
        </w:rPr>
        <w:t>Incremento sustancial y autosostenido del producto nacional per</w:t>
      </w:r>
      <w:r>
        <w:rPr>
          <w:i/>
          <w:spacing w:val="-15"/>
          <w:sz w:val="16"/>
        </w:rPr>
        <w:t> </w:t>
      </w:r>
      <w:r>
        <w:rPr>
          <w:i/>
          <w:sz w:val="16"/>
        </w:rPr>
        <w:t>cápita;</w:t>
      </w:r>
    </w:p>
    <w:p>
      <w:pPr>
        <w:pStyle w:val="ListParagraph"/>
        <w:numPr>
          <w:ilvl w:val="0"/>
          <w:numId w:val="61"/>
        </w:numPr>
        <w:tabs>
          <w:tab w:pos="910" w:val="left" w:leader="none"/>
        </w:tabs>
        <w:spacing w:line="240" w:lineRule="auto" w:before="0" w:after="0"/>
        <w:ind w:left="909" w:right="0" w:hanging="228"/>
        <w:jc w:val="both"/>
        <w:rPr>
          <w:i/>
          <w:sz w:val="16"/>
        </w:rPr>
      </w:pPr>
      <w:r>
        <w:rPr>
          <w:i/>
          <w:sz w:val="16"/>
        </w:rPr>
        <w:t>Distribución equitativa del ingreso</w:t>
      </w:r>
      <w:r>
        <w:rPr>
          <w:i/>
          <w:spacing w:val="-11"/>
          <w:sz w:val="16"/>
        </w:rPr>
        <w:t> </w:t>
      </w:r>
      <w:r>
        <w:rPr>
          <w:i/>
          <w:sz w:val="16"/>
        </w:rPr>
        <w:t>nacional;</w:t>
      </w:r>
    </w:p>
    <w:p>
      <w:pPr>
        <w:pStyle w:val="ListParagraph"/>
        <w:numPr>
          <w:ilvl w:val="0"/>
          <w:numId w:val="61"/>
        </w:numPr>
        <w:tabs>
          <w:tab w:pos="893" w:val="left" w:leader="none"/>
        </w:tabs>
        <w:spacing w:line="240" w:lineRule="auto" w:before="0" w:after="0"/>
        <w:ind w:left="892" w:right="0" w:hanging="211"/>
        <w:jc w:val="both"/>
        <w:rPr>
          <w:i/>
          <w:sz w:val="16"/>
        </w:rPr>
      </w:pPr>
      <w:r>
        <w:rPr>
          <w:i/>
          <w:sz w:val="16"/>
        </w:rPr>
        <w:t>Sistemas impositivos adecuados y</w:t>
      </w:r>
      <w:r>
        <w:rPr>
          <w:i/>
          <w:spacing w:val="-14"/>
          <w:sz w:val="16"/>
        </w:rPr>
        <w:t> </w:t>
      </w:r>
      <w:r>
        <w:rPr>
          <w:i/>
          <w:sz w:val="16"/>
        </w:rPr>
        <w:t>equitativos;</w:t>
      </w:r>
    </w:p>
    <w:p>
      <w:pPr>
        <w:pStyle w:val="ListParagraph"/>
        <w:numPr>
          <w:ilvl w:val="0"/>
          <w:numId w:val="61"/>
        </w:numPr>
        <w:tabs>
          <w:tab w:pos="906" w:val="left" w:leader="none"/>
        </w:tabs>
        <w:spacing w:line="240" w:lineRule="auto" w:before="0" w:after="0"/>
        <w:ind w:left="681" w:right="121" w:firstLine="0"/>
        <w:jc w:val="both"/>
        <w:rPr>
          <w:i/>
          <w:sz w:val="16"/>
        </w:rPr>
      </w:pPr>
      <w:r>
        <w:rPr>
          <w:i/>
          <w:sz w:val="16"/>
        </w:rPr>
        <w:t>Modernización</w:t>
      </w:r>
      <w:r>
        <w:rPr>
          <w:i/>
          <w:spacing w:val="-6"/>
          <w:sz w:val="16"/>
        </w:rPr>
        <w:t> </w:t>
      </w:r>
      <w:r>
        <w:rPr>
          <w:i/>
          <w:sz w:val="16"/>
        </w:rPr>
        <w:t>de</w:t>
      </w:r>
      <w:r>
        <w:rPr>
          <w:i/>
          <w:spacing w:val="-6"/>
          <w:sz w:val="16"/>
        </w:rPr>
        <w:t> </w:t>
      </w:r>
      <w:r>
        <w:rPr>
          <w:i/>
          <w:sz w:val="16"/>
        </w:rPr>
        <w:t>la</w:t>
      </w:r>
      <w:r>
        <w:rPr>
          <w:i/>
          <w:spacing w:val="-6"/>
          <w:sz w:val="16"/>
        </w:rPr>
        <w:t> </w:t>
      </w:r>
      <w:r>
        <w:rPr>
          <w:i/>
          <w:sz w:val="16"/>
        </w:rPr>
        <w:t>vida</w:t>
      </w:r>
      <w:r>
        <w:rPr>
          <w:i/>
          <w:spacing w:val="-6"/>
          <w:sz w:val="16"/>
        </w:rPr>
        <w:t> </w:t>
      </w:r>
      <w:r>
        <w:rPr>
          <w:i/>
          <w:sz w:val="16"/>
        </w:rPr>
        <w:t>rural</w:t>
      </w:r>
      <w:r>
        <w:rPr>
          <w:i/>
          <w:spacing w:val="-5"/>
          <w:sz w:val="16"/>
        </w:rPr>
        <w:t> </w:t>
      </w:r>
      <w:r>
        <w:rPr>
          <w:i/>
          <w:sz w:val="16"/>
        </w:rPr>
        <w:t>y</w:t>
      </w:r>
      <w:r>
        <w:rPr>
          <w:i/>
          <w:spacing w:val="-5"/>
          <w:sz w:val="16"/>
        </w:rPr>
        <w:t> </w:t>
      </w:r>
      <w:r>
        <w:rPr>
          <w:i/>
          <w:sz w:val="16"/>
        </w:rPr>
        <w:t>reformas</w:t>
      </w:r>
      <w:r>
        <w:rPr>
          <w:i/>
          <w:spacing w:val="-6"/>
          <w:sz w:val="16"/>
        </w:rPr>
        <w:t> </w:t>
      </w:r>
      <w:r>
        <w:rPr>
          <w:i/>
          <w:sz w:val="16"/>
        </w:rPr>
        <w:t>que</w:t>
      </w:r>
      <w:r>
        <w:rPr>
          <w:i/>
          <w:spacing w:val="-5"/>
          <w:sz w:val="16"/>
        </w:rPr>
        <w:t> </w:t>
      </w:r>
      <w:r>
        <w:rPr>
          <w:i/>
          <w:sz w:val="16"/>
        </w:rPr>
        <w:t>conduzcan</w:t>
      </w:r>
      <w:r>
        <w:rPr>
          <w:i/>
          <w:spacing w:val="-6"/>
          <w:sz w:val="16"/>
        </w:rPr>
        <w:t> </w:t>
      </w:r>
      <w:r>
        <w:rPr>
          <w:i/>
          <w:sz w:val="16"/>
        </w:rPr>
        <w:t>a</w:t>
      </w:r>
      <w:r>
        <w:rPr>
          <w:i/>
          <w:spacing w:val="-6"/>
          <w:sz w:val="16"/>
        </w:rPr>
        <w:t> </w:t>
      </w:r>
      <w:r>
        <w:rPr>
          <w:i/>
          <w:sz w:val="16"/>
        </w:rPr>
        <w:t>regímenes</w:t>
      </w:r>
      <w:r>
        <w:rPr>
          <w:i/>
          <w:spacing w:val="-6"/>
          <w:sz w:val="16"/>
        </w:rPr>
        <w:t> </w:t>
      </w:r>
      <w:r>
        <w:rPr>
          <w:i/>
          <w:sz w:val="16"/>
        </w:rPr>
        <w:t>equitativos</w:t>
      </w:r>
      <w:r>
        <w:rPr>
          <w:i/>
          <w:spacing w:val="-6"/>
          <w:sz w:val="16"/>
        </w:rPr>
        <w:t> </w:t>
      </w:r>
      <w:r>
        <w:rPr>
          <w:i/>
          <w:sz w:val="16"/>
        </w:rPr>
        <w:t>y</w:t>
      </w:r>
      <w:r>
        <w:rPr>
          <w:i/>
          <w:spacing w:val="-4"/>
          <w:sz w:val="16"/>
        </w:rPr>
        <w:t> </w:t>
      </w:r>
      <w:r>
        <w:rPr>
          <w:i/>
          <w:sz w:val="16"/>
        </w:rPr>
        <w:t>eficaces</w:t>
      </w:r>
      <w:r>
        <w:rPr>
          <w:i/>
          <w:spacing w:val="-6"/>
          <w:sz w:val="16"/>
        </w:rPr>
        <w:t> </w:t>
      </w:r>
      <w:r>
        <w:rPr>
          <w:i/>
          <w:sz w:val="16"/>
        </w:rPr>
        <w:t>de</w:t>
      </w:r>
      <w:r>
        <w:rPr>
          <w:i/>
          <w:spacing w:val="-5"/>
          <w:sz w:val="16"/>
        </w:rPr>
        <w:t> </w:t>
      </w:r>
      <w:r>
        <w:rPr>
          <w:i/>
          <w:sz w:val="16"/>
        </w:rPr>
        <w:t>tenencia</w:t>
      </w:r>
      <w:r>
        <w:rPr>
          <w:i/>
          <w:spacing w:val="-6"/>
          <w:sz w:val="16"/>
        </w:rPr>
        <w:t> </w:t>
      </w:r>
      <w:r>
        <w:rPr>
          <w:i/>
          <w:sz w:val="16"/>
        </w:rPr>
        <w:t>de </w:t>
      </w:r>
      <w:r>
        <w:rPr>
          <w:i/>
          <w:sz w:val="16"/>
        </w:rPr>
        <w:t>la tierra, mayor productividad agrícola, expansión del uso de la tierra, diversificación de la producción y mejores sistemas para la industrialización y comercialización de productos agrícolas, y fortalecimiento y ampliación de los medios para alcanzar estos</w:t>
      </w:r>
      <w:r>
        <w:rPr>
          <w:i/>
          <w:spacing w:val="-19"/>
          <w:sz w:val="16"/>
        </w:rPr>
        <w:t> </w:t>
      </w:r>
      <w:r>
        <w:rPr>
          <w:i/>
          <w:sz w:val="16"/>
        </w:rPr>
        <w:t>fines;</w:t>
      </w:r>
    </w:p>
    <w:p>
      <w:pPr>
        <w:pStyle w:val="ListParagraph"/>
        <w:numPr>
          <w:ilvl w:val="0"/>
          <w:numId w:val="61"/>
        </w:numPr>
        <w:tabs>
          <w:tab w:pos="905" w:val="left" w:leader="none"/>
        </w:tabs>
        <w:spacing w:line="240" w:lineRule="auto" w:before="0" w:after="0"/>
        <w:ind w:left="904" w:right="0" w:hanging="223"/>
        <w:jc w:val="both"/>
        <w:rPr>
          <w:i/>
          <w:sz w:val="16"/>
        </w:rPr>
      </w:pPr>
      <w:r>
        <w:rPr>
          <w:i/>
          <w:sz w:val="16"/>
        </w:rPr>
        <w:t>Industrialización acelerada y diversificada, especialmente de bienes de capital e</w:t>
      </w:r>
      <w:r>
        <w:rPr>
          <w:i/>
          <w:spacing w:val="-28"/>
          <w:sz w:val="16"/>
        </w:rPr>
        <w:t> </w:t>
      </w:r>
      <w:r>
        <w:rPr>
          <w:i/>
          <w:sz w:val="16"/>
        </w:rPr>
        <w:t>intermedios;</w:t>
      </w:r>
    </w:p>
    <w:p>
      <w:pPr>
        <w:pStyle w:val="ListParagraph"/>
        <w:numPr>
          <w:ilvl w:val="0"/>
          <w:numId w:val="61"/>
        </w:numPr>
        <w:tabs>
          <w:tab w:pos="930" w:val="left" w:leader="none"/>
        </w:tabs>
        <w:spacing w:line="240" w:lineRule="auto" w:before="0" w:after="0"/>
        <w:ind w:left="681" w:right="122" w:firstLine="0"/>
        <w:jc w:val="both"/>
        <w:rPr>
          <w:i/>
          <w:sz w:val="16"/>
        </w:rPr>
      </w:pPr>
      <w:r>
        <w:rPr>
          <w:i/>
          <w:sz w:val="16"/>
        </w:rPr>
        <w:t>Estabilidad del nivel de precios internos en armonía con el desarrollo económico sostenido y el logro de la </w:t>
      </w:r>
      <w:r>
        <w:rPr>
          <w:i/>
          <w:sz w:val="16"/>
        </w:rPr>
        <w:t>justicia</w:t>
      </w:r>
      <w:r>
        <w:rPr>
          <w:i/>
          <w:spacing w:val="-7"/>
          <w:sz w:val="16"/>
        </w:rPr>
        <w:t> </w:t>
      </w:r>
      <w:r>
        <w:rPr>
          <w:i/>
          <w:sz w:val="16"/>
        </w:rPr>
        <w:t>social;</w:t>
      </w:r>
    </w:p>
    <w:p>
      <w:pPr>
        <w:pStyle w:val="ListParagraph"/>
        <w:numPr>
          <w:ilvl w:val="0"/>
          <w:numId w:val="61"/>
        </w:numPr>
        <w:tabs>
          <w:tab w:pos="910" w:val="left" w:leader="none"/>
        </w:tabs>
        <w:spacing w:line="240" w:lineRule="auto" w:before="0" w:after="0"/>
        <w:ind w:left="909" w:right="0" w:hanging="228"/>
        <w:jc w:val="both"/>
        <w:rPr>
          <w:i/>
          <w:sz w:val="16"/>
        </w:rPr>
      </w:pPr>
      <w:r>
        <w:rPr>
          <w:i/>
          <w:sz w:val="16"/>
        </w:rPr>
        <w:t>Salarios justos, oportunidades de empleo y condiciones de trabajo aceptables para</w:t>
      </w:r>
      <w:r>
        <w:rPr>
          <w:i/>
          <w:spacing w:val="-20"/>
          <w:sz w:val="16"/>
        </w:rPr>
        <w:t> </w:t>
      </w:r>
      <w:r>
        <w:rPr>
          <w:i/>
          <w:sz w:val="16"/>
        </w:rPr>
        <w:t>todos;</w:t>
      </w:r>
    </w:p>
    <w:p>
      <w:pPr>
        <w:pStyle w:val="ListParagraph"/>
        <w:numPr>
          <w:ilvl w:val="0"/>
          <w:numId w:val="61"/>
        </w:numPr>
        <w:tabs>
          <w:tab w:pos="928" w:val="left" w:leader="none"/>
        </w:tabs>
        <w:spacing w:line="240" w:lineRule="auto" w:before="0" w:after="0"/>
        <w:ind w:left="681" w:right="120" w:firstLine="0"/>
        <w:jc w:val="both"/>
        <w:rPr>
          <w:i/>
          <w:sz w:val="16"/>
        </w:rPr>
      </w:pPr>
      <w:r>
        <w:rPr>
          <w:i/>
          <w:sz w:val="16"/>
        </w:rPr>
        <w:t>Erradicación rápida del analfabetismo y ampliación, para todos, de las oportunidades en el campo de la </w:t>
      </w:r>
      <w:r>
        <w:rPr>
          <w:i/>
          <w:sz w:val="16"/>
        </w:rPr>
        <w:t>educación;</w:t>
      </w:r>
    </w:p>
    <w:p>
      <w:pPr>
        <w:pStyle w:val="ListParagraph"/>
        <w:numPr>
          <w:ilvl w:val="0"/>
          <w:numId w:val="61"/>
        </w:numPr>
        <w:tabs>
          <w:tab w:pos="949" w:val="left" w:leader="none"/>
        </w:tabs>
        <w:spacing w:line="240" w:lineRule="auto" w:before="0" w:after="0"/>
        <w:ind w:left="681" w:right="125" w:firstLine="0"/>
        <w:jc w:val="both"/>
        <w:rPr>
          <w:i/>
          <w:sz w:val="16"/>
        </w:rPr>
      </w:pPr>
      <w:r>
        <w:rPr>
          <w:i/>
          <w:sz w:val="16"/>
        </w:rPr>
        <w:t>Defensa del potencial humano mediante la extensión y aplicación de los modernos conocimientos de la </w:t>
      </w:r>
      <w:r>
        <w:rPr>
          <w:i/>
          <w:sz w:val="16"/>
        </w:rPr>
        <w:t>ciencia</w:t>
      </w:r>
      <w:r>
        <w:rPr>
          <w:i/>
          <w:spacing w:val="-4"/>
          <w:sz w:val="16"/>
        </w:rPr>
        <w:t> </w:t>
      </w:r>
      <w:r>
        <w:rPr>
          <w:i/>
          <w:sz w:val="16"/>
        </w:rPr>
        <w:t>médica;</w:t>
      </w:r>
    </w:p>
    <w:p>
      <w:pPr>
        <w:pStyle w:val="ListParagraph"/>
        <w:numPr>
          <w:ilvl w:val="0"/>
          <w:numId w:val="61"/>
        </w:numPr>
        <w:tabs>
          <w:tab w:pos="1025" w:val="left" w:leader="none"/>
        </w:tabs>
        <w:spacing w:line="240" w:lineRule="auto" w:before="0" w:after="0"/>
        <w:ind w:left="681" w:right="118" w:firstLine="0"/>
        <w:jc w:val="both"/>
        <w:rPr>
          <w:i/>
          <w:sz w:val="16"/>
        </w:rPr>
      </w:pPr>
      <w:r>
        <w:rPr>
          <w:i/>
          <w:sz w:val="16"/>
        </w:rPr>
        <w:t>Nutrición adecuada, particularmente por medio de la aceleración de los esfuerzos nacionales para </w:t>
      </w:r>
      <w:r>
        <w:rPr>
          <w:i/>
          <w:sz w:val="16"/>
        </w:rPr>
        <w:t>incrementar la producción y disponibilidad de</w:t>
      </w:r>
      <w:r>
        <w:rPr>
          <w:i/>
          <w:spacing w:val="-17"/>
          <w:sz w:val="16"/>
        </w:rPr>
        <w:t> </w:t>
      </w:r>
      <w:r>
        <w:rPr>
          <w:i/>
          <w:sz w:val="16"/>
        </w:rPr>
        <w:t>alimentos;</w:t>
      </w:r>
    </w:p>
    <w:p>
      <w:pPr>
        <w:pStyle w:val="ListParagraph"/>
        <w:numPr>
          <w:ilvl w:val="0"/>
          <w:numId w:val="61"/>
        </w:numPr>
        <w:tabs>
          <w:tab w:pos="904" w:val="left" w:leader="none"/>
        </w:tabs>
        <w:spacing w:line="240" w:lineRule="auto" w:before="0" w:after="0"/>
        <w:ind w:left="903" w:right="0" w:hanging="222"/>
        <w:jc w:val="both"/>
        <w:rPr>
          <w:i/>
          <w:sz w:val="16"/>
        </w:rPr>
      </w:pPr>
      <w:r>
        <w:rPr>
          <w:i/>
          <w:sz w:val="16"/>
        </w:rPr>
        <w:t>Vivienda adecuada para todos los sectores de la</w:t>
      </w:r>
      <w:r>
        <w:rPr>
          <w:i/>
          <w:spacing w:val="-16"/>
          <w:sz w:val="16"/>
        </w:rPr>
        <w:t> </w:t>
      </w:r>
      <w:r>
        <w:rPr>
          <w:i/>
          <w:sz w:val="16"/>
        </w:rPr>
        <w:t>población;</w:t>
      </w:r>
    </w:p>
    <w:p>
      <w:pPr>
        <w:pStyle w:val="ListParagraph"/>
        <w:numPr>
          <w:ilvl w:val="0"/>
          <w:numId w:val="61"/>
        </w:numPr>
        <w:tabs>
          <w:tab w:pos="911" w:val="left" w:leader="none"/>
        </w:tabs>
        <w:spacing w:line="240" w:lineRule="auto" w:before="0" w:after="0"/>
        <w:ind w:left="910" w:right="0" w:hanging="229"/>
        <w:jc w:val="both"/>
        <w:rPr>
          <w:i/>
          <w:sz w:val="16"/>
        </w:rPr>
      </w:pPr>
      <w:r>
        <w:rPr>
          <w:i/>
          <w:sz w:val="16"/>
        </w:rPr>
        <w:t>Condiciones urbanas que hagan posible una vida sana, productiva y</w:t>
      </w:r>
      <w:r>
        <w:rPr>
          <w:i/>
          <w:spacing w:val="-20"/>
          <w:sz w:val="16"/>
        </w:rPr>
        <w:t> </w:t>
      </w:r>
      <w:r>
        <w:rPr>
          <w:i/>
          <w:sz w:val="16"/>
        </w:rPr>
        <w:t>digna;</w:t>
      </w:r>
    </w:p>
    <w:p>
      <w:pPr>
        <w:pStyle w:val="ListParagraph"/>
        <w:numPr>
          <w:ilvl w:val="0"/>
          <w:numId w:val="61"/>
        </w:numPr>
        <w:tabs>
          <w:tab w:pos="966" w:val="left" w:leader="none"/>
        </w:tabs>
        <w:spacing w:line="240" w:lineRule="auto" w:before="0" w:after="0"/>
        <w:ind w:left="965" w:right="0" w:hanging="284"/>
        <w:jc w:val="both"/>
        <w:rPr>
          <w:i/>
          <w:sz w:val="16"/>
        </w:rPr>
      </w:pPr>
      <w:r>
        <w:rPr>
          <w:i/>
          <w:sz w:val="16"/>
        </w:rPr>
        <w:t>Promoción de la iniciativa y la inversión privadas en armonía con la acción del sector público,</w:t>
      </w:r>
      <w:r>
        <w:rPr>
          <w:i/>
          <w:spacing w:val="-23"/>
          <w:sz w:val="16"/>
        </w:rPr>
        <w:t> </w:t>
      </w:r>
      <w:r>
        <w:rPr>
          <w:i/>
          <w:sz w:val="16"/>
        </w:rPr>
        <w:t>y</w:t>
      </w:r>
    </w:p>
    <w:p>
      <w:pPr>
        <w:pStyle w:val="ListParagraph"/>
        <w:numPr>
          <w:ilvl w:val="0"/>
          <w:numId w:val="61"/>
        </w:numPr>
        <w:tabs>
          <w:tab w:pos="967" w:val="left" w:leader="none"/>
        </w:tabs>
        <w:spacing w:line="240" w:lineRule="auto" w:before="0" w:after="0"/>
        <w:ind w:left="966" w:right="0" w:hanging="285"/>
        <w:jc w:val="both"/>
        <w:rPr>
          <w:sz w:val="16"/>
        </w:rPr>
      </w:pPr>
      <w:r>
        <w:rPr>
          <w:i/>
          <w:sz w:val="16"/>
        </w:rPr>
        <w:t>Expansión y diversificación de las</w:t>
      </w:r>
      <w:r>
        <w:rPr>
          <w:i/>
          <w:spacing w:val="-14"/>
          <w:sz w:val="16"/>
        </w:rPr>
        <w:t> </w:t>
      </w:r>
      <w:r>
        <w:rPr>
          <w:i/>
          <w:sz w:val="16"/>
        </w:rPr>
        <w:t>exportaciones</w:t>
      </w:r>
      <w:r>
        <w:rPr>
          <w:sz w:val="16"/>
        </w:rPr>
        <w:t>.”</w:t>
      </w:r>
    </w:p>
    <w:p>
      <w:pPr>
        <w:pStyle w:val="BodyText"/>
        <w:spacing w:before="12"/>
        <w:rPr>
          <w:sz w:val="15"/>
        </w:rPr>
      </w:pPr>
    </w:p>
    <w:p>
      <w:pPr>
        <w:spacing w:before="0"/>
        <w:ind w:left="681" w:right="0" w:firstLine="0"/>
        <w:jc w:val="both"/>
        <w:rPr>
          <w:sz w:val="16"/>
        </w:rPr>
      </w:pPr>
      <w:r>
        <w:rPr>
          <w:position w:val="6"/>
          <w:sz w:val="10"/>
        </w:rPr>
        <w:t>95  </w:t>
      </w:r>
      <w:r>
        <w:rPr>
          <w:i/>
          <w:sz w:val="16"/>
        </w:rPr>
        <w:t>Idem, </w:t>
      </w:r>
      <w:r>
        <w:rPr>
          <w:sz w:val="16"/>
        </w:rPr>
        <w:t>letra j).</w:t>
      </w:r>
    </w:p>
    <w:p>
      <w:pPr>
        <w:pStyle w:val="BodyText"/>
        <w:spacing w:before="12"/>
        <w:rPr>
          <w:sz w:val="15"/>
        </w:rPr>
      </w:pPr>
    </w:p>
    <w:p>
      <w:pPr>
        <w:spacing w:before="0"/>
        <w:ind w:left="681" w:right="0" w:firstLine="0"/>
        <w:jc w:val="both"/>
        <w:rPr>
          <w:sz w:val="16"/>
        </w:rPr>
      </w:pPr>
      <w:r>
        <w:rPr>
          <w:position w:val="6"/>
          <w:sz w:val="10"/>
        </w:rPr>
        <w:t>96  </w:t>
      </w:r>
      <w:r>
        <w:rPr>
          <w:i/>
          <w:sz w:val="16"/>
        </w:rPr>
        <w:t>Idem, </w:t>
      </w:r>
      <w:r>
        <w:rPr>
          <w:sz w:val="16"/>
        </w:rPr>
        <w:t>letra i).</w:t>
      </w:r>
    </w:p>
    <w:p>
      <w:pPr>
        <w:pStyle w:val="BodyText"/>
        <w:rPr>
          <w:sz w:val="16"/>
        </w:rPr>
      </w:pPr>
    </w:p>
    <w:p>
      <w:pPr>
        <w:spacing w:before="0"/>
        <w:ind w:left="681" w:right="0" w:firstLine="0"/>
        <w:jc w:val="both"/>
        <w:rPr>
          <w:sz w:val="16"/>
        </w:rPr>
      </w:pPr>
      <w:r>
        <w:rPr>
          <w:position w:val="6"/>
          <w:sz w:val="10"/>
        </w:rPr>
        <w:t>97  </w:t>
      </w:r>
      <w:r>
        <w:rPr>
          <w:i/>
          <w:sz w:val="16"/>
        </w:rPr>
        <w:t>Idem</w:t>
      </w:r>
      <w:r>
        <w:rPr>
          <w:sz w:val="16"/>
        </w:rPr>
        <w:t>, letra l.</w:t>
      </w:r>
    </w:p>
    <w:p>
      <w:pPr>
        <w:pStyle w:val="BodyText"/>
        <w:spacing w:before="11"/>
        <w:rPr>
          <w:sz w:val="15"/>
        </w:rPr>
      </w:pPr>
    </w:p>
    <w:p>
      <w:pPr>
        <w:spacing w:before="0"/>
        <w:ind w:left="681" w:right="120" w:firstLine="0"/>
        <w:jc w:val="both"/>
        <w:rPr>
          <w:i/>
          <w:sz w:val="16"/>
        </w:rPr>
      </w:pPr>
      <w:r>
        <w:rPr>
          <w:position w:val="6"/>
          <w:sz w:val="10"/>
        </w:rPr>
        <w:t>98 </w:t>
      </w:r>
      <w:r>
        <w:rPr>
          <w:i/>
          <w:sz w:val="16"/>
        </w:rPr>
        <w:t>“Los Estados miembros, convencidos de que el hombre sólo puede alcanzar la plena realización de sus </w:t>
      </w:r>
      <w:r>
        <w:rPr>
          <w:i/>
          <w:sz w:val="16"/>
        </w:rPr>
        <w:t>aspiraciones</w:t>
      </w:r>
      <w:r>
        <w:rPr>
          <w:i/>
          <w:spacing w:val="-14"/>
          <w:sz w:val="16"/>
        </w:rPr>
        <w:t> </w:t>
      </w:r>
      <w:r>
        <w:rPr>
          <w:i/>
          <w:sz w:val="16"/>
        </w:rPr>
        <w:t>dentro</w:t>
      </w:r>
      <w:r>
        <w:rPr>
          <w:i/>
          <w:spacing w:val="-13"/>
          <w:sz w:val="16"/>
        </w:rPr>
        <w:t> </w:t>
      </w:r>
      <w:r>
        <w:rPr>
          <w:i/>
          <w:sz w:val="16"/>
        </w:rPr>
        <w:t>de</w:t>
      </w:r>
      <w:r>
        <w:rPr>
          <w:i/>
          <w:spacing w:val="-13"/>
          <w:sz w:val="16"/>
        </w:rPr>
        <w:t> </w:t>
      </w:r>
      <w:r>
        <w:rPr>
          <w:i/>
          <w:sz w:val="16"/>
        </w:rPr>
        <w:t>un</w:t>
      </w:r>
      <w:r>
        <w:rPr>
          <w:i/>
          <w:spacing w:val="-13"/>
          <w:sz w:val="16"/>
        </w:rPr>
        <w:t> </w:t>
      </w:r>
      <w:r>
        <w:rPr>
          <w:i/>
          <w:sz w:val="16"/>
        </w:rPr>
        <w:t>orden</w:t>
      </w:r>
      <w:r>
        <w:rPr>
          <w:i/>
          <w:spacing w:val="-13"/>
          <w:sz w:val="16"/>
        </w:rPr>
        <w:t> </w:t>
      </w:r>
      <w:r>
        <w:rPr>
          <w:i/>
          <w:sz w:val="16"/>
        </w:rPr>
        <w:t>social</w:t>
      </w:r>
      <w:r>
        <w:rPr>
          <w:i/>
          <w:spacing w:val="-12"/>
          <w:sz w:val="16"/>
        </w:rPr>
        <w:t> </w:t>
      </w:r>
      <w:r>
        <w:rPr>
          <w:i/>
          <w:sz w:val="16"/>
        </w:rPr>
        <w:t>justo,</w:t>
      </w:r>
      <w:r>
        <w:rPr>
          <w:i/>
          <w:spacing w:val="-12"/>
          <w:sz w:val="16"/>
        </w:rPr>
        <w:t> </w:t>
      </w:r>
      <w:r>
        <w:rPr>
          <w:i/>
          <w:sz w:val="16"/>
        </w:rPr>
        <w:t>acompañado</w:t>
      </w:r>
      <w:r>
        <w:rPr>
          <w:i/>
          <w:spacing w:val="-13"/>
          <w:sz w:val="16"/>
        </w:rPr>
        <w:t> </w:t>
      </w:r>
      <w:r>
        <w:rPr>
          <w:i/>
          <w:sz w:val="16"/>
        </w:rPr>
        <w:t>de</w:t>
      </w:r>
      <w:r>
        <w:rPr>
          <w:i/>
          <w:spacing w:val="-13"/>
          <w:sz w:val="16"/>
        </w:rPr>
        <w:t> </w:t>
      </w:r>
      <w:r>
        <w:rPr>
          <w:i/>
          <w:sz w:val="16"/>
        </w:rPr>
        <w:t>desarrollo</w:t>
      </w:r>
      <w:r>
        <w:rPr>
          <w:i/>
          <w:spacing w:val="-13"/>
          <w:sz w:val="16"/>
        </w:rPr>
        <w:t> </w:t>
      </w:r>
      <w:r>
        <w:rPr>
          <w:i/>
          <w:sz w:val="16"/>
        </w:rPr>
        <w:t>económico</w:t>
      </w:r>
      <w:r>
        <w:rPr>
          <w:i/>
          <w:spacing w:val="-13"/>
          <w:sz w:val="16"/>
        </w:rPr>
        <w:t> </w:t>
      </w:r>
      <w:r>
        <w:rPr>
          <w:i/>
          <w:sz w:val="16"/>
        </w:rPr>
        <w:t>y</w:t>
      </w:r>
      <w:r>
        <w:rPr>
          <w:i/>
          <w:spacing w:val="-13"/>
          <w:sz w:val="16"/>
        </w:rPr>
        <w:t> </w:t>
      </w:r>
      <w:r>
        <w:rPr>
          <w:i/>
          <w:sz w:val="16"/>
        </w:rPr>
        <w:t>verdadera</w:t>
      </w:r>
      <w:r>
        <w:rPr>
          <w:i/>
          <w:spacing w:val="-13"/>
          <w:sz w:val="16"/>
        </w:rPr>
        <w:t> </w:t>
      </w:r>
      <w:r>
        <w:rPr>
          <w:i/>
          <w:sz w:val="16"/>
        </w:rPr>
        <w:t>paz,</w:t>
      </w:r>
      <w:r>
        <w:rPr>
          <w:i/>
          <w:spacing w:val="-13"/>
          <w:sz w:val="16"/>
        </w:rPr>
        <w:t> </w:t>
      </w:r>
      <w:r>
        <w:rPr>
          <w:i/>
          <w:sz w:val="16"/>
        </w:rPr>
        <w:t>convienen</w:t>
      </w:r>
    </w:p>
    <w:p>
      <w:pPr>
        <w:spacing w:after="0"/>
        <w:jc w:val="both"/>
        <w:rPr>
          <w:sz w:val="16"/>
        </w:rPr>
        <w:sectPr>
          <w:footerReference w:type="default" r:id="rId40"/>
          <w:pgSz w:w="12240" w:h="15840"/>
          <w:pgMar w:footer="1000" w:header="0" w:top="1220" w:bottom="1200" w:left="1020" w:right="1580"/>
        </w:sectPr>
      </w:pPr>
    </w:p>
    <w:p>
      <w:pPr>
        <w:pStyle w:val="BodyText"/>
        <w:spacing w:before="83"/>
        <w:ind w:left="681" w:right="123"/>
        <w:jc w:val="both"/>
      </w:pPr>
      <w:r>
        <w:rPr/>
        <w:t>finalmente, en lo pertinente al derecho a la identidad cultural, menciona a los artículos 30</w:t>
      </w:r>
      <w:r>
        <w:rPr>
          <w:position w:val="7"/>
          <w:sz w:val="13"/>
        </w:rPr>
        <w:t>99</w:t>
      </w:r>
      <w:r>
        <w:rPr/>
        <w:t>, 45.f</w:t>
      </w:r>
      <w:r>
        <w:rPr>
          <w:position w:val="7"/>
          <w:sz w:val="13"/>
        </w:rPr>
        <w:t>100</w:t>
      </w:r>
      <w:r>
        <w:rPr/>
        <w:t>, 47</w:t>
      </w:r>
      <w:r>
        <w:rPr>
          <w:position w:val="7"/>
          <w:sz w:val="13"/>
        </w:rPr>
        <w:t>101 </w:t>
      </w:r>
      <w:r>
        <w:rPr/>
        <w:t>y 48</w:t>
      </w:r>
      <w:r>
        <w:rPr>
          <w:position w:val="7"/>
          <w:sz w:val="13"/>
        </w:rPr>
        <w:t>102 </w:t>
      </w:r>
      <w:r>
        <w:rPr/>
        <w:t>de la citada Carta.</w:t>
      </w:r>
    </w:p>
    <w:p>
      <w:pPr>
        <w:pStyle w:val="BodyText"/>
        <w:spacing w:before="11"/>
        <w:rPr>
          <w:sz w:val="19"/>
        </w:rPr>
      </w:pPr>
    </w:p>
    <w:p>
      <w:pPr>
        <w:pStyle w:val="ListParagraph"/>
        <w:numPr>
          <w:ilvl w:val="0"/>
          <w:numId w:val="59"/>
        </w:numPr>
        <w:tabs>
          <w:tab w:pos="1390" w:val="left" w:leader="none"/>
        </w:tabs>
        <w:spacing w:line="240" w:lineRule="auto" w:before="0" w:after="0"/>
        <w:ind w:left="681" w:right="117" w:firstLine="0"/>
        <w:jc w:val="both"/>
        <w:rPr>
          <w:sz w:val="20"/>
        </w:rPr>
      </w:pPr>
      <w:r>
        <w:rPr>
          <w:sz w:val="20"/>
        </w:rPr>
        <w:t>Ahora bien, basta la sola lectura de las normas citadas para comprobar, con claridad</w:t>
      </w:r>
      <w:r>
        <w:rPr>
          <w:spacing w:val="-6"/>
          <w:sz w:val="20"/>
        </w:rPr>
        <w:t> </w:t>
      </w:r>
      <w:r>
        <w:rPr>
          <w:sz w:val="20"/>
        </w:rPr>
        <w:t>y</w:t>
      </w:r>
      <w:r>
        <w:rPr>
          <w:spacing w:val="-4"/>
          <w:sz w:val="20"/>
        </w:rPr>
        <w:t> </w:t>
      </w:r>
      <w:r>
        <w:rPr>
          <w:sz w:val="20"/>
        </w:rPr>
        <w:t>sin</w:t>
      </w:r>
      <w:r>
        <w:rPr>
          <w:spacing w:val="-5"/>
          <w:sz w:val="20"/>
        </w:rPr>
        <w:t> </w:t>
      </w:r>
      <w:r>
        <w:rPr>
          <w:sz w:val="20"/>
        </w:rPr>
        <w:t>la</w:t>
      </w:r>
      <w:r>
        <w:rPr>
          <w:spacing w:val="-6"/>
          <w:sz w:val="20"/>
        </w:rPr>
        <w:t> </w:t>
      </w:r>
      <w:r>
        <w:rPr>
          <w:sz w:val="20"/>
        </w:rPr>
        <w:t>menor</w:t>
      </w:r>
      <w:r>
        <w:rPr>
          <w:spacing w:val="-6"/>
          <w:sz w:val="20"/>
        </w:rPr>
        <w:t> </w:t>
      </w:r>
      <w:r>
        <w:rPr>
          <w:sz w:val="20"/>
        </w:rPr>
        <w:t>duda,</w:t>
      </w:r>
      <w:r>
        <w:rPr>
          <w:spacing w:val="-6"/>
          <w:sz w:val="20"/>
        </w:rPr>
        <w:t> </w:t>
      </w:r>
      <w:r>
        <w:rPr>
          <w:sz w:val="20"/>
        </w:rPr>
        <w:t>que</w:t>
      </w:r>
      <w:r>
        <w:rPr>
          <w:spacing w:val="-5"/>
          <w:sz w:val="20"/>
        </w:rPr>
        <w:t> </w:t>
      </w:r>
      <w:r>
        <w:rPr>
          <w:sz w:val="20"/>
        </w:rPr>
        <w:t>ellas</w:t>
      </w:r>
      <w:r>
        <w:rPr>
          <w:spacing w:val="-6"/>
          <w:sz w:val="20"/>
        </w:rPr>
        <w:t> </w:t>
      </w:r>
      <w:r>
        <w:rPr>
          <w:sz w:val="20"/>
        </w:rPr>
        <w:t>establecen</w:t>
      </w:r>
      <w:r>
        <w:rPr>
          <w:spacing w:val="-5"/>
          <w:sz w:val="20"/>
        </w:rPr>
        <w:t> </w:t>
      </w:r>
      <w:r>
        <w:rPr>
          <w:sz w:val="20"/>
        </w:rPr>
        <w:t>“principios”,</w:t>
      </w:r>
      <w:r>
        <w:rPr>
          <w:spacing w:val="-5"/>
          <w:sz w:val="20"/>
        </w:rPr>
        <w:t> </w:t>
      </w:r>
      <w:r>
        <w:rPr>
          <w:sz w:val="20"/>
        </w:rPr>
        <w:t>“metas”</w:t>
      </w:r>
      <w:r>
        <w:rPr>
          <w:spacing w:val="-4"/>
          <w:sz w:val="20"/>
        </w:rPr>
        <w:t> </w:t>
      </w:r>
      <w:r>
        <w:rPr>
          <w:sz w:val="20"/>
        </w:rPr>
        <w:t>o</w:t>
      </w:r>
      <w:r>
        <w:rPr>
          <w:spacing w:val="-6"/>
          <w:sz w:val="20"/>
        </w:rPr>
        <w:t> </w:t>
      </w:r>
      <w:r>
        <w:rPr>
          <w:sz w:val="20"/>
        </w:rPr>
        <w:t>“mecanismos” para, aunando esfuerzos entre los Estados Partes de la Carta de la OEA, “lograr que impere</w:t>
      </w:r>
      <w:r>
        <w:rPr>
          <w:spacing w:val="-3"/>
          <w:sz w:val="20"/>
        </w:rPr>
        <w:t> </w:t>
      </w:r>
      <w:r>
        <w:rPr>
          <w:sz w:val="20"/>
        </w:rPr>
        <w:t>la</w:t>
      </w:r>
      <w:r>
        <w:rPr>
          <w:spacing w:val="-5"/>
          <w:sz w:val="20"/>
        </w:rPr>
        <w:t> </w:t>
      </w:r>
      <w:r>
        <w:rPr>
          <w:sz w:val="20"/>
        </w:rPr>
        <w:t>justicia</w:t>
      </w:r>
      <w:r>
        <w:rPr>
          <w:spacing w:val="-5"/>
          <w:sz w:val="20"/>
        </w:rPr>
        <w:t> </w:t>
      </w:r>
      <w:r>
        <w:rPr>
          <w:sz w:val="20"/>
        </w:rPr>
        <w:t>social</w:t>
      </w:r>
      <w:r>
        <w:rPr>
          <w:spacing w:val="-5"/>
          <w:sz w:val="20"/>
        </w:rPr>
        <w:t> </w:t>
      </w:r>
      <w:r>
        <w:rPr>
          <w:sz w:val="20"/>
        </w:rPr>
        <w:t>internacional</w:t>
      </w:r>
      <w:r>
        <w:rPr>
          <w:spacing w:val="-4"/>
          <w:sz w:val="20"/>
        </w:rPr>
        <w:t> </w:t>
      </w:r>
      <w:r>
        <w:rPr>
          <w:sz w:val="20"/>
        </w:rPr>
        <w:t>en</w:t>
      </w:r>
      <w:r>
        <w:rPr>
          <w:spacing w:val="-3"/>
          <w:sz w:val="20"/>
        </w:rPr>
        <w:t> </w:t>
      </w:r>
      <w:r>
        <w:rPr>
          <w:sz w:val="20"/>
        </w:rPr>
        <w:t>sus</w:t>
      </w:r>
      <w:r>
        <w:rPr>
          <w:spacing w:val="-3"/>
          <w:sz w:val="20"/>
        </w:rPr>
        <w:t> </w:t>
      </w:r>
      <w:r>
        <w:rPr>
          <w:sz w:val="20"/>
        </w:rPr>
        <w:t>relaciones</w:t>
      </w:r>
      <w:r>
        <w:rPr>
          <w:spacing w:val="-6"/>
          <w:sz w:val="20"/>
        </w:rPr>
        <w:t> </w:t>
      </w:r>
      <w:r>
        <w:rPr>
          <w:sz w:val="20"/>
        </w:rPr>
        <w:t>y</w:t>
      </w:r>
      <w:r>
        <w:rPr>
          <w:spacing w:val="-4"/>
          <w:sz w:val="20"/>
        </w:rPr>
        <w:t> </w:t>
      </w:r>
      <w:r>
        <w:rPr>
          <w:sz w:val="20"/>
        </w:rPr>
        <w:t>para</w:t>
      </w:r>
      <w:r>
        <w:rPr>
          <w:spacing w:val="-4"/>
          <w:sz w:val="20"/>
        </w:rPr>
        <w:t> </w:t>
      </w:r>
      <w:r>
        <w:rPr>
          <w:sz w:val="20"/>
        </w:rPr>
        <w:t>que</w:t>
      </w:r>
      <w:r>
        <w:rPr>
          <w:spacing w:val="-4"/>
          <w:sz w:val="20"/>
        </w:rPr>
        <w:t> </w:t>
      </w:r>
      <w:r>
        <w:rPr>
          <w:sz w:val="20"/>
        </w:rPr>
        <w:t>sus</w:t>
      </w:r>
      <w:r>
        <w:rPr>
          <w:spacing w:val="-5"/>
          <w:sz w:val="20"/>
        </w:rPr>
        <w:t> </w:t>
      </w:r>
      <w:r>
        <w:rPr>
          <w:sz w:val="20"/>
        </w:rPr>
        <w:t>pueblos</w:t>
      </w:r>
      <w:r>
        <w:rPr>
          <w:spacing w:val="-5"/>
          <w:sz w:val="20"/>
        </w:rPr>
        <w:t> </w:t>
      </w:r>
      <w:r>
        <w:rPr>
          <w:sz w:val="20"/>
        </w:rPr>
        <w:t>alcancen un</w:t>
      </w:r>
      <w:r>
        <w:rPr>
          <w:spacing w:val="-15"/>
          <w:sz w:val="20"/>
        </w:rPr>
        <w:t> </w:t>
      </w:r>
      <w:r>
        <w:rPr>
          <w:sz w:val="20"/>
        </w:rPr>
        <w:t>desarrollo</w:t>
      </w:r>
      <w:r>
        <w:rPr>
          <w:spacing w:val="-16"/>
          <w:sz w:val="20"/>
        </w:rPr>
        <w:t> </w:t>
      </w:r>
      <w:r>
        <w:rPr>
          <w:sz w:val="20"/>
        </w:rPr>
        <w:t>integral,</w:t>
      </w:r>
      <w:r>
        <w:rPr>
          <w:spacing w:val="-15"/>
          <w:sz w:val="20"/>
        </w:rPr>
        <w:t> </w:t>
      </w:r>
      <w:r>
        <w:rPr>
          <w:sz w:val="20"/>
        </w:rPr>
        <w:t>condiciones</w:t>
      </w:r>
      <w:r>
        <w:rPr>
          <w:spacing w:val="-16"/>
          <w:sz w:val="20"/>
        </w:rPr>
        <w:t> </w:t>
      </w:r>
      <w:r>
        <w:rPr>
          <w:sz w:val="20"/>
        </w:rPr>
        <w:t>indispensables</w:t>
      </w:r>
      <w:r>
        <w:rPr>
          <w:spacing w:val="-15"/>
          <w:sz w:val="20"/>
        </w:rPr>
        <w:t> </w:t>
      </w:r>
      <w:r>
        <w:rPr>
          <w:sz w:val="20"/>
        </w:rPr>
        <w:t>para</w:t>
      </w:r>
      <w:r>
        <w:rPr>
          <w:spacing w:val="-16"/>
          <w:sz w:val="20"/>
        </w:rPr>
        <w:t> </w:t>
      </w:r>
      <w:r>
        <w:rPr>
          <w:sz w:val="20"/>
        </w:rPr>
        <w:t>la</w:t>
      </w:r>
      <w:r>
        <w:rPr>
          <w:spacing w:val="-16"/>
          <w:sz w:val="20"/>
        </w:rPr>
        <w:t> </w:t>
      </w:r>
      <w:r>
        <w:rPr>
          <w:sz w:val="20"/>
        </w:rPr>
        <w:t>paz</w:t>
      </w:r>
      <w:r>
        <w:rPr>
          <w:spacing w:val="-15"/>
          <w:sz w:val="20"/>
        </w:rPr>
        <w:t> </w:t>
      </w:r>
      <w:r>
        <w:rPr>
          <w:sz w:val="20"/>
        </w:rPr>
        <w:t>y</w:t>
      </w:r>
      <w:r>
        <w:rPr>
          <w:spacing w:val="-15"/>
          <w:sz w:val="20"/>
        </w:rPr>
        <w:t> </w:t>
      </w:r>
      <w:r>
        <w:rPr>
          <w:sz w:val="20"/>
        </w:rPr>
        <w:t>la</w:t>
      </w:r>
      <w:r>
        <w:rPr>
          <w:spacing w:val="-16"/>
          <w:sz w:val="20"/>
        </w:rPr>
        <w:t> </w:t>
      </w:r>
      <w:r>
        <w:rPr>
          <w:sz w:val="20"/>
        </w:rPr>
        <w:t>seguridad”.</w:t>
      </w:r>
      <w:r>
        <w:rPr>
          <w:spacing w:val="-16"/>
          <w:sz w:val="20"/>
        </w:rPr>
        <w:t> </w:t>
      </w:r>
      <w:r>
        <w:rPr>
          <w:sz w:val="20"/>
        </w:rPr>
        <w:t>No</w:t>
      </w:r>
      <w:r>
        <w:rPr>
          <w:spacing w:val="-16"/>
          <w:sz w:val="20"/>
        </w:rPr>
        <w:t> </w:t>
      </w:r>
      <w:r>
        <w:rPr>
          <w:sz w:val="20"/>
        </w:rPr>
        <w:t>se</w:t>
      </w:r>
      <w:r>
        <w:rPr>
          <w:spacing w:val="-15"/>
          <w:sz w:val="20"/>
        </w:rPr>
        <w:t> </w:t>
      </w:r>
      <w:r>
        <w:rPr>
          <w:sz w:val="20"/>
        </w:rPr>
        <w:t>debe olvidar que todas las normas citadas se encuentran en el Capítulo VII de aquella, denominado “Desarrollo Integral”. De modo, pues, que tales normas establecen obligaciones de hacer, consistentes en cooperar y adoptar políticas públicas con la finalidad de que se alcance el desarrollo de los pueblos de</w:t>
      </w:r>
      <w:r>
        <w:rPr>
          <w:spacing w:val="-17"/>
          <w:sz w:val="20"/>
        </w:rPr>
        <w:t> </w:t>
      </w:r>
      <w:r>
        <w:rPr>
          <w:sz w:val="20"/>
        </w:rPr>
        <w:t>América.</w:t>
      </w:r>
    </w:p>
    <w:p>
      <w:pPr>
        <w:pStyle w:val="BodyText"/>
        <w:rPr>
          <w:sz w:val="22"/>
        </w:rPr>
      </w:pPr>
    </w:p>
    <w:p>
      <w:pPr>
        <w:pStyle w:val="ListParagraph"/>
        <w:numPr>
          <w:ilvl w:val="0"/>
          <w:numId w:val="59"/>
        </w:numPr>
        <w:tabs>
          <w:tab w:pos="1390" w:val="left" w:leader="none"/>
        </w:tabs>
        <w:spacing w:line="240" w:lineRule="auto" w:before="0" w:after="0"/>
        <w:ind w:left="681" w:right="119" w:firstLine="0"/>
        <w:jc w:val="both"/>
        <w:rPr>
          <w:sz w:val="20"/>
        </w:rPr>
      </w:pPr>
      <w:r>
        <w:rPr>
          <w:sz w:val="20"/>
        </w:rPr>
        <w:t>Así las cosas, de los objetivos de las normas aludidas, referentes a la “justicia social internacional”, el “desarrollo integral”, el “orden social justo”, el “desarrollo económico y la paz”, la “integración de la comunidad nacional”, su “desarrollo y progreso” y el “ser un país desarrollado”, se “derivarían”, según a la interpretación suministrada por la Sentencia, los derechos humanos correspondientes. Y eso acontecería asimismo con las “metas básicas” atingentes con, por ejemplo, el “incremento sustancial y autosostenido del producto nacional per cápita” o la “distribución equitativa del ingreso nacional” o la “modernización de la vida rural” o la “industrialización</w:t>
      </w:r>
      <w:r>
        <w:rPr>
          <w:spacing w:val="-16"/>
          <w:sz w:val="20"/>
        </w:rPr>
        <w:t> </w:t>
      </w:r>
      <w:r>
        <w:rPr>
          <w:sz w:val="20"/>
        </w:rPr>
        <w:t>acelerada</w:t>
      </w:r>
      <w:r>
        <w:rPr>
          <w:spacing w:val="-17"/>
          <w:sz w:val="20"/>
        </w:rPr>
        <w:t> </w:t>
      </w:r>
      <w:r>
        <w:rPr>
          <w:sz w:val="20"/>
        </w:rPr>
        <w:t>y</w:t>
      </w:r>
      <w:r>
        <w:rPr>
          <w:spacing w:val="-16"/>
          <w:sz w:val="20"/>
        </w:rPr>
        <w:t> </w:t>
      </w:r>
      <w:r>
        <w:rPr>
          <w:sz w:val="20"/>
        </w:rPr>
        <w:t>diversificada”</w:t>
      </w:r>
      <w:r>
        <w:rPr>
          <w:spacing w:val="-16"/>
          <w:sz w:val="20"/>
        </w:rPr>
        <w:t> </w:t>
      </w:r>
      <w:r>
        <w:rPr>
          <w:sz w:val="20"/>
        </w:rPr>
        <w:t>o</w:t>
      </w:r>
      <w:r>
        <w:rPr>
          <w:spacing w:val="-17"/>
          <w:sz w:val="20"/>
        </w:rPr>
        <w:t> </w:t>
      </w:r>
      <w:r>
        <w:rPr>
          <w:sz w:val="20"/>
        </w:rPr>
        <w:t>la</w:t>
      </w:r>
      <w:r>
        <w:rPr>
          <w:spacing w:val="-18"/>
          <w:sz w:val="20"/>
        </w:rPr>
        <w:t> </w:t>
      </w:r>
      <w:r>
        <w:rPr>
          <w:sz w:val="20"/>
        </w:rPr>
        <w:t>estabilidad</w:t>
      </w:r>
      <w:r>
        <w:rPr>
          <w:spacing w:val="-18"/>
          <w:sz w:val="20"/>
        </w:rPr>
        <w:t> </w:t>
      </w:r>
      <w:r>
        <w:rPr>
          <w:sz w:val="20"/>
        </w:rPr>
        <w:t>del</w:t>
      </w:r>
      <w:r>
        <w:rPr>
          <w:spacing w:val="-17"/>
          <w:sz w:val="20"/>
        </w:rPr>
        <w:t> </w:t>
      </w:r>
      <w:r>
        <w:rPr>
          <w:sz w:val="20"/>
        </w:rPr>
        <w:t>nivel</w:t>
      </w:r>
      <w:r>
        <w:rPr>
          <w:spacing w:val="-17"/>
          <w:sz w:val="20"/>
        </w:rPr>
        <w:t> </w:t>
      </w:r>
      <w:r>
        <w:rPr>
          <w:sz w:val="20"/>
        </w:rPr>
        <w:t>de</w:t>
      </w:r>
      <w:r>
        <w:rPr>
          <w:spacing w:val="-17"/>
          <w:sz w:val="20"/>
        </w:rPr>
        <w:t> </w:t>
      </w:r>
      <w:r>
        <w:rPr>
          <w:sz w:val="20"/>
        </w:rPr>
        <w:t>precios</w:t>
      </w:r>
      <w:r>
        <w:rPr>
          <w:spacing w:val="-18"/>
          <w:sz w:val="20"/>
        </w:rPr>
        <w:t> </w:t>
      </w:r>
      <w:r>
        <w:rPr>
          <w:sz w:val="20"/>
        </w:rPr>
        <w:t>internos”, o las “condiciones urbanas” o “la iniciativa y la inversión privada” o “la expansión y diversificación de las exportaciones”. Esto es, el abanico de posibilidades de las que el intérprete podría “derivar” o “actualizar” derechos humanos no expresamente contemplados en noma internacional alguna, sería enorme, por no afirmar, sin</w:t>
      </w:r>
      <w:r>
        <w:rPr>
          <w:spacing w:val="-17"/>
          <w:sz w:val="20"/>
        </w:rPr>
        <w:t> </w:t>
      </w:r>
      <w:r>
        <w:rPr>
          <w:sz w:val="20"/>
        </w:rPr>
        <w:t>límite.</w:t>
      </w:r>
    </w:p>
    <w:p>
      <w:pPr>
        <w:pStyle w:val="BodyText"/>
        <w:spacing w:before="11"/>
        <w:rPr>
          <w:sz w:val="19"/>
        </w:rPr>
      </w:pPr>
    </w:p>
    <w:p>
      <w:pPr>
        <w:pStyle w:val="ListParagraph"/>
        <w:numPr>
          <w:ilvl w:val="0"/>
          <w:numId w:val="59"/>
        </w:numPr>
        <w:tabs>
          <w:tab w:pos="1390" w:val="left" w:leader="none"/>
        </w:tabs>
        <w:spacing w:line="240" w:lineRule="auto" w:before="0" w:after="0"/>
        <w:ind w:left="681" w:right="117" w:firstLine="0"/>
        <w:jc w:val="both"/>
        <w:rPr>
          <w:sz w:val="20"/>
        </w:rPr>
      </w:pPr>
      <w:r>
        <w:rPr>
          <w:sz w:val="20"/>
        </w:rPr>
        <w:t>Y se trata de un fenómeno que ya es actual. Antes, la Corte resolvió, conforme al</w:t>
      </w:r>
      <w:r>
        <w:rPr>
          <w:spacing w:val="-8"/>
          <w:sz w:val="20"/>
        </w:rPr>
        <w:t> </w:t>
      </w:r>
      <w:r>
        <w:rPr>
          <w:sz w:val="20"/>
        </w:rPr>
        <w:t>artículo</w:t>
      </w:r>
      <w:r>
        <w:rPr>
          <w:spacing w:val="-10"/>
          <w:sz w:val="20"/>
        </w:rPr>
        <w:t> </w:t>
      </w:r>
      <w:r>
        <w:rPr>
          <w:sz w:val="20"/>
        </w:rPr>
        <w:t>26,</w:t>
      </w:r>
      <w:r>
        <w:rPr>
          <w:spacing w:val="-8"/>
          <w:sz w:val="20"/>
        </w:rPr>
        <w:t> </w:t>
      </w:r>
      <w:r>
        <w:rPr>
          <w:sz w:val="20"/>
        </w:rPr>
        <w:t>aunque</w:t>
      </w:r>
      <w:r>
        <w:rPr>
          <w:spacing w:val="-7"/>
          <w:sz w:val="20"/>
        </w:rPr>
        <w:t> </w:t>
      </w:r>
      <w:r>
        <w:rPr>
          <w:sz w:val="20"/>
        </w:rPr>
        <w:t>relacionado</w:t>
      </w:r>
      <w:r>
        <w:rPr>
          <w:spacing w:val="-10"/>
          <w:sz w:val="20"/>
        </w:rPr>
        <w:t> </w:t>
      </w:r>
      <w:r>
        <w:rPr>
          <w:sz w:val="20"/>
        </w:rPr>
        <w:t>con</w:t>
      </w:r>
      <w:r>
        <w:rPr>
          <w:spacing w:val="-8"/>
          <w:sz w:val="20"/>
        </w:rPr>
        <w:t> </w:t>
      </w:r>
      <w:r>
        <w:rPr>
          <w:sz w:val="20"/>
        </w:rPr>
        <w:t>otras</w:t>
      </w:r>
      <w:r>
        <w:rPr>
          <w:spacing w:val="-10"/>
          <w:sz w:val="20"/>
        </w:rPr>
        <w:t> </w:t>
      </w:r>
      <w:r>
        <w:rPr>
          <w:sz w:val="20"/>
        </w:rPr>
        <w:t>normas</w:t>
      </w:r>
      <w:r>
        <w:rPr>
          <w:spacing w:val="-8"/>
          <w:sz w:val="20"/>
        </w:rPr>
        <w:t> </w:t>
      </w:r>
      <w:r>
        <w:rPr>
          <w:sz w:val="20"/>
        </w:rPr>
        <w:t>convencionales,</w:t>
      </w:r>
      <w:r>
        <w:rPr>
          <w:spacing w:val="-9"/>
          <w:sz w:val="20"/>
        </w:rPr>
        <w:t> </w:t>
      </w:r>
      <w:r>
        <w:rPr>
          <w:sz w:val="20"/>
        </w:rPr>
        <w:t>casos</w:t>
      </w:r>
      <w:r>
        <w:rPr>
          <w:spacing w:val="-8"/>
          <w:sz w:val="20"/>
        </w:rPr>
        <w:t> </w:t>
      </w:r>
      <w:r>
        <w:rPr>
          <w:sz w:val="20"/>
        </w:rPr>
        <w:t>atingentes</w:t>
      </w:r>
      <w:r>
        <w:rPr>
          <w:spacing w:val="-9"/>
          <w:sz w:val="20"/>
        </w:rPr>
        <w:t> </w:t>
      </w:r>
      <w:r>
        <w:rPr>
          <w:sz w:val="20"/>
        </w:rPr>
        <w:t>al derecho de la salud, a la seguridad social, al derecho del trabajo y al derecho a la estabilidad</w:t>
      </w:r>
      <w:r>
        <w:rPr>
          <w:spacing w:val="-9"/>
          <w:sz w:val="20"/>
        </w:rPr>
        <w:t> </w:t>
      </w:r>
      <w:r>
        <w:rPr>
          <w:sz w:val="20"/>
        </w:rPr>
        <w:t>del</w:t>
      </w:r>
      <w:r>
        <w:rPr>
          <w:spacing w:val="-8"/>
          <w:sz w:val="20"/>
        </w:rPr>
        <w:t> </w:t>
      </w:r>
      <w:r>
        <w:rPr>
          <w:sz w:val="20"/>
        </w:rPr>
        <w:t>empleo.</w:t>
      </w:r>
      <w:r>
        <w:rPr>
          <w:spacing w:val="-9"/>
          <w:sz w:val="20"/>
        </w:rPr>
        <w:t> </w:t>
      </w:r>
      <w:r>
        <w:rPr>
          <w:sz w:val="20"/>
        </w:rPr>
        <w:t>Ahora</w:t>
      </w:r>
      <w:r>
        <w:rPr>
          <w:spacing w:val="-7"/>
          <w:sz w:val="20"/>
        </w:rPr>
        <w:t> </w:t>
      </w:r>
      <w:r>
        <w:rPr>
          <w:sz w:val="20"/>
        </w:rPr>
        <w:t>lo</w:t>
      </w:r>
      <w:r>
        <w:rPr>
          <w:spacing w:val="-7"/>
          <w:sz w:val="20"/>
        </w:rPr>
        <w:t> </w:t>
      </w:r>
      <w:r>
        <w:rPr>
          <w:sz w:val="20"/>
        </w:rPr>
        <w:t>hace</w:t>
      </w:r>
      <w:r>
        <w:rPr>
          <w:spacing w:val="-6"/>
          <w:sz w:val="20"/>
        </w:rPr>
        <w:t> </w:t>
      </w:r>
      <w:r>
        <w:rPr>
          <w:sz w:val="20"/>
        </w:rPr>
        <w:t>respecto</w:t>
      </w:r>
      <w:r>
        <w:rPr>
          <w:spacing w:val="-9"/>
          <w:sz w:val="20"/>
        </w:rPr>
        <w:t> </w:t>
      </w:r>
      <w:r>
        <w:rPr>
          <w:sz w:val="20"/>
        </w:rPr>
        <w:t>de</w:t>
      </w:r>
      <w:r>
        <w:rPr>
          <w:spacing w:val="-6"/>
          <w:sz w:val="20"/>
        </w:rPr>
        <w:t> </w:t>
      </w:r>
      <w:r>
        <w:rPr>
          <w:sz w:val="20"/>
        </w:rPr>
        <w:t>los</w:t>
      </w:r>
      <w:r>
        <w:rPr>
          <w:spacing w:val="-7"/>
          <w:sz w:val="20"/>
        </w:rPr>
        <w:t> </w:t>
      </w:r>
      <w:r>
        <w:rPr>
          <w:sz w:val="20"/>
        </w:rPr>
        <w:t>derechos</w:t>
      </w:r>
      <w:r>
        <w:rPr>
          <w:spacing w:val="-6"/>
          <w:sz w:val="20"/>
        </w:rPr>
        <w:t> </w:t>
      </w:r>
      <w:r>
        <w:rPr>
          <w:sz w:val="20"/>
        </w:rPr>
        <w:t>a</w:t>
      </w:r>
      <w:r>
        <w:rPr>
          <w:spacing w:val="-7"/>
          <w:sz w:val="20"/>
        </w:rPr>
        <w:t> </w:t>
      </w:r>
      <w:r>
        <w:rPr>
          <w:sz w:val="20"/>
        </w:rPr>
        <w:t>la</w:t>
      </w:r>
      <w:r>
        <w:rPr>
          <w:spacing w:val="-7"/>
          <w:sz w:val="20"/>
        </w:rPr>
        <w:t> </w:t>
      </w:r>
      <w:r>
        <w:rPr>
          <w:sz w:val="20"/>
        </w:rPr>
        <w:t>identidad</w:t>
      </w:r>
      <w:r>
        <w:rPr>
          <w:spacing w:val="-9"/>
          <w:sz w:val="20"/>
        </w:rPr>
        <w:t> </w:t>
      </w:r>
      <w:r>
        <w:rPr>
          <w:sz w:val="20"/>
        </w:rPr>
        <w:t>cultural,</w:t>
      </w:r>
      <w:r>
        <w:rPr>
          <w:spacing w:val="-7"/>
          <w:sz w:val="20"/>
        </w:rPr>
        <w:t> </w:t>
      </w:r>
      <w:r>
        <w:rPr>
          <w:sz w:val="20"/>
        </w:rPr>
        <w:t>al</w:t>
      </w:r>
    </w:p>
    <w:p>
      <w:pPr>
        <w:pStyle w:val="BodyText"/>
        <w:spacing w:before="8"/>
        <w:rPr>
          <w:sz w:val="12"/>
        </w:rPr>
      </w:pPr>
      <w:r>
        <w:rPr/>
        <w:pict>
          <v:line style="position:absolute;mso-position-horizontal-relative:page;mso-position-vertical-relative:paragraph;z-index:4312;mso-wrap-distance-left:0;mso-wrap-distance-right:0" from="56.700001pt,10.052631pt" to="200.720001pt,10.052631pt" stroked="true" strokeweight=".72pt" strokecolor="#000000">
            <v:stroke dashstyle="solid"/>
            <w10:wrap type="topAndBottom"/>
          </v:line>
        </w:pict>
      </w:r>
    </w:p>
    <w:p>
      <w:pPr>
        <w:spacing w:before="70"/>
        <w:ind w:left="681" w:right="0" w:firstLine="0"/>
        <w:jc w:val="both"/>
        <w:rPr>
          <w:i/>
          <w:sz w:val="16"/>
        </w:rPr>
      </w:pPr>
      <w:r>
        <w:rPr>
          <w:i/>
          <w:sz w:val="16"/>
        </w:rPr>
        <w:t>en dedicar sus máximos esfuerzos a la aplicación de los siguientes principios y mecanismos: …h)   Desarrollo</w:t>
      </w:r>
    </w:p>
    <w:p>
      <w:pPr>
        <w:spacing w:before="0"/>
        <w:ind w:left="681" w:right="0" w:firstLine="0"/>
        <w:jc w:val="both"/>
        <w:rPr>
          <w:i/>
          <w:sz w:val="16"/>
        </w:rPr>
      </w:pPr>
      <w:r>
        <w:rPr>
          <w:i/>
          <w:sz w:val="16"/>
        </w:rPr>
        <w:t>de una política eficiente de seguridad social.”</w:t>
      </w:r>
    </w:p>
    <w:p>
      <w:pPr>
        <w:pStyle w:val="BodyText"/>
        <w:rPr>
          <w:i/>
          <w:sz w:val="16"/>
        </w:rPr>
      </w:pPr>
    </w:p>
    <w:p>
      <w:pPr>
        <w:spacing w:before="0"/>
        <w:ind w:left="681" w:right="120" w:firstLine="0"/>
        <w:jc w:val="both"/>
        <w:rPr>
          <w:i/>
          <w:sz w:val="16"/>
        </w:rPr>
      </w:pPr>
      <w:r>
        <w:rPr>
          <w:i/>
          <w:position w:val="6"/>
          <w:sz w:val="10"/>
        </w:rPr>
        <w:t>99 </w:t>
      </w:r>
      <w:r>
        <w:rPr>
          <w:i/>
          <w:sz w:val="16"/>
        </w:rPr>
        <w:t>“Los Estados miembros, inspirados en los principios de solidaridad y cooperación interamericanas, se </w:t>
      </w:r>
      <w:r>
        <w:rPr>
          <w:i/>
          <w:sz w:val="16"/>
        </w:rPr>
        <w:t>comprometen</w:t>
      </w:r>
      <w:r>
        <w:rPr>
          <w:i/>
          <w:spacing w:val="-9"/>
          <w:sz w:val="16"/>
        </w:rPr>
        <w:t> </w:t>
      </w:r>
      <w:r>
        <w:rPr>
          <w:i/>
          <w:sz w:val="16"/>
        </w:rPr>
        <w:t>a</w:t>
      </w:r>
      <w:r>
        <w:rPr>
          <w:i/>
          <w:spacing w:val="-8"/>
          <w:sz w:val="16"/>
        </w:rPr>
        <w:t> </w:t>
      </w:r>
      <w:r>
        <w:rPr>
          <w:i/>
          <w:sz w:val="16"/>
        </w:rPr>
        <w:t>aunar</w:t>
      </w:r>
      <w:r>
        <w:rPr>
          <w:i/>
          <w:spacing w:val="-9"/>
          <w:sz w:val="16"/>
        </w:rPr>
        <w:t> </w:t>
      </w:r>
      <w:r>
        <w:rPr>
          <w:i/>
          <w:sz w:val="16"/>
        </w:rPr>
        <w:t>esfuerzos</w:t>
      </w:r>
      <w:r>
        <w:rPr>
          <w:i/>
          <w:spacing w:val="-9"/>
          <w:sz w:val="16"/>
        </w:rPr>
        <w:t> </w:t>
      </w:r>
      <w:r>
        <w:rPr>
          <w:i/>
          <w:sz w:val="16"/>
        </w:rPr>
        <w:t>para</w:t>
      </w:r>
      <w:r>
        <w:rPr>
          <w:i/>
          <w:spacing w:val="-8"/>
          <w:sz w:val="16"/>
        </w:rPr>
        <w:t> </w:t>
      </w:r>
      <w:r>
        <w:rPr>
          <w:i/>
          <w:sz w:val="16"/>
        </w:rPr>
        <w:t>lograr</w:t>
      </w:r>
      <w:r>
        <w:rPr>
          <w:i/>
          <w:spacing w:val="-9"/>
          <w:sz w:val="16"/>
        </w:rPr>
        <w:t> </w:t>
      </w:r>
      <w:r>
        <w:rPr>
          <w:i/>
          <w:sz w:val="16"/>
        </w:rPr>
        <w:t>que</w:t>
      </w:r>
      <w:r>
        <w:rPr>
          <w:i/>
          <w:spacing w:val="-9"/>
          <w:sz w:val="16"/>
        </w:rPr>
        <w:t> </w:t>
      </w:r>
      <w:r>
        <w:rPr>
          <w:i/>
          <w:sz w:val="16"/>
        </w:rPr>
        <w:t>impere</w:t>
      </w:r>
      <w:r>
        <w:rPr>
          <w:i/>
          <w:spacing w:val="-8"/>
          <w:sz w:val="16"/>
        </w:rPr>
        <w:t> </w:t>
      </w:r>
      <w:r>
        <w:rPr>
          <w:i/>
          <w:sz w:val="16"/>
        </w:rPr>
        <w:t>la</w:t>
      </w:r>
      <w:r>
        <w:rPr>
          <w:i/>
          <w:spacing w:val="-9"/>
          <w:sz w:val="16"/>
        </w:rPr>
        <w:t> </w:t>
      </w:r>
      <w:r>
        <w:rPr>
          <w:i/>
          <w:sz w:val="16"/>
        </w:rPr>
        <w:t>justicia</w:t>
      </w:r>
      <w:r>
        <w:rPr>
          <w:i/>
          <w:spacing w:val="-8"/>
          <w:sz w:val="16"/>
        </w:rPr>
        <w:t> </w:t>
      </w:r>
      <w:r>
        <w:rPr>
          <w:i/>
          <w:sz w:val="16"/>
        </w:rPr>
        <w:t>social</w:t>
      </w:r>
      <w:r>
        <w:rPr>
          <w:i/>
          <w:spacing w:val="-7"/>
          <w:sz w:val="16"/>
        </w:rPr>
        <w:t> </w:t>
      </w:r>
      <w:r>
        <w:rPr>
          <w:i/>
          <w:sz w:val="16"/>
        </w:rPr>
        <w:t>internacional</w:t>
      </w:r>
      <w:r>
        <w:rPr>
          <w:i/>
          <w:spacing w:val="-8"/>
          <w:sz w:val="16"/>
        </w:rPr>
        <w:t> </w:t>
      </w:r>
      <w:r>
        <w:rPr>
          <w:i/>
          <w:sz w:val="16"/>
        </w:rPr>
        <w:t>en</w:t>
      </w:r>
      <w:r>
        <w:rPr>
          <w:i/>
          <w:spacing w:val="-9"/>
          <w:sz w:val="16"/>
        </w:rPr>
        <w:t> </w:t>
      </w:r>
      <w:r>
        <w:rPr>
          <w:i/>
          <w:sz w:val="16"/>
        </w:rPr>
        <w:t>sus</w:t>
      </w:r>
      <w:r>
        <w:rPr>
          <w:i/>
          <w:spacing w:val="-9"/>
          <w:sz w:val="16"/>
        </w:rPr>
        <w:t> </w:t>
      </w:r>
      <w:r>
        <w:rPr>
          <w:i/>
          <w:sz w:val="16"/>
        </w:rPr>
        <w:t>relaciones</w:t>
      </w:r>
      <w:r>
        <w:rPr>
          <w:i/>
          <w:spacing w:val="-9"/>
          <w:sz w:val="16"/>
        </w:rPr>
        <w:t> </w:t>
      </w:r>
      <w:r>
        <w:rPr>
          <w:i/>
          <w:sz w:val="16"/>
        </w:rPr>
        <w:t>y</w:t>
      </w:r>
      <w:r>
        <w:rPr>
          <w:i/>
          <w:spacing w:val="-8"/>
          <w:sz w:val="16"/>
        </w:rPr>
        <w:t> </w:t>
      </w:r>
      <w:r>
        <w:rPr>
          <w:i/>
          <w:sz w:val="16"/>
        </w:rPr>
        <w:t>para que sus pueblos alcancen un desarrollo integral, condiciones indispensables para la paz y la seguridad. El desarrollo integral abarca los campos económico, social, educacional, cultural, científico y tecnológico, en los cuales deben obtenerse las metas que cada país defina para</w:t>
      </w:r>
      <w:r>
        <w:rPr>
          <w:i/>
          <w:spacing w:val="-19"/>
          <w:sz w:val="16"/>
        </w:rPr>
        <w:t> </w:t>
      </w:r>
      <w:r>
        <w:rPr>
          <w:i/>
          <w:sz w:val="16"/>
        </w:rPr>
        <w:t>lograrlo.”</w:t>
      </w:r>
    </w:p>
    <w:p>
      <w:pPr>
        <w:pStyle w:val="BodyText"/>
        <w:rPr>
          <w:i/>
          <w:sz w:val="16"/>
        </w:rPr>
      </w:pPr>
    </w:p>
    <w:p>
      <w:pPr>
        <w:spacing w:before="1"/>
        <w:ind w:left="681" w:right="117" w:firstLine="0"/>
        <w:jc w:val="both"/>
        <w:rPr>
          <w:i/>
          <w:sz w:val="16"/>
        </w:rPr>
      </w:pPr>
      <w:r>
        <w:rPr>
          <w:i/>
          <w:position w:val="6"/>
          <w:sz w:val="10"/>
        </w:rPr>
        <w:t>100 </w:t>
      </w:r>
      <w:r>
        <w:rPr>
          <w:i/>
          <w:sz w:val="16"/>
        </w:rPr>
        <w:t>“Los Estados miembros, convencidos de que el hombre sólo puede alcanzar la plena realización de sus </w:t>
      </w:r>
      <w:r>
        <w:rPr>
          <w:i/>
          <w:sz w:val="16"/>
        </w:rPr>
        <w:t>aspiraciones</w:t>
      </w:r>
      <w:r>
        <w:rPr>
          <w:i/>
          <w:spacing w:val="-14"/>
          <w:sz w:val="16"/>
        </w:rPr>
        <w:t> </w:t>
      </w:r>
      <w:r>
        <w:rPr>
          <w:i/>
          <w:sz w:val="16"/>
        </w:rPr>
        <w:t>dentro</w:t>
      </w:r>
      <w:r>
        <w:rPr>
          <w:i/>
          <w:spacing w:val="-13"/>
          <w:sz w:val="16"/>
        </w:rPr>
        <w:t> </w:t>
      </w:r>
      <w:r>
        <w:rPr>
          <w:i/>
          <w:sz w:val="16"/>
        </w:rPr>
        <w:t>de</w:t>
      </w:r>
      <w:r>
        <w:rPr>
          <w:i/>
          <w:spacing w:val="-13"/>
          <w:sz w:val="16"/>
        </w:rPr>
        <w:t> </w:t>
      </w:r>
      <w:r>
        <w:rPr>
          <w:i/>
          <w:sz w:val="16"/>
        </w:rPr>
        <w:t>un</w:t>
      </w:r>
      <w:r>
        <w:rPr>
          <w:i/>
          <w:spacing w:val="-13"/>
          <w:sz w:val="16"/>
        </w:rPr>
        <w:t> </w:t>
      </w:r>
      <w:r>
        <w:rPr>
          <w:i/>
          <w:sz w:val="16"/>
        </w:rPr>
        <w:t>orden</w:t>
      </w:r>
      <w:r>
        <w:rPr>
          <w:i/>
          <w:spacing w:val="-13"/>
          <w:sz w:val="16"/>
        </w:rPr>
        <w:t> </w:t>
      </w:r>
      <w:r>
        <w:rPr>
          <w:i/>
          <w:sz w:val="16"/>
        </w:rPr>
        <w:t>social</w:t>
      </w:r>
      <w:r>
        <w:rPr>
          <w:i/>
          <w:spacing w:val="-12"/>
          <w:sz w:val="16"/>
        </w:rPr>
        <w:t> </w:t>
      </w:r>
      <w:r>
        <w:rPr>
          <w:i/>
          <w:sz w:val="16"/>
        </w:rPr>
        <w:t>justo,</w:t>
      </w:r>
      <w:r>
        <w:rPr>
          <w:i/>
          <w:spacing w:val="-12"/>
          <w:sz w:val="16"/>
        </w:rPr>
        <w:t> </w:t>
      </w:r>
      <w:r>
        <w:rPr>
          <w:i/>
          <w:sz w:val="16"/>
        </w:rPr>
        <w:t>acompañado</w:t>
      </w:r>
      <w:r>
        <w:rPr>
          <w:i/>
          <w:spacing w:val="-13"/>
          <w:sz w:val="16"/>
        </w:rPr>
        <w:t> </w:t>
      </w:r>
      <w:r>
        <w:rPr>
          <w:i/>
          <w:sz w:val="16"/>
        </w:rPr>
        <w:t>de</w:t>
      </w:r>
      <w:r>
        <w:rPr>
          <w:i/>
          <w:spacing w:val="-13"/>
          <w:sz w:val="16"/>
        </w:rPr>
        <w:t> </w:t>
      </w:r>
      <w:r>
        <w:rPr>
          <w:i/>
          <w:sz w:val="16"/>
        </w:rPr>
        <w:t>desarrollo</w:t>
      </w:r>
      <w:r>
        <w:rPr>
          <w:i/>
          <w:spacing w:val="-13"/>
          <w:sz w:val="16"/>
        </w:rPr>
        <w:t> </w:t>
      </w:r>
      <w:r>
        <w:rPr>
          <w:i/>
          <w:sz w:val="16"/>
        </w:rPr>
        <w:t>económico</w:t>
      </w:r>
      <w:r>
        <w:rPr>
          <w:i/>
          <w:spacing w:val="-13"/>
          <w:sz w:val="16"/>
        </w:rPr>
        <w:t> </w:t>
      </w:r>
      <w:r>
        <w:rPr>
          <w:i/>
          <w:sz w:val="16"/>
        </w:rPr>
        <w:t>y</w:t>
      </w:r>
      <w:r>
        <w:rPr>
          <w:i/>
          <w:spacing w:val="-13"/>
          <w:sz w:val="16"/>
        </w:rPr>
        <w:t> </w:t>
      </w:r>
      <w:r>
        <w:rPr>
          <w:i/>
          <w:sz w:val="16"/>
        </w:rPr>
        <w:t>verdadera</w:t>
      </w:r>
      <w:r>
        <w:rPr>
          <w:i/>
          <w:spacing w:val="-13"/>
          <w:sz w:val="16"/>
        </w:rPr>
        <w:t> </w:t>
      </w:r>
      <w:r>
        <w:rPr>
          <w:i/>
          <w:sz w:val="16"/>
        </w:rPr>
        <w:t>paz,</w:t>
      </w:r>
      <w:r>
        <w:rPr>
          <w:i/>
          <w:spacing w:val="-13"/>
          <w:sz w:val="16"/>
        </w:rPr>
        <w:t> </w:t>
      </w:r>
      <w:r>
        <w:rPr>
          <w:i/>
          <w:sz w:val="16"/>
        </w:rPr>
        <w:t>convienen en dedicar sus máximos esfuerzos a la aplicación de los siguientes principios y mecanismos: …f) La incorporación y creciente participación de los sectores marginales de la población, tanto del campo como de la</w:t>
      </w:r>
      <w:r>
        <w:rPr>
          <w:i/>
          <w:spacing w:val="-13"/>
          <w:sz w:val="16"/>
        </w:rPr>
        <w:t> </w:t>
      </w:r>
      <w:r>
        <w:rPr>
          <w:i/>
          <w:sz w:val="16"/>
        </w:rPr>
        <w:t>ciudad,</w:t>
      </w:r>
      <w:r>
        <w:rPr>
          <w:i/>
          <w:spacing w:val="-14"/>
          <w:sz w:val="16"/>
        </w:rPr>
        <w:t> </w:t>
      </w:r>
      <w:r>
        <w:rPr>
          <w:i/>
          <w:sz w:val="16"/>
        </w:rPr>
        <w:t>en</w:t>
      </w:r>
      <w:r>
        <w:rPr>
          <w:i/>
          <w:spacing w:val="-14"/>
          <w:sz w:val="16"/>
        </w:rPr>
        <w:t> </w:t>
      </w:r>
      <w:r>
        <w:rPr>
          <w:i/>
          <w:sz w:val="16"/>
        </w:rPr>
        <w:t>la</w:t>
      </w:r>
      <w:r>
        <w:rPr>
          <w:i/>
          <w:spacing w:val="-12"/>
          <w:sz w:val="16"/>
        </w:rPr>
        <w:t> </w:t>
      </w:r>
      <w:r>
        <w:rPr>
          <w:i/>
          <w:sz w:val="16"/>
        </w:rPr>
        <w:t>vida</w:t>
      </w:r>
      <w:r>
        <w:rPr>
          <w:i/>
          <w:spacing w:val="-13"/>
          <w:sz w:val="16"/>
        </w:rPr>
        <w:t> </w:t>
      </w:r>
      <w:r>
        <w:rPr>
          <w:i/>
          <w:sz w:val="16"/>
        </w:rPr>
        <w:t>económica,</w:t>
      </w:r>
      <w:r>
        <w:rPr>
          <w:i/>
          <w:spacing w:val="-14"/>
          <w:sz w:val="16"/>
        </w:rPr>
        <w:t> </w:t>
      </w:r>
      <w:r>
        <w:rPr>
          <w:i/>
          <w:sz w:val="16"/>
        </w:rPr>
        <w:t>social,</w:t>
      </w:r>
      <w:r>
        <w:rPr>
          <w:i/>
          <w:spacing w:val="-14"/>
          <w:sz w:val="16"/>
        </w:rPr>
        <w:t> </w:t>
      </w:r>
      <w:r>
        <w:rPr>
          <w:i/>
          <w:sz w:val="16"/>
        </w:rPr>
        <w:t>cívica,</w:t>
      </w:r>
      <w:r>
        <w:rPr>
          <w:i/>
          <w:spacing w:val="-14"/>
          <w:sz w:val="16"/>
        </w:rPr>
        <w:t> </w:t>
      </w:r>
      <w:r>
        <w:rPr>
          <w:i/>
          <w:sz w:val="16"/>
        </w:rPr>
        <w:t>cultural</w:t>
      </w:r>
      <w:r>
        <w:rPr>
          <w:i/>
          <w:spacing w:val="-12"/>
          <w:sz w:val="16"/>
        </w:rPr>
        <w:t> </w:t>
      </w:r>
      <w:r>
        <w:rPr>
          <w:i/>
          <w:sz w:val="16"/>
        </w:rPr>
        <w:t>y</w:t>
      </w:r>
      <w:r>
        <w:rPr>
          <w:i/>
          <w:spacing w:val="-13"/>
          <w:sz w:val="16"/>
        </w:rPr>
        <w:t> </w:t>
      </w:r>
      <w:r>
        <w:rPr>
          <w:i/>
          <w:sz w:val="16"/>
        </w:rPr>
        <w:t>política</w:t>
      </w:r>
      <w:r>
        <w:rPr>
          <w:i/>
          <w:spacing w:val="-10"/>
          <w:sz w:val="16"/>
        </w:rPr>
        <w:t> </w:t>
      </w:r>
      <w:r>
        <w:rPr>
          <w:i/>
          <w:sz w:val="16"/>
        </w:rPr>
        <w:t>de</w:t>
      </w:r>
      <w:r>
        <w:rPr>
          <w:i/>
          <w:spacing w:val="-13"/>
          <w:sz w:val="16"/>
        </w:rPr>
        <w:t> </w:t>
      </w:r>
      <w:r>
        <w:rPr>
          <w:i/>
          <w:sz w:val="16"/>
        </w:rPr>
        <w:t>la</w:t>
      </w:r>
      <w:r>
        <w:rPr>
          <w:i/>
          <w:spacing w:val="-13"/>
          <w:sz w:val="16"/>
        </w:rPr>
        <w:t> </w:t>
      </w:r>
      <w:r>
        <w:rPr>
          <w:i/>
          <w:sz w:val="16"/>
        </w:rPr>
        <w:t>nación,</w:t>
      </w:r>
      <w:r>
        <w:rPr>
          <w:i/>
          <w:spacing w:val="-14"/>
          <w:sz w:val="16"/>
        </w:rPr>
        <w:t> </w:t>
      </w:r>
      <w:r>
        <w:rPr>
          <w:i/>
          <w:sz w:val="16"/>
        </w:rPr>
        <w:t>a</w:t>
      </w:r>
      <w:r>
        <w:rPr>
          <w:i/>
          <w:spacing w:val="-13"/>
          <w:sz w:val="16"/>
        </w:rPr>
        <w:t> </w:t>
      </w:r>
      <w:r>
        <w:rPr>
          <w:i/>
          <w:sz w:val="16"/>
        </w:rPr>
        <w:t>fin</w:t>
      </w:r>
      <w:r>
        <w:rPr>
          <w:i/>
          <w:spacing w:val="-13"/>
          <w:sz w:val="16"/>
        </w:rPr>
        <w:t> </w:t>
      </w:r>
      <w:r>
        <w:rPr>
          <w:i/>
          <w:sz w:val="16"/>
        </w:rPr>
        <w:t>de</w:t>
      </w:r>
      <w:r>
        <w:rPr>
          <w:i/>
          <w:spacing w:val="-13"/>
          <w:sz w:val="16"/>
        </w:rPr>
        <w:t> </w:t>
      </w:r>
      <w:r>
        <w:rPr>
          <w:i/>
          <w:sz w:val="16"/>
        </w:rPr>
        <w:t>lograr</w:t>
      </w:r>
      <w:r>
        <w:rPr>
          <w:i/>
          <w:spacing w:val="-13"/>
          <w:sz w:val="16"/>
        </w:rPr>
        <w:t> </w:t>
      </w:r>
      <w:r>
        <w:rPr>
          <w:i/>
          <w:sz w:val="16"/>
        </w:rPr>
        <w:t>la</w:t>
      </w:r>
      <w:r>
        <w:rPr>
          <w:i/>
          <w:spacing w:val="-13"/>
          <w:sz w:val="16"/>
        </w:rPr>
        <w:t> </w:t>
      </w:r>
      <w:r>
        <w:rPr>
          <w:i/>
          <w:sz w:val="16"/>
        </w:rPr>
        <w:t>plena</w:t>
      </w:r>
      <w:r>
        <w:rPr>
          <w:i/>
          <w:spacing w:val="-13"/>
          <w:sz w:val="16"/>
        </w:rPr>
        <w:t> </w:t>
      </w:r>
      <w:r>
        <w:rPr>
          <w:i/>
          <w:sz w:val="16"/>
        </w:rPr>
        <w:t>integración de la comunidad nacional, el aceleramiento del proceso de movilidad social y la consolidación del régimen democrático.</w:t>
      </w:r>
      <w:r>
        <w:rPr>
          <w:i/>
          <w:spacing w:val="-9"/>
          <w:sz w:val="16"/>
        </w:rPr>
        <w:t> </w:t>
      </w:r>
      <w:r>
        <w:rPr>
          <w:i/>
          <w:sz w:val="16"/>
        </w:rPr>
        <w:t>El</w:t>
      </w:r>
      <w:r>
        <w:rPr>
          <w:i/>
          <w:spacing w:val="-8"/>
          <w:sz w:val="16"/>
        </w:rPr>
        <w:t> </w:t>
      </w:r>
      <w:r>
        <w:rPr>
          <w:i/>
          <w:sz w:val="16"/>
        </w:rPr>
        <w:t>estímulo</w:t>
      </w:r>
      <w:r>
        <w:rPr>
          <w:i/>
          <w:spacing w:val="-8"/>
          <w:sz w:val="16"/>
        </w:rPr>
        <w:t> </w:t>
      </w:r>
      <w:r>
        <w:rPr>
          <w:i/>
          <w:sz w:val="16"/>
        </w:rPr>
        <w:t>a</w:t>
      </w:r>
      <w:r>
        <w:rPr>
          <w:i/>
          <w:spacing w:val="-8"/>
          <w:sz w:val="16"/>
        </w:rPr>
        <w:t> </w:t>
      </w:r>
      <w:r>
        <w:rPr>
          <w:i/>
          <w:sz w:val="16"/>
        </w:rPr>
        <w:t>todo</w:t>
      </w:r>
      <w:r>
        <w:rPr>
          <w:i/>
          <w:spacing w:val="-8"/>
          <w:sz w:val="16"/>
        </w:rPr>
        <w:t> </w:t>
      </w:r>
      <w:r>
        <w:rPr>
          <w:i/>
          <w:sz w:val="16"/>
        </w:rPr>
        <w:t>esfuerzo</w:t>
      </w:r>
      <w:r>
        <w:rPr>
          <w:i/>
          <w:spacing w:val="-8"/>
          <w:sz w:val="16"/>
        </w:rPr>
        <w:t> </w:t>
      </w:r>
      <w:r>
        <w:rPr>
          <w:i/>
          <w:sz w:val="16"/>
        </w:rPr>
        <w:t>de</w:t>
      </w:r>
      <w:r>
        <w:rPr>
          <w:i/>
          <w:spacing w:val="-9"/>
          <w:sz w:val="16"/>
        </w:rPr>
        <w:t> </w:t>
      </w:r>
      <w:r>
        <w:rPr>
          <w:i/>
          <w:sz w:val="16"/>
        </w:rPr>
        <w:t>promoción</w:t>
      </w:r>
      <w:r>
        <w:rPr>
          <w:i/>
          <w:spacing w:val="-8"/>
          <w:sz w:val="16"/>
        </w:rPr>
        <w:t> </w:t>
      </w:r>
      <w:r>
        <w:rPr>
          <w:i/>
          <w:sz w:val="16"/>
        </w:rPr>
        <w:t>y</w:t>
      </w:r>
      <w:r>
        <w:rPr>
          <w:i/>
          <w:spacing w:val="-8"/>
          <w:sz w:val="16"/>
        </w:rPr>
        <w:t> </w:t>
      </w:r>
      <w:r>
        <w:rPr>
          <w:i/>
          <w:sz w:val="16"/>
        </w:rPr>
        <w:t>cooperación</w:t>
      </w:r>
      <w:r>
        <w:rPr>
          <w:i/>
          <w:spacing w:val="-9"/>
          <w:sz w:val="16"/>
        </w:rPr>
        <w:t> </w:t>
      </w:r>
      <w:r>
        <w:rPr>
          <w:i/>
          <w:sz w:val="16"/>
        </w:rPr>
        <w:t>populares</w:t>
      </w:r>
      <w:r>
        <w:rPr>
          <w:i/>
          <w:spacing w:val="-9"/>
          <w:sz w:val="16"/>
        </w:rPr>
        <w:t> </w:t>
      </w:r>
      <w:r>
        <w:rPr>
          <w:i/>
          <w:sz w:val="16"/>
        </w:rPr>
        <w:t>que</w:t>
      </w:r>
      <w:r>
        <w:rPr>
          <w:i/>
          <w:spacing w:val="-9"/>
          <w:sz w:val="16"/>
        </w:rPr>
        <w:t> </w:t>
      </w:r>
      <w:r>
        <w:rPr>
          <w:i/>
          <w:sz w:val="16"/>
        </w:rPr>
        <w:t>tenga</w:t>
      </w:r>
      <w:r>
        <w:rPr>
          <w:i/>
          <w:spacing w:val="-8"/>
          <w:sz w:val="16"/>
        </w:rPr>
        <w:t> </w:t>
      </w:r>
      <w:r>
        <w:rPr>
          <w:i/>
          <w:sz w:val="16"/>
        </w:rPr>
        <w:t>por</w:t>
      </w:r>
      <w:r>
        <w:rPr>
          <w:i/>
          <w:spacing w:val="-8"/>
          <w:sz w:val="16"/>
        </w:rPr>
        <w:t> </w:t>
      </w:r>
      <w:r>
        <w:rPr>
          <w:i/>
          <w:sz w:val="16"/>
        </w:rPr>
        <w:t>fin</w:t>
      </w:r>
      <w:r>
        <w:rPr>
          <w:i/>
          <w:spacing w:val="-9"/>
          <w:sz w:val="16"/>
        </w:rPr>
        <w:t> </w:t>
      </w:r>
      <w:r>
        <w:rPr>
          <w:i/>
          <w:sz w:val="16"/>
        </w:rPr>
        <w:t>el</w:t>
      </w:r>
      <w:r>
        <w:rPr>
          <w:i/>
          <w:spacing w:val="-4"/>
          <w:sz w:val="16"/>
        </w:rPr>
        <w:t> </w:t>
      </w:r>
      <w:r>
        <w:rPr>
          <w:i/>
          <w:sz w:val="16"/>
        </w:rPr>
        <w:t>desarrollo y progreso de la</w:t>
      </w:r>
      <w:r>
        <w:rPr>
          <w:i/>
          <w:spacing w:val="-9"/>
          <w:sz w:val="16"/>
        </w:rPr>
        <w:t> </w:t>
      </w:r>
      <w:r>
        <w:rPr>
          <w:i/>
          <w:sz w:val="16"/>
        </w:rPr>
        <w:t>comunidad;”</w:t>
      </w:r>
    </w:p>
    <w:p>
      <w:pPr>
        <w:pStyle w:val="BodyText"/>
        <w:spacing w:before="12"/>
        <w:rPr>
          <w:i/>
          <w:sz w:val="15"/>
        </w:rPr>
      </w:pPr>
    </w:p>
    <w:p>
      <w:pPr>
        <w:spacing w:before="0"/>
        <w:ind w:left="681" w:right="118" w:firstLine="0"/>
        <w:jc w:val="both"/>
        <w:rPr>
          <w:i/>
          <w:sz w:val="16"/>
        </w:rPr>
      </w:pPr>
      <w:r>
        <w:rPr>
          <w:i/>
          <w:position w:val="6"/>
          <w:sz w:val="10"/>
        </w:rPr>
        <w:t>101 </w:t>
      </w:r>
      <w:r>
        <w:rPr>
          <w:i/>
          <w:sz w:val="16"/>
        </w:rPr>
        <w:t>“Los Estados miembros darán importancia primordial, dentro de sus planes de desarrollo, al estímulo de la </w:t>
      </w:r>
      <w:r>
        <w:rPr>
          <w:i/>
          <w:sz w:val="16"/>
        </w:rPr>
        <w:t>educación,</w:t>
      </w:r>
      <w:r>
        <w:rPr>
          <w:i/>
          <w:spacing w:val="-14"/>
          <w:sz w:val="16"/>
        </w:rPr>
        <w:t> </w:t>
      </w:r>
      <w:r>
        <w:rPr>
          <w:i/>
          <w:sz w:val="16"/>
        </w:rPr>
        <w:t>la</w:t>
      </w:r>
      <w:r>
        <w:rPr>
          <w:i/>
          <w:spacing w:val="-13"/>
          <w:sz w:val="16"/>
        </w:rPr>
        <w:t> </w:t>
      </w:r>
      <w:r>
        <w:rPr>
          <w:i/>
          <w:sz w:val="16"/>
        </w:rPr>
        <w:t>ciencia,</w:t>
      </w:r>
      <w:r>
        <w:rPr>
          <w:i/>
          <w:spacing w:val="-14"/>
          <w:sz w:val="16"/>
        </w:rPr>
        <w:t> </w:t>
      </w:r>
      <w:r>
        <w:rPr>
          <w:i/>
          <w:sz w:val="16"/>
        </w:rPr>
        <w:t>la</w:t>
      </w:r>
      <w:r>
        <w:rPr>
          <w:i/>
          <w:spacing w:val="-14"/>
          <w:sz w:val="16"/>
        </w:rPr>
        <w:t> </w:t>
      </w:r>
      <w:r>
        <w:rPr>
          <w:i/>
          <w:sz w:val="16"/>
        </w:rPr>
        <w:t>tecnología</w:t>
      </w:r>
      <w:r>
        <w:rPr>
          <w:i/>
          <w:spacing w:val="-14"/>
          <w:sz w:val="16"/>
        </w:rPr>
        <w:t> </w:t>
      </w:r>
      <w:r>
        <w:rPr>
          <w:i/>
          <w:sz w:val="16"/>
        </w:rPr>
        <w:t>y</w:t>
      </w:r>
      <w:r>
        <w:rPr>
          <w:i/>
          <w:spacing w:val="-14"/>
          <w:sz w:val="16"/>
        </w:rPr>
        <w:t> </w:t>
      </w:r>
      <w:r>
        <w:rPr>
          <w:i/>
          <w:sz w:val="16"/>
        </w:rPr>
        <w:t>la</w:t>
      </w:r>
      <w:r>
        <w:rPr>
          <w:i/>
          <w:spacing w:val="-14"/>
          <w:sz w:val="16"/>
        </w:rPr>
        <w:t> </w:t>
      </w:r>
      <w:r>
        <w:rPr>
          <w:i/>
          <w:sz w:val="16"/>
        </w:rPr>
        <w:t>cultura</w:t>
      </w:r>
      <w:r>
        <w:rPr>
          <w:i/>
          <w:spacing w:val="-14"/>
          <w:sz w:val="16"/>
        </w:rPr>
        <w:t> </w:t>
      </w:r>
      <w:r>
        <w:rPr>
          <w:i/>
          <w:sz w:val="16"/>
        </w:rPr>
        <w:t>orientadas</w:t>
      </w:r>
      <w:r>
        <w:rPr>
          <w:i/>
          <w:spacing w:val="-14"/>
          <w:sz w:val="16"/>
        </w:rPr>
        <w:t> </w:t>
      </w:r>
      <w:r>
        <w:rPr>
          <w:i/>
          <w:sz w:val="16"/>
        </w:rPr>
        <w:t>hacia</w:t>
      </w:r>
      <w:r>
        <w:rPr>
          <w:i/>
          <w:spacing w:val="-14"/>
          <w:sz w:val="16"/>
        </w:rPr>
        <w:t> </w:t>
      </w:r>
      <w:r>
        <w:rPr>
          <w:i/>
          <w:sz w:val="16"/>
        </w:rPr>
        <w:t>el</w:t>
      </w:r>
      <w:r>
        <w:rPr>
          <w:i/>
          <w:spacing w:val="-14"/>
          <w:sz w:val="16"/>
        </w:rPr>
        <w:t> </w:t>
      </w:r>
      <w:r>
        <w:rPr>
          <w:i/>
          <w:sz w:val="16"/>
        </w:rPr>
        <w:t>mejoramiento</w:t>
      </w:r>
      <w:r>
        <w:rPr>
          <w:i/>
          <w:spacing w:val="-14"/>
          <w:sz w:val="16"/>
        </w:rPr>
        <w:t> </w:t>
      </w:r>
      <w:r>
        <w:rPr>
          <w:i/>
          <w:sz w:val="16"/>
        </w:rPr>
        <w:t>integral</w:t>
      </w:r>
      <w:r>
        <w:rPr>
          <w:i/>
          <w:spacing w:val="-14"/>
          <w:sz w:val="16"/>
        </w:rPr>
        <w:t> </w:t>
      </w:r>
      <w:r>
        <w:rPr>
          <w:i/>
          <w:sz w:val="16"/>
        </w:rPr>
        <w:t>de</w:t>
      </w:r>
      <w:r>
        <w:rPr>
          <w:i/>
          <w:spacing w:val="-14"/>
          <w:sz w:val="16"/>
        </w:rPr>
        <w:t> </w:t>
      </w:r>
      <w:r>
        <w:rPr>
          <w:i/>
          <w:sz w:val="16"/>
        </w:rPr>
        <w:t>la</w:t>
      </w:r>
      <w:r>
        <w:rPr>
          <w:i/>
          <w:spacing w:val="-14"/>
          <w:sz w:val="16"/>
        </w:rPr>
        <w:t> </w:t>
      </w:r>
      <w:r>
        <w:rPr>
          <w:i/>
          <w:sz w:val="16"/>
        </w:rPr>
        <w:t>persona</w:t>
      </w:r>
      <w:r>
        <w:rPr>
          <w:i/>
          <w:spacing w:val="-14"/>
          <w:sz w:val="16"/>
        </w:rPr>
        <w:t> </w:t>
      </w:r>
      <w:r>
        <w:rPr>
          <w:i/>
          <w:sz w:val="16"/>
        </w:rPr>
        <w:t>humana y como fundamento de la democracia, la justicia social y el</w:t>
      </w:r>
      <w:r>
        <w:rPr>
          <w:i/>
          <w:spacing w:val="-20"/>
          <w:sz w:val="16"/>
        </w:rPr>
        <w:t> </w:t>
      </w:r>
      <w:r>
        <w:rPr>
          <w:i/>
          <w:sz w:val="16"/>
        </w:rPr>
        <w:t>progreso.”</w:t>
      </w:r>
    </w:p>
    <w:p>
      <w:pPr>
        <w:pStyle w:val="BodyText"/>
        <w:spacing w:before="11"/>
        <w:rPr>
          <w:i/>
          <w:sz w:val="15"/>
        </w:rPr>
      </w:pPr>
    </w:p>
    <w:p>
      <w:pPr>
        <w:spacing w:before="1"/>
        <w:ind w:left="681" w:right="122" w:firstLine="0"/>
        <w:jc w:val="both"/>
        <w:rPr>
          <w:i/>
          <w:sz w:val="16"/>
        </w:rPr>
      </w:pPr>
      <w:r>
        <w:rPr>
          <w:i/>
          <w:position w:val="6"/>
          <w:sz w:val="10"/>
        </w:rPr>
        <w:t>102 </w:t>
      </w:r>
      <w:r>
        <w:rPr>
          <w:i/>
          <w:sz w:val="16"/>
        </w:rPr>
        <w:t>“Los Estados miembros cooperarán entre sí para satisfacer sus necesidades educacionales, promover la </w:t>
      </w:r>
      <w:r>
        <w:rPr>
          <w:i/>
          <w:sz w:val="16"/>
        </w:rPr>
        <w:t>investigación científica e impulsar el adelanto tecnológico para su desarrollo integral, y se considerarán individual y solidariamente comprometidos a preservar y enriquecer el patrimonio cultural de los pueblos americanos.”</w:t>
      </w:r>
    </w:p>
    <w:p>
      <w:pPr>
        <w:spacing w:after="0"/>
        <w:jc w:val="both"/>
        <w:rPr>
          <w:sz w:val="16"/>
        </w:rPr>
        <w:sectPr>
          <w:footerReference w:type="default" r:id="rId41"/>
          <w:pgSz w:w="12240" w:h="15840"/>
          <w:pgMar w:footer="1000" w:header="0" w:top="1220" w:bottom="1200" w:left="1020" w:right="1580"/>
          <w:pgNumType w:start="21"/>
        </w:sectPr>
      </w:pPr>
    </w:p>
    <w:p>
      <w:pPr>
        <w:pStyle w:val="BodyText"/>
        <w:spacing w:before="83"/>
        <w:ind w:left="681" w:right="119"/>
        <w:jc w:val="both"/>
      </w:pPr>
      <w:r>
        <w:rPr/>
        <w:t>medio ambiente sano, a la alimentación adecuada y al agua, más únicamente sobre la base de lo dispuesto en dicha disposición. De seguir esta tendencia y llevada a su extremo, todos los Estados Partes de la Convención y que han aceptado la jurisdicción de la Corte, eventualmente podrían ser llevados ante ella por ser subdesarrollados o en vías de desarrollo, es decir, por no alcanzar plenamente el desarrollo integral o algunas de sus facetas, esto es, principios”, “metas” o “mecanismos” contempladas en la Carta de la OEA de los que la Sentencia deriva derechos.</w:t>
      </w:r>
    </w:p>
    <w:p>
      <w:pPr>
        <w:pStyle w:val="BodyText"/>
        <w:spacing w:before="11"/>
        <w:rPr>
          <w:sz w:val="19"/>
        </w:rPr>
      </w:pPr>
    </w:p>
    <w:p>
      <w:pPr>
        <w:pStyle w:val="ListParagraph"/>
        <w:numPr>
          <w:ilvl w:val="0"/>
          <w:numId w:val="59"/>
        </w:numPr>
        <w:tabs>
          <w:tab w:pos="1390" w:val="left" w:leader="none"/>
        </w:tabs>
        <w:spacing w:line="240" w:lineRule="auto" w:before="0" w:after="0"/>
        <w:ind w:left="681" w:right="117" w:firstLine="0"/>
        <w:jc w:val="both"/>
        <w:rPr>
          <w:sz w:val="20"/>
        </w:rPr>
      </w:pPr>
      <w:r>
        <w:rPr>
          <w:sz w:val="20"/>
        </w:rPr>
        <w:t>En este orden de ideas, procede subrayar que la Sentencia ha avanzado en tal dirección. Efectivamente, afirma que existe “la obligación de los Estados de alcanzar el “desarrollo integral” de sus pueblos”, la que “surge de los artículos 30, 31, 33 y 34 de la Carta”</w:t>
      </w:r>
      <w:r>
        <w:rPr>
          <w:position w:val="7"/>
          <w:sz w:val="13"/>
        </w:rPr>
        <w:t>103</w:t>
      </w:r>
      <w:r>
        <w:rPr>
          <w:sz w:val="20"/>
        </w:rPr>
        <w:t>, por lo que lógicamente se podría suponer, por una parte, que, según la Sentencia, ante la citada obligación, existiría el correspondiente derecho al desarrollo y que el incumplimiento de aquella, podría dar lugar a una acción ante la Corte por violación del correlativo derecho humano. Si ello efectivamente fuese así, a todas luces parecería alejado de lo que los Estados Partes deseaban al firmar la Convención o, al menos, de la lógica implícita en ella, en especial, por la forma en que está redactado el mencionado Capítulo</w:t>
      </w:r>
      <w:r>
        <w:rPr>
          <w:spacing w:val="-6"/>
          <w:sz w:val="20"/>
        </w:rPr>
        <w:t> </w:t>
      </w:r>
      <w:r>
        <w:rPr>
          <w:sz w:val="20"/>
        </w:rPr>
        <w:t>VII.</w:t>
      </w:r>
    </w:p>
    <w:p>
      <w:pPr>
        <w:pStyle w:val="BodyText"/>
        <w:spacing w:before="11"/>
        <w:rPr>
          <w:sz w:val="19"/>
        </w:rPr>
      </w:pPr>
    </w:p>
    <w:p>
      <w:pPr>
        <w:pStyle w:val="ListParagraph"/>
        <w:numPr>
          <w:ilvl w:val="0"/>
          <w:numId w:val="59"/>
        </w:numPr>
        <w:tabs>
          <w:tab w:pos="1390" w:val="left" w:leader="none"/>
        </w:tabs>
        <w:spacing w:line="240" w:lineRule="auto" w:before="0" w:after="0"/>
        <w:ind w:left="681" w:right="116" w:firstLine="0"/>
        <w:jc w:val="both"/>
        <w:rPr>
          <w:i/>
          <w:sz w:val="20"/>
        </w:rPr>
      </w:pPr>
      <w:r>
        <w:rPr>
          <w:sz w:val="20"/>
        </w:rPr>
        <w:t>Es, por lo tanto, evidente que “de las normas económicas, sociales y sobre educación, ciencia y cultura, contenidas en la Carta de la Organización de los Estados Americanos,</w:t>
      </w:r>
      <w:r>
        <w:rPr>
          <w:spacing w:val="-4"/>
          <w:sz w:val="20"/>
        </w:rPr>
        <w:t> </w:t>
      </w:r>
      <w:r>
        <w:rPr>
          <w:sz w:val="20"/>
        </w:rPr>
        <w:t>reformada</w:t>
      </w:r>
      <w:r>
        <w:rPr>
          <w:spacing w:val="-6"/>
          <w:sz w:val="20"/>
        </w:rPr>
        <w:t> </w:t>
      </w:r>
      <w:r>
        <w:rPr>
          <w:sz w:val="20"/>
        </w:rPr>
        <w:t>por</w:t>
      </w:r>
      <w:r>
        <w:rPr>
          <w:spacing w:val="-5"/>
          <w:sz w:val="20"/>
        </w:rPr>
        <w:t> </w:t>
      </w:r>
      <w:r>
        <w:rPr>
          <w:sz w:val="20"/>
        </w:rPr>
        <w:t>el</w:t>
      </w:r>
      <w:r>
        <w:rPr>
          <w:spacing w:val="-4"/>
          <w:sz w:val="20"/>
        </w:rPr>
        <w:t> </w:t>
      </w:r>
      <w:r>
        <w:rPr>
          <w:sz w:val="20"/>
        </w:rPr>
        <w:t>Protocolo</w:t>
      </w:r>
      <w:r>
        <w:rPr>
          <w:spacing w:val="-5"/>
          <w:sz w:val="20"/>
        </w:rPr>
        <w:t> </w:t>
      </w:r>
      <w:r>
        <w:rPr>
          <w:sz w:val="20"/>
        </w:rPr>
        <w:t>de</w:t>
      </w:r>
      <w:r>
        <w:rPr>
          <w:spacing w:val="-5"/>
          <w:sz w:val="20"/>
        </w:rPr>
        <w:t> </w:t>
      </w:r>
      <w:r>
        <w:rPr>
          <w:sz w:val="20"/>
        </w:rPr>
        <w:t>Buenos</w:t>
      </w:r>
      <w:r>
        <w:rPr>
          <w:spacing w:val="-6"/>
          <w:sz w:val="20"/>
        </w:rPr>
        <w:t> </w:t>
      </w:r>
      <w:r>
        <w:rPr>
          <w:sz w:val="20"/>
        </w:rPr>
        <w:t>Aires”</w:t>
      </w:r>
      <w:r>
        <w:rPr>
          <w:spacing w:val="-5"/>
          <w:sz w:val="20"/>
        </w:rPr>
        <w:t> </w:t>
      </w:r>
      <w:r>
        <w:rPr>
          <w:sz w:val="20"/>
        </w:rPr>
        <w:t>a</w:t>
      </w:r>
      <w:r>
        <w:rPr>
          <w:spacing w:val="-5"/>
          <w:sz w:val="20"/>
        </w:rPr>
        <w:t> </w:t>
      </w:r>
      <w:r>
        <w:rPr>
          <w:sz w:val="20"/>
        </w:rPr>
        <w:t>que</w:t>
      </w:r>
      <w:r>
        <w:rPr>
          <w:spacing w:val="-4"/>
          <w:sz w:val="20"/>
        </w:rPr>
        <w:t> </w:t>
      </w:r>
      <w:r>
        <w:rPr>
          <w:sz w:val="20"/>
        </w:rPr>
        <w:t>se</w:t>
      </w:r>
      <w:r>
        <w:rPr>
          <w:spacing w:val="-4"/>
          <w:sz w:val="20"/>
        </w:rPr>
        <w:t> </w:t>
      </w:r>
      <w:r>
        <w:rPr>
          <w:sz w:val="20"/>
        </w:rPr>
        <w:t>refiere</w:t>
      </w:r>
      <w:r>
        <w:rPr>
          <w:spacing w:val="-5"/>
          <w:sz w:val="20"/>
        </w:rPr>
        <w:t> </w:t>
      </w:r>
      <w:r>
        <w:rPr>
          <w:sz w:val="20"/>
        </w:rPr>
        <w:t>el</w:t>
      </w:r>
      <w:r>
        <w:rPr>
          <w:spacing w:val="-4"/>
          <w:sz w:val="20"/>
        </w:rPr>
        <w:t> </w:t>
      </w:r>
      <w:r>
        <w:rPr>
          <w:sz w:val="20"/>
        </w:rPr>
        <w:t>artículo</w:t>
      </w:r>
      <w:r>
        <w:rPr>
          <w:spacing w:val="-5"/>
          <w:sz w:val="20"/>
        </w:rPr>
        <w:t> </w:t>
      </w:r>
      <w:r>
        <w:rPr>
          <w:sz w:val="20"/>
        </w:rPr>
        <w:t>26, no se colige la competencia de la Corte de conocer y resolver las eventuales</w:t>
      </w:r>
      <w:r>
        <w:rPr>
          <w:spacing w:val="-39"/>
          <w:sz w:val="20"/>
        </w:rPr>
        <w:t> </w:t>
      </w:r>
      <w:r>
        <w:rPr>
          <w:sz w:val="20"/>
        </w:rPr>
        <w:t>violaciones de los derechos que se derivan de</w:t>
      </w:r>
      <w:r>
        <w:rPr>
          <w:spacing w:val="-9"/>
          <w:sz w:val="20"/>
        </w:rPr>
        <w:t> </w:t>
      </w:r>
      <w:r>
        <w:rPr>
          <w:sz w:val="20"/>
        </w:rPr>
        <w:t>ellas</w:t>
      </w:r>
      <w:r>
        <w:rPr>
          <w:i/>
          <w:sz w:val="20"/>
        </w:rPr>
        <w:t>.</w:t>
      </w:r>
    </w:p>
    <w:p>
      <w:pPr>
        <w:pStyle w:val="BodyText"/>
        <w:spacing w:before="11"/>
        <w:rPr>
          <w:i/>
          <w:sz w:val="19"/>
        </w:rPr>
      </w:pPr>
    </w:p>
    <w:p>
      <w:pPr>
        <w:pStyle w:val="Heading3"/>
        <w:numPr>
          <w:ilvl w:val="1"/>
          <w:numId w:val="47"/>
        </w:numPr>
        <w:tabs>
          <w:tab w:pos="1685" w:val="left" w:leader="none"/>
          <w:tab w:pos="1686" w:val="left" w:leader="none"/>
        </w:tabs>
        <w:spacing w:line="240" w:lineRule="auto" w:before="0" w:after="0"/>
        <w:ind w:left="1685" w:right="0" w:hanging="721"/>
        <w:jc w:val="left"/>
      </w:pPr>
      <w:r>
        <w:rPr/>
        <w:t>PROTOCOLO DE SAN</w:t>
      </w:r>
      <w:r>
        <w:rPr>
          <w:spacing w:val="-9"/>
        </w:rPr>
        <w:t> </w:t>
      </w:r>
      <w:r>
        <w:rPr/>
        <w:t>SALVADOR.</w:t>
      </w:r>
    </w:p>
    <w:p>
      <w:pPr>
        <w:pStyle w:val="BodyText"/>
        <w:spacing w:before="11"/>
        <w:rPr>
          <w:b/>
          <w:sz w:val="19"/>
        </w:rPr>
      </w:pPr>
    </w:p>
    <w:p>
      <w:pPr>
        <w:pStyle w:val="ListParagraph"/>
        <w:numPr>
          <w:ilvl w:val="0"/>
          <w:numId w:val="59"/>
        </w:numPr>
        <w:tabs>
          <w:tab w:pos="1390" w:val="left" w:leader="none"/>
        </w:tabs>
        <w:spacing w:line="240" w:lineRule="auto" w:before="0" w:after="0"/>
        <w:ind w:left="681" w:right="116" w:firstLine="0"/>
        <w:jc w:val="both"/>
        <w:rPr>
          <w:sz w:val="20"/>
        </w:rPr>
      </w:pPr>
      <w:r>
        <w:rPr>
          <w:sz w:val="20"/>
        </w:rPr>
        <w:t>A mayor abundamiento a lo ya expresado, cabe referirse al “</w:t>
      </w:r>
      <w:hyperlink r:id="rId37">
        <w:r>
          <w:rPr>
            <w:sz w:val="20"/>
          </w:rPr>
          <w:t>Protocolo Adicional</w:t>
        </w:r>
      </w:hyperlink>
      <w:r>
        <w:rPr>
          <w:sz w:val="20"/>
        </w:rPr>
        <w:t> </w:t>
      </w:r>
      <w:hyperlink r:id="rId37">
        <w:r>
          <w:rPr>
            <w:sz w:val="20"/>
          </w:rPr>
          <w:t>a la Convención Americana sobre Derechos Humanos en Materia de Derechos</w:t>
        </w:r>
      </w:hyperlink>
      <w:r>
        <w:rPr>
          <w:sz w:val="20"/>
        </w:rPr>
        <w:t> </w:t>
      </w:r>
      <w:hyperlink r:id="rId37">
        <w:r>
          <w:rPr>
            <w:sz w:val="20"/>
          </w:rPr>
          <w:t>Económicos, Sociales y Culturales – Protocolo de San Salvador</w:t>
        </w:r>
      </w:hyperlink>
      <w:r>
        <w:rPr>
          <w:i/>
          <w:sz w:val="20"/>
        </w:rPr>
        <w:t>”</w:t>
      </w:r>
      <w:r>
        <w:rPr>
          <w:i/>
          <w:position w:val="7"/>
          <w:sz w:val="13"/>
        </w:rPr>
        <w:t>104</w:t>
      </w:r>
      <w:r>
        <w:rPr>
          <w:i/>
          <w:sz w:val="20"/>
        </w:rPr>
        <w:t>, </w:t>
      </w:r>
      <w:r>
        <w:rPr>
          <w:sz w:val="20"/>
        </w:rPr>
        <w:t>el que también es citado en la Sentencia en apoyo a su interpretación del artículo 26, pero que el suscrito estima que su suscripción y vigencia respalda, por el contrario, lo que sostiene en este escrito.</w:t>
      </w:r>
    </w:p>
    <w:p>
      <w:pPr>
        <w:pStyle w:val="BodyText"/>
        <w:spacing w:before="11"/>
        <w:rPr>
          <w:sz w:val="19"/>
        </w:rPr>
      </w:pPr>
    </w:p>
    <w:p>
      <w:pPr>
        <w:pStyle w:val="ListParagraph"/>
        <w:numPr>
          <w:ilvl w:val="0"/>
          <w:numId w:val="59"/>
        </w:numPr>
        <w:tabs>
          <w:tab w:pos="1390" w:val="left" w:leader="none"/>
        </w:tabs>
        <w:spacing w:line="240" w:lineRule="auto" w:before="0" w:after="0"/>
        <w:ind w:left="681" w:right="116" w:firstLine="0"/>
        <w:jc w:val="both"/>
        <w:rPr>
          <w:sz w:val="20"/>
        </w:rPr>
      </w:pPr>
      <w:r>
        <w:rPr>
          <w:sz w:val="20"/>
        </w:rPr>
        <w:t>Dicho</w:t>
      </w:r>
      <w:r>
        <w:rPr>
          <w:spacing w:val="-7"/>
          <w:sz w:val="20"/>
        </w:rPr>
        <w:t> </w:t>
      </w:r>
      <w:r>
        <w:rPr>
          <w:sz w:val="20"/>
        </w:rPr>
        <w:t>instrumento</w:t>
      </w:r>
      <w:r>
        <w:rPr>
          <w:spacing w:val="-8"/>
          <w:sz w:val="20"/>
        </w:rPr>
        <w:t> </w:t>
      </w:r>
      <w:r>
        <w:rPr>
          <w:sz w:val="20"/>
        </w:rPr>
        <w:t>es</w:t>
      </w:r>
      <w:r>
        <w:rPr>
          <w:spacing w:val="-7"/>
          <w:sz w:val="20"/>
        </w:rPr>
        <w:t> </w:t>
      </w:r>
      <w:r>
        <w:rPr>
          <w:sz w:val="20"/>
        </w:rPr>
        <w:t>adoptado</w:t>
      </w:r>
      <w:r>
        <w:rPr>
          <w:spacing w:val="-7"/>
          <w:sz w:val="20"/>
        </w:rPr>
        <w:t> </w:t>
      </w:r>
      <w:r>
        <w:rPr>
          <w:sz w:val="20"/>
        </w:rPr>
        <w:t>en</w:t>
      </w:r>
      <w:r>
        <w:rPr>
          <w:spacing w:val="-8"/>
          <w:sz w:val="20"/>
        </w:rPr>
        <w:t> </w:t>
      </w:r>
      <w:r>
        <w:rPr>
          <w:sz w:val="20"/>
        </w:rPr>
        <w:t>consideración</w:t>
      </w:r>
      <w:r>
        <w:rPr>
          <w:spacing w:val="-7"/>
          <w:sz w:val="20"/>
        </w:rPr>
        <w:t> </w:t>
      </w:r>
      <w:r>
        <w:rPr>
          <w:sz w:val="20"/>
        </w:rPr>
        <w:t>a</w:t>
      </w:r>
      <w:r>
        <w:rPr>
          <w:spacing w:val="-7"/>
          <w:sz w:val="20"/>
        </w:rPr>
        <w:t> </w:t>
      </w:r>
      <w:r>
        <w:rPr>
          <w:sz w:val="20"/>
        </w:rPr>
        <w:t>lo</w:t>
      </w:r>
      <w:r>
        <w:rPr>
          <w:spacing w:val="-7"/>
          <w:sz w:val="20"/>
        </w:rPr>
        <w:t> </w:t>
      </w:r>
      <w:r>
        <w:rPr>
          <w:sz w:val="20"/>
        </w:rPr>
        <w:t>previsto</w:t>
      </w:r>
      <w:r>
        <w:rPr>
          <w:spacing w:val="-8"/>
          <w:sz w:val="20"/>
        </w:rPr>
        <w:t> </w:t>
      </w:r>
      <w:r>
        <w:rPr>
          <w:sz w:val="20"/>
        </w:rPr>
        <w:t>en</w:t>
      </w:r>
      <w:r>
        <w:rPr>
          <w:spacing w:val="-7"/>
          <w:sz w:val="20"/>
        </w:rPr>
        <w:t> </w:t>
      </w:r>
      <w:r>
        <w:rPr>
          <w:sz w:val="20"/>
        </w:rPr>
        <w:t>los</w:t>
      </w:r>
      <w:r>
        <w:rPr>
          <w:spacing w:val="-7"/>
          <w:sz w:val="20"/>
        </w:rPr>
        <w:t> </w:t>
      </w:r>
      <w:r>
        <w:rPr>
          <w:sz w:val="20"/>
        </w:rPr>
        <w:t>artículos</w:t>
      </w:r>
      <w:r>
        <w:rPr>
          <w:spacing w:val="-9"/>
          <w:sz w:val="20"/>
        </w:rPr>
        <w:t> </w:t>
      </w:r>
      <w:r>
        <w:rPr>
          <w:sz w:val="20"/>
        </w:rPr>
        <w:t>31, 76 y 77</w:t>
      </w:r>
      <w:r>
        <w:rPr>
          <w:position w:val="7"/>
          <w:sz w:val="13"/>
        </w:rPr>
        <w:t>105  </w:t>
      </w:r>
      <w:r>
        <w:rPr>
          <w:sz w:val="20"/>
        </w:rPr>
        <w:t>de la Convención. Así lo expresa su propio Preámbulo, al señalar</w:t>
      </w:r>
      <w:r>
        <w:rPr>
          <w:spacing w:val="-41"/>
          <w:sz w:val="20"/>
        </w:rPr>
        <w:t> </w:t>
      </w:r>
      <w:r>
        <w:rPr>
          <w:sz w:val="20"/>
        </w:rPr>
        <w:t>que</w:t>
      </w:r>
    </w:p>
    <w:p>
      <w:pPr>
        <w:pStyle w:val="BodyText"/>
        <w:spacing w:before="11"/>
        <w:rPr>
          <w:sz w:val="19"/>
        </w:rPr>
      </w:pPr>
    </w:p>
    <w:p>
      <w:pPr>
        <w:spacing w:before="0"/>
        <w:ind w:left="1249" w:right="116" w:firstLine="0"/>
        <w:jc w:val="both"/>
        <w:rPr>
          <w:sz w:val="18"/>
        </w:rPr>
      </w:pPr>
      <w:r>
        <w:rPr>
          <w:i/>
          <w:sz w:val="18"/>
        </w:rPr>
        <w:t>“(t)eniendo presente que si bien los derechos económicos, sociales y culturales </w:t>
      </w:r>
      <w:r>
        <w:rPr>
          <w:i/>
          <w:sz w:val="18"/>
        </w:rPr>
        <w:t>fundamentales han sido reconocidos en anteriores instrumentos internacionales, tanto de ámbito universal como regional, resulta de gran importancia que éstos sean reafirmados, desarrollados, perfeccionados y protegidos en función de consolidar en América, sobre la base del respeto integral a los derechos de la persona, el régimen democrático representativo de gobierno, así como el derecho de sus pueblos al desarrollo, a la libre determinación</w:t>
      </w:r>
      <w:r>
        <w:rPr>
          <w:i/>
          <w:spacing w:val="-10"/>
          <w:sz w:val="18"/>
        </w:rPr>
        <w:t> </w:t>
      </w:r>
      <w:r>
        <w:rPr>
          <w:i/>
          <w:sz w:val="18"/>
        </w:rPr>
        <w:t>y</w:t>
      </w:r>
      <w:r>
        <w:rPr>
          <w:i/>
          <w:spacing w:val="-10"/>
          <w:sz w:val="18"/>
        </w:rPr>
        <w:t> </w:t>
      </w:r>
      <w:r>
        <w:rPr>
          <w:i/>
          <w:sz w:val="18"/>
        </w:rPr>
        <w:t>a</w:t>
      </w:r>
      <w:r>
        <w:rPr>
          <w:i/>
          <w:spacing w:val="-11"/>
          <w:sz w:val="18"/>
        </w:rPr>
        <w:t> </w:t>
      </w:r>
      <w:r>
        <w:rPr>
          <w:i/>
          <w:sz w:val="18"/>
        </w:rPr>
        <w:t>disponer</w:t>
      </w:r>
      <w:r>
        <w:rPr>
          <w:i/>
          <w:spacing w:val="-11"/>
          <w:sz w:val="18"/>
        </w:rPr>
        <w:t> </w:t>
      </w:r>
      <w:r>
        <w:rPr>
          <w:i/>
          <w:sz w:val="18"/>
        </w:rPr>
        <w:t>libremente</w:t>
      </w:r>
      <w:r>
        <w:rPr>
          <w:i/>
          <w:spacing w:val="-10"/>
          <w:sz w:val="18"/>
        </w:rPr>
        <w:t> </w:t>
      </w:r>
      <w:r>
        <w:rPr>
          <w:i/>
          <w:sz w:val="18"/>
        </w:rPr>
        <w:t>de</w:t>
      </w:r>
      <w:r>
        <w:rPr>
          <w:i/>
          <w:spacing w:val="-11"/>
          <w:sz w:val="18"/>
        </w:rPr>
        <w:t> </w:t>
      </w:r>
      <w:r>
        <w:rPr>
          <w:i/>
          <w:sz w:val="18"/>
        </w:rPr>
        <w:t>sus</w:t>
      </w:r>
      <w:r>
        <w:rPr>
          <w:i/>
          <w:spacing w:val="-11"/>
          <w:sz w:val="18"/>
        </w:rPr>
        <w:t> </w:t>
      </w:r>
      <w:r>
        <w:rPr>
          <w:i/>
          <w:sz w:val="18"/>
        </w:rPr>
        <w:t>riquezas</w:t>
      </w:r>
      <w:r>
        <w:rPr>
          <w:i/>
          <w:spacing w:val="-11"/>
          <w:sz w:val="18"/>
        </w:rPr>
        <w:t> </w:t>
      </w:r>
      <w:r>
        <w:rPr>
          <w:i/>
          <w:sz w:val="18"/>
        </w:rPr>
        <w:t>y</w:t>
      </w:r>
      <w:r>
        <w:rPr>
          <w:i/>
          <w:spacing w:val="-10"/>
          <w:sz w:val="18"/>
        </w:rPr>
        <w:t> </w:t>
      </w:r>
      <w:r>
        <w:rPr>
          <w:i/>
          <w:sz w:val="18"/>
        </w:rPr>
        <w:t>recursos</w:t>
      </w:r>
      <w:r>
        <w:rPr>
          <w:i/>
          <w:spacing w:val="-10"/>
          <w:sz w:val="18"/>
        </w:rPr>
        <w:t> </w:t>
      </w:r>
      <w:r>
        <w:rPr>
          <w:i/>
          <w:sz w:val="18"/>
        </w:rPr>
        <w:t>naturales,</w:t>
      </w:r>
      <w:r>
        <w:rPr>
          <w:i/>
          <w:spacing w:val="-10"/>
          <w:sz w:val="18"/>
        </w:rPr>
        <w:t> </w:t>
      </w:r>
      <w:r>
        <w:rPr>
          <w:i/>
          <w:sz w:val="18"/>
        </w:rPr>
        <w:t>y</w:t>
      </w:r>
      <w:r>
        <w:rPr>
          <w:i/>
          <w:spacing w:val="-10"/>
          <w:sz w:val="18"/>
        </w:rPr>
        <w:t> </w:t>
      </w:r>
      <w:r>
        <w:rPr>
          <w:i/>
          <w:sz w:val="18"/>
        </w:rPr>
        <w:t>considerando que la Convención Americana sobre Derechos Humanos establece que pueden someterse a la consideración de los Estados partes reunidos con ocasión de la Asamblea General de la Convención con la finalidad de incluir progresivamente en el régimen de protección de la misma otros derechos y</w:t>
      </w:r>
      <w:r>
        <w:rPr>
          <w:i/>
          <w:spacing w:val="-10"/>
          <w:sz w:val="18"/>
        </w:rPr>
        <w:t> </w:t>
      </w:r>
      <w:r>
        <w:rPr>
          <w:i/>
          <w:sz w:val="18"/>
        </w:rPr>
        <w:t>libertades</w:t>
      </w:r>
      <w:r>
        <w:rPr>
          <w:sz w:val="18"/>
        </w:rPr>
        <w:t>”.</w:t>
      </w:r>
    </w:p>
    <w:p>
      <w:pPr>
        <w:pStyle w:val="BodyText"/>
      </w:pPr>
    </w:p>
    <w:p>
      <w:pPr>
        <w:pStyle w:val="BodyText"/>
        <w:spacing w:before="8"/>
        <w:rPr>
          <w:sz w:val="12"/>
        </w:rPr>
      </w:pPr>
      <w:r>
        <w:rPr/>
        <w:pict>
          <v:line style="position:absolute;mso-position-horizontal-relative:page;mso-position-vertical-relative:paragraph;z-index:4336;mso-wrap-distance-left:0;mso-wrap-distance-right:0" from="56.700001pt,10.05542pt" to="200.720001pt,10.05542pt" stroked="true" strokeweight=".72003pt" strokecolor="#000000">
            <v:stroke dashstyle="solid"/>
            <w10:wrap type="topAndBottom"/>
          </v:line>
        </w:pict>
      </w:r>
    </w:p>
    <w:p>
      <w:pPr>
        <w:spacing w:before="70"/>
        <w:ind w:left="681" w:right="0" w:firstLine="0"/>
        <w:jc w:val="left"/>
        <w:rPr>
          <w:sz w:val="16"/>
        </w:rPr>
      </w:pPr>
      <w:r>
        <w:rPr>
          <w:position w:val="6"/>
          <w:sz w:val="10"/>
        </w:rPr>
        <w:t>103  </w:t>
      </w:r>
      <w:r>
        <w:rPr>
          <w:sz w:val="16"/>
        </w:rPr>
        <w:t>Párr. 202.</w:t>
      </w:r>
    </w:p>
    <w:p>
      <w:pPr>
        <w:pStyle w:val="BodyText"/>
        <w:rPr>
          <w:sz w:val="16"/>
        </w:rPr>
      </w:pPr>
    </w:p>
    <w:p>
      <w:pPr>
        <w:spacing w:before="0"/>
        <w:ind w:left="681" w:right="0" w:firstLine="0"/>
        <w:jc w:val="left"/>
        <w:rPr>
          <w:sz w:val="16"/>
        </w:rPr>
      </w:pPr>
      <w:r>
        <w:rPr>
          <w:position w:val="6"/>
          <w:sz w:val="10"/>
        </w:rPr>
        <w:t>104  </w:t>
      </w:r>
      <w:r>
        <w:rPr>
          <w:i/>
          <w:sz w:val="16"/>
        </w:rPr>
        <w:t>Supra</w:t>
      </w:r>
      <w:r>
        <w:rPr>
          <w:sz w:val="16"/>
        </w:rPr>
        <w:t>, Nota N° 64.</w:t>
      </w:r>
    </w:p>
    <w:p>
      <w:pPr>
        <w:pStyle w:val="BodyText"/>
        <w:spacing w:before="12"/>
        <w:rPr>
          <w:sz w:val="15"/>
        </w:rPr>
      </w:pPr>
    </w:p>
    <w:p>
      <w:pPr>
        <w:spacing w:before="0"/>
        <w:ind w:left="681" w:right="0" w:firstLine="0"/>
        <w:jc w:val="left"/>
        <w:rPr>
          <w:sz w:val="16"/>
        </w:rPr>
      </w:pPr>
      <w:r>
        <w:rPr>
          <w:position w:val="6"/>
          <w:sz w:val="10"/>
        </w:rPr>
        <w:t>105 </w:t>
      </w:r>
      <w:r>
        <w:rPr>
          <w:i/>
          <w:sz w:val="16"/>
        </w:rPr>
        <w:t>Supra</w:t>
      </w:r>
      <w:r>
        <w:rPr>
          <w:sz w:val="16"/>
        </w:rPr>
        <w:t>, Nota N° 84.</w:t>
      </w:r>
    </w:p>
    <w:p>
      <w:pPr>
        <w:spacing w:after="0"/>
        <w:jc w:val="left"/>
        <w:rPr>
          <w:sz w:val="16"/>
        </w:rPr>
        <w:sectPr>
          <w:pgSz w:w="12240" w:h="15840"/>
          <w:pgMar w:header="0" w:footer="1000" w:top="1220" w:bottom="1200" w:left="1020" w:right="1580"/>
        </w:sectPr>
      </w:pPr>
    </w:p>
    <w:p>
      <w:pPr>
        <w:pStyle w:val="ListParagraph"/>
        <w:numPr>
          <w:ilvl w:val="0"/>
          <w:numId w:val="59"/>
        </w:numPr>
        <w:tabs>
          <w:tab w:pos="1390" w:val="left" w:leader="none"/>
        </w:tabs>
        <w:spacing w:line="240" w:lineRule="auto" w:before="83" w:after="0"/>
        <w:ind w:left="681" w:right="118" w:firstLine="0"/>
        <w:jc w:val="both"/>
        <w:rPr>
          <w:sz w:val="20"/>
        </w:rPr>
      </w:pPr>
      <w:r>
        <w:rPr>
          <w:sz w:val="20"/>
        </w:rPr>
        <w:t>De lo transcrito se desprende, por ende, que se trata de un acuerdo “Adicional a la Convención”, que tiene por específica finalidad reafirmar, desarrollar, perfeccionar y proteger los derechos económicos, sociales y culturales y de progresivamente incluirlos en el régimen de protección de la misma y lograr su plena</w:t>
      </w:r>
      <w:r>
        <w:rPr>
          <w:spacing w:val="-19"/>
          <w:sz w:val="20"/>
        </w:rPr>
        <w:t> </w:t>
      </w:r>
      <w:r>
        <w:rPr>
          <w:sz w:val="20"/>
        </w:rPr>
        <w:t>efectividad.</w:t>
      </w:r>
    </w:p>
    <w:p>
      <w:pPr>
        <w:pStyle w:val="BodyText"/>
        <w:spacing w:before="11"/>
        <w:rPr>
          <w:sz w:val="19"/>
        </w:rPr>
      </w:pPr>
    </w:p>
    <w:p>
      <w:pPr>
        <w:pStyle w:val="ListParagraph"/>
        <w:numPr>
          <w:ilvl w:val="0"/>
          <w:numId w:val="59"/>
        </w:numPr>
        <w:tabs>
          <w:tab w:pos="1390" w:val="left" w:leader="none"/>
        </w:tabs>
        <w:spacing w:line="240" w:lineRule="auto" w:before="0" w:after="0"/>
        <w:ind w:left="681" w:right="120" w:firstLine="0"/>
        <w:jc w:val="both"/>
        <w:rPr>
          <w:sz w:val="20"/>
        </w:rPr>
      </w:pPr>
      <w:r>
        <w:rPr>
          <w:sz w:val="20"/>
        </w:rPr>
        <w:t>Esto es, se adopta el Protocolo dado que los derechos económicos sociales y culturales no han sido, a la fecha de su suscripción, reafirmados, desarrollados, perfeccionados y protegidos ni incluidos en el régimen de protección de la Convención, lo que implica que tampoco tienen plena efectividad por en virtud del artículo 26. De otra manera, no se entendería la finalidad ni la conveniencia del citado</w:t>
      </w:r>
      <w:r>
        <w:rPr>
          <w:spacing w:val="-19"/>
          <w:sz w:val="20"/>
        </w:rPr>
        <w:t> </w:t>
      </w:r>
      <w:r>
        <w:rPr>
          <w:sz w:val="20"/>
        </w:rPr>
        <w:t>Protocolo.</w:t>
      </w:r>
    </w:p>
    <w:p>
      <w:pPr>
        <w:pStyle w:val="BodyText"/>
        <w:spacing w:before="11"/>
        <w:rPr>
          <w:sz w:val="19"/>
        </w:rPr>
      </w:pPr>
    </w:p>
    <w:p>
      <w:pPr>
        <w:pStyle w:val="ListParagraph"/>
        <w:numPr>
          <w:ilvl w:val="0"/>
          <w:numId w:val="59"/>
        </w:numPr>
        <w:tabs>
          <w:tab w:pos="1390" w:val="left" w:leader="none"/>
        </w:tabs>
        <w:spacing w:line="240" w:lineRule="auto" w:before="0" w:after="0"/>
        <w:ind w:left="681" w:right="116" w:firstLine="0"/>
        <w:jc w:val="both"/>
        <w:rPr>
          <w:sz w:val="20"/>
        </w:rPr>
      </w:pPr>
      <w:r>
        <w:rPr>
          <w:sz w:val="20"/>
        </w:rPr>
        <w:t>Así las cosas, el Protocolo de San Salvador reconoce</w:t>
      </w:r>
      <w:r>
        <w:rPr>
          <w:position w:val="7"/>
          <w:sz w:val="13"/>
        </w:rPr>
        <w:t>106</w:t>
      </w:r>
      <w:r>
        <w:rPr>
          <w:sz w:val="20"/>
        </w:rPr>
        <w:t>, establece</w:t>
      </w:r>
      <w:r>
        <w:rPr>
          <w:position w:val="7"/>
          <w:sz w:val="13"/>
        </w:rPr>
        <w:t>107</w:t>
      </w:r>
      <w:r>
        <w:rPr>
          <w:sz w:val="20"/>
        </w:rPr>
        <w:t>, enuncia</w:t>
      </w:r>
      <w:r>
        <w:rPr>
          <w:position w:val="7"/>
          <w:sz w:val="13"/>
        </w:rPr>
        <w:t>108 </w:t>
      </w:r>
      <w:r>
        <w:rPr>
          <w:sz w:val="20"/>
        </w:rPr>
        <w:t>o consagra</w:t>
      </w:r>
      <w:r>
        <w:rPr>
          <w:position w:val="7"/>
          <w:sz w:val="13"/>
        </w:rPr>
        <w:t>109 </w:t>
      </w:r>
      <w:r>
        <w:rPr>
          <w:sz w:val="20"/>
        </w:rPr>
        <w:t>los siguientes derechos: Derecho al Trabajo (art.6) , Condiciones Justas, Equitativas</w:t>
      </w:r>
      <w:r>
        <w:rPr>
          <w:spacing w:val="-10"/>
          <w:sz w:val="20"/>
        </w:rPr>
        <w:t> </w:t>
      </w:r>
      <w:r>
        <w:rPr>
          <w:sz w:val="20"/>
        </w:rPr>
        <w:t>y</w:t>
      </w:r>
      <w:r>
        <w:rPr>
          <w:spacing w:val="-9"/>
          <w:sz w:val="20"/>
        </w:rPr>
        <w:t> </w:t>
      </w:r>
      <w:r>
        <w:rPr>
          <w:sz w:val="20"/>
        </w:rPr>
        <w:t>Satisfactorias</w:t>
      </w:r>
      <w:r>
        <w:rPr>
          <w:spacing w:val="-10"/>
          <w:sz w:val="20"/>
        </w:rPr>
        <w:t> </w:t>
      </w:r>
      <w:r>
        <w:rPr>
          <w:sz w:val="20"/>
        </w:rPr>
        <w:t>de</w:t>
      </w:r>
      <w:r>
        <w:rPr>
          <w:spacing w:val="-8"/>
          <w:sz w:val="20"/>
        </w:rPr>
        <w:t> </w:t>
      </w:r>
      <w:r>
        <w:rPr>
          <w:sz w:val="20"/>
        </w:rPr>
        <w:t>Trabajo</w:t>
      </w:r>
      <w:r>
        <w:rPr>
          <w:spacing w:val="-10"/>
          <w:sz w:val="20"/>
        </w:rPr>
        <w:t> </w:t>
      </w:r>
      <w:r>
        <w:rPr>
          <w:sz w:val="20"/>
        </w:rPr>
        <w:t>(art.7),</w:t>
      </w:r>
      <w:r>
        <w:rPr>
          <w:spacing w:val="-10"/>
          <w:sz w:val="20"/>
        </w:rPr>
        <w:t> </w:t>
      </w:r>
      <w:r>
        <w:rPr>
          <w:sz w:val="20"/>
        </w:rPr>
        <w:t>Derechos</w:t>
      </w:r>
      <w:r>
        <w:rPr>
          <w:spacing w:val="-9"/>
          <w:sz w:val="20"/>
        </w:rPr>
        <w:t> </w:t>
      </w:r>
      <w:r>
        <w:rPr>
          <w:sz w:val="20"/>
        </w:rPr>
        <w:t>Sindicales</w:t>
      </w:r>
      <w:r>
        <w:rPr>
          <w:spacing w:val="-9"/>
          <w:sz w:val="20"/>
        </w:rPr>
        <w:t> </w:t>
      </w:r>
      <w:r>
        <w:rPr>
          <w:sz w:val="20"/>
        </w:rPr>
        <w:t>(art.8),</w:t>
      </w:r>
      <w:r>
        <w:rPr>
          <w:spacing w:val="-10"/>
          <w:sz w:val="20"/>
        </w:rPr>
        <w:t> </w:t>
      </w:r>
      <w:r>
        <w:rPr>
          <w:sz w:val="20"/>
        </w:rPr>
        <w:t>Derecho</w:t>
      </w:r>
      <w:r>
        <w:rPr>
          <w:spacing w:val="-9"/>
          <w:sz w:val="20"/>
        </w:rPr>
        <w:t> </w:t>
      </w:r>
      <w:r>
        <w:rPr>
          <w:sz w:val="20"/>
        </w:rPr>
        <w:t>a</w:t>
      </w:r>
      <w:r>
        <w:rPr>
          <w:spacing w:val="-9"/>
          <w:sz w:val="20"/>
        </w:rPr>
        <w:t> </w:t>
      </w:r>
      <w:r>
        <w:rPr>
          <w:sz w:val="20"/>
        </w:rPr>
        <w:t>la Seguridad Social (art.9), Derecho a la Salud (art.10), Derecho a un Medio Ambiente Sano (art.11), Derecho a la Alimentación (art.12), Derecho a la Educación (art.13), Derecho</w:t>
      </w:r>
      <w:r>
        <w:rPr>
          <w:spacing w:val="-9"/>
          <w:sz w:val="20"/>
        </w:rPr>
        <w:t> </w:t>
      </w:r>
      <w:r>
        <w:rPr>
          <w:sz w:val="20"/>
        </w:rPr>
        <w:t>a</w:t>
      </w:r>
      <w:r>
        <w:rPr>
          <w:spacing w:val="-11"/>
          <w:sz w:val="20"/>
        </w:rPr>
        <w:t> </w:t>
      </w:r>
      <w:r>
        <w:rPr>
          <w:sz w:val="20"/>
        </w:rPr>
        <w:t>los</w:t>
      </w:r>
      <w:r>
        <w:rPr>
          <w:spacing w:val="-9"/>
          <w:sz w:val="20"/>
        </w:rPr>
        <w:t> </w:t>
      </w:r>
      <w:r>
        <w:rPr>
          <w:sz w:val="20"/>
        </w:rPr>
        <w:t>Beneficios</w:t>
      </w:r>
      <w:r>
        <w:rPr>
          <w:spacing w:val="-9"/>
          <w:sz w:val="20"/>
        </w:rPr>
        <w:t> </w:t>
      </w:r>
      <w:r>
        <w:rPr>
          <w:sz w:val="20"/>
        </w:rPr>
        <w:t>de</w:t>
      </w:r>
      <w:r>
        <w:rPr>
          <w:spacing w:val="-9"/>
          <w:sz w:val="20"/>
        </w:rPr>
        <w:t> </w:t>
      </w:r>
      <w:r>
        <w:rPr>
          <w:sz w:val="20"/>
        </w:rPr>
        <w:t>la</w:t>
      </w:r>
      <w:r>
        <w:rPr>
          <w:spacing w:val="-12"/>
          <w:sz w:val="20"/>
        </w:rPr>
        <w:t> </w:t>
      </w:r>
      <w:r>
        <w:rPr>
          <w:sz w:val="20"/>
        </w:rPr>
        <w:t>Cultura(art.14),</w:t>
      </w:r>
      <w:r>
        <w:rPr>
          <w:spacing w:val="-10"/>
          <w:sz w:val="20"/>
        </w:rPr>
        <w:t> </w:t>
      </w:r>
      <w:r>
        <w:rPr>
          <w:sz w:val="20"/>
        </w:rPr>
        <w:t>Derecho</w:t>
      </w:r>
      <w:r>
        <w:rPr>
          <w:spacing w:val="-11"/>
          <w:sz w:val="20"/>
        </w:rPr>
        <w:t> </w:t>
      </w:r>
      <w:r>
        <w:rPr>
          <w:sz w:val="20"/>
        </w:rPr>
        <w:t>a</w:t>
      </w:r>
      <w:r>
        <w:rPr>
          <w:spacing w:val="-10"/>
          <w:sz w:val="20"/>
        </w:rPr>
        <w:t> </w:t>
      </w:r>
      <w:r>
        <w:rPr>
          <w:sz w:val="20"/>
        </w:rPr>
        <w:t>la</w:t>
      </w:r>
      <w:r>
        <w:rPr>
          <w:spacing w:val="-10"/>
          <w:sz w:val="20"/>
        </w:rPr>
        <w:t> </w:t>
      </w:r>
      <w:r>
        <w:rPr>
          <w:sz w:val="20"/>
        </w:rPr>
        <w:t>Constitución</w:t>
      </w:r>
      <w:r>
        <w:rPr>
          <w:spacing w:val="-9"/>
          <w:sz w:val="20"/>
        </w:rPr>
        <w:t> </w:t>
      </w:r>
      <w:r>
        <w:rPr>
          <w:sz w:val="20"/>
        </w:rPr>
        <w:t>y</w:t>
      </w:r>
      <w:r>
        <w:rPr>
          <w:spacing w:val="-10"/>
          <w:sz w:val="20"/>
        </w:rPr>
        <w:t> </w:t>
      </w:r>
      <w:r>
        <w:rPr>
          <w:sz w:val="20"/>
        </w:rPr>
        <w:t>Protección</w:t>
      </w:r>
      <w:r>
        <w:rPr>
          <w:spacing w:val="-9"/>
          <w:sz w:val="20"/>
        </w:rPr>
        <w:t> </w:t>
      </w:r>
      <w:r>
        <w:rPr>
          <w:sz w:val="20"/>
        </w:rPr>
        <w:t>de la Familia (art.15), Derecho de la Niñez (art.16), Protección de los Ancianos (art.17) y Protección de los Minusválidos (art.18)</w:t>
      </w:r>
      <w:r>
        <w:rPr>
          <w:b/>
          <w:sz w:val="20"/>
        </w:rPr>
        <w:t>. </w:t>
      </w:r>
      <w:r>
        <w:rPr>
          <w:sz w:val="20"/>
        </w:rPr>
        <w:t>Téngase presente que, por el contrario, el artículo</w:t>
      </w:r>
      <w:r>
        <w:rPr>
          <w:spacing w:val="-15"/>
          <w:sz w:val="20"/>
        </w:rPr>
        <w:t> </w:t>
      </w:r>
      <w:r>
        <w:rPr>
          <w:sz w:val="20"/>
        </w:rPr>
        <w:t>26</w:t>
      </w:r>
      <w:r>
        <w:rPr>
          <w:spacing w:val="-16"/>
          <w:sz w:val="20"/>
        </w:rPr>
        <w:t> </w:t>
      </w:r>
      <w:r>
        <w:rPr>
          <w:sz w:val="20"/>
        </w:rPr>
        <w:t>no</w:t>
      </w:r>
      <w:r>
        <w:rPr>
          <w:spacing w:val="-14"/>
          <w:sz w:val="20"/>
        </w:rPr>
        <w:t> </w:t>
      </w:r>
      <w:r>
        <w:rPr>
          <w:sz w:val="20"/>
        </w:rPr>
        <w:t>establece</w:t>
      </w:r>
      <w:r>
        <w:rPr>
          <w:spacing w:val="-14"/>
          <w:sz w:val="20"/>
        </w:rPr>
        <w:t> </w:t>
      </w:r>
      <w:r>
        <w:rPr>
          <w:sz w:val="20"/>
        </w:rPr>
        <w:t>o</w:t>
      </w:r>
      <w:r>
        <w:rPr>
          <w:spacing w:val="-13"/>
          <w:sz w:val="20"/>
        </w:rPr>
        <w:t> </w:t>
      </w:r>
      <w:r>
        <w:rPr>
          <w:sz w:val="20"/>
        </w:rPr>
        <w:t>consagra</w:t>
      </w:r>
      <w:r>
        <w:rPr>
          <w:spacing w:val="-13"/>
          <w:sz w:val="20"/>
        </w:rPr>
        <w:t> </w:t>
      </w:r>
      <w:r>
        <w:rPr>
          <w:sz w:val="20"/>
        </w:rPr>
        <w:t>derecho</w:t>
      </w:r>
      <w:r>
        <w:rPr>
          <w:spacing w:val="-14"/>
          <w:sz w:val="20"/>
        </w:rPr>
        <w:t> </w:t>
      </w:r>
      <w:r>
        <w:rPr>
          <w:sz w:val="20"/>
        </w:rPr>
        <w:t>alguno,</w:t>
      </w:r>
      <w:r>
        <w:rPr>
          <w:spacing w:val="-14"/>
          <w:sz w:val="20"/>
        </w:rPr>
        <w:t> </w:t>
      </w:r>
      <w:r>
        <w:rPr>
          <w:sz w:val="20"/>
        </w:rPr>
        <w:t>solo</w:t>
      </w:r>
      <w:r>
        <w:rPr>
          <w:spacing w:val="-13"/>
          <w:sz w:val="20"/>
        </w:rPr>
        <w:t> </w:t>
      </w:r>
      <w:r>
        <w:rPr>
          <w:sz w:val="20"/>
        </w:rPr>
        <w:t>se</w:t>
      </w:r>
      <w:r>
        <w:rPr>
          <w:spacing w:val="-14"/>
          <w:sz w:val="20"/>
        </w:rPr>
        <w:t> </w:t>
      </w:r>
      <w:r>
        <w:rPr>
          <w:sz w:val="20"/>
        </w:rPr>
        <w:t>remite</w:t>
      </w:r>
      <w:r>
        <w:rPr>
          <w:spacing w:val="-13"/>
          <w:sz w:val="20"/>
        </w:rPr>
        <w:t> </w:t>
      </w:r>
      <w:r>
        <w:rPr>
          <w:sz w:val="20"/>
        </w:rPr>
        <w:t>a</w:t>
      </w:r>
      <w:r>
        <w:rPr>
          <w:spacing w:val="-15"/>
          <w:sz w:val="20"/>
        </w:rPr>
        <w:t> </w:t>
      </w:r>
      <w:r>
        <w:rPr>
          <w:sz w:val="20"/>
        </w:rPr>
        <w:t>los</w:t>
      </w:r>
      <w:r>
        <w:rPr>
          <w:spacing w:val="-13"/>
          <w:sz w:val="20"/>
        </w:rPr>
        <w:t> </w:t>
      </w:r>
      <w:r>
        <w:rPr>
          <w:sz w:val="20"/>
        </w:rPr>
        <w:t>que</w:t>
      </w:r>
      <w:r>
        <w:rPr>
          <w:spacing w:val="-13"/>
          <w:sz w:val="20"/>
        </w:rPr>
        <w:t> </w:t>
      </w:r>
      <w:r>
        <w:rPr>
          <w:sz w:val="20"/>
        </w:rPr>
        <w:t>se</w:t>
      </w:r>
      <w:r>
        <w:rPr>
          <w:spacing w:val="-14"/>
          <w:sz w:val="20"/>
        </w:rPr>
        <w:t> </w:t>
      </w:r>
      <w:r>
        <w:rPr>
          <w:sz w:val="20"/>
        </w:rPr>
        <w:t>“deriven” de la Carta de la</w:t>
      </w:r>
      <w:r>
        <w:rPr>
          <w:spacing w:val="-9"/>
          <w:sz w:val="20"/>
        </w:rPr>
        <w:t> </w:t>
      </w:r>
      <w:r>
        <w:rPr>
          <w:sz w:val="20"/>
        </w:rPr>
        <w:t>OEA.</w:t>
      </w:r>
    </w:p>
    <w:p>
      <w:pPr>
        <w:pStyle w:val="BodyText"/>
        <w:spacing w:before="11"/>
        <w:rPr>
          <w:sz w:val="19"/>
        </w:rPr>
      </w:pPr>
    </w:p>
    <w:p>
      <w:pPr>
        <w:pStyle w:val="ListParagraph"/>
        <w:numPr>
          <w:ilvl w:val="0"/>
          <w:numId w:val="59"/>
        </w:numPr>
        <w:tabs>
          <w:tab w:pos="1390" w:val="left" w:leader="none"/>
        </w:tabs>
        <w:spacing w:line="240" w:lineRule="auto" w:before="0" w:after="0"/>
        <w:ind w:left="681" w:right="119" w:firstLine="0"/>
        <w:jc w:val="both"/>
        <w:rPr>
          <w:sz w:val="20"/>
        </w:rPr>
      </w:pPr>
      <w:r>
        <w:rPr>
          <w:sz w:val="20"/>
        </w:rPr>
        <w:t>Y respecto de esos derechos reconocidos por el Protocolo de San Salvador, los Estados Partes se comprometen a adoptar, de manera progresiva, las medidas que garanticen su plena efectividad (arts.6.2, 10.2, 11.2 y 12.2). En esto hay una coincidencia con lo previsto en el artículo 26, es decir, que tanto el Protocolo de San Salvador como esta última disposición, dicen relación con derechos cuya efectividad no existe o no es</w:t>
      </w:r>
      <w:r>
        <w:rPr>
          <w:spacing w:val="-7"/>
          <w:sz w:val="20"/>
        </w:rPr>
        <w:t> </w:t>
      </w:r>
      <w:r>
        <w:rPr>
          <w:sz w:val="20"/>
        </w:rPr>
        <w:t>plena.</w:t>
      </w:r>
    </w:p>
    <w:p>
      <w:pPr>
        <w:pStyle w:val="BodyText"/>
      </w:pPr>
    </w:p>
    <w:p>
      <w:pPr>
        <w:pStyle w:val="BodyText"/>
      </w:pPr>
    </w:p>
    <w:p>
      <w:pPr>
        <w:pStyle w:val="BodyText"/>
        <w:spacing w:before="8"/>
        <w:rPr>
          <w:sz w:val="14"/>
        </w:rPr>
      </w:pPr>
      <w:r>
        <w:rPr/>
        <w:pict>
          <v:line style="position:absolute;mso-position-horizontal-relative:page;mso-position-vertical-relative:paragraph;z-index:4360;mso-wrap-distance-left:0;mso-wrap-distance-right:0" from="56.700001pt,11.259003pt" to="200.720001pt,11.259003pt" stroked="true" strokeweight=".72pt" strokecolor="#000000">
            <v:stroke dashstyle="solid"/>
            <w10:wrap type="topAndBottom"/>
          </v:line>
        </w:pict>
      </w:r>
    </w:p>
    <w:p>
      <w:pPr>
        <w:spacing w:before="70"/>
        <w:ind w:left="681" w:right="120" w:firstLine="0"/>
        <w:jc w:val="both"/>
        <w:rPr>
          <w:i/>
          <w:sz w:val="16"/>
        </w:rPr>
      </w:pPr>
      <w:r>
        <w:rPr>
          <w:position w:val="6"/>
          <w:sz w:val="10"/>
        </w:rPr>
        <w:t>106 </w:t>
      </w:r>
      <w:r>
        <w:rPr>
          <w:sz w:val="16"/>
        </w:rPr>
        <w:t>Art. 1: “</w:t>
      </w:r>
      <w:r>
        <w:rPr>
          <w:i/>
          <w:sz w:val="16"/>
        </w:rPr>
        <w:t>Obligación de Adoptar Medidas .Los Estados partes en el presente Protocolo Adicional a la </w:t>
      </w:r>
      <w:r>
        <w:rPr>
          <w:i/>
          <w:sz w:val="16"/>
        </w:rPr>
        <w:t>Convención Americana sobre Derechos Humanos se comprometen a adoptar las medidas necesarias tanto de orden interno como mediante la cooperación entre los Estados, especialmente económica y técnica, hasta el máximo de los recursos disponibles y tomando en cuenta su grado de desarrollo, a fin de lograr progresivamente, y de conformidad con la legislación interna, la plena efectividad de los derechos que se reconocen en el presente Protocolo.”</w:t>
      </w:r>
    </w:p>
    <w:p>
      <w:pPr>
        <w:spacing w:before="0"/>
        <w:ind w:left="681" w:right="119" w:firstLine="0"/>
        <w:jc w:val="both"/>
        <w:rPr>
          <w:sz w:val="16"/>
        </w:rPr>
      </w:pPr>
      <w:r>
        <w:rPr>
          <w:sz w:val="16"/>
        </w:rPr>
        <w:t>Art.4:” </w:t>
      </w:r>
      <w:r>
        <w:rPr>
          <w:i/>
          <w:sz w:val="16"/>
        </w:rPr>
        <w:t>No Admisión de Restricciones. No podrá restringirse o menoscabarse ninguno de los derechos </w:t>
      </w:r>
      <w:r>
        <w:rPr>
          <w:i/>
          <w:sz w:val="16"/>
        </w:rPr>
        <w:t>reconocidos o vigentes en un Estado en virtud de su legislación interna o de convenciones internacionales, a pretexto de que el presente Protocolo no los reconoce o los reconoce en menor grado</w:t>
      </w:r>
      <w:r>
        <w:rPr>
          <w:sz w:val="16"/>
        </w:rPr>
        <w:t>.”</w:t>
      </w:r>
    </w:p>
    <w:p>
      <w:pPr>
        <w:pStyle w:val="BodyText"/>
        <w:rPr>
          <w:sz w:val="16"/>
        </w:rPr>
      </w:pPr>
    </w:p>
    <w:p>
      <w:pPr>
        <w:spacing w:before="0"/>
        <w:ind w:left="681" w:right="121" w:firstLine="0"/>
        <w:jc w:val="both"/>
        <w:rPr>
          <w:i/>
          <w:sz w:val="16"/>
        </w:rPr>
      </w:pPr>
      <w:r>
        <w:rPr>
          <w:position w:val="6"/>
          <w:sz w:val="10"/>
        </w:rPr>
        <w:t>107</w:t>
      </w:r>
      <w:r>
        <w:rPr>
          <w:spacing w:val="8"/>
          <w:position w:val="6"/>
          <w:sz w:val="10"/>
        </w:rPr>
        <w:t> </w:t>
      </w:r>
      <w:r>
        <w:rPr>
          <w:sz w:val="16"/>
        </w:rPr>
        <w:t>Arts.2</w:t>
      </w:r>
      <w:r>
        <w:rPr>
          <w:i/>
          <w:sz w:val="16"/>
        </w:rPr>
        <w:t>:”</w:t>
      </w:r>
      <w:r>
        <w:rPr>
          <w:i/>
          <w:spacing w:val="-14"/>
          <w:sz w:val="16"/>
        </w:rPr>
        <w:t> </w:t>
      </w:r>
      <w:r>
        <w:rPr>
          <w:i/>
          <w:sz w:val="16"/>
        </w:rPr>
        <w:t>Obligación</w:t>
      </w:r>
      <w:r>
        <w:rPr>
          <w:i/>
          <w:spacing w:val="-13"/>
          <w:sz w:val="16"/>
        </w:rPr>
        <w:t> </w:t>
      </w:r>
      <w:r>
        <w:rPr>
          <w:i/>
          <w:sz w:val="16"/>
        </w:rPr>
        <w:t>de</w:t>
      </w:r>
      <w:r>
        <w:rPr>
          <w:i/>
          <w:spacing w:val="-13"/>
          <w:sz w:val="16"/>
        </w:rPr>
        <w:t> </w:t>
      </w:r>
      <w:r>
        <w:rPr>
          <w:i/>
          <w:sz w:val="16"/>
        </w:rPr>
        <w:t>Adoptar</w:t>
      </w:r>
      <w:r>
        <w:rPr>
          <w:i/>
          <w:spacing w:val="-13"/>
          <w:sz w:val="16"/>
        </w:rPr>
        <w:t> </w:t>
      </w:r>
      <w:r>
        <w:rPr>
          <w:i/>
          <w:sz w:val="16"/>
        </w:rPr>
        <w:t>Disposiciones</w:t>
      </w:r>
      <w:r>
        <w:rPr>
          <w:i/>
          <w:spacing w:val="-13"/>
          <w:sz w:val="16"/>
        </w:rPr>
        <w:t> </w:t>
      </w:r>
      <w:r>
        <w:rPr>
          <w:i/>
          <w:sz w:val="16"/>
        </w:rPr>
        <w:t>de</w:t>
      </w:r>
      <w:r>
        <w:rPr>
          <w:i/>
          <w:spacing w:val="-13"/>
          <w:sz w:val="16"/>
        </w:rPr>
        <w:t> </w:t>
      </w:r>
      <w:r>
        <w:rPr>
          <w:i/>
          <w:sz w:val="16"/>
        </w:rPr>
        <w:t>Derecho</w:t>
      </w:r>
      <w:r>
        <w:rPr>
          <w:i/>
          <w:spacing w:val="-13"/>
          <w:sz w:val="16"/>
        </w:rPr>
        <w:t> </w:t>
      </w:r>
      <w:r>
        <w:rPr>
          <w:i/>
          <w:sz w:val="16"/>
        </w:rPr>
        <w:t>Interno.</w:t>
      </w:r>
      <w:r>
        <w:rPr>
          <w:i/>
          <w:spacing w:val="-14"/>
          <w:sz w:val="16"/>
        </w:rPr>
        <w:t> </w:t>
      </w:r>
      <w:r>
        <w:rPr>
          <w:i/>
          <w:sz w:val="16"/>
        </w:rPr>
        <w:t>Si</w:t>
      </w:r>
      <w:r>
        <w:rPr>
          <w:i/>
          <w:spacing w:val="-13"/>
          <w:sz w:val="16"/>
        </w:rPr>
        <w:t> </w:t>
      </w:r>
      <w:r>
        <w:rPr>
          <w:i/>
          <w:sz w:val="16"/>
        </w:rPr>
        <w:t>el</w:t>
      </w:r>
      <w:r>
        <w:rPr>
          <w:i/>
          <w:spacing w:val="-13"/>
          <w:sz w:val="16"/>
        </w:rPr>
        <w:t> </w:t>
      </w:r>
      <w:r>
        <w:rPr>
          <w:i/>
          <w:sz w:val="16"/>
        </w:rPr>
        <w:t>ejercicio</w:t>
      </w:r>
      <w:r>
        <w:rPr>
          <w:i/>
          <w:spacing w:val="-13"/>
          <w:sz w:val="16"/>
        </w:rPr>
        <w:t> </w:t>
      </w:r>
      <w:r>
        <w:rPr>
          <w:i/>
          <w:sz w:val="16"/>
        </w:rPr>
        <w:t>de</w:t>
      </w:r>
      <w:r>
        <w:rPr>
          <w:i/>
          <w:spacing w:val="-13"/>
          <w:sz w:val="16"/>
        </w:rPr>
        <w:t> </w:t>
      </w:r>
      <w:r>
        <w:rPr>
          <w:i/>
          <w:sz w:val="16"/>
        </w:rPr>
        <w:t>los</w:t>
      </w:r>
      <w:r>
        <w:rPr>
          <w:i/>
          <w:spacing w:val="-13"/>
          <w:sz w:val="16"/>
        </w:rPr>
        <w:t> </w:t>
      </w:r>
      <w:r>
        <w:rPr>
          <w:i/>
          <w:sz w:val="16"/>
        </w:rPr>
        <w:t>derechos</w:t>
      </w:r>
      <w:r>
        <w:rPr>
          <w:i/>
          <w:spacing w:val="-13"/>
          <w:sz w:val="16"/>
        </w:rPr>
        <w:t> </w:t>
      </w:r>
      <w:r>
        <w:rPr>
          <w:i/>
          <w:sz w:val="16"/>
        </w:rPr>
        <w:t>establecidos </w:t>
      </w:r>
      <w:r>
        <w:rPr>
          <w:i/>
          <w:sz w:val="16"/>
        </w:rPr>
        <w:t>en el presente Protocolo no estuviera ya garantizado por disposiciones legislativas o de otro carácter, los Estados partes se comprometen a adoptar, con arreglo a sus procedimientos constitucionales y a las disposiciones de este Protocolo las medidas legislativas o de otro carácter que fueren necesarias para hacer efectivos tales</w:t>
      </w:r>
      <w:r>
        <w:rPr>
          <w:i/>
          <w:spacing w:val="-8"/>
          <w:sz w:val="16"/>
        </w:rPr>
        <w:t> </w:t>
      </w:r>
      <w:r>
        <w:rPr>
          <w:i/>
          <w:sz w:val="16"/>
        </w:rPr>
        <w:t>derechos.”</w:t>
      </w:r>
    </w:p>
    <w:p>
      <w:pPr>
        <w:spacing w:before="0"/>
        <w:ind w:left="681" w:right="119" w:firstLine="0"/>
        <w:jc w:val="both"/>
        <w:rPr>
          <w:i/>
          <w:sz w:val="16"/>
        </w:rPr>
      </w:pPr>
      <w:r>
        <w:rPr>
          <w:sz w:val="16"/>
        </w:rPr>
        <w:t>Art.5: “</w:t>
      </w:r>
      <w:r>
        <w:rPr>
          <w:i/>
          <w:sz w:val="16"/>
        </w:rPr>
        <w:t>Alcance de las Restricciones y Limitaciones. Los Estados partes sólo podrán establecer restricciones y </w:t>
      </w:r>
      <w:r>
        <w:rPr>
          <w:i/>
          <w:sz w:val="16"/>
        </w:rPr>
        <w:t>limitaciones al goce y ejercicio de los derechos establecidos en el presente Protocolo mediante leyes promulgadas</w:t>
      </w:r>
      <w:r>
        <w:rPr>
          <w:i/>
          <w:spacing w:val="-12"/>
          <w:sz w:val="16"/>
        </w:rPr>
        <w:t> </w:t>
      </w:r>
      <w:r>
        <w:rPr>
          <w:i/>
          <w:sz w:val="16"/>
        </w:rPr>
        <w:t>con</w:t>
      </w:r>
      <w:r>
        <w:rPr>
          <w:i/>
          <w:spacing w:val="-13"/>
          <w:sz w:val="16"/>
        </w:rPr>
        <w:t> </w:t>
      </w:r>
      <w:r>
        <w:rPr>
          <w:i/>
          <w:sz w:val="16"/>
        </w:rPr>
        <w:t>el</w:t>
      </w:r>
      <w:r>
        <w:rPr>
          <w:i/>
          <w:spacing w:val="-13"/>
          <w:sz w:val="16"/>
        </w:rPr>
        <w:t> </w:t>
      </w:r>
      <w:r>
        <w:rPr>
          <w:i/>
          <w:sz w:val="16"/>
        </w:rPr>
        <w:t>objeto</w:t>
      </w:r>
      <w:r>
        <w:rPr>
          <w:i/>
          <w:spacing w:val="-13"/>
          <w:sz w:val="16"/>
        </w:rPr>
        <w:t> </w:t>
      </w:r>
      <w:r>
        <w:rPr>
          <w:i/>
          <w:sz w:val="16"/>
        </w:rPr>
        <w:t>de</w:t>
      </w:r>
      <w:r>
        <w:rPr>
          <w:i/>
          <w:spacing w:val="-12"/>
          <w:sz w:val="16"/>
        </w:rPr>
        <w:t> </w:t>
      </w:r>
      <w:r>
        <w:rPr>
          <w:i/>
          <w:sz w:val="16"/>
        </w:rPr>
        <w:t>preservar</w:t>
      </w:r>
      <w:r>
        <w:rPr>
          <w:i/>
          <w:spacing w:val="-12"/>
          <w:sz w:val="16"/>
        </w:rPr>
        <w:t> </w:t>
      </w:r>
      <w:r>
        <w:rPr>
          <w:i/>
          <w:sz w:val="16"/>
        </w:rPr>
        <w:t>el</w:t>
      </w:r>
      <w:r>
        <w:rPr>
          <w:i/>
          <w:spacing w:val="-13"/>
          <w:sz w:val="16"/>
        </w:rPr>
        <w:t> </w:t>
      </w:r>
      <w:r>
        <w:rPr>
          <w:i/>
          <w:sz w:val="16"/>
        </w:rPr>
        <w:t>bienestar</w:t>
      </w:r>
      <w:r>
        <w:rPr>
          <w:i/>
          <w:spacing w:val="-12"/>
          <w:sz w:val="16"/>
        </w:rPr>
        <w:t> </w:t>
      </w:r>
      <w:r>
        <w:rPr>
          <w:i/>
          <w:sz w:val="16"/>
        </w:rPr>
        <w:t>general</w:t>
      </w:r>
      <w:r>
        <w:rPr>
          <w:i/>
          <w:spacing w:val="-13"/>
          <w:sz w:val="16"/>
        </w:rPr>
        <w:t> </w:t>
      </w:r>
      <w:r>
        <w:rPr>
          <w:i/>
          <w:sz w:val="16"/>
        </w:rPr>
        <w:t>dentro</w:t>
      </w:r>
      <w:r>
        <w:rPr>
          <w:i/>
          <w:spacing w:val="-11"/>
          <w:sz w:val="16"/>
        </w:rPr>
        <w:t> </w:t>
      </w:r>
      <w:r>
        <w:rPr>
          <w:i/>
          <w:sz w:val="16"/>
        </w:rPr>
        <w:t>de</w:t>
      </w:r>
      <w:r>
        <w:rPr>
          <w:i/>
          <w:spacing w:val="-12"/>
          <w:sz w:val="16"/>
        </w:rPr>
        <w:t> </w:t>
      </w:r>
      <w:r>
        <w:rPr>
          <w:i/>
          <w:sz w:val="16"/>
        </w:rPr>
        <w:t>una</w:t>
      </w:r>
      <w:r>
        <w:rPr>
          <w:i/>
          <w:spacing w:val="-12"/>
          <w:sz w:val="16"/>
        </w:rPr>
        <w:t> </w:t>
      </w:r>
      <w:r>
        <w:rPr>
          <w:i/>
          <w:sz w:val="16"/>
        </w:rPr>
        <w:t>sociedad</w:t>
      </w:r>
      <w:r>
        <w:rPr>
          <w:i/>
          <w:spacing w:val="-12"/>
          <w:sz w:val="16"/>
        </w:rPr>
        <w:t> </w:t>
      </w:r>
      <w:r>
        <w:rPr>
          <w:i/>
          <w:sz w:val="16"/>
        </w:rPr>
        <w:t>democrática,</w:t>
      </w:r>
      <w:r>
        <w:rPr>
          <w:i/>
          <w:spacing w:val="-14"/>
          <w:sz w:val="16"/>
        </w:rPr>
        <w:t> </w:t>
      </w:r>
      <w:r>
        <w:rPr>
          <w:i/>
          <w:sz w:val="16"/>
        </w:rPr>
        <w:t>en</w:t>
      </w:r>
      <w:r>
        <w:rPr>
          <w:i/>
          <w:spacing w:val="-13"/>
          <w:sz w:val="16"/>
        </w:rPr>
        <w:t> </w:t>
      </w:r>
      <w:r>
        <w:rPr>
          <w:i/>
          <w:sz w:val="16"/>
        </w:rPr>
        <w:t>la</w:t>
      </w:r>
      <w:r>
        <w:rPr>
          <w:i/>
          <w:spacing w:val="-12"/>
          <w:sz w:val="16"/>
        </w:rPr>
        <w:t> </w:t>
      </w:r>
      <w:r>
        <w:rPr>
          <w:i/>
          <w:sz w:val="16"/>
        </w:rPr>
        <w:t>medida que no contradigan el propósito y razón de los</w:t>
      </w:r>
      <w:r>
        <w:rPr>
          <w:i/>
          <w:spacing w:val="-15"/>
          <w:sz w:val="16"/>
        </w:rPr>
        <w:t> </w:t>
      </w:r>
      <w:r>
        <w:rPr>
          <w:i/>
          <w:sz w:val="16"/>
        </w:rPr>
        <w:t>mismos”</w:t>
      </w:r>
    </w:p>
    <w:p>
      <w:pPr>
        <w:spacing w:before="1"/>
        <w:ind w:left="681" w:right="0" w:firstLine="0"/>
        <w:jc w:val="both"/>
        <w:rPr>
          <w:sz w:val="16"/>
        </w:rPr>
      </w:pPr>
      <w:r>
        <w:rPr>
          <w:sz w:val="16"/>
        </w:rPr>
        <w:t>Art.19.6, </w:t>
      </w:r>
      <w:r>
        <w:rPr>
          <w:i/>
          <w:sz w:val="16"/>
        </w:rPr>
        <w:t>infra </w:t>
      </w:r>
      <w:r>
        <w:rPr>
          <w:sz w:val="16"/>
        </w:rPr>
        <w:t>Nota N° 96.</w:t>
      </w:r>
    </w:p>
    <w:p>
      <w:pPr>
        <w:pStyle w:val="BodyText"/>
        <w:spacing w:before="11"/>
        <w:rPr>
          <w:sz w:val="15"/>
        </w:rPr>
      </w:pPr>
    </w:p>
    <w:p>
      <w:pPr>
        <w:spacing w:before="0"/>
        <w:ind w:left="681" w:right="119" w:firstLine="0"/>
        <w:jc w:val="both"/>
        <w:rPr>
          <w:i/>
          <w:sz w:val="16"/>
        </w:rPr>
      </w:pPr>
      <w:r>
        <w:rPr>
          <w:i/>
          <w:position w:val="6"/>
          <w:sz w:val="10"/>
        </w:rPr>
        <w:t>108 </w:t>
      </w:r>
      <w:r>
        <w:rPr>
          <w:i/>
          <w:sz w:val="16"/>
        </w:rPr>
        <w:t>Art.3:” Obligación de no Discriminación. Los Estados partes en el presente Protocolo se comprometen a </w:t>
      </w:r>
      <w:r>
        <w:rPr>
          <w:i/>
          <w:sz w:val="16"/>
        </w:rPr>
        <w:t>garantizar el ejercicio de los derechos que en él se enuncian, sin discriminación alguna por motivos de raza, color, sexo, idioma, religión, opiniones políticas o de cualquier otra índole, origen nacional o social, posición económica, nacimiento o cualquier otra condición social”.</w:t>
      </w:r>
    </w:p>
    <w:p>
      <w:pPr>
        <w:pStyle w:val="BodyText"/>
        <w:spacing w:before="11"/>
        <w:rPr>
          <w:i/>
          <w:sz w:val="15"/>
        </w:rPr>
      </w:pPr>
    </w:p>
    <w:p>
      <w:pPr>
        <w:spacing w:before="0"/>
        <w:ind w:left="681" w:right="0" w:firstLine="0"/>
        <w:jc w:val="both"/>
        <w:rPr>
          <w:sz w:val="16"/>
        </w:rPr>
      </w:pPr>
      <w:r>
        <w:rPr>
          <w:position w:val="6"/>
          <w:sz w:val="10"/>
        </w:rPr>
        <w:t>109  </w:t>
      </w:r>
      <w:r>
        <w:rPr>
          <w:i/>
          <w:sz w:val="16"/>
        </w:rPr>
        <w:t>Infra, </w:t>
      </w:r>
      <w:r>
        <w:rPr>
          <w:sz w:val="16"/>
        </w:rPr>
        <w:t>Nota N° 110. Art.19.1.</w:t>
      </w:r>
    </w:p>
    <w:p>
      <w:pPr>
        <w:spacing w:after="0"/>
        <w:jc w:val="both"/>
        <w:rPr>
          <w:sz w:val="16"/>
        </w:rPr>
        <w:sectPr>
          <w:pgSz w:w="12240" w:h="15840"/>
          <w:pgMar w:header="0" w:footer="1000" w:top="1220" w:bottom="1200" w:left="1020" w:right="1580"/>
        </w:sectPr>
      </w:pPr>
    </w:p>
    <w:p>
      <w:pPr>
        <w:pStyle w:val="ListParagraph"/>
        <w:numPr>
          <w:ilvl w:val="0"/>
          <w:numId w:val="59"/>
        </w:numPr>
        <w:tabs>
          <w:tab w:pos="1390" w:val="left" w:leader="none"/>
        </w:tabs>
        <w:spacing w:line="240" w:lineRule="auto" w:before="83" w:after="0"/>
        <w:ind w:left="681" w:right="117" w:firstLine="0"/>
        <w:jc w:val="both"/>
        <w:rPr>
          <w:sz w:val="20"/>
        </w:rPr>
      </w:pPr>
      <w:r>
        <w:rPr>
          <w:sz w:val="20"/>
        </w:rPr>
        <w:t>El Protocolo de San Salvador igualmente contempla una norma, el artículo 19, concerniente a los medios de protección de los antes señalados derechos. Tales medios consisten</w:t>
      </w:r>
      <w:r>
        <w:rPr>
          <w:spacing w:val="-10"/>
          <w:sz w:val="20"/>
        </w:rPr>
        <w:t> </w:t>
      </w:r>
      <w:r>
        <w:rPr>
          <w:sz w:val="20"/>
        </w:rPr>
        <w:t>en</w:t>
      </w:r>
      <w:r>
        <w:rPr>
          <w:spacing w:val="-9"/>
          <w:sz w:val="20"/>
        </w:rPr>
        <w:t> </w:t>
      </w:r>
      <w:r>
        <w:rPr>
          <w:sz w:val="20"/>
        </w:rPr>
        <w:t>los</w:t>
      </w:r>
      <w:r>
        <w:rPr>
          <w:spacing w:val="-10"/>
          <w:sz w:val="20"/>
        </w:rPr>
        <w:t> </w:t>
      </w:r>
      <w:r>
        <w:rPr>
          <w:sz w:val="20"/>
        </w:rPr>
        <w:t>informes</w:t>
      </w:r>
      <w:r>
        <w:rPr>
          <w:spacing w:val="-9"/>
          <w:sz w:val="20"/>
        </w:rPr>
        <w:t> </w:t>
      </w:r>
      <w:r>
        <w:rPr>
          <w:sz w:val="20"/>
        </w:rPr>
        <w:t>que</w:t>
      </w:r>
      <w:r>
        <w:rPr>
          <w:spacing w:val="-10"/>
          <w:sz w:val="20"/>
        </w:rPr>
        <w:t> </w:t>
      </w:r>
      <w:r>
        <w:rPr>
          <w:sz w:val="20"/>
        </w:rPr>
        <w:t>los</w:t>
      </w:r>
      <w:r>
        <w:rPr>
          <w:spacing w:val="-11"/>
          <w:sz w:val="20"/>
        </w:rPr>
        <w:t> </w:t>
      </w:r>
      <w:r>
        <w:rPr>
          <w:sz w:val="20"/>
        </w:rPr>
        <w:t>Estados</w:t>
      </w:r>
      <w:r>
        <w:rPr>
          <w:spacing w:val="-9"/>
          <w:sz w:val="20"/>
        </w:rPr>
        <w:t> </w:t>
      </w:r>
      <w:r>
        <w:rPr>
          <w:sz w:val="20"/>
        </w:rPr>
        <w:t>Partes</w:t>
      </w:r>
      <w:r>
        <w:rPr>
          <w:spacing w:val="-9"/>
          <w:sz w:val="20"/>
        </w:rPr>
        <w:t> </w:t>
      </w:r>
      <w:r>
        <w:rPr>
          <w:sz w:val="20"/>
        </w:rPr>
        <w:t>deben</w:t>
      </w:r>
      <w:r>
        <w:rPr>
          <w:spacing w:val="-10"/>
          <w:sz w:val="20"/>
        </w:rPr>
        <w:t> </w:t>
      </w:r>
      <w:r>
        <w:rPr>
          <w:sz w:val="20"/>
        </w:rPr>
        <w:t>presentar</w:t>
      </w:r>
      <w:r>
        <w:rPr>
          <w:spacing w:val="-10"/>
          <w:sz w:val="20"/>
        </w:rPr>
        <w:t> </w:t>
      </w:r>
      <w:r>
        <w:rPr>
          <w:sz w:val="20"/>
        </w:rPr>
        <w:t>a</w:t>
      </w:r>
      <w:r>
        <w:rPr>
          <w:spacing w:val="-11"/>
          <w:sz w:val="20"/>
        </w:rPr>
        <w:t> </w:t>
      </w:r>
      <w:r>
        <w:rPr>
          <w:sz w:val="20"/>
        </w:rPr>
        <w:t>la</w:t>
      </w:r>
      <w:r>
        <w:rPr>
          <w:spacing w:val="-11"/>
          <w:sz w:val="20"/>
        </w:rPr>
        <w:t> </w:t>
      </w:r>
      <w:r>
        <w:rPr>
          <w:sz w:val="20"/>
        </w:rPr>
        <w:t>Asamblea</w:t>
      </w:r>
      <w:r>
        <w:rPr>
          <w:spacing w:val="-10"/>
          <w:sz w:val="20"/>
        </w:rPr>
        <w:t> </w:t>
      </w:r>
      <w:r>
        <w:rPr>
          <w:sz w:val="20"/>
        </w:rPr>
        <w:t>General de la OEA “respecto de las medidas progresivas que hayan adoptado para asegurar el debido respeto de los derechos consagrados en el mismo Protocolo”, en el tratamiento que el Consejo Interamericano Económico y Social y el Consejo Interamericano para la Educación, la Ciencia y la Cultura de la organización le den a tales informes y en la opinión</w:t>
      </w:r>
      <w:r>
        <w:rPr>
          <w:spacing w:val="-19"/>
          <w:sz w:val="20"/>
        </w:rPr>
        <w:t> </w:t>
      </w:r>
      <w:r>
        <w:rPr>
          <w:sz w:val="20"/>
        </w:rPr>
        <w:t>eventualmente</w:t>
      </w:r>
      <w:r>
        <w:rPr>
          <w:spacing w:val="-17"/>
          <w:sz w:val="20"/>
        </w:rPr>
        <w:t> </w:t>
      </w:r>
      <w:r>
        <w:rPr>
          <w:sz w:val="20"/>
        </w:rPr>
        <w:t>que</w:t>
      </w:r>
      <w:r>
        <w:rPr>
          <w:spacing w:val="-17"/>
          <w:sz w:val="20"/>
        </w:rPr>
        <w:t> </w:t>
      </w:r>
      <w:r>
        <w:rPr>
          <w:sz w:val="20"/>
        </w:rPr>
        <w:t>pueda</w:t>
      </w:r>
      <w:r>
        <w:rPr>
          <w:spacing w:val="-17"/>
          <w:sz w:val="20"/>
        </w:rPr>
        <w:t> </w:t>
      </w:r>
      <w:r>
        <w:rPr>
          <w:sz w:val="20"/>
        </w:rPr>
        <w:t>proporcionar</w:t>
      </w:r>
      <w:r>
        <w:rPr>
          <w:spacing w:val="-19"/>
          <w:sz w:val="20"/>
        </w:rPr>
        <w:t> </w:t>
      </w:r>
      <w:r>
        <w:rPr>
          <w:sz w:val="20"/>
        </w:rPr>
        <w:t>sobre</w:t>
      </w:r>
      <w:r>
        <w:rPr>
          <w:spacing w:val="-17"/>
          <w:sz w:val="20"/>
        </w:rPr>
        <w:t> </w:t>
      </w:r>
      <w:r>
        <w:rPr>
          <w:sz w:val="20"/>
        </w:rPr>
        <w:t>el</w:t>
      </w:r>
      <w:r>
        <w:rPr>
          <w:spacing w:val="-17"/>
          <w:sz w:val="20"/>
        </w:rPr>
        <w:t> </w:t>
      </w:r>
      <w:r>
        <w:rPr>
          <w:sz w:val="20"/>
        </w:rPr>
        <w:t>particular</w:t>
      </w:r>
      <w:r>
        <w:rPr>
          <w:spacing w:val="-17"/>
          <w:sz w:val="20"/>
        </w:rPr>
        <w:t> </w:t>
      </w:r>
      <w:r>
        <w:rPr>
          <w:sz w:val="20"/>
        </w:rPr>
        <w:t>la</w:t>
      </w:r>
      <w:r>
        <w:rPr>
          <w:spacing w:val="-18"/>
          <w:sz w:val="20"/>
        </w:rPr>
        <w:t> </w:t>
      </w:r>
      <w:r>
        <w:rPr>
          <w:sz w:val="20"/>
        </w:rPr>
        <w:t>Comisión</w:t>
      </w:r>
      <w:r>
        <w:rPr>
          <w:position w:val="7"/>
          <w:sz w:val="13"/>
        </w:rPr>
        <w:t>110</w:t>
      </w:r>
      <w:r>
        <w:rPr>
          <w:sz w:val="20"/>
        </w:rPr>
        <w:t>.</w:t>
      </w:r>
      <w:r>
        <w:rPr>
          <w:spacing w:val="-16"/>
          <w:sz w:val="20"/>
        </w:rPr>
        <w:t> </w:t>
      </w:r>
      <w:r>
        <w:rPr>
          <w:sz w:val="20"/>
        </w:rPr>
        <w:t>Nótese que esta disposición es similar al proyecto de artículo 27 de la Convención, que fue rechazado por la Conferencia</w:t>
      </w:r>
      <w:r>
        <w:rPr>
          <w:spacing w:val="-16"/>
          <w:sz w:val="20"/>
        </w:rPr>
        <w:t> </w:t>
      </w:r>
      <w:r>
        <w:rPr>
          <w:sz w:val="20"/>
        </w:rPr>
        <w:t>correspondiente.</w:t>
      </w:r>
    </w:p>
    <w:p>
      <w:pPr>
        <w:pStyle w:val="BodyText"/>
        <w:spacing w:before="11"/>
        <w:rPr>
          <w:sz w:val="19"/>
        </w:rPr>
      </w:pPr>
    </w:p>
    <w:p>
      <w:pPr>
        <w:pStyle w:val="ListParagraph"/>
        <w:numPr>
          <w:ilvl w:val="0"/>
          <w:numId w:val="59"/>
        </w:numPr>
        <w:tabs>
          <w:tab w:pos="1390" w:val="left" w:leader="none"/>
        </w:tabs>
        <w:spacing w:line="240" w:lineRule="auto" w:before="0" w:after="0"/>
        <w:ind w:left="681" w:right="118" w:firstLine="0"/>
        <w:jc w:val="both"/>
        <w:rPr>
          <w:sz w:val="20"/>
        </w:rPr>
      </w:pPr>
      <w:r>
        <w:rPr>
          <w:sz w:val="20"/>
        </w:rPr>
        <w:t>Todo lo anteriormente reseñado significa, primeramente, que, para los Estados Partes del Protocolo, la vigencia de los derechos económicos, sociales y culturales es</w:t>
      </w:r>
      <w:r>
        <w:rPr>
          <w:spacing w:val="-39"/>
          <w:sz w:val="20"/>
        </w:rPr>
        <w:t> </w:t>
      </w:r>
      <w:r>
        <w:rPr>
          <w:sz w:val="20"/>
        </w:rPr>
        <w:t>de “naturaleza progresiva”, vale decir, </w:t>
      </w:r>
      <w:r>
        <w:rPr>
          <w:i/>
          <w:sz w:val="20"/>
        </w:rPr>
        <w:t>a contrario sensu, </w:t>
      </w:r>
      <w:r>
        <w:rPr>
          <w:sz w:val="20"/>
        </w:rPr>
        <w:t>aquellos no se encuentran vigentes o, al menos, plenamente vigentes, situación similar a la prevista en el artículo 26 en cuanto a los derechos que derivan de la Carta de la</w:t>
      </w:r>
      <w:r>
        <w:rPr>
          <w:spacing w:val="-21"/>
          <w:sz w:val="20"/>
        </w:rPr>
        <w:t> </w:t>
      </w:r>
      <w:r>
        <w:rPr>
          <w:sz w:val="20"/>
        </w:rPr>
        <w:t>OEA.</w:t>
      </w:r>
    </w:p>
    <w:p>
      <w:pPr>
        <w:pStyle w:val="BodyText"/>
        <w:spacing w:before="11"/>
        <w:rPr>
          <w:sz w:val="19"/>
        </w:rPr>
      </w:pPr>
    </w:p>
    <w:p>
      <w:pPr>
        <w:pStyle w:val="ListParagraph"/>
        <w:numPr>
          <w:ilvl w:val="0"/>
          <w:numId w:val="59"/>
        </w:numPr>
        <w:tabs>
          <w:tab w:pos="1390" w:val="left" w:leader="none"/>
        </w:tabs>
        <w:spacing w:line="240" w:lineRule="auto" w:before="0" w:after="0"/>
        <w:ind w:left="681" w:right="117" w:firstLine="0"/>
        <w:jc w:val="both"/>
        <w:rPr>
          <w:sz w:val="20"/>
        </w:rPr>
      </w:pPr>
      <w:r>
        <w:rPr>
          <w:sz w:val="20"/>
        </w:rPr>
        <w:t>En segundo término y, en consecuencia, ello importa, para los aludidos Estados, que lo dispuesto en el 26 no implica que los citados derechos se encuentren comprendidos</w:t>
      </w:r>
      <w:r>
        <w:rPr>
          <w:spacing w:val="-9"/>
          <w:sz w:val="20"/>
        </w:rPr>
        <w:t> </w:t>
      </w:r>
      <w:r>
        <w:rPr>
          <w:sz w:val="20"/>
        </w:rPr>
        <w:t>entre</w:t>
      </w:r>
      <w:r>
        <w:rPr>
          <w:spacing w:val="-8"/>
          <w:sz w:val="20"/>
        </w:rPr>
        <w:t> </w:t>
      </w:r>
      <w:r>
        <w:rPr>
          <w:sz w:val="20"/>
        </w:rPr>
        <w:t>los</w:t>
      </w:r>
      <w:r>
        <w:rPr>
          <w:spacing w:val="-10"/>
          <w:sz w:val="20"/>
        </w:rPr>
        <w:t> </w:t>
      </w:r>
      <w:r>
        <w:rPr>
          <w:sz w:val="20"/>
        </w:rPr>
        <w:t>que</w:t>
      </w:r>
      <w:r>
        <w:rPr>
          <w:spacing w:val="-7"/>
          <w:sz w:val="20"/>
        </w:rPr>
        <w:t> </w:t>
      </w:r>
      <w:r>
        <w:rPr>
          <w:sz w:val="20"/>
        </w:rPr>
        <w:t>se</w:t>
      </w:r>
      <w:r>
        <w:rPr>
          <w:spacing w:val="-8"/>
          <w:sz w:val="20"/>
        </w:rPr>
        <w:t> </w:t>
      </w:r>
      <w:r>
        <w:rPr>
          <w:sz w:val="20"/>
        </w:rPr>
        <w:t>aplica</w:t>
      </w:r>
      <w:r>
        <w:rPr>
          <w:spacing w:val="-7"/>
          <w:sz w:val="20"/>
        </w:rPr>
        <w:t> </w:t>
      </w:r>
      <w:r>
        <w:rPr>
          <w:sz w:val="20"/>
        </w:rPr>
        <w:t>el</w:t>
      </w:r>
      <w:r>
        <w:rPr>
          <w:spacing w:val="-8"/>
          <w:sz w:val="20"/>
        </w:rPr>
        <w:t> </w:t>
      </w:r>
      <w:r>
        <w:rPr>
          <w:sz w:val="20"/>
        </w:rPr>
        <w:t>sistema</w:t>
      </w:r>
      <w:r>
        <w:rPr>
          <w:spacing w:val="-9"/>
          <w:sz w:val="20"/>
        </w:rPr>
        <w:t> </w:t>
      </w:r>
      <w:r>
        <w:rPr>
          <w:sz w:val="20"/>
        </w:rPr>
        <w:t>de</w:t>
      </w:r>
      <w:r>
        <w:rPr>
          <w:spacing w:val="-8"/>
          <w:sz w:val="20"/>
        </w:rPr>
        <w:t> </w:t>
      </w:r>
      <w:r>
        <w:rPr>
          <w:sz w:val="20"/>
        </w:rPr>
        <w:t>protección</w:t>
      </w:r>
      <w:r>
        <w:rPr>
          <w:spacing w:val="-7"/>
          <w:sz w:val="20"/>
        </w:rPr>
        <w:t> </w:t>
      </w:r>
      <w:r>
        <w:rPr>
          <w:sz w:val="20"/>
        </w:rPr>
        <w:t>previsto</w:t>
      </w:r>
      <w:r>
        <w:rPr>
          <w:spacing w:val="-10"/>
          <w:sz w:val="20"/>
        </w:rPr>
        <w:t> </w:t>
      </w:r>
      <w:r>
        <w:rPr>
          <w:sz w:val="20"/>
        </w:rPr>
        <w:t>en</w:t>
      </w:r>
      <w:r>
        <w:rPr>
          <w:spacing w:val="-7"/>
          <w:sz w:val="20"/>
        </w:rPr>
        <w:t> </w:t>
      </w:r>
      <w:r>
        <w:rPr>
          <w:sz w:val="20"/>
        </w:rPr>
        <w:t>la</w:t>
      </w:r>
      <w:r>
        <w:rPr>
          <w:spacing w:val="-10"/>
          <w:sz w:val="20"/>
        </w:rPr>
        <w:t> </w:t>
      </w:r>
      <w:r>
        <w:rPr>
          <w:sz w:val="20"/>
        </w:rPr>
        <w:t>Convención o que se estén</w:t>
      </w:r>
      <w:r>
        <w:rPr>
          <w:spacing w:val="-6"/>
          <w:sz w:val="20"/>
        </w:rPr>
        <w:t> </w:t>
      </w:r>
      <w:r>
        <w:rPr>
          <w:sz w:val="20"/>
        </w:rPr>
        <w:t>vigentes.</w:t>
      </w:r>
    </w:p>
    <w:p>
      <w:pPr>
        <w:pStyle w:val="BodyText"/>
      </w:pPr>
    </w:p>
    <w:p>
      <w:pPr>
        <w:pStyle w:val="BodyText"/>
      </w:pPr>
    </w:p>
    <w:p>
      <w:pPr>
        <w:pStyle w:val="BodyText"/>
      </w:pPr>
    </w:p>
    <w:p>
      <w:pPr>
        <w:pStyle w:val="BodyText"/>
        <w:spacing w:before="9"/>
        <w:rPr>
          <w:sz w:val="10"/>
        </w:rPr>
      </w:pPr>
      <w:r>
        <w:rPr/>
        <w:pict>
          <v:line style="position:absolute;mso-position-horizontal-relative:page;mso-position-vertical-relative:paragraph;z-index:4384;mso-wrap-distance-left:0;mso-wrap-distance-right:0" from="56.700001pt,8.864113pt" to="200.720001pt,8.864113pt" stroked="true" strokeweight=".72pt" strokecolor="#000000">
            <v:stroke dashstyle="solid"/>
            <w10:wrap type="topAndBottom"/>
          </v:line>
        </w:pict>
      </w:r>
    </w:p>
    <w:p>
      <w:pPr>
        <w:spacing w:before="70"/>
        <w:ind w:left="681" w:right="120" w:firstLine="0"/>
        <w:jc w:val="both"/>
        <w:rPr>
          <w:i/>
          <w:sz w:val="16"/>
        </w:rPr>
      </w:pPr>
      <w:r>
        <w:rPr>
          <w:position w:val="6"/>
          <w:sz w:val="10"/>
        </w:rPr>
        <w:t>110</w:t>
      </w:r>
      <w:r>
        <w:rPr>
          <w:spacing w:val="13"/>
          <w:position w:val="6"/>
          <w:sz w:val="10"/>
        </w:rPr>
        <w:t> </w:t>
      </w:r>
      <w:r>
        <w:rPr>
          <w:i/>
          <w:sz w:val="16"/>
        </w:rPr>
        <w:t>Art.</w:t>
      </w:r>
      <w:r>
        <w:rPr>
          <w:i/>
          <w:spacing w:val="-9"/>
          <w:sz w:val="16"/>
        </w:rPr>
        <w:t> </w:t>
      </w:r>
      <w:r>
        <w:rPr>
          <w:i/>
          <w:sz w:val="16"/>
        </w:rPr>
        <w:t>19:</w:t>
      </w:r>
      <w:r>
        <w:rPr>
          <w:i/>
          <w:spacing w:val="-9"/>
          <w:sz w:val="16"/>
        </w:rPr>
        <w:t> </w:t>
      </w:r>
      <w:r>
        <w:rPr>
          <w:i/>
          <w:sz w:val="16"/>
        </w:rPr>
        <w:t>“Medios</w:t>
      </w:r>
      <w:r>
        <w:rPr>
          <w:i/>
          <w:spacing w:val="-8"/>
          <w:sz w:val="16"/>
        </w:rPr>
        <w:t> </w:t>
      </w:r>
      <w:r>
        <w:rPr>
          <w:i/>
          <w:sz w:val="16"/>
        </w:rPr>
        <w:t>de</w:t>
      </w:r>
      <w:r>
        <w:rPr>
          <w:i/>
          <w:spacing w:val="-8"/>
          <w:sz w:val="16"/>
        </w:rPr>
        <w:t> </w:t>
      </w:r>
      <w:r>
        <w:rPr>
          <w:i/>
          <w:sz w:val="16"/>
        </w:rPr>
        <w:t>Protección.1.</w:t>
      </w:r>
      <w:r>
        <w:rPr>
          <w:i/>
          <w:spacing w:val="-7"/>
          <w:sz w:val="16"/>
        </w:rPr>
        <w:t> </w:t>
      </w:r>
      <w:r>
        <w:rPr>
          <w:i/>
          <w:sz w:val="16"/>
        </w:rPr>
        <w:t>Los</w:t>
      </w:r>
      <w:r>
        <w:rPr>
          <w:i/>
          <w:spacing w:val="-9"/>
          <w:sz w:val="16"/>
        </w:rPr>
        <w:t> </w:t>
      </w:r>
      <w:r>
        <w:rPr>
          <w:i/>
          <w:sz w:val="16"/>
        </w:rPr>
        <w:t>Estados</w:t>
      </w:r>
      <w:r>
        <w:rPr>
          <w:i/>
          <w:spacing w:val="-8"/>
          <w:sz w:val="16"/>
        </w:rPr>
        <w:t> </w:t>
      </w:r>
      <w:r>
        <w:rPr>
          <w:i/>
          <w:sz w:val="16"/>
        </w:rPr>
        <w:t>partes</w:t>
      </w:r>
      <w:r>
        <w:rPr>
          <w:i/>
          <w:spacing w:val="-9"/>
          <w:sz w:val="16"/>
        </w:rPr>
        <w:t> </w:t>
      </w:r>
      <w:r>
        <w:rPr>
          <w:i/>
          <w:sz w:val="16"/>
        </w:rPr>
        <w:t>en</w:t>
      </w:r>
      <w:r>
        <w:rPr>
          <w:i/>
          <w:spacing w:val="-9"/>
          <w:sz w:val="16"/>
        </w:rPr>
        <w:t> </w:t>
      </w:r>
      <w:r>
        <w:rPr>
          <w:i/>
          <w:sz w:val="16"/>
        </w:rPr>
        <w:t>el</w:t>
      </w:r>
      <w:r>
        <w:rPr>
          <w:i/>
          <w:spacing w:val="-7"/>
          <w:sz w:val="16"/>
        </w:rPr>
        <w:t> </w:t>
      </w:r>
      <w:r>
        <w:rPr>
          <w:i/>
          <w:sz w:val="16"/>
        </w:rPr>
        <w:t>presente</w:t>
      </w:r>
      <w:r>
        <w:rPr>
          <w:i/>
          <w:spacing w:val="-9"/>
          <w:sz w:val="16"/>
        </w:rPr>
        <w:t> </w:t>
      </w:r>
      <w:r>
        <w:rPr>
          <w:i/>
          <w:sz w:val="16"/>
        </w:rPr>
        <w:t>Protocolo</w:t>
      </w:r>
      <w:r>
        <w:rPr>
          <w:i/>
          <w:spacing w:val="-8"/>
          <w:sz w:val="16"/>
        </w:rPr>
        <w:t> </w:t>
      </w:r>
      <w:r>
        <w:rPr>
          <w:i/>
          <w:sz w:val="16"/>
        </w:rPr>
        <w:t>se</w:t>
      </w:r>
      <w:r>
        <w:rPr>
          <w:i/>
          <w:spacing w:val="-9"/>
          <w:sz w:val="16"/>
        </w:rPr>
        <w:t> </w:t>
      </w:r>
      <w:r>
        <w:rPr>
          <w:i/>
          <w:sz w:val="16"/>
        </w:rPr>
        <w:t>comprometen</w:t>
      </w:r>
      <w:r>
        <w:rPr>
          <w:i/>
          <w:spacing w:val="-9"/>
          <w:sz w:val="16"/>
        </w:rPr>
        <w:t> </w:t>
      </w:r>
      <w:r>
        <w:rPr>
          <w:i/>
          <w:sz w:val="16"/>
        </w:rPr>
        <w:t>a</w:t>
      </w:r>
      <w:r>
        <w:rPr>
          <w:i/>
          <w:spacing w:val="-8"/>
          <w:sz w:val="16"/>
        </w:rPr>
        <w:t> </w:t>
      </w:r>
      <w:r>
        <w:rPr>
          <w:i/>
          <w:sz w:val="16"/>
        </w:rPr>
        <w:t>presentar, </w:t>
      </w:r>
      <w:r>
        <w:rPr>
          <w:i/>
          <w:sz w:val="16"/>
        </w:rPr>
        <w:t>de conformidad con lo dispuesto por este artículo y por las correspondientes normas que al efecto deberá elaborar la Asamblea General de la Organización de los Estados Americanos, informes periódicos respecto de las</w:t>
      </w:r>
      <w:r>
        <w:rPr>
          <w:i/>
          <w:spacing w:val="-6"/>
          <w:sz w:val="16"/>
        </w:rPr>
        <w:t> </w:t>
      </w:r>
      <w:r>
        <w:rPr>
          <w:i/>
          <w:sz w:val="16"/>
        </w:rPr>
        <w:t>medidas</w:t>
      </w:r>
      <w:r>
        <w:rPr>
          <w:i/>
          <w:spacing w:val="-6"/>
          <w:sz w:val="16"/>
        </w:rPr>
        <w:t> </w:t>
      </w:r>
      <w:r>
        <w:rPr>
          <w:i/>
          <w:sz w:val="16"/>
        </w:rPr>
        <w:t>progresivas</w:t>
      </w:r>
      <w:r>
        <w:rPr>
          <w:i/>
          <w:spacing w:val="-6"/>
          <w:sz w:val="16"/>
        </w:rPr>
        <w:t> </w:t>
      </w:r>
      <w:r>
        <w:rPr>
          <w:i/>
          <w:sz w:val="16"/>
        </w:rPr>
        <w:t>que</w:t>
      </w:r>
      <w:r>
        <w:rPr>
          <w:i/>
          <w:spacing w:val="-5"/>
          <w:sz w:val="16"/>
        </w:rPr>
        <w:t> </w:t>
      </w:r>
      <w:r>
        <w:rPr>
          <w:i/>
          <w:sz w:val="16"/>
        </w:rPr>
        <w:t>hayan</w:t>
      </w:r>
      <w:r>
        <w:rPr>
          <w:i/>
          <w:spacing w:val="-6"/>
          <w:sz w:val="16"/>
        </w:rPr>
        <w:t> </w:t>
      </w:r>
      <w:r>
        <w:rPr>
          <w:i/>
          <w:sz w:val="16"/>
        </w:rPr>
        <w:t>adoptado</w:t>
      </w:r>
      <w:r>
        <w:rPr>
          <w:i/>
          <w:spacing w:val="-6"/>
          <w:sz w:val="16"/>
        </w:rPr>
        <w:t> </w:t>
      </w:r>
      <w:r>
        <w:rPr>
          <w:i/>
          <w:sz w:val="16"/>
        </w:rPr>
        <w:t>para</w:t>
      </w:r>
      <w:r>
        <w:rPr>
          <w:i/>
          <w:spacing w:val="-6"/>
          <w:sz w:val="16"/>
        </w:rPr>
        <w:t> </w:t>
      </w:r>
      <w:r>
        <w:rPr>
          <w:i/>
          <w:sz w:val="16"/>
        </w:rPr>
        <w:t>asegurar</w:t>
      </w:r>
      <w:r>
        <w:rPr>
          <w:i/>
          <w:spacing w:val="-6"/>
          <w:sz w:val="16"/>
        </w:rPr>
        <w:t> </w:t>
      </w:r>
      <w:r>
        <w:rPr>
          <w:i/>
          <w:sz w:val="16"/>
        </w:rPr>
        <w:t>el</w:t>
      </w:r>
      <w:r>
        <w:rPr>
          <w:i/>
          <w:spacing w:val="-6"/>
          <w:sz w:val="16"/>
        </w:rPr>
        <w:t> </w:t>
      </w:r>
      <w:r>
        <w:rPr>
          <w:i/>
          <w:sz w:val="16"/>
        </w:rPr>
        <w:t>debido</w:t>
      </w:r>
      <w:r>
        <w:rPr>
          <w:i/>
          <w:spacing w:val="-6"/>
          <w:sz w:val="16"/>
        </w:rPr>
        <w:t> </w:t>
      </w:r>
      <w:r>
        <w:rPr>
          <w:i/>
          <w:sz w:val="16"/>
        </w:rPr>
        <w:t>respeto</w:t>
      </w:r>
      <w:r>
        <w:rPr>
          <w:i/>
          <w:spacing w:val="-6"/>
          <w:sz w:val="16"/>
        </w:rPr>
        <w:t> </w:t>
      </w:r>
      <w:r>
        <w:rPr>
          <w:i/>
          <w:sz w:val="16"/>
        </w:rPr>
        <w:t>de</w:t>
      </w:r>
      <w:r>
        <w:rPr>
          <w:i/>
          <w:spacing w:val="-6"/>
          <w:sz w:val="16"/>
        </w:rPr>
        <w:t> </w:t>
      </w:r>
      <w:r>
        <w:rPr>
          <w:i/>
          <w:sz w:val="16"/>
        </w:rPr>
        <w:t>los</w:t>
      </w:r>
      <w:r>
        <w:rPr>
          <w:i/>
          <w:spacing w:val="-6"/>
          <w:sz w:val="16"/>
        </w:rPr>
        <w:t> </w:t>
      </w:r>
      <w:r>
        <w:rPr>
          <w:i/>
          <w:sz w:val="16"/>
        </w:rPr>
        <w:t>derechos</w:t>
      </w:r>
      <w:r>
        <w:rPr>
          <w:i/>
          <w:spacing w:val="-6"/>
          <w:sz w:val="16"/>
        </w:rPr>
        <w:t> </w:t>
      </w:r>
      <w:r>
        <w:rPr>
          <w:i/>
          <w:sz w:val="16"/>
        </w:rPr>
        <w:t>consagrados</w:t>
      </w:r>
      <w:r>
        <w:rPr>
          <w:i/>
          <w:spacing w:val="-6"/>
          <w:sz w:val="16"/>
        </w:rPr>
        <w:t> </w:t>
      </w:r>
      <w:r>
        <w:rPr>
          <w:i/>
          <w:sz w:val="16"/>
        </w:rPr>
        <w:t>en el mismo</w:t>
      </w:r>
      <w:r>
        <w:rPr>
          <w:i/>
          <w:spacing w:val="-4"/>
          <w:sz w:val="16"/>
        </w:rPr>
        <w:t> </w:t>
      </w:r>
      <w:r>
        <w:rPr>
          <w:i/>
          <w:sz w:val="16"/>
        </w:rPr>
        <w:t>Protocolo.</w:t>
      </w:r>
    </w:p>
    <w:p>
      <w:pPr>
        <w:pStyle w:val="ListParagraph"/>
        <w:numPr>
          <w:ilvl w:val="0"/>
          <w:numId w:val="62"/>
        </w:numPr>
        <w:tabs>
          <w:tab w:pos="902" w:val="left" w:leader="none"/>
        </w:tabs>
        <w:spacing w:line="240" w:lineRule="auto" w:before="0" w:after="0"/>
        <w:ind w:left="681" w:right="120" w:firstLine="0"/>
        <w:jc w:val="both"/>
        <w:rPr>
          <w:i/>
          <w:sz w:val="16"/>
        </w:rPr>
      </w:pPr>
      <w:r>
        <w:rPr>
          <w:i/>
          <w:sz w:val="16"/>
        </w:rPr>
        <w:t>Todos los informes serán presentados al Secretario General de la Organización de los Estados Americanos </w:t>
      </w:r>
      <w:r>
        <w:rPr>
          <w:i/>
          <w:sz w:val="16"/>
        </w:rPr>
        <w:t>quien los transmitirá al Consejo Interamericano Económico y Social y al Consejo Interamericano para la Educación, la Ciencia y la Cultura, a fin de que los examinen conforme a lo dispuesto en el presente artículo. El Secretario General enviará copia de tales informes a la Comisión Interamericana de Derechos</w:t>
      </w:r>
      <w:r>
        <w:rPr>
          <w:i/>
          <w:spacing w:val="-29"/>
          <w:sz w:val="16"/>
        </w:rPr>
        <w:t> </w:t>
      </w:r>
      <w:r>
        <w:rPr>
          <w:i/>
          <w:sz w:val="16"/>
        </w:rPr>
        <w:t>Humanos.</w:t>
      </w:r>
    </w:p>
    <w:p>
      <w:pPr>
        <w:pStyle w:val="ListParagraph"/>
        <w:numPr>
          <w:ilvl w:val="0"/>
          <w:numId w:val="62"/>
        </w:numPr>
        <w:tabs>
          <w:tab w:pos="905" w:val="left" w:leader="none"/>
        </w:tabs>
        <w:spacing w:line="240" w:lineRule="auto" w:before="0" w:after="0"/>
        <w:ind w:left="681" w:right="118" w:firstLine="0"/>
        <w:jc w:val="both"/>
        <w:rPr>
          <w:i/>
          <w:sz w:val="16"/>
        </w:rPr>
      </w:pPr>
      <w:r>
        <w:rPr>
          <w:i/>
          <w:sz w:val="16"/>
        </w:rPr>
        <w:t>El Secretario General de la Organización de los Estados Americanos transmitirá también a los organismos </w:t>
      </w:r>
      <w:r>
        <w:rPr>
          <w:i/>
          <w:sz w:val="16"/>
        </w:rPr>
        <w:t>especializados del sistema interamericano, de los cuales sean miembros los Estados partes en el presente Protocolo, copias de los informes enviados o de las partes pertinentes de éstos, en la medida en que tengan relación con materias que sean de la competencia de dichos organismos, conforme a sus instrumentos constitutivos.</w:t>
      </w:r>
    </w:p>
    <w:p>
      <w:pPr>
        <w:pStyle w:val="ListParagraph"/>
        <w:numPr>
          <w:ilvl w:val="0"/>
          <w:numId w:val="62"/>
        </w:numPr>
        <w:tabs>
          <w:tab w:pos="925" w:val="left" w:leader="none"/>
        </w:tabs>
        <w:spacing w:line="240" w:lineRule="auto" w:before="0" w:after="0"/>
        <w:ind w:left="681" w:right="125" w:firstLine="0"/>
        <w:jc w:val="both"/>
        <w:rPr>
          <w:i/>
          <w:sz w:val="16"/>
        </w:rPr>
      </w:pPr>
      <w:r>
        <w:rPr>
          <w:i/>
          <w:sz w:val="16"/>
        </w:rPr>
        <w:t>Los organismos especializados del sistema interamericano podrán presentar al Consejo Interamericano </w:t>
      </w:r>
      <w:r>
        <w:rPr>
          <w:i/>
          <w:sz w:val="16"/>
        </w:rPr>
        <w:t>Económico y Social y al Consejo Interamericano para la Educación, la Ciencia y la Cultura informes relativos al cumplimiento de las disposiciones del presente Protocolo, en el campo de sus</w:t>
      </w:r>
      <w:r>
        <w:rPr>
          <w:i/>
          <w:spacing w:val="-29"/>
          <w:sz w:val="16"/>
        </w:rPr>
        <w:t> </w:t>
      </w:r>
      <w:r>
        <w:rPr>
          <w:i/>
          <w:sz w:val="16"/>
        </w:rPr>
        <w:t>actividades.”</w:t>
      </w:r>
    </w:p>
    <w:p>
      <w:pPr>
        <w:pStyle w:val="ListParagraph"/>
        <w:numPr>
          <w:ilvl w:val="0"/>
          <w:numId w:val="62"/>
        </w:numPr>
        <w:tabs>
          <w:tab w:pos="902" w:val="left" w:leader="none"/>
        </w:tabs>
        <w:spacing w:line="240" w:lineRule="auto" w:before="0" w:after="0"/>
        <w:ind w:left="681" w:right="118" w:firstLine="0"/>
        <w:jc w:val="both"/>
        <w:rPr>
          <w:i/>
          <w:sz w:val="16"/>
        </w:rPr>
      </w:pPr>
      <w:r>
        <w:rPr>
          <w:i/>
          <w:sz w:val="16"/>
        </w:rPr>
        <w:t>Los informes anuales que presenten a la Asamblea General el Consejo Interamericano Económico y Social </w:t>
      </w:r>
      <w:r>
        <w:rPr>
          <w:i/>
          <w:sz w:val="16"/>
        </w:rPr>
        <w:t>y</w:t>
      </w:r>
      <w:r>
        <w:rPr>
          <w:i/>
          <w:spacing w:val="-15"/>
          <w:sz w:val="16"/>
        </w:rPr>
        <w:t> </w:t>
      </w:r>
      <w:r>
        <w:rPr>
          <w:i/>
          <w:sz w:val="16"/>
        </w:rPr>
        <w:t>el</w:t>
      </w:r>
      <w:r>
        <w:rPr>
          <w:i/>
          <w:spacing w:val="-15"/>
          <w:sz w:val="16"/>
        </w:rPr>
        <w:t> </w:t>
      </w:r>
      <w:r>
        <w:rPr>
          <w:i/>
          <w:sz w:val="16"/>
        </w:rPr>
        <w:t>Consejo</w:t>
      </w:r>
      <w:r>
        <w:rPr>
          <w:i/>
          <w:spacing w:val="-15"/>
          <w:sz w:val="16"/>
        </w:rPr>
        <w:t> </w:t>
      </w:r>
      <w:r>
        <w:rPr>
          <w:i/>
          <w:sz w:val="16"/>
        </w:rPr>
        <w:t>Interamericano</w:t>
      </w:r>
      <w:r>
        <w:rPr>
          <w:i/>
          <w:spacing w:val="-15"/>
          <w:sz w:val="16"/>
        </w:rPr>
        <w:t> </w:t>
      </w:r>
      <w:r>
        <w:rPr>
          <w:i/>
          <w:sz w:val="16"/>
        </w:rPr>
        <w:t>para</w:t>
      </w:r>
      <w:r>
        <w:rPr>
          <w:i/>
          <w:spacing w:val="-15"/>
          <w:sz w:val="16"/>
        </w:rPr>
        <w:t> </w:t>
      </w:r>
      <w:r>
        <w:rPr>
          <w:i/>
          <w:sz w:val="16"/>
        </w:rPr>
        <w:t>la</w:t>
      </w:r>
      <w:r>
        <w:rPr>
          <w:i/>
          <w:spacing w:val="-15"/>
          <w:sz w:val="16"/>
        </w:rPr>
        <w:t> </w:t>
      </w:r>
      <w:r>
        <w:rPr>
          <w:i/>
          <w:sz w:val="16"/>
        </w:rPr>
        <w:t>Educación,</w:t>
      </w:r>
      <w:r>
        <w:rPr>
          <w:i/>
          <w:spacing w:val="-16"/>
          <w:sz w:val="16"/>
        </w:rPr>
        <w:t> </w:t>
      </w:r>
      <w:r>
        <w:rPr>
          <w:i/>
          <w:sz w:val="16"/>
        </w:rPr>
        <w:t>la</w:t>
      </w:r>
      <w:r>
        <w:rPr>
          <w:i/>
          <w:spacing w:val="-15"/>
          <w:sz w:val="16"/>
        </w:rPr>
        <w:t> </w:t>
      </w:r>
      <w:r>
        <w:rPr>
          <w:i/>
          <w:sz w:val="16"/>
        </w:rPr>
        <w:t>Ciencia</w:t>
      </w:r>
      <w:r>
        <w:rPr>
          <w:i/>
          <w:spacing w:val="-15"/>
          <w:sz w:val="16"/>
        </w:rPr>
        <w:t> </w:t>
      </w:r>
      <w:r>
        <w:rPr>
          <w:i/>
          <w:sz w:val="16"/>
        </w:rPr>
        <w:t>y</w:t>
      </w:r>
      <w:r>
        <w:rPr>
          <w:i/>
          <w:spacing w:val="-12"/>
          <w:sz w:val="16"/>
        </w:rPr>
        <w:t> </w:t>
      </w:r>
      <w:r>
        <w:rPr>
          <w:i/>
          <w:sz w:val="16"/>
        </w:rPr>
        <w:t>la</w:t>
      </w:r>
      <w:r>
        <w:rPr>
          <w:i/>
          <w:spacing w:val="-15"/>
          <w:sz w:val="16"/>
        </w:rPr>
        <w:t> </w:t>
      </w:r>
      <w:r>
        <w:rPr>
          <w:i/>
          <w:sz w:val="16"/>
        </w:rPr>
        <w:t>Cultura</w:t>
      </w:r>
      <w:r>
        <w:rPr>
          <w:i/>
          <w:spacing w:val="-14"/>
          <w:sz w:val="16"/>
        </w:rPr>
        <w:t> </w:t>
      </w:r>
      <w:r>
        <w:rPr>
          <w:i/>
          <w:sz w:val="16"/>
        </w:rPr>
        <w:t>contendrán</w:t>
      </w:r>
      <w:r>
        <w:rPr>
          <w:i/>
          <w:spacing w:val="-16"/>
          <w:sz w:val="16"/>
        </w:rPr>
        <w:t> </w:t>
      </w:r>
      <w:r>
        <w:rPr>
          <w:i/>
          <w:sz w:val="16"/>
        </w:rPr>
        <w:t>un</w:t>
      </w:r>
      <w:r>
        <w:rPr>
          <w:i/>
          <w:spacing w:val="-16"/>
          <w:sz w:val="16"/>
        </w:rPr>
        <w:t> </w:t>
      </w:r>
      <w:r>
        <w:rPr>
          <w:i/>
          <w:sz w:val="16"/>
        </w:rPr>
        <w:t>resumen</w:t>
      </w:r>
      <w:r>
        <w:rPr>
          <w:i/>
          <w:spacing w:val="-16"/>
          <w:sz w:val="16"/>
        </w:rPr>
        <w:t> </w:t>
      </w:r>
      <w:r>
        <w:rPr>
          <w:i/>
          <w:sz w:val="16"/>
        </w:rPr>
        <w:t>de</w:t>
      </w:r>
      <w:r>
        <w:rPr>
          <w:i/>
          <w:spacing w:val="-14"/>
          <w:sz w:val="16"/>
        </w:rPr>
        <w:t> </w:t>
      </w:r>
      <w:r>
        <w:rPr>
          <w:i/>
          <w:sz w:val="16"/>
        </w:rPr>
        <w:t>la</w:t>
      </w:r>
      <w:r>
        <w:rPr>
          <w:i/>
          <w:spacing w:val="-15"/>
          <w:sz w:val="16"/>
        </w:rPr>
        <w:t> </w:t>
      </w:r>
      <w:r>
        <w:rPr>
          <w:i/>
          <w:sz w:val="16"/>
        </w:rPr>
        <w:t>información recibida de los Estados partes en el presente Protocolo y de los organismos especializados acerca de las medidas</w:t>
      </w:r>
      <w:r>
        <w:rPr>
          <w:i/>
          <w:spacing w:val="-9"/>
          <w:sz w:val="16"/>
        </w:rPr>
        <w:t> </w:t>
      </w:r>
      <w:r>
        <w:rPr>
          <w:i/>
          <w:sz w:val="16"/>
        </w:rPr>
        <w:t>progresivas</w:t>
      </w:r>
      <w:r>
        <w:rPr>
          <w:i/>
          <w:spacing w:val="-10"/>
          <w:sz w:val="16"/>
        </w:rPr>
        <w:t> </w:t>
      </w:r>
      <w:r>
        <w:rPr>
          <w:i/>
          <w:sz w:val="16"/>
        </w:rPr>
        <w:t>adoptadas</w:t>
      </w:r>
      <w:r>
        <w:rPr>
          <w:i/>
          <w:spacing w:val="-10"/>
          <w:sz w:val="16"/>
        </w:rPr>
        <w:t> </w:t>
      </w:r>
      <w:r>
        <w:rPr>
          <w:i/>
          <w:sz w:val="16"/>
        </w:rPr>
        <w:t>a</w:t>
      </w:r>
      <w:r>
        <w:rPr>
          <w:i/>
          <w:spacing w:val="-9"/>
          <w:sz w:val="16"/>
        </w:rPr>
        <w:t> </w:t>
      </w:r>
      <w:r>
        <w:rPr>
          <w:i/>
          <w:sz w:val="16"/>
        </w:rPr>
        <w:t>fin</w:t>
      </w:r>
      <w:r>
        <w:rPr>
          <w:i/>
          <w:spacing w:val="-10"/>
          <w:sz w:val="16"/>
        </w:rPr>
        <w:t> </w:t>
      </w:r>
      <w:r>
        <w:rPr>
          <w:i/>
          <w:sz w:val="16"/>
        </w:rPr>
        <w:t>de</w:t>
      </w:r>
      <w:r>
        <w:rPr>
          <w:i/>
          <w:spacing w:val="-10"/>
          <w:sz w:val="16"/>
        </w:rPr>
        <w:t> </w:t>
      </w:r>
      <w:r>
        <w:rPr>
          <w:i/>
          <w:sz w:val="16"/>
        </w:rPr>
        <w:t>asegurar</w:t>
      </w:r>
      <w:r>
        <w:rPr>
          <w:i/>
          <w:spacing w:val="-9"/>
          <w:sz w:val="16"/>
        </w:rPr>
        <w:t> </w:t>
      </w:r>
      <w:r>
        <w:rPr>
          <w:i/>
          <w:sz w:val="16"/>
        </w:rPr>
        <w:t>el</w:t>
      </w:r>
      <w:r>
        <w:rPr>
          <w:i/>
          <w:spacing w:val="-9"/>
          <w:sz w:val="16"/>
        </w:rPr>
        <w:t> </w:t>
      </w:r>
      <w:r>
        <w:rPr>
          <w:i/>
          <w:sz w:val="16"/>
        </w:rPr>
        <w:t>respeto</w:t>
      </w:r>
      <w:r>
        <w:rPr>
          <w:i/>
          <w:spacing w:val="-9"/>
          <w:sz w:val="16"/>
        </w:rPr>
        <w:t> </w:t>
      </w:r>
      <w:r>
        <w:rPr>
          <w:i/>
          <w:sz w:val="16"/>
        </w:rPr>
        <w:t>de</w:t>
      </w:r>
      <w:r>
        <w:rPr>
          <w:i/>
          <w:spacing w:val="-10"/>
          <w:sz w:val="16"/>
        </w:rPr>
        <w:t> </w:t>
      </w:r>
      <w:r>
        <w:rPr>
          <w:i/>
          <w:sz w:val="16"/>
        </w:rPr>
        <w:t>los</w:t>
      </w:r>
      <w:r>
        <w:rPr>
          <w:i/>
          <w:spacing w:val="-10"/>
          <w:sz w:val="16"/>
        </w:rPr>
        <w:t> </w:t>
      </w:r>
      <w:r>
        <w:rPr>
          <w:i/>
          <w:sz w:val="16"/>
        </w:rPr>
        <w:t>derechos</w:t>
      </w:r>
      <w:r>
        <w:rPr>
          <w:i/>
          <w:spacing w:val="-10"/>
          <w:sz w:val="16"/>
        </w:rPr>
        <w:t> </w:t>
      </w:r>
      <w:r>
        <w:rPr>
          <w:i/>
          <w:sz w:val="16"/>
        </w:rPr>
        <w:t>reconocidos</w:t>
      </w:r>
      <w:r>
        <w:rPr>
          <w:i/>
          <w:spacing w:val="-9"/>
          <w:sz w:val="16"/>
        </w:rPr>
        <w:t> </w:t>
      </w:r>
      <w:r>
        <w:rPr>
          <w:i/>
          <w:sz w:val="16"/>
        </w:rPr>
        <w:t>en</w:t>
      </w:r>
      <w:r>
        <w:rPr>
          <w:i/>
          <w:spacing w:val="-10"/>
          <w:sz w:val="16"/>
        </w:rPr>
        <w:t> </w:t>
      </w:r>
      <w:r>
        <w:rPr>
          <w:i/>
          <w:sz w:val="16"/>
        </w:rPr>
        <w:t>el</w:t>
      </w:r>
      <w:r>
        <w:rPr>
          <w:i/>
          <w:spacing w:val="-9"/>
          <w:sz w:val="16"/>
        </w:rPr>
        <w:t> </w:t>
      </w:r>
      <w:r>
        <w:rPr>
          <w:i/>
          <w:sz w:val="16"/>
        </w:rPr>
        <w:t>propio</w:t>
      </w:r>
      <w:r>
        <w:rPr>
          <w:i/>
          <w:spacing w:val="-5"/>
          <w:sz w:val="16"/>
        </w:rPr>
        <w:t> </w:t>
      </w:r>
      <w:r>
        <w:rPr>
          <w:i/>
          <w:sz w:val="16"/>
        </w:rPr>
        <w:t>Protocolo y las recomendaciones de carácter general que al respecto se estimen</w:t>
      </w:r>
      <w:r>
        <w:rPr>
          <w:i/>
          <w:spacing w:val="-23"/>
          <w:sz w:val="16"/>
        </w:rPr>
        <w:t> </w:t>
      </w:r>
      <w:r>
        <w:rPr>
          <w:i/>
          <w:sz w:val="16"/>
        </w:rPr>
        <w:t>pertinentes.</w:t>
      </w:r>
    </w:p>
    <w:p>
      <w:pPr>
        <w:pStyle w:val="ListParagraph"/>
        <w:numPr>
          <w:ilvl w:val="0"/>
          <w:numId w:val="62"/>
        </w:numPr>
        <w:tabs>
          <w:tab w:pos="892" w:val="left" w:leader="none"/>
        </w:tabs>
        <w:spacing w:line="240" w:lineRule="auto" w:before="0" w:after="0"/>
        <w:ind w:left="681" w:right="120" w:firstLine="0"/>
        <w:jc w:val="both"/>
        <w:rPr>
          <w:i/>
          <w:sz w:val="16"/>
        </w:rPr>
      </w:pPr>
      <w:r>
        <w:rPr>
          <w:i/>
          <w:sz w:val="16"/>
        </w:rPr>
        <w:t>En</w:t>
      </w:r>
      <w:r>
        <w:rPr>
          <w:i/>
          <w:spacing w:val="-8"/>
          <w:sz w:val="16"/>
        </w:rPr>
        <w:t> </w:t>
      </w:r>
      <w:r>
        <w:rPr>
          <w:i/>
          <w:sz w:val="16"/>
        </w:rPr>
        <w:t>el</w:t>
      </w:r>
      <w:r>
        <w:rPr>
          <w:i/>
          <w:spacing w:val="-6"/>
          <w:sz w:val="16"/>
        </w:rPr>
        <w:t> </w:t>
      </w:r>
      <w:r>
        <w:rPr>
          <w:i/>
          <w:sz w:val="16"/>
        </w:rPr>
        <w:t>caso</w:t>
      </w:r>
      <w:r>
        <w:rPr>
          <w:i/>
          <w:spacing w:val="-7"/>
          <w:sz w:val="16"/>
        </w:rPr>
        <w:t> </w:t>
      </w:r>
      <w:r>
        <w:rPr>
          <w:i/>
          <w:sz w:val="16"/>
        </w:rPr>
        <w:t>de</w:t>
      </w:r>
      <w:r>
        <w:rPr>
          <w:i/>
          <w:spacing w:val="-8"/>
          <w:sz w:val="16"/>
        </w:rPr>
        <w:t> </w:t>
      </w:r>
      <w:r>
        <w:rPr>
          <w:i/>
          <w:sz w:val="16"/>
        </w:rPr>
        <w:t>que</w:t>
      </w:r>
      <w:r>
        <w:rPr>
          <w:i/>
          <w:spacing w:val="-8"/>
          <w:sz w:val="16"/>
        </w:rPr>
        <w:t> </w:t>
      </w:r>
      <w:r>
        <w:rPr>
          <w:i/>
          <w:sz w:val="16"/>
        </w:rPr>
        <w:t>los</w:t>
      </w:r>
      <w:r>
        <w:rPr>
          <w:i/>
          <w:spacing w:val="-7"/>
          <w:sz w:val="16"/>
        </w:rPr>
        <w:t> </w:t>
      </w:r>
      <w:r>
        <w:rPr>
          <w:i/>
          <w:sz w:val="16"/>
        </w:rPr>
        <w:t>derechos</w:t>
      </w:r>
      <w:r>
        <w:rPr>
          <w:i/>
          <w:spacing w:val="-8"/>
          <w:sz w:val="16"/>
        </w:rPr>
        <w:t> </w:t>
      </w:r>
      <w:r>
        <w:rPr>
          <w:i/>
          <w:sz w:val="16"/>
        </w:rPr>
        <w:t>establecidos</w:t>
      </w:r>
      <w:r>
        <w:rPr>
          <w:i/>
          <w:spacing w:val="-7"/>
          <w:sz w:val="16"/>
        </w:rPr>
        <w:t> </w:t>
      </w:r>
      <w:r>
        <w:rPr>
          <w:i/>
          <w:sz w:val="16"/>
        </w:rPr>
        <w:t>en</w:t>
      </w:r>
      <w:r>
        <w:rPr>
          <w:i/>
          <w:spacing w:val="-7"/>
          <w:sz w:val="16"/>
        </w:rPr>
        <w:t> </w:t>
      </w:r>
      <w:r>
        <w:rPr>
          <w:i/>
          <w:sz w:val="16"/>
        </w:rPr>
        <w:t>el</w:t>
      </w:r>
      <w:r>
        <w:rPr>
          <w:i/>
          <w:spacing w:val="-7"/>
          <w:sz w:val="16"/>
        </w:rPr>
        <w:t> </w:t>
      </w:r>
      <w:r>
        <w:rPr>
          <w:i/>
          <w:sz w:val="16"/>
        </w:rPr>
        <w:t>párrafo</w:t>
      </w:r>
      <w:r>
        <w:rPr>
          <w:i/>
          <w:spacing w:val="-7"/>
          <w:sz w:val="16"/>
        </w:rPr>
        <w:t> </w:t>
      </w:r>
      <w:r>
        <w:rPr>
          <w:i/>
          <w:sz w:val="16"/>
        </w:rPr>
        <w:t>a)</w:t>
      </w:r>
      <w:r>
        <w:rPr>
          <w:i/>
          <w:spacing w:val="-8"/>
          <w:sz w:val="16"/>
        </w:rPr>
        <w:t> </w:t>
      </w:r>
      <w:r>
        <w:rPr>
          <w:i/>
          <w:sz w:val="16"/>
        </w:rPr>
        <w:t>del</w:t>
      </w:r>
      <w:r>
        <w:rPr>
          <w:i/>
          <w:spacing w:val="-7"/>
          <w:sz w:val="16"/>
        </w:rPr>
        <w:t> </w:t>
      </w:r>
      <w:r>
        <w:rPr>
          <w:i/>
          <w:sz w:val="16"/>
        </w:rPr>
        <w:t>artículo</w:t>
      </w:r>
      <w:r>
        <w:rPr>
          <w:i/>
          <w:spacing w:val="-7"/>
          <w:sz w:val="16"/>
        </w:rPr>
        <w:t> </w:t>
      </w:r>
      <w:r>
        <w:rPr>
          <w:i/>
          <w:sz w:val="16"/>
        </w:rPr>
        <w:t>8</w:t>
      </w:r>
      <w:r>
        <w:rPr>
          <w:i/>
          <w:spacing w:val="-7"/>
          <w:sz w:val="16"/>
        </w:rPr>
        <w:t> </w:t>
      </w:r>
      <w:r>
        <w:rPr>
          <w:i/>
          <w:sz w:val="16"/>
        </w:rPr>
        <w:t>y</w:t>
      </w:r>
      <w:r>
        <w:rPr>
          <w:i/>
          <w:spacing w:val="-7"/>
          <w:sz w:val="16"/>
        </w:rPr>
        <w:t> </w:t>
      </w:r>
      <w:r>
        <w:rPr>
          <w:i/>
          <w:sz w:val="16"/>
        </w:rPr>
        <w:t>en</w:t>
      </w:r>
      <w:r>
        <w:rPr>
          <w:i/>
          <w:spacing w:val="-8"/>
          <w:sz w:val="16"/>
        </w:rPr>
        <w:t> </w:t>
      </w:r>
      <w:r>
        <w:rPr>
          <w:i/>
          <w:sz w:val="16"/>
        </w:rPr>
        <w:t>el</w:t>
      </w:r>
      <w:r>
        <w:rPr>
          <w:i/>
          <w:spacing w:val="-7"/>
          <w:sz w:val="16"/>
        </w:rPr>
        <w:t> </w:t>
      </w:r>
      <w:r>
        <w:rPr>
          <w:i/>
          <w:sz w:val="16"/>
        </w:rPr>
        <w:t>artículo</w:t>
      </w:r>
      <w:r>
        <w:rPr>
          <w:i/>
          <w:spacing w:val="-7"/>
          <w:sz w:val="16"/>
        </w:rPr>
        <w:t> </w:t>
      </w:r>
      <w:r>
        <w:rPr>
          <w:i/>
          <w:sz w:val="16"/>
        </w:rPr>
        <w:t>13</w:t>
      </w:r>
      <w:r>
        <w:rPr>
          <w:i/>
          <w:spacing w:val="-7"/>
          <w:sz w:val="16"/>
        </w:rPr>
        <w:t> </w:t>
      </w:r>
      <w:r>
        <w:rPr>
          <w:i/>
          <w:sz w:val="16"/>
        </w:rPr>
        <w:t>fuesen</w:t>
      </w:r>
      <w:r>
        <w:rPr>
          <w:i/>
          <w:spacing w:val="-7"/>
          <w:sz w:val="16"/>
        </w:rPr>
        <w:t> </w:t>
      </w:r>
      <w:r>
        <w:rPr>
          <w:i/>
          <w:sz w:val="16"/>
        </w:rPr>
        <w:t>violados </w:t>
      </w:r>
      <w:r>
        <w:rPr>
          <w:i/>
          <w:sz w:val="16"/>
        </w:rPr>
        <w:t>por</w:t>
      </w:r>
      <w:r>
        <w:rPr>
          <w:i/>
          <w:spacing w:val="-12"/>
          <w:sz w:val="16"/>
        </w:rPr>
        <w:t> </w:t>
      </w:r>
      <w:r>
        <w:rPr>
          <w:i/>
          <w:sz w:val="16"/>
        </w:rPr>
        <w:t>una</w:t>
      </w:r>
      <w:r>
        <w:rPr>
          <w:i/>
          <w:spacing w:val="-12"/>
          <w:sz w:val="16"/>
        </w:rPr>
        <w:t> </w:t>
      </w:r>
      <w:r>
        <w:rPr>
          <w:i/>
          <w:sz w:val="16"/>
        </w:rPr>
        <w:t>acción</w:t>
      </w:r>
      <w:r>
        <w:rPr>
          <w:i/>
          <w:spacing w:val="-11"/>
          <w:sz w:val="16"/>
        </w:rPr>
        <w:t> </w:t>
      </w:r>
      <w:r>
        <w:rPr>
          <w:i/>
          <w:sz w:val="16"/>
        </w:rPr>
        <w:t>imputable</w:t>
      </w:r>
      <w:r>
        <w:rPr>
          <w:i/>
          <w:spacing w:val="-11"/>
          <w:sz w:val="16"/>
        </w:rPr>
        <w:t> </w:t>
      </w:r>
      <w:r>
        <w:rPr>
          <w:i/>
          <w:sz w:val="16"/>
        </w:rPr>
        <w:t>directamente</w:t>
      </w:r>
      <w:r>
        <w:rPr>
          <w:i/>
          <w:spacing w:val="-12"/>
          <w:sz w:val="16"/>
        </w:rPr>
        <w:t> </w:t>
      </w:r>
      <w:r>
        <w:rPr>
          <w:i/>
          <w:sz w:val="16"/>
        </w:rPr>
        <w:t>a</w:t>
      </w:r>
      <w:r>
        <w:rPr>
          <w:i/>
          <w:spacing w:val="-11"/>
          <w:sz w:val="16"/>
        </w:rPr>
        <w:t> </w:t>
      </w:r>
      <w:r>
        <w:rPr>
          <w:i/>
          <w:sz w:val="16"/>
        </w:rPr>
        <w:t>un</w:t>
      </w:r>
      <w:r>
        <w:rPr>
          <w:i/>
          <w:spacing w:val="-11"/>
          <w:sz w:val="16"/>
        </w:rPr>
        <w:t> </w:t>
      </w:r>
      <w:r>
        <w:rPr>
          <w:i/>
          <w:sz w:val="16"/>
        </w:rPr>
        <w:t>Estado</w:t>
      </w:r>
      <w:r>
        <w:rPr>
          <w:i/>
          <w:spacing w:val="-8"/>
          <w:sz w:val="16"/>
        </w:rPr>
        <w:t> </w:t>
      </w:r>
      <w:r>
        <w:rPr>
          <w:i/>
          <w:sz w:val="16"/>
        </w:rPr>
        <w:t>parte</w:t>
      </w:r>
      <w:r>
        <w:rPr>
          <w:i/>
          <w:spacing w:val="-12"/>
          <w:sz w:val="16"/>
        </w:rPr>
        <w:t> </w:t>
      </w:r>
      <w:r>
        <w:rPr>
          <w:i/>
          <w:sz w:val="16"/>
        </w:rPr>
        <w:t>del</w:t>
      </w:r>
      <w:r>
        <w:rPr>
          <w:i/>
          <w:spacing w:val="-12"/>
          <w:sz w:val="16"/>
        </w:rPr>
        <w:t> </w:t>
      </w:r>
      <w:r>
        <w:rPr>
          <w:i/>
          <w:sz w:val="16"/>
        </w:rPr>
        <w:t>presente</w:t>
      </w:r>
      <w:r>
        <w:rPr>
          <w:i/>
          <w:spacing w:val="-11"/>
          <w:sz w:val="16"/>
        </w:rPr>
        <w:t> </w:t>
      </w:r>
      <w:r>
        <w:rPr>
          <w:i/>
          <w:sz w:val="16"/>
        </w:rPr>
        <w:t>Protocolo,</w:t>
      </w:r>
      <w:r>
        <w:rPr>
          <w:i/>
          <w:spacing w:val="-11"/>
          <w:sz w:val="16"/>
        </w:rPr>
        <w:t> </w:t>
      </w:r>
      <w:r>
        <w:rPr>
          <w:i/>
          <w:sz w:val="16"/>
        </w:rPr>
        <w:t>tal</w:t>
      </w:r>
      <w:r>
        <w:rPr>
          <w:i/>
          <w:spacing w:val="-11"/>
          <w:sz w:val="16"/>
        </w:rPr>
        <w:t> </w:t>
      </w:r>
      <w:r>
        <w:rPr>
          <w:i/>
          <w:sz w:val="16"/>
        </w:rPr>
        <w:t>situación</w:t>
      </w:r>
      <w:r>
        <w:rPr>
          <w:i/>
          <w:spacing w:val="-12"/>
          <w:sz w:val="16"/>
        </w:rPr>
        <w:t> </w:t>
      </w:r>
      <w:r>
        <w:rPr>
          <w:i/>
          <w:sz w:val="16"/>
        </w:rPr>
        <w:t>podría</w:t>
      </w:r>
      <w:r>
        <w:rPr>
          <w:i/>
          <w:spacing w:val="-12"/>
          <w:sz w:val="16"/>
        </w:rPr>
        <w:t> </w:t>
      </w:r>
      <w:r>
        <w:rPr>
          <w:i/>
          <w:sz w:val="16"/>
        </w:rPr>
        <w:t>dar</w:t>
      </w:r>
      <w:r>
        <w:rPr>
          <w:i/>
          <w:spacing w:val="-10"/>
          <w:sz w:val="16"/>
        </w:rPr>
        <w:t> </w:t>
      </w:r>
      <w:r>
        <w:rPr>
          <w:i/>
          <w:sz w:val="16"/>
        </w:rPr>
        <w:t>lugar, mediante</w:t>
      </w:r>
      <w:r>
        <w:rPr>
          <w:i/>
          <w:spacing w:val="-6"/>
          <w:sz w:val="16"/>
        </w:rPr>
        <w:t> </w:t>
      </w:r>
      <w:r>
        <w:rPr>
          <w:i/>
          <w:sz w:val="16"/>
        </w:rPr>
        <w:t>la</w:t>
      </w:r>
      <w:r>
        <w:rPr>
          <w:i/>
          <w:spacing w:val="-6"/>
          <w:sz w:val="16"/>
        </w:rPr>
        <w:t> </w:t>
      </w:r>
      <w:r>
        <w:rPr>
          <w:i/>
          <w:sz w:val="16"/>
        </w:rPr>
        <w:t>participación</w:t>
      </w:r>
      <w:r>
        <w:rPr>
          <w:i/>
          <w:spacing w:val="-6"/>
          <w:sz w:val="16"/>
        </w:rPr>
        <w:t> </w:t>
      </w:r>
      <w:r>
        <w:rPr>
          <w:i/>
          <w:sz w:val="16"/>
        </w:rPr>
        <w:t>de</w:t>
      </w:r>
      <w:r>
        <w:rPr>
          <w:i/>
          <w:spacing w:val="-6"/>
          <w:sz w:val="16"/>
        </w:rPr>
        <w:t> </w:t>
      </w:r>
      <w:r>
        <w:rPr>
          <w:i/>
          <w:sz w:val="16"/>
        </w:rPr>
        <w:t>la</w:t>
      </w:r>
      <w:r>
        <w:rPr>
          <w:i/>
          <w:spacing w:val="-6"/>
          <w:sz w:val="16"/>
        </w:rPr>
        <w:t> </w:t>
      </w:r>
      <w:r>
        <w:rPr>
          <w:i/>
          <w:sz w:val="16"/>
        </w:rPr>
        <w:t>Comisión</w:t>
      </w:r>
      <w:r>
        <w:rPr>
          <w:i/>
          <w:spacing w:val="-6"/>
          <w:sz w:val="16"/>
        </w:rPr>
        <w:t> </w:t>
      </w:r>
      <w:r>
        <w:rPr>
          <w:i/>
          <w:sz w:val="16"/>
        </w:rPr>
        <w:t>Interamericana</w:t>
      </w:r>
      <w:r>
        <w:rPr>
          <w:i/>
          <w:spacing w:val="-6"/>
          <w:sz w:val="16"/>
        </w:rPr>
        <w:t> </w:t>
      </w:r>
      <w:r>
        <w:rPr>
          <w:i/>
          <w:sz w:val="16"/>
        </w:rPr>
        <w:t>de</w:t>
      </w:r>
      <w:r>
        <w:rPr>
          <w:i/>
          <w:spacing w:val="-6"/>
          <w:sz w:val="16"/>
        </w:rPr>
        <w:t> </w:t>
      </w:r>
      <w:r>
        <w:rPr>
          <w:i/>
          <w:sz w:val="16"/>
        </w:rPr>
        <w:t>Derechos</w:t>
      </w:r>
      <w:r>
        <w:rPr>
          <w:i/>
          <w:spacing w:val="-6"/>
          <w:sz w:val="16"/>
        </w:rPr>
        <w:t> </w:t>
      </w:r>
      <w:r>
        <w:rPr>
          <w:i/>
          <w:sz w:val="16"/>
        </w:rPr>
        <w:t>Humanos,</w:t>
      </w:r>
      <w:r>
        <w:rPr>
          <w:i/>
          <w:spacing w:val="-7"/>
          <w:sz w:val="16"/>
        </w:rPr>
        <w:t> </w:t>
      </w:r>
      <w:r>
        <w:rPr>
          <w:i/>
          <w:sz w:val="16"/>
        </w:rPr>
        <w:t>y</w:t>
      </w:r>
      <w:r>
        <w:rPr>
          <w:i/>
          <w:spacing w:val="-5"/>
          <w:sz w:val="16"/>
        </w:rPr>
        <w:t> </w:t>
      </w:r>
      <w:r>
        <w:rPr>
          <w:i/>
          <w:sz w:val="16"/>
        </w:rPr>
        <w:t>cuando</w:t>
      </w:r>
      <w:r>
        <w:rPr>
          <w:i/>
          <w:spacing w:val="-6"/>
          <w:sz w:val="16"/>
        </w:rPr>
        <w:t> </w:t>
      </w:r>
      <w:r>
        <w:rPr>
          <w:i/>
          <w:sz w:val="16"/>
        </w:rPr>
        <w:t>proceda</w:t>
      </w:r>
      <w:r>
        <w:rPr>
          <w:i/>
          <w:spacing w:val="-6"/>
          <w:sz w:val="16"/>
        </w:rPr>
        <w:t> </w:t>
      </w:r>
      <w:r>
        <w:rPr>
          <w:i/>
          <w:sz w:val="16"/>
        </w:rPr>
        <w:t>de</w:t>
      </w:r>
      <w:r>
        <w:rPr>
          <w:i/>
          <w:spacing w:val="-5"/>
          <w:sz w:val="16"/>
        </w:rPr>
        <w:t> </w:t>
      </w:r>
      <w:r>
        <w:rPr>
          <w:i/>
          <w:sz w:val="16"/>
        </w:rPr>
        <w:t>la</w:t>
      </w:r>
      <w:r>
        <w:rPr>
          <w:i/>
          <w:spacing w:val="-6"/>
          <w:sz w:val="16"/>
        </w:rPr>
        <w:t> </w:t>
      </w:r>
      <w:r>
        <w:rPr>
          <w:i/>
          <w:sz w:val="16"/>
        </w:rPr>
        <w:t>Corte Interamericana de Derechos Humanos, a la aplicación del sistema de peticiones individuales regulado por los artículos 44 a 51 y 61 a 69 de la Convención Americana sobre Derechos</w:t>
      </w:r>
      <w:r>
        <w:rPr>
          <w:i/>
          <w:spacing w:val="-26"/>
          <w:sz w:val="16"/>
        </w:rPr>
        <w:t> </w:t>
      </w:r>
      <w:r>
        <w:rPr>
          <w:i/>
          <w:sz w:val="16"/>
        </w:rPr>
        <w:t>Humanos.</w:t>
      </w:r>
    </w:p>
    <w:p>
      <w:pPr>
        <w:pStyle w:val="ListParagraph"/>
        <w:numPr>
          <w:ilvl w:val="0"/>
          <w:numId w:val="62"/>
        </w:numPr>
        <w:tabs>
          <w:tab w:pos="890" w:val="left" w:leader="none"/>
        </w:tabs>
        <w:spacing w:line="240" w:lineRule="auto" w:before="0" w:after="0"/>
        <w:ind w:left="681" w:right="120" w:firstLine="0"/>
        <w:jc w:val="both"/>
        <w:rPr>
          <w:i/>
          <w:sz w:val="16"/>
        </w:rPr>
      </w:pPr>
      <w:r>
        <w:rPr>
          <w:i/>
          <w:sz w:val="16"/>
        </w:rPr>
        <w:t>Sin</w:t>
      </w:r>
      <w:r>
        <w:rPr>
          <w:i/>
          <w:spacing w:val="-11"/>
          <w:sz w:val="16"/>
        </w:rPr>
        <w:t> </w:t>
      </w:r>
      <w:r>
        <w:rPr>
          <w:i/>
          <w:sz w:val="16"/>
        </w:rPr>
        <w:t>perjuicio</w:t>
      </w:r>
      <w:r>
        <w:rPr>
          <w:i/>
          <w:spacing w:val="-10"/>
          <w:sz w:val="16"/>
        </w:rPr>
        <w:t> </w:t>
      </w:r>
      <w:r>
        <w:rPr>
          <w:i/>
          <w:sz w:val="16"/>
        </w:rPr>
        <w:t>de</w:t>
      </w:r>
      <w:r>
        <w:rPr>
          <w:i/>
          <w:spacing w:val="-11"/>
          <w:sz w:val="16"/>
        </w:rPr>
        <w:t> </w:t>
      </w:r>
      <w:r>
        <w:rPr>
          <w:i/>
          <w:sz w:val="16"/>
        </w:rPr>
        <w:t>lo</w:t>
      </w:r>
      <w:r>
        <w:rPr>
          <w:i/>
          <w:spacing w:val="-10"/>
          <w:sz w:val="16"/>
        </w:rPr>
        <w:t> </w:t>
      </w:r>
      <w:r>
        <w:rPr>
          <w:i/>
          <w:sz w:val="16"/>
        </w:rPr>
        <w:t>dispuesto</w:t>
      </w:r>
      <w:r>
        <w:rPr>
          <w:i/>
          <w:spacing w:val="-10"/>
          <w:sz w:val="16"/>
        </w:rPr>
        <w:t> </w:t>
      </w:r>
      <w:r>
        <w:rPr>
          <w:i/>
          <w:sz w:val="16"/>
        </w:rPr>
        <w:t>en</w:t>
      </w:r>
      <w:r>
        <w:rPr>
          <w:i/>
          <w:spacing w:val="-11"/>
          <w:sz w:val="16"/>
        </w:rPr>
        <w:t> </w:t>
      </w:r>
      <w:r>
        <w:rPr>
          <w:i/>
          <w:sz w:val="16"/>
        </w:rPr>
        <w:t>el</w:t>
      </w:r>
      <w:r>
        <w:rPr>
          <w:i/>
          <w:spacing w:val="-10"/>
          <w:sz w:val="16"/>
        </w:rPr>
        <w:t> </w:t>
      </w:r>
      <w:r>
        <w:rPr>
          <w:i/>
          <w:sz w:val="16"/>
        </w:rPr>
        <w:t>párrafo</w:t>
      </w:r>
      <w:r>
        <w:rPr>
          <w:i/>
          <w:spacing w:val="-12"/>
          <w:sz w:val="16"/>
        </w:rPr>
        <w:t> </w:t>
      </w:r>
      <w:r>
        <w:rPr>
          <w:i/>
          <w:sz w:val="16"/>
        </w:rPr>
        <w:t>anterior,</w:t>
      </w:r>
      <w:r>
        <w:rPr>
          <w:i/>
          <w:spacing w:val="-11"/>
          <w:sz w:val="16"/>
        </w:rPr>
        <w:t> </w:t>
      </w:r>
      <w:r>
        <w:rPr>
          <w:i/>
          <w:sz w:val="16"/>
        </w:rPr>
        <w:t>la</w:t>
      </w:r>
      <w:r>
        <w:rPr>
          <w:i/>
          <w:spacing w:val="-11"/>
          <w:sz w:val="16"/>
        </w:rPr>
        <w:t> </w:t>
      </w:r>
      <w:r>
        <w:rPr>
          <w:i/>
          <w:sz w:val="16"/>
        </w:rPr>
        <w:t>Comisión</w:t>
      </w:r>
      <w:r>
        <w:rPr>
          <w:i/>
          <w:spacing w:val="-11"/>
          <w:sz w:val="16"/>
        </w:rPr>
        <w:t> </w:t>
      </w:r>
      <w:r>
        <w:rPr>
          <w:i/>
          <w:sz w:val="16"/>
        </w:rPr>
        <w:t>Interamericana</w:t>
      </w:r>
      <w:r>
        <w:rPr>
          <w:i/>
          <w:spacing w:val="-11"/>
          <w:sz w:val="16"/>
        </w:rPr>
        <w:t> </w:t>
      </w:r>
      <w:r>
        <w:rPr>
          <w:i/>
          <w:sz w:val="16"/>
        </w:rPr>
        <w:t>de</w:t>
      </w:r>
      <w:r>
        <w:rPr>
          <w:i/>
          <w:spacing w:val="-11"/>
          <w:sz w:val="16"/>
        </w:rPr>
        <w:t> </w:t>
      </w:r>
      <w:r>
        <w:rPr>
          <w:i/>
          <w:sz w:val="16"/>
        </w:rPr>
        <w:t>Derechos</w:t>
      </w:r>
      <w:r>
        <w:rPr>
          <w:i/>
          <w:spacing w:val="-11"/>
          <w:sz w:val="16"/>
        </w:rPr>
        <w:t> </w:t>
      </w:r>
      <w:r>
        <w:rPr>
          <w:i/>
          <w:sz w:val="16"/>
        </w:rPr>
        <w:t>Humanos</w:t>
      </w:r>
      <w:r>
        <w:rPr>
          <w:i/>
          <w:spacing w:val="-11"/>
          <w:sz w:val="16"/>
        </w:rPr>
        <w:t> </w:t>
      </w:r>
      <w:r>
        <w:rPr>
          <w:i/>
          <w:sz w:val="16"/>
        </w:rPr>
        <w:t>podrá </w:t>
      </w:r>
      <w:r>
        <w:rPr>
          <w:i/>
          <w:sz w:val="16"/>
        </w:rPr>
        <w:t>formular las observaciones y recomendaciones que considere pertinentes sobre la situación de los derechos económicos, sociales y culturales establecidos en el presente Protocolo en todos o en algunos de los Estados partes, las que podrá incluir en el Informe Anual a la Asamblea General o en un Informe Especial, según lo considere más</w:t>
      </w:r>
      <w:r>
        <w:rPr>
          <w:i/>
          <w:spacing w:val="-6"/>
          <w:sz w:val="16"/>
        </w:rPr>
        <w:t> </w:t>
      </w:r>
      <w:r>
        <w:rPr>
          <w:i/>
          <w:sz w:val="16"/>
        </w:rPr>
        <w:t>apropiado.</w:t>
      </w:r>
    </w:p>
    <w:p>
      <w:pPr>
        <w:pStyle w:val="ListParagraph"/>
        <w:numPr>
          <w:ilvl w:val="0"/>
          <w:numId w:val="62"/>
        </w:numPr>
        <w:tabs>
          <w:tab w:pos="902" w:val="left" w:leader="none"/>
        </w:tabs>
        <w:spacing w:line="240" w:lineRule="auto" w:before="0" w:after="0"/>
        <w:ind w:left="681" w:right="118" w:firstLine="0"/>
        <w:jc w:val="both"/>
        <w:rPr>
          <w:i/>
          <w:sz w:val="16"/>
        </w:rPr>
      </w:pPr>
      <w:r>
        <w:rPr>
          <w:i/>
          <w:sz w:val="16"/>
        </w:rPr>
        <w:t>Los Consejos y la Comisión Interamericana de Derechos Humanos en ejercicio de las funciones que se les </w:t>
      </w:r>
      <w:r>
        <w:rPr>
          <w:i/>
          <w:sz w:val="16"/>
        </w:rPr>
        <w:t>confieren en el presente artículo tendrán en cuenta la naturaleza progresiva de la vigencia de los derechos objeto de protección por este</w:t>
      </w:r>
      <w:r>
        <w:rPr>
          <w:i/>
          <w:spacing w:val="-12"/>
          <w:sz w:val="16"/>
        </w:rPr>
        <w:t> </w:t>
      </w:r>
      <w:r>
        <w:rPr>
          <w:i/>
          <w:sz w:val="16"/>
        </w:rPr>
        <w:t>Protocolo.”</w:t>
      </w:r>
    </w:p>
    <w:p>
      <w:pPr>
        <w:spacing w:after="0" w:line="240" w:lineRule="auto"/>
        <w:jc w:val="both"/>
        <w:rPr>
          <w:sz w:val="16"/>
        </w:rPr>
        <w:sectPr>
          <w:pgSz w:w="12240" w:h="15840"/>
          <w:pgMar w:header="0" w:footer="1000" w:top="1220" w:bottom="1200" w:left="1020" w:right="1580"/>
        </w:sectPr>
      </w:pPr>
    </w:p>
    <w:p>
      <w:pPr>
        <w:pStyle w:val="ListParagraph"/>
        <w:numPr>
          <w:ilvl w:val="0"/>
          <w:numId w:val="63"/>
        </w:numPr>
        <w:tabs>
          <w:tab w:pos="1390" w:val="left" w:leader="none"/>
        </w:tabs>
        <w:spacing w:line="240" w:lineRule="auto" w:before="83" w:after="0"/>
        <w:ind w:left="681" w:right="116" w:firstLine="0"/>
        <w:jc w:val="both"/>
        <w:rPr>
          <w:sz w:val="20"/>
        </w:rPr>
      </w:pPr>
      <w:r>
        <w:rPr>
          <w:sz w:val="20"/>
        </w:rPr>
        <w:t>Téngase presente también que en la OEA se creó el </w:t>
      </w:r>
      <w:r>
        <w:rPr>
          <w:color w:val="212121"/>
          <w:sz w:val="20"/>
        </w:rPr>
        <w:t>Grupo de Trabajo para Analizar los informes Periódicos de los Estados Partes del Protocolo de San Salvador</w:t>
      </w:r>
      <w:r>
        <w:rPr>
          <w:color w:val="212121"/>
          <w:position w:val="7"/>
          <w:sz w:val="13"/>
        </w:rPr>
        <w:t>111</w:t>
      </w:r>
      <w:r>
        <w:rPr>
          <w:color w:val="212121"/>
          <w:sz w:val="20"/>
        </w:rPr>
        <w:t>, como mecanismo para dar seguimiento al cumplimiento de los compromisos contraídos por dicho instrumento en la materia. Ello confirma que, indudablemente, la voluntad</w:t>
      </w:r>
      <w:r>
        <w:rPr>
          <w:color w:val="212121"/>
          <w:spacing w:val="-31"/>
          <w:sz w:val="20"/>
        </w:rPr>
        <w:t> </w:t>
      </w:r>
      <w:r>
        <w:rPr>
          <w:color w:val="212121"/>
          <w:sz w:val="20"/>
        </w:rPr>
        <w:t>de los mencionados Estados ha sido la de crear un mecanismo no jurisdiccional para la supervisión internacional del cumplimiento del Pacto de San</w:t>
      </w:r>
      <w:r>
        <w:rPr>
          <w:color w:val="212121"/>
          <w:spacing w:val="-16"/>
          <w:sz w:val="20"/>
        </w:rPr>
        <w:t> </w:t>
      </w:r>
      <w:r>
        <w:rPr>
          <w:color w:val="212121"/>
          <w:sz w:val="20"/>
        </w:rPr>
        <w:t>Salvador.</w:t>
      </w:r>
    </w:p>
    <w:p>
      <w:pPr>
        <w:pStyle w:val="BodyText"/>
        <w:spacing w:before="11"/>
        <w:rPr>
          <w:sz w:val="19"/>
        </w:rPr>
      </w:pPr>
    </w:p>
    <w:p>
      <w:pPr>
        <w:pStyle w:val="ListParagraph"/>
        <w:numPr>
          <w:ilvl w:val="0"/>
          <w:numId w:val="63"/>
        </w:numPr>
        <w:tabs>
          <w:tab w:pos="1390" w:val="left" w:leader="none"/>
        </w:tabs>
        <w:spacing w:line="240" w:lineRule="auto" w:before="0" w:after="0"/>
        <w:ind w:left="681" w:right="119" w:firstLine="0"/>
        <w:jc w:val="both"/>
        <w:rPr>
          <w:sz w:val="20"/>
        </w:rPr>
      </w:pPr>
      <w:r>
        <w:rPr>
          <w:sz w:val="20"/>
        </w:rPr>
        <w:t>La</w:t>
      </w:r>
      <w:r>
        <w:rPr>
          <w:spacing w:val="-5"/>
          <w:sz w:val="20"/>
        </w:rPr>
        <w:t> </w:t>
      </w:r>
      <w:r>
        <w:rPr>
          <w:sz w:val="20"/>
        </w:rPr>
        <w:t>única</w:t>
      </w:r>
      <w:r>
        <w:rPr>
          <w:spacing w:val="-7"/>
          <w:sz w:val="20"/>
        </w:rPr>
        <w:t> </w:t>
      </w:r>
      <w:r>
        <w:rPr>
          <w:sz w:val="20"/>
        </w:rPr>
        <w:t>excepción</w:t>
      </w:r>
      <w:r>
        <w:rPr>
          <w:spacing w:val="-5"/>
          <w:sz w:val="20"/>
        </w:rPr>
        <w:t> </w:t>
      </w:r>
      <w:r>
        <w:rPr>
          <w:sz w:val="20"/>
        </w:rPr>
        <w:t>a</w:t>
      </w:r>
      <w:r>
        <w:rPr>
          <w:spacing w:val="-6"/>
          <w:sz w:val="20"/>
        </w:rPr>
        <w:t> </w:t>
      </w:r>
      <w:r>
        <w:rPr>
          <w:sz w:val="20"/>
        </w:rPr>
        <w:t>ese</w:t>
      </w:r>
      <w:r>
        <w:rPr>
          <w:spacing w:val="-5"/>
          <w:sz w:val="20"/>
        </w:rPr>
        <w:t> </w:t>
      </w:r>
      <w:r>
        <w:rPr>
          <w:sz w:val="20"/>
        </w:rPr>
        <w:t>régimen</w:t>
      </w:r>
      <w:r>
        <w:rPr>
          <w:spacing w:val="-7"/>
          <w:sz w:val="20"/>
        </w:rPr>
        <w:t> </w:t>
      </w:r>
      <w:r>
        <w:rPr>
          <w:sz w:val="20"/>
        </w:rPr>
        <w:t>está</w:t>
      </w:r>
      <w:r>
        <w:rPr>
          <w:spacing w:val="-6"/>
          <w:sz w:val="20"/>
        </w:rPr>
        <w:t> </w:t>
      </w:r>
      <w:r>
        <w:rPr>
          <w:sz w:val="20"/>
        </w:rPr>
        <w:t>prevista</w:t>
      </w:r>
      <w:r>
        <w:rPr>
          <w:spacing w:val="-5"/>
          <w:sz w:val="20"/>
        </w:rPr>
        <w:t> </w:t>
      </w:r>
      <w:r>
        <w:rPr>
          <w:sz w:val="20"/>
        </w:rPr>
        <w:t>en</w:t>
      </w:r>
      <w:r>
        <w:rPr>
          <w:spacing w:val="-7"/>
          <w:sz w:val="20"/>
        </w:rPr>
        <w:t> </w:t>
      </w:r>
      <w:r>
        <w:rPr>
          <w:sz w:val="20"/>
        </w:rPr>
        <w:t>el</w:t>
      </w:r>
      <w:r>
        <w:rPr>
          <w:spacing w:val="-5"/>
          <w:sz w:val="20"/>
        </w:rPr>
        <w:t> </w:t>
      </w:r>
      <w:r>
        <w:rPr>
          <w:sz w:val="20"/>
        </w:rPr>
        <w:t>numeral</w:t>
      </w:r>
      <w:r>
        <w:rPr>
          <w:spacing w:val="-6"/>
          <w:sz w:val="20"/>
        </w:rPr>
        <w:t> </w:t>
      </w:r>
      <w:r>
        <w:rPr>
          <w:sz w:val="20"/>
        </w:rPr>
        <w:t>6</w:t>
      </w:r>
      <w:r>
        <w:rPr>
          <w:spacing w:val="-6"/>
          <w:sz w:val="20"/>
        </w:rPr>
        <w:t> </w:t>
      </w:r>
      <w:r>
        <w:rPr>
          <w:sz w:val="20"/>
        </w:rPr>
        <w:t>del</w:t>
      </w:r>
      <w:r>
        <w:rPr>
          <w:spacing w:val="-5"/>
          <w:sz w:val="20"/>
        </w:rPr>
        <w:t> </w:t>
      </w:r>
      <w:r>
        <w:rPr>
          <w:sz w:val="20"/>
        </w:rPr>
        <w:t>artículo</w:t>
      </w:r>
      <w:r>
        <w:rPr>
          <w:spacing w:val="-5"/>
          <w:sz w:val="20"/>
        </w:rPr>
        <w:t> </w:t>
      </w:r>
      <w:r>
        <w:rPr>
          <w:sz w:val="20"/>
        </w:rPr>
        <w:t>19,</w:t>
      </w:r>
      <w:r>
        <w:rPr>
          <w:spacing w:val="-6"/>
          <w:sz w:val="20"/>
        </w:rPr>
        <w:t> </w:t>
      </w:r>
      <w:r>
        <w:rPr>
          <w:sz w:val="20"/>
        </w:rPr>
        <w:t>a saber, que</w:t>
      </w:r>
    </w:p>
    <w:p>
      <w:pPr>
        <w:pStyle w:val="BodyText"/>
        <w:spacing w:before="11"/>
        <w:rPr>
          <w:sz w:val="19"/>
        </w:rPr>
      </w:pPr>
    </w:p>
    <w:p>
      <w:pPr>
        <w:spacing w:before="0"/>
        <w:ind w:left="1249" w:right="117" w:firstLine="0"/>
        <w:jc w:val="both"/>
        <w:rPr>
          <w:sz w:val="18"/>
        </w:rPr>
      </w:pPr>
      <w:r>
        <w:rPr>
          <w:i/>
          <w:sz w:val="18"/>
        </w:rPr>
        <w:t>“en</w:t>
      </w:r>
      <w:r>
        <w:rPr>
          <w:i/>
          <w:spacing w:val="-9"/>
          <w:sz w:val="18"/>
        </w:rPr>
        <w:t> </w:t>
      </w:r>
      <w:r>
        <w:rPr>
          <w:i/>
          <w:sz w:val="18"/>
        </w:rPr>
        <w:t>el</w:t>
      </w:r>
      <w:r>
        <w:rPr>
          <w:i/>
          <w:spacing w:val="-9"/>
          <w:sz w:val="18"/>
        </w:rPr>
        <w:t> </w:t>
      </w:r>
      <w:r>
        <w:rPr>
          <w:i/>
          <w:sz w:val="18"/>
        </w:rPr>
        <w:t>caso</w:t>
      </w:r>
      <w:r>
        <w:rPr>
          <w:i/>
          <w:spacing w:val="-7"/>
          <w:sz w:val="18"/>
        </w:rPr>
        <w:t> </w:t>
      </w:r>
      <w:r>
        <w:rPr>
          <w:i/>
          <w:sz w:val="18"/>
        </w:rPr>
        <w:t>de</w:t>
      </w:r>
      <w:r>
        <w:rPr>
          <w:i/>
          <w:spacing w:val="-9"/>
          <w:sz w:val="18"/>
        </w:rPr>
        <w:t> </w:t>
      </w:r>
      <w:r>
        <w:rPr>
          <w:i/>
          <w:sz w:val="18"/>
        </w:rPr>
        <w:t>que</w:t>
      </w:r>
      <w:r>
        <w:rPr>
          <w:i/>
          <w:spacing w:val="-9"/>
          <w:sz w:val="18"/>
        </w:rPr>
        <w:t> </w:t>
      </w:r>
      <w:r>
        <w:rPr>
          <w:i/>
          <w:sz w:val="18"/>
        </w:rPr>
        <w:t>los</w:t>
      </w:r>
      <w:r>
        <w:rPr>
          <w:i/>
          <w:spacing w:val="-9"/>
          <w:sz w:val="18"/>
        </w:rPr>
        <w:t> </w:t>
      </w:r>
      <w:r>
        <w:rPr>
          <w:i/>
          <w:sz w:val="18"/>
        </w:rPr>
        <w:t>derechos</w:t>
      </w:r>
      <w:r>
        <w:rPr>
          <w:i/>
          <w:spacing w:val="-9"/>
          <w:sz w:val="18"/>
        </w:rPr>
        <w:t> </w:t>
      </w:r>
      <w:r>
        <w:rPr>
          <w:i/>
          <w:sz w:val="18"/>
        </w:rPr>
        <w:t>establecidos</w:t>
      </w:r>
      <w:r>
        <w:rPr>
          <w:i/>
          <w:spacing w:val="-9"/>
          <w:sz w:val="18"/>
        </w:rPr>
        <w:t> </w:t>
      </w:r>
      <w:r>
        <w:rPr>
          <w:i/>
          <w:sz w:val="18"/>
        </w:rPr>
        <w:t>en</w:t>
      </w:r>
      <w:r>
        <w:rPr>
          <w:i/>
          <w:spacing w:val="-8"/>
          <w:sz w:val="18"/>
        </w:rPr>
        <w:t> </w:t>
      </w:r>
      <w:r>
        <w:rPr>
          <w:i/>
          <w:sz w:val="18"/>
        </w:rPr>
        <w:t>el</w:t>
      </w:r>
      <w:r>
        <w:rPr>
          <w:i/>
          <w:spacing w:val="-8"/>
          <w:sz w:val="18"/>
        </w:rPr>
        <w:t> </w:t>
      </w:r>
      <w:r>
        <w:rPr>
          <w:i/>
          <w:sz w:val="18"/>
        </w:rPr>
        <w:t>párrafo</w:t>
      </w:r>
      <w:r>
        <w:rPr>
          <w:i/>
          <w:spacing w:val="-9"/>
          <w:sz w:val="18"/>
        </w:rPr>
        <w:t> </w:t>
      </w:r>
      <w:r>
        <w:rPr>
          <w:i/>
          <w:sz w:val="18"/>
        </w:rPr>
        <w:t>a)</w:t>
      </w:r>
      <w:r>
        <w:rPr>
          <w:i/>
          <w:spacing w:val="-9"/>
          <w:sz w:val="18"/>
        </w:rPr>
        <w:t> </w:t>
      </w:r>
      <w:r>
        <w:rPr>
          <w:i/>
          <w:sz w:val="18"/>
        </w:rPr>
        <w:t>del</w:t>
      </w:r>
      <w:r>
        <w:rPr>
          <w:i/>
          <w:spacing w:val="-9"/>
          <w:sz w:val="18"/>
        </w:rPr>
        <w:t> </w:t>
      </w:r>
      <w:r>
        <w:rPr>
          <w:i/>
          <w:sz w:val="18"/>
        </w:rPr>
        <w:t>artículo</w:t>
      </w:r>
      <w:r>
        <w:rPr>
          <w:i/>
          <w:spacing w:val="-8"/>
          <w:sz w:val="18"/>
        </w:rPr>
        <w:t> </w:t>
      </w:r>
      <w:r>
        <w:rPr>
          <w:i/>
          <w:sz w:val="18"/>
        </w:rPr>
        <w:t>8</w:t>
      </w:r>
      <w:r>
        <w:rPr>
          <w:i/>
          <w:position w:val="6"/>
          <w:sz w:val="12"/>
        </w:rPr>
        <w:t>112</w:t>
      </w:r>
      <w:r>
        <w:rPr>
          <w:i/>
          <w:spacing w:val="13"/>
          <w:position w:val="6"/>
          <w:sz w:val="12"/>
        </w:rPr>
        <w:t> </w:t>
      </w:r>
      <w:r>
        <w:rPr>
          <w:i/>
          <w:sz w:val="18"/>
        </w:rPr>
        <w:t>y</w:t>
      </w:r>
      <w:r>
        <w:rPr>
          <w:i/>
          <w:spacing w:val="-8"/>
          <w:sz w:val="18"/>
        </w:rPr>
        <w:t> </w:t>
      </w:r>
      <w:r>
        <w:rPr>
          <w:i/>
          <w:sz w:val="18"/>
        </w:rPr>
        <w:t>en</w:t>
      </w:r>
      <w:r>
        <w:rPr>
          <w:i/>
          <w:spacing w:val="-9"/>
          <w:sz w:val="18"/>
        </w:rPr>
        <w:t> </w:t>
      </w:r>
      <w:r>
        <w:rPr>
          <w:i/>
          <w:sz w:val="18"/>
        </w:rPr>
        <w:t>el</w:t>
      </w:r>
      <w:r>
        <w:rPr>
          <w:i/>
          <w:spacing w:val="-9"/>
          <w:sz w:val="18"/>
        </w:rPr>
        <w:t> </w:t>
      </w:r>
      <w:r>
        <w:rPr>
          <w:i/>
          <w:sz w:val="18"/>
        </w:rPr>
        <w:t>artículo </w:t>
      </w:r>
      <w:r>
        <w:rPr>
          <w:i/>
          <w:sz w:val="18"/>
        </w:rPr>
        <w:t>13</w:t>
      </w:r>
      <w:r>
        <w:rPr>
          <w:i/>
          <w:position w:val="6"/>
          <w:sz w:val="12"/>
        </w:rPr>
        <w:t>113</w:t>
      </w:r>
      <w:r>
        <w:rPr>
          <w:i/>
          <w:spacing w:val="10"/>
          <w:position w:val="6"/>
          <w:sz w:val="12"/>
        </w:rPr>
        <w:t> </w:t>
      </w:r>
      <w:r>
        <w:rPr>
          <w:i/>
          <w:sz w:val="18"/>
        </w:rPr>
        <w:t>fuesen</w:t>
      </w:r>
      <w:r>
        <w:rPr>
          <w:i/>
          <w:spacing w:val="-12"/>
          <w:sz w:val="18"/>
        </w:rPr>
        <w:t> </w:t>
      </w:r>
      <w:r>
        <w:rPr>
          <w:i/>
          <w:sz w:val="18"/>
        </w:rPr>
        <w:t>violados</w:t>
      </w:r>
      <w:r>
        <w:rPr>
          <w:i/>
          <w:spacing w:val="-11"/>
          <w:sz w:val="18"/>
        </w:rPr>
        <w:t> </w:t>
      </w:r>
      <w:r>
        <w:rPr>
          <w:i/>
          <w:sz w:val="18"/>
        </w:rPr>
        <w:t>por</w:t>
      </w:r>
      <w:r>
        <w:rPr>
          <w:i/>
          <w:spacing w:val="-12"/>
          <w:sz w:val="18"/>
        </w:rPr>
        <w:t> </w:t>
      </w:r>
      <w:r>
        <w:rPr>
          <w:i/>
          <w:sz w:val="18"/>
        </w:rPr>
        <w:t>una</w:t>
      </w:r>
      <w:r>
        <w:rPr>
          <w:i/>
          <w:spacing w:val="-11"/>
          <w:sz w:val="18"/>
        </w:rPr>
        <w:t> </w:t>
      </w:r>
      <w:r>
        <w:rPr>
          <w:i/>
          <w:sz w:val="18"/>
        </w:rPr>
        <w:t>acción</w:t>
      </w:r>
      <w:r>
        <w:rPr>
          <w:i/>
          <w:spacing w:val="-12"/>
          <w:sz w:val="18"/>
        </w:rPr>
        <w:t> </w:t>
      </w:r>
      <w:r>
        <w:rPr>
          <w:i/>
          <w:sz w:val="18"/>
        </w:rPr>
        <w:t>imputable</w:t>
      </w:r>
      <w:r>
        <w:rPr>
          <w:i/>
          <w:spacing w:val="-11"/>
          <w:sz w:val="18"/>
        </w:rPr>
        <w:t> </w:t>
      </w:r>
      <w:r>
        <w:rPr>
          <w:i/>
          <w:sz w:val="18"/>
        </w:rPr>
        <w:t>directamente</w:t>
      </w:r>
      <w:r>
        <w:rPr>
          <w:i/>
          <w:spacing w:val="-12"/>
          <w:sz w:val="18"/>
        </w:rPr>
        <w:t> </w:t>
      </w:r>
      <w:r>
        <w:rPr>
          <w:i/>
          <w:sz w:val="18"/>
        </w:rPr>
        <w:t>a</w:t>
      </w:r>
      <w:r>
        <w:rPr>
          <w:i/>
          <w:spacing w:val="-12"/>
          <w:sz w:val="18"/>
        </w:rPr>
        <w:t> </w:t>
      </w:r>
      <w:r>
        <w:rPr>
          <w:i/>
          <w:sz w:val="18"/>
        </w:rPr>
        <w:t>un</w:t>
      </w:r>
      <w:r>
        <w:rPr>
          <w:i/>
          <w:spacing w:val="-12"/>
          <w:sz w:val="18"/>
        </w:rPr>
        <w:t> </w:t>
      </w:r>
      <w:r>
        <w:rPr>
          <w:i/>
          <w:sz w:val="18"/>
        </w:rPr>
        <w:t>Estado</w:t>
      </w:r>
      <w:r>
        <w:rPr>
          <w:i/>
          <w:spacing w:val="-12"/>
          <w:sz w:val="18"/>
        </w:rPr>
        <w:t> </w:t>
      </w:r>
      <w:r>
        <w:rPr>
          <w:i/>
          <w:sz w:val="18"/>
        </w:rPr>
        <w:t>parte</w:t>
      </w:r>
      <w:r>
        <w:rPr>
          <w:i/>
          <w:spacing w:val="-12"/>
          <w:sz w:val="18"/>
        </w:rPr>
        <w:t> </w:t>
      </w:r>
      <w:r>
        <w:rPr>
          <w:i/>
          <w:sz w:val="18"/>
        </w:rPr>
        <w:t>del</w:t>
      </w:r>
      <w:r>
        <w:rPr>
          <w:i/>
          <w:spacing w:val="-11"/>
          <w:sz w:val="18"/>
        </w:rPr>
        <w:t> </w:t>
      </w:r>
      <w:r>
        <w:rPr>
          <w:i/>
          <w:sz w:val="18"/>
        </w:rPr>
        <w:t>presente Protocolo, tal situación podría dar lugar, mediante la participación de la Comisión Interamericana de Derechos Humanos, y cuando proceda de la Corte Interamericana de Derechos Humanos, a la aplicación del sistema de peticiones individuales regulado por los artículos 44 a 51 y 61 a 69 de la Convención Americana sobre Derechos</w:t>
      </w:r>
      <w:r>
        <w:rPr>
          <w:i/>
          <w:spacing w:val="-19"/>
          <w:sz w:val="18"/>
        </w:rPr>
        <w:t> </w:t>
      </w:r>
      <w:r>
        <w:rPr>
          <w:i/>
          <w:sz w:val="18"/>
        </w:rPr>
        <w:t>Humanos</w:t>
      </w:r>
      <w:r>
        <w:rPr>
          <w:sz w:val="18"/>
        </w:rPr>
        <w:t>.”</w:t>
      </w:r>
    </w:p>
    <w:p>
      <w:pPr>
        <w:pStyle w:val="BodyText"/>
        <w:spacing w:before="11"/>
        <w:rPr>
          <w:sz w:val="19"/>
        </w:rPr>
      </w:pPr>
    </w:p>
    <w:p>
      <w:pPr>
        <w:pStyle w:val="ListParagraph"/>
        <w:numPr>
          <w:ilvl w:val="0"/>
          <w:numId w:val="63"/>
        </w:numPr>
        <w:tabs>
          <w:tab w:pos="1390" w:val="left" w:leader="none"/>
        </w:tabs>
        <w:spacing w:line="240" w:lineRule="auto" w:before="0" w:after="0"/>
        <w:ind w:left="681" w:right="119" w:firstLine="0"/>
        <w:jc w:val="both"/>
        <w:rPr>
          <w:sz w:val="20"/>
        </w:rPr>
      </w:pPr>
      <w:r>
        <w:rPr>
          <w:sz w:val="20"/>
        </w:rPr>
        <w:t>En</w:t>
      </w:r>
      <w:r>
        <w:rPr>
          <w:spacing w:val="-19"/>
          <w:sz w:val="20"/>
        </w:rPr>
        <w:t> </w:t>
      </w:r>
      <w:r>
        <w:rPr>
          <w:sz w:val="20"/>
        </w:rPr>
        <w:t>tercer</w:t>
      </w:r>
      <w:r>
        <w:rPr>
          <w:spacing w:val="-20"/>
          <w:sz w:val="20"/>
        </w:rPr>
        <w:t> </w:t>
      </w:r>
      <w:r>
        <w:rPr>
          <w:sz w:val="20"/>
        </w:rPr>
        <w:t>lugar,</w:t>
      </w:r>
      <w:r>
        <w:rPr>
          <w:spacing w:val="-18"/>
          <w:sz w:val="20"/>
        </w:rPr>
        <w:t> </w:t>
      </w:r>
      <w:r>
        <w:rPr>
          <w:sz w:val="20"/>
        </w:rPr>
        <w:t>lo</w:t>
      </w:r>
      <w:r>
        <w:rPr>
          <w:spacing w:val="-20"/>
          <w:sz w:val="20"/>
        </w:rPr>
        <w:t> </w:t>
      </w:r>
      <w:r>
        <w:rPr>
          <w:sz w:val="20"/>
        </w:rPr>
        <w:t>indicado</w:t>
      </w:r>
      <w:r>
        <w:rPr>
          <w:spacing w:val="-20"/>
          <w:sz w:val="20"/>
        </w:rPr>
        <w:t> </w:t>
      </w:r>
      <w:r>
        <w:rPr>
          <w:sz w:val="20"/>
        </w:rPr>
        <w:t>precedentemente</w:t>
      </w:r>
      <w:r>
        <w:rPr>
          <w:spacing w:val="-19"/>
          <w:sz w:val="20"/>
        </w:rPr>
        <w:t> </w:t>
      </w:r>
      <w:r>
        <w:rPr>
          <w:sz w:val="20"/>
        </w:rPr>
        <w:t>implica</w:t>
      </w:r>
      <w:r>
        <w:rPr>
          <w:spacing w:val="-20"/>
          <w:sz w:val="20"/>
        </w:rPr>
        <w:t> </w:t>
      </w:r>
      <w:r>
        <w:rPr>
          <w:sz w:val="20"/>
        </w:rPr>
        <w:t>que</w:t>
      </w:r>
      <w:r>
        <w:rPr>
          <w:spacing w:val="-21"/>
          <w:sz w:val="20"/>
        </w:rPr>
        <w:t> </w:t>
      </w:r>
      <w:r>
        <w:rPr>
          <w:sz w:val="20"/>
        </w:rPr>
        <w:t>únicamente</w:t>
      </w:r>
      <w:r>
        <w:rPr>
          <w:spacing w:val="-21"/>
          <w:sz w:val="20"/>
        </w:rPr>
        <w:t> </w:t>
      </w:r>
      <w:r>
        <w:rPr>
          <w:sz w:val="20"/>
        </w:rPr>
        <w:t>en</w:t>
      </w:r>
      <w:r>
        <w:rPr>
          <w:spacing w:val="-20"/>
          <w:sz w:val="20"/>
        </w:rPr>
        <w:t> </w:t>
      </w:r>
      <w:r>
        <w:rPr>
          <w:sz w:val="20"/>
        </w:rPr>
        <w:t>el</w:t>
      </w:r>
      <w:r>
        <w:rPr>
          <w:spacing w:val="-20"/>
          <w:sz w:val="20"/>
        </w:rPr>
        <w:t> </w:t>
      </w:r>
      <w:r>
        <w:rPr>
          <w:sz w:val="20"/>
        </w:rPr>
        <w:t>evento de violación de los derechos referidos a los sindicatos y a la educación, los pertinentes casos pueden ser justiciables ante la Corte. Respecto de la violación de los demás derechos, entre los que están los derechos al medio ambiente sano y a la alimentación adecuada, opera, por el contrario, sólo el sistema de informes establecido en el artículo 19 del Protocolo de San</w:t>
      </w:r>
      <w:r>
        <w:rPr>
          <w:spacing w:val="-3"/>
          <w:sz w:val="20"/>
        </w:rPr>
        <w:t> </w:t>
      </w:r>
      <w:r>
        <w:rPr>
          <w:sz w:val="20"/>
        </w:rPr>
        <w:t>Salvador.</w:t>
      </w:r>
    </w:p>
    <w:p>
      <w:pPr>
        <w:pStyle w:val="BodyText"/>
        <w:spacing w:before="9"/>
        <w:rPr>
          <w:sz w:val="26"/>
        </w:rPr>
      </w:pPr>
      <w:r>
        <w:rPr/>
        <w:pict>
          <v:line style="position:absolute;mso-position-horizontal-relative:page;mso-position-vertical-relative:paragraph;z-index:4408;mso-wrap-distance-left:0;mso-wrap-distance-right:0" from="56.700001pt,18.60099pt" to="200.720001pt,18.60099pt" stroked="true" strokeweight=".72pt" strokecolor="#000000">
            <v:stroke dashstyle="solid"/>
            <w10:wrap type="topAndBottom"/>
          </v:line>
        </w:pict>
      </w:r>
    </w:p>
    <w:p>
      <w:pPr>
        <w:spacing w:before="70"/>
        <w:ind w:left="681" w:right="0" w:firstLine="0"/>
        <w:jc w:val="both"/>
        <w:rPr>
          <w:sz w:val="16"/>
        </w:rPr>
      </w:pPr>
      <w:r>
        <w:rPr>
          <w:position w:val="6"/>
          <w:sz w:val="10"/>
        </w:rPr>
        <w:t>111  </w:t>
      </w:r>
      <w:hyperlink r:id="rId42">
        <w:r>
          <w:rPr>
            <w:sz w:val="16"/>
            <w:shd w:fill="F8F8F8" w:color="auto" w:val="clear"/>
          </w:rPr>
          <w:t>AG/RES. 2262 (XXXVII-O/07)</w:t>
        </w:r>
        <w:r>
          <w:rPr>
            <w:sz w:val="16"/>
          </w:rPr>
          <w:t>,</w:t>
        </w:r>
      </w:hyperlink>
      <w:r>
        <w:rPr>
          <w:sz w:val="16"/>
        </w:rPr>
        <w:t> del 05/06/2007.</w:t>
      </w:r>
    </w:p>
    <w:p>
      <w:pPr>
        <w:pStyle w:val="BodyText"/>
        <w:spacing w:before="11"/>
        <w:rPr>
          <w:sz w:val="15"/>
        </w:rPr>
      </w:pPr>
    </w:p>
    <w:p>
      <w:pPr>
        <w:spacing w:before="1"/>
        <w:ind w:left="681" w:right="120" w:firstLine="0"/>
        <w:jc w:val="both"/>
        <w:rPr>
          <w:i/>
          <w:sz w:val="16"/>
        </w:rPr>
      </w:pPr>
      <w:r>
        <w:rPr>
          <w:position w:val="6"/>
          <w:sz w:val="10"/>
        </w:rPr>
        <w:t>112 </w:t>
      </w:r>
      <w:r>
        <w:rPr>
          <w:sz w:val="16"/>
        </w:rPr>
        <w:t>Art.8: “</w:t>
      </w:r>
      <w:r>
        <w:rPr>
          <w:i/>
          <w:sz w:val="16"/>
        </w:rPr>
        <w:t>Derechos Sindicales. 1. Los Estados partes garantizarán: a) el derecho de los trabajadores a </w:t>
      </w:r>
      <w:r>
        <w:rPr>
          <w:i/>
          <w:sz w:val="16"/>
        </w:rPr>
        <w:t>organizar sindicatos y a afiliarse al de su elección, para la protección y promoción de sus intereses. Como proyección de este derecho, los Estados partes permitirán a los sindicatos formar federaciones y confederaciones nacionales y asociarse a las ya existentes, así como formar organizaciones sindicales internacionales y asociarse a la de su elección. Los Estados partes también permitirán que los sindicatos, federaciones y confederaciones funcionen libremente;”</w:t>
      </w:r>
    </w:p>
    <w:p>
      <w:pPr>
        <w:pStyle w:val="BodyText"/>
        <w:rPr>
          <w:i/>
          <w:sz w:val="16"/>
        </w:rPr>
      </w:pPr>
    </w:p>
    <w:p>
      <w:pPr>
        <w:spacing w:before="0"/>
        <w:ind w:left="681" w:right="0" w:firstLine="0"/>
        <w:jc w:val="both"/>
        <w:rPr>
          <w:i/>
          <w:sz w:val="16"/>
        </w:rPr>
      </w:pPr>
      <w:r>
        <w:rPr>
          <w:position w:val="6"/>
          <w:sz w:val="10"/>
        </w:rPr>
        <w:t>113 </w:t>
      </w:r>
      <w:r>
        <w:rPr>
          <w:sz w:val="16"/>
        </w:rPr>
        <w:t>Art.13: “</w:t>
      </w:r>
      <w:r>
        <w:rPr>
          <w:i/>
          <w:sz w:val="16"/>
        </w:rPr>
        <w:t>Derecho a la Educación.  1. Toda persona tiene derecho a la educación.</w:t>
      </w:r>
    </w:p>
    <w:p>
      <w:pPr>
        <w:pStyle w:val="ListParagraph"/>
        <w:numPr>
          <w:ilvl w:val="0"/>
          <w:numId w:val="64"/>
        </w:numPr>
        <w:tabs>
          <w:tab w:pos="894" w:val="left" w:leader="none"/>
        </w:tabs>
        <w:spacing w:line="240" w:lineRule="auto" w:before="0" w:after="0"/>
        <w:ind w:left="681" w:right="119" w:firstLine="0"/>
        <w:jc w:val="both"/>
        <w:rPr>
          <w:i/>
          <w:sz w:val="16"/>
        </w:rPr>
      </w:pPr>
      <w:r>
        <w:rPr>
          <w:i/>
          <w:sz w:val="16"/>
        </w:rPr>
        <w:t>Los</w:t>
      </w:r>
      <w:r>
        <w:rPr>
          <w:i/>
          <w:spacing w:val="-6"/>
          <w:sz w:val="16"/>
        </w:rPr>
        <w:t> </w:t>
      </w:r>
      <w:r>
        <w:rPr>
          <w:i/>
          <w:sz w:val="16"/>
        </w:rPr>
        <w:t>Estados</w:t>
      </w:r>
      <w:r>
        <w:rPr>
          <w:i/>
          <w:spacing w:val="-6"/>
          <w:sz w:val="16"/>
        </w:rPr>
        <w:t> </w:t>
      </w:r>
      <w:r>
        <w:rPr>
          <w:i/>
          <w:sz w:val="16"/>
        </w:rPr>
        <w:t>partes</w:t>
      </w:r>
      <w:r>
        <w:rPr>
          <w:i/>
          <w:spacing w:val="-7"/>
          <w:sz w:val="16"/>
        </w:rPr>
        <w:t> </w:t>
      </w:r>
      <w:r>
        <w:rPr>
          <w:i/>
          <w:sz w:val="16"/>
        </w:rPr>
        <w:t>en</w:t>
      </w:r>
      <w:r>
        <w:rPr>
          <w:i/>
          <w:spacing w:val="-6"/>
          <w:sz w:val="16"/>
        </w:rPr>
        <w:t> </w:t>
      </w:r>
      <w:r>
        <w:rPr>
          <w:i/>
          <w:sz w:val="16"/>
        </w:rPr>
        <w:t>el</w:t>
      </w:r>
      <w:r>
        <w:rPr>
          <w:i/>
          <w:spacing w:val="-6"/>
          <w:sz w:val="16"/>
        </w:rPr>
        <w:t> </w:t>
      </w:r>
      <w:r>
        <w:rPr>
          <w:i/>
          <w:sz w:val="16"/>
        </w:rPr>
        <w:t>presente</w:t>
      </w:r>
      <w:r>
        <w:rPr>
          <w:i/>
          <w:spacing w:val="-6"/>
          <w:sz w:val="16"/>
        </w:rPr>
        <w:t> </w:t>
      </w:r>
      <w:r>
        <w:rPr>
          <w:i/>
          <w:sz w:val="16"/>
        </w:rPr>
        <w:t>Protocolo</w:t>
      </w:r>
      <w:r>
        <w:rPr>
          <w:i/>
          <w:spacing w:val="-6"/>
          <w:sz w:val="16"/>
        </w:rPr>
        <w:t> </w:t>
      </w:r>
      <w:r>
        <w:rPr>
          <w:i/>
          <w:sz w:val="16"/>
        </w:rPr>
        <w:t>convienen</w:t>
      </w:r>
      <w:r>
        <w:rPr>
          <w:i/>
          <w:spacing w:val="-6"/>
          <w:sz w:val="16"/>
        </w:rPr>
        <w:t> </w:t>
      </w:r>
      <w:r>
        <w:rPr>
          <w:i/>
          <w:sz w:val="16"/>
        </w:rPr>
        <w:t>en</w:t>
      </w:r>
      <w:r>
        <w:rPr>
          <w:i/>
          <w:spacing w:val="-6"/>
          <w:sz w:val="16"/>
        </w:rPr>
        <w:t> </w:t>
      </w:r>
      <w:r>
        <w:rPr>
          <w:i/>
          <w:sz w:val="16"/>
        </w:rPr>
        <w:t>que</w:t>
      </w:r>
      <w:r>
        <w:rPr>
          <w:i/>
          <w:spacing w:val="-6"/>
          <w:sz w:val="16"/>
        </w:rPr>
        <w:t> </w:t>
      </w:r>
      <w:r>
        <w:rPr>
          <w:i/>
          <w:sz w:val="16"/>
        </w:rPr>
        <w:t>la</w:t>
      </w:r>
      <w:r>
        <w:rPr>
          <w:i/>
          <w:spacing w:val="-6"/>
          <w:sz w:val="16"/>
        </w:rPr>
        <w:t> </w:t>
      </w:r>
      <w:r>
        <w:rPr>
          <w:i/>
          <w:sz w:val="16"/>
        </w:rPr>
        <w:t>educación</w:t>
      </w:r>
      <w:r>
        <w:rPr>
          <w:i/>
          <w:spacing w:val="-6"/>
          <w:sz w:val="16"/>
        </w:rPr>
        <w:t> </w:t>
      </w:r>
      <w:r>
        <w:rPr>
          <w:i/>
          <w:sz w:val="16"/>
        </w:rPr>
        <w:t>deberá</w:t>
      </w:r>
      <w:r>
        <w:rPr>
          <w:i/>
          <w:spacing w:val="-6"/>
          <w:sz w:val="16"/>
        </w:rPr>
        <w:t> </w:t>
      </w:r>
      <w:r>
        <w:rPr>
          <w:i/>
          <w:sz w:val="16"/>
        </w:rPr>
        <w:t>orientarse</w:t>
      </w:r>
      <w:r>
        <w:rPr>
          <w:i/>
          <w:spacing w:val="-6"/>
          <w:sz w:val="16"/>
        </w:rPr>
        <w:t> </w:t>
      </w:r>
      <w:r>
        <w:rPr>
          <w:i/>
          <w:sz w:val="16"/>
        </w:rPr>
        <w:t>hacia</w:t>
      </w:r>
      <w:r>
        <w:rPr>
          <w:i/>
          <w:spacing w:val="-6"/>
          <w:sz w:val="16"/>
        </w:rPr>
        <w:t> </w:t>
      </w:r>
      <w:r>
        <w:rPr>
          <w:i/>
          <w:sz w:val="16"/>
        </w:rPr>
        <w:t>el</w:t>
      </w:r>
      <w:r>
        <w:rPr>
          <w:i/>
          <w:spacing w:val="-6"/>
          <w:sz w:val="16"/>
        </w:rPr>
        <w:t> </w:t>
      </w:r>
      <w:r>
        <w:rPr>
          <w:i/>
          <w:sz w:val="16"/>
        </w:rPr>
        <w:t>pleno </w:t>
      </w:r>
      <w:r>
        <w:rPr>
          <w:i/>
          <w:sz w:val="16"/>
        </w:rPr>
        <w:t>desarrollo de la personalidad humana y del sentido de su dignidad y deberá fortalecer el respeto por los derechos humanos, el pluralismo ideológico, las libertades fundamentales, la justicia y la paz. Convienen, asimismo, en que la educación debe capacitar a todas las personas para participar efectivamente en una sociedad democrática y pluralista, lograr una subsistencia digna, favorecer la comprensión, la tolerancia y la amistad entre todas las naciones y todos los grupos raciales, étnicos o religiosos y promover las actividades en favor del mantenimiento de la</w:t>
      </w:r>
      <w:r>
        <w:rPr>
          <w:i/>
          <w:spacing w:val="-11"/>
          <w:sz w:val="16"/>
        </w:rPr>
        <w:t> </w:t>
      </w:r>
      <w:r>
        <w:rPr>
          <w:i/>
          <w:sz w:val="16"/>
        </w:rPr>
        <w:t>paz.</w:t>
      </w:r>
    </w:p>
    <w:p>
      <w:pPr>
        <w:pStyle w:val="ListParagraph"/>
        <w:numPr>
          <w:ilvl w:val="0"/>
          <w:numId w:val="64"/>
        </w:numPr>
        <w:tabs>
          <w:tab w:pos="923" w:val="left" w:leader="none"/>
        </w:tabs>
        <w:spacing w:line="240" w:lineRule="auto" w:before="0" w:after="0"/>
        <w:ind w:left="681" w:right="125" w:firstLine="0"/>
        <w:jc w:val="both"/>
        <w:rPr>
          <w:i/>
          <w:sz w:val="16"/>
        </w:rPr>
      </w:pPr>
      <w:r>
        <w:rPr>
          <w:i/>
          <w:sz w:val="16"/>
        </w:rPr>
        <w:t>Los Estados partes en el presente Protocolo reconocen que, con objeto de lograr el pleno ejercicio del </w:t>
      </w:r>
      <w:r>
        <w:rPr>
          <w:i/>
          <w:sz w:val="16"/>
        </w:rPr>
        <w:t>derecho a la</w:t>
      </w:r>
      <w:r>
        <w:rPr>
          <w:i/>
          <w:spacing w:val="-6"/>
          <w:sz w:val="16"/>
        </w:rPr>
        <w:t> </w:t>
      </w:r>
      <w:r>
        <w:rPr>
          <w:i/>
          <w:sz w:val="16"/>
        </w:rPr>
        <w:t>educación:</w:t>
      </w:r>
    </w:p>
    <w:p>
      <w:pPr>
        <w:pStyle w:val="ListParagraph"/>
        <w:numPr>
          <w:ilvl w:val="1"/>
          <w:numId w:val="64"/>
        </w:numPr>
        <w:tabs>
          <w:tab w:pos="892" w:val="left" w:leader="none"/>
        </w:tabs>
        <w:spacing w:line="240" w:lineRule="auto" w:before="1" w:after="0"/>
        <w:ind w:left="681" w:right="0" w:firstLine="0"/>
        <w:jc w:val="both"/>
        <w:rPr>
          <w:i/>
          <w:sz w:val="16"/>
        </w:rPr>
      </w:pPr>
      <w:r>
        <w:rPr>
          <w:i/>
          <w:sz w:val="16"/>
        </w:rPr>
        <w:t>la enseñanza primaria debe ser obligatoria y asequible a todos</w:t>
      </w:r>
      <w:r>
        <w:rPr>
          <w:i/>
          <w:spacing w:val="-19"/>
          <w:sz w:val="16"/>
        </w:rPr>
        <w:t> </w:t>
      </w:r>
      <w:r>
        <w:rPr>
          <w:i/>
          <w:sz w:val="16"/>
        </w:rPr>
        <w:t>gratuitamente;</w:t>
      </w:r>
    </w:p>
    <w:p>
      <w:pPr>
        <w:pStyle w:val="ListParagraph"/>
        <w:numPr>
          <w:ilvl w:val="1"/>
          <w:numId w:val="64"/>
        </w:numPr>
        <w:tabs>
          <w:tab w:pos="905" w:val="left" w:leader="none"/>
        </w:tabs>
        <w:spacing w:line="240" w:lineRule="auto" w:before="0" w:after="0"/>
        <w:ind w:left="681" w:right="120" w:firstLine="0"/>
        <w:jc w:val="both"/>
        <w:rPr>
          <w:i/>
          <w:sz w:val="16"/>
        </w:rPr>
      </w:pPr>
      <w:r>
        <w:rPr>
          <w:i/>
          <w:sz w:val="16"/>
        </w:rPr>
        <w:t>la enseñanza secundaria en sus diferentes formas, incluso la enseñanza secundaria técnica y profesional, </w:t>
      </w:r>
      <w:r>
        <w:rPr>
          <w:i/>
          <w:sz w:val="16"/>
        </w:rPr>
        <w:t>debe</w:t>
      </w:r>
      <w:r>
        <w:rPr>
          <w:i/>
          <w:spacing w:val="-5"/>
          <w:sz w:val="16"/>
        </w:rPr>
        <w:t> </w:t>
      </w:r>
      <w:r>
        <w:rPr>
          <w:i/>
          <w:sz w:val="16"/>
        </w:rPr>
        <w:t>ser</w:t>
      </w:r>
      <w:r>
        <w:rPr>
          <w:i/>
          <w:spacing w:val="-6"/>
          <w:sz w:val="16"/>
        </w:rPr>
        <w:t> </w:t>
      </w:r>
      <w:r>
        <w:rPr>
          <w:i/>
          <w:sz w:val="16"/>
        </w:rPr>
        <w:t>generalizada</w:t>
      </w:r>
      <w:r>
        <w:rPr>
          <w:i/>
          <w:spacing w:val="-5"/>
          <w:sz w:val="16"/>
        </w:rPr>
        <w:t> </w:t>
      </w:r>
      <w:r>
        <w:rPr>
          <w:i/>
          <w:sz w:val="16"/>
        </w:rPr>
        <w:t>y</w:t>
      </w:r>
      <w:r>
        <w:rPr>
          <w:i/>
          <w:spacing w:val="-5"/>
          <w:sz w:val="16"/>
        </w:rPr>
        <w:t> </w:t>
      </w:r>
      <w:r>
        <w:rPr>
          <w:i/>
          <w:sz w:val="16"/>
        </w:rPr>
        <w:t>hacerse</w:t>
      </w:r>
      <w:r>
        <w:rPr>
          <w:i/>
          <w:spacing w:val="-6"/>
          <w:sz w:val="16"/>
        </w:rPr>
        <w:t> </w:t>
      </w:r>
      <w:r>
        <w:rPr>
          <w:i/>
          <w:sz w:val="16"/>
        </w:rPr>
        <w:t>accesible</w:t>
      </w:r>
      <w:r>
        <w:rPr>
          <w:i/>
          <w:spacing w:val="-6"/>
          <w:sz w:val="16"/>
        </w:rPr>
        <w:t> </w:t>
      </w:r>
      <w:r>
        <w:rPr>
          <w:i/>
          <w:sz w:val="16"/>
        </w:rPr>
        <w:t>a</w:t>
      </w:r>
      <w:r>
        <w:rPr>
          <w:i/>
          <w:spacing w:val="-5"/>
          <w:sz w:val="16"/>
        </w:rPr>
        <w:t> </w:t>
      </w:r>
      <w:r>
        <w:rPr>
          <w:i/>
          <w:sz w:val="16"/>
        </w:rPr>
        <w:t>todos,</w:t>
      </w:r>
      <w:r>
        <w:rPr>
          <w:i/>
          <w:spacing w:val="-6"/>
          <w:sz w:val="16"/>
        </w:rPr>
        <w:t> </w:t>
      </w:r>
      <w:r>
        <w:rPr>
          <w:i/>
          <w:sz w:val="16"/>
        </w:rPr>
        <w:t>por</w:t>
      </w:r>
      <w:r>
        <w:rPr>
          <w:i/>
          <w:spacing w:val="-4"/>
          <w:sz w:val="16"/>
        </w:rPr>
        <w:t> </w:t>
      </w:r>
      <w:r>
        <w:rPr>
          <w:i/>
          <w:sz w:val="16"/>
        </w:rPr>
        <w:t>cuantos</w:t>
      </w:r>
      <w:r>
        <w:rPr>
          <w:i/>
          <w:spacing w:val="-5"/>
          <w:sz w:val="16"/>
        </w:rPr>
        <w:t> </w:t>
      </w:r>
      <w:r>
        <w:rPr>
          <w:i/>
          <w:sz w:val="16"/>
        </w:rPr>
        <w:t>medios</w:t>
      </w:r>
      <w:r>
        <w:rPr>
          <w:i/>
          <w:spacing w:val="-5"/>
          <w:sz w:val="16"/>
        </w:rPr>
        <w:t> </w:t>
      </w:r>
      <w:r>
        <w:rPr>
          <w:i/>
          <w:sz w:val="16"/>
        </w:rPr>
        <w:t>sean</w:t>
      </w:r>
      <w:r>
        <w:rPr>
          <w:i/>
          <w:spacing w:val="-6"/>
          <w:sz w:val="16"/>
        </w:rPr>
        <w:t> </w:t>
      </w:r>
      <w:r>
        <w:rPr>
          <w:i/>
          <w:sz w:val="16"/>
        </w:rPr>
        <w:t>apropiados,</w:t>
      </w:r>
      <w:r>
        <w:rPr>
          <w:i/>
          <w:spacing w:val="-4"/>
          <w:sz w:val="16"/>
        </w:rPr>
        <w:t> </w:t>
      </w:r>
      <w:r>
        <w:rPr>
          <w:i/>
          <w:sz w:val="16"/>
        </w:rPr>
        <w:t>y</w:t>
      </w:r>
      <w:r>
        <w:rPr>
          <w:i/>
          <w:spacing w:val="-5"/>
          <w:sz w:val="16"/>
        </w:rPr>
        <w:t> </w:t>
      </w:r>
      <w:r>
        <w:rPr>
          <w:i/>
          <w:sz w:val="16"/>
        </w:rPr>
        <w:t>en</w:t>
      </w:r>
      <w:r>
        <w:rPr>
          <w:i/>
          <w:spacing w:val="-6"/>
          <w:sz w:val="16"/>
        </w:rPr>
        <w:t> </w:t>
      </w:r>
      <w:r>
        <w:rPr>
          <w:i/>
          <w:sz w:val="16"/>
        </w:rPr>
        <w:t>particular</w:t>
      </w:r>
      <w:r>
        <w:rPr>
          <w:i/>
          <w:spacing w:val="-4"/>
          <w:sz w:val="16"/>
        </w:rPr>
        <w:t> </w:t>
      </w:r>
      <w:r>
        <w:rPr>
          <w:i/>
          <w:sz w:val="16"/>
        </w:rPr>
        <w:t>por</w:t>
      </w:r>
      <w:r>
        <w:rPr>
          <w:i/>
          <w:spacing w:val="-6"/>
          <w:sz w:val="16"/>
        </w:rPr>
        <w:t> </w:t>
      </w:r>
      <w:r>
        <w:rPr>
          <w:i/>
          <w:sz w:val="16"/>
        </w:rPr>
        <w:t>la implantación progresiva de la enseñanza</w:t>
      </w:r>
      <w:r>
        <w:rPr>
          <w:i/>
          <w:spacing w:val="-15"/>
          <w:sz w:val="16"/>
        </w:rPr>
        <w:t> </w:t>
      </w:r>
      <w:r>
        <w:rPr>
          <w:i/>
          <w:sz w:val="16"/>
        </w:rPr>
        <w:t>gratuita;</w:t>
      </w:r>
    </w:p>
    <w:p>
      <w:pPr>
        <w:pStyle w:val="ListParagraph"/>
        <w:numPr>
          <w:ilvl w:val="1"/>
          <w:numId w:val="64"/>
        </w:numPr>
        <w:tabs>
          <w:tab w:pos="891" w:val="left" w:leader="none"/>
        </w:tabs>
        <w:spacing w:line="240" w:lineRule="auto" w:before="0" w:after="0"/>
        <w:ind w:left="681" w:right="122" w:firstLine="0"/>
        <w:jc w:val="both"/>
        <w:rPr>
          <w:i/>
          <w:sz w:val="16"/>
        </w:rPr>
      </w:pPr>
      <w:r>
        <w:rPr>
          <w:i/>
          <w:sz w:val="16"/>
        </w:rPr>
        <w:t>la enseñanza superior debe hacerse igualmente accesible a todos, sobre la base de la capacidad de cada </w:t>
      </w:r>
      <w:r>
        <w:rPr>
          <w:i/>
          <w:sz w:val="16"/>
        </w:rPr>
        <w:t>uno, por cuantos medios sean apropiados y en particular, por la implantación progresiva de la enseñanza gratuita;</w:t>
      </w:r>
    </w:p>
    <w:p>
      <w:pPr>
        <w:pStyle w:val="ListParagraph"/>
        <w:numPr>
          <w:ilvl w:val="1"/>
          <w:numId w:val="64"/>
        </w:numPr>
        <w:tabs>
          <w:tab w:pos="904" w:val="left" w:leader="none"/>
        </w:tabs>
        <w:spacing w:line="240" w:lineRule="auto" w:before="0" w:after="0"/>
        <w:ind w:left="681" w:right="121" w:firstLine="0"/>
        <w:jc w:val="both"/>
        <w:rPr>
          <w:i/>
          <w:sz w:val="16"/>
        </w:rPr>
      </w:pPr>
      <w:r>
        <w:rPr>
          <w:i/>
          <w:sz w:val="16"/>
        </w:rPr>
        <w:t>se deberá fomentar o intensificar, en la medida de lo posible, la educación básica para aquellas personas </w:t>
      </w:r>
      <w:r>
        <w:rPr>
          <w:i/>
          <w:sz w:val="16"/>
        </w:rPr>
        <w:t>que no hayan recibido o terminado el ciclo completo de instrucción</w:t>
      </w:r>
      <w:r>
        <w:rPr>
          <w:i/>
          <w:spacing w:val="-18"/>
          <w:sz w:val="16"/>
        </w:rPr>
        <w:t> </w:t>
      </w:r>
      <w:r>
        <w:rPr>
          <w:i/>
          <w:sz w:val="16"/>
        </w:rPr>
        <w:t>primaria;</w:t>
      </w:r>
    </w:p>
    <w:p>
      <w:pPr>
        <w:pStyle w:val="ListParagraph"/>
        <w:numPr>
          <w:ilvl w:val="1"/>
          <w:numId w:val="64"/>
        </w:numPr>
        <w:tabs>
          <w:tab w:pos="905" w:val="left" w:leader="none"/>
        </w:tabs>
        <w:spacing w:line="240" w:lineRule="auto" w:before="0" w:after="0"/>
        <w:ind w:left="681" w:right="125" w:firstLine="0"/>
        <w:jc w:val="both"/>
        <w:rPr>
          <w:i/>
          <w:sz w:val="16"/>
        </w:rPr>
      </w:pPr>
      <w:r>
        <w:rPr>
          <w:i/>
          <w:sz w:val="16"/>
        </w:rPr>
        <w:t>se deberán establecer programas de enseñanza diferenciada para los minusválidos a fin de proporcionar </w:t>
      </w:r>
      <w:r>
        <w:rPr>
          <w:i/>
          <w:sz w:val="16"/>
        </w:rPr>
        <w:t>una especial instrucción y formación a personas con impedimentos físicos o deficiencias</w:t>
      </w:r>
      <w:r>
        <w:rPr>
          <w:i/>
          <w:spacing w:val="-31"/>
          <w:sz w:val="16"/>
        </w:rPr>
        <w:t> </w:t>
      </w:r>
      <w:r>
        <w:rPr>
          <w:i/>
          <w:sz w:val="16"/>
        </w:rPr>
        <w:t>mentales.</w:t>
      </w:r>
    </w:p>
    <w:p>
      <w:pPr>
        <w:pStyle w:val="ListParagraph"/>
        <w:numPr>
          <w:ilvl w:val="0"/>
          <w:numId w:val="64"/>
        </w:numPr>
        <w:tabs>
          <w:tab w:pos="901" w:val="left" w:leader="none"/>
        </w:tabs>
        <w:spacing w:line="240" w:lineRule="auto" w:before="0" w:after="0"/>
        <w:ind w:left="681" w:right="119" w:firstLine="0"/>
        <w:jc w:val="both"/>
        <w:rPr>
          <w:i/>
          <w:sz w:val="16"/>
        </w:rPr>
      </w:pPr>
      <w:r>
        <w:rPr>
          <w:i/>
          <w:sz w:val="16"/>
        </w:rPr>
        <w:t>Conforme con la legislación interna de los Estados partes, los padres tendrán derecho a escoger el tipo de </w:t>
      </w:r>
      <w:r>
        <w:rPr>
          <w:i/>
          <w:sz w:val="16"/>
        </w:rPr>
        <w:t>educación que habrá de darse a sus hijos, siempre que ella </w:t>
      </w:r>
      <w:r>
        <w:rPr>
          <w:i/>
          <w:spacing w:val="2"/>
          <w:sz w:val="16"/>
        </w:rPr>
        <w:t>se </w:t>
      </w:r>
      <w:r>
        <w:rPr>
          <w:i/>
          <w:sz w:val="16"/>
        </w:rPr>
        <w:t>adecue a los principios enunciados precedentemente.</w:t>
      </w:r>
    </w:p>
    <w:p>
      <w:pPr>
        <w:pStyle w:val="ListParagraph"/>
        <w:numPr>
          <w:ilvl w:val="0"/>
          <w:numId w:val="64"/>
        </w:numPr>
        <w:tabs>
          <w:tab w:pos="891" w:val="left" w:leader="none"/>
        </w:tabs>
        <w:spacing w:line="240" w:lineRule="auto" w:before="0" w:after="0"/>
        <w:ind w:left="681" w:right="119" w:firstLine="0"/>
        <w:jc w:val="both"/>
        <w:rPr>
          <w:sz w:val="16"/>
        </w:rPr>
      </w:pPr>
      <w:r>
        <w:rPr>
          <w:i/>
          <w:sz w:val="16"/>
        </w:rPr>
        <w:t>Nada</w:t>
      </w:r>
      <w:r>
        <w:rPr>
          <w:i/>
          <w:spacing w:val="-9"/>
          <w:sz w:val="16"/>
        </w:rPr>
        <w:t> </w:t>
      </w:r>
      <w:r>
        <w:rPr>
          <w:i/>
          <w:sz w:val="16"/>
        </w:rPr>
        <w:t>de</w:t>
      </w:r>
      <w:r>
        <w:rPr>
          <w:i/>
          <w:spacing w:val="-10"/>
          <w:sz w:val="16"/>
        </w:rPr>
        <w:t> </w:t>
      </w:r>
      <w:r>
        <w:rPr>
          <w:i/>
          <w:sz w:val="16"/>
        </w:rPr>
        <w:t>lo</w:t>
      </w:r>
      <w:r>
        <w:rPr>
          <w:i/>
          <w:spacing w:val="-9"/>
          <w:sz w:val="16"/>
        </w:rPr>
        <w:t> </w:t>
      </w:r>
      <w:r>
        <w:rPr>
          <w:i/>
          <w:sz w:val="16"/>
        </w:rPr>
        <w:t>dispuesto</w:t>
      </w:r>
      <w:r>
        <w:rPr>
          <w:i/>
          <w:spacing w:val="-9"/>
          <w:sz w:val="16"/>
        </w:rPr>
        <w:t> </w:t>
      </w:r>
      <w:r>
        <w:rPr>
          <w:i/>
          <w:sz w:val="16"/>
        </w:rPr>
        <w:t>en</w:t>
      </w:r>
      <w:r>
        <w:rPr>
          <w:i/>
          <w:spacing w:val="-10"/>
          <w:sz w:val="16"/>
        </w:rPr>
        <w:t> </w:t>
      </w:r>
      <w:r>
        <w:rPr>
          <w:i/>
          <w:sz w:val="16"/>
        </w:rPr>
        <w:t>este</w:t>
      </w:r>
      <w:r>
        <w:rPr>
          <w:i/>
          <w:spacing w:val="-9"/>
          <w:sz w:val="16"/>
        </w:rPr>
        <w:t> </w:t>
      </w:r>
      <w:r>
        <w:rPr>
          <w:i/>
          <w:sz w:val="16"/>
        </w:rPr>
        <w:t>Protocolo</w:t>
      </w:r>
      <w:r>
        <w:rPr>
          <w:i/>
          <w:spacing w:val="-9"/>
          <w:sz w:val="16"/>
        </w:rPr>
        <w:t> </w:t>
      </w:r>
      <w:r>
        <w:rPr>
          <w:i/>
          <w:sz w:val="16"/>
        </w:rPr>
        <w:t>se</w:t>
      </w:r>
      <w:r>
        <w:rPr>
          <w:i/>
          <w:spacing w:val="-10"/>
          <w:sz w:val="16"/>
        </w:rPr>
        <w:t> </w:t>
      </w:r>
      <w:r>
        <w:rPr>
          <w:i/>
          <w:sz w:val="16"/>
        </w:rPr>
        <w:t>interpretará</w:t>
      </w:r>
      <w:r>
        <w:rPr>
          <w:i/>
          <w:spacing w:val="-9"/>
          <w:sz w:val="16"/>
        </w:rPr>
        <w:t> </w:t>
      </w:r>
      <w:r>
        <w:rPr>
          <w:i/>
          <w:sz w:val="16"/>
        </w:rPr>
        <w:t>como</w:t>
      </w:r>
      <w:r>
        <w:rPr>
          <w:i/>
          <w:spacing w:val="-9"/>
          <w:sz w:val="16"/>
        </w:rPr>
        <w:t> </w:t>
      </w:r>
      <w:r>
        <w:rPr>
          <w:i/>
          <w:sz w:val="16"/>
        </w:rPr>
        <w:t>una</w:t>
      </w:r>
      <w:r>
        <w:rPr>
          <w:i/>
          <w:spacing w:val="-10"/>
          <w:sz w:val="16"/>
        </w:rPr>
        <w:t> </w:t>
      </w:r>
      <w:r>
        <w:rPr>
          <w:i/>
          <w:sz w:val="16"/>
        </w:rPr>
        <w:t>restricción</w:t>
      </w:r>
      <w:r>
        <w:rPr>
          <w:i/>
          <w:spacing w:val="-10"/>
          <w:sz w:val="16"/>
        </w:rPr>
        <w:t> </w:t>
      </w:r>
      <w:r>
        <w:rPr>
          <w:i/>
          <w:sz w:val="16"/>
        </w:rPr>
        <w:t>de</w:t>
      </w:r>
      <w:r>
        <w:rPr>
          <w:i/>
          <w:spacing w:val="-10"/>
          <w:sz w:val="16"/>
        </w:rPr>
        <w:t> </w:t>
      </w:r>
      <w:r>
        <w:rPr>
          <w:i/>
          <w:sz w:val="16"/>
        </w:rPr>
        <w:t>la</w:t>
      </w:r>
      <w:r>
        <w:rPr>
          <w:i/>
          <w:spacing w:val="-9"/>
          <w:sz w:val="16"/>
        </w:rPr>
        <w:t> </w:t>
      </w:r>
      <w:r>
        <w:rPr>
          <w:i/>
          <w:sz w:val="16"/>
        </w:rPr>
        <w:t>libertad</w:t>
      </w:r>
      <w:r>
        <w:rPr>
          <w:i/>
          <w:spacing w:val="-10"/>
          <w:sz w:val="16"/>
        </w:rPr>
        <w:t> </w:t>
      </w:r>
      <w:r>
        <w:rPr>
          <w:i/>
          <w:sz w:val="16"/>
        </w:rPr>
        <w:t>de</w:t>
      </w:r>
      <w:r>
        <w:rPr>
          <w:i/>
          <w:spacing w:val="-10"/>
          <w:sz w:val="16"/>
        </w:rPr>
        <w:t> </w:t>
      </w:r>
      <w:r>
        <w:rPr>
          <w:i/>
          <w:sz w:val="16"/>
        </w:rPr>
        <w:t>los</w:t>
      </w:r>
      <w:r>
        <w:rPr>
          <w:i/>
          <w:spacing w:val="-10"/>
          <w:sz w:val="16"/>
        </w:rPr>
        <w:t> </w:t>
      </w:r>
      <w:r>
        <w:rPr>
          <w:i/>
          <w:sz w:val="16"/>
        </w:rPr>
        <w:t>particulares </w:t>
      </w:r>
      <w:r>
        <w:rPr>
          <w:i/>
          <w:sz w:val="16"/>
        </w:rPr>
        <w:t>y entidades para establecer y dirigir instituciones de enseñanza, de acuerdo con la legislación interna de los Estados</w:t>
      </w:r>
      <w:r>
        <w:rPr>
          <w:i/>
          <w:spacing w:val="-7"/>
          <w:sz w:val="16"/>
        </w:rPr>
        <w:t> </w:t>
      </w:r>
      <w:r>
        <w:rPr>
          <w:i/>
          <w:sz w:val="16"/>
        </w:rPr>
        <w:t>partes</w:t>
      </w:r>
      <w:r>
        <w:rPr>
          <w:sz w:val="16"/>
        </w:rPr>
        <w:t>.”</w:t>
      </w:r>
    </w:p>
    <w:p>
      <w:pPr>
        <w:spacing w:after="0" w:line="240" w:lineRule="auto"/>
        <w:jc w:val="both"/>
        <w:rPr>
          <w:sz w:val="16"/>
        </w:rPr>
        <w:sectPr>
          <w:pgSz w:w="12240" w:h="15840"/>
          <w:pgMar w:header="0" w:footer="1000" w:top="1220" w:bottom="1200" w:left="1020" w:right="1580"/>
        </w:sectPr>
      </w:pPr>
    </w:p>
    <w:p>
      <w:pPr>
        <w:pStyle w:val="BodyText"/>
        <w:spacing w:before="87"/>
        <w:ind w:left="681" w:right="116"/>
        <w:jc w:val="both"/>
      </w:pPr>
      <w:r>
        <w:rPr/>
        <w:t>81. Es, en consecuencia, un error lo expresado en otro fallo</w:t>
      </w:r>
      <w:r>
        <w:rPr>
          <w:position w:val="7"/>
          <w:sz w:val="13"/>
        </w:rPr>
        <w:t>114 </w:t>
      </w:r>
      <w:r>
        <w:rPr/>
        <w:t>y que la Sentencia cita</w:t>
      </w:r>
      <w:r>
        <w:rPr>
          <w:position w:val="7"/>
          <w:sz w:val="13"/>
        </w:rPr>
        <w:t>115</w:t>
      </w:r>
      <w:r>
        <w:rPr/>
        <w:t>, en orden a “que no existen elementos para considerar que, con la adopción del Protocolo</w:t>
      </w:r>
      <w:r>
        <w:rPr>
          <w:spacing w:val="-15"/>
        </w:rPr>
        <w:t> </w:t>
      </w:r>
      <w:r>
        <w:rPr/>
        <w:t>de</w:t>
      </w:r>
      <w:r>
        <w:rPr>
          <w:spacing w:val="-13"/>
        </w:rPr>
        <w:t> </w:t>
      </w:r>
      <w:r>
        <w:rPr/>
        <w:t>San</w:t>
      </w:r>
      <w:r>
        <w:rPr>
          <w:spacing w:val="-15"/>
        </w:rPr>
        <w:t> </w:t>
      </w:r>
      <w:r>
        <w:rPr/>
        <w:t>Salvador,</w:t>
      </w:r>
      <w:r>
        <w:rPr>
          <w:spacing w:val="-14"/>
        </w:rPr>
        <w:t> </w:t>
      </w:r>
      <w:r>
        <w:rPr/>
        <w:t>los</w:t>
      </w:r>
      <w:r>
        <w:rPr>
          <w:spacing w:val="-16"/>
        </w:rPr>
        <w:t> </w:t>
      </w:r>
      <w:r>
        <w:rPr/>
        <w:t>Estados</w:t>
      </w:r>
      <w:r>
        <w:rPr>
          <w:spacing w:val="-14"/>
        </w:rPr>
        <w:t> </w:t>
      </w:r>
      <w:r>
        <w:rPr/>
        <w:t>buscaron</w:t>
      </w:r>
      <w:r>
        <w:rPr>
          <w:spacing w:val="-14"/>
        </w:rPr>
        <w:t> </w:t>
      </w:r>
      <w:r>
        <w:rPr/>
        <w:t>limitar</w:t>
      </w:r>
      <w:r>
        <w:rPr>
          <w:spacing w:val="-14"/>
        </w:rPr>
        <w:t> </w:t>
      </w:r>
      <w:r>
        <w:rPr/>
        <w:t>la</w:t>
      </w:r>
      <w:r>
        <w:rPr>
          <w:spacing w:val="-16"/>
        </w:rPr>
        <w:t> </w:t>
      </w:r>
      <w:r>
        <w:rPr/>
        <w:t>competencia</w:t>
      </w:r>
      <w:r>
        <w:rPr>
          <w:spacing w:val="-15"/>
        </w:rPr>
        <w:t> </w:t>
      </w:r>
      <w:r>
        <w:rPr/>
        <w:t>del</w:t>
      </w:r>
      <w:r>
        <w:rPr>
          <w:spacing w:val="-15"/>
        </w:rPr>
        <w:t> </w:t>
      </w:r>
      <w:r>
        <w:rPr/>
        <w:t>Tribunal</w:t>
      </w:r>
      <w:r>
        <w:rPr>
          <w:spacing w:val="-14"/>
        </w:rPr>
        <w:t> </w:t>
      </w:r>
      <w:r>
        <w:rPr/>
        <w:t>para conocer sobre violaciones al artículo 26 de la Convención Americana”. Y no existirían tales elementos, según el fallo en cuestión, dado que “si la Convención Americana no está siendo modificada expresamente con un acto posterior de los Estados, la interpretación</w:t>
      </w:r>
      <w:r>
        <w:rPr>
          <w:spacing w:val="-7"/>
        </w:rPr>
        <w:t> </w:t>
      </w:r>
      <w:r>
        <w:rPr/>
        <w:t>que</w:t>
      </w:r>
      <w:r>
        <w:rPr>
          <w:spacing w:val="-7"/>
        </w:rPr>
        <w:t> </w:t>
      </w:r>
      <w:r>
        <w:rPr/>
        <w:t>corresponde</w:t>
      </w:r>
      <w:r>
        <w:rPr>
          <w:spacing w:val="-7"/>
        </w:rPr>
        <w:t> </w:t>
      </w:r>
      <w:r>
        <w:rPr/>
        <w:t>debe</w:t>
      </w:r>
      <w:r>
        <w:rPr>
          <w:spacing w:val="-7"/>
        </w:rPr>
        <w:t> </w:t>
      </w:r>
      <w:r>
        <w:rPr/>
        <w:t>ser</w:t>
      </w:r>
      <w:r>
        <w:rPr>
          <w:spacing w:val="-8"/>
        </w:rPr>
        <w:t> </w:t>
      </w:r>
      <w:r>
        <w:rPr/>
        <w:t>la</w:t>
      </w:r>
      <w:r>
        <w:rPr>
          <w:spacing w:val="-7"/>
        </w:rPr>
        <w:t> </w:t>
      </w:r>
      <w:r>
        <w:rPr/>
        <w:t>menos</w:t>
      </w:r>
      <w:r>
        <w:rPr>
          <w:spacing w:val="-8"/>
        </w:rPr>
        <w:t> </w:t>
      </w:r>
      <w:r>
        <w:rPr/>
        <w:t>restrictiva</w:t>
      </w:r>
      <w:r>
        <w:rPr>
          <w:spacing w:val="-8"/>
        </w:rPr>
        <w:t> </w:t>
      </w:r>
      <w:r>
        <w:rPr/>
        <w:t>respecto</w:t>
      </w:r>
      <w:r>
        <w:rPr>
          <w:spacing w:val="-7"/>
        </w:rPr>
        <w:t> </w:t>
      </w:r>
      <w:r>
        <w:rPr/>
        <w:t>a</w:t>
      </w:r>
      <w:r>
        <w:rPr>
          <w:spacing w:val="-8"/>
        </w:rPr>
        <w:t> </w:t>
      </w:r>
      <w:r>
        <w:rPr/>
        <w:t>sus</w:t>
      </w:r>
      <w:r>
        <w:rPr>
          <w:spacing w:val="-8"/>
        </w:rPr>
        <w:t> </w:t>
      </w:r>
      <w:r>
        <w:rPr/>
        <w:t>alcances</w:t>
      </w:r>
      <w:r>
        <w:rPr>
          <w:spacing w:val="-8"/>
        </w:rPr>
        <w:t> </w:t>
      </w:r>
      <w:r>
        <w:rPr/>
        <w:t>en materia</w:t>
      </w:r>
      <w:r>
        <w:rPr>
          <w:spacing w:val="-16"/>
        </w:rPr>
        <w:t> </w:t>
      </w:r>
      <w:r>
        <w:rPr/>
        <w:t>de</w:t>
      </w:r>
      <w:r>
        <w:rPr>
          <w:spacing w:val="-16"/>
        </w:rPr>
        <w:t> </w:t>
      </w:r>
      <w:r>
        <w:rPr/>
        <w:t>protección</w:t>
      </w:r>
      <w:r>
        <w:rPr>
          <w:spacing w:val="-15"/>
        </w:rPr>
        <w:t> </w:t>
      </w:r>
      <w:r>
        <w:rPr/>
        <w:t>de</w:t>
      </w:r>
      <w:r>
        <w:rPr>
          <w:spacing w:val="-15"/>
        </w:rPr>
        <w:t> </w:t>
      </w:r>
      <w:r>
        <w:rPr/>
        <w:t>los</w:t>
      </w:r>
      <w:r>
        <w:rPr>
          <w:spacing w:val="-16"/>
        </w:rPr>
        <w:t> </w:t>
      </w:r>
      <w:r>
        <w:rPr/>
        <w:t>derechos</w:t>
      </w:r>
      <w:r>
        <w:rPr>
          <w:spacing w:val="-16"/>
        </w:rPr>
        <w:t> </w:t>
      </w:r>
      <w:r>
        <w:rPr/>
        <w:t>humanos”,</w:t>
      </w:r>
      <w:r>
        <w:rPr>
          <w:spacing w:val="-15"/>
        </w:rPr>
        <w:t> </w:t>
      </w:r>
      <w:r>
        <w:rPr/>
        <w:t>agregando</w:t>
      </w:r>
      <w:r>
        <w:rPr>
          <w:spacing w:val="-16"/>
        </w:rPr>
        <w:t> </w:t>
      </w:r>
      <w:r>
        <w:rPr/>
        <w:t>que</w:t>
      </w:r>
      <w:r>
        <w:rPr>
          <w:spacing w:val="-16"/>
        </w:rPr>
        <w:t> </w:t>
      </w:r>
      <w:r>
        <w:rPr/>
        <w:t>“recuerda</w:t>
      </w:r>
      <w:r>
        <w:rPr>
          <w:spacing w:val="-16"/>
        </w:rPr>
        <w:t> </w:t>
      </w:r>
      <w:r>
        <w:rPr/>
        <w:t>que</w:t>
      </w:r>
      <w:r>
        <w:rPr>
          <w:spacing w:val="-15"/>
        </w:rPr>
        <w:t> </w:t>
      </w:r>
      <w:r>
        <w:rPr/>
        <w:t>la</w:t>
      </w:r>
      <w:r>
        <w:rPr>
          <w:spacing w:val="-17"/>
        </w:rPr>
        <w:t> </w:t>
      </w:r>
      <w:r>
        <w:rPr/>
        <w:t>propia Convención</w:t>
      </w:r>
      <w:r>
        <w:rPr>
          <w:spacing w:val="-8"/>
        </w:rPr>
        <w:t> </w:t>
      </w:r>
      <w:r>
        <w:rPr/>
        <w:t>Americana</w:t>
      </w:r>
      <w:r>
        <w:rPr>
          <w:spacing w:val="-9"/>
        </w:rPr>
        <w:t> </w:t>
      </w:r>
      <w:r>
        <w:rPr/>
        <w:t>prevé</w:t>
      </w:r>
      <w:r>
        <w:rPr>
          <w:spacing w:val="-7"/>
        </w:rPr>
        <w:t> </w:t>
      </w:r>
      <w:r>
        <w:rPr/>
        <w:t>en</w:t>
      </w:r>
      <w:r>
        <w:rPr>
          <w:spacing w:val="-6"/>
        </w:rPr>
        <w:t> </w:t>
      </w:r>
      <w:r>
        <w:rPr/>
        <w:t>su</w:t>
      </w:r>
      <w:r>
        <w:rPr>
          <w:spacing w:val="-7"/>
        </w:rPr>
        <w:t> </w:t>
      </w:r>
      <w:r>
        <w:rPr/>
        <w:t>artículo</w:t>
      </w:r>
      <w:r>
        <w:rPr>
          <w:spacing w:val="-7"/>
        </w:rPr>
        <w:t> </w:t>
      </w:r>
      <w:r>
        <w:rPr/>
        <w:t>76</w:t>
      </w:r>
      <w:r>
        <w:rPr>
          <w:spacing w:val="-9"/>
        </w:rPr>
        <w:t> </w:t>
      </w:r>
      <w:r>
        <w:rPr/>
        <w:t>un</w:t>
      </w:r>
      <w:r>
        <w:rPr>
          <w:spacing w:val="-7"/>
        </w:rPr>
        <w:t> </w:t>
      </w:r>
      <w:r>
        <w:rPr/>
        <w:t>procedimiento</w:t>
      </w:r>
      <w:r>
        <w:rPr>
          <w:spacing w:val="-8"/>
        </w:rPr>
        <w:t> </w:t>
      </w:r>
      <w:r>
        <w:rPr/>
        <w:t>específico</w:t>
      </w:r>
      <w:r>
        <w:rPr>
          <w:spacing w:val="-7"/>
        </w:rPr>
        <w:t> </w:t>
      </w:r>
      <w:r>
        <w:rPr/>
        <w:t>para</w:t>
      </w:r>
      <w:r>
        <w:rPr>
          <w:spacing w:val="-7"/>
        </w:rPr>
        <w:t> </w:t>
      </w:r>
      <w:r>
        <w:rPr/>
        <w:t>realizar enmiendas a la misma, el cual requiere una aprobación de dos terceras partes de los Estados parte de la Convención” y concluyendo en que “sería contradictorio considerar que</w:t>
      </w:r>
      <w:r>
        <w:rPr>
          <w:spacing w:val="-7"/>
        </w:rPr>
        <w:t> </w:t>
      </w:r>
      <w:r>
        <w:rPr/>
        <w:t>la</w:t>
      </w:r>
      <w:r>
        <w:rPr>
          <w:spacing w:val="-9"/>
        </w:rPr>
        <w:t> </w:t>
      </w:r>
      <w:r>
        <w:rPr/>
        <w:t>adopción</w:t>
      </w:r>
      <w:r>
        <w:rPr>
          <w:spacing w:val="-8"/>
        </w:rPr>
        <w:t> </w:t>
      </w:r>
      <w:r>
        <w:rPr/>
        <w:t>de</w:t>
      </w:r>
      <w:r>
        <w:rPr>
          <w:spacing w:val="-9"/>
        </w:rPr>
        <w:t> </w:t>
      </w:r>
      <w:r>
        <w:rPr/>
        <w:t>un</w:t>
      </w:r>
      <w:r>
        <w:rPr>
          <w:spacing w:val="-7"/>
        </w:rPr>
        <w:t> </w:t>
      </w:r>
      <w:r>
        <w:rPr/>
        <w:t>Protocolo</w:t>
      </w:r>
      <w:r>
        <w:rPr>
          <w:spacing w:val="-7"/>
        </w:rPr>
        <w:t> </w:t>
      </w:r>
      <w:r>
        <w:rPr/>
        <w:t>adicional,</w:t>
      </w:r>
      <w:r>
        <w:rPr>
          <w:spacing w:val="-8"/>
        </w:rPr>
        <w:t> </w:t>
      </w:r>
      <w:r>
        <w:rPr/>
        <w:t>que</w:t>
      </w:r>
      <w:r>
        <w:rPr>
          <w:spacing w:val="-8"/>
        </w:rPr>
        <w:t> </w:t>
      </w:r>
      <w:r>
        <w:rPr/>
        <w:t>no</w:t>
      </w:r>
      <w:r>
        <w:rPr>
          <w:spacing w:val="-7"/>
        </w:rPr>
        <w:t> </w:t>
      </w:r>
      <w:r>
        <w:rPr/>
        <w:t>requiere</w:t>
      </w:r>
      <w:r>
        <w:rPr>
          <w:spacing w:val="-9"/>
        </w:rPr>
        <w:t> </w:t>
      </w:r>
      <w:r>
        <w:rPr/>
        <w:t>un</w:t>
      </w:r>
      <w:r>
        <w:rPr>
          <w:spacing w:val="-7"/>
        </w:rPr>
        <w:t> </w:t>
      </w:r>
      <w:r>
        <w:rPr/>
        <w:t>margen</w:t>
      </w:r>
      <w:r>
        <w:rPr>
          <w:spacing w:val="-9"/>
        </w:rPr>
        <w:t> </w:t>
      </w:r>
      <w:r>
        <w:rPr/>
        <w:t>de</w:t>
      </w:r>
      <w:r>
        <w:rPr>
          <w:spacing w:val="-8"/>
        </w:rPr>
        <w:t> </w:t>
      </w:r>
      <w:r>
        <w:rPr/>
        <w:t>aceptación</w:t>
      </w:r>
      <w:r>
        <w:rPr>
          <w:spacing w:val="-7"/>
        </w:rPr>
        <w:t> </w:t>
      </w:r>
      <w:r>
        <w:rPr/>
        <w:t>tan elevado como una enmienda a la Convención Americana, puede modificar el contenido y alcance de los efectos de la misma”</w:t>
      </w:r>
      <w:r>
        <w:rPr>
          <w:rFonts w:ascii="Calibri" w:hAnsi="Calibri"/>
          <w:sz w:val="22"/>
        </w:rPr>
        <w:t>. </w:t>
      </w:r>
      <w:r>
        <w:rPr/>
        <w:t>Más, al parecer, en el citado fallo confunde una enmienda a la Convención con un protocolo adicional a ella. La enmienda, es, según la Convención de Viena, una modificación del tratado de que se trate que puede ser adoptada</w:t>
      </w:r>
      <w:r>
        <w:rPr>
          <w:spacing w:val="-5"/>
        </w:rPr>
        <w:t> </w:t>
      </w:r>
      <w:r>
        <w:rPr/>
        <w:t>por</w:t>
      </w:r>
      <w:r>
        <w:rPr>
          <w:spacing w:val="-5"/>
        </w:rPr>
        <w:t> </w:t>
      </w:r>
      <w:r>
        <w:rPr/>
        <w:t>todos</w:t>
      </w:r>
      <w:r>
        <w:rPr>
          <w:spacing w:val="-5"/>
        </w:rPr>
        <w:t> </w:t>
      </w:r>
      <w:r>
        <w:rPr/>
        <w:t>sus</w:t>
      </w:r>
      <w:r>
        <w:rPr>
          <w:spacing w:val="-5"/>
        </w:rPr>
        <w:t> </w:t>
      </w:r>
      <w:r>
        <w:rPr/>
        <w:t>Estados</w:t>
      </w:r>
      <w:r>
        <w:rPr>
          <w:spacing w:val="-6"/>
        </w:rPr>
        <w:t> </w:t>
      </w:r>
      <w:r>
        <w:rPr/>
        <w:t>Partes</w:t>
      </w:r>
      <w:r>
        <w:rPr>
          <w:spacing w:val="-6"/>
        </w:rPr>
        <w:t> </w:t>
      </w:r>
      <w:r>
        <w:rPr/>
        <w:t>y,</w:t>
      </w:r>
      <w:r>
        <w:rPr>
          <w:spacing w:val="-5"/>
        </w:rPr>
        <w:t> </w:t>
      </w:r>
      <w:r>
        <w:rPr/>
        <w:t>por</w:t>
      </w:r>
      <w:r>
        <w:rPr>
          <w:spacing w:val="-7"/>
        </w:rPr>
        <w:t> </w:t>
      </w:r>
      <w:r>
        <w:rPr/>
        <w:t>tanto,</w:t>
      </w:r>
      <w:r>
        <w:rPr>
          <w:spacing w:val="-6"/>
        </w:rPr>
        <w:t> </w:t>
      </w:r>
      <w:r>
        <w:rPr/>
        <w:t>que</w:t>
      </w:r>
      <w:r>
        <w:rPr>
          <w:spacing w:val="-5"/>
        </w:rPr>
        <w:t> </w:t>
      </w:r>
      <w:r>
        <w:rPr/>
        <w:t>puede</w:t>
      </w:r>
      <w:r>
        <w:rPr>
          <w:spacing w:val="-5"/>
        </w:rPr>
        <w:t> </w:t>
      </w:r>
      <w:r>
        <w:rPr/>
        <w:t>regir</w:t>
      </w:r>
      <w:r>
        <w:rPr>
          <w:spacing w:val="-5"/>
        </w:rPr>
        <w:t> </w:t>
      </w:r>
      <w:r>
        <w:rPr/>
        <w:t>para</w:t>
      </w:r>
      <w:r>
        <w:rPr>
          <w:spacing w:val="-5"/>
        </w:rPr>
        <w:t> </w:t>
      </w:r>
      <w:r>
        <w:rPr/>
        <w:t>todas</w:t>
      </w:r>
      <w:r>
        <w:rPr>
          <w:spacing w:val="-6"/>
        </w:rPr>
        <w:t> </w:t>
      </w:r>
      <w:r>
        <w:rPr/>
        <w:t>ellas</w:t>
      </w:r>
      <w:r>
        <w:rPr>
          <w:position w:val="7"/>
          <w:sz w:val="13"/>
        </w:rPr>
        <w:t>116</w:t>
      </w:r>
      <w:r>
        <w:rPr/>
        <w:t>. La modificación es el cambio del tratado adoptado solo por algunos Estados Partes, de suerte que rija únicamente respecto de</w:t>
      </w:r>
      <w:r>
        <w:rPr>
          <w:spacing w:val="-12"/>
        </w:rPr>
        <w:t> </w:t>
      </w:r>
      <w:r>
        <w:rPr/>
        <w:t>ellos</w:t>
      </w:r>
      <w:r>
        <w:rPr>
          <w:position w:val="7"/>
          <w:sz w:val="13"/>
        </w:rPr>
        <w:t>117</w:t>
      </w:r>
      <w:r>
        <w:rPr/>
        <w:t>.</w:t>
      </w:r>
    </w:p>
    <w:p>
      <w:pPr>
        <w:pStyle w:val="BodyText"/>
      </w:pPr>
    </w:p>
    <w:p>
      <w:pPr>
        <w:pStyle w:val="BodyText"/>
      </w:pPr>
    </w:p>
    <w:p>
      <w:pPr>
        <w:pStyle w:val="BodyText"/>
      </w:pPr>
    </w:p>
    <w:p>
      <w:pPr>
        <w:pStyle w:val="BodyText"/>
        <w:spacing w:before="10"/>
        <w:rPr>
          <w:sz w:val="11"/>
        </w:rPr>
      </w:pPr>
      <w:r>
        <w:rPr/>
        <w:pict>
          <v:line style="position:absolute;mso-position-horizontal-relative:page;mso-position-vertical-relative:paragraph;z-index:4432;mso-wrap-distance-left:0;mso-wrap-distance-right:0" from="56.700001pt,9.544167pt" to="200.720001pt,9.544167pt" stroked="true" strokeweight=".72pt" strokecolor="#000000">
            <v:stroke dashstyle="solid"/>
            <w10:wrap type="topAndBottom"/>
          </v:line>
        </w:pict>
      </w:r>
    </w:p>
    <w:p>
      <w:pPr>
        <w:spacing w:before="70"/>
        <w:ind w:left="681" w:right="0" w:firstLine="0"/>
        <w:jc w:val="both"/>
        <w:rPr>
          <w:rFonts w:ascii="Calibri" w:hAnsi="Calibri"/>
          <w:sz w:val="16"/>
        </w:rPr>
      </w:pPr>
      <w:r>
        <w:rPr>
          <w:position w:val="6"/>
          <w:sz w:val="10"/>
        </w:rPr>
        <w:t>114  </w:t>
      </w:r>
      <w:r>
        <w:rPr>
          <w:sz w:val="16"/>
        </w:rPr>
        <w:t>Párr. 66, </w:t>
      </w:r>
      <w:r>
        <w:rPr>
          <w:i/>
          <w:sz w:val="16"/>
        </w:rPr>
        <w:t>Caso Cuscul Pivaral y otros Vs. Guatemala</w:t>
      </w:r>
      <w:r>
        <w:rPr>
          <w:sz w:val="16"/>
        </w:rPr>
        <w:t>, párr. 101</w:t>
      </w:r>
      <w:r>
        <w:rPr>
          <w:rFonts w:ascii="Calibri" w:hAnsi="Calibri"/>
          <w:sz w:val="16"/>
        </w:rPr>
        <w:t>.</w:t>
      </w:r>
    </w:p>
    <w:p>
      <w:pPr>
        <w:pStyle w:val="BodyText"/>
        <w:spacing w:before="11"/>
        <w:rPr>
          <w:rFonts w:ascii="Calibri"/>
          <w:sz w:val="15"/>
        </w:rPr>
      </w:pPr>
    </w:p>
    <w:p>
      <w:pPr>
        <w:spacing w:before="0"/>
        <w:ind w:left="681" w:right="0" w:firstLine="0"/>
        <w:jc w:val="both"/>
        <w:rPr>
          <w:sz w:val="16"/>
        </w:rPr>
      </w:pPr>
      <w:r>
        <w:rPr>
          <w:position w:val="6"/>
          <w:sz w:val="10"/>
        </w:rPr>
        <w:t>115  </w:t>
      </w:r>
      <w:r>
        <w:rPr>
          <w:sz w:val="16"/>
        </w:rPr>
        <w:t>Nota 188 de la Sentencia.</w:t>
      </w:r>
    </w:p>
    <w:p>
      <w:pPr>
        <w:pStyle w:val="BodyText"/>
        <w:spacing w:before="11"/>
        <w:rPr>
          <w:sz w:val="15"/>
        </w:rPr>
      </w:pPr>
    </w:p>
    <w:p>
      <w:pPr>
        <w:spacing w:before="1"/>
        <w:ind w:left="681" w:right="122" w:firstLine="0"/>
        <w:jc w:val="both"/>
        <w:rPr>
          <w:sz w:val="16"/>
        </w:rPr>
      </w:pPr>
      <w:r>
        <w:rPr>
          <w:position w:val="6"/>
          <w:sz w:val="10"/>
        </w:rPr>
        <w:t>116 </w:t>
      </w:r>
      <w:r>
        <w:rPr>
          <w:sz w:val="16"/>
        </w:rPr>
        <w:t>Art.39: “Norma general concerniente a la enmienda de los tratados. Un tratado podrá ser enmendado por acuerdo entre las partes. Se aplicarán a tal acuerdo las normas enunciadas en la Parte II, salvo en la medida en que el tratado disponga otra cosa.</w:t>
      </w:r>
    </w:p>
    <w:p>
      <w:pPr>
        <w:spacing w:before="0"/>
        <w:ind w:left="681" w:right="122" w:firstLine="0"/>
        <w:jc w:val="both"/>
        <w:rPr>
          <w:i/>
          <w:sz w:val="16"/>
        </w:rPr>
      </w:pPr>
      <w:r>
        <w:rPr>
          <w:sz w:val="16"/>
        </w:rPr>
        <w:t>Art.</w:t>
      </w:r>
      <w:r>
        <w:rPr>
          <w:spacing w:val="-5"/>
          <w:sz w:val="16"/>
        </w:rPr>
        <w:t> </w:t>
      </w:r>
      <w:r>
        <w:rPr>
          <w:sz w:val="16"/>
        </w:rPr>
        <w:t>40</w:t>
      </w:r>
      <w:r>
        <w:rPr>
          <w:spacing w:val="-4"/>
          <w:sz w:val="16"/>
        </w:rPr>
        <w:t> </w:t>
      </w:r>
      <w:r>
        <w:rPr>
          <w:sz w:val="16"/>
        </w:rPr>
        <w:t>de</w:t>
      </w:r>
      <w:r>
        <w:rPr>
          <w:spacing w:val="-5"/>
          <w:sz w:val="16"/>
        </w:rPr>
        <w:t> </w:t>
      </w:r>
      <w:r>
        <w:rPr>
          <w:sz w:val="16"/>
        </w:rPr>
        <w:t>la</w:t>
      </w:r>
      <w:r>
        <w:rPr>
          <w:spacing w:val="-5"/>
          <w:sz w:val="16"/>
        </w:rPr>
        <w:t> </w:t>
      </w:r>
      <w:r>
        <w:rPr>
          <w:sz w:val="16"/>
        </w:rPr>
        <w:t>Convención</w:t>
      </w:r>
      <w:r>
        <w:rPr>
          <w:spacing w:val="-5"/>
          <w:sz w:val="16"/>
        </w:rPr>
        <w:t> </w:t>
      </w:r>
      <w:r>
        <w:rPr>
          <w:sz w:val="16"/>
        </w:rPr>
        <w:t>de</w:t>
      </w:r>
      <w:r>
        <w:rPr>
          <w:spacing w:val="-5"/>
          <w:sz w:val="16"/>
        </w:rPr>
        <w:t> </w:t>
      </w:r>
      <w:r>
        <w:rPr>
          <w:sz w:val="16"/>
        </w:rPr>
        <w:t>Viena:</w:t>
      </w:r>
      <w:r>
        <w:rPr>
          <w:spacing w:val="-5"/>
          <w:sz w:val="16"/>
        </w:rPr>
        <w:t> </w:t>
      </w:r>
      <w:r>
        <w:rPr>
          <w:sz w:val="16"/>
        </w:rPr>
        <w:t>“</w:t>
      </w:r>
      <w:r>
        <w:rPr>
          <w:i/>
          <w:sz w:val="16"/>
        </w:rPr>
        <w:t>Enmienda</w:t>
      </w:r>
      <w:r>
        <w:rPr>
          <w:i/>
          <w:spacing w:val="-4"/>
          <w:sz w:val="16"/>
        </w:rPr>
        <w:t> </w:t>
      </w:r>
      <w:r>
        <w:rPr>
          <w:i/>
          <w:sz w:val="16"/>
        </w:rPr>
        <w:t>de</w:t>
      </w:r>
      <w:r>
        <w:rPr>
          <w:i/>
          <w:spacing w:val="-5"/>
          <w:sz w:val="16"/>
        </w:rPr>
        <w:t> </w:t>
      </w:r>
      <w:r>
        <w:rPr>
          <w:i/>
          <w:sz w:val="16"/>
        </w:rPr>
        <w:t>los</w:t>
      </w:r>
      <w:r>
        <w:rPr>
          <w:i/>
          <w:spacing w:val="-5"/>
          <w:sz w:val="16"/>
        </w:rPr>
        <w:t> </w:t>
      </w:r>
      <w:r>
        <w:rPr>
          <w:i/>
          <w:sz w:val="16"/>
        </w:rPr>
        <w:t>tratados</w:t>
      </w:r>
      <w:r>
        <w:rPr>
          <w:i/>
          <w:spacing w:val="-5"/>
          <w:sz w:val="16"/>
        </w:rPr>
        <w:t> </w:t>
      </w:r>
      <w:r>
        <w:rPr>
          <w:i/>
          <w:sz w:val="16"/>
        </w:rPr>
        <w:t>multilaterales.</w:t>
      </w:r>
      <w:r>
        <w:rPr>
          <w:i/>
          <w:spacing w:val="-5"/>
          <w:sz w:val="16"/>
        </w:rPr>
        <w:t> </w:t>
      </w:r>
      <w:r>
        <w:rPr>
          <w:i/>
          <w:sz w:val="16"/>
        </w:rPr>
        <w:t>1.</w:t>
      </w:r>
      <w:r>
        <w:rPr>
          <w:i/>
          <w:spacing w:val="-5"/>
          <w:sz w:val="16"/>
        </w:rPr>
        <w:t> </w:t>
      </w:r>
      <w:r>
        <w:rPr>
          <w:i/>
          <w:sz w:val="16"/>
        </w:rPr>
        <w:t>Salvo</w:t>
      </w:r>
      <w:r>
        <w:rPr>
          <w:i/>
          <w:spacing w:val="-4"/>
          <w:sz w:val="16"/>
        </w:rPr>
        <w:t> </w:t>
      </w:r>
      <w:r>
        <w:rPr>
          <w:i/>
          <w:sz w:val="16"/>
        </w:rPr>
        <w:t>que</w:t>
      </w:r>
      <w:r>
        <w:rPr>
          <w:i/>
          <w:spacing w:val="-5"/>
          <w:sz w:val="16"/>
        </w:rPr>
        <w:t> </w:t>
      </w:r>
      <w:r>
        <w:rPr>
          <w:i/>
          <w:sz w:val="16"/>
        </w:rPr>
        <w:t>el</w:t>
      </w:r>
      <w:r>
        <w:rPr>
          <w:i/>
          <w:spacing w:val="-4"/>
          <w:sz w:val="16"/>
        </w:rPr>
        <w:t> </w:t>
      </w:r>
      <w:r>
        <w:rPr>
          <w:i/>
          <w:sz w:val="16"/>
        </w:rPr>
        <w:t>tratado</w:t>
      </w:r>
      <w:r>
        <w:rPr>
          <w:i/>
          <w:spacing w:val="-4"/>
          <w:sz w:val="16"/>
        </w:rPr>
        <w:t> </w:t>
      </w:r>
      <w:r>
        <w:rPr>
          <w:i/>
          <w:sz w:val="16"/>
        </w:rPr>
        <w:t>disponga </w:t>
      </w:r>
      <w:r>
        <w:rPr>
          <w:i/>
          <w:sz w:val="16"/>
        </w:rPr>
        <w:t>otra cosa, la enmienda de los tratados multilaterales se regirá por los párrafos</w:t>
      </w:r>
      <w:r>
        <w:rPr>
          <w:i/>
          <w:spacing w:val="-29"/>
          <w:sz w:val="16"/>
        </w:rPr>
        <w:t> </w:t>
      </w:r>
      <w:r>
        <w:rPr>
          <w:i/>
          <w:sz w:val="16"/>
        </w:rPr>
        <w:t>siguientes.</w:t>
      </w:r>
    </w:p>
    <w:p>
      <w:pPr>
        <w:pStyle w:val="ListParagraph"/>
        <w:numPr>
          <w:ilvl w:val="0"/>
          <w:numId w:val="65"/>
        </w:numPr>
        <w:tabs>
          <w:tab w:pos="907" w:val="left" w:leader="none"/>
        </w:tabs>
        <w:spacing w:line="240" w:lineRule="auto" w:before="0" w:after="0"/>
        <w:ind w:left="681" w:right="119" w:firstLine="0"/>
        <w:jc w:val="both"/>
        <w:rPr>
          <w:i/>
          <w:sz w:val="16"/>
        </w:rPr>
      </w:pPr>
      <w:r>
        <w:rPr>
          <w:i/>
          <w:sz w:val="16"/>
        </w:rPr>
        <w:t>Toda propuesta de enmienda de un tratado multilateral en las relaciones entre todas las partes habrá de </w:t>
      </w:r>
      <w:r>
        <w:rPr>
          <w:i/>
          <w:sz w:val="16"/>
        </w:rPr>
        <w:t>ser notificada a todos los Estados contratantes, cada uno de los cuales tendrá derecho a</w:t>
      </w:r>
      <w:r>
        <w:rPr>
          <w:i/>
          <w:spacing w:val="-25"/>
          <w:sz w:val="16"/>
        </w:rPr>
        <w:t> </w:t>
      </w:r>
      <w:r>
        <w:rPr>
          <w:i/>
          <w:sz w:val="16"/>
        </w:rPr>
        <w:t>participar:</w:t>
      </w:r>
    </w:p>
    <w:p>
      <w:pPr>
        <w:pStyle w:val="ListParagraph"/>
        <w:numPr>
          <w:ilvl w:val="0"/>
          <w:numId w:val="66"/>
        </w:numPr>
        <w:tabs>
          <w:tab w:pos="907" w:val="left" w:leader="none"/>
        </w:tabs>
        <w:spacing w:line="240" w:lineRule="auto" w:before="0" w:after="0"/>
        <w:ind w:left="906" w:right="0" w:hanging="225"/>
        <w:jc w:val="both"/>
        <w:rPr>
          <w:i/>
          <w:sz w:val="16"/>
        </w:rPr>
      </w:pPr>
      <w:r>
        <w:rPr>
          <w:i/>
          <w:sz w:val="16"/>
        </w:rPr>
        <w:t>en la decisión sobre las medidas que haya que adoptar con relación a tal</w:t>
      </w:r>
      <w:r>
        <w:rPr>
          <w:i/>
          <w:spacing w:val="-20"/>
          <w:sz w:val="16"/>
        </w:rPr>
        <w:t> </w:t>
      </w:r>
      <w:r>
        <w:rPr>
          <w:i/>
          <w:sz w:val="16"/>
        </w:rPr>
        <w:t>propuesta:</w:t>
      </w:r>
    </w:p>
    <w:p>
      <w:pPr>
        <w:pStyle w:val="ListParagraph"/>
        <w:numPr>
          <w:ilvl w:val="0"/>
          <w:numId w:val="66"/>
        </w:numPr>
        <w:tabs>
          <w:tab w:pos="910" w:val="left" w:leader="none"/>
        </w:tabs>
        <w:spacing w:line="240" w:lineRule="auto" w:before="0" w:after="0"/>
        <w:ind w:left="909" w:right="0" w:hanging="228"/>
        <w:jc w:val="both"/>
        <w:rPr>
          <w:i/>
          <w:sz w:val="16"/>
        </w:rPr>
      </w:pPr>
      <w:r>
        <w:rPr>
          <w:i/>
          <w:sz w:val="16"/>
        </w:rPr>
        <w:t>en la negociación y la celebración de cualquier acuerdo que tenga por objeto enmendar el</w:t>
      </w:r>
      <w:r>
        <w:rPr>
          <w:i/>
          <w:spacing w:val="-25"/>
          <w:sz w:val="16"/>
        </w:rPr>
        <w:t> </w:t>
      </w:r>
      <w:r>
        <w:rPr>
          <w:i/>
          <w:sz w:val="16"/>
        </w:rPr>
        <w:t>tratado.</w:t>
      </w:r>
    </w:p>
    <w:p>
      <w:pPr>
        <w:pStyle w:val="ListParagraph"/>
        <w:numPr>
          <w:ilvl w:val="0"/>
          <w:numId w:val="65"/>
        </w:numPr>
        <w:tabs>
          <w:tab w:pos="897" w:val="left" w:leader="none"/>
        </w:tabs>
        <w:spacing w:line="240" w:lineRule="auto" w:before="0" w:after="0"/>
        <w:ind w:left="681" w:right="121" w:firstLine="0"/>
        <w:jc w:val="both"/>
        <w:rPr>
          <w:i/>
          <w:sz w:val="16"/>
        </w:rPr>
      </w:pPr>
      <w:r>
        <w:rPr>
          <w:i/>
          <w:sz w:val="16"/>
        </w:rPr>
        <w:t>Todo</w:t>
      </w:r>
      <w:r>
        <w:rPr>
          <w:i/>
          <w:spacing w:val="-3"/>
          <w:sz w:val="16"/>
        </w:rPr>
        <w:t> </w:t>
      </w:r>
      <w:r>
        <w:rPr>
          <w:i/>
          <w:sz w:val="16"/>
        </w:rPr>
        <w:t>Estado</w:t>
      </w:r>
      <w:r>
        <w:rPr>
          <w:i/>
          <w:spacing w:val="-2"/>
          <w:sz w:val="16"/>
        </w:rPr>
        <w:t> </w:t>
      </w:r>
      <w:r>
        <w:rPr>
          <w:i/>
          <w:sz w:val="16"/>
        </w:rPr>
        <w:t>facultado</w:t>
      </w:r>
      <w:r>
        <w:rPr>
          <w:i/>
          <w:spacing w:val="-4"/>
          <w:sz w:val="16"/>
        </w:rPr>
        <w:t> </w:t>
      </w:r>
      <w:r>
        <w:rPr>
          <w:i/>
          <w:sz w:val="16"/>
        </w:rPr>
        <w:t>para</w:t>
      </w:r>
      <w:r>
        <w:rPr>
          <w:i/>
          <w:spacing w:val="-2"/>
          <w:sz w:val="16"/>
        </w:rPr>
        <w:t> </w:t>
      </w:r>
      <w:r>
        <w:rPr>
          <w:i/>
          <w:sz w:val="16"/>
        </w:rPr>
        <w:t>llegar</w:t>
      </w:r>
      <w:r>
        <w:rPr>
          <w:i/>
          <w:spacing w:val="-3"/>
          <w:sz w:val="16"/>
        </w:rPr>
        <w:t> </w:t>
      </w:r>
      <w:r>
        <w:rPr>
          <w:i/>
          <w:sz w:val="16"/>
        </w:rPr>
        <w:t>a</w:t>
      </w:r>
      <w:r>
        <w:rPr>
          <w:i/>
          <w:spacing w:val="-3"/>
          <w:sz w:val="16"/>
        </w:rPr>
        <w:t> </w:t>
      </w:r>
      <w:r>
        <w:rPr>
          <w:i/>
          <w:sz w:val="16"/>
        </w:rPr>
        <w:t>ser</w:t>
      </w:r>
      <w:r>
        <w:rPr>
          <w:i/>
          <w:spacing w:val="-3"/>
          <w:sz w:val="16"/>
        </w:rPr>
        <w:t> </w:t>
      </w:r>
      <w:r>
        <w:rPr>
          <w:i/>
          <w:sz w:val="16"/>
        </w:rPr>
        <w:t>parte</w:t>
      </w:r>
      <w:r>
        <w:rPr>
          <w:i/>
          <w:spacing w:val="-4"/>
          <w:sz w:val="16"/>
        </w:rPr>
        <w:t> </w:t>
      </w:r>
      <w:r>
        <w:rPr>
          <w:i/>
          <w:sz w:val="16"/>
        </w:rPr>
        <w:t>en</w:t>
      </w:r>
      <w:r>
        <w:rPr>
          <w:i/>
          <w:spacing w:val="-4"/>
          <w:sz w:val="16"/>
        </w:rPr>
        <w:t> </w:t>
      </w:r>
      <w:r>
        <w:rPr>
          <w:i/>
          <w:sz w:val="16"/>
        </w:rPr>
        <w:t>el</w:t>
      </w:r>
      <w:r>
        <w:rPr>
          <w:i/>
          <w:spacing w:val="-3"/>
          <w:sz w:val="16"/>
        </w:rPr>
        <w:t> </w:t>
      </w:r>
      <w:r>
        <w:rPr>
          <w:i/>
          <w:sz w:val="16"/>
        </w:rPr>
        <w:t>tratado</w:t>
      </w:r>
      <w:r>
        <w:rPr>
          <w:i/>
          <w:spacing w:val="-3"/>
          <w:sz w:val="16"/>
        </w:rPr>
        <w:t> </w:t>
      </w:r>
      <w:r>
        <w:rPr>
          <w:i/>
          <w:sz w:val="16"/>
        </w:rPr>
        <w:t>estará</w:t>
      </w:r>
      <w:r>
        <w:rPr>
          <w:i/>
          <w:spacing w:val="-2"/>
          <w:sz w:val="16"/>
        </w:rPr>
        <w:t> </w:t>
      </w:r>
      <w:r>
        <w:rPr>
          <w:i/>
          <w:sz w:val="16"/>
        </w:rPr>
        <w:t>también</w:t>
      </w:r>
      <w:r>
        <w:rPr>
          <w:i/>
          <w:spacing w:val="-4"/>
          <w:sz w:val="16"/>
        </w:rPr>
        <w:t> </w:t>
      </w:r>
      <w:r>
        <w:rPr>
          <w:i/>
          <w:sz w:val="16"/>
        </w:rPr>
        <w:t>facultado</w:t>
      </w:r>
      <w:r>
        <w:rPr>
          <w:i/>
          <w:spacing w:val="-3"/>
          <w:sz w:val="16"/>
        </w:rPr>
        <w:t> </w:t>
      </w:r>
      <w:r>
        <w:rPr>
          <w:i/>
          <w:sz w:val="16"/>
        </w:rPr>
        <w:t>para</w:t>
      </w:r>
      <w:r>
        <w:rPr>
          <w:i/>
          <w:spacing w:val="-3"/>
          <w:sz w:val="16"/>
        </w:rPr>
        <w:t> </w:t>
      </w:r>
      <w:r>
        <w:rPr>
          <w:i/>
          <w:sz w:val="16"/>
        </w:rPr>
        <w:t>llegar</w:t>
      </w:r>
      <w:r>
        <w:rPr>
          <w:i/>
          <w:spacing w:val="-3"/>
          <w:sz w:val="16"/>
        </w:rPr>
        <w:t> </w:t>
      </w:r>
      <w:r>
        <w:rPr>
          <w:i/>
          <w:sz w:val="16"/>
        </w:rPr>
        <w:t>a</w:t>
      </w:r>
      <w:r>
        <w:rPr>
          <w:i/>
          <w:spacing w:val="-3"/>
          <w:sz w:val="16"/>
        </w:rPr>
        <w:t> </w:t>
      </w:r>
      <w:r>
        <w:rPr>
          <w:i/>
          <w:sz w:val="16"/>
        </w:rPr>
        <w:t>ser</w:t>
      </w:r>
      <w:r>
        <w:rPr>
          <w:i/>
          <w:spacing w:val="-2"/>
          <w:sz w:val="16"/>
        </w:rPr>
        <w:t> </w:t>
      </w:r>
      <w:r>
        <w:rPr>
          <w:i/>
          <w:sz w:val="16"/>
        </w:rPr>
        <w:t>parte </w:t>
      </w:r>
      <w:r>
        <w:rPr>
          <w:i/>
          <w:sz w:val="16"/>
        </w:rPr>
        <w:t>en el tratado en su forma</w:t>
      </w:r>
      <w:r>
        <w:rPr>
          <w:i/>
          <w:spacing w:val="-10"/>
          <w:sz w:val="16"/>
        </w:rPr>
        <w:t> </w:t>
      </w:r>
      <w:r>
        <w:rPr>
          <w:i/>
          <w:sz w:val="16"/>
        </w:rPr>
        <w:t>enmendada.</w:t>
      </w:r>
    </w:p>
    <w:p>
      <w:pPr>
        <w:pStyle w:val="ListParagraph"/>
        <w:numPr>
          <w:ilvl w:val="0"/>
          <w:numId w:val="65"/>
        </w:numPr>
        <w:tabs>
          <w:tab w:pos="910" w:val="left" w:leader="none"/>
        </w:tabs>
        <w:spacing w:line="240" w:lineRule="auto" w:before="0" w:after="0"/>
        <w:ind w:left="681" w:right="121" w:firstLine="0"/>
        <w:jc w:val="both"/>
        <w:rPr>
          <w:i/>
          <w:sz w:val="16"/>
        </w:rPr>
      </w:pPr>
      <w:r>
        <w:rPr>
          <w:i/>
          <w:sz w:val="16"/>
        </w:rPr>
        <w:t>El acuerdo en virtud del cual se enmiende el tratado no obligará a ningún Estado que sea ya parte en el </w:t>
      </w:r>
      <w:r>
        <w:rPr>
          <w:i/>
          <w:sz w:val="16"/>
        </w:rPr>
        <w:t>tratado que no llegue a serlo en ese acuerdo, con respecto a tal Estado se aplicará el apartado b) del párrafo 4 del artículo</w:t>
      </w:r>
      <w:r>
        <w:rPr>
          <w:i/>
          <w:spacing w:val="-4"/>
          <w:sz w:val="16"/>
        </w:rPr>
        <w:t> </w:t>
      </w:r>
      <w:r>
        <w:rPr>
          <w:i/>
          <w:sz w:val="16"/>
        </w:rPr>
        <w:t>30.</w:t>
      </w:r>
    </w:p>
    <w:p>
      <w:pPr>
        <w:pStyle w:val="ListParagraph"/>
        <w:numPr>
          <w:ilvl w:val="0"/>
          <w:numId w:val="65"/>
        </w:numPr>
        <w:tabs>
          <w:tab w:pos="902" w:val="left" w:leader="none"/>
        </w:tabs>
        <w:spacing w:line="240" w:lineRule="auto" w:before="0" w:after="0"/>
        <w:ind w:left="681" w:right="122" w:firstLine="0"/>
        <w:jc w:val="both"/>
        <w:rPr>
          <w:i/>
          <w:sz w:val="16"/>
        </w:rPr>
      </w:pPr>
      <w:r>
        <w:rPr>
          <w:i/>
          <w:sz w:val="16"/>
        </w:rPr>
        <w:t>Todo Estado que llegue a ser parte en el tratado después de la entrada en vigor del acuerdo en virtud del </w:t>
      </w:r>
      <w:r>
        <w:rPr>
          <w:i/>
          <w:sz w:val="16"/>
        </w:rPr>
        <w:t>cual se enmiende el tratado será considerado, de no haber manifestado ese Estado una intención</w:t>
      </w:r>
      <w:r>
        <w:rPr>
          <w:i/>
          <w:spacing w:val="-28"/>
          <w:sz w:val="16"/>
        </w:rPr>
        <w:t> </w:t>
      </w:r>
      <w:r>
        <w:rPr>
          <w:i/>
          <w:sz w:val="16"/>
        </w:rPr>
        <w:t>diferente:</w:t>
      </w:r>
    </w:p>
    <w:p>
      <w:pPr>
        <w:pStyle w:val="ListParagraph"/>
        <w:numPr>
          <w:ilvl w:val="0"/>
          <w:numId w:val="67"/>
        </w:numPr>
        <w:tabs>
          <w:tab w:pos="907" w:val="left" w:leader="none"/>
        </w:tabs>
        <w:spacing w:line="240" w:lineRule="auto" w:before="0" w:after="0"/>
        <w:ind w:left="906" w:right="0" w:hanging="225"/>
        <w:jc w:val="both"/>
        <w:rPr>
          <w:i/>
          <w:sz w:val="16"/>
        </w:rPr>
      </w:pPr>
      <w:r>
        <w:rPr>
          <w:i/>
          <w:sz w:val="16"/>
        </w:rPr>
        <w:t>parte en el tratado en su forma enmendada;</w:t>
      </w:r>
      <w:r>
        <w:rPr>
          <w:i/>
          <w:spacing w:val="-12"/>
          <w:sz w:val="16"/>
        </w:rPr>
        <w:t> </w:t>
      </w:r>
      <w:r>
        <w:rPr>
          <w:i/>
          <w:sz w:val="16"/>
        </w:rPr>
        <w:t>y</w:t>
      </w:r>
    </w:p>
    <w:p>
      <w:pPr>
        <w:pStyle w:val="ListParagraph"/>
        <w:numPr>
          <w:ilvl w:val="0"/>
          <w:numId w:val="67"/>
        </w:numPr>
        <w:tabs>
          <w:tab w:pos="929" w:val="left" w:leader="none"/>
        </w:tabs>
        <w:spacing w:line="240" w:lineRule="auto" w:before="0" w:after="0"/>
        <w:ind w:left="928" w:right="0" w:hanging="247"/>
        <w:jc w:val="both"/>
        <w:rPr>
          <w:i/>
          <w:sz w:val="16"/>
        </w:rPr>
      </w:pPr>
      <w:r>
        <w:rPr>
          <w:i/>
          <w:sz w:val="16"/>
        </w:rPr>
        <w:t>parte</w:t>
      </w:r>
      <w:r>
        <w:rPr>
          <w:i/>
          <w:spacing w:val="16"/>
          <w:sz w:val="16"/>
        </w:rPr>
        <w:t> </w:t>
      </w:r>
      <w:r>
        <w:rPr>
          <w:i/>
          <w:sz w:val="16"/>
        </w:rPr>
        <w:t>en</w:t>
      </w:r>
      <w:r>
        <w:rPr>
          <w:i/>
          <w:spacing w:val="17"/>
          <w:sz w:val="16"/>
        </w:rPr>
        <w:t> </w:t>
      </w:r>
      <w:r>
        <w:rPr>
          <w:i/>
          <w:sz w:val="16"/>
        </w:rPr>
        <w:t>el</w:t>
      </w:r>
      <w:r>
        <w:rPr>
          <w:i/>
          <w:spacing w:val="17"/>
          <w:sz w:val="16"/>
        </w:rPr>
        <w:t> </w:t>
      </w:r>
      <w:r>
        <w:rPr>
          <w:i/>
          <w:sz w:val="16"/>
        </w:rPr>
        <w:t>tratado</w:t>
      </w:r>
      <w:r>
        <w:rPr>
          <w:i/>
          <w:spacing w:val="17"/>
          <w:sz w:val="16"/>
        </w:rPr>
        <w:t> </w:t>
      </w:r>
      <w:r>
        <w:rPr>
          <w:i/>
          <w:sz w:val="16"/>
        </w:rPr>
        <w:t>no</w:t>
      </w:r>
      <w:r>
        <w:rPr>
          <w:i/>
          <w:spacing w:val="18"/>
          <w:sz w:val="16"/>
        </w:rPr>
        <w:t> </w:t>
      </w:r>
      <w:r>
        <w:rPr>
          <w:i/>
          <w:sz w:val="16"/>
        </w:rPr>
        <w:t>enmendado</w:t>
      </w:r>
      <w:r>
        <w:rPr>
          <w:i/>
          <w:spacing w:val="17"/>
          <w:sz w:val="16"/>
        </w:rPr>
        <w:t> </w:t>
      </w:r>
      <w:r>
        <w:rPr>
          <w:i/>
          <w:sz w:val="16"/>
        </w:rPr>
        <w:t>con</w:t>
      </w:r>
      <w:r>
        <w:rPr>
          <w:i/>
          <w:spacing w:val="18"/>
          <w:sz w:val="16"/>
        </w:rPr>
        <w:t> </w:t>
      </w:r>
      <w:r>
        <w:rPr>
          <w:i/>
          <w:sz w:val="16"/>
        </w:rPr>
        <w:t>respecto</w:t>
      </w:r>
      <w:r>
        <w:rPr>
          <w:i/>
          <w:spacing w:val="17"/>
          <w:sz w:val="16"/>
        </w:rPr>
        <w:t> </w:t>
      </w:r>
      <w:r>
        <w:rPr>
          <w:i/>
          <w:sz w:val="16"/>
        </w:rPr>
        <w:t>a</w:t>
      </w:r>
      <w:r>
        <w:rPr>
          <w:i/>
          <w:spacing w:val="18"/>
          <w:sz w:val="16"/>
        </w:rPr>
        <w:t> </w:t>
      </w:r>
      <w:r>
        <w:rPr>
          <w:i/>
          <w:sz w:val="16"/>
        </w:rPr>
        <w:t>toda</w:t>
      </w:r>
      <w:r>
        <w:rPr>
          <w:i/>
          <w:spacing w:val="17"/>
          <w:sz w:val="16"/>
        </w:rPr>
        <w:t> </w:t>
      </w:r>
      <w:r>
        <w:rPr>
          <w:i/>
          <w:sz w:val="16"/>
        </w:rPr>
        <w:t>parte</w:t>
      </w:r>
      <w:r>
        <w:rPr>
          <w:i/>
          <w:spacing w:val="16"/>
          <w:sz w:val="16"/>
        </w:rPr>
        <w:t> </w:t>
      </w:r>
      <w:r>
        <w:rPr>
          <w:i/>
          <w:sz w:val="16"/>
        </w:rPr>
        <w:t>en</w:t>
      </w:r>
      <w:r>
        <w:rPr>
          <w:i/>
          <w:spacing w:val="16"/>
          <w:sz w:val="16"/>
        </w:rPr>
        <w:t> </w:t>
      </w:r>
      <w:r>
        <w:rPr>
          <w:i/>
          <w:sz w:val="16"/>
        </w:rPr>
        <w:t>el</w:t>
      </w:r>
      <w:r>
        <w:rPr>
          <w:i/>
          <w:spacing w:val="17"/>
          <w:sz w:val="16"/>
        </w:rPr>
        <w:t> </w:t>
      </w:r>
      <w:r>
        <w:rPr>
          <w:i/>
          <w:sz w:val="16"/>
        </w:rPr>
        <w:t>tratado</w:t>
      </w:r>
      <w:r>
        <w:rPr>
          <w:i/>
          <w:spacing w:val="17"/>
          <w:sz w:val="16"/>
        </w:rPr>
        <w:t> </w:t>
      </w:r>
      <w:r>
        <w:rPr>
          <w:i/>
          <w:sz w:val="16"/>
        </w:rPr>
        <w:t>que</w:t>
      </w:r>
      <w:r>
        <w:rPr>
          <w:i/>
          <w:spacing w:val="18"/>
          <w:sz w:val="16"/>
        </w:rPr>
        <w:t> </w:t>
      </w:r>
      <w:r>
        <w:rPr>
          <w:i/>
          <w:sz w:val="16"/>
        </w:rPr>
        <w:t>no</w:t>
      </w:r>
      <w:r>
        <w:rPr>
          <w:i/>
          <w:spacing w:val="18"/>
          <w:sz w:val="16"/>
        </w:rPr>
        <w:t> </w:t>
      </w:r>
      <w:r>
        <w:rPr>
          <w:i/>
          <w:sz w:val="16"/>
        </w:rPr>
        <w:t>esté</w:t>
      </w:r>
      <w:r>
        <w:rPr>
          <w:i/>
          <w:spacing w:val="16"/>
          <w:sz w:val="16"/>
        </w:rPr>
        <w:t> </w:t>
      </w:r>
      <w:r>
        <w:rPr>
          <w:i/>
          <w:sz w:val="16"/>
        </w:rPr>
        <w:t>obligada</w:t>
      </w:r>
      <w:r>
        <w:rPr>
          <w:i/>
          <w:spacing w:val="17"/>
          <w:sz w:val="16"/>
        </w:rPr>
        <w:t> </w:t>
      </w:r>
      <w:r>
        <w:rPr>
          <w:i/>
          <w:sz w:val="16"/>
        </w:rPr>
        <w:t>por</w:t>
      </w:r>
      <w:r>
        <w:rPr>
          <w:i/>
          <w:spacing w:val="17"/>
          <w:sz w:val="16"/>
        </w:rPr>
        <w:t> </w:t>
      </w:r>
      <w:r>
        <w:rPr>
          <w:i/>
          <w:sz w:val="16"/>
        </w:rPr>
        <w:t>el</w:t>
      </w:r>
    </w:p>
    <w:p>
      <w:pPr>
        <w:spacing w:before="0"/>
        <w:ind w:left="681" w:right="0" w:firstLine="0"/>
        <w:jc w:val="both"/>
        <w:rPr>
          <w:i/>
          <w:sz w:val="16"/>
        </w:rPr>
      </w:pPr>
      <w:r>
        <w:rPr>
          <w:i/>
          <w:sz w:val="16"/>
        </w:rPr>
        <w:t>acuerdo en virtud del cual se enmiende el tratado.”</w:t>
      </w:r>
    </w:p>
    <w:p>
      <w:pPr>
        <w:pStyle w:val="BodyText"/>
        <w:rPr>
          <w:i/>
          <w:sz w:val="16"/>
        </w:rPr>
      </w:pPr>
    </w:p>
    <w:p>
      <w:pPr>
        <w:spacing w:before="0"/>
        <w:ind w:left="681" w:right="122" w:firstLine="0"/>
        <w:jc w:val="both"/>
        <w:rPr>
          <w:i/>
          <w:sz w:val="16"/>
        </w:rPr>
      </w:pPr>
      <w:r>
        <w:rPr>
          <w:position w:val="6"/>
          <w:sz w:val="10"/>
        </w:rPr>
        <w:t>117 </w:t>
      </w:r>
      <w:r>
        <w:rPr>
          <w:sz w:val="16"/>
        </w:rPr>
        <w:t>Art.41: </w:t>
      </w:r>
      <w:r>
        <w:rPr>
          <w:i/>
          <w:sz w:val="16"/>
        </w:rPr>
        <w:t>“Acuerdos para modificar tratados multilaterales entre algunas de las partes únicamente. 1. Dos o </w:t>
      </w:r>
      <w:r>
        <w:rPr>
          <w:i/>
          <w:sz w:val="16"/>
        </w:rPr>
        <w:t>más partes en un tratado multilateral podrán celebrar un acuerdo que tenga por objeto modificar el tratado únicamente en sus relaciones mutuas:</w:t>
      </w:r>
    </w:p>
    <w:p>
      <w:pPr>
        <w:pStyle w:val="ListParagraph"/>
        <w:numPr>
          <w:ilvl w:val="0"/>
          <w:numId w:val="68"/>
        </w:numPr>
        <w:tabs>
          <w:tab w:pos="907" w:val="left" w:leader="none"/>
        </w:tabs>
        <w:spacing w:line="240" w:lineRule="auto" w:before="0" w:after="0"/>
        <w:ind w:left="906" w:right="0" w:hanging="225"/>
        <w:jc w:val="both"/>
        <w:rPr>
          <w:i/>
          <w:sz w:val="16"/>
        </w:rPr>
      </w:pPr>
      <w:r>
        <w:rPr>
          <w:i/>
          <w:sz w:val="16"/>
        </w:rPr>
        <w:t>si la posibilidad de tal modificación esta prevista por el tratado:</w:t>
      </w:r>
      <w:r>
        <w:rPr>
          <w:i/>
          <w:spacing w:val="-19"/>
          <w:sz w:val="16"/>
        </w:rPr>
        <w:t> </w:t>
      </w:r>
      <w:r>
        <w:rPr>
          <w:i/>
          <w:sz w:val="16"/>
        </w:rPr>
        <w:t>o</w:t>
      </w:r>
    </w:p>
    <w:p>
      <w:pPr>
        <w:pStyle w:val="ListParagraph"/>
        <w:numPr>
          <w:ilvl w:val="0"/>
          <w:numId w:val="68"/>
        </w:numPr>
        <w:tabs>
          <w:tab w:pos="910" w:val="left" w:leader="none"/>
        </w:tabs>
        <w:spacing w:line="240" w:lineRule="auto" w:before="0" w:after="0"/>
        <w:ind w:left="909" w:right="0" w:hanging="228"/>
        <w:jc w:val="both"/>
        <w:rPr>
          <w:i/>
          <w:sz w:val="16"/>
        </w:rPr>
      </w:pPr>
      <w:r>
        <w:rPr>
          <w:i/>
          <w:sz w:val="16"/>
        </w:rPr>
        <w:t>si tal modificación no está prohibida por el tratado. a condición de</w:t>
      </w:r>
      <w:r>
        <w:rPr>
          <w:i/>
          <w:spacing w:val="-19"/>
          <w:sz w:val="16"/>
        </w:rPr>
        <w:t> </w:t>
      </w:r>
      <w:r>
        <w:rPr>
          <w:i/>
          <w:sz w:val="16"/>
        </w:rPr>
        <w:t>que:</w:t>
      </w:r>
    </w:p>
    <w:p>
      <w:pPr>
        <w:pStyle w:val="ListParagraph"/>
        <w:numPr>
          <w:ilvl w:val="0"/>
          <w:numId w:val="69"/>
        </w:numPr>
        <w:tabs>
          <w:tab w:pos="883" w:val="left" w:leader="none"/>
        </w:tabs>
        <w:spacing w:line="240" w:lineRule="auto" w:before="0" w:after="0"/>
        <w:ind w:left="681" w:right="125" w:firstLine="0"/>
        <w:jc w:val="both"/>
        <w:rPr>
          <w:i/>
          <w:sz w:val="16"/>
        </w:rPr>
      </w:pPr>
      <w:r>
        <w:rPr>
          <w:i/>
          <w:sz w:val="16"/>
        </w:rPr>
        <w:t>no afecte al disfrute de los derechos que a las demás partes correspondan en virtud del tratado ni al </w:t>
      </w:r>
      <w:r>
        <w:rPr>
          <w:i/>
          <w:sz w:val="16"/>
        </w:rPr>
        <w:t>cumplimiento de sus obligaciones:</w:t>
      </w:r>
      <w:r>
        <w:rPr>
          <w:i/>
          <w:spacing w:val="-12"/>
          <w:sz w:val="16"/>
        </w:rPr>
        <w:t> </w:t>
      </w:r>
      <w:r>
        <w:rPr>
          <w:i/>
          <w:sz w:val="16"/>
        </w:rPr>
        <w:t>y</w:t>
      </w:r>
    </w:p>
    <w:p>
      <w:pPr>
        <w:pStyle w:val="ListParagraph"/>
        <w:numPr>
          <w:ilvl w:val="0"/>
          <w:numId w:val="69"/>
        </w:numPr>
        <w:tabs>
          <w:tab w:pos="888" w:val="left" w:leader="none"/>
        </w:tabs>
        <w:spacing w:line="240" w:lineRule="auto" w:before="0" w:after="0"/>
        <w:ind w:left="681" w:right="119" w:firstLine="0"/>
        <w:jc w:val="both"/>
        <w:rPr>
          <w:i/>
          <w:sz w:val="16"/>
        </w:rPr>
      </w:pPr>
      <w:r>
        <w:rPr>
          <w:i/>
          <w:sz w:val="16"/>
        </w:rPr>
        <w:t>no</w:t>
      </w:r>
      <w:r>
        <w:rPr>
          <w:i/>
          <w:spacing w:val="-13"/>
          <w:sz w:val="16"/>
        </w:rPr>
        <w:t> </w:t>
      </w:r>
      <w:r>
        <w:rPr>
          <w:i/>
          <w:sz w:val="16"/>
        </w:rPr>
        <w:t>se</w:t>
      </w:r>
      <w:r>
        <w:rPr>
          <w:i/>
          <w:spacing w:val="-14"/>
          <w:sz w:val="16"/>
        </w:rPr>
        <w:t> </w:t>
      </w:r>
      <w:r>
        <w:rPr>
          <w:i/>
          <w:sz w:val="16"/>
        </w:rPr>
        <w:t>refiera</w:t>
      </w:r>
      <w:r>
        <w:rPr>
          <w:i/>
          <w:spacing w:val="-14"/>
          <w:sz w:val="16"/>
        </w:rPr>
        <w:t> </w:t>
      </w:r>
      <w:r>
        <w:rPr>
          <w:i/>
          <w:sz w:val="16"/>
        </w:rPr>
        <w:t>a</w:t>
      </w:r>
      <w:r>
        <w:rPr>
          <w:i/>
          <w:spacing w:val="-13"/>
          <w:sz w:val="16"/>
        </w:rPr>
        <w:t> </w:t>
      </w:r>
      <w:r>
        <w:rPr>
          <w:i/>
          <w:sz w:val="16"/>
        </w:rPr>
        <w:t>ninguna</w:t>
      </w:r>
      <w:r>
        <w:rPr>
          <w:i/>
          <w:spacing w:val="-14"/>
          <w:sz w:val="16"/>
        </w:rPr>
        <w:t> </w:t>
      </w:r>
      <w:r>
        <w:rPr>
          <w:i/>
          <w:sz w:val="16"/>
        </w:rPr>
        <w:t>disposición</w:t>
      </w:r>
      <w:r>
        <w:rPr>
          <w:i/>
          <w:spacing w:val="-13"/>
          <w:sz w:val="16"/>
        </w:rPr>
        <w:t> </w:t>
      </w:r>
      <w:r>
        <w:rPr>
          <w:i/>
          <w:sz w:val="16"/>
        </w:rPr>
        <w:t>cuya</w:t>
      </w:r>
      <w:r>
        <w:rPr>
          <w:i/>
          <w:spacing w:val="-13"/>
          <w:sz w:val="16"/>
        </w:rPr>
        <w:t> </w:t>
      </w:r>
      <w:r>
        <w:rPr>
          <w:i/>
          <w:sz w:val="16"/>
        </w:rPr>
        <w:t>modificación</w:t>
      </w:r>
      <w:r>
        <w:rPr>
          <w:i/>
          <w:spacing w:val="-13"/>
          <w:sz w:val="16"/>
        </w:rPr>
        <w:t> </w:t>
      </w:r>
      <w:r>
        <w:rPr>
          <w:i/>
          <w:sz w:val="16"/>
        </w:rPr>
        <w:t>sea</w:t>
      </w:r>
      <w:r>
        <w:rPr>
          <w:i/>
          <w:spacing w:val="-13"/>
          <w:sz w:val="16"/>
        </w:rPr>
        <w:t> </w:t>
      </w:r>
      <w:r>
        <w:rPr>
          <w:i/>
          <w:sz w:val="16"/>
        </w:rPr>
        <w:t>incompatible</w:t>
      </w:r>
      <w:r>
        <w:rPr>
          <w:i/>
          <w:spacing w:val="-13"/>
          <w:sz w:val="16"/>
        </w:rPr>
        <w:t> </w:t>
      </w:r>
      <w:r>
        <w:rPr>
          <w:i/>
          <w:sz w:val="16"/>
        </w:rPr>
        <w:t>con</w:t>
      </w:r>
      <w:r>
        <w:rPr>
          <w:i/>
          <w:spacing w:val="-13"/>
          <w:sz w:val="16"/>
        </w:rPr>
        <w:t> </w:t>
      </w:r>
      <w:r>
        <w:rPr>
          <w:i/>
          <w:sz w:val="16"/>
        </w:rPr>
        <w:t>la</w:t>
      </w:r>
      <w:r>
        <w:rPr>
          <w:i/>
          <w:spacing w:val="-13"/>
          <w:sz w:val="16"/>
        </w:rPr>
        <w:t> </w:t>
      </w:r>
      <w:r>
        <w:rPr>
          <w:i/>
          <w:sz w:val="16"/>
        </w:rPr>
        <w:t>consecución</w:t>
      </w:r>
      <w:r>
        <w:rPr>
          <w:i/>
          <w:spacing w:val="-13"/>
          <w:sz w:val="16"/>
        </w:rPr>
        <w:t> </w:t>
      </w:r>
      <w:r>
        <w:rPr>
          <w:i/>
          <w:sz w:val="16"/>
        </w:rPr>
        <w:t>efectiva</w:t>
      </w:r>
      <w:r>
        <w:rPr>
          <w:i/>
          <w:spacing w:val="-13"/>
          <w:sz w:val="16"/>
        </w:rPr>
        <w:t> </w:t>
      </w:r>
      <w:r>
        <w:rPr>
          <w:i/>
          <w:sz w:val="16"/>
        </w:rPr>
        <w:t>del</w:t>
      </w:r>
      <w:r>
        <w:rPr>
          <w:i/>
          <w:spacing w:val="-13"/>
          <w:sz w:val="16"/>
        </w:rPr>
        <w:t> </w:t>
      </w:r>
      <w:r>
        <w:rPr>
          <w:i/>
          <w:sz w:val="16"/>
        </w:rPr>
        <w:t>objeto </w:t>
      </w:r>
      <w:r>
        <w:rPr>
          <w:i/>
          <w:sz w:val="16"/>
        </w:rPr>
        <w:t>y del fin del tratado en su</w:t>
      </w:r>
      <w:r>
        <w:rPr>
          <w:i/>
          <w:spacing w:val="-10"/>
          <w:sz w:val="16"/>
        </w:rPr>
        <w:t> </w:t>
      </w:r>
      <w:r>
        <w:rPr>
          <w:i/>
          <w:sz w:val="16"/>
        </w:rPr>
        <w:t>conjunto.</w:t>
      </w:r>
    </w:p>
    <w:p>
      <w:pPr>
        <w:spacing w:before="0"/>
        <w:ind w:left="681" w:right="125" w:firstLine="0"/>
        <w:jc w:val="both"/>
        <w:rPr>
          <w:i/>
          <w:sz w:val="16"/>
        </w:rPr>
      </w:pPr>
      <w:r>
        <w:rPr>
          <w:i/>
          <w:sz w:val="16"/>
        </w:rPr>
        <w:t>2. Salvo que en el caso previsto en el apartado a) del párrafo 1 el tratado disponga otra cosa, las partes </w:t>
      </w:r>
      <w:r>
        <w:rPr>
          <w:i/>
          <w:sz w:val="16"/>
        </w:rPr>
        <w:t>interesadas deberán notificar a las demás partes su intención de celebrar el acuerdo y la modificación del tratado que en ese acuerdo se disponga.</w:t>
      </w:r>
    </w:p>
    <w:p>
      <w:pPr>
        <w:spacing w:after="0"/>
        <w:jc w:val="both"/>
        <w:rPr>
          <w:sz w:val="16"/>
        </w:rPr>
        <w:sectPr>
          <w:pgSz w:w="12240" w:h="15840"/>
          <w:pgMar w:header="0" w:footer="1000" w:top="1460" w:bottom="1200" w:left="1020" w:right="1580"/>
        </w:sectPr>
      </w:pPr>
    </w:p>
    <w:p>
      <w:pPr>
        <w:pStyle w:val="ListParagraph"/>
        <w:numPr>
          <w:ilvl w:val="0"/>
          <w:numId w:val="70"/>
        </w:numPr>
        <w:tabs>
          <w:tab w:pos="1390" w:val="left" w:leader="none"/>
        </w:tabs>
        <w:spacing w:line="240" w:lineRule="auto" w:before="83" w:after="0"/>
        <w:ind w:left="681" w:right="116" w:firstLine="0"/>
        <w:jc w:val="both"/>
        <w:rPr>
          <w:sz w:val="20"/>
        </w:rPr>
      </w:pPr>
      <w:r>
        <w:rPr>
          <w:sz w:val="20"/>
        </w:rPr>
        <w:t>Pues bien, el Protocolo de San Salvador es una enmienda. Así se desprende de su propio texto, que contienen todos los elementos de una enmienda</w:t>
      </w:r>
      <w:r>
        <w:rPr>
          <w:position w:val="7"/>
          <w:sz w:val="13"/>
        </w:rPr>
        <w:t>118</w:t>
      </w:r>
      <w:r>
        <w:rPr>
          <w:sz w:val="20"/>
        </w:rPr>
        <w:t>. Pero, adicionalmente, contempla expresamente que él mismo sea enmendado</w:t>
      </w:r>
      <w:r>
        <w:rPr>
          <w:position w:val="7"/>
          <w:sz w:val="13"/>
        </w:rPr>
        <w:t>119</w:t>
      </w:r>
      <w:r>
        <w:rPr>
          <w:sz w:val="20"/>
        </w:rPr>
        <w:t>. Y al mismo tiempo y como una especie de enmienda, es un protocolo, figura prevista en la Convención</w:t>
      </w:r>
      <w:r>
        <w:rPr>
          <w:position w:val="7"/>
          <w:sz w:val="13"/>
        </w:rPr>
        <w:t>120 </w:t>
      </w:r>
      <w:r>
        <w:rPr>
          <w:sz w:val="20"/>
        </w:rPr>
        <w:t>Procede resaltar el hecho de que el propio Protocolo de San Salvador indica en su preámbulo que se adopta considerando que la Convención contempla esa posibilidad</w:t>
      </w:r>
      <w:r>
        <w:rPr>
          <w:position w:val="7"/>
          <w:sz w:val="13"/>
        </w:rPr>
        <w:t>121</w:t>
      </w:r>
      <w:r>
        <w:rPr>
          <w:sz w:val="20"/>
        </w:rPr>
        <w:t>. Se trata, pues, de un “protocolo adicional” suscrito “con la finalidad de incluir progresivamente en el régimen de protección de la misma otros derechos y libertades”, los que, por tanto, no estaban comprendidos en</w:t>
      </w:r>
      <w:r>
        <w:rPr>
          <w:spacing w:val="-9"/>
          <w:sz w:val="20"/>
        </w:rPr>
        <w:t> </w:t>
      </w:r>
      <w:r>
        <w:rPr>
          <w:sz w:val="20"/>
        </w:rPr>
        <w:t>ella.</w:t>
      </w:r>
    </w:p>
    <w:p>
      <w:pPr>
        <w:pStyle w:val="BodyText"/>
        <w:spacing w:before="11"/>
        <w:rPr>
          <w:sz w:val="19"/>
        </w:rPr>
      </w:pPr>
    </w:p>
    <w:p>
      <w:pPr>
        <w:pStyle w:val="ListParagraph"/>
        <w:numPr>
          <w:ilvl w:val="0"/>
          <w:numId w:val="70"/>
        </w:numPr>
        <w:tabs>
          <w:tab w:pos="1390" w:val="left" w:leader="none"/>
        </w:tabs>
        <w:spacing w:line="240" w:lineRule="auto" w:before="0" w:after="0"/>
        <w:ind w:left="681" w:right="117" w:firstLine="0"/>
        <w:jc w:val="both"/>
        <w:rPr>
          <w:sz w:val="20"/>
        </w:rPr>
      </w:pPr>
      <w:r>
        <w:rPr>
          <w:sz w:val="20"/>
        </w:rPr>
        <w:t>De manera, en consecuencia, que dicho instrumento, al establecer en su</w:t>
      </w:r>
      <w:r>
        <w:rPr>
          <w:spacing w:val="-43"/>
          <w:sz w:val="20"/>
        </w:rPr>
        <w:t> </w:t>
      </w:r>
      <w:r>
        <w:rPr>
          <w:sz w:val="20"/>
        </w:rPr>
        <w:t>artículo 19 la competencia de la Corte para conocer las eventuales violaciones de los derechos referidos a los sindicatos y a la educación, no está limitando a aquella sino todo lo contrario, la está ampliando. De no existir el Protocolo de San Salvador, la Corte no podría conocer ni siquiera la eventual violación de esos</w:t>
      </w:r>
      <w:r>
        <w:rPr>
          <w:spacing w:val="-17"/>
          <w:sz w:val="20"/>
        </w:rPr>
        <w:t> </w:t>
      </w:r>
      <w:r>
        <w:rPr>
          <w:sz w:val="20"/>
        </w:rPr>
        <w:t>derechos.</w:t>
      </w:r>
    </w:p>
    <w:p>
      <w:pPr>
        <w:pStyle w:val="BodyText"/>
        <w:spacing w:before="11"/>
        <w:rPr>
          <w:sz w:val="19"/>
        </w:rPr>
      </w:pPr>
    </w:p>
    <w:p>
      <w:pPr>
        <w:pStyle w:val="ListParagraph"/>
        <w:numPr>
          <w:ilvl w:val="0"/>
          <w:numId w:val="70"/>
        </w:numPr>
        <w:tabs>
          <w:tab w:pos="1390" w:val="left" w:leader="none"/>
        </w:tabs>
        <w:spacing w:line="240" w:lineRule="auto" w:before="0" w:after="0"/>
        <w:ind w:left="681" w:right="117" w:firstLine="0"/>
        <w:jc w:val="both"/>
        <w:rPr>
          <w:sz w:val="20"/>
        </w:rPr>
      </w:pPr>
      <w:r>
        <w:rPr>
          <w:sz w:val="20"/>
        </w:rPr>
        <w:t>Por</w:t>
      </w:r>
      <w:r>
        <w:rPr>
          <w:spacing w:val="-10"/>
          <w:sz w:val="20"/>
        </w:rPr>
        <w:t> </w:t>
      </w:r>
      <w:r>
        <w:rPr>
          <w:sz w:val="20"/>
        </w:rPr>
        <w:t>otra</w:t>
      </w:r>
      <w:r>
        <w:rPr>
          <w:spacing w:val="-10"/>
          <w:sz w:val="20"/>
        </w:rPr>
        <w:t> </w:t>
      </w:r>
      <w:r>
        <w:rPr>
          <w:sz w:val="20"/>
        </w:rPr>
        <w:t>parte,</w:t>
      </w:r>
      <w:r>
        <w:rPr>
          <w:spacing w:val="-10"/>
          <w:sz w:val="20"/>
        </w:rPr>
        <w:t> </w:t>
      </w:r>
      <w:r>
        <w:rPr>
          <w:sz w:val="20"/>
        </w:rPr>
        <w:t>también</w:t>
      </w:r>
      <w:r>
        <w:rPr>
          <w:spacing w:val="-12"/>
          <w:sz w:val="20"/>
        </w:rPr>
        <w:t> </w:t>
      </w:r>
      <w:r>
        <w:rPr>
          <w:sz w:val="20"/>
        </w:rPr>
        <w:t>el</w:t>
      </w:r>
      <w:r>
        <w:rPr>
          <w:spacing w:val="-10"/>
          <w:sz w:val="20"/>
        </w:rPr>
        <w:t> </w:t>
      </w:r>
      <w:r>
        <w:rPr>
          <w:sz w:val="20"/>
        </w:rPr>
        <w:t>fallo</w:t>
      </w:r>
      <w:r>
        <w:rPr>
          <w:spacing w:val="-10"/>
          <w:sz w:val="20"/>
        </w:rPr>
        <w:t> </w:t>
      </w:r>
      <w:r>
        <w:rPr>
          <w:sz w:val="20"/>
        </w:rPr>
        <w:t>que</w:t>
      </w:r>
      <w:r>
        <w:rPr>
          <w:spacing w:val="-11"/>
          <w:sz w:val="20"/>
        </w:rPr>
        <w:t> </w:t>
      </w:r>
      <w:r>
        <w:rPr>
          <w:sz w:val="20"/>
        </w:rPr>
        <w:t>se</w:t>
      </w:r>
      <w:r>
        <w:rPr>
          <w:spacing w:val="-10"/>
          <w:sz w:val="20"/>
        </w:rPr>
        <w:t> </w:t>
      </w:r>
      <w:r>
        <w:rPr>
          <w:sz w:val="20"/>
        </w:rPr>
        <w:t>ha</w:t>
      </w:r>
      <w:r>
        <w:rPr>
          <w:spacing w:val="-9"/>
          <w:sz w:val="20"/>
        </w:rPr>
        <w:t> </w:t>
      </w:r>
      <w:r>
        <w:rPr>
          <w:sz w:val="20"/>
        </w:rPr>
        <w:t>aludido</w:t>
      </w:r>
      <w:r>
        <w:rPr>
          <w:spacing w:val="-10"/>
          <w:sz w:val="20"/>
        </w:rPr>
        <w:t> </w:t>
      </w:r>
      <w:r>
        <w:rPr>
          <w:sz w:val="20"/>
        </w:rPr>
        <w:t>se</w:t>
      </w:r>
      <w:r>
        <w:rPr>
          <w:spacing w:val="-10"/>
          <w:sz w:val="20"/>
        </w:rPr>
        <w:t> </w:t>
      </w:r>
      <w:r>
        <w:rPr>
          <w:sz w:val="20"/>
        </w:rPr>
        <w:t>ha</w:t>
      </w:r>
      <w:r>
        <w:rPr>
          <w:spacing w:val="-9"/>
          <w:sz w:val="20"/>
        </w:rPr>
        <w:t> </w:t>
      </w:r>
      <w:r>
        <w:rPr>
          <w:sz w:val="20"/>
        </w:rPr>
        <w:t>equivocado</w:t>
      </w:r>
      <w:r>
        <w:rPr>
          <w:spacing w:val="-10"/>
          <w:sz w:val="20"/>
        </w:rPr>
        <w:t> </w:t>
      </w:r>
      <w:r>
        <w:rPr>
          <w:sz w:val="20"/>
        </w:rPr>
        <w:t>al</w:t>
      </w:r>
      <w:r>
        <w:rPr>
          <w:spacing w:val="-10"/>
          <w:sz w:val="20"/>
        </w:rPr>
        <w:t> </w:t>
      </w:r>
      <w:r>
        <w:rPr>
          <w:sz w:val="20"/>
        </w:rPr>
        <w:t>afirmar</w:t>
      </w:r>
      <w:r>
        <w:rPr>
          <w:spacing w:val="-10"/>
          <w:sz w:val="20"/>
        </w:rPr>
        <w:t> </w:t>
      </w:r>
      <w:r>
        <w:rPr>
          <w:sz w:val="20"/>
        </w:rPr>
        <w:t>que “(n)o queda duda que la voluntad de los Estados sobre la competencia de la Corte para pronunciarse</w:t>
      </w:r>
      <w:r>
        <w:rPr>
          <w:spacing w:val="-10"/>
          <w:sz w:val="20"/>
        </w:rPr>
        <w:t> </w:t>
      </w:r>
      <w:r>
        <w:rPr>
          <w:sz w:val="20"/>
        </w:rPr>
        <w:t>sobre</w:t>
      </w:r>
      <w:r>
        <w:rPr>
          <w:spacing w:val="-11"/>
          <w:sz w:val="20"/>
        </w:rPr>
        <w:t> </w:t>
      </w:r>
      <w:r>
        <w:rPr>
          <w:sz w:val="20"/>
        </w:rPr>
        <w:t>violaciones</w:t>
      </w:r>
      <w:r>
        <w:rPr>
          <w:spacing w:val="-12"/>
          <w:sz w:val="20"/>
        </w:rPr>
        <w:t> </w:t>
      </w:r>
      <w:r>
        <w:rPr>
          <w:sz w:val="20"/>
        </w:rPr>
        <w:t>al</w:t>
      </w:r>
      <w:r>
        <w:rPr>
          <w:spacing w:val="-12"/>
          <w:sz w:val="20"/>
        </w:rPr>
        <w:t> </w:t>
      </w:r>
      <w:r>
        <w:rPr>
          <w:sz w:val="20"/>
        </w:rPr>
        <w:t>Protocolo</w:t>
      </w:r>
      <w:r>
        <w:rPr>
          <w:spacing w:val="-11"/>
          <w:sz w:val="20"/>
        </w:rPr>
        <w:t> </w:t>
      </w:r>
      <w:r>
        <w:rPr>
          <w:sz w:val="20"/>
        </w:rPr>
        <w:t>de</w:t>
      </w:r>
      <w:r>
        <w:rPr>
          <w:spacing w:val="-12"/>
          <w:sz w:val="20"/>
        </w:rPr>
        <w:t> </w:t>
      </w:r>
      <w:r>
        <w:rPr>
          <w:sz w:val="20"/>
        </w:rPr>
        <w:t>San</w:t>
      </w:r>
      <w:r>
        <w:rPr>
          <w:spacing w:val="-10"/>
          <w:sz w:val="20"/>
        </w:rPr>
        <w:t> </w:t>
      </w:r>
      <w:r>
        <w:rPr>
          <w:sz w:val="20"/>
        </w:rPr>
        <w:t>Salvador</w:t>
      </w:r>
      <w:r>
        <w:rPr>
          <w:spacing w:val="-11"/>
          <w:sz w:val="20"/>
        </w:rPr>
        <w:t> </w:t>
      </w:r>
      <w:r>
        <w:rPr>
          <w:sz w:val="20"/>
        </w:rPr>
        <w:t>encuentra</w:t>
      </w:r>
      <w:r>
        <w:rPr>
          <w:spacing w:val="-11"/>
          <w:sz w:val="20"/>
        </w:rPr>
        <w:t> </w:t>
      </w:r>
      <w:r>
        <w:rPr>
          <w:sz w:val="20"/>
        </w:rPr>
        <w:t>sus</w:t>
      </w:r>
      <w:r>
        <w:rPr>
          <w:spacing w:val="-11"/>
          <w:sz w:val="20"/>
        </w:rPr>
        <w:t> </w:t>
      </w:r>
      <w:r>
        <w:rPr>
          <w:sz w:val="20"/>
        </w:rPr>
        <w:t>límites</w:t>
      </w:r>
      <w:r>
        <w:rPr>
          <w:spacing w:val="-11"/>
          <w:sz w:val="20"/>
        </w:rPr>
        <w:t> </w:t>
      </w:r>
      <w:r>
        <w:rPr>
          <w:sz w:val="20"/>
        </w:rPr>
        <w:t>en</w:t>
      </w:r>
      <w:r>
        <w:rPr>
          <w:spacing w:val="-11"/>
          <w:sz w:val="20"/>
        </w:rPr>
        <w:t> </w:t>
      </w:r>
      <w:r>
        <w:rPr>
          <w:sz w:val="20"/>
        </w:rPr>
        <w:t>los derechos sindicales y el derecho a la educación”</w:t>
      </w:r>
      <w:r>
        <w:rPr>
          <w:position w:val="7"/>
          <w:sz w:val="13"/>
        </w:rPr>
        <w:t>122</w:t>
      </w:r>
      <w:r>
        <w:rPr>
          <w:sz w:val="20"/>
        </w:rPr>
        <w:t>, ya que lo que establece el  </w:t>
      </w:r>
      <w:r>
        <w:rPr>
          <w:spacing w:val="2"/>
          <w:sz w:val="20"/>
        </w:rPr>
        <w:t> </w:t>
      </w:r>
      <w:r>
        <w:rPr>
          <w:sz w:val="20"/>
        </w:rPr>
        <w:t>artículo</w:t>
      </w:r>
    </w:p>
    <w:p>
      <w:pPr>
        <w:pStyle w:val="BodyText"/>
        <w:ind w:left="681" w:right="117"/>
        <w:jc w:val="both"/>
      </w:pPr>
      <w:r>
        <w:rPr/>
        <w:t>19.6</w:t>
      </w:r>
      <w:r>
        <w:rPr>
          <w:spacing w:val="-6"/>
        </w:rPr>
        <w:t> </w:t>
      </w:r>
      <w:r>
        <w:rPr/>
        <w:t>de</w:t>
      </w:r>
      <w:r>
        <w:rPr>
          <w:spacing w:val="-6"/>
        </w:rPr>
        <w:t> </w:t>
      </w:r>
      <w:r>
        <w:rPr/>
        <w:t>ese</w:t>
      </w:r>
      <w:r>
        <w:rPr>
          <w:spacing w:val="-6"/>
        </w:rPr>
        <w:t> </w:t>
      </w:r>
      <w:r>
        <w:rPr/>
        <w:t>tratado</w:t>
      </w:r>
      <w:r>
        <w:rPr>
          <w:spacing w:val="-7"/>
        </w:rPr>
        <w:t> </w:t>
      </w:r>
      <w:r>
        <w:rPr/>
        <w:t>es,</w:t>
      </w:r>
      <w:r>
        <w:rPr>
          <w:spacing w:val="-8"/>
        </w:rPr>
        <w:t> </w:t>
      </w:r>
      <w:r>
        <w:rPr/>
        <w:t>muy</w:t>
      </w:r>
      <w:r>
        <w:rPr>
          <w:spacing w:val="-6"/>
        </w:rPr>
        <w:t> </w:t>
      </w:r>
      <w:r>
        <w:rPr/>
        <w:t>por</w:t>
      </w:r>
      <w:r>
        <w:rPr>
          <w:spacing w:val="-8"/>
        </w:rPr>
        <w:t> </w:t>
      </w:r>
      <w:r>
        <w:rPr/>
        <w:t>el</w:t>
      </w:r>
      <w:r>
        <w:rPr>
          <w:spacing w:val="-7"/>
        </w:rPr>
        <w:t> </w:t>
      </w:r>
      <w:r>
        <w:rPr/>
        <w:t>contrario,</w:t>
      </w:r>
      <w:r>
        <w:rPr>
          <w:spacing w:val="-8"/>
        </w:rPr>
        <w:t> </w:t>
      </w:r>
      <w:r>
        <w:rPr/>
        <w:t>que</w:t>
      </w:r>
      <w:r>
        <w:rPr>
          <w:spacing w:val="-6"/>
        </w:rPr>
        <w:t> </w:t>
      </w:r>
      <w:r>
        <w:rPr/>
        <w:t>de</w:t>
      </w:r>
      <w:r>
        <w:rPr>
          <w:spacing w:val="-5"/>
        </w:rPr>
        <w:t> </w:t>
      </w:r>
      <w:r>
        <w:rPr/>
        <w:t>las</w:t>
      </w:r>
      <w:r>
        <w:rPr>
          <w:spacing w:val="-7"/>
        </w:rPr>
        <w:t> </w:t>
      </w:r>
      <w:r>
        <w:rPr/>
        <w:t>eventuales</w:t>
      </w:r>
      <w:r>
        <w:rPr>
          <w:spacing w:val="-6"/>
        </w:rPr>
        <w:t> </w:t>
      </w:r>
      <w:r>
        <w:rPr/>
        <w:t>violaciones</w:t>
      </w:r>
      <w:r>
        <w:rPr>
          <w:spacing w:val="-5"/>
        </w:rPr>
        <w:t> </w:t>
      </w:r>
      <w:r>
        <w:rPr/>
        <w:t>de</w:t>
      </w:r>
      <w:r>
        <w:rPr>
          <w:spacing w:val="-8"/>
        </w:rPr>
        <w:t> </w:t>
      </w:r>
      <w:r>
        <w:rPr/>
        <w:t>todos los derechos que reconoce, establece, enuncia o consagra, únicamente puede conocer de las pertinentes al “derecho de los trabajadores a organizar sindicatos y a afiliarse al de su elección, para la protección y promoción de sus intereses” y al derecho a la educación</w:t>
      </w:r>
      <w:r>
        <w:rPr>
          <w:position w:val="7"/>
          <w:sz w:val="13"/>
        </w:rPr>
        <w:t>123</w:t>
      </w:r>
      <w:r>
        <w:rPr/>
        <w:t>. Todas las presuntas violaciones a los demás derechos que el Protocolo de San Salvador que reconoce, establece, enuncia o consagra, incluidas, por ende, las concernientes al derecho a la la identidad cultural (art.14), al medio ambiente sano (art.11)   a   la   alimentación   adecuada   (art.12)   y   al   agua,   quedan</w:t>
      </w:r>
      <w:r>
        <w:rPr>
          <w:spacing w:val="32"/>
        </w:rPr>
        <w:t> </w:t>
      </w:r>
      <w:r>
        <w:rPr/>
        <w:t>sometidas,</w:t>
      </w:r>
    </w:p>
    <w:p>
      <w:pPr>
        <w:pStyle w:val="BodyText"/>
      </w:pPr>
    </w:p>
    <w:p>
      <w:pPr>
        <w:pStyle w:val="BodyText"/>
        <w:spacing w:before="12"/>
        <w:rPr>
          <w:sz w:val="25"/>
        </w:rPr>
      </w:pPr>
      <w:r>
        <w:rPr/>
        <w:pict>
          <v:line style="position:absolute;mso-position-horizontal-relative:page;mso-position-vertical-relative:paragraph;z-index:4456;mso-wrap-distance-left:0;mso-wrap-distance-right:0" from="56.700001pt,18.116680pt" to="200.720001pt,18.116680pt" stroked="true" strokeweight=".72pt" strokecolor="#000000">
            <v:stroke dashstyle="solid"/>
            <w10:wrap type="topAndBottom"/>
          </v:line>
        </w:pict>
      </w:r>
    </w:p>
    <w:p>
      <w:pPr>
        <w:spacing w:before="66"/>
        <w:ind w:left="681" w:right="0" w:firstLine="0"/>
        <w:jc w:val="both"/>
        <w:rPr>
          <w:i/>
          <w:sz w:val="16"/>
        </w:rPr>
      </w:pPr>
      <w:r>
        <w:rPr>
          <w:rFonts w:ascii="Calibri" w:hAnsi="Calibri"/>
          <w:position w:val="7"/>
          <w:sz w:val="13"/>
        </w:rPr>
        <w:t>118 </w:t>
      </w:r>
      <w:r>
        <w:rPr>
          <w:sz w:val="16"/>
        </w:rPr>
        <w:t>Art.21: </w:t>
      </w:r>
      <w:r>
        <w:rPr>
          <w:i/>
          <w:sz w:val="16"/>
        </w:rPr>
        <w:t>“Firma, Ratificación o Adhesión. Entrada en Vigor. 1. El presente Protocolo queda abierto a la firma</w:t>
      </w:r>
    </w:p>
    <w:p>
      <w:pPr>
        <w:spacing w:before="20"/>
        <w:ind w:left="681" w:right="0" w:firstLine="0"/>
        <w:jc w:val="both"/>
        <w:rPr>
          <w:i/>
          <w:sz w:val="16"/>
        </w:rPr>
      </w:pPr>
      <w:r>
        <w:rPr>
          <w:i/>
          <w:sz w:val="16"/>
        </w:rPr>
        <w:t>y a la ratificación o adhesión de todo Estado parte de la Convención Americana sobre Derechos Humanos.</w:t>
      </w:r>
    </w:p>
    <w:p>
      <w:pPr>
        <w:pStyle w:val="ListParagraph"/>
        <w:numPr>
          <w:ilvl w:val="0"/>
          <w:numId w:val="71"/>
        </w:numPr>
        <w:tabs>
          <w:tab w:pos="888" w:val="left" w:leader="none"/>
        </w:tabs>
        <w:spacing w:line="240" w:lineRule="auto" w:before="0" w:after="0"/>
        <w:ind w:left="681" w:right="121" w:firstLine="0"/>
        <w:jc w:val="both"/>
        <w:rPr>
          <w:i/>
          <w:sz w:val="16"/>
        </w:rPr>
      </w:pPr>
      <w:r>
        <w:rPr>
          <w:i/>
          <w:sz w:val="16"/>
        </w:rPr>
        <w:t>La</w:t>
      </w:r>
      <w:r>
        <w:rPr>
          <w:i/>
          <w:spacing w:val="-12"/>
          <w:sz w:val="16"/>
        </w:rPr>
        <w:t> </w:t>
      </w:r>
      <w:r>
        <w:rPr>
          <w:i/>
          <w:sz w:val="16"/>
        </w:rPr>
        <w:t>ratificación</w:t>
      </w:r>
      <w:r>
        <w:rPr>
          <w:i/>
          <w:spacing w:val="-12"/>
          <w:sz w:val="16"/>
        </w:rPr>
        <w:t> </w:t>
      </w:r>
      <w:r>
        <w:rPr>
          <w:i/>
          <w:sz w:val="16"/>
        </w:rPr>
        <w:t>de</w:t>
      </w:r>
      <w:r>
        <w:rPr>
          <w:i/>
          <w:spacing w:val="-12"/>
          <w:sz w:val="16"/>
        </w:rPr>
        <w:t> </w:t>
      </w:r>
      <w:r>
        <w:rPr>
          <w:i/>
          <w:sz w:val="16"/>
        </w:rPr>
        <w:t>este</w:t>
      </w:r>
      <w:r>
        <w:rPr>
          <w:i/>
          <w:spacing w:val="-12"/>
          <w:sz w:val="16"/>
        </w:rPr>
        <w:t> </w:t>
      </w:r>
      <w:r>
        <w:rPr>
          <w:i/>
          <w:sz w:val="16"/>
        </w:rPr>
        <w:t>Protocolo</w:t>
      </w:r>
      <w:r>
        <w:rPr>
          <w:i/>
          <w:spacing w:val="-12"/>
          <w:sz w:val="16"/>
        </w:rPr>
        <w:t> </w:t>
      </w:r>
      <w:r>
        <w:rPr>
          <w:i/>
          <w:sz w:val="16"/>
        </w:rPr>
        <w:t>o</w:t>
      </w:r>
      <w:r>
        <w:rPr>
          <w:i/>
          <w:spacing w:val="-12"/>
          <w:sz w:val="16"/>
        </w:rPr>
        <w:t> </w:t>
      </w:r>
      <w:r>
        <w:rPr>
          <w:i/>
          <w:sz w:val="16"/>
        </w:rPr>
        <w:t>la</w:t>
      </w:r>
      <w:r>
        <w:rPr>
          <w:i/>
          <w:spacing w:val="-12"/>
          <w:sz w:val="16"/>
        </w:rPr>
        <w:t> </w:t>
      </w:r>
      <w:r>
        <w:rPr>
          <w:i/>
          <w:sz w:val="16"/>
        </w:rPr>
        <w:t>adhesión</w:t>
      </w:r>
      <w:r>
        <w:rPr>
          <w:i/>
          <w:spacing w:val="-12"/>
          <w:sz w:val="16"/>
        </w:rPr>
        <w:t> </w:t>
      </w:r>
      <w:r>
        <w:rPr>
          <w:i/>
          <w:sz w:val="16"/>
        </w:rPr>
        <w:t>al</w:t>
      </w:r>
      <w:r>
        <w:rPr>
          <w:i/>
          <w:spacing w:val="-11"/>
          <w:sz w:val="16"/>
        </w:rPr>
        <w:t> </w:t>
      </w:r>
      <w:r>
        <w:rPr>
          <w:i/>
          <w:sz w:val="16"/>
        </w:rPr>
        <w:t>mismo</w:t>
      </w:r>
      <w:r>
        <w:rPr>
          <w:i/>
          <w:spacing w:val="-12"/>
          <w:sz w:val="16"/>
        </w:rPr>
        <w:t> </w:t>
      </w:r>
      <w:r>
        <w:rPr>
          <w:i/>
          <w:sz w:val="16"/>
        </w:rPr>
        <w:t>se</w:t>
      </w:r>
      <w:r>
        <w:rPr>
          <w:i/>
          <w:spacing w:val="-12"/>
          <w:sz w:val="16"/>
        </w:rPr>
        <w:t> </w:t>
      </w:r>
      <w:r>
        <w:rPr>
          <w:i/>
          <w:sz w:val="16"/>
        </w:rPr>
        <w:t>efectuará</w:t>
      </w:r>
      <w:r>
        <w:rPr>
          <w:i/>
          <w:spacing w:val="-12"/>
          <w:sz w:val="16"/>
        </w:rPr>
        <w:t> </w:t>
      </w:r>
      <w:r>
        <w:rPr>
          <w:i/>
          <w:sz w:val="16"/>
        </w:rPr>
        <w:t>mediante</w:t>
      </w:r>
      <w:r>
        <w:rPr>
          <w:i/>
          <w:spacing w:val="-12"/>
          <w:sz w:val="16"/>
        </w:rPr>
        <w:t> </w:t>
      </w:r>
      <w:r>
        <w:rPr>
          <w:i/>
          <w:sz w:val="16"/>
        </w:rPr>
        <w:t>el</w:t>
      </w:r>
      <w:r>
        <w:rPr>
          <w:i/>
          <w:spacing w:val="-12"/>
          <w:sz w:val="16"/>
        </w:rPr>
        <w:t> </w:t>
      </w:r>
      <w:r>
        <w:rPr>
          <w:i/>
          <w:sz w:val="16"/>
        </w:rPr>
        <w:t>depósito</w:t>
      </w:r>
      <w:r>
        <w:rPr>
          <w:i/>
          <w:spacing w:val="-12"/>
          <w:sz w:val="16"/>
        </w:rPr>
        <w:t> </w:t>
      </w:r>
      <w:r>
        <w:rPr>
          <w:i/>
          <w:sz w:val="16"/>
        </w:rPr>
        <w:t>de</w:t>
      </w:r>
      <w:r>
        <w:rPr>
          <w:i/>
          <w:spacing w:val="-12"/>
          <w:sz w:val="16"/>
        </w:rPr>
        <w:t> </w:t>
      </w:r>
      <w:r>
        <w:rPr>
          <w:i/>
          <w:sz w:val="16"/>
        </w:rPr>
        <w:t>un</w:t>
      </w:r>
      <w:r>
        <w:rPr>
          <w:i/>
          <w:spacing w:val="-12"/>
          <w:sz w:val="16"/>
        </w:rPr>
        <w:t> </w:t>
      </w:r>
      <w:r>
        <w:rPr>
          <w:i/>
          <w:sz w:val="16"/>
        </w:rPr>
        <w:t>instrumento </w:t>
      </w:r>
      <w:r>
        <w:rPr>
          <w:i/>
          <w:sz w:val="16"/>
        </w:rPr>
        <w:t>de ratificación o de adhesión en la Secretaría General de la Organización de los Estados</w:t>
      </w:r>
      <w:r>
        <w:rPr>
          <w:i/>
          <w:spacing w:val="-31"/>
          <w:sz w:val="16"/>
        </w:rPr>
        <w:t> </w:t>
      </w:r>
      <w:r>
        <w:rPr>
          <w:i/>
          <w:sz w:val="16"/>
        </w:rPr>
        <w:t>Americanos.</w:t>
      </w:r>
    </w:p>
    <w:p>
      <w:pPr>
        <w:pStyle w:val="ListParagraph"/>
        <w:numPr>
          <w:ilvl w:val="0"/>
          <w:numId w:val="71"/>
        </w:numPr>
        <w:tabs>
          <w:tab w:pos="894" w:val="left" w:leader="none"/>
        </w:tabs>
        <w:spacing w:line="240" w:lineRule="auto" w:before="0" w:after="0"/>
        <w:ind w:left="893" w:right="0" w:hanging="212"/>
        <w:jc w:val="both"/>
        <w:rPr>
          <w:i/>
          <w:sz w:val="16"/>
        </w:rPr>
      </w:pPr>
      <w:r>
        <w:rPr>
          <w:i/>
          <w:sz w:val="16"/>
        </w:rPr>
        <w:t>El</w:t>
      </w:r>
      <w:r>
        <w:rPr>
          <w:i/>
          <w:spacing w:val="-5"/>
          <w:sz w:val="16"/>
        </w:rPr>
        <w:t> </w:t>
      </w:r>
      <w:r>
        <w:rPr>
          <w:i/>
          <w:sz w:val="16"/>
        </w:rPr>
        <w:t>Protocolo</w:t>
      </w:r>
      <w:r>
        <w:rPr>
          <w:i/>
          <w:spacing w:val="-7"/>
          <w:sz w:val="16"/>
        </w:rPr>
        <w:t> </w:t>
      </w:r>
      <w:r>
        <w:rPr>
          <w:i/>
          <w:sz w:val="16"/>
        </w:rPr>
        <w:t>entrará</w:t>
      </w:r>
      <w:r>
        <w:rPr>
          <w:i/>
          <w:spacing w:val="-6"/>
          <w:sz w:val="16"/>
        </w:rPr>
        <w:t> </w:t>
      </w:r>
      <w:r>
        <w:rPr>
          <w:i/>
          <w:sz w:val="16"/>
        </w:rPr>
        <w:t>en</w:t>
      </w:r>
      <w:r>
        <w:rPr>
          <w:i/>
          <w:spacing w:val="-6"/>
          <w:sz w:val="16"/>
        </w:rPr>
        <w:t> </w:t>
      </w:r>
      <w:r>
        <w:rPr>
          <w:i/>
          <w:sz w:val="16"/>
        </w:rPr>
        <w:t>vigor</w:t>
      </w:r>
      <w:r>
        <w:rPr>
          <w:i/>
          <w:spacing w:val="-6"/>
          <w:sz w:val="16"/>
        </w:rPr>
        <w:t> </w:t>
      </w:r>
      <w:r>
        <w:rPr>
          <w:i/>
          <w:sz w:val="16"/>
        </w:rPr>
        <w:t>tan</w:t>
      </w:r>
      <w:r>
        <w:rPr>
          <w:i/>
          <w:spacing w:val="-6"/>
          <w:sz w:val="16"/>
        </w:rPr>
        <w:t> </w:t>
      </w:r>
      <w:r>
        <w:rPr>
          <w:i/>
          <w:sz w:val="16"/>
        </w:rPr>
        <w:t>pronto</w:t>
      </w:r>
      <w:r>
        <w:rPr>
          <w:i/>
          <w:spacing w:val="-6"/>
          <w:sz w:val="16"/>
        </w:rPr>
        <w:t> </w:t>
      </w:r>
      <w:r>
        <w:rPr>
          <w:i/>
          <w:sz w:val="16"/>
        </w:rPr>
        <w:t>como</w:t>
      </w:r>
      <w:r>
        <w:rPr>
          <w:i/>
          <w:spacing w:val="-6"/>
          <w:sz w:val="16"/>
        </w:rPr>
        <w:t> </w:t>
      </w:r>
      <w:r>
        <w:rPr>
          <w:i/>
          <w:sz w:val="16"/>
        </w:rPr>
        <w:t>once</w:t>
      </w:r>
      <w:r>
        <w:rPr>
          <w:i/>
          <w:spacing w:val="-6"/>
          <w:sz w:val="16"/>
        </w:rPr>
        <w:t> </w:t>
      </w:r>
      <w:r>
        <w:rPr>
          <w:i/>
          <w:sz w:val="16"/>
        </w:rPr>
        <w:t>Estados</w:t>
      </w:r>
      <w:r>
        <w:rPr>
          <w:i/>
          <w:spacing w:val="-6"/>
          <w:sz w:val="16"/>
        </w:rPr>
        <w:t> </w:t>
      </w:r>
      <w:r>
        <w:rPr>
          <w:i/>
          <w:sz w:val="16"/>
        </w:rPr>
        <w:t>hayan</w:t>
      </w:r>
      <w:r>
        <w:rPr>
          <w:i/>
          <w:spacing w:val="-6"/>
          <w:sz w:val="16"/>
        </w:rPr>
        <w:t> </w:t>
      </w:r>
      <w:r>
        <w:rPr>
          <w:i/>
          <w:sz w:val="16"/>
        </w:rPr>
        <w:t>depositado</w:t>
      </w:r>
      <w:r>
        <w:rPr>
          <w:i/>
          <w:spacing w:val="-6"/>
          <w:sz w:val="16"/>
        </w:rPr>
        <w:t> </w:t>
      </w:r>
      <w:r>
        <w:rPr>
          <w:i/>
          <w:sz w:val="16"/>
        </w:rPr>
        <w:t>sus</w:t>
      </w:r>
      <w:r>
        <w:rPr>
          <w:i/>
          <w:spacing w:val="-6"/>
          <w:sz w:val="16"/>
        </w:rPr>
        <w:t> </w:t>
      </w:r>
      <w:r>
        <w:rPr>
          <w:i/>
          <w:sz w:val="16"/>
        </w:rPr>
        <w:t>respectivos</w:t>
      </w:r>
      <w:r>
        <w:rPr>
          <w:i/>
          <w:spacing w:val="-6"/>
          <w:sz w:val="16"/>
        </w:rPr>
        <w:t> </w:t>
      </w:r>
      <w:r>
        <w:rPr>
          <w:i/>
          <w:sz w:val="16"/>
        </w:rPr>
        <w:t>instrumentos</w:t>
      </w:r>
    </w:p>
    <w:p>
      <w:pPr>
        <w:spacing w:before="0"/>
        <w:ind w:left="681" w:right="0" w:firstLine="0"/>
        <w:jc w:val="both"/>
        <w:rPr>
          <w:i/>
          <w:sz w:val="16"/>
        </w:rPr>
      </w:pPr>
      <w:r>
        <w:rPr>
          <w:i/>
          <w:sz w:val="16"/>
        </w:rPr>
        <w:t>de ratificación o de adhesión. “</w:t>
      </w:r>
    </w:p>
    <w:p>
      <w:pPr>
        <w:pStyle w:val="ListParagraph"/>
        <w:numPr>
          <w:ilvl w:val="0"/>
          <w:numId w:val="71"/>
        </w:numPr>
        <w:tabs>
          <w:tab w:pos="894" w:val="left" w:leader="none"/>
        </w:tabs>
        <w:spacing w:line="240" w:lineRule="auto" w:before="0" w:after="0"/>
        <w:ind w:left="893" w:right="0" w:hanging="212"/>
        <w:jc w:val="both"/>
        <w:rPr>
          <w:i/>
          <w:sz w:val="16"/>
        </w:rPr>
      </w:pPr>
      <w:r>
        <w:rPr>
          <w:i/>
          <w:sz w:val="16"/>
        </w:rPr>
        <w:t>El</w:t>
      </w:r>
      <w:r>
        <w:rPr>
          <w:i/>
          <w:spacing w:val="-5"/>
          <w:sz w:val="16"/>
        </w:rPr>
        <w:t> </w:t>
      </w:r>
      <w:r>
        <w:rPr>
          <w:i/>
          <w:sz w:val="16"/>
        </w:rPr>
        <w:t>Secretario</w:t>
      </w:r>
      <w:r>
        <w:rPr>
          <w:i/>
          <w:spacing w:val="-6"/>
          <w:sz w:val="16"/>
        </w:rPr>
        <w:t> </w:t>
      </w:r>
      <w:r>
        <w:rPr>
          <w:i/>
          <w:sz w:val="16"/>
        </w:rPr>
        <w:t>General</w:t>
      </w:r>
      <w:r>
        <w:rPr>
          <w:i/>
          <w:spacing w:val="-5"/>
          <w:sz w:val="16"/>
        </w:rPr>
        <w:t> </w:t>
      </w:r>
      <w:r>
        <w:rPr>
          <w:i/>
          <w:sz w:val="16"/>
        </w:rPr>
        <w:t>informará</w:t>
      </w:r>
      <w:r>
        <w:rPr>
          <w:i/>
          <w:spacing w:val="-6"/>
          <w:sz w:val="16"/>
        </w:rPr>
        <w:t> </w:t>
      </w:r>
      <w:r>
        <w:rPr>
          <w:i/>
          <w:sz w:val="16"/>
        </w:rPr>
        <w:t>a</w:t>
      </w:r>
      <w:r>
        <w:rPr>
          <w:i/>
          <w:spacing w:val="-5"/>
          <w:sz w:val="16"/>
        </w:rPr>
        <w:t> </w:t>
      </w:r>
      <w:r>
        <w:rPr>
          <w:i/>
          <w:sz w:val="16"/>
        </w:rPr>
        <w:t>todos</w:t>
      </w:r>
      <w:r>
        <w:rPr>
          <w:i/>
          <w:spacing w:val="-6"/>
          <w:sz w:val="16"/>
        </w:rPr>
        <w:t> </w:t>
      </w:r>
      <w:r>
        <w:rPr>
          <w:i/>
          <w:sz w:val="16"/>
        </w:rPr>
        <w:t>los</w:t>
      </w:r>
      <w:r>
        <w:rPr>
          <w:i/>
          <w:spacing w:val="-6"/>
          <w:sz w:val="16"/>
        </w:rPr>
        <w:t> </w:t>
      </w:r>
      <w:r>
        <w:rPr>
          <w:i/>
          <w:sz w:val="16"/>
        </w:rPr>
        <w:t>Estados</w:t>
      </w:r>
      <w:r>
        <w:rPr>
          <w:i/>
          <w:spacing w:val="-5"/>
          <w:sz w:val="16"/>
        </w:rPr>
        <w:t> </w:t>
      </w:r>
      <w:r>
        <w:rPr>
          <w:i/>
          <w:sz w:val="16"/>
        </w:rPr>
        <w:t>miembros</w:t>
      </w:r>
      <w:r>
        <w:rPr>
          <w:i/>
          <w:spacing w:val="-6"/>
          <w:sz w:val="16"/>
        </w:rPr>
        <w:t> </w:t>
      </w:r>
      <w:r>
        <w:rPr>
          <w:i/>
          <w:sz w:val="16"/>
        </w:rPr>
        <w:t>de</w:t>
      </w:r>
      <w:r>
        <w:rPr>
          <w:i/>
          <w:spacing w:val="-6"/>
          <w:sz w:val="16"/>
        </w:rPr>
        <w:t> </w:t>
      </w:r>
      <w:r>
        <w:rPr>
          <w:i/>
          <w:sz w:val="16"/>
        </w:rPr>
        <w:t>la</w:t>
      </w:r>
      <w:r>
        <w:rPr>
          <w:i/>
          <w:spacing w:val="-6"/>
          <w:sz w:val="16"/>
        </w:rPr>
        <w:t> </w:t>
      </w:r>
      <w:r>
        <w:rPr>
          <w:i/>
          <w:sz w:val="16"/>
        </w:rPr>
        <w:t>Organización</w:t>
      </w:r>
      <w:r>
        <w:rPr>
          <w:i/>
          <w:spacing w:val="-6"/>
          <w:sz w:val="16"/>
        </w:rPr>
        <w:t> </w:t>
      </w:r>
      <w:r>
        <w:rPr>
          <w:i/>
          <w:sz w:val="16"/>
        </w:rPr>
        <w:t>de</w:t>
      </w:r>
      <w:r>
        <w:rPr>
          <w:i/>
          <w:spacing w:val="-6"/>
          <w:sz w:val="16"/>
        </w:rPr>
        <w:t> </w:t>
      </w:r>
      <w:r>
        <w:rPr>
          <w:i/>
          <w:sz w:val="16"/>
        </w:rPr>
        <w:t>la</w:t>
      </w:r>
      <w:r>
        <w:rPr>
          <w:i/>
          <w:spacing w:val="-6"/>
          <w:sz w:val="16"/>
        </w:rPr>
        <w:t> </w:t>
      </w:r>
      <w:r>
        <w:rPr>
          <w:i/>
          <w:sz w:val="16"/>
        </w:rPr>
        <w:t>entrada</w:t>
      </w:r>
      <w:r>
        <w:rPr>
          <w:i/>
          <w:spacing w:val="-6"/>
          <w:sz w:val="16"/>
        </w:rPr>
        <w:t> </w:t>
      </w:r>
      <w:r>
        <w:rPr>
          <w:i/>
          <w:sz w:val="16"/>
        </w:rPr>
        <w:t>en</w:t>
      </w:r>
      <w:r>
        <w:rPr>
          <w:i/>
          <w:spacing w:val="-6"/>
          <w:sz w:val="16"/>
        </w:rPr>
        <w:t> </w:t>
      </w:r>
      <w:r>
        <w:rPr>
          <w:i/>
          <w:sz w:val="16"/>
        </w:rPr>
        <w:t>vigor</w:t>
      </w:r>
      <w:r>
        <w:rPr>
          <w:i/>
          <w:spacing w:val="-6"/>
          <w:sz w:val="16"/>
        </w:rPr>
        <w:t> </w:t>
      </w:r>
      <w:r>
        <w:rPr>
          <w:i/>
          <w:sz w:val="16"/>
        </w:rPr>
        <w:t>del</w:t>
      </w:r>
    </w:p>
    <w:p>
      <w:pPr>
        <w:spacing w:before="0"/>
        <w:ind w:left="681" w:right="0" w:firstLine="0"/>
        <w:jc w:val="both"/>
        <w:rPr>
          <w:i/>
          <w:sz w:val="16"/>
        </w:rPr>
      </w:pPr>
      <w:r>
        <w:rPr>
          <w:i/>
          <w:sz w:val="16"/>
        </w:rPr>
        <w:t>Protocolo. “</w:t>
      </w:r>
    </w:p>
    <w:p>
      <w:pPr>
        <w:pStyle w:val="BodyText"/>
        <w:spacing w:before="1"/>
        <w:rPr>
          <w:i/>
        </w:rPr>
      </w:pPr>
    </w:p>
    <w:p>
      <w:pPr>
        <w:spacing w:before="1"/>
        <w:ind w:left="681" w:right="117" w:firstLine="0"/>
        <w:jc w:val="both"/>
        <w:rPr>
          <w:i/>
          <w:sz w:val="16"/>
        </w:rPr>
      </w:pPr>
      <w:r>
        <w:rPr>
          <w:position w:val="6"/>
          <w:sz w:val="10"/>
        </w:rPr>
        <w:t>119 </w:t>
      </w:r>
      <w:r>
        <w:rPr>
          <w:sz w:val="16"/>
        </w:rPr>
        <w:t>Art.22:“</w:t>
      </w:r>
      <w:r>
        <w:rPr>
          <w:i/>
          <w:sz w:val="16"/>
        </w:rPr>
        <w:t>Incorporación de otros Derechos y Ampliación de los Reconocidos. 1. Cualquier Estado parte y la </w:t>
      </w:r>
      <w:r>
        <w:rPr>
          <w:i/>
          <w:sz w:val="16"/>
        </w:rPr>
        <w:t>Comisión Interamericana de Derechos Humanos podrán someter a la consideración de los Estados partes, reunidos con ocasión de la Asamblea General, propuestas de enmienda con el fin de incluir el reconocimiento de otros derechos y libertades, o bien otras destinadas a extender o ampliar los derechos y libertades reconocidos en este Protocolo.</w:t>
      </w:r>
    </w:p>
    <w:p>
      <w:pPr>
        <w:spacing w:before="0"/>
        <w:ind w:left="681" w:right="123" w:firstLine="0"/>
        <w:jc w:val="both"/>
        <w:rPr>
          <w:rFonts w:ascii="Calibri" w:hAnsi="Calibri"/>
          <w:sz w:val="20"/>
        </w:rPr>
      </w:pPr>
      <w:r>
        <w:rPr>
          <w:i/>
          <w:sz w:val="16"/>
        </w:rPr>
        <w:t>2. Las enmiendas entrarán en vigor para los Estados ratificantes de las mismas en la fecha en que se haya </w:t>
      </w:r>
      <w:r>
        <w:rPr>
          <w:i/>
          <w:sz w:val="16"/>
        </w:rPr>
        <w:t>depositado el respectivo instrumento de ratificación que corresponda al número de los dos tercios de los Estados partes en este Protocolo. En cuanto al resto de los Estados partes, entrarán en vigor en la fecha en que depositen sus respectivos instrumentos de ratificación</w:t>
      </w:r>
      <w:r>
        <w:rPr>
          <w:sz w:val="16"/>
        </w:rPr>
        <w:t>.</w:t>
      </w:r>
      <w:r>
        <w:rPr>
          <w:rFonts w:ascii="Calibri" w:hAnsi="Calibri"/>
          <w:sz w:val="20"/>
        </w:rPr>
        <w:t>“</w:t>
      </w:r>
    </w:p>
    <w:p>
      <w:pPr>
        <w:pStyle w:val="BodyText"/>
        <w:spacing w:before="9"/>
        <w:rPr>
          <w:rFonts w:ascii="Calibri"/>
          <w:sz w:val="19"/>
        </w:rPr>
      </w:pPr>
    </w:p>
    <w:p>
      <w:pPr>
        <w:spacing w:before="0"/>
        <w:ind w:left="681" w:right="0" w:firstLine="0"/>
        <w:jc w:val="both"/>
        <w:rPr>
          <w:i/>
          <w:sz w:val="16"/>
        </w:rPr>
      </w:pPr>
      <w:r>
        <w:rPr>
          <w:rFonts w:ascii="Calibri" w:hAnsi="Calibri"/>
          <w:position w:val="7"/>
          <w:sz w:val="13"/>
        </w:rPr>
        <w:t>120  </w:t>
      </w:r>
      <w:r>
        <w:rPr>
          <w:i/>
          <w:sz w:val="16"/>
        </w:rPr>
        <w:t>Supra, </w:t>
      </w:r>
      <w:r>
        <w:rPr>
          <w:sz w:val="16"/>
        </w:rPr>
        <w:t>Nota N° 84</w:t>
      </w:r>
      <w:r>
        <w:rPr>
          <w:i/>
          <w:sz w:val="16"/>
        </w:rPr>
        <w:t>.</w:t>
      </w:r>
    </w:p>
    <w:p>
      <w:pPr>
        <w:pStyle w:val="BodyText"/>
        <w:spacing w:before="5"/>
        <w:rPr>
          <w:i/>
          <w:sz w:val="21"/>
        </w:rPr>
      </w:pPr>
    </w:p>
    <w:p>
      <w:pPr>
        <w:spacing w:before="1"/>
        <w:ind w:left="681" w:right="0" w:firstLine="0"/>
        <w:jc w:val="both"/>
        <w:rPr>
          <w:sz w:val="16"/>
        </w:rPr>
      </w:pPr>
      <w:r>
        <w:rPr>
          <w:rFonts w:ascii="Calibri" w:hAnsi="Calibri"/>
          <w:position w:val="7"/>
          <w:sz w:val="13"/>
        </w:rPr>
        <w:t>121</w:t>
      </w:r>
      <w:r>
        <w:rPr>
          <w:i/>
          <w:sz w:val="16"/>
        </w:rPr>
        <w:t>Supra</w:t>
      </w:r>
      <w:r>
        <w:rPr>
          <w:sz w:val="16"/>
        </w:rPr>
        <w:t>, Párr.70.</w:t>
      </w:r>
    </w:p>
    <w:p>
      <w:pPr>
        <w:spacing w:before="17"/>
        <w:ind w:left="681" w:right="0" w:firstLine="0"/>
        <w:jc w:val="both"/>
        <w:rPr>
          <w:sz w:val="16"/>
        </w:rPr>
      </w:pPr>
      <w:r>
        <w:rPr>
          <w:rFonts w:ascii="Calibri" w:hAnsi="Calibri"/>
          <w:position w:val="7"/>
          <w:sz w:val="13"/>
        </w:rPr>
        <w:t>122  </w:t>
      </w:r>
      <w:r>
        <w:rPr>
          <w:rFonts w:ascii="Calibri" w:hAnsi="Calibri"/>
          <w:sz w:val="20"/>
        </w:rPr>
        <w:t>Párr. 87, </w:t>
      </w:r>
      <w:r>
        <w:rPr>
          <w:i/>
          <w:sz w:val="16"/>
        </w:rPr>
        <w:t>Caso Cuscul Pivaral y otros Vs. Guatemala</w:t>
      </w:r>
      <w:r>
        <w:rPr>
          <w:sz w:val="16"/>
        </w:rPr>
        <w:t>,</w:t>
      </w:r>
    </w:p>
    <w:p>
      <w:pPr>
        <w:pStyle w:val="BodyText"/>
        <w:spacing w:before="8"/>
        <w:rPr>
          <w:sz w:val="19"/>
        </w:rPr>
      </w:pPr>
    </w:p>
    <w:p>
      <w:pPr>
        <w:spacing w:before="0"/>
        <w:ind w:left="681" w:right="0" w:firstLine="0"/>
        <w:jc w:val="both"/>
        <w:rPr>
          <w:rFonts w:ascii="Calibri" w:hAnsi="Calibri"/>
          <w:sz w:val="20"/>
        </w:rPr>
      </w:pPr>
      <w:r>
        <w:rPr>
          <w:rFonts w:ascii="Calibri" w:hAnsi="Calibri"/>
          <w:position w:val="7"/>
          <w:sz w:val="13"/>
        </w:rPr>
        <w:t>123 </w:t>
      </w:r>
      <w:r>
        <w:rPr>
          <w:rFonts w:ascii="Calibri" w:hAnsi="Calibri"/>
          <w:i/>
          <w:sz w:val="20"/>
        </w:rPr>
        <w:t>Supra, </w:t>
      </w:r>
      <w:r>
        <w:rPr>
          <w:rFonts w:ascii="Calibri" w:hAnsi="Calibri"/>
          <w:sz w:val="20"/>
        </w:rPr>
        <w:t>párr.79.</w:t>
      </w:r>
    </w:p>
    <w:p>
      <w:pPr>
        <w:spacing w:after="0"/>
        <w:jc w:val="both"/>
        <w:rPr>
          <w:rFonts w:ascii="Calibri" w:hAnsi="Calibri"/>
          <w:sz w:val="20"/>
        </w:rPr>
        <w:sectPr>
          <w:pgSz w:w="12240" w:h="15840"/>
          <w:pgMar w:header="0" w:footer="1000" w:top="1220" w:bottom="1200" w:left="1020" w:right="1580"/>
        </w:sectPr>
      </w:pPr>
    </w:p>
    <w:p>
      <w:pPr>
        <w:pStyle w:val="BodyText"/>
        <w:spacing w:before="83"/>
        <w:ind w:left="681" w:right="118"/>
        <w:jc w:val="both"/>
      </w:pPr>
      <w:r>
        <w:rPr/>
        <w:t>consecuentemente, al mecanismo previsto en el artículo 19</w:t>
      </w:r>
      <w:r>
        <w:rPr>
          <w:position w:val="7"/>
          <w:sz w:val="13"/>
        </w:rPr>
        <w:t>124 </w:t>
      </w:r>
      <w:r>
        <w:rPr/>
        <w:t>y, por lo tanto, fuera del ámbito de la competencia de la Corte.</w:t>
      </w:r>
    </w:p>
    <w:p>
      <w:pPr>
        <w:pStyle w:val="BodyText"/>
        <w:spacing w:before="11"/>
        <w:rPr>
          <w:sz w:val="19"/>
        </w:rPr>
      </w:pPr>
    </w:p>
    <w:p>
      <w:pPr>
        <w:pStyle w:val="ListParagraph"/>
        <w:numPr>
          <w:ilvl w:val="0"/>
          <w:numId w:val="72"/>
        </w:numPr>
        <w:tabs>
          <w:tab w:pos="1390" w:val="left" w:leader="none"/>
        </w:tabs>
        <w:spacing w:line="240" w:lineRule="auto" w:before="0" w:after="0"/>
        <w:ind w:left="681" w:right="116" w:firstLine="0"/>
        <w:jc w:val="both"/>
        <w:rPr>
          <w:sz w:val="20"/>
        </w:rPr>
      </w:pPr>
      <w:r>
        <w:rPr>
          <w:sz w:val="20"/>
        </w:rPr>
        <w:t>Interpretar el Protocolo de San Salvador tal como lo hizo el fallo mencionado, significaría que dicho tratado no habría sido suscrito con la “finalidad de incluir progresivamente en el régimen de protección de la” Convención “otros derechos y libertades”, sino, en cambio, para limitar la competencia de la Corte a su respecto, lo que, obviamente, resulta, en términos del artículo 32 de la Convención de Viena</w:t>
      </w:r>
      <w:r>
        <w:rPr>
          <w:position w:val="7"/>
          <w:sz w:val="13"/>
        </w:rPr>
        <w:t>, </w:t>
      </w:r>
      <w:r>
        <w:rPr>
          <w:sz w:val="20"/>
        </w:rPr>
        <w:t>manifiestamente absurdo o irrazonable, es decir, contrario a la razón o sin</w:t>
      </w:r>
      <w:r>
        <w:rPr>
          <w:spacing w:val="-19"/>
          <w:sz w:val="20"/>
        </w:rPr>
        <w:t> </w:t>
      </w:r>
      <w:r>
        <w:rPr>
          <w:sz w:val="20"/>
        </w:rPr>
        <w:t>sentido.</w:t>
      </w:r>
    </w:p>
    <w:p>
      <w:pPr>
        <w:pStyle w:val="BodyText"/>
        <w:spacing w:before="11"/>
        <w:rPr>
          <w:sz w:val="19"/>
        </w:rPr>
      </w:pPr>
    </w:p>
    <w:p>
      <w:pPr>
        <w:pStyle w:val="ListParagraph"/>
        <w:numPr>
          <w:ilvl w:val="0"/>
          <w:numId w:val="72"/>
        </w:numPr>
        <w:tabs>
          <w:tab w:pos="1390" w:val="left" w:leader="none"/>
        </w:tabs>
        <w:spacing w:line="240" w:lineRule="auto" w:before="0" w:after="0"/>
        <w:ind w:left="681" w:right="118" w:firstLine="0"/>
        <w:jc w:val="both"/>
        <w:rPr>
          <w:sz w:val="20"/>
        </w:rPr>
      </w:pPr>
      <w:r>
        <w:rPr>
          <w:sz w:val="20"/>
        </w:rPr>
        <w:t>Todo lo precedentemente expuesto es, por ende, prueba más que evidente que, para</w:t>
      </w:r>
      <w:r>
        <w:rPr>
          <w:spacing w:val="-9"/>
          <w:sz w:val="20"/>
        </w:rPr>
        <w:t> </w:t>
      </w:r>
      <w:r>
        <w:rPr>
          <w:sz w:val="20"/>
        </w:rPr>
        <w:t>los</w:t>
      </w:r>
      <w:r>
        <w:rPr>
          <w:spacing w:val="-10"/>
          <w:sz w:val="20"/>
        </w:rPr>
        <w:t> </w:t>
      </w:r>
      <w:r>
        <w:rPr>
          <w:sz w:val="20"/>
        </w:rPr>
        <w:t>Estados</w:t>
      </w:r>
      <w:r>
        <w:rPr>
          <w:spacing w:val="-8"/>
          <w:sz w:val="20"/>
        </w:rPr>
        <w:t> </w:t>
      </w:r>
      <w:r>
        <w:rPr>
          <w:sz w:val="20"/>
        </w:rPr>
        <w:t>Partes</w:t>
      </w:r>
      <w:r>
        <w:rPr>
          <w:spacing w:val="-10"/>
          <w:sz w:val="20"/>
        </w:rPr>
        <w:t> </w:t>
      </w:r>
      <w:r>
        <w:rPr>
          <w:sz w:val="20"/>
        </w:rPr>
        <w:t>de</w:t>
      </w:r>
      <w:r>
        <w:rPr>
          <w:spacing w:val="-9"/>
          <w:sz w:val="20"/>
        </w:rPr>
        <w:t> </w:t>
      </w:r>
      <w:r>
        <w:rPr>
          <w:sz w:val="20"/>
        </w:rPr>
        <w:t>dicho</w:t>
      </w:r>
      <w:r>
        <w:rPr>
          <w:spacing w:val="-9"/>
          <w:sz w:val="20"/>
        </w:rPr>
        <w:t> </w:t>
      </w:r>
      <w:r>
        <w:rPr>
          <w:sz w:val="20"/>
        </w:rPr>
        <w:t>Protocolo,</w:t>
      </w:r>
      <w:r>
        <w:rPr>
          <w:spacing w:val="-10"/>
          <w:sz w:val="20"/>
        </w:rPr>
        <w:t> </w:t>
      </w:r>
      <w:r>
        <w:rPr>
          <w:sz w:val="20"/>
        </w:rPr>
        <w:t>lo</w:t>
      </w:r>
      <w:r>
        <w:rPr>
          <w:spacing w:val="-9"/>
          <w:sz w:val="20"/>
        </w:rPr>
        <w:t> </w:t>
      </w:r>
      <w:r>
        <w:rPr>
          <w:sz w:val="20"/>
        </w:rPr>
        <w:t>previsto</w:t>
      </w:r>
      <w:r>
        <w:rPr>
          <w:spacing w:val="-9"/>
          <w:sz w:val="20"/>
        </w:rPr>
        <w:t> </w:t>
      </w:r>
      <w:r>
        <w:rPr>
          <w:sz w:val="20"/>
        </w:rPr>
        <w:t>en</w:t>
      </w:r>
      <w:r>
        <w:rPr>
          <w:spacing w:val="-9"/>
          <w:sz w:val="20"/>
        </w:rPr>
        <w:t> </w:t>
      </w:r>
      <w:r>
        <w:rPr>
          <w:sz w:val="20"/>
        </w:rPr>
        <w:t>el</w:t>
      </w:r>
      <w:r>
        <w:rPr>
          <w:spacing w:val="-10"/>
          <w:sz w:val="20"/>
        </w:rPr>
        <w:t> </w:t>
      </w:r>
      <w:r>
        <w:rPr>
          <w:sz w:val="20"/>
        </w:rPr>
        <w:t>artículo</w:t>
      </w:r>
      <w:r>
        <w:rPr>
          <w:spacing w:val="-10"/>
          <w:sz w:val="20"/>
        </w:rPr>
        <w:t> </w:t>
      </w:r>
      <w:r>
        <w:rPr>
          <w:sz w:val="20"/>
        </w:rPr>
        <w:t>26</w:t>
      </w:r>
      <w:r>
        <w:rPr>
          <w:spacing w:val="-11"/>
          <w:sz w:val="20"/>
        </w:rPr>
        <w:t> </w:t>
      </w:r>
      <w:r>
        <w:rPr>
          <w:sz w:val="20"/>
        </w:rPr>
        <w:t>de</w:t>
      </w:r>
      <w:r>
        <w:rPr>
          <w:spacing w:val="-9"/>
          <w:sz w:val="20"/>
        </w:rPr>
        <w:t> </w:t>
      </w:r>
      <w:r>
        <w:rPr>
          <w:sz w:val="20"/>
        </w:rPr>
        <w:t>la</w:t>
      </w:r>
      <w:r>
        <w:rPr>
          <w:spacing w:val="-10"/>
          <w:sz w:val="20"/>
        </w:rPr>
        <w:t> </w:t>
      </w:r>
      <w:r>
        <w:rPr>
          <w:sz w:val="20"/>
        </w:rPr>
        <w:t>Convención no puede ser interpretado en orden a que establece o reconoce derechos económicos, sociales o culturales ni que habilita para elevar un caso de violación de ellos a conocimiento de la Corte. Si así lo hubiese establecido o proporcionase la legitimación activa ante la Corte en cuanto a ellos, obviamente no se hubiese celebrado dicho Protocolo. Es, por tal motivo, entonces, que ha sido necesaria su adopción. Su suscripción no se explicaría de otra</w:t>
      </w:r>
      <w:r>
        <w:rPr>
          <w:spacing w:val="-12"/>
          <w:sz w:val="20"/>
        </w:rPr>
        <w:t> </w:t>
      </w:r>
      <w:r>
        <w:rPr>
          <w:sz w:val="20"/>
        </w:rPr>
        <w:t>manera.</w:t>
      </w:r>
    </w:p>
    <w:p>
      <w:pPr>
        <w:pStyle w:val="BodyText"/>
        <w:spacing w:before="11"/>
        <w:rPr>
          <w:sz w:val="19"/>
        </w:rPr>
      </w:pPr>
    </w:p>
    <w:p>
      <w:pPr>
        <w:pStyle w:val="ListParagraph"/>
        <w:numPr>
          <w:ilvl w:val="0"/>
          <w:numId w:val="72"/>
        </w:numPr>
        <w:tabs>
          <w:tab w:pos="1390" w:val="left" w:leader="none"/>
        </w:tabs>
        <w:spacing w:line="240" w:lineRule="auto" w:before="0" w:after="0"/>
        <w:ind w:left="681" w:right="118" w:firstLine="0"/>
        <w:jc w:val="both"/>
        <w:rPr>
          <w:sz w:val="20"/>
        </w:rPr>
      </w:pPr>
      <w:r>
        <w:rPr>
          <w:sz w:val="20"/>
        </w:rPr>
        <w:t>En mérito de lo precedentemente afirmado, se colige que el Protocolo de San Salvador</w:t>
      </w:r>
      <w:r>
        <w:rPr>
          <w:spacing w:val="-8"/>
          <w:sz w:val="20"/>
        </w:rPr>
        <w:t> </w:t>
      </w:r>
      <w:r>
        <w:rPr>
          <w:sz w:val="20"/>
        </w:rPr>
        <w:t>es,</w:t>
      </w:r>
      <w:r>
        <w:rPr>
          <w:spacing w:val="-8"/>
          <w:sz w:val="20"/>
        </w:rPr>
        <w:t> </w:t>
      </w:r>
      <w:r>
        <w:rPr>
          <w:sz w:val="20"/>
        </w:rPr>
        <w:t>en</w:t>
      </w:r>
      <w:r>
        <w:rPr>
          <w:spacing w:val="-8"/>
          <w:sz w:val="20"/>
        </w:rPr>
        <w:t> </w:t>
      </w:r>
      <w:r>
        <w:rPr>
          <w:sz w:val="20"/>
        </w:rPr>
        <w:t>consecuencia,</w:t>
      </w:r>
      <w:r>
        <w:rPr>
          <w:spacing w:val="-8"/>
          <w:sz w:val="20"/>
        </w:rPr>
        <w:t> </w:t>
      </w:r>
      <w:r>
        <w:rPr>
          <w:sz w:val="20"/>
        </w:rPr>
        <w:t>la</w:t>
      </w:r>
      <w:r>
        <w:rPr>
          <w:spacing w:val="-10"/>
          <w:sz w:val="20"/>
        </w:rPr>
        <w:t> </w:t>
      </w:r>
      <w:r>
        <w:rPr>
          <w:sz w:val="20"/>
        </w:rPr>
        <w:t>nítida</w:t>
      </w:r>
      <w:r>
        <w:rPr>
          <w:spacing w:val="-8"/>
          <w:sz w:val="20"/>
        </w:rPr>
        <w:t> </w:t>
      </w:r>
      <w:r>
        <w:rPr>
          <w:sz w:val="20"/>
        </w:rPr>
        <w:t>demostración</w:t>
      </w:r>
      <w:r>
        <w:rPr>
          <w:spacing w:val="-8"/>
          <w:sz w:val="20"/>
        </w:rPr>
        <w:t> </w:t>
      </w:r>
      <w:r>
        <w:rPr>
          <w:sz w:val="20"/>
        </w:rPr>
        <w:t>de</w:t>
      </w:r>
      <w:r>
        <w:rPr>
          <w:spacing w:val="-7"/>
          <w:sz w:val="20"/>
        </w:rPr>
        <w:t> </w:t>
      </w:r>
      <w:r>
        <w:rPr>
          <w:sz w:val="20"/>
        </w:rPr>
        <w:t>que</w:t>
      </w:r>
      <w:r>
        <w:rPr>
          <w:spacing w:val="-8"/>
          <w:sz w:val="20"/>
        </w:rPr>
        <w:t> </w:t>
      </w:r>
      <w:r>
        <w:rPr>
          <w:sz w:val="20"/>
        </w:rPr>
        <w:t>lo</w:t>
      </w:r>
      <w:r>
        <w:rPr>
          <w:spacing w:val="-8"/>
          <w:sz w:val="20"/>
        </w:rPr>
        <w:t> </w:t>
      </w:r>
      <w:r>
        <w:rPr>
          <w:sz w:val="20"/>
        </w:rPr>
        <w:t>previsto</w:t>
      </w:r>
      <w:r>
        <w:rPr>
          <w:spacing w:val="-8"/>
          <w:sz w:val="20"/>
        </w:rPr>
        <w:t> </w:t>
      </w:r>
      <w:r>
        <w:rPr>
          <w:sz w:val="20"/>
        </w:rPr>
        <w:t>en</w:t>
      </w:r>
      <w:r>
        <w:rPr>
          <w:spacing w:val="-9"/>
          <w:sz w:val="20"/>
        </w:rPr>
        <w:t> </w:t>
      </w:r>
      <w:r>
        <w:rPr>
          <w:sz w:val="20"/>
        </w:rPr>
        <w:t>el</w:t>
      </w:r>
      <w:r>
        <w:rPr>
          <w:spacing w:val="-8"/>
          <w:sz w:val="20"/>
        </w:rPr>
        <w:t> </w:t>
      </w:r>
      <w:r>
        <w:rPr>
          <w:sz w:val="20"/>
        </w:rPr>
        <w:t>artículo</w:t>
      </w:r>
      <w:r>
        <w:rPr>
          <w:spacing w:val="-8"/>
          <w:sz w:val="20"/>
        </w:rPr>
        <w:t> </w:t>
      </w:r>
      <w:r>
        <w:rPr>
          <w:sz w:val="20"/>
        </w:rPr>
        <w:t>26 no establece derecho humano alguno ni proporciona legitimación activa ante la Corte por violación de los derechos económicos sociales y culturales a que se</w:t>
      </w:r>
      <w:r>
        <w:rPr>
          <w:spacing w:val="-19"/>
          <w:sz w:val="20"/>
        </w:rPr>
        <w:t> </w:t>
      </w:r>
      <w:r>
        <w:rPr>
          <w:sz w:val="20"/>
        </w:rPr>
        <w:t>remite</w:t>
      </w:r>
    </w:p>
    <w:p>
      <w:pPr>
        <w:pStyle w:val="BodyText"/>
      </w:pPr>
    </w:p>
    <w:p>
      <w:pPr>
        <w:pStyle w:val="Heading3"/>
        <w:numPr>
          <w:ilvl w:val="1"/>
          <w:numId w:val="47"/>
        </w:numPr>
        <w:tabs>
          <w:tab w:pos="1685" w:val="left" w:leader="none"/>
          <w:tab w:pos="1686" w:val="left" w:leader="none"/>
        </w:tabs>
        <w:spacing w:line="240" w:lineRule="auto" w:before="0" w:after="0"/>
        <w:ind w:left="1685" w:right="0" w:hanging="721"/>
        <w:jc w:val="left"/>
      </w:pPr>
      <w:r>
        <w:rPr/>
        <w:t>CONCLUSIONES.</w:t>
      </w:r>
    </w:p>
    <w:p>
      <w:pPr>
        <w:pStyle w:val="BodyText"/>
        <w:spacing w:before="11"/>
        <w:rPr>
          <w:b/>
          <w:sz w:val="19"/>
        </w:rPr>
      </w:pPr>
    </w:p>
    <w:p>
      <w:pPr>
        <w:pStyle w:val="ListParagraph"/>
        <w:numPr>
          <w:ilvl w:val="0"/>
          <w:numId w:val="72"/>
        </w:numPr>
        <w:tabs>
          <w:tab w:pos="1250" w:val="left" w:leader="none"/>
        </w:tabs>
        <w:spacing w:line="240" w:lineRule="auto" w:before="0" w:after="0"/>
        <w:ind w:left="681" w:right="116" w:firstLine="0"/>
        <w:jc w:val="both"/>
        <w:rPr>
          <w:sz w:val="20"/>
        </w:rPr>
      </w:pPr>
      <w:r>
        <w:rPr>
          <w:sz w:val="20"/>
        </w:rPr>
        <w:t>Como se puede colegir de lo todo lo expuesto, se disiente de la Sentencia ya que, al no emplear adecuadamente los medios de interpretación previstos en la Convención de</w:t>
      </w:r>
      <w:r>
        <w:rPr>
          <w:spacing w:val="-3"/>
          <w:sz w:val="20"/>
        </w:rPr>
        <w:t> </w:t>
      </w:r>
      <w:r>
        <w:rPr>
          <w:sz w:val="20"/>
        </w:rPr>
        <w:t>Viena,</w:t>
      </w:r>
      <w:r>
        <w:rPr>
          <w:spacing w:val="-4"/>
          <w:sz w:val="20"/>
        </w:rPr>
        <w:t> </w:t>
      </w:r>
      <w:r>
        <w:rPr>
          <w:sz w:val="20"/>
        </w:rPr>
        <w:t>conduce</w:t>
      </w:r>
      <w:r>
        <w:rPr>
          <w:spacing w:val="-3"/>
          <w:sz w:val="20"/>
        </w:rPr>
        <w:t> </w:t>
      </w:r>
      <w:r>
        <w:rPr>
          <w:sz w:val="20"/>
        </w:rPr>
        <w:t>a</w:t>
      </w:r>
      <w:r>
        <w:rPr>
          <w:spacing w:val="-5"/>
          <w:sz w:val="20"/>
        </w:rPr>
        <w:t> </w:t>
      </w:r>
      <w:r>
        <w:rPr>
          <w:sz w:val="20"/>
        </w:rPr>
        <w:t>un</w:t>
      </w:r>
      <w:r>
        <w:rPr>
          <w:spacing w:val="-3"/>
          <w:sz w:val="20"/>
        </w:rPr>
        <w:t> </w:t>
      </w:r>
      <w:r>
        <w:rPr>
          <w:sz w:val="20"/>
        </w:rPr>
        <w:t>resultado</w:t>
      </w:r>
      <w:r>
        <w:rPr>
          <w:spacing w:val="-6"/>
          <w:sz w:val="20"/>
        </w:rPr>
        <w:t> </w:t>
      </w:r>
      <w:r>
        <w:rPr>
          <w:sz w:val="20"/>
        </w:rPr>
        <w:t>contrario</w:t>
      </w:r>
      <w:r>
        <w:rPr>
          <w:spacing w:val="-4"/>
          <w:sz w:val="20"/>
        </w:rPr>
        <w:t> </w:t>
      </w:r>
      <w:r>
        <w:rPr>
          <w:sz w:val="20"/>
        </w:rPr>
        <w:t>a</w:t>
      </w:r>
      <w:r>
        <w:rPr>
          <w:spacing w:val="-5"/>
          <w:sz w:val="20"/>
        </w:rPr>
        <w:t> </w:t>
      </w:r>
      <w:r>
        <w:rPr>
          <w:sz w:val="20"/>
        </w:rPr>
        <w:t>la</w:t>
      </w:r>
      <w:r>
        <w:rPr>
          <w:spacing w:val="-4"/>
          <w:sz w:val="20"/>
        </w:rPr>
        <w:t> </w:t>
      </w:r>
      <w:r>
        <w:rPr>
          <w:sz w:val="20"/>
        </w:rPr>
        <w:t>lógica</w:t>
      </w:r>
      <w:r>
        <w:rPr>
          <w:spacing w:val="-5"/>
          <w:sz w:val="20"/>
        </w:rPr>
        <w:t> </w:t>
      </w:r>
      <w:r>
        <w:rPr>
          <w:sz w:val="20"/>
        </w:rPr>
        <w:t>y</w:t>
      </w:r>
      <w:r>
        <w:rPr>
          <w:spacing w:val="-4"/>
          <w:sz w:val="20"/>
        </w:rPr>
        <w:t> </w:t>
      </w:r>
      <w:r>
        <w:rPr>
          <w:sz w:val="20"/>
        </w:rPr>
        <w:t>jamás</w:t>
      </w:r>
      <w:r>
        <w:rPr>
          <w:spacing w:val="-4"/>
          <w:sz w:val="20"/>
        </w:rPr>
        <w:t> </w:t>
      </w:r>
      <w:r>
        <w:rPr>
          <w:sz w:val="20"/>
        </w:rPr>
        <w:t>deseado</w:t>
      </w:r>
      <w:r>
        <w:rPr>
          <w:spacing w:val="-4"/>
          <w:sz w:val="20"/>
        </w:rPr>
        <w:t> </w:t>
      </w:r>
      <w:r>
        <w:rPr>
          <w:sz w:val="20"/>
        </w:rPr>
        <w:t>ni</w:t>
      </w:r>
      <w:r>
        <w:rPr>
          <w:spacing w:val="-2"/>
          <w:sz w:val="20"/>
        </w:rPr>
        <w:t> </w:t>
      </w:r>
      <w:r>
        <w:rPr>
          <w:sz w:val="20"/>
        </w:rPr>
        <w:t>previsto</w:t>
      </w:r>
      <w:r>
        <w:rPr>
          <w:spacing w:val="-4"/>
          <w:sz w:val="20"/>
        </w:rPr>
        <w:t> </w:t>
      </w:r>
      <w:r>
        <w:rPr>
          <w:sz w:val="20"/>
        </w:rPr>
        <w:t>en</w:t>
      </w:r>
      <w:r>
        <w:rPr>
          <w:spacing w:val="-4"/>
          <w:sz w:val="20"/>
        </w:rPr>
        <w:t> </w:t>
      </w:r>
      <w:r>
        <w:rPr>
          <w:sz w:val="20"/>
        </w:rPr>
        <w:t>la Convención, cual es, que las violaciones de los derechos económicos, sociales y culturales, incluidos los derechos a la identidad cultural, al medio ambiente sano, a la alimentación adecuada y al agua, son justiciables ante la</w:t>
      </w:r>
      <w:r>
        <w:rPr>
          <w:spacing w:val="-17"/>
          <w:sz w:val="20"/>
        </w:rPr>
        <w:t> </w:t>
      </w:r>
      <w:r>
        <w:rPr>
          <w:sz w:val="20"/>
        </w:rPr>
        <w:t>Corte.</w:t>
      </w:r>
    </w:p>
    <w:p>
      <w:pPr>
        <w:pStyle w:val="BodyText"/>
      </w:pPr>
    </w:p>
    <w:p>
      <w:pPr>
        <w:pStyle w:val="ListParagraph"/>
        <w:numPr>
          <w:ilvl w:val="0"/>
          <w:numId w:val="72"/>
        </w:numPr>
        <w:tabs>
          <w:tab w:pos="1250" w:val="left" w:leader="none"/>
        </w:tabs>
        <w:spacing w:line="240" w:lineRule="auto" w:before="1" w:after="0"/>
        <w:ind w:left="681" w:right="119" w:firstLine="0"/>
        <w:jc w:val="both"/>
        <w:rPr>
          <w:sz w:val="20"/>
        </w:rPr>
      </w:pPr>
      <w:r>
        <w:rPr>
          <w:sz w:val="20"/>
        </w:rPr>
        <w:t>Efectivamente, la Sentencia, aunque formula una muy breve y genérica remisión a fallos anteriores</w:t>
      </w:r>
      <w:r>
        <w:rPr>
          <w:position w:val="7"/>
          <w:sz w:val="13"/>
        </w:rPr>
        <w:t>125</w:t>
      </w:r>
      <w:r>
        <w:rPr>
          <w:sz w:val="20"/>
        </w:rPr>
        <w:t>, en verdad privilegia a algunos de los medios de interpretación de los</w:t>
      </w:r>
      <w:r>
        <w:rPr>
          <w:spacing w:val="-7"/>
          <w:sz w:val="20"/>
        </w:rPr>
        <w:t> </w:t>
      </w:r>
      <w:r>
        <w:rPr>
          <w:sz w:val="20"/>
        </w:rPr>
        <w:t>tratados,</w:t>
      </w:r>
      <w:r>
        <w:rPr>
          <w:spacing w:val="-8"/>
          <w:sz w:val="20"/>
        </w:rPr>
        <w:t> </w:t>
      </w:r>
      <w:r>
        <w:rPr>
          <w:sz w:val="20"/>
        </w:rPr>
        <w:t>especialmente</w:t>
      </w:r>
      <w:r>
        <w:rPr>
          <w:spacing w:val="-8"/>
          <w:sz w:val="20"/>
        </w:rPr>
        <w:t> </w:t>
      </w:r>
      <w:r>
        <w:rPr>
          <w:sz w:val="20"/>
        </w:rPr>
        <w:t>el</w:t>
      </w:r>
      <w:r>
        <w:rPr>
          <w:spacing w:val="-7"/>
          <w:sz w:val="20"/>
        </w:rPr>
        <w:t> </w:t>
      </w:r>
      <w:r>
        <w:rPr>
          <w:sz w:val="20"/>
        </w:rPr>
        <w:t>contexto</w:t>
      </w:r>
      <w:r>
        <w:rPr>
          <w:spacing w:val="-8"/>
          <w:sz w:val="20"/>
        </w:rPr>
        <w:t> </w:t>
      </w:r>
      <w:r>
        <w:rPr>
          <w:sz w:val="20"/>
        </w:rPr>
        <w:t>de</w:t>
      </w:r>
      <w:r>
        <w:rPr>
          <w:spacing w:val="-7"/>
          <w:sz w:val="20"/>
        </w:rPr>
        <w:t> </w:t>
      </w:r>
      <w:r>
        <w:rPr>
          <w:sz w:val="20"/>
        </w:rPr>
        <w:t>los</w:t>
      </w:r>
      <w:r>
        <w:rPr>
          <w:spacing w:val="-10"/>
          <w:sz w:val="20"/>
        </w:rPr>
        <w:t> </w:t>
      </w:r>
      <w:r>
        <w:rPr>
          <w:sz w:val="20"/>
        </w:rPr>
        <w:t>términos</w:t>
      </w:r>
      <w:r>
        <w:rPr>
          <w:spacing w:val="-8"/>
          <w:sz w:val="20"/>
        </w:rPr>
        <w:t> </w:t>
      </w:r>
      <w:r>
        <w:rPr>
          <w:sz w:val="20"/>
        </w:rPr>
        <w:t>del</w:t>
      </w:r>
      <w:r>
        <w:rPr>
          <w:spacing w:val="-7"/>
          <w:sz w:val="20"/>
        </w:rPr>
        <w:t> </w:t>
      </w:r>
      <w:r>
        <w:rPr>
          <w:sz w:val="20"/>
        </w:rPr>
        <w:t>tratado</w:t>
      </w:r>
      <w:r>
        <w:rPr>
          <w:spacing w:val="-9"/>
          <w:sz w:val="20"/>
        </w:rPr>
        <w:t> </w:t>
      </w:r>
      <w:r>
        <w:rPr>
          <w:sz w:val="20"/>
        </w:rPr>
        <w:t>y</w:t>
      </w:r>
      <w:r>
        <w:rPr>
          <w:spacing w:val="-8"/>
          <w:sz w:val="20"/>
        </w:rPr>
        <w:t> </w:t>
      </w:r>
      <w:r>
        <w:rPr>
          <w:sz w:val="20"/>
        </w:rPr>
        <w:t>su</w:t>
      </w:r>
      <w:r>
        <w:rPr>
          <w:spacing w:val="-6"/>
          <w:sz w:val="20"/>
        </w:rPr>
        <w:t> </w:t>
      </w:r>
      <w:r>
        <w:rPr>
          <w:sz w:val="20"/>
        </w:rPr>
        <w:t>objeto</w:t>
      </w:r>
      <w:r>
        <w:rPr>
          <w:spacing w:val="-8"/>
          <w:sz w:val="20"/>
        </w:rPr>
        <w:t> </w:t>
      </w:r>
      <w:r>
        <w:rPr>
          <w:sz w:val="20"/>
        </w:rPr>
        <w:t>y</w:t>
      </w:r>
      <w:r>
        <w:rPr>
          <w:spacing w:val="-8"/>
          <w:sz w:val="20"/>
        </w:rPr>
        <w:t> </w:t>
      </w:r>
      <w:r>
        <w:rPr>
          <w:sz w:val="20"/>
        </w:rPr>
        <w:t>fin,</w:t>
      </w:r>
      <w:r>
        <w:rPr>
          <w:spacing w:val="-7"/>
          <w:sz w:val="20"/>
        </w:rPr>
        <w:t> </w:t>
      </w:r>
      <w:r>
        <w:rPr>
          <w:sz w:val="20"/>
        </w:rPr>
        <w:t>por sobre los otros.</w:t>
      </w:r>
      <w:r>
        <w:rPr>
          <w:position w:val="7"/>
          <w:sz w:val="13"/>
        </w:rPr>
        <w:t>126 </w:t>
      </w:r>
      <w:r>
        <w:rPr>
          <w:sz w:val="20"/>
        </w:rPr>
        <w:t>La simultaneidad y armonía de todos esos medios que establece la Convención de Viena al mencionarlos a todos juntos en el mismo inciso, se ve así alterada. Y, adicionalmente, incluso las reglas que la Sentencia aplica, no lo son como corresponde</w:t>
      </w:r>
      <w:r>
        <w:rPr>
          <w:position w:val="7"/>
          <w:sz w:val="13"/>
        </w:rPr>
        <w:t>127</w:t>
      </w:r>
      <w:r>
        <w:rPr>
          <w:sz w:val="20"/>
        </w:rPr>
        <w:t>.</w:t>
      </w:r>
    </w:p>
    <w:p>
      <w:pPr>
        <w:pStyle w:val="BodyText"/>
      </w:pPr>
    </w:p>
    <w:p>
      <w:pPr>
        <w:pStyle w:val="ListParagraph"/>
        <w:numPr>
          <w:ilvl w:val="0"/>
          <w:numId w:val="72"/>
        </w:numPr>
        <w:tabs>
          <w:tab w:pos="1250" w:val="left" w:leader="none"/>
        </w:tabs>
        <w:spacing w:line="240" w:lineRule="auto" w:before="0" w:after="0"/>
        <w:ind w:left="681" w:right="116" w:firstLine="0"/>
        <w:jc w:val="both"/>
        <w:rPr>
          <w:sz w:val="20"/>
        </w:rPr>
      </w:pPr>
      <w:r>
        <w:rPr>
          <w:sz w:val="20"/>
        </w:rPr>
        <w:t>En especial, no se comparte la Sentencia ya que toda su argumentación se dirige, en definitiva, exclusivamente a demostrar la existencia de los derechos a la identidad cultural, al medio ambiente sano, a la alimentación adecuada y al agua, para lo que invoca</w:t>
      </w:r>
      <w:r>
        <w:rPr>
          <w:spacing w:val="-11"/>
          <w:sz w:val="20"/>
        </w:rPr>
        <w:t> </w:t>
      </w:r>
      <w:r>
        <w:rPr>
          <w:sz w:val="20"/>
        </w:rPr>
        <w:t>diversos</w:t>
      </w:r>
      <w:r>
        <w:rPr>
          <w:spacing w:val="-11"/>
          <w:sz w:val="20"/>
        </w:rPr>
        <w:t> </w:t>
      </w:r>
      <w:r>
        <w:rPr>
          <w:sz w:val="20"/>
        </w:rPr>
        <w:t>instrumentos</w:t>
      </w:r>
      <w:r>
        <w:rPr>
          <w:spacing w:val="-11"/>
          <w:sz w:val="20"/>
        </w:rPr>
        <w:t> </w:t>
      </w:r>
      <w:r>
        <w:rPr>
          <w:sz w:val="20"/>
        </w:rPr>
        <w:t>internacionales</w:t>
      </w:r>
      <w:r>
        <w:rPr>
          <w:spacing w:val="-11"/>
          <w:sz w:val="20"/>
        </w:rPr>
        <w:t> </w:t>
      </w:r>
      <w:r>
        <w:rPr>
          <w:sz w:val="20"/>
        </w:rPr>
        <w:t>e</w:t>
      </w:r>
      <w:r>
        <w:rPr>
          <w:spacing w:val="-10"/>
          <w:sz w:val="20"/>
        </w:rPr>
        <w:t> </w:t>
      </w:r>
      <w:r>
        <w:rPr>
          <w:sz w:val="20"/>
        </w:rPr>
        <w:t>incluso</w:t>
      </w:r>
      <w:r>
        <w:rPr>
          <w:spacing w:val="-11"/>
          <w:sz w:val="20"/>
        </w:rPr>
        <w:t> </w:t>
      </w:r>
      <w:r>
        <w:rPr>
          <w:sz w:val="20"/>
        </w:rPr>
        <w:t>nacionales,</w:t>
      </w:r>
      <w:r>
        <w:rPr>
          <w:spacing w:val="-11"/>
          <w:sz w:val="20"/>
        </w:rPr>
        <w:t> </w:t>
      </w:r>
      <w:r>
        <w:rPr>
          <w:sz w:val="20"/>
        </w:rPr>
        <w:t>por</w:t>
      </w:r>
      <w:r>
        <w:rPr>
          <w:spacing w:val="-11"/>
          <w:sz w:val="20"/>
        </w:rPr>
        <w:t> </w:t>
      </w:r>
      <w:r>
        <w:rPr>
          <w:sz w:val="20"/>
        </w:rPr>
        <w:t>cierto,</w:t>
      </w:r>
      <w:r>
        <w:rPr>
          <w:spacing w:val="-7"/>
          <w:sz w:val="20"/>
        </w:rPr>
        <w:t> </w:t>
      </w:r>
      <w:r>
        <w:rPr>
          <w:sz w:val="20"/>
        </w:rPr>
        <w:t>en</w:t>
      </w:r>
      <w:r>
        <w:rPr>
          <w:spacing w:val="-10"/>
          <w:sz w:val="20"/>
        </w:rPr>
        <w:t> </w:t>
      </w:r>
      <w:r>
        <w:rPr>
          <w:sz w:val="20"/>
        </w:rPr>
        <w:t>su</w:t>
      </w:r>
      <w:r>
        <w:rPr>
          <w:spacing w:val="-11"/>
          <w:sz w:val="20"/>
        </w:rPr>
        <w:t> </w:t>
      </w:r>
      <w:r>
        <w:rPr>
          <w:sz w:val="20"/>
        </w:rPr>
        <w:t>gran</w:t>
      </w:r>
    </w:p>
    <w:p>
      <w:pPr>
        <w:pStyle w:val="BodyText"/>
      </w:pPr>
    </w:p>
    <w:p>
      <w:pPr>
        <w:pStyle w:val="BodyText"/>
        <w:spacing w:before="2"/>
        <w:rPr>
          <w:sz w:val="10"/>
        </w:rPr>
      </w:pPr>
      <w:r>
        <w:rPr/>
        <w:pict>
          <v:line style="position:absolute;mso-position-horizontal-relative:page;mso-position-vertical-relative:paragraph;z-index:4480;mso-wrap-distance-left:0;mso-wrap-distance-right:0" from="56.700001pt,8.544698pt" to="200.720001pt,8.544698pt" stroked="true" strokeweight=".71997pt" strokecolor="#000000">
            <v:stroke dashstyle="solid"/>
            <w10:wrap type="topAndBottom"/>
          </v:line>
        </w:pict>
      </w:r>
    </w:p>
    <w:p>
      <w:pPr>
        <w:spacing w:line="192" w:lineRule="exact" w:before="70"/>
        <w:ind w:left="681" w:right="0" w:firstLine="0"/>
        <w:jc w:val="left"/>
        <w:rPr>
          <w:sz w:val="16"/>
        </w:rPr>
      </w:pPr>
      <w:r>
        <w:rPr>
          <w:position w:val="6"/>
          <w:sz w:val="10"/>
        </w:rPr>
        <w:t>124  </w:t>
      </w:r>
      <w:r>
        <w:rPr>
          <w:i/>
          <w:sz w:val="16"/>
        </w:rPr>
        <w:t>Supra</w:t>
      </w:r>
      <w:r>
        <w:rPr>
          <w:sz w:val="16"/>
        </w:rPr>
        <w:t>, Nota N° 110.</w:t>
      </w:r>
    </w:p>
    <w:p>
      <w:pPr>
        <w:spacing w:line="245" w:lineRule="exact" w:before="0"/>
        <w:ind w:left="681" w:right="0" w:firstLine="0"/>
        <w:jc w:val="left"/>
        <w:rPr>
          <w:rFonts w:ascii="Calibri" w:hAnsi="Calibri"/>
          <w:sz w:val="20"/>
        </w:rPr>
      </w:pPr>
      <w:r>
        <w:rPr>
          <w:rFonts w:ascii="Calibri" w:hAnsi="Calibri"/>
          <w:position w:val="7"/>
          <w:sz w:val="13"/>
        </w:rPr>
        <w:t>125 </w:t>
      </w:r>
      <w:r>
        <w:rPr>
          <w:rFonts w:ascii="Calibri" w:hAnsi="Calibri"/>
          <w:sz w:val="20"/>
        </w:rPr>
        <w:t>Párr.195.</w:t>
      </w:r>
    </w:p>
    <w:p>
      <w:pPr>
        <w:pStyle w:val="BodyText"/>
        <w:spacing w:before="9"/>
        <w:rPr>
          <w:rFonts w:ascii="Calibri"/>
          <w:sz w:val="19"/>
        </w:rPr>
      </w:pPr>
    </w:p>
    <w:p>
      <w:pPr>
        <w:spacing w:before="0"/>
        <w:ind w:left="681" w:right="0" w:firstLine="0"/>
        <w:jc w:val="left"/>
        <w:rPr>
          <w:rFonts w:ascii="Calibri" w:hAnsi="Calibri"/>
          <w:sz w:val="20"/>
        </w:rPr>
      </w:pPr>
      <w:r>
        <w:rPr>
          <w:rFonts w:ascii="Calibri" w:hAnsi="Calibri"/>
          <w:position w:val="7"/>
          <w:sz w:val="13"/>
        </w:rPr>
        <w:t>126  </w:t>
      </w:r>
      <w:r>
        <w:rPr>
          <w:rFonts w:ascii="Calibri" w:hAnsi="Calibri"/>
          <w:sz w:val="20"/>
        </w:rPr>
        <w:t>Párrs. 196 y 198.</w:t>
      </w:r>
    </w:p>
    <w:p>
      <w:pPr>
        <w:pStyle w:val="BodyText"/>
        <w:spacing w:before="7"/>
        <w:rPr>
          <w:rFonts w:ascii="Calibri"/>
          <w:sz w:val="19"/>
        </w:rPr>
      </w:pPr>
    </w:p>
    <w:p>
      <w:pPr>
        <w:spacing w:before="1"/>
        <w:ind w:left="681" w:right="0" w:firstLine="0"/>
        <w:jc w:val="left"/>
        <w:rPr>
          <w:rFonts w:ascii="Calibri"/>
          <w:sz w:val="20"/>
        </w:rPr>
      </w:pPr>
      <w:r>
        <w:rPr>
          <w:rFonts w:ascii="Calibri"/>
          <w:position w:val="7"/>
          <w:sz w:val="13"/>
        </w:rPr>
        <w:t>127  </w:t>
      </w:r>
      <w:r>
        <w:rPr>
          <w:rFonts w:ascii="Calibri"/>
          <w:sz w:val="20"/>
        </w:rPr>
        <w:t>Supra, II, C y D.</w:t>
      </w:r>
    </w:p>
    <w:p>
      <w:pPr>
        <w:spacing w:after="0"/>
        <w:jc w:val="left"/>
        <w:rPr>
          <w:rFonts w:ascii="Calibri"/>
          <w:sz w:val="20"/>
        </w:rPr>
        <w:sectPr>
          <w:pgSz w:w="12240" w:h="15840"/>
          <w:pgMar w:header="0" w:footer="1000" w:top="1220" w:bottom="1200" w:left="1020" w:right="1580"/>
        </w:sectPr>
      </w:pPr>
    </w:p>
    <w:p>
      <w:pPr>
        <w:pStyle w:val="BodyText"/>
        <w:spacing w:before="83"/>
        <w:ind w:left="681" w:right="119"/>
        <w:jc w:val="both"/>
      </w:pPr>
      <w:r>
        <w:rPr/>
        <w:t>mayoría, no vinculantes, pero sin lograr sustentar su parecer en orden que las violaciones de aquellos derechos son justiciables ante la Corte.</w:t>
      </w:r>
    </w:p>
    <w:p>
      <w:pPr>
        <w:pStyle w:val="BodyText"/>
        <w:spacing w:before="11"/>
        <w:rPr>
          <w:sz w:val="19"/>
        </w:rPr>
      </w:pPr>
    </w:p>
    <w:p>
      <w:pPr>
        <w:pStyle w:val="ListParagraph"/>
        <w:numPr>
          <w:ilvl w:val="0"/>
          <w:numId w:val="72"/>
        </w:numPr>
        <w:tabs>
          <w:tab w:pos="1250" w:val="left" w:leader="none"/>
        </w:tabs>
        <w:spacing w:line="240" w:lineRule="auto" w:before="0" w:after="0"/>
        <w:ind w:left="681" w:right="116" w:firstLine="0"/>
        <w:jc w:val="both"/>
        <w:rPr>
          <w:sz w:val="20"/>
        </w:rPr>
      </w:pPr>
      <w:r>
        <w:rPr>
          <w:sz w:val="20"/>
        </w:rPr>
        <w:t>Asimismo, se discrepa de la Sentencia, puesto que la interdependencia, indivisibilidad, entrelazamiento o vinculación estrecha o indisoluble entre los derechos políticos y civiles y los derechos económicos, sociales y culturales, no es argumento válido</w:t>
      </w:r>
      <w:r>
        <w:rPr>
          <w:spacing w:val="-20"/>
          <w:sz w:val="20"/>
        </w:rPr>
        <w:t> </w:t>
      </w:r>
      <w:r>
        <w:rPr>
          <w:sz w:val="20"/>
        </w:rPr>
        <w:t>para</w:t>
      </w:r>
      <w:r>
        <w:rPr>
          <w:spacing w:val="-20"/>
          <w:sz w:val="20"/>
        </w:rPr>
        <w:t> </w:t>
      </w:r>
      <w:r>
        <w:rPr>
          <w:sz w:val="20"/>
        </w:rPr>
        <w:t>justificar</w:t>
      </w:r>
      <w:r>
        <w:rPr>
          <w:spacing w:val="31"/>
          <w:sz w:val="20"/>
        </w:rPr>
        <w:t> </w:t>
      </w:r>
      <w:r>
        <w:rPr>
          <w:sz w:val="20"/>
        </w:rPr>
        <w:t>que</w:t>
      </w:r>
      <w:r>
        <w:rPr>
          <w:spacing w:val="-19"/>
          <w:sz w:val="20"/>
        </w:rPr>
        <w:t> </w:t>
      </w:r>
      <w:r>
        <w:rPr>
          <w:sz w:val="20"/>
        </w:rPr>
        <w:t>estos</w:t>
      </w:r>
      <w:r>
        <w:rPr>
          <w:spacing w:val="-20"/>
          <w:sz w:val="20"/>
        </w:rPr>
        <w:t> </w:t>
      </w:r>
      <w:r>
        <w:rPr>
          <w:sz w:val="20"/>
        </w:rPr>
        <w:t>últimos</w:t>
      </w:r>
      <w:r>
        <w:rPr>
          <w:spacing w:val="-19"/>
          <w:sz w:val="20"/>
        </w:rPr>
        <w:t> </w:t>
      </w:r>
      <w:r>
        <w:rPr>
          <w:sz w:val="20"/>
        </w:rPr>
        <w:t>son</w:t>
      </w:r>
      <w:r>
        <w:rPr>
          <w:spacing w:val="-21"/>
          <w:sz w:val="20"/>
        </w:rPr>
        <w:t> </w:t>
      </w:r>
      <w:r>
        <w:rPr>
          <w:sz w:val="20"/>
        </w:rPr>
        <w:t>justiciables</w:t>
      </w:r>
      <w:r>
        <w:rPr>
          <w:spacing w:val="-19"/>
          <w:sz w:val="20"/>
        </w:rPr>
        <w:t> </w:t>
      </w:r>
      <w:r>
        <w:rPr>
          <w:sz w:val="20"/>
        </w:rPr>
        <w:t>ante</w:t>
      </w:r>
      <w:r>
        <w:rPr>
          <w:spacing w:val="-19"/>
          <w:sz w:val="20"/>
        </w:rPr>
        <w:t> </w:t>
      </w:r>
      <w:r>
        <w:rPr>
          <w:sz w:val="20"/>
        </w:rPr>
        <w:t>la</w:t>
      </w:r>
      <w:r>
        <w:rPr>
          <w:spacing w:val="-20"/>
          <w:sz w:val="20"/>
        </w:rPr>
        <w:t> </w:t>
      </w:r>
      <w:r>
        <w:rPr>
          <w:sz w:val="20"/>
        </w:rPr>
        <w:t>Corte,</w:t>
      </w:r>
      <w:r>
        <w:rPr>
          <w:spacing w:val="-20"/>
          <w:sz w:val="20"/>
        </w:rPr>
        <w:t> </w:t>
      </w:r>
      <w:r>
        <w:rPr>
          <w:sz w:val="20"/>
        </w:rPr>
        <w:t>ya</w:t>
      </w:r>
      <w:r>
        <w:rPr>
          <w:spacing w:val="-19"/>
          <w:sz w:val="20"/>
        </w:rPr>
        <w:t> </w:t>
      </w:r>
      <w:r>
        <w:rPr>
          <w:sz w:val="20"/>
        </w:rPr>
        <w:t>que</w:t>
      </w:r>
      <w:r>
        <w:rPr>
          <w:spacing w:val="-19"/>
          <w:sz w:val="20"/>
        </w:rPr>
        <w:t> </w:t>
      </w:r>
      <w:r>
        <w:rPr>
          <w:sz w:val="20"/>
        </w:rPr>
        <w:t>los</w:t>
      </w:r>
      <w:r>
        <w:rPr>
          <w:spacing w:val="-20"/>
          <w:sz w:val="20"/>
        </w:rPr>
        <w:t> </w:t>
      </w:r>
      <w:r>
        <w:rPr>
          <w:sz w:val="20"/>
        </w:rPr>
        <w:t>derechos humanos existen desde antes de que se consagraran en Tratados y ello con prescindencia de que sus eventuales violaciones puedan ser conocidas y resueltas en sede internacional. Así lo demuestra la propia Convención, al indicar que ellos “tienen como fundamento los atributos de la persona humana” y que han sido “consagrados en la Carta de la Organización de los Estados Americanos, en la Declaración Americana de los Derechos y Deberes del Hombre y en la Declaración Universal de los Derechos Humanos”</w:t>
      </w:r>
      <w:r>
        <w:rPr>
          <w:position w:val="7"/>
          <w:sz w:val="13"/>
        </w:rPr>
        <w:t>128</w:t>
      </w:r>
      <w:r>
        <w:rPr>
          <w:sz w:val="20"/>
        </w:rPr>
        <w:t>.</w:t>
      </w:r>
    </w:p>
    <w:p>
      <w:pPr>
        <w:pStyle w:val="BodyText"/>
      </w:pPr>
    </w:p>
    <w:p>
      <w:pPr>
        <w:pStyle w:val="ListParagraph"/>
        <w:numPr>
          <w:ilvl w:val="0"/>
          <w:numId w:val="72"/>
        </w:numPr>
        <w:tabs>
          <w:tab w:pos="1390" w:val="left" w:leader="none"/>
        </w:tabs>
        <w:spacing w:line="240" w:lineRule="auto" w:before="0" w:after="0"/>
        <w:ind w:left="681" w:right="118" w:firstLine="0"/>
        <w:jc w:val="both"/>
        <w:rPr>
          <w:sz w:val="20"/>
        </w:rPr>
      </w:pPr>
      <w:r>
        <w:rPr>
          <w:sz w:val="20"/>
        </w:rPr>
        <w:t>Pero,</w:t>
      </w:r>
      <w:r>
        <w:rPr>
          <w:spacing w:val="-9"/>
          <w:sz w:val="20"/>
        </w:rPr>
        <w:t> </w:t>
      </w:r>
      <w:r>
        <w:rPr>
          <w:sz w:val="20"/>
        </w:rPr>
        <w:t>además,</w:t>
      </w:r>
      <w:r>
        <w:rPr>
          <w:spacing w:val="-10"/>
          <w:sz w:val="20"/>
        </w:rPr>
        <w:t> </w:t>
      </w:r>
      <w:r>
        <w:rPr>
          <w:sz w:val="20"/>
        </w:rPr>
        <w:t>se</w:t>
      </w:r>
      <w:r>
        <w:rPr>
          <w:spacing w:val="-9"/>
          <w:sz w:val="20"/>
        </w:rPr>
        <w:t> </w:t>
      </w:r>
      <w:r>
        <w:rPr>
          <w:sz w:val="20"/>
        </w:rPr>
        <w:t>disiente</w:t>
      </w:r>
      <w:r>
        <w:rPr>
          <w:spacing w:val="-9"/>
          <w:sz w:val="20"/>
        </w:rPr>
        <w:t> </w:t>
      </w:r>
      <w:r>
        <w:rPr>
          <w:sz w:val="20"/>
        </w:rPr>
        <w:t>de</w:t>
      </w:r>
      <w:r>
        <w:rPr>
          <w:spacing w:val="-9"/>
          <w:sz w:val="20"/>
        </w:rPr>
        <w:t> </w:t>
      </w:r>
      <w:r>
        <w:rPr>
          <w:sz w:val="20"/>
        </w:rPr>
        <w:t>la</w:t>
      </w:r>
      <w:r>
        <w:rPr>
          <w:spacing w:val="-10"/>
          <w:sz w:val="20"/>
        </w:rPr>
        <w:t> </w:t>
      </w:r>
      <w:r>
        <w:rPr>
          <w:sz w:val="20"/>
        </w:rPr>
        <w:t>Sentencia</w:t>
      </w:r>
      <w:r>
        <w:rPr>
          <w:spacing w:val="-10"/>
          <w:sz w:val="20"/>
        </w:rPr>
        <w:t> </w:t>
      </w:r>
      <w:r>
        <w:rPr>
          <w:sz w:val="20"/>
        </w:rPr>
        <w:t>puesto</w:t>
      </w:r>
      <w:r>
        <w:rPr>
          <w:spacing w:val="-8"/>
          <w:sz w:val="20"/>
        </w:rPr>
        <w:t> </w:t>
      </w:r>
      <w:r>
        <w:rPr>
          <w:sz w:val="20"/>
        </w:rPr>
        <w:t>que,</w:t>
      </w:r>
      <w:r>
        <w:rPr>
          <w:spacing w:val="-8"/>
          <w:sz w:val="20"/>
        </w:rPr>
        <w:t> </w:t>
      </w:r>
      <w:r>
        <w:rPr>
          <w:sz w:val="20"/>
        </w:rPr>
        <w:t>por</w:t>
      </w:r>
      <w:r>
        <w:rPr>
          <w:spacing w:val="-10"/>
          <w:sz w:val="20"/>
        </w:rPr>
        <w:t> </w:t>
      </w:r>
      <w:r>
        <w:rPr>
          <w:sz w:val="20"/>
        </w:rPr>
        <w:t>una</w:t>
      </w:r>
      <w:r>
        <w:rPr>
          <w:spacing w:val="-9"/>
          <w:sz w:val="20"/>
        </w:rPr>
        <w:t> </w:t>
      </w:r>
      <w:r>
        <w:rPr>
          <w:sz w:val="20"/>
        </w:rPr>
        <w:t>parte,</w:t>
      </w:r>
      <w:r>
        <w:rPr>
          <w:spacing w:val="-10"/>
          <w:sz w:val="20"/>
        </w:rPr>
        <w:t> </w:t>
      </w:r>
      <w:r>
        <w:rPr>
          <w:sz w:val="20"/>
        </w:rPr>
        <w:t>es</w:t>
      </w:r>
      <w:r>
        <w:rPr>
          <w:spacing w:val="-9"/>
          <w:sz w:val="20"/>
        </w:rPr>
        <w:t> </w:t>
      </w:r>
      <w:r>
        <w:rPr>
          <w:sz w:val="20"/>
        </w:rPr>
        <w:t>la</w:t>
      </w:r>
      <w:r>
        <w:rPr>
          <w:spacing w:val="-10"/>
          <w:sz w:val="20"/>
        </w:rPr>
        <w:t> </w:t>
      </w:r>
      <w:r>
        <w:rPr>
          <w:sz w:val="20"/>
        </w:rPr>
        <w:t>propia Convención la que realiza una clara distinción entre los derechos políticos y civiles y los derechos</w:t>
      </w:r>
      <w:r>
        <w:rPr>
          <w:spacing w:val="-13"/>
          <w:sz w:val="20"/>
        </w:rPr>
        <w:t> </w:t>
      </w:r>
      <w:r>
        <w:rPr>
          <w:sz w:val="20"/>
        </w:rPr>
        <w:t>económicos,</w:t>
      </w:r>
      <w:r>
        <w:rPr>
          <w:spacing w:val="-12"/>
          <w:sz w:val="20"/>
        </w:rPr>
        <w:t> </w:t>
      </w:r>
      <w:r>
        <w:rPr>
          <w:sz w:val="20"/>
        </w:rPr>
        <w:t>sociales</w:t>
      </w:r>
      <w:r>
        <w:rPr>
          <w:spacing w:val="-13"/>
          <w:sz w:val="20"/>
        </w:rPr>
        <w:t> </w:t>
      </w:r>
      <w:r>
        <w:rPr>
          <w:sz w:val="20"/>
        </w:rPr>
        <w:t>y</w:t>
      </w:r>
      <w:r>
        <w:rPr>
          <w:spacing w:val="-12"/>
          <w:sz w:val="20"/>
        </w:rPr>
        <w:t> </w:t>
      </w:r>
      <w:r>
        <w:rPr>
          <w:sz w:val="20"/>
        </w:rPr>
        <w:t>culturales</w:t>
      </w:r>
      <w:r>
        <w:rPr>
          <w:spacing w:val="-11"/>
          <w:sz w:val="20"/>
        </w:rPr>
        <w:t> </w:t>
      </w:r>
      <w:r>
        <w:rPr>
          <w:sz w:val="20"/>
        </w:rPr>
        <w:t>y</w:t>
      </w:r>
      <w:r>
        <w:rPr>
          <w:spacing w:val="-12"/>
          <w:sz w:val="20"/>
        </w:rPr>
        <w:t> </w:t>
      </w:r>
      <w:r>
        <w:rPr>
          <w:sz w:val="20"/>
        </w:rPr>
        <w:t>por</w:t>
      </w:r>
      <w:r>
        <w:rPr>
          <w:spacing w:val="-12"/>
          <w:sz w:val="20"/>
        </w:rPr>
        <w:t> </w:t>
      </w:r>
      <w:r>
        <w:rPr>
          <w:sz w:val="20"/>
        </w:rPr>
        <w:t>la</w:t>
      </w:r>
      <w:r>
        <w:rPr>
          <w:spacing w:val="-12"/>
          <w:sz w:val="20"/>
        </w:rPr>
        <w:t> </w:t>
      </w:r>
      <w:r>
        <w:rPr>
          <w:sz w:val="20"/>
        </w:rPr>
        <w:t>otra,</w:t>
      </w:r>
      <w:r>
        <w:rPr>
          <w:spacing w:val="-11"/>
          <w:sz w:val="20"/>
        </w:rPr>
        <w:t> </w:t>
      </w:r>
      <w:r>
        <w:rPr>
          <w:sz w:val="20"/>
        </w:rPr>
        <w:t>porque,</w:t>
      </w:r>
      <w:r>
        <w:rPr>
          <w:spacing w:val="-11"/>
          <w:sz w:val="20"/>
        </w:rPr>
        <w:t> </w:t>
      </w:r>
      <w:r>
        <w:rPr>
          <w:sz w:val="20"/>
        </w:rPr>
        <w:t>para</w:t>
      </w:r>
      <w:r>
        <w:rPr>
          <w:spacing w:val="-12"/>
          <w:sz w:val="20"/>
        </w:rPr>
        <w:t> </w:t>
      </w:r>
      <w:r>
        <w:rPr>
          <w:sz w:val="20"/>
        </w:rPr>
        <w:t>que</w:t>
      </w:r>
      <w:r>
        <w:rPr>
          <w:spacing w:val="-12"/>
          <w:sz w:val="20"/>
        </w:rPr>
        <w:t> </w:t>
      </w:r>
      <w:r>
        <w:rPr>
          <w:sz w:val="20"/>
        </w:rPr>
        <w:t>estos</w:t>
      </w:r>
      <w:r>
        <w:rPr>
          <w:spacing w:val="-12"/>
          <w:sz w:val="20"/>
        </w:rPr>
        <w:t> </w:t>
      </w:r>
      <w:r>
        <w:rPr>
          <w:sz w:val="20"/>
        </w:rPr>
        <w:t>últimos, incluyendo a los derechos a la identidad cultural, al medio ambiente sano, a la alimentación</w:t>
      </w:r>
      <w:r>
        <w:rPr>
          <w:spacing w:val="-8"/>
          <w:sz w:val="20"/>
        </w:rPr>
        <w:t> </w:t>
      </w:r>
      <w:r>
        <w:rPr>
          <w:sz w:val="20"/>
        </w:rPr>
        <w:t>adecuada</w:t>
      </w:r>
      <w:r>
        <w:rPr>
          <w:spacing w:val="-10"/>
          <w:sz w:val="20"/>
        </w:rPr>
        <w:t> </w:t>
      </w:r>
      <w:r>
        <w:rPr>
          <w:sz w:val="20"/>
        </w:rPr>
        <w:t>y</w:t>
      </w:r>
      <w:r>
        <w:rPr>
          <w:spacing w:val="-8"/>
          <w:sz w:val="20"/>
        </w:rPr>
        <w:t> </w:t>
      </w:r>
      <w:r>
        <w:rPr>
          <w:sz w:val="20"/>
        </w:rPr>
        <w:t>al</w:t>
      </w:r>
      <w:r>
        <w:rPr>
          <w:spacing w:val="-8"/>
          <w:sz w:val="20"/>
        </w:rPr>
        <w:t> </w:t>
      </w:r>
      <w:r>
        <w:rPr>
          <w:sz w:val="20"/>
        </w:rPr>
        <w:t>agua,</w:t>
      </w:r>
      <w:r>
        <w:rPr>
          <w:spacing w:val="-8"/>
          <w:sz w:val="20"/>
        </w:rPr>
        <w:t> </w:t>
      </w:r>
      <w:r>
        <w:rPr>
          <w:sz w:val="20"/>
        </w:rPr>
        <w:t>pudieran</w:t>
      </w:r>
      <w:r>
        <w:rPr>
          <w:spacing w:val="-10"/>
          <w:sz w:val="20"/>
        </w:rPr>
        <w:t> </w:t>
      </w:r>
      <w:r>
        <w:rPr>
          <w:sz w:val="20"/>
        </w:rPr>
        <w:t>ser</w:t>
      </w:r>
      <w:r>
        <w:rPr>
          <w:spacing w:val="-10"/>
          <w:sz w:val="20"/>
        </w:rPr>
        <w:t> </w:t>
      </w:r>
      <w:r>
        <w:rPr>
          <w:sz w:val="20"/>
        </w:rPr>
        <w:t>justiciables</w:t>
      </w:r>
      <w:r>
        <w:rPr>
          <w:spacing w:val="-9"/>
          <w:sz w:val="20"/>
        </w:rPr>
        <w:t> </w:t>
      </w:r>
      <w:r>
        <w:rPr>
          <w:sz w:val="20"/>
        </w:rPr>
        <w:t>ante</w:t>
      </w:r>
      <w:r>
        <w:rPr>
          <w:spacing w:val="-9"/>
          <w:sz w:val="20"/>
        </w:rPr>
        <w:t> </w:t>
      </w:r>
      <w:r>
        <w:rPr>
          <w:sz w:val="20"/>
        </w:rPr>
        <w:t>la</w:t>
      </w:r>
      <w:r>
        <w:rPr>
          <w:spacing w:val="-10"/>
          <w:sz w:val="20"/>
        </w:rPr>
        <w:t> </w:t>
      </w:r>
      <w:r>
        <w:rPr>
          <w:sz w:val="20"/>
        </w:rPr>
        <w:t>Corte,</w:t>
      </w:r>
      <w:r>
        <w:rPr>
          <w:spacing w:val="-9"/>
          <w:sz w:val="20"/>
        </w:rPr>
        <w:t> </w:t>
      </w:r>
      <w:r>
        <w:rPr>
          <w:sz w:val="20"/>
        </w:rPr>
        <w:t>sería</w:t>
      </w:r>
      <w:r>
        <w:rPr>
          <w:spacing w:val="-8"/>
          <w:sz w:val="20"/>
        </w:rPr>
        <w:t> </w:t>
      </w:r>
      <w:r>
        <w:rPr>
          <w:sz w:val="20"/>
        </w:rPr>
        <w:t>menester la suscripción de un protocolo complementario, como ha acontecido con el Protocolo de San Salvador en lo que dice relación al derecho de formar y adherirse a sindicatos y al derecho a la</w:t>
      </w:r>
      <w:r>
        <w:rPr>
          <w:spacing w:val="-6"/>
          <w:sz w:val="20"/>
        </w:rPr>
        <w:t> </w:t>
      </w:r>
      <w:r>
        <w:rPr>
          <w:sz w:val="20"/>
        </w:rPr>
        <w:t>educación.</w:t>
      </w:r>
    </w:p>
    <w:p>
      <w:pPr>
        <w:pStyle w:val="BodyText"/>
      </w:pPr>
    </w:p>
    <w:p>
      <w:pPr>
        <w:pStyle w:val="ListParagraph"/>
        <w:numPr>
          <w:ilvl w:val="0"/>
          <w:numId w:val="72"/>
        </w:numPr>
        <w:tabs>
          <w:tab w:pos="1461" w:val="left" w:leader="none"/>
        </w:tabs>
        <w:spacing w:line="240" w:lineRule="auto" w:before="0" w:after="0"/>
        <w:ind w:left="681" w:right="116" w:firstLine="0"/>
        <w:jc w:val="both"/>
        <w:rPr>
          <w:sz w:val="20"/>
        </w:rPr>
      </w:pPr>
      <w:r>
        <w:rPr>
          <w:sz w:val="20"/>
        </w:rPr>
        <w:t>Igualmente, se debe insistir, una vez más, que este escrito no dice relación con la existencia de los derechos a la identidad cultural, al medio ambiente sano, a la alimentación adecuada y al agua. Ello escapa a su propósito. Únicamente se sostiene que su eventual violación no puede ser sometida al conocimiento y resolución de la Corte.</w:t>
      </w:r>
    </w:p>
    <w:p>
      <w:pPr>
        <w:pStyle w:val="BodyText"/>
        <w:spacing w:before="11"/>
        <w:rPr>
          <w:sz w:val="19"/>
        </w:rPr>
      </w:pPr>
    </w:p>
    <w:p>
      <w:pPr>
        <w:pStyle w:val="ListParagraph"/>
        <w:numPr>
          <w:ilvl w:val="0"/>
          <w:numId w:val="72"/>
        </w:numPr>
        <w:tabs>
          <w:tab w:pos="1390" w:val="left" w:leader="none"/>
        </w:tabs>
        <w:spacing w:line="240" w:lineRule="auto" w:before="0" w:after="0"/>
        <w:ind w:left="681" w:right="116" w:firstLine="0"/>
        <w:jc w:val="both"/>
        <w:rPr>
          <w:sz w:val="20"/>
        </w:rPr>
      </w:pPr>
      <w:r>
        <w:rPr>
          <w:sz w:val="20"/>
        </w:rPr>
        <w:t>Asimismo, se debe señalar que tampoco el presente voto debe ser entendido en orden a que eventualmente no se esté a favor de someter ante la Corte las violaciones de</w:t>
      </w:r>
      <w:r>
        <w:rPr>
          <w:spacing w:val="-15"/>
          <w:sz w:val="20"/>
        </w:rPr>
        <w:t> </w:t>
      </w:r>
      <w:r>
        <w:rPr>
          <w:sz w:val="20"/>
        </w:rPr>
        <w:t>los</w:t>
      </w:r>
      <w:r>
        <w:rPr>
          <w:spacing w:val="-17"/>
          <w:sz w:val="20"/>
        </w:rPr>
        <w:t> </w:t>
      </w:r>
      <w:r>
        <w:rPr>
          <w:sz w:val="20"/>
        </w:rPr>
        <w:t>derechos</w:t>
      </w:r>
      <w:r>
        <w:rPr>
          <w:spacing w:val="-15"/>
          <w:sz w:val="20"/>
        </w:rPr>
        <w:t> </w:t>
      </w:r>
      <w:r>
        <w:rPr>
          <w:sz w:val="20"/>
        </w:rPr>
        <w:t>económicos,</w:t>
      </w:r>
      <w:r>
        <w:rPr>
          <w:spacing w:val="-15"/>
          <w:sz w:val="20"/>
        </w:rPr>
        <w:t> </w:t>
      </w:r>
      <w:r>
        <w:rPr>
          <w:sz w:val="20"/>
        </w:rPr>
        <w:t>sociales</w:t>
      </w:r>
      <w:r>
        <w:rPr>
          <w:spacing w:val="-17"/>
          <w:sz w:val="20"/>
        </w:rPr>
        <w:t> </w:t>
      </w:r>
      <w:r>
        <w:rPr>
          <w:sz w:val="20"/>
        </w:rPr>
        <w:t>y</w:t>
      </w:r>
      <w:r>
        <w:rPr>
          <w:spacing w:val="-15"/>
          <w:sz w:val="20"/>
        </w:rPr>
        <w:t> </w:t>
      </w:r>
      <w:r>
        <w:rPr>
          <w:sz w:val="20"/>
        </w:rPr>
        <w:t>culturales.</w:t>
      </w:r>
      <w:r>
        <w:rPr>
          <w:spacing w:val="-15"/>
          <w:sz w:val="20"/>
        </w:rPr>
        <w:t> </w:t>
      </w:r>
      <w:r>
        <w:rPr>
          <w:sz w:val="20"/>
        </w:rPr>
        <w:t>Lo</w:t>
      </w:r>
      <w:r>
        <w:rPr>
          <w:spacing w:val="-16"/>
          <w:sz w:val="20"/>
        </w:rPr>
        <w:t> </w:t>
      </w:r>
      <w:r>
        <w:rPr>
          <w:sz w:val="20"/>
        </w:rPr>
        <w:t>que</w:t>
      </w:r>
      <w:r>
        <w:rPr>
          <w:spacing w:val="-15"/>
          <w:sz w:val="20"/>
        </w:rPr>
        <w:t> </w:t>
      </w:r>
      <w:r>
        <w:rPr>
          <w:sz w:val="20"/>
        </w:rPr>
        <w:t>se</w:t>
      </w:r>
      <w:r>
        <w:rPr>
          <w:spacing w:val="-16"/>
          <w:sz w:val="20"/>
        </w:rPr>
        <w:t> </w:t>
      </w:r>
      <w:r>
        <w:rPr>
          <w:sz w:val="20"/>
        </w:rPr>
        <w:t>considera</w:t>
      </w:r>
      <w:r>
        <w:rPr>
          <w:spacing w:val="-16"/>
          <w:sz w:val="20"/>
        </w:rPr>
        <w:t> </w:t>
      </w:r>
      <w:r>
        <w:rPr>
          <w:sz w:val="20"/>
        </w:rPr>
        <w:t>sobre</w:t>
      </w:r>
      <w:r>
        <w:rPr>
          <w:spacing w:val="-16"/>
          <w:sz w:val="20"/>
        </w:rPr>
        <w:t> </w:t>
      </w:r>
      <w:r>
        <w:rPr>
          <w:sz w:val="20"/>
        </w:rPr>
        <w:t>el</w:t>
      </w:r>
      <w:r>
        <w:rPr>
          <w:spacing w:val="-15"/>
          <w:sz w:val="20"/>
        </w:rPr>
        <w:t> </w:t>
      </w:r>
      <w:r>
        <w:rPr>
          <w:sz w:val="20"/>
        </w:rPr>
        <w:t>particular es que, si se procede a ello, debe hacerse por quién detenta la titularidad de la función normativa</w:t>
      </w:r>
      <w:r>
        <w:rPr>
          <w:spacing w:val="-8"/>
          <w:sz w:val="20"/>
        </w:rPr>
        <w:t> </w:t>
      </w:r>
      <w:r>
        <w:rPr>
          <w:sz w:val="20"/>
        </w:rPr>
        <w:t>internacional</w:t>
      </w:r>
      <w:r>
        <w:rPr>
          <w:position w:val="7"/>
          <w:sz w:val="13"/>
        </w:rPr>
        <w:t>129</w:t>
      </w:r>
      <w:r>
        <w:rPr>
          <w:sz w:val="20"/>
        </w:rPr>
        <w:t>.</w:t>
      </w:r>
      <w:r>
        <w:rPr>
          <w:spacing w:val="-6"/>
          <w:sz w:val="20"/>
        </w:rPr>
        <w:t> </w:t>
      </w:r>
      <w:r>
        <w:rPr>
          <w:sz w:val="20"/>
        </w:rPr>
        <w:t>No</w:t>
      </w:r>
      <w:r>
        <w:rPr>
          <w:spacing w:val="-8"/>
          <w:sz w:val="20"/>
        </w:rPr>
        <w:t> </w:t>
      </w:r>
      <w:r>
        <w:rPr>
          <w:sz w:val="20"/>
        </w:rPr>
        <w:t>parecería</w:t>
      </w:r>
      <w:r>
        <w:rPr>
          <w:spacing w:val="-7"/>
          <w:sz w:val="20"/>
        </w:rPr>
        <w:t> </w:t>
      </w:r>
      <w:r>
        <w:rPr>
          <w:sz w:val="20"/>
        </w:rPr>
        <w:t>conveniente</w:t>
      </w:r>
      <w:r>
        <w:rPr>
          <w:spacing w:val="-6"/>
          <w:sz w:val="20"/>
        </w:rPr>
        <w:t> </w:t>
      </w:r>
      <w:r>
        <w:rPr>
          <w:sz w:val="20"/>
        </w:rPr>
        <w:t>que</w:t>
      </w:r>
      <w:r>
        <w:rPr>
          <w:spacing w:val="-8"/>
          <w:sz w:val="20"/>
        </w:rPr>
        <w:t> </w:t>
      </w:r>
      <w:r>
        <w:rPr>
          <w:sz w:val="20"/>
        </w:rPr>
        <w:t>el</w:t>
      </w:r>
      <w:r>
        <w:rPr>
          <w:spacing w:val="-6"/>
          <w:sz w:val="20"/>
        </w:rPr>
        <w:t> </w:t>
      </w:r>
      <w:r>
        <w:rPr>
          <w:sz w:val="20"/>
        </w:rPr>
        <w:t>órgano</w:t>
      </w:r>
      <w:r>
        <w:rPr>
          <w:spacing w:val="-7"/>
          <w:sz w:val="20"/>
        </w:rPr>
        <w:t> </w:t>
      </w:r>
      <w:r>
        <w:rPr>
          <w:sz w:val="20"/>
        </w:rPr>
        <w:t>al</w:t>
      </w:r>
      <w:r>
        <w:rPr>
          <w:spacing w:val="-8"/>
          <w:sz w:val="20"/>
        </w:rPr>
        <w:t> </w:t>
      </w:r>
      <w:r>
        <w:rPr>
          <w:sz w:val="20"/>
        </w:rPr>
        <w:t>que</w:t>
      </w:r>
      <w:r>
        <w:rPr>
          <w:spacing w:val="-6"/>
          <w:sz w:val="20"/>
        </w:rPr>
        <w:t> </w:t>
      </w:r>
      <w:r>
        <w:rPr>
          <w:sz w:val="20"/>
        </w:rPr>
        <w:t>le</w:t>
      </w:r>
      <w:r>
        <w:rPr>
          <w:spacing w:val="-8"/>
          <w:sz w:val="20"/>
        </w:rPr>
        <w:t> </w:t>
      </w:r>
      <w:r>
        <w:rPr>
          <w:sz w:val="20"/>
        </w:rPr>
        <w:t>compete</w:t>
      </w:r>
      <w:r>
        <w:rPr>
          <w:spacing w:val="-6"/>
          <w:sz w:val="20"/>
        </w:rPr>
        <w:t> </w:t>
      </w:r>
      <w:r>
        <w:rPr>
          <w:sz w:val="20"/>
        </w:rPr>
        <w:t>la función judicial interamericana asuma la función normativa internacional, máxime cuando dichos los Estados son democráticos y a su respecto rige la Carta Democrática Interamericana, la que prevé la separación de poderes y la participación ciudadana en los asuntos públicos</w:t>
      </w:r>
      <w:r>
        <w:rPr>
          <w:position w:val="7"/>
          <w:sz w:val="13"/>
        </w:rPr>
        <w:t>130</w:t>
      </w:r>
      <w:r>
        <w:rPr>
          <w:sz w:val="20"/>
        </w:rPr>
        <w:t>, separación que también debería reflejarse en lo atinente a la función</w:t>
      </w:r>
      <w:r>
        <w:rPr>
          <w:spacing w:val="-10"/>
          <w:sz w:val="20"/>
        </w:rPr>
        <w:t> </w:t>
      </w:r>
      <w:r>
        <w:rPr>
          <w:sz w:val="20"/>
        </w:rPr>
        <w:t>normativa</w:t>
      </w:r>
      <w:r>
        <w:rPr>
          <w:spacing w:val="-9"/>
          <w:sz w:val="20"/>
        </w:rPr>
        <w:t> </w:t>
      </w:r>
      <w:r>
        <w:rPr>
          <w:sz w:val="20"/>
        </w:rPr>
        <w:t>internacional,</w:t>
      </w:r>
      <w:r>
        <w:rPr>
          <w:spacing w:val="-11"/>
          <w:sz w:val="20"/>
        </w:rPr>
        <w:t> </w:t>
      </w:r>
      <w:r>
        <w:rPr>
          <w:sz w:val="20"/>
        </w:rPr>
        <w:t>particularmente</w:t>
      </w:r>
      <w:r>
        <w:rPr>
          <w:spacing w:val="-9"/>
          <w:sz w:val="20"/>
        </w:rPr>
        <w:t> </w:t>
      </w:r>
      <w:r>
        <w:rPr>
          <w:sz w:val="20"/>
        </w:rPr>
        <w:t>de</w:t>
      </w:r>
      <w:r>
        <w:rPr>
          <w:spacing w:val="-9"/>
          <w:sz w:val="20"/>
        </w:rPr>
        <w:t> </w:t>
      </w:r>
      <w:r>
        <w:rPr>
          <w:sz w:val="20"/>
        </w:rPr>
        <w:t>aquellas</w:t>
      </w:r>
      <w:r>
        <w:rPr>
          <w:spacing w:val="-11"/>
          <w:sz w:val="20"/>
        </w:rPr>
        <w:t> </w:t>
      </w:r>
      <w:r>
        <w:rPr>
          <w:sz w:val="20"/>
        </w:rPr>
        <w:t>normas</w:t>
      </w:r>
      <w:r>
        <w:rPr>
          <w:spacing w:val="-10"/>
          <w:sz w:val="20"/>
        </w:rPr>
        <w:t> </w:t>
      </w:r>
      <w:r>
        <w:rPr>
          <w:sz w:val="20"/>
        </w:rPr>
        <w:t>que</w:t>
      </w:r>
      <w:r>
        <w:rPr>
          <w:spacing w:val="-10"/>
          <w:sz w:val="20"/>
        </w:rPr>
        <w:t> </w:t>
      </w:r>
      <w:r>
        <w:rPr>
          <w:sz w:val="20"/>
        </w:rPr>
        <w:t>les</w:t>
      </w:r>
      <w:r>
        <w:rPr>
          <w:spacing w:val="-9"/>
          <w:sz w:val="20"/>
        </w:rPr>
        <w:t> </w:t>
      </w:r>
      <w:r>
        <w:rPr>
          <w:sz w:val="20"/>
        </w:rPr>
        <w:t>conciernen más directamente a la</w:t>
      </w:r>
      <w:r>
        <w:rPr>
          <w:spacing w:val="-6"/>
          <w:sz w:val="20"/>
        </w:rPr>
        <w:t> </w:t>
      </w:r>
      <w:r>
        <w:rPr>
          <w:sz w:val="20"/>
        </w:rPr>
        <w:t>ciudadanía.</w:t>
      </w:r>
    </w:p>
    <w:p>
      <w:pPr>
        <w:pStyle w:val="BodyText"/>
        <w:spacing w:before="5"/>
        <w:rPr>
          <w:sz w:val="10"/>
        </w:rPr>
      </w:pPr>
      <w:r>
        <w:rPr/>
        <w:pict>
          <v:line style="position:absolute;mso-position-horizontal-relative:page;mso-position-vertical-relative:paragraph;z-index:4504;mso-wrap-distance-left:0;mso-wrap-distance-right:0" from="56.700001pt,8.664133pt" to="200.720001pt,8.664133pt" stroked="true" strokeweight=".72003pt" strokecolor="#000000">
            <v:stroke dashstyle="solid"/>
            <w10:wrap type="topAndBottom"/>
          </v:line>
        </w:pict>
      </w:r>
    </w:p>
    <w:p>
      <w:pPr>
        <w:pStyle w:val="BodyText"/>
        <w:spacing w:before="66"/>
        <w:ind w:left="681"/>
        <w:jc w:val="both"/>
        <w:rPr>
          <w:rFonts w:ascii="Calibri" w:hAnsi="Calibri"/>
        </w:rPr>
      </w:pPr>
      <w:r>
        <w:rPr>
          <w:rFonts w:ascii="Calibri" w:hAnsi="Calibri"/>
          <w:position w:val="7"/>
          <w:sz w:val="13"/>
        </w:rPr>
        <w:t>128  </w:t>
      </w:r>
      <w:r>
        <w:rPr>
          <w:rFonts w:ascii="Calibri" w:hAnsi="Calibri"/>
        </w:rPr>
        <w:t>Párr.3° de su Preámbulo.</w:t>
      </w:r>
    </w:p>
    <w:p>
      <w:pPr>
        <w:pStyle w:val="BodyText"/>
        <w:spacing w:before="8"/>
        <w:rPr>
          <w:rFonts w:ascii="Calibri"/>
          <w:sz w:val="19"/>
        </w:rPr>
      </w:pPr>
    </w:p>
    <w:p>
      <w:pPr>
        <w:spacing w:before="1"/>
        <w:ind w:left="681" w:right="0" w:firstLine="0"/>
        <w:jc w:val="both"/>
        <w:rPr>
          <w:rFonts w:ascii="Calibri" w:hAnsi="Calibri"/>
          <w:sz w:val="20"/>
        </w:rPr>
      </w:pPr>
      <w:r>
        <w:rPr>
          <w:rFonts w:ascii="Calibri" w:hAnsi="Calibri"/>
          <w:position w:val="7"/>
          <w:sz w:val="13"/>
        </w:rPr>
        <w:t>129  </w:t>
      </w:r>
      <w:r>
        <w:rPr>
          <w:rFonts w:ascii="Calibri" w:hAnsi="Calibri"/>
          <w:i/>
          <w:sz w:val="20"/>
        </w:rPr>
        <w:t>Supra</w:t>
      </w:r>
      <w:r>
        <w:rPr>
          <w:rFonts w:ascii="Calibri" w:hAnsi="Calibri"/>
          <w:sz w:val="20"/>
        </w:rPr>
        <w:t>, Nota N° 119.</w:t>
      </w:r>
    </w:p>
    <w:p>
      <w:pPr>
        <w:spacing w:before="1"/>
        <w:ind w:left="681" w:right="121" w:firstLine="0"/>
        <w:jc w:val="both"/>
        <w:rPr>
          <w:sz w:val="16"/>
        </w:rPr>
      </w:pPr>
      <w:r>
        <w:rPr>
          <w:position w:val="6"/>
          <w:sz w:val="10"/>
        </w:rPr>
        <w:t>130 </w:t>
      </w:r>
      <w:r>
        <w:rPr>
          <w:sz w:val="16"/>
        </w:rPr>
        <w:t>Adoptada en el Vigésimo Octavo Período Extraordinario de Sesiones de la Asamblea General de la OEA, 11 de septiembre de 2001, Lima, Perú.</w:t>
      </w:r>
    </w:p>
    <w:p>
      <w:pPr>
        <w:spacing w:before="0"/>
        <w:ind w:left="681" w:right="121" w:firstLine="0"/>
        <w:jc w:val="both"/>
        <w:rPr>
          <w:sz w:val="16"/>
        </w:rPr>
      </w:pPr>
      <w:r>
        <w:rPr>
          <w:sz w:val="16"/>
        </w:rPr>
        <w:t>Art. 3: “</w:t>
      </w:r>
      <w:r>
        <w:rPr>
          <w:i/>
          <w:sz w:val="16"/>
        </w:rPr>
        <w:t>Son elementos esenciales de la democracia representativa, entre otros, el respeto a los derechos </w:t>
      </w:r>
      <w:r>
        <w:rPr>
          <w:i/>
          <w:sz w:val="16"/>
        </w:rPr>
        <w:t>humanos y las libertades fundamentales; el acceso al poder y su ejercicio con sujeción al estado de derecho; la celebración de elecciones periódicas, libres, justas y basadas en el sufragio universal y secreto como expresión</w:t>
      </w:r>
      <w:r>
        <w:rPr>
          <w:i/>
          <w:spacing w:val="-4"/>
          <w:sz w:val="16"/>
        </w:rPr>
        <w:t> </w:t>
      </w:r>
      <w:r>
        <w:rPr>
          <w:i/>
          <w:sz w:val="16"/>
        </w:rPr>
        <w:t>de</w:t>
      </w:r>
      <w:r>
        <w:rPr>
          <w:i/>
          <w:spacing w:val="-4"/>
          <w:sz w:val="16"/>
        </w:rPr>
        <w:t> </w:t>
      </w:r>
      <w:r>
        <w:rPr>
          <w:i/>
          <w:sz w:val="16"/>
        </w:rPr>
        <w:t>la</w:t>
      </w:r>
      <w:r>
        <w:rPr>
          <w:i/>
          <w:spacing w:val="-3"/>
          <w:sz w:val="16"/>
        </w:rPr>
        <w:t> </w:t>
      </w:r>
      <w:r>
        <w:rPr>
          <w:i/>
          <w:sz w:val="16"/>
        </w:rPr>
        <w:t>soberanía</w:t>
      </w:r>
      <w:r>
        <w:rPr>
          <w:i/>
          <w:spacing w:val="-3"/>
          <w:sz w:val="16"/>
        </w:rPr>
        <w:t> </w:t>
      </w:r>
      <w:r>
        <w:rPr>
          <w:i/>
          <w:sz w:val="16"/>
        </w:rPr>
        <w:t>del</w:t>
      </w:r>
      <w:r>
        <w:rPr>
          <w:i/>
          <w:spacing w:val="-3"/>
          <w:sz w:val="16"/>
        </w:rPr>
        <w:t> </w:t>
      </w:r>
      <w:r>
        <w:rPr>
          <w:i/>
          <w:sz w:val="16"/>
        </w:rPr>
        <w:t>pueblo;</w:t>
      </w:r>
      <w:r>
        <w:rPr>
          <w:i/>
          <w:spacing w:val="-3"/>
          <w:sz w:val="16"/>
        </w:rPr>
        <w:t> </w:t>
      </w:r>
      <w:r>
        <w:rPr>
          <w:i/>
          <w:sz w:val="16"/>
        </w:rPr>
        <w:t>el</w:t>
      </w:r>
      <w:r>
        <w:rPr>
          <w:i/>
          <w:spacing w:val="-3"/>
          <w:sz w:val="16"/>
        </w:rPr>
        <w:t> </w:t>
      </w:r>
      <w:r>
        <w:rPr>
          <w:i/>
          <w:sz w:val="16"/>
        </w:rPr>
        <w:t>régimen</w:t>
      </w:r>
      <w:r>
        <w:rPr>
          <w:i/>
          <w:spacing w:val="-4"/>
          <w:sz w:val="16"/>
        </w:rPr>
        <w:t> </w:t>
      </w:r>
      <w:r>
        <w:rPr>
          <w:i/>
          <w:sz w:val="16"/>
        </w:rPr>
        <w:t>plural</w:t>
      </w:r>
      <w:r>
        <w:rPr>
          <w:i/>
          <w:spacing w:val="-3"/>
          <w:sz w:val="16"/>
        </w:rPr>
        <w:t> </w:t>
      </w:r>
      <w:r>
        <w:rPr>
          <w:i/>
          <w:sz w:val="16"/>
        </w:rPr>
        <w:t>de</w:t>
      </w:r>
      <w:r>
        <w:rPr>
          <w:i/>
          <w:spacing w:val="-2"/>
          <w:sz w:val="16"/>
        </w:rPr>
        <w:t> </w:t>
      </w:r>
      <w:r>
        <w:rPr>
          <w:i/>
          <w:sz w:val="16"/>
        </w:rPr>
        <w:t>partidos</w:t>
      </w:r>
      <w:r>
        <w:rPr>
          <w:i/>
          <w:spacing w:val="-4"/>
          <w:sz w:val="16"/>
        </w:rPr>
        <w:t> </w:t>
      </w:r>
      <w:r>
        <w:rPr>
          <w:i/>
          <w:sz w:val="16"/>
        </w:rPr>
        <w:t>y</w:t>
      </w:r>
      <w:r>
        <w:rPr>
          <w:i/>
          <w:spacing w:val="-3"/>
          <w:sz w:val="16"/>
        </w:rPr>
        <w:t> </w:t>
      </w:r>
      <w:r>
        <w:rPr>
          <w:i/>
          <w:sz w:val="16"/>
        </w:rPr>
        <w:t>organizaciones</w:t>
      </w:r>
      <w:r>
        <w:rPr>
          <w:i/>
          <w:spacing w:val="-3"/>
          <w:sz w:val="16"/>
        </w:rPr>
        <w:t> </w:t>
      </w:r>
      <w:r>
        <w:rPr>
          <w:i/>
          <w:sz w:val="16"/>
        </w:rPr>
        <w:t>políticas;</w:t>
      </w:r>
      <w:r>
        <w:rPr>
          <w:i/>
          <w:spacing w:val="-4"/>
          <w:sz w:val="16"/>
        </w:rPr>
        <w:t> </w:t>
      </w:r>
      <w:r>
        <w:rPr>
          <w:i/>
          <w:sz w:val="16"/>
        </w:rPr>
        <w:t>y</w:t>
      </w:r>
      <w:r>
        <w:rPr>
          <w:i/>
          <w:spacing w:val="-3"/>
          <w:sz w:val="16"/>
        </w:rPr>
        <w:t> </w:t>
      </w:r>
      <w:r>
        <w:rPr>
          <w:i/>
          <w:sz w:val="16"/>
        </w:rPr>
        <w:t>la</w:t>
      </w:r>
      <w:r>
        <w:rPr>
          <w:i/>
          <w:spacing w:val="-3"/>
          <w:sz w:val="16"/>
        </w:rPr>
        <w:t> </w:t>
      </w:r>
      <w:r>
        <w:rPr>
          <w:i/>
          <w:sz w:val="16"/>
        </w:rPr>
        <w:t>separación e independencia de los poderes</w:t>
      </w:r>
      <w:r>
        <w:rPr>
          <w:i/>
          <w:spacing w:val="-9"/>
          <w:sz w:val="16"/>
        </w:rPr>
        <w:t> </w:t>
      </w:r>
      <w:r>
        <w:rPr>
          <w:i/>
          <w:sz w:val="16"/>
        </w:rPr>
        <w:t>públicos</w:t>
      </w:r>
      <w:r>
        <w:rPr>
          <w:sz w:val="16"/>
        </w:rPr>
        <w:t>.”</w:t>
      </w:r>
    </w:p>
    <w:p>
      <w:pPr>
        <w:spacing w:before="1"/>
        <w:ind w:left="681" w:right="122" w:firstLine="0"/>
        <w:jc w:val="both"/>
        <w:rPr>
          <w:sz w:val="16"/>
        </w:rPr>
      </w:pPr>
      <w:r>
        <w:rPr>
          <w:sz w:val="16"/>
        </w:rPr>
        <w:t>Art.</w:t>
      </w:r>
      <w:r>
        <w:rPr>
          <w:spacing w:val="-8"/>
          <w:sz w:val="16"/>
        </w:rPr>
        <w:t> </w:t>
      </w:r>
      <w:r>
        <w:rPr>
          <w:sz w:val="16"/>
        </w:rPr>
        <w:t>6:</w:t>
      </w:r>
      <w:r>
        <w:rPr>
          <w:spacing w:val="-8"/>
          <w:sz w:val="16"/>
        </w:rPr>
        <w:t> </w:t>
      </w:r>
      <w:r>
        <w:rPr>
          <w:sz w:val="16"/>
        </w:rPr>
        <w:t>“</w:t>
      </w:r>
      <w:r>
        <w:rPr>
          <w:i/>
          <w:sz w:val="16"/>
        </w:rPr>
        <w:t>La</w:t>
      </w:r>
      <w:r>
        <w:rPr>
          <w:i/>
          <w:spacing w:val="-7"/>
          <w:sz w:val="16"/>
        </w:rPr>
        <w:t> </w:t>
      </w:r>
      <w:r>
        <w:rPr>
          <w:i/>
          <w:sz w:val="16"/>
        </w:rPr>
        <w:t>participación</w:t>
      </w:r>
      <w:r>
        <w:rPr>
          <w:i/>
          <w:spacing w:val="-8"/>
          <w:sz w:val="16"/>
        </w:rPr>
        <w:t> </w:t>
      </w:r>
      <w:r>
        <w:rPr>
          <w:i/>
          <w:sz w:val="16"/>
        </w:rPr>
        <w:t>de</w:t>
      </w:r>
      <w:r>
        <w:rPr>
          <w:i/>
          <w:spacing w:val="-7"/>
          <w:sz w:val="16"/>
        </w:rPr>
        <w:t> </w:t>
      </w:r>
      <w:r>
        <w:rPr>
          <w:i/>
          <w:sz w:val="16"/>
        </w:rPr>
        <w:t>la</w:t>
      </w:r>
      <w:r>
        <w:rPr>
          <w:i/>
          <w:spacing w:val="-6"/>
          <w:sz w:val="16"/>
        </w:rPr>
        <w:t> </w:t>
      </w:r>
      <w:r>
        <w:rPr>
          <w:i/>
          <w:sz w:val="16"/>
        </w:rPr>
        <w:t>ciudadanía</w:t>
      </w:r>
      <w:r>
        <w:rPr>
          <w:i/>
          <w:spacing w:val="-7"/>
          <w:sz w:val="16"/>
        </w:rPr>
        <w:t> </w:t>
      </w:r>
      <w:r>
        <w:rPr>
          <w:i/>
          <w:sz w:val="16"/>
        </w:rPr>
        <w:t>en</w:t>
      </w:r>
      <w:r>
        <w:rPr>
          <w:i/>
          <w:spacing w:val="-8"/>
          <w:sz w:val="16"/>
        </w:rPr>
        <w:t> </w:t>
      </w:r>
      <w:r>
        <w:rPr>
          <w:i/>
          <w:sz w:val="16"/>
        </w:rPr>
        <w:t>las</w:t>
      </w:r>
      <w:r>
        <w:rPr>
          <w:i/>
          <w:spacing w:val="-8"/>
          <w:sz w:val="16"/>
        </w:rPr>
        <w:t> </w:t>
      </w:r>
      <w:r>
        <w:rPr>
          <w:i/>
          <w:sz w:val="16"/>
        </w:rPr>
        <w:t>decisiones</w:t>
      </w:r>
      <w:r>
        <w:rPr>
          <w:i/>
          <w:spacing w:val="-8"/>
          <w:sz w:val="16"/>
        </w:rPr>
        <w:t> </w:t>
      </w:r>
      <w:r>
        <w:rPr>
          <w:i/>
          <w:sz w:val="16"/>
        </w:rPr>
        <w:t>relativas</w:t>
      </w:r>
      <w:r>
        <w:rPr>
          <w:i/>
          <w:spacing w:val="-8"/>
          <w:sz w:val="16"/>
        </w:rPr>
        <w:t> </w:t>
      </w:r>
      <w:r>
        <w:rPr>
          <w:i/>
          <w:sz w:val="16"/>
        </w:rPr>
        <w:t>a</w:t>
      </w:r>
      <w:r>
        <w:rPr>
          <w:i/>
          <w:spacing w:val="-6"/>
          <w:sz w:val="16"/>
        </w:rPr>
        <w:t> </w:t>
      </w:r>
      <w:r>
        <w:rPr>
          <w:i/>
          <w:sz w:val="16"/>
        </w:rPr>
        <w:t>su</w:t>
      </w:r>
      <w:r>
        <w:rPr>
          <w:i/>
          <w:spacing w:val="-8"/>
          <w:sz w:val="16"/>
        </w:rPr>
        <w:t> </w:t>
      </w:r>
      <w:r>
        <w:rPr>
          <w:i/>
          <w:sz w:val="16"/>
        </w:rPr>
        <w:t>propio</w:t>
      </w:r>
      <w:r>
        <w:rPr>
          <w:i/>
          <w:spacing w:val="-7"/>
          <w:sz w:val="16"/>
        </w:rPr>
        <w:t> </w:t>
      </w:r>
      <w:r>
        <w:rPr>
          <w:i/>
          <w:sz w:val="16"/>
        </w:rPr>
        <w:t>desarrollo</w:t>
      </w:r>
      <w:r>
        <w:rPr>
          <w:i/>
          <w:spacing w:val="-7"/>
          <w:sz w:val="16"/>
        </w:rPr>
        <w:t> </w:t>
      </w:r>
      <w:r>
        <w:rPr>
          <w:i/>
          <w:sz w:val="16"/>
        </w:rPr>
        <w:t>es</w:t>
      </w:r>
      <w:r>
        <w:rPr>
          <w:i/>
          <w:spacing w:val="-7"/>
          <w:sz w:val="16"/>
        </w:rPr>
        <w:t> </w:t>
      </w:r>
      <w:r>
        <w:rPr>
          <w:i/>
          <w:sz w:val="16"/>
        </w:rPr>
        <w:t>un</w:t>
      </w:r>
      <w:r>
        <w:rPr>
          <w:i/>
          <w:spacing w:val="-7"/>
          <w:sz w:val="16"/>
        </w:rPr>
        <w:t> </w:t>
      </w:r>
      <w:r>
        <w:rPr>
          <w:i/>
          <w:sz w:val="16"/>
        </w:rPr>
        <w:t>derecho</w:t>
      </w:r>
      <w:r>
        <w:rPr>
          <w:i/>
          <w:spacing w:val="-6"/>
          <w:sz w:val="16"/>
        </w:rPr>
        <w:t> </w:t>
      </w:r>
      <w:r>
        <w:rPr>
          <w:i/>
          <w:sz w:val="16"/>
        </w:rPr>
        <w:t>y</w:t>
      </w:r>
      <w:r>
        <w:rPr>
          <w:i/>
          <w:spacing w:val="-7"/>
          <w:sz w:val="16"/>
        </w:rPr>
        <w:t> </w:t>
      </w:r>
      <w:r>
        <w:rPr>
          <w:i/>
          <w:sz w:val="16"/>
        </w:rPr>
        <w:t>una </w:t>
      </w:r>
      <w:r>
        <w:rPr>
          <w:i/>
          <w:sz w:val="16"/>
        </w:rPr>
        <w:t>responsabilidad. Es también una condición necesaria para el pleno y efectivo ejercicio de la democracia. Promover y fomentar diversas formas de participación fortalece la</w:t>
      </w:r>
      <w:r>
        <w:rPr>
          <w:i/>
          <w:spacing w:val="-20"/>
          <w:sz w:val="16"/>
        </w:rPr>
        <w:t> </w:t>
      </w:r>
      <w:r>
        <w:rPr>
          <w:i/>
          <w:sz w:val="16"/>
        </w:rPr>
        <w:t>democracia</w:t>
      </w:r>
      <w:r>
        <w:rPr>
          <w:sz w:val="16"/>
        </w:rPr>
        <w:t>.”</w:t>
      </w:r>
    </w:p>
    <w:p>
      <w:pPr>
        <w:spacing w:after="0"/>
        <w:jc w:val="both"/>
        <w:rPr>
          <w:sz w:val="16"/>
        </w:rPr>
        <w:sectPr>
          <w:pgSz w:w="12240" w:h="15840"/>
          <w:pgMar w:header="0" w:footer="1000" w:top="1220" w:bottom="1200" w:left="1020" w:right="1580"/>
        </w:sectPr>
      </w:pPr>
    </w:p>
    <w:p>
      <w:pPr>
        <w:pStyle w:val="ListParagraph"/>
        <w:numPr>
          <w:ilvl w:val="0"/>
          <w:numId w:val="72"/>
        </w:numPr>
        <w:tabs>
          <w:tab w:pos="1390" w:val="left" w:leader="none"/>
        </w:tabs>
        <w:spacing w:line="240" w:lineRule="auto" w:before="87" w:after="0"/>
        <w:ind w:left="681" w:right="117" w:firstLine="0"/>
        <w:jc w:val="both"/>
        <w:rPr>
          <w:sz w:val="20"/>
        </w:rPr>
      </w:pPr>
      <w:r>
        <w:rPr>
          <w:sz w:val="20"/>
        </w:rPr>
        <w:t>En esta perspectiva, cabe insistir en que la interpretación no consiste en determinar</w:t>
      </w:r>
      <w:r>
        <w:rPr>
          <w:spacing w:val="-19"/>
          <w:sz w:val="20"/>
        </w:rPr>
        <w:t> </w:t>
      </w:r>
      <w:r>
        <w:rPr>
          <w:sz w:val="20"/>
        </w:rPr>
        <w:t>el</w:t>
      </w:r>
      <w:r>
        <w:rPr>
          <w:spacing w:val="-19"/>
          <w:sz w:val="20"/>
        </w:rPr>
        <w:t> </w:t>
      </w:r>
      <w:r>
        <w:rPr>
          <w:sz w:val="20"/>
        </w:rPr>
        <w:t>sentido</w:t>
      </w:r>
      <w:r>
        <w:rPr>
          <w:spacing w:val="-18"/>
          <w:sz w:val="20"/>
        </w:rPr>
        <w:t> </w:t>
      </w:r>
      <w:r>
        <w:rPr>
          <w:sz w:val="20"/>
        </w:rPr>
        <w:t>y</w:t>
      </w:r>
      <w:r>
        <w:rPr>
          <w:spacing w:val="-20"/>
          <w:sz w:val="20"/>
        </w:rPr>
        <w:t> </w:t>
      </w:r>
      <w:r>
        <w:rPr>
          <w:sz w:val="20"/>
        </w:rPr>
        <w:t>alcance</w:t>
      </w:r>
      <w:r>
        <w:rPr>
          <w:spacing w:val="-17"/>
          <w:sz w:val="20"/>
        </w:rPr>
        <w:t> </w:t>
      </w:r>
      <w:r>
        <w:rPr>
          <w:sz w:val="20"/>
        </w:rPr>
        <w:t>de</w:t>
      </w:r>
      <w:r>
        <w:rPr>
          <w:spacing w:val="-18"/>
          <w:sz w:val="20"/>
        </w:rPr>
        <w:t> </w:t>
      </w:r>
      <w:r>
        <w:rPr>
          <w:sz w:val="20"/>
        </w:rPr>
        <w:t>una</w:t>
      </w:r>
      <w:r>
        <w:rPr>
          <w:spacing w:val="-18"/>
          <w:sz w:val="20"/>
        </w:rPr>
        <w:t> </w:t>
      </w:r>
      <w:r>
        <w:rPr>
          <w:sz w:val="20"/>
        </w:rPr>
        <w:t>norma</w:t>
      </w:r>
      <w:r>
        <w:rPr>
          <w:spacing w:val="-19"/>
          <w:sz w:val="20"/>
        </w:rPr>
        <w:t> </w:t>
      </w:r>
      <w:r>
        <w:rPr>
          <w:sz w:val="20"/>
        </w:rPr>
        <w:t>en</w:t>
      </w:r>
      <w:r>
        <w:rPr>
          <w:spacing w:val="-17"/>
          <w:sz w:val="20"/>
        </w:rPr>
        <w:t> </w:t>
      </w:r>
      <w:r>
        <w:rPr>
          <w:sz w:val="20"/>
        </w:rPr>
        <w:t>vista</w:t>
      </w:r>
      <w:r>
        <w:rPr>
          <w:spacing w:val="-19"/>
          <w:sz w:val="20"/>
        </w:rPr>
        <w:t> </w:t>
      </w:r>
      <w:r>
        <w:rPr>
          <w:sz w:val="20"/>
        </w:rPr>
        <w:t>de</w:t>
      </w:r>
      <w:r>
        <w:rPr>
          <w:spacing w:val="-18"/>
          <w:sz w:val="20"/>
        </w:rPr>
        <w:t> </w:t>
      </w:r>
      <w:r>
        <w:rPr>
          <w:sz w:val="20"/>
        </w:rPr>
        <w:t>que</w:t>
      </w:r>
      <w:r>
        <w:rPr>
          <w:spacing w:val="-18"/>
          <w:sz w:val="20"/>
        </w:rPr>
        <w:t> </w:t>
      </w:r>
      <w:r>
        <w:rPr>
          <w:sz w:val="20"/>
        </w:rPr>
        <w:t>exprese</w:t>
      </w:r>
      <w:r>
        <w:rPr>
          <w:spacing w:val="-18"/>
          <w:sz w:val="20"/>
        </w:rPr>
        <w:t> </w:t>
      </w:r>
      <w:r>
        <w:rPr>
          <w:sz w:val="20"/>
        </w:rPr>
        <w:t>lo</w:t>
      </w:r>
      <w:r>
        <w:rPr>
          <w:spacing w:val="-19"/>
          <w:sz w:val="20"/>
        </w:rPr>
        <w:t> </w:t>
      </w:r>
      <w:r>
        <w:rPr>
          <w:sz w:val="20"/>
        </w:rPr>
        <w:t>que</w:t>
      </w:r>
      <w:r>
        <w:rPr>
          <w:spacing w:val="-18"/>
          <w:sz w:val="20"/>
        </w:rPr>
        <w:t> </w:t>
      </w:r>
      <w:r>
        <w:rPr>
          <w:sz w:val="20"/>
        </w:rPr>
        <w:t>el</w:t>
      </w:r>
      <w:r>
        <w:rPr>
          <w:spacing w:val="-18"/>
          <w:sz w:val="20"/>
        </w:rPr>
        <w:t> </w:t>
      </w:r>
      <w:r>
        <w:rPr>
          <w:sz w:val="20"/>
        </w:rPr>
        <w:t>intérprete desea, sino que ella objetivamente dispone o establece y, en lo que respecta a la Convención, de lo que se trata es precisar cómo lo convenido por sus Estados Partes se puede</w:t>
      </w:r>
      <w:r>
        <w:rPr>
          <w:spacing w:val="-6"/>
          <w:sz w:val="20"/>
        </w:rPr>
        <w:t> </w:t>
      </w:r>
      <w:r>
        <w:rPr>
          <w:sz w:val="20"/>
        </w:rPr>
        <w:t>aplicar</w:t>
      </w:r>
      <w:r>
        <w:rPr>
          <w:spacing w:val="-8"/>
          <w:sz w:val="20"/>
        </w:rPr>
        <w:t> </w:t>
      </w:r>
      <w:r>
        <w:rPr>
          <w:sz w:val="20"/>
        </w:rPr>
        <w:t>en</w:t>
      </w:r>
      <w:r>
        <w:rPr>
          <w:spacing w:val="-8"/>
          <w:sz w:val="20"/>
        </w:rPr>
        <w:t> </w:t>
      </w:r>
      <w:r>
        <w:rPr>
          <w:sz w:val="20"/>
        </w:rPr>
        <w:t>los</w:t>
      </w:r>
      <w:r>
        <w:rPr>
          <w:spacing w:val="-7"/>
          <w:sz w:val="20"/>
        </w:rPr>
        <w:t> </w:t>
      </w:r>
      <w:r>
        <w:rPr>
          <w:sz w:val="20"/>
        </w:rPr>
        <w:t>tiempos</w:t>
      </w:r>
      <w:r>
        <w:rPr>
          <w:spacing w:val="-7"/>
          <w:sz w:val="20"/>
        </w:rPr>
        <w:t> </w:t>
      </w:r>
      <w:r>
        <w:rPr>
          <w:sz w:val="20"/>
        </w:rPr>
        <w:t>y</w:t>
      </w:r>
      <w:r>
        <w:rPr>
          <w:spacing w:val="-7"/>
          <w:sz w:val="20"/>
        </w:rPr>
        <w:t> </w:t>
      </w:r>
      <w:r>
        <w:rPr>
          <w:sz w:val="20"/>
        </w:rPr>
        <w:t>condiciones</w:t>
      </w:r>
      <w:r>
        <w:rPr>
          <w:spacing w:val="-8"/>
          <w:sz w:val="20"/>
        </w:rPr>
        <w:t> </w:t>
      </w:r>
      <w:r>
        <w:rPr>
          <w:sz w:val="20"/>
        </w:rPr>
        <w:t>en</w:t>
      </w:r>
      <w:r>
        <w:rPr>
          <w:spacing w:val="-8"/>
          <w:sz w:val="20"/>
        </w:rPr>
        <w:t> </w:t>
      </w:r>
      <w:r>
        <w:rPr>
          <w:sz w:val="20"/>
        </w:rPr>
        <w:t>que</w:t>
      </w:r>
      <w:r>
        <w:rPr>
          <w:spacing w:val="-7"/>
          <w:sz w:val="20"/>
        </w:rPr>
        <w:t> </w:t>
      </w:r>
      <w:r>
        <w:rPr>
          <w:sz w:val="20"/>
        </w:rPr>
        <w:t>se</w:t>
      </w:r>
      <w:r>
        <w:rPr>
          <w:spacing w:val="-7"/>
          <w:sz w:val="20"/>
        </w:rPr>
        <w:t> </w:t>
      </w:r>
      <w:r>
        <w:rPr>
          <w:sz w:val="20"/>
        </w:rPr>
        <w:t>plantea</w:t>
      </w:r>
      <w:r>
        <w:rPr>
          <w:spacing w:val="-7"/>
          <w:sz w:val="20"/>
        </w:rPr>
        <w:t> </w:t>
      </w:r>
      <w:r>
        <w:rPr>
          <w:sz w:val="20"/>
        </w:rPr>
        <w:t>la</w:t>
      </w:r>
      <w:r>
        <w:rPr>
          <w:spacing w:val="-7"/>
          <w:sz w:val="20"/>
        </w:rPr>
        <w:t> </w:t>
      </w:r>
      <w:r>
        <w:rPr>
          <w:sz w:val="20"/>
        </w:rPr>
        <w:t>respectiva</w:t>
      </w:r>
      <w:r>
        <w:rPr>
          <w:spacing w:val="-7"/>
          <w:sz w:val="20"/>
        </w:rPr>
        <w:t> </w:t>
      </w:r>
      <w:r>
        <w:rPr>
          <w:sz w:val="20"/>
        </w:rPr>
        <w:t>controversia, es decir, cómo hacer aplicable el principio “</w:t>
      </w:r>
      <w:r>
        <w:rPr>
          <w:i/>
          <w:sz w:val="20"/>
        </w:rPr>
        <w:t>pacta sunt servanda</w:t>
      </w:r>
      <w:r>
        <w:rPr>
          <w:sz w:val="20"/>
        </w:rPr>
        <w:t>” en los tiempos y condiciones de vida en que la controversia tiene lugar. El asunto es, entonces, cómo hacer que los tratados de derechos humanos sean, </w:t>
      </w:r>
      <w:r>
        <w:rPr>
          <w:i/>
          <w:sz w:val="20"/>
        </w:rPr>
        <w:t>per se, </w:t>
      </w:r>
      <w:r>
        <w:rPr>
          <w:sz w:val="20"/>
        </w:rPr>
        <w:t>efectivamente instrumentos vivos,</w:t>
      </w:r>
      <w:r>
        <w:rPr>
          <w:spacing w:val="-6"/>
          <w:sz w:val="20"/>
        </w:rPr>
        <w:t> </w:t>
      </w:r>
      <w:r>
        <w:rPr>
          <w:sz w:val="20"/>
        </w:rPr>
        <w:t>es</w:t>
      </w:r>
      <w:r>
        <w:rPr>
          <w:spacing w:val="-5"/>
          <w:sz w:val="20"/>
        </w:rPr>
        <w:t> </w:t>
      </w:r>
      <w:r>
        <w:rPr>
          <w:sz w:val="20"/>
        </w:rPr>
        <w:t>decir,</w:t>
      </w:r>
      <w:r>
        <w:rPr>
          <w:spacing w:val="-5"/>
          <w:sz w:val="20"/>
        </w:rPr>
        <w:t> </w:t>
      </w:r>
      <w:r>
        <w:rPr>
          <w:sz w:val="20"/>
        </w:rPr>
        <w:t>susceptibles</w:t>
      </w:r>
      <w:r>
        <w:rPr>
          <w:spacing w:val="-6"/>
          <w:sz w:val="20"/>
        </w:rPr>
        <w:t> </w:t>
      </w:r>
      <w:r>
        <w:rPr>
          <w:sz w:val="20"/>
        </w:rPr>
        <w:t>de</w:t>
      </w:r>
      <w:r>
        <w:rPr>
          <w:spacing w:val="-5"/>
          <w:sz w:val="20"/>
        </w:rPr>
        <w:t> </w:t>
      </w:r>
      <w:r>
        <w:rPr>
          <w:sz w:val="20"/>
        </w:rPr>
        <w:t>comprender</w:t>
      </w:r>
      <w:r>
        <w:rPr>
          <w:spacing w:val="-4"/>
          <w:sz w:val="20"/>
        </w:rPr>
        <w:t> </w:t>
      </w:r>
      <w:r>
        <w:rPr>
          <w:sz w:val="20"/>
        </w:rPr>
        <w:t>o</w:t>
      </w:r>
      <w:r>
        <w:rPr>
          <w:spacing w:val="-5"/>
          <w:sz w:val="20"/>
        </w:rPr>
        <w:t> </w:t>
      </w:r>
      <w:r>
        <w:rPr>
          <w:sz w:val="20"/>
        </w:rPr>
        <w:t>ser</w:t>
      </w:r>
      <w:r>
        <w:rPr>
          <w:spacing w:val="-4"/>
          <w:sz w:val="20"/>
        </w:rPr>
        <w:t> </w:t>
      </w:r>
      <w:r>
        <w:rPr>
          <w:sz w:val="20"/>
        </w:rPr>
        <w:t>aplicables</w:t>
      </w:r>
      <w:r>
        <w:rPr>
          <w:spacing w:val="-5"/>
          <w:sz w:val="20"/>
        </w:rPr>
        <w:t> </w:t>
      </w:r>
      <w:r>
        <w:rPr>
          <w:sz w:val="20"/>
        </w:rPr>
        <w:t>a</w:t>
      </w:r>
      <w:r>
        <w:rPr>
          <w:spacing w:val="-5"/>
          <w:sz w:val="20"/>
        </w:rPr>
        <w:t> </w:t>
      </w:r>
      <w:r>
        <w:rPr>
          <w:sz w:val="20"/>
        </w:rPr>
        <w:t>las</w:t>
      </w:r>
      <w:r>
        <w:rPr>
          <w:spacing w:val="-5"/>
          <w:sz w:val="20"/>
        </w:rPr>
        <w:t> </w:t>
      </w:r>
      <w:r>
        <w:rPr>
          <w:sz w:val="20"/>
        </w:rPr>
        <w:t>nuevas</w:t>
      </w:r>
      <w:r>
        <w:rPr>
          <w:spacing w:val="-5"/>
          <w:sz w:val="20"/>
        </w:rPr>
        <w:t> </w:t>
      </w:r>
      <w:r>
        <w:rPr>
          <w:sz w:val="20"/>
        </w:rPr>
        <w:t>realidades</w:t>
      </w:r>
      <w:r>
        <w:rPr>
          <w:spacing w:val="-5"/>
          <w:sz w:val="20"/>
        </w:rPr>
        <w:t> </w:t>
      </w:r>
      <w:r>
        <w:rPr>
          <w:sz w:val="20"/>
        </w:rPr>
        <w:t>que se enfrentan y no que sea su interpretación la que, como si fuese una entidad</w:t>
      </w:r>
      <w:r>
        <w:rPr>
          <w:spacing w:val="-41"/>
          <w:sz w:val="20"/>
        </w:rPr>
        <w:t> </w:t>
      </w:r>
      <w:r>
        <w:rPr>
          <w:sz w:val="20"/>
        </w:rPr>
        <w:t>separada de aquellos, acompañe la evolución de los tiempos y las condiciones de vida actuales, alterando lo prescrito por</w:t>
      </w:r>
      <w:r>
        <w:rPr>
          <w:spacing w:val="-3"/>
          <w:sz w:val="20"/>
        </w:rPr>
        <w:t> </w:t>
      </w:r>
      <w:r>
        <w:rPr>
          <w:sz w:val="20"/>
        </w:rPr>
        <w:t>aquellos.</w:t>
      </w:r>
    </w:p>
    <w:p>
      <w:pPr>
        <w:pStyle w:val="BodyText"/>
        <w:spacing w:before="11"/>
        <w:rPr>
          <w:sz w:val="19"/>
        </w:rPr>
      </w:pPr>
    </w:p>
    <w:p>
      <w:pPr>
        <w:pStyle w:val="ListParagraph"/>
        <w:numPr>
          <w:ilvl w:val="0"/>
          <w:numId w:val="72"/>
        </w:numPr>
        <w:tabs>
          <w:tab w:pos="1390" w:val="left" w:leader="none"/>
        </w:tabs>
        <w:spacing w:line="240" w:lineRule="auto" w:before="0" w:after="0"/>
        <w:ind w:left="681" w:right="115" w:firstLine="0"/>
        <w:jc w:val="both"/>
        <w:rPr>
          <w:sz w:val="20"/>
        </w:rPr>
      </w:pPr>
      <w:r>
        <w:rPr>
          <w:sz w:val="20"/>
        </w:rPr>
        <w:t>Finalmente, es imperioso repetir que, de insistirse en el derrotero adoptado por la</w:t>
      </w:r>
      <w:r>
        <w:rPr>
          <w:spacing w:val="-5"/>
          <w:sz w:val="20"/>
        </w:rPr>
        <w:t> </w:t>
      </w:r>
      <w:r>
        <w:rPr>
          <w:sz w:val="20"/>
        </w:rPr>
        <w:t>Sentencia</w:t>
      </w:r>
      <w:r>
        <w:rPr>
          <w:position w:val="7"/>
          <w:sz w:val="13"/>
        </w:rPr>
        <w:t>131</w:t>
      </w:r>
      <w:r>
        <w:rPr>
          <w:sz w:val="20"/>
        </w:rPr>
        <w:t>,</w:t>
      </w:r>
      <w:r>
        <w:rPr>
          <w:spacing w:val="-5"/>
          <w:sz w:val="20"/>
        </w:rPr>
        <w:t> </w:t>
      </w:r>
      <w:r>
        <w:rPr>
          <w:sz w:val="20"/>
        </w:rPr>
        <w:t>el</w:t>
      </w:r>
      <w:r>
        <w:rPr>
          <w:spacing w:val="-5"/>
          <w:sz w:val="20"/>
        </w:rPr>
        <w:t> </w:t>
      </w:r>
      <w:r>
        <w:rPr>
          <w:sz w:val="20"/>
        </w:rPr>
        <w:t>Sistema</w:t>
      </w:r>
      <w:r>
        <w:rPr>
          <w:spacing w:val="-7"/>
          <w:sz w:val="20"/>
        </w:rPr>
        <w:t> </w:t>
      </w:r>
      <w:r>
        <w:rPr>
          <w:sz w:val="20"/>
        </w:rPr>
        <w:t>Interamericano</w:t>
      </w:r>
      <w:r>
        <w:rPr>
          <w:spacing w:val="-5"/>
          <w:sz w:val="20"/>
        </w:rPr>
        <w:t> </w:t>
      </w:r>
      <w:r>
        <w:rPr>
          <w:sz w:val="20"/>
        </w:rPr>
        <w:t>de</w:t>
      </w:r>
      <w:r>
        <w:rPr>
          <w:spacing w:val="-5"/>
          <w:sz w:val="20"/>
        </w:rPr>
        <w:t> </w:t>
      </w:r>
      <w:r>
        <w:rPr>
          <w:sz w:val="20"/>
        </w:rPr>
        <w:t>Derechos</w:t>
      </w:r>
      <w:r>
        <w:rPr>
          <w:spacing w:val="-7"/>
          <w:sz w:val="20"/>
        </w:rPr>
        <w:t> </w:t>
      </w:r>
      <w:r>
        <w:rPr>
          <w:sz w:val="20"/>
        </w:rPr>
        <w:t>Humanos</w:t>
      </w:r>
      <w:r>
        <w:rPr>
          <w:spacing w:val="-6"/>
          <w:sz w:val="20"/>
        </w:rPr>
        <w:t> </w:t>
      </w:r>
      <w:r>
        <w:rPr>
          <w:sz w:val="20"/>
        </w:rPr>
        <w:t>en</w:t>
      </w:r>
      <w:r>
        <w:rPr>
          <w:spacing w:val="-5"/>
          <w:sz w:val="20"/>
        </w:rPr>
        <w:t> </w:t>
      </w:r>
      <w:r>
        <w:rPr>
          <w:sz w:val="20"/>
        </w:rPr>
        <w:t>su</w:t>
      </w:r>
      <w:r>
        <w:rPr>
          <w:spacing w:val="-5"/>
          <w:sz w:val="20"/>
        </w:rPr>
        <w:t> </w:t>
      </w:r>
      <w:r>
        <w:rPr>
          <w:sz w:val="20"/>
        </w:rPr>
        <w:t>conjunto</w:t>
      </w:r>
      <w:r>
        <w:rPr>
          <w:spacing w:val="-5"/>
          <w:sz w:val="20"/>
        </w:rPr>
        <w:t> </w:t>
      </w:r>
      <w:r>
        <w:rPr>
          <w:sz w:val="20"/>
        </w:rPr>
        <w:t>podría verse seriamente limitado. Y ello en razón de que muy probablemente, por una parte, no</w:t>
      </w:r>
      <w:r>
        <w:rPr>
          <w:spacing w:val="-10"/>
          <w:sz w:val="20"/>
        </w:rPr>
        <w:t> </w:t>
      </w:r>
      <w:r>
        <w:rPr>
          <w:sz w:val="20"/>
        </w:rPr>
        <w:t>se</w:t>
      </w:r>
      <w:r>
        <w:rPr>
          <w:spacing w:val="-11"/>
          <w:sz w:val="20"/>
        </w:rPr>
        <w:t> </w:t>
      </w:r>
      <w:r>
        <w:rPr>
          <w:sz w:val="20"/>
        </w:rPr>
        <w:t>incentivaría,</w:t>
      </w:r>
      <w:r>
        <w:rPr>
          <w:spacing w:val="-12"/>
          <w:sz w:val="20"/>
        </w:rPr>
        <w:t> </w:t>
      </w:r>
      <w:r>
        <w:rPr>
          <w:sz w:val="20"/>
        </w:rPr>
        <w:t>sino</w:t>
      </w:r>
      <w:r>
        <w:rPr>
          <w:spacing w:val="-13"/>
          <w:sz w:val="20"/>
        </w:rPr>
        <w:t> </w:t>
      </w:r>
      <w:r>
        <w:rPr>
          <w:sz w:val="20"/>
        </w:rPr>
        <w:t>todo</w:t>
      </w:r>
      <w:r>
        <w:rPr>
          <w:spacing w:val="-11"/>
          <w:sz w:val="20"/>
        </w:rPr>
        <w:t> </w:t>
      </w:r>
      <w:r>
        <w:rPr>
          <w:sz w:val="20"/>
        </w:rPr>
        <w:t>lo</w:t>
      </w:r>
      <w:r>
        <w:rPr>
          <w:spacing w:val="-12"/>
          <w:sz w:val="20"/>
        </w:rPr>
        <w:t> </w:t>
      </w:r>
      <w:r>
        <w:rPr>
          <w:sz w:val="20"/>
        </w:rPr>
        <w:t>contrario,</w:t>
      </w:r>
      <w:r>
        <w:rPr>
          <w:spacing w:val="-11"/>
          <w:sz w:val="20"/>
        </w:rPr>
        <w:t> </w:t>
      </w:r>
      <w:r>
        <w:rPr>
          <w:sz w:val="20"/>
        </w:rPr>
        <w:t>la</w:t>
      </w:r>
      <w:r>
        <w:rPr>
          <w:spacing w:val="-11"/>
          <w:sz w:val="20"/>
        </w:rPr>
        <w:t> </w:t>
      </w:r>
      <w:r>
        <w:rPr>
          <w:sz w:val="20"/>
        </w:rPr>
        <w:t>adhesión</w:t>
      </w:r>
      <w:r>
        <w:rPr>
          <w:spacing w:val="-10"/>
          <w:sz w:val="20"/>
        </w:rPr>
        <w:t> </w:t>
      </w:r>
      <w:r>
        <w:rPr>
          <w:sz w:val="20"/>
        </w:rPr>
        <w:t>de</w:t>
      </w:r>
      <w:r>
        <w:rPr>
          <w:spacing w:val="-11"/>
          <w:sz w:val="20"/>
        </w:rPr>
        <w:t> </w:t>
      </w:r>
      <w:r>
        <w:rPr>
          <w:sz w:val="20"/>
        </w:rPr>
        <w:t>nuevos</w:t>
      </w:r>
      <w:r>
        <w:rPr>
          <w:spacing w:val="-12"/>
          <w:sz w:val="20"/>
        </w:rPr>
        <w:t> </w:t>
      </w:r>
      <w:r>
        <w:rPr>
          <w:sz w:val="20"/>
        </w:rPr>
        <w:t>Estados</w:t>
      </w:r>
      <w:r>
        <w:rPr>
          <w:spacing w:val="-10"/>
          <w:sz w:val="20"/>
        </w:rPr>
        <w:t> </w:t>
      </w:r>
      <w:r>
        <w:rPr>
          <w:sz w:val="20"/>
        </w:rPr>
        <w:t>a</w:t>
      </w:r>
      <w:r>
        <w:rPr>
          <w:spacing w:val="-12"/>
          <w:sz w:val="20"/>
        </w:rPr>
        <w:t> </w:t>
      </w:r>
      <w:r>
        <w:rPr>
          <w:sz w:val="20"/>
        </w:rPr>
        <w:t>la</w:t>
      </w:r>
      <w:r>
        <w:rPr>
          <w:spacing w:val="-12"/>
          <w:sz w:val="20"/>
        </w:rPr>
        <w:t> </w:t>
      </w:r>
      <w:r>
        <w:rPr>
          <w:sz w:val="20"/>
        </w:rPr>
        <w:t>Convención ni</w:t>
      </w:r>
      <w:r>
        <w:rPr>
          <w:spacing w:val="-12"/>
          <w:sz w:val="20"/>
        </w:rPr>
        <w:t> </w:t>
      </w:r>
      <w:r>
        <w:rPr>
          <w:sz w:val="20"/>
        </w:rPr>
        <w:t>la</w:t>
      </w:r>
      <w:r>
        <w:rPr>
          <w:spacing w:val="-12"/>
          <w:sz w:val="20"/>
        </w:rPr>
        <w:t> </w:t>
      </w:r>
      <w:r>
        <w:rPr>
          <w:sz w:val="20"/>
        </w:rPr>
        <w:t>aceptación</w:t>
      </w:r>
      <w:r>
        <w:rPr>
          <w:spacing w:val="-12"/>
          <w:sz w:val="20"/>
        </w:rPr>
        <w:t> </w:t>
      </w:r>
      <w:r>
        <w:rPr>
          <w:sz w:val="20"/>
        </w:rPr>
        <w:t>de</w:t>
      </w:r>
      <w:r>
        <w:rPr>
          <w:spacing w:val="-11"/>
          <w:sz w:val="20"/>
        </w:rPr>
        <w:t> </w:t>
      </w:r>
      <w:r>
        <w:rPr>
          <w:sz w:val="20"/>
        </w:rPr>
        <w:t>la</w:t>
      </w:r>
      <w:r>
        <w:rPr>
          <w:spacing w:val="-12"/>
          <w:sz w:val="20"/>
        </w:rPr>
        <w:t> </w:t>
      </w:r>
      <w:r>
        <w:rPr>
          <w:sz w:val="20"/>
        </w:rPr>
        <w:t>competencia</w:t>
      </w:r>
      <w:r>
        <w:rPr>
          <w:spacing w:val="-13"/>
          <w:sz w:val="20"/>
        </w:rPr>
        <w:t> </w:t>
      </w:r>
      <w:r>
        <w:rPr>
          <w:sz w:val="20"/>
        </w:rPr>
        <w:t>contenciosa</w:t>
      </w:r>
      <w:r>
        <w:rPr>
          <w:spacing w:val="-14"/>
          <w:sz w:val="20"/>
        </w:rPr>
        <w:t> </w:t>
      </w:r>
      <w:r>
        <w:rPr>
          <w:sz w:val="20"/>
        </w:rPr>
        <w:t>de</w:t>
      </w:r>
      <w:r>
        <w:rPr>
          <w:spacing w:val="-11"/>
          <w:sz w:val="20"/>
        </w:rPr>
        <w:t> </w:t>
      </w:r>
      <w:r>
        <w:rPr>
          <w:sz w:val="20"/>
        </w:rPr>
        <w:t>la</w:t>
      </w:r>
      <w:r>
        <w:rPr>
          <w:spacing w:val="-13"/>
          <w:sz w:val="20"/>
        </w:rPr>
        <w:t> </w:t>
      </w:r>
      <w:r>
        <w:rPr>
          <w:sz w:val="20"/>
        </w:rPr>
        <w:t>Corte</w:t>
      </w:r>
      <w:r>
        <w:rPr>
          <w:spacing w:val="-12"/>
          <w:sz w:val="20"/>
        </w:rPr>
        <w:t> </w:t>
      </w:r>
      <w:r>
        <w:rPr>
          <w:sz w:val="20"/>
        </w:rPr>
        <w:t>por</w:t>
      </w:r>
      <w:r>
        <w:rPr>
          <w:spacing w:val="-13"/>
          <w:sz w:val="20"/>
        </w:rPr>
        <w:t> </w:t>
      </w:r>
      <w:r>
        <w:rPr>
          <w:sz w:val="20"/>
        </w:rPr>
        <w:t>los</w:t>
      </w:r>
      <w:r>
        <w:rPr>
          <w:spacing w:val="-12"/>
          <w:sz w:val="20"/>
        </w:rPr>
        <w:t> </w:t>
      </w:r>
      <w:r>
        <w:rPr>
          <w:sz w:val="20"/>
        </w:rPr>
        <w:t>que</w:t>
      </w:r>
      <w:r>
        <w:rPr>
          <w:spacing w:val="-11"/>
          <w:sz w:val="20"/>
        </w:rPr>
        <w:t> </w:t>
      </w:r>
      <w:r>
        <w:rPr>
          <w:sz w:val="20"/>
        </w:rPr>
        <w:t>no</w:t>
      </w:r>
      <w:r>
        <w:rPr>
          <w:spacing w:val="-12"/>
          <w:sz w:val="20"/>
        </w:rPr>
        <w:t> </w:t>
      </w:r>
      <w:r>
        <w:rPr>
          <w:sz w:val="20"/>
        </w:rPr>
        <w:t>lo</w:t>
      </w:r>
      <w:r>
        <w:rPr>
          <w:spacing w:val="-12"/>
          <w:sz w:val="20"/>
        </w:rPr>
        <w:t> </w:t>
      </w:r>
      <w:r>
        <w:rPr>
          <w:sz w:val="20"/>
        </w:rPr>
        <w:t>hayan</w:t>
      </w:r>
      <w:r>
        <w:rPr>
          <w:spacing w:val="-13"/>
          <w:sz w:val="20"/>
        </w:rPr>
        <w:t> </w:t>
      </w:r>
      <w:r>
        <w:rPr>
          <w:sz w:val="20"/>
        </w:rPr>
        <w:t>hecho y por la otra parte, podría renovarse o aún acentuarse la tendencia entre los Estados Partes de la Convención de no dar cumplimiento completo y oportuno a sus fallos. En suma,</w:t>
      </w:r>
      <w:r>
        <w:rPr>
          <w:spacing w:val="-11"/>
          <w:sz w:val="20"/>
        </w:rPr>
        <w:t> </w:t>
      </w:r>
      <w:r>
        <w:rPr>
          <w:sz w:val="20"/>
        </w:rPr>
        <w:t>se</w:t>
      </w:r>
      <w:r>
        <w:rPr>
          <w:spacing w:val="-10"/>
          <w:sz w:val="20"/>
        </w:rPr>
        <w:t> </w:t>
      </w:r>
      <w:r>
        <w:rPr>
          <w:sz w:val="20"/>
        </w:rPr>
        <w:t>debilitaría</w:t>
      </w:r>
      <w:r>
        <w:rPr>
          <w:spacing w:val="-14"/>
          <w:sz w:val="20"/>
        </w:rPr>
        <w:t> </w:t>
      </w:r>
      <w:r>
        <w:rPr>
          <w:sz w:val="20"/>
        </w:rPr>
        <w:t>el</w:t>
      </w:r>
      <w:r>
        <w:rPr>
          <w:spacing w:val="-11"/>
          <w:sz w:val="20"/>
        </w:rPr>
        <w:t> </w:t>
      </w:r>
      <w:r>
        <w:rPr>
          <w:sz w:val="20"/>
        </w:rPr>
        <w:t>principio</w:t>
      </w:r>
      <w:r>
        <w:rPr>
          <w:spacing w:val="-11"/>
          <w:sz w:val="20"/>
        </w:rPr>
        <w:t> </w:t>
      </w:r>
      <w:r>
        <w:rPr>
          <w:sz w:val="20"/>
        </w:rPr>
        <w:t>de</w:t>
      </w:r>
      <w:r>
        <w:rPr>
          <w:spacing w:val="-11"/>
          <w:sz w:val="20"/>
        </w:rPr>
        <w:t> </w:t>
      </w:r>
      <w:r>
        <w:rPr>
          <w:sz w:val="20"/>
        </w:rPr>
        <w:t>la</w:t>
      </w:r>
      <w:r>
        <w:rPr>
          <w:spacing w:val="-11"/>
          <w:sz w:val="20"/>
        </w:rPr>
        <w:t> </w:t>
      </w:r>
      <w:r>
        <w:rPr>
          <w:sz w:val="20"/>
        </w:rPr>
        <w:t>seguridad</w:t>
      </w:r>
      <w:r>
        <w:rPr>
          <w:spacing w:val="-12"/>
          <w:sz w:val="20"/>
        </w:rPr>
        <w:t> </w:t>
      </w:r>
      <w:r>
        <w:rPr>
          <w:sz w:val="20"/>
        </w:rPr>
        <w:t>o</w:t>
      </w:r>
      <w:r>
        <w:rPr>
          <w:spacing w:val="-11"/>
          <w:sz w:val="20"/>
        </w:rPr>
        <w:t> </w:t>
      </w:r>
      <w:r>
        <w:rPr>
          <w:sz w:val="20"/>
        </w:rPr>
        <w:t>certeza</w:t>
      </w:r>
      <w:r>
        <w:rPr>
          <w:spacing w:val="-12"/>
          <w:sz w:val="20"/>
        </w:rPr>
        <w:t> </w:t>
      </w:r>
      <w:r>
        <w:rPr>
          <w:sz w:val="20"/>
        </w:rPr>
        <w:t>jurídica,</w:t>
      </w:r>
      <w:r>
        <w:rPr>
          <w:spacing w:val="-12"/>
          <w:sz w:val="20"/>
        </w:rPr>
        <w:t> </w:t>
      </w:r>
      <w:r>
        <w:rPr>
          <w:sz w:val="20"/>
        </w:rPr>
        <w:t>el</w:t>
      </w:r>
      <w:r>
        <w:rPr>
          <w:spacing w:val="-12"/>
          <w:sz w:val="20"/>
        </w:rPr>
        <w:t> </w:t>
      </w:r>
      <w:r>
        <w:rPr>
          <w:sz w:val="20"/>
        </w:rPr>
        <w:t>que,</w:t>
      </w:r>
      <w:r>
        <w:rPr>
          <w:spacing w:val="-12"/>
          <w:sz w:val="20"/>
        </w:rPr>
        <w:t> </w:t>
      </w:r>
      <w:r>
        <w:rPr>
          <w:sz w:val="20"/>
        </w:rPr>
        <w:t>en</w:t>
      </w:r>
      <w:r>
        <w:rPr>
          <w:spacing w:val="-11"/>
          <w:sz w:val="20"/>
        </w:rPr>
        <w:t> </w:t>
      </w:r>
      <w:r>
        <w:rPr>
          <w:sz w:val="20"/>
        </w:rPr>
        <w:t>lo</w:t>
      </w:r>
      <w:r>
        <w:rPr>
          <w:spacing w:val="-12"/>
          <w:sz w:val="20"/>
        </w:rPr>
        <w:t> </w:t>
      </w:r>
      <w:r>
        <w:rPr>
          <w:sz w:val="20"/>
        </w:rPr>
        <w:t>atingente a</w:t>
      </w:r>
      <w:r>
        <w:rPr>
          <w:spacing w:val="-17"/>
          <w:sz w:val="20"/>
        </w:rPr>
        <w:t> </w:t>
      </w:r>
      <w:r>
        <w:rPr>
          <w:sz w:val="20"/>
        </w:rPr>
        <w:t>los</w:t>
      </w:r>
      <w:r>
        <w:rPr>
          <w:spacing w:val="-18"/>
          <w:sz w:val="20"/>
        </w:rPr>
        <w:t> </w:t>
      </w:r>
      <w:r>
        <w:rPr>
          <w:sz w:val="20"/>
        </w:rPr>
        <w:t>derechos</w:t>
      </w:r>
      <w:r>
        <w:rPr>
          <w:spacing w:val="-17"/>
          <w:sz w:val="20"/>
        </w:rPr>
        <w:t> </w:t>
      </w:r>
      <w:r>
        <w:rPr>
          <w:sz w:val="20"/>
        </w:rPr>
        <w:t>humanos,</w:t>
      </w:r>
      <w:r>
        <w:rPr>
          <w:spacing w:val="-16"/>
          <w:sz w:val="20"/>
        </w:rPr>
        <w:t> </w:t>
      </w:r>
      <w:r>
        <w:rPr>
          <w:sz w:val="20"/>
        </w:rPr>
        <w:t>también</w:t>
      </w:r>
      <w:r>
        <w:rPr>
          <w:spacing w:val="-17"/>
          <w:sz w:val="20"/>
        </w:rPr>
        <w:t> </w:t>
      </w:r>
      <w:r>
        <w:rPr>
          <w:sz w:val="20"/>
        </w:rPr>
        <w:t>beneficia</w:t>
      </w:r>
      <w:r>
        <w:rPr>
          <w:spacing w:val="-18"/>
          <w:sz w:val="20"/>
        </w:rPr>
        <w:t> </w:t>
      </w:r>
      <w:r>
        <w:rPr>
          <w:sz w:val="20"/>
        </w:rPr>
        <w:t>a</w:t>
      </w:r>
      <w:r>
        <w:rPr>
          <w:spacing w:val="-17"/>
          <w:sz w:val="20"/>
        </w:rPr>
        <w:t> </w:t>
      </w:r>
      <w:r>
        <w:rPr>
          <w:sz w:val="20"/>
        </w:rPr>
        <w:t>las</w:t>
      </w:r>
      <w:r>
        <w:rPr>
          <w:spacing w:val="-16"/>
          <w:sz w:val="20"/>
        </w:rPr>
        <w:t> </w:t>
      </w:r>
      <w:r>
        <w:rPr>
          <w:sz w:val="20"/>
        </w:rPr>
        <w:t>víctimas</w:t>
      </w:r>
      <w:r>
        <w:rPr>
          <w:spacing w:val="-18"/>
          <w:sz w:val="20"/>
        </w:rPr>
        <w:t> </w:t>
      </w:r>
      <w:r>
        <w:rPr>
          <w:sz w:val="20"/>
        </w:rPr>
        <w:t>de</w:t>
      </w:r>
      <w:r>
        <w:rPr>
          <w:spacing w:val="-17"/>
          <w:sz w:val="20"/>
        </w:rPr>
        <w:t> </w:t>
      </w:r>
      <w:r>
        <w:rPr>
          <w:sz w:val="20"/>
        </w:rPr>
        <w:t>sus</w:t>
      </w:r>
      <w:r>
        <w:rPr>
          <w:spacing w:val="-17"/>
          <w:sz w:val="20"/>
        </w:rPr>
        <w:t> </w:t>
      </w:r>
      <w:r>
        <w:rPr>
          <w:sz w:val="20"/>
        </w:rPr>
        <w:t>violaciones</w:t>
      </w:r>
      <w:r>
        <w:rPr>
          <w:spacing w:val="-17"/>
          <w:sz w:val="20"/>
        </w:rPr>
        <w:t> </w:t>
      </w:r>
      <w:r>
        <w:rPr>
          <w:sz w:val="20"/>
        </w:rPr>
        <w:t>al</w:t>
      </w:r>
      <w:r>
        <w:rPr>
          <w:spacing w:val="-18"/>
          <w:sz w:val="20"/>
        </w:rPr>
        <w:t> </w:t>
      </w:r>
      <w:r>
        <w:rPr>
          <w:sz w:val="20"/>
        </w:rPr>
        <w:t>garantizar el cumplimiento de las sentencias de la Corte por sustentarse sólidamente en los compromisos soberanamente asumidos por los</w:t>
      </w:r>
      <w:r>
        <w:rPr>
          <w:spacing w:val="-8"/>
          <w:sz w:val="20"/>
        </w:rPr>
        <w:t> </w:t>
      </w:r>
      <w:r>
        <w:rPr>
          <w:sz w:val="20"/>
        </w:rPr>
        <w:t>Estados.</w:t>
      </w:r>
    </w:p>
    <w:p>
      <w:pPr>
        <w:pStyle w:val="BodyText"/>
        <w:spacing w:before="11"/>
        <w:rPr>
          <w:sz w:val="19"/>
        </w:rPr>
      </w:pPr>
    </w:p>
    <w:p>
      <w:pPr>
        <w:pStyle w:val="ListParagraph"/>
        <w:numPr>
          <w:ilvl w:val="0"/>
          <w:numId w:val="72"/>
        </w:numPr>
        <w:tabs>
          <w:tab w:pos="1390" w:val="left" w:leader="none"/>
        </w:tabs>
        <w:spacing w:line="240" w:lineRule="auto" w:before="0" w:after="0"/>
        <w:ind w:left="681" w:right="117" w:firstLine="0"/>
        <w:jc w:val="both"/>
        <w:rPr>
          <w:sz w:val="20"/>
        </w:rPr>
      </w:pPr>
      <w:r>
        <w:rPr>
          <w:sz w:val="20"/>
        </w:rPr>
        <w:t>Al respecto, no se debe olvidar que, en la práctica y más allá de cualquier consideración teórica, la función de la Corte es, en definitiva, dictar fallos que restablezcan,</w:t>
      </w:r>
      <w:r>
        <w:rPr>
          <w:spacing w:val="-7"/>
          <w:sz w:val="20"/>
        </w:rPr>
        <w:t> </w:t>
      </w:r>
      <w:r>
        <w:rPr>
          <w:sz w:val="20"/>
        </w:rPr>
        <w:t>lo</w:t>
      </w:r>
      <w:r>
        <w:rPr>
          <w:spacing w:val="-7"/>
          <w:sz w:val="20"/>
        </w:rPr>
        <w:t> </w:t>
      </w:r>
      <w:r>
        <w:rPr>
          <w:sz w:val="20"/>
        </w:rPr>
        <w:t>más</w:t>
      </w:r>
      <w:r>
        <w:rPr>
          <w:spacing w:val="-7"/>
          <w:sz w:val="20"/>
        </w:rPr>
        <w:t> </w:t>
      </w:r>
      <w:r>
        <w:rPr>
          <w:sz w:val="20"/>
        </w:rPr>
        <w:t>pronto</w:t>
      </w:r>
      <w:r>
        <w:rPr>
          <w:spacing w:val="-7"/>
          <w:sz w:val="20"/>
        </w:rPr>
        <w:t> </w:t>
      </w:r>
      <w:r>
        <w:rPr>
          <w:sz w:val="20"/>
        </w:rPr>
        <w:t>posible,</w:t>
      </w:r>
      <w:r>
        <w:rPr>
          <w:spacing w:val="-6"/>
          <w:sz w:val="20"/>
        </w:rPr>
        <w:t> </w:t>
      </w:r>
      <w:r>
        <w:rPr>
          <w:sz w:val="20"/>
        </w:rPr>
        <w:t>el</w:t>
      </w:r>
      <w:r>
        <w:rPr>
          <w:spacing w:val="-7"/>
          <w:sz w:val="20"/>
        </w:rPr>
        <w:t> </w:t>
      </w:r>
      <w:r>
        <w:rPr>
          <w:sz w:val="20"/>
        </w:rPr>
        <w:t>respeto</w:t>
      </w:r>
      <w:r>
        <w:rPr>
          <w:spacing w:val="-8"/>
          <w:sz w:val="20"/>
        </w:rPr>
        <w:t> </w:t>
      </w:r>
      <w:r>
        <w:rPr>
          <w:sz w:val="20"/>
        </w:rPr>
        <w:t>de</w:t>
      </w:r>
      <w:r>
        <w:rPr>
          <w:spacing w:val="-7"/>
          <w:sz w:val="20"/>
        </w:rPr>
        <w:t> </w:t>
      </w:r>
      <w:r>
        <w:rPr>
          <w:sz w:val="20"/>
        </w:rPr>
        <w:t>los</w:t>
      </w:r>
      <w:r>
        <w:rPr>
          <w:spacing w:val="-7"/>
          <w:sz w:val="20"/>
        </w:rPr>
        <w:t> </w:t>
      </w:r>
      <w:r>
        <w:rPr>
          <w:sz w:val="20"/>
        </w:rPr>
        <w:t>derechos</w:t>
      </w:r>
      <w:r>
        <w:rPr>
          <w:spacing w:val="-7"/>
          <w:sz w:val="20"/>
        </w:rPr>
        <w:t> </w:t>
      </w:r>
      <w:r>
        <w:rPr>
          <w:sz w:val="20"/>
        </w:rPr>
        <w:t>humanos</w:t>
      </w:r>
      <w:r>
        <w:rPr>
          <w:spacing w:val="-7"/>
          <w:sz w:val="20"/>
        </w:rPr>
        <w:t> </w:t>
      </w:r>
      <w:r>
        <w:rPr>
          <w:sz w:val="20"/>
        </w:rPr>
        <w:t>violados</w:t>
      </w:r>
      <w:r>
        <w:rPr>
          <w:position w:val="7"/>
          <w:sz w:val="13"/>
        </w:rPr>
        <w:t>132</w:t>
      </w:r>
      <w:r>
        <w:rPr>
          <w:sz w:val="20"/>
        </w:rPr>
        <w:t>.</w:t>
      </w:r>
      <w:r>
        <w:rPr>
          <w:spacing w:val="-8"/>
          <w:sz w:val="20"/>
        </w:rPr>
        <w:t> </w:t>
      </w:r>
      <w:r>
        <w:rPr>
          <w:sz w:val="20"/>
        </w:rPr>
        <w:t>No es</w:t>
      </w:r>
      <w:r>
        <w:rPr>
          <w:spacing w:val="-10"/>
          <w:sz w:val="20"/>
        </w:rPr>
        <w:t> </w:t>
      </w:r>
      <w:r>
        <w:rPr>
          <w:sz w:val="20"/>
        </w:rPr>
        <w:t>tan</w:t>
      </w:r>
      <w:r>
        <w:rPr>
          <w:spacing w:val="-10"/>
          <w:sz w:val="20"/>
        </w:rPr>
        <w:t> </w:t>
      </w:r>
      <w:r>
        <w:rPr>
          <w:sz w:val="20"/>
        </w:rPr>
        <w:t>seguro</w:t>
      </w:r>
      <w:r>
        <w:rPr>
          <w:spacing w:val="-10"/>
          <w:sz w:val="20"/>
        </w:rPr>
        <w:t> </w:t>
      </w:r>
      <w:r>
        <w:rPr>
          <w:sz w:val="20"/>
        </w:rPr>
        <w:t>que</w:t>
      </w:r>
      <w:r>
        <w:rPr>
          <w:spacing w:val="-10"/>
          <w:sz w:val="20"/>
        </w:rPr>
        <w:t> </w:t>
      </w:r>
      <w:r>
        <w:rPr>
          <w:sz w:val="20"/>
        </w:rPr>
        <w:t>ello</w:t>
      </w:r>
      <w:r>
        <w:rPr>
          <w:spacing w:val="-11"/>
          <w:sz w:val="20"/>
        </w:rPr>
        <w:t> </w:t>
      </w:r>
      <w:r>
        <w:rPr>
          <w:sz w:val="20"/>
        </w:rPr>
        <w:t>se</w:t>
      </w:r>
      <w:r>
        <w:rPr>
          <w:spacing w:val="-9"/>
          <w:sz w:val="20"/>
        </w:rPr>
        <w:t> </w:t>
      </w:r>
      <w:r>
        <w:rPr>
          <w:sz w:val="20"/>
        </w:rPr>
        <w:t>logre</w:t>
      </w:r>
      <w:r>
        <w:rPr>
          <w:spacing w:val="-10"/>
          <w:sz w:val="20"/>
        </w:rPr>
        <w:t> </w:t>
      </w:r>
      <w:r>
        <w:rPr>
          <w:sz w:val="20"/>
        </w:rPr>
        <w:t>respecto</w:t>
      </w:r>
      <w:r>
        <w:rPr>
          <w:spacing w:val="-11"/>
          <w:sz w:val="20"/>
        </w:rPr>
        <w:t> </w:t>
      </w:r>
      <w:r>
        <w:rPr>
          <w:sz w:val="20"/>
        </w:rPr>
        <w:t>de</w:t>
      </w:r>
      <w:r>
        <w:rPr>
          <w:spacing w:val="-10"/>
          <w:sz w:val="20"/>
        </w:rPr>
        <w:t> </w:t>
      </w:r>
      <w:r>
        <w:rPr>
          <w:sz w:val="20"/>
        </w:rPr>
        <w:t>violaciones</w:t>
      </w:r>
      <w:r>
        <w:rPr>
          <w:spacing w:val="-11"/>
          <w:sz w:val="20"/>
        </w:rPr>
        <w:t> </w:t>
      </w:r>
      <w:r>
        <w:rPr>
          <w:sz w:val="20"/>
        </w:rPr>
        <w:t>derechos</w:t>
      </w:r>
      <w:r>
        <w:rPr>
          <w:spacing w:val="-11"/>
          <w:sz w:val="20"/>
        </w:rPr>
        <w:t> </w:t>
      </w:r>
      <w:r>
        <w:rPr>
          <w:sz w:val="20"/>
        </w:rPr>
        <w:t>humanos</w:t>
      </w:r>
      <w:r>
        <w:rPr>
          <w:spacing w:val="-10"/>
          <w:sz w:val="20"/>
        </w:rPr>
        <w:t> </w:t>
      </w:r>
      <w:r>
        <w:rPr>
          <w:sz w:val="20"/>
        </w:rPr>
        <w:t>que</w:t>
      </w:r>
      <w:r>
        <w:rPr>
          <w:spacing w:val="-10"/>
          <w:sz w:val="20"/>
        </w:rPr>
        <w:t> </w:t>
      </w:r>
      <w:r>
        <w:rPr>
          <w:sz w:val="20"/>
        </w:rPr>
        <w:t>no</w:t>
      </w:r>
      <w:r>
        <w:rPr>
          <w:spacing w:val="-11"/>
          <w:sz w:val="20"/>
        </w:rPr>
        <w:t> </w:t>
      </w:r>
      <w:r>
        <w:rPr>
          <w:sz w:val="20"/>
        </w:rPr>
        <w:t>fueron consideradas en la Convención como justiciables ante la</w:t>
      </w:r>
      <w:r>
        <w:rPr>
          <w:spacing w:val="-21"/>
          <w:sz w:val="20"/>
        </w:rPr>
        <w:t> </w:t>
      </w:r>
      <w:r>
        <w:rPr>
          <w:sz w:val="20"/>
        </w:rPr>
        <w:t>Corte.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19"/>
        </w:rPr>
      </w:pPr>
    </w:p>
    <w:p>
      <w:pPr>
        <w:pStyle w:val="BodyText"/>
        <w:ind w:left="8420" w:right="99" w:hanging="807"/>
      </w:pPr>
      <w:r>
        <w:rPr/>
        <w:t>Eduardo Vio Grossi Juez</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50"/>
        <w:ind w:left="1526" w:right="5998" w:hanging="562"/>
      </w:pPr>
      <w:r>
        <w:rPr/>
        <w:t>Pablo Saavedra Alessandri Secretario</w:t>
      </w:r>
    </w:p>
    <w:p>
      <w:pPr>
        <w:pStyle w:val="BodyText"/>
      </w:pPr>
    </w:p>
    <w:p>
      <w:pPr>
        <w:pStyle w:val="BodyText"/>
      </w:pPr>
    </w:p>
    <w:p>
      <w:pPr>
        <w:pStyle w:val="BodyText"/>
      </w:pPr>
    </w:p>
    <w:p>
      <w:pPr>
        <w:pStyle w:val="BodyText"/>
        <w:spacing w:before="4"/>
        <w:rPr>
          <w:sz w:val="10"/>
        </w:rPr>
      </w:pPr>
      <w:r>
        <w:rPr/>
        <w:pict>
          <v:line style="position:absolute;mso-position-horizontal-relative:page;mso-position-vertical-relative:paragraph;z-index:4528;mso-wrap-distance-left:0;mso-wrap-distance-right:0" from="56.700001pt,8.60454pt" to="200.720001pt,8.60454pt" stroked="true" strokeweight=".71997pt" strokecolor="#000000">
            <v:stroke dashstyle="solid"/>
            <w10:wrap type="topAndBottom"/>
          </v:line>
        </w:pict>
      </w:r>
    </w:p>
    <w:p>
      <w:pPr>
        <w:spacing w:before="70"/>
        <w:ind w:left="681" w:right="0" w:firstLine="0"/>
        <w:jc w:val="left"/>
        <w:rPr>
          <w:sz w:val="16"/>
        </w:rPr>
      </w:pPr>
      <w:r>
        <w:rPr>
          <w:position w:val="6"/>
          <w:sz w:val="10"/>
        </w:rPr>
        <w:t>131  </w:t>
      </w:r>
      <w:r>
        <w:rPr>
          <w:i/>
          <w:sz w:val="16"/>
        </w:rPr>
        <w:t>Supra</w:t>
      </w:r>
      <w:r>
        <w:rPr>
          <w:sz w:val="16"/>
        </w:rPr>
        <w:t>, Párr.67.</w:t>
      </w:r>
    </w:p>
    <w:p>
      <w:pPr>
        <w:pStyle w:val="BodyText"/>
        <w:spacing w:before="11"/>
        <w:rPr>
          <w:sz w:val="15"/>
        </w:rPr>
      </w:pPr>
    </w:p>
    <w:p>
      <w:pPr>
        <w:spacing w:before="0"/>
        <w:ind w:left="681" w:right="0" w:firstLine="0"/>
        <w:jc w:val="left"/>
        <w:rPr>
          <w:sz w:val="16"/>
        </w:rPr>
      </w:pPr>
      <w:r>
        <w:rPr>
          <w:position w:val="6"/>
          <w:sz w:val="10"/>
        </w:rPr>
        <w:t>132  </w:t>
      </w:r>
      <w:r>
        <w:rPr>
          <w:sz w:val="16"/>
        </w:rPr>
        <w:t>Art.63.1, </w:t>
      </w:r>
      <w:r>
        <w:rPr>
          <w:i/>
          <w:sz w:val="16"/>
        </w:rPr>
        <w:t>Supra</w:t>
      </w:r>
      <w:r>
        <w:rPr>
          <w:sz w:val="16"/>
        </w:rPr>
        <w:t>, Nota N° 27.</w:t>
      </w:r>
    </w:p>
    <w:p>
      <w:pPr>
        <w:spacing w:after="0"/>
        <w:jc w:val="left"/>
        <w:rPr>
          <w:sz w:val="16"/>
        </w:rPr>
        <w:sectPr>
          <w:footerReference w:type="default" r:id="rId43"/>
          <w:pgSz w:w="12240" w:h="15840"/>
          <w:pgMar w:footer="1000" w:header="0" w:top="1460" w:bottom="1200" w:left="1020" w:right="1580"/>
        </w:sectPr>
      </w:pPr>
    </w:p>
    <w:p>
      <w:pPr>
        <w:pStyle w:val="BodyText"/>
      </w:pPr>
    </w:p>
    <w:p>
      <w:pPr>
        <w:pStyle w:val="BodyText"/>
      </w:pPr>
    </w:p>
    <w:p>
      <w:pPr>
        <w:pStyle w:val="BodyText"/>
      </w:pPr>
    </w:p>
    <w:p>
      <w:pPr>
        <w:pStyle w:val="BodyText"/>
      </w:pPr>
    </w:p>
    <w:p>
      <w:pPr>
        <w:pStyle w:val="BodyText"/>
        <w:spacing w:before="1"/>
        <w:rPr>
          <w:sz w:val="28"/>
        </w:rPr>
      </w:pPr>
    </w:p>
    <w:p>
      <w:pPr>
        <w:pStyle w:val="Heading3"/>
        <w:spacing w:before="101"/>
        <w:ind w:left="2677" w:right="2674" w:firstLine="1"/>
      </w:pPr>
      <w:bookmarkStart w:name="vsc_sierraporto_400_esp" w:id="181"/>
      <w:bookmarkEnd w:id="181"/>
      <w:r>
        <w:rPr>
          <w:b w:val="0"/>
        </w:rPr>
      </w:r>
      <w:r>
        <w:rPr/>
        <w:t>VOTO PARCIALMENTE DISIDENTE DEL JUEZ HUMBERTO ANTONIO SIERRA PORTO</w:t>
      </w:r>
    </w:p>
    <w:p>
      <w:pPr>
        <w:pStyle w:val="BodyText"/>
        <w:spacing w:before="12"/>
        <w:rPr>
          <w:b/>
          <w:sz w:val="19"/>
        </w:rPr>
      </w:pPr>
    </w:p>
    <w:p>
      <w:pPr>
        <w:spacing w:before="0"/>
        <w:ind w:left="474" w:right="471" w:firstLine="0"/>
        <w:jc w:val="center"/>
        <w:rPr>
          <w:b/>
          <w:sz w:val="20"/>
        </w:rPr>
      </w:pPr>
      <w:r>
        <w:rPr>
          <w:b/>
          <w:sz w:val="20"/>
        </w:rPr>
        <w:t>CASO COMUNIDADES INDÍGENAS MIEMBROS DE LA ASOCIACIÓN LHAKA HONHAT (NUESTRA TIERRA) VS. ARGENTINA</w:t>
      </w:r>
    </w:p>
    <w:p>
      <w:pPr>
        <w:pStyle w:val="BodyText"/>
        <w:spacing w:before="11"/>
        <w:rPr>
          <w:b/>
          <w:sz w:val="19"/>
        </w:rPr>
      </w:pPr>
    </w:p>
    <w:p>
      <w:pPr>
        <w:spacing w:before="1"/>
        <w:ind w:left="474" w:right="471" w:firstLine="0"/>
        <w:jc w:val="center"/>
        <w:rPr>
          <w:b/>
          <w:sz w:val="20"/>
        </w:rPr>
      </w:pPr>
      <w:r>
        <w:rPr>
          <w:b/>
          <w:sz w:val="20"/>
        </w:rPr>
        <w:t>SENTENCIA DE 6 DE FEBRERO DE 2020</w:t>
      </w:r>
    </w:p>
    <w:p>
      <w:pPr>
        <w:pStyle w:val="Heading4"/>
        <w:ind w:left="474" w:right="471"/>
        <w:jc w:val="center"/>
        <w:rPr>
          <w:i/>
        </w:rPr>
      </w:pPr>
      <w:r>
        <w:rPr>
          <w:i/>
        </w:rPr>
        <w:t>(Fondo, Reparaciones y Costas)</w:t>
      </w:r>
    </w:p>
    <w:p>
      <w:pPr>
        <w:pStyle w:val="BodyText"/>
        <w:spacing w:before="11"/>
        <w:rPr>
          <w:b/>
          <w:i/>
          <w:sz w:val="19"/>
        </w:rPr>
      </w:pPr>
    </w:p>
    <w:p>
      <w:pPr>
        <w:pStyle w:val="ListParagraph"/>
        <w:numPr>
          <w:ilvl w:val="0"/>
          <w:numId w:val="73"/>
        </w:numPr>
        <w:tabs>
          <w:tab w:pos="823" w:val="left" w:leader="none"/>
        </w:tabs>
        <w:spacing w:line="240" w:lineRule="auto" w:before="0" w:after="0"/>
        <w:ind w:left="114" w:right="107" w:firstLine="0"/>
        <w:jc w:val="both"/>
        <w:rPr>
          <w:sz w:val="20"/>
        </w:rPr>
      </w:pPr>
      <w:r>
        <w:rPr>
          <w:sz w:val="20"/>
        </w:rPr>
        <w:t>Con</w:t>
      </w:r>
      <w:r>
        <w:rPr>
          <w:spacing w:val="-16"/>
          <w:sz w:val="20"/>
        </w:rPr>
        <w:t> </w:t>
      </w:r>
      <w:r>
        <w:rPr>
          <w:sz w:val="20"/>
        </w:rPr>
        <w:t>el</w:t>
      </w:r>
      <w:r>
        <w:rPr>
          <w:spacing w:val="-15"/>
          <w:sz w:val="20"/>
        </w:rPr>
        <w:t> </w:t>
      </w:r>
      <w:r>
        <w:rPr>
          <w:sz w:val="20"/>
        </w:rPr>
        <w:t>reiterado</w:t>
      </w:r>
      <w:r>
        <w:rPr>
          <w:spacing w:val="-16"/>
          <w:sz w:val="20"/>
        </w:rPr>
        <w:t> </w:t>
      </w:r>
      <w:r>
        <w:rPr>
          <w:sz w:val="20"/>
        </w:rPr>
        <w:t>respeto</w:t>
      </w:r>
      <w:r>
        <w:rPr>
          <w:spacing w:val="-15"/>
          <w:sz w:val="20"/>
        </w:rPr>
        <w:t> </w:t>
      </w:r>
      <w:r>
        <w:rPr>
          <w:sz w:val="20"/>
        </w:rPr>
        <w:t>por</w:t>
      </w:r>
      <w:r>
        <w:rPr>
          <w:spacing w:val="-17"/>
          <w:sz w:val="20"/>
        </w:rPr>
        <w:t> </w:t>
      </w:r>
      <w:r>
        <w:rPr>
          <w:sz w:val="20"/>
        </w:rPr>
        <w:t>las</w:t>
      </w:r>
      <w:r>
        <w:rPr>
          <w:spacing w:val="-17"/>
          <w:sz w:val="20"/>
        </w:rPr>
        <w:t> </w:t>
      </w:r>
      <w:r>
        <w:rPr>
          <w:sz w:val="20"/>
        </w:rPr>
        <w:t>decisiones</w:t>
      </w:r>
      <w:r>
        <w:rPr>
          <w:spacing w:val="-16"/>
          <w:sz w:val="20"/>
        </w:rPr>
        <w:t> </w:t>
      </w:r>
      <w:r>
        <w:rPr>
          <w:sz w:val="20"/>
        </w:rPr>
        <w:t>de</w:t>
      </w:r>
      <w:r>
        <w:rPr>
          <w:spacing w:val="-16"/>
          <w:sz w:val="20"/>
        </w:rPr>
        <w:t> </w:t>
      </w:r>
      <w:r>
        <w:rPr>
          <w:sz w:val="20"/>
        </w:rPr>
        <w:t>la</w:t>
      </w:r>
      <w:r>
        <w:rPr>
          <w:spacing w:val="-18"/>
          <w:sz w:val="20"/>
        </w:rPr>
        <w:t> </w:t>
      </w:r>
      <w:r>
        <w:rPr>
          <w:sz w:val="20"/>
        </w:rPr>
        <w:t>Corte</w:t>
      </w:r>
      <w:r>
        <w:rPr>
          <w:spacing w:val="-16"/>
          <w:sz w:val="20"/>
        </w:rPr>
        <w:t> </w:t>
      </w:r>
      <w:r>
        <w:rPr>
          <w:sz w:val="20"/>
        </w:rPr>
        <w:t>Interamericana</w:t>
      </w:r>
      <w:r>
        <w:rPr>
          <w:spacing w:val="-17"/>
          <w:sz w:val="20"/>
        </w:rPr>
        <w:t> </w:t>
      </w:r>
      <w:r>
        <w:rPr>
          <w:sz w:val="20"/>
        </w:rPr>
        <w:t>de</w:t>
      </w:r>
      <w:r>
        <w:rPr>
          <w:spacing w:val="-16"/>
          <w:sz w:val="20"/>
        </w:rPr>
        <w:t> </w:t>
      </w:r>
      <w:r>
        <w:rPr>
          <w:sz w:val="20"/>
        </w:rPr>
        <w:t>Derechos</w:t>
      </w:r>
      <w:r>
        <w:rPr>
          <w:spacing w:val="-18"/>
          <w:sz w:val="20"/>
        </w:rPr>
        <w:t> </w:t>
      </w:r>
      <w:r>
        <w:rPr>
          <w:sz w:val="20"/>
        </w:rPr>
        <w:t>Humanos (en</w:t>
      </w:r>
      <w:r>
        <w:rPr>
          <w:spacing w:val="-19"/>
          <w:sz w:val="20"/>
        </w:rPr>
        <w:t> </w:t>
      </w:r>
      <w:r>
        <w:rPr>
          <w:sz w:val="20"/>
        </w:rPr>
        <w:t>adelante,</w:t>
      </w:r>
      <w:r>
        <w:rPr>
          <w:spacing w:val="-18"/>
          <w:sz w:val="20"/>
        </w:rPr>
        <w:t> </w:t>
      </w:r>
      <w:r>
        <w:rPr>
          <w:sz w:val="20"/>
        </w:rPr>
        <w:t>también</w:t>
      </w:r>
      <w:r>
        <w:rPr>
          <w:spacing w:val="-19"/>
          <w:sz w:val="20"/>
        </w:rPr>
        <w:t> </w:t>
      </w:r>
      <w:r>
        <w:rPr>
          <w:sz w:val="20"/>
        </w:rPr>
        <w:t>“la</w:t>
      </w:r>
      <w:r>
        <w:rPr>
          <w:spacing w:val="-19"/>
          <w:sz w:val="20"/>
        </w:rPr>
        <w:t> </w:t>
      </w:r>
      <w:r>
        <w:rPr>
          <w:sz w:val="20"/>
        </w:rPr>
        <w:t>Corte”</w:t>
      </w:r>
      <w:r>
        <w:rPr>
          <w:spacing w:val="-18"/>
          <w:sz w:val="20"/>
        </w:rPr>
        <w:t> </w:t>
      </w:r>
      <w:r>
        <w:rPr>
          <w:sz w:val="20"/>
        </w:rPr>
        <w:t>o</w:t>
      </w:r>
      <w:r>
        <w:rPr>
          <w:spacing w:val="-21"/>
          <w:sz w:val="20"/>
        </w:rPr>
        <w:t> </w:t>
      </w:r>
      <w:r>
        <w:rPr>
          <w:sz w:val="20"/>
        </w:rPr>
        <w:t>“el</w:t>
      </w:r>
      <w:r>
        <w:rPr>
          <w:spacing w:val="-18"/>
          <w:sz w:val="20"/>
        </w:rPr>
        <w:t> </w:t>
      </w:r>
      <w:r>
        <w:rPr>
          <w:sz w:val="20"/>
        </w:rPr>
        <w:t>Tribunal”),</w:t>
      </w:r>
      <w:r>
        <w:rPr>
          <w:spacing w:val="-19"/>
          <w:sz w:val="20"/>
        </w:rPr>
        <w:t> </w:t>
      </w:r>
      <w:r>
        <w:rPr>
          <w:sz w:val="20"/>
        </w:rPr>
        <w:t>me</w:t>
      </w:r>
      <w:r>
        <w:rPr>
          <w:spacing w:val="-19"/>
          <w:sz w:val="20"/>
        </w:rPr>
        <w:t> </w:t>
      </w:r>
      <w:r>
        <w:rPr>
          <w:sz w:val="20"/>
        </w:rPr>
        <w:t>permito</w:t>
      </w:r>
      <w:r>
        <w:rPr>
          <w:spacing w:val="-19"/>
          <w:sz w:val="20"/>
        </w:rPr>
        <w:t> </w:t>
      </w:r>
      <w:r>
        <w:rPr>
          <w:sz w:val="20"/>
        </w:rPr>
        <w:t>formular</w:t>
      </w:r>
      <w:r>
        <w:rPr>
          <w:spacing w:val="-20"/>
          <w:sz w:val="20"/>
        </w:rPr>
        <w:t> </w:t>
      </w:r>
      <w:r>
        <w:rPr>
          <w:sz w:val="20"/>
        </w:rPr>
        <w:t>el</w:t>
      </w:r>
      <w:r>
        <w:rPr>
          <w:spacing w:val="-19"/>
          <w:sz w:val="20"/>
        </w:rPr>
        <w:t> </w:t>
      </w:r>
      <w:r>
        <w:rPr>
          <w:sz w:val="20"/>
        </w:rPr>
        <w:t>presente</w:t>
      </w:r>
      <w:r>
        <w:rPr>
          <w:spacing w:val="-18"/>
          <w:sz w:val="20"/>
        </w:rPr>
        <w:t> </w:t>
      </w:r>
      <w:r>
        <w:rPr>
          <w:sz w:val="20"/>
        </w:rPr>
        <w:t>voto</w:t>
      </w:r>
      <w:r>
        <w:rPr>
          <w:spacing w:val="-20"/>
          <w:sz w:val="20"/>
        </w:rPr>
        <w:t> </w:t>
      </w:r>
      <w:r>
        <w:rPr>
          <w:sz w:val="20"/>
        </w:rPr>
        <w:t>parcialmente disidente.</w:t>
      </w:r>
      <w:r>
        <w:rPr>
          <w:spacing w:val="-6"/>
          <w:sz w:val="20"/>
        </w:rPr>
        <w:t> </w:t>
      </w:r>
      <w:r>
        <w:rPr>
          <w:sz w:val="20"/>
        </w:rPr>
        <w:t>El</w:t>
      </w:r>
      <w:r>
        <w:rPr>
          <w:spacing w:val="-8"/>
          <w:sz w:val="20"/>
        </w:rPr>
        <w:t> </w:t>
      </w:r>
      <w:r>
        <w:rPr>
          <w:sz w:val="20"/>
        </w:rPr>
        <w:t>voto</w:t>
      </w:r>
      <w:r>
        <w:rPr>
          <w:spacing w:val="-7"/>
          <w:sz w:val="20"/>
        </w:rPr>
        <w:t> </w:t>
      </w:r>
      <w:r>
        <w:rPr>
          <w:sz w:val="20"/>
        </w:rPr>
        <w:t>se</w:t>
      </w:r>
      <w:r>
        <w:rPr>
          <w:spacing w:val="-6"/>
          <w:sz w:val="20"/>
        </w:rPr>
        <w:t> </w:t>
      </w:r>
      <w:r>
        <w:rPr>
          <w:sz w:val="20"/>
        </w:rPr>
        <w:t>centra</w:t>
      </w:r>
      <w:r>
        <w:rPr>
          <w:spacing w:val="-8"/>
          <w:sz w:val="20"/>
        </w:rPr>
        <w:t> </w:t>
      </w:r>
      <w:r>
        <w:rPr>
          <w:sz w:val="20"/>
        </w:rPr>
        <w:t>en</w:t>
      </w:r>
      <w:r>
        <w:rPr>
          <w:spacing w:val="-7"/>
          <w:sz w:val="20"/>
        </w:rPr>
        <w:t> </w:t>
      </w:r>
      <w:r>
        <w:rPr>
          <w:sz w:val="20"/>
        </w:rPr>
        <w:t>el</w:t>
      </w:r>
      <w:r>
        <w:rPr>
          <w:spacing w:val="-6"/>
          <w:sz w:val="20"/>
        </w:rPr>
        <w:t> </w:t>
      </w:r>
      <w:r>
        <w:rPr>
          <w:sz w:val="20"/>
        </w:rPr>
        <w:t>análisis</w:t>
      </w:r>
      <w:r>
        <w:rPr>
          <w:spacing w:val="-7"/>
          <w:sz w:val="20"/>
        </w:rPr>
        <w:t> </w:t>
      </w:r>
      <w:r>
        <w:rPr>
          <w:sz w:val="20"/>
        </w:rPr>
        <w:t>de</w:t>
      </w:r>
      <w:r>
        <w:rPr>
          <w:spacing w:val="-6"/>
          <w:sz w:val="20"/>
        </w:rPr>
        <w:t> </w:t>
      </w:r>
      <w:r>
        <w:rPr>
          <w:sz w:val="20"/>
        </w:rPr>
        <w:t>fondo</w:t>
      </w:r>
      <w:r>
        <w:rPr>
          <w:spacing w:val="-7"/>
          <w:sz w:val="20"/>
        </w:rPr>
        <w:t> </w:t>
      </w:r>
      <w:r>
        <w:rPr>
          <w:sz w:val="20"/>
        </w:rPr>
        <w:t>que</w:t>
      </w:r>
      <w:r>
        <w:rPr>
          <w:spacing w:val="-6"/>
          <w:sz w:val="20"/>
        </w:rPr>
        <w:t> </w:t>
      </w:r>
      <w:r>
        <w:rPr>
          <w:sz w:val="20"/>
        </w:rPr>
        <w:t>realizó</w:t>
      </w:r>
      <w:r>
        <w:rPr>
          <w:spacing w:val="-6"/>
          <w:sz w:val="20"/>
        </w:rPr>
        <w:t> </w:t>
      </w:r>
      <w:r>
        <w:rPr>
          <w:sz w:val="20"/>
        </w:rPr>
        <w:t>la</w:t>
      </w:r>
      <w:r>
        <w:rPr>
          <w:spacing w:val="-7"/>
          <w:sz w:val="20"/>
        </w:rPr>
        <w:t> </w:t>
      </w:r>
      <w:r>
        <w:rPr>
          <w:sz w:val="20"/>
        </w:rPr>
        <w:t>Corte</w:t>
      </w:r>
      <w:r>
        <w:rPr>
          <w:spacing w:val="-7"/>
          <w:sz w:val="20"/>
        </w:rPr>
        <w:t> </w:t>
      </w:r>
      <w:r>
        <w:rPr>
          <w:sz w:val="20"/>
        </w:rPr>
        <w:t>acerca</w:t>
      </w:r>
      <w:r>
        <w:rPr>
          <w:spacing w:val="-6"/>
          <w:sz w:val="20"/>
        </w:rPr>
        <w:t> </w:t>
      </w:r>
      <w:r>
        <w:rPr>
          <w:sz w:val="20"/>
        </w:rPr>
        <w:t>de</w:t>
      </w:r>
      <w:r>
        <w:rPr>
          <w:spacing w:val="-6"/>
          <w:sz w:val="20"/>
        </w:rPr>
        <w:t> </w:t>
      </w:r>
      <w:r>
        <w:rPr>
          <w:sz w:val="20"/>
        </w:rPr>
        <w:t>la</w:t>
      </w:r>
      <w:r>
        <w:rPr>
          <w:spacing w:val="-8"/>
          <w:sz w:val="20"/>
        </w:rPr>
        <w:t> </w:t>
      </w:r>
      <w:r>
        <w:rPr>
          <w:sz w:val="20"/>
        </w:rPr>
        <w:t>responsabilidad internacional del Estado (en adelante “el Estado”, “República de Argentina” o “Argentina”) por la violación al artículo 26 de la Convención Americana sobre Derechos Humanos (en adelante “Convención Americana”, “Convención” o “CADH”). Por un lado, considero oportuno reafirmar y profundizar las inconsistencias lógicas y jurídicas de las que adolece la teoría de la justiciabilidad directa y autónoma de los derechos económicos, sociales, culturales y ambientales (en adelante “DESCA”)</w:t>
      </w:r>
      <w:r>
        <w:rPr>
          <w:spacing w:val="-7"/>
          <w:sz w:val="20"/>
        </w:rPr>
        <w:t> </w:t>
      </w:r>
      <w:r>
        <w:rPr>
          <w:sz w:val="20"/>
        </w:rPr>
        <w:t>a</w:t>
      </w:r>
      <w:r>
        <w:rPr>
          <w:spacing w:val="-10"/>
          <w:sz w:val="20"/>
        </w:rPr>
        <w:t> </w:t>
      </w:r>
      <w:r>
        <w:rPr>
          <w:sz w:val="20"/>
        </w:rPr>
        <w:t>través</w:t>
      </w:r>
      <w:r>
        <w:rPr>
          <w:spacing w:val="-8"/>
          <w:sz w:val="20"/>
        </w:rPr>
        <w:t> </w:t>
      </w:r>
      <w:r>
        <w:rPr>
          <w:sz w:val="20"/>
        </w:rPr>
        <w:t>del</w:t>
      </w:r>
      <w:r>
        <w:rPr>
          <w:spacing w:val="-7"/>
          <w:sz w:val="20"/>
        </w:rPr>
        <w:t> </w:t>
      </w:r>
      <w:r>
        <w:rPr>
          <w:sz w:val="20"/>
        </w:rPr>
        <w:t>artículo</w:t>
      </w:r>
      <w:r>
        <w:rPr>
          <w:spacing w:val="-9"/>
          <w:sz w:val="20"/>
        </w:rPr>
        <w:t> </w:t>
      </w:r>
      <w:r>
        <w:rPr>
          <w:sz w:val="20"/>
        </w:rPr>
        <w:t>26</w:t>
      </w:r>
      <w:r>
        <w:rPr>
          <w:spacing w:val="-9"/>
          <w:sz w:val="20"/>
        </w:rPr>
        <w:t> </w:t>
      </w:r>
      <w:r>
        <w:rPr>
          <w:sz w:val="20"/>
        </w:rPr>
        <w:t>de</w:t>
      </w:r>
      <w:r>
        <w:rPr>
          <w:spacing w:val="-8"/>
          <w:sz w:val="20"/>
        </w:rPr>
        <w:t> </w:t>
      </w:r>
      <w:r>
        <w:rPr>
          <w:sz w:val="20"/>
        </w:rPr>
        <w:t>la</w:t>
      </w:r>
      <w:r>
        <w:rPr>
          <w:spacing w:val="-9"/>
          <w:sz w:val="20"/>
        </w:rPr>
        <w:t> </w:t>
      </w:r>
      <w:r>
        <w:rPr>
          <w:sz w:val="20"/>
        </w:rPr>
        <w:t>Convención</w:t>
      </w:r>
      <w:r>
        <w:rPr>
          <w:spacing w:val="-8"/>
          <w:sz w:val="20"/>
        </w:rPr>
        <w:t> </w:t>
      </w:r>
      <w:r>
        <w:rPr>
          <w:sz w:val="20"/>
        </w:rPr>
        <w:t>Americana,</w:t>
      </w:r>
      <w:r>
        <w:rPr>
          <w:spacing w:val="-9"/>
          <w:sz w:val="20"/>
        </w:rPr>
        <w:t> </w:t>
      </w:r>
      <w:r>
        <w:rPr>
          <w:sz w:val="20"/>
        </w:rPr>
        <w:t>que</w:t>
      </w:r>
      <w:r>
        <w:rPr>
          <w:spacing w:val="-8"/>
          <w:sz w:val="20"/>
        </w:rPr>
        <w:t> </w:t>
      </w:r>
      <w:r>
        <w:rPr>
          <w:sz w:val="20"/>
        </w:rPr>
        <w:t>ha</w:t>
      </w:r>
      <w:r>
        <w:rPr>
          <w:spacing w:val="-8"/>
          <w:sz w:val="20"/>
        </w:rPr>
        <w:t> </w:t>
      </w:r>
      <w:r>
        <w:rPr>
          <w:sz w:val="20"/>
        </w:rPr>
        <w:t>sido</w:t>
      </w:r>
      <w:r>
        <w:rPr>
          <w:spacing w:val="-9"/>
          <w:sz w:val="20"/>
        </w:rPr>
        <w:t> </w:t>
      </w:r>
      <w:r>
        <w:rPr>
          <w:sz w:val="20"/>
        </w:rPr>
        <w:t>asumida</w:t>
      </w:r>
      <w:r>
        <w:rPr>
          <w:spacing w:val="-7"/>
          <w:sz w:val="20"/>
        </w:rPr>
        <w:t> </w:t>
      </w:r>
      <w:r>
        <w:rPr>
          <w:sz w:val="20"/>
        </w:rPr>
        <w:t>por</w:t>
      </w:r>
      <w:r>
        <w:rPr>
          <w:spacing w:val="-9"/>
          <w:sz w:val="20"/>
        </w:rPr>
        <w:t> </w:t>
      </w:r>
      <w:r>
        <w:rPr>
          <w:sz w:val="20"/>
        </w:rPr>
        <w:t>la</w:t>
      </w:r>
      <w:r>
        <w:rPr>
          <w:spacing w:val="-7"/>
          <w:sz w:val="20"/>
        </w:rPr>
        <w:t> </w:t>
      </w:r>
      <w:r>
        <w:rPr>
          <w:sz w:val="20"/>
        </w:rPr>
        <w:t>mayoría de los jueces del Tribunal desde el caso </w:t>
      </w:r>
      <w:r>
        <w:rPr>
          <w:i/>
          <w:sz w:val="20"/>
        </w:rPr>
        <w:t>Lagos del Campo Vs. Perú. </w:t>
      </w:r>
      <w:r>
        <w:rPr>
          <w:sz w:val="20"/>
        </w:rPr>
        <w:t>Por otro lado encuentro pertinente reflexionar en torno a las medidas de reparación, su grado de especificidad y pormenorización, así como los retos y complejidades a la hora a la hora de supervisar el cumplimento de medidas otorgadas bajo la novedosa lógica de la autonomía del artículo</w:t>
      </w:r>
      <w:r>
        <w:rPr>
          <w:spacing w:val="-20"/>
          <w:sz w:val="20"/>
        </w:rPr>
        <w:t> </w:t>
      </w:r>
      <w:r>
        <w:rPr>
          <w:sz w:val="20"/>
        </w:rPr>
        <w:t>26.</w:t>
      </w:r>
    </w:p>
    <w:p>
      <w:pPr>
        <w:pStyle w:val="BodyText"/>
      </w:pPr>
    </w:p>
    <w:p>
      <w:pPr>
        <w:pStyle w:val="ListParagraph"/>
        <w:numPr>
          <w:ilvl w:val="0"/>
          <w:numId w:val="73"/>
        </w:numPr>
        <w:tabs>
          <w:tab w:pos="823" w:val="left" w:leader="none"/>
        </w:tabs>
        <w:spacing w:line="240" w:lineRule="auto" w:before="0" w:after="0"/>
        <w:ind w:left="114" w:right="107" w:firstLine="0"/>
        <w:jc w:val="both"/>
        <w:rPr>
          <w:sz w:val="20"/>
        </w:rPr>
      </w:pPr>
      <w:r>
        <w:rPr>
          <w:sz w:val="20"/>
        </w:rPr>
        <w:t>En particular, explicaré mi discrepancia respecto de los puntos resolutivos 3</w:t>
      </w:r>
      <w:r>
        <w:rPr>
          <w:position w:val="7"/>
          <w:sz w:val="13"/>
        </w:rPr>
        <w:t>1</w:t>
      </w:r>
      <w:r>
        <w:rPr>
          <w:sz w:val="20"/>
        </w:rPr>
        <w:t>, 15</w:t>
      </w:r>
      <w:r>
        <w:rPr>
          <w:position w:val="7"/>
          <w:sz w:val="13"/>
        </w:rPr>
        <w:t>2 </w:t>
      </w:r>
      <w:r>
        <w:rPr>
          <w:sz w:val="20"/>
        </w:rPr>
        <w:t>y 17</w:t>
      </w:r>
      <w:r>
        <w:rPr>
          <w:position w:val="7"/>
          <w:sz w:val="13"/>
        </w:rPr>
        <w:t>3</w:t>
      </w:r>
      <w:r>
        <w:rPr>
          <w:sz w:val="20"/>
        </w:rPr>
        <w:t>. Mi análisis se realizará en el siguiente orden: A) algunas consideraciones generales en torno a la justiciabilidad del artículo 26 de la Convención Americana y los DESCA; B) la necesidad de ponderación y equilibrio entre los derechos de los pueblos indígenas y tribales y los derechos de terceros; C) los problemas en la sustracción del contenido y alcance del derecho a la propiedad comunal contenido en el artículo 21 de la Convención Americana para proteger los derechos de</w:t>
      </w:r>
      <w:r>
        <w:rPr>
          <w:spacing w:val="-44"/>
          <w:sz w:val="20"/>
        </w:rPr>
        <w:t> </w:t>
      </w:r>
      <w:r>
        <w:rPr>
          <w:sz w:val="20"/>
        </w:rPr>
        <w:t>los pueblos</w:t>
      </w:r>
      <w:r>
        <w:rPr>
          <w:spacing w:val="-7"/>
          <w:sz w:val="20"/>
        </w:rPr>
        <w:t> </w:t>
      </w:r>
      <w:r>
        <w:rPr>
          <w:sz w:val="20"/>
        </w:rPr>
        <w:t>indígenas</w:t>
      </w:r>
      <w:r>
        <w:rPr>
          <w:spacing w:val="-9"/>
          <w:sz w:val="20"/>
        </w:rPr>
        <w:t> </w:t>
      </w:r>
      <w:r>
        <w:rPr>
          <w:sz w:val="20"/>
        </w:rPr>
        <w:t>y</w:t>
      </w:r>
      <w:r>
        <w:rPr>
          <w:spacing w:val="-7"/>
          <w:sz w:val="20"/>
        </w:rPr>
        <w:t> </w:t>
      </w:r>
      <w:r>
        <w:rPr>
          <w:sz w:val="20"/>
        </w:rPr>
        <w:t>tribales;</w:t>
      </w:r>
      <w:r>
        <w:rPr>
          <w:spacing w:val="-8"/>
          <w:sz w:val="20"/>
        </w:rPr>
        <w:t> </w:t>
      </w:r>
      <w:r>
        <w:rPr>
          <w:sz w:val="20"/>
        </w:rPr>
        <w:t>D)</w:t>
      </w:r>
      <w:r>
        <w:rPr>
          <w:spacing w:val="-7"/>
          <w:sz w:val="20"/>
        </w:rPr>
        <w:t> </w:t>
      </w:r>
      <w:r>
        <w:rPr>
          <w:sz w:val="20"/>
        </w:rPr>
        <w:t>la</w:t>
      </w:r>
      <w:r>
        <w:rPr>
          <w:spacing w:val="-8"/>
          <w:sz w:val="20"/>
        </w:rPr>
        <w:t> </w:t>
      </w:r>
      <w:r>
        <w:rPr>
          <w:sz w:val="20"/>
        </w:rPr>
        <w:t>eficacia</w:t>
      </w:r>
      <w:r>
        <w:rPr>
          <w:spacing w:val="-9"/>
          <w:sz w:val="20"/>
        </w:rPr>
        <w:t> </w:t>
      </w:r>
      <w:r>
        <w:rPr>
          <w:sz w:val="20"/>
        </w:rPr>
        <w:t>jurídica</w:t>
      </w:r>
      <w:r>
        <w:rPr>
          <w:spacing w:val="-6"/>
          <w:sz w:val="20"/>
        </w:rPr>
        <w:t> </w:t>
      </w:r>
      <w:r>
        <w:rPr>
          <w:sz w:val="20"/>
        </w:rPr>
        <w:t>directa</w:t>
      </w:r>
      <w:r>
        <w:rPr>
          <w:spacing w:val="-7"/>
          <w:sz w:val="20"/>
        </w:rPr>
        <w:t> </w:t>
      </w:r>
      <w:r>
        <w:rPr>
          <w:sz w:val="20"/>
        </w:rPr>
        <w:t>de</w:t>
      </w:r>
      <w:r>
        <w:rPr>
          <w:spacing w:val="-6"/>
          <w:sz w:val="20"/>
        </w:rPr>
        <w:t> </w:t>
      </w:r>
      <w:r>
        <w:rPr>
          <w:sz w:val="20"/>
        </w:rPr>
        <w:t>los</w:t>
      </w:r>
      <w:r>
        <w:rPr>
          <w:spacing w:val="-7"/>
          <w:sz w:val="20"/>
        </w:rPr>
        <w:t> </w:t>
      </w:r>
      <w:r>
        <w:rPr>
          <w:sz w:val="20"/>
        </w:rPr>
        <w:t>derechos</w:t>
      </w:r>
      <w:r>
        <w:rPr>
          <w:spacing w:val="-4"/>
          <w:sz w:val="20"/>
        </w:rPr>
        <w:t> </w:t>
      </w:r>
      <w:r>
        <w:rPr>
          <w:sz w:val="20"/>
        </w:rPr>
        <w:t>de</w:t>
      </w:r>
      <w:r>
        <w:rPr>
          <w:spacing w:val="-6"/>
          <w:sz w:val="20"/>
        </w:rPr>
        <w:t> </w:t>
      </w:r>
      <w:r>
        <w:rPr>
          <w:sz w:val="20"/>
        </w:rPr>
        <w:t>los</w:t>
      </w:r>
      <w:r>
        <w:rPr>
          <w:spacing w:val="-7"/>
          <w:sz w:val="20"/>
        </w:rPr>
        <w:t> </w:t>
      </w:r>
      <w:r>
        <w:rPr>
          <w:sz w:val="20"/>
        </w:rPr>
        <w:t>pueblos</w:t>
      </w:r>
      <w:r>
        <w:rPr>
          <w:spacing w:val="-7"/>
          <w:sz w:val="20"/>
        </w:rPr>
        <w:t> </w:t>
      </w:r>
      <w:r>
        <w:rPr>
          <w:sz w:val="20"/>
        </w:rPr>
        <w:t>indígenas y tribales sin necesidad de legislación que la regule, y E) los inconvenientes en la supervisión de cumplimiento relativos a la periodicidad y pormenorización de la medida de reparación sobre la restitución de las</w:t>
      </w:r>
      <w:r>
        <w:rPr>
          <w:spacing w:val="-5"/>
          <w:sz w:val="20"/>
        </w:rPr>
        <w:t> </w:t>
      </w:r>
      <w:r>
        <w:rPr>
          <w:sz w:val="20"/>
        </w:rPr>
        <w:t>tierras.</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6"/>
        </w:rPr>
      </w:pPr>
      <w:r>
        <w:rPr/>
        <w:pict>
          <v:line style="position:absolute;mso-position-horizontal-relative:page;mso-position-vertical-relative:paragraph;z-index:4552;mso-wrap-distance-left:0;mso-wrap-distance-right:0" from="56.700001pt,18.209862pt" to="200.720001pt,18.209862pt" stroked="true" strokeweight=".599980pt" strokecolor="#000000">
            <v:stroke dashstyle="solid"/>
            <w10:wrap type="topAndBottom"/>
          </v:line>
        </w:pict>
      </w:r>
    </w:p>
    <w:p>
      <w:pPr>
        <w:tabs>
          <w:tab w:pos="681" w:val="left" w:leader="none"/>
        </w:tabs>
        <w:spacing w:before="73"/>
        <w:ind w:left="114" w:right="112" w:firstLine="0"/>
        <w:jc w:val="both"/>
        <w:rPr>
          <w:sz w:val="16"/>
        </w:rPr>
      </w:pPr>
      <w:r>
        <w:rPr>
          <w:position w:val="6"/>
          <w:sz w:val="10"/>
        </w:rPr>
        <w:t>1</w:t>
        <w:tab/>
      </w:r>
      <w:r>
        <w:rPr>
          <w:sz w:val="16"/>
        </w:rPr>
        <w:t>El Estado es responsable por la violación a los derechos a participar en la vida cultural, en lo atinente a</w:t>
      </w:r>
      <w:r>
        <w:rPr>
          <w:spacing w:val="9"/>
          <w:sz w:val="16"/>
        </w:rPr>
        <w:t> </w:t>
      </w:r>
      <w:r>
        <w:rPr>
          <w:sz w:val="16"/>
        </w:rPr>
        <w:t>la</w:t>
      </w:r>
      <w:r>
        <w:rPr>
          <w:spacing w:val="2"/>
          <w:sz w:val="16"/>
        </w:rPr>
        <w:t> </w:t>
      </w:r>
      <w:r>
        <w:rPr>
          <w:sz w:val="16"/>
        </w:rPr>
        <w:t>identidad</w:t>
      </w:r>
      <w:r>
        <w:rPr>
          <w:spacing w:val="-1"/>
          <w:w w:val="99"/>
          <w:sz w:val="16"/>
        </w:rPr>
        <w:t> </w:t>
      </w:r>
      <w:r>
        <w:rPr>
          <w:sz w:val="16"/>
        </w:rPr>
        <w:t>cultural, al medio ambiente sano, a la alimentación adecuada y al agua, establecidos en el artículo 26 de la Convención Americana</w:t>
      </w:r>
      <w:r>
        <w:rPr>
          <w:spacing w:val="-8"/>
          <w:sz w:val="16"/>
        </w:rPr>
        <w:t> </w:t>
      </w:r>
      <w:r>
        <w:rPr>
          <w:sz w:val="16"/>
        </w:rPr>
        <w:t>sobre</w:t>
      </w:r>
      <w:r>
        <w:rPr>
          <w:spacing w:val="-8"/>
          <w:sz w:val="16"/>
        </w:rPr>
        <w:t> </w:t>
      </w:r>
      <w:r>
        <w:rPr>
          <w:sz w:val="16"/>
        </w:rPr>
        <w:t>Derechos</w:t>
      </w:r>
      <w:r>
        <w:rPr>
          <w:spacing w:val="-9"/>
          <w:sz w:val="16"/>
        </w:rPr>
        <w:t> </w:t>
      </w:r>
      <w:r>
        <w:rPr>
          <w:sz w:val="16"/>
        </w:rPr>
        <w:t>Humanos,</w:t>
      </w:r>
      <w:r>
        <w:rPr>
          <w:spacing w:val="-9"/>
          <w:sz w:val="16"/>
        </w:rPr>
        <w:t> </w:t>
      </w:r>
      <w:r>
        <w:rPr>
          <w:sz w:val="16"/>
        </w:rPr>
        <w:t>en</w:t>
      </w:r>
      <w:r>
        <w:rPr>
          <w:spacing w:val="-9"/>
          <w:sz w:val="16"/>
        </w:rPr>
        <w:t> </w:t>
      </w:r>
      <w:r>
        <w:rPr>
          <w:sz w:val="16"/>
        </w:rPr>
        <w:t>relación</w:t>
      </w:r>
      <w:r>
        <w:rPr>
          <w:spacing w:val="-8"/>
          <w:sz w:val="16"/>
        </w:rPr>
        <w:t> </w:t>
      </w:r>
      <w:r>
        <w:rPr>
          <w:sz w:val="16"/>
        </w:rPr>
        <w:t>con</w:t>
      </w:r>
      <w:r>
        <w:rPr>
          <w:spacing w:val="-9"/>
          <w:sz w:val="16"/>
        </w:rPr>
        <w:t> </w:t>
      </w:r>
      <w:r>
        <w:rPr>
          <w:sz w:val="16"/>
        </w:rPr>
        <w:t>el</w:t>
      </w:r>
      <w:r>
        <w:rPr>
          <w:spacing w:val="-9"/>
          <w:sz w:val="16"/>
        </w:rPr>
        <w:t> </w:t>
      </w:r>
      <w:r>
        <w:rPr>
          <w:sz w:val="16"/>
        </w:rPr>
        <w:t>artículo</w:t>
      </w:r>
      <w:r>
        <w:rPr>
          <w:spacing w:val="-8"/>
          <w:sz w:val="16"/>
        </w:rPr>
        <w:t> </w:t>
      </w:r>
      <w:r>
        <w:rPr>
          <w:sz w:val="16"/>
        </w:rPr>
        <w:t>1.1</w:t>
      </w:r>
      <w:r>
        <w:rPr>
          <w:spacing w:val="-8"/>
          <w:sz w:val="16"/>
        </w:rPr>
        <w:t> </w:t>
      </w:r>
      <w:r>
        <w:rPr>
          <w:sz w:val="16"/>
        </w:rPr>
        <w:t>del</w:t>
      </w:r>
      <w:r>
        <w:rPr>
          <w:spacing w:val="-9"/>
          <w:sz w:val="16"/>
        </w:rPr>
        <w:t> </w:t>
      </w:r>
      <w:r>
        <w:rPr>
          <w:sz w:val="16"/>
        </w:rPr>
        <w:t>mismo</w:t>
      </w:r>
      <w:r>
        <w:rPr>
          <w:spacing w:val="-8"/>
          <w:sz w:val="16"/>
        </w:rPr>
        <w:t> </w:t>
      </w:r>
      <w:r>
        <w:rPr>
          <w:sz w:val="16"/>
        </w:rPr>
        <w:t>tratado,</w:t>
      </w:r>
      <w:r>
        <w:rPr>
          <w:spacing w:val="-9"/>
          <w:sz w:val="16"/>
        </w:rPr>
        <w:t> </w:t>
      </w:r>
      <w:r>
        <w:rPr>
          <w:sz w:val="16"/>
        </w:rPr>
        <w:t>en</w:t>
      </w:r>
      <w:r>
        <w:rPr>
          <w:spacing w:val="-9"/>
          <w:sz w:val="16"/>
        </w:rPr>
        <w:t> </w:t>
      </w:r>
      <w:r>
        <w:rPr>
          <w:sz w:val="16"/>
        </w:rPr>
        <w:t>perjuicio</w:t>
      </w:r>
      <w:r>
        <w:rPr>
          <w:spacing w:val="-8"/>
          <w:sz w:val="16"/>
        </w:rPr>
        <w:t> </w:t>
      </w:r>
      <w:r>
        <w:rPr>
          <w:sz w:val="16"/>
        </w:rPr>
        <w:t>de</w:t>
      </w:r>
      <w:r>
        <w:rPr>
          <w:spacing w:val="-8"/>
          <w:sz w:val="16"/>
        </w:rPr>
        <w:t> </w:t>
      </w:r>
      <w:r>
        <w:rPr>
          <w:sz w:val="16"/>
        </w:rPr>
        <w:t>las</w:t>
      </w:r>
      <w:r>
        <w:rPr>
          <w:spacing w:val="-9"/>
          <w:sz w:val="16"/>
        </w:rPr>
        <w:t> </w:t>
      </w:r>
      <w:r>
        <w:rPr>
          <w:sz w:val="16"/>
        </w:rPr>
        <w:t>132</w:t>
      </w:r>
      <w:r>
        <w:rPr>
          <w:spacing w:val="-8"/>
          <w:sz w:val="16"/>
        </w:rPr>
        <w:t> </w:t>
      </w:r>
      <w:r>
        <w:rPr>
          <w:sz w:val="16"/>
        </w:rPr>
        <w:t>comunidades indígenas señaladas en el Anexo V a la presente Sentencia, en los términos de sus párrafos 195 a</w:t>
      </w:r>
      <w:r>
        <w:rPr>
          <w:spacing w:val="-33"/>
          <w:sz w:val="16"/>
        </w:rPr>
        <w:t> </w:t>
      </w:r>
      <w:r>
        <w:rPr>
          <w:sz w:val="16"/>
        </w:rPr>
        <w:t>289</w:t>
      </w:r>
    </w:p>
    <w:p>
      <w:pPr>
        <w:tabs>
          <w:tab w:pos="681" w:val="left" w:leader="none"/>
        </w:tabs>
        <w:spacing w:before="0"/>
        <w:ind w:left="114" w:right="114" w:firstLine="0"/>
        <w:jc w:val="both"/>
        <w:rPr>
          <w:sz w:val="16"/>
        </w:rPr>
      </w:pPr>
      <w:r>
        <w:rPr>
          <w:position w:val="6"/>
          <w:sz w:val="10"/>
        </w:rPr>
        <w:t>2</w:t>
        <w:tab/>
      </w:r>
      <w:r>
        <w:rPr>
          <w:sz w:val="16"/>
        </w:rPr>
        <w:t>El Estado, en un plazo razonable, adoptará las medidas legislativas y/o de otro carácter que fueren</w:t>
      </w:r>
      <w:r>
        <w:rPr>
          <w:spacing w:val="12"/>
          <w:sz w:val="16"/>
        </w:rPr>
        <w:t> </w:t>
      </w:r>
      <w:r>
        <w:rPr>
          <w:sz w:val="16"/>
        </w:rPr>
        <w:t>necesarias para</w:t>
      </w:r>
      <w:r>
        <w:rPr>
          <w:w w:val="99"/>
          <w:sz w:val="16"/>
        </w:rPr>
        <w:t> </w:t>
      </w:r>
      <w:r>
        <w:rPr>
          <w:sz w:val="16"/>
        </w:rPr>
        <w:t>dotar de seguridad jurídica al derecho de propiedad comunitaria indígena, en los términos señalados en los párrafos 354 a 357 de la presente</w:t>
      </w:r>
      <w:r>
        <w:rPr>
          <w:spacing w:val="-10"/>
          <w:sz w:val="16"/>
        </w:rPr>
        <w:t> </w:t>
      </w:r>
      <w:r>
        <w:rPr>
          <w:sz w:val="16"/>
        </w:rPr>
        <w:t>Sentencia.</w:t>
      </w:r>
    </w:p>
    <w:p>
      <w:pPr>
        <w:tabs>
          <w:tab w:pos="681" w:val="left" w:leader="none"/>
        </w:tabs>
        <w:spacing w:before="0"/>
        <w:ind w:left="114" w:right="0" w:firstLine="0"/>
        <w:jc w:val="both"/>
        <w:rPr>
          <w:sz w:val="16"/>
        </w:rPr>
      </w:pPr>
      <w:r>
        <w:rPr>
          <w:position w:val="6"/>
          <w:sz w:val="10"/>
        </w:rPr>
        <w:t>3</w:t>
        <w:tab/>
      </w:r>
      <w:r>
        <w:rPr>
          <w:sz w:val="16"/>
        </w:rPr>
        <w:t>El</w:t>
      </w:r>
      <w:r>
        <w:rPr>
          <w:spacing w:val="-3"/>
          <w:sz w:val="16"/>
        </w:rPr>
        <w:t> </w:t>
      </w:r>
      <w:r>
        <w:rPr>
          <w:sz w:val="16"/>
        </w:rPr>
        <w:t>Estado</w:t>
      </w:r>
      <w:r>
        <w:rPr>
          <w:spacing w:val="-2"/>
          <w:sz w:val="16"/>
        </w:rPr>
        <w:t> </w:t>
      </w:r>
      <w:r>
        <w:rPr>
          <w:sz w:val="16"/>
        </w:rPr>
        <w:t>rendirá</w:t>
      </w:r>
      <w:r>
        <w:rPr>
          <w:spacing w:val="-2"/>
          <w:sz w:val="16"/>
        </w:rPr>
        <w:t> </w:t>
      </w:r>
      <w:r>
        <w:rPr>
          <w:sz w:val="16"/>
        </w:rPr>
        <w:t>al</w:t>
      </w:r>
      <w:r>
        <w:rPr>
          <w:spacing w:val="-3"/>
          <w:sz w:val="16"/>
        </w:rPr>
        <w:t> </w:t>
      </w:r>
      <w:r>
        <w:rPr>
          <w:sz w:val="16"/>
        </w:rPr>
        <w:t>Tribunal</w:t>
      </w:r>
      <w:r>
        <w:rPr>
          <w:spacing w:val="-3"/>
          <w:sz w:val="16"/>
        </w:rPr>
        <w:t> </w:t>
      </w:r>
      <w:r>
        <w:rPr>
          <w:sz w:val="16"/>
        </w:rPr>
        <w:t>los</w:t>
      </w:r>
      <w:r>
        <w:rPr>
          <w:spacing w:val="-3"/>
          <w:sz w:val="16"/>
        </w:rPr>
        <w:t> </w:t>
      </w:r>
      <w:r>
        <w:rPr>
          <w:sz w:val="16"/>
        </w:rPr>
        <w:t>informes</w:t>
      </w:r>
      <w:r>
        <w:rPr>
          <w:spacing w:val="-2"/>
          <w:sz w:val="16"/>
        </w:rPr>
        <w:t> </w:t>
      </w:r>
      <w:r>
        <w:rPr>
          <w:sz w:val="16"/>
        </w:rPr>
        <w:t>semestrales</w:t>
      </w:r>
      <w:r>
        <w:rPr>
          <w:spacing w:val="-3"/>
          <w:sz w:val="16"/>
        </w:rPr>
        <w:t> </w:t>
      </w:r>
      <w:r>
        <w:rPr>
          <w:sz w:val="16"/>
        </w:rPr>
        <w:t>ordenados</w:t>
      </w:r>
      <w:r>
        <w:rPr>
          <w:spacing w:val="-3"/>
          <w:sz w:val="16"/>
        </w:rPr>
        <w:t> </w:t>
      </w:r>
      <w:r>
        <w:rPr>
          <w:sz w:val="16"/>
        </w:rPr>
        <w:t>en</w:t>
      </w:r>
      <w:r>
        <w:rPr>
          <w:spacing w:val="-3"/>
          <w:sz w:val="16"/>
        </w:rPr>
        <w:t> </w:t>
      </w:r>
      <w:r>
        <w:rPr>
          <w:sz w:val="16"/>
        </w:rPr>
        <w:t>el</w:t>
      </w:r>
      <w:r>
        <w:rPr>
          <w:spacing w:val="-3"/>
          <w:sz w:val="16"/>
        </w:rPr>
        <w:t> </w:t>
      </w:r>
      <w:r>
        <w:rPr>
          <w:sz w:val="16"/>
        </w:rPr>
        <w:t>párrafo</w:t>
      </w:r>
      <w:r>
        <w:rPr>
          <w:spacing w:val="-2"/>
          <w:sz w:val="16"/>
        </w:rPr>
        <w:t> </w:t>
      </w:r>
      <w:r>
        <w:rPr>
          <w:sz w:val="16"/>
        </w:rPr>
        <w:t>344</w:t>
      </w:r>
      <w:r>
        <w:rPr>
          <w:spacing w:val="-2"/>
          <w:sz w:val="16"/>
        </w:rPr>
        <w:t> </w:t>
      </w:r>
      <w:r>
        <w:rPr>
          <w:sz w:val="16"/>
        </w:rPr>
        <w:t>de</w:t>
      </w:r>
      <w:r>
        <w:rPr>
          <w:spacing w:val="-2"/>
          <w:sz w:val="16"/>
        </w:rPr>
        <w:t> </w:t>
      </w:r>
      <w:r>
        <w:rPr>
          <w:sz w:val="16"/>
        </w:rPr>
        <w:t>la</w:t>
      </w:r>
      <w:r>
        <w:rPr>
          <w:spacing w:val="-2"/>
          <w:sz w:val="16"/>
        </w:rPr>
        <w:t> </w:t>
      </w:r>
      <w:r>
        <w:rPr>
          <w:sz w:val="16"/>
        </w:rPr>
        <w:t>presente</w:t>
      </w:r>
      <w:r>
        <w:rPr>
          <w:spacing w:val="-2"/>
          <w:sz w:val="16"/>
        </w:rPr>
        <w:t> </w:t>
      </w:r>
      <w:r>
        <w:rPr>
          <w:sz w:val="16"/>
        </w:rPr>
        <w:t>Sentencia.</w:t>
      </w:r>
    </w:p>
    <w:p>
      <w:pPr>
        <w:spacing w:after="0"/>
        <w:jc w:val="both"/>
        <w:rPr>
          <w:sz w:val="16"/>
        </w:rPr>
        <w:sectPr>
          <w:footerReference w:type="default" r:id="rId44"/>
          <w:pgSz w:w="12250" w:h="15850"/>
          <w:pgMar w:footer="0" w:header="0" w:top="1500" w:bottom="280" w:left="1020" w:right="1060"/>
        </w:sectPr>
      </w:pPr>
    </w:p>
    <w:p>
      <w:pPr>
        <w:pStyle w:val="Heading3"/>
        <w:numPr>
          <w:ilvl w:val="1"/>
          <w:numId w:val="73"/>
        </w:numPr>
        <w:tabs>
          <w:tab w:pos="1534" w:val="left" w:leader="none"/>
        </w:tabs>
        <w:spacing w:line="240" w:lineRule="auto" w:before="198" w:after="0"/>
        <w:ind w:left="1194" w:right="109" w:firstLine="0"/>
        <w:jc w:val="left"/>
      </w:pPr>
      <w:r>
        <w:rPr/>
        <w:t>Consideraciones generales en torno a la justiciabilidad del artículo 26 de la Convención Americana y los</w:t>
      </w:r>
      <w:r>
        <w:rPr>
          <w:spacing w:val="-10"/>
        </w:rPr>
        <w:t> </w:t>
      </w:r>
      <w:r>
        <w:rPr/>
        <w:t>DESCA</w:t>
      </w:r>
    </w:p>
    <w:p>
      <w:pPr>
        <w:pStyle w:val="BodyText"/>
        <w:rPr>
          <w:b/>
          <w:sz w:val="24"/>
        </w:rPr>
      </w:pPr>
    </w:p>
    <w:p>
      <w:pPr>
        <w:pStyle w:val="ListParagraph"/>
        <w:numPr>
          <w:ilvl w:val="0"/>
          <w:numId w:val="73"/>
        </w:numPr>
        <w:tabs>
          <w:tab w:pos="823" w:val="left" w:leader="none"/>
        </w:tabs>
        <w:spacing w:line="237" w:lineRule="auto" w:before="195" w:after="0"/>
        <w:ind w:left="114" w:right="108" w:firstLine="0"/>
        <w:jc w:val="both"/>
        <w:rPr>
          <w:sz w:val="20"/>
        </w:rPr>
      </w:pPr>
      <w:r>
        <w:rPr>
          <w:sz w:val="20"/>
        </w:rPr>
        <w:t>En</w:t>
      </w:r>
      <w:r>
        <w:rPr>
          <w:spacing w:val="-18"/>
          <w:sz w:val="20"/>
        </w:rPr>
        <w:t> </w:t>
      </w:r>
      <w:r>
        <w:rPr>
          <w:sz w:val="20"/>
        </w:rPr>
        <w:t>el</w:t>
      </w:r>
      <w:r>
        <w:rPr>
          <w:spacing w:val="-19"/>
          <w:sz w:val="20"/>
        </w:rPr>
        <w:t> </w:t>
      </w:r>
      <w:r>
        <w:rPr>
          <w:sz w:val="20"/>
        </w:rPr>
        <w:t>presente</w:t>
      </w:r>
      <w:r>
        <w:rPr>
          <w:spacing w:val="-18"/>
          <w:sz w:val="20"/>
        </w:rPr>
        <w:t> </w:t>
      </w:r>
      <w:r>
        <w:rPr>
          <w:sz w:val="20"/>
        </w:rPr>
        <w:t>voto,</w:t>
      </w:r>
      <w:r>
        <w:rPr>
          <w:spacing w:val="-20"/>
          <w:sz w:val="20"/>
        </w:rPr>
        <w:t> </w:t>
      </w:r>
      <w:r>
        <w:rPr>
          <w:sz w:val="20"/>
        </w:rPr>
        <w:t>no</w:t>
      </w:r>
      <w:r>
        <w:rPr>
          <w:spacing w:val="-19"/>
          <w:sz w:val="20"/>
        </w:rPr>
        <w:t> </w:t>
      </w:r>
      <w:r>
        <w:rPr>
          <w:sz w:val="20"/>
        </w:rPr>
        <w:t>pienso</w:t>
      </w:r>
      <w:r>
        <w:rPr>
          <w:spacing w:val="-19"/>
          <w:sz w:val="20"/>
        </w:rPr>
        <w:t> </w:t>
      </w:r>
      <w:r>
        <w:rPr>
          <w:sz w:val="20"/>
        </w:rPr>
        <w:t>extenderme</w:t>
      </w:r>
      <w:r>
        <w:rPr>
          <w:spacing w:val="-18"/>
          <w:sz w:val="20"/>
        </w:rPr>
        <w:t> </w:t>
      </w:r>
      <w:r>
        <w:rPr>
          <w:sz w:val="20"/>
        </w:rPr>
        <w:t>en</w:t>
      </w:r>
      <w:r>
        <w:rPr>
          <w:spacing w:val="-18"/>
          <w:sz w:val="20"/>
        </w:rPr>
        <w:t> </w:t>
      </w:r>
      <w:r>
        <w:rPr>
          <w:sz w:val="20"/>
        </w:rPr>
        <w:t>mi</w:t>
      </w:r>
      <w:r>
        <w:rPr>
          <w:spacing w:val="-18"/>
          <w:sz w:val="20"/>
        </w:rPr>
        <w:t> </w:t>
      </w:r>
      <w:r>
        <w:rPr>
          <w:sz w:val="20"/>
        </w:rPr>
        <w:t>posición</w:t>
      </w:r>
      <w:r>
        <w:rPr>
          <w:spacing w:val="-19"/>
          <w:sz w:val="20"/>
        </w:rPr>
        <w:t> </w:t>
      </w:r>
      <w:r>
        <w:rPr>
          <w:sz w:val="20"/>
        </w:rPr>
        <w:t>sobre</w:t>
      </w:r>
      <w:r>
        <w:rPr>
          <w:spacing w:val="-15"/>
          <w:sz w:val="20"/>
        </w:rPr>
        <w:t> </w:t>
      </w:r>
      <w:r>
        <w:rPr>
          <w:sz w:val="20"/>
        </w:rPr>
        <w:t>la</w:t>
      </w:r>
      <w:r>
        <w:rPr>
          <w:spacing w:val="-18"/>
          <w:sz w:val="20"/>
        </w:rPr>
        <w:t> </w:t>
      </w:r>
      <w:r>
        <w:rPr>
          <w:sz w:val="20"/>
        </w:rPr>
        <w:t>compleja</w:t>
      </w:r>
      <w:r>
        <w:rPr>
          <w:spacing w:val="-18"/>
          <w:sz w:val="20"/>
        </w:rPr>
        <w:t> </w:t>
      </w:r>
      <w:r>
        <w:rPr>
          <w:sz w:val="20"/>
        </w:rPr>
        <w:t>dinámica</w:t>
      </w:r>
      <w:r>
        <w:rPr>
          <w:spacing w:val="-19"/>
          <w:sz w:val="20"/>
        </w:rPr>
        <w:t> </w:t>
      </w:r>
      <w:r>
        <w:rPr>
          <w:sz w:val="20"/>
        </w:rPr>
        <w:t>judicial relativa al artículo 26, que inauguró el </w:t>
      </w:r>
      <w:r>
        <w:rPr>
          <w:i/>
          <w:sz w:val="20"/>
        </w:rPr>
        <w:t>caso Lagos del Campo Vs. Perú </w:t>
      </w:r>
      <w:r>
        <w:rPr>
          <w:sz w:val="20"/>
        </w:rPr>
        <w:t>y sobre la cual he tenido oportunidad de pronunciarme en votos parcialmente disidentes a los casos </w:t>
      </w:r>
      <w:r>
        <w:rPr>
          <w:i/>
          <w:sz w:val="20"/>
        </w:rPr>
        <w:t>Lagos del Campo Vs. </w:t>
      </w:r>
      <w:r>
        <w:rPr>
          <w:i/>
          <w:sz w:val="20"/>
        </w:rPr>
        <w:t>Perú</w:t>
      </w:r>
      <w:r>
        <w:rPr>
          <w:rFonts w:ascii="Times New Roman" w:hAnsi="Times New Roman"/>
          <w:position w:val="9"/>
          <w:sz w:val="16"/>
        </w:rPr>
        <w:t>4</w:t>
      </w:r>
      <w:r>
        <w:rPr>
          <w:sz w:val="20"/>
        </w:rPr>
        <w:t>, </w:t>
      </w:r>
      <w:r>
        <w:rPr>
          <w:i/>
          <w:sz w:val="20"/>
        </w:rPr>
        <w:t>Trabajadores Cesados de Petroperú y otros Vs. Perú</w:t>
      </w:r>
      <w:r>
        <w:rPr>
          <w:rFonts w:ascii="Times New Roman" w:hAnsi="Times New Roman"/>
          <w:position w:val="9"/>
          <w:sz w:val="16"/>
        </w:rPr>
        <w:t>5</w:t>
      </w:r>
      <w:r>
        <w:rPr>
          <w:sz w:val="20"/>
        </w:rPr>
        <w:t>, </w:t>
      </w:r>
      <w:r>
        <w:rPr>
          <w:i/>
          <w:sz w:val="20"/>
        </w:rPr>
        <w:t>San Miguel Sosa y otras Vs. </w:t>
      </w:r>
      <w:r>
        <w:rPr>
          <w:i/>
          <w:sz w:val="20"/>
        </w:rPr>
        <w:t>Venezuela</w:t>
      </w:r>
      <w:r>
        <w:rPr>
          <w:rFonts w:ascii="Times New Roman" w:hAnsi="Times New Roman"/>
          <w:position w:val="9"/>
          <w:sz w:val="16"/>
        </w:rPr>
        <w:t>6</w:t>
      </w:r>
      <w:r>
        <w:rPr>
          <w:i/>
          <w:sz w:val="20"/>
        </w:rPr>
        <w:t>, Cuscul Pivaral y otros Vs. Guatemala</w:t>
      </w:r>
      <w:r>
        <w:rPr>
          <w:rFonts w:ascii="Times New Roman" w:hAnsi="Times New Roman"/>
          <w:i/>
          <w:position w:val="8"/>
          <w:sz w:val="16"/>
        </w:rPr>
        <w:t>7</w:t>
      </w:r>
      <w:r>
        <w:rPr>
          <w:i/>
          <w:sz w:val="20"/>
        </w:rPr>
        <w:t>, Muelle Flores Vs. Perú</w:t>
      </w:r>
      <w:r>
        <w:rPr>
          <w:i/>
          <w:position w:val="7"/>
          <w:sz w:val="13"/>
        </w:rPr>
        <w:t>8</w:t>
      </w:r>
      <w:r>
        <w:rPr>
          <w:i/>
          <w:sz w:val="20"/>
        </w:rPr>
        <w:t>, Asociación Nacional de </w:t>
      </w:r>
      <w:r>
        <w:rPr>
          <w:i/>
          <w:sz w:val="20"/>
        </w:rPr>
        <w:t>Cesantes y Jubilados de la Superintendencia Nacional de Administración Tributaria (ANCEJUB- SUNAT) Vs. Perú</w:t>
      </w:r>
      <w:r>
        <w:rPr>
          <w:b/>
          <w:i/>
          <w:position w:val="7"/>
          <w:sz w:val="13"/>
        </w:rPr>
        <w:t>9 </w:t>
      </w:r>
      <w:r>
        <w:rPr>
          <w:sz w:val="20"/>
        </w:rPr>
        <w:t>y </w:t>
      </w:r>
      <w:r>
        <w:rPr>
          <w:i/>
          <w:sz w:val="20"/>
        </w:rPr>
        <w:t>Hernández Vs. Argentina</w:t>
      </w:r>
      <w:r>
        <w:rPr>
          <w:i/>
          <w:position w:val="7"/>
          <w:sz w:val="13"/>
        </w:rPr>
        <w:t>10</w:t>
      </w:r>
      <w:r>
        <w:rPr>
          <w:sz w:val="20"/>
        </w:rPr>
        <w:t>, así como de mis votos concurrentes a los casos </w:t>
      </w:r>
      <w:r>
        <w:rPr>
          <w:i/>
          <w:sz w:val="20"/>
        </w:rPr>
        <w:t>Gonzales Lluy y otros Vs. Ecuador</w:t>
      </w:r>
      <w:r>
        <w:rPr>
          <w:rFonts w:ascii="Times New Roman" w:hAnsi="Times New Roman"/>
          <w:position w:val="9"/>
          <w:sz w:val="16"/>
        </w:rPr>
        <w:t>11</w:t>
      </w:r>
      <w:r>
        <w:rPr>
          <w:i/>
          <w:sz w:val="20"/>
        </w:rPr>
        <w:t>, Poblete Vilches y otros Vs. Chile</w:t>
      </w:r>
      <w:r>
        <w:rPr>
          <w:rFonts w:ascii="Times New Roman" w:hAnsi="Times New Roman"/>
          <w:position w:val="9"/>
          <w:sz w:val="16"/>
        </w:rPr>
        <w:t>12</w:t>
      </w:r>
      <w:r>
        <w:rPr>
          <w:i/>
          <w:sz w:val="20"/>
        </w:rPr>
        <w:t>, </w:t>
      </w:r>
      <w:r>
        <w:rPr>
          <w:sz w:val="20"/>
        </w:rPr>
        <w:t>y </w:t>
      </w:r>
      <w:r>
        <w:rPr>
          <w:i/>
          <w:sz w:val="20"/>
        </w:rPr>
        <w:t>Rodríguez Revolorio y </w:t>
      </w:r>
      <w:r>
        <w:rPr>
          <w:i/>
          <w:sz w:val="20"/>
        </w:rPr>
        <w:t>otros Vs. Guatemala</w:t>
      </w:r>
      <w:r>
        <w:rPr>
          <w:i/>
          <w:position w:val="7"/>
          <w:sz w:val="13"/>
        </w:rPr>
        <w:t>13</w:t>
      </w:r>
      <w:r>
        <w:rPr>
          <w:i/>
          <w:sz w:val="20"/>
        </w:rPr>
        <w:t>, </w:t>
      </w:r>
      <w:r>
        <w:rPr>
          <w:sz w:val="20"/>
        </w:rPr>
        <w:t>al igual que mi voto concurrente en la </w:t>
      </w:r>
      <w:r>
        <w:rPr>
          <w:i/>
          <w:sz w:val="20"/>
        </w:rPr>
        <w:t>Opinión Consultiva Oc_23/17 sobre </w:t>
      </w:r>
      <w:r>
        <w:rPr>
          <w:i/>
          <w:sz w:val="20"/>
        </w:rPr>
        <w:t>Medio Ambiente y Derechos</w:t>
      </w:r>
      <w:r>
        <w:rPr>
          <w:i/>
          <w:spacing w:val="-10"/>
          <w:sz w:val="20"/>
        </w:rPr>
        <w:t> </w:t>
      </w:r>
      <w:r>
        <w:rPr>
          <w:i/>
          <w:sz w:val="20"/>
        </w:rPr>
        <w:t>Humanos</w:t>
      </w:r>
      <w:r>
        <w:rPr>
          <w:position w:val="7"/>
          <w:sz w:val="13"/>
        </w:rPr>
        <w:t>14</w:t>
      </w:r>
      <w:r>
        <w:rPr>
          <w:sz w:val="20"/>
        </w:rPr>
        <w:t>.</w:t>
      </w:r>
    </w:p>
    <w:p>
      <w:pPr>
        <w:pStyle w:val="BodyText"/>
        <w:spacing w:before="11"/>
        <w:rPr>
          <w:sz w:val="19"/>
        </w:rPr>
      </w:pPr>
    </w:p>
    <w:p>
      <w:pPr>
        <w:pStyle w:val="ListParagraph"/>
        <w:numPr>
          <w:ilvl w:val="0"/>
          <w:numId w:val="73"/>
        </w:numPr>
        <w:tabs>
          <w:tab w:pos="823" w:val="left" w:leader="none"/>
        </w:tabs>
        <w:spacing w:line="240" w:lineRule="auto" w:before="1" w:after="0"/>
        <w:ind w:left="114" w:right="106" w:firstLine="0"/>
        <w:jc w:val="both"/>
        <w:rPr>
          <w:sz w:val="20"/>
        </w:rPr>
      </w:pPr>
      <w:r>
        <w:rPr>
          <w:sz w:val="20"/>
        </w:rPr>
        <w:t>El objetivo de mi mención al artículo 26 en este caso en concreto, es demostrar cómo después de transcurridos tres años desde la primera Sentencia que inauguró la nueva interpretación, lo que vaticine en su momento, se ha convertido en una realidad. Efectivamente, en mi voto concurrente del caso </w:t>
      </w:r>
      <w:r>
        <w:rPr>
          <w:i/>
          <w:sz w:val="20"/>
        </w:rPr>
        <w:t>Lagos del Campo Vs. Perú</w:t>
      </w:r>
      <w:r>
        <w:rPr>
          <w:i/>
          <w:spacing w:val="-13"/>
          <w:sz w:val="20"/>
        </w:rPr>
        <w:t> </w:t>
      </w:r>
      <w:r>
        <w:rPr>
          <w:sz w:val="20"/>
        </w:rPr>
        <w:t>exprese:</w:t>
      </w:r>
    </w:p>
    <w:p>
      <w:pPr>
        <w:pStyle w:val="BodyText"/>
      </w:pPr>
    </w:p>
    <w:p>
      <w:pPr>
        <w:spacing w:before="1"/>
        <w:ind w:left="681" w:right="111" w:firstLine="0"/>
        <w:jc w:val="both"/>
        <w:rPr>
          <w:sz w:val="18"/>
        </w:rPr>
      </w:pPr>
      <w:r>
        <w:rPr>
          <w:sz w:val="18"/>
        </w:rPr>
        <w:t>espero</w:t>
      </w:r>
      <w:r>
        <w:rPr>
          <w:spacing w:val="-6"/>
          <w:sz w:val="18"/>
        </w:rPr>
        <w:t> </w:t>
      </w:r>
      <w:r>
        <w:rPr>
          <w:sz w:val="18"/>
        </w:rPr>
        <w:t>que</w:t>
      </w:r>
      <w:r>
        <w:rPr>
          <w:spacing w:val="-6"/>
          <w:sz w:val="18"/>
        </w:rPr>
        <w:t> </w:t>
      </w:r>
      <w:r>
        <w:rPr>
          <w:sz w:val="18"/>
        </w:rPr>
        <w:t>el</w:t>
      </w:r>
      <w:r>
        <w:rPr>
          <w:spacing w:val="-6"/>
          <w:sz w:val="18"/>
        </w:rPr>
        <w:t> </w:t>
      </w:r>
      <w:r>
        <w:rPr>
          <w:sz w:val="18"/>
        </w:rPr>
        <w:t>presente</w:t>
      </w:r>
      <w:r>
        <w:rPr>
          <w:spacing w:val="-6"/>
          <w:sz w:val="18"/>
        </w:rPr>
        <w:t> </w:t>
      </w:r>
      <w:r>
        <w:rPr>
          <w:sz w:val="18"/>
        </w:rPr>
        <w:t>Voto</w:t>
      </w:r>
      <w:r>
        <w:rPr>
          <w:spacing w:val="-6"/>
          <w:sz w:val="18"/>
        </w:rPr>
        <w:t> </w:t>
      </w:r>
      <w:r>
        <w:rPr>
          <w:sz w:val="18"/>
        </w:rPr>
        <w:t>contribuya</w:t>
      </w:r>
      <w:r>
        <w:rPr>
          <w:spacing w:val="-6"/>
          <w:sz w:val="18"/>
        </w:rPr>
        <w:t> </w:t>
      </w:r>
      <w:r>
        <w:rPr>
          <w:sz w:val="18"/>
        </w:rPr>
        <w:t>como</w:t>
      </w:r>
      <w:r>
        <w:rPr>
          <w:spacing w:val="-6"/>
          <w:sz w:val="18"/>
        </w:rPr>
        <w:t> </w:t>
      </w:r>
      <w:r>
        <w:rPr>
          <w:sz w:val="18"/>
        </w:rPr>
        <w:t>reflexión</w:t>
      </w:r>
      <w:r>
        <w:rPr>
          <w:spacing w:val="-7"/>
          <w:sz w:val="18"/>
        </w:rPr>
        <w:t> </w:t>
      </w:r>
      <w:r>
        <w:rPr>
          <w:sz w:val="18"/>
        </w:rPr>
        <w:t>para</w:t>
      </w:r>
      <w:r>
        <w:rPr>
          <w:spacing w:val="-6"/>
          <w:sz w:val="18"/>
        </w:rPr>
        <w:t> </w:t>
      </w:r>
      <w:r>
        <w:rPr>
          <w:sz w:val="18"/>
        </w:rPr>
        <w:t>entender</w:t>
      </w:r>
      <w:r>
        <w:rPr>
          <w:spacing w:val="-6"/>
          <w:sz w:val="18"/>
        </w:rPr>
        <w:t> </w:t>
      </w:r>
      <w:r>
        <w:rPr>
          <w:sz w:val="18"/>
        </w:rPr>
        <w:t>la</w:t>
      </w:r>
      <w:r>
        <w:rPr>
          <w:spacing w:val="-5"/>
          <w:sz w:val="18"/>
        </w:rPr>
        <w:t> </w:t>
      </w:r>
      <w:r>
        <w:rPr>
          <w:sz w:val="18"/>
        </w:rPr>
        <w:t>dimensión</w:t>
      </w:r>
      <w:r>
        <w:rPr>
          <w:spacing w:val="-4"/>
          <w:sz w:val="18"/>
        </w:rPr>
        <w:t> </w:t>
      </w:r>
      <w:r>
        <w:rPr>
          <w:sz w:val="18"/>
        </w:rPr>
        <w:t>de</w:t>
      </w:r>
      <w:r>
        <w:rPr>
          <w:spacing w:val="-6"/>
          <w:sz w:val="18"/>
        </w:rPr>
        <w:t> </w:t>
      </w:r>
      <w:r>
        <w:rPr>
          <w:sz w:val="18"/>
        </w:rPr>
        <w:t>la</w:t>
      </w:r>
      <w:r>
        <w:rPr>
          <w:spacing w:val="-5"/>
          <w:sz w:val="18"/>
        </w:rPr>
        <w:t> </w:t>
      </w:r>
      <w:r>
        <w:rPr>
          <w:sz w:val="18"/>
        </w:rPr>
        <w:t>decisión</w:t>
      </w:r>
      <w:r>
        <w:rPr>
          <w:spacing w:val="-6"/>
          <w:sz w:val="18"/>
        </w:rPr>
        <w:t> </w:t>
      </w:r>
      <w:r>
        <w:rPr>
          <w:sz w:val="18"/>
        </w:rPr>
        <w:t>que</w:t>
      </w:r>
      <w:r>
        <w:rPr>
          <w:spacing w:val="-6"/>
          <w:sz w:val="18"/>
        </w:rPr>
        <w:t> </w:t>
      </w:r>
      <w:r>
        <w:rPr>
          <w:sz w:val="18"/>
        </w:rPr>
        <w:t>la mayoría de la Corte IDH adoptó en este caso, y se visibilicen las principales problemáticas que se generan a partir de la misma. </w:t>
      </w:r>
      <w:r>
        <w:rPr>
          <w:b/>
          <w:sz w:val="18"/>
        </w:rPr>
        <w:t>Solo la crítica sincera y el debate abierto y público puede ayudar a mitigar, hasta cierto punto, los riesgos de legitimidad y de inseguridad jurídica que se puedan desprender de esta</w:t>
      </w:r>
      <w:r>
        <w:rPr>
          <w:b/>
          <w:spacing w:val="-20"/>
          <w:sz w:val="18"/>
        </w:rPr>
        <w:t> </w:t>
      </w:r>
      <w:r>
        <w:rPr>
          <w:b/>
          <w:sz w:val="18"/>
        </w:rPr>
        <w:t>Sentencia</w:t>
      </w:r>
      <w:r>
        <w:rPr>
          <w:sz w:val="18"/>
        </w:rPr>
        <w:t>.</w:t>
      </w:r>
    </w:p>
    <w:p>
      <w:pPr>
        <w:pStyle w:val="BodyText"/>
        <w:spacing w:before="11"/>
        <w:rPr>
          <w:sz w:val="19"/>
        </w:rPr>
      </w:pPr>
    </w:p>
    <w:p>
      <w:pPr>
        <w:pStyle w:val="ListParagraph"/>
        <w:numPr>
          <w:ilvl w:val="0"/>
          <w:numId w:val="73"/>
        </w:numPr>
        <w:tabs>
          <w:tab w:pos="823" w:val="left" w:leader="none"/>
        </w:tabs>
        <w:spacing w:line="240" w:lineRule="auto" w:before="0" w:after="0"/>
        <w:ind w:left="114" w:right="109" w:firstLine="0"/>
        <w:jc w:val="both"/>
        <w:rPr>
          <w:sz w:val="20"/>
        </w:rPr>
      </w:pPr>
      <w:r>
        <w:rPr>
          <w:sz w:val="20"/>
        </w:rPr>
        <w:t>La decisión que ha emitido la Corte IDH en el presente caso, demuestra que el temor que en su momento sentí se ha materializado y lo que es peor, pareciera no tener limite. Al respecto, considero necesario reiterar  cuatro  aspectos puntuales, previos  al análisis profundo sobre    </w:t>
      </w:r>
      <w:r>
        <w:rPr>
          <w:spacing w:val="44"/>
          <w:sz w:val="20"/>
        </w:rPr>
        <w:t> </w:t>
      </w:r>
      <w:r>
        <w:rPr>
          <w:sz w:val="20"/>
        </w:rPr>
        <w:t>las</w:t>
      </w:r>
    </w:p>
    <w:p>
      <w:pPr>
        <w:pStyle w:val="BodyText"/>
      </w:pPr>
    </w:p>
    <w:p>
      <w:pPr>
        <w:pStyle w:val="BodyText"/>
        <w:spacing w:before="1"/>
      </w:pPr>
      <w:r>
        <w:rPr/>
        <w:pict>
          <v:line style="position:absolute;mso-position-horizontal-relative:page;mso-position-vertical-relative:paragraph;z-index:4576;mso-wrap-distance-left:0;mso-wrap-distance-right:0" from="56.700001pt,14.459752pt" to="200.720001pt,14.459752pt" stroked="true" strokeweight=".600010pt" strokecolor="#000000">
            <v:stroke dashstyle="solid"/>
            <w10:wrap type="topAndBottom"/>
          </v:line>
        </w:pict>
      </w:r>
    </w:p>
    <w:p>
      <w:pPr>
        <w:tabs>
          <w:tab w:pos="681" w:val="left" w:leader="none"/>
        </w:tabs>
        <w:spacing w:before="73"/>
        <w:ind w:left="114" w:right="112" w:firstLine="0"/>
        <w:jc w:val="both"/>
        <w:rPr>
          <w:sz w:val="16"/>
        </w:rPr>
      </w:pPr>
      <w:r>
        <w:rPr>
          <w:i/>
          <w:position w:val="6"/>
          <w:sz w:val="10"/>
        </w:rPr>
        <w:t>4</w:t>
        <w:tab/>
      </w:r>
      <w:r>
        <w:rPr>
          <w:i/>
          <w:sz w:val="16"/>
        </w:rPr>
        <w:t>Cfr. Caso Lagos del Campo Vs. Perú. Excepciones Preliminares, Fondo, Reparaciones y Costas. </w:t>
      </w:r>
      <w:r>
        <w:rPr>
          <w:sz w:val="16"/>
        </w:rPr>
        <w:t>Sentencia de </w:t>
      </w:r>
      <w:r>
        <w:rPr>
          <w:spacing w:val="38"/>
          <w:sz w:val="16"/>
        </w:rPr>
        <w:t> </w:t>
      </w:r>
      <w:r>
        <w:rPr>
          <w:sz w:val="16"/>
        </w:rPr>
        <w:t>31</w:t>
      </w:r>
      <w:r>
        <w:rPr>
          <w:spacing w:val="6"/>
          <w:sz w:val="16"/>
        </w:rPr>
        <w:t> </w:t>
      </w:r>
      <w:r>
        <w:rPr>
          <w:sz w:val="16"/>
        </w:rPr>
        <w:t>de</w:t>
      </w:r>
      <w:r>
        <w:rPr>
          <w:w w:val="99"/>
          <w:sz w:val="16"/>
        </w:rPr>
        <w:t> </w:t>
      </w:r>
      <w:r>
        <w:rPr>
          <w:sz w:val="16"/>
        </w:rPr>
        <w:t>agosto de 2017. Serie C No. 340. Voto parcialmente disidente del Juez Antonio Humberto Sierra</w:t>
      </w:r>
      <w:r>
        <w:rPr>
          <w:spacing w:val="-31"/>
          <w:sz w:val="16"/>
        </w:rPr>
        <w:t> </w:t>
      </w:r>
      <w:r>
        <w:rPr>
          <w:sz w:val="16"/>
        </w:rPr>
        <w:t>Porto.</w:t>
      </w:r>
    </w:p>
    <w:p>
      <w:pPr>
        <w:tabs>
          <w:tab w:pos="681" w:val="left" w:leader="none"/>
        </w:tabs>
        <w:spacing w:before="0"/>
        <w:ind w:left="114" w:right="114" w:firstLine="0"/>
        <w:jc w:val="both"/>
        <w:rPr>
          <w:sz w:val="16"/>
        </w:rPr>
      </w:pPr>
      <w:r>
        <w:rPr>
          <w:i/>
          <w:position w:val="6"/>
          <w:sz w:val="10"/>
        </w:rPr>
        <w:t>5</w:t>
        <w:tab/>
      </w:r>
      <w:r>
        <w:rPr>
          <w:i/>
          <w:sz w:val="16"/>
        </w:rPr>
        <w:t>Cfr.</w:t>
      </w:r>
      <w:r>
        <w:rPr>
          <w:i/>
          <w:spacing w:val="16"/>
          <w:sz w:val="16"/>
        </w:rPr>
        <w:t> </w:t>
      </w:r>
      <w:r>
        <w:rPr>
          <w:i/>
          <w:sz w:val="16"/>
        </w:rPr>
        <w:t>Caso</w:t>
      </w:r>
      <w:r>
        <w:rPr>
          <w:i/>
          <w:spacing w:val="17"/>
          <w:sz w:val="16"/>
        </w:rPr>
        <w:t> </w:t>
      </w:r>
      <w:r>
        <w:rPr>
          <w:i/>
          <w:sz w:val="16"/>
        </w:rPr>
        <w:t>Trabajadores</w:t>
      </w:r>
      <w:r>
        <w:rPr>
          <w:i/>
          <w:spacing w:val="16"/>
          <w:sz w:val="16"/>
        </w:rPr>
        <w:t> </w:t>
      </w:r>
      <w:r>
        <w:rPr>
          <w:i/>
          <w:sz w:val="16"/>
        </w:rPr>
        <w:t>Cesados</w:t>
      </w:r>
      <w:r>
        <w:rPr>
          <w:i/>
          <w:spacing w:val="17"/>
          <w:sz w:val="16"/>
        </w:rPr>
        <w:t> </w:t>
      </w:r>
      <w:r>
        <w:rPr>
          <w:i/>
          <w:sz w:val="16"/>
        </w:rPr>
        <w:t>de</w:t>
      </w:r>
      <w:r>
        <w:rPr>
          <w:i/>
          <w:spacing w:val="17"/>
          <w:sz w:val="16"/>
        </w:rPr>
        <w:t> </w:t>
      </w:r>
      <w:r>
        <w:rPr>
          <w:i/>
          <w:sz w:val="16"/>
        </w:rPr>
        <w:t>Petroperú</w:t>
      </w:r>
      <w:r>
        <w:rPr>
          <w:i/>
          <w:spacing w:val="16"/>
          <w:sz w:val="16"/>
        </w:rPr>
        <w:t> </w:t>
      </w:r>
      <w:r>
        <w:rPr>
          <w:i/>
          <w:sz w:val="16"/>
        </w:rPr>
        <w:t>y</w:t>
      </w:r>
      <w:r>
        <w:rPr>
          <w:i/>
          <w:spacing w:val="17"/>
          <w:sz w:val="16"/>
        </w:rPr>
        <w:t> </w:t>
      </w:r>
      <w:r>
        <w:rPr>
          <w:i/>
          <w:sz w:val="16"/>
        </w:rPr>
        <w:t>otros</w:t>
      </w:r>
      <w:r>
        <w:rPr>
          <w:i/>
          <w:spacing w:val="17"/>
          <w:sz w:val="16"/>
        </w:rPr>
        <w:t> </w:t>
      </w:r>
      <w:r>
        <w:rPr>
          <w:i/>
          <w:sz w:val="16"/>
        </w:rPr>
        <w:t>Vs.</w:t>
      </w:r>
      <w:r>
        <w:rPr>
          <w:i/>
          <w:spacing w:val="16"/>
          <w:sz w:val="16"/>
        </w:rPr>
        <w:t> </w:t>
      </w:r>
      <w:r>
        <w:rPr>
          <w:i/>
          <w:sz w:val="16"/>
        </w:rPr>
        <w:t>Perú.</w:t>
      </w:r>
      <w:r>
        <w:rPr>
          <w:i/>
          <w:spacing w:val="16"/>
          <w:sz w:val="16"/>
        </w:rPr>
        <w:t> </w:t>
      </w:r>
      <w:r>
        <w:rPr>
          <w:i/>
          <w:sz w:val="16"/>
        </w:rPr>
        <w:t>Excepciones</w:t>
      </w:r>
      <w:r>
        <w:rPr>
          <w:i/>
          <w:spacing w:val="16"/>
          <w:sz w:val="16"/>
        </w:rPr>
        <w:t> </w:t>
      </w:r>
      <w:r>
        <w:rPr>
          <w:i/>
          <w:sz w:val="16"/>
        </w:rPr>
        <w:t>Preliminares,</w:t>
      </w:r>
      <w:r>
        <w:rPr>
          <w:i/>
          <w:spacing w:val="17"/>
          <w:sz w:val="16"/>
        </w:rPr>
        <w:t> </w:t>
      </w:r>
      <w:r>
        <w:rPr>
          <w:i/>
          <w:sz w:val="16"/>
        </w:rPr>
        <w:t>Fondo,</w:t>
      </w:r>
      <w:r>
        <w:rPr>
          <w:i/>
          <w:spacing w:val="16"/>
          <w:sz w:val="16"/>
        </w:rPr>
        <w:t> </w:t>
      </w:r>
      <w:r>
        <w:rPr>
          <w:i/>
          <w:sz w:val="16"/>
        </w:rPr>
        <w:t>Reparaciones</w:t>
      </w:r>
      <w:r>
        <w:rPr>
          <w:i/>
          <w:spacing w:val="17"/>
          <w:sz w:val="16"/>
        </w:rPr>
        <w:t> </w:t>
      </w:r>
      <w:r>
        <w:rPr>
          <w:i/>
          <w:sz w:val="16"/>
        </w:rPr>
        <w:t>y</w:t>
      </w:r>
      <w:r>
        <w:rPr>
          <w:i/>
          <w:w w:val="99"/>
          <w:sz w:val="16"/>
        </w:rPr>
        <w:t> </w:t>
      </w:r>
      <w:r>
        <w:rPr>
          <w:i/>
          <w:sz w:val="16"/>
        </w:rPr>
        <w:t>Costas. </w:t>
      </w:r>
      <w:r>
        <w:rPr>
          <w:sz w:val="16"/>
        </w:rPr>
        <w:t>Sentencia de 23 de noviembre de 2017. Serie C No. 344. Voto parcialmente disidente del Juez Antonio Humberto Sierra</w:t>
      </w:r>
      <w:r>
        <w:rPr>
          <w:spacing w:val="-4"/>
          <w:sz w:val="16"/>
        </w:rPr>
        <w:t> </w:t>
      </w:r>
      <w:r>
        <w:rPr>
          <w:sz w:val="16"/>
        </w:rPr>
        <w:t>Porto.</w:t>
      </w:r>
    </w:p>
    <w:p>
      <w:pPr>
        <w:tabs>
          <w:tab w:pos="681" w:val="left" w:leader="none"/>
        </w:tabs>
        <w:spacing w:before="0"/>
        <w:ind w:left="114" w:right="110" w:firstLine="0"/>
        <w:jc w:val="both"/>
        <w:rPr>
          <w:sz w:val="16"/>
        </w:rPr>
      </w:pPr>
      <w:r>
        <w:rPr>
          <w:i/>
          <w:position w:val="6"/>
          <w:sz w:val="10"/>
        </w:rPr>
        <w:t>6</w:t>
        <w:tab/>
      </w:r>
      <w:r>
        <w:rPr>
          <w:i/>
          <w:sz w:val="16"/>
        </w:rPr>
        <w:t>Cfr.</w:t>
      </w:r>
      <w:r>
        <w:rPr>
          <w:i/>
          <w:spacing w:val="-5"/>
          <w:sz w:val="16"/>
        </w:rPr>
        <w:t> </w:t>
      </w:r>
      <w:r>
        <w:rPr>
          <w:i/>
          <w:sz w:val="16"/>
        </w:rPr>
        <w:t>Caso</w:t>
      </w:r>
      <w:r>
        <w:rPr>
          <w:i/>
          <w:spacing w:val="-4"/>
          <w:sz w:val="16"/>
        </w:rPr>
        <w:t> </w:t>
      </w:r>
      <w:r>
        <w:rPr>
          <w:i/>
          <w:sz w:val="16"/>
        </w:rPr>
        <w:t>San</w:t>
      </w:r>
      <w:r>
        <w:rPr>
          <w:i/>
          <w:spacing w:val="-5"/>
          <w:sz w:val="16"/>
        </w:rPr>
        <w:t> </w:t>
      </w:r>
      <w:r>
        <w:rPr>
          <w:i/>
          <w:sz w:val="16"/>
        </w:rPr>
        <w:t>Miguel</w:t>
      </w:r>
      <w:r>
        <w:rPr>
          <w:i/>
          <w:spacing w:val="-5"/>
          <w:sz w:val="16"/>
        </w:rPr>
        <w:t> </w:t>
      </w:r>
      <w:r>
        <w:rPr>
          <w:i/>
          <w:sz w:val="16"/>
        </w:rPr>
        <w:t>Sosa</w:t>
      </w:r>
      <w:r>
        <w:rPr>
          <w:i/>
          <w:spacing w:val="-5"/>
          <w:sz w:val="16"/>
        </w:rPr>
        <w:t> </w:t>
      </w:r>
      <w:r>
        <w:rPr>
          <w:i/>
          <w:sz w:val="16"/>
        </w:rPr>
        <w:t>y</w:t>
      </w:r>
      <w:r>
        <w:rPr>
          <w:i/>
          <w:spacing w:val="-5"/>
          <w:sz w:val="16"/>
        </w:rPr>
        <w:t> </w:t>
      </w:r>
      <w:r>
        <w:rPr>
          <w:i/>
          <w:sz w:val="16"/>
        </w:rPr>
        <w:t>otras</w:t>
      </w:r>
      <w:r>
        <w:rPr>
          <w:i/>
          <w:spacing w:val="-5"/>
          <w:sz w:val="16"/>
        </w:rPr>
        <w:t> </w:t>
      </w:r>
      <w:r>
        <w:rPr>
          <w:i/>
          <w:sz w:val="16"/>
        </w:rPr>
        <w:t>Vs.</w:t>
      </w:r>
      <w:r>
        <w:rPr>
          <w:i/>
          <w:spacing w:val="-5"/>
          <w:sz w:val="16"/>
        </w:rPr>
        <w:t> </w:t>
      </w:r>
      <w:r>
        <w:rPr>
          <w:i/>
          <w:sz w:val="16"/>
        </w:rPr>
        <w:t>Venezuela.</w:t>
      </w:r>
      <w:r>
        <w:rPr>
          <w:i/>
          <w:spacing w:val="-4"/>
          <w:sz w:val="16"/>
        </w:rPr>
        <w:t> </w:t>
      </w:r>
      <w:r>
        <w:rPr>
          <w:i/>
          <w:sz w:val="16"/>
        </w:rPr>
        <w:t>Fondo,</w:t>
      </w:r>
      <w:r>
        <w:rPr>
          <w:i/>
          <w:spacing w:val="-4"/>
          <w:sz w:val="16"/>
        </w:rPr>
        <w:t> </w:t>
      </w:r>
      <w:r>
        <w:rPr>
          <w:i/>
          <w:sz w:val="16"/>
        </w:rPr>
        <w:t>Reparaciones</w:t>
      </w:r>
      <w:r>
        <w:rPr>
          <w:i/>
          <w:spacing w:val="-5"/>
          <w:sz w:val="16"/>
        </w:rPr>
        <w:t> </w:t>
      </w:r>
      <w:r>
        <w:rPr>
          <w:i/>
          <w:sz w:val="16"/>
        </w:rPr>
        <w:t>y</w:t>
      </w:r>
      <w:r>
        <w:rPr>
          <w:i/>
          <w:spacing w:val="-3"/>
          <w:sz w:val="16"/>
        </w:rPr>
        <w:t> </w:t>
      </w:r>
      <w:r>
        <w:rPr>
          <w:i/>
          <w:sz w:val="16"/>
        </w:rPr>
        <w:t>Costas.</w:t>
      </w:r>
      <w:r>
        <w:rPr>
          <w:i/>
          <w:spacing w:val="-3"/>
          <w:sz w:val="16"/>
        </w:rPr>
        <w:t> </w:t>
      </w:r>
      <w:r>
        <w:rPr>
          <w:sz w:val="16"/>
        </w:rPr>
        <w:t>Sentencia</w:t>
      </w:r>
      <w:r>
        <w:rPr>
          <w:spacing w:val="-4"/>
          <w:sz w:val="16"/>
        </w:rPr>
        <w:t> </w:t>
      </w:r>
      <w:r>
        <w:rPr>
          <w:sz w:val="16"/>
        </w:rPr>
        <w:t>de</w:t>
      </w:r>
      <w:r>
        <w:rPr>
          <w:spacing w:val="-5"/>
          <w:sz w:val="16"/>
        </w:rPr>
        <w:t> </w:t>
      </w:r>
      <w:r>
        <w:rPr>
          <w:sz w:val="16"/>
        </w:rPr>
        <w:t>8</w:t>
      </w:r>
      <w:r>
        <w:rPr>
          <w:spacing w:val="-4"/>
          <w:sz w:val="16"/>
        </w:rPr>
        <w:t> </w:t>
      </w:r>
      <w:r>
        <w:rPr>
          <w:sz w:val="16"/>
        </w:rPr>
        <w:t>de</w:t>
      </w:r>
      <w:r>
        <w:rPr>
          <w:spacing w:val="-5"/>
          <w:sz w:val="16"/>
        </w:rPr>
        <w:t> </w:t>
      </w:r>
      <w:r>
        <w:rPr>
          <w:sz w:val="16"/>
        </w:rPr>
        <w:t>febrero</w:t>
      </w:r>
      <w:r>
        <w:rPr>
          <w:spacing w:val="-4"/>
          <w:sz w:val="16"/>
        </w:rPr>
        <w:t> </w:t>
      </w:r>
      <w:r>
        <w:rPr>
          <w:sz w:val="16"/>
        </w:rPr>
        <w:t>de</w:t>
      </w:r>
      <w:r>
        <w:rPr>
          <w:spacing w:val="-5"/>
          <w:sz w:val="16"/>
        </w:rPr>
        <w:t> </w:t>
      </w:r>
      <w:r>
        <w:rPr>
          <w:sz w:val="16"/>
        </w:rPr>
        <w:t>2018.</w:t>
      </w:r>
      <w:r>
        <w:rPr>
          <w:w w:val="99"/>
          <w:sz w:val="16"/>
        </w:rPr>
        <w:t> </w:t>
      </w:r>
      <w:r>
        <w:rPr>
          <w:sz w:val="16"/>
        </w:rPr>
        <w:t>Serie C No. 348. Voto parcialmente disidente del Juez Humberto Antonio Sierra</w:t>
      </w:r>
      <w:r>
        <w:rPr>
          <w:spacing w:val="-32"/>
          <w:sz w:val="16"/>
        </w:rPr>
        <w:t> </w:t>
      </w:r>
      <w:r>
        <w:rPr>
          <w:sz w:val="16"/>
        </w:rPr>
        <w:t>Porto.</w:t>
      </w:r>
    </w:p>
    <w:p>
      <w:pPr>
        <w:tabs>
          <w:tab w:pos="681" w:val="left" w:leader="none"/>
        </w:tabs>
        <w:spacing w:before="0"/>
        <w:ind w:left="114" w:right="110" w:firstLine="0"/>
        <w:jc w:val="both"/>
        <w:rPr>
          <w:sz w:val="16"/>
        </w:rPr>
      </w:pPr>
      <w:r>
        <w:rPr>
          <w:i/>
          <w:position w:val="6"/>
          <w:sz w:val="10"/>
        </w:rPr>
        <w:t>7</w:t>
        <w:tab/>
      </w:r>
      <w:r>
        <w:rPr>
          <w:i/>
          <w:sz w:val="16"/>
        </w:rPr>
        <w:t>Cfr. Caso Cuscul Pivaral y otros Vs. Guatemala. Excepción Preliminar, Fondo, Reparaciones y Costas. </w:t>
      </w:r>
      <w:r>
        <w:rPr>
          <w:i/>
          <w:spacing w:val="33"/>
          <w:sz w:val="16"/>
        </w:rPr>
        <w:t> </w:t>
      </w:r>
      <w:r>
        <w:rPr>
          <w:sz w:val="16"/>
        </w:rPr>
        <w:t>Sentencia</w:t>
      </w:r>
      <w:r>
        <w:rPr>
          <w:spacing w:val="6"/>
          <w:sz w:val="16"/>
        </w:rPr>
        <w:t> </w:t>
      </w:r>
      <w:r>
        <w:rPr>
          <w:sz w:val="16"/>
        </w:rPr>
        <w:t>de</w:t>
      </w:r>
      <w:r>
        <w:rPr>
          <w:w w:val="99"/>
          <w:sz w:val="16"/>
        </w:rPr>
        <w:t> </w:t>
      </w:r>
      <w:r>
        <w:rPr>
          <w:sz w:val="16"/>
        </w:rPr>
        <w:t>23 de agosto de 2018. Serie C No. 359</w:t>
      </w:r>
      <w:r>
        <w:rPr>
          <w:b/>
          <w:sz w:val="16"/>
        </w:rPr>
        <w:t>. </w:t>
      </w:r>
      <w:r>
        <w:rPr>
          <w:sz w:val="16"/>
        </w:rPr>
        <w:t>Voto parcialmente disidente del Juez Humberto Antonio Sierra</w:t>
      </w:r>
      <w:r>
        <w:rPr>
          <w:spacing w:val="-31"/>
          <w:sz w:val="16"/>
        </w:rPr>
        <w:t> </w:t>
      </w:r>
      <w:r>
        <w:rPr>
          <w:sz w:val="16"/>
        </w:rPr>
        <w:t>Porto.</w:t>
      </w:r>
    </w:p>
    <w:p>
      <w:pPr>
        <w:tabs>
          <w:tab w:pos="681" w:val="left" w:leader="none"/>
        </w:tabs>
        <w:spacing w:before="0"/>
        <w:ind w:left="114" w:right="111" w:firstLine="0"/>
        <w:jc w:val="both"/>
        <w:rPr>
          <w:sz w:val="16"/>
        </w:rPr>
      </w:pPr>
      <w:r>
        <w:rPr>
          <w:position w:val="6"/>
          <w:sz w:val="10"/>
        </w:rPr>
        <w:t>8</w:t>
        <w:tab/>
      </w:r>
      <w:r>
        <w:rPr>
          <w:i/>
          <w:sz w:val="16"/>
        </w:rPr>
        <w:t>Cfr. Caso Muelle Flores Vs. Perú. Excepciones Preliminares, Fondo, Reparaciones y Costas. </w:t>
      </w:r>
      <w:r>
        <w:rPr>
          <w:sz w:val="16"/>
        </w:rPr>
        <w:t>Sentencia de 6</w:t>
      </w:r>
      <w:r>
        <w:rPr>
          <w:spacing w:val="-31"/>
          <w:sz w:val="16"/>
        </w:rPr>
        <w:t> </w:t>
      </w:r>
      <w:r>
        <w:rPr>
          <w:sz w:val="16"/>
        </w:rPr>
        <w:t>de</w:t>
      </w:r>
      <w:r>
        <w:rPr>
          <w:spacing w:val="-1"/>
          <w:sz w:val="16"/>
        </w:rPr>
        <w:t> </w:t>
      </w:r>
      <w:r>
        <w:rPr>
          <w:sz w:val="16"/>
        </w:rPr>
        <w:t>marzo</w:t>
      </w:r>
      <w:r>
        <w:rPr>
          <w:w w:val="99"/>
          <w:sz w:val="16"/>
        </w:rPr>
        <w:t> </w:t>
      </w:r>
      <w:r>
        <w:rPr>
          <w:sz w:val="16"/>
        </w:rPr>
        <w:t>de 2019. Serie C No. 375. Voto parcialmente disidente del Juez Humberto Antonio Sierra</w:t>
      </w:r>
      <w:r>
        <w:rPr>
          <w:spacing w:val="-28"/>
          <w:sz w:val="16"/>
        </w:rPr>
        <w:t> </w:t>
      </w:r>
      <w:r>
        <w:rPr>
          <w:sz w:val="16"/>
        </w:rPr>
        <w:t>Porto.</w:t>
      </w:r>
    </w:p>
    <w:p>
      <w:pPr>
        <w:tabs>
          <w:tab w:pos="681" w:val="left" w:leader="none"/>
        </w:tabs>
        <w:spacing w:before="0"/>
        <w:ind w:left="114" w:right="112" w:firstLine="0"/>
        <w:jc w:val="both"/>
        <w:rPr>
          <w:sz w:val="16"/>
        </w:rPr>
      </w:pPr>
      <w:r>
        <w:rPr>
          <w:position w:val="6"/>
          <w:sz w:val="10"/>
        </w:rPr>
        <w:t>9</w:t>
        <w:tab/>
      </w:r>
      <w:r>
        <w:rPr>
          <w:i/>
          <w:sz w:val="16"/>
        </w:rPr>
        <w:t>Cfr. Caso Asociación Nacional de Cesantes y Jubilados de la Superintendencia Nacional de</w:t>
      </w:r>
      <w:r>
        <w:rPr>
          <w:i/>
          <w:spacing w:val="3"/>
          <w:sz w:val="16"/>
        </w:rPr>
        <w:t> </w:t>
      </w:r>
      <w:r>
        <w:rPr>
          <w:i/>
          <w:sz w:val="16"/>
        </w:rPr>
        <w:t>Administración Tributaria</w:t>
      </w:r>
      <w:r>
        <w:rPr>
          <w:i/>
          <w:w w:val="99"/>
          <w:sz w:val="16"/>
        </w:rPr>
        <w:t> </w:t>
      </w:r>
      <w:r>
        <w:rPr>
          <w:i/>
          <w:sz w:val="16"/>
        </w:rPr>
        <w:t>(ANCEJUB-SUNAT) Vs. Perú. Excepciones Preliminares, Fondo, Reparaciones y Costas. </w:t>
      </w:r>
      <w:r>
        <w:rPr>
          <w:sz w:val="16"/>
        </w:rPr>
        <w:t>Sentencia de 21 de noviembre de 2019. Serie C No. 394</w:t>
      </w:r>
      <w:r>
        <w:rPr>
          <w:b/>
          <w:sz w:val="16"/>
        </w:rPr>
        <w:t>. </w:t>
      </w:r>
      <w:r>
        <w:rPr>
          <w:sz w:val="16"/>
        </w:rPr>
        <w:t>Voto parcialmente disidente del Juez Humberto Antonio Sierra</w:t>
      </w:r>
      <w:r>
        <w:rPr>
          <w:spacing w:val="-29"/>
          <w:sz w:val="16"/>
        </w:rPr>
        <w:t> </w:t>
      </w:r>
      <w:r>
        <w:rPr>
          <w:sz w:val="16"/>
        </w:rPr>
        <w:t>Porto.</w:t>
      </w:r>
    </w:p>
    <w:p>
      <w:pPr>
        <w:tabs>
          <w:tab w:pos="681" w:val="left" w:leader="none"/>
        </w:tabs>
        <w:spacing w:before="0"/>
        <w:ind w:left="114" w:right="117" w:firstLine="0"/>
        <w:jc w:val="both"/>
        <w:rPr>
          <w:sz w:val="16"/>
        </w:rPr>
      </w:pPr>
      <w:r>
        <w:rPr>
          <w:position w:val="6"/>
          <w:sz w:val="10"/>
        </w:rPr>
        <w:t>10</w:t>
        <w:tab/>
      </w:r>
      <w:r>
        <w:rPr>
          <w:sz w:val="16"/>
        </w:rPr>
        <w:t>Cfr. Caso  Hernández  Vs. Argentina. Excepción  Preliminar, Fondo, Reparaciones y  Costas. Sentencia  de    </w:t>
      </w:r>
      <w:r>
        <w:rPr>
          <w:spacing w:val="12"/>
          <w:sz w:val="16"/>
        </w:rPr>
        <w:t> </w:t>
      </w:r>
      <w:r>
        <w:rPr>
          <w:sz w:val="16"/>
        </w:rPr>
        <w:t>22</w:t>
      </w:r>
      <w:r>
        <w:rPr>
          <w:spacing w:val="40"/>
          <w:sz w:val="16"/>
        </w:rPr>
        <w:t> </w:t>
      </w:r>
      <w:r>
        <w:rPr>
          <w:sz w:val="16"/>
        </w:rPr>
        <w:t>de</w:t>
      </w:r>
      <w:r>
        <w:rPr>
          <w:w w:val="99"/>
          <w:sz w:val="16"/>
        </w:rPr>
        <w:t> </w:t>
      </w:r>
      <w:r>
        <w:rPr>
          <w:sz w:val="16"/>
        </w:rPr>
        <w:t>noviembre de 2019. Serie C No. 395. Voto parcialmente disidente del Juez Humberto Antonio Sierra</w:t>
      </w:r>
      <w:r>
        <w:rPr>
          <w:spacing w:val="-29"/>
          <w:sz w:val="16"/>
        </w:rPr>
        <w:t> </w:t>
      </w:r>
      <w:r>
        <w:rPr>
          <w:sz w:val="16"/>
        </w:rPr>
        <w:t>Porto.</w:t>
      </w:r>
    </w:p>
    <w:p>
      <w:pPr>
        <w:tabs>
          <w:tab w:pos="681" w:val="left" w:leader="none"/>
        </w:tabs>
        <w:spacing w:before="0"/>
        <w:ind w:left="114" w:right="110" w:firstLine="0"/>
        <w:jc w:val="both"/>
        <w:rPr>
          <w:sz w:val="16"/>
        </w:rPr>
      </w:pPr>
      <w:r>
        <w:rPr>
          <w:i/>
          <w:position w:val="6"/>
          <w:sz w:val="10"/>
        </w:rPr>
        <w:t>11</w:t>
        <w:tab/>
      </w:r>
      <w:r>
        <w:rPr>
          <w:i/>
          <w:sz w:val="16"/>
        </w:rPr>
        <w:t>Cfr. Caso Gonzales Lluy y otros Vs. Ecuador. Excepciones Preliminares, Fondo, Reparaciones y Costas.</w:t>
      </w:r>
      <w:r>
        <w:rPr>
          <w:i/>
          <w:spacing w:val="-19"/>
          <w:sz w:val="16"/>
        </w:rPr>
        <w:t> </w:t>
      </w:r>
      <w:r>
        <w:rPr>
          <w:sz w:val="16"/>
        </w:rPr>
        <w:t>Sentencia</w:t>
      </w:r>
      <w:r>
        <w:rPr>
          <w:spacing w:val="-2"/>
          <w:sz w:val="16"/>
        </w:rPr>
        <w:t> </w:t>
      </w:r>
      <w:r>
        <w:rPr>
          <w:sz w:val="16"/>
        </w:rPr>
        <w:t>de</w:t>
      </w:r>
      <w:r>
        <w:rPr>
          <w:w w:val="99"/>
          <w:sz w:val="16"/>
        </w:rPr>
        <w:t> </w:t>
      </w:r>
      <w:r>
        <w:rPr>
          <w:sz w:val="16"/>
        </w:rPr>
        <w:t>1 de septiembre de 2015. Serie C No. 298. Voto concurrente del Juez Humberto Antonio Sierra</w:t>
      </w:r>
      <w:r>
        <w:rPr>
          <w:spacing w:val="-29"/>
          <w:sz w:val="16"/>
        </w:rPr>
        <w:t> </w:t>
      </w:r>
      <w:r>
        <w:rPr>
          <w:sz w:val="16"/>
        </w:rPr>
        <w:t>Porto.</w:t>
      </w:r>
    </w:p>
    <w:p>
      <w:pPr>
        <w:tabs>
          <w:tab w:pos="822" w:val="left" w:leader="none"/>
        </w:tabs>
        <w:spacing w:before="0"/>
        <w:ind w:left="114" w:right="112" w:firstLine="0"/>
        <w:jc w:val="both"/>
        <w:rPr>
          <w:i/>
          <w:sz w:val="16"/>
        </w:rPr>
      </w:pPr>
      <w:r>
        <w:rPr>
          <w:i/>
          <w:position w:val="6"/>
          <w:sz w:val="10"/>
        </w:rPr>
        <w:t>12</w:t>
        <w:tab/>
      </w:r>
      <w:r>
        <w:rPr>
          <w:i/>
          <w:sz w:val="16"/>
        </w:rPr>
        <w:t>Cfr.</w:t>
      </w:r>
      <w:r>
        <w:rPr>
          <w:i/>
          <w:spacing w:val="-5"/>
          <w:sz w:val="16"/>
        </w:rPr>
        <w:t> </w:t>
      </w:r>
      <w:r>
        <w:rPr>
          <w:i/>
          <w:sz w:val="16"/>
        </w:rPr>
        <w:t>Caso</w:t>
      </w:r>
      <w:r>
        <w:rPr>
          <w:i/>
          <w:spacing w:val="-4"/>
          <w:sz w:val="16"/>
        </w:rPr>
        <w:t> </w:t>
      </w:r>
      <w:r>
        <w:rPr>
          <w:i/>
          <w:sz w:val="16"/>
        </w:rPr>
        <w:t>Poblete</w:t>
      </w:r>
      <w:r>
        <w:rPr>
          <w:i/>
          <w:spacing w:val="-5"/>
          <w:sz w:val="16"/>
        </w:rPr>
        <w:t> </w:t>
      </w:r>
      <w:r>
        <w:rPr>
          <w:i/>
          <w:sz w:val="16"/>
        </w:rPr>
        <w:t>Vilches</w:t>
      </w:r>
      <w:r>
        <w:rPr>
          <w:i/>
          <w:spacing w:val="-5"/>
          <w:sz w:val="16"/>
        </w:rPr>
        <w:t> </w:t>
      </w:r>
      <w:r>
        <w:rPr>
          <w:i/>
          <w:sz w:val="16"/>
        </w:rPr>
        <w:t>y</w:t>
      </w:r>
      <w:r>
        <w:rPr>
          <w:i/>
          <w:spacing w:val="-4"/>
          <w:sz w:val="16"/>
        </w:rPr>
        <w:t> </w:t>
      </w:r>
      <w:r>
        <w:rPr>
          <w:i/>
          <w:sz w:val="16"/>
        </w:rPr>
        <w:t>otros</w:t>
      </w:r>
      <w:r>
        <w:rPr>
          <w:i/>
          <w:spacing w:val="-5"/>
          <w:sz w:val="16"/>
        </w:rPr>
        <w:t> </w:t>
      </w:r>
      <w:r>
        <w:rPr>
          <w:i/>
          <w:sz w:val="16"/>
        </w:rPr>
        <w:t>Vs.</w:t>
      </w:r>
      <w:r>
        <w:rPr>
          <w:i/>
          <w:spacing w:val="-4"/>
          <w:sz w:val="16"/>
        </w:rPr>
        <w:t> </w:t>
      </w:r>
      <w:r>
        <w:rPr>
          <w:i/>
          <w:sz w:val="16"/>
        </w:rPr>
        <w:t>Chile.</w:t>
      </w:r>
      <w:r>
        <w:rPr>
          <w:i/>
          <w:spacing w:val="-4"/>
          <w:sz w:val="16"/>
        </w:rPr>
        <w:t> </w:t>
      </w:r>
      <w:r>
        <w:rPr>
          <w:i/>
          <w:sz w:val="16"/>
        </w:rPr>
        <w:t>Fondo,</w:t>
      </w:r>
      <w:r>
        <w:rPr>
          <w:i/>
          <w:spacing w:val="-5"/>
          <w:sz w:val="16"/>
        </w:rPr>
        <w:t> </w:t>
      </w:r>
      <w:r>
        <w:rPr>
          <w:i/>
          <w:sz w:val="16"/>
        </w:rPr>
        <w:t>Reparaciones</w:t>
      </w:r>
      <w:r>
        <w:rPr>
          <w:i/>
          <w:spacing w:val="-5"/>
          <w:sz w:val="16"/>
        </w:rPr>
        <w:t> </w:t>
      </w:r>
      <w:r>
        <w:rPr>
          <w:i/>
          <w:sz w:val="16"/>
        </w:rPr>
        <w:t>y</w:t>
      </w:r>
      <w:r>
        <w:rPr>
          <w:i/>
          <w:spacing w:val="-4"/>
          <w:sz w:val="16"/>
        </w:rPr>
        <w:t> </w:t>
      </w:r>
      <w:r>
        <w:rPr>
          <w:i/>
          <w:sz w:val="16"/>
        </w:rPr>
        <w:t>Costas.</w:t>
      </w:r>
      <w:r>
        <w:rPr>
          <w:i/>
          <w:spacing w:val="-1"/>
          <w:sz w:val="16"/>
        </w:rPr>
        <w:t> </w:t>
      </w:r>
      <w:r>
        <w:rPr>
          <w:sz w:val="16"/>
        </w:rPr>
        <w:t>Sentencia</w:t>
      </w:r>
      <w:r>
        <w:rPr>
          <w:spacing w:val="-3"/>
          <w:sz w:val="16"/>
        </w:rPr>
        <w:t> </w:t>
      </w:r>
      <w:r>
        <w:rPr>
          <w:sz w:val="16"/>
        </w:rPr>
        <w:t>de</w:t>
      </w:r>
      <w:r>
        <w:rPr>
          <w:spacing w:val="-5"/>
          <w:sz w:val="16"/>
        </w:rPr>
        <w:t> </w:t>
      </w:r>
      <w:r>
        <w:rPr>
          <w:sz w:val="16"/>
        </w:rPr>
        <w:t>8</w:t>
      </w:r>
      <w:r>
        <w:rPr>
          <w:spacing w:val="-3"/>
          <w:sz w:val="16"/>
        </w:rPr>
        <w:t> </w:t>
      </w:r>
      <w:r>
        <w:rPr>
          <w:sz w:val="16"/>
        </w:rPr>
        <w:t>de</w:t>
      </w:r>
      <w:r>
        <w:rPr>
          <w:spacing w:val="-5"/>
          <w:sz w:val="16"/>
        </w:rPr>
        <w:t> </w:t>
      </w:r>
      <w:r>
        <w:rPr>
          <w:sz w:val="16"/>
        </w:rPr>
        <w:t>marzo</w:t>
      </w:r>
      <w:r>
        <w:rPr>
          <w:spacing w:val="-4"/>
          <w:sz w:val="16"/>
        </w:rPr>
        <w:t> </w:t>
      </w:r>
      <w:r>
        <w:rPr>
          <w:sz w:val="16"/>
        </w:rPr>
        <w:t>de</w:t>
      </w:r>
      <w:r>
        <w:rPr>
          <w:spacing w:val="-5"/>
          <w:sz w:val="16"/>
        </w:rPr>
        <w:t> </w:t>
      </w:r>
      <w:r>
        <w:rPr>
          <w:sz w:val="16"/>
        </w:rPr>
        <w:t>2018.</w:t>
      </w:r>
      <w:r>
        <w:rPr>
          <w:spacing w:val="-5"/>
          <w:sz w:val="16"/>
        </w:rPr>
        <w:t> </w:t>
      </w:r>
      <w:r>
        <w:rPr>
          <w:sz w:val="16"/>
        </w:rPr>
        <w:t>Serie</w:t>
      </w:r>
      <w:r>
        <w:rPr>
          <w:w w:val="99"/>
          <w:sz w:val="16"/>
        </w:rPr>
        <w:t> </w:t>
      </w:r>
      <w:r>
        <w:rPr>
          <w:sz w:val="16"/>
        </w:rPr>
        <w:t>C No. 349. Voto concurrente del Juez Humberto Antonio Sierra</w:t>
      </w:r>
      <w:r>
        <w:rPr>
          <w:spacing w:val="-18"/>
          <w:sz w:val="16"/>
        </w:rPr>
        <w:t> </w:t>
      </w:r>
      <w:r>
        <w:rPr>
          <w:i/>
          <w:sz w:val="16"/>
        </w:rPr>
        <w:t>Porto.</w:t>
      </w:r>
    </w:p>
    <w:p>
      <w:pPr>
        <w:tabs>
          <w:tab w:pos="681" w:val="left" w:leader="none"/>
        </w:tabs>
        <w:spacing w:before="0"/>
        <w:ind w:left="114" w:right="111" w:firstLine="0"/>
        <w:jc w:val="both"/>
        <w:rPr>
          <w:sz w:val="16"/>
        </w:rPr>
      </w:pPr>
      <w:r>
        <w:rPr>
          <w:position w:val="6"/>
          <w:sz w:val="10"/>
        </w:rPr>
        <w:t>13</w:t>
        <w:tab/>
      </w:r>
      <w:r>
        <w:rPr>
          <w:i/>
          <w:sz w:val="16"/>
        </w:rPr>
        <w:t>Cfr.</w:t>
      </w:r>
      <w:r>
        <w:rPr>
          <w:i/>
          <w:spacing w:val="-11"/>
          <w:sz w:val="16"/>
        </w:rPr>
        <w:t> </w:t>
      </w:r>
      <w:r>
        <w:rPr>
          <w:i/>
          <w:sz w:val="16"/>
        </w:rPr>
        <w:t>Caso</w:t>
      </w:r>
      <w:r>
        <w:rPr>
          <w:i/>
          <w:spacing w:val="-10"/>
          <w:sz w:val="16"/>
        </w:rPr>
        <w:t> </w:t>
      </w:r>
      <w:r>
        <w:rPr>
          <w:i/>
          <w:sz w:val="16"/>
        </w:rPr>
        <w:t>Rodríguez</w:t>
      </w:r>
      <w:r>
        <w:rPr>
          <w:i/>
          <w:spacing w:val="-11"/>
          <w:sz w:val="16"/>
        </w:rPr>
        <w:t> </w:t>
      </w:r>
      <w:r>
        <w:rPr>
          <w:i/>
          <w:sz w:val="16"/>
        </w:rPr>
        <w:t>Revolorio</w:t>
      </w:r>
      <w:r>
        <w:rPr>
          <w:i/>
          <w:spacing w:val="-10"/>
          <w:sz w:val="16"/>
        </w:rPr>
        <w:t> </w:t>
      </w:r>
      <w:r>
        <w:rPr>
          <w:i/>
          <w:sz w:val="16"/>
        </w:rPr>
        <w:t>y</w:t>
      </w:r>
      <w:r>
        <w:rPr>
          <w:i/>
          <w:spacing w:val="-10"/>
          <w:sz w:val="16"/>
        </w:rPr>
        <w:t> </w:t>
      </w:r>
      <w:r>
        <w:rPr>
          <w:i/>
          <w:sz w:val="16"/>
        </w:rPr>
        <w:t>otros</w:t>
      </w:r>
      <w:r>
        <w:rPr>
          <w:i/>
          <w:spacing w:val="-10"/>
          <w:sz w:val="16"/>
        </w:rPr>
        <w:t> </w:t>
      </w:r>
      <w:r>
        <w:rPr>
          <w:i/>
          <w:sz w:val="16"/>
        </w:rPr>
        <w:t>Vs.</w:t>
      </w:r>
      <w:r>
        <w:rPr>
          <w:i/>
          <w:spacing w:val="-11"/>
          <w:sz w:val="16"/>
        </w:rPr>
        <w:t> </w:t>
      </w:r>
      <w:r>
        <w:rPr>
          <w:i/>
          <w:sz w:val="16"/>
        </w:rPr>
        <w:t>Guatemala.</w:t>
      </w:r>
      <w:r>
        <w:rPr>
          <w:i/>
          <w:spacing w:val="-11"/>
          <w:sz w:val="16"/>
        </w:rPr>
        <w:t> </w:t>
      </w:r>
      <w:r>
        <w:rPr>
          <w:i/>
          <w:sz w:val="16"/>
        </w:rPr>
        <w:t>Excepción</w:t>
      </w:r>
      <w:r>
        <w:rPr>
          <w:i/>
          <w:spacing w:val="-10"/>
          <w:sz w:val="16"/>
        </w:rPr>
        <w:t> </w:t>
      </w:r>
      <w:r>
        <w:rPr>
          <w:i/>
          <w:sz w:val="16"/>
        </w:rPr>
        <w:t>Preliminar,</w:t>
      </w:r>
      <w:r>
        <w:rPr>
          <w:i/>
          <w:spacing w:val="-10"/>
          <w:sz w:val="16"/>
        </w:rPr>
        <w:t> </w:t>
      </w:r>
      <w:r>
        <w:rPr>
          <w:i/>
          <w:sz w:val="16"/>
        </w:rPr>
        <w:t>Fondo,</w:t>
      </w:r>
      <w:r>
        <w:rPr>
          <w:i/>
          <w:spacing w:val="-11"/>
          <w:sz w:val="16"/>
        </w:rPr>
        <w:t> </w:t>
      </w:r>
      <w:r>
        <w:rPr>
          <w:i/>
          <w:sz w:val="16"/>
        </w:rPr>
        <w:t>Reparaciones</w:t>
      </w:r>
      <w:r>
        <w:rPr>
          <w:i/>
          <w:spacing w:val="-11"/>
          <w:sz w:val="16"/>
        </w:rPr>
        <w:t> </w:t>
      </w:r>
      <w:r>
        <w:rPr>
          <w:i/>
          <w:sz w:val="16"/>
        </w:rPr>
        <w:t>y</w:t>
      </w:r>
      <w:r>
        <w:rPr>
          <w:i/>
          <w:spacing w:val="-10"/>
          <w:sz w:val="16"/>
        </w:rPr>
        <w:t> </w:t>
      </w:r>
      <w:r>
        <w:rPr>
          <w:i/>
          <w:sz w:val="16"/>
        </w:rPr>
        <w:t>Costas.</w:t>
      </w:r>
      <w:r>
        <w:rPr>
          <w:i/>
          <w:spacing w:val="-10"/>
          <w:sz w:val="16"/>
        </w:rPr>
        <w:t> </w:t>
      </w:r>
      <w:r>
        <w:rPr>
          <w:sz w:val="16"/>
        </w:rPr>
        <w:t>Sentencia</w:t>
      </w:r>
      <w:r>
        <w:rPr>
          <w:w w:val="99"/>
          <w:sz w:val="16"/>
        </w:rPr>
        <w:t> </w:t>
      </w:r>
      <w:r>
        <w:rPr>
          <w:sz w:val="16"/>
        </w:rPr>
        <w:t>de 14 de octubre de 2019. Serie C No. 387. Voto concurrente del Juez Humberto Antonio Sierra</w:t>
      </w:r>
      <w:r>
        <w:rPr>
          <w:spacing w:val="-28"/>
          <w:sz w:val="16"/>
        </w:rPr>
        <w:t> </w:t>
      </w:r>
      <w:r>
        <w:rPr>
          <w:sz w:val="16"/>
        </w:rPr>
        <w:t>Porto.</w:t>
      </w:r>
    </w:p>
    <w:p>
      <w:pPr>
        <w:tabs>
          <w:tab w:pos="681" w:val="left" w:leader="none"/>
        </w:tabs>
        <w:spacing w:before="0"/>
        <w:ind w:left="114" w:right="109" w:firstLine="0"/>
        <w:jc w:val="both"/>
        <w:rPr>
          <w:sz w:val="16"/>
        </w:rPr>
      </w:pPr>
      <w:r>
        <w:rPr>
          <w:position w:val="6"/>
          <w:sz w:val="10"/>
        </w:rPr>
        <w:t>14</w:t>
        <w:tab/>
      </w:r>
      <w:r>
        <w:rPr>
          <w:sz w:val="16"/>
        </w:rPr>
        <w:t>Medio ambiente y derechos humanos (obligaciones estatales en relación con el medio ambiente en el marco  </w:t>
      </w:r>
      <w:r>
        <w:rPr>
          <w:spacing w:val="43"/>
          <w:sz w:val="16"/>
        </w:rPr>
        <w:t> </w:t>
      </w:r>
      <w:r>
        <w:rPr>
          <w:sz w:val="16"/>
        </w:rPr>
        <w:t>de</w:t>
      </w:r>
      <w:r>
        <w:rPr>
          <w:spacing w:val="11"/>
          <w:sz w:val="16"/>
        </w:rPr>
        <w:t> </w:t>
      </w:r>
      <w:r>
        <w:rPr>
          <w:sz w:val="16"/>
        </w:rPr>
        <w:t>la</w:t>
      </w:r>
      <w:r>
        <w:rPr>
          <w:spacing w:val="-1"/>
          <w:w w:val="99"/>
          <w:sz w:val="16"/>
        </w:rPr>
        <w:t> </w:t>
      </w:r>
      <w:r>
        <w:rPr>
          <w:sz w:val="16"/>
        </w:rPr>
        <w:t>protección y garantía de los derechos a la vida y a la integridad personal - interpretación y alcance de los artículos 4.1 y 5.1, en relación con los artículos 1.1 y 2 de la Convención Americana sobre Derechos Humanos). Opinión Consultiva </w:t>
      </w:r>
      <w:r>
        <w:rPr>
          <w:spacing w:val="3"/>
          <w:sz w:val="16"/>
        </w:rPr>
        <w:t>OC- </w:t>
      </w:r>
      <w:r>
        <w:rPr>
          <w:sz w:val="16"/>
        </w:rPr>
        <w:t>23/17 de 15 de noviembre de 2017. Serie A No.</w:t>
      </w:r>
      <w:r>
        <w:rPr>
          <w:spacing w:val="-13"/>
          <w:sz w:val="16"/>
        </w:rPr>
        <w:t> </w:t>
      </w:r>
      <w:r>
        <w:rPr>
          <w:sz w:val="16"/>
        </w:rPr>
        <w:t>23.</w:t>
      </w:r>
    </w:p>
    <w:p>
      <w:pPr>
        <w:spacing w:after="0"/>
        <w:jc w:val="both"/>
        <w:rPr>
          <w:sz w:val="16"/>
        </w:rPr>
        <w:sectPr>
          <w:footerReference w:type="default" r:id="rId45"/>
          <w:pgSz w:w="12250" w:h="15850"/>
          <w:pgMar w:footer="0" w:header="0" w:top="1500" w:bottom="280" w:left="1020" w:right="1060"/>
        </w:sectPr>
      </w:pPr>
    </w:p>
    <w:p>
      <w:pPr>
        <w:pStyle w:val="BodyText"/>
        <w:spacing w:before="198"/>
        <w:ind w:left="114" w:right="111"/>
        <w:jc w:val="both"/>
      </w:pPr>
      <w:r>
        <w:rPr/>
        <w:t>problemáticas del cambio jurisprudencial emprendido por el Tribunal en la aproximación de los derechos de los pueblos indígenas y tribales.</w:t>
      </w:r>
    </w:p>
    <w:p>
      <w:pPr>
        <w:pStyle w:val="BodyText"/>
        <w:spacing w:before="11"/>
        <w:rPr>
          <w:sz w:val="19"/>
        </w:rPr>
      </w:pPr>
    </w:p>
    <w:p>
      <w:pPr>
        <w:pStyle w:val="ListParagraph"/>
        <w:numPr>
          <w:ilvl w:val="0"/>
          <w:numId w:val="73"/>
        </w:numPr>
        <w:tabs>
          <w:tab w:pos="823" w:val="left" w:leader="none"/>
        </w:tabs>
        <w:spacing w:line="240" w:lineRule="auto" w:before="1" w:after="0"/>
        <w:ind w:left="114" w:right="107" w:firstLine="0"/>
        <w:jc w:val="both"/>
        <w:rPr>
          <w:sz w:val="20"/>
        </w:rPr>
      </w:pPr>
      <w:r>
        <w:rPr>
          <w:sz w:val="20"/>
        </w:rPr>
        <w:t>En primer lugar, siguiendo mi posición relativa a los DESCA, la carencia de sustento normativo que supone el hecho que por vía de peticiones individuales se determinen violaciones a estos derechos de manera autónoma, no puede ser obviada. Reitero que el Tribunal no tiene esta competencia de manera expresa, ni por la Convención Americana, ni por el artículo 19.6 del Protocolo Adicional a la Convención Americana sobre Derechos Humanos en materia de Derechos Económicos, Sociales y Culturales (en lo adelante “Protocolo de San Salvador”), interpretados a la luz de los artículos 30 y 31 de la Convención de Viena sobre el Derecho de los</w:t>
      </w:r>
      <w:r>
        <w:rPr>
          <w:spacing w:val="-25"/>
          <w:sz w:val="20"/>
        </w:rPr>
        <w:t> </w:t>
      </w:r>
      <w:r>
        <w:rPr>
          <w:sz w:val="20"/>
        </w:rPr>
        <w:t>Tratados.</w:t>
      </w:r>
    </w:p>
    <w:p>
      <w:pPr>
        <w:pStyle w:val="BodyText"/>
        <w:spacing w:before="12"/>
        <w:rPr>
          <w:sz w:val="19"/>
        </w:rPr>
      </w:pPr>
    </w:p>
    <w:p>
      <w:pPr>
        <w:pStyle w:val="ListParagraph"/>
        <w:numPr>
          <w:ilvl w:val="0"/>
          <w:numId w:val="73"/>
        </w:numPr>
        <w:tabs>
          <w:tab w:pos="823" w:val="left" w:leader="none"/>
        </w:tabs>
        <w:spacing w:line="240" w:lineRule="auto" w:before="0" w:after="0"/>
        <w:ind w:left="114" w:right="107" w:firstLine="0"/>
        <w:jc w:val="both"/>
        <w:rPr>
          <w:sz w:val="20"/>
        </w:rPr>
      </w:pPr>
      <w:r>
        <w:rPr>
          <w:sz w:val="20"/>
        </w:rPr>
        <w:t>En este sentido debo hacer notar que, en los acápites de la sentencia referidos al derecho</w:t>
      </w:r>
      <w:r>
        <w:rPr>
          <w:spacing w:val="-43"/>
          <w:sz w:val="20"/>
        </w:rPr>
        <w:t> </w:t>
      </w:r>
      <w:r>
        <w:rPr>
          <w:sz w:val="20"/>
        </w:rPr>
        <w:t>a un medio ambiente sano y al derecho a la alimentación adecuada, se citan expresamente los artículos</w:t>
      </w:r>
      <w:r>
        <w:rPr>
          <w:spacing w:val="-9"/>
          <w:sz w:val="20"/>
        </w:rPr>
        <w:t> </w:t>
      </w:r>
      <w:r>
        <w:rPr>
          <w:sz w:val="20"/>
        </w:rPr>
        <w:t>11</w:t>
      </w:r>
      <w:r>
        <w:rPr>
          <w:spacing w:val="-9"/>
          <w:sz w:val="20"/>
        </w:rPr>
        <w:t> </w:t>
      </w:r>
      <w:r>
        <w:rPr>
          <w:sz w:val="20"/>
        </w:rPr>
        <w:t>y</w:t>
      </w:r>
      <w:r>
        <w:rPr>
          <w:spacing w:val="-7"/>
          <w:sz w:val="20"/>
        </w:rPr>
        <w:t> </w:t>
      </w:r>
      <w:r>
        <w:rPr>
          <w:sz w:val="20"/>
        </w:rPr>
        <w:t>12</w:t>
      </w:r>
      <w:r>
        <w:rPr>
          <w:spacing w:val="-7"/>
          <w:sz w:val="20"/>
        </w:rPr>
        <w:t> </w:t>
      </w:r>
      <w:r>
        <w:rPr>
          <w:sz w:val="20"/>
        </w:rPr>
        <w:t>del</w:t>
      </w:r>
      <w:r>
        <w:rPr>
          <w:spacing w:val="-8"/>
          <w:sz w:val="20"/>
        </w:rPr>
        <w:t> </w:t>
      </w:r>
      <w:r>
        <w:rPr>
          <w:sz w:val="20"/>
        </w:rPr>
        <w:t>Protocolo</w:t>
      </w:r>
      <w:r>
        <w:rPr>
          <w:spacing w:val="-8"/>
          <w:sz w:val="20"/>
        </w:rPr>
        <w:t> </w:t>
      </w:r>
      <w:r>
        <w:rPr>
          <w:sz w:val="20"/>
        </w:rPr>
        <w:t>de</w:t>
      </w:r>
      <w:r>
        <w:rPr>
          <w:spacing w:val="-8"/>
          <w:sz w:val="20"/>
        </w:rPr>
        <w:t> </w:t>
      </w:r>
      <w:r>
        <w:rPr>
          <w:sz w:val="20"/>
        </w:rPr>
        <w:t>San</w:t>
      </w:r>
      <w:r>
        <w:rPr>
          <w:spacing w:val="-7"/>
          <w:sz w:val="20"/>
        </w:rPr>
        <w:t> </w:t>
      </w:r>
      <w:r>
        <w:rPr>
          <w:sz w:val="20"/>
        </w:rPr>
        <w:t>Salvador</w:t>
      </w:r>
      <w:r>
        <w:rPr>
          <w:spacing w:val="-8"/>
          <w:sz w:val="20"/>
        </w:rPr>
        <w:t> </w:t>
      </w:r>
      <w:r>
        <w:rPr>
          <w:sz w:val="20"/>
        </w:rPr>
        <w:t>para</w:t>
      </w:r>
      <w:r>
        <w:rPr>
          <w:spacing w:val="-5"/>
          <w:sz w:val="20"/>
        </w:rPr>
        <w:t> </w:t>
      </w:r>
      <w:r>
        <w:rPr>
          <w:sz w:val="20"/>
        </w:rPr>
        <w:t>afirmar</w:t>
      </w:r>
      <w:r>
        <w:rPr>
          <w:spacing w:val="-7"/>
          <w:sz w:val="20"/>
        </w:rPr>
        <w:t> </w:t>
      </w:r>
      <w:r>
        <w:rPr>
          <w:sz w:val="20"/>
        </w:rPr>
        <w:t>que</w:t>
      </w:r>
      <w:r>
        <w:rPr>
          <w:spacing w:val="-8"/>
          <w:sz w:val="20"/>
        </w:rPr>
        <w:t> </w:t>
      </w:r>
      <w:r>
        <w:rPr>
          <w:sz w:val="20"/>
        </w:rPr>
        <w:t>el</w:t>
      </w:r>
      <w:r>
        <w:rPr>
          <w:spacing w:val="-9"/>
          <w:sz w:val="20"/>
        </w:rPr>
        <w:t> </w:t>
      </w:r>
      <w:r>
        <w:rPr>
          <w:sz w:val="20"/>
        </w:rPr>
        <w:t>Estado</w:t>
      </w:r>
      <w:r>
        <w:rPr>
          <w:spacing w:val="-8"/>
          <w:sz w:val="20"/>
        </w:rPr>
        <w:t> </w:t>
      </w:r>
      <w:r>
        <w:rPr>
          <w:sz w:val="20"/>
        </w:rPr>
        <w:t>argentino</w:t>
      </w:r>
      <w:r>
        <w:rPr>
          <w:spacing w:val="-7"/>
          <w:sz w:val="20"/>
        </w:rPr>
        <w:t> </w:t>
      </w:r>
      <w:r>
        <w:rPr>
          <w:sz w:val="20"/>
        </w:rPr>
        <w:t>ha</w:t>
      </w:r>
      <w:r>
        <w:rPr>
          <w:spacing w:val="-7"/>
          <w:sz w:val="20"/>
        </w:rPr>
        <w:t> </w:t>
      </w:r>
      <w:r>
        <w:rPr>
          <w:sz w:val="20"/>
        </w:rPr>
        <w:t>reconocido la existencia de estos derechos. Sin embargo, se continúa omitiendo frontalmente que, tanto Argentina como todos los demás Estados que han ratificado el Protocolo, decidieron en su</w:t>
      </w:r>
      <w:r>
        <w:rPr>
          <w:spacing w:val="32"/>
          <w:sz w:val="20"/>
        </w:rPr>
        <w:t> </w:t>
      </w:r>
      <w:r>
        <w:rPr>
          <w:sz w:val="20"/>
        </w:rPr>
        <w:t>artículo</w:t>
      </w:r>
    </w:p>
    <w:p>
      <w:pPr>
        <w:pStyle w:val="BodyText"/>
        <w:ind w:left="114" w:right="107"/>
        <w:jc w:val="both"/>
      </w:pPr>
      <w:r>
        <w:rPr/>
        <w:t>19 admitir la presentación de peticiones individuales únicamente respecto de los derechos contenidos</w:t>
      </w:r>
      <w:r>
        <w:rPr>
          <w:spacing w:val="-5"/>
        </w:rPr>
        <w:t> </w:t>
      </w:r>
      <w:r>
        <w:rPr/>
        <w:t>en</w:t>
      </w:r>
      <w:r>
        <w:rPr>
          <w:spacing w:val="-4"/>
        </w:rPr>
        <w:t> </w:t>
      </w:r>
      <w:r>
        <w:rPr/>
        <w:t>los</w:t>
      </w:r>
      <w:r>
        <w:rPr>
          <w:spacing w:val="-4"/>
        </w:rPr>
        <w:t> </w:t>
      </w:r>
      <w:r>
        <w:rPr/>
        <w:t>artículos</w:t>
      </w:r>
      <w:r>
        <w:rPr>
          <w:spacing w:val="-3"/>
        </w:rPr>
        <w:t> </w:t>
      </w:r>
      <w:r>
        <w:rPr/>
        <w:t>8</w:t>
      </w:r>
      <w:r>
        <w:rPr>
          <w:spacing w:val="-4"/>
        </w:rPr>
        <w:t> </w:t>
      </w:r>
      <w:r>
        <w:rPr/>
        <w:t>a)</w:t>
      </w:r>
      <w:r>
        <w:rPr>
          <w:spacing w:val="-5"/>
        </w:rPr>
        <w:t> </w:t>
      </w:r>
      <w:r>
        <w:rPr/>
        <w:t>y</w:t>
      </w:r>
      <w:r>
        <w:rPr>
          <w:spacing w:val="-4"/>
        </w:rPr>
        <w:t> </w:t>
      </w:r>
      <w:r>
        <w:rPr/>
        <w:t>13</w:t>
      </w:r>
      <w:r>
        <w:rPr>
          <w:spacing w:val="-4"/>
        </w:rPr>
        <w:t> </w:t>
      </w:r>
      <w:r>
        <w:rPr/>
        <w:t>del</w:t>
      </w:r>
      <w:r>
        <w:rPr>
          <w:spacing w:val="-3"/>
        </w:rPr>
        <w:t> </w:t>
      </w:r>
      <w:r>
        <w:rPr/>
        <w:t>mismo</w:t>
      </w:r>
      <w:r>
        <w:rPr>
          <w:spacing w:val="-4"/>
        </w:rPr>
        <w:t> </w:t>
      </w:r>
      <w:r>
        <w:rPr/>
        <w:t>instrumento.</w:t>
      </w:r>
      <w:r>
        <w:rPr>
          <w:spacing w:val="-3"/>
        </w:rPr>
        <w:t> </w:t>
      </w:r>
      <w:r>
        <w:rPr/>
        <w:t>En</w:t>
      </w:r>
      <w:r>
        <w:rPr>
          <w:spacing w:val="-4"/>
        </w:rPr>
        <w:t> </w:t>
      </w:r>
      <w:r>
        <w:rPr/>
        <w:t>este</w:t>
      </w:r>
      <w:r>
        <w:rPr>
          <w:spacing w:val="-4"/>
        </w:rPr>
        <w:t> </w:t>
      </w:r>
      <w:r>
        <w:rPr/>
        <w:t>punto,</w:t>
      </w:r>
      <w:r>
        <w:rPr>
          <w:spacing w:val="-3"/>
        </w:rPr>
        <w:t> </w:t>
      </w:r>
      <w:r>
        <w:rPr/>
        <w:t>ya</w:t>
      </w:r>
      <w:r>
        <w:rPr>
          <w:spacing w:val="-5"/>
        </w:rPr>
        <w:t> </w:t>
      </w:r>
      <w:r>
        <w:rPr/>
        <w:t>no</w:t>
      </w:r>
      <w:r>
        <w:rPr>
          <w:spacing w:val="-3"/>
        </w:rPr>
        <w:t> </w:t>
      </w:r>
      <w:r>
        <w:rPr/>
        <w:t>estoy</w:t>
      </w:r>
      <w:r>
        <w:rPr>
          <w:spacing w:val="-3"/>
        </w:rPr>
        <w:t> </w:t>
      </w:r>
      <w:r>
        <w:rPr/>
        <w:t>seguro</w:t>
      </w:r>
      <w:r>
        <w:rPr>
          <w:spacing w:val="-4"/>
        </w:rPr>
        <w:t> </w:t>
      </w:r>
      <w:r>
        <w:rPr/>
        <w:t>de cuál estrategia argumentativa me parece más problemática, si aquella en la cual se omite por completo la existencia del Protocolo de San Salvador en el marco normativo del Sistema Interamericano de Derechos Humanos (en adelante “SIDH”), o aquella en que se referencian instrumentos</w:t>
      </w:r>
      <w:r>
        <w:rPr>
          <w:spacing w:val="-18"/>
        </w:rPr>
        <w:t> </w:t>
      </w:r>
      <w:r>
        <w:rPr/>
        <w:t>internacionales</w:t>
      </w:r>
      <w:r>
        <w:rPr>
          <w:spacing w:val="-18"/>
        </w:rPr>
        <w:t> </w:t>
      </w:r>
      <w:r>
        <w:rPr/>
        <w:t>de</w:t>
      </w:r>
      <w:r>
        <w:rPr>
          <w:spacing w:val="-16"/>
        </w:rPr>
        <w:t> </w:t>
      </w:r>
      <w:r>
        <w:rPr>
          <w:i/>
        </w:rPr>
        <w:t>soft</w:t>
      </w:r>
      <w:r>
        <w:rPr>
          <w:i/>
          <w:spacing w:val="-17"/>
        </w:rPr>
        <w:t> </w:t>
      </w:r>
      <w:r>
        <w:rPr>
          <w:i/>
        </w:rPr>
        <w:t>law</w:t>
      </w:r>
      <w:r>
        <w:rPr>
          <w:i/>
          <w:spacing w:val="-18"/>
        </w:rPr>
        <w:t> </w:t>
      </w:r>
      <w:r>
        <w:rPr/>
        <w:t>según</w:t>
      </w:r>
      <w:r>
        <w:rPr>
          <w:spacing w:val="-19"/>
        </w:rPr>
        <w:t> </w:t>
      </w:r>
      <w:r>
        <w:rPr/>
        <w:t>conveniencia.</w:t>
      </w:r>
      <w:r>
        <w:rPr>
          <w:spacing w:val="-17"/>
        </w:rPr>
        <w:t> </w:t>
      </w:r>
      <w:r>
        <w:rPr/>
        <w:t>En</w:t>
      </w:r>
      <w:r>
        <w:rPr>
          <w:spacing w:val="-17"/>
        </w:rPr>
        <w:t> </w:t>
      </w:r>
      <w:r>
        <w:rPr/>
        <w:t>todo</w:t>
      </w:r>
      <w:r>
        <w:rPr>
          <w:spacing w:val="-19"/>
        </w:rPr>
        <w:t> </w:t>
      </w:r>
      <w:r>
        <w:rPr/>
        <w:t>caso,</w:t>
      </w:r>
      <w:r>
        <w:rPr>
          <w:spacing w:val="-17"/>
        </w:rPr>
        <w:t> </w:t>
      </w:r>
      <w:r>
        <w:rPr/>
        <w:t>en</w:t>
      </w:r>
      <w:r>
        <w:rPr>
          <w:spacing w:val="-18"/>
        </w:rPr>
        <w:t> </w:t>
      </w:r>
      <w:r>
        <w:rPr/>
        <w:t>esta</w:t>
      </w:r>
      <w:r>
        <w:rPr>
          <w:spacing w:val="-19"/>
        </w:rPr>
        <w:t> </w:t>
      </w:r>
      <w:r>
        <w:rPr/>
        <w:t>sentencia,</w:t>
      </w:r>
      <w:r>
        <w:rPr>
          <w:spacing w:val="-19"/>
        </w:rPr>
        <w:t> </w:t>
      </w:r>
      <w:r>
        <w:rPr/>
        <w:t>como en otras en las que se determina la responsabilidad estatal por violación directa del artículo 26 no se ha abordado un debate profundo sobre el fundamento de la justiciabilidad de los DESCA y se han transgredido los límites claramente definidos en los tratados que establecen la competencia contenciosa de este</w:t>
      </w:r>
      <w:r>
        <w:rPr>
          <w:spacing w:val="-9"/>
        </w:rPr>
        <w:t> </w:t>
      </w:r>
      <w:r>
        <w:rPr/>
        <w:t>Tribunal.</w:t>
      </w:r>
    </w:p>
    <w:p>
      <w:pPr>
        <w:pStyle w:val="BodyText"/>
        <w:spacing w:before="11"/>
        <w:rPr>
          <w:sz w:val="19"/>
        </w:rPr>
      </w:pPr>
    </w:p>
    <w:p>
      <w:pPr>
        <w:pStyle w:val="ListParagraph"/>
        <w:numPr>
          <w:ilvl w:val="0"/>
          <w:numId w:val="73"/>
        </w:numPr>
        <w:tabs>
          <w:tab w:pos="823" w:val="left" w:leader="none"/>
        </w:tabs>
        <w:spacing w:line="240" w:lineRule="auto" w:before="0" w:after="0"/>
        <w:ind w:left="114" w:right="107" w:firstLine="0"/>
        <w:jc w:val="both"/>
        <w:rPr>
          <w:sz w:val="20"/>
        </w:rPr>
      </w:pPr>
      <w:r>
        <w:rPr>
          <w:sz w:val="20"/>
        </w:rPr>
        <w:t>En</w:t>
      </w:r>
      <w:r>
        <w:rPr>
          <w:spacing w:val="-7"/>
          <w:sz w:val="20"/>
        </w:rPr>
        <w:t> </w:t>
      </w:r>
      <w:r>
        <w:rPr>
          <w:sz w:val="20"/>
        </w:rPr>
        <w:t>segundo</w:t>
      </w:r>
      <w:r>
        <w:rPr>
          <w:spacing w:val="-9"/>
          <w:sz w:val="20"/>
        </w:rPr>
        <w:t> </w:t>
      </w:r>
      <w:r>
        <w:rPr>
          <w:sz w:val="20"/>
        </w:rPr>
        <w:t>lugar,</w:t>
      </w:r>
      <w:r>
        <w:rPr>
          <w:spacing w:val="-8"/>
          <w:sz w:val="20"/>
        </w:rPr>
        <w:t> </w:t>
      </w:r>
      <w:r>
        <w:rPr>
          <w:sz w:val="20"/>
        </w:rPr>
        <w:t>siguiendo</w:t>
      </w:r>
      <w:r>
        <w:rPr>
          <w:spacing w:val="-8"/>
          <w:sz w:val="20"/>
        </w:rPr>
        <w:t> </w:t>
      </w:r>
      <w:r>
        <w:rPr>
          <w:sz w:val="20"/>
        </w:rPr>
        <w:t>la</w:t>
      </w:r>
      <w:r>
        <w:rPr>
          <w:spacing w:val="-8"/>
          <w:sz w:val="20"/>
        </w:rPr>
        <w:t> </w:t>
      </w:r>
      <w:r>
        <w:rPr>
          <w:sz w:val="20"/>
        </w:rPr>
        <w:t>práctica</w:t>
      </w:r>
      <w:r>
        <w:rPr>
          <w:spacing w:val="-8"/>
          <w:sz w:val="20"/>
        </w:rPr>
        <w:t> </w:t>
      </w:r>
      <w:r>
        <w:rPr>
          <w:sz w:val="20"/>
        </w:rPr>
        <w:t>reciente</w:t>
      </w:r>
      <w:r>
        <w:rPr>
          <w:spacing w:val="-7"/>
          <w:sz w:val="20"/>
        </w:rPr>
        <w:t> </w:t>
      </w:r>
      <w:r>
        <w:rPr>
          <w:sz w:val="20"/>
        </w:rPr>
        <w:t>sobre</w:t>
      </w:r>
      <w:r>
        <w:rPr>
          <w:spacing w:val="-7"/>
          <w:sz w:val="20"/>
        </w:rPr>
        <w:t> </w:t>
      </w:r>
      <w:r>
        <w:rPr>
          <w:sz w:val="20"/>
        </w:rPr>
        <w:t>DESCA,</w:t>
      </w:r>
      <w:r>
        <w:rPr>
          <w:spacing w:val="-6"/>
          <w:sz w:val="20"/>
        </w:rPr>
        <w:t> </w:t>
      </w:r>
      <w:r>
        <w:rPr>
          <w:sz w:val="20"/>
        </w:rPr>
        <w:t>nuevamente</w:t>
      </w:r>
      <w:r>
        <w:rPr>
          <w:spacing w:val="-8"/>
          <w:sz w:val="20"/>
        </w:rPr>
        <w:t> </w:t>
      </w:r>
      <w:r>
        <w:rPr>
          <w:sz w:val="20"/>
        </w:rPr>
        <w:t>la</w:t>
      </w:r>
      <w:r>
        <w:rPr>
          <w:spacing w:val="-8"/>
          <w:sz w:val="20"/>
        </w:rPr>
        <w:t> </w:t>
      </w:r>
      <w:r>
        <w:rPr>
          <w:sz w:val="20"/>
        </w:rPr>
        <w:t>mayoría</w:t>
      </w:r>
      <w:r>
        <w:rPr>
          <w:spacing w:val="-6"/>
          <w:sz w:val="20"/>
        </w:rPr>
        <w:t> </w:t>
      </w:r>
      <w:r>
        <w:rPr>
          <w:sz w:val="20"/>
        </w:rPr>
        <w:t>hace un</w:t>
      </w:r>
      <w:r>
        <w:rPr>
          <w:spacing w:val="-9"/>
          <w:sz w:val="20"/>
        </w:rPr>
        <w:t> </w:t>
      </w:r>
      <w:r>
        <w:rPr>
          <w:sz w:val="20"/>
        </w:rPr>
        <w:t>uso</w:t>
      </w:r>
      <w:r>
        <w:rPr>
          <w:spacing w:val="-9"/>
          <w:sz w:val="20"/>
        </w:rPr>
        <w:t> </w:t>
      </w:r>
      <w:r>
        <w:rPr>
          <w:sz w:val="20"/>
        </w:rPr>
        <w:t>inadecuado</w:t>
      </w:r>
      <w:r>
        <w:rPr>
          <w:spacing w:val="-10"/>
          <w:sz w:val="20"/>
        </w:rPr>
        <w:t> </w:t>
      </w:r>
      <w:r>
        <w:rPr>
          <w:sz w:val="20"/>
        </w:rPr>
        <w:t>del</w:t>
      </w:r>
      <w:r>
        <w:rPr>
          <w:spacing w:val="-9"/>
          <w:sz w:val="20"/>
        </w:rPr>
        <w:t> </w:t>
      </w:r>
      <w:r>
        <w:rPr>
          <w:sz w:val="20"/>
        </w:rPr>
        <w:t>principio</w:t>
      </w:r>
      <w:r>
        <w:rPr>
          <w:spacing w:val="-6"/>
          <w:sz w:val="20"/>
        </w:rPr>
        <w:t> </w:t>
      </w:r>
      <w:r>
        <w:rPr>
          <w:i/>
          <w:sz w:val="20"/>
        </w:rPr>
        <w:t>iura</w:t>
      </w:r>
      <w:r>
        <w:rPr>
          <w:i/>
          <w:spacing w:val="-8"/>
          <w:sz w:val="20"/>
        </w:rPr>
        <w:t> </w:t>
      </w:r>
      <w:r>
        <w:rPr>
          <w:i/>
          <w:sz w:val="20"/>
        </w:rPr>
        <w:t>novit</w:t>
      </w:r>
      <w:r>
        <w:rPr>
          <w:i/>
          <w:spacing w:val="-8"/>
          <w:sz w:val="20"/>
        </w:rPr>
        <w:t> </w:t>
      </w:r>
      <w:r>
        <w:rPr>
          <w:i/>
          <w:sz w:val="20"/>
        </w:rPr>
        <w:t>curiae</w:t>
      </w:r>
      <w:r>
        <w:rPr>
          <w:i/>
          <w:spacing w:val="-7"/>
          <w:sz w:val="20"/>
        </w:rPr>
        <w:t> </w:t>
      </w:r>
      <w:r>
        <w:rPr>
          <w:sz w:val="20"/>
        </w:rPr>
        <w:t>para</w:t>
      </w:r>
      <w:r>
        <w:rPr>
          <w:spacing w:val="-8"/>
          <w:sz w:val="20"/>
        </w:rPr>
        <w:t> </w:t>
      </w:r>
      <w:r>
        <w:rPr>
          <w:sz w:val="20"/>
        </w:rPr>
        <w:t>analizar</w:t>
      </w:r>
      <w:r>
        <w:rPr>
          <w:spacing w:val="-8"/>
          <w:sz w:val="20"/>
        </w:rPr>
        <w:t> </w:t>
      </w:r>
      <w:r>
        <w:rPr>
          <w:sz w:val="20"/>
        </w:rPr>
        <w:t>la</w:t>
      </w:r>
      <w:r>
        <w:rPr>
          <w:spacing w:val="-10"/>
          <w:sz w:val="20"/>
        </w:rPr>
        <w:t> </w:t>
      </w:r>
      <w:r>
        <w:rPr>
          <w:sz w:val="20"/>
        </w:rPr>
        <w:t>posible</w:t>
      </w:r>
      <w:r>
        <w:rPr>
          <w:spacing w:val="-9"/>
          <w:sz w:val="20"/>
        </w:rPr>
        <w:t> </w:t>
      </w:r>
      <w:r>
        <w:rPr>
          <w:sz w:val="20"/>
        </w:rPr>
        <w:t>violación</w:t>
      </w:r>
      <w:r>
        <w:rPr>
          <w:spacing w:val="-8"/>
          <w:sz w:val="20"/>
        </w:rPr>
        <w:t> </w:t>
      </w:r>
      <w:r>
        <w:rPr>
          <w:sz w:val="20"/>
        </w:rPr>
        <w:t>de</w:t>
      </w:r>
      <w:r>
        <w:rPr>
          <w:spacing w:val="-7"/>
          <w:sz w:val="20"/>
        </w:rPr>
        <w:t> </w:t>
      </w:r>
      <w:r>
        <w:rPr>
          <w:sz w:val="20"/>
        </w:rPr>
        <w:t>las</w:t>
      </w:r>
      <w:r>
        <w:rPr>
          <w:spacing w:val="-10"/>
          <w:sz w:val="20"/>
        </w:rPr>
        <w:t> </w:t>
      </w:r>
      <w:r>
        <w:rPr>
          <w:sz w:val="20"/>
        </w:rPr>
        <w:t>normas</w:t>
      </w:r>
      <w:r>
        <w:rPr>
          <w:spacing w:val="-8"/>
          <w:sz w:val="20"/>
        </w:rPr>
        <w:t> </w:t>
      </w:r>
      <w:r>
        <w:rPr>
          <w:sz w:val="20"/>
        </w:rPr>
        <w:t>de la Convención que no han sido alegadas, particularmente en lo que respecta al derecho al agua, supuestamente contenido en el artículo 26 de la Convención. Entendíamos ya superado el inadecuado uso de este principio en las sentencias en materia de DESCA, con la decisión del </w:t>
      </w:r>
      <w:r>
        <w:rPr>
          <w:i/>
          <w:sz w:val="20"/>
        </w:rPr>
        <w:t>caso </w:t>
      </w:r>
      <w:r>
        <w:rPr>
          <w:i/>
          <w:sz w:val="20"/>
        </w:rPr>
        <w:t>Hernández Vs. Argentina. </w:t>
      </w:r>
      <w:r>
        <w:rPr>
          <w:sz w:val="20"/>
        </w:rPr>
        <w:t>En dicho caso, relacionado con la violación a la integridad personal de una persona detenida que contrajo meningitis T.B.C. y que fue privada de la atención médica adecuada, la Corte no aplicó el principio </w:t>
      </w:r>
      <w:r>
        <w:rPr>
          <w:i/>
          <w:sz w:val="20"/>
        </w:rPr>
        <w:t>iura novit curiae</w:t>
      </w:r>
      <w:r>
        <w:rPr>
          <w:sz w:val="20"/>
        </w:rPr>
        <w:t>. En dicho caso, cuyo fallo es del 29 de noviembre</w:t>
      </w:r>
      <w:r>
        <w:rPr>
          <w:spacing w:val="-12"/>
          <w:sz w:val="20"/>
        </w:rPr>
        <w:t> </w:t>
      </w:r>
      <w:r>
        <w:rPr>
          <w:sz w:val="20"/>
        </w:rPr>
        <w:t>de</w:t>
      </w:r>
      <w:r>
        <w:rPr>
          <w:spacing w:val="-10"/>
          <w:sz w:val="20"/>
        </w:rPr>
        <w:t> </w:t>
      </w:r>
      <w:r>
        <w:rPr>
          <w:sz w:val="20"/>
        </w:rPr>
        <w:t>2019,</w:t>
      </w:r>
      <w:r>
        <w:rPr>
          <w:spacing w:val="-10"/>
          <w:sz w:val="20"/>
        </w:rPr>
        <w:t> </w:t>
      </w:r>
      <w:r>
        <w:rPr>
          <w:sz w:val="20"/>
        </w:rPr>
        <w:t>la</w:t>
      </w:r>
      <w:r>
        <w:rPr>
          <w:spacing w:val="-12"/>
          <w:sz w:val="20"/>
        </w:rPr>
        <w:t> </w:t>
      </w:r>
      <w:r>
        <w:rPr>
          <w:sz w:val="20"/>
        </w:rPr>
        <w:t>Corte</w:t>
      </w:r>
      <w:r>
        <w:rPr>
          <w:spacing w:val="-11"/>
          <w:sz w:val="20"/>
        </w:rPr>
        <w:t> </w:t>
      </w:r>
      <w:r>
        <w:rPr>
          <w:sz w:val="20"/>
        </w:rPr>
        <w:t>no</w:t>
      </w:r>
      <w:r>
        <w:rPr>
          <w:spacing w:val="-11"/>
          <w:sz w:val="20"/>
        </w:rPr>
        <w:t> </w:t>
      </w:r>
      <w:r>
        <w:rPr>
          <w:sz w:val="20"/>
        </w:rPr>
        <w:t>analizó</w:t>
      </w:r>
      <w:r>
        <w:rPr>
          <w:spacing w:val="-11"/>
          <w:sz w:val="20"/>
        </w:rPr>
        <w:t> </w:t>
      </w:r>
      <w:r>
        <w:rPr>
          <w:sz w:val="20"/>
        </w:rPr>
        <w:t>las</w:t>
      </w:r>
      <w:r>
        <w:rPr>
          <w:spacing w:val="-12"/>
          <w:sz w:val="20"/>
        </w:rPr>
        <w:t> </w:t>
      </w:r>
      <w:r>
        <w:rPr>
          <w:sz w:val="20"/>
        </w:rPr>
        <w:t>violaciones</w:t>
      </w:r>
      <w:r>
        <w:rPr>
          <w:spacing w:val="-12"/>
          <w:sz w:val="20"/>
        </w:rPr>
        <w:t> </w:t>
      </w:r>
      <w:r>
        <w:rPr>
          <w:sz w:val="20"/>
        </w:rPr>
        <w:t>ocurridas</w:t>
      </w:r>
      <w:r>
        <w:rPr>
          <w:spacing w:val="-11"/>
          <w:sz w:val="20"/>
        </w:rPr>
        <w:t> </w:t>
      </w:r>
      <w:r>
        <w:rPr>
          <w:sz w:val="20"/>
        </w:rPr>
        <w:t>desde</w:t>
      </w:r>
      <w:r>
        <w:rPr>
          <w:spacing w:val="-11"/>
          <w:sz w:val="20"/>
        </w:rPr>
        <w:t> </w:t>
      </w:r>
      <w:r>
        <w:rPr>
          <w:sz w:val="20"/>
        </w:rPr>
        <w:t>una</w:t>
      </w:r>
      <w:r>
        <w:rPr>
          <w:spacing w:val="-10"/>
          <w:sz w:val="20"/>
        </w:rPr>
        <w:t> </w:t>
      </w:r>
      <w:r>
        <w:rPr>
          <w:sz w:val="20"/>
        </w:rPr>
        <w:t>perspectiva</w:t>
      </w:r>
      <w:r>
        <w:rPr>
          <w:spacing w:val="-11"/>
          <w:sz w:val="20"/>
        </w:rPr>
        <w:t> </w:t>
      </w:r>
      <w:r>
        <w:rPr>
          <w:sz w:val="20"/>
        </w:rPr>
        <w:t>del</w:t>
      </w:r>
      <w:r>
        <w:rPr>
          <w:spacing w:val="-11"/>
          <w:sz w:val="20"/>
        </w:rPr>
        <w:t> </w:t>
      </w:r>
      <w:r>
        <w:rPr>
          <w:sz w:val="20"/>
        </w:rPr>
        <w:t>derecho a la salud y el derecho a la alimentación, supuestamente contenidos en el artículo 26, sino que en cambio lo hizo, como venía haciéndolo antes del cambio jurisprudencial de 2017, desde la perspectiva del derecho a la integridad personal. Desde esta óptica parecía que la Corte retornaba al</w:t>
      </w:r>
      <w:r>
        <w:rPr>
          <w:spacing w:val="-19"/>
          <w:sz w:val="20"/>
        </w:rPr>
        <w:t> </w:t>
      </w:r>
      <w:r>
        <w:rPr>
          <w:sz w:val="20"/>
        </w:rPr>
        <w:t>sensato</w:t>
      </w:r>
      <w:r>
        <w:rPr>
          <w:spacing w:val="-19"/>
          <w:sz w:val="20"/>
        </w:rPr>
        <w:t> </w:t>
      </w:r>
      <w:r>
        <w:rPr>
          <w:sz w:val="20"/>
        </w:rPr>
        <w:t>camino</w:t>
      </w:r>
      <w:r>
        <w:rPr>
          <w:spacing w:val="-19"/>
          <w:sz w:val="20"/>
        </w:rPr>
        <w:t> </w:t>
      </w:r>
      <w:r>
        <w:rPr>
          <w:sz w:val="20"/>
        </w:rPr>
        <w:t>hacia</w:t>
      </w:r>
      <w:r>
        <w:rPr>
          <w:spacing w:val="-21"/>
          <w:sz w:val="20"/>
        </w:rPr>
        <w:t> </w:t>
      </w:r>
      <w:r>
        <w:rPr>
          <w:sz w:val="20"/>
        </w:rPr>
        <w:t>la</w:t>
      </w:r>
      <w:r>
        <w:rPr>
          <w:spacing w:val="-19"/>
          <w:sz w:val="20"/>
        </w:rPr>
        <w:t> </w:t>
      </w:r>
      <w:r>
        <w:rPr>
          <w:sz w:val="20"/>
        </w:rPr>
        <w:t>violación</w:t>
      </w:r>
      <w:r>
        <w:rPr>
          <w:spacing w:val="-19"/>
          <w:sz w:val="20"/>
        </w:rPr>
        <w:t> </w:t>
      </w:r>
      <w:r>
        <w:rPr>
          <w:sz w:val="20"/>
        </w:rPr>
        <w:t>de</w:t>
      </w:r>
      <w:r>
        <w:rPr>
          <w:spacing w:val="-18"/>
          <w:sz w:val="20"/>
        </w:rPr>
        <w:t> </w:t>
      </w:r>
      <w:r>
        <w:rPr>
          <w:sz w:val="20"/>
        </w:rPr>
        <w:t>los</w:t>
      </w:r>
      <w:r>
        <w:rPr>
          <w:spacing w:val="-21"/>
          <w:sz w:val="20"/>
        </w:rPr>
        <w:t> </w:t>
      </w:r>
      <w:r>
        <w:rPr>
          <w:sz w:val="20"/>
        </w:rPr>
        <w:t>DESCA</w:t>
      </w:r>
      <w:r>
        <w:rPr>
          <w:spacing w:val="-19"/>
          <w:sz w:val="20"/>
        </w:rPr>
        <w:t> </w:t>
      </w:r>
      <w:r>
        <w:rPr>
          <w:sz w:val="20"/>
        </w:rPr>
        <w:t>en</w:t>
      </w:r>
      <w:r>
        <w:rPr>
          <w:spacing w:val="-18"/>
          <w:sz w:val="20"/>
        </w:rPr>
        <w:t> </w:t>
      </w:r>
      <w:r>
        <w:rPr>
          <w:sz w:val="20"/>
        </w:rPr>
        <w:t>conexidad</w:t>
      </w:r>
      <w:r>
        <w:rPr>
          <w:spacing w:val="-19"/>
          <w:sz w:val="20"/>
        </w:rPr>
        <w:t> </w:t>
      </w:r>
      <w:r>
        <w:rPr>
          <w:sz w:val="20"/>
        </w:rPr>
        <w:t>con</w:t>
      </w:r>
      <w:r>
        <w:rPr>
          <w:spacing w:val="-19"/>
          <w:sz w:val="20"/>
        </w:rPr>
        <w:t> </w:t>
      </w:r>
      <w:r>
        <w:rPr>
          <w:sz w:val="20"/>
        </w:rPr>
        <w:t>otros</w:t>
      </w:r>
      <w:r>
        <w:rPr>
          <w:spacing w:val="-20"/>
          <w:sz w:val="20"/>
        </w:rPr>
        <w:t> </w:t>
      </w:r>
      <w:r>
        <w:rPr>
          <w:sz w:val="20"/>
        </w:rPr>
        <w:t>artículos</w:t>
      </w:r>
      <w:r>
        <w:rPr>
          <w:spacing w:val="-21"/>
          <w:sz w:val="20"/>
        </w:rPr>
        <w:t> </w:t>
      </w:r>
      <w:r>
        <w:rPr>
          <w:sz w:val="20"/>
        </w:rPr>
        <w:t>de</w:t>
      </w:r>
      <w:r>
        <w:rPr>
          <w:spacing w:val="-18"/>
          <w:sz w:val="20"/>
        </w:rPr>
        <w:t> </w:t>
      </w:r>
      <w:r>
        <w:rPr>
          <w:sz w:val="20"/>
        </w:rPr>
        <w:t>la</w:t>
      </w:r>
      <w:r>
        <w:rPr>
          <w:spacing w:val="-21"/>
          <w:sz w:val="20"/>
        </w:rPr>
        <w:t> </w:t>
      </w:r>
      <w:r>
        <w:rPr>
          <w:sz w:val="20"/>
        </w:rPr>
        <w:t>Convención. Sin</w:t>
      </w:r>
      <w:r>
        <w:rPr>
          <w:spacing w:val="-5"/>
          <w:sz w:val="20"/>
        </w:rPr>
        <w:t> </w:t>
      </w:r>
      <w:r>
        <w:rPr>
          <w:sz w:val="20"/>
        </w:rPr>
        <w:t>embargo,</w:t>
      </w:r>
      <w:r>
        <w:rPr>
          <w:spacing w:val="-4"/>
          <w:sz w:val="20"/>
        </w:rPr>
        <w:t> </w:t>
      </w:r>
      <w:r>
        <w:rPr>
          <w:sz w:val="20"/>
        </w:rPr>
        <w:t>la</w:t>
      </w:r>
      <w:r>
        <w:rPr>
          <w:spacing w:val="-5"/>
          <w:sz w:val="20"/>
        </w:rPr>
        <w:t> </w:t>
      </w:r>
      <w:r>
        <w:rPr>
          <w:sz w:val="20"/>
        </w:rPr>
        <w:t>presente</w:t>
      </w:r>
      <w:r>
        <w:rPr>
          <w:spacing w:val="-5"/>
          <w:sz w:val="20"/>
        </w:rPr>
        <w:t> </w:t>
      </w:r>
      <w:r>
        <w:rPr>
          <w:sz w:val="20"/>
        </w:rPr>
        <w:t>Sentencia</w:t>
      </w:r>
      <w:r>
        <w:rPr>
          <w:spacing w:val="-5"/>
          <w:sz w:val="20"/>
        </w:rPr>
        <w:t> </w:t>
      </w:r>
      <w:r>
        <w:rPr>
          <w:sz w:val="20"/>
        </w:rPr>
        <w:t>vuelve</w:t>
      </w:r>
      <w:r>
        <w:rPr>
          <w:spacing w:val="-4"/>
          <w:sz w:val="20"/>
        </w:rPr>
        <w:t> </w:t>
      </w:r>
      <w:r>
        <w:rPr>
          <w:sz w:val="20"/>
        </w:rPr>
        <w:t>a</w:t>
      </w:r>
      <w:r>
        <w:rPr>
          <w:spacing w:val="-5"/>
          <w:sz w:val="20"/>
        </w:rPr>
        <w:t> </w:t>
      </w:r>
      <w:r>
        <w:rPr>
          <w:sz w:val="20"/>
        </w:rPr>
        <w:t>lógica</w:t>
      </w:r>
      <w:r>
        <w:rPr>
          <w:spacing w:val="-5"/>
          <w:sz w:val="20"/>
        </w:rPr>
        <w:t> </w:t>
      </w:r>
      <w:r>
        <w:rPr>
          <w:sz w:val="20"/>
        </w:rPr>
        <w:t>de</w:t>
      </w:r>
      <w:r>
        <w:rPr>
          <w:spacing w:val="-5"/>
          <w:sz w:val="20"/>
        </w:rPr>
        <w:t> </w:t>
      </w:r>
      <w:r>
        <w:rPr>
          <w:sz w:val="20"/>
        </w:rPr>
        <w:t>violación</w:t>
      </w:r>
      <w:r>
        <w:rPr>
          <w:spacing w:val="-5"/>
          <w:sz w:val="20"/>
        </w:rPr>
        <w:t> </w:t>
      </w:r>
      <w:r>
        <w:rPr>
          <w:sz w:val="20"/>
        </w:rPr>
        <w:t>autónoma</w:t>
      </w:r>
      <w:r>
        <w:rPr>
          <w:spacing w:val="-5"/>
          <w:sz w:val="20"/>
        </w:rPr>
        <w:t> </w:t>
      </w:r>
      <w:r>
        <w:rPr>
          <w:sz w:val="20"/>
        </w:rPr>
        <w:t>de</w:t>
      </w:r>
      <w:r>
        <w:rPr>
          <w:spacing w:val="-5"/>
          <w:sz w:val="20"/>
        </w:rPr>
        <w:t> </w:t>
      </w:r>
      <w:r>
        <w:rPr>
          <w:sz w:val="20"/>
        </w:rPr>
        <w:t>los</w:t>
      </w:r>
      <w:r>
        <w:rPr>
          <w:spacing w:val="-6"/>
          <w:sz w:val="20"/>
        </w:rPr>
        <w:t> </w:t>
      </w:r>
      <w:r>
        <w:rPr>
          <w:sz w:val="20"/>
        </w:rPr>
        <w:t>DESCA</w:t>
      </w:r>
      <w:r>
        <w:rPr>
          <w:spacing w:val="-5"/>
          <w:sz w:val="20"/>
        </w:rPr>
        <w:t> </w:t>
      </w:r>
      <w:r>
        <w:rPr>
          <w:sz w:val="20"/>
        </w:rPr>
        <w:t>y</w:t>
      </w:r>
      <w:r>
        <w:rPr>
          <w:spacing w:val="-5"/>
          <w:sz w:val="20"/>
        </w:rPr>
        <w:t> </w:t>
      </w:r>
      <w:r>
        <w:rPr>
          <w:sz w:val="20"/>
        </w:rPr>
        <w:t>además reitera la utilización del principio </w:t>
      </w:r>
      <w:r>
        <w:rPr>
          <w:i/>
          <w:sz w:val="20"/>
        </w:rPr>
        <w:t>iura novit curiae </w:t>
      </w:r>
      <w:r>
        <w:rPr>
          <w:sz w:val="20"/>
        </w:rPr>
        <w:t>en lo que atañe al derecho al agua sin acudir a criterios de razonabilidad y</w:t>
      </w:r>
      <w:r>
        <w:rPr>
          <w:spacing w:val="-10"/>
          <w:sz w:val="20"/>
        </w:rPr>
        <w:t> </w:t>
      </w:r>
      <w:r>
        <w:rPr>
          <w:sz w:val="20"/>
        </w:rPr>
        <w:t>pertinencia.</w:t>
      </w:r>
    </w:p>
    <w:p>
      <w:pPr>
        <w:pStyle w:val="BodyText"/>
        <w:spacing w:before="11"/>
        <w:rPr>
          <w:sz w:val="19"/>
        </w:rPr>
      </w:pPr>
    </w:p>
    <w:p>
      <w:pPr>
        <w:pStyle w:val="ListParagraph"/>
        <w:numPr>
          <w:ilvl w:val="0"/>
          <w:numId w:val="73"/>
        </w:numPr>
        <w:tabs>
          <w:tab w:pos="823" w:val="left" w:leader="none"/>
        </w:tabs>
        <w:spacing w:line="240" w:lineRule="auto" w:before="1" w:after="0"/>
        <w:ind w:left="114" w:right="107" w:firstLine="0"/>
        <w:jc w:val="both"/>
        <w:rPr>
          <w:sz w:val="20"/>
        </w:rPr>
      </w:pPr>
      <w:r>
        <w:rPr>
          <w:sz w:val="20"/>
        </w:rPr>
        <w:t>Aunado al uso inadecuado del principio </w:t>
      </w:r>
      <w:r>
        <w:rPr>
          <w:i/>
          <w:sz w:val="20"/>
        </w:rPr>
        <w:t>iura novit curiae</w:t>
      </w:r>
      <w:r>
        <w:rPr>
          <w:sz w:val="20"/>
        </w:rPr>
        <w:t>, el desarrollo del derecho al agua en esta Sentencia presenta dificultades profundas en su fundamentación. En algunas de las sentencias en las que la Corte declara la vulneración de los DESCA, se ha partido de una interpretación equivocada de la remisión que hace el artículo 26 de la CADH a la Carta de la OEA, según la cual se deja al arbitrio de los jueces y juezas de la Corte la creación del catálogo de derechos que fundamenta el análisis de la responsabilidad de los Estados, a partir de las expectativas presentadas por estos en la Carta de la OEA. En efecto, ya he mencionado en varias oportunidades</w:t>
      </w:r>
      <w:r>
        <w:rPr>
          <w:spacing w:val="-5"/>
          <w:sz w:val="20"/>
        </w:rPr>
        <w:t> </w:t>
      </w:r>
      <w:r>
        <w:rPr>
          <w:sz w:val="20"/>
        </w:rPr>
        <w:t>que</w:t>
      </w:r>
      <w:r>
        <w:rPr>
          <w:spacing w:val="-5"/>
          <w:sz w:val="20"/>
        </w:rPr>
        <w:t> </w:t>
      </w:r>
      <w:r>
        <w:rPr>
          <w:sz w:val="20"/>
        </w:rPr>
        <w:t>la</w:t>
      </w:r>
      <w:r>
        <w:rPr>
          <w:spacing w:val="-7"/>
          <w:sz w:val="20"/>
        </w:rPr>
        <w:t> </w:t>
      </w:r>
      <w:r>
        <w:rPr>
          <w:sz w:val="20"/>
        </w:rPr>
        <w:t>Carta</w:t>
      </w:r>
      <w:r>
        <w:rPr>
          <w:spacing w:val="-6"/>
          <w:sz w:val="20"/>
        </w:rPr>
        <w:t> </w:t>
      </w:r>
      <w:r>
        <w:rPr>
          <w:sz w:val="20"/>
        </w:rPr>
        <w:t>no</w:t>
      </w:r>
      <w:r>
        <w:rPr>
          <w:spacing w:val="-6"/>
          <w:sz w:val="20"/>
        </w:rPr>
        <w:t> </w:t>
      </w:r>
      <w:r>
        <w:rPr>
          <w:sz w:val="20"/>
        </w:rPr>
        <w:t>contiene</w:t>
      </w:r>
      <w:r>
        <w:rPr>
          <w:spacing w:val="-6"/>
          <w:sz w:val="20"/>
        </w:rPr>
        <w:t> </w:t>
      </w:r>
      <w:r>
        <w:rPr>
          <w:sz w:val="20"/>
        </w:rPr>
        <w:t>un</w:t>
      </w:r>
      <w:r>
        <w:rPr>
          <w:spacing w:val="-6"/>
          <w:sz w:val="20"/>
        </w:rPr>
        <w:t> </w:t>
      </w:r>
      <w:r>
        <w:rPr>
          <w:sz w:val="20"/>
        </w:rPr>
        <w:t>catálogo</w:t>
      </w:r>
      <w:r>
        <w:rPr>
          <w:spacing w:val="-6"/>
          <w:sz w:val="20"/>
        </w:rPr>
        <w:t> </w:t>
      </w:r>
      <w:r>
        <w:rPr>
          <w:sz w:val="20"/>
        </w:rPr>
        <w:t>de</w:t>
      </w:r>
      <w:r>
        <w:rPr>
          <w:spacing w:val="-6"/>
          <w:sz w:val="20"/>
        </w:rPr>
        <w:t> </w:t>
      </w:r>
      <w:r>
        <w:rPr>
          <w:sz w:val="20"/>
        </w:rPr>
        <w:t>derechos,</w:t>
      </w:r>
      <w:r>
        <w:rPr>
          <w:spacing w:val="-7"/>
          <w:sz w:val="20"/>
        </w:rPr>
        <w:t> </w:t>
      </w:r>
      <w:r>
        <w:rPr>
          <w:sz w:val="20"/>
        </w:rPr>
        <w:t>lo</w:t>
      </w:r>
      <w:r>
        <w:rPr>
          <w:spacing w:val="-6"/>
          <w:sz w:val="20"/>
        </w:rPr>
        <w:t> </w:t>
      </w:r>
      <w:r>
        <w:rPr>
          <w:sz w:val="20"/>
        </w:rPr>
        <w:t>cual</w:t>
      </w:r>
      <w:r>
        <w:rPr>
          <w:spacing w:val="-6"/>
          <w:sz w:val="20"/>
        </w:rPr>
        <w:t> </w:t>
      </w:r>
      <w:r>
        <w:rPr>
          <w:sz w:val="20"/>
        </w:rPr>
        <w:t>implica</w:t>
      </w:r>
      <w:r>
        <w:rPr>
          <w:spacing w:val="-7"/>
          <w:sz w:val="20"/>
        </w:rPr>
        <w:t> </w:t>
      </w:r>
      <w:r>
        <w:rPr>
          <w:sz w:val="20"/>
        </w:rPr>
        <w:t>en</w:t>
      </w:r>
      <w:r>
        <w:rPr>
          <w:spacing w:val="-6"/>
          <w:sz w:val="20"/>
        </w:rPr>
        <w:t> </w:t>
      </w:r>
      <w:r>
        <w:rPr>
          <w:sz w:val="20"/>
        </w:rPr>
        <w:t>la</w:t>
      </w:r>
      <w:r>
        <w:rPr>
          <w:spacing w:val="-6"/>
          <w:sz w:val="20"/>
        </w:rPr>
        <w:t> </w:t>
      </w:r>
      <w:r>
        <w:rPr>
          <w:sz w:val="20"/>
        </w:rPr>
        <w:t>práctica</w:t>
      </w:r>
      <w:r>
        <w:rPr>
          <w:spacing w:val="-7"/>
          <w:sz w:val="20"/>
        </w:rPr>
        <w:t> </w:t>
      </w:r>
      <w:r>
        <w:rPr>
          <w:sz w:val="20"/>
        </w:rPr>
        <w:t>que,</w:t>
      </w:r>
    </w:p>
    <w:p>
      <w:pPr>
        <w:spacing w:after="0" w:line="240" w:lineRule="auto"/>
        <w:jc w:val="both"/>
        <w:rPr>
          <w:sz w:val="20"/>
        </w:rPr>
        <w:sectPr>
          <w:footerReference w:type="default" r:id="rId46"/>
          <w:pgSz w:w="12250" w:h="15850"/>
          <w:pgMar w:footer="0" w:header="0" w:top="1500" w:bottom="280" w:left="1020" w:right="1060"/>
        </w:sectPr>
      </w:pPr>
    </w:p>
    <w:p>
      <w:pPr>
        <w:pStyle w:val="BodyText"/>
        <w:spacing w:before="198"/>
        <w:ind w:left="114" w:right="108"/>
        <w:jc w:val="both"/>
      </w:pPr>
      <w:r>
        <w:rPr/>
        <w:t>el operador judicial termina justificando la justiciabilidad directa del derecho, a partir de una mención</w:t>
      </w:r>
      <w:r>
        <w:rPr>
          <w:spacing w:val="-7"/>
        </w:rPr>
        <w:t> </w:t>
      </w:r>
      <w:r>
        <w:rPr/>
        <w:t>vaga</w:t>
      </w:r>
      <w:r>
        <w:rPr>
          <w:spacing w:val="-6"/>
        </w:rPr>
        <w:t> </w:t>
      </w:r>
      <w:r>
        <w:rPr/>
        <w:t>que</w:t>
      </w:r>
      <w:r>
        <w:rPr>
          <w:spacing w:val="-5"/>
        </w:rPr>
        <w:t> </w:t>
      </w:r>
      <w:r>
        <w:rPr/>
        <w:t>se</w:t>
      </w:r>
      <w:r>
        <w:rPr>
          <w:spacing w:val="-6"/>
        </w:rPr>
        <w:t> </w:t>
      </w:r>
      <w:r>
        <w:rPr/>
        <w:t>haga</w:t>
      </w:r>
      <w:r>
        <w:rPr>
          <w:spacing w:val="-7"/>
        </w:rPr>
        <w:t> </w:t>
      </w:r>
      <w:r>
        <w:rPr/>
        <w:t>del</w:t>
      </w:r>
      <w:r>
        <w:rPr>
          <w:spacing w:val="-6"/>
        </w:rPr>
        <w:t> </w:t>
      </w:r>
      <w:r>
        <w:rPr/>
        <w:t>mismo</w:t>
      </w:r>
      <w:r>
        <w:rPr>
          <w:spacing w:val="-7"/>
        </w:rPr>
        <w:t> </w:t>
      </w:r>
      <w:r>
        <w:rPr/>
        <w:t>dentro</w:t>
      </w:r>
      <w:r>
        <w:rPr>
          <w:spacing w:val="-7"/>
        </w:rPr>
        <w:t> </w:t>
      </w:r>
      <w:r>
        <w:rPr/>
        <w:t>de</w:t>
      </w:r>
      <w:r>
        <w:rPr>
          <w:spacing w:val="-6"/>
        </w:rPr>
        <w:t> </w:t>
      </w:r>
      <w:r>
        <w:rPr/>
        <w:t>este</w:t>
      </w:r>
      <w:r>
        <w:rPr>
          <w:spacing w:val="-7"/>
        </w:rPr>
        <w:t> </w:t>
      </w:r>
      <w:r>
        <w:rPr/>
        <w:t>texto.</w:t>
      </w:r>
      <w:r>
        <w:rPr>
          <w:spacing w:val="-4"/>
        </w:rPr>
        <w:t> </w:t>
      </w:r>
      <w:r>
        <w:rPr/>
        <w:t>Así,</w:t>
      </w:r>
      <w:r>
        <w:rPr>
          <w:spacing w:val="-5"/>
        </w:rPr>
        <w:t> </w:t>
      </w:r>
      <w:r>
        <w:rPr/>
        <w:t>por</w:t>
      </w:r>
      <w:r>
        <w:rPr>
          <w:spacing w:val="-8"/>
        </w:rPr>
        <w:t> </w:t>
      </w:r>
      <w:r>
        <w:rPr/>
        <w:t>ejemplo,</w:t>
      </w:r>
      <w:r>
        <w:rPr>
          <w:spacing w:val="-7"/>
        </w:rPr>
        <w:t> </w:t>
      </w:r>
      <w:r>
        <w:rPr/>
        <w:t>se</w:t>
      </w:r>
      <w:r>
        <w:rPr>
          <w:spacing w:val="-6"/>
        </w:rPr>
        <w:t> </w:t>
      </w:r>
      <w:r>
        <w:rPr/>
        <w:t>busca</w:t>
      </w:r>
      <w:r>
        <w:rPr>
          <w:spacing w:val="-6"/>
        </w:rPr>
        <w:t> </w:t>
      </w:r>
      <w:r>
        <w:rPr/>
        <w:t>la</w:t>
      </w:r>
      <w:r>
        <w:rPr>
          <w:spacing w:val="-7"/>
        </w:rPr>
        <w:t> </w:t>
      </w:r>
      <w:r>
        <w:rPr/>
        <w:t>expresión “salud” dentro del listado de metas que establece la Carta de la OEA, se le adhieren un número importante referencias a instrumentos que hacen parte del “corpus iuris” internacional y, con base en</w:t>
      </w:r>
      <w:r>
        <w:rPr>
          <w:spacing w:val="-13"/>
        </w:rPr>
        <w:t> </w:t>
      </w:r>
      <w:r>
        <w:rPr/>
        <w:t>esa</w:t>
      </w:r>
      <w:r>
        <w:rPr>
          <w:spacing w:val="-13"/>
        </w:rPr>
        <w:t> </w:t>
      </w:r>
      <w:r>
        <w:rPr/>
        <w:t>simple</w:t>
      </w:r>
      <w:r>
        <w:rPr>
          <w:spacing w:val="-12"/>
        </w:rPr>
        <w:t> </w:t>
      </w:r>
      <w:r>
        <w:rPr/>
        <w:t>mención</w:t>
      </w:r>
      <w:r>
        <w:rPr>
          <w:spacing w:val="-13"/>
        </w:rPr>
        <w:t> </w:t>
      </w:r>
      <w:r>
        <w:rPr/>
        <w:t>se</w:t>
      </w:r>
      <w:r>
        <w:rPr>
          <w:spacing w:val="-11"/>
        </w:rPr>
        <w:t> </w:t>
      </w:r>
      <w:r>
        <w:rPr/>
        <w:t>declara</w:t>
      </w:r>
      <w:r>
        <w:rPr>
          <w:spacing w:val="-12"/>
        </w:rPr>
        <w:t> </w:t>
      </w:r>
      <w:r>
        <w:rPr/>
        <w:t>que</w:t>
      </w:r>
      <w:r>
        <w:rPr>
          <w:spacing w:val="-13"/>
        </w:rPr>
        <w:t> </w:t>
      </w:r>
      <w:r>
        <w:rPr/>
        <w:t>el</w:t>
      </w:r>
      <w:r>
        <w:rPr>
          <w:spacing w:val="-12"/>
        </w:rPr>
        <w:t> </w:t>
      </w:r>
      <w:r>
        <w:rPr/>
        <w:t>derecho</w:t>
      </w:r>
      <w:r>
        <w:rPr>
          <w:spacing w:val="-12"/>
        </w:rPr>
        <w:t> </w:t>
      </w:r>
      <w:r>
        <w:rPr/>
        <w:t>subjetivo</w:t>
      </w:r>
      <w:r>
        <w:rPr>
          <w:spacing w:val="-13"/>
        </w:rPr>
        <w:t> </w:t>
      </w:r>
      <w:r>
        <w:rPr/>
        <w:t>es</w:t>
      </w:r>
      <w:r>
        <w:rPr>
          <w:spacing w:val="-12"/>
        </w:rPr>
        <w:t> </w:t>
      </w:r>
      <w:r>
        <w:rPr/>
        <w:t>parte</w:t>
      </w:r>
      <w:r>
        <w:rPr>
          <w:spacing w:val="-11"/>
        </w:rPr>
        <w:t> </w:t>
      </w:r>
      <w:r>
        <w:rPr/>
        <w:t>del</w:t>
      </w:r>
      <w:r>
        <w:rPr>
          <w:spacing w:val="-13"/>
        </w:rPr>
        <w:t> </w:t>
      </w:r>
      <w:r>
        <w:rPr/>
        <w:t>artículo</w:t>
      </w:r>
      <w:r>
        <w:rPr>
          <w:spacing w:val="-13"/>
        </w:rPr>
        <w:t> </w:t>
      </w:r>
      <w:r>
        <w:rPr/>
        <w:t>26</w:t>
      </w:r>
      <w:r>
        <w:rPr>
          <w:spacing w:val="-15"/>
        </w:rPr>
        <w:t> </w:t>
      </w:r>
      <w:r>
        <w:rPr/>
        <w:t>de</w:t>
      </w:r>
      <w:r>
        <w:rPr>
          <w:spacing w:val="-12"/>
        </w:rPr>
        <w:t> </w:t>
      </w:r>
      <w:r>
        <w:rPr/>
        <w:t>la</w:t>
      </w:r>
      <w:r>
        <w:rPr>
          <w:spacing w:val="-12"/>
        </w:rPr>
        <w:t> </w:t>
      </w:r>
      <w:r>
        <w:rPr/>
        <w:t>Convención y, por tanto, exigible ante la Corte</w:t>
      </w:r>
      <w:r>
        <w:rPr>
          <w:spacing w:val="-12"/>
        </w:rPr>
        <w:t> </w:t>
      </w:r>
      <w:r>
        <w:rPr/>
        <w:t>IDH.</w:t>
      </w:r>
    </w:p>
    <w:p>
      <w:pPr>
        <w:pStyle w:val="BodyText"/>
        <w:spacing w:before="11"/>
        <w:rPr>
          <w:sz w:val="19"/>
        </w:rPr>
      </w:pPr>
    </w:p>
    <w:p>
      <w:pPr>
        <w:pStyle w:val="ListParagraph"/>
        <w:numPr>
          <w:ilvl w:val="0"/>
          <w:numId w:val="73"/>
        </w:numPr>
        <w:tabs>
          <w:tab w:pos="966" w:val="left" w:leader="none"/>
        </w:tabs>
        <w:spacing w:line="240" w:lineRule="auto" w:before="0" w:after="0"/>
        <w:ind w:left="114" w:right="108" w:firstLine="0"/>
        <w:jc w:val="both"/>
        <w:rPr>
          <w:sz w:val="20"/>
        </w:rPr>
      </w:pPr>
      <w:r>
        <w:rPr>
          <w:sz w:val="20"/>
        </w:rPr>
        <w:t>Sin embargo, en esta Sentencia el Tribunal va mucho más allá, la Carta de la OEA no contiene ninguna referencia al derecho al agua, lo cual no permite realizar la secuencia argumentativa</w:t>
      </w:r>
      <w:r>
        <w:rPr>
          <w:spacing w:val="-16"/>
          <w:sz w:val="20"/>
        </w:rPr>
        <w:t> </w:t>
      </w:r>
      <w:r>
        <w:rPr>
          <w:sz w:val="20"/>
        </w:rPr>
        <w:t>que</w:t>
      </w:r>
      <w:r>
        <w:rPr>
          <w:spacing w:val="-16"/>
          <w:sz w:val="20"/>
        </w:rPr>
        <w:t> </w:t>
      </w:r>
      <w:r>
        <w:rPr>
          <w:sz w:val="20"/>
        </w:rPr>
        <w:t>he</w:t>
      </w:r>
      <w:r>
        <w:rPr>
          <w:spacing w:val="-16"/>
          <w:sz w:val="20"/>
        </w:rPr>
        <w:t> </w:t>
      </w:r>
      <w:r>
        <w:rPr>
          <w:sz w:val="20"/>
        </w:rPr>
        <w:t>venido</w:t>
      </w:r>
      <w:r>
        <w:rPr>
          <w:spacing w:val="-16"/>
          <w:sz w:val="20"/>
        </w:rPr>
        <w:t> </w:t>
      </w:r>
      <w:r>
        <w:rPr>
          <w:sz w:val="20"/>
        </w:rPr>
        <w:t>describiendo.</w:t>
      </w:r>
      <w:r>
        <w:rPr>
          <w:spacing w:val="-17"/>
          <w:sz w:val="20"/>
        </w:rPr>
        <w:t> </w:t>
      </w:r>
      <w:r>
        <w:rPr>
          <w:sz w:val="20"/>
        </w:rPr>
        <w:t>Por</w:t>
      </w:r>
      <w:r>
        <w:rPr>
          <w:spacing w:val="-16"/>
          <w:sz w:val="20"/>
        </w:rPr>
        <w:t> </w:t>
      </w:r>
      <w:r>
        <w:rPr>
          <w:sz w:val="20"/>
        </w:rPr>
        <w:t>tanto,</w:t>
      </w:r>
      <w:r>
        <w:rPr>
          <w:spacing w:val="-16"/>
          <w:sz w:val="20"/>
        </w:rPr>
        <w:t> </w:t>
      </w:r>
      <w:r>
        <w:rPr>
          <w:sz w:val="20"/>
        </w:rPr>
        <w:t>decide</w:t>
      </w:r>
      <w:r>
        <w:rPr>
          <w:spacing w:val="-15"/>
          <w:sz w:val="20"/>
        </w:rPr>
        <w:t> </w:t>
      </w:r>
      <w:r>
        <w:rPr>
          <w:sz w:val="20"/>
        </w:rPr>
        <w:t>que</w:t>
      </w:r>
      <w:r>
        <w:rPr>
          <w:spacing w:val="-16"/>
          <w:sz w:val="20"/>
        </w:rPr>
        <w:t> </w:t>
      </w:r>
      <w:r>
        <w:rPr>
          <w:sz w:val="20"/>
        </w:rPr>
        <w:t>ya</w:t>
      </w:r>
      <w:r>
        <w:rPr>
          <w:spacing w:val="-16"/>
          <w:sz w:val="20"/>
        </w:rPr>
        <w:t> </w:t>
      </w:r>
      <w:r>
        <w:rPr>
          <w:sz w:val="20"/>
        </w:rPr>
        <w:t>no</w:t>
      </w:r>
      <w:r>
        <w:rPr>
          <w:spacing w:val="-17"/>
          <w:sz w:val="20"/>
        </w:rPr>
        <w:t> </w:t>
      </w:r>
      <w:r>
        <w:rPr>
          <w:sz w:val="20"/>
        </w:rPr>
        <w:t>es</w:t>
      </w:r>
      <w:r>
        <w:rPr>
          <w:spacing w:val="-15"/>
          <w:sz w:val="20"/>
        </w:rPr>
        <w:t> </w:t>
      </w:r>
      <w:r>
        <w:rPr>
          <w:sz w:val="20"/>
        </w:rPr>
        <w:t>necesario</w:t>
      </w:r>
      <w:r>
        <w:rPr>
          <w:spacing w:val="-16"/>
          <w:sz w:val="20"/>
        </w:rPr>
        <w:t> </w:t>
      </w:r>
      <w:r>
        <w:rPr>
          <w:sz w:val="20"/>
        </w:rPr>
        <w:t>buscar</w:t>
      </w:r>
      <w:r>
        <w:rPr>
          <w:spacing w:val="-16"/>
          <w:sz w:val="20"/>
        </w:rPr>
        <w:t> </w:t>
      </w:r>
      <w:r>
        <w:rPr>
          <w:sz w:val="20"/>
        </w:rPr>
        <w:t>siquiera la mención dentro de la Carta de la OEA a un derecho que se pretende justiciable, si su existencia se extrae de otros derechos referenciados en esta, así se afirma en el párrafo 222: “El </w:t>
      </w:r>
      <w:r>
        <w:rPr>
          <w:i/>
          <w:sz w:val="20"/>
        </w:rPr>
        <w:t>derecho al </w:t>
      </w:r>
      <w:r>
        <w:rPr>
          <w:i/>
          <w:sz w:val="20"/>
        </w:rPr>
        <w:t>agua </w:t>
      </w:r>
      <w:r>
        <w:rPr>
          <w:sz w:val="20"/>
        </w:rPr>
        <w:t>se encuentra protegido por el artículo 26 de la Convención Americana. Ello se desprende de las normas de la Carta de la OEA, en tanto las mismas permiten derivar derechos de los que, a su vez,</w:t>
      </w:r>
      <w:r>
        <w:rPr>
          <w:spacing w:val="-7"/>
          <w:sz w:val="20"/>
        </w:rPr>
        <w:t> </w:t>
      </w:r>
      <w:r>
        <w:rPr>
          <w:sz w:val="20"/>
        </w:rPr>
        <w:t>se</w:t>
      </w:r>
      <w:r>
        <w:rPr>
          <w:spacing w:val="-6"/>
          <w:sz w:val="20"/>
        </w:rPr>
        <w:t> </w:t>
      </w:r>
      <w:r>
        <w:rPr>
          <w:sz w:val="20"/>
        </w:rPr>
        <w:t>desprende</w:t>
      </w:r>
      <w:r>
        <w:rPr>
          <w:spacing w:val="-8"/>
          <w:sz w:val="20"/>
        </w:rPr>
        <w:t> </w:t>
      </w:r>
      <w:r>
        <w:rPr>
          <w:sz w:val="20"/>
        </w:rPr>
        <w:t>el</w:t>
      </w:r>
      <w:r>
        <w:rPr>
          <w:spacing w:val="-7"/>
          <w:sz w:val="20"/>
        </w:rPr>
        <w:t> </w:t>
      </w:r>
      <w:r>
        <w:rPr>
          <w:sz w:val="20"/>
        </w:rPr>
        <w:t>derecho</w:t>
      </w:r>
      <w:r>
        <w:rPr>
          <w:spacing w:val="-7"/>
          <w:sz w:val="20"/>
        </w:rPr>
        <w:t> </w:t>
      </w:r>
      <w:r>
        <w:rPr>
          <w:sz w:val="20"/>
        </w:rPr>
        <w:t>al</w:t>
      </w:r>
      <w:r>
        <w:rPr>
          <w:spacing w:val="-9"/>
          <w:sz w:val="20"/>
        </w:rPr>
        <w:t> </w:t>
      </w:r>
      <w:r>
        <w:rPr>
          <w:sz w:val="20"/>
        </w:rPr>
        <w:t>agua”.</w:t>
      </w:r>
      <w:r>
        <w:rPr>
          <w:spacing w:val="-8"/>
          <w:sz w:val="20"/>
        </w:rPr>
        <w:t> </w:t>
      </w:r>
      <w:r>
        <w:rPr>
          <w:sz w:val="20"/>
        </w:rPr>
        <w:t>Con</w:t>
      </w:r>
      <w:r>
        <w:rPr>
          <w:spacing w:val="-8"/>
          <w:sz w:val="20"/>
        </w:rPr>
        <w:t> </w:t>
      </w:r>
      <w:r>
        <w:rPr>
          <w:sz w:val="20"/>
        </w:rPr>
        <w:t>esta</w:t>
      </w:r>
      <w:r>
        <w:rPr>
          <w:spacing w:val="-7"/>
          <w:sz w:val="20"/>
        </w:rPr>
        <w:t> </w:t>
      </w:r>
      <w:r>
        <w:rPr>
          <w:sz w:val="20"/>
        </w:rPr>
        <w:t>interpretación</w:t>
      </w:r>
      <w:r>
        <w:rPr>
          <w:spacing w:val="-7"/>
          <w:sz w:val="20"/>
        </w:rPr>
        <w:t> </w:t>
      </w:r>
      <w:r>
        <w:rPr>
          <w:sz w:val="20"/>
        </w:rPr>
        <w:t>se</w:t>
      </w:r>
      <w:r>
        <w:rPr>
          <w:spacing w:val="-6"/>
          <w:sz w:val="20"/>
        </w:rPr>
        <w:t> </w:t>
      </w:r>
      <w:r>
        <w:rPr>
          <w:sz w:val="20"/>
        </w:rPr>
        <w:t>podría</w:t>
      </w:r>
      <w:r>
        <w:rPr>
          <w:spacing w:val="-7"/>
          <w:sz w:val="20"/>
        </w:rPr>
        <w:t> </w:t>
      </w:r>
      <w:r>
        <w:rPr>
          <w:sz w:val="20"/>
        </w:rPr>
        <w:t>afirmar</w:t>
      </w:r>
      <w:r>
        <w:rPr>
          <w:spacing w:val="-9"/>
          <w:sz w:val="20"/>
        </w:rPr>
        <w:t> </w:t>
      </w:r>
      <w:r>
        <w:rPr>
          <w:sz w:val="20"/>
        </w:rPr>
        <w:t>que,</w:t>
      </w:r>
      <w:r>
        <w:rPr>
          <w:spacing w:val="-8"/>
          <w:sz w:val="20"/>
        </w:rPr>
        <w:t> </w:t>
      </w:r>
      <w:r>
        <w:rPr>
          <w:sz w:val="20"/>
        </w:rPr>
        <w:t>el</w:t>
      </w:r>
      <w:r>
        <w:rPr>
          <w:spacing w:val="-7"/>
          <w:sz w:val="20"/>
        </w:rPr>
        <w:t> </w:t>
      </w:r>
      <w:r>
        <w:rPr>
          <w:sz w:val="20"/>
        </w:rPr>
        <w:t>artículo</w:t>
      </w:r>
      <w:r>
        <w:rPr>
          <w:spacing w:val="-7"/>
          <w:sz w:val="20"/>
        </w:rPr>
        <w:t> </w:t>
      </w:r>
      <w:r>
        <w:rPr>
          <w:sz w:val="20"/>
        </w:rPr>
        <w:t>26 de la CADH contiene todos los derechos que se quieran hacer justiciables en un caso concreto, y no</w:t>
      </w:r>
      <w:r>
        <w:rPr>
          <w:spacing w:val="-15"/>
          <w:sz w:val="20"/>
        </w:rPr>
        <w:t> </w:t>
      </w:r>
      <w:r>
        <w:rPr>
          <w:sz w:val="20"/>
        </w:rPr>
        <w:t>es</w:t>
      </w:r>
      <w:r>
        <w:rPr>
          <w:spacing w:val="-15"/>
          <w:sz w:val="20"/>
        </w:rPr>
        <w:t> </w:t>
      </w:r>
      <w:r>
        <w:rPr>
          <w:sz w:val="20"/>
        </w:rPr>
        <w:t>necesario</w:t>
      </w:r>
      <w:r>
        <w:rPr>
          <w:spacing w:val="-16"/>
          <w:sz w:val="20"/>
        </w:rPr>
        <w:t> </w:t>
      </w:r>
      <w:r>
        <w:rPr>
          <w:sz w:val="20"/>
        </w:rPr>
        <w:t>que</w:t>
      </w:r>
      <w:r>
        <w:rPr>
          <w:spacing w:val="-15"/>
          <w:sz w:val="20"/>
        </w:rPr>
        <w:t> </w:t>
      </w:r>
      <w:r>
        <w:rPr>
          <w:sz w:val="20"/>
        </w:rPr>
        <w:t>hayan</w:t>
      </w:r>
      <w:r>
        <w:rPr>
          <w:spacing w:val="-15"/>
          <w:sz w:val="20"/>
        </w:rPr>
        <w:t> </w:t>
      </w:r>
      <w:r>
        <w:rPr>
          <w:sz w:val="20"/>
        </w:rPr>
        <w:t>sido</w:t>
      </w:r>
      <w:r>
        <w:rPr>
          <w:spacing w:val="-16"/>
          <w:sz w:val="20"/>
        </w:rPr>
        <w:t> </w:t>
      </w:r>
      <w:r>
        <w:rPr>
          <w:sz w:val="20"/>
        </w:rPr>
        <w:t>alegados</w:t>
      </w:r>
      <w:r>
        <w:rPr>
          <w:spacing w:val="-15"/>
          <w:sz w:val="20"/>
        </w:rPr>
        <w:t> </w:t>
      </w:r>
      <w:r>
        <w:rPr>
          <w:sz w:val="20"/>
        </w:rPr>
        <w:t>por</w:t>
      </w:r>
      <w:r>
        <w:rPr>
          <w:spacing w:val="-16"/>
          <w:sz w:val="20"/>
        </w:rPr>
        <w:t> </w:t>
      </w:r>
      <w:r>
        <w:rPr>
          <w:sz w:val="20"/>
        </w:rPr>
        <w:t>las</w:t>
      </w:r>
      <w:r>
        <w:rPr>
          <w:spacing w:val="-15"/>
          <w:sz w:val="20"/>
        </w:rPr>
        <w:t> </w:t>
      </w:r>
      <w:r>
        <w:rPr>
          <w:sz w:val="20"/>
        </w:rPr>
        <w:t>partes</w:t>
      </w:r>
      <w:r>
        <w:rPr>
          <w:spacing w:val="-14"/>
          <w:sz w:val="20"/>
        </w:rPr>
        <w:t> </w:t>
      </w:r>
      <w:r>
        <w:rPr>
          <w:sz w:val="20"/>
        </w:rPr>
        <w:t>o</w:t>
      </w:r>
      <w:r>
        <w:rPr>
          <w:spacing w:val="-16"/>
          <w:sz w:val="20"/>
        </w:rPr>
        <w:t> </w:t>
      </w:r>
      <w:r>
        <w:rPr>
          <w:sz w:val="20"/>
        </w:rPr>
        <w:t>que</w:t>
      </w:r>
      <w:r>
        <w:rPr>
          <w:spacing w:val="-16"/>
          <w:sz w:val="20"/>
        </w:rPr>
        <w:t> </w:t>
      </w:r>
      <w:r>
        <w:rPr>
          <w:sz w:val="20"/>
        </w:rPr>
        <w:t>aparezcan,</w:t>
      </w:r>
      <w:r>
        <w:rPr>
          <w:spacing w:val="-15"/>
          <w:sz w:val="20"/>
        </w:rPr>
        <w:t> </w:t>
      </w:r>
      <w:r>
        <w:rPr>
          <w:sz w:val="20"/>
        </w:rPr>
        <w:t>aunque</w:t>
      </w:r>
      <w:r>
        <w:rPr>
          <w:spacing w:val="-15"/>
          <w:sz w:val="20"/>
        </w:rPr>
        <w:t> </w:t>
      </w:r>
      <w:r>
        <w:rPr>
          <w:sz w:val="20"/>
        </w:rPr>
        <w:t>sea</w:t>
      </w:r>
      <w:r>
        <w:rPr>
          <w:spacing w:val="-15"/>
          <w:sz w:val="20"/>
        </w:rPr>
        <w:t> </w:t>
      </w:r>
      <w:r>
        <w:rPr>
          <w:sz w:val="20"/>
        </w:rPr>
        <w:t>someramente, estén</w:t>
      </w:r>
      <w:r>
        <w:rPr>
          <w:spacing w:val="-9"/>
          <w:sz w:val="20"/>
        </w:rPr>
        <w:t> </w:t>
      </w:r>
      <w:r>
        <w:rPr>
          <w:sz w:val="20"/>
        </w:rPr>
        <w:t>mencionados</w:t>
      </w:r>
      <w:r>
        <w:rPr>
          <w:spacing w:val="-9"/>
          <w:sz w:val="20"/>
        </w:rPr>
        <w:t> </w:t>
      </w:r>
      <w:r>
        <w:rPr>
          <w:sz w:val="20"/>
        </w:rPr>
        <w:t>en</w:t>
      </w:r>
      <w:r>
        <w:rPr>
          <w:spacing w:val="-8"/>
          <w:sz w:val="20"/>
        </w:rPr>
        <w:t> </w:t>
      </w:r>
      <w:r>
        <w:rPr>
          <w:sz w:val="20"/>
        </w:rPr>
        <w:t>la</w:t>
      </w:r>
      <w:r>
        <w:rPr>
          <w:spacing w:val="-9"/>
          <w:sz w:val="20"/>
        </w:rPr>
        <w:t> </w:t>
      </w:r>
      <w:r>
        <w:rPr>
          <w:sz w:val="20"/>
        </w:rPr>
        <w:t>Carta</w:t>
      </w:r>
      <w:r>
        <w:rPr>
          <w:spacing w:val="-8"/>
          <w:sz w:val="20"/>
        </w:rPr>
        <w:t> </w:t>
      </w:r>
      <w:r>
        <w:rPr>
          <w:sz w:val="20"/>
        </w:rPr>
        <w:t>de</w:t>
      </w:r>
      <w:r>
        <w:rPr>
          <w:spacing w:val="-8"/>
          <w:sz w:val="20"/>
        </w:rPr>
        <w:t> </w:t>
      </w:r>
      <w:r>
        <w:rPr>
          <w:sz w:val="20"/>
        </w:rPr>
        <w:t>la</w:t>
      </w:r>
      <w:r>
        <w:rPr>
          <w:spacing w:val="-9"/>
          <w:sz w:val="20"/>
        </w:rPr>
        <w:t> </w:t>
      </w:r>
      <w:r>
        <w:rPr>
          <w:sz w:val="20"/>
        </w:rPr>
        <w:t>OEA.</w:t>
      </w:r>
      <w:r>
        <w:rPr>
          <w:spacing w:val="-9"/>
          <w:sz w:val="20"/>
        </w:rPr>
        <w:t> </w:t>
      </w:r>
      <w:r>
        <w:rPr>
          <w:sz w:val="20"/>
        </w:rPr>
        <w:t>Bastará</w:t>
      </w:r>
      <w:r>
        <w:rPr>
          <w:spacing w:val="-9"/>
          <w:sz w:val="20"/>
        </w:rPr>
        <w:t> </w:t>
      </w:r>
      <w:r>
        <w:rPr>
          <w:sz w:val="20"/>
        </w:rPr>
        <w:t>con</w:t>
      </w:r>
      <w:r>
        <w:rPr>
          <w:spacing w:val="-8"/>
          <w:sz w:val="20"/>
        </w:rPr>
        <w:t> </w:t>
      </w:r>
      <w:r>
        <w:rPr>
          <w:sz w:val="20"/>
        </w:rPr>
        <w:t>hacer</w:t>
      </w:r>
      <w:r>
        <w:rPr>
          <w:spacing w:val="-8"/>
          <w:sz w:val="20"/>
        </w:rPr>
        <w:t> </w:t>
      </w:r>
      <w:r>
        <w:rPr>
          <w:sz w:val="20"/>
        </w:rPr>
        <w:t>largas</w:t>
      </w:r>
      <w:r>
        <w:rPr>
          <w:spacing w:val="-9"/>
          <w:sz w:val="20"/>
        </w:rPr>
        <w:t> </w:t>
      </w:r>
      <w:r>
        <w:rPr>
          <w:sz w:val="20"/>
        </w:rPr>
        <w:t>citas</w:t>
      </w:r>
      <w:r>
        <w:rPr>
          <w:spacing w:val="-9"/>
          <w:sz w:val="20"/>
        </w:rPr>
        <w:t> </w:t>
      </w:r>
      <w:r>
        <w:rPr>
          <w:sz w:val="20"/>
        </w:rPr>
        <w:t>sobre</w:t>
      </w:r>
      <w:r>
        <w:rPr>
          <w:spacing w:val="-7"/>
          <w:sz w:val="20"/>
        </w:rPr>
        <w:t> </w:t>
      </w:r>
      <w:r>
        <w:rPr>
          <w:sz w:val="20"/>
        </w:rPr>
        <w:t>otras</w:t>
      </w:r>
      <w:r>
        <w:rPr>
          <w:spacing w:val="-9"/>
          <w:sz w:val="20"/>
        </w:rPr>
        <w:t> </w:t>
      </w:r>
      <w:r>
        <w:rPr>
          <w:sz w:val="20"/>
        </w:rPr>
        <w:t>declaraciones, tratados</w:t>
      </w:r>
      <w:r>
        <w:rPr>
          <w:spacing w:val="-10"/>
          <w:sz w:val="20"/>
        </w:rPr>
        <w:t> </w:t>
      </w:r>
      <w:r>
        <w:rPr>
          <w:sz w:val="20"/>
        </w:rPr>
        <w:t>o</w:t>
      </w:r>
      <w:r>
        <w:rPr>
          <w:spacing w:val="-11"/>
          <w:sz w:val="20"/>
        </w:rPr>
        <w:t> </w:t>
      </w:r>
      <w:r>
        <w:rPr>
          <w:sz w:val="20"/>
        </w:rPr>
        <w:t>documentos</w:t>
      </w:r>
      <w:r>
        <w:rPr>
          <w:spacing w:val="-12"/>
          <w:sz w:val="20"/>
        </w:rPr>
        <w:t> </w:t>
      </w:r>
      <w:r>
        <w:rPr>
          <w:sz w:val="20"/>
        </w:rPr>
        <w:t>de</w:t>
      </w:r>
      <w:r>
        <w:rPr>
          <w:spacing w:val="-10"/>
          <w:sz w:val="20"/>
        </w:rPr>
        <w:t> </w:t>
      </w:r>
      <w:r>
        <w:rPr>
          <w:sz w:val="20"/>
        </w:rPr>
        <w:t>soft</w:t>
      </w:r>
      <w:r>
        <w:rPr>
          <w:spacing w:val="-11"/>
          <w:sz w:val="20"/>
        </w:rPr>
        <w:t> </w:t>
      </w:r>
      <w:r>
        <w:rPr>
          <w:sz w:val="20"/>
        </w:rPr>
        <w:t>law,</w:t>
      </w:r>
      <w:r>
        <w:rPr>
          <w:spacing w:val="-10"/>
          <w:sz w:val="20"/>
        </w:rPr>
        <w:t> </w:t>
      </w:r>
      <w:r>
        <w:rPr>
          <w:sz w:val="20"/>
        </w:rPr>
        <w:t>además</w:t>
      </w:r>
      <w:r>
        <w:rPr>
          <w:spacing w:val="-9"/>
          <w:sz w:val="20"/>
        </w:rPr>
        <w:t> </w:t>
      </w:r>
      <w:r>
        <w:rPr>
          <w:sz w:val="20"/>
        </w:rPr>
        <w:t>de</w:t>
      </w:r>
      <w:r>
        <w:rPr>
          <w:spacing w:val="-11"/>
          <w:sz w:val="20"/>
        </w:rPr>
        <w:t> </w:t>
      </w:r>
      <w:r>
        <w:rPr>
          <w:sz w:val="20"/>
        </w:rPr>
        <w:t>hacer</w:t>
      </w:r>
      <w:r>
        <w:rPr>
          <w:spacing w:val="-11"/>
          <w:sz w:val="20"/>
        </w:rPr>
        <w:t> </w:t>
      </w:r>
      <w:r>
        <w:rPr>
          <w:sz w:val="20"/>
        </w:rPr>
        <w:t>referencia</w:t>
      </w:r>
      <w:r>
        <w:rPr>
          <w:spacing w:val="-10"/>
          <w:sz w:val="20"/>
        </w:rPr>
        <w:t> </w:t>
      </w:r>
      <w:r>
        <w:rPr>
          <w:sz w:val="20"/>
        </w:rPr>
        <w:t>a</w:t>
      </w:r>
      <w:r>
        <w:rPr>
          <w:spacing w:val="-11"/>
          <w:sz w:val="20"/>
        </w:rPr>
        <w:t> </w:t>
      </w:r>
      <w:r>
        <w:rPr>
          <w:sz w:val="20"/>
        </w:rPr>
        <w:t>“un</w:t>
      </w:r>
      <w:r>
        <w:rPr>
          <w:spacing w:val="-10"/>
          <w:sz w:val="20"/>
        </w:rPr>
        <w:t> </w:t>
      </w:r>
      <w:r>
        <w:rPr>
          <w:sz w:val="20"/>
        </w:rPr>
        <w:t>vasto</w:t>
      </w:r>
      <w:r>
        <w:rPr>
          <w:spacing w:val="-10"/>
          <w:sz w:val="20"/>
        </w:rPr>
        <w:t> </w:t>
      </w:r>
      <w:r>
        <w:rPr>
          <w:sz w:val="20"/>
        </w:rPr>
        <w:t>corpus</w:t>
      </w:r>
      <w:r>
        <w:rPr>
          <w:spacing w:val="-11"/>
          <w:sz w:val="20"/>
        </w:rPr>
        <w:t> </w:t>
      </w:r>
      <w:r>
        <w:rPr>
          <w:sz w:val="20"/>
        </w:rPr>
        <w:t>iuris”</w:t>
      </w:r>
      <w:r>
        <w:rPr>
          <w:spacing w:val="-9"/>
          <w:sz w:val="20"/>
        </w:rPr>
        <w:t> </w:t>
      </w:r>
      <w:r>
        <w:rPr>
          <w:sz w:val="20"/>
        </w:rPr>
        <w:t>para</w:t>
      </w:r>
      <w:r>
        <w:rPr>
          <w:spacing w:val="-11"/>
          <w:sz w:val="20"/>
        </w:rPr>
        <w:t> </w:t>
      </w:r>
      <w:r>
        <w:rPr>
          <w:sz w:val="20"/>
        </w:rPr>
        <w:t>crear una obligación internacional para los Estados. Es precisamente a esto a lo que me refería en mi voto en el caso </w:t>
      </w:r>
      <w:r>
        <w:rPr>
          <w:i/>
          <w:sz w:val="20"/>
        </w:rPr>
        <w:t>Lagos del Campo Vs. Perú</w:t>
      </w:r>
      <w:r>
        <w:rPr>
          <w:sz w:val="20"/>
        </w:rPr>
        <w:t>, cuando hablaba de la inseguridad jurídica que este tipo de interpretaciones genera. Los Estados actualmente no tienen cómo saber, anticipar o incluso defenderse de posibles vulneraciones al artículo 26 de la Convención por las cuales podrían ser condenados ante la Corte</w:t>
      </w:r>
      <w:r>
        <w:rPr>
          <w:spacing w:val="-7"/>
          <w:sz w:val="20"/>
        </w:rPr>
        <w:t> </w:t>
      </w:r>
      <w:r>
        <w:rPr>
          <w:sz w:val="20"/>
        </w:rPr>
        <w:t>IDH.</w:t>
      </w:r>
    </w:p>
    <w:p>
      <w:pPr>
        <w:pStyle w:val="BodyText"/>
        <w:spacing w:before="11"/>
        <w:rPr>
          <w:sz w:val="19"/>
        </w:rPr>
      </w:pPr>
    </w:p>
    <w:p>
      <w:pPr>
        <w:pStyle w:val="ListParagraph"/>
        <w:numPr>
          <w:ilvl w:val="0"/>
          <w:numId w:val="73"/>
        </w:numPr>
        <w:tabs>
          <w:tab w:pos="823" w:val="left" w:leader="none"/>
        </w:tabs>
        <w:spacing w:line="240" w:lineRule="auto" w:before="0" w:after="0"/>
        <w:ind w:left="114" w:right="108" w:firstLine="0"/>
        <w:jc w:val="both"/>
        <w:rPr>
          <w:sz w:val="20"/>
        </w:rPr>
      </w:pPr>
      <w:r>
        <w:rPr>
          <w:sz w:val="20"/>
        </w:rPr>
        <w:t>En cuarto lugar, e independientemente de los problemas que expondré sobre los alcances del artículo 21 de la CADH, quisiera hacer notar lo problemática que resulta la definición y análisis sobre la interdependencia de los derechos que se realizó en la presente sentencia. En efecto, se escribe</w:t>
      </w:r>
      <w:r>
        <w:rPr>
          <w:spacing w:val="-12"/>
          <w:sz w:val="20"/>
        </w:rPr>
        <w:t> </w:t>
      </w:r>
      <w:r>
        <w:rPr>
          <w:sz w:val="20"/>
        </w:rPr>
        <w:t>todo</w:t>
      </w:r>
      <w:r>
        <w:rPr>
          <w:spacing w:val="-14"/>
          <w:sz w:val="20"/>
        </w:rPr>
        <w:t> </w:t>
      </w:r>
      <w:r>
        <w:rPr>
          <w:sz w:val="20"/>
        </w:rPr>
        <w:t>un</w:t>
      </w:r>
      <w:r>
        <w:rPr>
          <w:spacing w:val="-13"/>
          <w:sz w:val="20"/>
        </w:rPr>
        <w:t> </w:t>
      </w:r>
      <w:r>
        <w:rPr>
          <w:sz w:val="20"/>
        </w:rPr>
        <w:t>acápite</w:t>
      </w:r>
      <w:r>
        <w:rPr>
          <w:spacing w:val="-14"/>
          <w:sz w:val="20"/>
        </w:rPr>
        <w:t> </w:t>
      </w:r>
      <w:r>
        <w:rPr>
          <w:sz w:val="20"/>
        </w:rPr>
        <w:t>para</w:t>
      </w:r>
      <w:r>
        <w:rPr>
          <w:spacing w:val="-12"/>
          <w:sz w:val="20"/>
        </w:rPr>
        <w:t> </w:t>
      </w:r>
      <w:r>
        <w:rPr>
          <w:sz w:val="20"/>
        </w:rPr>
        <w:t>mostrar</w:t>
      </w:r>
      <w:r>
        <w:rPr>
          <w:spacing w:val="-12"/>
          <w:sz w:val="20"/>
        </w:rPr>
        <w:t> </w:t>
      </w:r>
      <w:r>
        <w:rPr>
          <w:sz w:val="20"/>
        </w:rPr>
        <w:t>como</w:t>
      </w:r>
      <w:r>
        <w:rPr>
          <w:spacing w:val="-12"/>
          <w:sz w:val="20"/>
        </w:rPr>
        <w:t> </w:t>
      </w:r>
      <w:r>
        <w:rPr>
          <w:sz w:val="20"/>
        </w:rPr>
        <w:t>los</w:t>
      </w:r>
      <w:r>
        <w:rPr>
          <w:spacing w:val="-15"/>
          <w:sz w:val="20"/>
        </w:rPr>
        <w:t> </w:t>
      </w:r>
      <w:r>
        <w:rPr>
          <w:sz w:val="20"/>
        </w:rPr>
        <w:t>“nuevos”</w:t>
      </w:r>
      <w:r>
        <w:rPr>
          <w:spacing w:val="-13"/>
          <w:sz w:val="20"/>
        </w:rPr>
        <w:t> </w:t>
      </w:r>
      <w:r>
        <w:rPr>
          <w:sz w:val="20"/>
        </w:rPr>
        <w:t>derechos</w:t>
      </w:r>
      <w:r>
        <w:rPr>
          <w:spacing w:val="-13"/>
          <w:sz w:val="20"/>
        </w:rPr>
        <w:t> </w:t>
      </w:r>
      <w:r>
        <w:rPr>
          <w:sz w:val="20"/>
        </w:rPr>
        <w:t>contenidos</w:t>
      </w:r>
      <w:r>
        <w:rPr>
          <w:spacing w:val="-13"/>
          <w:sz w:val="20"/>
        </w:rPr>
        <w:t> </w:t>
      </w:r>
      <w:r>
        <w:rPr>
          <w:sz w:val="20"/>
        </w:rPr>
        <w:t>en</w:t>
      </w:r>
      <w:r>
        <w:rPr>
          <w:spacing w:val="-13"/>
          <w:sz w:val="20"/>
        </w:rPr>
        <w:t> </w:t>
      </w:r>
      <w:r>
        <w:rPr>
          <w:sz w:val="20"/>
        </w:rPr>
        <w:t>el</w:t>
      </w:r>
      <w:r>
        <w:rPr>
          <w:spacing w:val="-13"/>
          <w:sz w:val="20"/>
        </w:rPr>
        <w:t> </w:t>
      </w:r>
      <w:r>
        <w:rPr>
          <w:sz w:val="20"/>
        </w:rPr>
        <w:t>artículo</w:t>
      </w:r>
      <w:r>
        <w:rPr>
          <w:spacing w:val="-13"/>
          <w:sz w:val="20"/>
        </w:rPr>
        <w:t> </w:t>
      </w:r>
      <w:r>
        <w:rPr>
          <w:sz w:val="20"/>
        </w:rPr>
        <w:t>26</w:t>
      </w:r>
      <w:r>
        <w:rPr>
          <w:spacing w:val="-15"/>
          <w:sz w:val="20"/>
        </w:rPr>
        <w:t> </w:t>
      </w:r>
      <w:r>
        <w:rPr>
          <w:sz w:val="20"/>
        </w:rPr>
        <w:t>están tan relacionados entre sí, que no es necesario hacer un análisis concreto de responsabilidad del Estado para cada uno. Por tanto, se hace una mención de los hechos probados del caso y se dan por</w:t>
      </w:r>
      <w:r>
        <w:rPr>
          <w:spacing w:val="-4"/>
          <w:sz w:val="20"/>
        </w:rPr>
        <w:t> </w:t>
      </w:r>
      <w:r>
        <w:rPr>
          <w:sz w:val="20"/>
        </w:rPr>
        <w:t>vulnerados</w:t>
      </w:r>
      <w:r>
        <w:rPr>
          <w:spacing w:val="-4"/>
          <w:sz w:val="20"/>
        </w:rPr>
        <w:t> </w:t>
      </w:r>
      <w:r>
        <w:rPr>
          <w:sz w:val="20"/>
        </w:rPr>
        <w:t>de</w:t>
      </w:r>
      <w:r>
        <w:rPr>
          <w:spacing w:val="-3"/>
          <w:sz w:val="20"/>
        </w:rPr>
        <w:t> </w:t>
      </w:r>
      <w:r>
        <w:rPr>
          <w:sz w:val="20"/>
        </w:rPr>
        <w:t>forma</w:t>
      </w:r>
      <w:r>
        <w:rPr>
          <w:spacing w:val="-4"/>
          <w:sz w:val="20"/>
        </w:rPr>
        <w:t> </w:t>
      </w:r>
      <w:r>
        <w:rPr>
          <w:sz w:val="20"/>
        </w:rPr>
        <w:t>conjunta</w:t>
      </w:r>
      <w:r>
        <w:rPr>
          <w:spacing w:val="-4"/>
          <w:sz w:val="20"/>
        </w:rPr>
        <w:t> </w:t>
      </w:r>
      <w:r>
        <w:rPr>
          <w:sz w:val="20"/>
        </w:rPr>
        <w:t>los</w:t>
      </w:r>
      <w:r>
        <w:rPr>
          <w:spacing w:val="-3"/>
          <w:sz w:val="20"/>
        </w:rPr>
        <w:t> </w:t>
      </w:r>
      <w:r>
        <w:rPr>
          <w:sz w:val="20"/>
        </w:rPr>
        <w:t>derechos</w:t>
      </w:r>
      <w:r>
        <w:rPr>
          <w:spacing w:val="-5"/>
          <w:sz w:val="20"/>
        </w:rPr>
        <w:t> </w:t>
      </w:r>
      <w:r>
        <w:rPr>
          <w:sz w:val="20"/>
        </w:rPr>
        <w:t>al</w:t>
      </w:r>
      <w:r>
        <w:rPr>
          <w:spacing w:val="-4"/>
          <w:sz w:val="20"/>
        </w:rPr>
        <w:t> </w:t>
      </w:r>
      <w:r>
        <w:rPr>
          <w:sz w:val="20"/>
        </w:rPr>
        <w:t>medio</w:t>
      </w:r>
      <w:r>
        <w:rPr>
          <w:spacing w:val="-4"/>
          <w:sz w:val="20"/>
        </w:rPr>
        <w:t> </w:t>
      </w:r>
      <w:r>
        <w:rPr>
          <w:sz w:val="20"/>
        </w:rPr>
        <w:t>ambiente</w:t>
      </w:r>
      <w:r>
        <w:rPr>
          <w:spacing w:val="-3"/>
          <w:sz w:val="20"/>
        </w:rPr>
        <w:t> </w:t>
      </w:r>
      <w:r>
        <w:rPr>
          <w:sz w:val="20"/>
        </w:rPr>
        <w:t>sano,</w:t>
      </w:r>
      <w:r>
        <w:rPr>
          <w:spacing w:val="-2"/>
          <w:sz w:val="20"/>
        </w:rPr>
        <w:t> </w:t>
      </w:r>
      <w:r>
        <w:rPr>
          <w:sz w:val="20"/>
        </w:rPr>
        <w:t>a</w:t>
      </w:r>
      <w:r>
        <w:rPr>
          <w:spacing w:val="-4"/>
          <w:sz w:val="20"/>
        </w:rPr>
        <w:t> </w:t>
      </w:r>
      <w:r>
        <w:rPr>
          <w:sz w:val="20"/>
        </w:rPr>
        <w:t>la</w:t>
      </w:r>
      <w:r>
        <w:rPr>
          <w:spacing w:val="-4"/>
          <w:sz w:val="20"/>
        </w:rPr>
        <w:t> </w:t>
      </w:r>
      <w:r>
        <w:rPr>
          <w:sz w:val="20"/>
        </w:rPr>
        <w:t>alimentación,</w:t>
      </w:r>
      <w:r>
        <w:rPr>
          <w:spacing w:val="-4"/>
          <w:sz w:val="20"/>
        </w:rPr>
        <w:t> </w:t>
      </w:r>
      <w:r>
        <w:rPr>
          <w:sz w:val="20"/>
        </w:rPr>
        <w:t>al</w:t>
      </w:r>
      <w:r>
        <w:rPr>
          <w:spacing w:val="-4"/>
          <w:sz w:val="20"/>
        </w:rPr>
        <w:t> </w:t>
      </w:r>
      <w:r>
        <w:rPr>
          <w:sz w:val="20"/>
        </w:rPr>
        <w:t>agua y</w:t>
      </w:r>
      <w:r>
        <w:rPr>
          <w:spacing w:val="-15"/>
          <w:sz w:val="20"/>
        </w:rPr>
        <w:t> </w:t>
      </w:r>
      <w:r>
        <w:rPr>
          <w:sz w:val="20"/>
        </w:rPr>
        <w:t>“a</w:t>
      </w:r>
      <w:r>
        <w:rPr>
          <w:spacing w:val="-17"/>
          <w:sz w:val="20"/>
        </w:rPr>
        <w:t> </w:t>
      </w:r>
      <w:r>
        <w:rPr>
          <w:sz w:val="20"/>
        </w:rPr>
        <w:t>participar</w:t>
      </w:r>
      <w:r>
        <w:rPr>
          <w:spacing w:val="-16"/>
          <w:sz w:val="20"/>
        </w:rPr>
        <w:t> </w:t>
      </w:r>
      <w:r>
        <w:rPr>
          <w:sz w:val="20"/>
        </w:rPr>
        <w:t>en</w:t>
      </w:r>
      <w:r>
        <w:rPr>
          <w:spacing w:val="-16"/>
          <w:sz w:val="20"/>
        </w:rPr>
        <w:t> </w:t>
      </w:r>
      <w:r>
        <w:rPr>
          <w:sz w:val="20"/>
        </w:rPr>
        <w:t>la</w:t>
      </w:r>
      <w:r>
        <w:rPr>
          <w:spacing w:val="-17"/>
          <w:sz w:val="20"/>
        </w:rPr>
        <w:t> </w:t>
      </w:r>
      <w:r>
        <w:rPr>
          <w:sz w:val="20"/>
        </w:rPr>
        <w:t>vida</w:t>
      </w:r>
      <w:r>
        <w:rPr>
          <w:spacing w:val="-17"/>
          <w:sz w:val="20"/>
        </w:rPr>
        <w:t> </w:t>
      </w:r>
      <w:r>
        <w:rPr>
          <w:sz w:val="20"/>
        </w:rPr>
        <w:t>cultural”.</w:t>
      </w:r>
      <w:r>
        <w:rPr>
          <w:spacing w:val="-14"/>
          <w:sz w:val="20"/>
        </w:rPr>
        <w:t> </w:t>
      </w:r>
      <w:r>
        <w:rPr>
          <w:sz w:val="20"/>
        </w:rPr>
        <w:t>Al</w:t>
      </w:r>
      <w:r>
        <w:rPr>
          <w:spacing w:val="-16"/>
          <w:sz w:val="20"/>
        </w:rPr>
        <w:t> </w:t>
      </w:r>
      <w:r>
        <w:rPr>
          <w:sz w:val="20"/>
        </w:rPr>
        <w:t>respecto,</w:t>
      </w:r>
      <w:r>
        <w:rPr>
          <w:spacing w:val="-15"/>
          <w:sz w:val="20"/>
        </w:rPr>
        <w:t> </w:t>
      </w:r>
      <w:r>
        <w:rPr>
          <w:sz w:val="20"/>
        </w:rPr>
        <w:t>solo</w:t>
      </w:r>
      <w:r>
        <w:rPr>
          <w:spacing w:val="-16"/>
          <w:sz w:val="20"/>
        </w:rPr>
        <w:t> </w:t>
      </w:r>
      <w:r>
        <w:rPr>
          <w:sz w:val="20"/>
        </w:rPr>
        <w:t>quiero</w:t>
      </w:r>
      <w:r>
        <w:rPr>
          <w:spacing w:val="-16"/>
          <w:sz w:val="20"/>
        </w:rPr>
        <w:t> </w:t>
      </w:r>
      <w:r>
        <w:rPr>
          <w:sz w:val="20"/>
        </w:rPr>
        <w:t>recalcar</w:t>
      </w:r>
      <w:r>
        <w:rPr>
          <w:spacing w:val="-16"/>
          <w:sz w:val="20"/>
        </w:rPr>
        <w:t> </w:t>
      </w:r>
      <w:r>
        <w:rPr>
          <w:sz w:val="20"/>
        </w:rPr>
        <w:t>que</w:t>
      </w:r>
      <w:r>
        <w:rPr>
          <w:spacing w:val="-16"/>
          <w:sz w:val="20"/>
        </w:rPr>
        <w:t> </w:t>
      </w:r>
      <w:r>
        <w:rPr>
          <w:sz w:val="20"/>
        </w:rPr>
        <w:t>el</w:t>
      </w:r>
      <w:r>
        <w:rPr>
          <w:spacing w:val="-16"/>
          <w:sz w:val="20"/>
        </w:rPr>
        <w:t> </w:t>
      </w:r>
      <w:r>
        <w:rPr>
          <w:sz w:val="20"/>
        </w:rPr>
        <w:t>hecho</w:t>
      </w:r>
      <w:r>
        <w:rPr>
          <w:spacing w:val="-17"/>
          <w:sz w:val="20"/>
        </w:rPr>
        <w:t> </w:t>
      </w:r>
      <w:r>
        <w:rPr>
          <w:sz w:val="20"/>
        </w:rPr>
        <w:t>de</w:t>
      </w:r>
      <w:r>
        <w:rPr>
          <w:spacing w:val="-17"/>
          <w:sz w:val="20"/>
        </w:rPr>
        <w:t> </w:t>
      </w:r>
      <w:r>
        <w:rPr>
          <w:sz w:val="20"/>
        </w:rPr>
        <w:t>que</w:t>
      </w:r>
      <w:r>
        <w:rPr>
          <w:spacing w:val="-16"/>
          <w:sz w:val="20"/>
        </w:rPr>
        <w:t> </w:t>
      </w:r>
      <w:r>
        <w:rPr>
          <w:sz w:val="20"/>
        </w:rPr>
        <w:t>los</w:t>
      </w:r>
      <w:r>
        <w:rPr>
          <w:spacing w:val="-16"/>
          <w:sz w:val="20"/>
        </w:rPr>
        <w:t> </w:t>
      </w:r>
      <w:r>
        <w:rPr>
          <w:sz w:val="20"/>
        </w:rPr>
        <w:t>derechos humanos esten interrelacionados e incluso se consideren inescindibles, no implica que no sean diferenciables entre sí y que, en consecuencia, cada uno tenga su propio alcance. Al realizar un análisis conjunto, sin diferenciar los derechos, no quedan claras cuáles son las obligaciones que cada</w:t>
      </w:r>
      <w:r>
        <w:rPr>
          <w:spacing w:val="-4"/>
          <w:sz w:val="20"/>
        </w:rPr>
        <w:t> </w:t>
      </w:r>
      <w:r>
        <w:rPr>
          <w:sz w:val="20"/>
        </w:rPr>
        <w:t>uno</w:t>
      </w:r>
      <w:r>
        <w:rPr>
          <w:spacing w:val="-3"/>
          <w:sz w:val="20"/>
        </w:rPr>
        <w:t> </w:t>
      </w:r>
      <w:r>
        <w:rPr>
          <w:sz w:val="20"/>
        </w:rPr>
        <w:t>de</w:t>
      </w:r>
      <w:r>
        <w:rPr>
          <w:spacing w:val="-4"/>
          <w:sz w:val="20"/>
        </w:rPr>
        <w:t> </w:t>
      </w:r>
      <w:r>
        <w:rPr>
          <w:sz w:val="20"/>
        </w:rPr>
        <w:t>estos</w:t>
      </w:r>
      <w:r>
        <w:rPr>
          <w:spacing w:val="-4"/>
          <w:sz w:val="20"/>
        </w:rPr>
        <w:t> </w:t>
      </w:r>
      <w:r>
        <w:rPr>
          <w:sz w:val="20"/>
        </w:rPr>
        <w:t>conlleva</w:t>
      </w:r>
      <w:r>
        <w:rPr>
          <w:spacing w:val="-1"/>
          <w:sz w:val="20"/>
        </w:rPr>
        <w:t> </w:t>
      </w:r>
      <w:r>
        <w:rPr>
          <w:sz w:val="20"/>
        </w:rPr>
        <w:t>y</w:t>
      </w:r>
      <w:r>
        <w:rPr>
          <w:spacing w:val="-4"/>
          <w:sz w:val="20"/>
        </w:rPr>
        <w:t> </w:t>
      </w:r>
      <w:r>
        <w:rPr>
          <w:sz w:val="20"/>
        </w:rPr>
        <w:t>las</w:t>
      </w:r>
      <w:r>
        <w:rPr>
          <w:spacing w:val="-4"/>
          <w:sz w:val="20"/>
        </w:rPr>
        <w:t> </w:t>
      </w:r>
      <w:r>
        <w:rPr>
          <w:sz w:val="20"/>
        </w:rPr>
        <w:t>acciones</w:t>
      </w:r>
      <w:r>
        <w:rPr>
          <w:spacing w:val="-3"/>
          <w:sz w:val="20"/>
        </w:rPr>
        <w:t> </w:t>
      </w:r>
      <w:r>
        <w:rPr>
          <w:sz w:val="20"/>
        </w:rPr>
        <w:t>concretas</w:t>
      </w:r>
      <w:r>
        <w:rPr>
          <w:spacing w:val="-4"/>
          <w:sz w:val="20"/>
        </w:rPr>
        <w:t> </w:t>
      </w:r>
      <w:r>
        <w:rPr>
          <w:sz w:val="20"/>
        </w:rPr>
        <w:t>que</w:t>
      </w:r>
      <w:r>
        <w:rPr>
          <w:spacing w:val="-4"/>
          <w:sz w:val="20"/>
        </w:rPr>
        <w:t> </w:t>
      </w:r>
      <w:r>
        <w:rPr>
          <w:sz w:val="20"/>
        </w:rPr>
        <w:t>puede</w:t>
      </w:r>
      <w:r>
        <w:rPr>
          <w:spacing w:val="-4"/>
          <w:sz w:val="20"/>
        </w:rPr>
        <w:t> </w:t>
      </w:r>
      <w:r>
        <w:rPr>
          <w:sz w:val="20"/>
        </w:rPr>
        <w:t>emprender</w:t>
      </w:r>
      <w:r>
        <w:rPr>
          <w:spacing w:val="-5"/>
          <w:sz w:val="20"/>
        </w:rPr>
        <w:t> </w:t>
      </w:r>
      <w:r>
        <w:rPr>
          <w:sz w:val="20"/>
        </w:rPr>
        <w:t>el</w:t>
      </w:r>
      <w:r>
        <w:rPr>
          <w:spacing w:val="-4"/>
          <w:sz w:val="20"/>
        </w:rPr>
        <w:t> </w:t>
      </w:r>
      <w:r>
        <w:rPr>
          <w:sz w:val="20"/>
        </w:rPr>
        <w:t>Estado</w:t>
      </w:r>
      <w:r>
        <w:rPr>
          <w:spacing w:val="-4"/>
          <w:sz w:val="20"/>
        </w:rPr>
        <w:t> </w:t>
      </w:r>
      <w:r>
        <w:rPr>
          <w:sz w:val="20"/>
        </w:rPr>
        <w:t>para</w:t>
      </w:r>
      <w:r>
        <w:rPr>
          <w:spacing w:val="-4"/>
          <w:sz w:val="20"/>
        </w:rPr>
        <w:t> </w:t>
      </w:r>
      <w:r>
        <w:rPr>
          <w:sz w:val="20"/>
        </w:rPr>
        <w:t>evitar</w:t>
      </w:r>
      <w:r>
        <w:rPr>
          <w:spacing w:val="-4"/>
          <w:sz w:val="20"/>
        </w:rPr>
        <w:t> </w:t>
      </w:r>
      <w:r>
        <w:rPr>
          <w:sz w:val="20"/>
        </w:rPr>
        <w:t>su vulneración. Incluso una visión tan abierta de la interdependencia de los derechos podría generar un absurdo como entender que al estar todos de una u otra forma relacionados, cualquier tipo de vulneración conllevaría la violación de todos los derechos contenidos en la Convención. Dotar de contenido y establecer los alcances de los derechos es de suma importancia para que las</w:t>
      </w:r>
      <w:r>
        <w:rPr>
          <w:spacing w:val="-32"/>
          <w:sz w:val="20"/>
        </w:rPr>
        <w:t> </w:t>
      </w:r>
      <w:r>
        <w:rPr>
          <w:sz w:val="20"/>
        </w:rPr>
        <w:t>personas los</w:t>
      </w:r>
      <w:r>
        <w:rPr>
          <w:spacing w:val="-5"/>
          <w:sz w:val="20"/>
        </w:rPr>
        <w:t> </w:t>
      </w:r>
      <w:r>
        <w:rPr>
          <w:sz w:val="20"/>
        </w:rPr>
        <w:t>entiendan</w:t>
      </w:r>
      <w:r>
        <w:rPr>
          <w:spacing w:val="-4"/>
          <w:sz w:val="20"/>
        </w:rPr>
        <w:t> </w:t>
      </w:r>
      <w:r>
        <w:rPr>
          <w:sz w:val="20"/>
        </w:rPr>
        <w:t>y</w:t>
      </w:r>
      <w:r>
        <w:rPr>
          <w:spacing w:val="-4"/>
          <w:sz w:val="20"/>
        </w:rPr>
        <w:t> </w:t>
      </w:r>
      <w:r>
        <w:rPr>
          <w:sz w:val="20"/>
        </w:rPr>
        <w:t>los</w:t>
      </w:r>
      <w:r>
        <w:rPr>
          <w:spacing w:val="-5"/>
          <w:sz w:val="20"/>
        </w:rPr>
        <w:t> </w:t>
      </w:r>
      <w:r>
        <w:rPr>
          <w:sz w:val="20"/>
        </w:rPr>
        <w:t>Estados</w:t>
      </w:r>
      <w:r>
        <w:rPr>
          <w:spacing w:val="-4"/>
          <w:sz w:val="20"/>
        </w:rPr>
        <w:t> </w:t>
      </w:r>
      <w:r>
        <w:rPr>
          <w:sz w:val="20"/>
        </w:rPr>
        <w:t>los</w:t>
      </w:r>
      <w:r>
        <w:rPr>
          <w:spacing w:val="-5"/>
          <w:sz w:val="20"/>
        </w:rPr>
        <w:t> </w:t>
      </w:r>
      <w:r>
        <w:rPr>
          <w:sz w:val="20"/>
        </w:rPr>
        <w:t>acaten,</w:t>
      </w:r>
      <w:r>
        <w:rPr>
          <w:spacing w:val="-5"/>
          <w:sz w:val="20"/>
        </w:rPr>
        <w:t> </w:t>
      </w:r>
      <w:r>
        <w:rPr>
          <w:sz w:val="20"/>
        </w:rPr>
        <w:t>pero</w:t>
      </w:r>
      <w:r>
        <w:rPr>
          <w:spacing w:val="-6"/>
          <w:sz w:val="20"/>
        </w:rPr>
        <w:t> </w:t>
      </w:r>
      <w:r>
        <w:rPr>
          <w:sz w:val="20"/>
        </w:rPr>
        <w:t>es</w:t>
      </w:r>
      <w:r>
        <w:rPr>
          <w:spacing w:val="-5"/>
          <w:sz w:val="20"/>
        </w:rPr>
        <w:t> </w:t>
      </w:r>
      <w:r>
        <w:rPr>
          <w:sz w:val="20"/>
        </w:rPr>
        <w:t>aun</w:t>
      </w:r>
      <w:r>
        <w:rPr>
          <w:spacing w:val="-4"/>
          <w:sz w:val="20"/>
        </w:rPr>
        <w:t> </w:t>
      </w:r>
      <w:r>
        <w:rPr>
          <w:sz w:val="20"/>
        </w:rPr>
        <w:t>más</w:t>
      </w:r>
      <w:r>
        <w:rPr>
          <w:spacing w:val="-5"/>
          <w:sz w:val="20"/>
        </w:rPr>
        <w:t> </w:t>
      </w:r>
      <w:r>
        <w:rPr>
          <w:sz w:val="20"/>
        </w:rPr>
        <w:t>relevante</w:t>
      </w:r>
      <w:r>
        <w:rPr>
          <w:spacing w:val="-4"/>
          <w:sz w:val="20"/>
        </w:rPr>
        <w:t> </w:t>
      </w:r>
      <w:r>
        <w:rPr>
          <w:sz w:val="20"/>
        </w:rPr>
        <w:t>en</w:t>
      </w:r>
      <w:r>
        <w:rPr>
          <w:spacing w:val="-4"/>
          <w:sz w:val="20"/>
        </w:rPr>
        <w:t> </w:t>
      </w:r>
      <w:r>
        <w:rPr>
          <w:sz w:val="20"/>
        </w:rPr>
        <w:t>estos</w:t>
      </w:r>
      <w:r>
        <w:rPr>
          <w:spacing w:val="-5"/>
          <w:sz w:val="20"/>
        </w:rPr>
        <w:t> </w:t>
      </w:r>
      <w:r>
        <w:rPr>
          <w:sz w:val="20"/>
        </w:rPr>
        <w:t>casos</w:t>
      </w:r>
      <w:r>
        <w:rPr>
          <w:spacing w:val="-5"/>
          <w:sz w:val="20"/>
        </w:rPr>
        <w:t> </w:t>
      </w:r>
      <w:r>
        <w:rPr>
          <w:sz w:val="20"/>
        </w:rPr>
        <w:t>en</w:t>
      </w:r>
      <w:r>
        <w:rPr>
          <w:spacing w:val="-4"/>
          <w:sz w:val="20"/>
        </w:rPr>
        <w:t> </w:t>
      </w:r>
      <w:r>
        <w:rPr>
          <w:sz w:val="20"/>
        </w:rPr>
        <w:t>los</w:t>
      </w:r>
      <w:r>
        <w:rPr>
          <w:spacing w:val="-5"/>
          <w:sz w:val="20"/>
        </w:rPr>
        <w:t> </w:t>
      </w:r>
      <w:r>
        <w:rPr>
          <w:sz w:val="20"/>
        </w:rPr>
        <w:t>que,</w:t>
      </w:r>
      <w:r>
        <w:rPr>
          <w:spacing w:val="-4"/>
          <w:sz w:val="20"/>
        </w:rPr>
        <w:t> </w:t>
      </w:r>
      <w:r>
        <w:rPr>
          <w:sz w:val="20"/>
        </w:rPr>
        <w:t>como ya mencione, se están generando nuevos derechos en el marco del artículo 26 de la</w:t>
      </w:r>
      <w:r>
        <w:rPr>
          <w:spacing w:val="-20"/>
          <w:sz w:val="20"/>
        </w:rPr>
        <w:t> </w:t>
      </w:r>
      <w:r>
        <w:rPr>
          <w:sz w:val="20"/>
        </w:rPr>
        <w:t>CADH.</w:t>
      </w:r>
    </w:p>
    <w:p>
      <w:pPr>
        <w:pStyle w:val="BodyText"/>
        <w:spacing w:before="11"/>
        <w:rPr>
          <w:sz w:val="19"/>
        </w:rPr>
      </w:pPr>
    </w:p>
    <w:p>
      <w:pPr>
        <w:pStyle w:val="Heading3"/>
        <w:numPr>
          <w:ilvl w:val="0"/>
          <w:numId w:val="74"/>
        </w:numPr>
        <w:tabs>
          <w:tab w:pos="455" w:val="left" w:leader="none"/>
        </w:tabs>
        <w:spacing w:line="240" w:lineRule="auto" w:before="1" w:after="0"/>
        <w:ind w:left="114" w:right="113" w:firstLine="0"/>
        <w:jc w:val="both"/>
      </w:pPr>
      <w:r>
        <w:rPr/>
        <w:t>Necesidad de ponderación y equilibrio entre los derechos de los pueblos indígenas y tribales y</w:t>
      </w:r>
      <w:r>
        <w:rPr>
          <w:spacing w:val="-4"/>
        </w:rPr>
        <w:t> </w:t>
      </w:r>
      <w:r>
        <w:rPr/>
        <w:t>terceros</w:t>
      </w:r>
    </w:p>
    <w:p>
      <w:pPr>
        <w:pStyle w:val="BodyText"/>
        <w:spacing w:before="12"/>
        <w:rPr>
          <w:b/>
          <w:sz w:val="19"/>
        </w:rPr>
      </w:pPr>
    </w:p>
    <w:p>
      <w:pPr>
        <w:pStyle w:val="ListParagraph"/>
        <w:numPr>
          <w:ilvl w:val="0"/>
          <w:numId w:val="73"/>
        </w:numPr>
        <w:tabs>
          <w:tab w:pos="823" w:val="left" w:leader="none"/>
        </w:tabs>
        <w:spacing w:line="240" w:lineRule="auto" w:before="0" w:after="0"/>
        <w:ind w:left="114" w:right="109" w:firstLine="0"/>
        <w:jc w:val="both"/>
        <w:rPr>
          <w:sz w:val="20"/>
        </w:rPr>
      </w:pPr>
      <w:r>
        <w:rPr>
          <w:sz w:val="20"/>
        </w:rPr>
        <w:t>En el presente caso no existe una discusión sobre el derecho de los pueblos indígenas al territorio</w:t>
      </w:r>
      <w:r>
        <w:rPr>
          <w:spacing w:val="-13"/>
          <w:sz w:val="20"/>
        </w:rPr>
        <w:t> </w:t>
      </w:r>
      <w:r>
        <w:rPr>
          <w:sz w:val="20"/>
        </w:rPr>
        <w:t>reclamado,</w:t>
      </w:r>
      <w:r>
        <w:rPr>
          <w:spacing w:val="-12"/>
          <w:sz w:val="20"/>
        </w:rPr>
        <w:t> </w:t>
      </w:r>
      <w:r>
        <w:rPr>
          <w:sz w:val="20"/>
        </w:rPr>
        <w:t>la</w:t>
      </w:r>
      <w:r>
        <w:rPr>
          <w:spacing w:val="-15"/>
          <w:sz w:val="20"/>
        </w:rPr>
        <w:t> </w:t>
      </w:r>
      <w:r>
        <w:rPr>
          <w:sz w:val="20"/>
        </w:rPr>
        <w:t>controversia</w:t>
      </w:r>
      <w:r>
        <w:rPr>
          <w:spacing w:val="-14"/>
          <w:sz w:val="20"/>
        </w:rPr>
        <w:t> </w:t>
      </w:r>
      <w:r>
        <w:rPr>
          <w:sz w:val="20"/>
        </w:rPr>
        <w:t>versa</w:t>
      </w:r>
      <w:r>
        <w:rPr>
          <w:spacing w:val="-14"/>
          <w:sz w:val="20"/>
        </w:rPr>
        <w:t> </w:t>
      </w:r>
      <w:r>
        <w:rPr>
          <w:sz w:val="20"/>
        </w:rPr>
        <w:t>sobre</w:t>
      </w:r>
      <w:r>
        <w:rPr>
          <w:spacing w:val="-12"/>
          <w:sz w:val="20"/>
        </w:rPr>
        <w:t> </w:t>
      </w:r>
      <w:r>
        <w:rPr>
          <w:sz w:val="20"/>
        </w:rPr>
        <w:t>el</w:t>
      </w:r>
      <w:r>
        <w:rPr>
          <w:spacing w:val="-13"/>
          <w:sz w:val="20"/>
        </w:rPr>
        <w:t> </w:t>
      </w:r>
      <w:r>
        <w:rPr>
          <w:sz w:val="20"/>
        </w:rPr>
        <w:t>accionar</w:t>
      </w:r>
      <w:r>
        <w:rPr>
          <w:spacing w:val="-13"/>
          <w:sz w:val="20"/>
        </w:rPr>
        <w:t> </w:t>
      </w:r>
      <w:r>
        <w:rPr>
          <w:sz w:val="20"/>
        </w:rPr>
        <w:t>del</w:t>
      </w:r>
      <w:r>
        <w:rPr>
          <w:spacing w:val="-13"/>
          <w:sz w:val="20"/>
        </w:rPr>
        <w:t> </w:t>
      </w:r>
      <w:r>
        <w:rPr>
          <w:sz w:val="20"/>
        </w:rPr>
        <w:t>Estado</w:t>
      </w:r>
      <w:r>
        <w:rPr>
          <w:spacing w:val="-15"/>
          <w:sz w:val="20"/>
        </w:rPr>
        <w:t> </w:t>
      </w:r>
      <w:r>
        <w:rPr>
          <w:sz w:val="20"/>
        </w:rPr>
        <w:t>para</w:t>
      </w:r>
      <w:r>
        <w:rPr>
          <w:spacing w:val="-13"/>
          <w:sz w:val="20"/>
        </w:rPr>
        <w:t> </w:t>
      </w:r>
      <w:r>
        <w:rPr>
          <w:sz w:val="20"/>
        </w:rPr>
        <w:t>asegurar</w:t>
      </w:r>
      <w:r>
        <w:rPr>
          <w:spacing w:val="-13"/>
          <w:sz w:val="20"/>
        </w:rPr>
        <w:t> </w:t>
      </w:r>
      <w:r>
        <w:rPr>
          <w:sz w:val="20"/>
        </w:rPr>
        <w:t>dicho</w:t>
      </w:r>
      <w:r>
        <w:rPr>
          <w:spacing w:val="-13"/>
          <w:sz w:val="20"/>
        </w:rPr>
        <w:t> </w:t>
      </w:r>
      <w:r>
        <w:rPr>
          <w:sz w:val="20"/>
        </w:rPr>
        <w:t>derecho y, particularmente, en que se haga efectivo el acuerdo entre el Estado, los colonos y las comunidades</w:t>
      </w:r>
      <w:r>
        <w:rPr>
          <w:spacing w:val="-15"/>
          <w:sz w:val="20"/>
        </w:rPr>
        <w:t> </w:t>
      </w:r>
      <w:r>
        <w:rPr>
          <w:sz w:val="20"/>
        </w:rPr>
        <w:t>indígenas.</w:t>
      </w:r>
      <w:r>
        <w:rPr>
          <w:spacing w:val="-16"/>
          <w:sz w:val="20"/>
        </w:rPr>
        <w:t> </w:t>
      </w:r>
      <w:r>
        <w:rPr>
          <w:sz w:val="20"/>
        </w:rPr>
        <w:t>Se</w:t>
      </w:r>
      <w:r>
        <w:rPr>
          <w:spacing w:val="-16"/>
          <w:sz w:val="20"/>
        </w:rPr>
        <w:t> </w:t>
      </w:r>
      <w:r>
        <w:rPr>
          <w:sz w:val="20"/>
        </w:rPr>
        <w:t>trata</w:t>
      </w:r>
      <w:r>
        <w:rPr>
          <w:spacing w:val="-17"/>
          <w:sz w:val="20"/>
        </w:rPr>
        <w:t> </w:t>
      </w:r>
      <w:r>
        <w:rPr>
          <w:sz w:val="20"/>
        </w:rPr>
        <w:t>entonces</w:t>
      </w:r>
      <w:r>
        <w:rPr>
          <w:spacing w:val="-16"/>
          <w:sz w:val="20"/>
        </w:rPr>
        <w:t> </w:t>
      </w:r>
      <w:r>
        <w:rPr>
          <w:sz w:val="20"/>
        </w:rPr>
        <w:t>de</w:t>
      </w:r>
      <w:r>
        <w:rPr>
          <w:spacing w:val="-17"/>
          <w:sz w:val="20"/>
        </w:rPr>
        <w:t> </w:t>
      </w:r>
      <w:r>
        <w:rPr>
          <w:sz w:val="20"/>
        </w:rPr>
        <w:t>una</w:t>
      </w:r>
      <w:r>
        <w:rPr>
          <w:spacing w:val="-15"/>
          <w:sz w:val="20"/>
        </w:rPr>
        <w:t> </w:t>
      </w:r>
      <w:r>
        <w:rPr>
          <w:sz w:val="20"/>
        </w:rPr>
        <w:t>condena</w:t>
      </w:r>
      <w:r>
        <w:rPr>
          <w:spacing w:val="-17"/>
          <w:sz w:val="20"/>
        </w:rPr>
        <w:t> </w:t>
      </w:r>
      <w:r>
        <w:rPr>
          <w:i/>
          <w:sz w:val="20"/>
        </w:rPr>
        <w:t>sui</w:t>
      </w:r>
      <w:r>
        <w:rPr>
          <w:i/>
          <w:spacing w:val="-16"/>
          <w:sz w:val="20"/>
        </w:rPr>
        <w:t> </w:t>
      </w:r>
      <w:r>
        <w:rPr>
          <w:i/>
          <w:sz w:val="20"/>
        </w:rPr>
        <w:t>generis</w:t>
      </w:r>
      <w:r>
        <w:rPr>
          <w:i/>
          <w:spacing w:val="-18"/>
          <w:sz w:val="20"/>
        </w:rPr>
        <w:t> </w:t>
      </w:r>
      <w:r>
        <w:rPr>
          <w:sz w:val="20"/>
        </w:rPr>
        <w:t>en</w:t>
      </w:r>
      <w:r>
        <w:rPr>
          <w:spacing w:val="-16"/>
          <w:sz w:val="20"/>
        </w:rPr>
        <w:t> </w:t>
      </w:r>
      <w:r>
        <w:rPr>
          <w:sz w:val="20"/>
        </w:rPr>
        <w:t>tanto</w:t>
      </w:r>
      <w:r>
        <w:rPr>
          <w:spacing w:val="-18"/>
          <w:sz w:val="20"/>
        </w:rPr>
        <w:t> </w:t>
      </w:r>
      <w:r>
        <w:rPr>
          <w:sz w:val="20"/>
        </w:rPr>
        <w:t>el</w:t>
      </w:r>
      <w:r>
        <w:rPr>
          <w:spacing w:val="-16"/>
          <w:sz w:val="20"/>
        </w:rPr>
        <w:t> </w:t>
      </w:r>
      <w:r>
        <w:rPr>
          <w:sz w:val="20"/>
        </w:rPr>
        <w:t>conflicto</w:t>
      </w:r>
      <w:r>
        <w:rPr>
          <w:spacing w:val="-16"/>
          <w:sz w:val="20"/>
        </w:rPr>
        <w:t> </w:t>
      </w:r>
      <w:r>
        <w:rPr>
          <w:sz w:val="20"/>
        </w:rPr>
        <w:t>no</w:t>
      </w:r>
      <w:r>
        <w:rPr>
          <w:spacing w:val="-17"/>
          <w:sz w:val="20"/>
        </w:rPr>
        <w:t> </w:t>
      </w:r>
      <w:r>
        <w:rPr>
          <w:sz w:val="20"/>
        </w:rPr>
        <w:t>reside en</w:t>
      </w:r>
      <w:r>
        <w:rPr>
          <w:spacing w:val="31"/>
          <w:sz w:val="20"/>
        </w:rPr>
        <w:t> </w:t>
      </w:r>
      <w:r>
        <w:rPr>
          <w:sz w:val="20"/>
        </w:rPr>
        <w:t>el</w:t>
      </w:r>
      <w:r>
        <w:rPr>
          <w:spacing w:val="31"/>
          <w:sz w:val="20"/>
        </w:rPr>
        <w:t> </w:t>
      </w:r>
      <w:r>
        <w:rPr>
          <w:sz w:val="20"/>
        </w:rPr>
        <w:t>territorio</w:t>
      </w:r>
      <w:r>
        <w:rPr>
          <w:spacing w:val="30"/>
          <w:sz w:val="20"/>
        </w:rPr>
        <w:t> </w:t>
      </w:r>
      <w:r>
        <w:rPr>
          <w:sz w:val="20"/>
        </w:rPr>
        <w:t>reclamado</w:t>
      </w:r>
      <w:r>
        <w:rPr>
          <w:spacing w:val="30"/>
          <w:sz w:val="20"/>
        </w:rPr>
        <w:t> </w:t>
      </w:r>
      <w:r>
        <w:rPr>
          <w:sz w:val="20"/>
        </w:rPr>
        <w:t>sino</w:t>
      </w:r>
      <w:r>
        <w:rPr>
          <w:spacing w:val="30"/>
          <w:sz w:val="20"/>
        </w:rPr>
        <w:t> </w:t>
      </w:r>
      <w:r>
        <w:rPr>
          <w:sz w:val="20"/>
        </w:rPr>
        <w:t>en</w:t>
      </w:r>
      <w:r>
        <w:rPr>
          <w:spacing w:val="30"/>
          <w:sz w:val="20"/>
        </w:rPr>
        <w:t> </w:t>
      </w:r>
      <w:r>
        <w:rPr>
          <w:sz w:val="20"/>
        </w:rPr>
        <w:t>las</w:t>
      </w:r>
      <w:r>
        <w:rPr>
          <w:spacing w:val="31"/>
          <w:sz w:val="20"/>
        </w:rPr>
        <w:t> </w:t>
      </w:r>
      <w:r>
        <w:rPr>
          <w:sz w:val="20"/>
        </w:rPr>
        <w:t>acciones</w:t>
      </w:r>
      <w:r>
        <w:rPr>
          <w:spacing w:val="31"/>
          <w:sz w:val="20"/>
        </w:rPr>
        <w:t> </w:t>
      </w:r>
      <w:r>
        <w:rPr>
          <w:sz w:val="20"/>
        </w:rPr>
        <w:t>tomadas</w:t>
      </w:r>
      <w:r>
        <w:rPr>
          <w:spacing w:val="31"/>
          <w:sz w:val="20"/>
        </w:rPr>
        <w:t> </w:t>
      </w:r>
      <w:r>
        <w:rPr>
          <w:sz w:val="20"/>
        </w:rPr>
        <w:t>por</w:t>
      </w:r>
      <w:r>
        <w:rPr>
          <w:spacing w:val="30"/>
          <w:sz w:val="20"/>
        </w:rPr>
        <w:t> </w:t>
      </w:r>
      <w:r>
        <w:rPr>
          <w:sz w:val="20"/>
        </w:rPr>
        <w:t>el</w:t>
      </w:r>
      <w:r>
        <w:rPr>
          <w:spacing w:val="31"/>
          <w:sz w:val="20"/>
        </w:rPr>
        <w:t> </w:t>
      </w:r>
      <w:r>
        <w:rPr>
          <w:sz w:val="20"/>
        </w:rPr>
        <w:t>Estado</w:t>
      </w:r>
      <w:r>
        <w:rPr>
          <w:spacing w:val="30"/>
          <w:sz w:val="20"/>
        </w:rPr>
        <w:t> </w:t>
      </w:r>
      <w:r>
        <w:rPr>
          <w:sz w:val="20"/>
        </w:rPr>
        <w:t>para</w:t>
      </w:r>
      <w:r>
        <w:rPr>
          <w:spacing w:val="31"/>
          <w:sz w:val="20"/>
        </w:rPr>
        <w:t> </w:t>
      </w:r>
      <w:r>
        <w:rPr>
          <w:sz w:val="20"/>
        </w:rPr>
        <w:t>hacer</w:t>
      </w:r>
      <w:r>
        <w:rPr>
          <w:spacing w:val="30"/>
          <w:sz w:val="20"/>
        </w:rPr>
        <w:t> </w:t>
      </w:r>
      <w:r>
        <w:rPr>
          <w:sz w:val="20"/>
        </w:rPr>
        <w:t>efectivo</w:t>
      </w:r>
      <w:r>
        <w:rPr>
          <w:spacing w:val="31"/>
          <w:sz w:val="20"/>
        </w:rPr>
        <w:t> </w:t>
      </w:r>
      <w:r>
        <w:rPr>
          <w:sz w:val="20"/>
        </w:rPr>
        <w:t>este</w:t>
      </w:r>
    </w:p>
    <w:p>
      <w:pPr>
        <w:spacing w:after="0" w:line="240" w:lineRule="auto"/>
        <w:jc w:val="both"/>
        <w:rPr>
          <w:sz w:val="20"/>
        </w:rPr>
        <w:sectPr>
          <w:footerReference w:type="default" r:id="rId47"/>
          <w:pgSz w:w="12250" w:h="15850"/>
          <w:pgMar w:footer="0" w:header="0" w:top="1500" w:bottom="280" w:left="1020" w:right="1060"/>
        </w:sectPr>
      </w:pPr>
    </w:p>
    <w:p>
      <w:pPr>
        <w:pStyle w:val="BodyText"/>
        <w:spacing w:before="198"/>
        <w:ind w:left="114" w:right="108"/>
        <w:jc w:val="both"/>
      </w:pPr>
      <w:r>
        <w:rPr/>
        <w:t>territorio;</w:t>
      </w:r>
      <w:r>
        <w:rPr>
          <w:spacing w:val="-19"/>
        </w:rPr>
        <w:t> </w:t>
      </w:r>
      <w:r>
        <w:rPr/>
        <w:t>un</w:t>
      </w:r>
      <w:r>
        <w:rPr>
          <w:spacing w:val="-18"/>
        </w:rPr>
        <w:t> </w:t>
      </w:r>
      <w:r>
        <w:rPr/>
        <w:t>conjunto</w:t>
      </w:r>
      <w:r>
        <w:rPr>
          <w:spacing w:val="-20"/>
        </w:rPr>
        <w:t> </w:t>
      </w:r>
      <w:r>
        <w:rPr/>
        <w:t>de</w:t>
      </w:r>
      <w:r>
        <w:rPr>
          <w:spacing w:val="-18"/>
        </w:rPr>
        <w:t> </w:t>
      </w:r>
      <w:r>
        <w:rPr/>
        <w:t>políticas</w:t>
      </w:r>
      <w:r>
        <w:rPr>
          <w:spacing w:val="-20"/>
        </w:rPr>
        <w:t> </w:t>
      </w:r>
      <w:r>
        <w:rPr/>
        <w:t>públicas</w:t>
      </w:r>
      <w:r>
        <w:rPr>
          <w:spacing w:val="-18"/>
        </w:rPr>
        <w:t> </w:t>
      </w:r>
      <w:r>
        <w:rPr/>
        <w:t>y</w:t>
      </w:r>
      <w:r>
        <w:rPr>
          <w:spacing w:val="-19"/>
        </w:rPr>
        <w:t> </w:t>
      </w:r>
      <w:r>
        <w:rPr/>
        <w:t>actuaciones</w:t>
      </w:r>
      <w:r>
        <w:rPr>
          <w:spacing w:val="-20"/>
        </w:rPr>
        <w:t> </w:t>
      </w:r>
      <w:r>
        <w:rPr/>
        <w:t>estatales,</w:t>
      </w:r>
      <w:r>
        <w:rPr>
          <w:spacing w:val="-18"/>
        </w:rPr>
        <w:t> </w:t>
      </w:r>
      <w:r>
        <w:rPr/>
        <w:t>cuya</w:t>
      </w:r>
      <w:r>
        <w:rPr>
          <w:spacing w:val="-19"/>
        </w:rPr>
        <w:t> </w:t>
      </w:r>
      <w:r>
        <w:rPr/>
        <w:t>realización</w:t>
      </w:r>
      <w:r>
        <w:rPr>
          <w:spacing w:val="-19"/>
        </w:rPr>
        <w:t> </w:t>
      </w:r>
      <w:r>
        <w:rPr/>
        <w:t>supondría</w:t>
      </w:r>
      <w:r>
        <w:rPr>
          <w:spacing w:val="-19"/>
        </w:rPr>
        <w:t> </w:t>
      </w:r>
      <w:r>
        <w:rPr/>
        <w:t>crear las condiciones para que los colonos puedan ser trasladados a lotes en los que se les otorgará la propiedad</w:t>
      </w:r>
      <w:r>
        <w:rPr>
          <w:spacing w:val="-2"/>
        </w:rPr>
        <w:t> </w:t>
      </w:r>
      <w:r>
        <w:rPr/>
        <w:t>privada.</w:t>
      </w:r>
    </w:p>
    <w:p>
      <w:pPr>
        <w:pStyle w:val="BodyText"/>
        <w:spacing w:before="11"/>
        <w:rPr>
          <w:sz w:val="19"/>
        </w:rPr>
      </w:pPr>
    </w:p>
    <w:p>
      <w:pPr>
        <w:pStyle w:val="ListParagraph"/>
        <w:numPr>
          <w:ilvl w:val="0"/>
          <w:numId w:val="73"/>
        </w:numPr>
        <w:tabs>
          <w:tab w:pos="823" w:val="left" w:leader="none"/>
        </w:tabs>
        <w:spacing w:line="240" w:lineRule="auto" w:before="0" w:after="0"/>
        <w:ind w:left="114" w:right="108" w:firstLine="0"/>
        <w:jc w:val="both"/>
        <w:rPr>
          <w:sz w:val="20"/>
        </w:rPr>
      </w:pPr>
      <w:r>
        <w:rPr>
          <w:sz w:val="20"/>
        </w:rPr>
        <w:t>En la Sentencia, además del incumplimiento por parte del Estado de lo que había acordado previamente con los involucrados, se deciden una serie de violaciones a los derechos humanos de las comunidades indígenas. Sin embargo, considero importante no perder de vista que, en este caso, el incumplimiento del Estado argentino afecta también los derechos de las de personas campesinas</w:t>
      </w:r>
      <w:r>
        <w:rPr>
          <w:spacing w:val="-14"/>
          <w:sz w:val="20"/>
        </w:rPr>
        <w:t> </w:t>
      </w:r>
      <w:r>
        <w:rPr>
          <w:sz w:val="20"/>
        </w:rPr>
        <w:t>que</w:t>
      </w:r>
      <w:r>
        <w:rPr>
          <w:spacing w:val="-11"/>
          <w:sz w:val="20"/>
        </w:rPr>
        <w:t> </w:t>
      </w:r>
      <w:r>
        <w:rPr>
          <w:sz w:val="20"/>
        </w:rPr>
        <w:t>viven</w:t>
      </w:r>
      <w:r>
        <w:rPr>
          <w:spacing w:val="-12"/>
          <w:sz w:val="20"/>
        </w:rPr>
        <w:t> </w:t>
      </w:r>
      <w:r>
        <w:rPr>
          <w:sz w:val="20"/>
        </w:rPr>
        <w:t>en</w:t>
      </w:r>
      <w:r>
        <w:rPr>
          <w:spacing w:val="-11"/>
          <w:sz w:val="20"/>
        </w:rPr>
        <w:t> </w:t>
      </w:r>
      <w:r>
        <w:rPr>
          <w:sz w:val="20"/>
        </w:rPr>
        <w:t>similares</w:t>
      </w:r>
      <w:r>
        <w:rPr>
          <w:spacing w:val="-14"/>
          <w:sz w:val="20"/>
        </w:rPr>
        <w:t> </w:t>
      </w:r>
      <w:r>
        <w:rPr>
          <w:sz w:val="20"/>
        </w:rPr>
        <w:t>condiciones</w:t>
      </w:r>
      <w:r>
        <w:rPr>
          <w:spacing w:val="-13"/>
          <w:sz w:val="20"/>
        </w:rPr>
        <w:t> </w:t>
      </w:r>
      <w:r>
        <w:rPr>
          <w:sz w:val="20"/>
        </w:rPr>
        <w:t>de</w:t>
      </w:r>
      <w:r>
        <w:rPr>
          <w:spacing w:val="-11"/>
          <w:sz w:val="20"/>
        </w:rPr>
        <w:t> </w:t>
      </w:r>
      <w:r>
        <w:rPr>
          <w:sz w:val="20"/>
        </w:rPr>
        <w:t>pobreza</w:t>
      </w:r>
      <w:r>
        <w:rPr>
          <w:spacing w:val="-15"/>
          <w:sz w:val="20"/>
        </w:rPr>
        <w:t> </w:t>
      </w:r>
      <w:r>
        <w:rPr>
          <w:sz w:val="20"/>
        </w:rPr>
        <w:t>y</w:t>
      </w:r>
      <w:r>
        <w:rPr>
          <w:spacing w:val="-12"/>
          <w:sz w:val="20"/>
        </w:rPr>
        <w:t> </w:t>
      </w:r>
      <w:r>
        <w:rPr>
          <w:sz w:val="20"/>
        </w:rPr>
        <w:t>precariedad</w:t>
      </w:r>
      <w:r>
        <w:rPr>
          <w:spacing w:val="-11"/>
          <w:sz w:val="20"/>
        </w:rPr>
        <w:t> </w:t>
      </w:r>
      <w:r>
        <w:rPr>
          <w:sz w:val="20"/>
        </w:rPr>
        <w:t>en</w:t>
      </w:r>
      <w:r>
        <w:rPr>
          <w:spacing w:val="-13"/>
          <w:sz w:val="20"/>
        </w:rPr>
        <w:t> </w:t>
      </w:r>
      <w:r>
        <w:rPr>
          <w:sz w:val="20"/>
        </w:rPr>
        <w:t>este</w:t>
      </w:r>
      <w:r>
        <w:rPr>
          <w:spacing w:val="-12"/>
          <w:sz w:val="20"/>
        </w:rPr>
        <w:t> </w:t>
      </w:r>
      <w:r>
        <w:rPr>
          <w:sz w:val="20"/>
        </w:rPr>
        <w:t>territorio.</w:t>
      </w:r>
      <w:r>
        <w:rPr>
          <w:spacing w:val="-13"/>
          <w:sz w:val="20"/>
        </w:rPr>
        <w:t> </w:t>
      </w:r>
      <w:r>
        <w:rPr>
          <w:sz w:val="20"/>
        </w:rPr>
        <w:t>Durante la diligencia </w:t>
      </w:r>
      <w:r>
        <w:rPr>
          <w:i/>
          <w:sz w:val="20"/>
        </w:rPr>
        <w:t>in situ </w:t>
      </w:r>
      <w:r>
        <w:rPr>
          <w:sz w:val="20"/>
        </w:rPr>
        <w:t>practicada en el marco de la tramitación de este caso tuve la oportunidad de evidenciar</w:t>
      </w:r>
      <w:r>
        <w:rPr>
          <w:spacing w:val="-15"/>
          <w:sz w:val="20"/>
        </w:rPr>
        <w:t> </w:t>
      </w:r>
      <w:r>
        <w:rPr>
          <w:sz w:val="20"/>
        </w:rPr>
        <w:t>de</w:t>
      </w:r>
      <w:r>
        <w:rPr>
          <w:spacing w:val="-12"/>
          <w:sz w:val="20"/>
        </w:rPr>
        <w:t> </w:t>
      </w:r>
      <w:r>
        <w:rPr>
          <w:sz w:val="20"/>
        </w:rPr>
        <w:t>primera</w:t>
      </w:r>
      <w:r>
        <w:rPr>
          <w:spacing w:val="-13"/>
          <w:sz w:val="20"/>
        </w:rPr>
        <w:t> </w:t>
      </w:r>
      <w:r>
        <w:rPr>
          <w:sz w:val="20"/>
        </w:rPr>
        <w:t>mano</w:t>
      </w:r>
      <w:r>
        <w:rPr>
          <w:spacing w:val="-13"/>
          <w:sz w:val="20"/>
        </w:rPr>
        <w:t> </w:t>
      </w:r>
      <w:r>
        <w:rPr>
          <w:sz w:val="20"/>
        </w:rPr>
        <w:t>estas</w:t>
      </w:r>
      <w:r>
        <w:rPr>
          <w:spacing w:val="-14"/>
          <w:sz w:val="20"/>
        </w:rPr>
        <w:t> </w:t>
      </w:r>
      <w:r>
        <w:rPr>
          <w:sz w:val="20"/>
        </w:rPr>
        <w:t>condiciones,</w:t>
      </w:r>
      <w:r>
        <w:rPr>
          <w:spacing w:val="-14"/>
          <w:sz w:val="20"/>
        </w:rPr>
        <w:t> </w:t>
      </w:r>
      <w:r>
        <w:rPr>
          <w:sz w:val="20"/>
        </w:rPr>
        <w:t>pero</w:t>
      </w:r>
      <w:r>
        <w:rPr>
          <w:spacing w:val="-13"/>
          <w:sz w:val="20"/>
        </w:rPr>
        <w:t> </w:t>
      </w:r>
      <w:r>
        <w:rPr>
          <w:sz w:val="20"/>
        </w:rPr>
        <w:t>por</w:t>
      </w:r>
      <w:r>
        <w:rPr>
          <w:spacing w:val="-15"/>
          <w:sz w:val="20"/>
        </w:rPr>
        <w:t> </w:t>
      </w:r>
      <w:r>
        <w:rPr>
          <w:sz w:val="20"/>
        </w:rPr>
        <w:t>las</w:t>
      </w:r>
      <w:r>
        <w:rPr>
          <w:spacing w:val="-14"/>
          <w:sz w:val="20"/>
        </w:rPr>
        <w:t> </w:t>
      </w:r>
      <w:r>
        <w:rPr>
          <w:sz w:val="20"/>
        </w:rPr>
        <w:t>limitaciones</w:t>
      </w:r>
      <w:r>
        <w:rPr>
          <w:spacing w:val="-12"/>
          <w:sz w:val="20"/>
        </w:rPr>
        <w:t> </w:t>
      </w:r>
      <w:r>
        <w:rPr>
          <w:sz w:val="20"/>
        </w:rPr>
        <w:t>de</w:t>
      </w:r>
      <w:r>
        <w:rPr>
          <w:spacing w:val="-13"/>
          <w:sz w:val="20"/>
        </w:rPr>
        <w:t> </w:t>
      </w:r>
      <w:r>
        <w:rPr>
          <w:sz w:val="20"/>
        </w:rPr>
        <w:t>competencia</w:t>
      </w:r>
      <w:r>
        <w:rPr>
          <w:spacing w:val="-13"/>
          <w:sz w:val="20"/>
        </w:rPr>
        <w:t> </w:t>
      </w:r>
      <w:r>
        <w:rPr>
          <w:sz w:val="20"/>
        </w:rPr>
        <w:t>de</w:t>
      </w:r>
      <w:r>
        <w:rPr>
          <w:spacing w:val="-13"/>
          <w:sz w:val="20"/>
        </w:rPr>
        <w:t> </w:t>
      </w:r>
      <w:r>
        <w:rPr>
          <w:sz w:val="20"/>
        </w:rPr>
        <w:t>la</w:t>
      </w:r>
      <w:r>
        <w:rPr>
          <w:spacing w:val="-14"/>
          <w:sz w:val="20"/>
        </w:rPr>
        <w:t> </w:t>
      </w:r>
      <w:r>
        <w:rPr>
          <w:sz w:val="20"/>
        </w:rPr>
        <w:t>Corte en casos contenciosos, se impide la participación de estos grupos de personas, pues no son alegadas víctimas en el</w:t>
      </w:r>
      <w:r>
        <w:rPr>
          <w:spacing w:val="-3"/>
          <w:sz w:val="20"/>
        </w:rPr>
        <w:t> </w:t>
      </w:r>
      <w:r>
        <w:rPr>
          <w:sz w:val="20"/>
        </w:rPr>
        <w:t>proceso.</w:t>
      </w:r>
    </w:p>
    <w:p>
      <w:pPr>
        <w:pStyle w:val="BodyText"/>
        <w:spacing w:before="11"/>
        <w:rPr>
          <w:sz w:val="19"/>
        </w:rPr>
      </w:pPr>
    </w:p>
    <w:p>
      <w:pPr>
        <w:pStyle w:val="ListParagraph"/>
        <w:numPr>
          <w:ilvl w:val="0"/>
          <w:numId w:val="73"/>
        </w:numPr>
        <w:tabs>
          <w:tab w:pos="823" w:val="left" w:leader="none"/>
        </w:tabs>
        <w:spacing w:line="240" w:lineRule="auto" w:before="0" w:after="0"/>
        <w:ind w:left="114" w:right="108" w:firstLine="0"/>
        <w:jc w:val="both"/>
        <w:rPr>
          <w:sz w:val="20"/>
        </w:rPr>
      </w:pPr>
      <w:r>
        <w:rPr>
          <w:sz w:val="20"/>
        </w:rPr>
        <w:t>Si bien la Corte ha recibido y valorado todos los elementos probatorios que se han presentado</w:t>
      </w:r>
      <w:r>
        <w:rPr>
          <w:spacing w:val="-19"/>
          <w:sz w:val="20"/>
        </w:rPr>
        <w:t> </w:t>
      </w:r>
      <w:r>
        <w:rPr>
          <w:sz w:val="20"/>
        </w:rPr>
        <w:t>en</w:t>
      </w:r>
      <w:r>
        <w:rPr>
          <w:spacing w:val="-18"/>
          <w:sz w:val="20"/>
        </w:rPr>
        <w:t> </w:t>
      </w:r>
      <w:r>
        <w:rPr>
          <w:sz w:val="20"/>
        </w:rPr>
        <w:t>el</w:t>
      </w:r>
      <w:r>
        <w:rPr>
          <w:spacing w:val="-17"/>
          <w:sz w:val="20"/>
        </w:rPr>
        <w:t> </w:t>
      </w:r>
      <w:r>
        <w:rPr>
          <w:sz w:val="20"/>
        </w:rPr>
        <w:t>proceso</w:t>
      </w:r>
      <w:r>
        <w:rPr>
          <w:spacing w:val="-17"/>
          <w:sz w:val="20"/>
        </w:rPr>
        <w:t> </w:t>
      </w:r>
      <w:r>
        <w:rPr>
          <w:sz w:val="20"/>
        </w:rPr>
        <w:t>y</w:t>
      </w:r>
      <w:r>
        <w:rPr>
          <w:spacing w:val="-17"/>
          <w:sz w:val="20"/>
        </w:rPr>
        <w:t> </w:t>
      </w:r>
      <w:r>
        <w:rPr>
          <w:sz w:val="20"/>
        </w:rPr>
        <w:t>ha</w:t>
      </w:r>
      <w:r>
        <w:rPr>
          <w:spacing w:val="-18"/>
          <w:sz w:val="20"/>
        </w:rPr>
        <w:t> </w:t>
      </w:r>
      <w:r>
        <w:rPr>
          <w:sz w:val="20"/>
        </w:rPr>
        <w:t>tenido</w:t>
      </w:r>
      <w:r>
        <w:rPr>
          <w:spacing w:val="-17"/>
          <w:sz w:val="20"/>
        </w:rPr>
        <w:t> </w:t>
      </w:r>
      <w:r>
        <w:rPr>
          <w:sz w:val="20"/>
        </w:rPr>
        <w:t>muy</w:t>
      </w:r>
      <w:r>
        <w:rPr>
          <w:spacing w:val="-18"/>
          <w:sz w:val="20"/>
        </w:rPr>
        <w:t> </w:t>
      </w:r>
      <w:r>
        <w:rPr>
          <w:sz w:val="20"/>
        </w:rPr>
        <w:t>presente</w:t>
      </w:r>
      <w:r>
        <w:rPr>
          <w:spacing w:val="-17"/>
          <w:sz w:val="20"/>
        </w:rPr>
        <w:t> </w:t>
      </w:r>
      <w:r>
        <w:rPr>
          <w:sz w:val="20"/>
        </w:rPr>
        <w:t>la</w:t>
      </w:r>
      <w:r>
        <w:rPr>
          <w:spacing w:val="-17"/>
          <w:sz w:val="20"/>
        </w:rPr>
        <w:t> </w:t>
      </w:r>
      <w:r>
        <w:rPr>
          <w:sz w:val="20"/>
        </w:rPr>
        <w:t>situación</w:t>
      </w:r>
      <w:r>
        <w:rPr>
          <w:spacing w:val="-18"/>
          <w:sz w:val="20"/>
        </w:rPr>
        <w:t> </w:t>
      </w:r>
      <w:r>
        <w:rPr>
          <w:sz w:val="20"/>
        </w:rPr>
        <w:t>de</w:t>
      </w:r>
      <w:r>
        <w:rPr>
          <w:spacing w:val="-16"/>
          <w:sz w:val="20"/>
        </w:rPr>
        <w:t> </w:t>
      </w:r>
      <w:r>
        <w:rPr>
          <w:sz w:val="20"/>
        </w:rPr>
        <w:t>vulnerabilidad</w:t>
      </w:r>
      <w:r>
        <w:rPr>
          <w:spacing w:val="-18"/>
          <w:sz w:val="20"/>
        </w:rPr>
        <w:t> </w:t>
      </w:r>
      <w:r>
        <w:rPr>
          <w:sz w:val="20"/>
        </w:rPr>
        <w:t>de</w:t>
      </w:r>
      <w:r>
        <w:rPr>
          <w:spacing w:val="-17"/>
          <w:sz w:val="20"/>
        </w:rPr>
        <w:t> </w:t>
      </w:r>
      <w:r>
        <w:rPr>
          <w:sz w:val="20"/>
        </w:rPr>
        <w:t>los</w:t>
      </w:r>
      <w:r>
        <w:rPr>
          <w:spacing w:val="-17"/>
          <w:sz w:val="20"/>
        </w:rPr>
        <w:t> </w:t>
      </w:r>
      <w:r>
        <w:rPr>
          <w:sz w:val="20"/>
        </w:rPr>
        <w:t>campesinos, es</w:t>
      </w:r>
      <w:r>
        <w:rPr>
          <w:spacing w:val="-5"/>
          <w:sz w:val="20"/>
        </w:rPr>
        <w:t> </w:t>
      </w:r>
      <w:r>
        <w:rPr>
          <w:sz w:val="20"/>
        </w:rPr>
        <w:t>necesario</w:t>
      </w:r>
      <w:r>
        <w:rPr>
          <w:spacing w:val="-5"/>
          <w:sz w:val="20"/>
        </w:rPr>
        <w:t> </w:t>
      </w:r>
      <w:r>
        <w:rPr>
          <w:sz w:val="20"/>
        </w:rPr>
        <w:t>repensar</w:t>
      </w:r>
      <w:r>
        <w:rPr>
          <w:spacing w:val="-5"/>
          <w:sz w:val="20"/>
        </w:rPr>
        <w:t> </w:t>
      </w:r>
      <w:r>
        <w:rPr>
          <w:sz w:val="20"/>
        </w:rPr>
        <w:t>la</w:t>
      </w:r>
      <w:r>
        <w:rPr>
          <w:spacing w:val="-6"/>
          <w:sz w:val="20"/>
        </w:rPr>
        <w:t> </w:t>
      </w:r>
      <w:r>
        <w:rPr>
          <w:sz w:val="20"/>
        </w:rPr>
        <w:t>dinámica</w:t>
      </w:r>
      <w:r>
        <w:rPr>
          <w:spacing w:val="-6"/>
          <w:sz w:val="20"/>
        </w:rPr>
        <w:t> </w:t>
      </w:r>
      <w:r>
        <w:rPr>
          <w:sz w:val="20"/>
        </w:rPr>
        <w:t>de</w:t>
      </w:r>
      <w:r>
        <w:rPr>
          <w:spacing w:val="-5"/>
          <w:sz w:val="20"/>
        </w:rPr>
        <w:t> </w:t>
      </w:r>
      <w:r>
        <w:rPr>
          <w:sz w:val="20"/>
        </w:rPr>
        <w:t>los</w:t>
      </w:r>
      <w:r>
        <w:rPr>
          <w:spacing w:val="-5"/>
          <w:sz w:val="20"/>
        </w:rPr>
        <w:t> </w:t>
      </w:r>
      <w:r>
        <w:rPr>
          <w:sz w:val="20"/>
        </w:rPr>
        <w:t>procesos</w:t>
      </w:r>
      <w:r>
        <w:rPr>
          <w:spacing w:val="-5"/>
          <w:sz w:val="20"/>
        </w:rPr>
        <w:t> </w:t>
      </w:r>
      <w:r>
        <w:rPr>
          <w:sz w:val="20"/>
        </w:rPr>
        <w:t>sobre</w:t>
      </w:r>
      <w:r>
        <w:rPr>
          <w:spacing w:val="-2"/>
          <w:sz w:val="20"/>
        </w:rPr>
        <w:t> </w:t>
      </w:r>
      <w:r>
        <w:rPr>
          <w:sz w:val="20"/>
        </w:rPr>
        <w:t>derechos</w:t>
      </w:r>
      <w:r>
        <w:rPr>
          <w:spacing w:val="-6"/>
          <w:sz w:val="20"/>
        </w:rPr>
        <w:t> </w:t>
      </w:r>
      <w:r>
        <w:rPr>
          <w:sz w:val="20"/>
        </w:rPr>
        <w:t>de</w:t>
      </w:r>
      <w:r>
        <w:rPr>
          <w:spacing w:val="-5"/>
          <w:sz w:val="20"/>
        </w:rPr>
        <w:t> </w:t>
      </w:r>
      <w:r>
        <w:rPr>
          <w:sz w:val="20"/>
        </w:rPr>
        <w:t>la</w:t>
      </w:r>
      <w:r>
        <w:rPr>
          <w:spacing w:val="-6"/>
          <w:sz w:val="20"/>
        </w:rPr>
        <w:t> </w:t>
      </w:r>
      <w:r>
        <w:rPr>
          <w:sz w:val="20"/>
        </w:rPr>
        <w:t>población</w:t>
      </w:r>
      <w:r>
        <w:rPr>
          <w:spacing w:val="-5"/>
          <w:sz w:val="20"/>
        </w:rPr>
        <w:t> </w:t>
      </w:r>
      <w:r>
        <w:rPr>
          <w:sz w:val="20"/>
        </w:rPr>
        <w:t>indígena</w:t>
      </w:r>
      <w:r>
        <w:rPr>
          <w:spacing w:val="-5"/>
          <w:sz w:val="20"/>
        </w:rPr>
        <w:t> </w:t>
      </w:r>
      <w:r>
        <w:rPr>
          <w:sz w:val="20"/>
        </w:rPr>
        <w:t>y</w:t>
      </w:r>
      <w:r>
        <w:rPr>
          <w:spacing w:val="-6"/>
          <w:sz w:val="20"/>
        </w:rPr>
        <w:t> </w:t>
      </w:r>
      <w:r>
        <w:rPr>
          <w:sz w:val="20"/>
        </w:rPr>
        <w:t>tribal. Particularmente, cuando se deciden situaciones derivadas del artículo 21 de la Convención que afectan o involucran a grupos de colonos, campesinos o criollos, que como terceros no tienen participación directa en el proceso. Especialmente teniendo en consideración que estas problemáticas, usualmente van acompañadas de actos de violencia, acoso, muertes, o desplazamiento. Estas decisiones deben estar siempre ponderadas, y buscar un equilibrio con los derechos de terceros, en un contexto de diálogo, conciliación y exclusión de factores que puedan contribuir a generar o profundizar situaciones de</w:t>
      </w:r>
      <w:r>
        <w:rPr>
          <w:spacing w:val="-17"/>
          <w:sz w:val="20"/>
        </w:rPr>
        <w:t> </w:t>
      </w:r>
      <w:r>
        <w:rPr>
          <w:sz w:val="20"/>
        </w:rPr>
        <w:t>violencia.</w:t>
      </w:r>
    </w:p>
    <w:p>
      <w:pPr>
        <w:pStyle w:val="BodyText"/>
        <w:spacing w:before="11"/>
        <w:rPr>
          <w:sz w:val="19"/>
        </w:rPr>
      </w:pPr>
    </w:p>
    <w:p>
      <w:pPr>
        <w:pStyle w:val="Heading3"/>
        <w:numPr>
          <w:ilvl w:val="0"/>
          <w:numId w:val="74"/>
        </w:numPr>
        <w:tabs>
          <w:tab w:pos="491" w:val="left" w:leader="none"/>
        </w:tabs>
        <w:spacing w:line="240" w:lineRule="auto" w:before="0" w:after="0"/>
        <w:ind w:left="114" w:right="110" w:firstLine="0"/>
        <w:jc w:val="both"/>
      </w:pPr>
      <w:r>
        <w:rPr/>
        <w:t>Problemas en la sustracción del contenido y alcance del derecho a la propiedad comunal (artículo 21 de la Convención Americana) para proteger los derechos de los pueblos indígenas y</w:t>
      </w:r>
      <w:r>
        <w:rPr>
          <w:spacing w:val="-14"/>
        </w:rPr>
        <w:t> </w:t>
      </w:r>
      <w:r>
        <w:rPr/>
        <w:t>tribales</w:t>
      </w:r>
    </w:p>
    <w:p>
      <w:pPr>
        <w:pStyle w:val="BodyText"/>
        <w:spacing w:before="11"/>
        <w:rPr>
          <w:b/>
          <w:sz w:val="19"/>
        </w:rPr>
      </w:pPr>
    </w:p>
    <w:p>
      <w:pPr>
        <w:pStyle w:val="ListParagraph"/>
        <w:numPr>
          <w:ilvl w:val="0"/>
          <w:numId w:val="73"/>
        </w:numPr>
        <w:tabs>
          <w:tab w:pos="823" w:val="left" w:leader="none"/>
        </w:tabs>
        <w:spacing w:line="240" w:lineRule="auto" w:before="0" w:after="0"/>
        <w:ind w:left="114" w:right="106" w:firstLine="0"/>
        <w:jc w:val="both"/>
        <w:rPr>
          <w:sz w:val="20"/>
        </w:rPr>
      </w:pPr>
      <w:r>
        <w:rPr>
          <w:sz w:val="20"/>
        </w:rPr>
        <w:t>Posiblemente uno de los mayores y más innovadores desarrollos jurisprudenciales de la Corte</w:t>
      </w:r>
      <w:r>
        <w:rPr>
          <w:spacing w:val="-6"/>
          <w:sz w:val="20"/>
        </w:rPr>
        <w:t> </w:t>
      </w:r>
      <w:r>
        <w:rPr>
          <w:sz w:val="20"/>
        </w:rPr>
        <w:t>ha</w:t>
      </w:r>
      <w:r>
        <w:rPr>
          <w:spacing w:val="-6"/>
          <w:sz w:val="20"/>
        </w:rPr>
        <w:t> </w:t>
      </w:r>
      <w:r>
        <w:rPr>
          <w:sz w:val="20"/>
        </w:rPr>
        <w:t>sido</w:t>
      </w:r>
      <w:r>
        <w:rPr>
          <w:spacing w:val="-6"/>
          <w:sz w:val="20"/>
        </w:rPr>
        <w:t> </w:t>
      </w:r>
      <w:r>
        <w:rPr>
          <w:sz w:val="20"/>
        </w:rPr>
        <w:t>su</w:t>
      </w:r>
      <w:r>
        <w:rPr>
          <w:spacing w:val="-5"/>
          <w:sz w:val="20"/>
        </w:rPr>
        <w:t> </w:t>
      </w:r>
      <w:r>
        <w:rPr>
          <w:sz w:val="20"/>
        </w:rPr>
        <w:t>jurisprudencia</w:t>
      </w:r>
      <w:r>
        <w:rPr>
          <w:spacing w:val="-6"/>
          <w:sz w:val="20"/>
        </w:rPr>
        <w:t> </w:t>
      </w:r>
      <w:r>
        <w:rPr>
          <w:sz w:val="20"/>
        </w:rPr>
        <w:t>respecto</w:t>
      </w:r>
      <w:r>
        <w:rPr>
          <w:spacing w:val="-7"/>
          <w:sz w:val="20"/>
        </w:rPr>
        <w:t> </w:t>
      </w:r>
      <w:r>
        <w:rPr>
          <w:sz w:val="20"/>
        </w:rPr>
        <w:t>de</w:t>
      </w:r>
      <w:r>
        <w:rPr>
          <w:spacing w:val="-6"/>
          <w:sz w:val="20"/>
        </w:rPr>
        <w:t> </w:t>
      </w:r>
      <w:r>
        <w:rPr>
          <w:sz w:val="20"/>
        </w:rPr>
        <w:t>pueblos</w:t>
      </w:r>
      <w:r>
        <w:rPr>
          <w:spacing w:val="-7"/>
          <w:sz w:val="20"/>
        </w:rPr>
        <w:t> </w:t>
      </w:r>
      <w:r>
        <w:rPr>
          <w:sz w:val="20"/>
        </w:rPr>
        <w:t>indígenas</w:t>
      </w:r>
      <w:r>
        <w:rPr>
          <w:spacing w:val="-6"/>
          <w:sz w:val="20"/>
        </w:rPr>
        <w:t> </w:t>
      </w:r>
      <w:r>
        <w:rPr>
          <w:sz w:val="20"/>
        </w:rPr>
        <w:t>y</w:t>
      </w:r>
      <w:r>
        <w:rPr>
          <w:spacing w:val="-7"/>
          <w:sz w:val="20"/>
        </w:rPr>
        <w:t> </w:t>
      </w:r>
      <w:r>
        <w:rPr>
          <w:sz w:val="20"/>
        </w:rPr>
        <w:t>tribales.</w:t>
      </w:r>
      <w:r>
        <w:rPr>
          <w:spacing w:val="-7"/>
          <w:sz w:val="20"/>
        </w:rPr>
        <w:t> </w:t>
      </w:r>
      <w:r>
        <w:rPr>
          <w:sz w:val="20"/>
        </w:rPr>
        <w:t>Con</w:t>
      </w:r>
      <w:r>
        <w:rPr>
          <w:spacing w:val="-7"/>
          <w:sz w:val="20"/>
        </w:rPr>
        <w:t> </w:t>
      </w:r>
      <w:r>
        <w:rPr>
          <w:sz w:val="20"/>
        </w:rPr>
        <w:t>pronunciamientos</w:t>
      </w:r>
      <w:r>
        <w:rPr>
          <w:spacing w:val="-6"/>
          <w:sz w:val="20"/>
        </w:rPr>
        <w:t> </w:t>
      </w:r>
      <w:r>
        <w:rPr>
          <w:sz w:val="20"/>
        </w:rPr>
        <w:t>sin precedentes</w:t>
      </w:r>
      <w:r>
        <w:rPr>
          <w:spacing w:val="-5"/>
          <w:sz w:val="20"/>
        </w:rPr>
        <w:t> </w:t>
      </w:r>
      <w:r>
        <w:rPr>
          <w:sz w:val="20"/>
        </w:rPr>
        <w:t>de</w:t>
      </w:r>
      <w:r>
        <w:rPr>
          <w:spacing w:val="-5"/>
          <w:sz w:val="20"/>
        </w:rPr>
        <w:t> </w:t>
      </w:r>
      <w:r>
        <w:rPr>
          <w:sz w:val="20"/>
        </w:rPr>
        <w:t>parte</w:t>
      </w:r>
      <w:r>
        <w:rPr>
          <w:spacing w:val="-5"/>
          <w:sz w:val="20"/>
        </w:rPr>
        <w:t> </w:t>
      </w:r>
      <w:r>
        <w:rPr>
          <w:sz w:val="20"/>
        </w:rPr>
        <w:t>de</w:t>
      </w:r>
      <w:r>
        <w:rPr>
          <w:spacing w:val="-5"/>
          <w:sz w:val="20"/>
        </w:rPr>
        <w:t> </w:t>
      </w:r>
      <w:r>
        <w:rPr>
          <w:sz w:val="20"/>
        </w:rPr>
        <w:t>un</w:t>
      </w:r>
      <w:r>
        <w:rPr>
          <w:spacing w:val="-4"/>
          <w:sz w:val="20"/>
        </w:rPr>
        <w:t> </w:t>
      </w:r>
      <w:r>
        <w:rPr>
          <w:sz w:val="20"/>
        </w:rPr>
        <w:t>tribunal</w:t>
      </w:r>
      <w:r>
        <w:rPr>
          <w:spacing w:val="-7"/>
          <w:sz w:val="20"/>
        </w:rPr>
        <w:t> </w:t>
      </w:r>
      <w:r>
        <w:rPr>
          <w:sz w:val="20"/>
        </w:rPr>
        <w:t>internacional,</w:t>
      </w:r>
      <w:r>
        <w:rPr>
          <w:spacing w:val="-4"/>
          <w:sz w:val="20"/>
        </w:rPr>
        <w:t> </w:t>
      </w:r>
      <w:r>
        <w:rPr>
          <w:sz w:val="20"/>
        </w:rPr>
        <w:t>la</w:t>
      </w:r>
      <w:r>
        <w:rPr>
          <w:spacing w:val="-6"/>
          <w:sz w:val="20"/>
        </w:rPr>
        <w:t> </w:t>
      </w:r>
      <w:r>
        <w:rPr>
          <w:sz w:val="20"/>
        </w:rPr>
        <w:t>Corte</w:t>
      </w:r>
      <w:r>
        <w:rPr>
          <w:spacing w:val="-6"/>
          <w:sz w:val="20"/>
        </w:rPr>
        <w:t> </w:t>
      </w:r>
      <w:r>
        <w:rPr>
          <w:sz w:val="20"/>
        </w:rPr>
        <w:t>ha</w:t>
      </w:r>
      <w:r>
        <w:rPr>
          <w:spacing w:val="-4"/>
          <w:sz w:val="20"/>
        </w:rPr>
        <w:t> </w:t>
      </w:r>
      <w:r>
        <w:rPr>
          <w:sz w:val="20"/>
        </w:rPr>
        <w:t>delimitado</w:t>
      </w:r>
      <w:r>
        <w:rPr>
          <w:spacing w:val="-5"/>
          <w:sz w:val="20"/>
        </w:rPr>
        <w:t> </w:t>
      </w:r>
      <w:r>
        <w:rPr>
          <w:sz w:val="20"/>
        </w:rPr>
        <w:t>las</w:t>
      </w:r>
      <w:r>
        <w:rPr>
          <w:spacing w:val="-5"/>
          <w:sz w:val="20"/>
        </w:rPr>
        <w:t> </w:t>
      </w:r>
      <w:r>
        <w:rPr>
          <w:sz w:val="20"/>
        </w:rPr>
        <w:t>obligaciones</w:t>
      </w:r>
      <w:r>
        <w:rPr>
          <w:spacing w:val="-7"/>
          <w:sz w:val="20"/>
        </w:rPr>
        <w:t> </w:t>
      </w:r>
      <w:r>
        <w:rPr>
          <w:sz w:val="20"/>
        </w:rPr>
        <w:t>estatales en</w:t>
      </w:r>
      <w:r>
        <w:rPr>
          <w:spacing w:val="-18"/>
          <w:sz w:val="20"/>
        </w:rPr>
        <w:t> </w:t>
      </w:r>
      <w:r>
        <w:rPr>
          <w:sz w:val="20"/>
        </w:rPr>
        <w:t>torno</w:t>
      </w:r>
      <w:r>
        <w:rPr>
          <w:spacing w:val="-18"/>
          <w:sz w:val="20"/>
        </w:rPr>
        <w:t> </w:t>
      </w:r>
      <w:r>
        <w:rPr>
          <w:sz w:val="20"/>
        </w:rPr>
        <w:t>al</w:t>
      </w:r>
      <w:r>
        <w:rPr>
          <w:spacing w:val="-19"/>
          <w:sz w:val="20"/>
        </w:rPr>
        <w:t> </w:t>
      </w:r>
      <w:r>
        <w:rPr>
          <w:sz w:val="20"/>
        </w:rPr>
        <w:t>derecho</w:t>
      </w:r>
      <w:r>
        <w:rPr>
          <w:spacing w:val="-18"/>
          <w:sz w:val="20"/>
        </w:rPr>
        <w:t> </w:t>
      </w:r>
      <w:r>
        <w:rPr>
          <w:sz w:val="20"/>
        </w:rPr>
        <w:t>a</w:t>
      </w:r>
      <w:r>
        <w:rPr>
          <w:spacing w:val="-18"/>
          <w:sz w:val="20"/>
        </w:rPr>
        <w:t> </w:t>
      </w:r>
      <w:r>
        <w:rPr>
          <w:sz w:val="20"/>
        </w:rPr>
        <w:t>la</w:t>
      </w:r>
      <w:r>
        <w:rPr>
          <w:spacing w:val="-19"/>
          <w:sz w:val="20"/>
        </w:rPr>
        <w:t> </w:t>
      </w:r>
      <w:r>
        <w:rPr>
          <w:sz w:val="20"/>
        </w:rPr>
        <w:t>propiedad</w:t>
      </w:r>
      <w:r>
        <w:rPr>
          <w:spacing w:val="-19"/>
          <w:sz w:val="20"/>
        </w:rPr>
        <w:t> </w:t>
      </w:r>
      <w:r>
        <w:rPr>
          <w:sz w:val="20"/>
        </w:rPr>
        <w:t>comunal,</w:t>
      </w:r>
      <w:r>
        <w:rPr>
          <w:spacing w:val="-18"/>
          <w:sz w:val="20"/>
        </w:rPr>
        <w:t> </w:t>
      </w:r>
      <w:r>
        <w:rPr>
          <w:sz w:val="20"/>
        </w:rPr>
        <w:t>a</w:t>
      </w:r>
      <w:r>
        <w:rPr>
          <w:spacing w:val="-19"/>
          <w:sz w:val="20"/>
        </w:rPr>
        <w:t> </w:t>
      </w:r>
      <w:r>
        <w:rPr>
          <w:sz w:val="20"/>
        </w:rPr>
        <w:t>la</w:t>
      </w:r>
      <w:r>
        <w:rPr>
          <w:spacing w:val="-19"/>
          <w:sz w:val="20"/>
        </w:rPr>
        <w:t> </w:t>
      </w:r>
      <w:r>
        <w:rPr>
          <w:sz w:val="20"/>
        </w:rPr>
        <w:t>consulta</w:t>
      </w:r>
      <w:r>
        <w:rPr>
          <w:spacing w:val="-18"/>
          <w:sz w:val="20"/>
        </w:rPr>
        <w:t> </w:t>
      </w:r>
      <w:r>
        <w:rPr>
          <w:sz w:val="20"/>
        </w:rPr>
        <w:t>previa,</w:t>
      </w:r>
      <w:r>
        <w:rPr>
          <w:spacing w:val="-17"/>
          <w:sz w:val="20"/>
        </w:rPr>
        <w:t> </w:t>
      </w:r>
      <w:r>
        <w:rPr>
          <w:sz w:val="20"/>
        </w:rPr>
        <w:t>a</w:t>
      </w:r>
      <w:r>
        <w:rPr>
          <w:spacing w:val="-18"/>
          <w:sz w:val="20"/>
        </w:rPr>
        <w:t> </w:t>
      </w:r>
      <w:r>
        <w:rPr>
          <w:sz w:val="20"/>
        </w:rPr>
        <w:t>los</w:t>
      </w:r>
      <w:r>
        <w:rPr>
          <w:spacing w:val="-18"/>
          <w:sz w:val="20"/>
        </w:rPr>
        <w:t> </w:t>
      </w:r>
      <w:r>
        <w:rPr>
          <w:sz w:val="20"/>
        </w:rPr>
        <w:t>derechos</w:t>
      </w:r>
      <w:r>
        <w:rPr>
          <w:spacing w:val="-18"/>
          <w:sz w:val="20"/>
        </w:rPr>
        <w:t> </w:t>
      </w:r>
      <w:r>
        <w:rPr>
          <w:sz w:val="20"/>
        </w:rPr>
        <w:t>políticos,</w:t>
      </w:r>
      <w:r>
        <w:rPr>
          <w:spacing w:val="-13"/>
          <w:sz w:val="20"/>
        </w:rPr>
        <w:t> </w:t>
      </w:r>
      <w:r>
        <w:rPr>
          <w:sz w:val="20"/>
        </w:rPr>
        <w:t>al</w:t>
      </w:r>
      <w:r>
        <w:rPr>
          <w:spacing w:val="-19"/>
          <w:sz w:val="20"/>
        </w:rPr>
        <w:t> </w:t>
      </w:r>
      <w:r>
        <w:rPr>
          <w:sz w:val="20"/>
        </w:rPr>
        <w:t>principio de no discriminación, entre otros, derechos esenciales de los miembros de estas comunidades. Es por ello que, con mucha sorpresa y desavenencia observo cómo el propósito de extender la jurisprudencia sobre justiciabilidad de los DESCA ha resultado, de manera desfavorable para los derechos</w:t>
      </w:r>
      <w:r>
        <w:rPr>
          <w:spacing w:val="-7"/>
          <w:sz w:val="20"/>
        </w:rPr>
        <w:t> </w:t>
      </w:r>
      <w:r>
        <w:rPr>
          <w:sz w:val="20"/>
        </w:rPr>
        <w:t>de</w:t>
      </w:r>
      <w:r>
        <w:rPr>
          <w:spacing w:val="-6"/>
          <w:sz w:val="20"/>
        </w:rPr>
        <w:t> </w:t>
      </w:r>
      <w:r>
        <w:rPr>
          <w:sz w:val="20"/>
        </w:rPr>
        <w:t>los</w:t>
      </w:r>
      <w:r>
        <w:rPr>
          <w:spacing w:val="-7"/>
          <w:sz w:val="20"/>
        </w:rPr>
        <w:t> </w:t>
      </w:r>
      <w:r>
        <w:rPr>
          <w:sz w:val="20"/>
        </w:rPr>
        <w:t>pueblos</w:t>
      </w:r>
      <w:r>
        <w:rPr>
          <w:spacing w:val="-7"/>
          <w:sz w:val="20"/>
        </w:rPr>
        <w:t> </w:t>
      </w:r>
      <w:r>
        <w:rPr>
          <w:sz w:val="20"/>
        </w:rPr>
        <w:t>indígenas</w:t>
      </w:r>
      <w:r>
        <w:rPr>
          <w:spacing w:val="-9"/>
          <w:sz w:val="20"/>
        </w:rPr>
        <w:t> </w:t>
      </w:r>
      <w:r>
        <w:rPr>
          <w:sz w:val="20"/>
        </w:rPr>
        <w:t>y</w:t>
      </w:r>
      <w:r>
        <w:rPr>
          <w:spacing w:val="-7"/>
          <w:sz w:val="20"/>
        </w:rPr>
        <w:t> </w:t>
      </w:r>
      <w:r>
        <w:rPr>
          <w:sz w:val="20"/>
        </w:rPr>
        <w:t>tribales.</w:t>
      </w:r>
      <w:r>
        <w:rPr>
          <w:spacing w:val="-5"/>
          <w:sz w:val="20"/>
        </w:rPr>
        <w:t> </w:t>
      </w:r>
      <w:r>
        <w:rPr>
          <w:sz w:val="20"/>
        </w:rPr>
        <w:t>Hasta</w:t>
      </w:r>
      <w:r>
        <w:rPr>
          <w:spacing w:val="-6"/>
          <w:sz w:val="20"/>
        </w:rPr>
        <w:t> </w:t>
      </w:r>
      <w:r>
        <w:rPr>
          <w:sz w:val="20"/>
        </w:rPr>
        <w:t>antes</w:t>
      </w:r>
      <w:r>
        <w:rPr>
          <w:spacing w:val="-6"/>
          <w:sz w:val="20"/>
        </w:rPr>
        <w:t> </w:t>
      </w:r>
      <w:r>
        <w:rPr>
          <w:sz w:val="20"/>
        </w:rPr>
        <w:t>de</w:t>
      </w:r>
      <w:r>
        <w:rPr>
          <w:spacing w:val="-6"/>
          <w:sz w:val="20"/>
        </w:rPr>
        <w:t> </w:t>
      </w:r>
      <w:r>
        <w:rPr>
          <w:sz w:val="20"/>
        </w:rPr>
        <w:t>la</w:t>
      </w:r>
      <w:r>
        <w:rPr>
          <w:spacing w:val="-7"/>
          <w:sz w:val="20"/>
        </w:rPr>
        <w:t> </w:t>
      </w:r>
      <w:r>
        <w:rPr>
          <w:sz w:val="20"/>
        </w:rPr>
        <w:t>emisión</w:t>
      </w:r>
      <w:r>
        <w:rPr>
          <w:spacing w:val="-8"/>
          <w:sz w:val="20"/>
        </w:rPr>
        <w:t> </w:t>
      </w:r>
      <w:r>
        <w:rPr>
          <w:sz w:val="20"/>
        </w:rPr>
        <w:t>de</w:t>
      </w:r>
      <w:r>
        <w:rPr>
          <w:spacing w:val="-5"/>
          <w:sz w:val="20"/>
        </w:rPr>
        <w:t> </w:t>
      </w:r>
      <w:r>
        <w:rPr>
          <w:sz w:val="20"/>
        </w:rPr>
        <w:t>esta</w:t>
      </w:r>
      <w:r>
        <w:rPr>
          <w:spacing w:val="-7"/>
          <w:sz w:val="20"/>
        </w:rPr>
        <w:t> </w:t>
      </w:r>
      <w:r>
        <w:rPr>
          <w:sz w:val="20"/>
        </w:rPr>
        <w:t>decisión,</w:t>
      </w:r>
      <w:r>
        <w:rPr>
          <w:spacing w:val="-7"/>
          <w:sz w:val="20"/>
        </w:rPr>
        <w:t> </w:t>
      </w:r>
      <w:r>
        <w:rPr>
          <w:sz w:val="20"/>
        </w:rPr>
        <w:t>la</w:t>
      </w:r>
      <w:r>
        <w:rPr>
          <w:spacing w:val="-7"/>
          <w:sz w:val="20"/>
        </w:rPr>
        <w:t> </w:t>
      </w:r>
      <w:r>
        <w:rPr>
          <w:sz w:val="20"/>
        </w:rPr>
        <w:t>postura constante</w:t>
      </w:r>
      <w:r>
        <w:rPr>
          <w:spacing w:val="-7"/>
          <w:sz w:val="20"/>
        </w:rPr>
        <w:t> </w:t>
      </w:r>
      <w:r>
        <w:rPr>
          <w:sz w:val="20"/>
        </w:rPr>
        <w:t>y</w:t>
      </w:r>
      <w:r>
        <w:rPr>
          <w:spacing w:val="-9"/>
          <w:sz w:val="20"/>
        </w:rPr>
        <w:t> </w:t>
      </w:r>
      <w:r>
        <w:rPr>
          <w:sz w:val="20"/>
        </w:rPr>
        <w:t>reiterada</w:t>
      </w:r>
      <w:r>
        <w:rPr>
          <w:spacing w:val="-9"/>
          <w:sz w:val="20"/>
        </w:rPr>
        <w:t> </w:t>
      </w:r>
      <w:r>
        <w:rPr>
          <w:sz w:val="20"/>
        </w:rPr>
        <w:t>del</w:t>
      </w:r>
      <w:r>
        <w:rPr>
          <w:spacing w:val="-8"/>
          <w:sz w:val="20"/>
        </w:rPr>
        <w:t> </w:t>
      </w:r>
      <w:r>
        <w:rPr>
          <w:sz w:val="20"/>
        </w:rPr>
        <w:t>Tribunal</w:t>
      </w:r>
      <w:r>
        <w:rPr>
          <w:spacing w:val="-10"/>
          <w:sz w:val="20"/>
        </w:rPr>
        <w:t> </w:t>
      </w:r>
      <w:r>
        <w:rPr>
          <w:sz w:val="20"/>
        </w:rPr>
        <w:t>fue</w:t>
      </w:r>
      <w:r>
        <w:rPr>
          <w:spacing w:val="-6"/>
          <w:sz w:val="20"/>
        </w:rPr>
        <w:t> </w:t>
      </w:r>
      <w:r>
        <w:rPr>
          <w:sz w:val="20"/>
        </w:rPr>
        <w:t>la</w:t>
      </w:r>
      <w:r>
        <w:rPr>
          <w:spacing w:val="-10"/>
          <w:sz w:val="20"/>
        </w:rPr>
        <w:t> </w:t>
      </w:r>
      <w:r>
        <w:rPr>
          <w:sz w:val="20"/>
        </w:rPr>
        <w:t>protección</w:t>
      </w:r>
      <w:r>
        <w:rPr>
          <w:spacing w:val="-8"/>
          <w:sz w:val="20"/>
        </w:rPr>
        <w:t> </w:t>
      </w:r>
      <w:r>
        <w:rPr>
          <w:sz w:val="20"/>
        </w:rPr>
        <w:t>de</w:t>
      </w:r>
      <w:r>
        <w:rPr>
          <w:spacing w:val="-7"/>
          <w:sz w:val="20"/>
        </w:rPr>
        <w:t> </w:t>
      </w:r>
      <w:r>
        <w:rPr>
          <w:sz w:val="20"/>
        </w:rPr>
        <w:t>dichos</w:t>
      </w:r>
      <w:r>
        <w:rPr>
          <w:spacing w:val="-8"/>
          <w:sz w:val="20"/>
        </w:rPr>
        <w:t> </w:t>
      </w:r>
      <w:r>
        <w:rPr>
          <w:sz w:val="20"/>
        </w:rPr>
        <w:t>derechos</w:t>
      </w:r>
      <w:r>
        <w:rPr>
          <w:spacing w:val="-9"/>
          <w:sz w:val="20"/>
        </w:rPr>
        <w:t> </w:t>
      </w:r>
      <w:r>
        <w:rPr>
          <w:sz w:val="20"/>
        </w:rPr>
        <w:t>en</w:t>
      </w:r>
      <w:r>
        <w:rPr>
          <w:spacing w:val="-8"/>
          <w:sz w:val="20"/>
        </w:rPr>
        <w:t> </w:t>
      </w:r>
      <w:r>
        <w:rPr>
          <w:sz w:val="20"/>
        </w:rPr>
        <w:t>conexidad</w:t>
      </w:r>
      <w:r>
        <w:rPr>
          <w:spacing w:val="-6"/>
          <w:sz w:val="20"/>
        </w:rPr>
        <w:t> </w:t>
      </w:r>
      <w:r>
        <w:rPr>
          <w:sz w:val="20"/>
        </w:rPr>
        <w:t>con</w:t>
      </w:r>
      <w:r>
        <w:rPr>
          <w:spacing w:val="-9"/>
          <w:sz w:val="20"/>
        </w:rPr>
        <w:t> </w:t>
      </w:r>
      <w:r>
        <w:rPr>
          <w:sz w:val="20"/>
        </w:rPr>
        <w:t>el</w:t>
      </w:r>
      <w:r>
        <w:rPr>
          <w:spacing w:val="-7"/>
          <w:sz w:val="20"/>
        </w:rPr>
        <w:t> </w:t>
      </w:r>
      <w:r>
        <w:rPr>
          <w:sz w:val="20"/>
        </w:rPr>
        <w:t>artículo</w:t>
      </w:r>
    </w:p>
    <w:p>
      <w:pPr>
        <w:pStyle w:val="BodyText"/>
        <w:ind w:left="114" w:right="109"/>
        <w:jc w:val="both"/>
      </w:pPr>
      <w:r>
        <w:rPr/>
        <w:t>21 Convención. En esta ocasión, la mayoría de la Corte ha optado por extender la dinámica jurisprudencial de los DESCA, de manera tal que los derechos a participar en la vida cultural, en lo atinente a su identidad cultural, al medio ambiente sano, a la alimentación adecuada y al agua se encuentran establecidos en el artículo 26 de manera autónoma. Esta nueva interpretación del artículo 26 de la Convención como fuente de derechos justiciables y autónomos implica un cambio trascendental en la fundamentación de los derechos de los pueblos indígenas y tribales.</w:t>
      </w:r>
    </w:p>
    <w:p>
      <w:pPr>
        <w:pStyle w:val="BodyText"/>
        <w:spacing w:before="1"/>
      </w:pPr>
    </w:p>
    <w:p>
      <w:pPr>
        <w:pStyle w:val="ListParagraph"/>
        <w:numPr>
          <w:ilvl w:val="0"/>
          <w:numId w:val="73"/>
        </w:numPr>
        <w:tabs>
          <w:tab w:pos="823" w:val="left" w:leader="none"/>
        </w:tabs>
        <w:spacing w:line="240" w:lineRule="auto" w:before="0" w:after="0"/>
        <w:ind w:left="114" w:right="108" w:firstLine="0"/>
        <w:jc w:val="both"/>
        <w:rPr>
          <w:sz w:val="20"/>
        </w:rPr>
      </w:pPr>
      <w:r>
        <w:rPr>
          <w:sz w:val="20"/>
        </w:rPr>
        <w:t>De ninguna manera, mi posición debe entenderse como contraria al reconocimiento de los derechos a la vida cultural, al medio ambiente sano, a la alimentación adecuada o al agua de los pueblos indígenas. Todo lo contrario, considero que en este caso en particular su violación se dio en conexidad con el derecho a la propiedad comunal, consagrado en el artículo 21) de la Convención,</w:t>
      </w:r>
      <w:r>
        <w:rPr>
          <w:spacing w:val="-11"/>
          <w:sz w:val="20"/>
        </w:rPr>
        <w:t> </w:t>
      </w:r>
      <w:r>
        <w:rPr>
          <w:sz w:val="20"/>
        </w:rPr>
        <w:t>y</w:t>
      </w:r>
      <w:r>
        <w:rPr>
          <w:spacing w:val="-13"/>
          <w:sz w:val="20"/>
        </w:rPr>
        <w:t> </w:t>
      </w:r>
      <w:r>
        <w:rPr>
          <w:sz w:val="20"/>
        </w:rPr>
        <w:t>no</w:t>
      </w:r>
      <w:r>
        <w:rPr>
          <w:spacing w:val="-12"/>
          <w:sz w:val="20"/>
        </w:rPr>
        <w:t> </w:t>
      </w:r>
      <w:r>
        <w:rPr>
          <w:sz w:val="20"/>
        </w:rPr>
        <w:t>de</w:t>
      </w:r>
      <w:r>
        <w:rPr>
          <w:spacing w:val="-11"/>
          <w:sz w:val="20"/>
        </w:rPr>
        <w:t> </w:t>
      </w:r>
      <w:r>
        <w:rPr>
          <w:sz w:val="20"/>
        </w:rPr>
        <w:t>manera</w:t>
      </w:r>
      <w:r>
        <w:rPr>
          <w:spacing w:val="-12"/>
          <w:sz w:val="20"/>
        </w:rPr>
        <w:t> </w:t>
      </w:r>
      <w:r>
        <w:rPr>
          <w:sz w:val="20"/>
        </w:rPr>
        <w:t>independiente</w:t>
      </w:r>
      <w:r>
        <w:rPr>
          <w:spacing w:val="-11"/>
          <w:sz w:val="20"/>
        </w:rPr>
        <w:t> </w:t>
      </w:r>
      <w:r>
        <w:rPr>
          <w:sz w:val="20"/>
        </w:rPr>
        <w:t>como</w:t>
      </w:r>
      <w:r>
        <w:rPr>
          <w:spacing w:val="-13"/>
          <w:sz w:val="20"/>
        </w:rPr>
        <w:t> </w:t>
      </w:r>
      <w:r>
        <w:rPr>
          <w:sz w:val="20"/>
        </w:rPr>
        <w:t>una</w:t>
      </w:r>
      <w:r>
        <w:rPr>
          <w:spacing w:val="-13"/>
          <w:sz w:val="20"/>
        </w:rPr>
        <w:t> </w:t>
      </w:r>
      <w:r>
        <w:rPr>
          <w:sz w:val="20"/>
        </w:rPr>
        <w:t>violación</w:t>
      </w:r>
      <w:r>
        <w:rPr>
          <w:spacing w:val="-12"/>
          <w:sz w:val="20"/>
        </w:rPr>
        <w:t> </w:t>
      </w:r>
      <w:r>
        <w:rPr>
          <w:sz w:val="20"/>
        </w:rPr>
        <w:t>al</w:t>
      </w:r>
      <w:r>
        <w:rPr>
          <w:spacing w:val="-12"/>
          <w:sz w:val="20"/>
        </w:rPr>
        <w:t> </w:t>
      </w:r>
      <w:r>
        <w:rPr>
          <w:sz w:val="20"/>
        </w:rPr>
        <w:t>artículo</w:t>
      </w:r>
      <w:r>
        <w:rPr>
          <w:spacing w:val="-9"/>
          <w:sz w:val="20"/>
        </w:rPr>
        <w:t> </w:t>
      </w:r>
      <w:r>
        <w:rPr>
          <w:sz w:val="20"/>
        </w:rPr>
        <w:t>26.</w:t>
      </w:r>
      <w:r>
        <w:rPr>
          <w:spacing w:val="-11"/>
          <w:sz w:val="20"/>
        </w:rPr>
        <w:t> </w:t>
      </w:r>
      <w:r>
        <w:rPr>
          <w:sz w:val="20"/>
        </w:rPr>
        <w:t>Soy</w:t>
      </w:r>
      <w:r>
        <w:rPr>
          <w:spacing w:val="-11"/>
          <w:sz w:val="20"/>
        </w:rPr>
        <w:t> </w:t>
      </w:r>
      <w:r>
        <w:rPr>
          <w:sz w:val="20"/>
        </w:rPr>
        <w:t>de</w:t>
      </w:r>
      <w:r>
        <w:rPr>
          <w:spacing w:val="-12"/>
          <w:sz w:val="20"/>
        </w:rPr>
        <w:t> </w:t>
      </w:r>
      <w:r>
        <w:rPr>
          <w:sz w:val="20"/>
        </w:rPr>
        <w:t>la</w:t>
      </w:r>
      <w:r>
        <w:rPr>
          <w:spacing w:val="-12"/>
          <w:sz w:val="20"/>
        </w:rPr>
        <w:t> </w:t>
      </w:r>
      <w:r>
        <w:rPr>
          <w:sz w:val="20"/>
        </w:rPr>
        <w:t>opinión</w:t>
      </w:r>
      <w:r>
        <w:rPr>
          <w:spacing w:val="-11"/>
          <w:sz w:val="20"/>
        </w:rPr>
        <w:t> </w:t>
      </w:r>
      <w:r>
        <w:rPr>
          <w:sz w:val="20"/>
        </w:rPr>
        <w:t>que este desafortunado cambio jurisprudencial, no sólo incide de manera indirecta en una mayor desprotección</w:t>
      </w:r>
      <w:r>
        <w:rPr>
          <w:spacing w:val="-16"/>
          <w:sz w:val="20"/>
        </w:rPr>
        <w:t> </w:t>
      </w:r>
      <w:r>
        <w:rPr>
          <w:sz w:val="20"/>
        </w:rPr>
        <w:t>de</w:t>
      </w:r>
      <w:r>
        <w:rPr>
          <w:spacing w:val="-17"/>
          <w:sz w:val="20"/>
        </w:rPr>
        <w:t> </w:t>
      </w:r>
      <w:r>
        <w:rPr>
          <w:sz w:val="20"/>
        </w:rPr>
        <w:t>los</w:t>
      </w:r>
      <w:r>
        <w:rPr>
          <w:spacing w:val="-18"/>
          <w:sz w:val="20"/>
        </w:rPr>
        <w:t> </w:t>
      </w:r>
      <w:r>
        <w:rPr>
          <w:sz w:val="20"/>
        </w:rPr>
        <w:t>derechos</w:t>
      </w:r>
      <w:r>
        <w:rPr>
          <w:spacing w:val="-18"/>
          <w:sz w:val="20"/>
        </w:rPr>
        <w:t> </w:t>
      </w:r>
      <w:r>
        <w:rPr>
          <w:sz w:val="20"/>
        </w:rPr>
        <w:t>de</w:t>
      </w:r>
      <w:r>
        <w:rPr>
          <w:spacing w:val="-17"/>
          <w:sz w:val="20"/>
        </w:rPr>
        <w:t> </w:t>
      </w:r>
      <w:r>
        <w:rPr>
          <w:sz w:val="20"/>
        </w:rPr>
        <w:t>los</w:t>
      </w:r>
      <w:r>
        <w:rPr>
          <w:spacing w:val="-16"/>
          <w:sz w:val="20"/>
        </w:rPr>
        <w:t> </w:t>
      </w:r>
      <w:r>
        <w:rPr>
          <w:sz w:val="20"/>
        </w:rPr>
        <w:t>pueblos</w:t>
      </w:r>
      <w:r>
        <w:rPr>
          <w:spacing w:val="-18"/>
          <w:sz w:val="20"/>
        </w:rPr>
        <w:t> </w:t>
      </w:r>
      <w:r>
        <w:rPr>
          <w:sz w:val="20"/>
        </w:rPr>
        <w:t>indígenas,</w:t>
      </w:r>
      <w:r>
        <w:rPr>
          <w:spacing w:val="-17"/>
          <w:sz w:val="20"/>
        </w:rPr>
        <w:t> </w:t>
      </w:r>
      <w:r>
        <w:rPr>
          <w:sz w:val="20"/>
        </w:rPr>
        <w:t>sino</w:t>
      </w:r>
      <w:r>
        <w:rPr>
          <w:spacing w:val="-17"/>
          <w:sz w:val="20"/>
        </w:rPr>
        <w:t> </w:t>
      </w:r>
      <w:r>
        <w:rPr>
          <w:sz w:val="20"/>
        </w:rPr>
        <w:t>que</w:t>
      </w:r>
      <w:r>
        <w:rPr>
          <w:spacing w:val="-17"/>
          <w:sz w:val="20"/>
        </w:rPr>
        <w:t> </w:t>
      </w:r>
      <w:r>
        <w:rPr>
          <w:sz w:val="20"/>
        </w:rPr>
        <w:t>además</w:t>
      </w:r>
      <w:r>
        <w:rPr>
          <w:spacing w:val="-17"/>
          <w:sz w:val="20"/>
        </w:rPr>
        <w:t> </w:t>
      </w:r>
      <w:r>
        <w:rPr>
          <w:sz w:val="20"/>
        </w:rPr>
        <w:t>supone</w:t>
      </w:r>
      <w:r>
        <w:rPr>
          <w:spacing w:val="-17"/>
          <w:sz w:val="20"/>
        </w:rPr>
        <w:t> </w:t>
      </w:r>
      <w:r>
        <w:rPr>
          <w:sz w:val="20"/>
        </w:rPr>
        <w:t>un</w:t>
      </w:r>
      <w:r>
        <w:rPr>
          <w:spacing w:val="-16"/>
          <w:sz w:val="20"/>
        </w:rPr>
        <w:t> </w:t>
      </w:r>
      <w:r>
        <w:rPr>
          <w:sz w:val="20"/>
        </w:rPr>
        <w:t>profundo</w:t>
      </w:r>
      <w:r>
        <w:rPr>
          <w:spacing w:val="-18"/>
          <w:sz w:val="20"/>
        </w:rPr>
        <w:t> </w:t>
      </w:r>
      <w:r>
        <w:rPr>
          <w:sz w:val="20"/>
        </w:rPr>
        <w:t>grado</w:t>
      </w:r>
    </w:p>
    <w:p>
      <w:pPr>
        <w:spacing w:after="0" w:line="240" w:lineRule="auto"/>
        <w:jc w:val="both"/>
        <w:rPr>
          <w:sz w:val="20"/>
        </w:rPr>
        <w:sectPr>
          <w:footerReference w:type="default" r:id="rId48"/>
          <w:pgSz w:w="12250" w:h="15850"/>
          <w:pgMar w:footer="0" w:header="0" w:top="1500" w:bottom="280" w:left="1020" w:right="1060"/>
        </w:sectPr>
      </w:pPr>
    </w:p>
    <w:p>
      <w:pPr>
        <w:pStyle w:val="BodyText"/>
        <w:spacing w:before="198"/>
        <w:ind w:left="114" w:right="107"/>
        <w:jc w:val="both"/>
      </w:pPr>
      <w:r>
        <w:rPr/>
        <w:t>de desconocimiento de las características esenciales de sus derechos de los pueblos indígenas por las siguientes razones.</w:t>
      </w:r>
    </w:p>
    <w:p>
      <w:pPr>
        <w:pStyle w:val="BodyText"/>
        <w:spacing w:before="11"/>
        <w:rPr>
          <w:sz w:val="19"/>
        </w:rPr>
      </w:pPr>
    </w:p>
    <w:p>
      <w:pPr>
        <w:pStyle w:val="ListParagraph"/>
        <w:numPr>
          <w:ilvl w:val="0"/>
          <w:numId w:val="73"/>
        </w:numPr>
        <w:tabs>
          <w:tab w:pos="823" w:val="left" w:leader="none"/>
        </w:tabs>
        <w:spacing w:line="240" w:lineRule="auto" w:before="1" w:after="0"/>
        <w:ind w:left="114" w:right="108" w:firstLine="0"/>
        <w:jc w:val="both"/>
        <w:rPr>
          <w:sz w:val="20"/>
        </w:rPr>
      </w:pPr>
      <w:r>
        <w:rPr>
          <w:sz w:val="20"/>
        </w:rPr>
        <w:t>En primer lugar, bajo la excusa de una supuesta protección directa a estos derechos desde la perspectiva del artículo 26 de la CADH, se está obviando el actual desarrollo y protección que este Tribunal ha realizado a los pueblos indígenas y tribales a lo largo de su jurisprudencia. Tal como había señalado, en el presente caso la controversia no reside en el derecho de las comunidades indígenas sobre los territorios reclamados, sino sobre el acccionar del Estado para hacer</w:t>
      </w:r>
      <w:r>
        <w:rPr>
          <w:spacing w:val="-8"/>
          <w:sz w:val="20"/>
        </w:rPr>
        <w:t> </w:t>
      </w:r>
      <w:r>
        <w:rPr>
          <w:sz w:val="20"/>
        </w:rPr>
        <w:t>efectivo</w:t>
      </w:r>
      <w:r>
        <w:rPr>
          <w:spacing w:val="-7"/>
          <w:sz w:val="20"/>
        </w:rPr>
        <w:t> </w:t>
      </w:r>
      <w:r>
        <w:rPr>
          <w:sz w:val="20"/>
        </w:rPr>
        <w:t>lo</w:t>
      </w:r>
      <w:r>
        <w:rPr>
          <w:spacing w:val="-7"/>
          <w:sz w:val="20"/>
        </w:rPr>
        <w:t> </w:t>
      </w:r>
      <w:r>
        <w:rPr>
          <w:sz w:val="20"/>
        </w:rPr>
        <w:t>acordado.</w:t>
      </w:r>
      <w:r>
        <w:rPr>
          <w:spacing w:val="-6"/>
          <w:sz w:val="20"/>
        </w:rPr>
        <w:t> </w:t>
      </w:r>
      <w:r>
        <w:rPr>
          <w:sz w:val="20"/>
        </w:rPr>
        <w:t>Tal</w:t>
      </w:r>
      <w:r>
        <w:rPr>
          <w:spacing w:val="-7"/>
          <w:sz w:val="20"/>
        </w:rPr>
        <w:t> </w:t>
      </w:r>
      <w:r>
        <w:rPr>
          <w:sz w:val="20"/>
        </w:rPr>
        <w:t>vez,</w:t>
      </w:r>
      <w:r>
        <w:rPr>
          <w:spacing w:val="-7"/>
          <w:sz w:val="20"/>
        </w:rPr>
        <w:t> </w:t>
      </w:r>
      <w:r>
        <w:rPr>
          <w:sz w:val="20"/>
        </w:rPr>
        <w:t>es</w:t>
      </w:r>
      <w:r>
        <w:rPr>
          <w:spacing w:val="-7"/>
          <w:sz w:val="20"/>
        </w:rPr>
        <w:t> </w:t>
      </w:r>
      <w:r>
        <w:rPr>
          <w:sz w:val="20"/>
        </w:rPr>
        <w:t>por</w:t>
      </w:r>
      <w:r>
        <w:rPr>
          <w:spacing w:val="-8"/>
          <w:sz w:val="20"/>
        </w:rPr>
        <w:t> </w:t>
      </w:r>
      <w:r>
        <w:rPr>
          <w:sz w:val="20"/>
        </w:rPr>
        <w:t>ello</w:t>
      </w:r>
      <w:r>
        <w:rPr>
          <w:spacing w:val="-7"/>
          <w:sz w:val="20"/>
        </w:rPr>
        <w:t> </w:t>
      </w:r>
      <w:r>
        <w:rPr>
          <w:sz w:val="20"/>
        </w:rPr>
        <w:t>que</w:t>
      </w:r>
      <w:r>
        <w:rPr>
          <w:spacing w:val="-4"/>
          <w:sz w:val="20"/>
        </w:rPr>
        <w:t> </w:t>
      </w:r>
      <w:r>
        <w:rPr>
          <w:sz w:val="20"/>
        </w:rPr>
        <w:t>parece</w:t>
      </w:r>
      <w:r>
        <w:rPr>
          <w:spacing w:val="-7"/>
          <w:sz w:val="20"/>
        </w:rPr>
        <w:t> </w:t>
      </w:r>
      <w:r>
        <w:rPr>
          <w:sz w:val="20"/>
        </w:rPr>
        <w:t>no</w:t>
      </w:r>
      <w:r>
        <w:rPr>
          <w:spacing w:val="-6"/>
          <w:sz w:val="20"/>
        </w:rPr>
        <w:t> </w:t>
      </w:r>
      <w:r>
        <w:rPr>
          <w:sz w:val="20"/>
        </w:rPr>
        <w:t>tenerse</w:t>
      </w:r>
      <w:r>
        <w:rPr>
          <w:spacing w:val="-6"/>
          <w:sz w:val="20"/>
        </w:rPr>
        <w:t> </w:t>
      </w:r>
      <w:r>
        <w:rPr>
          <w:sz w:val="20"/>
        </w:rPr>
        <w:t>en</w:t>
      </w:r>
      <w:r>
        <w:rPr>
          <w:spacing w:val="-5"/>
          <w:sz w:val="20"/>
        </w:rPr>
        <w:t> </w:t>
      </w:r>
      <w:r>
        <w:rPr>
          <w:sz w:val="20"/>
        </w:rPr>
        <w:t>cuenta</w:t>
      </w:r>
      <w:r>
        <w:rPr>
          <w:spacing w:val="-7"/>
          <w:sz w:val="20"/>
        </w:rPr>
        <w:t> </w:t>
      </w:r>
      <w:r>
        <w:rPr>
          <w:sz w:val="20"/>
        </w:rPr>
        <w:t>la</w:t>
      </w:r>
      <w:r>
        <w:rPr>
          <w:spacing w:val="-7"/>
          <w:sz w:val="20"/>
        </w:rPr>
        <w:t> </w:t>
      </w:r>
      <w:r>
        <w:rPr>
          <w:sz w:val="20"/>
        </w:rPr>
        <w:t>importancia</w:t>
      </w:r>
      <w:r>
        <w:rPr>
          <w:spacing w:val="-7"/>
          <w:sz w:val="20"/>
        </w:rPr>
        <w:t> </w:t>
      </w:r>
      <w:r>
        <w:rPr>
          <w:sz w:val="20"/>
        </w:rPr>
        <w:t>que le ha dado la Corte en su jurisprudencia a la propiedad comunal, su contenido y alcance. Dicho derecho, contenido en el artículo 21 de la Convención, tal como lo había entendido la Corte hasta esta Sentencia, no sólo incluye la “certeza geográfica”, además de la demarcación, delimitación, titulación</w:t>
      </w:r>
      <w:r>
        <w:rPr>
          <w:position w:val="7"/>
          <w:sz w:val="13"/>
        </w:rPr>
        <w:t>15 </w:t>
      </w:r>
      <w:r>
        <w:rPr>
          <w:sz w:val="20"/>
        </w:rPr>
        <w:t>y reconocimiento en la práctica de un territorio</w:t>
      </w:r>
      <w:r>
        <w:rPr>
          <w:position w:val="7"/>
          <w:sz w:val="13"/>
        </w:rPr>
        <w:t>16</w:t>
      </w:r>
      <w:r>
        <w:rPr>
          <w:sz w:val="20"/>
        </w:rPr>
        <w:t>, sino también un cúmulo más grande de otros derechos, tales como, el derecho a la identidad cultural, el derecho a la consulta previa o,al medio ambiente</w:t>
      </w:r>
      <w:r>
        <w:rPr>
          <w:spacing w:val="-8"/>
          <w:sz w:val="20"/>
        </w:rPr>
        <w:t> </w:t>
      </w:r>
      <w:r>
        <w:rPr>
          <w:sz w:val="20"/>
        </w:rPr>
        <w:t>sano.</w:t>
      </w:r>
    </w:p>
    <w:p>
      <w:pPr>
        <w:pStyle w:val="BodyText"/>
        <w:spacing w:before="12"/>
        <w:rPr>
          <w:sz w:val="19"/>
        </w:rPr>
      </w:pPr>
    </w:p>
    <w:p>
      <w:pPr>
        <w:pStyle w:val="ListParagraph"/>
        <w:numPr>
          <w:ilvl w:val="0"/>
          <w:numId w:val="73"/>
        </w:numPr>
        <w:tabs>
          <w:tab w:pos="823" w:val="left" w:leader="none"/>
        </w:tabs>
        <w:spacing w:line="240" w:lineRule="auto" w:before="0" w:after="0"/>
        <w:ind w:left="114" w:right="107" w:firstLine="0"/>
        <w:jc w:val="both"/>
        <w:rPr>
          <w:sz w:val="20"/>
        </w:rPr>
      </w:pPr>
      <w:r>
        <w:rPr>
          <w:sz w:val="20"/>
        </w:rPr>
        <w:t>Desde su primera Sentencia relativa al derecho a la propiedad comunal, emitida en el caso </w:t>
      </w:r>
      <w:r>
        <w:rPr>
          <w:i/>
          <w:sz w:val="20"/>
        </w:rPr>
        <w:t>Comunidad Mayagna (Sumo) Awas Tingni Vs. Nicaragua, </w:t>
      </w:r>
      <w:r>
        <w:rPr>
          <w:sz w:val="20"/>
        </w:rPr>
        <w:t>la Corte mediante una interpretación evolutiva entendió que el derecho a la propiedad privada, comprendía la vinculación entre la propiedad indígena y la identidad cultural. Puntualmente, determinó que “la estrecha relación que los indígenas mantienen con la tierra debe de ser reconocida y comprendida como la base fundamental de sus culturas, su vida espiritual, su integridad y su supervivencia económica”</w:t>
      </w:r>
      <w:r>
        <w:rPr>
          <w:position w:val="7"/>
          <w:sz w:val="13"/>
        </w:rPr>
        <w:t>17</w:t>
      </w:r>
      <w:r>
        <w:rPr>
          <w:sz w:val="20"/>
        </w:rPr>
        <w:t>. A partir de entonces, la Corte ha venido ahondando en el alcance y contenido de este derecho a la identidad cultural y al medio ambiente sano siempre vinculado al derecho a la propiedad comunal, en tanto que dicha concepción de propiedad incluye “los recursos naturales ligados a su cultura […],</w:t>
      </w:r>
      <w:r>
        <w:rPr>
          <w:spacing w:val="-11"/>
          <w:sz w:val="20"/>
        </w:rPr>
        <w:t> </w:t>
      </w:r>
      <w:r>
        <w:rPr>
          <w:sz w:val="20"/>
        </w:rPr>
        <w:t>así</w:t>
      </w:r>
      <w:r>
        <w:rPr>
          <w:spacing w:val="-13"/>
          <w:sz w:val="20"/>
        </w:rPr>
        <w:t> </w:t>
      </w:r>
      <w:r>
        <w:rPr>
          <w:sz w:val="20"/>
        </w:rPr>
        <w:t>como</w:t>
      </w:r>
      <w:r>
        <w:rPr>
          <w:spacing w:val="-13"/>
          <w:sz w:val="20"/>
        </w:rPr>
        <w:t> </w:t>
      </w:r>
      <w:r>
        <w:rPr>
          <w:sz w:val="20"/>
        </w:rPr>
        <w:t>los</w:t>
      </w:r>
      <w:r>
        <w:rPr>
          <w:spacing w:val="-13"/>
          <w:sz w:val="20"/>
        </w:rPr>
        <w:t> </w:t>
      </w:r>
      <w:r>
        <w:rPr>
          <w:sz w:val="20"/>
        </w:rPr>
        <w:t>elementos</w:t>
      </w:r>
      <w:r>
        <w:rPr>
          <w:spacing w:val="-12"/>
          <w:sz w:val="20"/>
        </w:rPr>
        <w:t> </w:t>
      </w:r>
      <w:r>
        <w:rPr>
          <w:sz w:val="20"/>
        </w:rPr>
        <w:t>incorporales</w:t>
      </w:r>
      <w:r>
        <w:rPr>
          <w:spacing w:val="-12"/>
          <w:sz w:val="20"/>
        </w:rPr>
        <w:t> </w:t>
      </w:r>
      <w:r>
        <w:rPr>
          <w:sz w:val="20"/>
        </w:rPr>
        <w:t>que</w:t>
      </w:r>
      <w:r>
        <w:rPr>
          <w:spacing w:val="-11"/>
          <w:sz w:val="20"/>
        </w:rPr>
        <w:t> </w:t>
      </w:r>
      <w:r>
        <w:rPr>
          <w:sz w:val="20"/>
        </w:rPr>
        <w:t>se</w:t>
      </w:r>
      <w:r>
        <w:rPr>
          <w:spacing w:val="-11"/>
          <w:sz w:val="20"/>
        </w:rPr>
        <w:t> </w:t>
      </w:r>
      <w:r>
        <w:rPr>
          <w:sz w:val="20"/>
        </w:rPr>
        <w:t>desprendan</w:t>
      </w:r>
      <w:r>
        <w:rPr>
          <w:spacing w:val="-11"/>
          <w:sz w:val="20"/>
        </w:rPr>
        <w:t> </w:t>
      </w:r>
      <w:r>
        <w:rPr>
          <w:sz w:val="20"/>
        </w:rPr>
        <w:t>de</w:t>
      </w:r>
      <w:r>
        <w:rPr>
          <w:spacing w:val="-12"/>
          <w:sz w:val="20"/>
        </w:rPr>
        <w:t> </w:t>
      </w:r>
      <w:r>
        <w:rPr>
          <w:sz w:val="20"/>
        </w:rPr>
        <w:t>ellos”</w:t>
      </w:r>
      <w:r>
        <w:rPr>
          <w:position w:val="7"/>
          <w:sz w:val="13"/>
        </w:rPr>
        <w:t>18</w:t>
      </w:r>
      <w:r>
        <w:rPr>
          <w:sz w:val="20"/>
        </w:rPr>
        <w:t>.</w:t>
      </w:r>
      <w:r>
        <w:rPr>
          <w:spacing w:val="-12"/>
          <w:sz w:val="20"/>
        </w:rPr>
        <w:t> </w:t>
      </w:r>
      <w:r>
        <w:rPr>
          <w:sz w:val="20"/>
        </w:rPr>
        <w:t>En</w:t>
      </w:r>
      <w:r>
        <w:rPr>
          <w:spacing w:val="-12"/>
          <w:sz w:val="20"/>
        </w:rPr>
        <w:t> </w:t>
      </w:r>
      <w:r>
        <w:rPr>
          <w:sz w:val="20"/>
        </w:rPr>
        <w:t>este</w:t>
      </w:r>
      <w:r>
        <w:rPr>
          <w:spacing w:val="-11"/>
          <w:sz w:val="20"/>
        </w:rPr>
        <w:t> </w:t>
      </w:r>
      <w:r>
        <w:rPr>
          <w:sz w:val="20"/>
        </w:rPr>
        <w:t>sentido,</w:t>
      </w:r>
      <w:r>
        <w:rPr>
          <w:spacing w:val="-12"/>
          <w:sz w:val="20"/>
        </w:rPr>
        <w:t> </w:t>
      </w:r>
      <w:r>
        <w:rPr>
          <w:sz w:val="20"/>
        </w:rPr>
        <w:t>el</w:t>
      </w:r>
      <w:r>
        <w:rPr>
          <w:spacing w:val="-12"/>
          <w:sz w:val="20"/>
        </w:rPr>
        <w:t> </w:t>
      </w:r>
      <w:r>
        <w:rPr>
          <w:sz w:val="20"/>
        </w:rPr>
        <w:t>derecho a la identidad cultural y los derechos medioambientales siempre se había considerado como elementos inherentes e indisolubles del derecho a la propiedad comunal; constituyendo dos caras de una misma moneda. El axioma tierra, cultura y recursos para asegurar la supervivencia, tanto material como espiritual de los pueblos indígenas y tribales, se había constituido entonces como una cuestión esencial en la jurisprudencia de la Corte Interamericana</w:t>
      </w:r>
      <w:r>
        <w:rPr>
          <w:position w:val="7"/>
          <w:sz w:val="13"/>
        </w:rPr>
        <w:t>19</w:t>
      </w:r>
      <w:r>
        <w:rPr>
          <w:sz w:val="20"/>
        </w:rPr>
        <w:t>. Así, una concepción distanciada del artículo 21 de la Convención, como la que se propone en esta sentencia no sólo es jurídicamente incorrecta, sino que se aparta de fundamentos antropológicos y sociológicos esenciales que describen y fundamentan la particularidad de las poblaciones indígenas y tribales. Estos quedaron evidenciados incluso en el caso en particular, a través de los peritajes y la prueba por</w:t>
      </w:r>
      <w:r>
        <w:rPr>
          <w:spacing w:val="29"/>
          <w:sz w:val="20"/>
        </w:rPr>
        <w:t> </w:t>
      </w:r>
      <w:r>
        <w:rPr>
          <w:sz w:val="20"/>
        </w:rPr>
        <w:t>ejemplo,</w:t>
      </w:r>
      <w:r>
        <w:rPr>
          <w:spacing w:val="29"/>
          <w:sz w:val="20"/>
        </w:rPr>
        <w:t> </w:t>
      </w:r>
      <w:r>
        <w:rPr>
          <w:sz w:val="20"/>
        </w:rPr>
        <w:t>la</w:t>
      </w:r>
      <w:r>
        <w:rPr>
          <w:spacing w:val="27"/>
          <w:sz w:val="20"/>
        </w:rPr>
        <w:t> </w:t>
      </w:r>
      <w:r>
        <w:rPr>
          <w:sz w:val="20"/>
        </w:rPr>
        <w:t>perita</w:t>
      </w:r>
      <w:r>
        <w:rPr>
          <w:spacing w:val="29"/>
          <w:sz w:val="20"/>
        </w:rPr>
        <w:t> </w:t>
      </w:r>
      <w:r>
        <w:rPr>
          <w:sz w:val="20"/>
        </w:rPr>
        <w:t>Yáñez</w:t>
      </w:r>
      <w:r>
        <w:rPr>
          <w:spacing w:val="29"/>
          <w:sz w:val="20"/>
        </w:rPr>
        <w:t> </w:t>
      </w:r>
      <w:r>
        <w:rPr>
          <w:sz w:val="20"/>
        </w:rPr>
        <w:t>Fuenzalida</w:t>
      </w:r>
      <w:r>
        <w:rPr>
          <w:spacing w:val="29"/>
          <w:sz w:val="20"/>
        </w:rPr>
        <w:t> </w:t>
      </w:r>
      <w:r>
        <w:rPr>
          <w:sz w:val="20"/>
        </w:rPr>
        <w:t>concluyó</w:t>
      </w:r>
      <w:r>
        <w:rPr>
          <w:spacing w:val="29"/>
          <w:sz w:val="20"/>
        </w:rPr>
        <w:t> </w:t>
      </w:r>
      <w:r>
        <w:rPr>
          <w:sz w:val="20"/>
        </w:rPr>
        <w:t>que</w:t>
      </w:r>
      <w:r>
        <w:rPr>
          <w:spacing w:val="29"/>
          <w:sz w:val="20"/>
        </w:rPr>
        <w:t> </w:t>
      </w:r>
      <w:r>
        <w:rPr>
          <w:sz w:val="20"/>
        </w:rPr>
        <w:t>“si</w:t>
      </w:r>
      <w:r>
        <w:rPr>
          <w:spacing w:val="29"/>
          <w:sz w:val="20"/>
        </w:rPr>
        <w:t> </w:t>
      </w:r>
      <w:r>
        <w:rPr>
          <w:sz w:val="20"/>
        </w:rPr>
        <w:t>no</w:t>
      </w:r>
      <w:r>
        <w:rPr>
          <w:spacing w:val="29"/>
          <w:sz w:val="20"/>
        </w:rPr>
        <w:t> </w:t>
      </w:r>
      <w:r>
        <w:rPr>
          <w:sz w:val="20"/>
        </w:rPr>
        <w:t>se</w:t>
      </w:r>
      <w:r>
        <w:rPr>
          <w:spacing w:val="29"/>
          <w:sz w:val="20"/>
        </w:rPr>
        <w:t> </w:t>
      </w:r>
      <w:r>
        <w:rPr>
          <w:sz w:val="20"/>
        </w:rPr>
        <w:t>reconoce</w:t>
      </w:r>
      <w:r>
        <w:rPr>
          <w:spacing w:val="29"/>
          <w:sz w:val="20"/>
        </w:rPr>
        <w:t> </w:t>
      </w:r>
      <w:r>
        <w:rPr>
          <w:sz w:val="20"/>
        </w:rPr>
        <w:t>la</w:t>
      </w:r>
      <w:r>
        <w:rPr>
          <w:spacing w:val="27"/>
          <w:sz w:val="20"/>
        </w:rPr>
        <w:t> </w:t>
      </w:r>
      <w:r>
        <w:rPr>
          <w:sz w:val="20"/>
        </w:rPr>
        <w:t>propiedad</w:t>
      </w:r>
      <w:r>
        <w:rPr>
          <w:spacing w:val="29"/>
          <w:sz w:val="20"/>
        </w:rPr>
        <w:t> </w:t>
      </w:r>
      <w:r>
        <w:rPr>
          <w:sz w:val="20"/>
        </w:rPr>
        <w:t>comunal</w:t>
      </w:r>
    </w:p>
    <w:p>
      <w:pPr>
        <w:pStyle w:val="BodyText"/>
        <w:spacing w:before="3"/>
        <w:rPr>
          <w:sz w:val="26"/>
        </w:rPr>
      </w:pPr>
      <w:r>
        <w:rPr/>
        <w:pict>
          <v:line style="position:absolute;mso-position-horizontal-relative:page;mso-position-vertical-relative:paragraph;z-index:4600;mso-wrap-distance-left:0;mso-wrap-distance-right:0" from="56.700001pt,18.234104pt" to="200.720001pt,18.234104pt" stroked="true" strokeweight=".60004pt" strokecolor="#000000">
            <v:stroke dashstyle="solid"/>
            <w10:wrap type="topAndBottom"/>
          </v:line>
        </w:pict>
      </w:r>
    </w:p>
    <w:p>
      <w:pPr>
        <w:tabs>
          <w:tab w:pos="681" w:val="left" w:leader="none"/>
        </w:tabs>
        <w:spacing w:before="73"/>
        <w:ind w:left="114" w:right="0" w:firstLine="0"/>
        <w:jc w:val="both"/>
        <w:rPr>
          <w:sz w:val="16"/>
        </w:rPr>
      </w:pPr>
      <w:r>
        <w:rPr>
          <w:position w:val="6"/>
          <w:sz w:val="10"/>
        </w:rPr>
        <w:t>15</w:t>
        <w:tab/>
      </w:r>
      <w:r>
        <w:rPr>
          <w:i/>
          <w:sz w:val="16"/>
        </w:rPr>
        <w:t>Caso de la Comunidad Mayagna (Sumo) Awas Tingni Vs. Nicaragua</w:t>
      </w:r>
      <w:r>
        <w:rPr>
          <w:sz w:val="16"/>
        </w:rPr>
        <w:t>, párr.</w:t>
      </w:r>
      <w:r>
        <w:rPr>
          <w:spacing w:val="-22"/>
          <w:sz w:val="16"/>
        </w:rPr>
        <w:t> </w:t>
      </w:r>
      <w:r>
        <w:rPr>
          <w:sz w:val="16"/>
        </w:rPr>
        <w:t>153.</w:t>
      </w:r>
    </w:p>
    <w:p>
      <w:pPr>
        <w:tabs>
          <w:tab w:pos="681" w:val="left" w:leader="none"/>
        </w:tabs>
        <w:spacing w:before="0"/>
        <w:ind w:left="114" w:right="0" w:firstLine="0"/>
        <w:jc w:val="both"/>
        <w:rPr>
          <w:sz w:val="16"/>
        </w:rPr>
      </w:pPr>
      <w:r>
        <w:rPr>
          <w:position w:val="6"/>
          <w:sz w:val="10"/>
        </w:rPr>
        <w:t>16</w:t>
        <w:tab/>
      </w:r>
      <w:r>
        <w:rPr>
          <w:i/>
          <w:sz w:val="16"/>
        </w:rPr>
        <w:t>Caso Pueblos Kaliña y Lokono Vs. Surinam</w:t>
      </w:r>
      <w:r>
        <w:rPr>
          <w:sz w:val="16"/>
        </w:rPr>
        <w:t>, párr.</w:t>
      </w:r>
      <w:r>
        <w:rPr>
          <w:spacing w:val="-13"/>
          <w:sz w:val="16"/>
        </w:rPr>
        <w:t> </w:t>
      </w:r>
      <w:r>
        <w:rPr>
          <w:sz w:val="16"/>
        </w:rPr>
        <w:t>133.</w:t>
      </w:r>
    </w:p>
    <w:p>
      <w:pPr>
        <w:tabs>
          <w:tab w:pos="681" w:val="left" w:leader="none"/>
        </w:tabs>
        <w:spacing w:before="0"/>
        <w:ind w:left="114" w:right="110" w:firstLine="0"/>
        <w:jc w:val="both"/>
        <w:rPr>
          <w:sz w:val="16"/>
        </w:rPr>
      </w:pPr>
      <w:r>
        <w:rPr>
          <w:position w:val="6"/>
          <w:sz w:val="10"/>
        </w:rPr>
        <w:t>17</w:t>
        <w:tab/>
      </w:r>
      <w:r>
        <w:rPr>
          <w:i/>
          <w:sz w:val="16"/>
        </w:rPr>
        <w:t>Caso</w:t>
      </w:r>
      <w:r>
        <w:rPr>
          <w:i/>
          <w:spacing w:val="16"/>
          <w:sz w:val="16"/>
        </w:rPr>
        <w:t> </w:t>
      </w:r>
      <w:r>
        <w:rPr>
          <w:i/>
          <w:sz w:val="16"/>
        </w:rPr>
        <w:t>de</w:t>
      </w:r>
      <w:r>
        <w:rPr>
          <w:i/>
          <w:spacing w:val="15"/>
          <w:sz w:val="16"/>
        </w:rPr>
        <w:t> </w:t>
      </w:r>
      <w:r>
        <w:rPr>
          <w:i/>
          <w:sz w:val="16"/>
        </w:rPr>
        <w:t>la</w:t>
      </w:r>
      <w:r>
        <w:rPr>
          <w:i/>
          <w:spacing w:val="16"/>
          <w:sz w:val="16"/>
        </w:rPr>
        <w:t> </w:t>
      </w:r>
      <w:r>
        <w:rPr>
          <w:i/>
          <w:sz w:val="16"/>
        </w:rPr>
        <w:t>Comunidad</w:t>
      </w:r>
      <w:r>
        <w:rPr>
          <w:i/>
          <w:spacing w:val="17"/>
          <w:sz w:val="16"/>
        </w:rPr>
        <w:t> </w:t>
      </w:r>
      <w:r>
        <w:rPr>
          <w:i/>
          <w:sz w:val="16"/>
        </w:rPr>
        <w:t>Mayagna</w:t>
      </w:r>
      <w:r>
        <w:rPr>
          <w:i/>
          <w:spacing w:val="16"/>
          <w:sz w:val="16"/>
        </w:rPr>
        <w:t> </w:t>
      </w:r>
      <w:r>
        <w:rPr>
          <w:i/>
          <w:sz w:val="16"/>
        </w:rPr>
        <w:t>(Sumo)</w:t>
      </w:r>
      <w:r>
        <w:rPr>
          <w:i/>
          <w:spacing w:val="15"/>
          <w:sz w:val="16"/>
        </w:rPr>
        <w:t> </w:t>
      </w:r>
      <w:r>
        <w:rPr>
          <w:i/>
          <w:sz w:val="16"/>
        </w:rPr>
        <w:t>Awas</w:t>
      </w:r>
      <w:r>
        <w:rPr>
          <w:i/>
          <w:spacing w:val="16"/>
          <w:sz w:val="16"/>
        </w:rPr>
        <w:t> </w:t>
      </w:r>
      <w:r>
        <w:rPr>
          <w:i/>
          <w:sz w:val="16"/>
        </w:rPr>
        <w:t>Tingni</w:t>
      </w:r>
      <w:r>
        <w:rPr>
          <w:i/>
          <w:spacing w:val="16"/>
          <w:sz w:val="16"/>
        </w:rPr>
        <w:t> </w:t>
      </w:r>
      <w:r>
        <w:rPr>
          <w:i/>
          <w:sz w:val="16"/>
        </w:rPr>
        <w:t>Vs.</w:t>
      </w:r>
      <w:r>
        <w:rPr>
          <w:i/>
          <w:spacing w:val="16"/>
          <w:sz w:val="16"/>
        </w:rPr>
        <w:t> </w:t>
      </w:r>
      <w:r>
        <w:rPr>
          <w:i/>
          <w:sz w:val="16"/>
        </w:rPr>
        <w:t>Nicaragua</w:t>
      </w:r>
      <w:r>
        <w:rPr>
          <w:sz w:val="16"/>
        </w:rPr>
        <w:t>,</w:t>
      </w:r>
      <w:r>
        <w:rPr>
          <w:spacing w:val="15"/>
          <w:sz w:val="16"/>
        </w:rPr>
        <w:t> </w:t>
      </w:r>
      <w:r>
        <w:rPr>
          <w:sz w:val="16"/>
        </w:rPr>
        <w:t>párrs.</w:t>
      </w:r>
      <w:r>
        <w:rPr>
          <w:spacing w:val="15"/>
          <w:sz w:val="16"/>
        </w:rPr>
        <w:t> </w:t>
      </w:r>
      <w:r>
        <w:rPr>
          <w:sz w:val="16"/>
        </w:rPr>
        <w:t>148,</w:t>
      </w:r>
      <w:r>
        <w:rPr>
          <w:spacing w:val="15"/>
          <w:sz w:val="16"/>
        </w:rPr>
        <w:t> </w:t>
      </w:r>
      <w:r>
        <w:rPr>
          <w:sz w:val="16"/>
        </w:rPr>
        <w:t>149</w:t>
      </w:r>
      <w:r>
        <w:rPr>
          <w:spacing w:val="15"/>
          <w:sz w:val="16"/>
        </w:rPr>
        <w:t> </w:t>
      </w:r>
      <w:r>
        <w:rPr>
          <w:sz w:val="16"/>
        </w:rPr>
        <w:t>y</w:t>
      </w:r>
      <w:r>
        <w:rPr>
          <w:spacing w:val="16"/>
          <w:sz w:val="16"/>
        </w:rPr>
        <w:t> </w:t>
      </w:r>
      <w:r>
        <w:rPr>
          <w:sz w:val="16"/>
        </w:rPr>
        <w:t>151.</w:t>
      </w:r>
      <w:r>
        <w:rPr>
          <w:spacing w:val="15"/>
          <w:sz w:val="16"/>
        </w:rPr>
        <w:t> </w:t>
      </w:r>
      <w:r>
        <w:rPr>
          <w:sz w:val="16"/>
        </w:rPr>
        <w:t>También,</w:t>
      </w:r>
      <w:r>
        <w:rPr>
          <w:spacing w:val="15"/>
          <w:sz w:val="16"/>
        </w:rPr>
        <w:t> </w:t>
      </w:r>
      <w:r>
        <w:rPr>
          <w:sz w:val="16"/>
        </w:rPr>
        <w:t>en</w:t>
      </w:r>
      <w:r>
        <w:rPr>
          <w:spacing w:val="15"/>
          <w:sz w:val="16"/>
        </w:rPr>
        <w:t> </w:t>
      </w:r>
      <w:r>
        <w:rPr>
          <w:sz w:val="16"/>
        </w:rPr>
        <w:t>sentido</w:t>
      </w:r>
      <w:r>
        <w:rPr>
          <w:w w:val="99"/>
          <w:sz w:val="16"/>
        </w:rPr>
        <w:t> </w:t>
      </w:r>
      <w:r>
        <w:rPr>
          <w:sz w:val="16"/>
        </w:rPr>
        <w:t>equivalente:</w:t>
      </w:r>
      <w:r>
        <w:rPr>
          <w:spacing w:val="-13"/>
          <w:sz w:val="16"/>
        </w:rPr>
        <w:t> </w:t>
      </w:r>
      <w:r>
        <w:rPr>
          <w:i/>
          <w:sz w:val="16"/>
        </w:rPr>
        <w:t>Caso</w:t>
      </w:r>
      <w:r>
        <w:rPr>
          <w:i/>
          <w:spacing w:val="-13"/>
          <w:sz w:val="16"/>
        </w:rPr>
        <w:t> </w:t>
      </w:r>
      <w:r>
        <w:rPr>
          <w:i/>
          <w:sz w:val="16"/>
        </w:rPr>
        <w:t>Comunidad</w:t>
      </w:r>
      <w:r>
        <w:rPr>
          <w:i/>
          <w:spacing w:val="-13"/>
          <w:sz w:val="16"/>
        </w:rPr>
        <w:t> </w:t>
      </w:r>
      <w:r>
        <w:rPr>
          <w:i/>
          <w:sz w:val="16"/>
        </w:rPr>
        <w:t>Indígena</w:t>
      </w:r>
      <w:r>
        <w:rPr>
          <w:i/>
          <w:spacing w:val="-13"/>
          <w:sz w:val="16"/>
        </w:rPr>
        <w:t> </w:t>
      </w:r>
      <w:r>
        <w:rPr>
          <w:i/>
          <w:sz w:val="16"/>
        </w:rPr>
        <w:t>Yakye</w:t>
      </w:r>
      <w:r>
        <w:rPr>
          <w:i/>
          <w:spacing w:val="-13"/>
          <w:sz w:val="16"/>
        </w:rPr>
        <w:t> </w:t>
      </w:r>
      <w:r>
        <w:rPr>
          <w:i/>
          <w:sz w:val="16"/>
        </w:rPr>
        <w:t>Axa</w:t>
      </w:r>
      <w:r>
        <w:rPr>
          <w:i/>
          <w:spacing w:val="-13"/>
          <w:sz w:val="16"/>
        </w:rPr>
        <w:t> </w:t>
      </w:r>
      <w:r>
        <w:rPr>
          <w:i/>
          <w:sz w:val="16"/>
        </w:rPr>
        <w:t>Vs.</w:t>
      </w:r>
      <w:r>
        <w:rPr>
          <w:i/>
          <w:spacing w:val="-14"/>
          <w:sz w:val="16"/>
        </w:rPr>
        <w:t> </w:t>
      </w:r>
      <w:r>
        <w:rPr>
          <w:i/>
          <w:sz w:val="16"/>
        </w:rPr>
        <w:t>Paraguay</w:t>
      </w:r>
      <w:r>
        <w:rPr>
          <w:sz w:val="16"/>
        </w:rPr>
        <w:t>,</w:t>
      </w:r>
      <w:r>
        <w:rPr>
          <w:spacing w:val="-14"/>
          <w:sz w:val="16"/>
        </w:rPr>
        <w:t> </w:t>
      </w:r>
      <w:r>
        <w:rPr>
          <w:sz w:val="16"/>
        </w:rPr>
        <w:t>párrs.</w:t>
      </w:r>
      <w:r>
        <w:rPr>
          <w:spacing w:val="-14"/>
          <w:sz w:val="16"/>
        </w:rPr>
        <w:t> </w:t>
      </w:r>
      <w:r>
        <w:rPr>
          <w:sz w:val="16"/>
        </w:rPr>
        <w:t>131</w:t>
      </w:r>
      <w:r>
        <w:rPr>
          <w:spacing w:val="-13"/>
          <w:sz w:val="16"/>
        </w:rPr>
        <w:t> </w:t>
      </w:r>
      <w:r>
        <w:rPr>
          <w:sz w:val="16"/>
        </w:rPr>
        <w:t>y</w:t>
      </w:r>
      <w:r>
        <w:rPr>
          <w:spacing w:val="-13"/>
          <w:sz w:val="16"/>
        </w:rPr>
        <w:t> </w:t>
      </w:r>
      <w:r>
        <w:rPr>
          <w:sz w:val="16"/>
        </w:rPr>
        <w:t>132;</w:t>
      </w:r>
      <w:r>
        <w:rPr>
          <w:spacing w:val="-13"/>
          <w:sz w:val="16"/>
        </w:rPr>
        <w:t> </w:t>
      </w:r>
      <w:r>
        <w:rPr>
          <w:i/>
          <w:sz w:val="16"/>
        </w:rPr>
        <w:t>Caso</w:t>
      </w:r>
      <w:r>
        <w:rPr>
          <w:i/>
          <w:spacing w:val="-13"/>
          <w:sz w:val="16"/>
        </w:rPr>
        <w:t> </w:t>
      </w:r>
      <w:r>
        <w:rPr>
          <w:i/>
          <w:sz w:val="16"/>
        </w:rPr>
        <w:t>Comunidad</w:t>
      </w:r>
      <w:r>
        <w:rPr>
          <w:i/>
          <w:spacing w:val="-13"/>
          <w:sz w:val="16"/>
        </w:rPr>
        <w:t> </w:t>
      </w:r>
      <w:r>
        <w:rPr>
          <w:i/>
          <w:sz w:val="16"/>
        </w:rPr>
        <w:t>Indígena</w:t>
      </w:r>
      <w:r>
        <w:rPr>
          <w:i/>
          <w:spacing w:val="-13"/>
          <w:sz w:val="16"/>
        </w:rPr>
        <w:t> </w:t>
      </w:r>
      <w:r>
        <w:rPr>
          <w:i/>
          <w:sz w:val="16"/>
        </w:rPr>
        <w:t>Sawhoyamaxa </w:t>
      </w:r>
      <w:r>
        <w:rPr>
          <w:i/>
          <w:sz w:val="16"/>
        </w:rPr>
        <w:t>Vs. Paraguay. Fondo, Reparaciones y Costas</w:t>
      </w:r>
      <w:r>
        <w:rPr>
          <w:sz w:val="16"/>
        </w:rPr>
        <w:t>. Sentencia de 29 de marzo de 2006, Serie C No. 146, párr. 118, y </w:t>
      </w:r>
      <w:r>
        <w:rPr>
          <w:i/>
          <w:sz w:val="16"/>
        </w:rPr>
        <w:t>Caso del </w:t>
      </w:r>
      <w:r>
        <w:rPr>
          <w:i/>
          <w:sz w:val="16"/>
        </w:rPr>
        <w:t>Pueblo</w:t>
      </w:r>
      <w:r>
        <w:rPr>
          <w:i/>
          <w:spacing w:val="-6"/>
          <w:sz w:val="16"/>
        </w:rPr>
        <w:t> </w:t>
      </w:r>
      <w:r>
        <w:rPr>
          <w:i/>
          <w:sz w:val="16"/>
        </w:rPr>
        <w:t>Saramaka.</w:t>
      </w:r>
      <w:r>
        <w:rPr>
          <w:i/>
          <w:spacing w:val="-6"/>
          <w:sz w:val="16"/>
        </w:rPr>
        <w:t> </w:t>
      </w:r>
      <w:r>
        <w:rPr>
          <w:i/>
          <w:sz w:val="16"/>
        </w:rPr>
        <w:t>Vs.</w:t>
      </w:r>
      <w:r>
        <w:rPr>
          <w:i/>
          <w:spacing w:val="-6"/>
          <w:sz w:val="16"/>
        </w:rPr>
        <w:t> </w:t>
      </w:r>
      <w:r>
        <w:rPr>
          <w:i/>
          <w:sz w:val="16"/>
        </w:rPr>
        <w:t>Surinam.</w:t>
      </w:r>
      <w:r>
        <w:rPr>
          <w:i/>
          <w:spacing w:val="-6"/>
          <w:sz w:val="16"/>
        </w:rPr>
        <w:t> </w:t>
      </w:r>
      <w:r>
        <w:rPr>
          <w:i/>
          <w:sz w:val="16"/>
        </w:rPr>
        <w:t>Excepciones</w:t>
      </w:r>
      <w:r>
        <w:rPr>
          <w:i/>
          <w:spacing w:val="-6"/>
          <w:sz w:val="16"/>
        </w:rPr>
        <w:t> </w:t>
      </w:r>
      <w:r>
        <w:rPr>
          <w:i/>
          <w:sz w:val="16"/>
        </w:rPr>
        <w:t>Preliminares,</w:t>
      </w:r>
      <w:r>
        <w:rPr>
          <w:i/>
          <w:spacing w:val="-6"/>
          <w:sz w:val="16"/>
        </w:rPr>
        <w:t> </w:t>
      </w:r>
      <w:r>
        <w:rPr>
          <w:i/>
          <w:sz w:val="16"/>
        </w:rPr>
        <w:t>Fondo,</w:t>
      </w:r>
      <w:r>
        <w:rPr>
          <w:i/>
          <w:spacing w:val="-6"/>
          <w:sz w:val="16"/>
        </w:rPr>
        <w:t> </w:t>
      </w:r>
      <w:r>
        <w:rPr>
          <w:i/>
          <w:sz w:val="16"/>
        </w:rPr>
        <w:t>Reparaciones</w:t>
      </w:r>
      <w:r>
        <w:rPr>
          <w:i/>
          <w:spacing w:val="-6"/>
          <w:sz w:val="16"/>
        </w:rPr>
        <w:t> </w:t>
      </w:r>
      <w:r>
        <w:rPr>
          <w:i/>
          <w:sz w:val="16"/>
        </w:rPr>
        <w:t>y</w:t>
      </w:r>
      <w:r>
        <w:rPr>
          <w:i/>
          <w:spacing w:val="-5"/>
          <w:sz w:val="16"/>
        </w:rPr>
        <w:t> </w:t>
      </w:r>
      <w:r>
        <w:rPr>
          <w:i/>
          <w:sz w:val="16"/>
        </w:rPr>
        <w:t>Costas</w:t>
      </w:r>
      <w:r>
        <w:rPr>
          <w:sz w:val="16"/>
        </w:rPr>
        <w:t>.</w:t>
      </w:r>
      <w:r>
        <w:rPr>
          <w:spacing w:val="-6"/>
          <w:sz w:val="16"/>
        </w:rPr>
        <w:t> </w:t>
      </w:r>
      <w:r>
        <w:rPr>
          <w:sz w:val="16"/>
        </w:rPr>
        <w:t>Sentencia</w:t>
      </w:r>
      <w:r>
        <w:rPr>
          <w:spacing w:val="-6"/>
          <w:sz w:val="16"/>
        </w:rPr>
        <w:t> </w:t>
      </w:r>
      <w:r>
        <w:rPr>
          <w:sz w:val="16"/>
        </w:rPr>
        <w:t>de</w:t>
      </w:r>
      <w:r>
        <w:rPr>
          <w:spacing w:val="-6"/>
          <w:sz w:val="16"/>
        </w:rPr>
        <w:t> </w:t>
      </w:r>
      <w:r>
        <w:rPr>
          <w:sz w:val="16"/>
        </w:rPr>
        <w:t>28</w:t>
      </w:r>
      <w:r>
        <w:rPr>
          <w:spacing w:val="-6"/>
          <w:sz w:val="16"/>
        </w:rPr>
        <w:t> </w:t>
      </w:r>
      <w:r>
        <w:rPr>
          <w:sz w:val="16"/>
        </w:rPr>
        <w:t>de</w:t>
      </w:r>
      <w:r>
        <w:rPr>
          <w:spacing w:val="-6"/>
          <w:sz w:val="16"/>
        </w:rPr>
        <w:t> </w:t>
      </w:r>
      <w:r>
        <w:rPr>
          <w:sz w:val="16"/>
        </w:rPr>
        <w:t>noviembre</w:t>
      </w:r>
      <w:r>
        <w:rPr>
          <w:spacing w:val="-6"/>
          <w:sz w:val="16"/>
        </w:rPr>
        <w:t> </w:t>
      </w:r>
      <w:r>
        <w:rPr>
          <w:sz w:val="16"/>
        </w:rPr>
        <w:t>de 2007, Serie C No. 173, párr.</w:t>
      </w:r>
      <w:r>
        <w:rPr>
          <w:spacing w:val="-10"/>
          <w:sz w:val="16"/>
        </w:rPr>
        <w:t> </w:t>
      </w:r>
      <w:r>
        <w:rPr>
          <w:sz w:val="16"/>
        </w:rPr>
        <w:t>90.</w:t>
      </w:r>
    </w:p>
    <w:p>
      <w:pPr>
        <w:tabs>
          <w:tab w:pos="681" w:val="left" w:leader="none"/>
        </w:tabs>
        <w:spacing w:before="1"/>
        <w:ind w:left="114" w:right="103" w:firstLine="0"/>
        <w:jc w:val="both"/>
        <w:rPr>
          <w:sz w:val="16"/>
        </w:rPr>
      </w:pPr>
      <w:r>
        <w:rPr>
          <w:i/>
          <w:position w:val="6"/>
          <w:sz w:val="10"/>
        </w:rPr>
        <w:t>18</w:t>
        <w:tab/>
      </w:r>
      <w:r>
        <w:rPr>
          <w:i/>
          <w:spacing w:val="-3"/>
          <w:sz w:val="16"/>
        </w:rPr>
        <w:t>Caso</w:t>
      </w:r>
      <w:r>
        <w:rPr>
          <w:i/>
          <w:spacing w:val="12"/>
          <w:sz w:val="16"/>
        </w:rPr>
        <w:t> </w:t>
      </w:r>
      <w:r>
        <w:rPr>
          <w:i/>
          <w:spacing w:val="-4"/>
          <w:sz w:val="16"/>
        </w:rPr>
        <w:t>Comunidad</w:t>
      </w:r>
      <w:r>
        <w:rPr>
          <w:i/>
          <w:spacing w:val="13"/>
          <w:sz w:val="16"/>
        </w:rPr>
        <w:t> </w:t>
      </w:r>
      <w:r>
        <w:rPr>
          <w:i/>
          <w:spacing w:val="-4"/>
          <w:sz w:val="16"/>
        </w:rPr>
        <w:t>Indígena</w:t>
      </w:r>
      <w:r>
        <w:rPr>
          <w:i/>
          <w:spacing w:val="12"/>
          <w:sz w:val="16"/>
        </w:rPr>
        <w:t> </w:t>
      </w:r>
      <w:r>
        <w:rPr>
          <w:i/>
          <w:spacing w:val="-4"/>
          <w:sz w:val="16"/>
        </w:rPr>
        <w:t>Yakye</w:t>
      </w:r>
      <w:r>
        <w:rPr>
          <w:i/>
          <w:spacing w:val="11"/>
          <w:sz w:val="16"/>
        </w:rPr>
        <w:t> </w:t>
      </w:r>
      <w:r>
        <w:rPr>
          <w:i/>
          <w:spacing w:val="-3"/>
          <w:sz w:val="16"/>
        </w:rPr>
        <w:t>Axa</w:t>
      </w:r>
      <w:r>
        <w:rPr>
          <w:i/>
          <w:spacing w:val="11"/>
          <w:sz w:val="16"/>
        </w:rPr>
        <w:t> </w:t>
      </w:r>
      <w:r>
        <w:rPr>
          <w:i/>
          <w:spacing w:val="-3"/>
          <w:sz w:val="16"/>
        </w:rPr>
        <w:t>Vs.</w:t>
      </w:r>
      <w:r>
        <w:rPr>
          <w:i/>
          <w:spacing w:val="12"/>
          <w:sz w:val="16"/>
        </w:rPr>
        <w:t> </w:t>
      </w:r>
      <w:r>
        <w:rPr>
          <w:i/>
          <w:spacing w:val="-4"/>
          <w:sz w:val="16"/>
        </w:rPr>
        <w:t>Paraguay</w:t>
      </w:r>
      <w:r>
        <w:rPr>
          <w:spacing w:val="-4"/>
          <w:sz w:val="16"/>
        </w:rPr>
        <w:t>,</w:t>
      </w:r>
      <w:r>
        <w:rPr>
          <w:spacing w:val="10"/>
          <w:sz w:val="16"/>
        </w:rPr>
        <w:t> </w:t>
      </w:r>
      <w:r>
        <w:rPr>
          <w:spacing w:val="-4"/>
          <w:sz w:val="16"/>
        </w:rPr>
        <w:t>párr.</w:t>
      </w:r>
      <w:r>
        <w:rPr>
          <w:spacing w:val="11"/>
          <w:sz w:val="16"/>
        </w:rPr>
        <w:t> </w:t>
      </w:r>
      <w:r>
        <w:rPr>
          <w:spacing w:val="-3"/>
          <w:sz w:val="16"/>
        </w:rPr>
        <w:t>137.</w:t>
      </w:r>
      <w:r>
        <w:rPr>
          <w:spacing w:val="11"/>
          <w:sz w:val="16"/>
        </w:rPr>
        <w:t> </w:t>
      </w:r>
      <w:r>
        <w:rPr>
          <w:sz w:val="16"/>
        </w:rPr>
        <w:t>En</w:t>
      </w:r>
      <w:r>
        <w:rPr>
          <w:spacing w:val="12"/>
          <w:sz w:val="16"/>
        </w:rPr>
        <w:t> </w:t>
      </w:r>
      <w:r>
        <w:rPr>
          <w:sz w:val="16"/>
        </w:rPr>
        <w:t>el</w:t>
      </w:r>
      <w:r>
        <w:rPr>
          <w:spacing w:val="12"/>
          <w:sz w:val="16"/>
        </w:rPr>
        <w:t> </w:t>
      </w:r>
      <w:r>
        <w:rPr>
          <w:spacing w:val="-4"/>
          <w:sz w:val="16"/>
        </w:rPr>
        <w:t>mismo</w:t>
      </w:r>
      <w:r>
        <w:rPr>
          <w:spacing w:val="13"/>
          <w:sz w:val="16"/>
        </w:rPr>
        <w:t> </w:t>
      </w:r>
      <w:r>
        <w:rPr>
          <w:spacing w:val="-4"/>
          <w:sz w:val="16"/>
        </w:rPr>
        <w:t>sentido,</w:t>
      </w:r>
      <w:r>
        <w:rPr>
          <w:spacing w:val="13"/>
          <w:sz w:val="16"/>
        </w:rPr>
        <w:t> </w:t>
      </w:r>
      <w:r>
        <w:rPr>
          <w:i/>
          <w:spacing w:val="-4"/>
          <w:sz w:val="16"/>
        </w:rPr>
        <w:t>Caso</w:t>
      </w:r>
      <w:r>
        <w:rPr>
          <w:i/>
          <w:spacing w:val="12"/>
          <w:sz w:val="16"/>
        </w:rPr>
        <w:t> </w:t>
      </w:r>
      <w:r>
        <w:rPr>
          <w:i/>
          <w:spacing w:val="-4"/>
          <w:sz w:val="16"/>
        </w:rPr>
        <w:t>Pueblo</w:t>
      </w:r>
      <w:r>
        <w:rPr>
          <w:i/>
          <w:spacing w:val="12"/>
          <w:sz w:val="16"/>
        </w:rPr>
        <w:t> </w:t>
      </w:r>
      <w:r>
        <w:rPr>
          <w:i/>
          <w:spacing w:val="-4"/>
          <w:sz w:val="16"/>
        </w:rPr>
        <w:t>Indígena</w:t>
      </w:r>
      <w:r>
        <w:rPr>
          <w:i/>
          <w:spacing w:val="13"/>
          <w:sz w:val="16"/>
        </w:rPr>
        <w:t> </w:t>
      </w:r>
      <w:r>
        <w:rPr>
          <w:i/>
          <w:spacing w:val="-4"/>
          <w:sz w:val="16"/>
        </w:rPr>
        <w:t>Kichwa</w:t>
      </w:r>
      <w:r>
        <w:rPr>
          <w:i/>
          <w:spacing w:val="12"/>
          <w:sz w:val="16"/>
        </w:rPr>
        <w:t> </w:t>
      </w:r>
      <w:r>
        <w:rPr>
          <w:i/>
          <w:sz w:val="16"/>
        </w:rPr>
        <w:t>de</w:t>
      </w:r>
      <w:r>
        <w:rPr>
          <w:i/>
          <w:w w:val="99"/>
          <w:sz w:val="16"/>
        </w:rPr>
        <w:t> </w:t>
      </w:r>
      <w:r>
        <w:rPr>
          <w:i/>
          <w:spacing w:val="-4"/>
          <w:sz w:val="16"/>
        </w:rPr>
        <w:t>Sarayaku</w:t>
      </w:r>
      <w:r>
        <w:rPr>
          <w:i/>
          <w:spacing w:val="-9"/>
          <w:sz w:val="16"/>
        </w:rPr>
        <w:t> </w:t>
      </w:r>
      <w:r>
        <w:rPr>
          <w:i/>
          <w:spacing w:val="-3"/>
          <w:sz w:val="16"/>
        </w:rPr>
        <w:t>Vs.</w:t>
      </w:r>
      <w:r>
        <w:rPr>
          <w:i/>
          <w:spacing w:val="-8"/>
          <w:sz w:val="16"/>
        </w:rPr>
        <w:t> </w:t>
      </w:r>
      <w:r>
        <w:rPr>
          <w:i/>
          <w:spacing w:val="-4"/>
          <w:sz w:val="16"/>
        </w:rPr>
        <w:t>Ecuador.</w:t>
      </w:r>
      <w:r>
        <w:rPr>
          <w:i/>
          <w:spacing w:val="-9"/>
          <w:sz w:val="16"/>
        </w:rPr>
        <w:t> </w:t>
      </w:r>
      <w:r>
        <w:rPr>
          <w:i/>
          <w:spacing w:val="-4"/>
          <w:sz w:val="16"/>
        </w:rPr>
        <w:t>Fondo</w:t>
      </w:r>
      <w:r>
        <w:rPr>
          <w:i/>
          <w:spacing w:val="-9"/>
          <w:sz w:val="16"/>
        </w:rPr>
        <w:t> </w:t>
      </w:r>
      <w:r>
        <w:rPr>
          <w:i/>
          <w:sz w:val="16"/>
        </w:rPr>
        <w:t>y</w:t>
      </w:r>
      <w:r>
        <w:rPr>
          <w:i/>
          <w:spacing w:val="-8"/>
          <w:sz w:val="16"/>
        </w:rPr>
        <w:t> </w:t>
      </w:r>
      <w:r>
        <w:rPr>
          <w:i/>
          <w:spacing w:val="-4"/>
          <w:sz w:val="16"/>
        </w:rPr>
        <w:t>reparaciones.</w:t>
      </w:r>
      <w:r>
        <w:rPr>
          <w:i/>
          <w:spacing w:val="-7"/>
          <w:sz w:val="16"/>
        </w:rPr>
        <w:t> </w:t>
      </w:r>
      <w:r>
        <w:rPr>
          <w:spacing w:val="-4"/>
          <w:sz w:val="16"/>
        </w:rPr>
        <w:t>Sentencia</w:t>
      </w:r>
      <w:r>
        <w:rPr>
          <w:spacing w:val="-7"/>
          <w:sz w:val="16"/>
        </w:rPr>
        <w:t> </w:t>
      </w:r>
      <w:r>
        <w:rPr>
          <w:sz w:val="16"/>
        </w:rPr>
        <w:t>de</w:t>
      </w:r>
      <w:r>
        <w:rPr>
          <w:spacing w:val="-9"/>
          <w:sz w:val="16"/>
        </w:rPr>
        <w:t> </w:t>
      </w:r>
      <w:r>
        <w:rPr>
          <w:spacing w:val="-3"/>
          <w:sz w:val="16"/>
        </w:rPr>
        <w:t>27</w:t>
      </w:r>
      <w:r>
        <w:rPr>
          <w:spacing w:val="-7"/>
          <w:sz w:val="16"/>
        </w:rPr>
        <w:t> </w:t>
      </w:r>
      <w:r>
        <w:rPr>
          <w:sz w:val="16"/>
        </w:rPr>
        <w:t>de</w:t>
      </w:r>
      <w:r>
        <w:rPr>
          <w:spacing w:val="-9"/>
          <w:sz w:val="16"/>
        </w:rPr>
        <w:t> </w:t>
      </w:r>
      <w:r>
        <w:rPr>
          <w:spacing w:val="-4"/>
          <w:sz w:val="16"/>
        </w:rPr>
        <w:t>junio</w:t>
      </w:r>
      <w:r>
        <w:rPr>
          <w:spacing w:val="-8"/>
          <w:sz w:val="16"/>
        </w:rPr>
        <w:t> </w:t>
      </w:r>
      <w:r>
        <w:rPr>
          <w:sz w:val="16"/>
        </w:rPr>
        <w:t>de</w:t>
      </w:r>
      <w:r>
        <w:rPr>
          <w:spacing w:val="-9"/>
          <w:sz w:val="16"/>
        </w:rPr>
        <w:t> </w:t>
      </w:r>
      <w:r>
        <w:rPr>
          <w:spacing w:val="-4"/>
          <w:sz w:val="16"/>
        </w:rPr>
        <w:t>2012.</w:t>
      </w:r>
      <w:r>
        <w:rPr>
          <w:spacing w:val="-7"/>
          <w:sz w:val="16"/>
        </w:rPr>
        <w:t> </w:t>
      </w:r>
      <w:r>
        <w:rPr>
          <w:spacing w:val="-4"/>
          <w:sz w:val="16"/>
        </w:rPr>
        <w:t>Serie</w:t>
      </w:r>
      <w:r>
        <w:rPr>
          <w:spacing w:val="-8"/>
          <w:sz w:val="16"/>
        </w:rPr>
        <w:t> </w:t>
      </w:r>
      <w:r>
        <w:rPr>
          <w:sz w:val="16"/>
        </w:rPr>
        <w:t>C</w:t>
      </w:r>
      <w:r>
        <w:rPr>
          <w:spacing w:val="-8"/>
          <w:sz w:val="16"/>
        </w:rPr>
        <w:t> </w:t>
      </w:r>
      <w:r>
        <w:rPr>
          <w:spacing w:val="-4"/>
          <w:sz w:val="16"/>
        </w:rPr>
        <w:t>No.</w:t>
      </w:r>
      <w:r>
        <w:rPr>
          <w:spacing w:val="-8"/>
          <w:sz w:val="16"/>
        </w:rPr>
        <w:t> </w:t>
      </w:r>
      <w:r>
        <w:rPr>
          <w:spacing w:val="-3"/>
          <w:sz w:val="16"/>
        </w:rPr>
        <w:t>245,</w:t>
      </w:r>
      <w:r>
        <w:rPr>
          <w:spacing w:val="-9"/>
          <w:sz w:val="16"/>
        </w:rPr>
        <w:t> </w:t>
      </w:r>
      <w:r>
        <w:rPr>
          <w:spacing w:val="-4"/>
          <w:sz w:val="16"/>
        </w:rPr>
        <w:t>párr.</w:t>
      </w:r>
      <w:r>
        <w:rPr>
          <w:spacing w:val="-9"/>
          <w:sz w:val="16"/>
        </w:rPr>
        <w:t> </w:t>
      </w:r>
      <w:r>
        <w:rPr>
          <w:spacing w:val="-4"/>
          <w:sz w:val="16"/>
        </w:rPr>
        <w:t>145;</w:t>
      </w:r>
      <w:r>
        <w:rPr>
          <w:spacing w:val="-7"/>
          <w:sz w:val="16"/>
        </w:rPr>
        <w:t> </w:t>
      </w:r>
      <w:r>
        <w:rPr>
          <w:i/>
          <w:spacing w:val="-3"/>
          <w:sz w:val="16"/>
        </w:rPr>
        <w:t>Caso</w:t>
      </w:r>
      <w:r>
        <w:rPr>
          <w:i/>
          <w:spacing w:val="-8"/>
          <w:sz w:val="16"/>
        </w:rPr>
        <w:t> </w:t>
      </w:r>
      <w:r>
        <w:rPr>
          <w:i/>
          <w:sz w:val="16"/>
        </w:rPr>
        <w:t>de</w:t>
      </w:r>
      <w:r>
        <w:rPr>
          <w:i/>
          <w:spacing w:val="-9"/>
          <w:sz w:val="16"/>
        </w:rPr>
        <w:t> </w:t>
      </w:r>
      <w:r>
        <w:rPr>
          <w:i/>
          <w:spacing w:val="-3"/>
          <w:sz w:val="16"/>
        </w:rPr>
        <w:t>los</w:t>
      </w:r>
      <w:r>
        <w:rPr>
          <w:i/>
          <w:spacing w:val="-8"/>
          <w:sz w:val="16"/>
        </w:rPr>
        <w:t> </w:t>
      </w:r>
      <w:r>
        <w:rPr>
          <w:i/>
          <w:spacing w:val="-4"/>
          <w:sz w:val="16"/>
        </w:rPr>
        <w:t>Pueblos </w:t>
      </w:r>
      <w:r>
        <w:rPr>
          <w:i/>
          <w:spacing w:val="-4"/>
          <w:sz w:val="16"/>
        </w:rPr>
        <w:t>Indígenas</w:t>
      </w:r>
      <w:r>
        <w:rPr>
          <w:i/>
          <w:spacing w:val="-15"/>
          <w:sz w:val="16"/>
        </w:rPr>
        <w:t> </w:t>
      </w:r>
      <w:r>
        <w:rPr>
          <w:i/>
          <w:spacing w:val="-3"/>
          <w:sz w:val="16"/>
        </w:rPr>
        <w:t>Kuna</w:t>
      </w:r>
      <w:r>
        <w:rPr>
          <w:i/>
          <w:spacing w:val="-16"/>
          <w:sz w:val="16"/>
        </w:rPr>
        <w:t> </w:t>
      </w:r>
      <w:r>
        <w:rPr>
          <w:i/>
          <w:sz w:val="16"/>
        </w:rPr>
        <w:t>de</w:t>
      </w:r>
      <w:r>
        <w:rPr>
          <w:i/>
          <w:spacing w:val="-15"/>
          <w:sz w:val="16"/>
        </w:rPr>
        <w:t> </w:t>
      </w:r>
      <w:r>
        <w:rPr>
          <w:i/>
          <w:spacing w:val="-4"/>
          <w:sz w:val="16"/>
        </w:rPr>
        <w:t>Madungandí</w:t>
      </w:r>
      <w:r>
        <w:rPr>
          <w:i/>
          <w:spacing w:val="-15"/>
          <w:sz w:val="16"/>
        </w:rPr>
        <w:t> </w:t>
      </w:r>
      <w:r>
        <w:rPr>
          <w:i/>
          <w:sz w:val="16"/>
        </w:rPr>
        <w:t>y</w:t>
      </w:r>
      <w:r>
        <w:rPr>
          <w:i/>
          <w:spacing w:val="-14"/>
          <w:sz w:val="16"/>
        </w:rPr>
        <w:t> </w:t>
      </w:r>
      <w:r>
        <w:rPr>
          <w:i/>
          <w:spacing w:val="-4"/>
          <w:sz w:val="16"/>
        </w:rPr>
        <w:t>Emberá</w:t>
      </w:r>
      <w:r>
        <w:rPr>
          <w:i/>
          <w:spacing w:val="-14"/>
          <w:sz w:val="16"/>
        </w:rPr>
        <w:t> </w:t>
      </w:r>
      <w:r>
        <w:rPr>
          <w:i/>
          <w:sz w:val="16"/>
        </w:rPr>
        <w:t>de</w:t>
      </w:r>
      <w:r>
        <w:rPr>
          <w:i/>
          <w:spacing w:val="-15"/>
          <w:sz w:val="16"/>
        </w:rPr>
        <w:t> </w:t>
      </w:r>
      <w:r>
        <w:rPr>
          <w:i/>
          <w:spacing w:val="-4"/>
          <w:sz w:val="16"/>
        </w:rPr>
        <w:t>Bayano</w:t>
      </w:r>
      <w:r>
        <w:rPr>
          <w:i/>
          <w:spacing w:val="-15"/>
          <w:sz w:val="16"/>
        </w:rPr>
        <w:t> </w:t>
      </w:r>
      <w:r>
        <w:rPr>
          <w:i/>
          <w:sz w:val="16"/>
        </w:rPr>
        <w:t>y</w:t>
      </w:r>
      <w:r>
        <w:rPr>
          <w:i/>
          <w:spacing w:val="-14"/>
          <w:sz w:val="16"/>
        </w:rPr>
        <w:t> </w:t>
      </w:r>
      <w:r>
        <w:rPr>
          <w:i/>
          <w:spacing w:val="-3"/>
          <w:sz w:val="16"/>
        </w:rPr>
        <w:t>sus</w:t>
      </w:r>
      <w:r>
        <w:rPr>
          <w:i/>
          <w:spacing w:val="-15"/>
          <w:sz w:val="16"/>
        </w:rPr>
        <w:t> </w:t>
      </w:r>
      <w:r>
        <w:rPr>
          <w:i/>
          <w:spacing w:val="-4"/>
          <w:sz w:val="16"/>
        </w:rPr>
        <w:t>Miembros</w:t>
      </w:r>
      <w:r>
        <w:rPr>
          <w:i/>
          <w:spacing w:val="-15"/>
          <w:sz w:val="16"/>
        </w:rPr>
        <w:t> </w:t>
      </w:r>
      <w:r>
        <w:rPr>
          <w:i/>
          <w:spacing w:val="-3"/>
          <w:sz w:val="16"/>
        </w:rPr>
        <w:t>Vs.</w:t>
      </w:r>
      <w:r>
        <w:rPr>
          <w:i/>
          <w:spacing w:val="-15"/>
          <w:sz w:val="16"/>
        </w:rPr>
        <w:t> </w:t>
      </w:r>
      <w:r>
        <w:rPr>
          <w:i/>
          <w:spacing w:val="-4"/>
          <w:sz w:val="16"/>
        </w:rPr>
        <w:t>Panamá.</w:t>
      </w:r>
      <w:r>
        <w:rPr>
          <w:i/>
          <w:spacing w:val="-15"/>
          <w:sz w:val="16"/>
        </w:rPr>
        <w:t> </w:t>
      </w:r>
      <w:r>
        <w:rPr>
          <w:i/>
          <w:spacing w:val="-4"/>
          <w:sz w:val="16"/>
        </w:rPr>
        <w:t>Excepciones</w:t>
      </w:r>
      <w:r>
        <w:rPr>
          <w:i/>
          <w:spacing w:val="-15"/>
          <w:sz w:val="16"/>
        </w:rPr>
        <w:t> </w:t>
      </w:r>
      <w:r>
        <w:rPr>
          <w:i/>
          <w:spacing w:val="-4"/>
          <w:sz w:val="16"/>
        </w:rPr>
        <w:t>Preliminares,</w:t>
      </w:r>
      <w:r>
        <w:rPr>
          <w:i/>
          <w:spacing w:val="-15"/>
          <w:sz w:val="16"/>
        </w:rPr>
        <w:t> </w:t>
      </w:r>
      <w:r>
        <w:rPr>
          <w:i/>
          <w:spacing w:val="-4"/>
          <w:sz w:val="16"/>
        </w:rPr>
        <w:t>Fondo,</w:t>
      </w:r>
      <w:r>
        <w:rPr>
          <w:i/>
          <w:spacing w:val="-15"/>
          <w:sz w:val="16"/>
        </w:rPr>
        <w:t> </w:t>
      </w:r>
      <w:r>
        <w:rPr>
          <w:i/>
          <w:spacing w:val="-4"/>
          <w:sz w:val="16"/>
        </w:rPr>
        <w:t>Reparaciones </w:t>
      </w:r>
      <w:r>
        <w:rPr>
          <w:i/>
          <w:sz w:val="16"/>
        </w:rPr>
        <w:t>y</w:t>
      </w:r>
      <w:r>
        <w:rPr>
          <w:i/>
          <w:spacing w:val="-12"/>
          <w:sz w:val="16"/>
        </w:rPr>
        <w:t> </w:t>
      </w:r>
      <w:r>
        <w:rPr>
          <w:i/>
          <w:spacing w:val="-4"/>
          <w:sz w:val="16"/>
        </w:rPr>
        <w:t>Costas.</w:t>
      </w:r>
      <w:r>
        <w:rPr>
          <w:i/>
          <w:spacing w:val="-12"/>
          <w:sz w:val="16"/>
        </w:rPr>
        <w:t> </w:t>
      </w:r>
      <w:r>
        <w:rPr>
          <w:spacing w:val="-4"/>
          <w:sz w:val="16"/>
        </w:rPr>
        <w:t>Sentencia</w:t>
      </w:r>
      <w:r>
        <w:rPr>
          <w:spacing w:val="-12"/>
          <w:sz w:val="16"/>
        </w:rPr>
        <w:t> </w:t>
      </w:r>
      <w:r>
        <w:rPr>
          <w:sz w:val="16"/>
        </w:rPr>
        <w:t>de</w:t>
      </w:r>
      <w:r>
        <w:rPr>
          <w:spacing w:val="-13"/>
          <w:sz w:val="16"/>
        </w:rPr>
        <w:t> </w:t>
      </w:r>
      <w:r>
        <w:rPr>
          <w:spacing w:val="-3"/>
          <w:sz w:val="16"/>
        </w:rPr>
        <w:t>14</w:t>
      </w:r>
      <w:r>
        <w:rPr>
          <w:spacing w:val="-12"/>
          <w:sz w:val="16"/>
        </w:rPr>
        <w:t> </w:t>
      </w:r>
      <w:r>
        <w:rPr>
          <w:sz w:val="16"/>
        </w:rPr>
        <w:t>de</w:t>
      </w:r>
      <w:r>
        <w:rPr>
          <w:spacing w:val="-14"/>
          <w:sz w:val="16"/>
        </w:rPr>
        <w:t> </w:t>
      </w:r>
      <w:r>
        <w:rPr>
          <w:spacing w:val="-4"/>
          <w:sz w:val="16"/>
        </w:rPr>
        <w:t>octubre</w:t>
      </w:r>
      <w:r>
        <w:rPr>
          <w:spacing w:val="-13"/>
          <w:sz w:val="16"/>
        </w:rPr>
        <w:t> </w:t>
      </w:r>
      <w:r>
        <w:rPr>
          <w:sz w:val="16"/>
        </w:rPr>
        <w:t>de</w:t>
      </w:r>
      <w:r>
        <w:rPr>
          <w:spacing w:val="-13"/>
          <w:sz w:val="16"/>
        </w:rPr>
        <w:t> </w:t>
      </w:r>
      <w:r>
        <w:rPr>
          <w:spacing w:val="-4"/>
          <w:sz w:val="16"/>
        </w:rPr>
        <w:t>2014.</w:t>
      </w:r>
      <w:r>
        <w:rPr>
          <w:spacing w:val="-14"/>
          <w:sz w:val="16"/>
        </w:rPr>
        <w:t> </w:t>
      </w:r>
      <w:r>
        <w:rPr>
          <w:spacing w:val="-4"/>
          <w:sz w:val="16"/>
        </w:rPr>
        <w:t>Serie</w:t>
      </w:r>
      <w:r>
        <w:rPr>
          <w:spacing w:val="-13"/>
          <w:sz w:val="16"/>
        </w:rPr>
        <w:t> </w:t>
      </w:r>
      <w:r>
        <w:rPr>
          <w:sz w:val="16"/>
        </w:rPr>
        <w:t>C</w:t>
      </w:r>
      <w:r>
        <w:rPr>
          <w:spacing w:val="-13"/>
          <w:sz w:val="16"/>
        </w:rPr>
        <w:t> </w:t>
      </w:r>
      <w:r>
        <w:rPr>
          <w:spacing w:val="-3"/>
          <w:sz w:val="16"/>
        </w:rPr>
        <w:t>No.</w:t>
      </w:r>
      <w:r>
        <w:rPr>
          <w:spacing w:val="-14"/>
          <w:sz w:val="16"/>
        </w:rPr>
        <w:t> </w:t>
      </w:r>
      <w:r>
        <w:rPr>
          <w:spacing w:val="-3"/>
          <w:sz w:val="16"/>
        </w:rPr>
        <w:t>284,</w:t>
      </w:r>
      <w:r>
        <w:rPr>
          <w:spacing w:val="-13"/>
          <w:sz w:val="16"/>
        </w:rPr>
        <w:t> </w:t>
      </w:r>
      <w:r>
        <w:rPr>
          <w:spacing w:val="-4"/>
          <w:sz w:val="16"/>
        </w:rPr>
        <w:t>párr.</w:t>
      </w:r>
      <w:r>
        <w:rPr>
          <w:spacing w:val="-14"/>
          <w:sz w:val="16"/>
        </w:rPr>
        <w:t> </w:t>
      </w:r>
      <w:r>
        <w:rPr>
          <w:spacing w:val="-3"/>
          <w:sz w:val="16"/>
        </w:rPr>
        <w:t>111</w:t>
      </w:r>
      <w:r>
        <w:rPr>
          <w:spacing w:val="-12"/>
          <w:sz w:val="16"/>
        </w:rPr>
        <w:t> </w:t>
      </w:r>
      <w:r>
        <w:rPr>
          <w:sz w:val="16"/>
        </w:rPr>
        <w:t>y</w:t>
      </w:r>
      <w:r>
        <w:rPr>
          <w:spacing w:val="-13"/>
          <w:sz w:val="16"/>
        </w:rPr>
        <w:t> </w:t>
      </w:r>
      <w:r>
        <w:rPr>
          <w:spacing w:val="-3"/>
          <w:sz w:val="16"/>
        </w:rPr>
        <w:t>112;</w:t>
      </w:r>
      <w:r>
        <w:rPr>
          <w:spacing w:val="-13"/>
          <w:sz w:val="16"/>
        </w:rPr>
        <w:t> </w:t>
      </w:r>
      <w:r>
        <w:rPr>
          <w:i/>
          <w:spacing w:val="-4"/>
          <w:sz w:val="16"/>
        </w:rPr>
        <w:t>Caso</w:t>
      </w:r>
      <w:r>
        <w:rPr>
          <w:i/>
          <w:spacing w:val="-12"/>
          <w:sz w:val="16"/>
        </w:rPr>
        <w:t> </w:t>
      </w:r>
      <w:r>
        <w:rPr>
          <w:i/>
          <w:spacing w:val="-4"/>
          <w:sz w:val="16"/>
        </w:rPr>
        <w:t>Comunidad</w:t>
      </w:r>
      <w:r>
        <w:rPr>
          <w:i/>
          <w:spacing w:val="-13"/>
          <w:sz w:val="16"/>
        </w:rPr>
        <w:t> </w:t>
      </w:r>
      <w:r>
        <w:rPr>
          <w:i/>
          <w:spacing w:val="-4"/>
          <w:sz w:val="16"/>
        </w:rPr>
        <w:t>Garífuna</w:t>
      </w:r>
      <w:r>
        <w:rPr>
          <w:i/>
          <w:spacing w:val="-13"/>
          <w:sz w:val="16"/>
        </w:rPr>
        <w:t> </w:t>
      </w:r>
      <w:r>
        <w:rPr>
          <w:i/>
          <w:sz w:val="16"/>
        </w:rPr>
        <w:t>de</w:t>
      </w:r>
      <w:r>
        <w:rPr>
          <w:i/>
          <w:spacing w:val="-13"/>
          <w:sz w:val="16"/>
        </w:rPr>
        <w:t> </w:t>
      </w:r>
      <w:r>
        <w:rPr>
          <w:i/>
          <w:spacing w:val="-4"/>
          <w:sz w:val="16"/>
        </w:rPr>
        <w:t>Punta</w:t>
      </w:r>
      <w:r>
        <w:rPr>
          <w:i/>
          <w:spacing w:val="-12"/>
          <w:sz w:val="16"/>
        </w:rPr>
        <w:t> </w:t>
      </w:r>
      <w:r>
        <w:rPr>
          <w:i/>
          <w:spacing w:val="-4"/>
          <w:sz w:val="16"/>
        </w:rPr>
        <w:t>Piedra</w:t>
      </w:r>
      <w:r>
        <w:rPr>
          <w:i/>
          <w:spacing w:val="-13"/>
          <w:sz w:val="16"/>
        </w:rPr>
        <w:t> </w:t>
      </w:r>
      <w:r>
        <w:rPr>
          <w:i/>
          <w:sz w:val="16"/>
        </w:rPr>
        <w:t>y</w:t>
      </w:r>
      <w:r>
        <w:rPr>
          <w:i/>
          <w:spacing w:val="-12"/>
          <w:sz w:val="16"/>
        </w:rPr>
        <w:t> </w:t>
      </w:r>
      <w:r>
        <w:rPr>
          <w:i/>
          <w:spacing w:val="-3"/>
          <w:sz w:val="16"/>
        </w:rPr>
        <w:t>sus </w:t>
      </w:r>
      <w:r>
        <w:rPr>
          <w:i/>
          <w:spacing w:val="-4"/>
          <w:sz w:val="16"/>
        </w:rPr>
        <w:t>Miembros </w:t>
      </w:r>
      <w:r>
        <w:rPr>
          <w:i/>
          <w:spacing w:val="-3"/>
          <w:sz w:val="16"/>
        </w:rPr>
        <w:t>Vs. </w:t>
      </w:r>
      <w:r>
        <w:rPr>
          <w:i/>
          <w:spacing w:val="-4"/>
          <w:sz w:val="16"/>
        </w:rPr>
        <w:t>Honduras. Excepciones </w:t>
      </w:r>
      <w:r>
        <w:rPr>
          <w:i/>
          <w:spacing w:val="-5"/>
          <w:sz w:val="16"/>
        </w:rPr>
        <w:t>Preliminares, </w:t>
      </w:r>
      <w:r>
        <w:rPr>
          <w:i/>
          <w:spacing w:val="-4"/>
          <w:sz w:val="16"/>
        </w:rPr>
        <w:t>Fondo, Reparaciones </w:t>
      </w:r>
      <w:r>
        <w:rPr>
          <w:i/>
          <w:sz w:val="16"/>
        </w:rPr>
        <w:t>y </w:t>
      </w:r>
      <w:r>
        <w:rPr>
          <w:i/>
          <w:spacing w:val="-4"/>
          <w:sz w:val="16"/>
        </w:rPr>
        <w:t>Costas. S</w:t>
      </w:r>
      <w:r>
        <w:rPr>
          <w:spacing w:val="-4"/>
          <w:sz w:val="16"/>
        </w:rPr>
        <w:t>entencia </w:t>
      </w:r>
      <w:r>
        <w:rPr>
          <w:sz w:val="16"/>
        </w:rPr>
        <w:t>de 8 de </w:t>
      </w:r>
      <w:r>
        <w:rPr>
          <w:spacing w:val="-4"/>
          <w:sz w:val="16"/>
        </w:rPr>
        <w:t>octubre </w:t>
      </w:r>
      <w:r>
        <w:rPr>
          <w:sz w:val="16"/>
        </w:rPr>
        <w:t>de </w:t>
      </w:r>
      <w:r>
        <w:rPr>
          <w:spacing w:val="-4"/>
          <w:sz w:val="16"/>
        </w:rPr>
        <w:t>2015. Serie </w:t>
      </w:r>
      <w:r>
        <w:rPr>
          <w:sz w:val="16"/>
        </w:rPr>
        <w:t>C </w:t>
      </w:r>
      <w:r>
        <w:rPr>
          <w:spacing w:val="-3"/>
          <w:sz w:val="16"/>
        </w:rPr>
        <w:t>No. 304, </w:t>
      </w:r>
      <w:r>
        <w:rPr>
          <w:spacing w:val="-4"/>
          <w:sz w:val="16"/>
        </w:rPr>
        <w:t>párr. </w:t>
      </w:r>
      <w:r>
        <w:rPr>
          <w:spacing w:val="-3"/>
          <w:sz w:val="16"/>
        </w:rPr>
        <w:t>165; </w:t>
      </w:r>
      <w:r>
        <w:rPr>
          <w:i/>
          <w:spacing w:val="-3"/>
          <w:sz w:val="16"/>
        </w:rPr>
        <w:t>Caso </w:t>
      </w:r>
      <w:r>
        <w:rPr>
          <w:i/>
          <w:spacing w:val="-4"/>
          <w:sz w:val="16"/>
        </w:rPr>
        <w:t>Comunidad Garífuna Triunfo </w:t>
      </w:r>
      <w:r>
        <w:rPr>
          <w:i/>
          <w:sz w:val="16"/>
        </w:rPr>
        <w:t>de la </w:t>
      </w:r>
      <w:r>
        <w:rPr>
          <w:i/>
          <w:spacing w:val="-3"/>
          <w:sz w:val="16"/>
        </w:rPr>
        <w:t>Cruz </w:t>
      </w:r>
      <w:r>
        <w:rPr>
          <w:i/>
          <w:sz w:val="16"/>
        </w:rPr>
        <w:t>y </w:t>
      </w:r>
      <w:r>
        <w:rPr>
          <w:i/>
          <w:spacing w:val="-3"/>
          <w:sz w:val="16"/>
        </w:rPr>
        <w:t>sus </w:t>
      </w:r>
      <w:r>
        <w:rPr>
          <w:i/>
          <w:spacing w:val="-4"/>
          <w:sz w:val="16"/>
        </w:rPr>
        <w:t>Miembros </w:t>
      </w:r>
      <w:r>
        <w:rPr>
          <w:i/>
          <w:spacing w:val="-3"/>
          <w:sz w:val="16"/>
        </w:rPr>
        <w:t>Vs. </w:t>
      </w:r>
      <w:r>
        <w:rPr>
          <w:i/>
          <w:spacing w:val="-4"/>
          <w:sz w:val="16"/>
        </w:rPr>
        <w:t>Honduras. Fondo, Reparaciones </w:t>
      </w:r>
      <w:r>
        <w:rPr>
          <w:i/>
          <w:sz w:val="16"/>
        </w:rPr>
        <w:t>y </w:t>
      </w:r>
      <w:r>
        <w:rPr>
          <w:i/>
          <w:spacing w:val="-4"/>
          <w:sz w:val="16"/>
        </w:rPr>
        <w:t>Costas. </w:t>
      </w:r>
      <w:r>
        <w:rPr>
          <w:spacing w:val="-4"/>
          <w:sz w:val="16"/>
        </w:rPr>
        <w:t>Sentencia</w:t>
      </w:r>
      <w:r>
        <w:rPr>
          <w:spacing w:val="-7"/>
          <w:sz w:val="16"/>
        </w:rPr>
        <w:t> </w:t>
      </w:r>
      <w:r>
        <w:rPr>
          <w:sz w:val="16"/>
        </w:rPr>
        <w:t>de</w:t>
      </w:r>
      <w:r>
        <w:rPr>
          <w:spacing w:val="-8"/>
          <w:sz w:val="16"/>
        </w:rPr>
        <w:t> </w:t>
      </w:r>
      <w:r>
        <w:rPr>
          <w:sz w:val="16"/>
        </w:rPr>
        <w:t>8</w:t>
      </w:r>
      <w:r>
        <w:rPr>
          <w:spacing w:val="-8"/>
          <w:sz w:val="16"/>
        </w:rPr>
        <w:t> </w:t>
      </w:r>
      <w:r>
        <w:rPr>
          <w:sz w:val="16"/>
        </w:rPr>
        <w:t>de</w:t>
      </w:r>
      <w:r>
        <w:rPr>
          <w:spacing w:val="-8"/>
          <w:sz w:val="16"/>
        </w:rPr>
        <w:t> </w:t>
      </w:r>
      <w:r>
        <w:rPr>
          <w:spacing w:val="-4"/>
          <w:sz w:val="16"/>
        </w:rPr>
        <w:t>octubre</w:t>
      </w:r>
      <w:r>
        <w:rPr>
          <w:spacing w:val="-9"/>
          <w:sz w:val="16"/>
        </w:rPr>
        <w:t> </w:t>
      </w:r>
      <w:r>
        <w:rPr>
          <w:sz w:val="16"/>
        </w:rPr>
        <w:t>de</w:t>
      </w:r>
      <w:r>
        <w:rPr>
          <w:spacing w:val="-9"/>
          <w:sz w:val="16"/>
        </w:rPr>
        <w:t> </w:t>
      </w:r>
      <w:r>
        <w:rPr>
          <w:spacing w:val="-4"/>
          <w:sz w:val="16"/>
        </w:rPr>
        <w:t>2015.</w:t>
      </w:r>
      <w:r>
        <w:rPr>
          <w:spacing w:val="-8"/>
          <w:sz w:val="16"/>
        </w:rPr>
        <w:t> </w:t>
      </w:r>
      <w:r>
        <w:rPr>
          <w:spacing w:val="-4"/>
          <w:sz w:val="16"/>
        </w:rPr>
        <w:t>Serie</w:t>
      </w:r>
      <w:r>
        <w:rPr>
          <w:spacing w:val="-9"/>
          <w:sz w:val="16"/>
        </w:rPr>
        <w:t> </w:t>
      </w:r>
      <w:r>
        <w:rPr>
          <w:sz w:val="16"/>
        </w:rPr>
        <w:t>C</w:t>
      </w:r>
      <w:r>
        <w:rPr>
          <w:spacing w:val="-9"/>
          <w:sz w:val="16"/>
        </w:rPr>
        <w:t> </w:t>
      </w:r>
      <w:r>
        <w:rPr>
          <w:spacing w:val="-3"/>
          <w:sz w:val="16"/>
        </w:rPr>
        <w:t>No.</w:t>
      </w:r>
      <w:r>
        <w:rPr>
          <w:spacing w:val="-8"/>
          <w:sz w:val="16"/>
        </w:rPr>
        <w:t> </w:t>
      </w:r>
      <w:r>
        <w:rPr>
          <w:spacing w:val="-3"/>
          <w:sz w:val="16"/>
        </w:rPr>
        <w:t>324,</w:t>
      </w:r>
      <w:r>
        <w:rPr>
          <w:spacing w:val="-8"/>
          <w:sz w:val="16"/>
        </w:rPr>
        <w:t> </w:t>
      </w:r>
      <w:r>
        <w:rPr>
          <w:spacing w:val="-4"/>
          <w:sz w:val="16"/>
        </w:rPr>
        <w:t>párr.</w:t>
      </w:r>
      <w:r>
        <w:rPr>
          <w:spacing w:val="-9"/>
          <w:sz w:val="16"/>
        </w:rPr>
        <w:t> </w:t>
      </w:r>
      <w:r>
        <w:rPr>
          <w:spacing w:val="-4"/>
          <w:sz w:val="16"/>
        </w:rPr>
        <w:t>100;</w:t>
      </w:r>
      <w:r>
        <w:rPr>
          <w:spacing w:val="-8"/>
          <w:sz w:val="16"/>
        </w:rPr>
        <w:t> </w:t>
      </w:r>
      <w:r>
        <w:rPr>
          <w:i/>
          <w:spacing w:val="-3"/>
          <w:sz w:val="16"/>
        </w:rPr>
        <w:t>Caso</w:t>
      </w:r>
      <w:r>
        <w:rPr>
          <w:i/>
          <w:spacing w:val="-7"/>
          <w:sz w:val="16"/>
        </w:rPr>
        <w:t> </w:t>
      </w:r>
      <w:r>
        <w:rPr>
          <w:i/>
          <w:spacing w:val="-4"/>
          <w:sz w:val="16"/>
        </w:rPr>
        <w:t>Pueblos</w:t>
      </w:r>
      <w:r>
        <w:rPr>
          <w:i/>
          <w:spacing w:val="-9"/>
          <w:sz w:val="16"/>
        </w:rPr>
        <w:t> </w:t>
      </w:r>
      <w:r>
        <w:rPr>
          <w:i/>
          <w:spacing w:val="-4"/>
          <w:sz w:val="16"/>
        </w:rPr>
        <w:t>Kaliña</w:t>
      </w:r>
      <w:r>
        <w:rPr>
          <w:i/>
          <w:spacing w:val="-9"/>
          <w:sz w:val="16"/>
        </w:rPr>
        <w:t> </w:t>
      </w:r>
      <w:r>
        <w:rPr>
          <w:i/>
          <w:sz w:val="16"/>
        </w:rPr>
        <w:t>y</w:t>
      </w:r>
      <w:r>
        <w:rPr>
          <w:i/>
          <w:spacing w:val="-7"/>
          <w:sz w:val="16"/>
        </w:rPr>
        <w:t> </w:t>
      </w:r>
      <w:r>
        <w:rPr>
          <w:i/>
          <w:spacing w:val="-4"/>
          <w:sz w:val="16"/>
        </w:rPr>
        <w:t>Lokono</w:t>
      </w:r>
      <w:r>
        <w:rPr>
          <w:i/>
          <w:spacing w:val="-8"/>
          <w:sz w:val="16"/>
        </w:rPr>
        <w:t> </w:t>
      </w:r>
      <w:r>
        <w:rPr>
          <w:i/>
          <w:spacing w:val="-3"/>
          <w:sz w:val="16"/>
        </w:rPr>
        <w:t>Vs.</w:t>
      </w:r>
      <w:r>
        <w:rPr>
          <w:i/>
          <w:spacing w:val="-8"/>
          <w:sz w:val="16"/>
        </w:rPr>
        <w:t> </w:t>
      </w:r>
      <w:r>
        <w:rPr>
          <w:i/>
          <w:spacing w:val="-4"/>
          <w:sz w:val="16"/>
        </w:rPr>
        <w:t>Surinam.</w:t>
      </w:r>
      <w:r>
        <w:rPr>
          <w:i/>
          <w:spacing w:val="-8"/>
          <w:sz w:val="16"/>
        </w:rPr>
        <w:t> </w:t>
      </w:r>
      <w:r>
        <w:rPr>
          <w:i/>
          <w:spacing w:val="-4"/>
          <w:sz w:val="16"/>
        </w:rPr>
        <w:t>Fondo,</w:t>
      </w:r>
      <w:r>
        <w:rPr>
          <w:i/>
          <w:spacing w:val="-9"/>
          <w:sz w:val="16"/>
        </w:rPr>
        <w:t> </w:t>
      </w:r>
      <w:r>
        <w:rPr>
          <w:i/>
          <w:spacing w:val="-4"/>
          <w:sz w:val="16"/>
        </w:rPr>
        <w:t>Reparaciones </w:t>
      </w:r>
      <w:r>
        <w:rPr>
          <w:i/>
          <w:sz w:val="16"/>
        </w:rPr>
        <w:t>y</w:t>
      </w:r>
      <w:r>
        <w:rPr>
          <w:i/>
          <w:spacing w:val="-8"/>
          <w:sz w:val="16"/>
        </w:rPr>
        <w:t> </w:t>
      </w:r>
      <w:r>
        <w:rPr>
          <w:i/>
          <w:spacing w:val="-4"/>
          <w:sz w:val="16"/>
        </w:rPr>
        <w:t>Costas.</w:t>
      </w:r>
      <w:r>
        <w:rPr>
          <w:i/>
          <w:spacing w:val="-8"/>
          <w:sz w:val="16"/>
        </w:rPr>
        <w:t> </w:t>
      </w:r>
      <w:r>
        <w:rPr>
          <w:spacing w:val="-4"/>
          <w:sz w:val="16"/>
        </w:rPr>
        <w:t>Sentencia</w:t>
      </w:r>
      <w:r>
        <w:rPr>
          <w:spacing w:val="-8"/>
          <w:sz w:val="16"/>
        </w:rPr>
        <w:t> </w:t>
      </w:r>
      <w:r>
        <w:rPr>
          <w:sz w:val="16"/>
        </w:rPr>
        <w:t>de</w:t>
      </w:r>
      <w:r>
        <w:rPr>
          <w:spacing w:val="-9"/>
          <w:sz w:val="16"/>
        </w:rPr>
        <w:t> </w:t>
      </w:r>
      <w:r>
        <w:rPr>
          <w:spacing w:val="-3"/>
          <w:sz w:val="16"/>
        </w:rPr>
        <w:t>25</w:t>
      </w:r>
      <w:r>
        <w:rPr>
          <w:spacing w:val="-9"/>
          <w:sz w:val="16"/>
        </w:rPr>
        <w:t> </w:t>
      </w:r>
      <w:r>
        <w:rPr>
          <w:sz w:val="16"/>
        </w:rPr>
        <w:t>de</w:t>
      </w:r>
      <w:r>
        <w:rPr>
          <w:spacing w:val="-9"/>
          <w:sz w:val="16"/>
        </w:rPr>
        <w:t> </w:t>
      </w:r>
      <w:r>
        <w:rPr>
          <w:spacing w:val="-4"/>
          <w:sz w:val="16"/>
        </w:rPr>
        <w:t>noviembre</w:t>
      </w:r>
      <w:r>
        <w:rPr>
          <w:spacing w:val="-9"/>
          <w:sz w:val="16"/>
        </w:rPr>
        <w:t> </w:t>
      </w:r>
      <w:r>
        <w:rPr>
          <w:sz w:val="16"/>
        </w:rPr>
        <w:t>de</w:t>
      </w:r>
      <w:r>
        <w:rPr>
          <w:spacing w:val="-10"/>
          <w:sz w:val="16"/>
        </w:rPr>
        <w:t> </w:t>
      </w:r>
      <w:r>
        <w:rPr>
          <w:spacing w:val="-4"/>
          <w:sz w:val="16"/>
        </w:rPr>
        <w:t>2015.</w:t>
      </w:r>
      <w:r>
        <w:rPr>
          <w:spacing w:val="-10"/>
          <w:sz w:val="16"/>
        </w:rPr>
        <w:t> </w:t>
      </w:r>
      <w:r>
        <w:rPr>
          <w:spacing w:val="-4"/>
          <w:sz w:val="16"/>
        </w:rPr>
        <w:t>Serie</w:t>
      </w:r>
      <w:r>
        <w:rPr>
          <w:spacing w:val="-9"/>
          <w:sz w:val="16"/>
        </w:rPr>
        <w:t> </w:t>
      </w:r>
      <w:r>
        <w:rPr>
          <w:sz w:val="16"/>
        </w:rPr>
        <w:t>C</w:t>
      </w:r>
      <w:r>
        <w:rPr>
          <w:spacing w:val="-10"/>
          <w:sz w:val="16"/>
        </w:rPr>
        <w:t> </w:t>
      </w:r>
      <w:r>
        <w:rPr>
          <w:spacing w:val="-3"/>
          <w:sz w:val="16"/>
        </w:rPr>
        <w:t>No.</w:t>
      </w:r>
      <w:r>
        <w:rPr>
          <w:spacing w:val="-10"/>
          <w:sz w:val="16"/>
        </w:rPr>
        <w:t> </w:t>
      </w:r>
      <w:r>
        <w:rPr>
          <w:spacing w:val="-3"/>
          <w:sz w:val="16"/>
        </w:rPr>
        <w:t>309,</w:t>
      </w:r>
      <w:r>
        <w:rPr>
          <w:spacing w:val="-9"/>
          <w:sz w:val="16"/>
        </w:rPr>
        <w:t> </w:t>
      </w:r>
      <w:r>
        <w:rPr>
          <w:spacing w:val="-4"/>
          <w:sz w:val="16"/>
        </w:rPr>
        <w:t>párr.</w:t>
      </w:r>
      <w:r>
        <w:rPr>
          <w:spacing w:val="-10"/>
          <w:sz w:val="16"/>
        </w:rPr>
        <w:t> </w:t>
      </w:r>
      <w:r>
        <w:rPr>
          <w:spacing w:val="-3"/>
          <w:sz w:val="16"/>
        </w:rPr>
        <w:t>129</w:t>
      </w:r>
      <w:r>
        <w:rPr>
          <w:i/>
          <w:spacing w:val="-3"/>
          <w:sz w:val="16"/>
        </w:rPr>
        <w:t>,</w:t>
      </w:r>
      <w:r>
        <w:rPr>
          <w:i/>
          <w:spacing w:val="-11"/>
          <w:sz w:val="16"/>
        </w:rPr>
        <w:t> </w:t>
      </w:r>
      <w:r>
        <w:rPr>
          <w:i/>
          <w:sz w:val="16"/>
        </w:rPr>
        <w:t>y</w:t>
      </w:r>
      <w:r>
        <w:rPr>
          <w:i/>
          <w:spacing w:val="-8"/>
          <w:sz w:val="16"/>
        </w:rPr>
        <w:t> </w:t>
      </w:r>
      <w:r>
        <w:rPr>
          <w:sz w:val="16"/>
        </w:rPr>
        <w:t>Caso</w:t>
      </w:r>
      <w:r>
        <w:rPr>
          <w:spacing w:val="-2"/>
          <w:sz w:val="16"/>
        </w:rPr>
        <w:t> </w:t>
      </w:r>
      <w:r>
        <w:rPr>
          <w:sz w:val="16"/>
        </w:rPr>
        <w:t>Pueblo</w:t>
      </w:r>
      <w:r>
        <w:rPr>
          <w:spacing w:val="-2"/>
          <w:sz w:val="16"/>
        </w:rPr>
        <w:t> </w:t>
      </w:r>
      <w:r>
        <w:rPr>
          <w:sz w:val="16"/>
        </w:rPr>
        <w:t>Indígena</w:t>
      </w:r>
      <w:r>
        <w:rPr>
          <w:spacing w:val="-2"/>
          <w:sz w:val="16"/>
        </w:rPr>
        <w:t> </w:t>
      </w:r>
      <w:r>
        <w:rPr>
          <w:sz w:val="16"/>
        </w:rPr>
        <w:t>Xucuru,</w:t>
      </w:r>
      <w:r>
        <w:rPr>
          <w:spacing w:val="-3"/>
          <w:sz w:val="16"/>
        </w:rPr>
        <w:t> </w:t>
      </w:r>
      <w:r>
        <w:rPr>
          <w:sz w:val="16"/>
        </w:rPr>
        <w:t>párr.</w:t>
      </w:r>
      <w:r>
        <w:rPr>
          <w:spacing w:val="-3"/>
          <w:sz w:val="16"/>
        </w:rPr>
        <w:t> </w:t>
      </w:r>
      <w:r>
        <w:rPr>
          <w:sz w:val="16"/>
        </w:rPr>
        <w:t>115.</w:t>
      </w:r>
    </w:p>
    <w:p>
      <w:pPr>
        <w:tabs>
          <w:tab w:pos="681" w:val="left" w:leader="none"/>
        </w:tabs>
        <w:spacing w:before="0"/>
        <w:ind w:left="114" w:right="114" w:firstLine="0"/>
        <w:jc w:val="both"/>
        <w:rPr>
          <w:sz w:val="16"/>
        </w:rPr>
      </w:pPr>
      <w:r>
        <w:rPr>
          <w:position w:val="6"/>
          <w:sz w:val="10"/>
        </w:rPr>
        <w:t>19</w:t>
        <w:tab/>
      </w:r>
      <w:r>
        <w:rPr>
          <w:i/>
          <w:sz w:val="16"/>
        </w:rPr>
        <w:t>Cfr.</w:t>
      </w:r>
      <w:r>
        <w:rPr>
          <w:i/>
          <w:spacing w:val="31"/>
          <w:sz w:val="16"/>
        </w:rPr>
        <w:t> </w:t>
      </w:r>
      <w:r>
        <w:rPr>
          <w:i/>
          <w:sz w:val="16"/>
        </w:rPr>
        <w:t>Derechos</w:t>
      </w:r>
      <w:r>
        <w:rPr>
          <w:i/>
          <w:spacing w:val="32"/>
          <w:sz w:val="16"/>
        </w:rPr>
        <w:t> </w:t>
      </w:r>
      <w:r>
        <w:rPr>
          <w:i/>
          <w:sz w:val="16"/>
        </w:rPr>
        <w:t>humanos</w:t>
      </w:r>
      <w:r>
        <w:rPr>
          <w:i/>
          <w:spacing w:val="31"/>
          <w:sz w:val="16"/>
        </w:rPr>
        <w:t> </w:t>
      </w:r>
      <w:r>
        <w:rPr>
          <w:i/>
          <w:sz w:val="16"/>
        </w:rPr>
        <w:t>y</w:t>
      </w:r>
      <w:r>
        <w:rPr>
          <w:i/>
          <w:spacing w:val="31"/>
          <w:sz w:val="16"/>
        </w:rPr>
        <w:t> </w:t>
      </w:r>
      <w:r>
        <w:rPr>
          <w:i/>
          <w:sz w:val="16"/>
        </w:rPr>
        <w:t>cuestiones</w:t>
      </w:r>
      <w:r>
        <w:rPr>
          <w:i/>
          <w:spacing w:val="30"/>
          <w:sz w:val="16"/>
        </w:rPr>
        <w:t> </w:t>
      </w:r>
      <w:r>
        <w:rPr>
          <w:i/>
          <w:sz w:val="16"/>
        </w:rPr>
        <w:t>indígenas</w:t>
      </w:r>
      <w:r>
        <w:rPr>
          <w:i/>
          <w:spacing w:val="30"/>
          <w:sz w:val="16"/>
        </w:rPr>
        <w:t> </w:t>
      </w:r>
      <w:r>
        <w:rPr>
          <w:i/>
          <w:sz w:val="16"/>
        </w:rPr>
        <w:t>Informe</w:t>
      </w:r>
      <w:r>
        <w:rPr>
          <w:i/>
          <w:spacing w:val="32"/>
          <w:sz w:val="16"/>
        </w:rPr>
        <w:t> </w:t>
      </w:r>
      <w:r>
        <w:rPr>
          <w:i/>
          <w:sz w:val="16"/>
        </w:rPr>
        <w:t>del</w:t>
      </w:r>
      <w:r>
        <w:rPr>
          <w:i/>
          <w:spacing w:val="31"/>
          <w:sz w:val="16"/>
        </w:rPr>
        <w:t> </w:t>
      </w:r>
      <w:r>
        <w:rPr>
          <w:i/>
          <w:sz w:val="16"/>
        </w:rPr>
        <w:t>Relator</w:t>
      </w:r>
      <w:r>
        <w:rPr>
          <w:i/>
          <w:spacing w:val="31"/>
          <w:sz w:val="16"/>
        </w:rPr>
        <w:t> </w:t>
      </w:r>
      <w:r>
        <w:rPr>
          <w:i/>
          <w:sz w:val="16"/>
        </w:rPr>
        <w:t>Especial</w:t>
      </w:r>
      <w:r>
        <w:rPr>
          <w:i/>
          <w:spacing w:val="32"/>
          <w:sz w:val="16"/>
        </w:rPr>
        <w:t> </w:t>
      </w:r>
      <w:r>
        <w:rPr>
          <w:i/>
          <w:sz w:val="16"/>
        </w:rPr>
        <w:t>sobre</w:t>
      </w:r>
      <w:r>
        <w:rPr>
          <w:i/>
          <w:spacing w:val="31"/>
          <w:sz w:val="16"/>
        </w:rPr>
        <w:t> </w:t>
      </w:r>
      <w:r>
        <w:rPr>
          <w:i/>
          <w:sz w:val="16"/>
        </w:rPr>
        <w:t>la</w:t>
      </w:r>
      <w:r>
        <w:rPr>
          <w:i/>
          <w:spacing w:val="31"/>
          <w:sz w:val="16"/>
        </w:rPr>
        <w:t> </w:t>
      </w:r>
      <w:r>
        <w:rPr>
          <w:i/>
          <w:sz w:val="16"/>
        </w:rPr>
        <w:t>situación</w:t>
      </w:r>
      <w:r>
        <w:rPr>
          <w:i/>
          <w:spacing w:val="31"/>
          <w:sz w:val="16"/>
        </w:rPr>
        <w:t> </w:t>
      </w:r>
      <w:r>
        <w:rPr>
          <w:i/>
          <w:sz w:val="16"/>
        </w:rPr>
        <w:t>de</w:t>
      </w:r>
      <w:r>
        <w:rPr>
          <w:i/>
          <w:spacing w:val="31"/>
          <w:sz w:val="16"/>
        </w:rPr>
        <w:t> </w:t>
      </w:r>
      <w:r>
        <w:rPr>
          <w:i/>
          <w:sz w:val="16"/>
        </w:rPr>
        <w:t>los</w:t>
      </w:r>
      <w:r>
        <w:rPr>
          <w:i/>
          <w:spacing w:val="31"/>
          <w:sz w:val="16"/>
        </w:rPr>
        <w:t> </w:t>
      </w:r>
      <w:r>
        <w:rPr>
          <w:i/>
          <w:sz w:val="16"/>
        </w:rPr>
        <w:t>derechos</w:t>
      </w:r>
      <w:r>
        <w:rPr>
          <w:i/>
          <w:w w:val="99"/>
          <w:sz w:val="16"/>
        </w:rPr>
        <w:t> </w:t>
      </w:r>
      <w:r>
        <w:rPr>
          <w:i/>
          <w:sz w:val="16"/>
        </w:rPr>
        <w:t>humanos y las libertades fundamentales de los indígenas, Sr. Rodolfo Stavenhagen, presentado de conformidad con la resolución 2001/57 de la Comisión. </w:t>
      </w:r>
      <w:r>
        <w:rPr>
          <w:sz w:val="16"/>
        </w:rPr>
        <w:t>4 de febrero de 2002. Doc. E/CN.4/2002/97, párr.</w:t>
      </w:r>
      <w:r>
        <w:rPr>
          <w:spacing w:val="-24"/>
          <w:sz w:val="16"/>
        </w:rPr>
        <w:t> </w:t>
      </w:r>
      <w:r>
        <w:rPr>
          <w:sz w:val="16"/>
        </w:rPr>
        <w:t>57.</w:t>
      </w:r>
    </w:p>
    <w:p>
      <w:pPr>
        <w:spacing w:after="0"/>
        <w:jc w:val="both"/>
        <w:rPr>
          <w:sz w:val="16"/>
        </w:rPr>
        <w:sectPr>
          <w:footerReference w:type="default" r:id="rId49"/>
          <w:pgSz w:w="12250" w:h="15850"/>
          <w:pgMar w:footer="0" w:header="0" w:top="1500" w:bottom="280" w:left="1020" w:right="1060"/>
        </w:sectPr>
      </w:pPr>
    </w:p>
    <w:p>
      <w:pPr>
        <w:pStyle w:val="BodyText"/>
        <w:spacing w:before="198"/>
        <w:ind w:left="114"/>
        <w:jc w:val="both"/>
      </w:pPr>
      <w:r>
        <w:rPr/>
        <w:t>indígena se podría vulnerar otros derechos conexos como son [, entre otros,] el derecho a la</w:t>
      </w:r>
    </w:p>
    <w:p>
      <w:pPr>
        <w:pStyle w:val="BodyText"/>
        <w:ind w:left="114"/>
        <w:jc w:val="both"/>
      </w:pPr>
      <w:r>
        <w:rPr/>
        <w:t>identidad cultural, a la supervivencia organizada como pueblo [y] a la alimentación”</w:t>
      </w:r>
      <w:r>
        <w:rPr>
          <w:position w:val="7"/>
          <w:sz w:val="13"/>
        </w:rPr>
        <w:t>20</w:t>
      </w:r>
      <w:r>
        <w:rPr/>
        <w:t>.</w:t>
      </w:r>
    </w:p>
    <w:p>
      <w:pPr>
        <w:pStyle w:val="BodyText"/>
      </w:pPr>
    </w:p>
    <w:p>
      <w:pPr>
        <w:pStyle w:val="ListParagraph"/>
        <w:numPr>
          <w:ilvl w:val="0"/>
          <w:numId w:val="73"/>
        </w:numPr>
        <w:tabs>
          <w:tab w:pos="823" w:val="left" w:leader="none"/>
        </w:tabs>
        <w:spacing w:line="240" w:lineRule="auto" w:before="0" w:after="0"/>
        <w:ind w:left="114" w:right="106" w:firstLine="0"/>
        <w:jc w:val="both"/>
        <w:rPr>
          <w:sz w:val="20"/>
        </w:rPr>
      </w:pPr>
      <w:r>
        <w:rPr>
          <w:sz w:val="20"/>
        </w:rPr>
        <w:t>En segundo lugar, al quitarle el sustento del artículo 21 de la Convención al derecho a la identidad cultural y al medio ambiente sano, se corre el peligro de debilitar la singularidad de los derechos de los pueblos indígenas y tribales. Bajo la excusa de una protección directa y autónoma de</w:t>
      </w:r>
      <w:r>
        <w:rPr>
          <w:spacing w:val="-6"/>
          <w:sz w:val="20"/>
        </w:rPr>
        <w:t> </w:t>
      </w:r>
      <w:r>
        <w:rPr>
          <w:sz w:val="20"/>
        </w:rPr>
        <w:t>los</w:t>
      </w:r>
      <w:r>
        <w:rPr>
          <w:spacing w:val="-9"/>
          <w:sz w:val="20"/>
        </w:rPr>
        <w:t> </w:t>
      </w:r>
      <w:r>
        <w:rPr>
          <w:sz w:val="20"/>
        </w:rPr>
        <w:t>DESCA</w:t>
      </w:r>
      <w:r>
        <w:rPr>
          <w:spacing w:val="-5"/>
          <w:sz w:val="20"/>
        </w:rPr>
        <w:t> </w:t>
      </w:r>
      <w:r>
        <w:rPr>
          <w:sz w:val="20"/>
        </w:rPr>
        <w:t>desde</w:t>
      </w:r>
      <w:r>
        <w:rPr>
          <w:spacing w:val="-6"/>
          <w:sz w:val="20"/>
        </w:rPr>
        <w:t> </w:t>
      </w:r>
      <w:r>
        <w:rPr>
          <w:sz w:val="20"/>
        </w:rPr>
        <w:t>una</w:t>
      </w:r>
      <w:r>
        <w:rPr>
          <w:spacing w:val="-6"/>
          <w:sz w:val="20"/>
        </w:rPr>
        <w:t> </w:t>
      </w:r>
      <w:r>
        <w:rPr>
          <w:sz w:val="20"/>
        </w:rPr>
        <w:t>óptica</w:t>
      </w:r>
      <w:r>
        <w:rPr>
          <w:spacing w:val="-7"/>
          <w:sz w:val="20"/>
        </w:rPr>
        <w:t> </w:t>
      </w:r>
      <w:r>
        <w:rPr>
          <w:sz w:val="20"/>
        </w:rPr>
        <w:t>del</w:t>
      </w:r>
      <w:r>
        <w:rPr>
          <w:spacing w:val="-7"/>
          <w:sz w:val="20"/>
        </w:rPr>
        <w:t> </w:t>
      </w:r>
      <w:r>
        <w:rPr>
          <w:sz w:val="20"/>
        </w:rPr>
        <w:t>artículo</w:t>
      </w:r>
      <w:r>
        <w:rPr>
          <w:spacing w:val="-7"/>
          <w:sz w:val="20"/>
        </w:rPr>
        <w:t> </w:t>
      </w:r>
      <w:r>
        <w:rPr>
          <w:sz w:val="20"/>
        </w:rPr>
        <w:t>26</w:t>
      </w:r>
      <w:r>
        <w:rPr>
          <w:spacing w:val="-8"/>
          <w:sz w:val="20"/>
        </w:rPr>
        <w:t> </w:t>
      </w:r>
      <w:r>
        <w:rPr>
          <w:sz w:val="20"/>
        </w:rPr>
        <w:t>de</w:t>
      </w:r>
      <w:r>
        <w:rPr>
          <w:spacing w:val="-6"/>
          <w:sz w:val="20"/>
        </w:rPr>
        <w:t> </w:t>
      </w:r>
      <w:r>
        <w:rPr>
          <w:sz w:val="20"/>
        </w:rPr>
        <w:t>la</w:t>
      </w:r>
      <w:r>
        <w:rPr>
          <w:spacing w:val="-7"/>
          <w:sz w:val="20"/>
        </w:rPr>
        <w:t> </w:t>
      </w:r>
      <w:r>
        <w:rPr>
          <w:sz w:val="20"/>
        </w:rPr>
        <w:t>CADH,</w:t>
      </w:r>
      <w:r>
        <w:rPr>
          <w:spacing w:val="-7"/>
          <w:sz w:val="20"/>
        </w:rPr>
        <w:t> </w:t>
      </w:r>
      <w:r>
        <w:rPr>
          <w:sz w:val="20"/>
        </w:rPr>
        <w:t>se</w:t>
      </w:r>
      <w:r>
        <w:rPr>
          <w:spacing w:val="-6"/>
          <w:sz w:val="20"/>
        </w:rPr>
        <w:t> </w:t>
      </w:r>
      <w:r>
        <w:rPr>
          <w:sz w:val="20"/>
        </w:rPr>
        <w:t>sujeta</w:t>
      </w:r>
      <w:r>
        <w:rPr>
          <w:spacing w:val="-7"/>
          <w:sz w:val="20"/>
        </w:rPr>
        <w:t> </w:t>
      </w:r>
      <w:r>
        <w:rPr>
          <w:sz w:val="20"/>
        </w:rPr>
        <w:t>a</w:t>
      </w:r>
      <w:r>
        <w:rPr>
          <w:spacing w:val="-9"/>
          <w:sz w:val="20"/>
        </w:rPr>
        <w:t> </w:t>
      </w:r>
      <w:r>
        <w:rPr>
          <w:sz w:val="20"/>
        </w:rPr>
        <w:t>dichos</w:t>
      </w:r>
      <w:r>
        <w:rPr>
          <w:spacing w:val="-7"/>
          <w:sz w:val="20"/>
        </w:rPr>
        <w:t> </w:t>
      </w:r>
      <w:r>
        <w:rPr>
          <w:sz w:val="20"/>
        </w:rPr>
        <w:t>pueblos</w:t>
      </w:r>
      <w:r>
        <w:rPr>
          <w:spacing w:val="-5"/>
          <w:sz w:val="20"/>
        </w:rPr>
        <w:t> </w:t>
      </w:r>
      <w:r>
        <w:rPr>
          <w:sz w:val="20"/>
        </w:rPr>
        <w:t>a</w:t>
      </w:r>
      <w:r>
        <w:rPr>
          <w:spacing w:val="-7"/>
          <w:sz w:val="20"/>
        </w:rPr>
        <w:t> </w:t>
      </w:r>
      <w:r>
        <w:rPr>
          <w:sz w:val="20"/>
        </w:rPr>
        <w:t>las</w:t>
      </w:r>
      <w:r>
        <w:rPr>
          <w:spacing w:val="-7"/>
          <w:sz w:val="20"/>
        </w:rPr>
        <w:t> </w:t>
      </w:r>
      <w:r>
        <w:rPr>
          <w:sz w:val="20"/>
        </w:rPr>
        <w:t>mismas condiciones de la población general, desconociendo sus características singulares, propias y diferenciadas. Sobre el particular la jurisprudencia de la Corte ha sido clara en señalar que el derecho</w:t>
      </w:r>
      <w:r>
        <w:rPr>
          <w:spacing w:val="-6"/>
          <w:sz w:val="20"/>
        </w:rPr>
        <w:t> </w:t>
      </w:r>
      <w:r>
        <w:rPr>
          <w:sz w:val="20"/>
        </w:rPr>
        <w:t>de</w:t>
      </w:r>
      <w:r>
        <w:rPr>
          <w:spacing w:val="-5"/>
          <w:sz w:val="20"/>
        </w:rPr>
        <w:t> </w:t>
      </w:r>
      <w:r>
        <w:rPr>
          <w:sz w:val="20"/>
        </w:rPr>
        <w:t>los</w:t>
      </w:r>
      <w:r>
        <w:rPr>
          <w:spacing w:val="-5"/>
          <w:sz w:val="20"/>
        </w:rPr>
        <w:t> </w:t>
      </w:r>
      <w:r>
        <w:rPr>
          <w:sz w:val="20"/>
        </w:rPr>
        <w:t>pueblos</w:t>
      </w:r>
      <w:r>
        <w:rPr>
          <w:spacing w:val="-8"/>
          <w:sz w:val="20"/>
        </w:rPr>
        <w:t> </w:t>
      </w:r>
      <w:r>
        <w:rPr>
          <w:sz w:val="20"/>
        </w:rPr>
        <w:t>indígenas</w:t>
      </w:r>
      <w:r>
        <w:rPr>
          <w:spacing w:val="-5"/>
          <w:sz w:val="20"/>
        </w:rPr>
        <w:t> </w:t>
      </w:r>
      <w:r>
        <w:rPr>
          <w:sz w:val="20"/>
        </w:rPr>
        <w:t>a</w:t>
      </w:r>
      <w:r>
        <w:rPr>
          <w:spacing w:val="-7"/>
          <w:sz w:val="20"/>
        </w:rPr>
        <w:t> </w:t>
      </w:r>
      <w:r>
        <w:rPr>
          <w:sz w:val="20"/>
        </w:rPr>
        <w:t>su</w:t>
      </w:r>
      <w:r>
        <w:rPr>
          <w:spacing w:val="-5"/>
          <w:sz w:val="20"/>
        </w:rPr>
        <w:t> </w:t>
      </w:r>
      <w:r>
        <w:rPr>
          <w:sz w:val="20"/>
        </w:rPr>
        <w:t>territorio</w:t>
      </w:r>
      <w:r>
        <w:rPr>
          <w:spacing w:val="-5"/>
          <w:sz w:val="20"/>
        </w:rPr>
        <w:t> </w:t>
      </w:r>
      <w:r>
        <w:rPr>
          <w:sz w:val="20"/>
        </w:rPr>
        <w:t>no</w:t>
      </w:r>
      <w:r>
        <w:rPr>
          <w:spacing w:val="-6"/>
          <w:sz w:val="20"/>
        </w:rPr>
        <w:t> </w:t>
      </w:r>
      <w:r>
        <w:rPr>
          <w:sz w:val="20"/>
        </w:rPr>
        <w:t>se</w:t>
      </w:r>
      <w:r>
        <w:rPr>
          <w:spacing w:val="-5"/>
          <w:sz w:val="20"/>
        </w:rPr>
        <w:t> </w:t>
      </w:r>
      <w:r>
        <w:rPr>
          <w:sz w:val="20"/>
        </w:rPr>
        <w:t>trata</w:t>
      </w:r>
      <w:r>
        <w:rPr>
          <w:spacing w:val="-6"/>
          <w:sz w:val="20"/>
        </w:rPr>
        <w:t> </w:t>
      </w:r>
      <w:r>
        <w:rPr>
          <w:sz w:val="20"/>
        </w:rPr>
        <w:t>de</w:t>
      </w:r>
      <w:r>
        <w:rPr>
          <w:spacing w:val="-5"/>
          <w:sz w:val="20"/>
        </w:rPr>
        <w:t> </w:t>
      </w:r>
      <w:r>
        <w:rPr>
          <w:sz w:val="20"/>
        </w:rPr>
        <w:t>un</w:t>
      </w:r>
      <w:r>
        <w:rPr>
          <w:spacing w:val="-4"/>
          <w:sz w:val="20"/>
        </w:rPr>
        <w:t> </w:t>
      </w:r>
      <w:r>
        <w:rPr>
          <w:sz w:val="20"/>
        </w:rPr>
        <w:t>privilegio</w:t>
      </w:r>
      <w:r>
        <w:rPr>
          <w:spacing w:val="-6"/>
          <w:sz w:val="20"/>
        </w:rPr>
        <w:t> </w:t>
      </w:r>
      <w:r>
        <w:rPr>
          <w:sz w:val="20"/>
        </w:rPr>
        <w:t>para</w:t>
      </w:r>
      <w:r>
        <w:rPr>
          <w:spacing w:val="-6"/>
          <w:sz w:val="20"/>
        </w:rPr>
        <w:t> </w:t>
      </w:r>
      <w:r>
        <w:rPr>
          <w:sz w:val="20"/>
        </w:rPr>
        <w:t>usar</w:t>
      </w:r>
      <w:r>
        <w:rPr>
          <w:spacing w:val="-5"/>
          <w:sz w:val="20"/>
        </w:rPr>
        <w:t> </w:t>
      </w:r>
      <w:r>
        <w:rPr>
          <w:sz w:val="20"/>
        </w:rPr>
        <w:t>la</w:t>
      </w:r>
      <w:r>
        <w:rPr>
          <w:spacing w:val="-6"/>
          <w:sz w:val="20"/>
        </w:rPr>
        <w:t> </w:t>
      </w:r>
      <w:r>
        <w:rPr>
          <w:sz w:val="20"/>
        </w:rPr>
        <w:t>tierra,</w:t>
      </w:r>
      <w:r>
        <w:rPr>
          <w:spacing w:val="-4"/>
          <w:sz w:val="20"/>
        </w:rPr>
        <w:t> </w:t>
      </w:r>
      <w:r>
        <w:rPr>
          <w:sz w:val="20"/>
        </w:rPr>
        <w:t>sino de un derecho de cuya satisfacción depende su existencia</w:t>
      </w:r>
      <w:r>
        <w:rPr>
          <w:position w:val="7"/>
          <w:sz w:val="13"/>
        </w:rPr>
        <w:t>21</w:t>
      </w:r>
      <w:r>
        <w:rPr>
          <w:sz w:val="20"/>
        </w:rPr>
        <w:t>. Sin duda, lo que correspondía en este caso, si se buscaba profundizar en una protección multinivel, era no generar una disociación tan amplia entre la pertenencia territorial y los derechos medioambientales y culturales, sino determinar la violación al artículo 21 en relación con el artículo 26 de la</w:t>
      </w:r>
      <w:r>
        <w:rPr>
          <w:spacing w:val="-19"/>
          <w:sz w:val="20"/>
        </w:rPr>
        <w:t> </w:t>
      </w:r>
      <w:r>
        <w:rPr>
          <w:sz w:val="20"/>
        </w:rPr>
        <w:t>Convención.</w:t>
      </w:r>
    </w:p>
    <w:p>
      <w:pPr>
        <w:pStyle w:val="BodyText"/>
        <w:spacing w:before="11"/>
        <w:rPr>
          <w:sz w:val="19"/>
        </w:rPr>
      </w:pPr>
    </w:p>
    <w:p>
      <w:pPr>
        <w:pStyle w:val="ListParagraph"/>
        <w:numPr>
          <w:ilvl w:val="0"/>
          <w:numId w:val="73"/>
        </w:numPr>
        <w:tabs>
          <w:tab w:pos="823" w:val="left" w:leader="none"/>
        </w:tabs>
        <w:spacing w:line="240" w:lineRule="auto" w:before="0" w:after="0"/>
        <w:ind w:left="114" w:right="107" w:firstLine="0"/>
        <w:jc w:val="both"/>
        <w:rPr>
          <w:sz w:val="20"/>
        </w:rPr>
      </w:pPr>
      <w:r>
        <w:rPr>
          <w:sz w:val="20"/>
        </w:rPr>
        <w:t>En tercer lugar, este cambio del sustento jurídico del artículo 21 al 26 de la Convención no sólo</w:t>
      </w:r>
      <w:r>
        <w:rPr>
          <w:spacing w:val="-11"/>
          <w:sz w:val="20"/>
        </w:rPr>
        <w:t> </w:t>
      </w:r>
      <w:r>
        <w:rPr>
          <w:sz w:val="20"/>
        </w:rPr>
        <w:t>constituye</w:t>
      </w:r>
      <w:r>
        <w:rPr>
          <w:spacing w:val="-10"/>
          <w:sz w:val="20"/>
        </w:rPr>
        <w:t> </w:t>
      </w:r>
      <w:r>
        <w:rPr>
          <w:sz w:val="20"/>
        </w:rPr>
        <w:t>un</w:t>
      </w:r>
      <w:r>
        <w:rPr>
          <w:spacing w:val="-10"/>
          <w:sz w:val="20"/>
        </w:rPr>
        <w:t> </w:t>
      </w:r>
      <w:r>
        <w:rPr>
          <w:sz w:val="20"/>
        </w:rPr>
        <w:t>inadecuado</w:t>
      </w:r>
      <w:r>
        <w:rPr>
          <w:spacing w:val="-13"/>
          <w:sz w:val="20"/>
        </w:rPr>
        <w:t> </w:t>
      </w:r>
      <w:r>
        <w:rPr>
          <w:sz w:val="20"/>
        </w:rPr>
        <w:t>entendimiento</w:t>
      </w:r>
      <w:r>
        <w:rPr>
          <w:spacing w:val="-11"/>
          <w:sz w:val="20"/>
        </w:rPr>
        <w:t> </w:t>
      </w:r>
      <w:r>
        <w:rPr>
          <w:sz w:val="20"/>
        </w:rPr>
        <w:t>de</w:t>
      </w:r>
      <w:r>
        <w:rPr>
          <w:spacing w:val="-10"/>
          <w:sz w:val="20"/>
        </w:rPr>
        <w:t> </w:t>
      </w:r>
      <w:r>
        <w:rPr>
          <w:sz w:val="20"/>
        </w:rPr>
        <w:t>las</w:t>
      </w:r>
      <w:r>
        <w:rPr>
          <w:spacing w:val="-12"/>
          <w:sz w:val="20"/>
        </w:rPr>
        <w:t> </w:t>
      </w:r>
      <w:r>
        <w:rPr>
          <w:sz w:val="20"/>
        </w:rPr>
        <w:t>particularidades</w:t>
      </w:r>
      <w:r>
        <w:rPr>
          <w:spacing w:val="-12"/>
          <w:sz w:val="20"/>
        </w:rPr>
        <w:t> </w:t>
      </w:r>
      <w:r>
        <w:rPr>
          <w:sz w:val="20"/>
        </w:rPr>
        <w:t>de</w:t>
      </w:r>
      <w:r>
        <w:rPr>
          <w:spacing w:val="-11"/>
          <w:sz w:val="20"/>
        </w:rPr>
        <w:t> </w:t>
      </w:r>
      <w:r>
        <w:rPr>
          <w:sz w:val="20"/>
        </w:rPr>
        <w:t>los</w:t>
      </w:r>
      <w:r>
        <w:rPr>
          <w:spacing w:val="-11"/>
          <w:sz w:val="20"/>
        </w:rPr>
        <w:t> </w:t>
      </w:r>
      <w:r>
        <w:rPr>
          <w:sz w:val="20"/>
        </w:rPr>
        <w:t>derechos</w:t>
      </w:r>
      <w:r>
        <w:rPr>
          <w:spacing w:val="-10"/>
          <w:sz w:val="20"/>
        </w:rPr>
        <w:t> </w:t>
      </w:r>
      <w:r>
        <w:rPr>
          <w:sz w:val="20"/>
        </w:rPr>
        <w:t>de</w:t>
      </w:r>
      <w:r>
        <w:rPr>
          <w:spacing w:val="-11"/>
          <w:sz w:val="20"/>
        </w:rPr>
        <w:t> </w:t>
      </w:r>
      <w:r>
        <w:rPr>
          <w:sz w:val="20"/>
        </w:rPr>
        <w:t>los</w:t>
      </w:r>
      <w:r>
        <w:rPr>
          <w:spacing w:val="-11"/>
          <w:sz w:val="20"/>
        </w:rPr>
        <w:t> </w:t>
      </w:r>
      <w:r>
        <w:rPr>
          <w:sz w:val="20"/>
        </w:rPr>
        <w:t>pueblos indígenas y tribales, sino que también abre una peligrosa puerta a incorrecta aproximación de la efectividad de las obligaciones estatales en torno a ellos. No queda duda que, si se hubiera declarado</w:t>
      </w:r>
      <w:r>
        <w:rPr>
          <w:spacing w:val="-7"/>
          <w:sz w:val="20"/>
        </w:rPr>
        <w:t> </w:t>
      </w:r>
      <w:r>
        <w:rPr>
          <w:sz w:val="20"/>
        </w:rPr>
        <w:t>una</w:t>
      </w:r>
      <w:r>
        <w:rPr>
          <w:spacing w:val="-5"/>
          <w:sz w:val="20"/>
        </w:rPr>
        <w:t> </w:t>
      </w:r>
      <w:r>
        <w:rPr>
          <w:sz w:val="20"/>
        </w:rPr>
        <w:t>violación</w:t>
      </w:r>
      <w:r>
        <w:rPr>
          <w:spacing w:val="-6"/>
          <w:sz w:val="20"/>
        </w:rPr>
        <w:t> </w:t>
      </w:r>
      <w:r>
        <w:rPr>
          <w:sz w:val="20"/>
        </w:rPr>
        <w:t>al</w:t>
      </w:r>
      <w:r>
        <w:rPr>
          <w:spacing w:val="-5"/>
          <w:sz w:val="20"/>
        </w:rPr>
        <w:t> </w:t>
      </w:r>
      <w:r>
        <w:rPr>
          <w:sz w:val="20"/>
        </w:rPr>
        <w:t>artículo</w:t>
      </w:r>
      <w:r>
        <w:rPr>
          <w:spacing w:val="-6"/>
          <w:sz w:val="20"/>
        </w:rPr>
        <w:t> </w:t>
      </w:r>
      <w:r>
        <w:rPr>
          <w:sz w:val="20"/>
        </w:rPr>
        <w:t>21</w:t>
      </w:r>
      <w:r>
        <w:rPr>
          <w:spacing w:val="-4"/>
          <w:sz w:val="20"/>
        </w:rPr>
        <w:t> </w:t>
      </w:r>
      <w:r>
        <w:rPr>
          <w:sz w:val="20"/>
        </w:rPr>
        <w:t>de</w:t>
      </w:r>
      <w:r>
        <w:rPr>
          <w:spacing w:val="-5"/>
          <w:sz w:val="20"/>
        </w:rPr>
        <w:t> </w:t>
      </w:r>
      <w:r>
        <w:rPr>
          <w:sz w:val="20"/>
        </w:rPr>
        <w:t>la</w:t>
      </w:r>
      <w:r>
        <w:rPr>
          <w:spacing w:val="-6"/>
          <w:sz w:val="20"/>
        </w:rPr>
        <w:t> </w:t>
      </w:r>
      <w:r>
        <w:rPr>
          <w:sz w:val="20"/>
        </w:rPr>
        <w:t>CADH</w:t>
      </w:r>
      <w:r>
        <w:rPr>
          <w:spacing w:val="-5"/>
          <w:sz w:val="20"/>
        </w:rPr>
        <w:t> </w:t>
      </w:r>
      <w:r>
        <w:rPr>
          <w:sz w:val="20"/>
        </w:rPr>
        <w:t>en</w:t>
      </w:r>
      <w:r>
        <w:rPr>
          <w:spacing w:val="-5"/>
          <w:sz w:val="20"/>
        </w:rPr>
        <w:t> </w:t>
      </w:r>
      <w:r>
        <w:rPr>
          <w:sz w:val="20"/>
        </w:rPr>
        <w:t>conexidad</w:t>
      </w:r>
      <w:r>
        <w:rPr>
          <w:spacing w:val="-6"/>
          <w:sz w:val="20"/>
        </w:rPr>
        <w:t> </w:t>
      </w:r>
      <w:r>
        <w:rPr>
          <w:sz w:val="20"/>
        </w:rPr>
        <w:t>con</w:t>
      </w:r>
      <w:r>
        <w:rPr>
          <w:spacing w:val="-6"/>
          <w:sz w:val="20"/>
        </w:rPr>
        <w:t> </w:t>
      </w:r>
      <w:r>
        <w:rPr>
          <w:sz w:val="20"/>
        </w:rPr>
        <w:t>los</w:t>
      </w:r>
      <w:r>
        <w:rPr>
          <w:spacing w:val="-5"/>
          <w:sz w:val="20"/>
        </w:rPr>
        <w:t> </w:t>
      </w:r>
      <w:r>
        <w:rPr>
          <w:sz w:val="20"/>
        </w:rPr>
        <w:t>derechos</w:t>
      </w:r>
      <w:r>
        <w:rPr>
          <w:spacing w:val="-6"/>
          <w:sz w:val="20"/>
        </w:rPr>
        <w:t> </w:t>
      </w:r>
      <w:r>
        <w:rPr>
          <w:sz w:val="20"/>
        </w:rPr>
        <w:t>a</w:t>
      </w:r>
      <w:r>
        <w:rPr>
          <w:spacing w:val="-4"/>
          <w:sz w:val="20"/>
        </w:rPr>
        <w:t> </w:t>
      </w:r>
      <w:r>
        <w:rPr>
          <w:sz w:val="20"/>
        </w:rPr>
        <w:t>vida</w:t>
      </w:r>
      <w:r>
        <w:rPr>
          <w:spacing w:val="-6"/>
          <w:sz w:val="20"/>
        </w:rPr>
        <w:t> </w:t>
      </w:r>
      <w:r>
        <w:rPr>
          <w:sz w:val="20"/>
        </w:rPr>
        <w:t>cultural,</w:t>
      </w:r>
      <w:r>
        <w:rPr>
          <w:spacing w:val="-5"/>
          <w:sz w:val="20"/>
        </w:rPr>
        <w:t> </w:t>
      </w:r>
      <w:r>
        <w:rPr>
          <w:sz w:val="20"/>
        </w:rPr>
        <w:t>en lo atinente a su identidad cultural, al medio ambiente sano, a la alimentación adecuada y al agua, existiría una obligación inmediata y efectiva de cumplimiento por parte del Estado. No obstante,</w:t>
      </w:r>
      <w:r>
        <w:rPr>
          <w:spacing w:val="-38"/>
          <w:sz w:val="20"/>
        </w:rPr>
        <w:t> </w:t>
      </w:r>
      <w:r>
        <w:rPr>
          <w:sz w:val="20"/>
        </w:rPr>
        <w:t>la letra</w:t>
      </w:r>
      <w:r>
        <w:rPr>
          <w:spacing w:val="-13"/>
          <w:sz w:val="20"/>
        </w:rPr>
        <w:t> </w:t>
      </w:r>
      <w:r>
        <w:rPr>
          <w:sz w:val="20"/>
        </w:rPr>
        <w:t>fiel</w:t>
      </w:r>
      <w:r>
        <w:rPr>
          <w:spacing w:val="-12"/>
          <w:sz w:val="20"/>
        </w:rPr>
        <w:t> </w:t>
      </w:r>
      <w:r>
        <w:rPr>
          <w:sz w:val="20"/>
        </w:rPr>
        <w:t>del</w:t>
      </w:r>
      <w:r>
        <w:rPr>
          <w:spacing w:val="-13"/>
          <w:sz w:val="20"/>
        </w:rPr>
        <w:t> </w:t>
      </w:r>
      <w:r>
        <w:rPr>
          <w:sz w:val="20"/>
        </w:rPr>
        <w:t>artículo</w:t>
      </w:r>
      <w:r>
        <w:rPr>
          <w:spacing w:val="-13"/>
          <w:sz w:val="20"/>
        </w:rPr>
        <w:t> </w:t>
      </w:r>
      <w:r>
        <w:rPr>
          <w:sz w:val="20"/>
        </w:rPr>
        <w:t>26</w:t>
      </w:r>
      <w:r>
        <w:rPr>
          <w:spacing w:val="-14"/>
          <w:sz w:val="20"/>
        </w:rPr>
        <w:t> </w:t>
      </w:r>
      <w:r>
        <w:rPr>
          <w:sz w:val="20"/>
        </w:rPr>
        <w:t>de</w:t>
      </w:r>
      <w:r>
        <w:rPr>
          <w:spacing w:val="-12"/>
          <w:sz w:val="20"/>
        </w:rPr>
        <w:t> </w:t>
      </w:r>
      <w:r>
        <w:rPr>
          <w:sz w:val="20"/>
        </w:rPr>
        <w:t>la</w:t>
      </w:r>
      <w:r>
        <w:rPr>
          <w:spacing w:val="-13"/>
          <w:sz w:val="20"/>
        </w:rPr>
        <w:t> </w:t>
      </w:r>
      <w:r>
        <w:rPr>
          <w:sz w:val="20"/>
        </w:rPr>
        <w:t>Convención</w:t>
      </w:r>
      <w:r>
        <w:rPr>
          <w:spacing w:val="-14"/>
          <w:sz w:val="20"/>
        </w:rPr>
        <w:t> </w:t>
      </w:r>
      <w:r>
        <w:rPr>
          <w:sz w:val="20"/>
        </w:rPr>
        <w:t>establece</w:t>
      </w:r>
      <w:r>
        <w:rPr>
          <w:spacing w:val="-12"/>
          <w:sz w:val="20"/>
        </w:rPr>
        <w:t> </w:t>
      </w:r>
      <w:r>
        <w:rPr>
          <w:sz w:val="20"/>
        </w:rPr>
        <w:t>específicamente</w:t>
      </w:r>
      <w:r>
        <w:rPr>
          <w:spacing w:val="-12"/>
          <w:sz w:val="20"/>
        </w:rPr>
        <w:t> </w:t>
      </w:r>
      <w:r>
        <w:rPr>
          <w:sz w:val="20"/>
        </w:rPr>
        <w:t>que</w:t>
      </w:r>
      <w:r>
        <w:rPr>
          <w:spacing w:val="-12"/>
          <w:sz w:val="20"/>
        </w:rPr>
        <w:t> </w:t>
      </w:r>
      <w:r>
        <w:rPr>
          <w:sz w:val="20"/>
        </w:rPr>
        <w:t>las</w:t>
      </w:r>
      <w:r>
        <w:rPr>
          <w:spacing w:val="-13"/>
          <w:sz w:val="20"/>
        </w:rPr>
        <w:t> </w:t>
      </w:r>
      <w:r>
        <w:rPr>
          <w:sz w:val="20"/>
        </w:rPr>
        <w:t>obligaciones</w:t>
      </w:r>
      <w:r>
        <w:rPr>
          <w:spacing w:val="-13"/>
          <w:sz w:val="20"/>
        </w:rPr>
        <w:t> </w:t>
      </w:r>
      <w:r>
        <w:rPr>
          <w:sz w:val="20"/>
        </w:rPr>
        <w:t>contenidas en él son de naturaleza “progresiva”. Es decir, son exigibles en función de la suficiencia de las políticas públicas y de la capacidad del Estado para materializarlas. Los DESCA por naturaleza son derechos que dependen en su satisfacción de la existencia de condiciones materiales. Igualmente, no se trata de derechos “homogéneos”, ya que tienen un alcance diverso según las capacidades económicas y las características propias del Estado y su aparato burocrático. En esta medida no existiría</w:t>
      </w:r>
      <w:r>
        <w:rPr>
          <w:spacing w:val="-11"/>
          <w:sz w:val="20"/>
        </w:rPr>
        <w:t> </w:t>
      </w:r>
      <w:r>
        <w:rPr>
          <w:sz w:val="20"/>
        </w:rPr>
        <w:t>un</w:t>
      </w:r>
      <w:r>
        <w:rPr>
          <w:spacing w:val="-10"/>
          <w:sz w:val="20"/>
        </w:rPr>
        <w:t> </w:t>
      </w:r>
      <w:r>
        <w:rPr>
          <w:sz w:val="20"/>
        </w:rPr>
        <w:t>estándar</w:t>
      </w:r>
      <w:r>
        <w:rPr>
          <w:spacing w:val="-10"/>
          <w:sz w:val="20"/>
        </w:rPr>
        <w:t> </w:t>
      </w:r>
      <w:r>
        <w:rPr>
          <w:sz w:val="20"/>
        </w:rPr>
        <w:t>uniforme</w:t>
      </w:r>
      <w:r>
        <w:rPr>
          <w:spacing w:val="-9"/>
          <w:sz w:val="20"/>
        </w:rPr>
        <w:t> </w:t>
      </w:r>
      <w:r>
        <w:rPr>
          <w:sz w:val="20"/>
        </w:rPr>
        <w:t>de</w:t>
      </w:r>
      <w:r>
        <w:rPr>
          <w:spacing w:val="-9"/>
          <w:sz w:val="20"/>
        </w:rPr>
        <w:t> </w:t>
      </w:r>
      <w:r>
        <w:rPr>
          <w:sz w:val="20"/>
        </w:rPr>
        <w:t>cumplimiento</w:t>
      </w:r>
      <w:r>
        <w:rPr>
          <w:spacing w:val="-10"/>
          <w:sz w:val="20"/>
        </w:rPr>
        <w:t> </w:t>
      </w:r>
      <w:r>
        <w:rPr>
          <w:sz w:val="20"/>
        </w:rPr>
        <w:t>de</w:t>
      </w:r>
      <w:r>
        <w:rPr>
          <w:spacing w:val="-10"/>
          <w:sz w:val="20"/>
        </w:rPr>
        <w:t> </w:t>
      </w:r>
      <w:r>
        <w:rPr>
          <w:sz w:val="20"/>
        </w:rPr>
        <w:t>estas</w:t>
      </w:r>
      <w:r>
        <w:rPr>
          <w:spacing w:val="-10"/>
          <w:sz w:val="20"/>
        </w:rPr>
        <w:t> </w:t>
      </w:r>
      <w:r>
        <w:rPr>
          <w:sz w:val="20"/>
        </w:rPr>
        <w:t>obligaciones,</w:t>
      </w:r>
      <w:r>
        <w:rPr>
          <w:spacing w:val="-10"/>
          <w:sz w:val="20"/>
        </w:rPr>
        <w:t> </w:t>
      </w:r>
      <w:r>
        <w:rPr>
          <w:sz w:val="20"/>
        </w:rPr>
        <w:t>sino</w:t>
      </w:r>
      <w:r>
        <w:rPr>
          <w:spacing w:val="-9"/>
          <w:sz w:val="20"/>
        </w:rPr>
        <w:t> </w:t>
      </w:r>
      <w:r>
        <w:rPr>
          <w:sz w:val="20"/>
        </w:rPr>
        <w:t>que</w:t>
      </w:r>
      <w:r>
        <w:rPr>
          <w:spacing w:val="-9"/>
          <w:sz w:val="20"/>
        </w:rPr>
        <w:t> </w:t>
      </w:r>
      <w:r>
        <w:rPr>
          <w:sz w:val="20"/>
        </w:rPr>
        <w:t>su</w:t>
      </w:r>
      <w:r>
        <w:rPr>
          <w:spacing w:val="-10"/>
          <w:sz w:val="20"/>
        </w:rPr>
        <w:t> </w:t>
      </w:r>
      <w:r>
        <w:rPr>
          <w:sz w:val="20"/>
        </w:rPr>
        <w:t>contenido</w:t>
      </w:r>
      <w:r>
        <w:rPr>
          <w:spacing w:val="-7"/>
          <w:sz w:val="20"/>
        </w:rPr>
        <w:t> </w:t>
      </w:r>
      <w:r>
        <w:rPr>
          <w:sz w:val="20"/>
        </w:rPr>
        <w:t>podría depender de las acciones determinadas que cada Estado esté en posibilidades de realizar. El error de desligar el fundamento de los derechos indígenas del artículo 21 de la Convención esta en la mengua de su perentoriedad. Somos del entendimiento, como lo había sido la Corte hasta este momento, que los derechos humanos de las personas miembros de comunidades indígenas y tribales</w:t>
      </w:r>
      <w:r>
        <w:rPr>
          <w:spacing w:val="-8"/>
          <w:sz w:val="20"/>
        </w:rPr>
        <w:t> </w:t>
      </w:r>
      <w:r>
        <w:rPr>
          <w:sz w:val="20"/>
        </w:rPr>
        <w:t>no</w:t>
      </w:r>
      <w:r>
        <w:rPr>
          <w:spacing w:val="-7"/>
          <w:sz w:val="20"/>
        </w:rPr>
        <w:t> </w:t>
      </w:r>
      <w:r>
        <w:rPr>
          <w:sz w:val="20"/>
        </w:rPr>
        <w:t>pueden</w:t>
      </w:r>
      <w:r>
        <w:rPr>
          <w:spacing w:val="-7"/>
          <w:sz w:val="20"/>
        </w:rPr>
        <w:t> </w:t>
      </w:r>
      <w:r>
        <w:rPr>
          <w:sz w:val="20"/>
        </w:rPr>
        <w:t>estar</w:t>
      </w:r>
      <w:r>
        <w:rPr>
          <w:spacing w:val="-6"/>
          <w:sz w:val="20"/>
        </w:rPr>
        <w:t> </w:t>
      </w:r>
      <w:r>
        <w:rPr>
          <w:sz w:val="20"/>
        </w:rPr>
        <w:t>sujetos</w:t>
      </w:r>
      <w:r>
        <w:rPr>
          <w:spacing w:val="-7"/>
          <w:sz w:val="20"/>
        </w:rPr>
        <w:t> </w:t>
      </w:r>
      <w:r>
        <w:rPr>
          <w:sz w:val="20"/>
        </w:rPr>
        <w:t>a</w:t>
      </w:r>
      <w:r>
        <w:rPr>
          <w:spacing w:val="-7"/>
          <w:sz w:val="20"/>
        </w:rPr>
        <w:t> </w:t>
      </w:r>
      <w:r>
        <w:rPr>
          <w:sz w:val="20"/>
        </w:rPr>
        <w:t>condicionamientos</w:t>
      </w:r>
      <w:r>
        <w:rPr>
          <w:spacing w:val="-6"/>
          <w:sz w:val="20"/>
        </w:rPr>
        <w:t> </w:t>
      </w:r>
      <w:r>
        <w:rPr>
          <w:sz w:val="20"/>
        </w:rPr>
        <w:t>relativos</w:t>
      </w:r>
      <w:r>
        <w:rPr>
          <w:spacing w:val="-6"/>
          <w:sz w:val="20"/>
        </w:rPr>
        <w:t> </w:t>
      </w:r>
      <w:r>
        <w:rPr>
          <w:sz w:val="20"/>
        </w:rPr>
        <w:t>a</w:t>
      </w:r>
      <w:r>
        <w:rPr>
          <w:spacing w:val="-7"/>
          <w:sz w:val="20"/>
        </w:rPr>
        <w:t> </w:t>
      </w:r>
      <w:r>
        <w:rPr>
          <w:sz w:val="20"/>
        </w:rPr>
        <w:t>la</w:t>
      </w:r>
      <w:r>
        <w:rPr>
          <w:spacing w:val="-6"/>
          <w:sz w:val="20"/>
        </w:rPr>
        <w:t> </w:t>
      </w:r>
      <w:r>
        <w:rPr>
          <w:sz w:val="20"/>
        </w:rPr>
        <w:t>progresividad</w:t>
      </w:r>
      <w:r>
        <w:rPr>
          <w:spacing w:val="-6"/>
          <w:sz w:val="20"/>
        </w:rPr>
        <w:t> </w:t>
      </w:r>
      <w:r>
        <w:rPr>
          <w:sz w:val="20"/>
        </w:rPr>
        <w:t>de</w:t>
      </w:r>
      <w:r>
        <w:rPr>
          <w:spacing w:val="-6"/>
          <w:sz w:val="20"/>
        </w:rPr>
        <w:t> </w:t>
      </w:r>
      <w:r>
        <w:rPr>
          <w:sz w:val="20"/>
        </w:rPr>
        <w:t>derechos,</w:t>
      </w:r>
      <w:r>
        <w:rPr>
          <w:spacing w:val="-6"/>
          <w:sz w:val="20"/>
        </w:rPr>
        <w:t> </w:t>
      </w:r>
      <w:r>
        <w:rPr>
          <w:sz w:val="20"/>
        </w:rPr>
        <w:t>sino que son derechos de inmediato y efectivo</w:t>
      </w:r>
      <w:r>
        <w:rPr>
          <w:spacing w:val="-15"/>
          <w:sz w:val="20"/>
        </w:rPr>
        <w:t> </w:t>
      </w:r>
      <w:r>
        <w:rPr>
          <w:sz w:val="20"/>
        </w:rPr>
        <w:t>cumplimiento.</w:t>
      </w:r>
    </w:p>
    <w:p>
      <w:pPr>
        <w:pStyle w:val="BodyText"/>
        <w:spacing w:before="11"/>
        <w:rPr>
          <w:sz w:val="19"/>
        </w:rPr>
      </w:pPr>
    </w:p>
    <w:p>
      <w:pPr>
        <w:pStyle w:val="ListParagraph"/>
        <w:numPr>
          <w:ilvl w:val="0"/>
          <w:numId w:val="73"/>
        </w:numPr>
        <w:tabs>
          <w:tab w:pos="823" w:val="left" w:leader="none"/>
        </w:tabs>
        <w:spacing w:line="240" w:lineRule="auto" w:before="0" w:after="0"/>
        <w:ind w:left="114" w:right="107" w:firstLine="0"/>
        <w:jc w:val="both"/>
        <w:rPr>
          <w:sz w:val="20"/>
        </w:rPr>
      </w:pPr>
      <w:r>
        <w:rPr>
          <w:sz w:val="20"/>
        </w:rPr>
        <w:t>En</w:t>
      </w:r>
      <w:r>
        <w:rPr>
          <w:spacing w:val="-8"/>
          <w:sz w:val="20"/>
        </w:rPr>
        <w:t> </w:t>
      </w:r>
      <w:r>
        <w:rPr>
          <w:sz w:val="20"/>
        </w:rPr>
        <w:t>cuarto</w:t>
      </w:r>
      <w:r>
        <w:rPr>
          <w:spacing w:val="-9"/>
          <w:sz w:val="20"/>
        </w:rPr>
        <w:t> </w:t>
      </w:r>
      <w:r>
        <w:rPr>
          <w:sz w:val="20"/>
        </w:rPr>
        <w:t>lugar,</w:t>
      </w:r>
      <w:r>
        <w:rPr>
          <w:spacing w:val="-6"/>
          <w:sz w:val="20"/>
        </w:rPr>
        <w:t> </w:t>
      </w:r>
      <w:r>
        <w:rPr>
          <w:sz w:val="20"/>
        </w:rPr>
        <w:t>otro</w:t>
      </w:r>
      <w:r>
        <w:rPr>
          <w:spacing w:val="-8"/>
          <w:sz w:val="20"/>
        </w:rPr>
        <w:t> </w:t>
      </w:r>
      <w:r>
        <w:rPr>
          <w:sz w:val="20"/>
        </w:rPr>
        <w:t>factor</w:t>
      </w:r>
      <w:r>
        <w:rPr>
          <w:spacing w:val="-8"/>
          <w:sz w:val="20"/>
        </w:rPr>
        <w:t> </w:t>
      </w:r>
      <w:r>
        <w:rPr>
          <w:sz w:val="20"/>
        </w:rPr>
        <w:t>a</w:t>
      </w:r>
      <w:r>
        <w:rPr>
          <w:spacing w:val="-7"/>
          <w:sz w:val="20"/>
        </w:rPr>
        <w:t> </w:t>
      </w:r>
      <w:r>
        <w:rPr>
          <w:sz w:val="20"/>
        </w:rPr>
        <w:t>destacar</w:t>
      </w:r>
      <w:r>
        <w:rPr>
          <w:spacing w:val="-8"/>
          <w:sz w:val="20"/>
        </w:rPr>
        <w:t> </w:t>
      </w:r>
      <w:r>
        <w:rPr>
          <w:sz w:val="20"/>
        </w:rPr>
        <w:t>es</w:t>
      </w:r>
      <w:r>
        <w:rPr>
          <w:spacing w:val="-8"/>
          <w:sz w:val="20"/>
        </w:rPr>
        <w:t> </w:t>
      </w:r>
      <w:r>
        <w:rPr>
          <w:sz w:val="20"/>
        </w:rPr>
        <w:t>la</w:t>
      </w:r>
      <w:r>
        <w:rPr>
          <w:spacing w:val="-7"/>
          <w:sz w:val="20"/>
        </w:rPr>
        <w:t> </w:t>
      </w:r>
      <w:r>
        <w:rPr>
          <w:sz w:val="20"/>
        </w:rPr>
        <w:t>precariedad</w:t>
      </w:r>
      <w:r>
        <w:rPr>
          <w:spacing w:val="-7"/>
          <w:sz w:val="20"/>
        </w:rPr>
        <w:t> </w:t>
      </w:r>
      <w:r>
        <w:rPr>
          <w:sz w:val="20"/>
        </w:rPr>
        <w:t>de</w:t>
      </w:r>
      <w:r>
        <w:rPr>
          <w:spacing w:val="-6"/>
          <w:sz w:val="20"/>
        </w:rPr>
        <w:t> </w:t>
      </w:r>
      <w:r>
        <w:rPr>
          <w:sz w:val="20"/>
        </w:rPr>
        <w:t>la</w:t>
      </w:r>
      <w:r>
        <w:rPr>
          <w:spacing w:val="-7"/>
          <w:sz w:val="20"/>
        </w:rPr>
        <w:t> </w:t>
      </w:r>
      <w:r>
        <w:rPr>
          <w:sz w:val="20"/>
        </w:rPr>
        <w:t>mayoría</w:t>
      </w:r>
      <w:r>
        <w:rPr>
          <w:spacing w:val="-8"/>
          <w:sz w:val="20"/>
        </w:rPr>
        <w:t> </w:t>
      </w:r>
      <w:r>
        <w:rPr>
          <w:sz w:val="20"/>
        </w:rPr>
        <w:t>que</w:t>
      </w:r>
      <w:r>
        <w:rPr>
          <w:spacing w:val="-6"/>
          <w:sz w:val="20"/>
        </w:rPr>
        <w:t> </w:t>
      </w:r>
      <w:r>
        <w:rPr>
          <w:sz w:val="20"/>
        </w:rPr>
        <w:t>tomó</w:t>
      </w:r>
      <w:r>
        <w:rPr>
          <w:spacing w:val="-9"/>
          <w:sz w:val="20"/>
        </w:rPr>
        <w:t> </w:t>
      </w:r>
      <w:r>
        <w:rPr>
          <w:sz w:val="20"/>
        </w:rPr>
        <w:t>la</w:t>
      </w:r>
      <w:r>
        <w:rPr>
          <w:spacing w:val="-7"/>
          <w:sz w:val="20"/>
        </w:rPr>
        <w:t> </w:t>
      </w:r>
      <w:r>
        <w:rPr>
          <w:sz w:val="20"/>
        </w:rPr>
        <w:t>decisión, avalada por el voto de calidad de la Presidenta. No obstante, la validez y suficiencia de mayoría para tomar la decisión conforme las normas estatuarias y reglamentarias del Tribunal, esta particularidad en alcanzar la mayoría pone en manifiesto que se trata de un tema que merece consenso,</w:t>
      </w:r>
      <w:r>
        <w:rPr>
          <w:spacing w:val="-4"/>
          <w:sz w:val="20"/>
        </w:rPr>
        <w:t> </w:t>
      </w:r>
      <w:r>
        <w:rPr>
          <w:sz w:val="20"/>
        </w:rPr>
        <w:t>y</w:t>
      </w:r>
      <w:r>
        <w:rPr>
          <w:spacing w:val="-4"/>
          <w:sz w:val="20"/>
        </w:rPr>
        <w:t> </w:t>
      </w:r>
      <w:r>
        <w:rPr>
          <w:sz w:val="20"/>
        </w:rPr>
        <w:t>una</w:t>
      </w:r>
      <w:r>
        <w:rPr>
          <w:spacing w:val="-4"/>
          <w:sz w:val="20"/>
        </w:rPr>
        <w:t> </w:t>
      </w:r>
      <w:r>
        <w:rPr>
          <w:sz w:val="20"/>
        </w:rPr>
        <w:t>mayor</w:t>
      </w:r>
      <w:r>
        <w:rPr>
          <w:spacing w:val="-5"/>
          <w:sz w:val="20"/>
        </w:rPr>
        <w:t> </w:t>
      </w:r>
      <w:r>
        <w:rPr>
          <w:sz w:val="20"/>
        </w:rPr>
        <w:t>consistencia</w:t>
      </w:r>
      <w:r>
        <w:rPr>
          <w:spacing w:val="-5"/>
          <w:sz w:val="20"/>
        </w:rPr>
        <w:t> </w:t>
      </w:r>
      <w:r>
        <w:rPr>
          <w:sz w:val="20"/>
        </w:rPr>
        <w:t>en</w:t>
      </w:r>
      <w:r>
        <w:rPr>
          <w:spacing w:val="-3"/>
          <w:sz w:val="20"/>
        </w:rPr>
        <w:t> </w:t>
      </w:r>
      <w:r>
        <w:rPr>
          <w:sz w:val="20"/>
        </w:rPr>
        <w:t>su</w:t>
      </w:r>
      <w:r>
        <w:rPr>
          <w:spacing w:val="-3"/>
          <w:sz w:val="20"/>
        </w:rPr>
        <w:t> </w:t>
      </w:r>
      <w:r>
        <w:rPr>
          <w:sz w:val="20"/>
        </w:rPr>
        <w:t>construcción.</w:t>
      </w:r>
      <w:r>
        <w:rPr>
          <w:spacing w:val="-4"/>
          <w:sz w:val="20"/>
        </w:rPr>
        <w:t> </w:t>
      </w:r>
      <w:r>
        <w:rPr>
          <w:sz w:val="20"/>
        </w:rPr>
        <w:t>En</w:t>
      </w:r>
      <w:r>
        <w:rPr>
          <w:spacing w:val="-5"/>
          <w:sz w:val="20"/>
        </w:rPr>
        <w:t> </w:t>
      </w:r>
      <w:r>
        <w:rPr>
          <w:sz w:val="20"/>
        </w:rPr>
        <w:t>la</w:t>
      </w:r>
      <w:r>
        <w:rPr>
          <w:spacing w:val="-4"/>
          <w:sz w:val="20"/>
        </w:rPr>
        <w:t> </w:t>
      </w:r>
      <w:r>
        <w:rPr>
          <w:sz w:val="20"/>
        </w:rPr>
        <w:t>medida</w:t>
      </w:r>
      <w:r>
        <w:rPr>
          <w:spacing w:val="-5"/>
          <w:sz w:val="20"/>
        </w:rPr>
        <w:t> </w:t>
      </w:r>
      <w:r>
        <w:rPr>
          <w:sz w:val="20"/>
        </w:rPr>
        <w:t>en</w:t>
      </w:r>
      <w:r>
        <w:rPr>
          <w:spacing w:val="-3"/>
          <w:sz w:val="20"/>
        </w:rPr>
        <w:t> </w:t>
      </w:r>
      <w:r>
        <w:rPr>
          <w:sz w:val="20"/>
        </w:rPr>
        <w:t>que</w:t>
      </w:r>
      <w:r>
        <w:rPr>
          <w:spacing w:val="-4"/>
          <w:sz w:val="20"/>
        </w:rPr>
        <w:t> </w:t>
      </w:r>
      <w:r>
        <w:rPr>
          <w:sz w:val="20"/>
        </w:rPr>
        <w:t>se</w:t>
      </w:r>
      <w:r>
        <w:rPr>
          <w:spacing w:val="-3"/>
          <w:sz w:val="20"/>
        </w:rPr>
        <w:t> </w:t>
      </w:r>
      <w:r>
        <w:rPr>
          <w:sz w:val="20"/>
        </w:rPr>
        <w:t>oriente</w:t>
      </w:r>
      <w:r>
        <w:rPr>
          <w:spacing w:val="-4"/>
          <w:sz w:val="20"/>
        </w:rPr>
        <w:t> </w:t>
      </w:r>
      <w:r>
        <w:rPr>
          <w:sz w:val="20"/>
        </w:rPr>
        <w:t>más</w:t>
      </w:r>
      <w:r>
        <w:rPr>
          <w:spacing w:val="-3"/>
          <w:sz w:val="20"/>
        </w:rPr>
        <w:t> </w:t>
      </w:r>
      <w:r>
        <w:rPr>
          <w:sz w:val="20"/>
        </w:rPr>
        <w:t>a</w:t>
      </w:r>
      <w:r>
        <w:rPr>
          <w:spacing w:val="-5"/>
          <w:sz w:val="20"/>
        </w:rPr>
        <w:t> </w:t>
      </w:r>
      <w:r>
        <w:rPr>
          <w:sz w:val="20"/>
        </w:rPr>
        <w:t>una protección eficaz de los derechos y menos a una elaboración jurisprudencial aparentemente innovadora, que en todo caso dista mucho de ser</w:t>
      </w:r>
      <w:r>
        <w:rPr>
          <w:spacing w:val="-12"/>
          <w:sz w:val="20"/>
        </w:rPr>
        <w:t> </w:t>
      </w:r>
      <w:r>
        <w:rPr>
          <w:sz w:val="20"/>
        </w:rPr>
        <w:t>consolidada.</w:t>
      </w:r>
    </w:p>
    <w:p>
      <w:pPr>
        <w:pStyle w:val="BodyText"/>
        <w:spacing w:before="3"/>
        <w:rPr>
          <w:sz w:val="14"/>
        </w:rPr>
      </w:pPr>
      <w:r>
        <w:rPr/>
        <w:pict>
          <v:line style="position:absolute;mso-position-horizontal-relative:page;mso-position-vertical-relative:paragraph;z-index:4624;mso-wrap-distance-left:0;mso-wrap-distance-right:0" from="56.700001pt,10.977455pt" to="200.720001pt,10.977455pt" stroked="true" strokeweight=".62pt" strokecolor="#000000">
            <v:stroke dashstyle="solid"/>
            <w10:wrap type="topAndBottom"/>
          </v:line>
        </w:pict>
      </w:r>
    </w:p>
    <w:p>
      <w:pPr>
        <w:tabs>
          <w:tab w:pos="681" w:val="left" w:leader="none"/>
        </w:tabs>
        <w:spacing w:before="72"/>
        <w:ind w:left="114" w:right="110" w:firstLine="0"/>
        <w:jc w:val="both"/>
        <w:rPr>
          <w:sz w:val="16"/>
        </w:rPr>
      </w:pPr>
      <w:r>
        <w:rPr>
          <w:position w:val="6"/>
          <w:sz w:val="10"/>
        </w:rPr>
        <w:t>20</w:t>
        <w:tab/>
      </w:r>
      <w:r>
        <w:rPr>
          <w:sz w:val="16"/>
        </w:rPr>
        <w:t>En igual sentido, el escrito de </w:t>
      </w:r>
      <w:r>
        <w:rPr>
          <w:i/>
          <w:sz w:val="16"/>
        </w:rPr>
        <w:t>amicus curiae </w:t>
      </w:r>
      <w:r>
        <w:rPr>
          <w:sz w:val="16"/>
        </w:rPr>
        <w:t>de DPLF y otras organizaciones destacó el vínculo entre</w:t>
      </w:r>
      <w:r>
        <w:rPr>
          <w:spacing w:val="-21"/>
          <w:sz w:val="16"/>
        </w:rPr>
        <w:t> </w:t>
      </w:r>
      <w:r>
        <w:rPr>
          <w:sz w:val="16"/>
        </w:rPr>
        <w:t>la alimentación</w:t>
      </w:r>
      <w:r>
        <w:rPr>
          <w:w w:val="99"/>
          <w:sz w:val="16"/>
        </w:rPr>
        <w:t> </w:t>
      </w:r>
      <w:r>
        <w:rPr>
          <w:sz w:val="16"/>
        </w:rPr>
        <w:t>y la titulación adecuada de la tierra. Expresó que si bien la violación del derecho a acceder a alimentos culturalmente adecuados se encuentra estrechamente vinculado a la violación del aspecto territorial, y pueden derivar del mismo acto detonante de responsabilidad estatal (como la omisión de expedir un título de propiedad a favor de la comunidad), es importante</w:t>
      </w:r>
      <w:r>
        <w:rPr>
          <w:spacing w:val="-11"/>
          <w:sz w:val="16"/>
        </w:rPr>
        <w:t> </w:t>
      </w:r>
      <w:r>
        <w:rPr>
          <w:sz w:val="16"/>
        </w:rPr>
        <w:t>mantener</w:t>
      </w:r>
      <w:r>
        <w:rPr>
          <w:spacing w:val="-11"/>
          <w:sz w:val="16"/>
        </w:rPr>
        <w:t> </w:t>
      </w:r>
      <w:r>
        <w:rPr>
          <w:sz w:val="16"/>
        </w:rPr>
        <w:t>una</w:t>
      </w:r>
      <w:r>
        <w:rPr>
          <w:spacing w:val="-12"/>
          <w:sz w:val="16"/>
        </w:rPr>
        <w:t> </w:t>
      </w:r>
      <w:r>
        <w:rPr>
          <w:sz w:val="16"/>
        </w:rPr>
        <w:t>distinción</w:t>
      </w:r>
      <w:r>
        <w:rPr>
          <w:spacing w:val="-11"/>
          <w:sz w:val="16"/>
        </w:rPr>
        <w:t> </w:t>
      </w:r>
      <w:r>
        <w:rPr>
          <w:sz w:val="16"/>
        </w:rPr>
        <w:t>conceptual</w:t>
      </w:r>
      <w:r>
        <w:rPr>
          <w:spacing w:val="-12"/>
          <w:sz w:val="16"/>
        </w:rPr>
        <w:t> </w:t>
      </w:r>
      <w:r>
        <w:rPr>
          <w:sz w:val="16"/>
        </w:rPr>
        <w:t>de</w:t>
      </w:r>
      <w:r>
        <w:rPr>
          <w:spacing w:val="-12"/>
          <w:sz w:val="16"/>
        </w:rPr>
        <w:t> </w:t>
      </w:r>
      <w:r>
        <w:rPr>
          <w:sz w:val="16"/>
        </w:rPr>
        <w:t>ambos</w:t>
      </w:r>
      <w:r>
        <w:rPr>
          <w:spacing w:val="-11"/>
          <w:sz w:val="16"/>
        </w:rPr>
        <w:t> </w:t>
      </w:r>
      <w:r>
        <w:rPr>
          <w:sz w:val="16"/>
        </w:rPr>
        <w:t>aspectos</w:t>
      </w:r>
      <w:r>
        <w:rPr>
          <w:spacing w:val="-11"/>
          <w:sz w:val="16"/>
        </w:rPr>
        <w:t> </w:t>
      </w:r>
      <w:r>
        <w:rPr>
          <w:sz w:val="16"/>
        </w:rPr>
        <w:t>para</w:t>
      </w:r>
      <w:r>
        <w:rPr>
          <w:spacing w:val="-12"/>
          <w:sz w:val="16"/>
        </w:rPr>
        <w:t> </w:t>
      </w:r>
      <w:r>
        <w:rPr>
          <w:sz w:val="16"/>
        </w:rPr>
        <w:t>“percibir</w:t>
      </w:r>
      <w:r>
        <w:rPr>
          <w:spacing w:val="-12"/>
          <w:sz w:val="16"/>
        </w:rPr>
        <w:t> </w:t>
      </w:r>
      <w:r>
        <w:rPr>
          <w:sz w:val="16"/>
        </w:rPr>
        <w:t>de</w:t>
      </w:r>
      <w:r>
        <w:rPr>
          <w:spacing w:val="-12"/>
          <w:sz w:val="16"/>
        </w:rPr>
        <w:t> </w:t>
      </w:r>
      <w:r>
        <w:rPr>
          <w:sz w:val="16"/>
        </w:rPr>
        <w:t>forma</w:t>
      </w:r>
      <w:r>
        <w:rPr>
          <w:spacing w:val="-12"/>
          <w:sz w:val="16"/>
        </w:rPr>
        <w:t> </w:t>
      </w:r>
      <w:r>
        <w:rPr>
          <w:sz w:val="16"/>
        </w:rPr>
        <w:t>holística</w:t>
      </w:r>
      <w:r>
        <w:rPr>
          <w:spacing w:val="-11"/>
          <w:sz w:val="16"/>
        </w:rPr>
        <w:t> </w:t>
      </w:r>
      <w:r>
        <w:rPr>
          <w:sz w:val="16"/>
        </w:rPr>
        <w:t>la</w:t>
      </w:r>
      <w:r>
        <w:rPr>
          <w:spacing w:val="-11"/>
          <w:sz w:val="16"/>
        </w:rPr>
        <w:t> </w:t>
      </w:r>
      <w:r>
        <w:rPr>
          <w:sz w:val="16"/>
        </w:rPr>
        <w:t>gravedad”</w:t>
      </w:r>
      <w:r>
        <w:rPr>
          <w:spacing w:val="-12"/>
          <w:sz w:val="16"/>
        </w:rPr>
        <w:t> </w:t>
      </w:r>
      <w:r>
        <w:rPr>
          <w:sz w:val="16"/>
        </w:rPr>
        <w:t>de</w:t>
      </w:r>
      <w:r>
        <w:rPr>
          <w:spacing w:val="-12"/>
          <w:sz w:val="16"/>
        </w:rPr>
        <w:t> </w:t>
      </w:r>
      <w:r>
        <w:rPr>
          <w:sz w:val="16"/>
        </w:rPr>
        <w:t>la</w:t>
      </w:r>
      <w:r>
        <w:rPr>
          <w:spacing w:val="-12"/>
          <w:sz w:val="16"/>
        </w:rPr>
        <w:t> </w:t>
      </w:r>
      <w:r>
        <w:rPr>
          <w:sz w:val="16"/>
        </w:rPr>
        <w:t>lesión a los</w:t>
      </w:r>
      <w:r>
        <w:rPr>
          <w:spacing w:val="-4"/>
          <w:sz w:val="16"/>
        </w:rPr>
        <w:t> </w:t>
      </w:r>
      <w:r>
        <w:rPr>
          <w:sz w:val="16"/>
        </w:rPr>
        <w:t>derechos.</w:t>
      </w:r>
    </w:p>
    <w:p>
      <w:pPr>
        <w:pStyle w:val="BodyText"/>
        <w:spacing w:before="11"/>
        <w:rPr>
          <w:sz w:val="15"/>
        </w:rPr>
      </w:pPr>
    </w:p>
    <w:p>
      <w:pPr>
        <w:tabs>
          <w:tab w:pos="681" w:val="left" w:leader="none"/>
        </w:tabs>
        <w:spacing w:before="0"/>
        <w:ind w:left="114" w:right="112" w:firstLine="0"/>
        <w:jc w:val="both"/>
        <w:rPr>
          <w:sz w:val="16"/>
        </w:rPr>
      </w:pPr>
      <w:r>
        <w:rPr>
          <w:position w:val="6"/>
          <w:sz w:val="10"/>
        </w:rPr>
        <w:t>21</w:t>
        <w:tab/>
      </w:r>
      <w:r>
        <w:rPr>
          <w:i/>
          <w:sz w:val="16"/>
        </w:rPr>
        <w:t>Cfr. Caso de la Comunidad Moiwana Vs. Suriname</w:t>
      </w:r>
      <w:r>
        <w:rPr>
          <w:sz w:val="16"/>
        </w:rPr>
        <w:t>, párr. 211, y </w:t>
      </w:r>
      <w:r>
        <w:rPr>
          <w:i/>
          <w:sz w:val="16"/>
        </w:rPr>
        <w:t>Caso Pueblo Indígena Xucuru y sus  </w:t>
      </w:r>
      <w:r>
        <w:rPr>
          <w:i/>
          <w:spacing w:val="42"/>
          <w:sz w:val="16"/>
        </w:rPr>
        <w:t> </w:t>
      </w:r>
      <w:r>
        <w:rPr>
          <w:i/>
          <w:sz w:val="16"/>
        </w:rPr>
        <w:t>miembros</w:t>
      </w:r>
      <w:r>
        <w:rPr>
          <w:i/>
          <w:spacing w:val="8"/>
          <w:sz w:val="16"/>
        </w:rPr>
        <w:t> </w:t>
      </w:r>
      <w:r>
        <w:rPr>
          <w:i/>
          <w:sz w:val="16"/>
        </w:rPr>
        <w:t>Vs.</w:t>
      </w:r>
      <w:r>
        <w:rPr>
          <w:i/>
          <w:w w:val="99"/>
          <w:sz w:val="16"/>
        </w:rPr>
        <w:t> </w:t>
      </w:r>
      <w:r>
        <w:rPr>
          <w:i/>
          <w:sz w:val="16"/>
        </w:rPr>
        <w:t>Brasil</w:t>
      </w:r>
      <w:r>
        <w:rPr>
          <w:sz w:val="16"/>
        </w:rPr>
        <w:t>, párr.</w:t>
      </w:r>
      <w:r>
        <w:rPr>
          <w:spacing w:val="-6"/>
          <w:sz w:val="16"/>
        </w:rPr>
        <w:t> </w:t>
      </w:r>
      <w:r>
        <w:rPr>
          <w:sz w:val="16"/>
        </w:rPr>
        <w:t>117.</w:t>
      </w:r>
    </w:p>
    <w:p>
      <w:pPr>
        <w:spacing w:after="0"/>
        <w:jc w:val="both"/>
        <w:rPr>
          <w:sz w:val="16"/>
        </w:rPr>
        <w:sectPr>
          <w:footerReference w:type="default" r:id="rId50"/>
          <w:pgSz w:w="12250" w:h="15850"/>
          <w:pgMar w:footer="0" w:header="0" w:top="1500" w:bottom="280" w:left="1020" w:right="1060"/>
        </w:sectPr>
      </w:pPr>
    </w:p>
    <w:p>
      <w:pPr>
        <w:pStyle w:val="BodyText"/>
        <w:spacing w:before="1"/>
        <w:rPr>
          <w:sz w:val="28"/>
        </w:rPr>
      </w:pPr>
    </w:p>
    <w:p>
      <w:pPr>
        <w:pStyle w:val="ListParagraph"/>
        <w:numPr>
          <w:ilvl w:val="0"/>
          <w:numId w:val="73"/>
        </w:numPr>
        <w:tabs>
          <w:tab w:pos="823" w:val="left" w:leader="none"/>
        </w:tabs>
        <w:spacing w:line="240" w:lineRule="auto" w:before="101" w:after="0"/>
        <w:ind w:left="114" w:right="109" w:firstLine="0"/>
        <w:jc w:val="both"/>
        <w:rPr>
          <w:sz w:val="20"/>
        </w:rPr>
      </w:pPr>
      <w:r>
        <w:rPr>
          <w:sz w:val="20"/>
        </w:rPr>
        <w:t>En quinto lugar, tal como he sostenido en mis votos concurrentes y disidentes en materia de DESCA, el análisis por conexidad de las violaciones puede llegar a generar el mismo resultado práctico</w:t>
      </w:r>
      <w:r>
        <w:rPr>
          <w:spacing w:val="-13"/>
          <w:sz w:val="20"/>
        </w:rPr>
        <w:t> </w:t>
      </w:r>
      <w:r>
        <w:rPr>
          <w:sz w:val="20"/>
        </w:rPr>
        <w:t>que</w:t>
      </w:r>
      <w:r>
        <w:rPr>
          <w:spacing w:val="-14"/>
          <w:sz w:val="20"/>
        </w:rPr>
        <w:t> </w:t>
      </w:r>
      <w:r>
        <w:rPr>
          <w:sz w:val="20"/>
        </w:rPr>
        <w:t>el</w:t>
      </w:r>
      <w:r>
        <w:rPr>
          <w:spacing w:val="-13"/>
          <w:sz w:val="20"/>
        </w:rPr>
        <w:t> </w:t>
      </w:r>
      <w:r>
        <w:rPr>
          <w:sz w:val="20"/>
        </w:rPr>
        <w:t>propuesto</w:t>
      </w:r>
      <w:r>
        <w:rPr>
          <w:spacing w:val="-13"/>
          <w:sz w:val="20"/>
        </w:rPr>
        <w:t> </w:t>
      </w:r>
      <w:r>
        <w:rPr>
          <w:sz w:val="20"/>
        </w:rPr>
        <w:t>análisis</w:t>
      </w:r>
      <w:r>
        <w:rPr>
          <w:spacing w:val="-14"/>
          <w:sz w:val="20"/>
        </w:rPr>
        <w:t> </w:t>
      </w:r>
      <w:r>
        <w:rPr>
          <w:sz w:val="20"/>
        </w:rPr>
        <w:t>“autónomo”</w:t>
      </w:r>
      <w:r>
        <w:rPr>
          <w:spacing w:val="-14"/>
          <w:sz w:val="20"/>
        </w:rPr>
        <w:t> </w:t>
      </w:r>
      <w:r>
        <w:rPr>
          <w:sz w:val="20"/>
        </w:rPr>
        <w:t>que</w:t>
      </w:r>
      <w:r>
        <w:rPr>
          <w:spacing w:val="-13"/>
          <w:sz w:val="20"/>
        </w:rPr>
        <w:t> </w:t>
      </w:r>
      <w:r>
        <w:rPr>
          <w:sz w:val="20"/>
        </w:rPr>
        <w:t>ha</w:t>
      </w:r>
      <w:r>
        <w:rPr>
          <w:spacing w:val="-14"/>
          <w:sz w:val="20"/>
        </w:rPr>
        <w:t> </w:t>
      </w:r>
      <w:r>
        <w:rPr>
          <w:sz w:val="20"/>
        </w:rPr>
        <w:t>propuesto</w:t>
      </w:r>
      <w:r>
        <w:rPr>
          <w:spacing w:val="-15"/>
          <w:sz w:val="20"/>
        </w:rPr>
        <w:t> </w:t>
      </w:r>
      <w:r>
        <w:rPr>
          <w:sz w:val="20"/>
        </w:rPr>
        <w:t>la</w:t>
      </w:r>
      <w:r>
        <w:rPr>
          <w:spacing w:val="-13"/>
          <w:sz w:val="20"/>
        </w:rPr>
        <w:t> </w:t>
      </w:r>
      <w:r>
        <w:rPr>
          <w:sz w:val="20"/>
        </w:rPr>
        <w:t>mayoría</w:t>
      </w:r>
      <w:r>
        <w:rPr>
          <w:spacing w:val="-14"/>
          <w:sz w:val="20"/>
        </w:rPr>
        <w:t> </w:t>
      </w:r>
      <w:r>
        <w:rPr>
          <w:sz w:val="20"/>
        </w:rPr>
        <w:t>en</w:t>
      </w:r>
      <w:r>
        <w:rPr>
          <w:spacing w:val="-13"/>
          <w:sz w:val="20"/>
        </w:rPr>
        <w:t> </w:t>
      </w:r>
      <w:r>
        <w:rPr>
          <w:sz w:val="20"/>
        </w:rPr>
        <w:t>sentencias</w:t>
      </w:r>
      <w:r>
        <w:rPr>
          <w:spacing w:val="-14"/>
          <w:sz w:val="20"/>
        </w:rPr>
        <w:t> </w:t>
      </w:r>
      <w:r>
        <w:rPr>
          <w:sz w:val="20"/>
        </w:rPr>
        <w:t>recientes. Por</w:t>
      </w:r>
      <w:r>
        <w:rPr>
          <w:spacing w:val="-11"/>
          <w:sz w:val="20"/>
        </w:rPr>
        <w:t> </w:t>
      </w:r>
      <w:r>
        <w:rPr>
          <w:sz w:val="20"/>
        </w:rPr>
        <w:t>supuesto,</w:t>
      </w:r>
      <w:r>
        <w:rPr>
          <w:spacing w:val="-10"/>
          <w:sz w:val="20"/>
        </w:rPr>
        <w:t> </w:t>
      </w:r>
      <w:r>
        <w:rPr>
          <w:sz w:val="20"/>
        </w:rPr>
        <w:t>la</w:t>
      </w:r>
      <w:r>
        <w:rPr>
          <w:spacing w:val="-11"/>
          <w:sz w:val="20"/>
        </w:rPr>
        <w:t> </w:t>
      </w:r>
      <w:r>
        <w:rPr>
          <w:sz w:val="20"/>
        </w:rPr>
        <w:t>ventaja</w:t>
      </w:r>
      <w:r>
        <w:rPr>
          <w:spacing w:val="-11"/>
          <w:sz w:val="20"/>
        </w:rPr>
        <w:t> </w:t>
      </w:r>
      <w:r>
        <w:rPr>
          <w:sz w:val="20"/>
        </w:rPr>
        <w:t>del</w:t>
      </w:r>
      <w:r>
        <w:rPr>
          <w:spacing w:val="-11"/>
          <w:sz w:val="20"/>
        </w:rPr>
        <w:t> </w:t>
      </w:r>
      <w:r>
        <w:rPr>
          <w:sz w:val="20"/>
        </w:rPr>
        <w:t>análisis</w:t>
      </w:r>
      <w:r>
        <w:rPr>
          <w:spacing w:val="-11"/>
          <w:sz w:val="20"/>
        </w:rPr>
        <w:t> </w:t>
      </w:r>
      <w:r>
        <w:rPr>
          <w:sz w:val="20"/>
        </w:rPr>
        <w:t>por</w:t>
      </w:r>
      <w:r>
        <w:rPr>
          <w:spacing w:val="-11"/>
          <w:sz w:val="20"/>
        </w:rPr>
        <w:t> </w:t>
      </w:r>
      <w:r>
        <w:rPr>
          <w:sz w:val="20"/>
        </w:rPr>
        <w:t>conexidad</w:t>
      </w:r>
      <w:r>
        <w:rPr>
          <w:spacing w:val="-11"/>
          <w:sz w:val="20"/>
        </w:rPr>
        <w:t> </w:t>
      </w:r>
      <w:r>
        <w:rPr>
          <w:sz w:val="20"/>
        </w:rPr>
        <w:t>es</w:t>
      </w:r>
      <w:r>
        <w:rPr>
          <w:spacing w:val="-11"/>
          <w:sz w:val="20"/>
        </w:rPr>
        <w:t> </w:t>
      </w:r>
      <w:r>
        <w:rPr>
          <w:sz w:val="20"/>
        </w:rPr>
        <w:t>que</w:t>
      </w:r>
      <w:r>
        <w:rPr>
          <w:spacing w:val="-11"/>
          <w:sz w:val="20"/>
        </w:rPr>
        <w:t> </w:t>
      </w:r>
      <w:r>
        <w:rPr>
          <w:sz w:val="20"/>
        </w:rPr>
        <w:t>protege</w:t>
      </w:r>
      <w:r>
        <w:rPr>
          <w:spacing w:val="-10"/>
          <w:sz w:val="20"/>
        </w:rPr>
        <w:t> </w:t>
      </w:r>
      <w:r>
        <w:rPr>
          <w:sz w:val="20"/>
        </w:rPr>
        <w:t>derechos</w:t>
      </w:r>
      <w:r>
        <w:rPr>
          <w:spacing w:val="-12"/>
          <w:sz w:val="20"/>
        </w:rPr>
        <w:t> </w:t>
      </w:r>
      <w:r>
        <w:rPr>
          <w:sz w:val="20"/>
        </w:rPr>
        <w:t>sin</w:t>
      </w:r>
      <w:r>
        <w:rPr>
          <w:spacing w:val="-11"/>
          <w:sz w:val="20"/>
        </w:rPr>
        <w:t> </w:t>
      </w:r>
      <w:r>
        <w:rPr>
          <w:sz w:val="20"/>
        </w:rPr>
        <w:t>generar</w:t>
      </w:r>
      <w:r>
        <w:rPr>
          <w:spacing w:val="-12"/>
          <w:sz w:val="20"/>
        </w:rPr>
        <w:t> </w:t>
      </w:r>
      <w:r>
        <w:rPr>
          <w:sz w:val="20"/>
        </w:rPr>
        <w:t>el</w:t>
      </w:r>
      <w:r>
        <w:rPr>
          <w:spacing w:val="-11"/>
          <w:sz w:val="20"/>
        </w:rPr>
        <w:t> </w:t>
      </w:r>
      <w:r>
        <w:rPr>
          <w:sz w:val="20"/>
        </w:rPr>
        <w:t>desgaste institucional y la debilidad argumentativa y probatoria que suscita el análisis</w:t>
      </w:r>
      <w:r>
        <w:rPr>
          <w:spacing w:val="-21"/>
          <w:sz w:val="20"/>
        </w:rPr>
        <w:t> </w:t>
      </w:r>
      <w:r>
        <w:rPr>
          <w:sz w:val="20"/>
        </w:rPr>
        <w:t>contrario.</w:t>
      </w:r>
    </w:p>
    <w:p>
      <w:pPr>
        <w:pStyle w:val="BodyText"/>
      </w:pPr>
    </w:p>
    <w:p>
      <w:pPr>
        <w:pStyle w:val="Heading3"/>
        <w:numPr>
          <w:ilvl w:val="0"/>
          <w:numId w:val="74"/>
        </w:numPr>
        <w:tabs>
          <w:tab w:pos="474" w:val="left" w:leader="none"/>
        </w:tabs>
        <w:spacing w:line="243" w:lineRule="exact" w:before="0" w:after="0"/>
        <w:ind w:left="474" w:right="0" w:hanging="360"/>
        <w:jc w:val="both"/>
      </w:pPr>
      <w:r>
        <w:rPr/>
        <w:t>Los derechos de pueblos indígenas y tribales tienen eficacia jurídica directa y no  </w:t>
      </w:r>
      <w:r>
        <w:rPr>
          <w:spacing w:val="25"/>
        </w:rPr>
        <w:t> </w:t>
      </w:r>
      <w:r>
        <w:rPr/>
        <w:t>es</w:t>
      </w:r>
    </w:p>
    <w:p>
      <w:pPr>
        <w:spacing w:line="243" w:lineRule="exact" w:before="0"/>
        <w:ind w:left="114" w:right="0" w:firstLine="0"/>
        <w:jc w:val="both"/>
        <w:rPr>
          <w:b/>
          <w:sz w:val="20"/>
        </w:rPr>
      </w:pPr>
      <w:r>
        <w:rPr>
          <w:b/>
          <w:sz w:val="20"/>
        </w:rPr>
        <w:t>“necesaria” legislación interna que los desarrolle para que se hagan efectivos.</w:t>
      </w:r>
    </w:p>
    <w:p>
      <w:pPr>
        <w:pStyle w:val="BodyText"/>
        <w:spacing w:before="1"/>
        <w:rPr>
          <w:b/>
        </w:rPr>
      </w:pPr>
    </w:p>
    <w:p>
      <w:pPr>
        <w:pStyle w:val="ListParagraph"/>
        <w:numPr>
          <w:ilvl w:val="0"/>
          <w:numId w:val="73"/>
        </w:numPr>
        <w:tabs>
          <w:tab w:pos="823" w:val="left" w:leader="none"/>
        </w:tabs>
        <w:spacing w:line="240" w:lineRule="auto" w:before="0" w:after="0"/>
        <w:ind w:left="114" w:right="107" w:firstLine="0"/>
        <w:jc w:val="both"/>
        <w:rPr>
          <w:sz w:val="20"/>
        </w:rPr>
      </w:pPr>
      <w:r>
        <w:rPr>
          <w:sz w:val="20"/>
        </w:rPr>
        <w:t>Los derechos de los pueblos indígenas y tribales en materia de titulación, demarcación y delimitación,</w:t>
      </w:r>
      <w:r>
        <w:rPr>
          <w:spacing w:val="-8"/>
          <w:sz w:val="20"/>
        </w:rPr>
        <w:t> </w:t>
      </w:r>
      <w:r>
        <w:rPr>
          <w:sz w:val="20"/>
        </w:rPr>
        <w:t>como</w:t>
      </w:r>
      <w:r>
        <w:rPr>
          <w:spacing w:val="-8"/>
          <w:sz w:val="20"/>
        </w:rPr>
        <w:t> </w:t>
      </w:r>
      <w:r>
        <w:rPr>
          <w:sz w:val="20"/>
        </w:rPr>
        <w:t>en</w:t>
      </w:r>
      <w:r>
        <w:rPr>
          <w:spacing w:val="-8"/>
          <w:sz w:val="20"/>
        </w:rPr>
        <w:t> </w:t>
      </w:r>
      <w:r>
        <w:rPr>
          <w:sz w:val="20"/>
        </w:rPr>
        <w:t>general</w:t>
      </w:r>
      <w:r>
        <w:rPr>
          <w:spacing w:val="-9"/>
          <w:sz w:val="20"/>
        </w:rPr>
        <w:t> </w:t>
      </w:r>
      <w:r>
        <w:rPr>
          <w:sz w:val="20"/>
        </w:rPr>
        <w:t>los</w:t>
      </w:r>
      <w:r>
        <w:rPr>
          <w:spacing w:val="-8"/>
          <w:sz w:val="20"/>
        </w:rPr>
        <w:t> </w:t>
      </w:r>
      <w:r>
        <w:rPr>
          <w:sz w:val="20"/>
        </w:rPr>
        <w:t>demás</w:t>
      </w:r>
      <w:r>
        <w:rPr>
          <w:spacing w:val="-8"/>
          <w:sz w:val="20"/>
        </w:rPr>
        <w:t> </w:t>
      </w:r>
      <w:r>
        <w:rPr>
          <w:sz w:val="20"/>
        </w:rPr>
        <w:t>derecho</w:t>
      </w:r>
      <w:r>
        <w:rPr>
          <w:spacing w:val="-8"/>
          <w:sz w:val="20"/>
        </w:rPr>
        <w:t> </w:t>
      </w:r>
      <w:r>
        <w:rPr>
          <w:sz w:val="20"/>
        </w:rPr>
        <w:t>de</w:t>
      </w:r>
      <w:r>
        <w:rPr>
          <w:spacing w:val="-7"/>
          <w:sz w:val="20"/>
        </w:rPr>
        <w:t> </w:t>
      </w:r>
      <w:r>
        <w:rPr>
          <w:sz w:val="20"/>
        </w:rPr>
        <w:t>la</w:t>
      </w:r>
      <w:r>
        <w:rPr>
          <w:spacing w:val="-8"/>
          <w:sz w:val="20"/>
        </w:rPr>
        <w:t> </w:t>
      </w:r>
      <w:r>
        <w:rPr>
          <w:sz w:val="20"/>
        </w:rPr>
        <w:t>población</w:t>
      </w:r>
      <w:r>
        <w:rPr>
          <w:spacing w:val="-9"/>
          <w:sz w:val="20"/>
        </w:rPr>
        <w:t> </w:t>
      </w:r>
      <w:r>
        <w:rPr>
          <w:sz w:val="20"/>
        </w:rPr>
        <w:t>indígena</w:t>
      </w:r>
      <w:r>
        <w:rPr>
          <w:spacing w:val="-8"/>
          <w:sz w:val="20"/>
        </w:rPr>
        <w:t> </w:t>
      </w:r>
      <w:r>
        <w:rPr>
          <w:sz w:val="20"/>
        </w:rPr>
        <w:t>son</w:t>
      </w:r>
      <w:r>
        <w:rPr>
          <w:spacing w:val="-8"/>
          <w:sz w:val="20"/>
        </w:rPr>
        <w:t> </w:t>
      </w:r>
      <w:r>
        <w:rPr>
          <w:sz w:val="20"/>
        </w:rPr>
        <w:t>derechos</w:t>
      </w:r>
      <w:r>
        <w:rPr>
          <w:spacing w:val="-8"/>
          <w:sz w:val="20"/>
        </w:rPr>
        <w:t> </w:t>
      </w:r>
      <w:r>
        <w:rPr>
          <w:sz w:val="20"/>
        </w:rPr>
        <w:t>de</w:t>
      </w:r>
      <w:r>
        <w:rPr>
          <w:spacing w:val="-8"/>
          <w:sz w:val="20"/>
        </w:rPr>
        <w:t> </w:t>
      </w:r>
      <w:r>
        <w:rPr>
          <w:sz w:val="20"/>
        </w:rPr>
        <w:t>eficacia jurídica directa e inmediata. Es decir, éstos no requieren de leyes para su efectiva realización. De esta manera, la responsabilidad internacional se genera cuando se infringen y, por este motivo, la condena internacional no puede estar supeditada al desarrollo legislativo. En este sentido, la decisión de la mayoría puede generar múltiples dificultades. En la propia Sentencia se establece, de</w:t>
      </w:r>
      <w:r>
        <w:rPr>
          <w:spacing w:val="-8"/>
          <w:sz w:val="20"/>
        </w:rPr>
        <w:t> </w:t>
      </w:r>
      <w:r>
        <w:rPr>
          <w:sz w:val="20"/>
        </w:rPr>
        <w:t>acuerdo</w:t>
      </w:r>
      <w:r>
        <w:rPr>
          <w:spacing w:val="-10"/>
          <w:sz w:val="20"/>
        </w:rPr>
        <w:t> </w:t>
      </w:r>
      <w:r>
        <w:rPr>
          <w:sz w:val="20"/>
        </w:rPr>
        <w:t>con</w:t>
      </w:r>
      <w:r>
        <w:rPr>
          <w:spacing w:val="-8"/>
          <w:sz w:val="20"/>
        </w:rPr>
        <w:t> </w:t>
      </w:r>
      <w:r>
        <w:rPr>
          <w:sz w:val="20"/>
        </w:rPr>
        <w:t>los</w:t>
      </w:r>
      <w:r>
        <w:rPr>
          <w:spacing w:val="-10"/>
          <w:sz w:val="20"/>
        </w:rPr>
        <w:t> </w:t>
      </w:r>
      <w:r>
        <w:rPr>
          <w:sz w:val="20"/>
        </w:rPr>
        <w:t>párrafos</w:t>
      </w:r>
      <w:r>
        <w:rPr>
          <w:spacing w:val="-8"/>
          <w:sz w:val="20"/>
        </w:rPr>
        <w:t> </w:t>
      </w:r>
      <w:r>
        <w:rPr>
          <w:sz w:val="20"/>
        </w:rPr>
        <w:t>54</w:t>
      </w:r>
      <w:r>
        <w:rPr>
          <w:spacing w:val="-10"/>
          <w:sz w:val="20"/>
        </w:rPr>
        <w:t> </w:t>
      </w:r>
      <w:r>
        <w:rPr>
          <w:sz w:val="20"/>
        </w:rPr>
        <w:t>y</w:t>
      </w:r>
      <w:r>
        <w:rPr>
          <w:spacing w:val="-9"/>
          <w:sz w:val="20"/>
        </w:rPr>
        <w:t> </w:t>
      </w:r>
      <w:r>
        <w:rPr>
          <w:sz w:val="20"/>
        </w:rPr>
        <w:t>160,</w:t>
      </w:r>
      <w:r>
        <w:rPr>
          <w:spacing w:val="-8"/>
          <w:sz w:val="20"/>
        </w:rPr>
        <w:t> </w:t>
      </w:r>
      <w:r>
        <w:rPr>
          <w:sz w:val="20"/>
        </w:rPr>
        <w:t>que</w:t>
      </w:r>
      <w:r>
        <w:rPr>
          <w:spacing w:val="-10"/>
          <w:sz w:val="20"/>
        </w:rPr>
        <w:t> </w:t>
      </w:r>
      <w:r>
        <w:rPr>
          <w:sz w:val="20"/>
        </w:rPr>
        <w:t>“no</w:t>
      </w:r>
      <w:r>
        <w:rPr>
          <w:spacing w:val="-11"/>
          <w:sz w:val="20"/>
        </w:rPr>
        <w:t> </w:t>
      </w:r>
      <w:r>
        <w:rPr>
          <w:sz w:val="20"/>
        </w:rPr>
        <w:t>puede</w:t>
      </w:r>
      <w:r>
        <w:rPr>
          <w:spacing w:val="-9"/>
          <w:sz w:val="20"/>
        </w:rPr>
        <w:t> </w:t>
      </w:r>
      <w:r>
        <w:rPr>
          <w:sz w:val="20"/>
        </w:rPr>
        <w:t>dudarse</w:t>
      </w:r>
      <w:r>
        <w:rPr>
          <w:spacing w:val="-9"/>
          <w:sz w:val="20"/>
        </w:rPr>
        <w:t> </w:t>
      </w:r>
      <w:r>
        <w:rPr>
          <w:sz w:val="20"/>
        </w:rPr>
        <w:t>de</w:t>
      </w:r>
      <w:r>
        <w:rPr>
          <w:spacing w:val="-9"/>
          <w:sz w:val="20"/>
        </w:rPr>
        <w:t> </w:t>
      </w:r>
      <w:r>
        <w:rPr>
          <w:sz w:val="20"/>
        </w:rPr>
        <w:t>que</w:t>
      </w:r>
      <w:r>
        <w:rPr>
          <w:spacing w:val="-10"/>
          <w:sz w:val="20"/>
        </w:rPr>
        <w:t> </w:t>
      </w:r>
      <w:r>
        <w:rPr>
          <w:sz w:val="20"/>
        </w:rPr>
        <w:t>el</w:t>
      </w:r>
      <w:r>
        <w:rPr>
          <w:spacing w:val="-8"/>
          <w:sz w:val="20"/>
        </w:rPr>
        <w:t> </w:t>
      </w:r>
      <w:r>
        <w:rPr>
          <w:sz w:val="20"/>
        </w:rPr>
        <w:t>Estado</w:t>
      </w:r>
      <w:r>
        <w:rPr>
          <w:spacing w:val="-9"/>
          <w:sz w:val="20"/>
        </w:rPr>
        <w:t> </w:t>
      </w:r>
      <w:r>
        <w:rPr>
          <w:sz w:val="20"/>
        </w:rPr>
        <w:t>reconoce</w:t>
      </w:r>
      <w:r>
        <w:rPr>
          <w:spacing w:val="-11"/>
          <w:sz w:val="20"/>
        </w:rPr>
        <w:t> </w:t>
      </w:r>
      <w:r>
        <w:rPr>
          <w:sz w:val="20"/>
        </w:rPr>
        <w:t>el</w:t>
      </w:r>
      <w:r>
        <w:rPr>
          <w:spacing w:val="-8"/>
          <w:sz w:val="20"/>
        </w:rPr>
        <w:t> </w:t>
      </w:r>
      <w:r>
        <w:rPr>
          <w:sz w:val="20"/>
        </w:rPr>
        <w:t>derecho de</w:t>
      </w:r>
      <w:r>
        <w:rPr>
          <w:spacing w:val="-18"/>
          <w:sz w:val="20"/>
        </w:rPr>
        <w:t> </w:t>
      </w:r>
      <w:r>
        <w:rPr>
          <w:sz w:val="20"/>
        </w:rPr>
        <w:t>propiedad</w:t>
      </w:r>
      <w:r>
        <w:rPr>
          <w:spacing w:val="-19"/>
          <w:sz w:val="20"/>
        </w:rPr>
        <w:t> </w:t>
      </w:r>
      <w:r>
        <w:rPr>
          <w:sz w:val="20"/>
        </w:rPr>
        <w:t>comunitaria</w:t>
      </w:r>
      <w:r>
        <w:rPr>
          <w:spacing w:val="-19"/>
          <w:sz w:val="20"/>
        </w:rPr>
        <w:t> </w:t>
      </w:r>
      <w:r>
        <w:rPr>
          <w:sz w:val="20"/>
        </w:rPr>
        <w:t>indígena”</w:t>
      </w:r>
      <w:r>
        <w:rPr>
          <w:spacing w:val="-20"/>
          <w:sz w:val="20"/>
        </w:rPr>
        <w:t> </w:t>
      </w:r>
      <w:r>
        <w:rPr>
          <w:sz w:val="20"/>
        </w:rPr>
        <w:t>y</w:t>
      </w:r>
      <w:r>
        <w:rPr>
          <w:spacing w:val="-19"/>
          <w:sz w:val="20"/>
        </w:rPr>
        <w:t> </w:t>
      </w:r>
      <w:r>
        <w:rPr>
          <w:sz w:val="20"/>
        </w:rPr>
        <w:t>que</w:t>
      </w:r>
      <w:r>
        <w:rPr>
          <w:spacing w:val="-20"/>
          <w:sz w:val="20"/>
        </w:rPr>
        <w:t> </w:t>
      </w:r>
      <w:r>
        <w:rPr>
          <w:sz w:val="20"/>
        </w:rPr>
        <w:t>el</w:t>
      </w:r>
      <w:r>
        <w:rPr>
          <w:spacing w:val="-18"/>
          <w:sz w:val="20"/>
        </w:rPr>
        <w:t> </w:t>
      </w:r>
      <w:r>
        <w:rPr>
          <w:sz w:val="20"/>
        </w:rPr>
        <w:t>mismo</w:t>
      </w:r>
      <w:r>
        <w:rPr>
          <w:spacing w:val="-20"/>
          <w:sz w:val="20"/>
        </w:rPr>
        <w:t> </w:t>
      </w:r>
      <w:r>
        <w:rPr>
          <w:sz w:val="20"/>
        </w:rPr>
        <w:t>“debe</w:t>
      </w:r>
      <w:r>
        <w:rPr>
          <w:spacing w:val="-20"/>
          <w:sz w:val="20"/>
        </w:rPr>
        <w:t> </w:t>
      </w:r>
      <w:r>
        <w:rPr>
          <w:sz w:val="20"/>
        </w:rPr>
        <w:t>entenderse</w:t>
      </w:r>
      <w:r>
        <w:rPr>
          <w:spacing w:val="-18"/>
          <w:sz w:val="20"/>
        </w:rPr>
        <w:t> </w:t>
      </w:r>
      <w:r>
        <w:rPr>
          <w:sz w:val="20"/>
        </w:rPr>
        <w:t>operativo,</w:t>
      </w:r>
      <w:r>
        <w:rPr>
          <w:spacing w:val="-20"/>
          <w:sz w:val="20"/>
        </w:rPr>
        <w:t> </w:t>
      </w:r>
      <w:r>
        <w:rPr>
          <w:sz w:val="20"/>
        </w:rPr>
        <w:t>en</w:t>
      </w:r>
      <w:r>
        <w:rPr>
          <w:spacing w:val="-19"/>
          <w:sz w:val="20"/>
        </w:rPr>
        <w:t> </w:t>
      </w:r>
      <w:r>
        <w:rPr>
          <w:sz w:val="20"/>
        </w:rPr>
        <w:t>cuanto</w:t>
      </w:r>
      <w:r>
        <w:rPr>
          <w:spacing w:val="-19"/>
          <w:sz w:val="20"/>
        </w:rPr>
        <w:t> </w:t>
      </w:r>
      <w:r>
        <w:rPr>
          <w:sz w:val="20"/>
        </w:rPr>
        <w:t>el</w:t>
      </w:r>
      <w:r>
        <w:rPr>
          <w:spacing w:val="-19"/>
          <w:sz w:val="20"/>
        </w:rPr>
        <w:t> </w:t>
      </w:r>
      <w:r>
        <w:rPr>
          <w:sz w:val="20"/>
        </w:rPr>
        <w:t>Estado tiene</w:t>
      </w:r>
      <w:r>
        <w:rPr>
          <w:spacing w:val="-9"/>
          <w:sz w:val="20"/>
        </w:rPr>
        <w:t> </w:t>
      </w:r>
      <w:r>
        <w:rPr>
          <w:sz w:val="20"/>
        </w:rPr>
        <w:t>el</w:t>
      </w:r>
      <w:r>
        <w:rPr>
          <w:spacing w:val="-7"/>
          <w:sz w:val="20"/>
        </w:rPr>
        <w:t> </w:t>
      </w:r>
      <w:r>
        <w:rPr>
          <w:sz w:val="20"/>
        </w:rPr>
        <w:t>deber</w:t>
      </w:r>
      <w:r>
        <w:rPr>
          <w:spacing w:val="-8"/>
          <w:sz w:val="20"/>
        </w:rPr>
        <w:t> </w:t>
      </w:r>
      <w:r>
        <w:rPr>
          <w:sz w:val="20"/>
        </w:rPr>
        <w:t>inmediato</w:t>
      </w:r>
      <w:r>
        <w:rPr>
          <w:spacing w:val="-8"/>
          <w:sz w:val="20"/>
        </w:rPr>
        <w:t> </w:t>
      </w:r>
      <w:r>
        <w:rPr>
          <w:sz w:val="20"/>
        </w:rPr>
        <w:t>e</w:t>
      </w:r>
      <w:r>
        <w:rPr>
          <w:spacing w:val="-9"/>
          <w:sz w:val="20"/>
        </w:rPr>
        <w:t> </w:t>
      </w:r>
      <w:r>
        <w:rPr>
          <w:sz w:val="20"/>
        </w:rPr>
        <w:t>incondicionado</w:t>
      </w:r>
      <w:r>
        <w:rPr>
          <w:spacing w:val="-9"/>
          <w:sz w:val="20"/>
        </w:rPr>
        <w:t> </w:t>
      </w:r>
      <w:r>
        <w:rPr>
          <w:sz w:val="20"/>
        </w:rPr>
        <w:t>de</w:t>
      </w:r>
      <w:r>
        <w:rPr>
          <w:spacing w:val="-7"/>
          <w:sz w:val="20"/>
        </w:rPr>
        <w:t> </w:t>
      </w:r>
      <w:r>
        <w:rPr>
          <w:sz w:val="20"/>
        </w:rPr>
        <w:t>observarlo”.</w:t>
      </w:r>
      <w:r>
        <w:rPr>
          <w:spacing w:val="-9"/>
          <w:sz w:val="20"/>
        </w:rPr>
        <w:t> </w:t>
      </w:r>
      <w:r>
        <w:rPr>
          <w:sz w:val="20"/>
        </w:rPr>
        <w:t>Se</w:t>
      </w:r>
      <w:r>
        <w:rPr>
          <w:spacing w:val="-8"/>
          <w:sz w:val="20"/>
        </w:rPr>
        <w:t> </w:t>
      </w:r>
      <w:r>
        <w:rPr>
          <w:sz w:val="20"/>
        </w:rPr>
        <w:t>añade,</w:t>
      </w:r>
      <w:r>
        <w:rPr>
          <w:spacing w:val="-8"/>
          <w:sz w:val="20"/>
        </w:rPr>
        <w:t> </w:t>
      </w:r>
      <w:r>
        <w:rPr>
          <w:sz w:val="20"/>
        </w:rPr>
        <w:t>incluso,</w:t>
      </w:r>
      <w:r>
        <w:rPr>
          <w:spacing w:val="-9"/>
          <w:sz w:val="20"/>
        </w:rPr>
        <w:t> </w:t>
      </w:r>
      <w:r>
        <w:rPr>
          <w:sz w:val="20"/>
        </w:rPr>
        <w:t>la</w:t>
      </w:r>
      <w:r>
        <w:rPr>
          <w:spacing w:val="-8"/>
          <w:sz w:val="20"/>
        </w:rPr>
        <w:t> </w:t>
      </w:r>
      <w:r>
        <w:rPr>
          <w:sz w:val="20"/>
        </w:rPr>
        <w:t>consecuencia</w:t>
      </w:r>
      <w:r>
        <w:rPr>
          <w:spacing w:val="-10"/>
          <w:sz w:val="20"/>
        </w:rPr>
        <w:t> </w:t>
      </w:r>
      <w:r>
        <w:rPr>
          <w:sz w:val="20"/>
        </w:rPr>
        <w:t>lógica de esa premisa que es que “la eventual falta de disposiciones normativas internas no excusa al Estado”. No obstante, contradictoriamente se dispone que “las regulaciones normativas existentes no son suficientes para dotar de seguridad jurídica al derecho de propiedad comunitaria indígena, previendo procedimientos específicos adecuados para tal</w:t>
      </w:r>
      <w:r>
        <w:rPr>
          <w:spacing w:val="-13"/>
          <w:sz w:val="20"/>
        </w:rPr>
        <w:t> </w:t>
      </w:r>
      <w:r>
        <w:rPr>
          <w:sz w:val="20"/>
        </w:rPr>
        <w:t>fin”</w:t>
      </w:r>
      <w:r>
        <w:rPr>
          <w:position w:val="7"/>
          <w:sz w:val="13"/>
        </w:rPr>
        <w:t>22</w:t>
      </w:r>
      <w:r>
        <w:rPr>
          <w:sz w:val="20"/>
        </w:rPr>
        <w:t>.</w:t>
      </w:r>
    </w:p>
    <w:p>
      <w:pPr>
        <w:pStyle w:val="BodyText"/>
      </w:pPr>
    </w:p>
    <w:p>
      <w:pPr>
        <w:pStyle w:val="ListParagraph"/>
        <w:numPr>
          <w:ilvl w:val="0"/>
          <w:numId w:val="73"/>
        </w:numPr>
        <w:tabs>
          <w:tab w:pos="823" w:val="left" w:leader="none"/>
        </w:tabs>
        <w:spacing w:line="240" w:lineRule="auto" w:before="0" w:after="0"/>
        <w:ind w:left="114" w:right="109" w:firstLine="0"/>
        <w:jc w:val="both"/>
        <w:rPr>
          <w:sz w:val="20"/>
        </w:rPr>
      </w:pPr>
      <w:r>
        <w:rPr>
          <w:sz w:val="20"/>
        </w:rPr>
        <w:t>La</w:t>
      </w:r>
      <w:r>
        <w:rPr>
          <w:spacing w:val="-16"/>
          <w:sz w:val="20"/>
        </w:rPr>
        <w:t> </w:t>
      </w:r>
      <w:r>
        <w:rPr>
          <w:sz w:val="20"/>
        </w:rPr>
        <w:t>Corte</w:t>
      </w:r>
      <w:r>
        <w:rPr>
          <w:spacing w:val="-15"/>
          <w:sz w:val="20"/>
        </w:rPr>
        <w:t> </w:t>
      </w:r>
      <w:r>
        <w:rPr>
          <w:sz w:val="20"/>
        </w:rPr>
        <w:t>ha</w:t>
      </w:r>
      <w:r>
        <w:rPr>
          <w:spacing w:val="-18"/>
          <w:sz w:val="20"/>
        </w:rPr>
        <w:t> </w:t>
      </w:r>
      <w:r>
        <w:rPr>
          <w:sz w:val="20"/>
        </w:rPr>
        <w:t>señalado</w:t>
      </w:r>
      <w:r>
        <w:rPr>
          <w:spacing w:val="-17"/>
          <w:sz w:val="20"/>
        </w:rPr>
        <w:t> </w:t>
      </w:r>
      <w:r>
        <w:rPr>
          <w:sz w:val="20"/>
        </w:rPr>
        <w:t>que</w:t>
      </w:r>
      <w:r>
        <w:rPr>
          <w:spacing w:val="-16"/>
          <w:sz w:val="20"/>
        </w:rPr>
        <w:t> </w:t>
      </w:r>
      <w:r>
        <w:rPr>
          <w:sz w:val="20"/>
        </w:rPr>
        <w:t>el</w:t>
      </w:r>
      <w:r>
        <w:rPr>
          <w:spacing w:val="-15"/>
          <w:sz w:val="20"/>
        </w:rPr>
        <w:t> </w:t>
      </w:r>
      <w:r>
        <w:rPr>
          <w:sz w:val="20"/>
        </w:rPr>
        <w:t>artículo</w:t>
      </w:r>
      <w:r>
        <w:rPr>
          <w:spacing w:val="-17"/>
          <w:sz w:val="20"/>
        </w:rPr>
        <w:t> </w:t>
      </w:r>
      <w:r>
        <w:rPr>
          <w:sz w:val="20"/>
        </w:rPr>
        <w:t>2</w:t>
      </w:r>
      <w:r>
        <w:rPr>
          <w:spacing w:val="-16"/>
          <w:sz w:val="20"/>
        </w:rPr>
        <w:t> </w:t>
      </w:r>
      <w:r>
        <w:rPr>
          <w:sz w:val="20"/>
        </w:rPr>
        <w:t>de</w:t>
      </w:r>
      <w:r>
        <w:rPr>
          <w:spacing w:val="-16"/>
          <w:sz w:val="20"/>
        </w:rPr>
        <w:t> </w:t>
      </w:r>
      <w:r>
        <w:rPr>
          <w:sz w:val="20"/>
        </w:rPr>
        <w:t>la</w:t>
      </w:r>
      <w:r>
        <w:rPr>
          <w:spacing w:val="-16"/>
          <w:sz w:val="20"/>
        </w:rPr>
        <w:t> </w:t>
      </w:r>
      <w:r>
        <w:rPr>
          <w:sz w:val="20"/>
        </w:rPr>
        <w:t>Convención</w:t>
      </w:r>
      <w:r>
        <w:rPr>
          <w:spacing w:val="-17"/>
          <w:sz w:val="20"/>
        </w:rPr>
        <w:t> </w:t>
      </w:r>
      <w:r>
        <w:rPr>
          <w:sz w:val="20"/>
        </w:rPr>
        <w:t>“obliga</w:t>
      </w:r>
      <w:r>
        <w:rPr>
          <w:spacing w:val="-17"/>
          <w:sz w:val="20"/>
        </w:rPr>
        <w:t> </w:t>
      </w:r>
      <w:r>
        <w:rPr>
          <w:sz w:val="20"/>
        </w:rPr>
        <w:t>a</w:t>
      </w:r>
      <w:r>
        <w:rPr>
          <w:spacing w:val="-16"/>
          <w:sz w:val="20"/>
        </w:rPr>
        <w:t> </w:t>
      </w:r>
      <w:r>
        <w:rPr>
          <w:sz w:val="20"/>
        </w:rPr>
        <w:t>los</w:t>
      </w:r>
      <w:r>
        <w:rPr>
          <w:spacing w:val="-16"/>
          <w:sz w:val="20"/>
        </w:rPr>
        <w:t> </w:t>
      </w:r>
      <w:r>
        <w:rPr>
          <w:sz w:val="20"/>
        </w:rPr>
        <w:t>Estados</w:t>
      </w:r>
      <w:r>
        <w:rPr>
          <w:spacing w:val="-15"/>
          <w:sz w:val="20"/>
        </w:rPr>
        <w:t> </w:t>
      </w:r>
      <w:r>
        <w:rPr>
          <w:sz w:val="20"/>
        </w:rPr>
        <w:t>Parte</w:t>
      </w:r>
      <w:r>
        <w:rPr>
          <w:spacing w:val="-15"/>
          <w:sz w:val="20"/>
        </w:rPr>
        <w:t> </w:t>
      </w:r>
      <w:r>
        <w:rPr>
          <w:sz w:val="20"/>
        </w:rPr>
        <w:t>a</w:t>
      </w:r>
      <w:r>
        <w:rPr>
          <w:spacing w:val="-17"/>
          <w:sz w:val="20"/>
        </w:rPr>
        <w:t> </w:t>
      </w:r>
      <w:r>
        <w:rPr>
          <w:sz w:val="20"/>
        </w:rPr>
        <w:t>adoptar, con arreglo a sus procedimientos constitucionales y a las disposiciones de la Convención, las medidas legislativas o de otro carácter que fueren necesarias para hacer efectivos los derechos y libertades protegidos por la Convención”</w:t>
      </w:r>
      <w:r>
        <w:rPr>
          <w:position w:val="7"/>
          <w:sz w:val="13"/>
        </w:rPr>
        <w:t>23</w:t>
      </w:r>
      <w:r>
        <w:rPr>
          <w:sz w:val="20"/>
        </w:rPr>
        <w:t>. No obstante en el presente caso, tal como habíamos mencionado, la controversia residía en las acciones estatales adoptadas a nivel interno, es decir, se</w:t>
      </w:r>
      <w:r>
        <w:rPr>
          <w:spacing w:val="-16"/>
          <w:sz w:val="20"/>
        </w:rPr>
        <w:t> </w:t>
      </w:r>
      <w:r>
        <w:rPr>
          <w:sz w:val="20"/>
        </w:rPr>
        <w:t>refería</w:t>
      </w:r>
      <w:r>
        <w:rPr>
          <w:spacing w:val="-17"/>
          <w:sz w:val="20"/>
        </w:rPr>
        <w:t> </w:t>
      </w:r>
      <w:r>
        <w:rPr>
          <w:sz w:val="20"/>
        </w:rPr>
        <w:t>a</w:t>
      </w:r>
      <w:r>
        <w:rPr>
          <w:spacing w:val="-16"/>
          <w:sz w:val="20"/>
        </w:rPr>
        <w:t> </w:t>
      </w:r>
      <w:r>
        <w:rPr>
          <w:sz w:val="20"/>
        </w:rPr>
        <w:t>la</w:t>
      </w:r>
      <w:r>
        <w:rPr>
          <w:spacing w:val="-17"/>
          <w:sz w:val="20"/>
        </w:rPr>
        <w:t> </w:t>
      </w:r>
      <w:r>
        <w:rPr>
          <w:sz w:val="20"/>
        </w:rPr>
        <w:t>falta</w:t>
      </w:r>
      <w:r>
        <w:rPr>
          <w:spacing w:val="-17"/>
          <w:sz w:val="20"/>
        </w:rPr>
        <w:t> </w:t>
      </w:r>
      <w:r>
        <w:rPr>
          <w:sz w:val="20"/>
        </w:rPr>
        <w:t>de</w:t>
      </w:r>
      <w:r>
        <w:rPr>
          <w:spacing w:val="-16"/>
          <w:sz w:val="20"/>
        </w:rPr>
        <w:t> </w:t>
      </w:r>
      <w:r>
        <w:rPr>
          <w:sz w:val="20"/>
        </w:rPr>
        <w:t>debida</w:t>
      </w:r>
      <w:r>
        <w:rPr>
          <w:spacing w:val="-17"/>
          <w:sz w:val="20"/>
        </w:rPr>
        <w:t> </w:t>
      </w:r>
      <w:r>
        <w:rPr>
          <w:sz w:val="20"/>
        </w:rPr>
        <w:t>diligencia</w:t>
      </w:r>
      <w:r>
        <w:rPr>
          <w:spacing w:val="-17"/>
          <w:sz w:val="20"/>
        </w:rPr>
        <w:t> </w:t>
      </w:r>
      <w:r>
        <w:rPr>
          <w:sz w:val="20"/>
        </w:rPr>
        <w:t>de</w:t>
      </w:r>
      <w:r>
        <w:rPr>
          <w:spacing w:val="-17"/>
          <w:sz w:val="20"/>
        </w:rPr>
        <w:t> </w:t>
      </w:r>
      <w:r>
        <w:rPr>
          <w:sz w:val="20"/>
        </w:rPr>
        <w:t>las</w:t>
      </w:r>
      <w:r>
        <w:rPr>
          <w:spacing w:val="-17"/>
          <w:sz w:val="20"/>
        </w:rPr>
        <w:t> </w:t>
      </w:r>
      <w:r>
        <w:rPr>
          <w:sz w:val="20"/>
        </w:rPr>
        <w:t>autoridades</w:t>
      </w:r>
      <w:r>
        <w:rPr>
          <w:spacing w:val="-16"/>
          <w:sz w:val="20"/>
        </w:rPr>
        <w:t> </w:t>
      </w:r>
      <w:r>
        <w:rPr>
          <w:sz w:val="20"/>
        </w:rPr>
        <w:t>que</w:t>
      </w:r>
      <w:r>
        <w:rPr>
          <w:spacing w:val="-16"/>
          <w:sz w:val="20"/>
        </w:rPr>
        <w:t> </w:t>
      </w:r>
      <w:r>
        <w:rPr>
          <w:sz w:val="20"/>
        </w:rPr>
        <w:t>generó</w:t>
      </w:r>
      <w:r>
        <w:rPr>
          <w:spacing w:val="-17"/>
          <w:sz w:val="20"/>
        </w:rPr>
        <w:t> </w:t>
      </w:r>
      <w:r>
        <w:rPr>
          <w:sz w:val="20"/>
        </w:rPr>
        <w:t>la</w:t>
      </w:r>
      <w:r>
        <w:rPr>
          <w:spacing w:val="-16"/>
          <w:sz w:val="20"/>
        </w:rPr>
        <w:t> </w:t>
      </w:r>
      <w:r>
        <w:rPr>
          <w:sz w:val="20"/>
        </w:rPr>
        <w:t>inefectividad</w:t>
      </w:r>
      <w:r>
        <w:rPr>
          <w:spacing w:val="-16"/>
          <w:sz w:val="20"/>
        </w:rPr>
        <w:t> </w:t>
      </w:r>
      <w:r>
        <w:rPr>
          <w:sz w:val="20"/>
        </w:rPr>
        <w:t>de</w:t>
      </w:r>
      <w:r>
        <w:rPr>
          <w:spacing w:val="-16"/>
          <w:sz w:val="20"/>
        </w:rPr>
        <w:t> </w:t>
      </w:r>
      <w:r>
        <w:rPr>
          <w:sz w:val="20"/>
        </w:rPr>
        <w:t>las</w:t>
      </w:r>
      <w:r>
        <w:rPr>
          <w:spacing w:val="-17"/>
          <w:sz w:val="20"/>
        </w:rPr>
        <w:t> </w:t>
      </w:r>
      <w:r>
        <w:rPr>
          <w:sz w:val="20"/>
        </w:rPr>
        <w:t>mismas y no necesariamente en las dificultades que presentaba el diseño de la</w:t>
      </w:r>
      <w:r>
        <w:rPr>
          <w:spacing w:val="-20"/>
          <w:sz w:val="20"/>
        </w:rPr>
        <w:t> </w:t>
      </w:r>
      <w:r>
        <w:rPr>
          <w:sz w:val="20"/>
        </w:rPr>
        <w:t>normativa.</w:t>
      </w:r>
    </w:p>
    <w:p>
      <w:pPr>
        <w:pStyle w:val="BodyText"/>
        <w:spacing w:before="11"/>
        <w:rPr>
          <w:sz w:val="19"/>
        </w:rPr>
      </w:pPr>
    </w:p>
    <w:p>
      <w:pPr>
        <w:pStyle w:val="ListParagraph"/>
        <w:numPr>
          <w:ilvl w:val="0"/>
          <w:numId w:val="73"/>
        </w:numPr>
        <w:tabs>
          <w:tab w:pos="823" w:val="left" w:leader="none"/>
        </w:tabs>
        <w:spacing w:line="240" w:lineRule="auto" w:before="1" w:after="0"/>
        <w:ind w:left="114" w:right="106" w:firstLine="0"/>
        <w:jc w:val="both"/>
        <w:rPr>
          <w:sz w:val="20"/>
        </w:rPr>
      </w:pPr>
      <w:r>
        <w:rPr>
          <w:sz w:val="20"/>
        </w:rPr>
        <w:t>Sobre el particular, resulta ilustrativo el criterio de la Corte en circunstancias similares. En el </w:t>
      </w:r>
      <w:r>
        <w:rPr>
          <w:i/>
          <w:sz w:val="20"/>
        </w:rPr>
        <w:t>caso de los Pueblos Indígenas Kuna de Madungandí y Emberá de Bayano y sus miembros Vs. </w:t>
      </w:r>
      <w:r>
        <w:rPr>
          <w:i/>
          <w:sz w:val="20"/>
        </w:rPr>
        <w:t>Panamá </w:t>
      </w:r>
      <w:r>
        <w:rPr>
          <w:sz w:val="20"/>
        </w:rPr>
        <w:t>los representantes de las víctimas y la Comisión Interamericana también alegaron la falta de un procedimiento adecuado y efectivo para la protección de los territorios indígenas frente a terceros</w:t>
      </w:r>
      <w:r>
        <w:rPr>
          <w:position w:val="6"/>
          <w:sz w:val="10"/>
        </w:rPr>
        <w:t>24</w:t>
      </w:r>
      <w:r>
        <w:rPr>
          <w:sz w:val="20"/>
        </w:rPr>
        <w:t>. La Corte constató que efectivamente en Panamá no existía un procedimiento específico para el lanzamiento de terceros ocupantes de territorios colectivos de las comunidades indígenas. Sin</w:t>
      </w:r>
      <w:r>
        <w:rPr>
          <w:spacing w:val="-11"/>
          <w:sz w:val="20"/>
        </w:rPr>
        <w:t> </w:t>
      </w:r>
      <w:r>
        <w:rPr>
          <w:sz w:val="20"/>
        </w:rPr>
        <w:t>embargo,</w:t>
      </w:r>
      <w:r>
        <w:rPr>
          <w:spacing w:val="-10"/>
          <w:sz w:val="20"/>
        </w:rPr>
        <w:t> </w:t>
      </w:r>
      <w:r>
        <w:rPr>
          <w:sz w:val="20"/>
        </w:rPr>
        <w:t>consideró</w:t>
      </w:r>
      <w:r>
        <w:rPr>
          <w:spacing w:val="-10"/>
          <w:sz w:val="20"/>
        </w:rPr>
        <w:t> </w:t>
      </w:r>
      <w:r>
        <w:rPr>
          <w:sz w:val="20"/>
        </w:rPr>
        <w:t>que</w:t>
      </w:r>
      <w:r>
        <w:rPr>
          <w:spacing w:val="-10"/>
          <w:sz w:val="20"/>
        </w:rPr>
        <w:t> </w:t>
      </w:r>
      <w:r>
        <w:rPr>
          <w:sz w:val="20"/>
        </w:rPr>
        <w:t>no</w:t>
      </w:r>
      <w:r>
        <w:rPr>
          <w:spacing w:val="-10"/>
          <w:sz w:val="20"/>
        </w:rPr>
        <w:t> </w:t>
      </w:r>
      <w:r>
        <w:rPr>
          <w:sz w:val="20"/>
        </w:rPr>
        <w:t>era</w:t>
      </w:r>
      <w:r>
        <w:rPr>
          <w:spacing w:val="-12"/>
          <w:sz w:val="20"/>
        </w:rPr>
        <w:t> </w:t>
      </w:r>
      <w:r>
        <w:rPr>
          <w:sz w:val="20"/>
        </w:rPr>
        <w:t>esencial</w:t>
      </w:r>
      <w:r>
        <w:rPr>
          <w:spacing w:val="-11"/>
          <w:sz w:val="20"/>
        </w:rPr>
        <w:t> </w:t>
      </w:r>
      <w:r>
        <w:rPr>
          <w:sz w:val="20"/>
        </w:rPr>
        <w:t>ni</w:t>
      </w:r>
      <w:r>
        <w:rPr>
          <w:spacing w:val="-11"/>
          <w:sz w:val="20"/>
        </w:rPr>
        <w:t> </w:t>
      </w:r>
      <w:r>
        <w:rPr>
          <w:sz w:val="20"/>
        </w:rPr>
        <w:t>necesario</w:t>
      </w:r>
      <w:r>
        <w:rPr>
          <w:spacing w:val="-10"/>
          <w:sz w:val="20"/>
        </w:rPr>
        <w:t> </w:t>
      </w:r>
      <w:r>
        <w:rPr>
          <w:sz w:val="20"/>
        </w:rPr>
        <w:t>con</w:t>
      </w:r>
      <w:r>
        <w:rPr>
          <w:spacing w:val="-9"/>
          <w:sz w:val="20"/>
        </w:rPr>
        <w:t> </w:t>
      </w:r>
      <w:r>
        <w:rPr>
          <w:sz w:val="20"/>
        </w:rPr>
        <w:t>base</w:t>
      </w:r>
      <w:r>
        <w:rPr>
          <w:spacing w:val="-10"/>
          <w:sz w:val="20"/>
        </w:rPr>
        <w:t> </w:t>
      </w:r>
      <w:r>
        <w:rPr>
          <w:sz w:val="20"/>
        </w:rPr>
        <w:t>en</w:t>
      </w:r>
      <w:r>
        <w:rPr>
          <w:spacing w:val="-11"/>
          <w:sz w:val="20"/>
        </w:rPr>
        <w:t> </w:t>
      </w:r>
      <w:r>
        <w:rPr>
          <w:sz w:val="20"/>
        </w:rPr>
        <w:t>el</w:t>
      </w:r>
      <w:r>
        <w:rPr>
          <w:spacing w:val="-10"/>
          <w:sz w:val="20"/>
        </w:rPr>
        <w:t> </w:t>
      </w:r>
      <w:r>
        <w:rPr>
          <w:sz w:val="20"/>
        </w:rPr>
        <w:t>artículo</w:t>
      </w:r>
      <w:r>
        <w:rPr>
          <w:spacing w:val="-11"/>
          <w:sz w:val="20"/>
        </w:rPr>
        <w:t> </w:t>
      </w:r>
      <w:r>
        <w:rPr>
          <w:sz w:val="20"/>
        </w:rPr>
        <w:t>2</w:t>
      </w:r>
      <w:r>
        <w:rPr>
          <w:spacing w:val="-11"/>
          <w:sz w:val="20"/>
        </w:rPr>
        <w:t> </w:t>
      </w:r>
      <w:r>
        <w:rPr>
          <w:sz w:val="20"/>
        </w:rPr>
        <w:t>de</w:t>
      </w:r>
      <w:r>
        <w:rPr>
          <w:spacing w:val="-9"/>
          <w:sz w:val="20"/>
        </w:rPr>
        <w:t> </w:t>
      </w:r>
      <w:r>
        <w:rPr>
          <w:sz w:val="20"/>
        </w:rPr>
        <w:t>la</w:t>
      </w:r>
      <w:r>
        <w:rPr>
          <w:spacing w:val="-12"/>
          <w:sz w:val="20"/>
        </w:rPr>
        <w:t> </w:t>
      </w:r>
      <w:r>
        <w:rPr>
          <w:sz w:val="20"/>
        </w:rPr>
        <w:t>Convención, que se crearan instancias o acciones jurídicas y normativas específicas para asegurar los derechos de</w:t>
      </w:r>
      <w:r>
        <w:rPr>
          <w:spacing w:val="-17"/>
          <w:sz w:val="20"/>
        </w:rPr>
        <w:t> </w:t>
      </w:r>
      <w:r>
        <w:rPr>
          <w:sz w:val="20"/>
        </w:rPr>
        <w:t>las</w:t>
      </w:r>
      <w:r>
        <w:rPr>
          <w:spacing w:val="-18"/>
          <w:sz w:val="20"/>
        </w:rPr>
        <w:t> </w:t>
      </w:r>
      <w:r>
        <w:rPr>
          <w:sz w:val="20"/>
        </w:rPr>
        <w:t>poblaciones</w:t>
      </w:r>
      <w:r>
        <w:rPr>
          <w:spacing w:val="-17"/>
          <w:sz w:val="20"/>
        </w:rPr>
        <w:t> </w:t>
      </w:r>
      <w:r>
        <w:rPr>
          <w:sz w:val="20"/>
        </w:rPr>
        <w:t>indígenas.</w:t>
      </w:r>
      <w:r>
        <w:rPr>
          <w:spacing w:val="-16"/>
          <w:sz w:val="20"/>
        </w:rPr>
        <w:t> </w:t>
      </w:r>
      <w:r>
        <w:rPr>
          <w:sz w:val="20"/>
        </w:rPr>
        <w:t>En</w:t>
      </w:r>
      <w:r>
        <w:rPr>
          <w:spacing w:val="-19"/>
          <w:sz w:val="20"/>
        </w:rPr>
        <w:t> </w:t>
      </w:r>
      <w:r>
        <w:rPr>
          <w:sz w:val="20"/>
        </w:rPr>
        <w:t>el</w:t>
      </w:r>
      <w:r>
        <w:rPr>
          <w:spacing w:val="-18"/>
          <w:sz w:val="20"/>
        </w:rPr>
        <w:t> </w:t>
      </w:r>
      <w:r>
        <w:rPr>
          <w:sz w:val="20"/>
        </w:rPr>
        <w:t>presente</w:t>
      </w:r>
      <w:r>
        <w:rPr>
          <w:spacing w:val="-18"/>
          <w:sz w:val="20"/>
        </w:rPr>
        <w:t> </w:t>
      </w:r>
      <w:r>
        <w:rPr>
          <w:sz w:val="20"/>
        </w:rPr>
        <w:t>caso</w:t>
      </w:r>
      <w:r>
        <w:rPr>
          <w:spacing w:val="-18"/>
          <w:sz w:val="20"/>
        </w:rPr>
        <w:t> </w:t>
      </w:r>
      <w:r>
        <w:rPr>
          <w:sz w:val="20"/>
        </w:rPr>
        <w:t>se</w:t>
      </w:r>
      <w:r>
        <w:rPr>
          <w:spacing w:val="-17"/>
          <w:sz w:val="20"/>
        </w:rPr>
        <w:t> </w:t>
      </w:r>
      <w:r>
        <w:rPr>
          <w:sz w:val="20"/>
        </w:rPr>
        <w:t>debió</w:t>
      </w:r>
      <w:r>
        <w:rPr>
          <w:spacing w:val="-19"/>
          <w:sz w:val="20"/>
        </w:rPr>
        <w:t> </w:t>
      </w:r>
      <w:r>
        <w:rPr>
          <w:sz w:val="20"/>
        </w:rPr>
        <w:t>seguir</w:t>
      </w:r>
      <w:r>
        <w:rPr>
          <w:spacing w:val="-18"/>
          <w:sz w:val="20"/>
        </w:rPr>
        <w:t> </w:t>
      </w:r>
      <w:r>
        <w:rPr>
          <w:sz w:val="20"/>
        </w:rPr>
        <w:t>el</w:t>
      </w:r>
      <w:r>
        <w:rPr>
          <w:spacing w:val="-18"/>
          <w:sz w:val="20"/>
        </w:rPr>
        <w:t> </w:t>
      </w:r>
      <w:r>
        <w:rPr>
          <w:sz w:val="20"/>
        </w:rPr>
        <w:t>criterio</w:t>
      </w:r>
      <w:r>
        <w:rPr>
          <w:spacing w:val="-18"/>
          <w:sz w:val="20"/>
        </w:rPr>
        <w:t> </w:t>
      </w:r>
      <w:r>
        <w:rPr>
          <w:sz w:val="20"/>
        </w:rPr>
        <w:t>anterior,</w:t>
      </w:r>
      <w:r>
        <w:rPr>
          <w:spacing w:val="-16"/>
          <w:sz w:val="20"/>
        </w:rPr>
        <w:t> </w:t>
      </w:r>
      <w:r>
        <w:rPr>
          <w:sz w:val="20"/>
        </w:rPr>
        <w:t>pues</w:t>
      </w:r>
      <w:r>
        <w:rPr>
          <w:spacing w:val="-17"/>
          <w:sz w:val="20"/>
        </w:rPr>
        <w:t> </w:t>
      </w:r>
      <w:r>
        <w:rPr>
          <w:sz w:val="20"/>
        </w:rPr>
        <w:t>considerar que la seguridad jurídica de la propiedad comunitaria indígena está supeditada a la existencia de regulación legislativa termina generando un efecto de desprotección y falta de eficacia jurídica directa de este</w:t>
      </w:r>
      <w:r>
        <w:rPr>
          <w:spacing w:val="-7"/>
          <w:sz w:val="20"/>
        </w:rPr>
        <w:t> </w:t>
      </w:r>
      <w:r>
        <w:rPr>
          <w:sz w:val="20"/>
        </w:rPr>
        <w:t>derecho.</w:t>
      </w:r>
    </w:p>
    <w:p>
      <w:pPr>
        <w:pStyle w:val="BodyText"/>
      </w:pPr>
    </w:p>
    <w:p>
      <w:pPr>
        <w:pStyle w:val="BodyText"/>
      </w:pPr>
    </w:p>
    <w:p>
      <w:pPr>
        <w:pStyle w:val="BodyText"/>
        <w:spacing w:before="4"/>
        <w:rPr>
          <w:sz w:val="18"/>
        </w:rPr>
      </w:pPr>
      <w:r>
        <w:rPr/>
        <w:pict>
          <v:line style="position:absolute;mso-position-horizontal-relative:page;mso-position-vertical-relative:paragraph;z-index:4648;mso-wrap-distance-left:0;mso-wrap-distance-right:0" from="56.700001pt,13.40104pt" to="200.720001pt,13.40104pt" stroked="true" strokeweight=".599980pt" strokecolor="#000000">
            <v:stroke dashstyle="solid"/>
            <w10:wrap type="topAndBottom"/>
          </v:line>
        </w:pict>
      </w:r>
    </w:p>
    <w:p>
      <w:pPr>
        <w:tabs>
          <w:tab w:pos="681" w:val="left" w:leader="none"/>
        </w:tabs>
        <w:spacing w:before="73"/>
        <w:ind w:left="114" w:right="0" w:firstLine="0"/>
        <w:jc w:val="both"/>
        <w:rPr>
          <w:sz w:val="16"/>
        </w:rPr>
      </w:pPr>
      <w:r>
        <w:rPr>
          <w:position w:val="6"/>
          <w:sz w:val="10"/>
        </w:rPr>
        <w:t>22</w:t>
        <w:tab/>
      </w:r>
      <w:r>
        <w:rPr>
          <w:sz w:val="16"/>
        </w:rPr>
        <w:t>Párrafo</w:t>
      </w:r>
      <w:r>
        <w:rPr>
          <w:spacing w:val="-2"/>
          <w:sz w:val="16"/>
        </w:rPr>
        <w:t> </w:t>
      </w:r>
      <w:r>
        <w:rPr>
          <w:sz w:val="16"/>
        </w:rPr>
        <w:t>353.</w:t>
      </w:r>
    </w:p>
    <w:p>
      <w:pPr>
        <w:tabs>
          <w:tab w:pos="822" w:val="left" w:leader="none"/>
        </w:tabs>
        <w:spacing w:before="0"/>
        <w:ind w:left="114" w:right="113" w:firstLine="0"/>
        <w:jc w:val="both"/>
        <w:rPr>
          <w:sz w:val="16"/>
        </w:rPr>
      </w:pPr>
      <w:r>
        <w:rPr>
          <w:position w:val="6"/>
          <w:sz w:val="10"/>
        </w:rPr>
        <w:t>23</w:t>
        <w:tab/>
      </w:r>
      <w:r>
        <w:rPr>
          <w:i/>
          <w:sz w:val="16"/>
        </w:rPr>
        <w:t>Cfr. Caso Genie Lacayo Vs. Nicaragua. Fondo, Reparaciones y Costas. </w:t>
      </w:r>
      <w:r>
        <w:rPr>
          <w:sz w:val="16"/>
        </w:rPr>
        <w:t>Sentencia de 29 de enero de 1997.</w:t>
      </w:r>
      <w:r>
        <w:rPr>
          <w:spacing w:val="42"/>
          <w:sz w:val="16"/>
        </w:rPr>
        <w:t> </w:t>
      </w:r>
      <w:r>
        <w:rPr>
          <w:sz w:val="16"/>
        </w:rPr>
        <w:t>Serie</w:t>
      </w:r>
      <w:r>
        <w:rPr>
          <w:spacing w:val="1"/>
          <w:sz w:val="16"/>
        </w:rPr>
        <w:t> </w:t>
      </w:r>
      <w:r>
        <w:rPr>
          <w:sz w:val="16"/>
        </w:rPr>
        <w:t>C</w:t>
      </w:r>
      <w:r>
        <w:rPr>
          <w:w w:val="99"/>
          <w:sz w:val="16"/>
        </w:rPr>
        <w:t> </w:t>
      </w:r>
      <w:r>
        <w:rPr>
          <w:sz w:val="16"/>
        </w:rPr>
        <w:t>No. 30, párr. 51, y Caso Familia Pacheco Tineo Vs. Bolivia. Excepciones Preliminares, Fondo, Reparaciones y Costas. Sentencia de 25 de noviembre de 2013. Serie C No. 272, párr.</w:t>
      </w:r>
      <w:r>
        <w:rPr>
          <w:spacing w:val="-22"/>
          <w:sz w:val="16"/>
        </w:rPr>
        <w:t> </w:t>
      </w:r>
      <w:r>
        <w:rPr>
          <w:sz w:val="16"/>
        </w:rPr>
        <w:t>140.</w:t>
      </w:r>
    </w:p>
    <w:p>
      <w:pPr>
        <w:tabs>
          <w:tab w:pos="822" w:val="left" w:leader="none"/>
        </w:tabs>
        <w:spacing w:before="0"/>
        <w:ind w:left="114" w:right="112" w:firstLine="0"/>
        <w:jc w:val="both"/>
        <w:rPr>
          <w:sz w:val="16"/>
        </w:rPr>
      </w:pPr>
      <w:r>
        <w:rPr>
          <w:position w:val="6"/>
          <w:sz w:val="10"/>
        </w:rPr>
        <w:t>24</w:t>
        <w:tab/>
      </w:r>
      <w:r>
        <w:rPr>
          <w:i/>
          <w:sz w:val="16"/>
        </w:rPr>
        <w:t>Caso</w:t>
      </w:r>
      <w:r>
        <w:rPr>
          <w:i/>
          <w:spacing w:val="-8"/>
          <w:sz w:val="16"/>
        </w:rPr>
        <w:t> </w:t>
      </w:r>
      <w:r>
        <w:rPr>
          <w:i/>
          <w:sz w:val="16"/>
        </w:rPr>
        <w:t>de</w:t>
      </w:r>
      <w:r>
        <w:rPr>
          <w:i/>
          <w:spacing w:val="-8"/>
          <w:sz w:val="16"/>
        </w:rPr>
        <w:t> </w:t>
      </w:r>
      <w:r>
        <w:rPr>
          <w:i/>
          <w:sz w:val="16"/>
        </w:rPr>
        <w:t>los</w:t>
      </w:r>
      <w:r>
        <w:rPr>
          <w:i/>
          <w:spacing w:val="-8"/>
          <w:sz w:val="16"/>
        </w:rPr>
        <w:t> </w:t>
      </w:r>
      <w:r>
        <w:rPr>
          <w:i/>
          <w:sz w:val="16"/>
        </w:rPr>
        <w:t>Pueblos</w:t>
      </w:r>
      <w:r>
        <w:rPr>
          <w:i/>
          <w:spacing w:val="-8"/>
          <w:sz w:val="16"/>
        </w:rPr>
        <w:t> </w:t>
      </w:r>
      <w:r>
        <w:rPr>
          <w:i/>
          <w:sz w:val="16"/>
        </w:rPr>
        <w:t>Indígenas</w:t>
      </w:r>
      <w:r>
        <w:rPr>
          <w:i/>
          <w:spacing w:val="-9"/>
          <w:sz w:val="16"/>
        </w:rPr>
        <w:t> </w:t>
      </w:r>
      <w:r>
        <w:rPr>
          <w:i/>
          <w:sz w:val="16"/>
        </w:rPr>
        <w:t>Kuna</w:t>
      </w:r>
      <w:r>
        <w:rPr>
          <w:i/>
          <w:spacing w:val="-8"/>
          <w:sz w:val="16"/>
        </w:rPr>
        <w:t> </w:t>
      </w:r>
      <w:r>
        <w:rPr>
          <w:i/>
          <w:sz w:val="16"/>
        </w:rPr>
        <w:t>de</w:t>
      </w:r>
      <w:r>
        <w:rPr>
          <w:i/>
          <w:spacing w:val="-8"/>
          <w:sz w:val="16"/>
        </w:rPr>
        <w:t> </w:t>
      </w:r>
      <w:r>
        <w:rPr>
          <w:i/>
          <w:sz w:val="16"/>
        </w:rPr>
        <w:t>Madungandí</w:t>
      </w:r>
      <w:r>
        <w:rPr>
          <w:i/>
          <w:spacing w:val="-8"/>
          <w:sz w:val="16"/>
        </w:rPr>
        <w:t> </w:t>
      </w:r>
      <w:r>
        <w:rPr>
          <w:i/>
          <w:sz w:val="16"/>
        </w:rPr>
        <w:t>y</w:t>
      </w:r>
      <w:r>
        <w:rPr>
          <w:i/>
          <w:spacing w:val="-8"/>
          <w:sz w:val="16"/>
        </w:rPr>
        <w:t> </w:t>
      </w:r>
      <w:r>
        <w:rPr>
          <w:i/>
          <w:sz w:val="16"/>
        </w:rPr>
        <w:t>Emberá</w:t>
      </w:r>
      <w:r>
        <w:rPr>
          <w:i/>
          <w:spacing w:val="-8"/>
          <w:sz w:val="16"/>
        </w:rPr>
        <w:t> </w:t>
      </w:r>
      <w:r>
        <w:rPr>
          <w:i/>
          <w:sz w:val="16"/>
        </w:rPr>
        <w:t>de</w:t>
      </w:r>
      <w:r>
        <w:rPr>
          <w:i/>
          <w:spacing w:val="-8"/>
          <w:sz w:val="16"/>
        </w:rPr>
        <w:t> </w:t>
      </w:r>
      <w:r>
        <w:rPr>
          <w:i/>
          <w:sz w:val="16"/>
        </w:rPr>
        <w:t>Bayano</w:t>
      </w:r>
      <w:r>
        <w:rPr>
          <w:i/>
          <w:spacing w:val="-8"/>
          <w:sz w:val="16"/>
        </w:rPr>
        <w:t> </w:t>
      </w:r>
      <w:r>
        <w:rPr>
          <w:i/>
          <w:sz w:val="16"/>
        </w:rPr>
        <w:t>y</w:t>
      </w:r>
      <w:r>
        <w:rPr>
          <w:i/>
          <w:spacing w:val="-8"/>
          <w:sz w:val="16"/>
        </w:rPr>
        <w:t> </w:t>
      </w:r>
      <w:r>
        <w:rPr>
          <w:i/>
          <w:sz w:val="16"/>
        </w:rPr>
        <w:t>sus</w:t>
      </w:r>
      <w:r>
        <w:rPr>
          <w:i/>
          <w:spacing w:val="-9"/>
          <w:sz w:val="16"/>
        </w:rPr>
        <w:t> </w:t>
      </w:r>
      <w:r>
        <w:rPr>
          <w:i/>
          <w:sz w:val="16"/>
        </w:rPr>
        <w:t>miembros</w:t>
      </w:r>
      <w:r>
        <w:rPr>
          <w:i/>
          <w:spacing w:val="-9"/>
          <w:sz w:val="16"/>
        </w:rPr>
        <w:t> </w:t>
      </w:r>
      <w:r>
        <w:rPr>
          <w:i/>
          <w:sz w:val="16"/>
        </w:rPr>
        <w:t>Vs.</w:t>
      </w:r>
      <w:r>
        <w:rPr>
          <w:i/>
          <w:spacing w:val="-9"/>
          <w:sz w:val="16"/>
        </w:rPr>
        <w:t> </w:t>
      </w:r>
      <w:r>
        <w:rPr>
          <w:i/>
          <w:sz w:val="16"/>
        </w:rPr>
        <w:t>Panamá.</w:t>
      </w:r>
      <w:r>
        <w:rPr>
          <w:i/>
          <w:spacing w:val="-9"/>
          <w:sz w:val="16"/>
        </w:rPr>
        <w:t> </w:t>
      </w:r>
      <w:r>
        <w:rPr>
          <w:i/>
          <w:sz w:val="16"/>
        </w:rPr>
        <w:t>Excepciones</w:t>
      </w:r>
      <w:r>
        <w:rPr>
          <w:i/>
          <w:w w:val="99"/>
          <w:sz w:val="16"/>
        </w:rPr>
        <w:t> </w:t>
      </w:r>
      <w:r>
        <w:rPr>
          <w:i/>
          <w:sz w:val="16"/>
        </w:rPr>
        <w:t>Preliminares, Fondo, Reparaciones y Costas</w:t>
      </w:r>
      <w:r>
        <w:rPr>
          <w:sz w:val="16"/>
        </w:rPr>
        <w:t>. Sentencia de 14 de octubre de 2014. Serie C No. 284, párrs. 188 a</w:t>
      </w:r>
      <w:r>
        <w:rPr>
          <w:spacing w:val="-24"/>
          <w:sz w:val="16"/>
        </w:rPr>
        <w:t> </w:t>
      </w:r>
      <w:r>
        <w:rPr>
          <w:sz w:val="16"/>
        </w:rPr>
        <w:t>198</w:t>
      </w:r>
    </w:p>
    <w:p>
      <w:pPr>
        <w:spacing w:after="0"/>
        <w:jc w:val="both"/>
        <w:rPr>
          <w:sz w:val="16"/>
        </w:rPr>
        <w:sectPr>
          <w:footerReference w:type="default" r:id="rId51"/>
          <w:pgSz w:w="12250" w:h="15850"/>
          <w:pgMar w:footer="0" w:header="0" w:top="1500" w:bottom="280" w:left="1020" w:right="1060"/>
        </w:sectPr>
      </w:pPr>
    </w:p>
    <w:p>
      <w:pPr>
        <w:pStyle w:val="ListParagraph"/>
        <w:numPr>
          <w:ilvl w:val="0"/>
          <w:numId w:val="73"/>
        </w:numPr>
        <w:tabs>
          <w:tab w:pos="823" w:val="left" w:leader="none"/>
        </w:tabs>
        <w:spacing w:line="240" w:lineRule="auto" w:before="198" w:after="0"/>
        <w:ind w:left="114" w:right="107" w:firstLine="0"/>
        <w:jc w:val="both"/>
        <w:rPr>
          <w:sz w:val="20"/>
        </w:rPr>
      </w:pPr>
      <w:r>
        <w:rPr>
          <w:sz w:val="20"/>
        </w:rPr>
        <w:t>Debo señalar con preocupación, que, desde la perspectiva del precedente jurisprudencial, parece abrirse una excepción o por lo menos un motivo de dilación frente a las obligaciones estatales en relación con a los comunidades indígenas y tribales de nuestros países. Por supuesto, un</w:t>
      </w:r>
      <w:r>
        <w:rPr>
          <w:spacing w:val="-13"/>
          <w:sz w:val="20"/>
        </w:rPr>
        <w:t> </w:t>
      </w:r>
      <w:r>
        <w:rPr>
          <w:sz w:val="20"/>
        </w:rPr>
        <w:t>tema</w:t>
      </w:r>
      <w:r>
        <w:rPr>
          <w:spacing w:val="-13"/>
          <w:sz w:val="20"/>
        </w:rPr>
        <w:t> </w:t>
      </w:r>
      <w:r>
        <w:rPr>
          <w:sz w:val="20"/>
        </w:rPr>
        <w:t>aparte</w:t>
      </w:r>
      <w:r>
        <w:rPr>
          <w:spacing w:val="-12"/>
          <w:sz w:val="20"/>
        </w:rPr>
        <w:t> </w:t>
      </w:r>
      <w:r>
        <w:rPr>
          <w:sz w:val="20"/>
        </w:rPr>
        <w:t>es</w:t>
      </w:r>
      <w:r>
        <w:rPr>
          <w:spacing w:val="-11"/>
          <w:sz w:val="20"/>
        </w:rPr>
        <w:t> </w:t>
      </w:r>
      <w:r>
        <w:rPr>
          <w:sz w:val="20"/>
        </w:rPr>
        <w:t>la</w:t>
      </w:r>
      <w:r>
        <w:rPr>
          <w:spacing w:val="-12"/>
          <w:sz w:val="20"/>
        </w:rPr>
        <w:t> </w:t>
      </w:r>
      <w:r>
        <w:rPr>
          <w:sz w:val="20"/>
        </w:rPr>
        <w:t>conveniencia</w:t>
      </w:r>
      <w:r>
        <w:rPr>
          <w:spacing w:val="-13"/>
          <w:sz w:val="20"/>
        </w:rPr>
        <w:t> </w:t>
      </w:r>
      <w:r>
        <w:rPr>
          <w:sz w:val="20"/>
        </w:rPr>
        <w:t>de</w:t>
      </w:r>
      <w:r>
        <w:rPr>
          <w:spacing w:val="-11"/>
          <w:sz w:val="20"/>
        </w:rPr>
        <w:t> </w:t>
      </w:r>
      <w:r>
        <w:rPr>
          <w:sz w:val="20"/>
        </w:rPr>
        <w:t>la</w:t>
      </w:r>
      <w:r>
        <w:rPr>
          <w:spacing w:val="-12"/>
          <w:sz w:val="20"/>
        </w:rPr>
        <w:t> </w:t>
      </w:r>
      <w:r>
        <w:rPr>
          <w:sz w:val="20"/>
        </w:rPr>
        <w:t>adopción</w:t>
      </w:r>
      <w:r>
        <w:rPr>
          <w:spacing w:val="-11"/>
          <w:sz w:val="20"/>
        </w:rPr>
        <w:t> </w:t>
      </w:r>
      <w:r>
        <w:rPr>
          <w:sz w:val="20"/>
        </w:rPr>
        <w:t>de</w:t>
      </w:r>
      <w:r>
        <w:rPr>
          <w:spacing w:val="-12"/>
          <w:sz w:val="20"/>
        </w:rPr>
        <w:t> </w:t>
      </w:r>
      <w:r>
        <w:rPr>
          <w:sz w:val="20"/>
        </w:rPr>
        <w:t>leyes</w:t>
      </w:r>
      <w:r>
        <w:rPr>
          <w:spacing w:val="-13"/>
          <w:sz w:val="20"/>
        </w:rPr>
        <w:t> </w:t>
      </w:r>
      <w:r>
        <w:rPr>
          <w:sz w:val="20"/>
        </w:rPr>
        <w:t>para</w:t>
      </w:r>
      <w:r>
        <w:rPr>
          <w:spacing w:val="-12"/>
          <w:sz w:val="20"/>
        </w:rPr>
        <w:t> </w:t>
      </w:r>
      <w:r>
        <w:rPr>
          <w:sz w:val="20"/>
        </w:rPr>
        <w:t>la</w:t>
      </w:r>
      <w:r>
        <w:rPr>
          <w:spacing w:val="-12"/>
          <w:sz w:val="20"/>
        </w:rPr>
        <w:t> </w:t>
      </w:r>
      <w:r>
        <w:rPr>
          <w:sz w:val="20"/>
        </w:rPr>
        <w:t>protección.</w:t>
      </w:r>
      <w:r>
        <w:rPr>
          <w:spacing w:val="-11"/>
          <w:sz w:val="20"/>
        </w:rPr>
        <w:t> </w:t>
      </w:r>
      <w:r>
        <w:rPr>
          <w:sz w:val="20"/>
        </w:rPr>
        <w:t>Sin</w:t>
      </w:r>
      <w:r>
        <w:rPr>
          <w:spacing w:val="-13"/>
          <w:sz w:val="20"/>
        </w:rPr>
        <w:t> </w:t>
      </w:r>
      <w:r>
        <w:rPr>
          <w:sz w:val="20"/>
        </w:rPr>
        <w:t>duda,</w:t>
      </w:r>
      <w:r>
        <w:rPr>
          <w:spacing w:val="-13"/>
          <w:sz w:val="20"/>
        </w:rPr>
        <w:t> </w:t>
      </w:r>
      <w:r>
        <w:rPr>
          <w:sz w:val="20"/>
        </w:rPr>
        <w:t>es</w:t>
      </w:r>
      <w:r>
        <w:rPr>
          <w:spacing w:val="-11"/>
          <w:sz w:val="20"/>
        </w:rPr>
        <w:t> </w:t>
      </w:r>
      <w:r>
        <w:rPr>
          <w:sz w:val="20"/>
        </w:rPr>
        <w:t>deseable y</w:t>
      </w:r>
      <w:r>
        <w:rPr>
          <w:spacing w:val="-3"/>
          <w:sz w:val="20"/>
        </w:rPr>
        <w:t> </w:t>
      </w:r>
      <w:r>
        <w:rPr>
          <w:sz w:val="20"/>
        </w:rPr>
        <w:t>oportuno</w:t>
      </w:r>
      <w:r>
        <w:rPr>
          <w:spacing w:val="-6"/>
          <w:sz w:val="20"/>
        </w:rPr>
        <w:t> </w:t>
      </w:r>
      <w:r>
        <w:rPr>
          <w:sz w:val="20"/>
        </w:rPr>
        <w:t>que</w:t>
      </w:r>
      <w:r>
        <w:rPr>
          <w:spacing w:val="-5"/>
          <w:sz w:val="20"/>
        </w:rPr>
        <w:t> </w:t>
      </w:r>
      <w:r>
        <w:rPr>
          <w:sz w:val="20"/>
        </w:rPr>
        <w:t>haya</w:t>
      </w:r>
      <w:r>
        <w:rPr>
          <w:spacing w:val="-5"/>
          <w:sz w:val="20"/>
        </w:rPr>
        <w:t> </w:t>
      </w:r>
      <w:r>
        <w:rPr>
          <w:sz w:val="20"/>
        </w:rPr>
        <w:t>desarrollos</w:t>
      </w:r>
      <w:r>
        <w:rPr>
          <w:spacing w:val="-5"/>
          <w:sz w:val="20"/>
        </w:rPr>
        <w:t> </w:t>
      </w:r>
      <w:r>
        <w:rPr>
          <w:sz w:val="20"/>
        </w:rPr>
        <w:t>normativos</w:t>
      </w:r>
      <w:r>
        <w:rPr>
          <w:spacing w:val="-4"/>
          <w:sz w:val="20"/>
        </w:rPr>
        <w:t> </w:t>
      </w:r>
      <w:r>
        <w:rPr>
          <w:sz w:val="20"/>
        </w:rPr>
        <w:t>de</w:t>
      </w:r>
      <w:r>
        <w:rPr>
          <w:spacing w:val="-4"/>
          <w:sz w:val="20"/>
        </w:rPr>
        <w:t> </w:t>
      </w:r>
      <w:r>
        <w:rPr>
          <w:sz w:val="20"/>
        </w:rPr>
        <w:t>protección</w:t>
      </w:r>
      <w:r>
        <w:rPr>
          <w:spacing w:val="-5"/>
          <w:sz w:val="20"/>
        </w:rPr>
        <w:t> </w:t>
      </w:r>
      <w:r>
        <w:rPr>
          <w:sz w:val="20"/>
        </w:rPr>
        <w:t>de</w:t>
      </w:r>
      <w:r>
        <w:rPr>
          <w:spacing w:val="-4"/>
          <w:sz w:val="20"/>
        </w:rPr>
        <w:t> </w:t>
      </w:r>
      <w:r>
        <w:rPr>
          <w:sz w:val="20"/>
        </w:rPr>
        <w:t>derecho,</w:t>
      </w:r>
      <w:r>
        <w:rPr>
          <w:spacing w:val="-3"/>
          <w:sz w:val="20"/>
        </w:rPr>
        <w:t> </w:t>
      </w:r>
      <w:r>
        <w:rPr>
          <w:sz w:val="20"/>
        </w:rPr>
        <w:t>pero</w:t>
      </w:r>
      <w:r>
        <w:rPr>
          <w:spacing w:val="-5"/>
          <w:sz w:val="20"/>
        </w:rPr>
        <w:t> </w:t>
      </w:r>
      <w:r>
        <w:rPr>
          <w:sz w:val="20"/>
        </w:rPr>
        <w:t>de</w:t>
      </w:r>
      <w:r>
        <w:rPr>
          <w:spacing w:val="-5"/>
          <w:sz w:val="20"/>
        </w:rPr>
        <w:t> </w:t>
      </w:r>
      <w:r>
        <w:rPr>
          <w:sz w:val="20"/>
        </w:rPr>
        <w:t>ninguna</w:t>
      </w:r>
      <w:r>
        <w:rPr>
          <w:spacing w:val="-3"/>
          <w:sz w:val="20"/>
        </w:rPr>
        <w:t> </w:t>
      </w:r>
      <w:r>
        <w:rPr>
          <w:sz w:val="20"/>
        </w:rPr>
        <w:t>manera</w:t>
      </w:r>
      <w:r>
        <w:rPr>
          <w:spacing w:val="-4"/>
          <w:sz w:val="20"/>
        </w:rPr>
        <w:t> </w:t>
      </w:r>
      <w:r>
        <w:rPr>
          <w:sz w:val="20"/>
        </w:rPr>
        <w:t>se puede esperar a que exista esta estructura o arquitectura jurídica para que los derechos humanos sean efectivos a nivel</w:t>
      </w:r>
      <w:r>
        <w:rPr>
          <w:spacing w:val="-9"/>
          <w:sz w:val="20"/>
        </w:rPr>
        <w:t> </w:t>
      </w:r>
      <w:r>
        <w:rPr>
          <w:sz w:val="20"/>
        </w:rPr>
        <w:t>interno.</w:t>
      </w:r>
    </w:p>
    <w:p>
      <w:pPr>
        <w:pStyle w:val="BodyText"/>
        <w:rPr>
          <w:sz w:val="24"/>
        </w:rPr>
      </w:pPr>
    </w:p>
    <w:p>
      <w:pPr>
        <w:pStyle w:val="Heading3"/>
        <w:numPr>
          <w:ilvl w:val="0"/>
          <w:numId w:val="74"/>
        </w:numPr>
        <w:tabs>
          <w:tab w:pos="501" w:val="left" w:leader="none"/>
        </w:tabs>
        <w:spacing w:line="240" w:lineRule="auto" w:before="194" w:after="0"/>
        <w:ind w:left="114" w:right="111" w:firstLine="0"/>
        <w:jc w:val="both"/>
      </w:pPr>
      <w:r>
        <w:rPr/>
        <w:t>Inconvenientes en la supervisión de cumplimiento relativos a la periodicidad y pormenorización de la medida de reparación sobre la restitución de las</w:t>
      </w:r>
      <w:r>
        <w:rPr>
          <w:spacing w:val="-28"/>
        </w:rPr>
        <w:t> </w:t>
      </w:r>
      <w:r>
        <w:rPr/>
        <w:t>tierras</w:t>
      </w:r>
    </w:p>
    <w:p>
      <w:pPr>
        <w:pStyle w:val="BodyText"/>
        <w:spacing w:before="11"/>
        <w:rPr>
          <w:b/>
          <w:sz w:val="19"/>
        </w:rPr>
      </w:pPr>
    </w:p>
    <w:p>
      <w:pPr>
        <w:pStyle w:val="ListParagraph"/>
        <w:numPr>
          <w:ilvl w:val="0"/>
          <w:numId w:val="73"/>
        </w:numPr>
        <w:tabs>
          <w:tab w:pos="823" w:val="left" w:leader="none"/>
        </w:tabs>
        <w:spacing w:line="240" w:lineRule="auto" w:before="0" w:after="0"/>
        <w:ind w:left="114" w:right="110" w:firstLine="0"/>
        <w:jc w:val="both"/>
        <w:rPr>
          <w:sz w:val="20"/>
        </w:rPr>
      </w:pPr>
      <w:r>
        <w:rPr>
          <w:sz w:val="20"/>
        </w:rPr>
        <w:t>Finalmente, pero no menos importante, quisiera referirme a los inconvenientes que genera el</w:t>
      </w:r>
      <w:r>
        <w:rPr>
          <w:spacing w:val="-7"/>
          <w:sz w:val="20"/>
        </w:rPr>
        <w:t> </w:t>
      </w:r>
      <w:r>
        <w:rPr>
          <w:sz w:val="20"/>
        </w:rPr>
        <w:t>Punto</w:t>
      </w:r>
      <w:r>
        <w:rPr>
          <w:spacing w:val="-8"/>
          <w:sz w:val="20"/>
        </w:rPr>
        <w:t> </w:t>
      </w:r>
      <w:r>
        <w:rPr>
          <w:sz w:val="20"/>
        </w:rPr>
        <w:t>Resolutivo</w:t>
      </w:r>
      <w:r>
        <w:rPr>
          <w:spacing w:val="-7"/>
          <w:sz w:val="20"/>
        </w:rPr>
        <w:t> </w:t>
      </w:r>
      <w:r>
        <w:rPr>
          <w:sz w:val="20"/>
        </w:rPr>
        <w:t>17</w:t>
      </w:r>
      <w:r>
        <w:rPr>
          <w:spacing w:val="-9"/>
          <w:sz w:val="20"/>
        </w:rPr>
        <w:t> </w:t>
      </w:r>
      <w:r>
        <w:rPr>
          <w:sz w:val="20"/>
        </w:rPr>
        <w:t>que</w:t>
      </w:r>
      <w:r>
        <w:rPr>
          <w:spacing w:val="-6"/>
          <w:sz w:val="20"/>
        </w:rPr>
        <w:t> </w:t>
      </w:r>
      <w:r>
        <w:rPr>
          <w:sz w:val="20"/>
        </w:rPr>
        <w:t>impone</w:t>
      </w:r>
      <w:r>
        <w:rPr>
          <w:spacing w:val="-8"/>
          <w:sz w:val="20"/>
        </w:rPr>
        <w:t> </w:t>
      </w:r>
      <w:r>
        <w:rPr>
          <w:sz w:val="20"/>
        </w:rPr>
        <w:t>al</w:t>
      </w:r>
      <w:r>
        <w:rPr>
          <w:spacing w:val="-7"/>
          <w:sz w:val="20"/>
        </w:rPr>
        <w:t> </w:t>
      </w:r>
      <w:r>
        <w:rPr>
          <w:sz w:val="20"/>
        </w:rPr>
        <w:t>Estado</w:t>
      </w:r>
      <w:r>
        <w:rPr>
          <w:spacing w:val="-8"/>
          <w:sz w:val="20"/>
        </w:rPr>
        <w:t> </w:t>
      </w:r>
      <w:r>
        <w:rPr>
          <w:sz w:val="20"/>
        </w:rPr>
        <w:t>la</w:t>
      </w:r>
      <w:r>
        <w:rPr>
          <w:spacing w:val="-9"/>
          <w:sz w:val="20"/>
        </w:rPr>
        <w:t> </w:t>
      </w:r>
      <w:r>
        <w:rPr>
          <w:sz w:val="20"/>
        </w:rPr>
        <w:t>obligación</w:t>
      </w:r>
      <w:r>
        <w:rPr>
          <w:spacing w:val="-8"/>
          <w:sz w:val="20"/>
        </w:rPr>
        <w:t> </w:t>
      </w:r>
      <w:r>
        <w:rPr>
          <w:sz w:val="20"/>
        </w:rPr>
        <w:t>de</w:t>
      </w:r>
      <w:r>
        <w:rPr>
          <w:spacing w:val="-6"/>
          <w:sz w:val="20"/>
        </w:rPr>
        <w:t> </w:t>
      </w:r>
      <w:r>
        <w:rPr>
          <w:sz w:val="20"/>
        </w:rPr>
        <w:t>presentar</w:t>
      </w:r>
      <w:r>
        <w:rPr>
          <w:spacing w:val="-7"/>
          <w:sz w:val="20"/>
        </w:rPr>
        <w:t> </w:t>
      </w:r>
      <w:r>
        <w:rPr>
          <w:sz w:val="20"/>
        </w:rPr>
        <w:t>informes</w:t>
      </w:r>
      <w:r>
        <w:rPr>
          <w:spacing w:val="-7"/>
          <w:sz w:val="20"/>
        </w:rPr>
        <w:t> </w:t>
      </w:r>
      <w:r>
        <w:rPr>
          <w:sz w:val="20"/>
        </w:rPr>
        <w:t>semestrales</w:t>
      </w:r>
      <w:r>
        <w:rPr>
          <w:spacing w:val="-8"/>
          <w:sz w:val="20"/>
        </w:rPr>
        <w:t> </w:t>
      </w:r>
      <w:r>
        <w:rPr>
          <w:sz w:val="20"/>
        </w:rPr>
        <w:t>sobre el cumplimiento de la medida de reparación relativa a la restitución de tierras. Es decir, sobre el deber estatal de “adoptar y concluir las acciones necesarias, sean estas legislativas, administrativas, judiciales, registrales, notariales o de cualquier otro tipo, a fin de delimitar, demarcar y otorgar un título colectivo que reconozca la propiedad de todas las comunidades indígenas víctimas sobre su</w:t>
      </w:r>
      <w:r>
        <w:rPr>
          <w:spacing w:val="-9"/>
          <w:sz w:val="20"/>
        </w:rPr>
        <w:t> </w:t>
      </w:r>
      <w:r>
        <w:rPr>
          <w:sz w:val="20"/>
        </w:rPr>
        <w:t>territorio”</w:t>
      </w:r>
      <w:r>
        <w:rPr>
          <w:position w:val="6"/>
          <w:sz w:val="10"/>
        </w:rPr>
        <w:t>25</w:t>
      </w:r>
      <w:r>
        <w:rPr>
          <w:sz w:val="20"/>
        </w:rPr>
        <w:t>.</w:t>
      </w:r>
    </w:p>
    <w:p>
      <w:pPr>
        <w:pStyle w:val="BodyText"/>
        <w:spacing w:before="11"/>
        <w:rPr>
          <w:sz w:val="19"/>
        </w:rPr>
      </w:pPr>
    </w:p>
    <w:p>
      <w:pPr>
        <w:pStyle w:val="ListParagraph"/>
        <w:numPr>
          <w:ilvl w:val="0"/>
          <w:numId w:val="73"/>
        </w:numPr>
        <w:tabs>
          <w:tab w:pos="823" w:val="left" w:leader="none"/>
        </w:tabs>
        <w:spacing w:line="240" w:lineRule="auto" w:before="0" w:after="0"/>
        <w:ind w:left="114" w:right="107" w:firstLine="0"/>
        <w:jc w:val="both"/>
        <w:rPr>
          <w:sz w:val="20"/>
        </w:rPr>
      </w:pPr>
      <w:r>
        <w:rPr>
          <w:sz w:val="20"/>
        </w:rPr>
        <w:t>En primera línea debo señalar que no soy contrario a la adopción de dicha medida de reparación, ya que considero que en el caso existió una violación al artículo 21 de la Convención. No</w:t>
      </w:r>
      <w:r>
        <w:rPr>
          <w:spacing w:val="-5"/>
          <w:sz w:val="20"/>
        </w:rPr>
        <w:t> </w:t>
      </w:r>
      <w:r>
        <w:rPr>
          <w:sz w:val="20"/>
        </w:rPr>
        <w:t>obstante,</w:t>
      </w:r>
      <w:r>
        <w:rPr>
          <w:spacing w:val="-4"/>
          <w:sz w:val="20"/>
        </w:rPr>
        <w:t> </w:t>
      </w:r>
      <w:r>
        <w:rPr>
          <w:sz w:val="20"/>
        </w:rPr>
        <w:t>creo</w:t>
      </w:r>
      <w:r>
        <w:rPr>
          <w:spacing w:val="-6"/>
          <w:sz w:val="20"/>
        </w:rPr>
        <w:t> </w:t>
      </w:r>
      <w:r>
        <w:rPr>
          <w:sz w:val="20"/>
        </w:rPr>
        <w:t>que</w:t>
      </w:r>
      <w:r>
        <w:rPr>
          <w:spacing w:val="-5"/>
          <w:sz w:val="20"/>
        </w:rPr>
        <w:t> </w:t>
      </w:r>
      <w:r>
        <w:rPr>
          <w:sz w:val="20"/>
        </w:rPr>
        <w:t>los</w:t>
      </w:r>
      <w:r>
        <w:rPr>
          <w:spacing w:val="-5"/>
          <w:sz w:val="20"/>
        </w:rPr>
        <w:t> </w:t>
      </w:r>
      <w:r>
        <w:rPr>
          <w:sz w:val="20"/>
        </w:rPr>
        <w:t>criterios</w:t>
      </w:r>
      <w:r>
        <w:rPr>
          <w:spacing w:val="-7"/>
          <w:sz w:val="20"/>
        </w:rPr>
        <w:t> </w:t>
      </w:r>
      <w:r>
        <w:rPr>
          <w:sz w:val="20"/>
        </w:rPr>
        <w:t>con</w:t>
      </w:r>
      <w:r>
        <w:rPr>
          <w:spacing w:val="-5"/>
          <w:sz w:val="20"/>
        </w:rPr>
        <w:t> </w:t>
      </w:r>
      <w:r>
        <w:rPr>
          <w:sz w:val="20"/>
        </w:rPr>
        <w:t>base</w:t>
      </w:r>
      <w:r>
        <w:rPr>
          <w:spacing w:val="-6"/>
          <w:sz w:val="20"/>
        </w:rPr>
        <w:t> </w:t>
      </w:r>
      <w:r>
        <w:rPr>
          <w:sz w:val="20"/>
        </w:rPr>
        <w:t>en</w:t>
      </w:r>
      <w:r>
        <w:rPr>
          <w:spacing w:val="-5"/>
          <w:sz w:val="20"/>
        </w:rPr>
        <w:t> </w:t>
      </w:r>
      <w:r>
        <w:rPr>
          <w:sz w:val="20"/>
        </w:rPr>
        <w:t>los</w:t>
      </w:r>
      <w:r>
        <w:rPr>
          <w:spacing w:val="-6"/>
          <w:sz w:val="20"/>
        </w:rPr>
        <w:t> </w:t>
      </w:r>
      <w:r>
        <w:rPr>
          <w:sz w:val="20"/>
        </w:rPr>
        <w:t>cuales</w:t>
      </w:r>
      <w:r>
        <w:rPr>
          <w:spacing w:val="-6"/>
          <w:sz w:val="20"/>
        </w:rPr>
        <w:t> </w:t>
      </w:r>
      <w:r>
        <w:rPr>
          <w:sz w:val="20"/>
        </w:rPr>
        <w:t>se</w:t>
      </w:r>
      <w:r>
        <w:rPr>
          <w:spacing w:val="-5"/>
          <w:sz w:val="20"/>
        </w:rPr>
        <w:t> </w:t>
      </w:r>
      <w:r>
        <w:rPr>
          <w:sz w:val="20"/>
        </w:rPr>
        <w:t>pretende</w:t>
      </w:r>
      <w:r>
        <w:rPr>
          <w:spacing w:val="-5"/>
          <w:sz w:val="20"/>
        </w:rPr>
        <w:t> </w:t>
      </w:r>
      <w:r>
        <w:rPr>
          <w:sz w:val="20"/>
        </w:rPr>
        <w:t>adelantar</w:t>
      </w:r>
      <w:r>
        <w:rPr>
          <w:spacing w:val="-6"/>
          <w:sz w:val="20"/>
        </w:rPr>
        <w:t> </w:t>
      </w:r>
      <w:r>
        <w:rPr>
          <w:sz w:val="20"/>
        </w:rPr>
        <w:t>su</w:t>
      </w:r>
      <w:r>
        <w:rPr>
          <w:spacing w:val="-4"/>
          <w:sz w:val="20"/>
        </w:rPr>
        <w:t> </w:t>
      </w:r>
      <w:r>
        <w:rPr>
          <w:sz w:val="20"/>
        </w:rPr>
        <w:t>supervisión</w:t>
      </w:r>
      <w:r>
        <w:rPr>
          <w:spacing w:val="-4"/>
          <w:sz w:val="20"/>
        </w:rPr>
        <w:t> </w:t>
      </w:r>
      <w:r>
        <w:rPr>
          <w:sz w:val="20"/>
        </w:rPr>
        <w:t>son desproporcionados, en términos generales mi oposición se sustenta en la forma en que recientemente el Tribunal está realizando la supervisión de cumplimiento de sus Sentencias, mediante actividades que en virtud del principio de complementariedad, no le corresponden. En el presente caso la Corte determinó que “fiscalizará” de manera pormenorizada y en periodos extremadamente</w:t>
      </w:r>
      <w:r>
        <w:rPr>
          <w:spacing w:val="-18"/>
          <w:sz w:val="20"/>
        </w:rPr>
        <w:t> </w:t>
      </w:r>
      <w:r>
        <w:rPr>
          <w:sz w:val="20"/>
        </w:rPr>
        <w:t>cortos,</w:t>
      </w:r>
      <w:r>
        <w:rPr>
          <w:spacing w:val="-17"/>
          <w:sz w:val="20"/>
        </w:rPr>
        <w:t> </w:t>
      </w:r>
      <w:r>
        <w:rPr>
          <w:sz w:val="20"/>
        </w:rPr>
        <w:t>cada</w:t>
      </w:r>
      <w:r>
        <w:rPr>
          <w:spacing w:val="-20"/>
          <w:sz w:val="20"/>
        </w:rPr>
        <w:t> </w:t>
      </w:r>
      <w:r>
        <w:rPr>
          <w:sz w:val="20"/>
        </w:rPr>
        <w:t>seis</w:t>
      </w:r>
      <w:r>
        <w:rPr>
          <w:spacing w:val="-19"/>
          <w:sz w:val="20"/>
        </w:rPr>
        <w:t> </w:t>
      </w:r>
      <w:r>
        <w:rPr>
          <w:sz w:val="20"/>
        </w:rPr>
        <w:t>meses,</w:t>
      </w:r>
      <w:r>
        <w:rPr>
          <w:spacing w:val="-18"/>
          <w:sz w:val="20"/>
        </w:rPr>
        <w:t> </w:t>
      </w:r>
      <w:r>
        <w:rPr>
          <w:sz w:val="20"/>
        </w:rPr>
        <w:t>el</w:t>
      </w:r>
      <w:r>
        <w:rPr>
          <w:spacing w:val="-18"/>
          <w:sz w:val="20"/>
        </w:rPr>
        <w:t> </w:t>
      </w:r>
      <w:r>
        <w:rPr>
          <w:sz w:val="20"/>
        </w:rPr>
        <w:t>cumplimiento</w:t>
      </w:r>
      <w:r>
        <w:rPr>
          <w:spacing w:val="-21"/>
          <w:sz w:val="20"/>
        </w:rPr>
        <w:t> </w:t>
      </w:r>
      <w:r>
        <w:rPr>
          <w:sz w:val="20"/>
        </w:rPr>
        <w:t>de</w:t>
      </w:r>
      <w:r>
        <w:rPr>
          <w:spacing w:val="-18"/>
          <w:sz w:val="20"/>
        </w:rPr>
        <w:t> </w:t>
      </w:r>
      <w:r>
        <w:rPr>
          <w:sz w:val="20"/>
        </w:rPr>
        <w:t>esta</w:t>
      </w:r>
      <w:r>
        <w:rPr>
          <w:spacing w:val="-18"/>
          <w:sz w:val="20"/>
        </w:rPr>
        <w:t> </w:t>
      </w:r>
      <w:r>
        <w:rPr>
          <w:sz w:val="20"/>
        </w:rPr>
        <w:t>medida</w:t>
      </w:r>
      <w:r>
        <w:rPr>
          <w:spacing w:val="-18"/>
          <w:sz w:val="20"/>
        </w:rPr>
        <w:t> </w:t>
      </w:r>
      <w:r>
        <w:rPr>
          <w:sz w:val="20"/>
        </w:rPr>
        <w:t>de</w:t>
      </w:r>
      <w:r>
        <w:rPr>
          <w:spacing w:val="-17"/>
          <w:sz w:val="20"/>
        </w:rPr>
        <w:t> </w:t>
      </w:r>
      <w:r>
        <w:rPr>
          <w:sz w:val="20"/>
        </w:rPr>
        <w:t>reparación.</w:t>
      </w:r>
      <w:r>
        <w:rPr>
          <w:spacing w:val="-17"/>
          <w:sz w:val="20"/>
        </w:rPr>
        <w:t> </w:t>
      </w:r>
      <w:r>
        <w:rPr>
          <w:sz w:val="20"/>
        </w:rPr>
        <w:t>Considero que con estos propósitos la Corte se perderá entre planes de acción, actividades concretas y objetivos a corto, mediano y largo plazo. Todas sí, actividades absolutamente necesarias para garantizar la efectividad de los derechos, pero que no requieren la supraviligencia directa de un tribunal, menos aún uno internacional. En definitiva, con esta medida se está tejiendo una hebra más que podría hacer inoperable los buenos propositos que persigue la</w:t>
      </w:r>
      <w:r>
        <w:rPr>
          <w:spacing w:val="-17"/>
          <w:sz w:val="20"/>
        </w:rPr>
        <w:t> </w:t>
      </w:r>
      <w:r>
        <w:rPr>
          <w:sz w:val="20"/>
        </w:rPr>
        <w:t>sentencia.</w:t>
      </w:r>
    </w:p>
    <w:p>
      <w:pPr>
        <w:pStyle w:val="BodyText"/>
        <w:spacing w:before="11"/>
        <w:rPr>
          <w:sz w:val="19"/>
        </w:rPr>
      </w:pPr>
    </w:p>
    <w:p>
      <w:pPr>
        <w:pStyle w:val="ListParagraph"/>
        <w:numPr>
          <w:ilvl w:val="0"/>
          <w:numId w:val="73"/>
        </w:numPr>
        <w:tabs>
          <w:tab w:pos="823" w:val="left" w:leader="none"/>
        </w:tabs>
        <w:spacing w:line="240" w:lineRule="auto" w:before="0" w:after="0"/>
        <w:ind w:left="114" w:right="108" w:firstLine="0"/>
        <w:jc w:val="both"/>
        <w:rPr>
          <w:sz w:val="20"/>
        </w:rPr>
      </w:pPr>
      <w:r>
        <w:rPr>
          <w:sz w:val="20"/>
        </w:rPr>
        <w:t>Adicionalmente debo señalar, que no queda claro el grado de responabilidad, ni de especificidad</w:t>
      </w:r>
      <w:r>
        <w:rPr>
          <w:spacing w:val="-10"/>
          <w:sz w:val="20"/>
        </w:rPr>
        <w:t> </w:t>
      </w:r>
      <w:r>
        <w:rPr>
          <w:sz w:val="20"/>
        </w:rPr>
        <w:t>que</w:t>
      </w:r>
      <w:r>
        <w:rPr>
          <w:spacing w:val="-12"/>
          <w:sz w:val="20"/>
        </w:rPr>
        <w:t> </w:t>
      </w:r>
      <w:r>
        <w:rPr>
          <w:sz w:val="20"/>
        </w:rPr>
        <w:t>tendrá</w:t>
      </w:r>
      <w:r>
        <w:rPr>
          <w:spacing w:val="-11"/>
          <w:sz w:val="20"/>
        </w:rPr>
        <w:t> </w:t>
      </w:r>
      <w:r>
        <w:rPr>
          <w:sz w:val="20"/>
        </w:rPr>
        <w:t>la</w:t>
      </w:r>
      <w:r>
        <w:rPr>
          <w:spacing w:val="-12"/>
          <w:sz w:val="20"/>
        </w:rPr>
        <w:t> </w:t>
      </w:r>
      <w:r>
        <w:rPr>
          <w:sz w:val="20"/>
        </w:rPr>
        <w:t>Corte</w:t>
      </w:r>
      <w:r>
        <w:rPr>
          <w:spacing w:val="-11"/>
          <w:sz w:val="20"/>
        </w:rPr>
        <w:t> </w:t>
      </w:r>
      <w:r>
        <w:rPr>
          <w:sz w:val="20"/>
        </w:rPr>
        <w:t>a</w:t>
      </w:r>
      <w:r>
        <w:rPr>
          <w:spacing w:val="-13"/>
          <w:sz w:val="20"/>
        </w:rPr>
        <w:t> </w:t>
      </w:r>
      <w:r>
        <w:rPr>
          <w:sz w:val="20"/>
        </w:rPr>
        <w:t>la</w:t>
      </w:r>
      <w:r>
        <w:rPr>
          <w:spacing w:val="-12"/>
          <w:sz w:val="20"/>
        </w:rPr>
        <w:t> </w:t>
      </w:r>
      <w:r>
        <w:rPr>
          <w:sz w:val="20"/>
        </w:rPr>
        <w:t>hora</w:t>
      </w:r>
      <w:r>
        <w:rPr>
          <w:spacing w:val="-11"/>
          <w:sz w:val="20"/>
        </w:rPr>
        <w:t> </w:t>
      </w:r>
      <w:r>
        <w:rPr>
          <w:sz w:val="20"/>
        </w:rPr>
        <w:t>de</w:t>
      </w:r>
      <w:r>
        <w:rPr>
          <w:spacing w:val="-11"/>
          <w:sz w:val="20"/>
        </w:rPr>
        <w:t> </w:t>
      </w:r>
      <w:r>
        <w:rPr>
          <w:sz w:val="20"/>
        </w:rPr>
        <w:t>supervisar</w:t>
      </w:r>
      <w:r>
        <w:rPr>
          <w:spacing w:val="-12"/>
          <w:sz w:val="20"/>
        </w:rPr>
        <w:t> </w:t>
      </w:r>
      <w:r>
        <w:rPr>
          <w:sz w:val="20"/>
        </w:rPr>
        <w:t>esta</w:t>
      </w:r>
      <w:r>
        <w:rPr>
          <w:spacing w:val="-11"/>
          <w:sz w:val="20"/>
        </w:rPr>
        <w:t> </w:t>
      </w:r>
      <w:r>
        <w:rPr>
          <w:sz w:val="20"/>
        </w:rPr>
        <w:t>medida.</w:t>
      </w:r>
      <w:r>
        <w:rPr>
          <w:spacing w:val="-11"/>
          <w:sz w:val="20"/>
        </w:rPr>
        <w:t> </w:t>
      </w:r>
      <w:r>
        <w:rPr>
          <w:sz w:val="20"/>
        </w:rPr>
        <w:t>Es</w:t>
      </w:r>
      <w:r>
        <w:rPr>
          <w:spacing w:val="-11"/>
          <w:sz w:val="20"/>
        </w:rPr>
        <w:t> </w:t>
      </w:r>
      <w:r>
        <w:rPr>
          <w:sz w:val="20"/>
        </w:rPr>
        <w:t>decir,</w:t>
      </w:r>
      <w:r>
        <w:rPr>
          <w:spacing w:val="-12"/>
          <w:sz w:val="20"/>
        </w:rPr>
        <w:t> </w:t>
      </w:r>
      <w:r>
        <w:rPr>
          <w:sz w:val="20"/>
        </w:rPr>
        <w:t>¿será</w:t>
      </w:r>
      <w:r>
        <w:rPr>
          <w:spacing w:val="-12"/>
          <w:sz w:val="20"/>
        </w:rPr>
        <w:t> </w:t>
      </w:r>
      <w:r>
        <w:rPr>
          <w:sz w:val="20"/>
        </w:rPr>
        <w:t>la</w:t>
      </w:r>
      <w:r>
        <w:rPr>
          <w:spacing w:val="-12"/>
          <w:sz w:val="20"/>
        </w:rPr>
        <w:t> </w:t>
      </w:r>
      <w:r>
        <w:rPr>
          <w:sz w:val="20"/>
        </w:rPr>
        <w:t>Corte</w:t>
      </w:r>
      <w:r>
        <w:rPr>
          <w:spacing w:val="-12"/>
          <w:sz w:val="20"/>
        </w:rPr>
        <w:t> </w:t>
      </w:r>
      <w:r>
        <w:rPr>
          <w:sz w:val="20"/>
        </w:rPr>
        <w:t>quién apruebe los planes específicos? ¿cada seis meses el Tribunal emitirá una nueva Resolución de supervisión</w:t>
      </w:r>
      <w:r>
        <w:rPr>
          <w:spacing w:val="-13"/>
          <w:sz w:val="20"/>
        </w:rPr>
        <w:t> </w:t>
      </w:r>
      <w:r>
        <w:rPr>
          <w:sz w:val="20"/>
        </w:rPr>
        <w:t>de</w:t>
      </w:r>
      <w:r>
        <w:rPr>
          <w:spacing w:val="-11"/>
          <w:sz w:val="20"/>
        </w:rPr>
        <w:t> </w:t>
      </w:r>
      <w:r>
        <w:rPr>
          <w:sz w:val="20"/>
        </w:rPr>
        <w:t>cumplimiento</w:t>
      </w:r>
      <w:r>
        <w:rPr>
          <w:spacing w:val="-11"/>
          <w:sz w:val="20"/>
        </w:rPr>
        <w:t> </w:t>
      </w:r>
      <w:r>
        <w:rPr>
          <w:sz w:val="20"/>
        </w:rPr>
        <w:t>dando</w:t>
      </w:r>
      <w:r>
        <w:rPr>
          <w:spacing w:val="-12"/>
          <w:sz w:val="20"/>
        </w:rPr>
        <w:t> </w:t>
      </w:r>
      <w:r>
        <w:rPr>
          <w:sz w:val="20"/>
        </w:rPr>
        <w:t>luz</w:t>
      </w:r>
      <w:r>
        <w:rPr>
          <w:spacing w:val="-11"/>
          <w:sz w:val="20"/>
        </w:rPr>
        <w:t> </w:t>
      </w:r>
      <w:r>
        <w:rPr>
          <w:sz w:val="20"/>
        </w:rPr>
        <w:t>verde</w:t>
      </w:r>
      <w:r>
        <w:rPr>
          <w:spacing w:val="-10"/>
          <w:sz w:val="20"/>
        </w:rPr>
        <w:t> </w:t>
      </w:r>
      <w:r>
        <w:rPr>
          <w:sz w:val="20"/>
        </w:rPr>
        <w:t>o</w:t>
      </w:r>
      <w:r>
        <w:rPr>
          <w:spacing w:val="-13"/>
          <w:sz w:val="20"/>
        </w:rPr>
        <w:t> </w:t>
      </w:r>
      <w:r>
        <w:rPr>
          <w:sz w:val="20"/>
        </w:rPr>
        <w:t>rechazando</w:t>
      </w:r>
      <w:r>
        <w:rPr>
          <w:spacing w:val="-13"/>
          <w:sz w:val="20"/>
        </w:rPr>
        <w:t> </w:t>
      </w:r>
      <w:r>
        <w:rPr>
          <w:sz w:val="20"/>
        </w:rPr>
        <w:t>las</w:t>
      </w:r>
      <w:r>
        <w:rPr>
          <w:spacing w:val="-9"/>
          <w:sz w:val="20"/>
        </w:rPr>
        <w:t> </w:t>
      </w:r>
      <w:r>
        <w:rPr>
          <w:sz w:val="20"/>
        </w:rPr>
        <w:t>acciones</w:t>
      </w:r>
      <w:r>
        <w:rPr>
          <w:spacing w:val="-11"/>
          <w:sz w:val="20"/>
        </w:rPr>
        <w:t> </w:t>
      </w:r>
      <w:r>
        <w:rPr>
          <w:sz w:val="20"/>
        </w:rPr>
        <w:t>específicas?</w:t>
      </w:r>
      <w:r>
        <w:rPr>
          <w:spacing w:val="-10"/>
          <w:sz w:val="20"/>
        </w:rPr>
        <w:t> </w:t>
      </w:r>
      <w:r>
        <w:rPr>
          <w:sz w:val="20"/>
        </w:rPr>
        <w:t>Más</w:t>
      </w:r>
      <w:r>
        <w:rPr>
          <w:spacing w:val="-12"/>
          <w:sz w:val="20"/>
        </w:rPr>
        <w:t> </w:t>
      </w:r>
      <w:r>
        <w:rPr>
          <w:sz w:val="20"/>
        </w:rPr>
        <w:t>allá</w:t>
      </w:r>
      <w:r>
        <w:rPr>
          <w:spacing w:val="-12"/>
          <w:sz w:val="20"/>
        </w:rPr>
        <w:t> </w:t>
      </w:r>
      <w:r>
        <w:rPr>
          <w:sz w:val="20"/>
        </w:rPr>
        <w:t>de</w:t>
      </w:r>
      <w:r>
        <w:rPr>
          <w:spacing w:val="-11"/>
          <w:sz w:val="20"/>
        </w:rPr>
        <w:t> </w:t>
      </w:r>
      <w:r>
        <w:rPr>
          <w:sz w:val="20"/>
        </w:rPr>
        <w:t>las limitaciones teóricas y jurídicas, que surgen de la propia letra de la Convención que establece las competencias del Tribunal y su naturaleza complementaria, se encuentran las restricciones prácticas de que en este complejo ir y venir entre el actuar estatal e internacional haga que el Tribunal se convierta en una suerte de contraloría de las actividades estatales. En sentido similar, en el </w:t>
      </w:r>
      <w:r>
        <w:rPr>
          <w:i/>
          <w:sz w:val="20"/>
        </w:rPr>
        <w:t>caso Carvajal Carvajal y otros Vs. Colombia </w:t>
      </w:r>
      <w:r>
        <w:rPr>
          <w:sz w:val="20"/>
        </w:rPr>
        <w:t>que tiene que ver con la responsabilidad internacional</w:t>
      </w:r>
      <w:r>
        <w:rPr>
          <w:spacing w:val="-17"/>
          <w:sz w:val="20"/>
        </w:rPr>
        <w:t> </w:t>
      </w:r>
      <w:r>
        <w:rPr>
          <w:sz w:val="20"/>
        </w:rPr>
        <w:t>del</w:t>
      </w:r>
      <w:r>
        <w:rPr>
          <w:spacing w:val="-18"/>
          <w:sz w:val="20"/>
        </w:rPr>
        <w:t> </w:t>
      </w:r>
      <w:r>
        <w:rPr>
          <w:sz w:val="20"/>
        </w:rPr>
        <w:t>Estado</w:t>
      </w:r>
      <w:r>
        <w:rPr>
          <w:spacing w:val="-17"/>
          <w:sz w:val="20"/>
        </w:rPr>
        <w:t> </w:t>
      </w:r>
      <w:r>
        <w:rPr>
          <w:sz w:val="20"/>
        </w:rPr>
        <w:t>por</w:t>
      </w:r>
      <w:r>
        <w:rPr>
          <w:spacing w:val="-18"/>
          <w:sz w:val="20"/>
        </w:rPr>
        <w:t> </w:t>
      </w:r>
      <w:r>
        <w:rPr>
          <w:sz w:val="20"/>
        </w:rPr>
        <w:t>la</w:t>
      </w:r>
      <w:r>
        <w:rPr>
          <w:spacing w:val="-18"/>
          <w:sz w:val="20"/>
        </w:rPr>
        <w:t> </w:t>
      </w:r>
      <w:r>
        <w:rPr>
          <w:sz w:val="20"/>
        </w:rPr>
        <w:t>violación</w:t>
      </w:r>
      <w:r>
        <w:rPr>
          <w:spacing w:val="-18"/>
          <w:sz w:val="20"/>
        </w:rPr>
        <w:t> </w:t>
      </w:r>
      <w:r>
        <w:rPr>
          <w:sz w:val="20"/>
        </w:rPr>
        <w:t>al</w:t>
      </w:r>
      <w:r>
        <w:rPr>
          <w:spacing w:val="-18"/>
          <w:sz w:val="20"/>
        </w:rPr>
        <w:t> </w:t>
      </w:r>
      <w:r>
        <w:rPr>
          <w:sz w:val="20"/>
        </w:rPr>
        <w:t>derecho</w:t>
      </w:r>
      <w:r>
        <w:rPr>
          <w:spacing w:val="-18"/>
          <w:sz w:val="20"/>
        </w:rPr>
        <w:t> </w:t>
      </w:r>
      <w:r>
        <w:rPr>
          <w:sz w:val="20"/>
        </w:rPr>
        <w:t>a</w:t>
      </w:r>
      <w:r>
        <w:rPr>
          <w:spacing w:val="-18"/>
          <w:sz w:val="20"/>
        </w:rPr>
        <w:t> </w:t>
      </w:r>
      <w:r>
        <w:rPr>
          <w:sz w:val="20"/>
        </w:rPr>
        <w:t>la</w:t>
      </w:r>
      <w:r>
        <w:rPr>
          <w:spacing w:val="-18"/>
          <w:sz w:val="20"/>
        </w:rPr>
        <w:t> </w:t>
      </w:r>
      <w:r>
        <w:rPr>
          <w:sz w:val="20"/>
        </w:rPr>
        <w:t>vida</w:t>
      </w:r>
      <w:r>
        <w:rPr>
          <w:spacing w:val="-17"/>
          <w:sz w:val="20"/>
        </w:rPr>
        <w:t> </w:t>
      </w:r>
      <w:r>
        <w:rPr>
          <w:sz w:val="20"/>
        </w:rPr>
        <w:t>y</w:t>
      </w:r>
      <w:r>
        <w:rPr>
          <w:spacing w:val="-17"/>
          <w:sz w:val="20"/>
        </w:rPr>
        <w:t> </w:t>
      </w:r>
      <w:r>
        <w:rPr>
          <w:sz w:val="20"/>
        </w:rPr>
        <w:t>libertad</w:t>
      </w:r>
      <w:r>
        <w:rPr>
          <w:spacing w:val="-16"/>
          <w:sz w:val="20"/>
        </w:rPr>
        <w:t> </w:t>
      </w:r>
      <w:r>
        <w:rPr>
          <w:sz w:val="20"/>
        </w:rPr>
        <w:t>de</w:t>
      </w:r>
      <w:r>
        <w:rPr>
          <w:spacing w:val="-18"/>
          <w:sz w:val="20"/>
        </w:rPr>
        <w:t> </w:t>
      </w:r>
      <w:r>
        <w:rPr>
          <w:sz w:val="20"/>
        </w:rPr>
        <w:t>expresión</w:t>
      </w:r>
      <w:r>
        <w:rPr>
          <w:spacing w:val="-17"/>
          <w:sz w:val="20"/>
        </w:rPr>
        <w:t> </w:t>
      </w:r>
      <w:r>
        <w:rPr>
          <w:sz w:val="20"/>
        </w:rPr>
        <w:t>de</w:t>
      </w:r>
      <w:r>
        <w:rPr>
          <w:spacing w:val="-18"/>
          <w:sz w:val="20"/>
        </w:rPr>
        <w:t> </w:t>
      </w:r>
      <w:r>
        <w:rPr>
          <w:sz w:val="20"/>
        </w:rPr>
        <w:t>un</w:t>
      </w:r>
      <w:r>
        <w:rPr>
          <w:spacing w:val="-17"/>
          <w:sz w:val="20"/>
        </w:rPr>
        <w:t> </w:t>
      </w:r>
      <w:r>
        <w:rPr>
          <w:sz w:val="20"/>
        </w:rPr>
        <w:t>periodista, la Corte ordenó sin límite temporal que el Estado remitiera los informes periódicos que envía a los organismos especializados de la OEA y de las Naciones Unidas, relacionados con las medidas implementadas para la prevención y protección de los periodistas en</w:t>
      </w:r>
      <w:r>
        <w:rPr>
          <w:spacing w:val="-19"/>
          <w:sz w:val="20"/>
        </w:rPr>
        <w:t> </w:t>
      </w:r>
      <w:r>
        <w:rPr>
          <w:sz w:val="20"/>
        </w:rPr>
        <w:t>Colombia.</w:t>
      </w:r>
    </w:p>
    <w:p>
      <w:pPr>
        <w:pStyle w:val="BodyText"/>
        <w:spacing w:before="11"/>
        <w:rPr>
          <w:sz w:val="19"/>
        </w:rPr>
      </w:pPr>
    </w:p>
    <w:p>
      <w:pPr>
        <w:pStyle w:val="ListParagraph"/>
        <w:numPr>
          <w:ilvl w:val="0"/>
          <w:numId w:val="73"/>
        </w:numPr>
        <w:tabs>
          <w:tab w:pos="823" w:val="left" w:leader="none"/>
        </w:tabs>
        <w:spacing w:line="240" w:lineRule="auto" w:before="0" w:after="0"/>
        <w:ind w:left="114" w:right="108" w:firstLine="0"/>
        <w:jc w:val="both"/>
        <w:rPr>
          <w:sz w:val="20"/>
        </w:rPr>
      </w:pPr>
      <w:r>
        <w:rPr>
          <w:sz w:val="20"/>
        </w:rPr>
        <w:t>Cabe</w:t>
      </w:r>
      <w:r>
        <w:rPr>
          <w:spacing w:val="-6"/>
          <w:sz w:val="20"/>
        </w:rPr>
        <w:t> </w:t>
      </w:r>
      <w:r>
        <w:rPr>
          <w:sz w:val="20"/>
        </w:rPr>
        <w:t>preguntarse</w:t>
      </w:r>
      <w:r>
        <w:rPr>
          <w:spacing w:val="-6"/>
          <w:sz w:val="20"/>
        </w:rPr>
        <w:t> </w:t>
      </w:r>
      <w:r>
        <w:rPr>
          <w:sz w:val="20"/>
        </w:rPr>
        <w:t>si</w:t>
      </w:r>
      <w:r>
        <w:rPr>
          <w:spacing w:val="-7"/>
          <w:sz w:val="20"/>
        </w:rPr>
        <w:t> </w:t>
      </w:r>
      <w:r>
        <w:rPr>
          <w:sz w:val="20"/>
        </w:rPr>
        <w:t>estas</w:t>
      </w:r>
      <w:r>
        <w:rPr>
          <w:spacing w:val="-6"/>
          <w:sz w:val="20"/>
        </w:rPr>
        <w:t> </w:t>
      </w:r>
      <w:r>
        <w:rPr>
          <w:sz w:val="20"/>
        </w:rPr>
        <w:t>medidas</w:t>
      </w:r>
      <w:r>
        <w:rPr>
          <w:spacing w:val="-8"/>
          <w:sz w:val="20"/>
        </w:rPr>
        <w:t> </w:t>
      </w:r>
      <w:r>
        <w:rPr>
          <w:sz w:val="20"/>
        </w:rPr>
        <w:t>no</w:t>
      </w:r>
      <w:r>
        <w:rPr>
          <w:spacing w:val="-7"/>
          <w:sz w:val="20"/>
        </w:rPr>
        <w:t> </w:t>
      </w:r>
      <w:r>
        <w:rPr>
          <w:sz w:val="20"/>
        </w:rPr>
        <w:t>están</w:t>
      </w:r>
      <w:r>
        <w:rPr>
          <w:spacing w:val="-7"/>
          <w:sz w:val="20"/>
        </w:rPr>
        <w:t> </w:t>
      </w:r>
      <w:r>
        <w:rPr>
          <w:sz w:val="20"/>
        </w:rPr>
        <w:t>siendo</w:t>
      </w:r>
      <w:r>
        <w:rPr>
          <w:spacing w:val="-6"/>
          <w:sz w:val="20"/>
        </w:rPr>
        <w:t> </w:t>
      </w:r>
      <w:r>
        <w:rPr>
          <w:sz w:val="20"/>
        </w:rPr>
        <w:t>ordenadas</w:t>
      </w:r>
      <w:r>
        <w:rPr>
          <w:spacing w:val="-6"/>
          <w:sz w:val="20"/>
        </w:rPr>
        <w:t> </w:t>
      </w:r>
      <w:r>
        <w:rPr>
          <w:sz w:val="20"/>
        </w:rPr>
        <w:t>por</w:t>
      </w:r>
      <w:r>
        <w:rPr>
          <w:spacing w:val="-8"/>
          <w:sz w:val="20"/>
        </w:rPr>
        <w:t> </w:t>
      </w:r>
      <w:r>
        <w:rPr>
          <w:sz w:val="20"/>
        </w:rPr>
        <w:t>un</w:t>
      </w:r>
      <w:r>
        <w:rPr>
          <w:spacing w:val="-8"/>
          <w:sz w:val="20"/>
        </w:rPr>
        <w:t> </w:t>
      </w:r>
      <w:r>
        <w:rPr>
          <w:sz w:val="20"/>
        </w:rPr>
        <w:t>afán</w:t>
      </w:r>
      <w:r>
        <w:rPr>
          <w:spacing w:val="-7"/>
          <w:sz w:val="20"/>
        </w:rPr>
        <w:t> </w:t>
      </w:r>
      <w:r>
        <w:rPr>
          <w:sz w:val="20"/>
        </w:rPr>
        <w:t>de</w:t>
      </w:r>
      <w:r>
        <w:rPr>
          <w:spacing w:val="-6"/>
          <w:sz w:val="20"/>
        </w:rPr>
        <w:t> </w:t>
      </w:r>
      <w:r>
        <w:rPr>
          <w:sz w:val="20"/>
        </w:rPr>
        <w:t>progatonismo institucional  que  termine  por  ampliar  desmesuradamente  las  actividades  de  supervisión </w:t>
      </w:r>
      <w:r>
        <w:rPr>
          <w:spacing w:val="51"/>
          <w:sz w:val="20"/>
        </w:rPr>
        <w:t> </w:t>
      </w:r>
      <w:r>
        <w:rPr>
          <w:sz w:val="20"/>
        </w:rPr>
        <w:t>de</w:t>
      </w:r>
    </w:p>
    <w:p>
      <w:pPr>
        <w:pStyle w:val="BodyText"/>
        <w:spacing w:before="3"/>
        <w:rPr>
          <w:sz w:val="18"/>
        </w:rPr>
      </w:pPr>
      <w:r>
        <w:rPr/>
        <w:pict>
          <v:line style="position:absolute;mso-position-horizontal-relative:page;mso-position-vertical-relative:paragraph;z-index:4672;mso-wrap-distance-left:0;mso-wrap-distance-right:0" from="56.700001pt,13.363948pt" to="200.720001pt,13.363948pt" stroked="true" strokeweight=".60004pt" strokecolor="#000000">
            <v:stroke dashstyle="solid"/>
            <w10:wrap type="topAndBottom"/>
          </v:line>
        </w:pict>
      </w:r>
    </w:p>
    <w:p>
      <w:pPr>
        <w:tabs>
          <w:tab w:pos="681" w:val="left" w:leader="none"/>
        </w:tabs>
        <w:spacing w:before="73"/>
        <w:ind w:left="114" w:right="0" w:firstLine="0"/>
        <w:jc w:val="left"/>
        <w:rPr>
          <w:sz w:val="16"/>
        </w:rPr>
      </w:pPr>
      <w:r>
        <w:rPr>
          <w:position w:val="6"/>
          <w:sz w:val="10"/>
        </w:rPr>
        <w:t>25</w:t>
        <w:tab/>
      </w:r>
      <w:r>
        <w:rPr>
          <w:sz w:val="16"/>
        </w:rPr>
        <w:t>Párrafo</w:t>
      </w:r>
      <w:r>
        <w:rPr>
          <w:spacing w:val="-2"/>
          <w:sz w:val="16"/>
        </w:rPr>
        <w:t> </w:t>
      </w:r>
      <w:r>
        <w:rPr>
          <w:sz w:val="16"/>
        </w:rPr>
        <w:t>327.</w:t>
      </w:r>
    </w:p>
    <w:p>
      <w:pPr>
        <w:spacing w:after="0"/>
        <w:jc w:val="left"/>
        <w:rPr>
          <w:sz w:val="16"/>
        </w:rPr>
        <w:sectPr>
          <w:footerReference w:type="default" r:id="rId52"/>
          <w:pgSz w:w="12250" w:h="15850"/>
          <w:pgMar w:footer="0" w:header="0" w:top="1500" w:bottom="280" w:left="1020" w:right="1060"/>
        </w:sectPr>
      </w:pPr>
    </w:p>
    <w:p>
      <w:pPr>
        <w:pStyle w:val="BodyText"/>
        <w:spacing w:before="198"/>
        <w:ind w:left="114" w:right="108"/>
        <w:jc w:val="both"/>
      </w:pPr>
      <w:r>
        <w:rPr/>
        <w:t>cumplimiento. Lo que además podría implicar una confrontación directa con las funciones de otras instituciones como es la Comisión Interamericana, cuyas tareas de monitoreo, prevención e incidencia</w:t>
      </w:r>
      <w:r>
        <w:rPr>
          <w:spacing w:val="-16"/>
        </w:rPr>
        <w:t> </w:t>
      </w:r>
      <w:r>
        <w:rPr/>
        <w:t>son</w:t>
      </w:r>
      <w:r>
        <w:rPr>
          <w:spacing w:val="-15"/>
        </w:rPr>
        <w:t> </w:t>
      </w:r>
      <w:r>
        <w:rPr/>
        <w:t>fundamentales</w:t>
      </w:r>
      <w:r>
        <w:rPr>
          <w:spacing w:val="-16"/>
        </w:rPr>
        <w:t> </w:t>
      </w:r>
      <w:r>
        <w:rPr/>
        <w:t>en</w:t>
      </w:r>
      <w:r>
        <w:rPr>
          <w:spacing w:val="-15"/>
        </w:rPr>
        <w:t> </w:t>
      </w:r>
      <w:r>
        <w:rPr/>
        <w:t>el</w:t>
      </w:r>
      <w:r>
        <w:rPr>
          <w:spacing w:val="-15"/>
        </w:rPr>
        <w:t> </w:t>
      </w:r>
      <w:r>
        <w:rPr/>
        <w:t>marco</w:t>
      </w:r>
      <w:r>
        <w:rPr>
          <w:spacing w:val="-15"/>
        </w:rPr>
        <w:t> </w:t>
      </w:r>
      <w:r>
        <w:rPr/>
        <w:t>de</w:t>
      </w:r>
      <w:r>
        <w:rPr>
          <w:spacing w:val="-13"/>
        </w:rPr>
        <w:t> </w:t>
      </w:r>
      <w:r>
        <w:rPr/>
        <w:t>las</w:t>
      </w:r>
      <w:r>
        <w:rPr>
          <w:spacing w:val="-14"/>
        </w:rPr>
        <w:t> </w:t>
      </w:r>
      <w:r>
        <w:rPr/>
        <w:t>respectivas</w:t>
      </w:r>
      <w:r>
        <w:rPr>
          <w:spacing w:val="-13"/>
        </w:rPr>
        <w:t> </w:t>
      </w:r>
      <w:r>
        <w:rPr/>
        <w:t>competencias</w:t>
      </w:r>
      <w:r>
        <w:rPr>
          <w:spacing w:val="-14"/>
        </w:rPr>
        <w:t> </w:t>
      </w:r>
      <w:r>
        <w:rPr/>
        <w:t>de</w:t>
      </w:r>
      <w:r>
        <w:rPr>
          <w:spacing w:val="-15"/>
        </w:rPr>
        <w:t> </w:t>
      </w:r>
      <w:r>
        <w:rPr/>
        <w:t>los</w:t>
      </w:r>
      <w:r>
        <w:rPr>
          <w:spacing w:val="-16"/>
        </w:rPr>
        <w:t> </w:t>
      </w:r>
      <w:r>
        <w:rPr/>
        <w:t>órganos</w:t>
      </w:r>
      <w:r>
        <w:rPr>
          <w:spacing w:val="-14"/>
        </w:rPr>
        <w:t> </w:t>
      </w:r>
      <w:r>
        <w:rPr/>
        <w:t>del</w:t>
      </w:r>
      <w:r>
        <w:rPr>
          <w:spacing w:val="-15"/>
        </w:rPr>
        <w:t> </w:t>
      </w:r>
      <w:r>
        <w:rPr/>
        <w:t>SIDH. Es mi deber advertir que esta tendencia en la búsqueda abordajes estructurales, sin</w:t>
      </w:r>
      <w:r>
        <w:rPr>
          <w:spacing w:val="-30"/>
        </w:rPr>
        <w:t> </w:t>
      </w:r>
      <w:r>
        <w:rPr/>
        <w:t>vulneraciones específicas a derechos, tanto en materia de supervisión de cumplimiento como en medidas provisionales,</w:t>
      </w:r>
      <w:r>
        <w:rPr>
          <w:spacing w:val="-11"/>
        </w:rPr>
        <w:t> </w:t>
      </w:r>
      <w:r>
        <w:rPr/>
        <w:t>no</w:t>
      </w:r>
      <w:r>
        <w:rPr>
          <w:spacing w:val="-12"/>
        </w:rPr>
        <w:t> </w:t>
      </w:r>
      <w:r>
        <w:rPr/>
        <w:t>corresponde</w:t>
      </w:r>
      <w:r>
        <w:rPr>
          <w:spacing w:val="-12"/>
        </w:rPr>
        <w:t> </w:t>
      </w:r>
      <w:r>
        <w:rPr/>
        <w:t>a</w:t>
      </w:r>
      <w:r>
        <w:rPr>
          <w:spacing w:val="-13"/>
        </w:rPr>
        <w:t> </w:t>
      </w:r>
      <w:r>
        <w:rPr/>
        <w:t>las</w:t>
      </w:r>
      <w:r>
        <w:rPr>
          <w:spacing w:val="-14"/>
        </w:rPr>
        <w:t> </w:t>
      </w:r>
      <w:r>
        <w:rPr/>
        <w:t>funciones</w:t>
      </w:r>
      <w:r>
        <w:rPr>
          <w:spacing w:val="-12"/>
        </w:rPr>
        <w:t> </w:t>
      </w:r>
      <w:r>
        <w:rPr/>
        <w:t>de</w:t>
      </w:r>
      <w:r>
        <w:rPr>
          <w:spacing w:val="-12"/>
        </w:rPr>
        <w:t> </w:t>
      </w:r>
      <w:r>
        <w:rPr/>
        <w:t>este</w:t>
      </w:r>
      <w:r>
        <w:rPr>
          <w:spacing w:val="-12"/>
        </w:rPr>
        <w:t> </w:t>
      </w:r>
      <w:r>
        <w:rPr/>
        <w:t>Tribunal</w:t>
      </w:r>
      <w:r>
        <w:rPr>
          <w:spacing w:val="-13"/>
        </w:rPr>
        <w:t> </w:t>
      </w:r>
      <w:r>
        <w:rPr/>
        <w:t>y</w:t>
      </w:r>
      <w:r>
        <w:rPr>
          <w:spacing w:val="-10"/>
        </w:rPr>
        <w:t> </w:t>
      </w:r>
      <w:r>
        <w:rPr/>
        <w:t>puede</w:t>
      </w:r>
      <w:r>
        <w:rPr>
          <w:spacing w:val="-12"/>
        </w:rPr>
        <w:t> </w:t>
      </w:r>
      <w:r>
        <w:rPr/>
        <w:t>terminar</w:t>
      </w:r>
      <w:r>
        <w:rPr>
          <w:spacing w:val="-12"/>
        </w:rPr>
        <w:t> </w:t>
      </w:r>
      <w:r>
        <w:rPr/>
        <w:t>minando</w:t>
      </w:r>
      <w:r>
        <w:rPr>
          <w:spacing w:val="-13"/>
        </w:rPr>
        <w:t> </w:t>
      </w:r>
      <w:r>
        <w:rPr/>
        <w:t>la</w:t>
      </w:r>
      <w:r>
        <w:rPr>
          <w:spacing w:val="-13"/>
        </w:rPr>
        <w:t> </w:t>
      </w:r>
      <w:r>
        <w:rPr/>
        <w:t>eficacia de sus</w:t>
      </w:r>
      <w:r>
        <w:rPr>
          <w:spacing w:val="-3"/>
        </w:rPr>
        <w:t> </w:t>
      </w:r>
      <w:r>
        <w:rPr/>
        <w:t>decisiones.</w:t>
      </w:r>
    </w:p>
    <w:p>
      <w:pPr>
        <w:pStyle w:val="BodyText"/>
        <w:rPr>
          <w:sz w:val="24"/>
        </w:rPr>
      </w:pPr>
    </w:p>
    <w:p>
      <w:pPr>
        <w:pStyle w:val="BodyText"/>
        <w:rPr>
          <w:sz w:val="24"/>
        </w:rPr>
      </w:pPr>
    </w:p>
    <w:p>
      <w:pPr>
        <w:pStyle w:val="BodyText"/>
        <w:spacing w:before="11"/>
        <w:rPr>
          <w:sz w:val="31"/>
        </w:rPr>
      </w:pPr>
    </w:p>
    <w:p>
      <w:pPr>
        <w:pStyle w:val="BodyText"/>
        <w:spacing w:before="1"/>
        <w:ind w:left="6486" w:right="1905" w:hanging="1349"/>
      </w:pPr>
      <w:r>
        <w:rPr/>
        <w:t>Humberto Antonio Sierra Porto Juez</w:t>
      </w:r>
    </w:p>
    <w:p>
      <w:pPr>
        <w:pStyle w:val="BodyText"/>
        <w:rPr>
          <w:sz w:val="24"/>
        </w:rPr>
      </w:pPr>
    </w:p>
    <w:p>
      <w:pPr>
        <w:pStyle w:val="BodyText"/>
        <w:rPr>
          <w:sz w:val="24"/>
        </w:rPr>
      </w:pPr>
    </w:p>
    <w:p>
      <w:pPr>
        <w:pStyle w:val="BodyText"/>
        <w:rPr>
          <w:sz w:val="24"/>
        </w:rPr>
      </w:pPr>
    </w:p>
    <w:p>
      <w:pPr>
        <w:pStyle w:val="BodyText"/>
        <w:spacing w:before="11"/>
        <w:rPr>
          <w:sz w:val="27"/>
        </w:rPr>
      </w:pPr>
    </w:p>
    <w:p>
      <w:pPr>
        <w:pStyle w:val="BodyText"/>
        <w:spacing w:before="1"/>
        <w:ind w:left="1175" w:right="6956" w:hanging="639"/>
      </w:pPr>
      <w:r>
        <w:rPr/>
        <w:t>Pablo Saavedra Alessandri Secretario</w:t>
      </w:r>
    </w:p>
    <w:p>
      <w:pPr>
        <w:spacing w:after="0"/>
        <w:sectPr>
          <w:footerReference w:type="default" r:id="rId53"/>
          <w:pgSz w:w="12250" w:h="15850"/>
          <w:pgMar w:footer="0" w:header="0" w:top="1500" w:bottom="280" w:left="1020" w:right="1060"/>
        </w:sectPr>
      </w:pPr>
    </w:p>
    <w:p>
      <w:pPr>
        <w:pStyle w:val="BodyText"/>
        <w:spacing w:before="11"/>
        <w:rPr>
          <w:sz w:val="24"/>
        </w:rPr>
      </w:pPr>
    </w:p>
    <w:p>
      <w:pPr>
        <w:pStyle w:val="Heading3"/>
        <w:spacing w:before="101"/>
        <w:ind w:left="422" w:right="614"/>
      </w:pPr>
      <w:bookmarkStart w:name="vsc_ferrer_400_esp" w:id="182"/>
      <w:bookmarkEnd w:id="182"/>
      <w:r>
        <w:rPr>
          <w:b w:val="0"/>
        </w:rPr>
      </w:r>
      <w:r>
        <w:rPr/>
        <w:t>VOTO RAZONADO DEL</w:t>
      </w:r>
    </w:p>
    <w:p>
      <w:pPr>
        <w:spacing w:before="0"/>
        <w:ind w:left="422" w:right="614" w:firstLine="0"/>
        <w:jc w:val="center"/>
        <w:rPr>
          <w:b/>
          <w:sz w:val="20"/>
        </w:rPr>
      </w:pPr>
      <w:r>
        <w:rPr>
          <w:b/>
          <w:sz w:val="20"/>
        </w:rPr>
        <w:t>JUEZ EDUARDO FERRER MAC-GREGOR POISOT</w:t>
      </w:r>
    </w:p>
    <w:p>
      <w:pPr>
        <w:pStyle w:val="BodyText"/>
        <w:spacing w:before="11"/>
        <w:rPr>
          <w:b/>
          <w:sz w:val="19"/>
        </w:rPr>
      </w:pPr>
    </w:p>
    <w:p>
      <w:pPr>
        <w:pStyle w:val="Heading4"/>
        <w:spacing w:before="1"/>
        <w:ind w:left="422" w:right="614"/>
        <w:jc w:val="center"/>
      </w:pPr>
      <w:r>
        <w:rPr>
          <w:i/>
          <w:u w:val="thick"/>
        </w:rPr>
        <w:t>CASO COMUNIDADES INDÍGENAS MIEMBROS DE LA ASOCIACIÓN LHAKA </w:t>
      </w:r>
      <w:r>
        <w:rPr>
          <w:u w:val="thick"/>
        </w:rPr>
        <w:t>HONHAT (NUESTRA TIERRA) VS. ARGENTINA</w:t>
      </w:r>
    </w:p>
    <w:p>
      <w:pPr>
        <w:pStyle w:val="BodyText"/>
        <w:spacing w:before="12"/>
        <w:rPr>
          <w:b/>
          <w:i/>
          <w:sz w:val="17"/>
        </w:rPr>
      </w:pPr>
    </w:p>
    <w:p>
      <w:pPr>
        <w:spacing w:line="219" w:lineRule="exact" w:before="0"/>
        <w:ind w:left="422" w:right="613" w:firstLine="0"/>
        <w:jc w:val="center"/>
        <w:rPr>
          <w:b/>
          <w:i/>
          <w:sz w:val="18"/>
        </w:rPr>
      </w:pPr>
      <w:r>
        <w:rPr>
          <w:b/>
          <w:i/>
          <w:sz w:val="18"/>
        </w:rPr>
        <w:t>SENTENCIA DE 6 DE FEBRERO DE 2020</w:t>
      </w:r>
    </w:p>
    <w:p>
      <w:pPr>
        <w:spacing w:before="0"/>
        <w:ind w:left="422" w:right="613" w:firstLine="0"/>
        <w:jc w:val="center"/>
        <w:rPr>
          <w:b/>
          <w:i/>
          <w:sz w:val="18"/>
        </w:rPr>
      </w:pPr>
      <w:r>
        <w:rPr>
          <w:b/>
          <w:i/>
          <w:sz w:val="18"/>
        </w:rPr>
        <w:t>(Fondo, Reparaciones y Costas)</w:t>
      </w:r>
    </w:p>
    <w:p>
      <w:pPr>
        <w:pStyle w:val="BodyText"/>
        <w:rPr>
          <w:b/>
          <w:i/>
          <w:sz w:val="22"/>
        </w:rPr>
      </w:pPr>
    </w:p>
    <w:p>
      <w:pPr>
        <w:pStyle w:val="BodyText"/>
        <w:rPr>
          <w:b/>
          <w:i/>
          <w:sz w:val="18"/>
        </w:rPr>
      </w:pPr>
    </w:p>
    <w:p>
      <w:pPr>
        <w:pStyle w:val="Heading3"/>
        <w:ind w:left="422" w:right="612"/>
      </w:pPr>
      <w:r>
        <w:rPr/>
        <w:t>INTRODUCCIÓN</w:t>
      </w:r>
    </w:p>
    <w:p>
      <w:pPr>
        <w:pStyle w:val="BodyText"/>
        <w:spacing w:before="11"/>
        <w:rPr>
          <w:b/>
          <w:sz w:val="19"/>
        </w:rPr>
      </w:pPr>
    </w:p>
    <w:p>
      <w:pPr>
        <w:pStyle w:val="ListParagraph"/>
        <w:numPr>
          <w:ilvl w:val="0"/>
          <w:numId w:val="75"/>
        </w:numPr>
        <w:tabs>
          <w:tab w:pos="827" w:val="left" w:leader="none"/>
        </w:tabs>
        <w:spacing w:line="240" w:lineRule="auto" w:before="1" w:after="0"/>
        <w:ind w:left="118" w:right="310" w:firstLine="0"/>
        <w:jc w:val="both"/>
        <w:rPr>
          <w:sz w:val="20"/>
        </w:rPr>
      </w:pPr>
      <w:r>
        <w:rPr>
          <w:sz w:val="20"/>
        </w:rPr>
        <w:t>Han pasado casi veinte años desde que la Corte Interamericana de Derechos Humanos (en adelante “Corte IDH” o “Tribunal Interamericano”) decidió el primer caso en</w:t>
      </w:r>
      <w:r>
        <w:rPr>
          <w:spacing w:val="-12"/>
          <w:sz w:val="20"/>
        </w:rPr>
        <w:t> </w:t>
      </w:r>
      <w:r>
        <w:rPr>
          <w:sz w:val="20"/>
        </w:rPr>
        <w:t>donde</w:t>
      </w:r>
      <w:r>
        <w:rPr>
          <w:spacing w:val="-12"/>
          <w:sz w:val="20"/>
        </w:rPr>
        <w:t> </w:t>
      </w:r>
      <w:r>
        <w:rPr>
          <w:sz w:val="20"/>
        </w:rPr>
        <w:t>abordó</w:t>
      </w:r>
      <w:r>
        <w:rPr>
          <w:spacing w:val="-13"/>
          <w:sz w:val="20"/>
        </w:rPr>
        <w:t> </w:t>
      </w:r>
      <w:r>
        <w:rPr>
          <w:sz w:val="20"/>
        </w:rPr>
        <w:t>la</w:t>
      </w:r>
      <w:r>
        <w:rPr>
          <w:spacing w:val="-13"/>
          <w:sz w:val="20"/>
        </w:rPr>
        <w:t> </w:t>
      </w:r>
      <w:r>
        <w:rPr>
          <w:sz w:val="20"/>
        </w:rPr>
        <w:t>propiedad</w:t>
      </w:r>
      <w:r>
        <w:rPr>
          <w:spacing w:val="-13"/>
          <w:sz w:val="20"/>
        </w:rPr>
        <w:t> </w:t>
      </w:r>
      <w:r>
        <w:rPr>
          <w:sz w:val="20"/>
        </w:rPr>
        <w:t>colectiva</w:t>
      </w:r>
      <w:r>
        <w:rPr>
          <w:spacing w:val="-13"/>
          <w:sz w:val="20"/>
        </w:rPr>
        <w:t> </w:t>
      </w:r>
      <w:r>
        <w:rPr>
          <w:sz w:val="20"/>
        </w:rPr>
        <w:t>indígena</w:t>
      </w:r>
      <w:r>
        <w:rPr>
          <w:spacing w:val="-14"/>
          <w:sz w:val="20"/>
        </w:rPr>
        <w:t> </w:t>
      </w:r>
      <w:r>
        <w:rPr>
          <w:sz w:val="20"/>
        </w:rPr>
        <w:t>e</w:t>
      </w:r>
      <w:r>
        <w:rPr>
          <w:spacing w:val="-12"/>
          <w:sz w:val="20"/>
        </w:rPr>
        <w:t> </w:t>
      </w:r>
      <w:r>
        <w:rPr>
          <w:sz w:val="20"/>
        </w:rPr>
        <w:t>hizo</w:t>
      </w:r>
      <w:r>
        <w:rPr>
          <w:spacing w:val="-10"/>
          <w:sz w:val="20"/>
        </w:rPr>
        <w:t> </w:t>
      </w:r>
      <w:r>
        <w:rPr>
          <w:sz w:val="20"/>
        </w:rPr>
        <w:t>alusión</w:t>
      </w:r>
      <w:r>
        <w:rPr>
          <w:spacing w:val="-12"/>
          <w:sz w:val="20"/>
        </w:rPr>
        <w:t> </w:t>
      </w:r>
      <w:r>
        <w:rPr>
          <w:sz w:val="20"/>
        </w:rPr>
        <w:t>a</w:t>
      </w:r>
      <w:r>
        <w:rPr>
          <w:spacing w:val="-13"/>
          <w:sz w:val="20"/>
        </w:rPr>
        <w:t> </w:t>
      </w:r>
      <w:r>
        <w:rPr>
          <w:sz w:val="20"/>
        </w:rPr>
        <w:t>la</w:t>
      </w:r>
      <w:r>
        <w:rPr>
          <w:spacing w:val="-13"/>
          <w:sz w:val="20"/>
        </w:rPr>
        <w:t> </w:t>
      </w:r>
      <w:r>
        <w:rPr>
          <w:sz w:val="20"/>
        </w:rPr>
        <w:t>relación</w:t>
      </w:r>
      <w:r>
        <w:rPr>
          <w:spacing w:val="-12"/>
          <w:sz w:val="20"/>
        </w:rPr>
        <w:t> </w:t>
      </w:r>
      <w:r>
        <w:rPr>
          <w:sz w:val="20"/>
        </w:rPr>
        <w:t>especial</w:t>
      </w:r>
      <w:r>
        <w:rPr>
          <w:spacing w:val="-14"/>
          <w:sz w:val="20"/>
        </w:rPr>
        <w:t> </w:t>
      </w:r>
      <w:r>
        <w:rPr>
          <w:sz w:val="20"/>
        </w:rPr>
        <w:t>que los pueblos y comunidades indígenas tienen con sus tierras, territorios y recursos naturales</w:t>
      </w:r>
      <w:r>
        <w:rPr>
          <w:position w:val="7"/>
          <w:sz w:val="13"/>
        </w:rPr>
        <w:t>1</w:t>
      </w:r>
      <w:r>
        <w:rPr>
          <w:sz w:val="20"/>
        </w:rPr>
        <w:t>.</w:t>
      </w:r>
    </w:p>
    <w:p>
      <w:pPr>
        <w:pStyle w:val="BodyText"/>
        <w:spacing w:before="1"/>
      </w:pPr>
    </w:p>
    <w:p>
      <w:pPr>
        <w:pStyle w:val="ListParagraph"/>
        <w:numPr>
          <w:ilvl w:val="0"/>
          <w:numId w:val="75"/>
        </w:numPr>
        <w:tabs>
          <w:tab w:pos="827" w:val="left" w:leader="none"/>
        </w:tabs>
        <w:spacing w:line="240" w:lineRule="auto" w:before="0" w:after="0"/>
        <w:ind w:left="118" w:right="308" w:firstLine="0"/>
        <w:jc w:val="both"/>
        <w:rPr>
          <w:sz w:val="20"/>
        </w:rPr>
      </w:pPr>
      <w:r>
        <w:rPr>
          <w:sz w:val="20"/>
        </w:rPr>
        <w:t>A</w:t>
      </w:r>
      <w:r>
        <w:rPr>
          <w:spacing w:val="-13"/>
          <w:sz w:val="20"/>
        </w:rPr>
        <w:t> </w:t>
      </w:r>
      <w:r>
        <w:rPr>
          <w:sz w:val="20"/>
        </w:rPr>
        <w:t>partir</w:t>
      </w:r>
      <w:r>
        <w:rPr>
          <w:spacing w:val="-15"/>
          <w:sz w:val="20"/>
        </w:rPr>
        <w:t> </w:t>
      </w:r>
      <w:r>
        <w:rPr>
          <w:sz w:val="20"/>
        </w:rPr>
        <w:t>de</w:t>
      </w:r>
      <w:r>
        <w:rPr>
          <w:spacing w:val="-15"/>
          <w:sz w:val="20"/>
        </w:rPr>
        <w:t> </w:t>
      </w:r>
      <w:r>
        <w:rPr>
          <w:sz w:val="20"/>
        </w:rPr>
        <w:t>entonces,</w:t>
      </w:r>
      <w:r>
        <w:rPr>
          <w:spacing w:val="-14"/>
          <w:sz w:val="20"/>
        </w:rPr>
        <w:t> </w:t>
      </w:r>
      <w:r>
        <w:rPr>
          <w:sz w:val="20"/>
        </w:rPr>
        <w:t>y</w:t>
      </w:r>
      <w:r>
        <w:rPr>
          <w:spacing w:val="-14"/>
          <w:sz w:val="20"/>
        </w:rPr>
        <w:t> </w:t>
      </w:r>
      <w:r>
        <w:rPr>
          <w:sz w:val="20"/>
        </w:rPr>
        <w:t>en</w:t>
      </w:r>
      <w:r>
        <w:rPr>
          <w:spacing w:val="-13"/>
          <w:sz w:val="20"/>
        </w:rPr>
        <w:t> </w:t>
      </w:r>
      <w:r>
        <w:rPr>
          <w:sz w:val="20"/>
        </w:rPr>
        <w:t>casos</w:t>
      </w:r>
      <w:r>
        <w:rPr>
          <w:spacing w:val="-14"/>
          <w:sz w:val="20"/>
        </w:rPr>
        <w:t> </w:t>
      </w:r>
      <w:r>
        <w:rPr>
          <w:sz w:val="20"/>
        </w:rPr>
        <w:t>subsecuentes</w:t>
      </w:r>
      <w:r>
        <w:rPr>
          <w:position w:val="7"/>
          <w:sz w:val="13"/>
        </w:rPr>
        <w:t>2</w:t>
      </w:r>
      <w:r>
        <w:rPr>
          <w:sz w:val="20"/>
        </w:rPr>
        <w:t>,</w:t>
      </w:r>
      <w:r>
        <w:rPr>
          <w:spacing w:val="-13"/>
          <w:sz w:val="20"/>
        </w:rPr>
        <w:t> </w:t>
      </w:r>
      <w:r>
        <w:rPr>
          <w:sz w:val="20"/>
        </w:rPr>
        <w:t>la</w:t>
      </w:r>
      <w:r>
        <w:rPr>
          <w:spacing w:val="-14"/>
          <w:sz w:val="20"/>
        </w:rPr>
        <w:t> </w:t>
      </w:r>
      <w:r>
        <w:rPr>
          <w:sz w:val="20"/>
        </w:rPr>
        <w:t>Corte</w:t>
      </w:r>
      <w:r>
        <w:rPr>
          <w:spacing w:val="-12"/>
          <w:sz w:val="20"/>
        </w:rPr>
        <w:t> </w:t>
      </w:r>
      <w:r>
        <w:rPr>
          <w:sz w:val="20"/>
        </w:rPr>
        <w:t>IDH</w:t>
      </w:r>
      <w:r>
        <w:rPr>
          <w:spacing w:val="-13"/>
          <w:sz w:val="20"/>
        </w:rPr>
        <w:t> </w:t>
      </w:r>
      <w:r>
        <w:rPr>
          <w:sz w:val="20"/>
        </w:rPr>
        <w:t>ha</w:t>
      </w:r>
      <w:r>
        <w:rPr>
          <w:spacing w:val="-13"/>
          <w:sz w:val="20"/>
        </w:rPr>
        <w:t> </w:t>
      </w:r>
      <w:r>
        <w:rPr>
          <w:sz w:val="20"/>
        </w:rPr>
        <w:t>tenido</w:t>
      </w:r>
      <w:r>
        <w:rPr>
          <w:spacing w:val="-15"/>
          <w:sz w:val="20"/>
        </w:rPr>
        <w:t> </w:t>
      </w:r>
      <w:r>
        <w:rPr>
          <w:sz w:val="20"/>
        </w:rPr>
        <w:t>una</w:t>
      </w:r>
      <w:r>
        <w:rPr>
          <w:spacing w:val="-13"/>
          <w:sz w:val="20"/>
        </w:rPr>
        <w:t> </w:t>
      </w:r>
      <w:r>
        <w:rPr>
          <w:sz w:val="20"/>
        </w:rPr>
        <w:t>visión comprensiva de lo que la “tierra” y el “territorio” significa para las comunidades originarias que habitan en los Estados que conforman el Sistema Interamericano. Si bien la Corte IDH no fue el primer órgano internacional en abordar la territorialidad como parte de la vida de los pueblos indígenas y tribales</w:t>
      </w:r>
      <w:r>
        <w:rPr>
          <w:position w:val="7"/>
          <w:sz w:val="13"/>
        </w:rPr>
        <w:t>3</w:t>
      </w:r>
      <w:r>
        <w:rPr>
          <w:sz w:val="20"/>
        </w:rPr>
        <w:t>, lo cierto es que en cada</w:t>
      </w:r>
      <w:r>
        <w:rPr>
          <w:spacing w:val="-23"/>
          <w:sz w:val="20"/>
        </w:rPr>
        <w:t> </w:t>
      </w:r>
      <w:r>
        <w:rPr>
          <w:sz w:val="20"/>
        </w:rPr>
        <w:t>uno de los casos en los que ha tenido la oportunidad de pronunciarse sobre la temática,</w:t>
      </w:r>
      <w:r>
        <w:rPr>
          <w:spacing w:val="23"/>
          <w:sz w:val="20"/>
        </w:rPr>
        <w:t> </w:t>
      </w:r>
      <w:r>
        <w:rPr>
          <w:sz w:val="20"/>
        </w:rPr>
        <w:t>ha</w:t>
      </w:r>
    </w:p>
    <w:p>
      <w:pPr>
        <w:pStyle w:val="BodyText"/>
        <w:spacing w:before="11"/>
        <w:rPr>
          <w:sz w:val="23"/>
        </w:rPr>
      </w:pPr>
      <w:r>
        <w:rPr/>
        <w:pict>
          <v:line style="position:absolute;mso-position-horizontal-relative:page;mso-position-vertical-relative:paragraph;z-index:4696;mso-wrap-distance-left:0;mso-wrap-distance-right:0" from="70.919998pt,16.793987pt" to="214.939998pt,16.793987pt" stroked="true" strokeweight=".600010pt" strokecolor="#000000">
            <v:stroke dashstyle="solid"/>
            <w10:wrap type="topAndBottom"/>
          </v:line>
        </w:pict>
      </w:r>
    </w:p>
    <w:p>
      <w:pPr>
        <w:tabs>
          <w:tab w:pos="827" w:val="left" w:leader="none"/>
        </w:tabs>
        <w:spacing w:before="73"/>
        <w:ind w:left="118" w:right="310" w:firstLine="0"/>
        <w:jc w:val="both"/>
        <w:rPr>
          <w:sz w:val="16"/>
        </w:rPr>
      </w:pPr>
      <w:r>
        <w:rPr>
          <w:position w:val="6"/>
          <w:sz w:val="10"/>
        </w:rPr>
        <w:t>1</w:t>
        <w:tab/>
      </w:r>
      <w:r>
        <w:rPr>
          <w:i/>
          <w:sz w:val="16"/>
        </w:rPr>
        <w:t>Caso de la Comunidad   </w:t>
      </w:r>
      <w:r>
        <w:rPr>
          <w:i/>
          <w:spacing w:val="17"/>
          <w:sz w:val="16"/>
        </w:rPr>
        <w:t> </w:t>
      </w:r>
      <w:r>
        <w:rPr>
          <w:i/>
          <w:sz w:val="16"/>
        </w:rPr>
        <w:t>Mayagna (Sumo) Awas Tigni Vs Nicaragua. Fondo, Reparaciones y</w:t>
      </w:r>
      <w:r>
        <w:rPr>
          <w:i/>
          <w:spacing w:val="16"/>
          <w:sz w:val="16"/>
        </w:rPr>
        <w:t> </w:t>
      </w:r>
      <w:r>
        <w:rPr>
          <w:i/>
          <w:sz w:val="16"/>
        </w:rPr>
        <w:t>Costas.</w:t>
      </w:r>
      <w:r>
        <w:rPr>
          <w:i/>
          <w:w w:val="99"/>
          <w:sz w:val="16"/>
        </w:rPr>
        <w:t> </w:t>
      </w:r>
      <w:r>
        <w:rPr>
          <w:sz w:val="16"/>
        </w:rPr>
        <w:t>Sentencia</w:t>
      </w:r>
      <w:r>
        <w:rPr>
          <w:spacing w:val="-2"/>
          <w:sz w:val="16"/>
        </w:rPr>
        <w:t> </w:t>
      </w:r>
      <w:r>
        <w:rPr>
          <w:sz w:val="16"/>
        </w:rPr>
        <w:t>de</w:t>
      </w:r>
      <w:r>
        <w:rPr>
          <w:spacing w:val="-4"/>
          <w:sz w:val="16"/>
        </w:rPr>
        <w:t> </w:t>
      </w:r>
      <w:r>
        <w:rPr>
          <w:sz w:val="16"/>
        </w:rPr>
        <w:t>31</w:t>
      </w:r>
      <w:r>
        <w:rPr>
          <w:spacing w:val="-3"/>
          <w:sz w:val="16"/>
        </w:rPr>
        <w:t> </w:t>
      </w:r>
      <w:r>
        <w:rPr>
          <w:sz w:val="16"/>
        </w:rPr>
        <w:t>de</w:t>
      </w:r>
      <w:r>
        <w:rPr>
          <w:spacing w:val="-4"/>
          <w:sz w:val="16"/>
        </w:rPr>
        <w:t> </w:t>
      </w:r>
      <w:r>
        <w:rPr>
          <w:sz w:val="16"/>
        </w:rPr>
        <w:t>agosto</w:t>
      </w:r>
      <w:r>
        <w:rPr>
          <w:spacing w:val="-3"/>
          <w:sz w:val="16"/>
        </w:rPr>
        <w:t> </w:t>
      </w:r>
      <w:r>
        <w:rPr>
          <w:sz w:val="16"/>
        </w:rPr>
        <w:t>de</w:t>
      </w:r>
      <w:r>
        <w:rPr>
          <w:spacing w:val="-3"/>
          <w:sz w:val="16"/>
        </w:rPr>
        <w:t> </w:t>
      </w:r>
      <w:r>
        <w:rPr>
          <w:sz w:val="16"/>
        </w:rPr>
        <w:t>2001.</w:t>
      </w:r>
      <w:r>
        <w:rPr>
          <w:spacing w:val="-4"/>
          <w:sz w:val="16"/>
        </w:rPr>
        <w:t> </w:t>
      </w:r>
      <w:r>
        <w:rPr>
          <w:sz w:val="16"/>
        </w:rPr>
        <w:t>Serie</w:t>
      </w:r>
      <w:r>
        <w:rPr>
          <w:spacing w:val="-4"/>
          <w:sz w:val="16"/>
        </w:rPr>
        <w:t> </w:t>
      </w:r>
      <w:r>
        <w:rPr>
          <w:sz w:val="16"/>
        </w:rPr>
        <w:t>C</w:t>
      </w:r>
      <w:r>
        <w:rPr>
          <w:spacing w:val="-2"/>
          <w:sz w:val="16"/>
        </w:rPr>
        <w:t> </w:t>
      </w:r>
      <w:r>
        <w:rPr>
          <w:sz w:val="16"/>
        </w:rPr>
        <w:t>No.</w:t>
      </w:r>
      <w:r>
        <w:rPr>
          <w:spacing w:val="-4"/>
          <w:sz w:val="16"/>
        </w:rPr>
        <w:t> </w:t>
      </w:r>
      <w:r>
        <w:rPr>
          <w:sz w:val="16"/>
        </w:rPr>
        <w:t>71.</w:t>
      </w:r>
      <w:r>
        <w:rPr>
          <w:spacing w:val="-4"/>
          <w:sz w:val="16"/>
        </w:rPr>
        <w:t> </w:t>
      </w:r>
      <w:r>
        <w:rPr>
          <w:sz w:val="16"/>
        </w:rPr>
        <w:t>Previamente</w:t>
      </w:r>
      <w:r>
        <w:rPr>
          <w:spacing w:val="-3"/>
          <w:sz w:val="16"/>
        </w:rPr>
        <w:t> </w:t>
      </w:r>
      <w:r>
        <w:rPr>
          <w:sz w:val="16"/>
        </w:rPr>
        <w:t>se</w:t>
      </w:r>
      <w:r>
        <w:rPr>
          <w:spacing w:val="-3"/>
          <w:sz w:val="16"/>
        </w:rPr>
        <w:t> </w:t>
      </w:r>
      <w:r>
        <w:rPr>
          <w:sz w:val="16"/>
        </w:rPr>
        <w:t>decidieron</w:t>
      </w:r>
      <w:r>
        <w:rPr>
          <w:spacing w:val="-3"/>
          <w:sz w:val="16"/>
        </w:rPr>
        <w:t> </w:t>
      </w:r>
      <w:r>
        <w:rPr>
          <w:sz w:val="16"/>
        </w:rPr>
        <w:t>las </w:t>
      </w:r>
      <w:r>
        <w:rPr>
          <w:i/>
          <w:sz w:val="16"/>
        </w:rPr>
        <w:t>Excepciones</w:t>
      </w:r>
      <w:r>
        <w:rPr>
          <w:i/>
          <w:spacing w:val="-3"/>
          <w:sz w:val="16"/>
        </w:rPr>
        <w:t> </w:t>
      </w:r>
      <w:r>
        <w:rPr>
          <w:i/>
          <w:sz w:val="16"/>
        </w:rPr>
        <w:t>Preliminares, </w:t>
      </w:r>
      <w:r>
        <w:rPr>
          <w:sz w:val="16"/>
        </w:rPr>
        <w:t>Sentencia de 1 de febrero de</w:t>
      </w:r>
      <w:r>
        <w:rPr>
          <w:spacing w:val="-9"/>
          <w:sz w:val="16"/>
        </w:rPr>
        <w:t> </w:t>
      </w:r>
      <w:r>
        <w:rPr>
          <w:sz w:val="16"/>
        </w:rPr>
        <w:t>2000.</w:t>
      </w:r>
    </w:p>
    <w:p>
      <w:pPr>
        <w:tabs>
          <w:tab w:pos="826" w:val="left" w:leader="none"/>
        </w:tabs>
        <w:spacing w:before="119"/>
        <w:ind w:left="118" w:right="310" w:firstLine="0"/>
        <w:jc w:val="both"/>
        <w:rPr>
          <w:sz w:val="16"/>
        </w:rPr>
      </w:pPr>
      <w:r>
        <w:rPr>
          <w:position w:val="6"/>
          <w:sz w:val="10"/>
        </w:rPr>
        <w:t>2</w:t>
        <w:tab/>
      </w:r>
      <w:r>
        <w:rPr>
          <w:sz w:val="16"/>
        </w:rPr>
        <w:t>La Corte IDH tiene  una amplia jurisprudencia sobre los  derechos de los   </w:t>
      </w:r>
      <w:r>
        <w:rPr>
          <w:spacing w:val="18"/>
          <w:sz w:val="16"/>
        </w:rPr>
        <w:t> </w:t>
      </w:r>
      <w:r>
        <w:rPr>
          <w:sz w:val="16"/>
        </w:rPr>
        <w:t>pueblos  y</w:t>
      </w:r>
      <w:r>
        <w:rPr>
          <w:spacing w:val="28"/>
          <w:sz w:val="16"/>
        </w:rPr>
        <w:t> </w:t>
      </w:r>
      <w:r>
        <w:rPr>
          <w:sz w:val="16"/>
        </w:rPr>
        <w:t>comunidades</w:t>
      </w:r>
      <w:r>
        <w:rPr>
          <w:w w:val="99"/>
          <w:sz w:val="16"/>
        </w:rPr>
        <w:t> </w:t>
      </w:r>
      <w:r>
        <w:rPr>
          <w:sz w:val="16"/>
        </w:rPr>
        <w:t>indígenas</w:t>
      </w:r>
      <w:r>
        <w:rPr>
          <w:spacing w:val="-4"/>
          <w:sz w:val="16"/>
        </w:rPr>
        <w:t> </w:t>
      </w:r>
      <w:r>
        <w:rPr>
          <w:sz w:val="16"/>
        </w:rPr>
        <w:t>y</w:t>
      </w:r>
      <w:r>
        <w:rPr>
          <w:spacing w:val="-2"/>
          <w:sz w:val="16"/>
        </w:rPr>
        <w:t> </w:t>
      </w:r>
      <w:r>
        <w:rPr>
          <w:sz w:val="16"/>
        </w:rPr>
        <w:t>tribales,</w:t>
      </w:r>
      <w:r>
        <w:rPr>
          <w:spacing w:val="-3"/>
          <w:sz w:val="16"/>
        </w:rPr>
        <w:t> </w:t>
      </w:r>
      <w:r>
        <w:rPr>
          <w:sz w:val="16"/>
        </w:rPr>
        <w:t>con</w:t>
      </w:r>
      <w:r>
        <w:rPr>
          <w:spacing w:val="-3"/>
          <w:sz w:val="16"/>
        </w:rPr>
        <w:t> </w:t>
      </w:r>
      <w:r>
        <w:rPr>
          <w:sz w:val="16"/>
        </w:rPr>
        <w:t>respecto</w:t>
      </w:r>
      <w:r>
        <w:rPr>
          <w:spacing w:val="-3"/>
          <w:sz w:val="16"/>
        </w:rPr>
        <w:t> </w:t>
      </w:r>
      <w:r>
        <w:rPr>
          <w:sz w:val="16"/>
        </w:rPr>
        <w:t>a</w:t>
      </w:r>
      <w:r>
        <w:rPr>
          <w:spacing w:val="-1"/>
          <w:sz w:val="16"/>
        </w:rPr>
        <w:t> </w:t>
      </w:r>
      <w:r>
        <w:rPr>
          <w:sz w:val="16"/>
        </w:rPr>
        <w:t>sus</w:t>
      </w:r>
      <w:r>
        <w:rPr>
          <w:spacing w:val="-4"/>
          <w:sz w:val="16"/>
        </w:rPr>
        <w:t> </w:t>
      </w:r>
      <w:r>
        <w:rPr>
          <w:sz w:val="16"/>
        </w:rPr>
        <w:t>territorios.</w:t>
      </w:r>
      <w:r>
        <w:rPr>
          <w:spacing w:val="-3"/>
          <w:sz w:val="16"/>
        </w:rPr>
        <w:t> </w:t>
      </w:r>
      <w:r>
        <w:rPr>
          <w:sz w:val="16"/>
        </w:rPr>
        <w:t>El</w:t>
      </w:r>
      <w:r>
        <w:rPr>
          <w:spacing w:val="-4"/>
          <w:sz w:val="16"/>
        </w:rPr>
        <w:t> </w:t>
      </w:r>
      <w:r>
        <w:rPr>
          <w:sz w:val="16"/>
        </w:rPr>
        <w:t>Tribunal</w:t>
      </w:r>
      <w:r>
        <w:rPr>
          <w:spacing w:val="-4"/>
          <w:sz w:val="16"/>
        </w:rPr>
        <w:t> </w:t>
      </w:r>
      <w:r>
        <w:rPr>
          <w:sz w:val="16"/>
        </w:rPr>
        <w:t>Interamericano</w:t>
      </w:r>
      <w:r>
        <w:rPr>
          <w:spacing w:val="-2"/>
          <w:sz w:val="16"/>
        </w:rPr>
        <w:t> </w:t>
      </w:r>
      <w:r>
        <w:rPr>
          <w:sz w:val="16"/>
        </w:rPr>
        <w:t>ha</w:t>
      </w:r>
      <w:r>
        <w:rPr>
          <w:spacing w:val="-4"/>
          <w:sz w:val="16"/>
        </w:rPr>
        <w:t> </w:t>
      </w:r>
      <w:r>
        <w:rPr>
          <w:sz w:val="16"/>
        </w:rPr>
        <w:t>abordado</w:t>
      </w:r>
      <w:r>
        <w:rPr>
          <w:spacing w:val="-3"/>
          <w:sz w:val="16"/>
        </w:rPr>
        <w:t> </w:t>
      </w:r>
      <w:r>
        <w:rPr>
          <w:sz w:val="16"/>
        </w:rPr>
        <w:t>esta</w:t>
      </w:r>
      <w:r>
        <w:rPr>
          <w:spacing w:val="-3"/>
          <w:sz w:val="16"/>
        </w:rPr>
        <w:t> </w:t>
      </w:r>
      <w:r>
        <w:rPr>
          <w:sz w:val="16"/>
        </w:rPr>
        <w:t>cuestión</w:t>
      </w:r>
      <w:r>
        <w:rPr>
          <w:spacing w:val="-3"/>
          <w:sz w:val="16"/>
        </w:rPr>
        <w:t> </w:t>
      </w:r>
      <w:r>
        <w:rPr>
          <w:sz w:val="16"/>
        </w:rPr>
        <w:t>con posterioridad</w:t>
      </w:r>
      <w:r>
        <w:rPr>
          <w:spacing w:val="-12"/>
          <w:sz w:val="16"/>
        </w:rPr>
        <w:t> </w:t>
      </w:r>
      <w:r>
        <w:rPr>
          <w:sz w:val="16"/>
        </w:rPr>
        <w:t>al</w:t>
      </w:r>
      <w:r>
        <w:rPr>
          <w:spacing w:val="-11"/>
          <w:sz w:val="16"/>
        </w:rPr>
        <w:t> </w:t>
      </w:r>
      <w:r>
        <w:rPr>
          <w:i/>
          <w:sz w:val="16"/>
        </w:rPr>
        <w:t>leading</w:t>
      </w:r>
      <w:r>
        <w:rPr>
          <w:i/>
          <w:spacing w:val="-12"/>
          <w:sz w:val="16"/>
        </w:rPr>
        <w:t> </w:t>
      </w:r>
      <w:r>
        <w:rPr>
          <w:i/>
          <w:sz w:val="16"/>
        </w:rPr>
        <w:t>case</w:t>
      </w:r>
      <w:r>
        <w:rPr>
          <w:sz w:val="16"/>
        </w:rPr>
        <w:t>,</w:t>
      </w:r>
      <w:r>
        <w:rPr>
          <w:spacing w:val="-11"/>
          <w:sz w:val="16"/>
        </w:rPr>
        <w:t> </w:t>
      </w:r>
      <w:r>
        <w:rPr>
          <w:sz w:val="16"/>
        </w:rPr>
        <w:t>el</w:t>
      </w:r>
      <w:r>
        <w:rPr>
          <w:spacing w:val="-13"/>
          <w:sz w:val="16"/>
        </w:rPr>
        <w:t> </w:t>
      </w:r>
      <w:r>
        <w:rPr>
          <w:sz w:val="16"/>
        </w:rPr>
        <w:t>referido</w:t>
      </w:r>
      <w:r>
        <w:rPr>
          <w:spacing w:val="-12"/>
          <w:sz w:val="16"/>
        </w:rPr>
        <w:t> </w:t>
      </w:r>
      <w:r>
        <w:rPr>
          <w:i/>
          <w:sz w:val="16"/>
        </w:rPr>
        <w:t>Caso</w:t>
      </w:r>
      <w:r>
        <w:rPr>
          <w:i/>
          <w:spacing w:val="-12"/>
          <w:sz w:val="16"/>
        </w:rPr>
        <w:t> </w:t>
      </w:r>
      <w:r>
        <w:rPr>
          <w:i/>
          <w:sz w:val="16"/>
        </w:rPr>
        <w:t>de</w:t>
      </w:r>
      <w:r>
        <w:rPr>
          <w:i/>
          <w:spacing w:val="-12"/>
          <w:sz w:val="16"/>
        </w:rPr>
        <w:t> </w:t>
      </w:r>
      <w:r>
        <w:rPr>
          <w:i/>
          <w:sz w:val="16"/>
        </w:rPr>
        <w:t>la</w:t>
      </w:r>
      <w:r>
        <w:rPr>
          <w:i/>
          <w:spacing w:val="-12"/>
          <w:sz w:val="16"/>
        </w:rPr>
        <w:t> </w:t>
      </w:r>
      <w:r>
        <w:rPr>
          <w:i/>
          <w:sz w:val="16"/>
        </w:rPr>
        <w:t>Comunidad</w:t>
      </w:r>
      <w:r>
        <w:rPr>
          <w:i/>
          <w:spacing w:val="-10"/>
          <w:sz w:val="16"/>
        </w:rPr>
        <w:t> </w:t>
      </w:r>
      <w:r>
        <w:rPr>
          <w:i/>
          <w:sz w:val="16"/>
        </w:rPr>
        <w:t>Mayagna</w:t>
      </w:r>
      <w:r>
        <w:rPr>
          <w:i/>
          <w:spacing w:val="-10"/>
          <w:sz w:val="16"/>
        </w:rPr>
        <w:t> </w:t>
      </w:r>
      <w:r>
        <w:rPr>
          <w:i/>
          <w:sz w:val="16"/>
        </w:rPr>
        <w:t>(Sumo)</w:t>
      </w:r>
      <w:r>
        <w:rPr>
          <w:i/>
          <w:spacing w:val="-12"/>
          <w:sz w:val="16"/>
        </w:rPr>
        <w:t> </w:t>
      </w:r>
      <w:r>
        <w:rPr>
          <w:i/>
          <w:sz w:val="16"/>
        </w:rPr>
        <w:t>Awas</w:t>
      </w:r>
      <w:r>
        <w:rPr>
          <w:i/>
          <w:spacing w:val="-11"/>
          <w:sz w:val="16"/>
        </w:rPr>
        <w:t> </w:t>
      </w:r>
      <w:r>
        <w:rPr>
          <w:i/>
          <w:sz w:val="16"/>
        </w:rPr>
        <w:t>Tigni:</w:t>
      </w:r>
      <w:r>
        <w:rPr>
          <w:i/>
          <w:spacing w:val="-12"/>
          <w:sz w:val="16"/>
        </w:rPr>
        <w:t> </w:t>
      </w:r>
      <w:r>
        <w:rPr>
          <w:i/>
          <w:sz w:val="16"/>
        </w:rPr>
        <w:t>Caso</w:t>
      </w:r>
      <w:r>
        <w:rPr>
          <w:i/>
          <w:spacing w:val="-11"/>
          <w:sz w:val="16"/>
        </w:rPr>
        <w:t> </w:t>
      </w:r>
      <w:r>
        <w:rPr>
          <w:i/>
          <w:sz w:val="16"/>
        </w:rPr>
        <w:t>Comunidad </w:t>
      </w:r>
      <w:r>
        <w:rPr>
          <w:i/>
          <w:sz w:val="16"/>
        </w:rPr>
        <w:t>Indígena Yakye Axa Vs. Paraguay. Fondo, Reparaciones y Costas</w:t>
      </w:r>
      <w:r>
        <w:rPr>
          <w:sz w:val="16"/>
        </w:rPr>
        <w:t>. Sentencia de 17 de junio de 2005. Serie C No. 125; </w:t>
      </w:r>
      <w:r>
        <w:rPr>
          <w:i/>
          <w:sz w:val="16"/>
        </w:rPr>
        <w:t>Caso Comunidad Indígena Sawhoyamaxa Vs. Paraguay. Fondo, Reparaciones y Costas</w:t>
      </w:r>
      <w:r>
        <w:rPr>
          <w:sz w:val="16"/>
        </w:rPr>
        <w:t>. Sentencia de</w:t>
      </w:r>
      <w:r>
        <w:rPr>
          <w:spacing w:val="-7"/>
          <w:sz w:val="16"/>
        </w:rPr>
        <w:t> </w:t>
      </w:r>
      <w:r>
        <w:rPr>
          <w:sz w:val="16"/>
        </w:rPr>
        <w:t>29</w:t>
      </w:r>
      <w:r>
        <w:rPr>
          <w:spacing w:val="-7"/>
          <w:sz w:val="16"/>
        </w:rPr>
        <w:t> </w:t>
      </w:r>
      <w:r>
        <w:rPr>
          <w:sz w:val="16"/>
        </w:rPr>
        <w:t>de</w:t>
      </w:r>
      <w:r>
        <w:rPr>
          <w:spacing w:val="-7"/>
          <w:sz w:val="16"/>
        </w:rPr>
        <w:t> </w:t>
      </w:r>
      <w:r>
        <w:rPr>
          <w:sz w:val="16"/>
        </w:rPr>
        <w:t>marzo</w:t>
      </w:r>
      <w:r>
        <w:rPr>
          <w:spacing w:val="-7"/>
          <w:sz w:val="16"/>
        </w:rPr>
        <w:t> </w:t>
      </w:r>
      <w:r>
        <w:rPr>
          <w:sz w:val="16"/>
        </w:rPr>
        <w:t>de</w:t>
      </w:r>
      <w:r>
        <w:rPr>
          <w:spacing w:val="-7"/>
          <w:sz w:val="16"/>
        </w:rPr>
        <w:t> </w:t>
      </w:r>
      <w:r>
        <w:rPr>
          <w:sz w:val="16"/>
        </w:rPr>
        <w:t>2006.</w:t>
      </w:r>
      <w:r>
        <w:rPr>
          <w:spacing w:val="-8"/>
          <w:sz w:val="16"/>
        </w:rPr>
        <w:t> </w:t>
      </w:r>
      <w:r>
        <w:rPr>
          <w:sz w:val="16"/>
        </w:rPr>
        <w:t>Serie</w:t>
      </w:r>
      <w:r>
        <w:rPr>
          <w:spacing w:val="-8"/>
          <w:sz w:val="16"/>
        </w:rPr>
        <w:t> </w:t>
      </w:r>
      <w:r>
        <w:rPr>
          <w:sz w:val="16"/>
        </w:rPr>
        <w:t>C</w:t>
      </w:r>
      <w:r>
        <w:rPr>
          <w:spacing w:val="-7"/>
          <w:sz w:val="16"/>
        </w:rPr>
        <w:t> </w:t>
      </w:r>
      <w:r>
        <w:rPr>
          <w:sz w:val="16"/>
        </w:rPr>
        <w:t>No.</w:t>
      </w:r>
      <w:r>
        <w:rPr>
          <w:spacing w:val="-7"/>
          <w:sz w:val="16"/>
        </w:rPr>
        <w:t> </w:t>
      </w:r>
      <w:r>
        <w:rPr>
          <w:sz w:val="16"/>
        </w:rPr>
        <w:t>146;</w:t>
      </w:r>
      <w:r>
        <w:rPr>
          <w:spacing w:val="-5"/>
          <w:sz w:val="16"/>
        </w:rPr>
        <w:t> </w:t>
      </w:r>
      <w:r>
        <w:rPr>
          <w:i/>
          <w:sz w:val="16"/>
        </w:rPr>
        <w:t>Caso</w:t>
      </w:r>
      <w:r>
        <w:rPr>
          <w:i/>
          <w:spacing w:val="-7"/>
          <w:sz w:val="16"/>
        </w:rPr>
        <w:t> </w:t>
      </w:r>
      <w:r>
        <w:rPr>
          <w:i/>
          <w:sz w:val="16"/>
        </w:rPr>
        <w:t>del</w:t>
      </w:r>
      <w:r>
        <w:rPr>
          <w:i/>
          <w:spacing w:val="-7"/>
          <w:sz w:val="16"/>
        </w:rPr>
        <w:t> </w:t>
      </w:r>
      <w:r>
        <w:rPr>
          <w:i/>
          <w:sz w:val="16"/>
        </w:rPr>
        <w:t>Pueblo</w:t>
      </w:r>
      <w:r>
        <w:rPr>
          <w:i/>
          <w:spacing w:val="-7"/>
          <w:sz w:val="16"/>
        </w:rPr>
        <w:t> </w:t>
      </w:r>
      <w:r>
        <w:rPr>
          <w:i/>
          <w:sz w:val="16"/>
        </w:rPr>
        <w:t>Saramaka</w:t>
      </w:r>
      <w:r>
        <w:rPr>
          <w:i/>
          <w:spacing w:val="-8"/>
          <w:sz w:val="16"/>
        </w:rPr>
        <w:t> </w:t>
      </w:r>
      <w:r>
        <w:rPr>
          <w:i/>
          <w:sz w:val="16"/>
        </w:rPr>
        <w:t>Vs.</w:t>
      </w:r>
      <w:r>
        <w:rPr>
          <w:i/>
          <w:spacing w:val="-7"/>
          <w:sz w:val="16"/>
        </w:rPr>
        <w:t> </w:t>
      </w:r>
      <w:r>
        <w:rPr>
          <w:i/>
          <w:sz w:val="16"/>
        </w:rPr>
        <w:t>Surinam.</w:t>
      </w:r>
      <w:r>
        <w:rPr>
          <w:i/>
          <w:spacing w:val="-8"/>
          <w:sz w:val="16"/>
        </w:rPr>
        <w:t> </w:t>
      </w:r>
      <w:r>
        <w:rPr>
          <w:i/>
          <w:sz w:val="16"/>
        </w:rPr>
        <w:t>Excepciones</w:t>
      </w:r>
      <w:r>
        <w:rPr>
          <w:i/>
          <w:spacing w:val="-8"/>
          <w:sz w:val="16"/>
        </w:rPr>
        <w:t> </w:t>
      </w:r>
      <w:r>
        <w:rPr>
          <w:i/>
          <w:sz w:val="16"/>
        </w:rPr>
        <w:t>Preliminares, </w:t>
      </w:r>
      <w:r>
        <w:rPr>
          <w:i/>
          <w:sz w:val="16"/>
        </w:rPr>
        <w:t>Fondo, Reparaciones y Costas</w:t>
      </w:r>
      <w:r>
        <w:rPr>
          <w:sz w:val="16"/>
        </w:rPr>
        <w:t>. Sentencia de 28 de noviembre de 2007. Serie C No. 172; </w:t>
      </w:r>
      <w:r>
        <w:rPr>
          <w:i/>
          <w:sz w:val="16"/>
        </w:rPr>
        <w:t>Caso Comunidad </w:t>
      </w:r>
      <w:r>
        <w:rPr>
          <w:i/>
          <w:sz w:val="16"/>
        </w:rPr>
        <w:t>Indígena Xákmok Kásek Vs. Paraguay. Fondo, Reparaciones y Costas</w:t>
      </w:r>
      <w:r>
        <w:rPr>
          <w:sz w:val="16"/>
        </w:rPr>
        <w:t>. Sentencia de 24 de agosto de 2010. Serie</w:t>
      </w:r>
      <w:r>
        <w:rPr>
          <w:spacing w:val="-8"/>
          <w:sz w:val="16"/>
        </w:rPr>
        <w:t> </w:t>
      </w:r>
      <w:r>
        <w:rPr>
          <w:sz w:val="16"/>
        </w:rPr>
        <w:t>C</w:t>
      </w:r>
      <w:r>
        <w:rPr>
          <w:spacing w:val="-7"/>
          <w:sz w:val="16"/>
        </w:rPr>
        <w:t> </w:t>
      </w:r>
      <w:r>
        <w:rPr>
          <w:sz w:val="16"/>
        </w:rPr>
        <w:t>No.</w:t>
      </w:r>
      <w:r>
        <w:rPr>
          <w:spacing w:val="-7"/>
          <w:sz w:val="16"/>
        </w:rPr>
        <w:t> </w:t>
      </w:r>
      <w:r>
        <w:rPr>
          <w:sz w:val="16"/>
        </w:rPr>
        <w:t>214;</w:t>
      </w:r>
      <w:r>
        <w:rPr>
          <w:spacing w:val="-6"/>
          <w:sz w:val="16"/>
        </w:rPr>
        <w:t> </w:t>
      </w:r>
      <w:r>
        <w:rPr>
          <w:i/>
          <w:sz w:val="16"/>
        </w:rPr>
        <w:t>Caso</w:t>
      </w:r>
      <w:r>
        <w:rPr>
          <w:i/>
          <w:spacing w:val="-7"/>
          <w:sz w:val="16"/>
        </w:rPr>
        <w:t> </w:t>
      </w:r>
      <w:r>
        <w:rPr>
          <w:i/>
          <w:sz w:val="16"/>
        </w:rPr>
        <w:t>Pueblo</w:t>
      </w:r>
      <w:r>
        <w:rPr>
          <w:i/>
          <w:spacing w:val="-6"/>
          <w:sz w:val="16"/>
        </w:rPr>
        <w:t> </w:t>
      </w:r>
      <w:r>
        <w:rPr>
          <w:i/>
          <w:sz w:val="16"/>
        </w:rPr>
        <w:t>Indígena</w:t>
      </w:r>
      <w:r>
        <w:rPr>
          <w:i/>
          <w:spacing w:val="-8"/>
          <w:sz w:val="16"/>
        </w:rPr>
        <w:t> </w:t>
      </w:r>
      <w:r>
        <w:rPr>
          <w:i/>
          <w:sz w:val="16"/>
        </w:rPr>
        <w:t>Kichwa</w:t>
      </w:r>
      <w:r>
        <w:rPr>
          <w:i/>
          <w:spacing w:val="-7"/>
          <w:sz w:val="16"/>
        </w:rPr>
        <w:t> </w:t>
      </w:r>
      <w:r>
        <w:rPr>
          <w:i/>
          <w:sz w:val="16"/>
        </w:rPr>
        <w:t>de</w:t>
      </w:r>
      <w:r>
        <w:rPr>
          <w:i/>
          <w:spacing w:val="-7"/>
          <w:sz w:val="16"/>
        </w:rPr>
        <w:t> </w:t>
      </w:r>
      <w:r>
        <w:rPr>
          <w:i/>
          <w:sz w:val="16"/>
        </w:rPr>
        <w:t>Sarayaku</w:t>
      </w:r>
      <w:r>
        <w:rPr>
          <w:i/>
          <w:spacing w:val="-7"/>
          <w:sz w:val="16"/>
        </w:rPr>
        <w:t> </w:t>
      </w:r>
      <w:r>
        <w:rPr>
          <w:i/>
          <w:sz w:val="16"/>
        </w:rPr>
        <w:t>Vs.</w:t>
      </w:r>
      <w:r>
        <w:rPr>
          <w:i/>
          <w:spacing w:val="-8"/>
          <w:sz w:val="16"/>
        </w:rPr>
        <w:t> </w:t>
      </w:r>
      <w:r>
        <w:rPr>
          <w:i/>
          <w:sz w:val="16"/>
        </w:rPr>
        <w:t>Ecuador.</w:t>
      </w:r>
      <w:r>
        <w:rPr>
          <w:i/>
          <w:spacing w:val="-6"/>
          <w:sz w:val="16"/>
        </w:rPr>
        <w:t> </w:t>
      </w:r>
      <w:r>
        <w:rPr>
          <w:i/>
          <w:sz w:val="16"/>
        </w:rPr>
        <w:t>Fondo</w:t>
      </w:r>
      <w:r>
        <w:rPr>
          <w:i/>
          <w:spacing w:val="-7"/>
          <w:sz w:val="16"/>
        </w:rPr>
        <w:t> </w:t>
      </w:r>
      <w:r>
        <w:rPr>
          <w:i/>
          <w:sz w:val="16"/>
        </w:rPr>
        <w:t>y</w:t>
      </w:r>
      <w:r>
        <w:rPr>
          <w:i/>
          <w:spacing w:val="-7"/>
          <w:sz w:val="16"/>
        </w:rPr>
        <w:t> </w:t>
      </w:r>
      <w:r>
        <w:rPr>
          <w:i/>
          <w:sz w:val="16"/>
        </w:rPr>
        <w:t>Reparaciones</w:t>
      </w:r>
      <w:r>
        <w:rPr>
          <w:sz w:val="16"/>
        </w:rPr>
        <w:t>.</w:t>
      </w:r>
      <w:r>
        <w:rPr>
          <w:spacing w:val="-8"/>
          <w:sz w:val="16"/>
        </w:rPr>
        <w:t> </w:t>
      </w:r>
      <w:r>
        <w:rPr>
          <w:sz w:val="16"/>
        </w:rPr>
        <w:t>Sentencia</w:t>
      </w:r>
      <w:r>
        <w:rPr>
          <w:spacing w:val="-7"/>
          <w:sz w:val="16"/>
        </w:rPr>
        <w:t> </w:t>
      </w:r>
      <w:r>
        <w:rPr>
          <w:sz w:val="16"/>
        </w:rPr>
        <w:t>de 27</w:t>
      </w:r>
      <w:r>
        <w:rPr>
          <w:spacing w:val="-6"/>
          <w:sz w:val="16"/>
        </w:rPr>
        <w:t> </w:t>
      </w:r>
      <w:r>
        <w:rPr>
          <w:sz w:val="16"/>
        </w:rPr>
        <w:t>de</w:t>
      </w:r>
      <w:r>
        <w:rPr>
          <w:spacing w:val="-6"/>
          <w:sz w:val="16"/>
        </w:rPr>
        <w:t> </w:t>
      </w:r>
      <w:r>
        <w:rPr>
          <w:sz w:val="16"/>
        </w:rPr>
        <w:t>junio</w:t>
      </w:r>
      <w:r>
        <w:rPr>
          <w:spacing w:val="-6"/>
          <w:sz w:val="16"/>
        </w:rPr>
        <w:t> </w:t>
      </w:r>
      <w:r>
        <w:rPr>
          <w:sz w:val="16"/>
        </w:rPr>
        <w:t>de</w:t>
      </w:r>
      <w:r>
        <w:rPr>
          <w:spacing w:val="-6"/>
          <w:sz w:val="16"/>
        </w:rPr>
        <w:t> </w:t>
      </w:r>
      <w:r>
        <w:rPr>
          <w:sz w:val="16"/>
        </w:rPr>
        <w:t>2012.</w:t>
      </w:r>
      <w:r>
        <w:rPr>
          <w:spacing w:val="-6"/>
          <w:sz w:val="16"/>
        </w:rPr>
        <w:t> </w:t>
      </w:r>
      <w:r>
        <w:rPr>
          <w:sz w:val="16"/>
        </w:rPr>
        <w:t>Serie</w:t>
      </w:r>
      <w:r>
        <w:rPr>
          <w:spacing w:val="-7"/>
          <w:sz w:val="16"/>
        </w:rPr>
        <w:t> </w:t>
      </w:r>
      <w:r>
        <w:rPr>
          <w:sz w:val="16"/>
        </w:rPr>
        <w:t>C</w:t>
      </w:r>
      <w:r>
        <w:rPr>
          <w:spacing w:val="-6"/>
          <w:sz w:val="16"/>
        </w:rPr>
        <w:t> </w:t>
      </w:r>
      <w:r>
        <w:rPr>
          <w:sz w:val="16"/>
        </w:rPr>
        <w:t>No.</w:t>
      </w:r>
      <w:r>
        <w:rPr>
          <w:spacing w:val="-6"/>
          <w:sz w:val="16"/>
        </w:rPr>
        <w:t> </w:t>
      </w:r>
      <w:r>
        <w:rPr>
          <w:sz w:val="16"/>
        </w:rPr>
        <w:t>245;</w:t>
      </w:r>
      <w:r>
        <w:rPr>
          <w:spacing w:val="-4"/>
          <w:sz w:val="16"/>
        </w:rPr>
        <w:t> </w:t>
      </w:r>
      <w:r>
        <w:rPr>
          <w:i/>
          <w:sz w:val="16"/>
        </w:rPr>
        <w:t>Caso</w:t>
      </w:r>
      <w:r>
        <w:rPr>
          <w:i/>
          <w:spacing w:val="-5"/>
          <w:sz w:val="16"/>
        </w:rPr>
        <w:t> </w:t>
      </w:r>
      <w:r>
        <w:rPr>
          <w:i/>
          <w:sz w:val="16"/>
        </w:rPr>
        <w:t>de</w:t>
      </w:r>
      <w:r>
        <w:rPr>
          <w:i/>
          <w:spacing w:val="-6"/>
          <w:sz w:val="16"/>
        </w:rPr>
        <w:t> </w:t>
      </w:r>
      <w:r>
        <w:rPr>
          <w:i/>
          <w:sz w:val="16"/>
        </w:rPr>
        <w:t>las</w:t>
      </w:r>
      <w:r>
        <w:rPr>
          <w:i/>
          <w:spacing w:val="-6"/>
          <w:sz w:val="16"/>
        </w:rPr>
        <w:t> </w:t>
      </w:r>
      <w:r>
        <w:rPr>
          <w:i/>
          <w:sz w:val="16"/>
        </w:rPr>
        <w:t>Comunidades</w:t>
      </w:r>
      <w:r>
        <w:rPr>
          <w:i/>
          <w:spacing w:val="-6"/>
          <w:sz w:val="16"/>
        </w:rPr>
        <w:t> </w:t>
      </w:r>
      <w:r>
        <w:rPr>
          <w:i/>
          <w:sz w:val="16"/>
        </w:rPr>
        <w:t>Afrodescendientes</w:t>
      </w:r>
      <w:r>
        <w:rPr>
          <w:i/>
          <w:spacing w:val="-6"/>
          <w:sz w:val="16"/>
        </w:rPr>
        <w:t> </w:t>
      </w:r>
      <w:r>
        <w:rPr>
          <w:i/>
          <w:sz w:val="16"/>
        </w:rPr>
        <w:t>desplazadas</w:t>
      </w:r>
      <w:r>
        <w:rPr>
          <w:i/>
          <w:spacing w:val="-6"/>
          <w:sz w:val="16"/>
        </w:rPr>
        <w:t> </w:t>
      </w:r>
      <w:r>
        <w:rPr>
          <w:i/>
          <w:sz w:val="16"/>
        </w:rPr>
        <w:t>de</w:t>
      </w:r>
      <w:r>
        <w:rPr>
          <w:i/>
          <w:spacing w:val="-6"/>
          <w:sz w:val="16"/>
        </w:rPr>
        <w:t> </w:t>
      </w:r>
      <w:r>
        <w:rPr>
          <w:i/>
          <w:sz w:val="16"/>
        </w:rPr>
        <w:t>la</w:t>
      </w:r>
      <w:r>
        <w:rPr>
          <w:i/>
          <w:spacing w:val="-6"/>
          <w:sz w:val="16"/>
        </w:rPr>
        <w:t> </w:t>
      </w:r>
      <w:r>
        <w:rPr>
          <w:i/>
          <w:sz w:val="16"/>
        </w:rPr>
        <w:t>Cuenca </w:t>
      </w:r>
      <w:r>
        <w:rPr>
          <w:i/>
          <w:sz w:val="16"/>
        </w:rPr>
        <w:t>del</w:t>
      </w:r>
      <w:r>
        <w:rPr>
          <w:i/>
          <w:spacing w:val="-4"/>
          <w:sz w:val="16"/>
        </w:rPr>
        <w:t> </w:t>
      </w:r>
      <w:r>
        <w:rPr>
          <w:i/>
          <w:sz w:val="16"/>
        </w:rPr>
        <w:t>Río</w:t>
      </w:r>
      <w:r>
        <w:rPr>
          <w:i/>
          <w:spacing w:val="-4"/>
          <w:sz w:val="16"/>
        </w:rPr>
        <w:t> </w:t>
      </w:r>
      <w:r>
        <w:rPr>
          <w:i/>
          <w:sz w:val="16"/>
        </w:rPr>
        <w:t>Cacarica</w:t>
      </w:r>
      <w:r>
        <w:rPr>
          <w:i/>
          <w:spacing w:val="-5"/>
          <w:sz w:val="16"/>
        </w:rPr>
        <w:t> </w:t>
      </w:r>
      <w:r>
        <w:rPr>
          <w:i/>
          <w:sz w:val="16"/>
        </w:rPr>
        <w:t>(Operación</w:t>
      </w:r>
      <w:r>
        <w:rPr>
          <w:i/>
          <w:spacing w:val="-5"/>
          <w:sz w:val="16"/>
        </w:rPr>
        <w:t> </w:t>
      </w:r>
      <w:r>
        <w:rPr>
          <w:i/>
          <w:sz w:val="16"/>
        </w:rPr>
        <w:t>Génesis)</w:t>
      </w:r>
      <w:r>
        <w:rPr>
          <w:i/>
          <w:spacing w:val="-5"/>
          <w:sz w:val="16"/>
        </w:rPr>
        <w:t> </w:t>
      </w:r>
      <w:r>
        <w:rPr>
          <w:i/>
          <w:sz w:val="16"/>
        </w:rPr>
        <w:t>Vs.</w:t>
      </w:r>
      <w:r>
        <w:rPr>
          <w:i/>
          <w:spacing w:val="-4"/>
          <w:sz w:val="16"/>
        </w:rPr>
        <w:t> </w:t>
      </w:r>
      <w:r>
        <w:rPr>
          <w:i/>
          <w:sz w:val="16"/>
        </w:rPr>
        <w:t>Colombia.</w:t>
      </w:r>
      <w:r>
        <w:rPr>
          <w:i/>
          <w:spacing w:val="-5"/>
          <w:sz w:val="16"/>
        </w:rPr>
        <w:t> </w:t>
      </w:r>
      <w:r>
        <w:rPr>
          <w:i/>
          <w:sz w:val="16"/>
        </w:rPr>
        <w:t>Excepciones</w:t>
      </w:r>
      <w:r>
        <w:rPr>
          <w:i/>
          <w:spacing w:val="-4"/>
          <w:sz w:val="16"/>
        </w:rPr>
        <w:t> </w:t>
      </w:r>
      <w:r>
        <w:rPr>
          <w:i/>
          <w:sz w:val="16"/>
        </w:rPr>
        <w:t>Preliminares,</w:t>
      </w:r>
      <w:r>
        <w:rPr>
          <w:i/>
          <w:spacing w:val="-4"/>
          <w:sz w:val="16"/>
        </w:rPr>
        <w:t> </w:t>
      </w:r>
      <w:r>
        <w:rPr>
          <w:i/>
          <w:sz w:val="16"/>
        </w:rPr>
        <w:t>Fondo,</w:t>
      </w:r>
      <w:r>
        <w:rPr>
          <w:i/>
          <w:spacing w:val="-5"/>
          <w:sz w:val="16"/>
        </w:rPr>
        <w:t> </w:t>
      </w:r>
      <w:r>
        <w:rPr>
          <w:i/>
          <w:sz w:val="16"/>
        </w:rPr>
        <w:t>Reparaciones</w:t>
      </w:r>
      <w:r>
        <w:rPr>
          <w:i/>
          <w:spacing w:val="-5"/>
          <w:sz w:val="16"/>
        </w:rPr>
        <w:t> </w:t>
      </w:r>
      <w:r>
        <w:rPr>
          <w:i/>
          <w:sz w:val="16"/>
        </w:rPr>
        <w:t>y</w:t>
      </w:r>
      <w:r>
        <w:rPr>
          <w:i/>
          <w:spacing w:val="-1"/>
          <w:sz w:val="16"/>
        </w:rPr>
        <w:t> </w:t>
      </w:r>
      <w:r>
        <w:rPr>
          <w:i/>
          <w:sz w:val="16"/>
        </w:rPr>
        <w:t>Costas</w:t>
      </w:r>
      <w:r>
        <w:rPr>
          <w:sz w:val="16"/>
        </w:rPr>
        <w:t>. Sentencia</w:t>
      </w:r>
      <w:r>
        <w:rPr>
          <w:spacing w:val="-10"/>
          <w:sz w:val="16"/>
        </w:rPr>
        <w:t> </w:t>
      </w:r>
      <w:r>
        <w:rPr>
          <w:sz w:val="16"/>
        </w:rPr>
        <w:t>de</w:t>
      </w:r>
      <w:r>
        <w:rPr>
          <w:spacing w:val="-10"/>
          <w:sz w:val="16"/>
        </w:rPr>
        <w:t> </w:t>
      </w:r>
      <w:r>
        <w:rPr>
          <w:sz w:val="16"/>
        </w:rPr>
        <w:t>20</w:t>
      </w:r>
      <w:r>
        <w:rPr>
          <w:spacing w:val="-10"/>
          <w:sz w:val="16"/>
        </w:rPr>
        <w:t> </w:t>
      </w:r>
      <w:r>
        <w:rPr>
          <w:sz w:val="16"/>
        </w:rPr>
        <w:t>de</w:t>
      </w:r>
      <w:r>
        <w:rPr>
          <w:spacing w:val="-11"/>
          <w:sz w:val="16"/>
        </w:rPr>
        <w:t> </w:t>
      </w:r>
      <w:r>
        <w:rPr>
          <w:sz w:val="16"/>
        </w:rPr>
        <w:t>noviembre</w:t>
      </w:r>
      <w:r>
        <w:rPr>
          <w:spacing w:val="-11"/>
          <w:sz w:val="16"/>
        </w:rPr>
        <w:t> </w:t>
      </w:r>
      <w:r>
        <w:rPr>
          <w:sz w:val="16"/>
        </w:rPr>
        <w:t>de</w:t>
      </w:r>
      <w:r>
        <w:rPr>
          <w:spacing w:val="-10"/>
          <w:sz w:val="16"/>
        </w:rPr>
        <w:t> </w:t>
      </w:r>
      <w:r>
        <w:rPr>
          <w:sz w:val="16"/>
        </w:rPr>
        <w:t>2013.</w:t>
      </w:r>
      <w:r>
        <w:rPr>
          <w:spacing w:val="-11"/>
          <w:sz w:val="16"/>
        </w:rPr>
        <w:t> </w:t>
      </w:r>
      <w:r>
        <w:rPr>
          <w:sz w:val="16"/>
        </w:rPr>
        <w:t>Serie</w:t>
      </w:r>
      <w:r>
        <w:rPr>
          <w:spacing w:val="-11"/>
          <w:sz w:val="16"/>
        </w:rPr>
        <w:t> </w:t>
      </w:r>
      <w:r>
        <w:rPr>
          <w:sz w:val="16"/>
        </w:rPr>
        <w:t>C</w:t>
      </w:r>
      <w:r>
        <w:rPr>
          <w:spacing w:val="-11"/>
          <w:sz w:val="16"/>
        </w:rPr>
        <w:t> </w:t>
      </w:r>
      <w:r>
        <w:rPr>
          <w:sz w:val="16"/>
        </w:rPr>
        <w:t>No.</w:t>
      </w:r>
      <w:r>
        <w:rPr>
          <w:spacing w:val="-10"/>
          <w:sz w:val="16"/>
        </w:rPr>
        <w:t> </w:t>
      </w:r>
      <w:r>
        <w:rPr>
          <w:sz w:val="16"/>
        </w:rPr>
        <w:t>270;</w:t>
      </w:r>
      <w:r>
        <w:rPr>
          <w:spacing w:val="48"/>
          <w:sz w:val="16"/>
        </w:rPr>
        <w:t> </w:t>
      </w:r>
      <w:r>
        <w:rPr>
          <w:i/>
          <w:sz w:val="16"/>
        </w:rPr>
        <w:t>Caso</w:t>
      </w:r>
      <w:r>
        <w:rPr>
          <w:i/>
          <w:spacing w:val="-11"/>
          <w:sz w:val="16"/>
        </w:rPr>
        <w:t> </w:t>
      </w:r>
      <w:r>
        <w:rPr>
          <w:i/>
          <w:sz w:val="16"/>
        </w:rPr>
        <w:t>de</w:t>
      </w:r>
      <w:r>
        <w:rPr>
          <w:i/>
          <w:spacing w:val="-10"/>
          <w:sz w:val="16"/>
        </w:rPr>
        <w:t> </w:t>
      </w:r>
      <w:r>
        <w:rPr>
          <w:i/>
          <w:sz w:val="16"/>
        </w:rPr>
        <w:t>los</w:t>
      </w:r>
      <w:r>
        <w:rPr>
          <w:i/>
          <w:spacing w:val="-11"/>
          <w:sz w:val="16"/>
        </w:rPr>
        <w:t> </w:t>
      </w:r>
      <w:r>
        <w:rPr>
          <w:i/>
          <w:sz w:val="16"/>
        </w:rPr>
        <w:t>Pueblos</w:t>
      </w:r>
      <w:r>
        <w:rPr>
          <w:i/>
          <w:spacing w:val="-11"/>
          <w:sz w:val="16"/>
        </w:rPr>
        <w:t> </w:t>
      </w:r>
      <w:r>
        <w:rPr>
          <w:i/>
          <w:sz w:val="16"/>
        </w:rPr>
        <w:t>Indígenas</w:t>
      </w:r>
      <w:r>
        <w:rPr>
          <w:i/>
          <w:spacing w:val="-10"/>
          <w:sz w:val="16"/>
        </w:rPr>
        <w:t> </w:t>
      </w:r>
      <w:r>
        <w:rPr>
          <w:i/>
          <w:sz w:val="16"/>
        </w:rPr>
        <w:t>Kuna</w:t>
      </w:r>
      <w:r>
        <w:rPr>
          <w:i/>
          <w:spacing w:val="-10"/>
          <w:sz w:val="16"/>
        </w:rPr>
        <w:t> </w:t>
      </w:r>
      <w:r>
        <w:rPr>
          <w:i/>
          <w:sz w:val="16"/>
        </w:rPr>
        <w:t>de</w:t>
      </w:r>
      <w:r>
        <w:rPr>
          <w:i/>
          <w:spacing w:val="-10"/>
          <w:sz w:val="16"/>
        </w:rPr>
        <w:t> </w:t>
      </w:r>
      <w:r>
        <w:rPr>
          <w:i/>
          <w:sz w:val="16"/>
        </w:rPr>
        <w:t>Madungandí </w:t>
      </w:r>
      <w:r>
        <w:rPr>
          <w:i/>
          <w:sz w:val="16"/>
        </w:rPr>
        <w:t>y Emberá de Bayano y sus miembros Vs. Panamá. Excepciones Preliminares, Fondo, Reparaciones y Costas</w:t>
      </w:r>
      <w:r>
        <w:rPr>
          <w:sz w:val="16"/>
        </w:rPr>
        <w:t>. Sentencia de 14 de octubre de 2014. Serie C No. 284; </w:t>
      </w:r>
      <w:r>
        <w:rPr>
          <w:i/>
          <w:sz w:val="16"/>
        </w:rPr>
        <w:t>Caso Comunidad Garífuna de Punta Piedra y sus </w:t>
      </w:r>
      <w:r>
        <w:rPr>
          <w:i/>
          <w:sz w:val="16"/>
        </w:rPr>
        <w:t>miembros</w:t>
      </w:r>
      <w:r>
        <w:rPr>
          <w:i/>
          <w:spacing w:val="-6"/>
          <w:sz w:val="16"/>
        </w:rPr>
        <w:t> </w:t>
      </w:r>
      <w:r>
        <w:rPr>
          <w:i/>
          <w:sz w:val="16"/>
        </w:rPr>
        <w:t>Vs.</w:t>
      </w:r>
      <w:r>
        <w:rPr>
          <w:i/>
          <w:spacing w:val="-5"/>
          <w:sz w:val="16"/>
        </w:rPr>
        <w:t> </w:t>
      </w:r>
      <w:r>
        <w:rPr>
          <w:i/>
          <w:sz w:val="16"/>
        </w:rPr>
        <w:t>Honduras.</w:t>
      </w:r>
      <w:r>
        <w:rPr>
          <w:i/>
          <w:spacing w:val="-6"/>
          <w:sz w:val="16"/>
        </w:rPr>
        <w:t> </w:t>
      </w:r>
      <w:r>
        <w:rPr>
          <w:i/>
          <w:sz w:val="16"/>
        </w:rPr>
        <w:t>Excepciones</w:t>
      </w:r>
      <w:r>
        <w:rPr>
          <w:i/>
          <w:spacing w:val="-6"/>
          <w:sz w:val="16"/>
        </w:rPr>
        <w:t> </w:t>
      </w:r>
      <w:r>
        <w:rPr>
          <w:i/>
          <w:sz w:val="16"/>
        </w:rPr>
        <w:t>Preliminares,</w:t>
      </w:r>
      <w:r>
        <w:rPr>
          <w:i/>
          <w:spacing w:val="-7"/>
          <w:sz w:val="16"/>
        </w:rPr>
        <w:t> </w:t>
      </w:r>
      <w:r>
        <w:rPr>
          <w:i/>
          <w:sz w:val="16"/>
        </w:rPr>
        <w:t>Fondo,</w:t>
      </w:r>
      <w:r>
        <w:rPr>
          <w:i/>
          <w:spacing w:val="-6"/>
          <w:sz w:val="16"/>
        </w:rPr>
        <w:t> </w:t>
      </w:r>
      <w:r>
        <w:rPr>
          <w:i/>
          <w:sz w:val="16"/>
        </w:rPr>
        <w:t>Reparaciones</w:t>
      </w:r>
      <w:r>
        <w:rPr>
          <w:i/>
          <w:spacing w:val="-6"/>
          <w:sz w:val="16"/>
        </w:rPr>
        <w:t> </w:t>
      </w:r>
      <w:r>
        <w:rPr>
          <w:i/>
          <w:sz w:val="16"/>
        </w:rPr>
        <w:t>y</w:t>
      </w:r>
      <w:r>
        <w:rPr>
          <w:i/>
          <w:spacing w:val="-5"/>
          <w:sz w:val="16"/>
        </w:rPr>
        <w:t> </w:t>
      </w:r>
      <w:r>
        <w:rPr>
          <w:i/>
          <w:sz w:val="16"/>
        </w:rPr>
        <w:t>Costas.</w:t>
      </w:r>
      <w:r>
        <w:rPr>
          <w:i/>
          <w:spacing w:val="-3"/>
          <w:sz w:val="16"/>
        </w:rPr>
        <w:t> </w:t>
      </w:r>
      <w:r>
        <w:rPr>
          <w:sz w:val="16"/>
        </w:rPr>
        <w:t>Sentencia</w:t>
      </w:r>
      <w:r>
        <w:rPr>
          <w:spacing w:val="-5"/>
          <w:sz w:val="16"/>
        </w:rPr>
        <w:t> </w:t>
      </w:r>
      <w:r>
        <w:rPr>
          <w:sz w:val="16"/>
        </w:rPr>
        <w:t>de</w:t>
      </w:r>
      <w:r>
        <w:rPr>
          <w:spacing w:val="-6"/>
          <w:sz w:val="16"/>
        </w:rPr>
        <w:t> </w:t>
      </w:r>
      <w:r>
        <w:rPr>
          <w:sz w:val="16"/>
        </w:rPr>
        <w:t>8</w:t>
      </w:r>
      <w:r>
        <w:rPr>
          <w:spacing w:val="-5"/>
          <w:sz w:val="16"/>
        </w:rPr>
        <w:t> </w:t>
      </w:r>
      <w:r>
        <w:rPr>
          <w:sz w:val="16"/>
        </w:rPr>
        <w:t>de</w:t>
      </w:r>
      <w:r>
        <w:rPr>
          <w:spacing w:val="-6"/>
          <w:sz w:val="16"/>
        </w:rPr>
        <w:t> </w:t>
      </w:r>
      <w:r>
        <w:rPr>
          <w:sz w:val="16"/>
        </w:rPr>
        <w:t>octubre de</w:t>
      </w:r>
      <w:r>
        <w:rPr>
          <w:spacing w:val="-7"/>
          <w:sz w:val="16"/>
        </w:rPr>
        <w:t> </w:t>
      </w:r>
      <w:r>
        <w:rPr>
          <w:sz w:val="16"/>
        </w:rPr>
        <w:t>2015.</w:t>
      </w:r>
      <w:r>
        <w:rPr>
          <w:spacing w:val="-8"/>
          <w:sz w:val="16"/>
        </w:rPr>
        <w:t> </w:t>
      </w:r>
      <w:r>
        <w:rPr>
          <w:sz w:val="16"/>
        </w:rPr>
        <w:t>Serie</w:t>
      </w:r>
      <w:r>
        <w:rPr>
          <w:spacing w:val="-8"/>
          <w:sz w:val="16"/>
        </w:rPr>
        <w:t> </w:t>
      </w:r>
      <w:r>
        <w:rPr>
          <w:sz w:val="16"/>
        </w:rPr>
        <w:t>C</w:t>
      </w:r>
      <w:r>
        <w:rPr>
          <w:spacing w:val="-7"/>
          <w:sz w:val="16"/>
        </w:rPr>
        <w:t> </w:t>
      </w:r>
      <w:r>
        <w:rPr>
          <w:sz w:val="16"/>
        </w:rPr>
        <w:t>No.</w:t>
      </w:r>
      <w:r>
        <w:rPr>
          <w:spacing w:val="-7"/>
          <w:sz w:val="16"/>
        </w:rPr>
        <w:t> </w:t>
      </w:r>
      <w:r>
        <w:rPr>
          <w:sz w:val="16"/>
        </w:rPr>
        <w:t>304;</w:t>
      </w:r>
      <w:r>
        <w:rPr>
          <w:spacing w:val="-6"/>
          <w:sz w:val="16"/>
        </w:rPr>
        <w:t> </w:t>
      </w:r>
      <w:r>
        <w:rPr>
          <w:i/>
          <w:sz w:val="16"/>
        </w:rPr>
        <w:t>Caso</w:t>
      </w:r>
      <w:r>
        <w:rPr>
          <w:i/>
          <w:spacing w:val="-7"/>
          <w:sz w:val="16"/>
        </w:rPr>
        <w:t> </w:t>
      </w:r>
      <w:r>
        <w:rPr>
          <w:i/>
          <w:sz w:val="16"/>
        </w:rPr>
        <w:t>Comunidad</w:t>
      </w:r>
      <w:r>
        <w:rPr>
          <w:i/>
          <w:spacing w:val="-7"/>
          <w:sz w:val="16"/>
        </w:rPr>
        <w:t> </w:t>
      </w:r>
      <w:r>
        <w:rPr>
          <w:i/>
          <w:sz w:val="16"/>
        </w:rPr>
        <w:t>Garífuna</w:t>
      </w:r>
      <w:r>
        <w:rPr>
          <w:i/>
          <w:spacing w:val="-8"/>
          <w:sz w:val="16"/>
        </w:rPr>
        <w:t> </w:t>
      </w:r>
      <w:r>
        <w:rPr>
          <w:i/>
          <w:sz w:val="16"/>
        </w:rPr>
        <w:t>Triunfo</w:t>
      </w:r>
      <w:r>
        <w:rPr>
          <w:i/>
          <w:spacing w:val="-7"/>
          <w:sz w:val="16"/>
        </w:rPr>
        <w:t> </w:t>
      </w:r>
      <w:r>
        <w:rPr>
          <w:i/>
          <w:sz w:val="16"/>
        </w:rPr>
        <w:t>de</w:t>
      </w:r>
      <w:r>
        <w:rPr>
          <w:i/>
          <w:spacing w:val="-7"/>
          <w:sz w:val="16"/>
        </w:rPr>
        <w:t> </w:t>
      </w:r>
      <w:r>
        <w:rPr>
          <w:i/>
          <w:sz w:val="16"/>
        </w:rPr>
        <w:t>la</w:t>
      </w:r>
      <w:r>
        <w:rPr>
          <w:i/>
          <w:spacing w:val="-7"/>
          <w:sz w:val="16"/>
        </w:rPr>
        <w:t> </w:t>
      </w:r>
      <w:r>
        <w:rPr>
          <w:i/>
          <w:sz w:val="16"/>
        </w:rPr>
        <w:t>Cruz</w:t>
      </w:r>
      <w:r>
        <w:rPr>
          <w:i/>
          <w:spacing w:val="-7"/>
          <w:sz w:val="16"/>
        </w:rPr>
        <w:t> </w:t>
      </w:r>
      <w:r>
        <w:rPr>
          <w:i/>
          <w:sz w:val="16"/>
        </w:rPr>
        <w:t>y</w:t>
      </w:r>
      <w:r>
        <w:rPr>
          <w:i/>
          <w:spacing w:val="-9"/>
          <w:sz w:val="16"/>
        </w:rPr>
        <w:t> </w:t>
      </w:r>
      <w:r>
        <w:rPr>
          <w:i/>
          <w:sz w:val="16"/>
        </w:rPr>
        <w:t>sus</w:t>
      </w:r>
      <w:r>
        <w:rPr>
          <w:i/>
          <w:spacing w:val="-6"/>
          <w:sz w:val="16"/>
        </w:rPr>
        <w:t> </w:t>
      </w:r>
      <w:r>
        <w:rPr>
          <w:i/>
          <w:sz w:val="16"/>
        </w:rPr>
        <w:t>miembros</w:t>
      </w:r>
      <w:r>
        <w:rPr>
          <w:i/>
          <w:spacing w:val="-7"/>
          <w:sz w:val="16"/>
        </w:rPr>
        <w:t> </w:t>
      </w:r>
      <w:r>
        <w:rPr>
          <w:i/>
          <w:sz w:val="16"/>
        </w:rPr>
        <w:t>Vs.</w:t>
      </w:r>
      <w:r>
        <w:rPr>
          <w:i/>
          <w:spacing w:val="-6"/>
          <w:sz w:val="16"/>
        </w:rPr>
        <w:t> </w:t>
      </w:r>
      <w:r>
        <w:rPr>
          <w:i/>
          <w:sz w:val="16"/>
        </w:rPr>
        <w:t>Honduras.</w:t>
      </w:r>
      <w:r>
        <w:rPr>
          <w:i/>
          <w:spacing w:val="-7"/>
          <w:sz w:val="16"/>
        </w:rPr>
        <w:t> </w:t>
      </w:r>
      <w:r>
        <w:rPr>
          <w:i/>
          <w:sz w:val="16"/>
        </w:rPr>
        <w:t>Fondo, </w:t>
      </w:r>
      <w:r>
        <w:rPr>
          <w:i/>
          <w:sz w:val="16"/>
        </w:rPr>
        <w:t>Reparaciones y Costas. </w:t>
      </w:r>
      <w:r>
        <w:rPr>
          <w:sz w:val="16"/>
        </w:rPr>
        <w:t>Sentencia de 8 de octubre de 2015. Serie C No. 305; </w:t>
      </w:r>
      <w:r>
        <w:rPr>
          <w:i/>
          <w:sz w:val="16"/>
        </w:rPr>
        <w:t>Caso Pueblos Kaliña y Lokono </w:t>
      </w:r>
      <w:r>
        <w:rPr>
          <w:i/>
          <w:sz w:val="16"/>
        </w:rPr>
        <w:t>Vs.</w:t>
      </w:r>
      <w:r>
        <w:rPr>
          <w:i/>
          <w:spacing w:val="-5"/>
          <w:sz w:val="16"/>
        </w:rPr>
        <w:t> </w:t>
      </w:r>
      <w:r>
        <w:rPr>
          <w:i/>
          <w:sz w:val="16"/>
        </w:rPr>
        <w:t>Surinam.</w:t>
      </w:r>
      <w:r>
        <w:rPr>
          <w:i/>
          <w:spacing w:val="-5"/>
          <w:sz w:val="16"/>
        </w:rPr>
        <w:t> </w:t>
      </w:r>
      <w:r>
        <w:rPr>
          <w:i/>
          <w:sz w:val="16"/>
        </w:rPr>
        <w:t>Fondo,</w:t>
      </w:r>
      <w:r>
        <w:rPr>
          <w:i/>
          <w:spacing w:val="-5"/>
          <w:sz w:val="16"/>
        </w:rPr>
        <w:t> </w:t>
      </w:r>
      <w:r>
        <w:rPr>
          <w:i/>
          <w:sz w:val="16"/>
        </w:rPr>
        <w:t>Reparaciones</w:t>
      </w:r>
      <w:r>
        <w:rPr>
          <w:i/>
          <w:spacing w:val="-5"/>
          <w:sz w:val="16"/>
        </w:rPr>
        <w:t> </w:t>
      </w:r>
      <w:r>
        <w:rPr>
          <w:i/>
          <w:sz w:val="16"/>
        </w:rPr>
        <w:t>y</w:t>
      </w:r>
      <w:r>
        <w:rPr>
          <w:i/>
          <w:spacing w:val="-4"/>
          <w:sz w:val="16"/>
        </w:rPr>
        <w:t> </w:t>
      </w:r>
      <w:r>
        <w:rPr>
          <w:i/>
          <w:sz w:val="16"/>
        </w:rPr>
        <w:t>Costas</w:t>
      </w:r>
      <w:r>
        <w:rPr>
          <w:sz w:val="16"/>
        </w:rPr>
        <w:t>.</w:t>
      </w:r>
      <w:r>
        <w:rPr>
          <w:spacing w:val="-4"/>
          <w:sz w:val="16"/>
        </w:rPr>
        <w:t> </w:t>
      </w:r>
      <w:r>
        <w:rPr>
          <w:sz w:val="16"/>
        </w:rPr>
        <w:t>Sentencia</w:t>
      </w:r>
      <w:r>
        <w:rPr>
          <w:spacing w:val="-5"/>
          <w:sz w:val="16"/>
        </w:rPr>
        <w:t> </w:t>
      </w:r>
      <w:r>
        <w:rPr>
          <w:sz w:val="16"/>
        </w:rPr>
        <w:t>de</w:t>
      </w:r>
      <w:r>
        <w:rPr>
          <w:spacing w:val="-5"/>
          <w:sz w:val="16"/>
        </w:rPr>
        <w:t> </w:t>
      </w:r>
      <w:r>
        <w:rPr>
          <w:sz w:val="16"/>
        </w:rPr>
        <w:t>25</w:t>
      </w:r>
      <w:r>
        <w:rPr>
          <w:spacing w:val="-4"/>
          <w:sz w:val="16"/>
        </w:rPr>
        <w:t> </w:t>
      </w:r>
      <w:r>
        <w:rPr>
          <w:sz w:val="16"/>
        </w:rPr>
        <w:t>de</w:t>
      </w:r>
      <w:r>
        <w:rPr>
          <w:spacing w:val="-5"/>
          <w:sz w:val="16"/>
        </w:rPr>
        <w:t> </w:t>
      </w:r>
      <w:r>
        <w:rPr>
          <w:sz w:val="16"/>
        </w:rPr>
        <w:t>noviembre</w:t>
      </w:r>
      <w:r>
        <w:rPr>
          <w:spacing w:val="-5"/>
          <w:sz w:val="16"/>
        </w:rPr>
        <w:t> </w:t>
      </w:r>
      <w:r>
        <w:rPr>
          <w:sz w:val="16"/>
        </w:rPr>
        <w:t>de</w:t>
      </w:r>
      <w:r>
        <w:rPr>
          <w:spacing w:val="-5"/>
          <w:sz w:val="16"/>
        </w:rPr>
        <w:t> </w:t>
      </w:r>
      <w:r>
        <w:rPr>
          <w:sz w:val="16"/>
        </w:rPr>
        <w:t>2015.</w:t>
      </w:r>
      <w:r>
        <w:rPr>
          <w:spacing w:val="-5"/>
          <w:sz w:val="16"/>
        </w:rPr>
        <w:t> </w:t>
      </w:r>
      <w:r>
        <w:rPr>
          <w:sz w:val="16"/>
        </w:rPr>
        <w:t>Serie</w:t>
      </w:r>
      <w:r>
        <w:rPr>
          <w:spacing w:val="-5"/>
          <w:sz w:val="16"/>
        </w:rPr>
        <w:t> </w:t>
      </w:r>
      <w:r>
        <w:rPr>
          <w:sz w:val="16"/>
        </w:rPr>
        <w:t>C</w:t>
      </w:r>
      <w:r>
        <w:rPr>
          <w:spacing w:val="-5"/>
          <w:sz w:val="16"/>
        </w:rPr>
        <w:t> </w:t>
      </w:r>
      <w:r>
        <w:rPr>
          <w:sz w:val="16"/>
        </w:rPr>
        <w:t>No.</w:t>
      </w:r>
      <w:r>
        <w:rPr>
          <w:spacing w:val="-5"/>
          <w:sz w:val="16"/>
        </w:rPr>
        <w:t> </w:t>
      </w:r>
      <w:r>
        <w:rPr>
          <w:sz w:val="16"/>
        </w:rPr>
        <w:t>309,</w:t>
      </w:r>
      <w:r>
        <w:rPr>
          <w:spacing w:val="-5"/>
          <w:sz w:val="16"/>
        </w:rPr>
        <w:t> </w:t>
      </w:r>
      <w:r>
        <w:rPr>
          <w:sz w:val="16"/>
        </w:rPr>
        <w:t>y</w:t>
      </w:r>
      <w:r>
        <w:rPr>
          <w:spacing w:val="-6"/>
          <w:sz w:val="16"/>
        </w:rPr>
        <w:t> </w:t>
      </w:r>
      <w:r>
        <w:rPr>
          <w:i/>
          <w:sz w:val="16"/>
        </w:rPr>
        <w:t>Caso </w:t>
      </w:r>
      <w:r>
        <w:rPr>
          <w:i/>
          <w:sz w:val="16"/>
        </w:rPr>
        <w:t>Pueblo Indígena Xucuru y sus miembros Vs. Brasil. Excepciones Preliminares, Fondo, Reparaciones y Costas. </w:t>
      </w:r>
      <w:r>
        <w:rPr>
          <w:sz w:val="16"/>
        </w:rPr>
        <w:t>Sentencia de 5 de febrero de 2018. Serie C No.</w:t>
      </w:r>
      <w:r>
        <w:rPr>
          <w:spacing w:val="-14"/>
          <w:sz w:val="16"/>
        </w:rPr>
        <w:t> </w:t>
      </w:r>
      <w:r>
        <w:rPr>
          <w:sz w:val="16"/>
        </w:rPr>
        <w:t>346.</w:t>
      </w:r>
    </w:p>
    <w:p>
      <w:pPr>
        <w:spacing w:before="119"/>
        <w:ind w:left="118" w:right="314" w:firstLine="0"/>
        <w:jc w:val="both"/>
        <w:rPr>
          <w:sz w:val="16"/>
        </w:rPr>
      </w:pPr>
      <w:r>
        <w:rPr>
          <w:sz w:val="16"/>
        </w:rPr>
        <w:t>Es</w:t>
      </w:r>
      <w:r>
        <w:rPr>
          <w:spacing w:val="-4"/>
          <w:sz w:val="16"/>
        </w:rPr>
        <w:t> </w:t>
      </w:r>
      <w:r>
        <w:rPr>
          <w:sz w:val="16"/>
        </w:rPr>
        <w:t>importante</w:t>
      </w:r>
      <w:r>
        <w:rPr>
          <w:spacing w:val="-4"/>
          <w:sz w:val="16"/>
        </w:rPr>
        <w:t> </w:t>
      </w:r>
      <w:r>
        <w:rPr>
          <w:sz w:val="16"/>
        </w:rPr>
        <w:t>puntualizar</w:t>
      </w:r>
      <w:r>
        <w:rPr>
          <w:spacing w:val="-1"/>
          <w:sz w:val="16"/>
        </w:rPr>
        <w:t> </w:t>
      </w:r>
      <w:r>
        <w:rPr>
          <w:sz w:val="16"/>
        </w:rPr>
        <w:t>que</w:t>
      </w:r>
      <w:r>
        <w:rPr>
          <w:spacing w:val="-4"/>
          <w:sz w:val="16"/>
        </w:rPr>
        <w:t> </w:t>
      </w:r>
      <w:r>
        <w:rPr>
          <w:sz w:val="16"/>
        </w:rPr>
        <w:t>la</w:t>
      </w:r>
      <w:r>
        <w:rPr>
          <w:spacing w:val="-3"/>
          <w:sz w:val="16"/>
        </w:rPr>
        <w:t> </w:t>
      </w:r>
      <w:r>
        <w:rPr>
          <w:sz w:val="16"/>
        </w:rPr>
        <w:t>jurisprudencia</w:t>
      </w:r>
      <w:r>
        <w:rPr>
          <w:spacing w:val="-2"/>
          <w:sz w:val="16"/>
        </w:rPr>
        <w:t> </w:t>
      </w:r>
      <w:r>
        <w:rPr>
          <w:sz w:val="16"/>
        </w:rPr>
        <w:t>indigena</w:t>
      </w:r>
      <w:r>
        <w:rPr>
          <w:spacing w:val="-4"/>
          <w:sz w:val="16"/>
        </w:rPr>
        <w:t> </w:t>
      </w:r>
      <w:r>
        <w:rPr>
          <w:sz w:val="16"/>
        </w:rPr>
        <w:t>o</w:t>
      </w:r>
      <w:r>
        <w:rPr>
          <w:spacing w:val="-3"/>
          <w:sz w:val="16"/>
        </w:rPr>
        <w:t> </w:t>
      </w:r>
      <w:r>
        <w:rPr>
          <w:sz w:val="16"/>
        </w:rPr>
        <w:t>tribal</w:t>
      </w:r>
      <w:r>
        <w:rPr>
          <w:spacing w:val="-4"/>
          <w:sz w:val="16"/>
        </w:rPr>
        <w:t> </w:t>
      </w:r>
      <w:r>
        <w:rPr>
          <w:sz w:val="16"/>
        </w:rPr>
        <w:t>no</w:t>
      </w:r>
      <w:r>
        <w:rPr>
          <w:spacing w:val="-3"/>
          <w:sz w:val="16"/>
        </w:rPr>
        <w:t> </w:t>
      </w:r>
      <w:r>
        <w:rPr>
          <w:sz w:val="16"/>
        </w:rPr>
        <w:t>se</w:t>
      </w:r>
      <w:r>
        <w:rPr>
          <w:spacing w:val="-4"/>
          <w:sz w:val="16"/>
        </w:rPr>
        <w:t> </w:t>
      </w:r>
      <w:r>
        <w:rPr>
          <w:sz w:val="16"/>
        </w:rPr>
        <w:t>agota</w:t>
      </w:r>
      <w:r>
        <w:rPr>
          <w:spacing w:val="-4"/>
          <w:sz w:val="16"/>
        </w:rPr>
        <w:t> </w:t>
      </w:r>
      <w:r>
        <w:rPr>
          <w:sz w:val="16"/>
        </w:rPr>
        <w:t>en</w:t>
      </w:r>
      <w:r>
        <w:rPr>
          <w:spacing w:val="-4"/>
          <w:sz w:val="16"/>
        </w:rPr>
        <w:t> </w:t>
      </w:r>
      <w:r>
        <w:rPr>
          <w:sz w:val="16"/>
        </w:rPr>
        <w:t>estos</w:t>
      </w:r>
      <w:r>
        <w:rPr>
          <w:spacing w:val="-3"/>
          <w:sz w:val="16"/>
        </w:rPr>
        <w:t> </w:t>
      </w:r>
      <w:r>
        <w:rPr>
          <w:sz w:val="16"/>
        </w:rPr>
        <w:t>casos</w:t>
      </w:r>
      <w:r>
        <w:rPr>
          <w:spacing w:val="-4"/>
          <w:sz w:val="16"/>
        </w:rPr>
        <w:t> </w:t>
      </w:r>
      <w:r>
        <w:rPr>
          <w:sz w:val="16"/>
        </w:rPr>
        <w:t>que</w:t>
      </w:r>
      <w:r>
        <w:rPr>
          <w:spacing w:val="-4"/>
          <w:sz w:val="16"/>
        </w:rPr>
        <w:t> </w:t>
      </w:r>
      <w:r>
        <w:rPr>
          <w:sz w:val="16"/>
        </w:rPr>
        <w:t>han</w:t>
      </w:r>
      <w:r>
        <w:rPr>
          <w:spacing w:val="-4"/>
          <w:sz w:val="16"/>
        </w:rPr>
        <w:t> </w:t>
      </w:r>
      <w:r>
        <w:rPr>
          <w:sz w:val="16"/>
        </w:rPr>
        <w:t>versado sobre el territorio, por lo que el listado solo es ilustrativo en la materia. Por ejemplo, no se hace referencia a aquellos casos referidos a violencia sexual, participación política, desplazamiento forzado, privados de la libertad, ejecuciones extrajudiciales o</w:t>
      </w:r>
      <w:r>
        <w:rPr>
          <w:spacing w:val="-18"/>
          <w:sz w:val="16"/>
        </w:rPr>
        <w:t> </w:t>
      </w:r>
      <w:r>
        <w:rPr>
          <w:sz w:val="16"/>
        </w:rPr>
        <w:t>masacres.</w:t>
      </w:r>
    </w:p>
    <w:p>
      <w:pPr>
        <w:tabs>
          <w:tab w:pos="826" w:val="left" w:leader="none"/>
        </w:tabs>
        <w:spacing w:before="120"/>
        <w:ind w:left="118" w:right="312" w:firstLine="0"/>
        <w:jc w:val="both"/>
        <w:rPr>
          <w:sz w:val="16"/>
        </w:rPr>
      </w:pPr>
      <w:r>
        <w:rPr>
          <w:position w:val="6"/>
          <w:sz w:val="10"/>
        </w:rPr>
        <w:t>3</w:t>
        <w:tab/>
      </w:r>
      <w:r>
        <w:rPr>
          <w:sz w:val="16"/>
        </w:rPr>
        <w:t>Por ejemplo, el Comité de Naciones Unidas, al menos desde el caso </w:t>
      </w:r>
      <w:r>
        <w:rPr>
          <w:i/>
          <w:sz w:val="16"/>
        </w:rPr>
        <w:t>Lubicon Lake Band </w:t>
      </w:r>
      <w:r>
        <w:rPr>
          <w:i/>
          <w:spacing w:val="16"/>
          <w:sz w:val="16"/>
        </w:rPr>
        <w:t> </w:t>
      </w:r>
      <w:r>
        <w:rPr>
          <w:i/>
          <w:sz w:val="16"/>
        </w:rPr>
        <w:t>Vs.</w:t>
      </w:r>
      <w:r>
        <w:rPr>
          <w:i/>
          <w:spacing w:val="4"/>
          <w:sz w:val="16"/>
        </w:rPr>
        <w:t> </w:t>
      </w:r>
      <w:r>
        <w:rPr>
          <w:i/>
          <w:sz w:val="16"/>
        </w:rPr>
        <w:t>Canadá</w:t>
      </w:r>
      <w:r>
        <w:rPr>
          <w:i/>
          <w:w w:val="99"/>
          <w:sz w:val="16"/>
        </w:rPr>
        <w:t> </w:t>
      </w:r>
      <w:r>
        <w:rPr>
          <w:sz w:val="16"/>
        </w:rPr>
        <w:t>de</w:t>
      </w:r>
      <w:r>
        <w:rPr>
          <w:spacing w:val="-5"/>
          <w:sz w:val="16"/>
        </w:rPr>
        <w:t> </w:t>
      </w:r>
      <w:r>
        <w:rPr>
          <w:sz w:val="16"/>
        </w:rPr>
        <w:t>1990,</w:t>
      </w:r>
      <w:r>
        <w:rPr>
          <w:spacing w:val="-5"/>
          <w:sz w:val="16"/>
        </w:rPr>
        <w:t> </w:t>
      </w:r>
      <w:r>
        <w:rPr>
          <w:sz w:val="16"/>
        </w:rPr>
        <w:t>ya</w:t>
      </w:r>
      <w:r>
        <w:rPr>
          <w:spacing w:val="-4"/>
          <w:sz w:val="16"/>
        </w:rPr>
        <w:t> </w:t>
      </w:r>
      <w:r>
        <w:rPr>
          <w:sz w:val="16"/>
        </w:rPr>
        <w:t>se</w:t>
      </w:r>
      <w:r>
        <w:rPr>
          <w:spacing w:val="-5"/>
          <w:sz w:val="16"/>
        </w:rPr>
        <w:t> </w:t>
      </w:r>
      <w:r>
        <w:rPr>
          <w:sz w:val="16"/>
        </w:rPr>
        <w:t>había</w:t>
      </w:r>
      <w:r>
        <w:rPr>
          <w:spacing w:val="-5"/>
          <w:sz w:val="16"/>
        </w:rPr>
        <w:t> </w:t>
      </w:r>
      <w:r>
        <w:rPr>
          <w:sz w:val="16"/>
        </w:rPr>
        <w:t>pronunciado</w:t>
      </w:r>
      <w:r>
        <w:rPr>
          <w:spacing w:val="-2"/>
          <w:sz w:val="16"/>
        </w:rPr>
        <w:t> </w:t>
      </w:r>
      <w:r>
        <w:rPr>
          <w:sz w:val="16"/>
        </w:rPr>
        <w:t>de</w:t>
      </w:r>
      <w:r>
        <w:rPr>
          <w:spacing w:val="-5"/>
          <w:sz w:val="16"/>
        </w:rPr>
        <w:t> </w:t>
      </w:r>
      <w:r>
        <w:rPr>
          <w:sz w:val="16"/>
        </w:rPr>
        <w:t>alguna</w:t>
      </w:r>
      <w:r>
        <w:rPr>
          <w:spacing w:val="-4"/>
          <w:sz w:val="16"/>
        </w:rPr>
        <w:t> </w:t>
      </w:r>
      <w:r>
        <w:rPr>
          <w:sz w:val="16"/>
        </w:rPr>
        <w:t>manera</w:t>
      </w:r>
      <w:r>
        <w:rPr>
          <w:spacing w:val="-5"/>
          <w:sz w:val="16"/>
        </w:rPr>
        <w:t> </w:t>
      </w:r>
      <w:r>
        <w:rPr>
          <w:sz w:val="16"/>
        </w:rPr>
        <w:t>sobre</w:t>
      </w:r>
      <w:r>
        <w:rPr>
          <w:spacing w:val="-5"/>
          <w:sz w:val="16"/>
        </w:rPr>
        <w:t> </w:t>
      </w:r>
      <w:r>
        <w:rPr>
          <w:sz w:val="16"/>
        </w:rPr>
        <w:t>los</w:t>
      </w:r>
      <w:r>
        <w:rPr>
          <w:spacing w:val="-4"/>
          <w:sz w:val="16"/>
        </w:rPr>
        <w:t> </w:t>
      </w:r>
      <w:r>
        <w:rPr>
          <w:sz w:val="16"/>
        </w:rPr>
        <w:t>derechos</w:t>
      </w:r>
      <w:r>
        <w:rPr>
          <w:spacing w:val="-5"/>
          <w:sz w:val="16"/>
        </w:rPr>
        <w:t> </w:t>
      </w:r>
      <w:r>
        <w:rPr>
          <w:sz w:val="16"/>
        </w:rPr>
        <w:t>de</w:t>
      </w:r>
      <w:r>
        <w:rPr>
          <w:spacing w:val="-5"/>
          <w:sz w:val="16"/>
        </w:rPr>
        <w:t> </w:t>
      </w:r>
      <w:r>
        <w:rPr>
          <w:sz w:val="16"/>
        </w:rPr>
        <w:t>los</w:t>
      </w:r>
      <w:r>
        <w:rPr>
          <w:spacing w:val="-4"/>
          <w:sz w:val="16"/>
        </w:rPr>
        <w:t> </w:t>
      </w:r>
      <w:r>
        <w:rPr>
          <w:sz w:val="16"/>
        </w:rPr>
        <w:t>pueblos</w:t>
      </w:r>
      <w:r>
        <w:rPr>
          <w:spacing w:val="-5"/>
          <w:sz w:val="16"/>
        </w:rPr>
        <w:t> </w:t>
      </w:r>
      <w:r>
        <w:rPr>
          <w:sz w:val="16"/>
        </w:rPr>
        <w:t>indígenas</w:t>
      </w:r>
      <w:r>
        <w:rPr>
          <w:spacing w:val="-5"/>
          <w:sz w:val="16"/>
        </w:rPr>
        <w:t> </w:t>
      </w:r>
      <w:r>
        <w:rPr>
          <w:sz w:val="16"/>
        </w:rPr>
        <w:t>respecto</w:t>
      </w:r>
      <w:r>
        <w:rPr>
          <w:spacing w:val="-4"/>
          <w:sz w:val="16"/>
        </w:rPr>
        <w:t> </w:t>
      </w:r>
      <w:r>
        <w:rPr>
          <w:sz w:val="16"/>
        </w:rPr>
        <w:t>de los recursos</w:t>
      </w:r>
      <w:r>
        <w:rPr>
          <w:spacing w:val="-7"/>
          <w:sz w:val="16"/>
        </w:rPr>
        <w:t> </w:t>
      </w:r>
      <w:r>
        <w:rPr>
          <w:sz w:val="16"/>
        </w:rPr>
        <w:t>naturales.</w:t>
      </w:r>
    </w:p>
    <w:p>
      <w:pPr>
        <w:spacing w:after="0"/>
        <w:jc w:val="both"/>
        <w:rPr>
          <w:sz w:val="16"/>
        </w:rPr>
        <w:sectPr>
          <w:footerReference w:type="default" r:id="rId54"/>
          <w:pgSz w:w="12240" w:h="15840"/>
          <w:pgMar w:footer="0" w:header="0" w:top="1500" w:bottom="280" w:left="1300" w:right="1720"/>
        </w:sectPr>
      </w:pPr>
    </w:p>
    <w:p>
      <w:pPr>
        <w:pStyle w:val="BodyText"/>
        <w:spacing w:before="77"/>
        <w:ind w:left="118" w:right="309"/>
        <w:jc w:val="both"/>
      </w:pPr>
      <w:r>
        <w:rPr/>
        <w:t>realizado</w:t>
      </w:r>
      <w:r>
        <w:rPr>
          <w:spacing w:val="-18"/>
        </w:rPr>
        <w:t> </w:t>
      </w:r>
      <w:r>
        <w:rPr/>
        <w:t>un</w:t>
      </w:r>
      <w:r>
        <w:rPr>
          <w:spacing w:val="-18"/>
        </w:rPr>
        <w:t> </w:t>
      </w:r>
      <w:r>
        <w:rPr/>
        <w:t>esfuerzo</w:t>
      </w:r>
      <w:r>
        <w:rPr>
          <w:spacing w:val="-20"/>
        </w:rPr>
        <w:t> </w:t>
      </w:r>
      <w:r>
        <w:rPr/>
        <w:t>constante</w:t>
      </w:r>
      <w:r>
        <w:rPr>
          <w:spacing w:val="-17"/>
        </w:rPr>
        <w:t> </w:t>
      </w:r>
      <w:r>
        <w:rPr/>
        <w:t>y</w:t>
      </w:r>
      <w:r>
        <w:rPr>
          <w:spacing w:val="-19"/>
        </w:rPr>
        <w:t> </w:t>
      </w:r>
      <w:r>
        <w:rPr/>
        <w:t>considerable</w:t>
      </w:r>
      <w:r>
        <w:rPr>
          <w:spacing w:val="-17"/>
        </w:rPr>
        <w:t> </w:t>
      </w:r>
      <w:r>
        <w:rPr/>
        <w:t>por</w:t>
      </w:r>
      <w:r>
        <w:rPr>
          <w:spacing w:val="-18"/>
        </w:rPr>
        <w:t> </w:t>
      </w:r>
      <w:r>
        <w:rPr/>
        <w:t>conceptualizar</w:t>
      </w:r>
      <w:r>
        <w:rPr>
          <w:spacing w:val="-18"/>
        </w:rPr>
        <w:t> </w:t>
      </w:r>
      <w:r>
        <w:rPr/>
        <w:t>de</w:t>
      </w:r>
      <w:r>
        <w:rPr>
          <w:spacing w:val="-17"/>
        </w:rPr>
        <w:t> </w:t>
      </w:r>
      <w:r>
        <w:rPr/>
        <w:t>manera</w:t>
      </w:r>
      <w:r>
        <w:rPr>
          <w:spacing w:val="-20"/>
        </w:rPr>
        <w:t> </w:t>
      </w:r>
      <w:r>
        <w:rPr/>
        <w:t>exhaustiva las obligaciones que los Estados tienen que observar para respetar y garantizar los derechos de estos pueblos y</w:t>
      </w:r>
      <w:r>
        <w:rPr>
          <w:spacing w:val="-5"/>
        </w:rPr>
        <w:t> </w:t>
      </w:r>
      <w:r>
        <w:rPr/>
        <w:t>comunidades.</w:t>
      </w:r>
    </w:p>
    <w:p>
      <w:pPr>
        <w:pStyle w:val="BodyText"/>
        <w:spacing w:before="11"/>
        <w:rPr>
          <w:sz w:val="19"/>
        </w:rPr>
      </w:pPr>
    </w:p>
    <w:p>
      <w:pPr>
        <w:pStyle w:val="ListParagraph"/>
        <w:numPr>
          <w:ilvl w:val="0"/>
          <w:numId w:val="75"/>
        </w:numPr>
        <w:tabs>
          <w:tab w:pos="827" w:val="left" w:leader="none"/>
        </w:tabs>
        <w:spacing w:line="240" w:lineRule="auto" w:before="0" w:after="0"/>
        <w:ind w:left="118" w:right="310" w:firstLine="0"/>
        <w:jc w:val="both"/>
        <w:rPr>
          <w:i/>
          <w:sz w:val="20"/>
        </w:rPr>
      </w:pPr>
      <w:r>
        <w:rPr>
          <w:sz w:val="20"/>
        </w:rPr>
        <w:t>El caso de las </w:t>
      </w:r>
      <w:r>
        <w:rPr>
          <w:i/>
          <w:sz w:val="20"/>
        </w:rPr>
        <w:t>Comunidades indígenas miembros de la asociación Lhaka Honhat </w:t>
      </w:r>
      <w:r>
        <w:rPr>
          <w:i/>
          <w:sz w:val="20"/>
        </w:rPr>
        <w:t>(Nuestra Tierra) Vs. Argentina </w:t>
      </w:r>
      <w:r>
        <w:rPr>
          <w:sz w:val="20"/>
        </w:rPr>
        <w:t>(en adelante “la Sentencia” o “el caso </w:t>
      </w:r>
      <w:r>
        <w:rPr>
          <w:i/>
          <w:sz w:val="20"/>
        </w:rPr>
        <w:t>Lhaka Honhat</w:t>
      </w:r>
      <w:r>
        <w:rPr>
          <w:sz w:val="20"/>
        </w:rPr>
        <w:t>”)</w:t>
      </w:r>
      <w:r>
        <w:rPr>
          <w:position w:val="7"/>
          <w:sz w:val="13"/>
        </w:rPr>
        <w:t>4 </w:t>
      </w:r>
      <w:r>
        <w:rPr>
          <w:sz w:val="20"/>
        </w:rPr>
        <w:t>se suma a los precedentes que han abordado la justiciabilidad directa de los derechos económicos, sociales, culturales y ambientales (en adelante “DESCA” o “los derechos sociales”)</w:t>
      </w:r>
      <w:r>
        <w:rPr>
          <w:position w:val="7"/>
          <w:sz w:val="13"/>
        </w:rPr>
        <w:t>5</w:t>
      </w:r>
      <w:r>
        <w:rPr>
          <w:sz w:val="20"/>
        </w:rPr>
        <w:t>; y reafirma que, frente a los derechos civiles y políticos, los primeros tienen un contenido y alcances propios que pueden ser protegidos de manera autónoma pero interdependiente e indivisible, postulado que sostuve desde el caso </w:t>
      </w:r>
      <w:r>
        <w:rPr>
          <w:i/>
          <w:sz w:val="20"/>
        </w:rPr>
        <w:t>Suarez Peralta y </w:t>
      </w:r>
      <w:r>
        <w:rPr>
          <w:i/>
          <w:sz w:val="20"/>
        </w:rPr>
        <w:t>otros</w:t>
      </w:r>
      <w:r>
        <w:rPr>
          <w:position w:val="7"/>
          <w:sz w:val="13"/>
        </w:rPr>
        <w:t>6</w:t>
      </w:r>
      <w:r>
        <w:rPr>
          <w:i/>
          <w:sz w:val="20"/>
        </w:rPr>
        <w:t>.</w:t>
      </w:r>
    </w:p>
    <w:p>
      <w:pPr>
        <w:pStyle w:val="BodyText"/>
        <w:spacing w:before="11"/>
        <w:rPr>
          <w:i/>
          <w:sz w:val="19"/>
        </w:rPr>
      </w:pPr>
    </w:p>
    <w:p>
      <w:pPr>
        <w:pStyle w:val="ListParagraph"/>
        <w:numPr>
          <w:ilvl w:val="0"/>
          <w:numId w:val="75"/>
        </w:numPr>
        <w:tabs>
          <w:tab w:pos="827" w:val="left" w:leader="none"/>
        </w:tabs>
        <w:spacing w:line="240" w:lineRule="auto" w:before="0" w:after="0"/>
        <w:ind w:left="118" w:right="306" w:firstLine="0"/>
        <w:jc w:val="both"/>
        <w:rPr>
          <w:sz w:val="20"/>
        </w:rPr>
      </w:pPr>
      <w:r>
        <w:rPr>
          <w:sz w:val="20"/>
        </w:rPr>
        <w:t>El caso </w:t>
      </w:r>
      <w:r>
        <w:rPr>
          <w:i/>
          <w:sz w:val="20"/>
        </w:rPr>
        <w:t>Lhaka Honhat </w:t>
      </w:r>
      <w:r>
        <w:rPr>
          <w:sz w:val="20"/>
        </w:rPr>
        <w:t>representa un hito en la jurisprudencia interamericana fundamentalmente por tres razones. En primer lugar, constituye la primera ocasión en que el Tribunal Interamericano se pronuncia de manera autónoma sobre DESCA que atañen a pueblos y comunidades indígenas. En segundo término, a diferencia de los precedentes que había tenido la oportunidad de conocer, la Sentencia declara la vulneración de cuatro DESCA que pueden ser derivados y protegidos por el artículo 26 del</w:t>
      </w:r>
      <w:r>
        <w:rPr>
          <w:spacing w:val="-4"/>
          <w:sz w:val="20"/>
        </w:rPr>
        <w:t> </w:t>
      </w:r>
      <w:r>
        <w:rPr>
          <w:sz w:val="20"/>
        </w:rPr>
        <w:t>Pacto</w:t>
      </w:r>
      <w:r>
        <w:rPr>
          <w:spacing w:val="-4"/>
          <w:sz w:val="20"/>
        </w:rPr>
        <w:t> </w:t>
      </w:r>
      <w:r>
        <w:rPr>
          <w:sz w:val="20"/>
        </w:rPr>
        <w:t>de</w:t>
      </w:r>
      <w:r>
        <w:rPr>
          <w:spacing w:val="-4"/>
          <w:sz w:val="20"/>
        </w:rPr>
        <w:t> </w:t>
      </w:r>
      <w:r>
        <w:rPr>
          <w:sz w:val="20"/>
        </w:rPr>
        <w:t>San</w:t>
      </w:r>
      <w:r>
        <w:rPr>
          <w:spacing w:val="-3"/>
          <w:sz w:val="20"/>
        </w:rPr>
        <w:t> </w:t>
      </w:r>
      <w:r>
        <w:rPr>
          <w:sz w:val="20"/>
        </w:rPr>
        <w:t>José</w:t>
      </w:r>
      <w:r>
        <w:rPr>
          <w:spacing w:val="-4"/>
          <w:sz w:val="20"/>
        </w:rPr>
        <w:t> </w:t>
      </w:r>
      <w:r>
        <w:rPr>
          <w:sz w:val="20"/>
        </w:rPr>
        <w:t>—derecho</w:t>
      </w:r>
      <w:r>
        <w:rPr>
          <w:spacing w:val="-4"/>
          <w:sz w:val="20"/>
        </w:rPr>
        <w:t> </w:t>
      </w:r>
      <w:r>
        <w:rPr>
          <w:sz w:val="20"/>
        </w:rPr>
        <w:t>a</w:t>
      </w:r>
      <w:r>
        <w:rPr>
          <w:spacing w:val="-4"/>
          <w:sz w:val="20"/>
        </w:rPr>
        <w:t> </w:t>
      </w:r>
      <w:r>
        <w:rPr>
          <w:sz w:val="20"/>
        </w:rPr>
        <w:t>la</w:t>
      </w:r>
      <w:r>
        <w:rPr>
          <w:spacing w:val="-4"/>
          <w:sz w:val="20"/>
        </w:rPr>
        <w:t> </w:t>
      </w:r>
      <w:r>
        <w:rPr>
          <w:sz w:val="20"/>
        </w:rPr>
        <w:t>identidad</w:t>
      </w:r>
      <w:r>
        <w:rPr>
          <w:spacing w:val="-5"/>
          <w:sz w:val="20"/>
        </w:rPr>
        <w:t> </w:t>
      </w:r>
      <w:r>
        <w:rPr>
          <w:sz w:val="20"/>
        </w:rPr>
        <w:t>cultural,</w:t>
      </w:r>
      <w:r>
        <w:rPr>
          <w:spacing w:val="-4"/>
          <w:sz w:val="20"/>
        </w:rPr>
        <w:t> </w:t>
      </w:r>
      <w:r>
        <w:rPr>
          <w:sz w:val="20"/>
        </w:rPr>
        <w:t>en</w:t>
      </w:r>
      <w:r>
        <w:rPr>
          <w:spacing w:val="-4"/>
          <w:sz w:val="20"/>
        </w:rPr>
        <w:t> </w:t>
      </w:r>
      <w:r>
        <w:rPr>
          <w:sz w:val="20"/>
        </w:rPr>
        <w:t>lo</w:t>
      </w:r>
      <w:r>
        <w:rPr>
          <w:spacing w:val="-4"/>
          <w:sz w:val="20"/>
        </w:rPr>
        <w:t> </w:t>
      </w:r>
      <w:r>
        <w:rPr>
          <w:sz w:val="20"/>
        </w:rPr>
        <w:t>atinente</w:t>
      </w:r>
      <w:r>
        <w:rPr>
          <w:spacing w:val="-4"/>
          <w:sz w:val="20"/>
        </w:rPr>
        <w:t> </w:t>
      </w:r>
      <w:r>
        <w:rPr>
          <w:sz w:val="20"/>
        </w:rPr>
        <w:t>a</w:t>
      </w:r>
      <w:r>
        <w:rPr>
          <w:spacing w:val="-3"/>
          <w:sz w:val="20"/>
        </w:rPr>
        <w:t> </w:t>
      </w:r>
      <w:r>
        <w:rPr>
          <w:sz w:val="20"/>
        </w:rPr>
        <w:t>participar</w:t>
      </w:r>
      <w:r>
        <w:rPr>
          <w:spacing w:val="-5"/>
          <w:sz w:val="20"/>
        </w:rPr>
        <w:t> </w:t>
      </w:r>
      <w:r>
        <w:rPr>
          <w:sz w:val="20"/>
        </w:rPr>
        <w:t>en</w:t>
      </w:r>
      <w:r>
        <w:rPr>
          <w:spacing w:val="-4"/>
          <w:sz w:val="20"/>
        </w:rPr>
        <w:t> </w:t>
      </w:r>
      <w:r>
        <w:rPr>
          <w:sz w:val="20"/>
        </w:rPr>
        <w:t>la vida cultural, derecho al medio ambiente sano, derecho a la alimentación, y derecho al agua—</w:t>
      </w:r>
      <w:r>
        <w:rPr>
          <w:position w:val="7"/>
          <w:sz w:val="13"/>
        </w:rPr>
        <w:t>7</w:t>
      </w:r>
      <w:r>
        <w:rPr>
          <w:sz w:val="20"/>
        </w:rPr>
        <w:t>. En tercer lugar, las reparaciones ordenadas están centradas de manera diferenciada, tratando de restituir la violación de cada uno de los derechos sociales, culturales y ambientales declarados violados en la</w:t>
      </w:r>
      <w:r>
        <w:rPr>
          <w:spacing w:val="-14"/>
          <w:sz w:val="20"/>
        </w:rPr>
        <w:t> </w:t>
      </w:r>
      <w:r>
        <w:rPr>
          <w:sz w:val="20"/>
        </w:rPr>
        <w:t>Sentencia.</w:t>
      </w:r>
    </w:p>
    <w:p>
      <w:pPr>
        <w:pStyle w:val="BodyText"/>
        <w:spacing w:before="11"/>
        <w:rPr>
          <w:sz w:val="19"/>
        </w:rPr>
      </w:pPr>
    </w:p>
    <w:p>
      <w:pPr>
        <w:pStyle w:val="ListParagraph"/>
        <w:numPr>
          <w:ilvl w:val="0"/>
          <w:numId w:val="75"/>
        </w:numPr>
        <w:tabs>
          <w:tab w:pos="827" w:val="left" w:leader="none"/>
        </w:tabs>
        <w:spacing w:line="240" w:lineRule="auto" w:before="0" w:after="0"/>
        <w:ind w:left="118" w:right="308" w:firstLine="0"/>
        <w:jc w:val="both"/>
        <w:rPr>
          <w:i/>
          <w:sz w:val="20"/>
        </w:rPr>
      </w:pPr>
      <w:r>
        <w:rPr>
          <w:sz w:val="20"/>
        </w:rPr>
        <w:t>No debe pasar inadvertido que </w:t>
      </w:r>
      <w:r>
        <w:rPr>
          <w:i/>
          <w:sz w:val="20"/>
        </w:rPr>
        <w:t>los representantes de las víctimas </w:t>
      </w:r>
      <w:r>
        <w:rPr>
          <w:sz w:val="20"/>
        </w:rPr>
        <w:t>solicitaron de manera</w:t>
      </w:r>
      <w:r>
        <w:rPr>
          <w:spacing w:val="-9"/>
          <w:sz w:val="20"/>
        </w:rPr>
        <w:t> </w:t>
      </w:r>
      <w:r>
        <w:rPr>
          <w:sz w:val="20"/>
        </w:rPr>
        <w:t>destacada</w:t>
      </w:r>
      <w:r>
        <w:rPr>
          <w:spacing w:val="-8"/>
          <w:sz w:val="20"/>
        </w:rPr>
        <w:t> </w:t>
      </w:r>
      <w:r>
        <w:rPr>
          <w:sz w:val="20"/>
        </w:rPr>
        <w:t>en</w:t>
      </w:r>
      <w:r>
        <w:rPr>
          <w:spacing w:val="-9"/>
          <w:sz w:val="20"/>
        </w:rPr>
        <w:t> </w:t>
      </w:r>
      <w:r>
        <w:rPr>
          <w:sz w:val="20"/>
        </w:rPr>
        <w:t>el</w:t>
      </w:r>
      <w:r>
        <w:rPr>
          <w:spacing w:val="-8"/>
          <w:sz w:val="20"/>
        </w:rPr>
        <w:t> </w:t>
      </w:r>
      <w:r>
        <w:rPr>
          <w:sz w:val="20"/>
        </w:rPr>
        <w:t>“escrito</w:t>
      </w:r>
      <w:r>
        <w:rPr>
          <w:spacing w:val="-9"/>
          <w:sz w:val="20"/>
        </w:rPr>
        <w:t> </w:t>
      </w:r>
      <w:r>
        <w:rPr>
          <w:sz w:val="20"/>
        </w:rPr>
        <w:t>de</w:t>
      </w:r>
      <w:r>
        <w:rPr>
          <w:spacing w:val="-9"/>
          <w:sz w:val="20"/>
        </w:rPr>
        <w:t> </w:t>
      </w:r>
      <w:r>
        <w:rPr>
          <w:sz w:val="20"/>
        </w:rPr>
        <w:t>solicitudes,</w:t>
      </w:r>
      <w:r>
        <w:rPr>
          <w:spacing w:val="-9"/>
          <w:sz w:val="20"/>
        </w:rPr>
        <w:t> </w:t>
      </w:r>
      <w:r>
        <w:rPr>
          <w:sz w:val="20"/>
        </w:rPr>
        <w:t>argumentos</w:t>
      </w:r>
      <w:r>
        <w:rPr>
          <w:spacing w:val="-9"/>
          <w:sz w:val="20"/>
        </w:rPr>
        <w:t> </w:t>
      </w:r>
      <w:r>
        <w:rPr>
          <w:sz w:val="20"/>
        </w:rPr>
        <w:t>y</w:t>
      </w:r>
      <w:r>
        <w:rPr>
          <w:spacing w:val="-8"/>
          <w:sz w:val="20"/>
        </w:rPr>
        <w:t> </w:t>
      </w:r>
      <w:r>
        <w:rPr>
          <w:sz w:val="20"/>
        </w:rPr>
        <w:t>pruebas”,</w:t>
      </w:r>
      <w:r>
        <w:rPr>
          <w:spacing w:val="-9"/>
          <w:sz w:val="20"/>
        </w:rPr>
        <w:t> </w:t>
      </w:r>
      <w:r>
        <w:rPr>
          <w:sz w:val="20"/>
        </w:rPr>
        <w:t>que</w:t>
      </w:r>
      <w:r>
        <w:rPr>
          <w:spacing w:val="-8"/>
          <w:sz w:val="20"/>
        </w:rPr>
        <w:t> </w:t>
      </w:r>
      <w:r>
        <w:rPr>
          <w:sz w:val="20"/>
        </w:rPr>
        <w:t>se</w:t>
      </w:r>
      <w:r>
        <w:rPr>
          <w:spacing w:val="-8"/>
          <w:sz w:val="20"/>
        </w:rPr>
        <w:t> </w:t>
      </w:r>
      <w:r>
        <w:rPr>
          <w:sz w:val="20"/>
        </w:rPr>
        <w:t>“declare la violación del artículo 26 de la Convención Americana por la vulneración de los derechos</w:t>
      </w:r>
      <w:r>
        <w:rPr>
          <w:spacing w:val="22"/>
          <w:sz w:val="20"/>
        </w:rPr>
        <w:t> </w:t>
      </w:r>
      <w:r>
        <w:rPr>
          <w:sz w:val="20"/>
        </w:rPr>
        <w:t>al</w:t>
      </w:r>
      <w:r>
        <w:rPr>
          <w:spacing w:val="21"/>
          <w:sz w:val="20"/>
        </w:rPr>
        <w:t> </w:t>
      </w:r>
      <w:r>
        <w:rPr>
          <w:sz w:val="20"/>
        </w:rPr>
        <w:t>medio</w:t>
      </w:r>
      <w:r>
        <w:rPr>
          <w:spacing w:val="22"/>
          <w:sz w:val="20"/>
        </w:rPr>
        <w:t> </w:t>
      </w:r>
      <w:r>
        <w:rPr>
          <w:sz w:val="20"/>
        </w:rPr>
        <w:t>ambiente,</w:t>
      </w:r>
      <w:r>
        <w:rPr>
          <w:spacing w:val="22"/>
          <w:sz w:val="20"/>
        </w:rPr>
        <w:t> </w:t>
      </w:r>
      <w:r>
        <w:rPr>
          <w:sz w:val="20"/>
        </w:rPr>
        <w:t>a</w:t>
      </w:r>
      <w:r>
        <w:rPr>
          <w:spacing w:val="22"/>
          <w:sz w:val="20"/>
        </w:rPr>
        <w:t> </w:t>
      </w:r>
      <w:r>
        <w:rPr>
          <w:sz w:val="20"/>
        </w:rPr>
        <w:t>la</w:t>
      </w:r>
      <w:r>
        <w:rPr>
          <w:spacing w:val="21"/>
          <w:sz w:val="20"/>
        </w:rPr>
        <w:t> </w:t>
      </w:r>
      <w:r>
        <w:rPr>
          <w:sz w:val="20"/>
        </w:rPr>
        <w:t>identidad</w:t>
      </w:r>
      <w:r>
        <w:rPr>
          <w:spacing w:val="21"/>
          <w:sz w:val="20"/>
        </w:rPr>
        <w:t> </w:t>
      </w:r>
      <w:r>
        <w:rPr>
          <w:sz w:val="20"/>
        </w:rPr>
        <w:t>cultura</w:t>
      </w:r>
      <w:r>
        <w:rPr>
          <w:spacing w:val="25"/>
          <w:sz w:val="20"/>
        </w:rPr>
        <w:t> </w:t>
      </w:r>
      <w:r>
        <w:rPr>
          <w:sz w:val="20"/>
        </w:rPr>
        <w:t>y</w:t>
      </w:r>
      <w:r>
        <w:rPr>
          <w:spacing w:val="22"/>
          <w:sz w:val="20"/>
        </w:rPr>
        <w:t> </w:t>
      </w:r>
      <w:r>
        <w:rPr>
          <w:sz w:val="20"/>
        </w:rPr>
        <w:t>a</w:t>
      </w:r>
      <w:r>
        <w:rPr>
          <w:spacing w:val="21"/>
          <w:sz w:val="20"/>
        </w:rPr>
        <w:t> </w:t>
      </w:r>
      <w:r>
        <w:rPr>
          <w:sz w:val="20"/>
        </w:rPr>
        <w:t>alimentación,</w:t>
      </w:r>
      <w:r>
        <w:rPr>
          <w:spacing w:val="23"/>
          <w:sz w:val="20"/>
        </w:rPr>
        <w:t> </w:t>
      </w:r>
      <w:r>
        <w:rPr>
          <w:i/>
          <w:sz w:val="20"/>
        </w:rPr>
        <w:t>como</w:t>
      </w:r>
      <w:r>
        <w:rPr>
          <w:i/>
          <w:spacing w:val="21"/>
          <w:sz w:val="20"/>
        </w:rPr>
        <w:t> </w:t>
      </w:r>
      <w:r>
        <w:rPr>
          <w:i/>
          <w:sz w:val="20"/>
        </w:rPr>
        <w:t>derechos</w:t>
      </w:r>
    </w:p>
    <w:p>
      <w:pPr>
        <w:pStyle w:val="BodyText"/>
        <w:spacing w:before="10"/>
        <w:rPr>
          <w:i/>
          <w:sz w:val="21"/>
        </w:rPr>
      </w:pPr>
      <w:r>
        <w:rPr/>
        <w:pict>
          <v:line style="position:absolute;mso-position-horizontal-relative:page;mso-position-vertical-relative:paragraph;z-index:4720;mso-wrap-distance-left:0;mso-wrap-distance-right:0" from="70.919998pt,15.525676pt" to="214.939998pt,15.525676pt" stroked="true" strokeweight=".600010pt" strokecolor="#000000">
            <v:stroke dashstyle="solid"/>
            <w10:wrap type="topAndBottom"/>
          </v:line>
        </w:pict>
      </w:r>
    </w:p>
    <w:p>
      <w:pPr>
        <w:tabs>
          <w:tab w:pos="826" w:val="left" w:leader="none"/>
        </w:tabs>
        <w:spacing w:before="73"/>
        <w:ind w:left="118" w:right="359" w:firstLine="0"/>
        <w:jc w:val="both"/>
        <w:rPr>
          <w:sz w:val="16"/>
        </w:rPr>
      </w:pPr>
      <w:r>
        <w:rPr>
          <w:position w:val="6"/>
          <w:sz w:val="10"/>
        </w:rPr>
        <w:t>4</w:t>
        <w:tab/>
      </w:r>
      <w:r>
        <w:rPr>
          <w:i/>
          <w:sz w:val="16"/>
        </w:rPr>
        <w:t>Caso  Comunidades  indígenas  miembros  de  la  asociación  Lhaka  Honhat  (Nuestra </w:t>
      </w:r>
      <w:r>
        <w:rPr>
          <w:i/>
          <w:spacing w:val="20"/>
          <w:sz w:val="16"/>
        </w:rPr>
        <w:t> </w:t>
      </w:r>
      <w:r>
        <w:rPr>
          <w:i/>
          <w:sz w:val="16"/>
        </w:rPr>
        <w:t>Tierra) </w:t>
      </w:r>
      <w:r>
        <w:rPr>
          <w:i/>
          <w:spacing w:val="5"/>
          <w:sz w:val="16"/>
        </w:rPr>
        <w:t> </w:t>
      </w:r>
      <w:r>
        <w:rPr>
          <w:i/>
          <w:sz w:val="16"/>
        </w:rPr>
        <w:t>Vs.</w:t>
      </w:r>
      <w:r>
        <w:rPr>
          <w:i/>
          <w:w w:val="99"/>
          <w:sz w:val="16"/>
        </w:rPr>
        <w:t> </w:t>
      </w:r>
      <w:r>
        <w:rPr>
          <w:i/>
          <w:sz w:val="16"/>
        </w:rPr>
        <w:t>Argentina. Fondo, Reparaciones y Costas. </w:t>
      </w:r>
      <w:r>
        <w:rPr>
          <w:sz w:val="16"/>
        </w:rPr>
        <w:t>Sentencia de 6 de febrero de 2020. Serie C No.</w:t>
      </w:r>
      <w:r>
        <w:rPr>
          <w:spacing w:val="-23"/>
          <w:sz w:val="16"/>
        </w:rPr>
        <w:t> </w:t>
      </w:r>
      <w:r>
        <w:rPr>
          <w:sz w:val="16"/>
        </w:rPr>
        <w:t>400.</w:t>
      </w:r>
    </w:p>
    <w:p>
      <w:pPr>
        <w:tabs>
          <w:tab w:pos="826" w:val="left" w:leader="none"/>
        </w:tabs>
        <w:spacing w:before="120"/>
        <w:ind w:left="118" w:right="309" w:firstLine="0"/>
        <w:jc w:val="both"/>
        <w:rPr>
          <w:sz w:val="16"/>
        </w:rPr>
      </w:pPr>
      <w:r>
        <w:rPr>
          <w:position w:val="6"/>
          <w:sz w:val="10"/>
        </w:rPr>
        <w:t>5</w:t>
        <w:tab/>
      </w:r>
      <w:r>
        <w:rPr>
          <w:i/>
          <w:sz w:val="16"/>
        </w:rPr>
        <w:t>Cfr.</w:t>
      </w:r>
      <w:r>
        <w:rPr>
          <w:i/>
          <w:spacing w:val="36"/>
          <w:sz w:val="16"/>
        </w:rPr>
        <w:t> </w:t>
      </w:r>
      <w:r>
        <w:rPr>
          <w:i/>
          <w:sz w:val="16"/>
        </w:rPr>
        <w:t>Caso</w:t>
      </w:r>
      <w:r>
        <w:rPr>
          <w:i/>
          <w:spacing w:val="36"/>
          <w:sz w:val="16"/>
        </w:rPr>
        <w:t> </w:t>
      </w:r>
      <w:r>
        <w:rPr>
          <w:i/>
          <w:sz w:val="16"/>
        </w:rPr>
        <w:t>Lagos</w:t>
      </w:r>
      <w:r>
        <w:rPr>
          <w:i/>
          <w:spacing w:val="35"/>
          <w:sz w:val="16"/>
        </w:rPr>
        <w:t> </w:t>
      </w:r>
      <w:r>
        <w:rPr>
          <w:i/>
          <w:sz w:val="16"/>
        </w:rPr>
        <w:t>del</w:t>
      </w:r>
      <w:r>
        <w:rPr>
          <w:i/>
          <w:spacing w:val="36"/>
          <w:sz w:val="16"/>
        </w:rPr>
        <w:t> </w:t>
      </w:r>
      <w:r>
        <w:rPr>
          <w:i/>
          <w:sz w:val="16"/>
        </w:rPr>
        <w:t>Campo</w:t>
      </w:r>
      <w:r>
        <w:rPr>
          <w:i/>
          <w:spacing w:val="37"/>
          <w:sz w:val="16"/>
        </w:rPr>
        <w:t> </w:t>
      </w:r>
      <w:r>
        <w:rPr>
          <w:i/>
          <w:sz w:val="16"/>
        </w:rPr>
        <w:t>Vs.</w:t>
      </w:r>
      <w:r>
        <w:rPr>
          <w:i/>
          <w:spacing w:val="35"/>
          <w:sz w:val="16"/>
        </w:rPr>
        <w:t> </w:t>
      </w:r>
      <w:r>
        <w:rPr>
          <w:i/>
          <w:sz w:val="16"/>
        </w:rPr>
        <w:t>Perú.</w:t>
      </w:r>
      <w:r>
        <w:rPr>
          <w:i/>
          <w:spacing w:val="35"/>
          <w:sz w:val="16"/>
        </w:rPr>
        <w:t> </w:t>
      </w:r>
      <w:r>
        <w:rPr>
          <w:i/>
          <w:sz w:val="16"/>
        </w:rPr>
        <w:t>Excepciones</w:t>
      </w:r>
      <w:r>
        <w:rPr>
          <w:i/>
          <w:spacing w:val="35"/>
          <w:sz w:val="16"/>
        </w:rPr>
        <w:t> </w:t>
      </w:r>
      <w:r>
        <w:rPr>
          <w:i/>
          <w:sz w:val="16"/>
        </w:rPr>
        <w:t>Preliminares,</w:t>
      </w:r>
      <w:r>
        <w:rPr>
          <w:i/>
          <w:spacing w:val="35"/>
          <w:sz w:val="16"/>
        </w:rPr>
        <w:t> </w:t>
      </w:r>
      <w:r>
        <w:rPr>
          <w:i/>
          <w:sz w:val="16"/>
        </w:rPr>
        <w:t>Fondo,</w:t>
      </w:r>
      <w:r>
        <w:rPr>
          <w:i/>
          <w:spacing w:val="36"/>
          <w:sz w:val="16"/>
        </w:rPr>
        <w:t> </w:t>
      </w:r>
      <w:r>
        <w:rPr>
          <w:i/>
          <w:sz w:val="16"/>
        </w:rPr>
        <w:t>Reparaciones</w:t>
      </w:r>
      <w:r>
        <w:rPr>
          <w:i/>
          <w:spacing w:val="35"/>
          <w:sz w:val="16"/>
        </w:rPr>
        <w:t> </w:t>
      </w:r>
      <w:r>
        <w:rPr>
          <w:i/>
          <w:sz w:val="16"/>
        </w:rPr>
        <w:t>y</w:t>
      </w:r>
      <w:r>
        <w:rPr>
          <w:i/>
          <w:spacing w:val="36"/>
          <w:sz w:val="16"/>
        </w:rPr>
        <w:t> </w:t>
      </w:r>
      <w:r>
        <w:rPr>
          <w:i/>
          <w:sz w:val="16"/>
        </w:rPr>
        <w:t>Costas.</w:t>
      </w:r>
      <w:r>
        <w:rPr>
          <w:i/>
          <w:w w:val="99"/>
          <w:sz w:val="16"/>
        </w:rPr>
        <w:t> </w:t>
      </w:r>
      <w:r>
        <w:rPr>
          <w:sz w:val="16"/>
        </w:rPr>
        <w:t>Sentencia de 31 de agosto de 2017. Serie C No. 340; </w:t>
      </w:r>
      <w:r>
        <w:rPr>
          <w:i/>
          <w:sz w:val="16"/>
        </w:rPr>
        <w:t>Opinión Consultiva OC-23/17 </w:t>
      </w:r>
      <w:r>
        <w:rPr>
          <w:sz w:val="16"/>
        </w:rPr>
        <w:t>de 15 de noviembre de 2017. </w:t>
      </w:r>
      <w:r>
        <w:rPr>
          <w:i/>
          <w:sz w:val="16"/>
        </w:rPr>
        <w:t>Medio ambiente y derechos humanos (obligaciones estatales en relación con el medio ambiente en el </w:t>
      </w:r>
      <w:r>
        <w:rPr>
          <w:i/>
          <w:sz w:val="16"/>
        </w:rPr>
        <w:t>marco</w:t>
      </w:r>
      <w:r>
        <w:rPr>
          <w:i/>
          <w:spacing w:val="-12"/>
          <w:sz w:val="16"/>
        </w:rPr>
        <w:t> </w:t>
      </w:r>
      <w:r>
        <w:rPr>
          <w:i/>
          <w:sz w:val="16"/>
        </w:rPr>
        <w:t>de</w:t>
      </w:r>
      <w:r>
        <w:rPr>
          <w:i/>
          <w:spacing w:val="-12"/>
          <w:sz w:val="16"/>
        </w:rPr>
        <w:t> </w:t>
      </w:r>
      <w:r>
        <w:rPr>
          <w:i/>
          <w:sz w:val="16"/>
        </w:rPr>
        <w:t>la</w:t>
      </w:r>
      <w:r>
        <w:rPr>
          <w:i/>
          <w:spacing w:val="-12"/>
          <w:sz w:val="16"/>
        </w:rPr>
        <w:t> </w:t>
      </w:r>
      <w:r>
        <w:rPr>
          <w:i/>
          <w:sz w:val="16"/>
        </w:rPr>
        <w:t>protección</w:t>
      </w:r>
      <w:r>
        <w:rPr>
          <w:i/>
          <w:spacing w:val="-12"/>
          <w:sz w:val="16"/>
        </w:rPr>
        <w:t> </w:t>
      </w:r>
      <w:r>
        <w:rPr>
          <w:i/>
          <w:sz w:val="16"/>
        </w:rPr>
        <w:t>y</w:t>
      </w:r>
      <w:r>
        <w:rPr>
          <w:i/>
          <w:spacing w:val="-11"/>
          <w:sz w:val="16"/>
        </w:rPr>
        <w:t> </w:t>
      </w:r>
      <w:r>
        <w:rPr>
          <w:i/>
          <w:sz w:val="16"/>
        </w:rPr>
        <w:t>garantía</w:t>
      </w:r>
      <w:r>
        <w:rPr>
          <w:i/>
          <w:spacing w:val="-12"/>
          <w:sz w:val="16"/>
        </w:rPr>
        <w:t> </w:t>
      </w:r>
      <w:r>
        <w:rPr>
          <w:i/>
          <w:sz w:val="16"/>
        </w:rPr>
        <w:t>de</w:t>
      </w:r>
      <w:r>
        <w:rPr>
          <w:i/>
          <w:spacing w:val="-12"/>
          <w:sz w:val="16"/>
        </w:rPr>
        <w:t> </w:t>
      </w:r>
      <w:r>
        <w:rPr>
          <w:i/>
          <w:sz w:val="16"/>
        </w:rPr>
        <w:t>los</w:t>
      </w:r>
      <w:r>
        <w:rPr>
          <w:i/>
          <w:spacing w:val="-10"/>
          <w:sz w:val="16"/>
        </w:rPr>
        <w:t> </w:t>
      </w:r>
      <w:r>
        <w:rPr>
          <w:i/>
          <w:sz w:val="16"/>
        </w:rPr>
        <w:t>derechos</w:t>
      </w:r>
      <w:r>
        <w:rPr>
          <w:i/>
          <w:spacing w:val="-12"/>
          <w:sz w:val="16"/>
        </w:rPr>
        <w:t> </w:t>
      </w:r>
      <w:r>
        <w:rPr>
          <w:i/>
          <w:sz w:val="16"/>
        </w:rPr>
        <w:t>a</w:t>
      </w:r>
      <w:r>
        <w:rPr>
          <w:i/>
          <w:spacing w:val="-12"/>
          <w:sz w:val="16"/>
        </w:rPr>
        <w:t> </w:t>
      </w:r>
      <w:r>
        <w:rPr>
          <w:i/>
          <w:sz w:val="16"/>
        </w:rPr>
        <w:t>la</w:t>
      </w:r>
      <w:r>
        <w:rPr>
          <w:i/>
          <w:spacing w:val="-12"/>
          <w:sz w:val="16"/>
        </w:rPr>
        <w:t> </w:t>
      </w:r>
      <w:r>
        <w:rPr>
          <w:i/>
          <w:sz w:val="16"/>
        </w:rPr>
        <w:t>vida</w:t>
      </w:r>
      <w:r>
        <w:rPr>
          <w:i/>
          <w:spacing w:val="-12"/>
          <w:sz w:val="16"/>
        </w:rPr>
        <w:t> </w:t>
      </w:r>
      <w:r>
        <w:rPr>
          <w:i/>
          <w:sz w:val="16"/>
        </w:rPr>
        <w:t>y</w:t>
      </w:r>
      <w:r>
        <w:rPr>
          <w:i/>
          <w:spacing w:val="-11"/>
          <w:sz w:val="16"/>
        </w:rPr>
        <w:t> </w:t>
      </w:r>
      <w:r>
        <w:rPr>
          <w:i/>
          <w:sz w:val="16"/>
        </w:rPr>
        <w:t>a</w:t>
      </w:r>
      <w:r>
        <w:rPr>
          <w:i/>
          <w:spacing w:val="-12"/>
          <w:sz w:val="16"/>
        </w:rPr>
        <w:t> </w:t>
      </w:r>
      <w:r>
        <w:rPr>
          <w:i/>
          <w:sz w:val="16"/>
        </w:rPr>
        <w:t>la</w:t>
      </w:r>
      <w:r>
        <w:rPr>
          <w:i/>
          <w:spacing w:val="-12"/>
          <w:sz w:val="16"/>
        </w:rPr>
        <w:t> </w:t>
      </w:r>
      <w:r>
        <w:rPr>
          <w:i/>
          <w:sz w:val="16"/>
        </w:rPr>
        <w:t>integridad</w:t>
      </w:r>
      <w:r>
        <w:rPr>
          <w:i/>
          <w:spacing w:val="-11"/>
          <w:sz w:val="16"/>
        </w:rPr>
        <w:t> </w:t>
      </w:r>
      <w:r>
        <w:rPr>
          <w:i/>
          <w:sz w:val="16"/>
        </w:rPr>
        <w:t>personal</w:t>
      </w:r>
      <w:r>
        <w:rPr>
          <w:i/>
          <w:spacing w:val="-10"/>
          <w:sz w:val="16"/>
        </w:rPr>
        <w:t> </w:t>
      </w:r>
      <w:r>
        <w:rPr>
          <w:i/>
          <w:sz w:val="16"/>
        </w:rPr>
        <w:t>-</w:t>
      </w:r>
      <w:r>
        <w:rPr>
          <w:i/>
          <w:spacing w:val="-12"/>
          <w:sz w:val="16"/>
        </w:rPr>
        <w:t> </w:t>
      </w:r>
      <w:r>
        <w:rPr>
          <w:i/>
          <w:sz w:val="16"/>
        </w:rPr>
        <w:t>interpretación</w:t>
      </w:r>
      <w:r>
        <w:rPr>
          <w:i/>
          <w:spacing w:val="-12"/>
          <w:sz w:val="16"/>
        </w:rPr>
        <w:t> </w:t>
      </w:r>
      <w:r>
        <w:rPr>
          <w:i/>
          <w:sz w:val="16"/>
        </w:rPr>
        <w:t>y</w:t>
      </w:r>
      <w:r>
        <w:rPr>
          <w:i/>
          <w:spacing w:val="-11"/>
          <w:sz w:val="16"/>
        </w:rPr>
        <w:t> </w:t>
      </w:r>
      <w:r>
        <w:rPr>
          <w:i/>
          <w:sz w:val="16"/>
        </w:rPr>
        <w:t>alcance de los artículos 4.1 y 5.1, en relación con los artículos 1.1 y 2 de la Convención Americana sobre Derechos Humanos). </w:t>
      </w:r>
      <w:r>
        <w:rPr>
          <w:sz w:val="16"/>
        </w:rPr>
        <w:t>Serie A No. 23; </w:t>
      </w:r>
      <w:r>
        <w:rPr>
          <w:i/>
          <w:sz w:val="16"/>
        </w:rPr>
        <w:t>Caso Trabajadores Cesados de Petroperú y otros Vs. Perú. Excepciones </w:t>
      </w:r>
      <w:r>
        <w:rPr>
          <w:i/>
          <w:sz w:val="16"/>
        </w:rPr>
        <w:t>Preliminares, Fondo, Reparaciones y Costas. </w:t>
      </w:r>
      <w:r>
        <w:rPr>
          <w:sz w:val="16"/>
        </w:rPr>
        <w:t>Sentencia de 23 de noviembre de 2017. Serie C No. 344; </w:t>
      </w:r>
      <w:r>
        <w:rPr>
          <w:i/>
          <w:sz w:val="16"/>
        </w:rPr>
        <w:t>Caso </w:t>
      </w:r>
      <w:r>
        <w:rPr>
          <w:i/>
          <w:sz w:val="16"/>
        </w:rPr>
        <w:t>San Miguel Sosa y otras Vs. Venezuela. Fondo, Reparaciones y Costas</w:t>
      </w:r>
      <w:r>
        <w:rPr>
          <w:sz w:val="16"/>
        </w:rPr>
        <w:t>. Sentencia de 8 de febrero de 2018. Serie C No. 348; </w:t>
      </w:r>
      <w:r>
        <w:rPr>
          <w:i/>
          <w:sz w:val="16"/>
        </w:rPr>
        <w:t>Caso Poblete Vilches y otros Vs. Chile. Fondo, Reparaciones y Costas. </w:t>
      </w:r>
      <w:r>
        <w:rPr>
          <w:sz w:val="16"/>
        </w:rPr>
        <w:t>Sentencia de 8 de marzo de 2018. Serie C No. 349; </w:t>
      </w:r>
      <w:r>
        <w:rPr>
          <w:i/>
          <w:sz w:val="16"/>
        </w:rPr>
        <w:t>Caso Cuscul Pivaral y otros Vs. Guatemala. Excepción Preliminar, Fondo, </w:t>
      </w:r>
      <w:r>
        <w:rPr>
          <w:i/>
          <w:sz w:val="16"/>
        </w:rPr>
        <w:t>Reparaciones y Costas. </w:t>
      </w:r>
      <w:r>
        <w:rPr>
          <w:sz w:val="16"/>
        </w:rPr>
        <w:t>Sentencia de 23 de agosto de 2018. Serie C No. 359; </w:t>
      </w:r>
      <w:r>
        <w:rPr>
          <w:i/>
          <w:sz w:val="16"/>
        </w:rPr>
        <w:t>Caso Muelle Flores Vs. Perú. </w:t>
      </w:r>
      <w:r>
        <w:rPr>
          <w:i/>
          <w:sz w:val="16"/>
        </w:rPr>
        <w:t>Excepciones</w:t>
      </w:r>
      <w:r>
        <w:rPr>
          <w:i/>
          <w:spacing w:val="-6"/>
          <w:sz w:val="16"/>
        </w:rPr>
        <w:t> </w:t>
      </w:r>
      <w:r>
        <w:rPr>
          <w:i/>
          <w:sz w:val="16"/>
        </w:rPr>
        <w:t>Preliminares,</w:t>
      </w:r>
      <w:r>
        <w:rPr>
          <w:i/>
          <w:spacing w:val="-6"/>
          <w:sz w:val="16"/>
        </w:rPr>
        <w:t> </w:t>
      </w:r>
      <w:r>
        <w:rPr>
          <w:i/>
          <w:sz w:val="16"/>
        </w:rPr>
        <w:t>Fondo,</w:t>
      </w:r>
      <w:r>
        <w:rPr>
          <w:i/>
          <w:spacing w:val="-6"/>
          <w:sz w:val="16"/>
        </w:rPr>
        <w:t> </w:t>
      </w:r>
      <w:r>
        <w:rPr>
          <w:i/>
          <w:sz w:val="16"/>
        </w:rPr>
        <w:t>Reparaciones</w:t>
      </w:r>
      <w:r>
        <w:rPr>
          <w:i/>
          <w:spacing w:val="-7"/>
          <w:sz w:val="16"/>
        </w:rPr>
        <w:t> </w:t>
      </w:r>
      <w:r>
        <w:rPr>
          <w:i/>
          <w:sz w:val="16"/>
        </w:rPr>
        <w:t>y</w:t>
      </w:r>
      <w:r>
        <w:rPr>
          <w:i/>
          <w:spacing w:val="-5"/>
          <w:sz w:val="16"/>
        </w:rPr>
        <w:t> </w:t>
      </w:r>
      <w:r>
        <w:rPr>
          <w:i/>
          <w:sz w:val="16"/>
        </w:rPr>
        <w:t>Costas.</w:t>
      </w:r>
      <w:r>
        <w:rPr>
          <w:i/>
          <w:spacing w:val="-4"/>
          <w:sz w:val="16"/>
        </w:rPr>
        <w:t> </w:t>
      </w:r>
      <w:r>
        <w:rPr>
          <w:sz w:val="16"/>
        </w:rPr>
        <w:t>Sentencia</w:t>
      </w:r>
      <w:r>
        <w:rPr>
          <w:spacing w:val="-6"/>
          <w:sz w:val="16"/>
        </w:rPr>
        <w:t> </w:t>
      </w:r>
      <w:r>
        <w:rPr>
          <w:sz w:val="16"/>
        </w:rPr>
        <w:t>de</w:t>
      </w:r>
      <w:r>
        <w:rPr>
          <w:spacing w:val="-6"/>
          <w:sz w:val="16"/>
        </w:rPr>
        <w:t> </w:t>
      </w:r>
      <w:r>
        <w:rPr>
          <w:sz w:val="16"/>
        </w:rPr>
        <w:t>6</w:t>
      </w:r>
      <w:r>
        <w:rPr>
          <w:spacing w:val="-6"/>
          <w:sz w:val="16"/>
        </w:rPr>
        <w:t> </w:t>
      </w:r>
      <w:r>
        <w:rPr>
          <w:sz w:val="16"/>
        </w:rPr>
        <w:t>de</w:t>
      </w:r>
      <w:r>
        <w:rPr>
          <w:spacing w:val="-6"/>
          <w:sz w:val="16"/>
        </w:rPr>
        <w:t> </w:t>
      </w:r>
      <w:r>
        <w:rPr>
          <w:sz w:val="16"/>
        </w:rPr>
        <w:t>marzo</w:t>
      </w:r>
      <w:r>
        <w:rPr>
          <w:spacing w:val="-6"/>
          <w:sz w:val="16"/>
        </w:rPr>
        <w:t> </w:t>
      </w:r>
      <w:r>
        <w:rPr>
          <w:sz w:val="16"/>
        </w:rPr>
        <w:t>de</w:t>
      </w:r>
      <w:r>
        <w:rPr>
          <w:spacing w:val="-6"/>
          <w:sz w:val="16"/>
        </w:rPr>
        <w:t> </w:t>
      </w:r>
      <w:r>
        <w:rPr>
          <w:sz w:val="16"/>
        </w:rPr>
        <w:t>2019.</w:t>
      </w:r>
      <w:r>
        <w:rPr>
          <w:spacing w:val="-6"/>
          <w:sz w:val="16"/>
        </w:rPr>
        <w:t> </w:t>
      </w:r>
      <w:r>
        <w:rPr>
          <w:sz w:val="16"/>
        </w:rPr>
        <w:t>Serie</w:t>
      </w:r>
      <w:r>
        <w:rPr>
          <w:spacing w:val="-7"/>
          <w:sz w:val="16"/>
        </w:rPr>
        <w:t> </w:t>
      </w:r>
      <w:r>
        <w:rPr>
          <w:sz w:val="16"/>
        </w:rPr>
        <w:t>C</w:t>
      </w:r>
      <w:r>
        <w:rPr>
          <w:spacing w:val="-6"/>
          <w:sz w:val="16"/>
        </w:rPr>
        <w:t> </w:t>
      </w:r>
      <w:r>
        <w:rPr>
          <w:sz w:val="16"/>
        </w:rPr>
        <w:t>No.</w:t>
      </w:r>
      <w:r>
        <w:rPr>
          <w:spacing w:val="-5"/>
          <w:sz w:val="16"/>
        </w:rPr>
        <w:t> </w:t>
      </w:r>
      <w:r>
        <w:rPr>
          <w:sz w:val="16"/>
        </w:rPr>
        <w:t>375; </w:t>
      </w:r>
      <w:r>
        <w:rPr>
          <w:i/>
          <w:sz w:val="16"/>
        </w:rPr>
        <w:t>Caso de la Asociación Nacional de Cesantes y Jubilados de la Superintendencia Nacional de Administración </w:t>
      </w:r>
      <w:r>
        <w:rPr>
          <w:i/>
          <w:sz w:val="16"/>
        </w:rPr>
        <w:t>Tributaria (ANCEJUB-SUNAT) Vs. Perú</w:t>
      </w:r>
      <w:r>
        <w:rPr>
          <w:sz w:val="16"/>
        </w:rPr>
        <w:t>. </w:t>
      </w:r>
      <w:r>
        <w:rPr>
          <w:i/>
          <w:sz w:val="16"/>
        </w:rPr>
        <w:t>Excepciones Preliminares, Fondo, Reparaciones y Costas</w:t>
      </w:r>
      <w:r>
        <w:rPr>
          <w:sz w:val="16"/>
        </w:rPr>
        <w:t>. Sentencia de</w:t>
      </w:r>
      <w:r>
        <w:rPr>
          <w:spacing w:val="-7"/>
          <w:sz w:val="16"/>
        </w:rPr>
        <w:t> </w:t>
      </w:r>
      <w:r>
        <w:rPr>
          <w:sz w:val="16"/>
        </w:rPr>
        <w:t>21</w:t>
      </w:r>
      <w:r>
        <w:rPr>
          <w:spacing w:val="-7"/>
          <w:sz w:val="16"/>
        </w:rPr>
        <w:t> </w:t>
      </w:r>
      <w:r>
        <w:rPr>
          <w:sz w:val="16"/>
        </w:rPr>
        <w:t>de</w:t>
      </w:r>
      <w:r>
        <w:rPr>
          <w:spacing w:val="-7"/>
          <w:sz w:val="16"/>
        </w:rPr>
        <w:t> </w:t>
      </w:r>
      <w:r>
        <w:rPr>
          <w:sz w:val="16"/>
        </w:rPr>
        <w:t>noviembre</w:t>
      </w:r>
      <w:r>
        <w:rPr>
          <w:spacing w:val="-7"/>
          <w:sz w:val="16"/>
        </w:rPr>
        <w:t> </w:t>
      </w:r>
      <w:r>
        <w:rPr>
          <w:sz w:val="16"/>
        </w:rPr>
        <w:t>de</w:t>
      </w:r>
      <w:r>
        <w:rPr>
          <w:spacing w:val="-7"/>
          <w:sz w:val="16"/>
        </w:rPr>
        <w:t> </w:t>
      </w:r>
      <w:r>
        <w:rPr>
          <w:sz w:val="16"/>
        </w:rPr>
        <w:t>2019.</w:t>
      </w:r>
      <w:r>
        <w:rPr>
          <w:spacing w:val="-5"/>
          <w:sz w:val="16"/>
        </w:rPr>
        <w:t> </w:t>
      </w:r>
      <w:r>
        <w:rPr>
          <w:sz w:val="16"/>
        </w:rPr>
        <w:t>Serie</w:t>
      </w:r>
      <w:r>
        <w:rPr>
          <w:spacing w:val="-8"/>
          <w:sz w:val="16"/>
        </w:rPr>
        <w:t> </w:t>
      </w:r>
      <w:r>
        <w:rPr>
          <w:sz w:val="16"/>
        </w:rPr>
        <w:t>C</w:t>
      </w:r>
      <w:r>
        <w:rPr>
          <w:spacing w:val="-7"/>
          <w:sz w:val="16"/>
        </w:rPr>
        <w:t> </w:t>
      </w:r>
      <w:r>
        <w:rPr>
          <w:sz w:val="16"/>
        </w:rPr>
        <w:t>No.</w:t>
      </w:r>
      <w:r>
        <w:rPr>
          <w:spacing w:val="-7"/>
          <w:sz w:val="16"/>
        </w:rPr>
        <w:t> </w:t>
      </w:r>
      <w:r>
        <w:rPr>
          <w:sz w:val="16"/>
        </w:rPr>
        <w:t>394,</w:t>
      </w:r>
      <w:r>
        <w:rPr>
          <w:spacing w:val="-7"/>
          <w:sz w:val="16"/>
        </w:rPr>
        <w:t> </w:t>
      </w:r>
      <w:r>
        <w:rPr>
          <w:sz w:val="16"/>
        </w:rPr>
        <w:t>y</w:t>
      </w:r>
      <w:r>
        <w:rPr>
          <w:spacing w:val="-7"/>
          <w:sz w:val="16"/>
        </w:rPr>
        <w:t> </w:t>
      </w:r>
      <w:r>
        <w:rPr>
          <w:i/>
          <w:sz w:val="16"/>
        </w:rPr>
        <w:t>Caso</w:t>
      </w:r>
      <w:r>
        <w:rPr>
          <w:i/>
          <w:spacing w:val="-7"/>
          <w:sz w:val="16"/>
        </w:rPr>
        <w:t> </w:t>
      </w:r>
      <w:r>
        <w:rPr>
          <w:i/>
          <w:sz w:val="16"/>
        </w:rPr>
        <w:t>Hernández</w:t>
      </w:r>
      <w:r>
        <w:rPr>
          <w:i/>
          <w:spacing w:val="-8"/>
          <w:sz w:val="16"/>
        </w:rPr>
        <w:t> </w:t>
      </w:r>
      <w:r>
        <w:rPr>
          <w:i/>
          <w:sz w:val="16"/>
        </w:rPr>
        <w:t>Vs.</w:t>
      </w:r>
      <w:r>
        <w:rPr>
          <w:i/>
          <w:spacing w:val="-8"/>
          <w:sz w:val="16"/>
        </w:rPr>
        <w:t> </w:t>
      </w:r>
      <w:r>
        <w:rPr>
          <w:i/>
          <w:sz w:val="16"/>
        </w:rPr>
        <w:t>Argentina.</w:t>
      </w:r>
      <w:r>
        <w:rPr>
          <w:i/>
          <w:spacing w:val="-6"/>
          <w:sz w:val="16"/>
        </w:rPr>
        <w:t> </w:t>
      </w:r>
      <w:r>
        <w:rPr>
          <w:i/>
          <w:sz w:val="16"/>
        </w:rPr>
        <w:t>Excepción</w:t>
      </w:r>
      <w:r>
        <w:rPr>
          <w:i/>
          <w:spacing w:val="-7"/>
          <w:sz w:val="16"/>
        </w:rPr>
        <w:t> </w:t>
      </w:r>
      <w:r>
        <w:rPr>
          <w:i/>
          <w:sz w:val="16"/>
        </w:rPr>
        <w:t>Preliminar,</w:t>
      </w:r>
      <w:r>
        <w:rPr>
          <w:i/>
          <w:spacing w:val="-6"/>
          <w:sz w:val="16"/>
        </w:rPr>
        <w:t> </w:t>
      </w:r>
      <w:r>
        <w:rPr>
          <w:i/>
          <w:sz w:val="16"/>
        </w:rPr>
        <w:t>Fondo, </w:t>
      </w:r>
      <w:r>
        <w:rPr>
          <w:i/>
          <w:sz w:val="16"/>
        </w:rPr>
        <w:t>Reparaciones y Costas. </w:t>
      </w:r>
      <w:r>
        <w:rPr>
          <w:sz w:val="16"/>
        </w:rPr>
        <w:t>Sentencia de 22 de noviembre de 2019. Serie C No.</w:t>
      </w:r>
      <w:r>
        <w:rPr>
          <w:spacing w:val="-18"/>
          <w:sz w:val="16"/>
        </w:rPr>
        <w:t> </w:t>
      </w:r>
      <w:r>
        <w:rPr>
          <w:sz w:val="16"/>
        </w:rPr>
        <w:t>395.</w:t>
      </w:r>
    </w:p>
    <w:p>
      <w:pPr>
        <w:tabs>
          <w:tab w:pos="826" w:val="left" w:leader="none"/>
        </w:tabs>
        <w:spacing w:before="120"/>
        <w:ind w:left="118" w:right="310" w:firstLine="0"/>
        <w:jc w:val="both"/>
        <w:rPr>
          <w:sz w:val="16"/>
        </w:rPr>
      </w:pPr>
      <w:r>
        <w:rPr>
          <w:position w:val="6"/>
          <w:sz w:val="10"/>
        </w:rPr>
        <w:t>6</w:t>
        <w:tab/>
      </w:r>
      <w:r>
        <w:rPr>
          <w:sz w:val="16"/>
        </w:rPr>
        <w:t>En</w:t>
      </w:r>
      <w:r>
        <w:rPr>
          <w:spacing w:val="41"/>
          <w:sz w:val="16"/>
        </w:rPr>
        <w:t> </w:t>
      </w:r>
      <w:r>
        <w:rPr>
          <w:sz w:val="16"/>
        </w:rPr>
        <w:t>aquella</w:t>
      </w:r>
      <w:r>
        <w:rPr>
          <w:spacing w:val="42"/>
          <w:sz w:val="16"/>
        </w:rPr>
        <w:t> </w:t>
      </w:r>
      <w:r>
        <w:rPr>
          <w:sz w:val="16"/>
        </w:rPr>
        <w:t>oportunidad,</w:t>
      </w:r>
      <w:r>
        <w:rPr>
          <w:spacing w:val="46"/>
          <w:sz w:val="16"/>
        </w:rPr>
        <w:t> </w:t>
      </w:r>
      <w:r>
        <w:rPr>
          <w:sz w:val="16"/>
        </w:rPr>
        <w:t>en</w:t>
      </w:r>
      <w:r>
        <w:rPr>
          <w:spacing w:val="42"/>
          <w:sz w:val="16"/>
        </w:rPr>
        <w:t> </w:t>
      </w:r>
      <w:r>
        <w:rPr>
          <w:sz w:val="16"/>
        </w:rPr>
        <w:t>el</w:t>
      </w:r>
      <w:r>
        <w:rPr>
          <w:spacing w:val="41"/>
          <w:sz w:val="16"/>
        </w:rPr>
        <w:t> </w:t>
      </w:r>
      <w:r>
        <w:rPr>
          <w:sz w:val="16"/>
        </w:rPr>
        <w:t>Voto</w:t>
      </w:r>
      <w:r>
        <w:rPr>
          <w:spacing w:val="42"/>
          <w:sz w:val="16"/>
        </w:rPr>
        <w:t> </w:t>
      </w:r>
      <w:r>
        <w:rPr>
          <w:sz w:val="16"/>
        </w:rPr>
        <w:t>Concurrente</w:t>
      </w:r>
      <w:r>
        <w:rPr>
          <w:spacing w:val="41"/>
          <w:sz w:val="16"/>
        </w:rPr>
        <w:t> </w:t>
      </w:r>
      <w:r>
        <w:rPr>
          <w:sz w:val="16"/>
        </w:rPr>
        <w:t>al</w:t>
      </w:r>
      <w:r>
        <w:rPr>
          <w:spacing w:val="41"/>
          <w:sz w:val="16"/>
        </w:rPr>
        <w:t> </w:t>
      </w:r>
      <w:r>
        <w:rPr>
          <w:sz w:val="16"/>
        </w:rPr>
        <w:t>caso</w:t>
      </w:r>
      <w:r>
        <w:rPr>
          <w:spacing w:val="45"/>
          <w:sz w:val="16"/>
        </w:rPr>
        <w:t> </w:t>
      </w:r>
      <w:r>
        <w:rPr>
          <w:i/>
          <w:sz w:val="16"/>
        </w:rPr>
        <w:t>Suárez</w:t>
      </w:r>
      <w:r>
        <w:rPr>
          <w:i/>
          <w:spacing w:val="41"/>
          <w:sz w:val="16"/>
        </w:rPr>
        <w:t> </w:t>
      </w:r>
      <w:r>
        <w:rPr>
          <w:i/>
          <w:sz w:val="16"/>
        </w:rPr>
        <w:t>Peralta</w:t>
      </w:r>
      <w:r>
        <w:rPr>
          <w:sz w:val="16"/>
        </w:rPr>
        <w:t>,</w:t>
      </w:r>
      <w:r>
        <w:rPr>
          <w:spacing w:val="41"/>
          <w:sz w:val="16"/>
        </w:rPr>
        <w:t> </w:t>
      </w:r>
      <w:r>
        <w:rPr>
          <w:sz w:val="16"/>
        </w:rPr>
        <w:t>sostuve</w:t>
      </w:r>
      <w:r>
        <w:rPr>
          <w:spacing w:val="41"/>
          <w:sz w:val="16"/>
        </w:rPr>
        <w:t> </w:t>
      </w:r>
      <w:r>
        <w:rPr>
          <w:sz w:val="16"/>
        </w:rPr>
        <w:t>que:</w:t>
      </w:r>
      <w:r>
        <w:rPr>
          <w:spacing w:val="41"/>
          <w:sz w:val="16"/>
        </w:rPr>
        <w:t> </w:t>
      </w:r>
      <w:r>
        <w:rPr>
          <w:sz w:val="16"/>
        </w:rPr>
        <w:t>“15.</w:t>
      </w:r>
      <w:r>
        <w:rPr>
          <w:spacing w:val="41"/>
          <w:sz w:val="16"/>
        </w:rPr>
        <w:t> </w:t>
      </w:r>
      <w:r>
        <w:rPr>
          <w:sz w:val="16"/>
        </w:rPr>
        <w:t>La</w:t>
      </w:r>
      <w:r>
        <w:rPr>
          <w:w w:val="99"/>
          <w:sz w:val="16"/>
        </w:rPr>
        <w:t> </w:t>
      </w:r>
      <w:r>
        <w:rPr>
          <w:sz w:val="16"/>
        </w:rPr>
        <w:t>posibilidad de que este Tribunal Interamericano se pronuncie sobre [la justiciabilidad de los DESCA] deriva, en primer término, de la “interdependencia e indivisibilidad” existente entre los derechos civiles y políticos con</w:t>
      </w:r>
      <w:r>
        <w:rPr>
          <w:spacing w:val="-4"/>
          <w:sz w:val="16"/>
        </w:rPr>
        <w:t> </w:t>
      </w:r>
      <w:r>
        <w:rPr>
          <w:sz w:val="16"/>
        </w:rPr>
        <w:t>respecto</w:t>
      </w:r>
      <w:r>
        <w:rPr>
          <w:spacing w:val="-3"/>
          <w:sz w:val="16"/>
        </w:rPr>
        <w:t> </w:t>
      </w:r>
      <w:r>
        <w:rPr>
          <w:sz w:val="16"/>
        </w:rPr>
        <w:t>de</w:t>
      </w:r>
      <w:r>
        <w:rPr>
          <w:spacing w:val="-4"/>
          <w:sz w:val="16"/>
        </w:rPr>
        <w:t> </w:t>
      </w:r>
      <w:r>
        <w:rPr>
          <w:sz w:val="16"/>
        </w:rPr>
        <w:t>los</w:t>
      </w:r>
      <w:r>
        <w:rPr>
          <w:spacing w:val="-3"/>
          <w:sz w:val="16"/>
        </w:rPr>
        <w:t> </w:t>
      </w:r>
      <w:r>
        <w:rPr>
          <w:sz w:val="16"/>
        </w:rPr>
        <w:t>económicos,</w:t>
      </w:r>
      <w:r>
        <w:rPr>
          <w:spacing w:val="-4"/>
          <w:sz w:val="16"/>
        </w:rPr>
        <w:t> </w:t>
      </w:r>
      <w:r>
        <w:rPr>
          <w:sz w:val="16"/>
        </w:rPr>
        <w:t>sociales</w:t>
      </w:r>
      <w:r>
        <w:rPr>
          <w:spacing w:val="-4"/>
          <w:sz w:val="16"/>
        </w:rPr>
        <w:t> </w:t>
      </w:r>
      <w:r>
        <w:rPr>
          <w:sz w:val="16"/>
        </w:rPr>
        <w:t>y</w:t>
      </w:r>
      <w:r>
        <w:rPr>
          <w:spacing w:val="-3"/>
          <w:sz w:val="16"/>
        </w:rPr>
        <w:t> </w:t>
      </w:r>
      <w:r>
        <w:rPr>
          <w:sz w:val="16"/>
        </w:rPr>
        <w:t>culturales.</w:t>
      </w:r>
      <w:r>
        <w:rPr>
          <w:spacing w:val="-4"/>
          <w:sz w:val="16"/>
        </w:rPr>
        <w:t> </w:t>
      </w:r>
      <w:r>
        <w:rPr>
          <w:sz w:val="16"/>
        </w:rPr>
        <w:t>En</w:t>
      </w:r>
      <w:r>
        <w:rPr>
          <w:spacing w:val="-4"/>
          <w:sz w:val="16"/>
        </w:rPr>
        <w:t> </w:t>
      </w:r>
      <w:r>
        <w:rPr>
          <w:sz w:val="16"/>
        </w:rPr>
        <w:t>efecto [en</w:t>
      </w:r>
      <w:r>
        <w:rPr>
          <w:spacing w:val="-3"/>
          <w:sz w:val="16"/>
        </w:rPr>
        <w:t> </w:t>
      </w:r>
      <w:r>
        <w:rPr>
          <w:sz w:val="16"/>
        </w:rPr>
        <w:t>el</w:t>
      </w:r>
      <w:r>
        <w:rPr>
          <w:spacing w:val="-4"/>
          <w:sz w:val="16"/>
        </w:rPr>
        <w:t> </w:t>
      </w:r>
      <w:r>
        <w:rPr>
          <w:sz w:val="16"/>
        </w:rPr>
        <w:t>caso</w:t>
      </w:r>
      <w:r>
        <w:rPr>
          <w:spacing w:val="-3"/>
          <w:sz w:val="16"/>
        </w:rPr>
        <w:t> </w:t>
      </w:r>
      <w:r>
        <w:rPr>
          <w:sz w:val="16"/>
        </w:rPr>
        <w:t>Suárez</w:t>
      </w:r>
      <w:r>
        <w:rPr>
          <w:spacing w:val="-4"/>
          <w:sz w:val="16"/>
        </w:rPr>
        <w:t> </w:t>
      </w:r>
      <w:r>
        <w:rPr>
          <w:sz w:val="16"/>
        </w:rPr>
        <w:t>Peralta]</w:t>
      </w:r>
      <w:r>
        <w:rPr>
          <w:spacing w:val="-3"/>
          <w:sz w:val="16"/>
        </w:rPr>
        <w:t> </w:t>
      </w:r>
      <w:r>
        <w:rPr>
          <w:sz w:val="16"/>
        </w:rPr>
        <w:t>expresamente</w:t>
      </w:r>
      <w:r>
        <w:rPr>
          <w:spacing w:val="-4"/>
          <w:sz w:val="16"/>
        </w:rPr>
        <w:t> </w:t>
      </w:r>
      <w:r>
        <w:rPr>
          <w:sz w:val="16"/>
        </w:rPr>
        <w:t>se reconoce ese carácter, ya que deben ser entendidos integralmente como derechos humanos, sin jerarquía entre sí y exigibles en todos los casos ante aquellas autoridades que resulten competentes para</w:t>
      </w:r>
      <w:r>
        <w:rPr>
          <w:spacing w:val="-29"/>
          <w:sz w:val="16"/>
        </w:rPr>
        <w:t> </w:t>
      </w:r>
      <w:r>
        <w:rPr>
          <w:sz w:val="16"/>
        </w:rPr>
        <w:t>ello”.</w:t>
      </w:r>
    </w:p>
    <w:p>
      <w:pPr>
        <w:tabs>
          <w:tab w:pos="826" w:val="left" w:leader="none"/>
        </w:tabs>
        <w:spacing w:before="120"/>
        <w:ind w:left="118" w:right="313" w:firstLine="0"/>
        <w:jc w:val="both"/>
        <w:rPr>
          <w:sz w:val="16"/>
        </w:rPr>
      </w:pPr>
      <w:r>
        <w:rPr>
          <w:position w:val="6"/>
          <w:sz w:val="10"/>
        </w:rPr>
        <w:t>7</w:t>
        <w:tab/>
      </w:r>
      <w:r>
        <w:rPr>
          <w:sz w:val="16"/>
        </w:rPr>
        <w:t>En este sentido, esta cuestión resulta de especial relevancia debido a que la  </w:t>
      </w:r>
      <w:r>
        <w:rPr>
          <w:spacing w:val="33"/>
          <w:sz w:val="16"/>
        </w:rPr>
        <w:t> </w:t>
      </w:r>
      <w:r>
        <w:rPr>
          <w:sz w:val="16"/>
        </w:rPr>
        <w:t>Sentencia</w:t>
      </w:r>
      <w:r>
        <w:rPr>
          <w:spacing w:val="11"/>
          <w:sz w:val="16"/>
        </w:rPr>
        <w:t> </w:t>
      </w:r>
      <w:r>
        <w:rPr>
          <w:sz w:val="16"/>
        </w:rPr>
        <w:t>demuestra</w:t>
      </w:r>
      <w:r>
        <w:rPr>
          <w:w w:val="99"/>
          <w:sz w:val="16"/>
        </w:rPr>
        <w:t> </w:t>
      </w:r>
      <w:r>
        <w:rPr>
          <w:sz w:val="16"/>
        </w:rPr>
        <w:t>que varios derechos pueden ser derivados de la Carta de al OEA de manera simultanea en un caso</w:t>
      </w:r>
      <w:r>
        <w:rPr>
          <w:spacing w:val="-30"/>
          <w:sz w:val="16"/>
        </w:rPr>
        <w:t> </w:t>
      </w:r>
      <w:r>
        <w:rPr>
          <w:sz w:val="16"/>
        </w:rPr>
        <w:t>concreto.</w:t>
      </w:r>
    </w:p>
    <w:p>
      <w:pPr>
        <w:spacing w:after="0"/>
        <w:jc w:val="both"/>
        <w:rPr>
          <w:sz w:val="16"/>
        </w:rPr>
        <w:sectPr>
          <w:footerReference w:type="default" r:id="rId55"/>
          <w:pgSz w:w="12240" w:h="15840"/>
          <w:pgMar w:footer="782" w:header="0" w:top="1340" w:bottom="980" w:left="1300" w:right="1720"/>
          <w:pgNumType w:start="2"/>
        </w:sectPr>
      </w:pPr>
    </w:p>
    <w:p>
      <w:pPr>
        <w:pStyle w:val="BodyText"/>
        <w:spacing w:before="77"/>
        <w:ind w:left="118" w:right="308"/>
        <w:jc w:val="both"/>
      </w:pPr>
      <w:r>
        <w:rPr>
          <w:i/>
        </w:rPr>
        <w:t>autónomos</w:t>
      </w:r>
      <w:r>
        <w:rPr/>
        <w:t>,</w:t>
      </w:r>
      <w:r>
        <w:rPr>
          <w:spacing w:val="-13"/>
        </w:rPr>
        <w:t> </w:t>
      </w:r>
      <w:r>
        <w:rPr/>
        <w:t>todos</w:t>
      </w:r>
      <w:r>
        <w:rPr>
          <w:spacing w:val="-12"/>
        </w:rPr>
        <w:t> </w:t>
      </w:r>
      <w:r>
        <w:rPr/>
        <w:t>ellos</w:t>
      </w:r>
      <w:r>
        <w:rPr>
          <w:spacing w:val="-13"/>
        </w:rPr>
        <w:t> </w:t>
      </w:r>
      <w:r>
        <w:rPr/>
        <w:t>derechos</w:t>
      </w:r>
      <w:r>
        <w:rPr>
          <w:spacing w:val="-12"/>
        </w:rPr>
        <w:t> </w:t>
      </w:r>
      <w:r>
        <w:rPr/>
        <w:t>que</w:t>
      </w:r>
      <w:r>
        <w:rPr>
          <w:spacing w:val="-11"/>
        </w:rPr>
        <w:t> </w:t>
      </w:r>
      <w:r>
        <w:rPr/>
        <w:t>—afirman—</w:t>
      </w:r>
      <w:r>
        <w:rPr>
          <w:spacing w:val="-11"/>
        </w:rPr>
        <w:t> </w:t>
      </w:r>
      <w:r>
        <w:rPr/>
        <w:t>se</w:t>
      </w:r>
      <w:r>
        <w:rPr>
          <w:spacing w:val="-12"/>
        </w:rPr>
        <w:t> </w:t>
      </w:r>
      <w:r>
        <w:rPr/>
        <w:t>derivan</w:t>
      </w:r>
      <w:r>
        <w:rPr>
          <w:spacing w:val="-11"/>
        </w:rPr>
        <w:t> </w:t>
      </w:r>
      <w:r>
        <w:rPr/>
        <w:t>de</w:t>
      </w:r>
      <w:r>
        <w:rPr>
          <w:spacing w:val="-11"/>
        </w:rPr>
        <w:t> </w:t>
      </w:r>
      <w:r>
        <w:rPr/>
        <w:t>las</w:t>
      </w:r>
      <w:r>
        <w:rPr>
          <w:spacing w:val="-14"/>
        </w:rPr>
        <w:t> </w:t>
      </w:r>
      <w:r>
        <w:rPr/>
        <w:t>normas</w:t>
      </w:r>
      <w:r>
        <w:rPr>
          <w:spacing w:val="-12"/>
        </w:rPr>
        <w:t> </w:t>
      </w:r>
      <w:r>
        <w:rPr/>
        <w:t>económicas, sociales y sobre educación, ciencia y cultura, contenidos en la Carta de la Organización de los Estados Americanos” (en adelante “la Carta de la OEA”)</w:t>
      </w:r>
      <w:r>
        <w:rPr>
          <w:spacing w:val="-35"/>
        </w:rPr>
        <w:t> </w:t>
      </w:r>
      <w:r>
        <w:rPr>
          <w:position w:val="7"/>
          <w:sz w:val="13"/>
        </w:rPr>
        <w:t>8</w:t>
      </w:r>
      <w:r>
        <w:rPr/>
        <w:t>.</w:t>
      </w:r>
    </w:p>
    <w:p>
      <w:pPr>
        <w:pStyle w:val="BodyText"/>
        <w:spacing w:before="11"/>
        <w:rPr>
          <w:sz w:val="19"/>
        </w:rPr>
      </w:pPr>
    </w:p>
    <w:p>
      <w:pPr>
        <w:pStyle w:val="ListParagraph"/>
        <w:numPr>
          <w:ilvl w:val="0"/>
          <w:numId w:val="75"/>
        </w:numPr>
        <w:tabs>
          <w:tab w:pos="827" w:val="left" w:leader="none"/>
        </w:tabs>
        <w:spacing w:line="240" w:lineRule="auto" w:before="0" w:after="0"/>
        <w:ind w:left="118" w:right="307" w:firstLine="0"/>
        <w:jc w:val="both"/>
        <w:rPr>
          <w:sz w:val="20"/>
        </w:rPr>
      </w:pPr>
      <w:r>
        <w:rPr>
          <w:sz w:val="20"/>
        </w:rPr>
        <w:t>Ante esta pretensión, en su escrito de contestación, </w:t>
      </w:r>
      <w:r>
        <w:rPr>
          <w:i/>
          <w:sz w:val="20"/>
        </w:rPr>
        <w:t>el Estado </w:t>
      </w:r>
      <w:r>
        <w:rPr>
          <w:sz w:val="20"/>
        </w:rPr>
        <w:t>no opone como excepción preliminar la falta de competencia de la Corte IDH para conocer sobre las alegadas violaciones a los DESCA contenidos en el artículo 26 del Pacto de San José. Por el contrario, expresa las razones por las cuales los mismos no fueron violados en</w:t>
      </w:r>
      <w:r>
        <w:rPr>
          <w:spacing w:val="-43"/>
          <w:sz w:val="20"/>
        </w:rPr>
        <w:t> </w:t>
      </w:r>
      <w:r>
        <w:rPr>
          <w:sz w:val="20"/>
        </w:rPr>
        <w:t>el caso particular, lo que demuestra que no existía controversia sobre la justiciabilidad</w:t>
      </w:r>
      <w:r>
        <w:rPr>
          <w:spacing w:val="-31"/>
          <w:sz w:val="20"/>
        </w:rPr>
        <w:t> </w:t>
      </w:r>
      <w:r>
        <w:rPr>
          <w:sz w:val="20"/>
        </w:rPr>
        <w:t>de los</w:t>
      </w:r>
      <w:r>
        <w:rPr>
          <w:spacing w:val="-12"/>
          <w:sz w:val="20"/>
        </w:rPr>
        <w:t> </w:t>
      </w:r>
      <w:r>
        <w:rPr>
          <w:sz w:val="20"/>
        </w:rPr>
        <w:t>mismos</w:t>
      </w:r>
      <w:r>
        <w:rPr>
          <w:spacing w:val="-13"/>
          <w:sz w:val="20"/>
        </w:rPr>
        <w:t> </w:t>
      </w:r>
      <w:r>
        <w:rPr>
          <w:sz w:val="20"/>
        </w:rPr>
        <w:t>desde</w:t>
      </w:r>
      <w:r>
        <w:rPr>
          <w:spacing w:val="-12"/>
          <w:sz w:val="20"/>
        </w:rPr>
        <w:t> </w:t>
      </w:r>
      <w:r>
        <w:rPr>
          <w:sz w:val="20"/>
        </w:rPr>
        <w:t>dicho</w:t>
      </w:r>
      <w:r>
        <w:rPr>
          <w:spacing w:val="-14"/>
          <w:sz w:val="20"/>
        </w:rPr>
        <w:t> </w:t>
      </w:r>
      <w:r>
        <w:rPr>
          <w:sz w:val="20"/>
        </w:rPr>
        <w:t>precepto</w:t>
      </w:r>
      <w:r>
        <w:rPr>
          <w:spacing w:val="-12"/>
          <w:sz w:val="20"/>
        </w:rPr>
        <w:t> </w:t>
      </w:r>
      <w:r>
        <w:rPr>
          <w:sz w:val="20"/>
        </w:rPr>
        <w:t>de</w:t>
      </w:r>
      <w:r>
        <w:rPr>
          <w:spacing w:val="-12"/>
          <w:sz w:val="20"/>
        </w:rPr>
        <w:t> </w:t>
      </w:r>
      <w:r>
        <w:rPr>
          <w:sz w:val="20"/>
        </w:rPr>
        <w:t>la</w:t>
      </w:r>
      <w:r>
        <w:rPr>
          <w:spacing w:val="-13"/>
          <w:sz w:val="20"/>
        </w:rPr>
        <w:t> </w:t>
      </w:r>
      <w:r>
        <w:rPr>
          <w:sz w:val="20"/>
        </w:rPr>
        <w:t>Convención</w:t>
      </w:r>
      <w:r>
        <w:rPr>
          <w:spacing w:val="-12"/>
          <w:sz w:val="20"/>
        </w:rPr>
        <w:t> </w:t>
      </w:r>
      <w:r>
        <w:rPr>
          <w:sz w:val="20"/>
        </w:rPr>
        <w:t>Americana.</w:t>
      </w:r>
      <w:r>
        <w:rPr>
          <w:spacing w:val="-11"/>
          <w:sz w:val="20"/>
        </w:rPr>
        <w:t> </w:t>
      </w:r>
      <w:r>
        <w:rPr>
          <w:sz w:val="20"/>
        </w:rPr>
        <w:t>Asimismo,</w:t>
      </w:r>
      <w:r>
        <w:rPr>
          <w:spacing w:val="-12"/>
          <w:sz w:val="20"/>
        </w:rPr>
        <w:t> </w:t>
      </w:r>
      <w:r>
        <w:rPr>
          <w:sz w:val="20"/>
        </w:rPr>
        <w:t>cabe</w:t>
      </w:r>
      <w:r>
        <w:rPr>
          <w:spacing w:val="-12"/>
          <w:sz w:val="20"/>
        </w:rPr>
        <w:t> </w:t>
      </w:r>
      <w:r>
        <w:rPr>
          <w:sz w:val="20"/>
        </w:rPr>
        <w:t>destacar que</w:t>
      </w:r>
      <w:r>
        <w:rPr>
          <w:spacing w:val="-13"/>
          <w:sz w:val="20"/>
        </w:rPr>
        <w:t> </w:t>
      </w:r>
      <w:r>
        <w:rPr>
          <w:sz w:val="20"/>
        </w:rPr>
        <w:t>la</w:t>
      </w:r>
      <w:r>
        <w:rPr>
          <w:spacing w:val="-14"/>
          <w:sz w:val="20"/>
        </w:rPr>
        <w:t> </w:t>
      </w:r>
      <w:r>
        <w:rPr>
          <w:i/>
          <w:sz w:val="20"/>
        </w:rPr>
        <w:t>Comisión</w:t>
      </w:r>
      <w:r>
        <w:rPr>
          <w:i/>
          <w:spacing w:val="-13"/>
          <w:sz w:val="20"/>
        </w:rPr>
        <w:t> </w:t>
      </w:r>
      <w:r>
        <w:rPr>
          <w:i/>
          <w:sz w:val="20"/>
        </w:rPr>
        <w:t>Interamericana</w:t>
      </w:r>
      <w:r>
        <w:rPr>
          <w:sz w:val="20"/>
        </w:rPr>
        <w:t>,</w:t>
      </w:r>
      <w:r>
        <w:rPr>
          <w:spacing w:val="-14"/>
          <w:sz w:val="20"/>
        </w:rPr>
        <w:t> </w:t>
      </w:r>
      <w:r>
        <w:rPr>
          <w:sz w:val="20"/>
        </w:rPr>
        <w:t>en</w:t>
      </w:r>
      <w:r>
        <w:rPr>
          <w:spacing w:val="-12"/>
          <w:sz w:val="20"/>
        </w:rPr>
        <w:t> </w:t>
      </w:r>
      <w:r>
        <w:rPr>
          <w:sz w:val="20"/>
        </w:rPr>
        <w:t>su</w:t>
      </w:r>
      <w:r>
        <w:rPr>
          <w:spacing w:val="-14"/>
          <w:sz w:val="20"/>
        </w:rPr>
        <w:t> </w:t>
      </w:r>
      <w:r>
        <w:rPr>
          <w:sz w:val="20"/>
        </w:rPr>
        <w:t>escrito</w:t>
      </w:r>
      <w:r>
        <w:rPr>
          <w:spacing w:val="-15"/>
          <w:sz w:val="20"/>
        </w:rPr>
        <w:t> </w:t>
      </w:r>
      <w:r>
        <w:rPr>
          <w:sz w:val="20"/>
        </w:rPr>
        <w:t>de</w:t>
      </w:r>
      <w:r>
        <w:rPr>
          <w:spacing w:val="-13"/>
          <w:sz w:val="20"/>
        </w:rPr>
        <w:t> </w:t>
      </w:r>
      <w:r>
        <w:rPr>
          <w:sz w:val="20"/>
        </w:rPr>
        <w:t>“observaciones</w:t>
      </w:r>
      <w:r>
        <w:rPr>
          <w:spacing w:val="-13"/>
          <w:sz w:val="20"/>
        </w:rPr>
        <w:t> </w:t>
      </w:r>
      <w:r>
        <w:rPr>
          <w:sz w:val="20"/>
        </w:rPr>
        <w:t>finales”</w:t>
      </w:r>
      <w:r>
        <w:rPr>
          <w:spacing w:val="-14"/>
          <w:sz w:val="20"/>
        </w:rPr>
        <w:t> </w:t>
      </w:r>
      <w:r>
        <w:rPr>
          <w:sz w:val="20"/>
        </w:rPr>
        <w:t>escritas</w:t>
      </w:r>
      <w:r>
        <w:rPr>
          <w:spacing w:val="-15"/>
          <w:sz w:val="20"/>
        </w:rPr>
        <w:t> </w:t>
      </w:r>
      <w:r>
        <w:rPr>
          <w:sz w:val="20"/>
        </w:rPr>
        <w:t>señaló que</w:t>
      </w:r>
      <w:r>
        <w:rPr>
          <w:position w:val="7"/>
          <w:sz w:val="13"/>
        </w:rPr>
        <w:t>9</w:t>
      </w:r>
      <w:r>
        <w:rPr>
          <w:sz w:val="20"/>
        </w:rPr>
        <w:t>:</w:t>
      </w:r>
    </w:p>
    <w:p>
      <w:pPr>
        <w:pStyle w:val="BodyText"/>
      </w:pPr>
    </w:p>
    <w:p>
      <w:pPr>
        <w:spacing w:before="0"/>
        <w:ind w:left="686" w:right="314" w:firstLine="0"/>
        <w:jc w:val="both"/>
        <w:rPr>
          <w:sz w:val="16"/>
        </w:rPr>
      </w:pPr>
      <w:r>
        <w:rPr>
          <w:sz w:val="16"/>
        </w:rPr>
        <w:t>“Si bien la Comisión no determinó violación del artículo 26 de la Convención en su Informe de Fondo 2/12, considera importante que, dado el reciente desarrollo de la jurisprudencia de esa Honorable Corte, pueda desarrollar, por primera vez, la violación al artículo 26, respecto a los derechos territoriales de los pueblos indígenas, en particular en lo relativo al derecho a la alimentación y otros que resulten pertinentes”.</w:t>
      </w:r>
    </w:p>
    <w:p>
      <w:pPr>
        <w:pStyle w:val="BodyText"/>
        <w:spacing w:before="11"/>
        <w:rPr>
          <w:sz w:val="19"/>
        </w:rPr>
      </w:pPr>
    </w:p>
    <w:p>
      <w:pPr>
        <w:pStyle w:val="ListParagraph"/>
        <w:numPr>
          <w:ilvl w:val="0"/>
          <w:numId w:val="75"/>
        </w:numPr>
        <w:tabs>
          <w:tab w:pos="827" w:val="left" w:leader="none"/>
        </w:tabs>
        <w:spacing w:line="240" w:lineRule="auto" w:before="1" w:after="0"/>
        <w:ind w:left="118" w:right="307" w:firstLine="0"/>
        <w:jc w:val="both"/>
        <w:rPr>
          <w:sz w:val="20"/>
        </w:rPr>
      </w:pPr>
      <w:r>
        <w:rPr>
          <w:sz w:val="20"/>
        </w:rPr>
        <w:t>Debe destacarse que no ha sido la primera ocasión en que se le ha solicitado a la</w:t>
      </w:r>
      <w:r>
        <w:rPr>
          <w:spacing w:val="-12"/>
          <w:sz w:val="20"/>
        </w:rPr>
        <w:t> </w:t>
      </w:r>
      <w:r>
        <w:rPr>
          <w:sz w:val="20"/>
        </w:rPr>
        <w:t>Corte</w:t>
      </w:r>
      <w:r>
        <w:rPr>
          <w:spacing w:val="-11"/>
          <w:sz w:val="20"/>
        </w:rPr>
        <w:t> </w:t>
      </w:r>
      <w:r>
        <w:rPr>
          <w:sz w:val="20"/>
        </w:rPr>
        <w:t>IDH</w:t>
      </w:r>
      <w:r>
        <w:rPr>
          <w:spacing w:val="50"/>
          <w:sz w:val="20"/>
        </w:rPr>
        <w:t> </w:t>
      </w:r>
      <w:r>
        <w:rPr>
          <w:sz w:val="20"/>
        </w:rPr>
        <w:t>—ya</w:t>
      </w:r>
      <w:r>
        <w:rPr>
          <w:spacing w:val="-12"/>
          <w:sz w:val="20"/>
        </w:rPr>
        <w:t> </w:t>
      </w:r>
      <w:r>
        <w:rPr>
          <w:sz w:val="20"/>
        </w:rPr>
        <w:t>sea</w:t>
      </w:r>
      <w:r>
        <w:rPr>
          <w:spacing w:val="-13"/>
          <w:sz w:val="20"/>
        </w:rPr>
        <w:t> </w:t>
      </w:r>
      <w:r>
        <w:rPr>
          <w:sz w:val="20"/>
        </w:rPr>
        <w:t>por</w:t>
      </w:r>
      <w:r>
        <w:rPr>
          <w:spacing w:val="-11"/>
          <w:sz w:val="20"/>
        </w:rPr>
        <w:t> </w:t>
      </w:r>
      <w:r>
        <w:rPr>
          <w:sz w:val="20"/>
        </w:rPr>
        <w:t>parte</w:t>
      </w:r>
      <w:r>
        <w:rPr>
          <w:spacing w:val="-11"/>
          <w:sz w:val="20"/>
        </w:rPr>
        <w:t> </w:t>
      </w:r>
      <w:r>
        <w:rPr>
          <w:sz w:val="20"/>
        </w:rPr>
        <w:t>de</w:t>
      </w:r>
      <w:r>
        <w:rPr>
          <w:spacing w:val="-11"/>
          <w:sz w:val="20"/>
        </w:rPr>
        <w:t> </w:t>
      </w:r>
      <w:r>
        <w:rPr>
          <w:sz w:val="20"/>
        </w:rPr>
        <w:t>la</w:t>
      </w:r>
      <w:r>
        <w:rPr>
          <w:spacing w:val="-13"/>
          <w:sz w:val="20"/>
        </w:rPr>
        <w:t> </w:t>
      </w:r>
      <w:r>
        <w:rPr>
          <w:sz w:val="20"/>
        </w:rPr>
        <w:t>Comisión</w:t>
      </w:r>
      <w:r>
        <w:rPr>
          <w:spacing w:val="-12"/>
          <w:sz w:val="20"/>
        </w:rPr>
        <w:t> </w:t>
      </w:r>
      <w:r>
        <w:rPr>
          <w:sz w:val="20"/>
        </w:rPr>
        <w:t>Interamericana</w:t>
      </w:r>
      <w:r>
        <w:rPr>
          <w:spacing w:val="-10"/>
          <w:sz w:val="20"/>
        </w:rPr>
        <w:t> </w:t>
      </w:r>
      <w:r>
        <w:rPr>
          <w:sz w:val="20"/>
        </w:rPr>
        <w:t>o</w:t>
      </w:r>
      <w:r>
        <w:rPr>
          <w:spacing w:val="-12"/>
          <w:sz w:val="20"/>
        </w:rPr>
        <w:t> </w:t>
      </w:r>
      <w:r>
        <w:rPr>
          <w:sz w:val="20"/>
        </w:rPr>
        <w:t>por</w:t>
      </w:r>
      <w:r>
        <w:rPr>
          <w:spacing w:val="-12"/>
          <w:sz w:val="20"/>
        </w:rPr>
        <w:t> </w:t>
      </w:r>
      <w:r>
        <w:rPr>
          <w:sz w:val="20"/>
        </w:rPr>
        <w:t>los</w:t>
      </w:r>
      <w:r>
        <w:rPr>
          <w:spacing w:val="-10"/>
          <w:sz w:val="20"/>
        </w:rPr>
        <w:t> </w:t>
      </w:r>
      <w:r>
        <w:rPr>
          <w:sz w:val="20"/>
        </w:rPr>
        <w:t>representantes de</w:t>
      </w:r>
      <w:r>
        <w:rPr>
          <w:spacing w:val="-18"/>
          <w:sz w:val="20"/>
        </w:rPr>
        <w:t> </w:t>
      </w:r>
      <w:r>
        <w:rPr>
          <w:sz w:val="20"/>
        </w:rPr>
        <w:t>las</w:t>
      </w:r>
      <w:r>
        <w:rPr>
          <w:spacing w:val="-19"/>
          <w:sz w:val="20"/>
        </w:rPr>
        <w:t> </w:t>
      </w:r>
      <w:r>
        <w:rPr>
          <w:sz w:val="20"/>
        </w:rPr>
        <w:t>víctimas—que</w:t>
      </w:r>
      <w:r>
        <w:rPr>
          <w:spacing w:val="-18"/>
          <w:sz w:val="20"/>
        </w:rPr>
        <w:t> </w:t>
      </w:r>
      <w:r>
        <w:rPr>
          <w:sz w:val="20"/>
        </w:rPr>
        <w:t>se</w:t>
      </w:r>
      <w:r>
        <w:rPr>
          <w:spacing w:val="-18"/>
          <w:sz w:val="20"/>
        </w:rPr>
        <w:t> </w:t>
      </w:r>
      <w:r>
        <w:rPr>
          <w:sz w:val="20"/>
        </w:rPr>
        <w:t>pronuncie</w:t>
      </w:r>
      <w:r>
        <w:rPr>
          <w:spacing w:val="-20"/>
          <w:sz w:val="20"/>
        </w:rPr>
        <w:t> </w:t>
      </w:r>
      <w:r>
        <w:rPr>
          <w:sz w:val="20"/>
        </w:rPr>
        <w:t>sobre</w:t>
      </w:r>
      <w:r>
        <w:rPr>
          <w:spacing w:val="-18"/>
          <w:sz w:val="20"/>
        </w:rPr>
        <w:t> </w:t>
      </w:r>
      <w:r>
        <w:rPr>
          <w:sz w:val="20"/>
        </w:rPr>
        <w:t>el</w:t>
      </w:r>
      <w:r>
        <w:rPr>
          <w:spacing w:val="-18"/>
          <w:sz w:val="20"/>
        </w:rPr>
        <w:t> </w:t>
      </w:r>
      <w:r>
        <w:rPr>
          <w:sz w:val="20"/>
        </w:rPr>
        <w:t>contenido</w:t>
      </w:r>
      <w:r>
        <w:rPr>
          <w:spacing w:val="-19"/>
          <w:sz w:val="20"/>
        </w:rPr>
        <w:t> </w:t>
      </w:r>
      <w:r>
        <w:rPr>
          <w:sz w:val="20"/>
        </w:rPr>
        <w:t>del</w:t>
      </w:r>
      <w:r>
        <w:rPr>
          <w:spacing w:val="-18"/>
          <w:sz w:val="20"/>
        </w:rPr>
        <w:t> </w:t>
      </w:r>
      <w:r>
        <w:rPr>
          <w:sz w:val="20"/>
        </w:rPr>
        <w:t>artículo</w:t>
      </w:r>
      <w:r>
        <w:rPr>
          <w:spacing w:val="-19"/>
          <w:sz w:val="20"/>
        </w:rPr>
        <w:t> </w:t>
      </w:r>
      <w:r>
        <w:rPr>
          <w:sz w:val="20"/>
        </w:rPr>
        <w:t>26</w:t>
      </w:r>
      <w:r>
        <w:rPr>
          <w:spacing w:val="-20"/>
          <w:sz w:val="20"/>
        </w:rPr>
        <w:t> </w:t>
      </w:r>
      <w:r>
        <w:rPr>
          <w:sz w:val="20"/>
        </w:rPr>
        <w:t>frente</w:t>
      </w:r>
      <w:r>
        <w:rPr>
          <w:spacing w:val="-19"/>
          <w:sz w:val="20"/>
        </w:rPr>
        <w:t> </w:t>
      </w:r>
      <w:r>
        <w:rPr>
          <w:sz w:val="20"/>
        </w:rPr>
        <w:t>a</w:t>
      </w:r>
      <w:r>
        <w:rPr>
          <w:spacing w:val="-19"/>
          <w:sz w:val="20"/>
        </w:rPr>
        <w:t> </w:t>
      </w:r>
      <w:r>
        <w:rPr>
          <w:sz w:val="20"/>
        </w:rPr>
        <w:t>los</w:t>
      </w:r>
      <w:r>
        <w:rPr>
          <w:spacing w:val="-19"/>
          <w:sz w:val="20"/>
        </w:rPr>
        <w:t> </w:t>
      </w:r>
      <w:r>
        <w:rPr>
          <w:sz w:val="20"/>
        </w:rPr>
        <w:t>derechos de las comunidades indígenas más allá de la protección que se pueda otorgar sobre las tierras mediante el artículo 21 de la Convención Americana. En este sentido, ya el Tribunal Interamericano en los casos </w:t>
      </w:r>
      <w:r>
        <w:rPr>
          <w:i/>
          <w:sz w:val="20"/>
        </w:rPr>
        <w:t>Yakye Axa </w:t>
      </w:r>
      <w:r>
        <w:rPr>
          <w:sz w:val="20"/>
        </w:rPr>
        <w:t>(2005)</w:t>
      </w:r>
      <w:r>
        <w:rPr>
          <w:position w:val="7"/>
          <w:sz w:val="13"/>
        </w:rPr>
        <w:t>10 </w:t>
      </w:r>
      <w:r>
        <w:rPr>
          <w:sz w:val="20"/>
        </w:rPr>
        <w:t>y </w:t>
      </w:r>
      <w:r>
        <w:rPr>
          <w:i/>
          <w:sz w:val="20"/>
        </w:rPr>
        <w:t>Sarayaku </w:t>
      </w:r>
      <w:r>
        <w:rPr>
          <w:sz w:val="20"/>
        </w:rPr>
        <w:t>(2012)</w:t>
      </w:r>
      <w:r>
        <w:rPr>
          <w:position w:val="7"/>
          <w:sz w:val="13"/>
        </w:rPr>
        <w:t>11 </w:t>
      </w:r>
      <w:r>
        <w:rPr>
          <w:sz w:val="20"/>
        </w:rPr>
        <w:t>había conocido</w:t>
      </w:r>
      <w:r>
        <w:rPr>
          <w:spacing w:val="-8"/>
          <w:sz w:val="20"/>
        </w:rPr>
        <w:t> </w:t>
      </w:r>
      <w:r>
        <w:rPr>
          <w:sz w:val="20"/>
        </w:rPr>
        <w:t>el</w:t>
      </w:r>
      <w:r>
        <w:rPr>
          <w:spacing w:val="-8"/>
          <w:sz w:val="20"/>
        </w:rPr>
        <w:t> </w:t>
      </w:r>
      <w:r>
        <w:rPr>
          <w:sz w:val="20"/>
        </w:rPr>
        <w:t>alegato</w:t>
      </w:r>
      <w:r>
        <w:rPr>
          <w:spacing w:val="-7"/>
          <w:sz w:val="20"/>
        </w:rPr>
        <w:t> </w:t>
      </w:r>
      <w:r>
        <w:rPr>
          <w:sz w:val="20"/>
        </w:rPr>
        <w:t>respecto</w:t>
      </w:r>
      <w:r>
        <w:rPr>
          <w:spacing w:val="-8"/>
          <w:sz w:val="20"/>
        </w:rPr>
        <w:t> </w:t>
      </w:r>
      <w:r>
        <w:rPr>
          <w:sz w:val="20"/>
        </w:rPr>
        <w:t>de</w:t>
      </w:r>
      <w:r>
        <w:rPr>
          <w:spacing w:val="-8"/>
          <w:sz w:val="20"/>
        </w:rPr>
        <w:t> </w:t>
      </w:r>
      <w:r>
        <w:rPr>
          <w:sz w:val="20"/>
        </w:rPr>
        <w:t>la</w:t>
      </w:r>
      <w:r>
        <w:rPr>
          <w:spacing w:val="-8"/>
          <w:sz w:val="20"/>
        </w:rPr>
        <w:t> </w:t>
      </w:r>
      <w:r>
        <w:rPr>
          <w:sz w:val="20"/>
        </w:rPr>
        <w:t>violación</w:t>
      </w:r>
      <w:r>
        <w:rPr>
          <w:spacing w:val="-8"/>
          <w:sz w:val="20"/>
        </w:rPr>
        <w:t> </w:t>
      </w:r>
      <w:r>
        <w:rPr>
          <w:sz w:val="20"/>
        </w:rPr>
        <w:t>al</w:t>
      </w:r>
      <w:r>
        <w:rPr>
          <w:spacing w:val="-8"/>
          <w:sz w:val="20"/>
        </w:rPr>
        <w:t> </w:t>
      </w:r>
      <w:r>
        <w:rPr>
          <w:sz w:val="20"/>
        </w:rPr>
        <w:t>artículo</w:t>
      </w:r>
      <w:r>
        <w:rPr>
          <w:spacing w:val="-7"/>
          <w:sz w:val="20"/>
        </w:rPr>
        <w:t> </w:t>
      </w:r>
      <w:r>
        <w:rPr>
          <w:sz w:val="20"/>
        </w:rPr>
        <w:t>26</w:t>
      </w:r>
      <w:r>
        <w:rPr>
          <w:spacing w:val="-8"/>
          <w:sz w:val="20"/>
        </w:rPr>
        <w:t> </w:t>
      </w:r>
      <w:r>
        <w:rPr>
          <w:sz w:val="20"/>
        </w:rPr>
        <w:t>del</w:t>
      </w:r>
      <w:r>
        <w:rPr>
          <w:spacing w:val="-8"/>
          <w:sz w:val="20"/>
        </w:rPr>
        <w:t> </w:t>
      </w:r>
      <w:r>
        <w:rPr>
          <w:sz w:val="20"/>
        </w:rPr>
        <w:t>Pacto</w:t>
      </w:r>
      <w:r>
        <w:rPr>
          <w:spacing w:val="-7"/>
          <w:sz w:val="20"/>
        </w:rPr>
        <w:t> </w:t>
      </w:r>
      <w:r>
        <w:rPr>
          <w:sz w:val="20"/>
        </w:rPr>
        <w:t>de</w:t>
      </w:r>
      <w:r>
        <w:rPr>
          <w:spacing w:val="-8"/>
          <w:sz w:val="20"/>
        </w:rPr>
        <w:t> </w:t>
      </w:r>
      <w:r>
        <w:rPr>
          <w:sz w:val="20"/>
        </w:rPr>
        <w:t>San</w:t>
      </w:r>
      <w:r>
        <w:rPr>
          <w:spacing w:val="-7"/>
          <w:sz w:val="20"/>
        </w:rPr>
        <w:t> </w:t>
      </w:r>
      <w:r>
        <w:rPr>
          <w:sz w:val="20"/>
        </w:rPr>
        <w:t>José,</w:t>
      </w:r>
      <w:r>
        <w:rPr>
          <w:spacing w:val="-7"/>
          <w:sz w:val="20"/>
        </w:rPr>
        <w:t> </w:t>
      </w:r>
      <w:r>
        <w:rPr>
          <w:sz w:val="20"/>
        </w:rPr>
        <w:t>sin</w:t>
      </w:r>
      <w:r>
        <w:rPr>
          <w:spacing w:val="-7"/>
          <w:sz w:val="20"/>
        </w:rPr>
        <w:t> </w:t>
      </w:r>
      <w:r>
        <w:rPr>
          <w:sz w:val="20"/>
        </w:rPr>
        <w:t>que la Corte IDH hubiese considerado vulnerada dicha disposición. Y de ahí la relevancia</w:t>
      </w:r>
      <w:r>
        <w:rPr>
          <w:spacing w:val="-42"/>
          <w:sz w:val="20"/>
        </w:rPr>
        <w:t> </w:t>
      </w:r>
      <w:r>
        <w:rPr>
          <w:sz w:val="20"/>
        </w:rPr>
        <w:t>de este caso en la jurisprudencia interamericana e internacional, al abonar a una deuda pendiente para los pueblos y comunidades indígenas y tribales de nuestra</w:t>
      </w:r>
      <w:r>
        <w:rPr>
          <w:spacing w:val="-18"/>
          <w:sz w:val="20"/>
        </w:rPr>
        <w:t> </w:t>
      </w:r>
      <w:r>
        <w:rPr>
          <w:sz w:val="20"/>
        </w:rPr>
        <w:t>región.</w:t>
      </w:r>
    </w:p>
    <w:p>
      <w:pPr>
        <w:pStyle w:val="BodyText"/>
      </w:pPr>
    </w:p>
    <w:p>
      <w:pPr>
        <w:pStyle w:val="ListParagraph"/>
        <w:numPr>
          <w:ilvl w:val="0"/>
          <w:numId w:val="75"/>
        </w:numPr>
        <w:tabs>
          <w:tab w:pos="827" w:val="left" w:leader="none"/>
        </w:tabs>
        <w:spacing w:line="240" w:lineRule="auto" w:before="0" w:after="0"/>
        <w:ind w:left="118" w:right="308" w:firstLine="0"/>
        <w:jc w:val="both"/>
        <w:rPr>
          <w:sz w:val="20"/>
        </w:rPr>
      </w:pPr>
      <w:r>
        <w:rPr>
          <w:sz w:val="20"/>
        </w:rPr>
        <w:t>Asimismo, resulta importante resaltar el especial interés que despertó en la sociedad civil el caso </w:t>
      </w:r>
      <w:r>
        <w:rPr>
          <w:i/>
          <w:sz w:val="20"/>
        </w:rPr>
        <w:t>Lhaka Honhat</w:t>
      </w:r>
      <w:r>
        <w:rPr>
          <w:sz w:val="20"/>
        </w:rPr>
        <w:t>, como se aprecia por los numerosos y valiosos escritos presentados por asociaciones, instituciones y personas en calidad de </w:t>
      </w:r>
      <w:r>
        <w:rPr>
          <w:i/>
          <w:sz w:val="20"/>
        </w:rPr>
        <w:t>amicus </w:t>
      </w:r>
      <w:r>
        <w:rPr>
          <w:i/>
          <w:sz w:val="20"/>
        </w:rPr>
        <w:t>curiae</w:t>
      </w:r>
      <w:r>
        <w:rPr>
          <w:position w:val="7"/>
          <w:sz w:val="13"/>
        </w:rPr>
        <w:t>12</w:t>
      </w:r>
      <w:r>
        <w:rPr>
          <w:i/>
          <w:sz w:val="20"/>
        </w:rPr>
        <w:t>, </w:t>
      </w:r>
      <w:r>
        <w:rPr>
          <w:sz w:val="20"/>
        </w:rPr>
        <w:t>los cuales resultaron de mucha utilidad y fueron particularmente citados a </w:t>
      </w:r>
      <w:r>
        <w:rPr>
          <w:spacing w:val="54"/>
          <w:sz w:val="20"/>
        </w:rPr>
        <w:t> </w:t>
      </w:r>
      <w:r>
        <w:rPr>
          <w:sz w:val="20"/>
        </w:rPr>
        <w:t>lo</w:t>
      </w:r>
    </w:p>
    <w:p>
      <w:pPr>
        <w:pStyle w:val="BodyText"/>
        <w:spacing w:before="10"/>
        <w:rPr>
          <w:sz w:val="21"/>
        </w:rPr>
      </w:pPr>
      <w:r>
        <w:rPr/>
        <w:pict>
          <v:line style="position:absolute;mso-position-horizontal-relative:page;mso-position-vertical-relative:paragraph;z-index:4744;mso-wrap-distance-left:0;mso-wrap-distance-right:0" from="70.919998pt,15.518559pt" to="214.939998pt,15.518559pt" stroked="true" strokeweight=".600010pt" strokecolor="#000000">
            <v:stroke dashstyle="solid"/>
            <w10:wrap type="topAndBottom"/>
          </v:line>
        </w:pict>
      </w:r>
    </w:p>
    <w:p>
      <w:pPr>
        <w:tabs>
          <w:tab w:pos="826" w:val="left" w:leader="none"/>
        </w:tabs>
        <w:spacing w:before="73"/>
        <w:ind w:left="118" w:right="312" w:firstLine="0"/>
        <w:jc w:val="both"/>
        <w:rPr>
          <w:sz w:val="16"/>
        </w:rPr>
      </w:pPr>
      <w:r>
        <w:rPr>
          <w:position w:val="6"/>
          <w:sz w:val="10"/>
        </w:rPr>
        <w:t>8</w:t>
        <w:tab/>
      </w:r>
      <w:r>
        <w:rPr>
          <w:sz w:val="16"/>
        </w:rPr>
        <w:t>Tal y como se expresa en la nota 173 de la Sentencia: “Además del artículo 26   </w:t>
      </w:r>
      <w:r>
        <w:rPr>
          <w:spacing w:val="4"/>
          <w:sz w:val="16"/>
        </w:rPr>
        <w:t> </w:t>
      </w:r>
      <w:r>
        <w:rPr>
          <w:sz w:val="16"/>
        </w:rPr>
        <w:t>[de la</w:t>
      </w:r>
      <w:r>
        <w:rPr>
          <w:spacing w:val="11"/>
          <w:sz w:val="16"/>
        </w:rPr>
        <w:t> </w:t>
      </w:r>
      <w:r>
        <w:rPr>
          <w:sz w:val="16"/>
        </w:rPr>
        <w:t>Convención</w:t>
      </w:r>
      <w:r>
        <w:rPr>
          <w:w w:val="99"/>
          <w:sz w:val="16"/>
        </w:rPr>
        <w:t> </w:t>
      </w:r>
      <w:r>
        <w:rPr>
          <w:sz w:val="16"/>
        </w:rPr>
        <w:t>Americana],</w:t>
      </w:r>
      <w:r>
        <w:rPr>
          <w:spacing w:val="-3"/>
          <w:sz w:val="16"/>
        </w:rPr>
        <w:t> </w:t>
      </w:r>
      <w:r>
        <w:rPr>
          <w:sz w:val="16"/>
        </w:rPr>
        <w:t>los</w:t>
      </w:r>
      <w:r>
        <w:rPr>
          <w:spacing w:val="-4"/>
          <w:sz w:val="16"/>
        </w:rPr>
        <w:t> </w:t>
      </w:r>
      <w:r>
        <w:rPr>
          <w:sz w:val="16"/>
        </w:rPr>
        <w:t>representantes</w:t>
      </w:r>
      <w:r>
        <w:rPr>
          <w:spacing w:val="-4"/>
          <w:sz w:val="16"/>
        </w:rPr>
        <w:t> </w:t>
      </w:r>
      <w:r>
        <w:rPr>
          <w:sz w:val="16"/>
        </w:rPr>
        <w:t>adujeron,</w:t>
      </w:r>
      <w:r>
        <w:rPr>
          <w:spacing w:val="-4"/>
          <w:sz w:val="16"/>
        </w:rPr>
        <w:t> </w:t>
      </w:r>
      <w:r>
        <w:rPr>
          <w:sz w:val="16"/>
        </w:rPr>
        <w:t>en</w:t>
      </w:r>
      <w:r>
        <w:rPr>
          <w:spacing w:val="-4"/>
          <w:sz w:val="16"/>
        </w:rPr>
        <w:t> </w:t>
      </w:r>
      <w:r>
        <w:rPr>
          <w:sz w:val="16"/>
        </w:rPr>
        <w:t>relación</w:t>
      </w:r>
      <w:r>
        <w:rPr>
          <w:spacing w:val="-1"/>
          <w:sz w:val="16"/>
        </w:rPr>
        <w:t> </w:t>
      </w:r>
      <w:r>
        <w:rPr>
          <w:sz w:val="16"/>
        </w:rPr>
        <w:t>con</w:t>
      </w:r>
      <w:r>
        <w:rPr>
          <w:spacing w:val="-3"/>
          <w:sz w:val="16"/>
        </w:rPr>
        <w:t> </w:t>
      </w:r>
      <w:r>
        <w:rPr>
          <w:sz w:val="16"/>
        </w:rPr>
        <w:t>esa</w:t>
      </w:r>
      <w:r>
        <w:rPr>
          <w:spacing w:val="-2"/>
          <w:sz w:val="16"/>
        </w:rPr>
        <w:t> </w:t>
      </w:r>
      <w:r>
        <w:rPr>
          <w:sz w:val="16"/>
        </w:rPr>
        <w:t>norma</w:t>
      </w:r>
      <w:r>
        <w:rPr>
          <w:spacing w:val="-2"/>
          <w:sz w:val="16"/>
        </w:rPr>
        <w:t> </w:t>
      </w:r>
      <w:r>
        <w:rPr>
          <w:sz w:val="16"/>
        </w:rPr>
        <w:t>y</w:t>
      </w:r>
      <w:r>
        <w:rPr>
          <w:spacing w:val="-3"/>
          <w:sz w:val="16"/>
        </w:rPr>
        <w:t> </w:t>
      </w:r>
      <w:r>
        <w:rPr>
          <w:sz w:val="16"/>
        </w:rPr>
        <w:t>dada</w:t>
      </w:r>
      <w:r>
        <w:rPr>
          <w:spacing w:val="-3"/>
          <w:sz w:val="16"/>
        </w:rPr>
        <w:t> </w:t>
      </w:r>
      <w:r>
        <w:rPr>
          <w:sz w:val="16"/>
        </w:rPr>
        <w:t>la</w:t>
      </w:r>
      <w:r>
        <w:rPr>
          <w:spacing w:val="-3"/>
          <w:sz w:val="16"/>
        </w:rPr>
        <w:t> </w:t>
      </w:r>
      <w:r>
        <w:rPr>
          <w:sz w:val="16"/>
        </w:rPr>
        <w:t>remisión</w:t>
      </w:r>
      <w:r>
        <w:rPr>
          <w:spacing w:val="-4"/>
          <w:sz w:val="16"/>
        </w:rPr>
        <w:t> </w:t>
      </w:r>
      <w:r>
        <w:rPr>
          <w:sz w:val="16"/>
        </w:rPr>
        <w:t>que</w:t>
      </w:r>
      <w:r>
        <w:rPr>
          <w:spacing w:val="-4"/>
          <w:sz w:val="16"/>
        </w:rPr>
        <w:t> </w:t>
      </w:r>
      <w:r>
        <w:rPr>
          <w:sz w:val="16"/>
        </w:rPr>
        <w:t>la</w:t>
      </w:r>
      <w:r>
        <w:rPr>
          <w:spacing w:val="-2"/>
          <w:sz w:val="16"/>
        </w:rPr>
        <w:t> </w:t>
      </w:r>
      <w:r>
        <w:rPr>
          <w:sz w:val="16"/>
        </w:rPr>
        <w:t>misma</w:t>
      </w:r>
      <w:r>
        <w:rPr>
          <w:spacing w:val="-3"/>
          <w:sz w:val="16"/>
        </w:rPr>
        <w:t> </w:t>
      </w:r>
      <w:r>
        <w:rPr>
          <w:sz w:val="16"/>
        </w:rPr>
        <w:t>hace</w:t>
      </w:r>
      <w:r>
        <w:rPr>
          <w:spacing w:val="-3"/>
          <w:sz w:val="16"/>
        </w:rPr>
        <w:t> </w:t>
      </w:r>
      <w:r>
        <w:rPr>
          <w:sz w:val="16"/>
        </w:rPr>
        <w:t>a disposiciones de la Carta de la Organización de Estados Americanos: a) como base normativa del derecho a un medio ambiente sano los artículos 30, 31, 33 y 34 de dicha Carta; b) como base normativa del derecho a la “identidad cultural”, los artículos 2, 3, 17, 19, 30, 45, 48 y 52 de la misma Carta y el artículo XIII de la Declaración Americana sobre Derechos y Deberes del Hombre, y c) como base normativa del derecho a la alimentación, también la Carta y la Declaración mencionadas, en sus artículos 34.j y XI,</w:t>
      </w:r>
      <w:r>
        <w:rPr>
          <w:spacing w:val="-28"/>
          <w:sz w:val="16"/>
        </w:rPr>
        <w:t> </w:t>
      </w:r>
      <w:r>
        <w:rPr>
          <w:sz w:val="16"/>
        </w:rPr>
        <w:t>respectivamente”.</w:t>
      </w:r>
    </w:p>
    <w:p>
      <w:pPr>
        <w:tabs>
          <w:tab w:pos="826" w:val="left" w:leader="none"/>
        </w:tabs>
        <w:spacing w:before="120"/>
        <w:ind w:left="118" w:right="315" w:firstLine="0"/>
        <w:jc w:val="both"/>
        <w:rPr>
          <w:sz w:val="16"/>
        </w:rPr>
      </w:pPr>
      <w:r>
        <w:rPr>
          <w:position w:val="6"/>
          <w:sz w:val="10"/>
        </w:rPr>
        <w:t>9</w:t>
        <w:tab/>
      </w:r>
      <w:r>
        <w:rPr>
          <w:sz w:val="16"/>
        </w:rPr>
        <w:t>Escrito</w:t>
      </w:r>
      <w:r>
        <w:rPr>
          <w:spacing w:val="-13"/>
          <w:sz w:val="16"/>
        </w:rPr>
        <w:t> </w:t>
      </w:r>
      <w:r>
        <w:rPr>
          <w:sz w:val="16"/>
        </w:rPr>
        <w:t>de</w:t>
      </w:r>
      <w:r>
        <w:rPr>
          <w:spacing w:val="-13"/>
          <w:sz w:val="16"/>
        </w:rPr>
        <w:t> </w:t>
      </w:r>
      <w:r>
        <w:rPr>
          <w:sz w:val="16"/>
        </w:rPr>
        <w:t>“Observaciones</w:t>
      </w:r>
      <w:r>
        <w:rPr>
          <w:spacing w:val="-13"/>
          <w:sz w:val="16"/>
        </w:rPr>
        <w:t> </w:t>
      </w:r>
      <w:r>
        <w:rPr>
          <w:sz w:val="16"/>
        </w:rPr>
        <w:t>Finales”</w:t>
      </w:r>
      <w:r>
        <w:rPr>
          <w:spacing w:val="-13"/>
          <w:sz w:val="16"/>
        </w:rPr>
        <w:t> </w:t>
      </w:r>
      <w:r>
        <w:rPr>
          <w:sz w:val="16"/>
        </w:rPr>
        <w:t>presentado</w:t>
      </w:r>
      <w:r>
        <w:rPr>
          <w:spacing w:val="-13"/>
          <w:sz w:val="16"/>
        </w:rPr>
        <w:t> </w:t>
      </w:r>
      <w:r>
        <w:rPr>
          <w:sz w:val="16"/>
        </w:rPr>
        <w:t>por</w:t>
      </w:r>
      <w:r>
        <w:rPr>
          <w:spacing w:val="-13"/>
          <w:sz w:val="16"/>
        </w:rPr>
        <w:t> </w:t>
      </w:r>
      <w:r>
        <w:rPr>
          <w:sz w:val="16"/>
        </w:rPr>
        <w:t>la</w:t>
      </w:r>
      <w:r>
        <w:rPr>
          <w:spacing w:val="-13"/>
          <w:sz w:val="16"/>
        </w:rPr>
        <w:t> </w:t>
      </w:r>
      <w:r>
        <w:rPr>
          <w:sz w:val="16"/>
        </w:rPr>
        <w:t>Comisión</w:t>
      </w:r>
      <w:r>
        <w:rPr>
          <w:spacing w:val="-13"/>
          <w:sz w:val="16"/>
        </w:rPr>
        <w:t> </w:t>
      </w:r>
      <w:r>
        <w:rPr>
          <w:sz w:val="16"/>
        </w:rPr>
        <w:t>Interamericana</w:t>
      </w:r>
      <w:r>
        <w:rPr>
          <w:spacing w:val="-13"/>
          <w:sz w:val="16"/>
        </w:rPr>
        <w:t> </w:t>
      </w:r>
      <w:r>
        <w:rPr>
          <w:sz w:val="16"/>
        </w:rPr>
        <w:t>de</w:t>
      </w:r>
      <w:r>
        <w:rPr>
          <w:spacing w:val="-13"/>
          <w:sz w:val="16"/>
        </w:rPr>
        <w:t> </w:t>
      </w:r>
      <w:r>
        <w:rPr>
          <w:sz w:val="16"/>
        </w:rPr>
        <w:t>Derechos</w:t>
      </w:r>
      <w:r>
        <w:rPr>
          <w:spacing w:val="-13"/>
          <w:sz w:val="16"/>
        </w:rPr>
        <w:t> </w:t>
      </w:r>
      <w:r>
        <w:rPr>
          <w:sz w:val="16"/>
        </w:rPr>
        <w:t>Humanos</w:t>
      </w:r>
      <w:r>
        <w:rPr>
          <w:w w:val="99"/>
          <w:sz w:val="16"/>
        </w:rPr>
        <w:t> </w:t>
      </w:r>
      <w:r>
        <w:rPr>
          <w:sz w:val="16"/>
        </w:rPr>
        <w:t>en el presente caso, pág. 10, párr. 41. Es explicable que la Comisión no determinara la violación del artículo 26 del Pacto de San José en el Informe de Fondo, ya que dicho Informe se produjo en 2012, años antes del cambio jurisprudencial en 2017, en el </w:t>
      </w:r>
      <w:r>
        <w:rPr>
          <w:i/>
          <w:sz w:val="16"/>
        </w:rPr>
        <w:t>Caso Lagos del Campo</w:t>
      </w:r>
      <w:r>
        <w:rPr>
          <w:sz w:val="16"/>
        </w:rPr>
        <w:t>, sobre la justiciabilidad directa de los</w:t>
      </w:r>
      <w:r>
        <w:rPr>
          <w:spacing w:val="-37"/>
          <w:sz w:val="16"/>
        </w:rPr>
        <w:t> </w:t>
      </w:r>
      <w:r>
        <w:rPr>
          <w:sz w:val="16"/>
        </w:rPr>
        <w:t>DESCA.</w:t>
      </w:r>
    </w:p>
    <w:p>
      <w:pPr>
        <w:tabs>
          <w:tab w:pos="826" w:val="left" w:leader="none"/>
        </w:tabs>
        <w:spacing w:before="120"/>
        <w:ind w:left="118" w:right="312" w:firstLine="0"/>
        <w:jc w:val="both"/>
        <w:rPr>
          <w:sz w:val="16"/>
        </w:rPr>
      </w:pPr>
      <w:r>
        <w:rPr>
          <w:position w:val="6"/>
          <w:sz w:val="10"/>
        </w:rPr>
        <w:t>10</w:t>
        <w:tab/>
      </w:r>
      <w:r>
        <w:rPr>
          <w:i/>
          <w:sz w:val="16"/>
        </w:rPr>
        <w:t>Caso Comunidad Indígena Yakye Axa Vs. Paraguay. Fondo, Reparaciones y Costas</w:t>
      </w:r>
      <w:r>
        <w:rPr>
          <w:sz w:val="16"/>
        </w:rPr>
        <w:t>. Sentencia</w:t>
      </w:r>
      <w:r>
        <w:rPr>
          <w:spacing w:val="-4"/>
          <w:sz w:val="16"/>
        </w:rPr>
        <w:t> </w:t>
      </w:r>
      <w:r>
        <w:rPr>
          <w:sz w:val="16"/>
        </w:rPr>
        <w:t>de</w:t>
      </w:r>
      <w:r>
        <w:rPr>
          <w:spacing w:val="-1"/>
          <w:sz w:val="16"/>
        </w:rPr>
        <w:t> </w:t>
      </w:r>
      <w:r>
        <w:rPr>
          <w:sz w:val="16"/>
        </w:rPr>
        <w:t>17</w:t>
      </w:r>
      <w:r>
        <w:rPr>
          <w:w w:val="99"/>
          <w:sz w:val="16"/>
        </w:rPr>
        <w:t> </w:t>
      </w:r>
      <w:r>
        <w:rPr>
          <w:sz w:val="16"/>
        </w:rPr>
        <w:t>de junio de 2005. Serie C No.</w:t>
      </w:r>
      <w:r>
        <w:rPr>
          <w:spacing w:val="-11"/>
          <w:sz w:val="16"/>
        </w:rPr>
        <w:t> </w:t>
      </w:r>
      <w:r>
        <w:rPr>
          <w:sz w:val="16"/>
        </w:rPr>
        <w:t>125.</w:t>
      </w:r>
    </w:p>
    <w:p>
      <w:pPr>
        <w:tabs>
          <w:tab w:pos="826" w:val="left" w:leader="none"/>
        </w:tabs>
        <w:spacing w:before="120"/>
        <w:ind w:left="118" w:right="311" w:firstLine="0"/>
        <w:jc w:val="both"/>
        <w:rPr>
          <w:sz w:val="16"/>
        </w:rPr>
      </w:pPr>
      <w:r>
        <w:rPr>
          <w:position w:val="6"/>
          <w:sz w:val="10"/>
        </w:rPr>
        <w:t>11</w:t>
        <w:tab/>
      </w:r>
      <w:r>
        <w:rPr>
          <w:i/>
          <w:sz w:val="16"/>
        </w:rPr>
        <w:t>Caso Pueblo Indígena Kichwa de Sarayaku Vs. Ecuador. Fondo y Reparaciones</w:t>
      </w:r>
      <w:r>
        <w:rPr>
          <w:sz w:val="16"/>
        </w:rPr>
        <w:t>. Sentencia de </w:t>
      </w:r>
      <w:r>
        <w:rPr>
          <w:spacing w:val="16"/>
          <w:sz w:val="16"/>
        </w:rPr>
        <w:t> </w:t>
      </w:r>
      <w:r>
        <w:rPr>
          <w:sz w:val="16"/>
        </w:rPr>
        <w:t>27</w:t>
      </w:r>
      <w:r>
        <w:rPr>
          <w:spacing w:val="5"/>
          <w:sz w:val="16"/>
        </w:rPr>
        <w:t> </w:t>
      </w:r>
      <w:r>
        <w:rPr>
          <w:sz w:val="16"/>
        </w:rPr>
        <w:t>de</w:t>
      </w:r>
      <w:r>
        <w:rPr>
          <w:w w:val="99"/>
          <w:sz w:val="16"/>
        </w:rPr>
        <w:t> </w:t>
      </w:r>
      <w:r>
        <w:rPr>
          <w:sz w:val="16"/>
        </w:rPr>
        <w:t>junio de 2012. Serie C No.</w:t>
      </w:r>
      <w:r>
        <w:rPr>
          <w:spacing w:val="-12"/>
          <w:sz w:val="16"/>
        </w:rPr>
        <w:t> </w:t>
      </w:r>
      <w:r>
        <w:rPr>
          <w:sz w:val="16"/>
        </w:rPr>
        <w:t>245.</w:t>
      </w:r>
    </w:p>
    <w:p>
      <w:pPr>
        <w:tabs>
          <w:tab w:pos="826" w:val="left" w:leader="none"/>
        </w:tabs>
        <w:spacing w:before="120"/>
        <w:ind w:left="118" w:right="310" w:firstLine="0"/>
        <w:jc w:val="both"/>
        <w:rPr>
          <w:sz w:val="16"/>
        </w:rPr>
      </w:pPr>
      <w:r>
        <w:rPr>
          <w:position w:val="6"/>
          <w:sz w:val="10"/>
        </w:rPr>
        <w:t>12</w:t>
        <w:tab/>
      </w:r>
      <w:r>
        <w:rPr>
          <w:sz w:val="16"/>
        </w:rPr>
        <w:t>Los</w:t>
      </w:r>
      <w:r>
        <w:rPr>
          <w:spacing w:val="-12"/>
          <w:sz w:val="16"/>
        </w:rPr>
        <w:t> </w:t>
      </w:r>
      <w:r>
        <w:rPr>
          <w:sz w:val="16"/>
        </w:rPr>
        <w:t>escritos</w:t>
      </w:r>
      <w:r>
        <w:rPr>
          <w:spacing w:val="-12"/>
          <w:sz w:val="16"/>
        </w:rPr>
        <w:t> </w:t>
      </w:r>
      <w:r>
        <w:rPr>
          <w:sz w:val="16"/>
        </w:rPr>
        <w:t>de</w:t>
      </w:r>
      <w:r>
        <w:rPr>
          <w:spacing w:val="-12"/>
          <w:sz w:val="16"/>
        </w:rPr>
        <w:t> </w:t>
      </w:r>
      <w:r>
        <w:rPr>
          <w:i/>
          <w:sz w:val="16"/>
        </w:rPr>
        <w:t>amicus</w:t>
      </w:r>
      <w:r>
        <w:rPr>
          <w:i/>
          <w:spacing w:val="-12"/>
          <w:sz w:val="16"/>
        </w:rPr>
        <w:t> </w:t>
      </w:r>
      <w:r>
        <w:rPr>
          <w:i/>
          <w:sz w:val="16"/>
        </w:rPr>
        <w:t>curiae</w:t>
      </w:r>
      <w:r>
        <w:rPr>
          <w:i/>
          <w:spacing w:val="-11"/>
          <w:sz w:val="16"/>
        </w:rPr>
        <w:t> </w:t>
      </w:r>
      <w:r>
        <w:rPr>
          <w:sz w:val="16"/>
        </w:rPr>
        <w:t>presentados</w:t>
      </w:r>
      <w:r>
        <w:rPr>
          <w:spacing w:val="-12"/>
          <w:sz w:val="16"/>
        </w:rPr>
        <w:t> </w:t>
      </w:r>
      <w:r>
        <w:rPr>
          <w:sz w:val="16"/>
        </w:rPr>
        <w:t>fueron:</w:t>
      </w:r>
      <w:r>
        <w:rPr>
          <w:spacing w:val="-13"/>
          <w:sz w:val="16"/>
        </w:rPr>
        <w:t> </w:t>
      </w:r>
      <w:r>
        <w:rPr>
          <w:sz w:val="16"/>
        </w:rPr>
        <w:t>1)</w:t>
      </w:r>
      <w:r>
        <w:rPr>
          <w:spacing w:val="-12"/>
          <w:sz w:val="16"/>
        </w:rPr>
        <w:t> </w:t>
      </w:r>
      <w:r>
        <w:rPr>
          <w:sz w:val="16"/>
        </w:rPr>
        <w:t>Asociación</w:t>
      </w:r>
      <w:r>
        <w:rPr>
          <w:spacing w:val="-12"/>
          <w:sz w:val="16"/>
        </w:rPr>
        <w:t> </w:t>
      </w:r>
      <w:r>
        <w:rPr>
          <w:sz w:val="16"/>
        </w:rPr>
        <w:t>de</w:t>
      </w:r>
      <w:r>
        <w:rPr>
          <w:spacing w:val="-12"/>
          <w:sz w:val="16"/>
        </w:rPr>
        <w:t> </w:t>
      </w:r>
      <w:r>
        <w:rPr>
          <w:sz w:val="16"/>
        </w:rPr>
        <w:t>Abogados</w:t>
      </w:r>
      <w:r>
        <w:rPr>
          <w:spacing w:val="-12"/>
          <w:sz w:val="16"/>
        </w:rPr>
        <w:t> </w:t>
      </w:r>
      <w:r>
        <w:rPr>
          <w:sz w:val="16"/>
        </w:rPr>
        <w:t>y</w:t>
      </w:r>
      <w:r>
        <w:rPr>
          <w:spacing w:val="-12"/>
          <w:sz w:val="16"/>
        </w:rPr>
        <w:t> </w:t>
      </w:r>
      <w:r>
        <w:rPr>
          <w:sz w:val="16"/>
        </w:rPr>
        <w:t>Abogadas</w:t>
      </w:r>
      <w:r>
        <w:rPr>
          <w:spacing w:val="-12"/>
          <w:sz w:val="16"/>
        </w:rPr>
        <w:t> </w:t>
      </w:r>
      <w:r>
        <w:rPr>
          <w:sz w:val="16"/>
        </w:rPr>
        <w:t>de</w:t>
      </w:r>
      <w:r>
        <w:rPr>
          <w:spacing w:val="-12"/>
          <w:sz w:val="16"/>
        </w:rPr>
        <w:t> </w:t>
      </w:r>
      <w:r>
        <w:rPr>
          <w:sz w:val="16"/>
        </w:rPr>
        <w:t>Derecho</w:t>
      </w:r>
      <w:r>
        <w:rPr>
          <w:w w:val="99"/>
          <w:sz w:val="16"/>
        </w:rPr>
        <w:t> </w:t>
      </w:r>
      <w:r>
        <w:rPr>
          <w:sz w:val="16"/>
        </w:rPr>
        <w:t>Indígena (AADDI) y el Servicio Paz y Justicia (SERPAJ); 2)Centro de Derechos Humanos de la Facultad de Jurisprudencia</w:t>
      </w:r>
      <w:r>
        <w:rPr>
          <w:spacing w:val="-4"/>
          <w:sz w:val="16"/>
        </w:rPr>
        <w:t> </w:t>
      </w:r>
      <w:r>
        <w:rPr>
          <w:sz w:val="16"/>
        </w:rPr>
        <w:t>de</w:t>
      </w:r>
      <w:r>
        <w:rPr>
          <w:spacing w:val="-6"/>
          <w:sz w:val="16"/>
        </w:rPr>
        <w:t> </w:t>
      </w:r>
      <w:r>
        <w:rPr>
          <w:sz w:val="16"/>
        </w:rPr>
        <w:t>la</w:t>
      </w:r>
      <w:r>
        <w:rPr>
          <w:spacing w:val="-5"/>
          <w:sz w:val="16"/>
        </w:rPr>
        <w:t> </w:t>
      </w:r>
      <w:r>
        <w:rPr>
          <w:sz w:val="16"/>
        </w:rPr>
        <w:t>Pontificia</w:t>
      </w:r>
      <w:r>
        <w:rPr>
          <w:spacing w:val="-5"/>
          <w:sz w:val="16"/>
        </w:rPr>
        <w:t> </w:t>
      </w:r>
      <w:r>
        <w:rPr>
          <w:sz w:val="16"/>
        </w:rPr>
        <w:t>Universidad</w:t>
      </w:r>
      <w:r>
        <w:rPr>
          <w:spacing w:val="-3"/>
          <w:sz w:val="16"/>
        </w:rPr>
        <w:t> </w:t>
      </w:r>
      <w:r>
        <w:rPr>
          <w:sz w:val="16"/>
        </w:rPr>
        <w:t>Católica</w:t>
      </w:r>
      <w:r>
        <w:rPr>
          <w:spacing w:val="-6"/>
          <w:sz w:val="16"/>
        </w:rPr>
        <w:t> </w:t>
      </w:r>
      <w:r>
        <w:rPr>
          <w:sz w:val="16"/>
        </w:rPr>
        <w:t>del</w:t>
      </w:r>
      <w:r>
        <w:rPr>
          <w:spacing w:val="-6"/>
          <w:sz w:val="16"/>
        </w:rPr>
        <w:t> </w:t>
      </w:r>
      <w:r>
        <w:rPr>
          <w:sz w:val="16"/>
        </w:rPr>
        <w:t>Ecuador;</w:t>
      </w:r>
      <w:r>
        <w:rPr>
          <w:spacing w:val="-6"/>
          <w:sz w:val="16"/>
        </w:rPr>
        <w:t> </w:t>
      </w:r>
      <w:r>
        <w:rPr>
          <w:sz w:val="16"/>
        </w:rPr>
        <w:t>3)</w:t>
      </w:r>
      <w:r>
        <w:rPr>
          <w:spacing w:val="-6"/>
          <w:sz w:val="16"/>
        </w:rPr>
        <w:t> </w:t>
      </w:r>
      <w:r>
        <w:rPr>
          <w:sz w:val="16"/>
        </w:rPr>
        <w:t>Fundación</w:t>
      </w:r>
      <w:r>
        <w:rPr>
          <w:spacing w:val="-5"/>
          <w:sz w:val="16"/>
        </w:rPr>
        <w:t> </w:t>
      </w:r>
      <w:r>
        <w:rPr>
          <w:sz w:val="16"/>
        </w:rPr>
        <w:t>Ambiente</w:t>
      </w:r>
      <w:r>
        <w:rPr>
          <w:spacing w:val="-6"/>
          <w:sz w:val="16"/>
        </w:rPr>
        <w:t> </w:t>
      </w:r>
      <w:r>
        <w:rPr>
          <w:sz w:val="16"/>
        </w:rPr>
        <w:t>y</w:t>
      </w:r>
      <w:r>
        <w:rPr>
          <w:spacing w:val="-5"/>
          <w:sz w:val="16"/>
        </w:rPr>
        <w:t> </w:t>
      </w:r>
      <w:r>
        <w:rPr>
          <w:sz w:val="16"/>
        </w:rPr>
        <w:t>Recursos</w:t>
      </w:r>
      <w:r>
        <w:rPr>
          <w:spacing w:val="-6"/>
          <w:sz w:val="16"/>
        </w:rPr>
        <w:t> </w:t>
      </w:r>
      <w:r>
        <w:rPr>
          <w:sz w:val="16"/>
        </w:rPr>
        <w:t>Naturales (FARN); 4) Fundación para el Debido Proceso Legal (DPLF), Clínica de Derechos Humanos de la Universidad de</w:t>
      </w:r>
      <w:r>
        <w:rPr>
          <w:spacing w:val="-13"/>
          <w:sz w:val="16"/>
        </w:rPr>
        <w:t> </w:t>
      </w:r>
      <w:r>
        <w:rPr>
          <w:sz w:val="16"/>
        </w:rPr>
        <w:t>Ottawa,</w:t>
      </w:r>
      <w:r>
        <w:rPr>
          <w:spacing w:val="-12"/>
          <w:sz w:val="16"/>
        </w:rPr>
        <w:t> </w:t>
      </w:r>
      <w:r>
        <w:rPr>
          <w:sz w:val="16"/>
        </w:rPr>
        <w:t>Instituto</w:t>
      </w:r>
      <w:r>
        <w:rPr>
          <w:spacing w:val="-13"/>
          <w:sz w:val="16"/>
        </w:rPr>
        <w:t> </w:t>
      </w:r>
      <w:r>
        <w:rPr>
          <w:sz w:val="16"/>
        </w:rPr>
        <w:t>de</w:t>
      </w:r>
      <w:r>
        <w:rPr>
          <w:spacing w:val="-13"/>
          <w:sz w:val="16"/>
        </w:rPr>
        <w:t> </w:t>
      </w:r>
      <w:r>
        <w:rPr>
          <w:sz w:val="16"/>
        </w:rPr>
        <w:t>Democracia</w:t>
      </w:r>
      <w:r>
        <w:rPr>
          <w:spacing w:val="-13"/>
          <w:sz w:val="16"/>
        </w:rPr>
        <w:t> </w:t>
      </w:r>
      <w:r>
        <w:rPr>
          <w:sz w:val="16"/>
        </w:rPr>
        <w:t>y</w:t>
      </w:r>
      <w:r>
        <w:rPr>
          <w:spacing w:val="-13"/>
          <w:sz w:val="16"/>
        </w:rPr>
        <w:t> </w:t>
      </w:r>
      <w:r>
        <w:rPr>
          <w:sz w:val="16"/>
        </w:rPr>
        <w:t>Derechos</w:t>
      </w:r>
      <w:r>
        <w:rPr>
          <w:spacing w:val="-13"/>
          <w:sz w:val="16"/>
        </w:rPr>
        <w:t> </w:t>
      </w:r>
      <w:r>
        <w:rPr>
          <w:sz w:val="16"/>
        </w:rPr>
        <w:t>Humanos</w:t>
      </w:r>
      <w:r>
        <w:rPr>
          <w:spacing w:val="-13"/>
          <w:sz w:val="16"/>
        </w:rPr>
        <w:t> </w:t>
      </w:r>
      <w:r>
        <w:rPr>
          <w:sz w:val="16"/>
        </w:rPr>
        <w:t>de</w:t>
      </w:r>
      <w:r>
        <w:rPr>
          <w:spacing w:val="-12"/>
          <w:sz w:val="16"/>
        </w:rPr>
        <w:t> </w:t>
      </w:r>
      <w:r>
        <w:rPr>
          <w:sz w:val="16"/>
        </w:rPr>
        <w:t>la</w:t>
      </w:r>
      <w:r>
        <w:rPr>
          <w:spacing w:val="-13"/>
          <w:sz w:val="16"/>
        </w:rPr>
        <w:t> </w:t>
      </w:r>
      <w:r>
        <w:rPr>
          <w:sz w:val="16"/>
        </w:rPr>
        <w:t>Pontificia</w:t>
      </w:r>
      <w:r>
        <w:rPr>
          <w:spacing w:val="-12"/>
          <w:sz w:val="16"/>
        </w:rPr>
        <w:t> </w:t>
      </w:r>
      <w:r>
        <w:rPr>
          <w:sz w:val="16"/>
        </w:rPr>
        <w:t>Universidad</w:t>
      </w:r>
      <w:r>
        <w:rPr>
          <w:spacing w:val="-11"/>
          <w:sz w:val="16"/>
        </w:rPr>
        <w:t> </w:t>
      </w:r>
      <w:r>
        <w:rPr>
          <w:sz w:val="16"/>
        </w:rPr>
        <w:t>Católica</w:t>
      </w:r>
      <w:r>
        <w:rPr>
          <w:spacing w:val="-13"/>
          <w:sz w:val="16"/>
        </w:rPr>
        <w:t> </w:t>
      </w:r>
      <w:r>
        <w:rPr>
          <w:sz w:val="16"/>
        </w:rPr>
        <w:t>del</w:t>
      </w:r>
      <w:r>
        <w:rPr>
          <w:spacing w:val="-14"/>
          <w:sz w:val="16"/>
        </w:rPr>
        <w:t> </w:t>
      </w:r>
      <w:r>
        <w:rPr>
          <w:sz w:val="16"/>
        </w:rPr>
        <w:t>Perú,</w:t>
      </w:r>
      <w:r>
        <w:rPr>
          <w:spacing w:val="-13"/>
          <w:sz w:val="16"/>
        </w:rPr>
        <w:t> </w:t>
      </w:r>
      <w:r>
        <w:rPr>
          <w:sz w:val="16"/>
        </w:rPr>
        <w:t>Núcleo de Estudios en Sistemas Internacionales de Derechos Humanos de la Universidad Federal de Paraná,</w:t>
      </w:r>
      <w:r>
        <w:rPr>
          <w:spacing w:val="38"/>
          <w:sz w:val="16"/>
        </w:rPr>
        <w:t> </w:t>
      </w:r>
      <w:r>
        <w:rPr>
          <w:sz w:val="16"/>
        </w:rPr>
        <w:t>Clínica</w:t>
      </w:r>
    </w:p>
    <w:p>
      <w:pPr>
        <w:spacing w:after="0"/>
        <w:jc w:val="both"/>
        <w:rPr>
          <w:sz w:val="16"/>
        </w:rPr>
        <w:sectPr>
          <w:pgSz w:w="12240" w:h="15840"/>
          <w:pgMar w:header="0" w:footer="782" w:top="1340" w:bottom="980" w:left="1300" w:right="1720"/>
        </w:sectPr>
      </w:pPr>
    </w:p>
    <w:p>
      <w:pPr>
        <w:pStyle w:val="BodyText"/>
        <w:spacing w:before="77"/>
        <w:ind w:left="118" w:right="307"/>
        <w:jc w:val="both"/>
      </w:pPr>
      <w:r>
        <w:rPr/>
        <w:t>largo de la Sentencia como se destaca más adelante</w:t>
      </w:r>
      <w:r>
        <w:rPr>
          <w:position w:val="7"/>
          <w:sz w:val="13"/>
        </w:rPr>
        <w:t>13</w:t>
      </w:r>
      <w:r>
        <w:rPr/>
        <w:t>; varios de ellos referidos a la competencia para conocer de la violación autónoma de los DESCA protegidos por el artículo</w:t>
      </w:r>
      <w:r>
        <w:rPr>
          <w:spacing w:val="-16"/>
        </w:rPr>
        <w:t> </w:t>
      </w:r>
      <w:r>
        <w:rPr/>
        <w:t>26</w:t>
      </w:r>
      <w:r>
        <w:rPr>
          <w:spacing w:val="-16"/>
        </w:rPr>
        <w:t> </w:t>
      </w:r>
      <w:r>
        <w:rPr/>
        <w:t>de</w:t>
      </w:r>
      <w:r>
        <w:rPr>
          <w:spacing w:val="-15"/>
        </w:rPr>
        <w:t> </w:t>
      </w:r>
      <w:r>
        <w:rPr/>
        <w:t>la</w:t>
      </w:r>
      <w:r>
        <w:rPr>
          <w:spacing w:val="-16"/>
        </w:rPr>
        <w:t> </w:t>
      </w:r>
      <w:r>
        <w:rPr/>
        <w:t>Convención</w:t>
      </w:r>
      <w:r>
        <w:rPr>
          <w:spacing w:val="-15"/>
        </w:rPr>
        <w:t> </w:t>
      </w:r>
      <w:r>
        <w:rPr/>
        <w:t>Americana,</w:t>
      </w:r>
      <w:r>
        <w:rPr>
          <w:spacing w:val="-13"/>
        </w:rPr>
        <w:t> </w:t>
      </w:r>
      <w:r>
        <w:rPr/>
        <w:t>a</w:t>
      </w:r>
      <w:r>
        <w:rPr>
          <w:spacing w:val="-16"/>
        </w:rPr>
        <w:t> </w:t>
      </w:r>
      <w:r>
        <w:rPr/>
        <w:t>la</w:t>
      </w:r>
      <w:r>
        <w:rPr>
          <w:spacing w:val="-16"/>
        </w:rPr>
        <w:t> </w:t>
      </w:r>
      <w:r>
        <w:rPr/>
        <w:t>luz</w:t>
      </w:r>
      <w:r>
        <w:rPr>
          <w:spacing w:val="-14"/>
        </w:rPr>
        <w:t> </w:t>
      </w:r>
      <w:r>
        <w:rPr/>
        <w:t>de</w:t>
      </w:r>
      <w:r>
        <w:rPr>
          <w:spacing w:val="-15"/>
        </w:rPr>
        <w:t> </w:t>
      </w:r>
      <w:r>
        <w:rPr/>
        <w:t>la</w:t>
      </w:r>
      <w:r>
        <w:rPr>
          <w:spacing w:val="-15"/>
        </w:rPr>
        <w:t> </w:t>
      </w:r>
      <w:r>
        <w:rPr/>
        <w:t>metodología</w:t>
      </w:r>
      <w:r>
        <w:rPr>
          <w:spacing w:val="-15"/>
        </w:rPr>
        <w:t> </w:t>
      </w:r>
      <w:r>
        <w:rPr/>
        <w:t>adoptada</w:t>
      </w:r>
      <w:r>
        <w:rPr>
          <w:spacing w:val="-15"/>
        </w:rPr>
        <w:t> </w:t>
      </w:r>
      <w:r>
        <w:rPr/>
        <w:t>por</w:t>
      </w:r>
      <w:r>
        <w:rPr>
          <w:spacing w:val="-16"/>
        </w:rPr>
        <w:t> </w:t>
      </w:r>
      <w:r>
        <w:rPr/>
        <w:t>la</w:t>
      </w:r>
      <w:r>
        <w:rPr>
          <w:spacing w:val="-15"/>
        </w:rPr>
        <w:t> </w:t>
      </w:r>
      <w:r>
        <w:rPr/>
        <w:t>Corte IDH</w:t>
      </w:r>
      <w:r>
        <w:rPr>
          <w:spacing w:val="-10"/>
        </w:rPr>
        <w:t> </w:t>
      </w:r>
      <w:r>
        <w:rPr/>
        <w:t>en</w:t>
      </w:r>
      <w:r>
        <w:rPr>
          <w:spacing w:val="-9"/>
        </w:rPr>
        <w:t> </w:t>
      </w:r>
      <w:r>
        <w:rPr/>
        <w:t>sus</w:t>
      </w:r>
      <w:r>
        <w:rPr>
          <w:spacing w:val="-10"/>
        </w:rPr>
        <w:t> </w:t>
      </w:r>
      <w:r>
        <w:rPr/>
        <w:t>precedentes</w:t>
      </w:r>
      <w:r>
        <w:rPr>
          <w:spacing w:val="-10"/>
        </w:rPr>
        <w:t> </w:t>
      </w:r>
      <w:r>
        <w:rPr/>
        <w:t>sobre</w:t>
      </w:r>
      <w:r>
        <w:rPr>
          <w:spacing w:val="-10"/>
        </w:rPr>
        <w:t> </w:t>
      </w:r>
      <w:r>
        <w:rPr/>
        <w:t>la</w:t>
      </w:r>
      <w:r>
        <w:rPr>
          <w:spacing w:val="-10"/>
        </w:rPr>
        <w:t> </w:t>
      </w:r>
      <w:r>
        <w:rPr/>
        <w:t>materia,</w:t>
      </w:r>
      <w:r>
        <w:rPr>
          <w:spacing w:val="-11"/>
        </w:rPr>
        <w:t> </w:t>
      </w:r>
      <w:r>
        <w:rPr/>
        <w:t>desde</w:t>
      </w:r>
      <w:r>
        <w:rPr>
          <w:spacing w:val="-10"/>
        </w:rPr>
        <w:t> </w:t>
      </w:r>
      <w:r>
        <w:rPr/>
        <w:t>el</w:t>
      </w:r>
      <w:r>
        <w:rPr>
          <w:spacing w:val="-10"/>
        </w:rPr>
        <w:t> </w:t>
      </w:r>
      <w:r>
        <w:rPr/>
        <w:t>cambio</w:t>
      </w:r>
      <w:r>
        <w:rPr>
          <w:spacing w:val="-11"/>
        </w:rPr>
        <w:t> </w:t>
      </w:r>
      <w:r>
        <w:rPr/>
        <w:t>jurisprudencial</w:t>
      </w:r>
      <w:r>
        <w:rPr>
          <w:spacing w:val="-10"/>
        </w:rPr>
        <w:t> </w:t>
      </w:r>
      <w:r>
        <w:rPr/>
        <w:t>del</w:t>
      </w:r>
      <w:r>
        <w:rPr>
          <w:spacing w:val="-10"/>
        </w:rPr>
        <w:t> </w:t>
      </w:r>
      <w:r>
        <w:rPr/>
        <w:t>año</w:t>
      </w:r>
      <w:r>
        <w:rPr>
          <w:spacing w:val="-11"/>
        </w:rPr>
        <w:t> </w:t>
      </w:r>
      <w:r>
        <w:rPr/>
        <w:t>2017.</w:t>
      </w:r>
    </w:p>
    <w:p>
      <w:pPr>
        <w:pStyle w:val="BodyText"/>
        <w:spacing w:before="11"/>
        <w:rPr>
          <w:sz w:val="19"/>
        </w:rPr>
      </w:pPr>
    </w:p>
    <w:p>
      <w:pPr>
        <w:pStyle w:val="ListParagraph"/>
        <w:numPr>
          <w:ilvl w:val="0"/>
          <w:numId w:val="75"/>
        </w:numPr>
        <w:tabs>
          <w:tab w:pos="827" w:val="left" w:leader="none"/>
        </w:tabs>
        <w:spacing w:line="240" w:lineRule="auto" w:before="0" w:after="0"/>
        <w:ind w:left="118" w:right="308" w:firstLine="0"/>
        <w:jc w:val="both"/>
        <w:rPr>
          <w:sz w:val="20"/>
        </w:rPr>
      </w:pPr>
      <w:r>
        <w:rPr>
          <w:sz w:val="20"/>
        </w:rPr>
        <w:t>Teniendo</w:t>
      </w:r>
      <w:r>
        <w:rPr>
          <w:spacing w:val="-15"/>
          <w:sz w:val="20"/>
        </w:rPr>
        <w:t> </w:t>
      </w:r>
      <w:r>
        <w:rPr>
          <w:sz w:val="20"/>
        </w:rPr>
        <w:t>en</w:t>
      </w:r>
      <w:r>
        <w:rPr>
          <w:spacing w:val="-14"/>
          <w:sz w:val="20"/>
        </w:rPr>
        <w:t> </w:t>
      </w:r>
      <w:r>
        <w:rPr>
          <w:sz w:val="20"/>
        </w:rPr>
        <w:t>cuenta</w:t>
      </w:r>
      <w:r>
        <w:rPr>
          <w:spacing w:val="-14"/>
          <w:sz w:val="20"/>
        </w:rPr>
        <w:t> </w:t>
      </w:r>
      <w:r>
        <w:rPr>
          <w:sz w:val="20"/>
        </w:rPr>
        <w:t>lo</w:t>
      </w:r>
      <w:r>
        <w:rPr>
          <w:spacing w:val="-15"/>
          <w:sz w:val="20"/>
        </w:rPr>
        <w:t> </w:t>
      </w:r>
      <w:r>
        <w:rPr>
          <w:sz w:val="20"/>
        </w:rPr>
        <w:t>anterior,</w:t>
      </w:r>
      <w:r>
        <w:rPr>
          <w:spacing w:val="-13"/>
          <w:sz w:val="20"/>
        </w:rPr>
        <w:t> </w:t>
      </w:r>
      <w:r>
        <w:rPr>
          <w:sz w:val="20"/>
        </w:rPr>
        <w:t>así</w:t>
      </w:r>
      <w:r>
        <w:rPr>
          <w:spacing w:val="-14"/>
          <w:sz w:val="20"/>
        </w:rPr>
        <w:t> </w:t>
      </w:r>
      <w:r>
        <w:rPr>
          <w:sz w:val="20"/>
        </w:rPr>
        <w:t>como</w:t>
      </w:r>
      <w:r>
        <w:rPr>
          <w:spacing w:val="-13"/>
          <w:sz w:val="20"/>
        </w:rPr>
        <w:t> </w:t>
      </w:r>
      <w:r>
        <w:rPr>
          <w:sz w:val="20"/>
        </w:rPr>
        <w:t>lo</w:t>
      </w:r>
      <w:r>
        <w:rPr>
          <w:spacing w:val="-13"/>
          <w:sz w:val="20"/>
        </w:rPr>
        <w:t> </w:t>
      </w:r>
      <w:r>
        <w:rPr>
          <w:sz w:val="20"/>
        </w:rPr>
        <w:t>ya</w:t>
      </w:r>
      <w:r>
        <w:rPr>
          <w:spacing w:val="-14"/>
          <w:sz w:val="20"/>
        </w:rPr>
        <w:t> </w:t>
      </w:r>
      <w:r>
        <w:rPr>
          <w:sz w:val="20"/>
        </w:rPr>
        <w:t>razonado</w:t>
      </w:r>
      <w:r>
        <w:rPr>
          <w:spacing w:val="-13"/>
          <w:sz w:val="20"/>
        </w:rPr>
        <w:t> </w:t>
      </w:r>
      <w:r>
        <w:rPr>
          <w:sz w:val="20"/>
        </w:rPr>
        <w:t>en</w:t>
      </w:r>
      <w:r>
        <w:rPr>
          <w:spacing w:val="-15"/>
          <w:sz w:val="20"/>
        </w:rPr>
        <w:t> </w:t>
      </w:r>
      <w:r>
        <w:rPr>
          <w:sz w:val="20"/>
        </w:rPr>
        <w:t>otras</w:t>
      </w:r>
      <w:r>
        <w:rPr>
          <w:spacing w:val="-13"/>
          <w:sz w:val="20"/>
        </w:rPr>
        <w:t> </w:t>
      </w:r>
      <w:r>
        <w:rPr>
          <w:sz w:val="20"/>
        </w:rPr>
        <w:t>ocasiones</w:t>
      </w:r>
      <w:r>
        <w:rPr>
          <w:spacing w:val="-14"/>
          <w:sz w:val="20"/>
        </w:rPr>
        <w:t> </w:t>
      </w:r>
      <w:r>
        <w:rPr>
          <w:sz w:val="20"/>
        </w:rPr>
        <w:t>sobre el particular</w:t>
      </w:r>
      <w:r>
        <w:rPr>
          <w:position w:val="7"/>
          <w:sz w:val="13"/>
        </w:rPr>
        <w:t>14</w:t>
      </w:r>
      <w:r>
        <w:rPr>
          <w:sz w:val="20"/>
        </w:rPr>
        <w:t>, emito el presente voto razonado con el objetivo de reflexionar en torno a algunos aspectos relevantes para el orden público interamericano que surgen de</w:t>
      </w:r>
      <w:r>
        <w:rPr>
          <w:spacing w:val="-41"/>
          <w:sz w:val="20"/>
        </w:rPr>
        <w:t> </w:t>
      </w:r>
      <w:r>
        <w:rPr>
          <w:sz w:val="20"/>
        </w:rPr>
        <w:t>esta Sentencia. Para ello, he dividido el presente Voto de la siguiente manera: </w:t>
      </w:r>
      <w:r>
        <w:rPr>
          <w:b/>
          <w:sz w:val="20"/>
        </w:rPr>
        <w:t>I. </w:t>
      </w:r>
      <w:r>
        <w:rPr>
          <w:sz w:val="20"/>
        </w:rPr>
        <w:t>La tierra y el territorio: su protección diferenciada desde la Convención Americana sobre</w:t>
      </w:r>
      <w:r>
        <w:rPr>
          <w:spacing w:val="-49"/>
          <w:sz w:val="20"/>
        </w:rPr>
        <w:t> </w:t>
      </w:r>
      <w:r>
        <w:rPr>
          <w:sz w:val="20"/>
        </w:rPr>
        <w:t>Derechos Humanos</w:t>
      </w:r>
      <w:r>
        <w:rPr>
          <w:spacing w:val="-19"/>
          <w:sz w:val="20"/>
        </w:rPr>
        <w:t> </w:t>
      </w:r>
      <w:r>
        <w:rPr>
          <w:sz w:val="20"/>
        </w:rPr>
        <w:t>y</w:t>
      </w:r>
      <w:r>
        <w:rPr>
          <w:spacing w:val="-20"/>
          <w:sz w:val="20"/>
        </w:rPr>
        <w:t> </w:t>
      </w:r>
      <w:r>
        <w:rPr>
          <w:sz w:val="20"/>
        </w:rPr>
        <w:t>los</w:t>
      </w:r>
      <w:r>
        <w:rPr>
          <w:spacing w:val="-19"/>
          <w:sz w:val="20"/>
        </w:rPr>
        <w:t> </w:t>
      </w:r>
      <w:r>
        <w:rPr>
          <w:sz w:val="20"/>
        </w:rPr>
        <w:t>DESCA</w:t>
      </w:r>
      <w:r>
        <w:rPr>
          <w:spacing w:val="-21"/>
          <w:sz w:val="20"/>
        </w:rPr>
        <w:t> </w:t>
      </w:r>
      <w:r>
        <w:rPr>
          <w:i/>
          <w:sz w:val="20"/>
        </w:rPr>
        <w:t>(</w:t>
      </w:r>
      <w:r>
        <w:rPr>
          <w:i/>
          <w:sz w:val="20"/>
          <w:u w:val="single"/>
        </w:rPr>
        <w:t>párrs.</w:t>
      </w:r>
      <w:r>
        <w:rPr>
          <w:i/>
          <w:spacing w:val="-18"/>
          <w:sz w:val="20"/>
          <w:u w:val="single"/>
        </w:rPr>
        <w:t> </w:t>
      </w:r>
      <w:r>
        <w:rPr>
          <w:i/>
          <w:sz w:val="20"/>
          <w:u w:val="single"/>
        </w:rPr>
        <w:t>10-41</w:t>
      </w:r>
      <w:r>
        <w:rPr>
          <w:sz w:val="20"/>
        </w:rPr>
        <w:t>);</w:t>
      </w:r>
      <w:r>
        <w:rPr>
          <w:spacing w:val="-19"/>
          <w:sz w:val="20"/>
        </w:rPr>
        <w:t> </w:t>
      </w:r>
      <w:r>
        <w:rPr>
          <w:b/>
          <w:sz w:val="20"/>
        </w:rPr>
        <w:t>II.</w:t>
      </w:r>
      <w:r>
        <w:rPr>
          <w:b/>
          <w:spacing w:val="-17"/>
          <w:sz w:val="20"/>
        </w:rPr>
        <w:t> </w:t>
      </w:r>
      <w:r>
        <w:rPr>
          <w:sz w:val="20"/>
        </w:rPr>
        <w:t>Autonomía</w:t>
      </w:r>
      <w:r>
        <w:rPr>
          <w:spacing w:val="-20"/>
          <w:sz w:val="20"/>
        </w:rPr>
        <w:t> </w:t>
      </w:r>
      <w:r>
        <w:rPr>
          <w:sz w:val="20"/>
        </w:rPr>
        <w:t>e</w:t>
      </w:r>
      <w:r>
        <w:rPr>
          <w:spacing w:val="-18"/>
          <w:sz w:val="20"/>
        </w:rPr>
        <w:t> </w:t>
      </w:r>
      <w:r>
        <w:rPr>
          <w:sz w:val="20"/>
        </w:rPr>
        <w:t>interdependencia</w:t>
      </w:r>
      <w:r>
        <w:rPr>
          <w:spacing w:val="-19"/>
          <w:sz w:val="20"/>
        </w:rPr>
        <w:t> </w:t>
      </w:r>
      <w:r>
        <w:rPr>
          <w:sz w:val="20"/>
        </w:rPr>
        <w:t>de</w:t>
      </w:r>
      <w:r>
        <w:rPr>
          <w:spacing w:val="-19"/>
          <w:sz w:val="20"/>
        </w:rPr>
        <w:t> </w:t>
      </w:r>
      <w:r>
        <w:rPr>
          <w:sz w:val="20"/>
        </w:rPr>
        <w:t>los</w:t>
      </w:r>
      <w:r>
        <w:rPr>
          <w:spacing w:val="-20"/>
          <w:sz w:val="20"/>
        </w:rPr>
        <w:t> </w:t>
      </w:r>
      <w:r>
        <w:rPr>
          <w:sz w:val="20"/>
        </w:rPr>
        <w:t>derechos humanos </w:t>
      </w:r>
      <w:r>
        <w:rPr>
          <w:i/>
          <w:sz w:val="20"/>
        </w:rPr>
        <w:t>(párrs. 42-59)</w:t>
      </w:r>
      <w:r>
        <w:rPr>
          <w:sz w:val="20"/>
        </w:rPr>
        <w:t>; </w:t>
      </w:r>
      <w:r>
        <w:rPr>
          <w:b/>
          <w:sz w:val="20"/>
        </w:rPr>
        <w:t>III. </w:t>
      </w:r>
      <w:r>
        <w:rPr>
          <w:sz w:val="20"/>
        </w:rPr>
        <w:t>Las reparaciones con enfoque de derechos económicos, sociales, culturales y ambientales (</w:t>
      </w:r>
      <w:r>
        <w:rPr>
          <w:i/>
          <w:sz w:val="20"/>
          <w:u w:val="single"/>
        </w:rPr>
        <w:t>párrs. 60-69</w:t>
      </w:r>
      <w:r>
        <w:rPr>
          <w:sz w:val="20"/>
        </w:rPr>
        <w:t>), </w:t>
      </w:r>
      <w:r>
        <w:rPr>
          <w:b/>
          <w:sz w:val="20"/>
        </w:rPr>
        <w:t>IV. </w:t>
      </w:r>
      <w:r>
        <w:rPr>
          <w:sz w:val="20"/>
        </w:rPr>
        <w:t>Los </w:t>
      </w:r>
      <w:r>
        <w:rPr>
          <w:i/>
          <w:sz w:val="20"/>
        </w:rPr>
        <w:t>amici curiae </w:t>
      </w:r>
      <w:r>
        <w:rPr>
          <w:sz w:val="20"/>
        </w:rPr>
        <w:t>como medio de diálogo de la sociedad civil con la Corte Interamericana (</w:t>
      </w:r>
      <w:r>
        <w:rPr>
          <w:i/>
          <w:sz w:val="20"/>
          <w:u w:val="single"/>
        </w:rPr>
        <w:t>párrs. 70 a 82</w:t>
      </w:r>
      <w:r>
        <w:rPr>
          <w:sz w:val="20"/>
        </w:rPr>
        <w:t>), y </w:t>
      </w:r>
      <w:r>
        <w:rPr>
          <w:b/>
          <w:sz w:val="20"/>
        </w:rPr>
        <w:t>V</w:t>
      </w:r>
      <w:r>
        <w:rPr>
          <w:sz w:val="20"/>
        </w:rPr>
        <w:t>. Conclusiones (</w:t>
      </w:r>
      <w:r>
        <w:rPr>
          <w:i/>
          <w:sz w:val="20"/>
          <w:u w:val="single"/>
        </w:rPr>
        <w:t>párrs. 83 a</w:t>
      </w:r>
      <w:r>
        <w:rPr>
          <w:i/>
          <w:spacing w:val="-14"/>
          <w:sz w:val="20"/>
          <w:u w:val="single"/>
        </w:rPr>
        <w:t> </w:t>
      </w:r>
      <w:r>
        <w:rPr>
          <w:i/>
          <w:sz w:val="20"/>
          <w:u w:val="single"/>
        </w:rPr>
        <w:t>87</w:t>
      </w:r>
      <w:r>
        <w:rPr>
          <w:sz w:val="20"/>
        </w:rPr>
        <w:t>).</w:t>
      </w:r>
    </w:p>
    <w:p>
      <w:pPr>
        <w:pStyle w:val="BodyText"/>
        <w:spacing w:before="11"/>
        <w:rPr>
          <w:sz w:val="19"/>
        </w:rPr>
      </w:pPr>
    </w:p>
    <w:p>
      <w:pPr>
        <w:pStyle w:val="Heading3"/>
        <w:numPr>
          <w:ilvl w:val="1"/>
          <w:numId w:val="75"/>
        </w:numPr>
        <w:tabs>
          <w:tab w:pos="522" w:val="left" w:leader="none"/>
        </w:tabs>
        <w:spacing w:line="240" w:lineRule="auto" w:before="0" w:after="0"/>
        <w:ind w:left="587" w:right="464" w:hanging="315"/>
        <w:jc w:val="left"/>
      </w:pPr>
      <w:r>
        <w:rPr/>
        <w:t>LA TIERRA Y EL TERRITORIO: SU PROTECCIÓN DIFERENCIADA DESDE LA CONVENCIÓN AMERICANA SOBRE DERECHOS HUMANOS Y LOS</w:t>
      </w:r>
      <w:r>
        <w:rPr>
          <w:spacing w:val="-17"/>
        </w:rPr>
        <w:t> </w:t>
      </w:r>
      <w:r>
        <w:rPr/>
        <w:t>DESCA</w:t>
      </w:r>
    </w:p>
    <w:p>
      <w:pPr>
        <w:pStyle w:val="BodyText"/>
        <w:spacing w:before="11"/>
        <w:rPr>
          <w:b/>
          <w:sz w:val="19"/>
        </w:rPr>
      </w:pPr>
    </w:p>
    <w:p>
      <w:pPr>
        <w:pStyle w:val="ListParagraph"/>
        <w:numPr>
          <w:ilvl w:val="0"/>
          <w:numId w:val="75"/>
        </w:numPr>
        <w:tabs>
          <w:tab w:pos="827" w:val="left" w:leader="none"/>
        </w:tabs>
        <w:spacing w:line="240" w:lineRule="auto" w:before="0" w:after="0"/>
        <w:ind w:left="118" w:right="310" w:firstLine="0"/>
        <w:jc w:val="both"/>
        <w:rPr>
          <w:sz w:val="20"/>
        </w:rPr>
      </w:pPr>
      <w:r>
        <w:rPr>
          <w:sz w:val="20"/>
        </w:rPr>
        <w:t>La Corte IDH, en su evolución jurisprudencial, ha sustentado derechos de los pueblos y comunidades indígenas y tribales relacionados con su tierra y territorio a través del derecho de propiedad privada contenido en el artículo 21 de la Convención Americana. Esto no debe hacer pensar que los derechos territoriales de los pueblos indígenas se ciñen o asimilan a un aspecto meramente económico o</w:t>
      </w:r>
      <w:r>
        <w:rPr>
          <w:spacing w:val="-18"/>
          <w:sz w:val="20"/>
        </w:rPr>
        <w:t> </w:t>
      </w:r>
      <w:r>
        <w:rPr>
          <w:sz w:val="20"/>
        </w:rPr>
        <w:t>patrimonial.</w:t>
      </w:r>
    </w:p>
    <w:p>
      <w:pPr>
        <w:pStyle w:val="BodyText"/>
        <w:spacing w:before="11"/>
        <w:rPr>
          <w:sz w:val="19"/>
        </w:rPr>
      </w:pPr>
    </w:p>
    <w:p>
      <w:pPr>
        <w:pStyle w:val="ListParagraph"/>
        <w:numPr>
          <w:ilvl w:val="0"/>
          <w:numId w:val="75"/>
        </w:numPr>
        <w:tabs>
          <w:tab w:pos="827" w:val="left" w:leader="none"/>
        </w:tabs>
        <w:spacing w:line="240" w:lineRule="auto" w:before="0" w:after="0"/>
        <w:ind w:left="118" w:right="307" w:firstLine="0"/>
        <w:jc w:val="both"/>
        <w:rPr>
          <w:sz w:val="20"/>
        </w:rPr>
      </w:pPr>
      <w:r>
        <w:rPr>
          <w:sz w:val="20"/>
        </w:rPr>
        <w:t>El</w:t>
      </w:r>
      <w:r>
        <w:rPr>
          <w:spacing w:val="-17"/>
          <w:sz w:val="20"/>
        </w:rPr>
        <w:t> </w:t>
      </w:r>
      <w:r>
        <w:rPr>
          <w:sz w:val="20"/>
        </w:rPr>
        <w:t>Tribunal</w:t>
      </w:r>
      <w:r>
        <w:rPr>
          <w:spacing w:val="-16"/>
          <w:sz w:val="20"/>
        </w:rPr>
        <w:t> </w:t>
      </w:r>
      <w:r>
        <w:rPr>
          <w:sz w:val="20"/>
        </w:rPr>
        <w:t>Interamericano</w:t>
      </w:r>
      <w:r>
        <w:rPr>
          <w:spacing w:val="-16"/>
          <w:sz w:val="20"/>
        </w:rPr>
        <w:t> </w:t>
      </w:r>
      <w:r>
        <w:rPr>
          <w:sz w:val="20"/>
        </w:rPr>
        <w:t>lo</w:t>
      </w:r>
      <w:r>
        <w:rPr>
          <w:spacing w:val="-17"/>
          <w:sz w:val="20"/>
        </w:rPr>
        <w:t> </w:t>
      </w:r>
      <w:r>
        <w:rPr>
          <w:sz w:val="20"/>
        </w:rPr>
        <w:t>señaló</w:t>
      </w:r>
      <w:r>
        <w:rPr>
          <w:spacing w:val="-18"/>
          <w:sz w:val="20"/>
        </w:rPr>
        <w:t> </w:t>
      </w:r>
      <w:r>
        <w:rPr>
          <w:sz w:val="20"/>
        </w:rPr>
        <w:t>desde</w:t>
      </w:r>
      <w:r>
        <w:rPr>
          <w:spacing w:val="-17"/>
          <w:sz w:val="20"/>
        </w:rPr>
        <w:t> </w:t>
      </w:r>
      <w:r>
        <w:rPr>
          <w:sz w:val="20"/>
        </w:rPr>
        <w:t>su</w:t>
      </w:r>
      <w:r>
        <w:rPr>
          <w:spacing w:val="-17"/>
          <w:sz w:val="20"/>
        </w:rPr>
        <w:t> </w:t>
      </w:r>
      <w:r>
        <w:rPr>
          <w:sz w:val="20"/>
        </w:rPr>
        <w:t>primera</w:t>
      </w:r>
      <w:r>
        <w:rPr>
          <w:spacing w:val="-17"/>
          <w:sz w:val="20"/>
        </w:rPr>
        <w:t> </w:t>
      </w:r>
      <w:r>
        <w:rPr>
          <w:sz w:val="20"/>
        </w:rPr>
        <w:t>sentencia</w:t>
      </w:r>
      <w:r>
        <w:rPr>
          <w:spacing w:val="-18"/>
          <w:sz w:val="20"/>
        </w:rPr>
        <w:t> </w:t>
      </w:r>
      <w:r>
        <w:rPr>
          <w:sz w:val="20"/>
        </w:rPr>
        <w:t>en</w:t>
      </w:r>
      <w:r>
        <w:rPr>
          <w:spacing w:val="-17"/>
          <w:sz w:val="20"/>
        </w:rPr>
        <w:t> </w:t>
      </w:r>
      <w:r>
        <w:rPr>
          <w:sz w:val="20"/>
        </w:rPr>
        <w:t>la</w:t>
      </w:r>
      <w:r>
        <w:rPr>
          <w:spacing w:val="-17"/>
          <w:sz w:val="20"/>
        </w:rPr>
        <w:t> </w:t>
      </w:r>
      <w:r>
        <w:rPr>
          <w:sz w:val="20"/>
        </w:rPr>
        <w:t>que</w:t>
      </w:r>
      <w:r>
        <w:rPr>
          <w:spacing w:val="-15"/>
          <w:sz w:val="20"/>
        </w:rPr>
        <w:t> </w:t>
      </w:r>
      <w:r>
        <w:rPr>
          <w:sz w:val="20"/>
        </w:rPr>
        <w:t>abordó la cuestión de un modo central. Así, en 2001, al resover el caso </w:t>
      </w:r>
      <w:r>
        <w:rPr>
          <w:i/>
          <w:sz w:val="20"/>
        </w:rPr>
        <w:t>Comunidad Mayagna </w:t>
      </w:r>
      <w:r>
        <w:rPr>
          <w:i/>
          <w:sz w:val="20"/>
        </w:rPr>
        <w:t>(Sumo)</w:t>
      </w:r>
      <w:r>
        <w:rPr>
          <w:i/>
          <w:spacing w:val="-18"/>
          <w:sz w:val="20"/>
        </w:rPr>
        <w:t> </w:t>
      </w:r>
      <w:r>
        <w:rPr>
          <w:i/>
          <w:sz w:val="20"/>
        </w:rPr>
        <w:t>Awas</w:t>
      </w:r>
      <w:r>
        <w:rPr>
          <w:i/>
          <w:spacing w:val="-18"/>
          <w:sz w:val="20"/>
        </w:rPr>
        <w:t> </w:t>
      </w:r>
      <w:r>
        <w:rPr>
          <w:i/>
          <w:sz w:val="20"/>
        </w:rPr>
        <w:t>Tingni</w:t>
      </w:r>
      <w:r>
        <w:rPr>
          <w:i/>
          <w:spacing w:val="-18"/>
          <w:sz w:val="20"/>
        </w:rPr>
        <w:t> </w:t>
      </w:r>
      <w:r>
        <w:rPr>
          <w:i/>
          <w:sz w:val="20"/>
        </w:rPr>
        <w:t>Vs.</w:t>
      </w:r>
      <w:r>
        <w:rPr>
          <w:i/>
          <w:spacing w:val="-18"/>
          <w:sz w:val="20"/>
        </w:rPr>
        <w:t> </w:t>
      </w:r>
      <w:r>
        <w:rPr>
          <w:i/>
          <w:sz w:val="20"/>
        </w:rPr>
        <w:t>Nicaragua</w:t>
      </w:r>
      <w:r>
        <w:rPr>
          <w:sz w:val="20"/>
        </w:rPr>
        <w:t>,</w:t>
      </w:r>
      <w:r>
        <w:rPr>
          <w:spacing w:val="-19"/>
          <w:sz w:val="20"/>
        </w:rPr>
        <w:t> </w:t>
      </w:r>
      <w:r>
        <w:rPr>
          <w:sz w:val="20"/>
        </w:rPr>
        <w:t>expresó</w:t>
      </w:r>
      <w:r>
        <w:rPr>
          <w:spacing w:val="-19"/>
          <w:sz w:val="20"/>
        </w:rPr>
        <w:t> </w:t>
      </w:r>
      <w:r>
        <w:rPr>
          <w:sz w:val="20"/>
        </w:rPr>
        <w:t>que</w:t>
      </w:r>
      <w:r>
        <w:rPr>
          <w:spacing w:val="-18"/>
          <w:sz w:val="20"/>
        </w:rPr>
        <w:t> </w:t>
      </w:r>
      <w:r>
        <w:rPr>
          <w:sz w:val="20"/>
        </w:rPr>
        <w:t>“entre</w:t>
      </w:r>
      <w:r>
        <w:rPr>
          <w:spacing w:val="-18"/>
          <w:sz w:val="20"/>
        </w:rPr>
        <w:t> </w:t>
      </w:r>
      <w:r>
        <w:rPr>
          <w:sz w:val="20"/>
        </w:rPr>
        <w:t>los</w:t>
      </w:r>
      <w:r>
        <w:rPr>
          <w:spacing w:val="-21"/>
          <w:sz w:val="20"/>
        </w:rPr>
        <w:t> </w:t>
      </w:r>
      <w:r>
        <w:rPr>
          <w:sz w:val="20"/>
        </w:rPr>
        <w:t>indígenas</w:t>
      </w:r>
      <w:r>
        <w:rPr>
          <w:spacing w:val="-19"/>
          <w:sz w:val="20"/>
        </w:rPr>
        <w:t> </w:t>
      </w:r>
      <w:r>
        <w:rPr>
          <w:sz w:val="20"/>
        </w:rPr>
        <w:t>existe</w:t>
      </w:r>
      <w:r>
        <w:rPr>
          <w:spacing w:val="-18"/>
          <w:sz w:val="20"/>
        </w:rPr>
        <w:t> </w:t>
      </w:r>
      <w:r>
        <w:rPr>
          <w:sz w:val="20"/>
        </w:rPr>
        <w:t>una</w:t>
      </w:r>
      <w:r>
        <w:rPr>
          <w:spacing w:val="-19"/>
          <w:sz w:val="20"/>
        </w:rPr>
        <w:t> </w:t>
      </w:r>
      <w:r>
        <w:rPr>
          <w:sz w:val="20"/>
        </w:rPr>
        <w:t>tradición comunitaria</w:t>
      </w:r>
      <w:r>
        <w:rPr>
          <w:spacing w:val="-20"/>
          <w:sz w:val="20"/>
        </w:rPr>
        <w:t> </w:t>
      </w:r>
      <w:r>
        <w:rPr>
          <w:sz w:val="20"/>
        </w:rPr>
        <w:t>sobre</w:t>
      </w:r>
      <w:r>
        <w:rPr>
          <w:spacing w:val="-17"/>
          <w:sz w:val="20"/>
        </w:rPr>
        <w:t> </w:t>
      </w:r>
      <w:r>
        <w:rPr>
          <w:sz w:val="20"/>
        </w:rPr>
        <w:t>una</w:t>
      </w:r>
      <w:r>
        <w:rPr>
          <w:spacing w:val="-18"/>
          <w:sz w:val="20"/>
        </w:rPr>
        <w:t> </w:t>
      </w:r>
      <w:r>
        <w:rPr>
          <w:sz w:val="20"/>
        </w:rPr>
        <w:t>forma</w:t>
      </w:r>
      <w:r>
        <w:rPr>
          <w:spacing w:val="-19"/>
          <w:sz w:val="20"/>
        </w:rPr>
        <w:t> </w:t>
      </w:r>
      <w:r>
        <w:rPr>
          <w:sz w:val="20"/>
        </w:rPr>
        <w:t>comunal</w:t>
      </w:r>
      <w:r>
        <w:rPr>
          <w:spacing w:val="-18"/>
          <w:sz w:val="20"/>
        </w:rPr>
        <w:t> </w:t>
      </w:r>
      <w:r>
        <w:rPr>
          <w:sz w:val="20"/>
        </w:rPr>
        <w:t>de</w:t>
      </w:r>
      <w:r>
        <w:rPr>
          <w:spacing w:val="-17"/>
          <w:sz w:val="20"/>
        </w:rPr>
        <w:t> </w:t>
      </w:r>
      <w:r>
        <w:rPr>
          <w:sz w:val="20"/>
        </w:rPr>
        <w:t>la</w:t>
      </w:r>
      <w:r>
        <w:rPr>
          <w:spacing w:val="-18"/>
          <w:sz w:val="20"/>
        </w:rPr>
        <w:t> </w:t>
      </w:r>
      <w:r>
        <w:rPr>
          <w:sz w:val="20"/>
        </w:rPr>
        <w:t>propiedad</w:t>
      </w:r>
      <w:r>
        <w:rPr>
          <w:spacing w:val="-19"/>
          <w:sz w:val="20"/>
        </w:rPr>
        <w:t> </w:t>
      </w:r>
      <w:r>
        <w:rPr>
          <w:sz w:val="20"/>
        </w:rPr>
        <w:t>colectiva</w:t>
      </w:r>
      <w:r>
        <w:rPr>
          <w:spacing w:val="-18"/>
          <w:sz w:val="20"/>
        </w:rPr>
        <w:t> </w:t>
      </w:r>
      <w:r>
        <w:rPr>
          <w:sz w:val="20"/>
        </w:rPr>
        <w:t>de</w:t>
      </w:r>
      <w:r>
        <w:rPr>
          <w:spacing w:val="-17"/>
          <w:sz w:val="20"/>
        </w:rPr>
        <w:t> </w:t>
      </w:r>
      <w:r>
        <w:rPr>
          <w:sz w:val="20"/>
        </w:rPr>
        <w:t>la</w:t>
      </w:r>
      <w:r>
        <w:rPr>
          <w:spacing w:val="-18"/>
          <w:sz w:val="20"/>
        </w:rPr>
        <w:t> </w:t>
      </w:r>
      <w:r>
        <w:rPr>
          <w:sz w:val="20"/>
        </w:rPr>
        <w:t>tierra,</w:t>
      </w:r>
      <w:r>
        <w:rPr>
          <w:spacing w:val="-17"/>
          <w:sz w:val="20"/>
        </w:rPr>
        <w:t> </w:t>
      </w:r>
      <w:r>
        <w:rPr>
          <w:sz w:val="20"/>
        </w:rPr>
        <w:t>en</w:t>
      </w:r>
      <w:r>
        <w:rPr>
          <w:spacing w:val="-18"/>
          <w:sz w:val="20"/>
        </w:rPr>
        <w:t> </w:t>
      </w:r>
      <w:r>
        <w:rPr>
          <w:sz w:val="20"/>
        </w:rPr>
        <w:t>el</w:t>
      </w:r>
      <w:r>
        <w:rPr>
          <w:spacing w:val="-19"/>
          <w:sz w:val="20"/>
        </w:rPr>
        <w:t> </w:t>
      </w:r>
      <w:r>
        <w:rPr>
          <w:sz w:val="20"/>
        </w:rPr>
        <w:t>sentido</w:t>
      </w:r>
    </w:p>
    <w:p>
      <w:pPr>
        <w:pStyle w:val="BodyText"/>
        <w:spacing w:before="7"/>
        <w:rPr>
          <w:sz w:val="15"/>
        </w:rPr>
      </w:pPr>
      <w:r>
        <w:rPr/>
        <w:pict>
          <v:line style="position:absolute;mso-position-horizontal-relative:page;mso-position-vertical-relative:paragraph;z-index:4768;mso-wrap-distance-left:0;mso-wrap-distance-right:0" from="70.919998pt,11.744126pt" to="214.939998pt,11.744126pt" stroked="true" strokeweight=".600010pt" strokecolor="#000000">
            <v:stroke dashstyle="solid"/>
            <w10:wrap type="topAndBottom"/>
          </v:line>
        </w:pict>
      </w:r>
    </w:p>
    <w:p>
      <w:pPr>
        <w:spacing w:before="73"/>
        <w:ind w:left="118" w:right="312" w:firstLine="0"/>
        <w:jc w:val="both"/>
        <w:rPr>
          <w:sz w:val="16"/>
        </w:rPr>
      </w:pPr>
      <w:r>
        <w:rPr>
          <w:sz w:val="16"/>
        </w:rPr>
        <w:t>Internacional de Derechos Humanos de la Universidad de Guadalajara y </w:t>
      </w:r>
      <w:r>
        <w:rPr>
          <w:i/>
          <w:sz w:val="16"/>
        </w:rPr>
        <w:t>O’Neill Institute for National and </w:t>
      </w:r>
      <w:r>
        <w:rPr>
          <w:i/>
          <w:sz w:val="16"/>
        </w:rPr>
        <w:t>Global</w:t>
      </w:r>
      <w:r>
        <w:rPr>
          <w:i/>
          <w:spacing w:val="-3"/>
          <w:sz w:val="16"/>
        </w:rPr>
        <w:t> </w:t>
      </w:r>
      <w:r>
        <w:rPr>
          <w:i/>
          <w:sz w:val="16"/>
        </w:rPr>
        <w:t>Health</w:t>
      </w:r>
      <w:r>
        <w:rPr>
          <w:i/>
          <w:spacing w:val="-4"/>
          <w:sz w:val="16"/>
        </w:rPr>
        <w:t> </w:t>
      </w:r>
      <w:r>
        <w:rPr>
          <w:i/>
          <w:sz w:val="16"/>
        </w:rPr>
        <w:t>Law</w:t>
      </w:r>
      <w:r>
        <w:rPr>
          <w:i/>
          <w:spacing w:val="-2"/>
          <w:sz w:val="16"/>
        </w:rPr>
        <w:t> </w:t>
      </w:r>
      <w:r>
        <w:rPr>
          <w:sz w:val="16"/>
        </w:rPr>
        <w:t>de</w:t>
      </w:r>
      <w:r>
        <w:rPr>
          <w:spacing w:val="-4"/>
          <w:sz w:val="16"/>
        </w:rPr>
        <w:t> </w:t>
      </w:r>
      <w:r>
        <w:rPr>
          <w:i/>
          <w:sz w:val="16"/>
        </w:rPr>
        <w:t>Georgetown</w:t>
      </w:r>
      <w:r>
        <w:rPr>
          <w:i/>
          <w:spacing w:val="-3"/>
          <w:sz w:val="16"/>
        </w:rPr>
        <w:t> </w:t>
      </w:r>
      <w:r>
        <w:rPr>
          <w:i/>
          <w:sz w:val="16"/>
        </w:rPr>
        <w:t>University</w:t>
      </w:r>
      <w:r>
        <w:rPr>
          <w:i/>
          <w:spacing w:val="-3"/>
          <w:sz w:val="16"/>
        </w:rPr>
        <w:t> </w:t>
      </w:r>
      <w:r>
        <w:rPr>
          <w:i/>
          <w:sz w:val="16"/>
        </w:rPr>
        <w:t>Law</w:t>
      </w:r>
      <w:r>
        <w:rPr>
          <w:i/>
          <w:spacing w:val="-3"/>
          <w:sz w:val="16"/>
        </w:rPr>
        <w:t> </w:t>
      </w:r>
      <w:r>
        <w:rPr>
          <w:sz w:val="16"/>
        </w:rPr>
        <w:t>Center;</w:t>
      </w:r>
      <w:r>
        <w:rPr>
          <w:spacing w:val="-4"/>
          <w:sz w:val="16"/>
        </w:rPr>
        <w:t> </w:t>
      </w:r>
      <w:r>
        <w:rPr>
          <w:sz w:val="16"/>
        </w:rPr>
        <w:t>5)</w:t>
      </w:r>
      <w:r>
        <w:rPr>
          <w:spacing w:val="-4"/>
          <w:sz w:val="16"/>
        </w:rPr>
        <w:t> </w:t>
      </w:r>
      <w:r>
        <w:rPr>
          <w:sz w:val="16"/>
        </w:rPr>
        <w:t>Organizaciones</w:t>
      </w:r>
      <w:r>
        <w:rPr>
          <w:spacing w:val="-4"/>
          <w:sz w:val="16"/>
        </w:rPr>
        <w:t> </w:t>
      </w:r>
      <w:r>
        <w:rPr>
          <w:sz w:val="16"/>
        </w:rPr>
        <w:t>coordinadas</w:t>
      </w:r>
      <w:r>
        <w:rPr>
          <w:spacing w:val="-3"/>
          <w:sz w:val="16"/>
        </w:rPr>
        <w:t> </w:t>
      </w:r>
      <w:r>
        <w:rPr>
          <w:sz w:val="16"/>
        </w:rPr>
        <w:t>por</w:t>
      </w:r>
      <w:r>
        <w:rPr>
          <w:spacing w:val="-3"/>
          <w:sz w:val="16"/>
        </w:rPr>
        <w:t> </w:t>
      </w:r>
      <w:r>
        <w:rPr>
          <w:sz w:val="16"/>
        </w:rPr>
        <w:t>la</w:t>
      </w:r>
      <w:r>
        <w:rPr>
          <w:spacing w:val="-3"/>
          <w:sz w:val="16"/>
        </w:rPr>
        <w:t> </w:t>
      </w:r>
      <w:r>
        <w:rPr>
          <w:sz w:val="16"/>
        </w:rPr>
        <w:t>Secretaría</w:t>
      </w:r>
      <w:r>
        <w:rPr>
          <w:spacing w:val="-4"/>
          <w:sz w:val="16"/>
        </w:rPr>
        <w:t> </w:t>
      </w:r>
      <w:r>
        <w:rPr>
          <w:sz w:val="16"/>
        </w:rPr>
        <w:t>de la Red Internacional de Derechos Económicos, Sociales y Culturales (Res-DESC); 6) Tierraviva a los Pueblos Indígenas</w:t>
      </w:r>
      <w:r>
        <w:rPr>
          <w:spacing w:val="-4"/>
          <w:sz w:val="16"/>
        </w:rPr>
        <w:t> </w:t>
      </w:r>
      <w:r>
        <w:rPr>
          <w:sz w:val="16"/>
        </w:rPr>
        <w:t>del</w:t>
      </w:r>
      <w:r>
        <w:rPr>
          <w:spacing w:val="-4"/>
          <w:sz w:val="16"/>
        </w:rPr>
        <w:t> </w:t>
      </w:r>
      <w:r>
        <w:rPr>
          <w:sz w:val="16"/>
        </w:rPr>
        <w:t>Chaco;</w:t>
      </w:r>
      <w:r>
        <w:rPr>
          <w:spacing w:val="-4"/>
          <w:sz w:val="16"/>
        </w:rPr>
        <w:t> </w:t>
      </w:r>
      <w:r>
        <w:rPr>
          <w:sz w:val="16"/>
        </w:rPr>
        <w:t>7)</w:t>
      </w:r>
      <w:r>
        <w:rPr>
          <w:spacing w:val="-4"/>
          <w:sz w:val="16"/>
        </w:rPr>
        <w:t> </w:t>
      </w:r>
      <w:r>
        <w:rPr>
          <w:sz w:val="16"/>
        </w:rPr>
        <w:t>Clínica</w:t>
      </w:r>
      <w:r>
        <w:rPr>
          <w:spacing w:val="-4"/>
          <w:sz w:val="16"/>
        </w:rPr>
        <w:t> </w:t>
      </w:r>
      <w:r>
        <w:rPr>
          <w:sz w:val="16"/>
        </w:rPr>
        <w:t>Jurídica</w:t>
      </w:r>
      <w:r>
        <w:rPr>
          <w:spacing w:val="-3"/>
          <w:sz w:val="16"/>
        </w:rPr>
        <w:t> </w:t>
      </w:r>
      <w:r>
        <w:rPr>
          <w:sz w:val="16"/>
        </w:rPr>
        <w:t>del</w:t>
      </w:r>
      <w:r>
        <w:rPr>
          <w:spacing w:val="-3"/>
          <w:sz w:val="16"/>
        </w:rPr>
        <w:t> </w:t>
      </w:r>
      <w:r>
        <w:rPr>
          <w:sz w:val="16"/>
        </w:rPr>
        <w:t>Centro</w:t>
      </w:r>
      <w:r>
        <w:rPr>
          <w:spacing w:val="-3"/>
          <w:sz w:val="16"/>
        </w:rPr>
        <w:t> </w:t>
      </w:r>
      <w:r>
        <w:rPr>
          <w:sz w:val="16"/>
        </w:rPr>
        <w:t>de</w:t>
      </w:r>
      <w:r>
        <w:rPr>
          <w:spacing w:val="-4"/>
          <w:sz w:val="16"/>
        </w:rPr>
        <w:t> </w:t>
      </w:r>
      <w:r>
        <w:rPr>
          <w:sz w:val="16"/>
        </w:rPr>
        <w:t>Derechos</w:t>
      </w:r>
      <w:r>
        <w:rPr>
          <w:spacing w:val="-4"/>
          <w:sz w:val="16"/>
        </w:rPr>
        <w:t> </w:t>
      </w:r>
      <w:r>
        <w:rPr>
          <w:sz w:val="16"/>
        </w:rPr>
        <w:t>Humanos</w:t>
      </w:r>
      <w:r>
        <w:rPr>
          <w:spacing w:val="-3"/>
          <w:sz w:val="16"/>
        </w:rPr>
        <w:t> </w:t>
      </w:r>
      <w:r>
        <w:rPr>
          <w:sz w:val="16"/>
        </w:rPr>
        <w:t>de</w:t>
      </w:r>
      <w:r>
        <w:rPr>
          <w:spacing w:val="-4"/>
          <w:sz w:val="16"/>
        </w:rPr>
        <w:t> </w:t>
      </w:r>
      <w:r>
        <w:rPr>
          <w:sz w:val="16"/>
        </w:rPr>
        <w:t>la</w:t>
      </w:r>
      <w:r>
        <w:rPr>
          <w:spacing w:val="-3"/>
          <w:sz w:val="16"/>
        </w:rPr>
        <w:t> </w:t>
      </w:r>
      <w:r>
        <w:rPr>
          <w:sz w:val="16"/>
        </w:rPr>
        <w:t>Facultad</w:t>
      </w:r>
      <w:r>
        <w:rPr>
          <w:spacing w:val="-2"/>
          <w:sz w:val="16"/>
        </w:rPr>
        <w:t> </w:t>
      </w:r>
      <w:r>
        <w:rPr>
          <w:sz w:val="16"/>
        </w:rPr>
        <w:t>de</w:t>
      </w:r>
      <w:r>
        <w:rPr>
          <w:spacing w:val="-4"/>
          <w:sz w:val="16"/>
        </w:rPr>
        <w:t> </w:t>
      </w:r>
      <w:r>
        <w:rPr>
          <w:sz w:val="16"/>
        </w:rPr>
        <w:t>la</w:t>
      </w:r>
      <w:r>
        <w:rPr>
          <w:spacing w:val="-3"/>
          <w:sz w:val="16"/>
        </w:rPr>
        <w:t> </w:t>
      </w:r>
      <w:r>
        <w:rPr>
          <w:sz w:val="16"/>
        </w:rPr>
        <w:t>Universidad</w:t>
      </w:r>
      <w:r>
        <w:rPr>
          <w:spacing w:val="-3"/>
          <w:sz w:val="16"/>
        </w:rPr>
        <w:t> </w:t>
      </w:r>
      <w:r>
        <w:rPr>
          <w:sz w:val="16"/>
        </w:rPr>
        <w:t>de Buenos</w:t>
      </w:r>
      <w:r>
        <w:rPr>
          <w:spacing w:val="-6"/>
          <w:sz w:val="16"/>
        </w:rPr>
        <w:t> </w:t>
      </w:r>
      <w:r>
        <w:rPr>
          <w:sz w:val="16"/>
        </w:rPr>
        <w:t>Aires</w:t>
      </w:r>
      <w:r>
        <w:rPr>
          <w:spacing w:val="-6"/>
          <w:sz w:val="16"/>
        </w:rPr>
        <w:t> </w:t>
      </w:r>
      <w:r>
        <w:rPr>
          <w:sz w:val="16"/>
        </w:rPr>
        <w:t>(CDH-UBA),</w:t>
      </w:r>
      <w:r>
        <w:rPr>
          <w:spacing w:val="-6"/>
          <w:sz w:val="16"/>
        </w:rPr>
        <w:t> </w:t>
      </w:r>
      <w:r>
        <w:rPr>
          <w:sz w:val="16"/>
        </w:rPr>
        <w:t>y</w:t>
      </w:r>
      <w:r>
        <w:rPr>
          <w:spacing w:val="-5"/>
          <w:sz w:val="16"/>
        </w:rPr>
        <w:t> </w:t>
      </w:r>
      <w:r>
        <w:rPr>
          <w:sz w:val="16"/>
        </w:rPr>
        <w:t>8)</w:t>
      </w:r>
      <w:r>
        <w:rPr>
          <w:spacing w:val="-6"/>
          <w:sz w:val="16"/>
        </w:rPr>
        <w:t> </w:t>
      </w:r>
      <w:r>
        <w:rPr>
          <w:sz w:val="16"/>
        </w:rPr>
        <w:t>Oliver</w:t>
      </w:r>
      <w:r>
        <w:rPr>
          <w:spacing w:val="-6"/>
          <w:sz w:val="16"/>
        </w:rPr>
        <w:t> </w:t>
      </w:r>
      <w:r>
        <w:rPr>
          <w:sz w:val="16"/>
        </w:rPr>
        <w:t>de</w:t>
      </w:r>
      <w:r>
        <w:rPr>
          <w:spacing w:val="-6"/>
          <w:sz w:val="16"/>
        </w:rPr>
        <w:t> </w:t>
      </w:r>
      <w:r>
        <w:rPr>
          <w:sz w:val="16"/>
        </w:rPr>
        <w:t>Schutter,</w:t>
      </w:r>
      <w:r>
        <w:rPr>
          <w:spacing w:val="-6"/>
          <w:sz w:val="16"/>
        </w:rPr>
        <w:t> </w:t>
      </w:r>
      <w:r>
        <w:rPr>
          <w:sz w:val="16"/>
        </w:rPr>
        <w:t>Profesor</w:t>
      </w:r>
      <w:r>
        <w:rPr>
          <w:spacing w:val="-5"/>
          <w:sz w:val="16"/>
        </w:rPr>
        <w:t> </w:t>
      </w:r>
      <w:r>
        <w:rPr>
          <w:sz w:val="16"/>
        </w:rPr>
        <w:t>de</w:t>
      </w:r>
      <w:r>
        <w:rPr>
          <w:spacing w:val="-6"/>
          <w:sz w:val="16"/>
        </w:rPr>
        <w:t> </w:t>
      </w:r>
      <w:r>
        <w:rPr>
          <w:sz w:val="16"/>
        </w:rPr>
        <w:t>la</w:t>
      </w:r>
      <w:r>
        <w:rPr>
          <w:spacing w:val="-5"/>
          <w:sz w:val="16"/>
        </w:rPr>
        <w:t> </w:t>
      </w:r>
      <w:r>
        <w:rPr>
          <w:sz w:val="16"/>
        </w:rPr>
        <w:t>Universidad</w:t>
      </w:r>
      <w:r>
        <w:rPr>
          <w:spacing w:val="-6"/>
          <w:sz w:val="16"/>
        </w:rPr>
        <w:t> </w:t>
      </w:r>
      <w:r>
        <w:rPr>
          <w:sz w:val="16"/>
        </w:rPr>
        <w:t>Católica</w:t>
      </w:r>
      <w:r>
        <w:rPr>
          <w:spacing w:val="-6"/>
          <w:sz w:val="16"/>
        </w:rPr>
        <w:t> </w:t>
      </w:r>
      <w:r>
        <w:rPr>
          <w:sz w:val="16"/>
        </w:rPr>
        <w:t>de</w:t>
      </w:r>
      <w:r>
        <w:rPr>
          <w:spacing w:val="-6"/>
          <w:sz w:val="16"/>
        </w:rPr>
        <w:t> </w:t>
      </w:r>
      <w:r>
        <w:rPr>
          <w:sz w:val="16"/>
        </w:rPr>
        <w:t>Lovaina</w:t>
      </w:r>
      <w:r>
        <w:rPr>
          <w:spacing w:val="-7"/>
          <w:sz w:val="16"/>
        </w:rPr>
        <w:t> </w:t>
      </w:r>
      <w:r>
        <w:rPr>
          <w:sz w:val="16"/>
        </w:rPr>
        <w:t>y</w:t>
      </w:r>
      <w:r>
        <w:rPr>
          <w:spacing w:val="-5"/>
          <w:sz w:val="16"/>
        </w:rPr>
        <w:t> </w:t>
      </w:r>
      <w:r>
        <w:rPr>
          <w:sz w:val="16"/>
        </w:rPr>
        <w:t>ex</w:t>
      </w:r>
      <w:r>
        <w:rPr>
          <w:spacing w:val="-6"/>
          <w:sz w:val="16"/>
        </w:rPr>
        <w:t> </w:t>
      </w:r>
      <w:r>
        <w:rPr>
          <w:sz w:val="16"/>
        </w:rPr>
        <w:t>Relator Especial de las Naciones Unidas sobre el Derecho a la Alimentación</w:t>
      </w:r>
      <w:r>
        <w:rPr>
          <w:spacing w:val="-25"/>
          <w:sz w:val="16"/>
        </w:rPr>
        <w:t> </w:t>
      </w:r>
      <w:r>
        <w:rPr>
          <w:sz w:val="16"/>
        </w:rPr>
        <w:t>(2008-2014).</w:t>
      </w:r>
    </w:p>
    <w:p>
      <w:pPr>
        <w:tabs>
          <w:tab w:pos="826" w:val="left" w:leader="none"/>
        </w:tabs>
        <w:spacing w:before="120"/>
        <w:ind w:left="118" w:right="0" w:firstLine="0"/>
        <w:jc w:val="both"/>
        <w:rPr>
          <w:sz w:val="16"/>
        </w:rPr>
      </w:pPr>
      <w:r>
        <w:rPr>
          <w:position w:val="6"/>
          <w:sz w:val="10"/>
        </w:rPr>
        <w:t>13</w:t>
        <w:tab/>
      </w:r>
      <w:r>
        <w:rPr>
          <w:sz w:val="16"/>
        </w:rPr>
        <w:t>Véase</w:t>
      </w:r>
      <w:r>
        <w:rPr>
          <w:spacing w:val="-4"/>
          <w:sz w:val="16"/>
        </w:rPr>
        <w:t> </w:t>
      </w:r>
      <w:r>
        <w:rPr>
          <w:i/>
          <w:sz w:val="16"/>
        </w:rPr>
        <w:t>infra,</w:t>
      </w:r>
      <w:r>
        <w:rPr>
          <w:i/>
          <w:spacing w:val="-4"/>
          <w:sz w:val="16"/>
        </w:rPr>
        <w:t> </w:t>
      </w:r>
      <w:r>
        <w:rPr>
          <w:sz w:val="16"/>
        </w:rPr>
        <w:t>apartado</w:t>
      </w:r>
      <w:r>
        <w:rPr>
          <w:spacing w:val="-3"/>
          <w:sz w:val="16"/>
        </w:rPr>
        <w:t> </w:t>
      </w:r>
      <w:r>
        <w:rPr>
          <w:sz w:val="16"/>
        </w:rPr>
        <w:t>IV</w:t>
      </w:r>
      <w:r>
        <w:rPr>
          <w:spacing w:val="-4"/>
          <w:sz w:val="16"/>
        </w:rPr>
        <w:t> </w:t>
      </w:r>
      <w:r>
        <w:rPr>
          <w:sz w:val="16"/>
        </w:rPr>
        <w:t>del</w:t>
      </w:r>
      <w:r>
        <w:rPr>
          <w:spacing w:val="-4"/>
          <w:sz w:val="16"/>
        </w:rPr>
        <w:t> </w:t>
      </w:r>
      <w:r>
        <w:rPr>
          <w:sz w:val="16"/>
        </w:rPr>
        <w:t>presente</w:t>
      </w:r>
      <w:r>
        <w:rPr>
          <w:spacing w:val="-4"/>
          <w:sz w:val="16"/>
        </w:rPr>
        <w:t> </w:t>
      </w:r>
      <w:r>
        <w:rPr>
          <w:sz w:val="16"/>
        </w:rPr>
        <w:t>Voto</w:t>
      </w:r>
      <w:r>
        <w:rPr>
          <w:spacing w:val="-3"/>
          <w:sz w:val="16"/>
        </w:rPr>
        <w:t> </w:t>
      </w:r>
      <w:r>
        <w:rPr>
          <w:sz w:val="16"/>
        </w:rPr>
        <w:t>razonado:</w:t>
      </w:r>
      <w:r>
        <w:rPr>
          <w:spacing w:val="-4"/>
          <w:sz w:val="16"/>
        </w:rPr>
        <w:t> </w:t>
      </w:r>
      <w:r>
        <w:rPr>
          <w:sz w:val="16"/>
        </w:rPr>
        <w:t>“Los</w:t>
      </w:r>
      <w:r>
        <w:rPr>
          <w:spacing w:val="-3"/>
          <w:sz w:val="16"/>
        </w:rPr>
        <w:t> </w:t>
      </w:r>
      <w:r>
        <w:rPr>
          <w:i/>
          <w:sz w:val="16"/>
        </w:rPr>
        <w:t>amici</w:t>
      </w:r>
      <w:r>
        <w:rPr>
          <w:i/>
          <w:spacing w:val="-3"/>
          <w:sz w:val="16"/>
        </w:rPr>
        <w:t> </w:t>
      </w:r>
      <w:r>
        <w:rPr>
          <w:i/>
          <w:sz w:val="16"/>
        </w:rPr>
        <w:t>curiae</w:t>
      </w:r>
      <w:r>
        <w:rPr>
          <w:i/>
          <w:spacing w:val="-4"/>
          <w:sz w:val="16"/>
        </w:rPr>
        <w:t> </w:t>
      </w:r>
      <w:r>
        <w:rPr>
          <w:sz w:val="16"/>
        </w:rPr>
        <w:t>como</w:t>
      </w:r>
      <w:r>
        <w:rPr>
          <w:spacing w:val="-3"/>
          <w:sz w:val="16"/>
        </w:rPr>
        <w:t> </w:t>
      </w:r>
      <w:r>
        <w:rPr>
          <w:sz w:val="16"/>
        </w:rPr>
        <w:t>medio</w:t>
      </w:r>
      <w:r>
        <w:rPr>
          <w:spacing w:val="-4"/>
          <w:sz w:val="16"/>
        </w:rPr>
        <w:t> </w:t>
      </w:r>
      <w:r>
        <w:rPr>
          <w:sz w:val="16"/>
        </w:rPr>
        <w:t>de</w:t>
      </w:r>
      <w:r>
        <w:rPr>
          <w:spacing w:val="-4"/>
          <w:sz w:val="16"/>
        </w:rPr>
        <w:t> </w:t>
      </w:r>
      <w:r>
        <w:rPr>
          <w:sz w:val="16"/>
        </w:rPr>
        <w:t>diálogo de</w:t>
      </w:r>
      <w:r>
        <w:rPr>
          <w:spacing w:val="-2"/>
          <w:sz w:val="16"/>
        </w:rPr>
        <w:t> </w:t>
      </w:r>
      <w:r>
        <w:rPr>
          <w:sz w:val="16"/>
        </w:rPr>
        <w:t>la</w:t>
      </w:r>
    </w:p>
    <w:p>
      <w:pPr>
        <w:spacing w:before="0"/>
        <w:ind w:left="118" w:right="0" w:firstLine="0"/>
        <w:jc w:val="both"/>
        <w:rPr>
          <w:sz w:val="16"/>
        </w:rPr>
      </w:pPr>
      <w:r>
        <w:rPr>
          <w:sz w:val="16"/>
        </w:rPr>
        <w:t>sociedad civil con la Corte Interamericana”.</w:t>
      </w:r>
    </w:p>
    <w:p>
      <w:pPr>
        <w:tabs>
          <w:tab w:pos="826" w:val="left" w:leader="none"/>
        </w:tabs>
        <w:spacing w:before="120"/>
        <w:ind w:left="118" w:right="310" w:firstLine="0"/>
        <w:jc w:val="both"/>
        <w:rPr>
          <w:sz w:val="16"/>
        </w:rPr>
      </w:pPr>
      <w:r>
        <w:rPr>
          <w:rFonts w:ascii="Times New Roman" w:hAnsi="Times New Roman"/>
          <w:position w:val="6"/>
          <w:sz w:val="10"/>
        </w:rPr>
        <w:t>14</w:t>
        <w:tab/>
      </w:r>
      <w:r>
        <w:rPr>
          <w:sz w:val="16"/>
        </w:rPr>
        <w:t>Véanse</w:t>
      </w:r>
      <w:r>
        <w:rPr>
          <w:spacing w:val="-14"/>
          <w:sz w:val="16"/>
        </w:rPr>
        <w:t> </w:t>
      </w:r>
      <w:r>
        <w:rPr>
          <w:sz w:val="16"/>
        </w:rPr>
        <w:t>los</w:t>
      </w:r>
      <w:r>
        <w:rPr>
          <w:spacing w:val="-14"/>
          <w:sz w:val="16"/>
        </w:rPr>
        <w:t> </w:t>
      </w:r>
      <w:r>
        <w:rPr>
          <w:sz w:val="16"/>
        </w:rPr>
        <w:t>votos</w:t>
      </w:r>
      <w:r>
        <w:rPr>
          <w:spacing w:val="-14"/>
          <w:sz w:val="16"/>
        </w:rPr>
        <w:t> </w:t>
      </w:r>
      <w:r>
        <w:rPr>
          <w:sz w:val="16"/>
        </w:rPr>
        <w:t>que</w:t>
      </w:r>
      <w:r>
        <w:rPr>
          <w:spacing w:val="-14"/>
          <w:sz w:val="16"/>
        </w:rPr>
        <w:t> </w:t>
      </w:r>
      <w:r>
        <w:rPr>
          <w:sz w:val="16"/>
        </w:rPr>
        <w:t>sobre</w:t>
      </w:r>
      <w:r>
        <w:rPr>
          <w:spacing w:val="-14"/>
          <w:sz w:val="16"/>
        </w:rPr>
        <w:t> </w:t>
      </w:r>
      <w:r>
        <w:rPr>
          <w:sz w:val="16"/>
        </w:rPr>
        <w:t>la</w:t>
      </w:r>
      <w:r>
        <w:rPr>
          <w:spacing w:val="-13"/>
          <w:sz w:val="16"/>
        </w:rPr>
        <w:t> </w:t>
      </w:r>
      <w:r>
        <w:rPr>
          <w:sz w:val="16"/>
        </w:rPr>
        <w:t>materia</w:t>
      </w:r>
      <w:r>
        <w:rPr>
          <w:spacing w:val="-14"/>
          <w:sz w:val="16"/>
        </w:rPr>
        <w:t> </w:t>
      </w:r>
      <w:r>
        <w:rPr>
          <w:sz w:val="16"/>
        </w:rPr>
        <w:t>he</w:t>
      </w:r>
      <w:r>
        <w:rPr>
          <w:spacing w:val="-14"/>
          <w:sz w:val="16"/>
        </w:rPr>
        <w:t> </w:t>
      </w:r>
      <w:r>
        <w:rPr>
          <w:sz w:val="16"/>
        </w:rPr>
        <w:t>formulado</w:t>
      </w:r>
      <w:r>
        <w:rPr>
          <w:spacing w:val="-12"/>
          <w:sz w:val="16"/>
        </w:rPr>
        <w:t> </w:t>
      </w:r>
      <w:r>
        <w:rPr>
          <w:sz w:val="16"/>
        </w:rPr>
        <w:t>en</w:t>
      </w:r>
      <w:r>
        <w:rPr>
          <w:spacing w:val="-13"/>
          <w:sz w:val="16"/>
        </w:rPr>
        <w:t> </w:t>
      </w:r>
      <w:r>
        <w:rPr>
          <w:sz w:val="16"/>
        </w:rPr>
        <w:t>las</w:t>
      </w:r>
      <w:r>
        <w:rPr>
          <w:spacing w:val="-13"/>
          <w:sz w:val="16"/>
        </w:rPr>
        <w:t> </w:t>
      </w:r>
      <w:r>
        <w:rPr>
          <w:sz w:val="16"/>
        </w:rPr>
        <w:t>siguientes</w:t>
      </w:r>
      <w:r>
        <w:rPr>
          <w:spacing w:val="-15"/>
          <w:sz w:val="16"/>
        </w:rPr>
        <w:t> </w:t>
      </w:r>
      <w:r>
        <w:rPr>
          <w:sz w:val="16"/>
        </w:rPr>
        <w:t>sentencias:</w:t>
      </w:r>
      <w:r>
        <w:rPr>
          <w:spacing w:val="-11"/>
          <w:sz w:val="16"/>
        </w:rPr>
        <w:t> </w:t>
      </w:r>
      <w:r>
        <w:rPr>
          <w:i/>
          <w:sz w:val="16"/>
        </w:rPr>
        <w:t>Caso</w:t>
      </w:r>
      <w:r>
        <w:rPr>
          <w:i/>
          <w:spacing w:val="-14"/>
          <w:sz w:val="16"/>
        </w:rPr>
        <w:t> </w:t>
      </w:r>
      <w:r>
        <w:rPr>
          <w:i/>
          <w:sz w:val="16"/>
        </w:rPr>
        <w:t>Suárez</w:t>
      </w:r>
      <w:r>
        <w:rPr>
          <w:i/>
          <w:spacing w:val="-14"/>
          <w:sz w:val="16"/>
        </w:rPr>
        <w:t> </w:t>
      </w:r>
      <w:r>
        <w:rPr>
          <w:i/>
          <w:sz w:val="16"/>
        </w:rPr>
        <w:t>Peralta</w:t>
      </w:r>
      <w:r>
        <w:rPr>
          <w:i/>
          <w:w w:val="99"/>
          <w:sz w:val="16"/>
        </w:rPr>
        <w:t> </w:t>
      </w:r>
      <w:r>
        <w:rPr>
          <w:i/>
          <w:sz w:val="16"/>
        </w:rPr>
        <w:t>Vs. Ecuador. Excepciones Preliminares, Fondo, Reparaciones y Costas. </w:t>
      </w:r>
      <w:r>
        <w:rPr>
          <w:sz w:val="16"/>
        </w:rPr>
        <w:t>Sentencia de 21 de mayo de 2013. Serie C No. 261; </w:t>
      </w:r>
      <w:r>
        <w:rPr>
          <w:i/>
          <w:sz w:val="16"/>
        </w:rPr>
        <w:t>Caso Canales Huapaya y otros Vs. Perú. Excepciones Preliminares, Fondo, Reparaciones y </w:t>
      </w:r>
      <w:r>
        <w:rPr>
          <w:i/>
          <w:sz w:val="16"/>
        </w:rPr>
        <w:t>Costas</w:t>
      </w:r>
      <w:r>
        <w:rPr>
          <w:sz w:val="16"/>
        </w:rPr>
        <w:t>. Sentencia de 24 de junio de 2015. Serie C No. 296; </w:t>
      </w:r>
      <w:r>
        <w:rPr>
          <w:i/>
          <w:sz w:val="16"/>
        </w:rPr>
        <w:t>Caso Gonzales Lluy y otros Vs. Ecuador. </w:t>
      </w:r>
      <w:r>
        <w:rPr>
          <w:i/>
          <w:sz w:val="16"/>
        </w:rPr>
        <w:t>Excepciones</w:t>
      </w:r>
      <w:r>
        <w:rPr>
          <w:i/>
          <w:spacing w:val="-4"/>
          <w:sz w:val="16"/>
        </w:rPr>
        <w:t> </w:t>
      </w:r>
      <w:r>
        <w:rPr>
          <w:i/>
          <w:sz w:val="16"/>
        </w:rPr>
        <w:t>Preliminares,</w:t>
      </w:r>
      <w:r>
        <w:rPr>
          <w:i/>
          <w:spacing w:val="-4"/>
          <w:sz w:val="16"/>
        </w:rPr>
        <w:t> </w:t>
      </w:r>
      <w:r>
        <w:rPr>
          <w:i/>
          <w:sz w:val="16"/>
        </w:rPr>
        <w:t>Fondo,</w:t>
      </w:r>
      <w:r>
        <w:rPr>
          <w:i/>
          <w:spacing w:val="-4"/>
          <w:sz w:val="16"/>
        </w:rPr>
        <w:t> </w:t>
      </w:r>
      <w:r>
        <w:rPr>
          <w:i/>
          <w:sz w:val="16"/>
        </w:rPr>
        <w:t>Reparaciones</w:t>
      </w:r>
      <w:r>
        <w:rPr>
          <w:i/>
          <w:spacing w:val="-4"/>
          <w:sz w:val="16"/>
        </w:rPr>
        <w:t> </w:t>
      </w:r>
      <w:r>
        <w:rPr>
          <w:i/>
          <w:sz w:val="16"/>
        </w:rPr>
        <w:t>y</w:t>
      </w:r>
      <w:r>
        <w:rPr>
          <w:i/>
          <w:spacing w:val="-3"/>
          <w:sz w:val="16"/>
        </w:rPr>
        <w:t> </w:t>
      </w:r>
      <w:r>
        <w:rPr>
          <w:i/>
          <w:sz w:val="16"/>
        </w:rPr>
        <w:t>Costas</w:t>
      </w:r>
      <w:r>
        <w:rPr>
          <w:sz w:val="16"/>
        </w:rPr>
        <w:t>.</w:t>
      </w:r>
      <w:r>
        <w:rPr>
          <w:spacing w:val="-4"/>
          <w:sz w:val="16"/>
        </w:rPr>
        <w:t> </w:t>
      </w:r>
      <w:r>
        <w:rPr>
          <w:sz w:val="16"/>
        </w:rPr>
        <w:t>Sentencia</w:t>
      </w:r>
      <w:r>
        <w:rPr>
          <w:spacing w:val="-3"/>
          <w:sz w:val="16"/>
        </w:rPr>
        <w:t> </w:t>
      </w:r>
      <w:r>
        <w:rPr>
          <w:sz w:val="16"/>
        </w:rPr>
        <w:t>de</w:t>
      </w:r>
      <w:r>
        <w:rPr>
          <w:spacing w:val="-4"/>
          <w:sz w:val="16"/>
        </w:rPr>
        <w:t> </w:t>
      </w:r>
      <w:r>
        <w:rPr>
          <w:sz w:val="16"/>
        </w:rPr>
        <w:t>1</w:t>
      </w:r>
      <w:r>
        <w:rPr>
          <w:spacing w:val="-3"/>
          <w:sz w:val="16"/>
        </w:rPr>
        <w:t> </w:t>
      </w:r>
      <w:r>
        <w:rPr>
          <w:sz w:val="16"/>
        </w:rPr>
        <w:t>de</w:t>
      </w:r>
      <w:r>
        <w:rPr>
          <w:spacing w:val="-4"/>
          <w:sz w:val="16"/>
        </w:rPr>
        <w:t> </w:t>
      </w:r>
      <w:r>
        <w:rPr>
          <w:sz w:val="16"/>
        </w:rPr>
        <w:t>septiembre</w:t>
      </w:r>
      <w:r>
        <w:rPr>
          <w:spacing w:val="-2"/>
          <w:sz w:val="16"/>
        </w:rPr>
        <w:t> </w:t>
      </w:r>
      <w:r>
        <w:rPr>
          <w:sz w:val="16"/>
        </w:rPr>
        <w:t>de</w:t>
      </w:r>
      <w:r>
        <w:rPr>
          <w:spacing w:val="-4"/>
          <w:sz w:val="16"/>
        </w:rPr>
        <w:t> </w:t>
      </w:r>
      <w:r>
        <w:rPr>
          <w:sz w:val="16"/>
        </w:rPr>
        <w:t>2015.</w:t>
      </w:r>
      <w:r>
        <w:rPr>
          <w:spacing w:val="-4"/>
          <w:sz w:val="16"/>
        </w:rPr>
        <w:t> </w:t>
      </w:r>
      <w:r>
        <w:rPr>
          <w:sz w:val="16"/>
        </w:rPr>
        <w:t>Serie</w:t>
      </w:r>
      <w:r>
        <w:rPr>
          <w:spacing w:val="-5"/>
          <w:sz w:val="16"/>
        </w:rPr>
        <w:t> </w:t>
      </w:r>
      <w:r>
        <w:rPr>
          <w:sz w:val="16"/>
        </w:rPr>
        <w:t>C</w:t>
      </w:r>
      <w:r>
        <w:rPr>
          <w:spacing w:val="-3"/>
          <w:sz w:val="16"/>
        </w:rPr>
        <w:t> </w:t>
      </w:r>
      <w:r>
        <w:rPr>
          <w:sz w:val="16"/>
        </w:rPr>
        <w:t>No. 298; </w:t>
      </w:r>
      <w:r>
        <w:rPr>
          <w:i/>
          <w:sz w:val="16"/>
        </w:rPr>
        <w:t>Caso Chinchilla Sandoval y otros Vs. Guatemala. Excepción Preliminar, Fondo, Reparaciones y Costas</w:t>
      </w:r>
      <w:r>
        <w:rPr>
          <w:sz w:val="16"/>
        </w:rPr>
        <w:t>. Sentencia</w:t>
      </w:r>
      <w:r>
        <w:rPr>
          <w:spacing w:val="-6"/>
          <w:sz w:val="16"/>
        </w:rPr>
        <w:t> </w:t>
      </w:r>
      <w:r>
        <w:rPr>
          <w:sz w:val="16"/>
        </w:rPr>
        <w:t>de</w:t>
      </w:r>
      <w:r>
        <w:rPr>
          <w:spacing w:val="-6"/>
          <w:sz w:val="16"/>
        </w:rPr>
        <w:t> </w:t>
      </w:r>
      <w:r>
        <w:rPr>
          <w:sz w:val="16"/>
        </w:rPr>
        <w:t>29</w:t>
      </w:r>
      <w:r>
        <w:rPr>
          <w:spacing w:val="-6"/>
          <w:sz w:val="16"/>
        </w:rPr>
        <w:t> </w:t>
      </w:r>
      <w:r>
        <w:rPr>
          <w:sz w:val="16"/>
        </w:rPr>
        <w:t>de</w:t>
      </w:r>
      <w:r>
        <w:rPr>
          <w:spacing w:val="-6"/>
          <w:sz w:val="16"/>
        </w:rPr>
        <w:t> </w:t>
      </w:r>
      <w:r>
        <w:rPr>
          <w:sz w:val="16"/>
        </w:rPr>
        <w:t>febrero</w:t>
      </w:r>
      <w:r>
        <w:rPr>
          <w:spacing w:val="-6"/>
          <w:sz w:val="16"/>
        </w:rPr>
        <w:t> </w:t>
      </w:r>
      <w:r>
        <w:rPr>
          <w:sz w:val="16"/>
        </w:rPr>
        <w:t>de</w:t>
      </w:r>
      <w:r>
        <w:rPr>
          <w:spacing w:val="-6"/>
          <w:sz w:val="16"/>
        </w:rPr>
        <w:t> </w:t>
      </w:r>
      <w:r>
        <w:rPr>
          <w:sz w:val="16"/>
        </w:rPr>
        <w:t>2016.</w:t>
      </w:r>
      <w:r>
        <w:rPr>
          <w:spacing w:val="-6"/>
          <w:sz w:val="16"/>
        </w:rPr>
        <w:t> </w:t>
      </w:r>
      <w:r>
        <w:rPr>
          <w:sz w:val="16"/>
        </w:rPr>
        <w:t>Serie</w:t>
      </w:r>
      <w:r>
        <w:rPr>
          <w:spacing w:val="-6"/>
          <w:sz w:val="16"/>
        </w:rPr>
        <w:t> </w:t>
      </w:r>
      <w:r>
        <w:rPr>
          <w:sz w:val="16"/>
        </w:rPr>
        <w:t>C</w:t>
      </w:r>
      <w:r>
        <w:rPr>
          <w:spacing w:val="-6"/>
          <w:sz w:val="16"/>
        </w:rPr>
        <w:t> </w:t>
      </w:r>
      <w:r>
        <w:rPr>
          <w:sz w:val="16"/>
        </w:rPr>
        <w:t>No.</w:t>
      </w:r>
      <w:r>
        <w:rPr>
          <w:spacing w:val="-6"/>
          <w:sz w:val="16"/>
        </w:rPr>
        <w:t> </w:t>
      </w:r>
      <w:r>
        <w:rPr>
          <w:sz w:val="16"/>
        </w:rPr>
        <w:t>312;</w:t>
      </w:r>
      <w:r>
        <w:rPr>
          <w:spacing w:val="-4"/>
          <w:sz w:val="16"/>
        </w:rPr>
        <w:t> </w:t>
      </w:r>
      <w:r>
        <w:rPr>
          <w:i/>
          <w:sz w:val="16"/>
        </w:rPr>
        <w:t>Caso</w:t>
      </w:r>
      <w:r>
        <w:rPr>
          <w:i/>
          <w:spacing w:val="-6"/>
          <w:sz w:val="16"/>
        </w:rPr>
        <w:t> </w:t>
      </w:r>
      <w:r>
        <w:rPr>
          <w:i/>
          <w:sz w:val="16"/>
        </w:rPr>
        <w:t>I.V.</w:t>
      </w:r>
      <w:r>
        <w:rPr>
          <w:i/>
          <w:spacing w:val="-6"/>
          <w:sz w:val="16"/>
        </w:rPr>
        <w:t> </w:t>
      </w:r>
      <w:r>
        <w:rPr>
          <w:i/>
          <w:sz w:val="16"/>
        </w:rPr>
        <w:t>Vs.</w:t>
      </w:r>
      <w:r>
        <w:rPr>
          <w:i/>
          <w:spacing w:val="-6"/>
          <w:sz w:val="16"/>
        </w:rPr>
        <w:t> </w:t>
      </w:r>
      <w:r>
        <w:rPr>
          <w:i/>
          <w:sz w:val="16"/>
        </w:rPr>
        <w:t>Bolivia.</w:t>
      </w:r>
      <w:r>
        <w:rPr>
          <w:i/>
          <w:spacing w:val="-6"/>
          <w:sz w:val="16"/>
        </w:rPr>
        <w:t> </w:t>
      </w:r>
      <w:r>
        <w:rPr>
          <w:i/>
          <w:sz w:val="16"/>
        </w:rPr>
        <w:t>Excepciones</w:t>
      </w:r>
      <w:r>
        <w:rPr>
          <w:i/>
          <w:spacing w:val="-6"/>
          <w:sz w:val="16"/>
        </w:rPr>
        <w:t> </w:t>
      </w:r>
      <w:r>
        <w:rPr>
          <w:i/>
          <w:sz w:val="16"/>
        </w:rPr>
        <w:t>Preliminares,</w:t>
      </w:r>
      <w:r>
        <w:rPr>
          <w:i/>
          <w:spacing w:val="-6"/>
          <w:sz w:val="16"/>
        </w:rPr>
        <w:t> </w:t>
      </w:r>
      <w:r>
        <w:rPr>
          <w:i/>
          <w:sz w:val="16"/>
        </w:rPr>
        <w:t>Fondo, </w:t>
      </w:r>
      <w:r>
        <w:rPr>
          <w:i/>
          <w:sz w:val="16"/>
        </w:rPr>
        <w:t>Reparaciones y Costas</w:t>
      </w:r>
      <w:r>
        <w:rPr>
          <w:sz w:val="16"/>
        </w:rPr>
        <w:t>. Sentencia de 30 de noviembre de 2016. Serie C No. 329; </w:t>
      </w:r>
      <w:r>
        <w:rPr>
          <w:i/>
          <w:sz w:val="16"/>
        </w:rPr>
        <w:t>Caso Yarce y otras Vs. </w:t>
      </w:r>
      <w:r>
        <w:rPr>
          <w:i/>
          <w:sz w:val="16"/>
        </w:rPr>
        <w:t>Colombia.</w:t>
      </w:r>
      <w:r>
        <w:rPr>
          <w:i/>
          <w:spacing w:val="-9"/>
          <w:sz w:val="16"/>
        </w:rPr>
        <w:t> </w:t>
      </w:r>
      <w:r>
        <w:rPr>
          <w:i/>
          <w:sz w:val="16"/>
        </w:rPr>
        <w:t>Excepción</w:t>
      </w:r>
      <w:r>
        <w:rPr>
          <w:i/>
          <w:spacing w:val="-8"/>
          <w:sz w:val="16"/>
        </w:rPr>
        <w:t> </w:t>
      </w:r>
      <w:r>
        <w:rPr>
          <w:i/>
          <w:sz w:val="16"/>
        </w:rPr>
        <w:t>Preliminar,</w:t>
      </w:r>
      <w:r>
        <w:rPr>
          <w:i/>
          <w:spacing w:val="-9"/>
          <w:sz w:val="16"/>
        </w:rPr>
        <w:t> </w:t>
      </w:r>
      <w:r>
        <w:rPr>
          <w:i/>
          <w:sz w:val="16"/>
        </w:rPr>
        <w:t>Fondo,</w:t>
      </w:r>
      <w:r>
        <w:rPr>
          <w:i/>
          <w:spacing w:val="-9"/>
          <w:sz w:val="16"/>
        </w:rPr>
        <w:t> </w:t>
      </w:r>
      <w:r>
        <w:rPr>
          <w:i/>
          <w:sz w:val="16"/>
        </w:rPr>
        <w:t>Reparaciones</w:t>
      </w:r>
      <w:r>
        <w:rPr>
          <w:i/>
          <w:spacing w:val="-9"/>
          <w:sz w:val="16"/>
        </w:rPr>
        <w:t> </w:t>
      </w:r>
      <w:r>
        <w:rPr>
          <w:i/>
          <w:sz w:val="16"/>
        </w:rPr>
        <w:t>y</w:t>
      </w:r>
      <w:r>
        <w:rPr>
          <w:i/>
          <w:spacing w:val="-8"/>
          <w:sz w:val="16"/>
        </w:rPr>
        <w:t> </w:t>
      </w:r>
      <w:r>
        <w:rPr>
          <w:i/>
          <w:sz w:val="16"/>
        </w:rPr>
        <w:t>Costas.</w:t>
      </w:r>
      <w:r>
        <w:rPr>
          <w:i/>
          <w:spacing w:val="-6"/>
          <w:sz w:val="16"/>
        </w:rPr>
        <w:t> </w:t>
      </w:r>
      <w:r>
        <w:rPr>
          <w:sz w:val="16"/>
        </w:rPr>
        <w:t>Sentencia</w:t>
      </w:r>
      <w:r>
        <w:rPr>
          <w:spacing w:val="-7"/>
          <w:sz w:val="16"/>
        </w:rPr>
        <w:t> </w:t>
      </w:r>
      <w:r>
        <w:rPr>
          <w:sz w:val="16"/>
        </w:rPr>
        <w:t>de</w:t>
      </w:r>
      <w:r>
        <w:rPr>
          <w:spacing w:val="-8"/>
          <w:sz w:val="16"/>
        </w:rPr>
        <w:t> </w:t>
      </w:r>
      <w:r>
        <w:rPr>
          <w:sz w:val="16"/>
        </w:rPr>
        <w:t>22</w:t>
      </w:r>
      <w:r>
        <w:rPr>
          <w:spacing w:val="-8"/>
          <w:sz w:val="16"/>
        </w:rPr>
        <w:t> </w:t>
      </w:r>
      <w:r>
        <w:rPr>
          <w:sz w:val="16"/>
        </w:rPr>
        <w:t>de</w:t>
      </w:r>
      <w:r>
        <w:rPr>
          <w:spacing w:val="-8"/>
          <w:sz w:val="16"/>
        </w:rPr>
        <w:t> </w:t>
      </w:r>
      <w:r>
        <w:rPr>
          <w:sz w:val="16"/>
        </w:rPr>
        <w:t>noviembre</w:t>
      </w:r>
      <w:r>
        <w:rPr>
          <w:spacing w:val="-8"/>
          <w:sz w:val="16"/>
        </w:rPr>
        <w:t> </w:t>
      </w:r>
      <w:r>
        <w:rPr>
          <w:sz w:val="16"/>
        </w:rPr>
        <w:t>de</w:t>
      </w:r>
      <w:r>
        <w:rPr>
          <w:spacing w:val="-9"/>
          <w:sz w:val="16"/>
        </w:rPr>
        <w:t> </w:t>
      </w:r>
      <w:r>
        <w:rPr>
          <w:sz w:val="16"/>
        </w:rPr>
        <w:t>2016.</w:t>
      </w:r>
      <w:r>
        <w:rPr>
          <w:spacing w:val="-9"/>
          <w:sz w:val="16"/>
        </w:rPr>
        <w:t> </w:t>
      </w:r>
      <w:r>
        <w:rPr>
          <w:sz w:val="16"/>
        </w:rPr>
        <w:t>Serie C No. 325; </w:t>
      </w:r>
      <w:r>
        <w:rPr>
          <w:i/>
          <w:sz w:val="16"/>
        </w:rPr>
        <w:t>Caso Lagos del Campo Vs. Perú. Excepciones Preliminares, Fondo, Reparaciones y Costas. </w:t>
      </w:r>
      <w:r>
        <w:rPr>
          <w:sz w:val="16"/>
        </w:rPr>
        <w:t>Sentencia de 31 de agosto de 2017. Serie C No. 340; </w:t>
      </w:r>
      <w:r>
        <w:rPr>
          <w:i/>
          <w:sz w:val="16"/>
        </w:rPr>
        <w:t>Caso Vereda La Esperanza Vs. Colombia. Excepciones </w:t>
      </w:r>
      <w:r>
        <w:rPr>
          <w:i/>
          <w:sz w:val="16"/>
        </w:rPr>
        <w:t>Preliminares, Fondo, Reparaciones y Costas</w:t>
      </w:r>
      <w:r>
        <w:rPr>
          <w:sz w:val="16"/>
        </w:rPr>
        <w:t>. Sentencia de 31 de agosto de 2017. Serie C No. 341; </w:t>
      </w:r>
      <w:r>
        <w:rPr>
          <w:i/>
          <w:sz w:val="16"/>
        </w:rPr>
        <w:t>Caso San </w:t>
      </w:r>
      <w:r>
        <w:rPr>
          <w:i/>
          <w:sz w:val="16"/>
        </w:rPr>
        <w:t>Miguel Sosa y otras Vs. Venezuela. Fondo, Reparaciones y Costas</w:t>
      </w:r>
      <w:r>
        <w:rPr>
          <w:sz w:val="16"/>
        </w:rPr>
        <w:t>. Sentencia de 8 de febrero de 2018. Serie C No. 348; </w:t>
      </w:r>
      <w:r>
        <w:rPr>
          <w:i/>
          <w:sz w:val="16"/>
        </w:rPr>
        <w:t>Caso Cuscul Pivaral y otros Vs. Guatemala. Excepción Preliminar, Fondo, Reparaciones y Costas. </w:t>
      </w:r>
      <w:r>
        <w:rPr>
          <w:sz w:val="16"/>
        </w:rPr>
        <w:t>Sentencia de 23 de agosto de 2018. Serie C No. 359; </w:t>
      </w:r>
      <w:r>
        <w:rPr>
          <w:i/>
          <w:sz w:val="16"/>
        </w:rPr>
        <w:t>Caso Muelle Flores Vs. Perú. Excepciones</w:t>
      </w:r>
      <w:r>
        <w:rPr>
          <w:i/>
          <w:spacing w:val="-34"/>
          <w:sz w:val="16"/>
        </w:rPr>
        <w:t> </w:t>
      </w:r>
      <w:r>
        <w:rPr>
          <w:i/>
          <w:sz w:val="16"/>
        </w:rPr>
        <w:t>Preliminares, </w:t>
      </w:r>
      <w:r>
        <w:rPr>
          <w:i/>
          <w:sz w:val="16"/>
        </w:rPr>
        <w:t>Fondo, Reparaciones y Costas. </w:t>
      </w:r>
      <w:r>
        <w:rPr>
          <w:sz w:val="16"/>
        </w:rPr>
        <w:t>Sentencia de 6 de marzo de 2019. Serie C No. 375 y </w:t>
      </w:r>
      <w:r>
        <w:rPr>
          <w:i/>
          <w:sz w:val="16"/>
        </w:rPr>
        <w:t>Caso Hernández Vs. </w:t>
      </w:r>
      <w:r>
        <w:rPr>
          <w:i/>
          <w:sz w:val="16"/>
        </w:rPr>
        <w:t>Argentina.</w:t>
      </w:r>
      <w:r>
        <w:rPr>
          <w:i/>
          <w:spacing w:val="-11"/>
          <w:sz w:val="16"/>
        </w:rPr>
        <w:t> </w:t>
      </w:r>
      <w:r>
        <w:rPr>
          <w:i/>
          <w:sz w:val="16"/>
        </w:rPr>
        <w:t>Excepción</w:t>
      </w:r>
      <w:r>
        <w:rPr>
          <w:i/>
          <w:spacing w:val="-11"/>
          <w:sz w:val="16"/>
        </w:rPr>
        <w:t> </w:t>
      </w:r>
      <w:r>
        <w:rPr>
          <w:i/>
          <w:sz w:val="16"/>
        </w:rPr>
        <w:t>Preliminar,</w:t>
      </w:r>
      <w:r>
        <w:rPr>
          <w:i/>
          <w:spacing w:val="-11"/>
          <w:sz w:val="16"/>
        </w:rPr>
        <w:t> </w:t>
      </w:r>
      <w:r>
        <w:rPr>
          <w:i/>
          <w:sz w:val="16"/>
        </w:rPr>
        <w:t>Fondo,</w:t>
      </w:r>
      <w:r>
        <w:rPr>
          <w:i/>
          <w:spacing w:val="-11"/>
          <w:sz w:val="16"/>
        </w:rPr>
        <w:t> </w:t>
      </w:r>
      <w:r>
        <w:rPr>
          <w:i/>
          <w:sz w:val="16"/>
        </w:rPr>
        <w:t>Reparaciones</w:t>
      </w:r>
      <w:r>
        <w:rPr>
          <w:i/>
          <w:spacing w:val="-11"/>
          <w:sz w:val="16"/>
        </w:rPr>
        <w:t> </w:t>
      </w:r>
      <w:r>
        <w:rPr>
          <w:i/>
          <w:sz w:val="16"/>
        </w:rPr>
        <w:t>y</w:t>
      </w:r>
      <w:r>
        <w:rPr>
          <w:i/>
          <w:spacing w:val="-10"/>
          <w:sz w:val="16"/>
        </w:rPr>
        <w:t> </w:t>
      </w:r>
      <w:r>
        <w:rPr>
          <w:i/>
          <w:sz w:val="16"/>
        </w:rPr>
        <w:t>Costas.</w:t>
      </w:r>
      <w:r>
        <w:rPr>
          <w:i/>
          <w:spacing w:val="-11"/>
          <w:sz w:val="16"/>
        </w:rPr>
        <w:t> </w:t>
      </w:r>
      <w:r>
        <w:rPr>
          <w:sz w:val="16"/>
        </w:rPr>
        <w:t>Sentencia</w:t>
      </w:r>
      <w:r>
        <w:rPr>
          <w:spacing w:val="-10"/>
          <w:sz w:val="16"/>
        </w:rPr>
        <w:t> </w:t>
      </w:r>
      <w:r>
        <w:rPr>
          <w:sz w:val="16"/>
        </w:rPr>
        <w:t>de</w:t>
      </w:r>
      <w:r>
        <w:rPr>
          <w:spacing w:val="-11"/>
          <w:sz w:val="16"/>
        </w:rPr>
        <w:t> </w:t>
      </w:r>
      <w:r>
        <w:rPr>
          <w:sz w:val="16"/>
        </w:rPr>
        <w:t>22</w:t>
      </w:r>
      <w:r>
        <w:rPr>
          <w:spacing w:val="-10"/>
          <w:sz w:val="16"/>
        </w:rPr>
        <w:t> </w:t>
      </w:r>
      <w:r>
        <w:rPr>
          <w:sz w:val="16"/>
        </w:rPr>
        <w:t>de</w:t>
      </w:r>
      <w:r>
        <w:rPr>
          <w:spacing w:val="-11"/>
          <w:sz w:val="16"/>
        </w:rPr>
        <w:t> </w:t>
      </w:r>
      <w:r>
        <w:rPr>
          <w:sz w:val="16"/>
        </w:rPr>
        <w:t>noviembre</w:t>
      </w:r>
      <w:r>
        <w:rPr>
          <w:spacing w:val="-11"/>
          <w:sz w:val="16"/>
        </w:rPr>
        <w:t> </w:t>
      </w:r>
      <w:r>
        <w:rPr>
          <w:sz w:val="16"/>
        </w:rPr>
        <w:t>de</w:t>
      </w:r>
      <w:r>
        <w:rPr>
          <w:spacing w:val="-11"/>
          <w:sz w:val="16"/>
        </w:rPr>
        <w:t> </w:t>
      </w:r>
      <w:r>
        <w:rPr>
          <w:sz w:val="16"/>
        </w:rPr>
        <w:t>2019.</w:t>
      </w:r>
      <w:r>
        <w:rPr>
          <w:spacing w:val="-11"/>
          <w:sz w:val="16"/>
        </w:rPr>
        <w:t> </w:t>
      </w:r>
      <w:r>
        <w:rPr>
          <w:sz w:val="16"/>
        </w:rPr>
        <w:t>Serie C No.</w:t>
      </w:r>
      <w:r>
        <w:rPr>
          <w:spacing w:val="-4"/>
          <w:sz w:val="16"/>
        </w:rPr>
        <w:t> </w:t>
      </w:r>
      <w:r>
        <w:rPr>
          <w:sz w:val="16"/>
        </w:rPr>
        <w:t>395.</w:t>
      </w:r>
    </w:p>
    <w:p>
      <w:pPr>
        <w:spacing w:after="0"/>
        <w:jc w:val="both"/>
        <w:rPr>
          <w:sz w:val="16"/>
        </w:rPr>
        <w:sectPr>
          <w:pgSz w:w="12240" w:h="15840"/>
          <w:pgMar w:header="0" w:footer="782" w:top="1340" w:bottom="980" w:left="1300" w:right="1720"/>
        </w:sectPr>
      </w:pPr>
    </w:p>
    <w:p>
      <w:pPr>
        <w:pStyle w:val="BodyText"/>
        <w:spacing w:line="242" w:lineRule="auto" w:before="77"/>
        <w:ind w:left="118" w:right="307"/>
        <w:jc w:val="both"/>
      </w:pPr>
      <w:r>
        <w:rPr/>
        <w:t>de que la pertenencia de ésta no se centra en un individuo sino en el grupo y su comunidad”. Asimismo, se precisó que “[p]ara las comunidades indígenas la relación con</w:t>
      </w:r>
      <w:r>
        <w:rPr>
          <w:spacing w:val="-8"/>
        </w:rPr>
        <w:t> </w:t>
      </w:r>
      <w:r>
        <w:rPr/>
        <w:t>la</w:t>
      </w:r>
      <w:r>
        <w:rPr>
          <w:spacing w:val="-10"/>
        </w:rPr>
        <w:t> </w:t>
      </w:r>
      <w:r>
        <w:rPr/>
        <w:t>tierra</w:t>
      </w:r>
      <w:r>
        <w:rPr>
          <w:spacing w:val="-10"/>
        </w:rPr>
        <w:t> </w:t>
      </w:r>
      <w:r>
        <w:rPr/>
        <w:t>no</w:t>
      </w:r>
      <w:r>
        <w:rPr>
          <w:spacing w:val="-9"/>
        </w:rPr>
        <w:t> </w:t>
      </w:r>
      <w:r>
        <w:rPr/>
        <w:t>es</w:t>
      </w:r>
      <w:r>
        <w:rPr>
          <w:spacing w:val="-9"/>
        </w:rPr>
        <w:t> </w:t>
      </w:r>
      <w:r>
        <w:rPr/>
        <w:t>meramente</w:t>
      </w:r>
      <w:r>
        <w:rPr>
          <w:spacing w:val="-9"/>
        </w:rPr>
        <w:t> </w:t>
      </w:r>
      <w:r>
        <w:rPr/>
        <w:t>una</w:t>
      </w:r>
      <w:r>
        <w:rPr>
          <w:spacing w:val="-9"/>
        </w:rPr>
        <w:t> </w:t>
      </w:r>
      <w:r>
        <w:rPr/>
        <w:t>cuestión</w:t>
      </w:r>
      <w:r>
        <w:rPr>
          <w:spacing w:val="-8"/>
        </w:rPr>
        <w:t> </w:t>
      </w:r>
      <w:r>
        <w:rPr/>
        <w:t>de</w:t>
      </w:r>
      <w:r>
        <w:rPr>
          <w:spacing w:val="-9"/>
        </w:rPr>
        <w:t> </w:t>
      </w:r>
      <w:r>
        <w:rPr/>
        <w:t>posesión</w:t>
      </w:r>
      <w:r>
        <w:rPr>
          <w:spacing w:val="-9"/>
        </w:rPr>
        <w:t> </w:t>
      </w:r>
      <w:r>
        <w:rPr/>
        <w:t>y</w:t>
      </w:r>
      <w:r>
        <w:rPr>
          <w:spacing w:val="-9"/>
        </w:rPr>
        <w:t> </w:t>
      </w:r>
      <w:r>
        <w:rPr/>
        <w:t>producción,</w:t>
      </w:r>
      <w:r>
        <w:rPr>
          <w:spacing w:val="-9"/>
        </w:rPr>
        <w:t> </w:t>
      </w:r>
      <w:r>
        <w:rPr/>
        <w:t>sino</w:t>
      </w:r>
      <w:r>
        <w:rPr>
          <w:spacing w:val="-9"/>
        </w:rPr>
        <w:t> </w:t>
      </w:r>
      <w:r>
        <w:rPr/>
        <w:t>un</w:t>
      </w:r>
      <w:r>
        <w:rPr>
          <w:spacing w:val="-9"/>
        </w:rPr>
        <w:t> </w:t>
      </w:r>
      <w:r>
        <w:rPr/>
        <w:t>elemento material</w:t>
      </w:r>
      <w:r>
        <w:rPr>
          <w:spacing w:val="-18"/>
        </w:rPr>
        <w:t> </w:t>
      </w:r>
      <w:r>
        <w:rPr/>
        <w:t>y</w:t>
      </w:r>
      <w:r>
        <w:rPr>
          <w:spacing w:val="-19"/>
        </w:rPr>
        <w:t> </w:t>
      </w:r>
      <w:r>
        <w:rPr/>
        <w:t>espiritual</w:t>
      </w:r>
      <w:r>
        <w:rPr>
          <w:spacing w:val="-18"/>
        </w:rPr>
        <w:t> </w:t>
      </w:r>
      <w:r>
        <w:rPr/>
        <w:t>del</w:t>
      </w:r>
      <w:r>
        <w:rPr>
          <w:spacing w:val="-18"/>
        </w:rPr>
        <w:t> </w:t>
      </w:r>
      <w:r>
        <w:rPr/>
        <w:t>que</w:t>
      </w:r>
      <w:r>
        <w:rPr>
          <w:spacing w:val="-17"/>
        </w:rPr>
        <w:t> </w:t>
      </w:r>
      <w:r>
        <w:rPr/>
        <w:t>deben</w:t>
      </w:r>
      <w:r>
        <w:rPr>
          <w:spacing w:val="-17"/>
        </w:rPr>
        <w:t> </w:t>
      </w:r>
      <w:r>
        <w:rPr/>
        <w:t>gozar</w:t>
      </w:r>
      <w:r>
        <w:rPr>
          <w:spacing w:val="-17"/>
        </w:rPr>
        <w:t> </w:t>
      </w:r>
      <w:r>
        <w:rPr/>
        <w:t>plenamente,</w:t>
      </w:r>
      <w:r>
        <w:rPr>
          <w:spacing w:val="-17"/>
        </w:rPr>
        <w:t> </w:t>
      </w:r>
      <w:r>
        <w:rPr/>
        <w:t>inclusive</w:t>
      </w:r>
      <w:r>
        <w:rPr>
          <w:spacing w:val="-17"/>
        </w:rPr>
        <w:t> </w:t>
      </w:r>
      <w:r>
        <w:rPr/>
        <w:t>para</w:t>
      </w:r>
      <w:r>
        <w:rPr>
          <w:spacing w:val="-17"/>
        </w:rPr>
        <w:t> </w:t>
      </w:r>
      <w:r>
        <w:rPr/>
        <w:t>preservar</w:t>
      </w:r>
      <w:r>
        <w:rPr>
          <w:spacing w:val="-18"/>
        </w:rPr>
        <w:t> </w:t>
      </w:r>
      <w:r>
        <w:rPr/>
        <w:t>su</w:t>
      </w:r>
      <w:r>
        <w:rPr>
          <w:spacing w:val="-17"/>
        </w:rPr>
        <w:t> </w:t>
      </w:r>
      <w:r>
        <w:rPr/>
        <w:t>legado cultural y transmitirlo a las generaciones futuras”</w:t>
      </w:r>
      <w:r>
        <w:rPr>
          <w:position w:val="8"/>
          <w:sz w:val="16"/>
        </w:rPr>
        <w:t>15</w:t>
      </w:r>
      <w:r>
        <w:rPr/>
        <w:t>. En la misma oportunidad la Corte IDH indicó el derecho de los pueblos indígenas a “vivir libremente en sus propios </w:t>
      </w:r>
      <w:r>
        <w:rPr>
          <w:i/>
        </w:rPr>
        <w:t>territorios</w:t>
      </w:r>
      <w:r>
        <w:rPr/>
        <w:t>”</w:t>
      </w:r>
      <w:r>
        <w:rPr>
          <w:position w:val="7"/>
          <w:sz w:val="13"/>
        </w:rPr>
        <w:t>16</w:t>
      </w:r>
      <w:r>
        <w:rPr/>
        <w:t>; más adelante destacó los “lazos únicos y duraderos que unen a las comunidades indígenas con su territorio</w:t>
      </w:r>
      <w:r>
        <w:rPr>
          <w:spacing w:val="-10"/>
        </w:rPr>
        <w:t> </w:t>
      </w:r>
      <w:r>
        <w:rPr/>
        <w:t>ancestral”</w:t>
      </w:r>
      <w:r>
        <w:rPr>
          <w:position w:val="7"/>
          <w:sz w:val="13"/>
        </w:rPr>
        <w:t>17</w:t>
      </w:r>
      <w:r>
        <w:rPr/>
        <w:t>.</w:t>
      </w:r>
    </w:p>
    <w:p>
      <w:pPr>
        <w:pStyle w:val="BodyText"/>
        <w:spacing w:before="8"/>
        <w:rPr>
          <w:sz w:val="19"/>
        </w:rPr>
      </w:pPr>
    </w:p>
    <w:p>
      <w:pPr>
        <w:pStyle w:val="ListParagraph"/>
        <w:numPr>
          <w:ilvl w:val="0"/>
          <w:numId w:val="75"/>
        </w:numPr>
        <w:tabs>
          <w:tab w:pos="827" w:val="left" w:leader="none"/>
        </w:tabs>
        <w:spacing w:line="240" w:lineRule="auto" w:before="1" w:after="0"/>
        <w:ind w:left="118" w:right="308" w:firstLine="0"/>
        <w:jc w:val="both"/>
        <w:rPr>
          <w:sz w:val="20"/>
        </w:rPr>
      </w:pPr>
      <w:r>
        <w:rPr>
          <w:sz w:val="20"/>
        </w:rPr>
        <w:t>Desde mi perspectiva, este importante —y trascendental— precedente tiene diversos componentes que pueden ser protegidos de forma diferenciada dependiendo del contenido del derecho que se encuentre vulnerado. En este entendido, “la tierra” puede comprender algunos aspectos que se encontrarían protegidos por el artículo 21 desde la concepción de propiedad colectiva. Por otro lado, se encuentra un concepto más general como lo es “el territorio” (que si bien comprende a la tierra como uno de los elementos, el mismo no se agota en aquella). Así, el territorio comprendería otros elementos más específicos que pueden ser tutelados —como ocurrió en el caso </w:t>
      </w:r>
      <w:r>
        <w:rPr>
          <w:i/>
          <w:sz w:val="20"/>
        </w:rPr>
        <w:t>Lhaka </w:t>
      </w:r>
      <w:r>
        <w:rPr>
          <w:i/>
          <w:sz w:val="20"/>
        </w:rPr>
        <w:t>Honhat</w:t>
      </w:r>
      <w:r>
        <w:rPr>
          <w:sz w:val="20"/>
        </w:rPr>
        <w:t>— mediante los derechos protegidos por el artículo 26 de la Convención Americana en lo atinente a los derechos sociales, culturales y ambientales. Estos elementos</w:t>
      </w:r>
      <w:r>
        <w:rPr>
          <w:spacing w:val="-8"/>
          <w:sz w:val="20"/>
        </w:rPr>
        <w:t> </w:t>
      </w:r>
      <w:r>
        <w:rPr>
          <w:sz w:val="20"/>
        </w:rPr>
        <w:t>incluyen</w:t>
      </w:r>
      <w:r>
        <w:rPr>
          <w:spacing w:val="-7"/>
          <w:sz w:val="20"/>
        </w:rPr>
        <w:t> </w:t>
      </w:r>
      <w:r>
        <w:rPr>
          <w:sz w:val="20"/>
        </w:rPr>
        <w:t>el</w:t>
      </w:r>
      <w:r>
        <w:rPr>
          <w:spacing w:val="-7"/>
          <w:sz w:val="20"/>
        </w:rPr>
        <w:t> </w:t>
      </w:r>
      <w:r>
        <w:rPr>
          <w:sz w:val="20"/>
        </w:rPr>
        <w:t>agua,</w:t>
      </w:r>
      <w:r>
        <w:rPr>
          <w:spacing w:val="-8"/>
          <w:sz w:val="20"/>
        </w:rPr>
        <w:t> </w:t>
      </w:r>
      <w:r>
        <w:rPr>
          <w:sz w:val="20"/>
        </w:rPr>
        <w:t>la</w:t>
      </w:r>
      <w:r>
        <w:rPr>
          <w:spacing w:val="-7"/>
          <w:sz w:val="20"/>
        </w:rPr>
        <w:t> </w:t>
      </w:r>
      <w:r>
        <w:rPr>
          <w:sz w:val="20"/>
        </w:rPr>
        <w:t>protección</w:t>
      </w:r>
      <w:r>
        <w:rPr>
          <w:spacing w:val="-6"/>
          <w:sz w:val="20"/>
        </w:rPr>
        <w:t> </w:t>
      </w:r>
      <w:r>
        <w:rPr>
          <w:sz w:val="20"/>
        </w:rPr>
        <w:t>al</w:t>
      </w:r>
      <w:r>
        <w:rPr>
          <w:spacing w:val="-8"/>
          <w:sz w:val="20"/>
        </w:rPr>
        <w:t> </w:t>
      </w:r>
      <w:r>
        <w:rPr>
          <w:sz w:val="20"/>
        </w:rPr>
        <w:t>ambiente,</w:t>
      </w:r>
      <w:r>
        <w:rPr>
          <w:spacing w:val="-7"/>
          <w:sz w:val="20"/>
        </w:rPr>
        <w:t> </w:t>
      </w:r>
      <w:r>
        <w:rPr>
          <w:sz w:val="20"/>
        </w:rPr>
        <w:t>los</w:t>
      </w:r>
      <w:r>
        <w:rPr>
          <w:spacing w:val="-7"/>
          <w:sz w:val="20"/>
        </w:rPr>
        <w:t> </w:t>
      </w:r>
      <w:r>
        <w:rPr>
          <w:sz w:val="20"/>
        </w:rPr>
        <w:t>recursos</w:t>
      </w:r>
      <w:r>
        <w:rPr>
          <w:spacing w:val="-9"/>
          <w:sz w:val="20"/>
        </w:rPr>
        <w:t> </w:t>
      </w:r>
      <w:r>
        <w:rPr>
          <w:sz w:val="20"/>
        </w:rPr>
        <w:t>que</w:t>
      </w:r>
      <w:r>
        <w:rPr>
          <w:spacing w:val="-7"/>
          <w:sz w:val="20"/>
        </w:rPr>
        <w:t> </w:t>
      </w:r>
      <w:r>
        <w:rPr>
          <w:sz w:val="20"/>
        </w:rPr>
        <w:t>forman</w:t>
      </w:r>
      <w:r>
        <w:rPr>
          <w:spacing w:val="-8"/>
          <w:sz w:val="20"/>
        </w:rPr>
        <w:t> </w:t>
      </w:r>
      <w:r>
        <w:rPr>
          <w:sz w:val="20"/>
        </w:rPr>
        <w:t>base</w:t>
      </w:r>
      <w:r>
        <w:rPr>
          <w:spacing w:val="-8"/>
          <w:sz w:val="20"/>
        </w:rPr>
        <w:t> </w:t>
      </w:r>
      <w:r>
        <w:rPr>
          <w:sz w:val="20"/>
        </w:rPr>
        <w:t>de la</w:t>
      </w:r>
      <w:r>
        <w:rPr>
          <w:spacing w:val="-8"/>
          <w:sz w:val="20"/>
        </w:rPr>
        <w:t> </w:t>
      </w:r>
      <w:r>
        <w:rPr>
          <w:sz w:val="20"/>
        </w:rPr>
        <w:t>alimentación</w:t>
      </w:r>
      <w:r>
        <w:rPr>
          <w:spacing w:val="-8"/>
          <w:sz w:val="20"/>
        </w:rPr>
        <w:t> </w:t>
      </w:r>
      <w:r>
        <w:rPr>
          <w:sz w:val="20"/>
        </w:rPr>
        <w:t>de</w:t>
      </w:r>
      <w:r>
        <w:rPr>
          <w:spacing w:val="-7"/>
          <w:sz w:val="20"/>
        </w:rPr>
        <w:t> </w:t>
      </w:r>
      <w:r>
        <w:rPr>
          <w:sz w:val="20"/>
        </w:rPr>
        <w:t>los</w:t>
      </w:r>
      <w:r>
        <w:rPr>
          <w:spacing w:val="-8"/>
          <w:sz w:val="20"/>
        </w:rPr>
        <w:t> </w:t>
      </w:r>
      <w:r>
        <w:rPr>
          <w:sz w:val="20"/>
        </w:rPr>
        <w:t>pueblos</w:t>
      </w:r>
      <w:r>
        <w:rPr>
          <w:spacing w:val="-8"/>
          <w:sz w:val="20"/>
        </w:rPr>
        <w:t> </w:t>
      </w:r>
      <w:r>
        <w:rPr>
          <w:sz w:val="20"/>
        </w:rPr>
        <w:t>indígenas,</w:t>
      </w:r>
      <w:r>
        <w:rPr>
          <w:spacing w:val="-8"/>
          <w:sz w:val="20"/>
        </w:rPr>
        <w:t> </w:t>
      </w:r>
      <w:r>
        <w:rPr>
          <w:sz w:val="20"/>
        </w:rPr>
        <w:t>así</w:t>
      </w:r>
      <w:r>
        <w:rPr>
          <w:spacing w:val="-10"/>
          <w:sz w:val="20"/>
        </w:rPr>
        <w:t> </w:t>
      </w:r>
      <w:r>
        <w:rPr>
          <w:sz w:val="20"/>
        </w:rPr>
        <w:t>como</w:t>
      </w:r>
      <w:r>
        <w:rPr>
          <w:spacing w:val="-9"/>
          <w:sz w:val="20"/>
        </w:rPr>
        <w:t> </w:t>
      </w:r>
      <w:r>
        <w:rPr>
          <w:sz w:val="20"/>
        </w:rPr>
        <w:t>el</w:t>
      </w:r>
      <w:r>
        <w:rPr>
          <w:spacing w:val="-9"/>
          <w:sz w:val="20"/>
        </w:rPr>
        <w:t> </w:t>
      </w:r>
      <w:r>
        <w:rPr>
          <w:sz w:val="20"/>
        </w:rPr>
        <w:t>vínculo</w:t>
      </w:r>
      <w:r>
        <w:rPr>
          <w:spacing w:val="-9"/>
          <w:sz w:val="20"/>
        </w:rPr>
        <w:t> </w:t>
      </w:r>
      <w:r>
        <w:rPr>
          <w:sz w:val="20"/>
        </w:rPr>
        <w:t>que</w:t>
      </w:r>
      <w:r>
        <w:rPr>
          <w:spacing w:val="-7"/>
          <w:sz w:val="20"/>
        </w:rPr>
        <w:t> </w:t>
      </w:r>
      <w:r>
        <w:rPr>
          <w:sz w:val="20"/>
        </w:rPr>
        <w:t>tienen</w:t>
      </w:r>
      <w:r>
        <w:rPr>
          <w:spacing w:val="-8"/>
          <w:sz w:val="20"/>
        </w:rPr>
        <w:t> </w:t>
      </w:r>
      <w:r>
        <w:rPr>
          <w:sz w:val="20"/>
        </w:rPr>
        <w:t>con</w:t>
      </w:r>
      <w:r>
        <w:rPr>
          <w:spacing w:val="-9"/>
          <w:sz w:val="20"/>
        </w:rPr>
        <w:t> </w:t>
      </w:r>
      <w:r>
        <w:rPr>
          <w:sz w:val="20"/>
        </w:rPr>
        <w:t>el</w:t>
      </w:r>
      <w:r>
        <w:rPr>
          <w:spacing w:val="-8"/>
          <w:sz w:val="20"/>
        </w:rPr>
        <w:t> </w:t>
      </w:r>
      <w:r>
        <w:rPr>
          <w:sz w:val="20"/>
        </w:rPr>
        <w:t>territorio como manifestación de su identidad</w:t>
      </w:r>
      <w:r>
        <w:rPr>
          <w:spacing w:val="-7"/>
          <w:sz w:val="20"/>
        </w:rPr>
        <w:t> </w:t>
      </w:r>
      <w:r>
        <w:rPr>
          <w:sz w:val="20"/>
        </w:rPr>
        <w:t>cultural.</w:t>
      </w:r>
    </w:p>
    <w:p>
      <w:pPr>
        <w:pStyle w:val="BodyText"/>
        <w:spacing w:before="1"/>
      </w:pPr>
    </w:p>
    <w:p>
      <w:pPr>
        <w:pStyle w:val="ListParagraph"/>
        <w:numPr>
          <w:ilvl w:val="0"/>
          <w:numId w:val="75"/>
        </w:numPr>
        <w:tabs>
          <w:tab w:pos="827" w:val="left" w:leader="none"/>
        </w:tabs>
        <w:spacing w:line="240" w:lineRule="auto" w:before="0" w:after="0"/>
        <w:ind w:left="118" w:right="309" w:firstLine="0"/>
        <w:jc w:val="both"/>
        <w:rPr>
          <w:sz w:val="20"/>
        </w:rPr>
      </w:pPr>
      <w:r>
        <w:rPr>
          <w:sz w:val="20"/>
        </w:rPr>
        <w:t>En este sentido, resulta particularmente importante el contenido del artículo 13 del</w:t>
      </w:r>
      <w:r>
        <w:rPr>
          <w:spacing w:val="-17"/>
          <w:sz w:val="20"/>
        </w:rPr>
        <w:t> </w:t>
      </w:r>
      <w:r>
        <w:rPr>
          <w:sz w:val="20"/>
        </w:rPr>
        <w:t>Convenio</w:t>
      </w:r>
      <w:r>
        <w:rPr>
          <w:spacing w:val="-17"/>
          <w:sz w:val="20"/>
        </w:rPr>
        <w:t> </w:t>
      </w:r>
      <w:r>
        <w:rPr>
          <w:sz w:val="20"/>
        </w:rPr>
        <w:t>No.</w:t>
      </w:r>
      <w:r>
        <w:rPr>
          <w:spacing w:val="-17"/>
          <w:sz w:val="20"/>
        </w:rPr>
        <w:t> </w:t>
      </w:r>
      <w:r>
        <w:rPr>
          <w:sz w:val="20"/>
        </w:rPr>
        <w:t>169</w:t>
      </w:r>
      <w:r>
        <w:rPr>
          <w:spacing w:val="-17"/>
          <w:sz w:val="20"/>
        </w:rPr>
        <w:t> </w:t>
      </w:r>
      <w:r>
        <w:rPr>
          <w:sz w:val="20"/>
        </w:rPr>
        <w:t>de</w:t>
      </w:r>
      <w:r>
        <w:rPr>
          <w:spacing w:val="-16"/>
          <w:sz w:val="20"/>
        </w:rPr>
        <w:t> </w:t>
      </w:r>
      <w:r>
        <w:rPr>
          <w:sz w:val="20"/>
        </w:rPr>
        <w:t>la</w:t>
      </w:r>
      <w:r>
        <w:rPr>
          <w:spacing w:val="-17"/>
          <w:sz w:val="20"/>
        </w:rPr>
        <w:t> </w:t>
      </w:r>
      <w:r>
        <w:rPr>
          <w:sz w:val="20"/>
        </w:rPr>
        <w:t>Organización</w:t>
      </w:r>
      <w:r>
        <w:rPr>
          <w:spacing w:val="-17"/>
          <w:sz w:val="20"/>
        </w:rPr>
        <w:t> </w:t>
      </w:r>
      <w:r>
        <w:rPr>
          <w:sz w:val="20"/>
        </w:rPr>
        <w:t>Internacional</w:t>
      </w:r>
      <w:r>
        <w:rPr>
          <w:spacing w:val="-18"/>
          <w:sz w:val="20"/>
        </w:rPr>
        <w:t> </w:t>
      </w:r>
      <w:r>
        <w:rPr>
          <w:sz w:val="20"/>
        </w:rPr>
        <w:t>del</w:t>
      </w:r>
      <w:r>
        <w:rPr>
          <w:spacing w:val="-17"/>
          <w:sz w:val="20"/>
        </w:rPr>
        <w:t> </w:t>
      </w:r>
      <w:r>
        <w:rPr>
          <w:sz w:val="20"/>
        </w:rPr>
        <w:t>Trabajo</w:t>
      </w:r>
      <w:r>
        <w:rPr>
          <w:position w:val="7"/>
          <w:sz w:val="13"/>
        </w:rPr>
        <w:t>18</w:t>
      </w:r>
      <w:r>
        <w:rPr>
          <w:sz w:val="20"/>
        </w:rPr>
        <w:t>,</w:t>
      </w:r>
      <w:r>
        <w:rPr>
          <w:spacing w:val="-16"/>
          <w:sz w:val="20"/>
        </w:rPr>
        <w:t> </w:t>
      </w:r>
      <w:r>
        <w:rPr>
          <w:sz w:val="20"/>
        </w:rPr>
        <w:t>suscrito</w:t>
      </w:r>
      <w:r>
        <w:rPr>
          <w:spacing w:val="-17"/>
          <w:sz w:val="20"/>
        </w:rPr>
        <w:t> </w:t>
      </w:r>
      <w:r>
        <w:rPr>
          <w:sz w:val="20"/>
        </w:rPr>
        <w:t>y</w:t>
      </w:r>
      <w:r>
        <w:rPr>
          <w:spacing w:val="-16"/>
          <w:sz w:val="20"/>
        </w:rPr>
        <w:t> </w:t>
      </w:r>
      <w:r>
        <w:rPr>
          <w:sz w:val="20"/>
        </w:rPr>
        <w:t>ratificado por</w:t>
      </w:r>
      <w:r>
        <w:rPr>
          <w:spacing w:val="-2"/>
          <w:sz w:val="20"/>
        </w:rPr>
        <w:t> </w:t>
      </w:r>
      <w:r>
        <w:rPr>
          <w:sz w:val="20"/>
        </w:rPr>
        <w:t>Argentina</w:t>
      </w:r>
      <w:r>
        <w:rPr>
          <w:position w:val="7"/>
          <w:sz w:val="13"/>
        </w:rPr>
        <w:t>19</w:t>
      </w:r>
      <w:r>
        <w:rPr>
          <w:sz w:val="20"/>
        </w:rPr>
        <w:t>:</w:t>
      </w:r>
    </w:p>
    <w:p>
      <w:pPr>
        <w:pStyle w:val="BodyText"/>
        <w:spacing w:before="11"/>
        <w:rPr>
          <w:sz w:val="19"/>
        </w:rPr>
      </w:pPr>
    </w:p>
    <w:p>
      <w:pPr>
        <w:spacing w:line="480" w:lineRule="auto" w:before="0"/>
        <w:ind w:left="4086" w:right="3854" w:firstLine="0"/>
        <w:jc w:val="center"/>
        <w:rPr>
          <w:sz w:val="16"/>
        </w:rPr>
      </w:pPr>
      <w:r>
        <w:rPr>
          <w:sz w:val="16"/>
        </w:rPr>
        <w:t>Parte II. Tierras Artículo 13</w:t>
      </w:r>
    </w:p>
    <w:p>
      <w:pPr>
        <w:pStyle w:val="BodyText"/>
        <w:spacing w:before="8"/>
        <w:rPr>
          <w:sz w:val="27"/>
        </w:rPr>
      </w:pPr>
      <w:r>
        <w:rPr/>
        <w:pict>
          <v:line style="position:absolute;mso-position-horizontal-relative:page;mso-position-vertical-relative:paragraph;z-index:4792;mso-wrap-distance-left:0;mso-wrap-distance-right:0" from="70.919998pt,19.066065pt" to="214.939998pt,19.066065pt" stroked="true" strokeweight=".599980pt" strokecolor="#000000">
            <v:stroke dashstyle="solid"/>
            <w10:wrap type="topAndBottom"/>
          </v:line>
        </w:pict>
      </w:r>
    </w:p>
    <w:p>
      <w:pPr>
        <w:tabs>
          <w:tab w:pos="826" w:val="left" w:leader="none"/>
        </w:tabs>
        <w:spacing w:before="71"/>
        <w:ind w:left="118" w:right="310" w:firstLine="0"/>
        <w:jc w:val="both"/>
        <w:rPr>
          <w:sz w:val="16"/>
        </w:rPr>
      </w:pPr>
      <w:r>
        <w:rPr>
          <w:rFonts w:ascii="Times New Roman" w:hAnsi="Times New Roman"/>
          <w:position w:val="6"/>
          <w:sz w:val="10"/>
        </w:rPr>
        <w:t>15</w:t>
        <w:tab/>
      </w:r>
      <w:r>
        <w:rPr>
          <w:i/>
          <w:sz w:val="16"/>
        </w:rPr>
        <w:t>Caso de la Comunidad Mayagna (Sumo) Awas Tingni Vs. Nicaragua. Fondo, Reparaciones</w:t>
      </w:r>
      <w:r>
        <w:rPr>
          <w:i/>
          <w:spacing w:val="34"/>
          <w:sz w:val="16"/>
        </w:rPr>
        <w:t> </w:t>
      </w:r>
      <w:r>
        <w:rPr>
          <w:i/>
          <w:sz w:val="16"/>
        </w:rPr>
        <w:t>y</w:t>
      </w:r>
      <w:r>
        <w:rPr>
          <w:i/>
          <w:spacing w:val="4"/>
          <w:sz w:val="16"/>
        </w:rPr>
        <w:t> </w:t>
      </w:r>
      <w:r>
        <w:rPr>
          <w:i/>
          <w:sz w:val="16"/>
        </w:rPr>
        <w:t>Costas.</w:t>
      </w:r>
      <w:r>
        <w:rPr>
          <w:i/>
          <w:w w:val="99"/>
          <w:sz w:val="16"/>
        </w:rPr>
        <w:t> </w:t>
      </w:r>
      <w:r>
        <w:rPr>
          <w:sz w:val="16"/>
        </w:rPr>
        <w:t>Sentencia</w:t>
      </w:r>
      <w:r>
        <w:rPr>
          <w:spacing w:val="-6"/>
          <w:sz w:val="16"/>
        </w:rPr>
        <w:t> </w:t>
      </w:r>
      <w:r>
        <w:rPr>
          <w:sz w:val="16"/>
        </w:rPr>
        <w:t>de</w:t>
      </w:r>
      <w:r>
        <w:rPr>
          <w:spacing w:val="-6"/>
          <w:sz w:val="16"/>
        </w:rPr>
        <w:t> </w:t>
      </w:r>
      <w:r>
        <w:rPr>
          <w:sz w:val="16"/>
        </w:rPr>
        <w:t>31</w:t>
      </w:r>
      <w:r>
        <w:rPr>
          <w:spacing w:val="-6"/>
          <w:sz w:val="16"/>
        </w:rPr>
        <w:t> </w:t>
      </w:r>
      <w:r>
        <w:rPr>
          <w:sz w:val="16"/>
        </w:rPr>
        <w:t>de</w:t>
      </w:r>
      <w:r>
        <w:rPr>
          <w:spacing w:val="-6"/>
          <w:sz w:val="16"/>
        </w:rPr>
        <w:t> </w:t>
      </w:r>
      <w:r>
        <w:rPr>
          <w:sz w:val="16"/>
        </w:rPr>
        <w:t>agosto</w:t>
      </w:r>
      <w:r>
        <w:rPr>
          <w:spacing w:val="-6"/>
          <w:sz w:val="16"/>
        </w:rPr>
        <w:t> </w:t>
      </w:r>
      <w:r>
        <w:rPr>
          <w:sz w:val="16"/>
        </w:rPr>
        <w:t>de</w:t>
      </w:r>
      <w:r>
        <w:rPr>
          <w:spacing w:val="-5"/>
          <w:sz w:val="16"/>
        </w:rPr>
        <w:t> </w:t>
      </w:r>
      <w:r>
        <w:rPr>
          <w:sz w:val="16"/>
        </w:rPr>
        <w:t>2001.</w:t>
      </w:r>
      <w:r>
        <w:rPr>
          <w:spacing w:val="-6"/>
          <w:sz w:val="16"/>
        </w:rPr>
        <w:t> </w:t>
      </w:r>
      <w:r>
        <w:rPr>
          <w:sz w:val="16"/>
        </w:rPr>
        <w:t>Serie</w:t>
      </w:r>
      <w:r>
        <w:rPr>
          <w:spacing w:val="-7"/>
          <w:sz w:val="16"/>
        </w:rPr>
        <w:t> </w:t>
      </w:r>
      <w:r>
        <w:rPr>
          <w:sz w:val="16"/>
        </w:rPr>
        <w:t>C</w:t>
      </w:r>
      <w:r>
        <w:rPr>
          <w:spacing w:val="-6"/>
          <w:sz w:val="16"/>
        </w:rPr>
        <w:t> </w:t>
      </w:r>
      <w:r>
        <w:rPr>
          <w:sz w:val="16"/>
        </w:rPr>
        <w:t>No.</w:t>
      </w:r>
      <w:r>
        <w:rPr>
          <w:spacing w:val="-6"/>
          <w:sz w:val="16"/>
        </w:rPr>
        <w:t> </w:t>
      </w:r>
      <w:r>
        <w:rPr>
          <w:sz w:val="16"/>
        </w:rPr>
        <w:t>79,</w:t>
      </w:r>
      <w:r>
        <w:rPr>
          <w:spacing w:val="-6"/>
          <w:sz w:val="16"/>
        </w:rPr>
        <w:t> </w:t>
      </w:r>
      <w:r>
        <w:rPr>
          <w:sz w:val="16"/>
        </w:rPr>
        <w:t>párr.</w:t>
      </w:r>
      <w:r>
        <w:rPr>
          <w:spacing w:val="-6"/>
          <w:sz w:val="16"/>
        </w:rPr>
        <w:t> </w:t>
      </w:r>
      <w:r>
        <w:rPr>
          <w:sz w:val="16"/>
        </w:rPr>
        <w:t>149.</w:t>
      </w:r>
      <w:r>
        <w:rPr>
          <w:spacing w:val="-3"/>
          <w:sz w:val="16"/>
        </w:rPr>
        <w:t> </w:t>
      </w:r>
      <w:r>
        <w:rPr>
          <w:sz w:val="16"/>
        </w:rPr>
        <w:t>En</w:t>
      </w:r>
      <w:r>
        <w:rPr>
          <w:spacing w:val="-6"/>
          <w:sz w:val="16"/>
        </w:rPr>
        <w:t> </w:t>
      </w:r>
      <w:r>
        <w:rPr>
          <w:sz w:val="16"/>
        </w:rPr>
        <w:t>ese</w:t>
      </w:r>
      <w:r>
        <w:rPr>
          <w:spacing w:val="-6"/>
          <w:sz w:val="16"/>
        </w:rPr>
        <w:t> </w:t>
      </w:r>
      <w:r>
        <w:rPr>
          <w:sz w:val="16"/>
        </w:rPr>
        <w:t>sentido,</w:t>
      </w:r>
      <w:r>
        <w:rPr>
          <w:spacing w:val="-6"/>
          <w:sz w:val="16"/>
        </w:rPr>
        <w:t> </w:t>
      </w:r>
      <w:r>
        <w:rPr>
          <w:sz w:val="16"/>
        </w:rPr>
        <w:t>el</w:t>
      </w:r>
      <w:r>
        <w:rPr>
          <w:spacing w:val="-7"/>
          <w:sz w:val="16"/>
        </w:rPr>
        <w:t> </w:t>
      </w:r>
      <w:r>
        <w:rPr>
          <w:sz w:val="16"/>
        </w:rPr>
        <w:t>Tribunal</w:t>
      </w:r>
      <w:r>
        <w:rPr>
          <w:spacing w:val="-6"/>
          <w:sz w:val="16"/>
        </w:rPr>
        <w:t> </w:t>
      </w:r>
      <w:r>
        <w:rPr>
          <w:sz w:val="16"/>
        </w:rPr>
        <w:t>Interamericano,</w:t>
      </w:r>
      <w:r>
        <w:rPr>
          <w:spacing w:val="-6"/>
          <w:sz w:val="16"/>
        </w:rPr>
        <w:t> </w:t>
      </w:r>
      <w:r>
        <w:rPr>
          <w:sz w:val="16"/>
        </w:rPr>
        <w:t>en esa decisión y con posterioridad “ha resaltado que la estrecha relación que los indígenas mantienen con la tierra debe de ser reconocida y comprendida como la base fundamental de su cultura, vida espiritual, integridad, supervivencia económica y su preservación y transmisión a las generaciones futuras” (</w:t>
      </w:r>
      <w:r>
        <w:rPr>
          <w:i/>
          <w:sz w:val="16"/>
        </w:rPr>
        <w:t>Caso </w:t>
      </w:r>
      <w:r>
        <w:rPr>
          <w:i/>
          <w:sz w:val="16"/>
        </w:rPr>
        <w:t>Masacre Plan de Sánchez</w:t>
      </w:r>
      <w:r>
        <w:rPr>
          <w:sz w:val="16"/>
        </w:rPr>
        <w:t>. </w:t>
      </w:r>
      <w:r>
        <w:rPr>
          <w:i/>
          <w:sz w:val="16"/>
        </w:rPr>
        <w:t>Reparaciones </w:t>
      </w:r>
      <w:r>
        <w:rPr>
          <w:sz w:val="16"/>
        </w:rPr>
        <w:t>(art. 63.1 Convención Americana sobre Derechos Humanos). Sentencia de 19 de noviembre 2004. Serie C No. 116, párr. 85, y </w:t>
      </w:r>
      <w:r>
        <w:rPr>
          <w:i/>
          <w:sz w:val="16"/>
        </w:rPr>
        <w:t>Caso Comunidad Indígena Yakye Axa Vs. </w:t>
      </w:r>
      <w:r>
        <w:rPr>
          <w:i/>
          <w:sz w:val="16"/>
        </w:rPr>
        <w:t>Paraguay. Fondo, Reparaciones y Costas. </w:t>
      </w:r>
      <w:r>
        <w:rPr>
          <w:sz w:val="16"/>
        </w:rPr>
        <w:t>Sentencia de 17 de junio de 2005. Serie C No. 125, párr.</w:t>
      </w:r>
      <w:r>
        <w:rPr>
          <w:spacing w:val="-26"/>
          <w:sz w:val="16"/>
        </w:rPr>
        <w:t> </w:t>
      </w:r>
      <w:r>
        <w:rPr>
          <w:sz w:val="16"/>
        </w:rPr>
        <w:t>131.</w:t>
      </w:r>
    </w:p>
    <w:p>
      <w:pPr>
        <w:tabs>
          <w:tab w:pos="826" w:val="left" w:leader="none"/>
        </w:tabs>
        <w:spacing w:before="119"/>
        <w:ind w:left="118" w:right="0" w:firstLine="0"/>
        <w:jc w:val="both"/>
        <w:rPr>
          <w:i/>
          <w:sz w:val="16"/>
        </w:rPr>
      </w:pPr>
      <w:r>
        <w:rPr>
          <w:rFonts w:ascii="Times New Roman"/>
          <w:position w:val="6"/>
          <w:sz w:val="10"/>
        </w:rPr>
        <w:t>16</w:t>
        <w:tab/>
      </w:r>
      <w:r>
        <w:rPr>
          <w:i/>
          <w:sz w:val="16"/>
        </w:rPr>
        <w:t>Caso de la Comunidad Mayagna (Sumo) Awas Tingni Vs. Nicaragua. Fondo, Reparaciones y</w:t>
      </w:r>
      <w:r>
        <w:rPr>
          <w:i/>
          <w:spacing w:val="40"/>
          <w:sz w:val="16"/>
        </w:rPr>
        <w:t> </w:t>
      </w:r>
      <w:r>
        <w:rPr>
          <w:i/>
          <w:sz w:val="16"/>
        </w:rPr>
        <w:t>Costas.</w:t>
      </w:r>
    </w:p>
    <w:p>
      <w:pPr>
        <w:spacing w:before="1"/>
        <w:ind w:left="118" w:right="0" w:firstLine="0"/>
        <w:jc w:val="both"/>
        <w:rPr>
          <w:sz w:val="16"/>
        </w:rPr>
      </w:pPr>
      <w:r>
        <w:rPr>
          <w:sz w:val="16"/>
        </w:rPr>
        <w:t>Sentencia de 31 de agosto de 2001. Serie C No. 79, párr. 149.</w:t>
      </w:r>
    </w:p>
    <w:p>
      <w:pPr>
        <w:tabs>
          <w:tab w:pos="826" w:val="left" w:leader="none"/>
        </w:tabs>
        <w:spacing w:before="120"/>
        <w:ind w:left="118" w:right="317" w:firstLine="0"/>
        <w:jc w:val="both"/>
        <w:rPr>
          <w:sz w:val="16"/>
        </w:rPr>
      </w:pPr>
      <w:r>
        <w:rPr>
          <w:rFonts w:ascii="Times New Roman" w:hAnsi="Times New Roman"/>
          <w:position w:val="6"/>
          <w:sz w:val="10"/>
        </w:rPr>
        <w:t>17</w:t>
        <w:tab/>
      </w:r>
      <w:r>
        <w:rPr>
          <w:i/>
          <w:sz w:val="16"/>
        </w:rPr>
        <w:t>Caso</w:t>
      </w:r>
      <w:r>
        <w:rPr>
          <w:i/>
          <w:spacing w:val="35"/>
          <w:sz w:val="16"/>
        </w:rPr>
        <w:t> </w:t>
      </w:r>
      <w:r>
        <w:rPr>
          <w:i/>
          <w:sz w:val="16"/>
        </w:rPr>
        <w:t>de</w:t>
      </w:r>
      <w:r>
        <w:rPr>
          <w:i/>
          <w:spacing w:val="34"/>
          <w:sz w:val="16"/>
        </w:rPr>
        <w:t> </w:t>
      </w:r>
      <w:r>
        <w:rPr>
          <w:i/>
          <w:sz w:val="16"/>
        </w:rPr>
        <w:t>la</w:t>
      </w:r>
      <w:r>
        <w:rPr>
          <w:i/>
          <w:spacing w:val="35"/>
          <w:sz w:val="16"/>
        </w:rPr>
        <w:t> </w:t>
      </w:r>
      <w:r>
        <w:rPr>
          <w:i/>
          <w:sz w:val="16"/>
        </w:rPr>
        <w:t>Comunidad</w:t>
      </w:r>
      <w:r>
        <w:rPr>
          <w:i/>
          <w:spacing w:val="35"/>
          <w:sz w:val="16"/>
        </w:rPr>
        <w:t> </w:t>
      </w:r>
      <w:r>
        <w:rPr>
          <w:i/>
          <w:sz w:val="16"/>
        </w:rPr>
        <w:t>Moiwana</w:t>
      </w:r>
      <w:r>
        <w:rPr>
          <w:i/>
          <w:spacing w:val="34"/>
          <w:sz w:val="16"/>
        </w:rPr>
        <w:t> </w:t>
      </w:r>
      <w:r>
        <w:rPr>
          <w:i/>
          <w:sz w:val="16"/>
        </w:rPr>
        <w:t>Vs.</w:t>
      </w:r>
      <w:r>
        <w:rPr>
          <w:i/>
          <w:spacing w:val="34"/>
          <w:sz w:val="16"/>
        </w:rPr>
        <w:t> </w:t>
      </w:r>
      <w:r>
        <w:rPr>
          <w:i/>
          <w:sz w:val="16"/>
        </w:rPr>
        <w:t>Surinam.</w:t>
      </w:r>
      <w:r>
        <w:rPr>
          <w:i/>
          <w:spacing w:val="34"/>
          <w:sz w:val="16"/>
        </w:rPr>
        <w:t> </w:t>
      </w:r>
      <w:r>
        <w:rPr>
          <w:i/>
          <w:sz w:val="16"/>
        </w:rPr>
        <w:t>Excepciones</w:t>
      </w:r>
      <w:r>
        <w:rPr>
          <w:i/>
          <w:spacing w:val="34"/>
          <w:sz w:val="16"/>
        </w:rPr>
        <w:t> </w:t>
      </w:r>
      <w:r>
        <w:rPr>
          <w:i/>
          <w:sz w:val="16"/>
        </w:rPr>
        <w:t>Preliminares,</w:t>
      </w:r>
      <w:r>
        <w:rPr>
          <w:i/>
          <w:spacing w:val="34"/>
          <w:sz w:val="16"/>
        </w:rPr>
        <w:t> </w:t>
      </w:r>
      <w:r>
        <w:rPr>
          <w:i/>
          <w:sz w:val="16"/>
        </w:rPr>
        <w:t>Fondo,</w:t>
      </w:r>
      <w:r>
        <w:rPr>
          <w:i/>
          <w:spacing w:val="34"/>
          <w:sz w:val="16"/>
        </w:rPr>
        <w:t> </w:t>
      </w:r>
      <w:r>
        <w:rPr>
          <w:i/>
          <w:sz w:val="16"/>
        </w:rPr>
        <w:t>Reparaciones</w:t>
      </w:r>
      <w:r>
        <w:rPr>
          <w:i/>
          <w:spacing w:val="34"/>
          <w:sz w:val="16"/>
        </w:rPr>
        <w:t> </w:t>
      </w:r>
      <w:r>
        <w:rPr>
          <w:i/>
          <w:sz w:val="16"/>
        </w:rPr>
        <w:t>y</w:t>
      </w:r>
      <w:r>
        <w:rPr>
          <w:i/>
          <w:w w:val="99"/>
          <w:sz w:val="16"/>
        </w:rPr>
        <w:t> </w:t>
      </w:r>
      <w:r>
        <w:rPr>
          <w:i/>
          <w:sz w:val="16"/>
        </w:rPr>
        <w:t>Costas</w:t>
      </w:r>
      <w:r>
        <w:rPr>
          <w:sz w:val="16"/>
        </w:rPr>
        <w:t>. Sentencia de 15 de junio de 2005. Serie C No. 124, párr.</w:t>
      </w:r>
      <w:r>
        <w:rPr>
          <w:spacing w:val="-18"/>
          <w:sz w:val="16"/>
        </w:rPr>
        <w:t> </w:t>
      </w:r>
      <w:r>
        <w:rPr>
          <w:sz w:val="16"/>
        </w:rPr>
        <w:t>131.</w:t>
      </w:r>
    </w:p>
    <w:p>
      <w:pPr>
        <w:tabs>
          <w:tab w:pos="826" w:val="left" w:leader="none"/>
        </w:tabs>
        <w:spacing w:before="120"/>
        <w:ind w:left="118" w:right="310" w:firstLine="0"/>
        <w:jc w:val="both"/>
        <w:rPr>
          <w:sz w:val="16"/>
        </w:rPr>
      </w:pPr>
      <w:r>
        <w:rPr>
          <w:rFonts w:ascii="Times New Roman" w:hAnsi="Times New Roman"/>
          <w:position w:val="6"/>
          <w:sz w:val="10"/>
        </w:rPr>
        <w:t>18</w:t>
        <w:tab/>
      </w:r>
      <w:r>
        <w:rPr>
          <w:sz w:val="16"/>
        </w:rPr>
        <w:t>Este</w:t>
      </w:r>
      <w:r>
        <w:rPr>
          <w:spacing w:val="21"/>
          <w:sz w:val="16"/>
        </w:rPr>
        <w:t> </w:t>
      </w:r>
      <w:r>
        <w:rPr>
          <w:sz w:val="16"/>
        </w:rPr>
        <w:t>importante</w:t>
      </w:r>
      <w:r>
        <w:rPr>
          <w:spacing w:val="19"/>
          <w:sz w:val="16"/>
        </w:rPr>
        <w:t> </w:t>
      </w:r>
      <w:r>
        <w:rPr>
          <w:sz w:val="16"/>
        </w:rPr>
        <w:t>tratado</w:t>
      </w:r>
      <w:r>
        <w:rPr>
          <w:spacing w:val="21"/>
          <w:sz w:val="16"/>
        </w:rPr>
        <w:t> </w:t>
      </w:r>
      <w:r>
        <w:rPr>
          <w:sz w:val="16"/>
        </w:rPr>
        <w:t>internacional</w:t>
      </w:r>
      <w:r>
        <w:rPr>
          <w:spacing w:val="19"/>
          <w:sz w:val="16"/>
        </w:rPr>
        <w:t> </w:t>
      </w:r>
      <w:r>
        <w:rPr>
          <w:sz w:val="16"/>
        </w:rPr>
        <w:t>fue</w:t>
      </w:r>
      <w:r>
        <w:rPr>
          <w:spacing w:val="20"/>
          <w:sz w:val="16"/>
        </w:rPr>
        <w:t> </w:t>
      </w:r>
      <w:r>
        <w:rPr>
          <w:sz w:val="16"/>
        </w:rPr>
        <w:t>adoptado</w:t>
      </w:r>
      <w:r>
        <w:rPr>
          <w:spacing w:val="19"/>
          <w:sz w:val="16"/>
        </w:rPr>
        <w:t> </w:t>
      </w:r>
      <w:r>
        <w:rPr>
          <w:sz w:val="16"/>
        </w:rPr>
        <w:t>hace</w:t>
      </w:r>
      <w:r>
        <w:rPr>
          <w:spacing w:val="21"/>
          <w:sz w:val="16"/>
        </w:rPr>
        <w:t> </w:t>
      </w:r>
      <w:r>
        <w:rPr>
          <w:sz w:val="16"/>
        </w:rPr>
        <w:t>más</w:t>
      </w:r>
      <w:r>
        <w:rPr>
          <w:spacing w:val="20"/>
          <w:sz w:val="16"/>
        </w:rPr>
        <w:t> </w:t>
      </w:r>
      <w:r>
        <w:rPr>
          <w:sz w:val="16"/>
        </w:rPr>
        <w:t>de</w:t>
      </w:r>
      <w:r>
        <w:rPr>
          <w:spacing w:val="20"/>
          <w:sz w:val="16"/>
        </w:rPr>
        <w:t> </w:t>
      </w:r>
      <w:r>
        <w:rPr>
          <w:sz w:val="16"/>
        </w:rPr>
        <w:t>tres</w:t>
      </w:r>
      <w:r>
        <w:rPr>
          <w:spacing w:val="19"/>
          <w:sz w:val="16"/>
        </w:rPr>
        <w:t> </w:t>
      </w:r>
      <w:r>
        <w:rPr>
          <w:sz w:val="16"/>
        </w:rPr>
        <w:t>décadas,</w:t>
      </w:r>
      <w:r>
        <w:rPr>
          <w:spacing w:val="20"/>
          <w:sz w:val="16"/>
        </w:rPr>
        <w:t> </w:t>
      </w:r>
      <w:r>
        <w:rPr>
          <w:sz w:val="16"/>
        </w:rPr>
        <w:t>el</w:t>
      </w:r>
      <w:r>
        <w:rPr>
          <w:spacing w:val="19"/>
          <w:sz w:val="16"/>
        </w:rPr>
        <w:t> </w:t>
      </w:r>
      <w:r>
        <w:rPr>
          <w:sz w:val="16"/>
        </w:rPr>
        <w:t>27</w:t>
      </w:r>
      <w:r>
        <w:rPr>
          <w:spacing w:val="21"/>
          <w:sz w:val="16"/>
        </w:rPr>
        <w:t> </w:t>
      </w:r>
      <w:r>
        <w:rPr>
          <w:sz w:val="16"/>
        </w:rPr>
        <w:t>de</w:t>
      </w:r>
      <w:r>
        <w:rPr>
          <w:spacing w:val="19"/>
          <w:sz w:val="16"/>
        </w:rPr>
        <w:t> </w:t>
      </w:r>
      <w:r>
        <w:rPr>
          <w:sz w:val="16"/>
        </w:rPr>
        <w:t>junio</w:t>
      </w:r>
      <w:r>
        <w:rPr>
          <w:spacing w:val="20"/>
          <w:sz w:val="16"/>
        </w:rPr>
        <w:t> </w:t>
      </w:r>
      <w:r>
        <w:rPr>
          <w:sz w:val="16"/>
        </w:rPr>
        <w:t>de</w:t>
      </w:r>
      <w:r>
        <w:rPr>
          <w:w w:val="99"/>
          <w:sz w:val="16"/>
        </w:rPr>
        <w:t> </w:t>
      </w:r>
      <w:r>
        <w:rPr>
          <w:sz w:val="16"/>
        </w:rPr>
        <w:t>1989, en Ginebra, Suiza, entrando en vigor el 5 de septiembre de 1991. Hasta la fecha, de acuerdo a información</w:t>
      </w:r>
      <w:r>
        <w:rPr>
          <w:spacing w:val="-15"/>
          <w:sz w:val="16"/>
        </w:rPr>
        <w:t> </w:t>
      </w:r>
      <w:r>
        <w:rPr>
          <w:sz w:val="16"/>
        </w:rPr>
        <w:t>publicada</w:t>
      </w:r>
      <w:r>
        <w:rPr>
          <w:spacing w:val="-15"/>
          <w:sz w:val="16"/>
        </w:rPr>
        <w:t> </w:t>
      </w:r>
      <w:r>
        <w:rPr>
          <w:sz w:val="16"/>
        </w:rPr>
        <w:t>por</w:t>
      </w:r>
      <w:r>
        <w:rPr>
          <w:spacing w:val="-14"/>
          <w:sz w:val="16"/>
        </w:rPr>
        <w:t> </w:t>
      </w:r>
      <w:r>
        <w:rPr>
          <w:sz w:val="16"/>
        </w:rPr>
        <w:t>la</w:t>
      </w:r>
      <w:r>
        <w:rPr>
          <w:spacing w:val="-15"/>
          <w:sz w:val="16"/>
        </w:rPr>
        <w:t> </w:t>
      </w:r>
      <w:r>
        <w:rPr>
          <w:sz w:val="16"/>
        </w:rPr>
        <w:t>Organización</w:t>
      </w:r>
      <w:r>
        <w:rPr>
          <w:spacing w:val="-14"/>
          <w:sz w:val="16"/>
        </w:rPr>
        <w:t> </w:t>
      </w:r>
      <w:r>
        <w:rPr>
          <w:sz w:val="16"/>
        </w:rPr>
        <w:t>Internacional</w:t>
      </w:r>
      <w:r>
        <w:rPr>
          <w:spacing w:val="-16"/>
          <w:sz w:val="16"/>
        </w:rPr>
        <w:t> </w:t>
      </w:r>
      <w:r>
        <w:rPr>
          <w:sz w:val="16"/>
        </w:rPr>
        <w:t>del</w:t>
      </w:r>
      <w:r>
        <w:rPr>
          <w:spacing w:val="-15"/>
          <w:sz w:val="16"/>
        </w:rPr>
        <w:t> </w:t>
      </w:r>
      <w:r>
        <w:rPr>
          <w:sz w:val="16"/>
        </w:rPr>
        <w:t>Trabajo,</w:t>
      </w:r>
      <w:r>
        <w:rPr>
          <w:spacing w:val="-16"/>
          <w:sz w:val="16"/>
        </w:rPr>
        <w:t> </w:t>
      </w:r>
      <w:r>
        <w:rPr>
          <w:sz w:val="16"/>
        </w:rPr>
        <w:t>ha</w:t>
      </w:r>
      <w:r>
        <w:rPr>
          <w:spacing w:val="-14"/>
          <w:sz w:val="16"/>
        </w:rPr>
        <w:t> </w:t>
      </w:r>
      <w:r>
        <w:rPr>
          <w:sz w:val="16"/>
        </w:rPr>
        <w:t>sido</w:t>
      </w:r>
      <w:r>
        <w:rPr>
          <w:spacing w:val="-15"/>
          <w:sz w:val="16"/>
        </w:rPr>
        <w:t> </w:t>
      </w:r>
      <w:r>
        <w:rPr>
          <w:sz w:val="16"/>
        </w:rPr>
        <w:t>suscrito</w:t>
      </w:r>
      <w:r>
        <w:rPr>
          <w:spacing w:val="-15"/>
          <w:sz w:val="16"/>
        </w:rPr>
        <w:t> </w:t>
      </w:r>
      <w:r>
        <w:rPr>
          <w:sz w:val="16"/>
        </w:rPr>
        <w:t>y</w:t>
      </w:r>
      <w:r>
        <w:rPr>
          <w:spacing w:val="-15"/>
          <w:sz w:val="16"/>
        </w:rPr>
        <w:t> </w:t>
      </w:r>
      <w:r>
        <w:rPr>
          <w:sz w:val="16"/>
        </w:rPr>
        <w:t>ratificado</w:t>
      </w:r>
      <w:r>
        <w:rPr>
          <w:spacing w:val="-16"/>
          <w:sz w:val="16"/>
        </w:rPr>
        <w:t> </w:t>
      </w:r>
      <w:r>
        <w:rPr>
          <w:sz w:val="16"/>
        </w:rPr>
        <w:t>por</w:t>
      </w:r>
      <w:r>
        <w:rPr>
          <w:spacing w:val="-15"/>
          <w:sz w:val="16"/>
        </w:rPr>
        <w:t> </w:t>
      </w:r>
      <w:r>
        <w:rPr>
          <w:sz w:val="16"/>
        </w:rPr>
        <w:t>23</w:t>
      </w:r>
      <w:r>
        <w:rPr>
          <w:spacing w:val="-15"/>
          <w:sz w:val="16"/>
        </w:rPr>
        <w:t> </w:t>
      </w:r>
      <w:r>
        <w:rPr>
          <w:sz w:val="16"/>
        </w:rPr>
        <w:t>países,</w:t>
      </w:r>
    </w:p>
    <w:p>
      <w:pPr>
        <w:spacing w:before="0"/>
        <w:ind w:left="118" w:right="311" w:firstLine="0"/>
        <w:jc w:val="both"/>
        <w:rPr>
          <w:sz w:val="16"/>
        </w:rPr>
      </w:pPr>
      <w:r>
        <w:rPr>
          <w:sz w:val="16"/>
        </w:rPr>
        <w:t>14 Latinoamericanos: Argentina, Estado Plurinacional de Bolivia, Brasil, Chile, Colombia, Costa Rica, Dinamarca, Dominica, Ecuador, España, Fiji, Guatemala, Honduras, Luxemburgo, México, Nepal, Nicaragua, Noruega, Países Bajos, Paraguay, Perú, República Centroafricana y República Bolivariana de Venezuela.</w:t>
      </w:r>
    </w:p>
    <w:p>
      <w:pPr>
        <w:tabs>
          <w:tab w:pos="826" w:val="left" w:leader="none"/>
        </w:tabs>
        <w:spacing w:before="120"/>
        <w:ind w:left="118" w:right="316" w:firstLine="0"/>
        <w:jc w:val="both"/>
        <w:rPr>
          <w:sz w:val="16"/>
        </w:rPr>
      </w:pPr>
      <w:r>
        <w:rPr>
          <w:rFonts w:ascii="Times New Roman" w:hAnsi="Times New Roman"/>
          <w:position w:val="6"/>
          <w:sz w:val="10"/>
        </w:rPr>
        <w:t>19</w:t>
        <w:tab/>
      </w:r>
      <w:r>
        <w:rPr>
          <w:sz w:val="16"/>
        </w:rPr>
        <w:t>Argentina</w:t>
      </w:r>
      <w:r>
        <w:rPr>
          <w:spacing w:val="-9"/>
          <w:sz w:val="16"/>
        </w:rPr>
        <w:t> </w:t>
      </w:r>
      <w:r>
        <w:rPr>
          <w:sz w:val="16"/>
        </w:rPr>
        <w:t>aprobó</w:t>
      </w:r>
      <w:r>
        <w:rPr>
          <w:spacing w:val="-9"/>
          <w:sz w:val="16"/>
        </w:rPr>
        <w:t> </w:t>
      </w:r>
      <w:r>
        <w:rPr>
          <w:sz w:val="16"/>
        </w:rPr>
        <w:t>el</w:t>
      </w:r>
      <w:r>
        <w:rPr>
          <w:spacing w:val="-10"/>
          <w:sz w:val="16"/>
        </w:rPr>
        <w:t> </w:t>
      </w:r>
      <w:r>
        <w:rPr>
          <w:sz w:val="16"/>
        </w:rPr>
        <w:t>Convenio</w:t>
      </w:r>
      <w:r>
        <w:rPr>
          <w:spacing w:val="-8"/>
          <w:sz w:val="16"/>
        </w:rPr>
        <w:t> </w:t>
      </w:r>
      <w:r>
        <w:rPr>
          <w:sz w:val="16"/>
        </w:rPr>
        <w:t>No.</w:t>
      </w:r>
      <w:r>
        <w:rPr>
          <w:spacing w:val="-10"/>
          <w:sz w:val="16"/>
        </w:rPr>
        <w:t> </w:t>
      </w:r>
      <w:r>
        <w:rPr>
          <w:sz w:val="16"/>
        </w:rPr>
        <w:t>169</w:t>
      </w:r>
      <w:r>
        <w:rPr>
          <w:spacing w:val="-9"/>
          <w:sz w:val="16"/>
        </w:rPr>
        <w:t> </w:t>
      </w:r>
      <w:r>
        <w:rPr>
          <w:sz w:val="16"/>
        </w:rPr>
        <w:t>por</w:t>
      </w:r>
      <w:r>
        <w:rPr>
          <w:spacing w:val="-9"/>
          <w:sz w:val="16"/>
        </w:rPr>
        <w:t> </w:t>
      </w:r>
      <w:r>
        <w:rPr>
          <w:sz w:val="16"/>
        </w:rPr>
        <w:t>medio</w:t>
      </w:r>
      <w:r>
        <w:rPr>
          <w:spacing w:val="-10"/>
          <w:sz w:val="16"/>
        </w:rPr>
        <w:t> </w:t>
      </w:r>
      <w:r>
        <w:rPr>
          <w:sz w:val="16"/>
        </w:rPr>
        <w:t>de</w:t>
      </w:r>
      <w:r>
        <w:rPr>
          <w:spacing w:val="-8"/>
          <w:sz w:val="16"/>
        </w:rPr>
        <w:t> </w:t>
      </w:r>
      <w:r>
        <w:rPr>
          <w:sz w:val="16"/>
        </w:rPr>
        <w:t>la</w:t>
      </w:r>
      <w:r>
        <w:rPr>
          <w:spacing w:val="-9"/>
          <w:sz w:val="16"/>
        </w:rPr>
        <w:t> </w:t>
      </w:r>
      <w:r>
        <w:rPr>
          <w:sz w:val="16"/>
        </w:rPr>
        <w:t>ley</w:t>
      </w:r>
      <w:r>
        <w:rPr>
          <w:spacing w:val="-10"/>
          <w:sz w:val="16"/>
        </w:rPr>
        <w:t> </w:t>
      </w:r>
      <w:r>
        <w:rPr>
          <w:sz w:val="16"/>
        </w:rPr>
        <w:t>nacional</w:t>
      </w:r>
      <w:r>
        <w:rPr>
          <w:spacing w:val="-10"/>
          <w:sz w:val="16"/>
        </w:rPr>
        <w:t> </w:t>
      </w:r>
      <w:r>
        <w:rPr>
          <w:sz w:val="16"/>
        </w:rPr>
        <w:t>24.071,</w:t>
      </w:r>
      <w:r>
        <w:rPr>
          <w:spacing w:val="-10"/>
          <w:sz w:val="16"/>
        </w:rPr>
        <w:t> </w:t>
      </w:r>
      <w:r>
        <w:rPr>
          <w:sz w:val="16"/>
        </w:rPr>
        <w:t>sancionada</w:t>
      </w:r>
      <w:r>
        <w:rPr>
          <w:spacing w:val="-9"/>
          <w:sz w:val="16"/>
        </w:rPr>
        <w:t> </w:t>
      </w:r>
      <w:r>
        <w:rPr>
          <w:sz w:val="16"/>
        </w:rPr>
        <w:t>el</w:t>
      </w:r>
      <w:r>
        <w:rPr>
          <w:spacing w:val="-9"/>
          <w:sz w:val="16"/>
        </w:rPr>
        <w:t> </w:t>
      </w:r>
      <w:r>
        <w:rPr>
          <w:sz w:val="16"/>
        </w:rPr>
        <w:t>4</w:t>
      </w:r>
      <w:r>
        <w:rPr>
          <w:spacing w:val="-9"/>
          <w:sz w:val="16"/>
        </w:rPr>
        <w:t> </w:t>
      </w:r>
      <w:r>
        <w:rPr>
          <w:sz w:val="16"/>
        </w:rPr>
        <w:t>de</w:t>
      </w:r>
      <w:r>
        <w:rPr>
          <w:spacing w:val="-10"/>
          <w:sz w:val="16"/>
        </w:rPr>
        <w:t> </w:t>
      </w:r>
      <w:r>
        <w:rPr>
          <w:sz w:val="16"/>
        </w:rPr>
        <w:t>marzo</w:t>
      </w:r>
      <w:r>
        <w:rPr>
          <w:w w:val="99"/>
          <w:sz w:val="16"/>
        </w:rPr>
        <w:t> </w:t>
      </w:r>
      <w:r>
        <w:rPr>
          <w:sz w:val="16"/>
        </w:rPr>
        <w:t>de 1992 y promulgada el 7 de abril del mismo año. El Estado ratificó el tratado el 3 de julio de 2000. De conformidad con el artículo 38.3 del instrumento, el mismo entró en vigor para Argentina el 3 de julio de 2001.</w:t>
      </w:r>
    </w:p>
    <w:p>
      <w:pPr>
        <w:spacing w:after="0"/>
        <w:jc w:val="both"/>
        <w:rPr>
          <w:sz w:val="16"/>
        </w:rPr>
        <w:sectPr>
          <w:pgSz w:w="12240" w:h="15840"/>
          <w:pgMar w:header="0" w:footer="782" w:top="1340" w:bottom="980" w:left="1300" w:right="1720"/>
        </w:sectPr>
      </w:pPr>
    </w:p>
    <w:p>
      <w:pPr>
        <w:pStyle w:val="ListParagraph"/>
        <w:numPr>
          <w:ilvl w:val="0"/>
          <w:numId w:val="76"/>
        </w:numPr>
        <w:tabs>
          <w:tab w:pos="760" w:val="left" w:leader="none"/>
        </w:tabs>
        <w:spacing w:line="240" w:lineRule="auto" w:before="78" w:after="0"/>
        <w:ind w:left="544" w:right="310" w:firstLine="0"/>
        <w:jc w:val="both"/>
        <w:rPr>
          <w:sz w:val="16"/>
        </w:rPr>
      </w:pPr>
      <w:r>
        <w:rPr>
          <w:sz w:val="16"/>
        </w:rPr>
        <w:t>Al</w:t>
      </w:r>
      <w:r>
        <w:rPr>
          <w:spacing w:val="-4"/>
          <w:sz w:val="16"/>
        </w:rPr>
        <w:t> </w:t>
      </w:r>
      <w:r>
        <w:rPr>
          <w:sz w:val="16"/>
        </w:rPr>
        <w:t>aplicar</w:t>
      </w:r>
      <w:r>
        <w:rPr>
          <w:spacing w:val="-3"/>
          <w:sz w:val="16"/>
        </w:rPr>
        <w:t> </w:t>
      </w:r>
      <w:r>
        <w:rPr>
          <w:sz w:val="16"/>
        </w:rPr>
        <w:t>las</w:t>
      </w:r>
      <w:r>
        <w:rPr>
          <w:spacing w:val="-4"/>
          <w:sz w:val="16"/>
        </w:rPr>
        <w:t> </w:t>
      </w:r>
      <w:r>
        <w:rPr>
          <w:sz w:val="16"/>
        </w:rPr>
        <w:t>disposiciones</w:t>
      </w:r>
      <w:r>
        <w:rPr>
          <w:spacing w:val="-3"/>
          <w:sz w:val="16"/>
        </w:rPr>
        <w:t> </w:t>
      </w:r>
      <w:r>
        <w:rPr>
          <w:sz w:val="16"/>
        </w:rPr>
        <w:t>de</w:t>
      </w:r>
      <w:r>
        <w:rPr>
          <w:spacing w:val="-4"/>
          <w:sz w:val="16"/>
        </w:rPr>
        <w:t> </w:t>
      </w:r>
      <w:r>
        <w:rPr>
          <w:sz w:val="16"/>
        </w:rPr>
        <w:t>esta</w:t>
      </w:r>
      <w:r>
        <w:rPr>
          <w:spacing w:val="-3"/>
          <w:sz w:val="16"/>
        </w:rPr>
        <w:t> </w:t>
      </w:r>
      <w:r>
        <w:rPr>
          <w:sz w:val="16"/>
        </w:rPr>
        <w:t>parte</w:t>
      </w:r>
      <w:r>
        <w:rPr>
          <w:spacing w:val="-3"/>
          <w:sz w:val="16"/>
        </w:rPr>
        <w:t> </w:t>
      </w:r>
      <w:r>
        <w:rPr>
          <w:sz w:val="16"/>
        </w:rPr>
        <w:t>del</w:t>
      </w:r>
      <w:r>
        <w:rPr>
          <w:spacing w:val="-4"/>
          <w:sz w:val="16"/>
        </w:rPr>
        <w:t> </w:t>
      </w:r>
      <w:r>
        <w:rPr>
          <w:sz w:val="16"/>
        </w:rPr>
        <w:t>Convenio,</w:t>
      </w:r>
      <w:r>
        <w:rPr>
          <w:spacing w:val="-4"/>
          <w:sz w:val="16"/>
        </w:rPr>
        <w:t> </w:t>
      </w:r>
      <w:r>
        <w:rPr>
          <w:sz w:val="16"/>
        </w:rPr>
        <w:t>los</w:t>
      </w:r>
      <w:r>
        <w:rPr>
          <w:spacing w:val="-4"/>
          <w:sz w:val="16"/>
        </w:rPr>
        <w:t> </w:t>
      </w:r>
      <w:r>
        <w:rPr>
          <w:sz w:val="16"/>
        </w:rPr>
        <w:t>gobiernos</w:t>
      </w:r>
      <w:r>
        <w:rPr>
          <w:spacing w:val="-4"/>
          <w:sz w:val="16"/>
        </w:rPr>
        <w:t> </w:t>
      </w:r>
      <w:r>
        <w:rPr>
          <w:sz w:val="16"/>
        </w:rPr>
        <w:t>deberán</w:t>
      </w:r>
      <w:r>
        <w:rPr>
          <w:spacing w:val="-4"/>
          <w:sz w:val="16"/>
        </w:rPr>
        <w:t> </w:t>
      </w:r>
      <w:r>
        <w:rPr>
          <w:sz w:val="16"/>
        </w:rPr>
        <w:t>respetar</w:t>
      </w:r>
      <w:r>
        <w:rPr>
          <w:spacing w:val="-3"/>
          <w:sz w:val="16"/>
        </w:rPr>
        <w:t> </w:t>
      </w:r>
      <w:r>
        <w:rPr>
          <w:sz w:val="16"/>
        </w:rPr>
        <w:t>la</w:t>
      </w:r>
      <w:r>
        <w:rPr>
          <w:spacing w:val="-3"/>
          <w:sz w:val="16"/>
        </w:rPr>
        <w:t> </w:t>
      </w:r>
      <w:r>
        <w:rPr>
          <w:sz w:val="16"/>
        </w:rPr>
        <w:t>importancia especial que para las culturas y valores espirituales de los pueblos interesados reviste </w:t>
      </w:r>
      <w:r>
        <w:rPr>
          <w:b/>
          <w:sz w:val="16"/>
        </w:rPr>
        <w:t>su relación con las</w:t>
      </w:r>
      <w:r>
        <w:rPr>
          <w:b/>
          <w:spacing w:val="-8"/>
          <w:sz w:val="16"/>
        </w:rPr>
        <w:t> </w:t>
      </w:r>
      <w:r>
        <w:rPr>
          <w:b/>
          <w:sz w:val="16"/>
        </w:rPr>
        <w:t>tierras</w:t>
      </w:r>
      <w:r>
        <w:rPr>
          <w:b/>
          <w:spacing w:val="-7"/>
          <w:sz w:val="16"/>
        </w:rPr>
        <w:t> </w:t>
      </w:r>
      <w:r>
        <w:rPr>
          <w:b/>
          <w:sz w:val="16"/>
        </w:rPr>
        <w:t>o</w:t>
      </w:r>
      <w:r>
        <w:rPr>
          <w:b/>
          <w:spacing w:val="-7"/>
          <w:sz w:val="16"/>
        </w:rPr>
        <w:t> </w:t>
      </w:r>
      <w:r>
        <w:rPr>
          <w:b/>
          <w:sz w:val="16"/>
        </w:rPr>
        <w:t>territorios,</w:t>
      </w:r>
      <w:r>
        <w:rPr>
          <w:b/>
          <w:spacing w:val="-7"/>
          <w:sz w:val="16"/>
        </w:rPr>
        <w:t> </w:t>
      </w:r>
      <w:r>
        <w:rPr>
          <w:b/>
          <w:sz w:val="16"/>
        </w:rPr>
        <w:t>o</w:t>
      </w:r>
      <w:r>
        <w:rPr>
          <w:b/>
          <w:spacing w:val="-7"/>
          <w:sz w:val="16"/>
        </w:rPr>
        <w:t> </w:t>
      </w:r>
      <w:r>
        <w:rPr>
          <w:b/>
          <w:sz w:val="16"/>
        </w:rPr>
        <w:t>con</w:t>
      </w:r>
      <w:r>
        <w:rPr>
          <w:b/>
          <w:spacing w:val="-8"/>
          <w:sz w:val="16"/>
        </w:rPr>
        <w:t> </w:t>
      </w:r>
      <w:r>
        <w:rPr>
          <w:b/>
          <w:sz w:val="16"/>
        </w:rPr>
        <w:t>ambos</w:t>
      </w:r>
      <w:r>
        <w:rPr>
          <w:sz w:val="16"/>
        </w:rPr>
        <w:t>,</w:t>
      </w:r>
      <w:r>
        <w:rPr>
          <w:spacing w:val="-8"/>
          <w:sz w:val="16"/>
        </w:rPr>
        <w:t> </w:t>
      </w:r>
      <w:r>
        <w:rPr>
          <w:sz w:val="16"/>
        </w:rPr>
        <w:t>según</w:t>
      </w:r>
      <w:r>
        <w:rPr>
          <w:spacing w:val="-7"/>
          <w:sz w:val="16"/>
        </w:rPr>
        <w:t> </w:t>
      </w:r>
      <w:r>
        <w:rPr>
          <w:sz w:val="16"/>
        </w:rPr>
        <w:t>los</w:t>
      </w:r>
      <w:r>
        <w:rPr>
          <w:spacing w:val="-7"/>
          <w:sz w:val="16"/>
        </w:rPr>
        <w:t> </w:t>
      </w:r>
      <w:r>
        <w:rPr>
          <w:sz w:val="16"/>
        </w:rPr>
        <w:t>casos,</w:t>
      </w:r>
      <w:r>
        <w:rPr>
          <w:spacing w:val="-7"/>
          <w:sz w:val="16"/>
        </w:rPr>
        <w:t> </w:t>
      </w:r>
      <w:r>
        <w:rPr>
          <w:sz w:val="16"/>
        </w:rPr>
        <w:t>que</w:t>
      </w:r>
      <w:r>
        <w:rPr>
          <w:spacing w:val="-7"/>
          <w:sz w:val="16"/>
        </w:rPr>
        <w:t> </w:t>
      </w:r>
      <w:r>
        <w:rPr>
          <w:sz w:val="16"/>
        </w:rPr>
        <w:t>ocupan</w:t>
      </w:r>
      <w:r>
        <w:rPr>
          <w:spacing w:val="-7"/>
          <w:sz w:val="16"/>
        </w:rPr>
        <w:t> </w:t>
      </w:r>
      <w:r>
        <w:rPr>
          <w:sz w:val="16"/>
        </w:rPr>
        <w:t>o</w:t>
      </w:r>
      <w:r>
        <w:rPr>
          <w:spacing w:val="-7"/>
          <w:sz w:val="16"/>
        </w:rPr>
        <w:t> </w:t>
      </w:r>
      <w:r>
        <w:rPr>
          <w:sz w:val="16"/>
        </w:rPr>
        <w:t>utilizan</w:t>
      </w:r>
      <w:r>
        <w:rPr>
          <w:spacing w:val="-7"/>
          <w:sz w:val="16"/>
        </w:rPr>
        <w:t> </w:t>
      </w:r>
      <w:r>
        <w:rPr>
          <w:sz w:val="16"/>
        </w:rPr>
        <w:t>de</w:t>
      </w:r>
      <w:r>
        <w:rPr>
          <w:spacing w:val="-7"/>
          <w:sz w:val="16"/>
        </w:rPr>
        <w:t> </w:t>
      </w:r>
      <w:r>
        <w:rPr>
          <w:sz w:val="16"/>
        </w:rPr>
        <w:t>alguna</w:t>
      </w:r>
      <w:r>
        <w:rPr>
          <w:spacing w:val="-7"/>
          <w:sz w:val="16"/>
        </w:rPr>
        <w:t> </w:t>
      </w:r>
      <w:r>
        <w:rPr>
          <w:sz w:val="16"/>
        </w:rPr>
        <w:t>otra</w:t>
      </w:r>
      <w:r>
        <w:rPr>
          <w:spacing w:val="-7"/>
          <w:sz w:val="16"/>
        </w:rPr>
        <w:t> </w:t>
      </w:r>
      <w:r>
        <w:rPr>
          <w:sz w:val="16"/>
        </w:rPr>
        <w:t>manera, y en particular los aspectos colectivos de esa</w:t>
      </w:r>
      <w:r>
        <w:rPr>
          <w:spacing w:val="-15"/>
          <w:sz w:val="16"/>
        </w:rPr>
        <w:t> </w:t>
      </w:r>
      <w:r>
        <w:rPr>
          <w:sz w:val="16"/>
        </w:rPr>
        <w:t>relación.</w:t>
      </w:r>
    </w:p>
    <w:p>
      <w:pPr>
        <w:pStyle w:val="BodyText"/>
        <w:spacing w:before="11"/>
        <w:rPr>
          <w:sz w:val="15"/>
        </w:rPr>
      </w:pPr>
    </w:p>
    <w:p>
      <w:pPr>
        <w:pStyle w:val="ListParagraph"/>
        <w:numPr>
          <w:ilvl w:val="0"/>
          <w:numId w:val="76"/>
        </w:numPr>
        <w:tabs>
          <w:tab w:pos="795" w:val="left" w:leader="none"/>
        </w:tabs>
        <w:spacing w:line="240" w:lineRule="auto" w:before="0" w:after="0"/>
        <w:ind w:left="544" w:right="312" w:firstLine="0"/>
        <w:jc w:val="both"/>
        <w:rPr>
          <w:sz w:val="16"/>
        </w:rPr>
      </w:pPr>
      <w:r>
        <w:rPr>
          <w:b/>
          <w:sz w:val="16"/>
        </w:rPr>
        <w:t>La utilización del término </w:t>
      </w:r>
      <w:r>
        <w:rPr>
          <w:b/>
          <w:i/>
          <w:sz w:val="16"/>
        </w:rPr>
        <w:t>tierras </w:t>
      </w:r>
      <w:r>
        <w:rPr>
          <w:b/>
          <w:sz w:val="16"/>
        </w:rPr>
        <w:t>en los artículos 15 y 16 deberá incluir el concepto de territorios, </w:t>
      </w:r>
      <w:r>
        <w:rPr>
          <w:sz w:val="16"/>
        </w:rPr>
        <w:t>lo que cubre la totalidad del hábitat de las regiones que los pueblos interesados ocupan o utilizan de alguna otra manera. (</w:t>
      </w:r>
      <w:r>
        <w:rPr>
          <w:i/>
          <w:sz w:val="16"/>
        </w:rPr>
        <w:t>Énfasis</w:t>
      </w:r>
      <w:r>
        <w:rPr>
          <w:i/>
          <w:spacing w:val="-14"/>
          <w:sz w:val="16"/>
        </w:rPr>
        <w:t> </w:t>
      </w:r>
      <w:r>
        <w:rPr>
          <w:i/>
          <w:sz w:val="16"/>
        </w:rPr>
        <w:t>añadido</w:t>
      </w:r>
      <w:r>
        <w:rPr>
          <w:sz w:val="16"/>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Como se advierte del artículo transcrito del Convenio No. 169 de la OIT, en su primer apartado, alude a “tierras o territorios” y luego agrega “o a ambos”, mientras que el segundo apartado del mismo precepto aclara que el término “tierras”, en los artículos 15 y 16 de ese instrumento —referidos a derechos sobre recursos naturales y pautas relativas al traslado de pueblos indígenas de las tierras que ocupan—, “deberá incluir el concepto de territorios, lo que cubre la totalidad del hábitat de las regiones que los pueblos interesados ocupan o utilizan de alguna otra manera”. La OIT ha señalado al explicar el artículo 13 citado, que “[e]l territorio es la base de la economía y las estrategias de sustento, las instituciones tradicionales, el bienestar espiritual y la identidad cultural particular de la mayoría de los pueblos indígenas”</w:t>
      </w:r>
      <w:r>
        <w:rPr>
          <w:spacing w:val="-40"/>
          <w:sz w:val="20"/>
        </w:rPr>
        <w:t> </w:t>
      </w:r>
      <w:r>
        <w:rPr>
          <w:position w:val="7"/>
          <w:sz w:val="13"/>
        </w:rPr>
        <w:t>20</w:t>
      </w:r>
      <w:r>
        <w:rPr>
          <w:sz w:val="20"/>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11" w:firstLine="0"/>
        <w:jc w:val="both"/>
        <w:rPr>
          <w:sz w:val="20"/>
        </w:rPr>
      </w:pPr>
      <w:r>
        <w:rPr>
          <w:sz w:val="20"/>
        </w:rPr>
        <w:t>De manera muy clara, la Declaración de Naciones Unidas sobre los Derechos de los Pueblos Indígenas adoptada en 2007, prevé la protección brindada tanto para la tierra</w:t>
      </w:r>
      <w:r>
        <w:rPr>
          <w:spacing w:val="-9"/>
          <w:sz w:val="20"/>
        </w:rPr>
        <w:t> </w:t>
      </w:r>
      <w:r>
        <w:rPr>
          <w:sz w:val="20"/>
        </w:rPr>
        <w:t>como</w:t>
      </w:r>
      <w:r>
        <w:rPr>
          <w:spacing w:val="-9"/>
          <w:sz w:val="20"/>
        </w:rPr>
        <w:t> </w:t>
      </w:r>
      <w:r>
        <w:rPr>
          <w:sz w:val="20"/>
        </w:rPr>
        <w:t>para</w:t>
      </w:r>
      <w:r>
        <w:rPr>
          <w:spacing w:val="-7"/>
          <w:sz w:val="20"/>
        </w:rPr>
        <w:t> </w:t>
      </w:r>
      <w:r>
        <w:rPr>
          <w:sz w:val="20"/>
        </w:rPr>
        <w:t>el</w:t>
      </w:r>
      <w:r>
        <w:rPr>
          <w:spacing w:val="-7"/>
          <w:sz w:val="20"/>
        </w:rPr>
        <w:t> </w:t>
      </w:r>
      <w:r>
        <w:rPr>
          <w:sz w:val="20"/>
        </w:rPr>
        <w:t>territorio,</w:t>
      </w:r>
      <w:r>
        <w:rPr>
          <w:spacing w:val="-7"/>
          <w:sz w:val="20"/>
        </w:rPr>
        <w:t> </w:t>
      </w:r>
      <w:r>
        <w:rPr>
          <w:sz w:val="20"/>
        </w:rPr>
        <w:t>de</w:t>
      </w:r>
      <w:r>
        <w:rPr>
          <w:spacing w:val="-6"/>
          <w:sz w:val="20"/>
        </w:rPr>
        <w:t> </w:t>
      </w:r>
      <w:r>
        <w:rPr>
          <w:sz w:val="20"/>
        </w:rPr>
        <w:t>manera</w:t>
      </w:r>
      <w:r>
        <w:rPr>
          <w:spacing w:val="-9"/>
          <w:sz w:val="20"/>
        </w:rPr>
        <w:t> </w:t>
      </w:r>
      <w:r>
        <w:rPr>
          <w:sz w:val="20"/>
        </w:rPr>
        <w:t>diferenciada</w:t>
      </w:r>
      <w:r>
        <w:rPr>
          <w:spacing w:val="-7"/>
          <w:sz w:val="20"/>
        </w:rPr>
        <w:t> </w:t>
      </w:r>
      <w:r>
        <w:rPr>
          <w:sz w:val="20"/>
        </w:rPr>
        <w:t>y</w:t>
      </w:r>
      <w:r>
        <w:rPr>
          <w:spacing w:val="-8"/>
          <w:sz w:val="20"/>
        </w:rPr>
        <w:t> </w:t>
      </w:r>
      <w:r>
        <w:rPr>
          <w:sz w:val="20"/>
        </w:rPr>
        <w:t>sin</w:t>
      </w:r>
      <w:r>
        <w:rPr>
          <w:spacing w:val="-7"/>
          <w:sz w:val="20"/>
        </w:rPr>
        <w:t> </w:t>
      </w:r>
      <w:r>
        <w:rPr>
          <w:sz w:val="20"/>
        </w:rPr>
        <w:t>subsumir</w:t>
      </w:r>
      <w:r>
        <w:rPr>
          <w:spacing w:val="-7"/>
          <w:sz w:val="20"/>
        </w:rPr>
        <w:t> </w:t>
      </w:r>
      <w:r>
        <w:rPr>
          <w:sz w:val="20"/>
        </w:rPr>
        <w:t>“el</w:t>
      </w:r>
      <w:r>
        <w:rPr>
          <w:spacing w:val="-7"/>
          <w:sz w:val="20"/>
        </w:rPr>
        <w:t> </w:t>
      </w:r>
      <w:r>
        <w:rPr>
          <w:sz w:val="20"/>
        </w:rPr>
        <w:t>territorio”</w:t>
      </w:r>
      <w:r>
        <w:rPr>
          <w:spacing w:val="-8"/>
          <w:sz w:val="20"/>
        </w:rPr>
        <w:t> </w:t>
      </w:r>
      <w:r>
        <w:rPr>
          <w:sz w:val="20"/>
        </w:rPr>
        <w:t>en</w:t>
      </w:r>
      <w:r>
        <w:rPr>
          <w:spacing w:val="-8"/>
          <w:sz w:val="20"/>
        </w:rPr>
        <w:t> </w:t>
      </w:r>
      <w:r>
        <w:rPr>
          <w:sz w:val="20"/>
        </w:rPr>
        <w:t>el concepto de “tierra”. El artículo 25</w:t>
      </w:r>
      <w:r>
        <w:rPr>
          <w:spacing w:val="-9"/>
          <w:sz w:val="20"/>
        </w:rPr>
        <w:t> </w:t>
      </w:r>
      <w:r>
        <w:rPr>
          <w:sz w:val="20"/>
        </w:rPr>
        <w:t>señala:</w:t>
      </w:r>
    </w:p>
    <w:p>
      <w:pPr>
        <w:pStyle w:val="BodyText"/>
        <w:spacing w:before="10"/>
        <w:rPr>
          <w:sz w:val="19"/>
        </w:rPr>
      </w:pPr>
    </w:p>
    <w:p>
      <w:pPr>
        <w:spacing w:before="0"/>
        <w:ind w:left="421" w:right="614" w:firstLine="0"/>
        <w:jc w:val="center"/>
        <w:rPr>
          <w:sz w:val="16"/>
        </w:rPr>
      </w:pPr>
      <w:r>
        <w:rPr>
          <w:sz w:val="16"/>
        </w:rPr>
        <w:t>Artículo 25</w:t>
      </w:r>
    </w:p>
    <w:p>
      <w:pPr>
        <w:pStyle w:val="BodyText"/>
        <w:rPr>
          <w:sz w:val="16"/>
        </w:rPr>
      </w:pPr>
    </w:p>
    <w:p>
      <w:pPr>
        <w:spacing w:before="0"/>
        <w:ind w:left="826" w:right="311" w:firstLine="0"/>
        <w:jc w:val="both"/>
        <w:rPr>
          <w:sz w:val="16"/>
        </w:rPr>
      </w:pPr>
      <w:r>
        <w:rPr>
          <w:sz w:val="16"/>
        </w:rPr>
        <w:t>Los pueblos indígenas tienen derecho a mantener y fortalecer su propia relación espiritual con </w:t>
      </w:r>
      <w:r>
        <w:rPr>
          <w:b/>
          <w:sz w:val="16"/>
        </w:rPr>
        <w:t>las tierras, territorios, aguas, mares costeros y otros recursos </w:t>
      </w:r>
      <w:r>
        <w:rPr>
          <w:sz w:val="16"/>
        </w:rPr>
        <w:t>que tradicionalmente han poseído u</w:t>
      </w:r>
      <w:r>
        <w:rPr>
          <w:spacing w:val="-5"/>
          <w:sz w:val="16"/>
        </w:rPr>
        <w:t> </w:t>
      </w:r>
      <w:r>
        <w:rPr>
          <w:sz w:val="16"/>
        </w:rPr>
        <w:t>ocupado</w:t>
      </w:r>
      <w:r>
        <w:rPr>
          <w:spacing w:val="-4"/>
          <w:sz w:val="16"/>
        </w:rPr>
        <w:t> </w:t>
      </w:r>
      <w:r>
        <w:rPr>
          <w:sz w:val="16"/>
        </w:rPr>
        <w:t>y</w:t>
      </w:r>
      <w:r>
        <w:rPr>
          <w:spacing w:val="-4"/>
          <w:sz w:val="16"/>
        </w:rPr>
        <w:t> </w:t>
      </w:r>
      <w:r>
        <w:rPr>
          <w:sz w:val="16"/>
        </w:rPr>
        <w:t>utilizado</w:t>
      </w:r>
      <w:r>
        <w:rPr>
          <w:spacing w:val="-3"/>
          <w:sz w:val="16"/>
        </w:rPr>
        <w:t> </w:t>
      </w:r>
      <w:r>
        <w:rPr>
          <w:sz w:val="16"/>
        </w:rPr>
        <w:t>y</w:t>
      </w:r>
      <w:r>
        <w:rPr>
          <w:spacing w:val="-4"/>
          <w:sz w:val="16"/>
        </w:rPr>
        <w:t> </w:t>
      </w:r>
      <w:r>
        <w:rPr>
          <w:sz w:val="16"/>
        </w:rPr>
        <w:t>a</w:t>
      </w:r>
      <w:r>
        <w:rPr>
          <w:spacing w:val="-4"/>
          <w:sz w:val="16"/>
        </w:rPr>
        <w:t> </w:t>
      </w:r>
      <w:r>
        <w:rPr>
          <w:sz w:val="16"/>
        </w:rPr>
        <w:t>asumir</w:t>
      </w:r>
      <w:r>
        <w:rPr>
          <w:spacing w:val="-3"/>
          <w:sz w:val="16"/>
        </w:rPr>
        <w:t> </w:t>
      </w:r>
      <w:r>
        <w:rPr>
          <w:sz w:val="16"/>
        </w:rPr>
        <w:t>las</w:t>
      </w:r>
      <w:r>
        <w:rPr>
          <w:spacing w:val="-5"/>
          <w:sz w:val="16"/>
        </w:rPr>
        <w:t> </w:t>
      </w:r>
      <w:r>
        <w:rPr>
          <w:sz w:val="16"/>
        </w:rPr>
        <w:t>responsabilidades</w:t>
      </w:r>
      <w:r>
        <w:rPr>
          <w:spacing w:val="-5"/>
          <w:sz w:val="16"/>
        </w:rPr>
        <w:t> </w:t>
      </w:r>
      <w:r>
        <w:rPr>
          <w:sz w:val="16"/>
        </w:rPr>
        <w:t>que</w:t>
      </w:r>
      <w:r>
        <w:rPr>
          <w:spacing w:val="-4"/>
          <w:sz w:val="16"/>
        </w:rPr>
        <w:t> </w:t>
      </w:r>
      <w:r>
        <w:rPr>
          <w:sz w:val="16"/>
        </w:rPr>
        <w:t>a</w:t>
      </w:r>
      <w:r>
        <w:rPr>
          <w:spacing w:val="-5"/>
          <w:sz w:val="16"/>
        </w:rPr>
        <w:t> </w:t>
      </w:r>
      <w:r>
        <w:rPr>
          <w:sz w:val="16"/>
        </w:rPr>
        <w:t>ese</w:t>
      </w:r>
      <w:r>
        <w:rPr>
          <w:spacing w:val="-5"/>
          <w:sz w:val="16"/>
        </w:rPr>
        <w:t> </w:t>
      </w:r>
      <w:r>
        <w:rPr>
          <w:sz w:val="16"/>
        </w:rPr>
        <w:t>respecto</w:t>
      </w:r>
      <w:r>
        <w:rPr>
          <w:spacing w:val="-3"/>
          <w:sz w:val="16"/>
        </w:rPr>
        <w:t> </w:t>
      </w:r>
      <w:r>
        <w:rPr>
          <w:sz w:val="16"/>
        </w:rPr>
        <w:t>les</w:t>
      </w:r>
      <w:r>
        <w:rPr>
          <w:spacing w:val="-4"/>
          <w:sz w:val="16"/>
        </w:rPr>
        <w:t> </w:t>
      </w:r>
      <w:r>
        <w:rPr>
          <w:sz w:val="16"/>
        </w:rPr>
        <w:t>incumben</w:t>
      </w:r>
      <w:r>
        <w:rPr>
          <w:spacing w:val="-5"/>
          <w:sz w:val="16"/>
        </w:rPr>
        <w:t> </w:t>
      </w:r>
      <w:r>
        <w:rPr>
          <w:sz w:val="16"/>
        </w:rPr>
        <w:t>para</w:t>
      </w:r>
      <w:r>
        <w:rPr>
          <w:spacing w:val="-4"/>
          <w:sz w:val="16"/>
        </w:rPr>
        <w:t> </w:t>
      </w:r>
      <w:r>
        <w:rPr>
          <w:sz w:val="16"/>
        </w:rPr>
        <w:t>con</w:t>
      </w:r>
      <w:r>
        <w:rPr>
          <w:spacing w:val="-4"/>
          <w:sz w:val="16"/>
        </w:rPr>
        <w:t> </w:t>
      </w:r>
      <w:r>
        <w:rPr>
          <w:sz w:val="16"/>
        </w:rPr>
        <w:t>las generaciones venideras. (</w:t>
      </w:r>
      <w:r>
        <w:rPr>
          <w:i/>
          <w:sz w:val="16"/>
        </w:rPr>
        <w:t>Énfasis</w:t>
      </w:r>
      <w:r>
        <w:rPr>
          <w:i/>
          <w:spacing w:val="-16"/>
          <w:sz w:val="16"/>
        </w:rPr>
        <w:t> </w:t>
      </w:r>
      <w:r>
        <w:rPr>
          <w:i/>
          <w:sz w:val="16"/>
        </w:rPr>
        <w:t>añadido</w:t>
      </w:r>
      <w:r>
        <w:rPr>
          <w:sz w:val="16"/>
        </w:rPr>
        <w:t>).</w:t>
      </w:r>
    </w:p>
    <w:p>
      <w:pPr>
        <w:pStyle w:val="BodyText"/>
        <w:spacing w:before="11"/>
        <w:rPr>
          <w:sz w:val="15"/>
        </w:rPr>
      </w:pPr>
    </w:p>
    <w:p>
      <w:pPr>
        <w:pStyle w:val="ListParagraph"/>
        <w:numPr>
          <w:ilvl w:val="0"/>
          <w:numId w:val="77"/>
        </w:numPr>
        <w:tabs>
          <w:tab w:pos="827" w:val="left" w:leader="none"/>
        </w:tabs>
        <w:spacing w:line="240" w:lineRule="auto" w:before="0" w:after="0"/>
        <w:ind w:left="826" w:right="0" w:hanging="708"/>
        <w:jc w:val="both"/>
        <w:rPr>
          <w:sz w:val="20"/>
        </w:rPr>
      </w:pPr>
      <w:r>
        <w:rPr>
          <w:sz w:val="20"/>
        </w:rPr>
        <w:t>Asimismo, el artículo 26 de la misma Declaración</w:t>
      </w:r>
      <w:r>
        <w:rPr>
          <w:spacing w:val="-9"/>
          <w:sz w:val="20"/>
        </w:rPr>
        <w:t> </w:t>
      </w:r>
      <w:r>
        <w:rPr>
          <w:sz w:val="20"/>
        </w:rPr>
        <w:t>precisa:</w:t>
      </w:r>
    </w:p>
    <w:p>
      <w:pPr>
        <w:pStyle w:val="BodyText"/>
      </w:pPr>
    </w:p>
    <w:p>
      <w:pPr>
        <w:spacing w:before="0"/>
        <w:ind w:left="422" w:right="559" w:firstLine="0"/>
        <w:jc w:val="center"/>
        <w:rPr>
          <w:sz w:val="16"/>
        </w:rPr>
      </w:pPr>
      <w:r>
        <w:rPr>
          <w:sz w:val="16"/>
        </w:rPr>
        <w:t>Artículo 26</w:t>
      </w:r>
    </w:p>
    <w:p>
      <w:pPr>
        <w:pStyle w:val="BodyText"/>
        <w:spacing w:before="11"/>
        <w:rPr>
          <w:sz w:val="15"/>
        </w:rPr>
      </w:pPr>
    </w:p>
    <w:p>
      <w:pPr>
        <w:pStyle w:val="ListParagraph"/>
        <w:numPr>
          <w:ilvl w:val="1"/>
          <w:numId w:val="77"/>
        </w:numPr>
        <w:tabs>
          <w:tab w:pos="1041" w:val="left" w:leader="none"/>
        </w:tabs>
        <w:spacing w:line="240" w:lineRule="auto" w:before="0" w:after="0"/>
        <w:ind w:left="826" w:right="312" w:firstLine="0"/>
        <w:jc w:val="both"/>
        <w:rPr>
          <w:sz w:val="16"/>
        </w:rPr>
      </w:pPr>
      <w:r>
        <w:rPr>
          <w:sz w:val="16"/>
        </w:rPr>
        <w:t>Los</w:t>
      </w:r>
      <w:r>
        <w:rPr>
          <w:spacing w:val="-6"/>
          <w:sz w:val="16"/>
        </w:rPr>
        <w:t> </w:t>
      </w:r>
      <w:r>
        <w:rPr>
          <w:sz w:val="16"/>
        </w:rPr>
        <w:t>pueblos</w:t>
      </w:r>
      <w:r>
        <w:rPr>
          <w:spacing w:val="-6"/>
          <w:sz w:val="16"/>
        </w:rPr>
        <w:t> </w:t>
      </w:r>
      <w:r>
        <w:rPr>
          <w:sz w:val="16"/>
        </w:rPr>
        <w:t>indígenas</w:t>
      </w:r>
      <w:r>
        <w:rPr>
          <w:spacing w:val="-6"/>
          <w:sz w:val="16"/>
        </w:rPr>
        <w:t> </w:t>
      </w:r>
      <w:r>
        <w:rPr>
          <w:sz w:val="16"/>
        </w:rPr>
        <w:t>tienen</w:t>
      </w:r>
      <w:r>
        <w:rPr>
          <w:spacing w:val="-6"/>
          <w:sz w:val="16"/>
        </w:rPr>
        <w:t> </w:t>
      </w:r>
      <w:r>
        <w:rPr>
          <w:sz w:val="16"/>
        </w:rPr>
        <w:t>derecho</w:t>
      </w:r>
      <w:r>
        <w:rPr>
          <w:spacing w:val="-5"/>
          <w:sz w:val="16"/>
        </w:rPr>
        <w:t> </w:t>
      </w:r>
      <w:r>
        <w:rPr>
          <w:b/>
          <w:sz w:val="16"/>
        </w:rPr>
        <w:t>a</w:t>
      </w:r>
      <w:r>
        <w:rPr>
          <w:b/>
          <w:spacing w:val="-6"/>
          <w:sz w:val="16"/>
        </w:rPr>
        <w:t> </w:t>
      </w:r>
      <w:r>
        <w:rPr>
          <w:b/>
          <w:sz w:val="16"/>
        </w:rPr>
        <w:t>las</w:t>
      </w:r>
      <w:r>
        <w:rPr>
          <w:b/>
          <w:spacing w:val="-6"/>
          <w:sz w:val="16"/>
        </w:rPr>
        <w:t> </w:t>
      </w:r>
      <w:r>
        <w:rPr>
          <w:b/>
          <w:sz w:val="16"/>
        </w:rPr>
        <w:t>tierras,</w:t>
      </w:r>
      <w:r>
        <w:rPr>
          <w:b/>
          <w:spacing w:val="-6"/>
          <w:sz w:val="16"/>
        </w:rPr>
        <w:t> </w:t>
      </w:r>
      <w:r>
        <w:rPr>
          <w:b/>
          <w:sz w:val="16"/>
        </w:rPr>
        <w:t>territorios</w:t>
      </w:r>
      <w:r>
        <w:rPr>
          <w:b/>
          <w:spacing w:val="-6"/>
          <w:sz w:val="16"/>
        </w:rPr>
        <w:t> </w:t>
      </w:r>
      <w:r>
        <w:rPr>
          <w:b/>
          <w:sz w:val="16"/>
        </w:rPr>
        <w:t>y</w:t>
      </w:r>
      <w:r>
        <w:rPr>
          <w:b/>
          <w:spacing w:val="-6"/>
          <w:sz w:val="16"/>
        </w:rPr>
        <w:t> </w:t>
      </w:r>
      <w:r>
        <w:rPr>
          <w:b/>
          <w:sz w:val="16"/>
        </w:rPr>
        <w:t>recurso</w:t>
      </w:r>
      <w:r>
        <w:rPr>
          <w:sz w:val="16"/>
        </w:rPr>
        <w:t>s</w:t>
      </w:r>
      <w:r>
        <w:rPr>
          <w:spacing w:val="-6"/>
          <w:sz w:val="16"/>
        </w:rPr>
        <w:t> </w:t>
      </w:r>
      <w:r>
        <w:rPr>
          <w:sz w:val="16"/>
        </w:rPr>
        <w:t>que</w:t>
      </w:r>
      <w:r>
        <w:rPr>
          <w:spacing w:val="-6"/>
          <w:sz w:val="16"/>
        </w:rPr>
        <w:t> </w:t>
      </w:r>
      <w:r>
        <w:rPr>
          <w:sz w:val="16"/>
        </w:rPr>
        <w:t>tradicionalmente han poseído, ocupado o utilizado o</w:t>
      </w:r>
      <w:r>
        <w:rPr>
          <w:spacing w:val="-15"/>
          <w:sz w:val="16"/>
        </w:rPr>
        <w:t> </w:t>
      </w:r>
      <w:r>
        <w:rPr>
          <w:sz w:val="16"/>
        </w:rPr>
        <w:t>adquirido.</w:t>
      </w:r>
    </w:p>
    <w:p>
      <w:pPr>
        <w:pStyle w:val="BodyText"/>
        <w:spacing w:before="11"/>
        <w:rPr>
          <w:sz w:val="15"/>
        </w:rPr>
      </w:pPr>
    </w:p>
    <w:p>
      <w:pPr>
        <w:pStyle w:val="ListParagraph"/>
        <w:numPr>
          <w:ilvl w:val="1"/>
          <w:numId w:val="77"/>
        </w:numPr>
        <w:tabs>
          <w:tab w:pos="1083" w:val="left" w:leader="none"/>
        </w:tabs>
        <w:spacing w:line="240" w:lineRule="auto" w:before="0" w:after="0"/>
        <w:ind w:left="826" w:right="311" w:firstLine="0"/>
        <w:jc w:val="both"/>
        <w:rPr>
          <w:sz w:val="16"/>
        </w:rPr>
      </w:pPr>
      <w:r>
        <w:rPr>
          <w:sz w:val="16"/>
        </w:rPr>
        <w:t>Los pueblos indígenas tienen derecho a poseer, utilizar, desarrollar y controlar </w:t>
      </w:r>
      <w:r>
        <w:rPr>
          <w:b/>
          <w:sz w:val="16"/>
        </w:rPr>
        <w:t>las tierras, territorios y recursos </w:t>
      </w:r>
      <w:r>
        <w:rPr>
          <w:sz w:val="16"/>
        </w:rPr>
        <w:t>que poseen en razón de la propiedad tradicional u otro tipo tradicional de ocupación o utilización, así como aquellos que hayan adquirido de otra</w:t>
      </w:r>
      <w:r>
        <w:rPr>
          <w:spacing w:val="-26"/>
          <w:sz w:val="16"/>
        </w:rPr>
        <w:t> </w:t>
      </w:r>
      <w:r>
        <w:rPr>
          <w:sz w:val="16"/>
        </w:rPr>
        <w:t>forma.</w:t>
      </w:r>
    </w:p>
    <w:p>
      <w:pPr>
        <w:pStyle w:val="BodyText"/>
        <w:spacing w:before="11"/>
        <w:rPr>
          <w:sz w:val="15"/>
        </w:rPr>
      </w:pPr>
    </w:p>
    <w:p>
      <w:pPr>
        <w:pStyle w:val="ListParagraph"/>
        <w:numPr>
          <w:ilvl w:val="1"/>
          <w:numId w:val="77"/>
        </w:numPr>
        <w:tabs>
          <w:tab w:pos="1055" w:val="left" w:leader="none"/>
        </w:tabs>
        <w:spacing w:line="240" w:lineRule="auto" w:before="0" w:after="0"/>
        <w:ind w:left="826" w:right="311" w:firstLine="0"/>
        <w:jc w:val="both"/>
        <w:rPr>
          <w:sz w:val="16"/>
        </w:rPr>
      </w:pPr>
      <w:r>
        <w:rPr>
          <w:sz w:val="16"/>
        </w:rPr>
        <w:t>Los Estados asegurarán el reconocimiento y protección jurídicos de </w:t>
      </w:r>
      <w:r>
        <w:rPr>
          <w:b/>
          <w:sz w:val="16"/>
        </w:rPr>
        <w:t>esas tierras, territorios y recursos</w:t>
      </w:r>
      <w:r>
        <w:rPr>
          <w:sz w:val="16"/>
        </w:rPr>
        <w:t>. Dicho reconocimiento respetará debidamente las costumbres, las tradiciones y los sistemas de tenencia de la tierra de los pueblos indígenas de que se trate. (</w:t>
      </w:r>
      <w:r>
        <w:rPr>
          <w:i/>
          <w:sz w:val="16"/>
        </w:rPr>
        <w:t>Énfasis</w:t>
      </w:r>
      <w:r>
        <w:rPr>
          <w:i/>
          <w:spacing w:val="-30"/>
          <w:sz w:val="16"/>
        </w:rPr>
        <w:t> </w:t>
      </w:r>
      <w:r>
        <w:rPr>
          <w:i/>
          <w:sz w:val="16"/>
        </w:rPr>
        <w:t>añadido</w:t>
      </w:r>
      <w:r>
        <w:rPr>
          <w:sz w:val="16"/>
        </w:rPr>
        <w:t>).</w:t>
      </w:r>
    </w:p>
    <w:p>
      <w:pPr>
        <w:pStyle w:val="BodyText"/>
        <w:spacing w:before="12"/>
        <w:rPr>
          <w:sz w:val="15"/>
        </w:rPr>
      </w:pPr>
    </w:p>
    <w:p>
      <w:pPr>
        <w:pStyle w:val="ListParagraph"/>
        <w:numPr>
          <w:ilvl w:val="0"/>
          <w:numId w:val="77"/>
        </w:numPr>
        <w:tabs>
          <w:tab w:pos="827" w:val="left" w:leader="none"/>
        </w:tabs>
        <w:spacing w:line="240" w:lineRule="auto" w:before="0" w:after="0"/>
        <w:ind w:left="826" w:right="0" w:hanging="708"/>
        <w:jc w:val="both"/>
        <w:rPr>
          <w:sz w:val="20"/>
        </w:rPr>
      </w:pPr>
      <w:r>
        <w:rPr>
          <w:sz w:val="20"/>
        </w:rPr>
        <w:t>Lo indicado y expresado por la Declaración de Naciones Unidas, fue </w:t>
      </w:r>
      <w:r>
        <w:rPr>
          <w:spacing w:val="24"/>
          <w:sz w:val="20"/>
        </w:rPr>
        <w:t> </w:t>
      </w:r>
      <w:r>
        <w:rPr>
          <w:sz w:val="20"/>
        </w:rPr>
        <w:t>reafirmado</w:t>
      </w:r>
    </w:p>
    <w:p>
      <w:pPr>
        <w:pStyle w:val="BodyText"/>
        <w:ind w:left="118" w:right="311"/>
        <w:jc w:val="both"/>
      </w:pPr>
      <w:r>
        <w:rPr/>
        <w:t>—con</w:t>
      </w:r>
      <w:r>
        <w:rPr>
          <w:spacing w:val="-6"/>
        </w:rPr>
        <w:t> </w:t>
      </w:r>
      <w:r>
        <w:rPr/>
        <w:t>ciertos</w:t>
      </w:r>
      <w:r>
        <w:rPr>
          <w:spacing w:val="-5"/>
        </w:rPr>
        <w:t> </w:t>
      </w:r>
      <w:r>
        <w:rPr/>
        <w:t>matices—</w:t>
      </w:r>
      <w:r>
        <w:rPr>
          <w:spacing w:val="-7"/>
        </w:rPr>
        <w:t> </w:t>
      </w:r>
      <w:r>
        <w:rPr/>
        <w:t>por</w:t>
      </w:r>
      <w:r>
        <w:rPr>
          <w:spacing w:val="-5"/>
        </w:rPr>
        <w:t> </w:t>
      </w:r>
      <w:r>
        <w:rPr/>
        <w:t>la</w:t>
      </w:r>
      <w:r>
        <w:rPr>
          <w:spacing w:val="-6"/>
        </w:rPr>
        <w:t> </w:t>
      </w:r>
      <w:r>
        <w:rPr/>
        <w:t>Declaración</w:t>
      </w:r>
      <w:r>
        <w:rPr>
          <w:spacing w:val="-5"/>
        </w:rPr>
        <w:t> </w:t>
      </w:r>
      <w:r>
        <w:rPr/>
        <w:t>Americana</w:t>
      </w:r>
      <w:r>
        <w:rPr>
          <w:spacing w:val="-6"/>
        </w:rPr>
        <w:t> </w:t>
      </w:r>
      <w:r>
        <w:rPr/>
        <w:t>sobre</w:t>
      </w:r>
      <w:r>
        <w:rPr>
          <w:spacing w:val="-6"/>
        </w:rPr>
        <w:t> </w:t>
      </w:r>
      <w:r>
        <w:rPr/>
        <w:t>los</w:t>
      </w:r>
      <w:r>
        <w:rPr>
          <w:spacing w:val="-6"/>
        </w:rPr>
        <w:t> </w:t>
      </w:r>
      <w:r>
        <w:rPr/>
        <w:t>Derechos</w:t>
      </w:r>
      <w:r>
        <w:rPr>
          <w:spacing w:val="-5"/>
        </w:rPr>
        <w:t> </w:t>
      </w:r>
      <w:r>
        <w:rPr/>
        <w:t>de</w:t>
      </w:r>
      <w:r>
        <w:rPr>
          <w:spacing w:val="-5"/>
        </w:rPr>
        <w:t> </w:t>
      </w:r>
      <w:r>
        <w:rPr/>
        <w:t>los</w:t>
      </w:r>
      <w:r>
        <w:rPr>
          <w:spacing w:val="-6"/>
        </w:rPr>
        <w:t> </w:t>
      </w:r>
      <w:r>
        <w:rPr/>
        <w:t>Pueblos Indígenas</w:t>
      </w:r>
      <w:r>
        <w:rPr>
          <w:spacing w:val="-17"/>
        </w:rPr>
        <w:t> </w:t>
      </w:r>
      <w:r>
        <w:rPr/>
        <w:t>de</w:t>
      </w:r>
      <w:r>
        <w:rPr>
          <w:spacing w:val="-16"/>
        </w:rPr>
        <w:t> </w:t>
      </w:r>
      <w:r>
        <w:rPr/>
        <w:t>2016.</w:t>
      </w:r>
      <w:r>
        <w:rPr>
          <w:spacing w:val="-18"/>
        </w:rPr>
        <w:t> </w:t>
      </w:r>
      <w:r>
        <w:rPr/>
        <w:t>Particularmente</w:t>
      </w:r>
      <w:r>
        <w:rPr>
          <w:spacing w:val="-17"/>
        </w:rPr>
        <w:t> </w:t>
      </w:r>
      <w:r>
        <w:rPr/>
        <w:t>la</w:t>
      </w:r>
      <w:r>
        <w:rPr>
          <w:spacing w:val="-17"/>
        </w:rPr>
        <w:t> </w:t>
      </w:r>
      <w:r>
        <w:rPr/>
        <w:t>Declaración</w:t>
      </w:r>
      <w:r>
        <w:rPr>
          <w:spacing w:val="-16"/>
        </w:rPr>
        <w:t> </w:t>
      </w:r>
      <w:r>
        <w:rPr/>
        <w:t>agrega</w:t>
      </w:r>
      <w:r>
        <w:rPr>
          <w:spacing w:val="-16"/>
        </w:rPr>
        <w:t> </w:t>
      </w:r>
      <w:r>
        <w:rPr/>
        <w:t>como</w:t>
      </w:r>
      <w:r>
        <w:rPr>
          <w:spacing w:val="-17"/>
        </w:rPr>
        <w:t> </w:t>
      </w:r>
      <w:r>
        <w:rPr/>
        <w:t>un</w:t>
      </w:r>
      <w:r>
        <w:rPr>
          <w:spacing w:val="-16"/>
        </w:rPr>
        <w:t> </w:t>
      </w:r>
      <w:r>
        <w:rPr/>
        <w:t>aspecto</w:t>
      </w:r>
      <w:r>
        <w:rPr>
          <w:spacing w:val="-17"/>
        </w:rPr>
        <w:t> </w:t>
      </w:r>
      <w:r>
        <w:rPr/>
        <w:t>diferenciado de la tierra y el territorio, al medio ambiente. Así el artículo XIX</w:t>
      </w:r>
      <w:r>
        <w:rPr>
          <w:spacing w:val="-23"/>
        </w:rPr>
        <w:t> </w:t>
      </w:r>
      <w:r>
        <w:rPr/>
        <w:t>prescribe:</w:t>
      </w:r>
    </w:p>
    <w:p>
      <w:pPr>
        <w:pStyle w:val="BodyText"/>
        <w:spacing w:before="10"/>
        <w:rPr>
          <w:sz w:val="19"/>
        </w:rPr>
      </w:pPr>
    </w:p>
    <w:p>
      <w:pPr>
        <w:spacing w:before="1"/>
        <w:ind w:left="422" w:right="614" w:firstLine="0"/>
        <w:jc w:val="center"/>
        <w:rPr>
          <w:sz w:val="16"/>
        </w:rPr>
      </w:pPr>
      <w:r>
        <w:rPr>
          <w:sz w:val="16"/>
        </w:rPr>
        <w:t>Artículo XIX. Derecho a la protección del medio ambiente sano</w:t>
      </w:r>
    </w:p>
    <w:p>
      <w:pPr>
        <w:pStyle w:val="BodyText"/>
      </w:pPr>
    </w:p>
    <w:p>
      <w:pPr>
        <w:pStyle w:val="BodyText"/>
      </w:pPr>
    </w:p>
    <w:p>
      <w:pPr>
        <w:pStyle w:val="BodyText"/>
        <w:spacing w:before="5"/>
        <w:rPr>
          <w:sz w:val="25"/>
        </w:rPr>
      </w:pPr>
      <w:r>
        <w:rPr/>
        <w:pict>
          <v:line style="position:absolute;mso-position-horizontal-relative:page;mso-position-vertical-relative:paragraph;z-index:4816;mso-wrap-distance-left:0;mso-wrap-distance-right:0" from="70.919998pt,17.698608pt" to="214.939998pt,17.698608pt" stroked="true" strokeweight=".599980pt" strokecolor="#000000">
            <v:stroke dashstyle="solid"/>
            <w10:wrap type="topAndBottom"/>
          </v:line>
        </w:pict>
      </w:r>
    </w:p>
    <w:p>
      <w:pPr>
        <w:tabs>
          <w:tab w:pos="826" w:val="left" w:leader="none"/>
        </w:tabs>
        <w:spacing w:before="73"/>
        <w:ind w:left="118" w:right="311" w:firstLine="0"/>
        <w:jc w:val="both"/>
        <w:rPr>
          <w:sz w:val="16"/>
        </w:rPr>
      </w:pPr>
      <w:r>
        <w:rPr>
          <w:position w:val="6"/>
          <w:sz w:val="10"/>
        </w:rPr>
        <w:t>20</w:t>
        <w:tab/>
      </w:r>
      <w:r>
        <w:rPr>
          <w:sz w:val="16"/>
        </w:rPr>
        <w:t>Organización</w:t>
      </w:r>
      <w:r>
        <w:rPr>
          <w:spacing w:val="-11"/>
          <w:sz w:val="16"/>
        </w:rPr>
        <w:t> </w:t>
      </w:r>
      <w:r>
        <w:rPr>
          <w:sz w:val="16"/>
        </w:rPr>
        <w:t>Internacioal</w:t>
      </w:r>
      <w:r>
        <w:rPr>
          <w:spacing w:val="-10"/>
          <w:sz w:val="16"/>
        </w:rPr>
        <w:t> </w:t>
      </w:r>
      <w:r>
        <w:rPr>
          <w:sz w:val="16"/>
        </w:rPr>
        <w:t>del</w:t>
      </w:r>
      <w:r>
        <w:rPr>
          <w:spacing w:val="-12"/>
          <w:sz w:val="16"/>
        </w:rPr>
        <w:t> </w:t>
      </w:r>
      <w:r>
        <w:rPr>
          <w:sz w:val="16"/>
        </w:rPr>
        <w:t>Trabajo,</w:t>
      </w:r>
      <w:r>
        <w:rPr>
          <w:spacing w:val="-11"/>
          <w:sz w:val="16"/>
        </w:rPr>
        <w:t> </w:t>
      </w:r>
      <w:r>
        <w:rPr>
          <w:sz w:val="16"/>
        </w:rPr>
        <w:t>“Los</w:t>
      </w:r>
      <w:r>
        <w:rPr>
          <w:spacing w:val="-11"/>
          <w:sz w:val="16"/>
        </w:rPr>
        <w:t> </w:t>
      </w:r>
      <w:r>
        <w:rPr>
          <w:sz w:val="16"/>
        </w:rPr>
        <w:t>derechos</w:t>
      </w:r>
      <w:r>
        <w:rPr>
          <w:spacing w:val="-12"/>
          <w:sz w:val="16"/>
        </w:rPr>
        <w:t> </w:t>
      </w:r>
      <w:r>
        <w:rPr>
          <w:sz w:val="16"/>
        </w:rPr>
        <w:t>de</w:t>
      </w:r>
      <w:r>
        <w:rPr>
          <w:spacing w:val="-11"/>
          <w:sz w:val="16"/>
        </w:rPr>
        <w:t> </w:t>
      </w:r>
      <w:r>
        <w:rPr>
          <w:sz w:val="16"/>
        </w:rPr>
        <w:t>los</w:t>
      </w:r>
      <w:r>
        <w:rPr>
          <w:spacing w:val="-10"/>
          <w:sz w:val="16"/>
        </w:rPr>
        <w:t> </w:t>
      </w:r>
      <w:r>
        <w:rPr>
          <w:sz w:val="16"/>
        </w:rPr>
        <w:t>pueblos</w:t>
      </w:r>
      <w:r>
        <w:rPr>
          <w:spacing w:val="-11"/>
          <w:sz w:val="16"/>
        </w:rPr>
        <w:t> </w:t>
      </w:r>
      <w:r>
        <w:rPr>
          <w:sz w:val="16"/>
        </w:rPr>
        <w:t>indígenas</w:t>
      </w:r>
      <w:r>
        <w:rPr>
          <w:spacing w:val="-12"/>
          <w:sz w:val="16"/>
        </w:rPr>
        <w:t> </w:t>
      </w:r>
      <w:r>
        <w:rPr>
          <w:sz w:val="16"/>
        </w:rPr>
        <w:t>y</w:t>
      </w:r>
      <w:r>
        <w:rPr>
          <w:spacing w:val="-12"/>
          <w:sz w:val="16"/>
        </w:rPr>
        <w:t> </w:t>
      </w:r>
      <w:r>
        <w:rPr>
          <w:sz w:val="16"/>
        </w:rPr>
        <w:t>tribales</w:t>
      </w:r>
      <w:r>
        <w:rPr>
          <w:spacing w:val="-12"/>
          <w:sz w:val="16"/>
        </w:rPr>
        <w:t> </w:t>
      </w:r>
      <w:r>
        <w:rPr>
          <w:sz w:val="16"/>
        </w:rPr>
        <w:t>en</w:t>
      </w:r>
      <w:r>
        <w:rPr>
          <w:spacing w:val="-12"/>
          <w:sz w:val="16"/>
        </w:rPr>
        <w:t> </w:t>
      </w:r>
      <w:r>
        <w:rPr>
          <w:sz w:val="16"/>
        </w:rPr>
        <w:t>la</w:t>
      </w:r>
      <w:r>
        <w:rPr>
          <w:spacing w:val="-12"/>
          <w:sz w:val="16"/>
        </w:rPr>
        <w:t> </w:t>
      </w:r>
      <w:r>
        <w:rPr>
          <w:sz w:val="16"/>
        </w:rPr>
        <w:t>páctica.</w:t>
      </w:r>
      <w:r>
        <w:rPr>
          <w:w w:val="99"/>
          <w:sz w:val="16"/>
        </w:rPr>
        <w:t> </w:t>
      </w:r>
      <w:r>
        <w:rPr>
          <w:sz w:val="16"/>
        </w:rPr>
        <w:t>Una guia sobre el Convenio Núm. 169 de la OIT”. Programa para promover el Convenio Núm. 169 de la OIT (PRO 169). Departamento de Normas Internacionales del Trabajo. 2009, pág.</w:t>
      </w:r>
      <w:r>
        <w:rPr>
          <w:spacing w:val="-26"/>
          <w:sz w:val="16"/>
        </w:rPr>
        <w:t> </w:t>
      </w:r>
      <w:r>
        <w:rPr>
          <w:sz w:val="16"/>
        </w:rPr>
        <w:t>19.</w:t>
      </w:r>
    </w:p>
    <w:p>
      <w:pPr>
        <w:spacing w:after="0"/>
        <w:jc w:val="both"/>
        <w:rPr>
          <w:sz w:val="16"/>
        </w:rPr>
        <w:sectPr>
          <w:pgSz w:w="12240" w:h="15840"/>
          <w:pgMar w:header="0" w:footer="782" w:top="1340" w:bottom="980" w:left="1300" w:right="1720"/>
        </w:sectPr>
      </w:pPr>
    </w:p>
    <w:p>
      <w:pPr>
        <w:pStyle w:val="ListParagraph"/>
        <w:numPr>
          <w:ilvl w:val="1"/>
          <w:numId w:val="77"/>
        </w:numPr>
        <w:tabs>
          <w:tab w:pos="1044" w:val="left" w:leader="none"/>
        </w:tabs>
        <w:spacing w:line="240" w:lineRule="auto" w:before="78" w:after="0"/>
        <w:ind w:left="826" w:right="313" w:firstLine="0"/>
        <w:jc w:val="both"/>
        <w:rPr>
          <w:sz w:val="16"/>
        </w:rPr>
      </w:pPr>
      <w:r>
        <w:rPr>
          <w:sz w:val="16"/>
        </w:rPr>
        <w:t>Los pueblos indígenas tienen derecho a vivir en armonía con la naturaleza y a un ambiente sano, seguro y sustentable, condiciones esenciales para el pleno goce del derecho a la vida, a su espiritualidad, cosmovisión y al bienestar</w:t>
      </w:r>
      <w:r>
        <w:rPr>
          <w:spacing w:val="-24"/>
          <w:sz w:val="16"/>
        </w:rPr>
        <w:t> </w:t>
      </w:r>
      <w:r>
        <w:rPr>
          <w:sz w:val="16"/>
        </w:rPr>
        <w:t>colectivo.</w:t>
      </w:r>
    </w:p>
    <w:p>
      <w:pPr>
        <w:pStyle w:val="BodyText"/>
        <w:spacing w:before="11"/>
        <w:rPr>
          <w:sz w:val="15"/>
        </w:rPr>
      </w:pPr>
    </w:p>
    <w:p>
      <w:pPr>
        <w:pStyle w:val="ListParagraph"/>
        <w:numPr>
          <w:ilvl w:val="1"/>
          <w:numId w:val="77"/>
        </w:numPr>
        <w:tabs>
          <w:tab w:pos="1043" w:val="left" w:leader="none"/>
        </w:tabs>
        <w:spacing w:line="240" w:lineRule="auto" w:before="0" w:after="0"/>
        <w:ind w:left="826" w:right="310" w:firstLine="0"/>
        <w:jc w:val="both"/>
        <w:rPr>
          <w:b/>
          <w:sz w:val="16"/>
        </w:rPr>
      </w:pPr>
      <w:r>
        <w:rPr>
          <w:sz w:val="16"/>
        </w:rPr>
        <w:t>Los pueblos indígenas tienen derecho a conservar, restaurar y proteger </w:t>
      </w:r>
      <w:r>
        <w:rPr>
          <w:b/>
          <w:sz w:val="16"/>
        </w:rPr>
        <w:t>el medio ambiente y al manejo sustentable de sus tierras, territorios y</w:t>
      </w:r>
      <w:r>
        <w:rPr>
          <w:b/>
          <w:spacing w:val="-27"/>
          <w:sz w:val="16"/>
        </w:rPr>
        <w:t> </w:t>
      </w:r>
      <w:r>
        <w:rPr>
          <w:b/>
          <w:sz w:val="16"/>
        </w:rPr>
        <w:t>recursos.</w:t>
      </w:r>
    </w:p>
    <w:p>
      <w:pPr>
        <w:pStyle w:val="BodyText"/>
        <w:spacing w:before="11"/>
        <w:rPr>
          <w:b/>
          <w:sz w:val="15"/>
        </w:rPr>
      </w:pPr>
    </w:p>
    <w:p>
      <w:pPr>
        <w:pStyle w:val="ListParagraph"/>
        <w:numPr>
          <w:ilvl w:val="1"/>
          <w:numId w:val="77"/>
        </w:numPr>
        <w:tabs>
          <w:tab w:pos="1077" w:val="left" w:leader="none"/>
        </w:tabs>
        <w:spacing w:line="240" w:lineRule="auto" w:before="0" w:after="0"/>
        <w:ind w:left="826" w:right="310" w:firstLine="0"/>
        <w:jc w:val="both"/>
        <w:rPr>
          <w:sz w:val="16"/>
        </w:rPr>
      </w:pPr>
      <w:r>
        <w:rPr>
          <w:sz w:val="16"/>
        </w:rPr>
        <w:t>Los pueblos indígenas tienen el derecho de ser protegidos contra la introducción, abandono, dispersión,</w:t>
      </w:r>
      <w:r>
        <w:rPr>
          <w:spacing w:val="-5"/>
          <w:sz w:val="16"/>
        </w:rPr>
        <w:t> </w:t>
      </w:r>
      <w:r>
        <w:rPr>
          <w:sz w:val="16"/>
        </w:rPr>
        <w:t>tránsito,</w:t>
      </w:r>
      <w:r>
        <w:rPr>
          <w:spacing w:val="-5"/>
          <w:sz w:val="16"/>
        </w:rPr>
        <w:t> </w:t>
      </w:r>
      <w:r>
        <w:rPr>
          <w:sz w:val="16"/>
        </w:rPr>
        <w:t>uso</w:t>
      </w:r>
      <w:r>
        <w:rPr>
          <w:spacing w:val="-4"/>
          <w:sz w:val="16"/>
        </w:rPr>
        <w:t> </w:t>
      </w:r>
      <w:r>
        <w:rPr>
          <w:sz w:val="16"/>
        </w:rPr>
        <w:t>indiscriminado</w:t>
      </w:r>
      <w:r>
        <w:rPr>
          <w:spacing w:val="-5"/>
          <w:sz w:val="16"/>
        </w:rPr>
        <w:t> </w:t>
      </w:r>
      <w:r>
        <w:rPr>
          <w:sz w:val="16"/>
        </w:rPr>
        <w:t>o</w:t>
      </w:r>
      <w:r>
        <w:rPr>
          <w:spacing w:val="-5"/>
          <w:sz w:val="16"/>
        </w:rPr>
        <w:t> </w:t>
      </w:r>
      <w:r>
        <w:rPr>
          <w:sz w:val="16"/>
        </w:rPr>
        <w:t>depósito</w:t>
      </w:r>
      <w:r>
        <w:rPr>
          <w:spacing w:val="-5"/>
          <w:sz w:val="16"/>
        </w:rPr>
        <w:t> </w:t>
      </w:r>
      <w:r>
        <w:rPr>
          <w:sz w:val="16"/>
        </w:rPr>
        <w:t>de</w:t>
      </w:r>
      <w:r>
        <w:rPr>
          <w:spacing w:val="-6"/>
          <w:sz w:val="16"/>
        </w:rPr>
        <w:t> </w:t>
      </w:r>
      <w:r>
        <w:rPr>
          <w:sz w:val="16"/>
        </w:rPr>
        <w:t>cualquier</w:t>
      </w:r>
      <w:r>
        <w:rPr>
          <w:spacing w:val="-4"/>
          <w:sz w:val="16"/>
        </w:rPr>
        <w:t> </w:t>
      </w:r>
      <w:r>
        <w:rPr>
          <w:sz w:val="16"/>
        </w:rPr>
        <w:t>material</w:t>
      </w:r>
      <w:r>
        <w:rPr>
          <w:spacing w:val="-6"/>
          <w:sz w:val="16"/>
        </w:rPr>
        <w:t> </w:t>
      </w:r>
      <w:r>
        <w:rPr>
          <w:sz w:val="16"/>
        </w:rPr>
        <w:t>peligroso</w:t>
      </w:r>
      <w:r>
        <w:rPr>
          <w:spacing w:val="-6"/>
          <w:sz w:val="16"/>
        </w:rPr>
        <w:t> </w:t>
      </w:r>
      <w:r>
        <w:rPr>
          <w:sz w:val="16"/>
        </w:rPr>
        <w:t>que</w:t>
      </w:r>
      <w:r>
        <w:rPr>
          <w:spacing w:val="-6"/>
          <w:sz w:val="16"/>
        </w:rPr>
        <w:t> </w:t>
      </w:r>
      <w:r>
        <w:rPr>
          <w:sz w:val="16"/>
        </w:rPr>
        <w:t>pueda</w:t>
      </w:r>
      <w:r>
        <w:rPr>
          <w:spacing w:val="-5"/>
          <w:sz w:val="16"/>
        </w:rPr>
        <w:t> </w:t>
      </w:r>
      <w:r>
        <w:rPr>
          <w:sz w:val="16"/>
        </w:rPr>
        <w:t>afectar negativamente a las comunidades, tierras, territorios y recursos</w:t>
      </w:r>
      <w:r>
        <w:rPr>
          <w:spacing w:val="-24"/>
          <w:sz w:val="16"/>
        </w:rPr>
        <w:t> </w:t>
      </w:r>
      <w:r>
        <w:rPr>
          <w:sz w:val="16"/>
        </w:rPr>
        <w:t>indígenas.</w:t>
      </w:r>
    </w:p>
    <w:p>
      <w:pPr>
        <w:pStyle w:val="BodyText"/>
        <w:spacing w:before="11"/>
        <w:rPr>
          <w:sz w:val="15"/>
        </w:rPr>
      </w:pPr>
    </w:p>
    <w:p>
      <w:pPr>
        <w:pStyle w:val="ListParagraph"/>
        <w:numPr>
          <w:ilvl w:val="1"/>
          <w:numId w:val="77"/>
        </w:numPr>
        <w:tabs>
          <w:tab w:pos="1050" w:val="left" w:leader="none"/>
        </w:tabs>
        <w:spacing w:line="240" w:lineRule="auto" w:before="0" w:after="0"/>
        <w:ind w:left="826" w:right="309" w:firstLine="0"/>
        <w:jc w:val="both"/>
        <w:rPr>
          <w:sz w:val="16"/>
        </w:rPr>
      </w:pPr>
      <w:r>
        <w:rPr>
          <w:sz w:val="16"/>
        </w:rPr>
        <w:t>Los pueblos indígenas tienen derecho a la </w:t>
      </w:r>
      <w:r>
        <w:rPr>
          <w:b/>
          <w:sz w:val="16"/>
        </w:rPr>
        <w:t>conservación y protección del medio ambiente y de la capacidad productiva de sus tierras o territorios y recursos. </w:t>
      </w:r>
      <w:r>
        <w:rPr>
          <w:sz w:val="16"/>
        </w:rPr>
        <w:t>Los Estados deberán establecer</w:t>
      </w:r>
      <w:r>
        <w:rPr>
          <w:spacing w:val="-15"/>
          <w:sz w:val="16"/>
        </w:rPr>
        <w:t> </w:t>
      </w:r>
      <w:r>
        <w:rPr>
          <w:sz w:val="16"/>
        </w:rPr>
        <w:t>y</w:t>
      </w:r>
      <w:r>
        <w:rPr>
          <w:spacing w:val="-14"/>
          <w:sz w:val="16"/>
        </w:rPr>
        <w:t> </w:t>
      </w:r>
      <w:r>
        <w:rPr>
          <w:sz w:val="16"/>
        </w:rPr>
        <w:t>ejecutar</w:t>
      </w:r>
      <w:r>
        <w:rPr>
          <w:spacing w:val="-15"/>
          <w:sz w:val="16"/>
        </w:rPr>
        <w:t> </w:t>
      </w:r>
      <w:r>
        <w:rPr>
          <w:sz w:val="16"/>
        </w:rPr>
        <w:t>programas</w:t>
      </w:r>
      <w:r>
        <w:rPr>
          <w:spacing w:val="-16"/>
          <w:sz w:val="16"/>
        </w:rPr>
        <w:t> </w:t>
      </w:r>
      <w:r>
        <w:rPr>
          <w:sz w:val="16"/>
        </w:rPr>
        <w:t>de</w:t>
      </w:r>
      <w:r>
        <w:rPr>
          <w:spacing w:val="-16"/>
          <w:sz w:val="16"/>
        </w:rPr>
        <w:t> </w:t>
      </w:r>
      <w:r>
        <w:rPr>
          <w:sz w:val="16"/>
        </w:rPr>
        <w:t>asistencia</w:t>
      </w:r>
      <w:r>
        <w:rPr>
          <w:spacing w:val="-15"/>
          <w:sz w:val="16"/>
        </w:rPr>
        <w:t> </w:t>
      </w:r>
      <w:r>
        <w:rPr>
          <w:sz w:val="16"/>
        </w:rPr>
        <w:t>a</w:t>
      </w:r>
      <w:r>
        <w:rPr>
          <w:spacing w:val="-14"/>
          <w:sz w:val="16"/>
        </w:rPr>
        <w:t> </w:t>
      </w:r>
      <w:r>
        <w:rPr>
          <w:sz w:val="16"/>
        </w:rPr>
        <w:t>los</w:t>
      </w:r>
      <w:r>
        <w:rPr>
          <w:spacing w:val="-15"/>
          <w:sz w:val="16"/>
        </w:rPr>
        <w:t> </w:t>
      </w:r>
      <w:r>
        <w:rPr>
          <w:sz w:val="16"/>
        </w:rPr>
        <w:t>pueblos</w:t>
      </w:r>
      <w:r>
        <w:rPr>
          <w:spacing w:val="-16"/>
          <w:sz w:val="16"/>
        </w:rPr>
        <w:t> </w:t>
      </w:r>
      <w:r>
        <w:rPr>
          <w:sz w:val="16"/>
        </w:rPr>
        <w:t>indígenas</w:t>
      </w:r>
      <w:r>
        <w:rPr>
          <w:spacing w:val="-16"/>
          <w:sz w:val="16"/>
        </w:rPr>
        <w:t> </w:t>
      </w:r>
      <w:r>
        <w:rPr>
          <w:sz w:val="16"/>
        </w:rPr>
        <w:t>para</w:t>
      </w:r>
      <w:r>
        <w:rPr>
          <w:spacing w:val="-15"/>
          <w:sz w:val="16"/>
        </w:rPr>
        <w:t> </w:t>
      </w:r>
      <w:r>
        <w:rPr>
          <w:sz w:val="16"/>
        </w:rPr>
        <w:t>asegurar</w:t>
      </w:r>
      <w:r>
        <w:rPr>
          <w:spacing w:val="-15"/>
          <w:sz w:val="16"/>
        </w:rPr>
        <w:t> </w:t>
      </w:r>
      <w:r>
        <w:rPr>
          <w:sz w:val="16"/>
        </w:rPr>
        <w:t>esa</w:t>
      </w:r>
      <w:r>
        <w:rPr>
          <w:spacing w:val="-14"/>
          <w:sz w:val="16"/>
        </w:rPr>
        <w:t> </w:t>
      </w:r>
      <w:r>
        <w:rPr>
          <w:sz w:val="16"/>
        </w:rPr>
        <w:t>conservación y protección, sin discriminación. (</w:t>
      </w:r>
      <w:r>
        <w:rPr>
          <w:i/>
          <w:sz w:val="16"/>
        </w:rPr>
        <w:t>Énfasis</w:t>
      </w:r>
      <w:r>
        <w:rPr>
          <w:i/>
          <w:spacing w:val="-19"/>
          <w:sz w:val="16"/>
        </w:rPr>
        <w:t> </w:t>
      </w:r>
      <w:r>
        <w:rPr>
          <w:i/>
          <w:sz w:val="16"/>
        </w:rPr>
        <w:t>añadido</w:t>
      </w:r>
      <w:r>
        <w:rPr>
          <w:sz w:val="16"/>
        </w:rPr>
        <w:t>).</w:t>
      </w:r>
    </w:p>
    <w:p>
      <w:pPr>
        <w:pStyle w:val="BodyText"/>
        <w:rPr>
          <w:sz w:val="16"/>
        </w:rPr>
      </w:pPr>
    </w:p>
    <w:p>
      <w:pPr>
        <w:pStyle w:val="ListParagraph"/>
        <w:numPr>
          <w:ilvl w:val="0"/>
          <w:numId w:val="77"/>
        </w:numPr>
        <w:tabs>
          <w:tab w:pos="827" w:val="left" w:leader="none"/>
        </w:tabs>
        <w:spacing w:line="240" w:lineRule="auto" w:before="0" w:after="0"/>
        <w:ind w:left="118" w:right="313" w:firstLine="0"/>
        <w:jc w:val="both"/>
        <w:rPr>
          <w:sz w:val="20"/>
        </w:rPr>
      </w:pPr>
      <w:r>
        <w:rPr>
          <w:sz w:val="20"/>
        </w:rPr>
        <w:t>Adicionalmente, y mostrando como aspectos de contenido diferente a la tierra, el territorio y los recursos, así como su relación con los DESCA, la misma Declaración Americana estipula en su sección quinta a “los derechos sociales, económicos y de propiedad”, en donde el artículo XXV indica</w:t>
      </w:r>
      <w:r>
        <w:rPr>
          <w:spacing w:val="-9"/>
          <w:sz w:val="20"/>
        </w:rPr>
        <w:t> </w:t>
      </w:r>
      <w:r>
        <w:rPr>
          <w:sz w:val="20"/>
        </w:rPr>
        <w:t>que:</w:t>
      </w:r>
    </w:p>
    <w:p>
      <w:pPr>
        <w:spacing w:before="194"/>
        <w:ind w:left="3916" w:right="590" w:hanging="2792"/>
        <w:jc w:val="left"/>
        <w:rPr>
          <w:b/>
          <w:sz w:val="16"/>
        </w:rPr>
      </w:pPr>
      <w:r>
        <w:rPr>
          <w:sz w:val="16"/>
        </w:rPr>
        <w:t>Artículo XXV. Formas tradicionales de propiedad y supervivencia cultural. Derecho a </w:t>
      </w:r>
      <w:r>
        <w:rPr>
          <w:b/>
          <w:sz w:val="16"/>
        </w:rPr>
        <w:t>tierras, territorios y recursos</w:t>
      </w:r>
    </w:p>
    <w:p>
      <w:pPr>
        <w:pStyle w:val="BodyText"/>
        <w:spacing w:before="11"/>
        <w:rPr>
          <w:b/>
          <w:sz w:val="15"/>
        </w:rPr>
      </w:pPr>
    </w:p>
    <w:p>
      <w:pPr>
        <w:pStyle w:val="ListParagraph"/>
        <w:numPr>
          <w:ilvl w:val="1"/>
          <w:numId w:val="77"/>
        </w:numPr>
        <w:tabs>
          <w:tab w:pos="1048" w:val="left" w:leader="none"/>
        </w:tabs>
        <w:spacing w:line="240" w:lineRule="auto" w:before="1" w:after="0"/>
        <w:ind w:left="828" w:right="310" w:firstLine="0"/>
        <w:jc w:val="both"/>
        <w:rPr>
          <w:sz w:val="16"/>
        </w:rPr>
      </w:pPr>
      <w:r>
        <w:rPr>
          <w:sz w:val="16"/>
        </w:rPr>
        <w:t>Los pueblos indígenas tienen derecho a </w:t>
      </w:r>
      <w:r>
        <w:rPr>
          <w:b/>
          <w:sz w:val="16"/>
        </w:rPr>
        <w:t>mantener y fortalecer su propia relación espiritual, cultural y material con sus tierras, territorios y recursos, </w:t>
      </w:r>
      <w:r>
        <w:rPr>
          <w:sz w:val="16"/>
        </w:rPr>
        <w:t>y a asumir sus responsabilidades para conservarlos para ellos mismos y para las generaciones</w:t>
      </w:r>
      <w:r>
        <w:rPr>
          <w:spacing w:val="-22"/>
          <w:sz w:val="16"/>
        </w:rPr>
        <w:t> </w:t>
      </w:r>
      <w:r>
        <w:rPr>
          <w:sz w:val="16"/>
        </w:rPr>
        <w:t>venideras.</w:t>
      </w:r>
    </w:p>
    <w:p>
      <w:pPr>
        <w:pStyle w:val="BodyText"/>
        <w:rPr>
          <w:sz w:val="16"/>
        </w:rPr>
      </w:pPr>
    </w:p>
    <w:p>
      <w:pPr>
        <w:pStyle w:val="ListParagraph"/>
        <w:numPr>
          <w:ilvl w:val="1"/>
          <w:numId w:val="77"/>
        </w:numPr>
        <w:tabs>
          <w:tab w:pos="1143" w:val="left" w:leader="none"/>
        </w:tabs>
        <w:spacing w:line="240" w:lineRule="auto" w:before="0" w:after="0"/>
        <w:ind w:left="828" w:right="311" w:firstLine="0"/>
        <w:jc w:val="both"/>
        <w:rPr>
          <w:b/>
          <w:sz w:val="16"/>
        </w:rPr>
      </w:pPr>
      <w:r>
        <w:rPr>
          <w:sz w:val="16"/>
        </w:rPr>
        <w:t>Los pueblos indígenas </w:t>
      </w:r>
      <w:r>
        <w:rPr>
          <w:b/>
          <w:sz w:val="16"/>
        </w:rPr>
        <w:t>tienen derecho a las tierras, territorios y recursos que tradicionalmente han poseído, ocupado o utilizado o</w:t>
      </w:r>
      <w:r>
        <w:rPr>
          <w:b/>
          <w:spacing w:val="-26"/>
          <w:sz w:val="16"/>
        </w:rPr>
        <w:t> </w:t>
      </w:r>
      <w:r>
        <w:rPr>
          <w:b/>
          <w:sz w:val="16"/>
        </w:rPr>
        <w:t>adquirido.</w:t>
      </w:r>
    </w:p>
    <w:p>
      <w:pPr>
        <w:pStyle w:val="BodyText"/>
        <w:spacing w:before="12"/>
        <w:rPr>
          <w:b/>
          <w:sz w:val="15"/>
        </w:rPr>
      </w:pPr>
    </w:p>
    <w:p>
      <w:pPr>
        <w:pStyle w:val="ListParagraph"/>
        <w:numPr>
          <w:ilvl w:val="1"/>
          <w:numId w:val="77"/>
        </w:numPr>
        <w:tabs>
          <w:tab w:pos="1055" w:val="left" w:leader="none"/>
        </w:tabs>
        <w:spacing w:line="240" w:lineRule="auto" w:before="0" w:after="0"/>
        <w:ind w:left="828" w:right="311" w:firstLine="0"/>
        <w:jc w:val="both"/>
        <w:rPr>
          <w:sz w:val="16"/>
        </w:rPr>
      </w:pPr>
      <w:r>
        <w:rPr>
          <w:sz w:val="16"/>
        </w:rPr>
        <w:t>Los pueblos indígenas tienen derecho a p</w:t>
      </w:r>
      <w:r>
        <w:rPr>
          <w:b/>
          <w:sz w:val="16"/>
        </w:rPr>
        <w:t>oseer, utilizar, desarrollar y controlar las tierras, territorios y recursos </w:t>
      </w:r>
      <w:r>
        <w:rPr>
          <w:sz w:val="16"/>
        </w:rPr>
        <w:t>que poseen en razón de la propiedad tradicional u otro tipo tradicional de ocupación o utilización, así como aquellos que hayan adquirido de otra</w:t>
      </w:r>
      <w:r>
        <w:rPr>
          <w:spacing w:val="-26"/>
          <w:sz w:val="16"/>
        </w:rPr>
        <w:t> </w:t>
      </w:r>
      <w:r>
        <w:rPr>
          <w:sz w:val="16"/>
        </w:rPr>
        <w:t>forma.</w:t>
      </w:r>
    </w:p>
    <w:p>
      <w:pPr>
        <w:pStyle w:val="BodyText"/>
        <w:rPr>
          <w:sz w:val="16"/>
        </w:rPr>
      </w:pPr>
    </w:p>
    <w:p>
      <w:pPr>
        <w:pStyle w:val="ListParagraph"/>
        <w:numPr>
          <w:ilvl w:val="1"/>
          <w:numId w:val="77"/>
        </w:numPr>
        <w:tabs>
          <w:tab w:pos="1037" w:val="left" w:leader="none"/>
        </w:tabs>
        <w:spacing w:line="240" w:lineRule="auto" w:before="0" w:after="0"/>
        <w:ind w:left="828" w:right="312" w:firstLine="0"/>
        <w:jc w:val="both"/>
        <w:rPr>
          <w:sz w:val="16"/>
        </w:rPr>
      </w:pPr>
      <w:r>
        <w:rPr>
          <w:sz w:val="16"/>
        </w:rPr>
        <w:t>Los</w:t>
      </w:r>
      <w:r>
        <w:rPr>
          <w:spacing w:val="-10"/>
          <w:sz w:val="16"/>
        </w:rPr>
        <w:t> </w:t>
      </w:r>
      <w:r>
        <w:rPr>
          <w:sz w:val="16"/>
        </w:rPr>
        <w:t>Estados</w:t>
      </w:r>
      <w:r>
        <w:rPr>
          <w:spacing w:val="-10"/>
          <w:sz w:val="16"/>
        </w:rPr>
        <w:t> </w:t>
      </w:r>
      <w:r>
        <w:rPr>
          <w:sz w:val="16"/>
        </w:rPr>
        <w:t>asegurarán</w:t>
      </w:r>
      <w:r>
        <w:rPr>
          <w:spacing w:val="-10"/>
          <w:sz w:val="16"/>
        </w:rPr>
        <w:t> </w:t>
      </w:r>
      <w:r>
        <w:rPr>
          <w:sz w:val="16"/>
        </w:rPr>
        <w:t>el</w:t>
      </w:r>
      <w:r>
        <w:rPr>
          <w:spacing w:val="-10"/>
          <w:sz w:val="16"/>
        </w:rPr>
        <w:t> </w:t>
      </w:r>
      <w:r>
        <w:rPr>
          <w:b/>
          <w:sz w:val="16"/>
        </w:rPr>
        <w:t>reconocimiento</w:t>
      </w:r>
      <w:r>
        <w:rPr>
          <w:b/>
          <w:spacing w:val="-11"/>
          <w:sz w:val="16"/>
        </w:rPr>
        <w:t> </w:t>
      </w:r>
      <w:r>
        <w:rPr>
          <w:b/>
          <w:sz w:val="16"/>
        </w:rPr>
        <w:t>y</w:t>
      </w:r>
      <w:r>
        <w:rPr>
          <w:b/>
          <w:spacing w:val="-10"/>
          <w:sz w:val="16"/>
        </w:rPr>
        <w:t> </w:t>
      </w:r>
      <w:r>
        <w:rPr>
          <w:b/>
          <w:sz w:val="16"/>
        </w:rPr>
        <w:t>protección</w:t>
      </w:r>
      <w:r>
        <w:rPr>
          <w:b/>
          <w:spacing w:val="-10"/>
          <w:sz w:val="16"/>
        </w:rPr>
        <w:t> </w:t>
      </w:r>
      <w:r>
        <w:rPr>
          <w:b/>
          <w:sz w:val="16"/>
        </w:rPr>
        <w:t>jurídicos</w:t>
      </w:r>
      <w:r>
        <w:rPr>
          <w:b/>
          <w:spacing w:val="-10"/>
          <w:sz w:val="16"/>
        </w:rPr>
        <w:t> </w:t>
      </w:r>
      <w:r>
        <w:rPr>
          <w:b/>
          <w:sz w:val="16"/>
        </w:rPr>
        <w:t>de</w:t>
      </w:r>
      <w:r>
        <w:rPr>
          <w:b/>
          <w:spacing w:val="-10"/>
          <w:sz w:val="16"/>
        </w:rPr>
        <w:t> </w:t>
      </w:r>
      <w:r>
        <w:rPr>
          <w:b/>
          <w:sz w:val="16"/>
        </w:rPr>
        <w:t>esas</w:t>
      </w:r>
      <w:r>
        <w:rPr>
          <w:b/>
          <w:spacing w:val="-9"/>
          <w:sz w:val="16"/>
        </w:rPr>
        <w:t> </w:t>
      </w:r>
      <w:r>
        <w:rPr>
          <w:b/>
          <w:sz w:val="16"/>
        </w:rPr>
        <w:t>tierras,</w:t>
      </w:r>
      <w:r>
        <w:rPr>
          <w:b/>
          <w:spacing w:val="-8"/>
          <w:sz w:val="16"/>
        </w:rPr>
        <w:t> </w:t>
      </w:r>
      <w:r>
        <w:rPr>
          <w:b/>
          <w:sz w:val="16"/>
        </w:rPr>
        <w:t>territorios y recursos. </w:t>
      </w:r>
      <w:r>
        <w:rPr>
          <w:sz w:val="16"/>
        </w:rPr>
        <w:t>Dicho reconocimiento respetará debidamente las costumbres, las tradiciones y los sistemas de tenencia de la tierra de los pueblos indígenas de que se</w:t>
      </w:r>
      <w:r>
        <w:rPr>
          <w:spacing w:val="-24"/>
          <w:sz w:val="16"/>
        </w:rPr>
        <w:t> </w:t>
      </w:r>
      <w:r>
        <w:rPr>
          <w:sz w:val="16"/>
        </w:rPr>
        <w:t>trate.</w:t>
      </w:r>
    </w:p>
    <w:p>
      <w:pPr>
        <w:pStyle w:val="BodyText"/>
        <w:spacing w:before="11"/>
        <w:rPr>
          <w:sz w:val="15"/>
        </w:rPr>
      </w:pPr>
    </w:p>
    <w:p>
      <w:pPr>
        <w:pStyle w:val="ListParagraph"/>
        <w:numPr>
          <w:ilvl w:val="1"/>
          <w:numId w:val="77"/>
        </w:numPr>
        <w:tabs>
          <w:tab w:pos="1080" w:val="left" w:leader="none"/>
        </w:tabs>
        <w:spacing w:line="240" w:lineRule="auto" w:before="0" w:after="0"/>
        <w:ind w:left="828" w:right="312" w:firstLine="0"/>
        <w:jc w:val="both"/>
        <w:rPr>
          <w:sz w:val="16"/>
        </w:rPr>
      </w:pPr>
      <w:r>
        <w:rPr>
          <w:sz w:val="16"/>
        </w:rPr>
        <w:t>Los pueblos indígenas tienen </w:t>
      </w:r>
      <w:r>
        <w:rPr>
          <w:b/>
          <w:sz w:val="16"/>
        </w:rPr>
        <w:t>el derecho al reconocimiento legal de las modalidades y formas</w:t>
      </w:r>
      <w:r>
        <w:rPr>
          <w:b/>
          <w:spacing w:val="-5"/>
          <w:sz w:val="16"/>
        </w:rPr>
        <w:t> </w:t>
      </w:r>
      <w:r>
        <w:rPr>
          <w:b/>
          <w:sz w:val="16"/>
        </w:rPr>
        <w:t>diversas</w:t>
      </w:r>
      <w:r>
        <w:rPr>
          <w:b/>
          <w:spacing w:val="-6"/>
          <w:sz w:val="16"/>
        </w:rPr>
        <w:t> </w:t>
      </w:r>
      <w:r>
        <w:rPr>
          <w:b/>
          <w:sz w:val="16"/>
        </w:rPr>
        <w:t>y</w:t>
      </w:r>
      <w:r>
        <w:rPr>
          <w:b/>
          <w:spacing w:val="-6"/>
          <w:sz w:val="16"/>
        </w:rPr>
        <w:t> </w:t>
      </w:r>
      <w:r>
        <w:rPr>
          <w:b/>
          <w:sz w:val="16"/>
        </w:rPr>
        <w:t>particulares</w:t>
      </w:r>
      <w:r>
        <w:rPr>
          <w:b/>
          <w:spacing w:val="-6"/>
          <w:sz w:val="16"/>
        </w:rPr>
        <w:t> </w:t>
      </w:r>
      <w:r>
        <w:rPr>
          <w:b/>
          <w:sz w:val="16"/>
        </w:rPr>
        <w:t>de</w:t>
      </w:r>
      <w:r>
        <w:rPr>
          <w:b/>
          <w:spacing w:val="-6"/>
          <w:sz w:val="16"/>
        </w:rPr>
        <w:t> </w:t>
      </w:r>
      <w:r>
        <w:rPr>
          <w:b/>
          <w:sz w:val="16"/>
        </w:rPr>
        <w:t>propiedad,</w:t>
      </w:r>
      <w:r>
        <w:rPr>
          <w:b/>
          <w:spacing w:val="-6"/>
          <w:sz w:val="16"/>
        </w:rPr>
        <w:t> </w:t>
      </w:r>
      <w:r>
        <w:rPr>
          <w:b/>
          <w:sz w:val="16"/>
        </w:rPr>
        <w:t>posesión</w:t>
      </w:r>
      <w:r>
        <w:rPr>
          <w:b/>
          <w:spacing w:val="-6"/>
          <w:sz w:val="16"/>
        </w:rPr>
        <w:t> </w:t>
      </w:r>
      <w:r>
        <w:rPr>
          <w:b/>
          <w:sz w:val="16"/>
        </w:rPr>
        <w:t>o</w:t>
      </w:r>
      <w:r>
        <w:rPr>
          <w:b/>
          <w:spacing w:val="-6"/>
          <w:sz w:val="16"/>
        </w:rPr>
        <w:t> </w:t>
      </w:r>
      <w:r>
        <w:rPr>
          <w:b/>
          <w:sz w:val="16"/>
        </w:rPr>
        <w:t>dominio</w:t>
      </w:r>
      <w:r>
        <w:rPr>
          <w:b/>
          <w:spacing w:val="-6"/>
          <w:sz w:val="16"/>
        </w:rPr>
        <w:t> </w:t>
      </w:r>
      <w:r>
        <w:rPr>
          <w:b/>
          <w:sz w:val="16"/>
        </w:rPr>
        <w:t>de</w:t>
      </w:r>
      <w:r>
        <w:rPr>
          <w:b/>
          <w:spacing w:val="-6"/>
          <w:sz w:val="16"/>
        </w:rPr>
        <w:t> </w:t>
      </w:r>
      <w:r>
        <w:rPr>
          <w:b/>
          <w:sz w:val="16"/>
        </w:rPr>
        <w:t>sus</w:t>
      </w:r>
      <w:r>
        <w:rPr>
          <w:b/>
          <w:spacing w:val="-6"/>
          <w:sz w:val="16"/>
        </w:rPr>
        <w:t> </w:t>
      </w:r>
      <w:r>
        <w:rPr>
          <w:b/>
          <w:sz w:val="16"/>
        </w:rPr>
        <w:t>tierras,</w:t>
      </w:r>
      <w:r>
        <w:rPr>
          <w:b/>
          <w:spacing w:val="-7"/>
          <w:sz w:val="16"/>
        </w:rPr>
        <w:t> </w:t>
      </w:r>
      <w:r>
        <w:rPr>
          <w:b/>
          <w:sz w:val="16"/>
        </w:rPr>
        <w:t>territorios y recursos de acuerdo con el ordenamiento jurídico de cada Estado y los instrumentos internacionales pertinentes. </w:t>
      </w:r>
      <w:r>
        <w:rPr>
          <w:sz w:val="16"/>
        </w:rPr>
        <w:t>Los Estados establecerán los regímenes especiales apropiados para este reconocimiento y su efectiva demarcación o titulación. (</w:t>
      </w:r>
      <w:r>
        <w:rPr>
          <w:i/>
          <w:sz w:val="16"/>
        </w:rPr>
        <w:t>Énfasis</w:t>
      </w:r>
      <w:r>
        <w:rPr>
          <w:i/>
          <w:spacing w:val="-28"/>
          <w:sz w:val="16"/>
        </w:rPr>
        <w:t> </w:t>
      </w:r>
      <w:r>
        <w:rPr>
          <w:i/>
          <w:sz w:val="16"/>
        </w:rPr>
        <w:t>añadido</w:t>
      </w:r>
      <w:r>
        <w:rPr>
          <w:sz w:val="16"/>
        </w:rPr>
        <w:t>)</w:t>
      </w:r>
    </w:p>
    <w:p>
      <w:pPr>
        <w:pStyle w:val="BodyText"/>
        <w:spacing w:before="10"/>
        <w:rPr>
          <w:sz w:val="15"/>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Como podemos observar del desarrollo normativo internacional, se pone de manifiesto que la tierra y el territorio son dos aspectos que atañen a los pueblos indígenas</w:t>
      </w:r>
      <w:r>
        <w:rPr>
          <w:spacing w:val="-7"/>
          <w:sz w:val="20"/>
        </w:rPr>
        <w:t> </w:t>
      </w:r>
      <w:r>
        <w:rPr>
          <w:sz w:val="20"/>
        </w:rPr>
        <w:t>que</w:t>
      </w:r>
      <w:r>
        <w:rPr>
          <w:spacing w:val="-6"/>
          <w:sz w:val="20"/>
        </w:rPr>
        <w:t> </w:t>
      </w:r>
      <w:r>
        <w:rPr>
          <w:sz w:val="20"/>
        </w:rPr>
        <w:t>pueden</w:t>
      </w:r>
      <w:r>
        <w:rPr>
          <w:spacing w:val="-6"/>
          <w:sz w:val="20"/>
        </w:rPr>
        <w:t> </w:t>
      </w:r>
      <w:r>
        <w:rPr>
          <w:sz w:val="20"/>
        </w:rPr>
        <w:t>ser</w:t>
      </w:r>
      <w:r>
        <w:rPr>
          <w:spacing w:val="-7"/>
          <w:sz w:val="20"/>
        </w:rPr>
        <w:t> </w:t>
      </w:r>
      <w:r>
        <w:rPr>
          <w:sz w:val="20"/>
        </w:rPr>
        <w:t>protegidos</w:t>
      </w:r>
      <w:r>
        <w:rPr>
          <w:spacing w:val="-6"/>
          <w:sz w:val="20"/>
        </w:rPr>
        <w:t> </w:t>
      </w:r>
      <w:r>
        <w:rPr>
          <w:sz w:val="20"/>
        </w:rPr>
        <w:t>de</w:t>
      </w:r>
      <w:r>
        <w:rPr>
          <w:spacing w:val="-6"/>
          <w:sz w:val="20"/>
        </w:rPr>
        <w:t> </w:t>
      </w:r>
      <w:r>
        <w:rPr>
          <w:sz w:val="20"/>
        </w:rPr>
        <w:t>manera</w:t>
      </w:r>
      <w:r>
        <w:rPr>
          <w:spacing w:val="-6"/>
          <w:sz w:val="20"/>
        </w:rPr>
        <w:t> </w:t>
      </w:r>
      <w:r>
        <w:rPr>
          <w:sz w:val="20"/>
        </w:rPr>
        <w:t>diferenciada,</w:t>
      </w:r>
      <w:r>
        <w:rPr>
          <w:spacing w:val="-6"/>
          <w:sz w:val="20"/>
        </w:rPr>
        <w:t> </w:t>
      </w:r>
      <w:r>
        <w:rPr>
          <w:sz w:val="20"/>
        </w:rPr>
        <w:t>aunque</w:t>
      </w:r>
      <w:r>
        <w:rPr>
          <w:spacing w:val="-7"/>
          <w:sz w:val="20"/>
        </w:rPr>
        <w:t> </w:t>
      </w:r>
      <w:r>
        <w:rPr>
          <w:sz w:val="20"/>
        </w:rPr>
        <w:t>en</w:t>
      </w:r>
      <w:r>
        <w:rPr>
          <w:spacing w:val="-6"/>
          <w:sz w:val="20"/>
        </w:rPr>
        <w:t> </w:t>
      </w:r>
      <w:r>
        <w:rPr>
          <w:sz w:val="20"/>
        </w:rPr>
        <w:t>muchos</w:t>
      </w:r>
      <w:r>
        <w:rPr>
          <w:spacing w:val="-8"/>
          <w:sz w:val="20"/>
        </w:rPr>
        <w:t> </w:t>
      </w:r>
      <w:r>
        <w:rPr>
          <w:sz w:val="20"/>
        </w:rPr>
        <w:t>casos de manera interrelacionada. Lo anterior se advierte con especial claridad en la reciente Declaración Americana sobre los Derechos de los Pueblos Indígenas, pues distingue en diferentes preceptos “la tierra” y “el territorio”, pero además agrega la protección al “medio ambiente” (art.</w:t>
      </w:r>
      <w:r>
        <w:rPr>
          <w:spacing w:val="-13"/>
          <w:sz w:val="20"/>
        </w:rPr>
        <w:t> </w:t>
      </w:r>
      <w:r>
        <w:rPr>
          <w:sz w:val="20"/>
        </w:rPr>
        <w:t>XIX).</w:t>
      </w:r>
    </w:p>
    <w:p>
      <w:pPr>
        <w:pStyle w:val="BodyText"/>
        <w:spacing w:before="11"/>
        <w:rPr>
          <w:sz w:val="19"/>
        </w:rPr>
      </w:pPr>
    </w:p>
    <w:p>
      <w:pPr>
        <w:pStyle w:val="ListParagraph"/>
        <w:numPr>
          <w:ilvl w:val="0"/>
          <w:numId w:val="77"/>
        </w:numPr>
        <w:tabs>
          <w:tab w:pos="827" w:val="left" w:leader="none"/>
        </w:tabs>
        <w:spacing w:line="240" w:lineRule="auto" w:before="0" w:after="0"/>
        <w:ind w:left="118" w:right="310" w:firstLine="0"/>
        <w:jc w:val="both"/>
        <w:rPr>
          <w:sz w:val="20"/>
        </w:rPr>
      </w:pPr>
      <w:r>
        <w:rPr>
          <w:sz w:val="20"/>
        </w:rPr>
        <w:t>De lo todo lo expresado surge que ambos conceptos (“tierra” y “territorio”), se encuentras</w:t>
      </w:r>
      <w:r>
        <w:rPr>
          <w:spacing w:val="-10"/>
          <w:sz w:val="20"/>
        </w:rPr>
        <w:t> </w:t>
      </w:r>
      <w:r>
        <w:rPr>
          <w:sz w:val="20"/>
        </w:rPr>
        <w:t>fuertemente</w:t>
      </w:r>
      <w:r>
        <w:rPr>
          <w:spacing w:val="-10"/>
          <w:sz w:val="20"/>
        </w:rPr>
        <w:t> </w:t>
      </w:r>
      <w:r>
        <w:rPr>
          <w:sz w:val="20"/>
        </w:rPr>
        <w:t>interrelacionados,</w:t>
      </w:r>
      <w:r>
        <w:rPr>
          <w:spacing w:val="-9"/>
          <w:sz w:val="20"/>
        </w:rPr>
        <w:t> </w:t>
      </w:r>
      <w:r>
        <w:rPr>
          <w:sz w:val="20"/>
        </w:rPr>
        <w:t>pero</w:t>
      </w:r>
      <w:r>
        <w:rPr>
          <w:spacing w:val="-10"/>
          <w:sz w:val="20"/>
        </w:rPr>
        <w:t> </w:t>
      </w:r>
      <w:r>
        <w:rPr>
          <w:sz w:val="20"/>
        </w:rPr>
        <w:t>que</w:t>
      </w:r>
      <w:r>
        <w:rPr>
          <w:spacing w:val="-10"/>
          <w:sz w:val="20"/>
        </w:rPr>
        <w:t> </w:t>
      </w:r>
      <w:r>
        <w:rPr>
          <w:sz w:val="20"/>
        </w:rPr>
        <w:t>no</w:t>
      </w:r>
      <w:r>
        <w:rPr>
          <w:spacing w:val="-10"/>
          <w:sz w:val="20"/>
        </w:rPr>
        <w:t> </w:t>
      </w:r>
      <w:r>
        <w:rPr>
          <w:sz w:val="20"/>
        </w:rPr>
        <w:t>son</w:t>
      </w:r>
      <w:r>
        <w:rPr>
          <w:spacing w:val="-10"/>
          <w:sz w:val="20"/>
        </w:rPr>
        <w:t> </w:t>
      </w:r>
      <w:r>
        <w:rPr>
          <w:sz w:val="20"/>
        </w:rPr>
        <w:t>estrictamente</w:t>
      </w:r>
      <w:r>
        <w:rPr>
          <w:spacing w:val="-11"/>
          <w:sz w:val="20"/>
        </w:rPr>
        <w:t> </w:t>
      </w:r>
      <w:r>
        <w:rPr>
          <w:sz w:val="20"/>
        </w:rPr>
        <w:t>equivalentes. En efecto, los instrumentos internacionales citados, cuando se refieren en forma conjunta a “tierra” y “territorio” (como también a “recursos”), adoptan una técnica que permite</w:t>
      </w:r>
      <w:r>
        <w:rPr>
          <w:spacing w:val="-10"/>
          <w:sz w:val="20"/>
        </w:rPr>
        <w:t> </w:t>
      </w:r>
      <w:r>
        <w:rPr>
          <w:sz w:val="20"/>
        </w:rPr>
        <w:t>una</w:t>
      </w:r>
      <w:r>
        <w:rPr>
          <w:spacing w:val="-10"/>
          <w:sz w:val="20"/>
        </w:rPr>
        <w:t> </w:t>
      </w:r>
      <w:r>
        <w:rPr>
          <w:sz w:val="20"/>
        </w:rPr>
        <w:t>protección</w:t>
      </w:r>
      <w:r>
        <w:rPr>
          <w:spacing w:val="-10"/>
          <w:sz w:val="20"/>
        </w:rPr>
        <w:t> </w:t>
      </w:r>
      <w:r>
        <w:rPr>
          <w:sz w:val="20"/>
        </w:rPr>
        <w:t>que</w:t>
      </w:r>
      <w:r>
        <w:rPr>
          <w:spacing w:val="-9"/>
          <w:sz w:val="20"/>
        </w:rPr>
        <w:t> </w:t>
      </w:r>
      <w:r>
        <w:rPr>
          <w:sz w:val="20"/>
        </w:rPr>
        <w:t>abarque</w:t>
      </w:r>
      <w:r>
        <w:rPr>
          <w:spacing w:val="-9"/>
          <w:sz w:val="20"/>
        </w:rPr>
        <w:t> </w:t>
      </w:r>
      <w:r>
        <w:rPr>
          <w:sz w:val="20"/>
        </w:rPr>
        <w:t>de</w:t>
      </w:r>
      <w:r>
        <w:rPr>
          <w:spacing w:val="-10"/>
          <w:sz w:val="20"/>
        </w:rPr>
        <w:t> </w:t>
      </w:r>
      <w:r>
        <w:rPr>
          <w:sz w:val="20"/>
        </w:rPr>
        <w:t>la</w:t>
      </w:r>
      <w:r>
        <w:rPr>
          <w:spacing w:val="-10"/>
          <w:sz w:val="20"/>
        </w:rPr>
        <w:t> </w:t>
      </w:r>
      <w:r>
        <w:rPr>
          <w:sz w:val="20"/>
        </w:rPr>
        <w:t>forma</w:t>
      </w:r>
      <w:r>
        <w:rPr>
          <w:spacing w:val="-9"/>
          <w:sz w:val="20"/>
        </w:rPr>
        <w:t> </w:t>
      </w:r>
      <w:r>
        <w:rPr>
          <w:sz w:val="20"/>
        </w:rPr>
        <w:t>más</w:t>
      </w:r>
      <w:r>
        <w:rPr>
          <w:spacing w:val="-9"/>
          <w:sz w:val="20"/>
        </w:rPr>
        <w:t> </w:t>
      </w:r>
      <w:r>
        <w:rPr>
          <w:sz w:val="20"/>
        </w:rPr>
        <w:t>completa</w:t>
      </w:r>
      <w:r>
        <w:rPr>
          <w:spacing w:val="-11"/>
          <w:sz w:val="20"/>
        </w:rPr>
        <w:t> </w:t>
      </w:r>
      <w:r>
        <w:rPr>
          <w:sz w:val="20"/>
        </w:rPr>
        <w:t>el</w:t>
      </w:r>
      <w:r>
        <w:rPr>
          <w:spacing w:val="-10"/>
          <w:sz w:val="20"/>
        </w:rPr>
        <w:t> </w:t>
      </w:r>
      <w:r>
        <w:rPr>
          <w:sz w:val="20"/>
        </w:rPr>
        <w:t>vínculo</w:t>
      </w:r>
      <w:r>
        <w:rPr>
          <w:spacing w:val="-10"/>
          <w:sz w:val="20"/>
        </w:rPr>
        <w:t> </w:t>
      </w:r>
      <w:r>
        <w:rPr>
          <w:sz w:val="20"/>
        </w:rPr>
        <w:t>de</w:t>
      </w:r>
      <w:r>
        <w:rPr>
          <w:spacing w:val="-9"/>
          <w:sz w:val="20"/>
        </w:rPr>
        <w:t> </w:t>
      </w:r>
      <w:r>
        <w:rPr>
          <w:sz w:val="20"/>
        </w:rPr>
        <w:t>los</w:t>
      </w:r>
      <w:r>
        <w:rPr>
          <w:spacing w:val="-10"/>
          <w:sz w:val="20"/>
        </w:rPr>
        <w:t> </w:t>
      </w:r>
      <w:r>
        <w:rPr>
          <w:sz w:val="20"/>
        </w:rPr>
        <w:t>pueblos indígenas con su hábitat. Al mismo tiempo, de la misma normativa se infiere que los términos presentan matices, siendo más abarcador el concepto de “territorio”, que denota el ejercicio de autonomía o jurisdicción, mientras que el de “tierra” queda </w:t>
      </w:r>
      <w:r>
        <w:rPr>
          <w:spacing w:val="25"/>
          <w:sz w:val="20"/>
        </w:rPr>
        <w:t> </w:t>
      </w:r>
      <w:r>
        <w:rPr>
          <w:sz w:val="20"/>
        </w:rPr>
        <w:t>más</w:t>
      </w:r>
    </w:p>
    <w:p>
      <w:pPr>
        <w:spacing w:after="0" w:line="240" w:lineRule="auto"/>
        <w:jc w:val="both"/>
        <w:rPr>
          <w:sz w:val="20"/>
        </w:rPr>
        <w:sectPr>
          <w:pgSz w:w="12240" w:h="15840"/>
          <w:pgMar w:header="0" w:footer="782" w:top="1340" w:bottom="980" w:left="1300" w:right="1720"/>
        </w:sectPr>
      </w:pPr>
    </w:p>
    <w:p>
      <w:pPr>
        <w:pStyle w:val="BodyText"/>
        <w:spacing w:before="77"/>
        <w:ind w:left="118" w:right="309"/>
        <w:jc w:val="both"/>
      </w:pPr>
      <w:r>
        <w:rPr/>
        <w:t>vinculado a la noción de un bien material, susceptible de ocupación, tenencia o propiedad. El territorio abarca una dimensión cultural y una vinculación espiritual. El derecho</w:t>
      </w:r>
      <w:r>
        <w:rPr>
          <w:spacing w:val="-13"/>
        </w:rPr>
        <w:t> </w:t>
      </w:r>
      <w:r>
        <w:rPr/>
        <w:t>de</w:t>
      </w:r>
      <w:r>
        <w:rPr>
          <w:spacing w:val="-12"/>
        </w:rPr>
        <w:t> </w:t>
      </w:r>
      <w:r>
        <w:rPr/>
        <w:t>los</w:t>
      </w:r>
      <w:r>
        <w:rPr>
          <w:spacing w:val="-12"/>
        </w:rPr>
        <w:t> </w:t>
      </w:r>
      <w:r>
        <w:rPr/>
        <w:t>pueblos</w:t>
      </w:r>
      <w:r>
        <w:rPr>
          <w:spacing w:val="-13"/>
        </w:rPr>
        <w:t> </w:t>
      </w:r>
      <w:r>
        <w:rPr/>
        <w:t>indígenas</w:t>
      </w:r>
      <w:r>
        <w:rPr>
          <w:spacing w:val="-13"/>
        </w:rPr>
        <w:t> </w:t>
      </w:r>
      <w:r>
        <w:rPr/>
        <w:t>y</w:t>
      </w:r>
      <w:r>
        <w:rPr>
          <w:spacing w:val="-13"/>
        </w:rPr>
        <w:t> </w:t>
      </w:r>
      <w:r>
        <w:rPr/>
        <w:t>tribales</w:t>
      </w:r>
      <w:r>
        <w:rPr>
          <w:spacing w:val="-13"/>
        </w:rPr>
        <w:t> </w:t>
      </w:r>
      <w:r>
        <w:rPr/>
        <w:t>a</w:t>
      </w:r>
      <w:r>
        <w:rPr>
          <w:spacing w:val="-12"/>
        </w:rPr>
        <w:t> </w:t>
      </w:r>
      <w:r>
        <w:rPr/>
        <w:t>determinar</w:t>
      </w:r>
      <w:r>
        <w:rPr>
          <w:spacing w:val="-13"/>
        </w:rPr>
        <w:t> </w:t>
      </w:r>
      <w:r>
        <w:rPr/>
        <w:t>libremente</w:t>
      </w:r>
      <w:r>
        <w:rPr>
          <w:spacing w:val="-12"/>
        </w:rPr>
        <w:t> </w:t>
      </w:r>
      <w:r>
        <w:rPr/>
        <w:t>su</w:t>
      </w:r>
      <w:r>
        <w:rPr>
          <w:spacing w:val="-14"/>
        </w:rPr>
        <w:t> </w:t>
      </w:r>
      <w:r>
        <w:rPr/>
        <w:t>propio</w:t>
      </w:r>
      <w:r>
        <w:rPr>
          <w:spacing w:val="-12"/>
        </w:rPr>
        <w:t> </w:t>
      </w:r>
      <w:r>
        <w:rPr/>
        <w:t>desarrollo social,</w:t>
      </w:r>
      <w:r>
        <w:rPr>
          <w:spacing w:val="-19"/>
        </w:rPr>
        <w:t> </w:t>
      </w:r>
      <w:r>
        <w:rPr/>
        <w:t>cultural</w:t>
      </w:r>
      <w:r>
        <w:rPr>
          <w:spacing w:val="-18"/>
        </w:rPr>
        <w:t> </w:t>
      </w:r>
      <w:r>
        <w:rPr/>
        <w:t>y</w:t>
      </w:r>
      <w:r>
        <w:rPr>
          <w:spacing w:val="-21"/>
        </w:rPr>
        <w:t> </w:t>
      </w:r>
      <w:r>
        <w:rPr/>
        <w:t>económico</w:t>
      </w:r>
      <w:r>
        <w:rPr>
          <w:spacing w:val="-19"/>
        </w:rPr>
        <w:t> </w:t>
      </w:r>
      <w:r>
        <w:rPr/>
        <w:t>incluye</w:t>
      </w:r>
      <w:r>
        <w:rPr>
          <w:spacing w:val="-19"/>
        </w:rPr>
        <w:t> </w:t>
      </w:r>
      <w:r>
        <w:rPr/>
        <w:t>el</w:t>
      </w:r>
      <w:r>
        <w:rPr>
          <w:spacing w:val="-20"/>
        </w:rPr>
        <w:t> </w:t>
      </w:r>
      <w:r>
        <w:rPr/>
        <w:t>derecho</w:t>
      </w:r>
      <w:r>
        <w:rPr>
          <w:spacing w:val="-20"/>
        </w:rPr>
        <w:t> </w:t>
      </w:r>
      <w:r>
        <w:rPr/>
        <w:t>a</w:t>
      </w:r>
      <w:r>
        <w:rPr>
          <w:spacing w:val="-20"/>
        </w:rPr>
        <w:t> </w:t>
      </w:r>
      <w:r>
        <w:rPr/>
        <w:t>“gozar</w:t>
      </w:r>
      <w:r>
        <w:rPr>
          <w:spacing w:val="-19"/>
        </w:rPr>
        <w:t> </w:t>
      </w:r>
      <w:r>
        <w:rPr/>
        <w:t>de</w:t>
      </w:r>
      <w:r>
        <w:rPr>
          <w:spacing w:val="-21"/>
        </w:rPr>
        <w:t> </w:t>
      </w:r>
      <w:r>
        <w:rPr/>
        <w:t>la</w:t>
      </w:r>
      <w:r>
        <w:rPr>
          <w:spacing w:val="-19"/>
        </w:rPr>
        <w:t> </w:t>
      </w:r>
      <w:r>
        <w:rPr/>
        <w:t>particular</w:t>
      </w:r>
      <w:r>
        <w:rPr>
          <w:spacing w:val="-20"/>
        </w:rPr>
        <w:t> </w:t>
      </w:r>
      <w:r>
        <w:rPr/>
        <w:t>relación</w:t>
      </w:r>
      <w:r>
        <w:rPr>
          <w:spacing w:val="-21"/>
        </w:rPr>
        <w:t> </w:t>
      </w:r>
      <w:r>
        <w:rPr/>
        <w:t>espiritual con el territorio que han usado y ocupado</w:t>
      </w:r>
      <w:r>
        <w:rPr>
          <w:spacing w:val="-10"/>
        </w:rPr>
        <w:t> </w:t>
      </w:r>
      <w:r>
        <w:rPr/>
        <w:t>tradicionalmente”</w:t>
      </w:r>
      <w:r>
        <w:rPr>
          <w:position w:val="7"/>
          <w:sz w:val="13"/>
        </w:rPr>
        <w:t>21</w:t>
      </w:r>
      <w:r>
        <w:rPr/>
        <w:t>.</w:t>
      </w:r>
    </w:p>
    <w:p>
      <w:pPr>
        <w:pStyle w:val="BodyText"/>
      </w:pPr>
    </w:p>
    <w:p>
      <w:pPr>
        <w:pStyle w:val="ListParagraph"/>
        <w:numPr>
          <w:ilvl w:val="0"/>
          <w:numId w:val="77"/>
        </w:numPr>
        <w:tabs>
          <w:tab w:pos="827" w:val="left" w:leader="none"/>
        </w:tabs>
        <w:spacing w:line="240" w:lineRule="auto" w:before="0" w:after="0"/>
        <w:ind w:left="118" w:right="309" w:firstLine="0"/>
        <w:jc w:val="both"/>
        <w:rPr>
          <w:sz w:val="20"/>
        </w:rPr>
      </w:pPr>
      <w:r>
        <w:rPr>
          <w:sz w:val="20"/>
        </w:rPr>
        <w:t>Parecen insertarse en este entendimiento precisiones efectuadas por la Corte IDH en 2007, al pronunciarse sobre el caso del </w:t>
      </w:r>
      <w:r>
        <w:rPr>
          <w:i/>
          <w:sz w:val="20"/>
        </w:rPr>
        <w:t>Pueblo Saramaka Vs. Surinam</w:t>
      </w:r>
      <w:r>
        <w:rPr>
          <w:sz w:val="20"/>
        </w:rPr>
        <w:t>. El Tribunal</w:t>
      </w:r>
      <w:r>
        <w:rPr>
          <w:spacing w:val="-16"/>
          <w:sz w:val="20"/>
        </w:rPr>
        <w:t> </w:t>
      </w:r>
      <w:r>
        <w:rPr>
          <w:sz w:val="20"/>
        </w:rPr>
        <w:t>Interamericano</w:t>
      </w:r>
      <w:r>
        <w:rPr>
          <w:spacing w:val="-17"/>
          <w:sz w:val="20"/>
        </w:rPr>
        <w:t> </w:t>
      </w:r>
      <w:r>
        <w:rPr>
          <w:sz w:val="20"/>
        </w:rPr>
        <w:t>notó</w:t>
      </w:r>
      <w:r>
        <w:rPr>
          <w:spacing w:val="-17"/>
          <w:sz w:val="20"/>
        </w:rPr>
        <w:t> </w:t>
      </w:r>
      <w:r>
        <w:rPr>
          <w:sz w:val="20"/>
        </w:rPr>
        <w:t>que</w:t>
      </w:r>
      <w:r>
        <w:rPr>
          <w:spacing w:val="-17"/>
          <w:sz w:val="20"/>
        </w:rPr>
        <w:t> </w:t>
      </w:r>
      <w:r>
        <w:rPr>
          <w:sz w:val="20"/>
        </w:rPr>
        <w:t>los</w:t>
      </w:r>
      <w:r>
        <w:rPr>
          <w:spacing w:val="-16"/>
          <w:sz w:val="20"/>
        </w:rPr>
        <w:t> </w:t>
      </w:r>
      <w:r>
        <w:rPr>
          <w:sz w:val="20"/>
        </w:rPr>
        <w:t>integrantes</w:t>
      </w:r>
      <w:r>
        <w:rPr>
          <w:spacing w:val="-16"/>
          <w:sz w:val="20"/>
        </w:rPr>
        <w:t> </w:t>
      </w:r>
      <w:r>
        <w:rPr>
          <w:sz w:val="20"/>
        </w:rPr>
        <w:t>de</w:t>
      </w:r>
      <w:r>
        <w:rPr>
          <w:spacing w:val="-16"/>
          <w:sz w:val="20"/>
        </w:rPr>
        <w:t> </w:t>
      </w:r>
      <w:r>
        <w:rPr>
          <w:sz w:val="20"/>
        </w:rPr>
        <w:t>dicho</w:t>
      </w:r>
      <w:r>
        <w:rPr>
          <w:spacing w:val="-18"/>
          <w:sz w:val="20"/>
        </w:rPr>
        <w:t> </w:t>
      </w:r>
      <w:r>
        <w:rPr>
          <w:sz w:val="20"/>
        </w:rPr>
        <w:t>pueblo</w:t>
      </w:r>
      <w:r>
        <w:rPr>
          <w:spacing w:val="-16"/>
          <w:sz w:val="20"/>
        </w:rPr>
        <w:t> </w:t>
      </w:r>
      <w:r>
        <w:rPr>
          <w:sz w:val="20"/>
        </w:rPr>
        <w:t>“mantienen</w:t>
      </w:r>
      <w:r>
        <w:rPr>
          <w:spacing w:val="-16"/>
          <w:sz w:val="20"/>
        </w:rPr>
        <w:t> </w:t>
      </w:r>
      <w:r>
        <w:rPr>
          <w:sz w:val="20"/>
        </w:rPr>
        <w:t>una</w:t>
      </w:r>
      <w:r>
        <w:rPr>
          <w:spacing w:val="-18"/>
          <w:sz w:val="20"/>
        </w:rPr>
        <w:t> </w:t>
      </w:r>
      <w:r>
        <w:rPr>
          <w:sz w:val="20"/>
        </w:rPr>
        <w:t>fuerte relación espiritual con el territorio”, y aclaró que “[a]l hacer referencia al término ‘territorio’ la Corte se refiere a la totalidad de tierra y recursos que los Saramaka han utilizado</w:t>
      </w:r>
      <w:r>
        <w:rPr>
          <w:spacing w:val="-7"/>
          <w:sz w:val="20"/>
        </w:rPr>
        <w:t> </w:t>
      </w:r>
      <w:r>
        <w:rPr>
          <w:sz w:val="20"/>
        </w:rPr>
        <w:t>tradicionalmente.</w:t>
      </w:r>
      <w:r>
        <w:rPr>
          <w:spacing w:val="-10"/>
          <w:sz w:val="20"/>
        </w:rPr>
        <w:t> </w:t>
      </w:r>
      <w:r>
        <w:rPr>
          <w:sz w:val="20"/>
        </w:rPr>
        <w:t>En</w:t>
      </w:r>
      <w:r>
        <w:rPr>
          <w:spacing w:val="-10"/>
          <w:sz w:val="20"/>
        </w:rPr>
        <w:t> </w:t>
      </w:r>
      <w:r>
        <w:rPr>
          <w:sz w:val="20"/>
        </w:rPr>
        <w:t>este</w:t>
      </w:r>
      <w:r>
        <w:rPr>
          <w:spacing w:val="-11"/>
          <w:sz w:val="20"/>
        </w:rPr>
        <w:t> </w:t>
      </w:r>
      <w:r>
        <w:rPr>
          <w:sz w:val="20"/>
        </w:rPr>
        <w:t>sentido,</w:t>
      </w:r>
      <w:r>
        <w:rPr>
          <w:spacing w:val="-11"/>
          <w:sz w:val="20"/>
        </w:rPr>
        <w:t> </w:t>
      </w:r>
      <w:r>
        <w:rPr>
          <w:sz w:val="20"/>
        </w:rPr>
        <w:t>el</w:t>
      </w:r>
      <w:r>
        <w:rPr>
          <w:spacing w:val="-9"/>
          <w:sz w:val="20"/>
        </w:rPr>
        <w:t> </w:t>
      </w:r>
      <w:r>
        <w:rPr>
          <w:sz w:val="20"/>
        </w:rPr>
        <w:t>territorio</w:t>
      </w:r>
      <w:r>
        <w:rPr>
          <w:spacing w:val="-10"/>
          <w:sz w:val="20"/>
        </w:rPr>
        <w:t> </w:t>
      </w:r>
      <w:r>
        <w:rPr>
          <w:sz w:val="20"/>
        </w:rPr>
        <w:t>Saramaka</w:t>
      </w:r>
      <w:r>
        <w:rPr>
          <w:spacing w:val="-10"/>
          <w:sz w:val="20"/>
        </w:rPr>
        <w:t> </w:t>
      </w:r>
      <w:r>
        <w:rPr>
          <w:sz w:val="20"/>
        </w:rPr>
        <w:t>pertenece</w:t>
      </w:r>
      <w:r>
        <w:rPr>
          <w:spacing w:val="-9"/>
          <w:sz w:val="20"/>
        </w:rPr>
        <w:t> </w:t>
      </w:r>
      <w:r>
        <w:rPr>
          <w:sz w:val="20"/>
        </w:rPr>
        <w:t>de</w:t>
      </w:r>
      <w:r>
        <w:rPr>
          <w:spacing w:val="-9"/>
          <w:sz w:val="20"/>
        </w:rPr>
        <w:t> </w:t>
      </w:r>
      <w:r>
        <w:rPr>
          <w:sz w:val="20"/>
        </w:rPr>
        <w:t>manera colectiva a los miembros del pueblo Saramaka, mientras que las tierras dentro de ese territorio están divididas entre los doce clanes</w:t>
      </w:r>
      <w:r>
        <w:rPr>
          <w:spacing w:val="-14"/>
          <w:sz w:val="20"/>
        </w:rPr>
        <w:t> </w:t>
      </w:r>
      <w:r>
        <w:rPr>
          <w:sz w:val="20"/>
        </w:rPr>
        <w:t>Saramaka”</w:t>
      </w:r>
      <w:r>
        <w:rPr>
          <w:position w:val="8"/>
          <w:sz w:val="16"/>
        </w:rPr>
        <w:t>22</w:t>
      </w:r>
      <w:r>
        <w:rPr>
          <w:sz w:val="20"/>
        </w:rPr>
        <w:t>.</w:t>
      </w:r>
    </w:p>
    <w:p>
      <w:pPr>
        <w:pStyle w:val="ListParagraph"/>
        <w:numPr>
          <w:ilvl w:val="0"/>
          <w:numId w:val="77"/>
        </w:numPr>
        <w:tabs>
          <w:tab w:pos="827" w:val="left" w:leader="none"/>
        </w:tabs>
        <w:spacing w:line="240" w:lineRule="auto" w:before="250" w:after="0"/>
        <w:ind w:left="118" w:right="309" w:firstLine="0"/>
        <w:jc w:val="both"/>
        <w:rPr>
          <w:sz w:val="20"/>
        </w:rPr>
      </w:pPr>
      <w:r>
        <w:rPr>
          <w:sz w:val="20"/>
        </w:rPr>
        <w:t>Se ha referido el Tribunal Interamericano en otra sentencia, de 2012, a “elementos incorporales” ligados al territorio, entendiendo “pertinente destacar el profundo lazo cultural, inmaterial y espiritual que la comunidad mantiene con su territorio, para comprender más integralmente las afectaciones ocasionadas en el […]caso”</w:t>
      </w:r>
      <w:r>
        <w:rPr>
          <w:position w:val="8"/>
          <w:sz w:val="16"/>
        </w:rPr>
        <w:t>23</w:t>
      </w:r>
      <w:r>
        <w:rPr>
          <w:sz w:val="20"/>
        </w:rPr>
        <w:t>.</w:t>
      </w:r>
    </w:p>
    <w:p>
      <w:pPr>
        <w:pStyle w:val="ListParagraph"/>
        <w:numPr>
          <w:ilvl w:val="0"/>
          <w:numId w:val="77"/>
        </w:numPr>
        <w:tabs>
          <w:tab w:pos="827" w:val="left" w:leader="none"/>
        </w:tabs>
        <w:spacing w:line="242" w:lineRule="auto" w:before="250" w:after="0"/>
        <w:ind w:left="118" w:right="308" w:firstLine="0"/>
        <w:jc w:val="both"/>
        <w:rPr>
          <w:sz w:val="20"/>
        </w:rPr>
      </w:pPr>
      <w:r>
        <w:rPr>
          <w:sz w:val="20"/>
        </w:rPr>
        <w:t>De</w:t>
      </w:r>
      <w:r>
        <w:rPr>
          <w:spacing w:val="-17"/>
          <w:sz w:val="20"/>
        </w:rPr>
        <w:t> </w:t>
      </w:r>
      <w:r>
        <w:rPr>
          <w:sz w:val="20"/>
        </w:rPr>
        <w:t>igual</w:t>
      </w:r>
      <w:r>
        <w:rPr>
          <w:spacing w:val="-17"/>
          <w:sz w:val="20"/>
        </w:rPr>
        <w:t> </w:t>
      </w:r>
      <w:r>
        <w:rPr>
          <w:sz w:val="20"/>
        </w:rPr>
        <w:t>modo,</w:t>
      </w:r>
      <w:r>
        <w:rPr>
          <w:spacing w:val="-18"/>
          <w:sz w:val="20"/>
        </w:rPr>
        <w:t> </w:t>
      </w:r>
      <w:r>
        <w:rPr>
          <w:sz w:val="20"/>
        </w:rPr>
        <w:t>en</w:t>
      </w:r>
      <w:r>
        <w:rPr>
          <w:spacing w:val="-17"/>
          <w:sz w:val="20"/>
        </w:rPr>
        <w:t> </w:t>
      </w:r>
      <w:r>
        <w:rPr>
          <w:sz w:val="20"/>
        </w:rPr>
        <w:t>2014,</w:t>
      </w:r>
      <w:r>
        <w:rPr>
          <w:spacing w:val="-16"/>
          <w:sz w:val="20"/>
        </w:rPr>
        <w:t> </w:t>
      </w:r>
      <w:r>
        <w:rPr>
          <w:sz w:val="20"/>
        </w:rPr>
        <w:t>respecto</w:t>
      </w:r>
      <w:r>
        <w:rPr>
          <w:spacing w:val="-17"/>
          <w:sz w:val="20"/>
        </w:rPr>
        <w:t> </w:t>
      </w:r>
      <w:r>
        <w:rPr>
          <w:sz w:val="20"/>
        </w:rPr>
        <w:t>al</w:t>
      </w:r>
      <w:r>
        <w:rPr>
          <w:spacing w:val="-18"/>
          <w:sz w:val="20"/>
        </w:rPr>
        <w:t> </w:t>
      </w:r>
      <w:r>
        <w:rPr>
          <w:sz w:val="20"/>
        </w:rPr>
        <w:t>caso</w:t>
      </w:r>
      <w:r>
        <w:rPr>
          <w:spacing w:val="-18"/>
          <w:sz w:val="20"/>
        </w:rPr>
        <w:t> </w:t>
      </w:r>
      <w:r>
        <w:rPr>
          <w:i/>
          <w:sz w:val="20"/>
        </w:rPr>
        <w:t>Pueblos</w:t>
      </w:r>
      <w:r>
        <w:rPr>
          <w:i/>
          <w:spacing w:val="-17"/>
          <w:sz w:val="20"/>
        </w:rPr>
        <w:t> </w:t>
      </w:r>
      <w:r>
        <w:rPr>
          <w:i/>
          <w:sz w:val="20"/>
        </w:rPr>
        <w:t>Indígenas</w:t>
      </w:r>
      <w:r>
        <w:rPr>
          <w:i/>
          <w:spacing w:val="-19"/>
          <w:sz w:val="20"/>
        </w:rPr>
        <w:t> </w:t>
      </w:r>
      <w:r>
        <w:rPr>
          <w:i/>
          <w:sz w:val="20"/>
        </w:rPr>
        <w:t>Kuna</w:t>
      </w:r>
      <w:r>
        <w:rPr>
          <w:i/>
          <w:spacing w:val="-17"/>
          <w:sz w:val="20"/>
        </w:rPr>
        <w:t> </w:t>
      </w:r>
      <w:r>
        <w:rPr>
          <w:i/>
          <w:sz w:val="20"/>
        </w:rPr>
        <w:t>de</w:t>
      </w:r>
      <w:r>
        <w:rPr>
          <w:i/>
          <w:spacing w:val="-17"/>
          <w:sz w:val="20"/>
        </w:rPr>
        <w:t> </w:t>
      </w:r>
      <w:r>
        <w:rPr>
          <w:i/>
          <w:sz w:val="20"/>
        </w:rPr>
        <w:t>Madungandí </w:t>
      </w:r>
      <w:r>
        <w:rPr>
          <w:i/>
          <w:sz w:val="20"/>
        </w:rPr>
        <w:t>y Emberá de Bayano y sus miembros Vs. Panamá, </w:t>
      </w:r>
      <w:r>
        <w:rPr>
          <w:sz w:val="20"/>
        </w:rPr>
        <w:t>la Corte IDH advirtió cómo la “conexión”</w:t>
      </w:r>
      <w:r>
        <w:rPr>
          <w:spacing w:val="-13"/>
          <w:sz w:val="20"/>
        </w:rPr>
        <w:t> </w:t>
      </w:r>
      <w:r>
        <w:rPr>
          <w:sz w:val="20"/>
        </w:rPr>
        <w:t>entre</w:t>
      </w:r>
      <w:r>
        <w:rPr>
          <w:spacing w:val="-13"/>
          <w:sz w:val="20"/>
        </w:rPr>
        <w:t> </w:t>
      </w:r>
      <w:r>
        <w:rPr>
          <w:sz w:val="20"/>
        </w:rPr>
        <w:t>“territorio”</w:t>
      </w:r>
      <w:r>
        <w:rPr>
          <w:spacing w:val="-12"/>
          <w:sz w:val="20"/>
        </w:rPr>
        <w:t> </w:t>
      </w:r>
      <w:r>
        <w:rPr>
          <w:sz w:val="20"/>
        </w:rPr>
        <w:t>y</w:t>
      </w:r>
      <w:r>
        <w:rPr>
          <w:spacing w:val="-13"/>
          <w:sz w:val="20"/>
        </w:rPr>
        <w:t> </w:t>
      </w:r>
      <w:r>
        <w:rPr>
          <w:sz w:val="20"/>
        </w:rPr>
        <w:t>“recursos</w:t>
      </w:r>
      <w:r>
        <w:rPr>
          <w:spacing w:val="-12"/>
          <w:sz w:val="20"/>
        </w:rPr>
        <w:t> </w:t>
      </w:r>
      <w:r>
        <w:rPr>
          <w:sz w:val="20"/>
        </w:rPr>
        <w:t>naturales”</w:t>
      </w:r>
      <w:r>
        <w:rPr>
          <w:spacing w:val="-11"/>
          <w:sz w:val="20"/>
        </w:rPr>
        <w:t> </w:t>
      </w:r>
      <w:r>
        <w:rPr>
          <w:sz w:val="20"/>
        </w:rPr>
        <w:t>de</w:t>
      </w:r>
      <w:r>
        <w:rPr>
          <w:spacing w:val="-12"/>
          <w:sz w:val="20"/>
        </w:rPr>
        <w:t> </w:t>
      </w:r>
      <w:r>
        <w:rPr>
          <w:sz w:val="20"/>
        </w:rPr>
        <w:t>uso</w:t>
      </w:r>
      <w:r>
        <w:rPr>
          <w:spacing w:val="-13"/>
          <w:sz w:val="20"/>
        </w:rPr>
        <w:t> </w:t>
      </w:r>
      <w:r>
        <w:rPr>
          <w:sz w:val="20"/>
        </w:rPr>
        <w:t>tradicional,</w:t>
      </w:r>
      <w:r>
        <w:rPr>
          <w:spacing w:val="-12"/>
          <w:sz w:val="20"/>
        </w:rPr>
        <w:t> </w:t>
      </w:r>
      <w:r>
        <w:rPr>
          <w:sz w:val="20"/>
        </w:rPr>
        <w:t>tiene</w:t>
      </w:r>
      <w:r>
        <w:rPr>
          <w:spacing w:val="-13"/>
          <w:sz w:val="20"/>
        </w:rPr>
        <w:t> </w:t>
      </w:r>
      <w:r>
        <w:rPr>
          <w:sz w:val="20"/>
        </w:rPr>
        <w:t>implicancias para la “supervivencia física y cultural, así como [para] el desarrollo y continuidad de su cosmovisión, […] su modo de vida tradicional[,] su identidad cultural, estructura social, sistema económico, costumbres, creencias y tradiciones”</w:t>
      </w:r>
      <w:r>
        <w:rPr>
          <w:position w:val="8"/>
          <w:sz w:val="16"/>
        </w:rPr>
        <w:t>24</w:t>
      </w:r>
      <w:r>
        <w:rPr>
          <w:sz w:val="20"/>
        </w:rPr>
        <w:t>. En la misma línea, recordando sus propios precedentes</w:t>
      </w:r>
      <w:r>
        <w:rPr>
          <w:position w:val="8"/>
          <w:sz w:val="16"/>
        </w:rPr>
        <w:t>25</w:t>
      </w:r>
      <w:r>
        <w:rPr>
          <w:sz w:val="20"/>
        </w:rPr>
        <w:t>, en 2018 la Corte IDH expresó que “[a]l desconocerse</w:t>
      </w:r>
      <w:r>
        <w:rPr>
          <w:spacing w:val="-11"/>
          <w:sz w:val="20"/>
        </w:rPr>
        <w:t> </w:t>
      </w:r>
      <w:r>
        <w:rPr>
          <w:sz w:val="20"/>
        </w:rPr>
        <w:t>el</w:t>
      </w:r>
      <w:r>
        <w:rPr>
          <w:spacing w:val="-10"/>
          <w:sz w:val="20"/>
        </w:rPr>
        <w:t> </w:t>
      </w:r>
      <w:r>
        <w:rPr>
          <w:sz w:val="20"/>
        </w:rPr>
        <w:t>derecho</w:t>
      </w:r>
      <w:r>
        <w:rPr>
          <w:spacing w:val="-12"/>
          <w:sz w:val="20"/>
        </w:rPr>
        <w:t> </w:t>
      </w:r>
      <w:r>
        <w:rPr>
          <w:sz w:val="20"/>
        </w:rPr>
        <w:t>ancestral</w:t>
      </w:r>
      <w:r>
        <w:rPr>
          <w:spacing w:val="-12"/>
          <w:sz w:val="20"/>
        </w:rPr>
        <w:t> </w:t>
      </w:r>
      <w:r>
        <w:rPr>
          <w:sz w:val="20"/>
        </w:rPr>
        <w:t>de</w:t>
      </w:r>
      <w:r>
        <w:rPr>
          <w:spacing w:val="-10"/>
          <w:sz w:val="20"/>
        </w:rPr>
        <w:t> </w:t>
      </w:r>
      <w:r>
        <w:rPr>
          <w:sz w:val="20"/>
        </w:rPr>
        <w:t>los</w:t>
      </w:r>
      <w:r>
        <w:rPr>
          <w:spacing w:val="-12"/>
          <w:sz w:val="20"/>
        </w:rPr>
        <w:t> </w:t>
      </w:r>
      <w:r>
        <w:rPr>
          <w:sz w:val="20"/>
        </w:rPr>
        <w:t>miembros</w:t>
      </w:r>
      <w:r>
        <w:rPr>
          <w:spacing w:val="-11"/>
          <w:sz w:val="20"/>
        </w:rPr>
        <w:t> </w:t>
      </w:r>
      <w:r>
        <w:rPr>
          <w:sz w:val="20"/>
        </w:rPr>
        <w:t>de</w:t>
      </w:r>
      <w:r>
        <w:rPr>
          <w:spacing w:val="-11"/>
          <w:sz w:val="20"/>
        </w:rPr>
        <w:t> </w:t>
      </w:r>
      <w:r>
        <w:rPr>
          <w:sz w:val="20"/>
        </w:rPr>
        <w:t>las</w:t>
      </w:r>
      <w:r>
        <w:rPr>
          <w:spacing w:val="-12"/>
          <w:sz w:val="20"/>
        </w:rPr>
        <w:t> </w:t>
      </w:r>
      <w:r>
        <w:rPr>
          <w:sz w:val="20"/>
        </w:rPr>
        <w:t>comunidades</w:t>
      </w:r>
      <w:r>
        <w:rPr>
          <w:spacing w:val="-8"/>
          <w:sz w:val="20"/>
        </w:rPr>
        <w:t> </w:t>
      </w:r>
      <w:r>
        <w:rPr>
          <w:sz w:val="20"/>
        </w:rPr>
        <w:t>indígenas</w:t>
      </w:r>
      <w:r>
        <w:rPr>
          <w:spacing w:val="-12"/>
          <w:sz w:val="20"/>
        </w:rPr>
        <w:t> </w:t>
      </w:r>
      <w:r>
        <w:rPr>
          <w:sz w:val="20"/>
        </w:rPr>
        <w:t>sobre sus territorios, se podría estar afectando otros derechos básicos, como el derecho a </w:t>
      </w:r>
      <w:r>
        <w:rPr>
          <w:spacing w:val="10"/>
          <w:sz w:val="20"/>
        </w:rPr>
        <w:t> </w:t>
      </w:r>
      <w:r>
        <w:rPr>
          <w:sz w:val="20"/>
        </w:rPr>
        <w:t>la</w:t>
      </w:r>
    </w:p>
    <w:p>
      <w:pPr>
        <w:pStyle w:val="BodyText"/>
      </w:pPr>
    </w:p>
    <w:p>
      <w:pPr>
        <w:pStyle w:val="BodyText"/>
      </w:pPr>
    </w:p>
    <w:p>
      <w:pPr>
        <w:pStyle w:val="BodyText"/>
      </w:pPr>
    </w:p>
    <w:p>
      <w:pPr>
        <w:pStyle w:val="BodyText"/>
        <w:spacing w:before="5"/>
        <w:rPr>
          <w:sz w:val="11"/>
        </w:rPr>
      </w:pPr>
      <w:r>
        <w:rPr/>
        <w:pict>
          <v:line style="position:absolute;mso-position-horizontal-relative:page;mso-position-vertical-relative:paragraph;z-index:4840;mso-wrap-distance-left:0;mso-wrap-distance-right:0" from="70.919998pt,9.221849pt" to="214.939998pt,9.221849pt" stroked="true" strokeweight=".599980pt" strokecolor="#000000">
            <v:stroke dashstyle="solid"/>
            <w10:wrap type="topAndBottom"/>
          </v:line>
        </w:pict>
      </w:r>
    </w:p>
    <w:p>
      <w:pPr>
        <w:tabs>
          <w:tab w:pos="826" w:val="left" w:leader="none"/>
        </w:tabs>
        <w:spacing w:before="73"/>
        <w:ind w:left="118" w:right="311" w:firstLine="0"/>
        <w:jc w:val="both"/>
        <w:rPr>
          <w:sz w:val="16"/>
        </w:rPr>
      </w:pPr>
      <w:r>
        <w:rPr>
          <w:rFonts w:ascii="Times New Roman" w:hAnsi="Times New Roman"/>
          <w:position w:val="6"/>
          <w:sz w:val="10"/>
        </w:rPr>
        <w:t>21</w:t>
        <w:tab/>
      </w:r>
      <w:r>
        <w:rPr>
          <w:i/>
          <w:sz w:val="16"/>
        </w:rPr>
        <w:t>Caso</w:t>
      </w:r>
      <w:r>
        <w:rPr>
          <w:i/>
          <w:spacing w:val="30"/>
          <w:sz w:val="16"/>
        </w:rPr>
        <w:t> </w:t>
      </w:r>
      <w:r>
        <w:rPr>
          <w:i/>
          <w:sz w:val="16"/>
        </w:rPr>
        <w:t>Pueblos</w:t>
      </w:r>
      <w:r>
        <w:rPr>
          <w:i/>
          <w:spacing w:val="31"/>
          <w:sz w:val="16"/>
        </w:rPr>
        <w:t> </w:t>
      </w:r>
      <w:r>
        <w:rPr>
          <w:i/>
          <w:sz w:val="16"/>
        </w:rPr>
        <w:t>Kaliña</w:t>
      </w:r>
      <w:r>
        <w:rPr>
          <w:i/>
          <w:spacing w:val="29"/>
          <w:sz w:val="16"/>
        </w:rPr>
        <w:t> </w:t>
      </w:r>
      <w:r>
        <w:rPr>
          <w:i/>
          <w:sz w:val="16"/>
        </w:rPr>
        <w:t>y</w:t>
      </w:r>
      <w:r>
        <w:rPr>
          <w:i/>
          <w:spacing w:val="30"/>
          <w:sz w:val="16"/>
        </w:rPr>
        <w:t> </w:t>
      </w:r>
      <w:r>
        <w:rPr>
          <w:i/>
          <w:sz w:val="16"/>
        </w:rPr>
        <w:t>Lokono</w:t>
      </w:r>
      <w:r>
        <w:rPr>
          <w:i/>
          <w:spacing w:val="30"/>
          <w:sz w:val="16"/>
        </w:rPr>
        <w:t> </w:t>
      </w:r>
      <w:r>
        <w:rPr>
          <w:i/>
          <w:sz w:val="16"/>
        </w:rPr>
        <w:t>Vs.</w:t>
      </w:r>
      <w:r>
        <w:rPr>
          <w:i/>
          <w:spacing w:val="29"/>
          <w:sz w:val="16"/>
        </w:rPr>
        <w:t> </w:t>
      </w:r>
      <w:r>
        <w:rPr>
          <w:i/>
          <w:sz w:val="16"/>
        </w:rPr>
        <w:t>Surinam.</w:t>
      </w:r>
      <w:r>
        <w:rPr>
          <w:i/>
          <w:spacing w:val="30"/>
          <w:sz w:val="16"/>
        </w:rPr>
        <w:t> </w:t>
      </w:r>
      <w:r>
        <w:rPr>
          <w:i/>
          <w:sz w:val="16"/>
        </w:rPr>
        <w:t>Fondo,</w:t>
      </w:r>
      <w:r>
        <w:rPr>
          <w:i/>
          <w:spacing w:val="29"/>
          <w:sz w:val="16"/>
        </w:rPr>
        <w:t> </w:t>
      </w:r>
      <w:r>
        <w:rPr>
          <w:i/>
          <w:sz w:val="16"/>
        </w:rPr>
        <w:t>Reparaciones</w:t>
      </w:r>
      <w:r>
        <w:rPr>
          <w:i/>
          <w:spacing w:val="29"/>
          <w:sz w:val="16"/>
        </w:rPr>
        <w:t> </w:t>
      </w:r>
      <w:r>
        <w:rPr>
          <w:i/>
          <w:sz w:val="16"/>
        </w:rPr>
        <w:t>y</w:t>
      </w:r>
      <w:r>
        <w:rPr>
          <w:i/>
          <w:spacing w:val="31"/>
          <w:sz w:val="16"/>
        </w:rPr>
        <w:t> </w:t>
      </w:r>
      <w:r>
        <w:rPr>
          <w:i/>
          <w:sz w:val="16"/>
        </w:rPr>
        <w:t>Costas.</w:t>
      </w:r>
      <w:r>
        <w:rPr>
          <w:i/>
          <w:spacing w:val="34"/>
          <w:sz w:val="16"/>
        </w:rPr>
        <w:t> </w:t>
      </w:r>
      <w:r>
        <w:rPr>
          <w:sz w:val="16"/>
        </w:rPr>
        <w:t>Sentencia</w:t>
      </w:r>
      <w:r>
        <w:rPr>
          <w:spacing w:val="31"/>
          <w:sz w:val="16"/>
        </w:rPr>
        <w:t> </w:t>
      </w:r>
      <w:r>
        <w:rPr>
          <w:sz w:val="16"/>
        </w:rPr>
        <w:t>de</w:t>
      </w:r>
      <w:r>
        <w:rPr>
          <w:spacing w:val="29"/>
          <w:sz w:val="16"/>
        </w:rPr>
        <w:t> </w:t>
      </w:r>
      <w:r>
        <w:rPr>
          <w:sz w:val="16"/>
        </w:rPr>
        <w:t>25</w:t>
      </w:r>
      <w:r>
        <w:rPr>
          <w:spacing w:val="30"/>
          <w:sz w:val="16"/>
        </w:rPr>
        <w:t> </w:t>
      </w:r>
      <w:r>
        <w:rPr>
          <w:sz w:val="16"/>
        </w:rPr>
        <w:t>de</w:t>
      </w:r>
      <w:r>
        <w:rPr>
          <w:w w:val="99"/>
          <w:sz w:val="16"/>
        </w:rPr>
        <w:t> </w:t>
      </w:r>
      <w:r>
        <w:rPr>
          <w:sz w:val="16"/>
        </w:rPr>
        <w:t>noviembre de 2015. Serie C No. 309, párr.</w:t>
      </w:r>
      <w:r>
        <w:rPr>
          <w:spacing w:val="-13"/>
          <w:sz w:val="16"/>
        </w:rPr>
        <w:t> </w:t>
      </w:r>
      <w:r>
        <w:rPr>
          <w:sz w:val="16"/>
        </w:rPr>
        <w:t>124.</w:t>
      </w:r>
    </w:p>
    <w:p>
      <w:pPr>
        <w:tabs>
          <w:tab w:pos="826" w:val="left" w:leader="none"/>
        </w:tabs>
        <w:spacing w:before="120"/>
        <w:ind w:left="118" w:right="309" w:firstLine="0"/>
        <w:jc w:val="both"/>
        <w:rPr>
          <w:sz w:val="16"/>
        </w:rPr>
      </w:pPr>
      <w:r>
        <w:rPr>
          <w:rFonts w:ascii="Times New Roman" w:hAnsi="Times New Roman"/>
          <w:position w:val="6"/>
          <w:sz w:val="10"/>
        </w:rPr>
        <w:t>22</w:t>
        <w:tab/>
      </w:r>
      <w:r>
        <w:rPr>
          <w:i/>
          <w:sz w:val="16"/>
        </w:rPr>
        <w:t>Caso del Pueblo Saramaka Vs. Surinam. Excepciones Preliminares, Fondo, Reparaciones  </w:t>
      </w:r>
      <w:r>
        <w:rPr>
          <w:i/>
          <w:spacing w:val="20"/>
          <w:sz w:val="16"/>
        </w:rPr>
        <w:t> </w:t>
      </w:r>
      <w:r>
        <w:rPr>
          <w:i/>
          <w:sz w:val="16"/>
        </w:rPr>
        <w:t>y</w:t>
      </w:r>
      <w:r>
        <w:rPr>
          <w:i/>
          <w:spacing w:val="14"/>
          <w:sz w:val="16"/>
        </w:rPr>
        <w:t> </w:t>
      </w:r>
      <w:r>
        <w:rPr>
          <w:i/>
          <w:sz w:val="16"/>
        </w:rPr>
        <w:t>Costas.</w:t>
      </w:r>
      <w:r>
        <w:rPr>
          <w:i/>
          <w:w w:val="99"/>
          <w:sz w:val="16"/>
        </w:rPr>
        <w:t> </w:t>
      </w:r>
      <w:r>
        <w:rPr>
          <w:sz w:val="16"/>
        </w:rPr>
        <w:t>Sentencia de 28 de noviembre de 2007. Serie C No. 172, párr. 82 y nota 63. El sentido expuesto parece observarse</w:t>
      </w:r>
      <w:r>
        <w:rPr>
          <w:spacing w:val="-5"/>
          <w:sz w:val="16"/>
        </w:rPr>
        <w:t> </w:t>
      </w:r>
      <w:r>
        <w:rPr>
          <w:sz w:val="16"/>
        </w:rPr>
        <w:t>en</w:t>
      </w:r>
      <w:r>
        <w:rPr>
          <w:spacing w:val="-5"/>
          <w:sz w:val="16"/>
        </w:rPr>
        <w:t> </w:t>
      </w:r>
      <w:r>
        <w:rPr>
          <w:sz w:val="16"/>
        </w:rPr>
        <w:t>la</w:t>
      </w:r>
      <w:r>
        <w:rPr>
          <w:spacing w:val="-4"/>
          <w:sz w:val="16"/>
        </w:rPr>
        <w:t> </w:t>
      </w:r>
      <w:r>
        <w:rPr>
          <w:sz w:val="16"/>
        </w:rPr>
        <w:t>sentencia</w:t>
      </w:r>
      <w:r>
        <w:rPr>
          <w:spacing w:val="-4"/>
          <w:sz w:val="16"/>
        </w:rPr>
        <w:t> </w:t>
      </w:r>
      <w:r>
        <w:rPr>
          <w:sz w:val="16"/>
        </w:rPr>
        <w:t>de</w:t>
      </w:r>
      <w:r>
        <w:rPr>
          <w:spacing w:val="-4"/>
          <w:sz w:val="16"/>
        </w:rPr>
        <w:t> </w:t>
      </w:r>
      <w:r>
        <w:rPr>
          <w:sz w:val="16"/>
        </w:rPr>
        <w:t>la</w:t>
      </w:r>
      <w:r>
        <w:rPr>
          <w:spacing w:val="-4"/>
          <w:sz w:val="16"/>
        </w:rPr>
        <w:t> </w:t>
      </w:r>
      <w:r>
        <w:rPr>
          <w:sz w:val="16"/>
        </w:rPr>
        <w:t>Corte</w:t>
      </w:r>
      <w:r>
        <w:rPr>
          <w:spacing w:val="-5"/>
          <w:sz w:val="16"/>
        </w:rPr>
        <w:t> </w:t>
      </w:r>
      <w:r>
        <w:rPr>
          <w:sz w:val="16"/>
        </w:rPr>
        <w:t>emitida</w:t>
      </w:r>
      <w:r>
        <w:rPr>
          <w:spacing w:val="-4"/>
          <w:sz w:val="16"/>
        </w:rPr>
        <w:t> </w:t>
      </w:r>
      <w:r>
        <w:rPr>
          <w:sz w:val="16"/>
        </w:rPr>
        <w:t>en</w:t>
      </w:r>
      <w:r>
        <w:rPr>
          <w:spacing w:val="-5"/>
          <w:sz w:val="16"/>
        </w:rPr>
        <w:t> </w:t>
      </w:r>
      <w:r>
        <w:rPr>
          <w:sz w:val="16"/>
        </w:rPr>
        <w:t>2010</w:t>
      </w:r>
      <w:r>
        <w:rPr>
          <w:spacing w:val="-5"/>
          <w:sz w:val="16"/>
        </w:rPr>
        <w:t> </w:t>
      </w:r>
      <w:r>
        <w:rPr>
          <w:sz w:val="16"/>
        </w:rPr>
        <w:t>sobre</w:t>
      </w:r>
      <w:r>
        <w:rPr>
          <w:spacing w:val="-2"/>
          <w:sz w:val="16"/>
        </w:rPr>
        <w:t> </w:t>
      </w:r>
      <w:r>
        <w:rPr>
          <w:sz w:val="16"/>
        </w:rPr>
        <w:t>el</w:t>
      </w:r>
      <w:r>
        <w:rPr>
          <w:spacing w:val="-6"/>
          <w:sz w:val="16"/>
        </w:rPr>
        <w:t> </w:t>
      </w:r>
      <w:r>
        <w:rPr>
          <w:sz w:val="16"/>
        </w:rPr>
        <w:t>caso</w:t>
      </w:r>
      <w:r>
        <w:rPr>
          <w:spacing w:val="-4"/>
          <w:sz w:val="16"/>
        </w:rPr>
        <w:t> </w:t>
      </w:r>
      <w:r>
        <w:rPr>
          <w:i/>
          <w:sz w:val="16"/>
        </w:rPr>
        <w:t>Comunidad</w:t>
      </w:r>
      <w:r>
        <w:rPr>
          <w:i/>
          <w:spacing w:val="-4"/>
          <w:sz w:val="16"/>
        </w:rPr>
        <w:t> </w:t>
      </w:r>
      <w:r>
        <w:rPr>
          <w:i/>
          <w:sz w:val="16"/>
        </w:rPr>
        <w:t>Indígena</w:t>
      </w:r>
      <w:r>
        <w:rPr>
          <w:i/>
          <w:spacing w:val="-5"/>
          <w:sz w:val="16"/>
        </w:rPr>
        <w:t> </w:t>
      </w:r>
      <w:r>
        <w:rPr>
          <w:i/>
          <w:sz w:val="16"/>
        </w:rPr>
        <w:t>Xákmok</w:t>
      </w:r>
      <w:r>
        <w:rPr>
          <w:i/>
          <w:spacing w:val="-4"/>
          <w:sz w:val="16"/>
        </w:rPr>
        <w:t> </w:t>
      </w:r>
      <w:r>
        <w:rPr>
          <w:i/>
          <w:sz w:val="16"/>
        </w:rPr>
        <w:t>Kásek</w:t>
      </w:r>
      <w:r>
        <w:rPr>
          <w:i/>
          <w:spacing w:val="-5"/>
          <w:sz w:val="16"/>
        </w:rPr>
        <w:t> </w:t>
      </w:r>
      <w:r>
        <w:rPr>
          <w:i/>
          <w:sz w:val="16"/>
        </w:rPr>
        <w:t>Vs. </w:t>
      </w:r>
      <w:r>
        <w:rPr>
          <w:i/>
          <w:sz w:val="16"/>
        </w:rPr>
        <w:t>Paraguay.</w:t>
      </w:r>
      <w:r>
        <w:rPr>
          <w:i/>
          <w:spacing w:val="-8"/>
          <w:sz w:val="16"/>
        </w:rPr>
        <w:t> </w:t>
      </w:r>
      <w:r>
        <w:rPr>
          <w:sz w:val="16"/>
        </w:rPr>
        <w:t>La</w:t>
      </w:r>
      <w:r>
        <w:rPr>
          <w:spacing w:val="-7"/>
          <w:sz w:val="16"/>
        </w:rPr>
        <w:t> </w:t>
      </w:r>
      <w:r>
        <w:rPr>
          <w:sz w:val="16"/>
        </w:rPr>
        <w:t>misma</w:t>
      </w:r>
      <w:r>
        <w:rPr>
          <w:spacing w:val="-8"/>
          <w:sz w:val="16"/>
        </w:rPr>
        <w:t> </w:t>
      </w:r>
      <w:r>
        <w:rPr>
          <w:sz w:val="16"/>
        </w:rPr>
        <w:t>alude</w:t>
      </w:r>
      <w:r>
        <w:rPr>
          <w:spacing w:val="-9"/>
          <w:sz w:val="16"/>
        </w:rPr>
        <w:t> </w:t>
      </w:r>
      <w:r>
        <w:rPr>
          <w:sz w:val="16"/>
        </w:rPr>
        <w:t>a</w:t>
      </w:r>
      <w:r>
        <w:rPr>
          <w:spacing w:val="-8"/>
          <w:sz w:val="16"/>
        </w:rPr>
        <w:t> </w:t>
      </w:r>
      <w:r>
        <w:rPr>
          <w:sz w:val="16"/>
        </w:rPr>
        <w:t>“tierras”</w:t>
      </w:r>
      <w:r>
        <w:rPr>
          <w:spacing w:val="-8"/>
          <w:sz w:val="16"/>
        </w:rPr>
        <w:t> </w:t>
      </w:r>
      <w:r>
        <w:rPr>
          <w:sz w:val="16"/>
        </w:rPr>
        <w:t>en</w:t>
      </w:r>
      <w:r>
        <w:rPr>
          <w:spacing w:val="-9"/>
          <w:sz w:val="16"/>
        </w:rPr>
        <w:t> </w:t>
      </w:r>
      <w:r>
        <w:rPr>
          <w:sz w:val="16"/>
        </w:rPr>
        <w:t>sus</w:t>
      </w:r>
      <w:r>
        <w:rPr>
          <w:spacing w:val="-9"/>
          <w:sz w:val="16"/>
        </w:rPr>
        <w:t> </w:t>
      </w:r>
      <w:r>
        <w:rPr>
          <w:sz w:val="16"/>
        </w:rPr>
        <w:t>párrafos</w:t>
      </w:r>
      <w:r>
        <w:rPr>
          <w:spacing w:val="-8"/>
          <w:sz w:val="16"/>
        </w:rPr>
        <w:t> </w:t>
      </w:r>
      <w:r>
        <w:rPr>
          <w:sz w:val="16"/>
        </w:rPr>
        <w:t>108</w:t>
      </w:r>
      <w:r>
        <w:rPr>
          <w:spacing w:val="-9"/>
          <w:sz w:val="16"/>
        </w:rPr>
        <w:t> </w:t>
      </w:r>
      <w:r>
        <w:rPr>
          <w:sz w:val="16"/>
        </w:rPr>
        <w:t>a</w:t>
      </w:r>
      <w:r>
        <w:rPr>
          <w:spacing w:val="-8"/>
          <w:sz w:val="16"/>
        </w:rPr>
        <w:t> </w:t>
      </w:r>
      <w:r>
        <w:rPr>
          <w:sz w:val="16"/>
        </w:rPr>
        <w:t>111,</w:t>
      </w:r>
      <w:r>
        <w:rPr>
          <w:spacing w:val="-9"/>
          <w:sz w:val="16"/>
        </w:rPr>
        <w:t> </w:t>
      </w:r>
      <w:r>
        <w:rPr>
          <w:sz w:val="16"/>
        </w:rPr>
        <w:t>para</w:t>
      </w:r>
      <w:r>
        <w:rPr>
          <w:spacing w:val="-8"/>
          <w:sz w:val="16"/>
        </w:rPr>
        <w:t> </w:t>
      </w:r>
      <w:r>
        <w:rPr>
          <w:sz w:val="16"/>
        </w:rPr>
        <w:t>hacer</w:t>
      </w:r>
      <w:r>
        <w:rPr>
          <w:spacing w:val="-8"/>
          <w:sz w:val="16"/>
        </w:rPr>
        <w:t> </w:t>
      </w:r>
      <w:r>
        <w:rPr>
          <w:sz w:val="16"/>
        </w:rPr>
        <w:t>consideraciones</w:t>
      </w:r>
      <w:r>
        <w:rPr>
          <w:spacing w:val="-9"/>
          <w:sz w:val="16"/>
        </w:rPr>
        <w:t> </w:t>
      </w:r>
      <w:r>
        <w:rPr>
          <w:sz w:val="16"/>
        </w:rPr>
        <w:t>sobre</w:t>
      </w:r>
      <w:r>
        <w:rPr>
          <w:spacing w:val="-9"/>
          <w:sz w:val="16"/>
        </w:rPr>
        <w:t> </w:t>
      </w:r>
      <w:r>
        <w:rPr>
          <w:sz w:val="16"/>
        </w:rPr>
        <w:t>“posesión” o “propiedad”, o aspectos conexos, pero luego indica que “la Corte observ[ó]” (en el párrafo 114) “que la relación</w:t>
      </w:r>
      <w:r>
        <w:rPr>
          <w:spacing w:val="-11"/>
          <w:sz w:val="16"/>
        </w:rPr>
        <w:t> </w:t>
      </w:r>
      <w:r>
        <w:rPr>
          <w:sz w:val="16"/>
        </w:rPr>
        <w:t>de</w:t>
      </w:r>
      <w:r>
        <w:rPr>
          <w:spacing w:val="-12"/>
          <w:sz w:val="16"/>
        </w:rPr>
        <w:t> </w:t>
      </w:r>
      <w:r>
        <w:rPr>
          <w:sz w:val="16"/>
        </w:rPr>
        <w:t>los</w:t>
      </w:r>
      <w:r>
        <w:rPr>
          <w:spacing w:val="-11"/>
          <w:sz w:val="16"/>
        </w:rPr>
        <w:t> </w:t>
      </w:r>
      <w:r>
        <w:rPr>
          <w:sz w:val="16"/>
        </w:rPr>
        <w:t>miembros</w:t>
      </w:r>
      <w:r>
        <w:rPr>
          <w:spacing w:val="-13"/>
          <w:sz w:val="16"/>
        </w:rPr>
        <w:t> </w:t>
      </w:r>
      <w:r>
        <w:rPr>
          <w:sz w:val="16"/>
        </w:rPr>
        <w:t>de</w:t>
      </w:r>
      <w:r>
        <w:rPr>
          <w:spacing w:val="-12"/>
          <w:sz w:val="16"/>
        </w:rPr>
        <w:t> </w:t>
      </w:r>
      <w:r>
        <w:rPr>
          <w:sz w:val="16"/>
        </w:rPr>
        <w:t>la</w:t>
      </w:r>
      <w:r>
        <w:rPr>
          <w:spacing w:val="-12"/>
          <w:sz w:val="16"/>
        </w:rPr>
        <w:t> </w:t>
      </w:r>
      <w:r>
        <w:rPr>
          <w:sz w:val="16"/>
        </w:rPr>
        <w:t>Comunidad</w:t>
      </w:r>
      <w:r>
        <w:rPr>
          <w:spacing w:val="-13"/>
          <w:sz w:val="16"/>
        </w:rPr>
        <w:t> </w:t>
      </w:r>
      <w:r>
        <w:rPr>
          <w:sz w:val="16"/>
        </w:rPr>
        <w:t>con</w:t>
      </w:r>
      <w:r>
        <w:rPr>
          <w:spacing w:val="-13"/>
          <w:sz w:val="16"/>
        </w:rPr>
        <w:t> </w:t>
      </w:r>
      <w:r>
        <w:rPr>
          <w:sz w:val="16"/>
        </w:rPr>
        <w:t>su</w:t>
      </w:r>
      <w:r>
        <w:rPr>
          <w:spacing w:val="-13"/>
          <w:sz w:val="16"/>
        </w:rPr>
        <w:t> </w:t>
      </w:r>
      <w:r>
        <w:rPr>
          <w:sz w:val="16"/>
        </w:rPr>
        <w:t>territorio</w:t>
      </w:r>
      <w:r>
        <w:rPr>
          <w:spacing w:val="-13"/>
          <w:sz w:val="16"/>
        </w:rPr>
        <w:t> </w:t>
      </w:r>
      <w:r>
        <w:rPr>
          <w:sz w:val="16"/>
        </w:rPr>
        <w:t>tradicional</w:t>
      </w:r>
      <w:r>
        <w:rPr>
          <w:spacing w:val="-14"/>
          <w:sz w:val="16"/>
        </w:rPr>
        <w:t> </w:t>
      </w:r>
      <w:r>
        <w:rPr>
          <w:sz w:val="16"/>
        </w:rPr>
        <w:t>se</w:t>
      </w:r>
      <w:r>
        <w:rPr>
          <w:spacing w:val="-12"/>
          <w:sz w:val="16"/>
        </w:rPr>
        <w:t> </w:t>
      </w:r>
      <w:r>
        <w:rPr>
          <w:sz w:val="16"/>
        </w:rPr>
        <w:t>manifiesta,</w:t>
      </w:r>
      <w:r>
        <w:rPr>
          <w:spacing w:val="-9"/>
          <w:sz w:val="16"/>
        </w:rPr>
        <w:t> </w:t>
      </w:r>
      <w:r>
        <w:rPr>
          <w:i/>
          <w:sz w:val="16"/>
        </w:rPr>
        <w:t>inter</w:t>
      </w:r>
      <w:r>
        <w:rPr>
          <w:i/>
          <w:spacing w:val="-12"/>
          <w:sz w:val="16"/>
        </w:rPr>
        <w:t> </w:t>
      </w:r>
      <w:r>
        <w:rPr>
          <w:i/>
          <w:sz w:val="16"/>
        </w:rPr>
        <w:t>alia,</w:t>
      </w:r>
      <w:r>
        <w:rPr>
          <w:i/>
          <w:spacing w:val="-13"/>
          <w:sz w:val="16"/>
        </w:rPr>
        <w:t> </w:t>
      </w:r>
      <w:r>
        <w:rPr>
          <w:sz w:val="16"/>
        </w:rPr>
        <w:t>en</w:t>
      </w:r>
      <w:r>
        <w:rPr>
          <w:spacing w:val="-14"/>
          <w:sz w:val="16"/>
        </w:rPr>
        <w:t> </w:t>
      </w:r>
      <w:r>
        <w:rPr>
          <w:sz w:val="16"/>
        </w:rPr>
        <w:t>el</w:t>
      </w:r>
      <w:r>
        <w:rPr>
          <w:spacing w:val="-14"/>
          <w:sz w:val="16"/>
        </w:rPr>
        <w:t> </w:t>
      </w:r>
      <w:r>
        <w:rPr>
          <w:sz w:val="16"/>
        </w:rPr>
        <w:t>desarrollo de sus actividades tradicionales dentro de [las] tierras” (</w:t>
      </w:r>
      <w:r>
        <w:rPr>
          <w:i/>
          <w:sz w:val="16"/>
        </w:rPr>
        <w:t>Caso Comunidad Indígena Xákmok Kásek Vs. </w:t>
      </w:r>
      <w:r>
        <w:rPr>
          <w:i/>
          <w:sz w:val="16"/>
        </w:rPr>
        <w:t>Paraguay. Fondo, Reparaciones y Costas. </w:t>
      </w:r>
      <w:r>
        <w:rPr>
          <w:sz w:val="16"/>
        </w:rPr>
        <w:t>Sentencia de 24 de agosto de 2010. Serie C No. 214, párrs. 108 a 111 y</w:t>
      </w:r>
      <w:r>
        <w:rPr>
          <w:spacing w:val="-4"/>
          <w:sz w:val="16"/>
        </w:rPr>
        <w:t> </w:t>
      </w:r>
      <w:r>
        <w:rPr>
          <w:sz w:val="16"/>
        </w:rPr>
        <w:t>114).</w:t>
      </w:r>
    </w:p>
    <w:p>
      <w:pPr>
        <w:tabs>
          <w:tab w:pos="826" w:val="left" w:leader="none"/>
        </w:tabs>
        <w:spacing w:before="120"/>
        <w:ind w:left="118" w:right="312" w:firstLine="0"/>
        <w:jc w:val="both"/>
        <w:rPr>
          <w:sz w:val="16"/>
        </w:rPr>
      </w:pPr>
      <w:r>
        <w:rPr>
          <w:rFonts w:ascii="Times New Roman" w:hAnsi="Times New Roman"/>
          <w:position w:val="6"/>
          <w:sz w:val="10"/>
        </w:rPr>
        <w:t>23</w:t>
        <w:tab/>
      </w:r>
      <w:r>
        <w:rPr>
          <w:i/>
          <w:sz w:val="16"/>
        </w:rPr>
        <w:t>Cfr. Caso Pueblo Indígena Kichwa de Sarayaku Vs. Ecuador. Fondo y Reparaciones. </w:t>
      </w:r>
      <w:r>
        <w:rPr>
          <w:sz w:val="16"/>
        </w:rPr>
        <w:t>Sentencia</w:t>
      </w:r>
      <w:r>
        <w:rPr>
          <w:spacing w:val="-27"/>
          <w:sz w:val="16"/>
        </w:rPr>
        <w:t> </w:t>
      </w:r>
      <w:r>
        <w:rPr>
          <w:sz w:val="16"/>
        </w:rPr>
        <w:t>de</w:t>
      </w:r>
      <w:r>
        <w:rPr>
          <w:spacing w:val="-2"/>
          <w:sz w:val="16"/>
        </w:rPr>
        <w:t> </w:t>
      </w:r>
      <w:r>
        <w:rPr>
          <w:sz w:val="16"/>
        </w:rPr>
        <w:t>27</w:t>
      </w:r>
      <w:r>
        <w:rPr>
          <w:w w:val="99"/>
          <w:sz w:val="16"/>
        </w:rPr>
        <w:t> </w:t>
      </w:r>
      <w:r>
        <w:rPr>
          <w:sz w:val="16"/>
        </w:rPr>
        <w:t>de junio de 2012. Serie C No. 245, párrs. 145 y</w:t>
      </w:r>
      <w:r>
        <w:rPr>
          <w:spacing w:val="-18"/>
          <w:sz w:val="16"/>
        </w:rPr>
        <w:t> </w:t>
      </w:r>
      <w:r>
        <w:rPr>
          <w:sz w:val="16"/>
        </w:rPr>
        <w:t>149.</w:t>
      </w:r>
    </w:p>
    <w:p>
      <w:pPr>
        <w:tabs>
          <w:tab w:pos="826" w:val="left" w:leader="none"/>
        </w:tabs>
        <w:spacing w:before="120"/>
        <w:ind w:left="118" w:right="312" w:firstLine="0"/>
        <w:jc w:val="both"/>
        <w:rPr>
          <w:sz w:val="16"/>
        </w:rPr>
      </w:pPr>
      <w:r>
        <w:rPr>
          <w:position w:val="6"/>
          <w:sz w:val="10"/>
        </w:rPr>
        <w:t>24</w:t>
        <w:tab/>
      </w:r>
      <w:r>
        <w:rPr>
          <w:i/>
          <w:sz w:val="16"/>
        </w:rPr>
        <w:t>Caso</w:t>
      </w:r>
      <w:r>
        <w:rPr>
          <w:i/>
          <w:spacing w:val="-16"/>
          <w:sz w:val="16"/>
        </w:rPr>
        <w:t> </w:t>
      </w:r>
      <w:r>
        <w:rPr>
          <w:i/>
          <w:sz w:val="16"/>
        </w:rPr>
        <w:t>de</w:t>
      </w:r>
      <w:r>
        <w:rPr>
          <w:i/>
          <w:spacing w:val="-16"/>
          <w:sz w:val="16"/>
        </w:rPr>
        <w:t> </w:t>
      </w:r>
      <w:r>
        <w:rPr>
          <w:i/>
          <w:sz w:val="16"/>
        </w:rPr>
        <w:t>los</w:t>
      </w:r>
      <w:r>
        <w:rPr>
          <w:i/>
          <w:spacing w:val="-17"/>
          <w:sz w:val="16"/>
        </w:rPr>
        <w:t> </w:t>
      </w:r>
      <w:r>
        <w:rPr>
          <w:i/>
          <w:sz w:val="16"/>
        </w:rPr>
        <w:t>Pueblos</w:t>
      </w:r>
      <w:r>
        <w:rPr>
          <w:i/>
          <w:spacing w:val="-17"/>
          <w:sz w:val="16"/>
        </w:rPr>
        <w:t> </w:t>
      </w:r>
      <w:r>
        <w:rPr>
          <w:i/>
          <w:sz w:val="16"/>
        </w:rPr>
        <w:t>Indígenas</w:t>
      </w:r>
      <w:r>
        <w:rPr>
          <w:i/>
          <w:spacing w:val="-16"/>
          <w:sz w:val="16"/>
        </w:rPr>
        <w:t> </w:t>
      </w:r>
      <w:r>
        <w:rPr>
          <w:i/>
          <w:sz w:val="16"/>
        </w:rPr>
        <w:t>Kuna</w:t>
      </w:r>
      <w:r>
        <w:rPr>
          <w:i/>
          <w:spacing w:val="-15"/>
          <w:sz w:val="16"/>
        </w:rPr>
        <w:t> </w:t>
      </w:r>
      <w:r>
        <w:rPr>
          <w:i/>
          <w:sz w:val="16"/>
        </w:rPr>
        <w:t>de</w:t>
      </w:r>
      <w:r>
        <w:rPr>
          <w:i/>
          <w:spacing w:val="-16"/>
          <w:sz w:val="16"/>
        </w:rPr>
        <w:t> </w:t>
      </w:r>
      <w:r>
        <w:rPr>
          <w:i/>
          <w:sz w:val="16"/>
        </w:rPr>
        <w:t>Madungandí</w:t>
      </w:r>
      <w:r>
        <w:rPr>
          <w:i/>
          <w:spacing w:val="-16"/>
          <w:sz w:val="16"/>
        </w:rPr>
        <w:t> </w:t>
      </w:r>
      <w:r>
        <w:rPr>
          <w:i/>
          <w:sz w:val="16"/>
        </w:rPr>
        <w:t>y</w:t>
      </w:r>
      <w:r>
        <w:rPr>
          <w:i/>
          <w:spacing w:val="-16"/>
          <w:sz w:val="16"/>
        </w:rPr>
        <w:t> </w:t>
      </w:r>
      <w:r>
        <w:rPr>
          <w:i/>
          <w:sz w:val="16"/>
        </w:rPr>
        <w:t>Emberá</w:t>
      </w:r>
      <w:r>
        <w:rPr>
          <w:i/>
          <w:spacing w:val="-17"/>
          <w:sz w:val="16"/>
        </w:rPr>
        <w:t> </w:t>
      </w:r>
      <w:r>
        <w:rPr>
          <w:i/>
          <w:sz w:val="16"/>
        </w:rPr>
        <w:t>de</w:t>
      </w:r>
      <w:r>
        <w:rPr>
          <w:i/>
          <w:spacing w:val="-16"/>
          <w:sz w:val="16"/>
        </w:rPr>
        <w:t> </w:t>
      </w:r>
      <w:r>
        <w:rPr>
          <w:i/>
          <w:sz w:val="16"/>
        </w:rPr>
        <w:t>Bayano</w:t>
      </w:r>
      <w:r>
        <w:rPr>
          <w:i/>
          <w:spacing w:val="-17"/>
          <w:sz w:val="16"/>
        </w:rPr>
        <w:t> </w:t>
      </w:r>
      <w:r>
        <w:rPr>
          <w:i/>
          <w:sz w:val="16"/>
        </w:rPr>
        <w:t>y</w:t>
      </w:r>
      <w:r>
        <w:rPr>
          <w:i/>
          <w:spacing w:val="-15"/>
          <w:sz w:val="16"/>
        </w:rPr>
        <w:t> </w:t>
      </w:r>
      <w:r>
        <w:rPr>
          <w:i/>
          <w:sz w:val="16"/>
        </w:rPr>
        <w:t>sus</w:t>
      </w:r>
      <w:r>
        <w:rPr>
          <w:i/>
          <w:spacing w:val="-16"/>
          <w:sz w:val="16"/>
        </w:rPr>
        <w:t> </w:t>
      </w:r>
      <w:r>
        <w:rPr>
          <w:i/>
          <w:sz w:val="16"/>
        </w:rPr>
        <w:t>miembros</w:t>
      </w:r>
      <w:r>
        <w:rPr>
          <w:i/>
          <w:spacing w:val="-15"/>
          <w:sz w:val="16"/>
        </w:rPr>
        <w:t> </w:t>
      </w:r>
      <w:r>
        <w:rPr>
          <w:i/>
          <w:sz w:val="16"/>
        </w:rPr>
        <w:t>Vs.</w:t>
      </w:r>
      <w:r>
        <w:rPr>
          <w:i/>
          <w:spacing w:val="-16"/>
          <w:sz w:val="16"/>
        </w:rPr>
        <w:t> </w:t>
      </w:r>
      <w:r>
        <w:rPr>
          <w:i/>
          <w:sz w:val="16"/>
        </w:rPr>
        <w:t>Panamá.</w:t>
      </w:r>
      <w:r>
        <w:rPr>
          <w:i/>
          <w:w w:val="99"/>
          <w:sz w:val="16"/>
        </w:rPr>
        <w:t> </w:t>
      </w:r>
      <w:r>
        <w:rPr>
          <w:sz w:val="16"/>
        </w:rPr>
        <w:t>Excepciones Preliminares, Fondo, Reparaciones y Costas. Sentencia de 14 de octubre de 2014. Serie C No. 284, párr.</w:t>
      </w:r>
      <w:r>
        <w:rPr>
          <w:spacing w:val="-6"/>
          <w:sz w:val="16"/>
        </w:rPr>
        <w:t> </w:t>
      </w:r>
      <w:r>
        <w:rPr>
          <w:sz w:val="16"/>
        </w:rPr>
        <w:t>112.</w:t>
      </w:r>
    </w:p>
    <w:p>
      <w:pPr>
        <w:tabs>
          <w:tab w:pos="826" w:val="left" w:leader="none"/>
        </w:tabs>
        <w:spacing w:before="120"/>
        <w:ind w:left="118" w:right="348" w:firstLine="0"/>
        <w:jc w:val="left"/>
        <w:rPr>
          <w:sz w:val="16"/>
        </w:rPr>
      </w:pPr>
      <w:r>
        <w:rPr>
          <w:rFonts w:ascii="Times New Roman" w:hAnsi="Times New Roman"/>
          <w:position w:val="6"/>
          <w:sz w:val="10"/>
        </w:rPr>
        <w:t>25</w:t>
        <w:tab/>
      </w:r>
      <w:r>
        <w:rPr>
          <w:i/>
          <w:sz w:val="16"/>
        </w:rPr>
        <w:t>Caso Comunidad Indígena Yakye Axa Vs. Paraguay</w:t>
      </w:r>
      <w:r>
        <w:rPr>
          <w:sz w:val="16"/>
        </w:rPr>
        <w:t>. </w:t>
      </w:r>
      <w:r>
        <w:rPr>
          <w:i/>
          <w:sz w:val="16"/>
        </w:rPr>
        <w:t>Fondo Reparaciones y Costas</w:t>
      </w:r>
      <w:r>
        <w:rPr>
          <w:sz w:val="16"/>
        </w:rPr>
        <w:t>. Sentencia</w:t>
      </w:r>
      <w:r>
        <w:rPr>
          <w:spacing w:val="-23"/>
          <w:sz w:val="16"/>
        </w:rPr>
        <w:t> </w:t>
      </w:r>
      <w:r>
        <w:rPr>
          <w:sz w:val="16"/>
        </w:rPr>
        <w:t>17</w:t>
      </w:r>
      <w:r>
        <w:rPr>
          <w:spacing w:val="-2"/>
          <w:sz w:val="16"/>
        </w:rPr>
        <w:t> </w:t>
      </w:r>
      <w:r>
        <w:rPr>
          <w:sz w:val="16"/>
        </w:rPr>
        <w:t>de</w:t>
      </w:r>
      <w:r>
        <w:rPr>
          <w:w w:val="99"/>
          <w:sz w:val="16"/>
        </w:rPr>
        <w:t> </w:t>
      </w:r>
      <w:r>
        <w:rPr>
          <w:sz w:val="16"/>
        </w:rPr>
        <w:t>junio de 2005. Serie C No. 125, párr. 147, y </w:t>
      </w:r>
      <w:r>
        <w:rPr>
          <w:i/>
          <w:sz w:val="16"/>
        </w:rPr>
        <w:t>Caso de los Pueblos Indígenas Kuna de Madungandí y Emberá </w:t>
      </w:r>
      <w:r>
        <w:rPr>
          <w:i/>
          <w:sz w:val="16"/>
        </w:rPr>
        <w:t>de Bayano y sus miembros Vs. Panamá</w:t>
      </w:r>
      <w:r>
        <w:rPr>
          <w:sz w:val="16"/>
        </w:rPr>
        <w:t>. </w:t>
      </w:r>
      <w:r>
        <w:rPr>
          <w:i/>
          <w:sz w:val="16"/>
        </w:rPr>
        <w:t>Excepciones Preliminares, Fondo, Reparaciones y Costas</w:t>
      </w:r>
      <w:r>
        <w:rPr>
          <w:sz w:val="16"/>
        </w:rPr>
        <w:t>.</w:t>
      </w:r>
      <w:r>
        <w:rPr>
          <w:spacing w:val="-28"/>
          <w:sz w:val="16"/>
        </w:rPr>
        <w:t> </w:t>
      </w:r>
      <w:r>
        <w:rPr>
          <w:sz w:val="16"/>
        </w:rPr>
        <w:t>Sentencia de 14 de octubre de 2014. Serie C No. 284, párr.</w:t>
      </w:r>
      <w:r>
        <w:rPr>
          <w:spacing w:val="-14"/>
          <w:sz w:val="16"/>
        </w:rPr>
        <w:t> </w:t>
      </w:r>
      <w:r>
        <w:rPr>
          <w:sz w:val="16"/>
        </w:rPr>
        <w:t>18.</w:t>
      </w:r>
    </w:p>
    <w:p>
      <w:pPr>
        <w:spacing w:after="0"/>
        <w:jc w:val="left"/>
        <w:rPr>
          <w:sz w:val="16"/>
        </w:rPr>
        <w:sectPr>
          <w:pgSz w:w="12240" w:h="15840"/>
          <w:pgMar w:header="0" w:footer="782" w:top="1340" w:bottom="980" w:left="1300" w:right="1720"/>
        </w:sectPr>
      </w:pPr>
    </w:p>
    <w:p>
      <w:pPr>
        <w:pStyle w:val="BodyText"/>
        <w:spacing w:before="77"/>
        <w:ind w:left="118"/>
        <w:jc w:val="both"/>
      </w:pPr>
      <w:r>
        <w:rPr/>
        <w:t>identidad  cultural  y  la  supervivencia  misma  de  las  comunidades  indígenas  y sus</w:t>
      </w:r>
    </w:p>
    <w:p>
      <w:pPr>
        <w:pStyle w:val="BodyText"/>
        <w:ind w:left="118"/>
        <w:jc w:val="both"/>
      </w:pPr>
      <w:r>
        <w:rPr/>
        <w:t>miembros”</w:t>
      </w:r>
      <w:r>
        <w:rPr>
          <w:position w:val="8"/>
          <w:sz w:val="16"/>
        </w:rPr>
        <w:t>26</w:t>
      </w:r>
      <w:r>
        <w:rPr/>
        <w:t>.</w:t>
      </w:r>
    </w:p>
    <w:p>
      <w:pPr>
        <w:pStyle w:val="ListParagraph"/>
        <w:numPr>
          <w:ilvl w:val="0"/>
          <w:numId w:val="77"/>
        </w:numPr>
        <w:tabs>
          <w:tab w:pos="827" w:val="left" w:leader="none"/>
        </w:tabs>
        <w:spacing w:line="240" w:lineRule="auto" w:before="251" w:after="0"/>
        <w:ind w:left="118" w:right="310" w:firstLine="0"/>
        <w:jc w:val="both"/>
        <w:rPr>
          <w:sz w:val="20"/>
        </w:rPr>
      </w:pPr>
      <w:r>
        <w:rPr>
          <w:sz w:val="20"/>
        </w:rPr>
        <w:t>Es</w:t>
      </w:r>
      <w:r>
        <w:rPr>
          <w:spacing w:val="-12"/>
          <w:sz w:val="20"/>
        </w:rPr>
        <w:t> </w:t>
      </w:r>
      <w:r>
        <w:rPr>
          <w:sz w:val="20"/>
        </w:rPr>
        <w:t>posible,</w:t>
      </w:r>
      <w:r>
        <w:rPr>
          <w:spacing w:val="-16"/>
          <w:sz w:val="20"/>
        </w:rPr>
        <w:t> </w:t>
      </w:r>
      <w:r>
        <w:rPr>
          <w:sz w:val="20"/>
        </w:rPr>
        <w:t>entonces,</w:t>
      </w:r>
      <w:r>
        <w:rPr>
          <w:spacing w:val="-14"/>
          <w:sz w:val="20"/>
        </w:rPr>
        <w:t> </w:t>
      </w:r>
      <w:r>
        <w:rPr>
          <w:sz w:val="20"/>
        </w:rPr>
        <w:t>con</w:t>
      </w:r>
      <w:r>
        <w:rPr>
          <w:spacing w:val="-13"/>
          <w:sz w:val="20"/>
        </w:rPr>
        <w:t> </w:t>
      </w:r>
      <w:r>
        <w:rPr>
          <w:sz w:val="20"/>
        </w:rPr>
        <w:t>base</w:t>
      </w:r>
      <w:r>
        <w:rPr>
          <w:spacing w:val="-14"/>
          <w:sz w:val="20"/>
        </w:rPr>
        <w:t> </w:t>
      </w:r>
      <w:r>
        <w:rPr>
          <w:sz w:val="20"/>
        </w:rPr>
        <w:t>en</w:t>
      </w:r>
      <w:r>
        <w:rPr>
          <w:spacing w:val="-13"/>
          <w:sz w:val="20"/>
        </w:rPr>
        <w:t> </w:t>
      </w:r>
      <w:r>
        <w:rPr>
          <w:sz w:val="20"/>
        </w:rPr>
        <w:t>las</w:t>
      </w:r>
      <w:r>
        <w:rPr>
          <w:spacing w:val="-13"/>
          <w:sz w:val="20"/>
        </w:rPr>
        <w:t> </w:t>
      </w:r>
      <w:r>
        <w:rPr>
          <w:sz w:val="20"/>
        </w:rPr>
        <w:t>pautas</w:t>
      </w:r>
      <w:r>
        <w:rPr>
          <w:spacing w:val="-13"/>
          <w:sz w:val="20"/>
        </w:rPr>
        <w:t> </w:t>
      </w:r>
      <w:r>
        <w:rPr>
          <w:sz w:val="20"/>
        </w:rPr>
        <w:t>referidas,</w:t>
      </w:r>
      <w:r>
        <w:rPr>
          <w:spacing w:val="-14"/>
          <w:sz w:val="20"/>
        </w:rPr>
        <w:t> </w:t>
      </w:r>
      <w:r>
        <w:rPr>
          <w:sz w:val="20"/>
        </w:rPr>
        <w:t>sustentadas</w:t>
      </w:r>
      <w:r>
        <w:rPr>
          <w:spacing w:val="-14"/>
          <w:sz w:val="20"/>
        </w:rPr>
        <w:t> </w:t>
      </w:r>
      <w:r>
        <w:rPr>
          <w:sz w:val="20"/>
        </w:rPr>
        <w:t>en</w:t>
      </w:r>
      <w:r>
        <w:rPr>
          <w:spacing w:val="-15"/>
          <w:sz w:val="20"/>
        </w:rPr>
        <w:t> </w:t>
      </w:r>
      <w:r>
        <w:rPr>
          <w:sz w:val="20"/>
        </w:rPr>
        <w:t>el</w:t>
      </w:r>
      <w:r>
        <w:rPr>
          <w:spacing w:val="-14"/>
          <w:sz w:val="20"/>
        </w:rPr>
        <w:t> </w:t>
      </w:r>
      <w:r>
        <w:rPr>
          <w:sz w:val="20"/>
        </w:rPr>
        <w:t>derecho internacional, diferenciar las nociones de “territorio” y “tierra”. Este último concepto implicaría un espacio físico, mientras que por “territorio” debería entenderse la vida cultural, en un amplio sentido, relacionada con ese espacio físico. Hay un enlace, entonces,</w:t>
      </w:r>
      <w:r>
        <w:rPr>
          <w:spacing w:val="-9"/>
          <w:sz w:val="20"/>
        </w:rPr>
        <w:t> </w:t>
      </w:r>
      <w:r>
        <w:rPr>
          <w:sz w:val="20"/>
        </w:rPr>
        <w:t>entre</w:t>
      </w:r>
      <w:r>
        <w:rPr>
          <w:spacing w:val="-9"/>
          <w:sz w:val="20"/>
        </w:rPr>
        <w:t> </w:t>
      </w:r>
      <w:r>
        <w:rPr>
          <w:sz w:val="20"/>
        </w:rPr>
        <w:t>“territorio”</w:t>
      </w:r>
      <w:r>
        <w:rPr>
          <w:spacing w:val="-8"/>
          <w:sz w:val="20"/>
        </w:rPr>
        <w:t> </w:t>
      </w:r>
      <w:r>
        <w:rPr>
          <w:sz w:val="20"/>
        </w:rPr>
        <w:t>e</w:t>
      </w:r>
      <w:r>
        <w:rPr>
          <w:spacing w:val="-9"/>
          <w:sz w:val="20"/>
        </w:rPr>
        <w:t> </w:t>
      </w:r>
      <w:r>
        <w:rPr>
          <w:sz w:val="20"/>
        </w:rPr>
        <w:t>“identidad</w:t>
      </w:r>
      <w:r>
        <w:rPr>
          <w:spacing w:val="-9"/>
          <w:sz w:val="20"/>
        </w:rPr>
        <w:t> </w:t>
      </w:r>
      <w:r>
        <w:rPr>
          <w:sz w:val="20"/>
        </w:rPr>
        <w:t>cultural”</w:t>
      </w:r>
      <w:r>
        <w:rPr>
          <w:spacing w:val="-8"/>
          <w:sz w:val="20"/>
        </w:rPr>
        <w:t> </w:t>
      </w:r>
      <w:r>
        <w:rPr>
          <w:sz w:val="20"/>
        </w:rPr>
        <w:t>indígena.</w:t>
      </w:r>
      <w:r>
        <w:rPr>
          <w:spacing w:val="-9"/>
          <w:sz w:val="20"/>
        </w:rPr>
        <w:t> </w:t>
      </w:r>
      <w:r>
        <w:rPr>
          <w:sz w:val="20"/>
        </w:rPr>
        <w:t>En</w:t>
      </w:r>
      <w:r>
        <w:rPr>
          <w:spacing w:val="-8"/>
          <w:sz w:val="20"/>
        </w:rPr>
        <w:t> </w:t>
      </w:r>
      <w:r>
        <w:rPr>
          <w:sz w:val="20"/>
        </w:rPr>
        <w:t>palabras</w:t>
      </w:r>
      <w:r>
        <w:rPr>
          <w:spacing w:val="-10"/>
          <w:sz w:val="20"/>
        </w:rPr>
        <w:t> </w:t>
      </w:r>
      <w:r>
        <w:rPr>
          <w:sz w:val="20"/>
        </w:rPr>
        <w:t>de</w:t>
      </w:r>
      <w:r>
        <w:rPr>
          <w:spacing w:val="-8"/>
          <w:sz w:val="20"/>
        </w:rPr>
        <w:t> </w:t>
      </w:r>
      <w:r>
        <w:rPr>
          <w:sz w:val="20"/>
        </w:rPr>
        <w:t>la</w:t>
      </w:r>
      <w:r>
        <w:rPr>
          <w:spacing w:val="-10"/>
          <w:sz w:val="20"/>
        </w:rPr>
        <w:t> </w:t>
      </w:r>
      <w:r>
        <w:rPr>
          <w:sz w:val="20"/>
        </w:rPr>
        <w:t>Corte</w:t>
      </w:r>
      <w:r>
        <w:rPr>
          <w:spacing w:val="-6"/>
          <w:sz w:val="20"/>
        </w:rPr>
        <w:t> </w:t>
      </w:r>
      <w:r>
        <w:rPr>
          <w:sz w:val="20"/>
        </w:rPr>
        <w:t>IDH:</w:t>
      </w:r>
    </w:p>
    <w:p>
      <w:pPr>
        <w:pStyle w:val="BodyText"/>
        <w:spacing w:before="10"/>
        <w:rPr>
          <w:sz w:val="19"/>
        </w:rPr>
      </w:pPr>
    </w:p>
    <w:p>
      <w:pPr>
        <w:spacing w:before="0"/>
        <w:ind w:left="686" w:right="311" w:firstLine="0"/>
        <w:jc w:val="both"/>
        <w:rPr>
          <w:sz w:val="16"/>
        </w:rPr>
      </w:pPr>
      <w:r>
        <w:rPr>
          <w:sz w:val="16"/>
        </w:rPr>
        <w:t>“La</w:t>
      </w:r>
      <w:r>
        <w:rPr>
          <w:spacing w:val="-6"/>
          <w:sz w:val="16"/>
        </w:rPr>
        <w:t> </w:t>
      </w:r>
      <w:r>
        <w:rPr>
          <w:sz w:val="16"/>
        </w:rPr>
        <w:t>cultura</w:t>
      </w:r>
      <w:r>
        <w:rPr>
          <w:spacing w:val="-5"/>
          <w:sz w:val="16"/>
        </w:rPr>
        <w:t> </w:t>
      </w:r>
      <w:r>
        <w:rPr>
          <w:sz w:val="16"/>
        </w:rPr>
        <w:t>de</w:t>
      </w:r>
      <w:r>
        <w:rPr>
          <w:spacing w:val="-5"/>
          <w:sz w:val="16"/>
        </w:rPr>
        <w:t> </w:t>
      </w:r>
      <w:r>
        <w:rPr>
          <w:sz w:val="16"/>
        </w:rPr>
        <w:t>los</w:t>
      </w:r>
      <w:r>
        <w:rPr>
          <w:spacing w:val="-6"/>
          <w:sz w:val="16"/>
        </w:rPr>
        <w:t> </w:t>
      </w:r>
      <w:r>
        <w:rPr>
          <w:sz w:val="16"/>
        </w:rPr>
        <w:t>miembros</w:t>
      </w:r>
      <w:r>
        <w:rPr>
          <w:spacing w:val="-5"/>
          <w:sz w:val="16"/>
        </w:rPr>
        <w:t> </w:t>
      </w:r>
      <w:r>
        <w:rPr>
          <w:sz w:val="16"/>
        </w:rPr>
        <w:t>de</w:t>
      </w:r>
      <w:r>
        <w:rPr>
          <w:spacing w:val="-6"/>
          <w:sz w:val="16"/>
        </w:rPr>
        <w:t> </w:t>
      </w:r>
      <w:r>
        <w:rPr>
          <w:sz w:val="16"/>
        </w:rPr>
        <w:t>las</w:t>
      </w:r>
      <w:r>
        <w:rPr>
          <w:spacing w:val="-5"/>
          <w:sz w:val="16"/>
        </w:rPr>
        <w:t> </w:t>
      </w:r>
      <w:r>
        <w:rPr>
          <w:sz w:val="16"/>
        </w:rPr>
        <w:t>comunidades</w:t>
      </w:r>
      <w:r>
        <w:rPr>
          <w:spacing w:val="-5"/>
          <w:sz w:val="16"/>
        </w:rPr>
        <w:t> </w:t>
      </w:r>
      <w:r>
        <w:rPr>
          <w:sz w:val="16"/>
        </w:rPr>
        <w:t>indígenas</w:t>
      </w:r>
      <w:r>
        <w:rPr>
          <w:spacing w:val="-4"/>
          <w:sz w:val="16"/>
        </w:rPr>
        <w:t> </w:t>
      </w:r>
      <w:r>
        <w:rPr>
          <w:sz w:val="16"/>
        </w:rPr>
        <w:t>corresponde</w:t>
      </w:r>
      <w:r>
        <w:rPr>
          <w:spacing w:val="-6"/>
          <w:sz w:val="16"/>
        </w:rPr>
        <w:t> </w:t>
      </w:r>
      <w:r>
        <w:rPr>
          <w:sz w:val="16"/>
        </w:rPr>
        <w:t>a</w:t>
      </w:r>
      <w:r>
        <w:rPr>
          <w:spacing w:val="-4"/>
          <w:sz w:val="16"/>
        </w:rPr>
        <w:t> </w:t>
      </w:r>
      <w:r>
        <w:rPr>
          <w:sz w:val="16"/>
        </w:rPr>
        <w:t>una</w:t>
      </w:r>
      <w:r>
        <w:rPr>
          <w:spacing w:val="-6"/>
          <w:sz w:val="16"/>
        </w:rPr>
        <w:t> </w:t>
      </w:r>
      <w:r>
        <w:rPr>
          <w:sz w:val="16"/>
        </w:rPr>
        <w:t>forma</w:t>
      </w:r>
      <w:r>
        <w:rPr>
          <w:spacing w:val="-6"/>
          <w:sz w:val="16"/>
        </w:rPr>
        <w:t> </w:t>
      </w:r>
      <w:r>
        <w:rPr>
          <w:sz w:val="16"/>
        </w:rPr>
        <w:t>de</w:t>
      </w:r>
      <w:r>
        <w:rPr>
          <w:spacing w:val="-5"/>
          <w:sz w:val="16"/>
        </w:rPr>
        <w:t> </w:t>
      </w:r>
      <w:r>
        <w:rPr>
          <w:sz w:val="16"/>
        </w:rPr>
        <w:t>vida</w:t>
      </w:r>
      <w:r>
        <w:rPr>
          <w:spacing w:val="-5"/>
          <w:sz w:val="16"/>
        </w:rPr>
        <w:t> </w:t>
      </w:r>
      <w:r>
        <w:rPr>
          <w:sz w:val="16"/>
        </w:rPr>
        <w:t>particular de ser, ver y actuar en el mundo, constituido a partir de su estrecha relación con sus territorios tradicionales y los recursos que allí se encuentran, no sólo por ser estos su principal medio de subsistencia, sino además porque constituyen un elemento integrante de su cosmovisión, religiosidad y, por ende, de su identidad</w:t>
      </w:r>
      <w:r>
        <w:rPr>
          <w:spacing w:val="-12"/>
          <w:sz w:val="16"/>
        </w:rPr>
        <w:t> </w:t>
      </w:r>
      <w:r>
        <w:rPr>
          <w:sz w:val="16"/>
        </w:rPr>
        <w:t>cultural”</w:t>
      </w:r>
      <w:r>
        <w:rPr>
          <w:position w:val="6"/>
          <w:sz w:val="10"/>
        </w:rPr>
        <w:t>27</w:t>
      </w:r>
      <w:r>
        <w:rPr>
          <w:sz w:val="16"/>
        </w:rPr>
        <w:t>.</w:t>
      </w:r>
    </w:p>
    <w:p>
      <w:pPr>
        <w:pStyle w:val="BodyText"/>
      </w:pPr>
    </w:p>
    <w:p>
      <w:pPr>
        <w:pStyle w:val="ListParagraph"/>
        <w:numPr>
          <w:ilvl w:val="0"/>
          <w:numId w:val="77"/>
        </w:numPr>
        <w:tabs>
          <w:tab w:pos="827" w:val="left" w:leader="none"/>
        </w:tabs>
        <w:spacing w:line="242" w:lineRule="auto" w:before="0" w:after="0"/>
        <w:ind w:left="118" w:right="309" w:firstLine="0"/>
        <w:jc w:val="both"/>
        <w:rPr>
          <w:sz w:val="20"/>
        </w:rPr>
      </w:pPr>
      <w:r>
        <w:rPr>
          <w:sz w:val="20"/>
        </w:rPr>
        <w:t>Ahora bien, la Corte IDH ha señalado en 2005, al decidir el caso </w:t>
      </w:r>
      <w:r>
        <w:rPr>
          <w:i/>
          <w:sz w:val="20"/>
        </w:rPr>
        <w:t>Yakye Axa Vs. </w:t>
      </w:r>
      <w:r>
        <w:rPr>
          <w:i/>
          <w:sz w:val="20"/>
        </w:rPr>
        <w:t>Paraguay</w:t>
      </w:r>
      <w:r>
        <w:rPr>
          <w:sz w:val="20"/>
        </w:rPr>
        <w:t>, que “la estrecha vinculación de los pueblos indígenas sobre sus territorios tradicionales y los recursos naturales ligados a su cultura que ahí se encuentren, así como</w:t>
      </w:r>
      <w:r>
        <w:rPr>
          <w:spacing w:val="-11"/>
          <w:sz w:val="20"/>
        </w:rPr>
        <w:t> </w:t>
      </w:r>
      <w:r>
        <w:rPr>
          <w:sz w:val="20"/>
        </w:rPr>
        <w:t>los</w:t>
      </w:r>
      <w:r>
        <w:rPr>
          <w:spacing w:val="-12"/>
          <w:sz w:val="20"/>
        </w:rPr>
        <w:t> </w:t>
      </w:r>
      <w:r>
        <w:rPr>
          <w:sz w:val="20"/>
        </w:rPr>
        <w:t>elementos</w:t>
      </w:r>
      <w:r>
        <w:rPr>
          <w:spacing w:val="-12"/>
          <w:sz w:val="20"/>
        </w:rPr>
        <w:t> </w:t>
      </w:r>
      <w:r>
        <w:rPr>
          <w:sz w:val="20"/>
        </w:rPr>
        <w:t>incorporales</w:t>
      </w:r>
      <w:r>
        <w:rPr>
          <w:spacing w:val="-12"/>
          <w:sz w:val="20"/>
        </w:rPr>
        <w:t> </w:t>
      </w:r>
      <w:r>
        <w:rPr>
          <w:sz w:val="20"/>
        </w:rPr>
        <w:t>que</w:t>
      </w:r>
      <w:r>
        <w:rPr>
          <w:spacing w:val="-11"/>
          <w:sz w:val="20"/>
        </w:rPr>
        <w:t> </w:t>
      </w:r>
      <w:r>
        <w:rPr>
          <w:sz w:val="20"/>
        </w:rPr>
        <w:t>se</w:t>
      </w:r>
      <w:r>
        <w:rPr>
          <w:spacing w:val="-11"/>
          <w:sz w:val="20"/>
        </w:rPr>
        <w:t> </w:t>
      </w:r>
      <w:r>
        <w:rPr>
          <w:sz w:val="20"/>
        </w:rPr>
        <w:t>desprendan</w:t>
      </w:r>
      <w:r>
        <w:rPr>
          <w:spacing w:val="-11"/>
          <w:sz w:val="20"/>
        </w:rPr>
        <w:t> </w:t>
      </w:r>
      <w:r>
        <w:rPr>
          <w:sz w:val="20"/>
        </w:rPr>
        <w:t>de</w:t>
      </w:r>
      <w:r>
        <w:rPr>
          <w:spacing w:val="-11"/>
          <w:sz w:val="20"/>
        </w:rPr>
        <w:t> </w:t>
      </w:r>
      <w:r>
        <w:rPr>
          <w:sz w:val="20"/>
        </w:rPr>
        <w:t>ellos,</w:t>
      </w:r>
      <w:r>
        <w:rPr>
          <w:spacing w:val="-10"/>
          <w:sz w:val="20"/>
        </w:rPr>
        <w:t> </w:t>
      </w:r>
      <w:r>
        <w:rPr>
          <w:sz w:val="20"/>
        </w:rPr>
        <w:t>deben</w:t>
      </w:r>
      <w:r>
        <w:rPr>
          <w:spacing w:val="-11"/>
          <w:sz w:val="20"/>
        </w:rPr>
        <w:t> </w:t>
      </w:r>
      <w:r>
        <w:rPr>
          <w:sz w:val="20"/>
        </w:rPr>
        <w:t>ser</w:t>
      </w:r>
      <w:r>
        <w:rPr>
          <w:spacing w:val="-11"/>
          <w:sz w:val="20"/>
        </w:rPr>
        <w:t> </w:t>
      </w:r>
      <w:r>
        <w:rPr>
          <w:sz w:val="20"/>
        </w:rPr>
        <w:t>salvaguardados por</w:t>
      </w:r>
      <w:r>
        <w:rPr>
          <w:spacing w:val="-7"/>
          <w:sz w:val="20"/>
        </w:rPr>
        <w:t> </w:t>
      </w:r>
      <w:r>
        <w:rPr>
          <w:sz w:val="20"/>
        </w:rPr>
        <w:t>el</w:t>
      </w:r>
      <w:r>
        <w:rPr>
          <w:spacing w:val="-6"/>
          <w:sz w:val="20"/>
        </w:rPr>
        <w:t> </w:t>
      </w:r>
      <w:r>
        <w:rPr>
          <w:sz w:val="20"/>
        </w:rPr>
        <w:t>artículo</w:t>
      </w:r>
      <w:r>
        <w:rPr>
          <w:spacing w:val="-6"/>
          <w:sz w:val="20"/>
        </w:rPr>
        <w:t> </w:t>
      </w:r>
      <w:r>
        <w:rPr>
          <w:sz w:val="20"/>
        </w:rPr>
        <w:t>21</w:t>
      </w:r>
      <w:r>
        <w:rPr>
          <w:spacing w:val="-6"/>
          <w:sz w:val="20"/>
        </w:rPr>
        <w:t> </w:t>
      </w:r>
      <w:r>
        <w:rPr>
          <w:sz w:val="20"/>
        </w:rPr>
        <w:t>de</w:t>
      </w:r>
      <w:r>
        <w:rPr>
          <w:spacing w:val="-5"/>
          <w:sz w:val="20"/>
        </w:rPr>
        <w:t> </w:t>
      </w:r>
      <w:r>
        <w:rPr>
          <w:sz w:val="20"/>
        </w:rPr>
        <w:t>la</w:t>
      </w:r>
      <w:r>
        <w:rPr>
          <w:spacing w:val="-9"/>
          <w:sz w:val="20"/>
        </w:rPr>
        <w:t> </w:t>
      </w:r>
      <w:r>
        <w:rPr>
          <w:sz w:val="20"/>
        </w:rPr>
        <w:t>Convención</w:t>
      </w:r>
      <w:r>
        <w:rPr>
          <w:spacing w:val="-8"/>
          <w:sz w:val="20"/>
        </w:rPr>
        <w:t> </w:t>
      </w:r>
      <w:r>
        <w:rPr>
          <w:sz w:val="20"/>
        </w:rPr>
        <w:t>Americana”,</w:t>
      </w:r>
      <w:r>
        <w:rPr>
          <w:spacing w:val="-6"/>
          <w:sz w:val="20"/>
        </w:rPr>
        <w:t> </w:t>
      </w:r>
      <w:r>
        <w:rPr>
          <w:sz w:val="20"/>
        </w:rPr>
        <w:t>referido</w:t>
      </w:r>
      <w:r>
        <w:rPr>
          <w:spacing w:val="-7"/>
          <w:sz w:val="20"/>
        </w:rPr>
        <w:t> </w:t>
      </w:r>
      <w:r>
        <w:rPr>
          <w:sz w:val="20"/>
        </w:rPr>
        <w:t>al</w:t>
      </w:r>
      <w:r>
        <w:rPr>
          <w:spacing w:val="-7"/>
          <w:sz w:val="20"/>
        </w:rPr>
        <w:t> </w:t>
      </w:r>
      <w:r>
        <w:rPr>
          <w:sz w:val="20"/>
        </w:rPr>
        <w:t>derecho</w:t>
      </w:r>
      <w:r>
        <w:rPr>
          <w:spacing w:val="-7"/>
          <w:sz w:val="20"/>
        </w:rPr>
        <w:t> </w:t>
      </w:r>
      <w:r>
        <w:rPr>
          <w:sz w:val="20"/>
        </w:rPr>
        <w:t>de</w:t>
      </w:r>
      <w:r>
        <w:rPr>
          <w:spacing w:val="-8"/>
          <w:sz w:val="20"/>
        </w:rPr>
        <w:t> </w:t>
      </w:r>
      <w:r>
        <w:rPr>
          <w:sz w:val="20"/>
        </w:rPr>
        <w:t>propiedad</w:t>
      </w:r>
      <w:r>
        <w:rPr>
          <w:position w:val="8"/>
          <w:sz w:val="16"/>
        </w:rPr>
        <w:t>28</w:t>
      </w:r>
      <w:r>
        <w:rPr>
          <w:sz w:val="20"/>
        </w:rPr>
        <w:t>.</w:t>
      </w:r>
      <w:r>
        <w:rPr>
          <w:spacing w:val="-7"/>
          <w:sz w:val="20"/>
        </w:rPr>
        <w:t> </w:t>
      </w:r>
      <w:r>
        <w:rPr>
          <w:sz w:val="20"/>
        </w:rPr>
        <w:t>Eso fue reiterado, con matices, con</w:t>
      </w:r>
      <w:r>
        <w:rPr>
          <w:spacing w:val="-7"/>
          <w:sz w:val="20"/>
        </w:rPr>
        <w:t> </w:t>
      </w:r>
      <w:r>
        <w:rPr>
          <w:sz w:val="20"/>
        </w:rPr>
        <w:t>posterioridad</w:t>
      </w:r>
      <w:r>
        <w:rPr>
          <w:position w:val="8"/>
          <w:sz w:val="16"/>
        </w:rPr>
        <w:t>29</w:t>
      </w:r>
      <w:r>
        <w:rPr>
          <w:sz w:val="20"/>
        </w:rPr>
        <w:t>.</w:t>
      </w:r>
    </w:p>
    <w:p>
      <w:pPr>
        <w:pStyle w:val="ListParagraph"/>
        <w:numPr>
          <w:ilvl w:val="0"/>
          <w:numId w:val="77"/>
        </w:numPr>
        <w:tabs>
          <w:tab w:pos="827" w:val="left" w:leader="none"/>
        </w:tabs>
        <w:spacing w:line="240" w:lineRule="auto" w:before="248" w:after="0"/>
        <w:ind w:left="118" w:right="309" w:firstLine="0"/>
        <w:jc w:val="both"/>
        <w:rPr>
          <w:sz w:val="20"/>
        </w:rPr>
      </w:pPr>
      <w:r>
        <w:rPr>
          <w:sz w:val="20"/>
        </w:rPr>
        <w:t>La</w:t>
      </w:r>
      <w:r>
        <w:rPr>
          <w:spacing w:val="-18"/>
          <w:sz w:val="20"/>
        </w:rPr>
        <w:t> </w:t>
      </w:r>
      <w:r>
        <w:rPr>
          <w:sz w:val="20"/>
        </w:rPr>
        <w:t>salvaguarda</w:t>
      </w:r>
      <w:r>
        <w:rPr>
          <w:spacing w:val="-19"/>
          <w:sz w:val="20"/>
        </w:rPr>
        <w:t> </w:t>
      </w:r>
      <w:r>
        <w:rPr>
          <w:sz w:val="20"/>
        </w:rPr>
        <w:t>de</w:t>
      </w:r>
      <w:r>
        <w:rPr>
          <w:spacing w:val="-18"/>
          <w:sz w:val="20"/>
        </w:rPr>
        <w:t> </w:t>
      </w:r>
      <w:r>
        <w:rPr>
          <w:sz w:val="20"/>
        </w:rPr>
        <w:t>aspectos</w:t>
      </w:r>
      <w:r>
        <w:rPr>
          <w:spacing w:val="-18"/>
          <w:sz w:val="20"/>
        </w:rPr>
        <w:t> </w:t>
      </w:r>
      <w:r>
        <w:rPr>
          <w:sz w:val="20"/>
        </w:rPr>
        <w:t>territoriales</w:t>
      </w:r>
      <w:r>
        <w:rPr>
          <w:spacing w:val="-17"/>
          <w:sz w:val="20"/>
        </w:rPr>
        <w:t> </w:t>
      </w:r>
      <w:r>
        <w:rPr>
          <w:sz w:val="20"/>
        </w:rPr>
        <w:t>a</w:t>
      </w:r>
      <w:r>
        <w:rPr>
          <w:spacing w:val="-19"/>
          <w:sz w:val="20"/>
        </w:rPr>
        <w:t> </w:t>
      </w:r>
      <w:r>
        <w:rPr>
          <w:sz w:val="20"/>
        </w:rPr>
        <w:t>partir</w:t>
      </w:r>
      <w:r>
        <w:rPr>
          <w:spacing w:val="-21"/>
          <w:sz w:val="20"/>
        </w:rPr>
        <w:t> </w:t>
      </w:r>
      <w:r>
        <w:rPr>
          <w:sz w:val="20"/>
        </w:rPr>
        <w:t>del</w:t>
      </w:r>
      <w:r>
        <w:rPr>
          <w:spacing w:val="-18"/>
          <w:sz w:val="20"/>
        </w:rPr>
        <w:t> </w:t>
      </w:r>
      <w:r>
        <w:rPr>
          <w:sz w:val="20"/>
        </w:rPr>
        <w:t>derecho</w:t>
      </w:r>
      <w:r>
        <w:rPr>
          <w:spacing w:val="-19"/>
          <w:sz w:val="20"/>
        </w:rPr>
        <w:t> </w:t>
      </w:r>
      <w:r>
        <w:rPr>
          <w:sz w:val="20"/>
        </w:rPr>
        <w:t>de</w:t>
      </w:r>
      <w:r>
        <w:rPr>
          <w:spacing w:val="-17"/>
          <w:sz w:val="20"/>
        </w:rPr>
        <w:t> </w:t>
      </w:r>
      <w:r>
        <w:rPr>
          <w:sz w:val="20"/>
        </w:rPr>
        <w:t>propiedad</w:t>
      </w:r>
      <w:r>
        <w:rPr>
          <w:spacing w:val="-18"/>
          <w:sz w:val="20"/>
        </w:rPr>
        <w:t> </w:t>
      </w:r>
      <w:r>
        <w:rPr>
          <w:sz w:val="20"/>
        </w:rPr>
        <w:t>privada tiene por base la vinculación, ya expuesta, entre “territorio” y “tierra”, de modo tal</w:t>
      </w:r>
      <w:r>
        <w:rPr>
          <w:spacing w:val="-38"/>
          <w:sz w:val="20"/>
        </w:rPr>
        <w:t> </w:t>
      </w:r>
      <w:r>
        <w:rPr>
          <w:sz w:val="20"/>
        </w:rPr>
        <w:t>que el derecho de propiedad sobre la tierra permitió, en un entendimiento amplio de la propiedad colectiva, la protección del territorio. Ello se encuentra justificado y ha sido efectivo, en el marco de los pronunciamientos de la Corte Interamericana, para tutelar derechos de pueblos indígenas y tribunales, especialmente en la etapa jurisprudencial de la protección indirecta o por conexidad de los</w:t>
      </w:r>
      <w:r>
        <w:rPr>
          <w:spacing w:val="-15"/>
          <w:sz w:val="20"/>
        </w:rPr>
        <w:t> </w:t>
      </w:r>
      <w:r>
        <w:rPr>
          <w:sz w:val="20"/>
        </w:rPr>
        <w:t>DESCA.</w:t>
      </w:r>
    </w:p>
    <w:p>
      <w:pPr>
        <w:pStyle w:val="BodyText"/>
        <w:spacing w:before="11"/>
        <w:rPr>
          <w:sz w:val="19"/>
        </w:rPr>
      </w:pPr>
    </w:p>
    <w:p>
      <w:pPr>
        <w:pStyle w:val="ListParagraph"/>
        <w:numPr>
          <w:ilvl w:val="0"/>
          <w:numId w:val="77"/>
        </w:numPr>
        <w:tabs>
          <w:tab w:pos="827" w:val="left" w:leader="none"/>
        </w:tabs>
        <w:spacing w:line="240" w:lineRule="auto" w:before="1" w:after="0"/>
        <w:ind w:left="118" w:right="308" w:firstLine="0"/>
        <w:jc w:val="both"/>
        <w:rPr>
          <w:sz w:val="20"/>
        </w:rPr>
      </w:pPr>
      <w:r>
        <w:rPr>
          <w:sz w:val="20"/>
        </w:rPr>
        <w:t>Sin embargo, lo anterior no obsta a advertir que hay diversos aspectos que pueden tener relación con el “territorio”, y que son múltiples los derechos que, según los</w:t>
      </w:r>
      <w:r>
        <w:rPr>
          <w:spacing w:val="30"/>
          <w:sz w:val="20"/>
        </w:rPr>
        <w:t> </w:t>
      </w:r>
      <w:r>
        <w:rPr>
          <w:sz w:val="20"/>
        </w:rPr>
        <w:t>diversos</w:t>
      </w:r>
      <w:r>
        <w:rPr>
          <w:spacing w:val="28"/>
          <w:sz w:val="20"/>
        </w:rPr>
        <w:t> </w:t>
      </w:r>
      <w:r>
        <w:rPr>
          <w:sz w:val="20"/>
        </w:rPr>
        <w:t>casos,</w:t>
      </w:r>
      <w:r>
        <w:rPr>
          <w:spacing w:val="29"/>
          <w:sz w:val="20"/>
        </w:rPr>
        <w:t> </w:t>
      </w:r>
      <w:r>
        <w:rPr>
          <w:sz w:val="20"/>
        </w:rPr>
        <w:t>pueden</w:t>
      </w:r>
      <w:r>
        <w:rPr>
          <w:spacing w:val="29"/>
          <w:sz w:val="20"/>
        </w:rPr>
        <w:t> </w:t>
      </w:r>
      <w:r>
        <w:rPr>
          <w:sz w:val="20"/>
        </w:rPr>
        <w:t>verse</w:t>
      </w:r>
      <w:r>
        <w:rPr>
          <w:spacing w:val="28"/>
          <w:sz w:val="20"/>
        </w:rPr>
        <w:t> </w:t>
      </w:r>
      <w:r>
        <w:rPr>
          <w:sz w:val="20"/>
        </w:rPr>
        <w:t>afectados.</w:t>
      </w:r>
      <w:r>
        <w:rPr>
          <w:spacing w:val="28"/>
          <w:sz w:val="20"/>
        </w:rPr>
        <w:t> </w:t>
      </w:r>
      <w:r>
        <w:rPr>
          <w:sz w:val="20"/>
        </w:rPr>
        <w:t>Si</w:t>
      </w:r>
      <w:r>
        <w:rPr>
          <w:spacing w:val="30"/>
          <w:sz w:val="20"/>
        </w:rPr>
        <w:t> </w:t>
      </w:r>
      <w:r>
        <w:rPr>
          <w:sz w:val="20"/>
        </w:rPr>
        <w:t>bien</w:t>
      </w:r>
      <w:r>
        <w:rPr>
          <w:spacing w:val="29"/>
          <w:sz w:val="20"/>
        </w:rPr>
        <w:t> </w:t>
      </w:r>
      <w:r>
        <w:rPr>
          <w:sz w:val="20"/>
        </w:rPr>
        <w:t>la</w:t>
      </w:r>
      <w:r>
        <w:rPr>
          <w:spacing w:val="28"/>
          <w:sz w:val="20"/>
        </w:rPr>
        <w:t> </w:t>
      </w:r>
      <w:r>
        <w:rPr>
          <w:sz w:val="20"/>
        </w:rPr>
        <w:t>Corte</w:t>
      </w:r>
      <w:r>
        <w:rPr>
          <w:spacing w:val="32"/>
          <w:sz w:val="20"/>
        </w:rPr>
        <w:t> </w:t>
      </w:r>
      <w:r>
        <w:rPr>
          <w:sz w:val="20"/>
        </w:rPr>
        <w:t>IDH</w:t>
      </w:r>
      <w:r>
        <w:rPr>
          <w:spacing w:val="29"/>
          <w:sz w:val="20"/>
        </w:rPr>
        <w:t> </w:t>
      </w:r>
      <w:r>
        <w:rPr>
          <w:sz w:val="20"/>
        </w:rPr>
        <w:t>había,</w:t>
      </w:r>
      <w:r>
        <w:rPr>
          <w:spacing w:val="28"/>
          <w:sz w:val="20"/>
        </w:rPr>
        <w:t> </w:t>
      </w:r>
      <w:r>
        <w:rPr>
          <w:sz w:val="20"/>
        </w:rPr>
        <w:t>en</w:t>
      </w:r>
      <w:r>
        <w:rPr>
          <w:spacing w:val="30"/>
          <w:sz w:val="20"/>
        </w:rPr>
        <w:t> </w:t>
      </w:r>
      <w:r>
        <w:rPr>
          <w:sz w:val="20"/>
        </w:rPr>
        <w:t>general,</w:t>
      </w:r>
    </w:p>
    <w:p>
      <w:pPr>
        <w:pStyle w:val="BodyText"/>
        <w:spacing w:before="8"/>
        <w:rPr>
          <w:sz w:val="13"/>
        </w:rPr>
      </w:pPr>
      <w:r>
        <w:rPr/>
        <w:pict>
          <v:line style="position:absolute;mso-position-horizontal-relative:page;mso-position-vertical-relative:paragraph;z-index:4864;mso-wrap-distance-left:0;mso-wrap-distance-right:0" from="70.919998pt,10.567505pt" to="214.939998pt,10.567505pt" stroked="true" strokeweight=".600010pt" strokecolor="#000000">
            <v:stroke dashstyle="solid"/>
            <w10:wrap type="topAndBottom"/>
          </v:line>
        </w:pict>
      </w:r>
    </w:p>
    <w:p>
      <w:pPr>
        <w:tabs>
          <w:tab w:pos="826" w:val="left" w:leader="none"/>
        </w:tabs>
        <w:spacing w:before="73"/>
        <w:ind w:left="118" w:right="315" w:firstLine="0"/>
        <w:jc w:val="both"/>
        <w:rPr>
          <w:sz w:val="16"/>
        </w:rPr>
      </w:pPr>
      <w:r>
        <w:rPr>
          <w:rFonts w:ascii="Times New Roman" w:hAnsi="Times New Roman"/>
          <w:position w:val="6"/>
          <w:sz w:val="10"/>
        </w:rPr>
        <w:t>26</w:t>
        <w:tab/>
      </w:r>
      <w:r>
        <w:rPr>
          <w:i/>
          <w:sz w:val="16"/>
        </w:rPr>
        <w:t>Caso  Pueblo  Indígena  Xucuru  y  sus  miembros  Vs.  Brasil.  Excepciones   </w:t>
      </w:r>
      <w:r>
        <w:rPr>
          <w:i/>
          <w:spacing w:val="9"/>
          <w:sz w:val="16"/>
        </w:rPr>
        <w:t> </w:t>
      </w:r>
      <w:r>
        <w:rPr>
          <w:i/>
          <w:sz w:val="16"/>
        </w:rPr>
        <w:t>Preliminares, </w:t>
      </w:r>
      <w:r>
        <w:rPr>
          <w:i/>
          <w:spacing w:val="12"/>
          <w:sz w:val="16"/>
        </w:rPr>
        <w:t> </w:t>
      </w:r>
      <w:r>
        <w:rPr>
          <w:i/>
          <w:sz w:val="16"/>
        </w:rPr>
        <w:t>Fondo,</w:t>
      </w:r>
      <w:r>
        <w:rPr>
          <w:i/>
          <w:w w:val="99"/>
          <w:sz w:val="16"/>
        </w:rPr>
        <w:t> </w:t>
      </w:r>
      <w:r>
        <w:rPr>
          <w:i/>
          <w:sz w:val="16"/>
        </w:rPr>
        <w:t>Reparaciones y Costas. </w:t>
      </w:r>
      <w:r>
        <w:rPr>
          <w:sz w:val="16"/>
        </w:rPr>
        <w:t>Sentencia de 5 de febrero de 2018. Serie C No. 346, párr.</w:t>
      </w:r>
      <w:r>
        <w:rPr>
          <w:spacing w:val="-24"/>
          <w:sz w:val="16"/>
        </w:rPr>
        <w:t> </w:t>
      </w:r>
      <w:r>
        <w:rPr>
          <w:sz w:val="16"/>
        </w:rPr>
        <w:t>115.</w:t>
      </w:r>
    </w:p>
    <w:p>
      <w:pPr>
        <w:tabs>
          <w:tab w:pos="826" w:val="left" w:leader="none"/>
        </w:tabs>
        <w:spacing w:before="120"/>
        <w:ind w:left="118" w:right="312" w:firstLine="0"/>
        <w:jc w:val="both"/>
        <w:rPr>
          <w:sz w:val="16"/>
        </w:rPr>
      </w:pPr>
      <w:r>
        <w:rPr>
          <w:rFonts w:ascii="Times New Roman" w:hAnsi="Times New Roman"/>
          <w:position w:val="6"/>
          <w:sz w:val="10"/>
        </w:rPr>
        <w:t>27</w:t>
        <w:tab/>
      </w:r>
      <w:r>
        <w:rPr>
          <w:i/>
          <w:sz w:val="16"/>
        </w:rPr>
        <w:t>Caso Comunidad Indígena Yakye Axa Vs. Paraguay. Fondo, Reparaciones y Costas. </w:t>
      </w:r>
      <w:r>
        <w:rPr>
          <w:sz w:val="16"/>
        </w:rPr>
        <w:t>Sentencia</w:t>
      </w:r>
      <w:r>
        <w:rPr>
          <w:spacing w:val="-3"/>
          <w:sz w:val="16"/>
        </w:rPr>
        <w:t> </w:t>
      </w:r>
      <w:r>
        <w:rPr>
          <w:sz w:val="16"/>
        </w:rPr>
        <w:t>de</w:t>
      </w:r>
      <w:r>
        <w:rPr>
          <w:spacing w:val="-1"/>
          <w:sz w:val="16"/>
        </w:rPr>
        <w:t> </w:t>
      </w:r>
      <w:r>
        <w:rPr>
          <w:sz w:val="16"/>
        </w:rPr>
        <w:t>17</w:t>
      </w:r>
      <w:r>
        <w:rPr>
          <w:w w:val="99"/>
          <w:sz w:val="16"/>
        </w:rPr>
        <w:t> </w:t>
      </w:r>
      <w:r>
        <w:rPr>
          <w:sz w:val="16"/>
        </w:rPr>
        <w:t>de junio de 2005. Serie C No. 125, párr.</w:t>
      </w:r>
      <w:r>
        <w:rPr>
          <w:spacing w:val="-16"/>
          <w:sz w:val="16"/>
        </w:rPr>
        <w:t> </w:t>
      </w:r>
      <w:r>
        <w:rPr>
          <w:sz w:val="16"/>
        </w:rPr>
        <w:t>135.</w:t>
      </w:r>
    </w:p>
    <w:p>
      <w:pPr>
        <w:tabs>
          <w:tab w:pos="826" w:val="left" w:leader="none"/>
        </w:tabs>
        <w:spacing w:before="120"/>
        <w:ind w:left="118" w:right="312" w:firstLine="0"/>
        <w:jc w:val="both"/>
        <w:rPr>
          <w:sz w:val="16"/>
        </w:rPr>
      </w:pPr>
      <w:r>
        <w:rPr>
          <w:position w:val="6"/>
          <w:sz w:val="10"/>
        </w:rPr>
        <w:t>28</w:t>
        <w:tab/>
      </w:r>
      <w:r>
        <w:rPr>
          <w:i/>
          <w:sz w:val="16"/>
        </w:rPr>
        <w:t>Caso Comunidad Indígena Yakye Axa Vs. Paraguay. Fondo, Reparaciones y Costas. </w:t>
      </w:r>
      <w:r>
        <w:rPr>
          <w:sz w:val="16"/>
        </w:rPr>
        <w:t>Sentencia</w:t>
      </w:r>
      <w:r>
        <w:rPr>
          <w:spacing w:val="-3"/>
          <w:sz w:val="16"/>
        </w:rPr>
        <w:t> </w:t>
      </w:r>
      <w:r>
        <w:rPr>
          <w:sz w:val="16"/>
        </w:rPr>
        <w:t>de</w:t>
      </w:r>
      <w:r>
        <w:rPr>
          <w:spacing w:val="-1"/>
          <w:sz w:val="16"/>
        </w:rPr>
        <w:t> </w:t>
      </w:r>
      <w:r>
        <w:rPr>
          <w:sz w:val="16"/>
        </w:rPr>
        <w:t>17</w:t>
      </w:r>
      <w:r>
        <w:rPr>
          <w:w w:val="99"/>
          <w:sz w:val="16"/>
        </w:rPr>
        <w:t> </w:t>
      </w:r>
      <w:r>
        <w:rPr>
          <w:sz w:val="16"/>
        </w:rPr>
        <w:t>de junio de 2005. Serie C No. 125, párr.</w:t>
      </w:r>
      <w:r>
        <w:rPr>
          <w:spacing w:val="-16"/>
          <w:sz w:val="16"/>
        </w:rPr>
        <w:t> </w:t>
      </w:r>
      <w:r>
        <w:rPr>
          <w:sz w:val="16"/>
        </w:rPr>
        <w:t>137.</w:t>
      </w:r>
    </w:p>
    <w:p>
      <w:pPr>
        <w:tabs>
          <w:tab w:pos="826" w:val="left" w:leader="none"/>
        </w:tabs>
        <w:spacing w:before="120"/>
        <w:ind w:left="118" w:right="310" w:firstLine="0"/>
        <w:jc w:val="both"/>
        <w:rPr>
          <w:sz w:val="16"/>
        </w:rPr>
      </w:pPr>
      <w:r>
        <w:rPr>
          <w:rFonts w:ascii="Times New Roman" w:hAnsi="Times New Roman"/>
          <w:position w:val="6"/>
          <w:sz w:val="10"/>
        </w:rPr>
        <w:t>29</w:t>
        <w:tab/>
      </w:r>
      <w:r>
        <w:rPr>
          <w:sz w:val="16"/>
        </w:rPr>
        <w:t>Por ejemplo, respecto al caso </w:t>
      </w:r>
      <w:r>
        <w:rPr>
          <w:i/>
          <w:sz w:val="16"/>
        </w:rPr>
        <w:t>Comunidad Indígena Sawhoyamaxa Vs. Paraguay, </w:t>
      </w:r>
      <w:r>
        <w:rPr>
          <w:sz w:val="16"/>
        </w:rPr>
        <w:t>en el que </w:t>
      </w:r>
      <w:r>
        <w:rPr>
          <w:spacing w:val="14"/>
          <w:sz w:val="16"/>
        </w:rPr>
        <w:t> </w:t>
      </w:r>
      <w:r>
        <w:rPr>
          <w:sz w:val="16"/>
        </w:rPr>
        <w:t>la</w:t>
      </w:r>
      <w:r>
        <w:rPr>
          <w:spacing w:val="6"/>
          <w:sz w:val="16"/>
        </w:rPr>
        <w:t> </w:t>
      </w:r>
      <w:r>
        <w:rPr>
          <w:sz w:val="16"/>
        </w:rPr>
        <w:t>Corte</w:t>
      </w:r>
      <w:r>
        <w:rPr>
          <w:w w:val="99"/>
          <w:sz w:val="16"/>
        </w:rPr>
        <w:t> </w:t>
      </w:r>
      <w:r>
        <w:rPr>
          <w:sz w:val="16"/>
        </w:rPr>
        <w:t>IDH reiteró lo indicado, aunque aludiendo a “tierras”, en lugar de “territorio” (</w:t>
      </w:r>
      <w:r>
        <w:rPr>
          <w:i/>
          <w:sz w:val="16"/>
        </w:rPr>
        <w:t>Cfr. Caso Comunidad Indígena </w:t>
      </w:r>
      <w:r>
        <w:rPr>
          <w:i/>
          <w:sz w:val="16"/>
        </w:rPr>
        <w:t>Sawhoyamaxa Vs. Paraguay. Fondo, Reparaciones y Costas. </w:t>
      </w:r>
      <w:r>
        <w:rPr>
          <w:sz w:val="16"/>
        </w:rPr>
        <w:t>Sentencia de 29 de marzo de 2006. Serie C No. 146, párr. 118). Debe tenerse en cuenta lo señalado antes sobre el artículo 13 del Convenio 169 de la OIT, que</w:t>
      </w:r>
      <w:r>
        <w:rPr>
          <w:spacing w:val="-11"/>
          <w:sz w:val="16"/>
        </w:rPr>
        <w:t> </w:t>
      </w:r>
      <w:r>
        <w:rPr>
          <w:sz w:val="16"/>
        </w:rPr>
        <w:t>alude</w:t>
      </w:r>
      <w:r>
        <w:rPr>
          <w:spacing w:val="-11"/>
          <w:sz w:val="16"/>
        </w:rPr>
        <w:t> </w:t>
      </w:r>
      <w:r>
        <w:rPr>
          <w:sz w:val="16"/>
        </w:rPr>
        <w:t>a</w:t>
      </w:r>
      <w:r>
        <w:rPr>
          <w:spacing w:val="-11"/>
          <w:sz w:val="16"/>
        </w:rPr>
        <w:t> </w:t>
      </w:r>
      <w:r>
        <w:rPr>
          <w:sz w:val="16"/>
        </w:rPr>
        <w:t>ambos</w:t>
      </w:r>
      <w:r>
        <w:rPr>
          <w:spacing w:val="-11"/>
          <w:sz w:val="16"/>
        </w:rPr>
        <w:t> </w:t>
      </w:r>
      <w:r>
        <w:rPr>
          <w:sz w:val="16"/>
        </w:rPr>
        <w:t>conceptos.</w:t>
      </w:r>
      <w:r>
        <w:rPr>
          <w:spacing w:val="-10"/>
          <w:sz w:val="16"/>
        </w:rPr>
        <w:t> </w:t>
      </w:r>
      <w:r>
        <w:rPr>
          <w:sz w:val="16"/>
        </w:rPr>
        <w:t>Más</w:t>
      </w:r>
      <w:r>
        <w:rPr>
          <w:spacing w:val="-11"/>
          <w:sz w:val="16"/>
        </w:rPr>
        <w:t> </w:t>
      </w:r>
      <w:r>
        <w:rPr>
          <w:sz w:val="16"/>
        </w:rPr>
        <w:t>adelante,</w:t>
      </w:r>
      <w:r>
        <w:rPr>
          <w:spacing w:val="-10"/>
          <w:sz w:val="16"/>
        </w:rPr>
        <w:t> </w:t>
      </w:r>
      <w:r>
        <w:rPr>
          <w:sz w:val="16"/>
        </w:rPr>
        <w:t>la</w:t>
      </w:r>
      <w:r>
        <w:rPr>
          <w:spacing w:val="-10"/>
          <w:sz w:val="16"/>
        </w:rPr>
        <w:t> </w:t>
      </w:r>
      <w:r>
        <w:rPr>
          <w:sz w:val="16"/>
        </w:rPr>
        <w:t>Corte</w:t>
      </w:r>
      <w:r>
        <w:rPr>
          <w:spacing w:val="-11"/>
          <w:sz w:val="16"/>
        </w:rPr>
        <w:t> </w:t>
      </w:r>
      <w:r>
        <w:rPr>
          <w:sz w:val="16"/>
        </w:rPr>
        <w:t>IDH</w:t>
      </w:r>
      <w:r>
        <w:rPr>
          <w:spacing w:val="-10"/>
          <w:sz w:val="16"/>
        </w:rPr>
        <w:t> </w:t>
      </w:r>
      <w:r>
        <w:rPr>
          <w:sz w:val="16"/>
        </w:rPr>
        <w:t>ha</w:t>
      </w:r>
      <w:r>
        <w:rPr>
          <w:spacing w:val="-10"/>
          <w:sz w:val="16"/>
        </w:rPr>
        <w:t> </w:t>
      </w:r>
      <w:r>
        <w:rPr>
          <w:sz w:val="16"/>
        </w:rPr>
        <w:t>indicado</w:t>
      </w:r>
      <w:r>
        <w:rPr>
          <w:spacing w:val="-11"/>
          <w:sz w:val="16"/>
        </w:rPr>
        <w:t> </w:t>
      </w:r>
      <w:r>
        <w:rPr>
          <w:sz w:val="16"/>
        </w:rPr>
        <w:t>la</w:t>
      </w:r>
      <w:r>
        <w:rPr>
          <w:spacing w:val="-11"/>
          <w:sz w:val="16"/>
        </w:rPr>
        <w:t> </w:t>
      </w:r>
      <w:r>
        <w:rPr>
          <w:sz w:val="16"/>
        </w:rPr>
        <w:t>protección</w:t>
      </w:r>
      <w:r>
        <w:rPr>
          <w:spacing w:val="-11"/>
          <w:sz w:val="16"/>
        </w:rPr>
        <w:t> </w:t>
      </w:r>
      <w:r>
        <w:rPr>
          <w:sz w:val="16"/>
        </w:rPr>
        <w:t>que</w:t>
      </w:r>
      <w:r>
        <w:rPr>
          <w:spacing w:val="-10"/>
          <w:sz w:val="16"/>
        </w:rPr>
        <w:t> </w:t>
      </w:r>
      <w:r>
        <w:rPr>
          <w:sz w:val="16"/>
        </w:rPr>
        <w:t>el</w:t>
      </w:r>
      <w:r>
        <w:rPr>
          <w:spacing w:val="-11"/>
          <w:sz w:val="16"/>
        </w:rPr>
        <w:t> </w:t>
      </w:r>
      <w:r>
        <w:rPr>
          <w:sz w:val="16"/>
        </w:rPr>
        <w:t>“territorio”</w:t>
      </w:r>
      <w:r>
        <w:rPr>
          <w:spacing w:val="-9"/>
          <w:sz w:val="16"/>
        </w:rPr>
        <w:t> </w:t>
      </w:r>
      <w:r>
        <w:rPr>
          <w:sz w:val="16"/>
        </w:rPr>
        <w:t>indígena (o tribal) recibe a partir del artículo 21 de la Convención Americana. Pueden verse, respecto a la protección del territorio a partir del derecho de propiedad, entre otras, las siguientes decisiones: </w:t>
      </w:r>
      <w:r>
        <w:rPr>
          <w:i/>
          <w:sz w:val="16"/>
        </w:rPr>
        <w:t>Caso de los Pueblos </w:t>
      </w:r>
      <w:r>
        <w:rPr>
          <w:i/>
          <w:sz w:val="16"/>
        </w:rPr>
        <w:t>Indígenas Kuna de Madungandí y Emberá de Bayano y sus miembros Vs. Panamá. </w:t>
      </w:r>
      <w:r>
        <w:rPr>
          <w:sz w:val="16"/>
        </w:rPr>
        <w:t>Excepciones</w:t>
      </w:r>
      <w:r>
        <w:rPr>
          <w:spacing w:val="-30"/>
          <w:sz w:val="16"/>
        </w:rPr>
        <w:t> </w:t>
      </w:r>
      <w:r>
        <w:rPr>
          <w:sz w:val="16"/>
        </w:rPr>
        <w:t>Preliminares, Fondo, Reparaciones y Costas. Sentencia de 14 de octubre de 2014. Serie C No. 284, párr. 112; </w:t>
      </w:r>
      <w:r>
        <w:rPr>
          <w:i/>
          <w:sz w:val="16"/>
        </w:rPr>
        <w:t>Caso </w:t>
      </w:r>
      <w:r>
        <w:rPr>
          <w:i/>
          <w:sz w:val="16"/>
        </w:rPr>
        <w:t>Comunidad Garífuna de Punta Piedra y sus miembros Vs. Honduras. Excepciones Preliminares, Fondo, Reparaciones y Costas</w:t>
      </w:r>
      <w:r>
        <w:rPr>
          <w:sz w:val="16"/>
        </w:rPr>
        <w:t>. Sentencia de 8 de octubre de 2015. Serie C No. 304, párr. 167; </w:t>
      </w:r>
      <w:r>
        <w:rPr>
          <w:i/>
          <w:sz w:val="16"/>
        </w:rPr>
        <w:t>Caso Comunidad </w:t>
      </w:r>
      <w:r>
        <w:rPr>
          <w:i/>
          <w:sz w:val="16"/>
        </w:rPr>
        <w:t>Garífuna Triunfo de la Cruz y sus miembros Vs. Honduras. Fondo, Reparaciones y Costas</w:t>
      </w:r>
      <w:r>
        <w:rPr>
          <w:sz w:val="16"/>
        </w:rPr>
        <w:t>. Sentencia de 8 de octubre</w:t>
      </w:r>
      <w:r>
        <w:rPr>
          <w:spacing w:val="-16"/>
          <w:sz w:val="16"/>
        </w:rPr>
        <w:t> </w:t>
      </w:r>
      <w:r>
        <w:rPr>
          <w:sz w:val="16"/>
        </w:rPr>
        <w:t>de</w:t>
      </w:r>
      <w:r>
        <w:rPr>
          <w:spacing w:val="-16"/>
          <w:sz w:val="16"/>
        </w:rPr>
        <w:t> </w:t>
      </w:r>
      <w:r>
        <w:rPr>
          <w:sz w:val="16"/>
        </w:rPr>
        <w:t>2015.</w:t>
      </w:r>
      <w:r>
        <w:rPr>
          <w:spacing w:val="-16"/>
          <w:sz w:val="16"/>
        </w:rPr>
        <w:t> </w:t>
      </w:r>
      <w:r>
        <w:rPr>
          <w:sz w:val="16"/>
        </w:rPr>
        <w:t>Serie</w:t>
      </w:r>
      <w:r>
        <w:rPr>
          <w:spacing w:val="-16"/>
          <w:sz w:val="16"/>
        </w:rPr>
        <w:t> </w:t>
      </w:r>
      <w:r>
        <w:rPr>
          <w:sz w:val="16"/>
        </w:rPr>
        <w:t>C</w:t>
      </w:r>
      <w:r>
        <w:rPr>
          <w:spacing w:val="-15"/>
          <w:sz w:val="16"/>
        </w:rPr>
        <w:t> </w:t>
      </w:r>
      <w:r>
        <w:rPr>
          <w:sz w:val="16"/>
        </w:rPr>
        <w:t>No.</w:t>
      </w:r>
      <w:r>
        <w:rPr>
          <w:spacing w:val="-14"/>
          <w:sz w:val="16"/>
        </w:rPr>
        <w:t> </w:t>
      </w:r>
      <w:r>
        <w:rPr>
          <w:sz w:val="16"/>
        </w:rPr>
        <w:t>305</w:t>
      </w:r>
      <w:r>
        <w:rPr>
          <w:spacing w:val="-15"/>
          <w:sz w:val="16"/>
        </w:rPr>
        <w:t> </w:t>
      </w:r>
      <w:r>
        <w:rPr>
          <w:sz w:val="16"/>
        </w:rPr>
        <w:t>(párr.</w:t>
      </w:r>
      <w:r>
        <w:rPr>
          <w:spacing w:val="-15"/>
          <w:sz w:val="16"/>
        </w:rPr>
        <w:t> </w:t>
      </w:r>
      <w:r>
        <w:rPr>
          <w:sz w:val="16"/>
        </w:rPr>
        <w:t>101);</w:t>
      </w:r>
      <w:r>
        <w:rPr>
          <w:spacing w:val="-16"/>
          <w:sz w:val="16"/>
        </w:rPr>
        <w:t> </w:t>
      </w:r>
      <w:r>
        <w:rPr>
          <w:i/>
          <w:sz w:val="16"/>
        </w:rPr>
        <w:t>Caso</w:t>
      </w:r>
      <w:r>
        <w:rPr>
          <w:i/>
          <w:spacing w:val="-16"/>
          <w:sz w:val="16"/>
        </w:rPr>
        <w:t> </w:t>
      </w:r>
      <w:r>
        <w:rPr>
          <w:i/>
          <w:sz w:val="16"/>
        </w:rPr>
        <w:t>Pueblos</w:t>
      </w:r>
      <w:r>
        <w:rPr>
          <w:i/>
          <w:spacing w:val="-16"/>
          <w:sz w:val="16"/>
        </w:rPr>
        <w:t> </w:t>
      </w:r>
      <w:r>
        <w:rPr>
          <w:i/>
          <w:sz w:val="16"/>
        </w:rPr>
        <w:t>Kaliña</w:t>
      </w:r>
      <w:r>
        <w:rPr>
          <w:i/>
          <w:spacing w:val="-16"/>
          <w:sz w:val="16"/>
        </w:rPr>
        <w:t> </w:t>
      </w:r>
      <w:r>
        <w:rPr>
          <w:i/>
          <w:sz w:val="16"/>
        </w:rPr>
        <w:t>y</w:t>
      </w:r>
      <w:r>
        <w:rPr>
          <w:i/>
          <w:spacing w:val="-15"/>
          <w:sz w:val="16"/>
        </w:rPr>
        <w:t> </w:t>
      </w:r>
      <w:r>
        <w:rPr>
          <w:i/>
          <w:sz w:val="16"/>
        </w:rPr>
        <w:t>Lokono</w:t>
      </w:r>
      <w:r>
        <w:rPr>
          <w:i/>
          <w:spacing w:val="-15"/>
          <w:sz w:val="16"/>
        </w:rPr>
        <w:t> </w:t>
      </w:r>
      <w:r>
        <w:rPr>
          <w:i/>
          <w:sz w:val="16"/>
        </w:rPr>
        <w:t>Vs.</w:t>
      </w:r>
      <w:r>
        <w:rPr>
          <w:i/>
          <w:spacing w:val="-16"/>
          <w:sz w:val="16"/>
        </w:rPr>
        <w:t> </w:t>
      </w:r>
      <w:r>
        <w:rPr>
          <w:i/>
          <w:sz w:val="16"/>
        </w:rPr>
        <w:t>Surinam.</w:t>
      </w:r>
      <w:r>
        <w:rPr>
          <w:i/>
          <w:spacing w:val="-16"/>
          <w:sz w:val="16"/>
        </w:rPr>
        <w:t> </w:t>
      </w:r>
      <w:r>
        <w:rPr>
          <w:i/>
          <w:sz w:val="16"/>
        </w:rPr>
        <w:t>Fondo,</w:t>
      </w:r>
      <w:r>
        <w:rPr>
          <w:i/>
          <w:spacing w:val="-16"/>
          <w:sz w:val="16"/>
        </w:rPr>
        <w:t> </w:t>
      </w:r>
      <w:r>
        <w:rPr>
          <w:i/>
          <w:sz w:val="16"/>
        </w:rPr>
        <w:t>Reparaciones </w:t>
      </w:r>
      <w:r>
        <w:rPr>
          <w:i/>
          <w:sz w:val="16"/>
        </w:rPr>
        <w:t>y</w:t>
      </w:r>
      <w:r>
        <w:rPr>
          <w:i/>
          <w:spacing w:val="-5"/>
          <w:sz w:val="16"/>
        </w:rPr>
        <w:t> </w:t>
      </w:r>
      <w:r>
        <w:rPr>
          <w:i/>
          <w:sz w:val="16"/>
        </w:rPr>
        <w:t>Costas.</w:t>
      </w:r>
      <w:r>
        <w:rPr>
          <w:i/>
          <w:spacing w:val="-6"/>
          <w:sz w:val="16"/>
        </w:rPr>
        <w:t> </w:t>
      </w:r>
      <w:r>
        <w:rPr>
          <w:sz w:val="16"/>
        </w:rPr>
        <w:t>Sentencia</w:t>
      </w:r>
      <w:r>
        <w:rPr>
          <w:spacing w:val="-6"/>
          <w:sz w:val="16"/>
        </w:rPr>
        <w:t> </w:t>
      </w:r>
      <w:r>
        <w:rPr>
          <w:sz w:val="16"/>
        </w:rPr>
        <w:t>de</w:t>
      </w:r>
      <w:r>
        <w:rPr>
          <w:spacing w:val="-6"/>
          <w:sz w:val="16"/>
        </w:rPr>
        <w:t> </w:t>
      </w:r>
      <w:r>
        <w:rPr>
          <w:sz w:val="16"/>
        </w:rPr>
        <w:t>25</w:t>
      </w:r>
      <w:r>
        <w:rPr>
          <w:spacing w:val="-6"/>
          <w:sz w:val="16"/>
        </w:rPr>
        <w:t> </w:t>
      </w:r>
      <w:r>
        <w:rPr>
          <w:sz w:val="16"/>
        </w:rPr>
        <w:t>de</w:t>
      </w:r>
      <w:r>
        <w:rPr>
          <w:spacing w:val="-7"/>
          <w:sz w:val="16"/>
        </w:rPr>
        <w:t> </w:t>
      </w:r>
      <w:r>
        <w:rPr>
          <w:sz w:val="16"/>
        </w:rPr>
        <w:t>noviembre</w:t>
      </w:r>
      <w:r>
        <w:rPr>
          <w:spacing w:val="-6"/>
          <w:sz w:val="16"/>
        </w:rPr>
        <w:t> </w:t>
      </w:r>
      <w:r>
        <w:rPr>
          <w:sz w:val="16"/>
        </w:rPr>
        <w:t>de</w:t>
      </w:r>
      <w:r>
        <w:rPr>
          <w:spacing w:val="-5"/>
          <w:sz w:val="16"/>
        </w:rPr>
        <w:t> </w:t>
      </w:r>
      <w:r>
        <w:rPr>
          <w:sz w:val="16"/>
        </w:rPr>
        <w:t>2015.</w:t>
      </w:r>
      <w:r>
        <w:rPr>
          <w:spacing w:val="-6"/>
          <w:sz w:val="16"/>
        </w:rPr>
        <w:t> </w:t>
      </w:r>
      <w:r>
        <w:rPr>
          <w:sz w:val="16"/>
        </w:rPr>
        <w:t>Serie</w:t>
      </w:r>
      <w:r>
        <w:rPr>
          <w:spacing w:val="-7"/>
          <w:sz w:val="16"/>
        </w:rPr>
        <w:t> </w:t>
      </w:r>
      <w:r>
        <w:rPr>
          <w:sz w:val="16"/>
        </w:rPr>
        <w:t>C</w:t>
      </w:r>
      <w:r>
        <w:rPr>
          <w:spacing w:val="-6"/>
          <w:sz w:val="16"/>
        </w:rPr>
        <w:t> </w:t>
      </w:r>
      <w:r>
        <w:rPr>
          <w:sz w:val="16"/>
        </w:rPr>
        <w:t>No.</w:t>
      </w:r>
      <w:r>
        <w:rPr>
          <w:spacing w:val="-6"/>
          <w:sz w:val="16"/>
        </w:rPr>
        <w:t> </w:t>
      </w:r>
      <w:r>
        <w:rPr>
          <w:sz w:val="16"/>
        </w:rPr>
        <w:t>309,</w:t>
      </w:r>
      <w:r>
        <w:rPr>
          <w:spacing w:val="-6"/>
          <w:sz w:val="16"/>
        </w:rPr>
        <w:t> </w:t>
      </w:r>
      <w:r>
        <w:rPr>
          <w:sz w:val="16"/>
        </w:rPr>
        <w:t>párr.</w:t>
      </w:r>
      <w:r>
        <w:rPr>
          <w:spacing w:val="-7"/>
          <w:sz w:val="16"/>
        </w:rPr>
        <w:t> </w:t>
      </w:r>
      <w:r>
        <w:rPr>
          <w:sz w:val="16"/>
        </w:rPr>
        <w:t>124;</w:t>
      </w:r>
      <w:r>
        <w:rPr>
          <w:spacing w:val="-6"/>
          <w:sz w:val="16"/>
        </w:rPr>
        <w:t> </w:t>
      </w:r>
      <w:r>
        <w:rPr>
          <w:sz w:val="16"/>
        </w:rPr>
        <w:t>y</w:t>
      </w:r>
      <w:r>
        <w:rPr>
          <w:spacing w:val="-5"/>
          <w:sz w:val="16"/>
        </w:rPr>
        <w:t> </w:t>
      </w:r>
      <w:r>
        <w:rPr>
          <w:i/>
          <w:sz w:val="16"/>
        </w:rPr>
        <w:t>Caso</w:t>
      </w:r>
      <w:r>
        <w:rPr>
          <w:i/>
          <w:spacing w:val="-5"/>
          <w:sz w:val="16"/>
        </w:rPr>
        <w:t> </w:t>
      </w:r>
      <w:r>
        <w:rPr>
          <w:i/>
          <w:sz w:val="16"/>
        </w:rPr>
        <w:t>Pueblo</w:t>
      </w:r>
      <w:r>
        <w:rPr>
          <w:i/>
          <w:spacing w:val="-6"/>
          <w:sz w:val="16"/>
        </w:rPr>
        <w:t> </w:t>
      </w:r>
      <w:r>
        <w:rPr>
          <w:i/>
          <w:sz w:val="16"/>
        </w:rPr>
        <w:t>Indígena</w:t>
      </w:r>
      <w:r>
        <w:rPr>
          <w:i/>
          <w:spacing w:val="-6"/>
          <w:sz w:val="16"/>
        </w:rPr>
        <w:t> </w:t>
      </w:r>
      <w:r>
        <w:rPr>
          <w:i/>
          <w:sz w:val="16"/>
        </w:rPr>
        <w:t>Xucuru </w:t>
      </w:r>
      <w:r>
        <w:rPr>
          <w:i/>
          <w:sz w:val="16"/>
        </w:rPr>
        <w:t>y</w:t>
      </w:r>
      <w:r>
        <w:rPr>
          <w:i/>
          <w:spacing w:val="-13"/>
          <w:sz w:val="16"/>
        </w:rPr>
        <w:t> </w:t>
      </w:r>
      <w:r>
        <w:rPr>
          <w:i/>
          <w:sz w:val="16"/>
        </w:rPr>
        <w:t>sus</w:t>
      </w:r>
      <w:r>
        <w:rPr>
          <w:i/>
          <w:spacing w:val="-13"/>
          <w:sz w:val="16"/>
        </w:rPr>
        <w:t> </w:t>
      </w:r>
      <w:r>
        <w:rPr>
          <w:i/>
          <w:sz w:val="16"/>
        </w:rPr>
        <w:t>miembros</w:t>
      </w:r>
      <w:r>
        <w:rPr>
          <w:i/>
          <w:spacing w:val="-13"/>
          <w:sz w:val="16"/>
        </w:rPr>
        <w:t> </w:t>
      </w:r>
      <w:r>
        <w:rPr>
          <w:i/>
          <w:sz w:val="16"/>
        </w:rPr>
        <w:t>Vs.</w:t>
      </w:r>
      <w:r>
        <w:rPr>
          <w:i/>
          <w:spacing w:val="-13"/>
          <w:sz w:val="16"/>
        </w:rPr>
        <w:t> </w:t>
      </w:r>
      <w:r>
        <w:rPr>
          <w:i/>
          <w:sz w:val="16"/>
        </w:rPr>
        <w:t>Brasil.</w:t>
      </w:r>
      <w:r>
        <w:rPr>
          <w:i/>
          <w:spacing w:val="-14"/>
          <w:sz w:val="16"/>
        </w:rPr>
        <w:t> </w:t>
      </w:r>
      <w:r>
        <w:rPr>
          <w:i/>
          <w:sz w:val="16"/>
        </w:rPr>
        <w:t>Excepciones</w:t>
      </w:r>
      <w:r>
        <w:rPr>
          <w:i/>
          <w:spacing w:val="-14"/>
          <w:sz w:val="16"/>
        </w:rPr>
        <w:t> </w:t>
      </w:r>
      <w:r>
        <w:rPr>
          <w:i/>
          <w:sz w:val="16"/>
        </w:rPr>
        <w:t>Preliminares,</w:t>
      </w:r>
      <w:r>
        <w:rPr>
          <w:i/>
          <w:spacing w:val="-14"/>
          <w:sz w:val="16"/>
        </w:rPr>
        <w:t> </w:t>
      </w:r>
      <w:r>
        <w:rPr>
          <w:i/>
          <w:sz w:val="16"/>
        </w:rPr>
        <w:t>Fondo,</w:t>
      </w:r>
      <w:r>
        <w:rPr>
          <w:i/>
          <w:spacing w:val="-13"/>
          <w:sz w:val="16"/>
        </w:rPr>
        <w:t> </w:t>
      </w:r>
      <w:r>
        <w:rPr>
          <w:i/>
          <w:sz w:val="16"/>
        </w:rPr>
        <w:t>Reparaciones</w:t>
      </w:r>
      <w:r>
        <w:rPr>
          <w:i/>
          <w:spacing w:val="-13"/>
          <w:sz w:val="16"/>
        </w:rPr>
        <w:t> </w:t>
      </w:r>
      <w:r>
        <w:rPr>
          <w:i/>
          <w:sz w:val="16"/>
        </w:rPr>
        <w:t>y</w:t>
      </w:r>
      <w:r>
        <w:rPr>
          <w:i/>
          <w:spacing w:val="-13"/>
          <w:sz w:val="16"/>
        </w:rPr>
        <w:t> </w:t>
      </w:r>
      <w:r>
        <w:rPr>
          <w:i/>
          <w:sz w:val="16"/>
        </w:rPr>
        <w:t>Costas.</w:t>
      </w:r>
      <w:r>
        <w:rPr>
          <w:i/>
          <w:spacing w:val="-11"/>
          <w:sz w:val="16"/>
        </w:rPr>
        <w:t> </w:t>
      </w:r>
      <w:r>
        <w:rPr>
          <w:sz w:val="16"/>
        </w:rPr>
        <w:t>Sentencia</w:t>
      </w:r>
      <w:r>
        <w:rPr>
          <w:spacing w:val="-13"/>
          <w:sz w:val="16"/>
        </w:rPr>
        <w:t> </w:t>
      </w:r>
      <w:r>
        <w:rPr>
          <w:sz w:val="16"/>
        </w:rPr>
        <w:t>de</w:t>
      </w:r>
      <w:r>
        <w:rPr>
          <w:spacing w:val="-13"/>
          <w:sz w:val="16"/>
        </w:rPr>
        <w:t> </w:t>
      </w:r>
      <w:r>
        <w:rPr>
          <w:sz w:val="16"/>
        </w:rPr>
        <w:t>5</w:t>
      </w:r>
      <w:r>
        <w:rPr>
          <w:spacing w:val="-13"/>
          <w:sz w:val="16"/>
        </w:rPr>
        <w:t> </w:t>
      </w:r>
      <w:r>
        <w:rPr>
          <w:sz w:val="16"/>
        </w:rPr>
        <w:t>de</w:t>
      </w:r>
      <w:r>
        <w:rPr>
          <w:spacing w:val="-13"/>
          <w:sz w:val="16"/>
        </w:rPr>
        <w:t> </w:t>
      </w:r>
      <w:r>
        <w:rPr>
          <w:sz w:val="16"/>
        </w:rPr>
        <w:t>febrero de 2018. Serie C No. 346, párr.</w:t>
      </w:r>
      <w:r>
        <w:rPr>
          <w:spacing w:val="-9"/>
          <w:sz w:val="16"/>
        </w:rPr>
        <w:t> </w:t>
      </w:r>
      <w:r>
        <w:rPr>
          <w:sz w:val="16"/>
        </w:rPr>
        <w:t>116.</w:t>
      </w:r>
    </w:p>
    <w:p>
      <w:pPr>
        <w:spacing w:after="0"/>
        <w:jc w:val="both"/>
        <w:rPr>
          <w:sz w:val="16"/>
        </w:rPr>
        <w:sectPr>
          <w:pgSz w:w="12240" w:h="15840"/>
          <w:pgMar w:header="0" w:footer="782" w:top="1340" w:bottom="980" w:left="1300" w:right="1720"/>
        </w:sectPr>
      </w:pPr>
    </w:p>
    <w:p>
      <w:pPr>
        <w:pStyle w:val="BodyText"/>
        <w:spacing w:line="242" w:lineRule="auto" w:before="77"/>
        <w:ind w:left="118" w:right="308"/>
        <w:jc w:val="both"/>
      </w:pPr>
      <w:r>
        <w:rPr/>
        <w:t>examinado afectaciones ligadas al “territorio” con base en el artículo 21 de la Convención Americana, no hay motivo para excluir </w:t>
      </w:r>
      <w:r>
        <w:rPr>
          <w:i/>
        </w:rPr>
        <w:t>a priori </w:t>
      </w:r>
      <w:r>
        <w:rPr/>
        <w:t>la posibilidad de analizar otros derechos. Esto puede ser incluso, según el caso, más adecuado, considerando la amplitud de la noción de “territorio” y los distintos bienes que abarca. Lo anterior tiene especial</w:t>
      </w:r>
      <w:r>
        <w:rPr>
          <w:spacing w:val="-10"/>
        </w:rPr>
        <w:t> </w:t>
      </w:r>
      <w:r>
        <w:rPr/>
        <w:t>relevancia</w:t>
      </w:r>
      <w:r>
        <w:rPr>
          <w:spacing w:val="-7"/>
        </w:rPr>
        <w:t> </w:t>
      </w:r>
      <w:r>
        <w:rPr/>
        <w:t>a</w:t>
      </w:r>
      <w:r>
        <w:rPr>
          <w:spacing w:val="-10"/>
        </w:rPr>
        <w:t> </w:t>
      </w:r>
      <w:r>
        <w:rPr/>
        <w:t>partir</w:t>
      </w:r>
      <w:r>
        <w:rPr>
          <w:spacing w:val="-8"/>
        </w:rPr>
        <w:t> </w:t>
      </w:r>
      <w:r>
        <w:rPr/>
        <w:t>del</w:t>
      </w:r>
      <w:r>
        <w:rPr>
          <w:spacing w:val="-9"/>
        </w:rPr>
        <w:t> </w:t>
      </w:r>
      <w:r>
        <w:rPr/>
        <w:t>caso</w:t>
      </w:r>
      <w:r>
        <w:rPr>
          <w:spacing w:val="-8"/>
        </w:rPr>
        <w:t> </w:t>
      </w:r>
      <w:r>
        <w:rPr>
          <w:i/>
        </w:rPr>
        <w:t>Lagos</w:t>
      </w:r>
      <w:r>
        <w:rPr>
          <w:i/>
          <w:spacing w:val="-9"/>
        </w:rPr>
        <w:t> </w:t>
      </w:r>
      <w:r>
        <w:rPr>
          <w:i/>
        </w:rPr>
        <w:t>del</w:t>
      </w:r>
      <w:r>
        <w:rPr>
          <w:i/>
          <w:spacing w:val="-9"/>
        </w:rPr>
        <w:t> </w:t>
      </w:r>
      <w:r>
        <w:rPr>
          <w:i/>
        </w:rPr>
        <w:t>Campo</w:t>
      </w:r>
      <w:r>
        <w:rPr>
          <w:i/>
          <w:spacing w:val="-9"/>
        </w:rPr>
        <w:t> </w:t>
      </w:r>
      <w:r>
        <w:rPr>
          <w:i/>
        </w:rPr>
        <w:t>Vs.</w:t>
      </w:r>
      <w:r>
        <w:rPr>
          <w:i/>
          <w:spacing w:val="-9"/>
        </w:rPr>
        <w:t> </w:t>
      </w:r>
      <w:r>
        <w:rPr>
          <w:i/>
        </w:rPr>
        <w:t>Perú</w:t>
      </w:r>
      <w:r>
        <w:rPr>
          <w:position w:val="8"/>
          <w:sz w:val="16"/>
        </w:rPr>
        <w:t>30</w:t>
      </w:r>
      <w:r>
        <w:rPr/>
        <w:t>,</w:t>
      </w:r>
      <w:r>
        <w:rPr>
          <w:spacing w:val="-8"/>
        </w:rPr>
        <w:t> </w:t>
      </w:r>
      <w:r>
        <w:rPr/>
        <w:t>en</w:t>
      </w:r>
      <w:r>
        <w:rPr>
          <w:spacing w:val="-9"/>
        </w:rPr>
        <w:t> </w:t>
      </w:r>
      <w:r>
        <w:rPr/>
        <w:t>el</w:t>
      </w:r>
      <w:r>
        <w:rPr>
          <w:spacing w:val="-10"/>
        </w:rPr>
        <w:t> </w:t>
      </w:r>
      <w:r>
        <w:rPr/>
        <w:t>que</w:t>
      </w:r>
      <w:r>
        <w:rPr>
          <w:spacing w:val="-8"/>
        </w:rPr>
        <w:t> </w:t>
      </w:r>
      <w:r>
        <w:rPr/>
        <w:t>la</w:t>
      </w:r>
      <w:r>
        <w:rPr>
          <w:spacing w:val="-10"/>
        </w:rPr>
        <w:t> </w:t>
      </w:r>
      <w:r>
        <w:rPr/>
        <w:t>Corte</w:t>
      </w:r>
      <w:r>
        <w:rPr>
          <w:spacing w:val="-8"/>
        </w:rPr>
        <w:t> </w:t>
      </w:r>
      <w:r>
        <w:rPr/>
        <w:t>IDH ha venido analizando en forma autónoma los DESCA a través del artículo 26 de la Convención Americana, y los mismos pueden dar cuenta de problemáticas</w:t>
      </w:r>
      <w:r>
        <w:rPr>
          <w:spacing w:val="-34"/>
        </w:rPr>
        <w:t> </w:t>
      </w:r>
      <w:r>
        <w:rPr/>
        <w:t>territoriales, como ha sucedido en el caso </w:t>
      </w:r>
      <w:r>
        <w:rPr>
          <w:i/>
        </w:rPr>
        <w:t>Lhaka</w:t>
      </w:r>
      <w:r>
        <w:rPr>
          <w:i/>
          <w:spacing w:val="-8"/>
        </w:rPr>
        <w:t> </w:t>
      </w:r>
      <w:r>
        <w:rPr>
          <w:i/>
        </w:rPr>
        <w:t>Honhat</w:t>
      </w:r>
      <w:r>
        <w:rPr/>
        <w:t>.</w:t>
      </w:r>
    </w:p>
    <w:p>
      <w:pPr>
        <w:pStyle w:val="BodyText"/>
        <w:spacing w:before="8"/>
        <w:rPr>
          <w:sz w:val="19"/>
        </w:rPr>
      </w:pPr>
    </w:p>
    <w:p>
      <w:pPr>
        <w:pStyle w:val="ListParagraph"/>
        <w:numPr>
          <w:ilvl w:val="0"/>
          <w:numId w:val="77"/>
        </w:numPr>
        <w:tabs>
          <w:tab w:pos="827" w:val="left" w:leader="none"/>
        </w:tabs>
        <w:spacing w:line="240" w:lineRule="auto" w:before="1" w:after="0"/>
        <w:ind w:left="118" w:right="308" w:firstLine="0"/>
        <w:jc w:val="both"/>
        <w:rPr>
          <w:sz w:val="20"/>
        </w:rPr>
      </w:pPr>
      <w:r>
        <w:rPr>
          <w:sz w:val="20"/>
        </w:rPr>
        <w:t>Desde</w:t>
      </w:r>
      <w:r>
        <w:rPr>
          <w:spacing w:val="-8"/>
          <w:sz w:val="20"/>
        </w:rPr>
        <w:t> </w:t>
      </w:r>
      <w:r>
        <w:rPr>
          <w:sz w:val="20"/>
        </w:rPr>
        <w:t>mi</w:t>
      </w:r>
      <w:r>
        <w:rPr>
          <w:spacing w:val="-10"/>
          <w:sz w:val="20"/>
        </w:rPr>
        <w:t> </w:t>
      </w:r>
      <w:r>
        <w:rPr>
          <w:sz w:val="20"/>
        </w:rPr>
        <w:t>entender,</w:t>
      </w:r>
      <w:r>
        <w:rPr>
          <w:spacing w:val="-8"/>
          <w:sz w:val="20"/>
        </w:rPr>
        <w:t> </w:t>
      </w:r>
      <w:r>
        <w:rPr>
          <w:sz w:val="20"/>
        </w:rPr>
        <w:t>lo</w:t>
      </w:r>
      <w:r>
        <w:rPr>
          <w:spacing w:val="-10"/>
          <w:sz w:val="20"/>
        </w:rPr>
        <w:t> </w:t>
      </w:r>
      <w:r>
        <w:rPr>
          <w:sz w:val="20"/>
        </w:rPr>
        <w:t>que</w:t>
      </w:r>
      <w:r>
        <w:rPr>
          <w:spacing w:val="-7"/>
          <w:sz w:val="20"/>
        </w:rPr>
        <w:t> </w:t>
      </w:r>
      <w:r>
        <w:rPr>
          <w:sz w:val="20"/>
        </w:rPr>
        <w:t>clarifica</w:t>
      </w:r>
      <w:r>
        <w:rPr>
          <w:spacing w:val="-9"/>
          <w:sz w:val="20"/>
        </w:rPr>
        <w:t> </w:t>
      </w:r>
      <w:r>
        <w:rPr>
          <w:sz w:val="20"/>
        </w:rPr>
        <w:t>la</w:t>
      </w:r>
      <w:r>
        <w:rPr>
          <w:spacing w:val="-9"/>
          <w:sz w:val="20"/>
        </w:rPr>
        <w:t> </w:t>
      </w:r>
      <w:r>
        <w:rPr>
          <w:sz w:val="20"/>
        </w:rPr>
        <w:t>Corte</w:t>
      </w:r>
      <w:r>
        <w:rPr>
          <w:spacing w:val="-8"/>
          <w:sz w:val="20"/>
        </w:rPr>
        <w:t> </w:t>
      </w:r>
      <w:r>
        <w:rPr>
          <w:sz w:val="20"/>
        </w:rPr>
        <w:t>IDH</w:t>
      </w:r>
      <w:r>
        <w:rPr>
          <w:spacing w:val="-6"/>
          <w:sz w:val="20"/>
        </w:rPr>
        <w:t> </w:t>
      </w:r>
      <w:r>
        <w:rPr>
          <w:sz w:val="20"/>
        </w:rPr>
        <w:t>en</w:t>
      </w:r>
      <w:r>
        <w:rPr>
          <w:spacing w:val="-8"/>
          <w:sz w:val="20"/>
        </w:rPr>
        <w:t> </w:t>
      </w:r>
      <w:r>
        <w:rPr>
          <w:sz w:val="20"/>
        </w:rPr>
        <w:t>el</w:t>
      </w:r>
      <w:r>
        <w:rPr>
          <w:spacing w:val="-8"/>
          <w:sz w:val="20"/>
        </w:rPr>
        <w:t> </w:t>
      </w:r>
      <w:r>
        <w:rPr>
          <w:sz w:val="20"/>
        </w:rPr>
        <w:t>caso</w:t>
      </w:r>
      <w:r>
        <w:rPr>
          <w:spacing w:val="-9"/>
          <w:sz w:val="20"/>
        </w:rPr>
        <w:t> </w:t>
      </w:r>
      <w:r>
        <w:rPr>
          <w:i/>
          <w:sz w:val="20"/>
        </w:rPr>
        <w:t>Lhaka</w:t>
      </w:r>
      <w:r>
        <w:rPr>
          <w:i/>
          <w:spacing w:val="-9"/>
          <w:sz w:val="20"/>
        </w:rPr>
        <w:t> </w:t>
      </w:r>
      <w:r>
        <w:rPr>
          <w:i/>
          <w:sz w:val="20"/>
        </w:rPr>
        <w:t>Honhat</w:t>
      </w:r>
      <w:r>
        <w:rPr>
          <w:i/>
          <w:spacing w:val="-8"/>
          <w:sz w:val="20"/>
        </w:rPr>
        <w:t> </w:t>
      </w:r>
      <w:r>
        <w:rPr>
          <w:sz w:val="20"/>
        </w:rPr>
        <w:t>es</w:t>
      </w:r>
      <w:r>
        <w:rPr>
          <w:spacing w:val="-8"/>
          <w:sz w:val="20"/>
        </w:rPr>
        <w:t> </w:t>
      </w:r>
      <w:r>
        <w:rPr>
          <w:sz w:val="20"/>
        </w:rPr>
        <w:t>que, por un lado, “la tierra” como propiedad colectiva ancestral indígena tiene un contenido que puede ser protegido por el artículo 21 del Pacto de San José. Por otro lado, al analizar</w:t>
      </w:r>
      <w:r>
        <w:rPr>
          <w:spacing w:val="-11"/>
          <w:sz w:val="20"/>
        </w:rPr>
        <w:t> </w:t>
      </w:r>
      <w:r>
        <w:rPr>
          <w:sz w:val="20"/>
        </w:rPr>
        <w:t>en</w:t>
      </w:r>
      <w:r>
        <w:rPr>
          <w:spacing w:val="-11"/>
          <w:sz w:val="20"/>
        </w:rPr>
        <w:t> </w:t>
      </w:r>
      <w:r>
        <w:rPr>
          <w:sz w:val="20"/>
        </w:rPr>
        <w:t>un</w:t>
      </w:r>
      <w:r>
        <w:rPr>
          <w:spacing w:val="-9"/>
          <w:sz w:val="20"/>
        </w:rPr>
        <w:t> </w:t>
      </w:r>
      <w:r>
        <w:rPr>
          <w:sz w:val="20"/>
        </w:rPr>
        <w:t>capitulo</w:t>
      </w:r>
      <w:r>
        <w:rPr>
          <w:spacing w:val="-11"/>
          <w:sz w:val="20"/>
        </w:rPr>
        <w:t> </w:t>
      </w:r>
      <w:r>
        <w:rPr>
          <w:sz w:val="20"/>
        </w:rPr>
        <w:t>por</w:t>
      </w:r>
      <w:r>
        <w:rPr>
          <w:spacing w:val="-10"/>
          <w:sz w:val="20"/>
        </w:rPr>
        <w:t> </w:t>
      </w:r>
      <w:r>
        <w:rPr>
          <w:sz w:val="20"/>
        </w:rPr>
        <w:t>separado</w:t>
      </w:r>
      <w:r>
        <w:rPr>
          <w:spacing w:val="-10"/>
          <w:sz w:val="20"/>
        </w:rPr>
        <w:t> </w:t>
      </w:r>
      <w:r>
        <w:rPr>
          <w:sz w:val="20"/>
        </w:rPr>
        <w:t>los</w:t>
      </w:r>
      <w:r>
        <w:rPr>
          <w:spacing w:val="-10"/>
          <w:sz w:val="20"/>
        </w:rPr>
        <w:t> </w:t>
      </w:r>
      <w:r>
        <w:rPr>
          <w:sz w:val="20"/>
        </w:rPr>
        <w:t>DESCA,</w:t>
      </w:r>
      <w:r>
        <w:rPr>
          <w:spacing w:val="-9"/>
          <w:sz w:val="20"/>
        </w:rPr>
        <w:t> </w:t>
      </w:r>
      <w:r>
        <w:rPr>
          <w:sz w:val="20"/>
        </w:rPr>
        <w:t>se</w:t>
      </w:r>
      <w:r>
        <w:rPr>
          <w:spacing w:val="-10"/>
          <w:sz w:val="20"/>
        </w:rPr>
        <w:t> </w:t>
      </w:r>
      <w:r>
        <w:rPr>
          <w:sz w:val="20"/>
        </w:rPr>
        <w:t>distingue</w:t>
      </w:r>
      <w:r>
        <w:rPr>
          <w:spacing w:val="-9"/>
          <w:sz w:val="20"/>
        </w:rPr>
        <w:t> </w:t>
      </w:r>
      <w:r>
        <w:rPr>
          <w:sz w:val="20"/>
        </w:rPr>
        <w:t>recursos</w:t>
      </w:r>
      <w:r>
        <w:rPr>
          <w:spacing w:val="-10"/>
          <w:sz w:val="20"/>
        </w:rPr>
        <w:t> </w:t>
      </w:r>
      <w:r>
        <w:rPr>
          <w:sz w:val="20"/>
        </w:rPr>
        <w:t>como</w:t>
      </w:r>
      <w:r>
        <w:rPr>
          <w:spacing w:val="-10"/>
          <w:sz w:val="20"/>
        </w:rPr>
        <w:t> </w:t>
      </w:r>
      <w:r>
        <w:rPr>
          <w:sz w:val="20"/>
        </w:rPr>
        <w:t>el</w:t>
      </w:r>
      <w:r>
        <w:rPr>
          <w:spacing w:val="-9"/>
          <w:sz w:val="20"/>
        </w:rPr>
        <w:t> </w:t>
      </w:r>
      <w:r>
        <w:rPr>
          <w:sz w:val="20"/>
        </w:rPr>
        <w:t>agua,</w:t>
      </w:r>
      <w:r>
        <w:rPr>
          <w:spacing w:val="-9"/>
          <w:sz w:val="20"/>
        </w:rPr>
        <w:t> </w:t>
      </w:r>
      <w:r>
        <w:rPr>
          <w:sz w:val="20"/>
        </w:rPr>
        <w:t>los productos que forman parte de la dieta tradicional y el entorno natural, como forma de expresión cultural y de su identidad, como elementos que si bien están conectados</w:t>
      </w:r>
      <w:r>
        <w:rPr>
          <w:spacing w:val="-22"/>
          <w:sz w:val="20"/>
        </w:rPr>
        <w:t> </w:t>
      </w:r>
      <w:r>
        <w:rPr>
          <w:sz w:val="20"/>
        </w:rPr>
        <w:t>con la “tierra” son, en realidad, parte del concepto de “territorio”, elemento que es mucho más</w:t>
      </w:r>
      <w:r>
        <w:rPr>
          <w:spacing w:val="-18"/>
          <w:sz w:val="20"/>
        </w:rPr>
        <w:t> </w:t>
      </w:r>
      <w:r>
        <w:rPr>
          <w:sz w:val="20"/>
        </w:rPr>
        <w:t>amplio</w:t>
      </w:r>
      <w:r>
        <w:rPr>
          <w:spacing w:val="-18"/>
          <w:sz w:val="20"/>
        </w:rPr>
        <w:t> </w:t>
      </w:r>
      <w:r>
        <w:rPr>
          <w:sz w:val="20"/>
        </w:rPr>
        <w:t>y</w:t>
      </w:r>
      <w:r>
        <w:rPr>
          <w:spacing w:val="-18"/>
          <w:sz w:val="20"/>
        </w:rPr>
        <w:t> </w:t>
      </w:r>
      <w:r>
        <w:rPr>
          <w:sz w:val="20"/>
        </w:rPr>
        <w:t>comprensivo</w:t>
      </w:r>
      <w:r>
        <w:rPr>
          <w:spacing w:val="-19"/>
          <w:sz w:val="20"/>
        </w:rPr>
        <w:t> </w:t>
      </w:r>
      <w:r>
        <w:rPr>
          <w:sz w:val="20"/>
        </w:rPr>
        <w:t>desde</w:t>
      </w:r>
      <w:r>
        <w:rPr>
          <w:spacing w:val="-18"/>
          <w:sz w:val="20"/>
        </w:rPr>
        <w:t> </w:t>
      </w:r>
      <w:r>
        <w:rPr>
          <w:sz w:val="20"/>
        </w:rPr>
        <w:t>el</w:t>
      </w:r>
      <w:r>
        <w:rPr>
          <w:spacing w:val="-19"/>
          <w:sz w:val="20"/>
        </w:rPr>
        <w:t> </w:t>
      </w:r>
      <w:r>
        <w:rPr>
          <w:sz w:val="20"/>
        </w:rPr>
        <w:t>punto</w:t>
      </w:r>
      <w:r>
        <w:rPr>
          <w:spacing w:val="-19"/>
          <w:sz w:val="20"/>
        </w:rPr>
        <w:t> </w:t>
      </w:r>
      <w:r>
        <w:rPr>
          <w:sz w:val="20"/>
        </w:rPr>
        <w:t>de</w:t>
      </w:r>
      <w:r>
        <w:rPr>
          <w:spacing w:val="-18"/>
          <w:sz w:val="20"/>
        </w:rPr>
        <w:t> </w:t>
      </w:r>
      <w:r>
        <w:rPr>
          <w:sz w:val="20"/>
        </w:rPr>
        <w:t>vista</w:t>
      </w:r>
      <w:r>
        <w:rPr>
          <w:spacing w:val="-16"/>
          <w:sz w:val="20"/>
        </w:rPr>
        <w:t> </w:t>
      </w:r>
      <w:r>
        <w:rPr>
          <w:sz w:val="20"/>
        </w:rPr>
        <w:t>de</w:t>
      </w:r>
      <w:r>
        <w:rPr>
          <w:spacing w:val="-18"/>
          <w:sz w:val="20"/>
        </w:rPr>
        <w:t> </w:t>
      </w:r>
      <w:r>
        <w:rPr>
          <w:sz w:val="20"/>
        </w:rPr>
        <w:t>la</w:t>
      </w:r>
      <w:r>
        <w:rPr>
          <w:spacing w:val="-18"/>
          <w:sz w:val="20"/>
        </w:rPr>
        <w:t> </w:t>
      </w:r>
      <w:r>
        <w:rPr>
          <w:sz w:val="20"/>
        </w:rPr>
        <w:t>cosmovisión</w:t>
      </w:r>
      <w:r>
        <w:rPr>
          <w:spacing w:val="-17"/>
          <w:sz w:val="20"/>
        </w:rPr>
        <w:t> </w:t>
      </w:r>
      <w:r>
        <w:rPr>
          <w:sz w:val="20"/>
        </w:rPr>
        <w:t>de</w:t>
      </w:r>
      <w:r>
        <w:rPr>
          <w:spacing w:val="-18"/>
          <w:sz w:val="20"/>
        </w:rPr>
        <w:t> </w:t>
      </w:r>
      <w:r>
        <w:rPr>
          <w:sz w:val="20"/>
        </w:rPr>
        <w:t>las</w:t>
      </w:r>
      <w:r>
        <w:rPr>
          <w:spacing w:val="-18"/>
          <w:sz w:val="20"/>
        </w:rPr>
        <w:t> </w:t>
      </w:r>
      <w:r>
        <w:rPr>
          <w:sz w:val="20"/>
        </w:rPr>
        <w:t>comunidades indígenas dada la estrecha relación que mantienen con su</w:t>
      </w:r>
      <w:r>
        <w:rPr>
          <w:spacing w:val="-16"/>
          <w:sz w:val="20"/>
        </w:rPr>
        <w:t> </w:t>
      </w:r>
      <w:r>
        <w:rPr>
          <w:sz w:val="20"/>
        </w:rPr>
        <w:t>territorio.</w:t>
      </w:r>
    </w:p>
    <w:p>
      <w:pPr>
        <w:pStyle w:val="BodyText"/>
        <w:rPr>
          <w:sz w:val="24"/>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Por ello estimo apropiada la manera en que la Sentencia aborda en un capítulo diferente, las violaciones relativas al derecho al medio ambiente, al agua y a la alimentación y su particular impacto en el derecho a la identidad cultural como proyección</w:t>
      </w:r>
      <w:r>
        <w:rPr>
          <w:spacing w:val="-15"/>
          <w:sz w:val="20"/>
        </w:rPr>
        <w:t> </w:t>
      </w:r>
      <w:r>
        <w:rPr>
          <w:sz w:val="20"/>
        </w:rPr>
        <w:t>especifica</w:t>
      </w:r>
      <w:r>
        <w:rPr>
          <w:spacing w:val="-13"/>
          <w:sz w:val="20"/>
        </w:rPr>
        <w:t> </w:t>
      </w:r>
      <w:r>
        <w:rPr>
          <w:sz w:val="20"/>
        </w:rPr>
        <w:t>del</w:t>
      </w:r>
      <w:r>
        <w:rPr>
          <w:spacing w:val="-13"/>
          <w:sz w:val="20"/>
        </w:rPr>
        <w:t> </w:t>
      </w:r>
      <w:r>
        <w:rPr>
          <w:sz w:val="20"/>
        </w:rPr>
        <w:t>derecho</w:t>
      </w:r>
      <w:r>
        <w:rPr>
          <w:spacing w:val="-14"/>
          <w:sz w:val="20"/>
        </w:rPr>
        <w:t> </w:t>
      </w:r>
      <w:r>
        <w:rPr>
          <w:sz w:val="20"/>
        </w:rPr>
        <w:t>a</w:t>
      </w:r>
      <w:r>
        <w:rPr>
          <w:spacing w:val="-13"/>
          <w:sz w:val="20"/>
        </w:rPr>
        <w:t> </w:t>
      </w:r>
      <w:r>
        <w:rPr>
          <w:sz w:val="20"/>
        </w:rPr>
        <w:t>participar</w:t>
      </w:r>
      <w:r>
        <w:rPr>
          <w:spacing w:val="-15"/>
          <w:sz w:val="20"/>
        </w:rPr>
        <w:t> </w:t>
      </w:r>
      <w:r>
        <w:rPr>
          <w:sz w:val="20"/>
        </w:rPr>
        <w:t>en</w:t>
      </w:r>
      <w:r>
        <w:rPr>
          <w:spacing w:val="-14"/>
          <w:sz w:val="20"/>
        </w:rPr>
        <w:t> </w:t>
      </w:r>
      <w:r>
        <w:rPr>
          <w:sz w:val="20"/>
        </w:rPr>
        <w:t>la</w:t>
      </w:r>
      <w:r>
        <w:rPr>
          <w:spacing w:val="-14"/>
          <w:sz w:val="20"/>
        </w:rPr>
        <w:t> </w:t>
      </w:r>
      <w:r>
        <w:rPr>
          <w:sz w:val="20"/>
        </w:rPr>
        <w:t>vida</w:t>
      </w:r>
      <w:r>
        <w:rPr>
          <w:spacing w:val="-14"/>
          <w:sz w:val="20"/>
        </w:rPr>
        <w:t> </w:t>
      </w:r>
      <w:r>
        <w:rPr>
          <w:sz w:val="20"/>
        </w:rPr>
        <w:t>cultural</w:t>
      </w:r>
      <w:r>
        <w:rPr>
          <w:position w:val="7"/>
          <w:sz w:val="13"/>
        </w:rPr>
        <w:t>31</w:t>
      </w:r>
      <w:r>
        <w:rPr>
          <w:sz w:val="20"/>
        </w:rPr>
        <w:t>.</w:t>
      </w:r>
      <w:r>
        <w:rPr>
          <w:spacing w:val="-14"/>
          <w:sz w:val="20"/>
        </w:rPr>
        <w:t> </w:t>
      </w:r>
      <w:r>
        <w:rPr>
          <w:sz w:val="20"/>
        </w:rPr>
        <w:t>Particularmente,</w:t>
      </w:r>
      <w:r>
        <w:rPr>
          <w:spacing w:val="-14"/>
          <w:sz w:val="20"/>
        </w:rPr>
        <w:t> </w:t>
      </w:r>
      <w:r>
        <w:rPr>
          <w:sz w:val="20"/>
        </w:rPr>
        <w:t>este ejercicio</w:t>
      </w:r>
      <w:r>
        <w:rPr>
          <w:spacing w:val="-9"/>
          <w:sz w:val="20"/>
        </w:rPr>
        <w:t> </w:t>
      </w:r>
      <w:r>
        <w:rPr>
          <w:sz w:val="20"/>
        </w:rPr>
        <w:t>realizado</w:t>
      </w:r>
      <w:r>
        <w:rPr>
          <w:spacing w:val="-8"/>
          <w:sz w:val="20"/>
        </w:rPr>
        <w:t> </w:t>
      </w:r>
      <w:r>
        <w:rPr>
          <w:sz w:val="20"/>
        </w:rPr>
        <w:t>en</w:t>
      </w:r>
      <w:r>
        <w:rPr>
          <w:spacing w:val="-7"/>
          <w:sz w:val="20"/>
        </w:rPr>
        <w:t> </w:t>
      </w:r>
      <w:r>
        <w:rPr>
          <w:sz w:val="20"/>
        </w:rPr>
        <w:t>el</w:t>
      </w:r>
      <w:r>
        <w:rPr>
          <w:spacing w:val="-8"/>
          <w:sz w:val="20"/>
        </w:rPr>
        <w:t> </w:t>
      </w:r>
      <w:r>
        <w:rPr>
          <w:sz w:val="20"/>
        </w:rPr>
        <w:t>Capitulo</w:t>
      </w:r>
      <w:r>
        <w:rPr>
          <w:spacing w:val="-6"/>
          <w:sz w:val="20"/>
        </w:rPr>
        <w:t> </w:t>
      </w:r>
      <w:r>
        <w:rPr>
          <w:sz w:val="20"/>
        </w:rPr>
        <w:t>VII.2</w:t>
      </w:r>
      <w:r>
        <w:rPr>
          <w:spacing w:val="-7"/>
          <w:sz w:val="20"/>
        </w:rPr>
        <w:t> </w:t>
      </w:r>
      <w:r>
        <w:rPr>
          <w:sz w:val="20"/>
        </w:rPr>
        <w:t>de</w:t>
      </w:r>
      <w:r>
        <w:rPr>
          <w:spacing w:val="-6"/>
          <w:sz w:val="20"/>
        </w:rPr>
        <w:t> </w:t>
      </w:r>
      <w:r>
        <w:rPr>
          <w:sz w:val="20"/>
        </w:rPr>
        <w:t>la</w:t>
      </w:r>
      <w:r>
        <w:rPr>
          <w:spacing w:val="-7"/>
          <w:sz w:val="20"/>
        </w:rPr>
        <w:t> </w:t>
      </w:r>
      <w:r>
        <w:rPr>
          <w:sz w:val="20"/>
        </w:rPr>
        <w:t>Sentencia</w:t>
      </w:r>
      <w:r>
        <w:rPr>
          <w:position w:val="7"/>
          <w:sz w:val="13"/>
        </w:rPr>
        <w:t>32</w:t>
      </w:r>
      <w:r>
        <w:rPr>
          <w:sz w:val="20"/>
        </w:rPr>
        <w:t>,</w:t>
      </w:r>
      <w:r>
        <w:rPr>
          <w:spacing w:val="-6"/>
          <w:sz w:val="20"/>
        </w:rPr>
        <w:t> </w:t>
      </w:r>
      <w:r>
        <w:rPr>
          <w:sz w:val="20"/>
        </w:rPr>
        <w:t>enmarca</w:t>
      </w:r>
      <w:r>
        <w:rPr>
          <w:spacing w:val="-7"/>
          <w:sz w:val="20"/>
        </w:rPr>
        <w:t> </w:t>
      </w:r>
      <w:r>
        <w:rPr>
          <w:sz w:val="20"/>
        </w:rPr>
        <w:t>un</w:t>
      </w:r>
      <w:r>
        <w:rPr>
          <w:spacing w:val="-6"/>
          <w:sz w:val="20"/>
        </w:rPr>
        <w:t> </w:t>
      </w:r>
      <w:r>
        <w:rPr>
          <w:sz w:val="20"/>
        </w:rPr>
        <w:t>análisis</w:t>
      </w:r>
      <w:r>
        <w:rPr>
          <w:spacing w:val="-7"/>
          <w:sz w:val="20"/>
        </w:rPr>
        <w:t> </w:t>
      </w:r>
      <w:r>
        <w:rPr>
          <w:sz w:val="20"/>
        </w:rPr>
        <w:t>autónomo de cada uno de los derechos que resultan de vital importancia en este caso pues los pueblos indígenas tienen un especial vínculo con sus territorios, pero en específico con los elementos que se encuentren inmersos en el</w:t>
      </w:r>
      <w:r>
        <w:rPr>
          <w:spacing w:val="-12"/>
          <w:sz w:val="20"/>
        </w:rPr>
        <w:t> </w:t>
      </w:r>
      <w:r>
        <w:rPr>
          <w:sz w:val="20"/>
        </w:rPr>
        <w:t>mismo.</w:t>
      </w:r>
    </w:p>
    <w:p>
      <w:pPr>
        <w:pStyle w:val="BodyText"/>
        <w:spacing w:before="11"/>
        <w:rPr>
          <w:sz w:val="19"/>
        </w:rPr>
      </w:pPr>
    </w:p>
    <w:p>
      <w:pPr>
        <w:pStyle w:val="ListParagraph"/>
        <w:numPr>
          <w:ilvl w:val="0"/>
          <w:numId w:val="77"/>
        </w:numPr>
        <w:tabs>
          <w:tab w:pos="827" w:val="left" w:leader="none"/>
        </w:tabs>
        <w:spacing w:line="240" w:lineRule="auto" w:before="1" w:after="0"/>
        <w:ind w:left="118" w:right="309" w:firstLine="0"/>
        <w:jc w:val="both"/>
        <w:rPr>
          <w:sz w:val="20"/>
        </w:rPr>
      </w:pPr>
      <w:r>
        <w:rPr>
          <w:sz w:val="20"/>
        </w:rPr>
        <w:t>En este abordaje realizado en la Sentencia, debe destacarse la decisión del Tribunal Interamericano en determinar una violación al derecho al agua, que no fue directamente alegado por las partes o la Comisión Interamericana. Es cierto que este derecho,</w:t>
      </w:r>
      <w:r>
        <w:rPr>
          <w:spacing w:val="-18"/>
          <w:sz w:val="20"/>
        </w:rPr>
        <w:t> </w:t>
      </w:r>
      <w:r>
        <w:rPr>
          <w:sz w:val="20"/>
        </w:rPr>
        <w:t>como</w:t>
      </w:r>
      <w:r>
        <w:rPr>
          <w:spacing w:val="-18"/>
          <w:sz w:val="20"/>
        </w:rPr>
        <w:t> </w:t>
      </w:r>
      <w:r>
        <w:rPr>
          <w:sz w:val="20"/>
        </w:rPr>
        <w:t>resalta</w:t>
      </w:r>
      <w:r>
        <w:rPr>
          <w:spacing w:val="-17"/>
          <w:sz w:val="20"/>
        </w:rPr>
        <w:t> </w:t>
      </w:r>
      <w:r>
        <w:rPr>
          <w:sz w:val="20"/>
        </w:rPr>
        <w:t>la</w:t>
      </w:r>
      <w:r>
        <w:rPr>
          <w:spacing w:val="-18"/>
          <w:sz w:val="20"/>
        </w:rPr>
        <w:t> </w:t>
      </w:r>
      <w:r>
        <w:rPr>
          <w:sz w:val="20"/>
        </w:rPr>
        <w:t>Sentencia,</w:t>
      </w:r>
      <w:r>
        <w:rPr>
          <w:spacing w:val="-16"/>
          <w:sz w:val="20"/>
        </w:rPr>
        <w:t> </w:t>
      </w:r>
      <w:r>
        <w:rPr>
          <w:sz w:val="20"/>
        </w:rPr>
        <w:t>tiene</w:t>
      </w:r>
      <w:r>
        <w:rPr>
          <w:spacing w:val="-18"/>
          <w:sz w:val="20"/>
        </w:rPr>
        <w:t> </w:t>
      </w:r>
      <w:r>
        <w:rPr>
          <w:sz w:val="20"/>
        </w:rPr>
        <w:t>una</w:t>
      </w:r>
      <w:r>
        <w:rPr>
          <w:spacing w:val="-18"/>
          <w:sz w:val="20"/>
        </w:rPr>
        <w:t> </w:t>
      </w:r>
      <w:r>
        <w:rPr>
          <w:sz w:val="20"/>
        </w:rPr>
        <w:t>estrecha</w:t>
      </w:r>
      <w:r>
        <w:rPr>
          <w:spacing w:val="-17"/>
          <w:sz w:val="20"/>
        </w:rPr>
        <w:t> </w:t>
      </w:r>
      <w:r>
        <w:rPr>
          <w:sz w:val="20"/>
        </w:rPr>
        <w:t>vinculación</w:t>
      </w:r>
      <w:r>
        <w:rPr>
          <w:spacing w:val="-16"/>
          <w:sz w:val="20"/>
        </w:rPr>
        <w:t> </w:t>
      </w:r>
      <w:r>
        <w:rPr>
          <w:sz w:val="20"/>
        </w:rPr>
        <w:t>con</w:t>
      </w:r>
      <w:r>
        <w:rPr>
          <w:spacing w:val="-18"/>
          <w:sz w:val="20"/>
        </w:rPr>
        <w:t> </w:t>
      </w:r>
      <w:r>
        <w:rPr>
          <w:sz w:val="20"/>
        </w:rPr>
        <w:t>otros,</w:t>
      </w:r>
      <w:r>
        <w:rPr>
          <w:spacing w:val="-16"/>
          <w:sz w:val="20"/>
        </w:rPr>
        <w:t> </w:t>
      </w:r>
      <w:r>
        <w:rPr>
          <w:sz w:val="20"/>
        </w:rPr>
        <w:t>tales</w:t>
      </w:r>
      <w:r>
        <w:rPr>
          <w:spacing w:val="-17"/>
          <w:sz w:val="20"/>
        </w:rPr>
        <w:t> </w:t>
      </w:r>
      <w:r>
        <w:rPr>
          <w:sz w:val="20"/>
        </w:rPr>
        <w:t>como el derecho a un medio ambiente sano y a la alimentación. No obstante, tiene una especificidad propia y presenta una importancia particular para los pueblos y comunidades</w:t>
      </w:r>
      <w:r>
        <w:rPr>
          <w:spacing w:val="-6"/>
          <w:sz w:val="20"/>
        </w:rPr>
        <w:t> </w:t>
      </w:r>
      <w:r>
        <w:rPr>
          <w:sz w:val="20"/>
        </w:rPr>
        <w:t>indígenas,</w:t>
      </w:r>
      <w:r>
        <w:rPr>
          <w:spacing w:val="-8"/>
          <w:sz w:val="20"/>
        </w:rPr>
        <w:t> </w:t>
      </w:r>
      <w:r>
        <w:rPr>
          <w:sz w:val="20"/>
        </w:rPr>
        <w:t>en</w:t>
      </w:r>
      <w:r>
        <w:rPr>
          <w:spacing w:val="-8"/>
          <w:sz w:val="20"/>
        </w:rPr>
        <w:t> </w:t>
      </w:r>
      <w:r>
        <w:rPr>
          <w:sz w:val="20"/>
        </w:rPr>
        <w:t>tanto</w:t>
      </w:r>
      <w:r>
        <w:rPr>
          <w:spacing w:val="-8"/>
          <w:sz w:val="20"/>
        </w:rPr>
        <w:t> </w:t>
      </w:r>
      <w:r>
        <w:rPr>
          <w:sz w:val="20"/>
        </w:rPr>
        <w:t>el</w:t>
      </w:r>
      <w:r>
        <w:rPr>
          <w:spacing w:val="-9"/>
          <w:sz w:val="20"/>
        </w:rPr>
        <w:t> </w:t>
      </w:r>
      <w:r>
        <w:rPr>
          <w:sz w:val="20"/>
        </w:rPr>
        <w:t>acceso</w:t>
      </w:r>
      <w:r>
        <w:rPr>
          <w:spacing w:val="-9"/>
          <w:sz w:val="20"/>
        </w:rPr>
        <w:t> </w:t>
      </w:r>
      <w:r>
        <w:rPr>
          <w:sz w:val="20"/>
        </w:rPr>
        <w:t>y</w:t>
      </w:r>
      <w:r>
        <w:rPr>
          <w:spacing w:val="-8"/>
          <w:sz w:val="20"/>
        </w:rPr>
        <w:t> </w:t>
      </w:r>
      <w:r>
        <w:rPr>
          <w:sz w:val="20"/>
        </w:rPr>
        <w:t>la</w:t>
      </w:r>
      <w:r>
        <w:rPr>
          <w:spacing w:val="-10"/>
          <w:sz w:val="20"/>
        </w:rPr>
        <w:t> </w:t>
      </w:r>
      <w:r>
        <w:rPr>
          <w:sz w:val="20"/>
        </w:rPr>
        <w:t>utlización</w:t>
      </w:r>
      <w:r>
        <w:rPr>
          <w:spacing w:val="-7"/>
          <w:sz w:val="20"/>
        </w:rPr>
        <w:t> </w:t>
      </w:r>
      <w:r>
        <w:rPr>
          <w:sz w:val="20"/>
        </w:rPr>
        <w:t>del</w:t>
      </w:r>
      <w:r>
        <w:rPr>
          <w:spacing w:val="-7"/>
          <w:sz w:val="20"/>
        </w:rPr>
        <w:t> </w:t>
      </w:r>
      <w:r>
        <w:rPr>
          <w:sz w:val="20"/>
        </w:rPr>
        <w:t>agua,</w:t>
      </w:r>
      <w:r>
        <w:rPr>
          <w:spacing w:val="-8"/>
          <w:sz w:val="20"/>
        </w:rPr>
        <w:t> </w:t>
      </w:r>
      <w:r>
        <w:rPr>
          <w:sz w:val="20"/>
        </w:rPr>
        <w:t>y</w:t>
      </w:r>
      <w:r>
        <w:rPr>
          <w:spacing w:val="-8"/>
          <w:sz w:val="20"/>
        </w:rPr>
        <w:t> </w:t>
      </w:r>
      <w:r>
        <w:rPr>
          <w:sz w:val="20"/>
        </w:rPr>
        <w:t>el</w:t>
      </w:r>
      <w:r>
        <w:rPr>
          <w:spacing w:val="-7"/>
          <w:sz w:val="20"/>
        </w:rPr>
        <w:t> </w:t>
      </w:r>
      <w:r>
        <w:rPr>
          <w:sz w:val="20"/>
        </w:rPr>
        <w:t>modo</w:t>
      </w:r>
      <w:r>
        <w:rPr>
          <w:spacing w:val="-9"/>
          <w:sz w:val="20"/>
        </w:rPr>
        <w:t> </w:t>
      </w:r>
      <w:r>
        <w:rPr>
          <w:sz w:val="20"/>
        </w:rPr>
        <w:t>en</w:t>
      </w:r>
      <w:r>
        <w:rPr>
          <w:spacing w:val="-7"/>
          <w:sz w:val="20"/>
        </w:rPr>
        <w:t> </w:t>
      </w:r>
      <w:r>
        <w:rPr>
          <w:sz w:val="20"/>
        </w:rPr>
        <w:t>que</w:t>
      </w:r>
      <w:r>
        <w:rPr>
          <w:spacing w:val="-7"/>
          <w:sz w:val="20"/>
        </w:rPr>
        <w:t> </w:t>
      </w:r>
      <w:r>
        <w:rPr>
          <w:sz w:val="20"/>
        </w:rPr>
        <w:t>se desarrolla, resulta central, no solo por las obvias implicaciones para la supervivencia física de los individuos, sino también por la relevancia para el desarrollo de la vida cutural, de los propios modos de vida</w:t>
      </w:r>
      <w:r>
        <w:rPr>
          <w:spacing w:val="-11"/>
          <w:sz w:val="20"/>
        </w:rPr>
        <w:t> </w:t>
      </w:r>
      <w:r>
        <w:rPr>
          <w:sz w:val="20"/>
        </w:rPr>
        <w:t>indígenas</w:t>
      </w:r>
      <w:r>
        <w:rPr>
          <w:position w:val="7"/>
          <w:sz w:val="13"/>
        </w:rPr>
        <w:t>33</w:t>
      </w:r>
      <w:r>
        <w:rPr>
          <w:sz w:val="20"/>
        </w:rPr>
        <w:t>.</w:t>
      </w:r>
    </w:p>
    <w:p>
      <w:pPr>
        <w:pStyle w:val="BodyText"/>
        <w:spacing w:before="8"/>
        <w:rPr>
          <w:sz w:val="19"/>
        </w:rPr>
      </w:pPr>
      <w:r>
        <w:rPr/>
        <w:pict>
          <v:line style="position:absolute;mso-position-horizontal-relative:page;mso-position-vertical-relative:paragraph;z-index:4888;mso-wrap-distance-left:0;mso-wrap-distance-right:0" from="70.919998pt,14.228876pt" to="214.939998pt,14.228876pt" stroked="true" strokeweight=".599980pt" strokecolor="#000000">
            <v:stroke dashstyle="solid"/>
            <w10:wrap type="topAndBottom"/>
          </v:line>
        </w:pict>
      </w:r>
    </w:p>
    <w:p>
      <w:pPr>
        <w:tabs>
          <w:tab w:pos="826" w:val="left" w:leader="none"/>
        </w:tabs>
        <w:spacing w:before="73"/>
        <w:ind w:left="118" w:right="311" w:firstLine="0"/>
        <w:jc w:val="both"/>
        <w:rPr>
          <w:sz w:val="16"/>
        </w:rPr>
      </w:pPr>
      <w:r>
        <w:rPr>
          <w:rFonts w:ascii="Times New Roman" w:hAnsi="Times New Roman"/>
          <w:position w:val="6"/>
          <w:sz w:val="10"/>
        </w:rPr>
        <w:t>30</w:t>
        <w:tab/>
      </w:r>
      <w:r>
        <w:rPr>
          <w:i/>
          <w:sz w:val="16"/>
        </w:rPr>
        <w:t>Caso</w:t>
      </w:r>
      <w:r>
        <w:rPr>
          <w:i/>
          <w:spacing w:val="-5"/>
          <w:sz w:val="16"/>
        </w:rPr>
        <w:t> </w:t>
      </w:r>
      <w:r>
        <w:rPr>
          <w:i/>
          <w:sz w:val="16"/>
        </w:rPr>
        <w:t>Lagos</w:t>
      </w:r>
      <w:r>
        <w:rPr>
          <w:i/>
          <w:spacing w:val="-5"/>
          <w:sz w:val="16"/>
        </w:rPr>
        <w:t> </w:t>
      </w:r>
      <w:r>
        <w:rPr>
          <w:i/>
          <w:sz w:val="16"/>
        </w:rPr>
        <w:t>del</w:t>
      </w:r>
      <w:r>
        <w:rPr>
          <w:i/>
          <w:spacing w:val="-4"/>
          <w:sz w:val="16"/>
        </w:rPr>
        <w:t> </w:t>
      </w:r>
      <w:r>
        <w:rPr>
          <w:i/>
          <w:sz w:val="16"/>
        </w:rPr>
        <w:t>Campo</w:t>
      </w:r>
      <w:r>
        <w:rPr>
          <w:i/>
          <w:spacing w:val="-5"/>
          <w:sz w:val="16"/>
        </w:rPr>
        <w:t> </w:t>
      </w:r>
      <w:r>
        <w:rPr>
          <w:i/>
          <w:sz w:val="16"/>
        </w:rPr>
        <w:t>Vs.</w:t>
      </w:r>
      <w:r>
        <w:rPr>
          <w:i/>
          <w:spacing w:val="-6"/>
          <w:sz w:val="16"/>
        </w:rPr>
        <w:t> </w:t>
      </w:r>
      <w:r>
        <w:rPr>
          <w:i/>
          <w:sz w:val="16"/>
        </w:rPr>
        <w:t>Perú.</w:t>
      </w:r>
      <w:r>
        <w:rPr>
          <w:i/>
          <w:spacing w:val="-6"/>
          <w:sz w:val="16"/>
        </w:rPr>
        <w:t> </w:t>
      </w:r>
      <w:r>
        <w:rPr>
          <w:i/>
          <w:sz w:val="16"/>
        </w:rPr>
        <w:t>Excepciones</w:t>
      </w:r>
      <w:r>
        <w:rPr>
          <w:i/>
          <w:spacing w:val="-6"/>
          <w:sz w:val="16"/>
        </w:rPr>
        <w:t> </w:t>
      </w:r>
      <w:r>
        <w:rPr>
          <w:i/>
          <w:sz w:val="16"/>
        </w:rPr>
        <w:t>Preliminares,</w:t>
      </w:r>
      <w:r>
        <w:rPr>
          <w:i/>
          <w:spacing w:val="-5"/>
          <w:sz w:val="16"/>
        </w:rPr>
        <w:t> </w:t>
      </w:r>
      <w:r>
        <w:rPr>
          <w:i/>
          <w:sz w:val="16"/>
        </w:rPr>
        <w:t>Fondo,</w:t>
      </w:r>
      <w:r>
        <w:rPr>
          <w:i/>
          <w:spacing w:val="-6"/>
          <w:sz w:val="16"/>
        </w:rPr>
        <w:t> </w:t>
      </w:r>
      <w:r>
        <w:rPr>
          <w:i/>
          <w:sz w:val="16"/>
        </w:rPr>
        <w:t>Reparaciones</w:t>
      </w:r>
      <w:r>
        <w:rPr>
          <w:i/>
          <w:spacing w:val="-6"/>
          <w:sz w:val="16"/>
        </w:rPr>
        <w:t> </w:t>
      </w:r>
      <w:r>
        <w:rPr>
          <w:i/>
          <w:sz w:val="16"/>
        </w:rPr>
        <w:t>y</w:t>
      </w:r>
      <w:r>
        <w:rPr>
          <w:i/>
          <w:spacing w:val="-4"/>
          <w:sz w:val="16"/>
        </w:rPr>
        <w:t> </w:t>
      </w:r>
      <w:r>
        <w:rPr>
          <w:i/>
          <w:sz w:val="16"/>
        </w:rPr>
        <w:t>Costas</w:t>
      </w:r>
      <w:r>
        <w:rPr>
          <w:sz w:val="16"/>
        </w:rPr>
        <w:t>.</w:t>
      </w:r>
      <w:r>
        <w:rPr>
          <w:spacing w:val="-6"/>
          <w:sz w:val="16"/>
        </w:rPr>
        <w:t> </w:t>
      </w:r>
      <w:r>
        <w:rPr>
          <w:sz w:val="16"/>
        </w:rPr>
        <w:t>Sentencia</w:t>
      </w:r>
      <w:r>
        <w:rPr>
          <w:spacing w:val="-1"/>
          <w:w w:val="99"/>
          <w:sz w:val="16"/>
        </w:rPr>
        <w:t> </w:t>
      </w:r>
      <w:r>
        <w:rPr>
          <w:sz w:val="16"/>
        </w:rPr>
        <w:t>de 31 de agosto de 2017. Serie C No.</w:t>
      </w:r>
      <w:r>
        <w:rPr>
          <w:spacing w:val="-11"/>
          <w:sz w:val="16"/>
        </w:rPr>
        <w:t> </w:t>
      </w:r>
      <w:r>
        <w:rPr>
          <w:sz w:val="16"/>
        </w:rPr>
        <w:t>340.</w:t>
      </w:r>
    </w:p>
    <w:p>
      <w:pPr>
        <w:tabs>
          <w:tab w:pos="826" w:val="left" w:leader="none"/>
        </w:tabs>
        <w:spacing w:before="120"/>
        <w:ind w:left="118" w:right="310" w:firstLine="0"/>
        <w:jc w:val="both"/>
        <w:rPr>
          <w:sz w:val="16"/>
        </w:rPr>
      </w:pPr>
      <w:r>
        <w:rPr>
          <w:position w:val="6"/>
          <w:sz w:val="10"/>
        </w:rPr>
        <w:t>31</w:t>
        <w:tab/>
      </w:r>
      <w:r>
        <w:rPr>
          <w:i/>
          <w:sz w:val="16"/>
        </w:rPr>
        <w:t>Cfr. Caso  Comunidades  indígenas  miembros de la asociación Lhaka Honhat  (Nuestra </w:t>
      </w:r>
      <w:r>
        <w:rPr>
          <w:i/>
          <w:spacing w:val="28"/>
          <w:sz w:val="16"/>
        </w:rPr>
        <w:t> </w:t>
      </w:r>
      <w:r>
        <w:rPr>
          <w:i/>
          <w:sz w:val="16"/>
        </w:rPr>
        <w:t>Tierra)</w:t>
      </w:r>
      <w:r>
        <w:rPr>
          <w:i/>
          <w:spacing w:val="33"/>
          <w:sz w:val="16"/>
        </w:rPr>
        <w:t> </w:t>
      </w:r>
      <w:r>
        <w:rPr>
          <w:i/>
          <w:sz w:val="16"/>
        </w:rPr>
        <w:t>Vs.</w:t>
      </w:r>
      <w:r>
        <w:rPr>
          <w:i/>
          <w:w w:val="99"/>
          <w:sz w:val="16"/>
        </w:rPr>
        <w:t> </w:t>
      </w:r>
      <w:r>
        <w:rPr>
          <w:i/>
          <w:sz w:val="16"/>
        </w:rPr>
        <w:t>Argentina. Fondo, Reparaciones y Costas. </w:t>
      </w:r>
      <w:r>
        <w:rPr>
          <w:sz w:val="16"/>
        </w:rPr>
        <w:t>Sentencia de 6 de febrero de 2020. Serie C No. 400, párrs. 202 a 242.</w:t>
      </w:r>
    </w:p>
    <w:p>
      <w:pPr>
        <w:tabs>
          <w:tab w:pos="826" w:val="left" w:leader="none"/>
        </w:tabs>
        <w:spacing w:before="120"/>
        <w:ind w:left="118" w:right="309" w:firstLine="0"/>
        <w:jc w:val="both"/>
        <w:rPr>
          <w:sz w:val="16"/>
        </w:rPr>
      </w:pPr>
      <w:r>
        <w:rPr>
          <w:position w:val="6"/>
          <w:sz w:val="10"/>
        </w:rPr>
        <w:t>32</w:t>
        <w:tab/>
      </w:r>
      <w:r>
        <w:rPr>
          <w:i/>
          <w:sz w:val="16"/>
        </w:rPr>
        <w:t>Cfr</w:t>
      </w:r>
      <w:r>
        <w:rPr>
          <w:sz w:val="16"/>
        </w:rPr>
        <w:t>. </w:t>
      </w:r>
      <w:r>
        <w:rPr>
          <w:i/>
          <w:sz w:val="16"/>
        </w:rPr>
        <w:t>Cfr. Caso Comunidades indígenas miembros de la asociación Lhaka Honhat (Nuestra</w:t>
      </w:r>
      <w:r>
        <w:rPr>
          <w:i/>
          <w:spacing w:val="-17"/>
          <w:sz w:val="16"/>
        </w:rPr>
        <w:t> </w:t>
      </w:r>
      <w:r>
        <w:rPr>
          <w:i/>
          <w:sz w:val="16"/>
        </w:rPr>
        <w:t>Tierra)</w:t>
      </w:r>
      <w:r>
        <w:rPr>
          <w:i/>
          <w:spacing w:val="2"/>
          <w:sz w:val="16"/>
        </w:rPr>
        <w:t> </w:t>
      </w:r>
      <w:r>
        <w:rPr>
          <w:i/>
          <w:sz w:val="16"/>
        </w:rPr>
        <w:t>Vs.</w:t>
      </w:r>
      <w:r>
        <w:rPr>
          <w:i/>
          <w:w w:val="99"/>
          <w:sz w:val="16"/>
        </w:rPr>
        <w:t> </w:t>
      </w:r>
      <w:r>
        <w:rPr>
          <w:i/>
          <w:sz w:val="16"/>
        </w:rPr>
        <w:t>Argentina. Fondo, Reparaciones y Costas. </w:t>
      </w:r>
      <w:r>
        <w:rPr>
          <w:sz w:val="16"/>
        </w:rPr>
        <w:t>Sentencia de 6 de febrero de 2020. Serie C No. 400, párrs. 186 a 289 de la</w:t>
      </w:r>
      <w:r>
        <w:rPr>
          <w:spacing w:val="-9"/>
          <w:sz w:val="16"/>
        </w:rPr>
        <w:t> </w:t>
      </w:r>
      <w:r>
        <w:rPr>
          <w:sz w:val="16"/>
        </w:rPr>
        <w:t>Sentencia.</w:t>
      </w:r>
    </w:p>
    <w:p>
      <w:pPr>
        <w:tabs>
          <w:tab w:pos="826" w:val="left" w:leader="none"/>
        </w:tabs>
        <w:spacing w:before="120"/>
        <w:ind w:left="118" w:right="312" w:firstLine="0"/>
        <w:jc w:val="both"/>
        <w:rPr>
          <w:sz w:val="16"/>
        </w:rPr>
      </w:pPr>
      <w:r>
        <w:rPr>
          <w:position w:val="6"/>
          <w:sz w:val="10"/>
        </w:rPr>
        <w:t>33</w:t>
        <w:tab/>
      </w:r>
      <w:r>
        <w:rPr>
          <w:sz w:val="16"/>
        </w:rPr>
        <w:t>En ese sentido, la Sentencia menciona, en sus párrafos 227, 228 y 230, señalamientos </w:t>
      </w:r>
      <w:r>
        <w:rPr>
          <w:spacing w:val="43"/>
          <w:sz w:val="16"/>
        </w:rPr>
        <w:t> </w:t>
      </w:r>
      <w:r>
        <w:rPr>
          <w:sz w:val="16"/>
        </w:rPr>
        <w:t>del</w:t>
      </w:r>
      <w:r>
        <w:rPr>
          <w:spacing w:val="5"/>
          <w:sz w:val="16"/>
        </w:rPr>
        <w:t> </w:t>
      </w:r>
      <w:r>
        <w:rPr>
          <w:sz w:val="16"/>
        </w:rPr>
        <w:t>Comité</w:t>
      </w:r>
      <w:r>
        <w:rPr>
          <w:w w:val="99"/>
          <w:sz w:val="16"/>
        </w:rPr>
        <w:t> </w:t>
      </w:r>
      <w:r>
        <w:rPr>
          <w:sz w:val="16"/>
        </w:rPr>
        <w:t>DESC</w:t>
      </w:r>
      <w:r>
        <w:rPr>
          <w:spacing w:val="-11"/>
          <w:sz w:val="16"/>
        </w:rPr>
        <w:t> </w:t>
      </w:r>
      <w:r>
        <w:rPr>
          <w:sz w:val="16"/>
        </w:rPr>
        <w:t>respecto</w:t>
      </w:r>
      <w:r>
        <w:rPr>
          <w:spacing w:val="-9"/>
          <w:sz w:val="16"/>
        </w:rPr>
        <w:t> </w:t>
      </w:r>
      <w:r>
        <w:rPr>
          <w:sz w:val="16"/>
        </w:rPr>
        <w:t>a</w:t>
      </w:r>
      <w:r>
        <w:rPr>
          <w:spacing w:val="-11"/>
          <w:sz w:val="16"/>
        </w:rPr>
        <w:t> </w:t>
      </w:r>
      <w:r>
        <w:rPr>
          <w:sz w:val="16"/>
        </w:rPr>
        <w:t>la</w:t>
      </w:r>
      <w:r>
        <w:rPr>
          <w:spacing w:val="-10"/>
          <w:sz w:val="16"/>
        </w:rPr>
        <w:t> </w:t>
      </w:r>
      <w:r>
        <w:rPr>
          <w:sz w:val="16"/>
        </w:rPr>
        <w:t>importancia</w:t>
      </w:r>
      <w:r>
        <w:rPr>
          <w:spacing w:val="-11"/>
          <w:sz w:val="16"/>
        </w:rPr>
        <w:t> </w:t>
      </w:r>
      <w:r>
        <w:rPr>
          <w:sz w:val="16"/>
        </w:rPr>
        <w:t>de</w:t>
      </w:r>
      <w:r>
        <w:rPr>
          <w:spacing w:val="-10"/>
          <w:sz w:val="16"/>
        </w:rPr>
        <w:t> </w:t>
      </w:r>
      <w:r>
        <w:rPr>
          <w:sz w:val="16"/>
        </w:rPr>
        <w:t>considerar</w:t>
      </w:r>
      <w:r>
        <w:rPr>
          <w:spacing w:val="-9"/>
          <w:sz w:val="16"/>
        </w:rPr>
        <w:t> </w:t>
      </w:r>
      <w:r>
        <w:rPr>
          <w:sz w:val="16"/>
        </w:rPr>
        <w:t>al</w:t>
      </w:r>
      <w:r>
        <w:rPr>
          <w:spacing w:val="-11"/>
          <w:sz w:val="16"/>
        </w:rPr>
        <w:t> </w:t>
      </w:r>
      <w:r>
        <w:rPr>
          <w:sz w:val="16"/>
        </w:rPr>
        <w:t>agua</w:t>
      </w:r>
      <w:r>
        <w:rPr>
          <w:spacing w:val="-11"/>
          <w:sz w:val="16"/>
        </w:rPr>
        <w:t> </w:t>
      </w:r>
      <w:r>
        <w:rPr>
          <w:sz w:val="16"/>
        </w:rPr>
        <w:t>un</w:t>
      </w:r>
      <w:r>
        <w:rPr>
          <w:spacing w:val="-11"/>
          <w:sz w:val="16"/>
        </w:rPr>
        <w:t> </w:t>
      </w:r>
      <w:r>
        <w:rPr>
          <w:sz w:val="16"/>
        </w:rPr>
        <w:t>“bien</w:t>
      </w:r>
      <w:r>
        <w:rPr>
          <w:spacing w:val="-10"/>
          <w:sz w:val="16"/>
        </w:rPr>
        <w:t> </w:t>
      </w:r>
      <w:r>
        <w:rPr>
          <w:sz w:val="16"/>
        </w:rPr>
        <w:t>cultural”,</w:t>
      </w:r>
      <w:r>
        <w:rPr>
          <w:spacing w:val="-11"/>
          <w:sz w:val="16"/>
        </w:rPr>
        <w:t> </w:t>
      </w:r>
      <w:r>
        <w:rPr>
          <w:sz w:val="16"/>
        </w:rPr>
        <w:t>y</w:t>
      </w:r>
      <w:r>
        <w:rPr>
          <w:spacing w:val="-9"/>
          <w:sz w:val="16"/>
        </w:rPr>
        <w:t> </w:t>
      </w:r>
      <w:r>
        <w:rPr>
          <w:sz w:val="16"/>
        </w:rPr>
        <w:t>sus</w:t>
      </w:r>
      <w:r>
        <w:rPr>
          <w:spacing w:val="-10"/>
          <w:sz w:val="16"/>
        </w:rPr>
        <w:t> </w:t>
      </w:r>
      <w:r>
        <w:rPr>
          <w:sz w:val="16"/>
        </w:rPr>
        <w:t>implicancias</w:t>
      </w:r>
      <w:r>
        <w:rPr>
          <w:spacing w:val="-11"/>
          <w:sz w:val="16"/>
        </w:rPr>
        <w:t> </w:t>
      </w:r>
      <w:r>
        <w:rPr>
          <w:sz w:val="16"/>
        </w:rPr>
        <w:t>respecto</w:t>
      </w:r>
      <w:r>
        <w:rPr>
          <w:spacing w:val="-10"/>
          <w:sz w:val="16"/>
        </w:rPr>
        <w:t> </w:t>
      </w:r>
      <w:r>
        <w:rPr>
          <w:sz w:val="16"/>
        </w:rPr>
        <w:t>a</w:t>
      </w:r>
      <w:r>
        <w:rPr>
          <w:spacing w:val="-9"/>
          <w:sz w:val="16"/>
        </w:rPr>
        <w:t> </w:t>
      </w:r>
      <w:r>
        <w:rPr>
          <w:sz w:val="16"/>
        </w:rPr>
        <w:t>pueblos indígenas,</w:t>
      </w:r>
      <w:r>
        <w:rPr>
          <w:spacing w:val="-6"/>
          <w:sz w:val="16"/>
        </w:rPr>
        <w:t> </w:t>
      </w:r>
      <w:r>
        <w:rPr>
          <w:sz w:val="16"/>
        </w:rPr>
        <w:t>que</w:t>
      </w:r>
      <w:r>
        <w:rPr>
          <w:spacing w:val="-5"/>
          <w:sz w:val="16"/>
        </w:rPr>
        <w:t> </w:t>
      </w:r>
      <w:r>
        <w:rPr>
          <w:sz w:val="16"/>
        </w:rPr>
        <w:t>conllevan</w:t>
      </w:r>
      <w:r>
        <w:rPr>
          <w:spacing w:val="-6"/>
          <w:sz w:val="16"/>
        </w:rPr>
        <w:t> </w:t>
      </w:r>
      <w:r>
        <w:rPr>
          <w:sz w:val="16"/>
        </w:rPr>
        <w:t>el</w:t>
      </w:r>
      <w:r>
        <w:rPr>
          <w:spacing w:val="-6"/>
          <w:sz w:val="16"/>
        </w:rPr>
        <w:t> </w:t>
      </w:r>
      <w:r>
        <w:rPr>
          <w:sz w:val="16"/>
        </w:rPr>
        <w:t>deber</w:t>
      </w:r>
      <w:r>
        <w:rPr>
          <w:spacing w:val="-6"/>
          <w:sz w:val="16"/>
        </w:rPr>
        <w:t> </w:t>
      </w:r>
      <w:r>
        <w:rPr>
          <w:sz w:val="16"/>
        </w:rPr>
        <w:t>estatal</w:t>
      </w:r>
      <w:r>
        <w:rPr>
          <w:spacing w:val="-6"/>
          <w:sz w:val="16"/>
        </w:rPr>
        <w:t> </w:t>
      </w:r>
      <w:r>
        <w:rPr>
          <w:sz w:val="16"/>
        </w:rPr>
        <w:t>de</w:t>
      </w:r>
      <w:r>
        <w:rPr>
          <w:spacing w:val="-6"/>
          <w:sz w:val="16"/>
        </w:rPr>
        <w:t> </w:t>
      </w:r>
      <w:r>
        <w:rPr>
          <w:sz w:val="16"/>
        </w:rPr>
        <w:t>proteger</w:t>
      </w:r>
      <w:r>
        <w:rPr>
          <w:spacing w:val="-5"/>
          <w:sz w:val="16"/>
        </w:rPr>
        <w:t> </w:t>
      </w:r>
      <w:r>
        <w:rPr>
          <w:sz w:val="16"/>
        </w:rPr>
        <w:t>los</w:t>
      </w:r>
      <w:r>
        <w:rPr>
          <w:spacing w:val="-5"/>
          <w:sz w:val="16"/>
        </w:rPr>
        <w:t> </w:t>
      </w:r>
      <w:r>
        <w:rPr>
          <w:sz w:val="16"/>
        </w:rPr>
        <w:t>recursos</w:t>
      </w:r>
      <w:r>
        <w:rPr>
          <w:spacing w:val="-6"/>
          <w:sz w:val="16"/>
        </w:rPr>
        <w:t> </w:t>
      </w:r>
      <w:r>
        <w:rPr>
          <w:sz w:val="16"/>
        </w:rPr>
        <w:t>de</w:t>
      </w:r>
      <w:r>
        <w:rPr>
          <w:spacing w:val="-6"/>
          <w:sz w:val="16"/>
        </w:rPr>
        <w:t> </w:t>
      </w:r>
      <w:r>
        <w:rPr>
          <w:sz w:val="16"/>
        </w:rPr>
        <w:t>agua</w:t>
      </w:r>
      <w:r>
        <w:rPr>
          <w:spacing w:val="-5"/>
          <w:sz w:val="16"/>
        </w:rPr>
        <w:t> </w:t>
      </w:r>
      <w:r>
        <w:rPr>
          <w:sz w:val="16"/>
        </w:rPr>
        <w:t>que</w:t>
      </w:r>
      <w:r>
        <w:rPr>
          <w:spacing w:val="-4"/>
          <w:sz w:val="16"/>
        </w:rPr>
        <w:t> </w:t>
      </w:r>
      <w:r>
        <w:rPr>
          <w:sz w:val="16"/>
        </w:rPr>
        <w:t>existan</w:t>
      </w:r>
      <w:r>
        <w:rPr>
          <w:spacing w:val="-5"/>
          <w:sz w:val="16"/>
        </w:rPr>
        <w:t> </w:t>
      </w:r>
      <w:r>
        <w:rPr>
          <w:sz w:val="16"/>
        </w:rPr>
        <w:t>en</w:t>
      </w:r>
      <w:r>
        <w:rPr>
          <w:spacing w:val="-6"/>
          <w:sz w:val="16"/>
        </w:rPr>
        <w:t> </w:t>
      </w:r>
      <w:r>
        <w:rPr>
          <w:sz w:val="16"/>
        </w:rPr>
        <w:t>tierras</w:t>
      </w:r>
      <w:r>
        <w:rPr>
          <w:spacing w:val="-6"/>
          <w:sz w:val="16"/>
        </w:rPr>
        <w:t> </w:t>
      </w:r>
      <w:r>
        <w:rPr>
          <w:sz w:val="16"/>
        </w:rPr>
        <w:t>ancestrales. También</w:t>
      </w:r>
      <w:r>
        <w:rPr>
          <w:spacing w:val="-6"/>
          <w:sz w:val="16"/>
        </w:rPr>
        <w:t> </w:t>
      </w:r>
      <w:r>
        <w:rPr>
          <w:sz w:val="16"/>
        </w:rPr>
        <w:t>en</w:t>
      </w:r>
      <w:r>
        <w:rPr>
          <w:spacing w:val="-7"/>
          <w:sz w:val="16"/>
        </w:rPr>
        <w:t> </w:t>
      </w:r>
      <w:r>
        <w:rPr>
          <w:sz w:val="16"/>
        </w:rPr>
        <w:t>el</w:t>
      </w:r>
      <w:r>
        <w:rPr>
          <w:spacing w:val="-6"/>
          <w:sz w:val="16"/>
        </w:rPr>
        <w:t> </w:t>
      </w:r>
      <w:r>
        <w:rPr>
          <w:sz w:val="16"/>
        </w:rPr>
        <w:t>ámbito</w:t>
      </w:r>
      <w:r>
        <w:rPr>
          <w:spacing w:val="-7"/>
          <w:sz w:val="16"/>
        </w:rPr>
        <w:t> </w:t>
      </w:r>
      <w:r>
        <w:rPr>
          <w:sz w:val="16"/>
        </w:rPr>
        <w:t>de</w:t>
      </w:r>
      <w:r>
        <w:rPr>
          <w:spacing w:val="-6"/>
          <w:sz w:val="16"/>
        </w:rPr>
        <w:t> </w:t>
      </w:r>
      <w:r>
        <w:rPr>
          <w:sz w:val="16"/>
        </w:rPr>
        <w:t>las</w:t>
      </w:r>
      <w:r>
        <w:rPr>
          <w:spacing w:val="-6"/>
          <w:sz w:val="16"/>
        </w:rPr>
        <w:t> </w:t>
      </w:r>
      <w:r>
        <w:rPr>
          <w:sz w:val="16"/>
        </w:rPr>
        <w:t>Naciones</w:t>
      </w:r>
      <w:r>
        <w:rPr>
          <w:spacing w:val="-7"/>
          <w:sz w:val="16"/>
        </w:rPr>
        <w:t> </w:t>
      </w:r>
      <w:r>
        <w:rPr>
          <w:sz w:val="16"/>
        </w:rPr>
        <w:t>Unidas,</w:t>
      </w:r>
      <w:r>
        <w:rPr>
          <w:spacing w:val="-7"/>
          <w:sz w:val="16"/>
        </w:rPr>
        <w:t> </w:t>
      </w:r>
      <w:r>
        <w:rPr>
          <w:sz w:val="16"/>
        </w:rPr>
        <w:t>la</w:t>
      </w:r>
      <w:r>
        <w:rPr>
          <w:spacing w:val="-7"/>
          <w:sz w:val="16"/>
        </w:rPr>
        <w:t> </w:t>
      </w:r>
      <w:r>
        <w:rPr>
          <w:sz w:val="16"/>
        </w:rPr>
        <w:t>Oficina</w:t>
      </w:r>
      <w:r>
        <w:rPr>
          <w:spacing w:val="-5"/>
          <w:sz w:val="16"/>
        </w:rPr>
        <w:t> </w:t>
      </w:r>
      <w:r>
        <w:rPr>
          <w:sz w:val="16"/>
        </w:rPr>
        <w:t>del</w:t>
      </w:r>
      <w:r>
        <w:rPr>
          <w:spacing w:val="-8"/>
          <w:sz w:val="16"/>
        </w:rPr>
        <w:t> </w:t>
      </w:r>
      <w:r>
        <w:rPr>
          <w:sz w:val="16"/>
        </w:rPr>
        <w:t>Alto</w:t>
      </w:r>
      <w:r>
        <w:rPr>
          <w:spacing w:val="-7"/>
          <w:sz w:val="16"/>
        </w:rPr>
        <w:t> </w:t>
      </w:r>
      <w:r>
        <w:rPr>
          <w:sz w:val="16"/>
        </w:rPr>
        <w:t>Comisionado</w:t>
      </w:r>
      <w:r>
        <w:rPr>
          <w:spacing w:val="-7"/>
          <w:sz w:val="16"/>
        </w:rPr>
        <w:t> </w:t>
      </w:r>
      <w:r>
        <w:rPr>
          <w:sz w:val="16"/>
        </w:rPr>
        <w:t>de</w:t>
      </w:r>
      <w:r>
        <w:rPr>
          <w:spacing w:val="-6"/>
          <w:sz w:val="16"/>
        </w:rPr>
        <w:t> </w:t>
      </w:r>
      <w:r>
        <w:rPr>
          <w:sz w:val="16"/>
        </w:rPr>
        <w:t>las</w:t>
      </w:r>
      <w:r>
        <w:rPr>
          <w:spacing w:val="-7"/>
          <w:sz w:val="16"/>
        </w:rPr>
        <w:t> </w:t>
      </w:r>
      <w:r>
        <w:rPr>
          <w:sz w:val="16"/>
        </w:rPr>
        <w:t>Naciones</w:t>
      </w:r>
      <w:r>
        <w:rPr>
          <w:spacing w:val="-7"/>
          <w:sz w:val="16"/>
        </w:rPr>
        <w:t> </w:t>
      </w:r>
      <w:r>
        <w:rPr>
          <w:sz w:val="16"/>
        </w:rPr>
        <w:t>Unidas</w:t>
      </w:r>
      <w:r>
        <w:rPr>
          <w:spacing w:val="-6"/>
          <w:sz w:val="16"/>
        </w:rPr>
        <w:t> </w:t>
      </w:r>
      <w:r>
        <w:rPr>
          <w:sz w:val="16"/>
        </w:rPr>
        <w:t>para</w:t>
      </w:r>
      <w:r>
        <w:rPr>
          <w:spacing w:val="-7"/>
          <w:sz w:val="16"/>
        </w:rPr>
        <w:t> </w:t>
      </w:r>
      <w:r>
        <w:rPr>
          <w:sz w:val="16"/>
        </w:rPr>
        <w:t>los Derechos Humanos ha señalado que “El agua desempeña un papel importante en la existencia cotidiana de los pueblos indígenas, ya que es un componente central de sus tradiciones, su cultura y sus instituciones. También es un elemento clave de sus estrategias de sustento”. Asimismo, ha expresado que “[L]as </w:t>
      </w:r>
      <w:r>
        <w:rPr>
          <w:spacing w:val="24"/>
          <w:sz w:val="16"/>
        </w:rPr>
        <w:t> </w:t>
      </w:r>
      <w:r>
        <w:rPr>
          <w:sz w:val="16"/>
        </w:rPr>
        <w:t>fuentes</w:t>
      </w:r>
    </w:p>
    <w:p>
      <w:pPr>
        <w:spacing w:after="0"/>
        <w:jc w:val="both"/>
        <w:rPr>
          <w:sz w:val="16"/>
        </w:rPr>
        <w:sectPr>
          <w:pgSz w:w="12240" w:h="15840"/>
          <w:pgMar w:header="0" w:footer="782" w:top="1340" w:bottom="980" w:left="1300" w:right="1720"/>
        </w:sectPr>
      </w:pPr>
    </w:p>
    <w:p>
      <w:pPr>
        <w:pStyle w:val="ListParagraph"/>
        <w:numPr>
          <w:ilvl w:val="0"/>
          <w:numId w:val="77"/>
        </w:numPr>
        <w:tabs>
          <w:tab w:pos="827" w:val="left" w:leader="none"/>
        </w:tabs>
        <w:spacing w:line="240" w:lineRule="auto" w:before="161" w:after="0"/>
        <w:ind w:left="118" w:right="308" w:firstLine="0"/>
        <w:jc w:val="both"/>
        <w:rPr>
          <w:sz w:val="20"/>
        </w:rPr>
      </w:pPr>
      <w:r>
        <w:rPr>
          <w:sz w:val="20"/>
        </w:rPr>
        <w:t>La Sentencia destaca, en ese sentido, cómo la presencia en el territorio de población no indígena y de actividades ajenas a las prácticas tradicionales de las comunidades,</w:t>
      </w:r>
      <w:r>
        <w:rPr>
          <w:spacing w:val="-15"/>
          <w:sz w:val="20"/>
        </w:rPr>
        <w:t> </w:t>
      </w:r>
      <w:r>
        <w:rPr>
          <w:sz w:val="20"/>
        </w:rPr>
        <w:t>como</w:t>
      </w:r>
      <w:r>
        <w:rPr>
          <w:spacing w:val="-17"/>
          <w:sz w:val="20"/>
        </w:rPr>
        <w:t> </w:t>
      </w:r>
      <w:r>
        <w:rPr>
          <w:sz w:val="20"/>
        </w:rPr>
        <w:t>la</w:t>
      </w:r>
      <w:r>
        <w:rPr>
          <w:spacing w:val="-17"/>
          <w:sz w:val="20"/>
        </w:rPr>
        <w:t> </w:t>
      </w:r>
      <w:r>
        <w:rPr>
          <w:sz w:val="20"/>
        </w:rPr>
        <w:t>ganadería,</w:t>
      </w:r>
      <w:r>
        <w:rPr>
          <w:spacing w:val="-15"/>
          <w:sz w:val="20"/>
        </w:rPr>
        <w:t> </w:t>
      </w:r>
      <w:r>
        <w:rPr>
          <w:sz w:val="20"/>
        </w:rPr>
        <w:t>afectaron</w:t>
      </w:r>
      <w:r>
        <w:rPr>
          <w:spacing w:val="-18"/>
          <w:sz w:val="20"/>
        </w:rPr>
        <w:t> </w:t>
      </w:r>
      <w:r>
        <w:rPr>
          <w:sz w:val="20"/>
        </w:rPr>
        <w:t>el</w:t>
      </w:r>
      <w:r>
        <w:rPr>
          <w:spacing w:val="-16"/>
          <w:sz w:val="20"/>
        </w:rPr>
        <w:t> </w:t>
      </w:r>
      <w:r>
        <w:rPr>
          <w:sz w:val="20"/>
        </w:rPr>
        <w:t>acceso</w:t>
      </w:r>
      <w:r>
        <w:rPr>
          <w:spacing w:val="-16"/>
          <w:sz w:val="20"/>
        </w:rPr>
        <w:t> </w:t>
      </w:r>
      <w:r>
        <w:rPr>
          <w:sz w:val="20"/>
        </w:rPr>
        <w:t>al</w:t>
      </w:r>
      <w:r>
        <w:rPr>
          <w:spacing w:val="-17"/>
          <w:sz w:val="20"/>
        </w:rPr>
        <w:t> </w:t>
      </w:r>
      <w:r>
        <w:rPr>
          <w:sz w:val="20"/>
        </w:rPr>
        <w:t>agua,</w:t>
      </w:r>
      <w:r>
        <w:rPr>
          <w:spacing w:val="-16"/>
          <w:sz w:val="20"/>
        </w:rPr>
        <w:t> </w:t>
      </w:r>
      <w:r>
        <w:rPr>
          <w:sz w:val="20"/>
        </w:rPr>
        <w:t>generando</w:t>
      </w:r>
      <w:r>
        <w:rPr>
          <w:spacing w:val="-16"/>
          <w:sz w:val="20"/>
        </w:rPr>
        <w:t> </w:t>
      </w:r>
      <w:r>
        <w:rPr>
          <w:sz w:val="20"/>
        </w:rPr>
        <w:t>desertificación y contaminación, así como las posibilidades de “superviviencia de las culturas aborígenes</w:t>
      </w:r>
      <w:r>
        <w:rPr>
          <w:spacing w:val="-10"/>
          <w:sz w:val="20"/>
        </w:rPr>
        <w:t> </w:t>
      </w:r>
      <w:r>
        <w:rPr>
          <w:sz w:val="20"/>
        </w:rPr>
        <w:t>que</w:t>
      </w:r>
      <w:r>
        <w:rPr>
          <w:spacing w:val="-10"/>
          <w:sz w:val="20"/>
        </w:rPr>
        <w:t> </w:t>
      </w:r>
      <w:r>
        <w:rPr>
          <w:sz w:val="20"/>
        </w:rPr>
        <w:t>[…]</w:t>
      </w:r>
      <w:r>
        <w:rPr>
          <w:spacing w:val="-10"/>
          <w:sz w:val="20"/>
        </w:rPr>
        <w:t> </w:t>
      </w:r>
      <w:r>
        <w:rPr>
          <w:sz w:val="20"/>
        </w:rPr>
        <w:t>dependen</w:t>
      </w:r>
      <w:r>
        <w:rPr>
          <w:spacing w:val="-9"/>
          <w:sz w:val="20"/>
        </w:rPr>
        <w:t> </w:t>
      </w:r>
      <w:r>
        <w:rPr>
          <w:sz w:val="20"/>
        </w:rPr>
        <w:t>del</w:t>
      </w:r>
      <w:r>
        <w:rPr>
          <w:spacing w:val="-9"/>
          <w:sz w:val="20"/>
        </w:rPr>
        <w:t> </w:t>
      </w:r>
      <w:r>
        <w:rPr>
          <w:sz w:val="20"/>
        </w:rPr>
        <w:t>río</w:t>
      </w:r>
      <w:r>
        <w:rPr>
          <w:spacing w:val="-9"/>
          <w:sz w:val="20"/>
        </w:rPr>
        <w:t> </w:t>
      </w:r>
      <w:r>
        <w:rPr>
          <w:sz w:val="20"/>
        </w:rPr>
        <w:t>[Pilcomayo]”,</w:t>
      </w:r>
      <w:r>
        <w:rPr>
          <w:spacing w:val="-9"/>
          <w:sz w:val="20"/>
        </w:rPr>
        <w:t> </w:t>
      </w:r>
      <w:r>
        <w:rPr>
          <w:sz w:val="20"/>
        </w:rPr>
        <w:t>como</w:t>
      </w:r>
      <w:r>
        <w:rPr>
          <w:spacing w:val="-10"/>
          <w:sz w:val="20"/>
        </w:rPr>
        <w:t> </w:t>
      </w:r>
      <w:r>
        <w:rPr>
          <w:sz w:val="20"/>
        </w:rPr>
        <w:t>indicó</w:t>
      </w:r>
      <w:r>
        <w:rPr>
          <w:spacing w:val="-10"/>
          <w:sz w:val="20"/>
        </w:rPr>
        <w:t> </w:t>
      </w:r>
      <w:r>
        <w:rPr>
          <w:sz w:val="20"/>
        </w:rPr>
        <w:t>un</w:t>
      </w:r>
      <w:r>
        <w:rPr>
          <w:spacing w:val="-9"/>
          <w:sz w:val="20"/>
        </w:rPr>
        <w:t> </w:t>
      </w:r>
      <w:r>
        <w:rPr>
          <w:sz w:val="20"/>
        </w:rPr>
        <w:t>peritaje.</w:t>
      </w:r>
      <w:r>
        <w:rPr>
          <w:spacing w:val="-9"/>
          <w:sz w:val="20"/>
        </w:rPr>
        <w:t> </w:t>
      </w:r>
      <w:r>
        <w:rPr>
          <w:sz w:val="20"/>
        </w:rPr>
        <w:t>Lo</w:t>
      </w:r>
      <w:r>
        <w:rPr>
          <w:spacing w:val="-10"/>
          <w:sz w:val="20"/>
        </w:rPr>
        <w:t> </w:t>
      </w:r>
      <w:r>
        <w:rPr>
          <w:sz w:val="20"/>
        </w:rPr>
        <w:t>anterior, pese a que la zona había sido considerada de preservación y recuperación ambiental por</w:t>
      </w:r>
      <w:r>
        <w:rPr>
          <w:spacing w:val="-13"/>
          <w:sz w:val="20"/>
        </w:rPr>
        <w:t> </w:t>
      </w:r>
      <w:r>
        <w:rPr>
          <w:sz w:val="20"/>
        </w:rPr>
        <w:t>el</w:t>
      </w:r>
      <w:r>
        <w:rPr>
          <w:spacing w:val="-12"/>
          <w:sz w:val="20"/>
        </w:rPr>
        <w:t> </w:t>
      </w:r>
      <w:r>
        <w:rPr>
          <w:sz w:val="20"/>
        </w:rPr>
        <w:t>propio</w:t>
      </w:r>
      <w:r>
        <w:rPr>
          <w:spacing w:val="-13"/>
          <w:sz w:val="20"/>
        </w:rPr>
        <w:t> </w:t>
      </w:r>
      <w:r>
        <w:rPr>
          <w:sz w:val="20"/>
        </w:rPr>
        <w:t>Estado.</w:t>
      </w:r>
      <w:r>
        <w:rPr>
          <w:spacing w:val="-13"/>
          <w:sz w:val="20"/>
        </w:rPr>
        <w:t> </w:t>
      </w:r>
      <w:r>
        <w:rPr>
          <w:sz w:val="20"/>
        </w:rPr>
        <w:t>En</w:t>
      </w:r>
      <w:r>
        <w:rPr>
          <w:spacing w:val="-13"/>
          <w:sz w:val="20"/>
        </w:rPr>
        <w:t> </w:t>
      </w:r>
      <w:r>
        <w:rPr>
          <w:sz w:val="20"/>
        </w:rPr>
        <w:t>este</w:t>
      </w:r>
      <w:r>
        <w:rPr>
          <w:spacing w:val="-12"/>
          <w:sz w:val="20"/>
        </w:rPr>
        <w:t> </w:t>
      </w:r>
      <w:r>
        <w:rPr>
          <w:sz w:val="20"/>
        </w:rPr>
        <w:t>marco,</w:t>
      </w:r>
      <w:r>
        <w:rPr>
          <w:spacing w:val="-12"/>
          <w:sz w:val="20"/>
        </w:rPr>
        <w:t> </w:t>
      </w:r>
      <w:r>
        <w:rPr>
          <w:sz w:val="20"/>
        </w:rPr>
        <w:t>prueba</w:t>
      </w:r>
      <w:r>
        <w:rPr>
          <w:spacing w:val="-13"/>
          <w:sz w:val="20"/>
        </w:rPr>
        <w:t> </w:t>
      </w:r>
      <w:r>
        <w:rPr>
          <w:sz w:val="20"/>
        </w:rPr>
        <w:t>presentada</w:t>
      </w:r>
      <w:r>
        <w:rPr>
          <w:spacing w:val="-13"/>
          <w:sz w:val="20"/>
        </w:rPr>
        <w:t> </w:t>
      </w:r>
      <w:r>
        <w:rPr>
          <w:sz w:val="20"/>
        </w:rPr>
        <w:t>en</w:t>
      </w:r>
      <w:r>
        <w:rPr>
          <w:spacing w:val="-12"/>
          <w:sz w:val="20"/>
        </w:rPr>
        <w:t> </w:t>
      </w:r>
      <w:r>
        <w:rPr>
          <w:sz w:val="20"/>
        </w:rPr>
        <w:t>el</w:t>
      </w:r>
      <w:r>
        <w:rPr>
          <w:spacing w:val="-12"/>
          <w:sz w:val="20"/>
        </w:rPr>
        <w:t> </w:t>
      </w:r>
      <w:r>
        <w:rPr>
          <w:sz w:val="20"/>
        </w:rPr>
        <w:t>caso</w:t>
      </w:r>
      <w:r>
        <w:rPr>
          <w:spacing w:val="-14"/>
          <w:sz w:val="20"/>
        </w:rPr>
        <w:t> </w:t>
      </w:r>
      <w:r>
        <w:rPr>
          <w:sz w:val="20"/>
        </w:rPr>
        <w:t>indicó</w:t>
      </w:r>
      <w:r>
        <w:rPr>
          <w:spacing w:val="-13"/>
          <w:sz w:val="20"/>
        </w:rPr>
        <w:t> </w:t>
      </w:r>
      <w:r>
        <w:rPr>
          <w:sz w:val="20"/>
        </w:rPr>
        <w:t>que</w:t>
      </w:r>
      <w:r>
        <w:rPr>
          <w:spacing w:val="-12"/>
          <w:sz w:val="20"/>
        </w:rPr>
        <w:t> </w:t>
      </w:r>
      <w:r>
        <w:rPr>
          <w:sz w:val="20"/>
        </w:rPr>
        <w:t>la</w:t>
      </w:r>
      <w:r>
        <w:rPr>
          <w:spacing w:val="-12"/>
          <w:sz w:val="20"/>
        </w:rPr>
        <w:t> </w:t>
      </w:r>
      <w:r>
        <w:rPr>
          <w:sz w:val="20"/>
        </w:rPr>
        <w:t>mayoría de comunidades indígenas no obtiene agua apta para el consumo, ni alimentación suficiente, alterándose por ello, además, el modo de vida indígena. De ahí que en un caso con las características del caso </w:t>
      </w:r>
      <w:r>
        <w:rPr>
          <w:i/>
          <w:sz w:val="20"/>
        </w:rPr>
        <w:t>Lhaka Honhat</w:t>
      </w:r>
      <w:r>
        <w:rPr>
          <w:sz w:val="20"/>
        </w:rPr>
        <w:t>, resuta apropiado un examen,</w:t>
      </w:r>
      <w:r>
        <w:rPr>
          <w:spacing w:val="-25"/>
          <w:sz w:val="20"/>
        </w:rPr>
        <w:t> </w:t>
      </w:r>
      <w:r>
        <w:rPr>
          <w:sz w:val="20"/>
        </w:rPr>
        <w:t>como el que se hizo, que considere la interrelación del agua, el ambiente y la alimentación con</w:t>
      </w:r>
      <w:r>
        <w:rPr>
          <w:spacing w:val="-19"/>
          <w:sz w:val="20"/>
        </w:rPr>
        <w:t> </w:t>
      </w:r>
      <w:r>
        <w:rPr>
          <w:sz w:val="20"/>
        </w:rPr>
        <w:t>la</w:t>
      </w:r>
      <w:r>
        <w:rPr>
          <w:spacing w:val="-19"/>
          <w:sz w:val="20"/>
        </w:rPr>
        <w:t> </w:t>
      </w:r>
      <w:r>
        <w:rPr>
          <w:sz w:val="20"/>
        </w:rPr>
        <w:t>vida</w:t>
      </w:r>
      <w:r>
        <w:rPr>
          <w:spacing w:val="-19"/>
          <w:sz w:val="20"/>
        </w:rPr>
        <w:t> </w:t>
      </w:r>
      <w:r>
        <w:rPr>
          <w:sz w:val="20"/>
        </w:rPr>
        <w:t>cultural.</w:t>
      </w:r>
      <w:r>
        <w:rPr>
          <w:spacing w:val="-20"/>
          <w:sz w:val="20"/>
        </w:rPr>
        <w:t> </w:t>
      </w:r>
      <w:r>
        <w:rPr>
          <w:sz w:val="20"/>
        </w:rPr>
        <w:t>Este</w:t>
      </w:r>
      <w:r>
        <w:rPr>
          <w:spacing w:val="-19"/>
          <w:sz w:val="20"/>
        </w:rPr>
        <w:t> </w:t>
      </w:r>
      <w:r>
        <w:rPr>
          <w:sz w:val="20"/>
        </w:rPr>
        <w:t>análisis,</w:t>
      </w:r>
      <w:r>
        <w:rPr>
          <w:spacing w:val="-19"/>
          <w:sz w:val="20"/>
        </w:rPr>
        <w:t> </w:t>
      </w:r>
      <w:r>
        <w:rPr>
          <w:sz w:val="20"/>
        </w:rPr>
        <w:t>al</w:t>
      </w:r>
      <w:r>
        <w:rPr>
          <w:spacing w:val="-21"/>
          <w:sz w:val="20"/>
        </w:rPr>
        <w:t> </w:t>
      </w:r>
      <w:r>
        <w:rPr>
          <w:sz w:val="20"/>
        </w:rPr>
        <w:t>relacionar</w:t>
      </w:r>
      <w:r>
        <w:rPr>
          <w:spacing w:val="-19"/>
          <w:sz w:val="20"/>
        </w:rPr>
        <w:t> </w:t>
      </w:r>
      <w:r>
        <w:rPr>
          <w:sz w:val="20"/>
        </w:rPr>
        <w:t>los</w:t>
      </w:r>
      <w:r>
        <w:rPr>
          <w:spacing w:val="-19"/>
          <w:sz w:val="20"/>
        </w:rPr>
        <w:t> </w:t>
      </w:r>
      <w:r>
        <w:rPr>
          <w:sz w:val="20"/>
        </w:rPr>
        <w:t>diversos</w:t>
      </w:r>
      <w:r>
        <w:rPr>
          <w:spacing w:val="-20"/>
          <w:sz w:val="20"/>
        </w:rPr>
        <w:t> </w:t>
      </w:r>
      <w:r>
        <w:rPr>
          <w:sz w:val="20"/>
        </w:rPr>
        <w:t>derechos</w:t>
      </w:r>
      <w:r>
        <w:rPr>
          <w:spacing w:val="-21"/>
          <w:sz w:val="20"/>
        </w:rPr>
        <w:t> </w:t>
      </w:r>
      <w:r>
        <w:rPr>
          <w:sz w:val="20"/>
        </w:rPr>
        <w:t>entre</w:t>
      </w:r>
      <w:r>
        <w:rPr>
          <w:spacing w:val="-19"/>
          <w:sz w:val="20"/>
        </w:rPr>
        <w:t> </w:t>
      </w:r>
      <w:r>
        <w:rPr>
          <w:sz w:val="20"/>
        </w:rPr>
        <w:t>sí</w:t>
      </w:r>
      <w:r>
        <w:rPr>
          <w:spacing w:val="-19"/>
          <w:sz w:val="20"/>
        </w:rPr>
        <w:t> </w:t>
      </w:r>
      <w:r>
        <w:rPr>
          <w:sz w:val="20"/>
        </w:rPr>
        <w:t>y</w:t>
      </w:r>
      <w:r>
        <w:rPr>
          <w:spacing w:val="-19"/>
          <w:sz w:val="20"/>
        </w:rPr>
        <w:t> </w:t>
      </w:r>
      <w:r>
        <w:rPr>
          <w:sz w:val="20"/>
        </w:rPr>
        <w:t>considerar las características particulares de los pueblos indígenas, evitó una visión restrictiva o sesgada, que podría haber llevado a no comprender en su cabal dimensión la problemática del caso y las violaciónes a derechos humanos que se</w:t>
      </w:r>
      <w:r>
        <w:rPr>
          <w:spacing w:val="-18"/>
          <w:sz w:val="20"/>
        </w:rPr>
        <w:t> </w:t>
      </w:r>
      <w:r>
        <w:rPr>
          <w:sz w:val="20"/>
        </w:rPr>
        <w:t>cometieron</w:t>
      </w:r>
      <w:r>
        <w:rPr>
          <w:position w:val="7"/>
          <w:sz w:val="13"/>
        </w:rPr>
        <w:t>34</w:t>
      </w:r>
      <w:r>
        <w:rPr>
          <w:sz w:val="20"/>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Adicionalmente, considero que la forma en la que fue decidido este caso (es decir, analizar en un capítulo los temas relativos a la propiedad comunal indígena de manera separada del capítulo relativo al análisis de las cuestiones relativas a los DESCA), fue acertada, ya que de lo contrario se hubiera corrido el riesgo de considerar que solo en la medida en que la propiedad comunal indígena protegida por el artículo 21 sea declarada violada, se podría analizar posibles violaciones a DESCA relacionadas con el territorio</w:t>
      </w:r>
      <w:r>
        <w:rPr>
          <w:spacing w:val="-9"/>
          <w:sz w:val="20"/>
        </w:rPr>
        <w:t> </w:t>
      </w:r>
      <w:r>
        <w:rPr>
          <w:sz w:val="20"/>
        </w:rPr>
        <w:t>indígena.</w:t>
      </w:r>
    </w:p>
    <w:p>
      <w:pPr>
        <w:pStyle w:val="BodyText"/>
        <w:spacing w:before="11"/>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Debo</w:t>
      </w:r>
      <w:r>
        <w:rPr>
          <w:spacing w:val="-12"/>
          <w:sz w:val="20"/>
        </w:rPr>
        <w:t> </w:t>
      </w:r>
      <w:r>
        <w:rPr>
          <w:sz w:val="20"/>
        </w:rPr>
        <w:t>destacar</w:t>
      </w:r>
      <w:r>
        <w:rPr>
          <w:spacing w:val="-11"/>
          <w:sz w:val="20"/>
        </w:rPr>
        <w:t> </w:t>
      </w:r>
      <w:r>
        <w:rPr>
          <w:sz w:val="20"/>
        </w:rPr>
        <w:t>que</w:t>
      </w:r>
      <w:r>
        <w:rPr>
          <w:spacing w:val="-11"/>
          <w:sz w:val="20"/>
        </w:rPr>
        <w:t> </w:t>
      </w:r>
      <w:r>
        <w:rPr>
          <w:sz w:val="20"/>
        </w:rPr>
        <w:t>el</w:t>
      </w:r>
      <w:r>
        <w:rPr>
          <w:spacing w:val="-11"/>
          <w:sz w:val="20"/>
        </w:rPr>
        <w:t> </w:t>
      </w:r>
      <w:r>
        <w:rPr>
          <w:sz w:val="20"/>
        </w:rPr>
        <w:t>análisis</w:t>
      </w:r>
      <w:r>
        <w:rPr>
          <w:spacing w:val="-12"/>
          <w:sz w:val="20"/>
        </w:rPr>
        <w:t> </w:t>
      </w:r>
      <w:r>
        <w:rPr>
          <w:sz w:val="20"/>
        </w:rPr>
        <w:t>separado</w:t>
      </w:r>
      <w:r>
        <w:rPr>
          <w:spacing w:val="-11"/>
          <w:sz w:val="20"/>
        </w:rPr>
        <w:t> </w:t>
      </w:r>
      <w:r>
        <w:rPr>
          <w:sz w:val="20"/>
        </w:rPr>
        <w:t>entre</w:t>
      </w:r>
      <w:r>
        <w:rPr>
          <w:spacing w:val="-11"/>
          <w:sz w:val="20"/>
        </w:rPr>
        <w:t> </w:t>
      </w:r>
      <w:r>
        <w:rPr>
          <w:sz w:val="20"/>
        </w:rPr>
        <w:t>el</w:t>
      </w:r>
      <w:r>
        <w:rPr>
          <w:spacing w:val="-11"/>
          <w:sz w:val="20"/>
        </w:rPr>
        <w:t> </w:t>
      </w:r>
      <w:r>
        <w:rPr>
          <w:sz w:val="20"/>
        </w:rPr>
        <w:t>artículo</w:t>
      </w:r>
      <w:r>
        <w:rPr>
          <w:spacing w:val="-12"/>
          <w:sz w:val="20"/>
        </w:rPr>
        <w:t> </w:t>
      </w:r>
      <w:r>
        <w:rPr>
          <w:sz w:val="20"/>
        </w:rPr>
        <w:t>21</w:t>
      </w:r>
      <w:r>
        <w:rPr>
          <w:spacing w:val="-12"/>
          <w:sz w:val="20"/>
        </w:rPr>
        <w:t> </w:t>
      </w:r>
      <w:r>
        <w:rPr>
          <w:sz w:val="20"/>
        </w:rPr>
        <w:t>y</w:t>
      </w:r>
      <w:r>
        <w:rPr>
          <w:spacing w:val="-10"/>
          <w:sz w:val="20"/>
        </w:rPr>
        <w:t> </w:t>
      </w:r>
      <w:r>
        <w:rPr>
          <w:sz w:val="20"/>
        </w:rPr>
        <w:t>26</w:t>
      </w:r>
      <w:r>
        <w:rPr>
          <w:spacing w:val="-11"/>
          <w:sz w:val="20"/>
        </w:rPr>
        <w:t> </w:t>
      </w:r>
      <w:r>
        <w:rPr>
          <w:sz w:val="20"/>
        </w:rPr>
        <w:t>de</w:t>
      </w:r>
      <w:r>
        <w:rPr>
          <w:spacing w:val="-11"/>
          <w:sz w:val="20"/>
        </w:rPr>
        <w:t> </w:t>
      </w:r>
      <w:r>
        <w:rPr>
          <w:sz w:val="20"/>
        </w:rPr>
        <w:t>la</w:t>
      </w:r>
      <w:r>
        <w:rPr>
          <w:spacing w:val="-12"/>
          <w:sz w:val="20"/>
        </w:rPr>
        <w:t> </w:t>
      </w:r>
      <w:r>
        <w:rPr>
          <w:sz w:val="20"/>
        </w:rPr>
        <w:t>Convención Americana,</w:t>
      </w:r>
      <w:r>
        <w:rPr>
          <w:spacing w:val="-6"/>
          <w:sz w:val="20"/>
        </w:rPr>
        <w:t> </w:t>
      </w:r>
      <w:r>
        <w:rPr>
          <w:sz w:val="20"/>
        </w:rPr>
        <w:t>no</w:t>
      </w:r>
      <w:r>
        <w:rPr>
          <w:spacing w:val="-6"/>
          <w:sz w:val="20"/>
        </w:rPr>
        <w:t> </w:t>
      </w:r>
      <w:r>
        <w:rPr>
          <w:sz w:val="20"/>
        </w:rPr>
        <w:t>desconoce</w:t>
      </w:r>
      <w:r>
        <w:rPr>
          <w:spacing w:val="-6"/>
          <w:sz w:val="20"/>
        </w:rPr>
        <w:t> </w:t>
      </w:r>
      <w:r>
        <w:rPr>
          <w:sz w:val="20"/>
        </w:rPr>
        <w:t>la</w:t>
      </w:r>
      <w:r>
        <w:rPr>
          <w:spacing w:val="-7"/>
          <w:sz w:val="20"/>
        </w:rPr>
        <w:t> </w:t>
      </w:r>
      <w:r>
        <w:rPr>
          <w:sz w:val="20"/>
        </w:rPr>
        <w:t>jurisprudencia</w:t>
      </w:r>
      <w:r>
        <w:rPr>
          <w:spacing w:val="-7"/>
          <w:sz w:val="20"/>
        </w:rPr>
        <w:t> </w:t>
      </w:r>
      <w:r>
        <w:rPr>
          <w:sz w:val="20"/>
        </w:rPr>
        <w:t>previa</w:t>
      </w:r>
      <w:r>
        <w:rPr>
          <w:spacing w:val="-6"/>
          <w:sz w:val="20"/>
        </w:rPr>
        <w:t> </w:t>
      </w:r>
      <w:r>
        <w:rPr>
          <w:sz w:val="20"/>
        </w:rPr>
        <w:t>de</w:t>
      </w:r>
      <w:r>
        <w:rPr>
          <w:spacing w:val="-6"/>
          <w:sz w:val="20"/>
        </w:rPr>
        <w:t> </w:t>
      </w:r>
      <w:r>
        <w:rPr>
          <w:sz w:val="20"/>
        </w:rPr>
        <w:t>la</w:t>
      </w:r>
      <w:r>
        <w:rPr>
          <w:spacing w:val="-7"/>
          <w:sz w:val="20"/>
        </w:rPr>
        <w:t> </w:t>
      </w:r>
      <w:r>
        <w:rPr>
          <w:sz w:val="20"/>
        </w:rPr>
        <w:t>Corte</w:t>
      </w:r>
      <w:r>
        <w:rPr>
          <w:spacing w:val="-6"/>
          <w:sz w:val="20"/>
        </w:rPr>
        <w:t> </w:t>
      </w:r>
      <w:r>
        <w:rPr>
          <w:sz w:val="20"/>
        </w:rPr>
        <w:t>IDH</w:t>
      </w:r>
      <w:r>
        <w:rPr>
          <w:spacing w:val="-5"/>
          <w:sz w:val="20"/>
        </w:rPr>
        <w:t> </w:t>
      </w:r>
      <w:r>
        <w:rPr>
          <w:sz w:val="20"/>
        </w:rPr>
        <w:t>relacionada</w:t>
      </w:r>
      <w:r>
        <w:rPr>
          <w:spacing w:val="-8"/>
          <w:sz w:val="20"/>
        </w:rPr>
        <w:t> </w:t>
      </w:r>
      <w:r>
        <w:rPr>
          <w:sz w:val="20"/>
        </w:rPr>
        <w:t>con</w:t>
      </w:r>
      <w:r>
        <w:rPr>
          <w:spacing w:val="-7"/>
          <w:sz w:val="20"/>
        </w:rPr>
        <w:t> </w:t>
      </w:r>
      <w:r>
        <w:rPr>
          <w:sz w:val="20"/>
        </w:rPr>
        <w:t>en</w:t>
      </w:r>
      <w:r>
        <w:rPr>
          <w:spacing w:val="-6"/>
          <w:sz w:val="20"/>
        </w:rPr>
        <w:t> </w:t>
      </w:r>
      <w:r>
        <w:rPr>
          <w:sz w:val="20"/>
        </w:rPr>
        <w:t>el territorio, mismo que abarca la tierra y los recursos naturales; por el contrario, se refuerza la tesis que en el caso de los pueblos indígenas, al tener una relación especial con</w:t>
      </w:r>
      <w:r>
        <w:rPr>
          <w:spacing w:val="-11"/>
          <w:sz w:val="20"/>
        </w:rPr>
        <w:t> </w:t>
      </w:r>
      <w:r>
        <w:rPr>
          <w:sz w:val="20"/>
        </w:rPr>
        <w:t>sus</w:t>
      </w:r>
      <w:r>
        <w:rPr>
          <w:spacing w:val="-11"/>
          <w:sz w:val="20"/>
        </w:rPr>
        <w:t> </w:t>
      </w:r>
      <w:r>
        <w:rPr>
          <w:sz w:val="20"/>
        </w:rPr>
        <w:t>territorios</w:t>
      </w:r>
      <w:r>
        <w:rPr>
          <w:spacing w:val="-11"/>
          <w:sz w:val="20"/>
        </w:rPr>
        <w:t> </w:t>
      </w:r>
      <w:r>
        <w:rPr>
          <w:sz w:val="20"/>
        </w:rPr>
        <w:t>ancestrales</w:t>
      </w:r>
      <w:r>
        <w:rPr>
          <w:spacing w:val="-13"/>
          <w:sz w:val="20"/>
        </w:rPr>
        <w:t> </w:t>
      </w:r>
      <w:r>
        <w:rPr>
          <w:sz w:val="20"/>
        </w:rPr>
        <w:t>es</w:t>
      </w:r>
      <w:r>
        <w:rPr>
          <w:spacing w:val="-11"/>
          <w:sz w:val="20"/>
        </w:rPr>
        <w:t> </w:t>
      </w:r>
      <w:r>
        <w:rPr>
          <w:sz w:val="20"/>
        </w:rPr>
        <w:t>necesario</w:t>
      </w:r>
      <w:r>
        <w:rPr>
          <w:spacing w:val="-13"/>
          <w:sz w:val="20"/>
        </w:rPr>
        <w:t> </w:t>
      </w:r>
      <w:r>
        <w:rPr>
          <w:sz w:val="20"/>
        </w:rPr>
        <w:t>hacer</w:t>
      </w:r>
      <w:r>
        <w:rPr>
          <w:spacing w:val="-12"/>
          <w:sz w:val="20"/>
        </w:rPr>
        <w:t> </w:t>
      </w:r>
      <w:r>
        <w:rPr>
          <w:sz w:val="20"/>
        </w:rPr>
        <w:t>un</w:t>
      </w:r>
      <w:r>
        <w:rPr>
          <w:spacing w:val="-11"/>
          <w:sz w:val="20"/>
        </w:rPr>
        <w:t> </w:t>
      </w:r>
      <w:r>
        <w:rPr>
          <w:sz w:val="20"/>
        </w:rPr>
        <w:t>análisis</w:t>
      </w:r>
      <w:r>
        <w:rPr>
          <w:spacing w:val="-9"/>
          <w:sz w:val="20"/>
        </w:rPr>
        <w:t> </w:t>
      </w:r>
      <w:r>
        <w:rPr>
          <w:sz w:val="20"/>
        </w:rPr>
        <w:t>pormenorizado</w:t>
      </w:r>
      <w:r>
        <w:rPr>
          <w:spacing w:val="-13"/>
          <w:sz w:val="20"/>
        </w:rPr>
        <w:t> </w:t>
      </w:r>
      <w:r>
        <w:rPr>
          <w:sz w:val="20"/>
        </w:rPr>
        <w:t>entre</w:t>
      </w:r>
      <w:r>
        <w:rPr>
          <w:spacing w:val="-12"/>
          <w:sz w:val="20"/>
        </w:rPr>
        <w:t> </w:t>
      </w:r>
      <w:r>
        <w:rPr>
          <w:sz w:val="20"/>
        </w:rPr>
        <w:t>todos y cada uno de los elementos que forman parte de sus derechos, es decir, tanto “su derecho a la propiedad colectiva indígena” como su “derecho al</w:t>
      </w:r>
      <w:r>
        <w:rPr>
          <w:spacing w:val="-12"/>
          <w:sz w:val="20"/>
        </w:rPr>
        <w:t> </w:t>
      </w:r>
      <w:r>
        <w:rPr>
          <w:sz w:val="20"/>
        </w:rPr>
        <w:t>territorio”.</w:t>
      </w:r>
    </w:p>
    <w:p>
      <w:pPr>
        <w:pStyle w:val="BodyText"/>
      </w:pPr>
    </w:p>
    <w:p>
      <w:pPr>
        <w:pStyle w:val="ListParagraph"/>
        <w:numPr>
          <w:ilvl w:val="0"/>
          <w:numId w:val="77"/>
        </w:numPr>
        <w:tabs>
          <w:tab w:pos="827" w:val="left" w:leader="none"/>
        </w:tabs>
        <w:spacing w:line="240" w:lineRule="auto" w:before="0" w:after="0"/>
        <w:ind w:left="118" w:right="308" w:firstLine="0"/>
        <w:jc w:val="both"/>
        <w:rPr>
          <w:sz w:val="20"/>
        </w:rPr>
      </w:pPr>
      <w:r>
        <w:rPr>
          <w:sz w:val="20"/>
        </w:rPr>
        <w:t>En</w:t>
      </w:r>
      <w:r>
        <w:rPr>
          <w:spacing w:val="-10"/>
          <w:sz w:val="20"/>
        </w:rPr>
        <w:t> </w:t>
      </w:r>
      <w:r>
        <w:rPr>
          <w:sz w:val="20"/>
        </w:rPr>
        <w:t>este</w:t>
      </w:r>
      <w:r>
        <w:rPr>
          <w:spacing w:val="-11"/>
          <w:sz w:val="20"/>
        </w:rPr>
        <w:t> </w:t>
      </w:r>
      <w:r>
        <w:rPr>
          <w:sz w:val="20"/>
        </w:rPr>
        <w:t>entendido,</w:t>
      </w:r>
      <w:r>
        <w:rPr>
          <w:spacing w:val="-10"/>
          <w:sz w:val="20"/>
        </w:rPr>
        <w:t> </w:t>
      </w:r>
      <w:r>
        <w:rPr>
          <w:sz w:val="20"/>
        </w:rPr>
        <w:t>lo</w:t>
      </w:r>
      <w:r>
        <w:rPr>
          <w:spacing w:val="-10"/>
          <w:sz w:val="20"/>
        </w:rPr>
        <w:t> </w:t>
      </w:r>
      <w:r>
        <w:rPr>
          <w:sz w:val="20"/>
        </w:rPr>
        <w:t>que</w:t>
      </w:r>
      <w:r>
        <w:rPr>
          <w:spacing w:val="-10"/>
          <w:sz w:val="20"/>
        </w:rPr>
        <w:t> </w:t>
      </w:r>
      <w:r>
        <w:rPr>
          <w:sz w:val="20"/>
        </w:rPr>
        <w:t>hace</w:t>
      </w:r>
      <w:r>
        <w:rPr>
          <w:spacing w:val="-9"/>
          <w:sz w:val="20"/>
        </w:rPr>
        <w:t> </w:t>
      </w:r>
      <w:r>
        <w:rPr>
          <w:sz w:val="20"/>
        </w:rPr>
        <w:t>el</w:t>
      </w:r>
      <w:r>
        <w:rPr>
          <w:spacing w:val="-10"/>
          <w:sz w:val="20"/>
        </w:rPr>
        <w:t> </w:t>
      </w:r>
      <w:r>
        <w:rPr>
          <w:sz w:val="20"/>
        </w:rPr>
        <w:t>Tribunal</w:t>
      </w:r>
      <w:r>
        <w:rPr>
          <w:spacing w:val="-10"/>
          <w:sz w:val="20"/>
        </w:rPr>
        <w:t> </w:t>
      </w:r>
      <w:r>
        <w:rPr>
          <w:sz w:val="20"/>
        </w:rPr>
        <w:t>Interamericano</w:t>
      </w:r>
      <w:r>
        <w:rPr>
          <w:spacing w:val="-12"/>
          <w:sz w:val="20"/>
        </w:rPr>
        <w:t> </w:t>
      </w:r>
      <w:r>
        <w:rPr>
          <w:sz w:val="20"/>
        </w:rPr>
        <w:t>al</w:t>
      </w:r>
      <w:r>
        <w:rPr>
          <w:spacing w:val="-10"/>
          <w:sz w:val="20"/>
        </w:rPr>
        <w:t> </w:t>
      </w:r>
      <w:r>
        <w:rPr>
          <w:sz w:val="20"/>
        </w:rPr>
        <w:t>momento</w:t>
      </w:r>
      <w:r>
        <w:rPr>
          <w:spacing w:val="-11"/>
          <w:sz w:val="20"/>
        </w:rPr>
        <w:t> </w:t>
      </w:r>
      <w:r>
        <w:rPr>
          <w:sz w:val="20"/>
        </w:rPr>
        <w:t>de</w:t>
      </w:r>
      <w:r>
        <w:rPr>
          <w:spacing w:val="-9"/>
          <w:sz w:val="20"/>
        </w:rPr>
        <w:t> </w:t>
      </w:r>
      <w:r>
        <w:rPr>
          <w:sz w:val="20"/>
        </w:rPr>
        <w:t>decidir sobre</w:t>
      </w:r>
      <w:r>
        <w:rPr>
          <w:spacing w:val="-18"/>
          <w:sz w:val="20"/>
        </w:rPr>
        <w:t> </w:t>
      </w:r>
      <w:r>
        <w:rPr>
          <w:sz w:val="20"/>
        </w:rPr>
        <w:t>algunos</w:t>
      </w:r>
      <w:r>
        <w:rPr>
          <w:spacing w:val="-19"/>
          <w:sz w:val="20"/>
        </w:rPr>
        <w:t> </w:t>
      </w:r>
      <w:r>
        <w:rPr>
          <w:sz w:val="20"/>
        </w:rPr>
        <w:t>elementos</w:t>
      </w:r>
      <w:r>
        <w:rPr>
          <w:spacing w:val="-19"/>
          <w:sz w:val="20"/>
        </w:rPr>
        <w:t> </w:t>
      </w:r>
      <w:r>
        <w:rPr>
          <w:sz w:val="20"/>
        </w:rPr>
        <w:t>que</w:t>
      </w:r>
      <w:r>
        <w:rPr>
          <w:spacing w:val="-19"/>
          <w:sz w:val="20"/>
        </w:rPr>
        <w:t> </w:t>
      </w:r>
      <w:r>
        <w:rPr>
          <w:sz w:val="20"/>
        </w:rPr>
        <w:t>se</w:t>
      </w:r>
      <w:r>
        <w:rPr>
          <w:spacing w:val="-19"/>
          <w:sz w:val="20"/>
        </w:rPr>
        <w:t> </w:t>
      </w:r>
      <w:r>
        <w:rPr>
          <w:sz w:val="20"/>
        </w:rPr>
        <w:t>encuentran</w:t>
      </w:r>
      <w:r>
        <w:rPr>
          <w:spacing w:val="-20"/>
          <w:sz w:val="20"/>
        </w:rPr>
        <w:t> </w:t>
      </w:r>
      <w:r>
        <w:rPr>
          <w:sz w:val="20"/>
        </w:rPr>
        <w:t>dentro</w:t>
      </w:r>
      <w:r>
        <w:rPr>
          <w:spacing w:val="-20"/>
          <w:sz w:val="20"/>
        </w:rPr>
        <w:t> </w:t>
      </w:r>
      <w:r>
        <w:rPr>
          <w:sz w:val="20"/>
        </w:rPr>
        <w:t>del</w:t>
      </w:r>
      <w:r>
        <w:rPr>
          <w:spacing w:val="-20"/>
          <w:sz w:val="20"/>
        </w:rPr>
        <w:t> </w:t>
      </w:r>
      <w:r>
        <w:rPr>
          <w:sz w:val="20"/>
        </w:rPr>
        <w:t>concepto</w:t>
      </w:r>
      <w:r>
        <w:rPr>
          <w:spacing w:val="-20"/>
          <w:sz w:val="20"/>
        </w:rPr>
        <w:t> </w:t>
      </w:r>
      <w:r>
        <w:rPr>
          <w:sz w:val="20"/>
        </w:rPr>
        <w:t>de</w:t>
      </w:r>
      <w:r>
        <w:rPr>
          <w:spacing w:val="-19"/>
          <w:sz w:val="20"/>
        </w:rPr>
        <w:t> </w:t>
      </w:r>
      <w:r>
        <w:rPr>
          <w:sz w:val="20"/>
        </w:rPr>
        <w:t>“territorio”</w:t>
      </w:r>
      <w:r>
        <w:rPr>
          <w:spacing w:val="-18"/>
          <w:sz w:val="20"/>
        </w:rPr>
        <w:t> </w:t>
      </w:r>
      <w:r>
        <w:rPr>
          <w:sz w:val="20"/>
        </w:rPr>
        <w:t>mediante el artículo 26 de la Convención Americana, es decir, sobre los derechos al medio ambiente sano, al agua, a la alimentación y a participar en la vida cultural, no lo </w:t>
      </w:r>
      <w:r>
        <w:rPr>
          <w:spacing w:val="31"/>
          <w:sz w:val="20"/>
        </w:rPr>
        <w:t> </w:t>
      </w:r>
      <w:r>
        <w:rPr>
          <w:sz w:val="20"/>
        </w:rPr>
        <w:t>hace</w:t>
      </w:r>
    </w:p>
    <w:p>
      <w:pPr>
        <w:pStyle w:val="BodyText"/>
        <w:spacing w:before="5"/>
        <w:rPr>
          <w:sz w:val="21"/>
        </w:rPr>
      </w:pPr>
      <w:r>
        <w:rPr/>
        <w:pict>
          <v:line style="position:absolute;mso-position-horizontal-relative:page;mso-position-vertical-relative:paragraph;z-index:4912;mso-wrap-distance-left:0;mso-wrap-distance-right:0" from="70.919998pt,15.26328pt" to="214.939998pt,15.26328pt" stroked="true" strokeweight=".60004pt" strokecolor="#000000">
            <v:stroke dashstyle="solid"/>
            <w10:wrap type="topAndBottom"/>
          </v:line>
        </w:pict>
      </w:r>
    </w:p>
    <w:p>
      <w:pPr>
        <w:spacing w:before="73"/>
        <w:ind w:left="118" w:right="311" w:firstLine="0"/>
        <w:jc w:val="both"/>
        <w:rPr>
          <w:sz w:val="16"/>
        </w:rPr>
      </w:pPr>
      <w:r>
        <w:rPr>
          <w:sz w:val="16"/>
        </w:rPr>
        <w:t>naturales</w:t>
      </w:r>
      <w:r>
        <w:rPr>
          <w:spacing w:val="-6"/>
          <w:sz w:val="16"/>
        </w:rPr>
        <w:t> </w:t>
      </w:r>
      <w:r>
        <w:rPr>
          <w:sz w:val="16"/>
        </w:rPr>
        <w:t>de</w:t>
      </w:r>
      <w:r>
        <w:rPr>
          <w:spacing w:val="-6"/>
          <w:sz w:val="16"/>
        </w:rPr>
        <w:t> </w:t>
      </w:r>
      <w:r>
        <w:rPr>
          <w:sz w:val="16"/>
        </w:rPr>
        <w:t>agua</w:t>
      </w:r>
      <w:r>
        <w:rPr>
          <w:spacing w:val="-6"/>
          <w:sz w:val="16"/>
        </w:rPr>
        <w:t> </w:t>
      </w:r>
      <w:r>
        <w:rPr>
          <w:sz w:val="16"/>
        </w:rPr>
        <w:t>utilizadas</w:t>
      </w:r>
      <w:r>
        <w:rPr>
          <w:spacing w:val="-2"/>
          <w:sz w:val="16"/>
        </w:rPr>
        <w:t> </w:t>
      </w:r>
      <w:r>
        <w:rPr>
          <w:sz w:val="16"/>
        </w:rPr>
        <w:t>tradicionalmente</w:t>
      </w:r>
      <w:r>
        <w:rPr>
          <w:spacing w:val="-6"/>
          <w:sz w:val="16"/>
        </w:rPr>
        <w:t> </w:t>
      </w:r>
      <w:r>
        <w:rPr>
          <w:sz w:val="16"/>
        </w:rPr>
        <w:t>por</w:t>
      </w:r>
      <w:r>
        <w:rPr>
          <w:spacing w:val="-5"/>
          <w:sz w:val="16"/>
        </w:rPr>
        <w:t> </w:t>
      </w:r>
      <w:r>
        <w:rPr>
          <w:sz w:val="16"/>
        </w:rPr>
        <w:t>los</w:t>
      </w:r>
      <w:r>
        <w:rPr>
          <w:spacing w:val="-5"/>
          <w:sz w:val="16"/>
        </w:rPr>
        <w:t> </w:t>
      </w:r>
      <w:r>
        <w:rPr>
          <w:sz w:val="16"/>
        </w:rPr>
        <w:t>pueblos</w:t>
      </w:r>
      <w:r>
        <w:rPr>
          <w:spacing w:val="-6"/>
          <w:sz w:val="16"/>
        </w:rPr>
        <w:t> </w:t>
      </w:r>
      <w:r>
        <w:rPr>
          <w:sz w:val="16"/>
        </w:rPr>
        <w:t>indígenas,</w:t>
      </w:r>
      <w:r>
        <w:rPr>
          <w:spacing w:val="-7"/>
          <w:sz w:val="16"/>
        </w:rPr>
        <w:t> </w:t>
      </w:r>
      <w:r>
        <w:rPr>
          <w:sz w:val="16"/>
        </w:rPr>
        <w:t>como</w:t>
      </w:r>
      <w:r>
        <w:rPr>
          <w:spacing w:val="-6"/>
          <w:sz w:val="16"/>
        </w:rPr>
        <w:t> </w:t>
      </w:r>
      <w:r>
        <w:rPr>
          <w:sz w:val="16"/>
        </w:rPr>
        <w:t>los</w:t>
      </w:r>
      <w:r>
        <w:rPr>
          <w:spacing w:val="-5"/>
          <w:sz w:val="16"/>
        </w:rPr>
        <w:t> </w:t>
      </w:r>
      <w:r>
        <w:rPr>
          <w:sz w:val="16"/>
        </w:rPr>
        <w:t>lagos</w:t>
      </w:r>
      <w:r>
        <w:rPr>
          <w:spacing w:val="-6"/>
          <w:sz w:val="16"/>
        </w:rPr>
        <w:t> </w:t>
      </w:r>
      <w:r>
        <w:rPr>
          <w:sz w:val="16"/>
        </w:rPr>
        <w:t>o</w:t>
      </w:r>
      <w:r>
        <w:rPr>
          <w:spacing w:val="-5"/>
          <w:sz w:val="16"/>
        </w:rPr>
        <w:t> </w:t>
      </w:r>
      <w:r>
        <w:rPr>
          <w:sz w:val="16"/>
        </w:rPr>
        <w:t>ríos,</w:t>
      </w:r>
      <w:r>
        <w:rPr>
          <w:spacing w:val="-7"/>
          <w:sz w:val="16"/>
        </w:rPr>
        <w:t> </w:t>
      </w:r>
      <w:r>
        <w:rPr>
          <w:sz w:val="16"/>
        </w:rPr>
        <w:t>pueden</w:t>
      </w:r>
      <w:r>
        <w:rPr>
          <w:spacing w:val="-6"/>
          <w:sz w:val="16"/>
        </w:rPr>
        <w:t> </w:t>
      </w:r>
      <w:r>
        <w:rPr>
          <w:sz w:val="16"/>
        </w:rPr>
        <w:t>no</w:t>
      </w:r>
      <w:r>
        <w:rPr>
          <w:spacing w:val="-6"/>
          <w:sz w:val="16"/>
        </w:rPr>
        <w:t> </w:t>
      </w:r>
      <w:r>
        <w:rPr>
          <w:sz w:val="16"/>
        </w:rPr>
        <w:t>ser ya</w:t>
      </w:r>
      <w:r>
        <w:rPr>
          <w:spacing w:val="-6"/>
          <w:sz w:val="16"/>
        </w:rPr>
        <w:t> </w:t>
      </w:r>
      <w:r>
        <w:rPr>
          <w:sz w:val="16"/>
        </w:rPr>
        <w:t>accesibles</w:t>
      </w:r>
      <w:r>
        <w:rPr>
          <w:spacing w:val="-6"/>
          <w:sz w:val="16"/>
        </w:rPr>
        <w:t> </w:t>
      </w:r>
      <w:r>
        <w:rPr>
          <w:sz w:val="16"/>
        </w:rPr>
        <w:t>debido</w:t>
      </w:r>
      <w:r>
        <w:rPr>
          <w:spacing w:val="-6"/>
          <w:sz w:val="16"/>
        </w:rPr>
        <w:t> </w:t>
      </w:r>
      <w:r>
        <w:rPr>
          <w:sz w:val="16"/>
        </w:rPr>
        <w:t>a</w:t>
      </w:r>
      <w:r>
        <w:rPr>
          <w:spacing w:val="-5"/>
          <w:sz w:val="16"/>
        </w:rPr>
        <w:t> </w:t>
      </w:r>
      <w:r>
        <w:rPr>
          <w:sz w:val="16"/>
        </w:rPr>
        <w:t>la</w:t>
      </w:r>
      <w:r>
        <w:rPr>
          <w:spacing w:val="-6"/>
          <w:sz w:val="16"/>
        </w:rPr>
        <w:t> </w:t>
      </w:r>
      <w:r>
        <w:rPr>
          <w:sz w:val="16"/>
        </w:rPr>
        <w:t>expropiación</w:t>
      </w:r>
      <w:r>
        <w:rPr>
          <w:spacing w:val="-5"/>
          <w:sz w:val="16"/>
        </w:rPr>
        <w:t> </w:t>
      </w:r>
      <w:r>
        <w:rPr>
          <w:sz w:val="16"/>
        </w:rPr>
        <w:t>o</w:t>
      </w:r>
      <w:r>
        <w:rPr>
          <w:spacing w:val="-6"/>
          <w:sz w:val="16"/>
        </w:rPr>
        <w:t> </w:t>
      </w:r>
      <w:r>
        <w:rPr>
          <w:sz w:val="16"/>
        </w:rPr>
        <w:t>la</w:t>
      </w:r>
      <w:r>
        <w:rPr>
          <w:spacing w:val="-4"/>
          <w:sz w:val="16"/>
        </w:rPr>
        <w:t> </w:t>
      </w:r>
      <w:r>
        <w:rPr>
          <w:sz w:val="16"/>
        </w:rPr>
        <w:t>apropiación</w:t>
      </w:r>
      <w:r>
        <w:rPr>
          <w:spacing w:val="-5"/>
          <w:sz w:val="16"/>
        </w:rPr>
        <w:t> </w:t>
      </w:r>
      <w:r>
        <w:rPr>
          <w:sz w:val="16"/>
        </w:rPr>
        <w:t>gradual</w:t>
      </w:r>
      <w:r>
        <w:rPr>
          <w:spacing w:val="-6"/>
          <w:sz w:val="16"/>
        </w:rPr>
        <w:t> </w:t>
      </w:r>
      <w:r>
        <w:rPr>
          <w:sz w:val="16"/>
        </w:rPr>
        <w:t>de</w:t>
      </w:r>
      <w:r>
        <w:rPr>
          <w:spacing w:val="-6"/>
          <w:sz w:val="16"/>
        </w:rPr>
        <w:t> </w:t>
      </w:r>
      <w:r>
        <w:rPr>
          <w:sz w:val="16"/>
        </w:rPr>
        <w:t>las</w:t>
      </w:r>
      <w:r>
        <w:rPr>
          <w:spacing w:val="-6"/>
          <w:sz w:val="16"/>
        </w:rPr>
        <w:t> </w:t>
      </w:r>
      <w:r>
        <w:rPr>
          <w:sz w:val="16"/>
        </w:rPr>
        <w:t>tierras</w:t>
      </w:r>
      <w:r>
        <w:rPr>
          <w:spacing w:val="-6"/>
          <w:sz w:val="16"/>
        </w:rPr>
        <w:t> </w:t>
      </w:r>
      <w:r>
        <w:rPr>
          <w:sz w:val="16"/>
        </w:rPr>
        <w:t>por</w:t>
      </w:r>
      <w:r>
        <w:rPr>
          <w:spacing w:val="-6"/>
          <w:sz w:val="16"/>
        </w:rPr>
        <w:t> </w:t>
      </w:r>
      <w:r>
        <w:rPr>
          <w:sz w:val="16"/>
        </w:rPr>
        <w:t>otros.</w:t>
      </w:r>
      <w:r>
        <w:rPr>
          <w:spacing w:val="-5"/>
          <w:sz w:val="16"/>
        </w:rPr>
        <w:t> </w:t>
      </w:r>
      <w:r>
        <w:rPr>
          <w:sz w:val="16"/>
        </w:rPr>
        <w:t>El</w:t>
      </w:r>
      <w:r>
        <w:rPr>
          <w:spacing w:val="-7"/>
          <w:sz w:val="16"/>
        </w:rPr>
        <w:t> </w:t>
      </w:r>
      <w:r>
        <w:rPr>
          <w:sz w:val="16"/>
        </w:rPr>
        <w:t>acceso</w:t>
      </w:r>
      <w:r>
        <w:rPr>
          <w:spacing w:val="-6"/>
          <w:sz w:val="16"/>
        </w:rPr>
        <w:t> </w:t>
      </w:r>
      <w:r>
        <w:rPr>
          <w:sz w:val="16"/>
        </w:rPr>
        <w:t>puede</w:t>
      </w:r>
      <w:r>
        <w:rPr>
          <w:spacing w:val="-6"/>
          <w:sz w:val="16"/>
        </w:rPr>
        <w:t> </w:t>
      </w:r>
      <w:r>
        <w:rPr>
          <w:sz w:val="16"/>
        </w:rPr>
        <w:t>verse amenazado también por la contaminación ilegal o la sobreexplotación” (Oficina del Alto Comisionado de las Naciones Unidas para los Derechos Humanos, Folleto Informativo No. 35, “El derecho al agua”, pág. 30). En particular respecto de Argentina, en 2012 el Relator Especial sobre los derechos de los pueblos indígenas dio cuenta de múltiples situaciones existentes en el país, inclusive en Salta, de dificultades de comunidades indígenas para un acceso adecuado al agua, y recomendó al “Gobierno nacional y los gobiernos provinciales […] realizar mayores esfuerzos para responder a las solicitudes de los pueblos indígenas en relación con el acceso a servicios básicos en las áreas rurales, especialmente los servicios del agua”. Señaló que “[e]n este sentido, el Estado debe adoptar una visión a largo plazo para el desarrollo social de estas áreas, tomando</w:t>
      </w:r>
      <w:r>
        <w:rPr>
          <w:spacing w:val="-23"/>
          <w:sz w:val="16"/>
        </w:rPr>
        <w:t> </w:t>
      </w:r>
      <w:r>
        <w:rPr>
          <w:sz w:val="16"/>
        </w:rPr>
        <w:t>en cuenta</w:t>
      </w:r>
      <w:r>
        <w:rPr>
          <w:spacing w:val="-5"/>
          <w:sz w:val="16"/>
        </w:rPr>
        <w:t> </w:t>
      </w:r>
      <w:r>
        <w:rPr>
          <w:sz w:val="16"/>
        </w:rPr>
        <w:t>la</w:t>
      </w:r>
      <w:r>
        <w:rPr>
          <w:spacing w:val="-4"/>
          <w:sz w:val="16"/>
        </w:rPr>
        <w:t> </w:t>
      </w:r>
      <w:r>
        <w:rPr>
          <w:sz w:val="16"/>
        </w:rPr>
        <w:t>importancia</w:t>
      </w:r>
      <w:r>
        <w:rPr>
          <w:spacing w:val="-6"/>
          <w:sz w:val="16"/>
        </w:rPr>
        <w:t> </w:t>
      </w:r>
      <w:r>
        <w:rPr>
          <w:sz w:val="16"/>
        </w:rPr>
        <w:t>que</w:t>
      </w:r>
      <w:r>
        <w:rPr>
          <w:spacing w:val="-6"/>
          <w:sz w:val="16"/>
        </w:rPr>
        <w:t> </w:t>
      </w:r>
      <w:r>
        <w:rPr>
          <w:sz w:val="16"/>
        </w:rPr>
        <w:t>revisten</w:t>
      </w:r>
      <w:r>
        <w:rPr>
          <w:spacing w:val="-5"/>
          <w:sz w:val="16"/>
        </w:rPr>
        <w:t> </w:t>
      </w:r>
      <w:r>
        <w:rPr>
          <w:sz w:val="16"/>
        </w:rPr>
        <w:t>las</w:t>
      </w:r>
      <w:r>
        <w:rPr>
          <w:spacing w:val="-6"/>
          <w:sz w:val="16"/>
        </w:rPr>
        <w:t> </w:t>
      </w:r>
      <w:r>
        <w:rPr>
          <w:sz w:val="16"/>
        </w:rPr>
        <w:t>tierras</w:t>
      </w:r>
      <w:r>
        <w:rPr>
          <w:spacing w:val="-6"/>
          <w:sz w:val="16"/>
        </w:rPr>
        <w:t> </w:t>
      </w:r>
      <w:r>
        <w:rPr>
          <w:sz w:val="16"/>
        </w:rPr>
        <w:t>tradicionales</w:t>
      </w:r>
      <w:r>
        <w:rPr>
          <w:spacing w:val="-3"/>
          <w:sz w:val="16"/>
        </w:rPr>
        <w:t> </w:t>
      </w:r>
      <w:r>
        <w:rPr>
          <w:sz w:val="16"/>
        </w:rPr>
        <w:t>para</w:t>
      </w:r>
      <w:r>
        <w:rPr>
          <w:spacing w:val="-6"/>
          <w:sz w:val="16"/>
        </w:rPr>
        <w:t> </w:t>
      </w:r>
      <w:r>
        <w:rPr>
          <w:sz w:val="16"/>
        </w:rPr>
        <w:t>las</w:t>
      </w:r>
      <w:r>
        <w:rPr>
          <w:spacing w:val="-5"/>
          <w:sz w:val="16"/>
        </w:rPr>
        <w:t> </w:t>
      </w:r>
      <w:r>
        <w:rPr>
          <w:sz w:val="16"/>
        </w:rPr>
        <w:t>vidas</w:t>
      </w:r>
      <w:r>
        <w:rPr>
          <w:spacing w:val="-5"/>
          <w:sz w:val="16"/>
        </w:rPr>
        <w:t> </w:t>
      </w:r>
      <w:r>
        <w:rPr>
          <w:sz w:val="16"/>
        </w:rPr>
        <w:t>y</w:t>
      </w:r>
      <w:r>
        <w:rPr>
          <w:spacing w:val="-6"/>
          <w:sz w:val="16"/>
        </w:rPr>
        <w:t> </w:t>
      </w:r>
      <w:r>
        <w:rPr>
          <w:sz w:val="16"/>
        </w:rPr>
        <w:t>culturas</w:t>
      </w:r>
      <w:r>
        <w:rPr>
          <w:spacing w:val="-6"/>
          <w:sz w:val="16"/>
        </w:rPr>
        <w:t> </w:t>
      </w:r>
      <w:r>
        <w:rPr>
          <w:sz w:val="16"/>
        </w:rPr>
        <w:t>de</w:t>
      </w:r>
      <w:r>
        <w:rPr>
          <w:spacing w:val="-5"/>
          <w:sz w:val="16"/>
        </w:rPr>
        <w:t> </w:t>
      </w:r>
      <w:r>
        <w:rPr>
          <w:sz w:val="16"/>
        </w:rPr>
        <w:t>los</w:t>
      </w:r>
      <w:r>
        <w:rPr>
          <w:spacing w:val="-6"/>
          <w:sz w:val="16"/>
        </w:rPr>
        <w:t> </w:t>
      </w:r>
      <w:r>
        <w:rPr>
          <w:sz w:val="16"/>
        </w:rPr>
        <w:t>pueblos</w:t>
      </w:r>
      <w:r>
        <w:rPr>
          <w:spacing w:val="-5"/>
          <w:sz w:val="16"/>
        </w:rPr>
        <w:t> </w:t>
      </w:r>
      <w:r>
        <w:rPr>
          <w:sz w:val="16"/>
        </w:rPr>
        <w:t>indígenas” (Consejo</w:t>
      </w:r>
      <w:r>
        <w:rPr>
          <w:spacing w:val="-5"/>
          <w:sz w:val="16"/>
        </w:rPr>
        <w:t> </w:t>
      </w:r>
      <w:r>
        <w:rPr>
          <w:sz w:val="16"/>
        </w:rPr>
        <w:t>de</w:t>
      </w:r>
      <w:r>
        <w:rPr>
          <w:spacing w:val="-5"/>
          <w:sz w:val="16"/>
        </w:rPr>
        <w:t> </w:t>
      </w:r>
      <w:r>
        <w:rPr>
          <w:sz w:val="16"/>
        </w:rPr>
        <w:t>Derechos</w:t>
      </w:r>
      <w:r>
        <w:rPr>
          <w:spacing w:val="-5"/>
          <w:sz w:val="16"/>
        </w:rPr>
        <w:t> </w:t>
      </w:r>
      <w:r>
        <w:rPr>
          <w:sz w:val="16"/>
        </w:rPr>
        <w:t>Humanos,</w:t>
      </w:r>
      <w:r>
        <w:rPr>
          <w:spacing w:val="-6"/>
          <w:sz w:val="16"/>
        </w:rPr>
        <w:t> </w:t>
      </w:r>
      <w:r>
        <w:rPr>
          <w:sz w:val="16"/>
        </w:rPr>
        <w:t>21º</w:t>
      </w:r>
      <w:r>
        <w:rPr>
          <w:spacing w:val="-4"/>
          <w:sz w:val="16"/>
        </w:rPr>
        <w:t> </w:t>
      </w:r>
      <w:r>
        <w:rPr>
          <w:sz w:val="16"/>
        </w:rPr>
        <w:t>período</w:t>
      </w:r>
      <w:r>
        <w:rPr>
          <w:spacing w:val="-4"/>
          <w:sz w:val="16"/>
        </w:rPr>
        <w:t> </w:t>
      </w:r>
      <w:r>
        <w:rPr>
          <w:sz w:val="16"/>
        </w:rPr>
        <w:t>de</w:t>
      </w:r>
      <w:r>
        <w:rPr>
          <w:spacing w:val="-5"/>
          <w:sz w:val="16"/>
        </w:rPr>
        <w:t> </w:t>
      </w:r>
      <w:r>
        <w:rPr>
          <w:sz w:val="16"/>
        </w:rPr>
        <w:t>sesiones.</w:t>
      </w:r>
      <w:r>
        <w:rPr>
          <w:spacing w:val="-2"/>
          <w:sz w:val="16"/>
        </w:rPr>
        <w:t> </w:t>
      </w:r>
      <w:r>
        <w:rPr>
          <w:sz w:val="16"/>
        </w:rPr>
        <w:t>Informe</w:t>
      </w:r>
      <w:r>
        <w:rPr>
          <w:spacing w:val="-5"/>
          <w:sz w:val="16"/>
        </w:rPr>
        <w:t> </w:t>
      </w:r>
      <w:r>
        <w:rPr>
          <w:sz w:val="16"/>
        </w:rPr>
        <w:t>del</w:t>
      </w:r>
      <w:r>
        <w:rPr>
          <w:spacing w:val="-6"/>
          <w:sz w:val="16"/>
        </w:rPr>
        <w:t> </w:t>
      </w:r>
      <w:r>
        <w:rPr>
          <w:sz w:val="16"/>
        </w:rPr>
        <w:t>Relator</w:t>
      </w:r>
      <w:r>
        <w:rPr>
          <w:spacing w:val="-4"/>
          <w:sz w:val="16"/>
        </w:rPr>
        <w:t> </w:t>
      </w:r>
      <w:r>
        <w:rPr>
          <w:sz w:val="16"/>
        </w:rPr>
        <w:t>Especial</w:t>
      </w:r>
      <w:r>
        <w:rPr>
          <w:spacing w:val="-4"/>
          <w:sz w:val="16"/>
        </w:rPr>
        <w:t> </w:t>
      </w:r>
      <w:r>
        <w:rPr>
          <w:sz w:val="16"/>
        </w:rPr>
        <w:t>sobre</w:t>
      </w:r>
      <w:r>
        <w:rPr>
          <w:spacing w:val="-5"/>
          <w:sz w:val="16"/>
        </w:rPr>
        <w:t> </w:t>
      </w:r>
      <w:r>
        <w:rPr>
          <w:sz w:val="16"/>
        </w:rPr>
        <w:t>los</w:t>
      </w:r>
      <w:r>
        <w:rPr>
          <w:spacing w:val="-4"/>
          <w:sz w:val="16"/>
        </w:rPr>
        <w:t> </w:t>
      </w:r>
      <w:r>
        <w:rPr>
          <w:sz w:val="16"/>
        </w:rPr>
        <w:t>derechos</w:t>
      </w:r>
      <w:r>
        <w:rPr>
          <w:spacing w:val="-5"/>
          <w:sz w:val="16"/>
        </w:rPr>
        <w:t> </w:t>
      </w:r>
      <w:r>
        <w:rPr>
          <w:sz w:val="16"/>
        </w:rPr>
        <w:t>de los pueblos indígenas, James Anaya. </w:t>
      </w:r>
      <w:r>
        <w:rPr>
          <w:i/>
          <w:sz w:val="16"/>
        </w:rPr>
        <w:t>La situación de los pueblos indígenas en Argentina</w:t>
      </w:r>
      <w:r>
        <w:rPr>
          <w:sz w:val="16"/>
        </w:rPr>
        <w:t>. 4 de julio de 2012. Doc. A/HRC/21/47/Add.2, párr.</w:t>
      </w:r>
      <w:r>
        <w:rPr>
          <w:spacing w:val="-9"/>
          <w:sz w:val="16"/>
        </w:rPr>
        <w:t> </w:t>
      </w:r>
      <w:r>
        <w:rPr>
          <w:sz w:val="16"/>
        </w:rPr>
        <w:t>111).</w:t>
      </w:r>
    </w:p>
    <w:p>
      <w:pPr>
        <w:pStyle w:val="BodyText"/>
      </w:pPr>
    </w:p>
    <w:p>
      <w:pPr>
        <w:tabs>
          <w:tab w:pos="826" w:val="left" w:leader="none"/>
        </w:tabs>
        <w:spacing w:line="244" w:lineRule="auto" w:before="0"/>
        <w:ind w:left="118" w:right="310" w:firstLine="0"/>
        <w:jc w:val="both"/>
        <w:rPr>
          <w:sz w:val="16"/>
        </w:rPr>
      </w:pPr>
      <w:r>
        <w:rPr>
          <w:position w:val="7"/>
          <w:sz w:val="13"/>
        </w:rPr>
        <w:t>34</w:t>
        <w:tab/>
      </w:r>
      <w:r>
        <w:rPr>
          <w:i/>
          <w:sz w:val="16"/>
        </w:rPr>
        <w:t>Cfr. Caso  Comunidades  indígenas  miembros de la asociación Lhaka Honhat  (Nuestra </w:t>
      </w:r>
      <w:r>
        <w:rPr>
          <w:i/>
          <w:spacing w:val="28"/>
          <w:sz w:val="16"/>
        </w:rPr>
        <w:t> </w:t>
      </w:r>
      <w:r>
        <w:rPr>
          <w:i/>
          <w:sz w:val="16"/>
        </w:rPr>
        <w:t>Tierra)</w:t>
      </w:r>
      <w:r>
        <w:rPr>
          <w:i/>
          <w:spacing w:val="33"/>
          <w:sz w:val="16"/>
        </w:rPr>
        <w:t> </w:t>
      </w:r>
      <w:r>
        <w:rPr>
          <w:i/>
          <w:sz w:val="16"/>
        </w:rPr>
        <w:t>Vs.</w:t>
      </w:r>
      <w:r>
        <w:rPr>
          <w:i/>
          <w:w w:val="99"/>
          <w:sz w:val="16"/>
        </w:rPr>
        <w:t> </w:t>
      </w:r>
      <w:r>
        <w:rPr>
          <w:i/>
          <w:sz w:val="16"/>
        </w:rPr>
        <w:t>Argentina. Fondo, Reparaciones y Costas. </w:t>
      </w:r>
      <w:r>
        <w:rPr>
          <w:sz w:val="16"/>
        </w:rPr>
        <w:t>Sentencia de 6 de febrero de 2020. Serie C No. 400, párrs. 261, 269, 277, 278 y 280 a</w:t>
      </w:r>
      <w:r>
        <w:rPr>
          <w:spacing w:val="-10"/>
          <w:sz w:val="16"/>
        </w:rPr>
        <w:t> </w:t>
      </w:r>
      <w:r>
        <w:rPr>
          <w:sz w:val="16"/>
        </w:rPr>
        <w:t>284.</w:t>
      </w:r>
    </w:p>
    <w:p>
      <w:pPr>
        <w:spacing w:after="0" w:line="244" w:lineRule="auto"/>
        <w:jc w:val="both"/>
        <w:rPr>
          <w:sz w:val="16"/>
        </w:rPr>
        <w:sectPr>
          <w:pgSz w:w="12240" w:h="15840"/>
          <w:pgMar w:header="0" w:footer="782" w:top="1500" w:bottom="980" w:left="1300" w:right="1720"/>
        </w:sectPr>
      </w:pPr>
    </w:p>
    <w:p>
      <w:pPr>
        <w:pStyle w:val="BodyText"/>
        <w:spacing w:before="77"/>
        <w:ind w:left="118" w:right="311"/>
        <w:jc w:val="both"/>
      </w:pPr>
      <w:r>
        <w:rPr/>
        <w:t>en el entendido de desconocer la amplia jurisprudencia en la materia. Por el contrario, la Corte IDH perfecciona la forma en la que debe ser entendida este concepto que va más allá del entendimiento tradicional sobre la propiedad privada protegido por el artículo 21 de la Convención Americana.</w:t>
      </w:r>
    </w:p>
    <w:p>
      <w:pPr>
        <w:pStyle w:val="BodyText"/>
        <w:spacing w:before="11"/>
        <w:rPr>
          <w:sz w:val="19"/>
        </w:rPr>
      </w:pPr>
    </w:p>
    <w:p>
      <w:pPr>
        <w:pStyle w:val="ListParagraph"/>
        <w:numPr>
          <w:ilvl w:val="0"/>
          <w:numId w:val="77"/>
        </w:numPr>
        <w:tabs>
          <w:tab w:pos="827" w:val="left" w:leader="none"/>
        </w:tabs>
        <w:spacing w:line="240" w:lineRule="auto" w:before="0" w:after="0"/>
        <w:ind w:left="118" w:right="311" w:firstLine="0"/>
        <w:jc w:val="both"/>
        <w:rPr>
          <w:sz w:val="20"/>
        </w:rPr>
      </w:pPr>
      <w:r>
        <w:rPr>
          <w:sz w:val="20"/>
        </w:rPr>
        <w:t>En consonancia con lo anterior, la Corte Africana de Derechos Humanos, al resolver el caso del pueblo </w:t>
      </w:r>
      <w:r>
        <w:rPr>
          <w:i/>
          <w:sz w:val="20"/>
        </w:rPr>
        <w:t>Ogiek Vs. Kenia </w:t>
      </w:r>
      <w:r>
        <w:rPr>
          <w:sz w:val="20"/>
        </w:rPr>
        <w:t>en el año 2017, analizó por separado lo relativo a la tierra (propiedad) del contenido de otros derechos, como lo fueron el derecho a la cultura y el derecho a disponer los recursos naturales. Sobre el primer derecho indicó que “en su concepción clásica, el derecho a la propiedad generalmente se</w:t>
      </w:r>
      <w:r>
        <w:rPr>
          <w:spacing w:val="-3"/>
          <w:sz w:val="20"/>
        </w:rPr>
        <w:t> </w:t>
      </w:r>
      <w:r>
        <w:rPr>
          <w:sz w:val="20"/>
        </w:rPr>
        <w:t>refiere</w:t>
      </w:r>
      <w:r>
        <w:rPr>
          <w:spacing w:val="-3"/>
          <w:sz w:val="20"/>
        </w:rPr>
        <w:t> </w:t>
      </w:r>
      <w:r>
        <w:rPr>
          <w:sz w:val="20"/>
        </w:rPr>
        <w:t>a</w:t>
      </w:r>
      <w:r>
        <w:rPr>
          <w:spacing w:val="-5"/>
          <w:sz w:val="20"/>
        </w:rPr>
        <w:t> </w:t>
      </w:r>
      <w:r>
        <w:rPr>
          <w:sz w:val="20"/>
        </w:rPr>
        <w:t>tres</w:t>
      </w:r>
      <w:r>
        <w:rPr>
          <w:spacing w:val="-4"/>
          <w:sz w:val="20"/>
        </w:rPr>
        <w:t> </w:t>
      </w:r>
      <w:r>
        <w:rPr>
          <w:sz w:val="20"/>
        </w:rPr>
        <w:t>elementos,</w:t>
      </w:r>
      <w:r>
        <w:rPr>
          <w:spacing w:val="-4"/>
          <w:sz w:val="20"/>
        </w:rPr>
        <w:t> </w:t>
      </w:r>
      <w:r>
        <w:rPr>
          <w:sz w:val="20"/>
        </w:rPr>
        <w:t>a</w:t>
      </w:r>
      <w:r>
        <w:rPr>
          <w:spacing w:val="-4"/>
          <w:sz w:val="20"/>
        </w:rPr>
        <w:t> </w:t>
      </w:r>
      <w:r>
        <w:rPr>
          <w:sz w:val="20"/>
        </w:rPr>
        <w:t>saber:</w:t>
      </w:r>
      <w:r>
        <w:rPr>
          <w:spacing w:val="-3"/>
          <w:sz w:val="20"/>
        </w:rPr>
        <w:t> </w:t>
      </w:r>
      <w:r>
        <w:rPr>
          <w:sz w:val="20"/>
        </w:rPr>
        <w:t>el</w:t>
      </w:r>
      <w:r>
        <w:rPr>
          <w:spacing w:val="-4"/>
          <w:sz w:val="20"/>
        </w:rPr>
        <w:t> </w:t>
      </w:r>
      <w:r>
        <w:rPr>
          <w:sz w:val="20"/>
        </w:rPr>
        <w:t>derecho</w:t>
      </w:r>
      <w:r>
        <w:rPr>
          <w:spacing w:val="-5"/>
          <w:sz w:val="20"/>
        </w:rPr>
        <w:t> </w:t>
      </w:r>
      <w:r>
        <w:rPr>
          <w:sz w:val="20"/>
        </w:rPr>
        <w:t>a</w:t>
      </w:r>
      <w:r>
        <w:rPr>
          <w:spacing w:val="-4"/>
          <w:sz w:val="20"/>
        </w:rPr>
        <w:t> </w:t>
      </w:r>
      <w:r>
        <w:rPr>
          <w:sz w:val="20"/>
        </w:rPr>
        <w:t>usar</w:t>
      </w:r>
      <w:r>
        <w:rPr>
          <w:spacing w:val="-4"/>
          <w:sz w:val="20"/>
        </w:rPr>
        <w:t> </w:t>
      </w:r>
      <w:r>
        <w:rPr>
          <w:sz w:val="20"/>
        </w:rPr>
        <w:t>lo</w:t>
      </w:r>
      <w:r>
        <w:rPr>
          <w:spacing w:val="-4"/>
          <w:sz w:val="20"/>
        </w:rPr>
        <w:t> </w:t>
      </w:r>
      <w:r>
        <w:rPr>
          <w:sz w:val="20"/>
        </w:rPr>
        <w:t>que</w:t>
      </w:r>
      <w:r>
        <w:rPr>
          <w:spacing w:val="-4"/>
          <w:sz w:val="20"/>
        </w:rPr>
        <w:t> </w:t>
      </w:r>
      <w:r>
        <w:rPr>
          <w:sz w:val="20"/>
        </w:rPr>
        <w:t>es</w:t>
      </w:r>
      <w:r>
        <w:rPr>
          <w:spacing w:val="-4"/>
          <w:sz w:val="20"/>
        </w:rPr>
        <w:t> </w:t>
      </w:r>
      <w:r>
        <w:rPr>
          <w:sz w:val="20"/>
        </w:rPr>
        <w:t>el</w:t>
      </w:r>
      <w:r>
        <w:rPr>
          <w:spacing w:val="-4"/>
          <w:sz w:val="20"/>
        </w:rPr>
        <w:t> </w:t>
      </w:r>
      <w:r>
        <w:rPr>
          <w:sz w:val="20"/>
        </w:rPr>
        <w:t>sujeto</w:t>
      </w:r>
      <w:r>
        <w:rPr>
          <w:spacing w:val="-3"/>
          <w:sz w:val="20"/>
        </w:rPr>
        <w:t> </w:t>
      </w:r>
      <w:r>
        <w:rPr>
          <w:sz w:val="20"/>
        </w:rPr>
        <w:t>del</w:t>
      </w:r>
      <w:r>
        <w:rPr>
          <w:spacing w:val="-4"/>
          <w:sz w:val="20"/>
        </w:rPr>
        <w:t> </w:t>
      </w:r>
      <w:r>
        <w:rPr>
          <w:sz w:val="20"/>
        </w:rPr>
        <w:t>derecho</w:t>
      </w:r>
      <w:r>
        <w:rPr>
          <w:position w:val="8"/>
          <w:sz w:val="14"/>
        </w:rPr>
        <w:t>35 </w:t>
      </w:r>
      <w:r>
        <w:rPr>
          <w:sz w:val="20"/>
        </w:rPr>
        <w:t>(usus), el derecho a disfrutar el fruto del mismo (fructus) y el derecho a deshacerse</w:t>
      </w:r>
      <w:r>
        <w:rPr>
          <w:spacing w:val="-40"/>
          <w:sz w:val="20"/>
        </w:rPr>
        <w:t> </w:t>
      </w:r>
      <w:r>
        <w:rPr>
          <w:sz w:val="20"/>
        </w:rPr>
        <w:t>de la cosa, es decir, el derecho a transferirla (abuso)”; por lo tanto “se desprende del [a]rtículo 26 (2) de la Declaración [de Naciones Unidas sobre los Derechos de los Pueblos Indígenas] que los derechos que pueden reconocerse para los pueblos/comunidades indígenas en sus tierras ancestrales son variables y no implican necesariamente el derecho de propiedad en su significado clásico, incluido el derecho</w:t>
      </w:r>
      <w:r>
        <w:rPr>
          <w:spacing w:val="-18"/>
          <w:sz w:val="20"/>
        </w:rPr>
        <w:t> </w:t>
      </w:r>
      <w:r>
        <w:rPr>
          <w:sz w:val="20"/>
        </w:rPr>
        <w:t>a disponer del mismo (abuso). Sin excluir el derecho a la propiedad en el sentido tradicional,</w:t>
      </w:r>
      <w:r>
        <w:rPr>
          <w:spacing w:val="-17"/>
          <w:sz w:val="20"/>
        </w:rPr>
        <w:t> </w:t>
      </w:r>
      <w:r>
        <w:rPr>
          <w:sz w:val="20"/>
        </w:rPr>
        <w:t>esta</w:t>
      </w:r>
      <w:r>
        <w:rPr>
          <w:spacing w:val="-17"/>
          <w:sz w:val="20"/>
        </w:rPr>
        <w:t> </w:t>
      </w:r>
      <w:r>
        <w:rPr>
          <w:sz w:val="20"/>
        </w:rPr>
        <w:t>disposición</w:t>
      </w:r>
      <w:r>
        <w:rPr>
          <w:spacing w:val="-16"/>
          <w:sz w:val="20"/>
        </w:rPr>
        <w:t> </w:t>
      </w:r>
      <w:r>
        <w:rPr>
          <w:sz w:val="20"/>
        </w:rPr>
        <w:t>pone</w:t>
      </w:r>
      <w:r>
        <w:rPr>
          <w:spacing w:val="-16"/>
          <w:sz w:val="20"/>
        </w:rPr>
        <w:t> </w:t>
      </w:r>
      <w:r>
        <w:rPr>
          <w:sz w:val="20"/>
        </w:rPr>
        <w:t>mayor</w:t>
      </w:r>
      <w:r>
        <w:rPr>
          <w:spacing w:val="-17"/>
          <w:sz w:val="20"/>
        </w:rPr>
        <w:t> </w:t>
      </w:r>
      <w:r>
        <w:rPr>
          <w:sz w:val="20"/>
        </w:rPr>
        <w:t>énfasis</w:t>
      </w:r>
      <w:r>
        <w:rPr>
          <w:spacing w:val="-18"/>
          <w:sz w:val="20"/>
        </w:rPr>
        <w:t> </w:t>
      </w:r>
      <w:r>
        <w:rPr>
          <w:sz w:val="20"/>
        </w:rPr>
        <w:t>en</w:t>
      </w:r>
      <w:r>
        <w:rPr>
          <w:spacing w:val="-16"/>
          <w:sz w:val="20"/>
        </w:rPr>
        <w:t> </w:t>
      </w:r>
      <w:r>
        <w:rPr>
          <w:sz w:val="20"/>
        </w:rPr>
        <w:t>los</w:t>
      </w:r>
      <w:r>
        <w:rPr>
          <w:spacing w:val="-18"/>
          <w:sz w:val="20"/>
        </w:rPr>
        <w:t> </w:t>
      </w:r>
      <w:r>
        <w:rPr>
          <w:sz w:val="20"/>
        </w:rPr>
        <w:t>derechos</w:t>
      </w:r>
      <w:r>
        <w:rPr>
          <w:spacing w:val="-16"/>
          <w:sz w:val="20"/>
        </w:rPr>
        <w:t> </w:t>
      </w:r>
      <w:r>
        <w:rPr>
          <w:sz w:val="20"/>
        </w:rPr>
        <w:t>de</w:t>
      </w:r>
      <w:r>
        <w:rPr>
          <w:spacing w:val="-16"/>
          <w:sz w:val="20"/>
        </w:rPr>
        <w:t> </w:t>
      </w:r>
      <w:r>
        <w:rPr>
          <w:sz w:val="20"/>
        </w:rPr>
        <w:t>posesión,</w:t>
      </w:r>
      <w:r>
        <w:rPr>
          <w:spacing w:val="-16"/>
          <w:sz w:val="20"/>
        </w:rPr>
        <w:t> </w:t>
      </w:r>
      <w:r>
        <w:rPr>
          <w:sz w:val="20"/>
        </w:rPr>
        <w:t>ocupación, uso/utilización de la</w:t>
      </w:r>
      <w:r>
        <w:rPr>
          <w:spacing w:val="-5"/>
          <w:sz w:val="20"/>
        </w:rPr>
        <w:t> </w:t>
      </w:r>
      <w:r>
        <w:rPr>
          <w:sz w:val="20"/>
        </w:rPr>
        <w:t>tierra”</w:t>
      </w:r>
      <w:r>
        <w:rPr>
          <w:position w:val="7"/>
          <w:sz w:val="13"/>
        </w:rPr>
        <w:t>36</w:t>
      </w:r>
      <w:r>
        <w:rPr>
          <w:sz w:val="20"/>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Por otro lado, en cuanto al derecho de los pueblos a disfrutar de sus riquezas y recursos</w:t>
      </w:r>
      <w:r>
        <w:rPr>
          <w:spacing w:val="-5"/>
          <w:sz w:val="20"/>
        </w:rPr>
        <w:t> </w:t>
      </w:r>
      <w:r>
        <w:rPr>
          <w:sz w:val="20"/>
        </w:rPr>
        <w:t>naturales,</w:t>
      </w:r>
      <w:r>
        <w:rPr>
          <w:spacing w:val="-4"/>
          <w:sz w:val="20"/>
        </w:rPr>
        <w:t> </w:t>
      </w:r>
      <w:r>
        <w:rPr>
          <w:sz w:val="20"/>
        </w:rPr>
        <w:t>que</w:t>
      </w:r>
      <w:r>
        <w:rPr>
          <w:spacing w:val="-4"/>
          <w:sz w:val="20"/>
        </w:rPr>
        <w:t> </w:t>
      </w:r>
      <w:r>
        <w:rPr>
          <w:sz w:val="20"/>
        </w:rPr>
        <w:t>tiene</w:t>
      </w:r>
      <w:r>
        <w:rPr>
          <w:spacing w:val="-5"/>
          <w:sz w:val="20"/>
        </w:rPr>
        <w:t> </w:t>
      </w:r>
      <w:r>
        <w:rPr>
          <w:sz w:val="20"/>
        </w:rPr>
        <w:t>un</w:t>
      </w:r>
      <w:r>
        <w:rPr>
          <w:spacing w:val="-3"/>
          <w:sz w:val="20"/>
        </w:rPr>
        <w:t> </w:t>
      </w:r>
      <w:r>
        <w:rPr>
          <w:sz w:val="20"/>
        </w:rPr>
        <w:t>reconocimiento</w:t>
      </w:r>
      <w:r>
        <w:rPr>
          <w:spacing w:val="-4"/>
          <w:sz w:val="20"/>
        </w:rPr>
        <w:t> </w:t>
      </w:r>
      <w:r>
        <w:rPr>
          <w:sz w:val="20"/>
        </w:rPr>
        <w:t>autónomo</w:t>
      </w:r>
      <w:r>
        <w:rPr>
          <w:spacing w:val="-5"/>
          <w:sz w:val="20"/>
        </w:rPr>
        <w:t> </w:t>
      </w:r>
      <w:r>
        <w:rPr>
          <w:sz w:val="20"/>
        </w:rPr>
        <w:t>en</w:t>
      </w:r>
      <w:r>
        <w:rPr>
          <w:spacing w:val="-4"/>
          <w:sz w:val="20"/>
        </w:rPr>
        <w:t> </w:t>
      </w:r>
      <w:r>
        <w:rPr>
          <w:sz w:val="20"/>
        </w:rPr>
        <w:t>el</w:t>
      </w:r>
      <w:r>
        <w:rPr>
          <w:spacing w:val="-4"/>
          <w:sz w:val="20"/>
        </w:rPr>
        <w:t> </w:t>
      </w:r>
      <w:r>
        <w:rPr>
          <w:sz w:val="20"/>
        </w:rPr>
        <w:t>artículo</w:t>
      </w:r>
      <w:r>
        <w:rPr>
          <w:spacing w:val="-4"/>
          <w:sz w:val="20"/>
        </w:rPr>
        <w:t> </w:t>
      </w:r>
      <w:r>
        <w:rPr>
          <w:sz w:val="20"/>
        </w:rPr>
        <w:t>21</w:t>
      </w:r>
      <w:r>
        <w:rPr>
          <w:spacing w:val="-4"/>
          <w:sz w:val="20"/>
        </w:rPr>
        <w:t> </w:t>
      </w:r>
      <w:r>
        <w:rPr>
          <w:sz w:val="20"/>
        </w:rPr>
        <w:t>de</w:t>
      </w:r>
      <w:r>
        <w:rPr>
          <w:spacing w:val="-4"/>
          <w:sz w:val="20"/>
        </w:rPr>
        <w:t> </w:t>
      </w:r>
      <w:r>
        <w:rPr>
          <w:sz w:val="20"/>
        </w:rPr>
        <w:t>la</w:t>
      </w:r>
      <w:r>
        <w:rPr>
          <w:spacing w:val="-5"/>
          <w:sz w:val="20"/>
        </w:rPr>
        <w:t> </w:t>
      </w:r>
      <w:r>
        <w:rPr>
          <w:sz w:val="20"/>
        </w:rPr>
        <w:t>Carta Africana de Derechos Humanos y de los Pueblos, la Corte Africana indicó que “[e]n la medida en que [el Estado] haya violado [la propiedad], el Tribunal sostiene que este último</w:t>
      </w:r>
      <w:r>
        <w:rPr>
          <w:spacing w:val="-19"/>
          <w:sz w:val="20"/>
        </w:rPr>
        <w:t> </w:t>
      </w:r>
      <w:r>
        <w:rPr>
          <w:sz w:val="20"/>
        </w:rPr>
        <w:t>también</w:t>
      </w:r>
      <w:r>
        <w:rPr>
          <w:spacing w:val="-17"/>
          <w:sz w:val="20"/>
        </w:rPr>
        <w:t> </w:t>
      </w:r>
      <w:r>
        <w:rPr>
          <w:sz w:val="20"/>
        </w:rPr>
        <w:t>ha</w:t>
      </w:r>
      <w:r>
        <w:rPr>
          <w:spacing w:val="-18"/>
          <w:sz w:val="20"/>
        </w:rPr>
        <w:t> </w:t>
      </w:r>
      <w:r>
        <w:rPr>
          <w:sz w:val="20"/>
        </w:rPr>
        <w:t>violado</w:t>
      </w:r>
      <w:r>
        <w:rPr>
          <w:spacing w:val="-17"/>
          <w:sz w:val="20"/>
        </w:rPr>
        <w:t> </w:t>
      </w:r>
      <w:r>
        <w:rPr>
          <w:sz w:val="20"/>
        </w:rPr>
        <w:t>el</w:t>
      </w:r>
      <w:r>
        <w:rPr>
          <w:spacing w:val="-18"/>
          <w:sz w:val="20"/>
        </w:rPr>
        <w:t> </w:t>
      </w:r>
      <w:r>
        <w:rPr>
          <w:sz w:val="20"/>
        </w:rPr>
        <w:t>[a]rtículo</w:t>
      </w:r>
      <w:r>
        <w:rPr>
          <w:spacing w:val="-17"/>
          <w:sz w:val="20"/>
        </w:rPr>
        <w:t> </w:t>
      </w:r>
      <w:r>
        <w:rPr>
          <w:sz w:val="20"/>
        </w:rPr>
        <w:t>21</w:t>
      </w:r>
      <w:r>
        <w:rPr>
          <w:spacing w:val="-18"/>
          <w:sz w:val="20"/>
        </w:rPr>
        <w:t> </w:t>
      </w:r>
      <w:r>
        <w:rPr>
          <w:sz w:val="20"/>
        </w:rPr>
        <w:t>de</w:t>
      </w:r>
      <w:r>
        <w:rPr>
          <w:spacing w:val="-17"/>
          <w:sz w:val="20"/>
        </w:rPr>
        <w:t> </w:t>
      </w:r>
      <w:r>
        <w:rPr>
          <w:sz w:val="20"/>
        </w:rPr>
        <w:t>la</w:t>
      </w:r>
      <w:r>
        <w:rPr>
          <w:spacing w:val="-18"/>
          <w:sz w:val="20"/>
        </w:rPr>
        <w:t> </w:t>
      </w:r>
      <w:r>
        <w:rPr>
          <w:sz w:val="20"/>
        </w:rPr>
        <w:t>Carta,</w:t>
      </w:r>
      <w:r>
        <w:rPr>
          <w:spacing w:val="-17"/>
          <w:sz w:val="20"/>
        </w:rPr>
        <w:t> </w:t>
      </w:r>
      <w:r>
        <w:rPr>
          <w:sz w:val="20"/>
        </w:rPr>
        <w:t>ya</w:t>
      </w:r>
      <w:r>
        <w:rPr>
          <w:spacing w:val="-18"/>
          <w:sz w:val="20"/>
        </w:rPr>
        <w:t> </w:t>
      </w:r>
      <w:r>
        <w:rPr>
          <w:sz w:val="20"/>
        </w:rPr>
        <w:t>que</w:t>
      </w:r>
      <w:r>
        <w:rPr>
          <w:spacing w:val="-17"/>
          <w:sz w:val="20"/>
        </w:rPr>
        <w:t> </w:t>
      </w:r>
      <w:r>
        <w:rPr>
          <w:sz w:val="20"/>
        </w:rPr>
        <w:t>los</w:t>
      </w:r>
      <w:r>
        <w:rPr>
          <w:spacing w:val="-17"/>
          <w:sz w:val="20"/>
        </w:rPr>
        <w:t> </w:t>
      </w:r>
      <w:r>
        <w:rPr>
          <w:sz w:val="20"/>
        </w:rPr>
        <w:t>Ogiek</w:t>
      </w:r>
      <w:r>
        <w:rPr>
          <w:spacing w:val="-17"/>
          <w:sz w:val="20"/>
        </w:rPr>
        <w:t> </w:t>
      </w:r>
      <w:r>
        <w:rPr>
          <w:sz w:val="20"/>
        </w:rPr>
        <w:t>han</w:t>
      </w:r>
      <w:r>
        <w:rPr>
          <w:spacing w:val="-17"/>
          <w:sz w:val="20"/>
        </w:rPr>
        <w:t> </w:t>
      </w:r>
      <w:r>
        <w:rPr>
          <w:sz w:val="20"/>
        </w:rPr>
        <w:t>sido</w:t>
      </w:r>
      <w:r>
        <w:rPr>
          <w:spacing w:val="-18"/>
          <w:sz w:val="20"/>
        </w:rPr>
        <w:t> </w:t>
      </w:r>
      <w:r>
        <w:rPr>
          <w:sz w:val="20"/>
        </w:rPr>
        <w:t>privados del</w:t>
      </w:r>
      <w:r>
        <w:rPr>
          <w:spacing w:val="-7"/>
          <w:sz w:val="20"/>
        </w:rPr>
        <w:t> </w:t>
      </w:r>
      <w:r>
        <w:rPr>
          <w:sz w:val="20"/>
        </w:rPr>
        <w:t>derecho</w:t>
      </w:r>
      <w:r>
        <w:rPr>
          <w:spacing w:val="-8"/>
          <w:sz w:val="20"/>
        </w:rPr>
        <w:t> </w:t>
      </w:r>
      <w:r>
        <w:rPr>
          <w:sz w:val="20"/>
        </w:rPr>
        <w:t>a</w:t>
      </w:r>
      <w:r>
        <w:rPr>
          <w:spacing w:val="-7"/>
          <w:sz w:val="20"/>
        </w:rPr>
        <w:t> </w:t>
      </w:r>
      <w:r>
        <w:rPr>
          <w:sz w:val="20"/>
        </w:rPr>
        <w:t>disfrutar</w:t>
      </w:r>
      <w:r>
        <w:rPr>
          <w:spacing w:val="-10"/>
          <w:sz w:val="20"/>
        </w:rPr>
        <w:t> </w:t>
      </w:r>
      <w:r>
        <w:rPr>
          <w:sz w:val="20"/>
        </w:rPr>
        <w:t>y</w:t>
      </w:r>
      <w:r>
        <w:rPr>
          <w:spacing w:val="-7"/>
          <w:sz w:val="20"/>
        </w:rPr>
        <w:t> </w:t>
      </w:r>
      <w:r>
        <w:rPr>
          <w:sz w:val="20"/>
        </w:rPr>
        <w:t>disponer</w:t>
      </w:r>
      <w:r>
        <w:rPr>
          <w:spacing w:val="-7"/>
          <w:sz w:val="20"/>
        </w:rPr>
        <w:t> </w:t>
      </w:r>
      <w:r>
        <w:rPr>
          <w:sz w:val="20"/>
        </w:rPr>
        <w:t>libremente</w:t>
      </w:r>
      <w:r>
        <w:rPr>
          <w:spacing w:val="-7"/>
          <w:sz w:val="20"/>
        </w:rPr>
        <w:t> </w:t>
      </w:r>
      <w:r>
        <w:rPr>
          <w:sz w:val="20"/>
        </w:rPr>
        <w:t>de</w:t>
      </w:r>
      <w:r>
        <w:rPr>
          <w:spacing w:val="-6"/>
          <w:sz w:val="20"/>
        </w:rPr>
        <w:t> </w:t>
      </w:r>
      <w:r>
        <w:rPr>
          <w:sz w:val="20"/>
        </w:rPr>
        <w:t>la</w:t>
      </w:r>
      <w:r>
        <w:rPr>
          <w:spacing w:val="-8"/>
          <w:sz w:val="20"/>
        </w:rPr>
        <w:t> </w:t>
      </w:r>
      <w:r>
        <w:rPr>
          <w:sz w:val="20"/>
        </w:rPr>
        <w:t>abundancia</w:t>
      </w:r>
      <w:r>
        <w:rPr>
          <w:spacing w:val="-7"/>
          <w:sz w:val="20"/>
        </w:rPr>
        <w:t> </w:t>
      </w:r>
      <w:r>
        <w:rPr>
          <w:sz w:val="20"/>
        </w:rPr>
        <w:t>de</w:t>
      </w:r>
      <w:r>
        <w:rPr>
          <w:spacing w:val="-7"/>
          <w:sz w:val="20"/>
        </w:rPr>
        <w:t> </w:t>
      </w:r>
      <w:r>
        <w:rPr>
          <w:sz w:val="20"/>
        </w:rPr>
        <w:t>alimentos</w:t>
      </w:r>
      <w:r>
        <w:rPr>
          <w:spacing w:val="-8"/>
          <w:sz w:val="20"/>
        </w:rPr>
        <w:t> </w:t>
      </w:r>
      <w:r>
        <w:rPr>
          <w:sz w:val="20"/>
        </w:rPr>
        <w:t>producidos por sus tierras ancestrales”. En este entendido, la Corte Africana en lugar subsumir el contenido del derecho a “disfrutar de los recursos naturales” dentro del contenido del derecho a la propiedad, en su Sentencia analiza, entendiendo que tienen un contenido propio, cada uno de los derechos. Ello no niega, tal como enmarca la Sentencia, el vínculo existente entre las</w:t>
      </w:r>
      <w:r>
        <w:rPr>
          <w:spacing w:val="-9"/>
          <w:sz w:val="20"/>
        </w:rPr>
        <w:t> </w:t>
      </w:r>
      <w:r>
        <w:rPr>
          <w:sz w:val="20"/>
        </w:rPr>
        <w:t>violaciones.</w:t>
      </w:r>
    </w:p>
    <w:p>
      <w:pPr>
        <w:pStyle w:val="BodyText"/>
        <w:spacing w:before="11"/>
        <w:rPr>
          <w:sz w:val="19"/>
        </w:rPr>
      </w:pPr>
    </w:p>
    <w:p>
      <w:pPr>
        <w:pStyle w:val="ListParagraph"/>
        <w:numPr>
          <w:ilvl w:val="0"/>
          <w:numId w:val="77"/>
        </w:numPr>
        <w:tabs>
          <w:tab w:pos="827" w:val="left" w:leader="none"/>
        </w:tabs>
        <w:spacing w:line="240" w:lineRule="auto" w:before="0" w:after="0"/>
        <w:ind w:left="118" w:right="310" w:firstLine="0"/>
        <w:jc w:val="both"/>
        <w:rPr>
          <w:sz w:val="20"/>
        </w:rPr>
      </w:pPr>
      <w:r>
        <w:rPr>
          <w:sz w:val="20"/>
        </w:rPr>
        <w:t>En</w:t>
      </w:r>
      <w:r>
        <w:rPr>
          <w:spacing w:val="-7"/>
          <w:sz w:val="20"/>
        </w:rPr>
        <w:t> </w:t>
      </w:r>
      <w:r>
        <w:rPr>
          <w:sz w:val="20"/>
        </w:rPr>
        <w:t>la</w:t>
      </w:r>
      <w:r>
        <w:rPr>
          <w:spacing w:val="-9"/>
          <w:sz w:val="20"/>
        </w:rPr>
        <w:t> </w:t>
      </w:r>
      <w:r>
        <w:rPr>
          <w:sz w:val="20"/>
        </w:rPr>
        <w:t>misma</w:t>
      </w:r>
      <w:r>
        <w:rPr>
          <w:spacing w:val="-10"/>
          <w:sz w:val="20"/>
        </w:rPr>
        <w:t> </w:t>
      </w:r>
      <w:r>
        <w:rPr>
          <w:sz w:val="20"/>
        </w:rPr>
        <w:t>Sentencia</w:t>
      </w:r>
      <w:r>
        <w:rPr>
          <w:spacing w:val="-10"/>
          <w:sz w:val="20"/>
        </w:rPr>
        <w:t> </w:t>
      </w:r>
      <w:r>
        <w:rPr>
          <w:sz w:val="20"/>
        </w:rPr>
        <w:t>del</w:t>
      </w:r>
      <w:r>
        <w:rPr>
          <w:spacing w:val="-7"/>
          <w:sz w:val="20"/>
        </w:rPr>
        <w:t> </w:t>
      </w:r>
      <w:r>
        <w:rPr>
          <w:sz w:val="20"/>
        </w:rPr>
        <w:t>caso</w:t>
      </w:r>
      <w:r>
        <w:rPr>
          <w:spacing w:val="-8"/>
          <w:sz w:val="20"/>
        </w:rPr>
        <w:t> </w:t>
      </w:r>
      <w:r>
        <w:rPr>
          <w:i/>
          <w:sz w:val="20"/>
        </w:rPr>
        <w:t>Ogiek</w:t>
      </w:r>
      <w:r>
        <w:rPr>
          <w:sz w:val="20"/>
        </w:rPr>
        <w:t>,</w:t>
      </w:r>
      <w:r>
        <w:rPr>
          <w:spacing w:val="-8"/>
          <w:sz w:val="20"/>
        </w:rPr>
        <w:t> </w:t>
      </w:r>
      <w:r>
        <w:rPr>
          <w:sz w:val="20"/>
        </w:rPr>
        <w:t>siguiendo</w:t>
      </w:r>
      <w:r>
        <w:rPr>
          <w:spacing w:val="-7"/>
          <w:sz w:val="20"/>
        </w:rPr>
        <w:t> </w:t>
      </w:r>
      <w:r>
        <w:rPr>
          <w:sz w:val="20"/>
        </w:rPr>
        <w:t>esta</w:t>
      </w:r>
      <w:r>
        <w:rPr>
          <w:spacing w:val="-8"/>
          <w:sz w:val="20"/>
        </w:rPr>
        <w:t> </w:t>
      </w:r>
      <w:r>
        <w:rPr>
          <w:sz w:val="20"/>
        </w:rPr>
        <w:t>postura</w:t>
      </w:r>
      <w:r>
        <w:rPr>
          <w:spacing w:val="-8"/>
          <w:sz w:val="20"/>
        </w:rPr>
        <w:t> </w:t>
      </w:r>
      <w:r>
        <w:rPr>
          <w:sz w:val="20"/>
        </w:rPr>
        <w:t>sobre</w:t>
      </w:r>
      <w:r>
        <w:rPr>
          <w:spacing w:val="-9"/>
          <w:sz w:val="20"/>
        </w:rPr>
        <w:t> </w:t>
      </w:r>
      <w:r>
        <w:rPr>
          <w:sz w:val="20"/>
        </w:rPr>
        <w:t>entender</w:t>
      </w:r>
      <w:r>
        <w:rPr>
          <w:spacing w:val="-8"/>
          <w:sz w:val="20"/>
        </w:rPr>
        <w:t> </w:t>
      </w:r>
      <w:r>
        <w:rPr>
          <w:sz w:val="20"/>
        </w:rPr>
        <w:t>de manera autónoma el contenido de cada uno de los derechos, el Tribunal Africano hizo una distinción entre “el derecho a la religión” y el “derecho a la cultura”. Al respecto, dicha</w:t>
      </w:r>
      <w:r>
        <w:rPr>
          <w:spacing w:val="-9"/>
          <w:sz w:val="20"/>
        </w:rPr>
        <w:t> </w:t>
      </w:r>
      <w:r>
        <w:rPr>
          <w:sz w:val="20"/>
        </w:rPr>
        <w:t>Corte</w:t>
      </w:r>
      <w:r>
        <w:rPr>
          <w:spacing w:val="-8"/>
          <w:sz w:val="20"/>
        </w:rPr>
        <w:t> </w:t>
      </w:r>
      <w:r>
        <w:rPr>
          <w:sz w:val="20"/>
        </w:rPr>
        <w:t>Africana</w:t>
      </w:r>
      <w:r>
        <w:rPr>
          <w:spacing w:val="-10"/>
          <w:sz w:val="20"/>
        </w:rPr>
        <w:t> </w:t>
      </w:r>
      <w:r>
        <w:rPr>
          <w:sz w:val="20"/>
        </w:rPr>
        <w:t>indicó</w:t>
      </w:r>
      <w:r>
        <w:rPr>
          <w:spacing w:val="-9"/>
          <w:sz w:val="20"/>
        </w:rPr>
        <w:t> </w:t>
      </w:r>
      <w:r>
        <w:rPr>
          <w:sz w:val="20"/>
        </w:rPr>
        <w:t>que</w:t>
      </w:r>
      <w:r>
        <w:rPr>
          <w:spacing w:val="54"/>
          <w:sz w:val="20"/>
        </w:rPr>
        <w:t> </w:t>
      </w:r>
      <w:r>
        <w:rPr>
          <w:sz w:val="20"/>
        </w:rPr>
        <w:t>“[e]l</w:t>
      </w:r>
      <w:r>
        <w:rPr>
          <w:spacing w:val="-8"/>
          <w:sz w:val="20"/>
        </w:rPr>
        <w:t> </w:t>
      </w:r>
      <w:r>
        <w:rPr>
          <w:sz w:val="20"/>
        </w:rPr>
        <w:t>derecho</w:t>
      </w:r>
      <w:r>
        <w:rPr>
          <w:spacing w:val="-9"/>
          <w:sz w:val="20"/>
        </w:rPr>
        <w:t> </w:t>
      </w:r>
      <w:r>
        <w:rPr>
          <w:sz w:val="20"/>
        </w:rPr>
        <w:t>a</w:t>
      </w:r>
      <w:r>
        <w:rPr>
          <w:spacing w:val="-10"/>
          <w:sz w:val="20"/>
        </w:rPr>
        <w:t> </w:t>
      </w:r>
      <w:r>
        <w:rPr>
          <w:sz w:val="20"/>
        </w:rPr>
        <w:t>la</w:t>
      </w:r>
      <w:r>
        <w:rPr>
          <w:spacing w:val="-9"/>
          <w:sz w:val="20"/>
        </w:rPr>
        <w:t> </w:t>
      </w:r>
      <w:r>
        <w:rPr>
          <w:sz w:val="20"/>
        </w:rPr>
        <w:t>libertad</w:t>
      </w:r>
      <w:r>
        <w:rPr>
          <w:spacing w:val="-10"/>
          <w:sz w:val="20"/>
        </w:rPr>
        <w:t> </w:t>
      </w:r>
      <w:r>
        <w:rPr>
          <w:sz w:val="20"/>
        </w:rPr>
        <w:t>de</w:t>
      </w:r>
      <w:r>
        <w:rPr>
          <w:spacing w:val="-8"/>
          <w:sz w:val="20"/>
        </w:rPr>
        <w:t> </w:t>
      </w:r>
      <w:r>
        <w:rPr>
          <w:sz w:val="20"/>
        </w:rPr>
        <w:t>culto</w:t>
      </w:r>
      <w:r>
        <w:rPr>
          <w:spacing w:val="-8"/>
          <w:sz w:val="20"/>
        </w:rPr>
        <w:t> </w:t>
      </w:r>
      <w:r>
        <w:rPr>
          <w:sz w:val="20"/>
        </w:rPr>
        <w:t>[o</w:t>
      </w:r>
      <w:r>
        <w:rPr>
          <w:spacing w:val="-10"/>
          <w:sz w:val="20"/>
        </w:rPr>
        <w:t> </w:t>
      </w:r>
      <w:r>
        <w:rPr>
          <w:sz w:val="20"/>
        </w:rPr>
        <w:t>en</w:t>
      </w:r>
      <w:r>
        <w:rPr>
          <w:spacing w:val="-8"/>
          <w:sz w:val="20"/>
        </w:rPr>
        <w:t> </w:t>
      </w:r>
      <w:r>
        <w:rPr>
          <w:sz w:val="20"/>
        </w:rPr>
        <w:t>otras</w:t>
      </w:r>
      <w:r>
        <w:rPr>
          <w:spacing w:val="-8"/>
          <w:sz w:val="20"/>
        </w:rPr>
        <w:t> </w:t>
      </w:r>
      <w:r>
        <w:rPr>
          <w:sz w:val="20"/>
        </w:rPr>
        <w:t>palabras, el derecho a la religión] ofrece protección a todas las formas de creencias, independientemente de las denominaciones: creencias teístas, no teístas y ateas, así como el derecho a no profesar ninguna religión o creencia”; sin embargo, precisó que “[l]a Corte nota que, en el contexto de las sociedades tradicionales, donde a menudo no existen instituciones religiosas formales, la práctica y la profesión de la religión generalmente están inextricablemente vinculadas con la tierra y el medio ambiente”. Indicó,</w:t>
      </w:r>
      <w:r>
        <w:rPr>
          <w:spacing w:val="-6"/>
          <w:sz w:val="20"/>
        </w:rPr>
        <w:t> </w:t>
      </w:r>
      <w:r>
        <w:rPr>
          <w:sz w:val="20"/>
        </w:rPr>
        <w:t>además</w:t>
      </w:r>
      <w:r>
        <w:rPr>
          <w:spacing w:val="-5"/>
          <w:sz w:val="20"/>
        </w:rPr>
        <w:t> </w:t>
      </w:r>
      <w:r>
        <w:rPr>
          <w:sz w:val="20"/>
        </w:rPr>
        <w:t>que</w:t>
      </w:r>
      <w:r>
        <w:rPr>
          <w:spacing w:val="-5"/>
          <w:sz w:val="20"/>
        </w:rPr>
        <w:t> </w:t>
      </w:r>
      <w:r>
        <w:rPr>
          <w:sz w:val="20"/>
        </w:rPr>
        <w:t>“[e]n</w:t>
      </w:r>
      <w:r>
        <w:rPr>
          <w:spacing w:val="-5"/>
          <w:sz w:val="20"/>
        </w:rPr>
        <w:t> </w:t>
      </w:r>
      <w:r>
        <w:rPr>
          <w:sz w:val="20"/>
        </w:rPr>
        <w:t>las</w:t>
      </w:r>
      <w:r>
        <w:rPr>
          <w:spacing w:val="-5"/>
          <w:sz w:val="20"/>
        </w:rPr>
        <w:t> </w:t>
      </w:r>
      <w:r>
        <w:rPr>
          <w:sz w:val="20"/>
        </w:rPr>
        <w:t>sociedades</w:t>
      </w:r>
      <w:r>
        <w:rPr>
          <w:spacing w:val="-6"/>
          <w:sz w:val="20"/>
        </w:rPr>
        <w:t> </w:t>
      </w:r>
      <w:r>
        <w:rPr>
          <w:sz w:val="20"/>
        </w:rPr>
        <w:t>indígenas</w:t>
      </w:r>
      <w:r>
        <w:rPr>
          <w:spacing w:val="-6"/>
          <w:sz w:val="20"/>
        </w:rPr>
        <w:t> </w:t>
      </w:r>
      <w:r>
        <w:rPr>
          <w:sz w:val="20"/>
        </w:rPr>
        <w:t>en</w:t>
      </w:r>
      <w:r>
        <w:rPr>
          <w:spacing w:val="-5"/>
          <w:sz w:val="20"/>
        </w:rPr>
        <w:t> </w:t>
      </w:r>
      <w:r>
        <w:rPr>
          <w:sz w:val="20"/>
        </w:rPr>
        <w:t>particular,</w:t>
      </w:r>
      <w:r>
        <w:rPr>
          <w:spacing w:val="-4"/>
          <w:sz w:val="20"/>
        </w:rPr>
        <w:t> </w:t>
      </w:r>
      <w:r>
        <w:rPr>
          <w:sz w:val="20"/>
        </w:rPr>
        <w:t>la</w:t>
      </w:r>
      <w:r>
        <w:rPr>
          <w:spacing w:val="-6"/>
          <w:sz w:val="20"/>
        </w:rPr>
        <w:t> </w:t>
      </w:r>
      <w:r>
        <w:rPr>
          <w:sz w:val="20"/>
        </w:rPr>
        <w:t>libertad</w:t>
      </w:r>
      <w:r>
        <w:rPr>
          <w:spacing w:val="-4"/>
          <w:sz w:val="20"/>
        </w:rPr>
        <w:t> </w:t>
      </w:r>
      <w:r>
        <w:rPr>
          <w:sz w:val="20"/>
        </w:rPr>
        <w:t>de</w:t>
      </w:r>
      <w:r>
        <w:rPr>
          <w:spacing w:val="-5"/>
          <w:sz w:val="20"/>
        </w:rPr>
        <w:t> </w:t>
      </w:r>
      <w:r>
        <w:rPr>
          <w:sz w:val="20"/>
        </w:rPr>
        <w:t>adorar</w:t>
      </w:r>
      <w:r>
        <w:rPr>
          <w:spacing w:val="-5"/>
          <w:sz w:val="20"/>
        </w:rPr>
        <w:t> </w:t>
      </w:r>
      <w:r>
        <w:rPr>
          <w:sz w:val="20"/>
        </w:rPr>
        <w:t>y participar en ceremonias religiosas depende del acceso a la tierra y al medio ambiente natural.</w:t>
      </w:r>
      <w:r>
        <w:rPr>
          <w:spacing w:val="-10"/>
          <w:sz w:val="20"/>
        </w:rPr>
        <w:t> </w:t>
      </w:r>
      <w:r>
        <w:rPr>
          <w:sz w:val="20"/>
        </w:rPr>
        <w:t>Cualquier</w:t>
      </w:r>
      <w:r>
        <w:rPr>
          <w:spacing w:val="-12"/>
          <w:sz w:val="20"/>
        </w:rPr>
        <w:t> </w:t>
      </w:r>
      <w:r>
        <w:rPr>
          <w:sz w:val="20"/>
        </w:rPr>
        <w:t>impedimento</w:t>
      </w:r>
      <w:r>
        <w:rPr>
          <w:spacing w:val="-10"/>
          <w:sz w:val="20"/>
        </w:rPr>
        <w:t> </w:t>
      </w:r>
      <w:r>
        <w:rPr>
          <w:sz w:val="20"/>
        </w:rPr>
        <w:t>o</w:t>
      </w:r>
      <w:r>
        <w:rPr>
          <w:spacing w:val="-12"/>
          <w:sz w:val="20"/>
        </w:rPr>
        <w:t> </w:t>
      </w:r>
      <w:r>
        <w:rPr>
          <w:sz w:val="20"/>
        </w:rPr>
        <w:t>interferencia</w:t>
      </w:r>
      <w:r>
        <w:rPr>
          <w:spacing w:val="-10"/>
          <w:sz w:val="20"/>
        </w:rPr>
        <w:t> </w:t>
      </w:r>
      <w:r>
        <w:rPr>
          <w:sz w:val="20"/>
        </w:rPr>
        <w:t>para</w:t>
      </w:r>
      <w:r>
        <w:rPr>
          <w:spacing w:val="-10"/>
          <w:sz w:val="20"/>
        </w:rPr>
        <w:t> </w:t>
      </w:r>
      <w:r>
        <w:rPr>
          <w:sz w:val="20"/>
        </w:rPr>
        <w:t>acceder</w:t>
      </w:r>
      <w:r>
        <w:rPr>
          <w:spacing w:val="-10"/>
          <w:sz w:val="20"/>
        </w:rPr>
        <w:t> </w:t>
      </w:r>
      <w:r>
        <w:rPr>
          <w:sz w:val="20"/>
        </w:rPr>
        <w:t>al</w:t>
      </w:r>
      <w:r>
        <w:rPr>
          <w:spacing w:val="-11"/>
          <w:sz w:val="20"/>
        </w:rPr>
        <w:t> </w:t>
      </w:r>
      <w:r>
        <w:rPr>
          <w:sz w:val="20"/>
        </w:rPr>
        <w:t>medio</w:t>
      </w:r>
      <w:r>
        <w:rPr>
          <w:spacing w:val="-10"/>
          <w:sz w:val="20"/>
        </w:rPr>
        <w:t> </w:t>
      </w:r>
      <w:r>
        <w:rPr>
          <w:sz w:val="20"/>
        </w:rPr>
        <w:t>ambiente</w:t>
      </w:r>
      <w:r>
        <w:rPr>
          <w:spacing w:val="-11"/>
          <w:sz w:val="20"/>
        </w:rPr>
        <w:t> </w:t>
      </w:r>
      <w:r>
        <w:rPr>
          <w:sz w:val="20"/>
        </w:rPr>
        <w:t>natural, incluida la tierra, restringe severamente su capacidad para realizar o participar en rituales</w:t>
      </w:r>
      <w:r>
        <w:rPr>
          <w:spacing w:val="34"/>
          <w:sz w:val="20"/>
        </w:rPr>
        <w:t> </w:t>
      </w:r>
      <w:r>
        <w:rPr>
          <w:sz w:val="20"/>
        </w:rPr>
        <w:t>religiosos</w:t>
      </w:r>
      <w:r>
        <w:rPr>
          <w:spacing w:val="34"/>
          <w:sz w:val="20"/>
        </w:rPr>
        <w:t> </w:t>
      </w:r>
      <w:r>
        <w:rPr>
          <w:sz w:val="20"/>
        </w:rPr>
        <w:t>con</w:t>
      </w:r>
      <w:r>
        <w:rPr>
          <w:spacing w:val="32"/>
          <w:sz w:val="20"/>
        </w:rPr>
        <w:t> </w:t>
      </w:r>
      <w:r>
        <w:rPr>
          <w:sz w:val="20"/>
        </w:rPr>
        <w:t>una</w:t>
      </w:r>
      <w:r>
        <w:rPr>
          <w:spacing w:val="33"/>
          <w:sz w:val="20"/>
        </w:rPr>
        <w:t> </w:t>
      </w:r>
      <w:r>
        <w:rPr>
          <w:sz w:val="20"/>
        </w:rPr>
        <w:t>considerable</w:t>
      </w:r>
      <w:r>
        <w:rPr>
          <w:spacing w:val="34"/>
          <w:sz w:val="20"/>
        </w:rPr>
        <w:t> </w:t>
      </w:r>
      <w:r>
        <w:rPr>
          <w:sz w:val="20"/>
        </w:rPr>
        <w:t>repercusión</w:t>
      </w:r>
      <w:r>
        <w:rPr>
          <w:spacing w:val="33"/>
          <w:sz w:val="20"/>
        </w:rPr>
        <w:t> </w:t>
      </w:r>
      <w:r>
        <w:rPr>
          <w:sz w:val="20"/>
        </w:rPr>
        <w:t>en</w:t>
      </w:r>
      <w:r>
        <w:rPr>
          <w:spacing w:val="33"/>
          <w:sz w:val="20"/>
        </w:rPr>
        <w:t> </w:t>
      </w:r>
      <w:r>
        <w:rPr>
          <w:sz w:val="20"/>
        </w:rPr>
        <w:t>el</w:t>
      </w:r>
      <w:r>
        <w:rPr>
          <w:spacing w:val="34"/>
          <w:sz w:val="20"/>
        </w:rPr>
        <w:t> </w:t>
      </w:r>
      <w:r>
        <w:rPr>
          <w:sz w:val="20"/>
        </w:rPr>
        <w:t>disfrute</w:t>
      </w:r>
      <w:r>
        <w:rPr>
          <w:spacing w:val="33"/>
          <w:sz w:val="20"/>
        </w:rPr>
        <w:t> </w:t>
      </w:r>
      <w:r>
        <w:rPr>
          <w:sz w:val="20"/>
        </w:rPr>
        <w:t>de</w:t>
      </w:r>
      <w:r>
        <w:rPr>
          <w:spacing w:val="34"/>
          <w:sz w:val="20"/>
        </w:rPr>
        <w:t> </w:t>
      </w:r>
      <w:r>
        <w:rPr>
          <w:sz w:val="20"/>
        </w:rPr>
        <w:t>su</w:t>
      </w:r>
      <w:r>
        <w:rPr>
          <w:spacing w:val="34"/>
          <w:sz w:val="20"/>
        </w:rPr>
        <w:t> </w:t>
      </w:r>
      <w:r>
        <w:rPr>
          <w:sz w:val="20"/>
        </w:rPr>
        <w:t>libertad</w:t>
      </w:r>
      <w:r>
        <w:rPr>
          <w:spacing w:val="33"/>
          <w:sz w:val="20"/>
        </w:rPr>
        <w:t> </w:t>
      </w:r>
      <w:r>
        <w:rPr>
          <w:sz w:val="20"/>
        </w:rPr>
        <w:t>de</w:t>
      </w:r>
    </w:p>
    <w:p>
      <w:pPr>
        <w:pStyle w:val="BodyText"/>
        <w:spacing w:before="6"/>
        <w:rPr>
          <w:sz w:val="11"/>
        </w:rPr>
      </w:pPr>
      <w:r>
        <w:rPr/>
        <w:pict>
          <v:line style="position:absolute;mso-position-horizontal-relative:page;mso-position-vertical-relative:paragraph;z-index:4936;mso-wrap-distance-left:0;mso-wrap-distance-right:0" from="70.919998pt,9.265627pt" to="214.939998pt,9.265627pt" stroked="true" strokeweight=".60004pt" strokecolor="#000000">
            <v:stroke dashstyle="solid"/>
            <w10:wrap type="topAndBottom"/>
          </v:line>
        </w:pict>
      </w:r>
    </w:p>
    <w:p>
      <w:pPr>
        <w:tabs>
          <w:tab w:pos="826" w:val="left" w:leader="none"/>
        </w:tabs>
        <w:spacing w:before="73"/>
        <w:ind w:left="118" w:right="312" w:firstLine="0"/>
        <w:jc w:val="left"/>
        <w:rPr>
          <w:sz w:val="16"/>
        </w:rPr>
      </w:pPr>
      <w:r>
        <w:rPr>
          <w:position w:val="6"/>
          <w:sz w:val="10"/>
        </w:rPr>
        <w:t>35</w:t>
        <w:tab/>
      </w:r>
      <w:r>
        <w:rPr>
          <w:i/>
          <w:sz w:val="16"/>
        </w:rPr>
        <w:t>ACoHPR,</w:t>
      </w:r>
      <w:r>
        <w:rPr>
          <w:i/>
          <w:spacing w:val="24"/>
          <w:sz w:val="16"/>
        </w:rPr>
        <w:t> </w:t>
      </w:r>
      <w:r>
        <w:rPr>
          <w:i/>
          <w:sz w:val="16"/>
        </w:rPr>
        <w:t>African</w:t>
      </w:r>
      <w:r>
        <w:rPr>
          <w:i/>
          <w:spacing w:val="24"/>
          <w:sz w:val="16"/>
        </w:rPr>
        <w:t> </w:t>
      </w:r>
      <w:r>
        <w:rPr>
          <w:i/>
          <w:sz w:val="16"/>
        </w:rPr>
        <w:t>Commission</w:t>
      </w:r>
      <w:r>
        <w:rPr>
          <w:i/>
          <w:spacing w:val="24"/>
          <w:sz w:val="16"/>
        </w:rPr>
        <w:t> </w:t>
      </w:r>
      <w:r>
        <w:rPr>
          <w:i/>
          <w:sz w:val="16"/>
        </w:rPr>
        <w:t>on</w:t>
      </w:r>
      <w:r>
        <w:rPr>
          <w:i/>
          <w:spacing w:val="24"/>
          <w:sz w:val="16"/>
        </w:rPr>
        <w:t> </w:t>
      </w:r>
      <w:r>
        <w:rPr>
          <w:i/>
          <w:sz w:val="16"/>
        </w:rPr>
        <w:t>Human</w:t>
      </w:r>
      <w:r>
        <w:rPr>
          <w:i/>
          <w:spacing w:val="24"/>
          <w:sz w:val="16"/>
        </w:rPr>
        <w:t> </w:t>
      </w:r>
      <w:r>
        <w:rPr>
          <w:i/>
          <w:sz w:val="16"/>
        </w:rPr>
        <w:t>and</w:t>
      </w:r>
      <w:r>
        <w:rPr>
          <w:i/>
          <w:spacing w:val="24"/>
          <w:sz w:val="16"/>
        </w:rPr>
        <w:t> </w:t>
      </w:r>
      <w:r>
        <w:rPr>
          <w:i/>
          <w:sz w:val="16"/>
        </w:rPr>
        <w:t>People´s</w:t>
      </w:r>
      <w:r>
        <w:rPr>
          <w:i/>
          <w:spacing w:val="24"/>
          <w:sz w:val="16"/>
        </w:rPr>
        <w:t> </w:t>
      </w:r>
      <w:r>
        <w:rPr>
          <w:i/>
          <w:sz w:val="16"/>
        </w:rPr>
        <w:t>Rights</w:t>
      </w:r>
      <w:r>
        <w:rPr>
          <w:i/>
          <w:spacing w:val="23"/>
          <w:sz w:val="16"/>
        </w:rPr>
        <w:t> </w:t>
      </w:r>
      <w:r>
        <w:rPr>
          <w:i/>
          <w:sz w:val="16"/>
        </w:rPr>
        <w:t>(Ogiek)</w:t>
      </w:r>
      <w:r>
        <w:rPr>
          <w:i/>
          <w:spacing w:val="25"/>
          <w:sz w:val="16"/>
        </w:rPr>
        <w:t> </w:t>
      </w:r>
      <w:r>
        <w:rPr>
          <w:i/>
          <w:sz w:val="16"/>
        </w:rPr>
        <w:t>Vs.</w:t>
      </w:r>
      <w:r>
        <w:rPr>
          <w:i/>
          <w:spacing w:val="23"/>
          <w:sz w:val="16"/>
        </w:rPr>
        <w:t> </w:t>
      </w:r>
      <w:r>
        <w:rPr>
          <w:i/>
          <w:sz w:val="16"/>
        </w:rPr>
        <w:t>Kenya</w:t>
      </w:r>
      <w:r>
        <w:rPr>
          <w:sz w:val="16"/>
        </w:rPr>
        <w:t>,</w:t>
      </w:r>
      <w:r>
        <w:rPr>
          <w:spacing w:val="25"/>
          <w:sz w:val="16"/>
        </w:rPr>
        <w:t> </w:t>
      </w:r>
      <w:r>
        <w:rPr>
          <w:sz w:val="16"/>
        </w:rPr>
        <w:t>Application</w:t>
      </w:r>
      <w:r>
        <w:rPr>
          <w:spacing w:val="24"/>
          <w:sz w:val="16"/>
        </w:rPr>
        <w:t> </w:t>
      </w:r>
      <w:r>
        <w:rPr>
          <w:sz w:val="16"/>
        </w:rPr>
        <w:t>No.</w:t>
      </w:r>
      <w:r>
        <w:rPr>
          <w:w w:val="99"/>
          <w:sz w:val="16"/>
        </w:rPr>
        <w:t> </w:t>
      </w:r>
      <w:r>
        <w:rPr>
          <w:sz w:val="16"/>
        </w:rPr>
        <w:t>006/2012, Sentencia de 26 de mayo de 2017, párr.</w:t>
      </w:r>
      <w:r>
        <w:rPr>
          <w:spacing w:val="-14"/>
          <w:sz w:val="16"/>
        </w:rPr>
        <w:t> </w:t>
      </w:r>
      <w:r>
        <w:rPr>
          <w:sz w:val="16"/>
        </w:rPr>
        <w:t>124</w:t>
      </w:r>
    </w:p>
    <w:p>
      <w:pPr>
        <w:tabs>
          <w:tab w:pos="826" w:val="left" w:leader="none"/>
        </w:tabs>
        <w:spacing w:before="120"/>
        <w:ind w:left="118" w:right="312" w:firstLine="0"/>
        <w:jc w:val="left"/>
        <w:rPr>
          <w:sz w:val="16"/>
        </w:rPr>
      </w:pPr>
      <w:r>
        <w:rPr>
          <w:position w:val="6"/>
          <w:sz w:val="10"/>
        </w:rPr>
        <w:t>36</w:t>
        <w:tab/>
      </w:r>
      <w:r>
        <w:rPr>
          <w:i/>
          <w:sz w:val="16"/>
        </w:rPr>
        <w:t>ACoHPR,</w:t>
      </w:r>
      <w:r>
        <w:rPr>
          <w:i/>
          <w:spacing w:val="24"/>
          <w:sz w:val="16"/>
        </w:rPr>
        <w:t> </w:t>
      </w:r>
      <w:r>
        <w:rPr>
          <w:i/>
          <w:sz w:val="16"/>
        </w:rPr>
        <w:t>African</w:t>
      </w:r>
      <w:r>
        <w:rPr>
          <w:i/>
          <w:spacing w:val="24"/>
          <w:sz w:val="16"/>
        </w:rPr>
        <w:t> </w:t>
      </w:r>
      <w:r>
        <w:rPr>
          <w:i/>
          <w:sz w:val="16"/>
        </w:rPr>
        <w:t>Commission</w:t>
      </w:r>
      <w:r>
        <w:rPr>
          <w:i/>
          <w:spacing w:val="24"/>
          <w:sz w:val="16"/>
        </w:rPr>
        <w:t> </w:t>
      </w:r>
      <w:r>
        <w:rPr>
          <w:i/>
          <w:sz w:val="16"/>
        </w:rPr>
        <w:t>on</w:t>
      </w:r>
      <w:r>
        <w:rPr>
          <w:i/>
          <w:spacing w:val="24"/>
          <w:sz w:val="16"/>
        </w:rPr>
        <w:t> </w:t>
      </w:r>
      <w:r>
        <w:rPr>
          <w:i/>
          <w:sz w:val="16"/>
        </w:rPr>
        <w:t>Human</w:t>
      </w:r>
      <w:r>
        <w:rPr>
          <w:i/>
          <w:spacing w:val="24"/>
          <w:sz w:val="16"/>
        </w:rPr>
        <w:t> </w:t>
      </w:r>
      <w:r>
        <w:rPr>
          <w:i/>
          <w:sz w:val="16"/>
        </w:rPr>
        <w:t>and</w:t>
      </w:r>
      <w:r>
        <w:rPr>
          <w:i/>
          <w:spacing w:val="24"/>
          <w:sz w:val="16"/>
        </w:rPr>
        <w:t> </w:t>
      </w:r>
      <w:r>
        <w:rPr>
          <w:i/>
          <w:sz w:val="16"/>
        </w:rPr>
        <w:t>People´s</w:t>
      </w:r>
      <w:r>
        <w:rPr>
          <w:i/>
          <w:spacing w:val="24"/>
          <w:sz w:val="16"/>
        </w:rPr>
        <w:t> </w:t>
      </w:r>
      <w:r>
        <w:rPr>
          <w:i/>
          <w:sz w:val="16"/>
        </w:rPr>
        <w:t>Rights</w:t>
      </w:r>
      <w:r>
        <w:rPr>
          <w:i/>
          <w:spacing w:val="23"/>
          <w:sz w:val="16"/>
        </w:rPr>
        <w:t> </w:t>
      </w:r>
      <w:r>
        <w:rPr>
          <w:i/>
          <w:sz w:val="16"/>
        </w:rPr>
        <w:t>(Ogiek)</w:t>
      </w:r>
      <w:r>
        <w:rPr>
          <w:i/>
          <w:spacing w:val="25"/>
          <w:sz w:val="16"/>
        </w:rPr>
        <w:t> </w:t>
      </w:r>
      <w:r>
        <w:rPr>
          <w:i/>
          <w:sz w:val="16"/>
        </w:rPr>
        <w:t>Vs.</w:t>
      </w:r>
      <w:r>
        <w:rPr>
          <w:i/>
          <w:spacing w:val="23"/>
          <w:sz w:val="16"/>
        </w:rPr>
        <w:t> </w:t>
      </w:r>
      <w:r>
        <w:rPr>
          <w:i/>
          <w:sz w:val="16"/>
        </w:rPr>
        <w:t>Kenya</w:t>
      </w:r>
      <w:r>
        <w:rPr>
          <w:sz w:val="16"/>
        </w:rPr>
        <w:t>,</w:t>
      </w:r>
      <w:r>
        <w:rPr>
          <w:spacing w:val="25"/>
          <w:sz w:val="16"/>
        </w:rPr>
        <w:t> </w:t>
      </w:r>
      <w:r>
        <w:rPr>
          <w:sz w:val="16"/>
        </w:rPr>
        <w:t>Application</w:t>
      </w:r>
      <w:r>
        <w:rPr>
          <w:spacing w:val="24"/>
          <w:sz w:val="16"/>
        </w:rPr>
        <w:t> </w:t>
      </w:r>
      <w:r>
        <w:rPr>
          <w:sz w:val="16"/>
        </w:rPr>
        <w:t>No.</w:t>
      </w:r>
      <w:r>
        <w:rPr>
          <w:w w:val="99"/>
          <w:sz w:val="16"/>
        </w:rPr>
        <w:t> </w:t>
      </w:r>
      <w:r>
        <w:rPr>
          <w:sz w:val="16"/>
        </w:rPr>
        <w:t>006/2012, Sentencia de 26 de mayo de 2017, párr.</w:t>
      </w:r>
      <w:r>
        <w:rPr>
          <w:spacing w:val="-14"/>
          <w:sz w:val="16"/>
        </w:rPr>
        <w:t> </w:t>
      </w:r>
      <w:r>
        <w:rPr>
          <w:sz w:val="16"/>
        </w:rPr>
        <w:t>127.</w:t>
      </w:r>
    </w:p>
    <w:p>
      <w:pPr>
        <w:spacing w:after="0"/>
        <w:jc w:val="left"/>
        <w:rPr>
          <w:sz w:val="16"/>
        </w:rPr>
        <w:sectPr>
          <w:pgSz w:w="12240" w:h="15840"/>
          <w:pgMar w:header="0" w:footer="782" w:top="1340" w:bottom="980" w:left="1300" w:right="1720"/>
        </w:sectPr>
      </w:pPr>
    </w:p>
    <w:p>
      <w:pPr>
        <w:pStyle w:val="BodyText"/>
        <w:spacing w:before="77"/>
        <w:ind w:left="118"/>
        <w:jc w:val="both"/>
      </w:pPr>
      <w:r>
        <w:rPr/>
        <w:t>culto”. De lo anterior la Corte Africana concluyó que en el caso se violaba el artículo  8</w:t>
      </w:r>
    </w:p>
    <w:p>
      <w:pPr>
        <w:pStyle w:val="BodyText"/>
        <w:ind w:left="118"/>
        <w:jc w:val="both"/>
      </w:pPr>
      <w:r>
        <w:rPr/>
        <w:t>de la Carta Africana, sobre el derecho a la libertad de culto</w:t>
      </w:r>
      <w:r>
        <w:rPr>
          <w:position w:val="7"/>
          <w:sz w:val="13"/>
        </w:rPr>
        <w:t>37</w:t>
      </w:r>
      <w:r>
        <w:rPr/>
        <w:t>.</w:t>
      </w:r>
    </w:p>
    <w:p>
      <w:pPr>
        <w:pStyle w:val="BodyText"/>
      </w:pPr>
    </w:p>
    <w:p>
      <w:pPr>
        <w:pStyle w:val="ListParagraph"/>
        <w:numPr>
          <w:ilvl w:val="0"/>
          <w:numId w:val="77"/>
        </w:numPr>
        <w:tabs>
          <w:tab w:pos="827" w:val="left" w:leader="none"/>
        </w:tabs>
        <w:spacing w:line="240" w:lineRule="auto" w:before="0" w:after="0"/>
        <w:ind w:left="118" w:right="309" w:firstLine="0"/>
        <w:jc w:val="both"/>
        <w:rPr>
          <w:sz w:val="20"/>
        </w:rPr>
      </w:pPr>
      <w:r>
        <w:rPr>
          <w:sz w:val="20"/>
        </w:rPr>
        <w:t>Por</w:t>
      </w:r>
      <w:r>
        <w:rPr>
          <w:spacing w:val="-8"/>
          <w:sz w:val="20"/>
        </w:rPr>
        <w:t> </w:t>
      </w:r>
      <w:r>
        <w:rPr>
          <w:sz w:val="20"/>
        </w:rPr>
        <w:t>otro</w:t>
      </w:r>
      <w:r>
        <w:rPr>
          <w:spacing w:val="-10"/>
          <w:sz w:val="20"/>
        </w:rPr>
        <w:t> </w:t>
      </w:r>
      <w:r>
        <w:rPr>
          <w:sz w:val="20"/>
        </w:rPr>
        <w:t>lado,</w:t>
      </w:r>
      <w:r>
        <w:rPr>
          <w:spacing w:val="-8"/>
          <w:sz w:val="20"/>
        </w:rPr>
        <w:t> </w:t>
      </w:r>
      <w:r>
        <w:rPr>
          <w:sz w:val="20"/>
        </w:rPr>
        <w:t>la</w:t>
      </w:r>
      <w:r>
        <w:rPr>
          <w:spacing w:val="-10"/>
          <w:sz w:val="20"/>
        </w:rPr>
        <w:t> </w:t>
      </w:r>
      <w:r>
        <w:rPr>
          <w:sz w:val="20"/>
        </w:rPr>
        <w:t>Corte</w:t>
      </w:r>
      <w:r>
        <w:rPr>
          <w:spacing w:val="-9"/>
          <w:sz w:val="20"/>
        </w:rPr>
        <w:t> </w:t>
      </w:r>
      <w:r>
        <w:rPr>
          <w:sz w:val="20"/>
        </w:rPr>
        <w:t>Africana</w:t>
      </w:r>
      <w:r>
        <w:rPr>
          <w:spacing w:val="-10"/>
          <w:sz w:val="20"/>
        </w:rPr>
        <w:t> </w:t>
      </w:r>
      <w:r>
        <w:rPr>
          <w:sz w:val="20"/>
        </w:rPr>
        <w:t>hizo</w:t>
      </w:r>
      <w:r>
        <w:rPr>
          <w:spacing w:val="-8"/>
          <w:sz w:val="20"/>
        </w:rPr>
        <w:t> </w:t>
      </w:r>
      <w:r>
        <w:rPr>
          <w:sz w:val="20"/>
        </w:rPr>
        <w:t>la</w:t>
      </w:r>
      <w:r>
        <w:rPr>
          <w:spacing w:val="-8"/>
          <w:sz w:val="20"/>
        </w:rPr>
        <w:t> </w:t>
      </w:r>
      <w:r>
        <w:rPr>
          <w:sz w:val="20"/>
        </w:rPr>
        <w:t>distinción</w:t>
      </w:r>
      <w:r>
        <w:rPr>
          <w:spacing w:val="-8"/>
          <w:sz w:val="20"/>
        </w:rPr>
        <w:t> </w:t>
      </w:r>
      <w:r>
        <w:rPr>
          <w:sz w:val="20"/>
        </w:rPr>
        <w:t>de</w:t>
      </w:r>
      <w:r>
        <w:rPr>
          <w:spacing w:val="-9"/>
          <w:sz w:val="20"/>
        </w:rPr>
        <w:t> </w:t>
      </w:r>
      <w:r>
        <w:rPr>
          <w:sz w:val="20"/>
        </w:rPr>
        <w:t>la</w:t>
      </w:r>
      <w:r>
        <w:rPr>
          <w:spacing w:val="-8"/>
          <w:sz w:val="20"/>
        </w:rPr>
        <w:t> </w:t>
      </w:r>
      <w:r>
        <w:rPr>
          <w:sz w:val="20"/>
        </w:rPr>
        <w:t>violación</w:t>
      </w:r>
      <w:r>
        <w:rPr>
          <w:spacing w:val="-9"/>
          <w:sz w:val="20"/>
        </w:rPr>
        <w:t> </w:t>
      </w:r>
      <w:r>
        <w:rPr>
          <w:sz w:val="20"/>
        </w:rPr>
        <w:t>del</w:t>
      </w:r>
      <w:r>
        <w:rPr>
          <w:spacing w:val="-8"/>
          <w:sz w:val="20"/>
        </w:rPr>
        <w:t> </w:t>
      </w:r>
      <w:r>
        <w:rPr>
          <w:sz w:val="20"/>
        </w:rPr>
        <w:t>artículo</w:t>
      </w:r>
      <w:r>
        <w:rPr>
          <w:spacing w:val="-8"/>
          <w:sz w:val="20"/>
        </w:rPr>
        <w:t> </w:t>
      </w:r>
      <w:r>
        <w:rPr>
          <w:sz w:val="20"/>
        </w:rPr>
        <w:t>8</w:t>
      </w:r>
      <w:r>
        <w:rPr>
          <w:spacing w:val="-9"/>
          <w:sz w:val="20"/>
        </w:rPr>
        <w:t> </w:t>
      </w:r>
      <w:r>
        <w:rPr>
          <w:sz w:val="20"/>
        </w:rPr>
        <w:t>con el contenido de la violación del derecho a la cultura, contemplado en los artículos 17.2 y 17.3 de la Carta de Banjul</w:t>
      </w:r>
      <w:r>
        <w:rPr>
          <w:position w:val="7"/>
          <w:sz w:val="13"/>
        </w:rPr>
        <w:t>38</w:t>
      </w:r>
      <w:r>
        <w:rPr>
          <w:sz w:val="20"/>
        </w:rPr>
        <w:t>. Al respecto, dicha Corte indicó que “[e]l derecho a la cultura consagrado en [la] Carta [Africana] debe considerarse en una doble dimensión, tanto</w:t>
      </w:r>
      <w:r>
        <w:rPr>
          <w:spacing w:val="-18"/>
          <w:sz w:val="20"/>
        </w:rPr>
        <w:t> </w:t>
      </w:r>
      <w:r>
        <w:rPr>
          <w:sz w:val="20"/>
        </w:rPr>
        <w:t>en</w:t>
      </w:r>
      <w:r>
        <w:rPr>
          <w:spacing w:val="-18"/>
          <w:sz w:val="20"/>
        </w:rPr>
        <w:t> </w:t>
      </w:r>
      <w:r>
        <w:rPr>
          <w:sz w:val="20"/>
        </w:rPr>
        <w:t>su</w:t>
      </w:r>
      <w:r>
        <w:rPr>
          <w:spacing w:val="-18"/>
          <w:sz w:val="20"/>
        </w:rPr>
        <w:t> </w:t>
      </w:r>
      <w:r>
        <w:rPr>
          <w:sz w:val="20"/>
        </w:rPr>
        <w:t>naturaleza</w:t>
      </w:r>
      <w:r>
        <w:rPr>
          <w:spacing w:val="-17"/>
          <w:sz w:val="20"/>
        </w:rPr>
        <w:t> </w:t>
      </w:r>
      <w:r>
        <w:rPr>
          <w:sz w:val="20"/>
        </w:rPr>
        <w:t>individual</w:t>
      </w:r>
      <w:r>
        <w:rPr>
          <w:spacing w:val="-11"/>
          <w:sz w:val="20"/>
        </w:rPr>
        <w:t> </w:t>
      </w:r>
      <w:r>
        <w:rPr>
          <w:sz w:val="20"/>
        </w:rPr>
        <w:t>como</w:t>
      </w:r>
      <w:r>
        <w:rPr>
          <w:spacing w:val="-18"/>
          <w:sz w:val="20"/>
        </w:rPr>
        <w:t> </w:t>
      </w:r>
      <w:r>
        <w:rPr>
          <w:sz w:val="20"/>
        </w:rPr>
        <w:t>colectiva.</w:t>
      </w:r>
      <w:r>
        <w:rPr>
          <w:spacing w:val="-17"/>
          <w:sz w:val="20"/>
        </w:rPr>
        <w:t> </w:t>
      </w:r>
      <w:r>
        <w:rPr>
          <w:sz w:val="20"/>
        </w:rPr>
        <w:t>[P]or</w:t>
      </w:r>
      <w:r>
        <w:rPr>
          <w:spacing w:val="-18"/>
          <w:sz w:val="20"/>
        </w:rPr>
        <w:t> </w:t>
      </w:r>
      <w:r>
        <w:rPr>
          <w:sz w:val="20"/>
        </w:rPr>
        <w:t>un</w:t>
      </w:r>
      <w:r>
        <w:rPr>
          <w:spacing w:val="-18"/>
          <w:sz w:val="20"/>
        </w:rPr>
        <w:t> </w:t>
      </w:r>
      <w:r>
        <w:rPr>
          <w:sz w:val="20"/>
        </w:rPr>
        <w:t>lado</w:t>
      </w:r>
      <w:r>
        <w:rPr>
          <w:spacing w:val="-18"/>
          <w:sz w:val="20"/>
        </w:rPr>
        <w:t> </w:t>
      </w:r>
      <w:r>
        <w:rPr>
          <w:sz w:val="20"/>
        </w:rPr>
        <w:t>[asegura]</w:t>
      </w:r>
      <w:r>
        <w:rPr>
          <w:spacing w:val="-18"/>
          <w:sz w:val="20"/>
        </w:rPr>
        <w:t> </w:t>
      </w:r>
      <w:r>
        <w:rPr>
          <w:sz w:val="20"/>
        </w:rPr>
        <w:t>la</w:t>
      </w:r>
      <w:r>
        <w:rPr>
          <w:spacing w:val="-18"/>
          <w:sz w:val="20"/>
        </w:rPr>
        <w:t> </w:t>
      </w:r>
      <w:r>
        <w:rPr>
          <w:sz w:val="20"/>
        </w:rPr>
        <w:t>participación de los individuos en la vida cultural de su comunidad y, por otro, obliga al Estado a promover y proteger los valores tradicionales de la comunidad”</w:t>
      </w:r>
      <w:r>
        <w:rPr>
          <w:position w:val="7"/>
          <w:sz w:val="13"/>
        </w:rPr>
        <w:t>39</w:t>
      </w:r>
      <w:r>
        <w:rPr>
          <w:sz w:val="20"/>
        </w:rPr>
        <w:t>. Además, en su Sentencia agregó</w:t>
      </w:r>
      <w:r>
        <w:rPr>
          <w:spacing w:val="-5"/>
          <w:sz w:val="20"/>
        </w:rPr>
        <w:t> </w:t>
      </w:r>
      <w:r>
        <w:rPr>
          <w:sz w:val="20"/>
        </w:rPr>
        <w:t>que:</w:t>
      </w:r>
    </w:p>
    <w:p>
      <w:pPr>
        <w:pStyle w:val="BodyText"/>
        <w:spacing w:before="11"/>
        <w:rPr>
          <w:sz w:val="19"/>
        </w:rPr>
      </w:pPr>
    </w:p>
    <w:p>
      <w:pPr>
        <w:spacing w:before="0"/>
        <w:ind w:left="826" w:right="311" w:firstLine="0"/>
        <w:jc w:val="both"/>
        <w:rPr>
          <w:sz w:val="16"/>
        </w:rPr>
      </w:pPr>
      <w:r>
        <w:rPr>
          <w:sz w:val="16"/>
        </w:rPr>
        <w:t>“La protección del derecho a la cultura va más allá del deber, no de destruir o debilitar deliberadamente a los grupos minoritarios, sino que requiere el respeto y la protección de su patrimonio</w:t>
      </w:r>
      <w:r>
        <w:rPr>
          <w:spacing w:val="-12"/>
          <w:sz w:val="16"/>
        </w:rPr>
        <w:t> </w:t>
      </w:r>
      <w:r>
        <w:rPr>
          <w:sz w:val="16"/>
        </w:rPr>
        <w:t>cultural</w:t>
      </w:r>
      <w:r>
        <w:rPr>
          <w:spacing w:val="-13"/>
          <w:sz w:val="16"/>
        </w:rPr>
        <w:t> </w:t>
      </w:r>
      <w:r>
        <w:rPr>
          <w:sz w:val="16"/>
        </w:rPr>
        <w:t>esencial</w:t>
      </w:r>
      <w:r>
        <w:rPr>
          <w:spacing w:val="-14"/>
          <w:sz w:val="16"/>
        </w:rPr>
        <w:t> </w:t>
      </w:r>
      <w:r>
        <w:rPr>
          <w:sz w:val="16"/>
        </w:rPr>
        <w:t>para</w:t>
      </w:r>
      <w:r>
        <w:rPr>
          <w:spacing w:val="-13"/>
          <w:sz w:val="16"/>
        </w:rPr>
        <w:t> </w:t>
      </w:r>
      <w:r>
        <w:rPr>
          <w:sz w:val="16"/>
        </w:rPr>
        <w:t>la</w:t>
      </w:r>
      <w:r>
        <w:rPr>
          <w:spacing w:val="-13"/>
          <w:sz w:val="16"/>
        </w:rPr>
        <w:t> </w:t>
      </w:r>
      <w:r>
        <w:rPr>
          <w:sz w:val="16"/>
        </w:rPr>
        <w:t>identidad</w:t>
      </w:r>
      <w:r>
        <w:rPr>
          <w:spacing w:val="-13"/>
          <w:sz w:val="16"/>
        </w:rPr>
        <w:t> </w:t>
      </w:r>
      <w:r>
        <w:rPr>
          <w:sz w:val="16"/>
        </w:rPr>
        <w:t>del</w:t>
      </w:r>
      <w:r>
        <w:rPr>
          <w:spacing w:val="-14"/>
          <w:sz w:val="16"/>
        </w:rPr>
        <w:t> </w:t>
      </w:r>
      <w:r>
        <w:rPr>
          <w:sz w:val="16"/>
        </w:rPr>
        <w:t>grupo.</w:t>
      </w:r>
      <w:r>
        <w:rPr>
          <w:spacing w:val="-13"/>
          <w:sz w:val="16"/>
        </w:rPr>
        <w:t> </w:t>
      </w:r>
      <w:r>
        <w:rPr>
          <w:sz w:val="16"/>
        </w:rPr>
        <w:t>A</w:t>
      </w:r>
      <w:r>
        <w:rPr>
          <w:spacing w:val="-13"/>
          <w:sz w:val="16"/>
        </w:rPr>
        <w:t> </w:t>
      </w:r>
      <w:r>
        <w:rPr>
          <w:sz w:val="16"/>
        </w:rPr>
        <w:t>este</w:t>
      </w:r>
      <w:r>
        <w:rPr>
          <w:spacing w:val="-13"/>
          <w:sz w:val="16"/>
        </w:rPr>
        <w:t> </w:t>
      </w:r>
      <w:r>
        <w:rPr>
          <w:sz w:val="16"/>
        </w:rPr>
        <w:t>respecto,</w:t>
      </w:r>
      <w:r>
        <w:rPr>
          <w:spacing w:val="-13"/>
          <w:sz w:val="16"/>
        </w:rPr>
        <w:t> </w:t>
      </w:r>
      <w:r>
        <w:rPr>
          <w:sz w:val="16"/>
        </w:rPr>
        <w:t>la</w:t>
      </w:r>
      <w:r>
        <w:rPr>
          <w:spacing w:val="-13"/>
          <w:sz w:val="16"/>
        </w:rPr>
        <w:t> </w:t>
      </w:r>
      <w:r>
        <w:rPr>
          <w:sz w:val="16"/>
        </w:rPr>
        <w:t>cultura</w:t>
      </w:r>
      <w:r>
        <w:rPr>
          <w:spacing w:val="-13"/>
          <w:sz w:val="16"/>
        </w:rPr>
        <w:t> </w:t>
      </w:r>
      <w:r>
        <w:rPr>
          <w:sz w:val="16"/>
        </w:rPr>
        <w:t>debe</w:t>
      </w:r>
      <w:r>
        <w:rPr>
          <w:spacing w:val="-12"/>
          <w:sz w:val="16"/>
        </w:rPr>
        <w:t> </w:t>
      </w:r>
      <w:r>
        <w:rPr>
          <w:sz w:val="16"/>
        </w:rPr>
        <w:t>interpretarse en</w:t>
      </w:r>
      <w:r>
        <w:rPr>
          <w:spacing w:val="-4"/>
          <w:sz w:val="16"/>
        </w:rPr>
        <w:t> </w:t>
      </w:r>
      <w:r>
        <w:rPr>
          <w:sz w:val="16"/>
        </w:rPr>
        <w:t>su</w:t>
      </w:r>
      <w:r>
        <w:rPr>
          <w:spacing w:val="-4"/>
          <w:sz w:val="16"/>
        </w:rPr>
        <w:t> </w:t>
      </w:r>
      <w:r>
        <w:rPr>
          <w:sz w:val="16"/>
        </w:rPr>
        <w:t>sentido</w:t>
      </w:r>
      <w:r>
        <w:rPr>
          <w:spacing w:val="-2"/>
          <w:sz w:val="16"/>
        </w:rPr>
        <w:t> </w:t>
      </w:r>
      <w:r>
        <w:rPr>
          <w:sz w:val="16"/>
        </w:rPr>
        <w:t>más</w:t>
      </w:r>
      <w:r>
        <w:rPr>
          <w:spacing w:val="-4"/>
          <w:sz w:val="16"/>
        </w:rPr>
        <w:t> </w:t>
      </w:r>
      <w:r>
        <w:rPr>
          <w:sz w:val="16"/>
        </w:rPr>
        <w:t>amplio</w:t>
      </w:r>
      <w:r>
        <w:rPr>
          <w:spacing w:val="-3"/>
          <w:sz w:val="16"/>
        </w:rPr>
        <w:t> </w:t>
      </w:r>
      <w:r>
        <w:rPr>
          <w:sz w:val="16"/>
        </w:rPr>
        <w:t>que</w:t>
      </w:r>
      <w:r>
        <w:rPr>
          <w:spacing w:val="-4"/>
          <w:sz w:val="16"/>
        </w:rPr>
        <w:t> </w:t>
      </w:r>
      <w:r>
        <w:rPr>
          <w:sz w:val="16"/>
        </w:rPr>
        <w:t>abarque</w:t>
      </w:r>
      <w:r>
        <w:rPr>
          <w:spacing w:val="-4"/>
          <w:sz w:val="16"/>
        </w:rPr>
        <w:t> </w:t>
      </w:r>
      <w:r>
        <w:rPr>
          <w:sz w:val="16"/>
        </w:rPr>
        <w:t>la</w:t>
      </w:r>
      <w:r>
        <w:rPr>
          <w:spacing w:val="-3"/>
          <w:sz w:val="16"/>
        </w:rPr>
        <w:t> </w:t>
      </w:r>
      <w:r>
        <w:rPr>
          <w:sz w:val="16"/>
        </w:rPr>
        <w:t>forma</w:t>
      </w:r>
      <w:r>
        <w:rPr>
          <w:spacing w:val="-4"/>
          <w:sz w:val="16"/>
        </w:rPr>
        <w:t> </w:t>
      </w:r>
      <w:r>
        <w:rPr>
          <w:sz w:val="16"/>
        </w:rPr>
        <w:t>de</w:t>
      </w:r>
      <w:r>
        <w:rPr>
          <w:spacing w:val="-4"/>
          <w:sz w:val="16"/>
        </w:rPr>
        <w:t> </w:t>
      </w:r>
      <w:r>
        <w:rPr>
          <w:sz w:val="16"/>
        </w:rPr>
        <w:t>vida</w:t>
      </w:r>
      <w:r>
        <w:rPr>
          <w:spacing w:val="-4"/>
          <w:sz w:val="16"/>
        </w:rPr>
        <w:t> </w:t>
      </w:r>
      <w:r>
        <w:rPr>
          <w:sz w:val="16"/>
        </w:rPr>
        <w:t>total</w:t>
      </w:r>
      <w:r>
        <w:rPr>
          <w:spacing w:val="-4"/>
          <w:sz w:val="16"/>
        </w:rPr>
        <w:t> </w:t>
      </w:r>
      <w:r>
        <w:rPr>
          <w:sz w:val="16"/>
        </w:rPr>
        <w:t>de</w:t>
      </w:r>
      <w:r>
        <w:rPr>
          <w:spacing w:val="-4"/>
          <w:sz w:val="16"/>
        </w:rPr>
        <w:t> </w:t>
      </w:r>
      <w:r>
        <w:rPr>
          <w:sz w:val="16"/>
        </w:rPr>
        <w:t>un</w:t>
      </w:r>
      <w:r>
        <w:rPr>
          <w:spacing w:val="-4"/>
          <w:sz w:val="16"/>
        </w:rPr>
        <w:t> </w:t>
      </w:r>
      <w:r>
        <w:rPr>
          <w:sz w:val="16"/>
        </w:rPr>
        <w:t>grupo</w:t>
      </w:r>
      <w:r>
        <w:rPr>
          <w:spacing w:val="-3"/>
          <w:sz w:val="16"/>
        </w:rPr>
        <w:t> </w:t>
      </w:r>
      <w:r>
        <w:rPr>
          <w:sz w:val="16"/>
        </w:rPr>
        <w:t>en</w:t>
      </w:r>
      <w:r>
        <w:rPr>
          <w:spacing w:val="-4"/>
          <w:sz w:val="16"/>
        </w:rPr>
        <w:t> </w:t>
      </w:r>
      <w:r>
        <w:rPr>
          <w:sz w:val="16"/>
        </w:rPr>
        <w:t>particular,</w:t>
      </w:r>
      <w:r>
        <w:rPr>
          <w:spacing w:val="-3"/>
          <w:sz w:val="16"/>
        </w:rPr>
        <w:t> </w:t>
      </w:r>
      <w:r>
        <w:rPr>
          <w:sz w:val="16"/>
        </w:rPr>
        <w:t>incluidos</w:t>
      </w:r>
      <w:r>
        <w:rPr>
          <w:spacing w:val="-4"/>
          <w:sz w:val="16"/>
        </w:rPr>
        <w:t> </w:t>
      </w:r>
      <w:r>
        <w:rPr>
          <w:sz w:val="16"/>
        </w:rPr>
        <w:t>los idiomas del grupo, símbolos como los códigos de vestimenta y la forma en que el grupo construye refugios; participa en ciertas actividades económicas, produce artículos para la supervivencia; rituales como la forma particular del grupo de tratar problemas y practicando ceremonias espirituales; identificación y veneración de sus propios héroes o modelos y valores compartidos de sus miembros que reflejan su carácter y personalidad distintivos”</w:t>
      </w:r>
      <w:r>
        <w:rPr>
          <w:spacing w:val="-17"/>
          <w:sz w:val="16"/>
        </w:rPr>
        <w:t> </w:t>
      </w:r>
      <w:r>
        <w:rPr>
          <w:position w:val="6"/>
          <w:sz w:val="10"/>
        </w:rPr>
        <w:t>40</w:t>
      </w:r>
      <w:r>
        <w:rPr>
          <w:sz w:val="16"/>
        </w:rPr>
        <w:t>.</w:t>
      </w:r>
    </w:p>
    <w:p>
      <w:pPr>
        <w:pStyle w:val="BodyText"/>
        <w:spacing w:before="11"/>
        <w:rPr>
          <w:sz w:val="19"/>
        </w:rPr>
      </w:pPr>
    </w:p>
    <w:p>
      <w:pPr>
        <w:spacing w:before="0"/>
        <w:ind w:left="838" w:right="312" w:firstLine="0"/>
        <w:jc w:val="both"/>
        <w:rPr>
          <w:sz w:val="16"/>
        </w:rPr>
      </w:pPr>
      <w:r>
        <w:rPr>
          <w:sz w:val="16"/>
        </w:rPr>
        <w:t>“En</w:t>
      </w:r>
      <w:r>
        <w:rPr>
          <w:spacing w:val="-9"/>
          <w:sz w:val="16"/>
        </w:rPr>
        <w:t> </w:t>
      </w:r>
      <w:r>
        <w:rPr>
          <w:sz w:val="16"/>
        </w:rPr>
        <w:t>el</w:t>
      </w:r>
      <w:r>
        <w:rPr>
          <w:spacing w:val="-9"/>
          <w:sz w:val="16"/>
        </w:rPr>
        <w:t> </w:t>
      </w:r>
      <w:r>
        <w:rPr>
          <w:sz w:val="16"/>
        </w:rPr>
        <w:t>presente</w:t>
      </w:r>
      <w:r>
        <w:rPr>
          <w:spacing w:val="-7"/>
          <w:sz w:val="16"/>
        </w:rPr>
        <w:t> </w:t>
      </w:r>
      <w:r>
        <w:rPr>
          <w:sz w:val="16"/>
        </w:rPr>
        <w:t>caso,</w:t>
      </w:r>
      <w:r>
        <w:rPr>
          <w:spacing w:val="-8"/>
          <w:sz w:val="16"/>
        </w:rPr>
        <w:t> </w:t>
      </w:r>
      <w:r>
        <w:rPr>
          <w:sz w:val="16"/>
        </w:rPr>
        <w:t>el</w:t>
      </w:r>
      <w:r>
        <w:rPr>
          <w:spacing w:val="-9"/>
          <w:sz w:val="16"/>
        </w:rPr>
        <w:t> </w:t>
      </w:r>
      <w:r>
        <w:rPr>
          <w:sz w:val="16"/>
        </w:rPr>
        <w:t>Tribunal</w:t>
      </w:r>
      <w:r>
        <w:rPr>
          <w:spacing w:val="-9"/>
          <w:sz w:val="16"/>
        </w:rPr>
        <w:t> </w:t>
      </w:r>
      <w:r>
        <w:rPr>
          <w:sz w:val="16"/>
        </w:rPr>
        <w:t>observa</w:t>
      </w:r>
      <w:r>
        <w:rPr>
          <w:spacing w:val="-8"/>
          <w:sz w:val="16"/>
        </w:rPr>
        <w:t> </w:t>
      </w:r>
      <w:r>
        <w:rPr>
          <w:sz w:val="16"/>
        </w:rPr>
        <w:t>de</w:t>
      </w:r>
      <w:r>
        <w:rPr>
          <w:spacing w:val="-7"/>
          <w:sz w:val="16"/>
        </w:rPr>
        <w:t> </w:t>
      </w:r>
      <w:r>
        <w:rPr>
          <w:sz w:val="16"/>
        </w:rPr>
        <w:t>los</w:t>
      </w:r>
      <w:r>
        <w:rPr>
          <w:spacing w:val="-8"/>
          <w:sz w:val="16"/>
        </w:rPr>
        <w:t> </w:t>
      </w:r>
      <w:r>
        <w:rPr>
          <w:sz w:val="16"/>
        </w:rPr>
        <w:t>registros</w:t>
      </w:r>
      <w:r>
        <w:rPr>
          <w:spacing w:val="-9"/>
          <w:sz w:val="16"/>
        </w:rPr>
        <w:t> </w:t>
      </w:r>
      <w:r>
        <w:rPr>
          <w:sz w:val="16"/>
        </w:rPr>
        <w:t>disponibles</w:t>
      </w:r>
      <w:r>
        <w:rPr>
          <w:spacing w:val="-9"/>
          <w:sz w:val="16"/>
        </w:rPr>
        <w:t> </w:t>
      </w:r>
      <w:r>
        <w:rPr>
          <w:sz w:val="16"/>
        </w:rPr>
        <w:t>ante</w:t>
      </w:r>
      <w:r>
        <w:rPr>
          <w:spacing w:val="-9"/>
          <w:sz w:val="16"/>
        </w:rPr>
        <w:t> </w:t>
      </w:r>
      <w:r>
        <w:rPr>
          <w:sz w:val="16"/>
        </w:rPr>
        <w:t>ella</w:t>
      </w:r>
      <w:r>
        <w:rPr>
          <w:spacing w:val="-8"/>
          <w:sz w:val="16"/>
        </w:rPr>
        <w:t> </w:t>
      </w:r>
      <w:r>
        <w:rPr>
          <w:sz w:val="16"/>
        </w:rPr>
        <w:t>que</w:t>
      </w:r>
      <w:r>
        <w:rPr>
          <w:spacing w:val="-9"/>
          <w:sz w:val="16"/>
        </w:rPr>
        <w:t> </w:t>
      </w:r>
      <w:r>
        <w:rPr>
          <w:sz w:val="16"/>
        </w:rPr>
        <w:t>la</w:t>
      </w:r>
      <w:r>
        <w:rPr>
          <w:spacing w:val="-8"/>
          <w:sz w:val="16"/>
        </w:rPr>
        <w:t> </w:t>
      </w:r>
      <w:r>
        <w:rPr>
          <w:sz w:val="16"/>
        </w:rPr>
        <w:t>población</w:t>
      </w:r>
      <w:r>
        <w:rPr>
          <w:spacing w:val="-8"/>
          <w:sz w:val="16"/>
        </w:rPr>
        <w:t> </w:t>
      </w:r>
      <w:r>
        <w:rPr>
          <w:sz w:val="16"/>
        </w:rPr>
        <w:t>Ogiek tiene una forma de vida distinta centrada y dependiente del Complejo Forestal de Mau. Como comunidad de cazadores-recolectores, obtienen sus medios de supervivencia a través de la caza de animales y la recolección de miel y frutas, tienen su propia ropa tradicional, su propio idioma, una forma distinta de sepultar a los muertos, practicar rituales y medicina tradicional, y su propia espiritualidad y valores tradicionales, que los distinguen de otras comunidades que viven alrededor y fuera del Complejo Forestal de Mau, lo que demuestra que los Ogieks tienen su propia</w:t>
      </w:r>
      <w:r>
        <w:rPr>
          <w:spacing w:val="-26"/>
          <w:sz w:val="16"/>
        </w:rPr>
        <w:t> </w:t>
      </w:r>
      <w:r>
        <w:rPr>
          <w:sz w:val="16"/>
        </w:rPr>
        <w:t>cultura”</w:t>
      </w:r>
      <w:r>
        <w:rPr>
          <w:position w:val="6"/>
          <w:sz w:val="10"/>
        </w:rPr>
        <w:t>41</w:t>
      </w:r>
      <w:r>
        <w:rPr>
          <w:sz w:val="16"/>
        </w:rPr>
        <w:t>.</w:t>
      </w:r>
    </w:p>
    <w:p>
      <w:pPr>
        <w:pStyle w:val="BodyText"/>
        <w:spacing w:before="11"/>
        <w:rPr>
          <w:sz w:val="19"/>
        </w:rPr>
      </w:pPr>
    </w:p>
    <w:p>
      <w:pPr>
        <w:pStyle w:val="ListParagraph"/>
        <w:numPr>
          <w:ilvl w:val="0"/>
          <w:numId w:val="77"/>
        </w:numPr>
        <w:tabs>
          <w:tab w:pos="827" w:val="left" w:leader="none"/>
        </w:tabs>
        <w:spacing w:line="240" w:lineRule="auto" w:before="1" w:after="0"/>
        <w:ind w:left="118" w:right="309" w:firstLine="0"/>
        <w:jc w:val="both"/>
        <w:rPr>
          <w:sz w:val="20"/>
        </w:rPr>
      </w:pPr>
      <w:r>
        <w:rPr>
          <w:sz w:val="20"/>
        </w:rPr>
        <w:t>Como lo muestra el precedente de la Corte Africana en el caso </w:t>
      </w:r>
      <w:r>
        <w:rPr>
          <w:i/>
          <w:sz w:val="20"/>
        </w:rPr>
        <w:t>Ogiek</w:t>
      </w:r>
      <w:r>
        <w:rPr>
          <w:sz w:val="20"/>
        </w:rPr>
        <w:t>, y ahora</w:t>
      </w:r>
      <w:r>
        <w:rPr>
          <w:spacing w:val="-42"/>
          <w:sz w:val="20"/>
        </w:rPr>
        <w:t> </w:t>
      </w:r>
      <w:r>
        <w:rPr>
          <w:sz w:val="20"/>
        </w:rPr>
        <w:t>la Corte Interamericana con el caso </w:t>
      </w:r>
      <w:r>
        <w:rPr>
          <w:i/>
          <w:sz w:val="20"/>
        </w:rPr>
        <w:t>Lakha Honhat, </w:t>
      </w:r>
      <w:r>
        <w:rPr>
          <w:sz w:val="20"/>
        </w:rPr>
        <w:t>se posicionan como dos precedentes que demuestran que cada uno de los derechos que pueden ser analizados en un caso (en estos fallos sobre temática indígena y tribal), tienen connotaciones específicas que deben de ser observadas y valoradas de manera autónoma para poder entender y comprender</w:t>
      </w:r>
      <w:r>
        <w:rPr>
          <w:spacing w:val="-5"/>
          <w:sz w:val="20"/>
        </w:rPr>
        <w:t> </w:t>
      </w:r>
      <w:r>
        <w:rPr>
          <w:sz w:val="20"/>
        </w:rPr>
        <w:t>la</w:t>
      </w:r>
      <w:r>
        <w:rPr>
          <w:spacing w:val="-6"/>
          <w:sz w:val="20"/>
        </w:rPr>
        <w:t> </w:t>
      </w:r>
      <w:r>
        <w:rPr>
          <w:sz w:val="20"/>
        </w:rPr>
        <w:t>forma</w:t>
      </w:r>
      <w:r>
        <w:rPr>
          <w:spacing w:val="-6"/>
          <w:sz w:val="20"/>
        </w:rPr>
        <w:t> </w:t>
      </w:r>
      <w:r>
        <w:rPr>
          <w:sz w:val="20"/>
        </w:rPr>
        <w:t>integral</w:t>
      </w:r>
      <w:r>
        <w:rPr>
          <w:spacing w:val="-4"/>
          <w:sz w:val="20"/>
        </w:rPr>
        <w:t> </w:t>
      </w:r>
      <w:r>
        <w:rPr>
          <w:sz w:val="20"/>
        </w:rPr>
        <w:t>la</w:t>
      </w:r>
      <w:r>
        <w:rPr>
          <w:spacing w:val="-6"/>
          <w:sz w:val="20"/>
        </w:rPr>
        <w:t> </w:t>
      </w:r>
      <w:r>
        <w:rPr>
          <w:sz w:val="20"/>
        </w:rPr>
        <w:t>manera</w:t>
      </w:r>
      <w:r>
        <w:rPr>
          <w:spacing w:val="-7"/>
          <w:sz w:val="20"/>
        </w:rPr>
        <w:t> </w:t>
      </w:r>
      <w:r>
        <w:rPr>
          <w:sz w:val="20"/>
        </w:rPr>
        <w:t>en</w:t>
      </w:r>
      <w:r>
        <w:rPr>
          <w:spacing w:val="-5"/>
          <w:sz w:val="20"/>
        </w:rPr>
        <w:t> </w:t>
      </w:r>
      <w:r>
        <w:rPr>
          <w:sz w:val="20"/>
        </w:rPr>
        <w:t>que</w:t>
      </w:r>
      <w:r>
        <w:rPr>
          <w:spacing w:val="-5"/>
          <w:sz w:val="20"/>
        </w:rPr>
        <w:t> </w:t>
      </w:r>
      <w:r>
        <w:rPr>
          <w:sz w:val="20"/>
        </w:rPr>
        <w:t>los</w:t>
      </w:r>
      <w:r>
        <w:rPr>
          <w:spacing w:val="-6"/>
          <w:sz w:val="20"/>
        </w:rPr>
        <w:t> </w:t>
      </w:r>
      <w:r>
        <w:rPr>
          <w:sz w:val="20"/>
        </w:rPr>
        <w:t>pueblos</w:t>
      </w:r>
      <w:r>
        <w:rPr>
          <w:spacing w:val="-6"/>
          <w:sz w:val="20"/>
        </w:rPr>
        <w:t> </w:t>
      </w:r>
      <w:r>
        <w:rPr>
          <w:sz w:val="20"/>
        </w:rPr>
        <w:t>indígenas</w:t>
      </w:r>
      <w:r>
        <w:rPr>
          <w:spacing w:val="-6"/>
          <w:sz w:val="20"/>
        </w:rPr>
        <w:t> </w:t>
      </w:r>
      <w:r>
        <w:rPr>
          <w:sz w:val="20"/>
        </w:rPr>
        <w:t>se</w:t>
      </w:r>
      <w:r>
        <w:rPr>
          <w:spacing w:val="-5"/>
          <w:sz w:val="20"/>
        </w:rPr>
        <w:t> </w:t>
      </w:r>
      <w:r>
        <w:rPr>
          <w:sz w:val="20"/>
        </w:rPr>
        <w:t>relacionan</w:t>
      </w:r>
      <w:r>
        <w:rPr>
          <w:spacing w:val="-5"/>
          <w:sz w:val="20"/>
        </w:rPr>
        <w:t> </w:t>
      </w:r>
      <w:r>
        <w:rPr>
          <w:sz w:val="20"/>
        </w:rPr>
        <w:t>con su entorno. Justamente la posibilidad de la justiciabilidad autónoma de los DESCA mediante</w:t>
      </w:r>
      <w:r>
        <w:rPr>
          <w:spacing w:val="-16"/>
          <w:sz w:val="20"/>
        </w:rPr>
        <w:t> </w:t>
      </w:r>
      <w:r>
        <w:rPr>
          <w:sz w:val="20"/>
        </w:rPr>
        <w:t>el</w:t>
      </w:r>
      <w:r>
        <w:rPr>
          <w:spacing w:val="-17"/>
          <w:sz w:val="20"/>
        </w:rPr>
        <w:t> </w:t>
      </w:r>
      <w:r>
        <w:rPr>
          <w:sz w:val="20"/>
        </w:rPr>
        <w:t>artículo</w:t>
      </w:r>
      <w:r>
        <w:rPr>
          <w:spacing w:val="-17"/>
          <w:sz w:val="20"/>
        </w:rPr>
        <w:t> </w:t>
      </w:r>
      <w:r>
        <w:rPr>
          <w:sz w:val="20"/>
        </w:rPr>
        <w:t>26</w:t>
      </w:r>
      <w:r>
        <w:rPr>
          <w:spacing w:val="-18"/>
          <w:sz w:val="20"/>
        </w:rPr>
        <w:t> </w:t>
      </w:r>
      <w:r>
        <w:rPr>
          <w:sz w:val="20"/>
        </w:rPr>
        <w:t>del</w:t>
      </w:r>
      <w:r>
        <w:rPr>
          <w:spacing w:val="-17"/>
          <w:sz w:val="20"/>
        </w:rPr>
        <w:t> </w:t>
      </w:r>
      <w:r>
        <w:rPr>
          <w:sz w:val="20"/>
        </w:rPr>
        <w:t>Pacto</w:t>
      </w:r>
      <w:r>
        <w:rPr>
          <w:spacing w:val="-17"/>
          <w:sz w:val="20"/>
        </w:rPr>
        <w:t> </w:t>
      </w:r>
      <w:r>
        <w:rPr>
          <w:sz w:val="20"/>
        </w:rPr>
        <w:t>de</w:t>
      </w:r>
      <w:r>
        <w:rPr>
          <w:spacing w:val="-17"/>
          <w:sz w:val="20"/>
        </w:rPr>
        <w:t> </w:t>
      </w:r>
      <w:r>
        <w:rPr>
          <w:sz w:val="20"/>
        </w:rPr>
        <w:t>San</w:t>
      </w:r>
      <w:r>
        <w:rPr>
          <w:spacing w:val="-16"/>
          <w:sz w:val="20"/>
        </w:rPr>
        <w:t> </w:t>
      </w:r>
      <w:r>
        <w:rPr>
          <w:sz w:val="20"/>
        </w:rPr>
        <w:t>José,</w:t>
      </w:r>
      <w:r>
        <w:rPr>
          <w:spacing w:val="-16"/>
          <w:sz w:val="20"/>
        </w:rPr>
        <w:t> </w:t>
      </w:r>
      <w:r>
        <w:rPr>
          <w:sz w:val="20"/>
        </w:rPr>
        <w:t>permite</w:t>
      </w:r>
      <w:r>
        <w:rPr>
          <w:spacing w:val="-16"/>
          <w:sz w:val="20"/>
        </w:rPr>
        <w:t> </w:t>
      </w:r>
      <w:r>
        <w:rPr>
          <w:sz w:val="20"/>
        </w:rPr>
        <w:t>a</w:t>
      </w:r>
      <w:r>
        <w:rPr>
          <w:spacing w:val="-17"/>
          <w:sz w:val="20"/>
        </w:rPr>
        <w:t> </w:t>
      </w:r>
      <w:r>
        <w:rPr>
          <w:sz w:val="20"/>
        </w:rPr>
        <w:t>la</w:t>
      </w:r>
      <w:r>
        <w:rPr>
          <w:spacing w:val="-18"/>
          <w:sz w:val="20"/>
        </w:rPr>
        <w:t> </w:t>
      </w:r>
      <w:r>
        <w:rPr>
          <w:sz w:val="20"/>
        </w:rPr>
        <w:t>Corte</w:t>
      </w:r>
      <w:r>
        <w:rPr>
          <w:spacing w:val="-16"/>
          <w:sz w:val="20"/>
        </w:rPr>
        <w:t> </w:t>
      </w:r>
      <w:r>
        <w:rPr>
          <w:sz w:val="20"/>
        </w:rPr>
        <w:t>IDH</w:t>
      </w:r>
      <w:r>
        <w:rPr>
          <w:spacing w:val="-16"/>
          <w:sz w:val="20"/>
        </w:rPr>
        <w:t> </w:t>
      </w:r>
      <w:r>
        <w:rPr>
          <w:sz w:val="20"/>
        </w:rPr>
        <w:t>hacer</w:t>
      </w:r>
      <w:r>
        <w:rPr>
          <w:spacing w:val="-17"/>
          <w:sz w:val="20"/>
        </w:rPr>
        <w:t> </w:t>
      </w:r>
      <w:r>
        <w:rPr>
          <w:sz w:val="20"/>
        </w:rPr>
        <w:t>este</w:t>
      </w:r>
      <w:r>
        <w:rPr>
          <w:spacing w:val="-16"/>
          <w:sz w:val="20"/>
        </w:rPr>
        <w:t> </w:t>
      </w:r>
      <w:r>
        <w:rPr>
          <w:sz w:val="20"/>
        </w:rPr>
        <w:t>ejercicio sin negar la jurisprudencia existente</w:t>
      </w:r>
      <w:r>
        <w:rPr>
          <w:spacing w:val="-18"/>
          <w:sz w:val="20"/>
        </w:rPr>
        <w:t> </w:t>
      </w:r>
      <w:r>
        <w:rPr>
          <w:sz w:val="20"/>
        </w:rPr>
        <w:t>previamente.</w:t>
      </w:r>
    </w:p>
    <w:p>
      <w:pPr>
        <w:pStyle w:val="BodyText"/>
        <w:spacing w:before="12"/>
        <w:rPr>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La diferencia entre “tierra” y “territorio”, evidentemente, no puede entenderse en forma tajante respecto a pueblos indígenas o tribales, como la jurisprudencia de la Corte</w:t>
      </w:r>
      <w:r>
        <w:rPr>
          <w:spacing w:val="17"/>
          <w:sz w:val="20"/>
        </w:rPr>
        <w:t> </w:t>
      </w:r>
      <w:r>
        <w:rPr>
          <w:sz w:val="20"/>
        </w:rPr>
        <w:t>IDH</w:t>
      </w:r>
      <w:r>
        <w:rPr>
          <w:spacing w:val="15"/>
          <w:sz w:val="20"/>
        </w:rPr>
        <w:t> </w:t>
      </w:r>
      <w:r>
        <w:rPr>
          <w:sz w:val="20"/>
        </w:rPr>
        <w:t>da</w:t>
      </w:r>
      <w:r>
        <w:rPr>
          <w:spacing w:val="16"/>
          <w:sz w:val="20"/>
        </w:rPr>
        <w:t> </w:t>
      </w:r>
      <w:r>
        <w:rPr>
          <w:sz w:val="20"/>
        </w:rPr>
        <w:t>cuenta</w:t>
      </w:r>
      <w:r>
        <w:rPr>
          <w:spacing w:val="17"/>
          <w:sz w:val="20"/>
        </w:rPr>
        <w:t> </w:t>
      </w:r>
      <w:r>
        <w:rPr>
          <w:sz w:val="20"/>
        </w:rPr>
        <w:t>de</w:t>
      </w:r>
      <w:r>
        <w:rPr>
          <w:spacing w:val="16"/>
          <w:sz w:val="20"/>
        </w:rPr>
        <w:t> </w:t>
      </w:r>
      <w:r>
        <w:rPr>
          <w:sz w:val="20"/>
        </w:rPr>
        <w:t>ello.</w:t>
      </w:r>
      <w:r>
        <w:rPr>
          <w:spacing w:val="15"/>
          <w:sz w:val="20"/>
        </w:rPr>
        <w:t> </w:t>
      </w:r>
      <w:r>
        <w:rPr>
          <w:sz w:val="20"/>
        </w:rPr>
        <w:t>No</w:t>
      </w:r>
      <w:r>
        <w:rPr>
          <w:spacing w:val="16"/>
          <w:sz w:val="20"/>
        </w:rPr>
        <w:t> </w:t>
      </w:r>
      <w:r>
        <w:rPr>
          <w:sz w:val="20"/>
        </w:rPr>
        <w:t>obstante,</w:t>
      </w:r>
      <w:r>
        <w:rPr>
          <w:spacing w:val="16"/>
          <w:sz w:val="20"/>
        </w:rPr>
        <w:t> </w:t>
      </w:r>
      <w:r>
        <w:rPr>
          <w:sz w:val="20"/>
        </w:rPr>
        <w:t>el</w:t>
      </w:r>
      <w:r>
        <w:rPr>
          <w:spacing w:val="15"/>
          <w:sz w:val="20"/>
        </w:rPr>
        <w:t> </w:t>
      </w:r>
      <w:r>
        <w:rPr>
          <w:sz w:val="20"/>
        </w:rPr>
        <w:t>uso</w:t>
      </w:r>
      <w:r>
        <w:rPr>
          <w:spacing w:val="17"/>
          <w:sz w:val="20"/>
        </w:rPr>
        <w:t> </w:t>
      </w:r>
      <w:r>
        <w:rPr>
          <w:sz w:val="20"/>
        </w:rPr>
        <w:t>de</w:t>
      </w:r>
      <w:r>
        <w:rPr>
          <w:spacing w:val="17"/>
          <w:sz w:val="20"/>
        </w:rPr>
        <w:t> </w:t>
      </w:r>
      <w:r>
        <w:rPr>
          <w:sz w:val="20"/>
        </w:rPr>
        <w:t>ambos</w:t>
      </w:r>
      <w:r>
        <w:rPr>
          <w:spacing w:val="16"/>
          <w:sz w:val="20"/>
        </w:rPr>
        <w:t> </w:t>
      </w:r>
      <w:r>
        <w:rPr>
          <w:sz w:val="20"/>
        </w:rPr>
        <w:t>conceptos</w:t>
      </w:r>
      <w:r>
        <w:rPr>
          <w:spacing w:val="17"/>
          <w:sz w:val="20"/>
        </w:rPr>
        <w:t> </w:t>
      </w:r>
      <w:r>
        <w:rPr>
          <w:sz w:val="20"/>
        </w:rPr>
        <w:t>permite,</w:t>
      </w:r>
      <w:r>
        <w:rPr>
          <w:spacing w:val="15"/>
          <w:sz w:val="20"/>
        </w:rPr>
        <w:t> </w:t>
      </w:r>
      <w:r>
        <w:rPr>
          <w:sz w:val="20"/>
        </w:rPr>
        <w:t>entre</w:t>
      </w:r>
    </w:p>
    <w:p>
      <w:pPr>
        <w:pStyle w:val="BodyText"/>
        <w:spacing w:before="1"/>
        <w:rPr>
          <w:sz w:val="22"/>
        </w:rPr>
      </w:pPr>
      <w:r>
        <w:rPr/>
        <w:pict>
          <v:line style="position:absolute;mso-position-horizontal-relative:page;mso-position-vertical-relative:paragraph;z-index:4960;mso-wrap-distance-left:0;mso-wrap-distance-right:0" from="70.919998pt,15.71743pt" to="214.939998pt,15.71743pt" stroked="true" strokeweight=".60004pt" strokecolor="#000000">
            <v:stroke dashstyle="solid"/>
            <w10:wrap type="topAndBottom"/>
          </v:line>
        </w:pict>
      </w:r>
    </w:p>
    <w:p>
      <w:pPr>
        <w:tabs>
          <w:tab w:pos="826" w:val="left" w:leader="none"/>
        </w:tabs>
        <w:spacing w:before="73"/>
        <w:ind w:left="118" w:right="312" w:firstLine="0"/>
        <w:jc w:val="left"/>
        <w:rPr>
          <w:sz w:val="16"/>
        </w:rPr>
      </w:pPr>
      <w:r>
        <w:rPr>
          <w:position w:val="6"/>
          <w:sz w:val="10"/>
        </w:rPr>
        <w:t>37</w:t>
        <w:tab/>
      </w:r>
      <w:r>
        <w:rPr>
          <w:i/>
          <w:sz w:val="16"/>
        </w:rPr>
        <w:t>ACoHPR, African Commission on Human and People´s Rights (Ogiek) Vs.  Kenya</w:t>
      </w:r>
      <w:r>
        <w:rPr>
          <w:sz w:val="16"/>
        </w:rPr>
        <w:t>,   </w:t>
      </w:r>
      <w:r>
        <w:rPr>
          <w:spacing w:val="46"/>
          <w:sz w:val="16"/>
        </w:rPr>
        <w:t> </w:t>
      </w:r>
      <w:r>
        <w:rPr>
          <w:sz w:val="16"/>
        </w:rPr>
        <w:t>Application</w:t>
      </w:r>
      <w:r>
        <w:rPr>
          <w:spacing w:val="24"/>
          <w:sz w:val="16"/>
        </w:rPr>
        <w:t> </w:t>
      </w:r>
      <w:r>
        <w:rPr>
          <w:sz w:val="16"/>
        </w:rPr>
        <w:t>No.</w:t>
      </w:r>
      <w:r>
        <w:rPr>
          <w:w w:val="99"/>
          <w:sz w:val="16"/>
        </w:rPr>
        <w:t> </w:t>
      </w:r>
      <w:r>
        <w:rPr>
          <w:sz w:val="16"/>
        </w:rPr>
        <w:t>006/2012, Sentencia de 26 de mayo de 2017, párr.</w:t>
      </w:r>
      <w:r>
        <w:rPr>
          <w:spacing w:val="-17"/>
          <w:sz w:val="16"/>
        </w:rPr>
        <w:t> </w:t>
      </w:r>
      <w:r>
        <w:rPr>
          <w:sz w:val="16"/>
        </w:rPr>
        <w:t>165.</w:t>
      </w:r>
    </w:p>
    <w:p>
      <w:pPr>
        <w:tabs>
          <w:tab w:pos="826" w:val="left" w:leader="none"/>
        </w:tabs>
        <w:spacing w:before="120"/>
        <w:ind w:left="118" w:right="312" w:firstLine="0"/>
        <w:jc w:val="left"/>
        <w:rPr>
          <w:sz w:val="16"/>
        </w:rPr>
      </w:pPr>
      <w:r>
        <w:rPr>
          <w:position w:val="6"/>
          <w:sz w:val="10"/>
        </w:rPr>
        <w:t>38</w:t>
        <w:tab/>
      </w:r>
      <w:r>
        <w:rPr>
          <w:i/>
          <w:sz w:val="16"/>
        </w:rPr>
        <w:t>ACoHPR,</w:t>
      </w:r>
      <w:r>
        <w:rPr>
          <w:i/>
          <w:spacing w:val="24"/>
          <w:sz w:val="16"/>
        </w:rPr>
        <w:t> </w:t>
      </w:r>
      <w:r>
        <w:rPr>
          <w:i/>
          <w:sz w:val="16"/>
        </w:rPr>
        <w:t>African</w:t>
      </w:r>
      <w:r>
        <w:rPr>
          <w:i/>
          <w:spacing w:val="24"/>
          <w:sz w:val="16"/>
        </w:rPr>
        <w:t> </w:t>
      </w:r>
      <w:r>
        <w:rPr>
          <w:i/>
          <w:sz w:val="16"/>
        </w:rPr>
        <w:t>Commission</w:t>
      </w:r>
      <w:r>
        <w:rPr>
          <w:i/>
          <w:spacing w:val="24"/>
          <w:sz w:val="16"/>
        </w:rPr>
        <w:t> </w:t>
      </w:r>
      <w:r>
        <w:rPr>
          <w:i/>
          <w:sz w:val="16"/>
        </w:rPr>
        <w:t>on</w:t>
      </w:r>
      <w:r>
        <w:rPr>
          <w:i/>
          <w:spacing w:val="24"/>
          <w:sz w:val="16"/>
        </w:rPr>
        <w:t> </w:t>
      </w:r>
      <w:r>
        <w:rPr>
          <w:i/>
          <w:sz w:val="16"/>
        </w:rPr>
        <w:t>Human</w:t>
      </w:r>
      <w:r>
        <w:rPr>
          <w:i/>
          <w:spacing w:val="24"/>
          <w:sz w:val="16"/>
        </w:rPr>
        <w:t> </w:t>
      </w:r>
      <w:r>
        <w:rPr>
          <w:i/>
          <w:sz w:val="16"/>
        </w:rPr>
        <w:t>and</w:t>
      </w:r>
      <w:r>
        <w:rPr>
          <w:i/>
          <w:spacing w:val="24"/>
          <w:sz w:val="16"/>
        </w:rPr>
        <w:t> </w:t>
      </w:r>
      <w:r>
        <w:rPr>
          <w:i/>
          <w:sz w:val="16"/>
        </w:rPr>
        <w:t>People´s</w:t>
      </w:r>
      <w:r>
        <w:rPr>
          <w:i/>
          <w:spacing w:val="24"/>
          <w:sz w:val="16"/>
        </w:rPr>
        <w:t> </w:t>
      </w:r>
      <w:r>
        <w:rPr>
          <w:i/>
          <w:sz w:val="16"/>
        </w:rPr>
        <w:t>Rights</w:t>
      </w:r>
      <w:r>
        <w:rPr>
          <w:i/>
          <w:spacing w:val="23"/>
          <w:sz w:val="16"/>
        </w:rPr>
        <w:t> </w:t>
      </w:r>
      <w:r>
        <w:rPr>
          <w:i/>
          <w:sz w:val="16"/>
        </w:rPr>
        <w:t>(Ogiek)</w:t>
      </w:r>
      <w:r>
        <w:rPr>
          <w:i/>
          <w:spacing w:val="25"/>
          <w:sz w:val="16"/>
        </w:rPr>
        <w:t> </w:t>
      </w:r>
      <w:r>
        <w:rPr>
          <w:i/>
          <w:sz w:val="16"/>
        </w:rPr>
        <w:t>Vs.</w:t>
      </w:r>
      <w:r>
        <w:rPr>
          <w:i/>
          <w:spacing w:val="23"/>
          <w:sz w:val="16"/>
        </w:rPr>
        <w:t> </w:t>
      </w:r>
      <w:r>
        <w:rPr>
          <w:i/>
          <w:sz w:val="16"/>
        </w:rPr>
        <w:t>Kenya</w:t>
      </w:r>
      <w:r>
        <w:rPr>
          <w:sz w:val="16"/>
        </w:rPr>
        <w:t>,</w:t>
      </w:r>
      <w:r>
        <w:rPr>
          <w:spacing w:val="25"/>
          <w:sz w:val="16"/>
        </w:rPr>
        <w:t> </w:t>
      </w:r>
      <w:r>
        <w:rPr>
          <w:sz w:val="16"/>
        </w:rPr>
        <w:t>Application</w:t>
      </w:r>
      <w:r>
        <w:rPr>
          <w:spacing w:val="24"/>
          <w:sz w:val="16"/>
        </w:rPr>
        <w:t> </w:t>
      </w:r>
      <w:r>
        <w:rPr>
          <w:sz w:val="16"/>
        </w:rPr>
        <w:t>No.</w:t>
      </w:r>
      <w:r>
        <w:rPr>
          <w:w w:val="99"/>
          <w:sz w:val="16"/>
        </w:rPr>
        <w:t> </w:t>
      </w:r>
      <w:r>
        <w:rPr>
          <w:sz w:val="16"/>
        </w:rPr>
        <w:t>006/2012, Sentencia de 26 de mayo de 2017, párr.</w:t>
      </w:r>
      <w:r>
        <w:rPr>
          <w:spacing w:val="-14"/>
          <w:sz w:val="16"/>
        </w:rPr>
        <w:t> </w:t>
      </w:r>
      <w:r>
        <w:rPr>
          <w:sz w:val="16"/>
        </w:rPr>
        <w:t>170.</w:t>
      </w:r>
    </w:p>
    <w:p>
      <w:pPr>
        <w:tabs>
          <w:tab w:pos="826" w:val="left" w:leader="none"/>
        </w:tabs>
        <w:spacing w:before="121"/>
        <w:ind w:left="118" w:right="312" w:firstLine="0"/>
        <w:jc w:val="left"/>
        <w:rPr>
          <w:sz w:val="16"/>
        </w:rPr>
      </w:pPr>
      <w:r>
        <w:rPr>
          <w:position w:val="6"/>
          <w:sz w:val="10"/>
        </w:rPr>
        <w:t>39</w:t>
        <w:tab/>
      </w:r>
      <w:r>
        <w:rPr>
          <w:i/>
          <w:sz w:val="16"/>
        </w:rPr>
        <w:t>ACoHPR,</w:t>
      </w:r>
      <w:r>
        <w:rPr>
          <w:i/>
          <w:spacing w:val="24"/>
          <w:sz w:val="16"/>
        </w:rPr>
        <w:t> </w:t>
      </w:r>
      <w:r>
        <w:rPr>
          <w:i/>
          <w:sz w:val="16"/>
        </w:rPr>
        <w:t>African</w:t>
      </w:r>
      <w:r>
        <w:rPr>
          <w:i/>
          <w:spacing w:val="24"/>
          <w:sz w:val="16"/>
        </w:rPr>
        <w:t> </w:t>
      </w:r>
      <w:r>
        <w:rPr>
          <w:i/>
          <w:sz w:val="16"/>
        </w:rPr>
        <w:t>Commission</w:t>
      </w:r>
      <w:r>
        <w:rPr>
          <w:i/>
          <w:spacing w:val="26"/>
          <w:sz w:val="16"/>
        </w:rPr>
        <w:t> </w:t>
      </w:r>
      <w:r>
        <w:rPr>
          <w:i/>
          <w:sz w:val="16"/>
        </w:rPr>
        <w:t>on</w:t>
      </w:r>
      <w:r>
        <w:rPr>
          <w:i/>
          <w:spacing w:val="24"/>
          <w:sz w:val="16"/>
        </w:rPr>
        <w:t> </w:t>
      </w:r>
      <w:r>
        <w:rPr>
          <w:i/>
          <w:sz w:val="16"/>
        </w:rPr>
        <w:t>Human</w:t>
      </w:r>
      <w:r>
        <w:rPr>
          <w:i/>
          <w:spacing w:val="24"/>
          <w:sz w:val="16"/>
        </w:rPr>
        <w:t> </w:t>
      </w:r>
      <w:r>
        <w:rPr>
          <w:i/>
          <w:sz w:val="16"/>
        </w:rPr>
        <w:t>and</w:t>
      </w:r>
      <w:r>
        <w:rPr>
          <w:i/>
          <w:spacing w:val="24"/>
          <w:sz w:val="16"/>
        </w:rPr>
        <w:t> </w:t>
      </w:r>
      <w:r>
        <w:rPr>
          <w:i/>
          <w:sz w:val="16"/>
        </w:rPr>
        <w:t>People´s</w:t>
      </w:r>
      <w:r>
        <w:rPr>
          <w:i/>
          <w:spacing w:val="24"/>
          <w:sz w:val="16"/>
        </w:rPr>
        <w:t> </w:t>
      </w:r>
      <w:r>
        <w:rPr>
          <w:i/>
          <w:sz w:val="16"/>
        </w:rPr>
        <w:t>Rights</w:t>
      </w:r>
      <w:r>
        <w:rPr>
          <w:i/>
          <w:spacing w:val="23"/>
          <w:sz w:val="16"/>
        </w:rPr>
        <w:t> </w:t>
      </w:r>
      <w:r>
        <w:rPr>
          <w:i/>
          <w:sz w:val="16"/>
        </w:rPr>
        <w:t>(Ogiek)</w:t>
      </w:r>
      <w:r>
        <w:rPr>
          <w:i/>
          <w:spacing w:val="25"/>
          <w:sz w:val="16"/>
        </w:rPr>
        <w:t> </w:t>
      </w:r>
      <w:r>
        <w:rPr>
          <w:i/>
          <w:sz w:val="16"/>
        </w:rPr>
        <w:t>Vs.</w:t>
      </w:r>
      <w:r>
        <w:rPr>
          <w:i/>
          <w:spacing w:val="23"/>
          <w:sz w:val="16"/>
        </w:rPr>
        <w:t> </w:t>
      </w:r>
      <w:r>
        <w:rPr>
          <w:i/>
          <w:sz w:val="16"/>
        </w:rPr>
        <w:t>K</w:t>
      </w:r>
      <w:r>
        <w:rPr>
          <w:sz w:val="16"/>
        </w:rPr>
        <w:t>enya,</w:t>
      </w:r>
      <w:r>
        <w:rPr>
          <w:spacing w:val="24"/>
          <w:sz w:val="16"/>
        </w:rPr>
        <w:t> </w:t>
      </w:r>
      <w:r>
        <w:rPr>
          <w:sz w:val="16"/>
        </w:rPr>
        <w:t>Application</w:t>
      </w:r>
      <w:r>
        <w:rPr>
          <w:spacing w:val="24"/>
          <w:sz w:val="16"/>
        </w:rPr>
        <w:t> </w:t>
      </w:r>
      <w:r>
        <w:rPr>
          <w:sz w:val="16"/>
        </w:rPr>
        <w:t>No.</w:t>
      </w:r>
      <w:r>
        <w:rPr>
          <w:w w:val="99"/>
          <w:sz w:val="16"/>
        </w:rPr>
        <w:t> </w:t>
      </w:r>
      <w:r>
        <w:rPr>
          <w:sz w:val="16"/>
        </w:rPr>
        <w:t>006/2012, Sentencia de 26 de mayo de 2017, párr.</w:t>
      </w:r>
      <w:r>
        <w:rPr>
          <w:spacing w:val="-14"/>
          <w:sz w:val="16"/>
        </w:rPr>
        <w:t> </w:t>
      </w:r>
      <w:r>
        <w:rPr>
          <w:sz w:val="16"/>
        </w:rPr>
        <w:t>177.</w:t>
      </w:r>
    </w:p>
    <w:p>
      <w:pPr>
        <w:tabs>
          <w:tab w:pos="826" w:val="left" w:leader="none"/>
        </w:tabs>
        <w:spacing w:before="120"/>
        <w:ind w:left="118" w:right="312" w:firstLine="0"/>
        <w:jc w:val="left"/>
        <w:rPr>
          <w:sz w:val="16"/>
        </w:rPr>
      </w:pPr>
      <w:r>
        <w:rPr>
          <w:position w:val="6"/>
          <w:sz w:val="10"/>
        </w:rPr>
        <w:t>40</w:t>
        <w:tab/>
      </w:r>
      <w:r>
        <w:rPr>
          <w:i/>
          <w:sz w:val="16"/>
        </w:rPr>
        <w:t>ACoHPR,</w:t>
      </w:r>
      <w:r>
        <w:rPr>
          <w:i/>
          <w:spacing w:val="24"/>
          <w:sz w:val="16"/>
        </w:rPr>
        <w:t> </w:t>
      </w:r>
      <w:r>
        <w:rPr>
          <w:i/>
          <w:sz w:val="16"/>
        </w:rPr>
        <w:t>African</w:t>
      </w:r>
      <w:r>
        <w:rPr>
          <w:i/>
          <w:spacing w:val="24"/>
          <w:sz w:val="16"/>
        </w:rPr>
        <w:t> </w:t>
      </w:r>
      <w:r>
        <w:rPr>
          <w:i/>
          <w:sz w:val="16"/>
        </w:rPr>
        <w:t>Commission</w:t>
      </w:r>
      <w:r>
        <w:rPr>
          <w:i/>
          <w:spacing w:val="24"/>
          <w:sz w:val="16"/>
        </w:rPr>
        <w:t> </w:t>
      </w:r>
      <w:r>
        <w:rPr>
          <w:i/>
          <w:sz w:val="16"/>
        </w:rPr>
        <w:t>on</w:t>
      </w:r>
      <w:r>
        <w:rPr>
          <w:i/>
          <w:spacing w:val="24"/>
          <w:sz w:val="16"/>
        </w:rPr>
        <w:t> </w:t>
      </w:r>
      <w:r>
        <w:rPr>
          <w:i/>
          <w:sz w:val="16"/>
        </w:rPr>
        <w:t>Human</w:t>
      </w:r>
      <w:r>
        <w:rPr>
          <w:i/>
          <w:spacing w:val="24"/>
          <w:sz w:val="16"/>
        </w:rPr>
        <w:t> </w:t>
      </w:r>
      <w:r>
        <w:rPr>
          <w:i/>
          <w:sz w:val="16"/>
        </w:rPr>
        <w:t>and</w:t>
      </w:r>
      <w:r>
        <w:rPr>
          <w:i/>
          <w:spacing w:val="24"/>
          <w:sz w:val="16"/>
        </w:rPr>
        <w:t> </w:t>
      </w:r>
      <w:r>
        <w:rPr>
          <w:i/>
          <w:sz w:val="16"/>
        </w:rPr>
        <w:t>People´s</w:t>
      </w:r>
      <w:r>
        <w:rPr>
          <w:i/>
          <w:spacing w:val="24"/>
          <w:sz w:val="16"/>
        </w:rPr>
        <w:t> </w:t>
      </w:r>
      <w:r>
        <w:rPr>
          <w:i/>
          <w:sz w:val="16"/>
        </w:rPr>
        <w:t>Rights</w:t>
      </w:r>
      <w:r>
        <w:rPr>
          <w:i/>
          <w:spacing w:val="23"/>
          <w:sz w:val="16"/>
        </w:rPr>
        <w:t> </w:t>
      </w:r>
      <w:r>
        <w:rPr>
          <w:i/>
          <w:sz w:val="16"/>
        </w:rPr>
        <w:t>(Ogiek)</w:t>
      </w:r>
      <w:r>
        <w:rPr>
          <w:i/>
          <w:spacing w:val="25"/>
          <w:sz w:val="16"/>
        </w:rPr>
        <w:t> </w:t>
      </w:r>
      <w:r>
        <w:rPr>
          <w:i/>
          <w:sz w:val="16"/>
        </w:rPr>
        <w:t>Vs.</w:t>
      </w:r>
      <w:r>
        <w:rPr>
          <w:i/>
          <w:spacing w:val="23"/>
          <w:sz w:val="16"/>
        </w:rPr>
        <w:t> </w:t>
      </w:r>
      <w:r>
        <w:rPr>
          <w:i/>
          <w:sz w:val="16"/>
        </w:rPr>
        <w:t>Kenya</w:t>
      </w:r>
      <w:r>
        <w:rPr>
          <w:sz w:val="16"/>
        </w:rPr>
        <w:t>,</w:t>
      </w:r>
      <w:r>
        <w:rPr>
          <w:spacing w:val="25"/>
          <w:sz w:val="16"/>
        </w:rPr>
        <w:t> </w:t>
      </w:r>
      <w:r>
        <w:rPr>
          <w:sz w:val="16"/>
        </w:rPr>
        <w:t>Application</w:t>
      </w:r>
      <w:r>
        <w:rPr>
          <w:spacing w:val="24"/>
          <w:sz w:val="16"/>
        </w:rPr>
        <w:t> </w:t>
      </w:r>
      <w:r>
        <w:rPr>
          <w:sz w:val="16"/>
        </w:rPr>
        <w:t>No.</w:t>
      </w:r>
      <w:r>
        <w:rPr>
          <w:w w:val="99"/>
          <w:sz w:val="16"/>
        </w:rPr>
        <w:t> </w:t>
      </w:r>
      <w:r>
        <w:rPr>
          <w:sz w:val="16"/>
        </w:rPr>
        <w:t>006/2012, Sentencia de 26 de mayo de 2017, párr.</w:t>
      </w:r>
      <w:r>
        <w:rPr>
          <w:spacing w:val="-14"/>
          <w:sz w:val="16"/>
        </w:rPr>
        <w:t> </w:t>
      </w:r>
      <w:r>
        <w:rPr>
          <w:sz w:val="16"/>
        </w:rPr>
        <w:t>179.</w:t>
      </w:r>
    </w:p>
    <w:p>
      <w:pPr>
        <w:tabs>
          <w:tab w:pos="826" w:val="left" w:leader="none"/>
        </w:tabs>
        <w:spacing w:before="120"/>
        <w:ind w:left="118" w:right="312" w:firstLine="0"/>
        <w:jc w:val="left"/>
        <w:rPr>
          <w:sz w:val="16"/>
        </w:rPr>
      </w:pPr>
      <w:r>
        <w:rPr>
          <w:position w:val="6"/>
          <w:sz w:val="10"/>
        </w:rPr>
        <w:t>41</w:t>
        <w:tab/>
      </w:r>
      <w:r>
        <w:rPr>
          <w:i/>
          <w:sz w:val="16"/>
        </w:rPr>
        <w:t>ACoHPR, African Commission on Human and People´s Rights (Ogiek) Vs.  Kenya</w:t>
      </w:r>
      <w:r>
        <w:rPr>
          <w:sz w:val="16"/>
        </w:rPr>
        <w:t>,   </w:t>
      </w:r>
      <w:r>
        <w:rPr>
          <w:spacing w:val="46"/>
          <w:sz w:val="16"/>
        </w:rPr>
        <w:t> </w:t>
      </w:r>
      <w:r>
        <w:rPr>
          <w:sz w:val="16"/>
        </w:rPr>
        <w:t>Application</w:t>
      </w:r>
      <w:r>
        <w:rPr>
          <w:spacing w:val="24"/>
          <w:sz w:val="16"/>
        </w:rPr>
        <w:t> </w:t>
      </w:r>
      <w:r>
        <w:rPr>
          <w:sz w:val="16"/>
        </w:rPr>
        <w:t>No.</w:t>
      </w:r>
      <w:r>
        <w:rPr>
          <w:w w:val="99"/>
          <w:sz w:val="16"/>
        </w:rPr>
        <w:t> </w:t>
      </w:r>
      <w:r>
        <w:rPr>
          <w:sz w:val="16"/>
        </w:rPr>
        <w:t>006/2012, Sentencia de 26 de mayo de 2017, párr.</w:t>
      </w:r>
      <w:r>
        <w:rPr>
          <w:spacing w:val="-17"/>
          <w:sz w:val="16"/>
        </w:rPr>
        <w:t> </w:t>
      </w:r>
      <w:r>
        <w:rPr>
          <w:sz w:val="16"/>
        </w:rPr>
        <w:t>182.</w:t>
      </w:r>
    </w:p>
    <w:p>
      <w:pPr>
        <w:spacing w:after="0"/>
        <w:jc w:val="left"/>
        <w:rPr>
          <w:sz w:val="16"/>
        </w:rPr>
        <w:sectPr>
          <w:pgSz w:w="12240" w:h="15840"/>
          <w:pgMar w:header="0" w:footer="782" w:top="1340" w:bottom="980" w:left="1300" w:right="1720"/>
        </w:sectPr>
      </w:pPr>
    </w:p>
    <w:p>
      <w:pPr>
        <w:pStyle w:val="BodyText"/>
        <w:spacing w:before="77"/>
        <w:ind w:left="118" w:right="309"/>
        <w:jc w:val="both"/>
      </w:pPr>
      <w:r>
        <w:rPr/>
        <w:t>otras cosas, distinguir y comprender distintas caracteristicas que pueden presentar lesiones a los derechos de pueblos indígenas. Asi, muchas vulneraciones a esa vida cultural y bienes asociados podrán presentar vínculos con el libre disfrute del</w:t>
      </w:r>
      <w:r>
        <w:rPr>
          <w:spacing w:val="-29"/>
        </w:rPr>
        <w:t> </w:t>
      </w:r>
      <w:r>
        <w:rPr/>
        <w:t>territorio, pero no en todos los casos necesariamente presentará relación con el derecho de propiedad. Puede haber lesiones a derechos de pueblos indígenas o tribales que, estando vinculadas al territorio, puedan ser analizadas de mejor modo con base en derechos distintos del de</w:t>
      </w:r>
      <w:r>
        <w:rPr>
          <w:spacing w:val="-8"/>
        </w:rPr>
        <w:t> </w:t>
      </w:r>
      <w:r>
        <w:rPr/>
        <w:t>propiedad.</w:t>
      </w:r>
    </w:p>
    <w:p>
      <w:pPr>
        <w:pStyle w:val="BodyText"/>
        <w:spacing w:before="11"/>
        <w:rPr>
          <w:sz w:val="19"/>
        </w:rPr>
      </w:pPr>
    </w:p>
    <w:p>
      <w:pPr>
        <w:pStyle w:val="ListParagraph"/>
        <w:numPr>
          <w:ilvl w:val="0"/>
          <w:numId w:val="77"/>
        </w:numPr>
        <w:tabs>
          <w:tab w:pos="827" w:val="left" w:leader="none"/>
        </w:tabs>
        <w:spacing w:line="240" w:lineRule="auto" w:before="0" w:after="0"/>
        <w:ind w:left="118" w:right="307" w:firstLine="0"/>
        <w:jc w:val="both"/>
        <w:rPr>
          <w:sz w:val="20"/>
        </w:rPr>
      </w:pPr>
      <w:r>
        <w:rPr>
          <w:sz w:val="20"/>
        </w:rPr>
        <w:t>La evolución de la jurisprudencia interamericana, que ha derivado en un entendimiento autónomo de los DESCA, ayuda a resaltar las diferencias y matices mencionados, y a efectuar un examen más preciso: no siempre será necesario o pertinente reconducir al derecho de propiedad lesiones a derechos asociadas al territorio. La Sentencia sobre el caso </w:t>
      </w:r>
      <w:r>
        <w:rPr>
          <w:i/>
          <w:sz w:val="20"/>
        </w:rPr>
        <w:t>Lhaka Honhat </w:t>
      </w:r>
      <w:r>
        <w:rPr>
          <w:sz w:val="20"/>
        </w:rPr>
        <w:t>es muestra de esto. El examen de derechos a través del artículo 26 no ha pretendido negar la relación entre los derechos al medio ambiente sano, la alimentación adecuada, el agua y la identidad cultural con el territorio. Por el contrario, es innegable esa relación en el caso, existiendo una interdependencia entre ellos. Pero la misma ha generado impactos propios y diferenciados en los derechos referidos, que permitieron su examen autónomo, con respecto a la vulneración del derecho a la</w:t>
      </w:r>
      <w:r>
        <w:rPr>
          <w:spacing w:val="-14"/>
          <w:sz w:val="20"/>
        </w:rPr>
        <w:t> </w:t>
      </w:r>
      <w:r>
        <w:rPr>
          <w:sz w:val="20"/>
        </w:rPr>
        <w:t>propiedad.</w:t>
      </w:r>
    </w:p>
    <w:p>
      <w:pPr>
        <w:pStyle w:val="BodyText"/>
        <w:spacing w:before="11"/>
        <w:rPr>
          <w:sz w:val="19"/>
        </w:rPr>
      </w:pPr>
    </w:p>
    <w:p>
      <w:pPr>
        <w:pStyle w:val="Heading3"/>
        <w:numPr>
          <w:ilvl w:val="0"/>
          <w:numId w:val="47"/>
        </w:numPr>
        <w:tabs>
          <w:tab w:pos="978" w:val="left" w:leader="none"/>
        </w:tabs>
        <w:spacing w:line="240" w:lineRule="auto" w:before="0" w:after="0"/>
        <w:ind w:left="977" w:right="0" w:hanging="359"/>
        <w:jc w:val="left"/>
      </w:pPr>
      <w:r>
        <w:rPr/>
        <w:t>AUTONOMÍA E INTERDEPENDENCIA DE LOS DERECHOS</w:t>
      </w:r>
      <w:r>
        <w:rPr>
          <w:spacing w:val="-12"/>
        </w:rPr>
        <w:t> </w:t>
      </w:r>
      <w:r>
        <w:rPr/>
        <w:t>HUMANOS</w:t>
      </w:r>
    </w:p>
    <w:p>
      <w:pPr>
        <w:pStyle w:val="BodyText"/>
        <w:spacing w:before="11"/>
        <w:rPr>
          <w:b/>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La autonomía de los derechos (tanto DESCA como civiles y políticos) en modo alguno se opone a la interdependencia de los mismos. De hecho, el concepto de interdependencia solo puede entenderse a partir de la autonomía. La interdependencia se predica respecto de entidades autónomas, de lo contrario carecería de sentido. La significación de estos conceptos, entonces, debe vedar un entendimiento que, por vía de enfatizar la conexidad entre los derechos, lleve que la exigibilidad de uno de ellos sea condición necesaria para la exigibilidad de</w:t>
      </w:r>
      <w:r>
        <w:rPr>
          <w:spacing w:val="-15"/>
          <w:sz w:val="20"/>
        </w:rPr>
        <w:t> </w:t>
      </w:r>
      <w:r>
        <w:rPr>
          <w:sz w:val="20"/>
        </w:rPr>
        <w:t>otros.</w:t>
      </w:r>
    </w:p>
    <w:p>
      <w:pPr>
        <w:pStyle w:val="BodyText"/>
        <w:spacing w:before="11"/>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La “autonomía” hace alusión a que cada derecho tiene un contenido jurídico propio, distinto del de otros. Los diversos derechos se refieren a diferentes bienes (salud,</w:t>
      </w:r>
      <w:r>
        <w:rPr>
          <w:spacing w:val="-7"/>
          <w:sz w:val="20"/>
        </w:rPr>
        <w:t> </w:t>
      </w:r>
      <w:r>
        <w:rPr>
          <w:sz w:val="20"/>
        </w:rPr>
        <w:t>libertad,</w:t>
      </w:r>
      <w:r>
        <w:rPr>
          <w:spacing w:val="-8"/>
          <w:sz w:val="20"/>
        </w:rPr>
        <w:t> </w:t>
      </w:r>
      <w:r>
        <w:rPr>
          <w:sz w:val="20"/>
        </w:rPr>
        <w:t>educación,</w:t>
      </w:r>
      <w:r>
        <w:rPr>
          <w:spacing w:val="-6"/>
          <w:sz w:val="20"/>
        </w:rPr>
        <w:t> </w:t>
      </w:r>
      <w:r>
        <w:rPr>
          <w:sz w:val="20"/>
        </w:rPr>
        <w:t>vida,</w:t>
      </w:r>
      <w:r>
        <w:rPr>
          <w:spacing w:val="-8"/>
          <w:sz w:val="20"/>
        </w:rPr>
        <w:t> </w:t>
      </w:r>
      <w:r>
        <w:rPr>
          <w:sz w:val="20"/>
        </w:rPr>
        <w:t>etc.),</w:t>
      </w:r>
      <w:r>
        <w:rPr>
          <w:spacing w:val="-8"/>
          <w:sz w:val="20"/>
        </w:rPr>
        <w:t> </w:t>
      </w:r>
      <w:r>
        <w:rPr>
          <w:sz w:val="20"/>
        </w:rPr>
        <w:t>para</w:t>
      </w:r>
      <w:r>
        <w:rPr>
          <w:spacing w:val="-7"/>
          <w:sz w:val="20"/>
        </w:rPr>
        <w:t> </w:t>
      </w:r>
      <w:r>
        <w:rPr>
          <w:sz w:val="20"/>
        </w:rPr>
        <w:t>cuya</w:t>
      </w:r>
      <w:r>
        <w:rPr>
          <w:spacing w:val="-7"/>
          <w:sz w:val="20"/>
        </w:rPr>
        <w:t> </w:t>
      </w:r>
      <w:r>
        <w:rPr>
          <w:sz w:val="20"/>
        </w:rPr>
        <w:t>tutela</w:t>
      </w:r>
      <w:r>
        <w:rPr>
          <w:spacing w:val="-7"/>
          <w:sz w:val="20"/>
        </w:rPr>
        <w:t> </w:t>
      </w:r>
      <w:r>
        <w:rPr>
          <w:sz w:val="20"/>
        </w:rPr>
        <w:t>o</w:t>
      </w:r>
      <w:r>
        <w:rPr>
          <w:spacing w:val="-9"/>
          <w:sz w:val="20"/>
        </w:rPr>
        <w:t> </w:t>
      </w:r>
      <w:r>
        <w:rPr>
          <w:sz w:val="20"/>
        </w:rPr>
        <w:t>protección</w:t>
      </w:r>
      <w:r>
        <w:rPr>
          <w:spacing w:val="-8"/>
          <w:sz w:val="20"/>
        </w:rPr>
        <w:t> </w:t>
      </w:r>
      <w:r>
        <w:rPr>
          <w:sz w:val="20"/>
        </w:rPr>
        <w:t>existe</w:t>
      </w:r>
      <w:r>
        <w:rPr>
          <w:spacing w:val="-8"/>
          <w:sz w:val="20"/>
        </w:rPr>
        <w:t> </w:t>
      </w:r>
      <w:r>
        <w:rPr>
          <w:sz w:val="20"/>
        </w:rPr>
        <w:t>un</w:t>
      </w:r>
      <w:r>
        <w:rPr>
          <w:spacing w:val="-8"/>
          <w:sz w:val="20"/>
        </w:rPr>
        <w:t> </w:t>
      </w:r>
      <w:r>
        <w:rPr>
          <w:sz w:val="20"/>
        </w:rPr>
        <w:t>conjunto de obligaciones que deben cumplirse. El contenido de cada derecho presenta particularidades, que dan sentido a su reconocimiento jurídico</w:t>
      </w:r>
      <w:r>
        <w:rPr>
          <w:spacing w:val="-18"/>
          <w:sz w:val="20"/>
        </w:rPr>
        <w:t> </w:t>
      </w:r>
      <w:r>
        <w:rPr>
          <w:sz w:val="20"/>
        </w:rPr>
        <w:t>diferenciado.</w:t>
      </w:r>
    </w:p>
    <w:p>
      <w:pPr>
        <w:pStyle w:val="BodyText"/>
        <w:spacing w:before="11"/>
        <w:rPr>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Así, solo por poner un ejemplo, teniendo como base señalamientos del Comité de Derechos Económicos, Sociales y Culturales de las Naciones Unidas (en adelante “Comité DESC”), el derecho a la seguridad social, conforme está plasmado en el Pacto Internacional de Derechos Económicos, Sociales y Culturales, implica, entre otras cuestiones, el establecimiento por parte de los Estados de planes de seguridad social, que concedan prestaciones a las personas a partir de una edad determinada por la legislación; y que prevean “ayuda” para todas las personas que cumplan la edad prescrita aun cuando “no tengan cubiertos los períodos mínimos de cotización</w:t>
      </w:r>
      <w:r>
        <w:rPr>
          <w:spacing w:val="-44"/>
          <w:sz w:val="20"/>
        </w:rPr>
        <w:t> </w:t>
      </w:r>
      <w:r>
        <w:rPr>
          <w:sz w:val="20"/>
        </w:rPr>
        <w:t>exigidos, o por cualquier otra causa no tengan derecho a disfrutar de una pensión de vejez o de otro</w:t>
      </w:r>
      <w:r>
        <w:rPr>
          <w:spacing w:val="-18"/>
          <w:sz w:val="20"/>
        </w:rPr>
        <w:t> </w:t>
      </w:r>
      <w:r>
        <w:rPr>
          <w:sz w:val="20"/>
        </w:rPr>
        <w:t>tipo</w:t>
      </w:r>
      <w:r>
        <w:rPr>
          <w:spacing w:val="-18"/>
          <w:sz w:val="20"/>
        </w:rPr>
        <w:t> </w:t>
      </w:r>
      <w:r>
        <w:rPr>
          <w:sz w:val="20"/>
        </w:rPr>
        <w:t>de</w:t>
      </w:r>
      <w:r>
        <w:rPr>
          <w:spacing w:val="-17"/>
          <w:sz w:val="20"/>
        </w:rPr>
        <w:t> </w:t>
      </w:r>
      <w:r>
        <w:rPr>
          <w:sz w:val="20"/>
        </w:rPr>
        <w:t>prestación</w:t>
      </w:r>
      <w:r>
        <w:rPr>
          <w:spacing w:val="-18"/>
          <w:sz w:val="20"/>
        </w:rPr>
        <w:t> </w:t>
      </w:r>
      <w:r>
        <w:rPr>
          <w:sz w:val="20"/>
        </w:rPr>
        <w:t>o</w:t>
      </w:r>
      <w:r>
        <w:rPr>
          <w:spacing w:val="-17"/>
          <w:sz w:val="20"/>
        </w:rPr>
        <w:t> </w:t>
      </w:r>
      <w:r>
        <w:rPr>
          <w:sz w:val="20"/>
        </w:rPr>
        <w:t>ayuda</w:t>
      </w:r>
      <w:r>
        <w:rPr>
          <w:spacing w:val="-17"/>
          <w:sz w:val="20"/>
        </w:rPr>
        <w:t> </w:t>
      </w:r>
      <w:r>
        <w:rPr>
          <w:sz w:val="20"/>
        </w:rPr>
        <w:t>de</w:t>
      </w:r>
      <w:r>
        <w:rPr>
          <w:spacing w:val="-17"/>
          <w:sz w:val="20"/>
        </w:rPr>
        <w:t> </w:t>
      </w:r>
      <w:r>
        <w:rPr>
          <w:sz w:val="20"/>
        </w:rPr>
        <w:t>la</w:t>
      </w:r>
      <w:r>
        <w:rPr>
          <w:spacing w:val="-18"/>
          <w:sz w:val="20"/>
        </w:rPr>
        <w:t> </w:t>
      </w:r>
      <w:r>
        <w:rPr>
          <w:sz w:val="20"/>
        </w:rPr>
        <w:t>seguridad</w:t>
      </w:r>
      <w:r>
        <w:rPr>
          <w:spacing w:val="-17"/>
          <w:sz w:val="20"/>
        </w:rPr>
        <w:t> </w:t>
      </w:r>
      <w:r>
        <w:rPr>
          <w:sz w:val="20"/>
        </w:rPr>
        <w:t>social</w:t>
      </w:r>
      <w:r>
        <w:rPr>
          <w:spacing w:val="-17"/>
          <w:sz w:val="20"/>
        </w:rPr>
        <w:t> </w:t>
      </w:r>
      <w:r>
        <w:rPr>
          <w:sz w:val="20"/>
        </w:rPr>
        <w:t>y</w:t>
      </w:r>
      <w:r>
        <w:rPr>
          <w:spacing w:val="-18"/>
          <w:sz w:val="20"/>
        </w:rPr>
        <w:t> </w:t>
      </w:r>
      <w:r>
        <w:rPr>
          <w:sz w:val="20"/>
        </w:rPr>
        <w:t>carezcan</w:t>
      </w:r>
      <w:r>
        <w:rPr>
          <w:spacing w:val="-16"/>
          <w:sz w:val="20"/>
        </w:rPr>
        <w:t> </w:t>
      </w:r>
      <w:r>
        <w:rPr>
          <w:sz w:val="20"/>
        </w:rPr>
        <w:t>de</w:t>
      </w:r>
      <w:r>
        <w:rPr>
          <w:spacing w:val="-17"/>
          <w:sz w:val="20"/>
        </w:rPr>
        <w:t> </w:t>
      </w:r>
      <w:r>
        <w:rPr>
          <w:sz w:val="20"/>
        </w:rPr>
        <w:t>cualquier</w:t>
      </w:r>
      <w:r>
        <w:rPr>
          <w:spacing w:val="-16"/>
          <w:sz w:val="20"/>
        </w:rPr>
        <w:t> </w:t>
      </w:r>
      <w:r>
        <w:rPr>
          <w:sz w:val="20"/>
        </w:rPr>
        <w:t>otra</w:t>
      </w:r>
      <w:r>
        <w:rPr>
          <w:spacing w:val="-19"/>
          <w:sz w:val="20"/>
        </w:rPr>
        <w:t> </w:t>
      </w:r>
      <w:r>
        <w:rPr>
          <w:sz w:val="20"/>
        </w:rPr>
        <w:t>fuente de</w:t>
      </w:r>
      <w:r>
        <w:rPr>
          <w:spacing w:val="-1"/>
          <w:sz w:val="20"/>
        </w:rPr>
        <w:t> </w:t>
      </w:r>
      <w:r>
        <w:rPr>
          <w:sz w:val="20"/>
        </w:rPr>
        <w:t>ingresos”.</w:t>
      </w:r>
    </w:p>
    <w:p>
      <w:pPr>
        <w:pStyle w:val="BodyText"/>
        <w:spacing w:before="11"/>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Parece que esta obligación estatal de prever prestaciones relacionadas con la vejez, no relacionada necesariamente con una actividad laboral, excede el contenido obligacional</w:t>
      </w:r>
      <w:r>
        <w:rPr>
          <w:spacing w:val="-14"/>
          <w:sz w:val="20"/>
        </w:rPr>
        <w:t> </w:t>
      </w:r>
      <w:r>
        <w:rPr>
          <w:sz w:val="20"/>
        </w:rPr>
        <w:t>que</w:t>
      </w:r>
      <w:r>
        <w:rPr>
          <w:spacing w:val="-14"/>
          <w:sz w:val="20"/>
        </w:rPr>
        <w:t> </w:t>
      </w:r>
      <w:r>
        <w:rPr>
          <w:sz w:val="20"/>
        </w:rPr>
        <w:t>podría</w:t>
      </w:r>
      <w:r>
        <w:rPr>
          <w:spacing w:val="-16"/>
          <w:sz w:val="20"/>
        </w:rPr>
        <w:t> </w:t>
      </w:r>
      <w:r>
        <w:rPr>
          <w:sz w:val="20"/>
        </w:rPr>
        <w:t>desprenderse</w:t>
      </w:r>
      <w:r>
        <w:rPr>
          <w:spacing w:val="-14"/>
          <w:sz w:val="20"/>
        </w:rPr>
        <w:t> </w:t>
      </w:r>
      <w:r>
        <w:rPr>
          <w:sz w:val="20"/>
        </w:rPr>
        <w:t>de</w:t>
      </w:r>
      <w:r>
        <w:rPr>
          <w:spacing w:val="-14"/>
          <w:sz w:val="20"/>
        </w:rPr>
        <w:t> </w:t>
      </w:r>
      <w:r>
        <w:rPr>
          <w:sz w:val="20"/>
        </w:rPr>
        <w:t>otros</w:t>
      </w:r>
      <w:r>
        <w:rPr>
          <w:spacing w:val="-15"/>
          <w:sz w:val="20"/>
        </w:rPr>
        <w:t> </w:t>
      </w:r>
      <w:r>
        <w:rPr>
          <w:sz w:val="20"/>
        </w:rPr>
        <w:t>derechos,</w:t>
      </w:r>
      <w:r>
        <w:rPr>
          <w:spacing w:val="-13"/>
          <w:sz w:val="20"/>
        </w:rPr>
        <w:t> </w:t>
      </w:r>
      <w:r>
        <w:rPr>
          <w:sz w:val="20"/>
        </w:rPr>
        <w:t>pues</w:t>
      </w:r>
      <w:r>
        <w:rPr>
          <w:spacing w:val="-15"/>
          <w:sz w:val="20"/>
        </w:rPr>
        <w:t> </w:t>
      </w:r>
      <w:r>
        <w:rPr>
          <w:sz w:val="20"/>
        </w:rPr>
        <w:t>no</w:t>
      </w:r>
      <w:r>
        <w:rPr>
          <w:spacing w:val="-13"/>
          <w:sz w:val="20"/>
        </w:rPr>
        <w:t> </w:t>
      </w:r>
      <w:r>
        <w:rPr>
          <w:sz w:val="20"/>
        </w:rPr>
        <w:t>deriva</w:t>
      </w:r>
      <w:r>
        <w:rPr>
          <w:spacing w:val="-11"/>
          <w:sz w:val="20"/>
        </w:rPr>
        <w:t> </w:t>
      </w:r>
      <w:r>
        <w:rPr>
          <w:i/>
          <w:sz w:val="20"/>
        </w:rPr>
        <w:t>a</w:t>
      </w:r>
      <w:r>
        <w:rPr>
          <w:i/>
          <w:spacing w:val="-13"/>
          <w:sz w:val="20"/>
        </w:rPr>
        <w:t> </w:t>
      </w:r>
      <w:r>
        <w:rPr>
          <w:i/>
          <w:sz w:val="20"/>
        </w:rPr>
        <w:t>priori</w:t>
      </w:r>
      <w:r>
        <w:rPr>
          <w:i/>
          <w:spacing w:val="-14"/>
          <w:sz w:val="20"/>
        </w:rPr>
        <w:t> </w:t>
      </w:r>
      <w:r>
        <w:rPr>
          <w:sz w:val="20"/>
        </w:rPr>
        <w:t>de</w:t>
      </w:r>
      <w:r>
        <w:rPr>
          <w:spacing w:val="-14"/>
          <w:sz w:val="20"/>
        </w:rPr>
        <w:t> </w:t>
      </w:r>
      <w:r>
        <w:rPr>
          <w:sz w:val="20"/>
        </w:rPr>
        <w:t>ellos. Ello</w:t>
      </w:r>
      <w:r>
        <w:rPr>
          <w:spacing w:val="-8"/>
          <w:sz w:val="20"/>
        </w:rPr>
        <w:t> </w:t>
      </w:r>
      <w:r>
        <w:rPr>
          <w:sz w:val="20"/>
        </w:rPr>
        <w:t>no</w:t>
      </w:r>
      <w:r>
        <w:rPr>
          <w:spacing w:val="-7"/>
          <w:sz w:val="20"/>
        </w:rPr>
        <w:t> </w:t>
      </w:r>
      <w:r>
        <w:rPr>
          <w:sz w:val="20"/>
        </w:rPr>
        <w:t>obsta</w:t>
      </w:r>
      <w:r>
        <w:rPr>
          <w:spacing w:val="-7"/>
          <w:sz w:val="20"/>
        </w:rPr>
        <w:t> </w:t>
      </w:r>
      <w:r>
        <w:rPr>
          <w:sz w:val="20"/>
        </w:rPr>
        <w:t>a</w:t>
      </w:r>
      <w:r>
        <w:rPr>
          <w:spacing w:val="-7"/>
          <w:sz w:val="20"/>
        </w:rPr>
        <w:t> </w:t>
      </w:r>
      <w:r>
        <w:rPr>
          <w:sz w:val="20"/>
        </w:rPr>
        <w:t>que,</w:t>
      </w:r>
      <w:r>
        <w:rPr>
          <w:spacing w:val="-8"/>
          <w:sz w:val="20"/>
        </w:rPr>
        <w:t> </w:t>
      </w:r>
      <w:r>
        <w:rPr>
          <w:sz w:val="20"/>
        </w:rPr>
        <w:t>en</w:t>
      </w:r>
      <w:r>
        <w:rPr>
          <w:spacing w:val="-8"/>
          <w:sz w:val="20"/>
        </w:rPr>
        <w:t> </w:t>
      </w:r>
      <w:r>
        <w:rPr>
          <w:sz w:val="20"/>
        </w:rPr>
        <w:t>diversas</w:t>
      </w:r>
      <w:r>
        <w:rPr>
          <w:spacing w:val="-7"/>
          <w:sz w:val="20"/>
        </w:rPr>
        <w:t> </w:t>
      </w:r>
      <w:r>
        <w:rPr>
          <w:sz w:val="20"/>
        </w:rPr>
        <w:t>circunstancias,</w:t>
      </w:r>
      <w:r>
        <w:rPr>
          <w:spacing w:val="-6"/>
          <w:sz w:val="20"/>
        </w:rPr>
        <w:t> </w:t>
      </w:r>
      <w:r>
        <w:rPr>
          <w:sz w:val="20"/>
        </w:rPr>
        <w:t>la</w:t>
      </w:r>
      <w:r>
        <w:rPr>
          <w:spacing w:val="-8"/>
          <w:sz w:val="20"/>
        </w:rPr>
        <w:t> </w:t>
      </w:r>
      <w:r>
        <w:rPr>
          <w:sz w:val="20"/>
        </w:rPr>
        <w:t>eventual</w:t>
      </w:r>
      <w:r>
        <w:rPr>
          <w:spacing w:val="-7"/>
          <w:sz w:val="20"/>
        </w:rPr>
        <w:t> </w:t>
      </w:r>
      <w:r>
        <w:rPr>
          <w:sz w:val="20"/>
        </w:rPr>
        <w:t>vulneración</w:t>
      </w:r>
      <w:r>
        <w:rPr>
          <w:spacing w:val="-6"/>
          <w:sz w:val="20"/>
        </w:rPr>
        <w:t> </w:t>
      </w:r>
      <w:r>
        <w:rPr>
          <w:sz w:val="20"/>
        </w:rPr>
        <w:t>del</w:t>
      </w:r>
      <w:r>
        <w:rPr>
          <w:spacing w:val="-7"/>
          <w:sz w:val="20"/>
        </w:rPr>
        <w:t> </w:t>
      </w:r>
      <w:r>
        <w:rPr>
          <w:sz w:val="20"/>
        </w:rPr>
        <w:t>derecho</w:t>
      </w:r>
      <w:r>
        <w:rPr>
          <w:spacing w:val="-7"/>
          <w:sz w:val="20"/>
        </w:rPr>
        <w:t> </w:t>
      </w:r>
      <w:r>
        <w:rPr>
          <w:sz w:val="20"/>
        </w:rPr>
        <w:t>a</w:t>
      </w:r>
      <w:r>
        <w:rPr>
          <w:spacing w:val="-7"/>
          <w:sz w:val="20"/>
        </w:rPr>
        <w:t> </w:t>
      </w:r>
      <w:r>
        <w:rPr>
          <w:sz w:val="20"/>
        </w:rPr>
        <w:t>la seguridad social pueda tener impacto en el goce de otros derechos. El mismo  </w:t>
      </w:r>
      <w:r>
        <w:rPr>
          <w:spacing w:val="45"/>
          <w:sz w:val="20"/>
        </w:rPr>
        <w:t> </w:t>
      </w:r>
      <w:r>
        <w:rPr>
          <w:sz w:val="20"/>
        </w:rPr>
        <w:t>Comité</w:t>
      </w:r>
    </w:p>
    <w:p>
      <w:pPr>
        <w:spacing w:after="0" w:line="240" w:lineRule="auto"/>
        <w:jc w:val="both"/>
        <w:rPr>
          <w:sz w:val="20"/>
        </w:rPr>
        <w:sectPr>
          <w:pgSz w:w="12240" w:h="15840"/>
          <w:pgMar w:header="0" w:footer="782" w:top="1340" w:bottom="980" w:left="1300" w:right="1720"/>
        </w:sectPr>
      </w:pPr>
    </w:p>
    <w:p>
      <w:pPr>
        <w:pStyle w:val="BodyText"/>
        <w:spacing w:before="77"/>
        <w:ind w:left="118" w:right="309"/>
        <w:jc w:val="both"/>
      </w:pPr>
      <w:r>
        <w:rPr/>
        <w:t>aclara</w:t>
      </w:r>
      <w:r>
        <w:rPr>
          <w:spacing w:val="-13"/>
        </w:rPr>
        <w:t> </w:t>
      </w:r>
      <w:r>
        <w:rPr/>
        <w:t>que</w:t>
      </w:r>
      <w:r>
        <w:rPr>
          <w:spacing w:val="-12"/>
        </w:rPr>
        <w:t> </w:t>
      </w:r>
      <w:r>
        <w:rPr/>
        <w:t>el</w:t>
      </w:r>
      <w:r>
        <w:rPr>
          <w:spacing w:val="-12"/>
        </w:rPr>
        <w:t> </w:t>
      </w:r>
      <w:r>
        <w:rPr/>
        <w:t>derecho</w:t>
      </w:r>
      <w:r>
        <w:rPr>
          <w:spacing w:val="-14"/>
        </w:rPr>
        <w:t> </w:t>
      </w:r>
      <w:r>
        <w:rPr/>
        <w:t>a</w:t>
      </w:r>
      <w:r>
        <w:rPr>
          <w:spacing w:val="-12"/>
        </w:rPr>
        <w:t> </w:t>
      </w:r>
      <w:r>
        <w:rPr/>
        <w:t>la</w:t>
      </w:r>
      <w:r>
        <w:rPr>
          <w:spacing w:val="-13"/>
        </w:rPr>
        <w:t> </w:t>
      </w:r>
      <w:r>
        <w:rPr/>
        <w:t>seguridad</w:t>
      </w:r>
      <w:r>
        <w:rPr>
          <w:spacing w:val="-13"/>
        </w:rPr>
        <w:t> </w:t>
      </w:r>
      <w:r>
        <w:rPr/>
        <w:t>social</w:t>
      </w:r>
      <w:r>
        <w:rPr>
          <w:spacing w:val="-12"/>
        </w:rPr>
        <w:t> </w:t>
      </w:r>
      <w:r>
        <w:rPr/>
        <w:t>distingue</w:t>
      </w:r>
      <w:r>
        <w:rPr>
          <w:spacing w:val="-12"/>
        </w:rPr>
        <w:t> </w:t>
      </w:r>
      <w:r>
        <w:rPr/>
        <w:t>su</w:t>
      </w:r>
      <w:r>
        <w:rPr>
          <w:spacing w:val="-13"/>
        </w:rPr>
        <w:t> </w:t>
      </w:r>
      <w:r>
        <w:rPr/>
        <w:t>contenido</w:t>
      </w:r>
      <w:r>
        <w:rPr>
          <w:spacing w:val="-13"/>
        </w:rPr>
        <w:t> </w:t>
      </w:r>
      <w:r>
        <w:rPr/>
        <w:t>del</w:t>
      </w:r>
      <w:r>
        <w:rPr>
          <w:spacing w:val="-12"/>
        </w:rPr>
        <w:t> </w:t>
      </w:r>
      <w:r>
        <w:rPr/>
        <w:t>de</w:t>
      </w:r>
      <w:r>
        <w:rPr>
          <w:spacing w:val="-12"/>
        </w:rPr>
        <w:t> </w:t>
      </w:r>
      <w:r>
        <w:rPr/>
        <w:t>otros</w:t>
      </w:r>
      <w:r>
        <w:rPr>
          <w:spacing w:val="-13"/>
        </w:rPr>
        <w:t> </w:t>
      </w:r>
      <w:r>
        <w:rPr/>
        <w:t>derechos: “[e]l derecho a la seguridad social contribuye en gran medida a reforzar el ejercicio de muchos de los derechos enunciados en el Pacto, […s]in embargo, la adopción de medidas para el disfrute de otros derechos enunciados en el Pacto no constituirá en sí misma un sustituto de la creación de sistemas de seguridad</w:t>
      </w:r>
      <w:r>
        <w:rPr>
          <w:spacing w:val="-11"/>
        </w:rPr>
        <w:t> </w:t>
      </w:r>
      <w:r>
        <w:rPr/>
        <w:t>social”</w:t>
      </w:r>
      <w:r>
        <w:rPr>
          <w:position w:val="7"/>
          <w:sz w:val="13"/>
        </w:rPr>
        <w:t>42</w:t>
      </w:r>
      <w:r>
        <w:rPr/>
        <w:t>.</w:t>
      </w:r>
    </w:p>
    <w:p>
      <w:pPr>
        <w:pStyle w:val="BodyText"/>
      </w:pPr>
    </w:p>
    <w:p>
      <w:pPr>
        <w:pStyle w:val="ListParagraph"/>
        <w:numPr>
          <w:ilvl w:val="0"/>
          <w:numId w:val="77"/>
        </w:numPr>
        <w:tabs>
          <w:tab w:pos="827" w:val="left" w:leader="none"/>
        </w:tabs>
        <w:spacing w:line="240" w:lineRule="auto" w:before="0" w:after="0"/>
        <w:ind w:left="118" w:right="309" w:firstLine="0"/>
        <w:jc w:val="both"/>
        <w:rPr>
          <w:sz w:val="20"/>
        </w:rPr>
      </w:pPr>
      <w:r>
        <w:rPr>
          <w:sz w:val="20"/>
        </w:rPr>
        <w:t>Lo último señalado, que un derecho puede “reforzar el ejercicio” de otros, se relaciona con la interdependencia de los derechos. En 1993, la Declaración y Programa de</w:t>
      </w:r>
      <w:r>
        <w:rPr>
          <w:spacing w:val="-10"/>
          <w:sz w:val="20"/>
        </w:rPr>
        <w:t> </w:t>
      </w:r>
      <w:r>
        <w:rPr>
          <w:sz w:val="20"/>
        </w:rPr>
        <w:t>Acción</w:t>
      </w:r>
      <w:r>
        <w:rPr>
          <w:spacing w:val="-10"/>
          <w:sz w:val="20"/>
        </w:rPr>
        <w:t> </w:t>
      </w:r>
      <w:r>
        <w:rPr>
          <w:sz w:val="20"/>
        </w:rPr>
        <w:t>de</w:t>
      </w:r>
      <w:r>
        <w:rPr>
          <w:spacing w:val="-10"/>
          <w:sz w:val="20"/>
        </w:rPr>
        <w:t> </w:t>
      </w:r>
      <w:r>
        <w:rPr>
          <w:sz w:val="20"/>
        </w:rPr>
        <w:t>Viena,</w:t>
      </w:r>
      <w:r>
        <w:rPr>
          <w:spacing w:val="-12"/>
          <w:sz w:val="20"/>
        </w:rPr>
        <w:t> </w:t>
      </w:r>
      <w:r>
        <w:rPr>
          <w:sz w:val="20"/>
        </w:rPr>
        <w:t>que</w:t>
      </w:r>
      <w:r>
        <w:rPr>
          <w:spacing w:val="-10"/>
          <w:sz w:val="20"/>
        </w:rPr>
        <w:t> </w:t>
      </w:r>
      <w:r>
        <w:rPr>
          <w:sz w:val="20"/>
        </w:rPr>
        <w:t>marcó</w:t>
      </w:r>
      <w:r>
        <w:rPr>
          <w:spacing w:val="-10"/>
          <w:sz w:val="20"/>
        </w:rPr>
        <w:t> </w:t>
      </w:r>
      <w:r>
        <w:rPr>
          <w:sz w:val="20"/>
        </w:rPr>
        <w:t>la</w:t>
      </w:r>
      <w:r>
        <w:rPr>
          <w:spacing w:val="-11"/>
          <w:sz w:val="20"/>
        </w:rPr>
        <w:t> </w:t>
      </w:r>
      <w:r>
        <w:rPr>
          <w:sz w:val="20"/>
        </w:rPr>
        <w:t>agenda</w:t>
      </w:r>
      <w:r>
        <w:rPr>
          <w:spacing w:val="-11"/>
          <w:sz w:val="20"/>
        </w:rPr>
        <w:t> </w:t>
      </w:r>
      <w:r>
        <w:rPr>
          <w:sz w:val="20"/>
        </w:rPr>
        <w:t>internacional</w:t>
      </w:r>
      <w:r>
        <w:rPr>
          <w:spacing w:val="-11"/>
          <w:sz w:val="20"/>
        </w:rPr>
        <w:t> </w:t>
      </w:r>
      <w:r>
        <w:rPr>
          <w:sz w:val="20"/>
        </w:rPr>
        <w:t>sobre</w:t>
      </w:r>
      <w:r>
        <w:rPr>
          <w:spacing w:val="-10"/>
          <w:sz w:val="20"/>
        </w:rPr>
        <w:t> </w:t>
      </w:r>
      <w:r>
        <w:rPr>
          <w:sz w:val="20"/>
        </w:rPr>
        <w:t>Derechos</w:t>
      </w:r>
      <w:r>
        <w:rPr>
          <w:spacing w:val="-11"/>
          <w:sz w:val="20"/>
        </w:rPr>
        <w:t> </w:t>
      </w:r>
      <w:r>
        <w:rPr>
          <w:sz w:val="20"/>
        </w:rPr>
        <w:t>Humanos</w:t>
      </w:r>
      <w:r>
        <w:rPr>
          <w:spacing w:val="-12"/>
          <w:sz w:val="20"/>
        </w:rPr>
        <w:t> </w:t>
      </w:r>
      <w:r>
        <w:rPr>
          <w:sz w:val="20"/>
        </w:rPr>
        <w:t>a</w:t>
      </w:r>
      <w:r>
        <w:rPr>
          <w:spacing w:val="-10"/>
          <w:sz w:val="20"/>
        </w:rPr>
        <w:t> </w:t>
      </w:r>
      <w:r>
        <w:rPr>
          <w:sz w:val="20"/>
        </w:rPr>
        <w:t>nivel global, estableció que “[t]odos los derechos humanos son universales, indivisibles e interdependientes</w:t>
      </w:r>
      <w:r>
        <w:rPr>
          <w:spacing w:val="-10"/>
          <w:sz w:val="20"/>
        </w:rPr>
        <w:t> </w:t>
      </w:r>
      <w:r>
        <w:rPr>
          <w:sz w:val="20"/>
        </w:rPr>
        <w:t>y</w:t>
      </w:r>
      <w:r>
        <w:rPr>
          <w:spacing w:val="-13"/>
          <w:sz w:val="20"/>
        </w:rPr>
        <w:t> </w:t>
      </w:r>
      <w:r>
        <w:rPr>
          <w:sz w:val="20"/>
        </w:rPr>
        <w:t>están</w:t>
      </w:r>
      <w:r>
        <w:rPr>
          <w:spacing w:val="-10"/>
          <w:sz w:val="20"/>
        </w:rPr>
        <w:t> </w:t>
      </w:r>
      <w:r>
        <w:rPr>
          <w:sz w:val="20"/>
        </w:rPr>
        <w:t>relacionados</w:t>
      </w:r>
      <w:r>
        <w:rPr>
          <w:spacing w:val="-11"/>
          <w:sz w:val="20"/>
        </w:rPr>
        <w:t> </w:t>
      </w:r>
      <w:r>
        <w:rPr>
          <w:sz w:val="20"/>
        </w:rPr>
        <w:t>entre</w:t>
      </w:r>
      <w:r>
        <w:rPr>
          <w:spacing w:val="-10"/>
          <w:sz w:val="20"/>
        </w:rPr>
        <w:t> </w:t>
      </w:r>
      <w:r>
        <w:rPr>
          <w:sz w:val="20"/>
        </w:rPr>
        <w:t>sí.</w:t>
      </w:r>
      <w:r>
        <w:rPr>
          <w:spacing w:val="-10"/>
          <w:sz w:val="20"/>
        </w:rPr>
        <w:t> </w:t>
      </w:r>
      <w:r>
        <w:rPr>
          <w:sz w:val="20"/>
        </w:rPr>
        <w:t>La</w:t>
      </w:r>
      <w:r>
        <w:rPr>
          <w:spacing w:val="-11"/>
          <w:sz w:val="20"/>
        </w:rPr>
        <w:t> </w:t>
      </w:r>
      <w:r>
        <w:rPr>
          <w:sz w:val="20"/>
        </w:rPr>
        <w:t>comunidad</w:t>
      </w:r>
      <w:r>
        <w:rPr>
          <w:spacing w:val="-11"/>
          <w:sz w:val="20"/>
        </w:rPr>
        <w:t> </w:t>
      </w:r>
      <w:r>
        <w:rPr>
          <w:sz w:val="20"/>
        </w:rPr>
        <w:t>internacional</w:t>
      </w:r>
      <w:r>
        <w:rPr>
          <w:spacing w:val="-12"/>
          <w:sz w:val="20"/>
        </w:rPr>
        <w:t> </w:t>
      </w:r>
      <w:r>
        <w:rPr>
          <w:sz w:val="20"/>
        </w:rPr>
        <w:t>debe</w:t>
      </w:r>
      <w:r>
        <w:rPr>
          <w:spacing w:val="-12"/>
          <w:sz w:val="20"/>
        </w:rPr>
        <w:t> </w:t>
      </w:r>
      <w:r>
        <w:rPr>
          <w:sz w:val="20"/>
        </w:rPr>
        <w:t>tratar los derechos humanos en forma global…”. En 2012 esto fue reafirmado en el ámbito americano, en la Carta Social de las Américas, que señala “la universalidad, indivisibilidad e interdependencia de todos los derechos humanos y su papel esencial para</w:t>
      </w:r>
      <w:r>
        <w:rPr>
          <w:spacing w:val="-6"/>
          <w:sz w:val="20"/>
        </w:rPr>
        <w:t> </w:t>
      </w:r>
      <w:r>
        <w:rPr>
          <w:sz w:val="20"/>
        </w:rPr>
        <w:t>el</w:t>
      </w:r>
      <w:r>
        <w:rPr>
          <w:spacing w:val="-5"/>
          <w:sz w:val="20"/>
        </w:rPr>
        <w:t> </w:t>
      </w:r>
      <w:r>
        <w:rPr>
          <w:sz w:val="20"/>
        </w:rPr>
        <w:t>desarrollo</w:t>
      </w:r>
      <w:r>
        <w:rPr>
          <w:spacing w:val="-6"/>
          <w:sz w:val="20"/>
        </w:rPr>
        <w:t> </w:t>
      </w:r>
      <w:r>
        <w:rPr>
          <w:sz w:val="20"/>
        </w:rPr>
        <w:t>social</w:t>
      </w:r>
      <w:r>
        <w:rPr>
          <w:spacing w:val="-8"/>
          <w:sz w:val="20"/>
        </w:rPr>
        <w:t> </w:t>
      </w:r>
      <w:r>
        <w:rPr>
          <w:sz w:val="20"/>
        </w:rPr>
        <w:t>y</w:t>
      </w:r>
      <w:r>
        <w:rPr>
          <w:spacing w:val="-6"/>
          <w:sz w:val="20"/>
        </w:rPr>
        <w:t> </w:t>
      </w:r>
      <w:r>
        <w:rPr>
          <w:sz w:val="20"/>
        </w:rPr>
        <w:t>la</w:t>
      </w:r>
      <w:r>
        <w:rPr>
          <w:spacing w:val="-7"/>
          <w:sz w:val="20"/>
        </w:rPr>
        <w:t> </w:t>
      </w:r>
      <w:r>
        <w:rPr>
          <w:sz w:val="20"/>
        </w:rPr>
        <w:t>realización</w:t>
      </w:r>
      <w:r>
        <w:rPr>
          <w:spacing w:val="-7"/>
          <w:sz w:val="20"/>
        </w:rPr>
        <w:t> </w:t>
      </w:r>
      <w:r>
        <w:rPr>
          <w:sz w:val="20"/>
        </w:rPr>
        <w:t>del</w:t>
      </w:r>
      <w:r>
        <w:rPr>
          <w:spacing w:val="-5"/>
          <w:sz w:val="20"/>
        </w:rPr>
        <w:t> </w:t>
      </w:r>
      <w:r>
        <w:rPr>
          <w:sz w:val="20"/>
        </w:rPr>
        <w:t>potencial</w:t>
      </w:r>
      <w:r>
        <w:rPr>
          <w:spacing w:val="-7"/>
          <w:sz w:val="20"/>
        </w:rPr>
        <w:t> </w:t>
      </w:r>
      <w:r>
        <w:rPr>
          <w:sz w:val="20"/>
        </w:rPr>
        <w:t>humano”</w:t>
      </w:r>
      <w:r>
        <w:rPr>
          <w:position w:val="7"/>
          <w:sz w:val="13"/>
        </w:rPr>
        <w:t>43</w:t>
      </w:r>
      <w:r>
        <w:rPr>
          <w:sz w:val="20"/>
        </w:rPr>
        <w:t>.</w:t>
      </w:r>
      <w:r>
        <w:rPr>
          <w:spacing w:val="-7"/>
          <w:sz w:val="20"/>
        </w:rPr>
        <w:t> </w:t>
      </w:r>
      <w:r>
        <w:rPr>
          <w:sz w:val="20"/>
        </w:rPr>
        <w:t>Ningún</w:t>
      </w:r>
      <w:r>
        <w:rPr>
          <w:spacing w:val="-8"/>
          <w:sz w:val="20"/>
        </w:rPr>
        <w:t> </w:t>
      </w:r>
      <w:r>
        <w:rPr>
          <w:sz w:val="20"/>
        </w:rPr>
        <w:t>derecho</w:t>
      </w:r>
      <w:r>
        <w:rPr>
          <w:spacing w:val="-7"/>
          <w:sz w:val="20"/>
        </w:rPr>
        <w:t> </w:t>
      </w:r>
      <w:r>
        <w:rPr>
          <w:sz w:val="20"/>
        </w:rPr>
        <w:t>puede disfrutarse de forma aislada, sino que ese disfrute depende del disfrute de todos los demás</w:t>
      </w:r>
      <w:r>
        <w:rPr>
          <w:spacing w:val="-1"/>
          <w:sz w:val="20"/>
        </w:rPr>
        <w:t> </w:t>
      </w:r>
      <w:r>
        <w:rPr>
          <w:sz w:val="20"/>
        </w:rPr>
        <w:t>derechos.</w:t>
      </w:r>
    </w:p>
    <w:p>
      <w:pPr>
        <w:pStyle w:val="BodyText"/>
        <w:spacing w:before="11"/>
        <w:rPr>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El concepto de “interdependencia” alude al vínculo entre los derechos, que hace que la concreción o satisfacción de unos dependa de la de otros. Así, por ejemplo, no podría</w:t>
      </w:r>
      <w:r>
        <w:rPr>
          <w:spacing w:val="-7"/>
          <w:sz w:val="20"/>
        </w:rPr>
        <w:t> </w:t>
      </w:r>
      <w:r>
        <w:rPr>
          <w:sz w:val="20"/>
        </w:rPr>
        <w:t>pensarse</w:t>
      </w:r>
      <w:r>
        <w:rPr>
          <w:spacing w:val="-6"/>
          <w:sz w:val="20"/>
        </w:rPr>
        <w:t> </w:t>
      </w:r>
      <w:r>
        <w:rPr>
          <w:sz w:val="20"/>
        </w:rPr>
        <w:t>que</w:t>
      </w:r>
      <w:r>
        <w:rPr>
          <w:spacing w:val="-7"/>
          <w:sz w:val="20"/>
        </w:rPr>
        <w:t> </w:t>
      </w:r>
      <w:r>
        <w:rPr>
          <w:sz w:val="20"/>
        </w:rPr>
        <w:t>puede</w:t>
      </w:r>
      <w:r>
        <w:rPr>
          <w:spacing w:val="-6"/>
          <w:sz w:val="20"/>
        </w:rPr>
        <w:t> </w:t>
      </w:r>
      <w:r>
        <w:rPr>
          <w:sz w:val="20"/>
        </w:rPr>
        <w:t>realmente</w:t>
      </w:r>
      <w:r>
        <w:rPr>
          <w:spacing w:val="-6"/>
          <w:sz w:val="20"/>
        </w:rPr>
        <w:t> </w:t>
      </w:r>
      <w:r>
        <w:rPr>
          <w:sz w:val="20"/>
        </w:rPr>
        <w:t>realizarse</w:t>
      </w:r>
      <w:r>
        <w:rPr>
          <w:spacing w:val="-6"/>
          <w:sz w:val="20"/>
        </w:rPr>
        <w:t> </w:t>
      </w:r>
      <w:r>
        <w:rPr>
          <w:sz w:val="20"/>
        </w:rPr>
        <w:t>la</w:t>
      </w:r>
      <w:r>
        <w:rPr>
          <w:spacing w:val="-8"/>
          <w:sz w:val="20"/>
        </w:rPr>
        <w:t> </w:t>
      </w:r>
      <w:r>
        <w:rPr>
          <w:sz w:val="20"/>
        </w:rPr>
        <w:t>libertad</w:t>
      </w:r>
      <w:r>
        <w:rPr>
          <w:spacing w:val="-7"/>
          <w:sz w:val="20"/>
        </w:rPr>
        <w:t> </w:t>
      </w:r>
      <w:r>
        <w:rPr>
          <w:sz w:val="20"/>
        </w:rPr>
        <w:t>de</w:t>
      </w:r>
      <w:r>
        <w:rPr>
          <w:spacing w:val="-7"/>
          <w:sz w:val="20"/>
        </w:rPr>
        <w:t> </w:t>
      </w:r>
      <w:r>
        <w:rPr>
          <w:sz w:val="20"/>
        </w:rPr>
        <w:t>conciencia</w:t>
      </w:r>
      <w:r>
        <w:rPr>
          <w:spacing w:val="-4"/>
          <w:sz w:val="20"/>
        </w:rPr>
        <w:t> </w:t>
      </w:r>
      <w:r>
        <w:rPr>
          <w:sz w:val="20"/>
        </w:rPr>
        <w:t>y</w:t>
      </w:r>
      <w:r>
        <w:rPr>
          <w:spacing w:val="-8"/>
          <w:sz w:val="20"/>
        </w:rPr>
        <w:t> </w:t>
      </w:r>
      <w:r>
        <w:rPr>
          <w:sz w:val="20"/>
        </w:rPr>
        <w:t>religión</w:t>
      </w:r>
      <w:r>
        <w:rPr>
          <w:spacing w:val="-6"/>
          <w:sz w:val="20"/>
        </w:rPr>
        <w:t> </w:t>
      </w:r>
      <w:r>
        <w:rPr>
          <w:sz w:val="20"/>
        </w:rPr>
        <w:t>si,</w:t>
      </w:r>
      <w:r>
        <w:rPr>
          <w:spacing w:val="-8"/>
          <w:sz w:val="20"/>
        </w:rPr>
        <w:t> </w:t>
      </w:r>
      <w:r>
        <w:rPr>
          <w:sz w:val="20"/>
        </w:rPr>
        <w:t>a su vez, no se garantiza la libertad de pensamiento y</w:t>
      </w:r>
      <w:r>
        <w:rPr>
          <w:spacing w:val="-18"/>
          <w:sz w:val="20"/>
        </w:rPr>
        <w:t> </w:t>
      </w:r>
      <w:r>
        <w:rPr>
          <w:sz w:val="20"/>
        </w:rPr>
        <w:t>expresión.</w:t>
      </w:r>
    </w:p>
    <w:p>
      <w:pPr>
        <w:pStyle w:val="BodyText"/>
        <w:spacing w:before="11"/>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La autonomía de los DESCA a partir del artículo 26 no niega (no podría hacerlo) su carácter interdependiente, entre sí y con otros derechos civiles y políticos. La Corte IDH, al examinar casos que involucraron derechos protegidos por esa disposición, con frecuencia ha decidido de conformidad con tal carácter. Pueden mencionarse, al respecto, algunos</w:t>
      </w:r>
      <w:r>
        <w:rPr>
          <w:spacing w:val="-8"/>
          <w:sz w:val="20"/>
        </w:rPr>
        <w:t> </w:t>
      </w:r>
      <w:r>
        <w:rPr>
          <w:sz w:val="20"/>
        </w:rPr>
        <w:t>ejemplos.</w:t>
      </w:r>
    </w:p>
    <w:p>
      <w:pPr>
        <w:pStyle w:val="ListParagraph"/>
        <w:numPr>
          <w:ilvl w:val="0"/>
          <w:numId w:val="77"/>
        </w:numPr>
        <w:tabs>
          <w:tab w:pos="827" w:val="left" w:leader="none"/>
        </w:tabs>
        <w:spacing w:line="240" w:lineRule="auto" w:before="158" w:after="0"/>
        <w:ind w:left="118" w:right="309" w:firstLine="0"/>
        <w:jc w:val="both"/>
        <w:rPr>
          <w:sz w:val="20"/>
        </w:rPr>
      </w:pPr>
      <w:r>
        <w:rPr>
          <w:sz w:val="20"/>
        </w:rPr>
        <w:t>En</w:t>
      </w:r>
      <w:r>
        <w:rPr>
          <w:spacing w:val="-19"/>
          <w:sz w:val="20"/>
        </w:rPr>
        <w:t> </w:t>
      </w:r>
      <w:r>
        <w:rPr>
          <w:sz w:val="20"/>
        </w:rPr>
        <w:t>el</w:t>
      </w:r>
      <w:r>
        <w:rPr>
          <w:spacing w:val="-19"/>
          <w:sz w:val="20"/>
        </w:rPr>
        <w:t> </w:t>
      </w:r>
      <w:r>
        <w:rPr>
          <w:sz w:val="20"/>
        </w:rPr>
        <w:t>caso</w:t>
      </w:r>
      <w:r>
        <w:rPr>
          <w:spacing w:val="-19"/>
          <w:sz w:val="20"/>
        </w:rPr>
        <w:t> </w:t>
      </w:r>
      <w:r>
        <w:rPr>
          <w:i/>
          <w:sz w:val="20"/>
        </w:rPr>
        <w:t>Poblete</w:t>
      </w:r>
      <w:r>
        <w:rPr>
          <w:i/>
          <w:spacing w:val="-19"/>
          <w:sz w:val="20"/>
        </w:rPr>
        <w:t> </w:t>
      </w:r>
      <w:r>
        <w:rPr>
          <w:i/>
          <w:sz w:val="20"/>
        </w:rPr>
        <w:t>Vilches</w:t>
      </w:r>
      <w:r>
        <w:rPr>
          <w:i/>
          <w:spacing w:val="-18"/>
          <w:sz w:val="20"/>
        </w:rPr>
        <w:t> </w:t>
      </w:r>
      <w:r>
        <w:rPr>
          <w:i/>
          <w:sz w:val="20"/>
        </w:rPr>
        <w:t>Vs.</w:t>
      </w:r>
      <w:r>
        <w:rPr>
          <w:i/>
          <w:spacing w:val="-20"/>
          <w:sz w:val="20"/>
        </w:rPr>
        <w:t> </w:t>
      </w:r>
      <w:r>
        <w:rPr>
          <w:i/>
          <w:sz w:val="20"/>
        </w:rPr>
        <w:t>Chile</w:t>
      </w:r>
      <w:r>
        <w:rPr>
          <w:sz w:val="20"/>
        </w:rPr>
        <w:t>,</w:t>
      </w:r>
      <w:r>
        <w:rPr>
          <w:spacing w:val="-20"/>
          <w:sz w:val="20"/>
        </w:rPr>
        <w:t> </w:t>
      </w:r>
      <w:r>
        <w:rPr>
          <w:sz w:val="20"/>
        </w:rPr>
        <w:t>la</w:t>
      </w:r>
      <w:r>
        <w:rPr>
          <w:spacing w:val="-19"/>
          <w:sz w:val="20"/>
        </w:rPr>
        <w:t> </w:t>
      </w:r>
      <w:r>
        <w:rPr>
          <w:sz w:val="20"/>
        </w:rPr>
        <w:t>Corte</w:t>
      </w:r>
      <w:r>
        <w:rPr>
          <w:spacing w:val="-17"/>
          <w:sz w:val="20"/>
        </w:rPr>
        <w:t> </w:t>
      </w:r>
      <w:r>
        <w:rPr>
          <w:sz w:val="20"/>
        </w:rPr>
        <w:t>IDH</w:t>
      </w:r>
      <w:r>
        <w:rPr>
          <w:spacing w:val="-18"/>
          <w:sz w:val="20"/>
        </w:rPr>
        <w:t> </w:t>
      </w:r>
      <w:r>
        <w:rPr>
          <w:sz w:val="20"/>
        </w:rPr>
        <w:t>advirtió</w:t>
      </w:r>
      <w:r>
        <w:rPr>
          <w:spacing w:val="-19"/>
          <w:sz w:val="20"/>
        </w:rPr>
        <w:t> </w:t>
      </w:r>
      <w:r>
        <w:rPr>
          <w:sz w:val="20"/>
        </w:rPr>
        <w:t>que</w:t>
      </w:r>
      <w:r>
        <w:rPr>
          <w:spacing w:val="-19"/>
          <w:sz w:val="20"/>
        </w:rPr>
        <w:t> </w:t>
      </w:r>
      <w:r>
        <w:rPr>
          <w:sz w:val="20"/>
        </w:rPr>
        <w:t>la</w:t>
      </w:r>
      <w:r>
        <w:rPr>
          <w:spacing w:val="-19"/>
          <w:sz w:val="20"/>
        </w:rPr>
        <w:t> </w:t>
      </w:r>
      <w:r>
        <w:rPr>
          <w:sz w:val="20"/>
        </w:rPr>
        <w:t>falta</w:t>
      </w:r>
      <w:r>
        <w:rPr>
          <w:spacing w:val="-19"/>
          <w:sz w:val="20"/>
        </w:rPr>
        <w:t> </w:t>
      </w:r>
      <w:r>
        <w:rPr>
          <w:sz w:val="20"/>
        </w:rPr>
        <w:t>de</w:t>
      </w:r>
      <w:r>
        <w:rPr>
          <w:spacing w:val="-18"/>
          <w:sz w:val="20"/>
        </w:rPr>
        <w:t> </w:t>
      </w:r>
      <w:r>
        <w:rPr>
          <w:sz w:val="20"/>
        </w:rPr>
        <w:t>obtención de</w:t>
      </w:r>
      <w:r>
        <w:rPr>
          <w:spacing w:val="-9"/>
          <w:sz w:val="20"/>
        </w:rPr>
        <w:t> </w:t>
      </w:r>
      <w:r>
        <w:rPr>
          <w:sz w:val="20"/>
        </w:rPr>
        <w:t>consentimiento</w:t>
      </w:r>
      <w:r>
        <w:rPr>
          <w:spacing w:val="-10"/>
          <w:sz w:val="20"/>
        </w:rPr>
        <w:t> </w:t>
      </w:r>
      <w:r>
        <w:rPr>
          <w:sz w:val="20"/>
        </w:rPr>
        <w:t>informado</w:t>
      </w:r>
      <w:r>
        <w:rPr>
          <w:spacing w:val="-9"/>
          <w:sz w:val="20"/>
        </w:rPr>
        <w:t> </w:t>
      </w:r>
      <w:r>
        <w:rPr>
          <w:sz w:val="20"/>
        </w:rPr>
        <w:t>para</w:t>
      </w:r>
      <w:r>
        <w:rPr>
          <w:spacing w:val="-10"/>
          <w:sz w:val="20"/>
        </w:rPr>
        <w:t> </w:t>
      </w:r>
      <w:r>
        <w:rPr>
          <w:sz w:val="20"/>
        </w:rPr>
        <w:t>un</w:t>
      </w:r>
      <w:r>
        <w:rPr>
          <w:spacing w:val="-9"/>
          <w:sz w:val="20"/>
        </w:rPr>
        <w:t> </w:t>
      </w:r>
      <w:r>
        <w:rPr>
          <w:sz w:val="20"/>
        </w:rPr>
        <w:t>tratamiento</w:t>
      </w:r>
      <w:r>
        <w:rPr>
          <w:spacing w:val="-8"/>
          <w:sz w:val="20"/>
        </w:rPr>
        <w:t> </w:t>
      </w:r>
      <w:r>
        <w:rPr>
          <w:sz w:val="20"/>
        </w:rPr>
        <w:t>médico,</w:t>
      </w:r>
      <w:r>
        <w:rPr>
          <w:spacing w:val="-10"/>
          <w:sz w:val="20"/>
        </w:rPr>
        <w:t> </w:t>
      </w:r>
      <w:r>
        <w:rPr>
          <w:sz w:val="20"/>
        </w:rPr>
        <w:t>afectó</w:t>
      </w:r>
      <w:r>
        <w:rPr>
          <w:spacing w:val="-10"/>
          <w:sz w:val="20"/>
        </w:rPr>
        <w:t> </w:t>
      </w:r>
      <w:r>
        <w:rPr>
          <w:sz w:val="20"/>
        </w:rPr>
        <w:t>no</w:t>
      </w:r>
      <w:r>
        <w:rPr>
          <w:spacing w:val="-9"/>
          <w:sz w:val="20"/>
        </w:rPr>
        <w:t> </w:t>
      </w:r>
      <w:r>
        <w:rPr>
          <w:sz w:val="20"/>
        </w:rPr>
        <w:t>solo</w:t>
      </w:r>
      <w:r>
        <w:rPr>
          <w:spacing w:val="-9"/>
          <w:sz w:val="20"/>
        </w:rPr>
        <w:t> </w:t>
      </w:r>
      <w:r>
        <w:rPr>
          <w:sz w:val="20"/>
        </w:rPr>
        <w:t>el</w:t>
      </w:r>
      <w:r>
        <w:rPr>
          <w:spacing w:val="-10"/>
          <w:sz w:val="20"/>
        </w:rPr>
        <w:t> </w:t>
      </w:r>
      <w:r>
        <w:rPr>
          <w:sz w:val="20"/>
        </w:rPr>
        <w:t>ejercicio</w:t>
      </w:r>
      <w:r>
        <w:rPr>
          <w:spacing w:val="-7"/>
          <w:sz w:val="20"/>
        </w:rPr>
        <w:t> </w:t>
      </w:r>
      <w:r>
        <w:rPr>
          <w:sz w:val="20"/>
        </w:rPr>
        <w:t>del derecho</w:t>
      </w:r>
      <w:r>
        <w:rPr>
          <w:spacing w:val="-17"/>
          <w:sz w:val="20"/>
        </w:rPr>
        <w:t> </w:t>
      </w:r>
      <w:r>
        <w:rPr>
          <w:sz w:val="20"/>
        </w:rPr>
        <w:t>a</w:t>
      </w:r>
      <w:r>
        <w:rPr>
          <w:spacing w:val="-18"/>
          <w:sz w:val="20"/>
        </w:rPr>
        <w:t> </w:t>
      </w:r>
      <w:r>
        <w:rPr>
          <w:sz w:val="20"/>
        </w:rPr>
        <w:t>la</w:t>
      </w:r>
      <w:r>
        <w:rPr>
          <w:spacing w:val="-18"/>
          <w:sz w:val="20"/>
        </w:rPr>
        <w:t> </w:t>
      </w:r>
      <w:r>
        <w:rPr>
          <w:sz w:val="20"/>
        </w:rPr>
        <w:t>salud,</w:t>
      </w:r>
      <w:r>
        <w:rPr>
          <w:spacing w:val="-16"/>
          <w:sz w:val="20"/>
        </w:rPr>
        <w:t> </w:t>
      </w:r>
      <w:r>
        <w:rPr>
          <w:sz w:val="20"/>
        </w:rPr>
        <w:t>sino</w:t>
      </w:r>
      <w:r>
        <w:rPr>
          <w:spacing w:val="-18"/>
          <w:sz w:val="20"/>
        </w:rPr>
        <w:t> </w:t>
      </w:r>
      <w:r>
        <w:rPr>
          <w:sz w:val="20"/>
        </w:rPr>
        <w:t>también</w:t>
      </w:r>
      <w:r>
        <w:rPr>
          <w:spacing w:val="-17"/>
          <w:sz w:val="20"/>
        </w:rPr>
        <w:t> </w:t>
      </w:r>
      <w:r>
        <w:rPr>
          <w:sz w:val="20"/>
        </w:rPr>
        <w:t>el</w:t>
      </w:r>
      <w:r>
        <w:rPr>
          <w:spacing w:val="-17"/>
          <w:sz w:val="20"/>
        </w:rPr>
        <w:t> </w:t>
      </w:r>
      <w:r>
        <w:rPr>
          <w:sz w:val="20"/>
        </w:rPr>
        <w:t>derecho</w:t>
      </w:r>
      <w:r>
        <w:rPr>
          <w:spacing w:val="-17"/>
          <w:sz w:val="20"/>
        </w:rPr>
        <w:t> </w:t>
      </w:r>
      <w:r>
        <w:rPr>
          <w:sz w:val="20"/>
        </w:rPr>
        <w:t>a</w:t>
      </w:r>
      <w:r>
        <w:rPr>
          <w:spacing w:val="-18"/>
          <w:sz w:val="20"/>
        </w:rPr>
        <w:t> </w:t>
      </w:r>
      <w:r>
        <w:rPr>
          <w:sz w:val="20"/>
        </w:rPr>
        <w:t>acceder</w:t>
      </w:r>
      <w:r>
        <w:rPr>
          <w:spacing w:val="-16"/>
          <w:sz w:val="20"/>
        </w:rPr>
        <w:t> </w:t>
      </w:r>
      <w:r>
        <w:rPr>
          <w:sz w:val="20"/>
        </w:rPr>
        <w:t>a</w:t>
      </w:r>
      <w:r>
        <w:rPr>
          <w:spacing w:val="-18"/>
          <w:sz w:val="20"/>
        </w:rPr>
        <w:t> </w:t>
      </w:r>
      <w:r>
        <w:rPr>
          <w:sz w:val="20"/>
        </w:rPr>
        <w:t>información</w:t>
      </w:r>
      <w:r>
        <w:rPr>
          <w:spacing w:val="-17"/>
          <w:sz w:val="20"/>
        </w:rPr>
        <w:t> </w:t>
      </w:r>
      <w:r>
        <w:rPr>
          <w:sz w:val="20"/>
        </w:rPr>
        <w:t>y</w:t>
      </w:r>
      <w:r>
        <w:rPr>
          <w:spacing w:val="-18"/>
          <w:sz w:val="20"/>
        </w:rPr>
        <w:t> </w:t>
      </w:r>
      <w:r>
        <w:rPr>
          <w:sz w:val="20"/>
        </w:rPr>
        <w:t>a</w:t>
      </w:r>
      <w:r>
        <w:rPr>
          <w:spacing w:val="-18"/>
          <w:sz w:val="20"/>
        </w:rPr>
        <w:t> </w:t>
      </w:r>
      <w:r>
        <w:rPr>
          <w:sz w:val="20"/>
        </w:rPr>
        <w:t>tomar</w:t>
      </w:r>
      <w:r>
        <w:rPr>
          <w:spacing w:val="-17"/>
          <w:sz w:val="20"/>
        </w:rPr>
        <w:t> </w:t>
      </w:r>
      <w:r>
        <w:rPr>
          <w:sz w:val="20"/>
        </w:rPr>
        <w:t>decisiones libres sobre el propio cuerpo, lo que incidió en la autonomía personal y la vida privada y familiar. Por otra parte, dado que se concluyó que hubo una relación entre omisiones en prestaciones de salud y padecimientos y la muerte de la víctima, se declararon violados los derechos a la vida y a la integridad personal “en relación” con el derecho a la</w:t>
      </w:r>
      <w:r>
        <w:rPr>
          <w:spacing w:val="-4"/>
          <w:sz w:val="20"/>
        </w:rPr>
        <w:t> </w:t>
      </w:r>
      <w:r>
        <w:rPr>
          <w:sz w:val="20"/>
        </w:rPr>
        <w:t>salud</w:t>
      </w:r>
      <w:r>
        <w:rPr>
          <w:position w:val="7"/>
          <w:sz w:val="13"/>
        </w:rPr>
        <w:t>44</w:t>
      </w:r>
      <w:r>
        <w:rPr>
          <w:sz w:val="20"/>
        </w:rPr>
        <w:t>.</w:t>
      </w:r>
    </w:p>
    <w:p>
      <w:pPr>
        <w:pStyle w:val="ListParagraph"/>
        <w:numPr>
          <w:ilvl w:val="0"/>
          <w:numId w:val="77"/>
        </w:numPr>
        <w:tabs>
          <w:tab w:pos="827" w:val="left" w:leader="none"/>
        </w:tabs>
        <w:spacing w:line="240" w:lineRule="auto" w:before="159" w:after="0"/>
        <w:ind w:left="118" w:right="309" w:firstLine="0"/>
        <w:jc w:val="both"/>
        <w:rPr>
          <w:sz w:val="20"/>
        </w:rPr>
      </w:pPr>
      <w:r>
        <w:rPr>
          <w:sz w:val="20"/>
        </w:rPr>
        <w:t>En su decisión sobre el caso </w:t>
      </w:r>
      <w:r>
        <w:rPr>
          <w:i/>
          <w:sz w:val="20"/>
        </w:rPr>
        <w:t>San Miguel Sosa y otras Vs. Venezuela</w:t>
      </w:r>
      <w:r>
        <w:rPr>
          <w:sz w:val="20"/>
        </w:rPr>
        <w:t>, el Tribunal Interamericano constató que los hechos del caso mostraban que la terminación arbitraria de una relación laboral se había utilizado como forma de represalia y “discriminación política” por el ejercicio de derechos de participación política y libertad de expresión y que, al respecto, no se garantizó a las víctimas el acceso a la justicia. Por ello determinó una vulneración al derecho al trabajo (artículo 26) “en relación”</w:t>
      </w:r>
      <w:r>
        <w:rPr>
          <w:spacing w:val="4"/>
          <w:sz w:val="20"/>
        </w:rPr>
        <w:t> </w:t>
      </w:r>
      <w:r>
        <w:rPr>
          <w:sz w:val="20"/>
        </w:rPr>
        <w:t>con</w:t>
      </w:r>
    </w:p>
    <w:p>
      <w:pPr>
        <w:pStyle w:val="BodyText"/>
      </w:pPr>
    </w:p>
    <w:p>
      <w:pPr>
        <w:pStyle w:val="BodyText"/>
      </w:pPr>
    </w:p>
    <w:p>
      <w:pPr>
        <w:pStyle w:val="BodyText"/>
        <w:spacing w:before="4"/>
        <w:rPr>
          <w:sz w:val="25"/>
        </w:rPr>
      </w:pPr>
      <w:r>
        <w:rPr/>
        <w:pict>
          <v:line style="position:absolute;mso-position-horizontal-relative:page;mso-position-vertical-relative:paragraph;z-index:4984;mso-wrap-distance-left:0;mso-wrap-distance-right:0" from="70.919998pt,17.666676pt" to="214.939998pt,17.666676pt" stroked="true" strokeweight=".60004pt" strokecolor="#000000">
            <v:stroke dashstyle="solid"/>
            <w10:wrap type="topAndBottom"/>
          </v:line>
        </w:pict>
      </w:r>
    </w:p>
    <w:p>
      <w:pPr>
        <w:tabs>
          <w:tab w:pos="826" w:val="left" w:leader="none"/>
        </w:tabs>
        <w:spacing w:before="73"/>
        <w:ind w:left="118" w:right="315" w:firstLine="0"/>
        <w:jc w:val="left"/>
        <w:rPr>
          <w:sz w:val="16"/>
        </w:rPr>
      </w:pPr>
      <w:r>
        <w:rPr>
          <w:position w:val="6"/>
          <w:sz w:val="10"/>
        </w:rPr>
        <w:t>42</w:t>
        <w:tab/>
      </w:r>
      <w:r>
        <w:rPr>
          <w:sz w:val="16"/>
        </w:rPr>
        <w:t>Comité</w:t>
      </w:r>
      <w:r>
        <w:rPr>
          <w:spacing w:val="-16"/>
          <w:sz w:val="16"/>
        </w:rPr>
        <w:t> </w:t>
      </w:r>
      <w:r>
        <w:rPr>
          <w:sz w:val="16"/>
        </w:rPr>
        <w:t>DESC.</w:t>
      </w:r>
      <w:r>
        <w:rPr>
          <w:spacing w:val="-16"/>
          <w:sz w:val="16"/>
        </w:rPr>
        <w:t> </w:t>
      </w:r>
      <w:r>
        <w:rPr>
          <w:sz w:val="16"/>
        </w:rPr>
        <w:t>39º</w:t>
      </w:r>
      <w:r>
        <w:rPr>
          <w:spacing w:val="-15"/>
          <w:sz w:val="16"/>
        </w:rPr>
        <w:t> </w:t>
      </w:r>
      <w:r>
        <w:rPr>
          <w:sz w:val="16"/>
        </w:rPr>
        <w:t>Periodo</w:t>
      </w:r>
      <w:r>
        <w:rPr>
          <w:spacing w:val="-15"/>
          <w:sz w:val="16"/>
        </w:rPr>
        <w:t> </w:t>
      </w:r>
      <w:r>
        <w:rPr>
          <w:sz w:val="16"/>
        </w:rPr>
        <w:t>de</w:t>
      </w:r>
      <w:r>
        <w:rPr>
          <w:spacing w:val="-15"/>
          <w:sz w:val="16"/>
        </w:rPr>
        <w:t> </w:t>
      </w:r>
      <w:r>
        <w:rPr>
          <w:sz w:val="16"/>
        </w:rPr>
        <w:t>Sesiones</w:t>
      </w:r>
      <w:r>
        <w:rPr>
          <w:spacing w:val="-16"/>
          <w:sz w:val="16"/>
        </w:rPr>
        <w:t> </w:t>
      </w:r>
      <w:r>
        <w:rPr>
          <w:sz w:val="16"/>
        </w:rPr>
        <w:t>(2007)</w:t>
      </w:r>
      <w:r>
        <w:rPr>
          <w:spacing w:val="-16"/>
          <w:sz w:val="16"/>
        </w:rPr>
        <w:t> </w:t>
      </w:r>
      <w:r>
        <w:rPr>
          <w:sz w:val="16"/>
        </w:rPr>
        <w:t>Observación</w:t>
      </w:r>
      <w:r>
        <w:rPr>
          <w:spacing w:val="-14"/>
          <w:sz w:val="16"/>
        </w:rPr>
        <w:t> </w:t>
      </w:r>
      <w:r>
        <w:rPr>
          <w:sz w:val="16"/>
        </w:rPr>
        <w:t>General</w:t>
      </w:r>
      <w:r>
        <w:rPr>
          <w:spacing w:val="-16"/>
          <w:sz w:val="16"/>
        </w:rPr>
        <w:t> </w:t>
      </w:r>
      <w:r>
        <w:rPr>
          <w:sz w:val="16"/>
        </w:rPr>
        <w:t>No.</w:t>
      </w:r>
      <w:r>
        <w:rPr>
          <w:spacing w:val="-15"/>
          <w:sz w:val="16"/>
        </w:rPr>
        <w:t> </w:t>
      </w:r>
      <w:r>
        <w:rPr>
          <w:sz w:val="16"/>
        </w:rPr>
        <w:t>19.</w:t>
      </w:r>
      <w:r>
        <w:rPr>
          <w:spacing w:val="-16"/>
          <w:sz w:val="16"/>
        </w:rPr>
        <w:t> </w:t>
      </w:r>
      <w:r>
        <w:rPr>
          <w:sz w:val="16"/>
        </w:rPr>
        <w:t>El</w:t>
      </w:r>
      <w:r>
        <w:rPr>
          <w:spacing w:val="-16"/>
          <w:sz w:val="16"/>
        </w:rPr>
        <w:t> </w:t>
      </w:r>
      <w:r>
        <w:rPr>
          <w:sz w:val="16"/>
        </w:rPr>
        <w:t>Derecho</w:t>
      </w:r>
      <w:r>
        <w:rPr>
          <w:spacing w:val="-15"/>
          <w:sz w:val="16"/>
        </w:rPr>
        <w:t> </w:t>
      </w:r>
      <w:r>
        <w:rPr>
          <w:sz w:val="16"/>
        </w:rPr>
        <w:t>a</w:t>
      </w:r>
      <w:r>
        <w:rPr>
          <w:spacing w:val="-15"/>
          <w:sz w:val="16"/>
        </w:rPr>
        <w:t> </w:t>
      </w:r>
      <w:r>
        <w:rPr>
          <w:sz w:val="16"/>
        </w:rPr>
        <w:t>la</w:t>
      </w:r>
      <w:r>
        <w:rPr>
          <w:spacing w:val="-15"/>
          <w:sz w:val="16"/>
        </w:rPr>
        <w:t> </w:t>
      </w:r>
      <w:r>
        <w:rPr>
          <w:sz w:val="16"/>
        </w:rPr>
        <w:t>Seguridad</w:t>
      </w:r>
      <w:r>
        <w:rPr>
          <w:w w:val="99"/>
          <w:sz w:val="16"/>
        </w:rPr>
        <w:t> </w:t>
      </w:r>
      <w:r>
        <w:rPr>
          <w:sz w:val="16"/>
        </w:rPr>
        <w:t>Social (artículo 9 del Pacto), párrs. 15 y</w:t>
      </w:r>
      <w:r>
        <w:rPr>
          <w:spacing w:val="-12"/>
          <w:sz w:val="16"/>
        </w:rPr>
        <w:t> </w:t>
      </w:r>
      <w:r>
        <w:rPr>
          <w:sz w:val="16"/>
        </w:rPr>
        <w:t>28.</w:t>
      </w:r>
    </w:p>
    <w:p>
      <w:pPr>
        <w:tabs>
          <w:tab w:pos="826" w:val="left" w:leader="none"/>
        </w:tabs>
        <w:spacing w:before="120"/>
        <w:ind w:left="118" w:right="312" w:firstLine="0"/>
        <w:jc w:val="left"/>
        <w:rPr>
          <w:sz w:val="16"/>
        </w:rPr>
      </w:pPr>
      <w:r>
        <w:rPr>
          <w:position w:val="6"/>
          <w:sz w:val="10"/>
        </w:rPr>
        <w:t>43</w:t>
        <w:tab/>
      </w:r>
      <w:r>
        <w:rPr>
          <w:sz w:val="16"/>
        </w:rPr>
        <w:t>OEA. Asamblea General. Carta Social de las Américas.  Aprobada en la   </w:t>
      </w:r>
      <w:r>
        <w:rPr>
          <w:spacing w:val="48"/>
          <w:sz w:val="16"/>
        </w:rPr>
        <w:t> </w:t>
      </w:r>
      <w:r>
        <w:rPr>
          <w:sz w:val="16"/>
        </w:rPr>
        <w:t>segunda  sesión</w:t>
      </w:r>
      <w:r>
        <w:rPr>
          <w:spacing w:val="27"/>
          <w:sz w:val="16"/>
        </w:rPr>
        <w:t> </w:t>
      </w:r>
      <w:r>
        <w:rPr>
          <w:sz w:val="16"/>
        </w:rPr>
        <w:t>plenaria,</w:t>
      </w:r>
      <w:r>
        <w:rPr>
          <w:w w:val="99"/>
          <w:sz w:val="16"/>
        </w:rPr>
        <w:t> </w:t>
      </w:r>
      <w:r>
        <w:rPr>
          <w:sz w:val="16"/>
        </w:rPr>
        <w:t>celebrada el 4 de junio de 2012 Doc. OEA/Ser.P AG/doc.5242/12 rev.</w:t>
      </w:r>
      <w:r>
        <w:rPr>
          <w:spacing w:val="-20"/>
          <w:sz w:val="16"/>
        </w:rPr>
        <w:t> </w:t>
      </w:r>
      <w:r>
        <w:rPr>
          <w:sz w:val="16"/>
        </w:rPr>
        <w:t>1.</w:t>
      </w:r>
    </w:p>
    <w:p>
      <w:pPr>
        <w:tabs>
          <w:tab w:pos="826" w:val="left" w:leader="none"/>
        </w:tabs>
        <w:spacing w:before="120"/>
        <w:ind w:left="118" w:right="312" w:firstLine="0"/>
        <w:jc w:val="left"/>
        <w:rPr>
          <w:sz w:val="16"/>
        </w:rPr>
      </w:pPr>
      <w:r>
        <w:rPr>
          <w:position w:val="6"/>
          <w:sz w:val="10"/>
        </w:rPr>
        <w:t>44</w:t>
        <w:tab/>
      </w:r>
      <w:r>
        <w:rPr>
          <w:i/>
          <w:sz w:val="16"/>
        </w:rPr>
        <w:t>Cfr. Caso Poblete Vilches y otros Vs. Chile. Fondo, Reparaciones y Costas. </w:t>
      </w:r>
      <w:r>
        <w:rPr>
          <w:sz w:val="16"/>
        </w:rPr>
        <w:t>Sentencia de 8</w:t>
      </w:r>
      <w:r>
        <w:rPr>
          <w:spacing w:val="22"/>
          <w:sz w:val="16"/>
        </w:rPr>
        <w:t> </w:t>
      </w:r>
      <w:r>
        <w:rPr>
          <w:sz w:val="16"/>
        </w:rPr>
        <w:t>de</w:t>
      </w:r>
      <w:r>
        <w:rPr>
          <w:spacing w:val="1"/>
          <w:sz w:val="16"/>
        </w:rPr>
        <w:t> </w:t>
      </w:r>
      <w:r>
        <w:rPr>
          <w:sz w:val="16"/>
        </w:rPr>
        <w:t>marzo</w:t>
      </w:r>
      <w:r>
        <w:rPr>
          <w:w w:val="99"/>
          <w:sz w:val="16"/>
        </w:rPr>
        <w:t> </w:t>
      </w:r>
      <w:r>
        <w:rPr>
          <w:sz w:val="16"/>
        </w:rPr>
        <w:t>de 2018. Serie C No. 349, párrs. 136 a 143, 156, 161 a 173 y</w:t>
      </w:r>
      <w:r>
        <w:rPr>
          <w:spacing w:val="-18"/>
          <w:sz w:val="16"/>
        </w:rPr>
        <w:t> </w:t>
      </w:r>
      <w:r>
        <w:rPr>
          <w:sz w:val="16"/>
        </w:rPr>
        <w:t>198.</w:t>
      </w:r>
    </w:p>
    <w:p>
      <w:pPr>
        <w:spacing w:after="0"/>
        <w:jc w:val="left"/>
        <w:rPr>
          <w:sz w:val="16"/>
        </w:rPr>
        <w:sectPr>
          <w:pgSz w:w="12240" w:h="15840"/>
          <w:pgMar w:header="0" w:footer="782" w:top="1340" w:bottom="980" w:left="1300" w:right="1720"/>
        </w:sectPr>
      </w:pPr>
    </w:p>
    <w:p>
      <w:pPr>
        <w:pStyle w:val="BodyText"/>
        <w:spacing w:before="77"/>
        <w:ind w:left="118"/>
        <w:jc w:val="both"/>
      </w:pPr>
      <w:r>
        <w:rPr/>
        <w:t>“los derechos a la participación política, a la libertad de expresión y de acceso a la</w:t>
      </w:r>
    </w:p>
    <w:p>
      <w:pPr>
        <w:pStyle w:val="BodyText"/>
        <w:ind w:left="118"/>
        <w:jc w:val="both"/>
      </w:pPr>
      <w:r>
        <w:rPr/>
        <w:t>justicia, así como con el principio de no discriminación”</w:t>
      </w:r>
      <w:r>
        <w:rPr>
          <w:position w:val="7"/>
          <w:sz w:val="13"/>
        </w:rPr>
        <w:t>45</w:t>
      </w:r>
      <w:r>
        <w:rPr/>
        <w:t>.</w:t>
      </w:r>
    </w:p>
    <w:p>
      <w:pPr>
        <w:pStyle w:val="ListParagraph"/>
        <w:numPr>
          <w:ilvl w:val="0"/>
          <w:numId w:val="77"/>
        </w:numPr>
        <w:tabs>
          <w:tab w:pos="827" w:val="left" w:leader="none"/>
        </w:tabs>
        <w:spacing w:line="240" w:lineRule="auto" w:before="160" w:after="0"/>
        <w:ind w:left="118" w:right="308" w:firstLine="0"/>
        <w:jc w:val="both"/>
        <w:rPr>
          <w:sz w:val="20"/>
        </w:rPr>
      </w:pPr>
      <w:r>
        <w:rPr>
          <w:sz w:val="20"/>
        </w:rPr>
        <w:t>En el caso </w:t>
      </w:r>
      <w:r>
        <w:rPr>
          <w:i/>
          <w:sz w:val="20"/>
        </w:rPr>
        <w:t>Asociación Nacional de Cesantes y Jubilados de la Superintendencia </w:t>
      </w:r>
      <w:r>
        <w:rPr>
          <w:i/>
          <w:sz w:val="20"/>
        </w:rPr>
        <w:t>Nacional de Administración Tributaria (ANCEJUB-SUNAT) Vs. Perú, </w:t>
      </w:r>
      <w:r>
        <w:rPr>
          <w:sz w:val="20"/>
        </w:rPr>
        <w:t>la Corte IDH señaló además</w:t>
      </w:r>
      <w:r>
        <w:rPr>
          <w:spacing w:val="-19"/>
          <w:sz w:val="20"/>
        </w:rPr>
        <w:t> </w:t>
      </w:r>
      <w:r>
        <w:rPr>
          <w:sz w:val="20"/>
        </w:rPr>
        <w:t>que</w:t>
      </w:r>
      <w:r>
        <w:rPr>
          <w:spacing w:val="-18"/>
          <w:sz w:val="20"/>
        </w:rPr>
        <w:t> </w:t>
      </w:r>
      <w:r>
        <w:rPr>
          <w:sz w:val="20"/>
        </w:rPr>
        <w:t>uno</w:t>
      </w:r>
      <w:r>
        <w:rPr>
          <w:spacing w:val="-18"/>
          <w:sz w:val="20"/>
        </w:rPr>
        <w:t> </w:t>
      </w:r>
      <w:r>
        <w:rPr>
          <w:sz w:val="20"/>
        </w:rPr>
        <w:t>de</w:t>
      </w:r>
      <w:r>
        <w:rPr>
          <w:spacing w:val="-18"/>
          <w:sz w:val="20"/>
        </w:rPr>
        <w:t> </w:t>
      </w:r>
      <w:r>
        <w:rPr>
          <w:sz w:val="20"/>
        </w:rPr>
        <w:t>“de</w:t>
      </w:r>
      <w:r>
        <w:rPr>
          <w:spacing w:val="-18"/>
          <w:sz w:val="20"/>
        </w:rPr>
        <w:t> </w:t>
      </w:r>
      <w:r>
        <w:rPr>
          <w:sz w:val="20"/>
        </w:rPr>
        <w:t>los</w:t>
      </w:r>
      <w:r>
        <w:rPr>
          <w:spacing w:val="-17"/>
          <w:sz w:val="20"/>
        </w:rPr>
        <w:t> </w:t>
      </w:r>
      <w:r>
        <w:rPr>
          <w:sz w:val="20"/>
        </w:rPr>
        <w:t>elementos</w:t>
      </w:r>
      <w:r>
        <w:rPr>
          <w:spacing w:val="-18"/>
          <w:sz w:val="20"/>
        </w:rPr>
        <w:t> </w:t>
      </w:r>
      <w:r>
        <w:rPr>
          <w:sz w:val="20"/>
        </w:rPr>
        <w:t>fundamentales</w:t>
      </w:r>
      <w:r>
        <w:rPr>
          <w:spacing w:val="-19"/>
          <w:sz w:val="20"/>
        </w:rPr>
        <w:t> </w:t>
      </w:r>
      <w:r>
        <w:rPr>
          <w:sz w:val="20"/>
        </w:rPr>
        <w:t>de</w:t>
      </w:r>
      <w:r>
        <w:rPr>
          <w:spacing w:val="-18"/>
          <w:sz w:val="20"/>
        </w:rPr>
        <w:t> </w:t>
      </w:r>
      <w:r>
        <w:rPr>
          <w:sz w:val="20"/>
        </w:rPr>
        <w:t>la</w:t>
      </w:r>
      <w:r>
        <w:rPr>
          <w:spacing w:val="-19"/>
          <w:sz w:val="20"/>
        </w:rPr>
        <w:t> </w:t>
      </w:r>
      <w:r>
        <w:rPr>
          <w:sz w:val="20"/>
        </w:rPr>
        <w:t>seguridad</w:t>
      </w:r>
      <w:r>
        <w:rPr>
          <w:spacing w:val="-19"/>
          <w:sz w:val="20"/>
        </w:rPr>
        <w:t> </w:t>
      </w:r>
      <w:r>
        <w:rPr>
          <w:sz w:val="20"/>
        </w:rPr>
        <w:t>social</w:t>
      </w:r>
      <w:r>
        <w:rPr>
          <w:spacing w:val="-19"/>
          <w:sz w:val="20"/>
        </w:rPr>
        <w:t> </w:t>
      </w:r>
      <w:r>
        <w:rPr>
          <w:sz w:val="20"/>
        </w:rPr>
        <w:t>lo</w:t>
      </w:r>
      <w:r>
        <w:rPr>
          <w:spacing w:val="-18"/>
          <w:sz w:val="20"/>
        </w:rPr>
        <w:t> </w:t>
      </w:r>
      <w:r>
        <w:rPr>
          <w:sz w:val="20"/>
        </w:rPr>
        <w:t>constituye su</w:t>
      </w:r>
      <w:r>
        <w:rPr>
          <w:spacing w:val="-7"/>
          <w:sz w:val="20"/>
        </w:rPr>
        <w:t> </w:t>
      </w:r>
      <w:r>
        <w:rPr>
          <w:sz w:val="20"/>
        </w:rPr>
        <w:t>relación</w:t>
      </w:r>
      <w:r>
        <w:rPr>
          <w:spacing w:val="-8"/>
          <w:sz w:val="20"/>
        </w:rPr>
        <w:t> </w:t>
      </w:r>
      <w:r>
        <w:rPr>
          <w:sz w:val="20"/>
        </w:rPr>
        <w:t>con</w:t>
      </w:r>
      <w:r>
        <w:rPr>
          <w:spacing w:val="-7"/>
          <w:sz w:val="20"/>
        </w:rPr>
        <w:t> </w:t>
      </w:r>
      <w:r>
        <w:rPr>
          <w:sz w:val="20"/>
        </w:rPr>
        <w:t>la</w:t>
      </w:r>
      <w:r>
        <w:rPr>
          <w:spacing w:val="-8"/>
          <w:sz w:val="20"/>
        </w:rPr>
        <w:t> </w:t>
      </w:r>
      <w:r>
        <w:rPr>
          <w:sz w:val="20"/>
        </w:rPr>
        <w:t>garantía</w:t>
      </w:r>
      <w:r>
        <w:rPr>
          <w:spacing w:val="-9"/>
          <w:sz w:val="20"/>
        </w:rPr>
        <w:t> </w:t>
      </w:r>
      <w:r>
        <w:rPr>
          <w:sz w:val="20"/>
        </w:rPr>
        <w:t>de</w:t>
      </w:r>
      <w:r>
        <w:rPr>
          <w:spacing w:val="-8"/>
          <w:sz w:val="20"/>
        </w:rPr>
        <w:t> </w:t>
      </w:r>
      <w:r>
        <w:rPr>
          <w:sz w:val="20"/>
        </w:rPr>
        <w:t>otros</w:t>
      </w:r>
      <w:r>
        <w:rPr>
          <w:spacing w:val="-7"/>
          <w:sz w:val="20"/>
        </w:rPr>
        <w:t> </w:t>
      </w:r>
      <w:r>
        <w:rPr>
          <w:sz w:val="20"/>
        </w:rPr>
        <w:t>derechos”</w:t>
      </w:r>
      <w:r>
        <w:rPr>
          <w:spacing w:val="-8"/>
          <w:sz w:val="20"/>
        </w:rPr>
        <w:t> </w:t>
      </w:r>
      <w:r>
        <w:rPr>
          <w:sz w:val="20"/>
        </w:rPr>
        <w:t>y</w:t>
      </w:r>
      <w:r>
        <w:rPr>
          <w:spacing w:val="-7"/>
          <w:sz w:val="20"/>
        </w:rPr>
        <w:t> </w:t>
      </w:r>
      <w:r>
        <w:rPr>
          <w:sz w:val="20"/>
        </w:rPr>
        <w:t>que</w:t>
      </w:r>
      <w:r>
        <w:rPr>
          <w:spacing w:val="-8"/>
          <w:sz w:val="20"/>
        </w:rPr>
        <w:t> </w:t>
      </w:r>
      <w:r>
        <w:rPr>
          <w:sz w:val="20"/>
        </w:rPr>
        <w:t>ese</w:t>
      </w:r>
      <w:r>
        <w:rPr>
          <w:spacing w:val="-6"/>
          <w:sz w:val="20"/>
        </w:rPr>
        <w:t> </w:t>
      </w:r>
      <w:r>
        <w:rPr>
          <w:sz w:val="20"/>
        </w:rPr>
        <w:t>derecho</w:t>
      </w:r>
      <w:r>
        <w:rPr>
          <w:spacing w:val="-7"/>
          <w:sz w:val="20"/>
        </w:rPr>
        <w:t> </w:t>
      </w:r>
      <w:r>
        <w:rPr>
          <w:sz w:val="20"/>
        </w:rPr>
        <w:t>se</w:t>
      </w:r>
      <w:r>
        <w:rPr>
          <w:spacing w:val="-8"/>
          <w:sz w:val="20"/>
        </w:rPr>
        <w:t> </w:t>
      </w:r>
      <w:r>
        <w:rPr>
          <w:sz w:val="20"/>
        </w:rPr>
        <w:t>“interrelaciona”</w:t>
      </w:r>
      <w:r>
        <w:rPr>
          <w:spacing w:val="-7"/>
          <w:sz w:val="20"/>
        </w:rPr>
        <w:t> </w:t>
      </w:r>
      <w:r>
        <w:rPr>
          <w:sz w:val="20"/>
        </w:rPr>
        <w:t>con el derecho a la vida digna, que se vio incidido en el caso. Asimismo, concluyó que la falta de percepción de montos pecuniarios a los que las víctimas tenían derecho dado su derecho a la pensión, afectó también el derecho de propiedad. En el caso, todo lo anterior se vinculó con el incumplimiento y demora respecto de sentencias relativas a pensiones. La Corte IDH determinó que se violaron los derechos a la seguridad social, a</w:t>
      </w:r>
      <w:r>
        <w:rPr>
          <w:spacing w:val="-16"/>
          <w:sz w:val="20"/>
        </w:rPr>
        <w:t> </w:t>
      </w:r>
      <w:r>
        <w:rPr>
          <w:sz w:val="20"/>
        </w:rPr>
        <w:t>una</w:t>
      </w:r>
      <w:r>
        <w:rPr>
          <w:spacing w:val="-17"/>
          <w:sz w:val="20"/>
        </w:rPr>
        <w:t> </w:t>
      </w:r>
      <w:r>
        <w:rPr>
          <w:sz w:val="20"/>
        </w:rPr>
        <w:t>vida</w:t>
      </w:r>
      <w:r>
        <w:rPr>
          <w:spacing w:val="-17"/>
          <w:sz w:val="20"/>
        </w:rPr>
        <w:t> </w:t>
      </w:r>
      <w:r>
        <w:rPr>
          <w:sz w:val="20"/>
        </w:rPr>
        <w:t>digna</w:t>
      </w:r>
      <w:r>
        <w:rPr>
          <w:spacing w:val="-17"/>
          <w:sz w:val="20"/>
        </w:rPr>
        <w:t> </w:t>
      </w:r>
      <w:r>
        <w:rPr>
          <w:sz w:val="20"/>
        </w:rPr>
        <w:t>y</w:t>
      </w:r>
      <w:r>
        <w:rPr>
          <w:spacing w:val="-15"/>
          <w:sz w:val="20"/>
        </w:rPr>
        <w:t> </w:t>
      </w:r>
      <w:r>
        <w:rPr>
          <w:sz w:val="20"/>
        </w:rPr>
        <w:t>a</w:t>
      </w:r>
      <w:r>
        <w:rPr>
          <w:spacing w:val="-17"/>
          <w:sz w:val="20"/>
        </w:rPr>
        <w:t> </w:t>
      </w:r>
      <w:r>
        <w:rPr>
          <w:sz w:val="20"/>
        </w:rPr>
        <w:t>la</w:t>
      </w:r>
      <w:r>
        <w:rPr>
          <w:spacing w:val="-16"/>
          <w:sz w:val="20"/>
        </w:rPr>
        <w:t> </w:t>
      </w:r>
      <w:r>
        <w:rPr>
          <w:sz w:val="20"/>
        </w:rPr>
        <w:t>propiedad</w:t>
      </w:r>
      <w:r>
        <w:rPr>
          <w:spacing w:val="-17"/>
          <w:sz w:val="20"/>
        </w:rPr>
        <w:t> </w:t>
      </w:r>
      <w:r>
        <w:rPr>
          <w:sz w:val="20"/>
        </w:rPr>
        <w:t>“en</w:t>
      </w:r>
      <w:r>
        <w:rPr>
          <w:spacing w:val="-15"/>
          <w:sz w:val="20"/>
        </w:rPr>
        <w:t> </w:t>
      </w:r>
      <w:r>
        <w:rPr>
          <w:sz w:val="20"/>
        </w:rPr>
        <w:t>relación”</w:t>
      </w:r>
      <w:r>
        <w:rPr>
          <w:spacing w:val="-16"/>
          <w:sz w:val="20"/>
        </w:rPr>
        <w:t> </w:t>
      </w:r>
      <w:r>
        <w:rPr>
          <w:sz w:val="20"/>
        </w:rPr>
        <w:t>con</w:t>
      </w:r>
      <w:r>
        <w:rPr>
          <w:spacing w:val="-15"/>
          <w:sz w:val="20"/>
        </w:rPr>
        <w:t> </w:t>
      </w:r>
      <w:r>
        <w:rPr>
          <w:sz w:val="20"/>
        </w:rPr>
        <w:t>los</w:t>
      </w:r>
      <w:r>
        <w:rPr>
          <w:spacing w:val="-17"/>
          <w:sz w:val="20"/>
        </w:rPr>
        <w:t> </w:t>
      </w:r>
      <w:r>
        <w:rPr>
          <w:sz w:val="20"/>
        </w:rPr>
        <w:t>derechos</w:t>
      </w:r>
      <w:r>
        <w:rPr>
          <w:spacing w:val="-15"/>
          <w:sz w:val="20"/>
        </w:rPr>
        <w:t> </w:t>
      </w:r>
      <w:r>
        <w:rPr>
          <w:sz w:val="20"/>
        </w:rPr>
        <w:t>a</w:t>
      </w:r>
      <w:r>
        <w:rPr>
          <w:spacing w:val="-17"/>
          <w:sz w:val="20"/>
        </w:rPr>
        <w:t> </w:t>
      </w:r>
      <w:r>
        <w:rPr>
          <w:sz w:val="20"/>
        </w:rPr>
        <w:t>las</w:t>
      </w:r>
      <w:r>
        <w:rPr>
          <w:spacing w:val="-16"/>
          <w:sz w:val="20"/>
        </w:rPr>
        <w:t> </w:t>
      </w:r>
      <w:r>
        <w:rPr>
          <w:sz w:val="20"/>
        </w:rPr>
        <w:t>garantías</w:t>
      </w:r>
      <w:r>
        <w:rPr>
          <w:spacing w:val="-17"/>
          <w:sz w:val="20"/>
        </w:rPr>
        <w:t> </w:t>
      </w:r>
      <w:r>
        <w:rPr>
          <w:sz w:val="20"/>
        </w:rPr>
        <w:t>judiciales y a la protección</w:t>
      </w:r>
      <w:r>
        <w:rPr>
          <w:spacing w:val="-11"/>
          <w:sz w:val="20"/>
        </w:rPr>
        <w:t> </w:t>
      </w:r>
      <w:r>
        <w:rPr>
          <w:sz w:val="20"/>
        </w:rPr>
        <w:t>judicial</w:t>
      </w:r>
      <w:r>
        <w:rPr>
          <w:position w:val="7"/>
          <w:sz w:val="13"/>
        </w:rPr>
        <w:t>46</w:t>
      </w:r>
      <w:r>
        <w:rPr>
          <w:sz w:val="20"/>
        </w:rPr>
        <w:t>.</w:t>
      </w:r>
    </w:p>
    <w:p>
      <w:pPr>
        <w:pStyle w:val="ListParagraph"/>
        <w:numPr>
          <w:ilvl w:val="0"/>
          <w:numId w:val="77"/>
        </w:numPr>
        <w:tabs>
          <w:tab w:pos="827" w:val="left" w:leader="none"/>
        </w:tabs>
        <w:spacing w:line="240" w:lineRule="auto" w:before="158" w:after="0"/>
        <w:ind w:left="118" w:right="309" w:firstLine="0"/>
        <w:jc w:val="both"/>
        <w:rPr>
          <w:sz w:val="20"/>
        </w:rPr>
      </w:pPr>
      <w:r>
        <w:rPr>
          <w:sz w:val="20"/>
        </w:rPr>
        <w:t>En el caso </w:t>
      </w:r>
      <w:r>
        <w:rPr>
          <w:i/>
          <w:sz w:val="20"/>
        </w:rPr>
        <w:t>Cuscul Pivaral y otros Vs. Guatemala </w:t>
      </w:r>
      <w:r>
        <w:rPr>
          <w:sz w:val="20"/>
        </w:rPr>
        <w:t>se determinó una vulneración</w:t>
      </w:r>
      <w:r>
        <w:rPr>
          <w:spacing w:val="-43"/>
          <w:sz w:val="20"/>
        </w:rPr>
        <w:t> </w:t>
      </w:r>
      <w:r>
        <w:rPr>
          <w:sz w:val="20"/>
        </w:rPr>
        <w:t>al derecho a la salud y el incumplimiento, respecto de ese derecho, de la prohibición de discriminación</w:t>
      </w:r>
      <w:r>
        <w:rPr>
          <w:spacing w:val="-10"/>
          <w:sz w:val="20"/>
        </w:rPr>
        <w:t> </w:t>
      </w:r>
      <w:r>
        <w:rPr>
          <w:sz w:val="20"/>
        </w:rPr>
        <w:t>y</w:t>
      </w:r>
      <w:r>
        <w:rPr>
          <w:spacing w:val="-10"/>
          <w:sz w:val="20"/>
        </w:rPr>
        <w:t> </w:t>
      </w:r>
      <w:r>
        <w:rPr>
          <w:sz w:val="20"/>
        </w:rPr>
        <w:t>del</w:t>
      </w:r>
      <w:r>
        <w:rPr>
          <w:spacing w:val="-10"/>
          <w:sz w:val="20"/>
        </w:rPr>
        <w:t> </w:t>
      </w:r>
      <w:r>
        <w:rPr>
          <w:sz w:val="20"/>
        </w:rPr>
        <w:t>principio</w:t>
      </w:r>
      <w:r>
        <w:rPr>
          <w:spacing w:val="-11"/>
          <w:sz w:val="20"/>
        </w:rPr>
        <w:t> </w:t>
      </w:r>
      <w:r>
        <w:rPr>
          <w:sz w:val="20"/>
        </w:rPr>
        <w:t>de</w:t>
      </w:r>
      <w:r>
        <w:rPr>
          <w:spacing w:val="-10"/>
          <w:sz w:val="20"/>
        </w:rPr>
        <w:t> </w:t>
      </w:r>
      <w:r>
        <w:rPr>
          <w:sz w:val="20"/>
        </w:rPr>
        <w:t>progresividad;</w:t>
      </w:r>
      <w:r>
        <w:rPr>
          <w:spacing w:val="-10"/>
          <w:sz w:val="20"/>
        </w:rPr>
        <w:t> </w:t>
      </w:r>
      <w:r>
        <w:rPr>
          <w:sz w:val="20"/>
        </w:rPr>
        <w:t>pero</w:t>
      </w:r>
      <w:r>
        <w:rPr>
          <w:spacing w:val="-11"/>
          <w:sz w:val="20"/>
        </w:rPr>
        <w:t> </w:t>
      </w:r>
      <w:r>
        <w:rPr>
          <w:sz w:val="20"/>
        </w:rPr>
        <w:t>además</w:t>
      </w:r>
      <w:r>
        <w:rPr>
          <w:spacing w:val="-11"/>
          <w:sz w:val="20"/>
        </w:rPr>
        <w:t> </w:t>
      </w:r>
      <w:r>
        <w:rPr>
          <w:sz w:val="20"/>
        </w:rPr>
        <w:t>que</w:t>
      </w:r>
      <w:r>
        <w:rPr>
          <w:spacing w:val="-10"/>
          <w:sz w:val="20"/>
        </w:rPr>
        <w:t> </w:t>
      </w:r>
      <w:r>
        <w:rPr>
          <w:sz w:val="20"/>
        </w:rPr>
        <w:t>la</w:t>
      </w:r>
      <w:r>
        <w:rPr>
          <w:spacing w:val="-11"/>
          <w:sz w:val="20"/>
        </w:rPr>
        <w:t> </w:t>
      </w:r>
      <w:r>
        <w:rPr>
          <w:sz w:val="20"/>
        </w:rPr>
        <w:t>falta</w:t>
      </w:r>
      <w:r>
        <w:rPr>
          <w:spacing w:val="-11"/>
          <w:sz w:val="20"/>
        </w:rPr>
        <w:t> </w:t>
      </w:r>
      <w:r>
        <w:rPr>
          <w:sz w:val="20"/>
        </w:rPr>
        <w:t>de</w:t>
      </w:r>
      <w:r>
        <w:rPr>
          <w:spacing w:val="-11"/>
          <w:sz w:val="20"/>
        </w:rPr>
        <w:t> </w:t>
      </w:r>
      <w:r>
        <w:rPr>
          <w:sz w:val="20"/>
        </w:rPr>
        <w:t>tratamiento médico adecuado tuvo un nexo causal con los padecimientos y la muerte de determinadas</w:t>
      </w:r>
      <w:r>
        <w:rPr>
          <w:spacing w:val="-8"/>
          <w:sz w:val="20"/>
        </w:rPr>
        <w:t> </w:t>
      </w:r>
      <w:r>
        <w:rPr>
          <w:sz w:val="20"/>
        </w:rPr>
        <w:t>personas,</w:t>
      </w:r>
      <w:r>
        <w:rPr>
          <w:spacing w:val="-7"/>
          <w:sz w:val="20"/>
        </w:rPr>
        <w:t> </w:t>
      </w:r>
      <w:r>
        <w:rPr>
          <w:sz w:val="20"/>
        </w:rPr>
        <w:t>por</w:t>
      </w:r>
      <w:r>
        <w:rPr>
          <w:spacing w:val="-9"/>
          <w:sz w:val="20"/>
        </w:rPr>
        <w:t> </w:t>
      </w:r>
      <w:r>
        <w:rPr>
          <w:sz w:val="20"/>
        </w:rPr>
        <w:t>lo</w:t>
      </w:r>
      <w:r>
        <w:rPr>
          <w:spacing w:val="-9"/>
          <w:sz w:val="20"/>
        </w:rPr>
        <w:t> </w:t>
      </w:r>
      <w:r>
        <w:rPr>
          <w:sz w:val="20"/>
        </w:rPr>
        <w:t>que</w:t>
      </w:r>
      <w:r>
        <w:rPr>
          <w:spacing w:val="-8"/>
          <w:sz w:val="20"/>
        </w:rPr>
        <w:t> </w:t>
      </w:r>
      <w:r>
        <w:rPr>
          <w:sz w:val="20"/>
        </w:rPr>
        <w:t>declaró</w:t>
      </w:r>
      <w:r>
        <w:rPr>
          <w:spacing w:val="-9"/>
          <w:sz w:val="20"/>
        </w:rPr>
        <w:t> </w:t>
      </w:r>
      <w:r>
        <w:rPr>
          <w:sz w:val="20"/>
        </w:rPr>
        <w:t>violado</w:t>
      </w:r>
      <w:r>
        <w:rPr>
          <w:spacing w:val="-7"/>
          <w:sz w:val="20"/>
        </w:rPr>
        <w:t> </w:t>
      </w:r>
      <w:r>
        <w:rPr>
          <w:sz w:val="20"/>
        </w:rPr>
        <w:t>los</w:t>
      </w:r>
      <w:r>
        <w:rPr>
          <w:spacing w:val="-9"/>
          <w:sz w:val="20"/>
        </w:rPr>
        <w:t> </w:t>
      </w:r>
      <w:r>
        <w:rPr>
          <w:sz w:val="20"/>
        </w:rPr>
        <w:t>derechos</w:t>
      </w:r>
      <w:r>
        <w:rPr>
          <w:spacing w:val="-9"/>
          <w:sz w:val="20"/>
        </w:rPr>
        <w:t> </w:t>
      </w:r>
      <w:r>
        <w:rPr>
          <w:sz w:val="20"/>
        </w:rPr>
        <w:t>a</w:t>
      </w:r>
      <w:r>
        <w:rPr>
          <w:spacing w:val="-9"/>
          <w:sz w:val="20"/>
        </w:rPr>
        <w:t> </w:t>
      </w:r>
      <w:r>
        <w:rPr>
          <w:sz w:val="20"/>
        </w:rPr>
        <w:t>la</w:t>
      </w:r>
      <w:r>
        <w:rPr>
          <w:spacing w:val="-9"/>
          <w:sz w:val="20"/>
        </w:rPr>
        <w:t> </w:t>
      </w:r>
      <w:r>
        <w:rPr>
          <w:sz w:val="20"/>
        </w:rPr>
        <w:t>integridad</w:t>
      </w:r>
      <w:r>
        <w:rPr>
          <w:spacing w:val="-9"/>
          <w:sz w:val="20"/>
        </w:rPr>
        <w:t> </w:t>
      </w:r>
      <w:r>
        <w:rPr>
          <w:sz w:val="20"/>
        </w:rPr>
        <w:t>personal y a la vida “en relación” con el artículo 26, que protege el derecho a la</w:t>
      </w:r>
      <w:r>
        <w:rPr>
          <w:spacing w:val="-14"/>
          <w:sz w:val="20"/>
        </w:rPr>
        <w:t> </w:t>
      </w:r>
      <w:r>
        <w:rPr>
          <w:sz w:val="20"/>
        </w:rPr>
        <w:t>salud</w:t>
      </w:r>
      <w:r>
        <w:rPr>
          <w:position w:val="7"/>
          <w:sz w:val="13"/>
        </w:rPr>
        <w:t>47</w:t>
      </w:r>
      <w:r>
        <w:rPr>
          <w:sz w:val="20"/>
        </w:rPr>
        <w:t>.</w:t>
      </w:r>
    </w:p>
    <w:p>
      <w:pPr>
        <w:pStyle w:val="ListParagraph"/>
        <w:numPr>
          <w:ilvl w:val="0"/>
          <w:numId w:val="77"/>
        </w:numPr>
        <w:tabs>
          <w:tab w:pos="827" w:val="left" w:leader="none"/>
        </w:tabs>
        <w:spacing w:line="240" w:lineRule="auto" w:before="159" w:after="0"/>
        <w:ind w:left="118" w:right="308" w:firstLine="0"/>
        <w:jc w:val="both"/>
        <w:rPr>
          <w:sz w:val="20"/>
        </w:rPr>
      </w:pPr>
      <w:r>
        <w:rPr>
          <w:sz w:val="20"/>
        </w:rPr>
        <w:t>En el caso </w:t>
      </w:r>
      <w:r>
        <w:rPr>
          <w:i/>
          <w:sz w:val="20"/>
        </w:rPr>
        <w:t>Hernández Vs. Argentina </w:t>
      </w:r>
      <w:r>
        <w:rPr>
          <w:sz w:val="20"/>
        </w:rPr>
        <w:t>el Tribunal advirtió que hubo una falta de atención</w:t>
      </w:r>
      <w:r>
        <w:rPr>
          <w:spacing w:val="-17"/>
          <w:sz w:val="20"/>
        </w:rPr>
        <w:t> </w:t>
      </w:r>
      <w:r>
        <w:rPr>
          <w:sz w:val="20"/>
        </w:rPr>
        <w:t>médica</w:t>
      </w:r>
      <w:r>
        <w:rPr>
          <w:spacing w:val="-17"/>
          <w:sz w:val="20"/>
        </w:rPr>
        <w:t> </w:t>
      </w:r>
      <w:r>
        <w:rPr>
          <w:sz w:val="20"/>
        </w:rPr>
        <w:t>a</w:t>
      </w:r>
      <w:r>
        <w:rPr>
          <w:spacing w:val="-17"/>
          <w:sz w:val="20"/>
        </w:rPr>
        <w:t> </w:t>
      </w:r>
      <w:r>
        <w:rPr>
          <w:sz w:val="20"/>
        </w:rPr>
        <w:t>una</w:t>
      </w:r>
      <w:r>
        <w:rPr>
          <w:spacing w:val="-17"/>
          <w:sz w:val="20"/>
        </w:rPr>
        <w:t> </w:t>
      </w:r>
      <w:r>
        <w:rPr>
          <w:sz w:val="20"/>
        </w:rPr>
        <w:t>persona</w:t>
      </w:r>
      <w:r>
        <w:rPr>
          <w:spacing w:val="-17"/>
          <w:sz w:val="20"/>
        </w:rPr>
        <w:t> </w:t>
      </w:r>
      <w:r>
        <w:rPr>
          <w:sz w:val="20"/>
        </w:rPr>
        <w:t>privada</w:t>
      </w:r>
      <w:r>
        <w:rPr>
          <w:spacing w:val="-18"/>
          <w:sz w:val="20"/>
        </w:rPr>
        <w:t> </w:t>
      </w:r>
      <w:r>
        <w:rPr>
          <w:sz w:val="20"/>
        </w:rPr>
        <w:t>de</w:t>
      </w:r>
      <w:r>
        <w:rPr>
          <w:spacing w:val="-16"/>
          <w:sz w:val="20"/>
        </w:rPr>
        <w:t> </w:t>
      </w:r>
      <w:r>
        <w:rPr>
          <w:sz w:val="20"/>
        </w:rPr>
        <w:t>la</w:t>
      </w:r>
      <w:r>
        <w:rPr>
          <w:spacing w:val="-17"/>
          <w:sz w:val="20"/>
        </w:rPr>
        <w:t> </w:t>
      </w:r>
      <w:r>
        <w:rPr>
          <w:sz w:val="20"/>
        </w:rPr>
        <w:t>libertad,</w:t>
      </w:r>
      <w:r>
        <w:rPr>
          <w:spacing w:val="-18"/>
          <w:sz w:val="20"/>
        </w:rPr>
        <w:t> </w:t>
      </w:r>
      <w:r>
        <w:rPr>
          <w:sz w:val="20"/>
        </w:rPr>
        <w:t>y</w:t>
      </w:r>
      <w:r>
        <w:rPr>
          <w:spacing w:val="-16"/>
          <w:sz w:val="20"/>
        </w:rPr>
        <w:t> </w:t>
      </w:r>
      <w:r>
        <w:rPr>
          <w:sz w:val="20"/>
        </w:rPr>
        <w:t>que</w:t>
      </w:r>
      <w:r>
        <w:rPr>
          <w:spacing w:val="-17"/>
          <w:sz w:val="20"/>
        </w:rPr>
        <w:t> </w:t>
      </w:r>
      <w:r>
        <w:rPr>
          <w:sz w:val="20"/>
        </w:rPr>
        <w:t>“el</w:t>
      </w:r>
      <w:r>
        <w:rPr>
          <w:spacing w:val="-16"/>
          <w:sz w:val="20"/>
        </w:rPr>
        <w:t> </w:t>
      </w:r>
      <w:r>
        <w:rPr>
          <w:sz w:val="20"/>
        </w:rPr>
        <w:t>sufrimiento</w:t>
      </w:r>
      <w:r>
        <w:rPr>
          <w:spacing w:val="-17"/>
          <w:sz w:val="20"/>
        </w:rPr>
        <w:t> </w:t>
      </w:r>
      <w:r>
        <w:rPr>
          <w:sz w:val="20"/>
        </w:rPr>
        <w:t>y</w:t>
      </w:r>
      <w:r>
        <w:rPr>
          <w:spacing w:val="-18"/>
          <w:sz w:val="20"/>
        </w:rPr>
        <w:t> </w:t>
      </w:r>
      <w:r>
        <w:rPr>
          <w:sz w:val="20"/>
        </w:rPr>
        <w:t>el</w:t>
      </w:r>
      <w:r>
        <w:rPr>
          <w:spacing w:val="-16"/>
          <w:sz w:val="20"/>
        </w:rPr>
        <w:t> </w:t>
      </w:r>
      <w:r>
        <w:rPr>
          <w:sz w:val="20"/>
        </w:rPr>
        <w:t>deterioro a la integridad personal causado por la falta de atención médica adecuada —y el consecuente</w:t>
      </w:r>
      <w:r>
        <w:rPr>
          <w:spacing w:val="-11"/>
          <w:sz w:val="20"/>
        </w:rPr>
        <w:t> </w:t>
      </w:r>
      <w:r>
        <w:rPr>
          <w:sz w:val="20"/>
        </w:rPr>
        <w:t>daño</w:t>
      </w:r>
      <w:r>
        <w:rPr>
          <w:spacing w:val="-12"/>
          <w:sz w:val="20"/>
        </w:rPr>
        <w:t> </w:t>
      </w:r>
      <w:r>
        <w:rPr>
          <w:sz w:val="20"/>
        </w:rPr>
        <w:t>a</w:t>
      </w:r>
      <w:r>
        <w:rPr>
          <w:spacing w:val="-11"/>
          <w:sz w:val="20"/>
        </w:rPr>
        <w:t> </w:t>
      </w:r>
      <w:r>
        <w:rPr>
          <w:sz w:val="20"/>
        </w:rPr>
        <w:t>su</w:t>
      </w:r>
      <w:r>
        <w:rPr>
          <w:spacing w:val="-13"/>
          <w:sz w:val="20"/>
        </w:rPr>
        <w:t> </w:t>
      </w:r>
      <w:r>
        <w:rPr>
          <w:sz w:val="20"/>
        </w:rPr>
        <w:t>salud—</w:t>
      </w:r>
      <w:r>
        <w:rPr>
          <w:spacing w:val="-12"/>
          <w:sz w:val="20"/>
        </w:rPr>
        <w:t> </w:t>
      </w:r>
      <w:r>
        <w:rPr>
          <w:sz w:val="20"/>
        </w:rPr>
        <w:t>de</w:t>
      </w:r>
      <w:r>
        <w:rPr>
          <w:spacing w:val="-11"/>
          <w:sz w:val="20"/>
        </w:rPr>
        <w:t> </w:t>
      </w:r>
      <w:r>
        <w:rPr>
          <w:sz w:val="20"/>
        </w:rPr>
        <w:t>una</w:t>
      </w:r>
      <w:r>
        <w:rPr>
          <w:spacing w:val="-11"/>
          <w:sz w:val="20"/>
        </w:rPr>
        <w:t> </w:t>
      </w:r>
      <w:r>
        <w:rPr>
          <w:sz w:val="20"/>
        </w:rPr>
        <w:t>persona</w:t>
      </w:r>
      <w:r>
        <w:rPr>
          <w:spacing w:val="-14"/>
          <w:sz w:val="20"/>
        </w:rPr>
        <w:t> </w:t>
      </w:r>
      <w:r>
        <w:rPr>
          <w:sz w:val="20"/>
        </w:rPr>
        <w:t>privada</w:t>
      </w:r>
      <w:r>
        <w:rPr>
          <w:spacing w:val="-11"/>
          <w:sz w:val="20"/>
        </w:rPr>
        <w:t> </w:t>
      </w:r>
      <w:r>
        <w:rPr>
          <w:sz w:val="20"/>
        </w:rPr>
        <w:t>de</w:t>
      </w:r>
      <w:r>
        <w:rPr>
          <w:spacing w:val="-11"/>
          <w:sz w:val="20"/>
        </w:rPr>
        <w:t> </w:t>
      </w:r>
      <w:r>
        <w:rPr>
          <w:sz w:val="20"/>
        </w:rPr>
        <w:t>libertad</w:t>
      </w:r>
      <w:r>
        <w:rPr>
          <w:spacing w:val="-12"/>
          <w:sz w:val="20"/>
        </w:rPr>
        <w:t> </w:t>
      </w:r>
      <w:r>
        <w:rPr>
          <w:sz w:val="20"/>
        </w:rPr>
        <w:t>pueden</w:t>
      </w:r>
      <w:r>
        <w:rPr>
          <w:spacing w:val="-11"/>
          <w:sz w:val="20"/>
        </w:rPr>
        <w:t> </w:t>
      </w:r>
      <w:r>
        <w:rPr>
          <w:sz w:val="20"/>
        </w:rPr>
        <w:t>constituir</w:t>
      </w:r>
      <w:r>
        <w:rPr>
          <w:spacing w:val="-12"/>
          <w:sz w:val="20"/>
        </w:rPr>
        <w:t> </w:t>
      </w:r>
      <w:r>
        <w:rPr>
          <w:sz w:val="20"/>
        </w:rPr>
        <w:t>por sí mismos tratos crueles, inhumanos y degradantes”. Entendió entonces que hubo una lesión tanto a la integridad personal (que configuró un trato degradante) como al derecho a la</w:t>
      </w:r>
      <w:r>
        <w:rPr>
          <w:spacing w:val="-4"/>
          <w:sz w:val="20"/>
        </w:rPr>
        <w:t> </w:t>
      </w:r>
      <w:r>
        <w:rPr>
          <w:sz w:val="20"/>
        </w:rPr>
        <w:t>salud</w:t>
      </w:r>
      <w:r>
        <w:rPr>
          <w:position w:val="7"/>
          <w:sz w:val="13"/>
        </w:rPr>
        <w:t>48</w:t>
      </w:r>
      <w:r>
        <w:rPr>
          <w:sz w:val="20"/>
        </w:rPr>
        <w:t>.</w:t>
      </w:r>
    </w:p>
    <w:p>
      <w:pPr>
        <w:pStyle w:val="ListParagraph"/>
        <w:numPr>
          <w:ilvl w:val="0"/>
          <w:numId w:val="77"/>
        </w:numPr>
        <w:tabs>
          <w:tab w:pos="827" w:val="left" w:leader="none"/>
        </w:tabs>
        <w:spacing w:line="240" w:lineRule="auto" w:before="159" w:after="0"/>
        <w:ind w:left="118" w:right="309" w:firstLine="0"/>
        <w:jc w:val="both"/>
        <w:rPr>
          <w:sz w:val="20"/>
        </w:rPr>
      </w:pPr>
      <w:r>
        <w:rPr>
          <w:sz w:val="20"/>
        </w:rPr>
        <w:t>Ahora bien, los ejemplos citados (a los que podrían adicionarse otros) se diferencian de un entendimiento que, so pretexto de advertir una conexidad entre los derechos, niegue de plano su</w:t>
      </w:r>
      <w:r>
        <w:rPr>
          <w:spacing w:val="-10"/>
          <w:sz w:val="20"/>
        </w:rPr>
        <w:t> </w:t>
      </w:r>
      <w:r>
        <w:rPr>
          <w:sz w:val="20"/>
        </w:rPr>
        <w:t>autonomía.</w:t>
      </w:r>
    </w:p>
    <w:p>
      <w:pPr>
        <w:pStyle w:val="BodyText"/>
      </w:pPr>
    </w:p>
    <w:p>
      <w:pPr>
        <w:pStyle w:val="ListParagraph"/>
        <w:numPr>
          <w:ilvl w:val="0"/>
          <w:numId w:val="77"/>
        </w:numPr>
        <w:tabs>
          <w:tab w:pos="827" w:val="left" w:leader="none"/>
        </w:tabs>
        <w:spacing w:line="240" w:lineRule="auto" w:before="0" w:after="0"/>
        <w:ind w:left="118" w:right="307" w:firstLine="0"/>
        <w:jc w:val="both"/>
        <w:rPr>
          <w:sz w:val="20"/>
        </w:rPr>
      </w:pPr>
      <w:r>
        <w:rPr>
          <w:sz w:val="20"/>
        </w:rPr>
        <w:t>En el marco específico de la aplicación del artículo 26 de la Convención Americana, si se colige, como lo ha hecho la Corte IDH, que esa disposición protege DESCA, y que el Tribunal Interamericano tiene competencia para decidir sobre presuntas violaciones a los mismos, no se advierte motivo para luego hacer depender su examen de su vinculación con alguno de los demás derechos establecidos en la Convención Americana o, eventualmente, en otros tratados que asignen competencia</w:t>
      </w:r>
      <w:r>
        <w:rPr>
          <w:spacing w:val="-42"/>
          <w:sz w:val="20"/>
        </w:rPr>
        <w:t> </w:t>
      </w:r>
      <w:r>
        <w:rPr>
          <w:sz w:val="20"/>
        </w:rPr>
        <w:t>a la Corte</w:t>
      </w:r>
      <w:r>
        <w:rPr>
          <w:spacing w:val="-6"/>
          <w:sz w:val="20"/>
        </w:rPr>
        <w:t> </w:t>
      </w:r>
      <w:r>
        <w:rPr>
          <w:sz w:val="20"/>
        </w:rPr>
        <w:t>IDH.</w:t>
      </w:r>
    </w:p>
    <w:p>
      <w:pPr>
        <w:pStyle w:val="BodyText"/>
      </w:pPr>
    </w:p>
    <w:p>
      <w:pPr>
        <w:pStyle w:val="BodyText"/>
      </w:pPr>
    </w:p>
    <w:p>
      <w:pPr>
        <w:pStyle w:val="BodyText"/>
        <w:spacing w:before="11"/>
        <w:rPr>
          <w:sz w:val="24"/>
        </w:rPr>
      </w:pPr>
      <w:r>
        <w:rPr/>
        <w:pict>
          <v:line style="position:absolute;mso-position-horizontal-relative:page;mso-position-vertical-relative:paragraph;z-index:5008;mso-wrap-distance-left:0;mso-wrap-distance-right:0" from="70.919998pt,17.390795pt" to="214.939998pt,17.390795pt" stroked="true" strokeweight=".60004pt" strokecolor="#000000">
            <v:stroke dashstyle="solid"/>
            <w10:wrap type="topAndBottom"/>
          </v:line>
        </w:pict>
      </w:r>
    </w:p>
    <w:p>
      <w:pPr>
        <w:tabs>
          <w:tab w:pos="826" w:val="left" w:leader="none"/>
        </w:tabs>
        <w:spacing w:before="73"/>
        <w:ind w:left="118" w:right="310" w:firstLine="0"/>
        <w:jc w:val="both"/>
        <w:rPr>
          <w:sz w:val="16"/>
        </w:rPr>
      </w:pPr>
      <w:r>
        <w:rPr>
          <w:position w:val="6"/>
          <w:sz w:val="10"/>
        </w:rPr>
        <w:t>45</w:t>
        <w:tab/>
      </w:r>
      <w:r>
        <w:rPr>
          <w:i/>
          <w:sz w:val="16"/>
        </w:rPr>
        <w:t>Caso</w:t>
      </w:r>
      <w:r>
        <w:rPr>
          <w:i/>
          <w:spacing w:val="-15"/>
          <w:sz w:val="16"/>
        </w:rPr>
        <w:t> </w:t>
      </w:r>
      <w:r>
        <w:rPr>
          <w:i/>
          <w:sz w:val="16"/>
        </w:rPr>
        <w:t>San</w:t>
      </w:r>
      <w:r>
        <w:rPr>
          <w:i/>
          <w:spacing w:val="-16"/>
          <w:sz w:val="16"/>
        </w:rPr>
        <w:t> </w:t>
      </w:r>
      <w:r>
        <w:rPr>
          <w:i/>
          <w:sz w:val="16"/>
        </w:rPr>
        <w:t>Miguel</w:t>
      </w:r>
      <w:r>
        <w:rPr>
          <w:i/>
          <w:spacing w:val="-15"/>
          <w:sz w:val="16"/>
        </w:rPr>
        <w:t> </w:t>
      </w:r>
      <w:r>
        <w:rPr>
          <w:i/>
          <w:sz w:val="16"/>
        </w:rPr>
        <w:t>Sosa</w:t>
      </w:r>
      <w:r>
        <w:rPr>
          <w:i/>
          <w:spacing w:val="-16"/>
          <w:sz w:val="16"/>
        </w:rPr>
        <w:t> </w:t>
      </w:r>
      <w:r>
        <w:rPr>
          <w:i/>
          <w:sz w:val="16"/>
        </w:rPr>
        <w:t>y</w:t>
      </w:r>
      <w:r>
        <w:rPr>
          <w:i/>
          <w:spacing w:val="-15"/>
          <w:sz w:val="16"/>
        </w:rPr>
        <w:t> </w:t>
      </w:r>
      <w:r>
        <w:rPr>
          <w:i/>
          <w:sz w:val="16"/>
        </w:rPr>
        <w:t>otras</w:t>
      </w:r>
      <w:r>
        <w:rPr>
          <w:i/>
          <w:spacing w:val="-16"/>
          <w:sz w:val="16"/>
        </w:rPr>
        <w:t> </w:t>
      </w:r>
      <w:r>
        <w:rPr>
          <w:i/>
          <w:sz w:val="16"/>
        </w:rPr>
        <w:t>Vs.</w:t>
      </w:r>
      <w:r>
        <w:rPr>
          <w:i/>
          <w:spacing w:val="-16"/>
          <w:sz w:val="16"/>
        </w:rPr>
        <w:t> </w:t>
      </w:r>
      <w:r>
        <w:rPr>
          <w:i/>
          <w:sz w:val="16"/>
        </w:rPr>
        <w:t>Venezuela.</w:t>
      </w:r>
      <w:r>
        <w:rPr>
          <w:i/>
          <w:spacing w:val="-16"/>
          <w:sz w:val="16"/>
        </w:rPr>
        <w:t> </w:t>
      </w:r>
      <w:r>
        <w:rPr>
          <w:i/>
          <w:sz w:val="16"/>
        </w:rPr>
        <w:t>Fondo,</w:t>
      </w:r>
      <w:r>
        <w:rPr>
          <w:i/>
          <w:spacing w:val="-16"/>
          <w:sz w:val="16"/>
        </w:rPr>
        <w:t> </w:t>
      </w:r>
      <w:r>
        <w:rPr>
          <w:i/>
          <w:sz w:val="16"/>
        </w:rPr>
        <w:t>Reparaciones</w:t>
      </w:r>
      <w:r>
        <w:rPr>
          <w:i/>
          <w:spacing w:val="-16"/>
          <w:sz w:val="16"/>
        </w:rPr>
        <w:t> </w:t>
      </w:r>
      <w:r>
        <w:rPr>
          <w:i/>
          <w:sz w:val="16"/>
        </w:rPr>
        <w:t>y</w:t>
      </w:r>
      <w:r>
        <w:rPr>
          <w:i/>
          <w:spacing w:val="-15"/>
          <w:sz w:val="16"/>
        </w:rPr>
        <w:t> </w:t>
      </w:r>
      <w:r>
        <w:rPr>
          <w:i/>
          <w:sz w:val="16"/>
        </w:rPr>
        <w:t>Costas.</w:t>
      </w:r>
      <w:r>
        <w:rPr>
          <w:i/>
          <w:spacing w:val="-14"/>
          <w:sz w:val="16"/>
        </w:rPr>
        <w:t> </w:t>
      </w:r>
      <w:r>
        <w:rPr>
          <w:sz w:val="16"/>
        </w:rPr>
        <w:t>Sentencia</w:t>
      </w:r>
      <w:r>
        <w:rPr>
          <w:spacing w:val="-15"/>
          <w:sz w:val="16"/>
        </w:rPr>
        <w:t> </w:t>
      </w:r>
      <w:r>
        <w:rPr>
          <w:sz w:val="16"/>
        </w:rPr>
        <w:t>de</w:t>
      </w:r>
      <w:r>
        <w:rPr>
          <w:spacing w:val="-16"/>
          <w:sz w:val="16"/>
        </w:rPr>
        <w:t> </w:t>
      </w:r>
      <w:r>
        <w:rPr>
          <w:sz w:val="16"/>
        </w:rPr>
        <w:t>8</w:t>
      </w:r>
      <w:r>
        <w:rPr>
          <w:spacing w:val="-15"/>
          <w:sz w:val="16"/>
        </w:rPr>
        <w:t> </w:t>
      </w:r>
      <w:r>
        <w:rPr>
          <w:sz w:val="16"/>
        </w:rPr>
        <w:t>de</w:t>
      </w:r>
      <w:r>
        <w:rPr>
          <w:spacing w:val="-16"/>
          <w:sz w:val="16"/>
        </w:rPr>
        <w:t> </w:t>
      </w:r>
      <w:r>
        <w:rPr>
          <w:sz w:val="16"/>
        </w:rPr>
        <w:t>febrero</w:t>
      </w:r>
      <w:r>
        <w:rPr>
          <w:w w:val="99"/>
          <w:sz w:val="16"/>
        </w:rPr>
        <w:t> </w:t>
      </w:r>
      <w:r>
        <w:rPr>
          <w:sz w:val="16"/>
        </w:rPr>
        <w:t>de 2018. Serie C No. 348, párrs. 221 y</w:t>
      </w:r>
      <w:r>
        <w:rPr>
          <w:spacing w:val="-11"/>
          <w:sz w:val="16"/>
        </w:rPr>
        <w:t> </w:t>
      </w:r>
      <w:r>
        <w:rPr>
          <w:sz w:val="16"/>
        </w:rPr>
        <w:t>222.</w:t>
      </w:r>
    </w:p>
    <w:p>
      <w:pPr>
        <w:tabs>
          <w:tab w:pos="826" w:val="left" w:leader="none"/>
        </w:tabs>
        <w:spacing w:before="120"/>
        <w:ind w:left="118" w:right="311" w:firstLine="0"/>
        <w:jc w:val="both"/>
        <w:rPr>
          <w:sz w:val="16"/>
        </w:rPr>
      </w:pPr>
      <w:r>
        <w:rPr>
          <w:rFonts w:ascii="Times New Roman" w:hAnsi="Times New Roman"/>
          <w:position w:val="6"/>
          <w:sz w:val="10"/>
        </w:rPr>
        <w:t>46</w:t>
        <w:tab/>
      </w:r>
      <w:r>
        <w:rPr>
          <w:i/>
          <w:sz w:val="16"/>
        </w:rPr>
        <w:t>Cfr. Asociación Nacional de Cesantes y Jubilados de la Superintendencia Nacional</w:t>
      </w:r>
      <w:r>
        <w:rPr>
          <w:i/>
          <w:spacing w:val="7"/>
          <w:sz w:val="16"/>
        </w:rPr>
        <w:t> </w:t>
      </w:r>
      <w:r>
        <w:rPr>
          <w:i/>
          <w:sz w:val="16"/>
        </w:rPr>
        <w:t>de Administración</w:t>
      </w:r>
      <w:r>
        <w:rPr>
          <w:i/>
          <w:w w:val="99"/>
          <w:sz w:val="16"/>
        </w:rPr>
        <w:t> </w:t>
      </w:r>
      <w:r>
        <w:rPr>
          <w:i/>
          <w:sz w:val="16"/>
        </w:rPr>
        <w:t>Tributaria (ANCEJUB-SUNAT) Vs. Perú. Excepciones Preliminares, Fondo, Reparaciones y Costas. </w:t>
      </w:r>
      <w:r>
        <w:rPr>
          <w:sz w:val="16"/>
        </w:rPr>
        <w:t>Sentencia de 21 de noviembre de 2019. Serie C No. 394, párrs. 149, 150 y 184 a</w:t>
      </w:r>
      <w:r>
        <w:rPr>
          <w:spacing w:val="-20"/>
          <w:sz w:val="16"/>
        </w:rPr>
        <w:t> </w:t>
      </w:r>
      <w:r>
        <w:rPr>
          <w:sz w:val="16"/>
        </w:rPr>
        <w:t>196.</w:t>
      </w:r>
    </w:p>
    <w:p>
      <w:pPr>
        <w:tabs>
          <w:tab w:pos="826" w:val="left" w:leader="none"/>
        </w:tabs>
        <w:spacing w:before="120"/>
        <w:ind w:left="118" w:right="311" w:firstLine="0"/>
        <w:jc w:val="both"/>
        <w:rPr>
          <w:sz w:val="16"/>
        </w:rPr>
      </w:pPr>
      <w:r>
        <w:rPr>
          <w:rFonts w:ascii="Times New Roman" w:hAnsi="Times New Roman"/>
          <w:position w:val="6"/>
          <w:sz w:val="10"/>
        </w:rPr>
        <w:t>47</w:t>
        <w:tab/>
      </w:r>
      <w:r>
        <w:rPr>
          <w:i/>
          <w:sz w:val="16"/>
        </w:rPr>
        <w:t>Cfr.</w:t>
      </w:r>
      <w:r>
        <w:rPr>
          <w:i/>
          <w:spacing w:val="-8"/>
          <w:sz w:val="16"/>
        </w:rPr>
        <w:t> </w:t>
      </w:r>
      <w:r>
        <w:rPr>
          <w:i/>
          <w:sz w:val="16"/>
        </w:rPr>
        <w:t>Caso</w:t>
      </w:r>
      <w:r>
        <w:rPr>
          <w:i/>
          <w:spacing w:val="-6"/>
          <w:sz w:val="16"/>
        </w:rPr>
        <w:t> </w:t>
      </w:r>
      <w:r>
        <w:rPr>
          <w:i/>
          <w:sz w:val="16"/>
        </w:rPr>
        <w:t>Cuscul</w:t>
      </w:r>
      <w:r>
        <w:rPr>
          <w:i/>
          <w:spacing w:val="-8"/>
          <w:sz w:val="16"/>
        </w:rPr>
        <w:t> </w:t>
      </w:r>
      <w:r>
        <w:rPr>
          <w:i/>
          <w:sz w:val="16"/>
        </w:rPr>
        <w:t>Pivaral</w:t>
      </w:r>
      <w:r>
        <w:rPr>
          <w:i/>
          <w:spacing w:val="-7"/>
          <w:sz w:val="16"/>
        </w:rPr>
        <w:t> </w:t>
      </w:r>
      <w:r>
        <w:rPr>
          <w:i/>
          <w:sz w:val="16"/>
        </w:rPr>
        <w:t>y</w:t>
      </w:r>
      <w:r>
        <w:rPr>
          <w:i/>
          <w:spacing w:val="-8"/>
          <w:sz w:val="16"/>
        </w:rPr>
        <w:t> </w:t>
      </w:r>
      <w:r>
        <w:rPr>
          <w:i/>
          <w:sz w:val="16"/>
        </w:rPr>
        <w:t>otros</w:t>
      </w:r>
      <w:r>
        <w:rPr>
          <w:i/>
          <w:spacing w:val="-8"/>
          <w:sz w:val="16"/>
        </w:rPr>
        <w:t> </w:t>
      </w:r>
      <w:r>
        <w:rPr>
          <w:i/>
          <w:sz w:val="16"/>
        </w:rPr>
        <w:t>Vs.</w:t>
      </w:r>
      <w:r>
        <w:rPr>
          <w:i/>
          <w:spacing w:val="-8"/>
          <w:sz w:val="16"/>
        </w:rPr>
        <w:t> </w:t>
      </w:r>
      <w:r>
        <w:rPr>
          <w:i/>
          <w:sz w:val="16"/>
        </w:rPr>
        <w:t>Guatemala.</w:t>
      </w:r>
      <w:r>
        <w:rPr>
          <w:i/>
          <w:spacing w:val="-8"/>
          <w:sz w:val="16"/>
        </w:rPr>
        <w:t> </w:t>
      </w:r>
      <w:r>
        <w:rPr>
          <w:i/>
          <w:sz w:val="16"/>
        </w:rPr>
        <w:t>Excepción</w:t>
      </w:r>
      <w:r>
        <w:rPr>
          <w:i/>
          <w:spacing w:val="-7"/>
          <w:sz w:val="16"/>
        </w:rPr>
        <w:t> </w:t>
      </w:r>
      <w:r>
        <w:rPr>
          <w:i/>
          <w:sz w:val="16"/>
        </w:rPr>
        <w:t>Preliminar,</w:t>
      </w:r>
      <w:r>
        <w:rPr>
          <w:i/>
          <w:spacing w:val="-7"/>
          <w:sz w:val="16"/>
        </w:rPr>
        <w:t> </w:t>
      </w:r>
      <w:r>
        <w:rPr>
          <w:i/>
          <w:sz w:val="16"/>
        </w:rPr>
        <w:t>Fondo,</w:t>
      </w:r>
      <w:r>
        <w:rPr>
          <w:i/>
          <w:spacing w:val="-5"/>
          <w:sz w:val="16"/>
        </w:rPr>
        <w:t> </w:t>
      </w:r>
      <w:r>
        <w:rPr>
          <w:i/>
          <w:sz w:val="16"/>
        </w:rPr>
        <w:t>Reparaciones</w:t>
      </w:r>
      <w:r>
        <w:rPr>
          <w:i/>
          <w:spacing w:val="-8"/>
          <w:sz w:val="16"/>
        </w:rPr>
        <w:t> </w:t>
      </w:r>
      <w:r>
        <w:rPr>
          <w:i/>
          <w:sz w:val="16"/>
        </w:rPr>
        <w:t>y</w:t>
      </w:r>
      <w:r>
        <w:rPr>
          <w:i/>
          <w:spacing w:val="-8"/>
          <w:sz w:val="16"/>
        </w:rPr>
        <w:t> </w:t>
      </w:r>
      <w:r>
        <w:rPr>
          <w:i/>
          <w:sz w:val="16"/>
        </w:rPr>
        <w:t>Costas.</w:t>
      </w:r>
      <w:r>
        <w:rPr>
          <w:i/>
          <w:w w:val="99"/>
          <w:sz w:val="16"/>
        </w:rPr>
        <w:t> </w:t>
      </w:r>
      <w:r>
        <w:rPr>
          <w:sz w:val="16"/>
        </w:rPr>
        <w:t>Sentencia de 23 de agosto de 2018. Serie C No. 359, párrs 127, 139 , 148, 158, 159, 163 y 164 y puntos resolutivos 5 y</w:t>
      </w:r>
      <w:r>
        <w:rPr>
          <w:spacing w:val="-5"/>
          <w:sz w:val="16"/>
        </w:rPr>
        <w:t> </w:t>
      </w:r>
      <w:r>
        <w:rPr>
          <w:sz w:val="16"/>
        </w:rPr>
        <w:t>6.</w:t>
      </w:r>
    </w:p>
    <w:p>
      <w:pPr>
        <w:tabs>
          <w:tab w:pos="826" w:val="left" w:leader="none"/>
        </w:tabs>
        <w:spacing w:before="120"/>
        <w:ind w:left="118" w:right="312" w:firstLine="0"/>
        <w:jc w:val="both"/>
        <w:rPr>
          <w:sz w:val="16"/>
        </w:rPr>
      </w:pPr>
      <w:r>
        <w:rPr>
          <w:rFonts w:ascii="Times New Roman" w:hAnsi="Times New Roman"/>
          <w:position w:val="6"/>
          <w:sz w:val="10"/>
        </w:rPr>
        <w:t>48</w:t>
        <w:tab/>
      </w:r>
      <w:r>
        <w:rPr>
          <w:i/>
          <w:sz w:val="16"/>
        </w:rPr>
        <w:t>Cfr. Caso Hernández Vs. Argentina. Excepción Preliminar, Fondo, Reparaciones y</w:t>
      </w:r>
      <w:r>
        <w:rPr>
          <w:i/>
          <w:spacing w:val="29"/>
          <w:sz w:val="16"/>
        </w:rPr>
        <w:t> </w:t>
      </w:r>
      <w:r>
        <w:rPr>
          <w:i/>
          <w:sz w:val="16"/>
        </w:rPr>
        <w:t>Costas</w:t>
      </w:r>
      <w:r>
        <w:rPr>
          <w:sz w:val="16"/>
        </w:rPr>
        <w:t>.</w:t>
      </w:r>
      <w:r>
        <w:rPr>
          <w:spacing w:val="3"/>
          <w:sz w:val="16"/>
        </w:rPr>
        <w:t> </w:t>
      </w:r>
      <w:r>
        <w:rPr>
          <w:sz w:val="16"/>
        </w:rPr>
        <w:t>Sentencia</w:t>
      </w:r>
      <w:r>
        <w:rPr>
          <w:w w:val="99"/>
          <w:sz w:val="16"/>
        </w:rPr>
        <w:t> </w:t>
      </w:r>
      <w:r>
        <w:rPr>
          <w:sz w:val="16"/>
        </w:rPr>
        <w:t>de 22 de noviembre de 2019. Serie C No. 395, párrs. 54 a 61 y</w:t>
      </w:r>
      <w:r>
        <w:rPr>
          <w:spacing w:val="-17"/>
          <w:sz w:val="16"/>
        </w:rPr>
        <w:t> </w:t>
      </w:r>
      <w:r>
        <w:rPr>
          <w:sz w:val="16"/>
        </w:rPr>
        <w:t>96.</w:t>
      </w:r>
    </w:p>
    <w:p>
      <w:pPr>
        <w:spacing w:after="0"/>
        <w:jc w:val="both"/>
        <w:rPr>
          <w:sz w:val="16"/>
        </w:rPr>
        <w:sectPr>
          <w:pgSz w:w="12240" w:h="15840"/>
          <w:pgMar w:header="0" w:footer="782" w:top="1340" w:bottom="980" w:left="1300" w:right="1720"/>
        </w:sectPr>
      </w:pPr>
    </w:p>
    <w:p>
      <w:pPr>
        <w:pStyle w:val="ListParagraph"/>
        <w:numPr>
          <w:ilvl w:val="0"/>
          <w:numId w:val="77"/>
        </w:numPr>
        <w:tabs>
          <w:tab w:pos="827" w:val="left" w:leader="none"/>
        </w:tabs>
        <w:spacing w:line="240" w:lineRule="auto" w:before="77" w:after="0"/>
        <w:ind w:left="118" w:right="309" w:firstLine="0"/>
        <w:jc w:val="both"/>
        <w:rPr>
          <w:sz w:val="20"/>
        </w:rPr>
      </w:pPr>
      <w:r>
        <w:rPr>
          <w:sz w:val="20"/>
        </w:rPr>
        <w:t>Una</w:t>
      </w:r>
      <w:r>
        <w:rPr>
          <w:spacing w:val="-8"/>
          <w:sz w:val="20"/>
        </w:rPr>
        <w:t> </w:t>
      </w:r>
      <w:r>
        <w:rPr>
          <w:sz w:val="20"/>
        </w:rPr>
        <w:t>intelección</w:t>
      </w:r>
      <w:r>
        <w:rPr>
          <w:spacing w:val="-8"/>
          <w:sz w:val="20"/>
        </w:rPr>
        <w:t> </w:t>
      </w:r>
      <w:r>
        <w:rPr>
          <w:sz w:val="20"/>
        </w:rPr>
        <w:t>como</w:t>
      </w:r>
      <w:r>
        <w:rPr>
          <w:spacing w:val="-8"/>
          <w:sz w:val="20"/>
        </w:rPr>
        <w:t> </w:t>
      </w:r>
      <w:r>
        <w:rPr>
          <w:sz w:val="20"/>
        </w:rPr>
        <w:t>la</w:t>
      </w:r>
      <w:r>
        <w:rPr>
          <w:spacing w:val="-10"/>
          <w:sz w:val="20"/>
        </w:rPr>
        <w:t> </w:t>
      </w:r>
      <w:r>
        <w:rPr>
          <w:sz w:val="20"/>
        </w:rPr>
        <w:t>señalada</w:t>
      </w:r>
      <w:r>
        <w:rPr>
          <w:spacing w:val="-9"/>
          <w:sz w:val="20"/>
        </w:rPr>
        <w:t> </w:t>
      </w:r>
      <w:r>
        <w:rPr>
          <w:sz w:val="20"/>
        </w:rPr>
        <w:t>derivaría</w:t>
      </w:r>
      <w:r>
        <w:rPr>
          <w:spacing w:val="-9"/>
          <w:sz w:val="20"/>
        </w:rPr>
        <w:t> </w:t>
      </w:r>
      <w:r>
        <w:rPr>
          <w:sz w:val="20"/>
        </w:rPr>
        <w:t>en</w:t>
      </w:r>
      <w:r>
        <w:rPr>
          <w:spacing w:val="-9"/>
          <w:sz w:val="20"/>
        </w:rPr>
        <w:t> </w:t>
      </w:r>
      <w:r>
        <w:rPr>
          <w:sz w:val="20"/>
        </w:rPr>
        <w:t>una</w:t>
      </w:r>
      <w:r>
        <w:rPr>
          <w:spacing w:val="-8"/>
          <w:sz w:val="20"/>
        </w:rPr>
        <w:t> </w:t>
      </w:r>
      <w:r>
        <w:rPr>
          <w:sz w:val="20"/>
        </w:rPr>
        <w:t>injustificada</w:t>
      </w:r>
      <w:r>
        <w:rPr>
          <w:spacing w:val="-9"/>
          <w:sz w:val="20"/>
        </w:rPr>
        <w:t> </w:t>
      </w:r>
      <w:r>
        <w:rPr>
          <w:sz w:val="20"/>
        </w:rPr>
        <w:t>jerarquización</w:t>
      </w:r>
      <w:r>
        <w:rPr>
          <w:spacing w:val="-10"/>
          <w:sz w:val="20"/>
        </w:rPr>
        <w:t> </w:t>
      </w:r>
      <w:r>
        <w:rPr>
          <w:sz w:val="20"/>
        </w:rPr>
        <w:t>de los derechos plasmados en los artículos 3 a 25 de la Convención Americana, sobre aquellos</w:t>
      </w:r>
      <w:r>
        <w:rPr>
          <w:spacing w:val="-13"/>
          <w:sz w:val="20"/>
        </w:rPr>
        <w:t> </w:t>
      </w:r>
      <w:r>
        <w:rPr>
          <w:sz w:val="20"/>
        </w:rPr>
        <w:t>incluidos</w:t>
      </w:r>
      <w:r>
        <w:rPr>
          <w:spacing w:val="-15"/>
          <w:sz w:val="20"/>
        </w:rPr>
        <w:t> </w:t>
      </w:r>
      <w:r>
        <w:rPr>
          <w:sz w:val="20"/>
        </w:rPr>
        <w:t>en</w:t>
      </w:r>
      <w:r>
        <w:rPr>
          <w:spacing w:val="-12"/>
          <w:sz w:val="20"/>
        </w:rPr>
        <w:t> </w:t>
      </w:r>
      <w:r>
        <w:rPr>
          <w:sz w:val="20"/>
        </w:rPr>
        <w:t>su</w:t>
      </w:r>
      <w:r>
        <w:rPr>
          <w:spacing w:val="-13"/>
          <w:sz w:val="20"/>
        </w:rPr>
        <w:t> </w:t>
      </w:r>
      <w:r>
        <w:rPr>
          <w:sz w:val="20"/>
        </w:rPr>
        <w:t>artículo</w:t>
      </w:r>
      <w:r>
        <w:rPr>
          <w:spacing w:val="-13"/>
          <w:sz w:val="20"/>
        </w:rPr>
        <w:t> </w:t>
      </w:r>
      <w:r>
        <w:rPr>
          <w:sz w:val="20"/>
        </w:rPr>
        <w:t>26.</w:t>
      </w:r>
      <w:r>
        <w:rPr>
          <w:spacing w:val="-14"/>
          <w:sz w:val="20"/>
        </w:rPr>
        <w:t> </w:t>
      </w:r>
      <w:r>
        <w:rPr>
          <w:sz w:val="20"/>
        </w:rPr>
        <w:t>Esto</w:t>
      </w:r>
      <w:r>
        <w:rPr>
          <w:spacing w:val="-13"/>
          <w:sz w:val="20"/>
        </w:rPr>
        <w:t> </w:t>
      </w:r>
      <w:r>
        <w:rPr>
          <w:sz w:val="20"/>
        </w:rPr>
        <w:t>sería</w:t>
      </w:r>
      <w:r>
        <w:rPr>
          <w:spacing w:val="-13"/>
          <w:sz w:val="20"/>
        </w:rPr>
        <w:t> </w:t>
      </w:r>
      <w:r>
        <w:rPr>
          <w:sz w:val="20"/>
        </w:rPr>
        <w:t>contrario</w:t>
      </w:r>
      <w:r>
        <w:rPr>
          <w:spacing w:val="-12"/>
          <w:sz w:val="20"/>
        </w:rPr>
        <w:t> </w:t>
      </w:r>
      <w:r>
        <w:rPr>
          <w:sz w:val="20"/>
        </w:rPr>
        <w:t>a</w:t>
      </w:r>
      <w:r>
        <w:rPr>
          <w:spacing w:val="-13"/>
          <w:sz w:val="20"/>
        </w:rPr>
        <w:t> </w:t>
      </w:r>
      <w:r>
        <w:rPr>
          <w:sz w:val="20"/>
        </w:rPr>
        <w:t>la</w:t>
      </w:r>
      <w:r>
        <w:rPr>
          <w:spacing w:val="-13"/>
          <w:sz w:val="20"/>
        </w:rPr>
        <w:t> </w:t>
      </w:r>
      <w:r>
        <w:rPr>
          <w:sz w:val="20"/>
        </w:rPr>
        <w:t>igual</w:t>
      </w:r>
      <w:r>
        <w:rPr>
          <w:spacing w:val="-13"/>
          <w:sz w:val="20"/>
        </w:rPr>
        <w:t> </w:t>
      </w:r>
      <w:r>
        <w:rPr>
          <w:sz w:val="20"/>
        </w:rPr>
        <w:t>jerarquía</w:t>
      </w:r>
      <w:r>
        <w:rPr>
          <w:spacing w:val="-13"/>
          <w:sz w:val="20"/>
        </w:rPr>
        <w:t> </w:t>
      </w:r>
      <w:r>
        <w:rPr>
          <w:sz w:val="20"/>
        </w:rPr>
        <w:t>que,</w:t>
      </w:r>
      <w:r>
        <w:rPr>
          <w:spacing w:val="-10"/>
          <w:sz w:val="20"/>
        </w:rPr>
        <w:t> </w:t>
      </w:r>
      <w:r>
        <w:rPr>
          <w:i/>
          <w:sz w:val="20"/>
        </w:rPr>
        <w:t>a</w:t>
      </w:r>
      <w:r>
        <w:rPr>
          <w:i/>
          <w:spacing w:val="-13"/>
          <w:sz w:val="20"/>
        </w:rPr>
        <w:t> </w:t>
      </w:r>
      <w:r>
        <w:rPr>
          <w:i/>
          <w:sz w:val="20"/>
        </w:rPr>
        <w:t>priori</w:t>
      </w:r>
      <w:r>
        <w:rPr>
          <w:sz w:val="20"/>
        </w:rPr>
        <w:t>, tienen</w:t>
      </w:r>
      <w:r>
        <w:rPr>
          <w:spacing w:val="-8"/>
          <w:sz w:val="20"/>
        </w:rPr>
        <w:t> </w:t>
      </w:r>
      <w:r>
        <w:rPr>
          <w:sz w:val="20"/>
        </w:rPr>
        <w:t>ambos</w:t>
      </w:r>
      <w:r>
        <w:rPr>
          <w:spacing w:val="-10"/>
          <w:sz w:val="20"/>
        </w:rPr>
        <w:t> </w:t>
      </w:r>
      <w:r>
        <w:rPr>
          <w:sz w:val="20"/>
        </w:rPr>
        <w:t>grupos</w:t>
      </w:r>
      <w:r>
        <w:rPr>
          <w:spacing w:val="-9"/>
          <w:sz w:val="20"/>
        </w:rPr>
        <w:t> </w:t>
      </w:r>
      <w:r>
        <w:rPr>
          <w:sz w:val="20"/>
        </w:rPr>
        <w:t>de</w:t>
      </w:r>
      <w:r>
        <w:rPr>
          <w:spacing w:val="-9"/>
          <w:sz w:val="20"/>
        </w:rPr>
        <w:t> </w:t>
      </w:r>
      <w:r>
        <w:rPr>
          <w:sz w:val="20"/>
        </w:rPr>
        <w:t>derechos,</w:t>
      </w:r>
      <w:r>
        <w:rPr>
          <w:spacing w:val="-11"/>
          <w:sz w:val="20"/>
        </w:rPr>
        <w:t> </w:t>
      </w:r>
      <w:r>
        <w:rPr>
          <w:sz w:val="20"/>
        </w:rPr>
        <w:t>y</w:t>
      </w:r>
      <w:r>
        <w:rPr>
          <w:spacing w:val="-9"/>
          <w:sz w:val="20"/>
        </w:rPr>
        <w:t> </w:t>
      </w:r>
      <w:r>
        <w:rPr>
          <w:sz w:val="20"/>
        </w:rPr>
        <w:t>que</w:t>
      </w:r>
      <w:r>
        <w:rPr>
          <w:spacing w:val="-9"/>
          <w:sz w:val="20"/>
        </w:rPr>
        <w:t> </w:t>
      </w:r>
      <w:r>
        <w:rPr>
          <w:sz w:val="20"/>
        </w:rPr>
        <w:t>puede</w:t>
      </w:r>
      <w:r>
        <w:rPr>
          <w:spacing w:val="-9"/>
          <w:sz w:val="20"/>
        </w:rPr>
        <w:t> </w:t>
      </w:r>
      <w:r>
        <w:rPr>
          <w:sz w:val="20"/>
        </w:rPr>
        <w:t>desprenderse</w:t>
      </w:r>
      <w:r>
        <w:rPr>
          <w:spacing w:val="-10"/>
          <w:sz w:val="20"/>
        </w:rPr>
        <w:t> </w:t>
      </w:r>
      <w:r>
        <w:rPr>
          <w:sz w:val="20"/>
        </w:rPr>
        <w:t>de</w:t>
      </w:r>
      <w:r>
        <w:rPr>
          <w:spacing w:val="-9"/>
          <w:sz w:val="20"/>
        </w:rPr>
        <w:t> </w:t>
      </w:r>
      <w:r>
        <w:rPr>
          <w:sz w:val="20"/>
        </w:rPr>
        <w:t>expresiones</w:t>
      </w:r>
      <w:r>
        <w:rPr>
          <w:spacing w:val="-10"/>
          <w:sz w:val="20"/>
        </w:rPr>
        <w:t> </w:t>
      </w:r>
      <w:r>
        <w:rPr>
          <w:sz w:val="20"/>
        </w:rPr>
        <w:t>del</w:t>
      </w:r>
      <w:r>
        <w:rPr>
          <w:spacing w:val="-10"/>
          <w:sz w:val="20"/>
        </w:rPr>
        <w:t> </w:t>
      </w:r>
      <w:r>
        <w:rPr>
          <w:sz w:val="20"/>
        </w:rPr>
        <w:t>propio Preámbulo</w:t>
      </w:r>
      <w:r>
        <w:rPr>
          <w:spacing w:val="-12"/>
          <w:sz w:val="20"/>
        </w:rPr>
        <w:t> </w:t>
      </w:r>
      <w:r>
        <w:rPr>
          <w:sz w:val="20"/>
        </w:rPr>
        <w:t>de</w:t>
      </w:r>
      <w:r>
        <w:rPr>
          <w:spacing w:val="-10"/>
          <w:sz w:val="20"/>
        </w:rPr>
        <w:t> </w:t>
      </w:r>
      <w:r>
        <w:rPr>
          <w:sz w:val="20"/>
        </w:rPr>
        <w:t>la</w:t>
      </w:r>
      <w:r>
        <w:rPr>
          <w:spacing w:val="-11"/>
          <w:sz w:val="20"/>
        </w:rPr>
        <w:t> </w:t>
      </w:r>
      <w:r>
        <w:rPr>
          <w:sz w:val="20"/>
        </w:rPr>
        <w:t>Convención</w:t>
      </w:r>
      <w:r>
        <w:rPr>
          <w:spacing w:val="-9"/>
          <w:sz w:val="20"/>
        </w:rPr>
        <w:t> </w:t>
      </w:r>
      <w:r>
        <w:rPr>
          <w:sz w:val="20"/>
        </w:rPr>
        <w:t>Americana,</w:t>
      </w:r>
      <w:r>
        <w:rPr>
          <w:spacing w:val="-10"/>
          <w:sz w:val="20"/>
        </w:rPr>
        <w:t> </w:t>
      </w:r>
      <w:r>
        <w:rPr>
          <w:sz w:val="20"/>
        </w:rPr>
        <w:t>que</w:t>
      </w:r>
      <w:r>
        <w:rPr>
          <w:spacing w:val="-10"/>
          <w:sz w:val="20"/>
        </w:rPr>
        <w:t> </w:t>
      </w:r>
      <w:r>
        <w:rPr>
          <w:sz w:val="20"/>
        </w:rPr>
        <w:t>dice</w:t>
      </w:r>
      <w:r>
        <w:rPr>
          <w:spacing w:val="-11"/>
          <w:sz w:val="20"/>
        </w:rPr>
        <w:t> </w:t>
      </w:r>
      <w:r>
        <w:rPr>
          <w:sz w:val="20"/>
        </w:rPr>
        <w:t>que</w:t>
      </w:r>
      <w:r>
        <w:rPr>
          <w:spacing w:val="-11"/>
          <w:sz w:val="20"/>
        </w:rPr>
        <w:t> </w:t>
      </w:r>
      <w:r>
        <w:rPr>
          <w:sz w:val="20"/>
        </w:rPr>
        <w:t>“(…)</w:t>
      </w:r>
      <w:r>
        <w:rPr>
          <w:spacing w:val="-12"/>
          <w:sz w:val="20"/>
        </w:rPr>
        <w:t> </w:t>
      </w:r>
      <w:r>
        <w:rPr>
          <w:sz w:val="20"/>
        </w:rPr>
        <w:t>sólo</w:t>
      </w:r>
      <w:r>
        <w:rPr>
          <w:spacing w:val="-10"/>
          <w:sz w:val="20"/>
        </w:rPr>
        <w:t> </w:t>
      </w:r>
      <w:r>
        <w:rPr>
          <w:sz w:val="20"/>
        </w:rPr>
        <w:t>puede</w:t>
      </w:r>
      <w:r>
        <w:rPr>
          <w:spacing w:val="-10"/>
          <w:sz w:val="20"/>
        </w:rPr>
        <w:t> </w:t>
      </w:r>
      <w:r>
        <w:rPr>
          <w:sz w:val="20"/>
        </w:rPr>
        <w:t>realizarse</w:t>
      </w:r>
      <w:r>
        <w:rPr>
          <w:spacing w:val="-11"/>
          <w:sz w:val="20"/>
        </w:rPr>
        <w:t> </w:t>
      </w:r>
      <w:r>
        <w:rPr>
          <w:sz w:val="20"/>
        </w:rPr>
        <w:t>el</w:t>
      </w:r>
      <w:r>
        <w:rPr>
          <w:spacing w:val="-10"/>
          <w:sz w:val="20"/>
        </w:rPr>
        <w:t> </w:t>
      </w:r>
      <w:r>
        <w:rPr>
          <w:sz w:val="20"/>
        </w:rPr>
        <w:t>ideal del</w:t>
      </w:r>
      <w:r>
        <w:rPr>
          <w:spacing w:val="-19"/>
          <w:sz w:val="20"/>
        </w:rPr>
        <w:t> </w:t>
      </w:r>
      <w:r>
        <w:rPr>
          <w:sz w:val="20"/>
        </w:rPr>
        <w:t>ser</w:t>
      </w:r>
      <w:r>
        <w:rPr>
          <w:spacing w:val="-20"/>
          <w:sz w:val="20"/>
        </w:rPr>
        <w:t> </w:t>
      </w:r>
      <w:r>
        <w:rPr>
          <w:sz w:val="20"/>
        </w:rPr>
        <w:t>humano</w:t>
      </w:r>
      <w:r>
        <w:rPr>
          <w:spacing w:val="-19"/>
          <w:sz w:val="20"/>
        </w:rPr>
        <w:t> </w:t>
      </w:r>
      <w:r>
        <w:rPr>
          <w:sz w:val="20"/>
        </w:rPr>
        <w:t>libre,</w:t>
      </w:r>
      <w:r>
        <w:rPr>
          <w:spacing w:val="-20"/>
          <w:sz w:val="20"/>
        </w:rPr>
        <w:t> </w:t>
      </w:r>
      <w:r>
        <w:rPr>
          <w:sz w:val="20"/>
        </w:rPr>
        <w:t>exento</w:t>
      </w:r>
      <w:r>
        <w:rPr>
          <w:spacing w:val="-19"/>
          <w:sz w:val="20"/>
        </w:rPr>
        <w:t> </w:t>
      </w:r>
      <w:r>
        <w:rPr>
          <w:sz w:val="20"/>
        </w:rPr>
        <w:t>del</w:t>
      </w:r>
      <w:r>
        <w:rPr>
          <w:spacing w:val="-19"/>
          <w:sz w:val="20"/>
        </w:rPr>
        <w:t> </w:t>
      </w:r>
      <w:r>
        <w:rPr>
          <w:sz w:val="20"/>
        </w:rPr>
        <w:t>temor</w:t>
      </w:r>
      <w:r>
        <w:rPr>
          <w:spacing w:val="-19"/>
          <w:sz w:val="20"/>
        </w:rPr>
        <w:t> </w:t>
      </w:r>
      <w:r>
        <w:rPr>
          <w:sz w:val="20"/>
        </w:rPr>
        <w:t>y</w:t>
      </w:r>
      <w:r>
        <w:rPr>
          <w:spacing w:val="-19"/>
          <w:sz w:val="20"/>
        </w:rPr>
        <w:t> </w:t>
      </w:r>
      <w:r>
        <w:rPr>
          <w:sz w:val="20"/>
        </w:rPr>
        <w:t>la</w:t>
      </w:r>
      <w:r>
        <w:rPr>
          <w:spacing w:val="-20"/>
          <w:sz w:val="20"/>
        </w:rPr>
        <w:t> </w:t>
      </w:r>
      <w:r>
        <w:rPr>
          <w:sz w:val="20"/>
        </w:rPr>
        <w:t>miseria,</w:t>
      </w:r>
      <w:r>
        <w:rPr>
          <w:spacing w:val="-20"/>
          <w:sz w:val="20"/>
        </w:rPr>
        <w:t> </w:t>
      </w:r>
      <w:r>
        <w:rPr>
          <w:sz w:val="20"/>
        </w:rPr>
        <w:t>si</w:t>
      </w:r>
      <w:r>
        <w:rPr>
          <w:spacing w:val="-20"/>
          <w:sz w:val="20"/>
        </w:rPr>
        <w:t> </w:t>
      </w:r>
      <w:r>
        <w:rPr>
          <w:sz w:val="20"/>
        </w:rPr>
        <w:t>se</w:t>
      </w:r>
      <w:r>
        <w:rPr>
          <w:spacing w:val="-18"/>
          <w:sz w:val="20"/>
        </w:rPr>
        <w:t> </w:t>
      </w:r>
      <w:r>
        <w:rPr>
          <w:sz w:val="20"/>
        </w:rPr>
        <w:t>crean</w:t>
      </w:r>
      <w:r>
        <w:rPr>
          <w:spacing w:val="-20"/>
          <w:sz w:val="20"/>
        </w:rPr>
        <w:t> </w:t>
      </w:r>
      <w:r>
        <w:rPr>
          <w:sz w:val="20"/>
        </w:rPr>
        <w:t>condiciones</w:t>
      </w:r>
      <w:r>
        <w:rPr>
          <w:spacing w:val="-20"/>
          <w:sz w:val="20"/>
        </w:rPr>
        <w:t> </w:t>
      </w:r>
      <w:r>
        <w:rPr>
          <w:sz w:val="20"/>
        </w:rPr>
        <w:t>que</w:t>
      </w:r>
      <w:r>
        <w:rPr>
          <w:spacing w:val="-19"/>
          <w:sz w:val="20"/>
        </w:rPr>
        <w:t> </w:t>
      </w:r>
      <w:r>
        <w:rPr>
          <w:sz w:val="20"/>
        </w:rPr>
        <w:t>permitan a</w:t>
      </w:r>
      <w:r>
        <w:rPr>
          <w:spacing w:val="-7"/>
          <w:sz w:val="20"/>
        </w:rPr>
        <w:t> </w:t>
      </w:r>
      <w:r>
        <w:rPr>
          <w:sz w:val="20"/>
        </w:rPr>
        <w:t>cada</w:t>
      </w:r>
      <w:r>
        <w:rPr>
          <w:spacing w:val="-8"/>
          <w:sz w:val="20"/>
        </w:rPr>
        <w:t> </w:t>
      </w:r>
      <w:r>
        <w:rPr>
          <w:sz w:val="20"/>
        </w:rPr>
        <w:t>persona</w:t>
      </w:r>
      <w:r>
        <w:rPr>
          <w:spacing w:val="-7"/>
          <w:sz w:val="20"/>
        </w:rPr>
        <w:t> </w:t>
      </w:r>
      <w:r>
        <w:rPr>
          <w:sz w:val="20"/>
        </w:rPr>
        <w:t>gozar</w:t>
      </w:r>
      <w:r>
        <w:rPr>
          <w:spacing w:val="-7"/>
          <w:sz w:val="20"/>
        </w:rPr>
        <w:t> </w:t>
      </w:r>
      <w:r>
        <w:rPr>
          <w:i/>
          <w:sz w:val="20"/>
        </w:rPr>
        <w:t>de</w:t>
      </w:r>
      <w:r>
        <w:rPr>
          <w:i/>
          <w:spacing w:val="-6"/>
          <w:sz w:val="20"/>
        </w:rPr>
        <w:t> </w:t>
      </w:r>
      <w:r>
        <w:rPr>
          <w:i/>
          <w:sz w:val="20"/>
        </w:rPr>
        <w:t>sus</w:t>
      </w:r>
      <w:r>
        <w:rPr>
          <w:i/>
          <w:spacing w:val="-6"/>
          <w:sz w:val="20"/>
        </w:rPr>
        <w:t> </w:t>
      </w:r>
      <w:r>
        <w:rPr>
          <w:i/>
          <w:sz w:val="20"/>
        </w:rPr>
        <w:t>derechos</w:t>
      </w:r>
      <w:r>
        <w:rPr>
          <w:i/>
          <w:spacing w:val="-8"/>
          <w:sz w:val="20"/>
        </w:rPr>
        <w:t> </w:t>
      </w:r>
      <w:r>
        <w:rPr>
          <w:i/>
          <w:sz w:val="20"/>
        </w:rPr>
        <w:t>económicos,</w:t>
      </w:r>
      <w:r>
        <w:rPr>
          <w:i/>
          <w:spacing w:val="-6"/>
          <w:sz w:val="20"/>
        </w:rPr>
        <w:t> </w:t>
      </w:r>
      <w:r>
        <w:rPr>
          <w:i/>
          <w:sz w:val="20"/>
        </w:rPr>
        <w:t>sociales</w:t>
      </w:r>
      <w:r>
        <w:rPr>
          <w:i/>
          <w:spacing w:val="-7"/>
          <w:sz w:val="20"/>
        </w:rPr>
        <w:t> </w:t>
      </w:r>
      <w:r>
        <w:rPr>
          <w:i/>
          <w:sz w:val="20"/>
        </w:rPr>
        <w:t>y</w:t>
      </w:r>
      <w:r>
        <w:rPr>
          <w:i/>
          <w:spacing w:val="-6"/>
          <w:sz w:val="20"/>
        </w:rPr>
        <w:t> </w:t>
      </w:r>
      <w:r>
        <w:rPr>
          <w:i/>
          <w:sz w:val="20"/>
        </w:rPr>
        <w:t>culturales,</w:t>
      </w:r>
      <w:r>
        <w:rPr>
          <w:i/>
          <w:spacing w:val="-6"/>
          <w:sz w:val="20"/>
        </w:rPr>
        <w:t> </w:t>
      </w:r>
      <w:r>
        <w:rPr>
          <w:i/>
          <w:sz w:val="20"/>
        </w:rPr>
        <w:t>tanto</w:t>
      </w:r>
      <w:r>
        <w:rPr>
          <w:i/>
          <w:spacing w:val="-7"/>
          <w:sz w:val="20"/>
        </w:rPr>
        <w:t> </w:t>
      </w:r>
      <w:r>
        <w:rPr>
          <w:i/>
          <w:sz w:val="20"/>
        </w:rPr>
        <w:t>como</w:t>
      </w:r>
      <w:r>
        <w:rPr>
          <w:i/>
          <w:spacing w:val="-7"/>
          <w:sz w:val="20"/>
        </w:rPr>
        <w:t> </w:t>
      </w:r>
      <w:r>
        <w:rPr>
          <w:i/>
          <w:sz w:val="20"/>
        </w:rPr>
        <w:t>de </w:t>
      </w:r>
      <w:r>
        <w:rPr>
          <w:i/>
          <w:sz w:val="20"/>
        </w:rPr>
        <w:t>sus derechos civiles y</w:t>
      </w:r>
      <w:r>
        <w:rPr>
          <w:i/>
          <w:spacing w:val="-4"/>
          <w:sz w:val="20"/>
        </w:rPr>
        <w:t> </w:t>
      </w:r>
      <w:r>
        <w:rPr>
          <w:i/>
          <w:sz w:val="20"/>
        </w:rPr>
        <w:t>políticos</w:t>
      </w:r>
      <w:r>
        <w:rPr>
          <w:sz w:val="20"/>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De</w:t>
      </w:r>
      <w:r>
        <w:rPr>
          <w:spacing w:val="-13"/>
          <w:sz w:val="20"/>
        </w:rPr>
        <w:t> </w:t>
      </w:r>
      <w:r>
        <w:rPr>
          <w:sz w:val="20"/>
        </w:rPr>
        <w:t>ahí</w:t>
      </w:r>
      <w:r>
        <w:rPr>
          <w:spacing w:val="-13"/>
          <w:sz w:val="20"/>
        </w:rPr>
        <w:t> </w:t>
      </w:r>
      <w:r>
        <w:rPr>
          <w:sz w:val="20"/>
        </w:rPr>
        <w:t>que</w:t>
      </w:r>
      <w:r>
        <w:rPr>
          <w:spacing w:val="-14"/>
          <w:sz w:val="20"/>
        </w:rPr>
        <w:t> </w:t>
      </w:r>
      <w:r>
        <w:rPr>
          <w:sz w:val="20"/>
        </w:rPr>
        <w:t>en</w:t>
      </w:r>
      <w:r>
        <w:rPr>
          <w:spacing w:val="-13"/>
          <w:sz w:val="20"/>
        </w:rPr>
        <w:t> </w:t>
      </w:r>
      <w:r>
        <w:rPr>
          <w:sz w:val="20"/>
        </w:rPr>
        <w:t>el</w:t>
      </w:r>
      <w:r>
        <w:rPr>
          <w:spacing w:val="-13"/>
          <w:sz w:val="20"/>
        </w:rPr>
        <w:t> </w:t>
      </w:r>
      <w:r>
        <w:rPr>
          <w:sz w:val="20"/>
        </w:rPr>
        <w:t>caso</w:t>
      </w:r>
      <w:r>
        <w:rPr>
          <w:spacing w:val="-15"/>
          <w:sz w:val="20"/>
        </w:rPr>
        <w:t> </w:t>
      </w:r>
      <w:r>
        <w:rPr>
          <w:i/>
          <w:sz w:val="20"/>
        </w:rPr>
        <w:t>Lagos</w:t>
      </w:r>
      <w:r>
        <w:rPr>
          <w:i/>
          <w:spacing w:val="-13"/>
          <w:sz w:val="20"/>
        </w:rPr>
        <w:t> </w:t>
      </w:r>
      <w:r>
        <w:rPr>
          <w:i/>
          <w:sz w:val="20"/>
        </w:rPr>
        <w:t>del</w:t>
      </w:r>
      <w:r>
        <w:rPr>
          <w:i/>
          <w:spacing w:val="-14"/>
          <w:sz w:val="20"/>
        </w:rPr>
        <w:t> </w:t>
      </w:r>
      <w:r>
        <w:rPr>
          <w:i/>
          <w:sz w:val="20"/>
        </w:rPr>
        <w:t>Campo</w:t>
      </w:r>
      <w:r>
        <w:rPr>
          <w:i/>
          <w:spacing w:val="-15"/>
          <w:sz w:val="20"/>
        </w:rPr>
        <w:t> </w:t>
      </w:r>
      <w:r>
        <w:rPr>
          <w:i/>
          <w:sz w:val="20"/>
        </w:rPr>
        <w:t>Vs.</w:t>
      </w:r>
      <w:r>
        <w:rPr>
          <w:i/>
          <w:spacing w:val="-14"/>
          <w:sz w:val="20"/>
        </w:rPr>
        <w:t> </w:t>
      </w:r>
      <w:r>
        <w:rPr>
          <w:i/>
          <w:sz w:val="20"/>
        </w:rPr>
        <w:t>Perú</w:t>
      </w:r>
      <w:r>
        <w:rPr>
          <w:sz w:val="20"/>
        </w:rPr>
        <w:t>,</w:t>
      </w:r>
      <w:r>
        <w:rPr>
          <w:spacing w:val="-14"/>
          <w:sz w:val="20"/>
        </w:rPr>
        <w:t> </w:t>
      </w:r>
      <w:r>
        <w:rPr>
          <w:sz w:val="20"/>
        </w:rPr>
        <w:t>en</w:t>
      </w:r>
      <w:r>
        <w:rPr>
          <w:spacing w:val="-14"/>
          <w:sz w:val="20"/>
        </w:rPr>
        <w:t> </w:t>
      </w:r>
      <w:r>
        <w:rPr>
          <w:sz w:val="20"/>
        </w:rPr>
        <w:t>el</w:t>
      </w:r>
      <w:r>
        <w:rPr>
          <w:spacing w:val="-13"/>
          <w:sz w:val="20"/>
        </w:rPr>
        <w:t> </w:t>
      </w:r>
      <w:r>
        <w:rPr>
          <w:sz w:val="20"/>
        </w:rPr>
        <w:t>que</w:t>
      </w:r>
      <w:r>
        <w:rPr>
          <w:spacing w:val="-15"/>
          <w:sz w:val="20"/>
        </w:rPr>
        <w:t> </w:t>
      </w:r>
      <w:r>
        <w:rPr>
          <w:sz w:val="20"/>
        </w:rPr>
        <w:t>se</w:t>
      </w:r>
      <w:r>
        <w:rPr>
          <w:spacing w:val="-14"/>
          <w:sz w:val="20"/>
        </w:rPr>
        <w:t> </w:t>
      </w:r>
      <w:r>
        <w:rPr>
          <w:sz w:val="20"/>
        </w:rPr>
        <w:t>declaró</w:t>
      </w:r>
      <w:r>
        <w:rPr>
          <w:spacing w:val="-13"/>
          <w:sz w:val="20"/>
        </w:rPr>
        <w:t> </w:t>
      </w:r>
      <w:r>
        <w:rPr>
          <w:sz w:val="20"/>
        </w:rPr>
        <w:t>por</w:t>
      </w:r>
      <w:r>
        <w:rPr>
          <w:spacing w:val="-14"/>
          <w:sz w:val="20"/>
        </w:rPr>
        <w:t> </w:t>
      </w:r>
      <w:r>
        <w:rPr>
          <w:sz w:val="20"/>
        </w:rPr>
        <w:t>primera vez violaciones directas a los DESCA vía el artículo 26 del Pacto de San José, se consideró que la Corte IDH “ha reiterado la interdependencia e indivisibilidad existente entre</w:t>
      </w:r>
      <w:r>
        <w:rPr>
          <w:spacing w:val="-9"/>
          <w:sz w:val="20"/>
        </w:rPr>
        <w:t> </w:t>
      </w:r>
      <w:r>
        <w:rPr>
          <w:sz w:val="20"/>
        </w:rPr>
        <w:t>los</w:t>
      </w:r>
      <w:r>
        <w:rPr>
          <w:spacing w:val="-10"/>
          <w:sz w:val="20"/>
        </w:rPr>
        <w:t> </w:t>
      </w:r>
      <w:r>
        <w:rPr>
          <w:sz w:val="20"/>
        </w:rPr>
        <w:t>derechos</w:t>
      </w:r>
      <w:r>
        <w:rPr>
          <w:spacing w:val="-10"/>
          <w:sz w:val="20"/>
        </w:rPr>
        <w:t> </w:t>
      </w:r>
      <w:r>
        <w:rPr>
          <w:sz w:val="20"/>
        </w:rPr>
        <w:t>civiles</w:t>
      </w:r>
      <w:r>
        <w:rPr>
          <w:spacing w:val="-10"/>
          <w:sz w:val="20"/>
        </w:rPr>
        <w:t> </w:t>
      </w:r>
      <w:r>
        <w:rPr>
          <w:sz w:val="20"/>
        </w:rPr>
        <w:t>y</w:t>
      </w:r>
      <w:r>
        <w:rPr>
          <w:spacing w:val="-9"/>
          <w:sz w:val="20"/>
        </w:rPr>
        <w:t> </w:t>
      </w:r>
      <w:r>
        <w:rPr>
          <w:sz w:val="20"/>
        </w:rPr>
        <w:t>políticos,</w:t>
      </w:r>
      <w:r>
        <w:rPr>
          <w:spacing w:val="-9"/>
          <w:sz w:val="20"/>
        </w:rPr>
        <w:t> </w:t>
      </w:r>
      <w:r>
        <w:rPr>
          <w:sz w:val="20"/>
        </w:rPr>
        <w:t>y</w:t>
      </w:r>
      <w:r>
        <w:rPr>
          <w:spacing w:val="-8"/>
          <w:sz w:val="20"/>
        </w:rPr>
        <w:t> </w:t>
      </w:r>
      <w:r>
        <w:rPr>
          <w:sz w:val="20"/>
        </w:rPr>
        <w:t>los</w:t>
      </w:r>
      <w:r>
        <w:rPr>
          <w:spacing w:val="-11"/>
          <w:sz w:val="20"/>
        </w:rPr>
        <w:t> </w:t>
      </w:r>
      <w:r>
        <w:rPr>
          <w:sz w:val="20"/>
        </w:rPr>
        <w:t>económicos,</w:t>
      </w:r>
      <w:r>
        <w:rPr>
          <w:spacing w:val="-10"/>
          <w:sz w:val="20"/>
        </w:rPr>
        <w:t> </w:t>
      </w:r>
      <w:r>
        <w:rPr>
          <w:sz w:val="20"/>
        </w:rPr>
        <w:t>sociales</w:t>
      </w:r>
      <w:r>
        <w:rPr>
          <w:spacing w:val="-11"/>
          <w:sz w:val="20"/>
        </w:rPr>
        <w:t> </w:t>
      </w:r>
      <w:r>
        <w:rPr>
          <w:sz w:val="20"/>
        </w:rPr>
        <w:t>y</w:t>
      </w:r>
      <w:r>
        <w:rPr>
          <w:spacing w:val="-8"/>
          <w:sz w:val="20"/>
        </w:rPr>
        <w:t> </w:t>
      </w:r>
      <w:r>
        <w:rPr>
          <w:sz w:val="20"/>
        </w:rPr>
        <w:t>culturales,</w:t>
      </w:r>
      <w:r>
        <w:rPr>
          <w:spacing w:val="-9"/>
          <w:sz w:val="20"/>
        </w:rPr>
        <w:t> </w:t>
      </w:r>
      <w:r>
        <w:rPr>
          <w:sz w:val="20"/>
        </w:rPr>
        <w:t>puesto</w:t>
      </w:r>
      <w:r>
        <w:rPr>
          <w:spacing w:val="-8"/>
          <w:sz w:val="20"/>
        </w:rPr>
        <w:t> </w:t>
      </w:r>
      <w:r>
        <w:rPr>
          <w:sz w:val="20"/>
        </w:rPr>
        <w:t>que deben ser entendidos integralmente y de forma conglobada como derechos humanos, </w:t>
      </w:r>
      <w:r>
        <w:rPr>
          <w:i/>
          <w:sz w:val="20"/>
        </w:rPr>
        <w:t>sin jerarquía entre sí y exigibles </w:t>
      </w:r>
      <w:r>
        <w:rPr>
          <w:sz w:val="20"/>
        </w:rPr>
        <w:t>en todos los casos ante aquellas autoridades que resulten competentes para</w:t>
      </w:r>
      <w:r>
        <w:rPr>
          <w:spacing w:val="-5"/>
          <w:sz w:val="20"/>
        </w:rPr>
        <w:t> </w:t>
      </w:r>
      <w:r>
        <w:rPr>
          <w:sz w:val="20"/>
        </w:rPr>
        <w:t>ello”</w:t>
      </w:r>
      <w:r>
        <w:rPr>
          <w:position w:val="7"/>
          <w:sz w:val="13"/>
        </w:rPr>
        <w:t>49</w:t>
      </w:r>
      <w:r>
        <w:rPr>
          <w:sz w:val="20"/>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Por otra parte, una forma de examen que, aun considerando el artículo 26 del Pacto de San José haga depender la aplicación de dicha norma de la conexidad de un derecho recogido en la misma a otro que no lo esté, llevaría a una comprensión de los DESCA parcial y limitada. Ello debido a que el contenido de los derechos incluidos en</w:t>
      </w:r>
      <w:r>
        <w:rPr>
          <w:spacing w:val="-32"/>
          <w:sz w:val="20"/>
        </w:rPr>
        <w:t> </w:t>
      </w:r>
      <w:r>
        <w:rPr>
          <w:sz w:val="20"/>
        </w:rPr>
        <w:t>el artículo 26 que serían justiciable ante el Tribunal Interamericano, se limitaría a aquél que</w:t>
      </w:r>
      <w:r>
        <w:rPr>
          <w:spacing w:val="-7"/>
          <w:sz w:val="20"/>
        </w:rPr>
        <w:t> </w:t>
      </w:r>
      <w:r>
        <w:rPr>
          <w:sz w:val="20"/>
        </w:rPr>
        <w:t>pudiera</w:t>
      </w:r>
      <w:r>
        <w:rPr>
          <w:spacing w:val="-9"/>
          <w:sz w:val="20"/>
        </w:rPr>
        <w:t> </w:t>
      </w:r>
      <w:r>
        <w:rPr>
          <w:sz w:val="20"/>
        </w:rPr>
        <w:t>relacionarse</w:t>
      </w:r>
      <w:r>
        <w:rPr>
          <w:spacing w:val="-6"/>
          <w:sz w:val="20"/>
        </w:rPr>
        <w:t> </w:t>
      </w:r>
      <w:r>
        <w:rPr>
          <w:sz w:val="20"/>
        </w:rPr>
        <w:t>con</w:t>
      </w:r>
      <w:r>
        <w:rPr>
          <w:spacing w:val="-8"/>
          <w:sz w:val="20"/>
        </w:rPr>
        <w:t> </w:t>
      </w:r>
      <w:r>
        <w:rPr>
          <w:sz w:val="20"/>
        </w:rPr>
        <w:t>el</w:t>
      </w:r>
      <w:r>
        <w:rPr>
          <w:spacing w:val="-7"/>
          <w:sz w:val="20"/>
        </w:rPr>
        <w:t> </w:t>
      </w:r>
      <w:r>
        <w:rPr>
          <w:sz w:val="20"/>
        </w:rPr>
        <w:t>contenido</w:t>
      </w:r>
      <w:r>
        <w:rPr>
          <w:spacing w:val="-9"/>
          <w:sz w:val="20"/>
        </w:rPr>
        <w:t> </w:t>
      </w:r>
      <w:r>
        <w:rPr>
          <w:sz w:val="20"/>
        </w:rPr>
        <w:t>de</w:t>
      </w:r>
      <w:r>
        <w:rPr>
          <w:spacing w:val="-8"/>
          <w:sz w:val="20"/>
        </w:rPr>
        <w:t> </w:t>
      </w:r>
      <w:r>
        <w:rPr>
          <w:sz w:val="20"/>
        </w:rPr>
        <w:t>otro</w:t>
      </w:r>
      <w:r>
        <w:rPr>
          <w:spacing w:val="-8"/>
          <w:sz w:val="20"/>
        </w:rPr>
        <w:t> </w:t>
      </w:r>
      <w:r>
        <w:rPr>
          <w:sz w:val="20"/>
        </w:rPr>
        <w:t>derecho</w:t>
      </w:r>
      <w:r>
        <w:rPr>
          <w:spacing w:val="-8"/>
          <w:sz w:val="20"/>
        </w:rPr>
        <w:t> </w:t>
      </w:r>
      <w:r>
        <w:rPr>
          <w:sz w:val="20"/>
        </w:rPr>
        <w:t>civil</w:t>
      </w:r>
      <w:r>
        <w:rPr>
          <w:spacing w:val="-8"/>
          <w:sz w:val="20"/>
        </w:rPr>
        <w:t> </w:t>
      </w:r>
      <w:r>
        <w:rPr>
          <w:sz w:val="20"/>
        </w:rPr>
        <w:t>o</w:t>
      </w:r>
      <w:r>
        <w:rPr>
          <w:spacing w:val="-7"/>
          <w:sz w:val="20"/>
        </w:rPr>
        <w:t> </w:t>
      </w:r>
      <w:r>
        <w:rPr>
          <w:sz w:val="20"/>
        </w:rPr>
        <w:t>político</w:t>
      </w:r>
      <w:r>
        <w:rPr>
          <w:spacing w:val="-8"/>
          <w:sz w:val="20"/>
        </w:rPr>
        <w:t> </w:t>
      </w:r>
      <w:r>
        <w:rPr>
          <w:sz w:val="20"/>
        </w:rPr>
        <w:t>incorporado</w:t>
      </w:r>
      <w:r>
        <w:rPr>
          <w:spacing w:val="-8"/>
          <w:sz w:val="20"/>
        </w:rPr>
        <w:t> </w:t>
      </w:r>
      <w:r>
        <w:rPr>
          <w:sz w:val="20"/>
        </w:rPr>
        <w:t>en otras disposiciones de la Convención</w:t>
      </w:r>
      <w:r>
        <w:rPr>
          <w:spacing w:val="-9"/>
          <w:sz w:val="20"/>
        </w:rPr>
        <w:t> </w:t>
      </w:r>
      <w:r>
        <w:rPr>
          <w:sz w:val="20"/>
        </w:rPr>
        <w:t>Americana.</w:t>
      </w:r>
    </w:p>
    <w:p>
      <w:pPr>
        <w:pStyle w:val="BodyText"/>
        <w:spacing w:before="11"/>
        <w:rPr>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El resultado de una interpretación de estas características, que considero no resulta justificada, sería, en términos prácticos, volver al estado de cosas anterior al cambio jurisprudencial generado a partir del caso </w:t>
      </w:r>
      <w:r>
        <w:rPr>
          <w:i/>
          <w:sz w:val="20"/>
        </w:rPr>
        <w:t>Lagos del Campo </w:t>
      </w:r>
      <w:r>
        <w:rPr>
          <w:sz w:val="20"/>
        </w:rPr>
        <w:t>en 2017. De tal manera que dicho entendimiento llevaría a que la eventual determinación de una violación al artículo 26 del Pacto de San José solo se efectuaría si algún aspecto de un DESCA</w:t>
      </w:r>
      <w:r>
        <w:rPr>
          <w:spacing w:val="-18"/>
          <w:sz w:val="20"/>
        </w:rPr>
        <w:t> </w:t>
      </w:r>
      <w:r>
        <w:rPr>
          <w:sz w:val="20"/>
        </w:rPr>
        <w:t>incluido</w:t>
      </w:r>
      <w:r>
        <w:rPr>
          <w:spacing w:val="-18"/>
          <w:sz w:val="20"/>
        </w:rPr>
        <w:t> </w:t>
      </w:r>
      <w:r>
        <w:rPr>
          <w:sz w:val="20"/>
        </w:rPr>
        <w:t>en</w:t>
      </w:r>
      <w:r>
        <w:rPr>
          <w:spacing w:val="-17"/>
          <w:sz w:val="20"/>
        </w:rPr>
        <w:t> </w:t>
      </w:r>
      <w:r>
        <w:rPr>
          <w:sz w:val="20"/>
        </w:rPr>
        <w:t>la</w:t>
      </w:r>
      <w:r>
        <w:rPr>
          <w:spacing w:val="-19"/>
          <w:sz w:val="20"/>
        </w:rPr>
        <w:t> </w:t>
      </w:r>
      <w:r>
        <w:rPr>
          <w:sz w:val="20"/>
        </w:rPr>
        <w:t>norma</w:t>
      </w:r>
      <w:r>
        <w:rPr>
          <w:spacing w:val="-19"/>
          <w:sz w:val="20"/>
        </w:rPr>
        <w:t> </w:t>
      </w:r>
      <w:r>
        <w:rPr>
          <w:sz w:val="20"/>
        </w:rPr>
        <w:t>puede</w:t>
      </w:r>
      <w:r>
        <w:rPr>
          <w:spacing w:val="-19"/>
          <w:sz w:val="20"/>
        </w:rPr>
        <w:t> </w:t>
      </w:r>
      <w:r>
        <w:rPr>
          <w:sz w:val="20"/>
        </w:rPr>
        <w:t>desprenderse</w:t>
      </w:r>
      <w:r>
        <w:rPr>
          <w:spacing w:val="-17"/>
          <w:sz w:val="20"/>
        </w:rPr>
        <w:t> </w:t>
      </w:r>
      <w:r>
        <w:rPr>
          <w:sz w:val="20"/>
        </w:rPr>
        <w:t>de</w:t>
      </w:r>
      <w:r>
        <w:rPr>
          <w:spacing w:val="-17"/>
          <w:sz w:val="20"/>
        </w:rPr>
        <w:t> </w:t>
      </w:r>
      <w:r>
        <w:rPr>
          <w:sz w:val="20"/>
        </w:rPr>
        <w:t>otro</w:t>
      </w:r>
      <w:r>
        <w:rPr>
          <w:spacing w:val="-19"/>
          <w:sz w:val="20"/>
        </w:rPr>
        <w:t> </w:t>
      </w:r>
      <w:r>
        <w:rPr>
          <w:sz w:val="20"/>
        </w:rPr>
        <w:t>derecho</w:t>
      </w:r>
      <w:r>
        <w:rPr>
          <w:spacing w:val="-17"/>
          <w:sz w:val="20"/>
        </w:rPr>
        <w:t> </w:t>
      </w:r>
      <w:r>
        <w:rPr>
          <w:sz w:val="20"/>
        </w:rPr>
        <w:t>previamente</w:t>
      </w:r>
      <w:r>
        <w:rPr>
          <w:spacing w:val="-18"/>
          <w:sz w:val="20"/>
        </w:rPr>
        <w:t> </w:t>
      </w:r>
      <w:r>
        <w:rPr>
          <w:sz w:val="20"/>
        </w:rPr>
        <w:t>declarada su violación. Es decir, la mención del artículo 26 resultaría meramente accesoria, no sustancial, jerarquizando y estableciendo categorías entre derechos</w:t>
      </w:r>
      <w:r>
        <w:rPr>
          <w:spacing w:val="-15"/>
          <w:sz w:val="20"/>
        </w:rPr>
        <w:t> </w:t>
      </w:r>
      <w:r>
        <w:rPr>
          <w:sz w:val="20"/>
        </w:rPr>
        <w:t>humanos.</w:t>
      </w:r>
    </w:p>
    <w:p>
      <w:pPr>
        <w:pStyle w:val="BodyText"/>
        <w:rPr>
          <w:sz w:val="24"/>
        </w:rPr>
      </w:pPr>
    </w:p>
    <w:p>
      <w:pPr>
        <w:pStyle w:val="BodyText"/>
        <w:spacing w:before="2"/>
        <w:rPr>
          <w:sz w:val="19"/>
        </w:rPr>
      </w:pPr>
    </w:p>
    <w:p>
      <w:pPr>
        <w:pStyle w:val="Heading3"/>
        <w:numPr>
          <w:ilvl w:val="0"/>
          <w:numId w:val="47"/>
        </w:numPr>
        <w:tabs>
          <w:tab w:pos="2579" w:val="left" w:leader="none"/>
        </w:tabs>
        <w:spacing w:line="243" w:lineRule="exact" w:before="0" w:after="0"/>
        <w:ind w:left="2578" w:right="0" w:hanging="469"/>
        <w:jc w:val="left"/>
      </w:pPr>
      <w:r>
        <w:rPr/>
        <w:t>LAS REPARACIONES CON ENFOQUE</w:t>
      </w:r>
      <w:r>
        <w:rPr>
          <w:spacing w:val="-13"/>
        </w:rPr>
        <w:t> </w:t>
      </w:r>
      <w:r>
        <w:rPr/>
        <w:t>DE</w:t>
      </w:r>
    </w:p>
    <w:p>
      <w:pPr>
        <w:spacing w:line="243" w:lineRule="exact" w:before="0"/>
        <w:ind w:left="718" w:right="0" w:firstLine="0"/>
        <w:jc w:val="left"/>
        <w:rPr>
          <w:b/>
          <w:sz w:val="20"/>
        </w:rPr>
      </w:pPr>
      <w:r>
        <w:rPr>
          <w:b/>
          <w:sz w:val="20"/>
        </w:rPr>
        <w:t>DERECHOS ECONÓMICOS, SOCIALES, CULTURALES Y AMBIENTALES</w:t>
      </w:r>
    </w:p>
    <w:p>
      <w:pPr>
        <w:pStyle w:val="BodyText"/>
        <w:spacing w:before="12"/>
        <w:rPr>
          <w:b/>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Un aspecto central desde la perspectiva DESCA es el capitulo de reparaciones denominado </w:t>
      </w:r>
      <w:r>
        <w:rPr>
          <w:i/>
          <w:sz w:val="20"/>
        </w:rPr>
        <w:t>“Medidas para la restitución de los derechos al medio ambiente sano, a la </w:t>
      </w:r>
      <w:r>
        <w:rPr>
          <w:i/>
          <w:sz w:val="20"/>
        </w:rPr>
        <w:t>alimentación,</w:t>
      </w:r>
      <w:r>
        <w:rPr>
          <w:i/>
          <w:spacing w:val="-8"/>
          <w:sz w:val="20"/>
        </w:rPr>
        <w:t> </w:t>
      </w:r>
      <w:r>
        <w:rPr>
          <w:i/>
          <w:sz w:val="20"/>
        </w:rPr>
        <w:t>al</w:t>
      </w:r>
      <w:r>
        <w:rPr>
          <w:i/>
          <w:spacing w:val="-8"/>
          <w:sz w:val="20"/>
        </w:rPr>
        <w:t> </w:t>
      </w:r>
      <w:r>
        <w:rPr>
          <w:i/>
          <w:sz w:val="20"/>
        </w:rPr>
        <w:t>agua</w:t>
      </w:r>
      <w:r>
        <w:rPr>
          <w:i/>
          <w:spacing w:val="-9"/>
          <w:sz w:val="20"/>
        </w:rPr>
        <w:t> </w:t>
      </w:r>
      <w:r>
        <w:rPr>
          <w:i/>
          <w:sz w:val="20"/>
        </w:rPr>
        <w:t>y</w:t>
      </w:r>
      <w:r>
        <w:rPr>
          <w:i/>
          <w:spacing w:val="-9"/>
          <w:sz w:val="20"/>
        </w:rPr>
        <w:t> </w:t>
      </w:r>
      <w:r>
        <w:rPr>
          <w:i/>
          <w:sz w:val="20"/>
        </w:rPr>
        <w:t>a</w:t>
      </w:r>
      <w:r>
        <w:rPr>
          <w:i/>
          <w:spacing w:val="-9"/>
          <w:sz w:val="20"/>
        </w:rPr>
        <w:t> </w:t>
      </w:r>
      <w:r>
        <w:rPr>
          <w:i/>
          <w:sz w:val="20"/>
        </w:rPr>
        <w:t>la</w:t>
      </w:r>
      <w:r>
        <w:rPr>
          <w:i/>
          <w:spacing w:val="-8"/>
          <w:sz w:val="20"/>
        </w:rPr>
        <w:t> </w:t>
      </w:r>
      <w:r>
        <w:rPr>
          <w:i/>
          <w:sz w:val="20"/>
        </w:rPr>
        <w:t>identidad</w:t>
      </w:r>
      <w:r>
        <w:rPr>
          <w:i/>
          <w:spacing w:val="-9"/>
          <w:sz w:val="20"/>
        </w:rPr>
        <w:t> </w:t>
      </w:r>
      <w:r>
        <w:rPr>
          <w:i/>
          <w:sz w:val="20"/>
        </w:rPr>
        <w:t>cultural”.</w:t>
      </w:r>
      <w:r>
        <w:rPr>
          <w:i/>
          <w:spacing w:val="-9"/>
          <w:sz w:val="20"/>
        </w:rPr>
        <w:t> </w:t>
      </w:r>
      <w:r>
        <w:rPr>
          <w:sz w:val="20"/>
        </w:rPr>
        <w:t>Lo</w:t>
      </w:r>
      <w:r>
        <w:rPr>
          <w:spacing w:val="-9"/>
          <w:sz w:val="20"/>
        </w:rPr>
        <w:t> </w:t>
      </w:r>
      <w:r>
        <w:rPr>
          <w:sz w:val="20"/>
        </w:rPr>
        <w:t>anterior</w:t>
      </w:r>
      <w:r>
        <w:rPr>
          <w:spacing w:val="-10"/>
          <w:sz w:val="20"/>
        </w:rPr>
        <w:t> </w:t>
      </w:r>
      <w:r>
        <w:rPr>
          <w:sz w:val="20"/>
        </w:rPr>
        <w:t>es</w:t>
      </w:r>
      <w:r>
        <w:rPr>
          <w:spacing w:val="-9"/>
          <w:sz w:val="20"/>
        </w:rPr>
        <w:t> </w:t>
      </w:r>
      <w:r>
        <w:rPr>
          <w:sz w:val="20"/>
        </w:rPr>
        <w:t>único</w:t>
      </w:r>
      <w:r>
        <w:rPr>
          <w:spacing w:val="-10"/>
          <w:sz w:val="20"/>
        </w:rPr>
        <w:t> </w:t>
      </w:r>
      <w:r>
        <w:rPr>
          <w:sz w:val="20"/>
        </w:rPr>
        <w:t>en</w:t>
      </w:r>
      <w:r>
        <w:rPr>
          <w:spacing w:val="-9"/>
          <w:sz w:val="20"/>
        </w:rPr>
        <w:t> </w:t>
      </w:r>
      <w:r>
        <w:rPr>
          <w:sz w:val="20"/>
        </w:rPr>
        <w:t>la</w:t>
      </w:r>
      <w:r>
        <w:rPr>
          <w:spacing w:val="-9"/>
          <w:sz w:val="20"/>
        </w:rPr>
        <w:t> </w:t>
      </w:r>
      <w:r>
        <w:rPr>
          <w:sz w:val="20"/>
        </w:rPr>
        <w:t>jurisprudencia interamericana</w:t>
      </w:r>
      <w:r>
        <w:rPr>
          <w:spacing w:val="-12"/>
          <w:sz w:val="20"/>
        </w:rPr>
        <w:t> </w:t>
      </w:r>
      <w:r>
        <w:rPr>
          <w:sz w:val="20"/>
        </w:rPr>
        <w:t>en</w:t>
      </w:r>
      <w:r>
        <w:rPr>
          <w:spacing w:val="-10"/>
          <w:sz w:val="20"/>
        </w:rPr>
        <w:t> </w:t>
      </w:r>
      <w:r>
        <w:rPr>
          <w:sz w:val="20"/>
        </w:rPr>
        <w:t>materia</w:t>
      </w:r>
      <w:r>
        <w:rPr>
          <w:spacing w:val="-12"/>
          <w:sz w:val="20"/>
        </w:rPr>
        <w:t> </w:t>
      </w:r>
      <w:r>
        <w:rPr>
          <w:sz w:val="20"/>
        </w:rPr>
        <w:t>indígena,</w:t>
      </w:r>
      <w:r>
        <w:rPr>
          <w:spacing w:val="-11"/>
          <w:sz w:val="20"/>
        </w:rPr>
        <w:t> </w:t>
      </w:r>
      <w:r>
        <w:rPr>
          <w:sz w:val="20"/>
        </w:rPr>
        <w:t>ya</w:t>
      </w:r>
      <w:r>
        <w:rPr>
          <w:spacing w:val="-11"/>
          <w:sz w:val="20"/>
        </w:rPr>
        <w:t> </w:t>
      </w:r>
      <w:r>
        <w:rPr>
          <w:sz w:val="20"/>
        </w:rPr>
        <w:t>que</w:t>
      </w:r>
      <w:r>
        <w:rPr>
          <w:spacing w:val="-11"/>
          <w:sz w:val="20"/>
        </w:rPr>
        <w:t> </w:t>
      </w:r>
      <w:r>
        <w:rPr>
          <w:sz w:val="20"/>
        </w:rPr>
        <w:t>no</w:t>
      </w:r>
      <w:r>
        <w:rPr>
          <w:spacing w:val="-11"/>
          <w:sz w:val="20"/>
        </w:rPr>
        <w:t> </w:t>
      </w:r>
      <w:r>
        <w:rPr>
          <w:sz w:val="20"/>
        </w:rPr>
        <w:t>centra</w:t>
      </w:r>
      <w:r>
        <w:rPr>
          <w:spacing w:val="-12"/>
          <w:sz w:val="20"/>
        </w:rPr>
        <w:t> </w:t>
      </w:r>
      <w:r>
        <w:rPr>
          <w:sz w:val="20"/>
        </w:rPr>
        <w:t>las</w:t>
      </w:r>
      <w:r>
        <w:rPr>
          <w:spacing w:val="-12"/>
          <w:sz w:val="20"/>
        </w:rPr>
        <w:t> </w:t>
      </w:r>
      <w:r>
        <w:rPr>
          <w:sz w:val="20"/>
        </w:rPr>
        <w:t>reparaciones</w:t>
      </w:r>
      <w:r>
        <w:rPr>
          <w:spacing w:val="-10"/>
          <w:sz w:val="20"/>
        </w:rPr>
        <w:t> </w:t>
      </w:r>
      <w:r>
        <w:rPr>
          <w:sz w:val="20"/>
        </w:rPr>
        <w:t>desde</w:t>
      </w:r>
      <w:r>
        <w:rPr>
          <w:spacing w:val="-11"/>
          <w:sz w:val="20"/>
        </w:rPr>
        <w:t> </w:t>
      </w:r>
      <w:r>
        <w:rPr>
          <w:sz w:val="20"/>
        </w:rPr>
        <w:t>una</w:t>
      </w:r>
      <w:r>
        <w:rPr>
          <w:spacing w:val="-12"/>
          <w:sz w:val="20"/>
        </w:rPr>
        <w:t> </w:t>
      </w:r>
      <w:r>
        <w:rPr>
          <w:sz w:val="20"/>
        </w:rPr>
        <w:t>visión de la “tierra” como aspecto de posesión comunal, sino que se fundamenta en la reparación integral de aspectos diferenciados del “territorio” y que fueron declarados violados de manera autónoma en la</w:t>
      </w:r>
      <w:r>
        <w:rPr>
          <w:spacing w:val="-14"/>
          <w:sz w:val="20"/>
        </w:rPr>
        <w:t> </w:t>
      </w:r>
      <w:r>
        <w:rPr>
          <w:sz w:val="20"/>
        </w:rPr>
        <w:t>Sentencia.</w:t>
      </w:r>
    </w:p>
    <w:p>
      <w:pPr>
        <w:pStyle w:val="BodyText"/>
        <w:spacing w:before="11"/>
        <w:rPr>
          <w:sz w:val="19"/>
        </w:rPr>
      </w:pPr>
    </w:p>
    <w:p>
      <w:pPr>
        <w:pStyle w:val="ListParagraph"/>
        <w:numPr>
          <w:ilvl w:val="0"/>
          <w:numId w:val="77"/>
        </w:numPr>
        <w:tabs>
          <w:tab w:pos="827" w:val="left" w:leader="none"/>
        </w:tabs>
        <w:spacing w:line="240" w:lineRule="auto" w:before="1" w:after="0"/>
        <w:ind w:left="118" w:right="312" w:firstLine="0"/>
        <w:jc w:val="both"/>
        <w:rPr>
          <w:sz w:val="20"/>
        </w:rPr>
      </w:pPr>
      <w:r>
        <w:rPr>
          <w:sz w:val="20"/>
        </w:rPr>
        <w:t>En</w:t>
      </w:r>
      <w:r>
        <w:rPr>
          <w:spacing w:val="-18"/>
          <w:sz w:val="20"/>
        </w:rPr>
        <w:t> </w:t>
      </w:r>
      <w:r>
        <w:rPr>
          <w:sz w:val="20"/>
        </w:rPr>
        <w:t>efecto,</w:t>
      </w:r>
      <w:r>
        <w:rPr>
          <w:spacing w:val="-19"/>
          <w:sz w:val="20"/>
        </w:rPr>
        <w:t> </w:t>
      </w:r>
      <w:r>
        <w:rPr>
          <w:sz w:val="20"/>
        </w:rPr>
        <w:t>la</w:t>
      </w:r>
      <w:r>
        <w:rPr>
          <w:spacing w:val="-19"/>
          <w:sz w:val="20"/>
        </w:rPr>
        <w:t> </w:t>
      </w:r>
      <w:r>
        <w:rPr>
          <w:sz w:val="20"/>
        </w:rPr>
        <w:t>determinación</w:t>
      </w:r>
      <w:r>
        <w:rPr>
          <w:spacing w:val="-19"/>
          <w:sz w:val="20"/>
        </w:rPr>
        <w:t> </w:t>
      </w:r>
      <w:r>
        <w:rPr>
          <w:sz w:val="20"/>
        </w:rPr>
        <w:t>en</w:t>
      </w:r>
      <w:r>
        <w:rPr>
          <w:spacing w:val="-18"/>
          <w:sz w:val="20"/>
        </w:rPr>
        <w:t> </w:t>
      </w:r>
      <w:r>
        <w:rPr>
          <w:sz w:val="20"/>
        </w:rPr>
        <w:t>forma</w:t>
      </w:r>
      <w:r>
        <w:rPr>
          <w:spacing w:val="-18"/>
          <w:sz w:val="20"/>
        </w:rPr>
        <w:t> </w:t>
      </w:r>
      <w:r>
        <w:rPr>
          <w:sz w:val="20"/>
        </w:rPr>
        <w:t>autónoma</w:t>
      </w:r>
      <w:r>
        <w:rPr>
          <w:spacing w:val="-19"/>
          <w:sz w:val="20"/>
        </w:rPr>
        <w:t> </w:t>
      </w:r>
      <w:r>
        <w:rPr>
          <w:sz w:val="20"/>
        </w:rPr>
        <w:t>a</w:t>
      </w:r>
      <w:r>
        <w:rPr>
          <w:spacing w:val="-18"/>
          <w:sz w:val="20"/>
        </w:rPr>
        <w:t> </w:t>
      </w:r>
      <w:r>
        <w:rPr>
          <w:sz w:val="20"/>
        </w:rPr>
        <w:t>los</w:t>
      </w:r>
      <w:r>
        <w:rPr>
          <w:spacing w:val="-18"/>
          <w:sz w:val="20"/>
        </w:rPr>
        <w:t> </w:t>
      </w:r>
      <w:r>
        <w:rPr>
          <w:sz w:val="20"/>
        </w:rPr>
        <w:t>derechos</w:t>
      </w:r>
      <w:r>
        <w:rPr>
          <w:spacing w:val="-18"/>
          <w:sz w:val="20"/>
        </w:rPr>
        <w:t> </w:t>
      </w:r>
      <w:r>
        <w:rPr>
          <w:sz w:val="20"/>
        </w:rPr>
        <w:t>al</w:t>
      </w:r>
      <w:r>
        <w:rPr>
          <w:spacing w:val="-18"/>
          <w:sz w:val="20"/>
        </w:rPr>
        <w:t> </w:t>
      </w:r>
      <w:r>
        <w:rPr>
          <w:sz w:val="20"/>
        </w:rPr>
        <w:t>medio</w:t>
      </w:r>
      <w:r>
        <w:rPr>
          <w:spacing w:val="-19"/>
          <w:sz w:val="20"/>
        </w:rPr>
        <w:t> </w:t>
      </w:r>
      <w:r>
        <w:rPr>
          <w:sz w:val="20"/>
        </w:rPr>
        <w:t>ambiente sano, a la alimentación adecuada, al agua y a la participación en la vida cultural, </w:t>
      </w:r>
      <w:r>
        <w:rPr>
          <w:spacing w:val="29"/>
          <w:sz w:val="20"/>
        </w:rPr>
        <w:t> </w:t>
      </w:r>
      <w:r>
        <w:rPr>
          <w:sz w:val="20"/>
        </w:rPr>
        <w:t>tuvo</w:t>
      </w:r>
    </w:p>
    <w:p>
      <w:pPr>
        <w:pStyle w:val="BodyText"/>
        <w:spacing w:before="5"/>
        <w:rPr>
          <w:sz w:val="22"/>
        </w:rPr>
      </w:pPr>
      <w:r>
        <w:rPr/>
        <w:pict>
          <v:line style="position:absolute;mso-position-horizontal-relative:page;mso-position-vertical-relative:paragraph;z-index:5032;mso-wrap-distance-left:0;mso-wrap-distance-right:0" from="70.919998pt,15.902662pt" to="214.939998pt,15.902662pt" stroked="true" strokeweight=".599980pt" strokecolor="#000000">
            <v:stroke dashstyle="solid"/>
            <w10:wrap type="topAndBottom"/>
          </v:line>
        </w:pict>
      </w:r>
    </w:p>
    <w:p>
      <w:pPr>
        <w:tabs>
          <w:tab w:pos="826" w:val="left" w:leader="none"/>
        </w:tabs>
        <w:spacing w:before="73"/>
        <w:ind w:left="118" w:right="310" w:firstLine="0"/>
        <w:jc w:val="left"/>
        <w:rPr>
          <w:sz w:val="16"/>
        </w:rPr>
      </w:pPr>
      <w:r>
        <w:rPr>
          <w:rFonts w:ascii="Times New Roman" w:hAnsi="Times New Roman"/>
          <w:position w:val="6"/>
          <w:sz w:val="10"/>
        </w:rPr>
        <w:t>49</w:t>
        <w:tab/>
      </w:r>
      <w:r>
        <w:rPr>
          <w:i/>
          <w:sz w:val="16"/>
        </w:rPr>
        <w:t>Cfr.</w:t>
      </w:r>
      <w:r>
        <w:rPr>
          <w:i/>
          <w:spacing w:val="-6"/>
          <w:sz w:val="16"/>
        </w:rPr>
        <w:t> </w:t>
      </w:r>
      <w:r>
        <w:rPr>
          <w:i/>
          <w:sz w:val="16"/>
        </w:rPr>
        <w:t>Caso</w:t>
      </w:r>
      <w:r>
        <w:rPr>
          <w:i/>
          <w:spacing w:val="-5"/>
          <w:sz w:val="16"/>
        </w:rPr>
        <w:t> </w:t>
      </w:r>
      <w:r>
        <w:rPr>
          <w:i/>
          <w:sz w:val="16"/>
        </w:rPr>
        <w:t>Lagos</w:t>
      </w:r>
      <w:r>
        <w:rPr>
          <w:i/>
          <w:spacing w:val="-6"/>
          <w:sz w:val="16"/>
        </w:rPr>
        <w:t> </w:t>
      </w:r>
      <w:r>
        <w:rPr>
          <w:i/>
          <w:sz w:val="16"/>
        </w:rPr>
        <w:t>del</w:t>
      </w:r>
      <w:r>
        <w:rPr>
          <w:i/>
          <w:spacing w:val="-5"/>
          <w:sz w:val="16"/>
        </w:rPr>
        <w:t> </w:t>
      </w:r>
      <w:r>
        <w:rPr>
          <w:i/>
          <w:sz w:val="16"/>
        </w:rPr>
        <w:t>Campo</w:t>
      </w:r>
      <w:r>
        <w:rPr>
          <w:i/>
          <w:spacing w:val="-5"/>
          <w:sz w:val="16"/>
        </w:rPr>
        <w:t> </w:t>
      </w:r>
      <w:r>
        <w:rPr>
          <w:i/>
          <w:sz w:val="16"/>
        </w:rPr>
        <w:t>Vs.</w:t>
      </w:r>
      <w:r>
        <w:rPr>
          <w:i/>
          <w:spacing w:val="-7"/>
          <w:sz w:val="16"/>
        </w:rPr>
        <w:t> </w:t>
      </w:r>
      <w:r>
        <w:rPr>
          <w:i/>
          <w:sz w:val="16"/>
        </w:rPr>
        <w:t>Perú.</w:t>
      </w:r>
      <w:r>
        <w:rPr>
          <w:i/>
          <w:spacing w:val="-4"/>
          <w:sz w:val="16"/>
        </w:rPr>
        <w:t> </w:t>
      </w:r>
      <w:r>
        <w:rPr>
          <w:i/>
          <w:sz w:val="16"/>
        </w:rPr>
        <w:t>Excepción</w:t>
      </w:r>
      <w:r>
        <w:rPr>
          <w:i/>
          <w:spacing w:val="-6"/>
          <w:sz w:val="16"/>
        </w:rPr>
        <w:t> </w:t>
      </w:r>
      <w:r>
        <w:rPr>
          <w:i/>
          <w:sz w:val="16"/>
        </w:rPr>
        <w:t>Preliminar,</w:t>
      </w:r>
      <w:r>
        <w:rPr>
          <w:i/>
          <w:spacing w:val="-5"/>
          <w:sz w:val="16"/>
        </w:rPr>
        <w:t> </w:t>
      </w:r>
      <w:r>
        <w:rPr>
          <w:i/>
          <w:sz w:val="16"/>
        </w:rPr>
        <w:t>Fondo,</w:t>
      </w:r>
      <w:r>
        <w:rPr>
          <w:i/>
          <w:spacing w:val="-6"/>
          <w:sz w:val="16"/>
        </w:rPr>
        <w:t> </w:t>
      </w:r>
      <w:r>
        <w:rPr>
          <w:i/>
          <w:sz w:val="16"/>
        </w:rPr>
        <w:t>Reparaciones</w:t>
      </w:r>
      <w:r>
        <w:rPr>
          <w:i/>
          <w:spacing w:val="-6"/>
          <w:sz w:val="16"/>
        </w:rPr>
        <w:t> </w:t>
      </w:r>
      <w:r>
        <w:rPr>
          <w:i/>
          <w:sz w:val="16"/>
        </w:rPr>
        <w:t>y</w:t>
      </w:r>
      <w:r>
        <w:rPr>
          <w:i/>
          <w:spacing w:val="-5"/>
          <w:sz w:val="16"/>
        </w:rPr>
        <w:t> </w:t>
      </w:r>
      <w:r>
        <w:rPr>
          <w:i/>
          <w:sz w:val="16"/>
        </w:rPr>
        <w:t>Costas</w:t>
      </w:r>
      <w:r>
        <w:rPr>
          <w:sz w:val="16"/>
        </w:rPr>
        <w:t>.</w:t>
      </w:r>
      <w:r>
        <w:rPr>
          <w:spacing w:val="-6"/>
          <w:sz w:val="16"/>
        </w:rPr>
        <w:t> </w:t>
      </w:r>
      <w:r>
        <w:rPr>
          <w:sz w:val="16"/>
        </w:rPr>
        <w:t>Sentencia</w:t>
      </w:r>
      <w:r>
        <w:rPr>
          <w:w w:val="99"/>
          <w:sz w:val="16"/>
        </w:rPr>
        <w:t> </w:t>
      </w:r>
      <w:r>
        <w:rPr>
          <w:sz w:val="16"/>
        </w:rPr>
        <w:t>de 31 de agosto de 2017. Serie C No. 340, párr.</w:t>
      </w:r>
      <w:r>
        <w:rPr>
          <w:spacing w:val="-13"/>
          <w:sz w:val="16"/>
        </w:rPr>
        <w:t> </w:t>
      </w:r>
      <w:r>
        <w:rPr>
          <w:sz w:val="16"/>
        </w:rPr>
        <w:t>141.</w:t>
      </w:r>
    </w:p>
    <w:p>
      <w:pPr>
        <w:spacing w:after="0"/>
        <w:jc w:val="left"/>
        <w:rPr>
          <w:sz w:val="16"/>
        </w:rPr>
        <w:sectPr>
          <w:pgSz w:w="12240" w:h="15840"/>
          <w:pgMar w:header="0" w:footer="782" w:top="1340" w:bottom="980" w:left="1300" w:right="1720"/>
        </w:sectPr>
      </w:pPr>
    </w:p>
    <w:p>
      <w:pPr>
        <w:pStyle w:val="BodyText"/>
        <w:spacing w:before="77"/>
        <w:ind w:left="118" w:right="309"/>
        <w:jc w:val="both"/>
      </w:pPr>
      <w:r>
        <w:rPr/>
        <w:t>consecuencias concretas en las medidas de reparación ordenadas en la Sentencia. Al evidenciarse las afectaciones a tales derechos, resultó apropiado determinar reparaciones que tuvieran por objeto atender a tales lesiones en forma específica. Un eventual</w:t>
      </w:r>
      <w:r>
        <w:rPr>
          <w:spacing w:val="-12"/>
        </w:rPr>
        <w:t> </w:t>
      </w:r>
      <w:r>
        <w:rPr/>
        <w:t>entendimiento</w:t>
      </w:r>
      <w:r>
        <w:rPr>
          <w:spacing w:val="-12"/>
        </w:rPr>
        <w:t> </w:t>
      </w:r>
      <w:r>
        <w:rPr/>
        <w:t>contrario,</w:t>
      </w:r>
      <w:r>
        <w:rPr>
          <w:spacing w:val="-12"/>
        </w:rPr>
        <w:t> </w:t>
      </w:r>
      <w:r>
        <w:rPr/>
        <w:t>que</w:t>
      </w:r>
      <w:r>
        <w:rPr>
          <w:spacing w:val="-12"/>
        </w:rPr>
        <w:t> </w:t>
      </w:r>
      <w:r>
        <w:rPr/>
        <w:t>hubiera</w:t>
      </w:r>
      <w:r>
        <w:rPr>
          <w:spacing w:val="-12"/>
        </w:rPr>
        <w:t> </w:t>
      </w:r>
      <w:r>
        <w:rPr/>
        <w:t>subsumido</w:t>
      </w:r>
      <w:r>
        <w:rPr>
          <w:spacing w:val="-12"/>
        </w:rPr>
        <w:t> </w:t>
      </w:r>
      <w:r>
        <w:rPr/>
        <w:t>la</w:t>
      </w:r>
      <w:r>
        <w:rPr>
          <w:spacing w:val="-12"/>
        </w:rPr>
        <w:t> </w:t>
      </w:r>
      <w:r>
        <w:rPr/>
        <w:t>problemática</w:t>
      </w:r>
      <w:r>
        <w:rPr>
          <w:spacing w:val="-13"/>
        </w:rPr>
        <w:t> </w:t>
      </w:r>
      <w:r>
        <w:rPr/>
        <w:t>en</w:t>
      </w:r>
      <w:r>
        <w:rPr>
          <w:spacing w:val="-12"/>
        </w:rPr>
        <w:t> </w:t>
      </w:r>
      <w:r>
        <w:rPr/>
        <w:t>el</w:t>
      </w:r>
      <w:r>
        <w:rPr>
          <w:spacing w:val="-11"/>
        </w:rPr>
        <w:t> </w:t>
      </w:r>
      <w:r>
        <w:rPr/>
        <w:t>derecho de propiedad, podría haber derivado en reparaciones más acotadas dirigidas solo a restituir este</w:t>
      </w:r>
      <w:r>
        <w:rPr>
          <w:spacing w:val="-6"/>
        </w:rPr>
        <w:t> </w:t>
      </w:r>
      <w:r>
        <w:rPr/>
        <w:t>derecho.</w:t>
      </w:r>
    </w:p>
    <w:p>
      <w:pPr>
        <w:pStyle w:val="ListParagraph"/>
        <w:numPr>
          <w:ilvl w:val="0"/>
          <w:numId w:val="77"/>
        </w:numPr>
        <w:tabs>
          <w:tab w:pos="827" w:val="left" w:leader="none"/>
        </w:tabs>
        <w:spacing w:line="240" w:lineRule="auto" w:before="120" w:after="0"/>
        <w:ind w:left="118" w:right="309" w:firstLine="0"/>
        <w:jc w:val="both"/>
        <w:rPr>
          <w:sz w:val="20"/>
        </w:rPr>
      </w:pPr>
      <w:r>
        <w:rPr>
          <w:sz w:val="20"/>
        </w:rPr>
        <w:t>De ese modo, aunadas a medidas para la delimitación, demarcación y titulación de</w:t>
      </w:r>
      <w:r>
        <w:rPr>
          <w:spacing w:val="-16"/>
          <w:sz w:val="20"/>
        </w:rPr>
        <w:t> </w:t>
      </w:r>
      <w:r>
        <w:rPr>
          <w:sz w:val="20"/>
        </w:rPr>
        <w:t>la</w:t>
      </w:r>
      <w:r>
        <w:rPr>
          <w:spacing w:val="-16"/>
          <w:sz w:val="20"/>
        </w:rPr>
        <w:t> </w:t>
      </w:r>
      <w:r>
        <w:rPr>
          <w:sz w:val="20"/>
        </w:rPr>
        <w:t>propiedad,</w:t>
      </w:r>
      <w:r>
        <w:rPr>
          <w:spacing w:val="-16"/>
          <w:sz w:val="20"/>
        </w:rPr>
        <w:t> </w:t>
      </w:r>
      <w:r>
        <w:rPr>
          <w:sz w:val="20"/>
        </w:rPr>
        <w:t>así</w:t>
      </w:r>
      <w:r>
        <w:rPr>
          <w:spacing w:val="-17"/>
          <w:sz w:val="20"/>
        </w:rPr>
        <w:t> </w:t>
      </w:r>
      <w:r>
        <w:rPr>
          <w:sz w:val="20"/>
        </w:rPr>
        <w:t>como</w:t>
      </w:r>
      <w:r>
        <w:rPr>
          <w:spacing w:val="-16"/>
          <w:sz w:val="20"/>
        </w:rPr>
        <w:t> </w:t>
      </w:r>
      <w:r>
        <w:rPr>
          <w:sz w:val="20"/>
        </w:rPr>
        <w:t>para</w:t>
      </w:r>
      <w:r>
        <w:rPr>
          <w:spacing w:val="-16"/>
          <w:sz w:val="20"/>
        </w:rPr>
        <w:t> </w:t>
      </w:r>
      <w:r>
        <w:rPr>
          <w:sz w:val="20"/>
        </w:rPr>
        <w:t>el</w:t>
      </w:r>
      <w:r>
        <w:rPr>
          <w:spacing w:val="-17"/>
          <w:sz w:val="20"/>
        </w:rPr>
        <w:t> </w:t>
      </w:r>
      <w:r>
        <w:rPr>
          <w:sz w:val="20"/>
        </w:rPr>
        <w:t>traslado</w:t>
      </w:r>
      <w:r>
        <w:rPr>
          <w:spacing w:val="-17"/>
          <w:sz w:val="20"/>
        </w:rPr>
        <w:t> </w:t>
      </w:r>
      <w:r>
        <w:rPr>
          <w:sz w:val="20"/>
        </w:rPr>
        <w:t>de</w:t>
      </w:r>
      <w:r>
        <w:rPr>
          <w:spacing w:val="-15"/>
          <w:sz w:val="20"/>
        </w:rPr>
        <w:t> </w:t>
      </w:r>
      <w:r>
        <w:rPr>
          <w:sz w:val="20"/>
        </w:rPr>
        <w:t>la</w:t>
      </w:r>
      <w:r>
        <w:rPr>
          <w:spacing w:val="-16"/>
          <w:sz w:val="20"/>
        </w:rPr>
        <w:t> </w:t>
      </w:r>
      <w:r>
        <w:rPr>
          <w:sz w:val="20"/>
        </w:rPr>
        <w:t>población</w:t>
      </w:r>
      <w:r>
        <w:rPr>
          <w:spacing w:val="-16"/>
          <w:sz w:val="20"/>
        </w:rPr>
        <w:t> </w:t>
      </w:r>
      <w:r>
        <w:rPr>
          <w:sz w:val="20"/>
        </w:rPr>
        <w:t>no</w:t>
      </w:r>
      <w:r>
        <w:rPr>
          <w:spacing w:val="-16"/>
          <w:sz w:val="20"/>
        </w:rPr>
        <w:t> </w:t>
      </w:r>
      <w:r>
        <w:rPr>
          <w:sz w:val="20"/>
        </w:rPr>
        <w:t>indígena</w:t>
      </w:r>
      <w:r>
        <w:rPr>
          <w:spacing w:val="-17"/>
          <w:sz w:val="20"/>
        </w:rPr>
        <w:t> </w:t>
      </w:r>
      <w:r>
        <w:rPr>
          <w:sz w:val="20"/>
        </w:rPr>
        <w:t>fuera</w:t>
      </w:r>
      <w:r>
        <w:rPr>
          <w:spacing w:val="-16"/>
          <w:sz w:val="20"/>
        </w:rPr>
        <w:t> </w:t>
      </w:r>
      <w:r>
        <w:rPr>
          <w:sz w:val="20"/>
        </w:rPr>
        <w:t>de</w:t>
      </w:r>
      <w:r>
        <w:rPr>
          <w:spacing w:val="-16"/>
          <w:sz w:val="20"/>
        </w:rPr>
        <w:t> </w:t>
      </w:r>
      <w:r>
        <w:rPr>
          <w:sz w:val="20"/>
        </w:rPr>
        <w:t>la</w:t>
      </w:r>
      <w:r>
        <w:rPr>
          <w:spacing w:val="-17"/>
          <w:sz w:val="20"/>
        </w:rPr>
        <w:t> </w:t>
      </w:r>
      <w:r>
        <w:rPr>
          <w:sz w:val="20"/>
        </w:rPr>
        <w:t>misma, se han ordenado otras medidas de restitución, específicamente dirigidas a los</w:t>
      </w:r>
      <w:r>
        <w:rPr>
          <w:spacing w:val="-37"/>
          <w:sz w:val="20"/>
        </w:rPr>
        <w:t> </w:t>
      </w:r>
      <w:r>
        <w:rPr>
          <w:sz w:val="20"/>
        </w:rPr>
        <w:t>derechos a</w:t>
      </w:r>
      <w:r>
        <w:rPr>
          <w:spacing w:val="-15"/>
          <w:sz w:val="20"/>
        </w:rPr>
        <w:t> </w:t>
      </w:r>
      <w:r>
        <w:rPr>
          <w:sz w:val="20"/>
        </w:rPr>
        <w:t>un</w:t>
      </w:r>
      <w:r>
        <w:rPr>
          <w:spacing w:val="-14"/>
          <w:sz w:val="20"/>
        </w:rPr>
        <w:t> </w:t>
      </w:r>
      <w:r>
        <w:rPr>
          <w:sz w:val="20"/>
        </w:rPr>
        <w:t>medio</w:t>
      </w:r>
      <w:r>
        <w:rPr>
          <w:spacing w:val="-16"/>
          <w:sz w:val="20"/>
        </w:rPr>
        <w:t> </w:t>
      </w:r>
      <w:r>
        <w:rPr>
          <w:sz w:val="20"/>
        </w:rPr>
        <w:t>ambiente</w:t>
      </w:r>
      <w:r>
        <w:rPr>
          <w:spacing w:val="-14"/>
          <w:sz w:val="20"/>
        </w:rPr>
        <w:t> </w:t>
      </w:r>
      <w:r>
        <w:rPr>
          <w:sz w:val="20"/>
        </w:rPr>
        <w:t>sano,</w:t>
      </w:r>
      <w:r>
        <w:rPr>
          <w:spacing w:val="-14"/>
          <w:sz w:val="20"/>
        </w:rPr>
        <w:t> </w:t>
      </w:r>
      <w:r>
        <w:rPr>
          <w:sz w:val="20"/>
        </w:rPr>
        <w:t>a</w:t>
      </w:r>
      <w:r>
        <w:rPr>
          <w:spacing w:val="-15"/>
          <w:sz w:val="20"/>
        </w:rPr>
        <w:t> </w:t>
      </w:r>
      <w:r>
        <w:rPr>
          <w:sz w:val="20"/>
        </w:rPr>
        <w:t>la</w:t>
      </w:r>
      <w:r>
        <w:rPr>
          <w:spacing w:val="-15"/>
          <w:sz w:val="20"/>
        </w:rPr>
        <w:t> </w:t>
      </w:r>
      <w:r>
        <w:rPr>
          <w:sz w:val="20"/>
        </w:rPr>
        <w:t>alimentación</w:t>
      </w:r>
      <w:r>
        <w:rPr>
          <w:spacing w:val="-15"/>
          <w:sz w:val="20"/>
        </w:rPr>
        <w:t> </w:t>
      </w:r>
      <w:r>
        <w:rPr>
          <w:sz w:val="20"/>
        </w:rPr>
        <w:t>adecuada,</w:t>
      </w:r>
      <w:r>
        <w:rPr>
          <w:spacing w:val="-14"/>
          <w:sz w:val="20"/>
        </w:rPr>
        <w:t> </w:t>
      </w:r>
      <w:r>
        <w:rPr>
          <w:sz w:val="20"/>
        </w:rPr>
        <w:t>al</w:t>
      </w:r>
      <w:r>
        <w:rPr>
          <w:spacing w:val="-14"/>
          <w:sz w:val="20"/>
        </w:rPr>
        <w:t> </w:t>
      </w:r>
      <w:r>
        <w:rPr>
          <w:sz w:val="20"/>
        </w:rPr>
        <w:t>agua</w:t>
      </w:r>
      <w:r>
        <w:rPr>
          <w:spacing w:val="-14"/>
          <w:sz w:val="20"/>
        </w:rPr>
        <w:t> </w:t>
      </w:r>
      <w:r>
        <w:rPr>
          <w:sz w:val="20"/>
        </w:rPr>
        <w:t>y</w:t>
      </w:r>
      <w:r>
        <w:rPr>
          <w:spacing w:val="-14"/>
          <w:sz w:val="20"/>
        </w:rPr>
        <w:t> </w:t>
      </w:r>
      <w:r>
        <w:rPr>
          <w:sz w:val="20"/>
        </w:rPr>
        <w:t>a</w:t>
      </w:r>
      <w:r>
        <w:rPr>
          <w:spacing w:val="-15"/>
          <w:sz w:val="20"/>
        </w:rPr>
        <w:t> </w:t>
      </w:r>
      <w:r>
        <w:rPr>
          <w:sz w:val="20"/>
        </w:rPr>
        <w:t>la</w:t>
      </w:r>
      <w:r>
        <w:rPr>
          <w:spacing w:val="-15"/>
          <w:sz w:val="20"/>
        </w:rPr>
        <w:t> </w:t>
      </w:r>
      <w:r>
        <w:rPr>
          <w:sz w:val="20"/>
        </w:rPr>
        <w:t>identidad</w:t>
      </w:r>
      <w:r>
        <w:rPr>
          <w:spacing w:val="-15"/>
          <w:sz w:val="20"/>
        </w:rPr>
        <w:t> </w:t>
      </w:r>
      <w:r>
        <w:rPr>
          <w:sz w:val="20"/>
        </w:rPr>
        <w:t>cultural:</w:t>
      </w:r>
    </w:p>
    <w:p>
      <w:pPr>
        <w:pStyle w:val="BodyText"/>
        <w:ind w:left="118" w:right="309"/>
        <w:jc w:val="both"/>
      </w:pPr>
      <w:r>
        <w:rPr/>
        <w:t>a) la elaboración por parte del Estado de un estudio en el que identifique situaciones críticas de falta de acceso a agua potable o alimentación y la formulación e implementación de un plan de acción al respecto; b) la elaboración y presentación de otro estudio que establezca acciones a instrumentar para lograr en forma permanente la conservación de aguas existentes en el territorio indígena, el acceso a agua potable y alimentación, y evitar la continuidad de pérdida de forestación y lograr su paulatina recuperación, y c) la constitución de un fondo de desarrollo comunitario destinado a financiar acciones para la recuperación de la cultura indígena</w:t>
      </w:r>
      <w:r>
        <w:rPr>
          <w:position w:val="7"/>
          <w:sz w:val="13"/>
        </w:rPr>
        <w:t>50</w:t>
      </w:r>
      <w:r>
        <w:rPr/>
        <w:t>.</w:t>
      </w:r>
    </w:p>
    <w:p>
      <w:pPr>
        <w:pStyle w:val="ListParagraph"/>
        <w:numPr>
          <w:ilvl w:val="0"/>
          <w:numId w:val="77"/>
        </w:numPr>
        <w:tabs>
          <w:tab w:pos="827" w:val="left" w:leader="none"/>
        </w:tabs>
        <w:spacing w:line="240" w:lineRule="auto" w:before="118" w:after="0"/>
        <w:ind w:left="118" w:right="307" w:firstLine="0"/>
        <w:jc w:val="both"/>
        <w:rPr>
          <w:sz w:val="20"/>
        </w:rPr>
      </w:pPr>
      <w:r>
        <w:rPr>
          <w:sz w:val="20"/>
        </w:rPr>
        <w:t>Debe resaltarse que la Corte IDH, advirtiendo la complejidad propia del caso y de las acciones ordenadas, ha procurado que la definición precisa de las acciones puntuales a implementar surja de determinaciones posteriores, con intervención de autoridades estatales y las comunidades indígenas víctimas y sus representantes. En este</w:t>
      </w:r>
      <w:r>
        <w:rPr>
          <w:spacing w:val="-6"/>
          <w:sz w:val="20"/>
        </w:rPr>
        <w:t> </w:t>
      </w:r>
      <w:r>
        <w:rPr>
          <w:sz w:val="20"/>
        </w:rPr>
        <w:t>proceso,</w:t>
      </w:r>
      <w:r>
        <w:rPr>
          <w:spacing w:val="-5"/>
          <w:sz w:val="20"/>
        </w:rPr>
        <w:t> </w:t>
      </w:r>
      <w:r>
        <w:rPr>
          <w:sz w:val="20"/>
        </w:rPr>
        <w:t>la</w:t>
      </w:r>
      <w:r>
        <w:rPr>
          <w:spacing w:val="-5"/>
          <w:sz w:val="20"/>
        </w:rPr>
        <w:t> </w:t>
      </w:r>
      <w:r>
        <w:rPr>
          <w:sz w:val="20"/>
        </w:rPr>
        <w:t>Sentencia</w:t>
      </w:r>
      <w:r>
        <w:rPr>
          <w:spacing w:val="-5"/>
          <w:sz w:val="20"/>
        </w:rPr>
        <w:t> </w:t>
      </w:r>
      <w:r>
        <w:rPr>
          <w:sz w:val="20"/>
        </w:rPr>
        <w:t>prevé</w:t>
      </w:r>
      <w:r>
        <w:rPr>
          <w:spacing w:val="-6"/>
          <w:sz w:val="20"/>
        </w:rPr>
        <w:t> </w:t>
      </w:r>
      <w:r>
        <w:rPr>
          <w:sz w:val="20"/>
        </w:rPr>
        <w:t>una</w:t>
      </w:r>
      <w:r>
        <w:rPr>
          <w:spacing w:val="-5"/>
          <w:sz w:val="20"/>
        </w:rPr>
        <w:t> </w:t>
      </w:r>
      <w:r>
        <w:rPr>
          <w:sz w:val="20"/>
        </w:rPr>
        <w:t>intervención</w:t>
      </w:r>
      <w:r>
        <w:rPr>
          <w:spacing w:val="-5"/>
          <w:sz w:val="20"/>
        </w:rPr>
        <w:t> </w:t>
      </w:r>
      <w:r>
        <w:rPr>
          <w:sz w:val="20"/>
        </w:rPr>
        <w:t>activa</w:t>
      </w:r>
      <w:r>
        <w:rPr>
          <w:spacing w:val="-7"/>
          <w:sz w:val="20"/>
        </w:rPr>
        <w:t> </w:t>
      </w:r>
      <w:r>
        <w:rPr>
          <w:sz w:val="20"/>
        </w:rPr>
        <w:t>del</w:t>
      </w:r>
      <w:r>
        <w:rPr>
          <w:spacing w:val="-6"/>
          <w:sz w:val="20"/>
        </w:rPr>
        <w:t> </w:t>
      </w:r>
      <w:r>
        <w:rPr>
          <w:sz w:val="20"/>
        </w:rPr>
        <w:t>Tribunal</w:t>
      </w:r>
      <w:r>
        <w:rPr>
          <w:spacing w:val="-6"/>
          <w:sz w:val="20"/>
        </w:rPr>
        <w:t> </w:t>
      </w:r>
      <w:r>
        <w:rPr>
          <w:sz w:val="20"/>
        </w:rPr>
        <w:t>Interamericano,</w:t>
      </w:r>
      <w:r>
        <w:rPr>
          <w:spacing w:val="-4"/>
          <w:sz w:val="20"/>
        </w:rPr>
        <w:t> </w:t>
      </w:r>
      <w:r>
        <w:rPr>
          <w:sz w:val="20"/>
        </w:rPr>
        <w:t>a partir de la evaluación de los estudios</w:t>
      </w:r>
      <w:r>
        <w:rPr>
          <w:spacing w:val="-16"/>
          <w:sz w:val="20"/>
        </w:rPr>
        <w:t> </w:t>
      </w:r>
      <w:r>
        <w:rPr>
          <w:sz w:val="20"/>
        </w:rPr>
        <w:t>referidos.</w:t>
      </w:r>
    </w:p>
    <w:p>
      <w:pPr>
        <w:pStyle w:val="ListParagraph"/>
        <w:numPr>
          <w:ilvl w:val="0"/>
          <w:numId w:val="77"/>
        </w:numPr>
        <w:tabs>
          <w:tab w:pos="827" w:val="left" w:leader="none"/>
        </w:tabs>
        <w:spacing w:line="240" w:lineRule="auto" w:before="120" w:after="0"/>
        <w:ind w:left="118" w:right="308" w:firstLine="0"/>
        <w:jc w:val="both"/>
        <w:rPr>
          <w:sz w:val="20"/>
        </w:rPr>
      </w:pPr>
      <w:r>
        <w:rPr>
          <w:sz w:val="20"/>
        </w:rPr>
        <w:t>En</w:t>
      </w:r>
      <w:r>
        <w:rPr>
          <w:spacing w:val="-7"/>
          <w:sz w:val="20"/>
        </w:rPr>
        <w:t> </w:t>
      </w:r>
      <w:r>
        <w:rPr>
          <w:sz w:val="20"/>
        </w:rPr>
        <w:t>cuanto</w:t>
      </w:r>
      <w:r>
        <w:rPr>
          <w:spacing w:val="-7"/>
          <w:sz w:val="20"/>
        </w:rPr>
        <w:t> </w:t>
      </w:r>
      <w:r>
        <w:rPr>
          <w:sz w:val="20"/>
        </w:rPr>
        <w:t>al</w:t>
      </w:r>
      <w:r>
        <w:rPr>
          <w:spacing w:val="-7"/>
          <w:sz w:val="20"/>
        </w:rPr>
        <w:t> </w:t>
      </w:r>
      <w:r>
        <w:rPr>
          <w:sz w:val="20"/>
        </w:rPr>
        <w:t>fondo</w:t>
      </w:r>
      <w:r>
        <w:rPr>
          <w:spacing w:val="-7"/>
          <w:sz w:val="20"/>
        </w:rPr>
        <w:t> </w:t>
      </w:r>
      <w:r>
        <w:rPr>
          <w:sz w:val="20"/>
        </w:rPr>
        <w:t>de</w:t>
      </w:r>
      <w:r>
        <w:rPr>
          <w:spacing w:val="-6"/>
          <w:sz w:val="20"/>
        </w:rPr>
        <w:t> </w:t>
      </w:r>
      <w:r>
        <w:rPr>
          <w:sz w:val="20"/>
        </w:rPr>
        <w:t>desarrollo</w:t>
      </w:r>
      <w:r>
        <w:rPr>
          <w:spacing w:val="-7"/>
          <w:sz w:val="20"/>
        </w:rPr>
        <w:t> </w:t>
      </w:r>
      <w:r>
        <w:rPr>
          <w:sz w:val="20"/>
        </w:rPr>
        <w:t>comunitario,</w:t>
      </w:r>
      <w:r>
        <w:rPr>
          <w:spacing w:val="-9"/>
          <w:sz w:val="20"/>
        </w:rPr>
        <w:t> </w:t>
      </w:r>
      <w:r>
        <w:rPr>
          <w:sz w:val="20"/>
        </w:rPr>
        <w:t>también</w:t>
      </w:r>
      <w:r>
        <w:rPr>
          <w:spacing w:val="-7"/>
          <w:sz w:val="20"/>
        </w:rPr>
        <w:t> </w:t>
      </w:r>
      <w:r>
        <w:rPr>
          <w:sz w:val="20"/>
        </w:rPr>
        <w:t>las</w:t>
      </w:r>
      <w:r>
        <w:rPr>
          <w:spacing w:val="-10"/>
          <w:sz w:val="20"/>
        </w:rPr>
        <w:t> </w:t>
      </w:r>
      <w:r>
        <w:rPr>
          <w:sz w:val="20"/>
        </w:rPr>
        <w:t>definiciones</w:t>
      </w:r>
      <w:r>
        <w:rPr>
          <w:spacing w:val="-7"/>
          <w:sz w:val="20"/>
        </w:rPr>
        <w:t> </w:t>
      </w:r>
      <w:r>
        <w:rPr>
          <w:sz w:val="20"/>
        </w:rPr>
        <w:t>puntuales para su utilización —sin perjuicio de las pautas básicas establecidas por la Corte IDH— serán determinadas a partir de la intervención tanto del Estado como de las comunidades indígenas. Así, la Sentencia prevé: a) que los objetivos a que debe destinarse en el fondo sean definidos por las comunidades indígenas; b) que, sobre la base de lo anterior, el diseño y ejecución de programas sea definido a partir de la “participación activa” de las comunidades indígenas y sus representantes, y c) que la administración del fondo, para cumplir lo anterior, esté a cargo de un Comité que, en su integración, contará con representación de las comunidades indígenas y del</w:t>
      </w:r>
      <w:r>
        <w:rPr>
          <w:spacing w:val="-22"/>
          <w:sz w:val="20"/>
        </w:rPr>
        <w:t> </w:t>
      </w:r>
      <w:r>
        <w:rPr>
          <w:sz w:val="20"/>
        </w:rPr>
        <w:t>Estado.</w:t>
      </w:r>
    </w:p>
    <w:p>
      <w:pPr>
        <w:pStyle w:val="ListParagraph"/>
        <w:numPr>
          <w:ilvl w:val="0"/>
          <w:numId w:val="77"/>
        </w:numPr>
        <w:tabs>
          <w:tab w:pos="827" w:val="left" w:leader="none"/>
        </w:tabs>
        <w:spacing w:line="240" w:lineRule="auto" w:before="120" w:after="0"/>
        <w:ind w:left="118" w:right="310" w:firstLine="0"/>
        <w:jc w:val="both"/>
        <w:rPr>
          <w:sz w:val="20"/>
        </w:rPr>
      </w:pPr>
      <w:r>
        <w:rPr>
          <w:sz w:val="20"/>
        </w:rPr>
        <w:t>Este</w:t>
      </w:r>
      <w:r>
        <w:rPr>
          <w:spacing w:val="-5"/>
          <w:sz w:val="20"/>
        </w:rPr>
        <w:t> </w:t>
      </w:r>
      <w:r>
        <w:rPr>
          <w:sz w:val="20"/>
        </w:rPr>
        <w:t>modo</w:t>
      </w:r>
      <w:r>
        <w:rPr>
          <w:spacing w:val="-6"/>
          <w:sz w:val="20"/>
        </w:rPr>
        <w:t> </w:t>
      </w:r>
      <w:r>
        <w:rPr>
          <w:sz w:val="20"/>
        </w:rPr>
        <w:t>de</w:t>
      </w:r>
      <w:r>
        <w:rPr>
          <w:spacing w:val="-6"/>
          <w:sz w:val="20"/>
        </w:rPr>
        <w:t> </w:t>
      </w:r>
      <w:r>
        <w:rPr>
          <w:sz w:val="20"/>
        </w:rPr>
        <w:t>establecer</w:t>
      </w:r>
      <w:r>
        <w:rPr>
          <w:spacing w:val="-5"/>
          <w:sz w:val="20"/>
        </w:rPr>
        <w:t> </w:t>
      </w:r>
      <w:r>
        <w:rPr>
          <w:sz w:val="20"/>
        </w:rPr>
        <w:t>las</w:t>
      </w:r>
      <w:r>
        <w:rPr>
          <w:spacing w:val="-6"/>
          <w:sz w:val="20"/>
        </w:rPr>
        <w:t> </w:t>
      </w:r>
      <w:r>
        <w:rPr>
          <w:sz w:val="20"/>
        </w:rPr>
        <w:t>medidas</w:t>
      </w:r>
      <w:r>
        <w:rPr>
          <w:spacing w:val="-6"/>
          <w:sz w:val="20"/>
        </w:rPr>
        <w:t> </w:t>
      </w:r>
      <w:r>
        <w:rPr>
          <w:sz w:val="20"/>
        </w:rPr>
        <w:t>de</w:t>
      </w:r>
      <w:r>
        <w:rPr>
          <w:spacing w:val="-5"/>
          <w:sz w:val="20"/>
        </w:rPr>
        <w:t> </w:t>
      </w:r>
      <w:r>
        <w:rPr>
          <w:sz w:val="20"/>
        </w:rPr>
        <w:t>reparación</w:t>
      </w:r>
      <w:r>
        <w:rPr>
          <w:spacing w:val="-6"/>
          <w:sz w:val="20"/>
        </w:rPr>
        <w:t> </w:t>
      </w:r>
      <w:r>
        <w:rPr>
          <w:sz w:val="20"/>
        </w:rPr>
        <w:t>correlativas</w:t>
      </w:r>
      <w:r>
        <w:rPr>
          <w:spacing w:val="-6"/>
          <w:sz w:val="20"/>
        </w:rPr>
        <w:t> </w:t>
      </w:r>
      <w:r>
        <w:rPr>
          <w:sz w:val="20"/>
        </w:rPr>
        <w:t>a</w:t>
      </w:r>
      <w:r>
        <w:rPr>
          <w:spacing w:val="-6"/>
          <w:sz w:val="20"/>
        </w:rPr>
        <w:t> </w:t>
      </w:r>
      <w:r>
        <w:rPr>
          <w:sz w:val="20"/>
        </w:rPr>
        <w:t>afectaciones</w:t>
      </w:r>
      <w:r>
        <w:rPr>
          <w:spacing w:val="-5"/>
          <w:sz w:val="20"/>
        </w:rPr>
        <w:t> </w:t>
      </w:r>
      <w:r>
        <w:rPr>
          <w:sz w:val="20"/>
        </w:rPr>
        <w:t>a DESCA</w:t>
      </w:r>
      <w:r>
        <w:rPr>
          <w:spacing w:val="-11"/>
          <w:sz w:val="20"/>
        </w:rPr>
        <w:t> </w:t>
      </w:r>
      <w:r>
        <w:rPr>
          <w:sz w:val="20"/>
        </w:rPr>
        <w:t>busca</w:t>
      </w:r>
      <w:r>
        <w:rPr>
          <w:spacing w:val="-12"/>
          <w:sz w:val="20"/>
        </w:rPr>
        <w:t> </w:t>
      </w:r>
      <w:r>
        <w:rPr>
          <w:sz w:val="20"/>
        </w:rPr>
        <w:t>cumplir</w:t>
      </w:r>
      <w:r>
        <w:rPr>
          <w:spacing w:val="-12"/>
          <w:sz w:val="20"/>
        </w:rPr>
        <w:t> </w:t>
      </w:r>
      <w:r>
        <w:rPr>
          <w:sz w:val="20"/>
        </w:rPr>
        <w:t>distintos</w:t>
      </w:r>
      <w:r>
        <w:rPr>
          <w:spacing w:val="-12"/>
          <w:sz w:val="20"/>
        </w:rPr>
        <w:t> </w:t>
      </w:r>
      <w:r>
        <w:rPr>
          <w:sz w:val="20"/>
        </w:rPr>
        <w:t>fines.</w:t>
      </w:r>
      <w:r>
        <w:rPr>
          <w:spacing w:val="-11"/>
          <w:sz w:val="20"/>
        </w:rPr>
        <w:t> </w:t>
      </w:r>
      <w:r>
        <w:rPr>
          <w:sz w:val="20"/>
        </w:rPr>
        <w:t>Por</w:t>
      </w:r>
      <w:r>
        <w:rPr>
          <w:spacing w:val="-12"/>
          <w:sz w:val="20"/>
        </w:rPr>
        <w:t> </w:t>
      </w:r>
      <w:r>
        <w:rPr>
          <w:sz w:val="20"/>
        </w:rPr>
        <w:t>una</w:t>
      </w:r>
      <w:r>
        <w:rPr>
          <w:spacing w:val="-12"/>
          <w:sz w:val="20"/>
        </w:rPr>
        <w:t> </w:t>
      </w:r>
      <w:r>
        <w:rPr>
          <w:sz w:val="20"/>
        </w:rPr>
        <w:t>parte,</w:t>
      </w:r>
      <w:r>
        <w:rPr>
          <w:spacing w:val="-12"/>
          <w:sz w:val="20"/>
        </w:rPr>
        <w:t> </w:t>
      </w:r>
      <w:r>
        <w:rPr>
          <w:sz w:val="20"/>
        </w:rPr>
        <w:t>posibilitar</w:t>
      </w:r>
      <w:r>
        <w:rPr>
          <w:spacing w:val="-12"/>
          <w:sz w:val="20"/>
        </w:rPr>
        <w:t> </w:t>
      </w:r>
      <w:r>
        <w:rPr>
          <w:sz w:val="20"/>
        </w:rPr>
        <w:t>la</w:t>
      </w:r>
      <w:r>
        <w:rPr>
          <w:spacing w:val="-12"/>
          <w:sz w:val="20"/>
        </w:rPr>
        <w:t> </w:t>
      </w:r>
      <w:r>
        <w:rPr>
          <w:sz w:val="20"/>
        </w:rPr>
        <w:t>debida</w:t>
      </w:r>
      <w:r>
        <w:rPr>
          <w:spacing w:val="-14"/>
          <w:sz w:val="20"/>
        </w:rPr>
        <w:t> </w:t>
      </w:r>
      <w:r>
        <w:rPr>
          <w:sz w:val="20"/>
        </w:rPr>
        <w:t>participación</w:t>
      </w:r>
      <w:r>
        <w:rPr>
          <w:spacing w:val="-12"/>
          <w:sz w:val="20"/>
        </w:rPr>
        <w:t> </w:t>
      </w:r>
      <w:r>
        <w:rPr>
          <w:sz w:val="20"/>
        </w:rPr>
        <w:t>de las comunidades indígenas víctimas, por sí mismas, y también con la intervención de sus representantes, en la determinación de acciones que incidirán en el modo en que recuperarán el goce de sus derechos. Por otra parte, permitir una mayor efectividad</w:t>
      </w:r>
      <w:r>
        <w:rPr>
          <w:spacing w:val="-33"/>
          <w:sz w:val="20"/>
        </w:rPr>
        <w:t> </w:t>
      </w:r>
      <w:r>
        <w:rPr>
          <w:sz w:val="20"/>
        </w:rPr>
        <w:t>de las medidas, dada las definiciones más precisas que se posibilitan a partir de la interacción participativa, informes técnicos y planes de trabajo detallados, conforme lo mandado en la Sentencia. A su vez, esta mayor precisión y efectividad se persigue, además, —por lo que podría denominarse un “control dinámico” de la observancia de las</w:t>
      </w:r>
      <w:r>
        <w:rPr>
          <w:spacing w:val="-9"/>
          <w:sz w:val="20"/>
        </w:rPr>
        <w:t> </w:t>
      </w:r>
      <w:r>
        <w:rPr>
          <w:sz w:val="20"/>
        </w:rPr>
        <w:t>medidas—,</w:t>
      </w:r>
      <w:r>
        <w:rPr>
          <w:spacing w:val="-9"/>
          <w:sz w:val="20"/>
        </w:rPr>
        <w:t> </w:t>
      </w:r>
      <w:r>
        <w:rPr>
          <w:sz w:val="20"/>
        </w:rPr>
        <w:t>en</w:t>
      </w:r>
      <w:r>
        <w:rPr>
          <w:spacing w:val="-8"/>
          <w:sz w:val="20"/>
        </w:rPr>
        <w:t> </w:t>
      </w:r>
      <w:r>
        <w:rPr>
          <w:sz w:val="20"/>
        </w:rPr>
        <w:t>que</w:t>
      </w:r>
      <w:r>
        <w:rPr>
          <w:spacing w:val="-7"/>
          <w:sz w:val="20"/>
        </w:rPr>
        <w:t> </w:t>
      </w:r>
      <w:r>
        <w:rPr>
          <w:sz w:val="20"/>
        </w:rPr>
        <w:t>algunas</w:t>
      </w:r>
      <w:r>
        <w:rPr>
          <w:spacing w:val="-8"/>
          <w:sz w:val="20"/>
        </w:rPr>
        <w:t> </w:t>
      </w:r>
      <w:r>
        <w:rPr>
          <w:sz w:val="20"/>
        </w:rPr>
        <w:t>definiciones</w:t>
      </w:r>
      <w:r>
        <w:rPr>
          <w:spacing w:val="-8"/>
          <w:sz w:val="20"/>
        </w:rPr>
        <w:t> </w:t>
      </w:r>
      <w:r>
        <w:rPr>
          <w:sz w:val="20"/>
        </w:rPr>
        <w:t>de</w:t>
      </w:r>
      <w:r>
        <w:rPr>
          <w:spacing w:val="-9"/>
          <w:sz w:val="20"/>
        </w:rPr>
        <w:t> </w:t>
      </w:r>
      <w:r>
        <w:rPr>
          <w:sz w:val="20"/>
        </w:rPr>
        <w:t>las</w:t>
      </w:r>
      <w:r>
        <w:rPr>
          <w:spacing w:val="-8"/>
          <w:sz w:val="20"/>
        </w:rPr>
        <w:t> </w:t>
      </w:r>
      <w:r>
        <w:rPr>
          <w:sz w:val="20"/>
        </w:rPr>
        <w:t>mismas</w:t>
      </w:r>
      <w:r>
        <w:rPr>
          <w:spacing w:val="-9"/>
          <w:sz w:val="20"/>
        </w:rPr>
        <w:t> </w:t>
      </w:r>
      <w:r>
        <w:rPr>
          <w:sz w:val="20"/>
        </w:rPr>
        <w:t>podrían</w:t>
      </w:r>
      <w:r>
        <w:rPr>
          <w:spacing w:val="-8"/>
          <w:sz w:val="20"/>
        </w:rPr>
        <w:t> </w:t>
      </w:r>
      <w:r>
        <w:rPr>
          <w:sz w:val="20"/>
        </w:rPr>
        <w:t>realizarse</w:t>
      </w:r>
      <w:r>
        <w:rPr>
          <w:spacing w:val="-9"/>
          <w:sz w:val="20"/>
        </w:rPr>
        <w:t> </w:t>
      </w:r>
      <w:r>
        <w:rPr>
          <w:sz w:val="20"/>
        </w:rPr>
        <w:t>en</w:t>
      </w:r>
      <w:r>
        <w:rPr>
          <w:spacing w:val="-9"/>
          <w:sz w:val="20"/>
        </w:rPr>
        <w:t> </w:t>
      </w:r>
      <w:r>
        <w:rPr>
          <w:sz w:val="20"/>
        </w:rPr>
        <w:t>el</w:t>
      </w:r>
      <w:r>
        <w:rPr>
          <w:spacing w:val="-9"/>
          <w:sz w:val="20"/>
        </w:rPr>
        <w:t> </w:t>
      </w:r>
      <w:r>
        <w:rPr>
          <w:sz w:val="20"/>
        </w:rPr>
        <w:t>curso del</w:t>
      </w:r>
      <w:r>
        <w:rPr>
          <w:spacing w:val="-9"/>
          <w:sz w:val="20"/>
        </w:rPr>
        <w:t> </w:t>
      </w:r>
      <w:r>
        <w:rPr>
          <w:sz w:val="20"/>
        </w:rPr>
        <w:t>proceso</w:t>
      </w:r>
      <w:r>
        <w:rPr>
          <w:spacing w:val="-11"/>
          <w:sz w:val="20"/>
        </w:rPr>
        <w:t> </w:t>
      </w:r>
      <w:r>
        <w:rPr>
          <w:sz w:val="20"/>
        </w:rPr>
        <w:t>de</w:t>
      </w:r>
      <w:r>
        <w:rPr>
          <w:spacing w:val="-9"/>
          <w:sz w:val="20"/>
        </w:rPr>
        <w:t> </w:t>
      </w:r>
      <w:r>
        <w:rPr>
          <w:sz w:val="20"/>
        </w:rPr>
        <w:t>supervición</w:t>
      </w:r>
      <w:r>
        <w:rPr>
          <w:spacing w:val="-9"/>
          <w:sz w:val="20"/>
        </w:rPr>
        <w:t> </w:t>
      </w:r>
      <w:r>
        <w:rPr>
          <w:sz w:val="20"/>
        </w:rPr>
        <w:t>de</w:t>
      </w:r>
      <w:r>
        <w:rPr>
          <w:spacing w:val="-10"/>
          <w:sz w:val="20"/>
        </w:rPr>
        <w:t> </w:t>
      </w:r>
      <w:r>
        <w:rPr>
          <w:sz w:val="20"/>
        </w:rPr>
        <w:t>su</w:t>
      </w:r>
      <w:r>
        <w:rPr>
          <w:spacing w:val="-10"/>
          <w:sz w:val="20"/>
        </w:rPr>
        <w:t> </w:t>
      </w:r>
      <w:r>
        <w:rPr>
          <w:sz w:val="20"/>
        </w:rPr>
        <w:t>cumplimiento,</w:t>
      </w:r>
      <w:r>
        <w:rPr>
          <w:spacing w:val="-10"/>
          <w:sz w:val="20"/>
        </w:rPr>
        <w:t> </w:t>
      </w:r>
      <w:r>
        <w:rPr>
          <w:sz w:val="20"/>
        </w:rPr>
        <w:t>con</w:t>
      </w:r>
      <w:r>
        <w:rPr>
          <w:spacing w:val="-9"/>
          <w:sz w:val="20"/>
        </w:rPr>
        <w:t> </w:t>
      </w:r>
      <w:r>
        <w:rPr>
          <w:sz w:val="20"/>
        </w:rPr>
        <w:t>intervención</w:t>
      </w:r>
      <w:r>
        <w:rPr>
          <w:spacing w:val="-11"/>
          <w:sz w:val="20"/>
        </w:rPr>
        <w:t> </w:t>
      </w:r>
      <w:r>
        <w:rPr>
          <w:sz w:val="20"/>
        </w:rPr>
        <w:t>de</w:t>
      </w:r>
      <w:r>
        <w:rPr>
          <w:spacing w:val="-10"/>
          <w:sz w:val="20"/>
        </w:rPr>
        <w:t> </w:t>
      </w:r>
      <w:r>
        <w:rPr>
          <w:sz w:val="20"/>
        </w:rPr>
        <w:t>los</w:t>
      </w:r>
      <w:r>
        <w:rPr>
          <w:spacing w:val="-11"/>
          <w:sz w:val="20"/>
        </w:rPr>
        <w:t> </w:t>
      </w:r>
      <w:r>
        <w:rPr>
          <w:sz w:val="20"/>
        </w:rPr>
        <w:t>diversos</w:t>
      </w:r>
      <w:r>
        <w:rPr>
          <w:spacing w:val="-10"/>
          <w:sz w:val="20"/>
        </w:rPr>
        <w:t> </w:t>
      </w:r>
      <w:r>
        <w:rPr>
          <w:sz w:val="20"/>
        </w:rPr>
        <w:t>actores del proceso, inclusive la Comisión Interamericana. En ese sentido, la Sentencia indica que</w:t>
      </w:r>
      <w:r>
        <w:rPr>
          <w:spacing w:val="35"/>
          <w:sz w:val="20"/>
        </w:rPr>
        <w:t> </w:t>
      </w:r>
      <w:r>
        <w:rPr>
          <w:sz w:val="20"/>
        </w:rPr>
        <w:t>la</w:t>
      </w:r>
      <w:r>
        <w:rPr>
          <w:spacing w:val="35"/>
          <w:sz w:val="20"/>
        </w:rPr>
        <w:t> </w:t>
      </w:r>
      <w:r>
        <w:rPr>
          <w:sz w:val="20"/>
        </w:rPr>
        <w:t>Corte</w:t>
      </w:r>
      <w:r>
        <w:rPr>
          <w:spacing w:val="38"/>
          <w:sz w:val="20"/>
        </w:rPr>
        <w:t> </w:t>
      </w:r>
      <w:r>
        <w:rPr>
          <w:sz w:val="20"/>
        </w:rPr>
        <w:t>IDH,</w:t>
      </w:r>
      <w:r>
        <w:rPr>
          <w:spacing w:val="36"/>
          <w:sz w:val="20"/>
        </w:rPr>
        <w:t> </w:t>
      </w:r>
      <w:r>
        <w:rPr>
          <w:sz w:val="20"/>
        </w:rPr>
        <w:t>previas</w:t>
      </w:r>
      <w:r>
        <w:rPr>
          <w:spacing w:val="35"/>
          <w:sz w:val="20"/>
        </w:rPr>
        <w:t> </w:t>
      </w:r>
      <w:r>
        <w:rPr>
          <w:sz w:val="20"/>
        </w:rPr>
        <w:t>observaciones</w:t>
      </w:r>
      <w:r>
        <w:rPr>
          <w:spacing w:val="34"/>
          <w:sz w:val="20"/>
        </w:rPr>
        <w:t> </w:t>
      </w:r>
      <w:r>
        <w:rPr>
          <w:sz w:val="20"/>
        </w:rPr>
        <w:t>de</w:t>
      </w:r>
      <w:r>
        <w:rPr>
          <w:spacing w:val="35"/>
          <w:sz w:val="20"/>
        </w:rPr>
        <w:t> </w:t>
      </w:r>
      <w:r>
        <w:rPr>
          <w:sz w:val="20"/>
        </w:rPr>
        <w:t>los</w:t>
      </w:r>
      <w:r>
        <w:rPr>
          <w:spacing w:val="36"/>
          <w:sz w:val="20"/>
        </w:rPr>
        <w:t> </w:t>
      </w:r>
      <w:r>
        <w:rPr>
          <w:sz w:val="20"/>
        </w:rPr>
        <w:t>representantes</w:t>
      </w:r>
      <w:r>
        <w:rPr>
          <w:spacing w:val="35"/>
          <w:sz w:val="20"/>
        </w:rPr>
        <w:t> </w:t>
      </w:r>
      <w:r>
        <w:rPr>
          <w:sz w:val="20"/>
        </w:rPr>
        <w:t>de</w:t>
      </w:r>
      <w:r>
        <w:rPr>
          <w:spacing w:val="35"/>
          <w:sz w:val="20"/>
        </w:rPr>
        <w:t> </w:t>
      </w:r>
      <w:r>
        <w:rPr>
          <w:sz w:val="20"/>
        </w:rPr>
        <w:t>las</w:t>
      </w:r>
      <w:r>
        <w:rPr>
          <w:spacing w:val="35"/>
          <w:sz w:val="20"/>
        </w:rPr>
        <w:t> </w:t>
      </w:r>
      <w:r>
        <w:rPr>
          <w:sz w:val="20"/>
        </w:rPr>
        <w:t>víctimas</w:t>
      </w:r>
      <w:r>
        <w:rPr>
          <w:spacing w:val="36"/>
          <w:sz w:val="20"/>
        </w:rPr>
        <w:t> </w:t>
      </w:r>
      <w:r>
        <w:rPr>
          <w:sz w:val="20"/>
        </w:rPr>
        <w:t>y</w:t>
      </w:r>
      <w:r>
        <w:rPr>
          <w:spacing w:val="36"/>
          <w:sz w:val="20"/>
        </w:rPr>
        <w:t> </w:t>
      </w:r>
      <w:r>
        <w:rPr>
          <w:sz w:val="20"/>
        </w:rPr>
        <w:t>la</w:t>
      </w:r>
    </w:p>
    <w:p>
      <w:pPr>
        <w:pStyle w:val="BodyText"/>
      </w:pPr>
    </w:p>
    <w:p>
      <w:pPr>
        <w:pStyle w:val="BodyText"/>
        <w:spacing w:before="12"/>
        <w:rPr>
          <w:sz w:val="19"/>
        </w:rPr>
      </w:pPr>
      <w:r>
        <w:rPr/>
        <w:pict>
          <v:line style="position:absolute;mso-position-horizontal-relative:page;mso-position-vertical-relative:paragraph;z-index:5056;mso-wrap-distance-left:0;mso-wrap-distance-right:0" from="70.919998pt,14.396692pt" to="214.939998pt,14.396692pt" stroked="true" strokeweight=".599980pt" strokecolor="#000000">
            <v:stroke dashstyle="solid"/>
            <w10:wrap type="topAndBottom"/>
          </v:line>
        </w:pict>
      </w:r>
    </w:p>
    <w:p>
      <w:pPr>
        <w:tabs>
          <w:tab w:pos="826" w:val="left" w:leader="none"/>
        </w:tabs>
        <w:spacing w:before="73"/>
        <w:ind w:left="118" w:right="309" w:firstLine="0"/>
        <w:jc w:val="both"/>
        <w:rPr>
          <w:sz w:val="16"/>
        </w:rPr>
      </w:pPr>
      <w:r>
        <w:rPr>
          <w:position w:val="6"/>
          <w:sz w:val="10"/>
        </w:rPr>
        <w:t>50</w:t>
        <w:tab/>
      </w:r>
      <w:r>
        <w:rPr>
          <w:i/>
          <w:sz w:val="16"/>
        </w:rPr>
        <w:t>Cfr. Caso Comunidades Indígenas  Miembros del a Asociación Lhaka Honhat   </w:t>
      </w:r>
      <w:r>
        <w:rPr>
          <w:i/>
          <w:spacing w:val="16"/>
          <w:sz w:val="16"/>
        </w:rPr>
        <w:t> </w:t>
      </w:r>
      <w:r>
        <w:rPr>
          <w:i/>
          <w:sz w:val="16"/>
        </w:rPr>
        <w:t>(Nuestra  Tierra)</w:t>
      </w:r>
      <w:r>
        <w:rPr>
          <w:i/>
          <w:spacing w:val="26"/>
          <w:sz w:val="16"/>
        </w:rPr>
        <w:t> </w:t>
      </w:r>
      <w:r>
        <w:rPr>
          <w:i/>
          <w:sz w:val="16"/>
        </w:rPr>
        <w:t>Vs.</w:t>
      </w:r>
      <w:r>
        <w:rPr>
          <w:i/>
          <w:w w:val="99"/>
          <w:sz w:val="16"/>
        </w:rPr>
        <w:t> </w:t>
      </w:r>
      <w:r>
        <w:rPr>
          <w:i/>
          <w:sz w:val="16"/>
        </w:rPr>
        <w:t>Argentina. Fondo, Reparaciones y Costas</w:t>
      </w:r>
      <w:r>
        <w:rPr>
          <w:sz w:val="16"/>
        </w:rPr>
        <w:t>. Sentencia de 6 de febrero de 2020. Serie C No. 400, párrs. 331 a 342.</w:t>
      </w:r>
    </w:p>
    <w:p>
      <w:pPr>
        <w:spacing w:after="0"/>
        <w:jc w:val="both"/>
        <w:rPr>
          <w:sz w:val="16"/>
        </w:rPr>
        <w:sectPr>
          <w:pgSz w:w="12240" w:h="15840"/>
          <w:pgMar w:header="0" w:footer="782" w:top="1340" w:bottom="980" w:left="1300" w:right="1720"/>
        </w:sectPr>
      </w:pPr>
    </w:p>
    <w:p>
      <w:pPr>
        <w:pStyle w:val="BodyText"/>
        <w:spacing w:before="77"/>
        <w:ind w:left="118" w:right="309"/>
        <w:jc w:val="both"/>
      </w:pPr>
      <w:r>
        <w:rPr/>
        <w:t>Comisión Ineramericana, evaluará los planes de acción que presente el Estado, pudiendo requerir, según el caso, su ampliación o que sean completados.</w:t>
      </w:r>
    </w:p>
    <w:p>
      <w:pPr>
        <w:pStyle w:val="ListParagraph"/>
        <w:numPr>
          <w:ilvl w:val="0"/>
          <w:numId w:val="77"/>
        </w:numPr>
        <w:tabs>
          <w:tab w:pos="827" w:val="left" w:leader="none"/>
        </w:tabs>
        <w:spacing w:line="240" w:lineRule="auto" w:before="118" w:after="0"/>
        <w:ind w:left="118" w:right="308" w:firstLine="0"/>
        <w:jc w:val="both"/>
        <w:rPr>
          <w:sz w:val="20"/>
        </w:rPr>
      </w:pPr>
      <w:r>
        <w:rPr>
          <w:sz w:val="20"/>
        </w:rPr>
        <w:t>La Sentencia contempla también un papel activo de la Comisón Interamericana, exhortando a la misma, siempre “en el marco de sus posibilidades y funciones”, a “facilita[r]” la interacción entre las partes, a fin de “coadyuvar” al cumplimiento de las medidas.</w:t>
      </w:r>
      <w:r>
        <w:rPr>
          <w:spacing w:val="-4"/>
          <w:sz w:val="20"/>
        </w:rPr>
        <w:t> </w:t>
      </w:r>
      <w:r>
        <w:rPr>
          <w:sz w:val="20"/>
        </w:rPr>
        <w:t>Por</w:t>
      </w:r>
      <w:r>
        <w:rPr>
          <w:spacing w:val="-4"/>
          <w:sz w:val="20"/>
        </w:rPr>
        <w:t> </w:t>
      </w:r>
      <w:r>
        <w:rPr>
          <w:sz w:val="20"/>
        </w:rPr>
        <w:t>último,</w:t>
      </w:r>
      <w:r>
        <w:rPr>
          <w:spacing w:val="-4"/>
          <w:sz w:val="20"/>
        </w:rPr>
        <w:t> </w:t>
      </w:r>
      <w:r>
        <w:rPr>
          <w:sz w:val="20"/>
        </w:rPr>
        <w:t>también</w:t>
      </w:r>
      <w:r>
        <w:rPr>
          <w:spacing w:val="-4"/>
          <w:sz w:val="20"/>
        </w:rPr>
        <w:t> </w:t>
      </w:r>
      <w:r>
        <w:rPr>
          <w:sz w:val="20"/>
        </w:rPr>
        <w:t>se</w:t>
      </w:r>
      <w:r>
        <w:rPr>
          <w:spacing w:val="-5"/>
          <w:sz w:val="20"/>
        </w:rPr>
        <w:t> </w:t>
      </w:r>
      <w:r>
        <w:rPr>
          <w:sz w:val="20"/>
        </w:rPr>
        <w:t>ha</w:t>
      </w:r>
      <w:r>
        <w:rPr>
          <w:spacing w:val="-3"/>
          <w:sz w:val="20"/>
        </w:rPr>
        <w:t> </w:t>
      </w:r>
      <w:r>
        <w:rPr>
          <w:sz w:val="20"/>
        </w:rPr>
        <w:t>procurado</w:t>
      </w:r>
      <w:r>
        <w:rPr>
          <w:spacing w:val="-5"/>
          <w:sz w:val="20"/>
        </w:rPr>
        <w:t> </w:t>
      </w:r>
      <w:r>
        <w:rPr>
          <w:sz w:val="20"/>
        </w:rPr>
        <w:t>tener</w:t>
      </w:r>
      <w:r>
        <w:rPr>
          <w:spacing w:val="-5"/>
          <w:sz w:val="20"/>
        </w:rPr>
        <w:t> </w:t>
      </w:r>
      <w:r>
        <w:rPr>
          <w:sz w:val="20"/>
        </w:rPr>
        <w:t>el</w:t>
      </w:r>
      <w:r>
        <w:rPr>
          <w:spacing w:val="-5"/>
          <w:sz w:val="20"/>
        </w:rPr>
        <w:t> </w:t>
      </w:r>
      <w:r>
        <w:rPr>
          <w:sz w:val="20"/>
        </w:rPr>
        <w:t>debido</w:t>
      </w:r>
      <w:r>
        <w:rPr>
          <w:spacing w:val="-4"/>
          <w:sz w:val="20"/>
        </w:rPr>
        <w:t> </w:t>
      </w:r>
      <w:r>
        <w:rPr>
          <w:sz w:val="20"/>
        </w:rPr>
        <w:t>respeto</w:t>
      </w:r>
      <w:r>
        <w:rPr>
          <w:spacing w:val="-5"/>
          <w:sz w:val="20"/>
        </w:rPr>
        <w:t> </w:t>
      </w:r>
      <w:r>
        <w:rPr>
          <w:sz w:val="20"/>
        </w:rPr>
        <w:t>a</w:t>
      </w:r>
      <w:r>
        <w:rPr>
          <w:spacing w:val="-4"/>
          <w:sz w:val="20"/>
        </w:rPr>
        <w:t> </w:t>
      </w:r>
      <w:r>
        <w:rPr>
          <w:sz w:val="20"/>
        </w:rPr>
        <w:t>las</w:t>
      </w:r>
      <w:r>
        <w:rPr>
          <w:spacing w:val="-5"/>
          <w:sz w:val="20"/>
        </w:rPr>
        <w:t> </w:t>
      </w:r>
      <w:r>
        <w:rPr>
          <w:sz w:val="20"/>
        </w:rPr>
        <w:t>funciones</w:t>
      </w:r>
      <w:r>
        <w:rPr>
          <w:spacing w:val="-6"/>
          <w:sz w:val="20"/>
        </w:rPr>
        <w:t> </w:t>
      </w:r>
      <w:r>
        <w:rPr>
          <w:sz w:val="20"/>
        </w:rPr>
        <w:t>y deberes</w:t>
      </w:r>
      <w:r>
        <w:rPr>
          <w:spacing w:val="-11"/>
          <w:sz w:val="20"/>
        </w:rPr>
        <w:t> </w:t>
      </w:r>
      <w:r>
        <w:rPr>
          <w:sz w:val="20"/>
        </w:rPr>
        <w:t>estatales</w:t>
      </w:r>
      <w:r>
        <w:rPr>
          <w:spacing w:val="-11"/>
          <w:sz w:val="20"/>
        </w:rPr>
        <w:t> </w:t>
      </w:r>
      <w:r>
        <w:rPr>
          <w:sz w:val="20"/>
        </w:rPr>
        <w:t>en</w:t>
      </w:r>
      <w:r>
        <w:rPr>
          <w:spacing w:val="-10"/>
          <w:sz w:val="20"/>
        </w:rPr>
        <w:t> </w:t>
      </w:r>
      <w:r>
        <w:rPr>
          <w:sz w:val="20"/>
        </w:rPr>
        <w:t>la</w:t>
      </w:r>
      <w:r>
        <w:rPr>
          <w:spacing w:val="-12"/>
          <w:sz w:val="20"/>
        </w:rPr>
        <w:t> </w:t>
      </w:r>
      <w:r>
        <w:rPr>
          <w:sz w:val="20"/>
        </w:rPr>
        <w:t>determinación</w:t>
      </w:r>
      <w:r>
        <w:rPr>
          <w:spacing w:val="-10"/>
          <w:sz w:val="20"/>
        </w:rPr>
        <w:t> </w:t>
      </w:r>
      <w:r>
        <w:rPr>
          <w:sz w:val="20"/>
        </w:rPr>
        <w:t>de</w:t>
      </w:r>
      <w:r>
        <w:rPr>
          <w:spacing w:val="-11"/>
          <w:sz w:val="20"/>
        </w:rPr>
        <w:t> </w:t>
      </w:r>
      <w:r>
        <w:rPr>
          <w:sz w:val="20"/>
        </w:rPr>
        <w:t>las</w:t>
      </w:r>
      <w:r>
        <w:rPr>
          <w:spacing w:val="-11"/>
          <w:sz w:val="20"/>
        </w:rPr>
        <w:t> </w:t>
      </w:r>
      <w:r>
        <w:rPr>
          <w:sz w:val="20"/>
        </w:rPr>
        <w:t>acciones.</w:t>
      </w:r>
      <w:r>
        <w:rPr>
          <w:spacing w:val="-11"/>
          <w:sz w:val="20"/>
        </w:rPr>
        <w:t> </w:t>
      </w:r>
      <w:r>
        <w:rPr>
          <w:sz w:val="20"/>
        </w:rPr>
        <w:t>Debe</w:t>
      </w:r>
      <w:r>
        <w:rPr>
          <w:spacing w:val="-10"/>
          <w:sz w:val="20"/>
        </w:rPr>
        <w:t> </w:t>
      </w:r>
      <w:r>
        <w:rPr>
          <w:sz w:val="20"/>
        </w:rPr>
        <w:t>destacarse,</w:t>
      </w:r>
      <w:r>
        <w:rPr>
          <w:spacing w:val="-11"/>
          <w:sz w:val="20"/>
        </w:rPr>
        <w:t> </w:t>
      </w:r>
      <w:r>
        <w:rPr>
          <w:sz w:val="20"/>
        </w:rPr>
        <w:t>en</w:t>
      </w:r>
      <w:r>
        <w:rPr>
          <w:spacing w:val="-10"/>
          <w:sz w:val="20"/>
        </w:rPr>
        <w:t> </w:t>
      </w:r>
      <w:r>
        <w:rPr>
          <w:sz w:val="20"/>
        </w:rPr>
        <w:t>ese</w:t>
      </w:r>
      <w:r>
        <w:rPr>
          <w:spacing w:val="-11"/>
          <w:sz w:val="20"/>
        </w:rPr>
        <w:t> </w:t>
      </w:r>
      <w:r>
        <w:rPr>
          <w:sz w:val="20"/>
        </w:rPr>
        <w:t>sentido, no solo que es el Estado quien debe, bajo las pautas ya referidas, desarrollar estudios y planificar las acciones a realizar, sino también se aclara que las medidas que se adopten deben ser adecuadas, guardando “armonía con políticas públicas estatales, planes de gobierno y la normativa nacional o provincial pertinente”</w:t>
      </w:r>
      <w:r>
        <w:rPr>
          <w:spacing w:val="-39"/>
          <w:sz w:val="20"/>
        </w:rPr>
        <w:t> </w:t>
      </w:r>
      <w:r>
        <w:rPr>
          <w:position w:val="7"/>
          <w:sz w:val="13"/>
        </w:rPr>
        <w:t>51</w:t>
      </w:r>
      <w:r>
        <w:rPr>
          <w:sz w:val="20"/>
        </w:rPr>
        <w:t>.</w:t>
      </w:r>
    </w:p>
    <w:p>
      <w:pPr>
        <w:pStyle w:val="ListParagraph"/>
        <w:numPr>
          <w:ilvl w:val="0"/>
          <w:numId w:val="77"/>
        </w:numPr>
        <w:tabs>
          <w:tab w:pos="827" w:val="left" w:leader="none"/>
        </w:tabs>
        <w:spacing w:line="240" w:lineRule="auto" w:before="118" w:after="0"/>
        <w:ind w:left="118" w:right="308" w:firstLine="0"/>
        <w:jc w:val="both"/>
        <w:rPr>
          <w:sz w:val="20"/>
        </w:rPr>
      </w:pPr>
      <w:r>
        <w:rPr>
          <w:sz w:val="20"/>
        </w:rPr>
        <w:t>Resulta frecuente que se objete la intervención de tribunales en litigios que involucren DESCA, considerando aspectos prestacionales de estos derechos —que no son ajenos a los derechos civiles y políticos—, con base en razones que, de diversos modos, aluden a la falta de legitimidad o capacidad de los órganos jurisdiccionales respecto a la definición de políticas púbicas. Así, por ejemplo, se alude a la falta de información técnica o presupuestaria de los tribunales, a su incapacidad para evaluar adecuadamente dicha información, o a la ilegitimidad de tal ejercicio (atribuido, en general, a órganos ejecutivos o legislativos). Aspectos como los señalados presentan ciertamente, y de acuerdo a cada caso, desafíos importantes para la actividad jurisdiccional. No obstante, no pueden llevar a negar o mermar la justiciabilidad o eficacia de derechos plenamente vigentes y autónomos. La Sentencia, al respecto, ha procurado asumir tal desafío, buscando un modo de implementación de las medidas</w:t>
      </w:r>
      <w:r>
        <w:rPr>
          <w:spacing w:val="-24"/>
          <w:sz w:val="20"/>
        </w:rPr>
        <w:t> </w:t>
      </w:r>
      <w:r>
        <w:rPr>
          <w:sz w:val="20"/>
        </w:rPr>
        <w:t>de reparación que, a la vez, sea eficaz para restitiur los derechos lesionados y atienda a las dificultades y complejidad que presentan las acciones necesarias para tal</w:t>
      </w:r>
      <w:r>
        <w:rPr>
          <w:spacing w:val="-17"/>
          <w:sz w:val="20"/>
        </w:rPr>
        <w:t> </w:t>
      </w:r>
      <w:r>
        <w:rPr>
          <w:sz w:val="20"/>
        </w:rPr>
        <w:t>fin.</w:t>
      </w:r>
    </w:p>
    <w:p>
      <w:pPr>
        <w:pStyle w:val="ListParagraph"/>
        <w:numPr>
          <w:ilvl w:val="0"/>
          <w:numId w:val="77"/>
        </w:numPr>
        <w:tabs>
          <w:tab w:pos="827" w:val="left" w:leader="none"/>
        </w:tabs>
        <w:spacing w:line="240" w:lineRule="auto" w:before="118" w:after="0"/>
        <w:ind w:left="118" w:right="310" w:firstLine="0"/>
        <w:jc w:val="both"/>
        <w:rPr>
          <w:sz w:val="20"/>
        </w:rPr>
      </w:pPr>
      <w:r>
        <w:rPr>
          <w:sz w:val="20"/>
        </w:rPr>
        <w:t>Del modo referido, la Corte IDH ha procurado lograr, a la vez de un examen autónomo de los DESCA, establecer medidas de reparación acordes a la lesión de los mismos, y que estas resulten realmente idóneas en la materia. Ello, a partir de posibilitar definiciones posteriores más precisas para su implementación, siempre supervisada por la Corte IDH y en los tiempos que se estiman suficientes para su ejecución.</w:t>
      </w:r>
    </w:p>
    <w:p>
      <w:pPr>
        <w:pStyle w:val="ListParagraph"/>
        <w:numPr>
          <w:ilvl w:val="0"/>
          <w:numId w:val="77"/>
        </w:numPr>
        <w:tabs>
          <w:tab w:pos="827" w:val="left" w:leader="none"/>
        </w:tabs>
        <w:spacing w:line="240" w:lineRule="auto" w:before="118" w:after="0"/>
        <w:ind w:left="118" w:right="308" w:firstLine="0"/>
        <w:jc w:val="both"/>
        <w:rPr>
          <w:sz w:val="20"/>
        </w:rPr>
      </w:pPr>
      <w:r>
        <w:rPr>
          <w:sz w:val="20"/>
        </w:rPr>
        <w:t>De este modo las reparaciones como las indicadas en ese capítulo tienen un verdadero trasfondo de derechos sociales y buscan restaurar el goce del contenido de cada uno de los derechos indicados y declarados violados en la Sentencia. Considero que esta especificación en cuanto a las medidas de reparación, constituye una</w:t>
      </w:r>
      <w:r>
        <w:rPr>
          <w:spacing w:val="-27"/>
          <w:sz w:val="20"/>
        </w:rPr>
        <w:t> </w:t>
      </w:r>
      <w:r>
        <w:rPr>
          <w:sz w:val="20"/>
        </w:rPr>
        <w:t>muestra de</w:t>
      </w:r>
      <w:r>
        <w:rPr>
          <w:spacing w:val="-12"/>
          <w:sz w:val="20"/>
        </w:rPr>
        <w:t> </w:t>
      </w:r>
      <w:r>
        <w:rPr>
          <w:sz w:val="20"/>
        </w:rPr>
        <w:t>la</w:t>
      </w:r>
      <w:r>
        <w:rPr>
          <w:spacing w:val="-13"/>
          <w:sz w:val="20"/>
        </w:rPr>
        <w:t> </w:t>
      </w:r>
      <w:r>
        <w:rPr>
          <w:sz w:val="20"/>
        </w:rPr>
        <w:t>posibilidad</w:t>
      </w:r>
      <w:r>
        <w:rPr>
          <w:spacing w:val="-10"/>
          <w:sz w:val="20"/>
        </w:rPr>
        <w:t> </w:t>
      </w:r>
      <w:r>
        <w:rPr>
          <w:sz w:val="20"/>
        </w:rPr>
        <w:t>que</w:t>
      </w:r>
      <w:r>
        <w:rPr>
          <w:spacing w:val="-12"/>
          <w:sz w:val="20"/>
        </w:rPr>
        <w:t> </w:t>
      </w:r>
      <w:r>
        <w:rPr>
          <w:sz w:val="20"/>
        </w:rPr>
        <w:t>tiene</w:t>
      </w:r>
      <w:r>
        <w:rPr>
          <w:spacing w:val="-13"/>
          <w:sz w:val="20"/>
        </w:rPr>
        <w:t> </w:t>
      </w:r>
      <w:r>
        <w:rPr>
          <w:sz w:val="20"/>
        </w:rPr>
        <w:t>el</w:t>
      </w:r>
      <w:r>
        <w:rPr>
          <w:spacing w:val="-14"/>
          <w:sz w:val="20"/>
        </w:rPr>
        <w:t> </w:t>
      </w:r>
      <w:r>
        <w:rPr>
          <w:sz w:val="20"/>
        </w:rPr>
        <w:t>Tribunal</w:t>
      </w:r>
      <w:r>
        <w:rPr>
          <w:spacing w:val="-11"/>
          <w:sz w:val="20"/>
        </w:rPr>
        <w:t> </w:t>
      </w:r>
      <w:r>
        <w:rPr>
          <w:sz w:val="20"/>
        </w:rPr>
        <w:t>Interamericano</w:t>
      </w:r>
      <w:r>
        <w:rPr>
          <w:spacing w:val="-13"/>
          <w:sz w:val="20"/>
        </w:rPr>
        <w:t> </w:t>
      </w:r>
      <w:r>
        <w:rPr>
          <w:sz w:val="20"/>
        </w:rPr>
        <w:t>para</w:t>
      </w:r>
      <w:r>
        <w:rPr>
          <w:spacing w:val="-13"/>
          <w:sz w:val="20"/>
        </w:rPr>
        <w:t> </w:t>
      </w:r>
      <w:r>
        <w:rPr>
          <w:sz w:val="20"/>
        </w:rPr>
        <w:t>ir</w:t>
      </w:r>
      <w:r>
        <w:rPr>
          <w:spacing w:val="-13"/>
          <w:sz w:val="20"/>
        </w:rPr>
        <w:t> </w:t>
      </w:r>
      <w:r>
        <w:rPr>
          <w:sz w:val="20"/>
        </w:rPr>
        <w:t>estableciendo</w:t>
      </w:r>
      <w:r>
        <w:rPr>
          <w:spacing w:val="-13"/>
          <w:sz w:val="20"/>
        </w:rPr>
        <w:t> </w:t>
      </w:r>
      <w:r>
        <w:rPr>
          <w:sz w:val="20"/>
        </w:rPr>
        <w:t>reparaciones acorde con las violaciones a DESCA y conforme a las particularidades de cada</w:t>
      </w:r>
      <w:r>
        <w:rPr>
          <w:spacing w:val="-20"/>
          <w:sz w:val="20"/>
        </w:rPr>
        <w:t> </w:t>
      </w:r>
      <w:r>
        <w:rPr>
          <w:sz w:val="20"/>
        </w:rPr>
        <w:t>caso.</w:t>
      </w:r>
    </w:p>
    <w:p>
      <w:pPr>
        <w:pStyle w:val="BodyText"/>
        <w:rPr>
          <w:sz w:val="24"/>
        </w:rPr>
      </w:pPr>
    </w:p>
    <w:p>
      <w:pPr>
        <w:pStyle w:val="Heading3"/>
        <w:numPr>
          <w:ilvl w:val="0"/>
          <w:numId w:val="47"/>
        </w:numPr>
        <w:tabs>
          <w:tab w:pos="754" w:val="left" w:leader="none"/>
        </w:tabs>
        <w:spacing w:line="240" w:lineRule="auto" w:before="189" w:after="0"/>
        <w:ind w:left="2614" w:right="542" w:hanging="2264"/>
        <w:jc w:val="left"/>
      </w:pPr>
      <w:r>
        <w:rPr/>
        <w:t>LOS </w:t>
      </w:r>
      <w:r>
        <w:rPr>
          <w:i/>
        </w:rPr>
        <w:t>AMICI CURIAE </w:t>
      </w:r>
      <w:r>
        <w:rPr/>
        <w:t>COMO MEDIO DE DIÁLOGO DE LA SOCIEDAD</w:t>
      </w:r>
      <w:r>
        <w:rPr>
          <w:spacing w:val="-22"/>
        </w:rPr>
        <w:t> </w:t>
      </w:r>
      <w:r>
        <w:rPr/>
        <w:t>CIVIL CON LA CORTE</w:t>
      </w:r>
      <w:r>
        <w:rPr>
          <w:spacing w:val="-9"/>
        </w:rPr>
        <w:t> </w:t>
      </w:r>
      <w:r>
        <w:rPr/>
        <w:t>INTERAMERICANA</w:t>
      </w:r>
    </w:p>
    <w:p>
      <w:pPr>
        <w:pStyle w:val="BodyText"/>
        <w:spacing w:before="11"/>
        <w:rPr>
          <w:b/>
          <w:sz w:val="19"/>
        </w:rPr>
      </w:pPr>
    </w:p>
    <w:p>
      <w:pPr>
        <w:pStyle w:val="ListParagraph"/>
        <w:numPr>
          <w:ilvl w:val="0"/>
          <w:numId w:val="77"/>
        </w:numPr>
        <w:tabs>
          <w:tab w:pos="827" w:val="left" w:leader="none"/>
        </w:tabs>
        <w:spacing w:line="240" w:lineRule="auto" w:before="0" w:after="0"/>
        <w:ind w:left="118" w:right="310" w:firstLine="0"/>
        <w:jc w:val="both"/>
        <w:rPr>
          <w:sz w:val="20"/>
        </w:rPr>
      </w:pPr>
      <w:r>
        <w:rPr>
          <w:sz w:val="20"/>
        </w:rPr>
        <w:t>Los</w:t>
      </w:r>
      <w:r>
        <w:rPr>
          <w:spacing w:val="-6"/>
          <w:sz w:val="20"/>
        </w:rPr>
        <w:t> </w:t>
      </w:r>
      <w:r>
        <w:rPr>
          <w:sz w:val="20"/>
        </w:rPr>
        <w:t>primeros</w:t>
      </w:r>
      <w:r>
        <w:rPr>
          <w:spacing w:val="-6"/>
          <w:sz w:val="20"/>
        </w:rPr>
        <w:t> </w:t>
      </w:r>
      <w:r>
        <w:rPr>
          <w:sz w:val="20"/>
        </w:rPr>
        <w:t>cinco</w:t>
      </w:r>
      <w:r>
        <w:rPr>
          <w:spacing w:val="-6"/>
          <w:sz w:val="20"/>
        </w:rPr>
        <w:t> </w:t>
      </w:r>
      <w:r>
        <w:rPr>
          <w:sz w:val="20"/>
        </w:rPr>
        <w:t>reglamentos</w:t>
      </w:r>
      <w:r>
        <w:rPr>
          <w:spacing w:val="-7"/>
          <w:sz w:val="20"/>
        </w:rPr>
        <w:t> </w:t>
      </w:r>
      <w:r>
        <w:rPr>
          <w:sz w:val="20"/>
        </w:rPr>
        <w:t>del</w:t>
      </w:r>
      <w:r>
        <w:rPr>
          <w:spacing w:val="-6"/>
          <w:sz w:val="20"/>
        </w:rPr>
        <w:t> </w:t>
      </w:r>
      <w:r>
        <w:rPr>
          <w:sz w:val="20"/>
        </w:rPr>
        <w:t>Tribunal</w:t>
      </w:r>
      <w:r>
        <w:rPr>
          <w:spacing w:val="-7"/>
          <w:sz w:val="20"/>
        </w:rPr>
        <w:t> </w:t>
      </w:r>
      <w:r>
        <w:rPr>
          <w:sz w:val="20"/>
        </w:rPr>
        <w:t>Interamericano</w:t>
      </w:r>
      <w:r>
        <w:rPr>
          <w:spacing w:val="-6"/>
          <w:sz w:val="20"/>
        </w:rPr>
        <w:t> </w:t>
      </w:r>
      <w:r>
        <w:rPr>
          <w:sz w:val="20"/>
        </w:rPr>
        <w:t>no</w:t>
      </w:r>
      <w:r>
        <w:rPr>
          <w:spacing w:val="-6"/>
          <w:sz w:val="20"/>
        </w:rPr>
        <w:t> </w:t>
      </w:r>
      <w:r>
        <w:rPr>
          <w:sz w:val="20"/>
        </w:rPr>
        <w:t>contemplaban</w:t>
      </w:r>
      <w:r>
        <w:rPr>
          <w:spacing w:val="-5"/>
          <w:sz w:val="20"/>
        </w:rPr>
        <w:t> </w:t>
      </w:r>
      <w:r>
        <w:rPr>
          <w:sz w:val="20"/>
        </w:rPr>
        <w:t>la figura</w:t>
      </w:r>
      <w:r>
        <w:rPr>
          <w:spacing w:val="-18"/>
          <w:sz w:val="20"/>
        </w:rPr>
        <w:t> </w:t>
      </w:r>
      <w:r>
        <w:rPr>
          <w:sz w:val="20"/>
        </w:rPr>
        <w:t>del</w:t>
      </w:r>
      <w:r>
        <w:rPr>
          <w:spacing w:val="-15"/>
          <w:sz w:val="20"/>
        </w:rPr>
        <w:t> </w:t>
      </w:r>
      <w:r>
        <w:rPr>
          <w:i/>
          <w:sz w:val="20"/>
        </w:rPr>
        <w:t>amicus</w:t>
      </w:r>
      <w:r>
        <w:rPr>
          <w:i/>
          <w:spacing w:val="-17"/>
          <w:sz w:val="20"/>
        </w:rPr>
        <w:t> </w:t>
      </w:r>
      <w:r>
        <w:rPr>
          <w:i/>
          <w:sz w:val="20"/>
        </w:rPr>
        <w:t>curiae</w:t>
      </w:r>
      <w:r>
        <w:rPr>
          <w:sz w:val="20"/>
        </w:rPr>
        <w:t>.</w:t>
      </w:r>
      <w:r>
        <w:rPr>
          <w:spacing w:val="-18"/>
          <w:sz w:val="20"/>
        </w:rPr>
        <w:t> </w:t>
      </w:r>
      <w:r>
        <w:rPr>
          <w:sz w:val="20"/>
        </w:rPr>
        <w:t>Sin</w:t>
      </w:r>
      <w:r>
        <w:rPr>
          <w:spacing w:val="-17"/>
          <w:sz w:val="20"/>
        </w:rPr>
        <w:t> </w:t>
      </w:r>
      <w:r>
        <w:rPr>
          <w:sz w:val="20"/>
        </w:rPr>
        <w:t>embargo,</w:t>
      </w:r>
      <w:r>
        <w:rPr>
          <w:spacing w:val="-17"/>
          <w:sz w:val="20"/>
        </w:rPr>
        <w:t> </w:t>
      </w:r>
      <w:r>
        <w:rPr>
          <w:sz w:val="20"/>
        </w:rPr>
        <w:t>ello</w:t>
      </w:r>
      <w:r>
        <w:rPr>
          <w:spacing w:val="-18"/>
          <w:sz w:val="20"/>
        </w:rPr>
        <w:t> </w:t>
      </w:r>
      <w:r>
        <w:rPr>
          <w:sz w:val="20"/>
        </w:rPr>
        <w:t>no</w:t>
      </w:r>
      <w:r>
        <w:rPr>
          <w:spacing w:val="-19"/>
          <w:sz w:val="20"/>
        </w:rPr>
        <w:t> </w:t>
      </w:r>
      <w:r>
        <w:rPr>
          <w:sz w:val="20"/>
        </w:rPr>
        <w:t>fue</w:t>
      </w:r>
      <w:r>
        <w:rPr>
          <w:spacing w:val="-18"/>
          <w:sz w:val="20"/>
        </w:rPr>
        <w:t> </w:t>
      </w:r>
      <w:r>
        <w:rPr>
          <w:sz w:val="20"/>
        </w:rPr>
        <w:t>impedimento</w:t>
      </w:r>
      <w:r>
        <w:rPr>
          <w:spacing w:val="-18"/>
          <w:sz w:val="20"/>
        </w:rPr>
        <w:t> </w:t>
      </w:r>
      <w:r>
        <w:rPr>
          <w:sz w:val="20"/>
        </w:rPr>
        <w:t>para</w:t>
      </w:r>
      <w:r>
        <w:rPr>
          <w:spacing w:val="-18"/>
          <w:sz w:val="20"/>
        </w:rPr>
        <w:t> </w:t>
      </w:r>
      <w:r>
        <w:rPr>
          <w:sz w:val="20"/>
        </w:rPr>
        <w:t>que</w:t>
      </w:r>
      <w:r>
        <w:rPr>
          <w:spacing w:val="-17"/>
          <w:sz w:val="20"/>
        </w:rPr>
        <w:t> </w:t>
      </w:r>
      <w:r>
        <w:rPr>
          <w:sz w:val="20"/>
        </w:rPr>
        <w:t>desde</w:t>
      </w:r>
      <w:r>
        <w:rPr>
          <w:spacing w:val="-17"/>
          <w:sz w:val="20"/>
        </w:rPr>
        <w:t> </w:t>
      </w:r>
      <w:r>
        <w:rPr>
          <w:sz w:val="20"/>
        </w:rPr>
        <w:t>el</w:t>
      </w:r>
      <w:r>
        <w:rPr>
          <w:spacing w:val="-17"/>
          <w:sz w:val="20"/>
        </w:rPr>
        <w:t> </w:t>
      </w:r>
      <w:r>
        <w:rPr>
          <w:sz w:val="20"/>
        </w:rPr>
        <w:t>primer caso</w:t>
      </w:r>
      <w:r>
        <w:rPr>
          <w:spacing w:val="32"/>
          <w:sz w:val="20"/>
        </w:rPr>
        <w:t> </w:t>
      </w:r>
      <w:r>
        <w:rPr>
          <w:sz w:val="20"/>
        </w:rPr>
        <w:t>contencioso</w:t>
      </w:r>
      <w:r>
        <w:rPr>
          <w:spacing w:val="30"/>
          <w:sz w:val="20"/>
        </w:rPr>
        <w:t> </w:t>
      </w:r>
      <w:r>
        <w:rPr>
          <w:sz w:val="20"/>
        </w:rPr>
        <w:t>en</w:t>
      </w:r>
      <w:r>
        <w:rPr>
          <w:spacing w:val="32"/>
          <w:sz w:val="20"/>
        </w:rPr>
        <w:t> </w:t>
      </w:r>
      <w:r>
        <w:rPr>
          <w:sz w:val="20"/>
        </w:rPr>
        <w:t>el</w:t>
      </w:r>
      <w:r>
        <w:rPr>
          <w:spacing w:val="32"/>
          <w:sz w:val="20"/>
        </w:rPr>
        <w:t> </w:t>
      </w:r>
      <w:r>
        <w:rPr>
          <w:sz w:val="20"/>
        </w:rPr>
        <w:t>que</w:t>
      </w:r>
      <w:r>
        <w:rPr>
          <w:spacing w:val="33"/>
          <w:sz w:val="20"/>
        </w:rPr>
        <w:t> </w:t>
      </w:r>
      <w:r>
        <w:rPr>
          <w:sz w:val="20"/>
        </w:rPr>
        <w:t>la</w:t>
      </w:r>
      <w:r>
        <w:rPr>
          <w:spacing w:val="31"/>
          <w:sz w:val="20"/>
        </w:rPr>
        <w:t> </w:t>
      </w:r>
      <w:r>
        <w:rPr>
          <w:sz w:val="20"/>
        </w:rPr>
        <w:t>Corte</w:t>
      </w:r>
      <w:r>
        <w:rPr>
          <w:spacing w:val="33"/>
          <w:sz w:val="20"/>
        </w:rPr>
        <w:t> </w:t>
      </w:r>
      <w:r>
        <w:rPr>
          <w:sz w:val="20"/>
        </w:rPr>
        <w:t>IDH</w:t>
      </w:r>
      <w:r>
        <w:rPr>
          <w:spacing w:val="33"/>
          <w:sz w:val="20"/>
        </w:rPr>
        <w:t> </w:t>
      </w:r>
      <w:r>
        <w:rPr>
          <w:sz w:val="20"/>
        </w:rPr>
        <w:t>se</w:t>
      </w:r>
      <w:r>
        <w:rPr>
          <w:spacing w:val="32"/>
          <w:sz w:val="20"/>
        </w:rPr>
        <w:t> </w:t>
      </w:r>
      <w:r>
        <w:rPr>
          <w:sz w:val="20"/>
        </w:rPr>
        <w:t>pronunció</w:t>
      </w:r>
      <w:r>
        <w:rPr>
          <w:spacing w:val="32"/>
          <w:sz w:val="20"/>
        </w:rPr>
        <w:t> </w:t>
      </w:r>
      <w:r>
        <w:rPr>
          <w:sz w:val="20"/>
        </w:rPr>
        <w:t>sobre</w:t>
      </w:r>
      <w:r>
        <w:rPr>
          <w:spacing w:val="33"/>
          <w:sz w:val="20"/>
        </w:rPr>
        <w:t> </w:t>
      </w:r>
      <w:r>
        <w:rPr>
          <w:sz w:val="20"/>
        </w:rPr>
        <w:t>el</w:t>
      </w:r>
      <w:r>
        <w:rPr>
          <w:spacing w:val="32"/>
          <w:sz w:val="20"/>
        </w:rPr>
        <w:t> </w:t>
      </w:r>
      <w:r>
        <w:rPr>
          <w:sz w:val="20"/>
        </w:rPr>
        <w:t>fondo,</w:t>
      </w:r>
      <w:r>
        <w:rPr>
          <w:spacing w:val="32"/>
          <w:sz w:val="20"/>
        </w:rPr>
        <w:t> </w:t>
      </w:r>
      <w:r>
        <w:rPr>
          <w:sz w:val="20"/>
        </w:rPr>
        <w:t>se</w:t>
      </w:r>
      <w:r>
        <w:rPr>
          <w:spacing w:val="33"/>
          <w:sz w:val="20"/>
        </w:rPr>
        <w:t> </w:t>
      </w:r>
      <w:r>
        <w:rPr>
          <w:sz w:val="20"/>
        </w:rPr>
        <w:t>recibieran</w:t>
      </w:r>
    </w:p>
    <w:p>
      <w:pPr>
        <w:pStyle w:val="BodyText"/>
      </w:pPr>
    </w:p>
    <w:p>
      <w:pPr>
        <w:pStyle w:val="BodyText"/>
      </w:pPr>
    </w:p>
    <w:p>
      <w:pPr>
        <w:pStyle w:val="BodyText"/>
        <w:spacing w:before="2"/>
      </w:pPr>
      <w:r>
        <w:rPr/>
        <w:pict>
          <v:line style="position:absolute;mso-position-horizontal-relative:page;mso-position-vertical-relative:paragraph;z-index:5080;mso-wrap-distance-left:0;mso-wrap-distance-right:0" from="70.919998pt,14.539139pt" to="214.939998pt,14.539139pt" stroked="true" strokeweight=".599980pt" strokecolor="#000000">
            <v:stroke dashstyle="solid"/>
            <w10:wrap type="topAndBottom"/>
          </v:line>
        </w:pict>
      </w:r>
    </w:p>
    <w:p>
      <w:pPr>
        <w:tabs>
          <w:tab w:pos="826" w:val="left" w:leader="none"/>
        </w:tabs>
        <w:spacing w:before="73"/>
        <w:ind w:left="118" w:right="309" w:firstLine="0"/>
        <w:jc w:val="both"/>
        <w:rPr>
          <w:sz w:val="16"/>
        </w:rPr>
      </w:pPr>
      <w:r>
        <w:rPr>
          <w:position w:val="6"/>
          <w:sz w:val="10"/>
        </w:rPr>
        <w:t>51</w:t>
        <w:tab/>
      </w:r>
      <w:r>
        <w:rPr>
          <w:i/>
          <w:sz w:val="16"/>
        </w:rPr>
        <w:t>Cfr. Caso Comunidades Indígenas Miembros del a Asociación Lhaka   </w:t>
      </w:r>
      <w:r>
        <w:rPr>
          <w:i/>
          <w:spacing w:val="19"/>
          <w:sz w:val="16"/>
        </w:rPr>
        <w:t> </w:t>
      </w:r>
      <w:r>
        <w:rPr>
          <w:i/>
          <w:sz w:val="16"/>
        </w:rPr>
        <w:t>Honhat  (Nuestra  Tierra)</w:t>
      </w:r>
      <w:r>
        <w:rPr>
          <w:i/>
          <w:spacing w:val="26"/>
          <w:sz w:val="16"/>
        </w:rPr>
        <w:t> </w:t>
      </w:r>
      <w:r>
        <w:rPr>
          <w:i/>
          <w:sz w:val="16"/>
        </w:rPr>
        <w:t>Vs.</w:t>
      </w:r>
      <w:r>
        <w:rPr>
          <w:i/>
          <w:w w:val="99"/>
          <w:sz w:val="16"/>
        </w:rPr>
        <w:t> </w:t>
      </w:r>
      <w:r>
        <w:rPr>
          <w:i/>
          <w:sz w:val="16"/>
        </w:rPr>
        <w:t>Argentina. Fondo, Reparaciones y Costas</w:t>
      </w:r>
      <w:r>
        <w:rPr>
          <w:sz w:val="16"/>
        </w:rPr>
        <w:t>. Sentencia de 6 de febrero de 2020. Serie C No. 400, párr. 333, nota</w:t>
      </w:r>
      <w:r>
        <w:rPr>
          <w:spacing w:val="-3"/>
          <w:sz w:val="16"/>
        </w:rPr>
        <w:t> </w:t>
      </w:r>
      <w:r>
        <w:rPr>
          <w:sz w:val="16"/>
        </w:rPr>
        <w:t>325.</w:t>
      </w:r>
    </w:p>
    <w:p>
      <w:pPr>
        <w:spacing w:after="0"/>
        <w:jc w:val="both"/>
        <w:rPr>
          <w:sz w:val="16"/>
        </w:rPr>
        <w:sectPr>
          <w:footerReference w:type="default" r:id="rId56"/>
          <w:pgSz w:w="12240" w:h="15840"/>
          <w:pgMar w:footer="782" w:header="0" w:top="1340" w:bottom="980" w:left="1300" w:right="1720"/>
          <w:pgNumType w:start="19"/>
        </w:sectPr>
      </w:pPr>
    </w:p>
    <w:p>
      <w:pPr>
        <w:pStyle w:val="BodyText"/>
        <w:spacing w:before="77"/>
        <w:ind w:left="118" w:right="311"/>
        <w:jc w:val="both"/>
      </w:pPr>
      <w:r>
        <w:rPr/>
        <w:t>diversos </w:t>
      </w:r>
      <w:r>
        <w:rPr>
          <w:i/>
        </w:rPr>
        <w:t>amici curiae </w:t>
      </w:r>
      <w:r>
        <w:rPr/>
        <w:t>por organizaciones no gubernamentales</w:t>
      </w:r>
      <w:r>
        <w:rPr>
          <w:position w:val="7"/>
          <w:sz w:val="13"/>
        </w:rPr>
        <w:t>52</w:t>
      </w:r>
      <w:r>
        <w:rPr/>
        <w:t>, lo que abrió el camino procedimiental para que siguiera como una práctica habitual ante la Corte IDH. Fue hasta</w:t>
      </w:r>
      <w:r>
        <w:rPr>
          <w:spacing w:val="-17"/>
        </w:rPr>
        <w:t> </w:t>
      </w:r>
      <w:r>
        <w:rPr/>
        <w:t>el</w:t>
      </w:r>
      <w:r>
        <w:rPr>
          <w:spacing w:val="-15"/>
        </w:rPr>
        <w:t> </w:t>
      </w:r>
      <w:r>
        <w:rPr/>
        <w:t>año</w:t>
      </w:r>
      <w:r>
        <w:rPr>
          <w:spacing w:val="-17"/>
        </w:rPr>
        <w:t> </w:t>
      </w:r>
      <w:r>
        <w:rPr/>
        <w:t>2009</w:t>
      </w:r>
      <w:r>
        <w:rPr>
          <w:spacing w:val="-17"/>
        </w:rPr>
        <w:t> </w:t>
      </w:r>
      <w:r>
        <w:rPr/>
        <w:t>cuando,</w:t>
      </w:r>
      <w:r>
        <w:rPr>
          <w:spacing w:val="-16"/>
        </w:rPr>
        <w:t> </w:t>
      </w:r>
      <w:r>
        <w:rPr/>
        <w:t>a</w:t>
      </w:r>
      <w:r>
        <w:rPr>
          <w:spacing w:val="-17"/>
        </w:rPr>
        <w:t> </w:t>
      </w:r>
      <w:r>
        <w:rPr/>
        <w:t>través</w:t>
      </w:r>
      <w:r>
        <w:rPr>
          <w:spacing w:val="-17"/>
        </w:rPr>
        <w:t> </w:t>
      </w:r>
      <w:r>
        <w:rPr/>
        <w:t>de</w:t>
      </w:r>
      <w:r>
        <w:rPr>
          <w:spacing w:val="-16"/>
        </w:rPr>
        <w:t> </w:t>
      </w:r>
      <w:r>
        <w:rPr/>
        <w:t>una</w:t>
      </w:r>
      <w:r>
        <w:rPr>
          <w:spacing w:val="-15"/>
        </w:rPr>
        <w:t> </w:t>
      </w:r>
      <w:r>
        <w:rPr/>
        <w:t>reforma</w:t>
      </w:r>
      <w:r>
        <w:rPr>
          <w:spacing w:val="-16"/>
        </w:rPr>
        <w:t> </w:t>
      </w:r>
      <w:r>
        <w:rPr/>
        <w:t>al</w:t>
      </w:r>
      <w:r>
        <w:rPr>
          <w:spacing w:val="-17"/>
        </w:rPr>
        <w:t> </w:t>
      </w:r>
      <w:r>
        <w:rPr/>
        <w:t>entonces</w:t>
      </w:r>
      <w:r>
        <w:rPr>
          <w:spacing w:val="-16"/>
        </w:rPr>
        <w:t> </w:t>
      </w:r>
      <w:r>
        <w:rPr/>
        <w:t>reglamento,</w:t>
      </w:r>
      <w:r>
        <w:rPr>
          <w:spacing w:val="-16"/>
        </w:rPr>
        <w:t> </w:t>
      </w:r>
      <w:r>
        <w:rPr/>
        <w:t>se</w:t>
      </w:r>
      <w:r>
        <w:rPr>
          <w:spacing w:val="-16"/>
        </w:rPr>
        <w:t> </w:t>
      </w:r>
      <w:r>
        <w:rPr/>
        <w:t>introduce la definición de dicha institución, así como la primera regulación específica para su presentación</w:t>
      </w:r>
      <w:r>
        <w:rPr>
          <w:position w:val="7"/>
          <w:sz w:val="13"/>
        </w:rPr>
        <w:t>53</w:t>
      </w:r>
      <w:r>
        <w:rPr/>
        <w:t>.</w:t>
      </w:r>
    </w:p>
    <w:p>
      <w:pPr>
        <w:pStyle w:val="BodyText"/>
      </w:pPr>
    </w:p>
    <w:p>
      <w:pPr>
        <w:pStyle w:val="ListParagraph"/>
        <w:numPr>
          <w:ilvl w:val="0"/>
          <w:numId w:val="77"/>
        </w:numPr>
        <w:tabs>
          <w:tab w:pos="827" w:val="left" w:leader="none"/>
        </w:tabs>
        <w:spacing w:line="240" w:lineRule="auto" w:before="0" w:after="0"/>
        <w:ind w:left="118" w:right="308" w:firstLine="0"/>
        <w:jc w:val="both"/>
        <w:rPr>
          <w:sz w:val="20"/>
        </w:rPr>
      </w:pPr>
      <w:r>
        <w:rPr>
          <w:sz w:val="20"/>
        </w:rPr>
        <w:t>Así, la figura del </w:t>
      </w:r>
      <w:r>
        <w:rPr>
          <w:i/>
          <w:sz w:val="20"/>
        </w:rPr>
        <w:t>amicus curiae </w:t>
      </w:r>
      <w:r>
        <w:rPr>
          <w:sz w:val="20"/>
        </w:rPr>
        <w:t>hace referencia a “la persona o institución,</w:t>
      </w:r>
      <w:r>
        <w:rPr>
          <w:spacing w:val="-36"/>
          <w:sz w:val="20"/>
        </w:rPr>
        <w:t> </w:t>
      </w:r>
      <w:r>
        <w:rPr>
          <w:sz w:val="20"/>
        </w:rPr>
        <w:t>ajena al litigio y al proceso que presenta a la Corte razonamientos en torno a los hechos contenidos en el sometimiento del caso o formula consideraciones jurídicas sobre la materia del proceso, a través de un documento o de un alegato en</w:t>
      </w:r>
      <w:r>
        <w:rPr>
          <w:spacing w:val="-17"/>
          <w:sz w:val="20"/>
        </w:rPr>
        <w:t> </w:t>
      </w:r>
      <w:r>
        <w:rPr>
          <w:sz w:val="20"/>
        </w:rPr>
        <w:t>audiencia”</w:t>
      </w:r>
      <w:r>
        <w:rPr>
          <w:position w:val="7"/>
          <w:sz w:val="13"/>
        </w:rPr>
        <w:t>54</w:t>
      </w:r>
      <w:r>
        <w:rPr>
          <w:sz w:val="20"/>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El actual Reglamento de la Corte IDH, vigente desde enero de 2010, establece la posibilidad de presentar un escrito en calidad de </w:t>
      </w:r>
      <w:r>
        <w:rPr>
          <w:i/>
          <w:sz w:val="20"/>
        </w:rPr>
        <w:t>amicus curiae </w:t>
      </w:r>
      <w:r>
        <w:rPr>
          <w:sz w:val="20"/>
        </w:rPr>
        <w:t>en los casos contenciosos del Tribunal Interamericano, así como también en los procedimientos de supervisión de cumplimiento de sentencia y de medidas provisionales</w:t>
      </w:r>
      <w:r>
        <w:rPr>
          <w:position w:val="7"/>
          <w:sz w:val="13"/>
        </w:rPr>
        <w:t>55</w:t>
      </w:r>
      <w:r>
        <w:rPr>
          <w:sz w:val="20"/>
        </w:rPr>
        <w:t>; en lo que respecta a su función consultiva, el Reglamento prevé que “cualquier persona” puede presentar “su opinión escrita sobre los puntos sometidos a la</w:t>
      </w:r>
      <w:r>
        <w:rPr>
          <w:spacing w:val="-11"/>
          <w:sz w:val="20"/>
        </w:rPr>
        <w:t> </w:t>
      </w:r>
      <w:r>
        <w:rPr>
          <w:sz w:val="20"/>
        </w:rPr>
        <w:t>consulta</w:t>
      </w:r>
      <w:r>
        <w:rPr>
          <w:position w:val="7"/>
          <w:sz w:val="13"/>
        </w:rPr>
        <w:t>56</w:t>
      </w:r>
      <w:r>
        <w:rPr>
          <w:sz w:val="20"/>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Esta institución, ha tenido una gran presencia en la jurisprudencia de la Corte IDH. Esto se ve reflejado por el hecho de que se han presentado escritos de </w:t>
      </w:r>
      <w:r>
        <w:rPr>
          <w:i/>
          <w:sz w:val="20"/>
        </w:rPr>
        <w:t>amicus </w:t>
      </w:r>
      <w:r>
        <w:rPr>
          <w:i/>
          <w:sz w:val="20"/>
        </w:rPr>
        <w:t>curiae </w:t>
      </w:r>
      <w:r>
        <w:rPr>
          <w:sz w:val="20"/>
        </w:rPr>
        <w:t>en 143 casos contenciosos y se han emitido opiniones escritas en 23 opiniones consultivas. También se han presentado en procedimientos de medidas provisionales y de</w:t>
      </w:r>
      <w:r>
        <w:rPr>
          <w:spacing w:val="-18"/>
          <w:sz w:val="20"/>
        </w:rPr>
        <w:t> </w:t>
      </w:r>
      <w:r>
        <w:rPr>
          <w:sz w:val="20"/>
        </w:rPr>
        <w:t>supervisión</w:t>
      </w:r>
      <w:r>
        <w:rPr>
          <w:spacing w:val="-17"/>
          <w:sz w:val="20"/>
        </w:rPr>
        <w:t> </w:t>
      </w:r>
      <w:r>
        <w:rPr>
          <w:sz w:val="20"/>
        </w:rPr>
        <w:t>de</w:t>
      </w:r>
      <w:r>
        <w:rPr>
          <w:spacing w:val="-18"/>
          <w:sz w:val="20"/>
        </w:rPr>
        <w:t> </w:t>
      </w:r>
      <w:r>
        <w:rPr>
          <w:sz w:val="20"/>
        </w:rPr>
        <w:t>cumplimiento</w:t>
      </w:r>
      <w:r>
        <w:rPr>
          <w:spacing w:val="-20"/>
          <w:sz w:val="20"/>
        </w:rPr>
        <w:t> </w:t>
      </w:r>
      <w:r>
        <w:rPr>
          <w:sz w:val="20"/>
        </w:rPr>
        <w:t>de</w:t>
      </w:r>
      <w:r>
        <w:rPr>
          <w:spacing w:val="-17"/>
          <w:sz w:val="20"/>
        </w:rPr>
        <w:t> </w:t>
      </w:r>
      <w:r>
        <w:rPr>
          <w:sz w:val="20"/>
        </w:rPr>
        <w:t>sentencias</w:t>
      </w:r>
      <w:r>
        <w:rPr>
          <w:i/>
          <w:sz w:val="20"/>
        </w:rPr>
        <w:t>,</w:t>
      </w:r>
      <w:r>
        <w:rPr>
          <w:i/>
          <w:spacing w:val="-18"/>
          <w:sz w:val="20"/>
        </w:rPr>
        <w:t> </w:t>
      </w:r>
      <w:r>
        <w:rPr>
          <w:sz w:val="20"/>
        </w:rPr>
        <w:t>aunque</w:t>
      </w:r>
      <w:r>
        <w:rPr>
          <w:spacing w:val="-19"/>
          <w:sz w:val="20"/>
        </w:rPr>
        <w:t> </w:t>
      </w:r>
      <w:r>
        <w:rPr>
          <w:sz w:val="20"/>
        </w:rPr>
        <w:t>en</w:t>
      </w:r>
      <w:r>
        <w:rPr>
          <w:spacing w:val="-17"/>
          <w:sz w:val="20"/>
        </w:rPr>
        <w:t> </w:t>
      </w:r>
      <w:r>
        <w:rPr>
          <w:sz w:val="20"/>
        </w:rPr>
        <w:t>menor</w:t>
      </w:r>
      <w:r>
        <w:rPr>
          <w:spacing w:val="-20"/>
          <w:sz w:val="20"/>
        </w:rPr>
        <w:t> </w:t>
      </w:r>
      <w:r>
        <w:rPr>
          <w:sz w:val="20"/>
        </w:rPr>
        <w:t>cantidad</w:t>
      </w:r>
      <w:r>
        <w:rPr>
          <w:position w:val="7"/>
          <w:sz w:val="13"/>
        </w:rPr>
        <w:t>57</w:t>
      </w:r>
      <w:r>
        <w:rPr>
          <w:sz w:val="20"/>
        </w:rPr>
        <w:t>.</w:t>
      </w:r>
      <w:r>
        <w:rPr>
          <w:spacing w:val="-18"/>
          <w:sz w:val="20"/>
        </w:rPr>
        <w:t> </w:t>
      </w:r>
      <w:r>
        <w:rPr>
          <w:sz w:val="20"/>
        </w:rPr>
        <w:t>En</w:t>
      </w:r>
      <w:r>
        <w:rPr>
          <w:spacing w:val="-18"/>
          <w:sz w:val="20"/>
        </w:rPr>
        <w:t> </w:t>
      </w:r>
      <w:r>
        <w:rPr>
          <w:sz w:val="20"/>
        </w:rPr>
        <w:t>palabras de la propia Corte IDH sobre su</w:t>
      </w:r>
      <w:r>
        <w:rPr>
          <w:spacing w:val="-9"/>
          <w:sz w:val="20"/>
        </w:rPr>
        <w:t> </w:t>
      </w:r>
      <w:r>
        <w:rPr>
          <w:sz w:val="20"/>
        </w:rPr>
        <w:t>utilidad</w:t>
      </w:r>
      <w:r>
        <w:rPr>
          <w:position w:val="7"/>
          <w:sz w:val="13"/>
        </w:rPr>
        <w:t>58</w:t>
      </w:r>
      <w:r>
        <w:rPr>
          <w:sz w:val="20"/>
        </w:rPr>
        <w:t>:</w:t>
      </w:r>
    </w:p>
    <w:p>
      <w:pPr>
        <w:pStyle w:val="BodyText"/>
        <w:rPr>
          <w:sz w:val="22"/>
        </w:rPr>
      </w:pPr>
      <w:r>
        <w:rPr/>
        <w:pict>
          <v:line style="position:absolute;mso-position-horizontal-relative:page;mso-position-vertical-relative:paragraph;z-index:5104;mso-wrap-distance-left:0;mso-wrap-distance-right:0" from="70.919998pt,15.623282pt" to="214.939998pt,15.623282pt" stroked="true" strokeweight=".600010pt" strokecolor="#000000">
            <v:stroke dashstyle="solid"/>
            <w10:wrap type="topAndBottom"/>
          </v:line>
        </w:pict>
      </w:r>
    </w:p>
    <w:p>
      <w:pPr>
        <w:tabs>
          <w:tab w:pos="826" w:val="left" w:leader="none"/>
        </w:tabs>
        <w:spacing w:before="73"/>
        <w:ind w:left="118" w:right="311" w:firstLine="0"/>
        <w:jc w:val="both"/>
        <w:rPr>
          <w:sz w:val="16"/>
        </w:rPr>
      </w:pPr>
      <w:r>
        <w:rPr>
          <w:position w:val="6"/>
          <w:sz w:val="10"/>
        </w:rPr>
        <w:t>52</w:t>
        <w:tab/>
      </w:r>
      <w:r>
        <w:rPr>
          <w:sz w:val="16"/>
        </w:rPr>
        <w:t>En</w:t>
      </w:r>
      <w:r>
        <w:rPr>
          <w:spacing w:val="35"/>
          <w:sz w:val="16"/>
        </w:rPr>
        <w:t> </w:t>
      </w:r>
      <w:r>
        <w:rPr>
          <w:sz w:val="16"/>
        </w:rPr>
        <w:t>el</w:t>
      </w:r>
      <w:r>
        <w:rPr>
          <w:spacing w:val="35"/>
          <w:sz w:val="16"/>
        </w:rPr>
        <w:t> </w:t>
      </w:r>
      <w:r>
        <w:rPr>
          <w:i/>
          <w:sz w:val="16"/>
        </w:rPr>
        <w:t>Caso</w:t>
      </w:r>
      <w:r>
        <w:rPr>
          <w:i/>
          <w:spacing w:val="36"/>
          <w:sz w:val="16"/>
        </w:rPr>
        <w:t> </w:t>
      </w:r>
      <w:r>
        <w:rPr>
          <w:i/>
          <w:sz w:val="16"/>
        </w:rPr>
        <w:t>Velásquez</w:t>
      </w:r>
      <w:r>
        <w:rPr>
          <w:i/>
          <w:spacing w:val="36"/>
          <w:sz w:val="16"/>
        </w:rPr>
        <w:t> </w:t>
      </w:r>
      <w:r>
        <w:rPr>
          <w:i/>
          <w:sz w:val="16"/>
        </w:rPr>
        <w:t>Rodríguez</w:t>
      </w:r>
      <w:r>
        <w:rPr>
          <w:i/>
          <w:spacing w:val="35"/>
          <w:sz w:val="16"/>
        </w:rPr>
        <w:t> </w:t>
      </w:r>
      <w:r>
        <w:rPr>
          <w:i/>
          <w:sz w:val="16"/>
        </w:rPr>
        <w:t>Vs.</w:t>
      </w:r>
      <w:r>
        <w:rPr>
          <w:i/>
          <w:spacing w:val="37"/>
          <w:sz w:val="16"/>
        </w:rPr>
        <w:t> </w:t>
      </w:r>
      <w:r>
        <w:rPr>
          <w:i/>
          <w:sz w:val="16"/>
        </w:rPr>
        <w:t>Honduras</w:t>
      </w:r>
      <w:r>
        <w:rPr>
          <w:i/>
          <w:spacing w:val="37"/>
          <w:sz w:val="16"/>
        </w:rPr>
        <w:t> </w:t>
      </w:r>
      <w:r>
        <w:rPr>
          <w:sz w:val="16"/>
        </w:rPr>
        <w:t>(</w:t>
      </w:r>
      <w:r>
        <w:rPr>
          <w:i/>
          <w:sz w:val="16"/>
        </w:rPr>
        <w:t>Fondo</w:t>
      </w:r>
      <w:r>
        <w:rPr>
          <w:sz w:val="16"/>
        </w:rPr>
        <w:t>.</w:t>
      </w:r>
      <w:r>
        <w:rPr>
          <w:spacing w:val="37"/>
          <w:sz w:val="16"/>
        </w:rPr>
        <w:t> </w:t>
      </w:r>
      <w:r>
        <w:rPr>
          <w:sz w:val="16"/>
        </w:rPr>
        <w:t>Sentencia</w:t>
      </w:r>
      <w:r>
        <w:rPr>
          <w:spacing w:val="37"/>
          <w:sz w:val="16"/>
        </w:rPr>
        <w:t> </w:t>
      </w:r>
      <w:r>
        <w:rPr>
          <w:sz w:val="16"/>
        </w:rPr>
        <w:t>de</w:t>
      </w:r>
      <w:r>
        <w:rPr>
          <w:spacing w:val="37"/>
          <w:sz w:val="16"/>
        </w:rPr>
        <w:t> </w:t>
      </w:r>
      <w:r>
        <w:rPr>
          <w:sz w:val="16"/>
        </w:rPr>
        <w:t>29</w:t>
      </w:r>
      <w:r>
        <w:rPr>
          <w:spacing w:val="36"/>
          <w:sz w:val="16"/>
        </w:rPr>
        <w:t> </w:t>
      </w:r>
      <w:r>
        <w:rPr>
          <w:sz w:val="16"/>
        </w:rPr>
        <w:t>de</w:t>
      </w:r>
      <w:r>
        <w:rPr>
          <w:spacing w:val="36"/>
          <w:sz w:val="16"/>
        </w:rPr>
        <w:t> </w:t>
      </w:r>
      <w:r>
        <w:rPr>
          <w:sz w:val="16"/>
        </w:rPr>
        <w:t>julio</w:t>
      </w:r>
      <w:r>
        <w:rPr>
          <w:spacing w:val="36"/>
          <w:sz w:val="16"/>
        </w:rPr>
        <w:t> </w:t>
      </w:r>
      <w:r>
        <w:rPr>
          <w:sz w:val="16"/>
        </w:rPr>
        <w:t>de</w:t>
      </w:r>
      <w:r>
        <w:rPr>
          <w:spacing w:val="37"/>
          <w:sz w:val="16"/>
        </w:rPr>
        <w:t> </w:t>
      </w:r>
      <w:r>
        <w:rPr>
          <w:sz w:val="16"/>
        </w:rPr>
        <w:t>1988),</w:t>
      </w:r>
      <w:r>
        <w:rPr>
          <w:spacing w:val="38"/>
          <w:sz w:val="16"/>
        </w:rPr>
        <w:t> </w:t>
      </w:r>
      <w:r>
        <w:rPr>
          <w:sz w:val="16"/>
        </w:rPr>
        <w:t>las</w:t>
      </w:r>
      <w:r>
        <w:rPr>
          <w:w w:val="99"/>
          <w:sz w:val="16"/>
        </w:rPr>
        <w:t> </w:t>
      </w:r>
      <w:r>
        <w:rPr>
          <w:sz w:val="16"/>
        </w:rPr>
        <w:t>siguientes organizaciones no gubernamentales presentaron escritos en calidad de </w:t>
      </w:r>
      <w:r>
        <w:rPr>
          <w:i/>
          <w:sz w:val="16"/>
        </w:rPr>
        <w:t>amicus curiae</w:t>
      </w:r>
      <w:r>
        <w:rPr>
          <w:sz w:val="16"/>
        </w:rPr>
        <w:t>: Amnesty International, Association of the Bar of the City of New York, Lawyers Committee for Human Rights y Minnesota Lawyers International Human Rights</w:t>
      </w:r>
      <w:r>
        <w:rPr>
          <w:spacing w:val="-20"/>
          <w:sz w:val="16"/>
        </w:rPr>
        <w:t> </w:t>
      </w:r>
      <w:r>
        <w:rPr>
          <w:sz w:val="16"/>
        </w:rPr>
        <w:t>Committee.</w:t>
      </w:r>
    </w:p>
    <w:p>
      <w:pPr>
        <w:tabs>
          <w:tab w:pos="826" w:val="left" w:leader="none"/>
        </w:tabs>
        <w:spacing w:before="120"/>
        <w:ind w:left="118" w:right="312" w:firstLine="0"/>
        <w:jc w:val="both"/>
        <w:rPr>
          <w:sz w:val="16"/>
        </w:rPr>
      </w:pPr>
      <w:r>
        <w:rPr>
          <w:position w:val="6"/>
          <w:sz w:val="10"/>
        </w:rPr>
        <w:t>53</w:t>
        <w:tab/>
      </w:r>
      <w:r>
        <w:rPr>
          <w:sz w:val="16"/>
        </w:rPr>
        <w:t>Reglamento de la Corte Interamericana de Derechos Humanos, aprobado por la Corte   </w:t>
      </w:r>
      <w:r>
        <w:rPr>
          <w:spacing w:val="14"/>
          <w:sz w:val="16"/>
        </w:rPr>
        <w:t> </w:t>
      </w:r>
      <w:r>
        <w:rPr>
          <w:sz w:val="16"/>
        </w:rPr>
        <w:t>en su</w:t>
      </w:r>
      <w:r>
        <w:rPr>
          <w:spacing w:val="14"/>
          <w:sz w:val="16"/>
        </w:rPr>
        <w:t> </w:t>
      </w:r>
      <w:r>
        <w:rPr>
          <w:sz w:val="16"/>
        </w:rPr>
        <w:t>XLIX</w:t>
      </w:r>
      <w:r>
        <w:rPr>
          <w:w w:val="99"/>
          <w:sz w:val="16"/>
        </w:rPr>
        <w:t> </w:t>
      </w:r>
      <w:r>
        <w:rPr>
          <w:sz w:val="16"/>
        </w:rPr>
        <w:t>Período Ordinario de Sesiones celebrado del 16 al 25 de noviembre de 2001 y reformado parcialmente por</w:t>
      </w:r>
      <w:r>
        <w:rPr>
          <w:spacing w:val="-28"/>
          <w:sz w:val="16"/>
        </w:rPr>
        <w:t> </w:t>
      </w:r>
      <w:r>
        <w:rPr>
          <w:sz w:val="16"/>
        </w:rPr>
        <w:t>la Corte en su LXXXII Período Ordinario de Sesiones, celebrado del 19 al 31 de enero de</w:t>
      </w:r>
      <w:r>
        <w:rPr>
          <w:spacing w:val="-25"/>
          <w:sz w:val="16"/>
        </w:rPr>
        <w:t> </w:t>
      </w:r>
      <w:r>
        <w:rPr>
          <w:sz w:val="16"/>
        </w:rPr>
        <w:t>2009.</w:t>
      </w:r>
    </w:p>
    <w:p>
      <w:pPr>
        <w:tabs>
          <w:tab w:pos="826" w:val="left" w:leader="none"/>
        </w:tabs>
        <w:spacing w:before="120"/>
        <w:ind w:left="118" w:right="0" w:firstLine="0"/>
        <w:jc w:val="both"/>
        <w:rPr>
          <w:sz w:val="16"/>
        </w:rPr>
      </w:pPr>
      <w:r>
        <w:rPr>
          <w:position w:val="6"/>
          <w:sz w:val="10"/>
        </w:rPr>
        <w:t>54</w:t>
        <w:tab/>
      </w:r>
      <w:r>
        <w:rPr>
          <w:sz w:val="16"/>
        </w:rPr>
        <w:t>Reglamento Vigente de la Corte Interamericana, artículo 2, numeral</w:t>
      </w:r>
      <w:r>
        <w:rPr>
          <w:spacing w:val="-20"/>
          <w:sz w:val="16"/>
        </w:rPr>
        <w:t> </w:t>
      </w:r>
      <w:r>
        <w:rPr>
          <w:sz w:val="16"/>
        </w:rPr>
        <w:t>3.</w:t>
      </w:r>
    </w:p>
    <w:p>
      <w:pPr>
        <w:tabs>
          <w:tab w:pos="826" w:val="left" w:leader="none"/>
        </w:tabs>
        <w:spacing w:before="120"/>
        <w:ind w:left="118" w:right="0" w:firstLine="0"/>
        <w:jc w:val="both"/>
        <w:rPr>
          <w:sz w:val="16"/>
        </w:rPr>
      </w:pPr>
      <w:r>
        <w:rPr>
          <w:position w:val="6"/>
          <w:sz w:val="10"/>
        </w:rPr>
        <w:t>55</w:t>
        <w:tab/>
      </w:r>
      <w:r>
        <w:rPr>
          <w:sz w:val="16"/>
        </w:rPr>
        <w:t>Artículo 44 del Reglamento de la Corte</w:t>
      </w:r>
      <w:r>
        <w:rPr>
          <w:spacing w:val="-16"/>
          <w:sz w:val="16"/>
        </w:rPr>
        <w:t> </w:t>
      </w:r>
      <w:r>
        <w:rPr>
          <w:sz w:val="16"/>
        </w:rPr>
        <w:t>Interamericana.</w:t>
      </w:r>
    </w:p>
    <w:p>
      <w:pPr>
        <w:tabs>
          <w:tab w:pos="826" w:val="left" w:leader="none"/>
        </w:tabs>
        <w:spacing w:before="121"/>
        <w:ind w:left="118" w:right="0" w:firstLine="0"/>
        <w:jc w:val="both"/>
        <w:rPr>
          <w:sz w:val="16"/>
        </w:rPr>
      </w:pPr>
      <w:r>
        <w:rPr>
          <w:position w:val="6"/>
          <w:sz w:val="10"/>
        </w:rPr>
        <w:t>56</w:t>
        <w:tab/>
      </w:r>
      <w:r>
        <w:rPr>
          <w:sz w:val="16"/>
        </w:rPr>
        <w:t>Artículo 73.3 del Reglamento de la Corte</w:t>
      </w:r>
      <w:r>
        <w:rPr>
          <w:spacing w:val="-15"/>
          <w:sz w:val="16"/>
        </w:rPr>
        <w:t> </w:t>
      </w:r>
      <w:r>
        <w:rPr>
          <w:sz w:val="16"/>
        </w:rPr>
        <w:t>Interamericana.</w:t>
      </w:r>
    </w:p>
    <w:p>
      <w:pPr>
        <w:tabs>
          <w:tab w:pos="826" w:val="left" w:leader="none"/>
        </w:tabs>
        <w:spacing w:before="120"/>
        <w:ind w:left="118" w:right="311" w:firstLine="0"/>
        <w:jc w:val="both"/>
        <w:rPr>
          <w:sz w:val="16"/>
        </w:rPr>
      </w:pPr>
      <w:r>
        <w:rPr>
          <w:position w:val="6"/>
          <w:sz w:val="10"/>
        </w:rPr>
        <w:t>57</w:t>
        <w:tab/>
      </w:r>
      <w:r>
        <w:rPr>
          <w:sz w:val="16"/>
        </w:rPr>
        <w:t>Por  ejemplo,  </w:t>
      </w:r>
      <w:r>
        <w:rPr>
          <w:i/>
          <w:sz w:val="16"/>
        </w:rPr>
        <w:t>Caso  Durand  y  Ugarte  Vs.  Perú.  Medidas  Provisionales</w:t>
      </w:r>
      <w:r>
        <w:rPr>
          <w:sz w:val="16"/>
        </w:rPr>
        <w:t>.  Resolución  de</w:t>
      </w:r>
      <w:r>
        <w:rPr>
          <w:spacing w:val="27"/>
          <w:sz w:val="16"/>
        </w:rPr>
        <w:t> </w:t>
      </w:r>
      <w:r>
        <w:rPr>
          <w:sz w:val="16"/>
        </w:rPr>
        <w:t>la</w:t>
      </w:r>
      <w:r>
        <w:rPr>
          <w:spacing w:val="54"/>
          <w:sz w:val="16"/>
        </w:rPr>
        <w:t> </w:t>
      </w:r>
      <w:r>
        <w:rPr>
          <w:sz w:val="16"/>
        </w:rPr>
        <w:t>Corte</w:t>
      </w:r>
      <w:r>
        <w:rPr>
          <w:w w:val="99"/>
          <w:sz w:val="16"/>
        </w:rPr>
        <w:t> </w:t>
      </w:r>
      <w:r>
        <w:rPr>
          <w:sz w:val="16"/>
        </w:rPr>
        <w:t>Interamericana de Derechos Humanos de 8 de febrero de 2018, párr. 10; </w:t>
      </w:r>
      <w:r>
        <w:rPr>
          <w:i/>
          <w:sz w:val="16"/>
        </w:rPr>
        <w:t>Caso Barrios Altos Vs. Perú. </w:t>
      </w:r>
      <w:r>
        <w:rPr>
          <w:i/>
          <w:sz w:val="16"/>
        </w:rPr>
        <w:t>Supervisión de Cumplimiento de Sentencia</w:t>
      </w:r>
      <w:r>
        <w:rPr>
          <w:sz w:val="16"/>
        </w:rPr>
        <w:t>. Resolución de la Corte Interamericana de Derechos Humanos</w:t>
      </w:r>
      <w:r>
        <w:rPr>
          <w:spacing w:val="-11"/>
          <w:sz w:val="16"/>
        </w:rPr>
        <w:t> </w:t>
      </w:r>
      <w:r>
        <w:rPr>
          <w:sz w:val="16"/>
        </w:rPr>
        <w:t>de</w:t>
      </w:r>
    </w:p>
    <w:p>
      <w:pPr>
        <w:spacing w:before="0"/>
        <w:ind w:left="118" w:right="311" w:firstLine="0"/>
        <w:jc w:val="both"/>
        <w:rPr>
          <w:sz w:val="16"/>
        </w:rPr>
      </w:pPr>
      <w:r>
        <w:rPr>
          <w:sz w:val="16"/>
        </w:rPr>
        <w:t>7 de septiembre de 2012, párr. 9; y </w:t>
      </w:r>
      <w:r>
        <w:rPr>
          <w:i/>
          <w:sz w:val="16"/>
        </w:rPr>
        <w:t>Caso Barrios Altos y Caso La Cantuta Vs. Perú. Supervisión de </w:t>
      </w:r>
      <w:r>
        <w:rPr>
          <w:i/>
          <w:sz w:val="16"/>
        </w:rPr>
        <w:t>Cumplimiento de Sentencia. </w:t>
      </w:r>
      <w:r>
        <w:rPr>
          <w:sz w:val="16"/>
        </w:rPr>
        <w:t>Resolución de la Corte Interamericana de Derechos Humanos de 30 de mayo de 2018, párr. 15.</w:t>
      </w:r>
    </w:p>
    <w:p>
      <w:pPr>
        <w:tabs>
          <w:tab w:pos="826" w:val="left" w:leader="none"/>
        </w:tabs>
        <w:spacing w:before="120"/>
        <w:ind w:left="118" w:right="310" w:firstLine="0"/>
        <w:jc w:val="both"/>
        <w:rPr>
          <w:sz w:val="16"/>
        </w:rPr>
      </w:pPr>
      <w:r>
        <w:rPr>
          <w:rFonts w:ascii="Times New Roman" w:hAnsi="Times New Roman"/>
          <w:position w:val="6"/>
          <w:sz w:val="10"/>
        </w:rPr>
        <w:t>58</w:t>
        <w:tab/>
      </w:r>
      <w:r>
        <w:rPr>
          <w:i/>
          <w:sz w:val="16"/>
        </w:rPr>
        <w:t>Cfr.</w:t>
      </w:r>
      <w:r>
        <w:rPr>
          <w:i/>
          <w:spacing w:val="-8"/>
          <w:sz w:val="16"/>
        </w:rPr>
        <w:t> </w:t>
      </w:r>
      <w:r>
        <w:rPr>
          <w:i/>
          <w:sz w:val="16"/>
        </w:rPr>
        <w:t>Artículo</w:t>
      </w:r>
      <w:r>
        <w:rPr>
          <w:i/>
          <w:spacing w:val="-8"/>
          <w:sz w:val="16"/>
        </w:rPr>
        <w:t> </w:t>
      </w:r>
      <w:r>
        <w:rPr>
          <w:i/>
          <w:sz w:val="16"/>
        </w:rPr>
        <w:t>55</w:t>
      </w:r>
      <w:r>
        <w:rPr>
          <w:i/>
          <w:spacing w:val="-8"/>
          <w:sz w:val="16"/>
        </w:rPr>
        <w:t> </w:t>
      </w:r>
      <w:r>
        <w:rPr>
          <w:i/>
          <w:sz w:val="16"/>
        </w:rPr>
        <w:t>de</w:t>
      </w:r>
      <w:r>
        <w:rPr>
          <w:i/>
          <w:spacing w:val="-8"/>
          <w:sz w:val="16"/>
        </w:rPr>
        <w:t> </w:t>
      </w:r>
      <w:r>
        <w:rPr>
          <w:i/>
          <w:sz w:val="16"/>
        </w:rPr>
        <w:t>la</w:t>
      </w:r>
      <w:r>
        <w:rPr>
          <w:i/>
          <w:spacing w:val="-8"/>
          <w:sz w:val="16"/>
        </w:rPr>
        <w:t> </w:t>
      </w:r>
      <w:r>
        <w:rPr>
          <w:i/>
          <w:sz w:val="16"/>
        </w:rPr>
        <w:t>Convención</w:t>
      </w:r>
      <w:r>
        <w:rPr>
          <w:i/>
          <w:spacing w:val="-8"/>
          <w:sz w:val="16"/>
        </w:rPr>
        <w:t> </w:t>
      </w:r>
      <w:r>
        <w:rPr>
          <w:i/>
          <w:sz w:val="16"/>
        </w:rPr>
        <w:t>Americana</w:t>
      </w:r>
      <w:r>
        <w:rPr>
          <w:i/>
          <w:spacing w:val="-7"/>
          <w:sz w:val="16"/>
        </w:rPr>
        <w:t> </w:t>
      </w:r>
      <w:r>
        <w:rPr>
          <w:i/>
          <w:sz w:val="16"/>
        </w:rPr>
        <w:t>sobre</w:t>
      </w:r>
      <w:r>
        <w:rPr>
          <w:i/>
          <w:spacing w:val="-8"/>
          <w:sz w:val="16"/>
        </w:rPr>
        <w:t> </w:t>
      </w:r>
      <w:r>
        <w:rPr>
          <w:i/>
          <w:sz w:val="16"/>
        </w:rPr>
        <w:t>Derechos</w:t>
      </w:r>
      <w:r>
        <w:rPr>
          <w:i/>
          <w:spacing w:val="-8"/>
          <w:sz w:val="16"/>
        </w:rPr>
        <w:t> </w:t>
      </w:r>
      <w:r>
        <w:rPr>
          <w:i/>
          <w:sz w:val="16"/>
        </w:rPr>
        <w:t>Humanos.</w:t>
      </w:r>
      <w:r>
        <w:rPr>
          <w:i/>
          <w:spacing w:val="-6"/>
          <w:sz w:val="16"/>
        </w:rPr>
        <w:t> </w:t>
      </w:r>
      <w:r>
        <w:rPr>
          <w:sz w:val="16"/>
        </w:rPr>
        <w:t>Opinión</w:t>
      </w:r>
      <w:r>
        <w:rPr>
          <w:spacing w:val="-7"/>
          <w:sz w:val="16"/>
        </w:rPr>
        <w:t> </w:t>
      </w:r>
      <w:r>
        <w:rPr>
          <w:sz w:val="16"/>
        </w:rPr>
        <w:t>Consultiva</w:t>
      </w:r>
      <w:r>
        <w:rPr>
          <w:spacing w:val="-8"/>
          <w:sz w:val="16"/>
        </w:rPr>
        <w:t> </w:t>
      </w:r>
      <w:r>
        <w:rPr>
          <w:sz w:val="16"/>
        </w:rPr>
        <w:t>OC-20/09</w:t>
      </w:r>
      <w:r>
        <w:rPr>
          <w:w w:val="99"/>
          <w:sz w:val="16"/>
        </w:rPr>
        <w:t> </w:t>
      </w:r>
      <w:r>
        <w:rPr>
          <w:sz w:val="16"/>
        </w:rPr>
        <w:t>de 29 de septiembre de 2009. Serie A No. 20, párr. 60. Adicionalmente, en los casos </w:t>
      </w:r>
      <w:r>
        <w:rPr>
          <w:i/>
          <w:sz w:val="16"/>
        </w:rPr>
        <w:t>Kimel Vs. Argentina, </w:t>
      </w:r>
      <w:r>
        <w:rPr>
          <w:sz w:val="16"/>
        </w:rPr>
        <w:t>y </w:t>
      </w:r>
      <w:r>
        <w:rPr>
          <w:i/>
          <w:sz w:val="16"/>
        </w:rPr>
        <w:t>Castañeda Gutman Vs. México</w:t>
      </w:r>
      <w:r>
        <w:rPr>
          <w:sz w:val="16"/>
        </w:rPr>
        <w:t>, la Corte IDH indicó que dichos escritos “[…] son presentaciones de terceros ajenos a la disputa que aportan a la Corte argumentos u opiniones que pueden servir como elementos de juicio</w:t>
      </w:r>
      <w:r>
        <w:rPr>
          <w:spacing w:val="-9"/>
          <w:sz w:val="16"/>
        </w:rPr>
        <w:t> </w:t>
      </w:r>
      <w:r>
        <w:rPr>
          <w:sz w:val="16"/>
        </w:rPr>
        <w:t>relativos</w:t>
      </w:r>
      <w:r>
        <w:rPr>
          <w:spacing w:val="-6"/>
          <w:sz w:val="16"/>
        </w:rPr>
        <w:t> </w:t>
      </w:r>
      <w:r>
        <w:rPr>
          <w:sz w:val="16"/>
        </w:rPr>
        <w:t>a</w:t>
      </w:r>
      <w:r>
        <w:rPr>
          <w:spacing w:val="-9"/>
          <w:sz w:val="16"/>
        </w:rPr>
        <w:t> </w:t>
      </w:r>
      <w:r>
        <w:rPr>
          <w:sz w:val="16"/>
        </w:rPr>
        <w:t>aspectos</w:t>
      </w:r>
      <w:r>
        <w:rPr>
          <w:spacing w:val="-10"/>
          <w:sz w:val="16"/>
        </w:rPr>
        <w:t> </w:t>
      </w:r>
      <w:r>
        <w:rPr>
          <w:sz w:val="16"/>
        </w:rPr>
        <w:t>de</w:t>
      </w:r>
      <w:r>
        <w:rPr>
          <w:spacing w:val="-8"/>
          <w:sz w:val="16"/>
        </w:rPr>
        <w:t> </w:t>
      </w:r>
      <w:r>
        <w:rPr>
          <w:sz w:val="16"/>
        </w:rPr>
        <w:t>derecho</w:t>
      </w:r>
      <w:r>
        <w:rPr>
          <w:spacing w:val="-9"/>
          <w:sz w:val="16"/>
        </w:rPr>
        <w:t> </w:t>
      </w:r>
      <w:r>
        <w:rPr>
          <w:sz w:val="16"/>
        </w:rPr>
        <w:t>que</w:t>
      </w:r>
      <w:r>
        <w:rPr>
          <w:spacing w:val="-10"/>
          <w:sz w:val="16"/>
        </w:rPr>
        <w:t> </w:t>
      </w:r>
      <w:r>
        <w:rPr>
          <w:sz w:val="16"/>
        </w:rPr>
        <w:t>se</w:t>
      </w:r>
      <w:r>
        <w:rPr>
          <w:spacing w:val="-9"/>
          <w:sz w:val="16"/>
        </w:rPr>
        <w:t> </w:t>
      </w:r>
      <w:r>
        <w:rPr>
          <w:sz w:val="16"/>
        </w:rPr>
        <w:t>ventilan</w:t>
      </w:r>
      <w:r>
        <w:rPr>
          <w:spacing w:val="-9"/>
          <w:sz w:val="16"/>
        </w:rPr>
        <w:t> </w:t>
      </w:r>
      <w:r>
        <w:rPr>
          <w:sz w:val="16"/>
        </w:rPr>
        <w:t>ante</w:t>
      </w:r>
      <w:r>
        <w:rPr>
          <w:spacing w:val="-10"/>
          <w:sz w:val="16"/>
        </w:rPr>
        <w:t> </w:t>
      </w:r>
      <w:r>
        <w:rPr>
          <w:sz w:val="16"/>
        </w:rPr>
        <w:t>la</w:t>
      </w:r>
      <w:r>
        <w:rPr>
          <w:spacing w:val="-9"/>
          <w:sz w:val="16"/>
        </w:rPr>
        <w:t> </w:t>
      </w:r>
      <w:r>
        <w:rPr>
          <w:sz w:val="16"/>
        </w:rPr>
        <w:t>misma.</w:t>
      </w:r>
      <w:r>
        <w:rPr>
          <w:spacing w:val="-9"/>
          <w:sz w:val="16"/>
        </w:rPr>
        <w:t> </w:t>
      </w:r>
      <w:r>
        <w:rPr>
          <w:sz w:val="16"/>
        </w:rPr>
        <w:t>En</w:t>
      </w:r>
      <w:r>
        <w:rPr>
          <w:spacing w:val="-9"/>
          <w:sz w:val="16"/>
        </w:rPr>
        <w:t> </w:t>
      </w:r>
      <w:r>
        <w:rPr>
          <w:sz w:val="16"/>
        </w:rPr>
        <w:t>este</w:t>
      </w:r>
      <w:r>
        <w:rPr>
          <w:spacing w:val="-9"/>
          <w:sz w:val="16"/>
        </w:rPr>
        <w:t> </w:t>
      </w:r>
      <w:r>
        <w:rPr>
          <w:sz w:val="16"/>
        </w:rPr>
        <w:t>sentido,</w:t>
      </w:r>
      <w:r>
        <w:rPr>
          <w:spacing w:val="-8"/>
          <w:sz w:val="16"/>
        </w:rPr>
        <w:t> </w:t>
      </w:r>
      <w:r>
        <w:rPr>
          <w:sz w:val="16"/>
        </w:rPr>
        <w:t>pueden</w:t>
      </w:r>
      <w:r>
        <w:rPr>
          <w:spacing w:val="-10"/>
          <w:sz w:val="16"/>
        </w:rPr>
        <w:t> </w:t>
      </w:r>
      <w:r>
        <w:rPr>
          <w:sz w:val="16"/>
        </w:rPr>
        <w:t>ser</w:t>
      </w:r>
      <w:r>
        <w:rPr>
          <w:spacing w:val="-10"/>
          <w:sz w:val="16"/>
        </w:rPr>
        <w:t> </w:t>
      </w:r>
      <w:r>
        <w:rPr>
          <w:sz w:val="16"/>
        </w:rPr>
        <w:t>presentados en cualquier momento antes de la deliberación de la sentencia correspondiente. Además, conforme a la práctica</w:t>
      </w:r>
      <w:r>
        <w:rPr>
          <w:spacing w:val="-8"/>
          <w:sz w:val="16"/>
        </w:rPr>
        <w:t> </w:t>
      </w:r>
      <w:r>
        <w:rPr>
          <w:sz w:val="16"/>
        </w:rPr>
        <w:t>de</w:t>
      </w:r>
      <w:r>
        <w:rPr>
          <w:spacing w:val="-6"/>
          <w:sz w:val="16"/>
        </w:rPr>
        <w:t> </w:t>
      </w:r>
      <w:r>
        <w:rPr>
          <w:sz w:val="16"/>
        </w:rPr>
        <w:t>esta</w:t>
      </w:r>
      <w:r>
        <w:rPr>
          <w:spacing w:val="-7"/>
          <w:sz w:val="16"/>
        </w:rPr>
        <w:t> </w:t>
      </w:r>
      <w:r>
        <w:rPr>
          <w:sz w:val="16"/>
        </w:rPr>
        <w:t>Corte,</w:t>
      </w:r>
      <w:r>
        <w:rPr>
          <w:spacing w:val="-6"/>
          <w:sz w:val="16"/>
        </w:rPr>
        <w:t> </w:t>
      </w:r>
      <w:r>
        <w:rPr>
          <w:sz w:val="16"/>
        </w:rPr>
        <w:t>los</w:t>
      </w:r>
      <w:r>
        <w:rPr>
          <w:spacing w:val="-6"/>
          <w:sz w:val="16"/>
        </w:rPr>
        <w:t> </w:t>
      </w:r>
      <w:r>
        <w:rPr>
          <w:i/>
          <w:sz w:val="16"/>
        </w:rPr>
        <w:t>amici</w:t>
      </w:r>
      <w:r>
        <w:rPr>
          <w:i/>
          <w:spacing w:val="-7"/>
          <w:sz w:val="16"/>
        </w:rPr>
        <w:t> </w:t>
      </w:r>
      <w:r>
        <w:rPr>
          <w:i/>
          <w:sz w:val="16"/>
        </w:rPr>
        <w:t>curiai</w:t>
      </w:r>
      <w:r>
        <w:rPr>
          <w:i/>
          <w:spacing w:val="-6"/>
          <w:sz w:val="16"/>
        </w:rPr>
        <w:t> </w:t>
      </w:r>
      <w:r>
        <w:rPr>
          <w:sz w:val="16"/>
        </w:rPr>
        <w:t>pueden</w:t>
      </w:r>
      <w:r>
        <w:rPr>
          <w:spacing w:val="-7"/>
          <w:sz w:val="16"/>
        </w:rPr>
        <w:t> </w:t>
      </w:r>
      <w:r>
        <w:rPr>
          <w:sz w:val="16"/>
        </w:rPr>
        <w:t>incluso</w:t>
      </w:r>
      <w:r>
        <w:rPr>
          <w:spacing w:val="-7"/>
          <w:sz w:val="16"/>
        </w:rPr>
        <w:t> </w:t>
      </w:r>
      <w:r>
        <w:rPr>
          <w:sz w:val="16"/>
        </w:rPr>
        <w:t>referirse</w:t>
      </w:r>
      <w:r>
        <w:rPr>
          <w:spacing w:val="-8"/>
          <w:sz w:val="16"/>
        </w:rPr>
        <w:t> </w:t>
      </w:r>
      <w:r>
        <w:rPr>
          <w:sz w:val="16"/>
        </w:rPr>
        <w:t>a</w:t>
      </w:r>
      <w:r>
        <w:rPr>
          <w:spacing w:val="-7"/>
          <w:sz w:val="16"/>
        </w:rPr>
        <w:t> </w:t>
      </w:r>
      <w:r>
        <w:rPr>
          <w:sz w:val="16"/>
        </w:rPr>
        <w:t>cuestiones</w:t>
      </w:r>
      <w:r>
        <w:rPr>
          <w:spacing w:val="-7"/>
          <w:sz w:val="16"/>
        </w:rPr>
        <w:t> </w:t>
      </w:r>
      <w:r>
        <w:rPr>
          <w:sz w:val="16"/>
        </w:rPr>
        <w:t>relacionadas</w:t>
      </w:r>
      <w:r>
        <w:rPr>
          <w:spacing w:val="-6"/>
          <w:sz w:val="16"/>
        </w:rPr>
        <w:t> </w:t>
      </w:r>
      <w:r>
        <w:rPr>
          <w:sz w:val="16"/>
        </w:rPr>
        <w:t>con</w:t>
      </w:r>
      <w:r>
        <w:rPr>
          <w:spacing w:val="-7"/>
          <w:sz w:val="16"/>
        </w:rPr>
        <w:t> </w:t>
      </w:r>
      <w:r>
        <w:rPr>
          <w:sz w:val="16"/>
        </w:rPr>
        <w:t>el</w:t>
      </w:r>
      <w:r>
        <w:rPr>
          <w:spacing w:val="-8"/>
          <w:sz w:val="16"/>
        </w:rPr>
        <w:t> </w:t>
      </w:r>
      <w:r>
        <w:rPr>
          <w:sz w:val="16"/>
        </w:rPr>
        <w:t>cumplimiento mismo de la sentencia . Por otra parte, la Corte resalta que los asuntos que son de su conocimiento poseen una trascendencia o interés general que justifica la mayor deliberación posible de argumentos públicamente ponderados, razón por la cual los </w:t>
      </w:r>
      <w:r>
        <w:rPr>
          <w:i/>
          <w:sz w:val="16"/>
        </w:rPr>
        <w:t>amici curiai </w:t>
      </w:r>
      <w:r>
        <w:rPr>
          <w:sz w:val="16"/>
        </w:rPr>
        <w:t>tienen un importante valor para el fortalecimiento del Sistema Interamericano de Derechos Humanos, a través de reflexiones aportadas por miembros de la sociedad, que contribuyen al debate y amplían los elementos de juicio con que cuenta la Corte”. </w:t>
      </w:r>
      <w:r>
        <w:rPr>
          <w:i/>
          <w:sz w:val="16"/>
        </w:rPr>
        <w:t>Cfr. Caso Kimel Vs. </w:t>
      </w:r>
      <w:r>
        <w:rPr>
          <w:i/>
          <w:sz w:val="16"/>
        </w:rPr>
        <w:t>Argentina.</w:t>
      </w:r>
      <w:r>
        <w:rPr>
          <w:i/>
          <w:spacing w:val="-9"/>
          <w:sz w:val="16"/>
        </w:rPr>
        <w:t> </w:t>
      </w:r>
      <w:r>
        <w:rPr>
          <w:i/>
          <w:sz w:val="16"/>
        </w:rPr>
        <w:t>Fondo,</w:t>
      </w:r>
      <w:r>
        <w:rPr>
          <w:i/>
          <w:spacing w:val="-9"/>
          <w:sz w:val="16"/>
        </w:rPr>
        <w:t> </w:t>
      </w:r>
      <w:r>
        <w:rPr>
          <w:i/>
          <w:sz w:val="16"/>
        </w:rPr>
        <w:t>Reparaciones</w:t>
      </w:r>
      <w:r>
        <w:rPr>
          <w:i/>
          <w:spacing w:val="-9"/>
          <w:sz w:val="16"/>
        </w:rPr>
        <w:t> </w:t>
      </w:r>
      <w:r>
        <w:rPr>
          <w:i/>
          <w:sz w:val="16"/>
        </w:rPr>
        <w:t>y</w:t>
      </w:r>
      <w:r>
        <w:rPr>
          <w:i/>
          <w:spacing w:val="-8"/>
          <w:sz w:val="16"/>
        </w:rPr>
        <w:t> </w:t>
      </w:r>
      <w:r>
        <w:rPr>
          <w:i/>
          <w:sz w:val="16"/>
        </w:rPr>
        <w:t>Costas.</w:t>
      </w:r>
      <w:r>
        <w:rPr>
          <w:i/>
          <w:spacing w:val="-7"/>
          <w:sz w:val="16"/>
        </w:rPr>
        <w:t> </w:t>
      </w:r>
      <w:r>
        <w:rPr>
          <w:sz w:val="16"/>
        </w:rPr>
        <w:t>Sentencia</w:t>
      </w:r>
      <w:r>
        <w:rPr>
          <w:spacing w:val="-8"/>
          <w:sz w:val="16"/>
        </w:rPr>
        <w:t> </w:t>
      </w:r>
      <w:r>
        <w:rPr>
          <w:sz w:val="16"/>
        </w:rPr>
        <w:t>de</w:t>
      </w:r>
      <w:r>
        <w:rPr>
          <w:spacing w:val="-8"/>
          <w:sz w:val="16"/>
        </w:rPr>
        <w:t> </w:t>
      </w:r>
      <w:r>
        <w:rPr>
          <w:sz w:val="16"/>
        </w:rPr>
        <w:t>2</w:t>
      </w:r>
      <w:r>
        <w:rPr>
          <w:spacing w:val="-8"/>
          <w:sz w:val="16"/>
        </w:rPr>
        <w:t> </w:t>
      </w:r>
      <w:r>
        <w:rPr>
          <w:sz w:val="16"/>
        </w:rPr>
        <w:t>de</w:t>
      </w:r>
      <w:r>
        <w:rPr>
          <w:spacing w:val="-7"/>
          <w:sz w:val="16"/>
        </w:rPr>
        <w:t> </w:t>
      </w:r>
      <w:r>
        <w:rPr>
          <w:sz w:val="16"/>
        </w:rPr>
        <w:t>mayo</w:t>
      </w:r>
      <w:r>
        <w:rPr>
          <w:spacing w:val="-8"/>
          <w:sz w:val="16"/>
        </w:rPr>
        <w:t> </w:t>
      </w:r>
      <w:r>
        <w:rPr>
          <w:sz w:val="16"/>
        </w:rPr>
        <w:t>de</w:t>
      </w:r>
      <w:r>
        <w:rPr>
          <w:spacing w:val="-8"/>
          <w:sz w:val="16"/>
        </w:rPr>
        <w:t> </w:t>
      </w:r>
      <w:r>
        <w:rPr>
          <w:sz w:val="16"/>
        </w:rPr>
        <w:t>2008.</w:t>
      </w:r>
      <w:r>
        <w:rPr>
          <w:spacing w:val="-9"/>
          <w:sz w:val="16"/>
        </w:rPr>
        <w:t> </w:t>
      </w:r>
      <w:r>
        <w:rPr>
          <w:sz w:val="16"/>
        </w:rPr>
        <w:t>Serie</w:t>
      </w:r>
      <w:r>
        <w:rPr>
          <w:spacing w:val="-9"/>
          <w:sz w:val="16"/>
        </w:rPr>
        <w:t> </w:t>
      </w:r>
      <w:r>
        <w:rPr>
          <w:sz w:val="16"/>
        </w:rPr>
        <w:t>C</w:t>
      </w:r>
      <w:r>
        <w:rPr>
          <w:spacing w:val="-8"/>
          <w:sz w:val="16"/>
        </w:rPr>
        <w:t> </w:t>
      </w:r>
      <w:r>
        <w:rPr>
          <w:sz w:val="16"/>
        </w:rPr>
        <w:t>No.</w:t>
      </w:r>
      <w:r>
        <w:rPr>
          <w:spacing w:val="-8"/>
          <w:sz w:val="16"/>
        </w:rPr>
        <w:t> </w:t>
      </w:r>
      <w:r>
        <w:rPr>
          <w:sz w:val="16"/>
        </w:rPr>
        <w:t>177,</w:t>
      </w:r>
      <w:r>
        <w:rPr>
          <w:spacing w:val="-9"/>
          <w:sz w:val="16"/>
        </w:rPr>
        <w:t> </w:t>
      </w:r>
      <w:r>
        <w:rPr>
          <w:sz w:val="16"/>
        </w:rPr>
        <w:t>párr.</w:t>
      </w:r>
      <w:r>
        <w:rPr>
          <w:spacing w:val="-9"/>
          <w:sz w:val="16"/>
        </w:rPr>
        <w:t> </w:t>
      </w:r>
      <w:r>
        <w:rPr>
          <w:sz w:val="16"/>
        </w:rPr>
        <w:t>14;</w:t>
      </w:r>
      <w:r>
        <w:rPr>
          <w:spacing w:val="-9"/>
          <w:sz w:val="16"/>
        </w:rPr>
        <w:t> </w:t>
      </w:r>
      <w:r>
        <w:rPr>
          <w:sz w:val="16"/>
        </w:rPr>
        <w:t>y</w:t>
      </w:r>
      <w:r>
        <w:rPr>
          <w:spacing w:val="-8"/>
          <w:sz w:val="16"/>
        </w:rPr>
        <w:t> </w:t>
      </w:r>
      <w:r>
        <w:rPr>
          <w:i/>
          <w:sz w:val="16"/>
        </w:rPr>
        <w:t>Caso </w:t>
      </w:r>
      <w:r>
        <w:rPr>
          <w:i/>
          <w:sz w:val="16"/>
        </w:rPr>
        <w:t>Castañeda Gutman Vs. México. Excepciones Preliminares, Fondo, Reparaciones y Costas</w:t>
      </w:r>
      <w:r>
        <w:rPr>
          <w:sz w:val="16"/>
        </w:rPr>
        <w:t>. Sentencia de 6 de agosto de 2008. Serie C No. 184, párr.</w:t>
      </w:r>
      <w:r>
        <w:rPr>
          <w:spacing w:val="-14"/>
          <w:sz w:val="16"/>
        </w:rPr>
        <w:t> </w:t>
      </w:r>
      <w:r>
        <w:rPr>
          <w:sz w:val="16"/>
        </w:rPr>
        <w:t>16.</w:t>
      </w:r>
    </w:p>
    <w:p>
      <w:pPr>
        <w:spacing w:after="0"/>
        <w:jc w:val="both"/>
        <w:rPr>
          <w:sz w:val="16"/>
        </w:rPr>
        <w:sectPr>
          <w:pgSz w:w="12240" w:h="15840"/>
          <w:pgMar w:header="0" w:footer="782" w:top="1340" w:bottom="980" w:left="1300" w:right="1720"/>
        </w:sectPr>
      </w:pPr>
    </w:p>
    <w:p>
      <w:pPr>
        <w:spacing w:before="77"/>
        <w:ind w:left="816" w:right="877" w:firstLine="0"/>
        <w:jc w:val="both"/>
        <w:rPr>
          <w:sz w:val="16"/>
        </w:rPr>
      </w:pPr>
      <w:r>
        <w:rPr>
          <w:sz w:val="16"/>
        </w:rPr>
        <w:t>60. Especial mención tienen para esta Corte la presentación de </w:t>
      </w:r>
      <w:r>
        <w:rPr>
          <w:i/>
          <w:sz w:val="16"/>
        </w:rPr>
        <w:t>amicus curiae</w:t>
      </w:r>
      <w:r>
        <w:rPr>
          <w:sz w:val="16"/>
        </w:rPr>
        <w:t>, de los cuales reconoce el gran aporte que han hecho al Sistema Interamericano a través de la exposición de razonamientos en torno a hechos de casos concretos, consideraciones jurídicas sobre la materia</w:t>
      </w:r>
      <w:r>
        <w:rPr>
          <w:spacing w:val="-12"/>
          <w:sz w:val="16"/>
        </w:rPr>
        <w:t> </w:t>
      </w:r>
      <w:r>
        <w:rPr>
          <w:sz w:val="16"/>
        </w:rPr>
        <w:t>del</w:t>
      </w:r>
      <w:r>
        <w:rPr>
          <w:spacing w:val="-10"/>
          <w:sz w:val="16"/>
        </w:rPr>
        <w:t> </w:t>
      </w:r>
      <w:r>
        <w:rPr>
          <w:sz w:val="16"/>
        </w:rPr>
        <w:t>proceso</w:t>
      </w:r>
      <w:r>
        <w:rPr>
          <w:spacing w:val="-11"/>
          <w:sz w:val="16"/>
        </w:rPr>
        <w:t> </w:t>
      </w:r>
      <w:r>
        <w:rPr>
          <w:sz w:val="16"/>
        </w:rPr>
        <w:t>y</w:t>
      </w:r>
      <w:r>
        <w:rPr>
          <w:spacing w:val="-10"/>
          <w:sz w:val="16"/>
        </w:rPr>
        <w:t> </w:t>
      </w:r>
      <w:r>
        <w:rPr>
          <w:sz w:val="16"/>
        </w:rPr>
        <w:t>otras</w:t>
      </w:r>
      <w:r>
        <w:rPr>
          <w:spacing w:val="-10"/>
          <w:sz w:val="16"/>
        </w:rPr>
        <w:t> </w:t>
      </w:r>
      <w:r>
        <w:rPr>
          <w:sz w:val="16"/>
        </w:rPr>
        <w:t>temáticas</w:t>
      </w:r>
      <w:r>
        <w:rPr>
          <w:spacing w:val="-11"/>
          <w:sz w:val="16"/>
        </w:rPr>
        <w:t> </w:t>
      </w:r>
      <w:r>
        <w:rPr>
          <w:sz w:val="16"/>
        </w:rPr>
        <w:t>específicas.</w:t>
      </w:r>
      <w:r>
        <w:rPr>
          <w:spacing w:val="-11"/>
          <w:sz w:val="16"/>
        </w:rPr>
        <w:t> </w:t>
      </w:r>
      <w:r>
        <w:rPr>
          <w:sz w:val="16"/>
        </w:rPr>
        <w:t>Como</w:t>
      </w:r>
      <w:r>
        <w:rPr>
          <w:spacing w:val="-10"/>
          <w:sz w:val="16"/>
        </w:rPr>
        <w:t> </w:t>
      </w:r>
      <w:r>
        <w:rPr>
          <w:sz w:val="16"/>
        </w:rPr>
        <w:t>el</w:t>
      </w:r>
      <w:r>
        <w:rPr>
          <w:spacing w:val="-11"/>
          <w:sz w:val="16"/>
        </w:rPr>
        <w:t> </w:t>
      </w:r>
      <w:r>
        <w:rPr>
          <w:sz w:val="16"/>
        </w:rPr>
        <w:t>Tribunal</w:t>
      </w:r>
      <w:r>
        <w:rPr>
          <w:spacing w:val="-10"/>
          <w:sz w:val="16"/>
        </w:rPr>
        <w:t> </w:t>
      </w:r>
      <w:r>
        <w:rPr>
          <w:sz w:val="16"/>
        </w:rPr>
        <w:t>lo</w:t>
      </w:r>
      <w:r>
        <w:rPr>
          <w:spacing w:val="-10"/>
          <w:sz w:val="16"/>
        </w:rPr>
        <w:t> </w:t>
      </w:r>
      <w:r>
        <w:rPr>
          <w:sz w:val="16"/>
        </w:rPr>
        <w:t>ha</w:t>
      </w:r>
      <w:r>
        <w:rPr>
          <w:spacing w:val="-10"/>
          <w:sz w:val="16"/>
        </w:rPr>
        <w:t> </w:t>
      </w:r>
      <w:r>
        <w:rPr>
          <w:sz w:val="16"/>
        </w:rPr>
        <w:t>señalado</w:t>
      </w:r>
      <w:r>
        <w:rPr>
          <w:spacing w:val="-10"/>
          <w:sz w:val="16"/>
        </w:rPr>
        <w:t> </w:t>
      </w:r>
      <w:r>
        <w:rPr>
          <w:sz w:val="16"/>
        </w:rPr>
        <w:t>en</w:t>
      </w:r>
      <w:r>
        <w:rPr>
          <w:spacing w:val="-11"/>
          <w:sz w:val="16"/>
        </w:rPr>
        <w:t> </w:t>
      </w:r>
      <w:r>
        <w:rPr>
          <w:sz w:val="16"/>
        </w:rPr>
        <w:t>diversas oportunidades, aportan argumentos u opiniones que pueden servir como elementos de juicio relativos a aspectos de derecho que se ventilan ante el</w:t>
      </w:r>
      <w:r>
        <w:rPr>
          <w:spacing w:val="-19"/>
          <w:sz w:val="16"/>
        </w:rPr>
        <w:t> </w:t>
      </w:r>
      <w:r>
        <w:rPr>
          <w:sz w:val="16"/>
        </w:rPr>
        <w:t>mismo.</w:t>
      </w:r>
    </w:p>
    <w:p>
      <w:pPr>
        <w:pStyle w:val="BodyText"/>
        <w:rPr>
          <w:sz w:val="23"/>
        </w:rPr>
      </w:pPr>
    </w:p>
    <w:p>
      <w:pPr>
        <w:pStyle w:val="ListParagraph"/>
        <w:numPr>
          <w:ilvl w:val="0"/>
          <w:numId w:val="77"/>
        </w:numPr>
        <w:tabs>
          <w:tab w:pos="827" w:val="left" w:leader="none"/>
        </w:tabs>
        <w:spacing w:line="240" w:lineRule="auto" w:before="1" w:after="0"/>
        <w:ind w:left="118" w:right="309" w:firstLine="0"/>
        <w:jc w:val="both"/>
        <w:rPr>
          <w:sz w:val="20"/>
        </w:rPr>
      </w:pPr>
      <w:r>
        <w:rPr>
          <w:sz w:val="20"/>
        </w:rPr>
        <w:t>En</w:t>
      </w:r>
      <w:r>
        <w:rPr>
          <w:spacing w:val="-5"/>
          <w:sz w:val="20"/>
        </w:rPr>
        <w:t> </w:t>
      </w:r>
      <w:r>
        <w:rPr>
          <w:sz w:val="20"/>
        </w:rPr>
        <w:t>lo</w:t>
      </w:r>
      <w:r>
        <w:rPr>
          <w:spacing w:val="-5"/>
          <w:sz w:val="20"/>
        </w:rPr>
        <w:t> </w:t>
      </w:r>
      <w:r>
        <w:rPr>
          <w:sz w:val="20"/>
        </w:rPr>
        <w:t>que</w:t>
      </w:r>
      <w:r>
        <w:rPr>
          <w:spacing w:val="-5"/>
          <w:sz w:val="20"/>
        </w:rPr>
        <w:t> </w:t>
      </w:r>
      <w:r>
        <w:rPr>
          <w:sz w:val="20"/>
        </w:rPr>
        <w:t>respecta</w:t>
      </w:r>
      <w:r>
        <w:rPr>
          <w:spacing w:val="-5"/>
          <w:sz w:val="20"/>
        </w:rPr>
        <w:t> </w:t>
      </w:r>
      <w:r>
        <w:rPr>
          <w:sz w:val="20"/>
        </w:rPr>
        <w:t>a</w:t>
      </w:r>
      <w:r>
        <w:rPr>
          <w:spacing w:val="-5"/>
          <w:sz w:val="20"/>
        </w:rPr>
        <w:t> </w:t>
      </w:r>
      <w:r>
        <w:rPr>
          <w:sz w:val="20"/>
        </w:rPr>
        <w:t>la</w:t>
      </w:r>
      <w:r>
        <w:rPr>
          <w:spacing w:val="-5"/>
          <w:sz w:val="20"/>
        </w:rPr>
        <w:t> </w:t>
      </w:r>
      <w:r>
        <w:rPr>
          <w:sz w:val="20"/>
        </w:rPr>
        <w:t>temática</w:t>
      </w:r>
      <w:r>
        <w:rPr>
          <w:spacing w:val="-6"/>
          <w:sz w:val="20"/>
        </w:rPr>
        <w:t> </w:t>
      </w:r>
      <w:r>
        <w:rPr>
          <w:sz w:val="20"/>
        </w:rPr>
        <w:t>indígena</w:t>
      </w:r>
      <w:r>
        <w:rPr>
          <w:spacing w:val="-5"/>
          <w:sz w:val="20"/>
        </w:rPr>
        <w:t> </w:t>
      </w:r>
      <w:r>
        <w:rPr>
          <w:sz w:val="20"/>
        </w:rPr>
        <w:t>o</w:t>
      </w:r>
      <w:r>
        <w:rPr>
          <w:spacing w:val="-5"/>
          <w:sz w:val="20"/>
        </w:rPr>
        <w:t> </w:t>
      </w:r>
      <w:r>
        <w:rPr>
          <w:sz w:val="20"/>
        </w:rPr>
        <w:t>tribal,</w:t>
      </w:r>
      <w:r>
        <w:rPr>
          <w:spacing w:val="-5"/>
          <w:sz w:val="20"/>
        </w:rPr>
        <w:t> </w:t>
      </w:r>
      <w:r>
        <w:rPr>
          <w:sz w:val="20"/>
        </w:rPr>
        <w:t>la</w:t>
      </w:r>
      <w:r>
        <w:rPr>
          <w:spacing w:val="-5"/>
          <w:sz w:val="20"/>
        </w:rPr>
        <w:t> </w:t>
      </w:r>
      <w:r>
        <w:rPr>
          <w:sz w:val="20"/>
        </w:rPr>
        <w:t>Corte</w:t>
      </w:r>
      <w:r>
        <w:rPr>
          <w:spacing w:val="-5"/>
          <w:sz w:val="20"/>
        </w:rPr>
        <w:t> </w:t>
      </w:r>
      <w:r>
        <w:rPr>
          <w:sz w:val="20"/>
        </w:rPr>
        <w:t>IDH</w:t>
      </w:r>
      <w:r>
        <w:rPr>
          <w:spacing w:val="-5"/>
          <w:sz w:val="20"/>
        </w:rPr>
        <w:t> </w:t>
      </w:r>
      <w:r>
        <w:rPr>
          <w:sz w:val="20"/>
        </w:rPr>
        <w:t>ha</w:t>
      </w:r>
      <w:r>
        <w:rPr>
          <w:spacing w:val="-5"/>
          <w:sz w:val="20"/>
        </w:rPr>
        <w:t> </w:t>
      </w:r>
      <w:r>
        <w:rPr>
          <w:sz w:val="20"/>
        </w:rPr>
        <w:t>recibido</w:t>
      </w:r>
      <w:r>
        <w:rPr>
          <w:spacing w:val="-5"/>
          <w:sz w:val="20"/>
        </w:rPr>
        <w:t> </w:t>
      </w:r>
      <w:r>
        <w:rPr>
          <w:sz w:val="20"/>
        </w:rPr>
        <w:t>en</w:t>
      </w:r>
      <w:r>
        <w:rPr>
          <w:spacing w:val="-5"/>
          <w:sz w:val="20"/>
        </w:rPr>
        <w:t> </w:t>
      </w:r>
      <w:r>
        <w:rPr>
          <w:sz w:val="20"/>
        </w:rPr>
        <w:t>su función contenciosa escritos de </w:t>
      </w:r>
      <w:r>
        <w:rPr>
          <w:i/>
          <w:sz w:val="20"/>
        </w:rPr>
        <w:t>amicus curiae </w:t>
      </w:r>
      <w:r>
        <w:rPr>
          <w:sz w:val="20"/>
        </w:rPr>
        <w:t>en diez casos que han versado esencialmente sobre aspectos de la tierra y el territorio</w:t>
      </w:r>
      <w:r>
        <w:rPr>
          <w:position w:val="7"/>
          <w:sz w:val="13"/>
        </w:rPr>
        <w:t>59</w:t>
      </w:r>
      <w:r>
        <w:rPr>
          <w:sz w:val="20"/>
        </w:rPr>
        <w:t>, desplazamiento forzado</w:t>
      </w:r>
      <w:r>
        <w:rPr>
          <w:position w:val="7"/>
          <w:sz w:val="13"/>
        </w:rPr>
        <w:t>60</w:t>
      </w:r>
      <w:r>
        <w:rPr>
          <w:sz w:val="20"/>
        </w:rPr>
        <w:t>, participación política</w:t>
      </w:r>
      <w:r>
        <w:rPr>
          <w:position w:val="7"/>
          <w:sz w:val="13"/>
        </w:rPr>
        <w:t>61 </w:t>
      </w:r>
      <w:r>
        <w:rPr>
          <w:sz w:val="20"/>
        </w:rPr>
        <w:t>y masacres</w:t>
      </w:r>
      <w:r>
        <w:rPr>
          <w:position w:val="7"/>
          <w:sz w:val="13"/>
        </w:rPr>
        <w:t>62</w:t>
      </w:r>
      <w:r>
        <w:rPr>
          <w:sz w:val="20"/>
        </w:rPr>
        <w:t>. El caso </w:t>
      </w:r>
      <w:r>
        <w:rPr>
          <w:i/>
          <w:sz w:val="20"/>
        </w:rPr>
        <w:t>Lakha Honat </w:t>
      </w:r>
      <w:r>
        <w:rPr>
          <w:sz w:val="20"/>
        </w:rPr>
        <w:t>se suma a los anteriores. Su utilidad en la presente Sentencia resulta evidente, ya que en diversas secciones se incorpora el valioso contenido de los </w:t>
      </w:r>
      <w:r>
        <w:rPr>
          <w:i/>
          <w:sz w:val="20"/>
        </w:rPr>
        <w:t>amici curiae </w:t>
      </w:r>
      <w:r>
        <w:rPr>
          <w:sz w:val="20"/>
        </w:rPr>
        <w:t>remitidos por organizaciones, instituciones y</w:t>
      </w:r>
      <w:r>
        <w:rPr>
          <w:spacing w:val="-8"/>
          <w:sz w:val="20"/>
        </w:rPr>
        <w:t> </w:t>
      </w:r>
      <w:r>
        <w:rPr>
          <w:sz w:val="20"/>
        </w:rPr>
        <w:t>personas</w:t>
      </w:r>
      <w:r>
        <w:rPr>
          <w:position w:val="7"/>
          <w:sz w:val="13"/>
        </w:rPr>
        <w:t>63</w:t>
      </w:r>
      <w:r>
        <w:rPr>
          <w:sz w:val="20"/>
        </w:rPr>
        <w:t>.</w:t>
      </w:r>
    </w:p>
    <w:p>
      <w:pPr>
        <w:pStyle w:val="BodyText"/>
      </w:pPr>
    </w:p>
    <w:p>
      <w:pPr>
        <w:pStyle w:val="ListParagraph"/>
        <w:numPr>
          <w:ilvl w:val="0"/>
          <w:numId w:val="77"/>
        </w:numPr>
        <w:tabs>
          <w:tab w:pos="827" w:val="left" w:leader="none"/>
        </w:tabs>
        <w:spacing w:line="240" w:lineRule="auto" w:before="0" w:after="0"/>
        <w:ind w:left="118" w:right="309" w:firstLine="0"/>
        <w:jc w:val="both"/>
        <w:rPr>
          <w:sz w:val="20"/>
        </w:rPr>
      </w:pPr>
      <w:r>
        <w:rPr>
          <w:sz w:val="20"/>
        </w:rPr>
        <w:t>Así, en el caso </w:t>
      </w:r>
      <w:r>
        <w:rPr>
          <w:i/>
          <w:sz w:val="20"/>
        </w:rPr>
        <w:t>Lakha Honat </w:t>
      </w:r>
      <w:r>
        <w:rPr>
          <w:sz w:val="20"/>
        </w:rPr>
        <w:t>fueron presentados un total de 8 escritos en esta calidad ante la Corte IDH, por parte de 20 diferentes organizaciones, instituciones y personas de la sociedad civil, quienes sometieron diversas observaciones y expresaron ricos argumentos, que comparten ciertas líneas temáticas. En los escritos fue común</w:t>
      </w:r>
      <w:r>
        <w:rPr>
          <w:spacing w:val="-24"/>
          <w:sz w:val="20"/>
        </w:rPr>
        <w:t> </w:t>
      </w:r>
      <w:r>
        <w:rPr>
          <w:sz w:val="20"/>
        </w:rPr>
        <w:t>el abordaje</w:t>
      </w:r>
      <w:r>
        <w:rPr>
          <w:spacing w:val="-18"/>
          <w:sz w:val="20"/>
        </w:rPr>
        <w:t> </w:t>
      </w:r>
      <w:r>
        <w:rPr>
          <w:sz w:val="20"/>
        </w:rPr>
        <w:t>del</w:t>
      </w:r>
      <w:r>
        <w:rPr>
          <w:spacing w:val="-18"/>
          <w:sz w:val="20"/>
        </w:rPr>
        <w:t> </w:t>
      </w:r>
      <w:r>
        <w:rPr>
          <w:sz w:val="20"/>
        </w:rPr>
        <w:t>derecho</w:t>
      </w:r>
      <w:r>
        <w:rPr>
          <w:spacing w:val="-19"/>
          <w:sz w:val="20"/>
        </w:rPr>
        <w:t> </w:t>
      </w:r>
      <w:r>
        <w:rPr>
          <w:sz w:val="20"/>
        </w:rPr>
        <w:t>al</w:t>
      </w:r>
      <w:r>
        <w:rPr>
          <w:spacing w:val="-20"/>
          <w:sz w:val="20"/>
        </w:rPr>
        <w:t> </w:t>
      </w:r>
      <w:r>
        <w:rPr>
          <w:sz w:val="20"/>
        </w:rPr>
        <w:t>territorio</w:t>
      </w:r>
      <w:r>
        <w:rPr>
          <w:spacing w:val="-20"/>
          <w:sz w:val="20"/>
        </w:rPr>
        <w:t> </w:t>
      </w:r>
      <w:r>
        <w:rPr>
          <w:sz w:val="20"/>
        </w:rPr>
        <w:t>ancestral</w:t>
      </w:r>
      <w:r>
        <w:rPr>
          <w:spacing w:val="-19"/>
          <w:sz w:val="20"/>
        </w:rPr>
        <w:t> </w:t>
      </w:r>
      <w:r>
        <w:rPr>
          <w:sz w:val="20"/>
        </w:rPr>
        <w:t>de</w:t>
      </w:r>
      <w:r>
        <w:rPr>
          <w:spacing w:val="-18"/>
          <w:sz w:val="20"/>
        </w:rPr>
        <w:t> </w:t>
      </w:r>
      <w:r>
        <w:rPr>
          <w:sz w:val="20"/>
        </w:rPr>
        <w:t>los</w:t>
      </w:r>
      <w:r>
        <w:rPr>
          <w:spacing w:val="-18"/>
          <w:sz w:val="20"/>
        </w:rPr>
        <w:t> </w:t>
      </w:r>
      <w:r>
        <w:rPr>
          <w:sz w:val="20"/>
        </w:rPr>
        <w:t>pueblos</w:t>
      </w:r>
      <w:r>
        <w:rPr>
          <w:spacing w:val="-19"/>
          <w:sz w:val="20"/>
        </w:rPr>
        <w:t> </w:t>
      </w:r>
      <w:r>
        <w:rPr>
          <w:sz w:val="20"/>
        </w:rPr>
        <w:t>indígenas,</w:t>
      </w:r>
      <w:r>
        <w:rPr>
          <w:spacing w:val="-19"/>
          <w:sz w:val="20"/>
        </w:rPr>
        <w:t> </w:t>
      </w:r>
      <w:r>
        <w:rPr>
          <w:sz w:val="20"/>
        </w:rPr>
        <w:t>con</w:t>
      </w:r>
      <w:r>
        <w:rPr>
          <w:spacing w:val="-18"/>
          <w:sz w:val="20"/>
        </w:rPr>
        <w:t> </w:t>
      </w:r>
      <w:r>
        <w:rPr>
          <w:sz w:val="20"/>
        </w:rPr>
        <w:t>especial</w:t>
      </w:r>
      <w:r>
        <w:rPr>
          <w:spacing w:val="-19"/>
          <w:sz w:val="20"/>
        </w:rPr>
        <w:t> </w:t>
      </w:r>
      <w:r>
        <w:rPr>
          <w:sz w:val="20"/>
        </w:rPr>
        <w:t>énfasis en el derecho a la consulta</w:t>
      </w:r>
      <w:r>
        <w:rPr>
          <w:position w:val="7"/>
          <w:sz w:val="13"/>
        </w:rPr>
        <w:t>64</w:t>
      </w:r>
      <w:r>
        <w:rPr>
          <w:sz w:val="20"/>
        </w:rPr>
        <w:t>, así como aspectos relativos a la ocupación parcial por parte de colonos y la necesidad de que los territorios de pueblos indígenas y tribales sean de suficiente extensión y</w:t>
      </w:r>
      <w:r>
        <w:rPr>
          <w:spacing w:val="-7"/>
          <w:sz w:val="20"/>
        </w:rPr>
        <w:t> </w:t>
      </w:r>
      <w:r>
        <w:rPr>
          <w:sz w:val="20"/>
        </w:rPr>
        <w:t>calidad</w:t>
      </w:r>
      <w:r>
        <w:rPr>
          <w:position w:val="7"/>
          <w:sz w:val="13"/>
        </w:rPr>
        <w:t>65</w:t>
      </w:r>
      <w:r>
        <w:rPr>
          <w:sz w:val="20"/>
        </w:rPr>
        <w:t>.</w:t>
      </w:r>
    </w:p>
    <w:p>
      <w:pPr>
        <w:pStyle w:val="BodyText"/>
        <w:spacing w:before="5"/>
        <w:rPr>
          <w:sz w:val="24"/>
        </w:rPr>
      </w:pPr>
      <w:r>
        <w:rPr/>
        <w:pict>
          <v:line style="position:absolute;mso-position-horizontal-relative:page;mso-position-vertical-relative:paragraph;z-index:5128;mso-wrap-distance-left:0;mso-wrap-distance-right:0" from="70.919998pt,17.100208pt" to="214.939998pt,17.100208pt" stroked="true" strokeweight=".600010pt" strokecolor="#000000">
            <v:stroke dashstyle="solid"/>
            <w10:wrap type="topAndBottom"/>
          </v:line>
        </w:pict>
      </w:r>
    </w:p>
    <w:p>
      <w:pPr>
        <w:pStyle w:val="BodyText"/>
        <w:spacing w:before="6"/>
      </w:pPr>
    </w:p>
    <w:p>
      <w:pPr>
        <w:tabs>
          <w:tab w:pos="826" w:val="left" w:leader="none"/>
        </w:tabs>
        <w:spacing w:before="100"/>
        <w:ind w:left="118" w:right="309" w:firstLine="0"/>
        <w:jc w:val="both"/>
        <w:rPr>
          <w:sz w:val="16"/>
        </w:rPr>
      </w:pPr>
      <w:r>
        <w:rPr>
          <w:position w:val="6"/>
          <w:sz w:val="10"/>
        </w:rPr>
        <w:t>59</w:t>
        <w:tab/>
      </w:r>
      <w:r>
        <w:rPr>
          <w:i/>
          <w:sz w:val="16"/>
        </w:rPr>
        <w:t>Cfr.</w:t>
      </w:r>
      <w:r>
        <w:rPr>
          <w:i/>
          <w:spacing w:val="25"/>
          <w:sz w:val="16"/>
        </w:rPr>
        <w:t> </w:t>
      </w:r>
      <w:r>
        <w:rPr>
          <w:i/>
          <w:sz w:val="16"/>
        </w:rPr>
        <w:t>Caso</w:t>
      </w:r>
      <w:r>
        <w:rPr>
          <w:i/>
          <w:spacing w:val="26"/>
          <w:sz w:val="16"/>
        </w:rPr>
        <w:t> </w:t>
      </w:r>
      <w:r>
        <w:rPr>
          <w:i/>
          <w:sz w:val="16"/>
        </w:rPr>
        <w:t>de</w:t>
      </w:r>
      <w:r>
        <w:rPr>
          <w:i/>
          <w:spacing w:val="26"/>
          <w:sz w:val="16"/>
        </w:rPr>
        <w:t> </w:t>
      </w:r>
      <w:r>
        <w:rPr>
          <w:i/>
          <w:sz w:val="16"/>
        </w:rPr>
        <w:t>la</w:t>
      </w:r>
      <w:r>
        <w:rPr>
          <w:i/>
          <w:spacing w:val="25"/>
          <w:sz w:val="16"/>
        </w:rPr>
        <w:t> </w:t>
      </w:r>
      <w:r>
        <w:rPr>
          <w:i/>
          <w:sz w:val="16"/>
        </w:rPr>
        <w:t>Comunidad</w:t>
      </w:r>
      <w:r>
        <w:rPr>
          <w:i/>
          <w:spacing w:val="26"/>
          <w:sz w:val="16"/>
        </w:rPr>
        <w:t> </w:t>
      </w:r>
      <w:r>
        <w:rPr>
          <w:i/>
          <w:sz w:val="16"/>
        </w:rPr>
        <w:t>Mayagna</w:t>
      </w:r>
      <w:r>
        <w:rPr>
          <w:i/>
          <w:spacing w:val="26"/>
          <w:sz w:val="16"/>
        </w:rPr>
        <w:t> </w:t>
      </w:r>
      <w:r>
        <w:rPr>
          <w:i/>
          <w:sz w:val="16"/>
        </w:rPr>
        <w:t>(Sumo)</w:t>
      </w:r>
      <w:r>
        <w:rPr>
          <w:i/>
          <w:spacing w:val="26"/>
          <w:sz w:val="16"/>
        </w:rPr>
        <w:t> </w:t>
      </w:r>
      <w:r>
        <w:rPr>
          <w:i/>
          <w:sz w:val="16"/>
        </w:rPr>
        <w:t>Awas</w:t>
      </w:r>
      <w:r>
        <w:rPr>
          <w:i/>
          <w:spacing w:val="25"/>
          <w:sz w:val="16"/>
        </w:rPr>
        <w:t> </w:t>
      </w:r>
      <w:r>
        <w:rPr>
          <w:i/>
          <w:sz w:val="16"/>
        </w:rPr>
        <w:t>Tingni</w:t>
      </w:r>
      <w:r>
        <w:rPr>
          <w:i/>
          <w:spacing w:val="26"/>
          <w:sz w:val="16"/>
        </w:rPr>
        <w:t> </w:t>
      </w:r>
      <w:r>
        <w:rPr>
          <w:i/>
          <w:sz w:val="16"/>
        </w:rPr>
        <w:t>Vs.</w:t>
      </w:r>
      <w:r>
        <w:rPr>
          <w:i/>
          <w:spacing w:val="30"/>
          <w:sz w:val="16"/>
        </w:rPr>
        <w:t> </w:t>
      </w:r>
      <w:r>
        <w:rPr>
          <w:i/>
          <w:sz w:val="16"/>
        </w:rPr>
        <w:t>Nicaragua.</w:t>
      </w:r>
      <w:r>
        <w:rPr>
          <w:i/>
          <w:spacing w:val="26"/>
          <w:sz w:val="16"/>
        </w:rPr>
        <w:t> </w:t>
      </w:r>
      <w:r>
        <w:rPr>
          <w:i/>
          <w:sz w:val="16"/>
        </w:rPr>
        <w:t>Fondo,</w:t>
      </w:r>
      <w:r>
        <w:rPr>
          <w:i/>
          <w:spacing w:val="25"/>
          <w:sz w:val="16"/>
        </w:rPr>
        <w:t> </w:t>
      </w:r>
      <w:r>
        <w:rPr>
          <w:i/>
          <w:sz w:val="16"/>
        </w:rPr>
        <w:t>Reparaciones</w:t>
      </w:r>
      <w:r>
        <w:rPr>
          <w:i/>
          <w:spacing w:val="25"/>
          <w:sz w:val="16"/>
        </w:rPr>
        <w:t> </w:t>
      </w:r>
      <w:r>
        <w:rPr>
          <w:i/>
          <w:sz w:val="16"/>
        </w:rPr>
        <w:t>y</w:t>
      </w:r>
      <w:r>
        <w:rPr>
          <w:i/>
          <w:w w:val="99"/>
          <w:sz w:val="16"/>
        </w:rPr>
        <w:t> </w:t>
      </w:r>
      <w:r>
        <w:rPr>
          <w:i/>
          <w:sz w:val="16"/>
        </w:rPr>
        <w:t>Costas</w:t>
      </w:r>
      <w:r>
        <w:rPr>
          <w:sz w:val="16"/>
        </w:rPr>
        <w:t>. Sentencia de 31 de agosto de 2001. Serie C No. 79, párrs. 38, 41, 42, 52 y 61; </w:t>
      </w:r>
      <w:r>
        <w:rPr>
          <w:i/>
          <w:sz w:val="16"/>
        </w:rPr>
        <w:t>Caso Comunidad </w:t>
      </w:r>
      <w:r>
        <w:rPr>
          <w:i/>
          <w:sz w:val="16"/>
        </w:rPr>
        <w:t>Indígena Yakye Axa Vs. Paraguay. Fondo, Reparaciones y Costas. </w:t>
      </w:r>
      <w:r>
        <w:rPr>
          <w:sz w:val="16"/>
        </w:rPr>
        <w:t>Sentencia de 17 de junio de 2005. Serie C No. 125, párr. 19; </w:t>
      </w:r>
      <w:r>
        <w:rPr>
          <w:i/>
          <w:sz w:val="16"/>
        </w:rPr>
        <w:t>Caso Pueblo Indígena Kichwa de Sarayaku Vs. Ecuador. Fondo y Reparaciones</w:t>
      </w:r>
      <w:r>
        <w:rPr>
          <w:sz w:val="16"/>
        </w:rPr>
        <w:t>. Sentencia de</w:t>
      </w:r>
      <w:r>
        <w:rPr>
          <w:spacing w:val="-16"/>
          <w:sz w:val="16"/>
        </w:rPr>
        <w:t> </w:t>
      </w:r>
      <w:r>
        <w:rPr>
          <w:sz w:val="16"/>
        </w:rPr>
        <w:t>27</w:t>
      </w:r>
      <w:r>
        <w:rPr>
          <w:spacing w:val="-15"/>
          <w:sz w:val="16"/>
        </w:rPr>
        <w:t> </w:t>
      </w:r>
      <w:r>
        <w:rPr>
          <w:sz w:val="16"/>
        </w:rPr>
        <w:t>de</w:t>
      </w:r>
      <w:r>
        <w:rPr>
          <w:spacing w:val="-16"/>
          <w:sz w:val="16"/>
        </w:rPr>
        <w:t> </w:t>
      </w:r>
      <w:r>
        <w:rPr>
          <w:sz w:val="16"/>
        </w:rPr>
        <w:t>junio</w:t>
      </w:r>
      <w:r>
        <w:rPr>
          <w:spacing w:val="-16"/>
          <w:sz w:val="16"/>
        </w:rPr>
        <w:t> </w:t>
      </w:r>
      <w:r>
        <w:rPr>
          <w:sz w:val="16"/>
        </w:rPr>
        <w:t>de</w:t>
      </w:r>
      <w:r>
        <w:rPr>
          <w:spacing w:val="-16"/>
          <w:sz w:val="16"/>
        </w:rPr>
        <w:t> </w:t>
      </w:r>
      <w:r>
        <w:rPr>
          <w:sz w:val="16"/>
        </w:rPr>
        <w:t>2012.</w:t>
      </w:r>
      <w:r>
        <w:rPr>
          <w:spacing w:val="-16"/>
          <w:sz w:val="16"/>
        </w:rPr>
        <w:t> </w:t>
      </w:r>
      <w:r>
        <w:rPr>
          <w:sz w:val="16"/>
        </w:rPr>
        <w:t>Serie</w:t>
      </w:r>
      <w:r>
        <w:rPr>
          <w:spacing w:val="-17"/>
          <w:sz w:val="16"/>
        </w:rPr>
        <w:t> </w:t>
      </w:r>
      <w:r>
        <w:rPr>
          <w:sz w:val="16"/>
        </w:rPr>
        <w:t>C</w:t>
      </w:r>
      <w:r>
        <w:rPr>
          <w:spacing w:val="-15"/>
          <w:sz w:val="16"/>
        </w:rPr>
        <w:t> </w:t>
      </w:r>
      <w:r>
        <w:rPr>
          <w:sz w:val="16"/>
        </w:rPr>
        <w:t>No.</w:t>
      </w:r>
      <w:r>
        <w:rPr>
          <w:spacing w:val="-16"/>
          <w:sz w:val="16"/>
        </w:rPr>
        <w:t> </w:t>
      </w:r>
      <w:r>
        <w:rPr>
          <w:sz w:val="16"/>
        </w:rPr>
        <w:t>245,</w:t>
      </w:r>
      <w:r>
        <w:rPr>
          <w:spacing w:val="-16"/>
          <w:sz w:val="16"/>
        </w:rPr>
        <w:t> </w:t>
      </w:r>
      <w:r>
        <w:rPr>
          <w:sz w:val="16"/>
        </w:rPr>
        <w:t>párr.</w:t>
      </w:r>
      <w:r>
        <w:rPr>
          <w:spacing w:val="-15"/>
          <w:sz w:val="16"/>
        </w:rPr>
        <w:t> </w:t>
      </w:r>
      <w:r>
        <w:rPr>
          <w:sz w:val="16"/>
        </w:rPr>
        <w:t>13;</w:t>
      </w:r>
      <w:r>
        <w:rPr>
          <w:spacing w:val="-16"/>
          <w:sz w:val="16"/>
        </w:rPr>
        <w:t> </w:t>
      </w:r>
      <w:r>
        <w:rPr>
          <w:i/>
          <w:sz w:val="16"/>
        </w:rPr>
        <w:t>Caso</w:t>
      </w:r>
      <w:r>
        <w:rPr>
          <w:i/>
          <w:spacing w:val="-15"/>
          <w:sz w:val="16"/>
        </w:rPr>
        <w:t> </w:t>
      </w:r>
      <w:r>
        <w:rPr>
          <w:i/>
          <w:sz w:val="16"/>
        </w:rPr>
        <w:t>Comunidad</w:t>
      </w:r>
      <w:r>
        <w:rPr>
          <w:i/>
          <w:spacing w:val="-15"/>
          <w:sz w:val="16"/>
        </w:rPr>
        <w:t> </w:t>
      </w:r>
      <w:r>
        <w:rPr>
          <w:i/>
          <w:sz w:val="16"/>
        </w:rPr>
        <w:t>Garífuna</w:t>
      </w:r>
      <w:r>
        <w:rPr>
          <w:i/>
          <w:spacing w:val="-15"/>
          <w:sz w:val="16"/>
        </w:rPr>
        <w:t> </w:t>
      </w:r>
      <w:r>
        <w:rPr>
          <w:i/>
          <w:sz w:val="16"/>
        </w:rPr>
        <w:t>Triunfo</w:t>
      </w:r>
      <w:r>
        <w:rPr>
          <w:i/>
          <w:spacing w:val="-16"/>
          <w:sz w:val="16"/>
        </w:rPr>
        <w:t> </w:t>
      </w:r>
      <w:r>
        <w:rPr>
          <w:i/>
          <w:sz w:val="16"/>
        </w:rPr>
        <w:t>de</w:t>
      </w:r>
      <w:r>
        <w:rPr>
          <w:i/>
          <w:spacing w:val="-16"/>
          <w:sz w:val="16"/>
        </w:rPr>
        <w:t> </w:t>
      </w:r>
      <w:r>
        <w:rPr>
          <w:i/>
          <w:sz w:val="16"/>
        </w:rPr>
        <w:t>la</w:t>
      </w:r>
      <w:r>
        <w:rPr>
          <w:i/>
          <w:spacing w:val="-17"/>
          <w:sz w:val="16"/>
        </w:rPr>
        <w:t> </w:t>
      </w:r>
      <w:r>
        <w:rPr>
          <w:i/>
          <w:sz w:val="16"/>
        </w:rPr>
        <w:t>Cruz</w:t>
      </w:r>
      <w:r>
        <w:rPr>
          <w:i/>
          <w:spacing w:val="-15"/>
          <w:sz w:val="16"/>
        </w:rPr>
        <w:t> </w:t>
      </w:r>
      <w:r>
        <w:rPr>
          <w:i/>
          <w:sz w:val="16"/>
        </w:rPr>
        <w:t>y</w:t>
      </w:r>
      <w:r>
        <w:rPr>
          <w:i/>
          <w:spacing w:val="-15"/>
          <w:sz w:val="16"/>
        </w:rPr>
        <w:t> </w:t>
      </w:r>
      <w:r>
        <w:rPr>
          <w:i/>
          <w:sz w:val="16"/>
        </w:rPr>
        <w:t>sus</w:t>
      </w:r>
      <w:r>
        <w:rPr>
          <w:i/>
          <w:spacing w:val="-16"/>
          <w:sz w:val="16"/>
        </w:rPr>
        <w:t> </w:t>
      </w:r>
      <w:r>
        <w:rPr>
          <w:i/>
          <w:sz w:val="16"/>
        </w:rPr>
        <w:t>miembros </w:t>
      </w:r>
      <w:r>
        <w:rPr>
          <w:i/>
          <w:sz w:val="16"/>
        </w:rPr>
        <w:t>Vs. Honduras. Fondo, Reparaciones y Costas. </w:t>
      </w:r>
      <w:r>
        <w:rPr>
          <w:sz w:val="16"/>
        </w:rPr>
        <w:t>Sentencia de 8 de octubre de 2015. Serie C No. 305, párr. 11; </w:t>
      </w:r>
      <w:r>
        <w:rPr>
          <w:i/>
          <w:sz w:val="16"/>
        </w:rPr>
        <w:t>Caso Pueblos Kaliña y Lokono Vs. Surinam. Fondo, Reparaciones y Costas</w:t>
      </w:r>
      <w:r>
        <w:rPr>
          <w:sz w:val="16"/>
        </w:rPr>
        <w:t>. Sentencia de 25 de noviembre de 2015. Serie C No. 309, párr. 9; y </w:t>
      </w:r>
      <w:r>
        <w:rPr>
          <w:i/>
          <w:sz w:val="16"/>
        </w:rPr>
        <w:t>Caso Pueblo Indígena Xucuru y sus miembros Vs. Brasil. Excepciones </w:t>
      </w:r>
      <w:r>
        <w:rPr>
          <w:i/>
          <w:sz w:val="16"/>
        </w:rPr>
        <w:t>Preliminares, Fondo, Reparaciones y Costas. </w:t>
      </w:r>
      <w:r>
        <w:rPr>
          <w:sz w:val="16"/>
        </w:rPr>
        <w:t>Sentencia de 5 de febrero de 2018. Serie C No. 346, párr.</w:t>
      </w:r>
      <w:r>
        <w:rPr>
          <w:spacing w:val="-26"/>
          <w:sz w:val="16"/>
        </w:rPr>
        <w:t> </w:t>
      </w:r>
      <w:r>
        <w:rPr>
          <w:sz w:val="16"/>
        </w:rPr>
        <w:t>11.</w:t>
      </w:r>
    </w:p>
    <w:p>
      <w:pPr>
        <w:tabs>
          <w:tab w:pos="826" w:val="left" w:leader="none"/>
        </w:tabs>
        <w:spacing w:before="120"/>
        <w:ind w:left="118" w:right="310" w:firstLine="0"/>
        <w:jc w:val="both"/>
        <w:rPr>
          <w:sz w:val="16"/>
        </w:rPr>
      </w:pPr>
      <w:r>
        <w:rPr>
          <w:position w:val="6"/>
          <w:sz w:val="10"/>
        </w:rPr>
        <w:t>60</w:t>
        <w:tab/>
      </w:r>
      <w:r>
        <w:rPr>
          <w:i/>
          <w:sz w:val="16"/>
        </w:rPr>
        <w:t>Cfr. Caso de la Comunidad Moiwana Vs. Surinam. Excepciones Preliminares, Fondo,</w:t>
      </w:r>
      <w:r>
        <w:rPr>
          <w:i/>
          <w:spacing w:val="23"/>
          <w:sz w:val="16"/>
        </w:rPr>
        <w:t> </w:t>
      </w:r>
      <w:r>
        <w:rPr>
          <w:i/>
          <w:sz w:val="16"/>
        </w:rPr>
        <w:t>Reparaciones</w:t>
      </w:r>
      <w:r>
        <w:rPr>
          <w:i/>
          <w:spacing w:val="1"/>
          <w:sz w:val="16"/>
        </w:rPr>
        <w:t> </w:t>
      </w:r>
      <w:r>
        <w:rPr>
          <w:i/>
          <w:sz w:val="16"/>
        </w:rPr>
        <w:t>y</w:t>
      </w:r>
      <w:r>
        <w:rPr>
          <w:i/>
          <w:w w:val="99"/>
          <w:sz w:val="16"/>
        </w:rPr>
        <w:t> </w:t>
      </w:r>
      <w:r>
        <w:rPr>
          <w:i/>
          <w:sz w:val="16"/>
        </w:rPr>
        <w:t>Costas</w:t>
      </w:r>
      <w:r>
        <w:rPr>
          <w:sz w:val="16"/>
        </w:rPr>
        <w:t>. Sentencia de 15 de junio de 2005. Serie C No. 124, párr. 16; y C</w:t>
      </w:r>
      <w:r>
        <w:rPr>
          <w:i/>
          <w:sz w:val="16"/>
        </w:rPr>
        <w:t>aso de las Comunidades </w:t>
      </w:r>
      <w:r>
        <w:rPr>
          <w:i/>
          <w:sz w:val="16"/>
        </w:rPr>
        <w:t>Afrodescendientes</w:t>
      </w:r>
      <w:r>
        <w:rPr>
          <w:i/>
          <w:spacing w:val="-7"/>
          <w:sz w:val="16"/>
        </w:rPr>
        <w:t> </w:t>
      </w:r>
      <w:r>
        <w:rPr>
          <w:i/>
          <w:sz w:val="16"/>
        </w:rPr>
        <w:t>desplazadas</w:t>
      </w:r>
      <w:r>
        <w:rPr>
          <w:i/>
          <w:spacing w:val="-7"/>
          <w:sz w:val="16"/>
        </w:rPr>
        <w:t> </w:t>
      </w:r>
      <w:r>
        <w:rPr>
          <w:i/>
          <w:sz w:val="16"/>
        </w:rPr>
        <w:t>de</w:t>
      </w:r>
      <w:r>
        <w:rPr>
          <w:i/>
          <w:spacing w:val="-7"/>
          <w:sz w:val="16"/>
        </w:rPr>
        <w:t> </w:t>
      </w:r>
      <w:r>
        <w:rPr>
          <w:i/>
          <w:sz w:val="16"/>
        </w:rPr>
        <w:t>la</w:t>
      </w:r>
      <w:r>
        <w:rPr>
          <w:i/>
          <w:spacing w:val="-7"/>
          <w:sz w:val="16"/>
        </w:rPr>
        <w:t> </w:t>
      </w:r>
      <w:r>
        <w:rPr>
          <w:i/>
          <w:sz w:val="16"/>
        </w:rPr>
        <w:t>Cuenca</w:t>
      </w:r>
      <w:r>
        <w:rPr>
          <w:i/>
          <w:spacing w:val="-7"/>
          <w:sz w:val="16"/>
        </w:rPr>
        <w:t> </w:t>
      </w:r>
      <w:r>
        <w:rPr>
          <w:i/>
          <w:sz w:val="16"/>
        </w:rPr>
        <w:t>del</w:t>
      </w:r>
      <w:r>
        <w:rPr>
          <w:i/>
          <w:spacing w:val="-7"/>
          <w:sz w:val="16"/>
        </w:rPr>
        <w:t> </w:t>
      </w:r>
      <w:r>
        <w:rPr>
          <w:i/>
          <w:sz w:val="16"/>
        </w:rPr>
        <w:t>Río</w:t>
      </w:r>
      <w:r>
        <w:rPr>
          <w:i/>
          <w:spacing w:val="-7"/>
          <w:sz w:val="16"/>
        </w:rPr>
        <w:t> </w:t>
      </w:r>
      <w:r>
        <w:rPr>
          <w:i/>
          <w:sz w:val="16"/>
        </w:rPr>
        <w:t>Cacarica</w:t>
      </w:r>
      <w:r>
        <w:rPr>
          <w:i/>
          <w:spacing w:val="-7"/>
          <w:sz w:val="16"/>
        </w:rPr>
        <w:t> </w:t>
      </w:r>
      <w:r>
        <w:rPr>
          <w:i/>
          <w:sz w:val="16"/>
        </w:rPr>
        <w:t>(Operación</w:t>
      </w:r>
      <w:r>
        <w:rPr>
          <w:i/>
          <w:spacing w:val="-6"/>
          <w:sz w:val="16"/>
        </w:rPr>
        <w:t> </w:t>
      </w:r>
      <w:r>
        <w:rPr>
          <w:i/>
          <w:sz w:val="16"/>
        </w:rPr>
        <w:t>Génesis)</w:t>
      </w:r>
      <w:r>
        <w:rPr>
          <w:i/>
          <w:spacing w:val="-7"/>
          <w:sz w:val="16"/>
        </w:rPr>
        <w:t> </w:t>
      </w:r>
      <w:r>
        <w:rPr>
          <w:i/>
          <w:sz w:val="16"/>
        </w:rPr>
        <w:t>Vs.</w:t>
      </w:r>
      <w:r>
        <w:rPr>
          <w:i/>
          <w:spacing w:val="-8"/>
          <w:sz w:val="16"/>
        </w:rPr>
        <w:t> </w:t>
      </w:r>
      <w:r>
        <w:rPr>
          <w:i/>
          <w:sz w:val="16"/>
        </w:rPr>
        <w:t>Colombia.</w:t>
      </w:r>
      <w:r>
        <w:rPr>
          <w:i/>
          <w:spacing w:val="-7"/>
          <w:sz w:val="16"/>
        </w:rPr>
        <w:t> </w:t>
      </w:r>
      <w:r>
        <w:rPr>
          <w:i/>
          <w:sz w:val="16"/>
        </w:rPr>
        <w:t>Excepciones Preliminares, Fondo, Reparaciones y Costas. </w:t>
      </w:r>
      <w:r>
        <w:rPr>
          <w:sz w:val="16"/>
        </w:rPr>
        <w:t>Sentencia de 20 de noviembre de 2013. Serie C No. 270, párr. 10.</w:t>
      </w:r>
    </w:p>
    <w:p>
      <w:pPr>
        <w:tabs>
          <w:tab w:pos="826" w:val="left" w:leader="none"/>
        </w:tabs>
        <w:spacing w:before="121"/>
        <w:ind w:left="118" w:right="313" w:firstLine="0"/>
        <w:jc w:val="both"/>
        <w:rPr>
          <w:sz w:val="16"/>
        </w:rPr>
      </w:pPr>
      <w:r>
        <w:rPr>
          <w:position w:val="6"/>
          <w:sz w:val="10"/>
        </w:rPr>
        <w:t>61</w:t>
        <w:tab/>
      </w:r>
      <w:r>
        <w:rPr>
          <w:i/>
          <w:sz w:val="16"/>
        </w:rPr>
        <w:t>Cfr.</w:t>
      </w:r>
      <w:r>
        <w:rPr>
          <w:i/>
          <w:spacing w:val="-10"/>
          <w:sz w:val="16"/>
        </w:rPr>
        <w:t> </w:t>
      </w:r>
      <w:r>
        <w:rPr>
          <w:i/>
          <w:sz w:val="16"/>
        </w:rPr>
        <w:t>Caso</w:t>
      </w:r>
      <w:r>
        <w:rPr>
          <w:i/>
          <w:spacing w:val="-8"/>
          <w:sz w:val="16"/>
        </w:rPr>
        <w:t> </w:t>
      </w:r>
      <w:r>
        <w:rPr>
          <w:i/>
          <w:sz w:val="16"/>
        </w:rPr>
        <w:t>Yatama</w:t>
      </w:r>
      <w:r>
        <w:rPr>
          <w:i/>
          <w:spacing w:val="-9"/>
          <w:sz w:val="16"/>
        </w:rPr>
        <w:t> </w:t>
      </w:r>
      <w:r>
        <w:rPr>
          <w:i/>
          <w:sz w:val="16"/>
        </w:rPr>
        <w:t>Vs.</w:t>
      </w:r>
      <w:r>
        <w:rPr>
          <w:i/>
          <w:spacing w:val="-10"/>
          <w:sz w:val="16"/>
        </w:rPr>
        <w:t> </w:t>
      </w:r>
      <w:r>
        <w:rPr>
          <w:i/>
          <w:sz w:val="16"/>
        </w:rPr>
        <w:t>Nicaragua.</w:t>
      </w:r>
      <w:r>
        <w:rPr>
          <w:i/>
          <w:spacing w:val="-9"/>
          <w:sz w:val="16"/>
        </w:rPr>
        <w:t> </w:t>
      </w:r>
      <w:r>
        <w:rPr>
          <w:i/>
          <w:sz w:val="16"/>
        </w:rPr>
        <w:t>Excepciones</w:t>
      </w:r>
      <w:r>
        <w:rPr>
          <w:i/>
          <w:spacing w:val="-10"/>
          <w:sz w:val="16"/>
        </w:rPr>
        <w:t> </w:t>
      </w:r>
      <w:r>
        <w:rPr>
          <w:i/>
          <w:sz w:val="16"/>
        </w:rPr>
        <w:t>Preliminares,</w:t>
      </w:r>
      <w:r>
        <w:rPr>
          <w:i/>
          <w:spacing w:val="-9"/>
          <w:sz w:val="16"/>
        </w:rPr>
        <w:t> </w:t>
      </w:r>
      <w:r>
        <w:rPr>
          <w:i/>
          <w:sz w:val="16"/>
        </w:rPr>
        <w:t>Fondo,</w:t>
      </w:r>
      <w:r>
        <w:rPr>
          <w:i/>
          <w:spacing w:val="-10"/>
          <w:sz w:val="16"/>
        </w:rPr>
        <w:t> </w:t>
      </w:r>
      <w:r>
        <w:rPr>
          <w:i/>
          <w:sz w:val="16"/>
        </w:rPr>
        <w:t>Reparaciones</w:t>
      </w:r>
      <w:r>
        <w:rPr>
          <w:i/>
          <w:spacing w:val="-9"/>
          <w:sz w:val="16"/>
        </w:rPr>
        <w:t> </w:t>
      </w:r>
      <w:r>
        <w:rPr>
          <w:i/>
          <w:sz w:val="16"/>
        </w:rPr>
        <w:t>y</w:t>
      </w:r>
      <w:r>
        <w:rPr>
          <w:i/>
          <w:spacing w:val="-9"/>
          <w:sz w:val="16"/>
        </w:rPr>
        <w:t> </w:t>
      </w:r>
      <w:r>
        <w:rPr>
          <w:i/>
          <w:sz w:val="16"/>
        </w:rPr>
        <w:t>Costas</w:t>
      </w:r>
      <w:r>
        <w:rPr>
          <w:sz w:val="16"/>
        </w:rPr>
        <w:t>.</w:t>
      </w:r>
      <w:r>
        <w:rPr>
          <w:spacing w:val="-10"/>
          <w:sz w:val="16"/>
        </w:rPr>
        <w:t> </w:t>
      </w:r>
      <w:r>
        <w:rPr>
          <w:sz w:val="16"/>
        </w:rPr>
        <w:t>Sentencia</w:t>
      </w:r>
      <w:r>
        <w:rPr>
          <w:spacing w:val="-1"/>
          <w:w w:val="99"/>
          <w:sz w:val="16"/>
        </w:rPr>
        <w:t> </w:t>
      </w:r>
      <w:r>
        <w:rPr>
          <w:sz w:val="16"/>
        </w:rPr>
        <w:t>de 23 de junio de 2005. Serie C No. 127, párrs. 17, 34, 38 y</w:t>
      </w:r>
      <w:r>
        <w:rPr>
          <w:spacing w:val="-14"/>
          <w:sz w:val="16"/>
        </w:rPr>
        <w:t> </w:t>
      </w:r>
      <w:r>
        <w:rPr>
          <w:sz w:val="16"/>
        </w:rPr>
        <w:t>42.</w:t>
      </w:r>
    </w:p>
    <w:p>
      <w:pPr>
        <w:tabs>
          <w:tab w:pos="826" w:val="left" w:leader="none"/>
        </w:tabs>
        <w:spacing w:before="120"/>
        <w:ind w:left="118" w:right="309" w:firstLine="0"/>
        <w:jc w:val="both"/>
        <w:rPr>
          <w:sz w:val="16"/>
        </w:rPr>
      </w:pPr>
      <w:r>
        <w:rPr>
          <w:position w:val="6"/>
          <w:sz w:val="10"/>
        </w:rPr>
        <w:t>62</w:t>
        <w:tab/>
      </w:r>
      <w:r>
        <w:rPr>
          <w:i/>
          <w:sz w:val="16"/>
        </w:rPr>
        <w:t>Cfr.</w:t>
      </w:r>
      <w:r>
        <w:rPr>
          <w:i/>
          <w:spacing w:val="31"/>
          <w:sz w:val="16"/>
        </w:rPr>
        <w:t> </w:t>
      </w:r>
      <w:r>
        <w:rPr>
          <w:i/>
          <w:sz w:val="16"/>
        </w:rPr>
        <w:t>Caso</w:t>
      </w:r>
      <w:r>
        <w:rPr>
          <w:i/>
          <w:spacing w:val="31"/>
          <w:sz w:val="16"/>
        </w:rPr>
        <w:t> </w:t>
      </w:r>
      <w:r>
        <w:rPr>
          <w:i/>
          <w:sz w:val="16"/>
        </w:rPr>
        <w:t>Miembros</w:t>
      </w:r>
      <w:r>
        <w:rPr>
          <w:i/>
          <w:spacing w:val="30"/>
          <w:sz w:val="16"/>
        </w:rPr>
        <w:t> </w:t>
      </w:r>
      <w:r>
        <w:rPr>
          <w:i/>
          <w:sz w:val="16"/>
        </w:rPr>
        <w:t>de</w:t>
      </w:r>
      <w:r>
        <w:rPr>
          <w:i/>
          <w:spacing w:val="30"/>
          <w:sz w:val="16"/>
        </w:rPr>
        <w:t> </w:t>
      </w:r>
      <w:r>
        <w:rPr>
          <w:i/>
          <w:sz w:val="16"/>
        </w:rPr>
        <w:t>la</w:t>
      </w:r>
      <w:r>
        <w:rPr>
          <w:i/>
          <w:spacing w:val="31"/>
          <w:sz w:val="16"/>
        </w:rPr>
        <w:t> </w:t>
      </w:r>
      <w:r>
        <w:rPr>
          <w:i/>
          <w:sz w:val="16"/>
        </w:rPr>
        <w:t>Aldea</w:t>
      </w:r>
      <w:r>
        <w:rPr>
          <w:i/>
          <w:spacing w:val="31"/>
          <w:sz w:val="16"/>
        </w:rPr>
        <w:t> </w:t>
      </w:r>
      <w:r>
        <w:rPr>
          <w:i/>
          <w:sz w:val="16"/>
        </w:rPr>
        <w:t>Chichupac</w:t>
      </w:r>
      <w:r>
        <w:rPr>
          <w:i/>
          <w:spacing w:val="30"/>
          <w:sz w:val="16"/>
        </w:rPr>
        <w:t> </w:t>
      </w:r>
      <w:r>
        <w:rPr>
          <w:i/>
          <w:sz w:val="16"/>
        </w:rPr>
        <w:t>y</w:t>
      </w:r>
      <w:r>
        <w:rPr>
          <w:i/>
          <w:spacing w:val="31"/>
          <w:sz w:val="16"/>
        </w:rPr>
        <w:t> </w:t>
      </w:r>
      <w:r>
        <w:rPr>
          <w:i/>
          <w:sz w:val="16"/>
        </w:rPr>
        <w:t>comunidades</w:t>
      </w:r>
      <w:r>
        <w:rPr>
          <w:i/>
          <w:spacing w:val="30"/>
          <w:sz w:val="16"/>
        </w:rPr>
        <w:t> </w:t>
      </w:r>
      <w:r>
        <w:rPr>
          <w:i/>
          <w:sz w:val="16"/>
        </w:rPr>
        <w:t>vecinas</w:t>
      </w:r>
      <w:r>
        <w:rPr>
          <w:i/>
          <w:spacing w:val="30"/>
          <w:sz w:val="16"/>
        </w:rPr>
        <w:t> </w:t>
      </w:r>
      <w:r>
        <w:rPr>
          <w:i/>
          <w:sz w:val="16"/>
        </w:rPr>
        <w:t>del</w:t>
      </w:r>
      <w:r>
        <w:rPr>
          <w:i/>
          <w:spacing w:val="31"/>
          <w:sz w:val="16"/>
        </w:rPr>
        <w:t> </w:t>
      </w:r>
      <w:r>
        <w:rPr>
          <w:i/>
          <w:sz w:val="16"/>
        </w:rPr>
        <w:t>Municipio</w:t>
      </w:r>
      <w:r>
        <w:rPr>
          <w:i/>
          <w:spacing w:val="31"/>
          <w:sz w:val="16"/>
        </w:rPr>
        <w:t> </w:t>
      </w:r>
      <w:r>
        <w:rPr>
          <w:i/>
          <w:sz w:val="16"/>
        </w:rPr>
        <w:t>de</w:t>
      </w:r>
      <w:r>
        <w:rPr>
          <w:i/>
          <w:spacing w:val="30"/>
          <w:sz w:val="16"/>
        </w:rPr>
        <w:t> </w:t>
      </w:r>
      <w:r>
        <w:rPr>
          <w:i/>
          <w:sz w:val="16"/>
        </w:rPr>
        <w:t>Rabinal</w:t>
      </w:r>
      <w:r>
        <w:rPr>
          <w:i/>
          <w:spacing w:val="31"/>
          <w:sz w:val="16"/>
        </w:rPr>
        <w:t> </w:t>
      </w:r>
      <w:r>
        <w:rPr>
          <w:i/>
          <w:sz w:val="16"/>
        </w:rPr>
        <w:t>Vs.</w:t>
      </w:r>
      <w:r>
        <w:rPr>
          <w:i/>
          <w:w w:val="99"/>
          <w:sz w:val="16"/>
        </w:rPr>
        <w:t> </w:t>
      </w:r>
      <w:r>
        <w:rPr>
          <w:i/>
          <w:sz w:val="16"/>
        </w:rPr>
        <w:t>Guatemala.</w:t>
      </w:r>
      <w:r>
        <w:rPr>
          <w:i/>
          <w:spacing w:val="-10"/>
          <w:sz w:val="16"/>
        </w:rPr>
        <w:t> </w:t>
      </w:r>
      <w:r>
        <w:rPr>
          <w:i/>
          <w:sz w:val="16"/>
        </w:rPr>
        <w:t>Excepciones</w:t>
      </w:r>
      <w:r>
        <w:rPr>
          <w:i/>
          <w:spacing w:val="-10"/>
          <w:sz w:val="16"/>
        </w:rPr>
        <w:t> </w:t>
      </w:r>
      <w:r>
        <w:rPr>
          <w:i/>
          <w:sz w:val="16"/>
        </w:rPr>
        <w:t>Preliminares,</w:t>
      </w:r>
      <w:r>
        <w:rPr>
          <w:i/>
          <w:spacing w:val="-10"/>
          <w:sz w:val="16"/>
        </w:rPr>
        <w:t> </w:t>
      </w:r>
      <w:r>
        <w:rPr>
          <w:i/>
          <w:sz w:val="16"/>
        </w:rPr>
        <w:t>Fondo,</w:t>
      </w:r>
      <w:r>
        <w:rPr>
          <w:i/>
          <w:spacing w:val="-10"/>
          <w:sz w:val="16"/>
        </w:rPr>
        <w:t> </w:t>
      </w:r>
      <w:r>
        <w:rPr>
          <w:i/>
          <w:sz w:val="16"/>
        </w:rPr>
        <w:t>Reparaciones</w:t>
      </w:r>
      <w:r>
        <w:rPr>
          <w:i/>
          <w:spacing w:val="-10"/>
          <w:sz w:val="16"/>
        </w:rPr>
        <w:t> </w:t>
      </w:r>
      <w:r>
        <w:rPr>
          <w:i/>
          <w:sz w:val="16"/>
        </w:rPr>
        <w:t>y</w:t>
      </w:r>
      <w:r>
        <w:rPr>
          <w:i/>
          <w:spacing w:val="-9"/>
          <w:sz w:val="16"/>
        </w:rPr>
        <w:t> </w:t>
      </w:r>
      <w:r>
        <w:rPr>
          <w:i/>
          <w:sz w:val="16"/>
        </w:rPr>
        <w:t>Costas</w:t>
      </w:r>
      <w:r>
        <w:rPr>
          <w:sz w:val="16"/>
        </w:rPr>
        <w:t>.</w:t>
      </w:r>
      <w:r>
        <w:rPr>
          <w:spacing w:val="-10"/>
          <w:sz w:val="16"/>
        </w:rPr>
        <w:t> </w:t>
      </w:r>
      <w:r>
        <w:rPr>
          <w:sz w:val="16"/>
        </w:rPr>
        <w:t>Sentencia</w:t>
      </w:r>
      <w:r>
        <w:rPr>
          <w:spacing w:val="-9"/>
          <w:sz w:val="16"/>
        </w:rPr>
        <w:t> </w:t>
      </w:r>
      <w:r>
        <w:rPr>
          <w:sz w:val="16"/>
        </w:rPr>
        <w:t>de</w:t>
      </w:r>
      <w:r>
        <w:rPr>
          <w:spacing w:val="-10"/>
          <w:sz w:val="16"/>
        </w:rPr>
        <w:t> </w:t>
      </w:r>
      <w:r>
        <w:rPr>
          <w:sz w:val="16"/>
        </w:rPr>
        <w:t>30</w:t>
      </w:r>
      <w:r>
        <w:rPr>
          <w:spacing w:val="-9"/>
          <w:sz w:val="16"/>
        </w:rPr>
        <w:t> </w:t>
      </w:r>
      <w:r>
        <w:rPr>
          <w:sz w:val="16"/>
        </w:rPr>
        <w:t>de</w:t>
      </w:r>
      <w:r>
        <w:rPr>
          <w:spacing w:val="-10"/>
          <w:sz w:val="16"/>
        </w:rPr>
        <w:t> </w:t>
      </w:r>
      <w:r>
        <w:rPr>
          <w:sz w:val="16"/>
        </w:rPr>
        <w:t>noviembre</w:t>
      </w:r>
      <w:r>
        <w:rPr>
          <w:spacing w:val="-9"/>
          <w:sz w:val="16"/>
        </w:rPr>
        <w:t> </w:t>
      </w:r>
      <w:r>
        <w:rPr>
          <w:sz w:val="16"/>
        </w:rPr>
        <w:t>de</w:t>
      </w:r>
      <w:r>
        <w:rPr>
          <w:spacing w:val="-8"/>
          <w:sz w:val="16"/>
        </w:rPr>
        <w:t> </w:t>
      </w:r>
      <w:r>
        <w:rPr>
          <w:sz w:val="16"/>
        </w:rPr>
        <w:t>2016. Serie C No. 328, párr.</w:t>
      </w:r>
      <w:r>
        <w:rPr>
          <w:spacing w:val="-8"/>
          <w:sz w:val="16"/>
        </w:rPr>
        <w:t> </w:t>
      </w:r>
      <w:r>
        <w:rPr>
          <w:sz w:val="16"/>
        </w:rPr>
        <w:t>9.</w:t>
      </w:r>
    </w:p>
    <w:p>
      <w:pPr>
        <w:tabs>
          <w:tab w:pos="826" w:val="left" w:leader="none"/>
        </w:tabs>
        <w:spacing w:before="120"/>
        <w:ind w:left="118" w:right="310" w:firstLine="0"/>
        <w:jc w:val="both"/>
        <w:rPr>
          <w:sz w:val="16"/>
        </w:rPr>
      </w:pPr>
      <w:r>
        <w:rPr>
          <w:position w:val="6"/>
          <w:sz w:val="10"/>
        </w:rPr>
        <w:t>63</w:t>
        <w:tab/>
      </w:r>
      <w:r>
        <w:rPr>
          <w:i/>
          <w:sz w:val="16"/>
        </w:rPr>
        <w:t>Cfr. Caso  Comunidades  indígenas  miembros de la asociación Lhaka Honhat  (Nuestra </w:t>
      </w:r>
      <w:r>
        <w:rPr>
          <w:i/>
          <w:spacing w:val="26"/>
          <w:sz w:val="16"/>
        </w:rPr>
        <w:t> </w:t>
      </w:r>
      <w:r>
        <w:rPr>
          <w:i/>
          <w:sz w:val="16"/>
        </w:rPr>
        <w:t>Tierra)</w:t>
      </w:r>
      <w:r>
        <w:rPr>
          <w:i/>
          <w:spacing w:val="33"/>
          <w:sz w:val="16"/>
        </w:rPr>
        <w:t> </w:t>
      </w:r>
      <w:r>
        <w:rPr>
          <w:i/>
          <w:sz w:val="16"/>
        </w:rPr>
        <w:t>Vs.</w:t>
      </w:r>
      <w:r>
        <w:rPr>
          <w:i/>
          <w:w w:val="99"/>
          <w:sz w:val="16"/>
        </w:rPr>
        <w:t> </w:t>
      </w:r>
      <w:r>
        <w:rPr>
          <w:i/>
          <w:sz w:val="16"/>
        </w:rPr>
        <w:t>Argentina.</w:t>
      </w:r>
      <w:r>
        <w:rPr>
          <w:i/>
          <w:spacing w:val="-5"/>
          <w:sz w:val="16"/>
        </w:rPr>
        <w:t> </w:t>
      </w:r>
      <w:r>
        <w:rPr>
          <w:i/>
          <w:sz w:val="16"/>
        </w:rPr>
        <w:t>Fondo,</w:t>
      </w:r>
      <w:r>
        <w:rPr>
          <w:i/>
          <w:spacing w:val="-6"/>
          <w:sz w:val="16"/>
        </w:rPr>
        <w:t> </w:t>
      </w:r>
      <w:r>
        <w:rPr>
          <w:i/>
          <w:sz w:val="16"/>
        </w:rPr>
        <w:t>Reparaciones</w:t>
      </w:r>
      <w:r>
        <w:rPr>
          <w:i/>
          <w:spacing w:val="-7"/>
          <w:sz w:val="16"/>
        </w:rPr>
        <w:t> </w:t>
      </w:r>
      <w:r>
        <w:rPr>
          <w:i/>
          <w:sz w:val="16"/>
        </w:rPr>
        <w:t>y</w:t>
      </w:r>
      <w:r>
        <w:rPr>
          <w:i/>
          <w:spacing w:val="-5"/>
          <w:sz w:val="16"/>
        </w:rPr>
        <w:t> </w:t>
      </w:r>
      <w:r>
        <w:rPr>
          <w:i/>
          <w:sz w:val="16"/>
        </w:rPr>
        <w:t>Costas.</w:t>
      </w:r>
      <w:r>
        <w:rPr>
          <w:i/>
          <w:spacing w:val="-4"/>
          <w:sz w:val="16"/>
        </w:rPr>
        <w:t> </w:t>
      </w:r>
      <w:r>
        <w:rPr>
          <w:sz w:val="16"/>
        </w:rPr>
        <w:t>Sentencia</w:t>
      </w:r>
      <w:r>
        <w:rPr>
          <w:spacing w:val="-5"/>
          <w:sz w:val="16"/>
        </w:rPr>
        <w:t> </w:t>
      </w:r>
      <w:r>
        <w:rPr>
          <w:sz w:val="16"/>
        </w:rPr>
        <w:t>de</w:t>
      </w:r>
      <w:r>
        <w:rPr>
          <w:spacing w:val="-6"/>
          <w:sz w:val="16"/>
        </w:rPr>
        <w:t> </w:t>
      </w:r>
      <w:r>
        <w:rPr>
          <w:sz w:val="16"/>
        </w:rPr>
        <w:t>6</w:t>
      </w:r>
      <w:r>
        <w:rPr>
          <w:spacing w:val="-4"/>
          <w:sz w:val="16"/>
        </w:rPr>
        <w:t> </w:t>
      </w:r>
      <w:r>
        <w:rPr>
          <w:sz w:val="16"/>
        </w:rPr>
        <w:t>de</w:t>
      </w:r>
      <w:r>
        <w:rPr>
          <w:spacing w:val="-6"/>
          <w:sz w:val="16"/>
        </w:rPr>
        <w:t> </w:t>
      </w:r>
      <w:r>
        <w:rPr>
          <w:sz w:val="16"/>
        </w:rPr>
        <w:t>febrero</w:t>
      </w:r>
      <w:r>
        <w:rPr>
          <w:spacing w:val="-3"/>
          <w:sz w:val="16"/>
        </w:rPr>
        <w:t> </w:t>
      </w:r>
      <w:r>
        <w:rPr>
          <w:sz w:val="16"/>
        </w:rPr>
        <w:t>de</w:t>
      </w:r>
      <w:r>
        <w:rPr>
          <w:spacing w:val="-5"/>
          <w:sz w:val="16"/>
        </w:rPr>
        <w:t> </w:t>
      </w:r>
      <w:r>
        <w:rPr>
          <w:sz w:val="16"/>
        </w:rPr>
        <w:t>2020.</w:t>
      </w:r>
      <w:r>
        <w:rPr>
          <w:spacing w:val="-6"/>
          <w:sz w:val="16"/>
        </w:rPr>
        <w:t> </w:t>
      </w:r>
      <w:r>
        <w:rPr>
          <w:sz w:val="16"/>
        </w:rPr>
        <w:t>Serie</w:t>
      </w:r>
      <w:r>
        <w:rPr>
          <w:spacing w:val="-6"/>
          <w:sz w:val="16"/>
        </w:rPr>
        <w:t> </w:t>
      </w:r>
      <w:r>
        <w:rPr>
          <w:sz w:val="16"/>
        </w:rPr>
        <w:t>C</w:t>
      </w:r>
      <w:r>
        <w:rPr>
          <w:spacing w:val="-5"/>
          <w:sz w:val="16"/>
        </w:rPr>
        <w:t> </w:t>
      </w:r>
      <w:r>
        <w:rPr>
          <w:sz w:val="16"/>
        </w:rPr>
        <w:t>No.</w:t>
      </w:r>
      <w:r>
        <w:rPr>
          <w:spacing w:val="-6"/>
          <w:sz w:val="16"/>
        </w:rPr>
        <w:t> </w:t>
      </w:r>
      <w:r>
        <w:rPr>
          <w:sz w:val="16"/>
        </w:rPr>
        <w:t>400,</w:t>
      </w:r>
      <w:r>
        <w:rPr>
          <w:spacing w:val="-5"/>
          <w:sz w:val="16"/>
        </w:rPr>
        <w:t> </w:t>
      </w:r>
      <w:r>
        <w:rPr>
          <w:sz w:val="16"/>
        </w:rPr>
        <w:t>párr.</w:t>
      </w:r>
      <w:r>
        <w:rPr>
          <w:spacing w:val="-5"/>
          <w:sz w:val="16"/>
        </w:rPr>
        <w:t> </w:t>
      </w:r>
      <w:r>
        <w:rPr>
          <w:sz w:val="16"/>
        </w:rPr>
        <w:t>50,</w:t>
      </w:r>
      <w:r>
        <w:rPr>
          <w:spacing w:val="-6"/>
          <w:sz w:val="16"/>
        </w:rPr>
        <w:t> </w:t>
      </w:r>
      <w:r>
        <w:rPr>
          <w:sz w:val="16"/>
        </w:rPr>
        <w:t>nota 33; párr. 54, nota 42; párr. 144, nota 141; párr. 146, nota 142; párr. 161, nota 150; párr. 165, nota 153; párr. 165, nota 154; párr. 174, nota 161; párr. 174, nota 162; párr. 203, nota 193; párr. 216, nota 210; párr. 246, nota 247; párr. 250, notal 251; párr. 254, nota 260; párr. 258, nota 263; párr. 261, nota 270; párr. 275, nota 288; párr. 279, nota 289; párr. 353, nota 331; párr. 355, nota 334, y párr. 356, nota</w:t>
      </w:r>
      <w:r>
        <w:rPr>
          <w:spacing w:val="-29"/>
          <w:sz w:val="16"/>
        </w:rPr>
        <w:t> </w:t>
      </w:r>
      <w:r>
        <w:rPr>
          <w:sz w:val="16"/>
        </w:rPr>
        <w:t>335.</w:t>
      </w:r>
    </w:p>
    <w:p>
      <w:pPr>
        <w:tabs>
          <w:tab w:pos="826" w:val="left" w:leader="none"/>
        </w:tabs>
        <w:spacing w:before="120"/>
        <w:ind w:left="118" w:right="313" w:firstLine="0"/>
        <w:jc w:val="both"/>
        <w:rPr>
          <w:sz w:val="16"/>
        </w:rPr>
      </w:pPr>
      <w:r>
        <w:rPr>
          <w:position w:val="6"/>
          <w:sz w:val="10"/>
        </w:rPr>
        <w:t>64</w:t>
        <w:tab/>
      </w:r>
      <w:r>
        <w:rPr>
          <w:sz w:val="16"/>
        </w:rPr>
        <w:t>Al respecto, véase el </w:t>
      </w:r>
      <w:r>
        <w:rPr>
          <w:i/>
          <w:sz w:val="16"/>
        </w:rPr>
        <w:t>Amicus Curiae </w:t>
      </w:r>
      <w:r>
        <w:rPr>
          <w:sz w:val="16"/>
        </w:rPr>
        <w:t>presentado por la Fundación   </w:t>
      </w:r>
      <w:r>
        <w:rPr>
          <w:spacing w:val="17"/>
          <w:sz w:val="16"/>
        </w:rPr>
        <w:t> </w:t>
      </w:r>
      <w:r>
        <w:rPr>
          <w:sz w:val="16"/>
        </w:rPr>
        <w:t>Ambiente y Recursos</w:t>
      </w:r>
      <w:r>
        <w:rPr>
          <w:spacing w:val="14"/>
          <w:sz w:val="16"/>
        </w:rPr>
        <w:t> </w:t>
      </w:r>
      <w:r>
        <w:rPr>
          <w:sz w:val="16"/>
        </w:rPr>
        <w:t>Naturales,</w:t>
      </w:r>
      <w:r>
        <w:rPr>
          <w:w w:val="99"/>
          <w:sz w:val="16"/>
        </w:rPr>
        <w:t> </w:t>
      </w:r>
      <w:r>
        <w:rPr>
          <w:sz w:val="16"/>
        </w:rPr>
        <w:t>págs.</w:t>
      </w:r>
      <w:r>
        <w:rPr>
          <w:spacing w:val="-6"/>
          <w:sz w:val="16"/>
        </w:rPr>
        <w:t> </w:t>
      </w:r>
      <w:r>
        <w:rPr>
          <w:sz w:val="16"/>
        </w:rPr>
        <w:t>6-13.</w:t>
      </w:r>
    </w:p>
    <w:p>
      <w:pPr>
        <w:tabs>
          <w:tab w:pos="826" w:val="left" w:leader="none"/>
        </w:tabs>
        <w:spacing w:before="120"/>
        <w:ind w:left="118" w:right="311" w:firstLine="0"/>
        <w:jc w:val="both"/>
        <w:rPr>
          <w:sz w:val="16"/>
        </w:rPr>
      </w:pPr>
      <w:r>
        <w:rPr>
          <w:position w:val="6"/>
          <w:sz w:val="10"/>
        </w:rPr>
        <w:t>65</w:t>
        <w:tab/>
      </w:r>
      <w:r>
        <w:rPr>
          <w:sz w:val="16"/>
        </w:rPr>
        <w:t>Véase</w:t>
      </w:r>
      <w:r>
        <w:rPr>
          <w:spacing w:val="30"/>
          <w:sz w:val="16"/>
        </w:rPr>
        <w:t> </w:t>
      </w:r>
      <w:r>
        <w:rPr>
          <w:i/>
          <w:sz w:val="16"/>
        </w:rPr>
        <w:t>Amicus</w:t>
      </w:r>
      <w:r>
        <w:rPr>
          <w:i/>
          <w:spacing w:val="30"/>
          <w:sz w:val="16"/>
        </w:rPr>
        <w:t> </w:t>
      </w:r>
      <w:r>
        <w:rPr>
          <w:i/>
          <w:sz w:val="16"/>
        </w:rPr>
        <w:t>Curiae</w:t>
      </w:r>
      <w:r>
        <w:rPr>
          <w:i/>
          <w:spacing w:val="30"/>
          <w:sz w:val="16"/>
        </w:rPr>
        <w:t> </w:t>
      </w:r>
      <w:r>
        <w:rPr>
          <w:sz w:val="16"/>
        </w:rPr>
        <w:t>del</w:t>
      </w:r>
      <w:r>
        <w:rPr>
          <w:spacing w:val="29"/>
          <w:sz w:val="16"/>
        </w:rPr>
        <w:t> </w:t>
      </w:r>
      <w:r>
        <w:rPr>
          <w:sz w:val="16"/>
        </w:rPr>
        <w:t>Centro</w:t>
      </w:r>
      <w:r>
        <w:rPr>
          <w:spacing w:val="30"/>
          <w:sz w:val="16"/>
        </w:rPr>
        <w:t> </w:t>
      </w:r>
      <w:r>
        <w:rPr>
          <w:sz w:val="16"/>
        </w:rPr>
        <w:t>de</w:t>
      </w:r>
      <w:r>
        <w:rPr>
          <w:spacing w:val="29"/>
          <w:sz w:val="16"/>
        </w:rPr>
        <w:t> </w:t>
      </w:r>
      <w:r>
        <w:rPr>
          <w:sz w:val="16"/>
        </w:rPr>
        <w:t>Derechos</w:t>
      </w:r>
      <w:r>
        <w:rPr>
          <w:spacing w:val="31"/>
          <w:sz w:val="16"/>
        </w:rPr>
        <w:t> </w:t>
      </w:r>
      <w:r>
        <w:rPr>
          <w:sz w:val="16"/>
        </w:rPr>
        <w:t>Humanos</w:t>
      </w:r>
      <w:r>
        <w:rPr>
          <w:spacing w:val="30"/>
          <w:sz w:val="16"/>
        </w:rPr>
        <w:t> </w:t>
      </w:r>
      <w:r>
        <w:rPr>
          <w:sz w:val="16"/>
        </w:rPr>
        <w:t>de</w:t>
      </w:r>
      <w:r>
        <w:rPr>
          <w:spacing w:val="29"/>
          <w:sz w:val="16"/>
        </w:rPr>
        <w:t> </w:t>
      </w:r>
      <w:r>
        <w:rPr>
          <w:sz w:val="16"/>
        </w:rPr>
        <w:t>la</w:t>
      </w:r>
      <w:r>
        <w:rPr>
          <w:spacing w:val="30"/>
          <w:sz w:val="16"/>
        </w:rPr>
        <w:t> </w:t>
      </w:r>
      <w:r>
        <w:rPr>
          <w:sz w:val="16"/>
        </w:rPr>
        <w:t>Pontificia</w:t>
      </w:r>
      <w:r>
        <w:rPr>
          <w:spacing w:val="30"/>
          <w:sz w:val="16"/>
        </w:rPr>
        <w:t> </w:t>
      </w:r>
      <w:r>
        <w:rPr>
          <w:sz w:val="16"/>
        </w:rPr>
        <w:t>Universidad</w:t>
      </w:r>
      <w:r>
        <w:rPr>
          <w:spacing w:val="32"/>
          <w:sz w:val="16"/>
        </w:rPr>
        <w:t> </w:t>
      </w:r>
      <w:r>
        <w:rPr>
          <w:sz w:val="16"/>
        </w:rPr>
        <w:t>Católica</w:t>
      </w:r>
      <w:r>
        <w:rPr>
          <w:spacing w:val="30"/>
          <w:sz w:val="16"/>
        </w:rPr>
        <w:t> </w:t>
      </w:r>
      <w:r>
        <w:rPr>
          <w:sz w:val="16"/>
        </w:rPr>
        <w:t>del</w:t>
      </w:r>
      <w:r>
        <w:rPr>
          <w:w w:val="99"/>
          <w:sz w:val="16"/>
        </w:rPr>
        <w:t> </w:t>
      </w:r>
      <w:r>
        <w:rPr>
          <w:sz w:val="16"/>
        </w:rPr>
        <w:t>Ecuador, en su totalidad; asimismo, </w:t>
      </w:r>
      <w:r>
        <w:rPr>
          <w:i/>
          <w:sz w:val="16"/>
        </w:rPr>
        <w:t>Amicus Curiae </w:t>
      </w:r>
      <w:r>
        <w:rPr>
          <w:sz w:val="16"/>
        </w:rPr>
        <w:t>elaborado de manera conjunta por la Fundación para el Debido Proceso, la Clínica de Derechos Humanos de la Universidad de Ottawa, el Instituto de Democracia y Derechos Humanos de la Pontificia Universidad Católica del Perú (IDEHPUCP), el Núcleo de Estudios en Sistemas</w:t>
      </w:r>
      <w:r>
        <w:rPr>
          <w:spacing w:val="14"/>
          <w:sz w:val="16"/>
        </w:rPr>
        <w:t> </w:t>
      </w:r>
      <w:r>
        <w:rPr>
          <w:sz w:val="16"/>
        </w:rPr>
        <w:t>Internacionales</w:t>
      </w:r>
      <w:r>
        <w:rPr>
          <w:spacing w:val="14"/>
          <w:sz w:val="16"/>
        </w:rPr>
        <w:t> </w:t>
      </w:r>
      <w:r>
        <w:rPr>
          <w:sz w:val="16"/>
        </w:rPr>
        <w:t>de</w:t>
      </w:r>
      <w:r>
        <w:rPr>
          <w:spacing w:val="16"/>
          <w:sz w:val="16"/>
        </w:rPr>
        <w:t> </w:t>
      </w:r>
      <w:r>
        <w:rPr>
          <w:sz w:val="16"/>
        </w:rPr>
        <w:t>Derechos</w:t>
      </w:r>
      <w:r>
        <w:rPr>
          <w:spacing w:val="14"/>
          <w:sz w:val="16"/>
        </w:rPr>
        <w:t> </w:t>
      </w:r>
      <w:r>
        <w:rPr>
          <w:sz w:val="16"/>
        </w:rPr>
        <w:t>Humanos</w:t>
      </w:r>
      <w:r>
        <w:rPr>
          <w:spacing w:val="14"/>
          <w:sz w:val="16"/>
        </w:rPr>
        <w:t> </w:t>
      </w:r>
      <w:r>
        <w:rPr>
          <w:sz w:val="16"/>
        </w:rPr>
        <w:t>(NESIDH)</w:t>
      </w:r>
      <w:r>
        <w:rPr>
          <w:spacing w:val="14"/>
          <w:sz w:val="16"/>
        </w:rPr>
        <w:t> </w:t>
      </w:r>
      <w:r>
        <w:rPr>
          <w:sz w:val="16"/>
        </w:rPr>
        <w:t>de</w:t>
      </w:r>
      <w:r>
        <w:rPr>
          <w:spacing w:val="14"/>
          <w:sz w:val="16"/>
        </w:rPr>
        <w:t> </w:t>
      </w:r>
      <w:r>
        <w:rPr>
          <w:sz w:val="16"/>
        </w:rPr>
        <w:t>la</w:t>
      </w:r>
      <w:r>
        <w:rPr>
          <w:spacing w:val="15"/>
          <w:sz w:val="16"/>
        </w:rPr>
        <w:t> </w:t>
      </w:r>
      <w:r>
        <w:rPr>
          <w:sz w:val="16"/>
        </w:rPr>
        <w:t>Universidad</w:t>
      </w:r>
      <w:r>
        <w:rPr>
          <w:spacing w:val="15"/>
          <w:sz w:val="16"/>
        </w:rPr>
        <w:t> </w:t>
      </w:r>
      <w:r>
        <w:rPr>
          <w:sz w:val="16"/>
        </w:rPr>
        <w:t>Federal</w:t>
      </w:r>
      <w:r>
        <w:rPr>
          <w:spacing w:val="14"/>
          <w:sz w:val="16"/>
        </w:rPr>
        <w:t> </w:t>
      </w:r>
      <w:r>
        <w:rPr>
          <w:sz w:val="16"/>
        </w:rPr>
        <w:t>de</w:t>
      </w:r>
      <w:r>
        <w:rPr>
          <w:spacing w:val="14"/>
          <w:sz w:val="16"/>
        </w:rPr>
        <w:t> </w:t>
      </w:r>
      <w:r>
        <w:rPr>
          <w:sz w:val="16"/>
        </w:rPr>
        <w:t>Paraná</w:t>
      </w:r>
      <w:r>
        <w:rPr>
          <w:spacing w:val="15"/>
          <w:sz w:val="16"/>
        </w:rPr>
        <w:t> </w:t>
      </w:r>
      <w:r>
        <w:rPr>
          <w:sz w:val="16"/>
        </w:rPr>
        <w:t>(UFPR),</w:t>
      </w:r>
      <w:r>
        <w:rPr>
          <w:spacing w:val="15"/>
          <w:sz w:val="16"/>
        </w:rPr>
        <w:t> </w:t>
      </w:r>
      <w:r>
        <w:rPr>
          <w:sz w:val="16"/>
        </w:rPr>
        <w:t>la</w:t>
      </w:r>
    </w:p>
    <w:p>
      <w:pPr>
        <w:spacing w:after="0"/>
        <w:jc w:val="both"/>
        <w:rPr>
          <w:sz w:val="16"/>
        </w:rPr>
        <w:sectPr>
          <w:pgSz w:w="12240" w:h="15840"/>
          <w:pgMar w:header="0" w:footer="782" w:top="1340" w:bottom="980" w:left="1300" w:right="1720"/>
        </w:sectPr>
      </w:pPr>
    </w:p>
    <w:p>
      <w:pPr>
        <w:pStyle w:val="ListParagraph"/>
        <w:numPr>
          <w:ilvl w:val="0"/>
          <w:numId w:val="77"/>
        </w:numPr>
        <w:tabs>
          <w:tab w:pos="827" w:val="left" w:leader="none"/>
        </w:tabs>
        <w:spacing w:line="240" w:lineRule="auto" w:before="161" w:after="0"/>
        <w:ind w:left="118" w:right="309" w:firstLine="0"/>
        <w:jc w:val="both"/>
        <w:rPr>
          <w:sz w:val="20"/>
        </w:rPr>
      </w:pPr>
      <w:r>
        <w:rPr>
          <w:sz w:val="20"/>
        </w:rPr>
        <w:t>Otra vertiente de los referidos escritos se refiere a la justiciabilidad directa y la protección autónoma de los derechos económicos, sociales, culturales y ambientales. Sobre</w:t>
      </w:r>
      <w:r>
        <w:rPr>
          <w:spacing w:val="-4"/>
          <w:sz w:val="20"/>
        </w:rPr>
        <w:t> </w:t>
      </w:r>
      <w:r>
        <w:rPr>
          <w:sz w:val="20"/>
        </w:rPr>
        <w:t>esta</w:t>
      </w:r>
      <w:r>
        <w:rPr>
          <w:spacing w:val="-5"/>
          <w:sz w:val="20"/>
        </w:rPr>
        <w:t> </w:t>
      </w:r>
      <w:r>
        <w:rPr>
          <w:sz w:val="20"/>
        </w:rPr>
        <w:t>línea</w:t>
      </w:r>
      <w:r>
        <w:rPr>
          <w:spacing w:val="-3"/>
          <w:sz w:val="20"/>
        </w:rPr>
        <w:t> </w:t>
      </w:r>
      <w:r>
        <w:rPr>
          <w:sz w:val="20"/>
        </w:rPr>
        <w:t>se</w:t>
      </w:r>
      <w:r>
        <w:rPr>
          <w:spacing w:val="-4"/>
          <w:sz w:val="20"/>
        </w:rPr>
        <w:t> </w:t>
      </w:r>
      <w:r>
        <w:rPr>
          <w:sz w:val="20"/>
        </w:rPr>
        <w:t>presentaron</w:t>
      </w:r>
      <w:r>
        <w:rPr>
          <w:spacing w:val="-5"/>
          <w:sz w:val="20"/>
        </w:rPr>
        <w:t> </w:t>
      </w:r>
      <w:r>
        <w:rPr>
          <w:sz w:val="20"/>
        </w:rPr>
        <w:t>argumentos</w:t>
      </w:r>
      <w:r>
        <w:rPr>
          <w:spacing w:val="-5"/>
          <w:sz w:val="20"/>
        </w:rPr>
        <w:t> </w:t>
      </w:r>
      <w:r>
        <w:rPr>
          <w:sz w:val="20"/>
        </w:rPr>
        <w:t>para</w:t>
      </w:r>
      <w:r>
        <w:rPr>
          <w:spacing w:val="-4"/>
          <w:sz w:val="20"/>
        </w:rPr>
        <w:t> </w:t>
      </w:r>
      <w:r>
        <w:rPr>
          <w:sz w:val="20"/>
        </w:rPr>
        <w:t>declarar</w:t>
      </w:r>
      <w:r>
        <w:rPr>
          <w:spacing w:val="-5"/>
          <w:sz w:val="20"/>
        </w:rPr>
        <w:t> </w:t>
      </w:r>
      <w:r>
        <w:rPr>
          <w:sz w:val="20"/>
        </w:rPr>
        <w:t>que</w:t>
      </w:r>
      <w:r>
        <w:rPr>
          <w:spacing w:val="-5"/>
          <w:sz w:val="20"/>
        </w:rPr>
        <w:t> </w:t>
      </w:r>
      <w:r>
        <w:rPr>
          <w:sz w:val="20"/>
        </w:rPr>
        <w:t>los</w:t>
      </w:r>
      <w:r>
        <w:rPr>
          <w:spacing w:val="-5"/>
          <w:sz w:val="20"/>
        </w:rPr>
        <w:t> </w:t>
      </w:r>
      <w:r>
        <w:rPr>
          <w:sz w:val="20"/>
        </w:rPr>
        <w:t>derechos</w:t>
      </w:r>
      <w:r>
        <w:rPr>
          <w:spacing w:val="-6"/>
          <w:sz w:val="20"/>
        </w:rPr>
        <w:t> </w:t>
      </w:r>
      <w:r>
        <w:rPr>
          <w:sz w:val="20"/>
        </w:rPr>
        <w:t>humanos</w:t>
      </w:r>
      <w:r>
        <w:rPr>
          <w:spacing w:val="-4"/>
          <w:sz w:val="20"/>
        </w:rPr>
        <w:t> </w:t>
      </w:r>
      <w:r>
        <w:rPr>
          <w:sz w:val="20"/>
        </w:rPr>
        <w:t>a la alimentación, a la identidad cultural, al medio ambiente sano e incluso al derecho al agua</w:t>
      </w:r>
      <w:r>
        <w:rPr>
          <w:spacing w:val="-11"/>
          <w:sz w:val="20"/>
        </w:rPr>
        <w:t> </w:t>
      </w:r>
      <w:r>
        <w:rPr>
          <w:sz w:val="20"/>
        </w:rPr>
        <w:t>—este</w:t>
      </w:r>
      <w:r>
        <w:rPr>
          <w:spacing w:val="-10"/>
          <w:sz w:val="20"/>
        </w:rPr>
        <w:t> </w:t>
      </w:r>
      <w:r>
        <w:rPr>
          <w:sz w:val="20"/>
        </w:rPr>
        <w:t>último,</w:t>
      </w:r>
      <w:r>
        <w:rPr>
          <w:spacing w:val="-12"/>
          <w:sz w:val="20"/>
        </w:rPr>
        <w:t> </w:t>
      </w:r>
      <w:r>
        <w:rPr>
          <w:sz w:val="20"/>
        </w:rPr>
        <w:t>no</w:t>
      </w:r>
      <w:r>
        <w:rPr>
          <w:spacing w:val="-12"/>
          <w:sz w:val="20"/>
        </w:rPr>
        <w:t> </w:t>
      </w:r>
      <w:r>
        <w:rPr>
          <w:sz w:val="20"/>
        </w:rPr>
        <w:t>alegado</w:t>
      </w:r>
      <w:r>
        <w:rPr>
          <w:spacing w:val="-12"/>
          <w:sz w:val="20"/>
        </w:rPr>
        <w:t> </w:t>
      </w:r>
      <w:r>
        <w:rPr>
          <w:sz w:val="20"/>
        </w:rPr>
        <w:t>por</w:t>
      </w:r>
      <w:r>
        <w:rPr>
          <w:spacing w:val="-11"/>
          <w:sz w:val="20"/>
        </w:rPr>
        <w:t> </w:t>
      </w:r>
      <w:r>
        <w:rPr>
          <w:sz w:val="20"/>
        </w:rPr>
        <w:t>los</w:t>
      </w:r>
      <w:r>
        <w:rPr>
          <w:spacing w:val="-11"/>
          <w:sz w:val="20"/>
        </w:rPr>
        <w:t> </w:t>
      </w:r>
      <w:r>
        <w:rPr>
          <w:sz w:val="20"/>
        </w:rPr>
        <w:t>representantes</w:t>
      </w:r>
      <w:r>
        <w:rPr>
          <w:spacing w:val="-11"/>
          <w:sz w:val="20"/>
        </w:rPr>
        <w:t> </w:t>
      </w:r>
      <w:r>
        <w:rPr>
          <w:sz w:val="20"/>
        </w:rPr>
        <w:t>de</w:t>
      </w:r>
      <w:r>
        <w:rPr>
          <w:spacing w:val="-10"/>
          <w:sz w:val="20"/>
        </w:rPr>
        <w:t> </w:t>
      </w:r>
      <w:r>
        <w:rPr>
          <w:sz w:val="20"/>
        </w:rPr>
        <w:t>las</w:t>
      </w:r>
      <w:r>
        <w:rPr>
          <w:spacing w:val="-10"/>
          <w:sz w:val="20"/>
        </w:rPr>
        <w:t> </w:t>
      </w:r>
      <w:r>
        <w:rPr>
          <w:sz w:val="20"/>
        </w:rPr>
        <w:t>víctimas</w:t>
      </w:r>
      <w:r>
        <w:rPr>
          <w:spacing w:val="-12"/>
          <w:sz w:val="20"/>
        </w:rPr>
        <w:t> </w:t>
      </w:r>
      <w:r>
        <w:rPr>
          <w:sz w:val="20"/>
        </w:rPr>
        <w:t>ni</w:t>
      </w:r>
      <w:r>
        <w:rPr>
          <w:spacing w:val="-10"/>
          <w:sz w:val="20"/>
        </w:rPr>
        <w:t> </w:t>
      </w:r>
      <w:r>
        <w:rPr>
          <w:sz w:val="20"/>
        </w:rPr>
        <w:t>por</w:t>
      </w:r>
      <w:r>
        <w:rPr>
          <w:spacing w:val="-11"/>
          <w:sz w:val="20"/>
        </w:rPr>
        <w:t> </w:t>
      </w:r>
      <w:r>
        <w:rPr>
          <w:sz w:val="20"/>
        </w:rPr>
        <w:t>la</w:t>
      </w:r>
      <w:r>
        <w:rPr>
          <w:spacing w:val="-11"/>
          <w:sz w:val="20"/>
        </w:rPr>
        <w:t> </w:t>
      </w:r>
      <w:r>
        <w:rPr>
          <w:sz w:val="20"/>
        </w:rPr>
        <w:t>Comisión Interamericana, pero que fue incorporado vía </w:t>
      </w:r>
      <w:r>
        <w:rPr>
          <w:i/>
          <w:sz w:val="20"/>
        </w:rPr>
        <w:t>iura novit curia </w:t>
      </w:r>
      <w:r>
        <w:rPr>
          <w:sz w:val="20"/>
        </w:rPr>
        <w:t>en la Sentencia—, eran derechos protegidos por el artículo 26 de la Convención Americana de acuerdo a la metodología previa de la jurisprudencia de la Corte IDH y que, de acuerdo a esos escritos, fueron vulnerados en este caso por el Estado</w:t>
      </w:r>
      <w:r>
        <w:rPr>
          <w:spacing w:val="-11"/>
          <w:sz w:val="20"/>
        </w:rPr>
        <w:t> </w:t>
      </w:r>
      <w:r>
        <w:rPr>
          <w:sz w:val="20"/>
        </w:rPr>
        <w:t>argentino</w:t>
      </w:r>
      <w:r>
        <w:rPr>
          <w:position w:val="7"/>
          <w:sz w:val="13"/>
        </w:rPr>
        <w:t>66</w:t>
      </w:r>
      <w:r>
        <w:rPr>
          <w:sz w:val="20"/>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Además,</w:t>
      </w:r>
      <w:r>
        <w:rPr>
          <w:spacing w:val="-14"/>
          <w:sz w:val="20"/>
        </w:rPr>
        <w:t> </w:t>
      </w:r>
      <w:r>
        <w:rPr>
          <w:sz w:val="20"/>
        </w:rPr>
        <w:t>se</w:t>
      </w:r>
      <w:r>
        <w:rPr>
          <w:spacing w:val="-13"/>
          <w:sz w:val="20"/>
        </w:rPr>
        <w:t> </w:t>
      </w:r>
      <w:r>
        <w:rPr>
          <w:sz w:val="20"/>
        </w:rPr>
        <w:t>propusieron</w:t>
      </w:r>
      <w:r>
        <w:rPr>
          <w:spacing w:val="-15"/>
          <w:sz w:val="20"/>
        </w:rPr>
        <w:t> </w:t>
      </w:r>
      <w:r>
        <w:rPr>
          <w:sz w:val="20"/>
        </w:rPr>
        <w:t>criterios</w:t>
      </w:r>
      <w:r>
        <w:rPr>
          <w:spacing w:val="-14"/>
          <w:sz w:val="20"/>
        </w:rPr>
        <w:t> </w:t>
      </w:r>
      <w:r>
        <w:rPr>
          <w:sz w:val="20"/>
        </w:rPr>
        <w:t>mediante</w:t>
      </w:r>
      <w:r>
        <w:rPr>
          <w:spacing w:val="-12"/>
          <w:sz w:val="20"/>
        </w:rPr>
        <w:t> </w:t>
      </w:r>
      <w:r>
        <w:rPr>
          <w:sz w:val="20"/>
        </w:rPr>
        <w:t>las</w:t>
      </w:r>
      <w:r>
        <w:rPr>
          <w:spacing w:val="-14"/>
          <w:sz w:val="20"/>
        </w:rPr>
        <w:t> </w:t>
      </w:r>
      <w:r>
        <w:rPr>
          <w:sz w:val="20"/>
        </w:rPr>
        <w:t>cuales</w:t>
      </w:r>
      <w:r>
        <w:rPr>
          <w:spacing w:val="-14"/>
          <w:sz w:val="20"/>
        </w:rPr>
        <w:t> </w:t>
      </w:r>
      <w:r>
        <w:rPr>
          <w:sz w:val="20"/>
        </w:rPr>
        <w:t>el</w:t>
      </w:r>
      <w:r>
        <w:rPr>
          <w:spacing w:val="-13"/>
          <w:sz w:val="20"/>
        </w:rPr>
        <w:t> </w:t>
      </w:r>
      <w:r>
        <w:rPr>
          <w:sz w:val="20"/>
        </w:rPr>
        <w:t>Tribunal</w:t>
      </w:r>
      <w:r>
        <w:rPr>
          <w:spacing w:val="-14"/>
          <w:sz w:val="20"/>
        </w:rPr>
        <w:t> </w:t>
      </w:r>
      <w:r>
        <w:rPr>
          <w:sz w:val="20"/>
        </w:rPr>
        <w:t>Interamericano, a partir de su metodología fijada desde el caso </w:t>
      </w:r>
      <w:r>
        <w:rPr>
          <w:i/>
          <w:sz w:val="20"/>
        </w:rPr>
        <w:t>Lagos del Campo </w:t>
      </w:r>
      <w:r>
        <w:rPr>
          <w:sz w:val="20"/>
        </w:rPr>
        <w:t>de 2017</w:t>
      </w:r>
      <w:r>
        <w:rPr>
          <w:i/>
          <w:sz w:val="20"/>
        </w:rPr>
        <w:t>, </w:t>
      </w:r>
      <w:r>
        <w:rPr>
          <w:sz w:val="20"/>
        </w:rPr>
        <w:t>debería interpretar tanto el contenido como el régimen de obligaciones de los derechos antes mencionados.</w:t>
      </w:r>
      <w:r>
        <w:rPr>
          <w:spacing w:val="-5"/>
          <w:sz w:val="20"/>
        </w:rPr>
        <w:t> </w:t>
      </w:r>
      <w:r>
        <w:rPr>
          <w:sz w:val="20"/>
        </w:rPr>
        <w:t>De</w:t>
      </w:r>
      <w:r>
        <w:rPr>
          <w:spacing w:val="-5"/>
          <w:sz w:val="20"/>
        </w:rPr>
        <w:t> </w:t>
      </w:r>
      <w:r>
        <w:rPr>
          <w:sz w:val="20"/>
        </w:rPr>
        <w:t>esta</w:t>
      </w:r>
      <w:r>
        <w:rPr>
          <w:spacing w:val="-6"/>
          <w:sz w:val="20"/>
        </w:rPr>
        <w:t> </w:t>
      </w:r>
      <w:r>
        <w:rPr>
          <w:sz w:val="20"/>
        </w:rPr>
        <w:t>forma,</w:t>
      </w:r>
      <w:r>
        <w:rPr>
          <w:spacing w:val="-4"/>
          <w:sz w:val="20"/>
        </w:rPr>
        <w:t> </w:t>
      </w:r>
      <w:r>
        <w:rPr>
          <w:sz w:val="20"/>
        </w:rPr>
        <w:t>los</w:t>
      </w:r>
      <w:r>
        <w:rPr>
          <w:spacing w:val="-6"/>
          <w:sz w:val="20"/>
        </w:rPr>
        <w:t> </w:t>
      </w:r>
      <w:r>
        <w:rPr>
          <w:sz w:val="20"/>
        </w:rPr>
        <w:t>referidos</w:t>
      </w:r>
      <w:r>
        <w:rPr>
          <w:spacing w:val="-8"/>
          <w:sz w:val="20"/>
        </w:rPr>
        <w:t> </w:t>
      </w:r>
      <w:r>
        <w:rPr>
          <w:sz w:val="20"/>
        </w:rPr>
        <w:t>escritos</w:t>
      </w:r>
      <w:r>
        <w:rPr>
          <w:spacing w:val="-6"/>
          <w:sz w:val="20"/>
        </w:rPr>
        <w:t> </w:t>
      </w:r>
      <w:r>
        <w:rPr>
          <w:sz w:val="20"/>
        </w:rPr>
        <w:t>afianzaron</w:t>
      </w:r>
      <w:r>
        <w:rPr>
          <w:spacing w:val="-5"/>
          <w:sz w:val="20"/>
        </w:rPr>
        <w:t> </w:t>
      </w:r>
      <w:r>
        <w:rPr>
          <w:sz w:val="20"/>
        </w:rPr>
        <w:t>el</w:t>
      </w:r>
      <w:r>
        <w:rPr>
          <w:spacing w:val="-5"/>
          <w:sz w:val="20"/>
        </w:rPr>
        <w:t> </w:t>
      </w:r>
      <w:r>
        <w:rPr>
          <w:sz w:val="20"/>
        </w:rPr>
        <w:t>camino</w:t>
      </w:r>
      <w:r>
        <w:rPr>
          <w:spacing w:val="-5"/>
          <w:sz w:val="20"/>
        </w:rPr>
        <w:t> </w:t>
      </w:r>
      <w:r>
        <w:rPr>
          <w:sz w:val="20"/>
        </w:rPr>
        <w:t>jurisprudencial emprendido por esta Corte IDH, pero ahora con una visión y bajo un enfoque sobre la relación existente de los DESCA y los territorios ancestrales indígenas, con lo que se demuestra la necesidad e importancia de seguir abordando estas problemáticas de manera autónoma, directa e</w:t>
      </w:r>
      <w:r>
        <w:rPr>
          <w:spacing w:val="-9"/>
          <w:sz w:val="20"/>
        </w:rPr>
        <w:t> </w:t>
      </w:r>
      <w:r>
        <w:rPr>
          <w:sz w:val="20"/>
        </w:rPr>
        <w:t>integral.</w:t>
      </w:r>
    </w:p>
    <w:p>
      <w:pPr>
        <w:pStyle w:val="BodyText"/>
        <w:spacing w:before="11"/>
        <w:rPr>
          <w:sz w:val="19"/>
        </w:rPr>
      </w:pPr>
    </w:p>
    <w:p>
      <w:pPr>
        <w:pStyle w:val="ListParagraph"/>
        <w:numPr>
          <w:ilvl w:val="0"/>
          <w:numId w:val="77"/>
        </w:numPr>
        <w:tabs>
          <w:tab w:pos="827" w:val="left" w:leader="none"/>
        </w:tabs>
        <w:spacing w:line="240" w:lineRule="auto" w:before="0" w:after="0"/>
        <w:ind w:left="118" w:right="307" w:firstLine="0"/>
        <w:jc w:val="both"/>
        <w:rPr>
          <w:sz w:val="20"/>
        </w:rPr>
      </w:pPr>
      <w:r>
        <w:rPr>
          <w:sz w:val="20"/>
        </w:rPr>
        <w:t>También</w:t>
      </w:r>
      <w:r>
        <w:rPr>
          <w:spacing w:val="-14"/>
          <w:sz w:val="20"/>
        </w:rPr>
        <w:t> </w:t>
      </w:r>
      <w:r>
        <w:rPr>
          <w:sz w:val="20"/>
        </w:rPr>
        <w:t>los</w:t>
      </w:r>
      <w:r>
        <w:rPr>
          <w:spacing w:val="-14"/>
          <w:sz w:val="20"/>
        </w:rPr>
        <w:t> </w:t>
      </w:r>
      <w:r>
        <w:rPr>
          <w:i/>
          <w:sz w:val="20"/>
        </w:rPr>
        <w:t>amici</w:t>
      </w:r>
      <w:r>
        <w:rPr>
          <w:i/>
          <w:spacing w:val="-13"/>
          <w:sz w:val="20"/>
        </w:rPr>
        <w:t> </w:t>
      </w:r>
      <w:r>
        <w:rPr>
          <w:i/>
          <w:sz w:val="20"/>
        </w:rPr>
        <w:t>curiae</w:t>
      </w:r>
      <w:r>
        <w:rPr>
          <w:i/>
          <w:spacing w:val="-13"/>
          <w:sz w:val="20"/>
        </w:rPr>
        <w:t> </w:t>
      </w:r>
      <w:r>
        <w:rPr>
          <w:sz w:val="20"/>
        </w:rPr>
        <w:t>presentados</w:t>
      </w:r>
      <w:r>
        <w:rPr>
          <w:spacing w:val="-13"/>
          <w:sz w:val="20"/>
        </w:rPr>
        <w:t> </w:t>
      </w:r>
      <w:r>
        <w:rPr>
          <w:sz w:val="20"/>
        </w:rPr>
        <w:t>aportaron</w:t>
      </w:r>
      <w:r>
        <w:rPr>
          <w:spacing w:val="-14"/>
          <w:sz w:val="20"/>
        </w:rPr>
        <w:t> </w:t>
      </w:r>
      <w:r>
        <w:rPr>
          <w:sz w:val="20"/>
        </w:rPr>
        <w:t>elementos</w:t>
      </w:r>
      <w:r>
        <w:rPr>
          <w:spacing w:val="-15"/>
          <w:sz w:val="20"/>
        </w:rPr>
        <w:t> </w:t>
      </w:r>
      <w:r>
        <w:rPr>
          <w:sz w:val="20"/>
        </w:rPr>
        <w:t>muy</w:t>
      </w:r>
      <w:r>
        <w:rPr>
          <w:spacing w:val="-14"/>
          <w:sz w:val="20"/>
        </w:rPr>
        <w:t> </w:t>
      </w:r>
      <w:r>
        <w:rPr>
          <w:sz w:val="20"/>
        </w:rPr>
        <w:t>importantes</w:t>
      </w:r>
      <w:r>
        <w:rPr>
          <w:spacing w:val="-14"/>
          <w:sz w:val="20"/>
        </w:rPr>
        <w:t> </w:t>
      </w:r>
      <w:r>
        <w:rPr>
          <w:sz w:val="20"/>
        </w:rPr>
        <w:t>que quedaron reflejados en la Sentencia, relacionados con los procesos de “fisión-fusión”</w:t>
      </w:r>
      <w:r>
        <w:rPr>
          <w:position w:val="7"/>
          <w:sz w:val="13"/>
        </w:rPr>
        <w:t>67</w:t>
      </w:r>
      <w:r>
        <w:rPr>
          <w:sz w:val="20"/>
        </w:rPr>
        <w:t>, problemáticas</w:t>
      </w:r>
      <w:r>
        <w:rPr>
          <w:spacing w:val="-9"/>
          <w:sz w:val="20"/>
        </w:rPr>
        <w:t> </w:t>
      </w:r>
      <w:r>
        <w:rPr>
          <w:sz w:val="20"/>
        </w:rPr>
        <w:t>del</w:t>
      </w:r>
      <w:r>
        <w:rPr>
          <w:spacing w:val="-8"/>
          <w:sz w:val="20"/>
        </w:rPr>
        <w:t> </w:t>
      </w:r>
      <w:r>
        <w:rPr>
          <w:sz w:val="20"/>
        </w:rPr>
        <w:t>régimen</w:t>
      </w:r>
      <w:r>
        <w:rPr>
          <w:spacing w:val="-8"/>
          <w:sz w:val="20"/>
        </w:rPr>
        <w:t> </w:t>
      </w:r>
      <w:r>
        <w:rPr>
          <w:sz w:val="20"/>
        </w:rPr>
        <w:t>legal</w:t>
      </w:r>
      <w:r>
        <w:rPr>
          <w:spacing w:val="-8"/>
          <w:sz w:val="20"/>
        </w:rPr>
        <w:t> </w:t>
      </w:r>
      <w:r>
        <w:rPr>
          <w:sz w:val="20"/>
        </w:rPr>
        <w:t>interno</w:t>
      </w:r>
      <w:r>
        <w:rPr>
          <w:spacing w:val="-10"/>
          <w:sz w:val="20"/>
        </w:rPr>
        <w:t> </w:t>
      </w:r>
      <w:r>
        <w:rPr>
          <w:sz w:val="20"/>
        </w:rPr>
        <w:t>respecto</w:t>
      </w:r>
      <w:r>
        <w:rPr>
          <w:spacing w:val="-8"/>
          <w:sz w:val="20"/>
        </w:rPr>
        <w:t> </w:t>
      </w:r>
      <w:r>
        <w:rPr>
          <w:sz w:val="20"/>
        </w:rPr>
        <w:t>a</w:t>
      </w:r>
      <w:r>
        <w:rPr>
          <w:spacing w:val="-8"/>
          <w:sz w:val="20"/>
        </w:rPr>
        <w:t> </w:t>
      </w:r>
      <w:r>
        <w:rPr>
          <w:sz w:val="20"/>
        </w:rPr>
        <w:t>la</w:t>
      </w:r>
      <w:r>
        <w:rPr>
          <w:spacing w:val="-8"/>
          <w:sz w:val="20"/>
        </w:rPr>
        <w:t> </w:t>
      </w:r>
      <w:r>
        <w:rPr>
          <w:sz w:val="20"/>
        </w:rPr>
        <w:t>propiedad</w:t>
      </w:r>
      <w:r>
        <w:rPr>
          <w:spacing w:val="-9"/>
          <w:sz w:val="20"/>
        </w:rPr>
        <w:t> </w:t>
      </w:r>
      <w:r>
        <w:rPr>
          <w:sz w:val="20"/>
        </w:rPr>
        <w:t>comunitaria</w:t>
      </w:r>
      <w:r>
        <w:rPr>
          <w:spacing w:val="-6"/>
          <w:sz w:val="20"/>
        </w:rPr>
        <w:t> </w:t>
      </w:r>
      <w:r>
        <w:rPr>
          <w:sz w:val="20"/>
        </w:rPr>
        <w:t>indígena</w:t>
      </w:r>
      <w:r>
        <w:rPr>
          <w:position w:val="7"/>
          <w:sz w:val="13"/>
        </w:rPr>
        <w:t>68</w:t>
      </w:r>
      <w:r>
        <w:rPr>
          <w:sz w:val="20"/>
        </w:rPr>
        <w:t>, la importancia de los estudios de impacto ambiental realizada por entidades independientes</w:t>
      </w:r>
      <w:r>
        <w:rPr>
          <w:spacing w:val="-7"/>
          <w:sz w:val="20"/>
        </w:rPr>
        <w:t> </w:t>
      </w:r>
      <w:r>
        <w:rPr>
          <w:sz w:val="20"/>
        </w:rPr>
        <w:t>y</w:t>
      </w:r>
      <w:r>
        <w:rPr>
          <w:spacing w:val="-7"/>
          <w:sz w:val="20"/>
        </w:rPr>
        <w:t> </w:t>
      </w:r>
      <w:r>
        <w:rPr>
          <w:sz w:val="20"/>
        </w:rPr>
        <w:t>técnicamente</w:t>
      </w:r>
      <w:r>
        <w:rPr>
          <w:spacing w:val="-6"/>
          <w:sz w:val="20"/>
        </w:rPr>
        <w:t> </w:t>
      </w:r>
      <w:r>
        <w:rPr>
          <w:sz w:val="20"/>
        </w:rPr>
        <w:t>capaces</w:t>
      </w:r>
      <w:r>
        <w:rPr>
          <w:spacing w:val="-7"/>
          <w:sz w:val="20"/>
        </w:rPr>
        <w:t> </w:t>
      </w:r>
      <w:r>
        <w:rPr>
          <w:sz w:val="20"/>
        </w:rPr>
        <w:t>o</w:t>
      </w:r>
      <w:r>
        <w:rPr>
          <w:spacing w:val="-5"/>
          <w:sz w:val="20"/>
        </w:rPr>
        <w:t> </w:t>
      </w:r>
      <w:r>
        <w:rPr>
          <w:sz w:val="20"/>
        </w:rPr>
        <w:t>sobre</w:t>
      </w:r>
      <w:r>
        <w:rPr>
          <w:spacing w:val="-6"/>
          <w:sz w:val="20"/>
        </w:rPr>
        <w:t> </w:t>
      </w:r>
      <w:r>
        <w:rPr>
          <w:sz w:val="20"/>
        </w:rPr>
        <w:t>el</w:t>
      </w:r>
      <w:r>
        <w:rPr>
          <w:spacing w:val="-6"/>
          <w:sz w:val="20"/>
        </w:rPr>
        <w:t> </w:t>
      </w:r>
      <w:r>
        <w:rPr>
          <w:sz w:val="20"/>
        </w:rPr>
        <w:t>derecho</w:t>
      </w:r>
      <w:r>
        <w:rPr>
          <w:spacing w:val="-7"/>
          <w:sz w:val="20"/>
        </w:rPr>
        <w:t> </w:t>
      </w:r>
      <w:r>
        <w:rPr>
          <w:sz w:val="20"/>
        </w:rPr>
        <w:t>al</w:t>
      </w:r>
      <w:r>
        <w:rPr>
          <w:spacing w:val="-7"/>
          <w:sz w:val="20"/>
        </w:rPr>
        <w:t> </w:t>
      </w:r>
      <w:r>
        <w:rPr>
          <w:sz w:val="20"/>
        </w:rPr>
        <w:t>medio</w:t>
      </w:r>
      <w:r>
        <w:rPr>
          <w:spacing w:val="-6"/>
          <w:sz w:val="20"/>
        </w:rPr>
        <w:t> </w:t>
      </w:r>
      <w:r>
        <w:rPr>
          <w:sz w:val="20"/>
        </w:rPr>
        <w:t>ambiente</w:t>
      </w:r>
      <w:r>
        <w:rPr>
          <w:spacing w:val="-5"/>
          <w:sz w:val="20"/>
        </w:rPr>
        <w:t> </w:t>
      </w:r>
      <w:r>
        <w:rPr>
          <w:sz w:val="20"/>
        </w:rPr>
        <w:t>sano</w:t>
      </w:r>
      <w:r>
        <w:rPr>
          <w:position w:val="7"/>
          <w:sz w:val="13"/>
        </w:rPr>
        <w:t>69</w:t>
      </w:r>
      <w:r>
        <w:rPr>
          <w:sz w:val="20"/>
        </w:rPr>
        <w:t>,</w:t>
      </w:r>
      <w:r>
        <w:rPr>
          <w:spacing w:val="-5"/>
          <w:sz w:val="20"/>
        </w:rPr>
        <w:t> </w:t>
      </w:r>
      <w:r>
        <w:rPr>
          <w:sz w:val="20"/>
        </w:rPr>
        <w:t>a la alimentación, al agua y a la identidad cultural de los pueblos indígenas</w:t>
      </w:r>
      <w:r>
        <w:rPr>
          <w:position w:val="8"/>
          <w:sz w:val="14"/>
        </w:rPr>
        <w:t>70</w:t>
      </w:r>
      <w:r>
        <w:rPr>
          <w:sz w:val="20"/>
        </w:rPr>
        <w:t>, o la importancia  que  tiene  el  derecho  al  medio  ambiente  sano  como  un</w:t>
      </w:r>
      <w:r>
        <w:rPr>
          <w:spacing w:val="37"/>
          <w:sz w:val="20"/>
        </w:rPr>
        <w:t> </w:t>
      </w:r>
      <w:r>
        <w:rPr>
          <w:sz w:val="20"/>
        </w:rPr>
        <w:t>componente</w:t>
      </w:r>
    </w:p>
    <w:p>
      <w:pPr>
        <w:pStyle w:val="BodyText"/>
        <w:spacing w:before="9"/>
        <w:rPr>
          <w:sz w:val="21"/>
        </w:rPr>
      </w:pPr>
      <w:r>
        <w:rPr/>
        <w:pict>
          <v:line style="position:absolute;mso-position-horizontal-relative:page;mso-position-vertical-relative:paragraph;z-index:5152;mso-wrap-distance-left:0;mso-wrap-distance-right:0" from="70.919998pt,15.484109pt" to="214.939998pt,15.484109pt" stroked="true" strokeweight=".600010pt" strokecolor="#000000">
            <v:stroke dashstyle="solid"/>
            <w10:wrap type="topAndBottom"/>
          </v:line>
        </w:pict>
      </w:r>
    </w:p>
    <w:p>
      <w:pPr>
        <w:spacing w:before="73"/>
        <w:ind w:left="118" w:right="311" w:firstLine="0"/>
        <w:jc w:val="both"/>
        <w:rPr>
          <w:sz w:val="16"/>
        </w:rPr>
      </w:pPr>
      <w:r>
        <w:rPr>
          <w:sz w:val="16"/>
        </w:rPr>
        <w:t>Clínica Internacional de Derechos Humanos CUCSH – Universidad de Guadalajara, y el O'Neill Institute for National and Global Health Law, Georgetown University Law Center, pág. 9-23; y finalmente, ver </w:t>
      </w:r>
      <w:r>
        <w:rPr>
          <w:i/>
          <w:sz w:val="16"/>
        </w:rPr>
        <w:t>Amicus </w:t>
      </w:r>
      <w:r>
        <w:rPr>
          <w:i/>
          <w:sz w:val="16"/>
        </w:rPr>
        <w:t>Curiae </w:t>
      </w:r>
      <w:r>
        <w:rPr>
          <w:sz w:val="16"/>
        </w:rPr>
        <w:t>presentado por la organización “Tierra Viva a los pueblos indígenas del Chaco”, págs. 10-16.</w:t>
      </w:r>
    </w:p>
    <w:p>
      <w:pPr>
        <w:tabs>
          <w:tab w:pos="826" w:val="left" w:leader="none"/>
        </w:tabs>
        <w:spacing w:before="120"/>
        <w:ind w:left="118" w:right="310" w:firstLine="0"/>
        <w:jc w:val="both"/>
        <w:rPr>
          <w:sz w:val="16"/>
        </w:rPr>
      </w:pPr>
      <w:r>
        <w:rPr>
          <w:position w:val="6"/>
          <w:sz w:val="10"/>
        </w:rPr>
        <w:t>66</w:t>
        <w:tab/>
      </w:r>
      <w:r>
        <w:rPr>
          <w:sz w:val="16"/>
        </w:rPr>
        <w:t>Véase</w:t>
      </w:r>
      <w:r>
        <w:rPr>
          <w:spacing w:val="-6"/>
          <w:sz w:val="16"/>
        </w:rPr>
        <w:t> </w:t>
      </w:r>
      <w:r>
        <w:rPr>
          <w:i/>
          <w:sz w:val="16"/>
        </w:rPr>
        <w:t>Amicus</w:t>
      </w:r>
      <w:r>
        <w:rPr>
          <w:i/>
          <w:spacing w:val="-5"/>
          <w:sz w:val="16"/>
        </w:rPr>
        <w:t> </w:t>
      </w:r>
      <w:r>
        <w:rPr>
          <w:i/>
          <w:sz w:val="16"/>
        </w:rPr>
        <w:t>Curiae</w:t>
      </w:r>
      <w:r>
        <w:rPr>
          <w:i/>
          <w:spacing w:val="-6"/>
          <w:sz w:val="16"/>
        </w:rPr>
        <w:t> </w:t>
      </w:r>
      <w:r>
        <w:rPr>
          <w:sz w:val="16"/>
        </w:rPr>
        <w:t>de</w:t>
      </w:r>
      <w:r>
        <w:rPr>
          <w:spacing w:val="-6"/>
          <w:sz w:val="16"/>
        </w:rPr>
        <w:t> </w:t>
      </w:r>
      <w:r>
        <w:rPr>
          <w:sz w:val="16"/>
        </w:rPr>
        <w:t>Olivier</w:t>
      </w:r>
      <w:r>
        <w:rPr>
          <w:spacing w:val="-6"/>
          <w:sz w:val="16"/>
        </w:rPr>
        <w:t> </w:t>
      </w:r>
      <w:r>
        <w:rPr>
          <w:sz w:val="16"/>
        </w:rPr>
        <w:t>De</w:t>
      </w:r>
      <w:r>
        <w:rPr>
          <w:spacing w:val="-6"/>
          <w:sz w:val="16"/>
        </w:rPr>
        <w:t> </w:t>
      </w:r>
      <w:r>
        <w:rPr>
          <w:sz w:val="16"/>
        </w:rPr>
        <w:t>Schutter,</w:t>
      </w:r>
      <w:r>
        <w:rPr>
          <w:spacing w:val="-7"/>
          <w:sz w:val="16"/>
        </w:rPr>
        <w:t> </w:t>
      </w:r>
      <w:r>
        <w:rPr>
          <w:sz w:val="16"/>
        </w:rPr>
        <w:t>en</w:t>
      </w:r>
      <w:r>
        <w:rPr>
          <w:spacing w:val="-5"/>
          <w:sz w:val="16"/>
        </w:rPr>
        <w:t> </w:t>
      </w:r>
      <w:r>
        <w:rPr>
          <w:sz w:val="16"/>
        </w:rPr>
        <w:t>colaboración</w:t>
      </w:r>
      <w:r>
        <w:rPr>
          <w:spacing w:val="-6"/>
          <w:sz w:val="16"/>
        </w:rPr>
        <w:t> </w:t>
      </w:r>
      <w:r>
        <w:rPr>
          <w:sz w:val="16"/>
        </w:rPr>
        <w:t>con</w:t>
      </w:r>
      <w:r>
        <w:rPr>
          <w:spacing w:val="-6"/>
          <w:sz w:val="16"/>
        </w:rPr>
        <w:t> </w:t>
      </w:r>
      <w:r>
        <w:rPr>
          <w:sz w:val="16"/>
        </w:rPr>
        <w:t>Clínica</w:t>
      </w:r>
      <w:r>
        <w:rPr>
          <w:spacing w:val="-5"/>
          <w:sz w:val="16"/>
        </w:rPr>
        <w:t> </w:t>
      </w:r>
      <w:r>
        <w:rPr>
          <w:sz w:val="16"/>
        </w:rPr>
        <w:t>de</w:t>
      </w:r>
      <w:r>
        <w:rPr>
          <w:spacing w:val="-6"/>
          <w:sz w:val="16"/>
        </w:rPr>
        <w:t> </w:t>
      </w:r>
      <w:r>
        <w:rPr>
          <w:sz w:val="16"/>
        </w:rPr>
        <w:t>Derechos</w:t>
      </w:r>
      <w:r>
        <w:rPr>
          <w:spacing w:val="-5"/>
          <w:sz w:val="16"/>
        </w:rPr>
        <w:t> </w:t>
      </w:r>
      <w:r>
        <w:rPr>
          <w:sz w:val="16"/>
        </w:rPr>
        <w:t>Humanos</w:t>
      </w:r>
      <w:r>
        <w:rPr>
          <w:spacing w:val="-6"/>
          <w:sz w:val="16"/>
        </w:rPr>
        <w:t> </w:t>
      </w:r>
      <w:r>
        <w:rPr>
          <w:sz w:val="16"/>
        </w:rPr>
        <w:t>de</w:t>
      </w:r>
      <w:r>
        <w:rPr>
          <w:spacing w:val="-5"/>
          <w:sz w:val="16"/>
        </w:rPr>
        <w:t> </w:t>
      </w:r>
      <w:r>
        <w:rPr>
          <w:sz w:val="16"/>
        </w:rPr>
        <w:t>la</w:t>
      </w:r>
      <w:r>
        <w:rPr>
          <w:spacing w:val="-1"/>
          <w:w w:val="99"/>
          <w:sz w:val="16"/>
        </w:rPr>
        <w:t> </w:t>
      </w:r>
      <w:r>
        <w:rPr>
          <w:sz w:val="16"/>
        </w:rPr>
        <w:t>Facultad</w:t>
      </w:r>
      <w:r>
        <w:rPr>
          <w:spacing w:val="-7"/>
          <w:sz w:val="16"/>
        </w:rPr>
        <w:t> </w:t>
      </w:r>
      <w:r>
        <w:rPr>
          <w:sz w:val="16"/>
        </w:rPr>
        <w:t>de</w:t>
      </w:r>
      <w:r>
        <w:rPr>
          <w:spacing w:val="-7"/>
          <w:sz w:val="16"/>
        </w:rPr>
        <w:t> </w:t>
      </w:r>
      <w:r>
        <w:rPr>
          <w:sz w:val="16"/>
        </w:rPr>
        <w:t>Derecho</w:t>
      </w:r>
      <w:r>
        <w:rPr>
          <w:spacing w:val="-7"/>
          <w:sz w:val="16"/>
        </w:rPr>
        <w:t> </w:t>
      </w:r>
      <w:r>
        <w:rPr>
          <w:sz w:val="16"/>
        </w:rPr>
        <w:t>de</w:t>
      </w:r>
      <w:r>
        <w:rPr>
          <w:spacing w:val="-7"/>
          <w:sz w:val="16"/>
        </w:rPr>
        <w:t> </w:t>
      </w:r>
      <w:r>
        <w:rPr>
          <w:sz w:val="16"/>
        </w:rPr>
        <w:t>la</w:t>
      </w:r>
      <w:r>
        <w:rPr>
          <w:spacing w:val="-7"/>
          <w:sz w:val="16"/>
        </w:rPr>
        <w:t> </w:t>
      </w:r>
      <w:r>
        <w:rPr>
          <w:sz w:val="16"/>
        </w:rPr>
        <w:t>Universidad</w:t>
      </w:r>
      <w:r>
        <w:rPr>
          <w:spacing w:val="-8"/>
          <w:sz w:val="16"/>
        </w:rPr>
        <w:t> </w:t>
      </w:r>
      <w:r>
        <w:rPr>
          <w:sz w:val="16"/>
        </w:rPr>
        <w:t>de</w:t>
      </w:r>
      <w:r>
        <w:rPr>
          <w:spacing w:val="-7"/>
          <w:sz w:val="16"/>
        </w:rPr>
        <w:t> </w:t>
      </w:r>
      <w:r>
        <w:rPr>
          <w:sz w:val="16"/>
        </w:rPr>
        <w:t>Miami</w:t>
      </w:r>
      <w:r>
        <w:rPr>
          <w:spacing w:val="-8"/>
          <w:sz w:val="16"/>
        </w:rPr>
        <w:t> </w:t>
      </w:r>
      <w:r>
        <w:rPr>
          <w:sz w:val="16"/>
        </w:rPr>
        <w:t>y</w:t>
      </w:r>
      <w:r>
        <w:rPr>
          <w:spacing w:val="-7"/>
          <w:sz w:val="16"/>
        </w:rPr>
        <w:t> </w:t>
      </w:r>
      <w:r>
        <w:rPr>
          <w:sz w:val="16"/>
        </w:rPr>
        <w:t>la</w:t>
      </w:r>
      <w:r>
        <w:rPr>
          <w:spacing w:val="-7"/>
          <w:sz w:val="16"/>
        </w:rPr>
        <w:t> </w:t>
      </w:r>
      <w:r>
        <w:rPr>
          <w:sz w:val="16"/>
        </w:rPr>
        <w:t>Clínica</w:t>
      </w:r>
      <w:r>
        <w:rPr>
          <w:spacing w:val="-6"/>
          <w:sz w:val="16"/>
        </w:rPr>
        <w:t> </w:t>
      </w:r>
      <w:r>
        <w:rPr>
          <w:sz w:val="16"/>
        </w:rPr>
        <w:t>de</w:t>
      </w:r>
      <w:r>
        <w:rPr>
          <w:spacing w:val="-7"/>
          <w:sz w:val="16"/>
        </w:rPr>
        <w:t> </w:t>
      </w:r>
      <w:r>
        <w:rPr>
          <w:sz w:val="16"/>
        </w:rPr>
        <w:t>Derecho</w:t>
      </w:r>
      <w:r>
        <w:rPr>
          <w:spacing w:val="-7"/>
          <w:sz w:val="16"/>
        </w:rPr>
        <w:t> </w:t>
      </w:r>
      <w:r>
        <w:rPr>
          <w:sz w:val="16"/>
        </w:rPr>
        <w:t>Ambiental</w:t>
      </w:r>
      <w:r>
        <w:rPr>
          <w:spacing w:val="-8"/>
          <w:sz w:val="16"/>
        </w:rPr>
        <w:t> </w:t>
      </w:r>
      <w:r>
        <w:rPr>
          <w:sz w:val="16"/>
        </w:rPr>
        <w:t>de</w:t>
      </w:r>
      <w:r>
        <w:rPr>
          <w:spacing w:val="-6"/>
          <w:sz w:val="16"/>
        </w:rPr>
        <w:t> </w:t>
      </w:r>
      <w:r>
        <w:rPr>
          <w:sz w:val="16"/>
        </w:rPr>
        <w:t>la</w:t>
      </w:r>
      <w:r>
        <w:rPr>
          <w:spacing w:val="-7"/>
          <w:sz w:val="16"/>
        </w:rPr>
        <w:t> </w:t>
      </w:r>
      <w:r>
        <w:rPr>
          <w:sz w:val="16"/>
        </w:rPr>
        <w:t>Universidad</w:t>
      </w:r>
      <w:r>
        <w:rPr>
          <w:spacing w:val="-5"/>
          <w:sz w:val="16"/>
        </w:rPr>
        <w:t> </w:t>
      </w:r>
      <w:r>
        <w:rPr>
          <w:sz w:val="16"/>
        </w:rPr>
        <w:t>de</w:t>
      </w:r>
      <w:r>
        <w:rPr>
          <w:spacing w:val="-6"/>
          <w:sz w:val="16"/>
        </w:rPr>
        <w:t> </w:t>
      </w:r>
      <w:r>
        <w:rPr>
          <w:sz w:val="16"/>
        </w:rPr>
        <w:t>Saint- Louis, en su totalidad; asimismo, ver </w:t>
      </w:r>
      <w:r>
        <w:rPr>
          <w:i/>
          <w:sz w:val="16"/>
        </w:rPr>
        <w:t>Amicus Curiae </w:t>
      </w:r>
      <w:r>
        <w:rPr>
          <w:sz w:val="16"/>
        </w:rPr>
        <w:t>elaborado de manera conjunta por la Fundación para el Debido Proceso, la Clínica de Derechos Humanos de la Universidad de Ottawa, el Instituto de Democracia y Derechos Humanos de la Pontificia Universidad Católica del Perú (IDEHPUCP), el Núcleo de Estudios en Sistemas Internacionales de Derechos Humanos (NESIDH) de la Universidad Federal de Paraná (UFPR), la Clínica Internacional de Derechos Humanos CUCSH – Universidad de Guadalajara, y el O'Neill Institute for National</w:t>
      </w:r>
      <w:r>
        <w:rPr>
          <w:spacing w:val="-14"/>
          <w:sz w:val="16"/>
        </w:rPr>
        <w:t> </w:t>
      </w:r>
      <w:r>
        <w:rPr>
          <w:sz w:val="16"/>
        </w:rPr>
        <w:t>and</w:t>
      </w:r>
      <w:r>
        <w:rPr>
          <w:spacing w:val="-12"/>
          <w:sz w:val="16"/>
        </w:rPr>
        <w:t> </w:t>
      </w:r>
      <w:r>
        <w:rPr>
          <w:sz w:val="16"/>
        </w:rPr>
        <w:t>Global</w:t>
      </w:r>
      <w:r>
        <w:rPr>
          <w:spacing w:val="-13"/>
          <w:sz w:val="16"/>
        </w:rPr>
        <w:t> </w:t>
      </w:r>
      <w:r>
        <w:rPr>
          <w:sz w:val="16"/>
        </w:rPr>
        <w:t>Health</w:t>
      </w:r>
      <w:r>
        <w:rPr>
          <w:spacing w:val="-13"/>
          <w:sz w:val="16"/>
        </w:rPr>
        <w:t> </w:t>
      </w:r>
      <w:r>
        <w:rPr>
          <w:sz w:val="16"/>
        </w:rPr>
        <w:t>Law,</w:t>
      </w:r>
      <w:r>
        <w:rPr>
          <w:spacing w:val="-13"/>
          <w:sz w:val="16"/>
        </w:rPr>
        <w:t> </w:t>
      </w:r>
      <w:r>
        <w:rPr>
          <w:sz w:val="16"/>
        </w:rPr>
        <w:t>Georgetown</w:t>
      </w:r>
      <w:r>
        <w:rPr>
          <w:spacing w:val="-12"/>
          <w:sz w:val="16"/>
        </w:rPr>
        <w:t> </w:t>
      </w:r>
      <w:r>
        <w:rPr>
          <w:sz w:val="16"/>
        </w:rPr>
        <w:t>University</w:t>
      </w:r>
      <w:r>
        <w:rPr>
          <w:spacing w:val="-11"/>
          <w:sz w:val="16"/>
        </w:rPr>
        <w:t> </w:t>
      </w:r>
      <w:r>
        <w:rPr>
          <w:sz w:val="16"/>
        </w:rPr>
        <w:t>Law</w:t>
      </w:r>
      <w:r>
        <w:rPr>
          <w:spacing w:val="-12"/>
          <w:sz w:val="16"/>
        </w:rPr>
        <w:t> </w:t>
      </w:r>
      <w:r>
        <w:rPr>
          <w:sz w:val="16"/>
        </w:rPr>
        <w:t>Center,</w:t>
      </w:r>
      <w:r>
        <w:rPr>
          <w:spacing w:val="-13"/>
          <w:sz w:val="16"/>
        </w:rPr>
        <w:t> </w:t>
      </w:r>
      <w:r>
        <w:rPr>
          <w:sz w:val="16"/>
        </w:rPr>
        <w:t>pág.</w:t>
      </w:r>
      <w:r>
        <w:rPr>
          <w:spacing w:val="-13"/>
          <w:sz w:val="16"/>
        </w:rPr>
        <w:t> </w:t>
      </w:r>
      <w:r>
        <w:rPr>
          <w:sz w:val="16"/>
        </w:rPr>
        <w:t>23-51;</w:t>
      </w:r>
      <w:r>
        <w:rPr>
          <w:spacing w:val="-13"/>
          <w:sz w:val="16"/>
        </w:rPr>
        <w:t> </w:t>
      </w:r>
      <w:r>
        <w:rPr>
          <w:sz w:val="16"/>
        </w:rPr>
        <w:t>también,</w:t>
      </w:r>
      <w:r>
        <w:rPr>
          <w:spacing w:val="-12"/>
          <w:sz w:val="16"/>
        </w:rPr>
        <w:t> </w:t>
      </w:r>
      <w:r>
        <w:rPr>
          <w:sz w:val="16"/>
        </w:rPr>
        <w:t>ver</w:t>
      </w:r>
      <w:r>
        <w:rPr>
          <w:spacing w:val="-13"/>
          <w:sz w:val="16"/>
        </w:rPr>
        <w:t> </w:t>
      </w:r>
      <w:r>
        <w:rPr>
          <w:sz w:val="16"/>
        </w:rPr>
        <w:t>escrito</w:t>
      </w:r>
      <w:r>
        <w:rPr>
          <w:spacing w:val="-13"/>
          <w:sz w:val="16"/>
        </w:rPr>
        <w:t> </w:t>
      </w:r>
      <w:r>
        <w:rPr>
          <w:sz w:val="16"/>
        </w:rPr>
        <w:t>de</w:t>
      </w:r>
      <w:r>
        <w:rPr>
          <w:spacing w:val="-10"/>
          <w:sz w:val="16"/>
        </w:rPr>
        <w:t> </w:t>
      </w:r>
      <w:r>
        <w:rPr>
          <w:i/>
          <w:sz w:val="16"/>
        </w:rPr>
        <w:t>Amici </w:t>
      </w:r>
      <w:r>
        <w:rPr>
          <w:i/>
          <w:sz w:val="16"/>
        </w:rPr>
        <w:t>Curiae </w:t>
      </w:r>
      <w:r>
        <w:rPr>
          <w:sz w:val="16"/>
        </w:rPr>
        <w:t>presentado conjuntamente por Asociación Civil por la Igualdad y la Justicia, Amnesty International, Asociación Interamericana para la Defensa del Ambiente, Comisión Colombiana de Juristas, Dejusticia, FIAN International, International Women's Rights Action Watch Asia Pacific y Minority Rights Group International, coordinado por la secretaría de la Red Internacional de Derechos Económicos, Sociales y Culturales (Red- DESC), en su</w:t>
      </w:r>
      <w:r>
        <w:rPr>
          <w:spacing w:val="-16"/>
          <w:sz w:val="16"/>
        </w:rPr>
        <w:t> </w:t>
      </w:r>
      <w:r>
        <w:rPr>
          <w:sz w:val="16"/>
        </w:rPr>
        <w:t>totalidad.</w:t>
      </w:r>
    </w:p>
    <w:p>
      <w:pPr>
        <w:tabs>
          <w:tab w:pos="826" w:val="left" w:leader="none"/>
        </w:tabs>
        <w:spacing w:before="120"/>
        <w:ind w:left="118" w:right="310" w:firstLine="0"/>
        <w:jc w:val="both"/>
        <w:rPr>
          <w:sz w:val="16"/>
        </w:rPr>
      </w:pPr>
      <w:r>
        <w:rPr>
          <w:position w:val="6"/>
          <w:sz w:val="10"/>
        </w:rPr>
        <w:t>67</w:t>
        <w:tab/>
      </w:r>
      <w:r>
        <w:rPr>
          <w:i/>
          <w:sz w:val="16"/>
        </w:rPr>
        <w:t>Cfr. Caso  Comunidades  indígenas  miembros de la asociación Lhaka Honhat  (Nuestra </w:t>
      </w:r>
      <w:r>
        <w:rPr>
          <w:i/>
          <w:spacing w:val="26"/>
          <w:sz w:val="16"/>
        </w:rPr>
        <w:t> </w:t>
      </w:r>
      <w:r>
        <w:rPr>
          <w:i/>
          <w:sz w:val="16"/>
        </w:rPr>
        <w:t>Tierra)</w:t>
      </w:r>
      <w:r>
        <w:rPr>
          <w:i/>
          <w:spacing w:val="33"/>
          <w:sz w:val="16"/>
        </w:rPr>
        <w:t> </w:t>
      </w:r>
      <w:r>
        <w:rPr>
          <w:i/>
          <w:sz w:val="16"/>
        </w:rPr>
        <w:t>Vs.</w:t>
      </w:r>
      <w:r>
        <w:rPr>
          <w:i/>
          <w:w w:val="99"/>
          <w:sz w:val="16"/>
        </w:rPr>
        <w:t> </w:t>
      </w:r>
      <w:r>
        <w:rPr>
          <w:i/>
          <w:sz w:val="16"/>
        </w:rPr>
        <w:t>Argentina. Fondo, Reparaciones y Costas. </w:t>
      </w:r>
      <w:r>
        <w:rPr>
          <w:sz w:val="16"/>
        </w:rPr>
        <w:t>Sentencia de 6 de febrero de 2020. Serie C No. 400, nota</w:t>
      </w:r>
      <w:r>
        <w:rPr>
          <w:spacing w:val="-26"/>
          <w:sz w:val="16"/>
        </w:rPr>
        <w:t> </w:t>
      </w:r>
      <w:r>
        <w:rPr>
          <w:sz w:val="16"/>
        </w:rPr>
        <w:t>33.</w:t>
      </w:r>
    </w:p>
    <w:p>
      <w:pPr>
        <w:pStyle w:val="BodyText"/>
        <w:spacing w:before="12"/>
        <w:rPr>
          <w:sz w:val="15"/>
        </w:rPr>
      </w:pPr>
    </w:p>
    <w:p>
      <w:pPr>
        <w:tabs>
          <w:tab w:pos="826" w:val="left" w:leader="none"/>
        </w:tabs>
        <w:spacing w:before="0"/>
        <w:ind w:left="118" w:right="310" w:firstLine="0"/>
        <w:jc w:val="both"/>
        <w:rPr>
          <w:sz w:val="16"/>
        </w:rPr>
      </w:pPr>
      <w:r>
        <w:rPr>
          <w:position w:val="6"/>
          <w:sz w:val="10"/>
        </w:rPr>
        <w:t>68</w:t>
        <w:tab/>
      </w:r>
      <w:r>
        <w:rPr>
          <w:i/>
          <w:sz w:val="16"/>
        </w:rPr>
        <w:t>Cfr. Caso  Comunidades  indígenas  miembros de la asociación Lhaka Honhat  (Nuestra </w:t>
      </w:r>
      <w:r>
        <w:rPr>
          <w:i/>
          <w:spacing w:val="26"/>
          <w:sz w:val="16"/>
        </w:rPr>
        <w:t> </w:t>
      </w:r>
      <w:r>
        <w:rPr>
          <w:i/>
          <w:sz w:val="16"/>
        </w:rPr>
        <w:t>Tierra)</w:t>
      </w:r>
      <w:r>
        <w:rPr>
          <w:i/>
          <w:spacing w:val="33"/>
          <w:sz w:val="16"/>
        </w:rPr>
        <w:t> </w:t>
      </w:r>
      <w:r>
        <w:rPr>
          <w:i/>
          <w:sz w:val="16"/>
        </w:rPr>
        <w:t>Vs.</w:t>
      </w:r>
      <w:r>
        <w:rPr>
          <w:i/>
          <w:w w:val="99"/>
          <w:sz w:val="16"/>
        </w:rPr>
        <w:t> </w:t>
      </w:r>
      <w:r>
        <w:rPr>
          <w:i/>
          <w:sz w:val="16"/>
        </w:rPr>
        <w:t>Argentina. Fondo, Reparaciones y Costas. </w:t>
      </w:r>
      <w:r>
        <w:rPr>
          <w:sz w:val="16"/>
        </w:rPr>
        <w:t>Sentencia de 6 de febrero de 2020. Serie C No. 400, nota</w:t>
      </w:r>
      <w:r>
        <w:rPr>
          <w:spacing w:val="-26"/>
          <w:sz w:val="16"/>
        </w:rPr>
        <w:t> </w:t>
      </w:r>
      <w:r>
        <w:rPr>
          <w:sz w:val="16"/>
        </w:rPr>
        <w:t>154.</w:t>
      </w:r>
    </w:p>
    <w:p>
      <w:pPr>
        <w:pStyle w:val="BodyText"/>
        <w:spacing w:before="11"/>
        <w:rPr>
          <w:sz w:val="15"/>
        </w:rPr>
      </w:pPr>
    </w:p>
    <w:p>
      <w:pPr>
        <w:tabs>
          <w:tab w:pos="826" w:val="left" w:leader="none"/>
        </w:tabs>
        <w:spacing w:before="1"/>
        <w:ind w:left="118" w:right="309" w:firstLine="0"/>
        <w:jc w:val="both"/>
        <w:rPr>
          <w:sz w:val="16"/>
        </w:rPr>
      </w:pPr>
      <w:r>
        <w:rPr>
          <w:position w:val="6"/>
          <w:sz w:val="10"/>
        </w:rPr>
        <w:t>69</w:t>
        <w:tab/>
      </w:r>
      <w:r>
        <w:rPr>
          <w:i/>
          <w:sz w:val="16"/>
        </w:rPr>
        <w:t>Cfr. Caso  Comunidades  indígenas  miembros de la asociación Lhaka Honhat  (Nuestra </w:t>
      </w:r>
      <w:r>
        <w:rPr>
          <w:i/>
          <w:spacing w:val="26"/>
          <w:sz w:val="16"/>
        </w:rPr>
        <w:t> </w:t>
      </w:r>
      <w:r>
        <w:rPr>
          <w:i/>
          <w:sz w:val="16"/>
        </w:rPr>
        <w:t>Tierra)</w:t>
      </w:r>
      <w:r>
        <w:rPr>
          <w:i/>
          <w:spacing w:val="33"/>
          <w:sz w:val="16"/>
        </w:rPr>
        <w:t> </w:t>
      </w:r>
      <w:r>
        <w:rPr>
          <w:i/>
          <w:sz w:val="16"/>
        </w:rPr>
        <w:t>Vs.</w:t>
      </w:r>
      <w:r>
        <w:rPr>
          <w:i/>
          <w:w w:val="99"/>
          <w:sz w:val="16"/>
        </w:rPr>
        <w:t> </w:t>
      </w:r>
      <w:r>
        <w:rPr>
          <w:i/>
          <w:sz w:val="16"/>
        </w:rPr>
        <w:t>Argentina. Fondo, Reparaciones y Costas. </w:t>
      </w:r>
      <w:r>
        <w:rPr>
          <w:sz w:val="16"/>
        </w:rPr>
        <w:t>Sentencia de 6 de febrero de 2020. Serie C No. 400, notas 162, 193 y</w:t>
      </w:r>
      <w:r>
        <w:rPr>
          <w:spacing w:val="-3"/>
          <w:sz w:val="16"/>
        </w:rPr>
        <w:t> </w:t>
      </w:r>
      <w:r>
        <w:rPr>
          <w:sz w:val="16"/>
        </w:rPr>
        <w:t>288.</w:t>
      </w:r>
    </w:p>
    <w:p>
      <w:pPr>
        <w:pStyle w:val="BodyText"/>
        <w:rPr>
          <w:sz w:val="16"/>
        </w:rPr>
      </w:pPr>
    </w:p>
    <w:p>
      <w:pPr>
        <w:tabs>
          <w:tab w:pos="826" w:val="left" w:leader="none"/>
        </w:tabs>
        <w:spacing w:before="0"/>
        <w:ind w:left="118" w:right="310" w:firstLine="0"/>
        <w:jc w:val="both"/>
        <w:rPr>
          <w:sz w:val="16"/>
        </w:rPr>
      </w:pPr>
      <w:r>
        <w:rPr>
          <w:position w:val="6"/>
          <w:sz w:val="10"/>
        </w:rPr>
        <w:t>70</w:t>
        <w:tab/>
      </w:r>
      <w:r>
        <w:rPr>
          <w:i/>
          <w:sz w:val="16"/>
        </w:rPr>
        <w:t>Cfr. Caso  Comunidades  indígenas  miembros de la  asociación Lhaka Honhat  (Nuestra</w:t>
      </w:r>
      <w:r>
        <w:rPr>
          <w:i/>
          <w:spacing w:val="30"/>
          <w:sz w:val="16"/>
        </w:rPr>
        <w:t> </w:t>
      </w:r>
      <w:r>
        <w:rPr>
          <w:i/>
          <w:sz w:val="16"/>
        </w:rPr>
        <w:t>Tierra)</w:t>
      </w:r>
      <w:r>
        <w:rPr>
          <w:i/>
          <w:spacing w:val="29"/>
          <w:sz w:val="16"/>
        </w:rPr>
        <w:t> </w:t>
      </w:r>
      <w:r>
        <w:rPr>
          <w:i/>
          <w:sz w:val="16"/>
        </w:rPr>
        <w:t>Vs.</w:t>
      </w:r>
      <w:r>
        <w:rPr>
          <w:i/>
          <w:w w:val="99"/>
          <w:sz w:val="16"/>
        </w:rPr>
        <w:t> </w:t>
      </w:r>
      <w:r>
        <w:rPr>
          <w:i/>
          <w:sz w:val="16"/>
        </w:rPr>
        <w:t>Argentina. Fondo, Reparaciones y Costas. </w:t>
      </w:r>
      <w:r>
        <w:rPr>
          <w:sz w:val="16"/>
        </w:rPr>
        <w:t>Sentencia de 6 de febrero de 2020. Serie C No. 400, notas 210, 247, 260, 263 y</w:t>
      </w:r>
      <w:r>
        <w:rPr>
          <w:spacing w:val="-8"/>
          <w:sz w:val="16"/>
        </w:rPr>
        <w:t> </w:t>
      </w:r>
      <w:r>
        <w:rPr>
          <w:sz w:val="16"/>
        </w:rPr>
        <w:t>270.</w:t>
      </w:r>
    </w:p>
    <w:p>
      <w:pPr>
        <w:spacing w:after="0"/>
        <w:jc w:val="both"/>
        <w:rPr>
          <w:sz w:val="16"/>
        </w:rPr>
        <w:sectPr>
          <w:pgSz w:w="12240" w:h="15840"/>
          <w:pgMar w:header="0" w:footer="782" w:top="1500" w:bottom="980" w:left="1300" w:right="1720"/>
        </w:sectPr>
      </w:pPr>
    </w:p>
    <w:p>
      <w:pPr>
        <w:pStyle w:val="BodyText"/>
        <w:spacing w:before="77"/>
        <w:ind w:left="118" w:right="309"/>
        <w:jc w:val="both"/>
      </w:pPr>
      <w:r>
        <w:rPr/>
        <w:t>prioritario de las políticas de desarrollo y con el fin de combatir el cambio climático, así como</w:t>
      </w:r>
      <w:r>
        <w:rPr>
          <w:spacing w:val="-5"/>
        </w:rPr>
        <w:t> </w:t>
      </w:r>
      <w:r>
        <w:rPr/>
        <w:t>su</w:t>
      </w:r>
      <w:r>
        <w:rPr>
          <w:spacing w:val="-5"/>
        </w:rPr>
        <w:t> </w:t>
      </w:r>
      <w:r>
        <w:rPr/>
        <w:t>vínculo</w:t>
      </w:r>
      <w:r>
        <w:rPr>
          <w:spacing w:val="-6"/>
        </w:rPr>
        <w:t> </w:t>
      </w:r>
      <w:r>
        <w:rPr/>
        <w:t>con</w:t>
      </w:r>
      <w:r>
        <w:rPr>
          <w:spacing w:val="-6"/>
        </w:rPr>
        <w:t> </w:t>
      </w:r>
      <w:r>
        <w:rPr/>
        <w:t>los</w:t>
      </w:r>
      <w:r>
        <w:rPr>
          <w:spacing w:val="-6"/>
        </w:rPr>
        <w:t> </w:t>
      </w:r>
      <w:r>
        <w:rPr/>
        <w:t>pueblos</w:t>
      </w:r>
      <w:r>
        <w:rPr>
          <w:spacing w:val="-6"/>
        </w:rPr>
        <w:t> </w:t>
      </w:r>
      <w:r>
        <w:rPr/>
        <w:t>indígenas</w:t>
      </w:r>
      <w:r>
        <w:rPr>
          <w:spacing w:val="-6"/>
        </w:rPr>
        <w:t> </w:t>
      </w:r>
      <w:r>
        <w:rPr/>
        <w:t>en</w:t>
      </w:r>
      <w:r>
        <w:rPr>
          <w:spacing w:val="-5"/>
        </w:rPr>
        <w:t> </w:t>
      </w:r>
      <w:r>
        <w:rPr/>
        <w:t>la</w:t>
      </w:r>
      <w:r>
        <w:rPr>
          <w:spacing w:val="-6"/>
        </w:rPr>
        <w:t> </w:t>
      </w:r>
      <w:r>
        <w:rPr/>
        <w:t>Agenda</w:t>
      </w:r>
      <w:r>
        <w:rPr>
          <w:spacing w:val="-6"/>
        </w:rPr>
        <w:t> </w:t>
      </w:r>
      <w:r>
        <w:rPr/>
        <w:t>2030</w:t>
      </w:r>
      <w:r>
        <w:rPr>
          <w:spacing w:val="-5"/>
        </w:rPr>
        <w:t> </w:t>
      </w:r>
      <w:r>
        <w:rPr/>
        <w:t>de</w:t>
      </w:r>
      <w:r>
        <w:rPr>
          <w:spacing w:val="-5"/>
        </w:rPr>
        <w:t> </w:t>
      </w:r>
      <w:r>
        <w:rPr/>
        <w:t>las</w:t>
      </w:r>
      <w:r>
        <w:rPr>
          <w:spacing w:val="-6"/>
        </w:rPr>
        <w:t> </w:t>
      </w:r>
      <w:r>
        <w:rPr/>
        <w:t>Naciones</w:t>
      </w:r>
      <w:r>
        <w:rPr>
          <w:spacing w:val="-6"/>
        </w:rPr>
        <w:t> </w:t>
      </w:r>
      <w:r>
        <w:rPr/>
        <w:t>Unidas</w:t>
      </w:r>
      <w:r>
        <w:rPr>
          <w:position w:val="7"/>
          <w:sz w:val="13"/>
        </w:rPr>
        <w:t>71</w:t>
      </w:r>
      <w:r>
        <w:rPr/>
        <w:t>.</w:t>
      </w:r>
    </w:p>
    <w:p>
      <w:pPr>
        <w:pStyle w:val="BodyText"/>
        <w:spacing w:before="11"/>
        <w:rPr>
          <w:sz w:val="19"/>
        </w:rPr>
      </w:pPr>
    </w:p>
    <w:p>
      <w:pPr>
        <w:pStyle w:val="ListParagraph"/>
        <w:numPr>
          <w:ilvl w:val="0"/>
          <w:numId w:val="77"/>
        </w:numPr>
        <w:tabs>
          <w:tab w:pos="827" w:val="left" w:leader="none"/>
        </w:tabs>
        <w:spacing w:line="240" w:lineRule="auto" w:before="0" w:after="0"/>
        <w:ind w:left="118" w:right="310" w:firstLine="0"/>
        <w:jc w:val="both"/>
        <w:rPr>
          <w:sz w:val="20"/>
        </w:rPr>
      </w:pPr>
      <w:r>
        <w:rPr>
          <w:sz w:val="20"/>
        </w:rPr>
        <w:t>Con todo lo anterior, es posible señalar que la Corte IDH tiene como pilar fundamental</w:t>
      </w:r>
      <w:r>
        <w:rPr>
          <w:spacing w:val="-12"/>
          <w:sz w:val="20"/>
        </w:rPr>
        <w:t> </w:t>
      </w:r>
      <w:r>
        <w:rPr>
          <w:sz w:val="20"/>
        </w:rPr>
        <w:t>en</w:t>
      </w:r>
      <w:r>
        <w:rPr>
          <w:spacing w:val="-11"/>
          <w:sz w:val="20"/>
        </w:rPr>
        <w:t> </w:t>
      </w:r>
      <w:r>
        <w:rPr>
          <w:sz w:val="20"/>
        </w:rPr>
        <w:t>su</w:t>
      </w:r>
      <w:r>
        <w:rPr>
          <w:spacing w:val="-11"/>
          <w:sz w:val="20"/>
        </w:rPr>
        <w:t> </w:t>
      </w:r>
      <w:r>
        <w:rPr>
          <w:sz w:val="20"/>
        </w:rPr>
        <w:t>labor,</w:t>
      </w:r>
      <w:r>
        <w:rPr>
          <w:spacing w:val="-10"/>
          <w:sz w:val="20"/>
        </w:rPr>
        <w:t> </w:t>
      </w:r>
      <w:r>
        <w:rPr>
          <w:sz w:val="20"/>
        </w:rPr>
        <w:t>la</w:t>
      </w:r>
      <w:r>
        <w:rPr>
          <w:spacing w:val="-12"/>
          <w:sz w:val="20"/>
        </w:rPr>
        <w:t> </w:t>
      </w:r>
      <w:r>
        <w:rPr>
          <w:sz w:val="20"/>
        </w:rPr>
        <w:t>comunicación</w:t>
      </w:r>
      <w:r>
        <w:rPr>
          <w:spacing w:val="-12"/>
          <w:sz w:val="20"/>
        </w:rPr>
        <w:t> </w:t>
      </w:r>
      <w:r>
        <w:rPr>
          <w:sz w:val="20"/>
        </w:rPr>
        <w:t>permanente</w:t>
      </w:r>
      <w:r>
        <w:rPr>
          <w:spacing w:val="-11"/>
          <w:sz w:val="20"/>
        </w:rPr>
        <w:t> </w:t>
      </w:r>
      <w:r>
        <w:rPr>
          <w:sz w:val="20"/>
        </w:rPr>
        <w:t>con</w:t>
      </w:r>
      <w:r>
        <w:rPr>
          <w:spacing w:val="-13"/>
          <w:sz w:val="20"/>
        </w:rPr>
        <w:t> </w:t>
      </w:r>
      <w:r>
        <w:rPr>
          <w:sz w:val="20"/>
        </w:rPr>
        <w:t>organizaciones,</w:t>
      </w:r>
      <w:r>
        <w:rPr>
          <w:spacing w:val="-11"/>
          <w:sz w:val="20"/>
        </w:rPr>
        <w:t> </w:t>
      </w:r>
      <w:r>
        <w:rPr>
          <w:sz w:val="20"/>
        </w:rPr>
        <w:t>instituciones y</w:t>
      </w:r>
      <w:r>
        <w:rPr>
          <w:spacing w:val="-4"/>
          <w:sz w:val="20"/>
        </w:rPr>
        <w:t> </w:t>
      </w:r>
      <w:r>
        <w:rPr>
          <w:sz w:val="20"/>
        </w:rPr>
        <w:t>la</w:t>
      </w:r>
      <w:r>
        <w:rPr>
          <w:spacing w:val="-6"/>
          <w:sz w:val="20"/>
        </w:rPr>
        <w:t> </w:t>
      </w:r>
      <w:r>
        <w:rPr>
          <w:sz w:val="20"/>
        </w:rPr>
        <w:t>sociedad</w:t>
      </w:r>
      <w:r>
        <w:rPr>
          <w:spacing w:val="-6"/>
          <w:sz w:val="20"/>
        </w:rPr>
        <w:t> </w:t>
      </w:r>
      <w:r>
        <w:rPr>
          <w:sz w:val="20"/>
        </w:rPr>
        <w:t>en</w:t>
      </w:r>
      <w:r>
        <w:rPr>
          <w:spacing w:val="-5"/>
          <w:sz w:val="20"/>
        </w:rPr>
        <w:t> </w:t>
      </w:r>
      <w:r>
        <w:rPr>
          <w:sz w:val="20"/>
        </w:rPr>
        <w:t>general,</w:t>
      </w:r>
      <w:r>
        <w:rPr>
          <w:spacing w:val="-5"/>
          <w:sz w:val="20"/>
        </w:rPr>
        <w:t> </w:t>
      </w:r>
      <w:r>
        <w:rPr>
          <w:sz w:val="20"/>
        </w:rPr>
        <w:t>lo</w:t>
      </w:r>
      <w:r>
        <w:rPr>
          <w:spacing w:val="-6"/>
          <w:sz w:val="20"/>
        </w:rPr>
        <w:t> </w:t>
      </w:r>
      <w:r>
        <w:rPr>
          <w:sz w:val="20"/>
        </w:rPr>
        <w:t>cual</w:t>
      </w:r>
      <w:r>
        <w:rPr>
          <w:spacing w:val="-5"/>
          <w:sz w:val="20"/>
        </w:rPr>
        <w:t> </w:t>
      </w:r>
      <w:r>
        <w:rPr>
          <w:sz w:val="20"/>
        </w:rPr>
        <w:t>se</w:t>
      </w:r>
      <w:r>
        <w:rPr>
          <w:spacing w:val="-6"/>
          <w:sz w:val="20"/>
        </w:rPr>
        <w:t> </w:t>
      </w:r>
      <w:r>
        <w:rPr>
          <w:sz w:val="20"/>
        </w:rPr>
        <w:t>realiza</w:t>
      </w:r>
      <w:r>
        <w:rPr>
          <w:spacing w:val="-7"/>
          <w:sz w:val="20"/>
        </w:rPr>
        <w:t> </w:t>
      </w:r>
      <w:r>
        <w:rPr>
          <w:sz w:val="20"/>
        </w:rPr>
        <w:t>en</w:t>
      </w:r>
      <w:r>
        <w:rPr>
          <w:spacing w:val="-5"/>
          <w:sz w:val="20"/>
        </w:rPr>
        <w:t> </w:t>
      </w:r>
      <w:r>
        <w:rPr>
          <w:sz w:val="20"/>
        </w:rPr>
        <w:t>ambas</w:t>
      </w:r>
      <w:r>
        <w:rPr>
          <w:spacing w:val="-5"/>
          <w:sz w:val="20"/>
        </w:rPr>
        <w:t> </w:t>
      </w:r>
      <w:r>
        <w:rPr>
          <w:sz w:val="20"/>
        </w:rPr>
        <w:t>direcciones;</w:t>
      </w:r>
      <w:r>
        <w:rPr>
          <w:spacing w:val="-5"/>
          <w:sz w:val="20"/>
        </w:rPr>
        <w:t> </w:t>
      </w:r>
      <w:r>
        <w:rPr>
          <w:sz w:val="20"/>
        </w:rPr>
        <w:t>es</w:t>
      </w:r>
      <w:r>
        <w:rPr>
          <w:spacing w:val="-6"/>
          <w:sz w:val="20"/>
        </w:rPr>
        <w:t> </w:t>
      </w:r>
      <w:r>
        <w:rPr>
          <w:sz w:val="20"/>
        </w:rPr>
        <w:t>decir,</w:t>
      </w:r>
      <w:r>
        <w:rPr>
          <w:spacing w:val="-6"/>
          <w:sz w:val="20"/>
        </w:rPr>
        <w:t> </w:t>
      </w:r>
      <w:r>
        <w:rPr>
          <w:sz w:val="20"/>
        </w:rPr>
        <w:t>la</w:t>
      </w:r>
      <w:r>
        <w:rPr>
          <w:spacing w:val="-6"/>
          <w:sz w:val="20"/>
        </w:rPr>
        <w:t> </w:t>
      </w:r>
      <w:r>
        <w:rPr>
          <w:sz w:val="20"/>
        </w:rPr>
        <w:t>Corte</w:t>
      </w:r>
      <w:r>
        <w:rPr>
          <w:spacing w:val="-5"/>
          <w:sz w:val="20"/>
        </w:rPr>
        <w:t> </w:t>
      </w:r>
      <w:r>
        <w:rPr>
          <w:sz w:val="20"/>
        </w:rPr>
        <w:t>IDH mediante establecimiento de estándares regionales en materia de derechos humanos, y las organizaciones, instituciones y personas mediante su activa participación en los procesos y procedimientos mediante la figura del </w:t>
      </w:r>
      <w:r>
        <w:rPr>
          <w:i/>
          <w:sz w:val="20"/>
        </w:rPr>
        <w:t>amicus curiae</w:t>
      </w:r>
      <w:r>
        <w:rPr>
          <w:sz w:val="20"/>
        </w:rPr>
        <w:t>, lo que fortalece el diálogo multidimensional a favor del orden público interamericano en la</w:t>
      </w:r>
      <w:r>
        <w:rPr>
          <w:spacing w:val="-23"/>
          <w:sz w:val="20"/>
        </w:rPr>
        <w:t> </w:t>
      </w:r>
      <w:r>
        <w:rPr>
          <w:sz w:val="20"/>
        </w:rPr>
        <w:t>región.</w:t>
      </w:r>
    </w:p>
    <w:p>
      <w:pPr>
        <w:pStyle w:val="BodyText"/>
        <w:spacing w:before="11"/>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El </w:t>
      </w:r>
      <w:r>
        <w:rPr>
          <w:i/>
          <w:sz w:val="20"/>
        </w:rPr>
        <w:t>amicus curiae </w:t>
      </w:r>
      <w:r>
        <w:rPr>
          <w:sz w:val="20"/>
        </w:rPr>
        <w:t>se erige ante el Tribunal Interamericano como una importante herramienta que enriquece el trabajo jurisprudencial de esta Corte IDH y la efectiva protección</w:t>
      </w:r>
      <w:r>
        <w:rPr>
          <w:spacing w:val="-6"/>
          <w:sz w:val="20"/>
        </w:rPr>
        <w:t> </w:t>
      </w:r>
      <w:r>
        <w:rPr>
          <w:sz w:val="20"/>
        </w:rPr>
        <w:t>de</w:t>
      </w:r>
      <w:r>
        <w:rPr>
          <w:spacing w:val="-5"/>
          <w:sz w:val="20"/>
        </w:rPr>
        <w:t> </w:t>
      </w:r>
      <w:r>
        <w:rPr>
          <w:sz w:val="20"/>
        </w:rPr>
        <w:t>los</w:t>
      </w:r>
      <w:r>
        <w:rPr>
          <w:spacing w:val="-6"/>
          <w:sz w:val="20"/>
        </w:rPr>
        <w:t> </w:t>
      </w:r>
      <w:r>
        <w:rPr>
          <w:sz w:val="20"/>
        </w:rPr>
        <w:t>derechos</w:t>
      </w:r>
      <w:r>
        <w:rPr>
          <w:spacing w:val="-6"/>
          <w:sz w:val="20"/>
        </w:rPr>
        <w:t> </w:t>
      </w:r>
      <w:r>
        <w:rPr>
          <w:sz w:val="20"/>
        </w:rPr>
        <w:t>humanos,</w:t>
      </w:r>
      <w:r>
        <w:rPr>
          <w:spacing w:val="-5"/>
          <w:sz w:val="20"/>
        </w:rPr>
        <w:t> </w:t>
      </w:r>
      <w:r>
        <w:rPr>
          <w:sz w:val="20"/>
        </w:rPr>
        <w:t>y</w:t>
      </w:r>
      <w:r>
        <w:rPr>
          <w:spacing w:val="-6"/>
          <w:sz w:val="20"/>
        </w:rPr>
        <w:t> </w:t>
      </w:r>
      <w:r>
        <w:rPr>
          <w:sz w:val="20"/>
        </w:rPr>
        <w:t>cada</w:t>
      </w:r>
      <w:r>
        <w:rPr>
          <w:spacing w:val="-7"/>
          <w:sz w:val="20"/>
        </w:rPr>
        <w:t> </w:t>
      </w:r>
      <w:r>
        <w:rPr>
          <w:sz w:val="20"/>
        </w:rPr>
        <w:t>vez</w:t>
      </w:r>
      <w:r>
        <w:rPr>
          <w:spacing w:val="-5"/>
          <w:sz w:val="20"/>
        </w:rPr>
        <w:t> </w:t>
      </w:r>
      <w:r>
        <w:rPr>
          <w:sz w:val="20"/>
        </w:rPr>
        <w:t>tiene</w:t>
      </w:r>
      <w:r>
        <w:rPr>
          <w:spacing w:val="-5"/>
          <w:sz w:val="20"/>
        </w:rPr>
        <w:t> </w:t>
      </w:r>
      <w:r>
        <w:rPr>
          <w:sz w:val="20"/>
        </w:rPr>
        <w:t>una</w:t>
      </w:r>
      <w:r>
        <w:rPr>
          <w:spacing w:val="-5"/>
          <w:sz w:val="20"/>
        </w:rPr>
        <w:t> </w:t>
      </w:r>
      <w:r>
        <w:rPr>
          <w:sz w:val="20"/>
        </w:rPr>
        <w:t>mayor</w:t>
      </w:r>
      <w:r>
        <w:rPr>
          <w:spacing w:val="-5"/>
          <w:sz w:val="20"/>
        </w:rPr>
        <w:t> </w:t>
      </w:r>
      <w:r>
        <w:rPr>
          <w:sz w:val="20"/>
        </w:rPr>
        <w:t>atención</w:t>
      </w:r>
      <w:r>
        <w:rPr>
          <w:spacing w:val="-6"/>
          <w:sz w:val="20"/>
        </w:rPr>
        <w:t> </w:t>
      </w:r>
      <w:r>
        <w:rPr>
          <w:sz w:val="20"/>
        </w:rPr>
        <w:t>por</w:t>
      </w:r>
      <w:r>
        <w:rPr>
          <w:spacing w:val="-7"/>
          <w:sz w:val="20"/>
        </w:rPr>
        <w:t> </w:t>
      </w:r>
      <w:r>
        <w:rPr>
          <w:sz w:val="20"/>
        </w:rPr>
        <w:t>parte</w:t>
      </w:r>
      <w:r>
        <w:rPr>
          <w:spacing w:val="-5"/>
          <w:sz w:val="20"/>
        </w:rPr>
        <w:t> </w:t>
      </w:r>
      <w:r>
        <w:rPr>
          <w:sz w:val="20"/>
        </w:rPr>
        <w:t>de las organizaciones no gubernamentales, instituciones académicas y personas de la sociedad civil, que tienen un interés legítimo en los temas que se discuten ante los órganos del Sistema Interamericano. Pese a que no son vinculantes y que carecen de valor probatorio</w:t>
      </w:r>
      <w:r>
        <w:rPr>
          <w:position w:val="7"/>
          <w:sz w:val="13"/>
        </w:rPr>
        <w:t>72</w:t>
      </w:r>
      <w:r>
        <w:rPr>
          <w:sz w:val="20"/>
        </w:rPr>
        <w:t>, le permiten al Tribunal Interamericano favorecerse con mayores elementos conforme al derecho nacional e internacional, y de esta manera tener una panorámica</w:t>
      </w:r>
      <w:r>
        <w:rPr>
          <w:spacing w:val="-10"/>
          <w:sz w:val="20"/>
        </w:rPr>
        <w:t> </w:t>
      </w:r>
      <w:r>
        <w:rPr>
          <w:sz w:val="20"/>
        </w:rPr>
        <w:t>de</w:t>
      </w:r>
      <w:r>
        <w:rPr>
          <w:spacing w:val="-9"/>
          <w:sz w:val="20"/>
        </w:rPr>
        <w:t> </w:t>
      </w:r>
      <w:r>
        <w:rPr>
          <w:sz w:val="20"/>
        </w:rPr>
        <w:t>las</w:t>
      </w:r>
      <w:r>
        <w:rPr>
          <w:spacing w:val="-11"/>
          <w:sz w:val="20"/>
        </w:rPr>
        <w:t> </w:t>
      </w:r>
      <w:r>
        <w:rPr>
          <w:sz w:val="20"/>
        </w:rPr>
        <w:t>implicaciones</w:t>
      </w:r>
      <w:r>
        <w:rPr>
          <w:spacing w:val="-9"/>
          <w:sz w:val="20"/>
        </w:rPr>
        <w:t> </w:t>
      </w:r>
      <w:r>
        <w:rPr>
          <w:sz w:val="20"/>
        </w:rPr>
        <w:t>de</w:t>
      </w:r>
      <w:r>
        <w:rPr>
          <w:spacing w:val="-10"/>
          <w:sz w:val="20"/>
        </w:rPr>
        <w:t> </w:t>
      </w:r>
      <w:r>
        <w:rPr>
          <w:sz w:val="20"/>
        </w:rPr>
        <w:t>la</w:t>
      </w:r>
      <w:r>
        <w:rPr>
          <w:spacing w:val="-10"/>
          <w:sz w:val="20"/>
        </w:rPr>
        <w:t> </w:t>
      </w:r>
      <w:r>
        <w:rPr>
          <w:sz w:val="20"/>
        </w:rPr>
        <w:t>decisión,</w:t>
      </w:r>
      <w:r>
        <w:rPr>
          <w:spacing w:val="-10"/>
          <w:sz w:val="20"/>
        </w:rPr>
        <w:t> </w:t>
      </w:r>
      <w:r>
        <w:rPr>
          <w:sz w:val="20"/>
        </w:rPr>
        <w:t>nutriéndose</w:t>
      </w:r>
      <w:r>
        <w:rPr>
          <w:spacing w:val="-10"/>
          <w:sz w:val="20"/>
        </w:rPr>
        <w:t> </w:t>
      </w:r>
      <w:r>
        <w:rPr>
          <w:sz w:val="20"/>
        </w:rPr>
        <w:t>de</w:t>
      </w:r>
      <w:r>
        <w:rPr>
          <w:spacing w:val="-10"/>
          <w:sz w:val="20"/>
        </w:rPr>
        <w:t> </w:t>
      </w:r>
      <w:r>
        <w:rPr>
          <w:sz w:val="20"/>
        </w:rPr>
        <w:t>valiosas</w:t>
      </w:r>
      <w:r>
        <w:rPr>
          <w:spacing w:val="-10"/>
          <w:sz w:val="20"/>
        </w:rPr>
        <w:t> </w:t>
      </w:r>
      <w:r>
        <w:rPr>
          <w:sz w:val="20"/>
        </w:rPr>
        <w:t>consideraciones desde la sociedad</w:t>
      </w:r>
      <w:r>
        <w:rPr>
          <w:spacing w:val="-3"/>
          <w:sz w:val="20"/>
        </w:rPr>
        <w:t> </w:t>
      </w:r>
      <w:r>
        <w:rPr>
          <w:sz w:val="20"/>
        </w:rPr>
        <w:t>civil.</w:t>
      </w:r>
    </w:p>
    <w:p>
      <w:pPr>
        <w:pStyle w:val="BodyText"/>
        <w:spacing w:before="11"/>
        <w:rPr>
          <w:sz w:val="19"/>
        </w:rPr>
      </w:pPr>
    </w:p>
    <w:p>
      <w:pPr>
        <w:pStyle w:val="ListParagraph"/>
        <w:numPr>
          <w:ilvl w:val="0"/>
          <w:numId w:val="77"/>
        </w:numPr>
        <w:tabs>
          <w:tab w:pos="827" w:val="left" w:leader="none"/>
        </w:tabs>
        <w:spacing w:line="240" w:lineRule="auto" w:before="0" w:after="0"/>
        <w:ind w:left="118" w:right="312" w:firstLine="0"/>
        <w:jc w:val="both"/>
        <w:rPr>
          <w:sz w:val="20"/>
        </w:rPr>
      </w:pPr>
      <w:r>
        <w:rPr>
          <w:sz w:val="20"/>
        </w:rPr>
        <w:t>En el Sistema Interamericano se ha incentivado no sólo el acercamiento a los estándares emitidos por el Tribunal Interamericano, sino también su apertura para recibir observaciones y opiniones en el ejercicio de su competencia contenciosa y consultiva, con lo que se garantiza que exista un diálogo de emisión y recepción de ideas recíproco, y no sólo</w:t>
      </w:r>
      <w:r>
        <w:rPr>
          <w:spacing w:val="-8"/>
          <w:sz w:val="20"/>
        </w:rPr>
        <w:t> </w:t>
      </w:r>
      <w:r>
        <w:rPr>
          <w:sz w:val="20"/>
        </w:rPr>
        <w:t>unidireccional.</w:t>
      </w:r>
    </w:p>
    <w:p>
      <w:pPr>
        <w:pStyle w:val="BodyText"/>
        <w:spacing w:before="12"/>
        <w:rPr>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Es necesario seguir impulsando el diálogo constructivo y virtuoso que se genera con la participación de las organizaciones, instituciones y personas mediante la figura del </w:t>
      </w:r>
      <w:r>
        <w:rPr>
          <w:i/>
          <w:sz w:val="20"/>
        </w:rPr>
        <w:t>amicus curiae </w:t>
      </w:r>
      <w:r>
        <w:rPr>
          <w:sz w:val="20"/>
        </w:rPr>
        <w:t>ante la Corte IDH y así procurar un ámbito de ideas incluyente, para la mayor y mejor protección de los derechos humanos en la región, lo que permite un Derecho Americano en permanente</w:t>
      </w:r>
      <w:r>
        <w:rPr>
          <w:spacing w:val="-8"/>
          <w:sz w:val="20"/>
        </w:rPr>
        <w:t> </w:t>
      </w:r>
      <w:r>
        <w:rPr>
          <w:sz w:val="20"/>
        </w:rPr>
        <w:t>evolución.</w:t>
      </w:r>
    </w:p>
    <w:p>
      <w:pPr>
        <w:pStyle w:val="BodyText"/>
        <w:spacing w:before="11"/>
        <w:rPr>
          <w:sz w:val="19"/>
        </w:rPr>
      </w:pPr>
    </w:p>
    <w:p>
      <w:pPr>
        <w:pStyle w:val="Heading3"/>
        <w:numPr>
          <w:ilvl w:val="0"/>
          <w:numId w:val="47"/>
        </w:numPr>
        <w:tabs>
          <w:tab w:pos="3767" w:val="left" w:leader="none"/>
        </w:tabs>
        <w:spacing w:line="240" w:lineRule="auto" w:before="1" w:after="0"/>
        <w:ind w:left="3766" w:right="0" w:hanging="294"/>
        <w:jc w:val="left"/>
      </w:pPr>
      <w:r>
        <w:rPr/>
        <w:t>CONCLUSIONES</w:t>
      </w:r>
    </w:p>
    <w:p>
      <w:pPr>
        <w:pStyle w:val="BodyText"/>
        <w:spacing w:before="12"/>
        <w:rPr>
          <w:b/>
          <w:sz w:val="19"/>
        </w:rPr>
      </w:pPr>
    </w:p>
    <w:p>
      <w:pPr>
        <w:pStyle w:val="ListParagraph"/>
        <w:numPr>
          <w:ilvl w:val="0"/>
          <w:numId w:val="77"/>
        </w:numPr>
        <w:tabs>
          <w:tab w:pos="827" w:val="left" w:leader="none"/>
        </w:tabs>
        <w:spacing w:line="240" w:lineRule="auto" w:before="0" w:after="0"/>
        <w:ind w:left="118" w:right="309" w:firstLine="0"/>
        <w:jc w:val="both"/>
        <w:rPr>
          <w:sz w:val="20"/>
        </w:rPr>
      </w:pPr>
      <w:r>
        <w:rPr>
          <w:sz w:val="20"/>
        </w:rPr>
        <w:t>El caso </w:t>
      </w:r>
      <w:r>
        <w:rPr>
          <w:i/>
          <w:sz w:val="20"/>
        </w:rPr>
        <w:t>Lakha Honhat </w:t>
      </w:r>
      <w:r>
        <w:rPr>
          <w:sz w:val="20"/>
        </w:rPr>
        <w:t>constituye el primer caso contencioso en el cual la Corte IDH se pronuncia de manera directa y autónoma sobre los derechos al medio</w:t>
      </w:r>
      <w:r>
        <w:rPr>
          <w:spacing w:val="-42"/>
          <w:sz w:val="20"/>
        </w:rPr>
        <w:t> </w:t>
      </w:r>
      <w:r>
        <w:rPr>
          <w:sz w:val="20"/>
        </w:rPr>
        <w:t>ambiente sano, a la alimentación, al agua y a la identidad cultural, este último como proyección del derecho a disfrutar de la vida</w:t>
      </w:r>
      <w:r>
        <w:rPr>
          <w:spacing w:val="-10"/>
          <w:sz w:val="20"/>
        </w:rPr>
        <w:t> </w:t>
      </w:r>
      <w:r>
        <w:rPr>
          <w:sz w:val="20"/>
        </w:rPr>
        <w:t>cultural</w:t>
      </w:r>
      <w:r>
        <w:rPr>
          <w:position w:val="7"/>
          <w:sz w:val="13"/>
        </w:rPr>
        <w:t>73</w:t>
      </w:r>
      <w:r>
        <w:rPr>
          <w:sz w:val="20"/>
        </w:rPr>
        <w:t>.</w:t>
      </w:r>
    </w:p>
    <w:p>
      <w:pPr>
        <w:pStyle w:val="BodyText"/>
      </w:pPr>
    </w:p>
    <w:p>
      <w:pPr>
        <w:pStyle w:val="BodyText"/>
      </w:pPr>
    </w:p>
    <w:p>
      <w:pPr>
        <w:pStyle w:val="BodyText"/>
      </w:pPr>
    </w:p>
    <w:p>
      <w:pPr>
        <w:pStyle w:val="BodyText"/>
      </w:pPr>
    </w:p>
    <w:p>
      <w:pPr>
        <w:pStyle w:val="BodyText"/>
      </w:pPr>
    </w:p>
    <w:p>
      <w:pPr>
        <w:pStyle w:val="BodyText"/>
        <w:spacing w:before="7"/>
        <w:rPr>
          <w:sz w:val="25"/>
        </w:rPr>
      </w:pPr>
      <w:r>
        <w:rPr/>
        <w:pict>
          <v:line style="position:absolute;mso-position-horizontal-relative:page;mso-position-vertical-relative:paragraph;z-index:5176;mso-wrap-distance-left:0;mso-wrap-distance-right:0" from="70.919998pt,17.827583pt" to="214.939998pt,17.827583pt" stroked="true" strokeweight=".599980pt" strokecolor="#000000">
            <v:stroke dashstyle="solid"/>
            <w10:wrap type="topAndBottom"/>
          </v:line>
        </w:pict>
      </w:r>
    </w:p>
    <w:p>
      <w:pPr>
        <w:tabs>
          <w:tab w:pos="826" w:val="left" w:leader="none"/>
        </w:tabs>
        <w:spacing w:before="73"/>
        <w:ind w:left="118" w:right="310" w:firstLine="0"/>
        <w:jc w:val="left"/>
        <w:rPr>
          <w:sz w:val="16"/>
        </w:rPr>
      </w:pPr>
      <w:r>
        <w:rPr>
          <w:position w:val="6"/>
          <w:sz w:val="10"/>
        </w:rPr>
        <w:t>71</w:t>
        <w:tab/>
      </w:r>
      <w:r>
        <w:rPr>
          <w:i/>
          <w:sz w:val="16"/>
        </w:rPr>
        <w:t>Cfr. Caso  Comunidades  indígenas  miembros de la asociación Lhaka Honhat  (Nuestra </w:t>
      </w:r>
      <w:r>
        <w:rPr>
          <w:i/>
          <w:spacing w:val="30"/>
          <w:sz w:val="16"/>
        </w:rPr>
        <w:t> </w:t>
      </w:r>
      <w:r>
        <w:rPr>
          <w:i/>
          <w:sz w:val="16"/>
        </w:rPr>
        <w:t>Tierra)</w:t>
      </w:r>
      <w:r>
        <w:rPr>
          <w:i/>
          <w:spacing w:val="28"/>
          <w:sz w:val="16"/>
        </w:rPr>
        <w:t> </w:t>
      </w:r>
      <w:r>
        <w:rPr>
          <w:i/>
          <w:sz w:val="16"/>
        </w:rPr>
        <w:t>Vs.</w:t>
      </w:r>
      <w:r>
        <w:rPr>
          <w:i/>
          <w:w w:val="99"/>
          <w:sz w:val="16"/>
        </w:rPr>
        <w:t> </w:t>
      </w:r>
      <w:r>
        <w:rPr>
          <w:i/>
          <w:sz w:val="16"/>
        </w:rPr>
        <w:t>Argentina. Fondo, Reparaciones y Costas. </w:t>
      </w:r>
      <w:r>
        <w:rPr>
          <w:sz w:val="16"/>
        </w:rPr>
        <w:t>Sentencia de 6 de enero de 2020. Serie C No. 400, nota</w:t>
      </w:r>
      <w:r>
        <w:rPr>
          <w:spacing w:val="-26"/>
          <w:sz w:val="16"/>
        </w:rPr>
        <w:t> </w:t>
      </w:r>
      <w:r>
        <w:rPr>
          <w:sz w:val="16"/>
        </w:rPr>
        <w:t>193.</w:t>
      </w:r>
    </w:p>
    <w:p>
      <w:pPr>
        <w:pStyle w:val="BodyText"/>
        <w:spacing w:before="12"/>
        <w:rPr>
          <w:sz w:val="15"/>
        </w:rPr>
      </w:pPr>
    </w:p>
    <w:p>
      <w:pPr>
        <w:tabs>
          <w:tab w:pos="826" w:val="left" w:leader="none"/>
        </w:tabs>
        <w:spacing w:before="0"/>
        <w:ind w:left="118" w:right="314" w:firstLine="0"/>
        <w:jc w:val="left"/>
        <w:rPr>
          <w:sz w:val="16"/>
        </w:rPr>
      </w:pPr>
      <w:r>
        <w:rPr>
          <w:position w:val="6"/>
          <w:sz w:val="10"/>
        </w:rPr>
        <w:t>72</w:t>
        <w:tab/>
      </w:r>
      <w:r>
        <w:rPr>
          <w:i/>
          <w:sz w:val="16"/>
        </w:rPr>
        <w:t>Caso</w:t>
      </w:r>
      <w:r>
        <w:rPr>
          <w:i/>
          <w:spacing w:val="47"/>
          <w:sz w:val="16"/>
        </w:rPr>
        <w:t> </w:t>
      </w:r>
      <w:r>
        <w:rPr>
          <w:i/>
          <w:sz w:val="16"/>
        </w:rPr>
        <w:t>de</w:t>
      </w:r>
      <w:r>
        <w:rPr>
          <w:i/>
          <w:spacing w:val="48"/>
          <w:sz w:val="16"/>
        </w:rPr>
        <w:t> </w:t>
      </w:r>
      <w:r>
        <w:rPr>
          <w:i/>
          <w:sz w:val="16"/>
        </w:rPr>
        <w:t>Personas</w:t>
      </w:r>
      <w:r>
        <w:rPr>
          <w:i/>
          <w:spacing w:val="46"/>
          <w:sz w:val="16"/>
        </w:rPr>
        <w:t> </w:t>
      </w:r>
      <w:r>
        <w:rPr>
          <w:i/>
          <w:sz w:val="16"/>
        </w:rPr>
        <w:t>dominicanas</w:t>
      </w:r>
      <w:r>
        <w:rPr>
          <w:i/>
          <w:spacing w:val="46"/>
          <w:sz w:val="16"/>
        </w:rPr>
        <w:t> </w:t>
      </w:r>
      <w:r>
        <w:rPr>
          <w:i/>
          <w:sz w:val="16"/>
        </w:rPr>
        <w:t>y</w:t>
      </w:r>
      <w:r>
        <w:rPr>
          <w:i/>
          <w:spacing w:val="47"/>
          <w:sz w:val="16"/>
        </w:rPr>
        <w:t> </w:t>
      </w:r>
      <w:r>
        <w:rPr>
          <w:i/>
          <w:sz w:val="16"/>
        </w:rPr>
        <w:t>haitianas</w:t>
      </w:r>
      <w:r>
        <w:rPr>
          <w:i/>
          <w:spacing w:val="46"/>
          <w:sz w:val="16"/>
        </w:rPr>
        <w:t> </w:t>
      </w:r>
      <w:r>
        <w:rPr>
          <w:i/>
          <w:sz w:val="16"/>
        </w:rPr>
        <w:t>expulsadas</w:t>
      </w:r>
      <w:r>
        <w:rPr>
          <w:i/>
          <w:spacing w:val="48"/>
          <w:sz w:val="16"/>
        </w:rPr>
        <w:t> </w:t>
      </w:r>
      <w:r>
        <w:rPr>
          <w:i/>
          <w:sz w:val="16"/>
        </w:rPr>
        <w:t>Vs.</w:t>
      </w:r>
      <w:r>
        <w:rPr>
          <w:i/>
          <w:spacing w:val="46"/>
          <w:sz w:val="16"/>
        </w:rPr>
        <w:t> </w:t>
      </w:r>
      <w:r>
        <w:rPr>
          <w:i/>
          <w:sz w:val="16"/>
        </w:rPr>
        <w:t>República</w:t>
      </w:r>
      <w:r>
        <w:rPr>
          <w:i/>
          <w:spacing w:val="47"/>
          <w:sz w:val="16"/>
        </w:rPr>
        <w:t> </w:t>
      </w:r>
      <w:r>
        <w:rPr>
          <w:i/>
          <w:sz w:val="16"/>
        </w:rPr>
        <w:t>Dominicana.</w:t>
      </w:r>
      <w:r>
        <w:rPr>
          <w:i/>
          <w:spacing w:val="47"/>
          <w:sz w:val="16"/>
        </w:rPr>
        <w:t> </w:t>
      </w:r>
      <w:r>
        <w:rPr>
          <w:i/>
          <w:sz w:val="16"/>
        </w:rPr>
        <w:t>Excepciones</w:t>
      </w:r>
      <w:r>
        <w:rPr>
          <w:i/>
          <w:w w:val="99"/>
          <w:sz w:val="16"/>
        </w:rPr>
        <w:t> </w:t>
      </w:r>
      <w:r>
        <w:rPr>
          <w:i/>
          <w:sz w:val="16"/>
        </w:rPr>
        <w:t>Preliminares, Fondo, Reparaciones y Costas. </w:t>
      </w:r>
      <w:r>
        <w:rPr>
          <w:sz w:val="16"/>
        </w:rPr>
        <w:t>Sentencia de 28 de agosto de 2014. Serie C No. 282, párr.</w:t>
      </w:r>
      <w:r>
        <w:rPr>
          <w:spacing w:val="-30"/>
          <w:sz w:val="16"/>
        </w:rPr>
        <w:t> </w:t>
      </w:r>
      <w:r>
        <w:rPr>
          <w:sz w:val="16"/>
        </w:rPr>
        <w:t>15.</w:t>
      </w:r>
    </w:p>
    <w:p>
      <w:pPr>
        <w:tabs>
          <w:tab w:pos="826" w:val="left" w:leader="none"/>
        </w:tabs>
        <w:spacing w:before="120"/>
        <w:ind w:left="118" w:right="359" w:firstLine="0"/>
        <w:jc w:val="left"/>
        <w:rPr>
          <w:sz w:val="16"/>
        </w:rPr>
      </w:pPr>
      <w:r>
        <w:rPr>
          <w:position w:val="6"/>
          <w:sz w:val="10"/>
        </w:rPr>
        <w:t>73</w:t>
        <w:tab/>
      </w:r>
      <w:r>
        <w:rPr>
          <w:i/>
          <w:sz w:val="16"/>
        </w:rPr>
        <w:t>Caso  Comunidades  indígenas  miembros  de  la  asociación  Lhaka  Honhat  (Nuestra </w:t>
      </w:r>
      <w:r>
        <w:rPr>
          <w:i/>
          <w:spacing w:val="20"/>
          <w:sz w:val="16"/>
        </w:rPr>
        <w:t> </w:t>
      </w:r>
      <w:r>
        <w:rPr>
          <w:i/>
          <w:sz w:val="16"/>
        </w:rPr>
        <w:t>Tierra) </w:t>
      </w:r>
      <w:r>
        <w:rPr>
          <w:i/>
          <w:spacing w:val="5"/>
          <w:sz w:val="16"/>
        </w:rPr>
        <w:t> </w:t>
      </w:r>
      <w:r>
        <w:rPr>
          <w:i/>
          <w:sz w:val="16"/>
        </w:rPr>
        <w:t>Vs.</w:t>
      </w:r>
      <w:r>
        <w:rPr>
          <w:i/>
          <w:w w:val="99"/>
          <w:sz w:val="16"/>
        </w:rPr>
        <w:t> </w:t>
      </w:r>
      <w:r>
        <w:rPr>
          <w:i/>
          <w:sz w:val="16"/>
        </w:rPr>
        <w:t>Argentina. Fondo, Reparaciones y Costas. </w:t>
      </w:r>
      <w:r>
        <w:rPr>
          <w:sz w:val="16"/>
        </w:rPr>
        <w:t>Sentencia de 6 de febrero de 2020. Serie C No. 400, párr.</w:t>
      </w:r>
      <w:r>
        <w:rPr>
          <w:spacing w:val="-26"/>
          <w:sz w:val="16"/>
        </w:rPr>
        <w:t> </w:t>
      </w:r>
      <w:r>
        <w:rPr>
          <w:sz w:val="16"/>
        </w:rPr>
        <w:t>201.</w:t>
      </w:r>
    </w:p>
    <w:p>
      <w:pPr>
        <w:spacing w:after="0"/>
        <w:jc w:val="left"/>
        <w:rPr>
          <w:sz w:val="16"/>
        </w:rPr>
        <w:sectPr>
          <w:pgSz w:w="12240" w:h="15840"/>
          <w:pgMar w:header="0" w:footer="782" w:top="1340" w:bottom="980" w:left="1300" w:right="1720"/>
        </w:sectPr>
      </w:pPr>
    </w:p>
    <w:p>
      <w:pPr>
        <w:pStyle w:val="ListParagraph"/>
        <w:numPr>
          <w:ilvl w:val="0"/>
          <w:numId w:val="77"/>
        </w:numPr>
        <w:tabs>
          <w:tab w:pos="827" w:val="left" w:leader="none"/>
        </w:tabs>
        <w:spacing w:line="240" w:lineRule="auto" w:before="77" w:after="0"/>
        <w:ind w:left="118" w:right="308" w:firstLine="0"/>
        <w:jc w:val="both"/>
        <w:rPr>
          <w:sz w:val="20"/>
        </w:rPr>
      </w:pPr>
      <w:r>
        <w:rPr>
          <w:sz w:val="20"/>
        </w:rPr>
        <w:t>Al respecto, por cada uno de los derechos analizados se realiza un ejercicio de identificación</w:t>
      </w:r>
      <w:r>
        <w:rPr>
          <w:spacing w:val="-8"/>
          <w:sz w:val="20"/>
        </w:rPr>
        <w:t> </w:t>
      </w:r>
      <w:r>
        <w:rPr>
          <w:sz w:val="20"/>
        </w:rPr>
        <w:t>de</w:t>
      </w:r>
      <w:r>
        <w:rPr>
          <w:spacing w:val="-7"/>
          <w:sz w:val="20"/>
        </w:rPr>
        <w:t> </w:t>
      </w:r>
      <w:r>
        <w:rPr>
          <w:sz w:val="20"/>
        </w:rPr>
        <w:t>las</w:t>
      </w:r>
      <w:r>
        <w:rPr>
          <w:spacing w:val="-9"/>
          <w:sz w:val="20"/>
        </w:rPr>
        <w:t> </w:t>
      </w:r>
      <w:r>
        <w:rPr>
          <w:sz w:val="20"/>
        </w:rPr>
        <w:t>disposiciones</w:t>
      </w:r>
      <w:r>
        <w:rPr>
          <w:spacing w:val="-9"/>
          <w:sz w:val="20"/>
        </w:rPr>
        <w:t> </w:t>
      </w:r>
      <w:r>
        <w:rPr>
          <w:sz w:val="20"/>
        </w:rPr>
        <w:t>tanto</w:t>
      </w:r>
      <w:r>
        <w:rPr>
          <w:spacing w:val="-9"/>
          <w:sz w:val="20"/>
        </w:rPr>
        <w:t> </w:t>
      </w:r>
      <w:r>
        <w:rPr>
          <w:sz w:val="20"/>
        </w:rPr>
        <w:t>de</w:t>
      </w:r>
      <w:r>
        <w:rPr>
          <w:spacing w:val="-7"/>
          <w:sz w:val="20"/>
        </w:rPr>
        <w:t> </w:t>
      </w:r>
      <w:r>
        <w:rPr>
          <w:sz w:val="20"/>
        </w:rPr>
        <w:t>derecho</w:t>
      </w:r>
      <w:r>
        <w:rPr>
          <w:spacing w:val="-9"/>
          <w:sz w:val="20"/>
        </w:rPr>
        <w:t> </w:t>
      </w:r>
      <w:r>
        <w:rPr>
          <w:sz w:val="20"/>
        </w:rPr>
        <w:t>internacional</w:t>
      </w:r>
      <w:r>
        <w:rPr>
          <w:position w:val="7"/>
          <w:sz w:val="13"/>
        </w:rPr>
        <w:t>74</w:t>
      </w:r>
      <w:r>
        <w:rPr>
          <w:spacing w:val="15"/>
          <w:position w:val="7"/>
          <w:sz w:val="13"/>
        </w:rPr>
        <w:t> </w:t>
      </w:r>
      <w:r>
        <w:rPr>
          <w:sz w:val="20"/>
        </w:rPr>
        <w:t>como</w:t>
      </w:r>
      <w:r>
        <w:rPr>
          <w:spacing w:val="-8"/>
          <w:sz w:val="20"/>
        </w:rPr>
        <w:t> </w:t>
      </w:r>
      <w:r>
        <w:rPr>
          <w:sz w:val="20"/>
        </w:rPr>
        <w:t>las</w:t>
      </w:r>
      <w:r>
        <w:rPr>
          <w:spacing w:val="-9"/>
          <w:sz w:val="20"/>
        </w:rPr>
        <w:t> </w:t>
      </w:r>
      <w:r>
        <w:rPr>
          <w:sz w:val="20"/>
        </w:rPr>
        <w:t>pertinentes en</w:t>
      </w:r>
      <w:r>
        <w:rPr>
          <w:spacing w:val="-5"/>
          <w:sz w:val="20"/>
        </w:rPr>
        <w:t> </w:t>
      </w:r>
      <w:r>
        <w:rPr>
          <w:sz w:val="20"/>
        </w:rPr>
        <w:t>relación</w:t>
      </w:r>
      <w:r>
        <w:rPr>
          <w:spacing w:val="-7"/>
          <w:sz w:val="20"/>
        </w:rPr>
        <w:t> </w:t>
      </w:r>
      <w:r>
        <w:rPr>
          <w:sz w:val="20"/>
        </w:rPr>
        <w:t>con</w:t>
      </w:r>
      <w:r>
        <w:rPr>
          <w:spacing w:val="-6"/>
          <w:sz w:val="20"/>
        </w:rPr>
        <w:t> </w:t>
      </w:r>
      <w:r>
        <w:rPr>
          <w:sz w:val="20"/>
        </w:rPr>
        <w:t>el</w:t>
      </w:r>
      <w:r>
        <w:rPr>
          <w:spacing w:val="-6"/>
          <w:sz w:val="20"/>
        </w:rPr>
        <w:t> </w:t>
      </w:r>
      <w:r>
        <w:rPr>
          <w:sz w:val="20"/>
        </w:rPr>
        <w:t>derecho</w:t>
      </w:r>
      <w:r>
        <w:rPr>
          <w:spacing w:val="-5"/>
          <w:sz w:val="20"/>
        </w:rPr>
        <w:t> </w:t>
      </w:r>
      <w:r>
        <w:rPr>
          <w:sz w:val="20"/>
        </w:rPr>
        <w:t>constitucional</w:t>
      </w:r>
      <w:r>
        <w:rPr>
          <w:spacing w:val="-6"/>
          <w:sz w:val="20"/>
        </w:rPr>
        <w:t> </w:t>
      </w:r>
      <w:r>
        <w:rPr>
          <w:sz w:val="20"/>
        </w:rPr>
        <w:t>comparado</w:t>
      </w:r>
      <w:r>
        <w:rPr>
          <w:position w:val="7"/>
          <w:sz w:val="13"/>
        </w:rPr>
        <w:t>75</w:t>
      </w:r>
      <w:r>
        <w:rPr>
          <w:sz w:val="20"/>
        </w:rPr>
        <w:t>,</w:t>
      </w:r>
      <w:r>
        <w:rPr>
          <w:spacing w:val="-5"/>
          <w:sz w:val="20"/>
        </w:rPr>
        <w:t> </w:t>
      </w:r>
      <w:r>
        <w:rPr>
          <w:sz w:val="20"/>
        </w:rPr>
        <w:t>pero</w:t>
      </w:r>
      <w:r>
        <w:rPr>
          <w:spacing w:val="-6"/>
          <w:sz w:val="20"/>
        </w:rPr>
        <w:t> </w:t>
      </w:r>
      <w:r>
        <w:rPr>
          <w:sz w:val="20"/>
        </w:rPr>
        <w:t>en</w:t>
      </w:r>
      <w:r>
        <w:rPr>
          <w:spacing w:val="-5"/>
          <w:sz w:val="20"/>
        </w:rPr>
        <w:t> </w:t>
      </w:r>
      <w:r>
        <w:rPr>
          <w:sz w:val="20"/>
        </w:rPr>
        <w:t>lo</w:t>
      </w:r>
      <w:r>
        <w:rPr>
          <w:spacing w:val="-6"/>
          <w:sz w:val="20"/>
        </w:rPr>
        <w:t> </w:t>
      </w:r>
      <w:r>
        <w:rPr>
          <w:sz w:val="20"/>
        </w:rPr>
        <w:t>particular</w:t>
      </w:r>
      <w:r>
        <w:rPr>
          <w:spacing w:val="-6"/>
          <w:sz w:val="20"/>
        </w:rPr>
        <w:t> </w:t>
      </w:r>
      <w:r>
        <w:rPr>
          <w:sz w:val="20"/>
        </w:rPr>
        <w:t>la</w:t>
      </w:r>
      <w:r>
        <w:rPr>
          <w:spacing w:val="-6"/>
          <w:sz w:val="20"/>
        </w:rPr>
        <w:t> </w:t>
      </w:r>
      <w:r>
        <w:rPr>
          <w:sz w:val="20"/>
        </w:rPr>
        <w:t>forma</w:t>
      </w:r>
      <w:r>
        <w:rPr>
          <w:spacing w:val="-5"/>
          <w:sz w:val="20"/>
        </w:rPr>
        <w:t> </w:t>
      </w:r>
      <w:r>
        <w:rPr>
          <w:sz w:val="20"/>
        </w:rPr>
        <w:t>en la que dichos derechos han sido reconocidos e integrados por el derecho constitucional argentino</w:t>
      </w:r>
      <w:r>
        <w:rPr>
          <w:position w:val="7"/>
          <w:sz w:val="13"/>
        </w:rPr>
        <w:t>76</w:t>
      </w:r>
      <w:r>
        <w:rPr>
          <w:sz w:val="20"/>
        </w:rPr>
        <w:t>. Además, es pertinente destacar que Argentina no presentó excepción preliminar cuestionando la competencia de la Corte IDH sobre la posibilidad de</w:t>
      </w:r>
      <w:r>
        <w:rPr>
          <w:spacing w:val="-35"/>
          <w:sz w:val="20"/>
        </w:rPr>
        <w:t> </w:t>
      </w:r>
      <w:r>
        <w:rPr>
          <w:sz w:val="20"/>
        </w:rPr>
        <w:t>conocer sobre la vulneración autónoma de estos derechos; por el contrario, el Estado se limitó a</w:t>
      </w:r>
      <w:r>
        <w:rPr>
          <w:spacing w:val="-7"/>
          <w:sz w:val="20"/>
        </w:rPr>
        <w:t> </w:t>
      </w:r>
      <w:r>
        <w:rPr>
          <w:sz w:val="20"/>
        </w:rPr>
        <w:t>emitir</w:t>
      </w:r>
      <w:r>
        <w:rPr>
          <w:spacing w:val="-9"/>
          <w:sz w:val="20"/>
        </w:rPr>
        <w:t> </w:t>
      </w:r>
      <w:r>
        <w:rPr>
          <w:sz w:val="20"/>
        </w:rPr>
        <w:t>argumentos</w:t>
      </w:r>
      <w:r>
        <w:rPr>
          <w:spacing w:val="-8"/>
          <w:sz w:val="20"/>
        </w:rPr>
        <w:t> </w:t>
      </w:r>
      <w:r>
        <w:rPr>
          <w:sz w:val="20"/>
        </w:rPr>
        <w:t>por</w:t>
      </w:r>
      <w:r>
        <w:rPr>
          <w:spacing w:val="-7"/>
          <w:sz w:val="20"/>
        </w:rPr>
        <w:t> </w:t>
      </w:r>
      <w:r>
        <w:rPr>
          <w:sz w:val="20"/>
        </w:rPr>
        <w:t>los</w:t>
      </w:r>
      <w:r>
        <w:rPr>
          <w:spacing w:val="-9"/>
          <w:sz w:val="20"/>
        </w:rPr>
        <w:t> </w:t>
      </w:r>
      <w:r>
        <w:rPr>
          <w:sz w:val="20"/>
        </w:rPr>
        <w:t>cuales</w:t>
      </w:r>
      <w:r>
        <w:rPr>
          <w:spacing w:val="-9"/>
          <w:sz w:val="20"/>
        </w:rPr>
        <w:t> </w:t>
      </w:r>
      <w:r>
        <w:rPr>
          <w:sz w:val="20"/>
        </w:rPr>
        <w:t>consideró</w:t>
      </w:r>
      <w:r>
        <w:rPr>
          <w:spacing w:val="-7"/>
          <w:sz w:val="20"/>
        </w:rPr>
        <w:t> </w:t>
      </w:r>
      <w:r>
        <w:rPr>
          <w:sz w:val="20"/>
        </w:rPr>
        <w:t>que</w:t>
      </w:r>
      <w:r>
        <w:rPr>
          <w:spacing w:val="-7"/>
          <w:sz w:val="20"/>
        </w:rPr>
        <w:t> </w:t>
      </w:r>
      <w:r>
        <w:rPr>
          <w:sz w:val="20"/>
        </w:rPr>
        <w:t>dichos</w:t>
      </w:r>
      <w:r>
        <w:rPr>
          <w:spacing w:val="-8"/>
          <w:sz w:val="20"/>
        </w:rPr>
        <w:t> </w:t>
      </w:r>
      <w:r>
        <w:rPr>
          <w:sz w:val="20"/>
        </w:rPr>
        <w:t>derechos</w:t>
      </w:r>
      <w:r>
        <w:rPr>
          <w:spacing w:val="-8"/>
          <w:sz w:val="20"/>
        </w:rPr>
        <w:t> </w:t>
      </w:r>
      <w:r>
        <w:rPr>
          <w:sz w:val="20"/>
        </w:rPr>
        <w:t>no</w:t>
      </w:r>
      <w:r>
        <w:rPr>
          <w:spacing w:val="-8"/>
          <w:sz w:val="20"/>
        </w:rPr>
        <w:t> </w:t>
      </w:r>
      <w:r>
        <w:rPr>
          <w:sz w:val="20"/>
        </w:rPr>
        <w:t>fueron</w:t>
      </w:r>
      <w:r>
        <w:rPr>
          <w:spacing w:val="-8"/>
          <w:sz w:val="20"/>
        </w:rPr>
        <w:t> </w:t>
      </w:r>
      <w:r>
        <w:rPr>
          <w:sz w:val="20"/>
        </w:rPr>
        <w:t>vulnerados en</w:t>
      </w:r>
      <w:r>
        <w:rPr>
          <w:spacing w:val="-15"/>
          <w:sz w:val="20"/>
        </w:rPr>
        <w:t> </w:t>
      </w:r>
      <w:r>
        <w:rPr>
          <w:sz w:val="20"/>
        </w:rPr>
        <w:t>el</w:t>
      </w:r>
      <w:r>
        <w:rPr>
          <w:spacing w:val="-14"/>
          <w:sz w:val="20"/>
        </w:rPr>
        <w:t> </w:t>
      </w:r>
      <w:r>
        <w:rPr>
          <w:sz w:val="20"/>
        </w:rPr>
        <w:t>presente</w:t>
      </w:r>
      <w:r>
        <w:rPr>
          <w:spacing w:val="-15"/>
          <w:sz w:val="20"/>
        </w:rPr>
        <w:t> </w:t>
      </w:r>
      <w:r>
        <w:rPr>
          <w:sz w:val="20"/>
        </w:rPr>
        <w:t>caso,</w:t>
      </w:r>
      <w:r>
        <w:rPr>
          <w:spacing w:val="-15"/>
          <w:sz w:val="20"/>
        </w:rPr>
        <w:t> </w:t>
      </w:r>
      <w:r>
        <w:rPr>
          <w:sz w:val="20"/>
        </w:rPr>
        <w:t>lo</w:t>
      </w:r>
      <w:r>
        <w:rPr>
          <w:spacing w:val="-15"/>
          <w:sz w:val="20"/>
        </w:rPr>
        <w:t> </w:t>
      </w:r>
      <w:r>
        <w:rPr>
          <w:sz w:val="20"/>
        </w:rPr>
        <w:t>que</w:t>
      </w:r>
      <w:r>
        <w:rPr>
          <w:spacing w:val="-14"/>
          <w:sz w:val="20"/>
        </w:rPr>
        <w:t> </w:t>
      </w:r>
      <w:r>
        <w:rPr>
          <w:sz w:val="20"/>
        </w:rPr>
        <w:t>demuestra</w:t>
      </w:r>
      <w:r>
        <w:rPr>
          <w:spacing w:val="-15"/>
          <w:sz w:val="20"/>
        </w:rPr>
        <w:t> </w:t>
      </w:r>
      <w:r>
        <w:rPr>
          <w:sz w:val="20"/>
        </w:rPr>
        <w:t>que</w:t>
      </w:r>
      <w:r>
        <w:rPr>
          <w:spacing w:val="-15"/>
          <w:sz w:val="20"/>
        </w:rPr>
        <w:t> </w:t>
      </w:r>
      <w:r>
        <w:rPr>
          <w:sz w:val="20"/>
        </w:rPr>
        <w:t>no</w:t>
      </w:r>
      <w:r>
        <w:rPr>
          <w:spacing w:val="-16"/>
          <w:sz w:val="20"/>
        </w:rPr>
        <w:t> </w:t>
      </w:r>
      <w:r>
        <w:rPr>
          <w:sz w:val="20"/>
        </w:rPr>
        <w:t>existía</w:t>
      </w:r>
      <w:r>
        <w:rPr>
          <w:spacing w:val="-16"/>
          <w:sz w:val="20"/>
        </w:rPr>
        <w:t> </w:t>
      </w:r>
      <w:r>
        <w:rPr>
          <w:sz w:val="20"/>
        </w:rPr>
        <w:t>controversia</w:t>
      </w:r>
      <w:r>
        <w:rPr>
          <w:spacing w:val="-16"/>
          <w:sz w:val="20"/>
        </w:rPr>
        <w:t> </w:t>
      </w:r>
      <w:r>
        <w:rPr>
          <w:sz w:val="20"/>
        </w:rPr>
        <w:t>sobre</w:t>
      </w:r>
      <w:r>
        <w:rPr>
          <w:spacing w:val="-15"/>
          <w:sz w:val="20"/>
        </w:rPr>
        <w:t> </w:t>
      </w:r>
      <w:r>
        <w:rPr>
          <w:sz w:val="20"/>
        </w:rPr>
        <w:t>la</w:t>
      </w:r>
      <w:r>
        <w:rPr>
          <w:spacing w:val="-15"/>
          <w:sz w:val="20"/>
        </w:rPr>
        <w:t> </w:t>
      </w:r>
      <w:r>
        <w:rPr>
          <w:sz w:val="20"/>
        </w:rPr>
        <w:t>justiciabilidad de los</w:t>
      </w:r>
      <w:r>
        <w:rPr>
          <w:spacing w:val="-2"/>
          <w:sz w:val="20"/>
        </w:rPr>
        <w:t> </w:t>
      </w:r>
      <w:r>
        <w:rPr>
          <w:sz w:val="20"/>
        </w:rPr>
        <w:t>mismos.</w:t>
      </w:r>
    </w:p>
    <w:p>
      <w:pPr>
        <w:pStyle w:val="BodyText"/>
        <w:spacing w:before="11"/>
        <w:rPr>
          <w:sz w:val="19"/>
        </w:rPr>
      </w:pPr>
    </w:p>
    <w:p>
      <w:pPr>
        <w:pStyle w:val="ListParagraph"/>
        <w:numPr>
          <w:ilvl w:val="0"/>
          <w:numId w:val="77"/>
        </w:numPr>
        <w:tabs>
          <w:tab w:pos="827" w:val="left" w:leader="none"/>
        </w:tabs>
        <w:spacing w:line="240" w:lineRule="auto" w:before="0" w:after="0"/>
        <w:ind w:left="118" w:right="308" w:firstLine="0"/>
        <w:jc w:val="both"/>
        <w:rPr>
          <w:sz w:val="20"/>
        </w:rPr>
      </w:pPr>
      <w:r>
        <w:rPr>
          <w:sz w:val="20"/>
        </w:rPr>
        <w:t>También es la primera ocasión en el que se declara violado el artículo 26 de la Convención Americana en un caso de pueblos y comunidades indígenas y tribales, conforme</w:t>
      </w:r>
      <w:r>
        <w:rPr>
          <w:spacing w:val="-10"/>
          <w:sz w:val="20"/>
        </w:rPr>
        <w:t> </w:t>
      </w:r>
      <w:r>
        <w:rPr>
          <w:sz w:val="20"/>
        </w:rPr>
        <w:t>a</w:t>
      </w:r>
      <w:r>
        <w:rPr>
          <w:spacing w:val="-11"/>
          <w:sz w:val="20"/>
        </w:rPr>
        <w:t> </w:t>
      </w:r>
      <w:r>
        <w:rPr>
          <w:sz w:val="20"/>
        </w:rPr>
        <w:t>la</w:t>
      </w:r>
      <w:r>
        <w:rPr>
          <w:spacing w:val="-10"/>
          <w:sz w:val="20"/>
        </w:rPr>
        <w:t> </w:t>
      </w:r>
      <w:r>
        <w:rPr>
          <w:sz w:val="20"/>
        </w:rPr>
        <w:t>metodología</w:t>
      </w:r>
      <w:r>
        <w:rPr>
          <w:spacing w:val="-10"/>
          <w:sz w:val="20"/>
        </w:rPr>
        <w:t> </w:t>
      </w:r>
      <w:r>
        <w:rPr>
          <w:sz w:val="20"/>
        </w:rPr>
        <w:t>seguida</w:t>
      </w:r>
      <w:r>
        <w:rPr>
          <w:spacing w:val="-11"/>
          <w:sz w:val="20"/>
        </w:rPr>
        <w:t> </w:t>
      </w:r>
      <w:r>
        <w:rPr>
          <w:sz w:val="20"/>
        </w:rPr>
        <w:t>en</w:t>
      </w:r>
      <w:r>
        <w:rPr>
          <w:spacing w:val="-9"/>
          <w:sz w:val="20"/>
        </w:rPr>
        <w:t> </w:t>
      </w:r>
      <w:r>
        <w:rPr>
          <w:sz w:val="20"/>
        </w:rPr>
        <w:t>los</w:t>
      </w:r>
      <w:r>
        <w:rPr>
          <w:spacing w:val="-10"/>
          <w:sz w:val="20"/>
        </w:rPr>
        <w:t> </w:t>
      </w:r>
      <w:r>
        <w:rPr>
          <w:sz w:val="20"/>
        </w:rPr>
        <w:t>precedentes</w:t>
      </w:r>
      <w:r>
        <w:rPr>
          <w:spacing w:val="-9"/>
          <w:sz w:val="20"/>
        </w:rPr>
        <w:t> </w:t>
      </w:r>
      <w:r>
        <w:rPr>
          <w:sz w:val="20"/>
        </w:rPr>
        <w:t>sobre</w:t>
      </w:r>
      <w:r>
        <w:rPr>
          <w:spacing w:val="-9"/>
          <w:sz w:val="20"/>
        </w:rPr>
        <w:t> </w:t>
      </w:r>
      <w:r>
        <w:rPr>
          <w:sz w:val="20"/>
        </w:rPr>
        <w:t>la</w:t>
      </w:r>
      <w:r>
        <w:rPr>
          <w:spacing w:val="-11"/>
          <w:sz w:val="20"/>
        </w:rPr>
        <w:t> </w:t>
      </w:r>
      <w:r>
        <w:rPr>
          <w:sz w:val="20"/>
        </w:rPr>
        <w:t>justiciabilidad</w:t>
      </w:r>
      <w:r>
        <w:rPr>
          <w:spacing w:val="-11"/>
          <w:sz w:val="20"/>
        </w:rPr>
        <w:t> </w:t>
      </w:r>
      <w:r>
        <w:rPr>
          <w:sz w:val="20"/>
        </w:rPr>
        <w:t>directa</w:t>
      </w:r>
      <w:r>
        <w:rPr>
          <w:spacing w:val="-9"/>
          <w:sz w:val="20"/>
        </w:rPr>
        <w:t> </w:t>
      </w:r>
      <w:r>
        <w:rPr>
          <w:sz w:val="20"/>
        </w:rPr>
        <w:t>de los</w:t>
      </w:r>
      <w:r>
        <w:rPr>
          <w:spacing w:val="-9"/>
          <w:sz w:val="20"/>
        </w:rPr>
        <w:t> </w:t>
      </w:r>
      <w:r>
        <w:rPr>
          <w:sz w:val="20"/>
        </w:rPr>
        <w:t>DESCA.</w:t>
      </w:r>
      <w:r>
        <w:rPr>
          <w:spacing w:val="-9"/>
          <w:sz w:val="20"/>
        </w:rPr>
        <w:t> </w:t>
      </w:r>
      <w:r>
        <w:rPr>
          <w:sz w:val="20"/>
        </w:rPr>
        <w:t>En</w:t>
      </w:r>
      <w:r>
        <w:rPr>
          <w:spacing w:val="-8"/>
          <w:sz w:val="20"/>
        </w:rPr>
        <w:t> </w:t>
      </w:r>
      <w:r>
        <w:rPr>
          <w:sz w:val="20"/>
        </w:rPr>
        <w:t>el</w:t>
      </w:r>
      <w:r>
        <w:rPr>
          <w:spacing w:val="-8"/>
          <w:sz w:val="20"/>
        </w:rPr>
        <w:t> </w:t>
      </w:r>
      <w:r>
        <w:rPr>
          <w:sz w:val="20"/>
        </w:rPr>
        <w:t>caso</w:t>
      </w:r>
      <w:r>
        <w:rPr>
          <w:spacing w:val="-10"/>
          <w:sz w:val="20"/>
        </w:rPr>
        <w:t> </w:t>
      </w:r>
      <w:r>
        <w:rPr>
          <w:sz w:val="20"/>
        </w:rPr>
        <w:t>se</w:t>
      </w:r>
      <w:r>
        <w:rPr>
          <w:spacing w:val="-8"/>
          <w:sz w:val="20"/>
        </w:rPr>
        <w:t> </w:t>
      </w:r>
      <w:r>
        <w:rPr>
          <w:sz w:val="20"/>
        </w:rPr>
        <w:t>ha</w:t>
      </w:r>
      <w:r>
        <w:rPr>
          <w:spacing w:val="-8"/>
          <w:sz w:val="20"/>
        </w:rPr>
        <w:t> </w:t>
      </w:r>
      <w:r>
        <w:rPr>
          <w:sz w:val="20"/>
        </w:rPr>
        <w:t>puesto</w:t>
      </w:r>
      <w:r>
        <w:rPr>
          <w:spacing w:val="-10"/>
          <w:sz w:val="20"/>
        </w:rPr>
        <w:t> </w:t>
      </w:r>
      <w:r>
        <w:rPr>
          <w:sz w:val="20"/>
        </w:rPr>
        <w:t>de</w:t>
      </w:r>
      <w:r>
        <w:rPr>
          <w:spacing w:val="-9"/>
          <w:sz w:val="20"/>
        </w:rPr>
        <w:t> </w:t>
      </w:r>
      <w:r>
        <w:rPr>
          <w:sz w:val="20"/>
        </w:rPr>
        <w:t>relieve</w:t>
      </w:r>
      <w:r>
        <w:rPr>
          <w:spacing w:val="-8"/>
          <w:sz w:val="20"/>
        </w:rPr>
        <w:t> </w:t>
      </w:r>
      <w:r>
        <w:rPr>
          <w:sz w:val="20"/>
        </w:rPr>
        <w:t>la</w:t>
      </w:r>
      <w:r>
        <w:rPr>
          <w:spacing w:val="-9"/>
          <w:sz w:val="20"/>
        </w:rPr>
        <w:t> </w:t>
      </w:r>
      <w:r>
        <w:rPr>
          <w:sz w:val="20"/>
        </w:rPr>
        <w:t>estrecha</w:t>
      </w:r>
      <w:r>
        <w:rPr>
          <w:spacing w:val="-9"/>
          <w:sz w:val="20"/>
        </w:rPr>
        <w:t> </w:t>
      </w:r>
      <w:r>
        <w:rPr>
          <w:sz w:val="20"/>
        </w:rPr>
        <w:t>vinculación</w:t>
      </w:r>
      <w:r>
        <w:rPr>
          <w:spacing w:val="-9"/>
          <w:sz w:val="20"/>
        </w:rPr>
        <w:t> </w:t>
      </w:r>
      <w:r>
        <w:rPr>
          <w:sz w:val="20"/>
        </w:rPr>
        <w:t>entre</w:t>
      </w:r>
      <w:r>
        <w:rPr>
          <w:spacing w:val="-8"/>
          <w:sz w:val="20"/>
        </w:rPr>
        <w:t> </w:t>
      </w:r>
      <w:r>
        <w:rPr>
          <w:sz w:val="20"/>
        </w:rPr>
        <w:t>los</w:t>
      </w:r>
      <w:r>
        <w:rPr>
          <w:spacing w:val="-10"/>
          <w:sz w:val="20"/>
        </w:rPr>
        <w:t> </w:t>
      </w:r>
      <w:r>
        <w:rPr>
          <w:sz w:val="20"/>
        </w:rPr>
        <w:t>derechos a</w:t>
      </w:r>
      <w:r>
        <w:rPr>
          <w:spacing w:val="-6"/>
          <w:sz w:val="20"/>
        </w:rPr>
        <w:t> </w:t>
      </w:r>
      <w:r>
        <w:rPr>
          <w:sz w:val="20"/>
        </w:rPr>
        <w:t>participar</w:t>
      </w:r>
      <w:r>
        <w:rPr>
          <w:spacing w:val="-8"/>
          <w:sz w:val="20"/>
        </w:rPr>
        <w:t> </w:t>
      </w:r>
      <w:r>
        <w:rPr>
          <w:sz w:val="20"/>
        </w:rPr>
        <w:t>en</w:t>
      </w:r>
      <w:r>
        <w:rPr>
          <w:spacing w:val="-6"/>
          <w:sz w:val="20"/>
        </w:rPr>
        <w:t> </w:t>
      </w:r>
      <w:r>
        <w:rPr>
          <w:sz w:val="20"/>
        </w:rPr>
        <w:t>la</w:t>
      </w:r>
      <w:r>
        <w:rPr>
          <w:spacing w:val="-7"/>
          <w:sz w:val="20"/>
        </w:rPr>
        <w:t> </w:t>
      </w:r>
      <w:r>
        <w:rPr>
          <w:sz w:val="20"/>
        </w:rPr>
        <w:t>vida</w:t>
      </w:r>
      <w:r>
        <w:rPr>
          <w:spacing w:val="-7"/>
          <w:sz w:val="20"/>
        </w:rPr>
        <w:t> </w:t>
      </w:r>
      <w:r>
        <w:rPr>
          <w:sz w:val="20"/>
        </w:rPr>
        <w:t>cultural,</w:t>
      </w:r>
      <w:r>
        <w:rPr>
          <w:spacing w:val="-8"/>
          <w:sz w:val="20"/>
        </w:rPr>
        <w:t> </w:t>
      </w:r>
      <w:r>
        <w:rPr>
          <w:sz w:val="20"/>
        </w:rPr>
        <w:t>en</w:t>
      </w:r>
      <w:r>
        <w:rPr>
          <w:spacing w:val="-6"/>
          <w:sz w:val="20"/>
        </w:rPr>
        <w:t> </w:t>
      </w:r>
      <w:r>
        <w:rPr>
          <w:sz w:val="20"/>
        </w:rPr>
        <w:t>lo</w:t>
      </w:r>
      <w:r>
        <w:rPr>
          <w:spacing w:val="-7"/>
          <w:sz w:val="20"/>
        </w:rPr>
        <w:t> </w:t>
      </w:r>
      <w:r>
        <w:rPr>
          <w:sz w:val="20"/>
        </w:rPr>
        <w:t>atinente</w:t>
      </w:r>
      <w:r>
        <w:rPr>
          <w:spacing w:val="-6"/>
          <w:sz w:val="20"/>
        </w:rPr>
        <w:t> </w:t>
      </w:r>
      <w:r>
        <w:rPr>
          <w:sz w:val="20"/>
        </w:rPr>
        <w:t>a</w:t>
      </w:r>
      <w:r>
        <w:rPr>
          <w:spacing w:val="-7"/>
          <w:sz w:val="20"/>
        </w:rPr>
        <w:t> </w:t>
      </w:r>
      <w:r>
        <w:rPr>
          <w:sz w:val="20"/>
        </w:rPr>
        <w:t>su</w:t>
      </w:r>
      <w:r>
        <w:rPr>
          <w:spacing w:val="-7"/>
          <w:sz w:val="20"/>
        </w:rPr>
        <w:t> </w:t>
      </w:r>
      <w:r>
        <w:rPr>
          <w:sz w:val="20"/>
        </w:rPr>
        <w:t>identidad</w:t>
      </w:r>
      <w:r>
        <w:rPr>
          <w:spacing w:val="-6"/>
          <w:sz w:val="20"/>
        </w:rPr>
        <w:t> </w:t>
      </w:r>
      <w:r>
        <w:rPr>
          <w:sz w:val="20"/>
        </w:rPr>
        <w:t>cultural,</w:t>
      </w:r>
      <w:r>
        <w:rPr>
          <w:spacing w:val="-7"/>
          <w:sz w:val="20"/>
        </w:rPr>
        <w:t> </w:t>
      </w:r>
      <w:r>
        <w:rPr>
          <w:sz w:val="20"/>
        </w:rPr>
        <w:t>al</w:t>
      </w:r>
      <w:r>
        <w:rPr>
          <w:spacing w:val="-6"/>
          <w:sz w:val="20"/>
        </w:rPr>
        <w:t> </w:t>
      </w:r>
      <w:r>
        <w:rPr>
          <w:sz w:val="20"/>
        </w:rPr>
        <w:t>medio</w:t>
      </w:r>
      <w:r>
        <w:rPr>
          <w:spacing w:val="-7"/>
          <w:sz w:val="20"/>
        </w:rPr>
        <w:t> </w:t>
      </w:r>
      <w:r>
        <w:rPr>
          <w:sz w:val="20"/>
        </w:rPr>
        <w:t>ambiente sano, a la alimentación adecuada y al agua, que son analizados desde una visión de garantía para las comunidades que fueron víctimas. Particularmente, la Sentencia enfoca el contenido de estos derechos atendiendo al sujeto del cual se trata, es decir, pueblos y comunidades indígenas; la Sentencia comprende que éstos tienen, y manifiestan, una particular forma de ver y comprender el entorno que los rodea, a la luz de su propia cosmovisión, por lo que requieren una forma integral de evaluar las posibles violaciones que se derivan del Pacto de San</w:t>
      </w:r>
      <w:r>
        <w:rPr>
          <w:spacing w:val="-11"/>
          <w:sz w:val="20"/>
        </w:rPr>
        <w:t> </w:t>
      </w:r>
      <w:r>
        <w:rPr>
          <w:sz w:val="20"/>
        </w:rPr>
        <w:t>José.</w:t>
      </w:r>
    </w:p>
    <w:p>
      <w:pPr>
        <w:pStyle w:val="BodyText"/>
      </w:pPr>
    </w:p>
    <w:p>
      <w:pPr>
        <w:pStyle w:val="ListParagraph"/>
        <w:numPr>
          <w:ilvl w:val="0"/>
          <w:numId w:val="77"/>
        </w:numPr>
        <w:tabs>
          <w:tab w:pos="827" w:val="left" w:leader="none"/>
        </w:tabs>
        <w:spacing w:line="240" w:lineRule="auto" w:before="0" w:after="0"/>
        <w:ind w:left="118" w:right="307" w:firstLine="0"/>
        <w:jc w:val="both"/>
        <w:rPr>
          <w:sz w:val="20"/>
        </w:rPr>
      </w:pPr>
      <w:r>
        <w:rPr>
          <w:sz w:val="20"/>
        </w:rPr>
        <w:t>La</w:t>
      </w:r>
      <w:r>
        <w:rPr>
          <w:spacing w:val="-9"/>
          <w:sz w:val="20"/>
        </w:rPr>
        <w:t> </w:t>
      </w:r>
      <w:r>
        <w:rPr>
          <w:sz w:val="20"/>
        </w:rPr>
        <w:t>presente</w:t>
      </w:r>
      <w:r>
        <w:rPr>
          <w:spacing w:val="-9"/>
          <w:sz w:val="20"/>
        </w:rPr>
        <w:t> </w:t>
      </w:r>
      <w:r>
        <w:rPr>
          <w:sz w:val="20"/>
        </w:rPr>
        <w:t>Sentencia</w:t>
      </w:r>
      <w:r>
        <w:rPr>
          <w:spacing w:val="-10"/>
          <w:sz w:val="20"/>
        </w:rPr>
        <w:t> </w:t>
      </w:r>
      <w:r>
        <w:rPr>
          <w:sz w:val="20"/>
        </w:rPr>
        <w:t>se</w:t>
      </w:r>
      <w:r>
        <w:rPr>
          <w:spacing w:val="-9"/>
          <w:sz w:val="20"/>
        </w:rPr>
        <w:t> </w:t>
      </w:r>
      <w:r>
        <w:rPr>
          <w:sz w:val="20"/>
        </w:rPr>
        <w:t>erige</w:t>
      </w:r>
      <w:r>
        <w:rPr>
          <w:spacing w:val="-8"/>
          <w:sz w:val="20"/>
        </w:rPr>
        <w:t> </w:t>
      </w:r>
      <w:r>
        <w:rPr>
          <w:sz w:val="20"/>
        </w:rPr>
        <w:t>como</w:t>
      </w:r>
      <w:r>
        <w:rPr>
          <w:spacing w:val="-8"/>
          <w:sz w:val="20"/>
        </w:rPr>
        <w:t> </w:t>
      </w:r>
      <w:r>
        <w:rPr>
          <w:sz w:val="20"/>
        </w:rPr>
        <w:t>respuesta</w:t>
      </w:r>
      <w:r>
        <w:rPr>
          <w:spacing w:val="-8"/>
          <w:sz w:val="20"/>
        </w:rPr>
        <w:t> </w:t>
      </w:r>
      <w:r>
        <w:rPr>
          <w:sz w:val="20"/>
        </w:rPr>
        <w:t>a</w:t>
      </w:r>
      <w:r>
        <w:rPr>
          <w:spacing w:val="-8"/>
          <w:sz w:val="20"/>
        </w:rPr>
        <w:t> </w:t>
      </w:r>
      <w:r>
        <w:rPr>
          <w:sz w:val="20"/>
        </w:rPr>
        <w:t>una</w:t>
      </w:r>
      <w:r>
        <w:rPr>
          <w:spacing w:val="-9"/>
          <w:sz w:val="20"/>
        </w:rPr>
        <w:t> </w:t>
      </w:r>
      <w:r>
        <w:rPr>
          <w:sz w:val="20"/>
        </w:rPr>
        <w:t>de</w:t>
      </w:r>
      <w:r>
        <w:rPr>
          <w:spacing w:val="-8"/>
          <w:sz w:val="20"/>
        </w:rPr>
        <w:t> </w:t>
      </w:r>
      <w:r>
        <w:rPr>
          <w:sz w:val="20"/>
        </w:rPr>
        <w:t>las</w:t>
      </w:r>
      <w:r>
        <w:rPr>
          <w:spacing w:val="-8"/>
          <w:sz w:val="20"/>
        </w:rPr>
        <w:t> </w:t>
      </w:r>
      <w:r>
        <w:rPr>
          <w:sz w:val="20"/>
        </w:rPr>
        <w:t>grandes</w:t>
      </w:r>
      <w:r>
        <w:rPr>
          <w:spacing w:val="-8"/>
          <w:sz w:val="20"/>
        </w:rPr>
        <w:t> </w:t>
      </w:r>
      <w:r>
        <w:rPr>
          <w:sz w:val="20"/>
        </w:rPr>
        <w:t>deudas</w:t>
      </w:r>
      <w:r>
        <w:rPr>
          <w:spacing w:val="-10"/>
          <w:sz w:val="20"/>
        </w:rPr>
        <w:t> </w:t>
      </w:r>
      <w:r>
        <w:rPr>
          <w:sz w:val="20"/>
        </w:rPr>
        <w:t>que tiene la jurisprudencia interamericana en la materia indigena, en lo particular porque desarrolla</w:t>
      </w:r>
      <w:r>
        <w:rPr>
          <w:spacing w:val="-9"/>
          <w:sz w:val="20"/>
        </w:rPr>
        <w:t> </w:t>
      </w:r>
      <w:r>
        <w:rPr>
          <w:sz w:val="20"/>
        </w:rPr>
        <w:t>y</w:t>
      </w:r>
      <w:r>
        <w:rPr>
          <w:spacing w:val="-9"/>
          <w:sz w:val="20"/>
        </w:rPr>
        <w:t> </w:t>
      </w:r>
      <w:r>
        <w:rPr>
          <w:sz w:val="20"/>
        </w:rPr>
        <w:t>pone</w:t>
      </w:r>
      <w:r>
        <w:rPr>
          <w:spacing w:val="-9"/>
          <w:sz w:val="20"/>
        </w:rPr>
        <w:t> </w:t>
      </w:r>
      <w:r>
        <w:rPr>
          <w:sz w:val="20"/>
        </w:rPr>
        <w:t>como</w:t>
      </w:r>
      <w:r>
        <w:rPr>
          <w:spacing w:val="-9"/>
          <w:sz w:val="20"/>
        </w:rPr>
        <w:t> </w:t>
      </w:r>
      <w:r>
        <w:rPr>
          <w:sz w:val="20"/>
        </w:rPr>
        <w:t>eje</w:t>
      </w:r>
      <w:r>
        <w:rPr>
          <w:spacing w:val="-8"/>
          <w:sz w:val="20"/>
        </w:rPr>
        <w:t> </w:t>
      </w:r>
      <w:r>
        <w:rPr>
          <w:sz w:val="20"/>
        </w:rPr>
        <w:t>central</w:t>
      </w:r>
      <w:r>
        <w:rPr>
          <w:spacing w:val="-9"/>
          <w:sz w:val="20"/>
        </w:rPr>
        <w:t> </w:t>
      </w:r>
      <w:r>
        <w:rPr>
          <w:sz w:val="20"/>
        </w:rPr>
        <w:t>al</w:t>
      </w:r>
      <w:r>
        <w:rPr>
          <w:spacing w:val="-8"/>
          <w:sz w:val="20"/>
        </w:rPr>
        <w:t> </w:t>
      </w:r>
      <w:r>
        <w:rPr>
          <w:sz w:val="20"/>
        </w:rPr>
        <w:t>“territorio”</w:t>
      </w:r>
      <w:r>
        <w:rPr>
          <w:spacing w:val="-8"/>
          <w:sz w:val="20"/>
        </w:rPr>
        <w:t> </w:t>
      </w:r>
      <w:r>
        <w:rPr>
          <w:sz w:val="20"/>
        </w:rPr>
        <w:t>como</w:t>
      </w:r>
      <w:r>
        <w:rPr>
          <w:spacing w:val="-9"/>
          <w:sz w:val="20"/>
        </w:rPr>
        <w:t> </w:t>
      </w:r>
      <w:r>
        <w:rPr>
          <w:sz w:val="20"/>
        </w:rPr>
        <w:t>concepto</w:t>
      </w:r>
      <w:r>
        <w:rPr>
          <w:spacing w:val="-9"/>
          <w:sz w:val="20"/>
        </w:rPr>
        <w:t> </w:t>
      </w:r>
      <w:r>
        <w:rPr>
          <w:sz w:val="20"/>
        </w:rPr>
        <w:t>que</w:t>
      </w:r>
      <w:r>
        <w:rPr>
          <w:spacing w:val="-8"/>
          <w:sz w:val="20"/>
        </w:rPr>
        <w:t> </w:t>
      </w:r>
      <w:r>
        <w:rPr>
          <w:sz w:val="20"/>
        </w:rPr>
        <w:t>comprende</w:t>
      </w:r>
      <w:r>
        <w:rPr>
          <w:spacing w:val="-9"/>
          <w:sz w:val="20"/>
        </w:rPr>
        <w:t> </w:t>
      </w:r>
      <w:r>
        <w:rPr>
          <w:sz w:val="20"/>
        </w:rPr>
        <w:t>no</w:t>
      </w:r>
      <w:r>
        <w:rPr>
          <w:spacing w:val="-9"/>
          <w:sz w:val="20"/>
        </w:rPr>
        <w:t> </w:t>
      </w:r>
      <w:r>
        <w:rPr>
          <w:sz w:val="20"/>
        </w:rPr>
        <w:t>sólo la</w:t>
      </w:r>
      <w:r>
        <w:rPr>
          <w:spacing w:val="-9"/>
          <w:sz w:val="20"/>
        </w:rPr>
        <w:t> </w:t>
      </w:r>
      <w:r>
        <w:rPr>
          <w:sz w:val="20"/>
        </w:rPr>
        <w:t>“tierra”,</w:t>
      </w:r>
      <w:r>
        <w:rPr>
          <w:spacing w:val="-10"/>
          <w:sz w:val="20"/>
        </w:rPr>
        <w:t> </w:t>
      </w:r>
      <w:r>
        <w:rPr>
          <w:sz w:val="20"/>
        </w:rPr>
        <w:t>sino</w:t>
      </w:r>
      <w:r>
        <w:rPr>
          <w:spacing w:val="-10"/>
          <w:sz w:val="20"/>
        </w:rPr>
        <w:t> </w:t>
      </w:r>
      <w:r>
        <w:rPr>
          <w:sz w:val="20"/>
        </w:rPr>
        <w:t>tambien</w:t>
      </w:r>
      <w:r>
        <w:rPr>
          <w:spacing w:val="-10"/>
          <w:sz w:val="20"/>
        </w:rPr>
        <w:t> </w:t>
      </w:r>
      <w:r>
        <w:rPr>
          <w:sz w:val="20"/>
        </w:rPr>
        <w:t>otros</w:t>
      </w:r>
      <w:r>
        <w:rPr>
          <w:spacing w:val="-10"/>
          <w:sz w:val="20"/>
        </w:rPr>
        <w:t> </w:t>
      </w:r>
      <w:r>
        <w:rPr>
          <w:sz w:val="20"/>
        </w:rPr>
        <w:t>elementos</w:t>
      </w:r>
      <w:r>
        <w:rPr>
          <w:spacing w:val="-10"/>
          <w:sz w:val="20"/>
        </w:rPr>
        <w:t> </w:t>
      </w:r>
      <w:r>
        <w:rPr>
          <w:sz w:val="20"/>
        </w:rPr>
        <w:t>que</w:t>
      </w:r>
      <w:r>
        <w:rPr>
          <w:spacing w:val="-10"/>
          <w:sz w:val="20"/>
        </w:rPr>
        <w:t> </w:t>
      </w:r>
      <w:r>
        <w:rPr>
          <w:sz w:val="20"/>
        </w:rPr>
        <w:t>fueron</w:t>
      </w:r>
      <w:r>
        <w:rPr>
          <w:spacing w:val="-10"/>
          <w:sz w:val="20"/>
        </w:rPr>
        <w:t> </w:t>
      </w:r>
      <w:r>
        <w:rPr>
          <w:sz w:val="20"/>
        </w:rPr>
        <w:t>tutelados</w:t>
      </w:r>
      <w:r>
        <w:rPr>
          <w:spacing w:val="-10"/>
          <w:sz w:val="20"/>
        </w:rPr>
        <w:t> </w:t>
      </w:r>
      <w:r>
        <w:rPr>
          <w:sz w:val="20"/>
        </w:rPr>
        <w:t>de</w:t>
      </w:r>
      <w:r>
        <w:rPr>
          <w:spacing w:val="-9"/>
          <w:sz w:val="20"/>
        </w:rPr>
        <w:t> </w:t>
      </w:r>
      <w:r>
        <w:rPr>
          <w:sz w:val="20"/>
        </w:rPr>
        <w:t>manera</w:t>
      </w:r>
      <w:r>
        <w:rPr>
          <w:spacing w:val="-8"/>
          <w:sz w:val="20"/>
        </w:rPr>
        <w:t> </w:t>
      </w:r>
      <w:r>
        <w:rPr>
          <w:sz w:val="20"/>
        </w:rPr>
        <w:t>autónoma,</w:t>
      </w:r>
      <w:r>
        <w:rPr>
          <w:spacing w:val="-10"/>
          <w:sz w:val="20"/>
        </w:rPr>
        <w:t> </w:t>
      </w:r>
      <w:r>
        <w:rPr>
          <w:sz w:val="20"/>
        </w:rPr>
        <w:t>en esta oportunidad a través del artículo 26 de la Convención Americana. Este razonamiento permite que las comunidades y pueblos indigenas y tribales de la región encuentren</w:t>
      </w:r>
      <w:r>
        <w:rPr>
          <w:spacing w:val="-7"/>
          <w:sz w:val="20"/>
        </w:rPr>
        <w:t> </w:t>
      </w:r>
      <w:r>
        <w:rPr>
          <w:sz w:val="20"/>
        </w:rPr>
        <w:t>en</w:t>
      </w:r>
      <w:r>
        <w:rPr>
          <w:spacing w:val="-6"/>
          <w:sz w:val="20"/>
        </w:rPr>
        <w:t> </w:t>
      </w:r>
      <w:r>
        <w:rPr>
          <w:sz w:val="20"/>
        </w:rPr>
        <w:t>este</w:t>
      </w:r>
      <w:r>
        <w:rPr>
          <w:spacing w:val="-5"/>
          <w:sz w:val="20"/>
        </w:rPr>
        <w:t> </w:t>
      </w:r>
      <w:r>
        <w:rPr>
          <w:sz w:val="20"/>
        </w:rPr>
        <w:t>precedente</w:t>
      </w:r>
      <w:r>
        <w:rPr>
          <w:spacing w:val="-6"/>
          <w:sz w:val="20"/>
        </w:rPr>
        <w:t> </w:t>
      </w:r>
      <w:r>
        <w:rPr>
          <w:sz w:val="20"/>
        </w:rPr>
        <w:t>un</w:t>
      </w:r>
      <w:r>
        <w:rPr>
          <w:spacing w:val="-7"/>
          <w:sz w:val="20"/>
        </w:rPr>
        <w:t> </w:t>
      </w:r>
      <w:r>
        <w:rPr>
          <w:sz w:val="20"/>
        </w:rPr>
        <w:t>mayor</w:t>
      </w:r>
      <w:r>
        <w:rPr>
          <w:spacing w:val="-6"/>
          <w:sz w:val="20"/>
        </w:rPr>
        <w:t> </w:t>
      </w:r>
      <w:r>
        <w:rPr>
          <w:sz w:val="20"/>
        </w:rPr>
        <w:t>acceso</w:t>
      </w:r>
      <w:r>
        <w:rPr>
          <w:spacing w:val="-6"/>
          <w:sz w:val="20"/>
        </w:rPr>
        <w:t> </w:t>
      </w:r>
      <w:r>
        <w:rPr>
          <w:sz w:val="20"/>
        </w:rPr>
        <w:t>a</w:t>
      </w:r>
      <w:r>
        <w:rPr>
          <w:spacing w:val="-6"/>
          <w:sz w:val="20"/>
        </w:rPr>
        <w:t> </w:t>
      </w:r>
      <w:r>
        <w:rPr>
          <w:sz w:val="20"/>
        </w:rPr>
        <w:t>la</w:t>
      </w:r>
      <w:r>
        <w:rPr>
          <w:spacing w:val="-7"/>
          <w:sz w:val="20"/>
        </w:rPr>
        <w:t> </w:t>
      </w:r>
      <w:r>
        <w:rPr>
          <w:sz w:val="20"/>
        </w:rPr>
        <w:t>justicia</w:t>
      </w:r>
      <w:r>
        <w:rPr>
          <w:spacing w:val="-7"/>
          <w:sz w:val="20"/>
        </w:rPr>
        <w:t> </w:t>
      </w:r>
      <w:r>
        <w:rPr>
          <w:sz w:val="20"/>
        </w:rPr>
        <w:t>y</w:t>
      </w:r>
      <w:r>
        <w:rPr>
          <w:spacing w:val="-6"/>
          <w:sz w:val="20"/>
        </w:rPr>
        <w:t> </w:t>
      </w:r>
      <w:r>
        <w:rPr>
          <w:sz w:val="20"/>
        </w:rPr>
        <w:t>una</w:t>
      </w:r>
      <w:r>
        <w:rPr>
          <w:spacing w:val="-6"/>
          <w:sz w:val="20"/>
        </w:rPr>
        <w:t> </w:t>
      </w:r>
      <w:r>
        <w:rPr>
          <w:sz w:val="20"/>
        </w:rPr>
        <w:t>visión</w:t>
      </w:r>
      <w:r>
        <w:rPr>
          <w:spacing w:val="-8"/>
          <w:sz w:val="20"/>
        </w:rPr>
        <w:t> </w:t>
      </w:r>
      <w:r>
        <w:rPr>
          <w:sz w:val="20"/>
        </w:rPr>
        <w:t>holística</w:t>
      </w:r>
      <w:r>
        <w:rPr>
          <w:spacing w:val="-6"/>
          <w:sz w:val="20"/>
        </w:rPr>
        <w:t> </w:t>
      </w:r>
      <w:r>
        <w:rPr>
          <w:sz w:val="20"/>
        </w:rPr>
        <w:t>en</w:t>
      </w:r>
      <w:r>
        <w:rPr>
          <w:spacing w:val="-5"/>
          <w:sz w:val="20"/>
        </w:rPr>
        <w:t> </w:t>
      </w:r>
      <w:r>
        <w:rPr>
          <w:sz w:val="20"/>
        </w:rPr>
        <w:t>la protección a sus derechos, lo que también debe verse en sintonía con la Agenda 2030 de la ONU</w:t>
      </w:r>
      <w:r>
        <w:rPr>
          <w:position w:val="7"/>
          <w:sz w:val="13"/>
        </w:rPr>
        <w:t>77  </w:t>
      </w:r>
      <w:r>
        <w:rPr>
          <w:sz w:val="20"/>
        </w:rPr>
        <w:t>y sus Objetivos de Desarrollo Sostenible</w:t>
      </w:r>
      <w:r>
        <w:rPr>
          <w:spacing w:val="-38"/>
          <w:sz w:val="20"/>
        </w:rPr>
        <w:t> </w:t>
      </w:r>
      <w:r>
        <w:rPr>
          <w:sz w:val="20"/>
        </w:rPr>
        <w:t>(ODS)</w:t>
      </w:r>
      <w:r>
        <w:rPr>
          <w:position w:val="7"/>
          <w:sz w:val="13"/>
        </w:rPr>
        <w:t>78</w:t>
      </w:r>
      <w:r>
        <w:rPr>
          <w:sz w:val="20"/>
        </w:rPr>
        <w:t>.</w:t>
      </w:r>
    </w:p>
    <w:p>
      <w:pPr>
        <w:pStyle w:val="BodyText"/>
        <w:spacing w:before="9"/>
        <w:rPr>
          <w:sz w:val="21"/>
        </w:rPr>
      </w:pPr>
      <w:r>
        <w:rPr/>
        <w:pict>
          <v:line style="position:absolute;mso-position-horizontal-relative:page;mso-position-vertical-relative:paragraph;z-index:5200;mso-wrap-distance-left:0;mso-wrap-distance-right:0" from="70.919998pt,15.501769pt" to="214.939998pt,15.501769pt" stroked="true" strokeweight=".600010pt" strokecolor="#000000">
            <v:stroke dashstyle="solid"/>
            <w10:wrap type="topAndBottom"/>
          </v:line>
        </w:pict>
      </w:r>
    </w:p>
    <w:p>
      <w:pPr>
        <w:tabs>
          <w:tab w:pos="826" w:val="left" w:leader="none"/>
        </w:tabs>
        <w:spacing w:before="73"/>
        <w:ind w:left="118" w:right="359" w:firstLine="0"/>
        <w:jc w:val="both"/>
        <w:rPr>
          <w:sz w:val="16"/>
        </w:rPr>
      </w:pPr>
      <w:r>
        <w:rPr>
          <w:position w:val="6"/>
          <w:sz w:val="10"/>
        </w:rPr>
        <w:t>74</w:t>
        <w:tab/>
      </w:r>
      <w:r>
        <w:rPr>
          <w:i/>
          <w:sz w:val="16"/>
        </w:rPr>
        <w:t>Cfr.</w:t>
      </w:r>
      <w:r>
        <w:rPr>
          <w:i/>
          <w:spacing w:val="24"/>
          <w:sz w:val="16"/>
        </w:rPr>
        <w:t> </w:t>
      </w:r>
      <w:r>
        <w:rPr>
          <w:i/>
          <w:sz w:val="16"/>
        </w:rPr>
        <w:t>Caso</w:t>
      </w:r>
      <w:r>
        <w:rPr>
          <w:i/>
          <w:spacing w:val="25"/>
          <w:sz w:val="16"/>
        </w:rPr>
        <w:t> </w:t>
      </w:r>
      <w:r>
        <w:rPr>
          <w:i/>
          <w:sz w:val="16"/>
        </w:rPr>
        <w:t>Comunidades</w:t>
      </w:r>
      <w:r>
        <w:rPr>
          <w:i/>
          <w:spacing w:val="23"/>
          <w:sz w:val="16"/>
        </w:rPr>
        <w:t> </w:t>
      </w:r>
      <w:r>
        <w:rPr>
          <w:i/>
          <w:sz w:val="16"/>
        </w:rPr>
        <w:t>indígenas</w:t>
      </w:r>
      <w:r>
        <w:rPr>
          <w:i/>
          <w:spacing w:val="25"/>
          <w:sz w:val="16"/>
        </w:rPr>
        <w:t> </w:t>
      </w:r>
      <w:r>
        <w:rPr>
          <w:i/>
          <w:sz w:val="16"/>
        </w:rPr>
        <w:t>miembros</w:t>
      </w:r>
      <w:r>
        <w:rPr>
          <w:i/>
          <w:spacing w:val="24"/>
          <w:sz w:val="16"/>
        </w:rPr>
        <w:t> </w:t>
      </w:r>
      <w:r>
        <w:rPr>
          <w:i/>
          <w:sz w:val="16"/>
        </w:rPr>
        <w:t>de</w:t>
      </w:r>
      <w:r>
        <w:rPr>
          <w:i/>
          <w:spacing w:val="24"/>
          <w:sz w:val="16"/>
        </w:rPr>
        <w:t> </w:t>
      </w:r>
      <w:r>
        <w:rPr>
          <w:i/>
          <w:sz w:val="16"/>
        </w:rPr>
        <w:t>la</w:t>
      </w:r>
      <w:r>
        <w:rPr>
          <w:i/>
          <w:spacing w:val="24"/>
          <w:sz w:val="16"/>
        </w:rPr>
        <w:t> </w:t>
      </w:r>
      <w:r>
        <w:rPr>
          <w:i/>
          <w:sz w:val="16"/>
        </w:rPr>
        <w:t>asociación</w:t>
      </w:r>
      <w:r>
        <w:rPr>
          <w:i/>
          <w:spacing w:val="24"/>
          <w:sz w:val="16"/>
        </w:rPr>
        <w:t> </w:t>
      </w:r>
      <w:r>
        <w:rPr>
          <w:i/>
          <w:sz w:val="16"/>
        </w:rPr>
        <w:t>Lhaka</w:t>
      </w:r>
      <w:r>
        <w:rPr>
          <w:i/>
          <w:spacing w:val="23"/>
          <w:sz w:val="16"/>
        </w:rPr>
        <w:t> </w:t>
      </w:r>
      <w:r>
        <w:rPr>
          <w:i/>
          <w:sz w:val="16"/>
        </w:rPr>
        <w:t>Honhat</w:t>
      </w:r>
      <w:r>
        <w:rPr>
          <w:i/>
          <w:spacing w:val="24"/>
          <w:sz w:val="16"/>
        </w:rPr>
        <w:t> </w:t>
      </w:r>
      <w:r>
        <w:rPr>
          <w:i/>
          <w:sz w:val="16"/>
        </w:rPr>
        <w:t>(Nuestra</w:t>
      </w:r>
      <w:r>
        <w:rPr>
          <w:i/>
          <w:spacing w:val="25"/>
          <w:sz w:val="16"/>
        </w:rPr>
        <w:t> </w:t>
      </w:r>
      <w:r>
        <w:rPr>
          <w:i/>
          <w:sz w:val="16"/>
        </w:rPr>
        <w:t>Tierra)</w:t>
      </w:r>
      <w:r>
        <w:rPr>
          <w:i/>
          <w:spacing w:val="28"/>
          <w:sz w:val="16"/>
        </w:rPr>
        <w:t> </w:t>
      </w:r>
      <w:r>
        <w:rPr>
          <w:i/>
          <w:sz w:val="16"/>
        </w:rPr>
        <w:t>Vs.</w:t>
      </w:r>
      <w:r>
        <w:rPr>
          <w:i/>
          <w:w w:val="99"/>
          <w:sz w:val="16"/>
        </w:rPr>
        <w:t> </w:t>
      </w:r>
      <w:r>
        <w:rPr>
          <w:i/>
          <w:sz w:val="16"/>
        </w:rPr>
        <w:t>Argentina. Fondo, Reparaciones y Costas. </w:t>
      </w:r>
      <w:r>
        <w:rPr>
          <w:sz w:val="16"/>
        </w:rPr>
        <w:t>Sentencia de 6 de febrero de 2020. Serie C No. 400, párrs. 202, 210, 222 a 224 y</w:t>
      </w:r>
      <w:r>
        <w:rPr>
          <w:spacing w:val="-7"/>
          <w:sz w:val="16"/>
        </w:rPr>
        <w:t> </w:t>
      </w:r>
      <w:r>
        <w:rPr>
          <w:sz w:val="16"/>
        </w:rPr>
        <w:t>231.</w:t>
      </w:r>
    </w:p>
    <w:p>
      <w:pPr>
        <w:tabs>
          <w:tab w:pos="826" w:val="left" w:leader="none"/>
        </w:tabs>
        <w:spacing w:before="121"/>
        <w:ind w:left="118" w:right="310" w:firstLine="0"/>
        <w:jc w:val="both"/>
        <w:rPr>
          <w:sz w:val="16"/>
        </w:rPr>
      </w:pPr>
      <w:r>
        <w:rPr>
          <w:position w:val="6"/>
          <w:sz w:val="10"/>
        </w:rPr>
        <w:t>75</w:t>
        <w:tab/>
      </w:r>
      <w:r>
        <w:rPr>
          <w:i/>
          <w:sz w:val="16"/>
        </w:rPr>
        <w:t>Cfr. Caso  Comunidades  indígenas  miembros de la asociación Lhaka Honhat  (Nuestra </w:t>
      </w:r>
      <w:r>
        <w:rPr>
          <w:i/>
          <w:spacing w:val="28"/>
          <w:sz w:val="16"/>
        </w:rPr>
        <w:t> </w:t>
      </w:r>
      <w:r>
        <w:rPr>
          <w:i/>
          <w:sz w:val="16"/>
        </w:rPr>
        <w:t>Tierra)</w:t>
      </w:r>
      <w:r>
        <w:rPr>
          <w:i/>
          <w:spacing w:val="33"/>
          <w:sz w:val="16"/>
        </w:rPr>
        <w:t> </w:t>
      </w:r>
      <w:r>
        <w:rPr>
          <w:i/>
          <w:sz w:val="16"/>
        </w:rPr>
        <w:t>Vs.</w:t>
      </w:r>
      <w:r>
        <w:rPr>
          <w:i/>
          <w:w w:val="99"/>
          <w:sz w:val="16"/>
        </w:rPr>
        <w:t> </w:t>
      </w:r>
      <w:r>
        <w:rPr>
          <w:i/>
          <w:sz w:val="16"/>
        </w:rPr>
        <w:t>Argentina. Fondo, Reparaciones y Costas. </w:t>
      </w:r>
      <w:r>
        <w:rPr>
          <w:sz w:val="16"/>
        </w:rPr>
        <w:t>Sentencia de 6 de febrero de 2020. Serie C No. 400, párrs. 206, 215, y</w:t>
      </w:r>
      <w:r>
        <w:rPr>
          <w:spacing w:val="-4"/>
          <w:sz w:val="16"/>
        </w:rPr>
        <w:t> </w:t>
      </w:r>
      <w:r>
        <w:rPr>
          <w:sz w:val="16"/>
        </w:rPr>
        <w:t>236.</w:t>
      </w:r>
    </w:p>
    <w:p>
      <w:pPr>
        <w:tabs>
          <w:tab w:pos="826" w:val="left" w:leader="none"/>
        </w:tabs>
        <w:spacing w:before="119"/>
        <w:ind w:left="118" w:right="310" w:firstLine="0"/>
        <w:jc w:val="both"/>
        <w:rPr>
          <w:sz w:val="16"/>
        </w:rPr>
      </w:pPr>
      <w:r>
        <w:rPr>
          <w:position w:val="6"/>
          <w:sz w:val="10"/>
        </w:rPr>
        <w:t>76</w:t>
        <w:tab/>
      </w:r>
      <w:r>
        <w:rPr>
          <w:i/>
          <w:sz w:val="16"/>
        </w:rPr>
        <w:t>Cfr. Caso  Comunidades  indígenas  miembros de la asociación Lhaka Honhat  (Nuestra </w:t>
      </w:r>
      <w:r>
        <w:rPr>
          <w:i/>
          <w:spacing w:val="28"/>
          <w:sz w:val="16"/>
        </w:rPr>
        <w:t> </w:t>
      </w:r>
      <w:r>
        <w:rPr>
          <w:i/>
          <w:sz w:val="16"/>
        </w:rPr>
        <w:t>Tierra)</w:t>
      </w:r>
      <w:r>
        <w:rPr>
          <w:i/>
          <w:spacing w:val="33"/>
          <w:sz w:val="16"/>
        </w:rPr>
        <w:t> </w:t>
      </w:r>
      <w:r>
        <w:rPr>
          <w:i/>
          <w:sz w:val="16"/>
        </w:rPr>
        <w:t>Vs.</w:t>
      </w:r>
      <w:r>
        <w:rPr>
          <w:i/>
          <w:w w:val="99"/>
          <w:sz w:val="16"/>
        </w:rPr>
        <w:t> </w:t>
      </w:r>
      <w:r>
        <w:rPr>
          <w:i/>
          <w:sz w:val="16"/>
        </w:rPr>
        <w:t>Argentina. Fondo, Reparaciones y Costas. </w:t>
      </w:r>
      <w:r>
        <w:rPr>
          <w:sz w:val="16"/>
        </w:rPr>
        <w:t>Sentencia de 6 de febrero de 2020. Serie C No. 400, párrs. 204, 214, 225 y</w:t>
      </w:r>
      <w:r>
        <w:rPr>
          <w:spacing w:val="-6"/>
          <w:sz w:val="16"/>
        </w:rPr>
        <w:t> </w:t>
      </w:r>
      <w:r>
        <w:rPr>
          <w:sz w:val="16"/>
        </w:rPr>
        <w:t>235.</w:t>
      </w:r>
    </w:p>
    <w:p>
      <w:pPr>
        <w:tabs>
          <w:tab w:pos="826" w:val="left" w:leader="none"/>
        </w:tabs>
        <w:spacing w:before="119"/>
        <w:ind w:left="118" w:right="310" w:firstLine="0"/>
        <w:jc w:val="both"/>
        <w:rPr>
          <w:sz w:val="16"/>
        </w:rPr>
      </w:pPr>
      <w:r>
        <w:rPr>
          <w:position w:val="6"/>
          <w:sz w:val="10"/>
        </w:rPr>
        <w:t>77</w:t>
        <w:tab/>
      </w:r>
      <w:r>
        <w:rPr>
          <w:sz w:val="16"/>
        </w:rPr>
        <w:t>Como se expresa en un documento reciente de la OIT, “la Agenda 2030 reconoce que</w:t>
      </w:r>
      <w:r>
        <w:rPr>
          <w:spacing w:val="10"/>
          <w:sz w:val="16"/>
        </w:rPr>
        <w:t> </w:t>
      </w:r>
      <w:r>
        <w:rPr>
          <w:sz w:val="16"/>
        </w:rPr>
        <w:t>para eliminar</w:t>
      </w:r>
      <w:r>
        <w:rPr>
          <w:spacing w:val="-1"/>
          <w:w w:val="99"/>
          <w:sz w:val="16"/>
        </w:rPr>
        <w:t> </w:t>
      </w:r>
      <w:r>
        <w:rPr>
          <w:sz w:val="16"/>
        </w:rPr>
        <w:t>la pobreza, las políticas de desarrollo también deben combatir las desigualdades, inclusive las originadas por cuestiones de género u origen étnico (Naciones Unidas, ODS 10), a través de la búsqueda simultánea del desarrollo</w:t>
      </w:r>
      <w:r>
        <w:rPr>
          <w:spacing w:val="-3"/>
          <w:sz w:val="16"/>
        </w:rPr>
        <w:t> </w:t>
      </w:r>
      <w:r>
        <w:rPr>
          <w:sz w:val="16"/>
        </w:rPr>
        <w:t>económico</w:t>
      </w:r>
      <w:r>
        <w:rPr>
          <w:spacing w:val="-3"/>
          <w:sz w:val="16"/>
        </w:rPr>
        <w:t> </w:t>
      </w:r>
      <w:r>
        <w:rPr>
          <w:sz w:val="16"/>
        </w:rPr>
        <w:t>y</w:t>
      </w:r>
      <w:r>
        <w:rPr>
          <w:spacing w:val="-3"/>
          <w:sz w:val="16"/>
        </w:rPr>
        <w:t> </w:t>
      </w:r>
      <w:r>
        <w:rPr>
          <w:sz w:val="16"/>
        </w:rPr>
        <w:t>el</w:t>
      </w:r>
      <w:r>
        <w:rPr>
          <w:spacing w:val="-4"/>
          <w:sz w:val="16"/>
        </w:rPr>
        <w:t> </w:t>
      </w:r>
      <w:r>
        <w:rPr>
          <w:sz w:val="16"/>
        </w:rPr>
        <w:t>respeto</w:t>
      </w:r>
      <w:r>
        <w:rPr>
          <w:spacing w:val="-3"/>
          <w:sz w:val="16"/>
        </w:rPr>
        <w:t> </w:t>
      </w:r>
      <w:r>
        <w:rPr>
          <w:sz w:val="16"/>
        </w:rPr>
        <w:t>de</w:t>
      </w:r>
      <w:r>
        <w:rPr>
          <w:spacing w:val="-4"/>
          <w:sz w:val="16"/>
        </w:rPr>
        <w:t> </w:t>
      </w:r>
      <w:r>
        <w:rPr>
          <w:sz w:val="16"/>
        </w:rPr>
        <w:t>los</w:t>
      </w:r>
      <w:r>
        <w:rPr>
          <w:spacing w:val="-4"/>
          <w:sz w:val="16"/>
        </w:rPr>
        <w:t> </w:t>
      </w:r>
      <w:r>
        <w:rPr>
          <w:sz w:val="16"/>
        </w:rPr>
        <w:t>derechos.</w:t>
      </w:r>
      <w:r>
        <w:rPr>
          <w:spacing w:val="-4"/>
          <w:sz w:val="16"/>
        </w:rPr>
        <w:t> </w:t>
      </w:r>
      <w:r>
        <w:rPr>
          <w:sz w:val="16"/>
        </w:rPr>
        <w:t>Para</w:t>
      </w:r>
      <w:r>
        <w:rPr>
          <w:spacing w:val="-3"/>
          <w:sz w:val="16"/>
        </w:rPr>
        <w:t> </w:t>
      </w:r>
      <w:r>
        <w:rPr>
          <w:sz w:val="16"/>
        </w:rPr>
        <w:t>aprovechar</w:t>
      </w:r>
      <w:r>
        <w:rPr>
          <w:spacing w:val="-3"/>
          <w:sz w:val="16"/>
        </w:rPr>
        <w:t> </w:t>
      </w:r>
      <w:r>
        <w:rPr>
          <w:sz w:val="16"/>
        </w:rPr>
        <w:t>esta</w:t>
      </w:r>
      <w:r>
        <w:rPr>
          <w:spacing w:val="-3"/>
          <w:sz w:val="16"/>
        </w:rPr>
        <w:t> </w:t>
      </w:r>
      <w:r>
        <w:rPr>
          <w:sz w:val="16"/>
        </w:rPr>
        <w:t>oportunidad, es</w:t>
      </w:r>
      <w:r>
        <w:rPr>
          <w:spacing w:val="-3"/>
          <w:sz w:val="16"/>
        </w:rPr>
        <w:t> </w:t>
      </w:r>
      <w:r>
        <w:rPr>
          <w:sz w:val="16"/>
        </w:rPr>
        <w:t>fundamental</w:t>
      </w:r>
      <w:r>
        <w:rPr>
          <w:spacing w:val="-4"/>
          <w:sz w:val="16"/>
        </w:rPr>
        <w:t> </w:t>
      </w:r>
      <w:r>
        <w:rPr>
          <w:sz w:val="16"/>
        </w:rPr>
        <w:t>que</w:t>
      </w:r>
      <w:r>
        <w:rPr>
          <w:spacing w:val="-4"/>
          <w:sz w:val="16"/>
        </w:rPr>
        <w:t> </w:t>
      </w:r>
      <w:r>
        <w:rPr>
          <w:sz w:val="16"/>
        </w:rPr>
        <w:t>se preste especial atención a la situación de los pueblos indígenas y tribales, a su participación y a sus contribuciones, y que se traduzca en acciones orientadas al logro de los ODS: Los próximos diez años que quedan hasta 2030 serán decisivos si se quieren invertir de manera duradera los patrones existentes de desigualdad</w:t>
      </w:r>
      <w:r>
        <w:rPr>
          <w:spacing w:val="-7"/>
          <w:sz w:val="16"/>
        </w:rPr>
        <w:t> </w:t>
      </w:r>
      <w:r>
        <w:rPr>
          <w:sz w:val="16"/>
        </w:rPr>
        <w:t>y</w:t>
      </w:r>
      <w:r>
        <w:rPr>
          <w:spacing w:val="-8"/>
          <w:sz w:val="16"/>
        </w:rPr>
        <w:t> </w:t>
      </w:r>
      <w:r>
        <w:rPr>
          <w:sz w:val="16"/>
        </w:rPr>
        <w:t>exclusión”.</w:t>
      </w:r>
      <w:r>
        <w:rPr>
          <w:spacing w:val="-10"/>
          <w:sz w:val="16"/>
        </w:rPr>
        <w:t> </w:t>
      </w:r>
      <w:r>
        <w:rPr>
          <w:sz w:val="16"/>
        </w:rPr>
        <w:t>OIT,</w:t>
      </w:r>
      <w:r>
        <w:rPr>
          <w:spacing w:val="-10"/>
          <w:sz w:val="16"/>
        </w:rPr>
        <w:t> </w:t>
      </w:r>
      <w:r>
        <w:rPr>
          <w:i/>
          <w:sz w:val="16"/>
        </w:rPr>
        <w:t>Aplicación</w:t>
      </w:r>
      <w:r>
        <w:rPr>
          <w:i/>
          <w:spacing w:val="-10"/>
          <w:sz w:val="16"/>
        </w:rPr>
        <w:t> </w:t>
      </w:r>
      <w:r>
        <w:rPr>
          <w:i/>
          <w:sz w:val="16"/>
        </w:rPr>
        <w:t>del</w:t>
      </w:r>
      <w:r>
        <w:rPr>
          <w:i/>
          <w:spacing w:val="-8"/>
          <w:sz w:val="16"/>
        </w:rPr>
        <w:t> </w:t>
      </w:r>
      <w:r>
        <w:rPr>
          <w:i/>
          <w:sz w:val="16"/>
        </w:rPr>
        <w:t>Convenio</w:t>
      </w:r>
      <w:r>
        <w:rPr>
          <w:i/>
          <w:spacing w:val="-9"/>
          <w:sz w:val="16"/>
        </w:rPr>
        <w:t> </w:t>
      </w:r>
      <w:r>
        <w:rPr>
          <w:i/>
          <w:sz w:val="16"/>
        </w:rPr>
        <w:t>sobre</w:t>
      </w:r>
      <w:r>
        <w:rPr>
          <w:i/>
          <w:spacing w:val="-10"/>
          <w:sz w:val="16"/>
        </w:rPr>
        <w:t> </w:t>
      </w:r>
      <w:r>
        <w:rPr>
          <w:i/>
          <w:sz w:val="16"/>
        </w:rPr>
        <w:t>pueblos</w:t>
      </w:r>
      <w:r>
        <w:rPr>
          <w:i/>
          <w:spacing w:val="-9"/>
          <w:sz w:val="16"/>
        </w:rPr>
        <w:t> </w:t>
      </w:r>
      <w:r>
        <w:rPr>
          <w:i/>
          <w:sz w:val="16"/>
        </w:rPr>
        <w:t>indígenas</w:t>
      </w:r>
      <w:r>
        <w:rPr>
          <w:i/>
          <w:spacing w:val="-10"/>
          <w:sz w:val="16"/>
        </w:rPr>
        <w:t> </w:t>
      </w:r>
      <w:r>
        <w:rPr>
          <w:i/>
          <w:sz w:val="16"/>
        </w:rPr>
        <w:t>y</w:t>
      </w:r>
      <w:r>
        <w:rPr>
          <w:i/>
          <w:spacing w:val="-8"/>
          <w:sz w:val="16"/>
        </w:rPr>
        <w:t> </w:t>
      </w:r>
      <w:r>
        <w:rPr>
          <w:i/>
          <w:sz w:val="16"/>
        </w:rPr>
        <w:t>tribales</w:t>
      </w:r>
      <w:r>
        <w:rPr>
          <w:i/>
          <w:spacing w:val="-9"/>
          <w:sz w:val="16"/>
        </w:rPr>
        <w:t> </w:t>
      </w:r>
      <w:r>
        <w:rPr>
          <w:i/>
          <w:sz w:val="16"/>
        </w:rPr>
        <w:t>núm.</w:t>
      </w:r>
      <w:r>
        <w:rPr>
          <w:i/>
          <w:spacing w:val="-10"/>
          <w:sz w:val="16"/>
        </w:rPr>
        <w:t> </w:t>
      </w:r>
      <w:r>
        <w:rPr>
          <w:i/>
          <w:sz w:val="16"/>
        </w:rPr>
        <w:t>169</w:t>
      </w:r>
      <w:r>
        <w:rPr>
          <w:i/>
          <w:spacing w:val="-9"/>
          <w:sz w:val="16"/>
        </w:rPr>
        <w:t> </w:t>
      </w:r>
      <w:r>
        <w:rPr>
          <w:i/>
          <w:sz w:val="16"/>
        </w:rPr>
        <w:t>de</w:t>
      </w:r>
      <w:r>
        <w:rPr>
          <w:i/>
          <w:spacing w:val="-10"/>
          <w:sz w:val="16"/>
        </w:rPr>
        <w:t> </w:t>
      </w:r>
      <w:r>
        <w:rPr>
          <w:i/>
          <w:sz w:val="16"/>
        </w:rPr>
        <w:t>la</w:t>
      </w:r>
      <w:r>
        <w:rPr>
          <w:i/>
          <w:spacing w:val="-8"/>
          <w:sz w:val="16"/>
        </w:rPr>
        <w:t> </w:t>
      </w:r>
      <w:r>
        <w:rPr>
          <w:i/>
          <w:sz w:val="16"/>
        </w:rPr>
        <w:t>OIT: </w:t>
      </w:r>
      <w:r>
        <w:rPr>
          <w:i/>
          <w:sz w:val="16"/>
        </w:rPr>
        <w:t>Hacia un futuro inclusivo, sostenible y justo, </w:t>
      </w:r>
      <w:r>
        <w:rPr>
          <w:sz w:val="16"/>
        </w:rPr>
        <w:t>febrero de</w:t>
      </w:r>
      <w:r>
        <w:rPr>
          <w:spacing w:val="-21"/>
          <w:sz w:val="16"/>
        </w:rPr>
        <w:t> </w:t>
      </w:r>
      <w:r>
        <w:rPr>
          <w:sz w:val="16"/>
        </w:rPr>
        <w:t>2020.</w:t>
      </w:r>
    </w:p>
    <w:p>
      <w:pPr>
        <w:tabs>
          <w:tab w:pos="826" w:val="left" w:leader="none"/>
        </w:tabs>
        <w:spacing w:before="120"/>
        <w:ind w:left="118" w:right="312" w:firstLine="0"/>
        <w:jc w:val="both"/>
        <w:rPr>
          <w:sz w:val="16"/>
        </w:rPr>
      </w:pPr>
      <w:r>
        <w:rPr>
          <w:position w:val="6"/>
          <w:sz w:val="10"/>
        </w:rPr>
        <w:t>78</w:t>
        <w:tab/>
      </w:r>
      <w:r>
        <w:rPr>
          <w:sz w:val="16"/>
        </w:rPr>
        <w:t>Por</w:t>
      </w:r>
      <w:r>
        <w:rPr>
          <w:spacing w:val="-3"/>
          <w:sz w:val="16"/>
        </w:rPr>
        <w:t> </w:t>
      </w:r>
      <w:r>
        <w:rPr>
          <w:sz w:val="16"/>
        </w:rPr>
        <w:t>ejemplo,</w:t>
      </w:r>
      <w:r>
        <w:rPr>
          <w:spacing w:val="-4"/>
          <w:sz w:val="16"/>
        </w:rPr>
        <w:t> </w:t>
      </w:r>
      <w:r>
        <w:rPr>
          <w:sz w:val="16"/>
        </w:rPr>
        <w:t>se</w:t>
      </w:r>
      <w:r>
        <w:rPr>
          <w:spacing w:val="-4"/>
          <w:sz w:val="16"/>
        </w:rPr>
        <w:t> </w:t>
      </w:r>
      <w:r>
        <w:rPr>
          <w:sz w:val="16"/>
        </w:rPr>
        <w:t>ha</w:t>
      </w:r>
      <w:r>
        <w:rPr>
          <w:spacing w:val="-3"/>
          <w:sz w:val="16"/>
        </w:rPr>
        <w:t> </w:t>
      </w:r>
      <w:r>
        <w:rPr>
          <w:sz w:val="16"/>
        </w:rPr>
        <w:t>indicado</w:t>
      </w:r>
      <w:r>
        <w:rPr>
          <w:spacing w:val="-3"/>
          <w:sz w:val="16"/>
        </w:rPr>
        <w:t> </w:t>
      </w:r>
      <w:r>
        <w:rPr>
          <w:sz w:val="16"/>
        </w:rPr>
        <w:t>que</w:t>
      </w:r>
      <w:r>
        <w:rPr>
          <w:spacing w:val="-4"/>
          <w:sz w:val="16"/>
        </w:rPr>
        <w:t> </w:t>
      </w:r>
      <w:r>
        <w:rPr>
          <w:sz w:val="16"/>
        </w:rPr>
        <w:t>los</w:t>
      </w:r>
      <w:r>
        <w:rPr>
          <w:spacing w:val="-4"/>
          <w:sz w:val="16"/>
        </w:rPr>
        <w:t> </w:t>
      </w:r>
      <w:r>
        <w:rPr>
          <w:sz w:val="16"/>
        </w:rPr>
        <w:t>siguientes</w:t>
      </w:r>
      <w:r>
        <w:rPr>
          <w:spacing w:val="-2"/>
          <w:sz w:val="16"/>
        </w:rPr>
        <w:t> </w:t>
      </w:r>
      <w:r>
        <w:rPr>
          <w:sz w:val="16"/>
        </w:rPr>
        <w:t>ODS</w:t>
      </w:r>
      <w:r>
        <w:rPr>
          <w:spacing w:val="-3"/>
          <w:sz w:val="16"/>
        </w:rPr>
        <w:t> </w:t>
      </w:r>
      <w:r>
        <w:rPr>
          <w:sz w:val="16"/>
        </w:rPr>
        <w:t>de</w:t>
      </w:r>
      <w:r>
        <w:rPr>
          <w:spacing w:val="-3"/>
          <w:sz w:val="16"/>
        </w:rPr>
        <w:t> </w:t>
      </w:r>
      <w:r>
        <w:rPr>
          <w:sz w:val="16"/>
        </w:rPr>
        <w:t>la</w:t>
      </w:r>
      <w:r>
        <w:rPr>
          <w:spacing w:val="-3"/>
          <w:sz w:val="16"/>
        </w:rPr>
        <w:t> </w:t>
      </w:r>
      <w:r>
        <w:rPr>
          <w:sz w:val="16"/>
        </w:rPr>
        <w:t>Agenda</w:t>
      </w:r>
      <w:r>
        <w:rPr>
          <w:spacing w:val="-3"/>
          <w:sz w:val="16"/>
        </w:rPr>
        <w:t> </w:t>
      </w:r>
      <w:r>
        <w:rPr>
          <w:sz w:val="16"/>
        </w:rPr>
        <w:t>2030,</w:t>
      </w:r>
      <w:r>
        <w:rPr>
          <w:spacing w:val="-3"/>
          <w:sz w:val="16"/>
        </w:rPr>
        <w:t> </w:t>
      </w:r>
      <w:r>
        <w:rPr>
          <w:sz w:val="16"/>
        </w:rPr>
        <w:t>se</w:t>
      </w:r>
      <w:r>
        <w:rPr>
          <w:spacing w:val="-4"/>
          <w:sz w:val="16"/>
        </w:rPr>
        <w:t> </w:t>
      </w:r>
      <w:r>
        <w:rPr>
          <w:sz w:val="16"/>
        </w:rPr>
        <w:t>relacionan</w:t>
      </w:r>
      <w:r>
        <w:rPr>
          <w:spacing w:val="-1"/>
          <w:sz w:val="16"/>
        </w:rPr>
        <w:t> </w:t>
      </w:r>
      <w:r>
        <w:rPr>
          <w:sz w:val="16"/>
        </w:rPr>
        <w:t>especialmente</w:t>
      </w:r>
      <w:r>
        <w:rPr>
          <w:w w:val="99"/>
          <w:sz w:val="16"/>
        </w:rPr>
        <w:t> </w:t>
      </w:r>
      <w:r>
        <w:rPr>
          <w:sz w:val="16"/>
        </w:rPr>
        <w:t>con las prioridades de desarrollo de los pueblos indígenas: Objetivo 1. Poner fin a la pobreza en todas sus formas</w:t>
      </w:r>
      <w:r>
        <w:rPr>
          <w:spacing w:val="-5"/>
          <w:sz w:val="16"/>
        </w:rPr>
        <w:t> </w:t>
      </w:r>
      <w:r>
        <w:rPr>
          <w:sz w:val="16"/>
        </w:rPr>
        <w:t>y</w:t>
      </w:r>
      <w:r>
        <w:rPr>
          <w:spacing w:val="-4"/>
          <w:sz w:val="16"/>
        </w:rPr>
        <w:t> </w:t>
      </w:r>
      <w:r>
        <w:rPr>
          <w:sz w:val="16"/>
        </w:rPr>
        <w:t>en</w:t>
      </w:r>
      <w:r>
        <w:rPr>
          <w:spacing w:val="-5"/>
          <w:sz w:val="16"/>
        </w:rPr>
        <w:t> </w:t>
      </w:r>
      <w:r>
        <w:rPr>
          <w:sz w:val="16"/>
        </w:rPr>
        <w:t>todo</w:t>
      </w:r>
      <w:r>
        <w:rPr>
          <w:spacing w:val="-4"/>
          <w:sz w:val="16"/>
        </w:rPr>
        <w:t> </w:t>
      </w:r>
      <w:r>
        <w:rPr>
          <w:sz w:val="16"/>
        </w:rPr>
        <w:t>el</w:t>
      </w:r>
      <w:r>
        <w:rPr>
          <w:spacing w:val="-6"/>
          <w:sz w:val="16"/>
        </w:rPr>
        <w:t> </w:t>
      </w:r>
      <w:r>
        <w:rPr>
          <w:sz w:val="16"/>
        </w:rPr>
        <w:t>mundo;</w:t>
      </w:r>
      <w:r>
        <w:rPr>
          <w:spacing w:val="-5"/>
          <w:sz w:val="16"/>
        </w:rPr>
        <w:t> </w:t>
      </w:r>
      <w:r>
        <w:rPr>
          <w:sz w:val="16"/>
        </w:rPr>
        <w:t>Objetivo</w:t>
      </w:r>
      <w:r>
        <w:rPr>
          <w:spacing w:val="-3"/>
          <w:sz w:val="16"/>
        </w:rPr>
        <w:t> </w:t>
      </w:r>
      <w:r>
        <w:rPr>
          <w:sz w:val="16"/>
        </w:rPr>
        <w:t>2.</w:t>
      </w:r>
      <w:r>
        <w:rPr>
          <w:spacing w:val="-5"/>
          <w:sz w:val="16"/>
        </w:rPr>
        <w:t> </w:t>
      </w:r>
      <w:r>
        <w:rPr>
          <w:sz w:val="16"/>
        </w:rPr>
        <w:t>Poner</w:t>
      </w:r>
      <w:r>
        <w:rPr>
          <w:spacing w:val="-4"/>
          <w:sz w:val="16"/>
        </w:rPr>
        <w:t> </w:t>
      </w:r>
      <w:r>
        <w:rPr>
          <w:sz w:val="16"/>
        </w:rPr>
        <w:t>fin</w:t>
      </w:r>
      <w:r>
        <w:rPr>
          <w:spacing w:val="-6"/>
          <w:sz w:val="16"/>
        </w:rPr>
        <w:t> </w:t>
      </w:r>
      <w:r>
        <w:rPr>
          <w:sz w:val="16"/>
        </w:rPr>
        <w:t>al</w:t>
      </w:r>
      <w:r>
        <w:rPr>
          <w:spacing w:val="-5"/>
          <w:sz w:val="16"/>
        </w:rPr>
        <w:t> </w:t>
      </w:r>
      <w:r>
        <w:rPr>
          <w:sz w:val="16"/>
        </w:rPr>
        <w:t>hambre,</w:t>
      </w:r>
      <w:r>
        <w:rPr>
          <w:spacing w:val="-5"/>
          <w:sz w:val="16"/>
        </w:rPr>
        <w:t> </w:t>
      </w:r>
      <w:r>
        <w:rPr>
          <w:sz w:val="16"/>
        </w:rPr>
        <w:t>lograr</w:t>
      </w:r>
      <w:r>
        <w:rPr>
          <w:spacing w:val="-4"/>
          <w:sz w:val="16"/>
        </w:rPr>
        <w:t> </w:t>
      </w:r>
      <w:r>
        <w:rPr>
          <w:sz w:val="16"/>
        </w:rPr>
        <w:t>la</w:t>
      </w:r>
      <w:r>
        <w:rPr>
          <w:spacing w:val="-4"/>
          <w:sz w:val="16"/>
        </w:rPr>
        <w:t> </w:t>
      </w:r>
      <w:r>
        <w:rPr>
          <w:sz w:val="16"/>
        </w:rPr>
        <w:t>seguridad</w:t>
      </w:r>
      <w:r>
        <w:rPr>
          <w:spacing w:val="-4"/>
          <w:sz w:val="16"/>
        </w:rPr>
        <w:t> </w:t>
      </w:r>
      <w:r>
        <w:rPr>
          <w:sz w:val="16"/>
        </w:rPr>
        <w:t>alimentaria</w:t>
      </w:r>
      <w:r>
        <w:rPr>
          <w:spacing w:val="-5"/>
          <w:sz w:val="16"/>
        </w:rPr>
        <w:t> </w:t>
      </w:r>
      <w:r>
        <w:rPr>
          <w:sz w:val="16"/>
        </w:rPr>
        <w:t>y</w:t>
      </w:r>
      <w:r>
        <w:rPr>
          <w:spacing w:val="-4"/>
          <w:sz w:val="16"/>
        </w:rPr>
        <w:t> </w:t>
      </w:r>
      <w:r>
        <w:rPr>
          <w:sz w:val="16"/>
        </w:rPr>
        <w:t>la</w:t>
      </w:r>
      <w:r>
        <w:rPr>
          <w:spacing w:val="-4"/>
          <w:sz w:val="16"/>
        </w:rPr>
        <w:t> </w:t>
      </w:r>
      <w:r>
        <w:rPr>
          <w:sz w:val="16"/>
        </w:rPr>
        <w:t>mejora</w:t>
      </w:r>
      <w:r>
        <w:rPr>
          <w:spacing w:val="-4"/>
          <w:sz w:val="16"/>
        </w:rPr>
        <w:t> </w:t>
      </w:r>
      <w:r>
        <w:rPr>
          <w:sz w:val="16"/>
        </w:rPr>
        <w:t>de</w:t>
      </w:r>
      <w:r>
        <w:rPr>
          <w:spacing w:val="-5"/>
          <w:sz w:val="16"/>
        </w:rPr>
        <w:t> </w:t>
      </w:r>
      <w:r>
        <w:rPr>
          <w:sz w:val="16"/>
        </w:rPr>
        <w:t>la</w:t>
      </w:r>
    </w:p>
    <w:p>
      <w:pPr>
        <w:spacing w:after="0"/>
        <w:jc w:val="both"/>
        <w:rPr>
          <w:sz w:val="16"/>
        </w:rPr>
        <w:sectPr>
          <w:pgSz w:w="12240" w:h="15840"/>
          <w:pgMar w:header="0" w:footer="782" w:top="1340" w:bottom="980" w:left="1300" w:right="1720"/>
        </w:sectPr>
      </w:pPr>
    </w:p>
    <w:p>
      <w:pPr>
        <w:pStyle w:val="ListParagraph"/>
        <w:numPr>
          <w:ilvl w:val="0"/>
          <w:numId w:val="77"/>
        </w:numPr>
        <w:tabs>
          <w:tab w:pos="827" w:val="left" w:leader="none"/>
        </w:tabs>
        <w:spacing w:line="240" w:lineRule="auto" w:before="161" w:after="0"/>
        <w:ind w:left="118" w:right="308" w:firstLine="0"/>
        <w:jc w:val="both"/>
        <w:rPr>
          <w:sz w:val="20"/>
        </w:rPr>
      </w:pPr>
      <w:r>
        <w:rPr>
          <w:sz w:val="20"/>
        </w:rPr>
        <w:t>En suma, el caso </w:t>
      </w:r>
      <w:r>
        <w:rPr>
          <w:i/>
          <w:sz w:val="20"/>
        </w:rPr>
        <w:t>Lakha Honhat </w:t>
      </w:r>
      <w:r>
        <w:rPr>
          <w:sz w:val="20"/>
        </w:rPr>
        <w:t>es un elemento más en la consolidación de la línea jurisprudencial en materia de DESCA en el Sistema Interamericano y, en general, contribuye a una mayor claridad en el contenido de los derechos y en las obligaciones estatales</w:t>
      </w:r>
      <w:r>
        <w:rPr>
          <w:spacing w:val="-3"/>
          <w:sz w:val="20"/>
        </w:rPr>
        <w:t> </w:t>
      </w:r>
      <w:r>
        <w:rPr>
          <w:sz w:val="20"/>
        </w:rPr>
        <w:t>para</w:t>
      </w:r>
      <w:r>
        <w:rPr>
          <w:spacing w:val="-4"/>
          <w:sz w:val="20"/>
        </w:rPr>
        <w:t> </w:t>
      </w:r>
      <w:r>
        <w:rPr>
          <w:sz w:val="20"/>
        </w:rPr>
        <w:t>la</w:t>
      </w:r>
      <w:r>
        <w:rPr>
          <w:spacing w:val="-5"/>
          <w:sz w:val="20"/>
        </w:rPr>
        <w:t> </w:t>
      </w:r>
      <w:r>
        <w:rPr>
          <w:sz w:val="20"/>
        </w:rPr>
        <w:t>protección</w:t>
      </w:r>
      <w:r>
        <w:rPr>
          <w:spacing w:val="-5"/>
          <w:sz w:val="20"/>
        </w:rPr>
        <w:t> </w:t>
      </w:r>
      <w:r>
        <w:rPr>
          <w:sz w:val="20"/>
        </w:rPr>
        <w:t>de</w:t>
      </w:r>
      <w:r>
        <w:rPr>
          <w:spacing w:val="-4"/>
          <w:sz w:val="20"/>
        </w:rPr>
        <w:t> </w:t>
      </w:r>
      <w:r>
        <w:rPr>
          <w:sz w:val="20"/>
        </w:rPr>
        <w:t>los</w:t>
      </w:r>
      <w:r>
        <w:rPr>
          <w:spacing w:val="-5"/>
          <w:sz w:val="20"/>
        </w:rPr>
        <w:t> </w:t>
      </w:r>
      <w:r>
        <w:rPr>
          <w:sz w:val="20"/>
        </w:rPr>
        <w:t>derechos</w:t>
      </w:r>
      <w:r>
        <w:rPr>
          <w:spacing w:val="-5"/>
          <w:sz w:val="20"/>
        </w:rPr>
        <w:t> </w:t>
      </w:r>
      <w:r>
        <w:rPr>
          <w:sz w:val="20"/>
        </w:rPr>
        <w:t>sociales</w:t>
      </w:r>
      <w:r>
        <w:rPr>
          <w:spacing w:val="-6"/>
          <w:sz w:val="20"/>
        </w:rPr>
        <w:t> </w:t>
      </w:r>
      <w:r>
        <w:rPr>
          <w:sz w:val="20"/>
        </w:rPr>
        <w:t>en</w:t>
      </w:r>
      <w:r>
        <w:rPr>
          <w:spacing w:val="-4"/>
          <w:sz w:val="20"/>
        </w:rPr>
        <w:t> </w:t>
      </w:r>
      <w:r>
        <w:rPr>
          <w:sz w:val="20"/>
        </w:rPr>
        <w:t>nuestra</w:t>
      </w:r>
      <w:r>
        <w:rPr>
          <w:spacing w:val="-5"/>
          <w:sz w:val="20"/>
        </w:rPr>
        <w:t> </w:t>
      </w:r>
      <w:r>
        <w:rPr>
          <w:sz w:val="20"/>
        </w:rPr>
        <w:t>región. Se</w:t>
      </w:r>
      <w:r>
        <w:rPr>
          <w:spacing w:val="-4"/>
          <w:sz w:val="20"/>
        </w:rPr>
        <w:t> </w:t>
      </w:r>
      <w:r>
        <w:rPr>
          <w:sz w:val="20"/>
        </w:rPr>
        <w:t>trata</w:t>
      </w:r>
      <w:r>
        <w:rPr>
          <w:spacing w:val="-5"/>
          <w:sz w:val="20"/>
        </w:rPr>
        <w:t> </w:t>
      </w:r>
      <w:r>
        <w:rPr>
          <w:sz w:val="20"/>
        </w:rPr>
        <w:t>de</w:t>
      </w:r>
      <w:r>
        <w:rPr>
          <w:spacing w:val="-4"/>
          <w:sz w:val="20"/>
        </w:rPr>
        <w:t> </w:t>
      </w:r>
      <w:r>
        <w:rPr>
          <w:sz w:val="20"/>
        </w:rPr>
        <w:t>una aproximación</w:t>
      </w:r>
      <w:r>
        <w:rPr>
          <w:spacing w:val="-14"/>
          <w:sz w:val="20"/>
        </w:rPr>
        <w:t> </w:t>
      </w:r>
      <w:r>
        <w:rPr>
          <w:sz w:val="20"/>
        </w:rPr>
        <w:t>que</w:t>
      </w:r>
      <w:r>
        <w:rPr>
          <w:spacing w:val="-14"/>
          <w:sz w:val="20"/>
        </w:rPr>
        <w:t> </w:t>
      </w:r>
      <w:r>
        <w:rPr>
          <w:sz w:val="20"/>
        </w:rPr>
        <w:t>ha</w:t>
      </w:r>
      <w:r>
        <w:rPr>
          <w:spacing w:val="-14"/>
          <w:sz w:val="20"/>
        </w:rPr>
        <w:t> </w:t>
      </w:r>
      <w:r>
        <w:rPr>
          <w:sz w:val="20"/>
        </w:rPr>
        <w:t>adoptado</w:t>
      </w:r>
      <w:r>
        <w:rPr>
          <w:spacing w:val="-13"/>
          <w:sz w:val="20"/>
        </w:rPr>
        <w:t> </w:t>
      </w:r>
      <w:r>
        <w:rPr>
          <w:sz w:val="20"/>
        </w:rPr>
        <w:t>la</w:t>
      </w:r>
      <w:r>
        <w:rPr>
          <w:spacing w:val="-15"/>
          <w:sz w:val="20"/>
        </w:rPr>
        <w:t> </w:t>
      </w:r>
      <w:r>
        <w:rPr>
          <w:sz w:val="20"/>
        </w:rPr>
        <w:t>Corte</w:t>
      </w:r>
      <w:r>
        <w:rPr>
          <w:spacing w:val="-13"/>
          <w:sz w:val="20"/>
        </w:rPr>
        <w:t> </w:t>
      </w:r>
      <w:r>
        <w:rPr>
          <w:sz w:val="20"/>
        </w:rPr>
        <w:t>IDH</w:t>
      </w:r>
      <w:r>
        <w:rPr>
          <w:spacing w:val="-14"/>
          <w:sz w:val="20"/>
        </w:rPr>
        <w:t> </w:t>
      </w:r>
      <w:r>
        <w:rPr>
          <w:sz w:val="20"/>
        </w:rPr>
        <w:t>para</w:t>
      </w:r>
      <w:r>
        <w:rPr>
          <w:spacing w:val="-14"/>
          <w:sz w:val="20"/>
        </w:rPr>
        <w:t> </w:t>
      </w:r>
      <w:r>
        <w:rPr>
          <w:sz w:val="20"/>
        </w:rPr>
        <w:t>lograr</w:t>
      </w:r>
      <w:r>
        <w:rPr>
          <w:spacing w:val="-15"/>
          <w:sz w:val="20"/>
        </w:rPr>
        <w:t> </w:t>
      </w:r>
      <w:r>
        <w:rPr>
          <w:sz w:val="20"/>
        </w:rPr>
        <w:t>que</w:t>
      </w:r>
      <w:r>
        <w:rPr>
          <w:spacing w:val="-14"/>
          <w:sz w:val="20"/>
        </w:rPr>
        <w:t> </w:t>
      </w:r>
      <w:r>
        <w:rPr>
          <w:sz w:val="20"/>
        </w:rPr>
        <w:t>todos</w:t>
      </w:r>
      <w:r>
        <w:rPr>
          <w:spacing w:val="-14"/>
          <w:sz w:val="20"/>
        </w:rPr>
        <w:t> </w:t>
      </w:r>
      <w:r>
        <w:rPr>
          <w:sz w:val="20"/>
        </w:rPr>
        <w:t>los</w:t>
      </w:r>
      <w:r>
        <w:rPr>
          <w:spacing w:val="-16"/>
          <w:sz w:val="20"/>
        </w:rPr>
        <w:t> </w:t>
      </w:r>
      <w:r>
        <w:rPr>
          <w:sz w:val="20"/>
        </w:rPr>
        <w:t>derechos</w:t>
      </w:r>
      <w:r>
        <w:rPr>
          <w:spacing w:val="-13"/>
          <w:sz w:val="20"/>
        </w:rPr>
        <w:t> </w:t>
      </w:r>
      <w:r>
        <w:rPr>
          <w:sz w:val="20"/>
        </w:rPr>
        <w:t>—civiles, políticos, económicos, sociales, culturales y ambientales— sean vistos como tales, a la luz de la interdependencia e indivisibilidad de los mismos, sin jerarquía entre sí, y para que los Estados cumplan y materialicen de mejor forma sus obligaciones de respeto y garantía a los derechos humanos. Lo anterior resulta especialmente importante para ciertos grupos en situación de vulnerabilidad en la región, como las comunidades y pueblos indígenas y tribales (que siguen siendo “los más pobres entre los pobres”</w:t>
      </w:r>
      <w:r>
        <w:rPr>
          <w:position w:val="7"/>
          <w:sz w:val="13"/>
        </w:rPr>
        <w:t>79</w:t>
      </w:r>
      <w:r>
        <w:rPr>
          <w:sz w:val="20"/>
        </w:rPr>
        <w:t>), sufriendo “injusticias históricas”</w:t>
      </w:r>
      <w:r>
        <w:rPr>
          <w:position w:val="7"/>
          <w:sz w:val="13"/>
        </w:rPr>
        <w:t>80</w:t>
      </w:r>
      <w:r>
        <w:rPr>
          <w:sz w:val="20"/>
        </w:rPr>
        <w:t>, y que no solo dependen físicamente de los recursos que</w:t>
      </w:r>
      <w:r>
        <w:rPr>
          <w:spacing w:val="-8"/>
          <w:sz w:val="20"/>
        </w:rPr>
        <w:t> </w:t>
      </w:r>
      <w:r>
        <w:rPr>
          <w:sz w:val="20"/>
        </w:rPr>
        <w:t>se</w:t>
      </w:r>
      <w:r>
        <w:rPr>
          <w:spacing w:val="-9"/>
          <w:sz w:val="20"/>
        </w:rPr>
        <w:t> </w:t>
      </w:r>
      <w:r>
        <w:rPr>
          <w:sz w:val="20"/>
        </w:rPr>
        <w:t>encuentran</w:t>
      </w:r>
      <w:r>
        <w:rPr>
          <w:spacing w:val="-9"/>
          <w:sz w:val="20"/>
        </w:rPr>
        <w:t> </w:t>
      </w:r>
      <w:r>
        <w:rPr>
          <w:sz w:val="20"/>
        </w:rPr>
        <w:t>en</w:t>
      </w:r>
      <w:r>
        <w:rPr>
          <w:spacing w:val="-8"/>
          <w:sz w:val="20"/>
        </w:rPr>
        <w:t> </w:t>
      </w:r>
      <w:r>
        <w:rPr>
          <w:sz w:val="20"/>
        </w:rPr>
        <w:t>su</w:t>
      </w:r>
      <w:r>
        <w:rPr>
          <w:spacing w:val="-8"/>
          <w:sz w:val="20"/>
        </w:rPr>
        <w:t> </w:t>
      </w:r>
      <w:r>
        <w:rPr>
          <w:sz w:val="20"/>
        </w:rPr>
        <w:t>territorio,</w:t>
      </w:r>
      <w:r>
        <w:rPr>
          <w:spacing w:val="-9"/>
          <w:sz w:val="20"/>
        </w:rPr>
        <w:t> </w:t>
      </w:r>
      <w:r>
        <w:rPr>
          <w:sz w:val="20"/>
        </w:rPr>
        <w:t>sino</w:t>
      </w:r>
      <w:r>
        <w:rPr>
          <w:spacing w:val="-8"/>
          <w:sz w:val="20"/>
        </w:rPr>
        <w:t> </w:t>
      </w:r>
      <w:r>
        <w:rPr>
          <w:sz w:val="20"/>
        </w:rPr>
        <w:t>que</w:t>
      </w:r>
      <w:r>
        <w:rPr>
          <w:spacing w:val="-8"/>
          <w:sz w:val="20"/>
        </w:rPr>
        <w:t> </w:t>
      </w:r>
      <w:r>
        <w:rPr>
          <w:sz w:val="20"/>
        </w:rPr>
        <w:t>también</w:t>
      </w:r>
      <w:r>
        <w:rPr>
          <w:spacing w:val="-8"/>
          <w:sz w:val="20"/>
        </w:rPr>
        <w:t> </w:t>
      </w:r>
      <w:r>
        <w:rPr>
          <w:sz w:val="20"/>
        </w:rPr>
        <w:t>tienen</w:t>
      </w:r>
      <w:r>
        <w:rPr>
          <w:spacing w:val="-8"/>
          <w:sz w:val="20"/>
        </w:rPr>
        <w:t> </w:t>
      </w:r>
      <w:r>
        <w:rPr>
          <w:sz w:val="20"/>
        </w:rPr>
        <w:t>una</w:t>
      </w:r>
      <w:r>
        <w:rPr>
          <w:spacing w:val="-8"/>
          <w:sz w:val="20"/>
        </w:rPr>
        <w:t> </w:t>
      </w:r>
      <w:r>
        <w:rPr>
          <w:sz w:val="20"/>
        </w:rPr>
        <w:t>simbiosis</w:t>
      </w:r>
      <w:r>
        <w:rPr>
          <w:spacing w:val="-8"/>
          <w:sz w:val="20"/>
        </w:rPr>
        <w:t> </w:t>
      </w:r>
      <w:r>
        <w:rPr>
          <w:sz w:val="20"/>
        </w:rPr>
        <w:t>espiritual</w:t>
      </w:r>
      <w:r>
        <w:rPr>
          <w:spacing w:val="-8"/>
          <w:sz w:val="20"/>
        </w:rPr>
        <w:t> </w:t>
      </w:r>
      <w:r>
        <w:rPr>
          <w:sz w:val="20"/>
        </w:rPr>
        <w:t>con los</w:t>
      </w:r>
      <w:r>
        <w:rPr>
          <w:spacing w:val="-2"/>
          <w:sz w:val="20"/>
        </w:rPr>
        <w:t> </w:t>
      </w:r>
      <w:r>
        <w:rPr>
          <w:sz w:val="20"/>
        </w:rPr>
        <w:t>mismos.</w:t>
      </w:r>
    </w:p>
    <w:p>
      <w:pPr>
        <w:pStyle w:val="BodyText"/>
        <w:rPr>
          <w:sz w:val="24"/>
        </w:rPr>
      </w:pPr>
    </w:p>
    <w:p>
      <w:pPr>
        <w:pStyle w:val="BodyText"/>
        <w:spacing w:before="4"/>
        <w:rPr>
          <w:sz w:val="32"/>
        </w:rPr>
      </w:pPr>
    </w:p>
    <w:p>
      <w:pPr>
        <w:pStyle w:val="BodyText"/>
        <w:spacing w:before="1"/>
        <w:ind w:left="6812" w:right="454" w:hanging="1492"/>
      </w:pPr>
      <w:r>
        <w:rPr/>
        <w:t>Eduardo Ferrer Mac-Gregor Poisot Juez</w:t>
      </w:r>
    </w:p>
    <w:p>
      <w:pPr>
        <w:pStyle w:val="BodyText"/>
        <w:rPr>
          <w:sz w:val="24"/>
        </w:rPr>
      </w:pPr>
    </w:p>
    <w:p>
      <w:pPr>
        <w:pStyle w:val="BodyText"/>
        <w:rPr>
          <w:sz w:val="24"/>
        </w:rPr>
      </w:pPr>
    </w:p>
    <w:p>
      <w:pPr>
        <w:pStyle w:val="BodyText"/>
        <w:rPr>
          <w:sz w:val="32"/>
        </w:rPr>
      </w:pPr>
    </w:p>
    <w:p>
      <w:pPr>
        <w:pStyle w:val="BodyText"/>
        <w:ind w:left="828" w:right="6424" w:hanging="710"/>
      </w:pPr>
      <w:r>
        <w:rPr/>
        <w:t>Pablo Saavedra Alessandri Secretario</w:t>
      </w:r>
    </w:p>
    <w:p>
      <w:pPr>
        <w:pStyle w:val="BodyText"/>
      </w:pPr>
    </w:p>
    <w:p>
      <w:pPr>
        <w:pStyle w:val="BodyText"/>
      </w:pPr>
    </w:p>
    <w:p>
      <w:pPr>
        <w:pStyle w:val="BodyText"/>
        <w:spacing w:before="4"/>
        <w:rPr>
          <w:sz w:val="23"/>
        </w:rPr>
      </w:pPr>
      <w:r>
        <w:rPr/>
        <w:pict>
          <v:line style="position:absolute;mso-position-horizontal-relative:page;mso-position-vertical-relative:paragraph;z-index:5224;mso-wrap-distance-left:0;mso-wrap-distance-right:0" from="70.919998pt,16.431435pt" to="214.939998pt,16.431435pt" stroked="true" strokeweight=".600010pt" strokecolor="#000000">
            <v:stroke dashstyle="solid"/>
            <w10:wrap type="topAndBottom"/>
          </v:line>
        </w:pict>
      </w:r>
    </w:p>
    <w:p>
      <w:pPr>
        <w:spacing w:before="73"/>
        <w:ind w:left="118" w:right="310" w:firstLine="0"/>
        <w:jc w:val="both"/>
        <w:rPr>
          <w:sz w:val="16"/>
        </w:rPr>
      </w:pPr>
      <w:r>
        <w:rPr>
          <w:sz w:val="16"/>
        </w:rPr>
        <w:t>nutrición y promover la agricultura sostenible; Objetivo 3. Garantizar una vida sana y promover el bienestar de</w:t>
      </w:r>
      <w:r>
        <w:rPr>
          <w:spacing w:val="-14"/>
          <w:sz w:val="16"/>
        </w:rPr>
        <w:t> </w:t>
      </w:r>
      <w:r>
        <w:rPr>
          <w:sz w:val="16"/>
        </w:rPr>
        <w:t>todos</w:t>
      </w:r>
      <w:r>
        <w:rPr>
          <w:spacing w:val="-14"/>
          <w:sz w:val="16"/>
        </w:rPr>
        <w:t> </w:t>
      </w:r>
      <w:r>
        <w:rPr>
          <w:sz w:val="16"/>
        </w:rPr>
        <w:t>a</w:t>
      </w:r>
      <w:r>
        <w:rPr>
          <w:spacing w:val="-14"/>
          <w:sz w:val="16"/>
        </w:rPr>
        <w:t> </w:t>
      </w:r>
      <w:r>
        <w:rPr>
          <w:sz w:val="16"/>
        </w:rPr>
        <w:t>todas</w:t>
      </w:r>
      <w:r>
        <w:rPr>
          <w:spacing w:val="-14"/>
          <w:sz w:val="16"/>
        </w:rPr>
        <w:t> </w:t>
      </w:r>
      <w:r>
        <w:rPr>
          <w:sz w:val="16"/>
        </w:rPr>
        <w:t>las</w:t>
      </w:r>
      <w:r>
        <w:rPr>
          <w:spacing w:val="-14"/>
          <w:sz w:val="16"/>
        </w:rPr>
        <w:t> </w:t>
      </w:r>
      <w:r>
        <w:rPr>
          <w:sz w:val="16"/>
        </w:rPr>
        <w:t>edades;</w:t>
      </w:r>
      <w:r>
        <w:rPr>
          <w:spacing w:val="-15"/>
          <w:sz w:val="16"/>
        </w:rPr>
        <w:t> </w:t>
      </w:r>
      <w:r>
        <w:rPr>
          <w:sz w:val="16"/>
        </w:rPr>
        <w:t>Objetivo</w:t>
      </w:r>
      <w:r>
        <w:rPr>
          <w:spacing w:val="-13"/>
          <w:sz w:val="16"/>
        </w:rPr>
        <w:t> </w:t>
      </w:r>
      <w:r>
        <w:rPr>
          <w:sz w:val="16"/>
        </w:rPr>
        <w:t>4.</w:t>
      </w:r>
      <w:r>
        <w:rPr>
          <w:spacing w:val="-15"/>
          <w:sz w:val="16"/>
        </w:rPr>
        <w:t> </w:t>
      </w:r>
      <w:r>
        <w:rPr>
          <w:sz w:val="16"/>
        </w:rPr>
        <w:t>Garantizar</w:t>
      </w:r>
      <w:r>
        <w:rPr>
          <w:spacing w:val="-14"/>
          <w:sz w:val="16"/>
        </w:rPr>
        <w:t> </w:t>
      </w:r>
      <w:r>
        <w:rPr>
          <w:sz w:val="16"/>
        </w:rPr>
        <w:t>una</w:t>
      </w:r>
      <w:r>
        <w:rPr>
          <w:spacing w:val="-15"/>
          <w:sz w:val="16"/>
        </w:rPr>
        <w:t> </w:t>
      </w:r>
      <w:r>
        <w:rPr>
          <w:sz w:val="16"/>
        </w:rPr>
        <w:t>educación</w:t>
      </w:r>
      <w:r>
        <w:rPr>
          <w:spacing w:val="-13"/>
          <w:sz w:val="16"/>
        </w:rPr>
        <w:t> </w:t>
      </w:r>
      <w:r>
        <w:rPr>
          <w:sz w:val="16"/>
        </w:rPr>
        <w:t>inclusiva</w:t>
      </w:r>
      <w:r>
        <w:rPr>
          <w:spacing w:val="-12"/>
          <w:sz w:val="16"/>
        </w:rPr>
        <w:t> </w:t>
      </w:r>
      <w:r>
        <w:rPr>
          <w:sz w:val="16"/>
        </w:rPr>
        <w:t>y</w:t>
      </w:r>
      <w:r>
        <w:rPr>
          <w:spacing w:val="-14"/>
          <w:sz w:val="16"/>
        </w:rPr>
        <w:t> </w:t>
      </w:r>
      <w:r>
        <w:rPr>
          <w:sz w:val="16"/>
        </w:rPr>
        <w:t>equitativa</w:t>
      </w:r>
      <w:r>
        <w:rPr>
          <w:spacing w:val="-13"/>
          <w:sz w:val="16"/>
        </w:rPr>
        <w:t> </w:t>
      </w:r>
      <w:r>
        <w:rPr>
          <w:sz w:val="16"/>
        </w:rPr>
        <w:t>de</w:t>
      </w:r>
      <w:r>
        <w:rPr>
          <w:spacing w:val="-14"/>
          <w:sz w:val="16"/>
        </w:rPr>
        <w:t> </w:t>
      </w:r>
      <w:r>
        <w:rPr>
          <w:sz w:val="16"/>
        </w:rPr>
        <w:t>calidad</w:t>
      </w:r>
      <w:r>
        <w:rPr>
          <w:spacing w:val="-12"/>
          <w:sz w:val="16"/>
        </w:rPr>
        <w:t> </w:t>
      </w:r>
      <w:r>
        <w:rPr>
          <w:sz w:val="16"/>
        </w:rPr>
        <w:t>y</w:t>
      </w:r>
      <w:r>
        <w:rPr>
          <w:spacing w:val="-14"/>
          <w:sz w:val="16"/>
        </w:rPr>
        <w:t> </w:t>
      </w:r>
      <w:r>
        <w:rPr>
          <w:sz w:val="16"/>
        </w:rPr>
        <w:t>promover oportunidades</w:t>
      </w:r>
      <w:r>
        <w:rPr>
          <w:spacing w:val="-3"/>
          <w:sz w:val="16"/>
        </w:rPr>
        <w:t> </w:t>
      </w:r>
      <w:r>
        <w:rPr>
          <w:sz w:val="16"/>
        </w:rPr>
        <w:t>de</w:t>
      </w:r>
      <w:r>
        <w:rPr>
          <w:spacing w:val="-4"/>
          <w:sz w:val="16"/>
        </w:rPr>
        <w:t> </w:t>
      </w:r>
      <w:r>
        <w:rPr>
          <w:sz w:val="16"/>
        </w:rPr>
        <w:t>aprendizaje</w:t>
      </w:r>
      <w:r>
        <w:rPr>
          <w:spacing w:val="-1"/>
          <w:sz w:val="16"/>
        </w:rPr>
        <w:t> </w:t>
      </w:r>
      <w:r>
        <w:rPr>
          <w:sz w:val="16"/>
        </w:rPr>
        <w:t>permanente</w:t>
      </w:r>
      <w:r>
        <w:rPr>
          <w:spacing w:val="-4"/>
          <w:sz w:val="16"/>
        </w:rPr>
        <w:t> </w:t>
      </w:r>
      <w:r>
        <w:rPr>
          <w:sz w:val="16"/>
        </w:rPr>
        <w:t>para</w:t>
      </w:r>
      <w:r>
        <w:rPr>
          <w:spacing w:val="-3"/>
          <w:sz w:val="16"/>
        </w:rPr>
        <w:t> </w:t>
      </w:r>
      <w:r>
        <w:rPr>
          <w:sz w:val="16"/>
        </w:rPr>
        <w:t>todos;</w:t>
      </w:r>
      <w:r>
        <w:rPr>
          <w:spacing w:val="-4"/>
          <w:sz w:val="16"/>
        </w:rPr>
        <w:t> </w:t>
      </w:r>
      <w:r>
        <w:rPr>
          <w:sz w:val="16"/>
        </w:rPr>
        <w:t>Objetivo</w:t>
      </w:r>
      <w:r>
        <w:rPr>
          <w:spacing w:val="-3"/>
          <w:sz w:val="16"/>
        </w:rPr>
        <w:t> </w:t>
      </w:r>
      <w:r>
        <w:rPr>
          <w:sz w:val="16"/>
        </w:rPr>
        <w:t>5.</w:t>
      </w:r>
      <w:r>
        <w:rPr>
          <w:spacing w:val="-4"/>
          <w:sz w:val="16"/>
        </w:rPr>
        <w:t> </w:t>
      </w:r>
      <w:r>
        <w:rPr>
          <w:sz w:val="16"/>
        </w:rPr>
        <w:t>Lograr</w:t>
      </w:r>
      <w:r>
        <w:rPr>
          <w:spacing w:val="-2"/>
          <w:sz w:val="16"/>
        </w:rPr>
        <w:t> </w:t>
      </w:r>
      <w:r>
        <w:rPr>
          <w:sz w:val="16"/>
        </w:rPr>
        <w:t>la</w:t>
      </w:r>
      <w:r>
        <w:rPr>
          <w:spacing w:val="-3"/>
          <w:sz w:val="16"/>
        </w:rPr>
        <w:t> </w:t>
      </w:r>
      <w:r>
        <w:rPr>
          <w:sz w:val="16"/>
        </w:rPr>
        <w:t>igualdad</w:t>
      </w:r>
      <w:r>
        <w:rPr>
          <w:spacing w:val="-3"/>
          <w:sz w:val="16"/>
        </w:rPr>
        <w:t> </w:t>
      </w:r>
      <w:r>
        <w:rPr>
          <w:sz w:val="16"/>
        </w:rPr>
        <w:t>de</w:t>
      </w:r>
      <w:r>
        <w:rPr>
          <w:spacing w:val="-3"/>
          <w:sz w:val="16"/>
        </w:rPr>
        <w:t> </w:t>
      </w:r>
      <w:r>
        <w:rPr>
          <w:sz w:val="16"/>
        </w:rPr>
        <w:t>género</w:t>
      </w:r>
      <w:r>
        <w:rPr>
          <w:spacing w:val="-3"/>
          <w:sz w:val="16"/>
        </w:rPr>
        <w:t> </w:t>
      </w:r>
      <w:r>
        <w:rPr>
          <w:sz w:val="16"/>
        </w:rPr>
        <w:t>y</w:t>
      </w:r>
      <w:r>
        <w:rPr>
          <w:spacing w:val="-2"/>
          <w:sz w:val="16"/>
        </w:rPr>
        <w:t> </w:t>
      </w:r>
      <w:r>
        <w:rPr>
          <w:sz w:val="16"/>
        </w:rPr>
        <w:t>empoderar a todas las mujeres y las niñas; Objetivo 13. Adoptar medidas urgentes para combatir el cambio climático y sus efectos; Objetivo 15. Proteger, restablecer y promover el uso sostenible de los ecosistemas terrestres, gestionar sosteniblemente los bosques, luchar contra la desertificación, detener e invertir la degradación de las tierras y detener la pérdida de biodiversidad. Véase: ONU, Consejo Económico y Social, Foro Permanente para las Cuestiones Indigenas, </w:t>
      </w:r>
      <w:r>
        <w:rPr>
          <w:i/>
          <w:sz w:val="16"/>
        </w:rPr>
        <w:t>Informe de la Reunión de Expertos sobre los Pueblos Indigenas y la Agenda </w:t>
      </w:r>
      <w:r>
        <w:rPr>
          <w:i/>
          <w:sz w:val="16"/>
        </w:rPr>
        <w:t>2030, </w:t>
      </w:r>
      <w:r>
        <w:rPr>
          <w:sz w:val="16"/>
        </w:rPr>
        <w:t>E/C.19/2016/2, 18 de febrero de 2016, párr.</w:t>
      </w:r>
      <w:r>
        <w:rPr>
          <w:spacing w:val="-20"/>
          <w:sz w:val="16"/>
        </w:rPr>
        <w:t> </w:t>
      </w:r>
      <w:r>
        <w:rPr>
          <w:sz w:val="16"/>
        </w:rPr>
        <w:t>16.</w:t>
      </w:r>
    </w:p>
    <w:p>
      <w:pPr>
        <w:tabs>
          <w:tab w:pos="826" w:val="left" w:leader="none"/>
        </w:tabs>
        <w:spacing w:before="120"/>
        <w:ind w:left="118" w:right="360" w:firstLine="0"/>
        <w:jc w:val="both"/>
        <w:rPr>
          <w:sz w:val="16"/>
        </w:rPr>
      </w:pPr>
      <w:r>
        <w:rPr>
          <w:position w:val="6"/>
          <w:sz w:val="10"/>
        </w:rPr>
        <w:t>79</w:t>
        <w:tab/>
      </w:r>
      <w:r>
        <w:rPr>
          <w:i/>
          <w:sz w:val="16"/>
        </w:rPr>
        <w:t>Aplicación</w:t>
      </w:r>
      <w:r>
        <w:rPr>
          <w:i/>
          <w:spacing w:val="20"/>
          <w:sz w:val="16"/>
        </w:rPr>
        <w:t> </w:t>
      </w:r>
      <w:r>
        <w:rPr>
          <w:i/>
          <w:sz w:val="16"/>
        </w:rPr>
        <w:t>del</w:t>
      </w:r>
      <w:r>
        <w:rPr>
          <w:i/>
          <w:spacing w:val="21"/>
          <w:sz w:val="16"/>
        </w:rPr>
        <w:t> </w:t>
      </w:r>
      <w:r>
        <w:rPr>
          <w:i/>
          <w:sz w:val="16"/>
        </w:rPr>
        <w:t>Convenio</w:t>
      </w:r>
      <w:r>
        <w:rPr>
          <w:i/>
          <w:spacing w:val="21"/>
          <w:sz w:val="16"/>
        </w:rPr>
        <w:t> </w:t>
      </w:r>
      <w:r>
        <w:rPr>
          <w:i/>
          <w:sz w:val="16"/>
        </w:rPr>
        <w:t>sobre</w:t>
      </w:r>
      <w:r>
        <w:rPr>
          <w:i/>
          <w:spacing w:val="21"/>
          <w:sz w:val="16"/>
        </w:rPr>
        <w:t> </w:t>
      </w:r>
      <w:r>
        <w:rPr>
          <w:i/>
          <w:sz w:val="16"/>
        </w:rPr>
        <w:t>pueblos</w:t>
      </w:r>
      <w:r>
        <w:rPr>
          <w:i/>
          <w:spacing w:val="20"/>
          <w:sz w:val="16"/>
        </w:rPr>
        <w:t> </w:t>
      </w:r>
      <w:r>
        <w:rPr>
          <w:i/>
          <w:sz w:val="16"/>
        </w:rPr>
        <w:t>indígenas</w:t>
      </w:r>
      <w:r>
        <w:rPr>
          <w:i/>
          <w:spacing w:val="20"/>
          <w:sz w:val="16"/>
        </w:rPr>
        <w:t> </w:t>
      </w:r>
      <w:r>
        <w:rPr>
          <w:i/>
          <w:sz w:val="16"/>
        </w:rPr>
        <w:t>y</w:t>
      </w:r>
      <w:r>
        <w:rPr>
          <w:i/>
          <w:spacing w:val="21"/>
          <w:sz w:val="16"/>
        </w:rPr>
        <w:t> </w:t>
      </w:r>
      <w:r>
        <w:rPr>
          <w:i/>
          <w:sz w:val="16"/>
        </w:rPr>
        <w:t>tribales</w:t>
      </w:r>
      <w:r>
        <w:rPr>
          <w:i/>
          <w:spacing w:val="20"/>
          <w:sz w:val="16"/>
        </w:rPr>
        <w:t> </w:t>
      </w:r>
      <w:r>
        <w:rPr>
          <w:i/>
          <w:sz w:val="16"/>
        </w:rPr>
        <w:t>núm.</w:t>
      </w:r>
      <w:r>
        <w:rPr>
          <w:i/>
          <w:spacing w:val="20"/>
          <w:sz w:val="16"/>
        </w:rPr>
        <w:t> </w:t>
      </w:r>
      <w:r>
        <w:rPr>
          <w:i/>
          <w:sz w:val="16"/>
        </w:rPr>
        <w:t>169</w:t>
      </w:r>
      <w:r>
        <w:rPr>
          <w:i/>
          <w:spacing w:val="20"/>
          <w:sz w:val="16"/>
        </w:rPr>
        <w:t> </w:t>
      </w:r>
      <w:r>
        <w:rPr>
          <w:i/>
          <w:sz w:val="16"/>
        </w:rPr>
        <w:t>de</w:t>
      </w:r>
      <w:r>
        <w:rPr>
          <w:i/>
          <w:spacing w:val="20"/>
          <w:sz w:val="16"/>
        </w:rPr>
        <w:t> </w:t>
      </w:r>
      <w:r>
        <w:rPr>
          <w:i/>
          <w:sz w:val="16"/>
        </w:rPr>
        <w:t>la</w:t>
      </w:r>
      <w:r>
        <w:rPr>
          <w:i/>
          <w:spacing w:val="20"/>
          <w:sz w:val="16"/>
        </w:rPr>
        <w:t> </w:t>
      </w:r>
      <w:r>
        <w:rPr>
          <w:i/>
          <w:sz w:val="16"/>
        </w:rPr>
        <w:t>OIT:</w:t>
      </w:r>
      <w:r>
        <w:rPr>
          <w:i/>
          <w:spacing w:val="20"/>
          <w:sz w:val="16"/>
        </w:rPr>
        <w:t> </w:t>
      </w:r>
      <w:r>
        <w:rPr>
          <w:i/>
          <w:sz w:val="16"/>
        </w:rPr>
        <w:t>Hacia</w:t>
      </w:r>
      <w:r>
        <w:rPr>
          <w:i/>
          <w:spacing w:val="20"/>
          <w:sz w:val="16"/>
        </w:rPr>
        <w:t> </w:t>
      </w:r>
      <w:r>
        <w:rPr>
          <w:i/>
          <w:sz w:val="16"/>
        </w:rPr>
        <w:t>un</w:t>
      </w:r>
      <w:r>
        <w:rPr>
          <w:i/>
          <w:spacing w:val="20"/>
          <w:sz w:val="16"/>
        </w:rPr>
        <w:t> </w:t>
      </w:r>
      <w:r>
        <w:rPr>
          <w:i/>
          <w:sz w:val="16"/>
        </w:rPr>
        <w:t>futuro</w:t>
      </w:r>
      <w:r>
        <w:rPr>
          <w:i/>
          <w:w w:val="99"/>
          <w:sz w:val="16"/>
        </w:rPr>
        <w:t> </w:t>
      </w:r>
      <w:r>
        <w:rPr>
          <w:i/>
          <w:sz w:val="16"/>
        </w:rPr>
        <w:t>inclusivo, sostenible y justo, </w:t>
      </w:r>
      <w:r>
        <w:rPr>
          <w:sz w:val="16"/>
        </w:rPr>
        <w:t>Ginebra, 2019, p. 20. En dicho estudio se advierte la desigualdad e inequidad sociales que afrontan estos pueblos, a la luz de los desafíos sociales y ambientales actuales. La ONU ha señalado haciendo referencia a este estudio, que “América Latina es la región del mundo con la mayor proporción</w:t>
      </w:r>
      <w:r>
        <w:rPr>
          <w:spacing w:val="-6"/>
          <w:sz w:val="16"/>
        </w:rPr>
        <w:t> </w:t>
      </w:r>
      <w:r>
        <w:rPr>
          <w:sz w:val="16"/>
        </w:rPr>
        <w:t>de</w:t>
      </w:r>
      <w:r>
        <w:rPr>
          <w:spacing w:val="-4"/>
          <w:sz w:val="16"/>
        </w:rPr>
        <w:t> </w:t>
      </w:r>
      <w:r>
        <w:rPr>
          <w:sz w:val="16"/>
        </w:rPr>
        <w:t>indígenas</w:t>
      </w:r>
      <w:r>
        <w:rPr>
          <w:spacing w:val="-4"/>
          <w:sz w:val="16"/>
        </w:rPr>
        <w:t> </w:t>
      </w:r>
      <w:r>
        <w:rPr>
          <w:sz w:val="16"/>
        </w:rPr>
        <w:t>en</w:t>
      </w:r>
      <w:r>
        <w:rPr>
          <w:spacing w:val="-4"/>
          <w:sz w:val="16"/>
        </w:rPr>
        <w:t> </w:t>
      </w:r>
      <w:r>
        <w:rPr>
          <w:sz w:val="16"/>
        </w:rPr>
        <w:t>la</w:t>
      </w:r>
      <w:r>
        <w:rPr>
          <w:spacing w:val="-3"/>
          <w:sz w:val="16"/>
        </w:rPr>
        <w:t> </w:t>
      </w:r>
      <w:r>
        <w:rPr>
          <w:sz w:val="16"/>
        </w:rPr>
        <w:t>pobreza</w:t>
      </w:r>
      <w:r>
        <w:rPr>
          <w:spacing w:val="-4"/>
          <w:sz w:val="16"/>
        </w:rPr>
        <w:t> </w:t>
      </w:r>
      <w:r>
        <w:rPr>
          <w:sz w:val="16"/>
        </w:rPr>
        <w:t>extrema”,</w:t>
      </w:r>
      <w:r>
        <w:rPr>
          <w:spacing w:val="-4"/>
          <w:sz w:val="16"/>
        </w:rPr>
        <w:t> </w:t>
      </w:r>
      <w:r>
        <w:rPr>
          <w:sz w:val="16"/>
        </w:rPr>
        <w:t>en</w:t>
      </w:r>
      <w:r>
        <w:rPr>
          <w:spacing w:val="-4"/>
          <w:sz w:val="16"/>
        </w:rPr>
        <w:t> </w:t>
      </w:r>
      <w:r>
        <w:rPr>
          <w:sz w:val="16"/>
        </w:rPr>
        <w:t>el</w:t>
      </w:r>
      <w:r>
        <w:rPr>
          <w:spacing w:val="-5"/>
          <w:sz w:val="16"/>
        </w:rPr>
        <w:t> </w:t>
      </w:r>
      <w:r>
        <w:rPr>
          <w:sz w:val="16"/>
        </w:rPr>
        <w:t>que</w:t>
      </w:r>
      <w:r>
        <w:rPr>
          <w:spacing w:val="-4"/>
          <w:sz w:val="16"/>
        </w:rPr>
        <w:t> </w:t>
      </w:r>
      <w:r>
        <w:rPr>
          <w:sz w:val="16"/>
        </w:rPr>
        <w:t>los</w:t>
      </w:r>
      <w:r>
        <w:rPr>
          <w:spacing w:val="-4"/>
          <w:sz w:val="16"/>
        </w:rPr>
        <w:t> </w:t>
      </w:r>
      <w:r>
        <w:rPr>
          <w:sz w:val="16"/>
        </w:rPr>
        <w:t>“grupos</w:t>
      </w:r>
      <w:r>
        <w:rPr>
          <w:spacing w:val="-4"/>
          <w:sz w:val="16"/>
        </w:rPr>
        <w:t> </w:t>
      </w:r>
      <w:r>
        <w:rPr>
          <w:sz w:val="16"/>
        </w:rPr>
        <w:t>indígenas</w:t>
      </w:r>
      <w:r>
        <w:rPr>
          <w:spacing w:val="-5"/>
          <w:sz w:val="16"/>
        </w:rPr>
        <w:t> </w:t>
      </w:r>
      <w:r>
        <w:rPr>
          <w:sz w:val="16"/>
        </w:rPr>
        <w:t>y</w:t>
      </w:r>
      <w:r>
        <w:rPr>
          <w:spacing w:val="-3"/>
          <w:sz w:val="16"/>
        </w:rPr>
        <w:t> </w:t>
      </w:r>
      <w:r>
        <w:rPr>
          <w:sz w:val="16"/>
        </w:rPr>
        <w:t>tribales</w:t>
      </w:r>
      <w:r>
        <w:rPr>
          <w:spacing w:val="-4"/>
          <w:sz w:val="16"/>
        </w:rPr>
        <w:t> </w:t>
      </w:r>
      <w:r>
        <w:rPr>
          <w:sz w:val="16"/>
        </w:rPr>
        <w:t>del</w:t>
      </w:r>
      <w:r>
        <w:rPr>
          <w:spacing w:val="-4"/>
          <w:sz w:val="16"/>
        </w:rPr>
        <w:t> </w:t>
      </w:r>
      <w:r>
        <w:rPr>
          <w:sz w:val="16"/>
        </w:rPr>
        <w:t>mundo</w:t>
      </w:r>
      <w:r>
        <w:rPr>
          <w:spacing w:val="-2"/>
          <w:sz w:val="16"/>
        </w:rPr>
        <w:t> </w:t>
      </w:r>
      <w:r>
        <w:rPr>
          <w:sz w:val="16"/>
        </w:rPr>
        <w:t>tienen tres veces más probabilidades de padecer pobreza extrema que otras comunidades y las mujeres se encuentran</w:t>
      </w:r>
      <w:r>
        <w:rPr>
          <w:spacing w:val="-13"/>
          <w:sz w:val="16"/>
        </w:rPr>
        <w:t> </w:t>
      </w:r>
      <w:r>
        <w:rPr>
          <w:sz w:val="16"/>
        </w:rPr>
        <w:t>al</w:t>
      </w:r>
      <w:r>
        <w:rPr>
          <w:spacing w:val="-14"/>
          <w:sz w:val="16"/>
        </w:rPr>
        <w:t> </w:t>
      </w:r>
      <w:r>
        <w:rPr>
          <w:sz w:val="16"/>
        </w:rPr>
        <w:t>fondo</w:t>
      </w:r>
      <w:r>
        <w:rPr>
          <w:spacing w:val="-13"/>
          <w:sz w:val="16"/>
        </w:rPr>
        <w:t> </w:t>
      </w:r>
      <w:r>
        <w:rPr>
          <w:sz w:val="16"/>
        </w:rPr>
        <w:t>de</w:t>
      </w:r>
      <w:r>
        <w:rPr>
          <w:spacing w:val="-13"/>
          <w:sz w:val="16"/>
        </w:rPr>
        <w:t> </w:t>
      </w:r>
      <w:r>
        <w:rPr>
          <w:sz w:val="16"/>
        </w:rPr>
        <w:t>todos</w:t>
      </w:r>
      <w:r>
        <w:rPr>
          <w:spacing w:val="-13"/>
          <w:sz w:val="16"/>
        </w:rPr>
        <w:t> </w:t>
      </w:r>
      <w:r>
        <w:rPr>
          <w:sz w:val="16"/>
        </w:rPr>
        <w:t>los</w:t>
      </w:r>
      <w:r>
        <w:rPr>
          <w:spacing w:val="-13"/>
          <w:sz w:val="16"/>
        </w:rPr>
        <w:t> </w:t>
      </w:r>
      <w:r>
        <w:rPr>
          <w:sz w:val="16"/>
        </w:rPr>
        <w:t>indicadores</w:t>
      </w:r>
      <w:r>
        <w:rPr>
          <w:spacing w:val="-12"/>
          <w:sz w:val="16"/>
        </w:rPr>
        <w:t> </w:t>
      </w:r>
      <w:r>
        <w:rPr>
          <w:sz w:val="16"/>
        </w:rPr>
        <w:t>sociales</w:t>
      </w:r>
      <w:r>
        <w:rPr>
          <w:spacing w:val="-14"/>
          <w:sz w:val="16"/>
        </w:rPr>
        <w:t> </w:t>
      </w:r>
      <w:r>
        <w:rPr>
          <w:sz w:val="16"/>
        </w:rPr>
        <w:t>y</w:t>
      </w:r>
      <w:r>
        <w:rPr>
          <w:spacing w:val="-13"/>
          <w:sz w:val="16"/>
        </w:rPr>
        <w:t> </w:t>
      </w:r>
      <w:r>
        <w:rPr>
          <w:sz w:val="16"/>
        </w:rPr>
        <w:t>económicos.</w:t>
      </w:r>
      <w:r>
        <w:rPr>
          <w:spacing w:val="-14"/>
          <w:sz w:val="16"/>
        </w:rPr>
        <w:t> </w:t>
      </w:r>
      <w:r>
        <w:rPr>
          <w:sz w:val="16"/>
        </w:rPr>
        <w:t>Un</w:t>
      </w:r>
      <w:r>
        <w:rPr>
          <w:spacing w:val="-13"/>
          <w:sz w:val="16"/>
        </w:rPr>
        <w:t> </w:t>
      </w:r>
      <w:r>
        <w:rPr>
          <w:sz w:val="16"/>
        </w:rPr>
        <w:t>análisis</w:t>
      </w:r>
      <w:r>
        <w:rPr>
          <w:spacing w:val="-13"/>
          <w:sz w:val="16"/>
        </w:rPr>
        <w:t> </w:t>
      </w:r>
      <w:r>
        <w:rPr>
          <w:sz w:val="16"/>
        </w:rPr>
        <w:t>por</w:t>
      </w:r>
      <w:r>
        <w:rPr>
          <w:spacing w:val="-13"/>
          <w:sz w:val="16"/>
        </w:rPr>
        <w:t> </w:t>
      </w:r>
      <w:r>
        <w:rPr>
          <w:sz w:val="16"/>
        </w:rPr>
        <w:t>regiones</w:t>
      </w:r>
      <w:r>
        <w:rPr>
          <w:spacing w:val="-14"/>
          <w:sz w:val="16"/>
        </w:rPr>
        <w:t> </w:t>
      </w:r>
      <w:r>
        <w:rPr>
          <w:sz w:val="16"/>
        </w:rPr>
        <w:t>señala</w:t>
      </w:r>
      <w:r>
        <w:rPr>
          <w:spacing w:val="-13"/>
          <w:sz w:val="16"/>
        </w:rPr>
        <w:t> </w:t>
      </w:r>
      <w:r>
        <w:rPr>
          <w:sz w:val="16"/>
        </w:rPr>
        <w:t>a</w:t>
      </w:r>
      <w:r>
        <w:rPr>
          <w:spacing w:val="-13"/>
          <w:sz w:val="16"/>
        </w:rPr>
        <w:t> </w:t>
      </w:r>
      <w:r>
        <w:rPr>
          <w:sz w:val="16"/>
        </w:rPr>
        <w:t>América Latina</w:t>
      </w:r>
      <w:r>
        <w:rPr>
          <w:spacing w:val="-5"/>
          <w:sz w:val="16"/>
        </w:rPr>
        <w:t> </w:t>
      </w:r>
      <w:r>
        <w:rPr>
          <w:sz w:val="16"/>
        </w:rPr>
        <w:t>como</w:t>
      </w:r>
      <w:r>
        <w:rPr>
          <w:spacing w:val="-4"/>
          <w:sz w:val="16"/>
        </w:rPr>
        <w:t> </w:t>
      </w:r>
      <w:r>
        <w:rPr>
          <w:sz w:val="16"/>
        </w:rPr>
        <w:t>el</w:t>
      </w:r>
      <w:r>
        <w:rPr>
          <w:spacing w:val="-4"/>
          <w:sz w:val="16"/>
        </w:rPr>
        <w:t> </w:t>
      </w:r>
      <w:r>
        <w:rPr>
          <w:sz w:val="16"/>
        </w:rPr>
        <w:t>área</w:t>
      </w:r>
      <w:r>
        <w:rPr>
          <w:spacing w:val="-5"/>
          <w:sz w:val="16"/>
        </w:rPr>
        <w:t> </w:t>
      </w:r>
      <w:r>
        <w:rPr>
          <w:sz w:val="16"/>
        </w:rPr>
        <w:t>donde</w:t>
      </w:r>
      <w:r>
        <w:rPr>
          <w:spacing w:val="-5"/>
          <w:sz w:val="16"/>
        </w:rPr>
        <w:t> </w:t>
      </w:r>
      <w:r>
        <w:rPr>
          <w:sz w:val="16"/>
        </w:rPr>
        <w:t>esos</w:t>
      </w:r>
      <w:r>
        <w:rPr>
          <w:spacing w:val="-5"/>
          <w:sz w:val="16"/>
        </w:rPr>
        <w:t> </w:t>
      </w:r>
      <w:r>
        <w:rPr>
          <w:sz w:val="16"/>
        </w:rPr>
        <w:t>pueblos</w:t>
      </w:r>
      <w:r>
        <w:rPr>
          <w:spacing w:val="-5"/>
          <w:sz w:val="16"/>
        </w:rPr>
        <w:t> </w:t>
      </w:r>
      <w:r>
        <w:rPr>
          <w:sz w:val="16"/>
        </w:rPr>
        <w:t>sufren</w:t>
      </w:r>
      <w:r>
        <w:rPr>
          <w:spacing w:val="-5"/>
          <w:sz w:val="16"/>
        </w:rPr>
        <w:t> </w:t>
      </w:r>
      <w:r>
        <w:rPr>
          <w:sz w:val="16"/>
        </w:rPr>
        <w:t>más</w:t>
      </w:r>
      <w:r>
        <w:rPr>
          <w:spacing w:val="-5"/>
          <w:sz w:val="16"/>
        </w:rPr>
        <w:t> </w:t>
      </w:r>
      <w:r>
        <w:rPr>
          <w:sz w:val="16"/>
        </w:rPr>
        <w:t>el</w:t>
      </w:r>
      <w:r>
        <w:rPr>
          <w:spacing w:val="-5"/>
          <w:sz w:val="16"/>
        </w:rPr>
        <w:t> </w:t>
      </w:r>
      <w:r>
        <w:rPr>
          <w:sz w:val="16"/>
        </w:rPr>
        <w:t>flagelo</w:t>
      </w:r>
      <w:r>
        <w:rPr>
          <w:spacing w:val="-5"/>
          <w:sz w:val="16"/>
        </w:rPr>
        <w:t> </w:t>
      </w:r>
      <w:r>
        <w:rPr>
          <w:sz w:val="16"/>
        </w:rPr>
        <w:t>en</w:t>
      </w:r>
      <w:r>
        <w:rPr>
          <w:spacing w:val="-5"/>
          <w:sz w:val="16"/>
        </w:rPr>
        <w:t> </w:t>
      </w:r>
      <w:r>
        <w:rPr>
          <w:sz w:val="16"/>
        </w:rPr>
        <w:t>relación</w:t>
      </w:r>
      <w:r>
        <w:rPr>
          <w:spacing w:val="-5"/>
          <w:sz w:val="16"/>
        </w:rPr>
        <w:t> </w:t>
      </w:r>
      <w:r>
        <w:rPr>
          <w:sz w:val="16"/>
        </w:rPr>
        <w:t>con</w:t>
      </w:r>
      <w:r>
        <w:rPr>
          <w:spacing w:val="-5"/>
          <w:sz w:val="16"/>
        </w:rPr>
        <w:t> </w:t>
      </w:r>
      <w:r>
        <w:rPr>
          <w:sz w:val="16"/>
        </w:rPr>
        <w:t>el</w:t>
      </w:r>
      <w:r>
        <w:rPr>
          <w:spacing w:val="-5"/>
          <w:sz w:val="16"/>
        </w:rPr>
        <w:t> </w:t>
      </w:r>
      <w:r>
        <w:rPr>
          <w:sz w:val="16"/>
        </w:rPr>
        <w:t>total</w:t>
      </w:r>
      <w:r>
        <w:rPr>
          <w:spacing w:val="-5"/>
          <w:sz w:val="16"/>
        </w:rPr>
        <w:t> </w:t>
      </w:r>
      <w:r>
        <w:rPr>
          <w:sz w:val="16"/>
        </w:rPr>
        <w:t>de</w:t>
      </w:r>
      <w:r>
        <w:rPr>
          <w:spacing w:val="-5"/>
          <w:sz w:val="16"/>
        </w:rPr>
        <w:t> </w:t>
      </w:r>
      <w:r>
        <w:rPr>
          <w:sz w:val="16"/>
        </w:rPr>
        <w:t>la</w:t>
      </w:r>
      <w:r>
        <w:rPr>
          <w:spacing w:val="-5"/>
          <w:sz w:val="16"/>
        </w:rPr>
        <w:t> </w:t>
      </w:r>
      <w:r>
        <w:rPr>
          <w:sz w:val="16"/>
        </w:rPr>
        <w:t>población”.</w:t>
      </w:r>
      <w:r>
        <w:rPr>
          <w:spacing w:val="-1"/>
          <w:sz w:val="16"/>
        </w:rPr>
        <w:t> </w:t>
      </w:r>
      <w:r>
        <w:rPr>
          <w:sz w:val="16"/>
        </w:rPr>
        <w:t>Véase ONU, 3 de febrero de 2020:</w:t>
      </w:r>
      <w:r>
        <w:rPr>
          <w:spacing w:val="-17"/>
          <w:sz w:val="16"/>
        </w:rPr>
        <w:t> </w:t>
      </w:r>
      <w:r>
        <w:rPr>
          <w:sz w:val="16"/>
        </w:rPr>
        <w:t>https://news.un.org/es/story/2020/02/1468982.</w:t>
      </w:r>
    </w:p>
    <w:p>
      <w:pPr>
        <w:tabs>
          <w:tab w:pos="826" w:val="left" w:leader="none"/>
        </w:tabs>
        <w:spacing w:before="120"/>
        <w:ind w:left="118" w:right="359" w:firstLine="0"/>
        <w:jc w:val="both"/>
        <w:rPr>
          <w:sz w:val="16"/>
        </w:rPr>
      </w:pPr>
      <w:r>
        <w:rPr>
          <w:position w:val="6"/>
          <w:sz w:val="10"/>
        </w:rPr>
        <w:t>80</w:t>
        <w:tab/>
      </w:r>
      <w:r>
        <w:rPr>
          <w:sz w:val="16"/>
        </w:rPr>
        <w:t>Como se reconoce en el </w:t>
      </w:r>
      <w:r>
        <w:rPr>
          <w:i/>
          <w:sz w:val="16"/>
        </w:rPr>
        <w:t>Preámbulo </w:t>
      </w:r>
      <w:r>
        <w:rPr>
          <w:sz w:val="16"/>
        </w:rPr>
        <w:t>de la </w:t>
      </w:r>
      <w:r>
        <w:rPr>
          <w:i/>
          <w:sz w:val="16"/>
        </w:rPr>
        <w:t>Declaración Americana sobre los Derechos de</w:t>
      </w:r>
      <w:r>
        <w:rPr>
          <w:i/>
          <w:spacing w:val="42"/>
          <w:sz w:val="16"/>
        </w:rPr>
        <w:t> </w:t>
      </w:r>
      <w:r>
        <w:rPr>
          <w:i/>
          <w:sz w:val="16"/>
        </w:rPr>
        <w:t>los</w:t>
      </w:r>
      <w:r>
        <w:rPr>
          <w:i/>
          <w:spacing w:val="2"/>
          <w:sz w:val="16"/>
        </w:rPr>
        <w:t> </w:t>
      </w:r>
      <w:r>
        <w:rPr>
          <w:i/>
          <w:sz w:val="16"/>
        </w:rPr>
        <w:t>Pueblos</w:t>
      </w:r>
      <w:r>
        <w:rPr>
          <w:i/>
          <w:w w:val="99"/>
          <w:sz w:val="16"/>
        </w:rPr>
        <w:t> </w:t>
      </w:r>
      <w:r>
        <w:rPr>
          <w:i/>
          <w:sz w:val="16"/>
        </w:rPr>
        <w:t>Indígenas</w:t>
      </w:r>
      <w:r>
        <w:rPr>
          <w:sz w:val="16"/>
        </w:rPr>
        <w:t>, motivo de negociaciones por casi dos décadas, los Estados del continente expresan su preocupación “por el hecho de que los pueblos indígenas han sufrido </w:t>
      </w:r>
      <w:r>
        <w:rPr>
          <w:i/>
          <w:sz w:val="16"/>
        </w:rPr>
        <w:t>injusticias históricas </w:t>
      </w:r>
      <w:r>
        <w:rPr>
          <w:sz w:val="16"/>
        </w:rPr>
        <w:t>como resultado, entre</w:t>
      </w:r>
      <w:r>
        <w:rPr>
          <w:spacing w:val="-6"/>
          <w:sz w:val="16"/>
        </w:rPr>
        <w:t> </w:t>
      </w:r>
      <w:r>
        <w:rPr>
          <w:sz w:val="16"/>
        </w:rPr>
        <w:t>otras</w:t>
      </w:r>
      <w:r>
        <w:rPr>
          <w:spacing w:val="-5"/>
          <w:sz w:val="16"/>
        </w:rPr>
        <w:t> </w:t>
      </w:r>
      <w:r>
        <w:rPr>
          <w:sz w:val="16"/>
        </w:rPr>
        <w:t>cosas,</w:t>
      </w:r>
      <w:r>
        <w:rPr>
          <w:spacing w:val="-7"/>
          <w:sz w:val="16"/>
        </w:rPr>
        <w:t> </w:t>
      </w:r>
      <w:r>
        <w:rPr>
          <w:sz w:val="16"/>
        </w:rPr>
        <w:t>de</w:t>
      </w:r>
      <w:r>
        <w:rPr>
          <w:spacing w:val="-5"/>
          <w:sz w:val="16"/>
        </w:rPr>
        <w:t> </w:t>
      </w:r>
      <w:r>
        <w:rPr>
          <w:sz w:val="16"/>
        </w:rPr>
        <w:t>la</w:t>
      </w:r>
      <w:r>
        <w:rPr>
          <w:spacing w:val="-6"/>
          <w:sz w:val="16"/>
        </w:rPr>
        <w:t> </w:t>
      </w:r>
      <w:r>
        <w:rPr>
          <w:sz w:val="16"/>
        </w:rPr>
        <w:t>colonización</w:t>
      </w:r>
      <w:r>
        <w:rPr>
          <w:spacing w:val="-6"/>
          <w:sz w:val="16"/>
        </w:rPr>
        <w:t> </w:t>
      </w:r>
      <w:r>
        <w:rPr>
          <w:sz w:val="16"/>
        </w:rPr>
        <w:t>y</w:t>
      </w:r>
      <w:r>
        <w:rPr>
          <w:spacing w:val="-6"/>
          <w:sz w:val="16"/>
        </w:rPr>
        <w:t> </w:t>
      </w:r>
      <w:r>
        <w:rPr>
          <w:sz w:val="16"/>
        </w:rPr>
        <w:t>de</w:t>
      </w:r>
      <w:r>
        <w:rPr>
          <w:spacing w:val="-5"/>
          <w:sz w:val="16"/>
        </w:rPr>
        <w:t> </w:t>
      </w:r>
      <w:r>
        <w:rPr>
          <w:sz w:val="16"/>
        </w:rPr>
        <w:t>haber</w:t>
      </w:r>
      <w:r>
        <w:rPr>
          <w:spacing w:val="-6"/>
          <w:sz w:val="16"/>
        </w:rPr>
        <w:t> </w:t>
      </w:r>
      <w:r>
        <w:rPr>
          <w:sz w:val="16"/>
        </w:rPr>
        <w:t>sido</w:t>
      </w:r>
      <w:r>
        <w:rPr>
          <w:spacing w:val="-6"/>
          <w:sz w:val="16"/>
        </w:rPr>
        <w:t> </w:t>
      </w:r>
      <w:r>
        <w:rPr>
          <w:sz w:val="16"/>
        </w:rPr>
        <w:t>desposeídos</w:t>
      </w:r>
      <w:r>
        <w:rPr>
          <w:spacing w:val="-6"/>
          <w:sz w:val="16"/>
        </w:rPr>
        <w:t> </w:t>
      </w:r>
      <w:r>
        <w:rPr>
          <w:i/>
          <w:sz w:val="16"/>
        </w:rPr>
        <w:t>de</w:t>
      </w:r>
      <w:r>
        <w:rPr>
          <w:i/>
          <w:spacing w:val="-5"/>
          <w:sz w:val="16"/>
        </w:rPr>
        <w:t> </w:t>
      </w:r>
      <w:r>
        <w:rPr>
          <w:i/>
          <w:sz w:val="16"/>
        </w:rPr>
        <w:t>sus</w:t>
      </w:r>
      <w:r>
        <w:rPr>
          <w:i/>
          <w:spacing w:val="-5"/>
          <w:sz w:val="16"/>
        </w:rPr>
        <w:t> </w:t>
      </w:r>
      <w:r>
        <w:rPr>
          <w:i/>
          <w:sz w:val="16"/>
        </w:rPr>
        <w:t>tierras,</w:t>
      </w:r>
      <w:r>
        <w:rPr>
          <w:i/>
          <w:spacing w:val="-7"/>
          <w:sz w:val="16"/>
        </w:rPr>
        <w:t> </w:t>
      </w:r>
      <w:r>
        <w:rPr>
          <w:i/>
          <w:sz w:val="16"/>
        </w:rPr>
        <w:t>territorios</w:t>
      </w:r>
      <w:r>
        <w:rPr>
          <w:i/>
          <w:spacing w:val="-6"/>
          <w:sz w:val="16"/>
        </w:rPr>
        <w:t> </w:t>
      </w:r>
      <w:r>
        <w:rPr>
          <w:i/>
          <w:sz w:val="16"/>
        </w:rPr>
        <w:t>y</w:t>
      </w:r>
      <w:r>
        <w:rPr>
          <w:i/>
          <w:spacing w:val="-5"/>
          <w:sz w:val="16"/>
        </w:rPr>
        <w:t> </w:t>
      </w:r>
      <w:r>
        <w:rPr>
          <w:i/>
          <w:sz w:val="16"/>
        </w:rPr>
        <w:t>recursos</w:t>
      </w:r>
      <w:r>
        <w:rPr>
          <w:sz w:val="16"/>
        </w:rPr>
        <w:t>,</w:t>
      </w:r>
      <w:r>
        <w:rPr>
          <w:spacing w:val="-5"/>
          <w:sz w:val="16"/>
        </w:rPr>
        <w:t> </w:t>
      </w:r>
      <w:r>
        <w:rPr>
          <w:sz w:val="16"/>
        </w:rPr>
        <w:t>lo</w:t>
      </w:r>
      <w:r>
        <w:rPr>
          <w:spacing w:val="-6"/>
          <w:sz w:val="16"/>
        </w:rPr>
        <w:t> </w:t>
      </w:r>
      <w:r>
        <w:rPr>
          <w:sz w:val="16"/>
        </w:rPr>
        <w:t>que les ha impedido ejercer, en particular, su derecho al desarrollo de conformidad con sus propias necesidades e intereses”; y por ello reconocen la “urgente necesidad de respetar y promover los derechos intrínsecos de los pueblos indígenas, que derivan de sus estructuras políticas, económicas y sociales y de sus culturas, de sus tradiciones espirituales, de su historia y de su filosofía, </w:t>
      </w:r>
      <w:r>
        <w:rPr>
          <w:i/>
          <w:sz w:val="16"/>
        </w:rPr>
        <w:t>especialmente los derechos a sus tierras, </w:t>
      </w:r>
      <w:r>
        <w:rPr>
          <w:i/>
          <w:sz w:val="16"/>
        </w:rPr>
        <w:t>territorios y recursos</w:t>
      </w:r>
      <w:r>
        <w:rPr>
          <w:sz w:val="16"/>
        </w:rPr>
        <w:t>”. </w:t>
      </w:r>
      <w:r>
        <w:rPr>
          <w:i/>
          <w:sz w:val="16"/>
        </w:rPr>
        <w:t>Preámbulo de la Declaración Americana sobre los Derechos de los Pueblos</w:t>
      </w:r>
      <w:r>
        <w:rPr>
          <w:i/>
          <w:spacing w:val="-37"/>
          <w:sz w:val="16"/>
        </w:rPr>
        <w:t> </w:t>
      </w:r>
      <w:r>
        <w:rPr>
          <w:i/>
          <w:sz w:val="16"/>
        </w:rPr>
        <w:t>Indígenas</w:t>
      </w:r>
      <w:r>
        <w:rPr>
          <w:sz w:val="16"/>
        </w:rPr>
        <w:t>, aprobada</w:t>
      </w:r>
      <w:r>
        <w:rPr>
          <w:spacing w:val="-7"/>
          <w:sz w:val="16"/>
        </w:rPr>
        <w:t> </w:t>
      </w:r>
      <w:r>
        <w:rPr>
          <w:sz w:val="16"/>
        </w:rPr>
        <w:t>en</w:t>
      </w:r>
      <w:r>
        <w:rPr>
          <w:spacing w:val="-6"/>
          <w:sz w:val="16"/>
        </w:rPr>
        <w:t> </w:t>
      </w:r>
      <w:r>
        <w:rPr>
          <w:sz w:val="16"/>
        </w:rPr>
        <w:t>la</w:t>
      </w:r>
      <w:r>
        <w:rPr>
          <w:spacing w:val="-6"/>
          <w:sz w:val="16"/>
        </w:rPr>
        <w:t> </w:t>
      </w:r>
      <w:r>
        <w:rPr>
          <w:sz w:val="16"/>
        </w:rPr>
        <w:t>segunda</w:t>
      </w:r>
      <w:r>
        <w:rPr>
          <w:spacing w:val="-6"/>
          <w:sz w:val="16"/>
        </w:rPr>
        <w:t> </w:t>
      </w:r>
      <w:r>
        <w:rPr>
          <w:sz w:val="16"/>
        </w:rPr>
        <w:t>sesión</w:t>
      </w:r>
      <w:r>
        <w:rPr>
          <w:spacing w:val="-7"/>
          <w:sz w:val="16"/>
        </w:rPr>
        <w:t> </w:t>
      </w:r>
      <w:r>
        <w:rPr>
          <w:sz w:val="16"/>
        </w:rPr>
        <w:t>plenaria</w:t>
      </w:r>
      <w:r>
        <w:rPr>
          <w:spacing w:val="-7"/>
          <w:sz w:val="16"/>
        </w:rPr>
        <w:t> </w:t>
      </w:r>
      <w:r>
        <w:rPr>
          <w:sz w:val="16"/>
        </w:rPr>
        <w:t>de</w:t>
      </w:r>
      <w:r>
        <w:rPr>
          <w:spacing w:val="-6"/>
          <w:sz w:val="16"/>
        </w:rPr>
        <w:t> </w:t>
      </w:r>
      <w:r>
        <w:rPr>
          <w:sz w:val="16"/>
        </w:rPr>
        <w:t>la</w:t>
      </w:r>
      <w:r>
        <w:rPr>
          <w:spacing w:val="-7"/>
          <w:sz w:val="16"/>
        </w:rPr>
        <w:t> </w:t>
      </w:r>
      <w:r>
        <w:rPr>
          <w:sz w:val="16"/>
        </w:rPr>
        <w:t>Asamblea</w:t>
      </w:r>
      <w:r>
        <w:rPr>
          <w:spacing w:val="-7"/>
          <w:sz w:val="16"/>
        </w:rPr>
        <w:t> </w:t>
      </w:r>
      <w:r>
        <w:rPr>
          <w:sz w:val="16"/>
        </w:rPr>
        <w:t>General</w:t>
      </w:r>
      <w:r>
        <w:rPr>
          <w:spacing w:val="-6"/>
          <w:sz w:val="16"/>
        </w:rPr>
        <w:t> </w:t>
      </w:r>
      <w:r>
        <w:rPr>
          <w:sz w:val="16"/>
        </w:rPr>
        <w:t>de</w:t>
      </w:r>
      <w:r>
        <w:rPr>
          <w:spacing w:val="-6"/>
          <w:sz w:val="16"/>
        </w:rPr>
        <w:t> </w:t>
      </w:r>
      <w:r>
        <w:rPr>
          <w:sz w:val="16"/>
        </w:rPr>
        <w:t>la</w:t>
      </w:r>
      <w:r>
        <w:rPr>
          <w:spacing w:val="-7"/>
          <w:sz w:val="16"/>
        </w:rPr>
        <w:t> </w:t>
      </w:r>
      <w:r>
        <w:rPr>
          <w:sz w:val="16"/>
        </w:rPr>
        <w:t>OEA,</w:t>
      </w:r>
      <w:r>
        <w:rPr>
          <w:spacing w:val="-8"/>
          <w:sz w:val="16"/>
        </w:rPr>
        <w:t> </w:t>
      </w:r>
      <w:r>
        <w:rPr>
          <w:sz w:val="16"/>
        </w:rPr>
        <w:t>celebrada</w:t>
      </w:r>
      <w:r>
        <w:rPr>
          <w:spacing w:val="-7"/>
          <w:sz w:val="16"/>
        </w:rPr>
        <w:t> </w:t>
      </w:r>
      <w:r>
        <w:rPr>
          <w:sz w:val="16"/>
        </w:rPr>
        <w:t>el</w:t>
      </w:r>
      <w:r>
        <w:rPr>
          <w:spacing w:val="-7"/>
          <w:sz w:val="16"/>
        </w:rPr>
        <w:t> </w:t>
      </w:r>
      <w:r>
        <w:rPr>
          <w:sz w:val="16"/>
        </w:rPr>
        <w:t>14</w:t>
      </w:r>
      <w:r>
        <w:rPr>
          <w:spacing w:val="-7"/>
          <w:sz w:val="16"/>
        </w:rPr>
        <w:t> </w:t>
      </w:r>
      <w:r>
        <w:rPr>
          <w:sz w:val="16"/>
        </w:rPr>
        <w:t>de</w:t>
      </w:r>
      <w:r>
        <w:rPr>
          <w:spacing w:val="-7"/>
          <w:sz w:val="16"/>
        </w:rPr>
        <w:t> </w:t>
      </w:r>
      <w:r>
        <w:rPr>
          <w:sz w:val="16"/>
        </w:rPr>
        <w:t>junio</w:t>
      </w:r>
      <w:r>
        <w:rPr>
          <w:spacing w:val="-7"/>
          <w:sz w:val="16"/>
        </w:rPr>
        <w:t> </w:t>
      </w:r>
      <w:r>
        <w:rPr>
          <w:sz w:val="16"/>
        </w:rPr>
        <w:t>de</w:t>
      </w:r>
      <w:r>
        <w:rPr>
          <w:spacing w:val="-6"/>
          <w:sz w:val="16"/>
        </w:rPr>
        <w:t> </w:t>
      </w:r>
      <w:r>
        <w:rPr>
          <w:sz w:val="16"/>
        </w:rPr>
        <w:t>2016.</w:t>
      </w:r>
    </w:p>
    <w:p>
      <w:pPr>
        <w:spacing w:after="0"/>
        <w:jc w:val="both"/>
        <w:rPr>
          <w:sz w:val="16"/>
        </w:rPr>
        <w:sectPr>
          <w:pgSz w:w="12240" w:h="15840"/>
          <w:pgMar w:header="0" w:footer="782" w:top="1500" w:bottom="980" w:left="1300" w:right="1720"/>
        </w:sectPr>
      </w:pPr>
    </w:p>
    <w:p>
      <w:pPr>
        <w:pStyle w:val="Heading3"/>
        <w:spacing w:before="76"/>
        <w:ind w:left="2369" w:right="2387"/>
      </w:pPr>
      <w:bookmarkStart w:name="vsc_manrique_400_esp" w:id="183"/>
      <w:bookmarkEnd w:id="183"/>
      <w:r>
        <w:rPr>
          <w:b w:val="0"/>
        </w:rPr>
      </w:r>
      <w:r>
        <w:rPr/>
        <w:t>VOTO PARCIALMENTE DISIDENTE DEL JUEZ RICARDO C. PÉREZ MANRIQUE</w:t>
      </w:r>
    </w:p>
    <w:p>
      <w:pPr>
        <w:pStyle w:val="BodyText"/>
        <w:spacing w:before="11"/>
        <w:rPr>
          <w:b/>
          <w:sz w:val="19"/>
        </w:rPr>
      </w:pPr>
    </w:p>
    <w:p>
      <w:pPr>
        <w:spacing w:before="0"/>
        <w:ind w:left="148" w:right="164" w:firstLine="0"/>
        <w:jc w:val="center"/>
        <w:rPr>
          <w:b/>
          <w:sz w:val="20"/>
        </w:rPr>
      </w:pPr>
      <w:r>
        <w:rPr>
          <w:b/>
          <w:sz w:val="20"/>
        </w:rPr>
        <w:t>A LA SENTENCIA DE 6 DE FEBRERO DE 2020</w:t>
      </w:r>
    </w:p>
    <w:p>
      <w:pPr>
        <w:spacing w:before="0"/>
        <w:ind w:left="148" w:right="164" w:firstLine="0"/>
        <w:jc w:val="center"/>
        <w:rPr>
          <w:b/>
          <w:sz w:val="20"/>
        </w:rPr>
      </w:pPr>
      <w:r>
        <w:rPr>
          <w:b/>
          <w:sz w:val="20"/>
        </w:rPr>
        <w:t>DE LA CORTE INTERAMERICANA DE DERECHOS HUMANOS</w:t>
      </w:r>
    </w:p>
    <w:p>
      <w:pPr>
        <w:pStyle w:val="BodyText"/>
        <w:rPr>
          <w:b/>
        </w:rPr>
      </w:pPr>
    </w:p>
    <w:p>
      <w:pPr>
        <w:spacing w:before="0"/>
        <w:ind w:left="149" w:right="164" w:firstLine="0"/>
        <w:jc w:val="center"/>
        <w:rPr>
          <w:b/>
          <w:sz w:val="20"/>
        </w:rPr>
      </w:pPr>
      <w:r>
        <w:rPr>
          <w:b/>
          <w:sz w:val="20"/>
        </w:rPr>
        <w:t>EN EL CASO </w:t>
      </w:r>
      <w:r>
        <w:rPr>
          <w:b/>
          <w:color w:val="1A1A1A"/>
          <w:sz w:val="20"/>
        </w:rPr>
        <w:t>COMUNIDADES INDÍGENAS MIEMBROS DE LA ASOCIACIÓN LHAKA HONHAT (NUESTRA TIERRA) VS. ARGENTINA</w:t>
      </w:r>
    </w:p>
    <w:p>
      <w:pPr>
        <w:pStyle w:val="BodyText"/>
        <w:rPr>
          <w:b/>
        </w:rPr>
      </w:pPr>
    </w:p>
    <w:p>
      <w:pPr>
        <w:pStyle w:val="Heading4"/>
        <w:numPr>
          <w:ilvl w:val="0"/>
          <w:numId w:val="78"/>
        </w:numPr>
        <w:tabs>
          <w:tab w:pos="1060" w:val="left" w:leader="none"/>
        </w:tabs>
        <w:spacing w:line="240" w:lineRule="auto" w:before="1" w:after="0"/>
        <w:ind w:left="1059" w:right="0" w:hanging="249"/>
        <w:jc w:val="left"/>
        <w:rPr>
          <w:i/>
        </w:rPr>
      </w:pPr>
      <w:r>
        <w:rPr>
          <w:i/>
        </w:rPr>
        <w:t>Introducción</w:t>
      </w:r>
    </w:p>
    <w:p>
      <w:pPr>
        <w:pStyle w:val="BodyText"/>
        <w:rPr>
          <w:b/>
          <w:i/>
        </w:rPr>
      </w:pPr>
    </w:p>
    <w:p>
      <w:pPr>
        <w:pStyle w:val="ListParagraph"/>
        <w:numPr>
          <w:ilvl w:val="0"/>
          <w:numId w:val="79"/>
        </w:numPr>
        <w:tabs>
          <w:tab w:pos="810" w:val="left" w:leader="none"/>
        </w:tabs>
        <w:spacing w:line="240" w:lineRule="auto" w:before="0" w:after="0"/>
        <w:ind w:left="101" w:right="115" w:firstLine="0"/>
        <w:jc w:val="both"/>
        <w:rPr>
          <w:sz w:val="20"/>
        </w:rPr>
      </w:pPr>
      <w:r>
        <w:rPr>
          <w:sz w:val="20"/>
        </w:rPr>
        <w:t>En mi voto concurrente en los casos de la </w:t>
      </w:r>
      <w:r>
        <w:rPr>
          <w:i/>
          <w:sz w:val="20"/>
        </w:rPr>
        <w:t>Asociación Nacional de Cesantes y </w:t>
      </w:r>
      <w:r>
        <w:rPr>
          <w:i/>
          <w:sz w:val="20"/>
        </w:rPr>
        <w:t>Jubilados de la Superintendencia de Administración Tributaria (ANCEJUB-SUNAT) Vs. Perú </w:t>
      </w:r>
      <w:r>
        <w:rPr>
          <w:sz w:val="20"/>
        </w:rPr>
        <w:t>y de </w:t>
      </w:r>
      <w:r>
        <w:rPr>
          <w:i/>
          <w:sz w:val="20"/>
        </w:rPr>
        <w:t>Hernández Vs. Argentina </w:t>
      </w:r>
      <w:r>
        <w:rPr>
          <w:sz w:val="20"/>
        </w:rPr>
        <w:t>expresé dos primeras reflexiones respecto a la manera en que considero que la Corte Interamericana de Derechos Humanos (en adelante, “la Corte”) debería abordar los casos que involucren violaciones a los derechos económicos, sociales, culturales y ambientales (en adelante, “DESCA”). En mi intervención como juez nacional he demostrado un compromiso de casi treinta años con los DESCA, especialmente relevante en el continente más desigual del planeta. Las ideas planteadas fueron resultado de mis reflexiones que sobre el particular he tenido ya como Juez de la Corte, condición que me ha permitido profundizar acerca del  debate que se ha dado respecto de las diversas formas en que se puede abordar la cuestión de las violaciones a los DESCA. La tesis expuesta en dichos votos es una idea en desarrollo que busca aportar a un mejor entendimiento del tema y a fortalecer los análisis que se realicen en el futuro y que involucren estos derechos. Por esta razón, en el presente me permito reiterar algunas de las ideas manifestadas en los votos de </w:t>
      </w:r>
      <w:r>
        <w:rPr>
          <w:i/>
          <w:sz w:val="20"/>
        </w:rPr>
        <w:t>ANCEJUB </w:t>
      </w:r>
      <w:r>
        <w:rPr>
          <w:sz w:val="20"/>
        </w:rPr>
        <w:t>y </w:t>
      </w:r>
      <w:r>
        <w:rPr>
          <w:i/>
          <w:sz w:val="20"/>
        </w:rPr>
        <w:t>Hernández</w:t>
      </w:r>
      <w:r>
        <w:rPr>
          <w:sz w:val="20"/>
        </w:rPr>
        <w:t>, haciendo las precisiones pertinentes respecto del caso de  </w:t>
      </w:r>
      <w:r>
        <w:rPr>
          <w:i/>
          <w:sz w:val="20"/>
        </w:rPr>
        <w:t>Lhaka</w:t>
      </w:r>
      <w:r>
        <w:rPr>
          <w:i/>
          <w:spacing w:val="-1"/>
          <w:sz w:val="20"/>
        </w:rPr>
        <w:t> </w:t>
      </w:r>
      <w:r>
        <w:rPr>
          <w:i/>
          <w:sz w:val="20"/>
        </w:rPr>
        <w:t>Honat</w:t>
      </w:r>
      <w:r>
        <w:rPr>
          <w:sz w:val="20"/>
        </w:rPr>
        <w:t>.</w:t>
      </w:r>
    </w:p>
    <w:p>
      <w:pPr>
        <w:pStyle w:val="BodyText"/>
        <w:spacing w:before="1"/>
      </w:pPr>
    </w:p>
    <w:p>
      <w:pPr>
        <w:pStyle w:val="Heading4"/>
        <w:numPr>
          <w:ilvl w:val="0"/>
          <w:numId w:val="78"/>
        </w:numPr>
        <w:tabs>
          <w:tab w:pos="1169" w:val="left" w:leader="none"/>
        </w:tabs>
        <w:spacing w:line="240" w:lineRule="auto" w:before="0" w:after="0"/>
        <w:ind w:left="1168" w:right="0" w:hanging="358"/>
        <w:jc w:val="left"/>
        <w:rPr>
          <w:i/>
        </w:rPr>
      </w:pPr>
      <w:r>
        <w:rPr>
          <w:i/>
        </w:rPr>
        <w:t>El debate en la Corte</w:t>
      </w:r>
      <w:r>
        <w:rPr>
          <w:i/>
          <w:spacing w:val="-13"/>
        </w:rPr>
        <w:t> </w:t>
      </w:r>
      <w:r>
        <w:rPr>
          <w:i/>
        </w:rPr>
        <w:t>IDH</w:t>
      </w:r>
    </w:p>
    <w:p>
      <w:pPr>
        <w:pStyle w:val="BodyText"/>
        <w:spacing w:before="11"/>
        <w:rPr>
          <w:b/>
          <w:i/>
          <w:sz w:val="21"/>
        </w:rPr>
      </w:pPr>
    </w:p>
    <w:p>
      <w:pPr>
        <w:pStyle w:val="ListParagraph"/>
        <w:numPr>
          <w:ilvl w:val="0"/>
          <w:numId w:val="79"/>
        </w:numPr>
        <w:tabs>
          <w:tab w:pos="810" w:val="left" w:leader="none"/>
        </w:tabs>
        <w:spacing w:line="252" w:lineRule="auto" w:before="0" w:after="0"/>
        <w:ind w:left="101" w:right="115" w:firstLine="0"/>
        <w:jc w:val="both"/>
        <w:rPr>
          <w:sz w:val="20"/>
        </w:rPr>
      </w:pPr>
      <w:r>
        <w:rPr>
          <w:sz w:val="20"/>
        </w:rPr>
        <w:t>A mi modo de ver en el seno de la Corte ha habido un debate en torno a lo que podríamos llamar dos visiones sobre la justiciabilidad de los DESCA: la primera es que el análisis de violaciones individuales a estos derechos se debe realizar exclusivamente en su relación con los derechos reconocidos por los artículos 3 al 25 de la Convención Americana sobre Derechos Humanos (en adelante, “la Convención” o “la Convención Americana”), o bien sobre la base de lo expresamente permitido por el Protocolo Adicional a la Convención Americana sobre Derechos Humanos en materia de Derechos Económicos, Sociales y Culturales “Protocolo de San Salvador” (en adelante, “Protocolo de San Salvador”). A mi entender, esta visión se vio reflejada en casos como el </w:t>
      </w:r>
      <w:r>
        <w:rPr>
          <w:i/>
          <w:sz w:val="20"/>
        </w:rPr>
        <w:t>Caso </w:t>
      </w:r>
      <w:r>
        <w:rPr>
          <w:i/>
          <w:sz w:val="20"/>
        </w:rPr>
        <w:t>“Instituto de Reeducación del Menor” Vs. Paraguay </w:t>
      </w:r>
      <w:r>
        <w:rPr>
          <w:sz w:val="20"/>
        </w:rPr>
        <w:t>(2004) o el </w:t>
      </w:r>
      <w:r>
        <w:rPr>
          <w:i/>
          <w:sz w:val="20"/>
        </w:rPr>
        <w:t>Caso Comunidad </w:t>
      </w:r>
      <w:r>
        <w:rPr>
          <w:i/>
          <w:sz w:val="20"/>
        </w:rPr>
        <w:t>Indígena Yakye Axa Vs. Paraguay </w:t>
      </w:r>
      <w:r>
        <w:rPr>
          <w:sz w:val="20"/>
        </w:rPr>
        <w:t>(2005), por mencionar dos ejemplos, así como en el </w:t>
      </w:r>
      <w:r>
        <w:rPr>
          <w:i/>
          <w:sz w:val="20"/>
        </w:rPr>
        <w:t>Caso González Lluy Vs. Ecuador</w:t>
      </w:r>
      <w:r>
        <w:rPr>
          <w:i/>
          <w:spacing w:val="-15"/>
          <w:sz w:val="20"/>
        </w:rPr>
        <w:t> </w:t>
      </w:r>
      <w:r>
        <w:rPr>
          <w:sz w:val="20"/>
        </w:rPr>
        <w:t>(2015).</w:t>
      </w:r>
    </w:p>
    <w:p>
      <w:pPr>
        <w:pStyle w:val="BodyText"/>
        <w:spacing w:before="11"/>
      </w:pPr>
    </w:p>
    <w:p>
      <w:pPr>
        <w:pStyle w:val="ListParagraph"/>
        <w:numPr>
          <w:ilvl w:val="0"/>
          <w:numId w:val="79"/>
        </w:numPr>
        <w:tabs>
          <w:tab w:pos="810" w:val="left" w:leader="none"/>
        </w:tabs>
        <w:spacing w:line="252" w:lineRule="auto" w:before="0" w:after="0"/>
        <w:ind w:left="101" w:right="119" w:firstLine="0"/>
        <w:jc w:val="both"/>
        <w:rPr>
          <w:sz w:val="20"/>
        </w:rPr>
      </w:pPr>
      <w:r>
        <w:rPr>
          <w:sz w:val="20"/>
        </w:rPr>
        <w:t>La segunda es que la Corte tiene competencia para conocer violaciones autónomas a los DESCA sobre la base del artículo 26 de la Convención. Estos</w:t>
      </w:r>
      <w:r>
        <w:rPr>
          <w:spacing w:val="35"/>
          <w:sz w:val="20"/>
        </w:rPr>
        <w:t> </w:t>
      </w:r>
      <w:r>
        <w:rPr>
          <w:sz w:val="20"/>
        </w:rPr>
        <w:t>derechos</w:t>
      </w:r>
    </w:p>
    <w:p>
      <w:pPr>
        <w:pStyle w:val="BodyText"/>
        <w:spacing w:line="252" w:lineRule="auto"/>
        <w:ind w:left="101" w:right="117"/>
        <w:jc w:val="both"/>
      </w:pPr>
      <w:r>
        <w:rPr/>
        <w:t>–que en esta visión serían justiciables ante la Corte de forma individual- se derivan implícita o explícitamente de la Carta de la Organización de Estados Americanos (en adelante, “Carta de la OEA”), así como de una pluralidad de instrumentos internacionales y nacionales que reconocen derechos, como son la Declaración Americana de los Derechos y Deberes del Hombre, el Protocolo de San Salvador, la Declaración Universal de los Derechos Humanos, el Pacto de Derechos Económicos</w:t>
      </w:r>
    </w:p>
    <w:p>
      <w:pPr>
        <w:spacing w:after="0" w:line="252" w:lineRule="auto"/>
        <w:jc w:val="both"/>
        <w:sectPr>
          <w:footerReference w:type="default" r:id="rId57"/>
          <w:pgSz w:w="12240" w:h="15840"/>
          <w:pgMar w:footer="0" w:header="0" w:top="1340" w:bottom="280" w:left="1600" w:right="1580"/>
        </w:sectPr>
      </w:pPr>
    </w:p>
    <w:p>
      <w:pPr>
        <w:pStyle w:val="BodyText"/>
        <w:spacing w:line="252" w:lineRule="auto" w:before="77"/>
        <w:ind w:left="101" w:right="117"/>
        <w:jc w:val="both"/>
      </w:pPr>
      <w:r>
        <w:rPr/>
        <w:t>Sociales y Culturales, e incluso las constituciones de los Estados parte de la Convención, entre otros. Esta es la tesis que ha imperado en la mayor parte de los casos que se relacionan con los DESCA desde </w:t>
      </w:r>
      <w:r>
        <w:rPr>
          <w:i/>
        </w:rPr>
        <w:t>Lagos del Campo Vs. Perú</w:t>
      </w:r>
      <w:r>
        <w:rPr/>
        <w:t>, en materia de estabilidad laboral, así como en casos de derecho a la salud y a la seguridad social. En los mismos, la Corte ha calificado la responsabilidad internacional del Estado por violaciones de derechos sociales a partir del artículo 26 de la Convención. Este cambio jurisprudencial se dio a partir del año 2017.</w:t>
      </w:r>
    </w:p>
    <w:p>
      <w:pPr>
        <w:pStyle w:val="BodyText"/>
        <w:spacing w:before="11"/>
      </w:pPr>
    </w:p>
    <w:p>
      <w:pPr>
        <w:pStyle w:val="Heading4"/>
        <w:numPr>
          <w:ilvl w:val="0"/>
          <w:numId w:val="78"/>
        </w:numPr>
        <w:tabs>
          <w:tab w:pos="1279" w:val="left" w:leader="none"/>
        </w:tabs>
        <w:spacing w:line="240" w:lineRule="auto" w:before="0" w:after="0"/>
        <w:ind w:left="1278" w:right="0" w:hanging="468"/>
        <w:jc w:val="left"/>
        <w:rPr>
          <w:i/>
        </w:rPr>
      </w:pPr>
      <w:r>
        <w:rPr>
          <w:i/>
        </w:rPr>
        <w:t>Una tercera visión:</w:t>
      </w:r>
      <w:r>
        <w:rPr>
          <w:i/>
          <w:spacing w:val="-22"/>
        </w:rPr>
        <w:t> </w:t>
      </w:r>
      <w:r>
        <w:rPr>
          <w:i/>
        </w:rPr>
        <w:t>interdependencia-simultaneidad</w:t>
      </w:r>
    </w:p>
    <w:p>
      <w:pPr>
        <w:pStyle w:val="BodyText"/>
        <w:rPr>
          <w:b/>
          <w:i/>
          <w:sz w:val="22"/>
        </w:rPr>
      </w:pPr>
    </w:p>
    <w:p>
      <w:pPr>
        <w:pStyle w:val="ListParagraph"/>
        <w:numPr>
          <w:ilvl w:val="0"/>
          <w:numId w:val="79"/>
        </w:numPr>
        <w:tabs>
          <w:tab w:pos="810" w:val="left" w:leader="none"/>
        </w:tabs>
        <w:spacing w:line="252" w:lineRule="auto" w:before="0" w:after="0"/>
        <w:ind w:left="101" w:right="116" w:firstLine="0"/>
        <w:jc w:val="both"/>
        <w:rPr>
          <w:sz w:val="20"/>
        </w:rPr>
      </w:pPr>
      <w:r>
        <w:rPr>
          <w:sz w:val="20"/>
        </w:rPr>
        <w:t>El artículo 26 de la Convención es lo que podría denominarse un artículo marco que de manera general hace alusión a los DESCA sin especificar cuáles son y en qué consisten. Este artículo hace una remisión a la Carta de la OEA para su lectura y contenido. Por otro lado, el Protocolo de San Salvador, instrumento posterior a la Convención Americana, individualiza y da contenido a los DESCA. El Protocolo es explícito en señalar qué casos individuales respecto a DESCA pueden ser llevados a conocimiento de la Corte: únicamente en lo que respecta a libertad sindical y educación. Por su parte otros instrumentos del </w:t>
      </w:r>
      <w:r>
        <w:rPr>
          <w:i/>
          <w:sz w:val="20"/>
        </w:rPr>
        <w:t>corpus juris </w:t>
      </w:r>
      <w:r>
        <w:rPr>
          <w:sz w:val="20"/>
        </w:rPr>
        <w:t>interamericano hacen mención a los</w:t>
      </w:r>
      <w:r>
        <w:rPr>
          <w:spacing w:val="-7"/>
          <w:sz w:val="20"/>
        </w:rPr>
        <w:t> </w:t>
      </w:r>
      <w:r>
        <w:rPr>
          <w:sz w:val="20"/>
        </w:rPr>
        <w:t>DESCA.</w:t>
      </w:r>
    </w:p>
    <w:p>
      <w:pPr>
        <w:pStyle w:val="BodyText"/>
        <w:spacing w:before="10"/>
      </w:pPr>
    </w:p>
    <w:p>
      <w:pPr>
        <w:pStyle w:val="ListParagraph"/>
        <w:numPr>
          <w:ilvl w:val="0"/>
          <w:numId w:val="79"/>
        </w:numPr>
        <w:tabs>
          <w:tab w:pos="810" w:val="left" w:leader="none"/>
        </w:tabs>
        <w:spacing w:line="252" w:lineRule="auto" w:before="1" w:after="0"/>
        <w:ind w:left="101" w:right="119" w:firstLine="0"/>
        <w:jc w:val="both"/>
        <w:rPr>
          <w:sz w:val="20"/>
        </w:rPr>
      </w:pPr>
      <w:r>
        <w:rPr>
          <w:sz w:val="20"/>
        </w:rPr>
        <w:t>En el voto de </w:t>
      </w:r>
      <w:r>
        <w:rPr>
          <w:i/>
          <w:sz w:val="20"/>
        </w:rPr>
        <w:t>ANCEJUB </w:t>
      </w:r>
      <w:r>
        <w:rPr>
          <w:sz w:val="20"/>
        </w:rPr>
        <w:t>manifesté mi visión sobre la indivisibilidad e interdependencia de los DH, esto me lleva a expresar que considero que la Corte IDH  sí tiene competencia para conocer y pronunciarse sobre los DESCA tanto en su aspecto individual como colectivo. Estos mismos principios me permiten hacer un análisis sistemático de la Convención, el Protocolo de San Salvador, la Carta de la OEA y otros instrumentos del </w:t>
      </w:r>
      <w:r>
        <w:rPr>
          <w:i/>
          <w:sz w:val="20"/>
        </w:rPr>
        <w:t>corpus juris </w:t>
      </w:r>
      <w:r>
        <w:rPr>
          <w:sz w:val="20"/>
        </w:rPr>
        <w:t>interamericano. A continuación, trataré de explicar mi visión de los fundamentos en función de los cuales la Corte IDH es competente para conocer y pronunciarse sobre los</w:t>
      </w:r>
      <w:r>
        <w:rPr>
          <w:spacing w:val="-9"/>
          <w:sz w:val="20"/>
        </w:rPr>
        <w:t> </w:t>
      </w:r>
      <w:r>
        <w:rPr>
          <w:sz w:val="20"/>
        </w:rPr>
        <w:t>DESCA.</w:t>
      </w:r>
    </w:p>
    <w:p>
      <w:pPr>
        <w:pStyle w:val="BodyText"/>
        <w:rPr>
          <w:sz w:val="21"/>
        </w:rPr>
      </w:pPr>
    </w:p>
    <w:p>
      <w:pPr>
        <w:pStyle w:val="ListParagraph"/>
        <w:numPr>
          <w:ilvl w:val="0"/>
          <w:numId w:val="79"/>
        </w:numPr>
        <w:tabs>
          <w:tab w:pos="810" w:val="left" w:leader="none"/>
        </w:tabs>
        <w:spacing w:line="252" w:lineRule="auto" w:before="1" w:after="0"/>
        <w:ind w:left="101" w:right="117" w:firstLine="0"/>
        <w:jc w:val="both"/>
        <w:rPr>
          <w:sz w:val="20"/>
        </w:rPr>
      </w:pPr>
      <w:r>
        <w:rPr>
          <w:sz w:val="20"/>
        </w:rPr>
        <w:t>La parte II de la Convención Americana, que trata de los medios de protección, señala en su artículo 44 que: “Cualquier persona o grupo de personas (…) puede presentar a la Comisión peticiones </w:t>
      </w:r>
      <w:r>
        <w:rPr>
          <w:sz w:val="20"/>
          <w:u w:val="single"/>
        </w:rPr>
        <w:t>que contengan denuncias o quejas de violación de esta Convención por un Estado parte”</w:t>
      </w:r>
      <w:r>
        <w:rPr>
          <w:sz w:val="20"/>
        </w:rPr>
        <w:t>. Por su parte, el artículo 48 indica que: “La Comisión, al recibir una petición o comunicación en la que </w:t>
      </w:r>
      <w:r>
        <w:rPr>
          <w:sz w:val="20"/>
          <w:u w:val="single"/>
        </w:rPr>
        <w:t>se alegue la violación de los derechos que consagra esta Convención</w:t>
      </w:r>
      <w:r>
        <w:rPr>
          <w:sz w:val="20"/>
        </w:rPr>
        <w:t>, procederá en los siguientes términos…”. De igual manera, el artículo 62 No 3 de la Convención indica que: “La Corte tiene competencia </w:t>
      </w:r>
      <w:r>
        <w:rPr>
          <w:sz w:val="20"/>
          <w:u w:val="single"/>
        </w:rPr>
        <w:t>para conocer cualquier caso relativo a la interpretación y aplicación de las disposiciones de esta Convención </w:t>
      </w:r>
      <w:r>
        <w:rPr>
          <w:sz w:val="20"/>
        </w:rPr>
        <w:t>que le sea sometido…” (subrayados del</w:t>
      </w:r>
      <w:r>
        <w:rPr>
          <w:spacing w:val="-12"/>
          <w:sz w:val="20"/>
        </w:rPr>
        <w:t> </w:t>
      </w:r>
      <w:r>
        <w:rPr>
          <w:sz w:val="20"/>
        </w:rPr>
        <w:t>autor).</w:t>
      </w:r>
    </w:p>
    <w:p>
      <w:pPr>
        <w:pStyle w:val="BodyText"/>
        <w:spacing w:before="8"/>
        <w:rPr>
          <w:sz w:val="12"/>
        </w:rPr>
      </w:pPr>
    </w:p>
    <w:p>
      <w:pPr>
        <w:pStyle w:val="ListParagraph"/>
        <w:numPr>
          <w:ilvl w:val="0"/>
          <w:numId w:val="79"/>
        </w:numPr>
        <w:tabs>
          <w:tab w:pos="810" w:val="left" w:leader="none"/>
        </w:tabs>
        <w:spacing w:line="252" w:lineRule="auto" w:before="101" w:after="0"/>
        <w:ind w:left="101" w:right="117" w:firstLine="0"/>
        <w:jc w:val="both"/>
        <w:rPr>
          <w:sz w:val="20"/>
        </w:rPr>
      </w:pPr>
      <w:r>
        <w:rPr>
          <w:sz w:val="20"/>
        </w:rPr>
        <w:t>Los artículos de la Convención antes indicados son claros en cuanto a que cualquiera de los derechos indicados en la Convención sin distinción de especie alguna (civiles, políticos, económicos, sociales, culturales y ambientales) pueden ser llevados  a conocimiento de ambos órganos de protección y que éstos tienen competencia para conocer de los mismos. Los artículos mencionados no hacen distinciones entre civiles, políticos, sociales, culturales y ambientales en lo que respecta a la protección de los mismos. Pretender que los órganos de protección interamericanos solo puedan conocer los derechos civiles y políticos y no así los DESCA, sería contrario por un lado a la indivisibilidad e interdependencia de los derechos y llevaría a una fragmentación de la protección internacional de la persona y de su titularidad como sujeto de derecho internacional.</w:t>
      </w:r>
    </w:p>
    <w:p>
      <w:pPr>
        <w:spacing w:after="0" w:line="252" w:lineRule="auto"/>
        <w:jc w:val="both"/>
        <w:rPr>
          <w:sz w:val="20"/>
        </w:rPr>
        <w:sectPr>
          <w:footerReference w:type="default" r:id="rId58"/>
          <w:pgSz w:w="12240" w:h="15840"/>
          <w:pgMar w:footer="0" w:header="0" w:top="1340" w:bottom="280" w:left="1600" w:right="1580"/>
        </w:sectPr>
      </w:pPr>
    </w:p>
    <w:p>
      <w:pPr>
        <w:pStyle w:val="ListParagraph"/>
        <w:numPr>
          <w:ilvl w:val="0"/>
          <w:numId w:val="79"/>
        </w:numPr>
        <w:tabs>
          <w:tab w:pos="810" w:val="left" w:leader="none"/>
        </w:tabs>
        <w:spacing w:line="252" w:lineRule="auto" w:before="77" w:after="0"/>
        <w:ind w:left="101" w:right="116" w:firstLine="0"/>
        <w:jc w:val="both"/>
        <w:rPr>
          <w:sz w:val="20"/>
        </w:rPr>
      </w:pPr>
      <w:r>
        <w:rPr>
          <w:sz w:val="20"/>
        </w:rPr>
        <w:t>En relación a lo anterior, es interesante destacar lo señalado en el artículo 4 del Protocolo de San Salvador en cuanto a la no admisión de restricciones de los DESCA. Sobre el particular, el artículo indicado señala que: “</w:t>
      </w:r>
      <w:r>
        <w:rPr>
          <w:sz w:val="20"/>
          <w:u w:val="single"/>
        </w:rPr>
        <w:t>no podrá restringirse </w:t>
      </w:r>
      <w:r>
        <w:rPr>
          <w:sz w:val="20"/>
        </w:rPr>
        <w:t>o menoscabarse ninguno de los derechos reconocidos o vigentes en un Estado en virtud de su legislación interna o de convenciones internacionales </w:t>
      </w:r>
      <w:r>
        <w:rPr>
          <w:sz w:val="20"/>
          <w:u w:val="single"/>
        </w:rPr>
        <w:t>a pretexto de que el presente Protocolo no los reconoce o los reconoce en menor grado” </w:t>
      </w:r>
      <w:r>
        <w:rPr>
          <w:sz w:val="20"/>
        </w:rPr>
        <w:t>(subrayado del autor). A mi modo de ver, este artículo leído conjuntamente con la Convención Americana, permite concluir que no es de recibo restringir el acceso a la justicia interamericana respecto a alegadas violaciones de los DESCA invocando la Convención Americana, de hacerse se estaría actuando en violación del propio Protocolo que no permite restricciones y, como señalé anteriormente, afectando a la persona como sujeto de derechos. Sería violatorio del principio de interpretación pro persona de los Derechos Humanos (art. 29 de la Convención</w:t>
      </w:r>
      <w:r>
        <w:rPr>
          <w:spacing w:val="-16"/>
          <w:sz w:val="20"/>
        </w:rPr>
        <w:t> </w:t>
      </w:r>
      <w:r>
        <w:rPr>
          <w:sz w:val="20"/>
        </w:rPr>
        <w:t>Americana).</w:t>
      </w:r>
    </w:p>
    <w:p>
      <w:pPr>
        <w:pStyle w:val="BodyText"/>
        <w:spacing w:before="11"/>
      </w:pPr>
    </w:p>
    <w:p>
      <w:pPr>
        <w:pStyle w:val="ListParagraph"/>
        <w:numPr>
          <w:ilvl w:val="0"/>
          <w:numId w:val="79"/>
        </w:numPr>
        <w:tabs>
          <w:tab w:pos="810" w:val="left" w:leader="none"/>
        </w:tabs>
        <w:spacing w:line="252" w:lineRule="auto" w:before="0" w:after="0"/>
        <w:ind w:left="101" w:right="116" w:firstLine="0"/>
        <w:jc w:val="both"/>
        <w:rPr>
          <w:sz w:val="20"/>
        </w:rPr>
      </w:pPr>
      <w:r>
        <w:rPr>
          <w:sz w:val="20"/>
        </w:rPr>
        <w:t>Por otra parte no se puede ignorar que la adopción del Protocolo de San Salvador al tiempo que avanzó en el contenido de los derechos, también delimitó expresamente la utilización del sistema de peticiones individuales respecto únicamente de los derechos de “libertad sindical” y “educación”. A mi modo de ver solo respecto de estos dos derechos (libertad sindical y educación) la Corte podrá ingresar considerando una violación autónoma de los DESCA a la luz de lo indicado en el artículo 19, párrafo 6, del Protocolo de San Salvador. En este punto es importante recordar lo estipulado por el artículo 31 de la Convención de Viena sobre el Derecho de los Tratados, en el sentido que la interpretación de los tratados debe comprender, además del texto,  “todo acuerdo que se refiera al tratado y haya sido concertado entre las partes con motivo de la celebración del tratado”. El Protocolo de San Salvador es precisamente un tratado adoptado por las partes contratantes de la Convención Americana para “incluir progresivamente en el régimen de protección de la misma otros derechos y libertades” (Preámbulo del “Protocolo de San</w:t>
      </w:r>
      <w:r>
        <w:rPr>
          <w:spacing w:val="-8"/>
          <w:sz w:val="20"/>
        </w:rPr>
        <w:t> </w:t>
      </w:r>
      <w:r>
        <w:rPr>
          <w:sz w:val="20"/>
        </w:rPr>
        <w:t>Salvador”).</w:t>
      </w:r>
    </w:p>
    <w:p>
      <w:pPr>
        <w:pStyle w:val="BodyText"/>
        <w:rPr>
          <w:sz w:val="21"/>
        </w:rPr>
      </w:pPr>
    </w:p>
    <w:p>
      <w:pPr>
        <w:pStyle w:val="ListParagraph"/>
        <w:numPr>
          <w:ilvl w:val="0"/>
          <w:numId w:val="79"/>
        </w:numPr>
        <w:tabs>
          <w:tab w:pos="810" w:val="left" w:leader="none"/>
        </w:tabs>
        <w:spacing w:line="252" w:lineRule="auto" w:before="0" w:after="0"/>
        <w:ind w:left="101" w:right="116" w:firstLine="0"/>
        <w:jc w:val="both"/>
        <w:rPr>
          <w:sz w:val="20"/>
        </w:rPr>
      </w:pPr>
      <w:r>
        <w:rPr>
          <w:sz w:val="20"/>
        </w:rPr>
        <w:t>Sin perjuicio de lo anterior, haciendo una interpretación armónica de los instrumentos americanos nada impide al tribunal que a través de la consideración de la interdependencia e indivisibilidad de los derechos civiles y políticos por un lado y los económicos, sociales y culturales por el otro, pueda pronunciarse sobre los DESCA y declarar conjuntamente la violación tanto a algún derecho reconocido en los artículos 3-25 de la Convención Americana y al artículo 26. Toda vez que un mismo hecho por acción u omisión simultáneamente puede significar a la vez la violación de un derecho Civil y Político y de un DESCA, a la que se podrá ingresar en función de su trascendencia. Una posible fórmula para plasmar este tipo de análisis es que en los puntos resolutivos de una sentencia se establezca la violación a un derecho sobre el que la Corte tiene competencia, en relación con el artículo 26 y los deberes generales de respetar y garantizar los derechos. La fórmula –sustentada en los principios de indivisibilidad e interdependencia- sería simple pero contundente: “se declara la violación al artículo 21 de la Convención en relación con los artículos 26 y 1.1 del mismo instrumento” Lo que ha ocurrido en el presente caso como paso a</w:t>
      </w:r>
      <w:r>
        <w:rPr>
          <w:spacing w:val="-17"/>
          <w:sz w:val="20"/>
        </w:rPr>
        <w:t> </w:t>
      </w:r>
      <w:r>
        <w:rPr>
          <w:sz w:val="20"/>
        </w:rPr>
        <w:t>explicar.</w:t>
      </w:r>
    </w:p>
    <w:p>
      <w:pPr>
        <w:pStyle w:val="BodyText"/>
        <w:spacing w:before="12"/>
      </w:pPr>
    </w:p>
    <w:p>
      <w:pPr>
        <w:pStyle w:val="ListParagraph"/>
        <w:numPr>
          <w:ilvl w:val="0"/>
          <w:numId w:val="79"/>
        </w:numPr>
        <w:tabs>
          <w:tab w:pos="810" w:val="left" w:leader="none"/>
        </w:tabs>
        <w:spacing w:line="252" w:lineRule="auto" w:before="0" w:after="0"/>
        <w:ind w:left="101" w:right="116" w:firstLine="0"/>
        <w:jc w:val="both"/>
        <w:rPr>
          <w:sz w:val="20"/>
        </w:rPr>
      </w:pPr>
      <w:r>
        <w:rPr>
          <w:sz w:val="20"/>
        </w:rPr>
        <w:t>Es menester señalar que en la posición reseñada el artículo 26 y los derechos  en él contenidos resultan justiciables por esta Corte, aventando definitivamente la tesis de su justiciabilidad restricta o limitada exclusivamente a lo establecido en el Protocolo de San Salvador. Ello permite a la Corte analizar aspectos propios y que distinguen a estos derechos tanto en el plano individual como colectivo a las violaciones de los mismos.</w:t>
      </w:r>
    </w:p>
    <w:p>
      <w:pPr>
        <w:spacing w:after="0" w:line="252" w:lineRule="auto"/>
        <w:jc w:val="both"/>
        <w:rPr>
          <w:sz w:val="20"/>
        </w:rPr>
        <w:sectPr>
          <w:footerReference w:type="default" r:id="rId59"/>
          <w:pgSz w:w="12240" w:h="15840"/>
          <w:pgMar w:footer="0" w:header="0" w:top="1340" w:bottom="280" w:left="1600" w:right="1580"/>
        </w:sectPr>
      </w:pPr>
    </w:p>
    <w:p>
      <w:pPr>
        <w:pStyle w:val="Heading4"/>
        <w:numPr>
          <w:ilvl w:val="0"/>
          <w:numId w:val="78"/>
        </w:numPr>
        <w:tabs>
          <w:tab w:pos="1234" w:val="left" w:leader="none"/>
        </w:tabs>
        <w:spacing w:line="240" w:lineRule="auto" w:before="173" w:after="0"/>
        <w:ind w:left="1233" w:right="0" w:hanging="403"/>
        <w:jc w:val="left"/>
        <w:rPr>
          <w:i/>
        </w:rPr>
      </w:pPr>
      <w:r>
        <w:rPr>
          <w:i/>
        </w:rPr>
        <w:t>El caso Lhaka</w:t>
      </w:r>
      <w:r>
        <w:rPr>
          <w:i/>
          <w:spacing w:val="-10"/>
        </w:rPr>
        <w:t> </w:t>
      </w:r>
      <w:r>
        <w:rPr>
          <w:i/>
        </w:rPr>
        <w:t>Honat</w:t>
      </w:r>
    </w:p>
    <w:p>
      <w:pPr>
        <w:pStyle w:val="BodyText"/>
        <w:spacing w:before="11"/>
        <w:rPr>
          <w:b/>
          <w:i/>
          <w:sz w:val="21"/>
        </w:rPr>
      </w:pPr>
    </w:p>
    <w:p>
      <w:pPr>
        <w:pStyle w:val="ListParagraph"/>
        <w:numPr>
          <w:ilvl w:val="0"/>
          <w:numId w:val="79"/>
        </w:numPr>
        <w:tabs>
          <w:tab w:pos="865" w:val="left" w:leader="none"/>
        </w:tabs>
        <w:spacing w:line="252" w:lineRule="auto" w:before="0" w:after="0"/>
        <w:ind w:left="121" w:right="116" w:firstLine="0"/>
        <w:jc w:val="both"/>
        <w:rPr>
          <w:sz w:val="20"/>
        </w:rPr>
      </w:pPr>
      <w:r>
        <w:rPr>
          <w:sz w:val="20"/>
        </w:rPr>
        <w:t>En el presente caso también se pudo realizar un análisis como el que propuse para los casos de </w:t>
      </w:r>
      <w:r>
        <w:rPr>
          <w:i/>
          <w:sz w:val="20"/>
        </w:rPr>
        <w:t>ANCEJUB-SUNAT y Hernández</w:t>
      </w:r>
      <w:r>
        <w:rPr>
          <w:sz w:val="20"/>
        </w:rPr>
        <w:t>. De la sentencia se desprende que las violaciones a los derechos al medio ambiente sano, a la alimentación adecuada, al acceso al agua y a la identidad cultural fueron resultado, principalmente, de las actividades que criollos realizaron sobre el territorio, con la complicidad del Estado de la República Argentina tanto en su aspecto federal como por la Provincia de Salta, lo cual tuvo como efecto que las comunidades indígenas no pudieran gozar de dicho territorio libre de interferencia. Estas actividades incluyeron la presencia de personas y la realización de acciones como explotación de ganado a campo abierto y la presencia de alambrados. También se constataron actos de tala ilegal. El impacto fue probado: existió afectación de la flora y la fauna silvestre (que contribuye en la dieta proteica de las comunidades), en el abastecimiento y la calidad del agua que requieren para su subsistencia, en la degradación bio socioeconómica resultado de la actividad forestal, y en la presencia de alambrados que cortaron el acceso al río y el monte. Es así que se acreditó la existencia de un nexo causal entre las actividades de los criollos en los territorios de las comunidades y la violación de los derechos de los pueblos indígenas a participar en la vida cultural, al medio ambiente sano, a la alimentación adecuada y al agua. En consecuencia, se declaró la responsabilidad internacional del Estado por la violación a los artículos 26 y 1.1 de la</w:t>
      </w:r>
      <w:r>
        <w:rPr>
          <w:spacing w:val="-10"/>
          <w:sz w:val="20"/>
        </w:rPr>
        <w:t> </w:t>
      </w:r>
      <w:r>
        <w:rPr>
          <w:sz w:val="20"/>
        </w:rPr>
        <w:t>Convención.</w:t>
      </w:r>
    </w:p>
    <w:p>
      <w:pPr>
        <w:pStyle w:val="BodyText"/>
        <w:rPr>
          <w:sz w:val="21"/>
        </w:rPr>
      </w:pPr>
    </w:p>
    <w:p>
      <w:pPr>
        <w:pStyle w:val="ListParagraph"/>
        <w:numPr>
          <w:ilvl w:val="0"/>
          <w:numId w:val="79"/>
        </w:numPr>
        <w:tabs>
          <w:tab w:pos="830" w:val="left" w:leader="none"/>
        </w:tabs>
        <w:spacing w:line="252" w:lineRule="auto" w:before="0" w:after="0"/>
        <w:ind w:left="121" w:right="116" w:firstLine="0"/>
        <w:jc w:val="both"/>
        <w:rPr>
          <w:sz w:val="20"/>
        </w:rPr>
      </w:pPr>
      <w:r>
        <w:rPr>
          <w:sz w:val="20"/>
        </w:rPr>
        <w:t>En esencia comparto el desarrollo respecto al contenido sustantivo de los derechos antes mencionados, y sin embargo voté en contra de la sentencia en lo que  se refiere a la declaración a la violación autónoma de estos derechos. Esto es porque al igual que en los casos de </w:t>
      </w:r>
      <w:r>
        <w:rPr>
          <w:i/>
          <w:sz w:val="20"/>
        </w:rPr>
        <w:t>ANCEJUB-SUNAT </w:t>
      </w:r>
      <w:r>
        <w:rPr>
          <w:sz w:val="20"/>
        </w:rPr>
        <w:t>y </w:t>
      </w:r>
      <w:r>
        <w:rPr>
          <w:i/>
          <w:sz w:val="20"/>
        </w:rPr>
        <w:t>Hernández</w:t>
      </w:r>
      <w:r>
        <w:rPr>
          <w:sz w:val="20"/>
        </w:rPr>
        <w:t>, considero que la forma más adecuada de analizar el caso habría sido a través de la tesis de la simultaneidad. En ese sentido, no es procedente ni necesario declarar una violación autónoma y separada del derecho a la vida cultural, al medio ambiente sano, a la alimentación adecuada y al agua a partir del artículo 26 de la Convención</w:t>
      </w:r>
      <w:r>
        <w:rPr>
          <w:position w:val="7"/>
          <w:sz w:val="13"/>
        </w:rPr>
        <w:t>1</w:t>
      </w:r>
      <w:r>
        <w:rPr>
          <w:sz w:val="20"/>
        </w:rPr>
        <w:t>. Lo pertinente habría sido realizar una calificación como se dijera antes: declarar violación del artículo 21 en relación con el artículo 26 y 1.1 de la Convención, con un análisis delimitado –y breve- de la afectación de los derechos sociales antes mencionados como resultado del incumplimiento del Estado de garantizar una tutela efectiva del derecho a la propiedad, lo que ha permitido la presencia de terceros y el daño a otros derechos</w:t>
      </w:r>
      <w:r>
        <w:rPr>
          <w:position w:val="7"/>
          <w:sz w:val="13"/>
        </w:rPr>
        <w:t>2</w:t>
      </w:r>
      <w:r>
        <w:rPr>
          <w:sz w:val="20"/>
        </w:rPr>
        <w:t>. Este tipo de análisis también podría haber evitado acudir a la separación del análisis de la  propiedad comunitaria y otros derechos y en cambio subrayaría la interdependencia  </w:t>
      </w:r>
      <w:r>
        <w:rPr>
          <w:spacing w:val="16"/>
          <w:sz w:val="20"/>
        </w:rPr>
        <w:t> </w:t>
      </w:r>
      <w:r>
        <w:rPr>
          <w:sz w:val="20"/>
        </w:rPr>
        <w:t>e</w:t>
      </w:r>
    </w:p>
    <w:p>
      <w:pPr>
        <w:pStyle w:val="BodyText"/>
        <w:spacing w:before="2"/>
      </w:pPr>
      <w:r>
        <w:rPr/>
        <w:pict>
          <v:line style="position:absolute;mso-position-horizontal-relative:page;mso-position-vertical-relative:paragraph;z-index:5248;mso-wrap-distance-left:0;mso-wrap-distance-right:0" from="85.080002pt,14.584124pt" to="229.100002pt,14.584124pt" stroked="true" strokeweight=".66003pt" strokecolor="#000000">
            <v:stroke dashstyle="solid"/>
            <w10:wrap type="topAndBottom"/>
          </v:line>
        </w:pict>
      </w:r>
    </w:p>
    <w:p>
      <w:pPr>
        <w:spacing w:before="63"/>
        <w:ind w:left="121" w:right="115" w:firstLine="0"/>
        <w:jc w:val="both"/>
        <w:rPr>
          <w:sz w:val="16"/>
        </w:rPr>
      </w:pPr>
      <w:r>
        <w:rPr>
          <w:position w:val="6"/>
          <w:sz w:val="10"/>
        </w:rPr>
        <w:t>1 </w:t>
      </w:r>
      <w:r>
        <w:rPr>
          <w:i/>
          <w:sz w:val="16"/>
        </w:rPr>
        <w:t>Cfr. Caso comunidades indígenas miembros de la asociación Lhaka Honhat (nuestra tierra) Vs. Argentina. </w:t>
      </w:r>
      <w:r>
        <w:rPr>
          <w:i/>
          <w:sz w:val="16"/>
        </w:rPr>
        <w:t>Fondo, Reparaciones y Costas. </w:t>
      </w:r>
      <w:r>
        <w:rPr>
          <w:sz w:val="16"/>
        </w:rPr>
        <w:t>Sentencia de 6 de febrero de 2020. Serie C No. 400, párrs. 92-185 y 186-</w:t>
      </w:r>
    </w:p>
    <w:p>
      <w:pPr>
        <w:spacing w:before="0"/>
        <w:ind w:left="121" w:right="123" w:firstLine="0"/>
        <w:jc w:val="both"/>
        <w:rPr>
          <w:sz w:val="16"/>
        </w:rPr>
      </w:pPr>
      <w:r>
        <w:rPr>
          <w:sz w:val="16"/>
        </w:rPr>
        <w:t>289. La Corte decidió hacer una separación por capítulos para analizar, por un lado, el derecho a la  propiedad comunitaria indígena, y por el otro, los derechos a la circulación y residencia, a un medio  ambiente sano, a una alimentación adecuada, al agua y a participar en la vida</w:t>
      </w:r>
      <w:r>
        <w:rPr>
          <w:spacing w:val="-26"/>
          <w:sz w:val="16"/>
        </w:rPr>
        <w:t> </w:t>
      </w:r>
      <w:r>
        <w:rPr>
          <w:sz w:val="16"/>
        </w:rPr>
        <w:t>cultural.</w:t>
      </w:r>
    </w:p>
    <w:p>
      <w:pPr>
        <w:spacing w:before="0"/>
        <w:ind w:left="121" w:right="120" w:firstLine="0"/>
        <w:jc w:val="both"/>
        <w:rPr>
          <w:sz w:val="16"/>
        </w:rPr>
      </w:pPr>
      <w:r>
        <w:rPr>
          <w:position w:val="6"/>
          <w:sz w:val="10"/>
        </w:rPr>
        <w:t>2 </w:t>
      </w:r>
      <w:r>
        <w:rPr>
          <w:i/>
          <w:sz w:val="16"/>
        </w:rPr>
        <w:t>Cfr. Caso de la Comunidad Mayagna (Sumo) Awas Tingni Vs. Nicaragua. Fondo, Reparaciones y Costas. </w:t>
      </w:r>
      <w:r>
        <w:rPr>
          <w:sz w:val="16"/>
        </w:rPr>
        <w:t>Sentencia de 31 de agosto de 2001. Serie C No. 79., párr. 149. La Corte ya había reconocido, desde sus primeras sentencias en materia de propiedad comunal de las comunidades indígenas, que existe una “estrecha relación que los indígenas mantienen con la tierra [la cual] debe ser reconocida y comprendida como la base fundamental de sus culturas, su vida espiritual, su integridad y su supervivencia económica. Para las comunidades indígenas la relación con la tierra no es meramente una cuestión de posesión y producción sino un elemento material y espiritual del que deben gozar plenamente, inclusive para preservar su legado cultural y transmitirlo a las generaciones futuras.” La separación del análisis de la violación de derechos, que la Sentencia realiza, pareciera ir en contra de la lógica y el espíritu de reconocer el valor que tiene el reconocimiento y protección de la propiedad comunal de las comunidades indígenas.</w:t>
      </w:r>
    </w:p>
    <w:p>
      <w:pPr>
        <w:spacing w:after="0"/>
        <w:jc w:val="both"/>
        <w:rPr>
          <w:sz w:val="16"/>
        </w:rPr>
        <w:sectPr>
          <w:footerReference w:type="default" r:id="rId60"/>
          <w:pgSz w:w="12240" w:h="15840"/>
          <w:pgMar w:footer="0" w:header="0" w:top="1500" w:bottom="280" w:left="1580" w:right="1580"/>
        </w:sectPr>
      </w:pPr>
    </w:p>
    <w:p>
      <w:pPr>
        <w:pStyle w:val="BodyText"/>
        <w:spacing w:line="252" w:lineRule="auto" w:before="77"/>
        <w:ind w:left="121" w:right="124"/>
        <w:jc w:val="both"/>
      </w:pPr>
      <w:r>
        <w:rPr/>
        <w:t>indivisibilidad que existe entre la propiedad y la garantía de los DESCA de las comunidades indígenas.</w:t>
      </w:r>
    </w:p>
    <w:p>
      <w:pPr>
        <w:pStyle w:val="BodyText"/>
        <w:spacing w:before="11"/>
      </w:pPr>
    </w:p>
    <w:p>
      <w:pPr>
        <w:pStyle w:val="ListParagraph"/>
        <w:numPr>
          <w:ilvl w:val="0"/>
          <w:numId w:val="80"/>
        </w:numPr>
        <w:tabs>
          <w:tab w:pos="830" w:val="left" w:leader="none"/>
        </w:tabs>
        <w:spacing w:line="252" w:lineRule="auto" w:before="0" w:after="0"/>
        <w:ind w:left="121" w:right="116" w:firstLine="0"/>
        <w:jc w:val="both"/>
        <w:rPr>
          <w:sz w:val="20"/>
        </w:rPr>
      </w:pPr>
      <w:r>
        <w:rPr>
          <w:sz w:val="20"/>
        </w:rPr>
        <w:t>El análisis de la simultaneidad en este caso habría conducido a que el punto de partida fuera el derecho a la propiedad colectiva reconocido en el artículo 21 de la Convención. Específicamente se debió haber abordado la relación que existe entre la falta de garantía de la propiedad de las comunidades indígenas, y la participación en la vida cultural y la garantía de otros derechos (como el agua, alimentación, y el medio ambiente). Es en este punto del análisis que la Sentencia debió haber abordado el planteo sobre la inescindible relación que existe entre la tierra y el goce de otros derechos, lo cual es particularmente relevante en el caso de víctimas como las del presente caso. Esta inescindible relación a la que me refiero se desprende de las múltiples fuentes a las que hace referencia la sentencia cuando se refiere a la interdependencia entre los derechos “a un ambiente sano, a la alimentación adecuada, al agua y a la identidad cultural en relación con los pueblos indígenas”</w:t>
      </w:r>
      <w:r>
        <w:rPr>
          <w:position w:val="7"/>
          <w:sz w:val="13"/>
        </w:rPr>
        <w:t>3 </w:t>
      </w:r>
      <w:r>
        <w:rPr>
          <w:sz w:val="20"/>
        </w:rPr>
        <w:t>(párrs. 243- 254). La sentencia opta por declarar una violación autónoma del artículo 26 sin tener en cuenta que es el derecho a la tierra que se encuentra inescindiblemente ligado a las violaciones de</w:t>
      </w:r>
      <w:r>
        <w:rPr>
          <w:spacing w:val="-3"/>
          <w:sz w:val="20"/>
        </w:rPr>
        <w:t> </w:t>
      </w:r>
      <w:r>
        <w:rPr>
          <w:sz w:val="20"/>
        </w:rPr>
        <w:t>DESCA.</w:t>
      </w:r>
    </w:p>
    <w:p>
      <w:pPr>
        <w:pStyle w:val="BodyText"/>
        <w:rPr>
          <w:sz w:val="21"/>
        </w:rPr>
      </w:pPr>
    </w:p>
    <w:p>
      <w:pPr>
        <w:pStyle w:val="ListParagraph"/>
        <w:numPr>
          <w:ilvl w:val="0"/>
          <w:numId w:val="80"/>
        </w:numPr>
        <w:tabs>
          <w:tab w:pos="830" w:val="left" w:leader="none"/>
        </w:tabs>
        <w:spacing w:line="252" w:lineRule="auto" w:before="0" w:after="0"/>
        <w:ind w:left="121" w:right="116" w:firstLine="0"/>
        <w:jc w:val="both"/>
        <w:rPr>
          <w:sz w:val="20"/>
        </w:rPr>
      </w:pPr>
      <w:r>
        <w:rPr>
          <w:sz w:val="20"/>
        </w:rPr>
        <w:t>Un análisis desde simultaneidad como el que propongo habría partido de la base de la inescindible relación entre los derechos a la tierra, al medio ambiente sano, al agua y a la identidad cultural. De esta forma, las obligaciones del Estado como garante de los derechos de las comunidades indígenas impactarían no solo los aspectos relacionados con la propiedad comunal en términos del artículo 21 sino también, en consecuencia, los DESCA que se deriven del artículo 26. El análisis simultáneo de los derechos habría permitido a la Corte dar un mayor alcance y contenido a las obligaciones en el caso, resaltando la interdependencia e indivisibilidad de los derechos.</w:t>
      </w:r>
    </w:p>
    <w:p>
      <w:pPr>
        <w:pStyle w:val="BodyText"/>
        <w:spacing w:before="12"/>
      </w:pPr>
    </w:p>
    <w:p>
      <w:pPr>
        <w:pStyle w:val="Heading4"/>
        <w:numPr>
          <w:ilvl w:val="0"/>
          <w:numId w:val="78"/>
        </w:numPr>
        <w:tabs>
          <w:tab w:pos="1124" w:val="left" w:leader="none"/>
        </w:tabs>
        <w:spacing w:line="240" w:lineRule="auto" w:before="0" w:after="0"/>
        <w:ind w:left="1124" w:right="0" w:hanging="294"/>
        <w:jc w:val="left"/>
        <w:rPr>
          <w:i/>
        </w:rPr>
      </w:pPr>
      <w:r>
        <w:rPr>
          <w:i/>
        </w:rPr>
        <w:t>Conclusión</w:t>
      </w:r>
    </w:p>
    <w:p>
      <w:pPr>
        <w:pStyle w:val="BodyText"/>
        <w:spacing w:before="11"/>
        <w:rPr>
          <w:b/>
          <w:i/>
          <w:sz w:val="21"/>
        </w:rPr>
      </w:pPr>
    </w:p>
    <w:p>
      <w:pPr>
        <w:pStyle w:val="ListParagraph"/>
        <w:numPr>
          <w:ilvl w:val="0"/>
          <w:numId w:val="80"/>
        </w:numPr>
        <w:tabs>
          <w:tab w:pos="830" w:val="left" w:leader="none"/>
        </w:tabs>
        <w:spacing w:line="252" w:lineRule="auto" w:before="0" w:after="0"/>
        <w:ind w:left="121" w:right="115" w:firstLine="0"/>
        <w:jc w:val="both"/>
        <w:rPr>
          <w:sz w:val="20"/>
        </w:rPr>
      </w:pPr>
      <w:r>
        <w:rPr>
          <w:sz w:val="20"/>
        </w:rPr>
        <w:t>El Tribunal no debe de perder de vista que su función primaria es conocer sobre casos que requieran la interpretación y aplicación de las disposiciones de la Convención cuando le sean sometidos, con el objetivo de decidir si existió una violación a un derecho o libertad protegido, y disponer que se le garantice al lesionado el goce de su derecho o libertad conculcado. En ese sentido, la Corte tiene el deber convencional de hacer justicia en casos concretos dentro de los límites previstos por el derecho de los tratados. Pero también tiene una función de contribuir a que se realicen los objetivos de la Convención, y eso implica atender los problemas que aquejan a nuestras sociedades. Es importante considerar que la legitimidad del Tribunal se funda en la solidez de sus razonamientos y en su apego al derecho y la prudencia de sus fallos. También lo hace por el consenso de sus miembros. La tesis de la simultaneidad – propuesta </w:t>
      </w:r>
      <w:r>
        <w:rPr>
          <w:spacing w:val="41"/>
          <w:sz w:val="20"/>
        </w:rPr>
        <w:t> </w:t>
      </w:r>
      <w:r>
        <w:rPr>
          <w:sz w:val="20"/>
        </w:rPr>
        <w:t>en </w:t>
      </w:r>
      <w:r>
        <w:rPr>
          <w:spacing w:val="41"/>
          <w:sz w:val="20"/>
        </w:rPr>
        <w:t> </w:t>
      </w:r>
      <w:r>
        <w:rPr>
          <w:sz w:val="20"/>
        </w:rPr>
        <w:t>este </w:t>
      </w:r>
      <w:r>
        <w:rPr>
          <w:spacing w:val="41"/>
          <w:sz w:val="20"/>
        </w:rPr>
        <w:t> </w:t>
      </w:r>
      <w:r>
        <w:rPr>
          <w:sz w:val="20"/>
        </w:rPr>
        <w:t>voto- </w:t>
      </w:r>
      <w:r>
        <w:rPr>
          <w:spacing w:val="41"/>
          <w:sz w:val="20"/>
        </w:rPr>
        <w:t> </w:t>
      </w:r>
      <w:r>
        <w:rPr>
          <w:sz w:val="20"/>
        </w:rPr>
        <w:t>habría </w:t>
      </w:r>
      <w:r>
        <w:rPr>
          <w:spacing w:val="40"/>
          <w:sz w:val="20"/>
        </w:rPr>
        <w:t> </w:t>
      </w:r>
      <w:r>
        <w:rPr>
          <w:sz w:val="20"/>
        </w:rPr>
        <w:t>sido </w:t>
      </w:r>
      <w:r>
        <w:rPr>
          <w:spacing w:val="40"/>
          <w:sz w:val="20"/>
        </w:rPr>
        <w:t> </w:t>
      </w:r>
      <w:r>
        <w:rPr>
          <w:sz w:val="20"/>
        </w:rPr>
        <w:t>una </w:t>
      </w:r>
      <w:r>
        <w:rPr>
          <w:spacing w:val="41"/>
          <w:sz w:val="20"/>
        </w:rPr>
        <w:t> </w:t>
      </w:r>
      <w:r>
        <w:rPr>
          <w:sz w:val="20"/>
        </w:rPr>
        <w:t>vía </w:t>
      </w:r>
      <w:r>
        <w:rPr>
          <w:spacing w:val="40"/>
          <w:sz w:val="20"/>
        </w:rPr>
        <w:t> </w:t>
      </w:r>
      <w:r>
        <w:rPr>
          <w:sz w:val="20"/>
        </w:rPr>
        <w:t>para </w:t>
      </w:r>
      <w:r>
        <w:rPr>
          <w:spacing w:val="40"/>
          <w:sz w:val="20"/>
        </w:rPr>
        <w:t> </w:t>
      </w:r>
      <w:r>
        <w:rPr>
          <w:sz w:val="20"/>
        </w:rPr>
        <w:t>lograr </w:t>
      </w:r>
      <w:r>
        <w:rPr>
          <w:spacing w:val="40"/>
          <w:sz w:val="20"/>
        </w:rPr>
        <w:t> </w:t>
      </w:r>
      <w:r>
        <w:rPr>
          <w:sz w:val="20"/>
        </w:rPr>
        <w:t>una </w:t>
      </w:r>
      <w:r>
        <w:rPr>
          <w:spacing w:val="41"/>
          <w:sz w:val="20"/>
        </w:rPr>
        <w:t> </w:t>
      </w:r>
      <w:r>
        <w:rPr>
          <w:sz w:val="20"/>
        </w:rPr>
        <w:t>mayor </w:t>
      </w:r>
      <w:r>
        <w:rPr>
          <w:spacing w:val="40"/>
          <w:sz w:val="20"/>
        </w:rPr>
        <w:t> </w:t>
      </w:r>
      <w:r>
        <w:rPr>
          <w:sz w:val="20"/>
        </w:rPr>
        <w:t>solidez</w:t>
      </w:r>
    </w:p>
    <w:p>
      <w:pPr>
        <w:pStyle w:val="BodyText"/>
        <w:spacing w:before="1"/>
        <w:rPr>
          <w:sz w:val="27"/>
        </w:rPr>
      </w:pPr>
      <w:r>
        <w:rPr/>
        <w:pict>
          <v:line style="position:absolute;mso-position-horizontal-relative:page;mso-position-vertical-relative:paragraph;z-index:5272;mso-wrap-distance-left:0;mso-wrap-distance-right:0" from="85.080002pt,18.774076pt" to="229.100002pt,18.774076pt" stroked="true" strokeweight=".65997pt" strokecolor="#000000">
            <v:stroke dashstyle="solid"/>
            <w10:wrap type="topAndBottom"/>
          </v:line>
        </w:pict>
      </w:r>
    </w:p>
    <w:p>
      <w:pPr>
        <w:spacing w:before="63"/>
        <w:ind w:left="121" w:right="118" w:firstLine="0"/>
        <w:jc w:val="both"/>
        <w:rPr>
          <w:sz w:val="16"/>
        </w:rPr>
      </w:pPr>
      <w:r>
        <w:rPr>
          <w:position w:val="6"/>
          <w:sz w:val="10"/>
        </w:rPr>
        <w:t>3 </w:t>
      </w:r>
      <w:r>
        <w:rPr>
          <w:i/>
          <w:sz w:val="16"/>
        </w:rPr>
        <w:t>Cfr. </w:t>
      </w:r>
      <w:r>
        <w:rPr>
          <w:sz w:val="16"/>
        </w:rPr>
        <w:t>Declaración de las Naciones Unidas sobre los Derechos de los Pueblos Indígenas, artículos 20.1, 29.1 y 32.1; Declaración Americana sobre Derechos de los Pueblos Indígenas, artículo XIX; Comité DESC. </w:t>
      </w:r>
      <w:r>
        <w:rPr>
          <w:i/>
          <w:sz w:val="16"/>
        </w:rPr>
        <w:t>Observación General 21. Derecho de toda persona a participar en la vida cultural (artículo 15, párrafo 1 a), </w:t>
      </w:r>
      <w:r>
        <w:rPr>
          <w:i/>
          <w:sz w:val="16"/>
        </w:rPr>
        <w:t>del Pacto Internacional de Derechos Económicos, Sociales y Culturales)</w:t>
      </w:r>
      <w:r>
        <w:rPr>
          <w:sz w:val="16"/>
        </w:rPr>
        <w:t>, párr. 36; Comité de Derechos Humanos. </w:t>
      </w:r>
      <w:r>
        <w:rPr>
          <w:i/>
          <w:sz w:val="16"/>
        </w:rPr>
        <w:t>Observación General 23. Derecho de las minorías (artículo 27), </w:t>
      </w:r>
      <w:r>
        <w:rPr>
          <w:sz w:val="16"/>
        </w:rPr>
        <w:t>párr. 3; </w:t>
      </w:r>
      <w:r>
        <w:rPr>
          <w:i/>
          <w:sz w:val="16"/>
        </w:rPr>
        <w:t>Derechos humanos y </w:t>
      </w:r>
      <w:r>
        <w:rPr>
          <w:i/>
          <w:sz w:val="16"/>
        </w:rPr>
        <w:t>cuestiones indígenas Informe del Relator Especial sobre la situación de los derechos humanos y  las libertades fundamentales de los indígenas, Sr. Rodolfo Stavenhagen, presentado de conformidad con la resolución 2001/57 de la Comisión. </w:t>
      </w:r>
      <w:r>
        <w:rPr>
          <w:sz w:val="16"/>
        </w:rPr>
        <w:t>4 de febrero de 2002. Doc. E/CN.4/2002/97, párr.</w:t>
      </w:r>
      <w:r>
        <w:rPr>
          <w:spacing w:val="-23"/>
          <w:sz w:val="16"/>
        </w:rPr>
        <w:t> </w:t>
      </w:r>
      <w:r>
        <w:rPr>
          <w:sz w:val="16"/>
        </w:rPr>
        <w:t>57.</w:t>
      </w:r>
    </w:p>
    <w:p>
      <w:pPr>
        <w:spacing w:after="0"/>
        <w:jc w:val="both"/>
        <w:rPr>
          <w:sz w:val="16"/>
        </w:rPr>
        <w:sectPr>
          <w:footerReference w:type="default" r:id="rId61"/>
          <w:pgSz w:w="12240" w:h="15840"/>
          <w:pgMar w:footer="0" w:header="0" w:top="1340" w:bottom="280" w:left="1580" w:right="1580"/>
        </w:sectPr>
      </w:pPr>
    </w:p>
    <w:p>
      <w:pPr>
        <w:pStyle w:val="BodyText"/>
        <w:spacing w:line="252" w:lineRule="auto" w:before="77"/>
        <w:ind w:left="101" w:right="120"/>
        <w:jc w:val="both"/>
      </w:pPr>
      <w:r>
        <w:rPr/>
        <w:t>argumentativa en el caso, así como un consenso entre los jueces de la Corte. Desde esa perspectiva, se trató de una oportunidad perdida para lograr un acuerdo sobre el abordaje de casos relacionados con la justiciabilidad de los DESCA.</w:t>
      </w:r>
    </w:p>
    <w:p>
      <w:pPr>
        <w:pStyle w:val="BodyText"/>
        <w:rPr>
          <w:sz w:val="21"/>
        </w:rPr>
      </w:pPr>
    </w:p>
    <w:p>
      <w:pPr>
        <w:pStyle w:val="ListParagraph"/>
        <w:numPr>
          <w:ilvl w:val="0"/>
          <w:numId w:val="80"/>
        </w:numPr>
        <w:tabs>
          <w:tab w:pos="810" w:val="left" w:leader="none"/>
        </w:tabs>
        <w:spacing w:line="252" w:lineRule="auto" w:before="0" w:after="0"/>
        <w:ind w:left="101" w:right="116" w:firstLine="0"/>
        <w:jc w:val="both"/>
        <w:rPr>
          <w:sz w:val="20"/>
        </w:rPr>
      </w:pPr>
      <w:r>
        <w:rPr>
          <w:sz w:val="20"/>
        </w:rPr>
        <w:t>En el presente caso las intervenciones de numerosos amicus curiae, los peritajes agregados y las variadas citas tanto del PIDESC como de relatores del Sistema Universal señalan que los pueblos indígenas participan de una cosmogonía  que tiene como centro la relación entre los seres humanos y la tierra que habitan, lo que se aprecia en aspectos culturales, sociales, religiosos que definen un modo de vida en que uno no se puede realizar sin el otro. Tal vez sea el caso donde con mayor nitidez es posible apreciar la improcedencia e innecesaridad de invocar en la argumentación la autonomía de los DESCA. En la posición que sustento, en consecuencia, no existe diferencia alguna en cuanto a las consecuencias de la violación de un DESCA con la sustentada por la mayoría. En mi posición, los DESCA resultan reforzados en cuanto a su justiciabilidad, razón por la cual es posible aplicar medidas de reparación como las que resultan de la presente sentencia que he compartido con mi voto, sin que de ninguna manera puede verse afectada la aplicación y garantía de tales derechos. Como se dijera ut supra la cuestión es propiciar una teoría argumentativa que permita aplicar los DESCA en todos sus alcances sin dejar flancos para cuestionar la competencia de la Corte IDH para resolver estos casos y que  permita recoger el mayor apoyo entre los miembros del</w:t>
      </w:r>
      <w:r>
        <w:rPr>
          <w:spacing w:val="-11"/>
          <w:sz w:val="20"/>
        </w:rPr>
        <w:t> </w:t>
      </w:r>
      <w:r>
        <w:rPr>
          <w:sz w:val="20"/>
        </w:rPr>
        <w:t>Tribunal.</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pPr>
    </w:p>
    <w:p>
      <w:pPr>
        <w:pStyle w:val="BodyText"/>
        <w:ind w:left="6424" w:right="1070" w:hanging="1103"/>
      </w:pPr>
      <w:r>
        <w:rPr/>
        <w:t>Ricardo C. Pérez Manrique Juez</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3"/>
        </w:rPr>
      </w:pPr>
    </w:p>
    <w:p>
      <w:pPr>
        <w:pStyle w:val="BodyText"/>
        <w:spacing w:before="1"/>
        <w:ind w:left="1297" w:right="5718" w:hanging="633"/>
      </w:pPr>
      <w:r>
        <w:rPr/>
        <w:t>Pablo Saavedra Alessandri Secretario</w:t>
      </w:r>
    </w:p>
    <w:sectPr>
      <w:footerReference w:type="default" r:id="rId62"/>
      <w:pgSz w:w="12240" w:h="15840"/>
      <w:pgMar w:footer="0" w:header="0" w:top="1340" w:bottom="28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libri">
    <w:altName w:val="Calibri"/>
    <w:charset w:val="0"/>
    <w:family w:val="swiss"/>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01.290009pt;margin-top:730.976013pt;width:9.6pt;height:13.05pt;mso-position-horizontal-relative:page;mso-position-vertical-relative:page;z-index:-147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410004pt;margin-top:730.976013pt;width:13.3pt;height:13.05pt;mso-position-horizontal-relative:page;mso-position-vertical-relative:page;z-index:-14684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6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410004pt;margin-top:730.976013pt;width:13.3pt;height:13.05pt;mso-position-horizontal-relative:page;mso-position-vertical-relative:page;z-index:-14680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6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410004pt;margin-top:730.976013pt;width:13.3pt;height:13.05pt;mso-position-horizontal-relative:page;mso-position-vertical-relative:page;z-index:-14675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6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410004pt;margin-top:730.976013pt;width:13.3pt;height:13.05pt;mso-position-horizontal-relative:page;mso-position-vertical-relative:page;z-index:-14670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6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410004pt;margin-top:730.976013pt;width:13.3pt;height:13.05pt;mso-position-horizontal-relative:page;mso-position-vertical-relative:page;z-index:-14665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6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410004pt;margin-top:730.976013pt;width:13.3pt;height:13.05pt;mso-position-horizontal-relative:page;mso-position-vertical-relative:page;z-index:-14704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6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649994pt;margin-top:730.976013pt;width:20.75pt;height:13.05pt;mso-position-horizontal-relative:page;mso-position-vertical-relative:page;z-index:-146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649994pt;margin-top:730.976013pt;width:20.75pt;height:13.05pt;mso-position-horizontal-relative:page;mso-position-vertical-relative:page;z-index:-146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5.649994pt;margin-top:730.976013pt;width:20.75pt;height:13.05pt;mso-position-horizontal-relative:page;mso-position-vertical-relative:page;z-index:-146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5.649994pt;margin-top:730.976013pt;width:20.75pt;height:13.05pt;mso-position-horizontal-relative:page;mso-position-vertical-relative:page;z-index:-146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0.839996pt;margin-top:729.446167pt;width:10.4pt;height:14.2pt;mso-position-horizontal-relative:page;mso-position-vertical-relative:page;z-index:-146488" type="#_x0000_t202" filled="false" stroked="false">
          <v:textbox inset="0,0,0,0">
            <w:txbxContent>
              <w:p>
                <w:pPr>
                  <w:pStyle w:val="BodyText"/>
                  <w:spacing w:before="20"/>
                  <w:ind w:left="40"/>
                </w:pPr>
                <w:r>
                  <w:rPr/>
                  <w:fldChar w:fldCharType="begin"/>
                </w:r>
                <w:r>
                  <w:rPr>
                    <w:w w:val="100"/>
                  </w:rPr>
                  <w:instrText> PAGE </w:instrText>
                </w:r>
                <w:r>
                  <w:rPr/>
                  <w:fldChar w:fldCharType="separate"/>
                </w:r>
                <w:r>
                  <w:rPr/>
                  <w:t>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9.440002pt;margin-top:730.984985pt;width:9.6pt;height:13pt;mso-position-horizontal-relative:page;mso-position-vertical-relative:page;z-index:-1464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w w:val="99"/>
                    <w:sz w:val="22"/>
                  </w:rPr>
                  <w:instrText> PAGE </w:instrText>
                </w:r>
                <w:r>
                  <w:rPr/>
                  <w:fldChar w:fldCharType="separate"/>
                </w:r>
                <w:r>
                  <w:rPr/>
                  <w:t>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4.859985pt;margin-top:730.984985pt;width:13.2pt;height:13pt;mso-position-horizontal-relative:page;mso-position-vertical-relative:page;z-index:-146440"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3.859985pt;margin-top:730.984985pt;width:15.2pt;height:13pt;mso-position-horizontal-relative:page;mso-position-vertical-relative:page;z-index:-1464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7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4.859985pt;margin-top:730.984985pt;width:13.2pt;height:13pt;mso-position-horizontal-relative:page;mso-position-vertical-relative:page;z-index:-146392"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3.859985pt;margin-top:730.984985pt;width:15.2pt;height:13pt;mso-position-horizontal-relative:page;mso-position-vertical-relative:page;z-index:-1463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4.859985pt;margin-top:730.984985pt;width:13.2pt;height:13pt;mso-position-horizontal-relative:page;mso-position-vertical-relative:page;z-index:-146344"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410004pt;margin-top:730.976013pt;width:13.3pt;height:13.05pt;mso-position-horizontal-relative:page;mso-position-vertical-relative:page;z-index:-14699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3.559998pt;margin-top:741.877136pt;width:14.25pt;height:11.7pt;mso-position-horizontal-relative:page;mso-position-vertical-relative:page;z-index:-146320"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3.559998pt;margin-top:741.877136pt;width:14.25pt;height:11.7pt;mso-position-horizontal-relative:page;mso-position-vertical-relative:page;z-index:-146296" type="#_x0000_t202" filled="false" stroked="false">
          <v:textbox inset="0,0,0,0">
            <w:txbxContent>
              <w:p>
                <w:pPr>
                  <w:spacing w:before="19"/>
                  <w:ind w:left="40" w:right="0" w:firstLine="0"/>
                  <w:jc w:val="left"/>
                  <w:rPr>
                    <w:sz w:val="16"/>
                  </w:rPr>
                </w:pPr>
                <w:r>
                  <w:rPr/>
                  <w:fldChar w:fldCharType="begin"/>
                </w:r>
                <w:r>
                  <w:rPr>
                    <w:sz w:val="16"/>
                  </w:rPr>
                  <w:instrText> PAGE </w:instrText>
                </w:r>
                <w:r>
                  <w:rPr/>
                  <w:fldChar w:fldCharType="separate"/>
                </w:r>
                <w:r>
                  <w:rPr/>
                  <w:t>19</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6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410004pt;margin-top:730.976013pt;width:13.3pt;height:13.05pt;mso-position-horizontal-relative:page;mso-position-vertical-relative:page;z-index:-14694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6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9.410004pt;margin-top:730.976013pt;width:13.3pt;height:13.05pt;mso-position-horizontal-relative:page;mso-position-vertical-relative:page;z-index:-14689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410004pt;margin-top:730.976013pt;width:15.3pt;height:13.05pt;mso-position-horizontal-relative:page;mso-position-vertical-relative:page;z-index:-146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5">
    <w:multiLevelType w:val="hybridMultilevel"/>
    <w:lvl w:ilvl="0">
      <w:start w:val="1"/>
      <w:numFmt w:val="decimal"/>
      <w:lvlText w:val="%1."/>
      <w:lvlJc w:val="left"/>
      <w:pPr>
        <w:ind w:left="544" w:hanging="215"/>
        <w:jc w:val="left"/>
      </w:pPr>
      <w:rPr>
        <w:rFonts w:hint="default"/>
        <w:w w:val="99"/>
      </w:rPr>
    </w:lvl>
    <w:lvl w:ilvl="1">
      <w:start w:val="0"/>
      <w:numFmt w:val="bullet"/>
      <w:lvlText w:val="•"/>
      <w:lvlJc w:val="left"/>
      <w:pPr>
        <w:ind w:left="1408" w:hanging="215"/>
      </w:pPr>
      <w:rPr>
        <w:rFonts w:hint="default"/>
      </w:rPr>
    </w:lvl>
    <w:lvl w:ilvl="2">
      <w:start w:val="0"/>
      <w:numFmt w:val="bullet"/>
      <w:lvlText w:val="•"/>
      <w:lvlJc w:val="left"/>
      <w:pPr>
        <w:ind w:left="2276" w:hanging="215"/>
      </w:pPr>
      <w:rPr>
        <w:rFonts w:hint="default"/>
      </w:rPr>
    </w:lvl>
    <w:lvl w:ilvl="3">
      <w:start w:val="0"/>
      <w:numFmt w:val="bullet"/>
      <w:lvlText w:val="•"/>
      <w:lvlJc w:val="left"/>
      <w:pPr>
        <w:ind w:left="3144" w:hanging="215"/>
      </w:pPr>
      <w:rPr>
        <w:rFonts w:hint="default"/>
      </w:rPr>
    </w:lvl>
    <w:lvl w:ilvl="4">
      <w:start w:val="0"/>
      <w:numFmt w:val="bullet"/>
      <w:lvlText w:val="•"/>
      <w:lvlJc w:val="left"/>
      <w:pPr>
        <w:ind w:left="4012" w:hanging="215"/>
      </w:pPr>
      <w:rPr>
        <w:rFonts w:hint="default"/>
      </w:rPr>
    </w:lvl>
    <w:lvl w:ilvl="5">
      <w:start w:val="0"/>
      <w:numFmt w:val="bullet"/>
      <w:lvlText w:val="•"/>
      <w:lvlJc w:val="left"/>
      <w:pPr>
        <w:ind w:left="4880" w:hanging="215"/>
      </w:pPr>
      <w:rPr>
        <w:rFonts w:hint="default"/>
      </w:rPr>
    </w:lvl>
    <w:lvl w:ilvl="6">
      <w:start w:val="0"/>
      <w:numFmt w:val="bullet"/>
      <w:lvlText w:val="•"/>
      <w:lvlJc w:val="left"/>
      <w:pPr>
        <w:ind w:left="5748" w:hanging="215"/>
      </w:pPr>
      <w:rPr>
        <w:rFonts w:hint="default"/>
      </w:rPr>
    </w:lvl>
    <w:lvl w:ilvl="7">
      <w:start w:val="0"/>
      <w:numFmt w:val="bullet"/>
      <w:lvlText w:val="•"/>
      <w:lvlJc w:val="left"/>
      <w:pPr>
        <w:ind w:left="6616" w:hanging="215"/>
      </w:pPr>
      <w:rPr>
        <w:rFonts w:hint="default"/>
      </w:rPr>
    </w:lvl>
    <w:lvl w:ilvl="8">
      <w:start w:val="0"/>
      <w:numFmt w:val="bullet"/>
      <w:lvlText w:val="•"/>
      <w:lvlJc w:val="left"/>
      <w:pPr>
        <w:ind w:left="7484" w:hanging="215"/>
      </w:pPr>
      <w:rPr>
        <w:rFonts w:hint="default"/>
      </w:rPr>
    </w:lvl>
  </w:abstractNum>
  <w:abstractNum w:abstractNumId="44">
    <w:multiLevelType w:val="hybridMultilevel"/>
    <w:lvl w:ilvl="0">
      <w:start w:val="1"/>
      <w:numFmt w:val="upperRoman"/>
      <w:lvlText w:val="%1."/>
      <w:lvlJc w:val="left"/>
      <w:pPr>
        <w:ind w:left="1685" w:hanging="721"/>
        <w:jc w:val="left"/>
      </w:pPr>
      <w:rPr>
        <w:rFonts w:hint="default" w:ascii="Verdana" w:hAnsi="Verdana" w:eastAsia="Verdana" w:cs="Verdana"/>
        <w:b/>
        <w:bCs/>
        <w:spacing w:val="-1"/>
        <w:w w:val="100"/>
        <w:sz w:val="20"/>
        <w:szCs w:val="20"/>
      </w:rPr>
    </w:lvl>
    <w:lvl w:ilvl="1">
      <w:start w:val="0"/>
      <w:numFmt w:val="bullet"/>
      <w:lvlText w:val="•"/>
      <w:lvlJc w:val="left"/>
      <w:pPr>
        <w:ind w:left="2476" w:hanging="721"/>
      </w:pPr>
      <w:rPr>
        <w:rFonts w:hint="default"/>
      </w:rPr>
    </w:lvl>
    <w:lvl w:ilvl="2">
      <w:start w:val="0"/>
      <w:numFmt w:val="bullet"/>
      <w:lvlText w:val="•"/>
      <w:lvlJc w:val="left"/>
      <w:pPr>
        <w:ind w:left="3272" w:hanging="721"/>
      </w:pPr>
      <w:rPr>
        <w:rFonts w:hint="default"/>
      </w:rPr>
    </w:lvl>
    <w:lvl w:ilvl="3">
      <w:start w:val="0"/>
      <w:numFmt w:val="bullet"/>
      <w:lvlText w:val="•"/>
      <w:lvlJc w:val="left"/>
      <w:pPr>
        <w:ind w:left="4068" w:hanging="721"/>
      </w:pPr>
      <w:rPr>
        <w:rFonts w:hint="default"/>
      </w:rPr>
    </w:lvl>
    <w:lvl w:ilvl="4">
      <w:start w:val="0"/>
      <w:numFmt w:val="bullet"/>
      <w:lvlText w:val="•"/>
      <w:lvlJc w:val="left"/>
      <w:pPr>
        <w:ind w:left="4864" w:hanging="721"/>
      </w:pPr>
      <w:rPr>
        <w:rFonts w:hint="default"/>
      </w:rPr>
    </w:lvl>
    <w:lvl w:ilvl="5">
      <w:start w:val="0"/>
      <w:numFmt w:val="bullet"/>
      <w:lvlText w:val="•"/>
      <w:lvlJc w:val="left"/>
      <w:pPr>
        <w:ind w:left="5660" w:hanging="721"/>
      </w:pPr>
      <w:rPr>
        <w:rFonts w:hint="default"/>
      </w:rPr>
    </w:lvl>
    <w:lvl w:ilvl="6">
      <w:start w:val="0"/>
      <w:numFmt w:val="bullet"/>
      <w:lvlText w:val="•"/>
      <w:lvlJc w:val="left"/>
      <w:pPr>
        <w:ind w:left="6456" w:hanging="721"/>
      </w:pPr>
      <w:rPr>
        <w:rFonts w:hint="default"/>
      </w:rPr>
    </w:lvl>
    <w:lvl w:ilvl="7">
      <w:start w:val="0"/>
      <w:numFmt w:val="bullet"/>
      <w:lvlText w:val="•"/>
      <w:lvlJc w:val="left"/>
      <w:pPr>
        <w:ind w:left="7252" w:hanging="721"/>
      </w:pPr>
      <w:rPr>
        <w:rFonts w:hint="default"/>
      </w:rPr>
    </w:lvl>
    <w:lvl w:ilvl="8">
      <w:start w:val="0"/>
      <w:numFmt w:val="bullet"/>
      <w:lvlText w:val="•"/>
      <w:lvlJc w:val="left"/>
      <w:pPr>
        <w:ind w:left="8048" w:hanging="721"/>
      </w:pPr>
      <w:rPr>
        <w:rFonts w:hint="default"/>
      </w:rPr>
    </w:lvl>
  </w:abstractNum>
  <w:abstractNum w:abstractNumId="79">
    <w:multiLevelType w:val="hybridMultilevel"/>
    <w:lvl w:ilvl="0">
      <w:start w:val="14"/>
      <w:numFmt w:val="decimal"/>
      <w:lvlText w:val="%1."/>
      <w:lvlJc w:val="left"/>
      <w:pPr>
        <w:ind w:left="121" w:hanging="709"/>
        <w:jc w:val="left"/>
      </w:pPr>
      <w:rPr>
        <w:rFonts w:hint="default" w:ascii="Verdana" w:hAnsi="Verdana" w:eastAsia="Verdana" w:cs="Verdana"/>
        <w:spacing w:val="-1"/>
        <w:w w:val="100"/>
        <w:sz w:val="20"/>
        <w:szCs w:val="20"/>
      </w:rPr>
    </w:lvl>
    <w:lvl w:ilvl="1">
      <w:start w:val="0"/>
      <w:numFmt w:val="bullet"/>
      <w:lvlText w:val="•"/>
      <w:lvlJc w:val="left"/>
      <w:pPr>
        <w:ind w:left="1016" w:hanging="709"/>
      </w:pPr>
      <w:rPr>
        <w:rFonts w:hint="default"/>
      </w:rPr>
    </w:lvl>
    <w:lvl w:ilvl="2">
      <w:start w:val="0"/>
      <w:numFmt w:val="bullet"/>
      <w:lvlText w:val="•"/>
      <w:lvlJc w:val="left"/>
      <w:pPr>
        <w:ind w:left="1912" w:hanging="709"/>
      </w:pPr>
      <w:rPr>
        <w:rFonts w:hint="default"/>
      </w:rPr>
    </w:lvl>
    <w:lvl w:ilvl="3">
      <w:start w:val="0"/>
      <w:numFmt w:val="bullet"/>
      <w:lvlText w:val="•"/>
      <w:lvlJc w:val="left"/>
      <w:pPr>
        <w:ind w:left="2808" w:hanging="709"/>
      </w:pPr>
      <w:rPr>
        <w:rFonts w:hint="default"/>
      </w:rPr>
    </w:lvl>
    <w:lvl w:ilvl="4">
      <w:start w:val="0"/>
      <w:numFmt w:val="bullet"/>
      <w:lvlText w:val="•"/>
      <w:lvlJc w:val="left"/>
      <w:pPr>
        <w:ind w:left="3704" w:hanging="709"/>
      </w:pPr>
      <w:rPr>
        <w:rFonts w:hint="default"/>
      </w:rPr>
    </w:lvl>
    <w:lvl w:ilvl="5">
      <w:start w:val="0"/>
      <w:numFmt w:val="bullet"/>
      <w:lvlText w:val="•"/>
      <w:lvlJc w:val="left"/>
      <w:pPr>
        <w:ind w:left="4600" w:hanging="709"/>
      </w:pPr>
      <w:rPr>
        <w:rFonts w:hint="default"/>
      </w:rPr>
    </w:lvl>
    <w:lvl w:ilvl="6">
      <w:start w:val="0"/>
      <w:numFmt w:val="bullet"/>
      <w:lvlText w:val="•"/>
      <w:lvlJc w:val="left"/>
      <w:pPr>
        <w:ind w:left="5496" w:hanging="709"/>
      </w:pPr>
      <w:rPr>
        <w:rFonts w:hint="default"/>
      </w:rPr>
    </w:lvl>
    <w:lvl w:ilvl="7">
      <w:start w:val="0"/>
      <w:numFmt w:val="bullet"/>
      <w:lvlText w:val="•"/>
      <w:lvlJc w:val="left"/>
      <w:pPr>
        <w:ind w:left="6392" w:hanging="709"/>
      </w:pPr>
      <w:rPr>
        <w:rFonts w:hint="default"/>
      </w:rPr>
    </w:lvl>
    <w:lvl w:ilvl="8">
      <w:start w:val="0"/>
      <w:numFmt w:val="bullet"/>
      <w:lvlText w:val="•"/>
      <w:lvlJc w:val="left"/>
      <w:pPr>
        <w:ind w:left="7288" w:hanging="709"/>
      </w:pPr>
      <w:rPr>
        <w:rFonts w:hint="default"/>
      </w:rPr>
    </w:lvl>
  </w:abstractNum>
  <w:abstractNum w:abstractNumId="78">
    <w:multiLevelType w:val="hybridMultilevel"/>
    <w:lvl w:ilvl="0">
      <w:start w:val="1"/>
      <w:numFmt w:val="decimal"/>
      <w:lvlText w:val="%1."/>
      <w:lvlJc w:val="left"/>
      <w:pPr>
        <w:ind w:left="101" w:hanging="709"/>
        <w:jc w:val="left"/>
      </w:pPr>
      <w:rPr>
        <w:rFonts w:hint="default" w:ascii="Verdana" w:hAnsi="Verdana" w:eastAsia="Verdana" w:cs="Verdana"/>
        <w:spacing w:val="-1"/>
        <w:w w:val="100"/>
        <w:sz w:val="20"/>
        <w:szCs w:val="20"/>
      </w:rPr>
    </w:lvl>
    <w:lvl w:ilvl="1">
      <w:start w:val="0"/>
      <w:numFmt w:val="bullet"/>
      <w:lvlText w:val="•"/>
      <w:lvlJc w:val="left"/>
      <w:pPr>
        <w:ind w:left="996" w:hanging="709"/>
      </w:pPr>
      <w:rPr>
        <w:rFonts w:hint="default"/>
      </w:rPr>
    </w:lvl>
    <w:lvl w:ilvl="2">
      <w:start w:val="0"/>
      <w:numFmt w:val="bullet"/>
      <w:lvlText w:val="•"/>
      <w:lvlJc w:val="left"/>
      <w:pPr>
        <w:ind w:left="1892" w:hanging="709"/>
      </w:pPr>
      <w:rPr>
        <w:rFonts w:hint="default"/>
      </w:rPr>
    </w:lvl>
    <w:lvl w:ilvl="3">
      <w:start w:val="0"/>
      <w:numFmt w:val="bullet"/>
      <w:lvlText w:val="•"/>
      <w:lvlJc w:val="left"/>
      <w:pPr>
        <w:ind w:left="2788" w:hanging="709"/>
      </w:pPr>
      <w:rPr>
        <w:rFonts w:hint="default"/>
      </w:rPr>
    </w:lvl>
    <w:lvl w:ilvl="4">
      <w:start w:val="0"/>
      <w:numFmt w:val="bullet"/>
      <w:lvlText w:val="•"/>
      <w:lvlJc w:val="left"/>
      <w:pPr>
        <w:ind w:left="3684" w:hanging="709"/>
      </w:pPr>
      <w:rPr>
        <w:rFonts w:hint="default"/>
      </w:rPr>
    </w:lvl>
    <w:lvl w:ilvl="5">
      <w:start w:val="0"/>
      <w:numFmt w:val="bullet"/>
      <w:lvlText w:val="•"/>
      <w:lvlJc w:val="left"/>
      <w:pPr>
        <w:ind w:left="4580" w:hanging="709"/>
      </w:pPr>
      <w:rPr>
        <w:rFonts w:hint="default"/>
      </w:rPr>
    </w:lvl>
    <w:lvl w:ilvl="6">
      <w:start w:val="0"/>
      <w:numFmt w:val="bullet"/>
      <w:lvlText w:val="•"/>
      <w:lvlJc w:val="left"/>
      <w:pPr>
        <w:ind w:left="5476" w:hanging="709"/>
      </w:pPr>
      <w:rPr>
        <w:rFonts w:hint="default"/>
      </w:rPr>
    </w:lvl>
    <w:lvl w:ilvl="7">
      <w:start w:val="0"/>
      <w:numFmt w:val="bullet"/>
      <w:lvlText w:val="•"/>
      <w:lvlJc w:val="left"/>
      <w:pPr>
        <w:ind w:left="6372" w:hanging="709"/>
      </w:pPr>
      <w:rPr>
        <w:rFonts w:hint="default"/>
      </w:rPr>
    </w:lvl>
    <w:lvl w:ilvl="8">
      <w:start w:val="0"/>
      <w:numFmt w:val="bullet"/>
      <w:lvlText w:val="•"/>
      <w:lvlJc w:val="left"/>
      <w:pPr>
        <w:ind w:left="7268" w:hanging="709"/>
      </w:pPr>
      <w:rPr>
        <w:rFonts w:hint="default"/>
      </w:rPr>
    </w:lvl>
  </w:abstractNum>
  <w:abstractNum w:abstractNumId="77">
    <w:multiLevelType w:val="hybridMultilevel"/>
    <w:lvl w:ilvl="0">
      <w:start w:val="1"/>
      <w:numFmt w:val="upperRoman"/>
      <w:lvlText w:val="%1."/>
      <w:lvlJc w:val="left"/>
      <w:pPr>
        <w:ind w:left="1059" w:hanging="250"/>
        <w:jc w:val="left"/>
      </w:pPr>
      <w:rPr>
        <w:rFonts w:hint="default" w:ascii="Verdana" w:hAnsi="Verdana" w:eastAsia="Verdana" w:cs="Verdana"/>
        <w:b/>
        <w:bCs/>
        <w:i/>
        <w:w w:val="100"/>
        <w:sz w:val="20"/>
        <w:szCs w:val="20"/>
      </w:rPr>
    </w:lvl>
    <w:lvl w:ilvl="1">
      <w:start w:val="0"/>
      <w:numFmt w:val="bullet"/>
      <w:lvlText w:val="•"/>
      <w:lvlJc w:val="left"/>
      <w:pPr>
        <w:ind w:left="1860" w:hanging="250"/>
      </w:pPr>
      <w:rPr>
        <w:rFonts w:hint="default"/>
      </w:rPr>
    </w:lvl>
    <w:lvl w:ilvl="2">
      <w:start w:val="0"/>
      <w:numFmt w:val="bullet"/>
      <w:lvlText w:val="•"/>
      <w:lvlJc w:val="left"/>
      <w:pPr>
        <w:ind w:left="2660" w:hanging="250"/>
      </w:pPr>
      <w:rPr>
        <w:rFonts w:hint="default"/>
      </w:rPr>
    </w:lvl>
    <w:lvl w:ilvl="3">
      <w:start w:val="0"/>
      <w:numFmt w:val="bullet"/>
      <w:lvlText w:val="•"/>
      <w:lvlJc w:val="left"/>
      <w:pPr>
        <w:ind w:left="3460" w:hanging="250"/>
      </w:pPr>
      <w:rPr>
        <w:rFonts w:hint="default"/>
      </w:rPr>
    </w:lvl>
    <w:lvl w:ilvl="4">
      <w:start w:val="0"/>
      <w:numFmt w:val="bullet"/>
      <w:lvlText w:val="•"/>
      <w:lvlJc w:val="left"/>
      <w:pPr>
        <w:ind w:left="4260" w:hanging="250"/>
      </w:pPr>
      <w:rPr>
        <w:rFonts w:hint="default"/>
      </w:rPr>
    </w:lvl>
    <w:lvl w:ilvl="5">
      <w:start w:val="0"/>
      <w:numFmt w:val="bullet"/>
      <w:lvlText w:val="•"/>
      <w:lvlJc w:val="left"/>
      <w:pPr>
        <w:ind w:left="5060" w:hanging="250"/>
      </w:pPr>
      <w:rPr>
        <w:rFonts w:hint="default"/>
      </w:rPr>
    </w:lvl>
    <w:lvl w:ilvl="6">
      <w:start w:val="0"/>
      <w:numFmt w:val="bullet"/>
      <w:lvlText w:val="•"/>
      <w:lvlJc w:val="left"/>
      <w:pPr>
        <w:ind w:left="5860" w:hanging="250"/>
      </w:pPr>
      <w:rPr>
        <w:rFonts w:hint="default"/>
      </w:rPr>
    </w:lvl>
    <w:lvl w:ilvl="7">
      <w:start w:val="0"/>
      <w:numFmt w:val="bullet"/>
      <w:lvlText w:val="•"/>
      <w:lvlJc w:val="left"/>
      <w:pPr>
        <w:ind w:left="6660" w:hanging="250"/>
      </w:pPr>
      <w:rPr>
        <w:rFonts w:hint="default"/>
      </w:rPr>
    </w:lvl>
    <w:lvl w:ilvl="8">
      <w:start w:val="0"/>
      <w:numFmt w:val="bullet"/>
      <w:lvlText w:val="•"/>
      <w:lvlJc w:val="left"/>
      <w:pPr>
        <w:ind w:left="7460" w:hanging="250"/>
      </w:pPr>
      <w:rPr>
        <w:rFonts w:hint="default"/>
      </w:rPr>
    </w:lvl>
  </w:abstractNum>
  <w:abstractNum w:abstractNumId="76">
    <w:multiLevelType w:val="hybridMultilevel"/>
    <w:lvl w:ilvl="0">
      <w:start w:val="14"/>
      <w:numFmt w:val="decimal"/>
      <w:lvlText w:val="%1."/>
      <w:lvlJc w:val="left"/>
      <w:pPr>
        <w:ind w:left="118" w:hanging="709"/>
        <w:jc w:val="left"/>
      </w:pPr>
      <w:rPr>
        <w:rFonts w:hint="default" w:ascii="Verdana" w:hAnsi="Verdana" w:eastAsia="Verdana" w:cs="Verdana"/>
        <w:spacing w:val="-1"/>
        <w:w w:val="100"/>
        <w:sz w:val="20"/>
        <w:szCs w:val="20"/>
      </w:rPr>
    </w:lvl>
    <w:lvl w:ilvl="1">
      <w:start w:val="1"/>
      <w:numFmt w:val="decimal"/>
      <w:lvlText w:val="%2."/>
      <w:lvlJc w:val="left"/>
      <w:pPr>
        <w:ind w:left="826" w:hanging="214"/>
        <w:jc w:val="left"/>
      </w:pPr>
      <w:rPr>
        <w:rFonts w:hint="default" w:ascii="Verdana" w:hAnsi="Verdana" w:eastAsia="Verdana" w:cs="Verdana"/>
        <w:w w:val="99"/>
        <w:sz w:val="16"/>
        <w:szCs w:val="16"/>
      </w:rPr>
    </w:lvl>
    <w:lvl w:ilvl="2">
      <w:start w:val="0"/>
      <w:numFmt w:val="bullet"/>
      <w:lvlText w:val="•"/>
      <w:lvlJc w:val="left"/>
      <w:pPr>
        <w:ind w:left="1753" w:hanging="214"/>
      </w:pPr>
      <w:rPr>
        <w:rFonts w:hint="default"/>
      </w:rPr>
    </w:lvl>
    <w:lvl w:ilvl="3">
      <w:start w:val="0"/>
      <w:numFmt w:val="bullet"/>
      <w:lvlText w:val="•"/>
      <w:lvlJc w:val="left"/>
      <w:pPr>
        <w:ind w:left="2686" w:hanging="214"/>
      </w:pPr>
      <w:rPr>
        <w:rFonts w:hint="default"/>
      </w:rPr>
    </w:lvl>
    <w:lvl w:ilvl="4">
      <w:start w:val="0"/>
      <w:numFmt w:val="bullet"/>
      <w:lvlText w:val="•"/>
      <w:lvlJc w:val="left"/>
      <w:pPr>
        <w:ind w:left="3620" w:hanging="214"/>
      </w:pPr>
      <w:rPr>
        <w:rFonts w:hint="default"/>
      </w:rPr>
    </w:lvl>
    <w:lvl w:ilvl="5">
      <w:start w:val="0"/>
      <w:numFmt w:val="bullet"/>
      <w:lvlText w:val="•"/>
      <w:lvlJc w:val="left"/>
      <w:pPr>
        <w:ind w:left="4553" w:hanging="214"/>
      </w:pPr>
      <w:rPr>
        <w:rFonts w:hint="default"/>
      </w:rPr>
    </w:lvl>
    <w:lvl w:ilvl="6">
      <w:start w:val="0"/>
      <w:numFmt w:val="bullet"/>
      <w:lvlText w:val="•"/>
      <w:lvlJc w:val="left"/>
      <w:pPr>
        <w:ind w:left="5486" w:hanging="214"/>
      </w:pPr>
      <w:rPr>
        <w:rFonts w:hint="default"/>
      </w:rPr>
    </w:lvl>
    <w:lvl w:ilvl="7">
      <w:start w:val="0"/>
      <w:numFmt w:val="bullet"/>
      <w:lvlText w:val="•"/>
      <w:lvlJc w:val="left"/>
      <w:pPr>
        <w:ind w:left="6420" w:hanging="214"/>
      </w:pPr>
      <w:rPr>
        <w:rFonts w:hint="default"/>
      </w:rPr>
    </w:lvl>
    <w:lvl w:ilvl="8">
      <w:start w:val="0"/>
      <w:numFmt w:val="bullet"/>
      <w:lvlText w:val="•"/>
      <w:lvlJc w:val="left"/>
      <w:pPr>
        <w:ind w:left="7353" w:hanging="214"/>
      </w:pPr>
      <w:rPr>
        <w:rFonts w:hint="default"/>
      </w:rPr>
    </w:lvl>
  </w:abstractNum>
  <w:abstractNum w:abstractNumId="74">
    <w:multiLevelType w:val="hybridMultilevel"/>
    <w:lvl w:ilvl="0">
      <w:start w:val="1"/>
      <w:numFmt w:val="decimal"/>
      <w:lvlText w:val="%1."/>
      <w:lvlJc w:val="left"/>
      <w:pPr>
        <w:ind w:left="118" w:hanging="709"/>
        <w:jc w:val="left"/>
      </w:pPr>
      <w:rPr>
        <w:rFonts w:hint="default" w:ascii="Verdana" w:hAnsi="Verdana" w:eastAsia="Verdana" w:cs="Verdana"/>
        <w:spacing w:val="-1"/>
        <w:w w:val="100"/>
        <w:sz w:val="20"/>
        <w:szCs w:val="20"/>
      </w:rPr>
    </w:lvl>
    <w:lvl w:ilvl="1">
      <w:start w:val="1"/>
      <w:numFmt w:val="upperRoman"/>
      <w:lvlText w:val="%2."/>
      <w:lvlJc w:val="left"/>
      <w:pPr>
        <w:ind w:left="587" w:hanging="250"/>
        <w:jc w:val="left"/>
      </w:pPr>
      <w:rPr>
        <w:rFonts w:hint="default" w:ascii="Verdana" w:hAnsi="Verdana" w:eastAsia="Verdana" w:cs="Verdana"/>
        <w:b/>
        <w:bCs/>
        <w:w w:val="100"/>
        <w:sz w:val="20"/>
        <w:szCs w:val="20"/>
      </w:rPr>
    </w:lvl>
    <w:lvl w:ilvl="2">
      <w:start w:val="0"/>
      <w:numFmt w:val="bullet"/>
      <w:lvlText w:val="•"/>
      <w:lvlJc w:val="left"/>
      <w:pPr>
        <w:ind w:left="1540" w:hanging="250"/>
      </w:pPr>
      <w:rPr>
        <w:rFonts w:hint="default"/>
      </w:rPr>
    </w:lvl>
    <w:lvl w:ilvl="3">
      <w:start w:val="0"/>
      <w:numFmt w:val="bullet"/>
      <w:lvlText w:val="•"/>
      <w:lvlJc w:val="left"/>
      <w:pPr>
        <w:ind w:left="2500" w:hanging="250"/>
      </w:pPr>
      <w:rPr>
        <w:rFonts w:hint="default"/>
      </w:rPr>
    </w:lvl>
    <w:lvl w:ilvl="4">
      <w:start w:val="0"/>
      <w:numFmt w:val="bullet"/>
      <w:lvlText w:val="•"/>
      <w:lvlJc w:val="left"/>
      <w:pPr>
        <w:ind w:left="3460" w:hanging="250"/>
      </w:pPr>
      <w:rPr>
        <w:rFonts w:hint="default"/>
      </w:rPr>
    </w:lvl>
    <w:lvl w:ilvl="5">
      <w:start w:val="0"/>
      <w:numFmt w:val="bullet"/>
      <w:lvlText w:val="•"/>
      <w:lvlJc w:val="left"/>
      <w:pPr>
        <w:ind w:left="4420" w:hanging="250"/>
      </w:pPr>
      <w:rPr>
        <w:rFonts w:hint="default"/>
      </w:rPr>
    </w:lvl>
    <w:lvl w:ilvl="6">
      <w:start w:val="0"/>
      <w:numFmt w:val="bullet"/>
      <w:lvlText w:val="•"/>
      <w:lvlJc w:val="left"/>
      <w:pPr>
        <w:ind w:left="5380" w:hanging="250"/>
      </w:pPr>
      <w:rPr>
        <w:rFonts w:hint="default"/>
      </w:rPr>
    </w:lvl>
    <w:lvl w:ilvl="7">
      <w:start w:val="0"/>
      <w:numFmt w:val="bullet"/>
      <w:lvlText w:val="•"/>
      <w:lvlJc w:val="left"/>
      <w:pPr>
        <w:ind w:left="6340" w:hanging="250"/>
      </w:pPr>
      <w:rPr>
        <w:rFonts w:hint="default"/>
      </w:rPr>
    </w:lvl>
    <w:lvl w:ilvl="8">
      <w:start w:val="0"/>
      <w:numFmt w:val="bullet"/>
      <w:lvlText w:val="•"/>
      <w:lvlJc w:val="left"/>
      <w:pPr>
        <w:ind w:left="7300" w:hanging="250"/>
      </w:pPr>
      <w:rPr>
        <w:rFonts w:hint="default"/>
      </w:rPr>
    </w:lvl>
  </w:abstractNum>
  <w:abstractNum w:abstractNumId="73">
    <w:multiLevelType w:val="hybridMultilevel"/>
    <w:lvl w:ilvl="0">
      <w:start w:val="2"/>
      <w:numFmt w:val="upperLetter"/>
      <w:lvlText w:val="%1)"/>
      <w:lvlJc w:val="left"/>
      <w:pPr>
        <w:ind w:left="114" w:hanging="341"/>
        <w:jc w:val="left"/>
      </w:pPr>
      <w:rPr>
        <w:rFonts w:hint="default" w:ascii="Verdana" w:hAnsi="Verdana" w:eastAsia="Verdana" w:cs="Verdana"/>
        <w:b/>
        <w:bCs/>
        <w:w w:val="100"/>
        <w:sz w:val="20"/>
        <w:szCs w:val="20"/>
      </w:rPr>
    </w:lvl>
    <w:lvl w:ilvl="1">
      <w:start w:val="0"/>
      <w:numFmt w:val="bullet"/>
      <w:lvlText w:val="•"/>
      <w:lvlJc w:val="left"/>
      <w:pPr>
        <w:ind w:left="1124" w:hanging="341"/>
      </w:pPr>
      <w:rPr>
        <w:rFonts w:hint="default"/>
      </w:rPr>
    </w:lvl>
    <w:lvl w:ilvl="2">
      <w:start w:val="0"/>
      <w:numFmt w:val="bullet"/>
      <w:lvlText w:val="•"/>
      <w:lvlJc w:val="left"/>
      <w:pPr>
        <w:ind w:left="2128" w:hanging="341"/>
      </w:pPr>
      <w:rPr>
        <w:rFonts w:hint="default"/>
      </w:rPr>
    </w:lvl>
    <w:lvl w:ilvl="3">
      <w:start w:val="0"/>
      <w:numFmt w:val="bullet"/>
      <w:lvlText w:val="•"/>
      <w:lvlJc w:val="left"/>
      <w:pPr>
        <w:ind w:left="3132" w:hanging="341"/>
      </w:pPr>
      <w:rPr>
        <w:rFonts w:hint="default"/>
      </w:rPr>
    </w:lvl>
    <w:lvl w:ilvl="4">
      <w:start w:val="0"/>
      <w:numFmt w:val="bullet"/>
      <w:lvlText w:val="•"/>
      <w:lvlJc w:val="left"/>
      <w:pPr>
        <w:ind w:left="4136" w:hanging="341"/>
      </w:pPr>
      <w:rPr>
        <w:rFonts w:hint="default"/>
      </w:rPr>
    </w:lvl>
    <w:lvl w:ilvl="5">
      <w:start w:val="0"/>
      <w:numFmt w:val="bullet"/>
      <w:lvlText w:val="•"/>
      <w:lvlJc w:val="left"/>
      <w:pPr>
        <w:ind w:left="5141" w:hanging="341"/>
      </w:pPr>
      <w:rPr>
        <w:rFonts w:hint="default"/>
      </w:rPr>
    </w:lvl>
    <w:lvl w:ilvl="6">
      <w:start w:val="0"/>
      <w:numFmt w:val="bullet"/>
      <w:lvlText w:val="•"/>
      <w:lvlJc w:val="left"/>
      <w:pPr>
        <w:ind w:left="6145" w:hanging="341"/>
      </w:pPr>
      <w:rPr>
        <w:rFonts w:hint="default"/>
      </w:rPr>
    </w:lvl>
    <w:lvl w:ilvl="7">
      <w:start w:val="0"/>
      <w:numFmt w:val="bullet"/>
      <w:lvlText w:val="•"/>
      <w:lvlJc w:val="left"/>
      <w:pPr>
        <w:ind w:left="7149" w:hanging="341"/>
      </w:pPr>
      <w:rPr>
        <w:rFonts w:hint="default"/>
      </w:rPr>
    </w:lvl>
    <w:lvl w:ilvl="8">
      <w:start w:val="0"/>
      <w:numFmt w:val="bullet"/>
      <w:lvlText w:val="•"/>
      <w:lvlJc w:val="left"/>
      <w:pPr>
        <w:ind w:left="8153" w:hanging="341"/>
      </w:pPr>
      <w:rPr>
        <w:rFonts w:hint="default"/>
      </w:rPr>
    </w:lvl>
  </w:abstractNum>
  <w:abstractNum w:abstractNumId="72">
    <w:multiLevelType w:val="hybridMultilevel"/>
    <w:lvl w:ilvl="0">
      <w:start w:val="1"/>
      <w:numFmt w:val="decimal"/>
      <w:lvlText w:val="%1."/>
      <w:lvlJc w:val="left"/>
      <w:pPr>
        <w:ind w:left="114" w:hanging="709"/>
        <w:jc w:val="left"/>
      </w:pPr>
      <w:rPr>
        <w:rFonts w:hint="default" w:ascii="Verdana" w:hAnsi="Verdana" w:eastAsia="Verdana" w:cs="Verdana"/>
        <w:spacing w:val="-1"/>
        <w:w w:val="100"/>
        <w:sz w:val="20"/>
        <w:szCs w:val="20"/>
      </w:rPr>
    </w:lvl>
    <w:lvl w:ilvl="1">
      <w:start w:val="1"/>
      <w:numFmt w:val="upperLetter"/>
      <w:lvlText w:val="%2)"/>
      <w:lvlJc w:val="left"/>
      <w:pPr>
        <w:ind w:left="1194" w:hanging="340"/>
        <w:jc w:val="left"/>
      </w:pPr>
      <w:rPr>
        <w:rFonts w:hint="default" w:ascii="Verdana" w:hAnsi="Verdana" w:eastAsia="Verdana" w:cs="Verdana"/>
        <w:b/>
        <w:bCs/>
        <w:spacing w:val="-1"/>
        <w:w w:val="100"/>
        <w:sz w:val="20"/>
        <w:szCs w:val="20"/>
      </w:rPr>
    </w:lvl>
    <w:lvl w:ilvl="2">
      <w:start w:val="0"/>
      <w:numFmt w:val="bullet"/>
      <w:lvlText w:val="•"/>
      <w:lvlJc w:val="left"/>
      <w:pPr>
        <w:ind w:left="2195" w:hanging="340"/>
      </w:pPr>
      <w:rPr>
        <w:rFonts w:hint="default"/>
      </w:rPr>
    </w:lvl>
    <w:lvl w:ilvl="3">
      <w:start w:val="0"/>
      <w:numFmt w:val="bullet"/>
      <w:lvlText w:val="•"/>
      <w:lvlJc w:val="left"/>
      <w:pPr>
        <w:ind w:left="3191" w:hanging="340"/>
      </w:pPr>
      <w:rPr>
        <w:rFonts w:hint="default"/>
      </w:rPr>
    </w:lvl>
    <w:lvl w:ilvl="4">
      <w:start w:val="0"/>
      <w:numFmt w:val="bullet"/>
      <w:lvlText w:val="•"/>
      <w:lvlJc w:val="left"/>
      <w:pPr>
        <w:ind w:left="4187" w:hanging="340"/>
      </w:pPr>
      <w:rPr>
        <w:rFonts w:hint="default"/>
      </w:rPr>
    </w:lvl>
    <w:lvl w:ilvl="5">
      <w:start w:val="0"/>
      <w:numFmt w:val="bullet"/>
      <w:lvlText w:val="•"/>
      <w:lvlJc w:val="left"/>
      <w:pPr>
        <w:ind w:left="5183" w:hanging="340"/>
      </w:pPr>
      <w:rPr>
        <w:rFonts w:hint="default"/>
      </w:rPr>
    </w:lvl>
    <w:lvl w:ilvl="6">
      <w:start w:val="0"/>
      <w:numFmt w:val="bullet"/>
      <w:lvlText w:val="•"/>
      <w:lvlJc w:val="left"/>
      <w:pPr>
        <w:ind w:left="6179" w:hanging="340"/>
      </w:pPr>
      <w:rPr>
        <w:rFonts w:hint="default"/>
      </w:rPr>
    </w:lvl>
    <w:lvl w:ilvl="7">
      <w:start w:val="0"/>
      <w:numFmt w:val="bullet"/>
      <w:lvlText w:val="•"/>
      <w:lvlJc w:val="left"/>
      <w:pPr>
        <w:ind w:left="7174" w:hanging="340"/>
      </w:pPr>
      <w:rPr>
        <w:rFonts w:hint="default"/>
      </w:rPr>
    </w:lvl>
    <w:lvl w:ilvl="8">
      <w:start w:val="0"/>
      <w:numFmt w:val="bullet"/>
      <w:lvlText w:val="•"/>
      <w:lvlJc w:val="left"/>
      <w:pPr>
        <w:ind w:left="8170" w:hanging="340"/>
      </w:pPr>
      <w:rPr>
        <w:rFonts w:hint="default"/>
      </w:rPr>
    </w:lvl>
  </w:abstractNum>
  <w:abstractNum w:abstractNumId="71">
    <w:multiLevelType w:val="hybridMultilevel"/>
    <w:lvl w:ilvl="0">
      <w:start w:val="85"/>
      <w:numFmt w:val="decimal"/>
      <w:lvlText w:val="%1."/>
      <w:lvlJc w:val="left"/>
      <w:pPr>
        <w:ind w:left="681" w:hanging="709"/>
        <w:jc w:val="left"/>
      </w:pPr>
      <w:rPr>
        <w:rFonts w:hint="default" w:ascii="Verdana" w:hAnsi="Verdana" w:eastAsia="Verdana" w:cs="Verdana"/>
        <w:spacing w:val="-1"/>
        <w:w w:val="100"/>
        <w:sz w:val="20"/>
        <w:szCs w:val="20"/>
      </w:rPr>
    </w:lvl>
    <w:lvl w:ilvl="1">
      <w:start w:val="0"/>
      <w:numFmt w:val="bullet"/>
      <w:lvlText w:val="•"/>
      <w:lvlJc w:val="left"/>
      <w:pPr>
        <w:ind w:left="1576" w:hanging="709"/>
      </w:pPr>
      <w:rPr>
        <w:rFonts w:hint="default"/>
      </w:rPr>
    </w:lvl>
    <w:lvl w:ilvl="2">
      <w:start w:val="0"/>
      <w:numFmt w:val="bullet"/>
      <w:lvlText w:val="•"/>
      <w:lvlJc w:val="left"/>
      <w:pPr>
        <w:ind w:left="2472" w:hanging="709"/>
      </w:pPr>
      <w:rPr>
        <w:rFonts w:hint="default"/>
      </w:rPr>
    </w:lvl>
    <w:lvl w:ilvl="3">
      <w:start w:val="0"/>
      <w:numFmt w:val="bullet"/>
      <w:lvlText w:val="•"/>
      <w:lvlJc w:val="left"/>
      <w:pPr>
        <w:ind w:left="3368" w:hanging="709"/>
      </w:pPr>
      <w:rPr>
        <w:rFonts w:hint="default"/>
      </w:rPr>
    </w:lvl>
    <w:lvl w:ilvl="4">
      <w:start w:val="0"/>
      <w:numFmt w:val="bullet"/>
      <w:lvlText w:val="•"/>
      <w:lvlJc w:val="left"/>
      <w:pPr>
        <w:ind w:left="4264" w:hanging="709"/>
      </w:pPr>
      <w:rPr>
        <w:rFonts w:hint="default"/>
      </w:rPr>
    </w:lvl>
    <w:lvl w:ilvl="5">
      <w:start w:val="0"/>
      <w:numFmt w:val="bullet"/>
      <w:lvlText w:val="•"/>
      <w:lvlJc w:val="left"/>
      <w:pPr>
        <w:ind w:left="5160" w:hanging="709"/>
      </w:pPr>
      <w:rPr>
        <w:rFonts w:hint="default"/>
      </w:rPr>
    </w:lvl>
    <w:lvl w:ilvl="6">
      <w:start w:val="0"/>
      <w:numFmt w:val="bullet"/>
      <w:lvlText w:val="•"/>
      <w:lvlJc w:val="left"/>
      <w:pPr>
        <w:ind w:left="6056" w:hanging="709"/>
      </w:pPr>
      <w:rPr>
        <w:rFonts w:hint="default"/>
      </w:rPr>
    </w:lvl>
    <w:lvl w:ilvl="7">
      <w:start w:val="0"/>
      <w:numFmt w:val="bullet"/>
      <w:lvlText w:val="•"/>
      <w:lvlJc w:val="left"/>
      <w:pPr>
        <w:ind w:left="6952" w:hanging="709"/>
      </w:pPr>
      <w:rPr>
        <w:rFonts w:hint="default"/>
      </w:rPr>
    </w:lvl>
    <w:lvl w:ilvl="8">
      <w:start w:val="0"/>
      <w:numFmt w:val="bullet"/>
      <w:lvlText w:val="•"/>
      <w:lvlJc w:val="left"/>
      <w:pPr>
        <w:ind w:left="7848" w:hanging="709"/>
      </w:pPr>
      <w:rPr>
        <w:rFonts w:hint="default"/>
      </w:rPr>
    </w:lvl>
  </w:abstractNum>
  <w:abstractNum w:abstractNumId="70">
    <w:multiLevelType w:val="hybridMultilevel"/>
    <w:lvl w:ilvl="0">
      <w:start w:val="2"/>
      <w:numFmt w:val="decimal"/>
      <w:lvlText w:val="%1."/>
      <w:lvlJc w:val="left"/>
      <w:pPr>
        <w:ind w:left="681" w:hanging="207"/>
        <w:jc w:val="left"/>
      </w:pPr>
      <w:rPr>
        <w:rFonts w:hint="default" w:ascii="Verdana" w:hAnsi="Verdana" w:eastAsia="Verdana" w:cs="Verdana"/>
        <w:i/>
        <w:w w:val="99"/>
        <w:sz w:val="16"/>
        <w:szCs w:val="16"/>
      </w:rPr>
    </w:lvl>
    <w:lvl w:ilvl="1">
      <w:start w:val="0"/>
      <w:numFmt w:val="bullet"/>
      <w:lvlText w:val="•"/>
      <w:lvlJc w:val="left"/>
      <w:pPr>
        <w:ind w:left="1576" w:hanging="207"/>
      </w:pPr>
      <w:rPr>
        <w:rFonts w:hint="default"/>
      </w:rPr>
    </w:lvl>
    <w:lvl w:ilvl="2">
      <w:start w:val="0"/>
      <w:numFmt w:val="bullet"/>
      <w:lvlText w:val="•"/>
      <w:lvlJc w:val="left"/>
      <w:pPr>
        <w:ind w:left="2472" w:hanging="207"/>
      </w:pPr>
      <w:rPr>
        <w:rFonts w:hint="default"/>
      </w:rPr>
    </w:lvl>
    <w:lvl w:ilvl="3">
      <w:start w:val="0"/>
      <w:numFmt w:val="bullet"/>
      <w:lvlText w:val="•"/>
      <w:lvlJc w:val="left"/>
      <w:pPr>
        <w:ind w:left="3368" w:hanging="207"/>
      </w:pPr>
      <w:rPr>
        <w:rFonts w:hint="default"/>
      </w:rPr>
    </w:lvl>
    <w:lvl w:ilvl="4">
      <w:start w:val="0"/>
      <w:numFmt w:val="bullet"/>
      <w:lvlText w:val="•"/>
      <w:lvlJc w:val="left"/>
      <w:pPr>
        <w:ind w:left="4264" w:hanging="207"/>
      </w:pPr>
      <w:rPr>
        <w:rFonts w:hint="default"/>
      </w:rPr>
    </w:lvl>
    <w:lvl w:ilvl="5">
      <w:start w:val="0"/>
      <w:numFmt w:val="bullet"/>
      <w:lvlText w:val="•"/>
      <w:lvlJc w:val="left"/>
      <w:pPr>
        <w:ind w:left="5160" w:hanging="207"/>
      </w:pPr>
      <w:rPr>
        <w:rFonts w:hint="default"/>
      </w:rPr>
    </w:lvl>
    <w:lvl w:ilvl="6">
      <w:start w:val="0"/>
      <w:numFmt w:val="bullet"/>
      <w:lvlText w:val="•"/>
      <w:lvlJc w:val="left"/>
      <w:pPr>
        <w:ind w:left="6056" w:hanging="207"/>
      </w:pPr>
      <w:rPr>
        <w:rFonts w:hint="default"/>
      </w:rPr>
    </w:lvl>
    <w:lvl w:ilvl="7">
      <w:start w:val="0"/>
      <w:numFmt w:val="bullet"/>
      <w:lvlText w:val="•"/>
      <w:lvlJc w:val="left"/>
      <w:pPr>
        <w:ind w:left="6952" w:hanging="207"/>
      </w:pPr>
      <w:rPr>
        <w:rFonts w:hint="default"/>
      </w:rPr>
    </w:lvl>
    <w:lvl w:ilvl="8">
      <w:start w:val="0"/>
      <w:numFmt w:val="bullet"/>
      <w:lvlText w:val="•"/>
      <w:lvlJc w:val="left"/>
      <w:pPr>
        <w:ind w:left="7848" w:hanging="207"/>
      </w:pPr>
      <w:rPr>
        <w:rFonts w:hint="default"/>
      </w:rPr>
    </w:lvl>
  </w:abstractNum>
  <w:abstractNum w:abstractNumId="69">
    <w:multiLevelType w:val="hybridMultilevel"/>
    <w:lvl w:ilvl="0">
      <w:start w:val="82"/>
      <w:numFmt w:val="decimal"/>
      <w:lvlText w:val="%1."/>
      <w:lvlJc w:val="left"/>
      <w:pPr>
        <w:ind w:left="681" w:hanging="709"/>
        <w:jc w:val="left"/>
      </w:pPr>
      <w:rPr>
        <w:rFonts w:hint="default" w:ascii="Verdana" w:hAnsi="Verdana" w:eastAsia="Verdana" w:cs="Verdana"/>
        <w:spacing w:val="-1"/>
        <w:w w:val="100"/>
        <w:sz w:val="20"/>
        <w:szCs w:val="20"/>
      </w:rPr>
    </w:lvl>
    <w:lvl w:ilvl="1">
      <w:start w:val="0"/>
      <w:numFmt w:val="bullet"/>
      <w:lvlText w:val="•"/>
      <w:lvlJc w:val="left"/>
      <w:pPr>
        <w:ind w:left="1576" w:hanging="709"/>
      </w:pPr>
      <w:rPr>
        <w:rFonts w:hint="default"/>
      </w:rPr>
    </w:lvl>
    <w:lvl w:ilvl="2">
      <w:start w:val="0"/>
      <w:numFmt w:val="bullet"/>
      <w:lvlText w:val="•"/>
      <w:lvlJc w:val="left"/>
      <w:pPr>
        <w:ind w:left="2472" w:hanging="709"/>
      </w:pPr>
      <w:rPr>
        <w:rFonts w:hint="default"/>
      </w:rPr>
    </w:lvl>
    <w:lvl w:ilvl="3">
      <w:start w:val="0"/>
      <w:numFmt w:val="bullet"/>
      <w:lvlText w:val="•"/>
      <w:lvlJc w:val="left"/>
      <w:pPr>
        <w:ind w:left="3368" w:hanging="709"/>
      </w:pPr>
      <w:rPr>
        <w:rFonts w:hint="default"/>
      </w:rPr>
    </w:lvl>
    <w:lvl w:ilvl="4">
      <w:start w:val="0"/>
      <w:numFmt w:val="bullet"/>
      <w:lvlText w:val="•"/>
      <w:lvlJc w:val="left"/>
      <w:pPr>
        <w:ind w:left="4264" w:hanging="709"/>
      </w:pPr>
      <w:rPr>
        <w:rFonts w:hint="default"/>
      </w:rPr>
    </w:lvl>
    <w:lvl w:ilvl="5">
      <w:start w:val="0"/>
      <w:numFmt w:val="bullet"/>
      <w:lvlText w:val="•"/>
      <w:lvlJc w:val="left"/>
      <w:pPr>
        <w:ind w:left="5160" w:hanging="709"/>
      </w:pPr>
      <w:rPr>
        <w:rFonts w:hint="default"/>
      </w:rPr>
    </w:lvl>
    <w:lvl w:ilvl="6">
      <w:start w:val="0"/>
      <w:numFmt w:val="bullet"/>
      <w:lvlText w:val="•"/>
      <w:lvlJc w:val="left"/>
      <w:pPr>
        <w:ind w:left="6056" w:hanging="709"/>
      </w:pPr>
      <w:rPr>
        <w:rFonts w:hint="default"/>
      </w:rPr>
    </w:lvl>
    <w:lvl w:ilvl="7">
      <w:start w:val="0"/>
      <w:numFmt w:val="bullet"/>
      <w:lvlText w:val="•"/>
      <w:lvlJc w:val="left"/>
      <w:pPr>
        <w:ind w:left="6952" w:hanging="709"/>
      </w:pPr>
      <w:rPr>
        <w:rFonts w:hint="default"/>
      </w:rPr>
    </w:lvl>
    <w:lvl w:ilvl="8">
      <w:start w:val="0"/>
      <w:numFmt w:val="bullet"/>
      <w:lvlText w:val="•"/>
      <w:lvlJc w:val="left"/>
      <w:pPr>
        <w:ind w:left="7848" w:hanging="709"/>
      </w:pPr>
      <w:rPr>
        <w:rFonts w:hint="default"/>
      </w:rPr>
    </w:lvl>
  </w:abstractNum>
  <w:abstractNum w:abstractNumId="68">
    <w:multiLevelType w:val="hybridMultilevel"/>
    <w:lvl w:ilvl="0">
      <w:start w:val="1"/>
      <w:numFmt w:val="lowerRoman"/>
      <w:lvlText w:val="%1)"/>
      <w:lvlJc w:val="left"/>
      <w:pPr>
        <w:ind w:left="681" w:hanging="202"/>
        <w:jc w:val="left"/>
      </w:pPr>
      <w:rPr>
        <w:rFonts w:hint="default" w:ascii="Verdana" w:hAnsi="Verdana" w:eastAsia="Verdana" w:cs="Verdana"/>
        <w:i/>
        <w:w w:val="99"/>
        <w:sz w:val="16"/>
        <w:szCs w:val="16"/>
      </w:rPr>
    </w:lvl>
    <w:lvl w:ilvl="1">
      <w:start w:val="0"/>
      <w:numFmt w:val="bullet"/>
      <w:lvlText w:val="•"/>
      <w:lvlJc w:val="left"/>
      <w:pPr>
        <w:ind w:left="1576" w:hanging="202"/>
      </w:pPr>
      <w:rPr>
        <w:rFonts w:hint="default"/>
      </w:rPr>
    </w:lvl>
    <w:lvl w:ilvl="2">
      <w:start w:val="0"/>
      <w:numFmt w:val="bullet"/>
      <w:lvlText w:val="•"/>
      <w:lvlJc w:val="left"/>
      <w:pPr>
        <w:ind w:left="2472" w:hanging="202"/>
      </w:pPr>
      <w:rPr>
        <w:rFonts w:hint="default"/>
      </w:rPr>
    </w:lvl>
    <w:lvl w:ilvl="3">
      <w:start w:val="0"/>
      <w:numFmt w:val="bullet"/>
      <w:lvlText w:val="•"/>
      <w:lvlJc w:val="left"/>
      <w:pPr>
        <w:ind w:left="3368" w:hanging="202"/>
      </w:pPr>
      <w:rPr>
        <w:rFonts w:hint="default"/>
      </w:rPr>
    </w:lvl>
    <w:lvl w:ilvl="4">
      <w:start w:val="0"/>
      <w:numFmt w:val="bullet"/>
      <w:lvlText w:val="•"/>
      <w:lvlJc w:val="left"/>
      <w:pPr>
        <w:ind w:left="4264" w:hanging="202"/>
      </w:pPr>
      <w:rPr>
        <w:rFonts w:hint="default"/>
      </w:rPr>
    </w:lvl>
    <w:lvl w:ilvl="5">
      <w:start w:val="0"/>
      <w:numFmt w:val="bullet"/>
      <w:lvlText w:val="•"/>
      <w:lvlJc w:val="left"/>
      <w:pPr>
        <w:ind w:left="5160" w:hanging="202"/>
      </w:pPr>
      <w:rPr>
        <w:rFonts w:hint="default"/>
      </w:rPr>
    </w:lvl>
    <w:lvl w:ilvl="6">
      <w:start w:val="0"/>
      <w:numFmt w:val="bullet"/>
      <w:lvlText w:val="•"/>
      <w:lvlJc w:val="left"/>
      <w:pPr>
        <w:ind w:left="6056" w:hanging="202"/>
      </w:pPr>
      <w:rPr>
        <w:rFonts w:hint="default"/>
      </w:rPr>
    </w:lvl>
    <w:lvl w:ilvl="7">
      <w:start w:val="0"/>
      <w:numFmt w:val="bullet"/>
      <w:lvlText w:val="•"/>
      <w:lvlJc w:val="left"/>
      <w:pPr>
        <w:ind w:left="6952" w:hanging="202"/>
      </w:pPr>
      <w:rPr>
        <w:rFonts w:hint="default"/>
      </w:rPr>
    </w:lvl>
    <w:lvl w:ilvl="8">
      <w:start w:val="0"/>
      <w:numFmt w:val="bullet"/>
      <w:lvlText w:val="•"/>
      <w:lvlJc w:val="left"/>
      <w:pPr>
        <w:ind w:left="7848" w:hanging="202"/>
      </w:pPr>
      <w:rPr>
        <w:rFonts w:hint="default"/>
      </w:rPr>
    </w:lvl>
  </w:abstractNum>
  <w:abstractNum w:abstractNumId="67">
    <w:multiLevelType w:val="hybridMultilevel"/>
    <w:lvl w:ilvl="0">
      <w:start w:val="1"/>
      <w:numFmt w:val="lowerLetter"/>
      <w:lvlText w:val="%1)"/>
      <w:lvlJc w:val="left"/>
      <w:pPr>
        <w:ind w:left="906" w:hanging="225"/>
        <w:jc w:val="left"/>
      </w:pPr>
      <w:rPr>
        <w:rFonts w:hint="default" w:ascii="Verdana" w:hAnsi="Verdana" w:eastAsia="Verdana" w:cs="Verdana"/>
        <w:i/>
        <w:w w:val="99"/>
        <w:sz w:val="16"/>
        <w:szCs w:val="16"/>
      </w:rPr>
    </w:lvl>
    <w:lvl w:ilvl="1">
      <w:start w:val="0"/>
      <w:numFmt w:val="bullet"/>
      <w:lvlText w:val="•"/>
      <w:lvlJc w:val="left"/>
      <w:pPr>
        <w:ind w:left="1774" w:hanging="225"/>
      </w:pPr>
      <w:rPr>
        <w:rFonts w:hint="default"/>
      </w:rPr>
    </w:lvl>
    <w:lvl w:ilvl="2">
      <w:start w:val="0"/>
      <w:numFmt w:val="bullet"/>
      <w:lvlText w:val="•"/>
      <w:lvlJc w:val="left"/>
      <w:pPr>
        <w:ind w:left="2648" w:hanging="225"/>
      </w:pPr>
      <w:rPr>
        <w:rFonts w:hint="default"/>
      </w:rPr>
    </w:lvl>
    <w:lvl w:ilvl="3">
      <w:start w:val="0"/>
      <w:numFmt w:val="bullet"/>
      <w:lvlText w:val="•"/>
      <w:lvlJc w:val="left"/>
      <w:pPr>
        <w:ind w:left="3522" w:hanging="225"/>
      </w:pPr>
      <w:rPr>
        <w:rFonts w:hint="default"/>
      </w:rPr>
    </w:lvl>
    <w:lvl w:ilvl="4">
      <w:start w:val="0"/>
      <w:numFmt w:val="bullet"/>
      <w:lvlText w:val="•"/>
      <w:lvlJc w:val="left"/>
      <w:pPr>
        <w:ind w:left="4396" w:hanging="225"/>
      </w:pPr>
      <w:rPr>
        <w:rFonts w:hint="default"/>
      </w:rPr>
    </w:lvl>
    <w:lvl w:ilvl="5">
      <w:start w:val="0"/>
      <w:numFmt w:val="bullet"/>
      <w:lvlText w:val="•"/>
      <w:lvlJc w:val="left"/>
      <w:pPr>
        <w:ind w:left="5270" w:hanging="225"/>
      </w:pPr>
      <w:rPr>
        <w:rFonts w:hint="default"/>
      </w:rPr>
    </w:lvl>
    <w:lvl w:ilvl="6">
      <w:start w:val="0"/>
      <w:numFmt w:val="bullet"/>
      <w:lvlText w:val="•"/>
      <w:lvlJc w:val="left"/>
      <w:pPr>
        <w:ind w:left="6144" w:hanging="225"/>
      </w:pPr>
      <w:rPr>
        <w:rFonts w:hint="default"/>
      </w:rPr>
    </w:lvl>
    <w:lvl w:ilvl="7">
      <w:start w:val="0"/>
      <w:numFmt w:val="bullet"/>
      <w:lvlText w:val="•"/>
      <w:lvlJc w:val="left"/>
      <w:pPr>
        <w:ind w:left="7018" w:hanging="225"/>
      </w:pPr>
      <w:rPr>
        <w:rFonts w:hint="default"/>
      </w:rPr>
    </w:lvl>
    <w:lvl w:ilvl="8">
      <w:start w:val="0"/>
      <w:numFmt w:val="bullet"/>
      <w:lvlText w:val="•"/>
      <w:lvlJc w:val="left"/>
      <w:pPr>
        <w:ind w:left="7892" w:hanging="225"/>
      </w:pPr>
      <w:rPr>
        <w:rFonts w:hint="default"/>
      </w:rPr>
    </w:lvl>
  </w:abstractNum>
  <w:abstractNum w:abstractNumId="66">
    <w:multiLevelType w:val="hybridMultilevel"/>
    <w:lvl w:ilvl="0">
      <w:start w:val="1"/>
      <w:numFmt w:val="lowerLetter"/>
      <w:lvlText w:val="%1)"/>
      <w:lvlJc w:val="left"/>
      <w:pPr>
        <w:ind w:left="906" w:hanging="225"/>
        <w:jc w:val="left"/>
      </w:pPr>
      <w:rPr>
        <w:rFonts w:hint="default" w:ascii="Verdana" w:hAnsi="Verdana" w:eastAsia="Verdana" w:cs="Verdana"/>
        <w:i/>
        <w:w w:val="99"/>
        <w:sz w:val="16"/>
        <w:szCs w:val="16"/>
      </w:rPr>
    </w:lvl>
    <w:lvl w:ilvl="1">
      <w:start w:val="0"/>
      <w:numFmt w:val="bullet"/>
      <w:lvlText w:val="•"/>
      <w:lvlJc w:val="left"/>
      <w:pPr>
        <w:ind w:left="1774" w:hanging="225"/>
      </w:pPr>
      <w:rPr>
        <w:rFonts w:hint="default"/>
      </w:rPr>
    </w:lvl>
    <w:lvl w:ilvl="2">
      <w:start w:val="0"/>
      <w:numFmt w:val="bullet"/>
      <w:lvlText w:val="•"/>
      <w:lvlJc w:val="left"/>
      <w:pPr>
        <w:ind w:left="2648" w:hanging="225"/>
      </w:pPr>
      <w:rPr>
        <w:rFonts w:hint="default"/>
      </w:rPr>
    </w:lvl>
    <w:lvl w:ilvl="3">
      <w:start w:val="0"/>
      <w:numFmt w:val="bullet"/>
      <w:lvlText w:val="•"/>
      <w:lvlJc w:val="left"/>
      <w:pPr>
        <w:ind w:left="3522" w:hanging="225"/>
      </w:pPr>
      <w:rPr>
        <w:rFonts w:hint="default"/>
      </w:rPr>
    </w:lvl>
    <w:lvl w:ilvl="4">
      <w:start w:val="0"/>
      <w:numFmt w:val="bullet"/>
      <w:lvlText w:val="•"/>
      <w:lvlJc w:val="left"/>
      <w:pPr>
        <w:ind w:left="4396" w:hanging="225"/>
      </w:pPr>
      <w:rPr>
        <w:rFonts w:hint="default"/>
      </w:rPr>
    </w:lvl>
    <w:lvl w:ilvl="5">
      <w:start w:val="0"/>
      <w:numFmt w:val="bullet"/>
      <w:lvlText w:val="•"/>
      <w:lvlJc w:val="left"/>
      <w:pPr>
        <w:ind w:left="5270" w:hanging="225"/>
      </w:pPr>
      <w:rPr>
        <w:rFonts w:hint="default"/>
      </w:rPr>
    </w:lvl>
    <w:lvl w:ilvl="6">
      <w:start w:val="0"/>
      <w:numFmt w:val="bullet"/>
      <w:lvlText w:val="•"/>
      <w:lvlJc w:val="left"/>
      <w:pPr>
        <w:ind w:left="6144" w:hanging="225"/>
      </w:pPr>
      <w:rPr>
        <w:rFonts w:hint="default"/>
      </w:rPr>
    </w:lvl>
    <w:lvl w:ilvl="7">
      <w:start w:val="0"/>
      <w:numFmt w:val="bullet"/>
      <w:lvlText w:val="•"/>
      <w:lvlJc w:val="left"/>
      <w:pPr>
        <w:ind w:left="7018" w:hanging="225"/>
      </w:pPr>
      <w:rPr>
        <w:rFonts w:hint="default"/>
      </w:rPr>
    </w:lvl>
    <w:lvl w:ilvl="8">
      <w:start w:val="0"/>
      <w:numFmt w:val="bullet"/>
      <w:lvlText w:val="•"/>
      <w:lvlJc w:val="left"/>
      <w:pPr>
        <w:ind w:left="7892" w:hanging="225"/>
      </w:pPr>
      <w:rPr>
        <w:rFonts w:hint="default"/>
      </w:rPr>
    </w:lvl>
  </w:abstractNum>
  <w:abstractNum w:abstractNumId="65">
    <w:multiLevelType w:val="hybridMultilevel"/>
    <w:lvl w:ilvl="0">
      <w:start w:val="1"/>
      <w:numFmt w:val="lowerLetter"/>
      <w:lvlText w:val="%1)"/>
      <w:lvlJc w:val="left"/>
      <w:pPr>
        <w:ind w:left="906" w:hanging="225"/>
        <w:jc w:val="left"/>
      </w:pPr>
      <w:rPr>
        <w:rFonts w:hint="default" w:ascii="Verdana" w:hAnsi="Verdana" w:eastAsia="Verdana" w:cs="Verdana"/>
        <w:i/>
        <w:w w:val="99"/>
        <w:sz w:val="16"/>
        <w:szCs w:val="16"/>
      </w:rPr>
    </w:lvl>
    <w:lvl w:ilvl="1">
      <w:start w:val="0"/>
      <w:numFmt w:val="bullet"/>
      <w:lvlText w:val="•"/>
      <w:lvlJc w:val="left"/>
      <w:pPr>
        <w:ind w:left="1774" w:hanging="225"/>
      </w:pPr>
      <w:rPr>
        <w:rFonts w:hint="default"/>
      </w:rPr>
    </w:lvl>
    <w:lvl w:ilvl="2">
      <w:start w:val="0"/>
      <w:numFmt w:val="bullet"/>
      <w:lvlText w:val="•"/>
      <w:lvlJc w:val="left"/>
      <w:pPr>
        <w:ind w:left="2648" w:hanging="225"/>
      </w:pPr>
      <w:rPr>
        <w:rFonts w:hint="default"/>
      </w:rPr>
    </w:lvl>
    <w:lvl w:ilvl="3">
      <w:start w:val="0"/>
      <w:numFmt w:val="bullet"/>
      <w:lvlText w:val="•"/>
      <w:lvlJc w:val="left"/>
      <w:pPr>
        <w:ind w:left="3522" w:hanging="225"/>
      </w:pPr>
      <w:rPr>
        <w:rFonts w:hint="default"/>
      </w:rPr>
    </w:lvl>
    <w:lvl w:ilvl="4">
      <w:start w:val="0"/>
      <w:numFmt w:val="bullet"/>
      <w:lvlText w:val="•"/>
      <w:lvlJc w:val="left"/>
      <w:pPr>
        <w:ind w:left="4396" w:hanging="225"/>
      </w:pPr>
      <w:rPr>
        <w:rFonts w:hint="default"/>
      </w:rPr>
    </w:lvl>
    <w:lvl w:ilvl="5">
      <w:start w:val="0"/>
      <w:numFmt w:val="bullet"/>
      <w:lvlText w:val="•"/>
      <w:lvlJc w:val="left"/>
      <w:pPr>
        <w:ind w:left="5270" w:hanging="225"/>
      </w:pPr>
      <w:rPr>
        <w:rFonts w:hint="default"/>
      </w:rPr>
    </w:lvl>
    <w:lvl w:ilvl="6">
      <w:start w:val="0"/>
      <w:numFmt w:val="bullet"/>
      <w:lvlText w:val="•"/>
      <w:lvlJc w:val="left"/>
      <w:pPr>
        <w:ind w:left="6144" w:hanging="225"/>
      </w:pPr>
      <w:rPr>
        <w:rFonts w:hint="default"/>
      </w:rPr>
    </w:lvl>
    <w:lvl w:ilvl="7">
      <w:start w:val="0"/>
      <w:numFmt w:val="bullet"/>
      <w:lvlText w:val="•"/>
      <w:lvlJc w:val="left"/>
      <w:pPr>
        <w:ind w:left="7018" w:hanging="225"/>
      </w:pPr>
      <w:rPr>
        <w:rFonts w:hint="default"/>
      </w:rPr>
    </w:lvl>
    <w:lvl w:ilvl="8">
      <w:start w:val="0"/>
      <w:numFmt w:val="bullet"/>
      <w:lvlText w:val="•"/>
      <w:lvlJc w:val="left"/>
      <w:pPr>
        <w:ind w:left="7892" w:hanging="225"/>
      </w:pPr>
      <w:rPr>
        <w:rFonts w:hint="default"/>
      </w:rPr>
    </w:lvl>
  </w:abstractNum>
  <w:abstractNum w:abstractNumId="64">
    <w:multiLevelType w:val="hybridMultilevel"/>
    <w:lvl w:ilvl="0">
      <w:start w:val="2"/>
      <w:numFmt w:val="decimal"/>
      <w:lvlText w:val="%1."/>
      <w:lvlJc w:val="left"/>
      <w:pPr>
        <w:ind w:left="681" w:hanging="226"/>
        <w:jc w:val="left"/>
      </w:pPr>
      <w:rPr>
        <w:rFonts w:hint="default" w:ascii="Verdana" w:hAnsi="Verdana" w:eastAsia="Verdana" w:cs="Verdana"/>
        <w:i/>
        <w:w w:val="99"/>
        <w:sz w:val="16"/>
        <w:szCs w:val="16"/>
      </w:rPr>
    </w:lvl>
    <w:lvl w:ilvl="1">
      <w:start w:val="0"/>
      <w:numFmt w:val="bullet"/>
      <w:lvlText w:val="•"/>
      <w:lvlJc w:val="left"/>
      <w:pPr>
        <w:ind w:left="1576" w:hanging="226"/>
      </w:pPr>
      <w:rPr>
        <w:rFonts w:hint="default"/>
      </w:rPr>
    </w:lvl>
    <w:lvl w:ilvl="2">
      <w:start w:val="0"/>
      <w:numFmt w:val="bullet"/>
      <w:lvlText w:val="•"/>
      <w:lvlJc w:val="left"/>
      <w:pPr>
        <w:ind w:left="2472" w:hanging="226"/>
      </w:pPr>
      <w:rPr>
        <w:rFonts w:hint="default"/>
      </w:rPr>
    </w:lvl>
    <w:lvl w:ilvl="3">
      <w:start w:val="0"/>
      <w:numFmt w:val="bullet"/>
      <w:lvlText w:val="•"/>
      <w:lvlJc w:val="left"/>
      <w:pPr>
        <w:ind w:left="3368" w:hanging="226"/>
      </w:pPr>
      <w:rPr>
        <w:rFonts w:hint="default"/>
      </w:rPr>
    </w:lvl>
    <w:lvl w:ilvl="4">
      <w:start w:val="0"/>
      <w:numFmt w:val="bullet"/>
      <w:lvlText w:val="•"/>
      <w:lvlJc w:val="left"/>
      <w:pPr>
        <w:ind w:left="4264" w:hanging="226"/>
      </w:pPr>
      <w:rPr>
        <w:rFonts w:hint="default"/>
      </w:rPr>
    </w:lvl>
    <w:lvl w:ilvl="5">
      <w:start w:val="0"/>
      <w:numFmt w:val="bullet"/>
      <w:lvlText w:val="•"/>
      <w:lvlJc w:val="left"/>
      <w:pPr>
        <w:ind w:left="5160" w:hanging="226"/>
      </w:pPr>
      <w:rPr>
        <w:rFonts w:hint="default"/>
      </w:rPr>
    </w:lvl>
    <w:lvl w:ilvl="6">
      <w:start w:val="0"/>
      <w:numFmt w:val="bullet"/>
      <w:lvlText w:val="•"/>
      <w:lvlJc w:val="left"/>
      <w:pPr>
        <w:ind w:left="6056" w:hanging="226"/>
      </w:pPr>
      <w:rPr>
        <w:rFonts w:hint="default"/>
      </w:rPr>
    </w:lvl>
    <w:lvl w:ilvl="7">
      <w:start w:val="0"/>
      <w:numFmt w:val="bullet"/>
      <w:lvlText w:val="•"/>
      <w:lvlJc w:val="left"/>
      <w:pPr>
        <w:ind w:left="6952" w:hanging="226"/>
      </w:pPr>
      <w:rPr>
        <w:rFonts w:hint="default"/>
      </w:rPr>
    </w:lvl>
    <w:lvl w:ilvl="8">
      <w:start w:val="0"/>
      <w:numFmt w:val="bullet"/>
      <w:lvlText w:val="•"/>
      <w:lvlJc w:val="left"/>
      <w:pPr>
        <w:ind w:left="7848" w:hanging="226"/>
      </w:pPr>
      <w:rPr>
        <w:rFonts w:hint="default"/>
      </w:rPr>
    </w:lvl>
  </w:abstractNum>
  <w:abstractNum w:abstractNumId="63">
    <w:multiLevelType w:val="hybridMultilevel"/>
    <w:lvl w:ilvl="0">
      <w:start w:val="2"/>
      <w:numFmt w:val="decimal"/>
      <w:lvlText w:val="%1."/>
      <w:lvlJc w:val="left"/>
      <w:pPr>
        <w:ind w:left="681" w:hanging="213"/>
        <w:jc w:val="left"/>
      </w:pPr>
      <w:rPr>
        <w:rFonts w:hint="default" w:ascii="Verdana" w:hAnsi="Verdana" w:eastAsia="Verdana" w:cs="Verdana"/>
        <w:i/>
        <w:w w:val="99"/>
        <w:sz w:val="16"/>
        <w:szCs w:val="16"/>
      </w:rPr>
    </w:lvl>
    <w:lvl w:ilvl="1">
      <w:start w:val="1"/>
      <w:numFmt w:val="lowerLetter"/>
      <w:lvlText w:val="%2."/>
      <w:lvlJc w:val="left"/>
      <w:pPr>
        <w:ind w:left="681" w:hanging="211"/>
        <w:jc w:val="left"/>
      </w:pPr>
      <w:rPr>
        <w:rFonts w:hint="default" w:ascii="Verdana" w:hAnsi="Verdana" w:eastAsia="Verdana" w:cs="Verdana"/>
        <w:i/>
        <w:w w:val="99"/>
        <w:sz w:val="16"/>
        <w:szCs w:val="16"/>
      </w:rPr>
    </w:lvl>
    <w:lvl w:ilvl="2">
      <w:start w:val="0"/>
      <w:numFmt w:val="bullet"/>
      <w:lvlText w:val="•"/>
      <w:lvlJc w:val="left"/>
      <w:pPr>
        <w:ind w:left="2472" w:hanging="211"/>
      </w:pPr>
      <w:rPr>
        <w:rFonts w:hint="default"/>
      </w:rPr>
    </w:lvl>
    <w:lvl w:ilvl="3">
      <w:start w:val="0"/>
      <w:numFmt w:val="bullet"/>
      <w:lvlText w:val="•"/>
      <w:lvlJc w:val="left"/>
      <w:pPr>
        <w:ind w:left="3368" w:hanging="211"/>
      </w:pPr>
      <w:rPr>
        <w:rFonts w:hint="default"/>
      </w:rPr>
    </w:lvl>
    <w:lvl w:ilvl="4">
      <w:start w:val="0"/>
      <w:numFmt w:val="bullet"/>
      <w:lvlText w:val="•"/>
      <w:lvlJc w:val="left"/>
      <w:pPr>
        <w:ind w:left="4264" w:hanging="211"/>
      </w:pPr>
      <w:rPr>
        <w:rFonts w:hint="default"/>
      </w:rPr>
    </w:lvl>
    <w:lvl w:ilvl="5">
      <w:start w:val="0"/>
      <w:numFmt w:val="bullet"/>
      <w:lvlText w:val="•"/>
      <w:lvlJc w:val="left"/>
      <w:pPr>
        <w:ind w:left="5160" w:hanging="211"/>
      </w:pPr>
      <w:rPr>
        <w:rFonts w:hint="default"/>
      </w:rPr>
    </w:lvl>
    <w:lvl w:ilvl="6">
      <w:start w:val="0"/>
      <w:numFmt w:val="bullet"/>
      <w:lvlText w:val="•"/>
      <w:lvlJc w:val="left"/>
      <w:pPr>
        <w:ind w:left="6056" w:hanging="211"/>
      </w:pPr>
      <w:rPr>
        <w:rFonts w:hint="default"/>
      </w:rPr>
    </w:lvl>
    <w:lvl w:ilvl="7">
      <w:start w:val="0"/>
      <w:numFmt w:val="bullet"/>
      <w:lvlText w:val="•"/>
      <w:lvlJc w:val="left"/>
      <w:pPr>
        <w:ind w:left="6952" w:hanging="211"/>
      </w:pPr>
      <w:rPr>
        <w:rFonts w:hint="default"/>
      </w:rPr>
    </w:lvl>
    <w:lvl w:ilvl="8">
      <w:start w:val="0"/>
      <w:numFmt w:val="bullet"/>
      <w:lvlText w:val="•"/>
      <w:lvlJc w:val="left"/>
      <w:pPr>
        <w:ind w:left="7848" w:hanging="211"/>
      </w:pPr>
      <w:rPr>
        <w:rFonts w:hint="default"/>
      </w:rPr>
    </w:lvl>
  </w:abstractNum>
  <w:abstractNum w:abstractNumId="62">
    <w:multiLevelType w:val="hybridMultilevel"/>
    <w:lvl w:ilvl="0">
      <w:start w:val="78"/>
      <w:numFmt w:val="decimal"/>
      <w:lvlText w:val="%1."/>
      <w:lvlJc w:val="left"/>
      <w:pPr>
        <w:ind w:left="681" w:hanging="709"/>
        <w:jc w:val="left"/>
      </w:pPr>
      <w:rPr>
        <w:rFonts w:hint="default" w:ascii="Verdana" w:hAnsi="Verdana" w:eastAsia="Verdana" w:cs="Verdana"/>
        <w:spacing w:val="-1"/>
        <w:w w:val="100"/>
        <w:sz w:val="20"/>
        <w:szCs w:val="20"/>
      </w:rPr>
    </w:lvl>
    <w:lvl w:ilvl="1">
      <w:start w:val="0"/>
      <w:numFmt w:val="bullet"/>
      <w:lvlText w:val="•"/>
      <w:lvlJc w:val="left"/>
      <w:pPr>
        <w:ind w:left="1576" w:hanging="709"/>
      </w:pPr>
      <w:rPr>
        <w:rFonts w:hint="default"/>
      </w:rPr>
    </w:lvl>
    <w:lvl w:ilvl="2">
      <w:start w:val="0"/>
      <w:numFmt w:val="bullet"/>
      <w:lvlText w:val="•"/>
      <w:lvlJc w:val="left"/>
      <w:pPr>
        <w:ind w:left="2472" w:hanging="709"/>
      </w:pPr>
      <w:rPr>
        <w:rFonts w:hint="default"/>
      </w:rPr>
    </w:lvl>
    <w:lvl w:ilvl="3">
      <w:start w:val="0"/>
      <w:numFmt w:val="bullet"/>
      <w:lvlText w:val="•"/>
      <w:lvlJc w:val="left"/>
      <w:pPr>
        <w:ind w:left="3368" w:hanging="709"/>
      </w:pPr>
      <w:rPr>
        <w:rFonts w:hint="default"/>
      </w:rPr>
    </w:lvl>
    <w:lvl w:ilvl="4">
      <w:start w:val="0"/>
      <w:numFmt w:val="bullet"/>
      <w:lvlText w:val="•"/>
      <w:lvlJc w:val="left"/>
      <w:pPr>
        <w:ind w:left="4264" w:hanging="709"/>
      </w:pPr>
      <w:rPr>
        <w:rFonts w:hint="default"/>
      </w:rPr>
    </w:lvl>
    <w:lvl w:ilvl="5">
      <w:start w:val="0"/>
      <w:numFmt w:val="bullet"/>
      <w:lvlText w:val="•"/>
      <w:lvlJc w:val="left"/>
      <w:pPr>
        <w:ind w:left="5160" w:hanging="709"/>
      </w:pPr>
      <w:rPr>
        <w:rFonts w:hint="default"/>
      </w:rPr>
    </w:lvl>
    <w:lvl w:ilvl="6">
      <w:start w:val="0"/>
      <w:numFmt w:val="bullet"/>
      <w:lvlText w:val="•"/>
      <w:lvlJc w:val="left"/>
      <w:pPr>
        <w:ind w:left="6056" w:hanging="709"/>
      </w:pPr>
      <w:rPr>
        <w:rFonts w:hint="default"/>
      </w:rPr>
    </w:lvl>
    <w:lvl w:ilvl="7">
      <w:start w:val="0"/>
      <w:numFmt w:val="bullet"/>
      <w:lvlText w:val="•"/>
      <w:lvlJc w:val="left"/>
      <w:pPr>
        <w:ind w:left="6952" w:hanging="709"/>
      </w:pPr>
      <w:rPr>
        <w:rFonts w:hint="default"/>
      </w:rPr>
    </w:lvl>
    <w:lvl w:ilvl="8">
      <w:start w:val="0"/>
      <w:numFmt w:val="bullet"/>
      <w:lvlText w:val="•"/>
      <w:lvlJc w:val="left"/>
      <w:pPr>
        <w:ind w:left="7848" w:hanging="709"/>
      </w:pPr>
      <w:rPr>
        <w:rFonts w:hint="default"/>
      </w:rPr>
    </w:lvl>
  </w:abstractNum>
  <w:abstractNum w:abstractNumId="61">
    <w:multiLevelType w:val="hybridMultilevel"/>
    <w:lvl w:ilvl="0">
      <w:start w:val="2"/>
      <w:numFmt w:val="decimal"/>
      <w:lvlText w:val="%1."/>
      <w:lvlJc w:val="left"/>
      <w:pPr>
        <w:ind w:left="681" w:hanging="221"/>
        <w:jc w:val="left"/>
      </w:pPr>
      <w:rPr>
        <w:rFonts w:hint="default" w:ascii="Verdana" w:hAnsi="Verdana" w:eastAsia="Verdana" w:cs="Verdana"/>
        <w:i/>
        <w:w w:val="99"/>
        <w:sz w:val="16"/>
        <w:szCs w:val="16"/>
      </w:rPr>
    </w:lvl>
    <w:lvl w:ilvl="1">
      <w:start w:val="0"/>
      <w:numFmt w:val="bullet"/>
      <w:lvlText w:val="•"/>
      <w:lvlJc w:val="left"/>
      <w:pPr>
        <w:ind w:left="1576" w:hanging="221"/>
      </w:pPr>
      <w:rPr>
        <w:rFonts w:hint="default"/>
      </w:rPr>
    </w:lvl>
    <w:lvl w:ilvl="2">
      <w:start w:val="0"/>
      <w:numFmt w:val="bullet"/>
      <w:lvlText w:val="•"/>
      <w:lvlJc w:val="left"/>
      <w:pPr>
        <w:ind w:left="2472" w:hanging="221"/>
      </w:pPr>
      <w:rPr>
        <w:rFonts w:hint="default"/>
      </w:rPr>
    </w:lvl>
    <w:lvl w:ilvl="3">
      <w:start w:val="0"/>
      <w:numFmt w:val="bullet"/>
      <w:lvlText w:val="•"/>
      <w:lvlJc w:val="left"/>
      <w:pPr>
        <w:ind w:left="3368" w:hanging="221"/>
      </w:pPr>
      <w:rPr>
        <w:rFonts w:hint="default"/>
      </w:rPr>
    </w:lvl>
    <w:lvl w:ilvl="4">
      <w:start w:val="0"/>
      <w:numFmt w:val="bullet"/>
      <w:lvlText w:val="•"/>
      <w:lvlJc w:val="left"/>
      <w:pPr>
        <w:ind w:left="4264" w:hanging="221"/>
      </w:pPr>
      <w:rPr>
        <w:rFonts w:hint="default"/>
      </w:rPr>
    </w:lvl>
    <w:lvl w:ilvl="5">
      <w:start w:val="0"/>
      <w:numFmt w:val="bullet"/>
      <w:lvlText w:val="•"/>
      <w:lvlJc w:val="left"/>
      <w:pPr>
        <w:ind w:left="5160" w:hanging="221"/>
      </w:pPr>
      <w:rPr>
        <w:rFonts w:hint="default"/>
      </w:rPr>
    </w:lvl>
    <w:lvl w:ilvl="6">
      <w:start w:val="0"/>
      <w:numFmt w:val="bullet"/>
      <w:lvlText w:val="•"/>
      <w:lvlJc w:val="left"/>
      <w:pPr>
        <w:ind w:left="6056" w:hanging="221"/>
      </w:pPr>
      <w:rPr>
        <w:rFonts w:hint="default"/>
      </w:rPr>
    </w:lvl>
    <w:lvl w:ilvl="7">
      <w:start w:val="0"/>
      <w:numFmt w:val="bullet"/>
      <w:lvlText w:val="•"/>
      <w:lvlJc w:val="left"/>
      <w:pPr>
        <w:ind w:left="6952" w:hanging="221"/>
      </w:pPr>
      <w:rPr>
        <w:rFonts w:hint="default"/>
      </w:rPr>
    </w:lvl>
    <w:lvl w:ilvl="8">
      <w:start w:val="0"/>
      <w:numFmt w:val="bullet"/>
      <w:lvlText w:val="•"/>
      <w:lvlJc w:val="left"/>
      <w:pPr>
        <w:ind w:left="7848" w:hanging="221"/>
      </w:pPr>
      <w:rPr>
        <w:rFonts w:hint="default"/>
      </w:rPr>
    </w:lvl>
  </w:abstractNum>
  <w:abstractNum w:abstractNumId="60">
    <w:multiLevelType w:val="hybridMultilevel"/>
    <w:lvl w:ilvl="0">
      <w:start w:val="1"/>
      <w:numFmt w:val="lowerLetter"/>
      <w:lvlText w:val="%1)"/>
      <w:lvlJc w:val="left"/>
      <w:pPr>
        <w:ind w:left="681" w:hanging="225"/>
        <w:jc w:val="left"/>
      </w:pPr>
      <w:rPr>
        <w:rFonts w:hint="default" w:ascii="Verdana" w:hAnsi="Verdana" w:eastAsia="Verdana" w:cs="Verdana"/>
        <w:i/>
        <w:w w:val="99"/>
        <w:sz w:val="16"/>
        <w:szCs w:val="16"/>
      </w:rPr>
    </w:lvl>
    <w:lvl w:ilvl="1">
      <w:start w:val="0"/>
      <w:numFmt w:val="bullet"/>
      <w:lvlText w:val="•"/>
      <w:lvlJc w:val="left"/>
      <w:pPr>
        <w:ind w:left="1576" w:hanging="225"/>
      </w:pPr>
      <w:rPr>
        <w:rFonts w:hint="default"/>
      </w:rPr>
    </w:lvl>
    <w:lvl w:ilvl="2">
      <w:start w:val="0"/>
      <w:numFmt w:val="bullet"/>
      <w:lvlText w:val="•"/>
      <w:lvlJc w:val="left"/>
      <w:pPr>
        <w:ind w:left="2472" w:hanging="225"/>
      </w:pPr>
      <w:rPr>
        <w:rFonts w:hint="default"/>
      </w:rPr>
    </w:lvl>
    <w:lvl w:ilvl="3">
      <w:start w:val="0"/>
      <w:numFmt w:val="bullet"/>
      <w:lvlText w:val="•"/>
      <w:lvlJc w:val="left"/>
      <w:pPr>
        <w:ind w:left="3368" w:hanging="225"/>
      </w:pPr>
      <w:rPr>
        <w:rFonts w:hint="default"/>
      </w:rPr>
    </w:lvl>
    <w:lvl w:ilvl="4">
      <w:start w:val="0"/>
      <w:numFmt w:val="bullet"/>
      <w:lvlText w:val="•"/>
      <w:lvlJc w:val="left"/>
      <w:pPr>
        <w:ind w:left="4264" w:hanging="225"/>
      </w:pPr>
      <w:rPr>
        <w:rFonts w:hint="default"/>
      </w:rPr>
    </w:lvl>
    <w:lvl w:ilvl="5">
      <w:start w:val="0"/>
      <w:numFmt w:val="bullet"/>
      <w:lvlText w:val="•"/>
      <w:lvlJc w:val="left"/>
      <w:pPr>
        <w:ind w:left="5160" w:hanging="225"/>
      </w:pPr>
      <w:rPr>
        <w:rFonts w:hint="default"/>
      </w:rPr>
    </w:lvl>
    <w:lvl w:ilvl="6">
      <w:start w:val="0"/>
      <w:numFmt w:val="bullet"/>
      <w:lvlText w:val="•"/>
      <w:lvlJc w:val="left"/>
      <w:pPr>
        <w:ind w:left="6056" w:hanging="225"/>
      </w:pPr>
      <w:rPr>
        <w:rFonts w:hint="default"/>
      </w:rPr>
    </w:lvl>
    <w:lvl w:ilvl="7">
      <w:start w:val="0"/>
      <w:numFmt w:val="bullet"/>
      <w:lvlText w:val="•"/>
      <w:lvlJc w:val="left"/>
      <w:pPr>
        <w:ind w:left="6952" w:hanging="225"/>
      </w:pPr>
      <w:rPr>
        <w:rFonts w:hint="default"/>
      </w:rPr>
    </w:lvl>
    <w:lvl w:ilvl="8">
      <w:start w:val="0"/>
      <w:numFmt w:val="bullet"/>
      <w:lvlText w:val="•"/>
      <w:lvlJc w:val="left"/>
      <w:pPr>
        <w:ind w:left="7848" w:hanging="225"/>
      </w:pPr>
      <w:rPr>
        <w:rFonts w:hint="default"/>
      </w:rPr>
    </w:lvl>
  </w:abstractNum>
  <w:abstractNum w:abstractNumId="59">
    <w:multiLevelType w:val="hybridMultilevel"/>
    <w:lvl w:ilvl="0">
      <w:start w:val="85"/>
      <w:numFmt w:val="decimal"/>
      <w:lvlText w:val="%1"/>
      <w:lvlJc w:val="left"/>
      <w:pPr>
        <w:ind w:left="681" w:hanging="178"/>
        <w:jc w:val="left"/>
      </w:pPr>
      <w:rPr>
        <w:rFonts w:hint="default" w:ascii="Calibri" w:hAnsi="Calibri" w:eastAsia="Calibri" w:cs="Calibri"/>
        <w:w w:val="99"/>
        <w:position w:val="7"/>
        <w:sz w:val="13"/>
        <w:szCs w:val="13"/>
      </w:rPr>
    </w:lvl>
    <w:lvl w:ilvl="1">
      <w:start w:val="0"/>
      <w:numFmt w:val="bullet"/>
      <w:lvlText w:val="•"/>
      <w:lvlJc w:val="left"/>
      <w:pPr>
        <w:ind w:left="1576" w:hanging="178"/>
      </w:pPr>
      <w:rPr>
        <w:rFonts w:hint="default"/>
      </w:rPr>
    </w:lvl>
    <w:lvl w:ilvl="2">
      <w:start w:val="0"/>
      <w:numFmt w:val="bullet"/>
      <w:lvlText w:val="•"/>
      <w:lvlJc w:val="left"/>
      <w:pPr>
        <w:ind w:left="2472" w:hanging="178"/>
      </w:pPr>
      <w:rPr>
        <w:rFonts w:hint="default"/>
      </w:rPr>
    </w:lvl>
    <w:lvl w:ilvl="3">
      <w:start w:val="0"/>
      <w:numFmt w:val="bullet"/>
      <w:lvlText w:val="•"/>
      <w:lvlJc w:val="left"/>
      <w:pPr>
        <w:ind w:left="3368" w:hanging="178"/>
      </w:pPr>
      <w:rPr>
        <w:rFonts w:hint="default"/>
      </w:rPr>
    </w:lvl>
    <w:lvl w:ilvl="4">
      <w:start w:val="0"/>
      <w:numFmt w:val="bullet"/>
      <w:lvlText w:val="•"/>
      <w:lvlJc w:val="left"/>
      <w:pPr>
        <w:ind w:left="4264" w:hanging="178"/>
      </w:pPr>
      <w:rPr>
        <w:rFonts w:hint="default"/>
      </w:rPr>
    </w:lvl>
    <w:lvl w:ilvl="5">
      <w:start w:val="0"/>
      <w:numFmt w:val="bullet"/>
      <w:lvlText w:val="•"/>
      <w:lvlJc w:val="left"/>
      <w:pPr>
        <w:ind w:left="5160" w:hanging="178"/>
      </w:pPr>
      <w:rPr>
        <w:rFonts w:hint="default"/>
      </w:rPr>
    </w:lvl>
    <w:lvl w:ilvl="6">
      <w:start w:val="0"/>
      <w:numFmt w:val="bullet"/>
      <w:lvlText w:val="•"/>
      <w:lvlJc w:val="left"/>
      <w:pPr>
        <w:ind w:left="6056" w:hanging="178"/>
      </w:pPr>
      <w:rPr>
        <w:rFonts w:hint="default"/>
      </w:rPr>
    </w:lvl>
    <w:lvl w:ilvl="7">
      <w:start w:val="0"/>
      <w:numFmt w:val="bullet"/>
      <w:lvlText w:val="•"/>
      <w:lvlJc w:val="left"/>
      <w:pPr>
        <w:ind w:left="6952" w:hanging="178"/>
      </w:pPr>
      <w:rPr>
        <w:rFonts w:hint="default"/>
      </w:rPr>
    </w:lvl>
    <w:lvl w:ilvl="8">
      <w:start w:val="0"/>
      <w:numFmt w:val="bullet"/>
      <w:lvlText w:val="•"/>
      <w:lvlJc w:val="left"/>
      <w:pPr>
        <w:ind w:left="7848" w:hanging="178"/>
      </w:pPr>
      <w:rPr>
        <w:rFonts w:hint="default"/>
      </w:rPr>
    </w:lvl>
  </w:abstractNum>
  <w:abstractNum w:abstractNumId="58">
    <w:multiLevelType w:val="hybridMultilevel"/>
    <w:lvl w:ilvl="0">
      <w:start w:val="56"/>
      <w:numFmt w:val="decimal"/>
      <w:lvlText w:val="%1."/>
      <w:lvlJc w:val="left"/>
      <w:pPr>
        <w:ind w:left="681" w:hanging="568"/>
        <w:jc w:val="left"/>
      </w:pPr>
      <w:rPr>
        <w:rFonts w:hint="default" w:ascii="Verdana" w:hAnsi="Verdana" w:eastAsia="Verdana" w:cs="Verdana"/>
        <w:spacing w:val="-1"/>
        <w:w w:val="100"/>
        <w:sz w:val="20"/>
        <w:szCs w:val="20"/>
      </w:rPr>
    </w:lvl>
    <w:lvl w:ilvl="1">
      <w:start w:val="0"/>
      <w:numFmt w:val="bullet"/>
      <w:lvlText w:val="•"/>
      <w:lvlJc w:val="left"/>
      <w:pPr>
        <w:ind w:left="1576" w:hanging="568"/>
      </w:pPr>
      <w:rPr>
        <w:rFonts w:hint="default"/>
      </w:rPr>
    </w:lvl>
    <w:lvl w:ilvl="2">
      <w:start w:val="0"/>
      <w:numFmt w:val="bullet"/>
      <w:lvlText w:val="•"/>
      <w:lvlJc w:val="left"/>
      <w:pPr>
        <w:ind w:left="2472" w:hanging="568"/>
      </w:pPr>
      <w:rPr>
        <w:rFonts w:hint="default"/>
      </w:rPr>
    </w:lvl>
    <w:lvl w:ilvl="3">
      <w:start w:val="0"/>
      <w:numFmt w:val="bullet"/>
      <w:lvlText w:val="•"/>
      <w:lvlJc w:val="left"/>
      <w:pPr>
        <w:ind w:left="3368" w:hanging="568"/>
      </w:pPr>
      <w:rPr>
        <w:rFonts w:hint="default"/>
      </w:rPr>
    </w:lvl>
    <w:lvl w:ilvl="4">
      <w:start w:val="0"/>
      <w:numFmt w:val="bullet"/>
      <w:lvlText w:val="•"/>
      <w:lvlJc w:val="left"/>
      <w:pPr>
        <w:ind w:left="4264" w:hanging="568"/>
      </w:pPr>
      <w:rPr>
        <w:rFonts w:hint="default"/>
      </w:rPr>
    </w:lvl>
    <w:lvl w:ilvl="5">
      <w:start w:val="0"/>
      <w:numFmt w:val="bullet"/>
      <w:lvlText w:val="•"/>
      <w:lvlJc w:val="left"/>
      <w:pPr>
        <w:ind w:left="5160" w:hanging="568"/>
      </w:pPr>
      <w:rPr>
        <w:rFonts w:hint="default"/>
      </w:rPr>
    </w:lvl>
    <w:lvl w:ilvl="6">
      <w:start w:val="0"/>
      <w:numFmt w:val="bullet"/>
      <w:lvlText w:val="•"/>
      <w:lvlJc w:val="left"/>
      <w:pPr>
        <w:ind w:left="6056" w:hanging="568"/>
      </w:pPr>
      <w:rPr>
        <w:rFonts w:hint="default"/>
      </w:rPr>
    </w:lvl>
    <w:lvl w:ilvl="7">
      <w:start w:val="0"/>
      <w:numFmt w:val="bullet"/>
      <w:lvlText w:val="•"/>
      <w:lvlJc w:val="left"/>
      <w:pPr>
        <w:ind w:left="6952" w:hanging="568"/>
      </w:pPr>
      <w:rPr>
        <w:rFonts w:hint="default"/>
      </w:rPr>
    </w:lvl>
    <w:lvl w:ilvl="8">
      <w:start w:val="0"/>
      <w:numFmt w:val="bullet"/>
      <w:lvlText w:val="•"/>
      <w:lvlJc w:val="left"/>
      <w:pPr>
        <w:ind w:left="7848" w:hanging="568"/>
      </w:pPr>
      <w:rPr>
        <w:rFonts w:hint="default"/>
      </w:rPr>
    </w:lvl>
  </w:abstractNum>
  <w:abstractNum w:abstractNumId="57">
    <w:multiLevelType w:val="hybridMultilevel"/>
    <w:lvl w:ilvl="0">
      <w:start w:val="1"/>
      <w:numFmt w:val="lowerLetter"/>
      <w:lvlText w:val="%1)"/>
      <w:lvlJc w:val="left"/>
      <w:pPr>
        <w:ind w:left="681" w:hanging="709"/>
        <w:jc w:val="left"/>
      </w:pPr>
      <w:rPr>
        <w:rFonts w:hint="default" w:ascii="Verdana" w:hAnsi="Verdana" w:eastAsia="Verdana" w:cs="Verdana"/>
        <w:spacing w:val="-1"/>
        <w:w w:val="100"/>
        <w:sz w:val="20"/>
        <w:szCs w:val="20"/>
      </w:rPr>
    </w:lvl>
    <w:lvl w:ilvl="1">
      <w:start w:val="0"/>
      <w:numFmt w:val="bullet"/>
      <w:lvlText w:val="•"/>
      <w:lvlJc w:val="left"/>
      <w:pPr>
        <w:ind w:left="1576" w:hanging="709"/>
      </w:pPr>
      <w:rPr>
        <w:rFonts w:hint="default"/>
      </w:rPr>
    </w:lvl>
    <w:lvl w:ilvl="2">
      <w:start w:val="0"/>
      <w:numFmt w:val="bullet"/>
      <w:lvlText w:val="•"/>
      <w:lvlJc w:val="left"/>
      <w:pPr>
        <w:ind w:left="2472" w:hanging="709"/>
      </w:pPr>
      <w:rPr>
        <w:rFonts w:hint="default"/>
      </w:rPr>
    </w:lvl>
    <w:lvl w:ilvl="3">
      <w:start w:val="0"/>
      <w:numFmt w:val="bullet"/>
      <w:lvlText w:val="•"/>
      <w:lvlJc w:val="left"/>
      <w:pPr>
        <w:ind w:left="3368" w:hanging="709"/>
      </w:pPr>
      <w:rPr>
        <w:rFonts w:hint="default"/>
      </w:rPr>
    </w:lvl>
    <w:lvl w:ilvl="4">
      <w:start w:val="0"/>
      <w:numFmt w:val="bullet"/>
      <w:lvlText w:val="•"/>
      <w:lvlJc w:val="left"/>
      <w:pPr>
        <w:ind w:left="4264" w:hanging="709"/>
      </w:pPr>
      <w:rPr>
        <w:rFonts w:hint="default"/>
      </w:rPr>
    </w:lvl>
    <w:lvl w:ilvl="5">
      <w:start w:val="0"/>
      <w:numFmt w:val="bullet"/>
      <w:lvlText w:val="•"/>
      <w:lvlJc w:val="left"/>
      <w:pPr>
        <w:ind w:left="5160" w:hanging="709"/>
      </w:pPr>
      <w:rPr>
        <w:rFonts w:hint="default"/>
      </w:rPr>
    </w:lvl>
    <w:lvl w:ilvl="6">
      <w:start w:val="0"/>
      <w:numFmt w:val="bullet"/>
      <w:lvlText w:val="•"/>
      <w:lvlJc w:val="left"/>
      <w:pPr>
        <w:ind w:left="6056" w:hanging="709"/>
      </w:pPr>
      <w:rPr>
        <w:rFonts w:hint="default"/>
      </w:rPr>
    </w:lvl>
    <w:lvl w:ilvl="7">
      <w:start w:val="0"/>
      <w:numFmt w:val="bullet"/>
      <w:lvlText w:val="•"/>
      <w:lvlJc w:val="left"/>
      <w:pPr>
        <w:ind w:left="6952" w:hanging="709"/>
      </w:pPr>
      <w:rPr>
        <w:rFonts w:hint="default"/>
      </w:rPr>
    </w:lvl>
    <w:lvl w:ilvl="8">
      <w:start w:val="0"/>
      <w:numFmt w:val="bullet"/>
      <w:lvlText w:val="•"/>
      <w:lvlJc w:val="left"/>
      <w:pPr>
        <w:ind w:left="7848" w:hanging="709"/>
      </w:pPr>
      <w:rPr>
        <w:rFonts w:hint="default"/>
      </w:rPr>
    </w:lvl>
  </w:abstractNum>
  <w:abstractNum w:abstractNumId="56">
    <w:multiLevelType w:val="hybridMultilevel"/>
    <w:lvl w:ilvl="0">
      <w:start w:val="1"/>
      <w:numFmt w:val="lowerLetter"/>
      <w:lvlText w:val="%1)"/>
      <w:lvlJc w:val="left"/>
      <w:pPr>
        <w:ind w:left="681" w:hanging="239"/>
        <w:jc w:val="left"/>
      </w:pPr>
      <w:rPr>
        <w:rFonts w:hint="default" w:ascii="Verdana" w:hAnsi="Verdana" w:eastAsia="Verdana" w:cs="Verdana"/>
        <w:i/>
        <w:w w:val="99"/>
        <w:sz w:val="16"/>
        <w:szCs w:val="16"/>
      </w:rPr>
    </w:lvl>
    <w:lvl w:ilvl="1">
      <w:start w:val="0"/>
      <w:numFmt w:val="bullet"/>
      <w:lvlText w:val="•"/>
      <w:lvlJc w:val="left"/>
      <w:pPr>
        <w:ind w:left="1576" w:hanging="239"/>
      </w:pPr>
      <w:rPr>
        <w:rFonts w:hint="default"/>
      </w:rPr>
    </w:lvl>
    <w:lvl w:ilvl="2">
      <w:start w:val="0"/>
      <w:numFmt w:val="bullet"/>
      <w:lvlText w:val="•"/>
      <w:lvlJc w:val="left"/>
      <w:pPr>
        <w:ind w:left="2472" w:hanging="239"/>
      </w:pPr>
      <w:rPr>
        <w:rFonts w:hint="default"/>
      </w:rPr>
    </w:lvl>
    <w:lvl w:ilvl="3">
      <w:start w:val="0"/>
      <w:numFmt w:val="bullet"/>
      <w:lvlText w:val="•"/>
      <w:lvlJc w:val="left"/>
      <w:pPr>
        <w:ind w:left="3368" w:hanging="239"/>
      </w:pPr>
      <w:rPr>
        <w:rFonts w:hint="default"/>
      </w:rPr>
    </w:lvl>
    <w:lvl w:ilvl="4">
      <w:start w:val="0"/>
      <w:numFmt w:val="bullet"/>
      <w:lvlText w:val="•"/>
      <w:lvlJc w:val="left"/>
      <w:pPr>
        <w:ind w:left="4264" w:hanging="239"/>
      </w:pPr>
      <w:rPr>
        <w:rFonts w:hint="default"/>
      </w:rPr>
    </w:lvl>
    <w:lvl w:ilvl="5">
      <w:start w:val="0"/>
      <w:numFmt w:val="bullet"/>
      <w:lvlText w:val="•"/>
      <w:lvlJc w:val="left"/>
      <w:pPr>
        <w:ind w:left="5160" w:hanging="239"/>
      </w:pPr>
      <w:rPr>
        <w:rFonts w:hint="default"/>
      </w:rPr>
    </w:lvl>
    <w:lvl w:ilvl="6">
      <w:start w:val="0"/>
      <w:numFmt w:val="bullet"/>
      <w:lvlText w:val="•"/>
      <w:lvlJc w:val="left"/>
      <w:pPr>
        <w:ind w:left="6056" w:hanging="239"/>
      </w:pPr>
      <w:rPr>
        <w:rFonts w:hint="default"/>
      </w:rPr>
    </w:lvl>
    <w:lvl w:ilvl="7">
      <w:start w:val="0"/>
      <w:numFmt w:val="bullet"/>
      <w:lvlText w:val="•"/>
      <w:lvlJc w:val="left"/>
      <w:pPr>
        <w:ind w:left="6952" w:hanging="239"/>
      </w:pPr>
      <w:rPr>
        <w:rFonts w:hint="default"/>
      </w:rPr>
    </w:lvl>
    <w:lvl w:ilvl="8">
      <w:start w:val="0"/>
      <w:numFmt w:val="bullet"/>
      <w:lvlText w:val="•"/>
      <w:lvlJc w:val="left"/>
      <w:pPr>
        <w:ind w:left="7848" w:hanging="239"/>
      </w:pPr>
      <w:rPr>
        <w:rFonts w:hint="default"/>
      </w:rPr>
    </w:lvl>
  </w:abstractNum>
  <w:abstractNum w:abstractNumId="55">
    <w:multiLevelType w:val="hybridMultilevel"/>
    <w:lvl w:ilvl="0">
      <w:start w:val="1"/>
      <w:numFmt w:val="lowerLetter"/>
      <w:lvlText w:val="%1)"/>
      <w:lvlJc w:val="left"/>
      <w:pPr>
        <w:ind w:left="681" w:hanging="225"/>
        <w:jc w:val="left"/>
      </w:pPr>
      <w:rPr>
        <w:rFonts w:hint="default" w:ascii="Verdana" w:hAnsi="Verdana" w:eastAsia="Verdana" w:cs="Verdana"/>
        <w:i/>
        <w:w w:val="99"/>
        <w:sz w:val="16"/>
        <w:szCs w:val="16"/>
      </w:rPr>
    </w:lvl>
    <w:lvl w:ilvl="1">
      <w:start w:val="0"/>
      <w:numFmt w:val="bullet"/>
      <w:lvlText w:val="•"/>
      <w:lvlJc w:val="left"/>
      <w:pPr>
        <w:ind w:left="1576" w:hanging="225"/>
      </w:pPr>
      <w:rPr>
        <w:rFonts w:hint="default"/>
      </w:rPr>
    </w:lvl>
    <w:lvl w:ilvl="2">
      <w:start w:val="0"/>
      <w:numFmt w:val="bullet"/>
      <w:lvlText w:val="•"/>
      <w:lvlJc w:val="left"/>
      <w:pPr>
        <w:ind w:left="2472" w:hanging="225"/>
      </w:pPr>
      <w:rPr>
        <w:rFonts w:hint="default"/>
      </w:rPr>
    </w:lvl>
    <w:lvl w:ilvl="3">
      <w:start w:val="0"/>
      <w:numFmt w:val="bullet"/>
      <w:lvlText w:val="•"/>
      <w:lvlJc w:val="left"/>
      <w:pPr>
        <w:ind w:left="3368" w:hanging="225"/>
      </w:pPr>
      <w:rPr>
        <w:rFonts w:hint="default"/>
      </w:rPr>
    </w:lvl>
    <w:lvl w:ilvl="4">
      <w:start w:val="0"/>
      <w:numFmt w:val="bullet"/>
      <w:lvlText w:val="•"/>
      <w:lvlJc w:val="left"/>
      <w:pPr>
        <w:ind w:left="4264" w:hanging="225"/>
      </w:pPr>
      <w:rPr>
        <w:rFonts w:hint="default"/>
      </w:rPr>
    </w:lvl>
    <w:lvl w:ilvl="5">
      <w:start w:val="0"/>
      <w:numFmt w:val="bullet"/>
      <w:lvlText w:val="•"/>
      <w:lvlJc w:val="left"/>
      <w:pPr>
        <w:ind w:left="5160" w:hanging="225"/>
      </w:pPr>
      <w:rPr>
        <w:rFonts w:hint="default"/>
      </w:rPr>
    </w:lvl>
    <w:lvl w:ilvl="6">
      <w:start w:val="0"/>
      <w:numFmt w:val="bullet"/>
      <w:lvlText w:val="•"/>
      <w:lvlJc w:val="left"/>
      <w:pPr>
        <w:ind w:left="6056" w:hanging="225"/>
      </w:pPr>
      <w:rPr>
        <w:rFonts w:hint="default"/>
      </w:rPr>
    </w:lvl>
    <w:lvl w:ilvl="7">
      <w:start w:val="0"/>
      <w:numFmt w:val="bullet"/>
      <w:lvlText w:val="•"/>
      <w:lvlJc w:val="left"/>
      <w:pPr>
        <w:ind w:left="6952" w:hanging="225"/>
      </w:pPr>
      <w:rPr>
        <w:rFonts w:hint="default"/>
      </w:rPr>
    </w:lvl>
    <w:lvl w:ilvl="8">
      <w:start w:val="0"/>
      <w:numFmt w:val="bullet"/>
      <w:lvlText w:val="•"/>
      <w:lvlJc w:val="left"/>
      <w:pPr>
        <w:ind w:left="7848" w:hanging="225"/>
      </w:pPr>
      <w:rPr>
        <w:rFonts w:hint="default"/>
      </w:rPr>
    </w:lvl>
  </w:abstractNum>
  <w:abstractNum w:abstractNumId="54">
    <w:multiLevelType w:val="hybridMultilevel"/>
    <w:lvl w:ilvl="0">
      <w:start w:val="1"/>
      <w:numFmt w:val="lowerLetter"/>
      <w:lvlText w:val="%1)"/>
      <w:lvlJc w:val="left"/>
      <w:pPr>
        <w:ind w:left="906" w:hanging="225"/>
        <w:jc w:val="left"/>
      </w:pPr>
      <w:rPr>
        <w:rFonts w:hint="default" w:ascii="Verdana" w:hAnsi="Verdana" w:eastAsia="Verdana" w:cs="Verdana"/>
        <w:i/>
        <w:w w:val="99"/>
        <w:sz w:val="16"/>
        <w:szCs w:val="16"/>
      </w:rPr>
    </w:lvl>
    <w:lvl w:ilvl="1">
      <w:start w:val="0"/>
      <w:numFmt w:val="bullet"/>
      <w:lvlText w:val="•"/>
      <w:lvlJc w:val="left"/>
      <w:pPr>
        <w:ind w:left="1774" w:hanging="225"/>
      </w:pPr>
      <w:rPr>
        <w:rFonts w:hint="default"/>
      </w:rPr>
    </w:lvl>
    <w:lvl w:ilvl="2">
      <w:start w:val="0"/>
      <w:numFmt w:val="bullet"/>
      <w:lvlText w:val="•"/>
      <w:lvlJc w:val="left"/>
      <w:pPr>
        <w:ind w:left="2648" w:hanging="225"/>
      </w:pPr>
      <w:rPr>
        <w:rFonts w:hint="default"/>
      </w:rPr>
    </w:lvl>
    <w:lvl w:ilvl="3">
      <w:start w:val="0"/>
      <w:numFmt w:val="bullet"/>
      <w:lvlText w:val="•"/>
      <w:lvlJc w:val="left"/>
      <w:pPr>
        <w:ind w:left="3522" w:hanging="225"/>
      </w:pPr>
      <w:rPr>
        <w:rFonts w:hint="default"/>
      </w:rPr>
    </w:lvl>
    <w:lvl w:ilvl="4">
      <w:start w:val="0"/>
      <w:numFmt w:val="bullet"/>
      <w:lvlText w:val="•"/>
      <w:lvlJc w:val="left"/>
      <w:pPr>
        <w:ind w:left="4396" w:hanging="225"/>
      </w:pPr>
      <w:rPr>
        <w:rFonts w:hint="default"/>
      </w:rPr>
    </w:lvl>
    <w:lvl w:ilvl="5">
      <w:start w:val="0"/>
      <w:numFmt w:val="bullet"/>
      <w:lvlText w:val="•"/>
      <w:lvlJc w:val="left"/>
      <w:pPr>
        <w:ind w:left="5270" w:hanging="225"/>
      </w:pPr>
      <w:rPr>
        <w:rFonts w:hint="default"/>
      </w:rPr>
    </w:lvl>
    <w:lvl w:ilvl="6">
      <w:start w:val="0"/>
      <w:numFmt w:val="bullet"/>
      <w:lvlText w:val="•"/>
      <w:lvlJc w:val="left"/>
      <w:pPr>
        <w:ind w:left="6144" w:hanging="225"/>
      </w:pPr>
      <w:rPr>
        <w:rFonts w:hint="default"/>
      </w:rPr>
    </w:lvl>
    <w:lvl w:ilvl="7">
      <w:start w:val="0"/>
      <w:numFmt w:val="bullet"/>
      <w:lvlText w:val="•"/>
      <w:lvlJc w:val="left"/>
      <w:pPr>
        <w:ind w:left="7018" w:hanging="225"/>
      </w:pPr>
      <w:rPr>
        <w:rFonts w:hint="default"/>
      </w:rPr>
    </w:lvl>
    <w:lvl w:ilvl="8">
      <w:start w:val="0"/>
      <w:numFmt w:val="bullet"/>
      <w:lvlText w:val="•"/>
      <w:lvlJc w:val="left"/>
      <w:pPr>
        <w:ind w:left="7892" w:hanging="225"/>
      </w:pPr>
      <w:rPr>
        <w:rFonts w:hint="default"/>
      </w:rPr>
    </w:lvl>
  </w:abstractNum>
  <w:abstractNum w:abstractNumId="53">
    <w:multiLevelType w:val="hybridMultilevel"/>
    <w:lvl w:ilvl="0">
      <w:start w:val="1"/>
      <w:numFmt w:val="lowerLetter"/>
      <w:lvlText w:val="%1)"/>
      <w:lvlJc w:val="left"/>
      <w:pPr>
        <w:ind w:left="681" w:hanging="709"/>
        <w:jc w:val="left"/>
      </w:pPr>
      <w:rPr>
        <w:rFonts w:hint="default" w:ascii="Verdana" w:hAnsi="Verdana" w:eastAsia="Verdana" w:cs="Verdana"/>
        <w:spacing w:val="-1"/>
        <w:w w:val="100"/>
        <w:sz w:val="20"/>
        <w:szCs w:val="20"/>
      </w:rPr>
    </w:lvl>
    <w:lvl w:ilvl="1">
      <w:start w:val="0"/>
      <w:numFmt w:val="bullet"/>
      <w:lvlText w:val="•"/>
      <w:lvlJc w:val="left"/>
      <w:pPr>
        <w:ind w:left="1576" w:hanging="709"/>
      </w:pPr>
      <w:rPr>
        <w:rFonts w:hint="default"/>
      </w:rPr>
    </w:lvl>
    <w:lvl w:ilvl="2">
      <w:start w:val="0"/>
      <w:numFmt w:val="bullet"/>
      <w:lvlText w:val="•"/>
      <w:lvlJc w:val="left"/>
      <w:pPr>
        <w:ind w:left="2472" w:hanging="709"/>
      </w:pPr>
      <w:rPr>
        <w:rFonts w:hint="default"/>
      </w:rPr>
    </w:lvl>
    <w:lvl w:ilvl="3">
      <w:start w:val="0"/>
      <w:numFmt w:val="bullet"/>
      <w:lvlText w:val="•"/>
      <w:lvlJc w:val="left"/>
      <w:pPr>
        <w:ind w:left="3368" w:hanging="709"/>
      </w:pPr>
      <w:rPr>
        <w:rFonts w:hint="default"/>
      </w:rPr>
    </w:lvl>
    <w:lvl w:ilvl="4">
      <w:start w:val="0"/>
      <w:numFmt w:val="bullet"/>
      <w:lvlText w:val="•"/>
      <w:lvlJc w:val="left"/>
      <w:pPr>
        <w:ind w:left="4264" w:hanging="709"/>
      </w:pPr>
      <w:rPr>
        <w:rFonts w:hint="default"/>
      </w:rPr>
    </w:lvl>
    <w:lvl w:ilvl="5">
      <w:start w:val="0"/>
      <w:numFmt w:val="bullet"/>
      <w:lvlText w:val="•"/>
      <w:lvlJc w:val="left"/>
      <w:pPr>
        <w:ind w:left="5160" w:hanging="709"/>
      </w:pPr>
      <w:rPr>
        <w:rFonts w:hint="default"/>
      </w:rPr>
    </w:lvl>
    <w:lvl w:ilvl="6">
      <w:start w:val="0"/>
      <w:numFmt w:val="bullet"/>
      <w:lvlText w:val="•"/>
      <w:lvlJc w:val="left"/>
      <w:pPr>
        <w:ind w:left="6056" w:hanging="709"/>
      </w:pPr>
      <w:rPr>
        <w:rFonts w:hint="default"/>
      </w:rPr>
    </w:lvl>
    <w:lvl w:ilvl="7">
      <w:start w:val="0"/>
      <w:numFmt w:val="bullet"/>
      <w:lvlText w:val="•"/>
      <w:lvlJc w:val="left"/>
      <w:pPr>
        <w:ind w:left="6952" w:hanging="709"/>
      </w:pPr>
      <w:rPr>
        <w:rFonts w:hint="default"/>
      </w:rPr>
    </w:lvl>
    <w:lvl w:ilvl="8">
      <w:start w:val="0"/>
      <w:numFmt w:val="bullet"/>
      <w:lvlText w:val="•"/>
      <w:lvlJc w:val="left"/>
      <w:pPr>
        <w:ind w:left="7848" w:hanging="709"/>
      </w:pPr>
      <w:rPr>
        <w:rFonts w:hint="default"/>
      </w:rPr>
    </w:lvl>
  </w:abstractNum>
  <w:abstractNum w:abstractNumId="52">
    <w:multiLevelType w:val="hybridMultilevel"/>
    <w:lvl w:ilvl="0">
      <w:start w:val="14"/>
      <w:numFmt w:val="decimal"/>
      <w:lvlText w:val="%1."/>
      <w:lvlJc w:val="left"/>
      <w:pPr>
        <w:ind w:left="681" w:hanging="709"/>
        <w:jc w:val="right"/>
      </w:pPr>
      <w:rPr>
        <w:rFonts w:hint="default" w:ascii="Verdana" w:hAnsi="Verdana" w:eastAsia="Verdana" w:cs="Verdana"/>
        <w:spacing w:val="-1"/>
        <w:w w:val="100"/>
        <w:sz w:val="20"/>
        <w:szCs w:val="20"/>
      </w:rPr>
    </w:lvl>
    <w:lvl w:ilvl="1">
      <w:start w:val="1"/>
      <w:numFmt w:val="lowerLetter"/>
      <w:lvlText w:val="%2)"/>
      <w:lvlJc w:val="left"/>
      <w:pPr>
        <w:ind w:left="823" w:hanging="567"/>
        <w:jc w:val="left"/>
      </w:pPr>
      <w:rPr>
        <w:rFonts w:hint="default" w:ascii="Verdana" w:hAnsi="Verdana" w:eastAsia="Verdana" w:cs="Verdana"/>
        <w:spacing w:val="-1"/>
        <w:w w:val="100"/>
        <w:sz w:val="20"/>
        <w:szCs w:val="20"/>
      </w:rPr>
    </w:lvl>
    <w:lvl w:ilvl="2">
      <w:start w:val="0"/>
      <w:numFmt w:val="bullet"/>
      <w:lvlText w:val="•"/>
      <w:lvlJc w:val="left"/>
      <w:pPr>
        <w:ind w:left="1800" w:hanging="567"/>
      </w:pPr>
      <w:rPr>
        <w:rFonts w:hint="default"/>
      </w:rPr>
    </w:lvl>
    <w:lvl w:ilvl="3">
      <w:start w:val="0"/>
      <w:numFmt w:val="bullet"/>
      <w:lvlText w:val="•"/>
      <w:lvlJc w:val="left"/>
      <w:pPr>
        <w:ind w:left="2780" w:hanging="567"/>
      </w:pPr>
      <w:rPr>
        <w:rFonts w:hint="default"/>
      </w:rPr>
    </w:lvl>
    <w:lvl w:ilvl="4">
      <w:start w:val="0"/>
      <w:numFmt w:val="bullet"/>
      <w:lvlText w:val="•"/>
      <w:lvlJc w:val="left"/>
      <w:pPr>
        <w:ind w:left="3760" w:hanging="567"/>
      </w:pPr>
      <w:rPr>
        <w:rFonts w:hint="default"/>
      </w:rPr>
    </w:lvl>
    <w:lvl w:ilvl="5">
      <w:start w:val="0"/>
      <w:numFmt w:val="bullet"/>
      <w:lvlText w:val="•"/>
      <w:lvlJc w:val="left"/>
      <w:pPr>
        <w:ind w:left="4740" w:hanging="567"/>
      </w:pPr>
      <w:rPr>
        <w:rFonts w:hint="default"/>
      </w:rPr>
    </w:lvl>
    <w:lvl w:ilvl="6">
      <w:start w:val="0"/>
      <w:numFmt w:val="bullet"/>
      <w:lvlText w:val="•"/>
      <w:lvlJc w:val="left"/>
      <w:pPr>
        <w:ind w:left="5720" w:hanging="567"/>
      </w:pPr>
      <w:rPr>
        <w:rFonts w:hint="default"/>
      </w:rPr>
    </w:lvl>
    <w:lvl w:ilvl="7">
      <w:start w:val="0"/>
      <w:numFmt w:val="bullet"/>
      <w:lvlText w:val="•"/>
      <w:lvlJc w:val="left"/>
      <w:pPr>
        <w:ind w:left="6700" w:hanging="567"/>
      </w:pPr>
      <w:rPr>
        <w:rFonts w:hint="default"/>
      </w:rPr>
    </w:lvl>
    <w:lvl w:ilvl="8">
      <w:start w:val="0"/>
      <w:numFmt w:val="bullet"/>
      <w:lvlText w:val="•"/>
      <w:lvlJc w:val="left"/>
      <w:pPr>
        <w:ind w:left="7680" w:hanging="567"/>
      </w:pPr>
      <w:rPr>
        <w:rFonts w:hint="default"/>
      </w:rPr>
    </w:lvl>
  </w:abstractNum>
  <w:abstractNum w:abstractNumId="51">
    <w:multiLevelType w:val="hybridMultilevel"/>
    <w:lvl w:ilvl="0">
      <w:start w:val="1"/>
      <w:numFmt w:val="lowerLetter"/>
      <w:lvlText w:val="%1)"/>
      <w:lvlJc w:val="left"/>
      <w:pPr>
        <w:ind w:left="906" w:hanging="225"/>
        <w:jc w:val="left"/>
      </w:pPr>
      <w:rPr>
        <w:rFonts w:hint="default" w:ascii="Verdana" w:hAnsi="Verdana" w:eastAsia="Verdana" w:cs="Verdana"/>
        <w:i/>
        <w:w w:val="99"/>
        <w:sz w:val="16"/>
        <w:szCs w:val="16"/>
      </w:rPr>
    </w:lvl>
    <w:lvl w:ilvl="1">
      <w:start w:val="0"/>
      <w:numFmt w:val="bullet"/>
      <w:lvlText w:val="•"/>
      <w:lvlJc w:val="left"/>
      <w:pPr>
        <w:ind w:left="1774" w:hanging="225"/>
      </w:pPr>
      <w:rPr>
        <w:rFonts w:hint="default"/>
      </w:rPr>
    </w:lvl>
    <w:lvl w:ilvl="2">
      <w:start w:val="0"/>
      <w:numFmt w:val="bullet"/>
      <w:lvlText w:val="•"/>
      <w:lvlJc w:val="left"/>
      <w:pPr>
        <w:ind w:left="2648" w:hanging="225"/>
      </w:pPr>
      <w:rPr>
        <w:rFonts w:hint="default"/>
      </w:rPr>
    </w:lvl>
    <w:lvl w:ilvl="3">
      <w:start w:val="0"/>
      <w:numFmt w:val="bullet"/>
      <w:lvlText w:val="•"/>
      <w:lvlJc w:val="left"/>
      <w:pPr>
        <w:ind w:left="3522" w:hanging="225"/>
      </w:pPr>
      <w:rPr>
        <w:rFonts w:hint="default"/>
      </w:rPr>
    </w:lvl>
    <w:lvl w:ilvl="4">
      <w:start w:val="0"/>
      <w:numFmt w:val="bullet"/>
      <w:lvlText w:val="•"/>
      <w:lvlJc w:val="left"/>
      <w:pPr>
        <w:ind w:left="4396" w:hanging="225"/>
      </w:pPr>
      <w:rPr>
        <w:rFonts w:hint="default"/>
      </w:rPr>
    </w:lvl>
    <w:lvl w:ilvl="5">
      <w:start w:val="0"/>
      <w:numFmt w:val="bullet"/>
      <w:lvlText w:val="•"/>
      <w:lvlJc w:val="left"/>
      <w:pPr>
        <w:ind w:left="5270" w:hanging="225"/>
      </w:pPr>
      <w:rPr>
        <w:rFonts w:hint="default"/>
      </w:rPr>
    </w:lvl>
    <w:lvl w:ilvl="6">
      <w:start w:val="0"/>
      <w:numFmt w:val="bullet"/>
      <w:lvlText w:val="•"/>
      <w:lvlJc w:val="left"/>
      <w:pPr>
        <w:ind w:left="6144" w:hanging="225"/>
      </w:pPr>
      <w:rPr>
        <w:rFonts w:hint="default"/>
      </w:rPr>
    </w:lvl>
    <w:lvl w:ilvl="7">
      <w:start w:val="0"/>
      <w:numFmt w:val="bullet"/>
      <w:lvlText w:val="•"/>
      <w:lvlJc w:val="left"/>
      <w:pPr>
        <w:ind w:left="7018" w:hanging="225"/>
      </w:pPr>
      <w:rPr>
        <w:rFonts w:hint="default"/>
      </w:rPr>
    </w:lvl>
    <w:lvl w:ilvl="8">
      <w:start w:val="0"/>
      <w:numFmt w:val="bullet"/>
      <w:lvlText w:val="•"/>
      <w:lvlJc w:val="left"/>
      <w:pPr>
        <w:ind w:left="7892" w:hanging="225"/>
      </w:pPr>
      <w:rPr>
        <w:rFonts w:hint="default"/>
      </w:rPr>
    </w:lvl>
  </w:abstractNum>
  <w:abstractNum w:abstractNumId="50">
    <w:multiLevelType w:val="hybridMultilevel"/>
    <w:lvl w:ilvl="0">
      <w:start w:val="1"/>
      <w:numFmt w:val="lowerLetter"/>
      <w:lvlText w:val="%1)"/>
      <w:lvlJc w:val="left"/>
      <w:pPr>
        <w:ind w:left="681" w:hanging="249"/>
        <w:jc w:val="left"/>
      </w:pPr>
      <w:rPr>
        <w:rFonts w:hint="default" w:ascii="Verdana" w:hAnsi="Verdana" w:eastAsia="Verdana" w:cs="Verdana"/>
        <w:i/>
        <w:w w:val="99"/>
        <w:sz w:val="16"/>
        <w:szCs w:val="16"/>
      </w:rPr>
    </w:lvl>
    <w:lvl w:ilvl="1">
      <w:start w:val="0"/>
      <w:numFmt w:val="bullet"/>
      <w:lvlText w:val="•"/>
      <w:lvlJc w:val="left"/>
      <w:pPr>
        <w:ind w:left="1576" w:hanging="249"/>
      </w:pPr>
      <w:rPr>
        <w:rFonts w:hint="default"/>
      </w:rPr>
    </w:lvl>
    <w:lvl w:ilvl="2">
      <w:start w:val="0"/>
      <w:numFmt w:val="bullet"/>
      <w:lvlText w:val="•"/>
      <w:lvlJc w:val="left"/>
      <w:pPr>
        <w:ind w:left="2472" w:hanging="249"/>
      </w:pPr>
      <w:rPr>
        <w:rFonts w:hint="default"/>
      </w:rPr>
    </w:lvl>
    <w:lvl w:ilvl="3">
      <w:start w:val="0"/>
      <w:numFmt w:val="bullet"/>
      <w:lvlText w:val="•"/>
      <w:lvlJc w:val="left"/>
      <w:pPr>
        <w:ind w:left="3368" w:hanging="249"/>
      </w:pPr>
      <w:rPr>
        <w:rFonts w:hint="default"/>
      </w:rPr>
    </w:lvl>
    <w:lvl w:ilvl="4">
      <w:start w:val="0"/>
      <w:numFmt w:val="bullet"/>
      <w:lvlText w:val="•"/>
      <w:lvlJc w:val="left"/>
      <w:pPr>
        <w:ind w:left="4264" w:hanging="249"/>
      </w:pPr>
      <w:rPr>
        <w:rFonts w:hint="default"/>
      </w:rPr>
    </w:lvl>
    <w:lvl w:ilvl="5">
      <w:start w:val="0"/>
      <w:numFmt w:val="bullet"/>
      <w:lvlText w:val="•"/>
      <w:lvlJc w:val="left"/>
      <w:pPr>
        <w:ind w:left="5160" w:hanging="249"/>
      </w:pPr>
      <w:rPr>
        <w:rFonts w:hint="default"/>
      </w:rPr>
    </w:lvl>
    <w:lvl w:ilvl="6">
      <w:start w:val="0"/>
      <w:numFmt w:val="bullet"/>
      <w:lvlText w:val="•"/>
      <w:lvlJc w:val="left"/>
      <w:pPr>
        <w:ind w:left="6056" w:hanging="249"/>
      </w:pPr>
      <w:rPr>
        <w:rFonts w:hint="default"/>
      </w:rPr>
    </w:lvl>
    <w:lvl w:ilvl="7">
      <w:start w:val="0"/>
      <w:numFmt w:val="bullet"/>
      <w:lvlText w:val="•"/>
      <w:lvlJc w:val="left"/>
      <w:pPr>
        <w:ind w:left="6952" w:hanging="249"/>
      </w:pPr>
      <w:rPr>
        <w:rFonts w:hint="default"/>
      </w:rPr>
    </w:lvl>
    <w:lvl w:ilvl="8">
      <w:start w:val="0"/>
      <w:numFmt w:val="bullet"/>
      <w:lvlText w:val="•"/>
      <w:lvlJc w:val="left"/>
      <w:pPr>
        <w:ind w:left="7848" w:hanging="249"/>
      </w:pPr>
      <w:rPr>
        <w:rFonts w:hint="default"/>
      </w:rPr>
    </w:lvl>
  </w:abstractNum>
  <w:abstractNum w:abstractNumId="49">
    <w:multiLevelType w:val="hybridMultilevel"/>
    <w:lvl w:ilvl="0">
      <w:start w:val="3"/>
      <w:numFmt w:val="decimal"/>
      <w:lvlText w:val="%1."/>
      <w:lvlJc w:val="left"/>
      <w:pPr>
        <w:ind w:left="897" w:hanging="216"/>
        <w:jc w:val="left"/>
      </w:pPr>
      <w:rPr>
        <w:rFonts w:hint="default" w:ascii="Verdana" w:hAnsi="Verdana" w:eastAsia="Verdana" w:cs="Verdana"/>
        <w:i/>
        <w:w w:val="99"/>
        <w:sz w:val="16"/>
        <w:szCs w:val="16"/>
      </w:rPr>
    </w:lvl>
    <w:lvl w:ilvl="1">
      <w:start w:val="0"/>
      <w:numFmt w:val="bullet"/>
      <w:lvlText w:val="•"/>
      <w:lvlJc w:val="left"/>
      <w:pPr>
        <w:ind w:left="1774" w:hanging="216"/>
      </w:pPr>
      <w:rPr>
        <w:rFonts w:hint="default"/>
      </w:rPr>
    </w:lvl>
    <w:lvl w:ilvl="2">
      <w:start w:val="0"/>
      <w:numFmt w:val="bullet"/>
      <w:lvlText w:val="•"/>
      <w:lvlJc w:val="left"/>
      <w:pPr>
        <w:ind w:left="2648" w:hanging="216"/>
      </w:pPr>
      <w:rPr>
        <w:rFonts w:hint="default"/>
      </w:rPr>
    </w:lvl>
    <w:lvl w:ilvl="3">
      <w:start w:val="0"/>
      <w:numFmt w:val="bullet"/>
      <w:lvlText w:val="•"/>
      <w:lvlJc w:val="left"/>
      <w:pPr>
        <w:ind w:left="3522" w:hanging="216"/>
      </w:pPr>
      <w:rPr>
        <w:rFonts w:hint="default"/>
      </w:rPr>
    </w:lvl>
    <w:lvl w:ilvl="4">
      <w:start w:val="0"/>
      <w:numFmt w:val="bullet"/>
      <w:lvlText w:val="•"/>
      <w:lvlJc w:val="left"/>
      <w:pPr>
        <w:ind w:left="4396" w:hanging="216"/>
      </w:pPr>
      <w:rPr>
        <w:rFonts w:hint="default"/>
      </w:rPr>
    </w:lvl>
    <w:lvl w:ilvl="5">
      <w:start w:val="0"/>
      <w:numFmt w:val="bullet"/>
      <w:lvlText w:val="•"/>
      <w:lvlJc w:val="left"/>
      <w:pPr>
        <w:ind w:left="5270" w:hanging="216"/>
      </w:pPr>
      <w:rPr>
        <w:rFonts w:hint="default"/>
      </w:rPr>
    </w:lvl>
    <w:lvl w:ilvl="6">
      <w:start w:val="0"/>
      <w:numFmt w:val="bullet"/>
      <w:lvlText w:val="•"/>
      <w:lvlJc w:val="left"/>
      <w:pPr>
        <w:ind w:left="6144" w:hanging="216"/>
      </w:pPr>
      <w:rPr>
        <w:rFonts w:hint="default"/>
      </w:rPr>
    </w:lvl>
    <w:lvl w:ilvl="7">
      <w:start w:val="0"/>
      <w:numFmt w:val="bullet"/>
      <w:lvlText w:val="•"/>
      <w:lvlJc w:val="left"/>
      <w:pPr>
        <w:ind w:left="7018" w:hanging="216"/>
      </w:pPr>
      <w:rPr>
        <w:rFonts w:hint="default"/>
      </w:rPr>
    </w:lvl>
    <w:lvl w:ilvl="8">
      <w:start w:val="0"/>
      <w:numFmt w:val="bullet"/>
      <w:lvlText w:val="•"/>
      <w:lvlJc w:val="left"/>
      <w:pPr>
        <w:ind w:left="7892" w:hanging="216"/>
      </w:pPr>
      <w:rPr>
        <w:rFonts w:hint="default"/>
      </w:rPr>
    </w:lvl>
  </w:abstractNum>
  <w:abstractNum w:abstractNumId="48">
    <w:multiLevelType w:val="hybridMultilevel"/>
    <w:lvl w:ilvl="0">
      <w:start w:val="10"/>
      <w:numFmt w:val="decimal"/>
      <w:lvlText w:val="%1."/>
      <w:lvlJc w:val="left"/>
      <w:pPr>
        <w:ind w:left="681" w:hanging="709"/>
        <w:jc w:val="left"/>
      </w:pPr>
      <w:rPr>
        <w:rFonts w:hint="default" w:ascii="Verdana" w:hAnsi="Verdana" w:eastAsia="Verdana" w:cs="Verdana"/>
        <w:spacing w:val="-1"/>
        <w:w w:val="100"/>
        <w:sz w:val="20"/>
        <w:szCs w:val="20"/>
      </w:rPr>
    </w:lvl>
    <w:lvl w:ilvl="1">
      <w:start w:val="1"/>
      <w:numFmt w:val="upperLetter"/>
      <w:lvlText w:val="%2."/>
      <w:lvlJc w:val="left"/>
      <w:pPr>
        <w:ind w:left="1609" w:hanging="360"/>
        <w:jc w:val="left"/>
      </w:pPr>
      <w:rPr>
        <w:rFonts w:hint="default" w:ascii="Verdana" w:hAnsi="Verdana" w:eastAsia="Verdana" w:cs="Verdana"/>
        <w:b/>
        <w:bCs/>
        <w:w w:val="100"/>
        <w:sz w:val="20"/>
        <w:szCs w:val="20"/>
      </w:rPr>
    </w:lvl>
    <w:lvl w:ilvl="2">
      <w:start w:val="0"/>
      <w:numFmt w:val="bullet"/>
      <w:lvlText w:val="•"/>
      <w:lvlJc w:val="left"/>
      <w:pPr>
        <w:ind w:left="2493" w:hanging="360"/>
      </w:pPr>
      <w:rPr>
        <w:rFonts w:hint="default"/>
      </w:rPr>
    </w:lvl>
    <w:lvl w:ilvl="3">
      <w:start w:val="0"/>
      <w:numFmt w:val="bullet"/>
      <w:lvlText w:val="•"/>
      <w:lvlJc w:val="left"/>
      <w:pPr>
        <w:ind w:left="3386" w:hanging="360"/>
      </w:pPr>
      <w:rPr>
        <w:rFonts w:hint="default"/>
      </w:rPr>
    </w:lvl>
    <w:lvl w:ilvl="4">
      <w:start w:val="0"/>
      <w:numFmt w:val="bullet"/>
      <w:lvlText w:val="•"/>
      <w:lvlJc w:val="left"/>
      <w:pPr>
        <w:ind w:left="4280" w:hanging="360"/>
      </w:pPr>
      <w:rPr>
        <w:rFonts w:hint="default"/>
      </w:rPr>
    </w:lvl>
    <w:lvl w:ilvl="5">
      <w:start w:val="0"/>
      <w:numFmt w:val="bullet"/>
      <w:lvlText w:val="•"/>
      <w:lvlJc w:val="left"/>
      <w:pPr>
        <w:ind w:left="5173" w:hanging="360"/>
      </w:pPr>
      <w:rPr>
        <w:rFonts w:hint="default"/>
      </w:rPr>
    </w:lvl>
    <w:lvl w:ilvl="6">
      <w:start w:val="0"/>
      <w:numFmt w:val="bullet"/>
      <w:lvlText w:val="•"/>
      <w:lvlJc w:val="left"/>
      <w:pPr>
        <w:ind w:left="6066" w:hanging="360"/>
      </w:pPr>
      <w:rPr>
        <w:rFonts w:hint="default"/>
      </w:rPr>
    </w:lvl>
    <w:lvl w:ilvl="7">
      <w:start w:val="0"/>
      <w:numFmt w:val="bullet"/>
      <w:lvlText w:val="•"/>
      <w:lvlJc w:val="left"/>
      <w:pPr>
        <w:ind w:left="6960" w:hanging="360"/>
      </w:pPr>
      <w:rPr>
        <w:rFonts w:hint="default"/>
      </w:rPr>
    </w:lvl>
    <w:lvl w:ilvl="8">
      <w:start w:val="0"/>
      <w:numFmt w:val="bullet"/>
      <w:lvlText w:val="•"/>
      <w:lvlJc w:val="left"/>
      <w:pPr>
        <w:ind w:left="7853" w:hanging="360"/>
      </w:pPr>
      <w:rPr>
        <w:rFonts w:hint="default"/>
      </w:rPr>
    </w:lvl>
  </w:abstractNum>
  <w:abstractNum w:abstractNumId="47">
    <w:multiLevelType w:val="hybridMultilevel"/>
    <w:lvl w:ilvl="0">
      <w:start w:val="1"/>
      <w:numFmt w:val="lowerLetter"/>
      <w:lvlText w:val="%1)"/>
      <w:lvlJc w:val="left"/>
      <w:pPr>
        <w:ind w:left="681" w:hanging="248"/>
        <w:jc w:val="left"/>
      </w:pPr>
      <w:rPr>
        <w:rFonts w:hint="default" w:ascii="Verdana" w:hAnsi="Verdana" w:eastAsia="Verdana" w:cs="Verdana"/>
        <w:i/>
        <w:w w:val="99"/>
        <w:sz w:val="16"/>
        <w:szCs w:val="16"/>
      </w:rPr>
    </w:lvl>
    <w:lvl w:ilvl="1">
      <w:start w:val="0"/>
      <w:numFmt w:val="bullet"/>
      <w:lvlText w:val="•"/>
      <w:lvlJc w:val="left"/>
      <w:pPr>
        <w:ind w:left="1576" w:hanging="248"/>
      </w:pPr>
      <w:rPr>
        <w:rFonts w:hint="default"/>
      </w:rPr>
    </w:lvl>
    <w:lvl w:ilvl="2">
      <w:start w:val="0"/>
      <w:numFmt w:val="bullet"/>
      <w:lvlText w:val="•"/>
      <w:lvlJc w:val="left"/>
      <w:pPr>
        <w:ind w:left="2472" w:hanging="248"/>
      </w:pPr>
      <w:rPr>
        <w:rFonts w:hint="default"/>
      </w:rPr>
    </w:lvl>
    <w:lvl w:ilvl="3">
      <w:start w:val="0"/>
      <w:numFmt w:val="bullet"/>
      <w:lvlText w:val="•"/>
      <w:lvlJc w:val="left"/>
      <w:pPr>
        <w:ind w:left="3368" w:hanging="248"/>
      </w:pPr>
      <w:rPr>
        <w:rFonts w:hint="default"/>
      </w:rPr>
    </w:lvl>
    <w:lvl w:ilvl="4">
      <w:start w:val="0"/>
      <w:numFmt w:val="bullet"/>
      <w:lvlText w:val="•"/>
      <w:lvlJc w:val="left"/>
      <w:pPr>
        <w:ind w:left="4264" w:hanging="248"/>
      </w:pPr>
      <w:rPr>
        <w:rFonts w:hint="default"/>
      </w:rPr>
    </w:lvl>
    <w:lvl w:ilvl="5">
      <w:start w:val="0"/>
      <w:numFmt w:val="bullet"/>
      <w:lvlText w:val="•"/>
      <w:lvlJc w:val="left"/>
      <w:pPr>
        <w:ind w:left="5160" w:hanging="248"/>
      </w:pPr>
      <w:rPr>
        <w:rFonts w:hint="default"/>
      </w:rPr>
    </w:lvl>
    <w:lvl w:ilvl="6">
      <w:start w:val="0"/>
      <w:numFmt w:val="bullet"/>
      <w:lvlText w:val="•"/>
      <w:lvlJc w:val="left"/>
      <w:pPr>
        <w:ind w:left="6056" w:hanging="248"/>
      </w:pPr>
      <w:rPr>
        <w:rFonts w:hint="default"/>
      </w:rPr>
    </w:lvl>
    <w:lvl w:ilvl="7">
      <w:start w:val="0"/>
      <w:numFmt w:val="bullet"/>
      <w:lvlText w:val="•"/>
      <w:lvlJc w:val="left"/>
      <w:pPr>
        <w:ind w:left="6952" w:hanging="248"/>
      </w:pPr>
      <w:rPr>
        <w:rFonts w:hint="default"/>
      </w:rPr>
    </w:lvl>
    <w:lvl w:ilvl="8">
      <w:start w:val="0"/>
      <w:numFmt w:val="bullet"/>
      <w:lvlText w:val="•"/>
      <w:lvlJc w:val="left"/>
      <w:pPr>
        <w:ind w:left="7848" w:hanging="248"/>
      </w:pPr>
      <w:rPr>
        <w:rFonts w:hint="default"/>
      </w:rPr>
    </w:lvl>
  </w:abstractNum>
  <w:abstractNum w:abstractNumId="46">
    <w:multiLevelType w:val="hybridMultilevel"/>
    <w:lvl w:ilvl="0">
      <w:start w:val="1"/>
      <w:numFmt w:val="upperRoman"/>
      <w:lvlText w:val="%1."/>
      <w:lvlJc w:val="left"/>
      <w:pPr>
        <w:ind w:left="681" w:hanging="203"/>
        <w:jc w:val="right"/>
      </w:pPr>
      <w:rPr>
        <w:rFonts w:hint="default"/>
        <w:i/>
        <w:w w:val="99"/>
      </w:rPr>
    </w:lvl>
    <w:lvl w:ilvl="1">
      <w:start w:val="3"/>
      <w:numFmt w:val="upperRoman"/>
      <w:lvlText w:val="%2."/>
      <w:lvlJc w:val="left"/>
      <w:pPr>
        <w:ind w:left="1685" w:hanging="721"/>
        <w:jc w:val="left"/>
      </w:pPr>
      <w:rPr>
        <w:rFonts w:hint="default" w:ascii="Verdana" w:hAnsi="Verdana" w:eastAsia="Verdana" w:cs="Verdana"/>
        <w:b/>
        <w:bCs/>
        <w:spacing w:val="-1"/>
        <w:w w:val="100"/>
        <w:sz w:val="20"/>
        <w:szCs w:val="20"/>
      </w:rPr>
    </w:lvl>
    <w:lvl w:ilvl="2">
      <w:start w:val="0"/>
      <w:numFmt w:val="bullet"/>
      <w:lvlText w:val="•"/>
      <w:lvlJc w:val="left"/>
      <w:pPr>
        <w:ind w:left="2564" w:hanging="721"/>
      </w:pPr>
      <w:rPr>
        <w:rFonts w:hint="default"/>
      </w:rPr>
    </w:lvl>
    <w:lvl w:ilvl="3">
      <w:start w:val="0"/>
      <w:numFmt w:val="bullet"/>
      <w:lvlText w:val="•"/>
      <w:lvlJc w:val="left"/>
      <w:pPr>
        <w:ind w:left="3448" w:hanging="721"/>
      </w:pPr>
      <w:rPr>
        <w:rFonts w:hint="default"/>
      </w:rPr>
    </w:lvl>
    <w:lvl w:ilvl="4">
      <w:start w:val="0"/>
      <w:numFmt w:val="bullet"/>
      <w:lvlText w:val="•"/>
      <w:lvlJc w:val="left"/>
      <w:pPr>
        <w:ind w:left="4333" w:hanging="721"/>
      </w:pPr>
      <w:rPr>
        <w:rFonts w:hint="default"/>
      </w:rPr>
    </w:lvl>
    <w:lvl w:ilvl="5">
      <w:start w:val="0"/>
      <w:numFmt w:val="bullet"/>
      <w:lvlText w:val="•"/>
      <w:lvlJc w:val="left"/>
      <w:pPr>
        <w:ind w:left="5217" w:hanging="721"/>
      </w:pPr>
      <w:rPr>
        <w:rFonts w:hint="default"/>
      </w:rPr>
    </w:lvl>
    <w:lvl w:ilvl="6">
      <w:start w:val="0"/>
      <w:numFmt w:val="bullet"/>
      <w:lvlText w:val="•"/>
      <w:lvlJc w:val="left"/>
      <w:pPr>
        <w:ind w:left="6102" w:hanging="721"/>
      </w:pPr>
      <w:rPr>
        <w:rFonts w:hint="default"/>
      </w:rPr>
    </w:lvl>
    <w:lvl w:ilvl="7">
      <w:start w:val="0"/>
      <w:numFmt w:val="bullet"/>
      <w:lvlText w:val="•"/>
      <w:lvlJc w:val="left"/>
      <w:pPr>
        <w:ind w:left="6986" w:hanging="721"/>
      </w:pPr>
      <w:rPr>
        <w:rFonts w:hint="default"/>
      </w:rPr>
    </w:lvl>
    <w:lvl w:ilvl="8">
      <w:start w:val="0"/>
      <w:numFmt w:val="bullet"/>
      <w:lvlText w:val="•"/>
      <w:lvlJc w:val="left"/>
      <w:pPr>
        <w:ind w:left="7871" w:hanging="721"/>
      </w:pPr>
      <w:rPr>
        <w:rFonts w:hint="default"/>
      </w:rPr>
    </w:lvl>
  </w:abstractNum>
  <w:abstractNum w:abstractNumId="45">
    <w:multiLevelType w:val="hybridMultilevel"/>
    <w:lvl w:ilvl="0">
      <w:start w:val="1"/>
      <w:numFmt w:val="decimal"/>
      <w:lvlText w:val="%1."/>
      <w:lvlJc w:val="left"/>
      <w:pPr>
        <w:ind w:left="681" w:hanging="709"/>
        <w:jc w:val="right"/>
      </w:pPr>
      <w:rPr>
        <w:rFonts w:hint="default" w:ascii="Verdana" w:hAnsi="Verdana" w:eastAsia="Verdana" w:cs="Verdana"/>
        <w:spacing w:val="-1"/>
        <w:w w:val="100"/>
        <w:sz w:val="20"/>
        <w:szCs w:val="20"/>
      </w:rPr>
    </w:lvl>
    <w:lvl w:ilvl="1">
      <w:start w:val="0"/>
      <w:numFmt w:val="bullet"/>
      <w:lvlText w:val="•"/>
      <w:lvlJc w:val="left"/>
      <w:pPr>
        <w:ind w:left="1576" w:hanging="709"/>
      </w:pPr>
      <w:rPr>
        <w:rFonts w:hint="default"/>
      </w:rPr>
    </w:lvl>
    <w:lvl w:ilvl="2">
      <w:start w:val="0"/>
      <w:numFmt w:val="bullet"/>
      <w:lvlText w:val="•"/>
      <w:lvlJc w:val="left"/>
      <w:pPr>
        <w:ind w:left="2472" w:hanging="709"/>
      </w:pPr>
      <w:rPr>
        <w:rFonts w:hint="default"/>
      </w:rPr>
    </w:lvl>
    <w:lvl w:ilvl="3">
      <w:start w:val="0"/>
      <w:numFmt w:val="bullet"/>
      <w:lvlText w:val="•"/>
      <w:lvlJc w:val="left"/>
      <w:pPr>
        <w:ind w:left="3368" w:hanging="709"/>
      </w:pPr>
      <w:rPr>
        <w:rFonts w:hint="default"/>
      </w:rPr>
    </w:lvl>
    <w:lvl w:ilvl="4">
      <w:start w:val="0"/>
      <w:numFmt w:val="bullet"/>
      <w:lvlText w:val="•"/>
      <w:lvlJc w:val="left"/>
      <w:pPr>
        <w:ind w:left="4264" w:hanging="709"/>
      </w:pPr>
      <w:rPr>
        <w:rFonts w:hint="default"/>
      </w:rPr>
    </w:lvl>
    <w:lvl w:ilvl="5">
      <w:start w:val="0"/>
      <w:numFmt w:val="bullet"/>
      <w:lvlText w:val="•"/>
      <w:lvlJc w:val="left"/>
      <w:pPr>
        <w:ind w:left="5160" w:hanging="709"/>
      </w:pPr>
      <w:rPr>
        <w:rFonts w:hint="default"/>
      </w:rPr>
    </w:lvl>
    <w:lvl w:ilvl="6">
      <w:start w:val="0"/>
      <w:numFmt w:val="bullet"/>
      <w:lvlText w:val="•"/>
      <w:lvlJc w:val="left"/>
      <w:pPr>
        <w:ind w:left="6056" w:hanging="709"/>
      </w:pPr>
      <w:rPr>
        <w:rFonts w:hint="default"/>
      </w:rPr>
    </w:lvl>
    <w:lvl w:ilvl="7">
      <w:start w:val="0"/>
      <w:numFmt w:val="bullet"/>
      <w:lvlText w:val="•"/>
      <w:lvlJc w:val="left"/>
      <w:pPr>
        <w:ind w:left="6952" w:hanging="709"/>
      </w:pPr>
      <w:rPr>
        <w:rFonts w:hint="default"/>
      </w:rPr>
    </w:lvl>
    <w:lvl w:ilvl="8">
      <w:start w:val="0"/>
      <w:numFmt w:val="bullet"/>
      <w:lvlText w:val="•"/>
      <w:lvlJc w:val="left"/>
      <w:pPr>
        <w:ind w:left="7848" w:hanging="709"/>
      </w:pPr>
      <w:rPr>
        <w:rFonts w:hint="default"/>
      </w:rPr>
    </w:lvl>
  </w:abstractNum>
  <w:abstractNum w:abstractNumId="43">
    <w:multiLevelType w:val="hybridMultilevel"/>
    <w:lvl w:ilvl="0">
      <w:start w:val="12"/>
      <w:numFmt w:val="upperLetter"/>
      <w:lvlText w:val="%1."/>
      <w:lvlJc w:val="left"/>
      <w:pPr>
        <w:ind w:left="1153" w:hanging="245"/>
        <w:jc w:val="left"/>
      </w:pPr>
      <w:rPr>
        <w:rFonts w:hint="default" w:ascii="Arial" w:hAnsi="Arial" w:eastAsia="Arial" w:cs="Arial"/>
        <w:w w:val="99"/>
        <w:sz w:val="22"/>
        <w:szCs w:val="22"/>
      </w:rPr>
    </w:lvl>
    <w:lvl w:ilvl="1">
      <w:start w:val="2"/>
      <w:numFmt w:val="upperLetter"/>
      <w:lvlText w:val="%2."/>
      <w:lvlJc w:val="left"/>
      <w:pPr>
        <w:ind w:left="1609" w:hanging="360"/>
        <w:jc w:val="left"/>
      </w:pPr>
      <w:rPr>
        <w:rFonts w:hint="default" w:ascii="Verdana" w:hAnsi="Verdana" w:eastAsia="Verdana" w:cs="Verdana"/>
        <w:b/>
        <w:bCs/>
        <w:spacing w:val="-1"/>
        <w:w w:val="100"/>
        <w:sz w:val="20"/>
        <w:szCs w:val="20"/>
      </w:rPr>
    </w:lvl>
    <w:lvl w:ilvl="2">
      <w:start w:val="0"/>
      <w:numFmt w:val="bullet"/>
      <w:lvlText w:val="•"/>
      <w:lvlJc w:val="left"/>
      <w:pPr>
        <w:ind w:left="1844" w:hanging="360"/>
      </w:pPr>
      <w:rPr>
        <w:rFonts w:hint="default"/>
      </w:rPr>
    </w:lvl>
    <w:lvl w:ilvl="3">
      <w:start w:val="0"/>
      <w:numFmt w:val="bullet"/>
      <w:lvlText w:val="•"/>
      <w:lvlJc w:val="left"/>
      <w:pPr>
        <w:ind w:left="2089" w:hanging="360"/>
      </w:pPr>
      <w:rPr>
        <w:rFonts w:hint="default"/>
      </w:rPr>
    </w:lvl>
    <w:lvl w:ilvl="4">
      <w:start w:val="0"/>
      <w:numFmt w:val="bullet"/>
      <w:lvlText w:val="•"/>
      <w:lvlJc w:val="left"/>
      <w:pPr>
        <w:ind w:left="2333" w:hanging="360"/>
      </w:pPr>
      <w:rPr>
        <w:rFonts w:hint="default"/>
      </w:rPr>
    </w:lvl>
    <w:lvl w:ilvl="5">
      <w:start w:val="0"/>
      <w:numFmt w:val="bullet"/>
      <w:lvlText w:val="•"/>
      <w:lvlJc w:val="left"/>
      <w:pPr>
        <w:ind w:left="2578" w:hanging="360"/>
      </w:pPr>
      <w:rPr>
        <w:rFonts w:hint="default"/>
      </w:rPr>
    </w:lvl>
    <w:lvl w:ilvl="6">
      <w:start w:val="0"/>
      <w:numFmt w:val="bullet"/>
      <w:lvlText w:val="•"/>
      <w:lvlJc w:val="left"/>
      <w:pPr>
        <w:ind w:left="2822" w:hanging="360"/>
      </w:pPr>
      <w:rPr>
        <w:rFonts w:hint="default"/>
      </w:rPr>
    </w:lvl>
    <w:lvl w:ilvl="7">
      <w:start w:val="0"/>
      <w:numFmt w:val="bullet"/>
      <w:lvlText w:val="•"/>
      <w:lvlJc w:val="left"/>
      <w:pPr>
        <w:ind w:left="3067" w:hanging="360"/>
      </w:pPr>
      <w:rPr>
        <w:rFonts w:hint="default"/>
      </w:rPr>
    </w:lvl>
    <w:lvl w:ilvl="8">
      <w:start w:val="0"/>
      <w:numFmt w:val="bullet"/>
      <w:lvlText w:val="•"/>
      <w:lvlJc w:val="left"/>
      <w:pPr>
        <w:ind w:left="3312" w:hanging="360"/>
      </w:pPr>
      <w:rPr>
        <w:rFonts w:hint="default"/>
      </w:rPr>
    </w:lvl>
  </w:abstractNum>
  <w:abstractNum w:abstractNumId="42">
    <w:multiLevelType w:val="hybridMultilevel"/>
    <w:lvl w:ilvl="0">
      <w:start w:val="1"/>
      <w:numFmt w:val="decimal"/>
      <w:lvlText w:val="%1"/>
      <w:lvlJc w:val="left"/>
      <w:pPr>
        <w:ind w:left="120" w:hanging="721"/>
        <w:jc w:val="left"/>
      </w:pPr>
      <w:rPr>
        <w:rFonts w:hint="default" w:ascii="Verdana" w:hAnsi="Verdana" w:eastAsia="Verdana" w:cs="Verdana"/>
        <w:w w:val="99"/>
        <w:sz w:val="16"/>
        <w:szCs w:val="16"/>
      </w:rPr>
    </w:lvl>
    <w:lvl w:ilvl="1">
      <w:start w:val="1"/>
      <w:numFmt w:val="lowerLetter"/>
      <w:lvlText w:val="%2)"/>
      <w:lvlJc w:val="left"/>
      <w:pPr>
        <w:ind w:left="820" w:hanging="266"/>
        <w:jc w:val="left"/>
      </w:pPr>
      <w:rPr>
        <w:rFonts w:hint="default" w:ascii="Arial" w:hAnsi="Arial" w:eastAsia="Arial" w:cs="Arial"/>
        <w:w w:val="99"/>
        <w:sz w:val="22"/>
        <w:szCs w:val="22"/>
      </w:rPr>
    </w:lvl>
    <w:lvl w:ilvl="2">
      <w:start w:val="0"/>
      <w:numFmt w:val="bullet"/>
      <w:lvlText w:val="•"/>
      <w:lvlJc w:val="left"/>
      <w:pPr>
        <w:ind w:left="1793" w:hanging="266"/>
      </w:pPr>
      <w:rPr>
        <w:rFonts w:hint="default"/>
      </w:rPr>
    </w:lvl>
    <w:lvl w:ilvl="3">
      <w:start w:val="0"/>
      <w:numFmt w:val="bullet"/>
      <w:lvlText w:val="•"/>
      <w:lvlJc w:val="left"/>
      <w:pPr>
        <w:ind w:left="2766" w:hanging="266"/>
      </w:pPr>
      <w:rPr>
        <w:rFonts w:hint="default"/>
      </w:rPr>
    </w:lvl>
    <w:lvl w:ilvl="4">
      <w:start w:val="0"/>
      <w:numFmt w:val="bullet"/>
      <w:lvlText w:val="•"/>
      <w:lvlJc w:val="left"/>
      <w:pPr>
        <w:ind w:left="3740" w:hanging="266"/>
      </w:pPr>
      <w:rPr>
        <w:rFonts w:hint="default"/>
      </w:rPr>
    </w:lvl>
    <w:lvl w:ilvl="5">
      <w:start w:val="0"/>
      <w:numFmt w:val="bullet"/>
      <w:lvlText w:val="•"/>
      <w:lvlJc w:val="left"/>
      <w:pPr>
        <w:ind w:left="4713" w:hanging="266"/>
      </w:pPr>
      <w:rPr>
        <w:rFonts w:hint="default"/>
      </w:rPr>
    </w:lvl>
    <w:lvl w:ilvl="6">
      <w:start w:val="0"/>
      <w:numFmt w:val="bullet"/>
      <w:lvlText w:val="•"/>
      <w:lvlJc w:val="left"/>
      <w:pPr>
        <w:ind w:left="5686" w:hanging="266"/>
      </w:pPr>
      <w:rPr>
        <w:rFonts w:hint="default"/>
      </w:rPr>
    </w:lvl>
    <w:lvl w:ilvl="7">
      <w:start w:val="0"/>
      <w:numFmt w:val="bullet"/>
      <w:lvlText w:val="•"/>
      <w:lvlJc w:val="left"/>
      <w:pPr>
        <w:ind w:left="6660" w:hanging="266"/>
      </w:pPr>
      <w:rPr>
        <w:rFonts w:hint="default"/>
      </w:rPr>
    </w:lvl>
    <w:lvl w:ilvl="8">
      <w:start w:val="0"/>
      <w:numFmt w:val="bullet"/>
      <w:lvlText w:val="•"/>
      <w:lvlJc w:val="left"/>
      <w:pPr>
        <w:ind w:left="7633" w:hanging="266"/>
      </w:pPr>
      <w:rPr>
        <w:rFonts w:hint="default"/>
      </w:rPr>
    </w:lvl>
  </w:abstractNum>
  <w:abstractNum w:abstractNumId="41">
    <w:multiLevelType w:val="hybridMultilevel"/>
    <w:lvl w:ilvl="0">
      <w:start w:val="1"/>
      <w:numFmt w:val="decimal"/>
      <w:lvlText w:val="%1."/>
      <w:lvlJc w:val="left"/>
      <w:pPr>
        <w:ind w:left="122" w:hanging="708"/>
        <w:jc w:val="left"/>
      </w:pPr>
      <w:rPr>
        <w:rFonts w:hint="default" w:ascii="Verdana" w:hAnsi="Verdana" w:eastAsia="Verdana" w:cs="Verdana"/>
        <w:w w:val="99"/>
        <w:sz w:val="20"/>
        <w:szCs w:val="20"/>
      </w:rPr>
    </w:lvl>
    <w:lvl w:ilvl="1">
      <w:start w:val="0"/>
      <w:numFmt w:val="bullet"/>
      <w:lvlText w:val="•"/>
      <w:lvlJc w:val="left"/>
      <w:pPr>
        <w:ind w:left="1016" w:hanging="708"/>
      </w:pPr>
      <w:rPr>
        <w:rFonts w:hint="default"/>
      </w:rPr>
    </w:lvl>
    <w:lvl w:ilvl="2">
      <w:start w:val="0"/>
      <w:numFmt w:val="bullet"/>
      <w:lvlText w:val="•"/>
      <w:lvlJc w:val="left"/>
      <w:pPr>
        <w:ind w:left="1912" w:hanging="708"/>
      </w:pPr>
      <w:rPr>
        <w:rFonts w:hint="default"/>
      </w:rPr>
    </w:lvl>
    <w:lvl w:ilvl="3">
      <w:start w:val="0"/>
      <w:numFmt w:val="bullet"/>
      <w:lvlText w:val="•"/>
      <w:lvlJc w:val="left"/>
      <w:pPr>
        <w:ind w:left="2808" w:hanging="708"/>
      </w:pPr>
      <w:rPr>
        <w:rFonts w:hint="default"/>
      </w:rPr>
    </w:lvl>
    <w:lvl w:ilvl="4">
      <w:start w:val="0"/>
      <w:numFmt w:val="bullet"/>
      <w:lvlText w:val="•"/>
      <w:lvlJc w:val="left"/>
      <w:pPr>
        <w:ind w:left="3704" w:hanging="708"/>
      </w:pPr>
      <w:rPr>
        <w:rFonts w:hint="default"/>
      </w:rPr>
    </w:lvl>
    <w:lvl w:ilvl="5">
      <w:start w:val="0"/>
      <w:numFmt w:val="bullet"/>
      <w:lvlText w:val="•"/>
      <w:lvlJc w:val="left"/>
      <w:pPr>
        <w:ind w:left="4600" w:hanging="708"/>
      </w:pPr>
      <w:rPr>
        <w:rFonts w:hint="default"/>
      </w:rPr>
    </w:lvl>
    <w:lvl w:ilvl="6">
      <w:start w:val="0"/>
      <w:numFmt w:val="bullet"/>
      <w:lvlText w:val="•"/>
      <w:lvlJc w:val="left"/>
      <w:pPr>
        <w:ind w:left="5496" w:hanging="708"/>
      </w:pPr>
      <w:rPr>
        <w:rFonts w:hint="default"/>
      </w:rPr>
    </w:lvl>
    <w:lvl w:ilvl="7">
      <w:start w:val="0"/>
      <w:numFmt w:val="bullet"/>
      <w:lvlText w:val="•"/>
      <w:lvlJc w:val="left"/>
      <w:pPr>
        <w:ind w:left="6392" w:hanging="708"/>
      </w:pPr>
      <w:rPr>
        <w:rFonts w:hint="default"/>
      </w:rPr>
    </w:lvl>
    <w:lvl w:ilvl="8">
      <w:start w:val="0"/>
      <w:numFmt w:val="bullet"/>
      <w:lvlText w:val="•"/>
      <w:lvlJc w:val="left"/>
      <w:pPr>
        <w:ind w:left="7288" w:hanging="708"/>
      </w:pPr>
      <w:rPr>
        <w:rFonts w:hint="default"/>
      </w:rPr>
    </w:lvl>
  </w:abstractNum>
  <w:abstractNum w:abstractNumId="40">
    <w:multiLevelType w:val="hybridMultilevel"/>
    <w:lvl w:ilvl="0">
      <w:start w:val="1"/>
      <w:numFmt w:val="lowerLetter"/>
      <w:lvlText w:val="%1)"/>
      <w:lvlJc w:val="left"/>
      <w:pPr>
        <w:ind w:left="405" w:hanging="346"/>
        <w:jc w:val="left"/>
      </w:pPr>
      <w:rPr>
        <w:rFonts w:hint="default" w:ascii="Verdana" w:hAnsi="Verdana" w:eastAsia="Verdana" w:cs="Verdana"/>
        <w:w w:val="99"/>
        <w:sz w:val="20"/>
        <w:szCs w:val="20"/>
      </w:rPr>
    </w:lvl>
    <w:lvl w:ilvl="1">
      <w:start w:val="0"/>
      <w:numFmt w:val="bullet"/>
      <w:lvlText w:val="•"/>
      <w:lvlJc w:val="left"/>
      <w:pPr>
        <w:ind w:left="1268" w:hanging="346"/>
      </w:pPr>
      <w:rPr>
        <w:rFonts w:hint="default"/>
      </w:rPr>
    </w:lvl>
    <w:lvl w:ilvl="2">
      <w:start w:val="0"/>
      <w:numFmt w:val="bullet"/>
      <w:lvlText w:val="•"/>
      <w:lvlJc w:val="left"/>
      <w:pPr>
        <w:ind w:left="2136" w:hanging="346"/>
      </w:pPr>
      <w:rPr>
        <w:rFonts w:hint="default"/>
      </w:rPr>
    </w:lvl>
    <w:lvl w:ilvl="3">
      <w:start w:val="0"/>
      <w:numFmt w:val="bullet"/>
      <w:lvlText w:val="•"/>
      <w:lvlJc w:val="left"/>
      <w:pPr>
        <w:ind w:left="3004" w:hanging="346"/>
      </w:pPr>
      <w:rPr>
        <w:rFonts w:hint="default"/>
      </w:rPr>
    </w:lvl>
    <w:lvl w:ilvl="4">
      <w:start w:val="0"/>
      <w:numFmt w:val="bullet"/>
      <w:lvlText w:val="•"/>
      <w:lvlJc w:val="left"/>
      <w:pPr>
        <w:ind w:left="3872" w:hanging="346"/>
      </w:pPr>
      <w:rPr>
        <w:rFonts w:hint="default"/>
      </w:rPr>
    </w:lvl>
    <w:lvl w:ilvl="5">
      <w:start w:val="0"/>
      <w:numFmt w:val="bullet"/>
      <w:lvlText w:val="•"/>
      <w:lvlJc w:val="left"/>
      <w:pPr>
        <w:ind w:left="4740" w:hanging="346"/>
      </w:pPr>
      <w:rPr>
        <w:rFonts w:hint="default"/>
      </w:rPr>
    </w:lvl>
    <w:lvl w:ilvl="6">
      <w:start w:val="0"/>
      <w:numFmt w:val="bullet"/>
      <w:lvlText w:val="•"/>
      <w:lvlJc w:val="left"/>
      <w:pPr>
        <w:ind w:left="5608" w:hanging="346"/>
      </w:pPr>
      <w:rPr>
        <w:rFonts w:hint="default"/>
      </w:rPr>
    </w:lvl>
    <w:lvl w:ilvl="7">
      <w:start w:val="0"/>
      <w:numFmt w:val="bullet"/>
      <w:lvlText w:val="•"/>
      <w:lvlJc w:val="left"/>
      <w:pPr>
        <w:ind w:left="6476" w:hanging="346"/>
      </w:pPr>
      <w:rPr>
        <w:rFonts w:hint="default"/>
      </w:rPr>
    </w:lvl>
    <w:lvl w:ilvl="8">
      <w:start w:val="0"/>
      <w:numFmt w:val="bullet"/>
      <w:lvlText w:val="•"/>
      <w:lvlJc w:val="left"/>
      <w:pPr>
        <w:ind w:left="7344" w:hanging="346"/>
      </w:pPr>
      <w:rPr>
        <w:rFonts w:hint="default"/>
      </w:rPr>
    </w:lvl>
  </w:abstractNum>
  <w:abstractNum w:abstractNumId="39">
    <w:multiLevelType w:val="hybridMultilevel"/>
    <w:lvl w:ilvl="0">
      <w:start w:val="1"/>
      <w:numFmt w:val="lowerLetter"/>
      <w:lvlText w:val="%1)"/>
      <w:lvlJc w:val="left"/>
      <w:pPr>
        <w:ind w:left="263" w:hanging="567"/>
        <w:jc w:val="left"/>
      </w:pPr>
      <w:rPr>
        <w:rFonts w:hint="default" w:ascii="Verdana" w:hAnsi="Verdana" w:eastAsia="Verdana" w:cs="Verdana"/>
        <w:w w:val="99"/>
        <w:sz w:val="20"/>
        <w:szCs w:val="20"/>
      </w:rPr>
    </w:lvl>
    <w:lvl w:ilvl="1">
      <w:start w:val="0"/>
      <w:numFmt w:val="bullet"/>
      <w:lvlText w:val="•"/>
      <w:lvlJc w:val="left"/>
      <w:pPr>
        <w:ind w:left="1142" w:hanging="567"/>
      </w:pPr>
      <w:rPr>
        <w:rFonts w:hint="default"/>
      </w:rPr>
    </w:lvl>
    <w:lvl w:ilvl="2">
      <w:start w:val="0"/>
      <w:numFmt w:val="bullet"/>
      <w:lvlText w:val="•"/>
      <w:lvlJc w:val="left"/>
      <w:pPr>
        <w:ind w:left="2024" w:hanging="567"/>
      </w:pPr>
      <w:rPr>
        <w:rFonts w:hint="default"/>
      </w:rPr>
    </w:lvl>
    <w:lvl w:ilvl="3">
      <w:start w:val="0"/>
      <w:numFmt w:val="bullet"/>
      <w:lvlText w:val="•"/>
      <w:lvlJc w:val="left"/>
      <w:pPr>
        <w:ind w:left="2906" w:hanging="567"/>
      </w:pPr>
      <w:rPr>
        <w:rFonts w:hint="default"/>
      </w:rPr>
    </w:lvl>
    <w:lvl w:ilvl="4">
      <w:start w:val="0"/>
      <w:numFmt w:val="bullet"/>
      <w:lvlText w:val="•"/>
      <w:lvlJc w:val="left"/>
      <w:pPr>
        <w:ind w:left="3788" w:hanging="567"/>
      </w:pPr>
      <w:rPr>
        <w:rFonts w:hint="default"/>
      </w:rPr>
    </w:lvl>
    <w:lvl w:ilvl="5">
      <w:start w:val="0"/>
      <w:numFmt w:val="bullet"/>
      <w:lvlText w:val="•"/>
      <w:lvlJc w:val="left"/>
      <w:pPr>
        <w:ind w:left="4670" w:hanging="567"/>
      </w:pPr>
      <w:rPr>
        <w:rFonts w:hint="default"/>
      </w:rPr>
    </w:lvl>
    <w:lvl w:ilvl="6">
      <w:start w:val="0"/>
      <w:numFmt w:val="bullet"/>
      <w:lvlText w:val="•"/>
      <w:lvlJc w:val="left"/>
      <w:pPr>
        <w:ind w:left="5552" w:hanging="567"/>
      </w:pPr>
      <w:rPr>
        <w:rFonts w:hint="default"/>
      </w:rPr>
    </w:lvl>
    <w:lvl w:ilvl="7">
      <w:start w:val="0"/>
      <w:numFmt w:val="bullet"/>
      <w:lvlText w:val="•"/>
      <w:lvlJc w:val="left"/>
      <w:pPr>
        <w:ind w:left="6434" w:hanging="567"/>
      </w:pPr>
      <w:rPr>
        <w:rFonts w:hint="default"/>
      </w:rPr>
    </w:lvl>
    <w:lvl w:ilvl="8">
      <w:start w:val="0"/>
      <w:numFmt w:val="bullet"/>
      <w:lvlText w:val="•"/>
      <w:lvlJc w:val="left"/>
      <w:pPr>
        <w:ind w:left="7316" w:hanging="567"/>
      </w:pPr>
      <w:rPr>
        <w:rFonts w:hint="default"/>
      </w:rPr>
    </w:lvl>
  </w:abstractNum>
  <w:abstractNum w:abstractNumId="38">
    <w:multiLevelType w:val="hybridMultilevel"/>
    <w:lvl w:ilvl="0">
      <w:start w:val="2"/>
      <w:numFmt w:val="upperLetter"/>
      <w:lvlText w:val="%1"/>
      <w:lvlJc w:val="left"/>
      <w:pPr>
        <w:ind w:left="1100" w:hanging="433"/>
        <w:jc w:val="left"/>
      </w:pPr>
      <w:rPr>
        <w:rFonts w:hint="default"/>
      </w:rPr>
    </w:lvl>
    <w:lvl w:ilvl="1">
      <w:start w:val="1"/>
      <w:numFmt w:val="decimal"/>
      <w:lvlText w:val="%1.%2"/>
      <w:lvlJc w:val="left"/>
      <w:pPr>
        <w:ind w:left="688" w:hanging="433"/>
        <w:jc w:val="left"/>
      </w:pPr>
      <w:rPr>
        <w:rFonts w:hint="default" w:ascii="Verdana" w:hAnsi="Verdana" w:eastAsia="Verdana" w:cs="Verdana"/>
        <w:b/>
        <w:bCs/>
        <w:i/>
        <w:w w:val="99"/>
        <w:sz w:val="20"/>
        <w:szCs w:val="20"/>
      </w:rPr>
    </w:lvl>
    <w:lvl w:ilvl="2">
      <w:start w:val="1"/>
      <w:numFmt w:val="decimal"/>
      <w:lvlText w:val="%1.%2.%3"/>
      <w:lvlJc w:val="left"/>
      <w:pPr>
        <w:ind w:left="1558" w:hanging="605"/>
        <w:jc w:val="left"/>
      </w:pPr>
      <w:rPr>
        <w:rFonts w:hint="default" w:ascii="Verdana" w:hAnsi="Verdana" w:eastAsia="Verdana" w:cs="Verdana"/>
        <w:i/>
        <w:w w:val="99"/>
        <w:sz w:val="20"/>
        <w:szCs w:val="20"/>
      </w:rPr>
    </w:lvl>
    <w:lvl w:ilvl="3">
      <w:start w:val="0"/>
      <w:numFmt w:val="bullet"/>
      <w:lvlText w:val="•"/>
      <w:lvlJc w:val="left"/>
      <w:pPr>
        <w:ind w:left="2495" w:hanging="605"/>
      </w:pPr>
      <w:rPr>
        <w:rFonts w:hint="default"/>
      </w:rPr>
    </w:lvl>
    <w:lvl w:ilvl="4">
      <w:start w:val="0"/>
      <w:numFmt w:val="bullet"/>
      <w:lvlText w:val="•"/>
      <w:lvlJc w:val="left"/>
      <w:pPr>
        <w:ind w:left="3430" w:hanging="605"/>
      </w:pPr>
      <w:rPr>
        <w:rFonts w:hint="default"/>
      </w:rPr>
    </w:lvl>
    <w:lvl w:ilvl="5">
      <w:start w:val="0"/>
      <w:numFmt w:val="bullet"/>
      <w:lvlText w:val="•"/>
      <w:lvlJc w:val="left"/>
      <w:pPr>
        <w:ind w:left="4365" w:hanging="605"/>
      </w:pPr>
      <w:rPr>
        <w:rFonts w:hint="default"/>
      </w:rPr>
    </w:lvl>
    <w:lvl w:ilvl="6">
      <w:start w:val="0"/>
      <w:numFmt w:val="bullet"/>
      <w:lvlText w:val="•"/>
      <w:lvlJc w:val="left"/>
      <w:pPr>
        <w:ind w:left="5300" w:hanging="605"/>
      </w:pPr>
      <w:rPr>
        <w:rFonts w:hint="default"/>
      </w:rPr>
    </w:lvl>
    <w:lvl w:ilvl="7">
      <w:start w:val="0"/>
      <w:numFmt w:val="bullet"/>
      <w:lvlText w:val="•"/>
      <w:lvlJc w:val="left"/>
      <w:pPr>
        <w:ind w:left="6235" w:hanging="605"/>
      </w:pPr>
      <w:rPr>
        <w:rFonts w:hint="default"/>
      </w:rPr>
    </w:lvl>
    <w:lvl w:ilvl="8">
      <w:start w:val="0"/>
      <w:numFmt w:val="bullet"/>
      <w:lvlText w:val="•"/>
      <w:lvlJc w:val="left"/>
      <w:pPr>
        <w:ind w:left="7170" w:hanging="605"/>
      </w:pPr>
      <w:rPr>
        <w:rFonts w:hint="default"/>
      </w:rPr>
    </w:lvl>
  </w:abstractNum>
  <w:abstractNum w:abstractNumId="37">
    <w:multiLevelType w:val="hybridMultilevel"/>
    <w:lvl w:ilvl="0">
      <w:start w:val="2"/>
      <w:numFmt w:val="upperLetter"/>
      <w:lvlText w:val="%1)"/>
      <w:lvlJc w:val="left"/>
      <w:pPr>
        <w:ind w:left="830" w:hanging="425"/>
        <w:jc w:val="right"/>
      </w:pPr>
      <w:rPr>
        <w:rFonts w:hint="default" w:ascii="Verdana" w:hAnsi="Verdana" w:eastAsia="Verdana" w:cs="Verdana"/>
        <w:b/>
        <w:bCs/>
        <w:i/>
        <w:spacing w:val="-1"/>
        <w:w w:val="99"/>
        <w:sz w:val="20"/>
        <w:szCs w:val="20"/>
      </w:rPr>
    </w:lvl>
    <w:lvl w:ilvl="1">
      <w:start w:val="0"/>
      <w:numFmt w:val="bullet"/>
      <w:lvlText w:val="•"/>
      <w:lvlJc w:val="left"/>
      <w:pPr>
        <w:ind w:left="1664" w:hanging="425"/>
      </w:pPr>
      <w:rPr>
        <w:rFonts w:hint="default"/>
      </w:rPr>
    </w:lvl>
    <w:lvl w:ilvl="2">
      <w:start w:val="0"/>
      <w:numFmt w:val="bullet"/>
      <w:lvlText w:val="•"/>
      <w:lvlJc w:val="left"/>
      <w:pPr>
        <w:ind w:left="2488" w:hanging="425"/>
      </w:pPr>
      <w:rPr>
        <w:rFonts w:hint="default"/>
      </w:rPr>
    </w:lvl>
    <w:lvl w:ilvl="3">
      <w:start w:val="0"/>
      <w:numFmt w:val="bullet"/>
      <w:lvlText w:val="•"/>
      <w:lvlJc w:val="left"/>
      <w:pPr>
        <w:ind w:left="3312" w:hanging="425"/>
      </w:pPr>
      <w:rPr>
        <w:rFonts w:hint="default"/>
      </w:rPr>
    </w:lvl>
    <w:lvl w:ilvl="4">
      <w:start w:val="0"/>
      <w:numFmt w:val="bullet"/>
      <w:lvlText w:val="•"/>
      <w:lvlJc w:val="left"/>
      <w:pPr>
        <w:ind w:left="4136" w:hanging="425"/>
      </w:pPr>
      <w:rPr>
        <w:rFonts w:hint="default"/>
      </w:rPr>
    </w:lvl>
    <w:lvl w:ilvl="5">
      <w:start w:val="0"/>
      <w:numFmt w:val="bullet"/>
      <w:lvlText w:val="•"/>
      <w:lvlJc w:val="left"/>
      <w:pPr>
        <w:ind w:left="4960" w:hanging="425"/>
      </w:pPr>
      <w:rPr>
        <w:rFonts w:hint="default"/>
      </w:rPr>
    </w:lvl>
    <w:lvl w:ilvl="6">
      <w:start w:val="0"/>
      <w:numFmt w:val="bullet"/>
      <w:lvlText w:val="•"/>
      <w:lvlJc w:val="left"/>
      <w:pPr>
        <w:ind w:left="5784" w:hanging="425"/>
      </w:pPr>
      <w:rPr>
        <w:rFonts w:hint="default"/>
      </w:rPr>
    </w:lvl>
    <w:lvl w:ilvl="7">
      <w:start w:val="0"/>
      <w:numFmt w:val="bullet"/>
      <w:lvlText w:val="•"/>
      <w:lvlJc w:val="left"/>
      <w:pPr>
        <w:ind w:left="6608" w:hanging="425"/>
      </w:pPr>
      <w:rPr>
        <w:rFonts w:hint="default"/>
      </w:rPr>
    </w:lvl>
    <w:lvl w:ilvl="8">
      <w:start w:val="0"/>
      <w:numFmt w:val="bullet"/>
      <w:lvlText w:val="•"/>
      <w:lvlJc w:val="left"/>
      <w:pPr>
        <w:ind w:left="7432" w:hanging="425"/>
      </w:pPr>
      <w:rPr>
        <w:rFonts w:hint="default"/>
      </w:rPr>
    </w:lvl>
  </w:abstractNum>
  <w:abstractNum w:abstractNumId="36">
    <w:multiLevelType w:val="hybridMultilevel"/>
    <w:lvl w:ilvl="0">
      <w:start w:val="306"/>
      <w:numFmt w:val="decimal"/>
      <w:lvlText w:val="%1."/>
      <w:lvlJc w:val="left"/>
      <w:pPr>
        <w:ind w:left="122" w:hanging="708"/>
        <w:jc w:val="left"/>
      </w:pPr>
      <w:rPr>
        <w:rFonts w:hint="default" w:ascii="Verdana" w:hAnsi="Verdana" w:eastAsia="Verdana" w:cs="Verdana"/>
        <w:w w:val="99"/>
        <w:sz w:val="20"/>
        <w:szCs w:val="20"/>
      </w:rPr>
    </w:lvl>
    <w:lvl w:ilvl="1">
      <w:start w:val="1"/>
      <w:numFmt w:val="upperLetter"/>
      <w:lvlText w:val="%2)"/>
      <w:lvlJc w:val="left"/>
      <w:pPr>
        <w:ind w:left="830" w:hanging="425"/>
        <w:jc w:val="left"/>
      </w:pPr>
      <w:rPr>
        <w:rFonts w:hint="default" w:ascii="Verdana" w:hAnsi="Verdana" w:eastAsia="Verdana" w:cs="Verdana"/>
        <w:b/>
        <w:bCs/>
        <w:i/>
        <w:spacing w:val="-2"/>
        <w:w w:val="99"/>
        <w:sz w:val="20"/>
        <w:szCs w:val="20"/>
      </w:rPr>
    </w:lvl>
    <w:lvl w:ilvl="2">
      <w:start w:val="0"/>
      <w:numFmt w:val="bullet"/>
      <w:lvlText w:val="•"/>
      <w:lvlJc w:val="left"/>
      <w:pPr>
        <w:ind w:left="1755" w:hanging="425"/>
      </w:pPr>
      <w:rPr>
        <w:rFonts w:hint="default"/>
      </w:rPr>
    </w:lvl>
    <w:lvl w:ilvl="3">
      <w:start w:val="0"/>
      <w:numFmt w:val="bullet"/>
      <w:lvlText w:val="•"/>
      <w:lvlJc w:val="left"/>
      <w:pPr>
        <w:ind w:left="2671" w:hanging="425"/>
      </w:pPr>
      <w:rPr>
        <w:rFonts w:hint="default"/>
      </w:rPr>
    </w:lvl>
    <w:lvl w:ilvl="4">
      <w:start w:val="0"/>
      <w:numFmt w:val="bullet"/>
      <w:lvlText w:val="•"/>
      <w:lvlJc w:val="left"/>
      <w:pPr>
        <w:ind w:left="3586" w:hanging="425"/>
      </w:pPr>
      <w:rPr>
        <w:rFonts w:hint="default"/>
      </w:rPr>
    </w:lvl>
    <w:lvl w:ilvl="5">
      <w:start w:val="0"/>
      <w:numFmt w:val="bullet"/>
      <w:lvlText w:val="•"/>
      <w:lvlJc w:val="left"/>
      <w:pPr>
        <w:ind w:left="4502" w:hanging="425"/>
      </w:pPr>
      <w:rPr>
        <w:rFonts w:hint="default"/>
      </w:rPr>
    </w:lvl>
    <w:lvl w:ilvl="6">
      <w:start w:val="0"/>
      <w:numFmt w:val="bullet"/>
      <w:lvlText w:val="•"/>
      <w:lvlJc w:val="left"/>
      <w:pPr>
        <w:ind w:left="5417" w:hanging="425"/>
      </w:pPr>
      <w:rPr>
        <w:rFonts w:hint="default"/>
      </w:rPr>
    </w:lvl>
    <w:lvl w:ilvl="7">
      <w:start w:val="0"/>
      <w:numFmt w:val="bullet"/>
      <w:lvlText w:val="•"/>
      <w:lvlJc w:val="left"/>
      <w:pPr>
        <w:ind w:left="6333" w:hanging="425"/>
      </w:pPr>
      <w:rPr>
        <w:rFonts w:hint="default"/>
      </w:rPr>
    </w:lvl>
    <w:lvl w:ilvl="8">
      <w:start w:val="0"/>
      <w:numFmt w:val="bullet"/>
      <w:lvlText w:val="•"/>
      <w:lvlJc w:val="left"/>
      <w:pPr>
        <w:ind w:left="7248" w:hanging="425"/>
      </w:pPr>
      <w:rPr>
        <w:rFonts w:hint="default"/>
      </w:rPr>
    </w:lvl>
  </w:abstractNum>
  <w:abstractNum w:abstractNumId="35">
    <w:multiLevelType w:val="hybridMultilevel"/>
    <w:lvl w:ilvl="0">
      <w:start w:val="2"/>
      <w:numFmt w:val="upperLetter"/>
      <w:lvlText w:val="%1"/>
      <w:lvlJc w:val="left"/>
      <w:pPr>
        <w:ind w:left="668" w:hanging="507"/>
        <w:jc w:val="left"/>
      </w:pPr>
      <w:rPr>
        <w:rFonts w:hint="default"/>
      </w:rPr>
    </w:lvl>
    <w:lvl w:ilvl="1">
      <w:start w:val="3"/>
      <w:numFmt w:val="decimal"/>
      <w:lvlText w:val="%1.%2."/>
      <w:lvlJc w:val="left"/>
      <w:pPr>
        <w:ind w:left="668" w:hanging="507"/>
        <w:jc w:val="left"/>
      </w:pPr>
      <w:rPr>
        <w:rFonts w:hint="default" w:ascii="Verdana" w:hAnsi="Verdana" w:eastAsia="Verdana" w:cs="Verdana"/>
        <w:b/>
        <w:bCs/>
        <w:i/>
        <w:w w:val="99"/>
        <w:sz w:val="20"/>
        <w:szCs w:val="20"/>
      </w:rPr>
    </w:lvl>
    <w:lvl w:ilvl="2">
      <w:start w:val="0"/>
      <w:numFmt w:val="bullet"/>
      <w:lvlText w:val="•"/>
      <w:lvlJc w:val="left"/>
      <w:pPr>
        <w:ind w:left="2344" w:hanging="507"/>
      </w:pPr>
      <w:rPr>
        <w:rFonts w:hint="default"/>
      </w:rPr>
    </w:lvl>
    <w:lvl w:ilvl="3">
      <w:start w:val="0"/>
      <w:numFmt w:val="bullet"/>
      <w:lvlText w:val="•"/>
      <w:lvlJc w:val="left"/>
      <w:pPr>
        <w:ind w:left="3186" w:hanging="507"/>
      </w:pPr>
      <w:rPr>
        <w:rFonts w:hint="default"/>
      </w:rPr>
    </w:lvl>
    <w:lvl w:ilvl="4">
      <w:start w:val="0"/>
      <w:numFmt w:val="bullet"/>
      <w:lvlText w:val="•"/>
      <w:lvlJc w:val="left"/>
      <w:pPr>
        <w:ind w:left="4028" w:hanging="507"/>
      </w:pPr>
      <w:rPr>
        <w:rFonts w:hint="default"/>
      </w:rPr>
    </w:lvl>
    <w:lvl w:ilvl="5">
      <w:start w:val="0"/>
      <w:numFmt w:val="bullet"/>
      <w:lvlText w:val="•"/>
      <w:lvlJc w:val="left"/>
      <w:pPr>
        <w:ind w:left="4870" w:hanging="507"/>
      </w:pPr>
      <w:rPr>
        <w:rFonts w:hint="default"/>
      </w:rPr>
    </w:lvl>
    <w:lvl w:ilvl="6">
      <w:start w:val="0"/>
      <w:numFmt w:val="bullet"/>
      <w:lvlText w:val="•"/>
      <w:lvlJc w:val="left"/>
      <w:pPr>
        <w:ind w:left="5712" w:hanging="507"/>
      </w:pPr>
      <w:rPr>
        <w:rFonts w:hint="default"/>
      </w:rPr>
    </w:lvl>
    <w:lvl w:ilvl="7">
      <w:start w:val="0"/>
      <w:numFmt w:val="bullet"/>
      <w:lvlText w:val="•"/>
      <w:lvlJc w:val="left"/>
      <w:pPr>
        <w:ind w:left="6554" w:hanging="507"/>
      </w:pPr>
      <w:rPr>
        <w:rFonts w:hint="default"/>
      </w:rPr>
    </w:lvl>
    <w:lvl w:ilvl="8">
      <w:start w:val="0"/>
      <w:numFmt w:val="bullet"/>
      <w:lvlText w:val="•"/>
      <w:lvlJc w:val="left"/>
      <w:pPr>
        <w:ind w:left="7396" w:hanging="507"/>
      </w:pPr>
      <w:rPr>
        <w:rFonts w:hint="default"/>
      </w:rPr>
    </w:lvl>
  </w:abstractNum>
  <w:abstractNum w:abstractNumId="34">
    <w:multiLevelType w:val="hybridMultilevel"/>
    <w:lvl w:ilvl="0">
      <w:start w:val="2"/>
      <w:numFmt w:val="upperLetter"/>
      <w:lvlText w:val="%1"/>
      <w:lvlJc w:val="left"/>
      <w:pPr>
        <w:ind w:left="1120" w:hanging="433"/>
        <w:jc w:val="left"/>
      </w:pPr>
      <w:rPr>
        <w:rFonts w:hint="default"/>
      </w:rPr>
    </w:lvl>
    <w:lvl w:ilvl="1">
      <w:start w:val="2"/>
      <w:numFmt w:val="decimal"/>
      <w:lvlText w:val="%1.%2"/>
      <w:lvlJc w:val="left"/>
      <w:pPr>
        <w:ind w:left="1120" w:hanging="433"/>
        <w:jc w:val="left"/>
      </w:pPr>
      <w:rPr>
        <w:rFonts w:hint="default" w:ascii="Verdana" w:hAnsi="Verdana" w:eastAsia="Verdana" w:cs="Verdana"/>
        <w:b/>
        <w:bCs/>
        <w:i/>
        <w:w w:val="99"/>
        <w:sz w:val="20"/>
        <w:szCs w:val="20"/>
      </w:rPr>
    </w:lvl>
    <w:lvl w:ilvl="2">
      <w:start w:val="1"/>
      <w:numFmt w:val="decimal"/>
      <w:lvlText w:val="%1.%2.%3"/>
      <w:lvlJc w:val="left"/>
      <w:pPr>
        <w:ind w:left="1578" w:hanging="605"/>
        <w:jc w:val="left"/>
      </w:pPr>
      <w:rPr>
        <w:rFonts w:hint="default" w:ascii="Verdana" w:hAnsi="Verdana" w:eastAsia="Verdana" w:cs="Verdana"/>
        <w:i/>
        <w:w w:val="99"/>
        <w:sz w:val="20"/>
        <w:szCs w:val="20"/>
      </w:rPr>
    </w:lvl>
    <w:lvl w:ilvl="3">
      <w:start w:val="0"/>
      <w:numFmt w:val="bullet"/>
      <w:lvlText w:val="•"/>
      <w:lvlJc w:val="left"/>
      <w:pPr>
        <w:ind w:left="3242" w:hanging="605"/>
      </w:pPr>
      <w:rPr>
        <w:rFonts w:hint="default"/>
      </w:rPr>
    </w:lvl>
    <w:lvl w:ilvl="4">
      <w:start w:val="0"/>
      <w:numFmt w:val="bullet"/>
      <w:lvlText w:val="•"/>
      <w:lvlJc w:val="left"/>
      <w:pPr>
        <w:ind w:left="4073" w:hanging="605"/>
      </w:pPr>
      <w:rPr>
        <w:rFonts w:hint="default"/>
      </w:rPr>
    </w:lvl>
    <w:lvl w:ilvl="5">
      <w:start w:val="0"/>
      <w:numFmt w:val="bullet"/>
      <w:lvlText w:val="•"/>
      <w:lvlJc w:val="left"/>
      <w:pPr>
        <w:ind w:left="4904" w:hanging="605"/>
      </w:pPr>
      <w:rPr>
        <w:rFonts w:hint="default"/>
      </w:rPr>
    </w:lvl>
    <w:lvl w:ilvl="6">
      <w:start w:val="0"/>
      <w:numFmt w:val="bullet"/>
      <w:lvlText w:val="•"/>
      <w:lvlJc w:val="left"/>
      <w:pPr>
        <w:ind w:left="5735" w:hanging="605"/>
      </w:pPr>
      <w:rPr>
        <w:rFonts w:hint="default"/>
      </w:rPr>
    </w:lvl>
    <w:lvl w:ilvl="7">
      <w:start w:val="0"/>
      <w:numFmt w:val="bullet"/>
      <w:lvlText w:val="•"/>
      <w:lvlJc w:val="left"/>
      <w:pPr>
        <w:ind w:left="6566" w:hanging="605"/>
      </w:pPr>
      <w:rPr>
        <w:rFonts w:hint="default"/>
      </w:rPr>
    </w:lvl>
    <w:lvl w:ilvl="8">
      <w:start w:val="0"/>
      <w:numFmt w:val="bullet"/>
      <w:lvlText w:val="•"/>
      <w:lvlJc w:val="left"/>
      <w:pPr>
        <w:ind w:left="7397" w:hanging="605"/>
      </w:pPr>
      <w:rPr>
        <w:rFonts w:hint="default"/>
      </w:rPr>
    </w:lvl>
  </w:abstractNum>
  <w:abstractNum w:abstractNumId="33">
    <w:multiLevelType w:val="hybridMultilevel"/>
    <w:lvl w:ilvl="0">
      <w:start w:val="290"/>
      <w:numFmt w:val="decimal"/>
      <w:lvlText w:val="%1."/>
      <w:lvlJc w:val="left"/>
      <w:pPr>
        <w:ind w:left="122" w:hanging="708"/>
        <w:jc w:val="left"/>
      </w:pPr>
      <w:rPr>
        <w:rFonts w:hint="default" w:ascii="Verdana" w:hAnsi="Verdana" w:eastAsia="Verdana" w:cs="Verdana"/>
        <w:w w:val="99"/>
        <w:sz w:val="20"/>
        <w:szCs w:val="20"/>
      </w:rPr>
    </w:lvl>
    <w:lvl w:ilvl="1">
      <w:start w:val="1"/>
      <w:numFmt w:val="upperLetter"/>
      <w:lvlText w:val="%2)"/>
      <w:lvlJc w:val="left"/>
      <w:pPr>
        <w:ind w:left="830" w:hanging="425"/>
        <w:jc w:val="left"/>
      </w:pPr>
      <w:rPr>
        <w:rFonts w:hint="default" w:ascii="Verdana" w:hAnsi="Verdana" w:eastAsia="Verdana" w:cs="Verdana"/>
        <w:b/>
        <w:bCs/>
        <w:i/>
        <w:spacing w:val="-2"/>
        <w:w w:val="99"/>
        <w:sz w:val="20"/>
        <w:szCs w:val="20"/>
      </w:rPr>
    </w:lvl>
    <w:lvl w:ilvl="2">
      <w:start w:val="0"/>
      <w:numFmt w:val="bullet"/>
      <w:lvlText w:val="•"/>
      <w:lvlJc w:val="left"/>
      <w:pPr>
        <w:ind w:left="1753" w:hanging="425"/>
      </w:pPr>
      <w:rPr>
        <w:rFonts w:hint="default"/>
      </w:rPr>
    </w:lvl>
    <w:lvl w:ilvl="3">
      <w:start w:val="0"/>
      <w:numFmt w:val="bullet"/>
      <w:lvlText w:val="•"/>
      <w:lvlJc w:val="left"/>
      <w:pPr>
        <w:ind w:left="2666" w:hanging="425"/>
      </w:pPr>
      <w:rPr>
        <w:rFonts w:hint="default"/>
      </w:rPr>
    </w:lvl>
    <w:lvl w:ilvl="4">
      <w:start w:val="0"/>
      <w:numFmt w:val="bullet"/>
      <w:lvlText w:val="•"/>
      <w:lvlJc w:val="left"/>
      <w:pPr>
        <w:ind w:left="3580" w:hanging="425"/>
      </w:pPr>
      <w:rPr>
        <w:rFonts w:hint="default"/>
      </w:rPr>
    </w:lvl>
    <w:lvl w:ilvl="5">
      <w:start w:val="0"/>
      <w:numFmt w:val="bullet"/>
      <w:lvlText w:val="•"/>
      <w:lvlJc w:val="left"/>
      <w:pPr>
        <w:ind w:left="4493" w:hanging="425"/>
      </w:pPr>
      <w:rPr>
        <w:rFonts w:hint="default"/>
      </w:rPr>
    </w:lvl>
    <w:lvl w:ilvl="6">
      <w:start w:val="0"/>
      <w:numFmt w:val="bullet"/>
      <w:lvlText w:val="•"/>
      <w:lvlJc w:val="left"/>
      <w:pPr>
        <w:ind w:left="5406" w:hanging="425"/>
      </w:pPr>
      <w:rPr>
        <w:rFonts w:hint="default"/>
      </w:rPr>
    </w:lvl>
    <w:lvl w:ilvl="7">
      <w:start w:val="0"/>
      <w:numFmt w:val="bullet"/>
      <w:lvlText w:val="•"/>
      <w:lvlJc w:val="left"/>
      <w:pPr>
        <w:ind w:left="6320" w:hanging="425"/>
      </w:pPr>
      <w:rPr>
        <w:rFonts w:hint="default"/>
      </w:rPr>
    </w:lvl>
    <w:lvl w:ilvl="8">
      <w:start w:val="0"/>
      <w:numFmt w:val="bullet"/>
      <w:lvlText w:val="•"/>
      <w:lvlJc w:val="left"/>
      <w:pPr>
        <w:ind w:left="7233" w:hanging="425"/>
      </w:pPr>
      <w:rPr>
        <w:rFonts w:hint="default"/>
      </w:rPr>
    </w:lvl>
  </w:abstractNum>
  <w:abstractNum w:abstractNumId="32">
    <w:multiLevelType w:val="hybridMultilevel"/>
    <w:lvl w:ilvl="0">
      <w:start w:val="2"/>
      <w:numFmt w:val="upperLetter"/>
      <w:lvlText w:val="%1"/>
      <w:lvlJc w:val="left"/>
      <w:pPr>
        <w:ind w:left="2060" w:hanging="807"/>
        <w:jc w:val="left"/>
      </w:pPr>
      <w:rPr>
        <w:rFonts w:hint="default"/>
      </w:rPr>
    </w:lvl>
    <w:lvl w:ilvl="1">
      <w:start w:val="2"/>
      <w:numFmt w:val="decimal"/>
      <w:lvlText w:val="%1.%2"/>
      <w:lvlJc w:val="left"/>
      <w:pPr>
        <w:ind w:left="2060" w:hanging="807"/>
        <w:jc w:val="left"/>
      </w:pPr>
      <w:rPr>
        <w:rFonts w:hint="default"/>
      </w:rPr>
    </w:lvl>
    <w:lvl w:ilvl="2">
      <w:start w:val="1"/>
      <w:numFmt w:val="decimal"/>
      <w:lvlText w:val="%1.%2.%3"/>
      <w:lvlJc w:val="left"/>
      <w:pPr>
        <w:ind w:left="2060" w:hanging="807"/>
        <w:jc w:val="right"/>
      </w:pPr>
      <w:rPr>
        <w:rFonts w:hint="default"/>
      </w:rPr>
    </w:lvl>
    <w:lvl w:ilvl="3">
      <w:start w:val="1"/>
      <w:numFmt w:val="decimal"/>
      <w:lvlText w:val="%1.%2.%3.%4"/>
      <w:lvlJc w:val="left"/>
      <w:pPr>
        <w:ind w:left="2060" w:hanging="807"/>
        <w:jc w:val="left"/>
      </w:pPr>
      <w:rPr>
        <w:rFonts w:hint="default" w:ascii="Verdana" w:hAnsi="Verdana" w:eastAsia="Verdana" w:cs="Verdana"/>
        <w:i/>
        <w:spacing w:val="-1"/>
        <w:w w:val="99"/>
        <w:sz w:val="20"/>
        <w:szCs w:val="20"/>
      </w:rPr>
    </w:lvl>
    <w:lvl w:ilvl="4">
      <w:start w:val="0"/>
      <w:numFmt w:val="bullet"/>
      <w:lvlText w:val="•"/>
      <w:lvlJc w:val="left"/>
      <w:pPr>
        <w:ind w:left="4868" w:hanging="807"/>
      </w:pPr>
      <w:rPr>
        <w:rFonts w:hint="default"/>
      </w:rPr>
    </w:lvl>
    <w:lvl w:ilvl="5">
      <w:start w:val="0"/>
      <w:numFmt w:val="bullet"/>
      <w:lvlText w:val="•"/>
      <w:lvlJc w:val="left"/>
      <w:pPr>
        <w:ind w:left="5570" w:hanging="807"/>
      </w:pPr>
      <w:rPr>
        <w:rFonts w:hint="default"/>
      </w:rPr>
    </w:lvl>
    <w:lvl w:ilvl="6">
      <w:start w:val="0"/>
      <w:numFmt w:val="bullet"/>
      <w:lvlText w:val="•"/>
      <w:lvlJc w:val="left"/>
      <w:pPr>
        <w:ind w:left="6272" w:hanging="807"/>
      </w:pPr>
      <w:rPr>
        <w:rFonts w:hint="default"/>
      </w:rPr>
    </w:lvl>
    <w:lvl w:ilvl="7">
      <w:start w:val="0"/>
      <w:numFmt w:val="bullet"/>
      <w:lvlText w:val="•"/>
      <w:lvlJc w:val="left"/>
      <w:pPr>
        <w:ind w:left="6974" w:hanging="807"/>
      </w:pPr>
      <w:rPr>
        <w:rFonts w:hint="default"/>
      </w:rPr>
    </w:lvl>
    <w:lvl w:ilvl="8">
      <w:start w:val="0"/>
      <w:numFmt w:val="bullet"/>
      <w:lvlText w:val="•"/>
      <w:lvlJc w:val="left"/>
      <w:pPr>
        <w:ind w:left="7676" w:hanging="807"/>
      </w:pPr>
      <w:rPr>
        <w:rFonts w:hint="default"/>
      </w:rPr>
    </w:lvl>
  </w:abstractNum>
  <w:abstractNum w:abstractNumId="31">
    <w:multiLevelType w:val="hybridMultilevel"/>
    <w:lvl w:ilvl="0">
      <w:start w:val="2"/>
      <w:numFmt w:val="upperLetter"/>
      <w:lvlText w:val="%1"/>
      <w:lvlJc w:val="left"/>
      <w:pPr>
        <w:ind w:left="688" w:hanging="433"/>
        <w:jc w:val="left"/>
      </w:pPr>
      <w:rPr>
        <w:rFonts w:hint="default"/>
      </w:rPr>
    </w:lvl>
    <w:lvl w:ilvl="1">
      <w:start w:val="1"/>
      <w:numFmt w:val="decimal"/>
      <w:lvlText w:val="%1.%2"/>
      <w:lvlJc w:val="left"/>
      <w:pPr>
        <w:ind w:left="688" w:hanging="433"/>
        <w:jc w:val="left"/>
      </w:pPr>
      <w:rPr>
        <w:rFonts w:hint="default" w:ascii="Verdana" w:hAnsi="Verdana" w:eastAsia="Verdana" w:cs="Verdana"/>
        <w:b/>
        <w:bCs/>
        <w:i/>
        <w:w w:val="99"/>
        <w:sz w:val="20"/>
        <w:szCs w:val="20"/>
      </w:rPr>
    </w:lvl>
    <w:lvl w:ilvl="2">
      <w:start w:val="1"/>
      <w:numFmt w:val="decimal"/>
      <w:lvlText w:val="%1.%2.%3"/>
      <w:lvlJc w:val="left"/>
      <w:pPr>
        <w:ind w:left="974" w:hanging="605"/>
        <w:jc w:val="right"/>
      </w:pPr>
      <w:rPr>
        <w:rFonts w:hint="default" w:ascii="Verdana" w:hAnsi="Verdana" w:eastAsia="Verdana" w:cs="Verdana"/>
        <w:i/>
        <w:w w:val="99"/>
        <w:sz w:val="20"/>
        <w:szCs w:val="20"/>
      </w:rPr>
    </w:lvl>
    <w:lvl w:ilvl="3">
      <w:start w:val="1"/>
      <w:numFmt w:val="decimal"/>
      <w:lvlText w:val="%1.%2.%3.%4"/>
      <w:lvlJc w:val="left"/>
      <w:pPr>
        <w:ind w:left="2058" w:hanging="804"/>
        <w:jc w:val="left"/>
      </w:pPr>
      <w:rPr>
        <w:rFonts w:hint="default" w:ascii="Verdana" w:hAnsi="Verdana" w:eastAsia="Verdana" w:cs="Verdana"/>
        <w:i/>
        <w:w w:val="99"/>
        <w:sz w:val="20"/>
        <w:szCs w:val="20"/>
      </w:rPr>
    </w:lvl>
    <w:lvl w:ilvl="4">
      <w:start w:val="0"/>
      <w:numFmt w:val="bullet"/>
      <w:lvlText w:val="•"/>
      <w:lvlJc w:val="left"/>
      <w:pPr>
        <w:ind w:left="3815" w:hanging="804"/>
      </w:pPr>
      <w:rPr>
        <w:rFonts w:hint="default"/>
      </w:rPr>
    </w:lvl>
    <w:lvl w:ilvl="5">
      <w:start w:val="0"/>
      <w:numFmt w:val="bullet"/>
      <w:lvlText w:val="•"/>
      <w:lvlJc w:val="left"/>
      <w:pPr>
        <w:ind w:left="4692" w:hanging="804"/>
      </w:pPr>
      <w:rPr>
        <w:rFonts w:hint="default"/>
      </w:rPr>
    </w:lvl>
    <w:lvl w:ilvl="6">
      <w:start w:val="0"/>
      <w:numFmt w:val="bullet"/>
      <w:lvlText w:val="•"/>
      <w:lvlJc w:val="left"/>
      <w:pPr>
        <w:ind w:left="5570" w:hanging="804"/>
      </w:pPr>
      <w:rPr>
        <w:rFonts w:hint="default"/>
      </w:rPr>
    </w:lvl>
    <w:lvl w:ilvl="7">
      <w:start w:val="0"/>
      <w:numFmt w:val="bullet"/>
      <w:lvlText w:val="•"/>
      <w:lvlJc w:val="left"/>
      <w:pPr>
        <w:ind w:left="6447" w:hanging="804"/>
      </w:pPr>
      <w:rPr>
        <w:rFonts w:hint="default"/>
      </w:rPr>
    </w:lvl>
    <w:lvl w:ilvl="8">
      <w:start w:val="0"/>
      <w:numFmt w:val="bullet"/>
      <w:lvlText w:val="•"/>
      <w:lvlJc w:val="left"/>
      <w:pPr>
        <w:ind w:left="7325" w:hanging="804"/>
      </w:pPr>
      <w:rPr>
        <w:rFonts w:hint="default"/>
      </w:rPr>
    </w:lvl>
  </w:abstractNum>
  <w:abstractNum w:abstractNumId="30">
    <w:multiLevelType w:val="hybridMultilevel"/>
    <w:lvl w:ilvl="0">
      <w:start w:val="199"/>
      <w:numFmt w:val="decimal"/>
      <w:lvlText w:val="%1."/>
      <w:lvlJc w:val="left"/>
      <w:pPr>
        <w:ind w:left="122" w:hanging="708"/>
        <w:jc w:val="left"/>
      </w:pPr>
      <w:rPr>
        <w:rFonts w:hint="default" w:ascii="Verdana" w:hAnsi="Verdana" w:eastAsia="Verdana" w:cs="Verdana"/>
        <w:w w:val="99"/>
        <w:sz w:val="20"/>
        <w:szCs w:val="20"/>
      </w:rPr>
    </w:lvl>
    <w:lvl w:ilvl="1">
      <w:start w:val="1"/>
      <w:numFmt w:val="lowerLetter"/>
      <w:lvlText w:val="%2)"/>
      <w:lvlJc w:val="left"/>
      <w:pPr>
        <w:ind w:left="263" w:hanging="567"/>
        <w:jc w:val="left"/>
      </w:pPr>
      <w:rPr>
        <w:rFonts w:hint="default" w:ascii="Verdana" w:hAnsi="Verdana" w:eastAsia="Verdana" w:cs="Verdana"/>
        <w:w w:val="99"/>
        <w:sz w:val="20"/>
        <w:szCs w:val="20"/>
      </w:rPr>
    </w:lvl>
    <w:lvl w:ilvl="2">
      <w:start w:val="0"/>
      <w:numFmt w:val="bullet"/>
      <w:lvlText w:val="•"/>
      <w:lvlJc w:val="left"/>
      <w:pPr>
        <w:ind w:left="1240" w:hanging="567"/>
      </w:pPr>
      <w:rPr>
        <w:rFonts w:hint="default"/>
      </w:rPr>
    </w:lvl>
    <w:lvl w:ilvl="3">
      <w:start w:val="0"/>
      <w:numFmt w:val="bullet"/>
      <w:lvlText w:val="•"/>
      <w:lvlJc w:val="left"/>
      <w:pPr>
        <w:ind w:left="2220" w:hanging="567"/>
      </w:pPr>
      <w:rPr>
        <w:rFonts w:hint="default"/>
      </w:rPr>
    </w:lvl>
    <w:lvl w:ilvl="4">
      <w:start w:val="0"/>
      <w:numFmt w:val="bullet"/>
      <w:lvlText w:val="•"/>
      <w:lvlJc w:val="left"/>
      <w:pPr>
        <w:ind w:left="3200" w:hanging="567"/>
      </w:pPr>
      <w:rPr>
        <w:rFonts w:hint="default"/>
      </w:rPr>
    </w:lvl>
    <w:lvl w:ilvl="5">
      <w:start w:val="0"/>
      <w:numFmt w:val="bullet"/>
      <w:lvlText w:val="•"/>
      <w:lvlJc w:val="left"/>
      <w:pPr>
        <w:ind w:left="4180" w:hanging="567"/>
      </w:pPr>
      <w:rPr>
        <w:rFonts w:hint="default"/>
      </w:rPr>
    </w:lvl>
    <w:lvl w:ilvl="6">
      <w:start w:val="0"/>
      <w:numFmt w:val="bullet"/>
      <w:lvlText w:val="•"/>
      <w:lvlJc w:val="left"/>
      <w:pPr>
        <w:ind w:left="5160" w:hanging="567"/>
      </w:pPr>
      <w:rPr>
        <w:rFonts w:hint="default"/>
      </w:rPr>
    </w:lvl>
    <w:lvl w:ilvl="7">
      <w:start w:val="0"/>
      <w:numFmt w:val="bullet"/>
      <w:lvlText w:val="•"/>
      <w:lvlJc w:val="left"/>
      <w:pPr>
        <w:ind w:left="6140" w:hanging="567"/>
      </w:pPr>
      <w:rPr>
        <w:rFonts w:hint="default"/>
      </w:rPr>
    </w:lvl>
    <w:lvl w:ilvl="8">
      <w:start w:val="0"/>
      <w:numFmt w:val="bullet"/>
      <w:lvlText w:val="•"/>
      <w:lvlJc w:val="left"/>
      <w:pPr>
        <w:ind w:left="7120" w:hanging="567"/>
      </w:pPr>
      <w:rPr>
        <w:rFonts w:hint="default"/>
      </w:rPr>
    </w:lvl>
  </w:abstractNum>
  <w:abstractNum w:abstractNumId="29">
    <w:multiLevelType w:val="hybridMultilevel"/>
    <w:lvl w:ilvl="0">
      <w:start w:val="1"/>
      <w:numFmt w:val="upperLetter"/>
      <w:lvlText w:val="%1)"/>
      <w:lvlJc w:val="left"/>
      <w:pPr>
        <w:ind w:left="765" w:hanging="360"/>
        <w:jc w:val="left"/>
      </w:pPr>
      <w:rPr>
        <w:rFonts w:hint="default" w:ascii="Verdana" w:hAnsi="Verdana" w:eastAsia="Verdana" w:cs="Verdana"/>
        <w:b/>
        <w:bCs/>
        <w:i/>
        <w:spacing w:val="-2"/>
        <w:w w:val="99"/>
        <w:sz w:val="20"/>
        <w:szCs w:val="20"/>
      </w:rPr>
    </w:lvl>
    <w:lvl w:ilvl="1">
      <w:start w:val="0"/>
      <w:numFmt w:val="bullet"/>
      <w:lvlText w:val="•"/>
      <w:lvlJc w:val="left"/>
      <w:pPr>
        <w:ind w:left="1592" w:hanging="360"/>
      </w:pPr>
      <w:rPr>
        <w:rFonts w:hint="default"/>
      </w:rPr>
    </w:lvl>
    <w:lvl w:ilvl="2">
      <w:start w:val="0"/>
      <w:numFmt w:val="bullet"/>
      <w:lvlText w:val="•"/>
      <w:lvlJc w:val="left"/>
      <w:pPr>
        <w:ind w:left="2424" w:hanging="360"/>
      </w:pPr>
      <w:rPr>
        <w:rFonts w:hint="default"/>
      </w:rPr>
    </w:lvl>
    <w:lvl w:ilvl="3">
      <w:start w:val="0"/>
      <w:numFmt w:val="bullet"/>
      <w:lvlText w:val="•"/>
      <w:lvlJc w:val="left"/>
      <w:pPr>
        <w:ind w:left="3256" w:hanging="360"/>
      </w:pPr>
      <w:rPr>
        <w:rFonts w:hint="default"/>
      </w:rPr>
    </w:lvl>
    <w:lvl w:ilvl="4">
      <w:start w:val="0"/>
      <w:numFmt w:val="bullet"/>
      <w:lvlText w:val="•"/>
      <w:lvlJc w:val="left"/>
      <w:pPr>
        <w:ind w:left="4088" w:hanging="360"/>
      </w:pPr>
      <w:rPr>
        <w:rFonts w:hint="default"/>
      </w:rPr>
    </w:lvl>
    <w:lvl w:ilvl="5">
      <w:start w:val="0"/>
      <w:numFmt w:val="bullet"/>
      <w:lvlText w:val="•"/>
      <w:lvlJc w:val="left"/>
      <w:pPr>
        <w:ind w:left="4920" w:hanging="360"/>
      </w:pPr>
      <w:rPr>
        <w:rFonts w:hint="default"/>
      </w:rPr>
    </w:lvl>
    <w:lvl w:ilvl="6">
      <w:start w:val="0"/>
      <w:numFmt w:val="bullet"/>
      <w:lvlText w:val="•"/>
      <w:lvlJc w:val="left"/>
      <w:pPr>
        <w:ind w:left="5752" w:hanging="360"/>
      </w:pPr>
      <w:rPr>
        <w:rFonts w:hint="default"/>
      </w:rPr>
    </w:lvl>
    <w:lvl w:ilvl="7">
      <w:start w:val="0"/>
      <w:numFmt w:val="bullet"/>
      <w:lvlText w:val="•"/>
      <w:lvlJc w:val="left"/>
      <w:pPr>
        <w:ind w:left="6584" w:hanging="360"/>
      </w:pPr>
      <w:rPr>
        <w:rFonts w:hint="default"/>
      </w:rPr>
    </w:lvl>
    <w:lvl w:ilvl="8">
      <w:start w:val="0"/>
      <w:numFmt w:val="bullet"/>
      <w:lvlText w:val="•"/>
      <w:lvlJc w:val="left"/>
      <w:pPr>
        <w:ind w:left="7416" w:hanging="360"/>
      </w:pPr>
      <w:rPr>
        <w:rFonts w:hint="default"/>
      </w:rPr>
    </w:lvl>
  </w:abstractNum>
  <w:abstractNum w:abstractNumId="28">
    <w:multiLevelType w:val="hybridMultilevel"/>
    <w:lvl w:ilvl="0">
      <w:start w:val="3"/>
      <w:numFmt w:val="upperLetter"/>
      <w:lvlText w:val="%1"/>
      <w:lvlJc w:val="left"/>
      <w:pPr>
        <w:ind w:left="1581" w:hanging="608"/>
        <w:jc w:val="left"/>
      </w:pPr>
      <w:rPr>
        <w:rFonts w:hint="default"/>
      </w:rPr>
    </w:lvl>
    <w:lvl w:ilvl="1">
      <w:start w:val="2"/>
      <w:numFmt w:val="decimal"/>
      <w:lvlText w:val="%1.%2"/>
      <w:lvlJc w:val="left"/>
      <w:pPr>
        <w:ind w:left="1581" w:hanging="608"/>
        <w:jc w:val="left"/>
      </w:pPr>
      <w:rPr>
        <w:rFonts w:hint="default"/>
      </w:rPr>
    </w:lvl>
    <w:lvl w:ilvl="2">
      <w:start w:val="2"/>
      <w:numFmt w:val="decimal"/>
      <w:lvlText w:val="%1.%2.%3"/>
      <w:lvlJc w:val="left"/>
      <w:pPr>
        <w:ind w:left="1581" w:hanging="608"/>
        <w:jc w:val="left"/>
      </w:pPr>
      <w:rPr>
        <w:rFonts w:hint="default" w:ascii="Verdana" w:hAnsi="Verdana" w:eastAsia="Verdana" w:cs="Verdana"/>
        <w:i/>
        <w:spacing w:val="-1"/>
        <w:w w:val="99"/>
        <w:sz w:val="20"/>
        <w:szCs w:val="20"/>
      </w:rPr>
    </w:lvl>
    <w:lvl w:ilvl="3">
      <w:start w:val="0"/>
      <w:numFmt w:val="bullet"/>
      <w:lvlText w:val="•"/>
      <w:lvlJc w:val="left"/>
      <w:pPr>
        <w:ind w:left="3830" w:hanging="608"/>
      </w:pPr>
      <w:rPr>
        <w:rFonts w:hint="default"/>
      </w:rPr>
    </w:lvl>
    <w:lvl w:ilvl="4">
      <w:start w:val="0"/>
      <w:numFmt w:val="bullet"/>
      <w:lvlText w:val="•"/>
      <w:lvlJc w:val="left"/>
      <w:pPr>
        <w:ind w:left="4580" w:hanging="608"/>
      </w:pPr>
      <w:rPr>
        <w:rFonts w:hint="default"/>
      </w:rPr>
    </w:lvl>
    <w:lvl w:ilvl="5">
      <w:start w:val="0"/>
      <w:numFmt w:val="bullet"/>
      <w:lvlText w:val="•"/>
      <w:lvlJc w:val="left"/>
      <w:pPr>
        <w:ind w:left="5330" w:hanging="608"/>
      </w:pPr>
      <w:rPr>
        <w:rFonts w:hint="default"/>
      </w:rPr>
    </w:lvl>
    <w:lvl w:ilvl="6">
      <w:start w:val="0"/>
      <w:numFmt w:val="bullet"/>
      <w:lvlText w:val="•"/>
      <w:lvlJc w:val="left"/>
      <w:pPr>
        <w:ind w:left="6080" w:hanging="608"/>
      </w:pPr>
      <w:rPr>
        <w:rFonts w:hint="default"/>
      </w:rPr>
    </w:lvl>
    <w:lvl w:ilvl="7">
      <w:start w:val="0"/>
      <w:numFmt w:val="bullet"/>
      <w:lvlText w:val="•"/>
      <w:lvlJc w:val="left"/>
      <w:pPr>
        <w:ind w:left="6830" w:hanging="608"/>
      </w:pPr>
      <w:rPr>
        <w:rFonts w:hint="default"/>
      </w:rPr>
    </w:lvl>
    <w:lvl w:ilvl="8">
      <w:start w:val="0"/>
      <w:numFmt w:val="bullet"/>
      <w:lvlText w:val="•"/>
      <w:lvlJc w:val="left"/>
      <w:pPr>
        <w:ind w:left="7580" w:hanging="608"/>
      </w:pPr>
      <w:rPr>
        <w:rFonts w:hint="default"/>
      </w:rPr>
    </w:lvl>
  </w:abstractNum>
  <w:abstractNum w:abstractNumId="27">
    <w:multiLevelType w:val="hybridMultilevel"/>
    <w:lvl w:ilvl="0">
      <w:start w:val="3"/>
      <w:numFmt w:val="upperLetter"/>
      <w:lvlText w:val="%1"/>
      <w:lvlJc w:val="left"/>
      <w:pPr>
        <w:ind w:left="1115" w:hanging="428"/>
        <w:jc w:val="left"/>
      </w:pPr>
      <w:rPr>
        <w:rFonts w:hint="default"/>
      </w:rPr>
    </w:lvl>
    <w:lvl w:ilvl="1">
      <w:start w:val="1"/>
      <w:numFmt w:val="decimal"/>
      <w:lvlText w:val="%1.%2"/>
      <w:lvlJc w:val="left"/>
      <w:pPr>
        <w:ind w:left="1115" w:hanging="428"/>
        <w:jc w:val="left"/>
      </w:pPr>
      <w:rPr>
        <w:rFonts w:hint="default" w:ascii="Verdana" w:hAnsi="Verdana" w:eastAsia="Verdana" w:cs="Verdana"/>
        <w:b/>
        <w:bCs/>
        <w:i/>
        <w:w w:val="99"/>
        <w:sz w:val="20"/>
        <w:szCs w:val="20"/>
      </w:rPr>
    </w:lvl>
    <w:lvl w:ilvl="2">
      <w:start w:val="0"/>
      <w:numFmt w:val="bullet"/>
      <w:lvlText w:val="•"/>
      <w:lvlJc w:val="left"/>
      <w:pPr>
        <w:ind w:left="2712" w:hanging="428"/>
      </w:pPr>
      <w:rPr>
        <w:rFonts w:hint="default"/>
      </w:rPr>
    </w:lvl>
    <w:lvl w:ilvl="3">
      <w:start w:val="0"/>
      <w:numFmt w:val="bullet"/>
      <w:lvlText w:val="•"/>
      <w:lvlJc w:val="left"/>
      <w:pPr>
        <w:ind w:left="3508" w:hanging="428"/>
      </w:pPr>
      <w:rPr>
        <w:rFonts w:hint="default"/>
      </w:rPr>
    </w:lvl>
    <w:lvl w:ilvl="4">
      <w:start w:val="0"/>
      <w:numFmt w:val="bullet"/>
      <w:lvlText w:val="•"/>
      <w:lvlJc w:val="left"/>
      <w:pPr>
        <w:ind w:left="4304" w:hanging="428"/>
      </w:pPr>
      <w:rPr>
        <w:rFonts w:hint="default"/>
      </w:rPr>
    </w:lvl>
    <w:lvl w:ilvl="5">
      <w:start w:val="0"/>
      <w:numFmt w:val="bullet"/>
      <w:lvlText w:val="•"/>
      <w:lvlJc w:val="left"/>
      <w:pPr>
        <w:ind w:left="5100" w:hanging="428"/>
      </w:pPr>
      <w:rPr>
        <w:rFonts w:hint="default"/>
      </w:rPr>
    </w:lvl>
    <w:lvl w:ilvl="6">
      <w:start w:val="0"/>
      <w:numFmt w:val="bullet"/>
      <w:lvlText w:val="•"/>
      <w:lvlJc w:val="left"/>
      <w:pPr>
        <w:ind w:left="5896" w:hanging="428"/>
      </w:pPr>
      <w:rPr>
        <w:rFonts w:hint="default"/>
      </w:rPr>
    </w:lvl>
    <w:lvl w:ilvl="7">
      <w:start w:val="0"/>
      <w:numFmt w:val="bullet"/>
      <w:lvlText w:val="•"/>
      <w:lvlJc w:val="left"/>
      <w:pPr>
        <w:ind w:left="6692" w:hanging="428"/>
      </w:pPr>
      <w:rPr>
        <w:rFonts w:hint="default"/>
      </w:rPr>
    </w:lvl>
    <w:lvl w:ilvl="8">
      <w:start w:val="0"/>
      <w:numFmt w:val="bullet"/>
      <w:lvlText w:val="•"/>
      <w:lvlJc w:val="left"/>
      <w:pPr>
        <w:ind w:left="7488" w:hanging="428"/>
      </w:pPr>
      <w:rPr>
        <w:rFonts w:hint="default"/>
      </w:rPr>
    </w:lvl>
  </w:abstractNum>
  <w:abstractNum w:abstractNumId="26">
    <w:multiLevelType w:val="hybridMultilevel"/>
    <w:lvl w:ilvl="0">
      <w:start w:val="157"/>
      <w:numFmt w:val="decimal"/>
      <w:lvlText w:val="%1."/>
      <w:lvlJc w:val="left"/>
      <w:pPr>
        <w:ind w:left="122" w:hanging="708"/>
        <w:jc w:val="left"/>
      </w:pPr>
      <w:rPr>
        <w:rFonts w:hint="default" w:ascii="Verdana" w:hAnsi="Verdana" w:eastAsia="Verdana" w:cs="Verdana"/>
        <w:w w:val="99"/>
        <w:sz w:val="20"/>
        <w:szCs w:val="20"/>
      </w:rPr>
    </w:lvl>
    <w:lvl w:ilvl="1">
      <w:start w:val="1"/>
      <w:numFmt w:val="lowerLetter"/>
      <w:lvlText w:val="%2)"/>
      <w:lvlJc w:val="left"/>
      <w:pPr>
        <w:ind w:left="263" w:hanging="307"/>
        <w:jc w:val="left"/>
      </w:pPr>
      <w:rPr>
        <w:rFonts w:hint="default" w:ascii="Verdana" w:hAnsi="Verdana" w:eastAsia="Verdana" w:cs="Verdana"/>
        <w:w w:val="99"/>
        <w:sz w:val="20"/>
        <w:szCs w:val="20"/>
      </w:rPr>
    </w:lvl>
    <w:lvl w:ilvl="2">
      <w:start w:val="0"/>
      <w:numFmt w:val="bullet"/>
      <w:lvlText w:val="•"/>
      <w:lvlJc w:val="left"/>
      <w:pPr>
        <w:ind w:left="1240" w:hanging="307"/>
      </w:pPr>
      <w:rPr>
        <w:rFonts w:hint="default"/>
      </w:rPr>
    </w:lvl>
    <w:lvl w:ilvl="3">
      <w:start w:val="0"/>
      <w:numFmt w:val="bullet"/>
      <w:lvlText w:val="•"/>
      <w:lvlJc w:val="left"/>
      <w:pPr>
        <w:ind w:left="2220" w:hanging="307"/>
      </w:pPr>
      <w:rPr>
        <w:rFonts w:hint="default"/>
      </w:rPr>
    </w:lvl>
    <w:lvl w:ilvl="4">
      <w:start w:val="0"/>
      <w:numFmt w:val="bullet"/>
      <w:lvlText w:val="•"/>
      <w:lvlJc w:val="left"/>
      <w:pPr>
        <w:ind w:left="3200" w:hanging="307"/>
      </w:pPr>
      <w:rPr>
        <w:rFonts w:hint="default"/>
      </w:rPr>
    </w:lvl>
    <w:lvl w:ilvl="5">
      <w:start w:val="0"/>
      <w:numFmt w:val="bullet"/>
      <w:lvlText w:val="•"/>
      <w:lvlJc w:val="left"/>
      <w:pPr>
        <w:ind w:left="4180" w:hanging="307"/>
      </w:pPr>
      <w:rPr>
        <w:rFonts w:hint="default"/>
      </w:rPr>
    </w:lvl>
    <w:lvl w:ilvl="6">
      <w:start w:val="0"/>
      <w:numFmt w:val="bullet"/>
      <w:lvlText w:val="•"/>
      <w:lvlJc w:val="left"/>
      <w:pPr>
        <w:ind w:left="5160" w:hanging="307"/>
      </w:pPr>
      <w:rPr>
        <w:rFonts w:hint="default"/>
      </w:rPr>
    </w:lvl>
    <w:lvl w:ilvl="7">
      <w:start w:val="0"/>
      <w:numFmt w:val="bullet"/>
      <w:lvlText w:val="•"/>
      <w:lvlJc w:val="left"/>
      <w:pPr>
        <w:ind w:left="6140" w:hanging="307"/>
      </w:pPr>
      <w:rPr>
        <w:rFonts w:hint="default"/>
      </w:rPr>
    </w:lvl>
    <w:lvl w:ilvl="8">
      <w:start w:val="0"/>
      <w:numFmt w:val="bullet"/>
      <w:lvlText w:val="•"/>
      <w:lvlJc w:val="left"/>
      <w:pPr>
        <w:ind w:left="7120" w:hanging="307"/>
      </w:pPr>
      <w:rPr>
        <w:rFonts w:hint="default"/>
      </w:rPr>
    </w:lvl>
  </w:abstractNum>
  <w:abstractNum w:abstractNumId="25">
    <w:multiLevelType w:val="hybridMultilevel"/>
    <w:lvl w:ilvl="0">
      <w:start w:val="2"/>
      <w:numFmt w:val="upperLetter"/>
      <w:lvlText w:val="%1"/>
      <w:lvlJc w:val="left"/>
      <w:pPr>
        <w:ind w:left="2058" w:hanging="804"/>
        <w:jc w:val="left"/>
      </w:pPr>
      <w:rPr>
        <w:rFonts w:hint="default"/>
      </w:rPr>
    </w:lvl>
    <w:lvl w:ilvl="1">
      <w:start w:val="2"/>
      <w:numFmt w:val="decimal"/>
      <w:lvlText w:val="%1.%2"/>
      <w:lvlJc w:val="left"/>
      <w:pPr>
        <w:ind w:left="2058" w:hanging="804"/>
        <w:jc w:val="left"/>
      </w:pPr>
      <w:rPr>
        <w:rFonts w:hint="default"/>
      </w:rPr>
    </w:lvl>
    <w:lvl w:ilvl="2">
      <w:start w:val="3"/>
      <w:numFmt w:val="decimal"/>
      <w:lvlText w:val="%1.%2.%3"/>
      <w:lvlJc w:val="left"/>
      <w:pPr>
        <w:ind w:left="2058" w:hanging="804"/>
        <w:jc w:val="left"/>
      </w:pPr>
      <w:rPr>
        <w:rFonts w:hint="default"/>
      </w:rPr>
    </w:lvl>
    <w:lvl w:ilvl="3">
      <w:start w:val="1"/>
      <w:numFmt w:val="decimal"/>
      <w:lvlText w:val="%1.%2.%3.%4"/>
      <w:lvlJc w:val="left"/>
      <w:pPr>
        <w:ind w:left="2058" w:hanging="804"/>
        <w:jc w:val="left"/>
      </w:pPr>
      <w:rPr>
        <w:rFonts w:hint="default" w:ascii="Verdana" w:hAnsi="Verdana" w:eastAsia="Verdana" w:cs="Verdana"/>
        <w:i/>
        <w:spacing w:val="-1"/>
        <w:w w:val="99"/>
        <w:sz w:val="20"/>
        <w:szCs w:val="20"/>
      </w:rPr>
    </w:lvl>
    <w:lvl w:ilvl="4">
      <w:start w:val="0"/>
      <w:numFmt w:val="bullet"/>
      <w:lvlText w:val="•"/>
      <w:lvlJc w:val="left"/>
      <w:pPr>
        <w:ind w:left="4868" w:hanging="804"/>
      </w:pPr>
      <w:rPr>
        <w:rFonts w:hint="default"/>
      </w:rPr>
    </w:lvl>
    <w:lvl w:ilvl="5">
      <w:start w:val="0"/>
      <w:numFmt w:val="bullet"/>
      <w:lvlText w:val="•"/>
      <w:lvlJc w:val="left"/>
      <w:pPr>
        <w:ind w:left="5570" w:hanging="804"/>
      </w:pPr>
      <w:rPr>
        <w:rFonts w:hint="default"/>
      </w:rPr>
    </w:lvl>
    <w:lvl w:ilvl="6">
      <w:start w:val="0"/>
      <w:numFmt w:val="bullet"/>
      <w:lvlText w:val="•"/>
      <w:lvlJc w:val="left"/>
      <w:pPr>
        <w:ind w:left="6272" w:hanging="804"/>
      </w:pPr>
      <w:rPr>
        <w:rFonts w:hint="default"/>
      </w:rPr>
    </w:lvl>
    <w:lvl w:ilvl="7">
      <w:start w:val="0"/>
      <w:numFmt w:val="bullet"/>
      <w:lvlText w:val="•"/>
      <w:lvlJc w:val="left"/>
      <w:pPr>
        <w:ind w:left="6974" w:hanging="804"/>
      </w:pPr>
      <w:rPr>
        <w:rFonts w:hint="default"/>
      </w:rPr>
    </w:lvl>
    <w:lvl w:ilvl="8">
      <w:start w:val="0"/>
      <w:numFmt w:val="bullet"/>
      <w:lvlText w:val="•"/>
      <w:lvlJc w:val="left"/>
      <w:pPr>
        <w:ind w:left="7676" w:hanging="804"/>
      </w:pPr>
      <w:rPr>
        <w:rFonts w:hint="default"/>
      </w:rPr>
    </w:lvl>
  </w:abstractNum>
  <w:abstractNum w:abstractNumId="24">
    <w:multiLevelType w:val="hybridMultilevel"/>
    <w:lvl w:ilvl="0">
      <w:start w:val="2"/>
      <w:numFmt w:val="upperLetter"/>
      <w:lvlText w:val="%1"/>
      <w:lvlJc w:val="left"/>
      <w:pPr>
        <w:ind w:left="2546" w:hanging="1006"/>
        <w:jc w:val="left"/>
      </w:pPr>
      <w:rPr>
        <w:rFonts w:hint="default"/>
      </w:rPr>
    </w:lvl>
    <w:lvl w:ilvl="1">
      <w:start w:val="2"/>
      <w:numFmt w:val="decimal"/>
      <w:lvlText w:val="%1.%2"/>
      <w:lvlJc w:val="left"/>
      <w:pPr>
        <w:ind w:left="2546" w:hanging="1006"/>
        <w:jc w:val="left"/>
      </w:pPr>
      <w:rPr>
        <w:rFonts w:hint="default"/>
      </w:rPr>
    </w:lvl>
    <w:lvl w:ilvl="2">
      <w:start w:val="2"/>
      <w:numFmt w:val="decimal"/>
      <w:lvlText w:val="%1.%2.%3"/>
      <w:lvlJc w:val="left"/>
      <w:pPr>
        <w:ind w:left="2546" w:hanging="1006"/>
        <w:jc w:val="right"/>
      </w:pPr>
      <w:rPr>
        <w:rFonts w:hint="default"/>
      </w:rPr>
    </w:lvl>
    <w:lvl w:ilvl="3">
      <w:start w:val="4"/>
      <w:numFmt w:val="decimal"/>
      <w:lvlText w:val="%1.%2.%3.%4"/>
      <w:lvlJc w:val="left"/>
      <w:pPr>
        <w:ind w:left="2546" w:hanging="1006"/>
        <w:jc w:val="left"/>
      </w:pPr>
      <w:rPr>
        <w:rFonts w:hint="default"/>
      </w:rPr>
    </w:lvl>
    <w:lvl w:ilvl="4">
      <w:start w:val="1"/>
      <w:numFmt w:val="decimal"/>
      <w:lvlText w:val="%1.%2.%3.%4.%5"/>
      <w:lvlJc w:val="left"/>
      <w:pPr>
        <w:ind w:left="2546" w:hanging="1006"/>
        <w:jc w:val="left"/>
      </w:pPr>
      <w:rPr>
        <w:rFonts w:hint="default" w:ascii="Verdana" w:hAnsi="Verdana" w:eastAsia="Verdana" w:cs="Verdana"/>
        <w:w w:val="99"/>
        <w:sz w:val="20"/>
        <w:szCs w:val="20"/>
      </w:rPr>
    </w:lvl>
    <w:lvl w:ilvl="5">
      <w:start w:val="0"/>
      <w:numFmt w:val="bullet"/>
      <w:lvlText w:val="•"/>
      <w:lvlJc w:val="left"/>
      <w:pPr>
        <w:ind w:left="5810" w:hanging="1006"/>
      </w:pPr>
      <w:rPr>
        <w:rFonts w:hint="default"/>
      </w:rPr>
    </w:lvl>
    <w:lvl w:ilvl="6">
      <w:start w:val="0"/>
      <w:numFmt w:val="bullet"/>
      <w:lvlText w:val="•"/>
      <w:lvlJc w:val="left"/>
      <w:pPr>
        <w:ind w:left="6464" w:hanging="1006"/>
      </w:pPr>
      <w:rPr>
        <w:rFonts w:hint="default"/>
      </w:rPr>
    </w:lvl>
    <w:lvl w:ilvl="7">
      <w:start w:val="0"/>
      <w:numFmt w:val="bullet"/>
      <w:lvlText w:val="•"/>
      <w:lvlJc w:val="left"/>
      <w:pPr>
        <w:ind w:left="7118" w:hanging="1006"/>
      </w:pPr>
      <w:rPr>
        <w:rFonts w:hint="default"/>
      </w:rPr>
    </w:lvl>
    <w:lvl w:ilvl="8">
      <w:start w:val="0"/>
      <w:numFmt w:val="bullet"/>
      <w:lvlText w:val="•"/>
      <w:lvlJc w:val="left"/>
      <w:pPr>
        <w:ind w:left="7772" w:hanging="1006"/>
      </w:pPr>
      <w:rPr>
        <w:rFonts w:hint="default"/>
      </w:rPr>
    </w:lvl>
  </w:abstractNum>
  <w:abstractNum w:abstractNumId="23">
    <w:multiLevelType w:val="hybridMultilevel"/>
    <w:lvl w:ilvl="0">
      <w:start w:val="2"/>
      <w:numFmt w:val="upperLetter"/>
      <w:lvlText w:val="%1"/>
      <w:lvlJc w:val="left"/>
      <w:pPr>
        <w:ind w:left="1122" w:hanging="435"/>
        <w:jc w:val="left"/>
      </w:pPr>
      <w:rPr>
        <w:rFonts w:hint="default"/>
      </w:rPr>
    </w:lvl>
    <w:lvl w:ilvl="1">
      <w:start w:val="1"/>
      <w:numFmt w:val="decimal"/>
      <w:lvlText w:val="%1.%2"/>
      <w:lvlJc w:val="left"/>
      <w:pPr>
        <w:ind w:left="1122" w:hanging="435"/>
        <w:jc w:val="left"/>
      </w:pPr>
      <w:rPr>
        <w:rFonts w:hint="default" w:ascii="Verdana" w:hAnsi="Verdana" w:eastAsia="Verdana" w:cs="Verdana"/>
        <w:b/>
        <w:bCs/>
        <w:i/>
        <w:w w:val="99"/>
        <w:sz w:val="20"/>
        <w:szCs w:val="20"/>
      </w:rPr>
    </w:lvl>
    <w:lvl w:ilvl="2">
      <w:start w:val="1"/>
      <w:numFmt w:val="decimal"/>
      <w:lvlText w:val="%1.%2.%3"/>
      <w:lvlJc w:val="left"/>
      <w:pPr>
        <w:ind w:left="974" w:hanging="735"/>
        <w:jc w:val="left"/>
      </w:pPr>
      <w:rPr>
        <w:rFonts w:hint="default" w:ascii="Verdana" w:hAnsi="Verdana" w:eastAsia="Verdana" w:cs="Verdana"/>
        <w:i/>
        <w:w w:val="99"/>
        <w:sz w:val="20"/>
        <w:szCs w:val="20"/>
      </w:rPr>
    </w:lvl>
    <w:lvl w:ilvl="3">
      <w:start w:val="1"/>
      <w:numFmt w:val="decimal"/>
      <w:lvlText w:val="%1.%2.%3.%4"/>
      <w:lvlJc w:val="left"/>
      <w:pPr>
        <w:ind w:left="2058" w:hanging="804"/>
        <w:jc w:val="left"/>
      </w:pPr>
      <w:rPr>
        <w:rFonts w:hint="default" w:ascii="Verdana" w:hAnsi="Verdana" w:eastAsia="Verdana" w:cs="Verdana"/>
        <w:i/>
        <w:spacing w:val="-1"/>
        <w:w w:val="99"/>
        <w:sz w:val="20"/>
        <w:szCs w:val="20"/>
      </w:rPr>
    </w:lvl>
    <w:lvl w:ilvl="4">
      <w:start w:val="0"/>
      <w:numFmt w:val="bullet"/>
      <w:lvlText w:val="•"/>
      <w:lvlJc w:val="left"/>
      <w:pPr>
        <w:ind w:left="3815" w:hanging="804"/>
      </w:pPr>
      <w:rPr>
        <w:rFonts w:hint="default"/>
      </w:rPr>
    </w:lvl>
    <w:lvl w:ilvl="5">
      <w:start w:val="0"/>
      <w:numFmt w:val="bullet"/>
      <w:lvlText w:val="•"/>
      <w:lvlJc w:val="left"/>
      <w:pPr>
        <w:ind w:left="4692" w:hanging="804"/>
      </w:pPr>
      <w:rPr>
        <w:rFonts w:hint="default"/>
      </w:rPr>
    </w:lvl>
    <w:lvl w:ilvl="6">
      <w:start w:val="0"/>
      <w:numFmt w:val="bullet"/>
      <w:lvlText w:val="•"/>
      <w:lvlJc w:val="left"/>
      <w:pPr>
        <w:ind w:left="5570" w:hanging="804"/>
      </w:pPr>
      <w:rPr>
        <w:rFonts w:hint="default"/>
      </w:rPr>
    </w:lvl>
    <w:lvl w:ilvl="7">
      <w:start w:val="0"/>
      <w:numFmt w:val="bullet"/>
      <w:lvlText w:val="•"/>
      <w:lvlJc w:val="left"/>
      <w:pPr>
        <w:ind w:left="6447" w:hanging="804"/>
      </w:pPr>
      <w:rPr>
        <w:rFonts w:hint="default"/>
      </w:rPr>
    </w:lvl>
    <w:lvl w:ilvl="8">
      <w:start w:val="0"/>
      <w:numFmt w:val="bullet"/>
      <w:lvlText w:val="•"/>
      <w:lvlJc w:val="left"/>
      <w:pPr>
        <w:ind w:left="7325" w:hanging="804"/>
      </w:pPr>
      <w:rPr>
        <w:rFonts w:hint="default"/>
      </w:rPr>
    </w:lvl>
  </w:abstractNum>
  <w:abstractNum w:abstractNumId="22">
    <w:multiLevelType w:val="hybridMultilevel"/>
    <w:lvl w:ilvl="0">
      <w:start w:val="2"/>
      <w:numFmt w:val="upperLetter"/>
      <w:lvlText w:val="%1)"/>
      <w:lvlJc w:val="left"/>
      <w:pPr>
        <w:ind w:left="405" w:hanging="360"/>
        <w:jc w:val="right"/>
      </w:pPr>
      <w:rPr>
        <w:rFonts w:hint="default" w:ascii="Verdana" w:hAnsi="Verdana" w:eastAsia="Verdana" w:cs="Verdana"/>
        <w:b/>
        <w:bCs/>
        <w:i/>
        <w:spacing w:val="-1"/>
        <w:w w:val="99"/>
        <w:sz w:val="20"/>
        <w:szCs w:val="20"/>
      </w:rPr>
    </w:lvl>
    <w:lvl w:ilvl="1">
      <w:start w:val="0"/>
      <w:numFmt w:val="bullet"/>
      <w:lvlText w:val="•"/>
      <w:lvlJc w:val="left"/>
      <w:pPr>
        <w:ind w:left="1268" w:hanging="360"/>
      </w:pPr>
      <w:rPr>
        <w:rFonts w:hint="default"/>
      </w:rPr>
    </w:lvl>
    <w:lvl w:ilvl="2">
      <w:start w:val="0"/>
      <w:numFmt w:val="bullet"/>
      <w:lvlText w:val="•"/>
      <w:lvlJc w:val="left"/>
      <w:pPr>
        <w:ind w:left="2136" w:hanging="360"/>
      </w:pPr>
      <w:rPr>
        <w:rFonts w:hint="default"/>
      </w:rPr>
    </w:lvl>
    <w:lvl w:ilvl="3">
      <w:start w:val="0"/>
      <w:numFmt w:val="bullet"/>
      <w:lvlText w:val="•"/>
      <w:lvlJc w:val="left"/>
      <w:pPr>
        <w:ind w:left="3004" w:hanging="360"/>
      </w:pPr>
      <w:rPr>
        <w:rFonts w:hint="default"/>
      </w:rPr>
    </w:lvl>
    <w:lvl w:ilvl="4">
      <w:start w:val="0"/>
      <w:numFmt w:val="bullet"/>
      <w:lvlText w:val="•"/>
      <w:lvlJc w:val="left"/>
      <w:pPr>
        <w:ind w:left="3872" w:hanging="360"/>
      </w:pPr>
      <w:rPr>
        <w:rFonts w:hint="default"/>
      </w:rPr>
    </w:lvl>
    <w:lvl w:ilvl="5">
      <w:start w:val="0"/>
      <w:numFmt w:val="bullet"/>
      <w:lvlText w:val="•"/>
      <w:lvlJc w:val="left"/>
      <w:pPr>
        <w:ind w:left="4740" w:hanging="360"/>
      </w:pPr>
      <w:rPr>
        <w:rFonts w:hint="default"/>
      </w:rPr>
    </w:lvl>
    <w:lvl w:ilvl="6">
      <w:start w:val="0"/>
      <w:numFmt w:val="bullet"/>
      <w:lvlText w:val="•"/>
      <w:lvlJc w:val="left"/>
      <w:pPr>
        <w:ind w:left="5608" w:hanging="360"/>
      </w:pPr>
      <w:rPr>
        <w:rFonts w:hint="default"/>
      </w:rPr>
    </w:lvl>
    <w:lvl w:ilvl="7">
      <w:start w:val="0"/>
      <w:numFmt w:val="bullet"/>
      <w:lvlText w:val="•"/>
      <w:lvlJc w:val="left"/>
      <w:pPr>
        <w:ind w:left="6476" w:hanging="360"/>
      </w:pPr>
      <w:rPr>
        <w:rFonts w:hint="default"/>
      </w:rPr>
    </w:lvl>
    <w:lvl w:ilvl="8">
      <w:start w:val="0"/>
      <w:numFmt w:val="bullet"/>
      <w:lvlText w:val="•"/>
      <w:lvlJc w:val="left"/>
      <w:pPr>
        <w:ind w:left="7344" w:hanging="360"/>
      </w:pPr>
      <w:rPr>
        <w:rFonts w:hint="default"/>
      </w:rPr>
    </w:lvl>
  </w:abstractNum>
  <w:abstractNum w:abstractNumId="21">
    <w:multiLevelType w:val="hybridMultilevel"/>
    <w:lvl w:ilvl="0">
      <w:start w:val="0"/>
      <w:numFmt w:val="bullet"/>
      <w:lvlText w:val="–"/>
      <w:lvlJc w:val="left"/>
      <w:pPr>
        <w:ind w:left="122" w:hanging="168"/>
      </w:pPr>
      <w:rPr>
        <w:rFonts w:hint="default" w:ascii="Verdana" w:hAnsi="Verdana" w:eastAsia="Verdana" w:cs="Verdana"/>
        <w:w w:val="100"/>
        <w:sz w:val="16"/>
        <w:szCs w:val="16"/>
      </w:rPr>
    </w:lvl>
    <w:lvl w:ilvl="1">
      <w:start w:val="0"/>
      <w:numFmt w:val="bullet"/>
      <w:lvlText w:val="•"/>
      <w:lvlJc w:val="left"/>
      <w:pPr>
        <w:ind w:left="1016" w:hanging="168"/>
      </w:pPr>
      <w:rPr>
        <w:rFonts w:hint="default"/>
      </w:rPr>
    </w:lvl>
    <w:lvl w:ilvl="2">
      <w:start w:val="0"/>
      <w:numFmt w:val="bullet"/>
      <w:lvlText w:val="•"/>
      <w:lvlJc w:val="left"/>
      <w:pPr>
        <w:ind w:left="1912" w:hanging="168"/>
      </w:pPr>
      <w:rPr>
        <w:rFonts w:hint="default"/>
      </w:rPr>
    </w:lvl>
    <w:lvl w:ilvl="3">
      <w:start w:val="0"/>
      <w:numFmt w:val="bullet"/>
      <w:lvlText w:val="•"/>
      <w:lvlJc w:val="left"/>
      <w:pPr>
        <w:ind w:left="2808" w:hanging="168"/>
      </w:pPr>
      <w:rPr>
        <w:rFonts w:hint="default"/>
      </w:rPr>
    </w:lvl>
    <w:lvl w:ilvl="4">
      <w:start w:val="0"/>
      <w:numFmt w:val="bullet"/>
      <w:lvlText w:val="•"/>
      <w:lvlJc w:val="left"/>
      <w:pPr>
        <w:ind w:left="3704" w:hanging="168"/>
      </w:pPr>
      <w:rPr>
        <w:rFonts w:hint="default"/>
      </w:rPr>
    </w:lvl>
    <w:lvl w:ilvl="5">
      <w:start w:val="0"/>
      <w:numFmt w:val="bullet"/>
      <w:lvlText w:val="•"/>
      <w:lvlJc w:val="left"/>
      <w:pPr>
        <w:ind w:left="4600" w:hanging="168"/>
      </w:pPr>
      <w:rPr>
        <w:rFonts w:hint="default"/>
      </w:rPr>
    </w:lvl>
    <w:lvl w:ilvl="6">
      <w:start w:val="0"/>
      <w:numFmt w:val="bullet"/>
      <w:lvlText w:val="•"/>
      <w:lvlJc w:val="left"/>
      <w:pPr>
        <w:ind w:left="5496" w:hanging="168"/>
      </w:pPr>
      <w:rPr>
        <w:rFonts w:hint="default"/>
      </w:rPr>
    </w:lvl>
    <w:lvl w:ilvl="7">
      <w:start w:val="0"/>
      <w:numFmt w:val="bullet"/>
      <w:lvlText w:val="•"/>
      <w:lvlJc w:val="left"/>
      <w:pPr>
        <w:ind w:left="6392" w:hanging="168"/>
      </w:pPr>
      <w:rPr>
        <w:rFonts w:hint="default"/>
      </w:rPr>
    </w:lvl>
    <w:lvl w:ilvl="8">
      <w:start w:val="0"/>
      <w:numFmt w:val="bullet"/>
      <w:lvlText w:val="•"/>
      <w:lvlJc w:val="left"/>
      <w:pPr>
        <w:ind w:left="7288" w:hanging="168"/>
      </w:pPr>
      <w:rPr>
        <w:rFonts w:hint="default"/>
      </w:rPr>
    </w:lvl>
  </w:abstractNum>
  <w:abstractNum w:abstractNumId="20">
    <w:multiLevelType w:val="hybridMultilevel"/>
    <w:lvl w:ilvl="0">
      <w:start w:val="89"/>
      <w:numFmt w:val="decimal"/>
      <w:lvlText w:val="%1."/>
      <w:lvlJc w:val="left"/>
      <w:pPr>
        <w:ind w:left="122" w:hanging="708"/>
        <w:jc w:val="left"/>
      </w:pPr>
      <w:rPr>
        <w:rFonts w:hint="default" w:ascii="Verdana" w:hAnsi="Verdana" w:eastAsia="Verdana" w:cs="Verdana"/>
        <w:w w:val="99"/>
        <w:sz w:val="20"/>
        <w:szCs w:val="20"/>
      </w:rPr>
    </w:lvl>
    <w:lvl w:ilvl="1">
      <w:start w:val="1"/>
      <w:numFmt w:val="upperLetter"/>
      <w:lvlText w:val="%2)"/>
      <w:lvlJc w:val="left"/>
      <w:pPr>
        <w:ind w:left="830" w:hanging="425"/>
        <w:jc w:val="left"/>
      </w:pPr>
      <w:rPr>
        <w:rFonts w:hint="default" w:ascii="Verdana" w:hAnsi="Verdana" w:eastAsia="Verdana" w:cs="Verdana"/>
        <w:b/>
        <w:bCs/>
        <w:i/>
        <w:spacing w:val="-2"/>
        <w:w w:val="99"/>
        <w:sz w:val="20"/>
        <w:szCs w:val="20"/>
      </w:rPr>
    </w:lvl>
    <w:lvl w:ilvl="2">
      <w:start w:val="0"/>
      <w:numFmt w:val="bullet"/>
      <w:lvlText w:val="•"/>
      <w:lvlJc w:val="left"/>
      <w:pPr>
        <w:ind w:left="1755" w:hanging="425"/>
      </w:pPr>
      <w:rPr>
        <w:rFonts w:hint="default"/>
      </w:rPr>
    </w:lvl>
    <w:lvl w:ilvl="3">
      <w:start w:val="0"/>
      <w:numFmt w:val="bullet"/>
      <w:lvlText w:val="•"/>
      <w:lvlJc w:val="left"/>
      <w:pPr>
        <w:ind w:left="2671" w:hanging="425"/>
      </w:pPr>
      <w:rPr>
        <w:rFonts w:hint="default"/>
      </w:rPr>
    </w:lvl>
    <w:lvl w:ilvl="4">
      <w:start w:val="0"/>
      <w:numFmt w:val="bullet"/>
      <w:lvlText w:val="•"/>
      <w:lvlJc w:val="left"/>
      <w:pPr>
        <w:ind w:left="3586" w:hanging="425"/>
      </w:pPr>
      <w:rPr>
        <w:rFonts w:hint="default"/>
      </w:rPr>
    </w:lvl>
    <w:lvl w:ilvl="5">
      <w:start w:val="0"/>
      <w:numFmt w:val="bullet"/>
      <w:lvlText w:val="•"/>
      <w:lvlJc w:val="left"/>
      <w:pPr>
        <w:ind w:left="4502" w:hanging="425"/>
      </w:pPr>
      <w:rPr>
        <w:rFonts w:hint="default"/>
      </w:rPr>
    </w:lvl>
    <w:lvl w:ilvl="6">
      <w:start w:val="0"/>
      <w:numFmt w:val="bullet"/>
      <w:lvlText w:val="•"/>
      <w:lvlJc w:val="left"/>
      <w:pPr>
        <w:ind w:left="5417" w:hanging="425"/>
      </w:pPr>
      <w:rPr>
        <w:rFonts w:hint="default"/>
      </w:rPr>
    </w:lvl>
    <w:lvl w:ilvl="7">
      <w:start w:val="0"/>
      <w:numFmt w:val="bullet"/>
      <w:lvlText w:val="•"/>
      <w:lvlJc w:val="left"/>
      <w:pPr>
        <w:ind w:left="6333" w:hanging="425"/>
      </w:pPr>
      <w:rPr>
        <w:rFonts w:hint="default"/>
      </w:rPr>
    </w:lvl>
    <w:lvl w:ilvl="8">
      <w:start w:val="0"/>
      <w:numFmt w:val="bullet"/>
      <w:lvlText w:val="•"/>
      <w:lvlJc w:val="left"/>
      <w:pPr>
        <w:ind w:left="7248" w:hanging="425"/>
      </w:pPr>
      <w:rPr>
        <w:rFonts w:hint="default"/>
      </w:rPr>
    </w:lvl>
  </w:abstractNum>
  <w:abstractNum w:abstractNumId="19">
    <w:multiLevelType w:val="hybridMultilevel"/>
    <w:lvl w:ilvl="0">
      <w:start w:val="3"/>
      <w:numFmt w:val="upperLetter"/>
      <w:lvlText w:val="%1"/>
      <w:lvlJc w:val="left"/>
      <w:pPr>
        <w:ind w:left="1187" w:hanging="499"/>
        <w:jc w:val="left"/>
      </w:pPr>
      <w:rPr>
        <w:rFonts w:hint="default"/>
      </w:rPr>
    </w:lvl>
    <w:lvl w:ilvl="1">
      <w:start w:val="4"/>
      <w:numFmt w:val="decimal"/>
      <w:lvlText w:val="%1.%2."/>
      <w:lvlJc w:val="left"/>
      <w:pPr>
        <w:ind w:left="1187" w:hanging="499"/>
        <w:jc w:val="left"/>
      </w:pPr>
      <w:rPr>
        <w:rFonts w:hint="default" w:ascii="Verdana" w:hAnsi="Verdana" w:eastAsia="Verdana" w:cs="Verdana"/>
        <w:b/>
        <w:bCs/>
        <w:i/>
        <w:w w:val="99"/>
        <w:sz w:val="20"/>
        <w:szCs w:val="20"/>
      </w:rPr>
    </w:lvl>
    <w:lvl w:ilvl="2">
      <w:start w:val="1"/>
      <w:numFmt w:val="decimal"/>
      <w:lvlText w:val="%1.%2.%3"/>
      <w:lvlJc w:val="left"/>
      <w:pPr>
        <w:ind w:left="1581" w:hanging="608"/>
        <w:jc w:val="left"/>
      </w:pPr>
      <w:rPr>
        <w:rFonts w:hint="default" w:ascii="Verdana" w:hAnsi="Verdana" w:eastAsia="Verdana" w:cs="Verdana"/>
        <w:i/>
        <w:spacing w:val="-1"/>
        <w:w w:val="99"/>
        <w:sz w:val="20"/>
        <w:szCs w:val="20"/>
      </w:rPr>
    </w:lvl>
    <w:lvl w:ilvl="3">
      <w:start w:val="0"/>
      <w:numFmt w:val="bullet"/>
      <w:lvlText w:val="•"/>
      <w:lvlJc w:val="left"/>
      <w:pPr>
        <w:ind w:left="3246" w:hanging="608"/>
      </w:pPr>
      <w:rPr>
        <w:rFonts w:hint="default"/>
      </w:rPr>
    </w:lvl>
    <w:lvl w:ilvl="4">
      <w:start w:val="0"/>
      <w:numFmt w:val="bullet"/>
      <w:lvlText w:val="•"/>
      <w:lvlJc w:val="left"/>
      <w:pPr>
        <w:ind w:left="4080" w:hanging="608"/>
      </w:pPr>
      <w:rPr>
        <w:rFonts w:hint="default"/>
      </w:rPr>
    </w:lvl>
    <w:lvl w:ilvl="5">
      <w:start w:val="0"/>
      <w:numFmt w:val="bullet"/>
      <w:lvlText w:val="•"/>
      <w:lvlJc w:val="left"/>
      <w:pPr>
        <w:ind w:left="4913" w:hanging="608"/>
      </w:pPr>
      <w:rPr>
        <w:rFonts w:hint="default"/>
      </w:rPr>
    </w:lvl>
    <w:lvl w:ilvl="6">
      <w:start w:val="0"/>
      <w:numFmt w:val="bullet"/>
      <w:lvlText w:val="•"/>
      <w:lvlJc w:val="left"/>
      <w:pPr>
        <w:ind w:left="5746" w:hanging="608"/>
      </w:pPr>
      <w:rPr>
        <w:rFonts w:hint="default"/>
      </w:rPr>
    </w:lvl>
    <w:lvl w:ilvl="7">
      <w:start w:val="0"/>
      <w:numFmt w:val="bullet"/>
      <w:lvlText w:val="•"/>
      <w:lvlJc w:val="left"/>
      <w:pPr>
        <w:ind w:left="6580" w:hanging="608"/>
      </w:pPr>
      <w:rPr>
        <w:rFonts w:hint="default"/>
      </w:rPr>
    </w:lvl>
    <w:lvl w:ilvl="8">
      <w:start w:val="0"/>
      <w:numFmt w:val="bullet"/>
      <w:lvlText w:val="•"/>
      <w:lvlJc w:val="left"/>
      <w:pPr>
        <w:ind w:left="7413" w:hanging="608"/>
      </w:pPr>
      <w:rPr>
        <w:rFonts w:hint="default"/>
      </w:rPr>
    </w:lvl>
  </w:abstractNum>
  <w:abstractNum w:abstractNumId="18">
    <w:multiLevelType w:val="hybridMultilevel"/>
    <w:lvl w:ilvl="0">
      <w:start w:val="59"/>
      <w:numFmt w:val="decimal"/>
      <w:lvlText w:val="%1."/>
      <w:lvlJc w:val="left"/>
      <w:pPr>
        <w:ind w:left="122" w:hanging="708"/>
        <w:jc w:val="left"/>
      </w:pPr>
      <w:rPr>
        <w:rFonts w:hint="default" w:ascii="Verdana" w:hAnsi="Verdana" w:eastAsia="Verdana" w:cs="Verdana"/>
        <w:w w:val="99"/>
        <w:sz w:val="20"/>
        <w:szCs w:val="20"/>
      </w:rPr>
    </w:lvl>
    <w:lvl w:ilvl="1">
      <w:start w:val="0"/>
      <w:numFmt w:val="bullet"/>
      <w:lvlText w:val="•"/>
      <w:lvlJc w:val="left"/>
      <w:pPr>
        <w:ind w:left="1016" w:hanging="708"/>
      </w:pPr>
      <w:rPr>
        <w:rFonts w:hint="default"/>
      </w:rPr>
    </w:lvl>
    <w:lvl w:ilvl="2">
      <w:start w:val="0"/>
      <w:numFmt w:val="bullet"/>
      <w:lvlText w:val="•"/>
      <w:lvlJc w:val="left"/>
      <w:pPr>
        <w:ind w:left="1912" w:hanging="708"/>
      </w:pPr>
      <w:rPr>
        <w:rFonts w:hint="default"/>
      </w:rPr>
    </w:lvl>
    <w:lvl w:ilvl="3">
      <w:start w:val="0"/>
      <w:numFmt w:val="bullet"/>
      <w:lvlText w:val="•"/>
      <w:lvlJc w:val="left"/>
      <w:pPr>
        <w:ind w:left="2808" w:hanging="708"/>
      </w:pPr>
      <w:rPr>
        <w:rFonts w:hint="default"/>
      </w:rPr>
    </w:lvl>
    <w:lvl w:ilvl="4">
      <w:start w:val="0"/>
      <w:numFmt w:val="bullet"/>
      <w:lvlText w:val="•"/>
      <w:lvlJc w:val="left"/>
      <w:pPr>
        <w:ind w:left="3704" w:hanging="708"/>
      </w:pPr>
      <w:rPr>
        <w:rFonts w:hint="default"/>
      </w:rPr>
    </w:lvl>
    <w:lvl w:ilvl="5">
      <w:start w:val="0"/>
      <w:numFmt w:val="bullet"/>
      <w:lvlText w:val="•"/>
      <w:lvlJc w:val="left"/>
      <w:pPr>
        <w:ind w:left="4600" w:hanging="708"/>
      </w:pPr>
      <w:rPr>
        <w:rFonts w:hint="default"/>
      </w:rPr>
    </w:lvl>
    <w:lvl w:ilvl="6">
      <w:start w:val="0"/>
      <w:numFmt w:val="bullet"/>
      <w:lvlText w:val="•"/>
      <w:lvlJc w:val="left"/>
      <w:pPr>
        <w:ind w:left="5496" w:hanging="708"/>
      </w:pPr>
      <w:rPr>
        <w:rFonts w:hint="default"/>
      </w:rPr>
    </w:lvl>
    <w:lvl w:ilvl="7">
      <w:start w:val="0"/>
      <w:numFmt w:val="bullet"/>
      <w:lvlText w:val="•"/>
      <w:lvlJc w:val="left"/>
      <w:pPr>
        <w:ind w:left="6392" w:hanging="708"/>
      </w:pPr>
      <w:rPr>
        <w:rFonts w:hint="default"/>
      </w:rPr>
    </w:lvl>
    <w:lvl w:ilvl="8">
      <w:start w:val="0"/>
      <w:numFmt w:val="bullet"/>
      <w:lvlText w:val="•"/>
      <w:lvlJc w:val="left"/>
      <w:pPr>
        <w:ind w:left="7288" w:hanging="708"/>
      </w:pPr>
      <w:rPr>
        <w:rFonts w:hint="default"/>
      </w:rPr>
    </w:lvl>
  </w:abstractNum>
  <w:abstractNum w:abstractNumId="17">
    <w:multiLevelType w:val="hybridMultilevel"/>
    <w:lvl w:ilvl="0">
      <w:start w:val="3"/>
      <w:numFmt w:val="upperLetter"/>
      <w:lvlText w:val="%1"/>
      <w:lvlJc w:val="left"/>
      <w:pPr>
        <w:ind w:left="688" w:hanging="444"/>
        <w:jc w:val="left"/>
      </w:pPr>
      <w:rPr>
        <w:rFonts w:hint="default"/>
      </w:rPr>
    </w:lvl>
    <w:lvl w:ilvl="1">
      <w:start w:val="1"/>
      <w:numFmt w:val="decimal"/>
      <w:lvlText w:val="%1.%2"/>
      <w:lvlJc w:val="left"/>
      <w:pPr>
        <w:ind w:left="688" w:hanging="444"/>
        <w:jc w:val="left"/>
      </w:pPr>
      <w:rPr>
        <w:rFonts w:hint="default" w:ascii="Verdana" w:hAnsi="Verdana" w:eastAsia="Verdana" w:cs="Verdana"/>
        <w:b/>
        <w:bCs/>
        <w:i/>
        <w:w w:val="99"/>
        <w:sz w:val="20"/>
        <w:szCs w:val="20"/>
      </w:rPr>
    </w:lvl>
    <w:lvl w:ilvl="2">
      <w:start w:val="0"/>
      <w:numFmt w:val="bullet"/>
      <w:lvlText w:val="•"/>
      <w:lvlJc w:val="left"/>
      <w:pPr>
        <w:ind w:left="2360" w:hanging="444"/>
      </w:pPr>
      <w:rPr>
        <w:rFonts w:hint="default"/>
      </w:rPr>
    </w:lvl>
    <w:lvl w:ilvl="3">
      <w:start w:val="0"/>
      <w:numFmt w:val="bullet"/>
      <w:lvlText w:val="•"/>
      <w:lvlJc w:val="left"/>
      <w:pPr>
        <w:ind w:left="3200" w:hanging="444"/>
      </w:pPr>
      <w:rPr>
        <w:rFonts w:hint="default"/>
      </w:rPr>
    </w:lvl>
    <w:lvl w:ilvl="4">
      <w:start w:val="0"/>
      <w:numFmt w:val="bullet"/>
      <w:lvlText w:val="•"/>
      <w:lvlJc w:val="left"/>
      <w:pPr>
        <w:ind w:left="4040" w:hanging="444"/>
      </w:pPr>
      <w:rPr>
        <w:rFonts w:hint="default"/>
      </w:rPr>
    </w:lvl>
    <w:lvl w:ilvl="5">
      <w:start w:val="0"/>
      <w:numFmt w:val="bullet"/>
      <w:lvlText w:val="•"/>
      <w:lvlJc w:val="left"/>
      <w:pPr>
        <w:ind w:left="4880" w:hanging="444"/>
      </w:pPr>
      <w:rPr>
        <w:rFonts w:hint="default"/>
      </w:rPr>
    </w:lvl>
    <w:lvl w:ilvl="6">
      <w:start w:val="0"/>
      <w:numFmt w:val="bullet"/>
      <w:lvlText w:val="•"/>
      <w:lvlJc w:val="left"/>
      <w:pPr>
        <w:ind w:left="5720" w:hanging="444"/>
      </w:pPr>
      <w:rPr>
        <w:rFonts w:hint="default"/>
      </w:rPr>
    </w:lvl>
    <w:lvl w:ilvl="7">
      <w:start w:val="0"/>
      <w:numFmt w:val="bullet"/>
      <w:lvlText w:val="•"/>
      <w:lvlJc w:val="left"/>
      <w:pPr>
        <w:ind w:left="6560" w:hanging="444"/>
      </w:pPr>
      <w:rPr>
        <w:rFonts w:hint="default"/>
      </w:rPr>
    </w:lvl>
    <w:lvl w:ilvl="8">
      <w:start w:val="0"/>
      <w:numFmt w:val="bullet"/>
      <w:lvlText w:val="•"/>
      <w:lvlJc w:val="left"/>
      <w:pPr>
        <w:ind w:left="7400" w:hanging="444"/>
      </w:pPr>
      <w:rPr>
        <w:rFonts w:hint="default"/>
      </w:rPr>
    </w:lvl>
  </w:abstractNum>
  <w:abstractNum w:abstractNumId="16">
    <w:multiLevelType w:val="hybridMultilevel"/>
    <w:lvl w:ilvl="0">
      <w:start w:val="8"/>
      <w:numFmt w:val="decimal"/>
      <w:lvlText w:val="%1)"/>
      <w:lvlJc w:val="left"/>
      <w:pPr>
        <w:ind w:left="122" w:hanging="235"/>
        <w:jc w:val="left"/>
      </w:pPr>
      <w:rPr>
        <w:rFonts w:hint="default" w:ascii="Verdana" w:hAnsi="Verdana" w:eastAsia="Verdana" w:cs="Verdana"/>
        <w:w w:val="100"/>
        <w:sz w:val="16"/>
        <w:szCs w:val="16"/>
      </w:rPr>
    </w:lvl>
    <w:lvl w:ilvl="1">
      <w:start w:val="1"/>
      <w:numFmt w:val="upperLetter"/>
      <w:lvlText w:val="%2)"/>
      <w:lvlJc w:val="left"/>
      <w:pPr>
        <w:ind w:left="830" w:hanging="425"/>
        <w:jc w:val="left"/>
      </w:pPr>
      <w:rPr>
        <w:rFonts w:hint="default" w:ascii="Verdana" w:hAnsi="Verdana" w:eastAsia="Verdana" w:cs="Verdana"/>
        <w:b/>
        <w:bCs/>
        <w:i/>
        <w:spacing w:val="-2"/>
        <w:w w:val="99"/>
        <w:sz w:val="20"/>
        <w:szCs w:val="20"/>
      </w:rPr>
    </w:lvl>
    <w:lvl w:ilvl="2">
      <w:start w:val="0"/>
      <w:numFmt w:val="bullet"/>
      <w:lvlText w:val="•"/>
      <w:lvlJc w:val="left"/>
      <w:pPr>
        <w:ind w:left="1755" w:hanging="425"/>
      </w:pPr>
      <w:rPr>
        <w:rFonts w:hint="default"/>
      </w:rPr>
    </w:lvl>
    <w:lvl w:ilvl="3">
      <w:start w:val="0"/>
      <w:numFmt w:val="bullet"/>
      <w:lvlText w:val="•"/>
      <w:lvlJc w:val="left"/>
      <w:pPr>
        <w:ind w:left="2671" w:hanging="425"/>
      </w:pPr>
      <w:rPr>
        <w:rFonts w:hint="default"/>
      </w:rPr>
    </w:lvl>
    <w:lvl w:ilvl="4">
      <w:start w:val="0"/>
      <w:numFmt w:val="bullet"/>
      <w:lvlText w:val="•"/>
      <w:lvlJc w:val="left"/>
      <w:pPr>
        <w:ind w:left="3586" w:hanging="425"/>
      </w:pPr>
      <w:rPr>
        <w:rFonts w:hint="default"/>
      </w:rPr>
    </w:lvl>
    <w:lvl w:ilvl="5">
      <w:start w:val="0"/>
      <w:numFmt w:val="bullet"/>
      <w:lvlText w:val="•"/>
      <w:lvlJc w:val="left"/>
      <w:pPr>
        <w:ind w:left="4502" w:hanging="425"/>
      </w:pPr>
      <w:rPr>
        <w:rFonts w:hint="default"/>
      </w:rPr>
    </w:lvl>
    <w:lvl w:ilvl="6">
      <w:start w:val="0"/>
      <w:numFmt w:val="bullet"/>
      <w:lvlText w:val="•"/>
      <w:lvlJc w:val="left"/>
      <w:pPr>
        <w:ind w:left="5417" w:hanging="425"/>
      </w:pPr>
      <w:rPr>
        <w:rFonts w:hint="default"/>
      </w:rPr>
    </w:lvl>
    <w:lvl w:ilvl="7">
      <w:start w:val="0"/>
      <w:numFmt w:val="bullet"/>
      <w:lvlText w:val="•"/>
      <w:lvlJc w:val="left"/>
      <w:pPr>
        <w:ind w:left="6333" w:hanging="425"/>
      </w:pPr>
      <w:rPr>
        <w:rFonts w:hint="default"/>
      </w:rPr>
    </w:lvl>
    <w:lvl w:ilvl="8">
      <w:start w:val="0"/>
      <w:numFmt w:val="bullet"/>
      <w:lvlText w:val="•"/>
      <w:lvlJc w:val="left"/>
      <w:pPr>
        <w:ind w:left="7248" w:hanging="425"/>
      </w:pPr>
      <w:rPr>
        <w:rFonts w:hint="default"/>
      </w:rPr>
    </w:lvl>
  </w:abstractNum>
  <w:abstractNum w:abstractNumId="15">
    <w:multiLevelType w:val="hybridMultilevel"/>
    <w:lvl w:ilvl="0">
      <w:start w:val="1"/>
      <w:numFmt w:val="upperLetter"/>
      <w:lvlText w:val="%1)"/>
      <w:lvlJc w:val="left"/>
      <w:pPr>
        <w:ind w:left="1367" w:hanging="963"/>
        <w:jc w:val="right"/>
      </w:pPr>
      <w:rPr>
        <w:rFonts w:hint="default" w:ascii="Verdana" w:hAnsi="Verdana" w:eastAsia="Verdana" w:cs="Verdana"/>
        <w:b/>
        <w:bCs/>
        <w:i/>
        <w:spacing w:val="-2"/>
        <w:w w:val="99"/>
        <w:sz w:val="20"/>
        <w:szCs w:val="20"/>
      </w:rPr>
    </w:lvl>
    <w:lvl w:ilvl="1">
      <w:start w:val="0"/>
      <w:numFmt w:val="bullet"/>
      <w:lvlText w:val="•"/>
      <w:lvlJc w:val="left"/>
      <w:pPr>
        <w:ind w:left="2132" w:hanging="963"/>
      </w:pPr>
      <w:rPr>
        <w:rFonts w:hint="default"/>
      </w:rPr>
    </w:lvl>
    <w:lvl w:ilvl="2">
      <w:start w:val="0"/>
      <w:numFmt w:val="bullet"/>
      <w:lvlText w:val="•"/>
      <w:lvlJc w:val="left"/>
      <w:pPr>
        <w:ind w:left="2904" w:hanging="963"/>
      </w:pPr>
      <w:rPr>
        <w:rFonts w:hint="default"/>
      </w:rPr>
    </w:lvl>
    <w:lvl w:ilvl="3">
      <w:start w:val="0"/>
      <w:numFmt w:val="bullet"/>
      <w:lvlText w:val="•"/>
      <w:lvlJc w:val="left"/>
      <w:pPr>
        <w:ind w:left="3676" w:hanging="963"/>
      </w:pPr>
      <w:rPr>
        <w:rFonts w:hint="default"/>
      </w:rPr>
    </w:lvl>
    <w:lvl w:ilvl="4">
      <w:start w:val="0"/>
      <w:numFmt w:val="bullet"/>
      <w:lvlText w:val="•"/>
      <w:lvlJc w:val="left"/>
      <w:pPr>
        <w:ind w:left="4448" w:hanging="963"/>
      </w:pPr>
      <w:rPr>
        <w:rFonts w:hint="default"/>
      </w:rPr>
    </w:lvl>
    <w:lvl w:ilvl="5">
      <w:start w:val="0"/>
      <w:numFmt w:val="bullet"/>
      <w:lvlText w:val="•"/>
      <w:lvlJc w:val="left"/>
      <w:pPr>
        <w:ind w:left="5220" w:hanging="963"/>
      </w:pPr>
      <w:rPr>
        <w:rFonts w:hint="default"/>
      </w:rPr>
    </w:lvl>
    <w:lvl w:ilvl="6">
      <w:start w:val="0"/>
      <w:numFmt w:val="bullet"/>
      <w:lvlText w:val="•"/>
      <w:lvlJc w:val="left"/>
      <w:pPr>
        <w:ind w:left="5992" w:hanging="963"/>
      </w:pPr>
      <w:rPr>
        <w:rFonts w:hint="default"/>
      </w:rPr>
    </w:lvl>
    <w:lvl w:ilvl="7">
      <w:start w:val="0"/>
      <w:numFmt w:val="bullet"/>
      <w:lvlText w:val="•"/>
      <w:lvlJc w:val="left"/>
      <w:pPr>
        <w:ind w:left="6764" w:hanging="963"/>
      </w:pPr>
      <w:rPr>
        <w:rFonts w:hint="default"/>
      </w:rPr>
    </w:lvl>
    <w:lvl w:ilvl="8">
      <w:start w:val="0"/>
      <w:numFmt w:val="bullet"/>
      <w:lvlText w:val="•"/>
      <w:lvlJc w:val="left"/>
      <w:pPr>
        <w:ind w:left="7536" w:hanging="963"/>
      </w:pPr>
      <w:rPr>
        <w:rFonts w:hint="default"/>
      </w:rPr>
    </w:lvl>
  </w:abstractNum>
  <w:abstractNum w:abstractNumId="14">
    <w:multiLevelType w:val="hybridMultilevel"/>
    <w:lvl w:ilvl="0">
      <w:start w:val="1"/>
      <w:numFmt w:val="upperLetter"/>
      <w:lvlText w:val="%1)"/>
      <w:lvlJc w:val="left"/>
      <w:pPr>
        <w:ind w:left="736" w:hanging="332"/>
        <w:jc w:val="left"/>
      </w:pPr>
      <w:rPr>
        <w:rFonts w:hint="default" w:ascii="Verdana" w:hAnsi="Verdana" w:eastAsia="Verdana" w:cs="Verdana"/>
        <w:b/>
        <w:bCs/>
        <w:i/>
        <w:spacing w:val="-2"/>
        <w:w w:val="99"/>
        <w:sz w:val="20"/>
        <w:szCs w:val="20"/>
      </w:rPr>
    </w:lvl>
    <w:lvl w:ilvl="1">
      <w:start w:val="1"/>
      <w:numFmt w:val="decimal"/>
      <w:lvlText w:val="%1.%2"/>
      <w:lvlJc w:val="left"/>
      <w:pPr>
        <w:ind w:left="1124" w:hanging="437"/>
        <w:jc w:val="left"/>
      </w:pPr>
      <w:rPr>
        <w:rFonts w:hint="default" w:ascii="Verdana" w:hAnsi="Verdana" w:eastAsia="Verdana" w:cs="Verdana"/>
        <w:b/>
        <w:bCs/>
        <w:i/>
        <w:spacing w:val="-2"/>
        <w:w w:val="99"/>
        <w:sz w:val="20"/>
        <w:szCs w:val="20"/>
      </w:rPr>
    </w:lvl>
    <w:lvl w:ilvl="2">
      <w:start w:val="0"/>
      <w:numFmt w:val="bullet"/>
      <w:lvlText w:val="•"/>
      <w:lvlJc w:val="left"/>
      <w:pPr>
        <w:ind w:left="2002" w:hanging="437"/>
      </w:pPr>
      <w:rPr>
        <w:rFonts w:hint="default"/>
      </w:rPr>
    </w:lvl>
    <w:lvl w:ilvl="3">
      <w:start w:val="0"/>
      <w:numFmt w:val="bullet"/>
      <w:lvlText w:val="•"/>
      <w:lvlJc w:val="left"/>
      <w:pPr>
        <w:ind w:left="2884" w:hanging="437"/>
      </w:pPr>
      <w:rPr>
        <w:rFonts w:hint="default"/>
      </w:rPr>
    </w:lvl>
    <w:lvl w:ilvl="4">
      <w:start w:val="0"/>
      <w:numFmt w:val="bullet"/>
      <w:lvlText w:val="•"/>
      <w:lvlJc w:val="left"/>
      <w:pPr>
        <w:ind w:left="3766" w:hanging="437"/>
      </w:pPr>
      <w:rPr>
        <w:rFonts w:hint="default"/>
      </w:rPr>
    </w:lvl>
    <w:lvl w:ilvl="5">
      <w:start w:val="0"/>
      <w:numFmt w:val="bullet"/>
      <w:lvlText w:val="•"/>
      <w:lvlJc w:val="left"/>
      <w:pPr>
        <w:ind w:left="4648" w:hanging="437"/>
      </w:pPr>
      <w:rPr>
        <w:rFonts w:hint="default"/>
      </w:rPr>
    </w:lvl>
    <w:lvl w:ilvl="6">
      <w:start w:val="0"/>
      <w:numFmt w:val="bullet"/>
      <w:lvlText w:val="•"/>
      <w:lvlJc w:val="left"/>
      <w:pPr>
        <w:ind w:left="5531" w:hanging="437"/>
      </w:pPr>
      <w:rPr>
        <w:rFonts w:hint="default"/>
      </w:rPr>
    </w:lvl>
    <w:lvl w:ilvl="7">
      <w:start w:val="0"/>
      <w:numFmt w:val="bullet"/>
      <w:lvlText w:val="•"/>
      <w:lvlJc w:val="left"/>
      <w:pPr>
        <w:ind w:left="6413" w:hanging="437"/>
      </w:pPr>
      <w:rPr>
        <w:rFonts w:hint="default"/>
      </w:rPr>
    </w:lvl>
    <w:lvl w:ilvl="8">
      <w:start w:val="0"/>
      <w:numFmt w:val="bullet"/>
      <w:lvlText w:val="•"/>
      <w:lvlJc w:val="left"/>
      <w:pPr>
        <w:ind w:left="7295" w:hanging="437"/>
      </w:pPr>
      <w:rPr>
        <w:rFonts w:hint="default"/>
      </w:rPr>
    </w:lvl>
  </w:abstractNum>
  <w:abstractNum w:abstractNumId="13">
    <w:multiLevelType w:val="hybridMultilevel"/>
    <w:lvl w:ilvl="0">
      <w:start w:val="1"/>
      <w:numFmt w:val="decimal"/>
      <w:lvlText w:val="%1."/>
      <w:lvlJc w:val="left"/>
      <w:pPr>
        <w:ind w:left="122" w:hanging="720"/>
        <w:jc w:val="left"/>
      </w:pPr>
      <w:rPr>
        <w:rFonts w:hint="default" w:ascii="Verdana" w:hAnsi="Verdana" w:eastAsia="Verdana" w:cs="Verdana"/>
        <w:w w:val="99"/>
        <w:sz w:val="20"/>
        <w:szCs w:val="20"/>
      </w:rPr>
    </w:lvl>
    <w:lvl w:ilvl="1">
      <w:start w:val="1"/>
      <w:numFmt w:val="lowerLetter"/>
      <w:lvlText w:val="%2)"/>
      <w:lvlJc w:val="left"/>
      <w:pPr>
        <w:ind w:left="263" w:hanging="286"/>
        <w:jc w:val="left"/>
      </w:pPr>
      <w:rPr>
        <w:rFonts w:hint="default" w:ascii="Verdana" w:hAnsi="Verdana" w:eastAsia="Verdana" w:cs="Verdana"/>
        <w:w w:val="99"/>
        <w:sz w:val="20"/>
        <w:szCs w:val="20"/>
      </w:rPr>
    </w:lvl>
    <w:lvl w:ilvl="2">
      <w:start w:val="0"/>
      <w:numFmt w:val="bullet"/>
      <w:lvlText w:val="•"/>
      <w:lvlJc w:val="left"/>
      <w:pPr>
        <w:ind w:left="1240" w:hanging="286"/>
      </w:pPr>
      <w:rPr>
        <w:rFonts w:hint="default"/>
      </w:rPr>
    </w:lvl>
    <w:lvl w:ilvl="3">
      <w:start w:val="0"/>
      <w:numFmt w:val="bullet"/>
      <w:lvlText w:val="•"/>
      <w:lvlJc w:val="left"/>
      <w:pPr>
        <w:ind w:left="2220" w:hanging="286"/>
      </w:pPr>
      <w:rPr>
        <w:rFonts w:hint="default"/>
      </w:rPr>
    </w:lvl>
    <w:lvl w:ilvl="4">
      <w:start w:val="0"/>
      <w:numFmt w:val="bullet"/>
      <w:lvlText w:val="•"/>
      <w:lvlJc w:val="left"/>
      <w:pPr>
        <w:ind w:left="3200" w:hanging="286"/>
      </w:pPr>
      <w:rPr>
        <w:rFonts w:hint="default"/>
      </w:rPr>
    </w:lvl>
    <w:lvl w:ilvl="5">
      <w:start w:val="0"/>
      <w:numFmt w:val="bullet"/>
      <w:lvlText w:val="•"/>
      <w:lvlJc w:val="left"/>
      <w:pPr>
        <w:ind w:left="4180" w:hanging="286"/>
      </w:pPr>
      <w:rPr>
        <w:rFonts w:hint="default"/>
      </w:rPr>
    </w:lvl>
    <w:lvl w:ilvl="6">
      <w:start w:val="0"/>
      <w:numFmt w:val="bullet"/>
      <w:lvlText w:val="•"/>
      <w:lvlJc w:val="left"/>
      <w:pPr>
        <w:ind w:left="5160" w:hanging="286"/>
      </w:pPr>
      <w:rPr>
        <w:rFonts w:hint="default"/>
      </w:rPr>
    </w:lvl>
    <w:lvl w:ilvl="7">
      <w:start w:val="0"/>
      <w:numFmt w:val="bullet"/>
      <w:lvlText w:val="•"/>
      <w:lvlJc w:val="left"/>
      <w:pPr>
        <w:ind w:left="6140" w:hanging="286"/>
      </w:pPr>
      <w:rPr>
        <w:rFonts w:hint="default"/>
      </w:rPr>
    </w:lvl>
    <w:lvl w:ilvl="8">
      <w:start w:val="0"/>
      <w:numFmt w:val="bullet"/>
      <w:lvlText w:val="•"/>
      <w:lvlJc w:val="left"/>
      <w:pPr>
        <w:ind w:left="7120" w:hanging="286"/>
      </w:pPr>
      <w:rPr>
        <w:rFonts w:hint="default"/>
      </w:rPr>
    </w:lvl>
  </w:abstractNum>
  <w:abstractNum w:abstractNumId="12">
    <w:multiLevelType w:val="hybridMultilevel"/>
    <w:lvl w:ilvl="0">
      <w:start w:val="2"/>
      <w:numFmt w:val="upperLetter"/>
      <w:lvlText w:val="%1"/>
      <w:lvlJc w:val="left"/>
      <w:pPr>
        <w:ind w:left="322" w:hanging="456"/>
        <w:jc w:val="left"/>
      </w:pPr>
      <w:rPr>
        <w:rFonts w:hint="default"/>
      </w:rPr>
    </w:lvl>
    <w:lvl w:ilvl="1">
      <w:start w:val="3"/>
      <w:numFmt w:val="decimal"/>
      <w:lvlText w:val="%1.%2."/>
      <w:lvlJc w:val="left"/>
      <w:pPr>
        <w:ind w:left="322" w:hanging="456"/>
        <w:jc w:val="left"/>
      </w:pPr>
      <w:rPr>
        <w:rFonts w:hint="default" w:ascii="Verdana" w:hAnsi="Verdana" w:eastAsia="Verdana" w:cs="Verdana"/>
        <w:b/>
        <w:bCs/>
        <w:i/>
        <w:spacing w:val="-1"/>
        <w:w w:val="100"/>
        <w:sz w:val="18"/>
        <w:szCs w:val="18"/>
      </w:rPr>
    </w:lvl>
    <w:lvl w:ilvl="2">
      <w:start w:val="0"/>
      <w:numFmt w:val="bullet"/>
      <w:lvlText w:val="•"/>
      <w:lvlJc w:val="left"/>
      <w:pPr>
        <w:ind w:left="2064" w:hanging="456"/>
      </w:pPr>
      <w:rPr>
        <w:rFonts w:hint="default"/>
      </w:rPr>
    </w:lvl>
    <w:lvl w:ilvl="3">
      <w:start w:val="0"/>
      <w:numFmt w:val="bullet"/>
      <w:lvlText w:val="•"/>
      <w:lvlJc w:val="left"/>
      <w:pPr>
        <w:ind w:left="2936" w:hanging="456"/>
      </w:pPr>
      <w:rPr>
        <w:rFonts w:hint="default"/>
      </w:rPr>
    </w:lvl>
    <w:lvl w:ilvl="4">
      <w:start w:val="0"/>
      <w:numFmt w:val="bullet"/>
      <w:lvlText w:val="•"/>
      <w:lvlJc w:val="left"/>
      <w:pPr>
        <w:ind w:left="3808" w:hanging="456"/>
      </w:pPr>
      <w:rPr>
        <w:rFonts w:hint="default"/>
      </w:rPr>
    </w:lvl>
    <w:lvl w:ilvl="5">
      <w:start w:val="0"/>
      <w:numFmt w:val="bullet"/>
      <w:lvlText w:val="•"/>
      <w:lvlJc w:val="left"/>
      <w:pPr>
        <w:ind w:left="4680" w:hanging="456"/>
      </w:pPr>
      <w:rPr>
        <w:rFonts w:hint="default"/>
      </w:rPr>
    </w:lvl>
    <w:lvl w:ilvl="6">
      <w:start w:val="0"/>
      <w:numFmt w:val="bullet"/>
      <w:lvlText w:val="•"/>
      <w:lvlJc w:val="left"/>
      <w:pPr>
        <w:ind w:left="5552" w:hanging="456"/>
      </w:pPr>
      <w:rPr>
        <w:rFonts w:hint="default"/>
      </w:rPr>
    </w:lvl>
    <w:lvl w:ilvl="7">
      <w:start w:val="0"/>
      <w:numFmt w:val="bullet"/>
      <w:lvlText w:val="•"/>
      <w:lvlJc w:val="left"/>
      <w:pPr>
        <w:ind w:left="6424" w:hanging="456"/>
      </w:pPr>
      <w:rPr>
        <w:rFonts w:hint="default"/>
      </w:rPr>
    </w:lvl>
    <w:lvl w:ilvl="8">
      <w:start w:val="0"/>
      <w:numFmt w:val="bullet"/>
      <w:lvlText w:val="•"/>
      <w:lvlJc w:val="left"/>
      <w:pPr>
        <w:ind w:left="7296" w:hanging="456"/>
      </w:pPr>
      <w:rPr>
        <w:rFonts w:hint="default"/>
      </w:rPr>
    </w:lvl>
  </w:abstractNum>
  <w:abstractNum w:abstractNumId="11">
    <w:multiLevelType w:val="hybridMultilevel"/>
    <w:lvl w:ilvl="0">
      <w:start w:val="2"/>
      <w:numFmt w:val="upperLetter"/>
      <w:lvlText w:val="%1"/>
      <w:lvlJc w:val="left"/>
      <w:pPr>
        <w:ind w:left="714" w:hanging="392"/>
        <w:jc w:val="left"/>
      </w:pPr>
      <w:rPr>
        <w:rFonts w:hint="default"/>
      </w:rPr>
    </w:lvl>
    <w:lvl w:ilvl="1">
      <w:start w:val="2"/>
      <w:numFmt w:val="decimal"/>
      <w:lvlText w:val="%1.%2"/>
      <w:lvlJc w:val="left"/>
      <w:pPr>
        <w:ind w:left="714" w:hanging="392"/>
        <w:jc w:val="left"/>
      </w:pPr>
      <w:rPr>
        <w:rFonts w:hint="default" w:ascii="Verdana" w:hAnsi="Verdana" w:eastAsia="Verdana" w:cs="Verdana"/>
        <w:b/>
        <w:bCs/>
        <w:i/>
        <w:spacing w:val="-2"/>
        <w:w w:val="100"/>
        <w:sz w:val="18"/>
        <w:szCs w:val="18"/>
      </w:rPr>
    </w:lvl>
    <w:lvl w:ilvl="2">
      <w:start w:val="1"/>
      <w:numFmt w:val="decimal"/>
      <w:lvlText w:val="%1.%2.%3"/>
      <w:lvlJc w:val="left"/>
      <w:pPr>
        <w:ind w:left="1085" w:hanging="545"/>
        <w:jc w:val="left"/>
      </w:pPr>
      <w:rPr>
        <w:rFonts w:hint="default" w:ascii="Verdana" w:hAnsi="Verdana" w:eastAsia="Verdana" w:cs="Verdana"/>
        <w:i/>
        <w:spacing w:val="-1"/>
        <w:w w:val="100"/>
        <w:sz w:val="18"/>
        <w:szCs w:val="18"/>
      </w:rPr>
    </w:lvl>
    <w:lvl w:ilvl="3">
      <w:start w:val="0"/>
      <w:numFmt w:val="bullet"/>
      <w:lvlText w:val="•"/>
      <w:lvlJc w:val="left"/>
      <w:pPr>
        <w:ind w:left="2848" w:hanging="545"/>
      </w:pPr>
      <w:rPr>
        <w:rFonts w:hint="default"/>
      </w:rPr>
    </w:lvl>
    <w:lvl w:ilvl="4">
      <w:start w:val="0"/>
      <w:numFmt w:val="bullet"/>
      <w:lvlText w:val="•"/>
      <w:lvlJc w:val="left"/>
      <w:pPr>
        <w:ind w:left="3733" w:hanging="545"/>
      </w:pPr>
      <w:rPr>
        <w:rFonts w:hint="default"/>
      </w:rPr>
    </w:lvl>
    <w:lvl w:ilvl="5">
      <w:start w:val="0"/>
      <w:numFmt w:val="bullet"/>
      <w:lvlText w:val="•"/>
      <w:lvlJc w:val="left"/>
      <w:pPr>
        <w:ind w:left="4617" w:hanging="545"/>
      </w:pPr>
      <w:rPr>
        <w:rFonts w:hint="default"/>
      </w:rPr>
    </w:lvl>
    <w:lvl w:ilvl="6">
      <w:start w:val="0"/>
      <w:numFmt w:val="bullet"/>
      <w:lvlText w:val="•"/>
      <w:lvlJc w:val="left"/>
      <w:pPr>
        <w:ind w:left="5502" w:hanging="545"/>
      </w:pPr>
      <w:rPr>
        <w:rFonts w:hint="default"/>
      </w:rPr>
    </w:lvl>
    <w:lvl w:ilvl="7">
      <w:start w:val="0"/>
      <w:numFmt w:val="bullet"/>
      <w:lvlText w:val="•"/>
      <w:lvlJc w:val="left"/>
      <w:pPr>
        <w:ind w:left="6386" w:hanging="545"/>
      </w:pPr>
      <w:rPr>
        <w:rFonts w:hint="default"/>
      </w:rPr>
    </w:lvl>
    <w:lvl w:ilvl="8">
      <w:start w:val="0"/>
      <w:numFmt w:val="bullet"/>
      <w:lvlText w:val="•"/>
      <w:lvlJc w:val="left"/>
      <w:pPr>
        <w:ind w:left="7271" w:hanging="545"/>
      </w:pPr>
      <w:rPr>
        <w:rFonts w:hint="default"/>
      </w:rPr>
    </w:lvl>
  </w:abstractNum>
  <w:abstractNum w:abstractNumId="10">
    <w:multiLevelType w:val="hybridMultilevel"/>
    <w:lvl w:ilvl="0">
      <w:start w:val="2"/>
      <w:numFmt w:val="upperLetter"/>
      <w:lvlText w:val="%1"/>
      <w:lvlJc w:val="left"/>
      <w:pPr>
        <w:ind w:left="778" w:hanging="456"/>
        <w:jc w:val="left"/>
      </w:pPr>
      <w:rPr>
        <w:rFonts w:hint="default"/>
      </w:rPr>
    </w:lvl>
    <w:lvl w:ilvl="1">
      <w:start w:val="2"/>
      <w:numFmt w:val="decimal"/>
      <w:lvlText w:val="%1.%2."/>
      <w:lvlJc w:val="left"/>
      <w:pPr>
        <w:ind w:left="778" w:hanging="456"/>
        <w:jc w:val="left"/>
      </w:pPr>
      <w:rPr>
        <w:rFonts w:hint="default" w:ascii="Verdana" w:hAnsi="Verdana" w:eastAsia="Verdana" w:cs="Verdana"/>
        <w:b/>
        <w:bCs/>
        <w:i/>
        <w:spacing w:val="-2"/>
        <w:w w:val="100"/>
        <w:sz w:val="18"/>
        <w:szCs w:val="18"/>
      </w:rPr>
    </w:lvl>
    <w:lvl w:ilvl="2">
      <w:start w:val="1"/>
      <w:numFmt w:val="decimal"/>
      <w:lvlText w:val="%1.%2.%3"/>
      <w:lvlJc w:val="left"/>
      <w:pPr>
        <w:ind w:left="1085" w:hanging="545"/>
        <w:jc w:val="left"/>
      </w:pPr>
      <w:rPr>
        <w:rFonts w:hint="default" w:ascii="Verdana" w:hAnsi="Verdana" w:eastAsia="Verdana" w:cs="Verdana"/>
        <w:i/>
        <w:spacing w:val="-1"/>
        <w:w w:val="100"/>
        <w:sz w:val="18"/>
        <w:szCs w:val="18"/>
      </w:rPr>
    </w:lvl>
    <w:lvl w:ilvl="3">
      <w:start w:val="1"/>
      <w:numFmt w:val="decimal"/>
      <w:lvlText w:val="%1.%2.%3.%4"/>
      <w:lvlJc w:val="left"/>
      <w:pPr>
        <w:ind w:left="1486" w:hanging="725"/>
        <w:jc w:val="left"/>
      </w:pPr>
      <w:rPr>
        <w:rFonts w:hint="default" w:ascii="Verdana" w:hAnsi="Verdana" w:eastAsia="Verdana" w:cs="Verdana"/>
        <w:i/>
        <w:spacing w:val="-1"/>
        <w:w w:val="100"/>
        <w:sz w:val="18"/>
        <w:szCs w:val="18"/>
      </w:rPr>
    </w:lvl>
    <w:lvl w:ilvl="4">
      <w:start w:val="0"/>
      <w:numFmt w:val="bullet"/>
      <w:lvlText w:val="•"/>
      <w:lvlJc w:val="left"/>
      <w:pPr>
        <w:ind w:left="3370" w:hanging="725"/>
      </w:pPr>
      <w:rPr>
        <w:rFonts w:hint="default"/>
      </w:rPr>
    </w:lvl>
    <w:lvl w:ilvl="5">
      <w:start w:val="0"/>
      <w:numFmt w:val="bullet"/>
      <w:lvlText w:val="•"/>
      <w:lvlJc w:val="left"/>
      <w:pPr>
        <w:ind w:left="4315" w:hanging="725"/>
      </w:pPr>
      <w:rPr>
        <w:rFonts w:hint="default"/>
      </w:rPr>
    </w:lvl>
    <w:lvl w:ilvl="6">
      <w:start w:val="0"/>
      <w:numFmt w:val="bullet"/>
      <w:lvlText w:val="•"/>
      <w:lvlJc w:val="left"/>
      <w:pPr>
        <w:ind w:left="5260" w:hanging="725"/>
      </w:pPr>
      <w:rPr>
        <w:rFonts w:hint="default"/>
      </w:rPr>
    </w:lvl>
    <w:lvl w:ilvl="7">
      <w:start w:val="0"/>
      <w:numFmt w:val="bullet"/>
      <w:lvlText w:val="•"/>
      <w:lvlJc w:val="left"/>
      <w:pPr>
        <w:ind w:left="6205" w:hanging="725"/>
      </w:pPr>
      <w:rPr>
        <w:rFonts w:hint="default"/>
      </w:rPr>
    </w:lvl>
    <w:lvl w:ilvl="8">
      <w:start w:val="0"/>
      <w:numFmt w:val="bullet"/>
      <w:lvlText w:val="•"/>
      <w:lvlJc w:val="left"/>
      <w:pPr>
        <w:ind w:left="7150" w:hanging="725"/>
      </w:pPr>
      <w:rPr>
        <w:rFonts w:hint="default"/>
      </w:rPr>
    </w:lvl>
  </w:abstractNum>
  <w:abstractNum w:abstractNumId="9">
    <w:multiLevelType w:val="hybridMultilevel"/>
    <w:lvl w:ilvl="0">
      <w:start w:val="2"/>
      <w:numFmt w:val="upperLetter"/>
      <w:lvlText w:val="%1)"/>
      <w:lvlJc w:val="left"/>
      <w:pPr>
        <w:ind w:left="541" w:hanging="298"/>
        <w:jc w:val="left"/>
      </w:pPr>
      <w:rPr>
        <w:rFonts w:hint="default" w:ascii="Verdana" w:hAnsi="Verdana" w:eastAsia="Verdana" w:cs="Verdana"/>
        <w:b/>
        <w:bCs/>
        <w:i/>
        <w:spacing w:val="-1"/>
        <w:w w:val="100"/>
        <w:sz w:val="18"/>
        <w:szCs w:val="18"/>
      </w:rPr>
    </w:lvl>
    <w:lvl w:ilvl="1">
      <w:start w:val="1"/>
      <w:numFmt w:val="decimal"/>
      <w:lvlText w:val="%1.%2"/>
      <w:lvlJc w:val="left"/>
      <w:pPr>
        <w:ind w:left="322" w:hanging="396"/>
        <w:jc w:val="left"/>
      </w:pPr>
      <w:rPr>
        <w:rFonts w:hint="default" w:ascii="Verdana" w:hAnsi="Verdana" w:eastAsia="Verdana" w:cs="Verdana"/>
        <w:b/>
        <w:bCs/>
        <w:i/>
        <w:spacing w:val="-1"/>
        <w:w w:val="100"/>
        <w:sz w:val="18"/>
        <w:szCs w:val="18"/>
      </w:rPr>
    </w:lvl>
    <w:lvl w:ilvl="2">
      <w:start w:val="1"/>
      <w:numFmt w:val="decimal"/>
      <w:lvlText w:val="%1.%2.%3"/>
      <w:lvlJc w:val="left"/>
      <w:pPr>
        <w:ind w:left="541" w:hanging="545"/>
        <w:jc w:val="left"/>
      </w:pPr>
      <w:rPr>
        <w:rFonts w:hint="default" w:ascii="Verdana" w:hAnsi="Verdana" w:eastAsia="Verdana" w:cs="Verdana"/>
        <w:i/>
        <w:spacing w:val="-1"/>
        <w:w w:val="100"/>
        <w:sz w:val="18"/>
        <w:szCs w:val="18"/>
      </w:rPr>
    </w:lvl>
    <w:lvl w:ilvl="3">
      <w:start w:val="1"/>
      <w:numFmt w:val="decimal"/>
      <w:lvlText w:val="%1.%2.%3.%4"/>
      <w:lvlJc w:val="left"/>
      <w:pPr>
        <w:ind w:left="1486" w:hanging="725"/>
        <w:jc w:val="left"/>
      </w:pPr>
      <w:rPr>
        <w:rFonts w:hint="default" w:ascii="Verdana" w:hAnsi="Verdana" w:eastAsia="Verdana" w:cs="Verdana"/>
        <w:i/>
        <w:spacing w:val="-1"/>
        <w:w w:val="100"/>
        <w:sz w:val="18"/>
        <w:szCs w:val="18"/>
      </w:rPr>
    </w:lvl>
    <w:lvl w:ilvl="4">
      <w:start w:val="0"/>
      <w:numFmt w:val="bullet"/>
      <w:lvlText w:val="•"/>
      <w:lvlJc w:val="left"/>
      <w:pPr>
        <w:ind w:left="3370" w:hanging="725"/>
      </w:pPr>
      <w:rPr>
        <w:rFonts w:hint="default"/>
      </w:rPr>
    </w:lvl>
    <w:lvl w:ilvl="5">
      <w:start w:val="0"/>
      <w:numFmt w:val="bullet"/>
      <w:lvlText w:val="•"/>
      <w:lvlJc w:val="left"/>
      <w:pPr>
        <w:ind w:left="4315" w:hanging="725"/>
      </w:pPr>
      <w:rPr>
        <w:rFonts w:hint="default"/>
      </w:rPr>
    </w:lvl>
    <w:lvl w:ilvl="6">
      <w:start w:val="0"/>
      <w:numFmt w:val="bullet"/>
      <w:lvlText w:val="•"/>
      <w:lvlJc w:val="left"/>
      <w:pPr>
        <w:ind w:left="5260" w:hanging="725"/>
      </w:pPr>
      <w:rPr>
        <w:rFonts w:hint="default"/>
      </w:rPr>
    </w:lvl>
    <w:lvl w:ilvl="7">
      <w:start w:val="0"/>
      <w:numFmt w:val="bullet"/>
      <w:lvlText w:val="•"/>
      <w:lvlJc w:val="left"/>
      <w:pPr>
        <w:ind w:left="6205" w:hanging="725"/>
      </w:pPr>
      <w:rPr>
        <w:rFonts w:hint="default"/>
      </w:rPr>
    </w:lvl>
    <w:lvl w:ilvl="8">
      <w:start w:val="0"/>
      <w:numFmt w:val="bullet"/>
      <w:lvlText w:val="•"/>
      <w:lvlJc w:val="left"/>
      <w:pPr>
        <w:ind w:left="7150" w:hanging="725"/>
      </w:pPr>
      <w:rPr>
        <w:rFonts w:hint="default"/>
      </w:rPr>
    </w:lvl>
  </w:abstractNum>
  <w:abstractNum w:abstractNumId="8">
    <w:multiLevelType w:val="hybridMultilevel"/>
    <w:lvl w:ilvl="0">
      <w:start w:val="7"/>
      <w:numFmt w:val="upperRoman"/>
      <w:lvlText w:val="%1"/>
      <w:lvlJc w:val="left"/>
      <w:pPr>
        <w:ind w:left="102" w:hanging="591"/>
        <w:jc w:val="left"/>
      </w:pPr>
      <w:rPr>
        <w:rFonts w:hint="default"/>
      </w:rPr>
    </w:lvl>
    <w:lvl w:ilvl="1">
      <w:start w:val="2"/>
      <w:numFmt w:val="decimal"/>
      <w:lvlText w:val="%1.%2"/>
      <w:lvlJc w:val="left"/>
      <w:pPr>
        <w:ind w:left="102" w:hanging="591"/>
        <w:jc w:val="left"/>
      </w:pPr>
      <w:rPr>
        <w:rFonts w:hint="default" w:ascii="Verdana" w:hAnsi="Verdana" w:eastAsia="Verdana" w:cs="Verdana"/>
        <w:b/>
        <w:bCs/>
        <w:spacing w:val="-1"/>
        <w:w w:val="100"/>
        <w:sz w:val="18"/>
        <w:szCs w:val="18"/>
      </w:rPr>
    </w:lvl>
    <w:lvl w:ilvl="2">
      <w:start w:val="1"/>
      <w:numFmt w:val="upperLetter"/>
      <w:lvlText w:val="%3)"/>
      <w:lvlJc w:val="left"/>
      <w:pPr>
        <w:ind w:left="543" w:hanging="300"/>
        <w:jc w:val="left"/>
      </w:pPr>
      <w:rPr>
        <w:rFonts w:hint="default" w:ascii="Verdana" w:hAnsi="Verdana" w:eastAsia="Verdana" w:cs="Verdana"/>
        <w:b/>
        <w:bCs/>
        <w:i/>
        <w:spacing w:val="-1"/>
        <w:w w:val="100"/>
        <w:sz w:val="18"/>
        <w:szCs w:val="18"/>
      </w:rPr>
    </w:lvl>
    <w:lvl w:ilvl="3">
      <w:start w:val="1"/>
      <w:numFmt w:val="decimal"/>
      <w:lvlText w:val="%3.%4."/>
      <w:lvlJc w:val="left"/>
      <w:pPr>
        <w:ind w:left="778" w:hanging="456"/>
        <w:jc w:val="left"/>
      </w:pPr>
      <w:rPr>
        <w:rFonts w:hint="default" w:ascii="Verdana" w:hAnsi="Verdana" w:eastAsia="Verdana" w:cs="Verdana"/>
        <w:b/>
        <w:bCs/>
        <w:i/>
        <w:spacing w:val="-2"/>
        <w:w w:val="100"/>
        <w:sz w:val="18"/>
        <w:szCs w:val="18"/>
      </w:rPr>
    </w:lvl>
    <w:lvl w:ilvl="4">
      <w:start w:val="0"/>
      <w:numFmt w:val="bullet"/>
      <w:lvlText w:val="•"/>
      <w:lvlJc w:val="left"/>
      <w:pPr>
        <w:ind w:left="2845" w:hanging="456"/>
      </w:pPr>
      <w:rPr>
        <w:rFonts w:hint="default"/>
      </w:rPr>
    </w:lvl>
    <w:lvl w:ilvl="5">
      <w:start w:val="0"/>
      <w:numFmt w:val="bullet"/>
      <w:lvlText w:val="•"/>
      <w:lvlJc w:val="left"/>
      <w:pPr>
        <w:ind w:left="3877" w:hanging="456"/>
      </w:pPr>
      <w:rPr>
        <w:rFonts w:hint="default"/>
      </w:rPr>
    </w:lvl>
    <w:lvl w:ilvl="6">
      <w:start w:val="0"/>
      <w:numFmt w:val="bullet"/>
      <w:lvlText w:val="•"/>
      <w:lvlJc w:val="left"/>
      <w:pPr>
        <w:ind w:left="4910" w:hanging="456"/>
      </w:pPr>
      <w:rPr>
        <w:rFonts w:hint="default"/>
      </w:rPr>
    </w:lvl>
    <w:lvl w:ilvl="7">
      <w:start w:val="0"/>
      <w:numFmt w:val="bullet"/>
      <w:lvlText w:val="•"/>
      <w:lvlJc w:val="left"/>
      <w:pPr>
        <w:ind w:left="5942" w:hanging="456"/>
      </w:pPr>
      <w:rPr>
        <w:rFonts w:hint="default"/>
      </w:rPr>
    </w:lvl>
    <w:lvl w:ilvl="8">
      <w:start w:val="0"/>
      <w:numFmt w:val="bullet"/>
      <w:lvlText w:val="•"/>
      <w:lvlJc w:val="left"/>
      <w:pPr>
        <w:ind w:left="6975" w:hanging="456"/>
      </w:pPr>
      <w:rPr>
        <w:rFonts w:hint="default"/>
      </w:rPr>
    </w:lvl>
  </w:abstractNum>
  <w:abstractNum w:abstractNumId="7">
    <w:multiLevelType w:val="hybridMultilevel"/>
    <w:lvl w:ilvl="0">
      <w:start w:val="2"/>
      <w:numFmt w:val="upperLetter"/>
      <w:lvlText w:val="%1"/>
      <w:lvlJc w:val="left"/>
      <w:pPr>
        <w:ind w:left="1486" w:hanging="725"/>
        <w:jc w:val="left"/>
      </w:pPr>
      <w:rPr>
        <w:rFonts w:hint="default"/>
      </w:rPr>
    </w:lvl>
    <w:lvl w:ilvl="1">
      <w:start w:val="2"/>
      <w:numFmt w:val="decimal"/>
      <w:lvlText w:val="%1.%2"/>
      <w:lvlJc w:val="left"/>
      <w:pPr>
        <w:ind w:left="1486" w:hanging="725"/>
        <w:jc w:val="left"/>
      </w:pPr>
      <w:rPr>
        <w:rFonts w:hint="default"/>
      </w:rPr>
    </w:lvl>
    <w:lvl w:ilvl="2">
      <w:start w:val="3"/>
      <w:numFmt w:val="decimal"/>
      <w:lvlText w:val="%1.%2.%3"/>
      <w:lvlJc w:val="left"/>
      <w:pPr>
        <w:ind w:left="1486" w:hanging="725"/>
        <w:jc w:val="left"/>
      </w:pPr>
      <w:rPr>
        <w:rFonts w:hint="default"/>
      </w:rPr>
    </w:lvl>
    <w:lvl w:ilvl="3">
      <w:start w:val="1"/>
      <w:numFmt w:val="decimal"/>
      <w:lvlText w:val="%1.%2.%3.%4"/>
      <w:lvlJc w:val="left"/>
      <w:pPr>
        <w:ind w:left="1486" w:hanging="725"/>
        <w:jc w:val="left"/>
      </w:pPr>
      <w:rPr>
        <w:rFonts w:hint="default" w:ascii="Verdana" w:hAnsi="Verdana" w:eastAsia="Verdana" w:cs="Verdana"/>
        <w:i/>
        <w:spacing w:val="-1"/>
        <w:w w:val="100"/>
        <w:sz w:val="18"/>
        <w:szCs w:val="18"/>
      </w:rPr>
    </w:lvl>
    <w:lvl w:ilvl="4">
      <w:start w:val="0"/>
      <w:numFmt w:val="bullet"/>
      <w:lvlText w:val="•"/>
      <w:lvlJc w:val="left"/>
      <w:pPr>
        <w:ind w:left="4504" w:hanging="725"/>
      </w:pPr>
      <w:rPr>
        <w:rFonts w:hint="default"/>
      </w:rPr>
    </w:lvl>
    <w:lvl w:ilvl="5">
      <w:start w:val="0"/>
      <w:numFmt w:val="bullet"/>
      <w:lvlText w:val="•"/>
      <w:lvlJc w:val="left"/>
      <w:pPr>
        <w:ind w:left="5260" w:hanging="725"/>
      </w:pPr>
      <w:rPr>
        <w:rFonts w:hint="default"/>
      </w:rPr>
    </w:lvl>
    <w:lvl w:ilvl="6">
      <w:start w:val="0"/>
      <w:numFmt w:val="bullet"/>
      <w:lvlText w:val="•"/>
      <w:lvlJc w:val="left"/>
      <w:pPr>
        <w:ind w:left="6016" w:hanging="725"/>
      </w:pPr>
      <w:rPr>
        <w:rFonts w:hint="default"/>
      </w:rPr>
    </w:lvl>
    <w:lvl w:ilvl="7">
      <w:start w:val="0"/>
      <w:numFmt w:val="bullet"/>
      <w:lvlText w:val="•"/>
      <w:lvlJc w:val="left"/>
      <w:pPr>
        <w:ind w:left="6772" w:hanging="725"/>
      </w:pPr>
      <w:rPr>
        <w:rFonts w:hint="default"/>
      </w:rPr>
    </w:lvl>
    <w:lvl w:ilvl="8">
      <w:start w:val="0"/>
      <w:numFmt w:val="bullet"/>
      <w:lvlText w:val="•"/>
      <w:lvlJc w:val="left"/>
      <w:pPr>
        <w:ind w:left="7528" w:hanging="725"/>
      </w:pPr>
      <w:rPr>
        <w:rFonts w:hint="default"/>
      </w:rPr>
    </w:lvl>
  </w:abstractNum>
  <w:abstractNum w:abstractNumId="6">
    <w:multiLevelType w:val="hybridMultilevel"/>
    <w:lvl w:ilvl="0">
      <w:start w:val="2"/>
      <w:numFmt w:val="upperLetter"/>
      <w:lvlText w:val="%1"/>
      <w:lvlJc w:val="left"/>
      <w:pPr>
        <w:ind w:left="1486" w:hanging="725"/>
        <w:jc w:val="left"/>
      </w:pPr>
      <w:rPr>
        <w:rFonts w:hint="default"/>
      </w:rPr>
    </w:lvl>
    <w:lvl w:ilvl="1">
      <w:start w:val="2"/>
      <w:numFmt w:val="decimal"/>
      <w:lvlText w:val="%1.%2"/>
      <w:lvlJc w:val="left"/>
      <w:pPr>
        <w:ind w:left="1486" w:hanging="725"/>
        <w:jc w:val="left"/>
      </w:pPr>
      <w:rPr>
        <w:rFonts w:hint="default"/>
      </w:rPr>
    </w:lvl>
    <w:lvl w:ilvl="2">
      <w:start w:val="2"/>
      <w:numFmt w:val="decimal"/>
      <w:lvlText w:val="%1.%2.%3"/>
      <w:lvlJc w:val="left"/>
      <w:pPr>
        <w:ind w:left="1486" w:hanging="725"/>
        <w:jc w:val="right"/>
      </w:pPr>
      <w:rPr>
        <w:rFonts w:hint="default"/>
      </w:rPr>
    </w:lvl>
    <w:lvl w:ilvl="3">
      <w:start w:val="4"/>
      <w:numFmt w:val="decimal"/>
      <w:lvlText w:val="%1.%2.%3.%4"/>
      <w:lvlJc w:val="left"/>
      <w:pPr>
        <w:ind w:left="1486" w:hanging="725"/>
        <w:jc w:val="left"/>
      </w:pPr>
      <w:rPr>
        <w:rFonts w:hint="default" w:ascii="Verdana" w:hAnsi="Verdana" w:eastAsia="Verdana" w:cs="Verdana"/>
        <w:i/>
        <w:spacing w:val="-1"/>
        <w:w w:val="100"/>
        <w:sz w:val="18"/>
        <w:szCs w:val="18"/>
      </w:rPr>
    </w:lvl>
    <w:lvl w:ilvl="4">
      <w:start w:val="1"/>
      <w:numFmt w:val="decimal"/>
      <w:lvlText w:val="%1.%2.%3.%4.%5"/>
      <w:lvlJc w:val="left"/>
      <w:pPr>
        <w:ind w:left="1886" w:hanging="905"/>
        <w:jc w:val="left"/>
      </w:pPr>
      <w:rPr>
        <w:rFonts w:hint="default" w:ascii="Verdana" w:hAnsi="Verdana" w:eastAsia="Verdana" w:cs="Verdana"/>
        <w:spacing w:val="-1"/>
        <w:w w:val="100"/>
        <w:sz w:val="18"/>
        <w:szCs w:val="18"/>
      </w:rPr>
    </w:lvl>
    <w:lvl w:ilvl="5">
      <w:start w:val="0"/>
      <w:numFmt w:val="bullet"/>
      <w:lvlText w:val="•"/>
      <w:lvlJc w:val="left"/>
      <w:pPr>
        <w:ind w:left="5062" w:hanging="905"/>
      </w:pPr>
      <w:rPr>
        <w:rFonts w:hint="default"/>
      </w:rPr>
    </w:lvl>
    <w:lvl w:ilvl="6">
      <w:start w:val="0"/>
      <w:numFmt w:val="bullet"/>
      <w:lvlText w:val="•"/>
      <w:lvlJc w:val="left"/>
      <w:pPr>
        <w:ind w:left="5857" w:hanging="905"/>
      </w:pPr>
      <w:rPr>
        <w:rFonts w:hint="default"/>
      </w:rPr>
    </w:lvl>
    <w:lvl w:ilvl="7">
      <w:start w:val="0"/>
      <w:numFmt w:val="bullet"/>
      <w:lvlText w:val="•"/>
      <w:lvlJc w:val="left"/>
      <w:pPr>
        <w:ind w:left="6653" w:hanging="905"/>
      </w:pPr>
      <w:rPr>
        <w:rFonts w:hint="default"/>
      </w:rPr>
    </w:lvl>
    <w:lvl w:ilvl="8">
      <w:start w:val="0"/>
      <w:numFmt w:val="bullet"/>
      <w:lvlText w:val="•"/>
      <w:lvlJc w:val="left"/>
      <w:pPr>
        <w:ind w:left="7448" w:hanging="905"/>
      </w:pPr>
      <w:rPr>
        <w:rFonts w:hint="default"/>
      </w:rPr>
    </w:lvl>
  </w:abstractNum>
  <w:abstractNum w:abstractNumId="5">
    <w:multiLevelType w:val="hybridMultilevel"/>
    <w:lvl w:ilvl="0">
      <w:start w:val="7"/>
      <w:numFmt w:val="upperRoman"/>
      <w:lvlText w:val="%1"/>
      <w:lvlJc w:val="left"/>
      <w:pPr>
        <w:ind w:left="690" w:hanging="588"/>
        <w:jc w:val="left"/>
      </w:pPr>
      <w:rPr>
        <w:rFonts w:hint="default"/>
      </w:rPr>
    </w:lvl>
    <w:lvl w:ilvl="1">
      <w:start w:val="1"/>
      <w:numFmt w:val="decimal"/>
      <w:lvlText w:val="%1.%2"/>
      <w:lvlJc w:val="left"/>
      <w:pPr>
        <w:ind w:left="690" w:hanging="588"/>
        <w:jc w:val="left"/>
      </w:pPr>
      <w:rPr>
        <w:rFonts w:hint="default" w:ascii="Verdana" w:hAnsi="Verdana" w:eastAsia="Verdana" w:cs="Verdana"/>
        <w:b/>
        <w:bCs/>
        <w:spacing w:val="-1"/>
        <w:w w:val="100"/>
        <w:sz w:val="18"/>
        <w:szCs w:val="18"/>
      </w:rPr>
    </w:lvl>
    <w:lvl w:ilvl="2">
      <w:start w:val="1"/>
      <w:numFmt w:val="upperLetter"/>
      <w:lvlText w:val="%3)"/>
      <w:lvlJc w:val="left"/>
      <w:pPr>
        <w:ind w:left="243" w:hanging="300"/>
        <w:jc w:val="left"/>
      </w:pPr>
      <w:rPr>
        <w:rFonts w:hint="default" w:ascii="Verdana" w:hAnsi="Verdana" w:eastAsia="Verdana" w:cs="Verdana"/>
        <w:b/>
        <w:bCs/>
        <w:i/>
        <w:spacing w:val="-1"/>
        <w:w w:val="100"/>
        <w:sz w:val="18"/>
        <w:szCs w:val="18"/>
      </w:rPr>
    </w:lvl>
    <w:lvl w:ilvl="3">
      <w:start w:val="1"/>
      <w:numFmt w:val="decimal"/>
      <w:lvlText w:val="%3.%4"/>
      <w:lvlJc w:val="left"/>
      <w:pPr>
        <w:ind w:left="714" w:hanging="392"/>
        <w:jc w:val="left"/>
      </w:pPr>
      <w:rPr>
        <w:rFonts w:hint="default" w:ascii="Verdana" w:hAnsi="Verdana" w:eastAsia="Verdana" w:cs="Verdana"/>
        <w:b/>
        <w:bCs/>
        <w:i/>
        <w:spacing w:val="-3"/>
        <w:w w:val="100"/>
        <w:sz w:val="18"/>
        <w:szCs w:val="18"/>
      </w:rPr>
    </w:lvl>
    <w:lvl w:ilvl="4">
      <w:start w:val="1"/>
      <w:numFmt w:val="decimal"/>
      <w:lvlText w:val="%3.%4.%5"/>
      <w:lvlJc w:val="left"/>
      <w:pPr>
        <w:ind w:left="1085" w:hanging="545"/>
        <w:jc w:val="left"/>
      </w:pPr>
      <w:rPr>
        <w:rFonts w:hint="default" w:ascii="Verdana" w:hAnsi="Verdana" w:eastAsia="Verdana" w:cs="Verdana"/>
        <w:i/>
        <w:spacing w:val="-1"/>
        <w:w w:val="100"/>
        <w:sz w:val="18"/>
        <w:szCs w:val="18"/>
      </w:rPr>
    </w:lvl>
    <w:lvl w:ilvl="5">
      <w:start w:val="0"/>
      <w:numFmt w:val="bullet"/>
      <w:lvlText w:val="•"/>
      <w:lvlJc w:val="left"/>
      <w:pPr>
        <w:ind w:left="2740" w:hanging="545"/>
      </w:pPr>
      <w:rPr>
        <w:rFonts w:hint="default"/>
      </w:rPr>
    </w:lvl>
    <w:lvl w:ilvl="6">
      <w:start w:val="0"/>
      <w:numFmt w:val="bullet"/>
      <w:lvlText w:val="•"/>
      <w:lvlJc w:val="left"/>
      <w:pPr>
        <w:ind w:left="4000" w:hanging="545"/>
      </w:pPr>
      <w:rPr>
        <w:rFonts w:hint="default"/>
      </w:rPr>
    </w:lvl>
    <w:lvl w:ilvl="7">
      <w:start w:val="0"/>
      <w:numFmt w:val="bullet"/>
      <w:lvlText w:val="•"/>
      <w:lvlJc w:val="left"/>
      <w:pPr>
        <w:ind w:left="5260" w:hanging="545"/>
      </w:pPr>
      <w:rPr>
        <w:rFonts w:hint="default"/>
      </w:rPr>
    </w:lvl>
    <w:lvl w:ilvl="8">
      <w:start w:val="0"/>
      <w:numFmt w:val="bullet"/>
      <w:lvlText w:val="•"/>
      <w:lvlJc w:val="left"/>
      <w:pPr>
        <w:ind w:left="6520" w:hanging="545"/>
      </w:pPr>
      <w:rPr>
        <w:rFonts w:hint="default"/>
      </w:rPr>
    </w:lvl>
  </w:abstractNum>
  <w:abstractNum w:abstractNumId="4">
    <w:multiLevelType w:val="hybridMultilevel"/>
    <w:lvl w:ilvl="0">
      <w:start w:val="3"/>
      <w:numFmt w:val="upperLetter"/>
      <w:lvlText w:val="%1"/>
      <w:lvlJc w:val="left"/>
      <w:pPr>
        <w:ind w:left="771" w:hanging="449"/>
        <w:jc w:val="left"/>
      </w:pPr>
      <w:rPr>
        <w:rFonts w:hint="default"/>
      </w:rPr>
    </w:lvl>
    <w:lvl w:ilvl="1">
      <w:start w:val="4"/>
      <w:numFmt w:val="decimal"/>
      <w:lvlText w:val="%1.%2."/>
      <w:lvlJc w:val="left"/>
      <w:pPr>
        <w:ind w:left="771" w:hanging="449"/>
        <w:jc w:val="left"/>
      </w:pPr>
      <w:rPr>
        <w:rFonts w:hint="default" w:ascii="Verdana" w:hAnsi="Verdana" w:eastAsia="Verdana" w:cs="Verdana"/>
        <w:b/>
        <w:bCs/>
        <w:i/>
        <w:spacing w:val="-2"/>
        <w:w w:val="100"/>
        <w:sz w:val="18"/>
        <w:szCs w:val="18"/>
      </w:rPr>
    </w:lvl>
    <w:lvl w:ilvl="2">
      <w:start w:val="1"/>
      <w:numFmt w:val="decimal"/>
      <w:lvlText w:val="%1.%2.%3"/>
      <w:lvlJc w:val="left"/>
      <w:pPr>
        <w:ind w:left="1088" w:hanging="547"/>
        <w:jc w:val="left"/>
      </w:pPr>
      <w:rPr>
        <w:rFonts w:hint="default" w:ascii="Verdana" w:hAnsi="Verdana" w:eastAsia="Verdana" w:cs="Verdana"/>
        <w:i/>
        <w:spacing w:val="-1"/>
        <w:w w:val="100"/>
        <w:sz w:val="18"/>
        <w:szCs w:val="18"/>
      </w:rPr>
    </w:lvl>
    <w:lvl w:ilvl="3">
      <w:start w:val="0"/>
      <w:numFmt w:val="bullet"/>
      <w:lvlText w:val="•"/>
      <w:lvlJc w:val="left"/>
      <w:pPr>
        <w:ind w:left="2848" w:hanging="547"/>
      </w:pPr>
      <w:rPr>
        <w:rFonts w:hint="default"/>
      </w:rPr>
    </w:lvl>
    <w:lvl w:ilvl="4">
      <w:start w:val="0"/>
      <w:numFmt w:val="bullet"/>
      <w:lvlText w:val="•"/>
      <w:lvlJc w:val="left"/>
      <w:pPr>
        <w:ind w:left="3733" w:hanging="547"/>
      </w:pPr>
      <w:rPr>
        <w:rFonts w:hint="default"/>
      </w:rPr>
    </w:lvl>
    <w:lvl w:ilvl="5">
      <w:start w:val="0"/>
      <w:numFmt w:val="bullet"/>
      <w:lvlText w:val="•"/>
      <w:lvlJc w:val="left"/>
      <w:pPr>
        <w:ind w:left="4617" w:hanging="547"/>
      </w:pPr>
      <w:rPr>
        <w:rFonts w:hint="default"/>
      </w:rPr>
    </w:lvl>
    <w:lvl w:ilvl="6">
      <w:start w:val="0"/>
      <w:numFmt w:val="bullet"/>
      <w:lvlText w:val="•"/>
      <w:lvlJc w:val="left"/>
      <w:pPr>
        <w:ind w:left="5502" w:hanging="547"/>
      </w:pPr>
      <w:rPr>
        <w:rFonts w:hint="default"/>
      </w:rPr>
    </w:lvl>
    <w:lvl w:ilvl="7">
      <w:start w:val="0"/>
      <w:numFmt w:val="bullet"/>
      <w:lvlText w:val="•"/>
      <w:lvlJc w:val="left"/>
      <w:pPr>
        <w:ind w:left="6386" w:hanging="547"/>
      </w:pPr>
      <w:rPr>
        <w:rFonts w:hint="default"/>
      </w:rPr>
    </w:lvl>
    <w:lvl w:ilvl="8">
      <w:start w:val="0"/>
      <w:numFmt w:val="bullet"/>
      <w:lvlText w:val="•"/>
      <w:lvlJc w:val="left"/>
      <w:pPr>
        <w:ind w:left="7271" w:hanging="547"/>
      </w:pPr>
      <w:rPr>
        <w:rFonts w:hint="default"/>
      </w:rPr>
    </w:lvl>
  </w:abstractNum>
  <w:abstractNum w:abstractNumId="3">
    <w:multiLevelType w:val="hybridMultilevel"/>
    <w:lvl w:ilvl="0">
      <w:start w:val="1"/>
      <w:numFmt w:val="upperLetter"/>
      <w:lvlText w:val="%1)"/>
      <w:lvlJc w:val="left"/>
      <w:pPr>
        <w:ind w:left="543" w:hanging="300"/>
        <w:jc w:val="left"/>
      </w:pPr>
      <w:rPr>
        <w:rFonts w:hint="default" w:ascii="Verdana" w:hAnsi="Verdana" w:eastAsia="Verdana" w:cs="Verdana"/>
        <w:b/>
        <w:bCs/>
        <w:i/>
        <w:spacing w:val="-1"/>
        <w:w w:val="100"/>
        <w:sz w:val="18"/>
        <w:szCs w:val="18"/>
      </w:rPr>
    </w:lvl>
    <w:lvl w:ilvl="1">
      <w:start w:val="1"/>
      <w:numFmt w:val="decimal"/>
      <w:lvlText w:val="%1.%2"/>
      <w:lvlJc w:val="left"/>
      <w:pPr>
        <w:ind w:left="322" w:hanging="384"/>
        <w:jc w:val="left"/>
      </w:pPr>
      <w:rPr>
        <w:rFonts w:hint="default" w:ascii="Verdana" w:hAnsi="Verdana" w:eastAsia="Verdana" w:cs="Verdana"/>
        <w:b/>
        <w:bCs/>
        <w:i/>
        <w:spacing w:val="-1"/>
        <w:w w:val="100"/>
        <w:sz w:val="18"/>
        <w:szCs w:val="18"/>
      </w:rPr>
    </w:lvl>
    <w:lvl w:ilvl="2">
      <w:start w:val="0"/>
      <w:numFmt w:val="bullet"/>
      <w:lvlText w:val="•"/>
      <w:lvlJc w:val="left"/>
      <w:pPr>
        <w:ind w:left="1484" w:hanging="384"/>
      </w:pPr>
      <w:rPr>
        <w:rFonts w:hint="default"/>
      </w:rPr>
    </w:lvl>
    <w:lvl w:ilvl="3">
      <w:start w:val="0"/>
      <w:numFmt w:val="bullet"/>
      <w:lvlText w:val="•"/>
      <w:lvlJc w:val="left"/>
      <w:pPr>
        <w:ind w:left="2428" w:hanging="384"/>
      </w:pPr>
      <w:rPr>
        <w:rFonts w:hint="default"/>
      </w:rPr>
    </w:lvl>
    <w:lvl w:ilvl="4">
      <w:start w:val="0"/>
      <w:numFmt w:val="bullet"/>
      <w:lvlText w:val="•"/>
      <w:lvlJc w:val="left"/>
      <w:pPr>
        <w:ind w:left="3373" w:hanging="384"/>
      </w:pPr>
      <w:rPr>
        <w:rFonts w:hint="default"/>
      </w:rPr>
    </w:lvl>
    <w:lvl w:ilvl="5">
      <w:start w:val="0"/>
      <w:numFmt w:val="bullet"/>
      <w:lvlText w:val="•"/>
      <w:lvlJc w:val="left"/>
      <w:pPr>
        <w:ind w:left="4317" w:hanging="384"/>
      </w:pPr>
      <w:rPr>
        <w:rFonts w:hint="default"/>
      </w:rPr>
    </w:lvl>
    <w:lvl w:ilvl="6">
      <w:start w:val="0"/>
      <w:numFmt w:val="bullet"/>
      <w:lvlText w:val="•"/>
      <w:lvlJc w:val="left"/>
      <w:pPr>
        <w:ind w:left="5262" w:hanging="384"/>
      </w:pPr>
      <w:rPr>
        <w:rFonts w:hint="default"/>
      </w:rPr>
    </w:lvl>
    <w:lvl w:ilvl="7">
      <w:start w:val="0"/>
      <w:numFmt w:val="bullet"/>
      <w:lvlText w:val="•"/>
      <w:lvlJc w:val="left"/>
      <w:pPr>
        <w:ind w:left="6206" w:hanging="384"/>
      </w:pPr>
      <w:rPr>
        <w:rFonts w:hint="default"/>
      </w:rPr>
    </w:lvl>
    <w:lvl w:ilvl="8">
      <w:start w:val="0"/>
      <w:numFmt w:val="bullet"/>
      <w:lvlText w:val="•"/>
      <w:lvlJc w:val="left"/>
      <w:pPr>
        <w:ind w:left="7151" w:hanging="384"/>
      </w:pPr>
      <w:rPr>
        <w:rFonts w:hint="default"/>
      </w:rPr>
    </w:lvl>
  </w:abstractNum>
  <w:abstractNum w:abstractNumId="2">
    <w:multiLevelType w:val="hybridMultilevel"/>
    <w:lvl w:ilvl="0">
      <w:start w:val="1"/>
      <w:numFmt w:val="upperLetter"/>
      <w:lvlText w:val="%1)"/>
      <w:lvlJc w:val="left"/>
      <w:pPr>
        <w:ind w:left="543" w:hanging="300"/>
        <w:jc w:val="left"/>
      </w:pPr>
      <w:rPr>
        <w:rFonts w:hint="default" w:ascii="Verdana" w:hAnsi="Verdana" w:eastAsia="Verdana" w:cs="Verdana"/>
        <w:b/>
        <w:bCs/>
        <w:i/>
        <w:spacing w:val="-3"/>
        <w:w w:val="100"/>
        <w:sz w:val="18"/>
        <w:szCs w:val="18"/>
      </w:rPr>
    </w:lvl>
    <w:lvl w:ilvl="1">
      <w:start w:val="1"/>
      <w:numFmt w:val="decimal"/>
      <w:lvlText w:val="%1.%2"/>
      <w:lvlJc w:val="left"/>
      <w:pPr>
        <w:ind w:left="716" w:hanging="394"/>
        <w:jc w:val="left"/>
      </w:pPr>
      <w:rPr>
        <w:rFonts w:hint="default" w:ascii="Verdana" w:hAnsi="Verdana" w:eastAsia="Verdana" w:cs="Verdana"/>
        <w:b/>
        <w:bCs/>
        <w:i/>
        <w:spacing w:val="-2"/>
        <w:w w:val="100"/>
        <w:sz w:val="18"/>
        <w:szCs w:val="18"/>
      </w:rPr>
    </w:lvl>
    <w:lvl w:ilvl="2">
      <w:start w:val="0"/>
      <w:numFmt w:val="bullet"/>
      <w:lvlText w:val="•"/>
      <w:lvlJc w:val="left"/>
      <w:pPr>
        <w:ind w:left="1644" w:hanging="394"/>
      </w:pPr>
      <w:rPr>
        <w:rFonts w:hint="default"/>
      </w:rPr>
    </w:lvl>
    <w:lvl w:ilvl="3">
      <w:start w:val="0"/>
      <w:numFmt w:val="bullet"/>
      <w:lvlText w:val="•"/>
      <w:lvlJc w:val="left"/>
      <w:pPr>
        <w:ind w:left="2568" w:hanging="394"/>
      </w:pPr>
      <w:rPr>
        <w:rFonts w:hint="default"/>
      </w:rPr>
    </w:lvl>
    <w:lvl w:ilvl="4">
      <w:start w:val="0"/>
      <w:numFmt w:val="bullet"/>
      <w:lvlText w:val="•"/>
      <w:lvlJc w:val="left"/>
      <w:pPr>
        <w:ind w:left="3493" w:hanging="394"/>
      </w:pPr>
      <w:rPr>
        <w:rFonts w:hint="default"/>
      </w:rPr>
    </w:lvl>
    <w:lvl w:ilvl="5">
      <w:start w:val="0"/>
      <w:numFmt w:val="bullet"/>
      <w:lvlText w:val="•"/>
      <w:lvlJc w:val="left"/>
      <w:pPr>
        <w:ind w:left="4417" w:hanging="394"/>
      </w:pPr>
      <w:rPr>
        <w:rFonts w:hint="default"/>
      </w:rPr>
    </w:lvl>
    <w:lvl w:ilvl="6">
      <w:start w:val="0"/>
      <w:numFmt w:val="bullet"/>
      <w:lvlText w:val="•"/>
      <w:lvlJc w:val="left"/>
      <w:pPr>
        <w:ind w:left="5342" w:hanging="394"/>
      </w:pPr>
      <w:rPr>
        <w:rFonts w:hint="default"/>
      </w:rPr>
    </w:lvl>
    <w:lvl w:ilvl="7">
      <w:start w:val="0"/>
      <w:numFmt w:val="bullet"/>
      <w:lvlText w:val="•"/>
      <w:lvlJc w:val="left"/>
      <w:pPr>
        <w:ind w:left="6266" w:hanging="394"/>
      </w:pPr>
      <w:rPr>
        <w:rFonts w:hint="default"/>
      </w:rPr>
    </w:lvl>
    <w:lvl w:ilvl="8">
      <w:start w:val="0"/>
      <w:numFmt w:val="bullet"/>
      <w:lvlText w:val="•"/>
      <w:lvlJc w:val="left"/>
      <w:pPr>
        <w:ind w:left="7191" w:hanging="394"/>
      </w:pPr>
      <w:rPr>
        <w:rFonts w:hint="default"/>
      </w:rPr>
    </w:lvl>
  </w:abstractNum>
  <w:abstractNum w:abstractNumId="1">
    <w:multiLevelType w:val="hybridMultilevel"/>
    <w:lvl w:ilvl="0">
      <w:start w:val="1"/>
      <w:numFmt w:val="upperRoman"/>
      <w:lvlText w:val="%1."/>
      <w:lvlJc w:val="left"/>
      <w:pPr>
        <w:ind w:left="322" w:hanging="221"/>
        <w:jc w:val="left"/>
      </w:pPr>
      <w:rPr>
        <w:rFonts w:hint="default" w:ascii="Verdana" w:hAnsi="Verdana" w:eastAsia="Verdana" w:cs="Verdana"/>
        <w:b/>
        <w:bCs/>
        <w:w w:val="100"/>
        <w:sz w:val="18"/>
        <w:szCs w:val="18"/>
      </w:rPr>
    </w:lvl>
    <w:lvl w:ilvl="1">
      <w:start w:val="1"/>
      <w:numFmt w:val="upperLetter"/>
      <w:lvlText w:val="%2)"/>
      <w:lvlJc w:val="left"/>
      <w:pPr>
        <w:ind w:left="543" w:hanging="300"/>
        <w:jc w:val="left"/>
      </w:pPr>
      <w:rPr>
        <w:rFonts w:hint="default" w:ascii="Verdana" w:hAnsi="Verdana" w:eastAsia="Verdana" w:cs="Verdana"/>
        <w:b/>
        <w:bCs/>
        <w:i/>
        <w:spacing w:val="-1"/>
        <w:w w:val="100"/>
        <w:sz w:val="18"/>
        <w:szCs w:val="18"/>
      </w:rPr>
    </w:lvl>
    <w:lvl w:ilvl="2">
      <w:start w:val="1"/>
      <w:numFmt w:val="decimal"/>
      <w:lvlText w:val="%2.%3"/>
      <w:lvlJc w:val="left"/>
      <w:pPr>
        <w:ind w:left="322" w:hanging="392"/>
        <w:jc w:val="left"/>
      </w:pPr>
      <w:rPr>
        <w:rFonts w:hint="default" w:ascii="Verdana" w:hAnsi="Verdana" w:eastAsia="Verdana" w:cs="Verdana"/>
        <w:b/>
        <w:bCs/>
        <w:i/>
        <w:spacing w:val="-2"/>
        <w:w w:val="100"/>
        <w:sz w:val="18"/>
        <w:szCs w:val="18"/>
      </w:rPr>
    </w:lvl>
    <w:lvl w:ilvl="3">
      <w:start w:val="1"/>
      <w:numFmt w:val="decimal"/>
      <w:lvlText w:val="%2.%3.%4"/>
      <w:lvlJc w:val="left"/>
      <w:pPr>
        <w:ind w:left="1085" w:hanging="545"/>
        <w:jc w:val="left"/>
      </w:pPr>
      <w:rPr>
        <w:rFonts w:hint="default" w:ascii="Verdana" w:hAnsi="Verdana" w:eastAsia="Verdana" w:cs="Verdana"/>
        <w:i/>
        <w:spacing w:val="-1"/>
        <w:w w:val="100"/>
        <w:sz w:val="18"/>
        <w:szCs w:val="18"/>
      </w:rPr>
    </w:lvl>
    <w:lvl w:ilvl="4">
      <w:start w:val="0"/>
      <w:numFmt w:val="bullet"/>
      <w:lvlText w:val="•"/>
      <w:lvlJc w:val="left"/>
      <w:pPr>
        <w:ind w:left="3070" w:hanging="545"/>
      </w:pPr>
      <w:rPr>
        <w:rFonts w:hint="default"/>
      </w:rPr>
    </w:lvl>
    <w:lvl w:ilvl="5">
      <w:start w:val="0"/>
      <w:numFmt w:val="bullet"/>
      <w:lvlText w:val="•"/>
      <w:lvlJc w:val="left"/>
      <w:pPr>
        <w:ind w:left="4065" w:hanging="545"/>
      </w:pPr>
      <w:rPr>
        <w:rFonts w:hint="default"/>
      </w:rPr>
    </w:lvl>
    <w:lvl w:ilvl="6">
      <w:start w:val="0"/>
      <w:numFmt w:val="bullet"/>
      <w:lvlText w:val="•"/>
      <w:lvlJc w:val="left"/>
      <w:pPr>
        <w:ind w:left="5060" w:hanging="545"/>
      </w:pPr>
      <w:rPr>
        <w:rFonts w:hint="default"/>
      </w:rPr>
    </w:lvl>
    <w:lvl w:ilvl="7">
      <w:start w:val="0"/>
      <w:numFmt w:val="bullet"/>
      <w:lvlText w:val="•"/>
      <w:lvlJc w:val="left"/>
      <w:pPr>
        <w:ind w:left="6055" w:hanging="545"/>
      </w:pPr>
      <w:rPr>
        <w:rFonts w:hint="default"/>
      </w:rPr>
    </w:lvl>
    <w:lvl w:ilvl="8">
      <w:start w:val="0"/>
      <w:numFmt w:val="bullet"/>
      <w:lvlText w:val="•"/>
      <w:lvlJc w:val="left"/>
      <w:pPr>
        <w:ind w:left="7050" w:hanging="545"/>
      </w:pPr>
      <w:rPr>
        <w:rFonts w:hint="default"/>
      </w:rPr>
    </w:lvl>
  </w:abstractNum>
  <w:abstractNum w:abstractNumId="0">
    <w:multiLevelType w:val="hybridMultilevel"/>
    <w:lvl w:ilvl="0">
      <w:start w:val="0"/>
      <w:numFmt w:val="bullet"/>
      <w:lvlText w:val="*"/>
      <w:lvlJc w:val="left"/>
      <w:pPr>
        <w:ind w:left="122" w:hanging="708"/>
      </w:pPr>
      <w:rPr>
        <w:rFonts w:hint="default" w:ascii="Verdana" w:hAnsi="Verdana" w:eastAsia="Verdana" w:cs="Verdana"/>
        <w:w w:val="100"/>
        <w:position w:val="6"/>
        <w:sz w:val="10"/>
        <w:szCs w:val="10"/>
      </w:rPr>
    </w:lvl>
    <w:lvl w:ilvl="1">
      <w:start w:val="0"/>
      <w:numFmt w:val="bullet"/>
      <w:lvlText w:val="•"/>
      <w:lvlJc w:val="left"/>
      <w:pPr>
        <w:ind w:left="1028" w:hanging="708"/>
      </w:pPr>
      <w:rPr>
        <w:rFonts w:hint="default"/>
      </w:rPr>
    </w:lvl>
    <w:lvl w:ilvl="2">
      <w:start w:val="0"/>
      <w:numFmt w:val="bullet"/>
      <w:lvlText w:val="•"/>
      <w:lvlJc w:val="left"/>
      <w:pPr>
        <w:ind w:left="1936" w:hanging="708"/>
      </w:pPr>
      <w:rPr>
        <w:rFonts w:hint="default"/>
      </w:rPr>
    </w:lvl>
    <w:lvl w:ilvl="3">
      <w:start w:val="0"/>
      <w:numFmt w:val="bullet"/>
      <w:lvlText w:val="•"/>
      <w:lvlJc w:val="left"/>
      <w:pPr>
        <w:ind w:left="2844" w:hanging="708"/>
      </w:pPr>
      <w:rPr>
        <w:rFonts w:hint="default"/>
      </w:rPr>
    </w:lvl>
    <w:lvl w:ilvl="4">
      <w:start w:val="0"/>
      <w:numFmt w:val="bullet"/>
      <w:lvlText w:val="•"/>
      <w:lvlJc w:val="left"/>
      <w:pPr>
        <w:ind w:left="3752" w:hanging="708"/>
      </w:pPr>
      <w:rPr>
        <w:rFonts w:hint="default"/>
      </w:rPr>
    </w:lvl>
    <w:lvl w:ilvl="5">
      <w:start w:val="0"/>
      <w:numFmt w:val="bullet"/>
      <w:lvlText w:val="•"/>
      <w:lvlJc w:val="left"/>
      <w:pPr>
        <w:ind w:left="4660" w:hanging="708"/>
      </w:pPr>
      <w:rPr>
        <w:rFonts w:hint="default"/>
      </w:rPr>
    </w:lvl>
    <w:lvl w:ilvl="6">
      <w:start w:val="0"/>
      <w:numFmt w:val="bullet"/>
      <w:lvlText w:val="•"/>
      <w:lvlJc w:val="left"/>
      <w:pPr>
        <w:ind w:left="5568" w:hanging="708"/>
      </w:pPr>
      <w:rPr>
        <w:rFonts w:hint="default"/>
      </w:rPr>
    </w:lvl>
    <w:lvl w:ilvl="7">
      <w:start w:val="0"/>
      <w:numFmt w:val="bullet"/>
      <w:lvlText w:val="•"/>
      <w:lvlJc w:val="left"/>
      <w:pPr>
        <w:ind w:left="6476" w:hanging="708"/>
      </w:pPr>
      <w:rPr>
        <w:rFonts w:hint="default"/>
      </w:rPr>
    </w:lvl>
    <w:lvl w:ilvl="8">
      <w:start w:val="0"/>
      <w:numFmt w:val="bullet"/>
      <w:lvlText w:val="•"/>
      <w:lvlJc w:val="left"/>
      <w:pPr>
        <w:ind w:left="7384" w:hanging="708"/>
      </w:pPr>
      <w:rPr>
        <w:rFonts w:hint="default"/>
      </w:rPr>
    </w:lvl>
  </w:abstractNum>
  <w:num w:numId="76">
    <w:abstractNumId w:val="75"/>
  </w:num>
  <w:num w:numId="45">
    <w:abstractNumId w:val="44"/>
  </w:num>
  <w:num w:numId="80">
    <w:abstractNumId w:val="79"/>
  </w:num>
  <w:num w:numId="79">
    <w:abstractNumId w:val="78"/>
  </w:num>
  <w:num w:numId="78">
    <w:abstractNumId w:val="77"/>
  </w:num>
  <w:num w:numId="77">
    <w:abstractNumId w:val="76"/>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TOC1" w:type="paragraph">
    <w:name w:val="TOC 1"/>
    <w:basedOn w:val="Normal"/>
    <w:uiPriority w:val="1"/>
    <w:qFormat/>
    <w:pPr>
      <w:spacing w:before="33"/>
      <w:ind w:right="7"/>
      <w:jc w:val="center"/>
    </w:pPr>
    <w:rPr>
      <w:rFonts w:ascii="Verdana" w:hAnsi="Verdana" w:eastAsia="Verdana" w:cs="Verdana"/>
      <w:b/>
      <w:bCs/>
      <w:sz w:val="18"/>
      <w:szCs w:val="18"/>
    </w:rPr>
  </w:style>
  <w:style w:styleId="TOC2" w:type="paragraph">
    <w:name w:val="TOC 2"/>
    <w:basedOn w:val="Normal"/>
    <w:uiPriority w:val="1"/>
    <w:qFormat/>
    <w:pPr>
      <w:spacing w:before="285"/>
      <w:ind w:left="464" w:right="7" w:hanging="362"/>
    </w:pPr>
    <w:rPr>
      <w:rFonts w:ascii="Verdana" w:hAnsi="Verdana" w:eastAsia="Verdana" w:cs="Verdana"/>
      <w:b/>
      <w:bCs/>
      <w:sz w:val="18"/>
      <w:szCs w:val="18"/>
    </w:rPr>
  </w:style>
  <w:style w:styleId="TOC3" w:type="paragraph">
    <w:name w:val="TOC 3"/>
    <w:basedOn w:val="Normal"/>
    <w:uiPriority w:val="1"/>
    <w:qFormat/>
    <w:pPr>
      <w:spacing w:before="33"/>
      <w:ind w:left="541" w:hanging="298"/>
    </w:pPr>
    <w:rPr>
      <w:rFonts w:ascii="Verdana" w:hAnsi="Verdana" w:eastAsia="Verdana" w:cs="Verdana"/>
      <w:b/>
      <w:bCs/>
      <w:i/>
      <w:sz w:val="18"/>
      <w:szCs w:val="18"/>
    </w:rPr>
  </w:style>
  <w:style w:styleId="TOC4" w:type="paragraph">
    <w:name w:val="TOC 4"/>
    <w:basedOn w:val="Normal"/>
    <w:uiPriority w:val="1"/>
    <w:qFormat/>
    <w:pPr>
      <w:spacing w:before="30"/>
      <w:ind w:left="522" w:hanging="300"/>
    </w:pPr>
    <w:rPr>
      <w:rFonts w:ascii="Verdana" w:hAnsi="Verdana" w:eastAsia="Verdana" w:cs="Verdana"/>
      <w:b/>
      <w:bCs/>
      <w:i/>
    </w:rPr>
  </w:style>
  <w:style w:styleId="TOC5" w:type="paragraph">
    <w:name w:val="TOC 5"/>
    <w:basedOn w:val="Normal"/>
    <w:uiPriority w:val="1"/>
    <w:qFormat/>
    <w:pPr>
      <w:spacing w:before="33"/>
      <w:ind w:left="322"/>
    </w:pPr>
    <w:rPr>
      <w:rFonts w:ascii="Verdana" w:hAnsi="Verdana" w:eastAsia="Verdana" w:cs="Verdana"/>
      <w:b/>
      <w:bCs/>
      <w:i/>
      <w:sz w:val="18"/>
      <w:szCs w:val="18"/>
    </w:rPr>
  </w:style>
  <w:style w:styleId="TOC6" w:type="paragraph">
    <w:name w:val="TOC 6"/>
    <w:basedOn w:val="Normal"/>
    <w:uiPriority w:val="1"/>
    <w:qFormat/>
    <w:pPr>
      <w:spacing w:before="33"/>
      <w:ind w:left="322"/>
    </w:pPr>
    <w:rPr>
      <w:rFonts w:ascii="Verdana" w:hAnsi="Verdana" w:eastAsia="Verdana" w:cs="Verdana"/>
      <w:b/>
      <w:bCs/>
      <w:i/>
    </w:rPr>
  </w:style>
  <w:style w:styleId="TOC7" w:type="paragraph">
    <w:name w:val="TOC 7"/>
    <w:basedOn w:val="Normal"/>
    <w:uiPriority w:val="1"/>
    <w:qFormat/>
    <w:pPr>
      <w:spacing w:before="33"/>
      <w:ind w:left="1085" w:hanging="544"/>
    </w:pPr>
    <w:rPr>
      <w:rFonts w:ascii="Verdana" w:hAnsi="Verdana" w:eastAsia="Verdana" w:cs="Verdana"/>
      <w:i/>
      <w:sz w:val="18"/>
      <w:szCs w:val="18"/>
    </w:rPr>
  </w:style>
  <w:style w:styleId="TOC8" w:type="paragraph">
    <w:name w:val="TOC 8"/>
    <w:basedOn w:val="Normal"/>
    <w:uiPriority w:val="1"/>
    <w:qFormat/>
    <w:pPr>
      <w:spacing w:before="30"/>
      <w:ind w:left="1085" w:hanging="547"/>
    </w:pPr>
    <w:rPr>
      <w:rFonts w:ascii="Verdana" w:hAnsi="Verdana" w:eastAsia="Verdana" w:cs="Verdana"/>
      <w:b/>
      <w:bCs/>
      <w:i/>
    </w:rPr>
  </w:style>
  <w:style w:styleId="TOC9" w:type="paragraph">
    <w:name w:val="TOC 9"/>
    <w:basedOn w:val="Normal"/>
    <w:uiPriority w:val="1"/>
    <w:qFormat/>
    <w:pPr>
      <w:spacing w:before="32"/>
      <w:ind w:left="1486" w:hanging="724"/>
    </w:pPr>
    <w:rPr>
      <w:rFonts w:ascii="Verdana" w:hAnsi="Verdana" w:eastAsia="Verdana" w:cs="Verdana"/>
      <w:i/>
      <w:sz w:val="18"/>
      <w:szCs w:val="18"/>
    </w:rPr>
  </w:style>
  <w:style w:styleId="BodyText" w:type="paragraph">
    <w:name w:val="Body Text"/>
    <w:basedOn w:val="Normal"/>
    <w:uiPriority w:val="1"/>
    <w:qFormat/>
    <w:pPr/>
    <w:rPr>
      <w:rFonts w:ascii="Verdana" w:hAnsi="Verdana" w:eastAsia="Verdana" w:cs="Verdana"/>
      <w:sz w:val="20"/>
      <w:szCs w:val="20"/>
    </w:rPr>
  </w:style>
  <w:style w:styleId="Heading1" w:type="paragraph">
    <w:name w:val="Heading 1"/>
    <w:basedOn w:val="Normal"/>
    <w:uiPriority w:val="1"/>
    <w:qFormat/>
    <w:pPr>
      <w:ind w:left="120" w:hanging="2530"/>
      <w:outlineLvl w:val="1"/>
    </w:pPr>
    <w:rPr>
      <w:rFonts w:ascii="Arial" w:hAnsi="Arial" w:eastAsia="Arial" w:cs="Arial"/>
      <w:b/>
      <w:bCs/>
      <w:sz w:val="22"/>
      <w:szCs w:val="22"/>
    </w:rPr>
  </w:style>
  <w:style w:styleId="Heading2" w:type="paragraph">
    <w:name w:val="Heading 2"/>
    <w:basedOn w:val="Normal"/>
    <w:uiPriority w:val="1"/>
    <w:qFormat/>
    <w:pPr>
      <w:ind w:left="40"/>
      <w:outlineLvl w:val="2"/>
    </w:pPr>
    <w:rPr>
      <w:rFonts w:ascii="Arial" w:hAnsi="Arial" w:eastAsia="Arial" w:cs="Arial"/>
      <w:sz w:val="22"/>
      <w:szCs w:val="22"/>
    </w:rPr>
  </w:style>
  <w:style w:styleId="Heading3" w:type="paragraph">
    <w:name w:val="Heading 3"/>
    <w:basedOn w:val="Normal"/>
    <w:uiPriority w:val="1"/>
    <w:qFormat/>
    <w:pPr>
      <w:ind w:left="312"/>
      <w:jc w:val="center"/>
      <w:outlineLvl w:val="3"/>
    </w:pPr>
    <w:rPr>
      <w:rFonts w:ascii="Verdana" w:hAnsi="Verdana" w:eastAsia="Verdana" w:cs="Verdana"/>
      <w:b/>
      <w:bCs/>
      <w:sz w:val="20"/>
      <w:szCs w:val="20"/>
    </w:rPr>
  </w:style>
  <w:style w:styleId="Heading4" w:type="paragraph">
    <w:name w:val="Heading 4"/>
    <w:basedOn w:val="Normal"/>
    <w:uiPriority w:val="1"/>
    <w:qFormat/>
    <w:pPr>
      <w:ind w:left="830"/>
      <w:outlineLvl w:val="4"/>
    </w:pPr>
    <w:rPr>
      <w:rFonts w:ascii="Verdana" w:hAnsi="Verdana" w:eastAsia="Verdana" w:cs="Verdana"/>
      <w:b/>
      <w:bCs/>
      <w:i/>
      <w:sz w:val="20"/>
      <w:szCs w:val="20"/>
    </w:rPr>
  </w:style>
  <w:style w:styleId="ListParagraph" w:type="paragraph">
    <w:name w:val="List Paragraph"/>
    <w:basedOn w:val="Normal"/>
    <w:uiPriority w:val="1"/>
    <w:qFormat/>
    <w:pPr>
      <w:ind w:left="122"/>
      <w:jc w:val="both"/>
    </w:pPr>
    <w:rPr>
      <w:rFonts w:ascii="Verdana" w:hAnsi="Verdana" w:eastAsia="Verdana" w:cs="Verdana"/>
    </w:rPr>
  </w:style>
  <w:style w:styleId="TableParagraph" w:type="paragraph">
    <w:name w:val="Table Paragraph"/>
    <w:basedOn w:val="Normal"/>
    <w:uiPriority w:val="1"/>
    <w:qFormat/>
    <w:pPr>
      <w:ind w:left="463"/>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4.xml"/><Relationship Id="rId11" Type="http://schemas.openxmlformats.org/officeDocument/2006/relationships/image" Target="media/image3.png"/><Relationship Id="rId12" Type="http://schemas.openxmlformats.org/officeDocument/2006/relationships/hyperlink" Target="http://www.ign.gob.ar/AreaServicios/Descargas/MapasEscolares" TargetMode="Externa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4.jpeg"/><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footer" Target="footer13.xml"/><Relationship Id="rId23" Type="http://schemas.openxmlformats.org/officeDocument/2006/relationships/footer" Target="footer14.xml"/><Relationship Id="rId24" Type="http://schemas.openxmlformats.org/officeDocument/2006/relationships/footer" Target="footer15.xml"/><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footer" Target="footer18.xml"/><Relationship Id="rId28" Type="http://schemas.openxmlformats.org/officeDocument/2006/relationships/footer" Target="footer19.xml"/><Relationship Id="rId29" Type="http://schemas.openxmlformats.org/officeDocument/2006/relationships/footer" Target="footer20.xml"/><Relationship Id="rId30" Type="http://schemas.openxmlformats.org/officeDocument/2006/relationships/footer" Target="footer21.xml"/><Relationship Id="rId31" Type="http://schemas.openxmlformats.org/officeDocument/2006/relationships/footer" Target="footer22.xml"/><Relationship Id="rId32" Type="http://schemas.openxmlformats.org/officeDocument/2006/relationships/footer" Target="footer23.xml"/><Relationship Id="rId33" Type="http://schemas.openxmlformats.org/officeDocument/2006/relationships/footer" Target="footer24.xml"/><Relationship Id="rId34" Type="http://schemas.openxmlformats.org/officeDocument/2006/relationships/footer" Target="footer25.xml"/><Relationship Id="rId35" Type="http://schemas.openxmlformats.org/officeDocument/2006/relationships/footer" Target="footer26.xml"/><Relationship Id="rId36" Type="http://schemas.openxmlformats.org/officeDocument/2006/relationships/footer" Target="footer27.xml"/><Relationship Id="rId37" Type="http://schemas.openxmlformats.org/officeDocument/2006/relationships/hyperlink" Target="http://www.oas.org/juridico/spanish/Tratados/a-52.html" TargetMode="External"/><Relationship Id="rId38" Type="http://schemas.openxmlformats.org/officeDocument/2006/relationships/footer" Target="footer28.xml"/><Relationship Id="rId39" Type="http://schemas.openxmlformats.org/officeDocument/2006/relationships/footer" Target="footer29.xml"/><Relationship Id="rId40" Type="http://schemas.openxmlformats.org/officeDocument/2006/relationships/footer" Target="footer30.xml"/><Relationship Id="rId41" Type="http://schemas.openxmlformats.org/officeDocument/2006/relationships/footer" Target="footer31.xml"/><Relationship Id="rId42" Type="http://schemas.openxmlformats.org/officeDocument/2006/relationships/hyperlink" Target="http://www.oas.org/es/sadye/inclusion-social/protocolo-ssv/docs/pss-res-2262-es.doc" TargetMode="External"/><Relationship Id="rId43" Type="http://schemas.openxmlformats.org/officeDocument/2006/relationships/footer" Target="footer32.xml"/><Relationship Id="rId44" Type="http://schemas.openxmlformats.org/officeDocument/2006/relationships/footer" Target="footer33.xml"/><Relationship Id="rId45" Type="http://schemas.openxmlformats.org/officeDocument/2006/relationships/footer" Target="footer34.xml"/><Relationship Id="rId46" Type="http://schemas.openxmlformats.org/officeDocument/2006/relationships/footer" Target="footer35.xml"/><Relationship Id="rId47" Type="http://schemas.openxmlformats.org/officeDocument/2006/relationships/footer" Target="footer36.xml"/><Relationship Id="rId48" Type="http://schemas.openxmlformats.org/officeDocument/2006/relationships/footer" Target="footer37.xml"/><Relationship Id="rId49" Type="http://schemas.openxmlformats.org/officeDocument/2006/relationships/footer" Target="footer38.xml"/><Relationship Id="rId50" Type="http://schemas.openxmlformats.org/officeDocument/2006/relationships/footer" Target="footer39.xml"/><Relationship Id="rId51" Type="http://schemas.openxmlformats.org/officeDocument/2006/relationships/footer" Target="footer40.xml"/><Relationship Id="rId52" Type="http://schemas.openxmlformats.org/officeDocument/2006/relationships/footer" Target="footer41.xml"/><Relationship Id="rId53" Type="http://schemas.openxmlformats.org/officeDocument/2006/relationships/footer" Target="footer42.xml"/><Relationship Id="rId54" Type="http://schemas.openxmlformats.org/officeDocument/2006/relationships/footer" Target="footer43.xml"/><Relationship Id="rId55" Type="http://schemas.openxmlformats.org/officeDocument/2006/relationships/footer" Target="footer44.xml"/><Relationship Id="rId56" Type="http://schemas.openxmlformats.org/officeDocument/2006/relationships/footer" Target="footer45.xml"/><Relationship Id="rId57" Type="http://schemas.openxmlformats.org/officeDocument/2006/relationships/footer" Target="footer46.xml"/><Relationship Id="rId58" Type="http://schemas.openxmlformats.org/officeDocument/2006/relationships/footer" Target="footer47.xml"/><Relationship Id="rId59" Type="http://schemas.openxmlformats.org/officeDocument/2006/relationships/footer" Target="footer48.xml"/><Relationship Id="rId60" Type="http://schemas.openxmlformats.org/officeDocument/2006/relationships/footer" Target="footer49.xml"/><Relationship Id="rId61" Type="http://schemas.openxmlformats.org/officeDocument/2006/relationships/footer" Target="footer50.xml"/><Relationship Id="rId62" Type="http://schemas.openxmlformats.org/officeDocument/2006/relationships/footer" Target="footer51.xml"/><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Corte IDH</dc:creator>
  <dcterms:created xsi:type="dcterms:W3CDTF">2022-08-19T12:34:18Z</dcterms:created>
  <dcterms:modified xsi:type="dcterms:W3CDTF">2022-08-19T12:34:18Z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Adobe Acrobat Pro DC 15.6.30527</vt:lpwstr>
  </property>
  <property fmtid="{D5CDD505-2E9C-101B-9397-08002B2CF9AE}" pid="4" name="LastSaved">
    <vt:filetime>2022-08-19T00:00:00Z</vt:filetime>
  </property>
</Properties>
</file>